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2F111D">
      <w:pPr>
        <w:adjustRightInd w:val="0"/>
        <w:snapToGrid w:val="0"/>
        <w:spacing w:line="240" w:lineRule="atLeast"/>
        <w:jc w:val="center"/>
        <w:outlineLvl w:val="0"/>
        <w:rPr>
          <w:rFonts w:ascii="方正小标宋简体" w:hAnsi="方正小标宋简体" w:eastAsia="方正小标宋简体" w:cs="方正小标宋简体"/>
          <w:sz w:val="72"/>
          <w:szCs w:val="72"/>
        </w:rPr>
      </w:pPr>
      <w:bookmarkStart w:id="0" w:name="_Toc15378441"/>
      <w:bookmarkStart w:id="1" w:name="_Toc15396475"/>
      <w:bookmarkStart w:id="2" w:name="_Toc15377425"/>
      <w:bookmarkStart w:id="3" w:name="_Toc15377193"/>
      <w:bookmarkStart w:id="4" w:name="_Toc15396597"/>
      <w:bookmarkStart w:id="5" w:name="_Toc15306267"/>
    </w:p>
    <w:p w14:paraId="5957C868">
      <w:pPr>
        <w:adjustRightInd w:val="0"/>
        <w:snapToGrid w:val="0"/>
        <w:spacing w:line="240" w:lineRule="atLeast"/>
        <w:jc w:val="center"/>
        <w:outlineLvl w:val="0"/>
        <w:rPr>
          <w:rFonts w:ascii="方正小标宋简体" w:hAnsi="方正小标宋简体" w:eastAsia="方正小标宋简体" w:cs="方正小标宋简体"/>
          <w:sz w:val="72"/>
          <w:szCs w:val="72"/>
        </w:rPr>
      </w:pPr>
    </w:p>
    <w:p w14:paraId="3B584CD2">
      <w:pPr>
        <w:adjustRightInd w:val="0"/>
        <w:snapToGrid w:val="0"/>
        <w:spacing w:line="240" w:lineRule="atLeast"/>
        <w:jc w:val="center"/>
        <w:outlineLvl w:val="0"/>
        <w:rPr>
          <w:rFonts w:ascii="方正小标宋简体" w:hAnsi="方正小标宋简体" w:eastAsia="方正小标宋简体" w:cs="方正小标宋简体"/>
          <w:sz w:val="72"/>
          <w:szCs w:val="72"/>
        </w:rPr>
      </w:pPr>
    </w:p>
    <w:p w14:paraId="787CA5A4">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eastAsia="方正小标宋简体"/>
          <w:sz w:val="72"/>
          <w:szCs w:val="72"/>
        </w:rPr>
        <w:t>2022年度</w:t>
      </w:r>
      <w:bookmarkEnd w:id="0"/>
      <w:bookmarkEnd w:id="1"/>
      <w:bookmarkEnd w:id="2"/>
      <w:bookmarkEnd w:id="3"/>
      <w:bookmarkEnd w:id="4"/>
    </w:p>
    <w:bookmarkEnd w:id="5"/>
    <w:p w14:paraId="604A1A7B">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426"/>
      <w:bookmarkStart w:id="7" w:name="_Toc15306268"/>
      <w:bookmarkStart w:id="8" w:name="_Toc15396476"/>
      <w:bookmarkStart w:id="9" w:name="_Toc15378442"/>
      <w:bookmarkStart w:id="10" w:name="_Toc15377194"/>
      <w:bookmarkStart w:id="11" w:name="_Toc15396598"/>
      <w:r>
        <w:rPr>
          <w:rFonts w:hint="eastAsia" w:ascii="方正小标宋简体" w:hAnsi="方正小标宋简体" w:eastAsia="方正小标宋简体" w:cs="方正小标宋简体"/>
          <w:sz w:val="72"/>
          <w:szCs w:val="72"/>
        </w:rPr>
        <w:t>盐边县供销合作社联合社部门决算</w:t>
      </w:r>
      <w:bookmarkEnd w:id="6"/>
      <w:bookmarkEnd w:id="7"/>
      <w:bookmarkEnd w:id="8"/>
      <w:bookmarkEnd w:id="9"/>
      <w:bookmarkEnd w:id="10"/>
      <w:bookmarkEnd w:id="11"/>
    </w:p>
    <w:p w14:paraId="794EF921">
      <w:pPr>
        <w:widowControl/>
        <w:jc w:val="center"/>
        <w:rPr>
          <w:rFonts w:ascii="黑体" w:hAnsi="黑体" w:eastAsia="黑体"/>
          <w:sz w:val="48"/>
          <w:szCs w:val="48"/>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14:paraId="1AA3DF80">
      <w:pPr>
        <w:widowControl/>
        <w:jc w:val="center"/>
        <w:rPr>
          <w:rFonts w:ascii="黑体" w:hAnsi="黑体" w:eastAsia="黑体"/>
          <w:sz w:val="48"/>
          <w:szCs w:val="48"/>
        </w:rPr>
      </w:pPr>
      <w:r>
        <w:rPr>
          <w:rFonts w:hint="eastAsia" w:ascii="黑体" w:hAnsi="黑体" w:eastAsia="黑体"/>
          <w:sz w:val="48"/>
          <w:szCs w:val="48"/>
        </w:rPr>
        <w:t>目录</w:t>
      </w:r>
    </w:p>
    <w:p w14:paraId="3174B781">
      <w:pPr>
        <w:pStyle w:val="13"/>
      </w:pPr>
      <w:r>
        <w:rPr>
          <w:rFonts w:hint="eastAsia"/>
        </w:rPr>
        <w:t>公开时间：</w:t>
      </w:r>
      <w:r>
        <w:rPr>
          <w:rFonts w:ascii="Times New Roman" w:hAnsi="Times New Roman"/>
        </w:rPr>
        <w:t>2023年10月26日</w:t>
      </w:r>
    </w:p>
    <w:p w14:paraId="4E82047E"/>
    <w:p w14:paraId="58DBF541">
      <w:pPr>
        <w:pStyle w:val="13"/>
        <w:adjustRightInd w:val="0"/>
        <w:snapToGrid w:val="0"/>
        <w:spacing w:before="0" w:line="440" w:lineRule="exact"/>
        <w:jc w:val="left"/>
        <w:rPr>
          <w:rFonts w:ascii="Times New Roman" w:hAnsi="Times New Roman" w:eastAsia="宋体"/>
          <w:sz w:val="21"/>
          <w:szCs w:val="24"/>
        </w:rPr>
      </w:pPr>
      <w:r>
        <w:rPr>
          <w:rFonts w:ascii="Times New Roman" w:hAnsi="Times New Roman"/>
        </w:rPr>
        <w:t>第一部分部门概况</w:t>
      </w:r>
      <w:r>
        <w:rPr>
          <w:rFonts w:ascii="Times New Roman" w:hAnsi="Times New Roman"/>
        </w:rPr>
        <w:ptab w:relativeTo="margin" w:alignment="right" w:leader="dot"/>
      </w:r>
      <w:r>
        <w:rPr>
          <w:rFonts w:ascii="Times New Roman" w:hAnsi="Times New Roman" w:eastAsia="宋体"/>
          <w:sz w:val="21"/>
          <w:szCs w:val="24"/>
        </w:rPr>
        <w:t>1</w:t>
      </w:r>
    </w:p>
    <w:p w14:paraId="27166216">
      <w:pPr>
        <w:pStyle w:val="14"/>
        <w:adjustRightInd w:val="0"/>
        <w:snapToGrid w:val="0"/>
        <w:spacing w:line="440" w:lineRule="exact"/>
        <w:jc w:val="left"/>
        <w:rPr>
          <w:sz w:val="24"/>
        </w:rPr>
      </w:pPr>
      <w:r>
        <w:rPr>
          <w:sz w:val="24"/>
        </w:rPr>
        <w:t>一、部门职责</w:t>
      </w:r>
      <w:r>
        <w:ptab w:relativeTo="margin" w:alignment="right" w:leader="dot"/>
      </w:r>
      <w:r>
        <w:rPr>
          <w:rFonts w:hint="eastAsia"/>
        </w:rPr>
        <w:t>1</w:t>
      </w:r>
    </w:p>
    <w:p w14:paraId="3F3413A1">
      <w:pPr>
        <w:pStyle w:val="14"/>
        <w:adjustRightInd w:val="0"/>
        <w:snapToGrid w:val="0"/>
        <w:spacing w:line="440" w:lineRule="exact"/>
        <w:jc w:val="left"/>
        <w:rPr>
          <w:rFonts w:eastAsia="仿宋"/>
          <w:sz w:val="24"/>
        </w:rPr>
      </w:pPr>
      <w:r>
        <w:rPr>
          <w:sz w:val="24"/>
        </w:rPr>
        <w:t>二、机构设置</w:t>
      </w:r>
      <w:r>
        <w:ptab w:relativeTo="margin" w:alignment="right" w:leader="dot"/>
      </w:r>
      <w:r>
        <w:rPr>
          <w:rFonts w:hint="eastAsia"/>
        </w:rPr>
        <w:t>2</w:t>
      </w:r>
    </w:p>
    <w:p w14:paraId="0688CECC">
      <w:pPr>
        <w:pStyle w:val="13"/>
        <w:adjustRightInd w:val="0"/>
        <w:snapToGrid w:val="0"/>
        <w:spacing w:before="0" w:line="440" w:lineRule="exact"/>
        <w:jc w:val="left"/>
        <w:rPr>
          <w:rFonts w:ascii="Times New Roman" w:hAnsi="Times New Roman"/>
        </w:rPr>
      </w:pPr>
      <w:r>
        <w:rPr>
          <w:rFonts w:ascii="Times New Roman" w:hAnsi="Times New Roman"/>
        </w:rPr>
        <w:t>第二部分 2022年度部门决算情况说明</w:t>
      </w:r>
      <w:r>
        <w:rPr>
          <w:rFonts w:ascii="Times New Roman" w:hAnsi="Times New Roman"/>
        </w:rPr>
        <w:ptab w:relativeTo="margin" w:alignment="right" w:leader="dot"/>
      </w:r>
      <w:r>
        <w:rPr>
          <w:rFonts w:hint="eastAsia" w:ascii="Times New Roman" w:hAnsi="Times New Roman" w:eastAsia="宋体"/>
          <w:sz w:val="21"/>
          <w:szCs w:val="24"/>
        </w:rPr>
        <w:t>3</w:t>
      </w:r>
    </w:p>
    <w:p w14:paraId="0B7460DB">
      <w:pPr>
        <w:pStyle w:val="14"/>
        <w:adjustRightInd w:val="0"/>
        <w:snapToGrid w:val="0"/>
        <w:spacing w:line="440" w:lineRule="exact"/>
        <w:jc w:val="left"/>
        <w:rPr>
          <w:rFonts w:eastAsia="仿宋"/>
          <w:sz w:val="24"/>
        </w:rPr>
      </w:pPr>
      <w:r>
        <w:rPr>
          <w:sz w:val="24"/>
        </w:rPr>
        <w:t>一、收入支出决算总体情况说明</w:t>
      </w:r>
      <w:r>
        <w:ptab w:relativeTo="margin" w:alignment="right" w:leader="dot"/>
      </w:r>
      <w:r>
        <w:rPr>
          <w:rFonts w:hint="eastAsia"/>
        </w:rPr>
        <w:t>3</w:t>
      </w:r>
    </w:p>
    <w:p w14:paraId="4EFD189A">
      <w:pPr>
        <w:pStyle w:val="14"/>
        <w:adjustRightInd w:val="0"/>
        <w:snapToGrid w:val="0"/>
        <w:spacing w:line="440" w:lineRule="exact"/>
        <w:jc w:val="left"/>
        <w:rPr>
          <w:rFonts w:hint="eastAsia" w:eastAsia="宋体"/>
          <w:sz w:val="24"/>
          <w:lang w:eastAsia="zh-CN"/>
        </w:rPr>
      </w:pPr>
      <w:r>
        <w:rPr>
          <w:sz w:val="24"/>
        </w:rPr>
        <w:t>二、收入决算情况说明</w:t>
      </w:r>
      <w:r>
        <w:ptab w:relativeTo="margin" w:alignment="right" w:leader="dot"/>
      </w:r>
      <w:r>
        <w:rPr>
          <w:rFonts w:hint="eastAsia"/>
          <w:lang w:val="en-US" w:eastAsia="zh-CN"/>
        </w:rPr>
        <w:t>4</w:t>
      </w:r>
    </w:p>
    <w:p w14:paraId="496C9189">
      <w:pPr>
        <w:pStyle w:val="14"/>
        <w:adjustRightInd w:val="0"/>
        <w:snapToGrid w:val="0"/>
        <w:spacing w:line="440" w:lineRule="exact"/>
        <w:jc w:val="left"/>
        <w:rPr>
          <w:rFonts w:eastAsia="仿宋"/>
          <w:sz w:val="24"/>
        </w:rPr>
      </w:pPr>
      <w:r>
        <w:rPr>
          <w:sz w:val="24"/>
        </w:rPr>
        <w:t>三、支出决算情况说明</w:t>
      </w:r>
      <w:r>
        <w:ptab w:relativeTo="margin" w:alignment="right" w:leader="dot"/>
      </w:r>
      <w:r>
        <w:rPr>
          <w:rFonts w:hint="eastAsia"/>
        </w:rPr>
        <w:t>4</w:t>
      </w:r>
    </w:p>
    <w:p w14:paraId="322C0073">
      <w:pPr>
        <w:pStyle w:val="14"/>
        <w:adjustRightInd w:val="0"/>
        <w:snapToGrid w:val="0"/>
        <w:spacing w:line="440" w:lineRule="exact"/>
        <w:jc w:val="left"/>
        <w:rPr>
          <w:rFonts w:eastAsia="仿宋"/>
          <w:sz w:val="24"/>
        </w:rPr>
      </w:pPr>
      <w:r>
        <w:rPr>
          <w:sz w:val="24"/>
        </w:rPr>
        <w:t>四、财政拨款收入支出决算总体情况说明</w:t>
      </w:r>
      <w:r>
        <w:ptab w:relativeTo="margin" w:alignment="right" w:leader="dot"/>
      </w:r>
      <w:r>
        <w:rPr>
          <w:rFonts w:hint="eastAsia"/>
        </w:rPr>
        <w:t>5</w:t>
      </w:r>
    </w:p>
    <w:p w14:paraId="6277196A">
      <w:pPr>
        <w:pStyle w:val="14"/>
        <w:adjustRightInd w:val="0"/>
        <w:snapToGrid w:val="0"/>
        <w:spacing w:line="440" w:lineRule="exact"/>
        <w:jc w:val="left"/>
        <w:rPr>
          <w:rFonts w:eastAsia="仿宋"/>
          <w:sz w:val="24"/>
        </w:rPr>
      </w:pPr>
      <w:r>
        <w:rPr>
          <w:sz w:val="24"/>
        </w:rPr>
        <w:t>五、一般公共预算财政拨款支出决算情况说明</w:t>
      </w:r>
      <w:r>
        <w:ptab w:relativeTo="margin" w:alignment="right" w:leader="dot"/>
      </w:r>
      <w:r>
        <w:rPr>
          <w:rFonts w:hint="eastAsia"/>
        </w:rPr>
        <w:t>5</w:t>
      </w:r>
    </w:p>
    <w:p w14:paraId="1ECAF064">
      <w:pPr>
        <w:pStyle w:val="14"/>
        <w:adjustRightInd w:val="0"/>
        <w:snapToGrid w:val="0"/>
        <w:spacing w:line="440" w:lineRule="exact"/>
        <w:jc w:val="left"/>
        <w:rPr>
          <w:rFonts w:hint="eastAsia" w:eastAsia="宋体"/>
          <w:sz w:val="24"/>
          <w:lang w:val="en-US" w:eastAsia="zh-CN"/>
        </w:rPr>
      </w:pPr>
      <w:r>
        <w:rPr>
          <w:sz w:val="24"/>
        </w:rPr>
        <w:t>六、一般公共预算财政拨款基本支出决算情况说明</w:t>
      </w:r>
      <w:r>
        <w:ptab w:relativeTo="margin" w:alignment="right" w:leader="dot"/>
      </w:r>
      <w:r>
        <w:rPr>
          <w:rFonts w:hint="eastAsia"/>
          <w:lang w:val="en-US" w:eastAsia="zh-CN"/>
        </w:rPr>
        <w:t>7</w:t>
      </w:r>
    </w:p>
    <w:p w14:paraId="1E378338">
      <w:pPr>
        <w:pStyle w:val="14"/>
        <w:adjustRightInd w:val="0"/>
        <w:snapToGrid w:val="0"/>
        <w:spacing w:line="440" w:lineRule="exact"/>
        <w:jc w:val="left"/>
        <w:rPr>
          <w:rFonts w:eastAsia="仿宋"/>
          <w:sz w:val="24"/>
        </w:rPr>
      </w:pPr>
      <w:r>
        <w:rPr>
          <w:sz w:val="24"/>
        </w:rPr>
        <w:t>七、财政拨款“三公”经费支出决算情况说明</w:t>
      </w:r>
      <w:r>
        <w:ptab w:relativeTo="margin" w:alignment="right" w:leader="dot"/>
      </w:r>
      <w:r>
        <w:rPr>
          <w:rFonts w:hint="eastAsia"/>
        </w:rPr>
        <w:t>8</w:t>
      </w:r>
    </w:p>
    <w:p w14:paraId="63D270F3">
      <w:pPr>
        <w:pStyle w:val="14"/>
        <w:adjustRightInd w:val="0"/>
        <w:snapToGrid w:val="0"/>
        <w:spacing w:line="440" w:lineRule="exact"/>
        <w:jc w:val="left"/>
        <w:rPr>
          <w:rFonts w:eastAsia="仿宋"/>
          <w:sz w:val="24"/>
        </w:rPr>
      </w:pPr>
      <w:r>
        <w:rPr>
          <w:sz w:val="24"/>
        </w:rPr>
        <w:t>八、政府性基金预算支出决算情况说明</w:t>
      </w:r>
      <w:r>
        <w:ptab w:relativeTo="margin" w:alignment="right" w:leader="dot"/>
      </w:r>
      <w:r>
        <w:rPr>
          <w:rFonts w:hint="eastAsia"/>
        </w:rPr>
        <w:t>10</w:t>
      </w:r>
    </w:p>
    <w:p w14:paraId="6F1D2E2E">
      <w:pPr>
        <w:pStyle w:val="14"/>
        <w:adjustRightInd w:val="0"/>
        <w:snapToGrid w:val="0"/>
        <w:spacing w:line="440" w:lineRule="exact"/>
        <w:ind w:leftChars="0"/>
        <w:jc w:val="left"/>
        <w:rPr>
          <w:rFonts w:eastAsiaTheme="minorEastAsia"/>
          <w:sz w:val="24"/>
        </w:rPr>
      </w:pPr>
      <w:r>
        <w:rPr>
          <w:rFonts w:eastAsiaTheme="minorEastAsia"/>
          <w:sz w:val="24"/>
        </w:rPr>
        <w:t>九、国有资本经营预算支出决算情况说明</w:t>
      </w:r>
      <w:r>
        <w:ptab w:relativeTo="margin" w:alignment="right" w:leader="dot"/>
      </w:r>
      <w:r>
        <w:rPr>
          <w:rFonts w:hint="eastAsia"/>
        </w:rPr>
        <w:t>10</w:t>
      </w:r>
    </w:p>
    <w:p w14:paraId="689DFCE1">
      <w:pPr>
        <w:adjustRightInd w:val="0"/>
        <w:snapToGrid w:val="0"/>
        <w:spacing w:line="440" w:lineRule="exact"/>
        <w:ind w:firstLine="420" w:firstLineChars="175"/>
        <w:jc w:val="left"/>
        <w:rPr>
          <w:rFonts w:eastAsiaTheme="minorEastAsia"/>
          <w:sz w:val="24"/>
        </w:rPr>
      </w:pPr>
      <w:r>
        <w:rPr>
          <w:rStyle w:val="19"/>
          <w:rFonts w:eastAsiaTheme="minorEastAsia"/>
          <w:color w:val="auto"/>
          <w:sz w:val="24"/>
          <w:u w:val="none"/>
        </w:rPr>
        <w:t>十、</w:t>
      </w:r>
      <w:r>
        <w:rPr>
          <w:rFonts w:eastAsiaTheme="minorEastAsia"/>
          <w:sz w:val="24"/>
        </w:rPr>
        <w:t>其他重要事项的情况说明</w:t>
      </w:r>
      <w:r>
        <w:ptab w:relativeTo="margin" w:alignment="right" w:leader="dot"/>
      </w:r>
      <w:r>
        <w:rPr>
          <w:rFonts w:hint="eastAsia"/>
        </w:rPr>
        <w:t>10</w:t>
      </w:r>
    </w:p>
    <w:p w14:paraId="63173955">
      <w:pPr>
        <w:pStyle w:val="13"/>
        <w:adjustRightInd w:val="0"/>
        <w:snapToGrid w:val="0"/>
        <w:spacing w:before="0" w:line="440" w:lineRule="exact"/>
        <w:jc w:val="left"/>
        <w:rPr>
          <w:rFonts w:ascii="Times New Roman" w:hAnsi="Times New Roman"/>
        </w:rPr>
      </w:pPr>
      <w:r>
        <w:rPr>
          <w:rFonts w:ascii="Times New Roman" w:hAnsi="Times New Roman"/>
        </w:rPr>
        <w:t>第三部分名词解释</w:t>
      </w:r>
      <w:r>
        <w:rPr>
          <w:rFonts w:ascii="Times New Roman" w:hAnsi="Times New Roman"/>
        </w:rPr>
        <w:ptab w:relativeTo="margin" w:alignment="right" w:leader="dot"/>
      </w:r>
      <w:r>
        <w:rPr>
          <w:rFonts w:hint="eastAsia" w:ascii="Times New Roman" w:hAnsi="Times New Roman" w:eastAsia="宋体"/>
          <w:sz w:val="21"/>
          <w:szCs w:val="24"/>
        </w:rPr>
        <w:t>12</w:t>
      </w:r>
    </w:p>
    <w:p w14:paraId="08C50A8C">
      <w:pPr>
        <w:pStyle w:val="13"/>
        <w:adjustRightInd w:val="0"/>
        <w:snapToGrid w:val="0"/>
        <w:spacing w:before="0" w:line="440" w:lineRule="exact"/>
        <w:jc w:val="left"/>
        <w:rPr>
          <w:rFonts w:ascii="Times New Roman" w:hAnsi="Times New Roman" w:eastAsia="宋体"/>
          <w:sz w:val="21"/>
          <w:szCs w:val="24"/>
        </w:rPr>
      </w:pPr>
      <w:r>
        <w:rPr>
          <w:rFonts w:ascii="Times New Roman" w:hAnsi="Times New Roman"/>
        </w:rPr>
        <w:t>第四部分附件</w:t>
      </w:r>
      <w:r>
        <w:rPr>
          <w:rFonts w:ascii="Times New Roman" w:hAnsi="Times New Roman"/>
        </w:rPr>
        <w:ptab w:relativeTo="margin" w:alignment="right" w:leader="dot"/>
      </w:r>
      <w:r>
        <w:rPr>
          <w:rFonts w:hint="eastAsia" w:ascii="Times New Roman" w:hAnsi="Times New Roman" w:eastAsia="宋体"/>
          <w:sz w:val="21"/>
          <w:szCs w:val="24"/>
        </w:rPr>
        <w:t>15</w:t>
      </w:r>
    </w:p>
    <w:p w14:paraId="185C947A">
      <w:pPr>
        <w:pStyle w:val="13"/>
        <w:adjustRightInd w:val="0"/>
        <w:snapToGrid w:val="0"/>
        <w:spacing w:before="0" w:line="440" w:lineRule="exact"/>
        <w:jc w:val="left"/>
        <w:rPr>
          <w:rFonts w:ascii="Times New Roman" w:hAnsi="Times New Roman" w:eastAsia="宋体"/>
          <w:sz w:val="21"/>
          <w:szCs w:val="24"/>
        </w:rPr>
      </w:pPr>
      <w:r>
        <w:rPr>
          <w:rFonts w:ascii="Times New Roman" w:hAnsi="Times New Roman"/>
        </w:rPr>
        <w:t>第五部分附表</w:t>
      </w:r>
      <w:r>
        <w:rPr>
          <w:rFonts w:ascii="Times New Roman" w:hAnsi="Times New Roman"/>
        </w:rPr>
        <w:ptab w:relativeTo="margin" w:alignment="right" w:leader="dot"/>
      </w:r>
      <w:r>
        <w:rPr>
          <w:rFonts w:hint="eastAsia" w:ascii="Times New Roman" w:hAnsi="Times New Roman" w:eastAsia="宋体"/>
          <w:sz w:val="21"/>
          <w:szCs w:val="24"/>
        </w:rPr>
        <w:t>45</w:t>
      </w:r>
    </w:p>
    <w:p w14:paraId="65B4B28A">
      <w:pPr>
        <w:pStyle w:val="14"/>
        <w:adjustRightInd w:val="0"/>
        <w:snapToGrid w:val="0"/>
        <w:spacing w:line="440" w:lineRule="exact"/>
        <w:jc w:val="left"/>
        <w:rPr>
          <w:sz w:val="24"/>
        </w:rPr>
      </w:pPr>
      <w:r>
        <w:rPr>
          <w:sz w:val="24"/>
        </w:rPr>
        <w:t>一、收入支出决算总表</w:t>
      </w:r>
      <w:r>
        <w:ptab w:relativeTo="margin" w:alignment="right" w:leader="dot"/>
      </w:r>
      <w:r>
        <w:rPr>
          <w:rFonts w:hint="eastAsia"/>
        </w:rPr>
        <w:t>46</w:t>
      </w:r>
    </w:p>
    <w:p w14:paraId="1A1F4CBD">
      <w:pPr>
        <w:pStyle w:val="14"/>
        <w:adjustRightInd w:val="0"/>
        <w:snapToGrid w:val="0"/>
        <w:spacing w:line="440" w:lineRule="exact"/>
        <w:jc w:val="left"/>
        <w:rPr>
          <w:sz w:val="24"/>
        </w:rPr>
      </w:pPr>
      <w:r>
        <w:rPr>
          <w:sz w:val="24"/>
        </w:rPr>
        <w:t>二、收入决算表</w:t>
      </w:r>
      <w:r>
        <w:ptab w:relativeTo="margin" w:alignment="right" w:leader="dot"/>
      </w:r>
      <w:r>
        <w:rPr>
          <w:rFonts w:hint="eastAsia"/>
        </w:rPr>
        <w:t>47</w:t>
      </w:r>
    </w:p>
    <w:p w14:paraId="70817E01">
      <w:pPr>
        <w:pStyle w:val="14"/>
        <w:adjustRightInd w:val="0"/>
        <w:snapToGrid w:val="0"/>
        <w:spacing w:line="440" w:lineRule="exact"/>
        <w:jc w:val="left"/>
        <w:rPr>
          <w:sz w:val="24"/>
        </w:rPr>
      </w:pPr>
      <w:r>
        <w:rPr>
          <w:sz w:val="24"/>
        </w:rPr>
        <w:t>三、支出决算表</w:t>
      </w:r>
      <w:r>
        <w:ptab w:relativeTo="margin" w:alignment="right" w:leader="dot"/>
      </w:r>
      <w:r>
        <w:rPr>
          <w:rFonts w:hint="eastAsia"/>
        </w:rPr>
        <w:t>48</w:t>
      </w:r>
    </w:p>
    <w:p w14:paraId="27650276">
      <w:pPr>
        <w:pStyle w:val="14"/>
        <w:adjustRightInd w:val="0"/>
        <w:snapToGrid w:val="0"/>
        <w:spacing w:line="440" w:lineRule="exact"/>
        <w:jc w:val="left"/>
        <w:rPr>
          <w:sz w:val="24"/>
        </w:rPr>
      </w:pPr>
      <w:r>
        <w:rPr>
          <w:sz w:val="24"/>
        </w:rPr>
        <w:t>四、财政拨款收入支出决算总表</w:t>
      </w:r>
      <w:r>
        <w:ptab w:relativeTo="margin" w:alignment="right" w:leader="dot"/>
      </w:r>
      <w:r>
        <w:rPr>
          <w:rFonts w:hint="eastAsia"/>
        </w:rPr>
        <w:t>49</w:t>
      </w:r>
    </w:p>
    <w:p w14:paraId="40437FD6">
      <w:pPr>
        <w:pStyle w:val="14"/>
        <w:adjustRightInd w:val="0"/>
        <w:snapToGrid w:val="0"/>
        <w:spacing w:line="440" w:lineRule="exact"/>
        <w:jc w:val="left"/>
        <w:rPr>
          <w:sz w:val="24"/>
        </w:rPr>
      </w:pPr>
      <w:r>
        <w:rPr>
          <w:sz w:val="24"/>
        </w:rPr>
        <w:t>五、财政拨款支出决算明细表</w:t>
      </w:r>
      <w:r>
        <w:ptab w:relativeTo="margin" w:alignment="right" w:leader="dot"/>
      </w:r>
      <w:r>
        <w:rPr>
          <w:rFonts w:hint="eastAsia"/>
        </w:rPr>
        <w:t>50</w:t>
      </w:r>
    </w:p>
    <w:p w14:paraId="1742533D">
      <w:pPr>
        <w:pStyle w:val="14"/>
        <w:adjustRightInd w:val="0"/>
        <w:snapToGrid w:val="0"/>
        <w:spacing w:line="440" w:lineRule="exact"/>
        <w:jc w:val="left"/>
        <w:rPr>
          <w:sz w:val="24"/>
        </w:rPr>
      </w:pPr>
      <w:r>
        <w:rPr>
          <w:sz w:val="24"/>
        </w:rPr>
        <w:t>六、一般公共预算财政拨款支出决算表</w:t>
      </w:r>
      <w:r>
        <w:ptab w:relativeTo="margin" w:alignment="right" w:leader="dot"/>
      </w:r>
      <w:r>
        <w:rPr>
          <w:rFonts w:hint="eastAsia"/>
        </w:rPr>
        <w:t>54</w:t>
      </w:r>
    </w:p>
    <w:p w14:paraId="0542015D">
      <w:pPr>
        <w:pStyle w:val="14"/>
        <w:adjustRightInd w:val="0"/>
        <w:snapToGrid w:val="0"/>
        <w:spacing w:line="440" w:lineRule="exact"/>
        <w:jc w:val="left"/>
        <w:rPr>
          <w:sz w:val="24"/>
        </w:rPr>
      </w:pPr>
      <w:r>
        <w:rPr>
          <w:sz w:val="24"/>
        </w:rPr>
        <w:t>七、一般公共预算财政拨款支出决算明细表</w:t>
      </w:r>
      <w:r>
        <w:ptab w:relativeTo="margin" w:alignment="right" w:leader="dot"/>
      </w:r>
      <w:r>
        <w:rPr>
          <w:rFonts w:hint="eastAsia"/>
        </w:rPr>
        <w:t>55</w:t>
      </w:r>
    </w:p>
    <w:p w14:paraId="3333315B">
      <w:pPr>
        <w:pStyle w:val="14"/>
        <w:adjustRightInd w:val="0"/>
        <w:snapToGrid w:val="0"/>
        <w:spacing w:line="440" w:lineRule="exact"/>
        <w:jc w:val="left"/>
        <w:rPr>
          <w:sz w:val="24"/>
        </w:rPr>
      </w:pPr>
      <w:r>
        <w:rPr>
          <w:sz w:val="24"/>
        </w:rPr>
        <w:t>八、一般公共预算财政拨款基本支出决算明细表</w:t>
      </w:r>
      <w:r>
        <w:ptab w:relativeTo="margin" w:alignment="right" w:leader="dot"/>
      </w:r>
      <w:r>
        <w:rPr>
          <w:rFonts w:hint="eastAsia"/>
        </w:rPr>
        <w:t>73</w:t>
      </w:r>
    </w:p>
    <w:p w14:paraId="5F83184B">
      <w:pPr>
        <w:pStyle w:val="14"/>
        <w:adjustRightInd w:val="0"/>
        <w:snapToGrid w:val="0"/>
        <w:spacing w:line="440" w:lineRule="exact"/>
        <w:jc w:val="left"/>
        <w:rPr>
          <w:sz w:val="24"/>
        </w:rPr>
      </w:pPr>
      <w:r>
        <w:rPr>
          <w:sz w:val="24"/>
        </w:rPr>
        <w:t>九、一般公共预算财政拨款项目支出决算表</w:t>
      </w:r>
      <w:r>
        <w:ptab w:relativeTo="margin" w:alignment="right" w:leader="dot"/>
      </w:r>
      <w:r>
        <w:rPr>
          <w:rFonts w:hint="eastAsia"/>
        </w:rPr>
        <w:t>74</w:t>
      </w:r>
    </w:p>
    <w:p w14:paraId="1051A110">
      <w:pPr>
        <w:pStyle w:val="14"/>
        <w:adjustRightInd w:val="0"/>
        <w:snapToGrid w:val="0"/>
        <w:spacing w:line="440" w:lineRule="exact"/>
        <w:jc w:val="left"/>
        <w:rPr>
          <w:sz w:val="24"/>
        </w:rPr>
      </w:pPr>
      <w:r>
        <w:rPr>
          <w:sz w:val="24"/>
        </w:rPr>
        <w:t>十、政府性基金预算财政拨款收入支出决算表</w:t>
      </w:r>
      <w:r>
        <w:ptab w:relativeTo="margin" w:alignment="right" w:leader="dot"/>
      </w:r>
      <w:r>
        <w:rPr>
          <w:rFonts w:hint="eastAsia"/>
        </w:rPr>
        <w:t>75</w:t>
      </w:r>
    </w:p>
    <w:p w14:paraId="4FD63AFB">
      <w:pPr>
        <w:pStyle w:val="14"/>
        <w:adjustRightInd w:val="0"/>
        <w:snapToGrid w:val="0"/>
        <w:spacing w:line="440" w:lineRule="exact"/>
        <w:jc w:val="left"/>
        <w:rPr>
          <w:sz w:val="24"/>
        </w:rPr>
      </w:pPr>
      <w:r>
        <w:rPr>
          <w:sz w:val="24"/>
        </w:rPr>
        <w:t>十一、国有资本经营预算财政拨款收入支出决算表</w:t>
      </w:r>
      <w:r>
        <w:ptab w:relativeTo="margin" w:alignment="right" w:leader="dot"/>
      </w:r>
      <w:r>
        <w:rPr>
          <w:rFonts w:hint="eastAsia"/>
        </w:rPr>
        <w:t>76</w:t>
      </w:r>
    </w:p>
    <w:p w14:paraId="786C7F0B">
      <w:pPr>
        <w:pStyle w:val="14"/>
        <w:adjustRightInd w:val="0"/>
        <w:snapToGrid w:val="0"/>
        <w:spacing w:line="440" w:lineRule="exact"/>
        <w:jc w:val="left"/>
        <w:rPr>
          <w:sz w:val="24"/>
        </w:rPr>
      </w:pPr>
      <w:r>
        <w:rPr>
          <w:sz w:val="24"/>
        </w:rPr>
        <w:t>十二、国有资本经营预算财政拨款支出决算表</w:t>
      </w:r>
      <w:r>
        <w:ptab w:relativeTo="margin" w:alignment="right" w:leader="dot"/>
      </w:r>
      <w:r>
        <w:rPr>
          <w:rFonts w:hint="eastAsia"/>
        </w:rPr>
        <w:t>77</w:t>
      </w:r>
    </w:p>
    <w:p w14:paraId="6AA282AE">
      <w:pPr>
        <w:pStyle w:val="14"/>
        <w:adjustRightInd w:val="0"/>
        <w:snapToGrid w:val="0"/>
        <w:spacing w:line="440" w:lineRule="exact"/>
        <w:jc w:val="left"/>
        <w:rPr>
          <w:rFonts w:eastAsiaTheme="minorEastAsia"/>
          <w:sz w:val="24"/>
        </w:rPr>
      </w:pPr>
      <w:r>
        <w:rPr>
          <w:sz w:val="24"/>
        </w:rPr>
        <w:t>十三、财政拨款“三公”经费支出决算表</w:t>
      </w:r>
      <w:r>
        <w:ptab w:relativeTo="margin" w:alignment="right" w:leader="dot"/>
      </w:r>
      <w:r>
        <w:rPr>
          <w:rFonts w:hint="eastAsia"/>
        </w:rPr>
        <w:t>78</w:t>
      </w:r>
    </w:p>
    <w:p w14:paraId="5AA3796A">
      <w:pPr>
        <w:jc w:val="center"/>
        <w:rPr>
          <w:rFonts w:ascii="黑体" w:hAnsi="黑体" w:eastAsia="黑体"/>
          <w:bCs/>
          <w:sz w:val="44"/>
          <w:szCs w:val="44"/>
        </w:rPr>
        <w:sectPr>
          <w:footerReference r:id="rId6" w:type="first"/>
          <w:footerReference r:id="rId5" w:type="default"/>
          <w:pgSz w:w="11906" w:h="16838"/>
          <w:pgMar w:top="1440" w:right="1800" w:bottom="1440" w:left="1800" w:header="851" w:footer="992" w:gutter="0"/>
          <w:pgNumType w:start="1"/>
          <w:cols w:space="425" w:num="1"/>
          <w:docGrid w:type="lines" w:linePitch="312" w:charSpace="0"/>
        </w:sectPr>
      </w:pPr>
      <w:bookmarkStart w:id="12" w:name="_Toc15396599"/>
      <w:bookmarkStart w:id="13" w:name="_Toc15377196"/>
    </w:p>
    <w:p w14:paraId="0662B48B">
      <w:pPr>
        <w:jc w:val="center"/>
        <w:rPr>
          <w:rFonts w:ascii="黑体" w:hAnsi="黑体" w:eastAsia="黑体"/>
          <w:bCs/>
          <w:sz w:val="44"/>
          <w:szCs w:val="44"/>
        </w:rPr>
      </w:pPr>
      <w:r>
        <w:rPr>
          <w:rFonts w:hint="eastAsia" w:ascii="黑体" w:hAnsi="黑体" w:eastAsia="黑体"/>
          <w:bCs/>
          <w:sz w:val="44"/>
          <w:szCs w:val="44"/>
        </w:rPr>
        <w:t>第一部分 部门概况</w:t>
      </w:r>
      <w:bookmarkEnd w:id="12"/>
      <w:bookmarkEnd w:id="13"/>
    </w:p>
    <w:p w14:paraId="57A620EE">
      <w:pPr>
        <w:widowControl/>
        <w:jc w:val="left"/>
        <w:rPr>
          <w:rFonts w:ascii="黑体" w:eastAsia="黑体"/>
          <w:sz w:val="32"/>
          <w:szCs w:val="32"/>
        </w:rPr>
      </w:pPr>
    </w:p>
    <w:p w14:paraId="5D2FB7F6">
      <w:pPr>
        <w:widowControl/>
        <w:spacing w:line="440" w:lineRule="exact"/>
        <w:ind w:firstLine="640" w:firstLineChars="200"/>
        <w:jc w:val="left"/>
        <w:rPr>
          <w:rStyle w:val="30"/>
          <w:rFonts w:ascii="黑体" w:hAnsi="黑体" w:eastAsia="黑体"/>
          <w:b w:val="0"/>
          <w:bCs w:val="0"/>
        </w:rPr>
      </w:pPr>
      <w:bookmarkStart w:id="14" w:name="_Toc15396601"/>
      <w:bookmarkStart w:id="15" w:name="_Toc15377200"/>
      <w:r>
        <w:rPr>
          <w:rStyle w:val="30"/>
          <w:rFonts w:hint="eastAsia" w:ascii="黑体" w:hAnsi="黑体" w:eastAsia="黑体"/>
          <w:b w:val="0"/>
          <w:bCs w:val="0"/>
        </w:rPr>
        <w:t>一、部门职责</w:t>
      </w:r>
    </w:p>
    <w:p w14:paraId="53A5B1F9">
      <w:pPr>
        <w:spacing w:line="600" w:lineRule="exact"/>
        <w:ind w:firstLine="640" w:firstLineChars="200"/>
        <w:outlineLvl w:val="2"/>
        <w:rPr>
          <w:rFonts w:ascii="方正楷体_GBK" w:hAnsi="方正楷体_GBK" w:eastAsia="方正楷体_GBK" w:cs="方正楷体_GBK"/>
          <w:bCs/>
          <w:sz w:val="32"/>
          <w:szCs w:val="32"/>
        </w:rPr>
      </w:pPr>
      <w:bookmarkStart w:id="16" w:name="_Toc15378445"/>
      <w:bookmarkStart w:id="17" w:name="_Toc15377198"/>
      <w:r>
        <w:rPr>
          <w:rFonts w:hint="eastAsia" w:ascii="方正楷体_GBK" w:hAnsi="方正楷体_GBK" w:eastAsia="方正楷体_GBK" w:cs="方正楷体_GBK"/>
          <w:bCs/>
          <w:sz w:val="32"/>
          <w:szCs w:val="32"/>
        </w:rPr>
        <w:t>（一）主要职能。</w:t>
      </w:r>
      <w:bookmarkEnd w:id="16"/>
      <w:bookmarkEnd w:id="17"/>
    </w:p>
    <w:p w14:paraId="37DC3806">
      <w:pPr>
        <w:snapToGrid w:val="0"/>
        <w:spacing w:line="520" w:lineRule="exact"/>
        <w:ind w:firstLine="640" w:firstLineChars="200"/>
        <w:rPr>
          <w:rFonts w:eastAsia="仿宋_GB2312"/>
          <w:bCs/>
          <w:kern w:val="0"/>
          <w:sz w:val="32"/>
          <w:szCs w:val="32"/>
        </w:rPr>
      </w:pPr>
      <w:r>
        <w:rPr>
          <w:rFonts w:eastAsia="仿宋_GB2312"/>
          <w:bCs/>
          <w:kern w:val="0"/>
          <w:sz w:val="32"/>
          <w:szCs w:val="32"/>
        </w:rPr>
        <w:t>为农业、农村、农民提供综合服务。对公司基层社进行指导、协调、监督、服务工作，对重要农业生产资料及其他商品经营进行组织、协调、管理，对社有资产进行中短期投资。</w:t>
      </w:r>
    </w:p>
    <w:p w14:paraId="6D04C525">
      <w:pPr>
        <w:spacing w:line="600" w:lineRule="exact"/>
        <w:ind w:firstLine="640" w:firstLineChars="200"/>
        <w:outlineLvl w:val="2"/>
        <w:rPr>
          <w:rFonts w:ascii="方正楷体_GBK" w:hAnsi="方正楷体_GBK" w:eastAsia="方正楷体_GBK" w:cs="方正楷体_GBK"/>
          <w:bCs/>
          <w:sz w:val="32"/>
          <w:szCs w:val="32"/>
        </w:rPr>
      </w:pPr>
      <w:r>
        <w:rPr>
          <w:rFonts w:hint="eastAsia" w:ascii="方正楷体_GBK" w:hAnsi="方正楷体_GBK" w:eastAsia="方正楷体_GBK" w:cs="方正楷体_GBK"/>
          <w:bCs/>
          <w:sz w:val="32"/>
          <w:szCs w:val="32"/>
        </w:rPr>
        <w:t>（二）2022年重点工作完成情况。</w:t>
      </w:r>
    </w:p>
    <w:p w14:paraId="4592CC65">
      <w:pPr>
        <w:spacing w:line="560" w:lineRule="exact"/>
        <w:ind w:firstLine="640" w:firstLineChars="200"/>
        <w:rPr>
          <w:rFonts w:eastAsia="仿宋_GB2312"/>
          <w:color w:val="000000"/>
          <w:sz w:val="32"/>
          <w:szCs w:val="32"/>
        </w:rPr>
      </w:pPr>
      <w:r>
        <w:rPr>
          <w:rFonts w:eastAsia="仿宋_GB2312"/>
          <w:color w:val="000000"/>
          <w:sz w:val="32"/>
          <w:szCs w:val="32"/>
        </w:rPr>
        <w:t>认真落实省委、省政府两项改革“后半篇”文章，按照攀枝花市供销社《关于加强基层供销社建设工作方案的任务》要求，进一步建强、建优、建好基层供销社，推进基层治理制度创新和能力建设，持续深化供销社综合改革，高度重视基层示范社经营能力提升和作用发挥，提升基层供销社服务“三农”质量、功能和水平，完善综合服务平台，发展壮大村级集体经济，助推乡村振兴。2022年，完成创建4个基层示范供销社和新建区域为农服务中心1个目标任务，培育建成三星级农村综合服务社6个，四星级农村综合服务社4个。已按照建设标准和内容全面完成。示范社经营服务功能逐渐齐全，逐步开始运营产生效益，股份分红和交易返利相结合的分配机制等各项管理制度逐渐健全，进一步完善体制机制，优化服务职能，助力乡村振兴。</w:t>
      </w:r>
    </w:p>
    <w:p w14:paraId="365B6D62">
      <w:pPr>
        <w:pStyle w:val="6"/>
        <w:spacing w:before="93"/>
        <w:rPr>
          <w:rFonts w:ascii="Times New Roman"/>
        </w:rPr>
      </w:pPr>
    </w:p>
    <w:p w14:paraId="5C476BA8">
      <w:pPr>
        <w:pStyle w:val="6"/>
        <w:spacing w:before="93"/>
        <w:rPr>
          <w:rFonts w:ascii="Times New Roman"/>
        </w:rPr>
      </w:pPr>
    </w:p>
    <w:p w14:paraId="731D861B">
      <w:pPr>
        <w:widowControl/>
        <w:spacing w:line="440" w:lineRule="exact"/>
        <w:ind w:firstLine="640" w:firstLineChars="200"/>
        <w:jc w:val="left"/>
        <w:rPr>
          <w:rStyle w:val="30"/>
          <w:rFonts w:ascii="Times New Roman" w:hAnsi="Times New Roman" w:eastAsia="黑体" w:cs="Times New Roman"/>
          <w:b w:val="0"/>
          <w:bCs w:val="0"/>
        </w:rPr>
      </w:pPr>
      <w:r>
        <w:rPr>
          <w:rStyle w:val="30"/>
          <w:rFonts w:ascii="Times New Roman" w:hAnsi="Times New Roman" w:eastAsia="黑体" w:cs="Times New Roman"/>
          <w:b w:val="0"/>
          <w:bCs w:val="0"/>
        </w:rPr>
        <w:t>二、机构设置</w:t>
      </w:r>
      <w:bookmarkEnd w:id="14"/>
      <w:bookmarkEnd w:id="15"/>
    </w:p>
    <w:p w14:paraId="6D0E6230">
      <w:pPr>
        <w:spacing w:line="560" w:lineRule="exact"/>
        <w:ind w:firstLine="640" w:firstLineChars="200"/>
        <w:rPr>
          <w:rFonts w:eastAsia="仿宋_GB2312"/>
          <w:color w:val="000000"/>
          <w:sz w:val="32"/>
          <w:szCs w:val="32"/>
        </w:rPr>
      </w:pPr>
      <w:r>
        <w:rPr>
          <w:rFonts w:eastAsia="仿宋_GB2312"/>
          <w:color w:val="000000"/>
          <w:sz w:val="32"/>
          <w:szCs w:val="32"/>
        </w:rPr>
        <w:t>盐边县供销社为参公管理的事业单位，下属二级预算单位0个，其中行政单位0个，参照公务员法管理的事业单位0个，其他事业单位0个。</w:t>
      </w:r>
    </w:p>
    <w:p w14:paraId="072BEABA">
      <w:pPr>
        <w:widowControl/>
        <w:jc w:val="left"/>
        <w:rPr>
          <w:rFonts w:ascii="仿宋" w:hAnsi="仿宋" w:eastAsia="仿宋"/>
          <w:kern w:val="0"/>
          <w:sz w:val="32"/>
          <w:szCs w:val="32"/>
        </w:rPr>
      </w:pPr>
      <w:r>
        <w:rPr>
          <w:rFonts w:ascii="仿宋" w:hAnsi="仿宋" w:eastAsia="仿宋"/>
          <w:sz w:val="32"/>
          <w:szCs w:val="32"/>
        </w:rPr>
        <w:br w:type="page"/>
      </w:r>
    </w:p>
    <w:p w14:paraId="21E9929F">
      <w:pPr>
        <w:jc w:val="center"/>
        <w:rPr>
          <w:rStyle w:val="29"/>
          <w:rFonts w:eastAsia="黑体"/>
          <w:b w:val="0"/>
          <w:bCs w:val="0"/>
        </w:rPr>
      </w:pPr>
      <w:bookmarkStart w:id="18" w:name="_Toc15396602"/>
      <w:bookmarkStart w:id="19" w:name="_Toc15377204"/>
      <w:r>
        <w:rPr>
          <w:rStyle w:val="29"/>
          <w:rFonts w:eastAsia="黑体"/>
          <w:b w:val="0"/>
          <w:bCs w:val="0"/>
        </w:rPr>
        <w:t>第二部分 2022年度部门决算情况说明</w:t>
      </w:r>
      <w:bookmarkEnd w:id="18"/>
      <w:bookmarkEnd w:id="19"/>
    </w:p>
    <w:p w14:paraId="394D1B95"/>
    <w:p w14:paraId="2087AEC7">
      <w:pPr>
        <w:pStyle w:val="28"/>
        <w:numPr>
          <w:ilvl w:val="0"/>
          <w:numId w:val="1"/>
        </w:numPr>
        <w:spacing w:line="600" w:lineRule="exact"/>
        <w:ind w:firstLineChars="0"/>
        <w:outlineLvl w:val="1"/>
        <w:rPr>
          <w:rStyle w:val="30"/>
          <w:rFonts w:ascii="Times New Roman" w:hAnsi="Times New Roman" w:eastAsia="黑体" w:cs="Times New Roman"/>
          <w:b w:val="0"/>
        </w:rPr>
      </w:pPr>
      <w:bookmarkStart w:id="20" w:name="_Toc15377205"/>
      <w:bookmarkStart w:id="21" w:name="_Toc15396603"/>
      <w:r>
        <w:rPr>
          <w:rFonts w:eastAsia="黑体"/>
          <w:sz w:val="32"/>
          <w:szCs w:val="32"/>
        </w:rPr>
        <w:t>收</w:t>
      </w:r>
      <w:r>
        <w:rPr>
          <w:rStyle w:val="30"/>
          <w:rFonts w:ascii="Times New Roman" w:hAnsi="Times New Roman" w:eastAsia="黑体" w:cs="Times New Roman"/>
          <w:b w:val="0"/>
        </w:rPr>
        <w:t>入支出决算总体情况说明</w:t>
      </w:r>
      <w:bookmarkEnd w:id="20"/>
      <w:bookmarkEnd w:id="21"/>
    </w:p>
    <w:p w14:paraId="3F1F6C97">
      <w:pPr>
        <w:ind w:firstLine="709"/>
        <w:rPr>
          <w:rFonts w:eastAsia="仿宋_GB2312"/>
          <w:spacing w:val="6"/>
          <w:sz w:val="32"/>
          <w:szCs w:val="32"/>
        </w:rPr>
      </w:pPr>
      <w:r>
        <w:rPr>
          <w:rFonts w:eastAsia="仿宋_GB2312"/>
          <w:sz w:val="32"/>
          <w:szCs w:val="32"/>
        </w:rPr>
        <w:t>2022年度收、支总计230.63万元。与2021年相比，收、支总计各增加13.59万元，增长6.26%。主要变动原因是2021年收入只有一般公共预算财政拨款收入，2022年收入除了一般公共预算财政拨款收入外，增加了市财政局</w:t>
      </w:r>
      <w:r>
        <w:rPr>
          <w:rFonts w:eastAsia="仿宋_GB2312"/>
          <w:spacing w:val="6"/>
          <w:sz w:val="32"/>
          <w:szCs w:val="32"/>
        </w:rPr>
        <w:t>通过县财政局拨付给我单位的2021年省级综改资金和市级配套资金30万的其他收入。在2022年，</w:t>
      </w:r>
      <w:r>
        <w:rPr>
          <w:rFonts w:eastAsia="仿宋_GB2312"/>
          <w:sz w:val="32"/>
          <w:szCs w:val="32"/>
        </w:rPr>
        <w:t>我单位</w:t>
      </w:r>
      <w:r>
        <w:rPr>
          <w:rFonts w:eastAsia="仿宋_GB2312"/>
          <w:bCs/>
          <w:color w:val="000000"/>
          <w:sz w:val="32"/>
          <w:szCs w:val="32"/>
        </w:rPr>
        <w:t>进一步建强、建优、建好基层供销社，推进基层治理制度创新和能力建设，</w:t>
      </w:r>
      <w:r>
        <w:rPr>
          <w:rFonts w:eastAsia="仿宋_GB2312"/>
          <w:sz w:val="32"/>
          <w:szCs w:val="32"/>
        </w:rPr>
        <w:t>持续深化供销社综合改革，高度重视基层示范社经营能力提升和作用发挥，提升基层供销社服务“三农”质量、功能和水平，完善综合服务平台，发展壮大村级集体经济，</w:t>
      </w:r>
      <w:r>
        <w:rPr>
          <w:rFonts w:eastAsia="仿宋_GB2312"/>
          <w:bCs/>
          <w:color w:val="000000"/>
          <w:sz w:val="32"/>
          <w:szCs w:val="32"/>
        </w:rPr>
        <w:t>助推乡村振兴</w:t>
      </w:r>
      <w:r>
        <w:rPr>
          <w:rFonts w:eastAsia="仿宋_GB2312"/>
          <w:sz w:val="32"/>
          <w:szCs w:val="32"/>
        </w:rPr>
        <w:t>，所以我单位2022年的基层社建设项目资金相比2021年增多。</w:t>
      </w:r>
    </w:p>
    <w:p w14:paraId="59C000D9">
      <w:pPr>
        <w:ind w:firstLine="709"/>
        <w:jc w:val="center"/>
        <w:rPr>
          <w:rFonts w:eastAsia="仿宋_GB2312"/>
          <w:sz w:val="32"/>
          <w:szCs w:val="32"/>
        </w:rPr>
      </w:pPr>
      <w:r>
        <w:rPr>
          <w:rFonts w:eastAsia="仿宋_GB2312"/>
          <w:sz w:val="32"/>
          <w:szCs w:val="32"/>
        </w:rPr>
        <w:t>（图1：收、支决算总计变动情况图）</w:t>
      </w:r>
    </w:p>
    <w:p w14:paraId="12FAA795">
      <w:pPr>
        <w:pStyle w:val="6"/>
        <w:spacing w:before="93"/>
        <w:rPr>
          <w:rFonts w:ascii="Times New Roman"/>
        </w:rPr>
      </w:pPr>
      <w:r>
        <w:rPr>
          <w:rFonts w:ascii="Times New Roman" w:eastAsia="仿宋"/>
          <w:sz w:val="32"/>
          <w:szCs w:val="32"/>
        </w:rPr>
        <w:drawing>
          <wp:anchor distT="0" distB="0" distL="114300" distR="114300" simplePos="0" relativeHeight="251659264" behindDoc="1" locked="0" layoutInCell="1" allowOverlap="1">
            <wp:simplePos x="0" y="0"/>
            <wp:positionH relativeFrom="column">
              <wp:posOffset>395605</wp:posOffset>
            </wp:positionH>
            <wp:positionV relativeFrom="paragraph">
              <wp:posOffset>358140</wp:posOffset>
            </wp:positionV>
            <wp:extent cx="4826635" cy="1804670"/>
            <wp:effectExtent l="4445" t="5080" r="58420" b="15875"/>
            <wp:wrapTight wrapText="bothSides">
              <wp:wrapPolygon>
                <wp:start x="-20" y="-61"/>
                <wp:lineTo x="-20" y="21410"/>
                <wp:lineTo x="21506" y="21410"/>
                <wp:lineTo x="21506" y="-61"/>
                <wp:lineTo x="-20" y="-61"/>
              </wp:wrapPolygon>
            </wp:wrapTight>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18978225">
      <w:pPr>
        <w:pStyle w:val="6"/>
        <w:spacing w:before="93"/>
        <w:rPr>
          <w:rFonts w:ascii="Times New Roman"/>
        </w:rPr>
      </w:pPr>
    </w:p>
    <w:p w14:paraId="369C22C7">
      <w:pPr>
        <w:pStyle w:val="6"/>
        <w:spacing w:before="93"/>
        <w:rPr>
          <w:rFonts w:ascii="Times New Roman"/>
        </w:rPr>
      </w:pPr>
    </w:p>
    <w:p w14:paraId="451DABBC">
      <w:pPr>
        <w:pStyle w:val="6"/>
        <w:spacing w:before="93"/>
        <w:rPr>
          <w:rFonts w:ascii="Times New Roman" w:eastAsia="仿宋"/>
          <w:sz w:val="32"/>
          <w:szCs w:val="32"/>
        </w:rPr>
      </w:pPr>
    </w:p>
    <w:p w14:paraId="476C800C">
      <w:pPr>
        <w:pStyle w:val="6"/>
        <w:spacing w:before="93"/>
        <w:rPr>
          <w:rFonts w:ascii="Times New Roman" w:eastAsia="仿宋"/>
          <w:sz w:val="32"/>
          <w:szCs w:val="32"/>
        </w:rPr>
      </w:pPr>
    </w:p>
    <w:p w14:paraId="25150001">
      <w:pPr>
        <w:pStyle w:val="6"/>
        <w:spacing w:before="93"/>
        <w:rPr>
          <w:rFonts w:ascii="Times New Roman" w:eastAsia="仿宋"/>
          <w:sz w:val="32"/>
          <w:szCs w:val="32"/>
        </w:rPr>
      </w:pPr>
    </w:p>
    <w:p w14:paraId="12289468">
      <w:pPr>
        <w:pStyle w:val="28"/>
        <w:numPr>
          <w:ilvl w:val="0"/>
          <w:numId w:val="1"/>
        </w:numPr>
        <w:spacing w:line="600" w:lineRule="exact"/>
        <w:ind w:firstLineChars="0"/>
        <w:outlineLvl w:val="1"/>
        <w:rPr>
          <w:rStyle w:val="30"/>
          <w:rFonts w:ascii="Times New Roman" w:hAnsi="Times New Roman" w:eastAsia="黑体" w:cs="Times New Roman"/>
          <w:b w:val="0"/>
        </w:rPr>
      </w:pPr>
      <w:bookmarkStart w:id="22" w:name="_Toc15396604"/>
      <w:bookmarkStart w:id="23" w:name="_Toc15377206"/>
      <w:r>
        <w:rPr>
          <w:rFonts w:eastAsia="黑体"/>
          <w:sz w:val="32"/>
          <w:szCs w:val="32"/>
        </w:rPr>
        <w:t>收</w:t>
      </w:r>
      <w:r>
        <w:rPr>
          <w:rStyle w:val="30"/>
          <w:rFonts w:ascii="Times New Roman" w:hAnsi="Times New Roman" w:eastAsia="黑体" w:cs="Times New Roman"/>
          <w:b w:val="0"/>
        </w:rPr>
        <w:t>入决算情况说明</w:t>
      </w:r>
      <w:bookmarkEnd w:id="22"/>
      <w:bookmarkEnd w:id="23"/>
    </w:p>
    <w:p w14:paraId="51BFD753">
      <w:pPr>
        <w:ind w:firstLine="709"/>
        <w:rPr>
          <w:rFonts w:eastAsia="仿宋_GB2312"/>
          <w:sz w:val="32"/>
          <w:szCs w:val="32"/>
        </w:rPr>
      </w:pPr>
      <w:r>
        <w:rPr>
          <w:rFonts w:eastAsia="仿宋_GB2312"/>
          <w:sz w:val="32"/>
          <w:szCs w:val="32"/>
        </w:rPr>
        <w:t>2022年本年收入合计230.63万元，其中：一般公共预算财政拨款收入200.63万元，占86.99%；政府性基金预算财政拨款收入0万元，占0%；国有资本经营预算财政拨款收入0万元，占0%；上级补助收入0万元，占0%；事业收入0万元，占0%；经营收入0万元，占0%；附属单位上缴收入0万元，占0%；其他收入30万元，占13.01%。</w:t>
      </w:r>
    </w:p>
    <w:p w14:paraId="11F2EEEA">
      <w:pPr>
        <w:ind w:firstLine="709"/>
        <w:jc w:val="center"/>
        <w:rPr>
          <w:rFonts w:eastAsia="仿宋_GB2312"/>
          <w:sz w:val="32"/>
          <w:szCs w:val="32"/>
        </w:rPr>
      </w:pPr>
      <w:r>
        <w:rPr>
          <w:rFonts w:eastAsia="仿宋_GB2312"/>
          <w:sz w:val="32"/>
          <w:szCs w:val="32"/>
        </w:rPr>
        <w:t>（图2：收入决算结构图）</w:t>
      </w:r>
    </w:p>
    <w:p w14:paraId="0317CDF4">
      <w:pPr>
        <w:pStyle w:val="6"/>
        <w:spacing w:before="93"/>
        <w:rPr>
          <w:rStyle w:val="30"/>
          <w:rFonts w:ascii="Times New Roman" w:hAnsi="Times New Roman" w:eastAsia="黑体" w:cs="Times New Roman"/>
          <w:b w:val="0"/>
        </w:rPr>
      </w:pPr>
      <w:r>
        <w:rPr>
          <w:rFonts w:ascii="Times New Roman" w:eastAsia="仿宋"/>
          <w:sz w:val="32"/>
          <w:szCs w:val="32"/>
        </w:rPr>
        <w:drawing>
          <wp:anchor distT="0" distB="0" distL="114300" distR="114300" simplePos="0" relativeHeight="251660288" behindDoc="1" locked="0" layoutInCell="1" allowOverlap="1">
            <wp:simplePos x="0" y="0"/>
            <wp:positionH relativeFrom="column">
              <wp:posOffset>107950</wp:posOffset>
            </wp:positionH>
            <wp:positionV relativeFrom="paragraph">
              <wp:posOffset>203200</wp:posOffset>
            </wp:positionV>
            <wp:extent cx="5080000" cy="2070735"/>
            <wp:effectExtent l="19050" t="0" r="25400" b="5715"/>
            <wp:wrapTight wrapText="bothSides">
              <wp:wrapPolygon>
                <wp:start x="-81" y="0"/>
                <wp:lineTo x="-81" y="21660"/>
                <wp:lineTo x="21708" y="21660"/>
                <wp:lineTo x="21708" y="0"/>
                <wp:lineTo x="-81" y="0"/>
              </wp:wrapPolygon>
            </wp:wrapTight>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bookmarkStart w:id="24" w:name="_Toc15377207"/>
      <w:bookmarkStart w:id="25" w:name="_Toc15396605"/>
      <w:r>
        <w:rPr>
          <w:rFonts w:ascii="Times New Roman" w:eastAsia="黑体"/>
          <w:sz w:val="32"/>
          <w:szCs w:val="32"/>
        </w:rPr>
        <w:t xml:space="preserve">    三、支</w:t>
      </w:r>
      <w:r>
        <w:rPr>
          <w:rStyle w:val="30"/>
          <w:rFonts w:ascii="Times New Roman" w:hAnsi="Times New Roman" w:eastAsia="黑体" w:cs="Times New Roman"/>
          <w:b w:val="0"/>
        </w:rPr>
        <w:t>出决算情况说明</w:t>
      </w:r>
      <w:bookmarkEnd w:id="24"/>
      <w:bookmarkEnd w:id="25"/>
    </w:p>
    <w:p w14:paraId="41EB6DFF">
      <w:pPr>
        <w:ind w:firstLine="709"/>
        <w:rPr>
          <w:rFonts w:eastAsia="仿宋_GB2312"/>
          <w:sz w:val="32"/>
          <w:szCs w:val="32"/>
        </w:rPr>
      </w:pPr>
      <w:r>
        <w:rPr>
          <w:rFonts w:eastAsia="仿宋_GB2312"/>
          <w:sz w:val="32"/>
          <w:szCs w:val="32"/>
        </w:rPr>
        <w:t>2022年本年支出合计230.63万元，其中：基本支出192.63万元，占83.52%；项目支出38万元，占16.48%；上缴上级支出0万元，占0%；经营支出0万元，占0%；对附属单位补助支出0万元，占0%。</w:t>
      </w:r>
    </w:p>
    <w:p w14:paraId="3DCAE57E">
      <w:pPr>
        <w:spacing w:line="600" w:lineRule="exact"/>
        <w:ind w:firstLine="640"/>
        <w:rPr>
          <w:rFonts w:eastAsia="仿宋"/>
          <w:sz w:val="32"/>
          <w:szCs w:val="32"/>
          <w:shd w:val="pct10" w:color="auto" w:fill="FFFFFF"/>
        </w:rPr>
      </w:pPr>
    </w:p>
    <w:p w14:paraId="4F79E1A4">
      <w:pPr>
        <w:pStyle w:val="6"/>
        <w:spacing w:before="93"/>
        <w:rPr>
          <w:rFonts w:ascii="Times New Roman"/>
        </w:rPr>
      </w:pPr>
    </w:p>
    <w:p w14:paraId="5E760EB2">
      <w:pPr>
        <w:ind w:firstLine="709"/>
        <w:jc w:val="center"/>
        <w:rPr>
          <w:rFonts w:eastAsia="仿宋_GB2312"/>
          <w:sz w:val="32"/>
          <w:szCs w:val="32"/>
        </w:rPr>
      </w:pPr>
    </w:p>
    <w:p w14:paraId="1B32F238">
      <w:pPr>
        <w:ind w:firstLine="709"/>
        <w:jc w:val="center"/>
        <w:rPr>
          <w:rFonts w:eastAsia="仿宋_GB2312"/>
          <w:sz w:val="32"/>
          <w:szCs w:val="32"/>
        </w:rPr>
      </w:pPr>
    </w:p>
    <w:p w14:paraId="0A625922">
      <w:pPr>
        <w:ind w:firstLine="709"/>
        <w:jc w:val="center"/>
        <w:rPr>
          <w:rFonts w:eastAsia="仿宋_GB2312"/>
          <w:sz w:val="32"/>
          <w:szCs w:val="32"/>
        </w:rPr>
      </w:pPr>
      <w:r>
        <w:rPr>
          <w:rFonts w:eastAsia="仿宋_GB2312"/>
          <w:sz w:val="32"/>
          <w:szCs w:val="32"/>
        </w:rPr>
        <w:t>（图3：支出决算结构图）</w:t>
      </w:r>
    </w:p>
    <w:p w14:paraId="2C8009DC">
      <w:pPr>
        <w:pStyle w:val="6"/>
        <w:spacing w:before="93"/>
        <w:rPr>
          <w:rStyle w:val="30"/>
          <w:rFonts w:ascii="Times New Roman" w:hAnsi="Times New Roman" w:eastAsia="黑体" w:cs="Times New Roman"/>
          <w:b w:val="0"/>
        </w:rPr>
      </w:pPr>
      <w:r>
        <w:rPr>
          <w:rFonts w:ascii="Times New Roman" w:eastAsia="仿宋"/>
          <w:sz w:val="32"/>
          <w:szCs w:val="32"/>
        </w:rPr>
        <w:drawing>
          <wp:anchor distT="0" distB="0" distL="114300" distR="114300" simplePos="0" relativeHeight="251661312" behindDoc="1" locked="0" layoutInCell="1" allowOverlap="1">
            <wp:simplePos x="0" y="0"/>
            <wp:positionH relativeFrom="column">
              <wp:posOffset>70485</wp:posOffset>
            </wp:positionH>
            <wp:positionV relativeFrom="paragraph">
              <wp:posOffset>203835</wp:posOffset>
            </wp:positionV>
            <wp:extent cx="5080000" cy="1979295"/>
            <wp:effectExtent l="4445" t="4445" r="5715" b="12700"/>
            <wp:wrapTight wrapText="bothSides">
              <wp:wrapPolygon>
                <wp:start x="-19" y="-49"/>
                <wp:lineTo x="-19" y="21572"/>
                <wp:lineTo x="21560" y="21572"/>
                <wp:lineTo x="21560" y="-49"/>
                <wp:lineTo x="-19" y="-49"/>
              </wp:wrapPolygon>
            </wp:wrapTight>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bookmarkStart w:id="26" w:name="_Toc15377208"/>
      <w:bookmarkStart w:id="27" w:name="_Toc15396606"/>
      <w:r>
        <w:rPr>
          <w:rFonts w:hint="eastAsia" w:ascii="Times New Roman" w:eastAsia="黑体"/>
          <w:sz w:val="32"/>
          <w:szCs w:val="32"/>
        </w:rPr>
        <w:t>　　</w:t>
      </w:r>
      <w:r>
        <w:rPr>
          <w:rFonts w:ascii="Times New Roman" w:eastAsia="黑体"/>
          <w:sz w:val="32"/>
          <w:szCs w:val="32"/>
        </w:rPr>
        <w:t>四、财</w:t>
      </w:r>
      <w:r>
        <w:rPr>
          <w:rStyle w:val="30"/>
          <w:rFonts w:ascii="Times New Roman" w:hAnsi="Times New Roman" w:eastAsia="黑体" w:cs="Times New Roman"/>
          <w:b w:val="0"/>
        </w:rPr>
        <w:t>政拨款收入支出决算总体情况说明</w:t>
      </w:r>
      <w:bookmarkEnd w:id="26"/>
      <w:bookmarkEnd w:id="27"/>
    </w:p>
    <w:p w14:paraId="1EF56534">
      <w:pPr>
        <w:ind w:firstLine="709"/>
        <w:jc w:val="left"/>
        <w:rPr>
          <w:rFonts w:eastAsia="仿宋_GB2312"/>
          <w:sz w:val="32"/>
          <w:szCs w:val="32"/>
        </w:rPr>
      </w:pPr>
      <w:r>
        <w:rPr>
          <w:rFonts w:eastAsia="仿宋_GB2312"/>
          <w:sz w:val="32"/>
          <w:szCs w:val="32"/>
        </w:rPr>
        <w:t>2022年财政拨款收、支总计200.63万元。与2021年相比，财政拨款收、支总计各减少16.41万元，下降7.56%。主要变动原因是2022年社会保障和就业支出减少多。</w:t>
      </w:r>
    </w:p>
    <w:p w14:paraId="04A41B80">
      <w:pPr>
        <w:ind w:firstLine="709"/>
        <w:jc w:val="center"/>
        <w:rPr>
          <w:rFonts w:eastAsia="仿宋_GB2312"/>
          <w:sz w:val="32"/>
          <w:szCs w:val="32"/>
        </w:rPr>
      </w:pPr>
      <w:r>
        <w:rPr>
          <w:rFonts w:eastAsia="仿宋_GB2312"/>
          <w:sz w:val="32"/>
          <w:szCs w:val="32"/>
        </w:rPr>
        <w:t>（图4：财政拨款收、支决算总计变动情况）</w:t>
      </w:r>
    </w:p>
    <w:p w14:paraId="32D7F07B">
      <w:pPr>
        <w:pStyle w:val="6"/>
        <w:spacing w:before="93"/>
        <w:rPr>
          <w:rFonts w:ascii="Times New Roman" w:eastAsia="仿宋"/>
          <w:sz w:val="32"/>
          <w:szCs w:val="32"/>
        </w:rPr>
      </w:pPr>
      <w:r>
        <w:rPr>
          <w:rFonts w:ascii="Times New Roman" w:eastAsia="仿宋"/>
          <w:sz w:val="32"/>
          <w:szCs w:val="32"/>
        </w:rPr>
        <w:drawing>
          <wp:anchor distT="0" distB="0" distL="114300" distR="114300" simplePos="0" relativeHeight="251662336" behindDoc="1" locked="0" layoutInCell="1" allowOverlap="1">
            <wp:simplePos x="0" y="0"/>
            <wp:positionH relativeFrom="column">
              <wp:posOffset>181610</wp:posOffset>
            </wp:positionH>
            <wp:positionV relativeFrom="paragraph">
              <wp:posOffset>237490</wp:posOffset>
            </wp:positionV>
            <wp:extent cx="4826635" cy="1804670"/>
            <wp:effectExtent l="4445" t="5080" r="10795" b="15875"/>
            <wp:wrapTight wrapText="bothSides">
              <wp:wrapPolygon>
                <wp:start x="-20" y="-61"/>
                <wp:lineTo x="-20" y="21410"/>
                <wp:lineTo x="21506" y="21410"/>
                <wp:lineTo x="21506" y="-61"/>
                <wp:lineTo x="-20" y="-61"/>
              </wp:wrapPolygon>
            </wp:wrapTight>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20A959D0">
      <w:pPr>
        <w:pStyle w:val="6"/>
        <w:spacing w:before="93"/>
        <w:rPr>
          <w:rFonts w:ascii="Times New Roman" w:eastAsia="仿宋"/>
          <w:sz w:val="32"/>
          <w:szCs w:val="32"/>
        </w:rPr>
      </w:pPr>
    </w:p>
    <w:p w14:paraId="57DDB53E">
      <w:pPr>
        <w:pStyle w:val="6"/>
        <w:spacing w:before="93"/>
        <w:rPr>
          <w:rFonts w:ascii="Times New Roman" w:eastAsia="仿宋"/>
          <w:sz w:val="32"/>
          <w:szCs w:val="32"/>
        </w:rPr>
      </w:pPr>
    </w:p>
    <w:p w14:paraId="42F49D1F">
      <w:pPr>
        <w:pStyle w:val="6"/>
        <w:spacing w:before="93"/>
        <w:rPr>
          <w:rFonts w:ascii="Times New Roman" w:eastAsia="仿宋"/>
          <w:sz w:val="32"/>
          <w:szCs w:val="32"/>
        </w:rPr>
      </w:pPr>
    </w:p>
    <w:p w14:paraId="35C69EB4">
      <w:pPr>
        <w:pStyle w:val="6"/>
        <w:spacing w:before="93"/>
        <w:rPr>
          <w:rFonts w:ascii="Times New Roman" w:eastAsia="仿宋"/>
          <w:sz w:val="32"/>
          <w:szCs w:val="32"/>
        </w:rPr>
      </w:pPr>
    </w:p>
    <w:p w14:paraId="05ECC9AF">
      <w:pPr>
        <w:spacing w:line="600" w:lineRule="exact"/>
        <w:ind w:firstLine="640" w:firstLineChars="200"/>
        <w:outlineLvl w:val="1"/>
        <w:rPr>
          <w:rFonts w:eastAsia="黑体"/>
          <w:kern w:val="0"/>
          <w:sz w:val="32"/>
          <w:szCs w:val="32"/>
        </w:rPr>
      </w:pPr>
      <w:bookmarkStart w:id="28" w:name="_Toc15377209"/>
      <w:bookmarkStart w:id="29" w:name="_Toc15396607"/>
      <w:r>
        <w:rPr>
          <w:rFonts w:eastAsia="黑体"/>
          <w:kern w:val="0"/>
          <w:sz w:val="32"/>
          <w:szCs w:val="32"/>
        </w:rPr>
        <w:t>五、一般公共预算财政拨款支出决算情况说明</w:t>
      </w:r>
      <w:bookmarkEnd w:id="28"/>
      <w:bookmarkEnd w:id="29"/>
    </w:p>
    <w:p w14:paraId="4776EA8D">
      <w:pPr>
        <w:spacing w:line="600" w:lineRule="exact"/>
        <w:ind w:firstLine="640" w:firstLineChars="200"/>
        <w:outlineLvl w:val="2"/>
        <w:rPr>
          <w:rFonts w:ascii="方正楷体_GBK" w:hAnsi="方正楷体_GBK" w:eastAsia="方正楷体_GBK" w:cs="方正楷体_GBK"/>
          <w:bCs/>
          <w:sz w:val="32"/>
          <w:szCs w:val="32"/>
        </w:rPr>
      </w:pPr>
      <w:bookmarkStart w:id="30" w:name="_Toc15377210"/>
      <w:r>
        <w:rPr>
          <w:rFonts w:hint="eastAsia" w:ascii="方正楷体_GBK" w:hAnsi="方正楷体_GBK" w:eastAsia="方正楷体_GBK" w:cs="方正楷体_GBK"/>
          <w:bCs/>
          <w:sz w:val="32"/>
          <w:szCs w:val="32"/>
        </w:rPr>
        <w:t>（一）一般公共预算财政拨款支出决算总体情况</w:t>
      </w:r>
      <w:bookmarkEnd w:id="30"/>
      <w:r>
        <w:rPr>
          <w:rFonts w:hint="eastAsia" w:ascii="方正楷体_GBK" w:hAnsi="方正楷体_GBK" w:eastAsia="方正楷体_GBK" w:cs="方正楷体_GBK"/>
          <w:bCs/>
          <w:sz w:val="32"/>
          <w:szCs w:val="32"/>
        </w:rPr>
        <w:t>。</w:t>
      </w:r>
    </w:p>
    <w:p w14:paraId="40D72DD7">
      <w:pPr>
        <w:ind w:firstLine="709"/>
        <w:jc w:val="left"/>
        <w:rPr>
          <w:rFonts w:eastAsia="仿宋_GB2312"/>
          <w:sz w:val="32"/>
          <w:szCs w:val="32"/>
        </w:rPr>
      </w:pPr>
      <w:r>
        <w:rPr>
          <w:rFonts w:eastAsia="仿宋_GB2312"/>
          <w:sz w:val="32"/>
          <w:szCs w:val="32"/>
        </w:rPr>
        <w:t>2022年一般公共预算财政拨款支出200.63万元，占本年支出合计的86.99%。与2021年相比，一般公共预算财政拨款支出减少16.41万元，下降7.56%。主要变动原因是2022年社会保障和就业支出减少多，相比2021年，没有死亡抚恤。</w:t>
      </w:r>
    </w:p>
    <w:p w14:paraId="5D7C6B7B">
      <w:pPr>
        <w:ind w:firstLine="709"/>
        <w:jc w:val="center"/>
        <w:rPr>
          <w:rFonts w:eastAsia="仿宋_GB2312"/>
          <w:sz w:val="32"/>
          <w:szCs w:val="32"/>
        </w:rPr>
      </w:pPr>
      <w:r>
        <w:rPr>
          <w:rFonts w:eastAsia="仿宋_GB2312"/>
          <w:sz w:val="32"/>
          <w:szCs w:val="32"/>
        </w:rPr>
        <w:t>（图5：一般公共预算财政拨款支出决算变动情况）</w:t>
      </w:r>
    </w:p>
    <w:p w14:paraId="4127E68E">
      <w:pPr>
        <w:pStyle w:val="6"/>
        <w:spacing w:before="93"/>
        <w:rPr>
          <w:rFonts w:ascii="Times New Roman" w:eastAsia="仿宋"/>
          <w:sz w:val="32"/>
          <w:szCs w:val="32"/>
        </w:rPr>
      </w:pPr>
      <w:r>
        <w:rPr>
          <w:rFonts w:ascii="Times New Roman" w:eastAsia="仿宋"/>
          <w:sz w:val="32"/>
          <w:szCs w:val="32"/>
        </w:rPr>
        <w:drawing>
          <wp:anchor distT="0" distB="0" distL="114300" distR="114300" simplePos="0" relativeHeight="251663360" behindDoc="1" locked="0" layoutInCell="1" allowOverlap="1">
            <wp:simplePos x="0" y="0"/>
            <wp:positionH relativeFrom="column">
              <wp:posOffset>244475</wp:posOffset>
            </wp:positionH>
            <wp:positionV relativeFrom="paragraph">
              <wp:posOffset>294005</wp:posOffset>
            </wp:positionV>
            <wp:extent cx="4826635" cy="1804670"/>
            <wp:effectExtent l="4445" t="5080" r="10795" b="15875"/>
            <wp:wrapTight wrapText="bothSides">
              <wp:wrapPolygon>
                <wp:start x="-20" y="-61"/>
                <wp:lineTo x="-20" y="21410"/>
                <wp:lineTo x="21506" y="21410"/>
                <wp:lineTo x="21506" y="-61"/>
                <wp:lineTo x="-20" y="-61"/>
              </wp:wrapPolygon>
            </wp:wrapTight>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14:paraId="760E06DC">
      <w:pPr>
        <w:pStyle w:val="6"/>
        <w:spacing w:before="93"/>
        <w:rPr>
          <w:rFonts w:ascii="Times New Roman" w:eastAsia="仿宋"/>
          <w:sz w:val="32"/>
          <w:szCs w:val="32"/>
        </w:rPr>
      </w:pPr>
    </w:p>
    <w:p w14:paraId="085BBAB5">
      <w:pPr>
        <w:pStyle w:val="6"/>
        <w:spacing w:before="93"/>
        <w:rPr>
          <w:rFonts w:ascii="Times New Roman" w:eastAsia="仿宋"/>
          <w:sz w:val="32"/>
          <w:szCs w:val="32"/>
        </w:rPr>
      </w:pPr>
    </w:p>
    <w:p w14:paraId="3E3A462D">
      <w:pPr>
        <w:pStyle w:val="6"/>
        <w:spacing w:before="93"/>
        <w:rPr>
          <w:rFonts w:ascii="Times New Roman" w:eastAsia="仿宋"/>
          <w:sz w:val="32"/>
          <w:szCs w:val="32"/>
        </w:rPr>
      </w:pPr>
    </w:p>
    <w:p w14:paraId="52E09364">
      <w:pPr>
        <w:pStyle w:val="6"/>
        <w:spacing w:before="93"/>
        <w:rPr>
          <w:rFonts w:ascii="Times New Roman" w:eastAsia="仿宋"/>
          <w:sz w:val="32"/>
          <w:szCs w:val="32"/>
        </w:rPr>
      </w:pPr>
    </w:p>
    <w:p w14:paraId="7A5A4DEE">
      <w:pPr>
        <w:spacing w:line="600" w:lineRule="exact"/>
        <w:ind w:firstLine="640" w:firstLineChars="200"/>
        <w:outlineLvl w:val="2"/>
        <w:rPr>
          <w:rFonts w:ascii="方正楷体_GBK" w:hAnsi="方正楷体_GBK" w:eastAsia="方正楷体_GBK" w:cs="方正楷体_GBK"/>
          <w:bCs/>
          <w:sz w:val="32"/>
          <w:szCs w:val="32"/>
        </w:rPr>
      </w:pPr>
      <w:bookmarkStart w:id="31" w:name="_Toc15377211"/>
      <w:r>
        <w:rPr>
          <w:rFonts w:hint="eastAsia" w:ascii="方正楷体_GBK" w:hAnsi="方正楷体_GBK" w:eastAsia="方正楷体_GBK" w:cs="方正楷体_GBK"/>
          <w:bCs/>
          <w:sz w:val="32"/>
          <w:szCs w:val="32"/>
        </w:rPr>
        <w:t>（二）一般公共预算财政拨款支出决算结构情况</w:t>
      </w:r>
      <w:bookmarkEnd w:id="31"/>
      <w:r>
        <w:rPr>
          <w:rFonts w:hint="eastAsia" w:ascii="方正楷体_GBK" w:hAnsi="方正楷体_GBK" w:eastAsia="方正楷体_GBK" w:cs="方正楷体_GBK"/>
          <w:bCs/>
          <w:sz w:val="32"/>
          <w:szCs w:val="32"/>
        </w:rPr>
        <w:t>。</w:t>
      </w:r>
    </w:p>
    <w:p w14:paraId="18DFB797">
      <w:pPr>
        <w:ind w:firstLine="709"/>
        <w:jc w:val="left"/>
        <w:rPr>
          <w:rFonts w:eastAsia="仿宋_GB2312"/>
          <w:sz w:val="32"/>
          <w:szCs w:val="32"/>
        </w:rPr>
      </w:pPr>
      <w:r>
        <w:rPr>
          <w:rFonts w:eastAsia="仿宋_GB2312"/>
          <w:sz w:val="32"/>
          <w:szCs w:val="32"/>
        </w:rPr>
        <w:t>2022年一般公共预算财政拨款支出200.63万元，主要用于以下方面:社会保障和就业（类）支出40.02万元，占19.95%；卫生健康（类）支出12.44万元，占6.20%；商业服务业等（类）支出135.36万元，占67.47%；住房保障（类）支出12.82万元，占6.38%。</w:t>
      </w:r>
    </w:p>
    <w:p w14:paraId="0F50138F">
      <w:pPr>
        <w:ind w:firstLine="709"/>
        <w:jc w:val="center"/>
        <w:rPr>
          <w:rFonts w:eastAsia="仿宋"/>
          <w:sz w:val="32"/>
          <w:szCs w:val="32"/>
        </w:rPr>
      </w:pPr>
      <w:r>
        <w:rPr>
          <w:rFonts w:eastAsia="仿宋_GB2312"/>
          <w:sz w:val="32"/>
          <w:szCs w:val="32"/>
        </w:rPr>
        <w:drawing>
          <wp:anchor distT="0" distB="0" distL="114300" distR="114300" simplePos="0" relativeHeight="251664384" behindDoc="1" locked="0" layoutInCell="1" allowOverlap="1">
            <wp:simplePos x="0" y="0"/>
            <wp:positionH relativeFrom="column">
              <wp:posOffset>251460</wp:posOffset>
            </wp:positionH>
            <wp:positionV relativeFrom="paragraph">
              <wp:posOffset>505460</wp:posOffset>
            </wp:positionV>
            <wp:extent cx="5080000" cy="2180590"/>
            <wp:effectExtent l="4445" t="4445" r="11430" b="69215"/>
            <wp:wrapTight wrapText="bothSides">
              <wp:wrapPolygon>
                <wp:start x="-19" y="-44"/>
                <wp:lineTo x="-19" y="21499"/>
                <wp:lineTo x="21514" y="21499"/>
                <wp:lineTo x="21514" y="-44"/>
                <wp:lineTo x="-19" y="-44"/>
              </wp:wrapPolygon>
            </wp:wrapTight>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eastAsia="仿宋_GB2312"/>
          <w:sz w:val="32"/>
          <w:szCs w:val="32"/>
        </w:rPr>
        <w:t>（图6：一般公共预算财政拨款支出决算结构）</w:t>
      </w:r>
    </w:p>
    <w:p w14:paraId="35FA539A">
      <w:pPr>
        <w:pStyle w:val="6"/>
        <w:spacing w:before="93"/>
        <w:rPr>
          <w:rFonts w:ascii="Times New Roman" w:eastAsia="仿宋"/>
          <w:sz w:val="32"/>
          <w:szCs w:val="32"/>
        </w:rPr>
      </w:pPr>
    </w:p>
    <w:p w14:paraId="177E2AA8">
      <w:pPr>
        <w:pStyle w:val="6"/>
        <w:spacing w:before="93"/>
        <w:rPr>
          <w:rFonts w:ascii="Times New Roman" w:eastAsia="仿宋"/>
          <w:sz w:val="32"/>
          <w:szCs w:val="32"/>
        </w:rPr>
      </w:pPr>
    </w:p>
    <w:p w14:paraId="0C9EEB1B">
      <w:pPr>
        <w:pStyle w:val="6"/>
        <w:spacing w:before="93"/>
        <w:rPr>
          <w:rFonts w:ascii="Times New Roman" w:eastAsia="仿宋"/>
          <w:sz w:val="32"/>
          <w:szCs w:val="32"/>
        </w:rPr>
      </w:pPr>
    </w:p>
    <w:p w14:paraId="2F939DD4">
      <w:pPr>
        <w:spacing w:line="600" w:lineRule="exact"/>
        <w:ind w:firstLine="640" w:firstLineChars="200"/>
        <w:outlineLvl w:val="2"/>
        <w:rPr>
          <w:rFonts w:ascii="方正楷体_GBK" w:hAnsi="方正楷体_GBK" w:eastAsia="方正楷体_GBK" w:cs="方正楷体_GBK"/>
          <w:bCs/>
          <w:sz w:val="32"/>
          <w:szCs w:val="32"/>
        </w:rPr>
      </w:pPr>
      <w:bookmarkStart w:id="32" w:name="_Toc15377212"/>
      <w:r>
        <w:rPr>
          <w:rFonts w:hint="eastAsia" w:ascii="方正楷体_GBK" w:hAnsi="方正楷体_GBK" w:eastAsia="方正楷体_GBK" w:cs="方正楷体_GBK"/>
          <w:bCs/>
          <w:sz w:val="32"/>
          <w:szCs w:val="32"/>
        </w:rPr>
        <w:t>（三）一般公共预算财政拨款支出决算具体情况</w:t>
      </w:r>
      <w:bookmarkEnd w:id="32"/>
      <w:r>
        <w:rPr>
          <w:rFonts w:hint="eastAsia" w:ascii="方正楷体_GBK" w:hAnsi="方正楷体_GBK" w:eastAsia="方正楷体_GBK" w:cs="方正楷体_GBK"/>
          <w:bCs/>
          <w:sz w:val="32"/>
          <w:szCs w:val="32"/>
        </w:rPr>
        <w:t>。</w:t>
      </w:r>
    </w:p>
    <w:p w14:paraId="0B90C67C">
      <w:pPr>
        <w:ind w:firstLine="709"/>
        <w:jc w:val="left"/>
        <w:rPr>
          <w:rFonts w:eastAsia="仿宋_GB2312"/>
          <w:sz w:val="32"/>
          <w:szCs w:val="32"/>
        </w:rPr>
      </w:pPr>
      <w:bookmarkStart w:id="33" w:name="_Toc15378460"/>
      <w:bookmarkStart w:id="34" w:name="_Toc15377444"/>
      <w:bookmarkStart w:id="35" w:name="_Toc15377213"/>
      <w:r>
        <w:rPr>
          <w:rFonts w:eastAsia="仿宋_GB2312"/>
          <w:sz w:val="32"/>
          <w:szCs w:val="32"/>
        </w:rPr>
        <w:t>2022年一般公共预算支出决算数为200.63万元，完成预算100%。其中：</w:t>
      </w:r>
      <w:bookmarkEnd w:id="33"/>
      <w:bookmarkEnd w:id="34"/>
      <w:bookmarkEnd w:id="35"/>
    </w:p>
    <w:p w14:paraId="126F2F16">
      <w:pPr>
        <w:ind w:firstLine="709"/>
        <w:jc w:val="left"/>
        <w:rPr>
          <w:rFonts w:eastAsia="仿宋_GB2312"/>
          <w:sz w:val="32"/>
          <w:szCs w:val="32"/>
        </w:rPr>
      </w:pPr>
      <w:r>
        <w:rPr>
          <w:rFonts w:eastAsia="仿宋_GB2312"/>
          <w:sz w:val="32"/>
          <w:szCs w:val="32"/>
        </w:rPr>
        <w:t xml:space="preserve"> 1.社会保障和就业</w:t>
      </w:r>
      <w:r>
        <w:rPr>
          <w:rFonts w:hint="eastAsia" w:eastAsia="仿宋_GB2312"/>
          <w:sz w:val="32"/>
          <w:szCs w:val="32"/>
        </w:rPr>
        <w:t>支出</w:t>
      </w:r>
      <w:r>
        <w:rPr>
          <w:rFonts w:eastAsia="仿宋_GB2312"/>
          <w:sz w:val="32"/>
          <w:szCs w:val="32"/>
        </w:rPr>
        <w:t>（类）行政事业单位养老支出（款）行政单位离退休（项）:支出决算为27.44万元，完成预算100%。</w:t>
      </w:r>
    </w:p>
    <w:p w14:paraId="693083BD">
      <w:pPr>
        <w:ind w:firstLine="709"/>
        <w:jc w:val="left"/>
        <w:rPr>
          <w:rFonts w:eastAsia="仿宋_GB2312"/>
          <w:sz w:val="32"/>
          <w:szCs w:val="32"/>
        </w:rPr>
      </w:pPr>
      <w:r>
        <w:rPr>
          <w:rFonts w:eastAsia="仿宋_GB2312"/>
          <w:sz w:val="32"/>
          <w:szCs w:val="32"/>
        </w:rPr>
        <w:t>2. 社会保障和就业支出（类）行政事业单位养老支出（款）机关事业单位基本养老保险缴费支出（项）:支出决算为11.22万元，完成预算100%。</w:t>
      </w:r>
    </w:p>
    <w:p w14:paraId="5954C37B">
      <w:pPr>
        <w:ind w:firstLine="709"/>
        <w:jc w:val="left"/>
        <w:rPr>
          <w:rFonts w:eastAsia="仿宋_GB2312"/>
          <w:sz w:val="32"/>
          <w:szCs w:val="32"/>
        </w:rPr>
      </w:pPr>
      <w:r>
        <w:rPr>
          <w:rFonts w:eastAsia="仿宋_GB2312"/>
          <w:sz w:val="32"/>
          <w:szCs w:val="32"/>
        </w:rPr>
        <w:t>3. 社会保障和就业支出（类）抚恤(款）伤残抚恤（项）：支出决算为1.36万元，完成预算100%。</w:t>
      </w:r>
    </w:p>
    <w:p w14:paraId="48D12C9C">
      <w:pPr>
        <w:ind w:firstLine="709"/>
        <w:jc w:val="left"/>
        <w:rPr>
          <w:rFonts w:eastAsia="仿宋_GB2312"/>
          <w:sz w:val="32"/>
          <w:szCs w:val="32"/>
        </w:rPr>
      </w:pPr>
      <w:r>
        <w:rPr>
          <w:rFonts w:eastAsia="仿宋_GB2312"/>
          <w:sz w:val="32"/>
          <w:szCs w:val="32"/>
        </w:rPr>
        <w:t>4. 卫生健康支出（类）行政事业单位医疗(款）行政单位医疗（项）：支出决算为8.24万元，完成预算100%。</w:t>
      </w:r>
    </w:p>
    <w:p w14:paraId="3194DEDF">
      <w:pPr>
        <w:ind w:firstLine="709"/>
        <w:jc w:val="left"/>
        <w:rPr>
          <w:rFonts w:eastAsia="仿宋_GB2312"/>
          <w:sz w:val="32"/>
          <w:szCs w:val="32"/>
        </w:rPr>
      </w:pPr>
      <w:r>
        <w:rPr>
          <w:rFonts w:eastAsia="仿宋_GB2312"/>
          <w:sz w:val="32"/>
          <w:szCs w:val="32"/>
        </w:rPr>
        <w:t>5. 卫生健康支出（类）行政事业单位医疗(款）公务员医疗补助（项）：支出决算为4.2万元，完成预算100%。</w:t>
      </w:r>
    </w:p>
    <w:p w14:paraId="5786FADE">
      <w:pPr>
        <w:ind w:firstLine="709"/>
        <w:jc w:val="left"/>
        <w:rPr>
          <w:rFonts w:eastAsia="仿宋_GB2312"/>
          <w:sz w:val="32"/>
          <w:szCs w:val="32"/>
        </w:rPr>
      </w:pPr>
      <w:r>
        <w:rPr>
          <w:rFonts w:eastAsia="仿宋_GB2312"/>
          <w:sz w:val="32"/>
          <w:szCs w:val="32"/>
        </w:rPr>
        <w:t>6.商业服务业等支出（类）商业流通事务(款）行政运行（项）：支出决算为127.36万元，完成预算100%。</w:t>
      </w:r>
    </w:p>
    <w:p w14:paraId="4F4DC19E">
      <w:pPr>
        <w:ind w:firstLine="709"/>
        <w:jc w:val="left"/>
        <w:rPr>
          <w:rFonts w:eastAsia="仿宋_GB2312"/>
          <w:sz w:val="32"/>
          <w:szCs w:val="32"/>
        </w:rPr>
      </w:pPr>
      <w:r>
        <w:rPr>
          <w:rFonts w:eastAsia="仿宋_GB2312"/>
          <w:sz w:val="32"/>
          <w:szCs w:val="32"/>
        </w:rPr>
        <w:t>7. 商业服务业等支出（类）商业流通事务(款）其他商业流通事务支出（项）：支出决算为8万元，完成预算100%。</w:t>
      </w:r>
    </w:p>
    <w:p w14:paraId="240AFDFE">
      <w:pPr>
        <w:ind w:firstLine="709"/>
        <w:jc w:val="left"/>
        <w:rPr>
          <w:rFonts w:eastAsia="仿宋_GB2312"/>
          <w:sz w:val="32"/>
          <w:szCs w:val="32"/>
        </w:rPr>
      </w:pPr>
      <w:r>
        <w:rPr>
          <w:rFonts w:eastAsia="仿宋_GB2312"/>
          <w:sz w:val="32"/>
          <w:szCs w:val="32"/>
        </w:rPr>
        <w:t>8. 住房保障支出（类）住房改革支出(款）住房公积金（项）：支出决算为12.82万元，完成预算100%。</w:t>
      </w:r>
    </w:p>
    <w:p w14:paraId="55EA24B4">
      <w:pPr>
        <w:spacing w:line="600" w:lineRule="exact"/>
        <w:ind w:firstLine="640" w:firstLineChars="200"/>
        <w:outlineLvl w:val="1"/>
        <w:rPr>
          <w:rFonts w:eastAsia="黑体"/>
          <w:kern w:val="0"/>
          <w:sz w:val="32"/>
          <w:szCs w:val="32"/>
        </w:rPr>
      </w:pPr>
      <w:bookmarkStart w:id="36" w:name="_Toc15377214"/>
      <w:bookmarkStart w:id="37" w:name="_Toc15396608"/>
      <w:r>
        <w:rPr>
          <w:rFonts w:eastAsia="黑体"/>
          <w:kern w:val="0"/>
          <w:sz w:val="32"/>
          <w:szCs w:val="32"/>
        </w:rPr>
        <w:t>六、一般公共预算财政拨款基本支出决算情况说明</w:t>
      </w:r>
      <w:bookmarkEnd w:id="36"/>
      <w:bookmarkEnd w:id="37"/>
      <w:r>
        <w:rPr>
          <w:rFonts w:eastAsia="黑体"/>
          <w:kern w:val="0"/>
          <w:sz w:val="32"/>
          <w:szCs w:val="32"/>
        </w:rPr>
        <w:tab/>
      </w:r>
    </w:p>
    <w:p w14:paraId="17A6C138">
      <w:pPr>
        <w:ind w:firstLine="709"/>
        <w:jc w:val="left"/>
        <w:rPr>
          <w:rFonts w:eastAsia="仿宋_GB2312"/>
          <w:sz w:val="32"/>
          <w:szCs w:val="32"/>
        </w:rPr>
      </w:pPr>
      <w:r>
        <w:rPr>
          <w:rFonts w:eastAsia="仿宋_GB2312"/>
          <w:sz w:val="32"/>
          <w:szCs w:val="32"/>
        </w:rPr>
        <w:t>2022年一般公共预算财政拨款基本支出192.63万元，其中：</w:t>
      </w:r>
    </w:p>
    <w:p w14:paraId="363467EF">
      <w:pPr>
        <w:ind w:firstLine="709"/>
        <w:jc w:val="left"/>
        <w:rPr>
          <w:rFonts w:eastAsia="仿宋_GB2312"/>
          <w:sz w:val="32"/>
          <w:szCs w:val="32"/>
        </w:rPr>
      </w:pPr>
      <w:r>
        <w:rPr>
          <w:rFonts w:eastAsia="仿宋_GB2312"/>
          <w:sz w:val="32"/>
          <w:szCs w:val="32"/>
        </w:rPr>
        <w:t>人员经费179.18万元，主要包括：基本工资、津贴补贴、奖金、机关事业单位基本养老保险缴费、职工基本医疗保险缴费、公务员医疗补助缴费、其他社会保障缴费、住房公积金、其他工资福利支出、抚恤金、生活补助、医疗费补助。</w:t>
      </w:r>
      <w:r>
        <w:rPr>
          <w:rFonts w:eastAsia="仿宋_GB2312"/>
          <w:sz w:val="32"/>
          <w:szCs w:val="32"/>
        </w:rPr>
        <w:br w:type="textWrapping"/>
      </w:r>
      <w:r>
        <w:rPr>
          <w:rFonts w:eastAsia="仿宋_GB2312"/>
          <w:sz w:val="32"/>
          <w:szCs w:val="32"/>
        </w:rPr>
        <w:t>　　公用经费13.45万元，主要包括：办公费、水费、电费、邮电费、差旅费、维修（护）费、培训费、公务接待费、委托业务费、工会经费、福利费、其他交通费、其他商品和服务支出。</w:t>
      </w:r>
    </w:p>
    <w:p w14:paraId="58CED9E2">
      <w:pPr>
        <w:spacing w:line="600" w:lineRule="exact"/>
        <w:ind w:firstLine="640" w:firstLineChars="200"/>
        <w:outlineLvl w:val="1"/>
        <w:rPr>
          <w:rFonts w:eastAsia="黑体"/>
          <w:kern w:val="0"/>
          <w:sz w:val="32"/>
          <w:szCs w:val="32"/>
        </w:rPr>
      </w:pPr>
      <w:bookmarkStart w:id="38" w:name="_Toc15377215"/>
      <w:bookmarkStart w:id="39" w:name="_Toc15396609"/>
      <w:r>
        <w:rPr>
          <w:rFonts w:eastAsia="黑体"/>
          <w:kern w:val="0"/>
          <w:sz w:val="32"/>
          <w:szCs w:val="32"/>
        </w:rPr>
        <w:t>七、财政拨款“三公”经费支出决算情况说明</w:t>
      </w:r>
      <w:bookmarkEnd w:id="38"/>
      <w:bookmarkEnd w:id="39"/>
    </w:p>
    <w:p w14:paraId="25DC7512">
      <w:pPr>
        <w:spacing w:line="600" w:lineRule="exact"/>
        <w:ind w:firstLine="640"/>
        <w:outlineLvl w:val="2"/>
        <w:rPr>
          <w:rFonts w:ascii="方正楷体_GBK" w:hAnsi="方正楷体_GBK" w:eastAsia="方正楷体_GBK" w:cs="方正楷体_GBK"/>
          <w:bCs/>
          <w:sz w:val="32"/>
          <w:szCs w:val="32"/>
        </w:rPr>
      </w:pPr>
      <w:bookmarkStart w:id="40" w:name="_Toc15377216"/>
      <w:r>
        <w:rPr>
          <w:rFonts w:hint="eastAsia" w:ascii="方正楷体_GBK" w:hAnsi="方正楷体_GBK" w:eastAsia="方正楷体_GBK" w:cs="方正楷体_GBK"/>
          <w:bCs/>
          <w:sz w:val="32"/>
          <w:szCs w:val="32"/>
        </w:rPr>
        <w:t>（一）“三公”经费财政拨款支出决算总体情况说明</w:t>
      </w:r>
      <w:bookmarkEnd w:id="40"/>
      <w:r>
        <w:rPr>
          <w:rFonts w:hint="eastAsia" w:ascii="方正楷体_GBK" w:hAnsi="方正楷体_GBK" w:eastAsia="方正楷体_GBK" w:cs="方正楷体_GBK"/>
          <w:bCs/>
          <w:sz w:val="32"/>
          <w:szCs w:val="32"/>
        </w:rPr>
        <w:t>。</w:t>
      </w:r>
    </w:p>
    <w:p w14:paraId="7DCD8B8C">
      <w:pPr>
        <w:ind w:firstLine="709"/>
        <w:jc w:val="left"/>
        <w:rPr>
          <w:rFonts w:eastAsia="仿宋_GB2312"/>
          <w:sz w:val="32"/>
          <w:szCs w:val="32"/>
        </w:rPr>
      </w:pPr>
      <w:r>
        <w:rPr>
          <w:rFonts w:eastAsia="仿宋_GB2312"/>
          <w:sz w:val="32"/>
          <w:szCs w:val="32"/>
        </w:rPr>
        <w:t>2022年“三公”经费财政拨款支出决算为0.05万元，完成预算100%，较上年增加0.02万元，增长6.67%。决算数与预算数持平，严格控制“三公</w:t>
      </w:r>
      <w:r>
        <w:rPr>
          <w:rFonts w:hint="eastAsia" w:eastAsia="仿宋_GB2312"/>
          <w:sz w:val="32"/>
          <w:szCs w:val="32"/>
          <w:lang w:eastAsia="zh-CN"/>
        </w:rPr>
        <w:t>”</w:t>
      </w:r>
      <w:r>
        <w:rPr>
          <w:rFonts w:eastAsia="仿宋_GB2312"/>
          <w:sz w:val="32"/>
          <w:szCs w:val="32"/>
        </w:rPr>
        <w:t>经费”支出。</w:t>
      </w:r>
    </w:p>
    <w:p w14:paraId="16ADABBB">
      <w:pPr>
        <w:spacing w:line="600" w:lineRule="exact"/>
        <w:ind w:firstLine="640"/>
        <w:outlineLvl w:val="2"/>
        <w:rPr>
          <w:rFonts w:ascii="方正楷体_GBK" w:hAnsi="方正楷体_GBK" w:eastAsia="方正楷体_GBK" w:cs="方正楷体_GBK"/>
          <w:bCs/>
          <w:sz w:val="32"/>
          <w:szCs w:val="32"/>
        </w:rPr>
      </w:pPr>
      <w:bookmarkStart w:id="41" w:name="_Toc15377217"/>
      <w:r>
        <w:rPr>
          <w:rFonts w:hint="eastAsia" w:ascii="方正楷体_GBK" w:hAnsi="方正楷体_GBK" w:eastAsia="方正楷体_GBK" w:cs="方正楷体_GBK"/>
          <w:bCs/>
          <w:sz w:val="32"/>
          <w:szCs w:val="32"/>
        </w:rPr>
        <w:t>（二）“三公”经费财政拨款支出决算具体情况说明</w:t>
      </w:r>
      <w:bookmarkEnd w:id="41"/>
      <w:r>
        <w:rPr>
          <w:rFonts w:hint="eastAsia" w:ascii="方正楷体_GBK" w:hAnsi="方正楷体_GBK" w:eastAsia="方正楷体_GBK" w:cs="方正楷体_GBK"/>
          <w:bCs/>
          <w:sz w:val="32"/>
          <w:szCs w:val="32"/>
        </w:rPr>
        <w:t>。</w:t>
      </w:r>
    </w:p>
    <w:p w14:paraId="1D18FB2F">
      <w:pPr>
        <w:ind w:firstLine="709"/>
        <w:jc w:val="left"/>
        <w:rPr>
          <w:rFonts w:eastAsia="仿宋_GB2312"/>
          <w:sz w:val="32"/>
          <w:szCs w:val="32"/>
        </w:rPr>
      </w:pPr>
      <w:r>
        <w:rPr>
          <w:rFonts w:eastAsia="仿宋_GB2312"/>
          <w:sz w:val="32"/>
          <w:szCs w:val="32"/>
        </w:rPr>
        <w:t>2022年“三公”经费财政拨款支出决算中，因公出国（境）费支出决算0万元，占0%；公务用车购置及运行维护费支出决算0万元，占0%；公务接待费支出决算0.05万元，占100%。具体情况如下：</w:t>
      </w:r>
    </w:p>
    <w:p w14:paraId="585DCBF1">
      <w:pPr>
        <w:ind w:firstLine="709"/>
        <w:jc w:val="center"/>
        <w:rPr>
          <w:rFonts w:eastAsia="仿宋"/>
          <w:sz w:val="32"/>
          <w:szCs w:val="32"/>
        </w:rPr>
      </w:pPr>
      <w:r>
        <w:rPr>
          <w:rFonts w:eastAsia="仿宋_GB2312"/>
          <w:sz w:val="32"/>
          <w:szCs w:val="32"/>
        </w:rPr>
        <w:t>（图7：“三公”经费财政拨款支出结构）</w:t>
      </w:r>
    </w:p>
    <w:p w14:paraId="1FC210D9">
      <w:pPr>
        <w:ind w:firstLine="709"/>
        <w:jc w:val="left"/>
        <w:rPr>
          <w:rFonts w:eastAsia="仿宋_GB2312"/>
          <w:sz w:val="32"/>
          <w:szCs w:val="32"/>
        </w:rPr>
      </w:pPr>
      <w:r>
        <w:rPr>
          <w:rFonts w:eastAsia="仿宋_GB2312"/>
          <w:sz w:val="32"/>
          <w:szCs w:val="32"/>
        </w:rPr>
        <w:drawing>
          <wp:anchor distT="0" distB="0" distL="114300" distR="114300" simplePos="0" relativeHeight="251665408" behindDoc="1" locked="0" layoutInCell="1" allowOverlap="1">
            <wp:simplePos x="0" y="0"/>
            <wp:positionH relativeFrom="column">
              <wp:posOffset>133350</wp:posOffset>
            </wp:positionH>
            <wp:positionV relativeFrom="paragraph">
              <wp:posOffset>228600</wp:posOffset>
            </wp:positionV>
            <wp:extent cx="5274310" cy="2113280"/>
            <wp:effectExtent l="4445" t="4445" r="9525" b="46355"/>
            <wp:wrapTight wrapText="bothSides">
              <wp:wrapPolygon>
                <wp:start x="-18" y="-45"/>
                <wp:lineTo x="-18" y="21451"/>
                <wp:lineTo x="21577" y="21451"/>
                <wp:lineTo x="21577" y="-45"/>
                <wp:lineTo x="-18" y="-45"/>
              </wp:wrapPolygon>
            </wp:wrapTight>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r>
        <w:rPr>
          <w:rFonts w:eastAsia="仿宋_GB2312"/>
          <w:sz w:val="32"/>
          <w:szCs w:val="32"/>
        </w:rPr>
        <w:t>1.因公出国（境）经费支出0万元，完成预算0%。全年安排因公出国（境）团组0次，出国（境）0人。因公出国（境）支出决算和2021年持平，主要原因是2022年和2021年都没有因公出国（境）支出。</w:t>
      </w:r>
    </w:p>
    <w:p w14:paraId="404A1772">
      <w:pPr>
        <w:ind w:firstLine="709"/>
        <w:jc w:val="left"/>
        <w:rPr>
          <w:rFonts w:eastAsia="仿宋_GB2312"/>
          <w:sz w:val="32"/>
          <w:szCs w:val="32"/>
        </w:rPr>
      </w:pPr>
      <w:r>
        <w:rPr>
          <w:rFonts w:eastAsia="仿宋_GB2312"/>
          <w:sz w:val="32"/>
          <w:szCs w:val="32"/>
        </w:rPr>
        <w:t>2.公务用车购置及运行维护费支出0万元,完成预算0%。公务用车购置及运行维护费支出决算和2021年持平。</w:t>
      </w:r>
    </w:p>
    <w:p w14:paraId="167A3485">
      <w:pPr>
        <w:spacing w:line="600" w:lineRule="exact"/>
        <w:ind w:firstLine="640" w:firstLineChars="200"/>
        <w:rPr>
          <w:rFonts w:eastAsia="仿宋_GB2312"/>
          <w:sz w:val="32"/>
          <w:szCs w:val="32"/>
        </w:rPr>
      </w:pPr>
      <w:r>
        <w:rPr>
          <w:rFonts w:eastAsia="仿宋_GB2312"/>
          <w:sz w:val="32"/>
          <w:szCs w:val="32"/>
        </w:rPr>
        <w:t>其中：公务用车购置支出0万元。</w:t>
      </w:r>
      <w:r>
        <w:rPr>
          <w:rFonts w:hint="eastAsia" w:eastAsia="仿宋_GB2312"/>
          <w:sz w:val="32"/>
          <w:szCs w:val="32"/>
        </w:rPr>
        <w:t>全年按规定更新购置公务用车0辆，其中：轿车0辆、金额0万元，越野车0辆、金额0万元，载客汽车0辆、金额0万元。截至</w:t>
      </w:r>
      <w:r>
        <w:rPr>
          <w:rFonts w:eastAsia="仿宋_GB2312"/>
          <w:sz w:val="32"/>
          <w:szCs w:val="32"/>
        </w:rPr>
        <w:t>20</w:t>
      </w:r>
      <w:r>
        <w:rPr>
          <w:rFonts w:hint="eastAsia" w:eastAsia="仿宋_GB2312"/>
          <w:sz w:val="32"/>
          <w:szCs w:val="32"/>
        </w:rPr>
        <w:t>22年</w:t>
      </w:r>
      <w:r>
        <w:rPr>
          <w:rFonts w:eastAsia="仿宋_GB2312"/>
          <w:sz w:val="32"/>
          <w:szCs w:val="32"/>
        </w:rPr>
        <w:t>12</w:t>
      </w:r>
      <w:r>
        <w:rPr>
          <w:rFonts w:hint="eastAsia" w:eastAsia="仿宋_GB2312"/>
          <w:sz w:val="32"/>
          <w:szCs w:val="32"/>
        </w:rPr>
        <w:t>月底，单位共有公务用车0辆，其中：轿车0辆、越野车0辆、载客汽车0辆。</w:t>
      </w:r>
    </w:p>
    <w:p w14:paraId="62EE3AB4">
      <w:pPr>
        <w:ind w:firstLine="709"/>
        <w:jc w:val="left"/>
        <w:rPr>
          <w:rFonts w:eastAsia="仿宋_GB2312"/>
          <w:sz w:val="32"/>
          <w:szCs w:val="32"/>
        </w:rPr>
      </w:pPr>
      <w:r>
        <w:rPr>
          <w:rFonts w:eastAsia="仿宋_GB2312"/>
          <w:sz w:val="32"/>
          <w:szCs w:val="32"/>
        </w:rPr>
        <w:t>公务用车运行维护费支出0万元。</w:t>
      </w:r>
      <w:r>
        <w:rPr>
          <w:rFonts w:hint="eastAsia" w:eastAsia="仿宋_GB2312"/>
          <w:sz w:val="32"/>
          <w:szCs w:val="32"/>
          <w:lang w:eastAsia="zh-CN"/>
        </w:rPr>
        <w:t>我单位</w:t>
      </w:r>
      <w:r>
        <w:rPr>
          <w:rFonts w:eastAsia="仿宋_GB2312"/>
          <w:sz w:val="32"/>
          <w:szCs w:val="32"/>
        </w:rPr>
        <w:t>2022年没有公务用车运行维护费支出。</w:t>
      </w:r>
    </w:p>
    <w:p w14:paraId="6CE9E5F4">
      <w:pPr>
        <w:ind w:firstLine="709"/>
        <w:jc w:val="left"/>
        <w:rPr>
          <w:rFonts w:eastAsia="仿宋_GB2312"/>
          <w:sz w:val="32"/>
          <w:szCs w:val="32"/>
        </w:rPr>
      </w:pPr>
      <w:r>
        <w:rPr>
          <w:rFonts w:eastAsia="仿宋_GB2312"/>
          <w:sz w:val="32"/>
          <w:szCs w:val="32"/>
        </w:rPr>
        <w:t>3.公务接待费支出0.05万元，完成预算100%。公务接待费支出决算比2021年增加0.02万元，增长6.67%。主要原因是2022年工作任务重，接待人数较2021年增多。其中：</w:t>
      </w:r>
    </w:p>
    <w:p w14:paraId="785DEF09">
      <w:pPr>
        <w:ind w:firstLine="709"/>
        <w:jc w:val="left"/>
        <w:rPr>
          <w:rFonts w:eastAsia="仿宋_GB2312"/>
          <w:sz w:val="32"/>
          <w:szCs w:val="32"/>
        </w:rPr>
      </w:pPr>
      <w:r>
        <w:rPr>
          <w:rFonts w:eastAsia="仿宋_GB2312"/>
          <w:sz w:val="32"/>
          <w:szCs w:val="32"/>
        </w:rPr>
        <w:t>国内公务接待支出0.05万元，主要用于开展业务活动开支的用餐费。国内公务接待1批次，6人次（不包括陪同人员），共计支出0.05万元，具体内容包括：接待攀枝花市供销社来盐边调研、指导业务工作发生的费用。</w:t>
      </w:r>
    </w:p>
    <w:p w14:paraId="262E0B0B">
      <w:pPr>
        <w:ind w:firstLine="709"/>
        <w:jc w:val="left"/>
        <w:rPr>
          <w:rFonts w:eastAsia="仿宋_GB2312"/>
          <w:sz w:val="32"/>
          <w:szCs w:val="32"/>
        </w:rPr>
      </w:pPr>
      <w:r>
        <w:rPr>
          <w:rFonts w:eastAsia="仿宋_GB2312"/>
          <w:sz w:val="32"/>
          <w:szCs w:val="32"/>
        </w:rPr>
        <w:t>外事接待支出0万元，2022年无外事接待任务，无外事接待批次人次。</w:t>
      </w:r>
    </w:p>
    <w:p w14:paraId="7D642785">
      <w:pPr>
        <w:spacing w:line="600" w:lineRule="exact"/>
        <w:ind w:firstLine="640"/>
        <w:outlineLvl w:val="1"/>
        <w:rPr>
          <w:rStyle w:val="30"/>
          <w:rFonts w:ascii="Times New Roman" w:hAnsi="Times New Roman" w:eastAsia="黑体" w:cs="Times New Roman"/>
        </w:rPr>
      </w:pPr>
      <w:bookmarkStart w:id="42" w:name="_Toc15377218"/>
      <w:bookmarkStart w:id="43" w:name="_Toc15396610"/>
      <w:r>
        <w:rPr>
          <w:rFonts w:eastAsia="黑体"/>
          <w:sz w:val="32"/>
          <w:szCs w:val="32"/>
        </w:rPr>
        <w:t>八、</w:t>
      </w:r>
      <w:r>
        <w:rPr>
          <w:rStyle w:val="30"/>
          <w:rFonts w:ascii="Times New Roman" w:hAnsi="Times New Roman" w:eastAsia="黑体" w:cs="Times New Roman"/>
          <w:b w:val="0"/>
        </w:rPr>
        <w:t>政府性基金预算支出决算情况说明</w:t>
      </w:r>
      <w:bookmarkEnd w:id="42"/>
      <w:bookmarkEnd w:id="43"/>
    </w:p>
    <w:p w14:paraId="79DD6A89">
      <w:pPr>
        <w:spacing w:line="600" w:lineRule="exact"/>
        <w:ind w:firstLine="640"/>
        <w:rPr>
          <w:rFonts w:eastAsia="仿宋_GB2312"/>
          <w:sz w:val="32"/>
          <w:szCs w:val="32"/>
        </w:rPr>
      </w:pPr>
      <w:r>
        <w:rPr>
          <w:rFonts w:eastAsia="仿宋_GB2312"/>
          <w:sz w:val="32"/>
          <w:szCs w:val="32"/>
        </w:rPr>
        <w:t>2022年政府性基金预算财政拨款支出0万元。</w:t>
      </w:r>
    </w:p>
    <w:p w14:paraId="481BAE72">
      <w:pPr>
        <w:numPr>
          <w:ilvl w:val="0"/>
          <w:numId w:val="2"/>
        </w:numPr>
        <w:spacing w:line="600" w:lineRule="exact"/>
        <w:ind w:firstLine="640"/>
        <w:outlineLvl w:val="1"/>
        <w:rPr>
          <w:rStyle w:val="30"/>
          <w:rFonts w:ascii="Times New Roman" w:hAnsi="Times New Roman" w:eastAsia="黑体" w:cs="Times New Roman"/>
          <w:b w:val="0"/>
        </w:rPr>
      </w:pPr>
      <w:bookmarkStart w:id="44" w:name="_Toc15377219"/>
      <w:bookmarkStart w:id="45" w:name="_Toc15396611"/>
      <w:r>
        <w:rPr>
          <w:rStyle w:val="30"/>
          <w:rFonts w:ascii="Times New Roman" w:hAnsi="Times New Roman" w:eastAsia="黑体" w:cs="Times New Roman"/>
          <w:b w:val="0"/>
        </w:rPr>
        <w:t>国有资本经营预算支出决算情况说明</w:t>
      </w:r>
      <w:bookmarkEnd w:id="44"/>
      <w:bookmarkEnd w:id="45"/>
    </w:p>
    <w:p w14:paraId="7F948B76">
      <w:pPr>
        <w:spacing w:line="600" w:lineRule="exact"/>
        <w:ind w:firstLine="640"/>
        <w:rPr>
          <w:rFonts w:eastAsia="仿宋_GB2312"/>
          <w:sz w:val="32"/>
          <w:szCs w:val="32"/>
        </w:rPr>
      </w:pPr>
      <w:r>
        <w:rPr>
          <w:rFonts w:eastAsia="仿宋_GB2312"/>
          <w:sz w:val="32"/>
          <w:szCs w:val="32"/>
        </w:rPr>
        <w:t>2022年国有资本经营预算财政拨款支出0万元。</w:t>
      </w:r>
    </w:p>
    <w:p w14:paraId="535C7159">
      <w:pPr>
        <w:numPr>
          <w:ilvl w:val="0"/>
          <w:numId w:val="2"/>
        </w:numPr>
        <w:spacing w:line="600" w:lineRule="exact"/>
        <w:ind w:firstLine="640"/>
        <w:outlineLvl w:val="1"/>
        <w:rPr>
          <w:rStyle w:val="30"/>
          <w:rFonts w:ascii="Times New Roman" w:hAnsi="Times New Roman" w:eastAsia="黑体" w:cs="Times New Roman"/>
          <w:b w:val="0"/>
        </w:rPr>
      </w:pPr>
      <w:bookmarkStart w:id="46" w:name="_Toc15377221"/>
      <w:bookmarkStart w:id="47" w:name="_Toc15396612"/>
      <w:r>
        <w:rPr>
          <w:rStyle w:val="30"/>
          <w:rFonts w:ascii="Times New Roman" w:hAnsi="Times New Roman" w:eastAsia="黑体" w:cs="Times New Roman"/>
          <w:b w:val="0"/>
        </w:rPr>
        <w:t>其他重要事项的情况说明</w:t>
      </w:r>
      <w:bookmarkEnd w:id="46"/>
      <w:bookmarkEnd w:id="47"/>
    </w:p>
    <w:p w14:paraId="5263B9D8">
      <w:pPr>
        <w:spacing w:line="600" w:lineRule="exact"/>
        <w:ind w:firstLine="640" w:firstLineChars="200"/>
        <w:outlineLvl w:val="2"/>
        <w:rPr>
          <w:rFonts w:ascii="方正楷体_GBK" w:hAnsi="方正楷体_GBK" w:eastAsia="方正楷体_GBK" w:cs="方正楷体_GBK"/>
          <w:bCs/>
          <w:sz w:val="32"/>
          <w:szCs w:val="32"/>
        </w:rPr>
      </w:pPr>
      <w:bookmarkStart w:id="48" w:name="_Toc15377222"/>
      <w:r>
        <w:rPr>
          <w:rFonts w:hint="eastAsia" w:ascii="方正楷体_GBK" w:hAnsi="方正楷体_GBK" w:eastAsia="方正楷体_GBK" w:cs="方正楷体_GBK"/>
          <w:bCs/>
          <w:sz w:val="32"/>
          <w:szCs w:val="32"/>
        </w:rPr>
        <w:t>（一）机关运行经费支出情况</w:t>
      </w:r>
      <w:bookmarkEnd w:id="48"/>
      <w:r>
        <w:rPr>
          <w:rFonts w:hint="eastAsia" w:ascii="方正楷体_GBK" w:hAnsi="方正楷体_GBK" w:eastAsia="方正楷体_GBK" w:cs="方正楷体_GBK"/>
          <w:bCs/>
          <w:sz w:val="32"/>
          <w:szCs w:val="32"/>
        </w:rPr>
        <w:t>。</w:t>
      </w:r>
    </w:p>
    <w:p w14:paraId="43E48CA0">
      <w:pPr>
        <w:spacing w:line="600" w:lineRule="exact"/>
        <w:ind w:firstLine="640" w:firstLineChars="200"/>
        <w:rPr>
          <w:rFonts w:eastAsia="仿宋_GB2312"/>
          <w:sz w:val="32"/>
          <w:szCs w:val="32"/>
        </w:rPr>
      </w:pPr>
      <w:r>
        <w:rPr>
          <w:rFonts w:eastAsia="仿宋_GB2312"/>
          <w:sz w:val="32"/>
          <w:szCs w:val="32"/>
        </w:rPr>
        <w:t>2022年，</w:t>
      </w:r>
      <w:r>
        <w:rPr>
          <w:rFonts w:hint="eastAsia" w:eastAsia="仿宋_GB2312"/>
          <w:sz w:val="32"/>
          <w:szCs w:val="32"/>
        </w:rPr>
        <w:t>县供销社</w:t>
      </w:r>
      <w:r>
        <w:rPr>
          <w:rFonts w:eastAsia="仿宋_GB2312"/>
          <w:sz w:val="32"/>
          <w:szCs w:val="32"/>
        </w:rPr>
        <w:t>机关运行经费支出13.45万元，比2021年减少2.1万元，下降13.5%。主要原因是落实过紧日子要求，厉行节约，从严控制和压缩相关经费支出。</w:t>
      </w:r>
    </w:p>
    <w:p w14:paraId="4E8FD2FD">
      <w:pPr>
        <w:autoSpaceDE w:val="0"/>
        <w:autoSpaceDN w:val="0"/>
        <w:adjustRightInd w:val="0"/>
        <w:spacing w:line="600" w:lineRule="exact"/>
        <w:ind w:firstLine="640" w:firstLineChars="200"/>
        <w:jc w:val="left"/>
        <w:outlineLvl w:val="2"/>
        <w:rPr>
          <w:rFonts w:ascii="方正楷体_GBK" w:hAnsi="方正楷体_GBK" w:eastAsia="方正楷体_GBK" w:cs="方正楷体_GBK"/>
          <w:bCs/>
          <w:sz w:val="32"/>
          <w:szCs w:val="32"/>
        </w:rPr>
      </w:pPr>
      <w:bookmarkStart w:id="49" w:name="_Toc15377223"/>
      <w:r>
        <w:rPr>
          <w:rFonts w:hint="eastAsia" w:ascii="方正楷体_GBK" w:hAnsi="方正楷体_GBK" w:eastAsia="方正楷体_GBK" w:cs="方正楷体_GBK"/>
          <w:bCs/>
          <w:sz w:val="32"/>
          <w:szCs w:val="32"/>
        </w:rPr>
        <w:t>（二）政府采购支出情况</w:t>
      </w:r>
      <w:bookmarkEnd w:id="49"/>
      <w:r>
        <w:rPr>
          <w:rFonts w:hint="eastAsia" w:ascii="方正楷体_GBK" w:hAnsi="方正楷体_GBK" w:eastAsia="方正楷体_GBK" w:cs="方正楷体_GBK"/>
          <w:bCs/>
          <w:sz w:val="32"/>
          <w:szCs w:val="32"/>
        </w:rPr>
        <w:t>。</w:t>
      </w:r>
    </w:p>
    <w:p w14:paraId="1942FD46">
      <w:pPr>
        <w:spacing w:line="600" w:lineRule="exact"/>
        <w:ind w:firstLine="640" w:firstLineChars="200"/>
        <w:rPr>
          <w:rFonts w:eastAsia="仿宋_GB2312"/>
          <w:sz w:val="32"/>
          <w:szCs w:val="32"/>
        </w:rPr>
      </w:pPr>
      <w:r>
        <w:rPr>
          <w:rFonts w:eastAsia="仿宋_GB2312"/>
          <w:sz w:val="32"/>
          <w:szCs w:val="32"/>
        </w:rPr>
        <w:t>2022年，</w:t>
      </w:r>
      <w:r>
        <w:rPr>
          <w:rFonts w:hint="eastAsia" w:eastAsia="仿宋_GB2312"/>
          <w:sz w:val="32"/>
          <w:szCs w:val="32"/>
        </w:rPr>
        <w:t>县供销社</w:t>
      </w:r>
      <w:r>
        <w:rPr>
          <w:rFonts w:eastAsia="仿宋_GB2312"/>
          <w:sz w:val="32"/>
          <w:szCs w:val="32"/>
        </w:rPr>
        <w:t>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14:paraId="7FBABC7D">
      <w:pPr>
        <w:autoSpaceDE w:val="0"/>
        <w:autoSpaceDN w:val="0"/>
        <w:adjustRightInd w:val="0"/>
        <w:spacing w:line="600" w:lineRule="exact"/>
        <w:ind w:firstLine="640" w:firstLineChars="200"/>
        <w:jc w:val="left"/>
        <w:outlineLvl w:val="2"/>
        <w:rPr>
          <w:rFonts w:ascii="方正楷体_GBK" w:hAnsi="方正楷体_GBK" w:eastAsia="方正楷体_GBK" w:cs="方正楷体_GBK"/>
          <w:bCs/>
          <w:sz w:val="32"/>
          <w:szCs w:val="32"/>
        </w:rPr>
      </w:pPr>
      <w:bookmarkStart w:id="50" w:name="_Toc15377224"/>
      <w:r>
        <w:rPr>
          <w:rFonts w:hint="eastAsia" w:ascii="方正楷体_GBK" w:hAnsi="方正楷体_GBK" w:eastAsia="方正楷体_GBK" w:cs="方正楷体_GBK"/>
          <w:bCs/>
          <w:sz w:val="32"/>
          <w:szCs w:val="32"/>
        </w:rPr>
        <w:t>（三）国有资产占有使用情况</w:t>
      </w:r>
      <w:bookmarkEnd w:id="50"/>
      <w:r>
        <w:rPr>
          <w:rFonts w:hint="eastAsia" w:ascii="方正楷体_GBK" w:hAnsi="方正楷体_GBK" w:eastAsia="方正楷体_GBK" w:cs="方正楷体_GBK"/>
          <w:bCs/>
          <w:sz w:val="32"/>
          <w:szCs w:val="32"/>
        </w:rPr>
        <w:t>。</w:t>
      </w:r>
    </w:p>
    <w:p w14:paraId="2643FD2A">
      <w:pPr>
        <w:autoSpaceDE w:val="0"/>
        <w:autoSpaceDN w:val="0"/>
        <w:adjustRightInd w:val="0"/>
        <w:spacing w:line="600" w:lineRule="exact"/>
        <w:ind w:firstLine="640" w:firstLineChars="200"/>
        <w:jc w:val="left"/>
        <w:rPr>
          <w:rFonts w:eastAsia="仿宋_GB2312"/>
          <w:sz w:val="32"/>
          <w:szCs w:val="32"/>
        </w:rPr>
      </w:pPr>
      <w:r>
        <w:rPr>
          <w:rFonts w:eastAsia="仿宋_GB2312"/>
          <w:sz w:val="32"/>
          <w:szCs w:val="32"/>
        </w:rPr>
        <w:t>截至2022年12月31日，</w:t>
      </w:r>
      <w:r>
        <w:rPr>
          <w:rFonts w:hint="eastAsia" w:eastAsia="仿宋_GB2312"/>
          <w:sz w:val="32"/>
          <w:szCs w:val="32"/>
        </w:rPr>
        <w:t>县供销社</w:t>
      </w:r>
      <w:r>
        <w:rPr>
          <w:rFonts w:eastAsia="仿宋_GB2312"/>
          <w:sz w:val="32"/>
          <w:szCs w:val="32"/>
        </w:rPr>
        <w:t>共有车辆0辆，其中：主要领导干部用车0辆、机要通信用车0辆、应急保障用车0辆、其他用车0辆。单价100万元以上专用设备</w:t>
      </w:r>
      <w:r>
        <w:rPr>
          <w:rFonts w:hint="eastAsia" w:eastAsia="仿宋_GB2312"/>
          <w:sz w:val="32"/>
          <w:szCs w:val="32"/>
          <w:lang w:val="en-US" w:eastAsia="zh-CN"/>
        </w:rPr>
        <w:t>0</w:t>
      </w:r>
      <w:r>
        <w:rPr>
          <w:rFonts w:eastAsia="仿宋_GB2312"/>
          <w:sz w:val="32"/>
          <w:szCs w:val="32"/>
        </w:rPr>
        <w:t>台（套）。</w:t>
      </w:r>
    </w:p>
    <w:p w14:paraId="2B1079AA">
      <w:pPr>
        <w:autoSpaceDE w:val="0"/>
        <w:autoSpaceDN w:val="0"/>
        <w:adjustRightInd w:val="0"/>
        <w:spacing w:line="600" w:lineRule="exact"/>
        <w:ind w:firstLine="640" w:firstLineChars="200"/>
        <w:jc w:val="left"/>
        <w:outlineLvl w:val="2"/>
        <w:rPr>
          <w:rFonts w:ascii="方正楷体_GBK" w:hAnsi="方正楷体_GBK" w:eastAsia="方正楷体_GBK" w:cs="方正楷体_GBK"/>
          <w:bCs/>
          <w:sz w:val="32"/>
          <w:szCs w:val="32"/>
        </w:rPr>
      </w:pPr>
      <w:r>
        <w:rPr>
          <w:rFonts w:hint="eastAsia" w:ascii="方正楷体_GBK" w:hAnsi="方正楷体_GBK" w:eastAsia="方正楷体_GBK" w:cs="方正楷体_GBK"/>
          <w:bCs/>
          <w:sz w:val="32"/>
          <w:szCs w:val="32"/>
        </w:rPr>
        <w:t>（四）预算绩效管理情况。</w:t>
      </w:r>
    </w:p>
    <w:p w14:paraId="4605912A">
      <w:pPr>
        <w:widowControl/>
        <w:ind w:firstLine="640" w:firstLineChars="200"/>
        <w:jc w:val="left"/>
        <w:rPr>
          <w:rFonts w:eastAsia="仿宋_GB2312"/>
          <w:sz w:val="32"/>
          <w:szCs w:val="32"/>
        </w:rPr>
      </w:pPr>
      <w:r>
        <w:rPr>
          <w:rFonts w:eastAsia="仿宋_GB2312"/>
          <w:sz w:val="32"/>
          <w:szCs w:val="32"/>
        </w:rPr>
        <w:t>根据预算绩效管理要求，本部门在2022年度预算编制阶段，组织对“2022年基层社高质量发展示范县项目可行性分析报告编制费用专项预算”“盐边县供销社基层示范社建设资金专项预算”“2022年盐边县供销社推进基层供销社示范社建设专项预算”3个项目开展了预算事前绩效评估，对3个项目编制了绩效目标，预算执行过程中，选取3个项目开展绩效监控。</w:t>
      </w:r>
    </w:p>
    <w:p w14:paraId="60B62CFF">
      <w:pPr>
        <w:widowControl/>
        <w:ind w:firstLine="640" w:firstLineChars="200"/>
        <w:jc w:val="left"/>
        <w:rPr>
          <w:rFonts w:eastAsia="仿宋_GB2312"/>
          <w:b/>
          <w:sz w:val="32"/>
          <w:szCs w:val="32"/>
        </w:rPr>
      </w:pPr>
      <w:r>
        <w:rPr>
          <w:rFonts w:eastAsia="仿宋_GB2312"/>
          <w:sz w:val="32"/>
          <w:szCs w:val="32"/>
        </w:rPr>
        <w:t>组织对2022年度部门所有预算资金全面开展绩效自评，形成盐边县供销合作社联合社部门整体（含部门预算项目）绩效自评报告、2022年基层社高质量发展示范县项目可行性分析报告编制费用专项预算等专项预算项目绩效自评报告，其中，盐边县供销合作社联合社部门整体（含部门预算项目）绩效自评为</w:t>
      </w:r>
      <w:r>
        <w:rPr>
          <w:rFonts w:hint="eastAsia" w:eastAsia="仿宋_GB2312"/>
          <w:sz w:val="32"/>
          <w:szCs w:val="32"/>
        </w:rPr>
        <w:t>良</w:t>
      </w:r>
      <w:r>
        <w:rPr>
          <w:rFonts w:eastAsia="仿宋_GB2312"/>
          <w:sz w:val="32"/>
          <w:szCs w:val="32"/>
        </w:rPr>
        <w:t>，绩效自评综述：自评工作明确了时间节点和工作流程，自评工作开展顺利，准确性比较高。绩效自评报告详见附件。</w:t>
      </w:r>
      <w:r>
        <w:rPr>
          <w:rFonts w:eastAsia="仿宋_GB2312"/>
          <w:b/>
          <w:sz w:val="32"/>
          <w:szCs w:val="32"/>
        </w:rPr>
        <w:br w:type="page"/>
      </w:r>
    </w:p>
    <w:p w14:paraId="39C1E4B6">
      <w:pPr>
        <w:numPr>
          <w:ilvl w:val="0"/>
          <w:numId w:val="3"/>
        </w:numPr>
        <w:spacing w:line="600" w:lineRule="exact"/>
        <w:ind w:firstLine="660" w:firstLineChars="150"/>
        <w:jc w:val="center"/>
        <w:outlineLvl w:val="0"/>
        <w:rPr>
          <w:rStyle w:val="29"/>
          <w:rFonts w:eastAsia="黑体"/>
          <w:b w:val="0"/>
        </w:rPr>
      </w:pPr>
      <w:bookmarkStart w:id="51" w:name="_Toc15377225"/>
      <w:bookmarkStart w:id="52" w:name="_Toc15396613"/>
      <w:r>
        <w:rPr>
          <w:rFonts w:eastAsia="黑体"/>
          <w:sz w:val="44"/>
          <w:szCs w:val="44"/>
        </w:rPr>
        <w:t>名</w:t>
      </w:r>
      <w:r>
        <w:rPr>
          <w:rStyle w:val="29"/>
          <w:rFonts w:eastAsia="黑体"/>
          <w:b w:val="0"/>
        </w:rPr>
        <w:t>词解释</w:t>
      </w:r>
      <w:bookmarkEnd w:id="51"/>
      <w:bookmarkEnd w:id="52"/>
    </w:p>
    <w:p w14:paraId="5A341BC9">
      <w:pPr>
        <w:spacing w:line="600" w:lineRule="exact"/>
        <w:jc w:val="left"/>
        <w:rPr>
          <w:b/>
          <w:sz w:val="44"/>
          <w:szCs w:val="44"/>
        </w:rPr>
      </w:pPr>
    </w:p>
    <w:p w14:paraId="417203BC">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1.财政拨款收入：指单位从同级财政部门取得的财政预算资金。</w:t>
      </w:r>
    </w:p>
    <w:p w14:paraId="20B2D133">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2.事业收入：指事业单位开展专业业务活动及辅助活动取得的收入。</w:t>
      </w:r>
    </w:p>
    <w:p w14:paraId="010803DE">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3.经营收入：指事业单位在专业业务活动及其辅助活动之外开展非独立核算经营活动取得的收入。</w:t>
      </w:r>
    </w:p>
    <w:p w14:paraId="6CD58B5F">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4.其他收入：指单位取得的除上述收入以外的各项收入。</w:t>
      </w:r>
    </w:p>
    <w:p w14:paraId="2FD60D29">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5.使用非财政拨款结余：指事业单位使用以前年度积累的非财政拨款结余弥补当年收支差额的金额。</w:t>
      </w:r>
    </w:p>
    <w:p w14:paraId="0C3CBE3B">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6.年初结转和结余：指以前年度尚未完成、结转到本年按有关规定继续使用的资金。</w:t>
      </w:r>
    </w:p>
    <w:p w14:paraId="33B28B47">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7.结余分配：指事业单位按照会计制度规定缴纳的所得税、提取的专用结余以及转入非财政拨款结余的金额等。</w:t>
      </w:r>
    </w:p>
    <w:p w14:paraId="73D9E08D">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8.年末结转和结余：指单位按有关规定结转到下年或以后年度继续使用的资金。</w:t>
      </w:r>
    </w:p>
    <w:p w14:paraId="5BC17E1B">
      <w:pPr>
        <w:ind w:firstLine="640" w:firstLineChars="200"/>
        <w:rPr>
          <w:rFonts w:eastAsia="仿宋_GB2312"/>
          <w:color w:val="000000"/>
          <w:sz w:val="32"/>
          <w:szCs w:val="32"/>
        </w:rPr>
      </w:pPr>
      <w:r>
        <w:rPr>
          <w:rFonts w:eastAsia="仿宋_GB2312"/>
          <w:kern w:val="0"/>
          <w:sz w:val="32"/>
          <w:szCs w:val="32"/>
        </w:rPr>
        <w:t>9.社会保障和就业支出（类）行政事业单位养老支出（款）  行政单位离退休（项）:</w:t>
      </w:r>
      <w:r>
        <w:rPr>
          <w:rFonts w:eastAsia="仿宋_GB2312"/>
          <w:color w:val="000000"/>
          <w:sz w:val="32"/>
          <w:szCs w:val="32"/>
        </w:rPr>
        <w:t xml:space="preserve"> 指行政单位（包括实行公务员管理的事业单位）开支的离退休经费。</w:t>
      </w:r>
    </w:p>
    <w:p w14:paraId="72476F8B">
      <w:pPr>
        <w:ind w:firstLine="640" w:firstLineChars="200"/>
        <w:rPr>
          <w:rFonts w:eastAsia="仿宋_GB2312"/>
          <w:color w:val="000000"/>
          <w:sz w:val="32"/>
          <w:szCs w:val="32"/>
        </w:rPr>
      </w:pPr>
      <w:r>
        <w:rPr>
          <w:rFonts w:eastAsia="仿宋_GB2312"/>
          <w:kern w:val="0"/>
          <w:sz w:val="32"/>
          <w:szCs w:val="32"/>
        </w:rPr>
        <w:t>10.社会保障和就业支出（类）行政事业单位养老支出（款) 机关事业单位基本养老保险缴费支出（项）:</w:t>
      </w:r>
      <w:r>
        <w:rPr>
          <w:rFonts w:eastAsia="仿宋_GB2312"/>
          <w:color w:val="000000"/>
          <w:sz w:val="32"/>
          <w:szCs w:val="32"/>
        </w:rPr>
        <w:t>指机关事业单位实施养老保险制度由单位缴纳的基本养老保险费支出。</w:t>
      </w:r>
    </w:p>
    <w:p w14:paraId="3BF29F68">
      <w:pPr>
        <w:rPr>
          <w:rFonts w:eastAsia="仿宋_GB2312"/>
          <w:kern w:val="0"/>
          <w:sz w:val="32"/>
          <w:szCs w:val="32"/>
        </w:rPr>
      </w:pPr>
      <w:r>
        <w:rPr>
          <w:rFonts w:hint="eastAsia" w:eastAsia="仿宋_GB2312"/>
          <w:kern w:val="0"/>
          <w:sz w:val="32"/>
          <w:szCs w:val="32"/>
        </w:rPr>
        <w:t>　　</w:t>
      </w:r>
      <w:r>
        <w:rPr>
          <w:rFonts w:eastAsia="仿宋_GB2312"/>
          <w:kern w:val="0"/>
          <w:sz w:val="32"/>
          <w:szCs w:val="32"/>
        </w:rPr>
        <w:t xml:space="preserve">11.社会保障和就业支出（类）抚恤(款）伤残抚恤（项）：指按规定用于伤残人员的抚恤金和按规定开支的各种伤残补助费。 </w:t>
      </w:r>
    </w:p>
    <w:p w14:paraId="7E688C4A">
      <w:pPr>
        <w:rPr>
          <w:rFonts w:eastAsia="仿宋_GB2312"/>
          <w:kern w:val="0"/>
          <w:sz w:val="32"/>
          <w:szCs w:val="32"/>
        </w:rPr>
      </w:pPr>
      <w:r>
        <w:rPr>
          <w:rFonts w:hint="eastAsia"/>
          <w:sz w:val="32"/>
          <w:szCs w:val="32"/>
        </w:rPr>
        <w:t>　　</w:t>
      </w:r>
      <w:r>
        <w:rPr>
          <w:sz w:val="32"/>
          <w:szCs w:val="32"/>
        </w:rPr>
        <w:t>1</w:t>
      </w:r>
      <w:r>
        <w:rPr>
          <w:rFonts w:eastAsia="仿宋_GB2312"/>
          <w:kern w:val="0"/>
          <w:sz w:val="32"/>
          <w:szCs w:val="32"/>
        </w:rPr>
        <w:t>2.卫生健康支出（类）行政事业单位医疗(款）行政单位医疗（项）：指财政部门安排的行政单位（包括实行公务员管理的事业单位）基本医疗保险缴费经费，未参加医疗保险的行政单位的公费医疗经费，按国家规定享受离休人员、红军老战士待遇人员的医疗经费。</w:t>
      </w:r>
    </w:p>
    <w:p w14:paraId="616D0235">
      <w:pPr>
        <w:rPr>
          <w:rFonts w:eastAsia="仿宋_GB2312"/>
          <w:kern w:val="0"/>
          <w:sz w:val="32"/>
          <w:szCs w:val="32"/>
        </w:rPr>
      </w:pPr>
      <w:r>
        <w:rPr>
          <w:rFonts w:eastAsia="仿宋_GB2312"/>
          <w:kern w:val="0"/>
          <w:sz w:val="32"/>
          <w:szCs w:val="32"/>
        </w:rPr>
        <w:t xml:space="preserve">    13.卫生健康支出（类）行政事业单位医疗(款）公务员医疗补助（项）：反应财政部门安排的公务员医疗补助经费。</w:t>
      </w:r>
    </w:p>
    <w:p w14:paraId="4C306719">
      <w:pPr>
        <w:rPr>
          <w:rFonts w:eastAsia="仿宋_GB2312"/>
          <w:kern w:val="0"/>
          <w:sz w:val="32"/>
          <w:szCs w:val="32"/>
        </w:rPr>
      </w:pPr>
      <w:r>
        <w:rPr>
          <w:rFonts w:eastAsia="仿宋_GB2312"/>
          <w:kern w:val="0"/>
          <w:sz w:val="32"/>
          <w:szCs w:val="32"/>
        </w:rPr>
        <w:t xml:space="preserve">    14.商业服务业等支出（类）商业流通事务(款）行政运行（项）：</w:t>
      </w:r>
      <w:r>
        <w:rPr>
          <w:rFonts w:eastAsia="仿宋_GB2312"/>
          <w:bCs/>
          <w:color w:val="000000"/>
          <w:sz w:val="32"/>
          <w:szCs w:val="32"/>
        </w:rPr>
        <w:t>指行政单位</w:t>
      </w:r>
      <w:r>
        <w:rPr>
          <w:rFonts w:eastAsia="仿宋_GB2312"/>
          <w:color w:val="000000"/>
          <w:sz w:val="32"/>
          <w:szCs w:val="32"/>
        </w:rPr>
        <w:t>(包括实行公务员管理的事业单位）</w:t>
      </w:r>
      <w:r>
        <w:rPr>
          <w:rFonts w:eastAsia="仿宋_GB2312"/>
          <w:bCs/>
          <w:color w:val="000000"/>
          <w:sz w:val="32"/>
          <w:szCs w:val="32"/>
        </w:rPr>
        <w:t>的基本支出</w:t>
      </w:r>
      <w:r>
        <w:rPr>
          <w:rFonts w:eastAsia="仿宋_GB2312"/>
          <w:kern w:val="0"/>
          <w:sz w:val="32"/>
          <w:szCs w:val="32"/>
        </w:rPr>
        <w:t>。</w:t>
      </w:r>
    </w:p>
    <w:p w14:paraId="424F18DA">
      <w:pPr>
        <w:rPr>
          <w:rFonts w:eastAsia="仿宋_GB2312"/>
          <w:kern w:val="0"/>
          <w:sz w:val="32"/>
          <w:szCs w:val="32"/>
        </w:rPr>
      </w:pPr>
      <w:r>
        <w:rPr>
          <w:rFonts w:hint="eastAsia" w:eastAsia="仿宋_GB2312"/>
          <w:kern w:val="0"/>
          <w:sz w:val="32"/>
          <w:szCs w:val="32"/>
        </w:rPr>
        <w:t>　　</w:t>
      </w:r>
      <w:r>
        <w:rPr>
          <w:rFonts w:eastAsia="仿宋_GB2312"/>
          <w:kern w:val="0"/>
          <w:sz w:val="32"/>
          <w:szCs w:val="32"/>
        </w:rPr>
        <w:t>15.商业服务业等支出</w:t>
      </w:r>
      <w:r>
        <w:rPr>
          <w:rFonts w:eastAsia="仿宋_GB2312"/>
          <w:sz w:val="32"/>
          <w:szCs w:val="32"/>
        </w:rPr>
        <w:t>（类）商业流通事务(款）其他商业流通事务支出（项）：</w:t>
      </w:r>
      <w:r>
        <w:rPr>
          <w:rFonts w:eastAsia="仿宋_GB2312"/>
          <w:kern w:val="0"/>
          <w:sz w:val="32"/>
          <w:szCs w:val="32"/>
        </w:rPr>
        <w:t xml:space="preserve">指其他用于商业流通事务方面的支出。 </w:t>
      </w:r>
    </w:p>
    <w:p w14:paraId="5EB6C11D">
      <w:pPr>
        <w:rPr>
          <w:rFonts w:eastAsia="仿宋_GB2312"/>
          <w:kern w:val="0"/>
          <w:sz w:val="32"/>
          <w:szCs w:val="32"/>
        </w:rPr>
      </w:pPr>
      <w:r>
        <w:rPr>
          <w:rFonts w:eastAsia="仿宋_GB2312"/>
          <w:kern w:val="0"/>
          <w:sz w:val="32"/>
          <w:szCs w:val="32"/>
        </w:rPr>
        <w:t xml:space="preserve">    16.住房保障支出（类）住房改革支出(款）住房公积金（项）：</w:t>
      </w:r>
      <w:r>
        <w:rPr>
          <w:rFonts w:eastAsia="仿宋_GB2312"/>
          <w:bCs/>
          <w:color w:val="000000"/>
          <w:sz w:val="32"/>
          <w:szCs w:val="32"/>
        </w:rPr>
        <w:t>指行政事业单位按人力资源和社会保障部、财政部规定的基本工资和津贴补贴以及规定比例为职工缴纳的住房公积金</w:t>
      </w:r>
      <w:r>
        <w:rPr>
          <w:rFonts w:eastAsia="仿宋_GB2312"/>
          <w:kern w:val="0"/>
          <w:sz w:val="32"/>
          <w:szCs w:val="32"/>
        </w:rPr>
        <w:t>。</w:t>
      </w:r>
    </w:p>
    <w:p w14:paraId="6F8A92BB">
      <w:pPr>
        <w:ind w:firstLine="640" w:firstLineChars="200"/>
        <w:rPr>
          <w:rFonts w:eastAsia="仿宋_GB2312"/>
          <w:sz w:val="32"/>
          <w:szCs w:val="32"/>
        </w:rPr>
      </w:pPr>
      <w:r>
        <w:rPr>
          <w:rFonts w:eastAsia="仿宋_GB2312"/>
          <w:sz w:val="32"/>
          <w:szCs w:val="32"/>
        </w:rPr>
        <w:t>17.基本支出：指为保障机构正常运转、完成日常工作任务而发生的人员支出和公用支出。</w:t>
      </w:r>
    </w:p>
    <w:p w14:paraId="35A67FD4">
      <w:pPr>
        <w:ind w:firstLine="640" w:firstLineChars="200"/>
        <w:rPr>
          <w:rFonts w:eastAsia="仿宋_GB2312"/>
          <w:sz w:val="32"/>
          <w:szCs w:val="32"/>
        </w:rPr>
      </w:pPr>
      <w:r>
        <w:rPr>
          <w:rFonts w:eastAsia="仿宋_GB2312"/>
          <w:sz w:val="32"/>
          <w:szCs w:val="32"/>
        </w:rPr>
        <w:t>18.项目支出：指在基本支出之外为完成特定行政任务和事业发展目标所发生的支出。</w:t>
      </w:r>
    </w:p>
    <w:p w14:paraId="762619A2">
      <w:pPr>
        <w:ind w:firstLine="640" w:firstLineChars="200"/>
        <w:rPr>
          <w:rFonts w:eastAsia="仿宋_GB2312"/>
          <w:sz w:val="32"/>
          <w:szCs w:val="32"/>
        </w:rPr>
      </w:pPr>
      <w:r>
        <w:rPr>
          <w:rFonts w:eastAsia="仿宋_GB2312"/>
          <w:sz w:val="32"/>
          <w:szCs w:val="32"/>
        </w:rPr>
        <w:t>19.经营支出：指事业单位在专业业务活动及其辅助活动之外开展非独立核算经营活动发生的支出。</w:t>
      </w:r>
    </w:p>
    <w:p w14:paraId="073E60EE">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三公”经费：指部门用财政拨款安排的因公出国（境）费、公务用车购置及运行费和公务接待费。其中，因公出国（境）费反映单位公务出国（境）的国际旅费、国外城市间交通费、住宿费、伙食费、培训费、公杂费等支出；公务用车购置及运行</w:t>
      </w:r>
      <w:r>
        <w:rPr>
          <w:rFonts w:hint="eastAsia" w:ascii="Times New Roman" w:hAnsi="Times New Roman" w:eastAsia="仿宋_GB2312" w:cs="Times New Roman"/>
          <w:color w:val="auto"/>
          <w:sz w:val="32"/>
          <w:szCs w:val="32"/>
          <w:lang w:eastAsia="zh-CN"/>
        </w:rPr>
        <w:t>维护</w:t>
      </w:r>
      <w:r>
        <w:rPr>
          <w:rFonts w:ascii="Times New Roman" w:hAnsi="Times New Roman" w:eastAsia="仿宋_GB2312" w:cs="Times New Roman"/>
          <w:color w:val="auto"/>
          <w:sz w:val="32"/>
          <w:szCs w:val="32"/>
        </w:rPr>
        <w:t>费反映单位公务用车购置支出（含车辆购置税</w:t>
      </w:r>
      <w:r>
        <w:rPr>
          <w:rFonts w:hint="eastAsia" w:ascii="Times New Roman" w:hAnsi="Times New Roman" w:eastAsia="仿宋_GB2312" w:cs="Times New Roman"/>
          <w:color w:val="auto"/>
          <w:sz w:val="32"/>
          <w:szCs w:val="32"/>
          <w:lang w:eastAsia="zh-CN"/>
        </w:rPr>
        <w:t>、牌照费</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及按规定保留的公务用车</w:t>
      </w:r>
      <w:r>
        <w:rPr>
          <w:rFonts w:ascii="Times New Roman" w:hAnsi="Times New Roman" w:eastAsia="仿宋_GB2312" w:cs="Times New Roman"/>
          <w:color w:val="auto"/>
          <w:sz w:val="32"/>
          <w:szCs w:val="32"/>
        </w:rPr>
        <w:t>燃料费、维修费、过桥</w:t>
      </w:r>
      <w:r>
        <w:rPr>
          <w:rFonts w:hint="eastAsia" w:ascii="Times New Roman" w:hAnsi="Times New Roman" w:eastAsia="仿宋_GB2312" w:cs="Times New Roman"/>
          <w:color w:val="auto"/>
          <w:sz w:val="32"/>
          <w:szCs w:val="32"/>
          <w:lang w:eastAsia="zh-CN"/>
        </w:rPr>
        <w:t>过路</w:t>
      </w:r>
      <w:r>
        <w:rPr>
          <w:rFonts w:ascii="Times New Roman" w:hAnsi="Times New Roman" w:eastAsia="仿宋_GB2312" w:cs="Times New Roman"/>
          <w:color w:val="auto"/>
          <w:sz w:val="32"/>
          <w:szCs w:val="32"/>
        </w:rPr>
        <w:t>费、保险费</w:t>
      </w:r>
      <w:r>
        <w:rPr>
          <w:rFonts w:hint="eastAsia" w:ascii="Times New Roman" w:hAnsi="Times New Roman" w:eastAsia="仿宋_GB2312" w:cs="Times New Roman"/>
          <w:color w:val="auto"/>
          <w:sz w:val="32"/>
          <w:szCs w:val="32"/>
          <w:lang w:eastAsia="zh-CN"/>
        </w:rPr>
        <w:t>、安全奖励费用</w:t>
      </w:r>
      <w:r>
        <w:rPr>
          <w:rFonts w:ascii="Times New Roman" w:hAnsi="Times New Roman" w:eastAsia="仿宋_GB2312" w:cs="Times New Roman"/>
          <w:color w:val="auto"/>
          <w:sz w:val="32"/>
          <w:szCs w:val="32"/>
        </w:rPr>
        <w:t>等支出；公务接待费反映单位按规定开支的各类公务接待（含外宾接待）</w:t>
      </w:r>
      <w:r>
        <w:rPr>
          <w:rFonts w:hint="eastAsia" w:ascii="Times New Roman" w:hAnsi="Times New Roman" w:eastAsia="仿宋_GB2312" w:cs="Times New Roman"/>
          <w:color w:val="auto"/>
          <w:sz w:val="32"/>
          <w:szCs w:val="32"/>
          <w:lang w:eastAsia="zh-CN"/>
        </w:rPr>
        <w:t>费用</w:t>
      </w:r>
      <w:r>
        <w:rPr>
          <w:rFonts w:ascii="Times New Roman" w:hAnsi="Times New Roman" w:eastAsia="仿宋_GB2312" w:cs="Times New Roman"/>
          <w:color w:val="auto"/>
          <w:sz w:val="32"/>
          <w:szCs w:val="32"/>
        </w:rPr>
        <w:t>。</w:t>
      </w:r>
    </w:p>
    <w:p w14:paraId="16970C5A">
      <w:pPr>
        <w:pStyle w:val="27"/>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FEDC55A">
      <w:pPr>
        <w:spacing w:line="600" w:lineRule="exact"/>
        <w:jc w:val="center"/>
        <w:outlineLvl w:val="0"/>
        <w:rPr>
          <w:rStyle w:val="29"/>
          <w:rFonts w:eastAsia="黑体"/>
          <w:b w:val="0"/>
        </w:rPr>
      </w:pPr>
      <w:bookmarkStart w:id="53" w:name="_Toc15377226"/>
      <w:r>
        <w:rPr>
          <w:b/>
          <w:sz w:val="44"/>
          <w:szCs w:val="44"/>
        </w:rPr>
        <w:br w:type="page"/>
      </w:r>
      <w:bookmarkStart w:id="54" w:name="_Toc15396614"/>
      <w:r>
        <w:rPr>
          <w:rFonts w:eastAsia="黑体"/>
          <w:sz w:val="44"/>
          <w:szCs w:val="44"/>
        </w:rPr>
        <w:t>第</w:t>
      </w:r>
      <w:r>
        <w:rPr>
          <w:rStyle w:val="29"/>
          <w:rFonts w:eastAsia="黑体"/>
          <w:b w:val="0"/>
        </w:rPr>
        <w:t>四部分 附件</w:t>
      </w:r>
      <w:bookmarkEnd w:id="54"/>
    </w:p>
    <w:p w14:paraId="376140A9">
      <w:pPr>
        <w:widowControl/>
        <w:spacing w:line="560" w:lineRule="exact"/>
        <w:contextualSpacing/>
        <w:rPr>
          <w:b/>
          <w:sz w:val="32"/>
          <w:szCs w:val="32"/>
          <w:shd w:val="clear" w:color="auto" w:fill="FFFFFF"/>
        </w:rPr>
      </w:pPr>
    </w:p>
    <w:p w14:paraId="0CD47664">
      <w:pPr>
        <w:widowControl/>
        <w:spacing w:line="560" w:lineRule="exact"/>
        <w:contextualSpacing/>
        <w:rPr>
          <w:rFonts w:eastAsia="仿宋_GB2312"/>
          <w:kern w:val="0"/>
          <w:sz w:val="32"/>
          <w:szCs w:val="32"/>
        </w:rPr>
      </w:pPr>
      <w:r>
        <w:rPr>
          <w:rFonts w:eastAsia="仿宋_GB2312"/>
          <w:kern w:val="0"/>
          <w:sz w:val="32"/>
          <w:szCs w:val="32"/>
        </w:rPr>
        <w:t>附件1</w:t>
      </w:r>
    </w:p>
    <w:p w14:paraId="4F4188D9">
      <w:pPr>
        <w:pStyle w:val="6"/>
        <w:spacing w:before="93"/>
        <w:rPr>
          <w:rFonts w:ascii="Times New Roman"/>
        </w:rPr>
      </w:pPr>
    </w:p>
    <w:p w14:paraId="74ED648F">
      <w:pPr>
        <w:widowControl/>
        <w:spacing w:line="560" w:lineRule="exact"/>
        <w:contextualSpacing/>
        <w:jc w:val="center"/>
        <w:rPr>
          <w:rFonts w:ascii="方正小标宋_GBK" w:hAnsi="方正小标宋_GBK" w:eastAsia="方正小标宋_GBK" w:cs="方正小标宋_GBK"/>
          <w:bCs/>
          <w:color w:val="000000" w:themeColor="text1"/>
          <w:sz w:val="44"/>
          <w:szCs w:val="44"/>
          <w:shd w:val="clear" w:color="auto" w:fill="FFFFFF"/>
        </w:rPr>
      </w:pPr>
      <w:r>
        <w:rPr>
          <w:rFonts w:hint="eastAsia" w:ascii="方正小标宋_GBK" w:hAnsi="方正小标宋_GBK" w:eastAsia="方正小标宋_GBK" w:cs="方正小标宋_GBK"/>
          <w:bCs/>
          <w:color w:val="000000" w:themeColor="text1"/>
          <w:sz w:val="44"/>
          <w:szCs w:val="44"/>
          <w:shd w:val="clear" w:color="auto" w:fill="FFFFFF"/>
        </w:rPr>
        <w:t>2022年盐边县供销合作社联合社整体绩效评价报告</w:t>
      </w:r>
    </w:p>
    <w:p w14:paraId="4F245356">
      <w:pPr>
        <w:widowControl/>
        <w:adjustRightInd w:val="0"/>
        <w:snapToGrid w:val="0"/>
        <w:spacing w:line="560" w:lineRule="exact"/>
        <w:ind w:firstLine="640" w:firstLineChars="200"/>
        <w:contextualSpacing/>
        <w:jc w:val="left"/>
        <w:rPr>
          <w:rFonts w:eastAsia="黑体"/>
          <w:kern w:val="0"/>
          <w:sz w:val="32"/>
          <w:szCs w:val="32"/>
          <w:shd w:val="clear" w:color="auto" w:fill="FFFFFF"/>
        </w:rPr>
      </w:pPr>
    </w:p>
    <w:p w14:paraId="675B13F0">
      <w:pPr>
        <w:widowControl/>
        <w:numPr>
          <w:ilvl w:val="0"/>
          <w:numId w:val="4"/>
        </w:numPr>
        <w:adjustRightInd w:val="0"/>
        <w:snapToGrid w:val="0"/>
        <w:spacing w:line="560" w:lineRule="exact"/>
        <w:ind w:firstLine="640" w:firstLineChars="200"/>
        <w:contextualSpacing/>
        <w:jc w:val="left"/>
        <w:rPr>
          <w:rFonts w:eastAsia="黑体"/>
          <w:kern w:val="0"/>
          <w:sz w:val="32"/>
          <w:szCs w:val="32"/>
          <w:shd w:val="clear" w:color="auto" w:fill="FFFFFF"/>
          <w:lang w:val="zh-CN"/>
        </w:rPr>
      </w:pPr>
      <w:r>
        <w:rPr>
          <w:rFonts w:eastAsia="黑体"/>
          <w:kern w:val="0"/>
          <w:sz w:val="32"/>
          <w:szCs w:val="32"/>
          <w:shd w:val="clear" w:color="auto" w:fill="FFFFFF"/>
          <w:lang w:val="zh-CN"/>
        </w:rPr>
        <w:t>部门（单位）基本情况</w:t>
      </w:r>
    </w:p>
    <w:p w14:paraId="17F086A4">
      <w:pPr>
        <w:widowControl/>
        <w:numPr>
          <w:ilvl w:val="0"/>
          <w:numId w:val="5"/>
        </w:numPr>
        <w:adjustRightInd w:val="0"/>
        <w:snapToGrid w:val="0"/>
        <w:spacing w:line="560" w:lineRule="exact"/>
        <w:ind w:firstLine="640" w:firstLineChars="200"/>
        <w:contextualSpacing/>
        <w:jc w:val="left"/>
        <w:rPr>
          <w:rFonts w:eastAsia="楷体_GB2312"/>
          <w:kern w:val="0"/>
          <w:sz w:val="32"/>
          <w:szCs w:val="32"/>
          <w:shd w:val="clear" w:color="auto" w:fill="FFFFFF"/>
          <w:lang w:val="zh-CN"/>
        </w:rPr>
      </w:pPr>
      <w:r>
        <w:rPr>
          <w:rFonts w:eastAsia="楷体_GB2312"/>
          <w:kern w:val="0"/>
          <w:sz w:val="32"/>
          <w:szCs w:val="32"/>
          <w:shd w:val="clear" w:color="auto" w:fill="FFFFFF"/>
          <w:lang w:val="zh-CN"/>
        </w:rPr>
        <w:t>机构组成。</w:t>
      </w:r>
    </w:p>
    <w:p w14:paraId="7F22D011">
      <w:pPr>
        <w:snapToGrid w:val="0"/>
        <w:spacing w:line="520" w:lineRule="exact"/>
        <w:ind w:firstLine="640" w:firstLineChars="200"/>
        <w:rPr>
          <w:rFonts w:eastAsia="仿宋_GB2312"/>
        </w:rPr>
      </w:pPr>
      <w:r>
        <w:rPr>
          <w:rFonts w:eastAsia="方正仿宋_GBK"/>
          <w:color w:val="000000"/>
          <w:sz w:val="32"/>
          <w:szCs w:val="32"/>
        </w:rPr>
        <w:t>本单位为参公管理的事业单位，没有下属二级单位，单位内设3个股室，分别为办公室、发展指导股、财会审计股。</w:t>
      </w:r>
    </w:p>
    <w:p w14:paraId="79502EEA">
      <w:pPr>
        <w:widowControl/>
        <w:numPr>
          <w:ilvl w:val="0"/>
          <w:numId w:val="5"/>
        </w:numPr>
        <w:adjustRightInd w:val="0"/>
        <w:snapToGrid w:val="0"/>
        <w:spacing w:line="560" w:lineRule="exact"/>
        <w:ind w:firstLine="640" w:firstLineChars="200"/>
        <w:contextualSpacing/>
        <w:jc w:val="left"/>
        <w:rPr>
          <w:rFonts w:eastAsia="楷体_GB2312"/>
          <w:kern w:val="0"/>
          <w:sz w:val="32"/>
          <w:szCs w:val="32"/>
          <w:shd w:val="clear" w:color="auto" w:fill="FFFFFF"/>
          <w:lang w:val="zh-CN"/>
        </w:rPr>
      </w:pPr>
      <w:r>
        <w:rPr>
          <w:rFonts w:eastAsia="楷体_GB2312"/>
          <w:kern w:val="0"/>
          <w:sz w:val="32"/>
          <w:szCs w:val="32"/>
          <w:shd w:val="clear" w:color="auto" w:fill="FFFFFF"/>
          <w:lang w:val="zh-CN"/>
        </w:rPr>
        <w:t>机构职能和人员概况。</w:t>
      </w:r>
    </w:p>
    <w:p w14:paraId="64F3B307">
      <w:pPr>
        <w:snapToGrid w:val="0"/>
        <w:spacing w:line="520" w:lineRule="exact"/>
        <w:ind w:firstLine="640" w:firstLineChars="200"/>
        <w:rPr>
          <w:rFonts w:eastAsia="方正仿宋_GBK"/>
          <w:color w:val="000000"/>
          <w:sz w:val="32"/>
          <w:szCs w:val="32"/>
        </w:rPr>
      </w:pPr>
      <w:r>
        <w:rPr>
          <w:rFonts w:eastAsia="方正仿宋_GBK"/>
          <w:color w:val="000000"/>
          <w:sz w:val="32"/>
          <w:szCs w:val="32"/>
        </w:rPr>
        <w:t xml:space="preserve"> 机构职能：为农业、农村、农民提供综合服务。对公司基层社进行指导、协调、监督、服务工作，对重要农业生产资料及其他商品经营进行组织、协调、管理，对社有资产进行中短期投资。</w:t>
      </w:r>
    </w:p>
    <w:p w14:paraId="3F9C3F6D">
      <w:pPr>
        <w:snapToGrid w:val="0"/>
        <w:spacing w:line="520" w:lineRule="exact"/>
        <w:ind w:firstLine="640" w:firstLineChars="200"/>
        <w:rPr>
          <w:rFonts w:eastAsia="方正仿宋_GBK"/>
          <w:color w:val="000000"/>
          <w:sz w:val="32"/>
          <w:szCs w:val="32"/>
        </w:rPr>
      </w:pPr>
      <w:r>
        <w:rPr>
          <w:rFonts w:eastAsia="方正仿宋_GBK"/>
          <w:color w:val="000000"/>
          <w:sz w:val="32"/>
          <w:szCs w:val="32"/>
        </w:rPr>
        <w:t xml:space="preserve">人员概况：2022年年初在职职工7人，全年调出2人，调进3人，新录进1人，年末总共9人。 </w:t>
      </w:r>
    </w:p>
    <w:p w14:paraId="189CBBD0">
      <w:pPr>
        <w:widowControl/>
        <w:numPr>
          <w:ilvl w:val="0"/>
          <w:numId w:val="5"/>
        </w:numPr>
        <w:adjustRightInd w:val="0"/>
        <w:snapToGrid w:val="0"/>
        <w:spacing w:line="560" w:lineRule="exact"/>
        <w:ind w:firstLine="640" w:firstLineChars="200"/>
        <w:contextualSpacing/>
        <w:jc w:val="left"/>
        <w:rPr>
          <w:rFonts w:eastAsia="楷体_GB2312"/>
          <w:kern w:val="0"/>
          <w:sz w:val="32"/>
          <w:szCs w:val="32"/>
          <w:shd w:val="clear" w:color="auto" w:fill="FFFFFF"/>
          <w:lang w:val="zh-CN"/>
        </w:rPr>
      </w:pPr>
      <w:r>
        <w:rPr>
          <w:rFonts w:eastAsia="楷体_GB2312"/>
          <w:kern w:val="0"/>
          <w:sz w:val="32"/>
          <w:szCs w:val="32"/>
          <w:shd w:val="clear" w:color="auto" w:fill="FFFFFF"/>
          <w:lang w:val="zh-CN"/>
        </w:rPr>
        <w:t>年度主要工作任务。</w:t>
      </w:r>
    </w:p>
    <w:p w14:paraId="72D9468A">
      <w:pPr>
        <w:snapToGrid w:val="0"/>
        <w:spacing w:line="520" w:lineRule="exact"/>
        <w:ind w:firstLine="640" w:firstLineChars="200"/>
        <w:rPr>
          <w:rFonts w:ascii="方正仿宋_GBK" w:hAnsi="方正仿宋_GBK" w:eastAsia="方正仿宋_GBK" w:cs="方正仿宋_GBK"/>
          <w:color w:val="000000"/>
          <w:sz w:val="32"/>
          <w:szCs w:val="32"/>
        </w:rPr>
      </w:pPr>
      <w:r>
        <w:rPr>
          <w:rFonts w:eastAsia="方正仿宋_GBK"/>
          <w:color w:val="000000"/>
          <w:sz w:val="32"/>
          <w:szCs w:val="32"/>
        </w:rPr>
        <w:t>2022</w:t>
      </w:r>
      <w:r>
        <w:rPr>
          <w:rFonts w:hint="eastAsia" w:eastAsia="方正仿宋_GBK"/>
          <w:color w:val="000000"/>
          <w:sz w:val="32"/>
          <w:szCs w:val="32"/>
          <w:lang w:eastAsia="zh-CN"/>
        </w:rPr>
        <w:t>年</w:t>
      </w:r>
      <w:r>
        <w:rPr>
          <w:rFonts w:eastAsia="方正仿宋_GBK"/>
          <w:color w:val="000000"/>
          <w:sz w:val="32"/>
          <w:szCs w:val="32"/>
        </w:rPr>
        <w:t>力争完成市供销社下达的经济</w:t>
      </w:r>
      <w:r>
        <w:rPr>
          <w:rFonts w:hint="eastAsia" w:ascii="方正仿宋_GBK" w:hAnsi="方正仿宋_GBK" w:eastAsia="方正仿宋_GBK" w:cs="方正仿宋_GBK"/>
          <w:color w:val="000000"/>
          <w:sz w:val="32"/>
          <w:szCs w:val="32"/>
        </w:rPr>
        <w:t>指标任务；按照年度改革任务，进一步深化供销社综合改革，积极争取省市县综改资金，并做好相关项目实施；加强基层社示范社创建，进一步提升为农服务能力；结合做好两项改革“后半篇”文章工作要求，在涉改村新建基层社；发挥行业优势，做好巩固脱贫攻坚和乡村振兴有效衔接。</w:t>
      </w:r>
    </w:p>
    <w:p w14:paraId="4E5063DE">
      <w:pPr>
        <w:widowControl/>
        <w:numPr>
          <w:ilvl w:val="0"/>
          <w:numId w:val="5"/>
        </w:numPr>
        <w:adjustRightInd w:val="0"/>
        <w:snapToGrid w:val="0"/>
        <w:spacing w:line="560" w:lineRule="exact"/>
        <w:ind w:firstLine="640" w:firstLineChars="200"/>
        <w:contextualSpacing/>
        <w:jc w:val="left"/>
        <w:rPr>
          <w:rFonts w:eastAsia="楷体_GB2312"/>
          <w:kern w:val="0"/>
          <w:sz w:val="32"/>
          <w:szCs w:val="32"/>
          <w:shd w:val="clear" w:color="auto" w:fill="FFFFFF"/>
          <w:lang w:val="zh-CN"/>
        </w:rPr>
      </w:pPr>
      <w:r>
        <w:rPr>
          <w:rFonts w:eastAsia="楷体_GB2312"/>
          <w:kern w:val="0"/>
          <w:sz w:val="32"/>
          <w:szCs w:val="32"/>
          <w:shd w:val="clear" w:color="auto" w:fill="FFFFFF"/>
          <w:lang w:val="zh-CN"/>
        </w:rPr>
        <w:t>部门整体支出绩效目标。</w:t>
      </w:r>
    </w:p>
    <w:p w14:paraId="36FE91AC">
      <w:pPr>
        <w:widowControl/>
        <w:adjustRightInd w:val="0"/>
        <w:snapToGrid w:val="0"/>
        <w:spacing w:line="520" w:lineRule="exact"/>
        <w:ind w:firstLine="640" w:firstLineChars="200"/>
        <w:contextualSpacing/>
        <w:rPr>
          <w:rFonts w:eastAsia="方正仿宋_GBK"/>
          <w:color w:val="000000"/>
          <w:sz w:val="32"/>
          <w:szCs w:val="32"/>
        </w:rPr>
      </w:pPr>
      <w:r>
        <w:rPr>
          <w:rFonts w:eastAsia="方正仿宋_GBK"/>
          <w:color w:val="000000"/>
          <w:sz w:val="32"/>
          <w:szCs w:val="32"/>
        </w:rPr>
        <w:t>为农业、农村、农民提供综合服务</w:t>
      </w:r>
      <w:r>
        <w:rPr>
          <w:rFonts w:hint="eastAsia" w:eastAsia="方正仿宋_GBK"/>
          <w:color w:val="000000"/>
          <w:sz w:val="32"/>
          <w:szCs w:val="32"/>
        </w:rPr>
        <w:t>，</w:t>
      </w:r>
      <w:r>
        <w:rPr>
          <w:rFonts w:eastAsia="方正仿宋_GBK"/>
          <w:color w:val="000000"/>
          <w:sz w:val="32"/>
          <w:szCs w:val="32"/>
        </w:rPr>
        <w:t>保障农资商品质量安全，促进农资市场有序、健康发展，打造生产、供销、信用“三位一体”的经营服务平台，构建农资商品销售和农技服务线上线下对接的全新模式，提升供销社农资行业治理现代化水平和为农服务能力</w:t>
      </w:r>
      <w:r>
        <w:rPr>
          <w:rFonts w:hint="eastAsia" w:eastAsia="方正仿宋_GBK"/>
          <w:color w:val="000000"/>
          <w:sz w:val="32"/>
          <w:szCs w:val="32"/>
        </w:rPr>
        <w:t>。</w:t>
      </w:r>
    </w:p>
    <w:p w14:paraId="264344F6">
      <w:pPr>
        <w:widowControl/>
        <w:adjustRightInd w:val="0"/>
        <w:snapToGrid w:val="0"/>
        <w:spacing w:line="56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二、部门资金收支情况</w:t>
      </w:r>
    </w:p>
    <w:p w14:paraId="5164327A">
      <w:pPr>
        <w:widowControl/>
        <w:adjustRightInd w:val="0"/>
        <w:snapToGrid w:val="0"/>
        <w:spacing w:line="560" w:lineRule="exact"/>
        <w:ind w:firstLine="640" w:firstLineChars="200"/>
        <w:contextualSpacing/>
        <w:jc w:val="left"/>
        <w:rPr>
          <w:rFonts w:eastAsia="楷体_GB2312"/>
          <w:kern w:val="0"/>
          <w:sz w:val="32"/>
          <w:szCs w:val="32"/>
          <w:shd w:val="clear" w:color="auto" w:fill="FFFFFF"/>
          <w:lang w:val="zh-CN"/>
        </w:rPr>
      </w:pPr>
      <w:r>
        <w:rPr>
          <w:rFonts w:eastAsia="楷体_GB2312"/>
          <w:kern w:val="0"/>
          <w:sz w:val="32"/>
          <w:szCs w:val="32"/>
          <w:shd w:val="clear" w:color="auto" w:fill="FFFFFF"/>
          <w:lang w:val="zh-CN"/>
        </w:rPr>
        <w:t>（一）部门总体收支情况。</w:t>
      </w:r>
    </w:p>
    <w:p w14:paraId="0BDC679F">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1.部门总体收入情况</w:t>
      </w:r>
      <w:r>
        <w:rPr>
          <w:rFonts w:hint="eastAsia" w:eastAsia="仿宋_GB2312"/>
          <w:kern w:val="0"/>
          <w:sz w:val="32"/>
          <w:szCs w:val="32"/>
          <w:shd w:val="clear" w:color="auto" w:fill="FFFFFF"/>
        </w:rPr>
        <w:t>。</w:t>
      </w:r>
    </w:p>
    <w:p w14:paraId="2D3AA9A8">
      <w:pPr>
        <w:widowControl/>
        <w:adjustRightInd w:val="0"/>
        <w:snapToGrid w:val="0"/>
        <w:spacing w:line="520" w:lineRule="exact"/>
        <w:ind w:firstLine="640" w:firstLineChars="200"/>
        <w:contextualSpacing/>
        <w:rPr>
          <w:rFonts w:eastAsia="方正仿宋_GBK"/>
          <w:color w:val="000000"/>
          <w:sz w:val="32"/>
          <w:szCs w:val="32"/>
        </w:rPr>
      </w:pPr>
      <w:r>
        <w:rPr>
          <w:rFonts w:eastAsia="方正仿宋_GBK"/>
          <w:color w:val="000000"/>
          <w:sz w:val="32"/>
          <w:szCs w:val="32"/>
        </w:rPr>
        <w:t>2022年度总体收入合计230.63万元，其中一般公共预算财政拨款收入200.63万元，其他收入30万元。</w:t>
      </w:r>
    </w:p>
    <w:p w14:paraId="73329B9A">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2.部门总体支出情况</w:t>
      </w:r>
      <w:r>
        <w:rPr>
          <w:rFonts w:hint="eastAsia" w:eastAsia="仿宋_GB2312"/>
          <w:kern w:val="0"/>
          <w:sz w:val="32"/>
          <w:szCs w:val="32"/>
          <w:shd w:val="clear" w:color="auto" w:fill="FFFFFF"/>
        </w:rPr>
        <w:t>。</w:t>
      </w:r>
    </w:p>
    <w:p w14:paraId="6547FB77">
      <w:pPr>
        <w:widowControl/>
        <w:adjustRightInd w:val="0"/>
        <w:snapToGrid w:val="0"/>
        <w:spacing w:line="520" w:lineRule="exact"/>
        <w:ind w:firstLine="480" w:firstLineChars="150"/>
        <w:contextualSpacing/>
        <w:rPr>
          <w:rFonts w:eastAsia="方正仿宋_GBK"/>
          <w:color w:val="000000"/>
          <w:sz w:val="32"/>
          <w:szCs w:val="32"/>
        </w:rPr>
      </w:pPr>
      <w:r>
        <w:rPr>
          <w:rFonts w:eastAsia="方正仿宋_GBK"/>
          <w:color w:val="000000"/>
          <w:sz w:val="32"/>
          <w:szCs w:val="32"/>
        </w:rPr>
        <w:t xml:space="preserve"> 2022年度我单位总支出230.63万元。其中基本支出192.63万元，发生社会保障和就业支出40.01万元(主要发生于机关事业单位基本养老保险费、退休职工福利费、退休职工生活补助、在职职工残疾人抚恤金、退休人员医疗费补助)；卫生健康支出12.44万元（主要发生于职工基本医疗保险缴费、公务员医疗补助缴费）；商业服务业等支出127.36万元（主要发生于工资福利支出，单位日常公用经费）；住房保障支出12.82万元（发生于住房公积金）。</w:t>
      </w:r>
    </w:p>
    <w:p w14:paraId="56E829F6">
      <w:pPr>
        <w:widowControl/>
        <w:adjustRightInd w:val="0"/>
        <w:snapToGrid w:val="0"/>
        <w:spacing w:line="520" w:lineRule="exact"/>
        <w:ind w:firstLine="640" w:firstLineChars="200"/>
        <w:contextualSpacing/>
        <w:rPr>
          <w:rFonts w:eastAsia="方正仿宋_GBK"/>
          <w:color w:val="000000"/>
          <w:sz w:val="32"/>
          <w:szCs w:val="32"/>
        </w:rPr>
      </w:pPr>
      <w:r>
        <w:rPr>
          <w:rFonts w:eastAsia="方正仿宋_GBK"/>
          <w:color w:val="000000"/>
          <w:sz w:val="32"/>
          <w:szCs w:val="32"/>
        </w:rPr>
        <w:t>项目支出38万元，其中30万</w:t>
      </w:r>
      <w:r>
        <w:rPr>
          <w:rFonts w:hint="eastAsia" w:eastAsia="方正仿宋_GBK"/>
          <w:color w:val="000000"/>
          <w:sz w:val="32"/>
          <w:szCs w:val="32"/>
        </w:rPr>
        <w:t>元</w:t>
      </w:r>
      <w:r>
        <w:rPr>
          <w:rFonts w:eastAsia="方正仿宋_GBK"/>
          <w:color w:val="000000"/>
          <w:sz w:val="32"/>
          <w:szCs w:val="32"/>
        </w:rPr>
        <w:t>为市财政局通过县财政局拨付给我单位的2021年省级综改资金和市级配套资金，用于基层社建设；3万</w:t>
      </w:r>
      <w:r>
        <w:rPr>
          <w:rFonts w:hint="eastAsia" w:eastAsia="方正仿宋_GBK"/>
          <w:color w:val="000000"/>
          <w:sz w:val="32"/>
          <w:szCs w:val="32"/>
        </w:rPr>
        <w:t>元</w:t>
      </w:r>
      <w:r>
        <w:rPr>
          <w:rFonts w:eastAsia="方正仿宋_GBK"/>
          <w:color w:val="000000"/>
          <w:sz w:val="32"/>
          <w:szCs w:val="32"/>
        </w:rPr>
        <w:t>为推进基层供销社示范社建设专项经费，用于差旅费、培训费、办公费等；5万</w:t>
      </w:r>
      <w:r>
        <w:rPr>
          <w:rFonts w:hint="eastAsia" w:eastAsia="方正仿宋_GBK"/>
          <w:color w:val="000000"/>
          <w:sz w:val="32"/>
          <w:szCs w:val="32"/>
        </w:rPr>
        <w:t>元</w:t>
      </w:r>
      <w:r>
        <w:rPr>
          <w:rFonts w:eastAsia="方正仿宋_GBK"/>
          <w:color w:val="000000"/>
          <w:sz w:val="32"/>
          <w:szCs w:val="32"/>
        </w:rPr>
        <w:t>为基层社高质量发展示范县项目可行性分析报告编制费。</w:t>
      </w:r>
    </w:p>
    <w:p w14:paraId="40CF42B4">
      <w:pPr>
        <w:widowControl/>
        <w:adjustRightInd w:val="0"/>
        <w:snapToGrid w:val="0"/>
        <w:spacing w:line="520" w:lineRule="exact"/>
        <w:ind w:firstLine="640" w:firstLineChars="200"/>
        <w:contextualSpacing/>
        <w:rPr>
          <w:rFonts w:eastAsia="方正仿宋_GBK"/>
          <w:color w:val="000000"/>
          <w:sz w:val="32"/>
          <w:szCs w:val="32"/>
        </w:rPr>
      </w:pPr>
    </w:p>
    <w:p w14:paraId="37A2D0FC">
      <w:pPr>
        <w:widowControl/>
        <w:adjustRightInd w:val="0"/>
        <w:snapToGrid w:val="0"/>
        <w:spacing w:line="560" w:lineRule="exact"/>
        <w:contextualSpacing/>
        <w:jc w:val="left"/>
        <w:rPr>
          <w:rFonts w:eastAsia="仿宋_GB2312"/>
          <w:kern w:val="0"/>
          <w:sz w:val="32"/>
          <w:szCs w:val="32"/>
          <w:shd w:val="clear" w:color="auto" w:fill="FFFFFF"/>
        </w:rPr>
      </w:pPr>
      <w:r>
        <w:rPr>
          <w:rFonts w:hint="eastAsia" w:eastAsia="仿宋_GB2312"/>
          <w:kern w:val="0"/>
          <w:sz w:val="32"/>
          <w:szCs w:val="32"/>
          <w:shd w:val="clear" w:color="auto" w:fill="FFFFFF"/>
        </w:rPr>
        <w:t>　　</w:t>
      </w:r>
      <w:r>
        <w:rPr>
          <w:rFonts w:eastAsia="仿宋_GB2312"/>
          <w:kern w:val="0"/>
          <w:sz w:val="32"/>
          <w:szCs w:val="32"/>
          <w:shd w:val="clear" w:color="auto" w:fill="FFFFFF"/>
        </w:rPr>
        <w:t>3.部门总体结转结余情况</w:t>
      </w:r>
      <w:r>
        <w:rPr>
          <w:rFonts w:hint="eastAsia" w:eastAsia="仿宋_GB2312"/>
          <w:kern w:val="0"/>
          <w:sz w:val="32"/>
          <w:szCs w:val="32"/>
          <w:shd w:val="clear" w:color="auto" w:fill="FFFFFF"/>
        </w:rPr>
        <w:t>。</w:t>
      </w:r>
    </w:p>
    <w:p w14:paraId="5EF496E1">
      <w:pPr>
        <w:widowControl/>
        <w:adjustRightInd w:val="0"/>
        <w:snapToGrid w:val="0"/>
        <w:spacing w:line="560" w:lineRule="exact"/>
        <w:contextualSpacing/>
        <w:jc w:val="left"/>
        <w:rPr>
          <w:rFonts w:eastAsia="仿宋_GB2312"/>
          <w:kern w:val="0"/>
          <w:sz w:val="32"/>
          <w:szCs w:val="32"/>
          <w:shd w:val="clear" w:color="auto" w:fill="FFFFFF"/>
        </w:rPr>
      </w:pPr>
      <w:r>
        <w:rPr>
          <w:rFonts w:hint="eastAsia" w:eastAsia="仿宋_GB2312"/>
          <w:kern w:val="0"/>
          <w:sz w:val="32"/>
          <w:szCs w:val="32"/>
          <w:shd w:val="clear" w:color="auto" w:fill="FFFFFF"/>
        </w:rPr>
        <w:t>　　</w:t>
      </w:r>
      <w:r>
        <w:rPr>
          <w:rFonts w:eastAsia="仿宋_GB2312"/>
          <w:kern w:val="0"/>
          <w:sz w:val="32"/>
          <w:szCs w:val="32"/>
          <w:shd w:val="clear" w:color="auto" w:fill="FFFFFF"/>
        </w:rPr>
        <w:t>2022年没有结转结余的情况。</w:t>
      </w:r>
    </w:p>
    <w:p w14:paraId="5B9E3002">
      <w:pPr>
        <w:widowControl/>
        <w:adjustRightInd w:val="0"/>
        <w:snapToGrid w:val="0"/>
        <w:spacing w:line="560" w:lineRule="exact"/>
        <w:ind w:firstLine="640" w:firstLineChars="200"/>
        <w:contextualSpacing/>
        <w:jc w:val="left"/>
        <w:rPr>
          <w:rFonts w:eastAsia="楷体_GB2312"/>
          <w:kern w:val="0"/>
          <w:sz w:val="32"/>
          <w:szCs w:val="32"/>
          <w:shd w:val="clear" w:color="auto" w:fill="FFFFFF"/>
          <w:lang w:val="zh-CN"/>
        </w:rPr>
      </w:pPr>
      <w:r>
        <w:rPr>
          <w:rFonts w:eastAsia="楷体_GB2312"/>
          <w:kern w:val="0"/>
          <w:sz w:val="32"/>
          <w:szCs w:val="32"/>
          <w:shd w:val="clear" w:color="auto" w:fill="FFFFFF"/>
          <w:lang w:val="zh-CN"/>
        </w:rPr>
        <w:t>（二）部门财政拨款收支情况。</w:t>
      </w:r>
    </w:p>
    <w:p w14:paraId="464DEEDD">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1.部门财政拨款收入情况</w:t>
      </w:r>
      <w:r>
        <w:rPr>
          <w:rFonts w:hint="eastAsia" w:eastAsia="仿宋_GB2312"/>
          <w:kern w:val="0"/>
          <w:sz w:val="32"/>
          <w:szCs w:val="32"/>
          <w:shd w:val="clear" w:color="auto" w:fill="FFFFFF"/>
        </w:rPr>
        <w:t>。</w:t>
      </w:r>
    </w:p>
    <w:p w14:paraId="16396ABE">
      <w:pPr>
        <w:widowControl/>
        <w:adjustRightInd w:val="0"/>
        <w:snapToGrid w:val="0"/>
        <w:spacing w:line="560" w:lineRule="exact"/>
        <w:contextualSpacing/>
        <w:jc w:val="left"/>
        <w:rPr>
          <w:rFonts w:eastAsia="仿宋_GB2312"/>
          <w:kern w:val="0"/>
          <w:sz w:val="32"/>
          <w:szCs w:val="32"/>
          <w:shd w:val="clear" w:color="auto" w:fill="FFFFFF"/>
        </w:rPr>
      </w:pPr>
      <w:r>
        <w:rPr>
          <w:rFonts w:hint="eastAsia" w:eastAsia="仿宋_GB2312"/>
          <w:kern w:val="0"/>
          <w:sz w:val="32"/>
          <w:szCs w:val="32"/>
          <w:shd w:val="clear" w:color="auto" w:fill="FFFFFF"/>
        </w:rPr>
        <w:t>　　</w:t>
      </w:r>
      <w:r>
        <w:rPr>
          <w:rFonts w:eastAsia="仿宋_GB2312"/>
          <w:kern w:val="0"/>
          <w:sz w:val="32"/>
          <w:szCs w:val="32"/>
          <w:shd w:val="clear" w:color="auto" w:fill="FFFFFF"/>
        </w:rPr>
        <w:t>2022年财政拨款收入200.63万元，一般公共预算财政拨款200.63万元，占比100%。</w:t>
      </w:r>
    </w:p>
    <w:p w14:paraId="2FBEAB97">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2.部门财政拨款支出情况</w:t>
      </w:r>
      <w:r>
        <w:rPr>
          <w:rFonts w:hint="eastAsia" w:eastAsia="仿宋_GB2312"/>
          <w:kern w:val="0"/>
          <w:sz w:val="32"/>
          <w:szCs w:val="32"/>
          <w:shd w:val="clear" w:color="auto" w:fill="FFFFFF"/>
        </w:rPr>
        <w:t>。</w:t>
      </w:r>
    </w:p>
    <w:p w14:paraId="69B1A7AA">
      <w:pPr>
        <w:widowControl/>
        <w:adjustRightInd w:val="0"/>
        <w:snapToGrid w:val="0"/>
        <w:spacing w:line="560" w:lineRule="exact"/>
        <w:contextualSpacing/>
        <w:jc w:val="left"/>
        <w:rPr>
          <w:rFonts w:eastAsia="仿宋_GB2312"/>
          <w:kern w:val="0"/>
          <w:sz w:val="32"/>
          <w:szCs w:val="32"/>
          <w:shd w:val="clear" w:color="auto" w:fill="FFFFFF"/>
        </w:rPr>
      </w:pPr>
      <w:r>
        <w:rPr>
          <w:rFonts w:hint="eastAsia" w:eastAsia="仿宋_GB2312"/>
          <w:kern w:val="0"/>
          <w:sz w:val="32"/>
          <w:szCs w:val="32"/>
          <w:shd w:val="clear" w:color="auto" w:fill="FFFFFF"/>
        </w:rPr>
        <w:t>　　</w:t>
      </w:r>
      <w:r>
        <w:rPr>
          <w:rFonts w:eastAsia="仿宋_GB2312"/>
          <w:kern w:val="0"/>
          <w:sz w:val="32"/>
          <w:szCs w:val="32"/>
          <w:shd w:val="clear" w:color="auto" w:fill="FFFFFF"/>
        </w:rPr>
        <w:t xml:space="preserve">2022年财政拨款支出200.63万元。基本支出192.63万元，项目支出8万元。其中社会保障和就业支出40.02万元，卫生健康支出12.44万元，商业服务业等支出135.36万元，住房保障支出12.82万元。  </w:t>
      </w:r>
    </w:p>
    <w:p w14:paraId="7DF125A6">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3.部门财政拨款结转结余情况</w:t>
      </w:r>
      <w:r>
        <w:rPr>
          <w:rFonts w:hint="eastAsia" w:eastAsia="仿宋_GB2312"/>
          <w:kern w:val="0"/>
          <w:sz w:val="32"/>
          <w:szCs w:val="32"/>
          <w:shd w:val="clear" w:color="auto" w:fill="FFFFFF"/>
        </w:rPr>
        <w:t>。</w:t>
      </w:r>
    </w:p>
    <w:p w14:paraId="3C5ED756">
      <w:pPr>
        <w:widowControl/>
        <w:adjustRightInd w:val="0"/>
        <w:snapToGrid w:val="0"/>
        <w:spacing w:line="560" w:lineRule="exact"/>
        <w:contextualSpacing/>
        <w:jc w:val="left"/>
        <w:rPr>
          <w:rFonts w:eastAsia="仿宋_GB2312"/>
          <w:kern w:val="0"/>
          <w:sz w:val="32"/>
          <w:szCs w:val="32"/>
          <w:shd w:val="clear" w:color="auto" w:fill="FFFFFF"/>
        </w:rPr>
      </w:pPr>
      <w:r>
        <w:rPr>
          <w:rFonts w:hint="eastAsia" w:eastAsia="仿宋_GB2312"/>
          <w:kern w:val="0"/>
          <w:sz w:val="32"/>
          <w:szCs w:val="32"/>
          <w:shd w:val="clear" w:color="auto" w:fill="FFFFFF"/>
        </w:rPr>
        <w:t>　　</w:t>
      </w:r>
      <w:r>
        <w:rPr>
          <w:rFonts w:eastAsia="仿宋_GB2312"/>
          <w:kern w:val="0"/>
          <w:sz w:val="32"/>
          <w:szCs w:val="32"/>
          <w:shd w:val="clear" w:color="auto" w:fill="FFFFFF"/>
        </w:rPr>
        <w:t>2022年财政拨款没有财政拨款结转结余。</w:t>
      </w:r>
    </w:p>
    <w:p w14:paraId="3551F3F1">
      <w:pPr>
        <w:widowControl/>
        <w:adjustRightInd w:val="0"/>
        <w:snapToGrid w:val="0"/>
        <w:spacing w:line="56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三、部门整体绩效分析</w:t>
      </w:r>
    </w:p>
    <w:p w14:paraId="0E22F7F2">
      <w:pPr>
        <w:widowControl/>
        <w:adjustRightInd w:val="0"/>
        <w:snapToGrid w:val="0"/>
        <w:spacing w:line="560" w:lineRule="exact"/>
        <w:ind w:firstLine="640" w:firstLineChars="200"/>
        <w:contextualSpacing/>
        <w:jc w:val="left"/>
        <w:rPr>
          <w:rFonts w:eastAsia="仿宋_GB2312"/>
          <w:color w:val="0000FF"/>
          <w:kern w:val="0"/>
          <w:sz w:val="32"/>
          <w:szCs w:val="32"/>
          <w:highlight w:val="yellow"/>
          <w:shd w:val="clear" w:color="auto" w:fill="FFFFFF"/>
          <w:lang w:val="zh-CN"/>
        </w:rPr>
      </w:pPr>
      <w:r>
        <w:rPr>
          <w:rFonts w:eastAsia="楷体_GB2312"/>
          <w:kern w:val="0"/>
          <w:sz w:val="32"/>
          <w:szCs w:val="32"/>
          <w:shd w:val="clear" w:color="auto" w:fill="FFFFFF"/>
          <w:lang w:val="zh-CN"/>
        </w:rPr>
        <w:t>（一）部门预算项目绩效分析。</w:t>
      </w:r>
    </w:p>
    <w:p w14:paraId="642BC226">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1.人员类项目绩效分析</w:t>
      </w:r>
      <w:r>
        <w:rPr>
          <w:rFonts w:hint="eastAsia" w:eastAsia="仿宋_GB2312"/>
          <w:kern w:val="0"/>
          <w:sz w:val="32"/>
          <w:szCs w:val="32"/>
          <w:shd w:val="clear" w:color="auto" w:fill="FFFFFF"/>
        </w:rPr>
        <w:t>。</w:t>
      </w:r>
    </w:p>
    <w:p w14:paraId="7E222A04">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2022年人员经费支出179.18万元，占总支出的77.69%。其中工资福利支出151.12万元，主要用于工资、奖金、保险类等支出。对个人和家庭的补助支出28.06万元，主要用于抚恤金、退休职工生活补助、退休职工医疗费补助等支出。2022年人员经费持续有效支出，执行进度为100%,支出完成年初预算的100%，无违规情况。</w:t>
      </w:r>
    </w:p>
    <w:p w14:paraId="5D07752D">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2.运转类项目绩效分析</w:t>
      </w:r>
      <w:r>
        <w:rPr>
          <w:rFonts w:hint="eastAsia" w:eastAsia="仿宋_GB2312"/>
          <w:kern w:val="0"/>
          <w:sz w:val="32"/>
          <w:szCs w:val="32"/>
          <w:shd w:val="clear" w:color="auto" w:fill="FFFFFF"/>
        </w:rPr>
        <w:t>。</w:t>
      </w:r>
    </w:p>
    <w:p w14:paraId="476AC49F">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 xml:space="preserve">2022年日常公用经费支出13.45万元，占总支出的5.83%。主要用于办公费、差旅费、水电费、电话费、公务接待费、维护费等日常开支。2022年公用经费持续有效支出，执行进度为100%,支出完成年初预算的100%，无违规情况。 </w:t>
      </w:r>
    </w:p>
    <w:p w14:paraId="7C80151F">
      <w:pPr>
        <w:widowControl/>
        <w:adjustRightInd w:val="0"/>
        <w:snapToGrid w:val="0"/>
        <w:spacing w:line="560" w:lineRule="exact"/>
        <w:ind w:firstLine="640" w:firstLineChars="200"/>
        <w:contextualSpacing/>
        <w:jc w:val="left"/>
        <w:rPr>
          <w:rFonts w:eastAsia="仿宋_GB2312"/>
          <w:color w:val="000000" w:themeColor="text1"/>
          <w:kern w:val="0"/>
          <w:sz w:val="32"/>
          <w:szCs w:val="32"/>
          <w:shd w:val="clear" w:color="auto" w:fill="FFFFFF"/>
        </w:rPr>
      </w:pPr>
      <w:r>
        <w:rPr>
          <w:rFonts w:eastAsia="仿宋_GB2312"/>
          <w:color w:val="000000" w:themeColor="text1"/>
          <w:kern w:val="0"/>
          <w:sz w:val="32"/>
          <w:szCs w:val="32"/>
          <w:shd w:val="clear" w:color="auto" w:fill="FFFFFF"/>
        </w:rPr>
        <w:t>3.特定目标类项目绩效分析</w:t>
      </w:r>
    </w:p>
    <w:p w14:paraId="3E72776E">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2022年项目支出38万元，其中30万</w:t>
      </w:r>
      <w:r>
        <w:rPr>
          <w:rFonts w:hint="eastAsia" w:eastAsia="仿宋_GB2312"/>
          <w:kern w:val="0"/>
          <w:sz w:val="32"/>
          <w:szCs w:val="32"/>
          <w:shd w:val="clear" w:color="auto" w:fill="FFFFFF"/>
        </w:rPr>
        <w:t>元</w:t>
      </w:r>
      <w:r>
        <w:rPr>
          <w:rFonts w:eastAsia="仿宋_GB2312"/>
          <w:kern w:val="0"/>
          <w:sz w:val="32"/>
          <w:szCs w:val="32"/>
          <w:shd w:val="clear" w:color="auto" w:fill="FFFFFF"/>
        </w:rPr>
        <w:t>为市财政局通过县财政局拨付给我单位的2021年省级综改资金和市级配套资金；3万</w:t>
      </w:r>
      <w:r>
        <w:rPr>
          <w:rFonts w:hint="eastAsia" w:eastAsia="仿宋_GB2312"/>
          <w:kern w:val="0"/>
          <w:sz w:val="32"/>
          <w:szCs w:val="32"/>
          <w:shd w:val="clear" w:color="auto" w:fill="FFFFFF"/>
        </w:rPr>
        <w:t>元</w:t>
      </w:r>
      <w:r>
        <w:rPr>
          <w:rFonts w:eastAsia="仿宋_GB2312"/>
          <w:kern w:val="0"/>
          <w:sz w:val="32"/>
          <w:szCs w:val="32"/>
          <w:shd w:val="clear" w:color="auto" w:fill="FFFFFF"/>
        </w:rPr>
        <w:t>为推进基层供销社示范社建设专项经费；5万</w:t>
      </w:r>
      <w:r>
        <w:rPr>
          <w:rFonts w:hint="eastAsia" w:eastAsia="仿宋_GB2312"/>
          <w:kern w:val="0"/>
          <w:sz w:val="32"/>
          <w:szCs w:val="32"/>
          <w:shd w:val="clear" w:color="auto" w:fill="FFFFFF"/>
        </w:rPr>
        <w:t>元</w:t>
      </w:r>
      <w:r>
        <w:rPr>
          <w:rFonts w:eastAsia="仿宋_GB2312"/>
          <w:kern w:val="0"/>
          <w:sz w:val="32"/>
          <w:szCs w:val="32"/>
          <w:shd w:val="clear" w:color="auto" w:fill="FFFFFF"/>
        </w:rPr>
        <w:t>为基层社高质量发展示范县项目可行性分析报告编制费。此资金执行进度为100%,支出完成年初预算的100%，资金结余率为0，无违规情况。</w:t>
      </w:r>
    </w:p>
    <w:p w14:paraId="4545B64D">
      <w:pPr>
        <w:widowControl/>
        <w:adjustRightInd w:val="0"/>
        <w:snapToGrid w:val="0"/>
        <w:spacing w:line="560" w:lineRule="exact"/>
        <w:ind w:firstLine="640" w:firstLineChars="200"/>
        <w:contextualSpacing/>
        <w:jc w:val="left"/>
        <w:rPr>
          <w:rFonts w:eastAsia="楷体_GB2312"/>
          <w:color w:val="000000" w:themeColor="text1"/>
          <w:kern w:val="0"/>
          <w:sz w:val="32"/>
          <w:szCs w:val="32"/>
          <w:shd w:val="clear" w:color="auto" w:fill="FFFFFF"/>
          <w:lang w:val="zh-CN"/>
        </w:rPr>
      </w:pPr>
      <w:r>
        <w:rPr>
          <w:rFonts w:eastAsia="楷体_GB2312"/>
          <w:color w:val="000000" w:themeColor="text1"/>
          <w:kern w:val="0"/>
          <w:sz w:val="32"/>
          <w:szCs w:val="32"/>
          <w:shd w:val="clear" w:color="auto" w:fill="FFFFFF"/>
          <w:lang w:val="zh-CN"/>
        </w:rPr>
        <w:t>（二）部门整体履职绩效分析。</w:t>
      </w:r>
    </w:p>
    <w:p w14:paraId="33F994E2">
      <w:pPr>
        <w:widowControl/>
        <w:adjustRightInd w:val="0"/>
        <w:snapToGrid w:val="0"/>
        <w:spacing w:line="560" w:lineRule="exact"/>
        <w:ind w:firstLine="640" w:firstLineChars="200"/>
        <w:contextualSpacing/>
        <w:jc w:val="left"/>
        <w:rPr>
          <w:rFonts w:eastAsia="仿宋_GB2312"/>
          <w:color w:val="000000"/>
          <w:sz w:val="32"/>
          <w:szCs w:val="32"/>
        </w:rPr>
      </w:pPr>
      <w:r>
        <w:rPr>
          <w:rFonts w:eastAsia="仿宋_GB2312"/>
          <w:color w:val="000000" w:themeColor="text1"/>
          <w:kern w:val="0"/>
          <w:sz w:val="32"/>
          <w:szCs w:val="32"/>
          <w:shd w:val="clear" w:color="auto" w:fill="FFFFFF"/>
        </w:rPr>
        <w:t xml:space="preserve"> 2022年</w:t>
      </w:r>
      <w:r>
        <w:rPr>
          <w:rFonts w:eastAsia="仿宋_GB2312"/>
          <w:color w:val="000000"/>
          <w:sz w:val="32"/>
          <w:szCs w:val="32"/>
        </w:rPr>
        <w:t>认真落实省委、省政府两项改革“后半篇”文章，按照攀枝花市供销社《关于加强基层供销社建设工作方案的任务》要求，进一步建强、建优、建好基层供销社，推进基层治理制度创新和能力建设，持续深化供销社综合改革，高度重视基层示范社经营能力提升和作用发挥，提升基层供销社服务“三农”质量、功能和水平，完善综合服务平台，发展壮大村级集体经济，助推乡村振兴。2022年，完成创建4个基层示范供销社和新建区域为农服务中心1个目标任务，培育建成三星级农村综合服务社6个，四星级农村综合服务社4个。已按照建设标准和内容全面完成。示范社经营服务功能逐渐齐全，逐步开始运营产生效益，股份分红和交易返利相结合的分配机制等各项管理制度逐渐健全，进一步完善体制机制，优化服务职能，助力乡村振兴。</w:t>
      </w:r>
    </w:p>
    <w:p w14:paraId="47BAD11A">
      <w:pPr>
        <w:widowControl/>
        <w:adjustRightInd w:val="0"/>
        <w:snapToGrid w:val="0"/>
        <w:spacing w:line="560" w:lineRule="exact"/>
        <w:ind w:firstLine="640" w:firstLineChars="200"/>
        <w:contextualSpacing/>
        <w:jc w:val="left"/>
        <w:rPr>
          <w:rFonts w:eastAsia="仿宋_GB2312"/>
          <w:color w:val="000000"/>
          <w:sz w:val="32"/>
          <w:szCs w:val="32"/>
        </w:rPr>
      </w:pPr>
      <w:r>
        <w:rPr>
          <w:rFonts w:eastAsia="仿宋_GB2312"/>
          <w:color w:val="000000"/>
          <w:sz w:val="32"/>
          <w:szCs w:val="32"/>
        </w:rPr>
        <w:t>2022年预算编制情况和部门整体支出绩效评估报告已在盐边县公众信息网上公示。预算编制准确，基本支出预算实行定员定额管理，人员支出预算按照工资福利标准和编制内实有人员核定;项目支出预算根据相关项目性质编制预算，做到不漏编，不多编，做到专款专用、规范管理、绩效引导，在保证项目工作按质按量按时完成的前提下严格将经费控制在预算内。</w:t>
      </w:r>
    </w:p>
    <w:p w14:paraId="3D94CBEA">
      <w:pPr>
        <w:widowControl/>
        <w:adjustRightInd w:val="0"/>
        <w:snapToGrid w:val="0"/>
        <w:spacing w:line="560" w:lineRule="exact"/>
        <w:ind w:firstLine="640" w:firstLineChars="200"/>
        <w:contextualSpacing/>
        <w:jc w:val="left"/>
        <w:rPr>
          <w:rFonts w:eastAsia="楷体_GB2312"/>
          <w:color w:val="000000" w:themeColor="text1"/>
          <w:kern w:val="0"/>
          <w:sz w:val="32"/>
          <w:szCs w:val="32"/>
          <w:shd w:val="clear" w:color="auto" w:fill="FFFFFF"/>
          <w:lang w:val="zh-CN"/>
        </w:rPr>
      </w:pPr>
      <w:r>
        <w:rPr>
          <w:rFonts w:eastAsia="楷体_GB2312"/>
          <w:color w:val="000000" w:themeColor="text1"/>
          <w:kern w:val="0"/>
          <w:sz w:val="32"/>
          <w:szCs w:val="32"/>
          <w:shd w:val="clear" w:color="auto" w:fill="FFFFFF"/>
          <w:lang w:val="zh-CN"/>
        </w:rPr>
        <w:t>（三）结果应用情况。</w:t>
      </w:r>
    </w:p>
    <w:p w14:paraId="1C345BC8">
      <w:pPr>
        <w:pStyle w:val="37"/>
        <w:spacing w:line="560" w:lineRule="exact"/>
        <w:ind w:firstLine="640"/>
        <w:jc w:val="left"/>
        <w:rPr>
          <w:rFonts w:eastAsia="仿宋_GB2312"/>
          <w:color w:val="000000"/>
          <w:sz w:val="32"/>
          <w:szCs w:val="32"/>
        </w:rPr>
      </w:pPr>
      <w:r>
        <w:rPr>
          <w:rFonts w:eastAsia="仿宋_GB2312"/>
          <w:color w:val="000000"/>
          <w:sz w:val="32"/>
          <w:szCs w:val="32"/>
        </w:rPr>
        <w:t xml:space="preserve"> 绩效自评工作完成后，我单位督促各项目及时整理、归纳分析绩效评价结果，根据绩效自评结果，改进管理措施，完善管理办法，调整和优化支出结构，对绩效自评中发现的问题及时制定整改措施。绩效自评结果按照政府信息公开有关规定，在规定范围内公开。</w:t>
      </w:r>
    </w:p>
    <w:p w14:paraId="0E2BF527">
      <w:pPr>
        <w:widowControl/>
        <w:numPr>
          <w:ilvl w:val="0"/>
          <w:numId w:val="6"/>
        </w:numPr>
        <w:adjustRightInd w:val="0"/>
        <w:snapToGrid w:val="0"/>
        <w:spacing w:line="560" w:lineRule="exact"/>
        <w:ind w:firstLine="640" w:firstLineChars="200"/>
        <w:contextualSpacing/>
        <w:jc w:val="left"/>
        <w:rPr>
          <w:rFonts w:eastAsia="楷体_GB2312"/>
          <w:color w:val="000000" w:themeColor="text1"/>
          <w:kern w:val="0"/>
          <w:sz w:val="32"/>
          <w:szCs w:val="32"/>
          <w:shd w:val="clear" w:color="auto" w:fill="FFFFFF"/>
          <w:lang w:val="zh-CN"/>
        </w:rPr>
      </w:pPr>
      <w:r>
        <w:rPr>
          <w:rFonts w:eastAsia="楷体_GB2312"/>
          <w:color w:val="000000" w:themeColor="text1"/>
          <w:kern w:val="0"/>
          <w:sz w:val="32"/>
          <w:szCs w:val="32"/>
          <w:shd w:val="clear" w:color="auto" w:fill="FFFFFF"/>
          <w:lang w:val="zh-CN"/>
        </w:rPr>
        <w:t>自评质量。</w:t>
      </w:r>
    </w:p>
    <w:p w14:paraId="5077BFB3">
      <w:pPr>
        <w:widowControl/>
        <w:adjustRightInd w:val="0"/>
        <w:snapToGrid w:val="0"/>
        <w:spacing w:line="560" w:lineRule="exact"/>
        <w:ind w:firstLine="640" w:firstLineChars="200"/>
        <w:contextualSpacing/>
        <w:jc w:val="left"/>
        <w:rPr>
          <w:rFonts w:eastAsia="仿宋_GB2312"/>
          <w:color w:val="000000"/>
          <w:sz w:val="32"/>
          <w:szCs w:val="32"/>
        </w:rPr>
      </w:pPr>
      <w:r>
        <w:rPr>
          <w:rFonts w:eastAsia="仿宋_GB2312"/>
          <w:color w:val="000000"/>
          <w:sz w:val="32"/>
          <w:szCs w:val="32"/>
        </w:rPr>
        <w:t>2022年度我单位坚持深入贯彻习近平总书记系列重要讲话精神，严格按照县委、县政府的决策部署，对我单位提质增效专项资金的管理、使用、绩效考核等情况进行了监督检查、对专项资金的支出进行了分年度归集和核算，数据核算准确，经济事项清楚详细、反映真实，各项目资金严格实行专款专用，未出现项目资金被挤占、挪用的情况，保证了项目的顺利实施。我单位的自评工作明确了时间节点和工作流程，自评工作开展顺利，准确性比较高。</w:t>
      </w:r>
    </w:p>
    <w:p w14:paraId="2A59FD8E">
      <w:pPr>
        <w:widowControl/>
        <w:adjustRightInd w:val="0"/>
        <w:snapToGrid w:val="0"/>
        <w:spacing w:line="560" w:lineRule="exact"/>
        <w:ind w:firstLine="640" w:firstLineChars="200"/>
        <w:contextualSpacing/>
        <w:jc w:val="left"/>
        <w:rPr>
          <w:rFonts w:eastAsia="黑体"/>
          <w:color w:val="000000" w:themeColor="text1"/>
          <w:kern w:val="0"/>
          <w:sz w:val="32"/>
          <w:szCs w:val="32"/>
          <w:shd w:val="clear" w:color="auto" w:fill="FFFFFF"/>
        </w:rPr>
      </w:pPr>
      <w:r>
        <w:rPr>
          <w:rFonts w:eastAsia="黑体"/>
          <w:color w:val="000000" w:themeColor="text1"/>
          <w:kern w:val="0"/>
          <w:sz w:val="32"/>
          <w:szCs w:val="32"/>
          <w:shd w:val="clear" w:color="auto" w:fill="FFFFFF"/>
        </w:rPr>
        <w:t>四、评价结论及建议</w:t>
      </w:r>
    </w:p>
    <w:p w14:paraId="2CC680C6">
      <w:pPr>
        <w:widowControl/>
        <w:adjustRightInd w:val="0"/>
        <w:snapToGrid w:val="0"/>
        <w:spacing w:line="560" w:lineRule="exact"/>
        <w:ind w:firstLine="640" w:firstLineChars="200"/>
        <w:contextualSpacing/>
        <w:jc w:val="left"/>
        <w:rPr>
          <w:rFonts w:eastAsia="楷体_GB2312"/>
          <w:color w:val="000000" w:themeColor="text1"/>
          <w:kern w:val="0"/>
          <w:sz w:val="32"/>
          <w:szCs w:val="32"/>
          <w:shd w:val="clear" w:color="auto" w:fill="FFFFFF"/>
          <w:lang w:val="zh-CN"/>
        </w:rPr>
      </w:pPr>
      <w:r>
        <w:rPr>
          <w:rFonts w:eastAsia="楷体_GB2312"/>
          <w:color w:val="000000" w:themeColor="text1"/>
          <w:kern w:val="0"/>
          <w:sz w:val="32"/>
          <w:szCs w:val="32"/>
          <w:shd w:val="clear" w:color="auto" w:fill="FFFFFF"/>
          <w:lang w:val="zh-CN"/>
        </w:rPr>
        <w:t>（一）评价结论。</w:t>
      </w:r>
    </w:p>
    <w:p w14:paraId="29AF4CFA">
      <w:pPr>
        <w:widowControl/>
        <w:adjustRightInd w:val="0"/>
        <w:snapToGrid w:val="0"/>
        <w:spacing w:line="560" w:lineRule="exact"/>
        <w:ind w:firstLine="640" w:firstLineChars="200"/>
        <w:contextualSpacing/>
        <w:jc w:val="left"/>
        <w:rPr>
          <w:rFonts w:eastAsia="仿宋_GB2312"/>
          <w:color w:val="000000"/>
          <w:sz w:val="32"/>
          <w:szCs w:val="32"/>
          <w:lang w:val="zh-CN"/>
        </w:rPr>
      </w:pPr>
      <w:r>
        <w:rPr>
          <w:rFonts w:eastAsia="仿宋_GB2312"/>
          <w:color w:val="000000"/>
          <w:sz w:val="32"/>
          <w:szCs w:val="32"/>
        </w:rPr>
        <w:t>我单位整体绩效评价结果为良。</w:t>
      </w:r>
    </w:p>
    <w:p w14:paraId="6D3E3CC0">
      <w:pPr>
        <w:widowControl/>
        <w:adjustRightInd w:val="0"/>
        <w:snapToGrid w:val="0"/>
        <w:spacing w:line="560" w:lineRule="exact"/>
        <w:contextualSpacing/>
        <w:jc w:val="left"/>
        <w:rPr>
          <w:rFonts w:eastAsia="仿宋_GB2312"/>
          <w:color w:val="000000"/>
          <w:sz w:val="32"/>
          <w:szCs w:val="32"/>
        </w:rPr>
      </w:pPr>
      <w:r>
        <w:rPr>
          <w:rFonts w:hint="eastAsia" w:eastAsia="楷体_GB2312"/>
          <w:color w:val="000000" w:themeColor="text1"/>
          <w:kern w:val="0"/>
          <w:sz w:val="32"/>
          <w:szCs w:val="32"/>
          <w:shd w:val="clear" w:color="auto" w:fill="FFFFFF"/>
          <w:lang w:val="zh-CN"/>
        </w:rPr>
        <w:t>　　（二）</w:t>
      </w:r>
      <w:r>
        <w:rPr>
          <w:rFonts w:eastAsia="楷体_GB2312"/>
          <w:color w:val="000000" w:themeColor="text1"/>
          <w:kern w:val="0"/>
          <w:sz w:val="32"/>
          <w:szCs w:val="32"/>
          <w:shd w:val="clear" w:color="auto" w:fill="FFFFFF"/>
          <w:lang w:val="zh-CN"/>
        </w:rPr>
        <w:t>存在问题。</w:t>
      </w:r>
    </w:p>
    <w:p w14:paraId="25B690EA">
      <w:pPr>
        <w:widowControl/>
        <w:adjustRightInd w:val="0"/>
        <w:snapToGrid w:val="0"/>
        <w:spacing w:line="560" w:lineRule="exact"/>
        <w:contextualSpacing/>
        <w:jc w:val="left"/>
        <w:rPr>
          <w:rFonts w:eastAsia="仿宋_GB2312"/>
          <w:color w:val="000000"/>
          <w:sz w:val="32"/>
          <w:szCs w:val="32"/>
        </w:rPr>
      </w:pPr>
      <w:r>
        <w:rPr>
          <w:rFonts w:hint="eastAsia" w:eastAsia="楷体_GB2312"/>
          <w:color w:val="000000" w:themeColor="text1"/>
          <w:kern w:val="0"/>
          <w:sz w:val="32"/>
          <w:szCs w:val="32"/>
          <w:shd w:val="clear" w:color="auto" w:fill="FFFFFF"/>
          <w:lang w:val="zh-CN"/>
        </w:rPr>
        <w:t>　　</w:t>
      </w:r>
      <w:r>
        <w:rPr>
          <w:rFonts w:eastAsia="仿宋_GB2312"/>
          <w:color w:val="000000"/>
          <w:sz w:val="32"/>
          <w:szCs w:val="32"/>
        </w:rPr>
        <w:t>1、绩效指标细化量化不达标。</w:t>
      </w:r>
    </w:p>
    <w:p w14:paraId="075DBC48">
      <w:pPr>
        <w:widowControl/>
        <w:adjustRightInd w:val="0"/>
        <w:snapToGrid w:val="0"/>
        <w:spacing w:line="560" w:lineRule="exact"/>
        <w:contextualSpacing/>
        <w:jc w:val="left"/>
        <w:rPr>
          <w:rFonts w:eastAsia="仿宋_GB2312"/>
          <w:color w:val="000000"/>
          <w:sz w:val="32"/>
          <w:szCs w:val="32"/>
        </w:rPr>
      </w:pPr>
      <w:r>
        <w:rPr>
          <w:rFonts w:hint="eastAsia" w:eastAsia="仿宋_GB2312"/>
          <w:color w:val="000000"/>
          <w:sz w:val="32"/>
          <w:szCs w:val="32"/>
        </w:rPr>
        <w:t>　　</w:t>
      </w:r>
      <w:r>
        <w:rPr>
          <w:rFonts w:eastAsia="仿宋_GB2312"/>
          <w:color w:val="000000"/>
          <w:sz w:val="32"/>
          <w:szCs w:val="32"/>
        </w:rPr>
        <w:t>2、专项资金的管理办法不完善。</w:t>
      </w:r>
    </w:p>
    <w:p w14:paraId="4FDE8E8D">
      <w:pPr>
        <w:widowControl/>
        <w:adjustRightInd w:val="0"/>
        <w:snapToGrid w:val="0"/>
        <w:spacing w:line="560" w:lineRule="exact"/>
        <w:ind w:firstLine="640" w:firstLineChars="200"/>
        <w:contextualSpacing/>
        <w:jc w:val="left"/>
        <w:rPr>
          <w:rFonts w:eastAsia="楷体_GB2312"/>
          <w:color w:val="000000" w:themeColor="text1"/>
          <w:kern w:val="0"/>
          <w:sz w:val="32"/>
          <w:szCs w:val="32"/>
          <w:shd w:val="clear" w:color="auto" w:fill="FFFFFF"/>
          <w:lang w:val="zh-CN"/>
        </w:rPr>
      </w:pPr>
      <w:r>
        <w:rPr>
          <w:rFonts w:eastAsia="楷体_GB2312"/>
          <w:color w:val="000000" w:themeColor="text1"/>
          <w:kern w:val="0"/>
          <w:sz w:val="32"/>
          <w:szCs w:val="32"/>
          <w:shd w:val="clear" w:color="auto" w:fill="FFFFFF"/>
          <w:lang w:val="zh-CN"/>
        </w:rPr>
        <w:t>（三）改进建议。</w:t>
      </w:r>
    </w:p>
    <w:p w14:paraId="3A1FBD2F">
      <w:pPr>
        <w:widowControl/>
        <w:adjustRightInd w:val="0"/>
        <w:snapToGrid w:val="0"/>
        <w:spacing w:line="560" w:lineRule="exact"/>
        <w:ind w:firstLine="640" w:firstLineChars="200"/>
        <w:contextualSpacing/>
        <w:jc w:val="left"/>
        <w:rPr>
          <w:rFonts w:eastAsia="仿宋_GB2312"/>
          <w:color w:val="000000"/>
          <w:sz w:val="32"/>
          <w:szCs w:val="32"/>
        </w:rPr>
      </w:pPr>
      <w:r>
        <w:rPr>
          <w:rFonts w:eastAsia="仿宋_GB2312"/>
          <w:color w:val="000000"/>
          <w:sz w:val="32"/>
          <w:szCs w:val="32"/>
        </w:rPr>
        <w:t>1、绩效指标要细化量化到位，便于更好地绩效监控，适时调整工作进度和工作方法。</w:t>
      </w:r>
    </w:p>
    <w:p w14:paraId="5E1139EF">
      <w:pPr>
        <w:widowControl/>
        <w:adjustRightInd w:val="0"/>
        <w:snapToGrid w:val="0"/>
        <w:spacing w:line="560" w:lineRule="exact"/>
        <w:contextualSpacing/>
        <w:jc w:val="left"/>
        <w:rPr>
          <w:rFonts w:eastAsia="仿宋_GB2312"/>
          <w:color w:val="000000"/>
          <w:sz w:val="32"/>
          <w:szCs w:val="32"/>
        </w:rPr>
      </w:pPr>
      <w:r>
        <w:rPr>
          <w:rFonts w:hint="eastAsia" w:eastAsia="仿宋_GB2312"/>
          <w:color w:val="000000"/>
          <w:sz w:val="32"/>
          <w:szCs w:val="32"/>
        </w:rPr>
        <w:t>　　</w:t>
      </w:r>
      <w:r>
        <w:rPr>
          <w:rFonts w:eastAsia="仿宋_GB2312"/>
          <w:color w:val="000000"/>
          <w:sz w:val="32"/>
          <w:szCs w:val="32"/>
        </w:rPr>
        <w:t>2、专项资金管理办法需要进一步研讨，健全完善，减少财务风险的发生。</w:t>
      </w:r>
    </w:p>
    <w:p w14:paraId="44420587">
      <w:pPr>
        <w:widowControl/>
        <w:adjustRightInd w:val="0"/>
        <w:snapToGrid w:val="0"/>
        <w:spacing w:line="560" w:lineRule="exact"/>
        <w:ind w:firstLine="640" w:firstLineChars="200"/>
        <w:contextualSpacing/>
        <w:jc w:val="left"/>
        <w:rPr>
          <w:rFonts w:eastAsia="仿宋_GB2312"/>
          <w:color w:val="000000"/>
          <w:sz w:val="32"/>
          <w:szCs w:val="32"/>
        </w:rPr>
      </w:pPr>
    </w:p>
    <w:p w14:paraId="2A62E142">
      <w:pPr>
        <w:pStyle w:val="6"/>
        <w:spacing w:before="93"/>
        <w:rPr>
          <w:rFonts w:ascii="Times New Roman"/>
          <w:sz w:val="32"/>
          <w:szCs w:val="32"/>
          <w:shd w:val="clear" w:color="auto" w:fill="FFFFFF"/>
          <w:lang w:val="zh-CN"/>
        </w:rPr>
      </w:pPr>
    </w:p>
    <w:p w14:paraId="7D30706B">
      <w:pPr>
        <w:pStyle w:val="6"/>
        <w:spacing w:before="93"/>
        <w:rPr>
          <w:rFonts w:ascii="Times New Roman"/>
          <w:sz w:val="32"/>
          <w:szCs w:val="32"/>
          <w:shd w:val="clear" w:color="auto" w:fill="FFFFFF"/>
          <w:lang w:val="zh-CN"/>
        </w:rPr>
      </w:pPr>
    </w:p>
    <w:p w14:paraId="4B60AAC4">
      <w:pPr>
        <w:pStyle w:val="6"/>
        <w:spacing w:before="93"/>
        <w:rPr>
          <w:rFonts w:ascii="Times New Roman"/>
          <w:sz w:val="32"/>
          <w:szCs w:val="32"/>
          <w:shd w:val="clear" w:color="auto" w:fill="FFFFFF"/>
          <w:lang w:val="zh-CN"/>
        </w:rPr>
      </w:pPr>
    </w:p>
    <w:p w14:paraId="23BE6238">
      <w:pPr>
        <w:pStyle w:val="6"/>
        <w:spacing w:before="93"/>
        <w:rPr>
          <w:rFonts w:ascii="Times New Roman"/>
          <w:sz w:val="32"/>
          <w:szCs w:val="32"/>
          <w:shd w:val="clear" w:color="auto" w:fill="FFFFFF"/>
          <w:lang w:val="zh-CN"/>
        </w:rPr>
      </w:pPr>
    </w:p>
    <w:p w14:paraId="6B44A310">
      <w:pPr>
        <w:pStyle w:val="6"/>
        <w:spacing w:before="93"/>
        <w:rPr>
          <w:rFonts w:ascii="Times New Roman"/>
          <w:sz w:val="32"/>
          <w:szCs w:val="32"/>
          <w:shd w:val="clear" w:color="auto" w:fill="FFFFFF"/>
          <w:lang w:val="zh-CN"/>
        </w:rPr>
      </w:pPr>
    </w:p>
    <w:p w14:paraId="002EB102">
      <w:pPr>
        <w:pStyle w:val="6"/>
        <w:spacing w:before="93"/>
        <w:rPr>
          <w:rFonts w:ascii="Times New Roman"/>
          <w:sz w:val="32"/>
          <w:szCs w:val="32"/>
          <w:shd w:val="clear" w:color="auto" w:fill="FFFFFF"/>
          <w:lang w:val="zh-CN"/>
        </w:rPr>
      </w:pPr>
    </w:p>
    <w:p w14:paraId="2F39A037">
      <w:pPr>
        <w:pStyle w:val="6"/>
        <w:spacing w:before="93"/>
        <w:rPr>
          <w:rFonts w:ascii="Times New Roman"/>
          <w:sz w:val="32"/>
          <w:szCs w:val="32"/>
          <w:shd w:val="clear" w:color="auto" w:fill="FFFFFF"/>
          <w:lang w:val="zh-CN"/>
        </w:rPr>
      </w:pPr>
    </w:p>
    <w:p w14:paraId="0F50CA89">
      <w:pPr>
        <w:pStyle w:val="6"/>
        <w:spacing w:before="93"/>
        <w:rPr>
          <w:rFonts w:ascii="Times New Roman"/>
          <w:sz w:val="32"/>
          <w:szCs w:val="32"/>
          <w:shd w:val="clear" w:color="auto" w:fill="FFFFFF"/>
          <w:lang w:val="zh-CN"/>
        </w:rPr>
      </w:pPr>
    </w:p>
    <w:p w14:paraId="1905B1B6">
      <w:pPr>
        <w:pStyle w:val="6"/>
        <w:spacing w:before="93"/>
        <w:rPr>
          <w:rFonts w:ascii="Times New Roman"/>
          <w:sz w:val="32"/>
          <w:szCs w:val="32"/>
          <w:shd w:val="clear" w:color="auto" w:fill="FFFFFF"/>
          <w:lang w:val="zh-CN"/>
        </w:rPr>
      </w:pPr>
    </w:p>
    <w:p w14:paraId="06AD2B56">
      <w:pPr>
        <w:pStyle w:val="6"/>
        <w:spacing w:before="93"/>
        <w:rPr>
          <w:rFonts w:ascii="Times New Roman"/>
          <w:color w:val="000000"/>
          <w:kern w:val="2"/>
          <w:sz w:val="32"/>
          <w:szCs w:val="32"/>
          <w:lang w:val="zh-CN"/>
        </w:rPr>
        <w:sectPr>
          <w:footerReference r:id="rId8" w:type="first"/>
          <w:footerReference r:id="rId7" w:type="default"/>
          <w:pgSz w:w="11906" w:h="16838"/>
          <w:pgMar w:top="1440" w:right="1800" w:bottom="1440" w:left="1800" w:header="851" w:footer="992" w:gutter="0"/>
          <w:pgNumType w:start="1"/>
          <w:cols w:space="425" w:num="1"/>
          <w:titlePg/>
          <w:docGrid w:type="lines" w:linePitch="312" w:charSpace="0"/>
        </w:sectPr>
      </w:pPr>
    </w:p>
    <w:p w14:paraId="1281040F">
      <w:pPr>
        <w:pStyle w:val="6"/>
        <w:spacing w:before="93"/>
        <w:rPr>
          <w:rFonts w:ascii="Times New Roman"/>
          <w:color w:val="000000"/>
          <w:kern w:val="2"/>
          <w:sz w:val="32"/>
          <w:szCs w:val="32"/>
          <w:lang w:val="zh-CN"/>
        </w:rPr>
      </w:pPr>
      <w:r>
        <w:rPr>
          <w:rFonts w:hint="eastAsia" w:ascii="Times New Roman"/>
          <w:color w:val="000000"/>
          <w:kern w:val="2"/>
          <w:sz w:val="32"/>
          <w:szCs w:val="32"/>
          <w:lang w:val="zh-CN"/>
        </w:rPr>
        <w:t>附表：</w:t>
      </w:r>
    </w:p>
    <w:tbl>
      <w:tblPr>
        <w:tblStyle w:val="16"/>
        <w:tblW w:w="15160" w:type="dxa"/>
        <w:tblInd w:w="93" w:type="dxa"/>
        <w:tblLayout w:type="fixed"/>
        <w:tblCellMar>
          <w:top w:w="0" w:type="dxa"/>
          <w:left w:w="108" w:type="dxa"/>
          <w:bottom w:w="0" w:type="dxa"/>
          <w:right w:w="108" w:type="dxa"/>
        </w:tblCellMar>
      </w:tblPr>
      <w:tblGrid>
        <w:gridCol w:w="700"/>
        <w:gridCol w:w="2060"/>
        <w:gridCol w:w="1780"/>
        <w:gridCol w:w="2820"/>
        <w:gridCol w:w="593"/>
        <w:gridCol w:w="1607"/>
        <w:gridCol w:w="520"/>
        <w:gridCol w:w="1100"/>
        <w:gridCol w:w="780"/>
        <w:gridCol w:w="640"/>
        <w:gridCol w:w="2560"/>
      </w:tblGrid>
      <w:tr w14:paraId="52AB559D">
        <w:tblPrEx>
          <w:tblCellMar>
            <w:top w:w="0" w:type="dxa"/>
            <w:left w:w="108" w:type="dxa"/>
            <w:bottom w:w="0" w:type="dxa"/>
            <w:right w:w="108" w:type="dxa"/>
          </w:tblCellMar>
        </w:tblPrEx>
        <w:trPr>
          <w:trHeight w:val="546" w:hRule="atLeast"/>
        </w:trPr>
        <w:tc>
          <w:tcPr>
            <w:tcW w:w="151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602A199">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14:paraId="1A715D33">
        <w:tblPrEx>
          <w:tblCellMar>
            <w:top w:w="0" w:type="dxa"/>
            <w:left w:w="108" w:type="dxa"/>
            <w:bottom w:w="0" w:type="dxa"/>
            <w:right w:w="108" w:type="dxa"/>
          </w:tblCellMar>
        </w:tblPrEx>
        <w:trPr>
          <w:trHeight w:val="285" w:hRule="atLeast"/>
        </w:trPr>
        <w:tc>
          <w:tcPr>
            <w:tcW w:w="27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1D3A52">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2400" w:type="dxa"/>
            <w:gridSpan w:val="9"/>
            <w:tcBorders>
              <w:top w:val="single" w:color="000000" w:sz="4" w:space="0"/>
              <w:left w:val="nil"/>
              <w:bottom w:val="single" w:color="000000" w:sz="4" w:space="0"/>
              <w:right w:val="single" w:color="000000" w:sz="4" w:space="0"/>
            </w:tcBorders>
            <w:shd w:val="clear" w:color="auto" w:fill="auto"/>
            <w:vAlign w:val="center"/>
          </w:tcPr>
          <w:p w14:paraId="55C6DAD4">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盐边县供销合作社联合社基本支出</w:t>
            </w:r>
          </w:p>
        </w:tc>
      </w:tr>
      <w:tr w14:paraId="2DD6149F">
        <w:tblPrEx>
          <w:tblCellMar>
            <w:top w:w="0" w:type="dxa"/>
            <w:left w:w="108" w:type="dxa"/>
            <w:bottom w:w="0" w:type="dxa"/>
            <w:right w:w="108" w:type="dxa"/>
          </w:tblCellMar>
        </w:tblPrEx>
        <w:trPr>
          <w:trHeight w:val="514" w:hRule="atLeast"/>
        </w:trPr>
        <w:tc>
          <w:tcPr>
            <w:tcW w:w="27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3996D0">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7320" w:type="dxa"/>
            <w:gridSpan w:val="5"/>
            <w:tcBorders>
              <w:top w:val="single" w:color="000000" w:sz="4" w:space="0"/>
              <w:left w:val="nil"/>
              <w:bottom w:val="single" w:color="000000" w:sz="4" w:space="0"/>
              <w:right w:val="single" w:color="000000" w:sz="4" w:space="0"/>
            </w:tcBorders>
            <w:shd w:val="clear" w:color="auto" w:fill="auto"/>
            <w:vAlign w:val="center"/>
          </w:tcPr>
          <w:p w14:paraId="54181BB3">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盐边县供销合作社联合社（部门）</w:t>
            </w:r>
          </w:p>
        </w:tc>
        <w:tc>
          <w:tcPr>
            <w:tcW w:w="1100" w:type="dxa"/>
            <w:tcBorders>
              <w:top w:val="nil"/>
              <w:left w:val="nil"/>
              <w:bottom w:val="nil"/>
              <w:right w:val="nil"/>
            </w:tcBorders>
            <w:shd w:val="clear" w:color="auto" w:fill="auto"/>
            <w:vAlign w:val="center"/>
          </w:tcPr>
          <w:p w14:paraId="2EB7E907">
            <w:pPr>
              <w:widowControl/>
              <w:jc w:val="left"/>
              <w:rPr>
                <w:rFonts w:ascii="SimSun-ExtB" w:hAnsi="SimSun-ExtB" w:eastAsia="SimSun-ExtB" w:cs="宋体"/>
                <w:color w:val="000000"/>
                <w:kern w:val="0"/>
                <w:sz w:val="18"/>
                <w:szCs w:val="18"/>
              </w:rPr>
            </w:pPr>
            <w:r>
              <w:rPr>
                <w:rFonts w:hint="eastAsia" w:ascii="宋体" w:hAnsi="宋体" w:cs="宋体"/>
                <w:color w:val="000000"/>
                <w:kern w:val="0"/>
                <w:sz w:val="18"/>
                <w:szCs w:val="18"/>
              </w:rPr>
              <w:t>实施单位</w:t>
            </w:r>
            <w:r>
              <w:rPr>
                <w:rFonts w:hint="eastAsia" w:ascii="SimSun-ExtB" w:hAnsi="SimSun-ExtB" w:eastAsia="SimSun-ExtB" w:cs="宋体"/>
                <w:color w:val="000000"/>
                <w:kern w:val="0"/>
                <w:sz w:val="18"/>
                <w:szCs w:val="18"/>
              </w:rPr>
              <w:t xml:space="preserve"> </w:t>
            </w:r>
            <w:r>
              <w:rPr>
                <w:rFonts w:hint="eastAsia" w:ascii="宋体" w:hAnsi="宋体" w:cs="宋体"/>
                <w:color w:val="000000"/>
                <w:kern w:val="0"/>
                <w:sz w:val="18"/>
                <w:szCs w:val="18"/>
              </w:rPr>
              <w:t>（盖章）</w:t>
            </w:r>
          </w:p>
        </w:tc>
        <w:tc>
          <w:tcPr>
            <w:tcW w:w="39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76D875">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盐边县供销合作社联合社</w:t>
            </w:r>
          </w:p>
        </w:tc>
      </w:tr>
      <w:tr w14:paraId="75D00EBC">
        <w:tblPrEx>
          <w:tblCellMar>
            <w:top w:w="0" w:type="dxa"/>
            <w:left w:w="108" w:type="dxa"/>
            <w:bottom w:w="0" w:type="dxa"/>
            <w:right w:w="108" w:type="dxa"/>
          </w:tblCellMar>
        </w:tblPrEx>
        <w:trPr>
          <w:trHeight w:val="285" w:hRule="atLeast"/>
        </w:trPr>
        <w:tc>
          <w:tcPr>
            <w:tcW w:w="700" w:type="dxa"/>
            <w:vMerge w:val="restart"/>
            <w:tcBorders>
              <w:top w:val="nil"/>
              <w:left w:val="single" w:color="000000" w:sz="4" w:space="0"/>
              <w:bottom w:val="single" w:color="000000" w:sz="4" w:space="0"/>
              <w:right w:val="single" w:color="000000" w:sz="4" w:space="0"/>
            </w:tcBorders>
            <w:shd w:val="clear" w:color="auto" w:fill="auto"/>
            <w:vAlign w:val="center"/>
          </w:tcPr>
          <w:p w14:paraId="6CAF7E79">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2060" w:type="dxa"/>
            <w:vMerge w:val="restart"/>
            <w:tcBorders>
              <w:top w:val="nil"/>
              <w:left w:val="single" w:color="000000" w:sz="4" w:space="0"/>
              <w:bottom w:val="single" w:color="000000" w:sz="4" w:space="0"/>
              <w:right w:val="single" w:color="000000" w:sz="4" w:space="0"/>
            </w:tcBorders>
            <w:shd w:val="clear" w:color="auto" w:fill="auto"/>
            <w:vAlign w:val="center"/>
          </w:tcPr>
          <w:p w14:paraId="5007FE61">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7320" w:type="dxa"/>
            <w:gridSpan w:val="5"/>
            <w:tcBorders>
              <w:top w:val="single" w:color="000000" w:sz="4" w:space="0"/>
              <w:left w:val="nil"/>
              <w:bottom w:val="single" w:color="000000" w:sz="4" w:space="0"/>
              <w:right w:val="single" w:color="000000" w:sz="4" w:space="0"/>
            </w:tcBorders>
            <w:shd w:val="clear" w:color="auto" w:fill="auto"/>
            <w:vAlign w:val="center"/>
          </w:tcPr>
          <w:p w14:paraId="0F456BD1">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5080" w:type="dxa"/>
            <w:gridSpan w:val="4"/>
            <w:tcBorders>
              <w:top w:val="single" w:color="000000" w:sz="4" w:space="0"/>
              <w:left w:val="nil"/>
              <w:bottom w:val="single" w:color="000000" w:sz="4" w:space="0"/>
              <w:right w:val="single" w:color="000000" w:sz="4" w:space="0"/>
            </w:tcBorders>
            <w:shd w:val="clear" w:color="auto" w:fill="auto"/>
            <w:vAlign w:val="center"/>
          </w:tcPr>
          <w:p w14:paraId="0C8A1D43">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年度目标完成情况</w:t>
            </w:r>
          </w:p>
        </w:tc>
      </w:tr>
      <w:tr w14:paraId="77E5C51C">
        <w:tblPrEx>
          <w:tblCellMar>
            <w:top w:w="0" w:type="dxa"/>
            <w:left w:w="108" w:type="dxa"/>
            <w:bottom w:w="0" w:type="dxa"/>
            <w:right w:w="108" w:type="dxa"/>
          </w:tblCellMar>
        </w:tblPrEx>
        <w:trPr>
          <w:trHeight w:val="546" w:hRule="atLeast"/>
        </w:trPr>
        <w:tc>
          <w:tcPr>
            <w:tcW w:w="700" w:type="dxa"/>
            <w:vMerge w:val="continue"/>
            <w:tcBorders>
              <w:top w:val="nil"/>
              <w:left w:val="single" w:color="000000" w:sz="4" w:space="0"/>
              <w:bottom w:val="single" w:color="000000" w:sz="4" w:space="0"/>
              <w:right w:val="single" w:color="000000" w:sz="4" w:space="0"/>
            </w:tcBorders>
            <w:vAlign w:val="center"/>
          </w:tcPr>
          <w:p w14:paraId="3DE7D2DF">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14:paraId="28E94CB0">
            <w:pPr>
              <w:widowControl/>
              <w:jc w:val="left"/>
              <w:rPr>
                <w:rFonts w:ascii="宋体" w:hAnsi="宋体" w:cs="宋体"/>
                <w:color w:val="000000"/>
                <w:kern w:val="0"/>
                <w:sz w:val="18"/>
                <w:szCs w:val="18"/>
              </w:rPr>
            </w:pPr>
          </w:p>
        </w:tc>
        <w:tc>
          <w:tcPr>
            <w:tcW w:w="7320" w:type="dxa"/>
            <w:gridSpan w:val="5"/>
            <w:tcBorders>
              <w:top w:val="single" w:color="000000" w:sz="4" w:space="0"/>
              <w:left w:val="nil"/>
              <w:bottom w:val="single" w:color="000000" w:sz="4" w:space="0"/>
              <w:right w:val="single" w:color="000000" w:sz="4" w:space="0"/>
            </w:tcBorders>
            <w:shd w:val="clear" w:color="auto" w:fill="auto"/>
            <w:vAlign w:val="center"/>
          </w:tcPr>
          <w:p w14:paraId="0F8FE85D">
            <w:pPr>
              <w:widowControl/>
              <w:jc w:val="left"/>
              <w:rPr>
                <w:rFonts w:ascii="宋体" w:hAnsi="宋体" w:cs="宋体"/>
                <w:color w:val="000000"/>
                <w:kern w:val="0"/>
                <w:sz w:val="18"/>
                <w:szCs w:val="18"/>
              </w:rPr>
            </w:pPr>
            <w:r>
              <w:rPr>
                <w:rFonts w:hint="eastAsia" w:ascii="宋体" w:hAnsi="宋体" w:cs="宋体"/>
                <w:color w:val="000000"/>
                <w:kern w:val="0"/>
                <w:sz w:val="18"/>
                <w:szCs w:val="18"/>
              </w:rPr>
              <w:t>保障单位日常运转，提高预算编制质量，严格执行预算，减少结余资金</w:t>
            </w:r>
          </w:p>
        </w:tc>
        <w:tc>
          <w:tcPr>
            <w:tcW w:w="5080" w:type="dxa"/>
            <w:gridSpan w:val="4"/>
            <w:tcBorders>
              <w:top w:val="single" w:color="000000" w:sz="4" w:space="0"/>
              <w:left w:val="nil"/>
              <w:bottom w:val="single" w:color="000000" w:sz="4" w:space="0"/>
              <w:right w:val="single" w:color="000000" w:sz="4" w:space="0"/>
            </w:tcBorders>
            <w:shd w:val="clear" w:color="auto" w:fill="auto"/>
            <w:vAlign w:val="center"/>
          </w:tcPr>
          <w:p w14:paraId="44D37DBB">
            <w:pPr>
              <w:widowControl/>
              <w:jc w:val="left"/>
              <w:rPr>
                <w:rFonts w:ascii="宋体" w:hAnsi="宋体" w:cs="宋体"/>
                <w:color w:val="000000"/>
                <w:kern w:val="0"/>
                <w:sz w:val="18"/>
                <w:szCs w:val="18"/>
              </w:rPr>
            </w:pPr>
            <w:r>
              <w:rPr>
                <w:rFonts w:hint="eastAsia" w:ascii="宋体" w:hAnsi="宋体" w:cs="宋体"/>
                <w:color w:val="000000"/>
                <w:kern w:val="0"/>
                <w:sz w:val="18"/>
                <w:szCs w:val="18"/>
              </w:rPr>
              <w:t>单位正常运转，严格执行预算，没有结余资金</w:t>
            </w:r>
          </w:p>
        </w:tc>
      </w:tr>
      <w:tr w14:paraId="42695FC8">
        <w:tblPrEx>
          <w:tblCellMar>
            <w:top w:w="0" w:type="dxa"/>
            <w:left w:w="108" w:type="dxa"/>
            <w:bottom w:w="0" w:type="dxa"/>
            <w:right w:w="108" w:type="dxa"/>
          </w:tblCellMar>
        </w:tblPrEx>
        <w:trPr>
          <w:trHeight w:val="496" w:hRule="atLeast"/>
        </w:trPr>
        <w:tc>
          <w:tcPr>
            <w:tcW w:w="700" w:type="dxa"/>
            <w:vMerge w:val="continue"/>
            <w:tcBorders>
              <w:top w:val="nil"/>
              <w:left w:val="single" w:color="000000" w:sz="4" w:space="0"/>
              <w:bottom w:val="single" w:color="000000" w:sz="4" w:space="0"/>
              <w:right w:val="single" w:color="000000" w:sz="4" w:space="0"/>
            </w:tcBorders>
            <w:vAlign w:val="center"/>
          </w:tcPr>
          <w:p w14:paraId="454AE55F">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0FDA176F">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2400" w:type="dxa"/>
            <w:gridSpan w:val="9"/>
            <w:tcBorders>
              <w:top w:val="single" w:color="000000" w:sz="4" w:space="0"/>
              <w:left w:val="nil"/>
              <w:bottom w:val="single" w:color="000000" w:sz="4" w:space="0"/>
              <w:right w:val="single" w:color="000000" w:sz="4" w:space="0"/>
            </w:tcBorders>
            <w:shd w:val="clear" w:color="auto" w:fill="auto"/>
            <w:vAlign w:val="center"/>
          </w:tcPr>
          <w:p w14:paraId="76C97C31">
            <w:pPr>
              <w:widowControl/>
              <w:jc w:val="left"/>
              <w:rPr>
                <w:rFonts w:ascii="宋体" w:hAnsi="宋体" w:cs="宋体"/>
                <w:color w:val="000000"/>
                <w:kern w:val="0"/>
                <w:sz w:val="18"/>
                <w:szCs w:val="18"/>
              </w:rPr>
            </w:pPr>
            <w:r>
              <w:rPr>
                <w:rFonts w:hint="eastAsia" w:ascii="宋体" w:hAnsi="宋体" w:cs="宋体"/>
                <w:color w:val="000000"/>
                <w:kern w:val="0"/>
                <w:sz w:val="18"/>
                <w:szCs w:val="18"/>
              </w:rPr>
              <w:t>维持单位日常运转，保障单位日常公用经费的开支以及人员经费的及时发放。</w:t>
            </w:r>
          </w:p>
        </w:tc>
      </w:tr>
      <w:tr w14:paraId="0F1AB024">
        <w:tblPrEx>
          <w:tblCellMar>
            <w:top w:w="0" w:type="dxa"/>
            <w:left w:w="108" w:type="dxa"/>
            <w:bottom w:w="0" w:type="dxa"/>
            <w:right w:w="108" w:type="dxa"/>
          </w:tblCellMar>
        </w:tblPrEx>
        <w:trPr>
          <w:trHeight w:val="420" w:hRule="atLeast"/>
        </w:trPr>
        <w:tc>
          <w:tcPr>
            <w:tcW w:w="700" w:type="dxa"/>
            <w:vMerge w:val="restart"/>
            <w:tcBorders>
              <w:top w:val="nil"/>
              <w:left w:val="single" w:color="000000" w:sz="4" w:space="0"/>
              <w:bottom w:val="single" w:color="000000" w:sz="4" w:space="0"/>
              <w:right w:val="single" w:color="000000" w:sz="4" w:space="0"/>
            </w:tcBorders>
            <w:shd w:val="clear" w:color="auto" w:fill="auto"/>
            <w:vAlign w:val="center"/>
          </w:tcPr>
          <w:p w14:paraId="568AFC65">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2060" w:type="dxa"/>
            <w:tcBorders>
              <w:top w:val="nil"/>
              <w:left w:val="nil"/>
              <w:bottom w:val="single" w:color="000000" w:sz="4" w:space="0"/>
              <w:right w:val="single" w:color="000000" w:sz="4" w:space="0"/>
            </w:tcBorders>
            <w:shd w:val="clear" w:color="auto" w:fill="auto"/>
            <w:vAlign w:val="center"/>
          </w:tcPr>
          <w:p w14:paraId="735E1A7B">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780" w:type="dxa"/>
            <w:tcBorders>
              <w:top w:val="nil"/>
              <w:left w:val="nil"/>
              <w:bottom w:val="single" w:color="000000" w:sz="4" w:space="0"/>
              <w:right w:val="single" w:color="000000" w:sz="4" w:space="0"/>
            </w:tcBorders>
            <w:shd w:val="clear" w:color="auto" w:fill="auto"/>
            <w:vAlign w:val="center"/>
          </w:tcPr>
          <w:p w14:paraId="1CC75EBE">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820" w:type="dxa"/>
            <w:tcBorders>
              <w:top w:val="nil"/>
              <w:left w:val="nil"/>
              <w:bottom w:val="single" w:color="000000" w:sz="4" w:space="0"/>
              <w:right w:val="single" w:color="000000" w:sz="4" w:space="0"/>
            </w:tcBorders>
            <w:shd w:val="clear" w:color="auto" w:fill="auto"/>
            <w:vAlign w:val="center"/>
          </w:tcPr>
          <w:p w14:paraId="4F826621">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2A937C08">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1100" w:type="dxa"/>
            <w:tcBorders>
              <w:top w:val="nil"/>
              <w:left w:val="nil"/>
              <w:bottom w:val="single" w:color="000000" w:sz="4" w:space="0"/>
              <w:right w:val="single" w:color="000000" w:sz="4" w:space="0"/>
            </w:tcBorders>
            <w:shd w:val="clear" w:color="auto" w:fill="auto"/>
            <w:vAlign w:val="center"/>
          </w:tcPr>
          <w:p w14:paraId="2B38325A">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780" w:type="dxa"/>
            <w:tcBorders>
              <w:top w:val="nil"/>
              <w:left w:val="nil"/>
              <w:bottom w:val="single" w:color="000000" w:sz="4" w:space="0"/>
              <w:right w:val="single" w:color="000000" w:sz="4" w:space="0"/>
            </w:tcBorders>
            <w:shd w:val="clear" w:color="auto" w:fill="auto"/>
            <w:vAlign w:val="center"/>
          </w:tcPr>
          <w:p w14:paraId="1D85BEFF">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640" w:type="dxa"/>
            <w:tcBorders>
              <w:top w:val="nil"/>
              <w:left w:val="nil"/>
              <w:bottom w:val="single" w:color="000000" w:sz="4" w:space="0"/>
              <w:right w:val="single" w:color="000000" w:sz="4" w:space="0"/>
            </w:tcBorders>
            <w:shd w:val="clear" w:color="auto" w:fill="auto"/>
            <w:vAlign w:val="center"/>
          </w:tcPr>
          <w:p w14:paraId="2C523B46">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60" w:type="dxa"/>
            <w:tcBorders>
              <w:top w:val="nil"/>
              <w:left w:val="nil"/>
              <w:bottom w:val="single" w:color="000000" w:sz="4" w:space="0"/>
              <w:right w:val="single" w:color="000000" w:sz="4" w:space="0"/>
            </w:tcBorders>
            <w:shd w:val="clear" w:color="auto" w:fill="auto"/>
            <w:vAlign w:val="center"/>
          </w:tcPr>
          <w:p w14:paraId="4DF9EBC6">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14:paraId="1A4DB200">
        <w:tblPrEx>
          <w:tblCellMar>
            <w:top w:w="0" w:type="dxa"/>
            <w:left w:w="108" w:type="dxa"/>
            <w:bottom w:w="0" w:type="dxa"/>
            <w:right w:w="108" w:type="dxa"/>
          </w:tblCellMar>
        </w:tblPrEx>
        <w:trPr>
          <w:trHeight w:val="387" w:hRule="atLeast"/>
        </w:trPr>
        <w:tc>
          <w:tcPr>
            <w:tcW w:w="700" w:type="dxa"/>
            <w:vMerge w:val="continue"/>
            <w:tcBorders>
              <w:top w:val="nil"/>
              <w:left w:val="single" w:color="000000" w:sz="4" w:space="0"/>
              <w:bottom w:val="single" w:color="000000" w:sz="4" w:space="0"/>
              <w:right w:val="single" w:color="000000" w:sz="4" w:space="0"/>
            </w:tcBorders>
            <w:vAlign w:val="center"/>
          </w:tcPr>
          <w:p w14:paraId="5630694C">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7DC39669">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780" w:type="dxa"/>
            <w:tcBorders>
              <w:top w:val="nil"/>
              <w:left w:val="nil"/>
              <w:bottom w:val="single" w:color="000000" w:sz="4" w:space="0"/>
              <w:right w:val="single" w:color="000000" w:sz="4" w:space="0"/>
            </w:tcBorders>
            <w:shd w:val="clear" w:color="auto" w:fill="auto"/>
            <w:vAlign w:val="center"/>
          </w:tcPr>
          <w:p w14:paraId="1772BCAC">
            <w:pPr>
              <w:widowControl/>
              <w:jc w:val="center"/>
              <w:rPr>
                <w:rFonts w:ascii="宋体" w:hAnsi="宋体" w:cs="宋体"/>
                <w:color w:val="000000"/>
                <w:kern w:val="0"/>
                <w:sz w:val="18"/>
                <w:szCs w:val="18"/>
              </w:rPr>
            </w:pPr>
            <w:r>
              <w:rPr>
                <w:rFonts w:hint="eastAsia" w:ascii="宋体" w:hAnsi="宋体" w:cs="宋体"/>
                <w:color w:val="000000"/>
                <w:kern w:val="0"/>
                <w:sz w:val="18"/>
                <w:szCs w:val="18"/>
              </w:rPr>
              <w:t>107.82</w:t>
            </w:r>
          </w:p>
        </w:tc>
        <w:tc>
          <w:tcPr>
            <w:tcW w:w="2820" w:type="dxa"/>
            <w:tcBorders>
              <w:top w:val="nil"/>
              <w:left w:val="nil"/>
              <w:bottom w:val="single" w:color="000000" w:sz="4" w:space="0"/>
              <w:right w:val="single" w:color="000000" w:sz="4" w:space="0"/>
            </w:tcBorders>
            <w:shd w:val="clear" w:color="auto" w:fill="auto"/>
            <w:vAlign w:val="center"/>
          </w:tcPr>
          <w:p w14:paraId="7A5DED69">
            <w:pPr>
              <w:widowControl/>
              <w:jc w:val="center"/>
              <w:rPr>
                <w:rFonts w:ascii="宋体" w:hAnsi="宋体" w:cs="宋体"/>
                <w:color w:val="000000"/>
                <w:kern w:val="0"/>
                <w:sz w:val="18"/>
                <w:szCs w:val="18"/>
              </w:rPr>
            </w:pPr>
            <w:r>
              <w:rPr>
                <w:rFonts w:hint="eastAsia" w:ascii="宋体" w:hAnsi="宋体" w:cs="宋体"/>
                <w:color w:val="000000"/>
                <w:kern w:val="0"/>
                <w:sz w:val="18"/>
                <w:szCs w:val="18"/>
              </w:rPr>
              <w:t>192.63</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0604F30B">
            <w:pPr>
              <w:widowControl/>
              <w:jc w:val="center"/>
              <w:rPr>
                <w:rFonts w:ascii="宋体" w:hAnsi="宋体" w:cs="宋体"/>
                <w:color w:val="000000"/>
                <w:kern w:val="0"/>
                <w:sz w:val="18"/>
                <w:szCs w:val="18"/>
              </w:rPr>
            </w:pPr>
            <w:r>
              <w:rPr>
                <w:rFonts w:hint="eastAsia" w:ascii="宋体" w:hAnsi="宋体" w:cs="宋体"/>
                <w:color w:val="000000"/>
                <w:kern w:val="0"/>
                <w:sz w:val="18"/>
                <w:szCs w:val="18"/>
              </w:rPr>
              <w:t>192.63</w:t>
            </w:r>
          </w:p>
        </w:tc>
        <w:tc>
          <w:tcPr>
            <w:tcW w:w="1100" w:type="dxa"/>
            <w:tcBorders>
              <w:top w:val="nil"/>
              <w:left w:val="nil"/>
              <w:bottom w:val="single" w:color="000000" w:sz="4" w:space="0"/>
              <w:right w:val="single" w:color="000000" w:sz="4" w:space="0"/>
            </w:tcBorders>
            <w:shd w:val="clear" w:color="auto" w:fill="auto"/>
            <w:vAlign w:val="center"/>
          </w:tcPr>
          <w:p w14:paraId="563E6D04">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780" w:type="dxa"/>
            <w:tcBorders>
              <w:top w:val="nil"/>
              <w:left w:val="nil"/>
              <w:bottom w:val="single" w:color="000000" w:sz="4" w:space="0"/>
              <w:right w:val="single" w:color="000000" w:sz="4" w:space="0"/>
            </w:tcBorders>
            <w:shd w:val="clear" w:color="auto" w:fill="auto"/>
            <w:vAlign w:val="center"/>
          </w:tcPr>
          <w:p w14:paraId="62C5570A">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40" w:type="dxa"/>
            <w:tcBorders>
              <w:top w:val="nil"/>
              <w:left w:val="nil"/>
              <w:bottom w:val="single" w:color="000000" w:sz="4" w:space="0"/>
              <w:right w:val="single" w:color="000000" w:sz="4" w:space="0"/>
            </w:tcBorders>
            <w:shd w:val="clear" w:color="auto" w:fill="auto"/>
            <w:vAlign w:val="center"/>
          </w:tcPr>
          <w:p w14:paraId="21F7EE9E">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val="en-US" w:eastAsia="zh-CN"/>
              </w:rPr>
              <w:t>10</w:t>
            </w:r>
          </w:p>
        </w:tc>
        <w:tc>
          <w:tcPr>
            <w:tcW w:w="2560" w:type="dxa"/>
            <w:vMerge w:val="restart"/>
            <w:tcBorders>
              <w:top w:val="nil"/>
              <w:left w:val="single" w:color="000000" w:sz="4" w:space="0"/>
              <w:bottom w:val="single" w:color="000000" w:sz="4" w:space="0"/>
              <w:right w:val="single" w:color="000000" w:sz="4" w:space="0"/>
            </w:tcBorders>
            <w:shd w:val="clear" w:color="auto" w:fill="auto"/>
            <w:vAlign w:val="center"/>
          </w:tcPr>
          <w:p w14:paraId="6BE200B9">
            <w:pPr>
              <w:widowControl/>
              <w:jc w:val="center"/>
              <w:rPr>
                <w:rFonts w:ascii="Courier New" w:hAnsi="Courier New" w:cs="Courier New"/>
                <w:i/>
                <w:iCs/>
                <w:color w:val="000000"/>
                <w:kern w:val="0"/>
                <w:sz w:val="16"/>
                <w:szCs w:val="16"/>
              </w:rPr>
            </w:pPr>
            <w:r>
              <w:rPr>
                <w:rFonts w:ascii="宋体" w:hAnsi="宋体" w:cs="宋体"/>
                <w:color w:val="000000"/>
                <w:kern w:val="0"/>
                <w:sz w:val="18"/>
                <w:szCs w:val="18"/>
              </w:rPr>
              <w:t>结合单位实际情况，测算相对合理，资金分配科学，满足单位工作经费需求</w:t>
            </w:r>
          </w:p>
        </w:tc>
      </w:tr>
      <w:tr w14:paraId="2568653B">
        <w:tblPrEx>
          <w:tblCellMar>
            <w:top w:w="0" w:type="dxa"/>
            <w:left w:w="108" w:type="dxa"/>
            <w:bottom w:w="0" w:type="dxa"/>
            <w:right w:w="108" w:type="dxa"/>
          </w:tblCellMar>
        </w:tblPrEx>
        <w:trPr>
          <w:trHeight w:val="432" w:hRule="atLeast"/>
        </w:trPr>
        <w:tc>
          <w:tcPr>
            <w:tcW w:w="700" w:type="dxa"/>
            <w:vMerge w:val="continue"/>
            <w:tcBorders>
              <w:top w:val="nil"/>
              <w:left w:val="single" w:color="000000" w:sz="4" w:space="0"/>
              <w:bottom w:val="single" w:color="000000" w:sz="4" w:space="0"/>
              <w:right w:val="single" w:color="000000" w:sz="4" w:space="0"/>
            </w:tcBorders>
            <w:vAlign w:val="center"/>
          </w:tcPr>
          <w:p w14:paraId="31CDE418">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5436CD67">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780" w:type="dxa"/>
            <w:tcBorders>
              <w:top w:val="nil"/>
              <w:left w:val="nil"/>
              <w:bottom w:val="single" w:color="000000" w:sz="4" w:space="0"/>
              <w:right w:val="single" w:color="000000" w:sz="4" w:space="0"/>
            </w:tcBorders>
            <w:shd w:val="clear" w:color="auto" w:fill="auto"/>
            <w:vAlign w:val="center"/>
          </w:tcPr>
          <w:p w14:paraId="6822B981">
            <w:pPr>
              <w:widowControl/>
              <w:jc w:val="center"/>
              <w:rPr>
                <w:rFonts w:ascii="宋体" w:hAnsi="宋体" w:cs="宋体"/>
                <w:color w:val="000000"/>
                <w:kern w:val="0"/>
                <w:sz w:val="18"/>
                <w:szCs w:val="18"/>
              </w:rPr>
            </w:pPr>
            <w:r>
              <w:rPr>
                <w:rFonts w:hint="eastAsia" w:ascii="宋体" w:hAnsi="宋体" w:cs="宋体"/>
                <w:color w:val="000000"/>
                <w:kern w:val="0"/>
                <w:sz w:val="18"/>
                <w:szCs w:val="18"/>
              </w:rPr>
              <w:t>107.82</w:t>
            </w:r>
          </w:p>
        </w:tc>
        <w:tc>
          <w:tcPr>
            <w:tcW w:w="2820" w:type="dxa"/>
            <w:tcBorders>
              <w:top w:val="nil"/>
              <w:left w:val="nil"/>
              <w:bottom w:val="single" w:color="000000" w:sz="4" w:space="0"/>
              <w:right w:val="single" w:color="000000" w:sz="4" w:space="0"/>
            </w:tcBorders>
            <w:shd w:val="clear" w:color="auto" w:fill="auto"/>
            <w:vAlign w:val="center"/>
          </w:tcPr>
          <w:p w14:paraId="26D6A91C">
            <w:pPr>
              <w:widowControl/>
              <w:jc w:val="center"/>
              <w:rPr>
                <w:rFonts w:ascii="宋体" w:hAnsi="宋体" w:cs="宋体"/>
                <w:color w:val="000000"/>
                <w:kern w:val="0"/>
                <w:sz w:val="18"/>
                <w:szCs w:val="18"/>
              </w:rPr>
            </w:pPr>
            <w:r>
              <w:rPr>
                <w:rFonts w:hint="eastAsia" w:ascii="宋体" w:hAnsi="宋体" w:cs="宋体"/>
                <w:color w:val="000000"/>
                <w:kern w:val="0"/>
                <w:sz w:val="18"/>
                <w:szCs w:val="18"/>
              </w:rPr>
              <w:t>192.63</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32F94035">
            <w:pPr>
              <w:widowControl/>
              <w:jc w:val="center"/>
              <w:rPr>
                <w:rFonts w:ascii="宋体" w:hAnsi="宋体" w:cs="宋体"/>
                <w:color w:val="000000"/>
                <w:kern w:val="0"/>
                <w:sz w:val="18"/>
                <w:szCs w:val="18"/>
              </w:rPr>
            </w:pPr>
            <w:r>
              <w:rPr>
                <w:rFonts w:hint="eastAsia" w:ascii="宋体" w:hAnsi="宋体" w:cs="宋体"/>
                <w:color w:val="000000"/>
                <w:kern w:val="0"/>
                <w:sz w:val="18"/>
                <w:szCs w:val="18"/>
              </w:rPr>
              <w:t>192.63</w:t>
            </w:r>
          </w:p>
        </w:tc>
        <w:tc>
          <w:tcPr>
            <w:tcW w:w="1100" w:type="dxa"/>
            <w:tcBorders>
              <w:top w:val="nil"/>
              <w:left w:val="nil"/>
              <w:bottom w:val="single" w:color="000000" w:sz="4" w:space="0"/>
              <w:right w:val="single" w:color="000000" w:sz="4" w:space="0"/>
            </w:tcBorders>
            <w:shd w:val="clear" w:color="auto" w:fill="auto"/>
            <w:vAlign w:val="center"/>
          </w:tcPr>
          <w:p w14:paraId="71DA0B75">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780" w:type="dxa"/>
            <w:tcBorders>
              <w:top w:val="nil"/>
              <w:left w:val="nil"/>
              <w:bottom w:val="single" w:color="000000" w:sz="4" w:space="0"/>
              <w:right w:val="single" w:color="000000" w:sz="4" w:space="0"/>
            </w:tcBorders>
            <w:shd w:val="clear" w:color="auto" w:fill="auto"/>
            <w:vAlign w:val="center"/>
          </w:tcPr>
          <w:p w14:paraId="41CB11BE">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40" w:type="dxa"/>
            <w:tcBorders>
              <w:top w:val="nil"/>
              <w:left w:val="nil"/>
              <w:bottom w:val="single" w:color="000000" w:sz="4" w:space="0"/>
              <w:right w:val="single" w:color="000000" w:sz="4" w:space="0"/>
            </w:tcBorders>
            <w:shd w:val="clear" w:color="auto" w:fill="auto"/>
            <w:vAlign w:val="center"/>
          </w:tcPr>
          <w:p w14:paraId="140E1FB5">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16477D62">
            <w:pPr>
              <w:widowControl/>
              <w:jc w:val="left"/>
              <w:rPr>
                <w:rFonts w:ascii="Courier New" w:hAnsi="Courier New" w:cs="Courier New"/>
                <w:i/>
                <w:iCs/>
                <w:color w:val="000000"/>
                <w:kern w:val="0"/>
                <w:sz w:val="16"/>
                <w:szCs w:val="16"/>
              </w:rPr>
            </w:pPr>
          </w:p>
        </w:tc>
      </w:tr>
      <w:tr w14:paraId="6E0FEED4">
        <w:tblPrEx>
          <w:tblCellMar>
            <w:top w:w="0" w:type="dxa"/>
            <w:left w:w="108" w:type="dxa"/>
            <w:bottom w:w="0" w:type="dxa"/>
            <w:right w:w="108" w:type="dxa"/>
          </w:tblCellMar>
        </w:tblPrEx>
        <w:trPr>
          <w:trHeight w:val="447" w:hRule="atLeast"/>
        </w:trPr>
        <w:tc>
          <w:tcPr>
            <w:tcW w:w="700" w:type="dxa"/>
            <w:vMerge w:val="continue"/>
            <w:tcBorders>
              <w:top w:val="nil"/>
              <w:left w:val="single" w:color="000000" w:sz="4" w:space="0"/>
              <w:bottom w:val="single" w:color="000000" w:sz="4" w:space="0"/>
              <w:right w:val="single" w:color="000000" w:sz="4" w:space="0"/>
            </w:tcBorders>
            <w:vAlign w:val="center"/>
          </w:tcPr>
          <w:p w14:paraId="03DBC80F">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457C4729">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780" w:type="dxa"/>
            <w:tcBorders>
              <w:top w:val="nil"/>
              <w:left w:val="nil"/>
              <w:bottom w:val="single" w:color="000000" w:sz="4" w:space="0"/>
              <w:right w:val="single" w:color="000000" w:sz="4" w:space="0"/>
            </w:tcBorders>
            <w:shd w:val="clear" w:color="auto" w:fill="auto"/>
            <w:vAlign w:val="center"/>
          </w:tcPr>
          <w:p w14:paraId="79C126FF">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20" w:type="dxa"/>
            <w:tcBorders>
              <w:top w:val="nil"/>
              <w:left w:val="nil"/>
              <w:bottom w:val="single" w:color="000000" w:sz="4" w:space="0"/>
              <w:right w:val="single" w:color="000000" w:sz="4" w:space="0"/>
            </w:tcBorders>
            <w:shd w:val="clear" w:color="auto" w:fill="auto"/>
            <w:vAlign w:val="center"/>
          </w:tcPr>
          <w:p w14:paraId="2F346A52">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2E04A573">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00" w:type="dxa"/>
            <w:tcBorders>
              <w:top w:val="nil"/>
              <w:left w:val="nil"/>
              <w:bottom w:val="single" w:color="000000" w:sz="4" w:space="0"/>
              <w:right w:val="single" w:color="000000" w:sz="4" w:space="0"/>
            </w:tcBorders>
            <w:shd w:val="clear" w:color="auto" w:fill="auto"/>
            <w:vAlign w:val="center"/>
          </w:tcPr>
          <w:p w14:paraId="4BE59C7A">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80" w:type="dxa"/>
            <w:tcBorders>
              <w:top w:val="nil"/>
              <w:left w:val="nil"/>
              <w:bottom w:val="single" w:color="000000" w:sz="4" w:space="0"/>
              <w:right w:val="single" w:color="000000" w:sz="4" w:space="0"/>
            </w:tcBorders>
            <w:shd w:val="clear" w:color="auto" w:fill="auto"/>
            <w:vAlign w:val="center"/>
          </w:tcPr>
          <w:p w14:paraId="044B83D5">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40" w:type="dxa"/>
            <w:tcBorders>
              <w:top w:val="nil"/>
              <w:left w:val="nil"/>
              <w:bottom w:val="single" w:color="000000" w:sz="4" w:space="0"/>
              <w:right w:val="single" w:color="000000" w:sz="4" w:space="0"/>
            </w:tcBorders>
            <w:shd w:val="clear" w:color="auto" w:fill="auto"/>
            <w:vAlign w:val="center"/>
          </w:tcPr>
          <w:p w14:paraId="273D84FB">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17713072">
            <w:pPr>
              <w:widowControl/>
              <w:jc w:val="left"/>
              <w:rPr>
                <w:rFonts w:ascii="Courier New" w:hAnsi="Courier New" w:cs="Courier New"/>
                <w:i/>
                <w:iCs/>
                <w:color w:val="000000"/>
                <w:kern w:val="0"/>
                <w:sz w:val="16"/>
                <w:szCs w:val="16"/>
              </w:rPr>
            </w:pPr>
          </w:p>
        </w:tc>
      </w:tr>
      <w:tr w14:paraId="241572BE">
        <w:tblPrEx>
          <w:tblCellMar>
            <w:top w:w="0" w:type="dxa"/>
            <w:left w:w="108" w:type="dxa"/>
            <w:bottom w:w="0" w:type="dxa"/>
            <w:right w:w="108" w:type="dxa"/>
          </w:tblCellMar>
        </w:tblPrEx>
        <w:trPr>
          <w:trHeight w:val="402" w:hRule="atLeast"/>
        </w:trPr>
        <w:tc>
          <w:tcPr>
            <w:tcW w:w="700" w:type="dxa"/>
            <w:vMerge w:val="continue"/>
            <w:tcBorders>
              <w:top w:val="nil"/>
              <w:left w:val="single" w:color="000000" w:sz="4" w:space="0"/>
              <w:bottom w:val="single" w:color="000000" w:sz="4" w:space="0"/>
              <w:right w:val="single" w:color="000000" w:sz="4" w:space="0"/>
            </w:tcBorders>
            <w:vAlign w:val="center"/>
          </w:tcPr>
          <w:p w14:paraId="5E266E37">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7B09A384">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780" w:type="dxa"/>
            <w:tcBorders>
              <w:top w:val="nil"/>
              <w:left w:val="nil"/>
              <w:bottom w:val="single" w:color="000000" w:sz="4" w:space="0"/>
              <w:right w:val="single" w:color="000000" w:sz="4" w:space="0"/>
            </w:tcBorders>
            <w:shd w:val="clear" w:color="auto" w:fill="auto"/>
            <w:vAlign w:val="center"/>
          </w:tcPr>
          <w:p w14:paraId="6B77036B">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20" w:type="dxa"/>
            <w:tcBorders>
              <w:top w:val="nil"/>
              <w:left w:val="nil"/>
              <w:bottom w:val="single" w:color="000000" w:sz="4" w:space="0"/>
              <w:right w:val="single" w:color="000000" w:sz="4" w:space="0"/>
            </w:tcBorders>
            <w:shd w:val="clear" w:color="auto" w:fill="auto"/>
            <w:vAlign w:val="center"/>
          </w:tcPr>
          <w:p w14:paraId="2DC4D0DF">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23F67694">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00" w:type="dxa"/>
            <w:tcBorders>
              <w:top w:val="nil"/>
              <w:left w:val="nil"/>
              <w:bottom w:val="single" w:color="000000" w:sz="4" w:space="0"/>
              <w:right w:val="single" w:color="000000" w:sz="4" w:space="0"/>
            </w:tcBorders>
            <w:shd w:val="clear" w:color="auto" w:fill="auto"/>
            <w:vAlign w:val="center"/>
          </w:tcPr>
          <w:p w14:paraId="1FF7F993">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80" w:type="dxa"/>
            <w:tcBorders>
              <w:top w:val="nil"/>
              <w:left w:val="nil"/>
              <w:bottom w:val="single" w:color="000000" w:sz="4" w:space="0"/>
              <w:right w:val="single" w:color="000000" w:sz="4" w:space="0"/>
            </w:tcBorders>
            <w:shd w:val="clear" w:color="auto" w:fill="auto"/>
            <w:vAlign w:val="center"/>
          </w:tcPr>
          <w:p w14:paraId="1A59EE2B">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40" w:type="dxa"/>
            <w:tcBorders>
              <w:top w:val="nil"/>
              <w:left w:val="nil"/>
              <w:bottom w:val="single" w:color="000000" w:sz="4" w:space="0"/>
              <w:right w:val="single" w:color="000000" w:sz="4" w:space="0"/>
            </w:tcBorders>
            <w:shd w:val="clear" w:color="auto" w:fill="auto"/>
            <w:vAlign w:val="center"/>
          </w:tcPr>
          <w:p w14:paraId="5B048C2C">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527BC289">
            <w:pPr>
              <w:widowControl/>
              <w:jc w:val="left"/>
              <w:rPr>
                <w:rFonts w:ascii="Courier New" w:hAnsi="Courier New" w:cs="Courier New"/>
                <w:i/>
                <w:iCs/>
                <w:color w:val="000000"/>
                <w:kern w:val="0"/>
                <w:sz w:val="16"/>
                <w:szCs w:val="16"/>
              </w:rPr>
            </w:pPr>
          </w:p>
        </w:tc>
      </w:tr>
      <w:tr w14:paraId="3498EBB9">
        <w:tblPrEx>
          <w:tblCellMar>
            <w:top w:w="0" w:type="dxa"/>
            <w:left w:w="108" w:type="dxa"/>
            <w:bottom w:w="0" w:type="dxa"/>
            <w:right w:w="108" w:type="dxa"/>
          </w:tblCellMar>
        </w:tblPrEx>
        <w:trPr>
          <w:trHeight w:val="379" w:hRule="atLeast"/>
        </w:trPr>
        <w:tc>
          <w:tcPr>
            <w:tcW w:w="700" w:type="dxa"/>
            <w:vMerge w:val="continue"/>
            <w:tcBorders>
              <w:top w:val="nil"/>
              <w:left w:val="single" w:color="000000" w:sz="4" w:space="0"/>
              <w:bottom w:val="single" w:color="000000" w:sz="4" w:space="0"/>
              <w:right w:val="single" w:color="000000" w:sz="4" w:space="0"/>
            </w:tcBorders>
            <w:vAlign w:val="center"/>
          </w:tcPr>
          <w:p w14:paraId="22B9DD0E">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35DB375F">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780" w:type="dxa"/>
            <w:tcBorders>
              <w:top w:val="nil"/>
              <w:left w:val="nil"/>
              <w:bottom w:val="single" w:color="000000" w:sz="4" w:space="0"/>
              <w:right w:val="single" w:color="000000" w:sz="4" w:space="0"/>
            </w:tcBorders>
            <w:shd w:val="clear" w:color="auto" w:fill="auto"/>
            <w:vAlign w:val="center"/>
          </w:tcPr>
          <w:p w14:paraId="60539D4D">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20" w:type="dxa"/>
            <w:tcBorders>
              <w:top w:val="nil"/>
              <w:left w:val="nil"/>
              <w:bottom w:val="single" w:color="000000" w:sz="4" w:space="0"/>
              <w:right w:val="single" w:color="000000" w:sz="4" w:space="0"/>
            </w:tcBorders>
            <w:shd w:val="clear" w:color="auto" w:fill="auto"/>
            <w:vAlign w:val="center"/>
          </w:tcPr>
          <w:p w14:paraId="5D77627D">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60D8EA64">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00" w:type="dxa"/>
            <w:tcBorders>
              <w:top w:val="nil"/>
              <w:left w:val="nil"/>
              <w:bottom w:val="single" w:color="000000" w:sz="4" w:space="0"/>
              <w:right w:val="single" w:color="000000" w:sz="4" w:space="0"/>
            </w:tcBorders>
            <w:shd w:val="clear" w:color="auto" w:fill="auto"/>
            <w:vAlign w:val="center"/>
          </w:tcPr>
          <w:p w14:paraId="2BBD413C">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80" w:type="dxa"/>
            <w:tcBorders>
              <w:top w:val="nil"/>
              <w:left w:val="nil"/>
              <w:bottom w:val="single" w:color="000000" w:sz="4" w:space="0"/>
              <w:right w:val="single" w:color="000000" w:sz="4" w:space="0"/>
            </w:tcBorders>
            <w:shd w:val="clear" w:color="auto" w:fill="auto"/>
            <w:vAlign w:val="center"/>
          </w:tcPr>
          <w:p w14:paraId="059B5A81">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40" w:type="dxa"/>
            <w:tcBorders>
              <w:top w:val="nil"/>
              <w:left w:val="nil"/>
              <w:bottom w:val="single" w:color="000000" w:sz="4" w:space="0"/>
              <w:right w:val="single" w:color="000000" w:sz="4" w:space="0"/>
            </w:tcBorders>
            <w:shd w:val="clear" w:color="auto" w:fill="auto"/>
            <w:vAlign w:val="center"/>
          </w:tcPr>
          <w:p w14:paraId="7FD34C80">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109D1B54">
            <w:pPr>
              <w:widowControl/>
              <w:jc w:val="left"/>
              <w:rPr>
                <w:rFonts w:ascii="Courier New" w:hAnsi="Courier New" w:cs="Courier New"/>
                <w:i/>
                <w:iCs/>
                <w:color w:val="000000"/>
                <w:kern w:val="0"/>
                <w:sz w:val="16"/>
                <w:szCs w:val="16"/>
              </w:rPr>
            </w:pPr>
          </w:p>
        </w:tc>
      </w:tr>
      <w:tr w14:paraId="36F23D98">
        <w:tblPrEx>
          <w:tblCellMar>
            <w:top w:w="0" w:type="dxa"/>
            <w:left w:w="108" w:type="dxa"/>
            <w:bottom w:w="0" w:type="dxa"/>
            <w:right w:w="108" w:type="dxa"/>
          </w:tblCellMar>
        </w:tblPrEx>
        <w:trPr>
          <w:trHeight w:val="1225" w:hRule="atLeast"/>
        </w:trPr>
        <w:tc>
          <w:tcPr>
            <w:tcW w:w="700" w:type="dxa"/>
            <w:vMerge w:val="restart"/>
            <w:tcBorders>
              <w:top w:val="nil"/>
              <w:left w:val="single" w:color="000000" w:sz="4" w:space="0"/>
              <w:bottom w:val="single" w:color="000000" w:sz="4" w:space="0"/>
              <w:right w:val="single" w:color="000000" w:sz="4" w:space="0"/>
            </w:tcBorders>
            <w:shd w:val="clear" w:color="auto" w:fill="auto"/>
            <w:vAlign w:val="center"/>
          </w:tcPr>
          <w:p w14:paraId="59461BFE">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2060" w:type="dxa"/>
            <w:tcBorders>
              <w:top w:val="nil"/>
              <w:left w:val="nil"/>
              <w:bottom w:val="single" w:color="000000" w:sz="4" w:space="0"/>
              <w:right w:val="single" w:color="000000" w:sz="4" w:space="0"/>
            </w:tcBorders>
            <w:shd w:val="clear" w:color="auto" w:fill="auto"/>
            <w:vAlign w:val="center"/>
          </w:tcPr>
          <w:p w14:paraId="7AA83FDE">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780" w:type="dxa"/>
            <w:tcBorders>
              <w:top w:val="nil"/>
              <w:left w:val="nil"/>
              <w:bottom w:val="single" w:color="000000" w:sz="4" w:space="0"/>
              <w:right w:val="single" w:color="000000" w:sz="4" w:space="0"/>
            </w:tcBorders>
            <w:shd w:val="clear" w:color="auto" w:fill="auto"/>
            <w:vAlign w:val="center"/>
          </w:tcPr>
          <w:p w14:paraId="2CA4F55D">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820" w:type="dxa"/>
            <w:tcBorders>
              <w:top w:val="nil"/>
              <w:left w:val="nil"/>
              <w:bottom w:val="single" w:color="000000" w:sz="4" w:space="0"/>
              <w:right w:val="single" w:color="000000" w:sz="4" w:space="0"/>
            </w:tcBorders>
            <w:shd w:val="clear" w:color="auto" w:fill="auto"/>
            <w:vAlign w:val="center"/>
          </w:tcPr>
          <w:p w14:paraId="2C83DC72">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593" w:type="dxa"/>
            <w:tcBorders>
              <w:top w:val="nil"/>
              <w:left w:val="nil"/>
              <w:bottom w:val="single" w:color="000000" w:sz="4" w:space="0"/>
              <w:right w:val="single" w:color="000000" w:sz="4" w:space="0"/>
            </w:tcBorders>
            <w:shd w:val="clear" w:color="auto" w:fill="auto"/>
            <w:vAlign w:val="center"/>
          </w:tcPr>
          <w:p w14:paraId="17D845A1">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607" w:type="dxa"/>
            <w:tcBorders>
              <w:top w:val="nil"/>
              <w:left w:val="nil"/>
              <w:bottom w:val="single" w:color="000000" w:sz="4" w:space="0"/>
              <w:right w:val="single" w:color="000000" w:sz="4" w:space="0"/>
            </w:tcBorders>
            <w:shd w:val="clear" w:color="auto" w:fill="auto"/>
            <w:vAlign w:val="center"/>
          </w:tcPr>
          <w:p w14:paraId="62F50FE0">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520" w:type="dxa"/>
            <w:tcBorders>
              <w:top w:val="nil"/>
              <w:left w:val="nil"/>
              <w:bottom w:val="single" w:color="000000" w:sz="4" w:space="0"/>
              <w:right w:val="single" w:color="000000" w:sz="4" w:space="0"/>
            </w:tcBorders>
            <w:shd w:val="clear" w:color="auto" w:fill="auto"/>
            <w:vAlign w:val="center"/>
          </w:tcPr>
          <w:p w14:paraId="7A14DA66">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1100" w:type="dxa"/>
            <w:tcBorders>
              <w:top w:val="nil"/>
              <w:left w:val="nil"/>
              <w:bottom w:val="single" w:color="000000" w:sz="4" w:space="0"/>
              <w:right w:val="single" w:color="000000" w:sz="4" w:space="0"/>
            </w:tcBorders>
            <w:shd w:val="clear" w:color="auto" w:fill="auto"/>
            <w:vAlign w:val="center"/>
          </w:tcPr>
          <w:p w14:paraId="5E884F3E">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780" w:type="dxa"/>
            <w:tcBorders>
              <w:top w:val="nil"/>
              <w:left w:val="nil"/>
              <w:bottom w:val="single" w:color="000000" w:sz="4" w:space="0"/>
              <w:right w:val="single" w:color="000000" w:sz="4" w:space="0"/>
            </w:tcBorders>
            <w:shd w:val="clear" w:color="auto" w:fill="auto"/>
            <w:vAlign w:val="center"/>
          </w:tcPr>
          <w:p w14:paraId="151A80C3">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640" w:type="dxa"/>
            <w:tcBorders>
              <w:top w:val="nil"/>
              <w:left w:val="nil"/>
              <w:bottom w:val="single" w:color="000000" w:sz="4" w:space="0"/>
              <w:right w:val="single" w:color="000000" w:sz="4" w:space="0"/>
            </w:tcBorders>
            <w:shd w:val="clear" w:color="auto" w:fill="auto"/>
            <w:vAlign w:val="center"/>
          </w:tcPr>
          <w:p w14:paraId="04E6D19E">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60" w:type="dxa"/>
            <w:tcBorders>
              <w:top w:val="nil"/>
              <w:left w:val="nil"/>
              <w:bottom w:val="single" w:color="000000" w:sz="4" w:space="0"/>
              <w:right w:val="single" w:color="000000" w:sz="4" w:space="0"/>
            </w:tcBorders>
            <w:shd w:val="clear" w:color="auto" w:fill="auto"/>
            <w:vAlign w:val="center"/>
          </w:tcPr>
          <w:p w14:paraId="697101A7">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14:paraId="2F0DE06F">
        <w:tblPrEx>
          <w:tblCellMar>
            <w:top w:w="0" w:type="dxa"/>
            <w:left w:w="108" w:type="dxa"/>
            <w:bottom w:w="0" w:type="dxa"/>
            <w:right w:w="108" w:type="dxa"/>
          </w:tblCellMar>
        </w:tblPrEx>
        <w:trPr>
          <w:trHeight w:val="454" w:hRule="atLeast"/>
        </w:trPr>
        <w:tc>
          <w:tcPr>
            <w:tcW w:w="700" w:type="dxa"/>
            <w:vMerge w:val="continue"/>
            <w:tcBorders>
              <w:top w:val="nil"/>
              <w:left w:val="single" w:color="000000" w:sz="4" w:space="0"/>
              <w:bottom w:val="single" w:color="000000" w:sz="4" w:space="0"/>
              <w:right w:val="single" w:color="000000" w:sz="4" w:space="0"/>
            </w:tcBorders>
            <w:vAlign w:val="center"/>
          </w:tcPr>
          <w:p w14:paraId="5BA27821">
            <w:pPr>
              <w:widowControl/>
              <w:jc w:val="left"/>
              <w:rPr>
                <w:rFonts w:ascii="宋体" w:hAnsi="宋体" w:cs="宋体"/>
                <w:color w:val="000000"/>
                <w:kern w:val="0"/>
                <w:sz w:val="18"/>
                <w:szCs w:val="18"/>
              </w:rPr>
            </w:pPr>
          </w:p>
        </w:tc>
        <w:tc>
          <w:tcPr>
            <w:tcW w:w="2060" w:type="dxa"/>
            <w:vMerge w:val="restart"/>
            <w:tcBorders>
              <w:top w:val="nil"/>
              <w:left w:val="nil"/>
              <w:right w:val="single" w:color="000000" w:sz="4" w:space="0"/>
            </w:tcBorders>
            <w:shd w:val="clear" w:color="auto" w:fill="auto"/>
            <w:vAlign w:val="center"/>
          </w:tcPr>
          <w:p w14:paraId="1D42CC9B">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p w14:paraId="08A8E82E">
            <w:pPr>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780" w:type="dxa"/>
            <w:vMerge w:val="restart"/>
            <w:tcBorders>
              <w:top w:val="nil"/>
              <w:left w:val="single" w:color="000000" w:sz="4" w:space="0"/>
              <w:bottom w:val="single" w:color="000000" w:sz="4" w:space="0"/>
              <w:right w:val="single" w:color="000000" w:sz="4" w:space="0"/>
            </w:tcBorders>
            <w:shd w:val="clear" w:color="auto" w:fill="auto"/>
            <w:vAlign w:val="center"/>
          </w:tcPr>
          <w:p w14:paraId="20B9CF87">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820" w:type="dxa"/>
            <w:tcBorders>
              <w:top w:val="nil"/>
              <w:left w:val="nil"/>
              <w:bottom w:val="single" w:color="000000" w:sz="4" w:space="0"/>
              <w:right w:val="single" w:color="000000" w:sz="4" w:space="0"/>
            </w:tcBorders>
            <w:shd w:val="clear" w:color="auto" w:fill="auto"/>
            <w:vAlign w:val="center"/>
          </w:tcPr>
          <w:p w14:paraId="2AC5EDE6">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593" w:type="dxa"/>
            <w:tcBorders>
              <w:top w:val="nil"/>
              <w:left w:val="nil"/>
              <w:bottom w:val="single" w:color="000000" w:sz="4" w:space="0"/>
              <w:right w:val="single" w:color="000000" w:sz="4" w:space="0"/>
            </w:tcBorders>
            <w:shd w:val="clear" w:color="auto" w:fill="auto"/>
            <w:vAlign w:val="center"/>
          </w:tcPr>
          <w:p w14:paraId="1C21A9BF">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07" w:type="dxa"/>
            <w:tcBorders>
              <w:top w:val="nil"/>
              <w:left w:val="nil"/>
              <w:bottom w:val="single" w:color="000000" w:sz="4" w:space="0"/>
              <w:right w:val="single" w:color="000000" w:sz="4" w:space="0"/>
            </w:tcBorders>
            <w:shd w:val="clear" w:color="auto" w:fill="auto"/>
            <w:vAlign w:val="center"/>
          </w:tcPr>
          <w:p w14:paraId="120E2A20">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20" w:type="dxa"/>
            <w:tcBorders>
              <w:top w:val="nil"/>
              <w:left w:val="nil"/>
              <w:bottom w:val="single" w:color="000000" w:sz="4" w:space="0"/>
              <w:right w:val="single" w:color="000000" w:sz="4" w:space="0"/>
            </w:tcBorders>
            <w:shd w:val="clear" w:color="auto" w:fill="auto"/>
            <w:vAlign w:val="center"/>
          </w:tcPr>
          <w:p w14:paraId="3142CC0A">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1100" w:type="dxa"/>
            <w:tcBorders>
              <w:top w:val="nil"/>
              <w:left w:val="nil"/>
              <w:bottom w:val="single" w:color="000000" w:sz="4" w:space="0"/>
              <w:right w:val="single" w:color="000000" w:sz="4" w:space="0"/>
            </w:tcBorders>
            <w:shd w:val="clear" w:color="auto" w:fill="auto"/>
            <w:vAlign w:val="center"/>
          </w:tcPr>
          <w:p w14:paraId="0FCBD1DE">
            <w:pPr>
              <w:widowControl/>
              <w:jc w:val="center"/>
              <w:rPr>
                <w:rFonts w:ascii="宋体" w:hAnsi="宋体" w:cs="宋体"/>
                <w:color w:val="000000"/>
                <w:kern w:val="0"/>
                <w:sz w:val="18"/>
                <w:szCs w:val="18"/>
              </w:rPr>
            </w:pPr>
            <w:r>
              <w:rPr>
                <w:rFonts w:hint="eastAsia" w:ascii="宋体" w:hAnsi="宋体" w:cs="宋体"/>
                <w:color w:val="000000"/>
                <w:kern w:val="0"/>
                <w:sz w:val="18"/>
                <w:szCs w:val="18"/>
              </w:rPr>
              <w:t>≤10次</w:t>
            </w:r>
          </w:p>
        </w:tc>
        <w:tc>
          <w:tcPr>
            <w:tcW w:w="780" w:type="dxa"/>
            <w:tcBorders>
              <w:top w:val="nil"/>
              <w:left w:val="nil"/>
              <w:bottom w:val="single" w:color="000000" w:sz="4" w:space="0"/>
              <w:right w:val="single" w:color="000000" w:sz="4" w:space="0"/>
            </w:tcBorders>
            <w:shd w:val="clear" w:color="auto" w:fill="auto"/>
            <w:vAlign w:val="center"/>
          </w:tcPr>
          <w:p w14:paraId="46E38F93">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640" w:type="dxa"/>
            <w:tcBorders>
              <w:top w:val="nil"/>
              <w:left w:val="nil"/>
              <w:bottom w:val="single" w:color="000000" w:sz="4" w:space="0"/>
              <w:right w:val="single" w:color="000000" w:sz="4" w:space="0"/>
            </w:tcBorders>
            <w:shd w:val="clear" w:color="auto" w:fill="auto"/>
            <w:vAlign w:val="center"/>
          </w:tcPr>
          <w:p w14:paraId="173B6C76">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14 </w:t>
            </w:r>
          </w:p>
        </w:tc>
        <w:tc>
          <w:tcPr>
            <w:tcW w:w="2560" w:type="dxa"/>
            <w:tcBorders>
              <w:top w:val="nil"/>
              <w:left w:val="nil"/>
              <w:bottom w:val="single" w:color="000000" w:sz="4" w:space="0"/>
              <w:right w:val="single" w:color="000000" w:sz="4" w:space="0"/>
            </w:tcBorders>
            <w:shd w:val="clear" w:color="auto" w:fill="auto"/>
            <w:vAlign w:val="center"/>
          </w:tcPr>
          <w:p w14:paraId="13C19919">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2B2AA56B">
        <w:tblPrEx>
          <w:tblCellMar>
            <w:top w:w="0" w:type="dxa"/>
            <w:left w:w="108" w:type="dxa"/>
            <w:bottom w:w="0" w:type="dxa"/>
            <w:right w:w="108" w:type="dxa"/>
          </w:tblCellMar>
        </w:tblPrEx>
        <w:trPr>
          <w:trHeight w:val="338" w:hRule="atLeast"/>
        </w:trPr>
        <w:tc>
          <w:tcPr>
            <w:tcW w:w="700" w:type="dxa"/>
            <w:vMerge w:val="continue"/>
            <w:tcBorders>
              <w:top w:val="nil"/>
              <w:left w:val="single" w:color="000000" w:sz="4" w:space="0"/>
              <w:bottom w:val="single" w:color="000000" w:sz="4" w:space="0"/>
              <w:right w:val="single" w:color="000000" w:sz="4" w:space="0"/>
            </w:tcBorders>
            <w:vAlign w:val="center"/>
          </w:tcPr>
          <w:p w14:paraId="14CF58F4">
            <w:pPr>
              <w:widowControl/>
              <w:jc w:val="left"/>
              <w:rPr>
                <w:rFonts w:ascii="宋体" w:hAnsi="宋体" w:cs="宋体"/>
                <w:color w:val="000000"/>
                <w:kern w:val="0"/>
                <w:sz w:val="18"/>
                <w:szCs w:val="18"/>
              </w:rPr>
            </w:pPr>
          </w:p>
        </w:tc>
        <w:tc>
          <w:tcPr>
            <w:tcW w:w="2060" w:type="dxa"/>
            <w:vMerge w:val="continue"/>
            <w:tcBorders>
              <w:left w:val="single" w:color="000000" w:sz="4" w:space="0"/>
              <w:right w:val="single" w:color="000000" w:sz="4" w:space="0"/>
            </w:tcBorders>
            <w:shd w:val="clear" w:color="auto" w:fill="auto"/>
            <w:vAlign w:val="center"/>
          </w:tcPr>
          <w:p w14:paraId="0D77010C">
            <w:pPr>
              <w:widowControl/>
              <w:jc w:val="center"/>
              <w:rPr>
                <w:rFonts w:ascii="宋体" w:hAnsi="宋体" w:cs="宋体"/>
                <w:color w:val="000000"/>
                <w:kern w:val="0"/>
                <w:sz w:val="18"/>
                <w:szCs w:val="18"/>
              </w:rPr>
            </w:pPr>
          </w:p>
        </w:tc>
        <w:tc>
          <w:tcPr>
            <w:tcW w:w="1780" w:type="dxa"/>
            <w:vMerge w:val="continue"/>
            <w:tcBorders>
              <w:top w:val="nil"/>
              <w:left w:val="single" w:color="000000" w:sz="4" w:space="0"/>
              <w:bottom w:val="single" w:color="000000" w:sz="4" w:space="0"/>
              <w:right w:val="single" w:color="000000" w:sz="4" w:space="0"/>
            </w:tcBorders>
            <w:vAlign w:val="center"/>
          </w:tcPr>
          <w:p w14:paraId="36D02865">
            <w:pPr>
              <w:widowControl/>
              <w:jc w:val="left"/>
              <w:rPr>
                <w:rFonts w:ascii="宋体" w:hAnsi="宋体" w:cs="宋体"/>
                <w:color w:val="000000"/>
                <w:kern w:val="0"/>
                <w:sz w:val="18"/>
                <w:szCs w:val="18"/>
              </w:rPr>
            </w:pPr>
          </w:p>
        </w:tc>
        <w:tc>
          <w:tcPr>
            <w:tcW w:w="2820" w:type="dxa"/>
            <w:tcBorders>
              <w:top w:val="nil"/>
              <w:left w:val="nil"/>
              <w:bottom w:val="single" w:color="000000" w:sz="4" w:space="0"/>
              <w:right w:val="single" w:color="000000" w:sz="4" w:space="0"/>
            </w:tcBorders>
            <w:shd w:val="clear" w:color="auto" w:fill="auto"/>
            <w:vAlign w:val="center"/>
          </w:tcPr>
          <w:p w14:paraId="0B22A5BD">
            <w:pPr>
              <w:widowControl/>
              <w:jc w:val="center"/>
              <w:rPr>
                <w:rFonts w:ascii="宋体" w:hAnsi="宋体" w:cs="宋体"/>
                <w:color w:val="000000"/>
                <w:kern w:val="0"/>
                <w:sz w:val="18"/>
                <w:szCs w:val="18"/>
              </w:rPr>
            </w:pPr>
            <w:r>
              <w:rPr>
                <w:rFonts w:hint="eastAsia" w:ascii="宋体" w:hAnsi="宋体" w:cs="宋体"/>
                <w:color w:val="000000"/>
                <w:kern w:val="0"/>
                <w:sz w:val="18"/>
                <w:szCs w:val="18"/>
              </w:rPr>
              <w:t>足额保障率</w:t>
            </w:r>
          </w:p>
        </w:tc>
        <w:tc>
          <w:tcPr>
            <w:tcW w:w="593" w:type="dxa"/>
            <w:tcBorders>
              <w:top w:val="nil"/>
              <w:left w:val="nil"/>
              <w:bottom w:val="single" w:color="000000" w:sz="4" w:space="0"/>
              <w:right w:val="single" w:color="000000" w:sz="4" w:space="0"/>
            </w:tcBorders>
            <w:shd w:val="clear" w:color="auto" w:fill="auto"/>
            <w:vAlign w:val="center"/>
          </w:tcPr>
          <w:p w14:paraId="33DFC683">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07" w:type="dxa"/>
            <w:tcBorders>
              <w:top w:val="nil"/>
              <w:left w:val="nil"/>
              <w:bottom w:val="single" w:color="000000" w:sz="4" w:space="0"/>
              <w:right w:val="single" w:color="000000" w:sz="4" w:space="0"/>
            </w:tcBorders>
            <w:shd w:val="clear" w:color="auto" w:fill="auto"/>
            <w:vAlign w:val="center"/>
          </w:tcPr>
          <w:p w14:paraId="5A18FE04">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20" w:type="dxa"/>
            <w:tcBorders>
              <w:top w:val="nil"/>
              <w:left w:val="nil"/>
              <w:bottom w:val="single" w:color="000000" w:sz="4" w:space="0"/>
              <w:right w:val="single" w:color="000000" w:sz="4" w:space="0"/>
            </w:tcBorders>
            <w:shd w:val="clear" w:color="auto" w:fill="auto"/>
            <w:vAlign w:val="center"/>
          </w:tcPr>
          <w:p w14:paraId="1AFD8BED">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0" w:type="dxa"/>
            <w:tcBorders>
              <w:top w:val="nil"/>
              <w:left w:val="nil"/>
              <w:bottom w:val="single" w:color="000000" w:sz="4" w:space="0"/>
              <w:right w:val="single" w:color="000000" w:sz="4" w:space="0"/>
            </w:tcBorders>
            <w:shd w:val="clear" w:color="auto" w:fill="auto"/>
            <w:vAlign w:val="center"/>
          </w:tcPr>
          <w:p w14:paraId="2180FD88">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100%</w:t>
            </w:r>
          </w:p>
        </w:tc>
        <w:tc>
          <w:tcPr>
            <w:tcW w:w="780" w:type="dxa"/>
            <w:tcBorders>
              <w:top w:val="nil"/>
              <w:left w:val="nil"/>
              <w:bottom w:val="single" w:color="000000" w:sz="4" w:space="0"/>
              <w:right w:val="single" w:color="000000" w:sz="4" w:space="0"/>
            </w:tcBorders>
            <w:shd w:val="clear" w:color="auto" w:fill="auto"/>
            <w:vAlign w:val="center"/>
          </w:tcPr>
          <w:p w14:paraId="2AF36ABF">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640" w:type="dxa"/>
            <w:tcBorders>
              <w:top w:val="nil"/>
              <w:left w:val="nil"/>
              <w:bottom w:val="single" w:color="000000" w:sz="4" w:space="0"/>
              <w:right w:val="single" w:color="000000" w:sz="4" w:space="0"/>
            </w:tcBorders>
            <w:shd w:val="clear" w:color="auto" w:fill="auto"/>
            <w:vAlign w:val="center"/>
          </w:tcPr>
          <w:p w14:paraId="50A54208">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2560" w:type="dxa"/>
            <w:tcBorders>
              <w:top w:val="nil"/>
              <w:left w:val="nil"/>
              <w:bottom w:val="single" w:color="000000" w:sz="4" w:space="0"/>
              <w:right w:val="single" w:color="000000" w:sz="4" w:space="0"/>
            </w:tcBorders>
            <w:shd w:val="clear" w:color="auto" w:fill="auto"/>
            <w:vAlign w:val="center"/>
          </w:tcPr>
          <w:p w14:paraId="29482342">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14:paraId="791D00A3">
        <w:tblPrEx>
          <w:tblCellMar>
            <w:top w:w="0" w:type="dxa"/>
            <w:left w:w="108" w:type="dxa"/>
            <w:bottom w:w="0" w:type="dxa"/>
            <w:right w:w="108" w:type="dxa"/>
          </w:tblCellMar>
        </w:tblPrEx>
        <w:trPr>
          <w:trHeight w:val="600" w:hRule="atLeast"/>
        </w:trPr>
        <w:tc>
          <w:tcPr>
            <w:tcW w:w="700" w:type="dxa"/>
            <w:vMerge w:val="continue"/>
            <w:tcBorders>
              <w:top w:val="nil"/>
              <w:left w:val="single" w:color="000000" w:sz="4" w:space="0"/>
              <w:bottom w:val="single" w:color="000000" w:sz="4" w:space="0"/>
              <w:right w:val="single" w:color="000000" w:sz="4" w:space="0"/>
            </w:tcBorders>
            <w:vAlign w:val="center"/>
          </w:tcPr>
          <w:p w14:paraId="0CFD295B">
            <w:pPr>
              <w:widowControl/>
              <w:jc w:val="left"/>
              <w:rPr>
                <w:rFonts w:ascii="宋体" w:hAnsi="宋体" w:cs="宋体"/>
                <w:color w:val="000000"/>
                <w:kern w:val="0"/>
                <w:sz w:val="18"/>
                <w:szCs w:val="18"/>
              </w:rPr>
            </w:pPr>
          </w:p>
        </w:tc>
        <w:tc>
          <w:tcPr>
            <w:tcW w:w="2060" w:type="dxa"/>
            <w:vMerge w:val="continue"/>
            <w:tcBorders>
              <w:left w:val="single" w:color="000000" w:sz="4" w:space="0"/>
              <w:right w:val="single" w:color="000000" w:sz="4" w:space="0"/>
            </w:tcBorders>
            <w:vAlign w:val="center"/>
          </w:tcPr>
          <w:p w14:paraId="3E5DB298">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14:paraId="048B2A8A">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820" w:type="dxa"/>
            <w:tcBorders>
              <w:top w:val="nil"/>
              <w:left w:val="nil"/>
              <w:bottom w:val="single" w:color="000000" w:sz="4" w:space="0"/>
              <w:right w:val="single" w:color="000000" w:sz="4" w:space="0"/>
            </w:tcBorders>
            <w:shd w:val="clear" w:color="auto" w:fill="auto"/>
            <w:vAlign w:val="center"/>
          </w:tcPr>
          <w:p w14:paraId="7F361290">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593" w:type="dxa"/>
            <w:tcBorders>
              <w:top w:val="nil"/>
              <w:left w:val="nil"/>
              <w:bottom w:val="single" w:color="000000" w:sz="4" w:space="0"/>
              <w:right w:val="single" w:color="000000" w:sz="4" w:space="0"/>
            </w:tcBorders>
            <w:shd w:val="clear" w:color="auto" w:fill="auto"/>
            <w:vAlign w:val="center"/>
          </w:tcPr>
          <w:p w14:paraId="1A50AC8B">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07" w:type="dxa"/>
            <w:tcBorders>
              <w:top w:val="nil"/>
              <w:left w:val="nil"/>
              <w:bottom w:val="single" w:color="000000" w:sz="4" w:space="0"/>
              <w:right w:val="single" w:color="000000" w:sz="4" w:space="0"/>
            </w:tcBorders>
            <w:shd w:val="clear" w:color="auto" w:fill="auto"/>
            <w:vAlign w:val="center"/>
          </w:tcPr>
          <w:p w14:paraId="34309CAE">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20" w:type="dxa"/>
            <w:tcBorders>
              <w:top w:val="nil"/>
              <w:left w:val="nil"/>
              <w:bottom w:val="single" w:color="000000" w:sz="4" w:space="0"/>
              <w:right w:val="single" w:color="000000" w:sz="4" w:space="0"/>
            </w:tcBorders>
            <w:shd w:val="clear" w:color="auto" w:fill="auto"/>
            <w:vAlign w:val="center"/>
          </w:tcPr>
          <w:p w14:paraId="56ECF8E1">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0" w:type="dxa"/>
            <w:tcBorders>
              <w:top w:val="nil"/>
              <w:left w:val="nil"/>
              <w:bottom w:val="single" w:color="000000" w:sz="4" w:space="0"/>
              <w:right w:val="single" w:color="000000" w:sz="4" w:space="0"/>
            </w:tcBorders>
            <w:shd w:val="clear" w:color="auto" w:fill="auto"/>
            <w:vAlign w:val="center"/>
          </w:tcPr>
          <w:p w14:paraId="69D9D54E">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0%</w:t>
            </w:r>
          </w:p>
        </w:tc>
        <w:tc>
          <w:tcPr>
            <w:tcW w:w="780" w:type="dxa"/>
            <w:tcBorders>
              <w:top w:val="nil"/>
              <w:left w:val="nil"/>
              <w:bottom w:val="single" w:color="000000" w:sz="4" w:space="0"/>
              <w:right w:val="single" w:color="000000" w:sz="4" w:space="0"/>
            </w:tcBorders>
            <w:shd w:val="clear" w:color="auto" w:fill="auto"/>
            <w:vAlign w:val="center"/>
          </w:tcPr>
          <w:p w14:paraId="5229FD41">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640" w:type="dxa"/>
            <w:tcBorders>
              <w:top w:val="nil"/>
              <w:left w:val="nil"/>
              <w:bottom w:val="single" w:color="000000" w:sz="4" w:space="0"/>
              <w:right w:val="single" w:color="000000" w:sz="4" w:space="0"/>
            </w:tcBorders>
            <w:shd w:val="clear" w:color="auto" w:fill="auto"/>
            <w:vAlign w:val="center"/>
          </w:tcPr>
          <w:p w14:paraId="3CF275EE">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2560" w:type="dxa"/>
            <w:tcBorders>
              <w:top w:val="nil"/>
              <w:left w:val="nil"/>
              <w:bottom w:val="single" w:color="000000" w:sz="4" w:space="0"/>
              <w:right w:val="single" w:color="000000" w:sz="4" w:space="0"/>
            </w:tcBorders>
            <w:shd w:val="clear" w:color="auto" w:fill="auto"/>
            <w:vAlign w:val="center"/>
          </w:tcPr>
          <w:p w14:paraId="58586CF8">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14:paraId="0C06190B">
        <w:tblPrEx>
          <w:tblCellMar>
            <w:top w:w="0" w:type="dxa"/>
            <w:left w:w="108" w:type="dxa"/>
            <w:bottom w:w="0" w:type="dxa"/>
            <w:right w:w="108" w:type="dxa"/>
          </w:tblCellMar>
        </w:tblPrEx>
        <w:trPr>
          <w:trHeight w:val="540" w:hRule="atLeast"/>
        </w:trPr>
        <w:tc>
          <w:tcPr>
            <w:tcW w:w="700" w:type="dxa"/>
            <w:vMerge w:val="continue"/>
            <w:tcBorders>
              <w:top w:val="nil"/>
              <w:left w:val="single" w:color="000000" w:sz="4" w:space="0"/>
              <w:bottom w:val="single" w:color="000000" w:sz="4" w:space="0"/>
              <w:right w:val="single" w:color="000000" w:sz="4" w:space="0"/>
            </w:tcBorders>
            <w:vAlign w:val="center"/>
          </w:tcPr>
          <w:p w14:paraId="3A0B180E">
            <w:pPr>
              <w:widowControl/>
              <w:jc w:val="left"/>
              <w:rPr>
                <w:rFonts w:ascii="宋体" w:hAnsi="宋体" w:cs="宋体"/>
                <w:color w:val="000000"/>
                <w:kern w:val="0"/>
                <w:sz w:val="18"/>
                <w:szCs w:val="18"/>
              </w:rPr>
            </w:pPr>
          </w:p>
        </w:tc>
        <w:tc>
          <w:tcPr>
            <w:tcW w:w="2060" w:type="dxa"/>
            <w:vMerge w:val="continue"/>
            <w:tcBorders>
              <w:left w:val="single" w:color="000000" w:sz="4" w:space="0"/>
              <w:bottom w:val="single" w:color="000000" w:sz="4" w:space="0"/>
              <w:right w:val="single" w:color="000000" w:sz="4" w:space="0"/>
            </w:tcBorders>
            <w:vAlign w:val="center"/>
          </w:tcPr>
          <w:p w14:paraId="18EFA60A">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14:paraId="280ED691">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820" w:type="dxa"/>
            <w:tcBorders>
              <w:top w:val="nil"/>
              <w:left w:val="nil"/>
              <w:bottom w:val="single" w:color="000000" w:sz="4" w:space="0"/>
              <w:right w:val="single" w:color="000000" w:sz="4" w:space="0"/>
            </w:tcBorders>
            <w:shd w:val="clear" w:color="auto" w:fill="auto"/>
            <w:vAlign w:val="center"/>
          </w:tcPr>
          <w:p w14:paraId="71A7FF18">
            <w:pPr>
              <w:widowControl/>
              <w:jc w:val="center"/>
              <w:rPr>
                <w:rFonts w:ascii="宋体" w:hAnsi="宋体" w:cs="宋体"/>
                <w:color w:val="000000"/>
                <w:kern w:val="0"/>
                <w:sz w:val="18"/>
                <w:szCs w:val="18"/>
              </w:rPr>
            </w:pPr>
            <w:r>
              <w:rPr>
                <w:rFonts w:hint="eastAsia" w:ascii="宋体" w:hAnsi="宋体" w:cs="宋体"/>
                <w:color w:val="000000"/>
                <w:kern w:val="0"/>
                <w:sz w:val="18"/>
                <w:szCs w:val="18"/>
              </w:rPr>
              <w:t>按时发放率</w:t>
            </w:r>
          </w:p>
        </w:tc>
        <w:tc>
          <w:tcPr>
            <w:tcW w:w="593" w:type="dxa"/>
            <w:tcBorders>
              <w:top w:val="nil"/>
              <w:left w:val="nil"/>
              <w:bottom w:val="single" w:color="000000" w:sz="4" w:space="0"/>
              <w:right w:val="single" w:color="000000" w:sz="4" w:space="0"/>
            </w:tcBorders>
            <w:shd w:val="clear" w:color="auto" w:fill="auto"/>
            <w:vAlign w:val="center"/>
          </w:tcPr>
          <w:p w14:paraId="78BF997D">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07" w:type="dxa"/>
            <w:tcBorders>
              <w:top w:val="nil"/>
              <w:left w:val="nil"/>
              <w:bottom w:val="single" w:color="000000" w:sz="4" w:space="0"/>
              <w:right w:val="single" w:color="000000" w:sz="4" w:space="0"/>
            </w:tcBorders>
            <w:shd w:val="clear" w:color="auto" w:fill="auto"/>
            <w:vAlign w:val="center"/>
          </w:tcPr>
          <w:p w14:paraId="66D2B75F">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20" w:type="dxa"/>
            <w:tcBorders>
              <w:top w:val="nil"/>
              <w:left w:val="nil"/>
              <w:bottom w:val="single" w:color="000000" w:sz="4" w:space="0"/>
              <w:right w:val="single" w:color="000000" w:sz="4" w:space="0"/>
            </w:tcBorders>
            <w:shd w:val="clear" w:color="auto" w:fill="auto"/>
            <w:vAlign w:val="center"/>
          </w:tcPr>
          <w:p w14:paraId="57D7CFBF">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0" w:type="dxa"/>
            <w:tcBorders>
              <w:top w:val="nil"/>
              <w:left w:val="nil"/>
              <w:bottom w:val="single" w:color="000000" w:sz="4" w:space="0"/>
              <w:right w:val="single" w:color="000000" w:sz="4" w:space="0"/>
            </w:tcBorders>
            <w:shd w:val="clear" w:color="auto" w:fill="auto"/>
            <w:vAlign w:val="center"/>
          </w:tcPr>
          <w:p w14:paraId="4716A7A9">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100%</w:t>
            </w:r>
          </w:p>
        </w:tc>
        <w:tc>
          <w:tcPr>
            <w:tcW w:w="780" w:type="dxa"/>
            <w:tcBorders>
              <w:top w:val="nil"/>
              <w:left w:val="nil"/>
              <w:bottom w:val="single" w:color="000000" w:sz="4" w:space="0"/>
              <w:right w:val="single" w:color="000000" w:sz="4" w:space="0"/>
            </w:tcBorders>
            <w:shd w:val="clear" w:color="auto" w:fill="auto"/>
            <w:vAlign w:val="center"/>
          </w:tcPr>
          <w:p w14:paraId="1F319D07">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640" w:type="dxa"/>
            <w:tcBorders>
              <w:top w:val="nil"/>
              <w:left w:val="nil"/>
              <w:bottom w:val="single" w:color="000000" w:sz="4" w:space="0"/>
              <w:right w:val="single" w:color="000000" w:sz="4" w:space="0"/>
            </w:tcBorders>
            <w:shd w:val="clear" w:color="auto" w:fill="auto"/>
            <w:vAlign w:val="center"/>
          </w:tcPr>
          <w:p w14:paraId="0D597146">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2560" w:type="dxa"/>
            <w:tcBorders>
              <w:top w:val="nil"/>
              <w:left w:val="nil"/>
              <w:bottom w:val="single" w:color="000000" w:sz="4" w:space="0"/>
              <w:right w:val="single" w:color="000000" w:sz="4" w:space="0"/>
            </w:tcBorders>
            <w:shd w:val="clear" w:color="auto" w:fill="auto"/>
            <w:vAlign w:val="center"/>
          </w:tcPr>
          <w:p w14:paraId="7E928390">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14:paraId="78940D2E">
        <w:tblPrEx>
          <w:tblCellMar>
            <w:top w:w="0" w:type="dxa"/>
            <w:left w:w="108" w:type="dxa"/>
            <w:bottom w:w="0" w:type="dxa"/>
            <w:right w:w="108" w:type="dxa"/>
          </w:tblCellMar>
        </w:tblPrEx>
        <w:trPr>
          <w:trHeight w:val="540" w:hRule="atLeast"/>
        </w:trPr>
        <w:tc>
          <w:tcPr>
            <w:tcW w:w="700" w:type="dxa"/>
            <w:vMerge w:val="continue"/>
            <w:tcBorders>
              <w:top w:val="nil"/>
              <w:left w:val="single" w:color="000000" w:sz="4" w:space="0"/>
              <w:bottom w:val="single" w:color="000000" w:sz="4" w:space="0"/>
              <w:right w:val="single" w:color="000000" w:sz="4" w:space="0"/>
            </w:tcBorders>
            <w:vAlign w:val="center"/>
          </w:tcPr>
          <w:p w14:paraId="6F745587">
            <w:pPr>
              <w:widowControl/>
              <w:jc w:val="left"/>
              <w:rPr>
                <w:rFonts w:ascii="宋体" w:hAnsi="宋体" w:cs="宋体"/>
                <w:color w:val="000000"/>
                <w:kern w:val="0"/>
                <w:sz w:val="18"/>
                <w:szCs w:val="18"/>
              </w:rPr>
            </w:pPr>
          </w:p>
        </w:tc>
        <w:tc>
          <w:tcPr>
            <w:tcW w:w="2060" w:type="dxa"/>
            <w:tcBorders>
              <w:top w:val="single" w:color="auto" w:sz="4" w:space="0"/>
              <w:left w:val="nil"/>
              <w:bottom w:val="single" w:color="000000" w:sz="4" w:space="0"/>
              <w:right w:val="single" w:color="000000" w:sz="4" w:space="0"/>
            </w:tcBorders>
            <w:shd w:val="clear" w:color="auto" w:fill="auto"/>
            <w:vAlign w:val="center"/>
          </w:tcPr>
          <w:p w14:paraId="049A6F7C">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780" w:type="dxa"/>
            <w:tcBorders>
              <w:top w:val="single" w:color="auto" w:sz="4" w:space="0"/>
              <w:left w:val="nil"/>
              <w:bottom w:val="single" w:color="000000" w:sz="4" w:space="0"/>
              <w:right w:val="single" w:color="000000" w:sz="4" w:space="0"/>
            </w:tcBorders>
            <w:shd w:val="clear" w:color="auto" w:fill="auto"/>
            <w:vAlign w:val="center"/>
          </w:tcPr>
          <w:p w14:paraId="4FC60914">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820" w:type="dxa"/>
            <w:tcBorders>
              <w:top w:val="single" w:color="auto" w:sz="4" w:space="0"/>
              <w:left w:val="nil"/>
              <w:bottom w:val="single" w:color="000000" w:sz="4" w:space="0"/>
              <w:right w:val="single" w:color="000000" w:sz="4" w:space="0"/>
            </w:tcBorders>
            <w:shd w:val="clear" w:color="auto" w:fill="auto"/>
            <w:vAlign w:val="center"/>
          </w:tcPr>
          <w:p w14:paraId="06BE2A9D">
            <w:pPr>
              <w:widowControl/>
              <w:jc w:val="center"/>
              <w:rPr>
                <w:rFonts w:ascii="宋体" w:hAnsi="宋体" w:cs="宋体"/>
                <w:color w:val="000000"/>
                <w:kern w:val="0"/>
                <w:sz w:val="18"/>
                <w:szCs w:val="18"/>
              </w:rPr>
            </w:pPr>
            <w:r>
              <w:rPr>
                <w:rFonts w:hint="eastAsia" w:ascii="宋体" w:hAnsi="宋体" w:cs="宋体"/>
                <w:color w:val="000000"/>
                <w:kern w:val="0"/>
                <w:sz w:val="18"/>
                <w:szCs w:val="18"/>
              </w:rPr>
              <w:t>结余率（计算方法为：结余数/预算数）</w:t>
            </w:r>
          </w:p>
        </w:tc>
        <w:tc>
          <w:tcPr>
            <w:tcW w:w="593" w:type="dxa"/>
            <w:tcBorders>
              <w:top w:val="single" w:color="auto" w:sz="4" w:space="0"/>
              <w:left w:val="nil"/>
              <w:bottom w:val="single" w:color="000000" w:sz="4" w:space="0"/>
              <w:right w:val="single" w:color="000000" w:sz="4" w:space="0"/>
            </w:tcBorders>
            <w:shd w:val="clear" w:color="auto" w:fill="auto"/>
            <w:vAlign w:val="center"/>
          </w:tcPr>
          <w:p w14:paraId="065E9303">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07" w:type="dxa"/>
            <w:tcBorders>
              <w:top w:val="single" w:color="auto" w:sz="4" w:space="0"/>
              <w:left w:val="nil"/>
              <w:bottom w:val="single" w:color="000000" w:sz="4" w:space="0"/>
              <w:right w:val="single" w:color="000000" w:sz="4" w:space="0"/>
            </w:tcBorders>
            <w:shd w:val="clear" w:color="auto" w:fill="auto"/>
            <w:vAlign w:val="center"/>
          </w:tcPr>
          <w:p w14:paraId="6285E8E9">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20" w:type="dxa"/>
            <w:tcBorders>
              <w:top w:val="single" w:color="auto" w:sz="4" w:space="0"/>
              <w:left w:val="nil"/>
              <w:bottom w:val="single" w:color="000000" w:sz="4" w:space="0"/>
              <w:right w:val="single" w:color="000000" w:sz="4" w:space="0"/>
            </w:tcBorders>
            <w:shd w:val="clear" w:color="auto" w:fill="auto"/>
            <w:vAlign w:val="center"/>
          </w:tcPr>
          <w:p w14:paraId="6AA3B6EF">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100" w:type="dxa"/>
            <w:tcBorders>
              <w:top w:val="single" w:color="auto" w:sz="4" w:space="0"/>
              <w:left w:val="nil"/>
              <w:bottom w:val="single" w:color="000000" w:sz="4" w:space="0"/>
              <w:right w:val="single" w:color="000000" w:sz="4" w:space="0"/>
            </w:tcBorders>
            <w:shd w:val="clear" w:color="auto" w:fill="auto"/>
            <w:vAlign w:val="center"/>
          </w:tcPr>
          <w:p w14:paraId="5E963335">
            <w:pPr>
              <w:widowControl/>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780" w:type="dxa"/>
            <w:tcBorders>
              <w:top w:val="single" w:color="auto" w:sz="4" w:space="0"/>
              <w:left w:val="nil"/>
              <w:bottom w:val="single" w:color="000000" w:sz="4" w:space="0"/>
              <w:right w:val="single" w:color="000000" w:sz="4" w:space="0"/>
            </w:tcBorders>
            <w:shd w:val="clear" w:color="auto" w:fill="auto"/>
            <w:vAlign w:val="center"/>
          </w:tcPr>
          <w:p w14:paraId="5CA44450">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640" w:type="dxa"/>
            <w:tcBorders>
              <w:top w:val="single" w:color="auto" w:sz="4" w:space="0"/>
              <w:left w:val="nil"/>
              <w:bottom w:val="single" w:color="000000" w:sz="4" w:space="0"/>
              <w:right w:val="single" w:color="000000" w:sz="4" w:space="0"/>
            </w:tcBorders>
            <w:shd w:val="clear" w:color="auto" w:fill="auto"/>
            <w:vAlign w:val="center"/>
          </w:tcPr>
          <w:p w14:paraId="79948215">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2560" w:type="dxa"/>
            <w:tcBorders>
              <w:top w:val="single" w:color="auto" w:sz="4" w:space="0"/>
              <w:left w:val="nil"/>
              <w:bottom w:val="single" w:color="000000" w:sz="4" w:space="0"/>
              <w:right w:val="single" w:color="000000" w:sz="4" w:space="0"/>
            </w:tcBorders>
            <w:shd w:val="clear" w:color="auto" w:fill="auto"/>
            <w:vAlign w:val="center"/>
          </w:tcPr>
          <w:p w14:paraId="3177F157">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14:paraId="7B0F3AB4">
        <w:tblPrEx>
          <w:tblCellMar>
            <w:top w:w="0" w:type="dxa"/>
            <w:left w:w="108" w:type="dxa"/>
            <w:bottom w:w="0" w:type="dxa"/>
            <w:right w:w="108" w:type="dxa"/>
          </w:tblCellMar>
        </w:tblPrEx>
        <w:trPr>
          <w:trHeight w:val="578" w:hRule="atLeast"/>
        </w:trPr>
        <w:tc>
          <w:tcPr>
            <w:tcW w:w="111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480D937">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780" w:type="dxa"/>
            <w:tcBorders>
              <w:top w:val="nil"/>
              <w:left w:val="nil"/>
              <w:bottom w:val="single" w:color="000000" w:sz="4" w:space="0"/>
              <w:right w:val="single" w:color="000000" w:sz="4" w:space="0"/>
            </w:tcBorders>
            <w:shd w:val="clear" w:color="auto" w:fill="auto"/>
            <w:vAlign w:val="center"/>
          </w:tcPr>
          <w:p w14:paraId="171220A9">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640" w:type="dxa"/>
            <w:tcBorders>
              <w:top w:val="nil"/>
              <w:left w:val="nil"/>
              <w:bottom w:val="single" w:color="000000" w:sz="4" w:space="0"/>
              <w:right w:val="single" w:color="000000" w:sz="4" w:space="0"/>
            </w:tcBorders>
            <w:shd w:val="clear" w:color="auto" w:fill="auto"/>
            <w:vAlign w:val="center"/>
          </w:tcPr>
          <w:p w14:paraId="05E7E876">
            <w:pPr>
              <w:widowControl/>
              <w:jc w:val="center"/>
              <w:rPr>
                <w:rFonts w:ascii="宋体" w:hAnsi="宋体" w:cs="宋体"/>
                <w:color w:val="000000"/>
                <w:kern w:val="0"/>
                <w:sz w:val="18"/>
                <w:szCs w:val="18"/>
              </w:rPr>
            </w:pPr>
            <w:r>
              <w:rPr>
                <w:rFonts w:hint="eastAsia" w:ascii="宋体" w:hAnsi="宋体" w:cs="宋体"/>
                <w:color w:val="000000"/>
                <w:kern w:val="0"/>
                <w:sz w:val="18"/>
                <w:szCs w:val="18"/>
              </w:rPr>
              <w:t>9</w:t>
            </w:r>
            <w:r>
              <w:rPr>
                <w:rFonts w:hint="eastAsia" w:ascii="宋体" w:hAnsi="宋体" w:cs="宋体"/>
                <w:color w:val="000000"/>
                <w:kern w:val="0"/>
                <w:sz w:val="18"/>
                <w:szCs w:val="18"/>
                <w:lang w:val="en-US" w:eastAsia="zh-CN"/>
              </w:rPr>
              <w:t>6</w:t>
            </w:r>
          </w:p>
        </w:tc>
        <w:tc>
          <w:tcPr>
            <w:tcW w:w="2560" w:type="dxa"/>
            <w:tcBorders>
              <w:top w:val="nil"/>
              <w:left w:val="nil"/>
              <w:bottom w:val="single" w:color="000000" w:sz="4" w:space="0"/>
              <w:right w:val="single" w:color="000000" w:sz="4" w:space="0"/>
            </w:tcBorders>
            <w:shd w:val="clear" w:color="auto" w:fill="auto"/>
            <w:vAlign w:val="center"/>
          </w:tcPr>
          <w:p w14:paraId="1675FF3A">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14:paraId="16DDBC39">
        <w:tblPrEx>
          <w:tblCellMar>
            <w:top w:w="0" w:type="dxa"/>
            <w:left w:w="108" w:type="dxa"/>
            <w:bottom w:w="0" w:type="dxa"/>
            <w:right w:w="108" w:type="dxa"/>
          </w:tblCellMar>
        </w:tblPrEx>
        <w:trPr>
          <w:trHeight w:val="604" w:hRule="atLeast"/>
        </w:trPr>
        <w:tc>
          <w:tcPr>
            <w:tcW w:w="700" w:type="dxa"/>
            <w:tcBorders>
              <w:top w:val="nil"/>
              <w:left w:val="single" w:color="000000" w:sz="4" w:space="0"/>
              <w:bottom w:val="single" w:color="000000" w:sz="4" w:space="0"/>
              <w:right w:val="single" w:color="000000" w:sz="4" w:space="0"/>
            </w:tcBorders>
            <w:shd w:val="clear" w:color="auto" w:fill="auto"/>
            <w:vAlign w:val="center"/>
          </w:tcPr>
          <w:p w14:paraId="292EF00B">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4460" w:type="dxa"/>
            <w:gridSpan w:val="10"/>
            <w:tcBorders>
              <w:top w:val="single" w:color="000000" w:sz="4" w:space="0"/>
              <w:left w:val="nil"/>
              <w:bottom w:val="single" w:color="000000" w:sz="4" w:space="0"/>
              <w:right w:val="single" w:color="000000" w:sz="4" w:space="0"/>
            </w:tcBorders>
            <w:shd w:val="clear" w:color="auto" w:fill="auto"/>
            <w:vAlign w:val="center"/>
          </w:tcPr>
          <w:p w14:paraId="2A9A92D0">
            <w:pPr>
              <w:widowControl/>
              <w:jc w:val="left"/>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项目自评总分9</w:t>
            </w:r>
            <w:r>
              <w:rPr>
                <w:rFonts w:hint="eastAsia" w:ascii="宋体" w:hAnsi="宋体" w:cs="宋体"/>
                <w:color w:val="000000"/>
                <w:kern w:val="0"/>
                <w:sz w:val="18"/>
                <w:szCs w:val="18"/>
                <w:lang w:val="en-US" w:eastAsia="zh-CN"/>
              </w:rPr>
              <w:t>6</w:t>
            </w:r>
            <w:r>
              <w:rPr>
                <w:rFonts w:hint="eastAsia" w:ascii="宋体" w:hAnsi="宋体" w:cs="宋体"/>
                <w:color w:val="000000"/>
                <w:kern w:val="0"/>
                <w:sz w:val="18"/>
                <w:szCs w:val="18"/>
              </w:rPr>
              <w:t>，基本严格按照预算编制执行预算，无结余资金。</w:t>
            </w:r>
          </w:p>
        </w:tc>
      </w:tr>
      <w:tr w14:paraId="475ECE90">
        <w:tblPrEx>
          <w:tblCellMar>
            <w:top w:w="0" w:type="dxa"/>
            <w:left w:w="108" w:type="dxa"/>
            <w:bottom w:w="0" w:type="dxa"/>
            <w:right w:w="108" w:type="dxa"/>
          </w:tblCellMar>
        </w:tblPrEx>
        <w:trPr>
          <w:trHeight w:val="574" w:hRule="atLeast"/>
        </w:trPr>
        <w:tc>
          <w:tcPr>
            <w:tcW w:w="700" w:type="dxa"/>
            <w:tcBorders>
              <w:top w:val="nil"/>
              <w:left w:val="single" w:color="000000" w:sz="4" w:space="0"/>
              <w:bottom w:val="single" w:color="000000" w:sz="4" w:space="0"/>
              <w:right w:val="single" w:color="000000" w:sz="4" w:space="0"/>
            </w:tcBorders>
            <w:shd w:val="clear" w:color="auto" w:fill="auto"/>
            <w:vAlign w:val="center"/>
          </w:tcPr>
          <w:p w14:paraId="304EB5C4">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4460" w:type="dxa"/>
            <w:gridSpan w:val="10"/>
            <w:tcBorders>
              <w:top w:val="single" w:color="000000" w:sz="4" w:space="0"/>
              <w:left w:val="nil"/>
              <w:bottom w:val="single" w:color="000000" w:sz="4" w:space="0"/>
              <w:right w:val="single" w:color="000000" w:sz="4" w:space="0"/>
            </w:tcBorders>
            <w:shd w:val="clear" w:color="auto" w:fill="auto"/>
            <w:vAlign w:val="center"/>
          </w:tcPr>
          <w:p w14:paraId="2C09B34A">
            <w:pPr>
              <w:widowControl/>
              <w:jc w:val="left"/>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指标细化量化不够，准确度不够。</w:t>
            </w:r>
          </w:p>
        </w:tc>
      </w:tr>
      <w:tr w14:paraId="4AA62B18">
        <w:tblPrEx>
          <w:tblCellMar>
            <w:top w:w="0" w:type="dxa"/>
            <w:left w:w="108" w:type="dxa"/>
            <w:bottom w:w="0" w:type="dxa"/>
            <w:right w:w="108" w:type="dxa"/>
          </w:tblCellMar>
        </w:tblPrEx>
        <w:trPr>
          <w:trHeight w:val="828" w:hRule="atLeast"/>
        </w:trPr>
        <w:tc>
          <w:tcPr>
            <w:tcW w:w="700" w:type="dxa"/>
            <w:tcBorders>
              <w:top w:val="nil"/>
              <w:left w:val="single" w:color="000000" w:sz="4" w:space="0"/>
              <w:bottom w:val="single" w:color="000000" w:sz="4" w:space="0"/>
              <w:right w:val="single" w:color="000000" w:sz="4" w:space="0"/>
            </w:tcBorders>
            <w:shd w:val="clear" w:color="auto" w:fill="auto"/>
            <w:vAlign w:val="center"/>
          </w:tcPr>
          <w:p w14:paraId="5138B8AE">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4460" w:type="dxa"/>
            <w:gridSpan w:val="10"/>
            <w:tcBorders>
              <w:top w:val="single" w:color="000000" w:sz="4" w:space="0"/>
              <w:left w:val="nil"/>
              <w:bottom w:val="single" w:color="000000" w:sz="4" w:space="0"/>
              <w:right w:val="single" w:color="000000" w:sz="4" w:space="0"/>
            </w:tcBorders>
            <w:shd w:val="clear" w:color="auto" w:fill="auto"/>
            <w:vAlign w:val="center"/>
          </w:tcPr>
          <w:p w14:paraId="513AF6BB">
            <w:pPr>
              <w:widowControl/>
              <w:jc w:val="left"/>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指标要细化量化到位，便于更好地绩效监控，适时调整工作进度和工作方法。</w:t>
            </w:r>
          </w:p>
        </w:tc>
      </w:tr>
      <w:tr w14:paraId="5CAF961A">
        <w:tblPrEx>
          <w:tblCellMar>
            <w:top w:w="0" w:type="dxa"/>
            <w:left w:w="108" w:type="dxa"/>
            <w:bottom w:w="0" w:type="dxa"/>
            <w:right w:w="108" w:type="dxa"/>
          </w:tblCellMar>
        </w:tblPrEx>
        <w:trPr>
          <w:trHeight w:val="610" w:hRule="atLeast"/>
        </w:trPr>
        <w:tc>
          <w:tcPr>
            <w:tcW w:w="795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306F5B">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项目负责人：朱晓兵</w:t>
            </w:r>
          </w:p>
        </w:tc>
        <w:tc>
          <w:tcPr>
            <w:tcW w:w="7207" w:type="dxa"/>
            <w:gridSpan w:val="6"/>
            <w:tcBorders>
              <w:top w:val="single" w:color="000000" w:sz="4" w:space="0"/>
              <w:left w:val="nil"/>
              <w:bottom w:val="single" w:color="000000" w:sz="4" w:space="0"/>
              <w:right w:val="single" w:color="000000" w:sz="4" w:space="0"/>
            </w:tcBorders>
            <w:shd w:val="clear" w:color="auto" w:fill="auto"/>
            <w:vAlign w:val="center"/>
          </w:tcPr>
          <w:p w14:paraId="6105AC02">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财务负责人：李鑫</w:t>
            </w:r>
          </w:p>
        </w:tc>
      </w:tr>
    </w:tbl>
    <w:p w14:paraId="41C8DCA8">
      <w:pPr>
        <w:pStyle w:val="6"/>
        <w:spacing w:before="93"/>
        <w:rPr>
          <w:rFonts w:ascii="Times New Roman"/>
          <w:color w:val="000000"/>
          <w:kern w:val="2"/>
          <w:sz w:val="32"/>
          <w:szCs w:val="32"/>
          <w:lang w:val="zh-CN"/>
        </w:rPr>
      </w:pPr>
    </w:p>
    <w:p w14:paraId="21607099">
      <w:pPr>
        <w:pStyle w:val="6"/>
        <w:spacing w:before="93"/>
        <w:rPr>
          <w:rFonts w:ascii="Times New Roman"/>
          <w:color w:val="000000"/>
          <w:kern w:val="2"/>
          <w:sz w:val="32"/>
          <w:szCs w:val="32"/>
          <w:lang w:val="zh-CN"/>
        </w:rPr>
      </w:pPr>
    </w:p>
    <w:tbl>
      <w:tblPr>
        <w:tblStyle w:val="16"/>
        <w:tblW w:w="15160" w:type="dxa"/>
        <w:tblInd w:w="93" w:type="dxa"/>
        <w:tblLayout w:type="fixed"/>
        <w:tblCellMar>
          <w:top w:w="0" w:type="dxa"/>
          <w:left w:w="108" w:type="dxa"/>
          <w:bottom w:w="0" w:type="dxa"/>
          <w:right w:w="108" w:type="dxa"/>
        </w:tblCellMar>
      </w:tblPr>
      <w:tblGrid>
        <w:gridCol w:w="697"/>
        <w:gridCol w:w="302"/>
        <w:gridCol w:w="1730"/>
        <w:gridCol w:w="1758"/>
        <w:gridCol w:w="2779"/>
        <w:gridCol w:w="518"/>
        <w:gridCol w:w="72"/>
        <w:gridCol w:w="1373"/>
        <w:gridCol w:w="215"/>
        <w:gridCol w:w="69"/>
        <w:gridCol w:w="327"/>
        <w:gridCol w:w="279"/>
        <w:gridCol w:w="1095"/>
        <w:gridCol w:w="778"/>
        <w:gridCol w:w="636"/>
        <w:gridCol w:w="2532"/>
      </w:tblGrid>
      <w:tr w14:paraId="57EAC1A5">
        <w:tblPrEx>
          <w:tblCellMar>
            <w:top w:w="0" w:type="dxa"/>
            <w:left w:w="108" w:type="dxa"/>
            <w:bottom w:w="0" w:type="dxa"/>
            <w:right w:w="108" w:type="dxa"/>
          </w:tblCellMar>
        </w:tblPrEx>
        <w:trPr>
          <w:trHeight w:val="504" w:hRule="atLeast"/>
        </w:trPr>
        <w:tc>
          <w:tcPr>
            <w:tcW w:w="15160"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923E2BE">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14:paraId="670B5576">
        <w:tblPrEx>
          <w:tblCellMar>
            <w:top w:w="0" w:type="dxa"/>
            <w:left w:w="108" w:type="dxa"/>
            <w:bottom w:w="0" w:type="dxa"/>
            <w:right w:w="108" w:type="dxa"/>
          </w:tblCellMar>
        </w:tblPrEx>
        <w:trPr>
          <w:trHeight w:val="285" w:hRule="atLeast"/>
        </w:trPr>
        <w:tc>
          <w:tcPr>
            <w:tcW w:w="27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F850D7">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2431" w:type="dxa"/>
            <w:gridSpan w:val="13"/>
            <w:tcBorders>
              <w:top w:val="single" w:color="000000" w:sz="4" w:space="0"/>
              <w:left w:val="nil"/>
              <w:bottom w:val="single" w:color="000000" w:sz="4" w:space="0"/>
              <w:right w:val="single" w:color="000000" w:sz="4" w:space="0"/>
            </w:tcBorders>
            <w:shd w:val="clear" w:color="auto" w:fill="auto"/>
            <w:vAlign w:val="center"/>
          </w:tcPr>
          <w:p w14:paraId="79643981">
            <w:pPr>
              <w:widowControl/>
              <w:jc w:val="left"/>
              <w:rPr>
                <w:rFonts w:ascii="宋体" w:hAnsi="宋体" w:cs="宋体"/>
                <w:color w:val="000000"/>
                <w:kern w:val="0"/>
                <w:sz w:val="18"/>
                <w:szCs w:val="18"/>
              </w:rPr>
            </w:pPr>
            <w:r>
              <w:rPr>
                <w:rFonts w:hint="eastAsia" w:ascii="宋体" w:hAnsi="宋体" w:cs="宋体"/>
                <w:color w:val="000000"/>
                <w:kern w:val="0"/>
                <w:sz w:val="18"/>
                <w:szCs w:val="18"/>
              </w:rPr>
              <w:t>推进基层供销社示范社建设专项经费</w:t>
            </w:r>
          </w:p>
        </w:tc>
      </w:tr>
      <w:tr w14:paraId="10023BA3">
        <w:tblPrEx>
          <w:tblCellMar>
            <w:top w:w="0" w:type="dxa"/>
            <w:left w:w="108" w:type="dxa"/>
            <w:bottom w:w="0" w:type="dxa"/>
            <w:right w:w="108" w:type="dxa"/>
          </w:tblCellMar>
        </w:tblPrEx>
        <w:trPr>
          <w:trHeight w:val="458" w:hRule="atLeast"/>
        </w:trPr>
        <w:tc>
          <w:tcPr>
            <w:tcW w:w="27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1CA85C">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7390" w:type="dxa"/>
            <w:gridSpan w:val="9"/>
            <w:tcBorders>
              <w:top w:val="single" w:color="000000" w:sz="4" w:space="0"/>
              <w:left w:val="nil"/>
              <w:bottom w:val="single" w:color="000000" w:sz="4" w:space="0"/>
              <w:right w:val="single" w:color="000000" w:sz="4" w:space="0"/>
            </w:tcBorders>
            <w:shd w:val="clear" w:color="auto" w:fill="auto"/>
            <w:vAlign w:val="center"/>
          </w:tcPr>
          <w:p w14:paraId="47A348FA">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盐边县供销合作社联合社（部门）</w:t>
            </w:r>
          </w:p>
        </w:tc>
        <w:tc>
          <w:tcPr>
            <w:tcW w:w="1095" w:type="dxa"/>
            <w:tcBorders>
              <w:top w:val="nil"/>
              <w:left w:val="nil"/>
              <w:bottom w:val="nil"/>
              <w:right w:val="nil"/>
            </w:tcBorders>
            <w:shd w:val="clear" w:color="auto" w:fill="auto"/>
            <w:vAlign w:val="center"/>
          </w:tcPr>
          <w:p w14:paraId="37FA4C21">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9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7FD228">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盐边县供销合作社联合社</w:t>
            </w:r>
          </w:p>
        </w:tc>
      </w:tr>
      <w:tr w14:paraId="3B351DA0">
        <w:tblPrEx>
          <w:tblCellMar>
            <w:top w:w="0" w:type="dxa"/>
            <w:left w:w="108" w:type="dxa"/>
            <w:bottom w:w="0" w:type="dxa"/>
            <w:right w:w="108" w:type="dxa"/>
          </w:tblCellMar>
        </w:tblPrEx>
        <w:trPr>
          <w:trHeight w:val="240" w:hRule="atLeast"/>
        </w:trPr>
        <w:tc>
          <w:tcPr>
            <w:tcW w:w="999"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0BE9BFB2">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730" w:type="dxa"/>
            <w:vMerge w:val="restart"/>
            <w:tcBorders>
              <w:top w:val="nil"/>
              <w:left w:val="single" w:color="000000" w:sz="4" w:space="0"/>
              <w:bottom w:val="single" w:color="000000" w:sz="4" w:space="0"/>
              <w:right w:val="single" w:color="000000" w:sz="4" w:space="0"/>
            </w:tcBorders>
            <w:shd w:val="clear" w:color="auto" w:fill="auto"/>
            <w:vAlign w:val="center"/>
          </w:tcPr>
          <w:p w14:paraId="371AE8EA">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7390" w:type="dxa"/>
            <w:gridSpan w:val="9"/>
            <w:tcBorders>
              <w:top w:val="single" w:color="000000" w:sz="4" w:space="0"/>
              <w:left w:val="nil"/>
              <w:bottom w:val="single" w:color="000000" w:sz="4" w:space="0"/>
              <w:right w:val="single" w:color="000000" w:sz="4" w:space="0"/>
            </w:tcBorders>
            <w:shd w:val="clear" w:color="auto" w:fill="auto"/>
            <w:vAlign w:val="center"/>
          </w:tcPr>
          <w:p w14:paraId="6717B368">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5041" w:type="dxa"/>
            <w:gridSpan w:val="4"/>
            <w:tcBorders>
              <w:top w:val="single" w:color="000000" w:sz="4" w:space="0"/>
              <w:left w:val="nil"/>
              <w:bottom w:val="single" w:color="000000" w:sz="4" w:space="0"/>
              <w:right w:val="single" w:color="000000" w:sz="4" w:space="0"/>
            </w:tcBorders>
            <w:shd w:val="clear" w:color="auto" w:fill="auto"/>
            <w:vAlign w:val="center"/>
          </w:tcPr>
          <w:p w14:paraId="277989DB">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14:paraId="0D2FBC66">
        <w:tblPrEx>
          <w:tblCellMar>
            <w:top w:w="0" w:type="dxa"/>
            <w:left w:w="108" w:type="dxa"/>
            <w:bottom w:w="0" w:type="dxa"/>
            <w:right w:w="108" w:type="dxa"/>
          </w:tblCellMar>
        </w:tblPrEx>
        <w:trPr>
          <w:trHeight w:val="709"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66122BF4">
            <w:pPr>
              <w:widowControl/>
              <w:jc w:val="left"/>
              <w:rPr>
                <w:rFonts w:ascii="宋体" w:hAnsi="宋体" w:cs="宋体"/>
                <w:color w:val="000000"/>
                <w:kern w:val="0"/>
                <w:sz w:val="18"/>
                <w:szCs w:val="18"/>
              </w:rPr>
            </w:pPr>
          </w:p>
        </w:tc>
        <w:tc>
          <w:tcPr>
            <w:tcW w:w="1730" w:type="dxa"/>
            <w:vMerge w:val="continue"/>
            <w:tcBorders>
              <w:top w:val="nil"/>
              <w:left w:val="single" w:color="000000" w:sz="4" w:space="0"/>
              <w:bottom w:val="single" w:color="000000" w:sz="4" w:space="0"/>
              <w:right w:val="single" w:color="000000" w:sz="4" w:space="0"/>
            </w:tcBorders>
            <w:vAlign w:val="center"/>
          </w:tcPr>
          <w:p w14:paraId="23CD9D7E">
            <w:pPr>
              <w:widowControl/>
              <w:jc w:val="left"/>
              <w:rPr>
                <w:rFonts w:ascii="宋体" w:hAnsi="宋体" w:cs="宋体"/>
                <w:color w:val="000000"/>
                <w:kern w:val="0"/>
                <w:sz w:val="18"/>
                <w:szCs w:val="18"/>
              </w:rPr>
            </w:pPr>
          </w:p>
        </w:tc>
        <w:tc>
          <w:tcPr>
            <w:tcW w:w="7390" w:type="dxa"/>
            <w:gridSpan w:val="9"/>
            <w:tcBorders>
              <w:top w:val="single" w:color="000000" w:sz="4" w:space="0"/>
              <w:left w:val="nil"/>
              <w:bottom w:val="single" w:color="000000" w:sz="4" w:space="0"/>
              <w:right w:val="single" w:color="000000" w:sz="4" w:space="0"/>
            </w:tcBorders>
            <w:shd w:val="clear" w:color="auto" w:fill="auto"/>
            <w:vAlign w:val="center"/>
          </w:tcPr>
          <w:p w14:paraId="77000D43">
            <w:pPr>
              <w:widowControl/>
              <w:jc w:val="left"/>
              <w:rPr>
                <w:rFonts w:ascii="宋体" w:hAnsi="宋体" w:cs="宋体"/>
                <w:color w:val="000000"/>
                <w:kern w:val="0"/>
                <w:sz w:val="18"/>
                <w:szCs w:val="18"/>
              </w:rPr>
            </w:pPr>
            <w:r>
              <w:rPr>
                <w:rFonts w:hint="eastAsia" w:ascii="宋体" w:hAnsi="宋体" w:cs="宋体"/>
                <w:color w:val="000000"/>
                <w:kern w:val="0"/>
                <w:sz w:val="18"/>
                <w:szCs w:val="18"/>
              </w:rPr>
              <w:t>对今年下达的4个基层供销社示范社建设前期开展调研，政策宣传、摸底、选址、落实点位、制度建设、标识规范、会议会务，按照建设内容和标准全面完成创建任务，督促指导基层社开展经营业务等，后期加强业务培训,发展壮大村级集体经济，助推乡村振兴。</w:t>
            </w:r>
          </w:p>
        </w:tc>
        <w:tc>
          <w:tcPr>
            <w:tcW w:w="5041" w:type="dxa"/>
            <w:gridSpan w:val="4"/>
            <w:tcBorders>
              <w:top w:val="single" w:color="000000" w:sz="4" w:space="0"/>
              <w:left w:val="nil"/>
              <w:bottom w:val="single" w:color="000000" w:sz="4" w:space="0"/>
              <w:right w:val="single" w:color="000000" w:sz="4" w:space="0"/>
            </w:tcBorders>
            <w:shd w:val="clear" w:color="auto" w:fill="auto"/>
            <w:vAlign w:val="center"/>
          </w:tcPr>
          <w:p w14:paraId="20787680">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高质量开展了建设前期工作，全面完成了创建任务。</w:t>
            </w:r>
          </w:p>
        </w:tc>
      </w:tr>
      <w:tr w14:paraId="2CFCEAA4">
        <w:tblPrEx>
          <w:tblCellMar>
            <w:top w:w="0" w:type="dxa"/>
            <w:left w:w="108" w:type="dxa"/>
            <w:bottom w:w="0" w:type="dxa"/>
            <w:right w:w="108" w:type="dxa"/>
          </w:tblCellMar>
        </w:tblPrEx>
        <w:trPr>
          <w:trHeight w:val="694"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05123E83">
            <w:pPr>
              <w:widowControl/>
              <w:jc w:val="left"/>
              <w:rPr>
                <w:rFonts w:ascii="宋体" w:hAnsi="宋体" w:cs="宋体"/>
                <w:color w:val="000000"/>
                <w:kern w:val="0"/>
                <w:sz w:val="18"/>
                <w:szCs w:val="18"/>
              </w:rPr>
            </w:pPr>
          </w:p>
        </w:tc>
        <w:tc>
          <w:tcPr>
            <w:tcW w:w="1730" w:type="dxa"/>
            <w:tcBorders>
              <w:top w:val="nil"/>
              <w:left w:val="nil"/>
              <w:bottom w:val="single" w:color="000000" w:sz="4" w:space="0"/>
              <w:right w:val="single" w:color="000000" w:sz="4" w:space="0"/>
            </w:tcBorders>
            <w:shd w:val="clear" w:color="auto" w:fill="auto"/>
            <w:vAlign w:val="center"/>
          </w:tcPr>
          <w:p w14:paraId="5C58517D">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2431" w:type="dxa"/>
            <w:gridSpan w:val="13"/>
            <w:tcBorders>
              <w:top w:val="single" w:color="000000" w:sz="4" w:space="0"/>
              <w:left w:val="nil"/>
              <w:bottom w:val="single" w:color="000000" w:sz="4" w:space="0"/>
              <w:right w:val="single" w:color="000000" w:sz="4" w:space="0"/>
            </w:tcBorders>
            <w:shd w:val="clear" w:color="auto" w:fill="auto"/>
            <w:vAlign w:val="center"/>
          </w:tcPr>
          <w:p w14:paraId="2916B454">
            <w:pPr>
              <w:widowControl/>
              <w:jc w:val="left"/>
              <w:rPr>
                <w:rFonts w:ascii="宋体" w:hAnsi="宋体" w:cs="宋体"/>
                <w:color w:val="000000"/>
                <w:kern w:val="0"/>
                <w:sz w:val="18"/>
                <w:szCs w:val="18"/>
              </w:rPr>
            </w:pPr>
            <w:r>
              <w:rPr>
                <w:rFonts w:hint="eastAsia" w:ascii="宋体" w:hAnsi="宋体" w:cs="宋体"/>
                <w:color w:val="000000"/>
                <w:kern w:val="0"/>
                <w:sz w:val="18"/>
                <w:szCs w:val="18"/>
              </w:rPr>
              <w:t>对今年下达的4个基层供销社示范社建设前期开展调研，政策宣传、摸底、选址、落实点位、制度建设、标识规范、会议会务等，按照建设内容和标准全面完成创建任务。</w:t>
            </w:r>
          </w:p>
        </w:tc>
      </w:tr>
      <w:tr w14:paraId="2AF628EA">
        <w:tblPrEx>
          <w:tblCellMar>
            <w:top w:w="0" w:type="dxa"/>
            <w:left w:w="108" w:type="dxa"/>
            <w:bottom w:w="0" w:type="dxa"/>
            <w:right w:w="108" w:type="dxa"/>
          </w:tblCellMar>
        </w:tblPrEx>
        <w:trPr>
          <w:trHeight w:val="470" w:hRule="atLeast"/>
        </w:trPr>
        <w:tc>
          <w:tcPr>
            <w:tcW w:w="999"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3DC1A8E7">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730" w:type="dxa"/>
            <w:tcBorders>
              <w:top w:val="single" w:color="auto" w:sz="4" w:space="0"/>
              <w:left w:val="nil"/>
              <w:bottom w:val="single" w:color="000000" w:sz="4" w:space="0"/>
              <w:right w:val="single" w:color="000000" w:sz="4" w:space="0"/>
            </w:tcBorders>
            <w:shd w:val="clear" w:color="auto" w:fill="auto"/>
            <w:vAlign w:val="center"/>
          </w:tcPr>
          <w:p w14:paraId="5273DD67">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758" w:type="dxa"/>
            <w:tcBorders>
              <w:top w:val="single" w:color="auto" w:sz="4" w:space="0"/>
              <w:left w:val="nil"/>
              <w:bottom w:val="single" w:color="000000" w:sz="4" w:space="0"/>
              <w:right w:val="single" w:color="000000" w:sz="4" w:space="0"/>
            </w:tcBorders>
            <w:shd w:val="clear" w:color="auto" w:fill="auto"/>
            <w:vAlign w:val="center"/>
          </w:tcPr>
          <w:p w14:paraId="162C90B2">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779" w:type="dxa"/>
            <w:tcBorders>
              <w:top w:val="single" w:color="auto" w:sz="4" w:space="0"/>
              <w:left w:val="nil"/>
              <w:bottom w:val="single" w:color="000000" w:sz="4" w:space="0"/>
              <w:right w:val="single" w:color="000000" w:sz="4" w:space="0"/>
            </w:tcBorders>
            <w:shd w:val="clear" w:color="auto" w:fill="auto"/>
            <w:vAlign w:val="center"/>
          </w:tcPr>
          <w:p w14:paraId="418A7FF4">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853" w:type="dxa"/>
            <w:gridSpan w:val="7"/>
            <w:tcBorders>
              <w:top w:val="single" w:color="auto" w:sz="4" w:space="0"/>
              <w:left w:val="nil"/>
              <w:bottom w:val="single" w:color="000000" w:sz="4" w:space="0"/>
              <w:right w:val="single" w:color="000000" w:sz="4" w:space="0"/>
            </w:tcBorders>
            <w:shd w:val="clear" w:color="auto" w:fill="auto"/>
            <w:vAlign w:val="center"/>
          </w:tcPr>
          <w:p w14:paraId="0FEC02B3">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1095" w:type="dxa"/>
            <w:tcBorders>
              <w:top w:val="single" w:color="auto" w:sz="4" w:space="0"/>
              <w:left w:val="nil"/>
              <w:bottom w:val="single" w:color="000000" w:sz="4" w:space="0"/>
              <w:right w:val="single" w:color="000000" w:sz="4" w:space="0"/>
            </w:tcBorders>
            <w:shd w:val="clear" w:color="auto" w:fill="auto"/>
            <w:vAlign w:val="center"/>
          </w:tcPr>
          <w:p w14:paraId="5E6E5F5E">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778" w:type="dxa"/>
            <w:tcBorders>
              <w:top w:val="single" w:color="auto" w:sz="4" w:space="0"/>
              <w:left w:val="nil"/>
              <w:bottom w:val="single" w:color="000000" w:sz="4" w:space="0"/>
              <w:right w:val="single" w:color="000000" w:sz="4" w:space="0"/>
            </w:tcBorders>
            <w:shd w:val="clear" w:color="auto" w:fill="auto"/>
            <w:vAlign w:val="center"/>
          </w:tcPr>
          <w:p w14:paraId="78D2F94F">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636" w:type="dxa"/>
            <w:tcBorders>
              <w:top w:val="single" w:color="auto" w:sz="4" w:space="0"/>
              <w:left w:val="nil"/>
              <w:bottom w:val="single" w:color="000000" w:sz="4" w:space="0"/>
              <w:right w:val="single" w:color="000000" w:sz="4" w:space="0"/>
            </w:tcBorders>
            <w:shd w:val="clear" w:color="auto" w:fill="auto"/>
            <w:vAlign w:val="center"/>
          </w:tcPr>
          <w:p w14:paraId="4A6FF98A">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32" w:type="dxa"/>
            <w:tcBorders>
              <w:top w:val="single" w:color="auto" w:sz="4" w:space="0"/>
              <w:left w:val="nil"/>
              <w:bottom w:val="single" w:color="000000" w:sz="4" w:space="0"/>
              <w:right w:val="single" w:color="000000" w:sz="4" w:space="0"/>
            </w:tcBorders>
            <w:shd w:val="clear" w:color="auto" w:fill="auto"/>
            <w:vAlign w:val="center"/>
          </w:tcPr>
          <w:p w14:paraId="2368BE6C">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14:paraId="5C6B6226">
        <w:tblPrEx>
          <w:tblCellMar>
            <w:top w:w="0" w:type="dxa"/>
            <w:left w:w="108" w:type="dxa"/>
            <w:bottom w:w="0" w:type="dxa"/>
            <w:right w:w="108" w:type="dxa"/>
          </w:tblCellMar>
        </w:tblPrEx>
        <w:trPr>
          <w:trHeight w:val="387"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51960D94">
            <w:pPr>
              <w:widowControl/>
              <w:jc w:val="left"/>
              <w:rPr>
                <w:rFonts w:ascii="宋体" w:hAnsi="宋体" w:cs="宋体"/>
                <w:color w:val="000000"/>
                <w:kern w:val="0"/>
                <w:sz w:val="18"/>
                <w:szCs w:val="18"/>
              </w:rPr>
            </w:pPr>
          </w:p>
        </w:tc>
        <w:tc>
          <w:tcPr>
            <w:tcW w:w="1730" w:type="dxa"/>
            <w:tcBorders>
              <w:top w:val="nil"/>
              <w:left w:val="nil"/>
              <w:bottom w:val="single" w:color="000000" w:sz="4" w:space="0"/>
              <w:right w:val="single" w:color="000000" w:sz="4" w:space="0"/>
            </w:tcBorders>
            <w:shd w:val="clear" w:color="auto" w:fill="auto"/>
            <w:vAlign w:val="center"/>
          </w:tcPr>
          <w:p w14:paraId="3CD3EF0A">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758" w:type="dxa"/>
            <w:tcBorders>
              <w:top w:val="nil"/>
              <w:left w:val="nil"/>
              <w:bottom w:val="single" w:color="000000" w:sz="4" w:space="0"/>
              <w:right w:val="single" w:color="000000" w:sz="4" w:space="0"/>
            </w:tcBorders>
            <w:shd w:val="clear" w:color="auto" w:fill="auto"/>
            <w:vAlign w:val="center"/>
          </w:tcPr>
          <w:p w14:paraId="3FBC1CE3">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79" w:type="dxa"/>
            <w:tcBorders>
              <w:top w:val="nil"/>
              <w:left w:val="nil"/>
              <w:bottom w:val="single" w:color="000000" w:sz="4" w:space="0"/>
              <w:right w:val="single" w:color="000000" w:sz="4" w:space="0"/>
            </w:tcBorders>
            <w:shd w:val="clear" w:color="auto" w:fill="auto"/>
            <w:vAlign w:val="center"/>
          </w:tcPr>
          <w:p w14:paraId="42D2792A">
            <w:pPr>
              <w:widowControl/>
              <w:jc w:val="center"/>
              <w:rPr>
                <w:rFonts w:ascii="宋体" w:hAnsi="宋体" w:cs="宋体"/>
                <w:color w:val="000000"/>
                <w:kern w:val="0"/>
                <w:sz w:val="18"/>
                <w:szCs w:val="18"/>
              </w:rPr>
            </w:pPr>
            <w:r>
              <w:rPr>
                <w:rFonts w:hint="eastAsia" w:ascii="宋体" w:hAnsi="宋体" w:cs="宋体"/>
                <w:color w:val="000000"/>
                <w:kern w:val="0"/>
                <w:sz w:val="18"/>
                <w:szCs w:val="18"/>
              </w:rPr>
              <w:t>3.00</w:t>
            </w:r>
          </w:p>
        </w:tc>
        <w:tc>
          <w:tcPr>
            <w:tcW w:w="2853" w:type="dxa"/>
            <w:gridSpan w:val="7"/>
            <w:tcBorders>
              <w:top w:val="single" w:color="000000" w:sz="4" w:space="0"/>
              <w:left w:val="nil"/>
              <w:bottom w:val="single" w:color="000000" w:sz="4" w:space="0"/>
              <w:right w:val="single" w:color="000000" w:sz="4" w:space="0"/>
            </w:tcBorders>
            <w:shd w:val="clear" w:color="auto" w:fill="auto"/>
            <w:vAlign w:val="center"/>
          </w:tcPr>
          <w:p w14:paraId="43068555">
            <w:pPr>
              <w:widowControl/>
              <w:jc w:val="center"/>
              <w:rPr>
                <w:rFonts w:ascii="宋体" w:hAnsi="宋体" w:cs="宋体"/>
                <w:color w:val="000000"/>
                <w:kern w:val="0"/>
                <w:sz w:val="18"/>
                <w:szCs w:val="18"/>
              </w:rPr>
            </w:pPr>
            <w:r>
              <w:rPr>
                <w:rFonts w:hint="eastAsia" w:ascii="宋体" w:hAnsi="宋体" w:cs="宋体"/>
                <w:color w:val="000000"/>
                <w:kern w:val="0"/>
                <w:sz w:val="18"/>
                <w:szCs w:val="18"/>
              </w:rPr>
              <w:t>3.00</w:t>
            </w:r>
          </w:p>
        </w:tc>
        <w:tc>
          <w:tcPr>
            <w:tcW w:w="1095" w:type="dxa"/>
            <w:tcBorders>
              <w:top w:val="nil"/>
              <w:left w:val="nil"/>
              <w:bottom w:val="single" w:color="000000" w:sz="4" w:space="0"/>
              <w:right w:val="single" w:color="000000" w:sz="4" w:space="0"/>
            </w:tcBorders>
            <w:shd w:val="clear" w:color="auto" w:fill="auto"/>
            <w:vAlign w:val="center"/>
          </w:tcPr>
          <w:p w14:paraId="578B5E3E">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778" w:type="dxa"/>
            <w:tcBorders>
              <w:top w:val="nil"/>
              <w:left w:val="nil"/>
              <w:bottom w:val="single" w:color="000000" w:sz="4" w:space="0"/>
              <w:right w:val="single" w:color="000000" w:sz="4" w:space="0"/>
            </w:tcBorders>
            <w:shd w:val="clear" w:color="auto" w:fill="auto"/>
            <w:vAlign w:val="center"/>
          </w:tcPr>
          <w:p w14:paraId="358AD4FC">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36" w:type="dxa"/>
            <w:tcBorders>
              <w:top w:val="nil"/>
              <w:left w:val="nil"/>
              <w:bottom w:val="single" w:color="000000" w:sz="4" w:space="0"/>
              <w:right w:val="single" w:color="000000" w:sz="4" w:space="0"/>
            </w:tcBorders>
            <w:shd w:val="clear" w:color="auto" w:fill="auto"/>
            <w:vAlign w:val="center"/>
          </w:tcPr>
          <w:p w14:paraId="5D994F84">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val="en-US" w:eastAsia="zh-CN"/>
              </w:rPr>
              <w:t>10</w:t>
            </w:r>
          </w:p>
        </w:tc>
        <w:tc>
          <w:tcPr>
            <w:tcW w:w="2532" w:type="dxa"/>
            <w:vMerge w:val="restart"/>
            <w:tcBorders>
              <w:top w:val="nil"/>
              <w:left w:val="single" w:color="000000" w:sz="4" w:space="0"/>
              <w:bottom w:val="single" w:color="000000" w:sz="4" w:space="0"/>
              <w:right w:val="single" w:color="000000" w:sz="4" w:space="0"/>
            </w:tcBorders>
            <w:shd w:val="clear" w:color="auto" w:fill="auto"/>
            <w:vAlign w:val="center"/>
          </w:tcPr>
          <w:p w14:paraId="40F249D7">
            <w:pPr>
              <w:widowControl/>
              <w:jc w:val="left"/>
              <w:rPr>
                <w:rFonts w:ascii="Courier New" w:hAnsi="Courier New" w:cs="Courier New"/>
                <w:i/>
                <w:iCs/>
                <w:color w:val="000000"/>
                <w:kern w:val="0"/>
                <w:sz w:val="18"/>
                <w:szCs w:val="18"/>
              </w:rPr>
            </w:pPr>
            <w:r>
              <w:rPr>
                <w:rFonts w:ascii="宋体" w:hAnsi="宋体" w:cs="宋体"/>
                <w:color w:val="000000"/>
                <w:kern w:val="0"/>
                <w:sz w:val="18"/>
                <w:szCs w:val="18"/>
              </w:rPr>
              <w:t>结合单位实际情况，为了更好壮大村级集体经济，资金测算合理，向财政局申请资金。</w:t>
            </w:r>
          </w:p>
        </w:tc>
      </w:tr>
      <w:tr w14:paraId="356EE9B2">
        <w:tblPrEx>
          <w:tblCellMar>
            <w:top w:w="0" w:type="dxa"/>
            <w:left w:w="108" w:type="dxa"/>
            <w:bottom w:w="0" w:type="dxa"/>
            <w:right w:w="108" w:type="dxa"/>
          </w:tblCellMar>
        </w:tblPrEx>
        <w:trPr>
          <w:trHeight w:val="432"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4D5360E8">
            <w:pPr>
              <w:widowControl/>
              <w:jc w:val="left"/>
              <w:rPr>
                <w:rFonts w:ascii="宋体" w:hAnsi="宋体" w:cs="宋体"/>
                <w:color w:val="000000"/>
                <w:kern w:val="0"/>
                <w:sz w:val="18"/>
                <w:szCs w:val="18"/>
              </w:rPr>
            </w:pPr>
          </w:p>
        </w:tc>
        <w:tc>
          <w:tcPr>
            <w:tcW w:w="1730" w:type="dxa"/>
            <w:tcBorders>
              <w:top w:val="nil"/>
              <w:left w:val="nil"/>
              <w:bottom w:val="single" w:color="000000" w:sz="4" w:space="0"/>
              <w:right w:val="single" w:color="000000" w:sz="4" w:space="0"/>
            </w:tcBorders>
            <w:shd w:val="clear" w:color="auto" w:fill="auto"/>
            <w:vAlign w:val="center"/>
          </w:tcPr>
          <w:p w14:paraId="0B5D8A1D">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758" w:type="dxa"/>
            <w:tcBorders>
              <w:top w:val="nil"/>
              <w:left w:val="nil"/>
              <w:bottom w:val="single" w:color="000000" w:sz="4" w:space="0"/>
              <w:right w:val="single" w:color="000000" w:sz="4" w:space="0"/>
            </w:tcBorders>
            <w:shd w:val="clear" w:color="auto" w:fill="auto"/>
            <w:vAlign w:val="center"/>
          </w:tcPr>
          <w:p w14:paraId="3C356BAD">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79" w:type="dxa"/>
            <w:tcBorders>
              <w:top w:val="nil"/>
              <w:left w:val="nil"/>
              <w:bottom w:val="single" w:color="000000" w:sz="4" w:space="0"/>
              <w:right w:val="single" w:color="000000" w:sz="4" w:space="0"/>
            </w:tcBorders>
            <w:shd w:val="clear" w:color="auto" w:fill="auto"/>
            <w:vAlign w:val="center"/>
          </w:tcPr>
          <w:p w14:paraId="099A2930">
            <w:pPr>
              <w:widowControl/>
              <w:jc w:val="center"/>
              <w:rPr>
                <w:rFonts w:ascii="宋体" w:hAnsi="宋体" w:cs="宋体"/>
                <w:color w:val="000000"/>
                <w:kern w:val="0"/>
                <w:sz w:val="18"/>
                <w:szCs w:val="18"/>
              </w:rPr>
            </w:pPr>
            <w:r>
              <w:rPr>
                <w:rFonts w:hint="eastAsia" w:ascii="宋体" w:hAnsi="宋体" w:cs="宋体"/>
                <w:color w:val="000000"/>
                <w:kern w:val="0"/>
                <w:sz w:val="18"/>
                <w:szCs w:val="18"/>
              </w:rPr>
              <w:t>3.00</w:t>
            </w:r>
          </w:p>
        </w:tc>
        <w:tc>
          <w:tcPr>
            <w:tcW w:w="2853" w:type="dxa"/>
            <w:gridSpan w:val="7"/>
            <w:tcBorders>
              <w:top w:val="single" w:color="000000" w:sz="4" w:space="0"/>
              <w:left w:val="nil"/>
              <w:bottom w:val="single" w:color="000000" w:sz="4" w:space="0"/>
              <w:right w:val="single" w:color="000000" w:sz="4" w:space="0"/>
            </w:tcBorders>
            <w:shd w:val="clear" w:color="auto" w:fill="auto"/>
            <w:vAlign w:val="center"/>
          </w:tcPr>
          <w:p w14:paraId="649B1297">
            <w:pPr>
              <w:widowControl/>
              <w:jc w:val="center"/>
              <w:rPr>
                <w:rFonts w:ascii="宋体" w:hAnsi="宋体" w:cs="宋体"/>
                <w:color w:val="000000"/>
                <w:kern w:val="0"/>
                <w:sz w:val="18"/>
                <w:szCs w:val="18"/>
              </w:rPr>
            </w:pPr>
            <w:r>
              <w:rPr>
                <w:rFonts w:hint="eastAsia" w:ascii="宋体" w:hAnsi="宋体" w:cs="宋体"/>
                <w:color w:val="000000"/>
                <w:kern w:val="0"/>
                <w:sz w:val="18"/>
                <w:szCs w:val="18"/>
              </w:rPr>
              <w:t>3.00</w:t>
            </w:r>
          </w:p>
        </w:tc>
        <w:tc>
          <w:tcPr>
            <w:tcW w:w="1095" w:type="dxa"/>
            <w:tcBorders>
              <w:top w:val="nil"/>
              <w:left w:val="nil"/>
              <w:bottom w:val="single" w:color="000000" w:sz="4" w:space="0"/>
              <w:right w:val="single" w:color="000000" w:sz="4" w:space="0"/>
            </w:tcBorders>
            <w:shd w:val="clear" w:color="auto" w:fill="auto"/>
            <w:vAlign w:val="center"/>
          </w:tcPr>
          <w:p w14:paraId="6C35D11F">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778" w:type="dxa"/>
            <w:tcBorders>
              <w:top w:val="nil"/>
              <w:left w:val="nil"/>
              <w:bottom w:val="single" w:color="000000" w:sz="4" w:space="0"/>
              <w:right w:val="single" w:color="000000" w:sz="4" w:space="0"/>
            </w:tcBorders>
            <w:shd w:val="clear" w:color="auto" w:fill="auto"/>
            <w:vAlign w:val="center"/>
          </w:tcPr>
          <w:p w14:paraId="4DFFD603">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36" w:type="dxa"/>
            <w:tcBorders>
              <w:top w:val="nil"/>
              <w:left w:val="nil"/>
              <w:bottom w:val="single" w:color="000000" w:sz="4" w:space="0"/>
              <w:right w:val="single" w:color="000000" w:sz="4" w:space="0"/>
            </w:tcBorders>
            <w:shd w:val="clear" w:color="auto" w:fill="auto"/>
            <w:vAlign w:val="center"/>
          </w:tcPr>
          <w:p w14:paraId="0ECC09F1">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32" w:type="dxa"/>
            <w:vMerge w:val="continue"/>
            <w:tcBorders>
              <w:top w:val="nil"/>
              <w:left w:val="single" w:color="000000" w:sz="4" w:space="0"/>
              <w:bottom w:val="single" w:color="000000" w:sz="4" w:space="0"/>
              <w:right w:val="single" w:color="000000" w:sz="4" w:space="0"/>
            </w:tcBorders>
            <w:vAlign w:val="center"/>
          </w:tcPr>
          <w:p w14:paraId="76099A51">
            <w:pPr>
              <w:widowControl/>
              <w:jc w:val="left"/>
              <w:rPr>
                <w:rFonts w:ascii="Courier New" w:hAnsi="Courier New" w:cs="Courier New"/>
                <w:i/>
                <w:iCs/>
                <w:color w:val="000000"/>
                <w:kern w:val="0"/>
                <w:sz w:val="18"/>
                <w:szCs w:val="18"/>
              </w:rPr>
            </w:pPr>
          </w:p>
        </w:tc>
      </w:tr>
      <w:tr w14:paraId="15639206">
        <w:tblPrEx>
          <w:tblCellMar>
            <w:top w:w="0" w:type="dxa"/>
            <w:left w:w="108" w:type="dxa"/>
            <w:bottom w:w="0" w:type="dxa"/>
            <w:right w:w="108" w:type="dxa"/>
          </w:tblCellMar>
        </w:tblPrEx>
        <w:trPr>
          <w:trHeight w:val="447"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2630DA38">
            <w:pPr>
              <w:widowControl/>
              <w:jc w:val="left"/>
              <w:rPr>
                <w:rFonts w:ascii="宋体" w:hAnsi="宋体" w:cs="宋体"/>
                <w:color w:val="000000"/>
                <w:kern w:val="0"/>
                <w:sz w:val="18"/>
                <w:szCs w:val="18"/>
              </w:rPr>
            </w:pPr>
          </w:p>
        </w:tc>
        <w:tc>
          <w:tcPr>
            <w:tcW w:w="1730" w:type="dxa"/>
            <w:tcBorders>
              <w:top w:val="nil"/>
              <w:left w:val="nil"/>
              <w:bottom w:val="single" w:color="000000" w:sz="4" w:space="0"/>
              <w:right w:val="single" w:color="000000" w:sz="4" w:space="0"/>
            </w:tcBorders>
            <w:shd w:val="clear" w:color="auto" w:fill="auto"/>
            <w:vAlign w:val="center"/>
          </w:tcPr>
          <w:p w14:paraId="41D31ABC">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758" w:type="dxa"/>
            <w:tcBorders>
              <w:top w:val="nil"/>
              <w:left w:val="nil"/>
              <w:bottom w:val="single" w:color="000000" w:sz="4" w:space="0"/>
              <w:right w:val="single" w:color="000000" w:sz="4" w:space="0"/>
            </w:tcBorders>
            <w:shd w:val="clear" w:color="auto" w:fill="auto"/>
            <w:vAlign w:val="center"/>
          </w:tcPr>
          <w:p w14:paraId="24C3A26D">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79" w:type="dxa"/>
            <w:tcBorders>
              <w:top w:val="nil"/>
              <w:left w:val="nil"/>
              <w:bottom w:val="single" w:color="000000" w:sz="4" w:space="0"/>
              <w:right w:val="single" w:color="000000" w:sz="4" w:space="0"/>
            </w:tcBorders>
            <w:shd w:val="clear" w:color="auto" w:fill="auto"/>
            <w:vAlign w:val="center"/>
          </w:tcPr>
          <w:p w14:paraId="758FE179">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53" w:type="dxa"/>
            <w:gridSpan w:val="7"/>
            <w:tcBorders>
              <w:top w:val="single" w:color="000000" w:sz="4" w:space="0"/>
              <w:left w:val="nil"/>
              <w:bottom w:val="single" w:color="000000" w:sz="4" w:space="0"/>
              <w:right w:val="single" w:color="000000" w:sz="4" w:space="0"/>
            </w:tcBorders>
            <w:shd w:val="clear" w:color="auto" w:fill="auto"/>
            <w:vAlign w:val="center"/>
          </w:tcPr>
          <w:p w14:paraId="279CD077">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095" w:type="dxa"/>
            <w:tcBorders>
              <w:top w:val="nil"/>
              <w:left w:val="nil"/>
              <w:bottom w:val="single" w:color="000000" w:sz="4" w:space="0"/>
              <w:right w:val="single" w:color="000000" w:sz="4" w:space="0"/>
            </w:tcBorders>
            <w:shd w:val="clear" w:color="auto" w:fill="auto"/>
            <w:vAlign w:val="center"/>
          </w:tcPr>
          <w:p w14:paraId="0BD711FA">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78" w:type="dxa"/>
            <w:tcBorders>
              <w:top w:val="nil"/>
              <w:left w:val="nil"/>
              <w:bottom w:val="single" w:color="000000" w:sz="4" w:space="0"/>
              <w:right w:val="single" w:color="000000" w:sz="4" w:space="0"/>
            </w:tcBorders>
            <w:shd w:val="clear" w:color="auto" w:fill="auto"/>
            <w:vAlign w:val="center"/>
          </w:tcPr>
          <w:p w14:paraId="006218E6">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36" w:type="dxa"/>
            <w:tcBorders>
              <w:top w:val="nil"/>
              <w:left w:val="nil"/>
              <w:bottom w:val="single" w:color="000000" w:sz="4" w:space="0"/>
              <w:right w:val="single" w:color="000000" w:sz="4" w:space="0"/>
            </w:tcBorders>
            <w:shd w:val="clear" w:color="auto" w:fill="auto"/>
            <w:vAlign w:val="center"/>
          </w:tcPr>
          <w:p w14:paraId="6F6DAB4F">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32" w:type="dxa"/>
            <w:vMerge w:val="continue"/>
            <w:tcBorders>
              <w:top w:val="nil"/>
              <w:left w:val="single" w:color="000000" w:sz="4" w:space="0"/>
              <w:bottom w:val="single" w:color="000000" w:sz="4" w:space="0"/>
              <w:right w:val="single" w:color="000000" w:sz="4" w:space="0"/>
            </w:tcBorders>
            <w:vAlign w:val="center"/>
          </w:tcPr>
          <w:p w14:paraId="45C5602F">
            <w:pPr>
              <w:widowControl/>
              <w:jc w:val="left"/>
              <w:rPr>
                <w:rFonts w:ascii="Courier New" w:hAnsi="Courier New" w:cs="Courier New"/>
                <w:i/>
                <w:iCs/>
                <w:color w:val="000000"/>
                <w:kern w:val="0"/>
                <w:sz w:val="18"/>
                <w:szCs w:val="18"/>
              </w:rPr>
            </w:pPr>
          </w:p>
        </w:tc>
      </w:tr>
      <w:tr w14:paraId="2D9277E1">
        <w:tblPrEx>
          <w:tblCellMar>
            <w:top w:w="0" w:type="dxa"/>
            <w:left w:w="108" w:type="dxa"/>
            <w:bottom w:w="0" w:type="dxa"/>
            <w:right w:w="108" w:type="dxa"/>
          </w:tblCellMar>
        </w:tblPrEx>
        <w:trPr>
          <w:trHeight w:val="402"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77B52756">
            <w:pPr>
              <w:widowControl/>
              <w:jc w:val="left"/>
              <w:rPr>
                <w:rFonts w:ascii="宋体" w:hAnsi="宋体" w:cs="宋体"/>
                <w:color w:val="000000"/>
                <w:kern w:val="0"/>
                <w:sz w:val="18"/>
                <w:szCs w:val="18"/>
              </w:rPr>
            </w:pPr>
          </w:p>
        </w:tc>
        <w:tc>
          <w:tcPr>
            <w:tcW w:w="1730" w:type="dxa"/>
            <w:tcBorders>
              <w:top w:val="nil"/>
              <w:left w:val="nil"/>
              <w:bottom w:val="single" w:color="000000" w:sz="4" w:space="0"/>
              <w:right w:val="single" w:color="000000" w:sz="4" w:space="0"/>
            </w:tcBorders>
            <w:shd w:val="clear" w:color="auto" w:fill="auto"/>
            <w:vAlign w:val="center"/>
          </w:tcPr>
          <w:p w14:paraId="33D768AD">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758" w:type="dxa"/>
            <w:tcBorders>
              <w:top w:val="nil"/>
              <w:left w:val="nil"/>
              <w:bottom w:val="single" w:color="000000" w:sz="4" w:space="0"/>
              <w:right w:val="single" w:color="000000" w:sz="4" w:space="0"/>
            </w:tcBorders>
            <w:shd w:val="clear" w:color="auto" w:fill="auto"/>
            <w:vAlign w:val="center"/>
          </w:tcPr>
          <w:p w14:paraId="2E92C59A">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79" w:type="dxa"/>
            <w:tcBorders>
              <w:top w:val="nil"/>
              <w:left w:val="nil"/>
              <w:bottom w:val="single" w:color="000000" w:sz="4" w:space="0"/>
              <w:right w:val="single" w:color="000000" w:sz="4" w:space="0"/>
            </w:tcBorders>
            <w:shd w:val="clear" w:color="auto" w:fill="auto"/>
            <w:vAlign w:val="center"/>
          </w:tcPr>
          <w:p w14:paraId="44FAA649">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53" w:type="dxa"/>
            <w:gridSpan w:val="7"/>
            <w:tcBorders>
              <w:top w:val="single" w:color="000000" w:sz="4" w:space="0"/>
              <w:left w:val="nil"/>
              <w:bottom w:val="single" w:color="000000" w:sz="4" w:space="0"/>
              <w:right w:val="single" w:color="000000" w:sz="4" w:space="0"/>
            </w:tcBorders>
            <w:shd w:val="clear" w:color="auto" w:fill="auto"/>
            <w:vAlign w:val="center"/>
          </w:tcPr>
          <w:p w14:paraId="1CD28EB5">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095" w:type="dxa"/>
            <w:tcBorders>
              <w:top w:val="nil"/>
              <w:left w:val="nil"/>
              <w:bottom w:val="single" w:color="000000" w:sz="4" w:space="0"/>
              <w:right w:val="single" w:color="000000" w:sz="4" w:space="0"/>
            </w:tcBorders>
            <w:shd w:val="clear" w:color="auto" w:fill="auto"/>
            <w:vAlign w:val="center"/>
          </w:tcPr>
          <w:p w14:paraId="27C2D9A7">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78" w:type="dxa"/>
            <w:tcBorders>
              <w:top w:val="nil"/>
              <w:left w:val="nil"/>
              <w:bottom w:val="single" w:color="000000" w:sz="4" w:space="0"/>
              <w:right w:val="single" w:color="000000" w:sz="4" w:space="0"/>
            </w:tcBorders>
            <w:shd w:val="clear" w:color="auto" w:fill="auto"/>
            <w:vAlign w:val="center"/>
          </w:tcPr>
          <w:p w14:paraId="30918102">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36" w:type="dxa"/>
            <w:tcBorders>
              <w:top w:val="nil"/>
              <w:left w:val="nil"/>
              <w:bottom w:val="single" w:color="000000" w:sz="4" w:space="0"/>
              <w:right w:val="single" w:color="000000" w:sz="4" w:space="0"/>
            </w:tcBorders>
            <w:shd w:val="clear" w:color="auto" w:fill="auto"/>
            <w:vAlign w:val="center"/>
          </w:tcPr>
          <w:p w14:paraId="35BE5D3F">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32" w:type="dxa"/>
            <w:vMerge w:val="continue"/>
            <w:tcBorders>
              <w:top w:val="nil"/>
              <w:left w:val="single" w:color="000000" w:sz="4" w:space="0"/>
              <w:bottom w:val="single" w:color="000000" w:sz="4" w:space="0"/>
              <w:right w:val="single" w:color="000000" w:sz="4" w:space="0"/>
            </w:tcBorders>
            <w:vAlign w:val="center"/>
          </w:tcPr>
          <w:p w14:paraId="4139D9C0">
            <w:pPr>
              <w:widowControl/>
              <w:jc w:val="left"/>
              <w:rPr>
                <w:rFonts w:ascii="Courier New" w:hAnsi="Courier New" w:cs="Courier New"/>
                <w:i/>
                <w:iCs/>
                <w:color w:val="000000"/>
                <w:kern w:val="0"/>
                <w:sz w:val="18"/>
                <w:szCs w:val="18"/>
              </w:rPr>
            </w:pPr>
          </w:p>
        </w:tc>
      </w:tr>
      <w:tr w14:paraId="4EEDC266">
        <w:tblPrEx>
          <w:tblCellMar>
            <w:top w:w="0" w:type="dxa"/>
            <w:left w:w="108" w:type="dxa"/>
            <w:bottom w:w="0" w:type="dxa"/>
            <w:right w:w="108" w:type="dxa"/>
          </w:tblCellMar>
        </w:tblPrEx>
        <w:trPr>
          <w:trHeight w:val="379"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07730740">
            <w:pPr>
              <w:widowControl/>
              <w:jc w:val="left"/>
              <w:rPr>
                <w:rFonts w:ascii="宋体" w:hAnsi="宋体" w:cs="宋体"/>
                <w:color w:val="000000"/>
                <w:kern w:val="0"/>
                <w:sz w:val="18"/>
                <w:szCs w:val="18"/>
              </w:rPr>
            </w:pPr>
          </w:p>
        </w:tc>
        <w:tc>
          <w:tcPr>
            <w:tcW w:w="1730" w:type="dxa"/>
            <w:tcBorders>
              <w:top w:val="nil"/>
              <w:left w:val="nil"/>
              <w:bottom w:val="single" w:color="000000" w:sz="4" w:space="0"/>
              <w:right w:val="single" w:color="000000" w:sz="4" w:space="0"/>
            </w:tcBorders>
            <w:shd w:val="clear" w:color="auto" w:fill="auto"/>
            <w:vAlign w:val="center"/>
          </w:tcPr>
          <w:p w14:paraId="04F9CCB7">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758" w:type="dxa"/>
            <w:tcBorders>
              <w:top w:val="nil"/>
              <w:left w:val="nil"/>
              <w:bottom w:val="single" w:color="000000" w:sz="4" w:space="0"/>
              <w:right w:val="single" w:color="000000" w:sz="4" w:space="0"/>
            </w:tcBorders>
            <w:shd w:val="clear" w:color="auto" w:fill="auto"/>
            <w:vAlign w:val="center"/>
          </w:tcPr>
          <w:p w14:paraId="510E984C">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79" w:type="dxa"/>
            <w:tcBorders>
              <w:top w:val="nil"/>
              <w:left w:val="nil"/>
              <w:bottom w:val="single" w:color="000000" w:sz="4" w:space="0"/>
              <w:right w:val="single" w:color="000000" w:sz="4" w:space="0"/>
            </w:tcBorders>
            <w:shd w:val="clear" w:color="auto" w:fill="auto"/>
            <w:vAlign w:val="center"/>
          </w:tcPr>
          <w:p w14:paraId="76206AC7">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53" w:type="dxa"/>
            <w:gridSpan w:val="7"/>
            <w:tcBorders>
              <w:top w:val="single" w:color="000000" w:sz="4" w:space="0"/>
              <w:left w:val="nil"/>
              <w:bottom w:val="single" w:color="000000" w:sz="4" w:space="0"/>
              <w:right w:val="single" w:color="000000" w:sz="4" w:space="0"/>
            </w:tcBorders>
            <w:shd w:val="clear" w:color="auto" w:fill="auto"/>
            <w:vAlign w:val="center"/>
          </w:tcPr>
          <w:p w14:paraId="2E41A790">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095" w:type="dxa"/>
            <w:tcBorders>
              <w:top w:val="nil"/>
              <w:left w:val="nil"/>
              <w:bottom w:val="single" w:color="000000" w:sz="4" w:space="0"/>
              <w:right w:val="single" w:color="000000" w:sz="4" w:space="0"/>
            </w:tcBorders>
            <w:shd w:val="clear" w:color="auto" w:fill="auto"/>
            <w:vAlign w:val="center"/>
          </w:tcPr>
          <w:p w14:paraId="27F6CF02">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78" w:type="dxa"/>
            <w:tcBorders>
              <w:top w:val="nil"/>
              <w:left w:val="nil"/>
              <w:bottom w:val="single" w:color="000000" w:sz="4" w:space="0"/>
              <w:right w:val="single" w:color="000000" w:sz="4" w:space="0"/>
            </w:tcBorders>
            <w:shd w:val="clear" w:color="auto" w:fill="auto"/>
            <w:vAlign w:val="center"/>
          </w:tcPr>
          <w:p w14:paraId="69F17D4A">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36" w:type="dxa"/>
            <w:tcBorders>
              <w:top w:val="nil"/>
              <w:left w:val="nil"/>
              <w:bottom w:val="single" w:color="000000" w:sz="4" w:space="0"/>
              <w:right w:val="single" w:color="000000" w:sz="4" w:space="0"/>
            </w:tcBorders>
            <w:shd w:val="clear" w:color="auto" w:fill="auto"/>
            <w:vAlign w:val="center"/>
          </w:tcPr>
          <w:p w14:paraId="37820CAD">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32" w:type="dxa"/>
            <w:vMerge w:val="continue"/>
            <w:tcBorders>
              <w:top w:val="nil"/>
              <w:left w:val="single" w:color="000000" w:sz="4" w:space="0"/>
              <w:bottom w:val="single" w:color="000000" w:sz="4" w:space="0"/>
              <w:right w:val="single" w:color="000000" w:sz="4" w:space="0"/>
            </w:tcBorders>
            <w:vAlign w:val="center"/>
          </w:tcPr>
          <w:p w14:paraId="15AB6FE2">
            <w:pPr>
              <w:widowControl/>
              <w:jc w:val="left"/>
              <w:rPr>
                <w:rFonts w:ascii="Courier New" w:hAnsi="Courier New" w:cs="Courier New"/>
                <w:i/>
                <w:iCs/>
                <w:color w:val="000000"/>
                <w:kern w:val="0"/>
                <w:sz w:val="18"/>
                <w:szCs w:val="18"/>
              </w:rPr>
            </w:pPr>
          </w:p>
        </w:tc>
      </w:tr>
      <w:tr w14:paraId="37661B50">
        <w:tblPrEx>
          <w:tblCellMar>
            <w:top w:w="0" w:type="dxa"/>
            <w:left w:w="108" w:type="dxa"/>
            <w:bottom w:w="0" w:type="dxa"/>
            <w:right w:w="108" w:type="dxa"/>
          </w:tblCellMar>
        </w:tblPrEx>
        <w:trPr>
          <w:trHeight w:val="454" w:hRule="atLeast"/>
        </w:trPr>
        <w:tc>
          <w:tcPr>
            <w:tcW w:w="999"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4F58474E">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730" w:type="dxa"/>
            <w:tcBorders>
              <w:top w:val="nil"/>
              <w:left w:val="nil"/>
              <w:bottom w:val="single" w:color="000000" w:sz="4" w:space="0"/>
              <w:right w:val="single" w:color="000000" w:sz="4" w:space="0"/>
            </w:tcBorders>
            <w:shd w:val="clear" w:color="auto" w:fill="auto"/>
            <w:vAlign w:val="center"/>
          </w:tcPr>
          <w:p w14:paraId="61D4650B">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758" w:type="dxa"/>
            <w:tcBorders>
              <w:top w:val="nil"/>
              <w:left w:val="nil"/>
              <w:bottom w:val="single" w:color="000000" w:sz="4" w:space="0"/>
              <w:right w:val="single" w:color="000000" w:sz="4" w:space="0"/>
            </w:tcBorders>
            <w:shd w:val="clear" w:color="auto" w:fill="auto"/>
            <w:vAlign w:val="center"/>
          </w:tcPr>
          <w:p w14:paraId="57BAE5A2">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779" w:type="dxa"/>
            <w:tcBorders>
              <w:top w:val="nil"/>
              <w:left w:val="nil"/>
              <w:bottom w:val="single" w:color="000000" w:sz="4" w:space="0"/>
              <w:right w:val="single" w:color="000000" w:sz="4" w:space="0"/>
            </w:tcBorders>
            <w:shd w:val="clear" w:color="auto" w:fill="auto"/>
            <w:vAlign w:val="center"/>
          </w:tcPr>
          <w:p w14:paraId="2652D474">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590" w:type="dxa"/>
            <w:gridSpan w:val="2"/>
            <w:tcBorders>
              <w:top w:val="nil"/>
              <w:left w:val="nil"/>
              <w:bottom w:val="single" w:color="000000" w:sz="4" w:space="0"/>
              <w:right w:val="single" w:color="000000" w:sz="4" w:space="0"/>
            </w:tcBorders>
            <w:shd w:val="clear" w:color="auto" w:fill="auto"/>
            <w:vAlign w:val="center"/>
          </w:tcPr>
          <w:p w14:paraId="0C0F90E1">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373" w:type="dxa"/>
            <w:tcBorders>
              <w:top w:val="nil"/>
              <w:left w:val="nil"/>
              <w:bottom w:val="single" w:color="000000" w:sz="4" w:space="0"/>
              <w:right w:val="single" w:color="000000" w:sz="4" w:space="0"/>
            </w:tcBorders>
            <w:shd w:val="clear" w:color="auto" w:fill="auto"/>
            <w:vAlign w:val="center"/>
          </w:tcPr>
          <w:p w14:paraId="373185FA">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890" w:type="dxa"/>
            <w:gridSpan w:val="4"/>
            <w:tcBorders>
              <w:top w:val="nil"/>
              <w:left w:val="nil"/>
              <w:bottom w:val="single" w:color="000000" w:sz="4" w:space="0"/>
              <w:right w:val="single" w:color="000000" w:sz="4" w:space="0"/>
            </w:tcBorders>
            <w:shd w:val="clear" w:color="auto" w:fill="auto"/>
            <w:vAlign w:val="center"/>
          </w:tcPr>
          <w:p w14:paraId="7D08AAB2">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1095" w:type="dxa"/>
            <w:tcBorders>
              <w:top w:val="nil"/>
              <w:left w:val="nil"/>
              <w:bottom w:val="single" w:color="000000" w:sz="4" w:space="0"/>
              <w:right w:val="single" w:color="000000" w:sz="4" w:space="0"/>
            </w:tcBorders>
            <w:shd w:val="clear" w:color="auto" w:fill="auto"/>
            <w:vAlign w:val="center"/>
          </w:tcPr>
          <w:p w14:paraId="331BC1E0">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778" w:type="dxa"/>
            <w:tcBorders>
              <w:top w:val="nil"/>
              <w:left w:val="nil"/>
              <w:bottom w:val="single" w:color="000000" w:sz="4" w:space="0"/>
              <w:right w:val="single" w:color="000000" w:sz="4" w:space="0"/>
            </w:tcBorders>
            <w:shd w:val="clear" w:color="auto" w:fill="auto"/>
            <w:vAlign w:val="center"/>
          </w:tcPr>
          <w:p w14:paraId="798CD62F">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636" w:type="dxa"/>
            <w:tcBorders>
              <w:top w:val="nil"/>
              <w:left w:val="nil"/>
              <w:bottom w:val="single" w:color="000000" w:sz="4" w:space="0"/>
              <w:right w:val="single" w:color="000000" w:sz="4" w:space="0"/>
            </w:tcBorders>
            <w:shd w:val="clear" w:color="auto" w:fill="auto"/>
            <w:vAlign w:val="center"/>
          </w:tcPr>
          <w:p w14:paraId="45ECED04">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32" w:type="dxa"/>
            <w:tcBorders>
              <w:top w:val="nil"/>
              <w:left w:val="nil"/>
              <w:bottom w:val="single" w:color="000000" w:sz="4" w:space="0"/>
              <w:right w:val="single" w:color="000000" w:sz="4" w:space="0"/>
            </w:tcBorders>
            <w:shd w:val="clear" w:color="auto" w:fill="auto"/>
            <w:vAlign w:val="center"/>
          </w:tcPr>
          <w:p w14:paraId="792A65E9">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14:paraId="01E2DE41">
        <w:tblPrEx>
          <w:tblCellMar>
            <w:top w:w="0" w:type="dxa"/>
            <w:left w:w="108" w:type="dxa"/>
            <w:bottom w:w="0" w:type="dxa"/>
            <w:right w:w="108" w:type="dxa"/>
          </w:tblCellMar>
        </w:tblPrEx>
        <w:trPr>
          <w:trHeight w:val="451"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52F77E27">
            <w:pPr>
              <w:widowControl/>
              <w:jc w:val="left"/>
              <w:rPr>
                <w:rFonts w:ascii="宋体" w:hAnsi="宋体" w:cs="宋体"/>
                <w:color w:val="000000"/>
                <w:kern w:val="0"/>
                <w:sz w:val="18"/>
                <w:szCs w:val="18"/>
              </w:rPr>
            </w:pPr>
          </w:p>
        </w:tc>
        <w:tc>
          <w:tcPr>
            <w:tcW w:w="1730" w:type="dxa"/>
            <w:vMerge w:val="restart"/>
            <w:tcBorders>
              <w:top w:val="nil"/>
              <w:left w:val="single" w:color="000000" w:sz="4" w:space="0"/>
              <w:bottom w:val="single" w:color="000000" w:sz="4" w:space="0"/>
              <w:right w:val="single" w:color="000000" w:sz="4" w:space="0"/>
            </w:tcBorders>
            <w:shd w:val="clear" w:color="auto" w:fill="auto"/>
            <w:vAlign w:val="center"/>
          </w:tcPr>
          <w:p w14:paraId="3B7F6F67">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758" w:type="dxa"/>
            <w:tcBorders>
              <w:top w:val="nil"/>
              <w:left w:val="nil"/>
              <w:bottom w:val="single" w:color="000000" w:sz="4" w:space="0"/>
              <w:right w:val="single" w:color="000000" w:sz="4" w:space="0"/>
            </w:tcBorders>
            <w:shd w:val="clear" w:color="auto" w:fill="auto"/>
            <w:vAlign w:val="center"/>
          </w:tcPr>
          <w:p w14:paraId="44B74298">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779" w:type="dxa"/>
            <w:tcBorders>
              <w:top w:val="nil"/>
              <w:left w:val="nil"/>
              <w:bottom w:val="single" w:color="000000" w:sz="4" w:space="0"/>
              <w:right w:val="single" w:color="000000" w:sz="4" w:space="0"/>
            </w:tcBorders>
            <w:shd w:val="clear" w:color="auto" w:fill="auto"/>
            <w:vAlign w:val="center"/>
          </w:tcPr>
          <w:p w14:paraId="074FB40A">
            <w:pPr>
              <w:widowControl/>
              <w:jc w:val="center"/>
              <w:rPr>
                <w:rFonts w:ascii="宋体" w:hAnsi="宋体" w:cs="宋体"/>
                <w:color w:val="000000"/>
                <w:kern w:val="0"/>
                <w:sz w:val="18"/>
                <w:szCs w:val="18"/>
              </w:rPr>
            </w:pPr>
            <w:r>
              <w:rPr>
                <w:rFonts w:hint="eastAsia" w:ascii="宋体" w:hAnsi="宋体" w:cs="宋体"/>
                <w:color w:val="000000"/>
                <w:kern w:val="0"/>
                <w:sz w:val="18"/>
                <w:szCs w:val="18"/>
              </w:rPr>
              <w:t>工作开展质量</w:t>
            </w:r>
          </w:p>
        </w:tc>
        <w:tc>
          <w:tcPr>
            <w:tcW w:w="590" w:type="dxa"/>
            <w:gridSpan w:val="2"/>
            <w:tcBorders>
              <w:top w:val="nil"/>
              <w:left w:val="nil"/>
              <w:bottom w:val="single" w:color="000000" w:sz="4" w:space="0"/>
              <w:right w:val="single" w:color="000000" w:sz="4" w:space="0"/>
            </w:tcBorders>
            <w:shd w:val="clear" w:color="auto" w:fill="auto"/>
            <w:vAlign w:val="center"/>
          </w:tcPr>
          <w:p w14:paraId="75A05FEF">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373" w:type="dxa"/>
            <w:tcBorders>
              <w:top w:val="nil"/>
              <w:left w:val="nil"/>
              <w:bottom w:val="single" w:color="000000" w:sz="4" w:space="0"/>
              <w:right w:val="single" w:color="000000" w:sz="4" w:space="0"/>
            </w:tcBorders>
            <w:shd w:val="clear" w:color="auto" w:fill="auto"/>
            <w:vAlign w:val="center"/>
          </w:tcPr>
          <w:p w14:paraId="76B75474">
            <w:pPr>
              <w:widowControl/>
              <w:jc w:val="center"/>
              <w:rPr>
                <w:rFonts w:ascii="宋体" w:hAnsi="宋体" w:cs="宋体"/>
                <w:color w:val="000000"/>
                <w:kern w:val="0"/>
                <w:sz w:val="18"/>
                <w:szCs w:val="18"/>
              </w:rPr>
            </w:pPr>
            <w:r>
              <w:rPr>
                <w:rFonts w:hint="eastAsia" w:ascii="宋体" w:hAnsi="宋体" w:cs="宋体"/>
                <w:color w:val="000000"/>
                <w:kern w:val="0"/>
                <w:sz w:val="18"/>
                <w:szCs w:val="18"/>
              </w:rPr>
              <w:t>高</w:t>
            </w:r>
          </w:p>
        </w:tc>
        <w:tc>
          <w:tcPr>
            <w:tcW w:w="890" w:type="dxa"/>
            <w:gridSpan w:val="4"/>
            <w:tcBorders>
              <w:top w:val="nil"/>
              <w:left w:val="nil"/>
              <w:bottom w:val="single" w:color="000000" w:sz="4" w:space="0"/>
              <w:right w:val="single" w:color="000000" w:sz="4" w:space="0"/>
            </w:tcBorders>
            <w:shd w:val="clear" w:color="auto" w:fill="auto"/>
            <w:vAlign w:val="center"/>
          </w:tcPr>
          <w:p w14:paraId="59215AC3">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95" w:type="dxa"/>
            <w:tcBorders>
              <w:top w:val="nil"/>
              <w:left w:val="nil"/>
              <w:bottom w:val="single" w:color="000000" w:sz="4" w:space="0"/>
              <w:right w:val="single" w:color="000000" w:sz="4" w:space="0"/>
            </w:tcBorders>
            <w:shd w:val="clear" w:color="auto" w:fill="auto"/>
            <w:vAlign w:val="center"/>
          </w:tcPr>
          <w:p w14:paraId="0DD5C31A">
            <w:pPr>
              <w:widowControl/>
              <w:jc w:val="center"/>
              <w:rPr>
                <w:rFonts w:ascii="宋体" w:hAnsi="宋体" w:cs="宋体"/>
                <w:color w:val="000000"/>
                <w:kern w:val="0"/>
                <w:sz w:val="18"/>
                <w:szCs w:val="18"/>
              </w:rPr>
            </w:pPr>
            <w:r>
              <w:rPr>
                <w:rFonts w:hint="eastAsia" w:ascii="宋体" w:hAnsi="宋体" w:cs="宋体"/>
                <w:color w:val="000000"/>
                <w:kern w:val="0"/>
                <w:sz w:val="18"/>
                <w:szCs w:val="18"/>
              </w:rPr>
              <w:t>高</w:t>
            </w:r>
          </w:p>
        </w:tc>
        <w:tc>
          <w:tcPr>
            <w:tcW w:w="778" w:type="dxa"/>
            <w:tcBorders>
              <w:top w:val="nil"/>
              <w:left w:val="nil"/>
              <w:bottom w:val="single" w:color="000000" w:sz="4" w:space="0"/>
              <w:right w:val="single" w:color="000000" w:sz="4" w:space="0"/>
            </w:tcBorders>
            <w:shd w:val="clear" w:color="auto" w:fill="auto"/>
            <w:vAlign w:val="center"/>
          </w:tcPr>
          <w:p w14:paraId="42DE5B72">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636" w:type="dxa"/>
            <w:tcBorders>
              <w:top w:val="nil"/>
              <w:left w:val="nil"/>
              <w:bottom w:val="single" w:color="000000" w:sz="4" w:space="0"/>
              <w:right w:val="single" w:color="000000" w:sz="4" w:space="0"/>
            </w:tcBorders>
            <w:shd w:val="clear" w:color="auto" w:fill="auto"/>
            <w:vAlign w:val="center"/>
          </w:tcPr>
          <w:p w14:paraId="4079F02E">
            <w:pPr>
              <w:widowControl/>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2532" w:type="dxa"/>
            <w:tcBorders>
              <w:top w:val="nil"/>
              <w:left w:val="nil"/>
              <w:bottom w:val="single" w:color="000000" w:sz="4" w:space="0"/>
              <w:right w:val="single" w:color="000000" w:sz="4" w:space="0"/>
            </w:tcBorders>
            <w:shd w:val="clear" w:color="auto" w:fill="auto"/>
            <w:vAlign w:val="center"/>
          </w:tcPr>
          <w:p w14:paraId="130E284C">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63F8FC86">
        <w:tblPrEx>
          <w:tblCellMar>
            <w:top w:w="0" w:type="dxa"/>
            <w:left w:w="108" w:type="dxa"/>
            <w:bottom w:w="0" w:type="dxa"/>
            <w:right w:w="108" w:type="dxa"/>
          </w:tblCellMar>
        </w:tblPrEx>
        <w:trPr>
          <w:trHeight w:val="518"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533B73C2">
            <w:pPr>
              <w:widowControl/>
              <w:jc w:val="left"/>
              <w:rPr>
                <w:rFonts w:ascii="宋体" w:hAnsi="宋体" w:cs="宋体"/>
                <w:color w:val="000000"/>
                <w:kern w:val="0"/>
                <w:sz w:val="18"/>
                <w:szCs w:val="18"/>
              </w:rPr>
            </w:pPr>
          </w:p>
        </w:tc>
        <w:tc>
          <w:tcPr>
            <w:tcW w:w="1730" w:type="dxa"/>
            <w:vMerge w:val="continue"/>
            <w:tcBorders>
              <w:top w:val="nil"/>
              <w:left w:val="single" w:color="000000" w:sz="4" w:space="0"/>
              <w:bottom w:val="single" w:color="000000" w:sz="4" w:space="0"/>
              <w:right w:val="single" w:color="000000" w:sz="4" w:space="0"/>
            </w:tcBorders>
            <w:vAlign w:val="center"/>
          </w:tcPr>
          <w:p w14:paraId="1E0B64B2">
            <w:pPr>
              <w:widowControl/>
              <w:jc w:val="left"/>
              <w:rPr>
                <w:rFonts w:ascii="宋体" w:hAnsi="宋体" w:cs="宋体"/>
                <w:color w:val="000000"/>
                <w:kern w:val="0"/>
                <w:sz w:val="18"/>
                <w:szCs w:val="18"/>
              </w:rPr>
            </w:pPr>
          </w:p>
        </w:tc>
        <w:tc>
          <w:tcPr>
            <w:tcW w:w="1758" w:type="dxa"/>
            <w:tcBorders>
              <w:top w:val="nil"/>
              <w:left w:val="nil"/>
              <w:bottom w:val="single" w:color="000000" w:sz="4" w:space="0"/>
              <w:right w:val="single" w:color="000000" w:sz="4" w:space="0"/>
            </w:tcBorders>
            <w:shd w:val="clear" w:color="auto" w:fill="auto"/>
            <w:vAlign w:val="center"/>
          </w:tcPr>
          <w:p w14:paraId="4CAF3035">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779" w:type="dxa"/>
            <w:tcBorders>
              <w:top w:val="nil"/>
              <w:left w:val="nil"/>
              <w:bottom w:val="single" w:color="000000" w:sz="4" w:space="0"/>
              <w:right w:val="single" w:color="000000" w:sz="4" w:space="0"/>
            </w:tcBorders>
            <w:shd w:val="clear" w:color="auto" w:fill="auto"/>
            <w:vAlign w:val="center"/>
          </w:tcPr>
          <w:p w14:paraId="568441A9">
            <w:pPr>
              <w:widowControl/>
              <w:jc w:val="center"/>
              <w:rPr>
                <w:rFonts w:ascii="宋体" w:hAnsi="宋体" w:cs="宋体"/>
                <w:color w:val="000000"/>
                <w:kern w:val="0"/>
                <w:sz w:val="18"/>
                <w:szCs w:val="18"/>
              </w:rPr>
            </w:pPr>
            <w:r>
              <w:rPr>
                <w:rFonts w:hint="eastAsia" w:ascii="宋体" w:hAnsi="宋体" w:cs="宋体"/>
                <w:color w:val="000000"/>
                <w:kern w:val="0"/>
                <w:sz w:val="18"/>
                <w:szCs w:val="18"/>
              </w:rPr>
              <w:t>期限</w:t>
            </w:r>
          </w:p>
        </w:tc>
        <w:tc>
          <w:tcPr>
            <w:tcW w:w="590" w:type="dxa"/>
            <w:gridSpan w:val="2"/>
            <w:tcBorders>
              <w:top w:val="nil"/>
              <w:left w:val="nil"/>
              <w:bottom w:val="single" w:color="000000" w:sz="4" w:space="0"/>
              <w:right w:val="single" w:color="000000" w:sz="4" w:space="0"/>
            </w:tcBorders>
            <w:shd w:val="clear" w:color="auto" w:fill="auto"/>
            <w:vAlign w:val="center"/>
          </w:tcPr>
          <w:p w14:paraId="7DED58BC">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73" w:type="dxa"/>
            <w:tcBorders>
              <w:top w:val="nil"/>
              <w:left w:val="nil"/>
              <w:bottom w:val="single" w:color="000000" w:sz="4" w:space="0"/>
              <w:right w:val="single" w:color="000000" w:sz="4" w:space="0"/>
            </w:tcBorders>
            <w:shd w:val="clear" w:color="auto" w:fill="auto"/>
            <w:vAlign w:val="center"/>
          </w:tcPr>
          <w:p w14:paraId="024DC297">
            <w:pPr>
              <w:widowControl/>
              <w:jc w:val="center"/>
              <w:rPr>
                <w:rFonts w:ascii="宋体" w:hAnsi="宋体" w:cs="宋体"/>
                <w:color w:val="000000"/>
                <w:kern w:val="0"/>
                <w:sz w:val="18"/>
                <w:szCs w:val="18"/>
              </w:rPr>
            </w:pPr>
            <w:r>
              <w:rPr>
                <w:rFonts w:hint="eastAsia" w:ascii="宋体" w:hAnsi="宋体" w:cs="宋体"/>
                <w:color w:val="000000"/>
                <w:kern w:val="0"/>
                <w:sz w:val="18"/>
                <w:szCs w:val="18"/>
              </w:rPr>
              <w:t>2022</w:t>
            </w:r>
          </w:p>
        </w:tc>
        <w:tc>
          <w:tcPr>
            <w:tcW w:w="890" w:type="dxa"/>
            <w:gridSpan w:val="4"/>
            <w:tcBorders>
              <w:top w:val="nil"/>
              <w:left w:val="nil"/>
              <w:bottom w:val="single" w:color="000000" w:sz="4" w:space="0"/>
              <w:right w:val="single" w:color="000000" w:sz="4" w:space="0"/>
            </w:tcBorders>
            <w:shd w:val="clear" w:color="auto" w:fill="auto"/>
            <w:vAlign w:val="center"/>
          </w:tcPr>
          <w:p w14:paraId="6F9600E5">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1095" w:type="dxa"/>
            <w:tcBorders>
              <w:top w:val="nil"/>
              <w:left w:val="nil"/>
              <w:bottom w:val="single" w:color="000000" w:sz="4" w:space="0"/>
              <w:right w:val="single" w:color="000000" w:sz="4" w:space="0"/>
            </w:tcBorders>
            <w:shd w:val="clear" w:color="auto" w:fill="auto"/>
            <w:vAlign w:val="center"/>
          </w:tcPr>
          <w:p w14:paraId="23175A6A">
            <w:pPr>
              <w:widowControl/>
              <w:jc w:val="center"/>
              <w:rPr>
                <w:rFonts w:ascii="宋体" w:hAnsi="宋体" w:cs="宋体"/>
                <w:color w:val="000000"/>
                <w:kern w:val="0"/>
                <w:sz w:val="18"/>
                <w:szCs w:val="18"/>
              </w:rPr>
            </w:pPr>
            <w:r>
              <w:rPr>
                <w:rFonts w:hint="eastAsia" w:ascii="宋体" w:hAnsi="宋体" w:cs="宋体"/>
                <w:color w:val="000000"/>
                <w:kern w:val="0"/>
                <w:sz w:val="18"/>
                <w:szCs w:val="18"/>
              </w:rPr>
              <w:t>2022年</w:t>
            </w:r>
          </w:p>
        </w:tc>
        <w:tc>
          <w:tcPr>
            <w:tcW w:w="778" w:type="dxa"/>
            <w:tcBorders>
              <w:top w:val="nil"/>
              <w:left w:val="nil"/>
              <w:bottom w:val="single" w:color="000000" w:sz="4" w:space="0"/>
              <w:right w:val="single" w:color="000000" w:sz="4" w:space="0"/>
            </w:tcBorders>
            <w:shd w:val="clear" w:color="auto" w:fill="auto"/>
            <w:vAlign w:val="center"/>
          </w:tcPr>
          <w:p w14:paraId="1708CD63">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636" w:type="dxa"/>
            <w:tcBorders>
              <w:top w:val="nil"/>
              <w:left w:val="nil"/>
              <w:bottom w:val="single" w:color="000000" w:sz="4" w:space="0"/>
              <w:right w:val="single" w:color="000000" w:sz="4" w:space="0"/>
            </w:tcBorders>
            <w:shd w:val="clear" w:color="auto" w:fill="auto"/>
            <w:vAlign w:val="center"/>
          </w:tcPr>
          <w:p w14:paraId="4BDF47B0">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32" w:type="dxa"/>
            <w:tcBorders>
              <w:top w:val="nil"/>
              <w:left w:val="nil"/>
              <w:bottom w:val="single" w:color="000000" w:sz="4" w:space="0"/>
              <w:right w:val="single" w:color="000000" w:sz="4" w:space="0"/>
            </w:tcBorders>
            <w:shd w:val="clear" w:color="auto" w:fill="auto"/>
            <w:vAlign w:val="center"/>
          </w:tcPr>
          <w:p w14:paraId="347FF105">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0A2BF240">
        <w:tblPrEx>
          <w:tblCellMar>
            <w:top w:w="0" w:type="dxa"/>
            <w:left w:w="108" w:type="dxa"/>
            <w:bottom w:w="0" w:type="dxa"/>
            <w:right w:w="108" w:type="dxa"/>
          </w:tblCellMar>
        </w:tblPrEx>
        <w:trPr>
          <w:trHeight w:val="567"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59DAE37F">
            <w:pPr>
              <w:widowControl/>
              <w:jc w:val="left"/>
              <w:rPr>
                <w:rFonts w:ascii="宋体" w:hAnsi="宋体" w:cs="宋体"/>
                <w:color w:val="000000"/>
                <w:kern w:val="0"/>
                <w:sz w:val="18"/>
                <w:szCs w:val="18"/>
              </w:rPr>
            </w:pPr>
          </w:p>
        </w:tc>
        <w:tc>
          <w:tcPr>
            <w:tcW w:w="1730" w:type="dxa"/>
            <w:vMerge w:val="continue"/>
            <w:tcBorders>
              <w:top w:val="nil"/>
              <w:left w:val="single" w:color="000000" w:sz="4" w:space="0"/>
              <w:bottom w:val="single" w:color="000000" w:sz="4" w:space="0"/>
              <w:right w:val="single" w:color="000000" w:sz="4" w:space="0"/>
            </w:tcBorders>
            <w:vAlign w:val="center"/>
          </w:tcPr>
          <w:p w14:paraId="3408182E">
            <w:pPr>
              <w:widowControl/>
              <w:jc w:val="left"/>
              <w:rPr>
                <w:rFonts w:ascii="宋体" w:hAnsi="宋体" w:cs="宋体"/>
                <w:color w:val="000000"/>
                <w:kern w:val="0"/>
                <w:sz w:val="18"/>
                <w:szCs w:val="18"/>
              </w:rPr>
            </w:pPr>
          </w:p>
        </w:tc>
        <w:tc>
          <w:tcPr>
            <w:tcW w:w="1758" w:type="dxa"/>
            <w:tcBorders>
              <w:top w:val="nil"/>
              <w:left w:val="nil"/>
              <w:bottom w:val="single" w:color="000000" w:sz="4" w:space="0"/>
              <w:right w:val="single" w:color="000000" w:sz="4" w:space="0"/>
            </w:tcBorders>
            <w:shd w:val="clear" w:color="auto" w:fill="auto"/>
            <w:vAlign w:val="center"/>
          </w:tcPr>
          <w:p w14:paraId="3AF8995E">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2779" w:type="dxa"/>
            <w:tcBorders>
              <w:top w:val="nil"/>
              <w:left w:val="nil"/>
              <w:bottom w:val="single" w:color="000000" w:sz="4" w:space="0"/>
              <w:right w:val="single" w:color="000000" w:sz="4" w:space="0"/>
            </w:tcBorders>
            <w:shd w:val="clear" w:color="auto" w:fill="auto"/>
            <w:vAlign w:val="center"/>
          </w:tcPr>
          <w:p w14:paraId="0177840B">
            <w:pPr>
              <w:widowControl/>
              <w:jc w:val="center"/>
              <w:rPr>
                <w:rFonts w:ascii="宋体" w:hAnsi="宋体" w:cs="宋体"/>
                <w:color w:val="000000"/>
                <w:kern w:val="0"/>
                <w:sz w:val="18"/>
                <w:szCs w:val="18"/>
              </w:rPr>
            </w:pPr>
            <w:r>
              <w:rPr>
                <w:rFonts w:hint="eastAsia" w:ascii="宋体" w:hAnsi="宋体" w:cs="宋体"/>
                <w:color w:val="000000"/>
                <w:kern w:val="0"/>
                <w:sz w:val="18"/>
                <w:szCs w:val="18"/>
              </w:rPr>
              <w:t>前期工作花费</w:t>
            </w:r>
          </w:p>
        </w:tc>
        <w:tc>
          <w:tcPr>
            <w:tcW w:w="590" w:type="dxa"/>
            <w:gridSpan w:val="2"/>
            <w:tcBorders>
              <w:top w:val="nil"/>
              <w:left w:val="nil"/>
              <w:bottom w:val="single" w:color="000000" w:sz="4" w:space="0"/>
              <w:right w:val="single" w:color="000000" w:sz="4" w:space="0"/>
            </w:tcBorders>
            <w:shd w:val="clear" w:color="auto" w:fill="auto"/>
            <w:vAlign w:val="center"/>
          </w:tcPr>
          <w:p w14:paraId="1BBBD855">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73" w:type="dxa"/>
            <w:tcBorders>
              <w:top w:val="nil"/>
              <w:left w:val="nil"/>
              <w:bottom w:val="single" w:color="000000" w:sz="4" w:space="0"/>
              <w:right w:val="single" w:color="000000" w:sz="4" w:space="0"/>
            </w:tcBorders>
            <w:shd w:val="clear" w:color="auto" w:fill="auto"/>
            <w:vAlign w:val="center"/>
          </w:tcPr>
          <w:p w14:paraId="0F645CF6">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890" w:type="dxa"/>
            <w:gridSpan w:val="4"/>
            <w:tcBorders>
              <w:top w:val="nil"/>
              <w:left w:val="nil"/>
              <w:bottom w:val="single" w:color="000000" w:sz="4" w:space="0"/>
              <w:right w:val="single" w:color="000000" w:sz="4" w:space="0"/>
            </w:tcBorders>
            <w:shd w:val="clear" w:color="auto" w:fill="auto"/>
            <w:vAlign w:val="center"/>
          </w:tcPr>
          <w:p w14:paraId="6F41B180">
            <w:pPr>
              <w:widowControl/>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1095" w:type="dxa"/>
            <w:tcBorders>
              <w:top w:val="nil"/>
              <w:left w:val="nil"/>
              <w:bottom w:val="single" w:color="000000" w:sz="4" w:space="0"/>
              <w:right w:val="single" w:color="000000" w:sz="4" w:space="0"/>
            </w:tcBorders>
            <w:shd w:val="clear" w:color="auto" w:fill="auto"/>
            <w:vAlign w:val="center"/>
          </w:tcPr>
          <w:p w14:paraId="27FBD264">
            <w:pPr>
              <w:widowControl/>
              <w:jc w:val="center"/>
              <w:rPr>
                <w:rFonts w:ascii="宋体" w:hAnsi="宋体" w:cs="宋体"/>
                <w:color w:val="000000"/>
                <w:kern w:val="0"/>
                <w:sz w:val="18"/>
                <w:szCs w:val="18"/>
              </w:rPr>
            </w:pPr>
            <w:r>
              <w:rPr>
                <w:rFonts w:hint="eastAsia" w:ascii="宋体" w:hAnsi="宋体" w:cs="宋体"/>
                <w:color w:val="000000"/>
                <w:kern w:val="0"/>
                <w:sz w:val="18"/>
                <w:szCs w:val="18"/>
              </w:rPr>
              <w:t>3万元</w:t>
            </w:r>
          </w:p>
        </w:tc>
        <w:tc>
          <w:tcPr>
            <w:tcW w:w="778" w:type="dxa"/>
            <w:tcBorders>
              <w:top w:val="nil"/>
              <w:left w:val="nil"/>
              <w:bottom w:val="single" w:color="000000" w:sz="4" w:space="0"/>
              <w:right w:val="single" w:color="000000" w:sz="4" w:space="0"/>
            </w:tcBorders>
            <w:shd w:val="clear" w:color="auto" w:fill="auto"/>
            <w:vAlign w:val="center"/>
          </w:tcPr>
          <w:p w14:paraId="639EB2BA">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636" w:type="dxa"/>
            <w:tcBorders>
              <w:top w:val="nil"/>
              <w:left w:val="nil"/>
              <w:bottom w:val="single" w:color="000000" w:sz="4" w:space="0"/>
              <w:right w:val="single" w:color="000000" w:sz="4" w:space="0"/>
            </w:tcBorders>
            <w:shd w:val="clear" w:color="auto" w:fill="auto"/>
            <w:vAlign w:val="center"/>
          </w:tcPr>
          <w:p w14:paraId="684A2160">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32" w:type="dxa"/>
            <w:tcBorders>
              <w:top w:val="nil"/>
              <w:left w:val="nil"/>
              <w:bottom w:val="single" w:color="000000" w:sz="4" w:space="0"/>
              <w:right w:val="single" w:color="000000" w:sz="4" w:space="0"/>
            </w:tcBorders>
            <w:shd w:val="clear" w:color="auto" w:fill="auto"/>
            <w:vAlign w:val="center"/>
          </w:tcPr>
          <w:p w14:paraId="4986C64B">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404482F3">
        <w:tblPrEx>
          <w:tblCellMar>
            <w:top w:w="0" w:type="dxa"/>
            <w:left w:w="108" w:type="dxa"/>
            <w:bottom w:w="0" w:type="dxa"/>
            <w:right w:w="108" w:type="dxa"/>
          </w:tblCellMar>
        </w:tblPrEx>
        <w:trPr>
          <w:trHeight w:val="454"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366BBEC5">
            <w:pPr>
              <w:widowControl/>
              <w:jc w:val="left"/>
              <w:rPr>
                <w:rFonts w:ascii="宋体" w:hAnsi="宋体" w:cs="宋体"/>
                <w:color w:val="000000"/>
                <w:kern w:val="0"/>
                <w:sz w:val="18"/>
                <w:szCs w:val="18"/>
              </w:rPr>
            </w:pPr>
          </w:p>
        </w:tc>
        <w:tc>
          <w:tcPr>
            <w:tcW w:w="1730" w:type="dxa"/>
            <w:vMerge w:val="restart"/>
            <w:tcBorders>
              <w:top w:val="nil"/>
              <w:left w:val="single" w:color="000000" w:sz="4" w:space="0"/>
              <w:bottom w:val="single" w:color="000000" w:sz="4" w:space="0"/>
              <w:right w:val="single" w:color="000000" w:sz="4" w:space="0"/>
            </w:tcBorders>
            <w:shd w:val="clear" w:color="auto" w:fill="auto"/>
            <w:vAlign w:val="center"/>
          </w:tcPr>
          <w:p w14:paraId="16834F95">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758" w:type="dxa"/>
            <w:tcBorders>
              <w:top w:val="nil"/>
              <w:left w:val="nil"/>
              <w:bottom w:val="single" w:color="000000" w:sz="4" w:space="0"/>
              <w:right w:val="single" w:color="000000" w:sz="4" w:space="0"/>
            </w:tcBorders>
            <w:shd w:val="clear" w:color="auto" w:fill="auto"/>
            <w:vAlign w:val="center"/>
          </w:tcPr>
          <w:p w14:paraId="26286761">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779" w:type="dxa"/>
            <w:tcBorders>
              <w:top w:val="nil"/>
              <w:left w:val="nil"/>
              <w:bottom w:val="single" w:color="000000" w:sz="4" w:space="0"/>
              <w:right w:val="single" w:color="000000" w:sz="4" w:space="0"/>
            </w:tcBorders>
            <w:shd w:val="clear" w:color="auto" w:fill="auto"/>
            <w:vAlign w:val="center"/>
          </w:tcPr>
          <w:p w14:paraId="33BF0C64">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服务“三农”</w:t>
            </w:r>
          </w:p>
        </w:tc>
        <w:tc>
          <w:tcPr>
            <w:tcW w:w="590" w:type="dxa"/>
            <w:gridSpan w:val="2"/>
            <w:tcBorders>
              <w:top w:val="nil"/>
              <w:left w:val="nil"/>
              <w:bottom w:val="single" w:color="000000" w:sz="4" w:space="0"/>
              <w:right w:val="single" w:color="000000" w:sz="4" w:space="0"/>
            </w:tcBorders>
            <w:shd w:val="clear" w:color="auto" w:fill="auto"/>
            <w:vAlign w:val="center"/>
          </w:tcPr>
          <w:p w14:paraId="7E96C232">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373" w:type="dxa"/>
            <w:tcBorders>
              <w:top w:val="nil"/>
              <w:left w:val="nil"/>
              <w:bottom w:val="single" w:color="000000" w:sz="4" w:space="0"/>
              <w:right w:val="single" w:color="000000" w:sz="4" w:space="0"/>
            </w:tcBorders>
            <w:shd w:val="clear" w:color="auto" w:fill="auto"/>
            <w:vAlign w:val="center"/>
          </w:tcPr>
          <w:p w14:paraId="6ABB1B26">
            <w:pPr>
              <w:widowControl/>
              <w:jc w:val="center"/>
              <w:rPr>
                <w:rFonts w:ascii="宋体" w:hAnsi="宋体" w:cs="宋体"/>
                <w:color w:val="000000"/>
                <w:kern w:val="0"/>
                <w:sz w:val="18"/>
                <w:szCs w:val="18"/>
              </w:rPr>
            </w:pPr>
            <w:r>
              <w:rPr>
                <w:rFonts w:hint="eastAsia" w:ascii="宋体" w:hAnsi="宋体" w:cs="宋体"/>
                <w:color w:val="000000"/>
                <w:kern w:val="0"/>
                <w:sz w:val="18"/>
                <w:szCs w:val="18"/>
              </w:rPr>
              <w:t>高</w:t>
            </w:r>
          </w:p>
        </w:tc>
        <w:tc>
          <w:tcPr>
            <w:tcW w:w="890" w:type="dxa"/>
            <w:gridSpan w:val="4"/>
            <w:tcBorders>
              <w:top w:val="nil"/>
              <w:left w:val="nil"/>
              <w:bottom w:val="single" w:color="000000" w:sz="4" w:space="0"/>
              <w:right w:val="single" w:color="000000" w:sz="4" w:space="0"/>
            </w:tcBorders>
            <w:shd w:val="clear" w:color="auto" w:fill="auto"/>
            <w:vAlign w:val="center"/>
          </w:tcPr>
          <w:p w14:paraId="5D55FAFE">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95" w:type="dxa"/>
            <w:tcBorders>
              <w:top w:val="nil"/>
              <w:left w:val="nil"/>
              <w:bottom w:val="single" w:color="000000" w:sz="4" w:space="0"/>
              <w:right w:val="single" w:color="000000" w:sz="4" w:space="0"/>
            </w:tcBorders>
            <w:shd w:val="clear" w:color="auto" w:fill="auto"/>
            <w:vAlign w:val="center"/>
          </w:tcPr>
          <w:p w14:paraId="2B2D963E">
            <w:pPr>
              <w:widowControl/>
              <w:jc w:val="center"/>
              <w:rPr>
                <w:rFonts w:ascii="宋体" w:hAnsi="宋体" w:cs="宋体"/>
                <w:color w:val="000000"/>
                <w:kern w:val="0"/>
                <w:sz w:val="18"/>
                <w:szCs w:val="18"/>
              </w:rPr>
            </w:pPr>
            <w:r>
              <w:rPr>
                <w:rFonts w:hint="eastAsia" w:ascii="宋体" w:hAnsi="宋体" w:cs="宋体"/>
                <w:color w:val="000000"/>
                <w:kern w:val="0"/>
                <w:sz w:val="18"/>
                <w:szCs w:val="18"/>
              </w:rPr>
              <w:t>高</w:t>
            </w:r>
          </w:p>
        </w:tc>
        <w:tc>
          <w:tcPr>
            <w:tcW w:w="778" w:type="dxa"/>
            <w:tcBorders>
              <w:top w:val="nil"/>
              <w:left w:val="nil"/>
              <w:bottom w:val="single" w:color="000000" w:sz="4" w:space="0"/>
              <w:right w:val="single" w:color="000000" w:sz="4" w:space="0"/>
            </w:tcBorders>
            <w:shd w:val="clear" w:color="auto" w:fill="auto"/>
            <w:vAlign w:val="center"/>
          </w:tcPr>
          <w:p w14:paraId="68B7E247">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636" w:type="dxa"/>
            <w:tcBorders>
              <w:top w:val="nil"/>
              <w:left w:val="nil"/>
              <w:bottom w:val="single" w:color="000000" w:sz="4" w:space="0"/>
              <w:right w:val="single" w:color="000000" w:sz="4" w:space="0"/>
            </w:tcBorders>
            <w:shd w:val="clear" w:color="auto" w:fill="auto"/>
            <w:vAlign w:val="center"/>
          </w:tcPr>
          <w:p w14:paraId="2B89807D">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32" w:type="dxa"/>
            <w:tcBorders>
              <w:top w:val="nil"/>
              <w:left w:val="nil"/>
              <w:bottom w:val="single" w:color="000000" w:sz="4" w:space="0"/>
              <w:right w:val="single" w:color="000000" w:sz="4" w:space="0"/>
            </w:tcBorders>
            <w:shd w:val="clear" w:color="auto" w:fill="auto"/>
            <w:vAlign w:val="center"/>
          </w:tcPr>
          <w:p w14:paraId="475810D2">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3469E075">
        <w:tblPrEx>
          <w:tblCellMar>
            <w:top w:w="0" w:type="dxa"/>
            <w:left w:w="108" w:type="dxa"/>
            <w:bottom w:w="0" w:type="dxa"/>
            <w:right w:w="108" w:type="dxa"/>
          </w:tblCellMar>
        </w:tblPrEx>
        <w:trPr>
          <w:trHeight w:val="486"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7141580B">
            <w:pPr>
              <w:widowControl/>
              <w:jc w:val="left"/>
              <w:rPr>
                <w:rFonts w:ascii="宋体" w:hAnsi="宋体" w:cs="宋体"/>
                <w:color w:val="000000"/>
                <w:kern w:val="0"/>
                <w:sz w:val="18"/>
                <w:szCs w:val="18"/>
              </w:rPr>
            </w:pPr>
          </w:p>
        </w:tc>
        <w:tc>
          <w:tcPr>
            <w:tcW w:w="1730" w:type="dxa"/>
            <w:vMerge w:val="continue"/>
            <w:tcBorders>
              <w:top w:val="nil"/>
              <w:left w:val="single" w:color="000000" w:sz="4" w:space="0"/>
              <w:bottom w:val="single" w:color="000000" w:sz="4" w:space="0"/>
              <w:right w:val="single" w:color="000000" w:sz="4" w:space="0"/>
            </w:tcBorders>
            <w:vAlign w:val="center"/>
          </w:tcPr>
          <w:p w14:paraId="7796282D">
            <w:pPr>
              <w:widowControl/>
              <w:jc w:val="left"/>
              <w:rPr>
                <w:rFonts w:ascii="宋体" w:hAnsi="宋体" w:cs="宋体"/>
                <w:color w:val="000000"/>
                <w:kern w:val="0"/>
                <w:sz w:val="18"/>
                <w:szCs w:val="18"/>
              </w:rPr>
            </w:pPr>
          </w:p>
        </w:tc>
        <w:tc>
          <w:tcPr>
            <w:tcW w:w="1758" w:type="dxa"/>
            <w:tcBorders>
              <w:top w:val="nil"/>
              <w:left w:val="nil"/>
              <w:bottom w:val="single" w:color="000000" w:sz="4" w:space="0"/>
              <w:right w:val="single" w:color="000000" w:sz="4" w:space="0"/>
            </w:tcBorders>
            <w:shd w:val="clear" w:color="auto" w:fill="auto"/>
            <w:vAlign w:val="center"/>
          </w:tcPr>
          <w:p w14:paraId="182B4499">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779" w:type="dxa"/>
            <w:tcBorders>
              <w:top w:val="nil"/>
              <w:left w:val="nil"/>
              <w:bottom w:val="single" w:color="000000" w:sz="4" w:space="0"/>
              <w:right w:val="single" w:color="000000" w:sz="4" w:space="0"/>
            </w:tcBorders>
            <w:shd w:val="clear" w:color="auto" w:fill="auto"/>
            <w:vAlign w:val="center"/>
          </w:tcPr>
          <w:p w14:paraId="775EA21D">
            <w:pPr>
              <w:widowControl/>
              <w:jc w:val="center"/>
              <w:rPr>
                <w:rFonts w:ascii="宋体" w:hAnsi="宋体" w:cs="宋体"/>
                <w:color w:val="000000"/>
                <w:kern w:val="0"/>
                <w:sz w:val="18"/>
                <w:szCs w:val="18"/>
              </w:rPr>
            </w:pPr>
            <w:r>
              <w:rPr>
                <w:rFonts w:hint="eastAsia" w:ascii="宋体" w:hAnsi="宋体" w:cs="宋体"/>
                <w:color w:val="000000"/>
                <w:kern w:val="0"/>
                <w:sz w:val="18"/>
                <w:szCs w:val="18"/>
              </w:rPr>
              <w:t>为农工作</w:t>
            </w:r>
          </w:p>
        </w:tc>
        <w:tc>
          <w:tcPr>
            <w:tcW w:w="590" w:type="dxa"/>
            <w:gridSpan w:val="2"/>
            <w:tcBorders>
              <w:top w:val="nil"/>
              <w:left w:val="nil"/>
              <w:bottom w:val="single" w:color="000000" w:sz="4" w:space="0"/>
              <w:right w:val="single" w:color="000000" w:sz="4" w:space="0"/>
            </w:tcBorders>
            <w:shd w:val="clear" w:color="auto" w:fill="auto"/>
            <w:vAlign w:val="center"/>
          </w:tcPr>
          <w:p w14:paraId="22463B35">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373" w:type="dxa"/>
            <w:tcBorders>
              <w:top w:val="nil"/>
              <w:left w:val="nil"/>
              <w:bottom w:val="single" w:color="000000" w:sz="4" w:space="0"/>
              <w:right w:val="single" w:color="000000" w:sz="4" w:space="0"/>
            </w:tcBorders>
            <w:shd w:val="clear" w:color="auto" w:fill="auto"/>
            <w:vAlign w:val="center"/>
          </w:tcPr>
          <w:p w14:paraId="1BB029F1">
            <w:pPr>
              <w:widowControl/>
              <w:jc w:val="center"/>
              <w:rPr>
                <w:rFonts w:ascii="宋体" w:hAnsi="宋体" w:cs="宋体"/>
                <w:color w:val="000000"/>
                <w:kern w:val="0"/>
                <w:sz w:val="18"/>
                <w:szCs w:val="18"/>
              </w:rPr>
            </w:pPr>
            <w:r>
              <w:rPr>
                <w:rFonts w:hint="eastAsia" w:ascii="宋体" w:hAnsi="宋体" w:cs="宋体"/>
                <w:color w:val="000000"/>
                <w:kern w:val="0"/>
                <w:sz w:val="18"/>
                <w:szCs w:val="18"/>
              </w:rPr>
              <w:t>长期</w:t>
            </w:r>
          </w:p>
        </w:tc>
        <w:tc>
          <w:tcPr>
            <w:tcW w:w="890" w:type="dxa"/>
            <w:gridSpan w:val="4"/>
            <w:tcBorders>
              <w:top w:val="nil"/>
              <w:left w:val="nil"/>
              <w:bottom w:val="single" w:color="000000" w:sz="4" w:space="0"/>
              <w:right w:val="single" w:color="000000" w:sz="4" w:space="0"/>
            </w:tcBorders>
            <w:shd w:val="clear" w:color="auto" w:fill="auto"/>
            <w:vAlign w:val="center"/>
          </w:tcPr>
          <w:p w14:paraId="3F84392B">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95" w:type="dxa"/>
            <w:tcBorders>
              <w:top w:val="nil"/>
              <w:left w:val="nil"/>
              <w:bottom w:val="single" w:color="000000" w:sz="4" w:space="0"/>
              <w:right w:val="single" w:color="000000" w:sz="4" w:space="0"/>
            </w:tcBorders>
            <w:shd w:val="clear" w:color="auto" w:fill="auto"/>
            <w:vAlign w:val="center"/>
          </w:tcPr>
          <w:p w14:paraId="2CC7D0F7">
            <w:pPr>
              <w:widowControl/>
              <w:jc w:val="center"/>
              <w:rPr>
                <w:rFonts w:ascii="宋体" w:hAnsi="宋体" w:cs="宋体"/>
                <w:color w:val="000000"/>
                <w:kern w:val="0"/>
                <w:sz w:val="18"/>
                <w:szCs w:val="18"/>
              </w:rPr>
            </w:pPr>
            <w:r>
              <w:rPr>
                <w:rFonts w:hint="eastAsia" w:ascii="宋体" w:hAnsi="宋体" w:cs="宋体"/>
                <w:color w:val="000000"/>
                <w:kern w:val="0"/>
                <w:sz w:val="18"/>
                <w:szCs w:val="18"/>
              </w:rPr>
              <w:t>长期</w:t>
            </w:r>
          </w:p>
        </w:tc>
        <w:tc>
          <w:tcPr>
            <w:tcW w:w="778" w:type="dxa"/>
            <w:tcBorders>
              <w:top w:val="nil"/>
              <w:left w:val="nil"/>
              <w:bottom w:val="single" w:color="000000" w:sz="4" w:space="0"/>
              <w:right w:val="single" w:color="000000" w:sz="4" w:space="0"/>
            </w:tcBorders>
            <w:shd w:val="clear" w:color="auto" w:fill="auto"/>
            <w:vAlign w:val="center"/>
          </w:tcPr>
          <w:p w14:paraId="20921EC9">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636" w:type="dxa"/>
            <w:tcBorders>
              <w:top w:val="nil"/>
              <w:left w:val="nil"/>
              <w:bottom w:val="single" w:color="000000" w:sz="4" w:space="0"/>
              <w:right w:val="single" w:color="000000" w:sz="4" w:space="0"/>
            </w:tcBorders>
            <w:shd w:val="clear" w:color="auto" w:fill="auto"/>
            <w:vAlign w:val="center"/>
          </w:tcPr>
          <w:p w14:paraId="650B9440">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32" w:type="dxa"/>
            <w:tcBorders>
              <w:top w:val="nil"/>
              <w:left w:val="nil"/>
              <w:bottom w:val="single" w:color="000000" w:sz="4" w:space="0"/>
              <w:right w:val="single" w:color="000000" w:sz="4" w:space="0"/>
            </w:tcBorders>
            <w:shd w:val="clear" w:color="auto" w:fill="auto"/>
            <w:vAlign w:val="center"/>
          </w:tcPr>
          <w:p w14:paraId="2169375A">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1536B033">
        <w:tblPrEx>
          <w:tblCellMar>
            <w:top w:w="0" w:type="dxa"/>
            <w:left w:w="108" w:type="dxa"/>
            <w:bottom w:w="0" w:type="dxa"/>
            <w:right w:w="108" w:type="dxa"/>
          </w:tblCellMar>
        </w:tblPrEx>
        <w:trPr>
          <w:trHeight w:val="338" w:hRule="atLeast"/>
        </w:trPr>
        <w:tc>
          <w:tcPr>
            <w:tcW w:w="999" w:type="dxa"/>
            <w:gridSpan w:val="2"/>
            <w:vMerge w:val="continue"/>
            <w:tcBorders>
              <w:top w:val="nil"/>
              <w:left w:val="single" w:color="000000" w:sz="4" w:space="0"/>
              <w:bottom w:val="single" w:color="000000" w:sz="4" w:space="0"/>
              <w:right w:val="single" w:color="000000" w:sz="4" w:space="0"/>
            </w:tcBorders>
            <w:vAlign w:val="center"/>
          </w:tcPr>
          <w:p w14:paraId="383E261E">
            <w:pPr>
              <w:widowControl/>
              <w:jc w:val="left"/>
              <w:rPr>
                <w:rFonts w:ascii="宋体" w:hAnsi="宋体" w:cs="宋体"/>
                <w:color w:val="000000"/>
                <w:kern w:val="0"/>
                <w:sz w:val="18"/>
                <w:szCs w:val="18"/>
              </w:rPr>
            </w:pPr>
          </w:p>
        </w:tc>
        <w:tc>
          <w:tcPr>
            <w:tcW w:w="1730" w:type="dxa"/>
            <w:tcBorders>
              <w:top w:val="nil"/>
              <w:left w:val="nil"/>
              <w:bottom w:val="single" w:color="000000" w:sz="4" w:space="0"/>
              <w:right w:val="single" w:color="000000" w:sz="4" w:space="0"/>
            </w:tcBorders>
            <w:shd w:val="clear" w:color="auto" w:fill="auto"/>
            <w:vAlign w:val="center"/>
          </w:tcPr>
          <w:p w14:paraId="45BE8E55">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758" w:type="dxa"/>
            <w:tcBorders>
              <w:top w:val="nil"/>
              <w:left w:val="nil"/>
              <w:bottom w:val="single" w:color="000000" w:sz="4" w:space="0"/>
              <w:right w:val="single" w:color="000000" w:sz="4" w:space="0"/>
            </w:tcBorders>
            <w:shd w:val="clear" w:color="auto" w:fill="auto"/>
            <w:vAlign w:val="center"/>
          </w:tcPr>
          <w:p w14:paraId="38042E9A">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2779" w:type="dxa"/>
            <w:tcBorders>
              <w:top w:val="nil"/>
              <w:left w:val="nil"/>
              <w:bottom w:val="single" w:color="000000" w:sz="4" w:space="0"/>
              <w:right w:val="single" w:color="000000" w:sz="4" w:space="0"/>
            </w:tcBorders>
            <w:shd w:val="clear" w:color="auto" w:fill="auto"/>
            <w:vAlign w:val="center"/>
          </w:tcPr>
          <w:p w14:paraId="1EC2E77F">
            <w:pPr>
              <w:widowControl/>
              <w:jc w:val="center"/>
              <w:rPr>
                <w:rFonts w:ascii="宋体" w:hAnsi="宋体" w:cs="宋体"/>
                <w:color w:val="000000"/>
                <w:kern w:val="0"/>
                <w:sz w:val="18"/>
                <w:szCs w:val="18"/>
              </w:rPr>
            </w:pPr>
            <w:r>
              <w:rPr>
                <w:rFonts w:hint="eastAsia" w:ascii="宋体" w:hAnsi="宋体" w:cs="宋体"/>
                <w:color w:val="000000"/>
                <w:kern w:val="0"/>
                <w:sz w:val="18"/>
                <w:szCs w:val="18"/>
              </w:rPr>
              <w:t>农民满意度</w:t>
            </w:r>
          </w:p>
        </w:tc>
        <w:tc>
          <w:tcPr>
            <w:tcW w:w="590" w:type="dxa"/>
            <w:gridSpan w:val="2"/>
            <w:tcBorders>
              <w:top w:val="nil"/>
              <w:left w:val="nil"/>
              <w:bottom w:val="single" w:color="000000" w:sz="4" w:space="0"/>
              <w:right w:val="single" w:color="000000" w:sz="4" w:space="0"/>
            </w:tcBorders>
            <w:shd w:val="clear" w:color="auto" w:fill="auto"/>
            <w:vAlign w:val="center"/>
          </w:tcPr>
          <w:p w14:paraId="50BF84E4">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73" w:type="dxa"/>
            <w:tcBorders>
              <w:top w:val="nil"/>
              <w:left w:val="nil"/>
              <w:bottom w:val="single" w:color="000000" w:sz="4" w:space="0"/>
              <w:right w:val="single" w:color="000000" w:sz="4" w:space="0"/>
            </w:tcBorders>
            <w:shd w:val="clear" w:color="auto" w:fill="auto"/>
            <w:vAlign w:val="center"/>
          </w:tcPr>
          <w:p w14:paraId="5643F1CF">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890" w:type="dxa"/>
            <w:gridSpan w:val="4"/>
            <w:tcBorders>
              <w:top w:val="nil"/>
              <w:left w:val="nil"/>
              <w:bottom w:val="single" w:color="000000" w:sz="4" w:space="0"/>
              <w:right w:val="single" w:color="000000" w:sz="4" w:space="0"/>
            </w:tcBorders>
            <w:shd w:val="clear" w:color="auto" w:fill="auto"/>
            <w:vAlign w:val="center"/>
          </w:tcPr>
          <w:p w14:paraId="25774359">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95" w:type="dxa"/>
            <w:tcBorders>
              <w:top w:val="nil"/>
              <w:left w:val="nil"/>
              <w:bottom w:val="single" w:color="000000" w:sz="4" w:space="0"/>
              <w:right w:val="single" w:color="000000" w:sz="4" w:space="0"/>
            </w:tcBorders>
            <w:shd w:val="clear" w:color="auto" w:fill="auto"/>
            <w:vAlign w:val="center"/>
          </w:tcPr>
          <w:p w14:paraId="3612B91C">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≥90%</w:t>
            </w:r>
          </w:p>
        </w:tc>
        <w:tc>
          <w:tcPr>
            <w:tcW w:w="778" w:type="dxa"/>
            <w:tcBorders>
              <w:top w:val="nil"/>
              <w:left w:val="nil"/>
              <w:bottom w:val="single" w:color="000000" w:sz="4" w:space="0"/>
              <w:right w:val="single" w:color="000000" w:sz="4" w:space="0"/>
            </w:tcBorders>
            <w:shd w:val="clear" w:color="auto" w:fill="auto"/>
            <w:vAlign w:val="center"/>
          </w:tcPr>
          <w:p w14:paraId="78BCCDE6">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36" w:type="dxa"/>
            <w:tcBorders>
              <w:top w:val="nil"/>
              <w:left w:val="nil"/>
              <w:bottom w:val="single" w:color="000000" w:sz="4" w:space="0"/>
              <w:right w:val="single" w:color="000000" w:sz="4" w:space="0"/>
            </w:tcBorders>
            <w:shd w:val="clear" w:color="auto" w:fill="auto"/>
            <w:vAlign w:val="center"/>
          </w:tcPr>
          <w:p w14:paraId="52C63369">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32" w:type="dxa"/>
            <w:tcBorders>
              <w:top w:val="nil"/>
              <w:left w:val="nil"/>
              <w:bottom w:val="single" w:color="000000" w:sz="4" w:space="0"/>
              <w:right w:val="single" w:color="000000" w:sz="4" w:space="0"/>
            </w:tcBorders>
            <w:shd w:val="clear" w:color="auto" w:fill="auto"/>
            <w:vAlign w:val="center"/>
          </w:tcPr>
          <w:p w14:paraId="1B89E044">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14:paraId="38E585AD">
        <w:tblPrEx>
          <w:tblCellMar>
            <w:top w:w="0" w:type="dxa"/>
            <w:left w:w="108" w:type="dxa"/>
            <w:bottom w:w="0" w:type="dxa"/>
            <w:right w:w="108" w:type="dxa"/>
          </w:tblCellMar>
        </w:tblPrEx>
        <w:trPr>
          <w:trHeight w:val="285" w:hRule="atLeast"/>
        </w:trPr>
        <w:tc>
          <w:tcPr>
            <w:tcW w:w="11214"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51FC31C7">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778" w:type="dxa"/>
            <w:tcBorders>
              <w:top w:val="nil"/>
              <w:left w:val="nil"/>
              <w:bottom w:val="single" w:color="000000" w:sz="4" w:space="0"/>
              <w:right w:val="single" w:color="000000" w:sz="4" w:space="0"/>
            </w:tcBorders>
            <w:shd w:val="clear" w:color="auto" w:fill="auto"/>
            <w:vAlign w:val="center"/>
          </w:tcPr>
          <w:p w14:paraId="3DE56FE2">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636" w:type="dxa"/>
            <w:tcBorders>
              <w:top w:val="nil"/>
              <w:left w:val="nil"/>
              <w:bottom w:val="single" w:color="000000" w:sz="4" w:space="0"/>
              <w:right w:val="single" w:color="000000" w:sz="4" w:space="0"/>
            </w:tcBorders>
            <w:shd w:val="clear" w:color="auto" w:fill="auto"/>
            <w:vAlign w:val="center"/>
          </w:tcPr>
          <w:p w14:paraId="3323658A">
            <w:pPr>
              <w:widowControl/>
              <w:jc w:val="center"/>
              <w:rPr>
                <w:rFonts w:ascii="宋体" w:hAnsi="宋体" w:cs="宋体"/>
                <w:color w:val="000000"/>
                <w:kern w:val="0"/>
                <w:sz w:val="18"/>
                <w:szCs w:val="18"/>
              </w:rPr>
            </w:pPr>
            <w:r>
              <w:rPr>
                <w:rFonts w:hint="eastAsia" w:ascii="宋体" w:hAnsi="宋体" w:cs="宋体"/>
                <w:color w:val="000000"/>
                <w:kern w:val="0"/>
                <w:sz w:val="18"/>
                <w:szCs w:val="18"/>
              </w:rPr>
              <w:t>9</w:t>
            </w:r>
            <w:r>
              <w:rPr>
                <w:rFonts w:hint="eastAsia" w:ascii="宋体" w:hAnsi="宋体" w:cs="宋体"/>
                <w:color w:val="000000"/>
                <w:kern w:val="0"/>
                <w:sz w:val="18"/>
                <w:szCs w:val="18"/>
                <w:lang w:val="en-US" w:eastAsia="zh-CN"/>
              </w:rPr>
              <w:t>8</w:t>
            </w:r>
          </w:p>
        </w:tc>
        <w:tc>
          <w:tcPr>
            <w:tcW w:w="2532" w:type="dxa"/>
            <w:tcBorders>
              <w:top w:val="nil"/>
              <w:left w:val="nil"/>
              <w:bottom w:val="single" w:color="000000" w:sz="4" w:space="0"/>
              <w:right w:val="single" w:color="000000" w:sz="4" w:space="0"/>
            </w:tcBorders>
            <w:shd w:val="clear" w:color="auto" w:fill="auto"/>
            <w:vAlign w:val="center"/>
          </w:tcPr>
          <w:p w14:paraId="38157891">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14:paraId="420E8FFE">
        <w:tblPrEx>
          <w:tblCellMar>
            <w:top w:w="0" w:type="dxa"/>
            <w:left w:w="108" w:type="dxa"/>
            <w:bottom w:w="0" w:type="dxa"/>
            <w:right w:w="108" w:type="dxa"/>
          </w:tblCellMar>
        </w:tblPrEx>
        <w:trPr>
          <w:trHeight w:val="476" w:hRule="atLeast"/>
        </w:trPr>
        <w:tc>
          <w:tcPr>
            <w:tcW w:w="999" w:type="dxa"/>
            <w:gridSpan w:val="2"/>
            <w:tcBorders>
              <w:top w:val="nil"/>
              <w:left w:val="single" w:color="000000" w:sz="4" w:space="0"/>
              <w:bottom w:val="single" w:color="000000" w:sz="4" w:space="0"/>
              <w:right w:val="single" w:color="000000" w:sz="4" w:space="0"/>
            </w:tcBorders>
            <w:shd w:val="clear" w:color="auto" w:fill="auto"/>
            <w:vAlign w:val="center"/>
          </w:tcPr>
          <w:p w14:paraId="35682DFC">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4161" w:type="dxa"/>
            <w:gridSpan w:val="14"/>
            <w:tcBorders>
              <w:top w:val="single" w:color="000000" w:sz="4" w:space="0"/>
              <w:left w:val="nil"/>
              <w:bottom w:val="single" w:color="000000" w:sz="4" w:space="0"/>
              <w:right w:val="single" w:color="000000" w:sz="4" w:space="0"/>
            </w:tcBorders>
            <w:shd w:val="clear" w:color="auto" w:fill="auto"/>
            <w:vAlign w:val="center"/>
          </w:tcPr>
          <w:p w14:paraId="2AA6FD50">
            <w:pPr>
              <w:widowControl/>
              <w:jc w:val="left"/>
              <w:rPr>
                <w:rFonts w:cs="宋体" w:asciiTheme="minorEastAsia" w:hAnsiTheme="minorEastAsia" w:eastAsiaTheme="minorEastAsia"/>
                <w:i/>
                <w:iCs/>
                <w:color w:val="000000"/>
                <w:kern w:val="0"/>
                <w:sz w:val="16"/>
                <w:szCs w:val="16"/>
              </w:rPr>
            </w:pPr>
            <w:r>
              <w:rPr>
                <w:rFonts w:hint="eastAsia" w:cs="宋体" w:asciiTheme="minorEastAsia" w:hAnsiTheme="minorEastAsia" w:eastAsiaTheme="minorEastAsia"/>
                <w:color w:val="000000"/>
                <w:kern w:val="0"/>
                <w:sz w:val="18"/>
                <w:szCs w:val="18"/>
              </w:rPr>
              <w:t>自评得分9</w:t>
            </w:r>
            <w:r>
              <w:rPr>
                <w:rFonts w:hint="eastAsia" w:cs="宋体" w:asciiTheme="minorEastAsia" w:hAnsiTheme="minorEastAsia" w:eastAsiaTheme="minorEastAsia"/>
                <w:color w:val="000000"/>
                <w:kern w:val="0"/>
                <w:sz w:val="18"/>
                <w:szCs w:val="18"/>
                <w:lang w:val="en-US" w:eastAsia="zh-CN"/>
              </w:rPr>
              <w:t>8</w:t>
            </w:r>
            <w:r>
              <w:rPr>
                <w:rFonts w:hint="eastAsia" w:cs="宋体" w:asciiTheme="minorEastAsia" w:hAnsiTheme="minorEastAsia" w:eastAsiaTheme="minorEastAsia"/>
                <w:color w:val="000000"/>
                <w:kern w:val="0"/>
                <w:sz w:val="18"/>
                <w:szCs w:val="18"/>
              </w:rPr>
              <w:t>分，该项目能全面推进基层供销社示范社创建工作，不断提高为农服务质量和效能，服务“三农”助力乡村振兴，助力集体经济发展。</w:t>
            </w:r>
          </w:p>
        </w:tc>
      </w:tr>
      <w:tr w14:paraId="2A78BADA">
        <w:tblPrEx>
          <w:tblCellMar>
            <w:top w:w="0" w:type="dxa"/>
            <w:left w:w="108" w:type="dxa"/>
            <w:bottom w:w="0" w:type="dxa"/>
            <w:right w:w="108" w:type="dxa"/>
          </w:tblCellMar>
        </w:tblPrEx>
        <w:trPr>
          <w:trHeight w:val="398" w:hRule="atLeast"/>
        </w:trPr>
        <w:tc>
          <w:tcPr>
            <w:tcW w:w="999" w:type="dxa"/>
            <w:gridSpan w:val="2"/>
            <w:tcBorders>
              <w:top w:val="nil"/>
              <w:left w:val="single" w:color="000000" w:sz="4" w:space="0"/>
              <w:bottom w:val="single" w:color="000000" w:sz="4" w:space="0"/>
              <w:right w:val="single" w:color="000000" w:sz="4" w:space="0"/>
            </w:tcBorders>
            <w:shd w:val="clear" w:color="auto" w:fill="auto"/>
            <w:vAlign w:val="center"/>
          </w:tcPr>
          <w:p w14:paraId="000A1C7B">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4161" w:type="dxa"/>
            <w:gridSpan w:val="14"/>
            <w:tcBorders>
              <w:top w:val="single" w:color="000000" w:sz="4" w:space="0"/>
              <w:left w:val="nil"/>
              <w:bottom w:val="single" w:color="000000" w:sz="4" w:space="0"/>
              <w:right w:val="single" w:color="000000" w:sz="4" w:space="0"/>
            </w:tcBorders>
            <w:shd w:val="clear" w:color="auto" w:fill="auto"/>
            <w:vAlign w:val="center"/>
          </w:tcPr>
          <w:p w14:paraId="4447D239">
            <w:pPr>
              <w:widowControl/>
              <w:jc w:val="left"/>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预算执行不够严格</w:t>
            </w:r>
          </w:p>
        </w:tc>
      </w:tr>
      <w:tr w14:paraId="45D54F3E">
        <w:tblPrEx>
          <w:tblCellMar>
            <w:top w:w="0" w:type="dxa"/>
            <w:left w:w="108" w:type="dxa"/>
            <w:bottom w:w="0" w:type="dxa"/>
            <w:right w:w="108" w:type="dxa"/>
          </w:tblCellMar>
        </w:tblPrEx>
        <w:trPr>
          <w:trHeight w:val="417" w:hRule="atLeast"/>
        </w:trPr>
        <w:tc>
          <w:tcPr>
            <w:tcW w:w="999" w:type="dxa"/>
            <w:gridSpan w:val="2"/>
            <w:tcBorders>
              <w:top w:val="nil"/>
              <w:left w:val="single" w:color="000000" w:sz="4" w:space="0"/>
              <w:bottom w:val="single" w:color="000000" w:sz="4" w:space="0"/>
              <w:right w:val="single" w:color="000000" w:sz="4" w:space="0"/>
            </w:tcBorders>
            <w:shd w:val="clear" w:color="auto" w:fill="auto"/>
            <w:vAlign w:val="center"/>
          </w:tcPr>
          <w:p w14:paraId="212DFA13">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4161" w:type="dxa"/>
            <w:gridSpan w:val="14"/>
            <w:tcBorders>
              <w:top w:val="single" w:color="000000" w:sz="4" w:space="0"/>
              <w:left w:val="nil"/>
              <w:bottom w:val="single" w:color="000000" w:sz="4" w:space="0"/>
              <w:right w:val="single" w:color="000000" w:sz="4" w:space="0"/>
            </w:tcBorders>
            <w:shd w:val="clear" w:color="auto" w:fill="auto"/>
            <w:vAlign w:val="bottom"/>
          </w:tcPr>
          <w:p w14:paraId="54B1D2E8">
            <w:pPr>
              <w:widowControl/>
              <w:jc w:val="left"/>
              <w:rPr>
                <w:rFonts w:ascii="宋体" w:hAnsi="宋体" w:cs="宋体"/>
                <w:color w:val="000000"/>
                <w:kern w:val="0"/>
                <w:sz w:val="18"/>
                <w:szCs w:val="18"/>
              </w:rPr>
            </w:pPr>
            <w:r>
              <w:rPr>
                <w:rFonts w:hint="eastAsia" w:ascii="宋体" w:hAnsi="宋体" w:cs="宋体"/>
                <w:color w:val="000000"/>
                <w:kern w:val="0"/>
                <w:sz w:val="18"/>
                <w:szCs w:val="18"/>
              </w:rPr>
              <w:t>严格执行预算，厉行节约，严格控制经费开支。</w:t>
            </w:r>
          </w:p>
          <w:p w14:paraId="5A76BB58">
            <w:pPr>
              <w:pStyle w:val="2"/>
              <w:jc w:val="left"/>
            </w:pPr>
          </w:p>
        </w:tc>
      </w:tr>
      <w:tr w14:paraId="1EF08483">
        <w:tblPrEx>
          <w:tblCellMar>
            <w:top w:w="0" w:type="dxa"/>
            <w:left w:w="108" w:type="dxa"/>
            <w:bottom w:w="0" w:type="dxa"/>
            <w:right w:w="108" w:type="dxa"/>
          </w:tblCellMar>
        </w:tblPrEx>
        <w:trPr>
          <w:trHeight w:val="548" w:hRule="atLeast"/>
        </w:trPr>
        <w:tc>
          <w:tcPr>
            <w:tcW w:w="77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E36DC96">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项目负责人：朱晓兵</w:t>
            </w:r>
          </w:p>
        </w:tc>
        <w:tc>
          <w:tcPr>
            <w:tcW w:w="7376" w:type="dxa"/>
            <w:gridSpan w:val="10"/>
            <w:tcBorders>
              <w:top w:val="single" w:color="000000" w:sz="4" w:space="0"/>
              <w:left w:val="nil"/>
              <w:bottom w:val="single" w:color="000000" w:sz="4" w:space="0"/>
              <w:right w:val="single" w:color="000000" w:sz="4" w:space="0"/>
            </w:tcBorders>
            <w:shd w:val="clear" w:color="auto" w:fill="auto"/>
            <w:vAlign w:val="center"/>
          </w:tcPr>
          <w:p w14:paraId="42696159">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财务负责人：李鑫</w:t>
            </w:r>
          </w:p>
        </w:tc>
      </w:tr>
      <w:tr w14:paraId="618EB5E2">
        <w:tblPrEx>
          <w:tblCellMar>
            <w:top w:w="0" w:type="dxa"/>
            <w:left w:w="108" w:type="dxa"/>
            <w:bottom w:w="0" w:type="dxa"/>
            <w:right w:w="108" w:type="dxa"/>
          </w:tblCellMar>
        </w:tblPrEx>
        <w:trPr>
          <w:trHeight w:val="641" w:hRule="atLeast"/>
        </w:trPr>
        <w:tc>
          <w:tcPr>
            <w:tcW w:w="15160"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5CFC51DA">
            <w:pPr>
              <w:widowControl/>
              <w:jc w:val="center"/>
              <w:rPr>
                <w:rFonts w:ascii="黑体" w:hAnsi="黑体" w:eastAsia="黑体" w:cs="宋体"/>
                <w:b/>
                <w:bCs/>
                <w:color w:val="000000"/>
                <w:kern w:val="0"/>
                <w:sz w:val="30"/>
                <w:szCs w:val="30"/>
              </w:rPr>
            </w:pPr>
          </w:p>
          <w:p w14:paraId="1FB276E3">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14:paraId="00C350F0">
        <w:tblPrEx>
          <w:tblCellMar>
            <w:top w:w="0" w:type="dxa"/>
            <w:left w:w="108" w:type="dxa"/>
            <w:bottom w:w="0" w:type="dxa"/>
            <w:right w:w="108" w:type="dxa"/>
          </w:tblCellMar>
        </w:tblPrEx>
        <w:trPr>
          <w:trHeight w:val="285" w:hRule="atLeast"/>
        </w:trPr>
        <w:tc>
          <w:tcPr>
            <w:tcW w:w="27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66E463">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2431" w:type="dxa"/>
            <w:gridSpan w:val="13"/>
            <w:tcBorders>
              <w:top w:val="single" w:color="000000" w:sz="4" w:space="0"/>
              <w:left w:val="nil"/>
              <w:bottom w:val="single" w:color="000000" w:sz="4" w:space="0"/>
              <w:right w:val="single" w:color="000000" w:sz="4" w:space="0"/>
            </w:tcBorders>
            <w:shd w:val="clear" w:color="auto" w:fill="auto"/>
            <w:vAlign w:val="center"/>
          </w:tcPr>
          <w:p w14:paraId="065117AD">
            <w:pPr>
              <w:widowControl/>
              <w:jc w:val="left"/>
              <w:rPr>
                <w:rFonts w:ascii="宋体" w:hAnsi="宋体" w:cs="宋体"/>
                <w:color w:val="000000"/>
                <w:kern w:val="0"/>
                <w:sz w:val="18"/>
                <w:szCs w:val="18"/>
              </w:rPr>
            </w:pPr>
            <w:r>
              <w:rPr>
                <w:rFonts w:hint="eastAsia" w:ascii="宋体" w:hAnsi="宋体" w:cs="宋体"/>
                <w:color w:val="000000"/>
                <w:kern w:val="0"/>
                <w:sz w:val="18"/>
                <w:szCs w:val="18"/>
              </w:rPr>
              <w:t>基层社高质量发展示范县项目可行性分析报告编制费用</w:t>
            </w:r>
          </w:p>
        </w:tc>
      </w:tr>
      <w:tr w14:paraId="3E3ED857">
        <w:tblPrEx>
          <w:tblCellMar>
            <w:top w:w="0" w:type="dxa"/>
            <w:left w:w="108" w:type="dxa"/>
            <w:bottom w:w="0" w:type="dxa"/>
            <w:right w:w="108" w:type="dxa"/>
          </w:tblCellMar>
        </w:tblPrEx>
        <w:trPr>
          <w:trHeight w:val="514" w:hRule="atLeast"/>
        </w:trPr>
        <w:tc>
          <w:tcPr>
            <w:tcW w:w="27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F3805E">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784" w:type="dxa"/>
            <w:gridSpan w:val="7"/>
            <w:tcBorders>
              <w:top w:val="single" w:color="000000" w:sz="4" w:space="0"/>
              <w:left w:val="nil"/>
              <w:bottom w:val="single" w:color="000000" w:sz="4" w:space="0"/>
              <w:right w:val="single" w:color="000000" w:sz="4" w:space="0"/>
            </w:tcBorders>
            <w:shd w:val="clear" w:color="auto" w:fill="auto"/>
            <w:vAlign w:val="center"/>
          </w:tcPr>
          <w:p w14:paraId="44474A0A">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盐边县供销合作社联合社（部门）</w:t>
            </w:r>
          </w:p>
        </w:tc>
        <w:tc>
          <w:tcPr>
            <w:tcW w:w="1701" w:type="dxa"/>
            <w:gridSpan w:val="3"/>
            <w:tcBorders>
              <w:top w:val="nil"/>
              <w:left w:val="nil"/>
              <w:bottom w:val="nil"/>
              <w:right w:val="nil"/>
            </w:tcBorders>
            <w:shd w:val="clear" w:color="auto" w:fill="auto"/>
            <w:vAlign w:val="center"/>
          </w:tcPr>
          <w:p w14:paraId="75DEAC1C">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9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2E96E6">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盐边县供销合作社联合社</w:t>
            </w:r>
          </w:p>
        </w:tc>
      </w:tr>
      <w:tr w14:paraId="3451F8EE">
        <w:tblPrEx>
          <w:tblCellMar>
            <w:top w:w="0" w:type="dxa"/>
            <w:left w:w="108" w:type="dxa"/>
            <w:bottom w:w="0" w:type="dxa"/>
            <w:right w:w="108" w:type="dxa"/>
          </w:tblCellMar>
        </w:tblPrEx>
        <w:trPr>
          <w:trHeight w:val="285" w:hRule="atLeast"/>
        </w:trPr>
        <w:tc>
          <w:tcPr>
            <w:tcW w:w="697" w:type="dxa"/>
            <w:vMerge w:val="restart"/>
            <w:tcBorders>
              <w:top w:val="nil"/>
              <w:left w:val="single" w:color="000000" w:sz="4" w:space="0"/>
              <w:bottom w:val="single" w:color="000000" w:sz="4" w:space="0"/>
              <w:right w:val="single" w:color="000000" w:sz="4" w:space="0"/>
            </w:tcBorders>
            <w:shd w:val="clear" w:color="auto" w:fill="auto"/>
            <w:vAlign w:val="center"/>
          </w:tcPr>
          <w:p w14:paraId="0FBAFE91">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2032"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527C471E">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784" w:type="dxa"/>
            <w:gridSpan w:val="7"/>
            <w:tcBorders>
              <w:top w:val="single" w:color="000000" w:sz="4" w:space="0"/>
              <w:left w:val="nil"/>
              <w:bottom w:val="single" w:color="000000" w:sz="4" w:space="0"/>
              <w:right w:val="single" w:color="000000" w:sz="4" w:space="0"/>
            </w:tcBorders>
            <w:shd w:val="clear" w:color="auto" w:fill="auto"/>
            <w:vAlign w:val="center"/>
          </w:tcPr>
          <w:p w14:paraId="4C049465">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5647" w:type="dxa"/>
            <w:gridSpan w:val="6"/>
            <w:tcBorders>
              <w:top w:val="single" w:color="000000" w:sz="4" w:space="0"/>
              <w:left w:val="nil"/>
              <w:bottom w:val="single" w:color="000000" w:sz="4" w:space="0"/>
              <w:right w:val="single" w:color="000000" w:sz="4" w:space="0"/>
            </w:tcBorders>
            <w:shd w:val="clear" w:color="auto" w:fill="auto"/>
            <w:vAlign w:val="center"/>
          </w:tcPr>
          <w:p w14:paraId="2283462B">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14:paraId="5DB25F8F">
        <w:tblPrEx>
          <w:tblCellMar>
            <w:top w:w="0" w:type="dxa"/>
            <w:left w:w="108" w:type="dxa"/>
            <w:bottom w:w="0" w:type="dxa"/>
            <w:right w:w="108" w:type="dxa"/>
          </w:tblCellMar>
        </w:tblPrEx>
        <w:trPr>
          <w:trHeight w:val="793" w:hRule="atLeast"/>
        </w:trPr>
        <w:tc>
          <w:tcPr>
            <w:tcW w:w="697" w:type="dxa"/>
            <w:vMerge w:val="continue"/>
            <w:tcBorders>
              <w:top w:val="nil"/>
              <w:left w:val="single" w:color="000000" w:sz="4" w:space="0"/>
              <w:bottom w:val="single" w:color="000000" w:sz="4" w:space="0"/>
              <w:right w:val="single" w:color="000000" w:sz="4" w:space="0"/>
            </w:tcBorders>
            <w:vAlign w:val="center"/>
          </w:tcPr>
          <w:p w14:paraId="6876C027">
            <w:pPr>
              <w:widowControl/>
              <w:jc w:val="left"/>
              <w:rPr>
                <w:rFonts w:ascii="宋体" w:hAnsi="宋体" w:cs="宋体"/>
                <w:color w:val="000000"/>
                <w:kern w:val="0"/>
                <w:sz w:val="18"/>
                <w:szCs w:val="18"/>
              </w:rPr>
            </w:pPr>
          </w:p>
        </w:tc>
        <w:tc>
          <w:tcPr>
            <w:tcW w:w="2032" w:type="dxa"/>
            <w:gridSpan w:val="2"/>
            <w:vMerge w:val="continue"/>
            <w:tcBorders>
              <w:top w:val="nil"/>
              <w:left w:val="single" w:color="000000" w:sz="4" w:space="0"/>
              <w:bottom w:val="single" w:color="000000" w:sz="4" w:space="0"/>
              <w:right w:val="single" w:color="000000" w:sz="4" w:space="0"/>
            </w:tcBorders>
            <w:vAlign w:val="center"/>
          </w:tcPr>
          <w:p w14:paraId="5B8516D6">
            <w:pPr>
              <w:widowControl/>
              <w:jc w:val="left"/>
              <w:rPr>
                <w:rFonts w:ascii="宋体" w:hAnsi="宋体" w:cs="宋体"/>
                <w:color w:val="000000"/>
                <w:kern w:val="0"/>
                <w:sz w:val="18"/>
                <w:szCs w:val="18"/>
              </w:rPr>
            </w:pPr>
          </w:p>
        </w:tc>
        <w:tc>
          <w:tcPr>
            <w:tcW w:w="6784" w:type="dxa"/>
            <w:gridSpan w:val="7"/>
            <w:tcBorders>
              <w:top w:val="single" w:color="000000" w:sz="4" w:space="0"/>
              <w:left w:val="nil"/>
              <w:bottom w:val="single" w:color="000000" w:sz="4" w:space="0"/>
              <w:right w:val="single" w:color="000000" w:sz="4" w:space="0"/>
            </w:tcBorders>
            <w:shd w:val="clear" w:color="auto" w:fill="auto"/>
            <w:vAlign w:val="center"/>
          </w:tcPr>
          <w:p w14:paraId="74952C17">
            <w:pPr>
              <w:widowControl/>
              <w:jc w:val="left"/>
              <w:rPr>
                <w:rFonts w:ascii="宋体" w:hAnsi="宋体" w:cs="宋体"/>
                <w:color w:val="000000"/>
                <w:kern w:val="0"/>
                <w:sz w:val="18"/>
                <w:szCs w:val="18"/>
              </w:rPr>
            </w:pPr>
            <w:r>
              <w:rPr>
                <w:rFonts w:hint="eastAsia" w:ascii="宋体" w:hAnsi="宋体" w:cs="宋体"/>
                <w:color w:val="000000"/>
                <w:kern w:val="0"/>
                <w:sz w:val="18"/>
                <w:szCs w:val="18"/>
              </w:rPr>
              <w:t>单位申报2023年度省级综合改革及发展资金，预申请到综合改革资金150万元，按照省社要求，需要编制一份项目可行性分析报告。</w:t>
            </w:r>
          </w:p>
        </w:tc>
        <w:tc>
          <w:tcPr>
            <w:tcW w:w="5647" w:type="dxa"/>
            <w:gridSpan w:val="6"/>
            <w:tcBorders>
              <w:top w:val="single" w:color="000000" w:sz="4" w:space="0"/>
              <w:left w:val="nil"/>
              <w:bottom w:val="single" w:color="000000" w:sz="4" w:space="0"/>
              <w:right w:val="single" w:color="000000" w:sz="4" w:space="0"/>
            </w:tcBorders>
            <w:shd w:val="clear" w:color="auto" w:fill="auto"/>
            <w:vAlign w:val="center"/>
          </w:tcPr>
          <w:p w14:paraId="77AB8B34">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解决了基层社高质量发展示范县项目可行性分析报告编制费用，高质量完成了项目可行性分析报告的编制。</w:t>
            </w:r>
          </w:p>
        </w:tc>
      </w:tr>
      <w:tr w14:paraId="5B25BDA9">
        <w:tblPrEx>
          <w:tblCellMar>
            <w:top w:w="0" w:type="dxa"/>
            <w:left w:w="108" w:type="dxa"/>
            <w:bottom w:w="0" w:type="dxa"/>
            <w:right w:w="108" w:type="dxa"/>
          </w:tblCellMar>
        </w:tblPrEx>
        <w:trPr>
          <w:trHeight w:val="1342" w:hRule="atLeast"/>
        </w:trPr>
        <w:tc>
          <w:tcPr>
            <w:tcW w:w="697" w:type="dxa"/>
            <w:vMerge w:val="continue"/>
            <w:tcBorders>
              <w:top w:val="nil"/>
              <w:left w:val="single" w:color="000000" w:sz="4" w:space="0"/>
              <w:bottom w:val="single" w:color="000000" w:sz="4" w:space="0"/>
              <w:right w:val="single" w:color="000000" w:sz="4" w:space="0"/>
            </w:tcBorders>
            <w:vAlign w:val="center"/>
          </w:tcPr>
          <w:p w14:paraId="4E284053">
            <w:pPr>
              <w:widowControl/>
              <w:jc w:val="left"/>
              <w:rPr>
                <w:rFonts w:ascii="宋体" w:hAnsi="宋体" w:cs="宋体"/>
                <w:color w:val="000000"/>
                <w:kern w:val="0"/>
                <w:sz w:val="18"/>
                <w:szCs w:val="18"/>
              </w:rPr>
            </w:pPr>
          </w:p>
        </w:tc>
        <w:tc>
          <w:tcPr>
            <w:tcW w:w="2032" w:type="dxa"/>
            <w:gridSpan w:val="2"/>
            <w:tcBorders>
              <w:top w:val="nil"/>
              <w:left w:val="nil"/>
              <w:bottom w:val="single" w:color="000000" w:sz="4" w:space="0"/>
              <w:right w:val="single" w:color="000000" w:sz="4" w:space="0"/>
            </w:tcBorders>
            <w:shd w:val="clear" w:color="auto" w:fill="auto"/>
            <w:vAlign w:val="center"/>
          </w:tcPr>
          <w:p w14:paraId="6F7F0DC0">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2431" w:type="dxa"/>
            <w:gridSpan w:val="13"/>
            <w:tcBorders>
              <w:top w:val="single" w:color="000000" w:sz="4" w:space="0"/>
              <w:left w:val="nil"/>
              <w:bottom w:val="single" w:color="000000" w:sz="4" w:space="0"/>
              <w:right w:val="single" w:color="000000" w:sz="4" w:space="0"/>
            </w:tcBorders>
            <w:shd w:val="clear" w:color="auto" w:fill="auto"/>
            <w:vAlign w:val="center"/>
          </w:tcPr>
          <w:p w14:paraId="493A29F0">
            <w:pPr>
              <w:widowControl/>
              <w:jc w:val="left"/>
              <w:rPr>
                <w:rFonts w:ascii="宋体" w:hAnsi="宋体" w:cs="宋体"/>
                <w:color w:val="000000"/>
                <w:kern w:val="0"/>
                <w:sz w:val="18"/>
                <w:szCs w:val="18"/>
              </w:rPr>
            </w:pPr>
            <w:r>
              <w:rPr>
                <w:rFonts w:hint="eastAsia" w:ascii="宋体" w:hAnsi="宋体" w:cs="宋体"/>
                <w:color w:val="000000"/>
                <w:kern w:val="0"/>
                <w:sz w:val="18"/>
                <w:szCs w:val="18"/>
              </w:rPr>
              <w:t>此项目资金用于可行性分析报告的编制费用，资金使用严格遵守财务管理制度，会计核算规范。我单位比选了几家公司，中都工程设计有限公司在价钱上合理，性价比高,因而我单位通过办公室主任会议决定与这家公司签订咨询服务合同。对方公司对我单位提供的一切资料予以保密，并在规定的时间内按国家技术规范、标准、规程及我单位提出的要求提交质量合格的可行性研究报告、电子文档、光盘</w:t>
            </w:r>
            <w:r>
              <w:rPr>
                <w:rFonts w:hint="eastAsia" w:ascii="宋体" w:hAnsi="宋体" w:cs="宋体"/>
                <w:color w:val="000000"/>
                <w:kern w:val="0"/>
                <w:sz w:val="18"/>
                <w:szCs w:val="18"/>
                <w:lang w:eastAsia="zh-CN"/>
              </w:rPr>
              <w:t>。</w:t>
            </w:r>
          </w:p>
        </w:tc>
      </w:tr>
      <w:tr w14:paraId="6EDEB0CD">
        <w:tblPrEx>
          <w:tblCellMar>
            <w:top w:w="0" w:type="dxa"/>
            <w:left w:w="108" w:type="dxa"/>
            <w:bottom w:w="0" w:type="dxa"/>
            <w:right w:w="108" w:type="dxa"/>
          </w:tblCellMar>
        </w:tblPrEx>
        <w:trPr>
          <w:trHeight w:val="600" w:hRule="atLeast"/>
        </w:trPr>
        <w:tc>
          <w:tcPr>
            <w:tcW w:w="697" w:type="dxa"/>
            <w:vMerge w:val="restart"/>
            <w:tcBorders>
              <w:top w:val="nil"/>
              <w:left w:val="single" w:color="000000" w:sz="4" w:space="0"/>
              <w:bottom w:val="single" w:color="000000" w:sz="4" w:space="0"/>
              <w:right w:val="single" w:color="000000" w:sz="4" w:space="0"/>
            </w:tcBorders>
            <w:shd w:val="clear" w:color="auto" w:fill="auto"/>
            <w:vAlign w:val="center"/>
          </w:tcPr>
          <w:p w14:paraId="77E27D86">
            <w:pPr>
              <w:widowControl/>
              <w:jc w:val="center"/>
              <w:rPr>
                <w:rFonts w:ascii="宋体" w:hAnsi="宋体" w:cs="宋体"/>
                <w:color w:val="000000"/>
                <w:kern w:val="0"/>
                <w:sz w:val="18"/>
                <w:szCs w:val="18"/>
              </w:rPr>
            </w:pPr>
            <w:r>
              <w:rPr>
                <w:rFonts w:hint="eastAsia" w:ascii="宋体" w:hAnsi="宋体" w:cs="宋体"/>
                <w:color w:val="000000"/>
                <w:kern w:val="0"/>
                <w:sz w:val="18"/>
                <w:szCs w:val="18"/>
              </w:rPr>
              <w:t>算执行情况（10分）</w:t>
            </w:r>
          </w:p>
        </w:tc>
        <w:tc>
          <w:tcPr>
            <w:tcW w:w="2032" w:type="dxa"/>
            <w:gridSpan w:val="2"/>
            <w:tcBorders>
              <w:top w:val="nil"/>
              <w:left w:val="nil"/>
              <w:bottom w:val="single" w:color="000000" w:sz="4" w:space="0"/>
              <w:right w:val="single" w:color="000000" w:sz="4" w:space="0"/>
            </w:tcBorders>
            <w:shd w:val="clear" w:color="auto" w:fill="auto"/>
            <w:vAlign w:val="center"/>
          </w:tcPr>
          <w:p w14:paraId="1D20928A">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758" w:type="dxa"/>
            <w:tcBorders>
              <w:top w:val="nil"/>
              <w:left w:val="nil"/>
              <w:bottom w:val="single" w:color="000000" w:sz="4" w:space="0"/>
              <w:right w:val="single" w:color="000000" w:sz="4" w:space="0"/>
            </w:tcBorders>
            <w:shd w:val="clear" w:color="auto" w:fill="auto"/>
            <w:vAlign w:val="center"/>
          </w:tcPr>
          <w:p w14:paraId="5D36193E">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779" w:type="dxa"/>
            <w:tcBorders>
              <w:top w:val="nil"/>
              <w:left w:val="nil"/>
              <w:bottom w:val="single" w:color="000000" w:sz="4" w:space="0"/>
              <w:right w:val="single" w:color="000000" w:sz="4" w:space="0"/>
            </w:tcBorders>
            <w:shd w:val="clear" w:color="auto" w:fill="auto"/>
            <w:vAlign w:val="center"/>
          </w:tcPr>
          <w:p w14:paraId="17854EC6">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178" w:type="dxa"/>
            <w:gridSpan w:val="4"/>
            <w:tcBorders>
              <w:top w:val="single" w:color="000000" w:sz="4" w:space="0"/>
              <w:left w:val="nil"/>
              <w:bottom w:val="single" w:color="000000" w:sz="4" w:space="0"/>
              <w:right w:val="single" w:color="000000" w:sz="4" w:space="0"/>
            </w:tcBorders>
            <w:shd w:val="clear" w:color="auto" w:fill="auto"/>
            <w:vAlign w:val="center"/>
          </w:tcPr>
          <w:p w14:paraId="5F829C97">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1770" w:type="dxa"/>
            <w:gridSpan w:val="4"/>
            <w:tcBorders>
              <w:top w:val="nil"/>
              <w:left w:val="nil"/>
              <w:bottom w:val="single" w:color="000000" w:sz="4" w:space="0"/>
              <w:right w:val="single" w:color="000000" w:sz="4" w:space="0"/>
            </w:tcBorders>
            <w:shd w:val="clear" w:color="auto" w:fill="auto"/>
            <w:vAlign w:val="center"/>
          </w:tcPr>
          <w:p w14:paraId="646CD53A">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778" w:type="dxa"/>
            <w:tcBorders>
              <w:top w:val="nil"/>
              <w:left w:val="nil"/>
              <w:bottom w:val="single" w:color="000000" w:sz="4" w:space="0"/>
              <w:right w:val="single" w:color="000000" w:sz="4" w:space="0"/>
            </w:tcBorders>
            <w:shd w:val="clear" w:color="auto" w:fill="auto"/>
            <w:vAlign w:val="center"/>
          </w:tcPr>
          <w:p w14:paraId="4B36F14B">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636" w:type="dxa"/>
            <w:tcBorders>
              <w:top w:val="nil"/>
              <w:left w:val="nil"/>
              <w:bottom w:val="single" w:color="000000" w:sz="4" w:space="0"/>
              <w:right w:val="single" w:color="000000" w:sz="4" w:space="0"/>
            </w:tcBorders>
            <w:shd w:val="clear" w:color="auto" w:fill="auto"/>
            <w:vAlign w:val="center"/>
          </w:tcPr>
          <w:p w14:paraId="346BC194">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32" w:type="dxa"/>
            <w:tcBorders>
              <w:top w:val="nil"/>
              <w:left w:val="nil"/>
              <w:bottom w:val="single" w:color="000000" w:sz="4" w:space="0"/>
              <w:right w:val="single" w:color="000000" w:sz="4" w:space="0"/>
            </w:tcBorders>
            <w:shd w:val="clear" w:color="auto" w:fill="auto"/>
            <w:vAlign w:val="center"/>
          </w:tcPr>
          <w:p w14:paraId="41A9A267">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14:paraId="0422F828">
        <w:tblPrEx>
          <w:tblCellMar>
            <w:top w:w="0" w:type="dxa"/>
            <w:left w:w="108" w:type="dxa"/>
            <w:bottom w:w="0" w:type="dxa"/>
            <w:right w:w="108" w:type="dxa"/>
          </w:tblCellMar>
        </w:tblPrEx>
        <w:trPr>
          <w:trHeight w:val="1145" w:hRule="atLeast"/>
        </w:trPr>
        <w:tc>
          <w:tcPr>
            <w:tcW w:w="697" w:type="dxa"/>
            <w:vMerge w:val="continue"/>
            <w:tcBorders>
              <w:top w:val="nil"/>
              <w:left w:val="single" w:color="000000" w:sz="4" w:space="0"/>
              <w:bottom w:val="single" w:color="000000" w:sz="4" w:space="0"/>
              <w:right w:val="single" w:color="000000" w:sz="4" w:space="0"/>
            </w:tcBorders>
            <w:vAlign w:val="center"/>
          </w:tcPr>
          <w:p w14:paraId="5F8531A9">
            <w:pPr>
              <w:widowControl/>
              <w:jc w:val="left"/>
              <w:rPr>
                <w:rFonts w:ascii="宋体" w:hAnsi="宋体" w:cs="宋体"/>
                <w:color w:val="000000"/>
                <w:kern w:val="0"/>
                <w:sz w:val="18"/>
                <w:szCs w:val="18"/>
              </w:rPr>
            </w:pPr>
          </w:p>
        </w:tc>
        <w:tc>
          <w:tcPr>
            <w:tcW w:w="2032" w:type="dxa"/>
            <w:gridSpan w:val="2"/>
            <w:tcBorders>
              <w:top w:val="nil"/>
              <w:left w:val="nil"/>
              <w:bottom w:val="single" w:color="000000" w:sz="4" w:space="0"/>
              <w:right w:val="single" w:color="000000" w:sz="4" w:space="0"/>
            </w:tcBorders>
            <w:shd w:val="clear" w:color="auto" w:fill="auto"/>
            <w:vAlign w:val="center"/>
          </w:tcPr>
          <w:p w14:paraId="104ABE2C">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758" w:type="dxa"/>
            <w:tcBorders>
              <w:top w:val="nil"/>
              <w:left w:val="nil"/>
              <w:bottom w:val="single" w:color="000000" w:sz="4" w:space="0"/>
              <w:right w:val="single" w:color="000000" w:sz="4" w:space="0"/>
            </w:tcBorders>
            <w:shd w:val="clear" w:color="auto" w:fill="auto"/>
            <w:vAlign w:val="center"/>
          </w:tcPr>
          <w:p w14:paraId="2F3B6A8E">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79" w:type="dxa"/>
            <w:tcBorders>
              <w:top w:val="nil"/>
              <w:left w:val="nil"/>
              <w:bottom w:val="single" w:color="000000" w:sz="4" w:space="0"/>
              <w:right w:val="single" w:color="000000" w:sz="4" w:space="0"/>
            </w:tcBorders>
            <w:shd w:val="clear" w:color="auto" w:fill="auto"/>
            <w:vAlign w:val="center"/>
          </w:tcPr>
          <w:p w14:paraId="0E847C7C">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2178" w:type="dxa"/>
            <w:gridSpan w:val="4"/>
            <w:tcBorders>
              <w:top w:val="single" w:color="000000" w:sz="4" w:space="0"/>
              <w:left w:val="nil"/>
              <w:bottom w:val="single" w:color="000000" w:sz="4" w:space="0"/>
              <w:right w:val="single" w:color="000000" w:sz="4" w:space="0"/>
            </w:tcBorders>
            <w:shd w:val="clear" w:color="auto" w:fill="auto"/>
            <w:vAlign w:val="center"/>
          </w:tcPr>
          <w:p w14:paraId="764D6001">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1770" w:type="dxa"/>
            <w:gridSpan w:val="4"/>
            <w:tcBorders>
              <w:top w:val="nil"/>
              <w:left w:val="nil"/>
              <w:bottom w:val="single" w:color="000000" w:sz="4" w:space="0"/>
              <w:right w:val="single" w:color="000000" w:sz="4" w:space="0"/>
            </w:tcBorders>
            <w:shd w:val="clear" w:color="auto" w:fill="auto"/>
            <w:vAlign w:val="center"/>
          </w:tcPr>
          <w:p w14:paraId="2F927F6A">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778" w:type="dxa"/>
            <w:tcBorders>
              <w:top w:val="nil"/>
              <w:left w:val="nil"/>
              <w:bottom w:val="single" w:color="000000" w:sz="4" w:space="0"/>
              <w:right w:val="single" w:color="000000" w:sz="4" w:space="0"/>
            </w:tcBorders>
            <w:shd w:val="clear" w:color="auto" w:fill="auto"/>
            <w:vAlign w:val="center"/>
          </w:tcPr>
          <w:p w14:paraId="4731A212">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36" w:type="dxa"/>
            <w:tcBorders>
              <w:top w:val="nil"/>
              <w:left w:val="nil"/>
              <w:bottom w:val="single" w:color="000000" w:sz="4" w:space="0"/>
              <w:right w:val="single" w:color="000000" w:sz="4" w:space="0"/>
            </w:tcBorders>
            <w:shd w:val="clear" w:color="auto" w:fill="auto"/>
            <w:vAlign w:val="center"/>
          </w:tcPr>
          <w:p w14:paraId="0B54113C">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val="en-US" w:eastAsia="zh-CN"/>
              </w:rPr>
              <w:t>10</w:t>
            </w:r>
          </w:p>
        </w:tc>
        <w:tc>
          <w:tcPr>
            <w:tcW w:w="2532" w:type="dxa"/>
            <w:vMerge w:val="restart"/>
            <w:tcBorders>
              <w:top w:val="nil"/>
              <w:left w:val="single" w:color="000000" w:sz="4" w:space="0"/>
              <w:bottom w:val="single" w:color="000000" w:sz="4" w:space="0"/>
              <w:right w:val="single" w:color="000000" w:sz="4" w:space="0"/>
            </w:tcBorders>
            <w:shd w:val="clear" w:color="auto" w:fill="auto"/>
            <w:vAlign w:val="center"/>
          </w:tcPr>
          <w:p w14:paraId="6CCC82EA">
            <w:pPr>
              <w:widowControl/>
              <w:jc w:val="center"/>
              <w:rPr>
                <w:rFonts w:ascii="宋体" w:hAnsi="宋体" w:cs="宋体"/>
                <w:color w:val="000000"/>
                <w:kern w:val="0"/>
                <w:sz w:val="18"/>
                <w:szCs w:val="18"/>
              </w:rPr>
            </w:pPr>
            <w:r>
              <w:rPr>
                <w:rFonts w:hint="eastAsia" w:ascii="宋体" w:hAnsi="宋体" w:cs="宋体"/>
                <w:color w:val="000000"/>
                <w:kern w:val="0"/>
                <w:sz w:val="18"/>
                <w:szCs w:val="18"/>
              </w:rPr>
              <w:t>按照省供销社《关于做好2023年度省级供销综合改革及发展专项资金项目申报工作的通知》（川供财〔2022〕156号）要求，我单位认真做好2023年度省级综合改革及发展资金项目申报工作，申报的基层社高质量发展示范县项目，涉及联合供销社、安宁供销社、新建供销社、小坪供销社，成功入选2023-2025年省级供销综合改革及发展专项资金首批项目库，全市仅我县入围，同时预申请到综合改革资金150万元，省社已公示。按照省社要求，需要编制一份项目可行性分析报告，由于我单位没有专业人士，工作经费有限，就需要向县政府申请资金用于聘请专业机构编制可行性分析报告。县财政局批复我单位5万元用于可行性分析报告的编制费用。</w:t>
            </w:r>
          </w:p>
        </w:tc>
      </w:tr>
      <w:tr w14:paraId="43C25E3E">
        <w:tblPrEx>
          <w:tblCellMar>
            <w:top w:w="0" w:type="dxa"/>
            <w:left w:w="108" w:type="dxa"/>
            <w:bottom w:w="0" w:type="dxa"/>
            <w:right w:w="108" w:type="dxa"/>
          </w:tblCellMar>
        </w:tblPrEx>
        <w:trPr>
          <w:trHeight w:val="1274" w:hRule="atLeast"/>
        </w:trPr>
        <w:tc>
          <w:tcPr>
            <w:tcW w:w="697" w:type="dxa"/>
            <w:vMerge w:val="continue"/>
            <w:tcBorders>
              <w:top w:val="nil"/>
              <w:left w:val="single" w:color="000000" w:sz="4" w:space="0"/>
              <w:bottom w:val="single" w:color="000000" w:sz="4" w:space="0"/>
              <w:right w:val="single" w:color="000000" w:sz="4" w:space="0"/>
            </w:tcBorders>
            <w:vAlign w:val="center"/>
          </w:tcPr>
          <w:p w14:paraId="360EECA0">
            <w:pPr>
              <w:widowControl/>
              <w:jc w:val="left"/>
              <w:rPr>
                <w:rFonts w:ascii="宋体" w:hAnsi="宋体" w:cs="宋体"/>
                <w:color w:val="000000"/>
                <w:kern w:val="0"/>
                <w:sz w:val="18"/>
                <w:szCs w:val="18"/>
              </w:rPr>
            </w:pPr>
          </w:p>
        </w:tc>
        <w:tc>
          <w:tcPr>
            <w:tcW w:w="2032" w:type="dxa"/>
            <w:gridSpan w:val="2"/>
            <w:tcBorders>
              <w:top w:val="nil"/>
              <w:left w:val="nil"/>
              <w:bottom w:val="single" w:color="000000" w:sz="4" w:space="0"/>
              <w:right w:val="single" w:color="000000" w:sz="4" w:space="0"/>
            </w:tcBorders>
            <w:shd w:val="clear" w:color="auto" w:fill="auto"/>
            <w:vAlign w:val="center"/>
          </w:tcPr>
          <w:p w14:paraId="5CD540E6">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758" w:type="dxa"/>
            <w:tcBorders>
              <w:top w:val="nil"/>
              <w:left w:val="nil"/>
              <w:bottom w:val="single" w:color="000000" w:sz="4" w:space="0"/>
              <w:right w:val="single" w:color="000000" w:sz="4" w:space="0"/>
            </w:tcBorders>
            <w:shd w:val="clear" w:color="auto" w:fill="auto"/>
            <w:vAlign w:val="center"/>
          </w:tcPr>
          <w:p w14:paraId="701EABC7">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79" w:type="dxa"/>
            <w:tcBorders>
              <w:top w:val="nil"/>
              <w:left w:val="nil"/>
              <w:bottom w:val="single" w:color="000000" w:sz="4" w:space="0"/>
              <w:right w:val="single" w:color="000000" w:sz="4" w:space="0"/>
            </w:tcBorders>
            <w:shd w:val="clear" w:color="auto" w:fill="auto"/>
            <w:vAlign w:val="center"/>
          </w:tcPr>
          <w:p w14:paraId="3C08090C">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2178" w:type="dxa"/>
            <w:gridSpan w:val="4"/>
            <w:tcBorders>
              <w:top w:val="single" w:color="000000" w:sz="4" w:space="0"/>
              <w:left w:val="nil"/>
              <w:bottom w:val="single" w:color="000000" w:sz="4" w:space="0"/>
              <w:right w:val="single" w:color="000000" w:sz="4" w:space="0"/>
            </w:tcBorders>
            <w:shd w:val="clear" w:color="auto" w:fill="auto"/>
            <w:vAlign w:val="center"/>
          </w:tcPr>
          <w:p w14:paraId="03150526">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1770" w:type="dxa"/>
            <w:gridSpan w:val="4"/>
            <w:tcBorders>
              <w:top w:val="nil"/>
              <w:left w:val="nil"/>
              <w:bottom w:val="single" w:color="000000" w:sz="4" w:space="0"/>
              <w:right w:val="single" w:color="000000" w:sz="4" w:space="0"/>
            </w:tcBorders>
            <w:shd w:val="clear" w:color="auto" w:fill="auto"/>
            <w:vAlign w:val="center"/>
          </w:tcPr>
          <w:p w14:paraId="0179E360">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778" w:type="dxa"/>
            <w:tcBorders>
              <w:top w:val="nil"/>
              <w:left w:val="nil"/>
              <w:bottom w:val="single" w:color="000000" w:sz="4" w:space="0"/>
              <w:right w:val="single" w:color="000000" w:sz="4" w:space="0"/>
            </w:tcBorders>
            <w:shd w:val="clear" w:color="auto" w:fill="auto"/>
            <w:vAlign w:val="center"/>
          </w:tcPr>
          <w:p w14:paraId="56807376">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36" w:type="dxa"/>
            <w:tcBorders>
              <w:top w:val="nil"/>
              <w:left w:val="nil"/>
              <w:bottom w:val="single" w:color="000000" w:sz="4" w:space="0"/>
              <w:right w:val="single" w:color="000000" w:sz="4" w:space="0"/>
            </w:tcBorders>
            <w:shd w:val="clear" w:color="auto" w:fill="auto"/>
            <w:vAlign w:val="center"/>
          </w:tcPr>
          <w:p w14:paraId="3C10083A">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32" w:type="dxa"/>
            <w:vMerge w:val="continue"/>
            <w:tcBorders>
              <w:top w:val="nil"/>
              <w:left w:val="single" w:color="000000" w:sz="4" w:space="0"/>
              <w:bottom w:val="single" w:color="000000" w:sz="4" w:space="0"/>
              <w:right w:val="single" w:color="000000" w:sz="4" w:space="0"/>
            </w:tcBorders>
            <w:vAlign w:val="center"/>
          </w:tcPr>
          <w:p w14:paraId="0FDF86FE">
            <w:pPr>
              <w:widowControl/>
              <w:jc w:val="left"/>
              <w:rPr>
                <w:rFonts w:ascii="宋体" w:hAnsi="宋体" w:cs="宋体"/>
                <w:color w:val="000000"/>
                <w:kern w:val="0"/>
                <w:sz w:val="18"/>
                <w:szCs w:val="18"/>
              </w:rPr>
            </w:pPr>
          </w:p>
        </w:tc>
      </w:tr>
      <w:tr w14:paraId="3578ED11">
        <w:tblPrEx>
          <w:tblCellMar>
            <w:top w:w="0" w:type="dxa"/>
            <w:left w:w="108" w:type="dxa"/>
            <w:bottom w:w="0" w:type="dxa"/>
            <w:right w:w="108" w:type="dxa"/>
          </w:tblCellMar>
        </w:tblPrEx>
        <w:trPr>
          <w:trHeight w:val="1392" w:hRule="atLeast"/>
        </w:trPr>
        <w:tc>
          <w:tcPr>
            <w:tcW w:w="697" w:type="dxa"/>
            <w:vMerge w:val="continue"/>
            <w:tcBorders>
              <w:top w:val="nil"/>
              <w:left w:val="single" w:color="000000" w:sz="4" w:space="0"/>
              <w:bottom w:val="single" w:color="000000" w:sz="4" w:space="0"/>
              <w:right w:val="single" w:color="000000" w:sz="4" w:space="0"/>
            </w:tcBorders>
            <w:vAlign w:val="center"/>
          </w:tcPr>
          <w:p w14:paraId="2A11C47D">
            <w:pPr>
              <w:widowControl/>
              <w:jc w:val="left"/>
              <w:rPr>
                <w:rFonts w:ascii="宋体" w:hAnsi="宋体" w:cs="宋体"/>
                <w:color w:val="000000"/>
                <w:kern w:val="0"/>
                <w:sz w:val="18"/>
                <w:szCs w:val="18"/>
              </w:rPr>
            </w:pPr>
          </w:p>
        </w:tc>
        <w:tc>
          <w:tcPr>
            <w:tcW w:w="2032" w:type="dxa"/>
            <w:gridSpan w:val="2"/>
            <w:tcBorders>
              <w:top w:val="nil"/>
              <w:left w:val="nil"/>
              <w:bottom w:val="single" w:color="000000" w:sz="4" w:space="0"/>
              <w:right w:val="single" w:color="000000" w:sz="4" w:space="0"/>
            </w:tcBorders>
            <w:shd w:val="clear" w:color="auto" w:fill="auto"/>
            <w:vAlign w:val="center"/>
          </w:tcPr>
          <w:p w14:paraId="49DC0450">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758" w:type="dxa"/>
            <w:tcBorders>
              <w:top w:val="nil"/>
              <w:left w:val="nil"/>
              <w:bottom w:val="single" w:color="000000" w:sz="4" w:space="0"/>
              <w:right w:val="single" w:color="000000" w:sz="4" w:space="0"/>
            </w:tcBorders>
            <w:shd w:val="clear" w:color="auto" w:fill="auto"/>
            <w:vAlign w:val="center"/>
          </w:tcPr>
          <w:p w14:paraId="31D323E9">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79" w:type="dxa"/>
            <w:tcBorders>
              <w:top w:val="nil"/>
              <w:left w:val="nil"/>
              <w:bottom w:val="single" w:color="000000" w:sz="4" w:space="0"/>
              <w:right w:val="single" w:color="000000" w:sz="4" w:space="0"/>
            </w:tcBorders>
            <w:shd w:val="clear" w:color="auto" w:fill="auto"/>
            <w:vAlign w:val="center"/>
          </w:tcPr>
          <w:p w14:paraId="683F9321">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178" w:type="dxa"/>
            <w:gridSpan w:val="4"/>
            <w:tcBorders>
              <w:top w:val="single" w:color="000000" w:sz="4" w:space="0"/>
              <w:left w:val="nil"/>
              <w:bottom w:val="single" w:color="000000" w:sz="4" w:space="0"/>
              <w:right w:val="single" w:color="000000" w:sz="4" w:space="0"/>
            </w:tcBorders>
            <w:shd w:val="clear" w:color="auto" w:fill="auto"/>
            <w:vAlign w:val="center"/>
          </w:tcPr>
          <w:p w14:paraId="1CFCE4A5">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770" w:type="dxa"/>
            <w:gridSpan w:val="4"/>
            <w:tcBorders>
              <w:top w:val="nil"/>
              <w:left w:val="nil"/>
              <w:bottom w:val="single" w:color="000000" w:sz="4" w:space="0"/>
              <w:right w:val="single" w:color="000000" w:sz="4" w:space="0"/>
            </w:tcBorders>
            <w:shd w:val="clear" w:color="auto" w:fill="auto"/>
            <w:vAlign w:val="center"/>
          </w:tcPr>
          <w:p w14:paraId="44FF69D0">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78" w:type="dxa"/>
            <w:tcBorders>
              <w:top w:val="nil"/>
              <w:left w:val="nil"/>
              <w:bottom w:val="single" w:color="000000" w:sz="4" w:space="0"/>
              <w:right w:val="single" w:color="000000" w:sz="4" w:space="0"/>
            </w:tcBorders>
            <w:shd w:val="clear" w:color="auto" w:fill="auto"/>
            <w:vAlign w:val="center"/>
          </w:tcPr>
          <w:p w14:paraId="726478BF">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36" w:type="dxa"/>
            <w:tcBorders>
              <w:top w:val="nil"/>
              <w:left w:val="nil"/>
              <w:bottom w:val="single" w:color="000000" w:sz="4" w:space="0"/>
              <w:right w:val="single" w:color="000000" w:sz="4" w:space="0"/>
            </w:tcBorders>
            <w:shd w:val="clear" w:color="auto" w:fill="auto"/>
            <w:vAlign w:val="center"/>
          </w:tcPr>
          <w:p w14:paraId="7E30C999">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32" w:type="dxa"/>
            <w:vMerge w:val="continue"/>
            <w:tcBorders>
              <w:top w:val="nil"/>
              <w:left w:val="single" w:color="000000" w:sz="4" w:space="0"/>
              <w:bottom w:val="single" w:color="000000" w:sz="4" w:space="0"/>
              <w:right w:val="single" w:color="000000" w:sz="4" w:space="0"/>
            </w:tcBorders>
            <w:vAlign w:val="center"/>
          </w:tcPr>
          <w:p w14:paraId="26EFF38F">
            <w:pPr>
              <w:widowControl/>
              <w:jc w:val="left"/>
              <w:rPr>
                <w:rFonts w:ascii="宋体" w:hAnsi="宋体" w:cs="宋体"/>
                <w:color w:val="000000"/>
                <w:kern w:val="0"/>
                <w:sz w:val="18"/>
                <w:szCs w:val="18"/>
              </w:rPr>
            </w:pPr>
          </w:p>
        </w:tc>
      </w:tr>
      <w:tr w14:paraId="4786479F">
        <w:tblPrEx>
          <w:tblCellMar>
            <w:top w:w="0" w:type="dxa"/>
            <w:left w:w="108" w:type="dxa"/>
            <w:bottom w:w="0" w:type="dxa"/>
            <w:right w:w="108" w:type="dxa"/>
          </w:tblCellMar>
        </w:tblPrEx>
        <w:trPr>
          <w:trHeight w:val="1416" w:hRule="atLeast"/>
        </w:trPr>
        <w:tc>
          <w:tcPr>
            <w:tcW w:w="697" w:type="dxa"/>
            <w:vMerge w:val="continue"/>
            <w:tcBorders>
              <w:top w:val="nil"/>
              <w:left w:val="single" w:color="000000" w:sz="4" w:space="0"/>
              <w:bottom w:val="single" w:color="000000" w:sz="4" w:space="0"/>
              <w:right w:val="single" w:color="000000" w:sz="4" w:space="0"/>
            </w:tcBorders>
            <w:vAlign w:val="center"/>
          </w:tcPr>
          <w:p w14:paraId="74765666">
            <w:pPr>
              <w:widowControl/>
              <w:jc w:val="left"/>
              <w:rPr>
                <w:rFonts w:ascii="宋体" w:hAnsi="宋体" w:cs="宋体"/>
                <w:color w:val="000000"/>
                <w:kern w:val="0"/>
                <w:sz w:val="18"/>
                <w:szCs w:val="18"/>
              </w:rPr>
            </w:pPr>
          </w:p>
        </w:tc>
        <w:tc>
          <w:tcPr>
            <w:tcW w:w="2032" w:type="dxa"/>
            <w:gridSpan w:val="2"/>
            <w:tcBorders>
              <w:top w:val="single" w:color="auto" w:sz="4" w:space="0"/>
              <w:left w:val="nil"/>
              <w:bottom w:val="single" w:color="000000" w:sz="4" w:space="0"/>
              <w:right w:val="single" w:color="000000" w:sz="4" w:space="0"/>
            </w:tcBorders>
            <w:shd w:val="clear" w:color="auto" w:fill="auto"/>
            <w:vAlign w:val="center"/>
          </w:tcPr>
          <w:p w14:paraId="0E77BEDA">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758" w:type="dxa"/>
            <w:tcBorders>
              <w:top w:val="single" w:color="auto" w:sz="4" w:space="0"/>
              <w:left w:val="nil"/>
              <w:bottom w:val="single" w:color="000000" w:sz="4" w:space="0"/>
              <w:right w:val="single" w:color="000000" w:sz="4" w:space="0"/>
            </w:tcBorders>
            <w:shd w:val="clear" w:color="auto" w:fill="auto"/>
            <w:vAlign w:val="center"/>
          </w:tcPr>
          <w:p w14:paraId="4A2E40B5">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79" w:type="dxa"/>
            <w:tcBorders>
              <w:top w:val="single" w:color="auto" w:sz="4" w:space="0"/>
              <w:left w:val="nil"/>
              <w:bottom w:val="single" w:color="000000" w:sz="4" w:space="0"/>
              <w:right w:val="single" w:color="000000" w:sz="4" w:space="0"/>
            </w:tcBorders>
            <w:shd w:val="clear" w:color="auto" w:fill="auto"/>
            <w:vAlign w:val="center"/>
          </w:tcPr>
          <w:p w14:paraId="27DDFF76">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178" w:type="dxa"/>
            <w:gridSpan w:val="4"/>
            <w:tcBorders>
              <w:top w:val="single" w:color="auto" w:sz="4" w:space="0"/>
              <w:left w:val="nil"/>
              <w:bottom w:val="single" w:color="000000" w:sz="4" w:space="0"/>
              <w:right w:val="single" w:color="000000" w:sz="4" w:space="0"/>
            </w:tcBorders>
            <w:shd w:val="clear" w:color="auto" w:fill="auto"/>
            <w:vAlign w:val="center"/>
          </w:tcPr>
          <w:p w14:paraId="7352AD9E">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770" w:type="dxa"/>
            <w:gridSpan w:val="4"/>
            <w:tcBorders>
              <w:top w:val="single" w:color="auto" w:sz="4" w:space="0"/>
              <w:left w:val="nil"/>
              <w:bottom w:val="single" w:color="000000" w:sz="4" w:space="0"/>
              <w:right w:val="single" w:color="000000" w:sz="4" w:space="0"/>
            </w:tcBorders>
            <w:shd w:val="clear" w:color="auto" w:fill="auto"/>
            <w:vAlign w:val="center"/>
          </w:tcPr>
          <w:p w14:paraId="6C7C7F89">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78" w:type="dxa"/>
            <w:tcBorders>
              <w:top w:val="single" w:color="auto" w:sz="4" w:space="0"/>
              <w:left w:val="nil"/>
              <w:bottom w:val="single" w:color="000000" w:sz="4" w:space="0"/>
              <w:right w:val="single" w:color="000000" w:sz="4" w:space="0"/>
            </w:tcBorders>
            <w:shd w:val="clear" w:color="auto" w:fill="auto"/>
            <w:vAlign w:val="center"/>
          </w:tcPr>
          <w:p w14:paraId="237D11F5">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36" w:type="dxa"/>
            <w:tcBorders>
              <w:top w:val="single" w:color="auto" w:sz="4" w:space="0"/>
              <w:left w:val="nil"/>
              <w:bottom w:val="single" w:color="000000" w:sz="4" w:space="0"/>
              <w:right w:val="single" w:color="000000" w:sz="4" w:space="0"/>
            </w:tcBorders>
            <w:shd w:val="clear" w:color="auto" w:fill="auto"/>
            <w:vAlign w:val="center"/>
          </w:tcPr>
          <w:p w14:paraId="23BD3AFC">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32" w:type="dxa"/>
            <w:vMerge w:val="continue"/>
            <w:tcBorders>
              <w:top w:val="nil"/>
              <w:left w:val="single" w:color="000000" w:sz="4" w:space="0"/>
              <w:bottom w:val="single" w:color="000000" w:sz="4" w:space="0"/>
              <w:right w:val="single" w:color="000000" w:sz="4" w:space="0"/>
            </w:tcBorders>
            <w:vAlign w:val="center"/>
          </w:tcPr>
          <w:p w14:paraId="1C332C1A">
            <w:pPr>
              <w:widowControl/>
              <w:jc w:val="left"/>
              <w:rPr>
                <w:rFonts w:ascii="宋体" w:hAnsi="宋体" w:cs="宋体"/>
                <w:color w:val="000000"/>
                <w:kern w:val="0"/>
                <w:sz w:val="18"/>
                <w:szCs w:val="18"/>
              </w:rPr>
            </w:pPr>
          </w:p>
        </w:tc>
      </w:tr>
      <w:tr w14:paraId="215D79BE">
        <w:tblPrEx>
          <w:tblCellMar>
            <w:top w:w="0" w:type="dxa"/>
            <w:left w:w="108" w:type="dxa"/>
            <w:bottom w:w="0" w:type="dxa"/>
            <w:right w:w="108" w:type="dxa"/>
          </w:tblCellMar>
        </w:tblPrEx>
        <w:trPr>
          <w:trHeight w:val="2049" w:hRule="atLeast"/>
        </w:trPr>
        <w:tc>
          <w:tcPr>
            <w:tcW w:w="697" w:type="dxa"/>
            <w:vMerge w:val="continue"/>
            <w:tcBorders>
              <w:top w:val="nil"/>
              <w:left w:val="single" w:color="000000" w:sz="4" w:space="0"/>
              <w:bottom w:val="single" w:color="000000" w:sz="4" w:space="0"/>
              <w:right w:val="single" w:color="000000" w:sz="4" w:space="0"/>
            </w:tcBorders>
            <w:vAlign w:val="center"/>
          </w:tcPr>
          <w:p w14:paraId="49E10F02">
            <w:pPr>
              <w:widowControl/>
              <w:jc w:val="left"/>
              <w:rPr>
                <w:rFonts w:ascii="宋体" w:hAnsi="宋体" w:cs="宋体"/>
                <w:color w:val="000000"/>
                <w:kern w:val="0"/>
                <w:sz w:val="18"/>
                <w:szCs w:val="18"/>
              </w:rPr>
            </w:pPr>
          </w:p>
        </w:tc>
        <w:tc>
          <w:tcPr>
            <w:tcW w:w="2032" w:type="dxa"/>
            <w:gridSpan w:val="2"/>
            <w:tcBorders>
              <w:top w:val="nil"/>
              <w:left w:val="nil"/>
              <w:bottom w:val="single" w:color="000000" w:sz="4" w:space="0"/>
              <w:right w:val="single" w:color="000000" w:sz="4" w:space="0"/>
            </w:tcBorders>
            <w:shd w:val="clear" w:color="auto" w:fill="auto"/>
            <w:vAlign w:val="center"/>
          </w:tcPr>
          <w:p w14:paraId="03AE9EBC">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758" w:type="dxa"/>
            <w:tcBorders>
              <w:top w:val="nil"/>
              <w:left w:val="nil"/>
              <w:bottom w:val="single" w:color="000000" w:sz="4" w:space="0"/>
              <w:right w:val="single" w:color="000000" w:sz="4" w:space="0"/>
            </w:tcBorders>
            <w:shd w:val="clear" w:color="auto" w:fill="auto"/>
            <w:vAlign w:val="center"/>
          </w:tcPr>
          <w:p w14:paraId="351A7CBE">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79" w:type="dxa"/>
            <w:tcBorders>
              <w:top w:val="nil"/>
              <w:left w:val="nil"/>
              <w:bottom w:val="single" w:color="000000" w:sz="4" w:space="0"/>
              <w:right w:val="single" w:color="000000" w:sz="4" w:space="0"/>
            </w:tcBorders>
            <w:shd w:val="clear" w:color="auto" w:fill="auto"/>
            <w:vAlign w:val="center"/>
          </w:tcPr>
          <w:p w14:paraId="3A245B67">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178" w:type="dxa"/>
            <w:gridSpan w:val="4"/>
            <w:tcBorders>
              <w:top w:val="single" w:color="000000" w:sz="4" w:space="0"/>
              <w:left w:val="nil"/>
              <w:bottom w:val="single" w:color="000000" w:sz="4" w:space="0"/>
              <w:right w:val="single" w:color="000000" w:sz="4" w:space="0"/>
            </w:tcBorders>
            <w:shd w:val="clear" w:color="auto" w:fill="auto"/>
            <w:vAlign w:val="center"/>
          </w:tcPr>
          <w:p w14:paraId="6469B287">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770" w:type="dxa"/>
            <w:gridSpan w:val="4"/>
            <w:tcBorders>
              <w:top w:val="nil"/>
              <w:left w:val="nil"/>
              <w:bottom w:val="single" w:color="000000" w:sz="4" w:space="0"/>
              <w:right w:val="single" w:color="000000" w:sz="4" w:space="0"/>
            </w:tcBorders>
            <w:shd w:val="clear" w:color="auto" w:fill="auto"/>
            <w:vAlign w:val="center"/>
          </w:tcPr>
          <w:p w14:paraId="25EFD8C8">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78" w:type="dxa"/>
            <w:tcBorders>
              <w:top w:val="nil"/>
              <w:left w:val="nil"/>
              <w:bottom w:val="single" w:color="000000" w:sz="4" w:space="0"/>
              <w:right w:val="single" w:color="000000" w:sz="4" w:space="0"/>
            </w:tcBorders>
            <w:shd w:val="clear" w:color="auto" w:fill="auto"/>
            <w:vAlign w:val="center"/>
          </w:tcPr>
          <w:p w14:paraId="0C0D52AF">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36" w:type="dxa"/>
            <w:tcBorders>
              <w:top w:val="nil"/>
              <w:left w:val="nil"/>
              <w:bottom w:val="single" w:color="000000" w:sz="4" w:space="0"/>
              <w:right w:val="single" w:color="000000" w:sz="4" w:space="0"/>
            </w:tcBorders>
            <w:shd w:val="clear" w:color="auto" w:fill="auto"/>
            <w:vAlign w:val="center"/>
          </w:tcPr>
          <w:p w14:paraId="07752D42">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32" w:type="dxa"/>
            <w:vMerge w:val="continue"/>
            <w:tcBorders>
              <w:top w:val="nil"/>
              <w:left w:val="single" w:color="000000" w:sz="4" w:space="0"/>
              <w:bottom w:val="single" w:color="000000" w:sz="4" w:space="0"/>
              <w:right w:val="single" w:color="000000" w:sz="4" w:space="0"/>
            </w:tcBorders>
            <w:vAlign w:val="center"/>
          </w:tcPr>
          <w:p w14:paraId="3C073878">
            <w:pPr>
              <w:widowControl/>
              <w:jc w:val="left"/>
              <w:rPr>
                <w:rFonts w:ascii="宋体" w:hAnsi="宋体" w:cs="宋体"/>
                <w:color w:val="000000"/>
                <w:kern w:val="0"/>
                <w:sz w:val="18"/>
                <w:szCs w:val="18"/>
              </w:rPr>
            </w:pPr>
          </w:p>
        </w:tc>
      </w:tr>
      <w:tr w14:paraId="013BCB0D">
        <w:tblPrEx>
          <w:tblCellMar>
            <w:top w:w="0" w:type="dxa"/>
            <w:left w:w="108" w:type="dxa"/>
            <w:bottom w:w="0" w:type="dxa"/>
            <w:right w:w="108" w:type="dxa"/>
          </w:tblCellMar>
        </w:tblPrEx>
        <w:trPr>
          <w:trHeight w:val="454" w:hRule="atLeast"/>
        </w:trPr>
        <w:tc>
          <w:tcPr>
            <w:tcW w:w="697" w:type="dxa"/>
            <w:vMerge w:val="restart"/>
            <w:tcBorders>
              <w:top w:val="nil"/>
              <w:left w:val="single" w:color="000000" w:sz="4" w:space="0"/>
              <w:bottom w:val="single" w:color="000000" w:sz="4" w:space="0"/>
              <w:right w:val="single" w:color="000000" w:sz="4" w:space="0"/>
            </w:tcBorders>
            <w:shd w:val="clear" w:color="auto" w:fill="auto"/>
            <w:vAlign w:val="center"/>
          </w:tcPr>
          <w:p w14:paraId="7CF92083">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2032" w:type="dxa"/>
            <w:gridSpan w:val="2"/>
            <w:tcBorders>
              <w:top w:val="nil"/>
              <w:left w:val="single" w:color="000000" w:sz="4" w:space="0"/>
              <w:bottom w:val="nil"/>
              <w:right w:val="single" w:color="000000" w:sz="4" w:space="0"/>
            </w:tcBorders>
            <w:shd w:val="clear" w:color="auto" w:fill="auto"/>
            <w:vAlign w:val="center"/>
          </w:tcPr>
          <w:p w14:paraId="24AC0FD4">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758" w:type="dxa"/>
            <w:tcBorders>
              <w:top w:val="nil"/>
              <w:left w:val="nil"/>
              <w:bottom w:val="single" w:color="000000" w:sz="4" w:space="0"/>
              <w:right w:val="single" w:color="000000" w:sz="4" w:space="0"/>
            </w:tcBorders>
            <w:shd w:val="clear" w:color="auto" w:fill="auto"/>
            <w:vAlign w:val="center"/>
          </w:tcPr>
          <w:p w14:paraId="6D2A94C1">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779" w:type="dxa"/>
            <w:tcBorders>
              <w:top w:val="nil"/>
              <w:left w:val="nil"/>
              <w:bottom w:val="single" w:color="000000" w:sz="4" w:space="0"/>
              <w:right w:val="single" w:color="000000" w:sz="4" w:space="0"/>
            </w:tcBorders>
            <w:shd w:val="clear" w:color="auto" w:fill="auto"/>
            <w:vAlign w:val="center"/>
          </w:tcPr>
          <w:p w14:paraId="094F03E0">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518" w:type="dxa"/>
            <w:tcBorders>
              <w:top w:val="nil"/>
              <w:left w:val="nil"/>
              <w:bottom w:val="single" w:color="000000" w:sz="4" w:space="0"/>
              <w:right w:val="single" w:color="000000" w:sz="4" w:space="0"/>
            </w:tcBorders>
            <w:shd w:val="clear" w:color="auto" w:fill="auto"/>
            <w:vAlign w:val="center"/>
          </w:tcPr>
          <w:p w14:paraId="18657607">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660" w:type="dxa"/>
            <w:gridSpan w:val="3"/>
            <w:tcBorders>
              <w:top w:val="nil"/>
              <w:left w:val="nil"/>
              <w:bottom w:val="single" w:color="000000" w:sz="4" w:space="0"/>
              <w:right w:val="single" w:color="000000" w:sz="4" w:space="0"/>
            </w:tcBorders>
            <w:shd w:val="clear" w:color="auto" w:fill="auto"/>
            <w:vAlign w:val="center"/>
          </w:tcPr>
          <w:p w14:paraId="24245C0A">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gridSpan w:val="2"/>
            <w:tcBorders>
              <w:top w:val="nil"/>
              <w:left w:val="nil"/>
              <w:bottom w:val="single" w:color="000000" w:sz="4" w:space="0"/>
              <w:right w:val="single" w:color="000000" w:sz="4" w:space="0"/>
            </w:tcBorders>
            <w:shd w:val="clear" w:color="auto" w:fill="auto"/>
            <w:vAlign w:val="center"/>
          </w:tcPr>
          <w:p w14:paraId="3E801E94">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1374" w:type="dxa"/>
            <w:gridSpan w:val="2"/>
            <w:tcBorders>
              <w:top w:val="nil"/>
              <w:left w:val="nil"/>
              <w:bottom w:val="single" w:color="000000" w:sz="4" w:space="0"/>
              <w:right w:val="single" w:color="000000" w:sz="4" w:space="0"/>
            </w:tcBorders>
            <w:shd w:val="clear" w:color="auto" w:fill="auto"/>
            <w:vAlign w:val="center"/>
          </w:tcPr>
          <w:p w14:paraId="6B39988A">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778" w:type="dxa"/>
            <w:tcBorders>
              <w:top w:val="nil"/>
              <w:left w:val="nil"/>
              <w:bottom w:val="single" w:color="000000" w:sz="4" w:space="0"/>
              <w:right w:val="single" w:color="000000" w:sz="4" w:space="0"/>
            </w:tcBorders>
            <w:shd w:val="clear" w:color="auto" w:fill="auto"/>
            <w:vAlign w:val="center"/>
          </w:tcPr>
          <w:p w14:paraId="769E1B71">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636" w:type="dxa"/>
            <w:tcBorders>
              <w:top w:val="nil"/>
              <w:left w:val="nil"/>
              <w:bottom w:val="single" w:color="000000" w:sz="4" w:space="0"/>
              <w:right w:val="single" w:color="000000" w:sz="4" w:space="0"/>
            </w:tcBorders>
            <w:shd w:val="clear" w:color="auto" w:fill="auto"/>
            <w:vAlign w:val="center"/>
          </w:tcPr>
          <w:p w14:paraId="61605CD6">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32" w:type="dxa"/>
            <w:tcBorders>
              <w:top w:val="nil"/>
              <w:left w:val="nil"/>
              <w:bottom w:val="single" w:color="000000" w:sz="4" w:space="0"/>
              <w:right w:val="single" w:color="000000" w:sz="4" w:space="0"/>
            </w:tcBorders>
            <w:shd w:val="clear" w:color="auto" w:fill="auto"/>
            <w:vAlign w:val="center"/>
          </w:tcPr>
          <w:p w14:paraId="7047A0C4">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14:paraId="284328D5">
        <w:tblPrEx>
          <w:tblCellMar>
            <w:top w:w="0" w:type="dxa"/>
            <w:left w:w="108" w:type="dxa"/>
            <w:bottom w:w="0" w:type="dxa"/>
            <w:right w:w="108" w:type="dxa"/>
          </w:tblCellMar>
        </w:tblPrEx>
        <w:trPr>
          <w:trHeight w:val="454" w:hRule="atLeast"/>
        </w:trPr>
        <w:tc>
          <w:tcPr>
            <w:tcW w:w="697" w:type="dxa"/>
            <w:vMerge w:val="continue"/>
            <w:tcBorders>
              <w:top w:val="nil"/>
              <w:left w:val="single" w:color="000000" w:sz="4" w:space="0"/>
              <w:bottom w:val="single" w:color="000000" w:sz="4" w:space="0"/>
              <w:right w:val="single" w:color="000000" w:sz="4" w:space="0"/>
            </w:tcBorders>
            <w:vAlign w:val="center"/>
          </w:tcPr>
          <w:p w14:paraId="2FD0B5BD">
            <w:pPr>
              <w:widowControl/>
              <w:jc w:val="left"/>
              <w:rPr>
                <w:rFonts w:ascii="宋体" w:hAnsi="宋体" w:cs="宋体"/>
                <w:color w:val="000000"/>
                <w:kern w:val="0"/>
                <w:sz w:val="18"/>
                <w:szCs w:val="18"/>
              </w:rPr>
            </w:pPr>
          </w:p>
        </w:tc>
        <w:tc>
          <w:tcPr>
            <w:tcW w:w="2032"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5E0159">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758" w:type="dxa"/>
            <w:tcBorders>
              <w:top w:val="nil"/>
              <w:left w:val="nil"/>
              <w:bottom w:val="single" w:color="000000" w:sz="4" w:space="0"/>
              <w:right w:val="single" w:color="000000" w:sz="4" w:space="0"/>
            </w:tcBorders>
            <w:shd w:val="clear" w:color="auto" w:fill="auto"/>
            <w:vAlign w:val="center"/>
          </w:tcPr>
          <w:p w14:paraId="68071A74">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779" w:type="dxa"/>
            <w:tcBorders>
              <w:top w:val="nil"/>
              <w:left w:val="nil"/>
              <w:bottom w:val="single" w:color="000000" w:sz="4" w:space="0"/>
              <w:right w:val="single" w:color="000000" w:sz="4" w:space="0"/>
            </w:tcBorders>
            <w:shd w:val="clear" w:color="auto" w:fill="auto"/>
            <w:vAlign w:val="center"/>
          </w:tcPr>
          <w:p w14:paraId="488D9660">
            <w:pPr>
              <w:widowControl/>
              <w:jc w:val="center"/>
              <w:rPr>
                <w:rFonts w:ascii="宋体" w:hAnsi="宋体" w:cs="宋体"/>
                <w:color w:val="000000"/>
                <w:kern w:val="0"/>
                <w:sz w:val="18"/>
                <w:szCs w:val="18"/>
              </w:rPr>
            </w:pPr>
            <w:r>
              <w:rPr>
                <w:rFonts w:hint="eastAsia" w:ascii="宋体" w:hAnsi="宋体" w:cs="宋体"/>
                <w:color w:val="000000"/>
                <w:kern w:val="0"/>
                <w:sz w:val="18"/>
                <w:szCs w:val="18"/>
              </w:rPr>
              <w:t>可行性分析报告</w:t>
            </w:r>
          </w:p>
        </w:tc>
        <w:tc>
          <w:tcPr>
            <w:tcW w:w="518" w:type="dxa"/>
            <w:tcBorders>
              <w:top w:val="nil"/>
              <w:left w:val="nil"/>
              <w:bottom w:val="single" w:color="000000" w:sz="4" w:space="0"/>
              <w:right w:val="single" w:color="000000" w:sz="4" w:space="0"/>
            </w:tcBorders>
            <w:shd w:val="clear" w:color="auto" w:fill="auto"/>
            <w:vAlign w:val="center"/>
          </w:tcPr>
          <w:p w14:paraId="6A4B2FB6">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60" w:type="dxa"/>
            <w:gridSpan w:val="3"/>
            <w:tcBorders>
              <w:top w:val="nil"/>
              <w:left w:val="nil"/>
              <w:bottom w:val="single" w:color="000000" w:sz="4" w:space="0"/>
              <w:right w:val="single" w:color="000000" w:sz="4" w:space="0"/>
            </w:tcBorders>
            <w:shd w:val="clear" w:color="auto" w:fill="auto"/>
            <w:vAlign w:val="center"/>
          </w:tcPr>
          <w:p w14:paraId="68AD5782">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396" w:type="dxa"/>
            <w:gridSpan w:val="2"/>
            <w:tcBorders>
              <w:top w:val="nil"/>
              <w:left w:val="nil"/>
              <w:bottom w:val="single" w:color="000000" w:sz="4" w:space="0"/>
              <w:right w:val="single" w:color="000000" w:sz="4" w:space="0"/>
            </w:tcBorders>
            <w:shd w:val="clear" w:color="auto" w:fill="auto"/>
            <w:vAlign w:val="center"/>
          </w:tcPr>
          <w:p w14:paraId="1C9EF8B4">
            <w:pPr>
              <w:widowControl/>
              <w:jc w:val="center"/>
              <w:rPr>
                <w:rFonts w:ascii="宋体" w:hAnsi="宋体" w:cs="宋体"/>
                <w:color w:val="000000"/>
                <w:kern w:val="0"/>
                <w:sz w:val="18"/>
                <w:szCs w:val="18"/>
              </w:rPr>
            </w:pPr>
            <w:r>
              <w:rPr>
                <w:rFonts w:hint="eastAsia" w:ascii="宋体" w:hAnsi="宋体" w:cs="宋体"/>
                <w:color w:val="000000"/>
                <w:kern w:val="0"/>
                <w:sz w:val="18"/>
                <w:szCs w:val="18"/>
              </w:rPr>
              <w:t>份</w:t>
            </w:r>
          </w:p>
        </w:tc>
        <w:tc>
          <w:tcPr>
            <w:tcW w:w="1374" w:type="dxa"/>
            <w:gridSpan w:val="2"/>
            <w:tcBorders>
              <w:top w:val="nil"/>
              <w:left w:val="nil"/>
              <w:bottom w:val="single" w:color="000000" w:sz="4" w:space="0"/>
              <w:right w:val="single" w:color="000000" w:sz="4" w:space="0"/>
            </w:tcBorders>
            <w:shd w:val="clear" w:color="auto" w:fill="auto"/>
            <w:vAlign w:val="center"/>
          </w:tcPr>
          <w:p w14:paraId="62958E9C">
            <w:pPr>
              <w:widowControl/>
              <w:jc w:val="center"/>
              <w:rPr>
                <w:rFonts w:ascii="宋体" w:hAnsi="宋体" w:cs="宋体"/>
                <w:color w:val="000000"/>
                <w:kern w:val="0"/>
                <w:sz w:val="18"/>
                <w:szCs w:val="18"/>
              </w:rPr>
            </w:pPr>
            <w:r>
              <w:rPr>
                <w:rFonts w:hint="eastAsia" w:ascii="宋体" w:hAnsi="宋体" w:cs="宋体"/>
                <w:color w:val="000000"/>
                <w:kern w:val="0"/>
                <w:sz w:val="18"/>
                <w:szCs w:val="18"/>
              </w:rPr>
              <w:t>1份</w:t>
            </w:r>
          </w:p>
        </w:tc>
        <w:tc>
          <w:tcPr>
            <w:tcW w:w="778" w:type="dxa"/>
            <w:tcBorders>
              <w:top w:val="nil"/>
              <w:left w:val="nil"/>
              <w:bottom w:val="single" w:color="000000" w:sz="4" w:space="0"/>
              <w:right w:val="single" w:color="000000" w:sz="4" w:space="0"/>
            </w:tcBorders>
            <w:shd w:val="clear" w:color="auto" w:fill="auto"/>
            <w:vAlign w:val="center"/>
          </w:tcPr>
          <w:p w14:paraId="5681C813">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10.00 </w:t>
            </w:r>
          </w:p>
        </w:tc>
        <w:tc>
          <w:tcPr>
            <w:tcW w:w="636" w:type="dxa"/>
            <w:tcBorders>
              <w:top w:val="nil"/>
              <w:left w:val="nil"/>
              <w:bottom w:val="single" w:color="000000" w:sz="4" w:space="0"/>
              <w:right w:val="single" w:color="000000" w:sz="4" w:space="0"/>
            </w:tcBorders>
            <w:shd w:val="clear" w:color="auto" w:fill="auto"/>
            <w:vAlign w:val="center"/>
          </w:tcPr>
          <w:p w14:paraId="5D3BB8DD">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32" w:type="dxa"/>
            <w:tcBorders>
              <w:top w:val="nil"/>
              <w:left w:val="nil"/>
              <w:bottom w:val="single" w:color="000000" w:sz="4" w:space="0"/>
              <w:right w:val="single" w:color="000000" w:sz="4" w:space="0"/>
            </w:tcBorders>
            <w:shd w:val="clear" w:color="auto" w:fill="auto"/>
            <w:vAlign w:val="center"/>
          </w:tcPr>
          <w:p w14:paraId="31D01A09">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31B72FD7">
        <w:tblPrEx>
          <w:tblCellMar>
            <w:top w:w="0" w:type="dxa"/>
            <w:left w:w="108" w:type="dxa"/>
            <w:bottom w:w="0" w:type="dxa"/>
            <w:right w:w="108" w:type="dxa"/>
          </w:tblCellMar>
        </w:tblPrEx>
        <w:trPr>
          <w:trHeight w:val="454" w:hRule="atLeast"/>
        </w:trPr>
        <w:tc>
          <w:tcPr>
            <w:tcW w:w="697" w:type="dxa"/>
            <w:vMerge w:val="continue"/>
            <w:tcBorders>
              <w:top w:val="nil"/>
              <w:left w:val="single" w:color="000000" w:sz="4" w:space="0"/>
              <w:bottom w:val="single" w:color="000000" w:sz="4" w:space="0"/>
              <w:right w:val="single" w:color="000000" w:sz="4" w:space="0"/>
            </w:tcBorders>
            <w:vAlign w:val="center"/>
          </w:tcPr>
          <w:p w14:paraId="37AF67FF">
            <w:pPr>
              <w:widowControl/>
              <w:jc w:val="left"/>
              <w:rPr>
                <w:rFonts w:ascii="宋体" w:hAnsi="宋体" w:cs="宋体"/>
                <w:color w:val="000000"/>
                <w:kern w:val="0"/>
                <w:sz w:val="18"/>
                <w:szCs w:val="18"/>
              </w:rPr>
            </w:pPr>
          </w:p>
        </w:tc>
        <w:tc>
          <w:tcPr>
            <w:tcW w:w="2032" w:type="dxa"/>
            <w:gridSpan w:val="2"/>
            <w:vMerge w:val="continue"/>
            <w:tcBorders>
              <w:top w:val="single" w:color="auto" w:sz="4" w:space="0"/>
              <w:left w:val="single" w:color="auto" w:sz="4" w:space="0"/>
              <w:bottom w:val="single" w:color="auto" w:sz="4" w:space="0"/>
              <w:right w:val="single" w:color="auto" w:sz="4" w:space="0"/>
            </w:tcBorders>
            <w:vAlign w:val="center"/>
          </w:tcPr>
          <w:p w14:paraId="0C63D08B">
            <w:pPr>
              <w:widowControl/>
              <w:jc w:val="left"/>
              <w:rPr>
                <w:rFonts w:ascii="宋体" w:hAnsi="宋体" w:cs="宋体"/>
                <w:color w:val="000000"/>
                <w:kern w:val="0"/>
                <w:sz w:val="18"/>
                <w:szCs w:val="18"/>
              </w:rPr>
            </w:pPr>
          </w:p>
        </w:tc>
        <w:tc>
          <w:tcPr>
            <w:tcW w:w="1758" w:type="dxa"/>
            <w:tcBorders>
              <w:top w:val="nil"/>
              <w:left w:val="nil"/>
              <w:bottom w:val="single" w:color="000000" w:sz="4" w:space="0"/>
              <w:right w:val="single" w:color="000000" w:sz="4" w:space="0"/>
            </w:tcBorders>
            <w:shd w:val="clear" w:color="auto" w:fill="auto"/>
            <w:vAlign w:val="center"/>
          </w:tcPr>
          <w:p w14:paraId="7D5327EC">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779" w:type="dxa"/>
            <w:tcBorders>
              <w:top w:val="nil"/>
              <w:left w:val="nil"/>
              <w:bottom w:val="single" w:color="000000" w:sz="4" w:space="0"/>
              <w:right w:val="single" w:color="000000" w:sz="4" w:space="0"/>
            </w:tcBorders>
            <w:shd w:val="clear" w:color="auto" w:fill="auto"/>
            <w:vAlign w:val="center"/>
          </w:tcPr>
          <w:p w14:paraId="6E9222E2">
            <w:pPr>
              <w:widowControl/>
              <w:jc w:val="center"/>
              <w:rPr>
                <w:rFonts w:ascii="宋体" w:hAnsi="宋体" w:cs="宋体"/>
                <w:color w:val="000000"/>
                <w:kern w:val="0"/>
                <w:sz w:val="18"/>
                <w:szCs w:val="18"/>
              </w:rPr>
            </w:pPr>
            <w:r>
              <w:rPr>
                <w:rFonts w:hint="eastAsia" w:ascii="宋体" w:hAnsi="宋体" w:cs="宋体"/>
                <w:color w:val="000000"/>
                <w:kern w:val="0"/>
                <w:sz w:val="18"/>
                <w:szCs w:val="18"/>
              </w:rPr>
              <w:t>报告质量</w:t>
            </w:r>
          </w:p>
        </w:tc>
        <w:tc>
          <w:tcPr>
            <w:tcW w:w="518" w:type="dxa"/>
            <w:tcBorders>
              <w:top w:val="nil"/>
              <w:left w:val="nil"/>
              <w:bottom w:val="single" w:color="000000" w:sz="4" w:space="0"/>
              <w:right w:val="single" w:color="000000" w:sz="4" w:space="0"/>
            </w:tcBorders>
            <w:shd w:val="clear" w:color="auto" w:fill="auto"/>
            <w:vAlign w:val="center"/>
          </w:tcPr>
          <w:p w14:paraId="1410E096">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660" w:type="dxa"/>
            <w:gridSpan w:val="3"/>
            <w:tcBorders>
              <w:top w:val="nil"/>
              <w:left w:val="nil"/>
              <w:bottom w:val="single" w:color="000000" w:sz="4" w:space="0"/>
              <w:right w:val="single" w:color="000000" w:sz="4" w:space="0"/>
            </w:tcBorders>
            <w:shd w:val="clear" w:color="auto" w:fill="auto"/>
            <w:vAlign w:val="center"/>
          </w:tcPr>
          <w:p w14:paraId="13F13842">
            <w:pPr>
              <w:widowControl/>
              <w:jc w:val="center"/>
              <w:rPr>
                <w:rFonts w:ascii="宋体" w:hAnsi="宋体" w:cs="宋体"/>
                <w:color w:val="000000"/>
                <w:kern w:val="0"/>
                <w:sz w:val="18"/>
                <w:szCs w:val="18"/>
              </w:rPr>
            </w:pPr>
            <w:r>
              <w:rPr>
                <w:rFonts w:hint="eastAsia" w:ascii="宋体" w:hAnsi="宋体" w:cs="宋体"/>
                <w:color w:val="000000"/>
                <w:kern w:val="0"/>
                <w:sz w:val="18"/>
                <w:szCs w:val="18"/>
              </w:rPr>
              <w:t>高</w:t>
            </w:r>
          </w:p>
        </w:tc>
        <w:tc>
          <w:tcPr>
            <w:tcW w:w="396" w:type="dxa"/>
            <w:gridSpan w:val="2"/>
            <w:tcBorders>
              <w:top w:val="nil"/>
              <w:left w:val="nil"/>
              <w:bottom w:val="single" w:color="000000" w:sz="4" w:space="0"/>
              <w:right w:val="single" w:color="000000" w:sz="4" w:space="0"/>
            </w:tcBorders>
            <w:shd w:val="clear" w:color="auto" w:fill="auto"/>
            <w:vAlign w:val="center"/>
          </w:tcPr>
          <w:p w14:paraId="0E1BB440">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374" w:type="dxa"/>
            <w:gridSpan w:val="2"/>
            <w:tcBorders>
              <w:top w:val="nil"/>
              <w:left w:val="nil"/>
              <w:bottom w:val="single" w:color="000000" w:sz="4" w:space="0"/>
              <w:right w:val="single" w:color="000000" w:sz="4" w:space="0"/>
            </w:tcBorders>
            <w:shd w:val="clear" w:color="auto" w:fill="auto"/>
            <w:vAlign w:val="center"/>
          </w:tcPr>
          <w:p w14:paraId="3C237FB1">
            <w:pPr>
              <w:widowControl/>
              <w:jc w:val="center"/>
              <w:rPr>
                <w:rFonts w:ascii="宋体" w:hAnsi="宋体" w:cs="宋体"/>
                <w:color w:val="000000"/>
                <w:kern w:val="0"/>
                <w:sz w:val="18"/>
                <w:szCs w:val="18"/>
              </w:rPr>
            </w:pPr>
            <w:r>
              <w:rPr>
                <w:rFonts w:hint="eastAsia" w:ascii="宋体" w:hAnsi="宋体" w:cs="宋体"/>
                <w:color w:val="000000"/>
                <w:kern w:val="0"/>
                <w:sz w:val="18"/>
                <w:szCs w:val="18"/>
              </w:rPr>
              <w:t>高</w:t>
            </w:r>
          </w:p>
        </w:tc>
        <w:tc>
          <w:tcPr>
            <w:tcW w:w="778" w:type="dxa"/>
            <w:tcBorders>
              <w:top w:val="nil"/>
              <w:left w:val="nil"/>
              <w:bottom w:val="single" w:color="000000" w:sz="4" w:space="0"/>
              <w:right w:val="single" w:color="000000" w:sz="4" w:space="0"/>
            </w:tcBorders>
            <w:shd w:val="clear" w:color="auto" w:fill="auto"/>
            <w:vAlign w:val="center"/>
          </w:tcPr>
          <w:p w14:paraId="499E4494">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15.00 </w:t>
            </w:r>
          </w:p>
        </w:tc>
        <w:tc>
          <w:tcPr>
            <w:tcW w:w="636" w:type="dxa"/>
            <w:tcBorders>
              <w:top w:val="nil"/>
              <w:left w:val="nil"/>
              <w:bottom w:val="single" w:color="000000" w:sz="4" w:space="0"/>
              <w:right w:val="single" w:color="000000" w:sz="4" w:space="0"/>
            </w:tcBorders>
            <w:shd w:val="clear" w:color="auto" w:fill="auto"/>
            <w:vAlign w:val="center"/>
          </w:tcPr>
          <w:p w14:paraId="4F3882AC">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32" w:type="dxa"/>
            <w:tcBorders>
              <w:top w:val="nil"/>
              <w:left w:val="nil"/>
              <w:bottom w:val="single" w:color="000000" w:sz="4" w:space="0"/>
              <w:right w:val="single" w:color="000000" w:sz="4" w:space="0"/>
            </w:tcBorders>
            <w:shd w:val="clear" w:color="auto" w:fill="auto"/>
            <w:vAlign w:val="center"/>
          </w:tcPr>
          <w:p w14:paraId="342F9579">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378BF37E">
        <w:tblPrEx>
          <w:tblCellMar>
            <w:top w:w="0" w:type="dxa"/>
            <w:left w:w="108" w:type="dxa"/>
            <w:bottom w:w="0" w:type="dxa"/>
            <w:right w:w="108" w:type="dxa"/>
          </w:tblCellMar>
        </w:tblPrEx>
        <w:trPr>
          <w:trHeight w:val="454" w:hRule="atLeast"/>
        </w:trPr>
        <w:tc>
          <w:tcPr>
            <w:tcW w:w="697" w:type="dxa"/>
            <w:vMerge w:val="continue"/>
            <w:tcBorders>
              <w:top w:val="nil"/>
              <w:left w:val="single" w:color="000000" w:sz="4" w:space="0"/>
              <w:bottom w:val="single" w:color="000000" w:sz="4" w:space="0"/>
              <w:right w:val="single" w:color="000000" w:sz="4" w:space="0"/>
            </w:tcBorders>
            <w:vAlign w:val="center"/>
          </w:tcPr>
          <w:p w14:paraId="20B9B8B2">
            <w:pPr>
              <w:widowControl/>
              <w:jc w:val="left"/>
              <w:rPr>
                <w:rFonts w:ascii="宋体" w:hAnsi="宋体" w:cs="宋体"/>
                <w:color w:val="000000"/>
                <w:kern w:val="0"/>
                <w:sz w:val="18"/>
                <w:szCs w:val="18"/>
              </w:rPr>
            </w:pPr>
          </w:p>
        </w:tc>
        <w:tc>
          <w:tcPr>
            <w:tcW w:w="2032" w:type="dxa"/>
            <w:gridSpan w:val="2"/>
            <w:vMerge w:val="continue"/>
            <w:tcBorders>
              <w:top w:val="single" w:color="auto" w:sz="4" w:space="0"/>
              <w:left w:val="single" w:color="auto" w:sz="4" w:space="0"/>
              <w:bottom w:val="single" w:color="auto" w:sz="4" w:space="0"/>
              <w:right w:val="single" w:color="auto" w:sz="4" w:space="0"/>
            </w:tcBorders>
            <w:vAlign w:val="center"/>
          </w:tcPr>
          <w:p w14:paraId="1E985CF3">
            <w:pPr>
              <w:widowControl/>
              <w:jc w:val="left"/>
              <w:rPr>
                <w:rFonts w:ascii="宋体" w:hAnsi="宋体" w:cs="宋体"/>
                <w:color w:val="000000"/>
                <w:kern w:val="0"/>
                <w:sz w:val="18"/>
                <w:szCs w:val="18"/>
              </w:rPr>
            </w:pPr>
          </w:p>
        </w:tc>
        <w:tc>
          <w:tcPr>
            <w:tcW w:w="1758" w:type="dxa"/>
            <w:tcBorders>
              <w:top w:val="nil"/>
              <w:left w:val="nil"/>
              <w:bottom w:val="single" w:color="000000" w:sz="4" w:space="0"/>
              <w:right w:val="single" w:color="000000" w:sz="4" w:space="0"/>
            </w:tcBorders>
            <w:shd w:val="clear" w:color="auto" w:fill="auto"/>
            <w:vAlign w:val="center"/>
          </w:tcPr>
          <w:p w14:paraId="02E8324B">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779" w:type="dxa"/>
            <w:tcBorders>
              <w:top w:val="nil"/>
              <w:left w:val="nil"/>
              <w:bottom w:val="single" w:color="000000" w:sz="4" w:space="0"/>
              <w:right w:val="single" w:color="000000" w:sz="4" w:space="0"/>
            </w:tcBorders>
            <w:shd w:val="clear" w:color="auto" w:fill="auto"/>
            <w:vAlign w:val="center"/>
          </w:tcPr>
          <w:p w14:paraId="76375A01">
            <w:pPr>
              <w:widowControl/>
              <w:jc w:val="center"/>
              <w:rPr>
                <w:rFonts w:ascii="宋体" w:hAnsi="宋体" w:cs="宋体"/>
                <w:color w:val="000000"/>
                <w:kern w:val="0"/>
                <w:sz w:val="18"/>
                <w:szCs w:val="18"/>
              </w:rPr>
            </w:pPr>
            <w:r>
              <w:rPr>
                <w:rFonts w:hint="eastAsia" w:ascii="宋体" w:hAnsi="宋体" w:cs="宋体"/>
                <w:color w:val="000000"/>
                <w:kern w:val="0"/>
                <w:sz w:val="18"/>
                <w:szCs w:val="18"/>
              </w:rPr>
              <w:t>时限</w:t>
            </w:r>
          </w:p>
        </w:tc>
        <w:tc>
          <w:tcPr>
            <w:tcW w:w="518" w:type="dxa"/>
            <w:tcBorders>
              <w:top w:val="nil"/>
              <w:left w:val="nil"/>
              <w:bottom w:val="single" w:color="000000" w:sz="4" w:space="0"/>
              <w:right w:val="single" w:color="000000" w:sz="4" w:space="0"/>
            </w:tcBorders>
            <w:shd w:val="clear" w:color="auto" w:fill="auto"/>
            <w:vAlign w:val="center"/>
          </w:tcPr>
          <w:p w14:paraId="7ED301CF">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60" w:type="dxa"/>
            <w:gridSpan w:val="3"/>
            <w:tcBorders>
              <w:top w:val="nil"/>
              <w:left w:val="nil"/>
              <w:bottom w:val="single" w:color="000000" w:sz="4" w:space="0"/>
              <w:right w:val="single" w:color="000000" w:sz="4" w:space="0"/>
            </w:tcBorders>
            <w:shd w:val="clear" w:color="auto" w:fill="auto"/>
            <w:vAlign w:val="center"/>
          </w:tcPr>
          <w:p w14:paraId="1F8A167B">
            <w:pPr>
              <w:widowControl/>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396" w:type="dxa"/>
            <w:gridSpan w:val="2"/>
            <w:tcBorders>
              <w:top w:val="nil"/>
              <w:left w:val="nil"/>
              <w:bottom w:val="single" w:color="000000" w:sz="4" w:space="0"/>
              <w:right w:val="single" w:color="000000" w:sz="4" w:space="0"/>
            </w:tcBorders>
            <w:shd w:val="clear" w:color="auto" w:fill="auto"/>
            <w:vAlign w:val="center"/>
          </w:tcPr>
          <w:p w14:paraId="4A6AC019">
            <w:pPr>
              <w:widowControl/>
              <w:jc w:val="center"/>
              <w:rPr>
                <w:rFonts w:ascii="宋体" w:hAnsi="宋体" w:cs="宋体"/>
                <w:color w:val="000000"/>
                <w:kern w:val="0"/>
                <w:sz w:val="18"/>
                <w:szCs w:val="18"/>
              </w:rPr>
            </w:pPr>
            <w:r>
              <w:rPr>
                <w:rFonts w:hint="eastAsia" w:ascii="宋体" w:hAnsi="宋体" w:cs="宋体"/>
                <w:color w:val="000000"/>
                <w:kern w:val="0"/>
                <w:sz w:val="18"/>
                <w:szCs w:val="18"/>
              </w:rPr>
              <w:t>月份</w:t>
            </w:r>
          </w:p>
        </w:tc>
        <w:tc>
          <w:tcPr>
            <w:tcW w:w="1374" w:type="dxa"/>
            <w:gridSpan w:val="2"/>
            <w:tcBorders>
              <w:top w:val="nil"/>
              <w:left w:val="nil"/>
              <w:bottom w:val="single" w:color="000000" w:sz="4" w:space="0"/>
              <w:right w:val="single" w:color="000000" w:sz="4" w:space="0"/>
            </w:tcBorders>
            <w:shd w:val="clear" w:color="auto" w:fill="auto"/>
            <w:vAlign w:val="center"/>
          </w:tcPr>
          <w:p w14:paraId="0EA58775">
            <w:pPr>
              <w:widowControl/>
              <w:jc w:val="center"/>
              <w:rPr>
                <w:rFonts w:ascii="宋体" w:hAnsi="宋体" w:cs="宋体"/>
                <w:color w:val="000000"/>
                <w:kern w:val="0"/>
                <w:sz w:val="18"/>
                <w:szCs w:val="18"/>
              </w:rPr>
            </w:pPr>
            <w:r>
              <w:rPr>
                <w:rFonts w:hint="eastAsia" w:ascii="宋体" w:hAnsi="宋体" w:cs="宋体"/>
                <w:color w:val="000000"/>
                <w:kern w:val="0"/>
                <w:sz w:val="18"/>
                <w:szCs w:val="18"/>
              </w:rPr>
              <w:t>11月份</w:t>
            </w:r>
          </w:p>
        </w:tc>
        <w:tc>
          <w:tcPr>
            <w:tcW w:w="778" w:type="dxa"/>
            <w:tcBorders>
              <w:top w:val="nil"/>
              <w:left w:val="nil"/>
              <w:bottom w:val="single" w:color="000000" w:sz="4" w:space="0"/>
              <w:right w:val="single" w:color="000000" w:sz="4" w:space="0"/>
            </w:tcBorders>
            <w:shd w:val="clear" w:color="auto" w:fill="auto"/>
            <w:vAlign w:val="center"/>
          </w:tcPr>
          <w:p w14:paraId="55E43DF0">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15.00 </w:t>
            </w:r>
          </w:p>
        </w:tc>
        <w:tc>
          <w:tcPr>
            <w:tcW w:w="636" w:type="dxa"/>
            <w:tcBorders>
              <w:top w:val="nil"/>
              <w:left w:val="nil"/>
              <w:bottom w:val="single" w:color="000000" w:sz="4" w:space="0"/>
              <w:right w:val="single" w:color="000000" w:sz="4" w:space="0"/>
            </w:tcBorders>
            <w:shd w:val="clear" w:color="auto" w:fill="auto"/>
            <w:vAlign w:val="center"/>
          </w:tcPr>
          <w:p w14:paraId="245E1198">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32" w:type="dxa"/>
            <w:tcBorders>
              <w:top w:val="nil"/>
              <w:left w:val="nil"/>
              <w:bottom w:val="single" w:color="000000" w:sz="4" w:space="0"/>
              <w:right w:val="single" w:color="000000" w:sz="4" w:space="0"/>
            </w:tcBorders>
            <w:shd w:val="clear" w:color="auto" w:fill="auto"/>
            <w:vAlign w:val="center"/>
          </w:tcPr>
          <w:p w14:paraId="10193CA8">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340590FE">
        <w:tblPrEx>
          <w:tblCellMar>
            <w:top w:w="0" w:type="dxa"/>
            <w:left w:w="108" w:type="dxa"/>
            <w:bottom w:w="0" w:type="dxa"/>
            <w:right w:w="108" w:type="dxa"/>
          </w:tblCellMar>
        </w:tblPrEx>
        <w:trPr>
          <w:trHeight w:val="454" w:hRule="atLeast"/>
        </w:trPr>
        <w:tc>
          <w:tcPr>
            <w:tcW w:w="697" w:type="dxa"/>
            <w:vMerge w:val="continue"/>
            <w:tcBorders>
              <w:top w:val="nil"/>
              <w:left w:val="single" w:color="000000" w:sz="4" w:space="0"/>
              <w:bottom w:val="single" w:color="000000" w:sz="4" w:space="0"/>
              <w:right w:val="single" w:color="000000" w:sz="4" w:space="0"/>
            </w:tcBorders>
            <w:vAlign w:val="center"/>
          </w:tcPr>
          <w:p w14:paraId="4AD5D093">
            <w:pPr>
              <w:widowControl/>
              <w:jc w:val="left"/>
              <w:rPr>
                <w:rFonts w:ascii="宋体" w:hAnsi="宋体" w:cs="宋体"/>
                <w:color w:val="000000"/>
                <w:kern w:val="0"/>
                <w:sz w:val="18"/>
                <w:szCs w:val="18"/>
              </w:rPr>
            </w:pPr>
          </w:p>
        </w:tc>
        <w:tc>
          <w:tcPr>
            <w:tcW w:w="2032" w:type="dxa"/>
            <w:gridSpan w:val="2"/>
            <w:vMerge w:val="continue"/>
            <w:tcBorders>
              <w:top w:val="single" w:color="auto" w:sz="4" w:space="0"/>
              <w:left w:val="single" w:color="auto" w:sz="4" w:space="0"/>
              <w:bottom w:val="single" w:color="auto" w:sz="4" w:space="0"/>
              <w:right w:val="single" w:color="auto" w:sz="4" w:space="0"/>
            </w:tcBorders>
            <w:vAlign w:val="center"/>
          </w:tcPr>
          <w:p w14:paraId="514E3367">
            <w:pPr>
              <w:widowControl/>
              <w:jc w:val="left"/>
              <w:rPr>
                <w:rFonts w:ascii="宋体" w:hAnsi="宋体" w:cs="宋体"/>
                <w:color w:val="000000"/>
                <w:kern w:val="0"/>
                <w:sz w:val="18"/>
                <w:szCs w:val="18"/>
              </w:rPr>
            </w:pPr>
          </w:p>
        </w:tc>
        <w:tc>
          <w:tcPr>
            <w:tcW w:w="1758" w:type="dxa"/>
            <w:tcBorders>
              <w:top w:val="nil"/>
              <w:left w:val="nil"/>
              <w:bottom w:val="single" w:color="000000" w:sz="4" w:space="0"/>
              <w:right w:val="single" w:color="000000" w:sz="4" w:space="0"/>
            </w:tcBorders>
            <w:shd w:val="clear" w:color="auto" w:fill="auto"/>
            <w:vAlign w:val="center"/>
          </w:tcPr>
          <w:p w14:paraId="19A06327">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2779" w:type="dxa"/>
            <w:tcBorders>
              <w:top w:val="nil"/>
              <w:left w:val="nil"/>
              <w:bottom w:val="single" w:color="000000" w:sz="4" w:space="0"/>
              <w:right w:val="single" w:color="000000" w:sz="4" w:space="0"/>
            </w:tcBorders>
            <w:shd w:val="clear" w:color="auto" w:fill="auto"/>
            <w:vAlign w:val="center"/>
          </w:tcPr>
          <w:p w14:paraId="6A48C045">
            <w:pPr>
              <w:widowControl/>
              <w:jc w:val="center"/>
              <w:rPr>
                <w:rFonts w:ascii="宋体" w:hAnsi="宋体" w:cs="宋体"/>
                <w:color w:val="000000"/>
                <w:kern w:val="0"/>
                <w:sz w:val="18"/>
                <w:szCs w:val="18"/>
              </w:rPr>
            </w:pPr>
            <w:r>
              <w:rPr>
                <w:rFonts w:hint="eastAsia" w:ascii="宋体" w:hAnsi="宋体" w:cs="宋体"/>
                <w:color w:val="000000"/>
                <w:kern w:val="0"/>
                <w:sz w:val="18"/>
                <w:szCs w:val="18"/>
              </w:rPr>
              <w:t>编制费用</w:t>
            </w:r>
          </w:p>
        </w:tc>
        <w:tc>
          <w:tcPr>
            <w:tcW w:w="518" w:type="dxa"/>
            <w:tcBorders>
              <w:top w:val="nil"/>
              <w:left w:val="nil"/>
              <w:bottom w:val="single" w:color="000000" w:sz="4" w:space="0"/>
              <w:right w:val="single" w:color="000000" w:sz="4" w:space="0"/>
            </w:tcBorders>
            <w:shd w:val="clear" w:color="auto" w:fill="auto"/>
            <w:vAlign w:val="center"/>
          </w:tcPr>
          <w:p w14:paraId="5666BA1C">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60" w:type="dxa"/>
            <w:gridSpan w:val="3"/>
            <w:tcBorders>
              <w:top w:val="nil"/>
              <w:left w:val="nil"/>
              <w:bottom w:val="single" w:color="000000" w:sz="4" w:space="0"/>
              <w:right w:val="single" w:color="000000" w:sz="4" w:space="0"/>
            </w:tcBorders>
            <w:shd w:val="clear" w:color="auto" w:fill="auto"/>
            <w:vAlign w:val="center"/>
          </w:tcPr>
          <w:p w14:paraId="3B0F2299">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gridSpan w:val="2"/>
            <w:tcBorders>
              <w:top w:val="nil"/>
              <w:left w:val="nil"/>
              <w:bottom w:val="single" w:color="000000" w:sz="4" w:space="0"/>
              <w:right w:val="single" w:color="000000" w:sz="4" w:space="0"/>
            </w:tcBorders>
            <w:shd w:val="clear" w:color="auto" w:fill="auto"/>
            <w:vAlign w:val="center"/>
          </w:tcPr>
          <w:p w14:paraId="3E9B1DF7">
            <w:pPr>
              <w:widowControl/>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1374" w:type="dxa"/>
            <w:gridSpan w:val="2"/>
            <w:tcBorders>
              <w:top w:val="nil"/>
              <w:left w:val="nil"/>
              <w:bottom w:val="single" w:color="000000" w:sz="4" w:space="0"/>
              <w:right w:val="single" w:color="000000" w:sz="4" w:space="0"/>
            </w:tcBorders>
            <w:shd w:val="clear" w:color="auto" w:fill="auto"/>
            <w:vAlign w:val="center"/>
          </w:tcPr>
          <w:p w14:paraId="4984F7D8">
            <w:pPr>
              <w:widowControl/>
              <w:jc w:val="center"/>
              <w:rPr>
                <w:rFonts w:ascii="宋体" w:hAnsi="宋体" w:cs="宋体"/>
                <w:color w:val="000000"/>
                <w:kern w:val="0"/>
                <w:sz w:val="18"/>
                <w:szCs w:val="18"/>
              </w:rPr>
            </w:pPr>
            <w:r>
              <w:rPr>
                <w:rFonts w:hint="eastAsia" w:ascii="宋体" w:hAnsi="宋体" w:cs="宋体"/>
                <w:color w:val="000000"/>
                <w:kern w:val="0"/>
                <w:sz w:val="18"/>
                <w:szCs w:val="18"/>
              </w:rPr>
              <w:t>5万元</w:t>
            </w:r>
          </w:p>
        </w:tc>
        <w:tc>
          <w:tcPr>
            <w:tcW w:w="778" w:type="dxa"/>
            <w:tcBorders>
              <w:top w:val="nil"/>
              <w:left w:val="nil"/>
              <w:bottom w:val="single" w:color="000000" w:sz="4" w:space="0"/>
              <w:right w:val="single" w:color="000000" w:sz="4" w:space="0"/>
            </w:tcBorders>
            <w:shd w:val="clear" w:color="auto" w:fill="auto"/>
            <w:vAlign w:val="center"/>
          </w:tcPr>
          <w:p w14:paraId="19380A3C">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10.00 </w:t>
            </w:r>
          </w:p>
        </w:tc>
        <w:tc>
          <w:tcPr>
            <w:tcW w:w="636" w:type="dxa"/>
            <w:tcBorders>
              <w:top w:val="nil"/>
              <w:left w:val="nil"/>
              <w:bottom w:val="single" w:color="000000" w:sz="4" w:space="0"/>
              <w:right w:val="single" w:color="000000" w:sz="4" w:space="0"/>
            </w:tcBorders>
            <w:shd w:val="clear" w:color="auto" w:fill="auto"/>
            <w:vAlign w:val="center"/>
          </w:tcPr>
          <w:p w14:paraId="2196427A">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32" w:type="dxa"/>
            <w:tcBorders>
              <w:top w:val="nil"/>
              <w:left w:val="nil"/>
              <w:bottom w:val="single" w:color="000000" w:sz="4" w:space="0"/>
              <w:right w:val="single" w:color="000000" w:sz="4" w:space="0"/>
            </w:tcBorders>
            <w:shd w:val="clear" w:color="auto" w:fill="auto"/>
            <w:vAlign w:val="center"/>
          </w:tcPr>
          <w:p w14:paraId="1BA791F1">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605010C7">
        <w:tblPrEx>
          <w:tblCellMar>
            <w:top w:w="0" w:type="dxa"/>
            <w:left w:w="108" w:type="dxa"/>
            <w:bottom w:w="0" w:type="dxa"/>
            <w:right w:w="108" w:type="dxa"/>
          </w:tblCellMar>
        </w:tblPrEx>
        <w:trPr>
          <w:trHeight w:val="454" w:hRule="atLeast"/>
        </w:trPr>
        <w:tc>
          <w:tcPr>
            <w:tcW w:w="697" w:type="dxa"/>
            <w:vMerge w:val="continue"/>
            <w:tcBorders>
              <w:top w:val="nil"/>
              <w:left w:val="single" w:color="000000" w:sz="4" w:space="0"/>
              <w:bottom w:val="single" w:color="000000" w:sz="4" w:space="0"/>
              <w:right w:val="single" w:color="000000" w:sz="4" w:space="0"/>
            </w:tcBorders>
            <w:vAlign w:val="center"/>
          </w:tcPr>
          <w:p w14:paraId="6199F02D">
            <w:pPr>
              <w:widowControl/>
              <w:jc w:val="left"/>
              <w:rPr>
                <w:rFonts w:ascii="宋体" w:hAnsi="宋体" w:cs="宋体"/>
                <w:color w:val="000000"/>
                <w:kern w:val="0"/>
                <w:sz w:val="18"/>
                <w:szCs w:val="18"/>
              </w:rPr>
            </w:pPr>
          </w:p>
        </w:tc>
        <w:tc>
          <w:tcPr>
            <w:tcW w:w="2032" w:type="dxa"/>
            <w:gridSpan w:val="2"/>
            <w:vMerge w:val="restart"/>
            <w:tcBorders>
              <w:top w:val="nil"/>
              <w:left w:val="single" w:color="000000" w:sz="4" w:space="0"/>
              <w:bottom w:val="nil"/>
              <w:right w:val="single" w:color="000000" w:sz="4" w:space="0"/>
            </w:tcBorders>
            <w:shd w:val="clear" w:color="auto" w:fill="auto"/>
            <w:vAlign w:val="center"/>
          </w:tcPr>
          <w:p w14:paraId="4C5B6E41">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758" w:type="dxa"/>
            <w:tcBorders>
              <w:top w:val="nil"/>
              <w:left w:val="nil"/>
              <w:bottom w:val="single" w:color="000000" w:sz="4" w:space="0"/>
              <w:right w:val="single" w:color="000000" w:sz="4" w:space="0"/>
            </w:tcBorders>
            <w:shd w:val="clear" w:color="auto" w:fill="auto"/>
            <w:vAlign w:val="center"/>
          </w:tcPr>
          <w:p w14:paraId="34B664C8">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779" w:type="dxa"/>
            <w:tcBorders>
              <w:top w:val="nil"/>
              <w:left w:val="nil"/>
              <w:bottom w:val="single" w:color="000000" w:sz="4" w:space="0"/>
              <w:right w:val="single" w:color="000000" w:sz="4" w:space="0"/>
            </w:tcBorders>
            <w:shd w:val="clear" w:color="auto" w:fill="auto"/>
            <w:vAlign w:val="center"/>
          </w:tcPr>
          <w:p w14:paraId="222853EA">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服务“三农”</w:t>
            </w:r>
          </w:p>
        </w:tc>
        <w:tc>
          <w:tcPr>
            <w:tcW w:w="518" w:type="dxa"/>
            <w:tcBorders>
              <w:top w:val="nil"/>
              <w:left w:val="nil"/>
              <w:bottom w:val="single" w:color="000000" w:sz="4" w:space="0"/>
              <w:right w:val="single" w:color="000000" w:sz="4" w:space="0"/>
            </w:tcBorders>
            <w:shd w:val="clear" w:color="auto" w:fill="auto"/>
            <w:vAlign w:val="center"/>
          </w:tcPr>
          <w:p w14:paraId="6D7AEB4A">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660" w:type="dxa"/>
            <w:gridSpan w:val="3"/>
            <w:tcBorders>
              <w:top w:val="nil"/>
              <w:left w:val="nil"/>
              <w:bottom w:val="single" w:color="000000" w:sz="4" w:space="0"/>
              <w:right w:val="single" w:color="000000" w:sz="4" w:space="0"/>
            </w:tcBorders>
            <w:shd w:val="clear" w:color="auto" w:fill="auto"/>
            <w:vAlign w:val="center"/>
          </w:tcPr>
          <w:p w14:paraId="17DF0521">
            <w:pPr>
              <w:widowControl/>
              <w:jc w:val="center"/>
              <w:rPr>
                <w:rFonts w:ascii="宋体" w:hAnsi="宋体" w:cs="宋体"/>
                <w:color w:val="000000"/>
                <w:kern w:val="0"/>
                <w:sz w:val="18"/>
                <w:szCs w:val="18"/>
              </w:rPr>
            </w:pPr>
            <w:r>
              <w:rPr>
                <w:rFonts w:hint="eastAsia" w:ascii="宋体" w:hAnsi="宋体" w:cs="宋体"/>
                <w:color w:val="000000"/>
                <w:kern w:val="0"/>
                <w:sz w:val="18"/>
                <w:szCs w:val="18"/>
              </w:rPr>
              <w:t>高</w:t>
            </w:r>
          </w:p>
        </w:tc>
        <w:tc>
          <w:tcPr>
            <w:tcW w:w="396" w:type="dxa"/>
            <w:gridSpan w:val="2"/>
            <w:tcBorders>
              <w:top w:val="nil"/>
              <w:left w:val="nil"/>
              <w:bottom w:val="single" w:color="000000" w:sz="4" w:space="0"/>
              <w:right w:val="single" w:color="000000" w:sz="4" w:space="0"/>
            </w:tcBorders>
            <w:shd w:val="clear" w:color="auto" w:fill="auto"/>
            <w:vAlign w:val="center"/>
          </w:tcPr>
          <w:p w14:paraId="71CD4825">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374" w:type="dxa"/>
            <w:gridSpan w:val="2"/>
            <w:tcBorders>
              <w:top w:val="nil"/>
              <w:left w:val="nil"/>
              <w:bottom w:val="single" w:color="000000" w:sz="4" w:space="0"/>
              <w:right w:val="single" w:color="000000" w:sz="4" w:space="0"/>
            </w:tcBorders>
            <w:shd w:val="clear" w:color="auto" w:fill="auto"/>
            <w:vAlign w:val="center"/>
          </w:tcPr>
          <w:p w14:paraId="300832B8">
            <w:pPr>
              <w:widowControl/>
              <w:jc w:val="center"/>
              <w:rPr>
                <w:rFonts w:ascii="宋体" w:hAnsi="宋体" w:cs="宋体"/>
                <w:color w:val="000000"/>
                <w:kern w:val="0"/>
                <w:sz w:val="18"/>
                <w:szCs w:val="18"/>
              </w:rPr>
            </w:pPr>
            <w:r>
              <w:rPr>
                <w:rFonts w:hint="eastAsia" w:ascii="宋体" w:hAnsi="宋体" w:cs="宋体"/>
                <w:color w:val="000000"/>
                <w:kern w:val="0"/>
                <w:sz w:val="18"/>
                <w:szCs w:val="18"/>
              </w:rPr>
              <w:t>高</w:t>
            </w:r>
          </w:p>
        </w:tc>
        <w:tc>
          <w:tcPr>
            <w:tcW w:w="778" w:type="dxa"/>
            <w:tcBorders>
              <w:top w:val="nil"/>
              <w:left w:val="nil"/>
              <w:bottom w:val="single" w:color="000000" w:sz="4" w:space="0"/>
              <w:right w:val="single" w:color="000000" w:sz="4" w:space="0"/>
            </w:tcBorders>
            <w:shd w:val="clear" w:color="auto" w:fill="auto"/>
            <w:vAlign w:val="center"/>
          </w:tcPr>
          <w:p w14:paraId="59801DB0">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15.00 </w:t>
            </w:r>
          </w:p>
        </w:tc>
        <w:tc>
          <w:tcPr>
            <w:tcW w:w="636" w:type="dxa"/>
            <w:tcBorders>
              <w:top w:val="nil"/>
              <w:left w:val="nil"/>
              <w:bottom w:val="single" w:color="000000" w:sz="4" w:space="0"/>
              <w:right w:val="single" w:color="000000" w:sz="4" w:space="0"/>
            </w:tcBorders>
            <w:shd w:val="clear" w:color="auto" w:fill="auto"/>
            <w:vAlign w:val="center"/>
          </w:tcPr>
          <w:p w14:paraId="471D1719">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r>
              <w:rPr>
                <w:rFonts w:hint="eastAsia" w:ascii="宋体" w:hAnsi="宋体" w:cs="宋体"/>
                <w:color w:val="000000"/>
                <w:kern w:val="0"/>
                <w:sz w:val="18"/>
                <w:szCs w:val="18"/>
                <w:lang w:val="en-US" w:eastAsia="zh-CN"/>
              </w:rPr>
              <w:t>4</w:t>
            </w:r>
          </w:p>
        </w:tc>
        <w:tc>
          <w:tcPr>
            <w:tcW w:w="2532" w:type="dxa"/>
            <w:tcBorders>
              <w:top w:val="nil"/>
              <w:left w:val="nil"/>
              <w:bottom w:val="single" w:color="000000" w:sz="4" w:space="0"/>
              <w:right w:val="single" w:color="000000" w:sz="4" w:space="0"/>
            </w:tcBorders>
            <w:shd w:val="clear" w:color="auto" w:fill="auto"/>
            <w:vAlign w:val="center"/>
          </w:tcPr>
          <w:p w14:paraId="1A958FDC">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38697063">
        <w:tblPrEx>
          <w:tblCellMar>
            <w:top w:w="0" w:type="dxa"/>
            <w:left w:w="108" w:type="dxa"/>
            <w:bottom w:w="0" w:type="dxa"/>
            <w:right w:w="108" w:type="dxa"/>
          </w:tblCellMar>
        </w:tblPrEx>
        <w:trPr>
          <w:trHeight w:val="660" w:hRule="atLeast"/>
        </w:trPr>
        <w:tc>
          <w:tcPr>
            <w:tcW w:w="697" w:type="dxa"/>
            <w:vMerge w:val="continue"/>
            <w:tcBorders>
              <w:top w:val="nil"/>
              <w:left w:val="single" w:color="000000" w:sz="4" w:space="0"/>
              <w:bottom w:val="single" w:color="000000" w:sz="4" w:space="0"/>
              <w:right w:val="single" w:color="000000" w:sz="4" w:space="0"/>
            </w:tcBorders>
            <w:vAlign w:val="center"/>
          </w:tcPr>
          <w:p w14:paraId="51251492">
            <w:pPr>
              <w:widowControl/>
              <w:jc w:val="left"/>
              <w:rPr>
                <w:rFonts w:ascii="宋体" w:hAnsi="宋体" w:cs="宋体"/>
                <w:color w:val="000000"/>
                <w:kern w:val="0"/>
                <w:sz w:val="18"/>
                <w:szCs w:val="18"/>
              </w:rPr>
            </w:pPr>
          </w:p>
        </w:tc>
        <w:tc>
          <w:tcPr>
            <w:tcW w:w="2032" w:type="dxa"/>
            <w:gridSpan w:val="2"/>
            <w:vMerge w:val="continue"/>
            <w:tcBorders>
              <w:top w:val="nil"/>
              <w:left w:val="single" w:color="000000" w:sz="4" w:space="0"/>
              <w:bottom w:val="nil"/>
              <w:right w:val="single" w:color="000000" w:sz="4" w:space="0"/>
            </w:tcBorders>
            <w:vAlign w:val="center"/>
          </w:tcPr>
          <w:p w14:paraId="34527241">
            <w:pPr>
              <w:widowControl/>
              <w:jc w:val="left"/>
              <w:rPr>
                <w:rFonts w:ascii="宋体" w:hAnsi="宋体" w:cs="宋体"/>
                <w:color w:val="000000"/>
                <w:kern w:val="0"/>
                <w:sz w:val="18"/>
                <w:szCs w:val="18"/>
              </w:rPr>
            </w:pPr>
          </w:p>
        </w:tc>
        <w:tc>
          <w:tcPr>
            <w:tcW w:w="1758" w:type="dxa"/>
            <w:tcBorders>
              <w:top w:val="nil"/>
              <w:left w:val="nil"/>
              <w:bottom w:val="single" w:color="000000" w:sz="4" w:space="0"/>
              <w:right w:val="single" w:color="000000" w:sz="4" w:space="0"/>
            </w:tcBorders>
            <w:shd w:val="clear" w:color="auto" w:fill="auto"/>
            <w:vAlign w:val="center"/>
          </w:tcPr>
          <w:p w14:paraId="00753178">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779" w:type="dxa"/>
            <w:tcBorders>
              <w:top w:val="nil"/>
              <w:left w:val="nil"/>
              <w:bottom w:val="single" w:color="000000" w:sz="4" w:space="0"/>
              <w:right w:val="single" w:color="000000" w:sz="4" w:space="0"/>
            </w:tcBorders>
            <w:shd w:val="clear" w:color="auto" w:fill="auto"/>
            <w:vAlign w:val="center"/>
          </w:tcPr>
          <w:p w14:paraId="5A083DFA">
            <w:pPr>
              <w:widowControl/>
              <w:jc w:val="center"/>
              <w:rPr>
                <w:rFonts w:ascii="宋体" w:hAnsi="宋体" w:cs="宋体"/>
                <w:color w:val="000000"/>
                <w:kern w:val="0"/>
                <w:sz w:val="18"/>
                <w:szCs w:val="18"/>
              </w:rPr>
            </w:pPr>
            <w:r>
              <w:rPr>
                <w:rFonts w:hint="eastAsia" w:ascii="宋体" w:hAnsi="宋体" w:cs="宋体"/>
                <w:color w:val="000000"/>
                <w:kern w:val="0"/>
                <w:sz w:val="18"/>
                <w:szCs w:val="18"/>
              </w:rPr>
              <w:t>为农工作</w:t>
            </w:r>
          </w:p>
        </w:tc>
        <w:tc>
          <w:tcPr>
            <w:tcW w:w="518" w:type="dxa"/>
            <w:tcBorders>
              <w:top w:val="nil"/>
              <w:left w:val="nil"/>
              <w:bottom w:val="single" w:color="000000" w:sz="4" w:space="0"/>
              <w:right w:val="single" w:color="000000" w:sz="4" w:space="0"/>
            </w:tcBorders>
            <w:shd w:val="clear" w:color="auto" w:fill="auto"/>
            <w:vAlign w:val="center"/>
          </w:tcPr>
          <w:p w14:paraId="7D65D770">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660" w:type="dxa"/>
            <w:gridSpan w:val="3"/>
            <w:tcBorders>
              <w:top w:val="nil"/>
              <w:left w:val="nil"/>
              <w:bottom w:val="single" w:color="000000" w:sz="4" w:space="0"/>
              <w:right w:val="single" w:color="000000" w:sz="4" w:space="0"/>
            </w:tcBorders>
            <w:shd w:val="clear" w:color="auto" w:fill="auto"/>
            <w:vAlign w:val="center"/>
          </w:tcPr>
          <w:p w14:paraId="60EE02D1">
            <w:pPr>
              <w:widowControl/>
              <w:jc w:val="center"/>
              <w:rPr>
                <w:rFonts w:ascii="宋体" w:hAnsi="宋体" w:cs="宋体"/>
                <w:color w:val="000000"/>
                <w:kern w:val="0"/>
                <w:sz w:val="18"/>
                <w:szCs w:val="18"/>
              </w:rPr>
            </w:pPr>
            <w:r>
              <w:rPr>
                <w:rFonts w:hint="eastAsia" w:ascii="宋体" w:hAnsi="宋体" w:cs="宋体"/>
                <w:color w:val="000000"/>
                <w:kern w:val="0"/>
                <w:sz w:val="18"/>
                <w:szCs w:val="18"/>
              </w:rPr>
              <w:t>长期</w:t>
            </w:r>
          </w:p>
        </w:tc>
        <w:tc>
          <w:tcPr>
            <w:tcW w:w="396" w:type="dxa"/>
            <w:gridSpan w:val="2"/>
            <w:tcBorders>
              <w:top w:val="nil"/>
              <w:left w:val="nil"/>
              <w:bottom w:val="single" w:color="000000" w:sz="4" w:space="0"/>
              <w:right w:val="single" w:color="000000" w:sz="4" w:space="0"/>
            </w:tcBorders>
            <w:shd w:val="clear" w:color="auto" w:fill="auto"/>
            <w:vAlign w:val="center"/>
          </w:tcPr>
          <w:p w14:paraId="229FFF53">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374" w:type="dxa"/>
            <w:gridSpan w:val="2"/>
            <w:tcBorders>
              <w:top w:val="nil"/>
              <w:left w:val="nil"/>
              <w:bottom w:val="single" w:color="000000" w:sz="4" w:space="0"/>
              <w:right w:val="single" w:color="000000" w:sz="4" w:space="0"/>
            </w:tcBorders>
            <w:shd w:val="clear" w:color="auto" w:fill="auto"/>
            <w:vAlign w:val="center"/>
          </w:tcPr>
          <w:p w14:paraId="43D4C121">
            <w:pPr>
              <w:widowControl/>
              <w:jc w:val="center"/>
              <w:rPr>
                <w:rFonts w:ascii="宋体" w:hAnsi="宋体" w:cs="宋体"/>
                <w:color w:val="000000"/>
                <w:kern w:val="0"/>
                <w:sz w:val="18"/>
                <w:szCs w:val="18"/>
              </w:rPr>
            </w:pPr>
            <w:r>
              <w:rPr>
                <w:rFonts w:hint="eastAsia" w:ascii="宋体" w:hAnsi="宋体" w:cs="宋体"/>
                <w:color w:val="000000"/>
                <w:kern w:val="0"/>
                <w:sz w:val="18"/>
                <w:szCs w:val="18"/>
              </w:rPr>
              <w:t>长期</w:t>
            </w:r>
          </w:p>
        </w:tc>
        <w:tc>
          <w:tcPr>
            <w:tcW w:w="778" w:type="dxa"/>
            <w:tcBorders>
              <w:top w:val="nil"/>
              <w:left w:val="nil"/>
              <w:bottom w:val="single" w:color="000000" w:sz="4" w:space="0"/>
              <w:right w:val="single" w:color="000000" w:sz="4" w:space="0"/>
            </w:tcBorders>
            <w:shd w:val="clear" w:color="auto" w:fill="auto"/>
            <w:vAlign w:val="center"/>
          </w:tcPr>
          <w:p w14:paraId="4D9D6DB0">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15.00 </w:t>
            </w:r>
          </w:p>
        </w:tc>
        <w:tc>
          <w:tcPr>
            <w:tcW w:w="636" w:type="dxa"/>
            <w:tcBorders>
              <w:top w:val="nil"/>
              <w:left w:val="nil"/>
              <w:bottom w:val="single" w:color="000000" w:sz="4" w:space="0"/>
              <w:right w:val="single" w:color="000000" w:sz="4" w:space="0"/>
            </w:tcBorders>
            <w:shd w:val="clear" w:color="auto" w:fill="auto"/>
            <w:vAlign w:val="center"/>
          </w:tcPr>
          <w:p w14:paraId="132E8746">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r>
              <w:rPr>
                <w:rFonts w:hint="eastAsia" w:ascii="宋体" w:hAnsi="宋体" w:cs="宋体"/>
                <w:color w:val="000000"/>
                <w:kern w:val="0"/>
                <w:sz w:val="18"/>
                <w:szCs w:val="18"/>
                <w:lang w:val="en-US" w:eastAsia="zh-CN"/>
              </w:rPr>
              <w:t>4</w:t>
            </w:r>
          </w:p>
        </w:tc>
        <w:tc>
          <w:tcPr>
            <w:tcW w:w="2532" w:type="dxa"/>
            <w:tcBorders>
              <w:top w:val="nil"/>
              <w:left w:val="nil"/>
              <w:bottom w:val="single" w:color="000000" w:sz="4" w:space="0"/>
              <w:right w:val="single" w:color="000000" w:sz="4" w:space="0"/>
            </w:tcBorders>
            <w:shd w:val="clear" w:color="auto" w:fill="auto"/>
            <w:vAlign w:val="center"/>
          </w:tcPr>
          <w:p w14:paraId="298669F5">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735DB402">
        <w:tblPrEx>
          <w:tblCellMar>
            <w:top w:w="0" w:type="dxa"/>
            <w:left w:w="108" w:type="dxa"/>
            <w:bottom w:w="0" w:type="dxa"/>
            <w:right w:w="108" w:type="dxa"/>
          </w:tblCellMar>
        </w:tblPrEx>
        <w:trPr>
          <w:trHeight w:val="454" w:hRule="atLeast"/>
        </w:trPr>
        <w:tc>
          <w:tcPr>
            <w:tcW w:w="697" w:type="dxa"/>
            <w:vMerge w:val="continue"/>
            <w:tcBorders>
              <w:top w:val="nil"/>
              <w:left w:val="single" w:color="000000" w:sz="4" w:space="0"/>
              <w:bottom w:val="single" w:color="000000" w:sz="4" w:space="0"/>
              <w:right w:val="single" w:color="000000" w:sz="4" w:space="0"/>
            </w:tcBorders>
            <w:vAlign w:val="center"/>
          </w:tcPr>
          <w:p w14:paraId="104C618C">
            <w:pPr>
              <w:widowControl/>
              <w:jc w:val="left"/>
              <w:rPr>
                <w:rFonts w:ascii="宋体" w:hAnsi="宋体" w:cs="宋体"/>
                <w:color w:val="000000"/>
                <w:kern w:val="0"/>
                <w:sz w:val="18"/>
                <w:szCs w:val="18"/>
              </w:rPr>
            </w:pPr>
          </w:p>
        </w:tc>
        <w:tc>
          <w:tcPr>
            <w:tcW w:w="20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0E75764">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758" w:type="dxa"/>
            <w:tcBorders>
              <w:top w:val="nil"/>
              <w:left w:val="nil"/>
              <w:bottom w:val="single" w:color="000000" w:sz="4" w:space="0"/>
              <w:right w:val="single" w:color="000000" w:sz="4" w:space="0"/>
            </w:tcBorders>
            <w:shd w:val="clear" w:color="auto" w:fill="auto"/>
            <w:vAlign w:val="center"/>
          </w:tcPr>
          <w:p w14:paraId="64907141">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2779" w:type="dxa"/>
            <w:tcBorders>
              <w:top w:val="nil"/>
              <w:left w:val="nil"/>
              <w:bottom w:val="single" w:color="000000" w:sz="4" w:space="0"/>
              <w:right w:val="single" w:color="000000" w:sz="4" w:space="0"/>
            </w:tcBorders>
            <w:shd w:val="clear" w:color="auto" w:fill="auto"/>
            <w:vAlign w:val="center"/>
          </w:tcPr>
          <w:p w14:paraId="5B6C1787">
            <w:pPr>
              <w:widowControl/>
              <w:jc w:val="center"/>
              <w:rPr>
                <w:rFonts w:ascii="宋体" w:hAnsi="宋体" w:cs="宋体"/>
                <w:color w:val="000000"/>
                <w:kern w:val="0"/>
                <w:sz w:val="18"/>
                <w:szCs w:val="18"/>
              </w:rPr>
            </w:pPr>
            <w:r>
              <w:rPr>
                <w:rFonts w:hint="eastAsia" w:ascii="宋体" w:hAnsi="宋体" w:cs="宋体"/>
                <w:color w:val="000000"/>
                <w:kern w:val="0"/>
                <w:sz w:val="18"/>
                <w:szCs w:val="18"/>
              </w:rPr>
              <w:t>评估单位满意度</w:t>
            </w:r>
          </w:p>
        </w:tc>
        <w:tc>
          <w:tcPr>
            <w:tcW w:w="518" w:type="dxa"/>
            <w:tcBorders>
              <w:top w:val="nil"/>
              <w:left w:val="nil"/>
              <w:bottom w:val="single" w:color="000000" w:sz="4" w:space="0"/>
              <w:right w:val="single" w:color="000000" w:sz="4" w:space="0"/>
            </w:tcBorders>
            <w:shd w:val="clear" w:color="auto" w:fill="auto"/>
            <w:vAlign w:val="center"/>
          </w:tcPr>
          <w:p w14:paraId="5E42AE11">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60" w:type="dxa"/>
            <w:gridSpan w:val="3"/>
            <w:tcBorders>
              <w:top w:val="nil"/>
              <w:left w:val="nil"/>
              <w:bottom w:val="single" w:color="000000" w:sz="4" w:space="0"/>
              <w:right w:val="single" w:color="000000" w:sz="4" w:space="0"/>
            </w:tcBorders>
            <w:shd w:val="clear" w:color="auto" w:fill="auto"/>
            <w:vAlign w:val="center"/>
          </w:tcPr>
          <w:p w14:paraId="7FC60D67">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396" w:type="dxa"/>
            <w:gridSpan w:val="2"/>
            <w:tcBorders>
              <w:top w:val="nil"/>
              <w:left w:val="nil"/>
              <w:bottom w:val="single" w:color="000000" w:sz="4" w:space="0"/>
              <w:right w:val="single" w:color="000000" w:sz="4" w:space="0"/>
            </w:tcBorders>
            <w:shd w:val="clear" w:color="auto" w:fill="auto"/>
            <w:vAlign w:val="center"/>
          </w:tcPr>
          <w:p w14:paraId="7E2F05C8">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74" w:type="dxa"/>
            <w:gridSpan w:val="2"/>
            <w:tcBorders>
              <w:top w:val="nil"/>
              <w:left w:val="nil"/>
              <w:bottom w:val="single" w:color="000000" w:sz="4" w:space="0"/>
              <w:right w:val="single" w:color="000000" w:sz="4" w:space="0"/>
            </w:tcBorders>
            <w:shd w:val="clear" w:color="auto" w:fill="auto"/>
            <w:vAlign w:val="center"/>
          </w:tcPr>
          <w:p w14:paraId="5317DCE5">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778" w:type="dxa"/>
            <w:tcBorders>
              <w:top w:val="nil"/>
              <w:left w:val="nil"/>
              <w:bottom w:val="single" w:color="000000" w:sz="4" w:space="0"/>
              <w:right w:val="single" w:color="000000" w:sz="4" w:space="0"/>
            </w:tcBorders>
            <w:shd w:val="clear" w:color="auto" w:fill="auto"/>
            <w:vAlign w:val="center"/>
          </w:tcPr>
          <w:p w14:paraId="7D65CA3A">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10.00 </w:t>
            </w:r>
          </w:p>
        </w:tc>
        <w:tc>
          <w:tcPr>
            <w:tcW w:w="636" w:type="dxa"/>
            <w:tcBorders>
              <w:top w:val="nil"/>
              <w:left w:val="nil"/>
              <w:bottom w:val="single" w:color="000000" w:sz="4" w:space="0"/>
              <w:right w:val="single" w:color="000000" w:sz="4" w:space="0"/>
            </w:tcBorders>
            <w:shd w:val="clear" w:color="auto" w:fill="auto"/>
            <w:vAlign w:val="center"/>
          </w:tcPr>
          <w:p w14:paraId="41AE40F7">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32" w:type="dxa"/>
            <w:tcBorders>
              <w:top w:val="nil"/>
              <w:left w:val="nil"/>
              <w:bottom w:val="single" w:color="000000" w:sz="4" w:space="0"/>
              <w:right w:val="single" w:color="000000" w:sz="4" w:space="0"/>
            </w:tcBorders>
            <w:shd w:val="clear" w:color="auto" w:fill="auto"/>
            <w:vAlign w:val="center"/>
          </w:tcPr>
          <w:p w14:paraId="2F8DE7F9">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289EF47E">
        <w:tblPrEx>
          <w:tblCellMar>
            <w:top w:w="0" w:type="dxa"/>
            <w:left w:w="108" w:type="dxa"/>
            <w:bottom w:w="0" w:type="dxa"/>
            <w:right w:w="108" w:type="dxa"/>
          </w:tblCellMar>
        </w:tblPrEx>
        <w:trPr>
          <w:trHeight w:val="540" w:hRule="atLeast"/>
        </w:trPr>
        <w:tc>
          <w:tcPr>
            <w:tcW w:w="11214"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79CC75CB">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778" w:type="dxa"/>
            <w:tcBorders>
              <w:top w:val="single" w:color="auto" w:sz="4" w:space="0"/>
              <w:left w:val="nil"/>
              <w:bottom w:val="single" w:color="000000" w:sz="4" w:space="0"/>
              <w:right w:val="single" w:color="000000" w:sz="4" w:space="0"/>
            </w:tcBorders>
            <w:shd w:val="clear" w:color="auto" w:fill="auto"/>
            <w:vAlign w:val="center"/>
          </w:tcPr>
          <w:p w14:paraId="6B9894F6">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636" w:type="dxa"/>
            <w:tcBorders>
              <w:top w:val="single" w:color="auto" w:sz="4" w:space="0"/>
              <w:left w:val="nil"/>
              <w:bottom w:val="single" w:color="000000" w:sz="4" w:space="0"/>
              <w:right w:val="single" w:color="000000" w:sz="4" w:space="0"/>
            </w:tcBorders>
            <w:shd w:val="clear" w:color="auto" w:fill="auto"/>
            <w:vAlign w:val="center"/>
          </w:tcPr>
          <w:p w14:paraId="4E7F763B">
            <w:pPr>
              <w:widowControl/>
              <w:jc w:val="center"/>
              <w:rPr>
                <w:rFonts w:ascii="宋体" w:hAnsi="宋体" w:cs="宋体"/>
                <w:color w:val="000000"/>
                <w:kern w:val="0"/>
                <w:sz w:val="18"/>
                <w:szCs w:val="18"/>
              </w:rPr>
            </w:pPr>
            <w:r>
              <w:rPr>
                <w:rFonts w:hint="eastAsia" w:ascii="宋体" w:hAnsi="宋体" w:cs="宋体"/>
                <w:color w:val="000000"/>
                <w:kern w:val="0"/>
                <w:sz w:val="18"/>
                <w:szCs w:val="18"/>
              </w:rPr>
              <w:t>9</w:t>
            </w:r>
            <w:r>
              <w:rPr>
                <w:rFonts w:hint="eastAsia" w:ascii="宋体" w:hAnsi="宋体" w:cs="宋体"/>
                <w:color w:val="000000"/>
                <w:kern w:val="0"/>
                <w:sz w:val="18"/>
                <w:szCs w:val="18"/>
                <w:lang w:val="en-US" w:eastAsia="zh-CN"/>
              </w:rPr>
              <w:t>8</w:t>
            </w:r>
          </w:p>
        </w:tc>
        <w:tc>
          <w:tcPr>
            <w:tcW w:w="2532" w:type="dxa"/>
            <w:tcBorders>
              <w:top w:val="single" w:color="auto" w:sz="4" w:space="0"/>
              <w:left w:val="nil"/>
              <w:bottom w:val="single" w:color="000000" w:sz="4" w:space="0"/>
              <w:right w:val="single" w:color="000000" w:sz="4" w:space="0"/>
            </w:tcBorders>
            <w:shd w:val="clear" w:color="auto" w:fill="auto"/>
            <w:vAlign w:val="center"/>
          </w:tcPr>
          <w:p w14:paraId="5AA217BD">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14:paraId="6DE5F57E">
        <w:tblPrEx>
          <w:tblCellMar>
            <w:top w:w="0" w:type="dxa"/>
            <w:left w:w="108" w:type="dxa"/>
            <w:bottom w:w="0" w:type="dxa"/>
            <w:right w:w="108" w:type="dxa"/>
          </w:tblCellMar>
        </w:tblPrEx>
        <w:trPr>
          <w:trHeight w:val="840" w:hRule="atLeast"/>
        </w:trPr>
        <w:tc>
          <w:tcPr>
            <w:tcW w:w="697" w:type="dxa"/>
            <w:tcBorders>
              <w:top w:val="nil"/>
              <w:left w:val="single" w:color="000000" w:sz="4" w:space="0"/>
              <w:bottom w:val="single" w:color="000000" w:sz="4" w:space="0"/>
              <w:right w:val="single" w:color="000000" w:sz="4" w:space="0"/>
            </w:tcBorders>
            <w:shd w:val="clear" w:color="auto" w:fill="auto"/>
            <w:vAlign w:val="center"/>
          </w:tcPr>
          <w:p w14:paraId="0AB4FE88">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4463" w:type="dxa"/>
            <w:gridSpan w:val="15"/>
            <w:tcBorders>
              <w:top w:val="single" w:color="000000" w:sz="4" w:space="0"/>
              <w:left w:val="nil"/>
              <w:bottom w:val="single" w:color="000000" w:sz="4" w:space="0"/>
              <w:right w:val="single" w:color="000000" w:sz="4" w:space="0"/>
            </w:tcBorders>
            <w:shd w:val="clear" w:color="auto" w:fill="auto"/>
            <w:vAlign w:val="center"/>
          </w:tcPr>
          <w:p w14:paraId="12F327C7">
            <w:pPr>
              <w:widowControl/>
              <w:jc w:val="left"/>
              <w:rPr>
                <w:rFonts w:ascii="宋体" w:hAnsi="宋体" w:cs="宋体"/>
                <w:color w:val="000000"/>
                <w:kern w:val="0"/>
                <w:sz w:val="18"/>
                <w:szCs w:val="18"/>
              </w:rPr>
            </w:pPr>
            <w:r>
              <w:rPr>
                <w:rFonts w:hint="eastAsia" w:ascii="宋体" w:hAnsi="宋体" w:cs="宋体"/>
                <w:color w:val="000000"/>
                <w:kern w:val="0"/>
                <w:sz w:val="18"/>
                <w:szCs w:val="18"/>
              </w:rPr>
              <w:t>项目自评得分9</w:t>
            </w:r>
            <w:r>
              <w:rPr>
                <w:rFonts w:hint="eastAsia" w:ascii="宋体" w:hAnsi="宋体" w:cs="宋体"/>
                <w:color w:val="000000"/>
                <w:kern w:val="0"/>
                <w:sz w:val="18"/>
                <w:szCs w:val="18"/>
                <w:lang w:val="en-US" w:eastAsia="zh-CN"/>
              </w:rPr>
              <w:t>8</w:t>
            </w:r>
            <w:r>
              <w:rPr>
                <w:rFonts w:hint="eastAsia" w:ascii="宋体" w:hAnsi="宋体" w:cs="宋体"/>
                <w:color w:val="000000"/>
                <w:kern w:val="0"/>
                <w:sz w:val="18"/>
                <w:szCs w:val="18"/>
              </w:rPr>
              <w:t>分，此项目通过比选，选择性价比高的专业机构编制可行性分析报告，质量完成程度较高，使得我单位在全省参与评审的16个县中排名第三。从而省供销社综改资金能顺利拨付我县，在我县产生较高经济效益、社会效益、生态效益。</w:t>
            </w:r>
          </w:p>
        </w:tc>
      </w:tr>
      <w:tr w14:paraId="15154A79">
        <w:tblPrEx>
          <w:tblCellMar>
            <w:top w:w="0" w:type="dxa"/>
            <w:left w:w="108" w:type="dxa"/>
            <w:bottom w:w="0" w:type="dxa"/>
            <w:right w:w="108" w:type="dxa"/>
          </w:tblCellMar>
        </w:tblPrEx>
        <w:trPr>
          <w:trHeight w:val="574" w:hRule="atLeast"/>
        </w:trPr>
        <w:tc>
          <w:tcPr>
            <w:tcW w:w="697" w:type="dxa"/>
            <w:tcBorders>
              <w:top w:val="nil"/>
              <w:left w:val="single" w:color="000000" w:sz="4" w:space="0"/>
              <w:bottom w:val="single" w:color="000000" w:sz="4" w:space="0"/>
              <w:right w:val="single" w:color="000000" w:sz="4" w:space="0"/>
            </w:tcBorders>
            <w:shd w:val="clear" w:color="auto" w:fill="auto"/>
            <w:vAlign w:val="center"/>
          </w:tcPr>
          <w:p w14:paraId="532B6712">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4463" w:type="dxa"/>
            <w:gridSpan w:val="15"/>
            <w:tcBorders>
              <w:top w:val="single" w:color="000000" w:sz="4" w:space="0"/>
              <w:left w:val="nil"/>
              <w:bottom w:val="single" w:color="000000" w:sz="4" w:space="0"/>
              <w:right w:val="single" w:color="000000" w:sz="4" w:space="0"/>
            </w:tcBorders>
            <w:shd w:val="clear" w:color="auto" w:fill="auto"/>
            <w:vAlign w:val="center"/>
          </w:tcPr>
          <w:p w14:paraId="48FCCAA6">
            <w:pPr>
              <w:widowControl/>
              <w:jc w:val="left"/>
              <w:rPr>
                <w:rFonts w:ascii="宋体" w:hAnsi="宋体" w:cs="宋体"/>
                <w:color w:val="000000"/>
                <w:kern w:val="0"/>
                <w:sz w:val="18"/>
                <w:szCs w:val="18"/>
              </w:rPr>
            </w:pPr>
            <w:r>
              <w:rPr>
                <w:rFonts w:hint="eastAsia" w:ascii="宋体" w:hAnsi="宋体" w:cs="宋体"/>
                <w:color w:val="000000"/>
                <w:kern w:val="0"/>
                <w:sz w:val="18"/>
                <w:szCs w:val="18"/>
              </w:rPr>
              <w:t>年</w:t>
            </w:r>
            <w:r>
              <w:rPr>
                <w:rFonts w:hint="eastAsia" w:ascii="宋体" w:hAnsi="宋体" w:cs="宋体"/>
                <w:color w:val="000000"/>
                <w:kern w:val="0"/>
                <w:sz w:val="18"/>
                <w:szCs w:val="18"/>
                <w:lang w:eastAsia="zh-CN"/>
              </w:rPr>
              <w:t>初</w:t>
            </w:r>
            <w:r>
              <w:rPr>
                <w:rFonts w:hint="eastAsia" w:ascii="宋体" w:hAnsi="宋体" w:cs="宋体"/>
                <w:color w:val="000000"/>
                <w:kern w:val="0"/>
                <w:sz w:val="18"/>
                <w:szCs w:val="18"/>
              </w:rPr>
              <w:t>预算编制不够严格。</w:t>
            </w:r>
          </w:p>
        </w:tc>
      </w:tr>
      <w:tr w14:paraId="699F12B4">
        <w:tblPrEx>
          <w:tblCellMar>
            <w:top w:w="0" w:type="dxa"/>
            <w:left w:w="108" w:type="dxa"/>
            <w:bottom w:w="0" w:type="dxa"/>
            <w:right w:w="108" w:type="dxa"/>
          </w:tblCellMar>
        </w:tblPrEx>
        <w:trPr>
          <w:trHeight w:val="634" w:hRule="atLeast"/>
        </w:trPr>
        <w:tc>
          <w:tcPr>
            <w:tcW w:w="697" w:type="dxa"/>
            <w:tcBorders>
              <w:top w:val="nil"/>
              <w:left w:val="single" w:color="000000" w:sz="4" w:space="0"/>
              <w:bottom w:val="single" w:color="000000" w:sz="4" w:space="0"/>
              <w:right w:val="single" w:color="000000" w:sz="4" w:space="0"/>
            </w:tcBorders>
            <w:shd w:val="clear" w:color="auto" w:fill="auto"/>
            <w:vAlign w:val="center"/>
          </w:tcPr>
          <w:p w14:paraId="3C11B55D">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4463" w:type="dxa"/>
            <w:gridSpan w:val="15"/>
            <w:tcBorders>
              <w:top w:val="single" w:color="000000" w:sz="4" w:space="0"/>
              <w:left w:val="nil"/>
              <w:bottom w:val="single" w:color="000000" w:sz="4" w:space="0"/>
              <w:right w:val="single" w:color="000000" w:sz="4" w:space="0"/>
            </w:tcBorders>
            <w:shd w:val="clear" w:color="auto" w:fill="auto"/>
            <w:vAlign w:val="center"/>
          </w:tcPr>
          <w:p w14:paraId="5BC181B1">
            <w:pPr>
              <w:widowControl/>
              <w:jc w:val="left"/>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多方收集信息，力争预算编制全面完善。</w:t>
            </w:r>
          </w:p>
        </w:tc>
      </w:tr>
      <w:tr w14:paraId="6D1D7BCA">
        <w:tblPrEx>
          <w:tblCellMar>
            <w:top w:w="0" w:type="dxa"/>
            <w:left w:w="108" w:type="dxa"/>
            <w:bottom w:w="0" w:type="dxa"/>
            <w:right w:w="108" w:type="dxa"/>
          </w:tblCellMar>
        </w:tblPrEx>
        <w:trPr>
          <w:trHeight w:val="486" w:hRule="atLeast"/>
        </w:trPr>
        <w:tc>
          <w:tcPr>
            <w:tcW w:w="778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D62AA04">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项目负责人：朱晓兵</w:t>
            </w:r>
          </w:p>
        </w:tc>
        <w:tc>
          <w:tcPr>
            <w:tcW w:w="7376" w:type="dxa"/>
            <w:gridSpan w:val="10"/>
            <w:tcBorders>
              <w:top w:val="single" w:color="000000" w:sz="4" w:space="0"/>
              <w:left w:val="nil"/>
              <w:bottom w:val="single" w:color="000000" w:sz="4" w:space="0"/>
              <w:right w:val="single" w:color="000000" w:sz="4" w:space="0"/>
            </w:tcBorders>
            <w:shd w:val="clear" w:color="auto" w:fill="auto"/>
            <w:vAlign w:val="center"/>
          </w:tcPr>
          <w:p w14:paraId="1826F0C0">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财务负责人：李鑫</w:t>
            </w:r>
          </w:p>
        </w:tc>
      </w:tr>
    </w:tbl>
    <w:p w14:paraId="6A9723B7">
      <w:pPr>
        <w:pStyle w:val="6"/>
        <w:spacing w:before="93"/>
        <w:rPr>
          <w:rFonts w:ascii="Times New Roman"/>
          <w:color w:val="000000"/>
          <w:kern w:val="2"/>
          <w:sz w:val="32"/>
          <w:szCs w:val="32"/>
          <w:lang w:val="zh-CN"/>
        </w:rPr>
      </w:pPr>
    </w:p>
    <w:p w14:paraId="7B4F94C4">
      <w:pPr>
        <w:pStyle w:val="6"/>
        <w:spacing w:before="93"/>
        <w:rPr>
          <w:rFonts w:ascii="Times New Roman"/>
          <w:color w:val="000000"/>
          <w:kern w:val="2"/>
          <w:sz w:val="32"/>
          <w:szCs w:val="32"/>
          <w:lang w:val="zh-CN"/>
        </w:rPr>
      </w:pPr>
    </w:p>
    <w:tbl>
      <w:tblPr>
        <w:tblStyle w:val="16"/>
        <w:tblW w:w="15160" w:type="dxa"/>
        <w:tblInd w:w="93" w:type="dxa"/>
        <w:tblLayout w:type="fixed"/>
        <w:tblCellMar>
          <w:top w:w="0" w:type="dxa"/>
          <w:left w:w="108" w:type="dxa"/>
          <w:bottom w:w="0" w:type="dxa"/>
          <w:right w:w="108" w:type="dxa"/>
        </w:tblCellMar>
      </w:tblPr>
      <w:tblGrid>
        <w:gridCol w:w="700"/>
        <w:gridCol w:w="2060"/>
        <w:gridCol w:w="1780"/>
        <w:gridCol w:w="2820"/>
        <w:gridCol w:w="520"/>
        <w:gridCol w:w="1680"/>
        <w:gridCol w:w="520"/>
        <w:gridCol w:w="1100"/>
        <w:gridCol w:w="780"/>
        <w:gridCol w:w="640"/>
        <w:gridCol w:w="2560"/>
      </w:tblGrid>
      <w:tr w14:paraId="4A90C352">
        <w:tblPrEx>
          <w:tblCellMar>
            <w:top w:w="0" w:type="dxa"/>
            <w:left w:w="108" w:type="dxa"/>
            <w:bottom w:w="0" w:type="dxa"/>
            <w:right w:w="108" w:type="dxa"/>
          </w:tblCellMar>
        </w:tblPrEx>
        <w:trPr>
          <w:trHeight w:val="390" w:hRule="atLeast"/>
        </w:trPr>
        <w:tc>
          <w:tcPr>
            <w:tcW w:w="151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20CED10">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14:paraId="233D2DDC">
        <w:tblPrEx>
          <w:tblCellMar>
            <w:top w:w="0" w:type="dxa"/>
            <w:left w:w="108" w:type="dxa"/>
            <w:bottom w:w="0" w:type="dxa"/>
            <w:right w:w="108" w:type="dxa"/>
          </w:tblCellMar>
        </w:tblPrEx>
        <w:trPr>
          <w:trHeight w:val="270" w:hRule="atLeast"/>
        </w:trPr>
        <w:tc>
          <w:tcPr>
            <w:tcW w:w="27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5B8F5E">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2400" w:type="dxa"/>
            <w:gridSpan w:val="9"/>
            <w:tcBorders>
              <w:top w:val="single" w:color="000000" w:sz="4" w:space="0"/>
              <w:left w:val="nil"/>
              <w:bottom w:val="single" w:color="000000" w:sz="4" w:space="0"/>
              <w:right w:val="single" w:color="000000" w:sz="4" w:space="0"/>
            </w:tcBorders>
            <w:shd w:val="clear" w:color="auto" w:fill="auto"/>
            <w:vAlign w:val="center"/>
          </w:tcPr>
          <w:p w14:paraId="567BD9C8">
            <w:pPr>
              <w:widowControl/>
              <w:jc w:val="left"/>
              <w:rPr>
                <w:rFonts w:ascii="宋体" w:hAnsi="宋体" w:cs="宋体"/>
                <w:color w:val="000000"/>
                <w:kern w:val="0"/>
                <w:sz w:val="18"/>
                <w:szCs w:val="18"/>
              </w:rPr>
            </w:pPr>
            <w:r>
              <w:rPr>
                <w:rFonts w:hint="eastAsia" w:ascii="宋体" w:hAnsi="宋体" w:cs="宋体"/>
                <w:color w:val="000000"/>
                <w:kern w:val="0"/>
                <w:sz w:val="18"/>
                <w:szCs w:val="18"/>
              </w:rPr>
              <w:t>基层示范社建设资金</w:t>
            </w:r>
          </w:p>
        </w:tc>
      </w:tr>
      <w:tr w14:paraId="72BEEB81">
        <w:tblPrEx>
          <w:tblCellMar>
            <w:top w:w="0" w:type="dxa"/>
            <w:left w:w="108" w:type="dxa"/>
            <w:bottom w:w="0" w:type="dxa"/>
            <w:right w:w="108" w:type="dxa"/>
          </w:tblCellMar>
        </w:tblPrEx>
        <w:trPr>
          <w:trHeight w:val="450" w:hRule="atLeast"/>
        </w:trPr>
        <w:tc>
          <w:tcPr>
            <w:tcW w:w="27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D024E">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7320" w:type="dxa"/>
            <w:gridSpan w:val="5"/>
            <w:tcBorders>
              <w:top w:val="single" w:color="000000" w:sz="4" w:space="0"/>
              <w:left w:val="nil"/>
              <w:bottom w:val="single" w:color="000000" w:sz="4" w:space="0"/>
              <w:right w:val="single" w:color="000000" w:sz="4" w:space="0"/>
            </w:tcBorders>
            <w:shd w:val="clear" w:color="auto" w:fill="auto"/>
            <w:vAlign w:val="center"/>
          </w:tcPr>
          <w:p w14:paraId="3EC4F49F">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盐边县供销合作社联合社（部门）</w:t>
            </w:r>
          </w:p>
        </w:tc>
        <w:tc>
          <w:tcPr>
            <w:tcW w:w="1100" w:type="dxa"/>
            <w:tcBorders>
              <w:top w:val="nil"/>
              <w:left w:val="nil"/>
              <w:bottom w:val="nil"/>
              <w:right w:val="nil"/>
            </w:tcBorders>
            <w:shd w:val="clear" w:color="auto" w:fill="auto"/>
            <w:vAlign w:val="center"/>
          </w:tcPr>
          <w:p w14:paraId="18343E53">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9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D656F8">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盐边县供销合作社联合社</w:t>
            </w:r>
          </w:p>
        </w:tc>
      </w:tr>
      <w:tr w14:paraId="57514DC4">
        <w:tblPrEx>
          <w:tblCellMar>
            <w:top w:w="0" w:type="dxa"/>
            <w:left w:w="108" w:type="dxa"/>
            <w:bottom w:w="0" w:type="dxa"/>
            <w:right w:w="108" w:type="dxa"/>
          </w:tblCellMar>
        </w:tblPrEx>
        <w:trPr>
          <w:trHeight w:val="270" w:hRule="atLeast"/>
        </w:trPr>
        <w:tc>
          <w:tcPr>
            <w:tcW w:w="700" w:type="dxa"/>
            <w:vMerge w:val="restart"/>
            <w:tcBorders>
              <w:top w:val="nil"/>
              <w:left w:val="single" w:color="000000" w:sz="4" w:space="0"/>
              <w:bottom w:val="single" w:color="000000" w:sz="4" w:space="0"/>
              <w:right w:val="single" w:color="000000" w:sz="4" w:space="0"/>
            </w:tcBorders>
            <w:shd w:val="clear" w:color="auto" w:fill="auto"/>
            <w:vAlign w:val="center"/>
          </w:tcPr>
          <w:p w14:paraId="10644F02">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2060" w:type="dxa"/>
            <w:vMerge w:val="restart"/>
            <w:tcBorders>
              <w:top w:val="nil"/>
              <w:left w:val="single" w:color="000000" w:sz="4" w:space="0"/>
              <w:bottom w:val="single" w:color="000000" w:sz="4" w:space="0"/>
              <w:right w:val="single" w:color="000000" w:sz="4" w:space="0"/>
            </w:tcBorders>
            <w:shd w:val="clear" w:color="auto" w:fill="auto"/>
            <w:vAlign w:val="center"/>
          </w:tcPr>
          <w:p w14:paraId="3A0007F8">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7320" w:type="dxa"/>
            <w:gridSpan w:val="5"/>
            <w:tcBorders>
              <w:top w:val="single" w:color="000000" w:sz="4" w:space="0"/>
              <w:left w:val="nil"/>
              <w:bottom w:val="single" w:color="000000" w:sz="4" w:space="0"/>
              <w:right w:val="single" w:color="000000" w:sz="4" w:space="0"/>
            </w:tcBorders>
            <w:shd w:val="clear" w:color="auto" w:fill="auto"/>
            <w:vAlign w:val="center"/>
          </w:tcPr>
          <w:p w14:paraId="4616F8F3">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5080" w:type="dxa"/>
            <w:gridSpan w:val="4"/>
            <w:tcBorders>
              <w:top w:val="single" w:color="000000" w:sz="4" w:space="0"/>
              <w:left w:val="nil"/>
              <w:bottom w:val="single" w:color="000000" w:sz="4" w:space="0"/>
              <w:right w:val="single" w:color="000000" w:sz="4" w:space="0"/>
            </w:tcBorders>
            <w:shd w:val="clear" w:color="auto" w:fill="auto"/>
            <w:vAlign w:val="center"/>
          </w:tcPr>
          <w:p w14:paraId="0AD23C1A">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14:paraId="7EE36D4F">
        <w:tblPrEx>
          <w:tblCellMar>
            <w:top w:w="0" w:type="dxa"/>
            <w:left w:w="108" w:type="dxa"/>
            <w:bottom w:w="0" w:type="dxa"/>
            <w:right w:w="108" w:type="dxa"/>
          </w:tblCellMar>
        </w:tblPrEx>
        <w:trPr>
          <w:trHeight w:val="1095" w:hRule="atLeast"/>
        </w:trPr>
        <w:tc>
          <w:tcPr>
            <w:tcW w:w="700" w:type="dxa"/>
            <w:vMerge w:val="continue"/>
            <w:tcBorders>
              <w:top w:val="nil"/>
              <w:left w:val="single" w:color="000000" w:sz="4" w:space="0"/>
              <w:bottom w:val="single" w:color="000000" w:sz="4" w:space="0"/>
              <w:right w:val="single" w:color="000000" w:sz="4" w:space="0"/>
            </w:tcBorders>
            <w:vAlign w:val="center"/>
          </w:tcPr>
          <w:p w14:paraId="71984923">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14:paraId="5340873D">
            <w:pPr>
              <w:widowControl/>
              <w:jc w:val="left"/>
              <w:rPr>
                <w:rFonts w:ascii="宋体" w:hAnsi="宋体" w:cs="宋体"/>
                <w:color w:val="000000"/>
                <w:kern w:val="0"/>
                <w:sz w:val="18"/>
                <w:szCs w:val="18"/>
              </w:rPr>
            </w:pPr>
          </w:p>
        </w:tc>
        <w:tc>
          <w:tcPr>
            <w:tcW w:w="7320" w:type="dxa"/>
            <w:gridSpan w:val="5"/>
            <w:tcBorders>
              <w:top w:val="single" w:color="000000" w:sz="4" w:space="0"/>
              <w:left w:val="nil"/>
              <w:bottom w:val="single" w:color="000000" w:sz="4" w:space="0"/>
              <w:right w:val="single" w:color="000000" w:sz="4" w:space="0"/>
            </w:tcBorders>
            <w:shd w:val="clear" w:color="auto" w:fill="auto"/>
            <w:vAlign w:val="center"/>
          </w:tcPr>
          <w:p w14:paraId="5E592EF7">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支持基层供销社示范社发展，发展新型集体经济。    </w:t>
            </w:r>
          </w:p>
        </w:tc>
        <w:tc>
          <w:tcPr>
            <w:tcW w:w="5080" w:type="dxa"/>
            <w:gridSpan w:val="4"/>
            <w:tcBorders>
              <w:top w:val="single" w:color="000000" w:sz="4" w:space="0"/>
              <w:left w:val="nil"/>
              <w:bottom w:val="single" w:color="000000" w:sz="4" w:space="0"/>
              <w:right w:val="single" w:color="000000" w:sz="4" w:space="0"/>
            </w:tcBorders>
            <w:shd w:val="clear" w:color="auto" w:fill="auto"/>
            <w:vAlign w:val="center"/>
          </w:tcPr>
          <w:p w14:paraId="16DC5ED6">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完成了5个基层示范社的创建工作，拨付了盐边县供销社入股资金，发展了新型集体经济。</w:t>
            </w:r>
          </w:p>
        </w:tc>
      </w:tr>
      <w:tr w14:paraId="63F69DB1">
        <w:tblPrEx>
          <w:tblCellMar>
            <w:top w:w="0" w:type="dxa"/>
            <w:left w:w="108" w:type="dxa"/>
            <w:bottom w:w="0" w:type="dxa"/>
            <w:right w:w="108" w:type="dxa"/>
          </w:tblCellMar>
        </w:tblPrEx>
        <w:trPr>
          <w:trHeight w:val="855" w:hRule="atLeast"/>
        </w:trPr>
        <w:tc>
          <w:tcPr>
            <w:tcW w:w="700" w:type="dxa"/>
            <w:vMerge w:val="continue"/>
            <w:tcBorders>
              <w:top w:val="nil"/>
              <w:left w:val="single" w:color="000000" w:sz="4" w:space="0"/>
              <w:bottom w:val="single" w:color="000000" w:sz="4" w:space="0"/>
              <w:right w:val="single" w:color="000000" w:sz="4" w:space="0"/>
            </w:tcBorders>
            <w:vAlign w:val="center"/>
          </w:tcPr>
          <w:p w14:paraId="7CF9CCCF">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2D74DEED">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2400" w:type="dxa"/>
            <w:gridSpan w:val="9"/>
            <w:tcBorders>
              <w:top w:val="single" w:color="000000" w:sz="4" w:space="0"/>
              <w:left w:val="nil"/>
              <w:bottom w:val="single" w:color="000000" w:sz="4" w:space="0"/>
              <w:right w:val="single" w:color="000000" w:sz="4" w:space="0"/>
            </w:tcBorders>
            <w:shd w:val="clear" w:color="auto" w:fill="auto"/>
            <w:vAlign w:val="center"/>
          </w:tcPr>
          <w:p w14:paraId="4F071577">
            <w:pPr>
              <w:widowControl/>
              <w:jc w:val="left"/>
              <w:rPr>
                <w:rFonts w:ascii="宋体" w:hAnsi="宋体" w:cs="宋体"/>
                <w:color w:val="000000"/>
                <w:kern w:val="0"/>
                <w:sz w:val="18"/>
                <w:szCs w:val="18"/>
              </w:rPr>
            </w:pPr>
            <w:r>
              <w:rPr>
                <w:rFonts w:hint="eastAsia" w:ascii="宋体" w:hAnsi="宋体" w:cs="宋体"/>
                <w:color w:val="000000"/>
                <w:kern w:val="0"/>
                <w:sz w:val="18"/>
                <w:szCs w:val="18"/>
              </w:rPr>
              <w:t>完成5个基层示范社的创建工作，按照建设内容及标准，经营主导方面，每个基层社有固定资产，县供销社持股达到34﹪以上；服务功能方面：围绕农业生产产前、产中、产后提供服务，开展农业生产资料销售，拓展服务功能，开展线上线下营销业务；紧密联结农民，以农民为主体，农民社员不低于100人，有三个基层社组织领办农民专业合作社。</w:t>
            </w:r>
          </w:p>
        </w:tc>
      </w:tr>
      <w:tr w14:paraId="6F877719">
        <w:tblPrEx>
          <w:tblCellMar>
            <w:top w:w="0" w:type="dxa"/>
            <w:left w:w="108" w:type="dxa"/>
            <w:bottom w:w="0" w:type="dxa"/>
            <w:right w:w="108" w:type="dxa"/>
          </w:tblCellMar>
        </w:tblPrEx>
        <w:trPr>
          <w:trHeight w:val="270" w:hRule="atLeast"/>
        </w:trPr>
        <w:tc>
          <w:tcPr>
            <w:tcW w:w="700" w:type="dxa"/>
            <w:vMerge w:val="restart"/>
            <w:tcBorders>
              <w:top w:val="nil"/>
              <w:left w:val="single" w:color="000000" w:sz="4" w:space="0"/>
              <w:bottom w:val="single" w:color="000000" w:sz="4" w:space="0"/>
              <w:right w:val="single" w:color="000000" w:sz="4" w:space="0"/>
            </w:tcBorders>
            <w:shd w:val="clear" w:color="auto" w:fill="auto"/>
            <w:vAlign w:val="center"/>
          </w:tcPr>
          <w:p w14:paraId="3F80B96C">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2060" w:type="dxa"/>
            <w:tcBorders>
              <w:top w:val="nil"/>
              <w:left w:val="nil"/>
              <w:bottom w:val="single" w:color="000000" w:sz="4" w:space="0"/>
              <w:right w:val="single" w:color="000000" w:sz="4" w:space="0"/>
            </w:tcBorders>
            <w:shd w:val="clear" w:color="auto" w:fill="auto"/>
            <w:vAlign w:val="center"/>
          </w:tcPr>
          <w:p w14:paraId="7B1BC09D">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780" w:type="dxa"/>
            <w:tcBorders>
              <w:top w:val="nil"/>
              <w:left w:val="nil"/>
              <w:bottom w:val="single" w:color="000000" w:sz="4" w:space="0"/>
              <w:right w:val="single" w:color="000000" w:sz="4" w:space="0"/>
            </w:tcBorders>
            <w:shd w:val="clear" w:color="auto" w:fill="auto"/>
            <w:vAlign w:val="center"/>
          </w:tcPr>
          <w:p w14:paraId="59D73559">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820" w:type="dxa"/>
            <w:tcBorders>
              <w:top w:val="nil"/>
              <w:left w:val="nil"/>
              <w:bottom w:val="single" w:color="000000" w:sz="4" w:space="0"/>
              <w:right w:val="single" w:color="000000" w:sz="4" w:space="0"/>
            </w:tcBorders>
            <w:shd w:val="clear" w:color="auto" w:fill="auto"/>
            <w:vAlign w:val="center"/>
          </w:tcPr>
          <w:p w14:paraId="2FF4F426">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075D81C5">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1100" w:type="dxa"/>
            <w:tcBorders>
              <w:top w:val="nil"/>
              <w:left w:val="nil"/>
              <w:bottom w:val="single" w:color="000000" w:sz="4" w:space="0"/>
              <w:right w:val="single" w:color="000000" w:sz="4" w:space="0"/>
            </w:tcBorders>
            <w:shd w:val="clear" w:color="auto" w:fill="auto"/>
            <w:vAlign w:val="center"/>
          </w:tcPr>
          <w:p w14:paraId="1FD169E7">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780" w:type="dxa"/>
            <w:tcBorders>
              <w:top w:val="nil"/>
              <w:left w:val="nil"/>
              <w:bottom w:val="single" w:color="000000" w:sz="4" w:space="0"/>
              <w:right w:val="single" w:color="000000" w:sz="4" w:space="0"/>
            </w:tcBorders>
            <w:shd w:val="clear" w:color="auto" w:fill="auto"/>
            <w:vAlign w:val="center"/>
          </w:tcPr>
          <w:p w14:paraId="2A2BE0C4">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640" w:type="dxa"/>
            <w:tcBorders>
              <w:top w:val="nil"/>
              <w:left w:val="nil"/>
              <w:bottom w:val="single" w:color="000000" w:sz="4" w:space="0"/>
              <w:right w:val="single" w:color="000000" w:sz="4" w:space="0"/>
            </w:tcBorders>
            <w:shd w:val="clear" w:color="auto" w:fill="auto"/>
            <w:vAlign w:val="center"/>
          </w:tcPr>
          <w:p w14:paraId="061023C1">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60" w:type="dxa"/>
            <w:tcBorders>
              <w:top w:val="nil"/>
              <w:left w:val="nil"/>
              <w:bottom w:val="single" w:color="000000" w:sz="4" w:space="0"/>
              <w:right w:val="single" w:color="000000" w:sz="4" w:space="0"/>
            </w:tcBorders>
            <w:shd w:val="clear" w:color="auto" w:fill="auto"/>
            <w:vAlign w:val="center"/>
          </w:tcPr>
          <w:p w14:paraId="545807B7">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14:paraId="48637B84">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42CE11E8">
            <w:pPr>
              <w:widowControl/>
              <w:jc w:val="left"/>
              <w:rPr>
                <w:rFonts w:ascii="宋体" w:hAnsi="宋体" w:cs="宋体"/>
                <w:color w:val="000000"/>
                <w:kern w:val="0"/>
                <w:sz w:val="18"/>
                <w:szCs w:val="18"/>
              </w:rPr>
            </w:pPr>
          </w:p>
        </w:tc>
        <w:tc>
          <w:tcPr>
            <w:tcW w:w="2060" w:type="dxa"/>
            <w:tcBorders>
              <w:top w:val="single" w:color="auto" w:sz="4" w:space="0"/>
              <w:left w:val="nil"/>
              <w:bottom w:val="single" w:color="000000" w:sz="4" w:space="0"/>
              <w:right w:val="single" w:color="000000" w:sz="4" w:space="0"/>
            </w:tcBorders>
            <w:shd w:val="clear" w:color="auto" w:fill="auto"/>
            <w:vAlign w:val="center"/>
          </w:tcPr>
          <w:p w14:paraId="64019590">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780" w:type="dxa"/>
            <w:tcBorders>
              <w:top w:val="single" w:color="auto" w:sz="4" w:space="0"/>
              <w:left w:val="nil"/>
              <w:bottom w:val="single" w:color="000000" w:sz="4" w:space="0"/>
              <w:right w:val="single" w:color="000000" w:sz="4" w:space="0"/>
            </w:tcBorders>
            <w:shd w:val="clear" w:color="auto" w:fill="auto"/>
            <w:vAlign w:val="center"/>
          </w:tcPr>
          <w:p w14:paraId="0775BCCE">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20" w:type="dxa"/>
            <w:tcBorders>
              <w:top w:val="single" w:color="auto" w:sz="4" w:space="0"/>
              <w:left w:val="nil"/>
              <w:bottom w:val="single" w:color="000000" w:sz="4" w:space="0"/>
              <w:right w:val="single" w:color="000000" w:sz="4" w:space="0"/>
            </w:tcBorders>
            <w:shd w:val="clear" w:color="auto" w:fill="auto"/>
            <w:vAlign w:val="center"/>
          </w:tcPr>
          <w:p w14:paraId="00B06E7D">
            <w:pPr>
              <w:widowControl/>
              <w:jc w:val="center"/>
              <w:rPr>
                <w:rFonts w:ascii="宋体" w:hAnsi="宋体" w:cs="宋体"/>
                <w:color w:val="000000"/>
                <w:kern w:val="0"/>
                <w:sz w:val="18"/>
                <w:szCs w:val="18"/>
              </w:rPr>
            </w:pPr>
            <w:r>
              <w:rPr>
                <w:rFonts w:hint="eastAsia" w:ascii="宋体" w:hAnsi="宋体" w:cs="宋体"/>
                <w:color w:val="000000"/>
                <w:kern w:val="0"/>
                <w:sz w:val="18"/>
                <w:szCs w:val="18"/>
              </w:rPr>
              <w:t>30.00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12DED21A">
            <w:pPr>
              <w:widowControl/>
              <w:jc w:val="center"/>
              <w:rPr>
                <w:rFonts w:ascii="宋体" w:hAnsi="宋体" w:cs="宋体"/>
                <w:color w:val="000000"/>
                <w:kern w:val="0"/>
                <w:sz w:val="18"/>
                <w:szCs w:val="18"/>
              </w:rPr>
            </w:pPr>
            <w:r>
              <w:rPr>
                <w:rFonts w:hint="eastAsia" w:ascii="宋体" w:hAnsi="宋体" w:cs="宋体"/>
                <w:color w:val="000000"/>
                <w:kern w:val="0"/>
                <w:sz w:val="18"/>
                <w:szCs w:val="18"/>
              </w:rPr>
              <w:t>30.00</w:t>
            </w:r>
          </w:p>
        </w:tc>
        <w:tc>
          <w:tcPr>
            <w:tcW w:w="1100" w:type="dxa"/>
            <w:tcBorders>
              <w:top w:val="single" w:color="auto" w:sz="4" w:space="0"/>
              <w:left w:val="nil"/>
              <w:bottom w:val="single" w:color="000000" w:sz="4" w:space="0"/>
              <w:right w:val="single" w:color="000000" w:sz="4" w:space="0"/>
            </w:tcBorders>
            <w:shd w:val="clear" w:color="auto" w:fill="auto"/>
            <w:vAlign w:val="center"/>
          </w:tcPr>
          <w:p w14:paraId="715EEDE2">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780" w:type="dxa"/>
            <w:tcBorders>
              <w:top w:val="single" w:color="auto" w:sz="4" w:space="0"/>
              <w:left w:val="nil"/>
              <w:bottom w:val="single" w:color="000000" w:sz="4" w:space="0"/>
              <w:right w:val="single" w:color="000000" w:sz="4" w:space="0"/>
            </w:tcBorders>
            <w:shd w:val="clear" w:color="auto" w:fill="auto"/>
            <w:vAlign w:val="center"/>
          </w:tcPr>
          <w:p w14:paraId="5F7B0995">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40" w:type="dxa"/>
            <w:tcBorders>
              <w:top w:val="single" w:color="auto" w:sz="4" w:space="0"/>
              <w:left w:val="nil"/>
              <w:bottom w:val="single" w:color="000000" w:sz="4" w:space="0"/>
              <w:right w:val="single" w:color="000000" w:sz="4" w:space="0"/>
            </w:tcBorders>
            <w:shd w:val="clear" w:color="auto" w:fill="auto"/>
            <w:vAlign w:val="center"/>
          </w:tcPr>
          <w:p w14:paraId="424C7FC3">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60"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14:paraId="5B752AC7">
            <w:pPr>
              <w:widowControl/>
              <w:jc w:val="left"/>
              <w:rPr>
                <w:rFonts w:ascii="Courier New" w:hAnsi="Courier New" w:cs="Courier New"/>
                <w:i/>
                <w:iCs/>
                <w:color w:val="000000"/>
                <w:kern w:val="0"/>
                <w:sz w:val="18"/>
                <w:szCs w:val="18"/>
              </w:rPr>
            </w:pPr>
            <w:r>
              <w:rPr>
                <w:rFonts w:ascii="宋体" w:hAnsi="宋体" w:cs="宋体"/>
                <w:color w:val="000000"/>
                <w:kern w:val="0"/>
                <w:sz w:val="18"/>
                <w:szCs w:val="18"/>
              </w:rPr>
              <w:t>市级资金，由县财政局划拨到县供销社使用</w:t>
            </w:r>
            <w:r>
              <w:rPr>
                <w:rFonts w:hint="eastAsia" w:ascii="宋体" w:hAnsi="宋体" w:cs="宋体"/>
                <w:color w:val="000000"/>
                <w:kern w:val="0"/>
                <w:sz w:val="18"/>
                <w:szCs w:val="18"/>
                <w:lang w:eastAsia="zh-CN"/>
              </w:rPr>
              <w:t>。</w:t>
            </w:r>
          </w:p>
        </w:tc>
      </w:tr>
      <w:tr w14:paraId="3A91DA57">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5C472940">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61E2974A">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780" w:type="dxa"/>
            <w:tcBorders>
              <w:top w:val="nil"/>
              <w:left w:val="nil"/>
              <w:bottom w:val="single" w:color="000000" w:sz="4" w:space="0"/>
              <w:right w:val="single" w:color="000000" w:sz="4" w:space="0"/>
            </w:tcBorders>
            <w:shd w:val="clear" w:color="auto" w:fill="auto"/>
            <w:vAlign w:val="center"/>
          </w:tcPr>
          <w:p w14:paraId="36A0BB6E">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20" w:type="dxa"/>
            <w:tcBorders>
              <w:top w:val="nil"/>
              <w:left w:val="nil"/>
              <w:bottom w:val="single" w:color="000000" w:sz="4" w:space="0"/>
              <w:right w:val="single" w:color="000000" w:sz="4" w:space="0"/>
            </w:tcBorders>
            <w:shd w:val="clear" w:color="auto" w:fill="auto"/>
            <w:vAlign w:val="center"/>
          </w:tcPr>
          <w:p w14:paraId="701DF31D">
            <w:pPr>
              <w:widowControl/>
              <w:jc w:val="center"/>
              <w:rPr>
                <w:rFonts w:ascii="宋体" w:hAnsi="宋体" w:cs="宋体"/>
                <w:color w:val="000000"/>
                <w:kern w:val="0"/>
                <w:sz w:val="18"/>
                <w:szCs w:val="18"/>
              </w:rPr>
            </w:pPr>
            <w:r>
              <w:rPr>
                <w:rFonts w:hint="eastAsia" w:ascii="宋体" w:hAnsi="宋体" w:cs="宋体"/>
                <w:color w:val="000000"/>
                <w:kern w:val="0"/>
                <w:sz w:val="18"/>
                <w:szCs w:val="18"/>
              </w:rPr>
              <w:t>30.00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57F00559">
            <w:pPr>
              <w:widowControl/>
              <w:jc w:val="center"/>
              <w:rPr>
                <w:rFonts w:ascii="宋体" w:hAnsi="宋体" w:cs="宋体"/>
                <w:color w:val="000000"/>
                <w:kern w:val="0"/>
                <w:sz w:val="18"/>
                <w:szCs w:val="18"/>
              </w:rPr>
            </w:pPr>
            <w:r>
              <w:rPr>
                <w:rFonts w:hint="eastAsia" w:ascii="宋体" w:hAnsi="宋体" w:cs="宋体"/>
                <w:color w:val="000000"/>
                <w:kern w:val="0"/>
                <w:sz w:val="18"/>
                <w:szCs w:val="18"/>
              </w:rPr>
              <w:t>30.00</w:t>
            </w:r>
          </w:p>
        </w:tc>
        <w:tc>
          <w:tcPr>
            <w:tcW w:w="1100" w:type="dxa"/>
            <w:tcBorders>
              <w:top w:val="nil"/>
              <w:left w:val="nil"/>
              <w:bottom w:val="single" w:color="000000" w:sz="4" w:space="0"/>
              <w:right w:val="single" w:color="000000" w:sz="4" w:space="0"/>
            </w:tcBorders>
            <w:shd w:val="clear" w:color="auto" w:fill="auto"/>
            <w:vAlign w:val="center"/>
          </w:tcPr>
          <w:p w14:paraId="7D976930">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780" w:type="dxa"/>
            <w:tcBorders>
              <w:top w:val="nil"/>
              <w:left w:val="nil"/>
              <w:bottom w:val="single" w:color="000000" w:sz="4" w:space="0"/>
              <w:right w:val="single" w:color="000000" w:sz="4" w:space="0"/>
            </w:tcBorders>
            <w:shd w:val="clear" w:color="auto" w:fill="auto"/>
            <w:vAlign w:val="center"/>
          </w:tcPr>
          <w:p w14:paraId="0CFEADF1">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40" w:type="dxa"/>
            <w:tcBorders>
              <w:top w:val="nil"/>
              <w:left w:val="nil"/>
              <w:bottom w:val="single" w:color="000000" w:sz="4" w:space="0"/>
              <w:right w:val="single" w:color="000000" w:sz="4" w:space="0"/>
            </w:tcBorders>
            <w:shd w:val="clear" w:color="auto" w:fill="auto"/>
            <w:vAlign w:val="center"/>
          </w:tcPr>
          <w:p w14:paraId="77571787">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3FA94006">
            <w:pPr>
              <w:widowControl/>
              <w:jc w:val="left"/>
              <w:rPr>
                <w:rFonts w:ascii="Courier New" w:hAnsi="Courier New" w:cs="Courier New"/>
                <w:i/>
                <w:iCs/>
                <w:color w:val="000000"/>
                <w:kern w:val="0"/>
                <w:sz w:val="18"/>
                <w:szCs w:val="18"/>
              </w:rPr>
            </w:pPr>
          </w:p>
        </w:tc>
      </w:tr>
      <w:tr w14:paraId="57FE8FE2">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078E09FA">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7B7F6247">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780" w:type="dxa"/>
            <w:tcBorders>
              <w:top w:val="nil"/>
              <w:left w:val="nil"/>
              <w:bottom w:val="single" w:color="000000" w:sz="4" w:space="0"/>
              <w:right w:val="single" w:color="000000" w:sz="4" w:space="0"/>
            </w:tcBorders>
            <w:shd w:val="clear" w:color="auto" w:fill="auto"/>
            <w:vAlign w:val="center"/>
          </w:tcPr>
          <w:p w14:paraId="4834726E">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20" w:type="dxa"/>
            <w:tcBorders>
              <w:top w:val="nil"/>
              <w:left w:val="nil"/>
              <w:bottom w:val="single" w:color="000000" w:sz="4" w:space="0"/>
              <w:right w:val="single" w:color="000000" w:sz="4" w:space="0"/>
            </w:tcBorders>
            <w:shd w:val="clear" w:color="auto" w:fill="auto"/>
            <w:vAlign w:val="center"/>
          </w:tcPr>
          <w:p w14:paraId="3E81CEBD">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5A91D283">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00" w:type="dxa"/>
            <w:tcBorders>
              <w:top w:val="nil"/>
              <w:left w:val="nil"/>
              <w:bottom w:val="single" w:color="000000" w:sz="4" w:space="0"/>
              <w:right w:val="single" w:color="000000" w:sz="4" w:space="0"/>
            </w:tcBorders>
            <w:shd w:val="clear" w:color="auto" w:fill="auto"/>
            <w:vAlign w:val="center"/>
          </w:tcPr>
          <w:p w14:paraId="3FF32E39">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80" w:type="dxa"/>
            <w:tcBorders>
              <w:top w:val="nil"/>
              <w:left w:val="nil"/>
              <w:bottom w:val="single" w:color="000000" w:sz="4" w:space="0"/>
              <w:right w:val="single" w:color="000000" w:sz="4" w:space="0"/>
            </w:tcBorders>
            <w:shd w:val="clear" w:color="auto" w:fill="auto"/>
            <w:vAlign w:val="center"/>
          </w:tcPr>
          <w:p w14:paraId="71C0FBB5">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40" w:type="dxa"/>
            <w:tcBorders>
              <w:top w:val="nil"/>
              <w:left w:val="nil"/>
              <w:bottom w:val="single" w:color="000000" w:sz="4" w:space="0"/>
              <w:right w:val="single" w:color="000000" w:sz="4" w:space="0"/>
            </w:tcBorders>
            <w:shd w:val="clear" w:color="auto" w:fill="auto"/>
            <w:vAlign w:val="center"/>
          </w:tcPr>
          <w:p w14:paraId="038130EC">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09980FB5">
            <w:pPr>
              <w:widowControl/>
              <w:jc w:val="left"/>
              <w:rPr>
                <w:rFonts w:ascii="Courier New" w:hAnsi="Courier New" w:cs="Courier New"/>
                <w:i/>
                <w:iCs/>
                <w:color w:val="000000"/>
                <w:kern w:val="0"/>
                <w:sz w:val="18"/>
                <w:szCs w:val="18"/>
              </w:rPr>
            </w:pPr>
          </w:p>
        </w:tc>
      </w:tr>
      <w:tr w14:paraId="5163B2B7">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5886252C">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2A62186A">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780" w:type="dxa"/>
            <w:tcBorders>
              <w:top w:val="nil"/>
              <w:left w:val="nil"/>
              <w:bottom w:val="single" w:color="000000" w:sz="4" w:space="0"/>
              <w:right w:val="single" w:color="000000" w:sz="4" w:space="0"/>
            </w:tcBorders>
            <w:shd w:val="clear" w:color="auto" w:fill="auto"/>
            <w:vAlign w:val="center"/>
          </w:tcPr>
          <w:p w14:paraId="57124E91">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20" w:type="dxa"/>
            <w:tcBorders>
              <w:top w:val="nil"/>
              <w:left w:val="nil"/>
              <w:bottom w:val="single" w:color="000000" w:sz="4" w:space="0"/>
              <w:right w:val="single" w:color="000000" w:sz="4" w:space="0"/>
            </w:tcBorders>
            <w:shd w:val="clear" w:color="auto" w:fill="auto"/>
            <w:vAlign w:val="center"/>
          </w:tcPr>
          <w:p w14:paraId="417C80AF">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1192F339">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00" w:type="dxa"/>
            <w:tcBorders>
              <w:top w:val="nil"/>
              <w:left w:val="nil"/>
              <w:bottom w:val="single" w:color="000000" w:sz="4" w:space="0"/>
              <w:right w:val="single" w:color="000000" w:sz="4" w:space="0"/>
            </w:tcBorders>
            <w:shd w:val="clear" w:color="auto" w:fill="auto"/>
            <w:vAlign w:val="center"/>
          </w:tcPr>
          <w:p w14:paraId="5D5187DB">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80" w:type="dxa"/>
            <w:tcBorders>
              <w:top w:val="nil"/>
              <w:left w:val="nil"/>
              <w:bottom w:val="single" w:color="000000" w:sz="4" w:space="0"/>
              <w:right w:val="single" w:color="000000" w:sz="4" w:space="0"/>
            </w:tcBorders>
            <w:shd w:val="clear" w:color="auto" w:fill="auto"/>
            <w:vAlign w:val="center"/>
          </w:tcPr>
          <w:p w14:paraId="74DE66E0">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40" w:type="dxa"/>
            <w:tcBorders>
              <w:top w:val="nil"/>
              <w:left w:val="nil"/>
              <w:bottom w:val="single" w:color="000000" w:sz="4" w:space="0"/>
              <w:right w:val="single" w:color="000000" w:sz="4" w:space="0"/>
            </w:tcBorders>
            <w:shd w:val="clear" w:color="auto" w:fill="auto"/>
            <w:vAlign w:val="center"/>
          </w:tcPr>
          <w:p w14:paraId="2F556A5B">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2CCF6E28">
            <w:pPr>
              <w:widowControl/>
              <w:jc w:val="left"/>
              <w:rPr>
                <w:rFonts w:ascii="Courier New" w:hAnsi="Courier New" w:cs="Courier New"/>
                <w:i/>
                <w:iCs/>
                <w:color w:val="000000"/>
                <w:kern w:val="0"/>
                <w:sz w:val="18"/>
                <w:szCs w:val="18"/>
              </w:rPr>
            </w:pPr>
          </w:p>
        </w:tc>
      </w:tr>
      <w:tr w14:paraId="4B77B151">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49B44BE9">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685748BD">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780" w:type="dxa"/>
            <w:tcBorders>
              <w:top w:val="nil"/>
              <w:left w:val="nil"/>
              <w:bottom w:val="single" w:color="000000" w:sz="4" w:space="0"/>
              <w:right w:val="single" w:color="000000" w:sz="4" w:space="0"/>
            </w:tcBorders>
            <w:shd w:val="clear" w:color="auto" w:fill="auto"/>
            <w:vAlign w:val="center"/>
          </w:tcPr>
          <w:p w14:paraId="4FBFEC70">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20" w:type="dxa"/>
            <w:tcBorders>
              <w:top w:val="nil"/>
              <w:left w:val="nil"/>
              <w:bottom w:val="single" w:color="000000" w:sz="4" w:space="0"/>
              <w:right w:val="single" w:color="000000" w:sz="4" w:space="0"/>
            </w:tcBorders>
            <w:shd w:val="clear" w:color="auto" w:fill="auto"/>
            <w:vAlign w:val="center"/>
          </w:tcPr>
          <w:p w14:paraId="43FF874A">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720" w:type="dxa"/>
            <w:gridSpan w:val="3"/>
            <w:tcBorders>
              <w:top w:val="single" w:color="000000" w:sz="4" w:space="0"/>
              <w:left w:val="nil"/>
              <w:bottom w:val="single" w:color="000000" w:sz="4" w:space="0"/>
              <w:right w:val="single" w:color="000000" w:sz="4" w:space="0"/>
            </w:tcBorders>
            <w:shd w:val="clear" w:color="auto" w:fill="auto"/>
            <w:vAlign w:val="center"/>
          </w:tcPr>
          <w:p w14:paraId="27367041">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00" w:type="dxa"/>
            <w:tcBorders>
              <w:top w:val="nil"/>
              <w:left w:val="nil"/>
              <w:bottom w:val="single" w:color="000000" w:sz="4" w:space="0"/>
              <w:right w:val="single" w:color="000000" w:sz="4" w:space="0"/>
            </w:tcBorders>
            <w:shd w:val="clear" w:color="auto" w:fill="auto"/>
            <w:vAlign w:val="center"/>
          </w:tcPr>
          <w:p w14:paraId="158F4E7A">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780" w:type="dxa"/>
            <w:tcBorders>
              <w:top w:val="nil"/>
              <w:left w:val="nil"/>
              <w:bottom w:val="single" w:color="000000" w:sz="4" w:space="0"/>
              <w:right w:val="single" w:color="000000" w:sz="4" w:space="0"/>
            </w:tcBorders>
            <w:shd w:val="clear" w:color="auto" w:fill="auto"/>
            <w:vAlign w:val="center"/>
          </w:tcPr>
          <w:p w14:paraId="4A0989A2">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40" w:type="dxa"/>
            <w:tcBorders>
              <w:top w:val="nil"/>
              <w:left w:val="nil"/>
              <w:bottom w:val="single" w:color="000000" w:sz="4" w:space="0"/>
              <w:right w:val="single" w:color="000000" w:sz="4" w:space="0"/>
            </w:tcBorders>
            <w:shd w:val="clear" w:color="auto" w:fill="auto"/>
            <w:vAlign w:val="center"/>
          </w:tcPr>
          <w:p w14:paraId="67D96BE3">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560" w:type="dxa"/>
            <w:vMerge w:val="continue"/>
            <w:tcBorders>
              <w:top w:val="nil"/>
              <w:left w:val="single" w:color="000000" w:sz="4" w:space="0"/>
              <w:bottom w:val="single" w:color="000000" w:sz="4" w:space="0"/>
              <w:right w:val="single" w:color="000000" w:sz="4" w:space="0"/>
            </w:tcBorders>
            <w:vAlign w:val="center"/>
          </w:tcPr>
          <w:p w14:paraId="664A9240">
            <w:pPr>
              <w:widowControl/>
              <w:jc w:val="left"/>
              <w:rPr>
                <w:rFonts w:ascii="Courier New" w:hAnsi="Courier New" w:cs="Courier New"/>
                <w:i/>
                <w:iCs/>
                <w:color w:val="000000"/>
                <w:kern w:val="0"/>
                <w:sz w:val="18"/>
                <w:szCs w:val="18"/>
              </w:rPr>
            </w:pPr>
          </w:p>
        </w:tc>
      </w:tr>
      <w:tr w14:paraId="132C5F1E">
        <w:tblPrEx>
          <w:tblCellMar>
            <w:top w:w="0" w:type="dxa"/>
            <w:left w:w="108" w:type="dxa"/>
            <w:bottom w:w="0" w:type="dxa"/>
            <w:right w:w="108" w:type="dxa"/>
          </w:tblCellMar>
        </w:tblPrEx>
        <w:trPr>
          <w:trHeight w:val="450" w:hRule="atLeast"/>
        </w:trPr>
        <w:tc>
          <w:tcPr>
            <w:tcW w:w="700" w:type="dxa"/>
            <w:vMerge w:val="restart"/>
            <w:tcBorders>
              <w:top w:val="nil"/>
              <w:left w:val="single" w:color="000000" w:sz="4" w:space="0"/>
              <w:bottom w:val="single" w:color="000000" w:sz="4" w:space="0"/>
              <w:right w:val="single" w:color="000000" w:sz="4" w:space="0"/>
            </w:tcBorders>
            <w:shd w:val="clear" w:color="auto" w:fill="auto"/>
            <w:vAlign w:val="center"/>
          </w:tcPr>
          <w:p w14:paraId="1B5E0CE6">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2060" w:type="dxa"/>
            <w:tcBorders>
              <w:top w:val="nil"/>
              <w:left w:val="nil"/>
              <w:bottom w:val="single" w:color="000000" w:sz="4" w:space="0"/>
              <w:right w:val="single" w:color="000000" w:sz="4" w:space="0"/>
            </w:tcBorders>
            <w:shd w:val="clear" w:color="auto" w:fill="auto"/>
            <w:vAlign w:val="center"/>
          </w:tcPr>
          <w:p w14:paraId="5EAA3243">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780" w:type="dxa"/>
            <w:tcBorders>
              <w:top w:val="nil"/>
              <w:left w:val="nil"/>
              <w:bottom w:val="single" w:color="000000" w:sz="4" w:space="0"/>
              <w:right w:val="single" w:color="000000" w:sz="4" w:space="0"/>
            </w:tcBorders>
            <w:shd w:val="clear" w:color="auto" w:fill="auto"/>
            <w:vAlign w:val="center"/>
          </w:tcPr>
          <w:p w14:paraId="07A1E490">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820" w:type="dxa"/>
            <w:tcBorders>
              <w:top w:val="nil"/>
              <w:left w:val="nil"/>
              <w:bottom w:val="single" w:color="000000" w:sz="4" w:space="0"/>
              <w:right w:val="single" w:color="000000" w:sz="4" w:space="0"/>
            </w:tcBorders>
            <w:shd w:val="clear" w:color="auto" w:fill="auto"/>
            <w:vAlign w:val="center"/>
          </w:tcPr>
          <w:p w14:paraId="3520FABC">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520" w:type="dxa"/>
            <w:tcBorders>
              <w:top w:val="nil"/>
              <w:left w:val="nil"/>
              <w:bottom w:val="single" w:color="000000" w:sz="4" w:space="0"/>
              <w:right w:val="single" w:color="000000" w:sz="4" w:space="0"/>
            </w:tcBorders>
            <w:shd w:val="clear" w:color="auto" w:fill="auto"/>
            <w:vAlign w:val="center"/>
          </w:tcPr>
          <w:p w14:paraId="0AE5601E">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680" w:type="dxa"/>
            <w:tcBorders>
              <w:top w:val="nil"/>
              <w:left w:val="nil"/>
              <w:bottom w:val="single" w:color="000000" w:sz="4" w:space="0"/>
              <w:right w:val="single" w:color="000000" w:sz="4" w:space="0"/>
            </w:tcBorders>
            <w:shd w:val="clear" w:color="auto" w:fill="auto"/>
            <w:vAlign w:val="center"/>
          </w:tcPr>
          <w:p w14:paraId="5971AB7E">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520" w:type="dxa"/>
            <w:tcBorders>
              <w:top w:val="nil"/>
              <w:left w:val="nil"/>
              <w:bottom w:val="single" w:color="000000" w:sz="4" w:space="0"/>
              <w:right w:val="single" w:color="000000" w:sz="4" w:space="0"/>
            </w:tcBorders>
            <w:shd w:val="clear" w:color="auto" w:fill="auto"/>
            <w:vAlign w:val="center"/>
          </w:tcPr>
          <w:p w14:paraId="60957A50">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1100" w:type="dxa"/>
            <w:tcBorders>
              <w:top w:val="nil"/>
              <w:left w:val="nil"/>
              <w:bottom w:val="single" w:color="000000" w:sz="4" w:space="0"/>
              <w:right w:val="single" w:color="000000" w:sz="4" w:space="0"/>
            </w:tcBorders>
            <w:shd w:val="clear" w:color="auto" w:fill="auto"/>
            <w:vAlign w:val="center"/>
          </w:tcPr>
          <w:p w14:paraId="18117C1F">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780" w:type="dxa"/>
            <w:tcBorders>
              <w:top w:val="nil"/>
              <w:left w:val="nil"/>
              <w:bottom w:val="single" w:color="000000" w:sz="4" w:space="0"/>
              <w:right w:val="single" w:color="000000" w:sz="4" w:space="0"/>
            </w:tcBorders>
            <w:shd w:val="clear" w:color="auto" w:fill="auto"/>
            <w:vAlign w:val="center"/>
          </w:tcPr>
          <w:p w14:paraId="00429908">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640" w:type="dxa"/>
            <w:tcBorders>
              <w:top w:val="nil"/>
              <w:left w:val="nil"/>
              <w:bottom w:val="single" w:color="000000" w:sz="4" w:space="0"/>
              <w:right w:val="single" w:color="000000" w:sz="4" w:space="0"/>
            </w:tcBorders>
            <w:shd w:val="clear" w:color="auto" w:fill="auto"/>
            <w:vAlign w:val="center"/>
          </w:tcPr>
          <w:p w14:paraId="43744E4C">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560" w:type="dxa"/>
            <w:tcBorders>
              <w:top w:val="nil"/>
              <w:left w:val="nil"/>
              <w:bottom w:val="single" w:color="000000" w:sz="4" w:space="0"/>
              <w:right w:val="single" w:color="000000" w:sz="4" w:space="0"/>
            </w:tcBorders>
            <w:shd w:val="clear" w:color="auto" w:fill="auto"/>
            <w:vAlign w:val="center"/>
          </w:tcPr>
          <w:p w14:paraId="3604A924">
            <w:pPr>
              <w:widowControl/>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14:paraId="2D95C9C0">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2586DB81">
            <w:pPr>
              <w:widowControl/>
              <w:jc w:val="left"/>
              <w:rPr>
                <w:rFonts w:ascii="宋体" w:hAnsi="宋体" w:cs="宋体"/>
                <w:color w:val="000000"/>
                <w:kern w:val="0"/>
                <w:sz w:val="18"/>
                <w:szCs w:val="18"/>
              </w:rPr>
            </w:pPr>
          </w:p>
        </w:tc>
        <w:tc>
          <w:tcPr>
            <w:tcW w:w="2060" w:type="dxa"/>
            <w:vMerge w:val="restart"/>
            <w:tcBorders>
              <w:top w:val="nil"/>
              <w:left w:val="single" w:color="000000" w:sz="4" w:space="0"/>
              <w:bottom w:val="single" w:color="000000" w:sz="4" w:space="0"/>
              <w:right w:val="single" w:color="000000" w:sz="4" w:space="0"/>
            </w:tcBorders>
            <w:shd w:val="clear" w:color="auto" w:fill="auto"/>
            <w:vAlign w:val="center"/>
          </w:tcPr>
          <w:p w14:paraId="3489D515">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780" w:type="dxa"/>
            <w:tcBorders>
              <w:top w:val="nil"/>
              <w:left w:val="nil"/>
              <w:bottom w:val="single" w:color="000000" w:sz="4" w:space="0"/>
              <w:right w:val="single" w:color="000000" w:sz="4" w:space="0"/>
            </w:tcBorders>
            <w:shd w:val="clear" w:color="auto" w:fill="auto"/>
            <w:vAlign w:val="center"/>
          </w:tcPr>
          <w:p w14:paraId="3347428D">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820" w:type="dxa"/>
            <w:tcBorders>
              <w:top w:val="nil"/>
              <w:left w:val="nil"/>
              <w:bottom w:val="single" w:color="000000" w:sz="4" w:space="0"/>
              <w:right w:val="single" w:color="000000" w:sz="4" w:space="0"/>
            </w:tcBorders>
            <w:shd w:val="clear" w:color="auto" w:fill="auto"/>
            <w:vAlign w:val="center"/>
          </w:tcPr>
          <w:p w14:paraId="72580697">
            <w:pPr>
              <w:widowControl/>
              <w:jc w:val="center"/>
              <w:rPr>
                <w:rFonts w:ascii="宋体" w:hAnsi="宋体" w:cs="宋体"/>
                <w:color w:val="000000"/>
                <w:kern w:val="0"/>
                <w:sz w:val="18"/>
                <w:szCs w:val="18"/>
              </w:rPr>
            </w:pPr>
            <w:r>
              <w:rPr>
                <w:rFonts w:hint="eastAsia" w:ascii="宋体" w:hAnsi="宋体" w:cs="宋体"/>
                <w:color w:val="000000"/>
                <w:kern w:val="0"/>
                <w:sz w:val="18"/>
                <w:szCs w:val="18"/>
              </w:rPr>
              <w:t>基层示范社数量</w:t>
            </w:r>
          </w:p>
        </w:tc>
        <w:tc>
          <w:tcPr>
            <w:tcW w:w="520" w:type="dxa"/>
            <w:tcBorders>
              <w:top w:val="nil"/>
              <w:left w:val="nil"/>
              <w:bottom w:val="single" w:color="000000" w:sz="4" w:space="0"/>
              <w:right w:val="single" w:color="000000" w:sz="4" w:space="0"/>
            </w:tcBorders>
            <w:shd w:val="clear" w:color="auto" w:fill="auto"/>
            <w:vAlign w:val="center"/>
          </w:tcPr>
          <w:p w14:paraId="43CF69AE">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nil"/>
              <w:left w:val="nil"/>
              <w:bottom w:val="single" w:color="000000" w:sz="4" w:space="0"/>
              <w:right w:val="single" w:color="000000" w:sz="4" w:space="0"/>
            </w:tcBorders>
            <w:shd w:val="clear" w:color="auto" w:fill="auto"/>
            <w:vAlign w:val="center"/>
          </w:tcPr>
          <w:p w14:paraId="0402A768">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20" w:type="dxa"/>
            <w:tcBorders>
              <w:top w:val="nil"/>
              <w:left w:val="nil"/>
              <w:bottom w:val="single" w:color="000000" w:sz="4" w:space="0"/>
              <w:right w:val="single" w:color="000000" w:sz="4" w:space="0"/>
            </w:tcBorders>
            <w:shd w:val="clear" w:color="auto" w:fill="auto"/>
            <w:vAlign w:val="center"/>
          </w:tcPr>
          <w:p w14:paraId="62E548FF">
            <w:pPr>
              <w:widowControl/>
              <w:jc w:val="center"/>
              <w:rPr>
                <w:rFonts w:ascii="宋体" w:hAnsi="宋体" w:cs="宋体"/>
                <w:color w:val="000000"/>
                <w:kern w:val="0"/>
                <w:sz w:val="18"/>
                <w:szCs w:val="18"/>
              </w:rPr>
            </w:pPr>
            <w:r>
              <w:rPr>
                <w:rFonts w:hint="eastAsia" w:ascii="宋体" w:hAnsi="宋体" w:cs="宋体"/>
                <w:color w:val="000000"/>
                <w:kern w:val="0"/>
                <w:sz w:val="18"/>
                <w:szCs w:val="18"/>
              </w:rPr>
              <w:t>个</w:t>
            </w:r>
          </w:p>
        </w:tc>
        <w:tc>
          <w:tcPr>
            <w:tcW w:w="1100" w:type="dxa"/>
            <w:tcBorders>
              <w:top w:val="nil"/>
              <w:left w:val="nil"/>
              <w:bottom w:val="single" w:color="000000" w:sz="4" w:space="0"/>
              <w:right w:val="single" w:color="000000" w:sz="4" w:space="0"/>
            </w:tcBorders>
            <w:shd w:val="clear" w:color="auto" w:fill="auto"/>
            <w:vAlign w:val="center"/>
          </w:tcPr>
          <w:p w14:paraId="2820495F">
            <w:pPr>
              <w:widowControl/>
              <w:jc w:val="center"/>
              <w:rPr>
                <w:rFonts w:ascii="宋体" w:hAnsi="宋体" w:cs="宋体"/>
                <w:color w:val="000000"/>
                <w:kern w:val="0"/>
                <w:sz w:val="18"/>
                <w:szCs w:val="18"/>
              </w:rPr>
            </w:pPr>
            <w:r>
              <w:rPr>
                <w:rFonts w:hint="eastAsia" w:ascii="宋体" w:hAnsi="宋体" w:cs="宋体"/>
                <w:color w:val="000000"/>
                <w:kern w:val="0"/>
                <w:sz w:val="18"/>
                <w:szCs w:val="18"/>
              </w:rPr>
              <w:t>5个</w:t>
            </w:r>
          </w:p>
        </w:tc>
        <w:tc>
          <w:tcPr>
            <w:tcW w:w="780" w:type="dxa"/>
            <w:tcBorders>
              <w:top w:val="nil"/>
              <w:left w:val="nil"/>
              <w:bottom w:val="single" w:color="000000" w:sz="4" w:space="0"/>
              <w:right w:val="single" w:color="000000" w:sz="4" w:space="0"/>
            </w:tcBorders>
            <w:shd w:val="clear" w:color="auto" w:fill="auto"/>
            <w:vAlign w:val="center"/>
          </w:tcPr>
          <w:p w14:paraId="303CA11F">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40" w:type="dxa"/>
            <w:tcBorders>
              <w:top w:val="nil"/>
              <w:left w:val="nil"/>
              <w:bottom w:val="single" w:color="000000" w:sz="4" w:space="0"/>
              <w:right w:val="single" w:color="000000" w:sz="4" w:space="0"/>
            </w:tcBorders>
            <w:shd w:val="clear" w:color="auto" w:fill="auto"/>
            <w:vAlign w:val="center"/>
          </w:tcPr>
          <w:p w14:paraId="66D85C26">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60" w:type="dxa"/>
            <w:tcBorders>
              <w:top w:val="nil"/>
              <w:left w:val="nil"/>
              <w:bottom w:val="single" w:color="000000" w:sz="4" w:space="0"/>
              <w:right w:val="single" w:color="000000" w:sz="4" w:space="0"/>
            </w:tcBorders>
            <w:shd w:val="clear" w:color="auto" w:fill="auto"/>
            <w:vAlign w:val="center"/>
          </w:tcPr>
          <w:p w14:paraId="0E0F33F4">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73EDED1B">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0D3237CF">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14:paraId="4EDA8088">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14:paraId="6B4F664F">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820" w:type="dxa"/>
            <w:tcBorders>
              <w:top w:val="nil"/>
              <w:left w:val="nil"/>
              <w:bottom w:val="single" w:color="000000" w:sz="4" w:space="0"/>
              <w:right w:val="single" w:color="000000" w:sz="4" w:space="0"/>
            </w:tcBorders>
            <w:shd w:val="clear" w:color="auto" w:fill="auto"/>
            <w:vAlign w:val="center"/>
          </w:tcPr>
          <w:p w14:paraId="5B2E91E7">
            <w:pPr>
              <w:widowControl/>
              <w:jc w:val="center"/>
              <w:rPr>
                <w:rFonts w:ascii="宋体" w:hAnsi="宋体" w:cs="宋体"/>
                <w:color w:val="000000"/>
                <w:kern w:val="0"/>
                <w:sz w:val="18"/>
                <w:szCs w:val="18"/>
              </w:rPr>
            </w:pPr>
            <w:r>
              <w:rPr>
                <w:rFonts w:hint="eastAsia" w:ascii="宋体" w:hAnsi="宋体" w:cs="宋体"/>
                <w:color w:val="000000"/>
                <w:kern w:val="0"/>
                <w:sz w:val="18"/>
                <w:szCs w:val="18"/>
              </w:rPr>
              <w:t>建设标准</w:t>
            </w:r>
          </w:p>
        </w:tc>
        <w:tc>
          <w:tcPr>
            <w:tcW w:w="520" w:type="dxa"/>
            <w:tcBorders>
              <w:top w:val="nil"/>
              <w:left w:val="nil"/>
              <w:bottom w:val="single" w:color="000000" w:sz="4" w:space="0"/>
              <w:right w:val="single" w:color="000000" w:sz="4" w:space="0"/>
            </w:tcBorders>
            <w:shd w:val="clear" w:color="auto" w:fill="auto"/>
            <w:vAlign w:val="center"/>
          </w:tcPr>
          <w:p w14:paraId="745B65A5">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680" w:type="dxa"/>
            <w:tcBorders>
              <w:top w:val="nil"/>
              <w:left w:val="nil"/>
              <w:bottom w:val="single" w:color="000000" w:sz="4" w:space="0"/>
              <w:right w:val="single" w:color="000000" w:sz="4" w:space="0"/>
            </w:tcBorders>
            <w:shd w:val="clear" w:color="auto" w:fill="auto"/>
            <w:vAlign w:val="center"/>
          </w:tcPr>
          <w:p w14:paraId="70B9404A">
            <w:pPr>
              <w:widowControl/>
              <w:jc w:val="center"/>
              <w:rPr>
                <w:rFonts w:ascii="宋体" w:hAnsi="宋体" w:cs="宋体"/>
                <w:color w:val="000000"/>
                <w:kern w:val="0"/>
                <w:sz w:val="18"/>
                <w:szCs w:val="18"/>
              </w:rPr>
            </w:pPr>
            <w:r>
              <w:rPr>
                <w:rFonts w:hint="eastAsia" w:ascii="宋体" w:hAnsi="宋体" w:cs="宋体"/>
                <w:color w:val="000000"/>
                <w:kern w:val="0"/>
                <w:sz w:val="18"/>
                <w:szCs w:val="18"/>
              </w:rPr>
              <w:t>合格</w:t>
            </w:r>
          </w:p>
        </w:tc>
        <w:tc>
          <w:tcPr>
            <w:tcW w:w="520" w:type="dxa"/>
            <w:tcBorders>
              <w:top w:val="nil"/>
              <w:left w:val="nil"/>
              <w:bottom w:val="single" w:color="000000" w:sz="4" w:space="0"/>
              <w:right w:val="single" w:color="000000" w:sz="4" w:space="0"/>
            </w:tcBorders>
            <w:shd w:val="clear" w:color="auto" w:fill="auto"/>
            <w:vAlign w:val="center"/>
          </w:tcPr>
          <w:p w14:paraId="208FA072">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0" w:type="dxa"/>
            <w:tcBorders>
              <w:top w:val="nil"/>
              <w:left w:val="nil"/>
              <w:bottom w:val="single" w:color="000000" w:sz="4" w:space="0"/>
              <w:right w:val="single" w:color="000000" w:sz="4" w:space="0"/>
            </w:tcBorders>
            <w:shd w:val="clear" w:color="auto" w:fill="auto"/>
            <w:vAlign w:val="center"/>
          </w:tcPr>
          <w:p w14:paraId="7B4A03AE">
            <w:pPr>
              <w:widowControl/>
              <w:jc w:val="center"/>
              <w:rPr>
                <w:rFonts w:ascii="宋体" w:hAnsi="宋体" w:cs="宋体"/>
                <w:color w:val="000000"/>
                <w:kern w:val="0"/>
                <w:sz w:val="18"/>
                <w:szCs w:val="18"/>
              </w:rPr>
            </w:pPr>
            <w:r>
              <w:rPr>
                <w:rFonts w:hint="eastAsia" w:ascii="宋体" w:hAnsi="宋体" w:cs="宋体"/>
                <w:color w:val="000000"/>
                <w:kern w:val="0"/>
                <w:sz w:val="18"/>
                <w:szCs w:val="18"/>
              </w:rPr>
              <w:t>合格</w:t>
            </w:r>
          </w:p>
        </w:tc>
        <w:tc>
          <w:tcPr>
            <w:tcW w:w="780" w:type="dxa"/>
            <w:tcBorders>
              <w:top w:val="nil"/>
              <w:left w:val="nil"/>
              <w:bottom w:val="single" w:color="000000" w:sz="4" w:space="0"/>
              <w:right w:val="single" w:color="000000" w:sz="4" w:space="0"/>
            </w:tcBorders>
            <w:shd w:val="clear" w:color="auto" w:fill="auto"/>
            <w:vAlign w:val="center"/>
          </w:tcPr>
          <w:p w14:paraId="2661B320">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40" w:type="dxa"/>
            <w:tcBorders>
              <w:top w:val="nil"/>
              <w:left w:val="nil"/>
              <w:bottom w:val="single" w:color="000000" w:sz="4" w:space="0"/>
              <w:right w:val="single" w:color="000000" w:sz="4" w:space="0"/>
            </w:tcBorders>
            <w:shd w:val="clear" w:color="auto" w:fill="auto"/>
            <w:vAlign w:val="center"/>
          </w:tcPr>
          <w:p w14:paraId="6D5A0BC4">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60" w:type="dxa"/>
            <w:tcBorders>
              <w:top w:val="nil"/>
              <w:left w:val="nil"/>
              <w:bottom w:val="single" w:color="000000" w:sz="4" w:space="0"/>
              <w:right w:val="single" w:color="000000" w:sz="4" w:space="0"/>
            </w:tcBorders>
            <w:shd w:val="clear" w:color="auto" w:fill="auto"/>
            <w:vAlign w:val="center"/>
          </w:tcPr>
          <w:p w14:paraId="1CE6BC6F">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7502DEDD">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6D16D67D">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14:paraId="27086F5D">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14:paraId="2B8CB272">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820" w:type="dxa"/>
            <w:tcBorders>
              <w:top w:val="nil"/>
              <w:left w:val="nil"/>
              <w:bottom w:val="single" w:color="000000" w:sz="4" w:space="0"/>
              <w:right w:val="single" w:color="000000" w:sz="4" w:space="0"/>
            </w:tcBorders>
            <w:shd w:val="clear" w:color="auto" w:fill="auto"/>
            <w:vAlign w:val="center"/>
          </w:tcPr>
          <w:p w14:paraId="65CC994B">
            <w:pPr>
              <w:widowControl/>
              <w:jc w:val="center"/>
              <w:rPr>
                <w:rFonts w:ascii="宋体" w:hAnsi="宋体" w:cs="宋体"/>
                <w:color w:val="000000"/>
                <w:kern w:val="0"/>
                <w:sz w:val="18"/>
                <w:szCs w:val="18"/>
              </w:rPr>
            </w:pPr>
            <w:r>
              <w:rPr>
                <w:rFonts w:hint="eastAsia" w:ascii="宋体" w:hAnsi="宋体" w:cs="宋体"/>
                <w:color w:val="000000"/>
                <w:kern w:val="0"/>
                <w:sz w:val="18"/>
                <w:szCs w:val="18"/>
              </w:rPr>
              <w:t>建成期限</w:t>
            </w:r>
          </w:p>
        </w:tc>
        <w:tc>
          <w:tcPr>
            <w:tcW w:w="520" w:type="dxa"/>
            <w:tcBorders>
              <w:top w:val="nil"/>
              <w:left w:val="nil"/>
              <w:bottom w:val="single" w:color="000000" w:sz="4" w:space="0"/>
              <w:right w:val="single" w:color="000000" w:sz="4" w:space="0"/>
            </w:tcBorders>
            <w:shd w:val="clear" w:color="auto" w:fill="auto"/>
            <w:vAlign w:val="center"/>
          </w:tcPr>
          <w:p w14:paraId="2FAFDCF7">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nil"/>
              <w:left w:val="nil"/>
              <w:bottom w:val="single" w:color="000000" w:sz="4" w:space="0"/>
              <w:right w:val="single" w:color="000000" w:sz="4" w:space="0"/>
            </w:tcBorders>
            <w:shd w:val="clear" w:color="auto" w:fill="auto"/>
            <w:vAlign w:val="center"/>
          </w:tcPr>
          <w:p w14:paraId="04832CCB">
            <w:pPr>
              <w:widowControl/>
              <w:jc w:val="center"/>
              <w:rPr>
                <w:rFonts w:ascii="宋体" w:hAnsi="宋体" w:cs="宋体"/>
                <w:color w:val="000000"/>
                <w:kern w:val="0"/>
                <w:sz w:val="18"/>
                <w:szCs w:val="18"/>
              </w:rPr>
            </w:pPr>
            <w:r>
              <w:rPr>
                <w:rFonts w:hint="eastAsia" w:ascii="宋体" w:hAnsi="宋体" w:cs="宋体"/>
                <w:color w:val="000000"/>
                <w:kern w:val="0"/>
                <w:sz w:val="18"/>
                <w:szCs w:val="18"/>
              </w:rPr>
              <w:t>2021</w:t>
            </w:r>
          </w:p>
        </w:tc>
        <w:tc>
          <w:tcPr>
            <w:tcW w:w="520" w:type="dxa"/>
            <w:tcBorders>
              <w:top w:val="nil"/>
              <w:left w:val="nil"/>
              <w:bottom w:val="single" w:color="000000" w:sz="4" w:space="0"/>
              <w:right w:val="single" w:color="000000" w:sz="4" w:space="0"/>
            </w:tcBorders>
            <w:shd w:val="clear" w:color="auto" w:fill="auto"/>
            <w:vAlign w:val="center"/>
          </w:tcPr>
          <w:p w14:paraId="7F7C92C7">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1100" w:type="dxa"/>
            <w:tcBorders>
              <w:top w:val="nil"/>
              <w:left w:val="nil"/>
              <w:bottom w:val="single" w:color="000000" w:sz="4" w:space="0"/>
              <w:right w:val="single" w:color="000000" w:sz="4" w:space="0"/>
            </w:tcBorders>
            <w:shd w:val="clear" w:color="auto" w:fill="auto"/>
            <w:vAlign w:val="center"/>
          </w:tcPr>
          <w:p w14:paraId="00854048">
            <w:pPr>
              <w:widowControl/>
              <w:jc w:val="center"/>
              <w:rPr>
                <w:rFonts w:ascii="宋体" w:hAnsi="宋体" w:cs="宋体"/>
                <w:color w:val="000000"/>
                <w:kern w:val="0"/>
                <w:sz w:val="18"/>
                <w:szCs w:val="18"/>
              </w:rPr>
            </w:pPr>
            <w:r>
              <w:rPr>
                <w:rFonts w:hint="eastAsia" w:ascii="宋体" w:hAnsi="宋体" w:cs="宋体"/>
                <w:color w:val="000000"/>
                <w:kern w:val="0"/>
                <w:sz w:val="18"/>
                <w:szCs w:val="18"/>
              </w:rPr>
              <w:t>2021年</w:t>
            </w:r>
          </w:p>
        </w:tc>
        <w:tc>
          <w:tcPr>
            <w:tcW w:w="780" w:type="dxa"/>
            <w:tcBorders>
              <w:top w:val="nil"/>
              <w:left w:val="nil"/>
              <w:bottom w:val="single" w:color="000000" w:sz="4" w:space="0"/>
              <w:right w:val="single" w:color="000000" w:sz="4" w:space="0"/>
            </w:tcBorders>
            <w:shd w:val="clear" w:color="auto" w:fill="auto"/>
            <w:vAlign w:val="center"/>
          </w:tcPr>
          <w:p w14:paraId="03779776">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640" w:type="dxa"/>
            <w:tcBorders>
              <w:top w:val="nil"/>
              <w:left w:val="nil"/>
              <w:bottom w:val="single" w:color="000000" w:sz="4" w:space="0"/>
              <w:right w:val="single" w:color="000000" w:sz="4" w:space="0"/>
            </w:tcBorders>
            <w:shd w:val="clear" w:color="auto" w:fill="auto"/>
            <w:vAlign w:val="center"/>
          </w:tcPr>
          <w:p w14:paraId="1B458484">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60" w:type="dxa"/>
            <w:tcBorders>
              <w:top w:val="nil"/>
              <w:left w:val="nil"/>
              <w:bottom w:val="single" w:color="000000" w:sz="4" w:space="0"/>
              <w:right w:val="single" w:color="000000" w:sz="4" w:space="0"/>
            </w:tcBorders>
            <w:shd w:val="clear" w:color="auto" w:fill="auto"/>
            <w:vAlign w:val="center"/>
          </w:tcPr>
          <w:p w14:paraId="140F6B87">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0FEC5E6B">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2C14FCD5">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14:paraId="70641B1A">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14:paraId="1382342F">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2820" w:type="dxa"/>
            <w:tcBorders>
              <w:top w:val="nil"/>
              <w:left w:val="nil"/>
              <w:bottom w:val="single" w:color="000000" w:sz="4" w:space="0"/>
              <w:right w:val="single" w:color="000000" w:sz="4" w:space="0"/>
            </w:tcBorders>
            <w:shd w:val="clear" w:color="auto" w:fill="auto"/>
            <w:vAlign w:val="center"/>
          </w:tcPr>
          <w:p w14:paraId="3033D37B">
            <w:pPr>
              <w:widowControl/>
              <w:jc w:val="center"/>
              <w:rPr>
                <w:rFonts w:ascii="宋体" w:hAnsi="宋体" w:cs="宋体"/>
                <w:color w:val="000000"/>
                <w:kern w:val="0"/>
                <w:sz w:val="18"/>
                <w:szCs w:val="18"/>
              </w:rPr>
            </w:pPr>
            <w:r>
              <w:rPr>
                <w:rFonts w:hint="eastAsia" w:ascii="宋体" w:hAnsi="宋体" w:cs="宋体"/>
                <w:color w:val="000000"/>
                <w:kern w:val="0"/>
                <w:sz w:val="18"/>
                <w:szCs w:val="18"/>
              </w:rPr>
              <w:t>入股资金</w:t>
            </w:r>
          </w:p>
        </w:tc>
        <w:tc>
          <w:tcPr>
            <w:tcW w:w="520" w:type="dxa"/>
            <w:tcBorders>
              <w:top w:val="nil"/>
              <w:left w:val="nil"/>
              <w:bottom w:val="single" w:color="000000" w:sz="4" w:space="0"/>
              <w:right w:val="single" w:color="000000" w:sz="4" w:space="0"/>
            </w:tcBorders>
            <w:shd w:val="clear" w:color="auto" w:fill="auto"/>
            <w:vAlign w:val="center"/>
          </w:tcPr>
          <w:p w14:paraId="2E47DF76">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nil"/>
              <w:left w:val="nil"/>
              <w:bottom w:val="single" w:color="000000" w:sz="4" w:space="0"/>
              <w:right w:val="single" w:color="000000" w:sz="4" w:space="0"/>
            </w:tcBorders>
            <w:shd w:val="clear" w:color="auto" w:fill="auto"/>
            <w:vAlign w:val="center"/>
          </w:tcPr>
          <w:p w14:paraId="2CCACE93">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20" w:type="dxa"/>
            <w:tcBorders>
              <w:top w:val="nil"/>
              <w:left w:val="nil"/>
              <w:bottom w:val="single" w:color="000000" w:sz="4" w:space="0"/>
              <w:right w:val="single" w:color="000000" w:sz="4" w:space="0"/>
            </w:tcBorders>
            <w:shd w:val="clear" w:color="auto" w:fill="auto"/>
            <w:vAlign w:val="center"/>
          </w:tcPr>
          <w:p w14:paraId="7CFF43E6">
            <w:pPr>
              <w:widowControl/>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1100" w:type="dxa"/>
            <w:tcBorders>
              <w:top w:val="nil"/>
              <w:left w:val="nil"/>
              <w:bottom w:val="single" w:color="000000" w:sz="4" w:space="0"/>
              <w:right w:val="single" w:color="000000" w:sz="4" w:space="0"/>
            </w:tcBorders>
            <w:shd w:val="clear" w:color="auto" w:fill="auto"/>
            <w:vAlign w:val="center"/>
          </w:tcPr>
          <w:p w14:paraId="33F8A525">
            <w:pPr>
              <w:widowControl/>
              <w:jc w:val="center"/>
              <w:rPr>
                <w:rFonts w:ascii="宋体" w:hAnsi="宋体" w:cs="宋体"/>
                <w:color w:val="000000"/>
                <w:kern w:val="0"/>
                <w:sz w:val="18"/>
                <w:szCs w:val="18"/>
              </w:rPr>
            </w:pPr>
            <w:r>
              <w:rPr>
                <w:rFonts w:hint="eastAsia" w:ascii="宋体" w:hAnsi="宋体" w:cs="宋体"/>
                <w:color w:val="000000"/>
                <w:kern w:val="0"/>
                <w:sz w:val="18"/>
                <w:szCs w:val="18"/>
              </w:rPr>
              <w:t>30万元</w:t>
            </w:r>
          </w:p>
        </w:tc>
        <w:tc>
          <w:tcPr>
            <w:tcW w:w="780" w:type="dxa"/>
            <w:tcBorders>
              <w:top w:val="nil"/>
              <w:left w:val="nil"/>
              <w:bottom w:val="single" w:color="000000" w:sz="4" w:space="0"/>
              <w:right w:val="single" w:color="000000" w:sz="4" w:space="0"/>
            </w:tcBorders>
            <w:shd w:val="clear" w:color="auto" w:fill="auto"/>
            <w:vAlign w:val="center"/>
          </w:tcPr>
          <w:p w14:paraId="7FD685C4">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640" w:type="dxa"/>
            <w:tcBorders>
              <w:top w:val="nil"/>
              <w:left w:val="nil"/>
              <w:bottom w:val="single" w:color="000000" w:sz="4" w:space="0"/>
              <w:right w:val="single" w:color="000000" w:sz="4" w:space="0"/>
            </w:tcBorders>
            <w:shd w:val="clear" w:color="auto" w:fill="auto"/>
            <w:vAlign w:val="center"/>
          </w:tcPr>
          <w:p w14:paraId="4306F833">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560" w:type="dxa"/>
            <w:tcBorders>
              <w:top w:val="nil"/>
              <w:left w:val="nil"/>
              <w:bottom w:val="single" w:color="000000" w:sz="4" w:space="0"/>
              <w:right w:val="single" w:color="000000" w:sz="4" w:space="0"/>
            </w:tcBorders>
            <w:shd w:val="clear" w:color="auto" w:fill="auto"/>
            <w:vAlign w:val="center"/>
          </w:tcPr>
          <w:p w14:paraId="56CBF301">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0114B3E2">
        <w:tblPrEx>
          <w:tblCellMar>
            <w:top w:w="0" w:type="dxa"/>
            <w:left w:w="108" w:type="dxa"/>
            <w:bottom w:w="0" w:type="dxa"/>
            <w:right w:w="108" w:type="dxa"/>
          </w:tblCellMar>
        </w:tblPrEx>
        <w:trPr>
          <w:trHeight w:val="675" w:hRule="atLeast"/>
        </w:trPr>
        <w:tc>
          <w:tcPr>
            <w:tcW w:w="700" w:type="dxa"/>
            <w:vMerge w:val="continue"/>
            <w:tcBorders>
              <w:top w:val="nil"/>
              <w:left w:val="single" w:color="000000" w:sz="4" w:space="0"/>
              <w:bottom w:val="single" w:color="000000" w:sz="4" w:space="0"/>
              <w:right w:val="single" w:color="000000" w:sz="4" w:space="0"/>
            </w:tcBorders>
            <w:vAlign w:val="center"/>
          </w:tcPr>
          <w:p w14:paraId="7DD0A0AB">
            <w:pPr>
              <w:widowControl/>
              <w:jc w:val="left"/>
              <w:rPr>
                <w:rFonts w:ascii="宋体" w:hAnsi="宋体" w:cs="宋体"/>
                <w:color w:val="000000"/>
                <w:kern w:val="0"/>
                <w:sz w:val="18"/>
                <w:szCs w:val="18"/>
              </w:rPr>
            </w:pPr>
          </w:p>
        </w:tc>
        <w:tc>
          <w:tcPr>
            <w:tcW w:w="2060" w:type="dxa"/>
            <w:vMerge w:val="restart"/>
            <w:tcBorders>
              <w:top w:val="nil"/>
              <w:left w:val="single" w:color="000000" w:sz="4" w:space="0"/>
              <w:bottom w:val="single" w:color="000000" w:sz="4" w:space="0"/>
              <w:right w:val="single" w:color="000000" w:sz="4" w:space="0"/>
            </w:tcBorders>
            <w:shd w:val="clear" w:color="auto" w:fill="auto"/>
            <w:vAlign w:val="center"/>
          </w:tcPr>
          <w:p w14:paraId="4AE26112">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780" w:type="dxa"/>
            <w:tcBorders>
              <w:top w:val="nil"/>
              <w:left w:val="nil"/>
              <w:bottom w:val="single" w:color="000000" w:sz="4" w:space="0"/>
              <w:right w:val="single" w:color="000000" w:sz="4" w:space="0"/>
            </w:tcBorders>
            <w:shd w:val="clear" w:color="auto" w:fill="auto"/>
            <w:vAlign w:val="center"/>
          </w:tcPr>
          <w:p w14:paraId="7E36B5AE">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820" w:type="dxa"/>
            <w:tcBorders>
              <w:top w:val="nil"/>
              <w:left w:val="nil"/>
              <w:bottom w:val="single" w:color="000000" w:sz="4" w:space="0"/>
              <w:right w:val="single" w:color="000000" w:sz="4" w:space="0"/>
            </w:tcBorders>
            <w:shd w:val="clear" w:color="auto" w:fill="auto"/>
            <w:vAlign w:val="center"/>
          </w:tcPr>
          <w:p w14:paraId="48E9404A">
            <w:pPr>
              <w:widowControl/>
              <w:jc w:val="center"/>
              <w:rPr>
                <w:rFonts w:ascii="宋体" w:hAnsi="宋体" w:cs="宋体"/>
                <w:color w:val="000000"/>
                <w:kern w:val="0"/>
                <w:sz w:val="18"/>
                <w:szCs w:val="18"/>
              </w:rPr>
            </w:pPr>
            <w:r>
              <w:rPr>
                <w:rFonts w:hint="eastAsia" w:ascii="宋体" w:hAnsi="宋体" w:cs="宋体"/>
                <w:color w:val="000000"/>
                <w:kern w:val="0"/>
                <w:sz w:val="18"/>
                <w:szCs w:val="18"/>
              </w:rPr>
              <w:t>促进农民增产增收</w:t>
            </w:r>
          </w:p>
        </w:tc>
        <w:tc>
          <w:tcPr>
            <w:tcW w:w="520" w:type="dxa"/>
            <w:tcBorders>
              <w:top w:val="nil"/>
              <w:left w:val="nil"/>
              <w:bottom w:val="single" w:color="000000" w:sz="4" w:space="0"/>
              <w:right w:val="single" w:color="000000" w:sz="4" w:space="0"/>
            </w:tcBorders>
            <w:shd w:val="clear" w:color="auto" w:fill="auto"/>
            <w:vAlign w:val="center"/>
          </w:tcPr>
          <w:p w14:paraId="67E491F7">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680" w:type="dxa"/>
            <w:tcBorders>
              <w:top w:val="nil"/>
              <w:left w:val="nil"/>
              <w:bottom w:val="single" w:color="000000" w:sz="4" w:space="0"/>
              <w:right w:val="single" w:color="000000" w:sz="4" w:space="0"/>
            </w:tcBorders>
            <w:shd w:val="clear" w:color="auto" w:fill="auto"/>
            <w:vAlign w:val="center"/>
          </w:tcPr>
          <w:p w14:paraId="39FADBD9">
            <w:pPr>
              <w:widowControl/>
              <w:jc w:val="center"/>
              <w:rPr>
                <w:rFonts w:ascii="宋体" w:hAnsi="宋体" w:cs="宋体"/>
                <w:color w:val="000000"/>
                <w:kern w:val="0"/>
                <w:sz w:val="18"/>
                <w:szCs w:val="18"/>
              </w:rPr>
            </w:pPr>
            <w:r>
              <w:rPr>
                <w:rFonts w:hint="eastAsia" w:ascii="宋体" w:hAnsi="宋体" w:cs="宋体"/>
                <w:color w:val="000000"/>
                <w:kern w:val="0"/>
                <w:sz w:val="18"/>
                <w:szCs w:val="18"/>
              </w:rPr>
              <w:t>增加农户收入，淡储旺供，降低农资成本</w:t>
            </w:r>
          </w:p>
        </w:tc>
        <w:tc>
          <w:tcPr>
            <w:tcW w:w="520" w:type="dxa"/>
            <w:tcBorders>
              <w:top w:val="nil"/>
              <w:left w:val="nil"/>
              <w:bottom w:val="single" w:color="000000" w:sz="4" w:space="0"/>
              <w:right w:val="single" w:color="000000" w:sz="4" w:space="0"/>
            </w:tcBorders>
            <w:shd w:val="clear" w:color="auto" w:fill="auto"/>
            <w:vAlign w:val="center"/>
          </w:tcPr>
          <w:p w14:paraId="13BC832A">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0" w:type="dxa"/>
            <w:tcBorders>
              <w:top w:val="nil"/>
              <w:left w:val="nil"/>
              <w:bottom w:val="single" w:color="000000" w:sz="4" w:space="0"/>
              <w:right w:val="single" w:color="000000" w:sz="4" w:space="0"/>
            </w:tcBorders>
            <w:shd w:val="clear" w:color="auto" w:fill="auto"/>
            <w:vAlign w:val="center"/>
          </w:tcPr>
          <w:p w14:paraId="0C9535EF">
            <w:pPr>
              <w:widowControl/>
              <w:jc w:val="center"/>
              <w:rPr>
                <w:rFonts w:ascii="宋体" w:hAnsi="宋体" w:cs="宋体"/>
                <w:color w:val="000000"/>
                <w:kern w:val="0"/>
                <w:sz w:val="18"/>
                <w:szCs w:val="18"/>
              </w:rPr>
            </w:pPr>
            <w:r>
              <w:rPr>
                <w:rFonts w:hint="eastAsia" w:ascii="宋体" w:hAnsi="宋体" w:cs="宋体"/>
                <w:color w:val="000000"/>
                <w:kern w:val="0"/>
                <w:sz w:val="18"/>
                <w:szCs w:val="18"/>
              </w:rPr>
              <w:t>一定程度上增加了农户收入</w:t>
            </w:r>
          </w:p>
        </w:tc>
        <w:tc>
          <w:tcPr>
            <w:tcW w:w="780" w:type="dxa"/>
            <w:tcBorders>
              <w:top w:val="nil"/>
              <w:left w:val="nil"/>
              <w:bottom w:val="single" w:color="000000" w:sz="4" w:space="0"/>
              <w:right w:val="single" w:color="000000" w:sz="4" w:space="0"/>
            </w:tcBorders>
            <w:shd w:val="clear" w:color="auto" w:fill="auto"/>
            <w:vAlign w:val="center"/>
          </w:tcPr>
          <w:p w14:paraId="1FE3B48F">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40" w:type="dxa"/>
            <w:tcBorders>
              <w:top w:val="nil"/>
              <w:left w:val="nil"/>
              <w:bottom w:val="single" w:color="000000" w:sz="4" w:space="0"/>
              <w:right w:val="single" w:color="000000" w:sz="4" w:space="0"/>
            </w:tcBorders>
            <w:shd w:val="clear" w:color="auto" w:fill="auto"/>
            <w:vAlign w:val="center"/>
          </w:tcPr>
          <w:p w14:paraId="30736950">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560" w:type="dxa"/>
            <w:tcBorders>
              <w:top w:val="nil"/>
              <w:left w:val="nil"/>
              <w:bottom w:val="single" w:color="000000" w:sz="4" w:space="0"/>
              <w:right w:val="single" w:color="000000" w:sz="4" w:space="0"/>
            </w:tcBorders>
            <w:shd w:val="clear" w:color="auto" w:fill="auto"/>
            <w:vAlign w:val="center"/>
          </w:tcPr>
          <w:p w14:paraId="59312CFD">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276741B5">
        <w:tblPrEx>
          <w:tblCellMar>
            <w:top w:w="0" w:type="dxa"/>
            <w:left w:w="108" w:type="dxa"/>
            <w:bottom w:w="0" w:type="dxa"/>
            <w:right w:w="108" w:type="dxa"/>
          </w:tblCellMar>
        </w:tblPrEx>
        <w:trPr>
          <w:trHeight w:val="1005" w:hRule="atLeast"/>
        </w:trPr>
        <w:tc>
          <w:tcPr>
            <w:tcW w:w="700" w:type="dxa"/>
            <w:vMerge w:val="continue"/>
            <w:tcBorders>
              <w:top w:val="nil"/>
              <w:left w:val="single" w:color="000000" w:sz="4" w:space="0"/>
              <w:bottom w:val="single" w:color="000000" w:sz="4" w:space="0"/>
              <w:right w:val="single" w:color="000000" w:sz="4" w:space="0"/>
            </w:tcBorders>
            <w:vAlign w:val="center"/>
          </w:tcPr>
          <w:p w14:paraId="31619D46">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14:paraId="0FB242B7">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14:paraId="35664F17">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生态效益指标</w:t>
            </w:r>
          </w:p>
        </w:tc>
        <w:tc>
          <w:tcPr>
            <w:tcW w:w="2820" w:type="dxa"/>
            <w:tcBorders>
              <w:top w:val="nil"/>
              <w:left w:val="nil"/>
              <w:bottom w:val="single" w:color="000000" w:sz="4" w:space="0"/>
              <w:right w:val="single" w:color="000000" w:sz="4" w:space="0"/>
            </w:tcBorders>
            <w:shd w:val="clear" w:color="auto" w:fill="auto"/>
            <w:vAlign w:val="center"/>
          </w:tcPr>
          <w:p w14:paraId="728F18B2">
            <w:pPr>
              <w:widowControl/>
              <w:jc w:val="center"/>
              <w:rPr>
                <w:rFonts w:ascii="宋体" w:hAnsi="宋体" w:cs="宋体"/>
                <w:color w:val="000000"/>
                <w:kern w:val="0"/>
                <w:sz w:val="18"/>
                <w:szCs w:val="18"/>
              </w:rPr>
            </w:pPr>
            <w:r>
              <w:rPr>
                <w:rFonts w:hint="eastAsia" w:ascii="宋体" w:hAnsi="宋体" w:cs="宋体"/>
                <w:color w:val="000000"/>
                <w:kern w:val="0"/>
                <w:sz w:val="18"/>
                <w:szCs w:val="18"/>
              </w:rPr>
              <w:t>鼓励农民合作社参与人居农村人居环境治理、美丽乡村和乡村文化建设，营造良好的乡风民风社风。</w:t>
            </w:r>
          </w:p>
        </w:tc>
        <w:tc>
          <w:tcPr>
            <w:tcW w:w="520" w:type="dxa"/>
            <w:tcBorders>
              <w:top w:val="nil"/>
              <w:left w:val="nil"/>
              <w:bottom w:val="single" w:color="000000" w:sz="4" w:space="0"/>
              <w:right w:val="single" w:color="000000" w:sz="4" w:space="0"/>
            </w:tcBorders>
            <w:shd w:val="clear" w:color="auto" w:fill="auto"/>
            <w:vAlign w:val="center"/>
          </w:tcPr>
          <w:p w14:paraId="7417F179">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680" w:type="dxa"/>
            <w:tcBorders>
              <w:top w:val="nil"/>
              <w:left w:val="nil"/>
              <w:bottom w:val="single" w:color="000000" w:sz="4" w:space="0"/>
              <w:right w:val="single" w:color="000000" w:sz="4" w:space="0"/>
            </w:tcBorders>
            <w:shd w:val="clear" w:color="auto" w:fill="auto"/>
            <w:vAlign w:val="center"/>
          </w:tcPr>
          <w:p w14:paraId="6B884731">
            <w:pPr>
              <w:widowControl/>
              <w:jc w:val="center"/>
              <w:rPr>
                <w:rFonts w:ascii="宋体" w:hAnsi="宋体" w:cs="宋体"/>
                <w:color w:val="000000"/>
                <w:kern w:val="0"/>
                <w:sz w:val="18"/>
                <w:szCs w:val="18"/>
              </w:rPr>
            </w:pPr>
            <w:r>
              <w:rPr>
                <w:rFonts w:hint="eastAsia" w:ascii="宋体" w:hAnsi="宋体" w:cs="宋体"/>
                <w:color w:val="000000"/>
                <w:kern w:val="0"/>
                <w:sz w:val="18"/>
                <w:szCs w:val="18"/>
              </w:rPr>
              <w:t>高质量打造低碳、绿色良好生产、生活环境，构建农业绿色防控体系。</w:t>
            </w:r>
          </w:p>
        </w:tc>
        <w:tc>
          <w:tcPr>
            <w:tcW w:w="520" w:type="dxa"/>
            <w:tcBorders>
              <w:top w:val="nil"/>
              <w:left w:val="nil"/>
              <w:bottom w:val="single" w:color="000000" w:sz="4" w:space="0"/>
              <w:right w:val="single" w:color="000000" w:sz="4" w:space="0"/>
            </w:tcBorders>
            <w:shd w:val="clear" w:color="auto" w:fill="auto"/>
            <w:vAlign w:val="center"/>
          </w:tcPr>
          <w:p w14:paraId="089CA2A1">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0" w:type="dxa"/>
            <w:tcBorders>
              <w:top w:val="nil"/>
              <w:left w:val="nil"/>
              <w:bottom w:val="single" w:color="000000" w:sz="4" w:space="0"/>
              <w:right w:val="single" w:color="000000" w:sz="4" w:space="0"/>
            </w:tcBorders>
            <w:shd w:val="clear" w:color="auto" w:fill="auto"/>
            <w:vAlign w:val="center"/>
          </w:tcPr>
          <w:p w14:paraId="3A5B655C">
            <w:pPr>
              <w:widowControl/>
              <w:jc w:val="center"/>
              <w:rPr>
                <w:rFonts w:ascii="宋体" w:hAnsi="宋体" w:cs="宋体"/>
                <w:color w:val="000000"/>
                <w:kern w:val="0"/>
                <w:sz w:val="18"/>
                <w:szCs w:val="18"/>
              </w:rPr>
            </w:pPr>
            <w:r>
              <w:rPr>
                <w:rFonts w:hint="eastAsia" w:ascii="宋体" w:hAnsi="宋体" w:cs="宋体"/>
                <w:color w:val="000000"/>
                <w:kern w:val="0"/>
                <w:sz w:val="18"/>
                <w:szCs w:val="18"/>
              </w:rPr>
              <w:t>高质量构建农业绿色防控体系</w:t>
            </w:r>
          </w:p>
        </w:tc>
        <w:tc>
          <w:tcPr>
            <w:tcW w:w="780" w:type="dxa"/>
            <w:tcBorders>
              <w:top w:val="nil"/>
              <w:left w:val="nil"/>
              <w:bottom w:val="single" w:color="000000" w:sz="4" w:space="0"/>
              <w:right w:val="single" w:color="000000" w:sz="4" w:space="0"/>
            </w:tcBorders>
            <w:shd w:val="clear" w:color="auto" w:fill="auto"/>
            <w:vAlign w:val="center"/>
          </w:tcPr>
          <w:p w14:paraId="52043806">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640" w:type="dxa"/>
            <w:tcBorders>
              <w:top w:val="nil"/>
              <w:left w:val="nil"/>
              <w:bottom w:val="single" w:color="000000" w:sz="4" w:space="0"/>
              <w:right w:val="single" w:color="000000" w:sz="4" w:space="0"/>
            </w:tcBorders>
            <w:shd w:val="clear" w:color="auto" w:fill="auto"/>
            <w:vAlign w:val="center"/>
          </w:tcPr>
          <w:p w14:paraId="48F5C87C">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2560" w:type="dxa"/>
            <w:tcBorders>
              <w:top w:val="nil"/>
              <w:left w:val="nil"/>
              <w:bottom w:val="single" w:color="000000" w:sz="4" w:space="0"/>
              <w:right w:val="single" w:color="000000" w:sz="4" w:space="0"/>
            </w:tcBorders>
            <w:shd w:val="clear" w:color="auto" w:fill="auto"/>
            <w:vAlign w:val="center"/>
          </w:tcPr>
          <w:p w14:paraId="41B3E504">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460249CF">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3FF62088">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14:paraId="2FDF4367">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14:paraId="386A53A8">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820" w:type="dxa"/>
            <w:tcBorders>
              <w:top w:val="nil"/>
              <w:left w:val="nil"/>
              <w:bottom w:val="single" w:color="000000" w:sz="4" w:space="0"/>
              <w:right w:val="single" w:color="000000" w:sz="4" w:space="0"/>
            </w:tcBorders>
            <w:shd w:val="clear" w:color="auto" w:fill="auto"/>
            <w:vAlign w:val="center"/>
          </w:tcPr>
          <w:p w14:paraId="28EC0A41">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服务“三农”</w:t>
            </w:r>
          </w:p>
        </w:tc>
        <w:tc>
          <w:tcPr>
            <w:tcW w:w="520" w:type="dxa"/>
            <w:tcBorders>
              <w:top w:val="nil"/>
              <w:left w:val="nil"/>
              <w:bottom w:val="single" w:color="000000" w:sz="4" w:space="0"/>
              <w:right w:val="single" w:color="000000" w:sz="4" w:space="0"/>
            </w:tcBorders>
            <w:shd w:val="clear" w:color="auto" w:fill="auto"/>
            <w:vAlign w:val="center"/>
          </w:tcPr>
          <w:p w14:paraId="3EE5F6ED">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680" w:type="dxa"/>
            <w:tcBorders>
              <w:top w:val="nil"/>
              <w:left w:val="nil"/>
              <w:bottom w:val="single" w:color="000000" w:sz="4" w:space="0"/>
              <w:right w:val="single" w:color="000000" w:sz="4" w:space="0"/>
            </w:tcBorders>
            <w:shd w:val="clear" w:color="auto" w:fill="auto"/>
            <w:vAlign w:val="center"/>
          </w:tcPr>
          <w:p w14:paraId="3C46B806">
            <w:pPr>
              <w:widowControl/>
              <w:jc w:val="center"/>
              <w:rPr>
                <w:rFonts w:ascii="宋体" w:hAnsi="宋体" w:cs="宋体"/>
                <w:color w:val="000000"/>
                <w:kern w:val="0"/>
                <w:sz w:val="18"/>
                <w:szCs w:val="18"/>
              </w:rPr>
            </w:pPr>
            <w:r>
              <w:rPr>
                <w:rFonts w:hint="eastAsia" w:ascii="宋体" w:hAnsi="宋体" w:cs="宋体"/>
                <w:color w:val="000000"/>
                <w:kern w:val="0"/>
                <w:sz w:val="18"/>
                <w:szCs w:val="18"/>
              </w:rPr>
              <w:t>高</w:t>
            </w:r>
          </w:p>
        </w:tc>
        <w:tc>
          <w:tcPr>
            <w:tcW w:w="520" w:type="dxa"/>
            <w:tcBorders>
              <w:top w:val="nil"/>
              <w:left w:val="nil"/>
              <w:bottom w:val="single" w:color="000000" w:sz="4" w:space="0"/>
              <w:right w:val="single" w:color="000000" w:sz="4" w:space="0"/>
            </w:tcBorders>
            <w:shd w:val="clear" w:color="auto" w:fill="auto"/>
            <w:vAlign w:val="center"/>
          </w:tcPr>
          <w:p w14:paraId="1B38FA5E">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0" w:type="dxa"/>
            <w:tcBorders>
              <w:top w:val="nil"/>
              <w:left w:val="nil"/>
              <w:bottom w:val="single" w:color="000000" w:sz="4" w:space="0"/>
              <w:right w:val="single" w:color="000000" w:sz="4" w:space="0"/>
            </w:tcBorders>
            <w:shd w:val="clear" w:color="auto" w:fill="auto"/>
            <w:vAlign w:val="center"/>
          </w:tcPr>
          <w:p w14:paraId="1FEF4AF8">
            <w:pPr>
              <w:widowControl/>
              <w:jc w:val="center"/>
              <w:rPr>
                <w:rFonts w:ascii="宋体" w:hAnsi="宋体" w:cs="宋体"/>
                <w:color w:val="000000"/>
                <w:kern w:val="0"/>
                <w:sz w:val="18"/>
                <w:szCs w:val="18"/>
              </w:rPr>
            </w:pPr>
            <w:r>
              <w:rPr>
                <w:rFonts w:hint="eastAsia" w:ascii="宋体" w:hAnsi="宋体" w:cs="宋体"/>
                <w:color w:val="000000"/>
                <w:kern w:val="0"/>
                <w:sz w:val="18"/>
                <w:szCs w:val="18"/>
              </w:rPr>
              <w:t>高</w:t>
            </w:r>
          </w:p>
        </w:tc>
        <w:tc>
          <w:tcPr>
            <w:tcW w:w="780" w:type="dxa"/>
            <w:tcBorders>
              <w:top w:val="nil"/>
              <w:left w:val="nil"/>
              <w:bottom w:val="single" w:color="000000" w:sz="4" w:space="0"/>
              <w:right w:val="single" w:color="000000" w:sz="4" w:space="0"/>
            </w:tcBorders>
            <w:shd w:val="clear" w:color="auto" w:fill="auto"/>
            <w:vAlign w:val="center"/>
          </w:tcPr>
          <w:p w14:paraId="7DCB3BBF">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640" w:type="dxa"/>
            <w:tcBorders>
              <w:top w:val="nil"/>
              <w:left w:val="nil"/>
              <w:bottom w:val="single" w:color="000000" w:sz="4" w:space="0"/>
              <w:right w:val="single" w:color="000000" w:sz="4" w:space="0"/>
            </w:tcBorders>
            <w:shd w:val="clear" w:color="auto" w:fill="auto"/>
            <w:vAlign w:val="center"/>
          </w:tcPr>
          <w:p w14:paraId="703478F0">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2560" w:type="dxa"/>
            <w:tcBorders>
              <w:top w:val="nil"/>
              <w:left w:val="nil"/>
              <w:bottom w:val="single" w:color="000000" w:sz="4" w:space="0"/>
              <w:right w:val="single" w:color="000000" w:sz="4" w:space="0"/>
            </w:tcBorders>
            <w:shd w:val="clear" w:color="auto" w:fill="auto"/>
            <w:vAlign w:val="center"/>
          </w:tcPr>
          <w:p w14:paraId="6DDE01B4">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1502D55E">
        <w:tblPrEx>
          <w:tblCellMar>
            <w:top w:w="0" w:type="dxa"/>
            <w:left w:w="108" w:type="dxa"/>
            <w:bottom w:w="0" w:type="dxa"/>
            <w:right w:w="108" w:type="dxa"/>
          </w:tblCellMar>
        </w:tblPrEx>
        <w:trPr>
          <w:trHeight w:val="270" w:hRule="atLeast"/>
        </w:trPr>
        <w:tc>
          <w:tcPr>
            <w:tcW w:w="700" w:type="dxa"/>
            <w:vMerge w:val="continue"/>
            <w:tcBorders>
              <w:top w:val="nil"/>
              <w:left w:val="single" w:color="000000" w:sz="4" w:space="0"/>
              <w:bottom w:val="single" w:color="000000" w:sz="4" w:space="0"/>
              <w:right w:val="single" w:color="000000" w:sz="4" w:space="0"/>
            </w:tcBorders>
            <w:vAlign w:val="center"/>
          </w:tcPr>
          <w:p w14:paraId="4F5D99C5">
            <w:pPr>
              <w:widowControl/>
              <w:jc w:val="left"/>
              <w:rPr>
                <w:rFonts w:ascii="宋体" w:hAnsi="宋体" w:cs="宋体"/>
                <w:color w:val="000000"/>
                <w:kern w:val="0"/>
                <w:sz w:val="18"/>
                <w:szCs w:val="18"/>
              </w:rPr>
            </w:pPr>
          </w:p>
        </w:tc>
        <w:tc>
          <w:tcPr>
            <w:tcW w:w="2060" w:type="dxa"/>
            <w:vMerge w:val="continue"/>
            <w:tcBorders>
              <w:top w:val="nil"/>
              <w:left w:val="single" w:color="000000" w:sz="4" w:space="0"/>
              <w:bottom w:val="single" w:color="000000" w:sz="4" w:space="0"/>
              <w:right w:val="single" w:color="000000" w:sz="4" w:space="0"/>
            </w:tcBorders>
            <w:vAlign w:val="center"/>
          </w:tcPr>
          <w:p w14:paraId="5A3A85B3">
            <w:pPr>
              <w:widowControl/>
              <w:jc w:val="left"/>
              <w:rPr>
                <w:rFonts w:ascii="宋体" w:hAnsi="宋体" w:cs="宋体"/>
                <w:color w:val="000000"/>
                <w:kern w:val="0"/>
                <w:sz w:val="18"/>
                <w:szCs w:val="18"/>
              </w:rPr>
            </w:pPr>
          </w:p>
        </w:tc>
        <w:tc>
          <w:tcPr>
            <w:tcW w:w="1780" w:type="dxa"/>
            <w:tcBorders>
              <w:top w:val="nil"/>
              <w:left w:val="nil"/>
              <w:bottom w:val="single" w:color="000000" w:sz="4" w:space="0"/>
              <w:right w:val="single" w:color="000000" w:sz="4" w:space="0"/>
            </w:tcBorders>
            <w:shd w:val="clear" w:color="auto" w:fill="auto"/>
            <w:vAlign w:val="center"/>
          </w:tcPr>
          <w:p w14:paraId="5A39A8C1">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820" w:type="dxa"/>
            <w:tcBorders>
              <w:top w:val="nil"/>
              <w:left w:val="nil"/>
              <w:bottom w:val="single" w:color="000000" w:sz="4" w:space="0"/>
              <w:right w:val="single" w:color="000000" w:sz="4" w:space="0"/>
            </w:tcBorders>
            <w:shd w:val="clear" w:color="auto" w:fill="auto"/>
            <w:vAlign w:val="center"/>
          </w:tcPr>
          <w:p w14:paraId="43F350DA">
            <w:pPr>
              <w:widowControl/>
              <w:jc w:val="center"/>
              <w:rPr>
                <w:rFonts w:ascii="宋体" w:hAnsi="宋体" w:cs="宋体"/>
                <w:color w:val="000000"/>
                <w:kern w:val="0"/>
                <w:sz w:val="18"/>
                <w:szCs w:val="18"/>
              </w:rPr>
            </w:pPr>
            <w:r>
              <w:rPr>
                <w:rFonts w:hint="eastAsia" w:ascii="宋体" w:hAnsi="宋体" w:cs="宋体"/>
                <w:color w:val="000000"/>
                <w:kern w:val="0"/>
                <w:sz w:val="18"/>
                <w:szCs w:val="18"/>
              </w:rPr>
              <w:t>为农工作</w:t>
            </w:r>
          </w:p>
        </w:tc>
        <w:tc>
          <w:tcPr>
            <w:tcW w:w="520" w:type="dxa"/>
            <w:tcBorders>
              <w:top w:val="nil"/>
              <w:left w:val="nil"/>
              <w:bottom w:val="single" w:color="000000" w:sz="4" w:space="0"/>
              <w:right w:val="single" w:color="000000" w:sz="4" w:space="0"/>
            </w:tcBorders>
            <w:shd w:val="clear" w:color="auto" w:fill="auto"/>
            <w:vAlign w:val="center"/>
          </w:tcPr>
          <w:p w14:paraId="47513CF7">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680" w:type="dxa"/>
            <w:tcBorders>
              <w:top w:val="nil"/>
              <w:left w:val="nil"/>
              <w:bottom w:val="single" w:color="000000" w:sz="4" w:space="0"/>
              <w:right w:val="single" w:color="000000" w:sz="4" w:space="0"/>
            </w:tcBorders>
            <w:shd w:val="clear" w:color="auto" w:fill="auto"/>
            <w:vAlign w:val="center"/>
          </w:tcPr>
          <w:p w14:paraId="70794B29">
            <w:pPr>
              <w:widowControl/>
              <w:jc w:val="center"/>
              <w:rPr>
                <w:rFonts w:ascii="宋体" w:hAnsi="宋体" w:cs="宋体"/>
                <w:color w:val="000000"/>
                <w:kern w:val="0"/>
                <w:sz w:val="18"/>
                <w:szCs w:val="18"/>
              </w:rPr>
            </w:pPr>
            <w:r>
              <w:rPr>
                <w:rFonts w:hint="eastAsia" w:ascii="宋体" w:hAnsi="宋体" w:cs="宋体"/>
                <w:color w:val="000000"/>
                <w:kern w:val="0"/>
                <w:sz w:val="18"/>
                <w:szCs w:val="18"/>
              </w:rPr>
              <w:t>长期</w:t>
            </w:r>
          </w:p>
        </w:tc>
        <w:tc>
          <w:tcPr>
            <w:tcW w:w="520" w:type="dxa"/>
            <w:tcBorders>
              <w:top w:val="nil"/>
              <w:left w:val="nil"/>
              <w:bottom w:val="single" w:color="000000" w:sz="4" w:space="0"/>
              <w:right w:val="single" w:color="000000" w:sz="4" w:space="0"/>
            </w:tcBorders>
            <w:shd w:val="clear" w:color="auto" w:fill="auto"/>
            <w:vAlign w:val="center"/>
          </w:tcPr>
          <w:p w14:paraId="443FCACF">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0" w:type="dxa"/>
            <w:tcBorders>
              <w:top w:val="nil"/>
              <w:left w:val="nil"/>
              <w:bottom w:val="single" w:color="000000" w:sz="4" w:space="0"/>
              <w:right w:val="single" w:color="000000" w:sz="4" w:space="0"/>
            </w:tcBorders>
            <w:shd w:val="clear" w:color="auto" w:fill="auto"/>
            <w:vAlign w:val="center"/>
          </w:tcPr>
          <w:p w14:paraId="7C8E5FFD">
            <w:pPr>
              <w:widowControl/>
              <w:jc w:val="center"/>
              <w:rPr>
                <w:rFonts w:ascii="宋体" w:hAnsi="宋体" w:cs="宋体"/>
                <w:color w:val="000000"/>
                <w:kern w:val="0"/>
                <w:sz w:val="18"/>
                <w:szCs w:val="18"/>
              </w:rPr>
            </w:pPr>
            <w:r>
              <w:rPr>
                <w:rFonts w:hint="eastAsia" w:ascii="宋体" w:hAnsi="宋体" w:cs="宋体"/>
                <w:color w:val="000000"/>
                <w:kern w:val="0"/>
                <w:sz w:val="18"/>
                <w:szCs w:val="18"/>
              </w:rPr>
              <w:t>长期</w:t>
            </w:r>
          </w:p>
        </w:tc>
        <w:tc>
          <w:tcPr>
            <w:tcW w:w="780" w:type="dxa"/>
            <w:tcBorders>
              <w:top w:val="nil"/>
              <w:left w:val="nil"/>
              <w:bottom w:val="single" w:color="000000" w:sz="4" w:space="0"/>
              <w:right w:val="single" w:color="000000" w:sz="4" w:space="0"/>
            </w:tcBorders>
            <w:shd w:val="clear" w:color="auto" w:fill="auto"/>
            <w:vAlign w:val="center"/>
          </w:tcPr>
          <w:p w14:paraId="73D1B1E0">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40" w:type="dxa"/>
            <w:tcBorders>
              <w:top w:val="nil"/>
              <w:left w:val="nil"/>
              <w:bottom w:val="single" w:color="000000" w:sz="4" w:space="0"/>
              <w:right w:val="single" w:color="000000" w:sz="4" w:space="0"/>
            </w:tcBorders>
            <w:shd w:val="clear" w:color="auto" w:fill="auto"/>
            <w:vAlign w:val="center"/>
          </w:tcPr>
          <w:p w14:paraId="277BD734">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60" w:type="dxa"/>
            <w:tcBorders>
              <w:top w:val="nil"/>
              <w:left w:val="nil"/>
              <w:bottom w:val="single" w:color="000000" w:sz="4" w:space="0"/>
              <w:right w:val="single" w:color="000000" w:sz="4" w:space="0"/>
            </w:tcBorders>
            <w:shd w:val="clear" w:color="auto" w:fill="auto"/>
            <w:vAlign w:val="center"/>
          </w:tcPr>
          <w:p w14:paraId="0D772E79">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14:paraId="6D74587B">
        <w:tblPrEx>
          <w:tblCellMar>
            <w:top w:w="0" w:type="dxa"/>
            <w:left w:w="108" w:type="dxa"/>
            <w:bottom w:w="0" w:type="dxa"/>
            <w:right w:w="108" w:type="dxa"/>
          </w:tblCellMar>
        </w:tblPrEx>
        <w:trPr>
          <w:trHeight w:val="587" w:hRule="atLeast"/>
        </w:trPr>
        <w:tc>
          <w:tcPr>
            <w:tcW w:w="700" w:type="dxa"/>
            <w:vMerge w:val="continue"/>
            <w:tcBorders>
              <w:top w:val="nil"/>
              <w:left w:val="single" w:color="000000" w:sz="4" w:space="0"/>
              <w:bottom w:val="single" w:color="000000" w:sz="4" w:space="0"/>
              <w:right w:val="single" w:color="000000" w:sz="4" w:space="0"/>
            </w:tcBorders>
            <w:vAlign w:val="center"/>
          </w:tcPr>
          <w:p w14:paraId="01FE95EE">
            <w:pPr>
              <w:widowControl/>
              <w:jc w:val="left"/>
              <w:rPr>
                <w:rFonts w:ascii="宋体" w:hAnsi="宋体" w:cs="宋体"/>
                <w:color w:val="000000"/>
                <w:kern w:val="0"/>
                <w:sz w:val="18"/>
                <w:szCs w:val="18"/>
              </w:rPr>
            </w:pPr>
          </w:p>
        </w:tc>
        <w:tc>
          <w:tcPr>
            <w:tcW w:w="2060" w:type="dxa"/>
            <w:tcBorders>
              <w:top w:val="nil"/>
              <w:left w:val="nil"/>
              <w:bottom w:val="single" w:color="000000" w:sz="4" w:space="0"/>
              <w:right w:val="single" w:color="000000" w:sz="4" w:space="0"/>
            </w:tcBorders>
            <w:shd w:val="clear" w:color="auto" w:fill="auto"/>
            <w:vAlign w:val="center"/>
          </w:tcPr>
          <w:p w14:paraId="01FF37F9">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780" w:type="dxa"/>
            <w:tcBorders>
              <w:top w:val="nil"/>
              <w:left w:val="nil"/>
              <w:bottom w:val="single" w:color="000000" w:sz="4" w:space="0"/>
              <w:right w:val="single" w:color="000000" w:sz="4" w:space="0"/>
            </w:tcBorders>
            <w:shd w:val="clear" w:color="auto" w:fill="auto"/>
            <w:vAlign w:val="center"/>
          </w:tcPr>
          <w:p w14:paraId="4D87591E">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2820" w:type="dxa"/>
            <w:tcBorders>
              <w:top w:val="nil"/>
              <w:left w:val="nil"/>
              <w:bottom w:val="single" w:color="000000" w:sz="4" w:space="0"/>
              <w:right w:val="single" w:color="000000" w:sz="4" w:space="0"/>
            </w:tcBorders>
            <w:shd w:val="clear" w:color="auto" w:fill="auto"/>
            <w:vAlign w:val="center"/>
          </w:tcPr>
          <w:p w14:paraId="21DE9AF6">
            <w:pPr>
              <w:widowControl/>
              <w:jc w:val="center"/>
              <w:rPr>
                <w:rFonts w:ascii="宋体" w:hAnsi="宋体" w:cs="宋体"/>
                <w:color w:val="000000"/>
                <w:kern w:val="0"/>
                <w:sz w:val="18"/>
                <w:szCs w:val="18"/>
              </w:rPr>
            </w:pPr>
            <w:r>
              <w:rPr>
                <w:rFonts w:hint="eastAsia" w:ascii="宋体" w:hAnsi="宋体" w:cs="宋体"/>
                <w:color w:val="000000"/>
                <w:kern w:val="0"/>
                <w:sz w:val="18"/>
                <w:szCs w:val="18"/>
              </w:rPr>
              <w:t>农民满意度</w:t>
            </w:r>
          </w:p>
        </w:tc>
        <w:tc>
          <w:tcPr>
            <w:tcW w:w="520" w:type="dxa"/>
            <w:tcBorders>
              <w:top w:val="nil"/>
              <w:left w:val="nil"/>
              <w:bottom w:val="single" w:color="000000" w:sz="4" w:space="0"/>
              <w:right w:val="single" w:color="000000" w:sz="4" w:space="0"/>
            </w:tcBorders>
            <w:shd w:val="clear" w:color="auto" w:fill="auto"/>
            <w:vAlign w:val="center"/>
          </w:tcPr>
          <w:p w14:paraId="44EE0583">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680" w:type="dxa"/>
            <w:tcBorders>
              <w:top w:val="nil"/>
              <w:left w:val="nil"/>
              <w:bottom w:val="single" w:color="000000" w:sz="4" w:space="0"/>
              <w:right w:val="single" w:color="000000" w:sz="4" w:space="0"/>
            </w:tcBorders>
            <w:shd w:val="clear" w:color="auto" w:fill="auto"/>
            <w:vAlign w:val="center"/>
          </w:tcPr>
          <w:p w14:paraId="2434061B">
            <w:pPr>
              <w:widowControl/>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520" w:type="dxa"/>
            <w:tcBorders>
              <w:top w:val="nil"/>
              <w:left w:val="nil"/>
              <w:bottom w:val="single" w:color="000000" w:sz="4" w:space="0"/>
              <w:right w:val="single" w:color="000000" w:sz="4" w:space="0"/>
            </w:tcBorders>
            <w:shd w:val="clear" w:color="auto" w:fill="auto"/>
            <w:vAlign w:val="center"/>
          </w:tcPr>
          <w:p w14:paraId="014DA122">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0" w:type="dxa"/>
            <w:tcBorders>
              <w:top w:val="nil"/>
              <w:left w:val="nil"/>
              <w:bottom w:val="single" w:color="000000" w:sz="4" w:space="0"/>
              <w:right w:val="single" w:color="000000" w:sz="4" w:space="0"/>
            </w:tcBorders>
            <w:shd w:val="clear" w:color="auto" w:fill="auto"/>
            <w:vAlign w:val="center"/>
          </w:tcPr>
          <w:p w14:paraId="14E55ABA">
            <w:pPr>
              <w:widowControl/>
              <w:jc w:val="center"/>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≥90%</w:t>
            </w:r>
          </w:p>
        </w:tc>
        <w:tc>
          <w:tcPr>
            <w:tcW w:w="780" w:type="dxa"/>
            <w:tcBorders>
              <w:top w:val="nil"/>
              <w:left w:val="nil"/>
              <w:bottom w:val="single" w:color="000000" w:sz="4" w:space="0"/>
              <w:right w:val="single" w:color="000000" w:sz="4" w:space="0"/>
            </w:tcBorders>
            <w:shd w:val="clear" w:color="auto" w:fill="auto"/>
            <w:vAlign w:val="center"/>
          </w:tcPr>
          <w:p w14:paraId="117360C6">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40" w:type="dxa"/>
            <w:tcBorders>
              <w:top w:val="nil"/>
              <w:left w:val="nil"/>
              <w:bottom w:val="single" w:color="000000" w:sz="4" w:space="0"/>
              <w:right w:val="single" w:color="000000" w:sz="4" w:space="0"/>
            </w:tcBorders>
            <w:shd w:val="clear" w:color="auto" w:fill="auto"/>
            <w:vAlign w:val="center"/>
          </w:tcPr>
          <w:p w14:paraId="6590A723">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560" w:type="dxa"/>
            <w:tcBorders>
              <w:top w:val="nil"/>
              <w:left w:val="nil"/>
              <w:bottom w:val="single" w:color="000000" w:sz="4" w:space="0"/>
              <w:right w:val="single" w:color="000000" w:sz="4" w:space="0"/>
            </w:tcBorders>
            <w:shd w:val="clear" w:color="auto" w:fill="auto"/>
            <w:vAlign w:val="center"/>
          </w:tcPr>
          <w:p w14:paraId="35EF7D00">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14:paraId="24BA3BFB">
        <w:tblPrEx>
          <w:tblCellMar>
            <w:top w:w="0" w:type="dxa"/>
            <w:left w:w="108" w:type="dxa"/>
            <w:bottom w:w="0" w:type="dxa"/>
            <w:right w:w="108" w:type="dxa"/>
          </w:tblCellMar>
        </w:tblPrEx>
        <w:trPr>
          <w:trHeight w:val="270" w:hRule="atLeast"/>
        </w:trPr>
        <w:tc>
          <w:tcPr>
            <w:tcW w:w="111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CEFCCB6">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780" w:type="dxa"/>
            <w:tcBorders>
              <w:top w:val="nil"/>
              <w:left w:val="nil"/>
              <w:bottom w:val="single" w:color="000000" w:sz="4" w:space="0"/>
              <w:right w:val="single" w:color="000000" w:sz="4" w:space="0"/>
            </w:tcBorders>
            <w:shd w:val="clear" w:color="auto" w:fill="auto"/>
            <w:vAlign w:val="center"/>
          </w:tcPr>
          <w:p w14:paraId="7A60C7D7">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640" w:type="dxa"/>
            <w:tcBorders>
              <w:top w:val="nil"/>
              <w:left w:val="nil"/>
              <w:bottom w:val="single" w:color="000000" w:sz="4" w:space="0"/>
              <w:right w:val="single" w:color="000000" w:sz="4" w:space="0"/>
            </w:tcBorders>
            <w:shd w:val="clear" w:color="auto" w:fill="auto"/>
            <w:vAlign w:val="center"/>
          </w:tcPr>
          <w:p w14:paraId="119848A3">
            <w:pPr>
              <w:widowControl/>
              <w:jc w:val="center"/>
              <w:rPr>
                <w:rFonts w:ascii="宋体" w:hAnsi="宋体" w:cs="宋体"/>
                <w:color w:val="000000"/>
                <w:kern w:val="0"/>
                <w:sz w:val="18"/>
                <w:szCs w:val="18"/>
              </w:rPr>
            </w:pPr>
            <w:r>
              <w:rPr>
                <w:rFonts w:hint="eastAsia" w:ascii="宋体" w:hAnsi="宋体" w:cs="宋体"/>
                <w:color w:val="000000"/>
                <w:kern w:val="0"/>
                <w:sz w:val="18"/>
                <w:szCs w:val="18"/>
              </w:rPr>
              <w:t>92</w:t>
            </w:r>
          </w:p>
        </w:tc>
        <w:tc>
          <w:tcPr>
            <w:tcW w:w="2560" w:type="dxa"/>
            <w:tcBorders>
              <w:top w:val="nil"/>
              <w:left w:val="nil"/>
              <w:bottom w:val="single" w:color="000000" w:sz="4" w:space="0"/>
              <w:right w:val="single" w:color="000000" w:sz="4" w:space="0"/>
            </w:tcBorders>
            <w:shd w:val="clear" w:color="auto" w:fill="auto"/>
            <w:vAlign w:val="center"/>
          </w:tcPr>
          <w:p w14:paraId="4E46CB10">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14:paraId="3D766582">
        <w:tblPrEx>
          <w:tblCellMar>
            <w:top w:w="0" w:type="dxa"/>
            <w:left w:w="108" w:type="dxa"/>
            <w:bottom w:w="0" w:type="dxa"/>
            <w:right w:w="108" w:type="dxa"/>
          </w:tblCellMar>
        </w:tblPrEx>
        <w:trPr>
          <w:trHeight w:val="782" w:hRule="atLeast"/>
        </w:trPr>
        <w:tc>
          <w:tcPr>
            <w:tcW w:w="700" w:type="dxa"/>
            <w:tcBorders>
              <w:top w:val="nil"/>
              <w:left w:val="single" w:color="000000" w:sz="4" w:space="0"/>
              <w:bottom w:val="single" w:color="000000" w:sz="4" w:space="0"/>
              <w:right w:val="single" w:color="000000" w:sz="4" w:space="0"/>
            </w:tcBorders>
            <w:shd w:val="clear" w:color="auto" w:fill="auto"/>
            <w:vAlign w:val="center"/>
          </w:tcPr>
          <w:p w14:paraId="49A10FF8">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4460" w:type="dxa"/>
            <w:gridSpan w:val="10"/>
            <w:tcBorders>
              <w:top w:val="single" w:color="000000" w:sz="4" w:space="0"/>
              <w:left w:val="nil"/>
              <w:bottom w:val="single" w:color="000000" w:sz="4" w:space="0"/>
              <w:right w:val="single" w:color="000000" w:sz="4" w:space="0"/>
            </w:tcBorders>
            <w:shd w:val="clear" w:color="auto" w:fill="auto"/>
            <w:vAlign w:val="center"/>
          </w:tcPr>
          <w:p w14:paraId="565C61C0">
            <w:pPr>
              <w:widowControl/>
              <w:jc w:val="left"/>
              <w:rPr>
                <w:rFonts w:ascii="微软雅黑" w:hAnsi="微软雅黑" w:eastAsia="微软雅黑" w:cs="宋体"/>
                <w:i/>
                <w:iCs/>
                <w:color w:val="000000"/>
                <w:kern w:val="0"/>
                <w:sz w:val="16"/>
                <w:szCs w:val="16"/>
              </w:rPr>
            </w:pPr>
            <w:r>
              <w:rPr>
                <w:rFonts w:hint="eastAsia" w:ascii="宋体" w:hAnsi="宋体" w:cs="宋体"/>
                <w:color w:val="000000"/>
                <w:kern w:val="0"/>
                <w:sz w:val="18"/>
                <w:szCs w:val="18"/>
              </w:rPr>
              <w:t>自评得分92分，该项目一方面，有效解决当地村集体经济消薄的问题；另一方面，能够有效带动当地产业发展，推动当地产业发展持续提质增效，促进农民增收，增强了与农民利益联结。</w:t>
            </w:r>
          </w:p>
        </w:tc>
      </w:tr>
      <w:tr w14:paraId="3F914757">
        <w:tblPrEx>
          <w:tblCellMar>
            <w:top w:w="0" w:type="dxa"/>
            <w:left w:w="108" w:type="dxa"/>
            <w:bottom w:w="0" w:type="dxa"/>
            <w:right w:w="108" w:type="dxa"/>
          </w:tblCellMar>
        </w:tblPrEx>
        <w:trPr>
          <w:trHeight w:val="705" w:hRule="atLeast"/>
        </w:trPr>
        <w:tc>
          <w:tcPr>
            <w:tcW w:w="700" w:type="dxa"/>
            <w:tcBorders>
              <w:top w:val="nil"/>
              <w:left w:val="single" w:color="000000" w:sz="4" w:space="0"/>
              <w:bottom w:val="single" w:color="000000" w:sz="4" w:space="0"/>
              <w:right w:val="single" w:color="000000" w:sz="4" w:space="0"/>
            </w:tcBorders>
            <w:shd w:val="clear" w:color="auto" w:fill="auto"/>
            <w:vAlign w:val="center"/>
          </w:tcPr>
          <w:p w14:paraId="4C6D8A39">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4460" w:type="dxa"/>
            <w:gridSpan w:val="10"/>
            <w:tcBorders>
              <w:top w:val="single" w:color="000000" w:sz="4" w:space="0"/>
              <w:left w:val="nil"/>
              <w:bottom w:val="single" w:color="000000" w:sz="4" w:space="0"/>
              <w:right w:val="single" w:color="000000" w:sz="4" w:space="0"/>
            </w:tcBorders>
            <w:shd w:val="clear" w:color="auto" w:fill="auto"/>
            <w:vAlign w:val="center"/>
          </w:tcPr>
          <w:p w14:paraId="0E384582">
            <w:pPr>
              <w:widowControl/>
              <w:jc w:val="left"/>
              <w:rPr>
                <w:rFonts w:ascii="宋体" w:hAnsi="宋体" w:cs="宋体"/>
                <w:color w:val="000000"/>
                <w:kern w:val="0"/>
                <w:sz w:val="18"/>
                <w:szCs w:val="18"/>
              </w:rPr>
            </w:pPr>
            <w:r>
              <w:rPr>
                <w:rFonts w:hint="eastAsia" w:ascii="宋体" w:hAnsi="宋体" w:cs="宋体"/>
                <w:color w:val="000000"/>
                <w:kern w:val="0"/>
                <w:sz w:val="18"/>
                <w:szCs w:val="18"/>
              </w:rPr>
              <w:t>基层社建设之初主要以经营农资为主，经营范围仍有所欠缺。</w:t>
            </w:r>
          </w:p>
        </w:tc>
      </w:tr>
      <w:tr w14:paraId="3FBB74DD">
        <w:tblPrEx>
          <w:tblCellMar>
            <w:top w:w="0" w:type="dxa"/>
            <w:left w:w="108" w:type="dxa"/>
            <w:bottom w:w="0" w:type="dxa"/>
            <w:right w:w="108" w:type="dxa"/>
          </w:tblCellMar>
        </w:tblPrEx>
        <w:trPr>
          <w:trHeight w:val="450" w:hRule="atLeast"/>
        </w:trPr>
        <w:tc>
          <w:tcPr>
            <w:tcW w:w="700" w:type="dxa"/>
            <w:tcBorders>
              <w:top w:val="nil"/>
              <w:left w:val="single" w:color="000000" w:sz="4" w:space="0"/>
              <w:bottom w:val="single" w:color="000000" w:sz="4" w:space="0"/>
              <w:right w:val="single" w:color="000000" w:sz="4" w:space="0"/>
            </w:tcBorders>
            <w:shd w:val="clear" w:color="auto" w:fill="auto"/>
            <w:vAlign w:val="center"/>
          </w:tcPr>
          <w:p w14:paraId="6A1FE1F1">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4460" w:type="dxa"/>
            <w:gridSpan w:val="10"/>
            <w:tcBorders>
              <w:top w:val="single" w:color="000000" w:sz="4" w:space="0"/>
              <w:left w:val="nil"/>
              <w:bottom w:val="single" w:color="000000" w:sz="4" w:space="0"/>
              <w:right w:val="single" w:color="000000" w:sz="4" w:space="0"/>
            </w:tcBorders>
            <w:shd w:val="clear" w:color="auto" w:fill="auto"/>
            <w:vAlign w:val="center"/>
          </w:tcPr>
          <w:p w14:paraId="5B2BD402">
            <w:pPr>
              <w:widowControl/>
              <w:jc w:val="left"/>
              <w:rPr>
                <w:rFonts w:ascii="宋体" w:hAnsi="宋体" w:cs="宋体"/>
                <w:color w:val="000000"/>
                <w:kern w:val="0"/>
                <w:sz w:val="18"/>
                <w:szCs w:val="18"/>
              </w:rPr>
            </w:pPr>
            <w:r>
              <w:rPr>
                <w:rFonts w:hint="eastAsia" w:ascii="宋体" w:hAnsi="宋体" w:cs="宋体"/>
                <w:color w:val="000000"/>
                <w:kern w:val="0"/>
                <w:sz w:val="18"/>
                <w:szCs w:val="18"/>
              </w:rPr>
              <w:t>下一步，将致力于基层供销社高质量发展，加大资金支持力度，通过提升改造，提质基层供销社，扩大经营范围，持续服务“三农”，壮大集体经济。</w:t>
            </w:r>
          </w:p>
        </w:tc>
      </w:tr>
      <w:tr w14:paraId="7E23CD0B">
        <w:tblPrEx>
          <w:tblCellMar>
            <w:top w:w="0" w:type="dxa"/>
            <w:left w:w="108" w:type="dxa"/>
            <w:bottom w:w="0" w:type="dxa"/>
            <w:right w:w="108" w:type="dxa"/>
          </w:tblCellMar>
        </w:tblPrEx>
        <w:trPr>
          <w:trHeight w:val="614" w:hRule="atLeast"/>
        </w:trPr>
        <w:tc>
          <w:tcPr>
            <w:tcW w:w="78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1D7746">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项目负责人：朱晓兵</w:t>
            </w:r>
          </w:p>
        </w:tc>
        <w:tc>
          <w:tcPr>
            <w:tcW w:w="7280" w:type="dxa"/>
            <w:gridSpan w:val="6"/>
            <w:tcBorders>
              <w:top w:val="single" w:color="000000" w:sz="4" w:space="0"/>
              <w:left w:val="nil"/>
              <w:bottom w:val="single" w:color="000000" w:sz="4" w:space="0"/>
              <w:right w:val="single" w:color="000000" w:sz="4" w:space="0"/>
            </w:tcBorders>
            <w:shd w:val="clear" w:color="auto" w:fill="auto"/>
            <w:vAlign w:val="center"/>
          </w:tcPr>
          <w:p w14:paraId="44D38B62">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财务负责人：李鑫</w:t>
            </w:r>
          </w:p>
        </w:tc>
      </w:tr>
    </w:tbl>
    <w:p w14:paraId="035C0082">
      <w:pPr>
        <w:pStyle w:val="6"/>
        <w:spacing w:before="93"/>
        <w:rPr>
          <w:rFonts w:ascii="Times New Roman"/>
          <w:color w:val="000000"/>
          <w:kern w:val="2"/>
          <w:sz w:val="32"/>
          <w:szCs w:val="32"/>
          <w:lang w:val="zh-CN"/>
        </w:rPr>
      </w:pPr>
    </w:p>
    <w:p w14:paraId="211EC427">
      <w:pPr>
        <w:pStyle w:val="6"/>
        <w:spacing w:before="93"/>
        <w:rPr>
          <w:rFonts w:ascii="Times New Roman"/>
          <w:color w:val="000000"/>
          <w:kern w:val="2"/>
          <w:sz w:val="32"/>
          <w:szCs w:val="32"/>
          <w:lang w:val="zh-CN"/>
        </w:rPr>
      </w:pPr>
    </w:p>
    <w:p w14:paraId="2F7C604D">
      <w:pPr>
        <w:pStyle w:val="6"/>
        <w:spacing w:before="93"/>
        <w:rPr>
          <w:rFonts w:ascii="Times New Roman"/>
          <w:color w:val="000000"/>
          <w:kern w:val="2"/>
          <w:sz w:val="32"/>
          <w:szCs w:val="32"/>
          <w:lang w:val="zh-CN"/>
        </w:rPr>
      </w:pPr>
    </w:p>
    <w:p w14:paraId="60B06717">
      <w:pPr>
        <w:pStyle w:val="6"/>
        <w:spacing w:before="93"/>
        <w:rPr>
          <w:rFonts w:ascii="Times New Roman"/>
          <w:color w:val="000000"/>
          <w:kern w:val="2"/>
          <w:sz w:val="32"/>
          <w:szCs w:val="32"/>
          <w:lang w:val="zh-CN"/>
        </w:rPr>
      </w:pPr>
    </w:p>
    <w:p w14:paraId="124099F2">
      <w:pPr>
        <w:pStyle w:val="6"/>
        <w:spacing w:before="93"/>
        <w:rPr>
          <w:rFonts w:ascii="Times New Roman"/>
          <w:color w:val="000000"/>
          <w:kern w:val="2"/>
          <w:sz w:val="32"/>
          <w:szCs w:val="32"/>
          <w:lang w:val="zh-CN"/>
        </w:rPr>
      </w:pPr>
    </w:p>
    <w:p w14:paraId="66FA1619">
      <w:pPr>
        <w:pStyle w:val="6"/>
        <w:spacing w:before="93"/>
        <w:rPr>
          <w:rFonts w:ascii="Times New Roman"/>
          <w:color w:val="000000"/>
          <w:kern w:val="2"/>
          <w:sz w:val="32"/>
          <w:szCs w:val="32"/>
          <w:lang w:val="zh-CN"/>
        </w:rPr>
      </w:pPr>
    </w:p>
    <w:p w14:paraId="1E39BAC0">
      <w:pPr>
        <w:pStyle w:val="6"/>
        <w:spacing w:before="93"/>
        <w:rPr>
          <w:rFonts w:ascii="Times New Roman"/>
          <w:color w:val="000000"/>
          <w:kern w:val="2"/>
          <w:sz w:val="32"/>
          <w:szCs w:val="32"/>
          <w:lang w:val="zh-CN"/>
        </w:rPr>
      </w:pPr>
    </w:p>
    <w:p w14:paraId="5602A377">
      <w:pPr>
        <w:pStyle w:val="6"/>
        <w:spacing w:before="93"/>
        <w:rPr>
          <w:rFonts w:ascii="Times New Roman"/>
          <w:color w:val="000000"/>
          <w:kern w:val="2"/>
          <w:sz w:val="32"/>
          <w:szCs w:val="32"/>
          <w:lang w:val="zh-CN"/>
        </w:rPr>
      </w:pPr>
    </w:p>
    <w:p w14:paraId="01C6E598">
      <w:pPr>
        <w:pStyle w:val="6"/>
        <w:spacing w:before="93"/>
        <w:rPr>
          <w:rFonts w:ascii="Times New Roman"/>
          <w:color w:val="000000"/>
          <w:kern w:val="2"/>
          <w:sz w:val="32"/>
          <w:szCs w:val="32"/>
          <w:lang w:val="zh-CN"/>
        </w:rPr>
      </w:pPr>
    </w:p>
    <w:p w14:paraId="5EC745D6">
      <w:pPr>
        <w:pStyle w:val="6"/>
        <w:spacing w:before="93"/>
        <w:rPr>
          <w:rFonts w:ascii="Times New Roman"/>
          <w:color w:val="000000"/>
          <w:kern w:val="2"/>
          <w:sz w:val="32"/>
          <w:szCs w:val="32"/>
          <w:lang w:val="zh-CN"/>
        </w:rPr>
        <w:sectPr>
          <w:pgSz w:w="16838" w:h="11906" w:orient="landscape"/>
          <w:pgMar w:top="720" w:right="720" w:bottom="720" w:left="720" w:header="851" w:footer="992" w:gutter="0"/>
          <w:cols w:space="425" w:num="1"/>
          <w:titlePg/>
          <w:docGrid w:type="lines" w:linePitch="312" w:charSpace="0"/>
        </w:sectPr>
      </w:pPr>
    </w:p>
    <w:p w14:paraId="5B75EBAA">
      <w:pPr>
        <w:widowControl/>
        <w:jc w:val="left"/>
        <w:rPr>
          <w:rFonts w:eastAsia="仿宋_GB2312"/>
          <w:color w:val="000000"/>
          <w:sz w:val="32"/>
          <w:szCs w:val="32"/>
          <w:lang w:val="zh-CN"/>
        </w:rPr>
      </w:pPr>
    </w:p>
    <w:p w14:paraId="32E645BF">
      <w:pPr>
        <w:pStyle w:val="6"/>
        <w:spacing w:before="93"/>
        <w:rPr>
          <w:rFonts w:ascii="Times New Roman"/>
          <w:color w:val="000000"/>
          <w:kern w:val="2"/>
          <w:sz w:val="32"/>
          <w:szCs w:val="32"/>
        </w:rPr>
      </w:pPr>
      <w:r>
        <w:rPr>
          <w:rFonts w:ascii="Times New Roman"/>
          <w:color w:val="000000"/>
          <w:kern w:val="2"/>
          <w:sz w:val="32"/>
          <w:szCs w:val="32"/>
          <w:lang w:val="zh-CN"/>
        </w:rPr>
        <w:t>附件</w:t>
      </w:r>
      <w:r>
        <w:rPr>
          <w:rFonts w:ascii="Times New Roman"/>
          <w:color w:val="000000"/>
          <w:kern w:val="2"/>
          <w:sz w:val="32"/>
          <w:szCs w:val="32"/>
        </w:rPr>
        <w:t>2</w:t>
      </w:r>
    </w:p>
    <w:p w14:paraId="77A31BDD">
      <w:pPr>
        <w:pStyle w:val="6"/>
        <w:spacing w:before="93"/>
        <w:rPr>
          <w:rFonts w:ascii="Times New Roman"/>
          <w:color w:val="000000"/>
          <w:kern w:val="2"/>
          <w:sz w:val="32"/>
          <w:szCs w:val="32"/>
        </w:rPr>
      </w:pPr>
    </w:p>
    <w:p w14:paraId="0A13CFF1">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2022年基层社高质量发展示范县项目可行性分析报告编制费用专项预算项目绩效自评报告</w:t>
      </w:r>
    </w:p>
    <w:p w14:paraId="456E5EBE">
      <w:pPr>
        <w:pStyle w:val="35"/>
        <w:spacing w:line="578" w:lineRule="exact"/>
        <w:ind w:firstLine="640"/>
        <w:jc w:val="center"/>
        <w:rPr>
          <w:rFonts w:ascii="Times New Roman" w:hAnsi="Times New Roman" w:eastAsia="方正小标宋_GBK"/>
          <w:color w:val="auto"/>
          <w:kern w:val="2"/>
          <w:sz w:val="36"/>
          <w:szCs w:val="36"/>
          <w:lang w:val="en-US"/>
        </w:rPr>
      </w:pPr>
    </w:p>
    <w:p w14:paraId="4B3DEF28">
      <w:pPr>
        <w:adjustRightInd w:val="0"/>
        <w:snapToGrid w:val="0"/>
        <w:spacing w:line="578"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14:paraId="7CCEAE46">
      <w:pPr>
        <w:adjustRightInd w:val="0"/>
        <w:snapToGrid w:val="0"/>
        <w:spacing w:line="578" w:lineRule="exact"/>
        <w:rPr>
          <w:rFonts w:eastAsia="楷体_GB2312"/>
          <w:b/>
          <w:sz w:val="32"/>
          <w:szCs w:val="32"/>
          <w:lang w:val="zh-CN"/>
        </w:rPr>
      </w:pPr>
      <w:r>
        <w:rPr>
          <w:rFonts w:hint="eastAsia" w:eastAsia="楷体_GB2312"/>
          <w:b/>
          <w:sz w:val="32"/>
          <w:szCs w:val="32"/>
          <w:lang w:val="zh-CN"/>
        </w:rPr>
        <w:t>　　</w:t>
      </w:r>
      <w:r>
        <w:rPr>
          <w:rFonts w:hint="eastAsia" w:ascii="方正楷体_GBK" w:hAnsi="方正楷体_GBK" w:eastAsia="方正楷体_GBK" w:cs="方正楷体_GBK"/>
          <w:bCs/>
          <w:sz w:val="32"/>
          <w:szCs w:val="32"/>
          <w:lang w:val="zh-CN"/>
        </w:rPr>
        <w:t>（一）项目基本情况。</w:t>
      </w:r>
    </w:p>
    <w:p w14:paraId="5517DA1A">
      <w:pPr>
        <w:widowControl/>
        <w:adjustRightInd w:val="0"/>
        <w:snapToGrid w:val="0"/>
        <w:spacing w:line="560" w:lineRule="exact"/>
        <w:ind w:firstLine="640" w:firstLineChars="200"/>
        <w:contextualSpacing/>
        <w:jc w:val="left"/>
        <w:rPr>
          <w:rFonts w:eastAsia="仿宋_GB2312"/>
          <w:color w:val="000000"/>
          <w:sz w:val="32"/>
          <w:szCs w:val="32"/>
        </w:rPr>
      </w:pPr>
      <w:r>
        <w:rPr>
          <w:rFonts w:eastAsia="仿宋_GB2312"/>
          <w:color w:val="000000"/>
          <w:sz w:val="32"/>
          <w:szCs w:val="32"/>
        </w:rPr>
        <w:t>按照省供销社《关于做好2023年度省级供销综合改革及发展专项资金项目申报工作的通知》（川供财〔2022〕156号）要求，我单位认真做好2023年度省级综合改革及发展资金项目申报工作，申报的基层社高质量发展示范县项目，涉及联合供销社、安宁供销社、新建供销社、小坪供销社，成功入选2023-2025年省级供销综合改革及发展专项资金首批项目库，全市仅我县入围，同时预申请到综合改革资金150万元，省社已公示。按照省社要求，需要编制一份项目可行性分析报告，由于我单位没有专业人士，工作经费有限，就需要向县政府申请资金用于聘请专业机构编制可行性分析报告。县财政局批复我单位5万元用于可行性分析报告的编制费用。</w:t>
      </w:r>
    </w:p>
    <w:p w14:paraId="60A262C0">
      <w:pPr>
        <w:adjustRightInd w:val="0"/>
        <w:snapToGrid w:val="0"/>
        <w:spacing w:line="578" w:lineRule="exact"/>
        <w:ind w:firstLine="720"/>
        <w:rPr>
          <w:rFonts w:ascii="方正楷体_GBK" w:hAnsi="方正楷体_GBK" w:eastAsia="方正楷体_GBK" w:cs="方正楷体_GBK"/>
          <w:bCs/>
          <w:sz w:val="32"/>
          <w:szCs w:val="32"/>
          <w:lang w:val="zh-CN"/>
        </w:rPr>
      </w:pPr>
      <w:r>
        <w:rPr>
          <w:rFonts w:hint="eastAsia" w:ascii="方正楷体_GBK" w:hAnsi="方正楷体_GBK" w:eastAsia="方正楷体_GBK" w:cs="方正楷体_GBK"/>
          <w:bCs/>
          <w:sz w:val="32"/>
          <w:szCs w:val="32"/>
          <w:lang w:val="zh-CN"/>
        </w:rPr>
        <w:t>（二）项目绩效目标。</w:t>
      </w:r>
    </w:p>
    <w:p w14:paraId="18C57258">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w:t>
      </w:r>
      <w:r>
        <w:rPr>
          <w:rFonts w:eastAsia="仿宋_GB2312"/>
          <w:kern w:val="0"/>
          <w:sz w:val="32"/>
          <w:szCs w:val="32"/>
          <w:shd w:val="clear" w:color="auto" w:fill="FFFFFF"/>
        </w:rPr>
        <w:t>.</w:t>
      </w:r>
      <w:r>
        <w:rPr>
          <w:rFonts w:eastAsia="仿宋_GB2312"/>
          <w:kern w:val="0"/>
          <w:sz w:val="32"/>
          <w:szCs w:val="32"/>
          <w:shd w:val="clear" w:color="auto" w:fill="FFFFFF"/>
          <w:lang w:val="zh-CN"/>
        </w:rPr>
        <w:t>项目主要内容。</w:t>
      </w:r>
    </w:p>
    <w:p w14:paraId="74BECEEC">
      <w:pPr>
        <w:widowControl/>
        <w:adjustRightInd w:val="0"/>
        <w:snapToGrid w:val="0"/>
        <w:spacing w:line="560" w:lineRule="exact"/>
        <w:ind w:firstLine="640" w:firstLineChars="200"/>
        <w:contextualSpacing/>
        <w:jc w:val="left"/>
        <w:rPr>
          <w:rFonts w:eastAsia="仿宋_GB2312"/>
          <w:color w:val="000000"/>
          <w:sz w:val="32"/>
          <w:szCs w:val="32"/>
        </w:rPr>
      </w:pPr>
      <w:r>
        <w:rPr>
          <w:rFonts w:eastAsia="仿宋_GB2312"/>
          <w:color w:val="000000"/>
          <w:sz w:val="32"/>
          <w:szCs w:val="32"/>
        </w:rPr>
        <w:t>我单位申报2023年度省级综合改革及发展资金，预申请到综合改革资金150万元，按照省社要求，需要编制一份项目可行性分析报告，所以我单位需聘请专业机构编制，向县政府申请的资金用于报告的编制费。</w:t>
      </w:r>
    </w:p>
    <w:p w14:paraId="317D6B2C">
      <w:pPr>
        <w:widowControl/>
        <w:adjustRightInd w:val="0"/>
        <w:snapToGrid w:val="0"/>
        <w:spacing w:line="578" w:lineRule="exact"/>
        <w:contextualSpacing/>
        <w:jc w:val="left"/>
        <w:rPr>
          <w:rFonts w:eastAsia="仿宋_GB2312"/>
          <w:kern w:val="0"/>
          <w:sz w:val="32"/>
          <w:szCs w:val="32"/>
          <w:shd w:val="clear" w:color="auto" w:fill="FFFFFF"/>
          <w:lang w:val="zh-CN"/>
        </w:rPr>
      </w:pPr>
      <w:r>
        <w:rPr>
          <w:rFonts w:hint="eastAsia" w:eastAsia="仿宋_GB2312"/>
          <w:kern w:val="0"/>
          <w:sz w:val="32"/>
          <w:szCs w:val="32"/>
          <w:shd w:val="clear" w:color="auto" w:fill="FFFFFF"/>
          <w:lang w:val="zh-CN"/>
        </w:rPr>
        <w:t>　　</w:t>
      </w:r>
      <w:r>
        <w:rPr>
          <w:rFonts w:eastAsia="仿宋_GB2312"/>
          <w:kern w:val="0"/>
          <w:sz w:val="32"/>
          <w:szCs w:val="32"/>
          <w:shd w:val="clear" w:color="auto" w:fill="FFFFFF"/>
        </w:rPr>
        <w:t>2.</w:t>
      </w:r>
      <w:r>
        <w:rPr>
          <w:rFonts w:eastAsia="仿宋_GB2312"/>
          <w:kern w:val="0"/>
          <w:sz w:val="32"/>
          <w:szCs w:val="32"/>
          <w:shd w:val="clear" w:color="auto" w:fill="FFFFFF"/>
          <w:lang w:val="zh-CN"/>
        </w:rPr>
        <w:t>项目应实现的具体绩效目标以及项目实施进度计划</w:t>
      </w:r>
      <w:r>
        <w:rPr>
          <w:rFonts w:hint="eastAsia" w:eastAsia="仿宋_GB2312"/>
          <w:kern w:val="0"/>
          <w:sz w:val="32"/>
          <w:szCs w:val="32"/>
          <w:shd w:val="clear" w:color="auto" w:fill="FFFFFF"/>
          <w:lang w:val="zh-CN"/>
        </w:rPr>
        <w:t>。</w:t>
      </w:r>
    </w:p>
    <w:p w14:paraId="42C672CD">
      <w:pPr>
        <w:spacing w:line="560" w:lineRule="exact"/>
        <w:ind w:firstLine="640" w:firstLineChars="200"/>
        <w:rPr>
          <w:rFonts w:eastAsia="仿宋_GB2312"/>
          <w:color w:val="000000"/>
          <w:sz w:val="32"/>
          <w:szCs w:val="32"/>
        </w:rPr>
      </w:pPr>
      <w:r>
        <w:rPr>
          <w:rFonts w:eastAsia="仿宋_GB2312"/>
          <w:color w:val="000000"/>
          <w:sz w:val="32"/>
          <w:szCs w:val="32"/>
        </w:rPr>
        <w:t>经比选，我单位2023年11月9日与中都工程设计有限公司签订咨询服务合同，要求对方20天内提交可行性分析报告。可行性分析报告要满足有关技术标准，满足相关规范，达到省社要求。</w:t>
      </w:r>
    </w:p>
    <w:p w14:paraId="32351966">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3.</w:t>
      </w:r>
      <w:r>
        <w:rPr>
          <w:rFonts w:eastAsia="仿宋_GB2312"/>
          <w:kern w:val="0"/>
          <w:sz w:val="32"/>
          <w:szCs w:val="32"/>
          <w:shd w:val="clear" w:color="auto" w:fill="FFFFFF"/>
          <w:lang w:val="zh-CN"/>
        </w:rPr>
        <w:t>申报内容与实际相符情况。</w:t>
      </w:r>
    </w:p>
    <w:p w14:paraId="6388FB22">
      <w:pPr>
        <w:spacing w:line="560" w:lineRule="exact"/>
        <w:ind w:firstLine="640" w:firstLineChars="200"/>
        <w:rPr>
          <w:rFonts w:eastAsia="仿宋_GB2312"/>
          <w:color w:val="000000"/>
          <w:sz w:val="32"/>
          <w:szCs w:val="32"/>
        </w:rPr>
      </w:pPr>
      <w:r>
        <w:rPr>
          <w:rFonts w:eastAsia="仿宋_GB2312"/>
          <w:color w:val="000000"/>
          <w:sz w:val="32"/>
          <w:szCs w:val="32"/>
        </w:rPr>
        <w:t>项目申报内容与具体实施内容相符，申报目标合理可行。</w:t>
      </w:r>
    </w:p>
    <w:p w14:paraId="554BBB19">
      <w:pPr>
        <w:spacing w:line="560" w:lineRule="exact"/>
        <w:ind w:firstLine="640" w:firstLineChars="200"/>
        <w:rPr>
          <w:rFonts w:eastAsia="楷体_GB2312"/>
          <w:bCs/>
          <w:sz w:val="32"/>
          <w:szCs w:val="32"/>
          <w:lang w:val="zh-CN"/>
        </w:rPr>
      </w:pPr>
      <w:r>
        <w:rPr>
          <w:rFonts w:eastAsia="楷体_GB2312"/>
          <w:bCs/>
          <w:sz w:val="32"/>
          <w:szCs w:val="32"/>
          <w:lang w:val="zh-CN"/>
        </w:rPr>
        <w:t>（三）项目自评步骤及方法。</w:t>
      </w:r>
    </w:p>
    <w:p w14:paraId="3012996C">
      <w:pPr>
        <w:spacing w:line="560" w:lineRule="exact"/>
        <w:ind w:firstLine="640" w:firstLineChars="200"/>
        <w:rPr>
          <w:rFonts w:eastAsia="仿宋_GB2312"/>
          <w:color w:val="000000"/>
          <w:sz w:val="32"/>
          <w:szCs w:val="32"/>
        </w:rPr>
      </w:pPr>
      <w:r>
        <w:rPr>
          <w:rFonts w:eastAsia="仿宋_GB2312"/>
          <w:color w:val="000000"/>
          <w:sz w:val="32"/>
          <w:szCs w:val="32"/>
        </w:rPr>
        <w:t>1.现场评价</w:t>
      </w:r>
      <w:r>
        <w:rPr>
          <w:rFonts w:hint="eastAsia" w:eastAsia="仿宋_GB2312"/>
          <w:color w:val="000000"/>
          <w:sz w:val="32"/>
          <w:szCs w:val="32"/>
        </w:rPr>
        <w:t>。</w:t>
      </w:r>
    </w:p>
    <w:p w14:paraId="0AC67D11">
      <w:pPr>
        <w:spacing w:line="560" w:lineRule="exact"/>
        <w:ind w:firstLine="640" w:firstLineChars="200"/>
        <w:rPr>
          <w:rFonts w:eastAsia="仿宋_GB2312"/>
          <w:color w:val="000000"/>
          <w:sz w:val="32"/>
          <w:szCs w:val="32"/>
        </w:rPr>
      </w:pPr>
      <w:r>
        <w:rPr>
          <w:rFonts w:eastAsia="仿宋_GB2312"/>
          <w:color w:val="000000"/>
          <w:sz w:val="32"/>
          <w:szCs w:val="32"/>
        </w:rPr>
        <w:t xml:space="preserve">经县供销社和市供销社现场验收，可行性分析报告满足相关规范，验收合格。 </w:t>
      </w:r>
    </w:p>
    <w:p w14:paraId="4E8E3A8D">
      <w:pPr>
        <w:spacing w:line="560" w:lineRule="exact"/>
        <w:ind w:firstLine="640" w:firstLineChars="200"/>
        <w:rPr>
          <w:rFonts w:eastAsia="仿宋_GB2312"/>
          <w:color w:val="000000"/>
          <w:sz w:val="32"/>
          <w:szCs w:val="32"/>
        </w:rPr>
      </w:pPr>
      <w:r>
        <w:rPr>
          <w:rFonts w:eastAsia="仿宋_GB2312"/>
          <w:color w:val="000000"/>
          <w:sz w:val="32"/>
          <w:szCs w:val="32"/>
        </w:rPr>
        <w:t>2.项目总体评价</w:t>
      </w:r>
      <w:r>
        <w:rPr>
          <w:rFonts w:hint="eastAsia" w:eastAsia="仿宋_GB2312"/>
          <w:color w:val="000000"/>
          <w:sz w:val="32"/>
          <w:szCs w:val="32"/>
        </w:rPr>
        <w:t>。</w:t>
      </w:r>
    </w:p>
    <w:p w14:paraId="572C60F9">
      <w:pPr>
        <w:spacing w:line="560" w:lineRule="exact"/>
        <w:ind w:firstLine="640" w:firstLineChars="200"/>
        <w:rPr>
          <w:rFonts w:eastAsia="仿宋_GB2312"/>
          <w:color w:val="000000"/>
          <w:sz w:val="32"/>
          <w:szCs w:val="32"/>
        </w:rPr>
      </w:pPr>
      <w:r>
        <w:rPr>
          <w:rFonts w:eastAsia="仿宋_GB2312"/>
          <w:color w:val="000000"/>
          <w:sz w:val="32"/>
          <w:szCs w:val="32"/>
        </w:rPr>
        <w:t>项目总体评价</w:t>
      </w:r>
      <w:r>
        <w:rPr>
          <w:rFonts w:hint="eastAsia" w:eastAsia="仿宋_GB2312"/>
          <w:color w:val="000000"/>
          <w:sz w:val="32"/>
          <w:szCs w:val="32"/>
        </w:rPr>
        <w:t>为良</w:t>
      </w:r>
      <w:r>
        <w:rPr>
          <w:rFonts w:eastAsia="仿宋_GB2312"/>
          <w:color w:val="000000"/>
          <w:sz w:val="32"/>
          <w:szCs w:val="32"/>
        </w:rPr>
        <w:t>。</w:t>
      </w:r>
    </w:p>
    <w:p w14:paraId="613901B1">
      <w:pPr>
        <w:adjustRightInd w:val="0"/>
        <w:snapToGrid w:val="0"/>
        <w:spacing w:line="578" w:lineRule="exact"/>
        <w:ind w:firstLine="720"/>
        <w:rPr>
          <w:rFonts w:eastAsia="黑体"/>
          <w:sz w:val="32"/>
          <w:szCs w:val="32"/>
        </w:rPr>
      </w:pPr>
      <w:r>
        <w:rPr>
          <w:rFonts w:eastAsia="黑体"/>
          <w:sz w:val="32"/>
          <w:szCs w:val="32"/>
        </w:rPr>
        <w:t>二、项目资金申报及使用情况</w:t>
      </w:r>
    </w:p>
    <w:p w14:paraId="3A3F481E">
      <w:pPr>
        <w:adjustRightInd w:val="0"/>
        <w:snapToGrid w:val="0"/>
        <w:spacing w:line="578" w:lineRule="exact"/>
        <w:rPr>
          <w:rFonts w:eastAsia="楷体_GB2312"/>
          <w:bCs/>
          <w:sz w:val="32"/>
          <w:szCs w:val="32"/>
          <w:lang w:val="zh-CN"/>
        </w:rPr>
      </w:pPr>
      <w:r>
        <w:rPr>
          <w:rFonts w:hint="eastAsia" w:eastAsia="楷体_GB2312"/>
          <w:bCs/>
          <w:sz w:val="32"/>
          <w:szCs w:val="32"/>
          <w:lang w:val="zh-CN"/>
        </w:rPr>
        <w:t>　　</w:t>
      </w:r>
      <w:r>
        <w:rPr>
          <w:rFonts w:eastAsia="楷体_GB2312"/>
          <w:bCs/>
          <w:sz w:val="32"/>
          <w:szCs w:val="32"/>
          <w:lang w:val="zh-CN"/>
        </w:rPr>
        <w:t>（一）项目资金申报及批复情况。</w:t>
      </w:r>
    </w:p>
    <w:p w14:paraId="0FD69096">
      <w:pPr>
        <w:spacing w:line="560" w:lineRule="exact"/>
        <w:ind w:firstLine="640" w:firstLineChars="200"/>
        <w:rPr>
          <w:rFonts w:eastAsia="仿宋_GB2312"/>
          <w:color w:val="000000"/>
          <w:sz w:val="32"/>
          <w:szCs w:val="32"/>
        </w:rPr>
      </w:pPr>
      <w:r>
        <w:rPr>
          <w:rFonts w:eastAsia="仿宋_GB2312"/>
          <w:color w:val="000000"/>
          <w:sz w:val="32"/>
          <w:szCs w:val="32"/>
        </w:rPr>
        <w:t>我单位2022年11月向县政府报告申请可行性分析报告编制费5万元，县财政局在2022年12月下达批复资金文件（盐财建</w:t>
      </w:r>
      <w:r>
        <w:rPr>
          <w:rFonts w:hint="eastAsia" w:ascii="方正隶书_GBK" w:hAnsi="方正隶书_GBK" w:eastAsia="方正隶书_GBK" w:cs="方正隶书_GBK"/>
          <w:color w:val="000000"/>
          <w:sz w:val="32"/>
          <w:szCs w:val="32"/>
        </w:rPr>
        <w:t>〔</w:t>
      </w:r>
      <w:r>
        <w:rPr>
          <w:rFonts w:eastAsia="仿宋_GB2312"/>
          <w:color w:val="000000"/>
          <w:sz w:val="32"/>
          <w:szCs w:val="32"/>
        </w:rPr>
        <w:t>2022</w:t>
      </w:r>
      <w:r>
        <w:rPr>
          <w:rFonts w:hint="eastAsia" w:ascii="方正隶书_GBK" w:hAnsi="方正隶书_GBK" w:eastAsia="方正隶书_GBK" w:cs="方正隶书_GBK"/>
          <w:color w:val="000000"/>
          <w:sz w:val="32"/>
          <w:szCs w:val="32"/>
        </w:rPr>
        <w:t>〕</w:t>
      </w:r>
      <w:r>
        <w:rPr>
          <w:rFonts w:eastAsia="仿宋_GB2312"/>
          <w:color w:val="000000"/>
          <w:sz w:val="32"/>
          <w:szCs w:val="32"/>
        </w:rPr>
        <w:t>94号），同意拨付我单位5万元资金。</w:t>
      </w:r>
    </w:p>
    <w:p w14:paraId="59F1F688">
      <w:pPr>
        <w:adjustRightInd w:val="0"/>
        <w:snapToGrid w:val="0"/>
        <w:spacing w:line="578" w:lineRule="exact"/>
        <w:ind w:firstLine="720"/>
        <w:rPr>
          <w:bCs/>
          <w:sz w:val="32"/>
          <w:szCs w:val="32"/>
          <w:lang w:val="zh-CN"/>
        </w:rPr>
      </w:pPr>
      <w:r>
        <w:rPr>
          <w:rFonts w:eastAsia="楷体_GB2312"/>
          <w:bCs/>
          <w:sz w:val="32"/>
          <w:szCs w:val="32"/>
          <w:lang w:val="zh-CN"/>
        </w:rPr>
        <w:t>（二）资金计划、到位及使用情况。</w:t>
      </w:r>
    </w:p>
    <w:p w14:paraId="324874FB">
      <w:pPr>
        <w:widowControl/>
        <w:adjustRightInd w:val="0"/>
        <w:snapToGrid w:val="0"/>
        <w:spacing w:line="578" w:lineRule="exact"/>
        <w:ind w:firstLine="640" w:firstLineChars="200"/>
        <w:contextualSpacing/>
        <w:jc w:val="left"/>
        <w:rPr>
          <w:rFonts w:eastAsia="仿宋_GB2312"/>
          <w:color w:val="000000" w:themeColor="text1"/>
          <w:kern w:val="0"/>
          <w:sz w:val="32"/>
          <w:szCs w:val="32"/>
          <w:shd w:val="clear" w:color="auto" w:fill="FFFFFF"/>
          <w:lang w:val="zh-CN"/>
        </w:rPr>
      </w:pPr>
      <w:r>
        <w:rPr>
          <w:rFonts w:eastAsia="仿宋_GB2312"/>
          <w:kern w:val="0"/>
          <w:sz w:val="32"/>
          <w:szCs w:val="32"/>
          <w:shd w:val="clear" w:color="auto" w:fill="FFFFFF"/>
          <w:lang w:val="zh-CN"/>
        </w:rPr>
        <w:t>1</w:t>
      </w:r>
      <w:r>
        <w:rPr>
          <w:rFonts w:hint="eastAsia" w:eastAsia="仿宋_GB2312"/>
          <w:kern w:val="0"/>
          <w:sz w:val="32"/>
          <w:szCs w:val="32"/>
          <w:shd w:val="clear" w:color="auto" w:fill="FFFFFF"/>
        </w:rPr>
        <w:t>.</w:t>
      </w:r>
      <w:r>
        <w:rPr>
          <w:rFonts w:eastAsia="仿宋_GB2312"/>
          <w:color w:val="000000" w:themeColor="text1"/>
          <w:kern w:val="0"/>
          <w:sz w:val="32"/>
          <w:szCs w:val="32"/>
          <w:shd w:val="clear" w:color="auto" w:fill="FFFFFF"/>
          <w:lang w:val="zh-CN"/>
        </w:rPr>
        <w:t>资金计划。</w:t>
      </w:r>
    </w:p>
    <w:p w14:paraId="632A53CD">
      <w:pPr>
        <w:spacing w:line="560" w:lineRule="exact"/>
        <w:ind w:firstLine="640" w:firstLineChars="200"/>
        <w:rPr>
          <w:rFonts w:eastAsia="仿宋_GB2312"/>
          <w:color w:val="000000"/>
          <w:sz w:val="32"/>
          <w:szCs w:val="32"/>
        </w:rPr>
      </w:pPr>
      <w:r>
        <w:rPr>
          <w:rFonts w:eastAsia="仿宋_GB2312"/>
          <w:color w:val="000000"/>
          <w:sz w:val="32"/>
          <w:szCs w:val="32"/>
        </w:rPr>
        <w:t>此项目资金全为县级财政资金，用于可行性分析报告编制专项经费。</w:t>
      </w:r>
    </w:p>
    <w:p w14:paraId="5C35E725">
      <w:pPr>
        <w:widowControl/>
        <w:adjustRightInd w:val="0"/>
        <w:snapToGrid w:val="0"/>
        <w:spacing w:line="578" w:lineRule="exact"/>
        <w:contextualSpacing/>
        <w:jc w:val="left"/>
        <w:rPr>
          <w:rFonts w:eastAsia="仿宋_GB2312"/>
          <w:color w:val="000000" w:themeColor="text1"/>
          <w:kern w:val="0"/>
          <w:sz w:val="32"/>
          <w:szCs w:val="32"/>
          <w:shd w:val="clear" w:color="auto" w:fill="FFFFFF"/>
          <w:lang w:val="zh-CN"/>
        </w:rPr>
      </w:pPr>
      <w:r>
        <w:rPr>
          <w:rFonts w:hint="eastAsia" w:eastAsia="仿宋_GB2312"/>
          <w:color w:val="000000" w:themeColor="text1"/>
          <w:kern w:val="0"/>
          <w:sz w:val="32"/>
          <w:szCs w:val="32"/>
          <w:shd w:val="clear" w:color="auto" w:fill="FFFFFF"/>
          <w:lang w:val="zh-CN"/>
        </w:rPr>
        <w:t>　　</w:t>
      </w:r>
      <w:r>
        <w:rPr>
          <w:rFonts w:eastAsia="仿宋_GB2312"/>
          <w:color w:val="000000" w:themeColor="text1"/>
          <w:kern w:val="0"/>
          <w:sz w:val="32"/>
          <w:szCs w:val="32"/>
          <w:shd w:val="clear" w:color="auto" w:fill="FFFFFF"/>
        </w:rPr>
        <w:t>2.</w:t>
      </w:r>
      <w:r>
        <w:rPr>
          <w:rFonts w:eastAsia="仿宋_GB2312"/>
          <w:color w:val="000000" w:themeColor="text1"/>
          <w:kern w:val="0"/>
          <w:sz w:val="32"/>
          <w:szCs w:val="32"/>
          <w:shd w:val="clear" w:color="auto" w:fill="FFFFFF"/>
          <w:lang w:val="zh-CN"/>
        </w:rPr>
        <w:t>资金到位。</w:t>
      </w:r>
    </w:p>
    <w:p w14:paraId="547825FE">
      <w:pPr>
        <w:spacing w:line="560" w:lineRule="exact"/>
        <w:ind w:firstLine="640" w:firstLineChars="200"/>
        <w:rPr>
          <w:rFonts w:eastAsia="仿宋_GB2312"/>
          <w:color w:val="000000"/>
          <w:sz w:val="32"/>
          <w:szCs w:val="32"/>
        </w:rPr>
      </w:pPr>
      <w:r>
        <w:rPr>
          <w:rFonts w:eastAsia="仿宋_GB2312"/>
          <w:color w:val="000000"/>
          <w:sz w:val="32"/>
          <w:szCs w:val="32"/>
        </w:rPr>
        <w:t>此项目在2022年11月底验收合格，县财政局在2022年11月底将财政指标下给县供销社，县供销社及时支付编制费用到对方的对公账户，资金及时到位。</w:t>
      </w:r>
    </w:p>
    <w:p w14:paraId="7B0CB81A">
      <w:pPr>
        <w:widowControl/>
        <w:adjustRightInd w:val="0"/>
        <w:snapToGrid w:val="0"/>
        <w:spacing w:line="578" w:lineRule="exact"/>
        <w:ind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w:t>
      </w:r>
      <w:r>
        <w:rPr>
          <w:rFonts w:eastAsia="仿宋_GB2312"/>
          <w:kern w:val="0"/>
          <w:sz w:val="32"/>
          <w:szCs w:val="32"/>
          <w:shd w:val="clear" w:color="auto" w:fill="FFFFFF"/>
        </w:rPr>
        <w:t>.</w:t>
      </w:r>
      <w:r>
        <w:rPr>
          <w:rFonts w:eastAsia="仿宋_GB2312"/>
          <w:kern w:val="0"/>
          <w:sz w:val="32"/>
          <w:szCs w:val="32"/>
          <w:shd w:val="clear" w:color="auto" w:fill="FFFFFF"/>
          <w:lang w:val="zh-CN"/>
        </w:rPr>
        <w:t>资金使用。</w:t>
      </w:r>
    </w:p>
    <w:p w14:paraId="7D0D056E">
      <w:pPr>
        <w:spacing w:line="560" w:lineRule="exact"/>
        <w:ind w:firstLine="640" w:firstLineChars="200"/>
        <w:rPr>
          <w:rFonts w:eastAsia="仿宋_GB2312"/>
          <w:color w:val="000000"/>
          <w:sz w:val="32"/>
          <w:szCs w:val="32"/>
        </w:rPr>
      </w:pPr>
      <w:r>
        <w:rPr>
          <w:rFonts w:eastAsia="仿宋_GB2312"/>
          <w:color w:val="000000"/>
          <w:sz w:val="32"/>
          <w:szCs w:val="32"/>
        </w:rPr>
        <w:t xml:space="preserve">此项目资金用于可行性分析报告的编制费用。我们在实际使用时的支付范围、支付依据与预算相符，支付标准严格按照财政相关文件要求执行，资金使用规范。在2022年底，此项目资金支付率达到100%。 </w:t>
      </w:r>
    </w:p>
    <w:p w14:paraId="5F787E84">
      <w:pPr>
        <w:adjustRightInd w:val="0"/>
        <w:snapToGrid w:val="0"/>
        <w:spacing w:line="578" w:lineRule="exact"/>
        <w:ind w:firstLine="720"/>
        <w:rPr>
          <w:rFonts w:eastAsia="楷体_GB2312"/>
          <w:bCs/>
          <w:sz w:val="32"/>
          <w:szCs w:val="32"/>
          <w:lang w:val="zh-CN"/>
        </w:rPr>
      </w:pPr>
      <w:r>
        <w:rPr>
          <w:rFonts w:eastAsia="楷体_GB2312"/>
          <w:bCs/>
          <w:sz w:val="32"/>
          <w:szCs w:val="32"/>
          <w:lang w:val="zh-CN"/>
        </w:rPr>
        <w:t>（三）项目财务管理情况。</w:t>
      </w:r>
    </w:p>
    <w:p w14:paraId="326CCD4A">
      <w:pPr>
        <w:spacing w:line="560" w:lineRule="exact"/>
        <w:ind w:firstLine="640" w:firstLineChars="200"/>
        <w:rPr>
          <w:rFonts w:eastAsia="仿宋_GB2312"/>
          <w:color w:val="000000"/>
          <w:sz w:val="32"/>
          <w:szCs w:val="32"/>
        </w:rPr>
      </w:pPr>
      <w:r>
        <w:rPr>
          <w:rFonts w:eastAsia="仿宋_GB2312"/>
          <w:color w:val="000000"/>
          <w:sz w:val="32"/>
          <w:szCs w:val="32"/>
        </w:rPr>
        <w:t>我单位实施此项目，财务管理制度健全，严格执行财务管理制度，账务处理及时，会计核算规范。</w:t>
      </w:r>
    </w:p>
    <w:p w14:paraId="0B3070F7">
      <w:pPr>
        <w:adjustRightInd w:val="0"/>
        <w:snapToGrid w:val="0"/>
        <w:spacing w:line="578" w:lineRule="exact"/>
        <w:ind w:firstLine="720"/>
        <w:rPr>
          <w:rFonts w:eastAsia="黑体"/>
          <w:sz w:val="32"/>
          <w:szCs w:val="32"/>
        </w:rPr>
      </w:pPr>
      <w:r>
        <w:rPr>
          <w:rFonts w:eastAsia="黑体"/>
          <w:sz w:val="32"/>
          <w:szCs w:val="32"/>
        </w:rPr>
        <w:t>三、项目实施及管理情况</w:t>
      </w:r>
    </w:p>
    <w:p w14:paraId="0B6A03B4">
      <w:pPr>
        <w:spacing w:line="560" w:lineRule="exact"/>
        <w:ind w:firstLine="640" w:firstLineChars="200"/>
        <w:rPr>
          <w:rFonts w:eastAsia="仿宋_GB2312"/>
          <w:color w:val="000000"/>
          <w:sz w:val="32"/>
          <w:szCs w:val="32"/>
        </w:rPr>
      </w:pPr>
      <w:r>
        <w:rPr>
          <w:rFonts w:eastAsia="仿宋_GB2312"/>
          <w:color w:val="000000"/>
          <w:sz w:val="32"/>
          <w:szCs w:val="32"/>
        </w:rPr>
        <w:t>此项目资金用于可行性分析报告的编制费用，资金使用严格遵守财务管理制度，会计核算规范。我单位比选了几家公司，中都工程设计有限公司在价钱上合理，性价比高,因而我单位通过办公室主任会议决定与这家公司签订咨询服务合同。对方公司对我单位提供的一切资料予以保密，并在规定的时间内按国家技术规范、标准、规程及我单位提出的要求提交质量合格的可行性研究报告、电子文档、光盘。最终我单位的可行性分析报告在全省参与评审的16个县中排名第三。</w:t>
      </w:r>
    </w:p>
    <w:p w14:paraId="04530610">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14:paraId="483F2949">
      <w:pPr>
        <w:adjustRightInd w:val="0"/>
        <w:snapToGrid w:val="0"/>
        <w:spacing w:line="578" w:lineRule="exact"/>
        <w:ind w:firstLine="720"/>
        <w:rPr>
          <w:rFonts w:eastAsia="楷体_GB2312"/>
          <w:bCs/>
          <w:sz w:val="32"/>
          <w:szCs w:val="32"/>
          <w:lang w:val="zh-CN"/>
        </w:rPr>
      </w:pPr>
      <w:r>
        <w:rPr>
          <w:rFonts w:eastAsia="楷体_GB2312"/>
          <w:bCs/>
          <w:sz w:val="32"/>
          <w:szCs w:val="32"/>
          <w:lang w:val="zh-CN"/>
        </w:rPr>
        <w:t>（一）项目完成情况。</w:t>
      </w:r>
    </w:p>
    <w:p w14:paraId="37AB0CEA">
      <w:pPr>
        <w:spacing w:line="560" w:lineRule="exact"/>
        <w:ind w:firstLine="640" w:firstLineChars="200"/>
        <w:rPr>
          <w:rFonts w:eastAsia="仿宋_GB2312"/>
          <w:color w:val="000000"/>
          <w:sz w:val="32"/>
          <w:szCs w:val="32"/>
        </w:rPr>
      </w:pPr>
      <w:r>
        <w:rPr>
          <w:rFonts w:eastAsia="仿宋_GB2312"/>
          <w:color w:val="000000"/>
          <w:sz w:val="32"/>
          <w:szCs w:val="32"/>
        </w:rPr>
        <w:t>中都工程设计有限公司按照我单位要求及时在2022年11月底高质量完成可行性分析报告的编制，最终可行性分析报告在全省的评审中排名第三。我单位按照合同要求在12月份及时全额支付对方5万元报告编制费，资金没有结余，资金使用效益较高，没有违规情况发生。</w:t>
      </w:r>
    </w:p>
    <w:p w14:paraId="0AA6FF34">
      <w:pPr>
        <w:numPr>
          <w:ilvl w:val="0"/>
          <w:numId w:val="7"/>
        </w:numPr>
        <w:adjustRightInd w:val="0"/>
        <w:snapToGrid w:val="0"/>
        <w:spacing w:line="578" w:lineRule="exact"/>
        <w:ind w:firstLine="720"/>
        <w:rPr>
          <w:rFonts w:eastAsia="楷体_GB2312"/>
          <w:bCs/>
          <w:sz w:val="32"/>
          <w:szCs w:val="32"/>
          <w:lang w:val="zh-CN"/>
        </w:rPr>
      </w:pPr>
      <w:r>
        <w:rPr>
          <w:rFonts w:eastAsia="楷体_GB2312"/>
          <w:bCs/>
          <w:sz w:val="32"/>
          <w:szCs w:val="32"/>
          <w:lang w:val="zh-CN"/>
        </w:rPr>
        <w:t>项目效益情况。</w:t>
      </w:r>
    </w:p>
    <w:p w14:paraId="625E43BB">
      <w:pPr>
        <w:spacing w:line="560" w:lineRule="exact"/>
        <w:ind w:firstLine="496" w:firstLineChars="155"/>
        <w:rPr>
          <w:rFonts w:eastAsia="仿宋_GB2312"/>
          <w:color w:val="000000"/>
          <w:sz w:val="32"/>
          <w:szCs w:val="32"/>
        </w:rPr>
      </w:pPr>
      <w:r>
        <w:rPr>
          <w:rFonts w:eastAsia="仿宋_GB2312"/>
          <w:color w:val="000000"/>
          <w:sz w:val="32"/>
          <w:szCs w:val="32"/>
        </w:rPr>
        <w:t xml:space="preserve"> 可行性分析报告参与全省评审排名第三后，向省供销社申报的基层社高质量发展示范县项目资金就能落在我县，年均将可实现农业生产资料供应、农产品购销、收割机、秸秆收割机租赁服务等净利润61.5万元，农民人均增收50元以上。基层示范社发展建设项目的建设，可使村民加入集体经济的发展中，有效带动全村农业产业增产，提高村民收入，增加村集体收入，集体可根据收入情况逐年投入村内公益事业。基层社高质量发展示范县项目的投入与建成能大大节约生产、运输、销售过程中的人力物力成本，能耗明显降低，效能显著提高。</w:t>
      </w:r>
    </w:p>
    <w:p w14:paraId="08D344E3">
      <w:pPr>
        <w:numPr>
          <w:ilvl w:val="0"/>
          <w:numId w:val="8"/>
        </w:numPr>
        <w:adjustRightInd w:val="0"/>
        <w:snapToGrid w:val="0"/>
        <w:spacing w:line="578" w:lineRule="exact"/>
        <w:ind w:firstLine="720"/>
        <w:rPr>
          <w:rFonts w:eastAsia="黑体"/>
          <w:sz w:val="32"/>
          <w:szCs w:val="32"/>
        </w:rPr>
      </w:pPr>
      <w:r>
        <w:rPr>
          <w:rFonts w:eastAsia="黑体"/>
          <w:sz w:val="32"/>
          <w:szCs w:val="32"/>
        </w:rPr>
        <w:t>评价结论及建议</w:t>
      </w:r>
    </w:p>
    <w:p w14:paraId="3105F60E">
      <w:pPr>
        <w:adjustRightInd w:val="0"/>
        <w:snapToGrid w:val="0"/>
        <w:spacing w:line="578" w:lineRule="exact"/>
        <w:rPr>
          <w:rFonts w:eastAsia="楷体_GB2312"/>
          <w:bCs/>
          <w:sz w:val="32"/>
          <w:szCs w:val="32"/>
          <w:lang w:val="zh-CN"/>
        </w:rPr>
      </w:pPr>
      <w:r>
        <w:rPr>
          <w:rFonts w:hint="eastAsia" w:eastAsia="楷体_GB2312"/>
          <w:bCs/>
          <w:sz w:val="32"/>
          <w:szCs w:val="32"/>
          <w:lang w:val="zh-CN"/>
        </w:rPr>
        <w:t>　　</w:t>
      </w:r>
      <w:r>
        <w:rPr>
          <w:rFonts w:eastAsia="楷体_GB2312"/>
          <w:bCs/>
          <w:sz w:val="32"/>
          <w:szCs w:val="32"/>
          <w:lang w:val="zh-CN"/>
        </w:rPr>
        <w:t>（一）评价结论。</w:t>
      </w:r>
    </w:p>
    <w:p w14:paraId="667E92FA">
      <w:pPr>
        <w:spacing w:line="560" w:lineRule="exact"/>
        <w:rPr>
          <w:rFonts w:eastAsia="仿宋_GB2312"/>
          <w:color w:val="000000"/>
          <w:sz w:val="32"/>
          <w:szCs w:val="32"/>
        </w:rPr>
      </w:pPr>
      <w:r>
        <w:rPr>
          <w:rFonts w:hint="eastAsia" w:eastAsia="仿宋_GB2312"/>
          <w:color w:val="000000"/>
          <w:sz w:val="32"/>
          <w:szCs w:val="32"/>
        </w:rPr>
        <w:t>　　</w:t>
      </w:r>
      <w:r>
        <w:rPr>
          <w:rFonts w:eastAsia="仿宋_GB2312"/>
          <w:color w:val="000000"/>
          <w:sz w:val="32"/>
          <w:szCs w:val="32"/>
        </w:rPr>
        <w:t>此项目通过比选，选择性价比高的专业机构编制可行性分析报告，质量完成程度较高，使得我单位在全省参与评审的16个县中排名第三。从而省供销社综改资金能顺利拨付我县，在我县产生较高经济效益、社会效益、生态效益。</w:t>
      </w:r>
    </w:p>
    <w:p w14:paraId="186F57E8">
      <w:pPr>
        <w:adjustRightInd w:val="0"/>
        <w:snapToGrid w:val="0"/>
        <w:spacing w:line="578" w:lineRule="exact"/>
        <w:rPr>
          <w:rFonts w:eastAsia="楷体_GB2312"/>
          <w:bCs/>
          <w:sz w:val="32"/>
          <w:szCs w:val="32"/>
          <w:lang w:val="zh-CN"/>
        </w:rPr>
      </w:pPr>
      <w:r>
        <w:rPr>
          <w:rFonts w:hint="eastAsia" w:eastAsia="楷体_GB2312"/>
          <w:bCs/>
          <w:sz w:val="32"/>
          <w:szCs w:val="32"/>
          <w:lang w:val="zh-CN"/>
        </w:rPr>
        <w:t>　　（二）</w:t>
      </w:r>
      <w:r>
        <w:rPr>
          <w:rFonts w:eastAsia="楷体_GB2312"/>
          <w:bCs/>
          <w:sz w:val="32"/>
          <w:szCs w:val="32"/>
          <w:lang w:val="zh-CN"/>
        </w:rPr>
        <w:t>存在的问题。</w:t>
      </w:r>
    </w:p>
    <w:p w14:paraId="6DD3FFD9">
      <w:pPr>
        <w:adjustRightInd w:val="0"/>
        <w:snapToGrid w:val="0"/>
        <w:spacing w:line="578" w:lineRule="exact"/>
        <w:rPr>
          <w:rFonts w:eastAsia="楷体_GB2312"/>
          <w:bCs/>
          <w:sz w:val="32"/>
          <w:szCs w:val="32"/>
        </w:rPr>
      </w:pPr>
      <w:r>
        <w:rPr>
          <w:rFonts w:hint="eastAsia" w:eastAsia="仿宋_GB2312"/>
          <w:color w:val="000000"/>
          <w:sz w:val="32"/>
          <w:szCs w:val="32"/>
        </w:rPr>
        <w:t>　　</w:t>
      </w:r>
      <w:r>
        <w:rPr>
          <w:rFonts w:eastAsia="仿宋_GB2312"/>
          <w:color w:val="000000"/>
          <w:sz w:val="32"/>
          <w:szCs w:val="32"/>
        </w:rPr>
        <w:t>无。</w:t>
      </w:r>
    </w:p>
    <w:p w14:paraId="7EC314B4">
      <w:pPr>
        <w:adjustRightInd w:val="0"/>
        <w:snapToGrid w:val="0"/>
        <w:spacing w:line="578" w:lineRule="exact"/>
        <w:ind w:left="720"/>
        <w:rPr>
          <w:rFonts w:eastAsia="仿宋_GB2312"/>
          <w:bCs/>
          <w:color w:val="000000"/>
          <w:sz w:val="32"/>
          <w:szCs w:val="32"/>
        </w:rPr>
      </w:pPr>
      <w:r>
        <w:rPr>
          <w:rFonts w:hint="eastAsia" w:eastAsia="楷体_GB2312"/>
          <w:bCs/>
          <w:sz w:val="32"/>
          <w:szCs w:val="32"/>
          <w:lang w:val="zh-CN"/>
        </w:rPr>
        <w:t>（三）</w:t>
      </w:r>
      <w:r>
        <w:rPr>
          <w:rFonts w:eastAsia="楷体_GB2312"/>
          <w:bCs/>
          <w:sz w:val="32"/>
          <w:szCs w:val="32"/>
          <w:lang w:val="zh-CN"/>
        </w:rPr>
        <w:t>相关建议。</w:t>
      </w:r>
    </w:p>
    <w:p w14:paraId="333FCA9A">
      <w:pPr>
        <w:adjustRightInd w:val="0"/>
        <w:snapToGrid w:val="0"/>
        <w:spacing w:line="578" w:lineRule="exact"/>
        <w:ind w:left="720"/>
        <w:rPr>
          <w:rFonts w:eastAsia="仿宋_GB2312"/>
          <w:bCs/>
          <w:color w:val="000000"/>
          <w:sz w:val="32"/>
          <w:szCs w:val="32"/>
        </w:rPr>
      </w:pPr>
      <w:r>
        <w:rPr>
          <w:rFonts w:eastAsia="仿宋_GB2312"/>
          <w:color w:val="000000"/>
          <w:sz w:val="32"/>
          <w:szCs w:val="32"/>
        </w:rPr>
        <w:t>无。</w:t>
      </w:r>
    </w:p>
    <w:p w14:paraId="6A8200D6">
      <w:pPr>
        <w:widowControl/>
        <w:jc w:val="left"/>
        <w:rPr>
          <w:rStyle w:val="29"/>
          <w:rFonts w:eastAsia="黑体"/>
          <w:b w:val="0"/>
        </w:rPr>
      </w:pPr>
    </w:p>
    <w:p w14:paraId="573DB7AC">
      <w:pPr>
        <w:widowControl/>
        <w:jc w:val="left"/>
        <w:rPr>
          <w:rStyle w:val="29"/>
          <w:rFonts w:eastAsia="黑体"/>
          <w:b w:val="0"/>
        </w:rPr>
      </w:pPr>
    </w:p>
    <w:p w14:paraId="13E0F0FC">
      <w:pPr>
        <w:widowControl/>
        <w:jc w:val="left"/>
        <w:rPr>
          <w:rStyle w:val="29"/>
          <w:rFonts w:eastAsia="黑体"/>
          <w:b w:val="0"/>
        </w:rPr>
      </w:pPr>
      <w:r>
        <w:rPr>
          <w:rStyle w:val="29"/>
          <w:rFonts w:eastAsia="黑体"/>
          <w:b w:val="0"/>
        </w:rPr>
        <w:br w:type="page"/>
      </w:r>
    </w:p>
    <w:p w14:paraId="52EBDBE2">
      <w:pPr>
        <w:pStyle w:val="6"/>
        <w:spacing w:before="93"/>
        <w:rPr>
          <w:rFonts w:ascii="Times New Roman"/>
          <w:sz w:val="32"/>
          <w:szCs w:val="32"/>
          <w:shd w:val="clear" w:color="auto" w:fill="FFFFFF"/>
        </w:rPr>
      </w:pPr>
      <w:r>
        <w:rPr>
          <w:rFonts w:ascii="Times New Roman"/>
          <w:sz w:val="32"/>
          <w:szCs w:val="32"/>
          <w:shd w:val="clear" w:color="auto" w:fill="FFFFFF"/>
          <w:lang w:val="zh-CN"/>
        </w:rPr>
        <w:t>附件</w:t>
      </w:r>
      <w:r>
        <w:rPr>
          <w:rFonts w:ascii="Times New Roman"/>
          <w:sz w:val="32"/>
          <w:szCs w:val="32"/>
          <w:shd w:val="clear" w:color="auto" w:fill="FFFFFF"/>
        </w:rPr>
        <w:t>3</w:t>
      </w:r>
    </w:p>
    <w:p w14:paraId="16494681">
      <w:pPr>
        <w:spacing w:line="800" w:lineRule="exact"/>
        <w:jc w:val="center"/>
        <w:rPr>
          <w:rFonts w:eastAsia="方正小标宋简体"/>
          <w:bCs/>
          <w:sz w:val="44"/>
          <w:szCs w:val="44"/>
        </w:rPr>
      </w:pPr>
      <w:r>
        <w:rPr>
          <w:rFonts w:eastAsia="方正小标宋简体"/>
          <w:bCs/>
          <w:sz w:val="44"/>
          <w:szCs w:val="44"/>
        </w:rPr>
        <w:t>盐边县供销社基层示范社建设资金</w:t>
      </w:r>
    </w:p>
    <w:p w14:paraId="2CC8557C">
      <w:pPr>
        <w:spacing w:line="640" w:lineRule="exact"/>
        <w:jc w:val="center"/>
        <w:rPr>
          <w:rFonts w:eastAsia="方正小标宋简体"/>
          <w:bCs/>
          <w:sz w:val="44"/>
          <w:szCs w:val="44"/>
        </w:rPr>
      </w:pPr>
      <w:r>
        <w:rPr>
          <w:rFonts w:eastAsia="方正小标宋简体"/>
          <w:bCs/>
          <w:sz w:val="44"/>
          <w:szCs w:val="44"/>
        </w:rPr>
        <w:t>专项预算项目支出绩效自评报告</w:t>
      </w:r>
    </w:p>
    <w:p w14:paraId="1D73C8A1">
      <w:pPr>
        <w:pStyle w:val="35"/>
        <w:spacing w:line="600" w:lineRule="exact"/>
        <w:rPr>
          <w:rFonts w:ascii="Times New Roman" w:hAnsi="Times New Roman" w:eastAsia="仿宋_GB2312"/>
          <w:b/>
          <w:color w:val="auto"/>
          <w:kern w:val="2"/>
          <w:sz w:val="32"/>
          <w:szCs w:val="32"/>
          <w:lang w:val="en-US"/>
        </w:rPr>
      </w:pPr>
    </w:p>
    <w:p w14:paraId="3E27FC13">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一、项目概况</w:t>
      </w:r>
    </w:p>
    <w:p w14:paraId="142CD997">
      <w:pPr>
        <w:widowControl/>
        <w:spacing w:line="560" w:lineRule="exact"/>
        <w:ind w:firstLine="640" w:firstLineChars="200"/>
        <w:jc w:val="left"/>
        <w:rPr>
          <w:rFonts w:ascii="方正楷体_GBK" w:hAnsi="方正楷体_GBK" w:eastAsia="方正楷体_GBK" w:cs="方正楷体_GBK"/>
          <w:sz w:val="31"/>
          <w:szCs w:val="31"/>
        </w:rPr>
      </w:pPr>
      <w:r>
        <w:rPr>
          <w:rFonts w:hint="eastAsia" w:ascii="方正楷体_GBK" w:hAnsi="方正楷体_GBK" w:eastAsia="方正楷体_GBK" w:cs="方正楷体_GBK"/>
          <w:sz w:val="32"/>
          <w:szCs w:val="32"/>
        </w:rPr>
        <w:t>（一）项目基本情况。</w:t>
      </w:r>
    </w:p>
    <w:p w14:paraId="759D77B9">
      <w:pPr>
        <w:spacing w:line="560" w:lineRule="exact"/>
        <w:ind w:firstLine="600"/>
        <w:rPr>
          <w:rFonts w:eastAsia="仿宋_GB2312"/>
          <w:sz w:val="32"/>
          <w:szCs w:val="32"/>
        </w:rPr>
      </w:pPr>
      <w:r>
        <w:rPr>
          <w:rFonts w:eastAsia="仿宋_GB2312"/>
          <w:sz w:val="32"/>
          <w:szCs w:val="32"/>
        </w:rPr>
        <w:t>按照</w:t>
      </w:r>
      <w:r>
        <w:rPr>
          <w:rFonts w:eastAsia="仿宋_GB2312"/>
          <w:color w:val="000000"/>
          <w:kern w:val="0"/>
          <w:sz w:val="32"/>
          <w:szCs w:val="32"/>
        </w:rPr>
        <w:t>四川省供销合作社联合社《关于做好 2021 年省级供销综合改革及发展专项资金使用管理的通知》（川供财〔2021〕96号）和四川省供销合作社联合社《关于加强基层供销合作社建设的实施意见》（川供社〔2021〕103 号）及攀枝花市供销合作社联合社《关于印发加强基层供销社建设专项工作方案的通知》（攀供〔2021〕31号）通知要求，</w:t>
      </w:r>
      <w:r>
        <w:rPr>
          <w:rFonts w:eastAsia="仿宋_GB2312"/>
          <w:sz w:val="32"/>
          <w:szCs w:val="32"/>
        </w:rPr>
        <w:t>将2021年省级供销综合改革资金30万元以入股方式投入5个基层示范供销社建设，于2022年6月已拨付给盐边县三源河供销合作社、盐边县民主供销合作社、盐边县小坪供销合作社、盐边县安宁供销合作社、盐边县联合供销合作社，每个基层社6万元。盐边县供销社作为主管部门，严格按照有关规定，指导项目建设单位做好项目申报、评定、监测、验收等工作，并加强对专项资金使用的绩效管理，对项目建设进行及时跟踪督导、监督检查、合格验收和绩效评价，确保下达的专项资金按照支持方向合法合规分配，提高资金使用效益。</w:t>
      </w:r>
    </w:p>
    <w:p w14:paraId="78B59942">
      <w:pPr>
        <w:spacing w:line="560" w:lineRule="exact"/>
        <w:ind w:firstLine="640" w:firstLineChars="200"/>
        <w:rPr>
          <w:rFonts w:ascii="方正楷体_GBK" w:hAnsi="方正楷体_GBK" w:eastAsia="方正楷体_GBK" w:cs="方正楷体_GBK"/>
          <w:bCs/>
          <w:sz w:val="31"/>
          <w:szCs w:val="31"/>
        </w:rPr>
      </w:pPr>
      <w:r>
        <w:rPr>
          <w:rFonts w:hint="eastAsia" w:ascii="方正楷体_GBK" w:hAnsi="方正楷体_GBK" w:eastAsia="方正楷体_GBK" w:cs="方正楷体_GBK"/>
          <w:bCs/>
          <w:sz w:val="32"/>
          <w:szCs w:val="32"/>
        </w:rPr>
        <w:t>（二）项目绩效目标。</w:t>
      </w:r>
    </w:p>
    <w:p w14:paraId="459257DE">
      <w:pPr>
        <w:spacing w:line="560" w:lineRule="exact"/>
        <w:ind w:firstLine="640" w:firstLineChars="200"/>
      </w:pPr>
      <w:r>
        <w:rPr>
          <w:rFonts w:eastAsia="仿宋_GB2312"/>
          <w:sz w:val="32"/>
          <w:szCs w:val="32"/>
        </w:rPr>
        <w:t>1.项目主要内容。</w:t>
      </w:r>
    </w:p>
    <w:p w14:paraId="45846E28">
      <w:pPr>
        <w:spacing w:line="560" w:lineRule="exact"/>
        <w:ind w:firstLine="600"/>
        <w:rPr>
          <w:rFonts w:eastAsia="仿宋_GB2312"/>
          <w:sz w:val="32"/>
          <w:szCs w:val="32"/>
        </w:rPr>
      </w:pPr>
      <w:r>
        <w:rPr>
          <w:rFonts w:eastAsia="仿宋_GB2312"/>
          <w:sz w:val="32"/>
          <w:szCs w:val="32"/>
        </w:rPr>
        <w:t>按照建设内容及标准，经营主导方面，每个基层社有固定资产，县供销社持股达到34﹪以上；服务功能方面：围绕农业生产产前、产中、产后提供服务，开展农业生产资料销售，拓展服务功能，开展线上线下营销业务；紧密联结农民，以农民为主体，农民社员不低于100人，有三个基层社组织领办农民专业合作社；在行业管理方面，能遵守供销合作社章程和接受县级供销社的领导；运行管理比较规范，实行独立核算、自主经营、自负盈亏。建立了规范的社员代表大会、理事会、监事会制度的内部管理制度，规范使用“中国供销合作社”标识。建设地址在渔门镇三源河村、惠民镇民主村、国胜乡小坪村、新九镇安宁村、红格镇联合村。</w:t>
      </w:r>
    </w:p>
    <w:p w14:paraId="4FF5F42E">
      <w:pPr>
        <w:spacing w:line="560" w:lineRule="exact"/>
        <w:ind w:firstLine="600"/>
        <w:rPr>
          <w:rFonts w:eastAsia="仿宋_GB2312"/>
          <w:sz w:val="32"/>
          <w:szCs w:val="32"/>
        </w:rPr>
      </w:pPr>
      <w:r>
        <w:rPr>
          <w:rFonts w:eastAsia="仿宋_GB2312"/>
          <w:sz w:val="32"/>
          <w:szCs w:val="32"/>
        </w:rPr>
        <w:t>2.项目应实现的具体绩效目标。</w:t>
      </w:r>
    </w:p>
    <w:p w14:paraId="27802095">
      <w:pPr>
        <w:widowControl/>
        <w:spacing w:line="560" w:lineRule="exact"/>
        <w:ind w:firstLine="640" w:firstLineChars="200"/>
        <w:jc w:val="left"/>
      </w:pPr>
      <w:r>
        <w:rPr>
          <w:rFonts w:eastAsia="仿宋_GB2312"/>
          <w:sz w:val="32"/>
          <w:szCs w:val="32"/>
        </w:rPr>
        <w:t>2021 年底完成5个基层示范社创建任务，在申报实施方案中，经过实地考察调研，渔门镇三源河村、惠民镇民主村、国胜乡小坪村、新九镇安宁村、红格镇联合村产业基础好、群众居住相对集中、村社干部积极性较高，有固定经营场所，基本符合建设要</w:t>
      </w:r>
      <w:r>
        <w:rPr>
          <w:sz w:val="31"/>
          <w:szCs w:val="31"/>
        </w:rPr>
        <w:t>求。</w:t>
      </w:r>
    </w:p>
    <w:p w14:paraId="07E5F427">
      <w:pPr>
        <w:pStyle w:val="2"/>
        <w:ind w:firstLine="640"/>
        <w:rPr>
          <w:rFonts w:ascii="Times New Roman" w:hAnsi="Times New Roman" w:eastAsia="仿宋_GB2312"/>
          <w:sz w:val="32"/>
          <w:szCs w:val="32"/>
        </w:rPr>
      </w:pPr>
      <w:r>
        <w:rPr>
          <w:rFonts w:ascii="Times New Roman" w:hAnsi="Times New Roman" w:eastAsia="仿宋_GB2312"/>
          <w:sz w:val="32"/>
          <w:szCs w:val="32"/>
        </w:rPr>
        <w:t>3.申报内容与实际相符情况。</w:t>
      </w:r>
    </w:p>
    <w:p w14:paraId="69DDD834">
      <w:pPr>
        <w:widowControl/>
        <w:spacing w:line="560" w:lineRule="exact"/>
        <w:ind w:firstLine="640" w:firstLineChars="200"/>
        <w:jc w:val="left"/>
        <w:rPr>
          <w:rFonts w:eastAsia="仿宋_GB2312"/>
          <w:sz w:val="32"/>
          <w:szCs w:val="32"/>
        </w:rPr>
      </w:pPr>
      <w:r>
        <w:rPr>
          <w:rFonts w:eastAsia="仿宋_GB2312"/>
          <w:sz w:val="32"/>
          <w:szCs w:val="32"/>
        </w:rPr>
        <w:t>项目申报内容与具体实施内容相符，申报目标合理可行。</w:t>
      </w:r>
    </w:p>
    <w:p w14:paraId="4CD565B6">
      <w:pPr>
        <w:spacing w:line="560" w:lineRule="exact"/>
        <w:rPr>
          <w:rFonts w:ascii="方正楷体_GBK" w:hAnsi="方正楷体_GBK" w:eastAsia="方正楷体_GBK" w:cs="方正楷体_GBK"/>
          <w:bCs/>
          <w:sz w:val="32"/>
          <w:szCs w:val="32"/>
        </w:rPr>
      </w:pPr>
      <w:r>
        <w:rPr>
          <w:rFonts w:hint="eastAsia" w:ascii="方正楷体_GBK" w:hAnsi="方正楷体_GBK" w:eastAsia="方正楷体_GBK" w:cs="方正楷体_GBK"/>
          <w:bCs/>
          <w:sz w:val="32"/>
          <w:szCs w:val="32"/>
        </w:rPr>
        <w:t>　　（三）项目自评步骤及方法。</w:t>
      </w:r>
    </w:p>
    <w:p w14:paraId="05F6E66D">
      <w:pPr>
        <w:widowControl/>
        <w:spacing w:line="560" w:lineRule="exact"/>
        <w:ind w:firstLine="640" w:firstLineChars="200"/>
        <w:jc w:val="left"/>
        <w:rPr>
          <w:rFonts w:eastAsia="仿宋_GB2312"/>
          <w:sz w:val="32"/>
          <w:szCs w:val="32"/>
        </w:rPr>
      </w:pPr>
      <w:r>
        <w:rPr>
          <w:rFonts w:eastAsia="仿宋_GB2312"/>
          <w:sz w:val="32"/>
          <w:szCs w:val="32"/>
        </w:rPr>
        <w:t>现场评价：经现场检查，各建设项目均严格按照基层供销社建设内容和标准完成，均开展经营业务，验收合格。</w:t>
      </w:r>
    </w:p>
    <w:p w14:paraId="163E6B8D">
      <w:pPr>
        <w:spacing w:line="560" w:lineRule="exact"/>
        <w:rPr>
          <w:rFonts w:ascii="黑体" w:hAnsi="黑体" w:eastAsia="黑体" w:cs="黑体"/>
          <w:bCs/>
          <w:sz w:val="32"/>
          <w:szCs w:val="32"/>
        </w:rPr>
      </w:pPr>
      <w:r>
        <w:rPr>
          <w:rFonts w:hint="eastAsia" w:ascii="黑体" w:hAnsi="黑体" w:eastAsia="黑体" w:cs="黑体"/>
          <w:bCs/>
          <w:sz w:val="32"/>
          <w:szCs w:val="32"/>
        </w:rPr>
        <w:t>　　二、项目资金申报及使用情况</w:t>
      </w:r>
    </w:p>
    <w:p w14:paraId="1AB889CA">
      <w:pPr>
        <w:spacing w:line="560" w:lineRule="exact"/>
        <w:rPr>
          <w:rFonts w:eastAsia="楷体_GB2312"/>
          <w:bCs/>
        </w:rPr>
      </w:pPr>
      <w:r>
        <w:rPr>
          <w:rFonts w:hint="eastAsia"/>
          <w:bCs/>
          <w:sz w:val="32"/>
          <w:szCs w:val="32"/>
        </w:rPr>
        <w:t>　　</w:t>
      </w:r>
      <w:r>
        <w:rPr>
          <w:rFonts w:hint="eastAsia" w:ascii="方正楷体_GBK" w:hAnsi="方正楷体_GBK" w:eastAsia="方正楷体_GBK" w:cs="方正楷体_GBK"/>
          <w:bCs/>
          <w:sz w:val="32"/>
          <w:szCs w:val="32"/>
        </w:rPr>
        <w:t>（一）项目资金申报及批复情况。</w:t>
      </w:r>
    </w:p>
    <w:p w14:paraId="4D7EEE22">
      <w:pPr>
        <w:widowControl/>
        <w:spacing w:line="560" w:lineRule="exact"/>
        <w:ind w:firstLine="640" w:firstLineChars="200"/>
        <w:jc w:val="left"/>
        <w:rPr>
          <w:rFonts w:eastAsia="仿宋_GB2312"/>
          <w:sz w:val="32"/>
          <w:szCs w:val="32"/>
        </w:rPr>
      </w:pPr>
      <w:r>
        <w:rPr>
          <w:rFonts w:eastAsia="仿宋_GB2312"/>
          <w:sz w:val="32"/>
          <w:szCs w:val="32"/>
        </w:rPr>
        <w:t>项目采取先建后补方式，按照基层社建设奖补条件及标准，对每个基层示范社改造建设原则上补助金额10万元。由基层社自行向县社申报，县社负责对申报单位进行资料审核和现场检查后，并对符合条件的基层社申报表报市供销社，市供销社对报送的资料进行复核、认定，出具认定文件，并将相关资料报省供销社备案。</w:t>
      </w:r>
    </w:p>
    <w:p w14:paraId="47C1C12C">
      <w:pPr>
        <w:spacing w:line="560" w:lineRule="exact"/>
        <w:rPr>
          <w:rFonts w:ascii="方正楷体_GBK" w:hAnsi="方正楷体_GBK" w:eastAsia="方正楷体_GBK" w:cs="方正楷体_GBK"/>
          <w:bCs/>
          <w:sz w:val="32"/>
          <w:szCs w:val="32"/>
        </w:rPr>
      </w:pPr>
      <w:r>
        <w:rPr>
          <w:rFonts w:hint="eastAsia" w:ascii="方正楷体_GBK" w:hAnsi="方正楷体_GBK" w:eastAsia="方正楷体_GBK" w:cs="方正楷体_GBK"/>
          <w:bCs/>
          <w:sz w:val="32"/>
          <w:szCs w:val="32"/>
        </w:rPr>
        <w:t>　　</w:t>
      </w:r>
      <w:r>
        <w:rPr>
          <w:rFonts w:ascii="方正楷体_GBK" w:hAnsi="方正楷体_GBK" w:eastAsia="方正楷体_GBK" w:cs="方正楷体_GBK"/>
          <w:bCs/>
          <w:sz w:val="32"/>
          <w:szCs w:val="32"/>
        </w:rPr>
        <w:t>（二）资金计划、到位及使用情况。</w:t>
      </w:r>
    </w:p>
    <w:p w14:paraId="5A05D0C6">
      <w:pPr>
        <w:widowControl/>
        <w:spacing w:line="560" w:lineRule="exact"/>
        <w:ind w:firstLine="640" w:firstLineChars="200"/>
        <w:jc w:val="left"/>
        <w:rPr>
          <w:rFonts w:eastAsia="仿宋_GB2312"/>
          <w:sz w:val="32"/>
          <w:szCs w:val="32"/>
        </w:rPr>
      </w:pPr>
      <w:r>
        <w:rPr>
          <w:rFonts w:eastAsia="仿宋_GB2312"/>
          <w:sz w:val="32"/>
          <w:szCs w:val="32"/>
        </w:rPr>
        <w:t>1.资金计划。</w:t>
      </w:r>
    </w:p>
    <w:p w14:paraId="5DE9972E">
      <w:pPr>
        <w:widowControl/>
        <w:spacing w:line="560" w:lineRule="exact"/>
        <w:ind w:firstLine="640" w:firstLineChars="200"/>
        <w:jc w:val="left"/>
        <w:rPr>
          <w:rFonts w:eastAsia="仿宋_GB2312"/>
          <w:sz w:val="32"/>
          <w:szCs w:val="32"/>
        </w:rPr>
      </w:pPr>
      <w:r>
        <w:rPr>
          <w:rFonts w:eastAsia="仿宋_GB2312"/>
          <w:sz w:val="32"/>
          <w:szCs w:val="32"/>
        </w:rPr>
        <w:t>2021基层示范建设任务6个，每个基层社补助资金不低于10万元，省级和市级计划投入资金60万元。</w:t>
      </w:r>
    </w:p>
    <w:p w14:paraId="7D4724E3">
      <w:pPr>
        <w:widowControl/>
        <w:spacing w:line="560" w:lineRule="exact"/>
        <w:ind w:firstLine="640" w:firstLineChars="200"/>
        <w:jc w:val="left"/>
        <w:rPr>
          <w:rFonts w:eastAsia="仿宋_GB2312"/>
          <w:sz w:val="32"/>
          <w:szCs w:val="32"/>
        </w:rPr>
      </w:pPr>
      <w:r>
        <w:rPr>
          <w:rFonts w:eastAsia="仿宋_GB2312"/>
          <w:sz w:val="32"/>
          <w:szCs w:val="32"/>
        </w:rPr>
        <w:t>2.资金到位。</w:t>
      </w:r>
    </w:p>
    <w:p w14:paraId="0AF13EE2">
      <w:pPr>
        <w:widowControl/>
        <w:spacing w:line="560" w:lineRule="exact"/>
        <w:ind w:firstLine="640" w:firstLineChars="200"/>
        <w:jc w:val="left"/>
        <w:rPr>
          <w:rFonts w:eastAsia="仿宋_GB2312"/>
          <w:sz w:val="32"/>
          <w:szCs w:val="32"/>
        </w:rPr>
      </w:pPr>
      <w:r>
        <w:rPr>
          <w:rFonts w:eastAsia="仿宋_GB2312"/>
          <w:sz w:val="32"/>
          <w:szCs w:val="32"/>
        </w:rPr>
        <w:t>省级和市级计划投入资金60万元已全部到位。其中划拨给盐边县供销社支付的30万元，按照验收标准，2022年已向5个验收合格的基层社拨付资金30万元。市级专项资金30万元由市供销社2023年2月全部拨付到6个基层示范社。</w:t>
      </w:r>
    </w:p>
    <w:p w14:paraId="03BB6431">
      <w:pPr>
        <w:widowControl/>
        <w:spacing w:line="560" w:lineRule="exact"/>
        <w:ind w:firstLine="640" w:firstLineChars="200"/>
        <w:jc w:val="left"/>
        <w:rPr>
          <w:rFonts w:eastAsia="仿宋_GB2312"/>
          <w:sz w:val="32"/>
          <w:szCs w:val="32"/>
        </w:rPr>
      </w:pPr>
      <w:r>
        <w:rPr>
          <w:rFonts w:eastAsia="仿宋_GB2312"/>
          <w:sz w:val="32"/>
          <w:szCs w:val="32"/>
        </w:rPr>
        <w:t xml:space="preserve"> 3.资金使用。</w:t>
      </w:r>
    </w:p>
    <w:p w14:paraId="2B73DE10">
      <w:pPr>
        <w:widowControl/>
        <w:spacing w:line="560" w:lineRule="exact"/>
        <w:ind w:firstLine="640" w:firstLineChars="200"/>
        <w:jc w:val="left"/>
        <w:rPr>
          <w:rFonts w:eastAsia="仿宋_GB2312"/>
          <w:sz w:val="32"/>
          <w:szCs w:val="32"/>
        </w:rPr>
      </w:pPr>
      <w:r>
        <w:rPr>
          <w:rFonts w:eastAsia="仿宋_GB2312"/>
          <w:sz w:val="32"/>
          <w:szCs w:val="32"/>
        </w:rPr>
        <w:t>支持基层示范社更新改造经营服务设施设备，提升拓展经营服务网点，组织领办专业合作社、村级供销合作社；围绕农资、农副产品线上线下营销，农业社会化服务、村集体闲置资产盘活等项目。县供销社采取股权投入方式，将财政奖补资金投入所支持的基层示范社。</w:t>
      </w:r>
    </w:p>
    <w:p w14:paraId="4E73D18B">
      <w:pPr>
        <w:spacing w:line="560" w:lineRule="exact"/>
        <w:ind w:firstLine="640" w:firstLineChars="200"/>
        <w:rPr>
          <w:rFonts w:ascii="方正楷体_GBK" w:hAnsi="方正楷体_GBK" w:eastAsia="方正楷体_GBK" w:cs="方正楷体_GBK"/>
        </w:rPr>
      </w:pPr>
      <w:r>
        <w:rPr>
          <w:rFonts w:hint="eastAsia" w:ascii="方正楷体_GBK" w:hAnsi="方正楷体_GBK" w:eastAsia="方正楷体_GBK" w:cs="方正楷体_GBK"/>
          <w:sz w:val="32"/>
          <w:szCs w:val="32"/>
        </w:rPr>
        <w:t>（三）项目财务管理情况。</w:t>
      </w:r>
    </w:p>
    <w:p w14:paraId="1324F3EA">
      <w:pPr>
        <w:widowControl/>
        <w:spacing w:line="560" w:lineRule="exact"/>
        <w:ind w:firstLine="640" w:firstLineChars="200"/>
        <w:jc w:val="left"/>
        <w:rPr>
          <w:rFonts w:eastAsia="仿宋_GB2312"/>
          <w:sz w:val="32"/>
          <w:szCs w:val="32"/>
        </w:rPr>
      </w:pPr>
      <w:r>
        <w:rPr>
          <w:rFonts w:eastAsia="仿宋_GB2312"/>
          <w:sz w:val="32"/>
          <w:szCs w:val="32"/>
        </w:rPr>
        <w:t>本项目在资金使用上，严格按照2021年基层供销社示范社奖补指引的要求使用，专账专户，专款专用，符合相关政策规定。根据项目建设进程，制定资金投资计划，并在项目实施过程中，定期向市供销社汇报资金使用情况，接受有关部门的监管。项目实施单位严格执行财务管理制度，健全账务，会计核算较规范。</w:t>
      </w:r>
    </w:p>
    <w:p w14:paraId="2D874C6B">
      <w:pPr>
        <w:spacing w:line="560" w:lineRule="exact"/>
        <w:rPr>
          <w:rFonts w:ascii="黑体" w:hAnsi="黑体" w:eastAsia="黑体" w:cs="黑体"/>
          <w:bCs/>
          <w:sz w:val="32"/>
          <w:szCs w:val="32"/>
        </w:rPr>
      </w:pPr>
      <w:r>
        <w:rPr>
          <w:rFonts w:hint="eastAsia" w:ascii="黑体" w:hAnsi="黑体" w:eastAsia="黑体" w:cs="黑体"/>
          <w:bCs/>
          <w:sz w:val="32"/>
          <w:szCs w:val="32"/>
        </w:rPr>
        <w:t>　　三、项目实施及管理情况</w:t>
      </w:r>
    </w:p>
    <w:p w14:paraId="58199B0F">
      <w:pPr>
        <w:widowControl/>
        <w:spacing w:line="560" w:lineRule="exact"/>
        <w:ind w:firstLine="640" w:firstLineChars="200"/>
        <w:jc w:val="left"/>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﹙一﹚加强组织领导。</w:t>
      </w:r>
    </w:p>
    <w:p w14:paraId="1116BB6F">
      <w:pPr>
        <w:widowControl/>
        <w:spacing w:line="560" w:lineRule="exact"/>
        <w:ind w:firstLine="640" w:firstLineChars="200"/>
        <w:jc w:val="left"/>
        <w:rPr>
          <w:rFonts w:eastAsia="仿宋_GB2312"/>
          <w:sz w:val="32"/>
          <w:szCs w:val="32"/>
        </w:rPr>
      </w:pPr>
      <w:r>
        <w:rPr>
          <w:rFonts w:eastAsia="仿宋_GB2312"/>
          <w:sz w:val="32"/>
          <w:szCs w:val="32"/>
        </w:rPr>
        <w:t>县供销社成立基层示范供销社建设项目领导小组，明确任务分工，纳入年度考核，建立工作台账，强化督查落实。加强同乡（镇）、和村的沟通交流对接，加大对相关村委会的政策支持和工作指导力度，及时向县领导及牵头部门填报工作推进情况，积极协调解决基层供销社建设中的困难和问题。</w:t>
      </w:r>
    </w:p>
    <w:p w14:paraId="2BCF8783">
      <w:pPr>
        <w:widowControl/>
        <w:spacing w:line="560" w:lineRule="exact"/>
        <w:ind w:firstLine="640" w:firstLineChars="200"/>
        <w:jc w:val="left"/>
        <w:rPr>
          <w:rFonts w:ascii="方正楷体_GBK" w:hAnsi="方正楷体_GBK" w:eastAsia="方正楷体_GBK" w:cs="方正楷体_GBK"/>
          <w:sz w:val="32"/>
          <w:szCs w:val="32"/>
        </w:rPr>
      </w:pPr>
      <w:r>
        <w:rPr>
          <w:rFonts w:ascii="方正楷体_GBK" w:hAnsi="方正楷体_GBK" w:eastAsia="方正楷体_GBK" w:cs="方正楷体_GBK"/>
          <w:sz w:val="32"/>
          <w:szCs w:val="32"/>
        </w:rPr>
        <w:t>﹙二﹚健全工作机制。</w:t>
      </w:r>
    </w:p>
    <w:p w14:paraId="2AA45ABC">
      <w:pPr>
        <w:widowControl/>
        <w:spacing w:line="560" w:lineRule="exact"/>
        <w:ind w:firstLine="640" w:firstLineChars="200"/>
        <w:jc w:val="left"/>
        <w:rPr>
          <w:rFonts w:eastAsia="仿宋_GB2312"/>
          <w:sz w:val="32"/>
          <w:szCs w:val="32"/>
        </w:rPr>
      </w:pPr>
      <w:r>
        <w:rPr>
          <w:rFonts w:eastAsia="仿宋_GB2312"/>
          <w:sz w:val="32"/>
          <w:szCs w:val="32"/>
        </w:rPr>
        <w:t>县委、县政府把此项工作列为全县重点任务，为基层示范供销社建设工作提供了组织保障。县供销社制定了《加强基层社建设专项工作方案》，并严格按方案落实到位。建立健全社会代表大会、理事会、监事会“三会”制度，不断提高县社的行业指导能力和统筹服务能力。</w:t>
      </w:r>
    </w:p>
    <w:p w14:paraId="62C62F94">
      <w:pPr>
        <w:widowControl/>
        <w:spacing w:line="560" w:lineRule="exact"/>
        <w:ind w:firstLine="640" w:firstLineChars="200"/>
        <w:jc w:val="left"/>
        <w:rPr>
          <w:rFonts w:ascii="方正楷体_GBK" w:hAnsi="方正楷体_GBK" w:eastAsia="方正楷体_GBK" w:cs="方正楷体_GBK"/>
          <w:sz w:val="32"/>
          <w:szCs w:val="32"/>
        </w:rPr>
      </w:pPr>
      <w:r>
        <w:rPr>
          <w:rFonts w:ascii="方正楷体_GBK" w:hAnsi="方正楷体_GBK" w:eastAsia="方正楷体_GBK" w:cs="方正楷体_GBK"/>
          <w:sz w:val="32"/>
          <w:szCs w:val="32"/>
        </w:rPr>
        <w:t>﹙三﹚加强风险防控。</w:t>
      </w:r>
    </w:p>
    <w:p w14:paraId="2B53FB6B">
      <w:pPr>
        <w:widowControl/>
        <w:spacing w:line="560" w:lineRule="exact"/>
        <w:ind w:firstLine="640" w:firstLineChars="200"/>
        <w:jc w:val="left"/>
        <w:rPr>
          <w:rFonts w:eastAsia="仿宋_GB2312"/>
          <w:sz w:val="32"/>
          <w:szCs w:val="32"/>
        </w:rPr>
      </w:pPr>
      <w:r>
        <w:rPr>
          <w:rFonts w:eastAsia="仿宋_GB2312"/>
          <w:sz w:val="32"/>
          <w:szCs w:val="32"/>
        </w:rPr>
        <w:t>认真做好改革相关政策和文件解读，最大限凝度聚共识，汇聚改革正能量，密切关注和化解乡（镇）、村（社区）撤并后的潜在风险，广泛收集社情民意，加强信息互通、舆情引导，妥善处置有关信访问题和涉稳事件，确保社会大局稳定。</w:t>
      </w:r>
    </w:p>
    <w:p w14:paraId="5284622C">
      <w:pPr>
        <w:widowControl/>
        <w:spacing w:line="560" w:lineRule="exact"/>
        <w:ind w:firstLine="640" w:firstLineChars="200"/>
        <w:jc w:val="left"/>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w:t>
      </w:r>
      <w:r>
        <w:rPr>
          <w:rFonts w:ascii="方正楷体_GBK" w:hAnsi="方正楷体_GBK" w:eastAsia="方正楷体_GBK" w:cs="方正楷体_GBK"/>
          <w:sz w:val="32"/>
          <w:szCs w:val="32"/>
        </w:rPr>
        <w:t>认真组织开展自查验收工作。</w:t>
      </w:r>
    </w:p>
    <w:p w14:paraId="1B8C0AA9">
      <w:pPr>
        <w:widowControl/>
        <w:spacing w:line="560" w:lineRule="exact"/>
        <w:jc w:val="left"/>
        <w:rPr>
          <w:rFonts w:eastAsia="仿宋_GB2312"/>
          <w:sz w:val="32"/>
          <w:szCs w:val="32"/>
        </w:rPr>
      </w:pPr>
      <w:r>
        <w:rPr>
          <w:rFonts w:hint="eastAsia" w:eastAsia="仿宋_GB2312"/>
          <w:sz w:val="32"/>
          <w:szCs w:val="32"/>
        </w:rPr>
        <w:t>　　</w:t>
      </w:r>
      <w:r>
        <w:rPr>
          <w:rFonts w:eastAsia="仿宋_GB2312"/>
          <w:sz w:val="32"/>
          <w:szCs w:val="32"/>
        </w:rPr>
        <w:t>根据基层示范社提交的验收申请报告和提供的相关资料，县供销社成立了验收工作组，对照验收内容要求的各项具体建设标准逐一开展自查验收，通过验收均达到合格标准，已正常运行。</w:t>
      </w:r>
    </w:p>
    <w:p w14:paraId="47417B96">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四、项目绩效情况</w:t>
      </w:r>
    </w:p>
    <w:p w14:paraId="084BF54D">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（一）项目完成情况。</w:t>
      </w:r>
    </w:p>
    <w:p w14:paraId="59EA58DF">
      <w:pPr>
        <w:spacing w:line="560" w:lineRule="exact"/>
        <w:ind w:firstLine="640" w:firstLineChars="200"/>
        <w:rPr>
          <w:rFonts w:eastAsia="仿宋_GB2312"/>
          <w:sz w:val="32"/>
          <w:szCs w:val="32"/>
        </w:rPr>
      </w:pPr>
      <w:r>
        <w:rPr>
          <w:rFonts w:eastAsia="仿宋_GB2312"/>
          <w:sz w:val="32"/>
          <w:szCs w:val="32"/>
        </w:rPr>
        <w:t>按时完成市社下达的6个基层示范社建设目标任务，兑现资金60万元。其中市财政划拨盐边县兑现给5个基层社30万元，市供销社直接划拨6个基层社30万元。无资金结余。</w:t>
      </w:r>
    </w:p>
    <w:p w14:paraId="3285FC1B">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（二）项目效益情况。</w:t>
      </w:r>
    </w:p>
    <w:p w14:paraId="4DF4D38E">
      <w:pPr>
        <w:adjustRightInd w:val="0"/>
        <w:snapToGrid w:val="0"/>
        <w:spacing w:line="560" w:lineRule="exact"/>
        <w:ind w:firstLine="640" w:firstLineChars="200"/>
        <w:rPr>
          <w:rFonts w:eastAsia="仿宋_GB2312"/>
          <w:bCs/>
          <w:sz w:val="32"/>
          <w:szCs w:val="32"/>
        </w:rPr>
      </w:pPr>
      <w:r>
        <w:rPr>
          <w:rFonts w:eastAsia="仿宋_GB2312"/>
          <w:sz w:val="32"/>
          <w:szCs w:val="32"/>
        </w:rPr>
        <w:t>渔门镇三源河村、惠民镇民主村、国胜乡小坪村、新九镇安宁村、红格镇联合村</w:t>
      </w:r>
      <w:r>
        <w:rPr>
          <w:rFonts w:eastAsia="仿宋_GB2312"/>
          <w:bCs/>
          <w:sz w:val="32"/>
          <w:szCs w:val="32"/>
        </w:rPr>
        <w:t>农业基础强，农村产业发展好，发展潜力大，基层示范供销社项目在服务“三农”问题上大有可为。</w:t>
      </w:r>
    </w:p>
    <w:p w14:paraId="57BCBFD3">
      <w:pPr>
        <w:pStyle w:val="9"/>
        <w:spacing w:line="560" w:lineRule="exact"/>
        <w:ind w:left="0" w:leftChars="0" w:firstLine="640" w:firstLineChars="200"/>
        <w:rPr>
          <w:rFonts w:eastAsia="仿宋_GB2312"/>
          <w:bCs/>
          <w:sz w:val="32"/>
          <w:szCs w:val="32"/>
        </w:rPr>
      </w:pPr>
      <w:r>
        <w:rPr>
          <w:rFonts w:eastAsia="仿宋_GB2312"/>
          <w:bCs/>
          <w:sz w:val="32"/>
          <w:szCs w:val="32"/>
        </w:rPr>
        <w:t>1.深化供销合作社综合改革的出发点是为“三农”服务，落脚点也是让与农民得到收益。基层社建设也是其中重要一环，对“三农”工作有重大意义，一是有利于为农提供多样化、便利化、丰富多彩的服务。二是该项目建设，能够解决农产品“买难”、“卖难”的问题。三是发展乡村振兴战略。</w:t>
      </w:r>
    </w:p>
    <w:p w14:paraId="5C2F60C9">
      <w:pPr>
        <w:pStyle w:val="9"/>
        <w:spacing w:line="560" w:lineRule="exact"/>
        <w:ind w:left="0" w:leftChars="0"/>
        <w:rPr>
          <w:rFonts w:eastAsia="仿宋_GB2312"/>
          <w:sz w:val="32"/>
          <w:szCs w:val="32"/>
        </w:rPr>
      </w:pPr>
      <w:r>
        <w:rPr>
          <w:rFonts w:eastAsia="仿宋_GB2312"/>
          <w:bCs/>
          <w:sz w:val="32"/>
          <w:szCs w:val="32"/>
        </w:rPr>
        <w:t xml:space="preserve">    2.</w:t>
      </w:r>
      <w:r>
        <w:rPr>
          <w:rFonts w:eastAsia="仿宋_GB2312"/>
          <w:sz w:val="32"/>
          <w:szCs w:val="32"/>
        </w:rPr>
        <w:t>基层供销合作社是供销合作社系统的基础，是直接面向农民的综合性经营服务组织，与“三农”最近，联系最紧密，是服务农民社员最直接的阵地，是供销合作社系统组织结构、经营网络的重要组成部分，也是供销合作社职能延伸和扩展基础。</w:t>
      </w:r>
    </w:p>
    <w:p w14:paraId="42E2D9A5">
      <w:pPr>
        <w:pStyle w:val="9"/>
        <w:spacing w:line="560" w:lineRule="exact"/>
        <w:ind w:left="0" w:leftChars="0" w:firstLine="640" w:firstLineChars="200"/>
        <w:rPr>
          <w:rFonts w:eastAsia="仿宋_GB2312"/>
          <w:sz w:val="32"/>
          <w:szCs w:val="32"/>
        </w:rPr>
      </w:pPr>
      <w:r>
        <w:rPr>
          <w:rFonts w:eastAsia="仿宋_GB2312"/>
          <w:sz w:val="32"/>
          <w:szCs w:val="32"/>
        </w:rPr>
        <w:t>3.加强基层供销合作社建设有利于更好落实政府对“三农”的支持保护，增强对农村市场的调控能力，完善农村公共服务。基层供销合作社多在农村，贴近农民，是供销合作社联系和服务农民的基本环节。供销合作社能不能真正办成农民的合作经济组织，关键在基层社，供销合作社的活力强不强，关键是基层社，供销合作社的为农服务工作做得好不好，关键看基层社。基层供销社在为农民增收，保供报价，农业增效，推进农业产业化，发挥政府与市场桥梁等方面有着非常重要的作用。</w:t>
      </w:r>
    </w:p>
    <w:p w14:paraId="28208C6A">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五、评价结论及建议</w:t>
      </w:r>
    </w:p>
    <w:p w14:paraId="1122F6BF">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（一）评价结论。</w:t>
      </w:r>
    </w:p>
    <w:p w14:paraId="4E06E4A2">
      <w:pPr>
        <w:spacing w:line="560" w:lineRule="exact"/>
        <w:ind w:firstLine="640" w:firstLineChars="200"/>
        <w:rPr>
          <w:rFonts w:eastAsia="仿宋_GB2312"/>
          <w:sz w:val="32"/>
          <w:szCs w:val="32"/>
        </w:rPr>
      </w:pPr>
      <w:r>
        <w:rPr>
          <w:rFonts w:eastAsia="仿宋_GB2312"/>
          <w:sz w:val="32"/>
          <w:szCs w:val="32"/>
        </w:rPr>
        <w:t>该项目的实施，一方面，有效解决当地村集体经济消薄的问题；另一方面，能够有效带动当地产业发展，推动当地产业发展持续提质增效，促进农民增收，增强了与农民利益联结。</w:t>
      </w:r>
    </w:p>
    <w:p w14:paraId="0F5BF10A">
      <w:pPr>
        <w:spacing w:line="560" w:lineRule="exact"/>
        <w:ind w:firstLine="640" w:firstLineChars="200"/>
        <w:rPr>
          <w:rFonts w:ascii="方正楷体_GBK" w:hAnsi="方正楷体_GBK" w:eastAsia="方正楷体_GBK" w:cs="方正楷体_GBK"/>
          <w:sz w:val="32"/>
          <w:szCs w:val="32"/>
        </w:rPr>
      </w:pPr>
      <w:r>
        <w:rPr>
          <w:rFonts w:ascii="方正楷体_GBK" w:hAnsi="方正楷体_GBK" w:eastAsia="方正楷体_GBK" w:cs="方正楷体_GBK"/>
          <w:sz w:val="32"/>
          <w:szCs w:val="32"/>
        </w:rPr>
        <w:t>（二）存在的问题。</w:t>
      </w:r>
    </w:p>
    <w:p w14:paraId="3A852E3B">
      <w:pPr>
        <w:spacing w:line="560" w:lineRule="exact"/>
        <w:ind w:firstLine="640" w:firstLineChars="200"/>
        <w:rPr>
          <w:rFonts w:eastAsia="仿宋_GB2312"/>
          <w:color w:val="000000"/>
          <w:sz w:val="32"/>
          <w:szCs w:val="32"/>
        </w:rPr>
      </w:pPr>
      <w:r>
        <w:rPr>
          <w:rFonts w:eastAsia="仿宋_GB2312"/>
          <w:color w:val="000000"/>
          <w:sz w:val="32"/>
          <w:szCs w:val="32"/>
        </w:rPr>
        <w:t>基层社建设之初主要以经营农资为主，经营范围仍有所欠缺。</w:t>
      </w:r>
    </w:p>
    <w:p w14:paraId="22CB70CC">
      <w:pPr>
        <w:spacing w:line="560" w:lineRule="exact"/>
        <w:ind w:firstLine="640" w:firstLineChars="200"/>
        <w:rPr>
          <w:rFonts w:ascii="方正楷体_GBK" w:hAnsi="方正楷体_GBK" w:eastAsia="方正楷体_GBK" w:cs="方正楷体_GBK"/>
          <w:sz w:val="32"/>
          <w:szCs w:val="32"/>
        </w:rPr>
      </w:pPr>
      <w:r>
        <w:rPr>
          <w:rFonts w:ascii="方正楷体_GBK" w:hAnsi="方正楷体_GBK" w:eastAsia="方正楷体_GBK" w:cs="方正楷体_GBK"/>
          <w:sz w:val="32"/>
          <w:szCs w:val="32"/>
        </w:rPr>
        <w:t>（三）相关建议。</w:t>
      </w:r>
    </w:p>
    <w:p w14:paraId="77E36C19">
      <w:pPr>
        <w:spacing w:line="560" w:lineRule="exact"/>
        <w:ind w:firstLine="640" w:firstLineChars="200"/>
        <w:rPr>
          <w:rFonts w:eastAsia="仿宋_GB2312"/>
          <w:sz w:val="32"/>
          <w:szCs w:val="32"/>
        </w:rPr>
      </w:pPr>
      <w:r>
        <w:rPr>
          <w:rFonts w:eastAsia="仿宋_GB2312"/>
          <w:sz w:val="32"/>
          <w:szCs w:val="32"/>
        </w:rPr>
        <w:t>下一步，将致力于基层供销社高质量发展，加大资金支持力度，通过提升改造，提质基层供销社，扩大经营范围，持续服务“三农”，壮大集体经济。</w:t>
      </w:r>
    </w:p>
    <w:p w14:paraId="163459EB">
      <w:pPr>
        <w:pStyle w:val="2"/>
        <w:rPr>
          <w:rFonts w:ascii="Times New Roman" w:hAnsi="Times New Roman"/>
        </w:rPr>
      </w:pPr>
    </w:p>
    <w:p w14:paraId="0DDD2915">
      <w:pPr>
        <w:pStyle w:val="2"/>
        <w:ind w:right="320"/>
        <w:jc w:val="right"/>
        <w:rPr>
          <w:rFonts w:ascii="Times New Roman" w:hAnsi="Times New Roman"/>
        </w:rPr>
      </w:pPr>
    </w:p>
    <w:p w14:paraId="2F8FEBBE">
      <w:pPr>
        <w:pStyle w:val="2"/>
        <w:ind w:right="320"/>
        <w:jc w:val="right"/>
        <w:rPr>
          <w:rFonts w:ascii="Times New Roman" w:hAnsi="Times New Roman"/>
        </w:rPr>
      </w:pPr>
    </w:p>
    <w:p w14:paraId="2E1136DA"/>
    <w:p w14:paraId="7E064DC7">
      <w:pPr>
        <w:spacing w:line="560" w:lineRule="exact"/>
        <w:ind w:firstLine="420" w:firstLineChars="200"/>
      </w:pPr>
    </w:p>
    <w:p w14:paraId="5BA21799">
      <w:pPr>
        <w:pStyle w:val="2"/>
        <w:rPr>
          <w:rFonts w:ascii="Times New Roman" w:hAnsi="Times New Roman"/>
        </w:rPr>
      </w:pPr>
    </w:p>
    <w:p w14:paraId="653F0250">
      <w:pPr>
        <w:pStyle w:val="2"/>
        <w:ind w:right="320"/>
        <w:jc w:val="right"/>
        <w:rPr>
          <w:rFonts w:ascii="Times New Roman" w:hAnsi="Times New Roman"/>
        </w:rPr>
      </w:pPr>
    </w:p>
    <w:p w14:paraId="6B549163">
      <w:pPr>
        <w:pStyle w:val="2"/>
        <w:ind w:right="320"/>
        <w:jc w:val="right"/>
        <w:rPr>
          <w:rFonts w:ascii="Times New Roman" w:hAnsi="Times New Roman"/>
        </w:rPr>
      </w:pPr>
    </w:p>
    <w:p w14:paraId="7890E7F3"/>
    <w:p w14:paraId="0986094F">
      <w:pPr>
        <w:pStyle w:val="6"/>
        <w:spacing w:before="93"/>
        <w:rPr>
          <w:rFonts w:ascii="Times New Roman"/>
          <w:sz w:val="32"/>
          <w:szCs w:val="32"/>
          <w:shd w:val="clear" w:color="auto" w:fill="FFFFFF"/>
        </w:rPr>
      </w:pPr>
    </w:p>
    <w:p w14:paraId="3A5F254D">
      <w:pPr>
        <w:widowControl/>
        <w:jc w:val="left"/>
        <w:rPr>
          <w:rStyle w:val="29"/>
          <w:rFonts w:eastAsia="黑体"/>
          <w:b w:val="0"/>
        </w:rPr>
      </w:pPr>
    </w:p>
    <w:p w14:paraId="037B5E1D">
      <w:pPr>
        <w:widowControl/>
        <w:jc w:val="left"/>
        <w:rPr>
          <w:rStyle w:val="29"/>
          <w:rFonts w:eastAsia="黑体"/>
          <w:b w:val="0"/>
        </w:rPr>
      </w:pPr>
    </w:p>
    <w:p w14:paraId="363E0F29">
      <w:pPr>
        <w:widowControl/>
        <w:jc w:val="left"/>
        <w:rPr>
          <w:rStyle w:val="29"/>
          <w:rFonts w:eastAsia="黑体"/>
          <w:b w:val="0"/>
        </w:rPr>
      </w:pPr>
    </w:p>
    <w:p w14:paraId="724B4594">
      <w:pPr>
        <w:widowControl/>
        <w:jc w:val="left"/>
        <w:rPr>
          <w:rStyle w:val="29"/>
          <w:rFonts w:eastAsia="黑体"/>
          <w:b w:val="0"/>
        </w:rPr>
      </w:pPr>
    </w:p>
    <w:p w14:paraId="49BE67CB">
      <w:pPr>
        <w:widowControl/>
        <w:jc w:val="left"/>
        <w:rPr>
          <w:rStyle w:val="29"/>
          <w:rFonts w:eastAsia="黑体"/>
          <w:b w:val="0"/>
        </w:rPr>
      </w:pPr>
    </w:p>
    <w:p w14:paraId="3E0325BB">
      <w:pPr>
        <w:widowControl/>
        <w:jc w:val="left"/>
        <w:rPr>
          <w:rStyle w:val="29"/>
          <w:rFonts w:eastAsia="黑体"/>
          <w:b w:val="0"/>
        </w:rPr>
      </w:pPr>
    </w:p>
    <w:p w14:paraId="1B8819ED">
      <w:pPr>
        <w:widowControl/>
        <w:jc w:val="left"/>
        <w:rPr>
          <w:rStyle w:val="29"/>
          <w:rFonts w:eastAsia="黑体"/>
          <w:b w:val="0"/>
        </w:rPr>
      </w:pPr>
    </w:p>
    <w:p w14:paraId="741584C8">
      <w:pPr>
        <w:widowControl/>
        <w:jc w:val="left"/>
        <w:rPr>
          <w:rStyle w:val="29"/>
          <w:rFonts w:eastAsia="黑体"/>
          <w:b w:val="0"/>
        </w:rPr>
      </w:pPr>
    </w:p>
    <w:p w14:paraId="6E8F1769">
      <w:pPr>
        <w:widowControl/>
        <w:jc w:val="left"/>
        <w:rPr>
          <w:rStyle w:val="29"/>
          <w:rFonts w:eastAsia="黑体"/>
          <w:b w:val="0"/>
        </w:rPr>
      </w:pPr>
    </w:p>
    <w:p w14:paraId="4460E8E6">
      <w:pPr>
        <w:widowControl/>
        <w:jc w:val="left"/>
        <w:rPr>
          <w:rStyle w:val="29"/>
          <w:rFonts w:eastAsia="黑体"/>
          <w:b w:val="0"/>
        </w:rPr>
      </w:pPr>
    </w:p>
    <w:p w14:paraId="491707CE">
      <w:pPr>
        <w:pStyle w:val="2"/>
        <w:rPr>
          <w:rStyle w:val="29"/>
          <w:rFonts w:eastAsia="黑体"/>
          <w:b w:val="0"/>
        </w:rPr>
      </w:pPr>
    </w:p>
    <w:p w14:paraId="5F43688B">
      <w:pPr>
        <w:pStyle w:val="2"/>
        <w:rPr>
          <w:rStyle w:val="29"/>
          <w:rFonts w:eastAsia="黑体"/>
          <w:b w:val="0"/>
        </w:rPr>
      </w:pPr>
    </w:p>
    <w:p w14:paraId="675604B8">
      <w:pPr>
        <w:pStyle w:val="2"/>
        <w:rPr>
          <w:rStyle w:val="29"/>
          <w:rFonts w:eastAsia="黑体"/>
          <w:b w:val="0"/>
        </w:rPr>
      </w:pPr>
    </w:p>
    <w:p w14:paraId="67520D34">
      <w:pPr>
        <w:pStyle w:val="2"/>
        <w:rPr>
          <w:rStyle w:val="29"/>
          <w:rFonts w:eastAsia="黑体"/>
          <w:b w:val="0"/>
        </w:rPr>
      </w:pPr>
    </w:p>
    <w:p w14:paraId="7D81B68E">
      <w:pPr>
        <w:pStyle w:val="2"/>
        <w:rPr>
          <w:rStyle w:val="29"/>
          <w:rFonts w:eastAsia="仿宋_GB2312"/>
          <w:b w:val="0"/>
          <w:sz w:val="32"/>
          <w:szCs w:val="32"/>
        </w:rPr>
      </w:pPr>
      <w:r>
        <w:rPr>
          <w:rStyle w:val="29"/>
          <w:rFonts w:eastAsia="仿宋_GB2312"/>
          <w:b w:val="0"/>
          <w:sz w:val="32"/>
          <w:szCs w:val="32"/>
        </w:rPr>
        <w:t>附件4</w:t>
      </w:r>
    </w:p>
    <w:p w14:paraId="6D668465">
      <w:pPr>
        <w:pStyle w:val="2"/>
        <w:rPr>
          <w:rStyle w:val="29"/>
          <w:rFonts w:eastAsia="仿宋_GB2312"/>
          <w:b w:val="0"/>
          <w:sz w:val="32"/>
          <w:szCs w:val="32"/>
        </w:rPr>
      </w:pPr>
    </w:p>
    <w:p w14:paraId="3773EB01">
      <w:pPr>
        <w:pStyle w:val="35"/>
        <w:spacing w:line="0" w:lineRule="atLeas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color w:val="auto"/>
          <w:kern w:val="2"/>
          <w:sz w:val="44"/>
          <w:szCs w:val="44"/>
          <w:lang w:val="en-US"/>
        </w:rPr>
        <w:t>2022年盐边县供销社推进基层供销社示范社建设</w:t>
      </w:r>
      <w:r>
        <w:rPr>
          <w:rFonts w:hint="eastAsia" w:ascii="方正小标宋_GBK" w:hAnsi="方正小标宋_GBK" w:eastAsia="方正小标宋_GBK" w:cs="方正小标宋_GBK"/>
          <w:sz w:val="44"/>
          <w:szCs w:val="44"/>
        </w:rPr>
        <w:t>专项预算项目支出绩效自评报告</w:t>
      </w:r>
    </w:p>
    <w:p w14:paraId="3AD832C2">
      <w:pPr>
        <w:pStyle w:val="35"/>
        <w:spacing w:line="600" w:lineRule="exact"/>
        <w:ind w:firstLine="640"/>
        <w:jc w:val="center"/>
        <w:rPr>
          <w:rFonts w:ascii="Times New Roman" w:hAnsi="Times New Roman"/>
          <w:color w:val="auto"/>
          <w:kern w:val="2"/>
          <w:sz w:val="32"/>
          <w:szCs w:val="32"/>
        </w:rPr>
      </w:pPr>
    </w:p>
    <w:p w14:paraId="714D39B4">
      <w:pPr>
        <w:spacing w:line="560" w:lineRule="exact"/>
        <w:ind w:firstLine="640" w:firstLineChars="200"/>
        <w:rPr>
          <w:rFonts w:eastAsia="黑体"/>
          <w:sz w:val="32"/>
          <w:szCs w:val="32"/>
        </w:rPr>
      </w:pPr>
      <w:r>
        <w:rPr>
          <w:rFonts w:eastAsia="黑体"/>
          <w:sz w:val="32"/>
          <w:szCs w:val="32"/>
        </w:rPr>
        <w:t>一、项目概况</w:t>
      </w:r>
    </w:p>
    <w:p w14:paraId="47708302">
      <w:pPr>
        <w:spacing w:line="560" w:lineRule="exact"/>
        <w:ind w:firstLine="640" w:firstLineChars="200"/>
        <w:rPr>
          <w:rFonts w:eastAsia="楷体_GB2312"/>
          <w:sz w:val="32"/>
          <w:szCs w:val="32"/>
        </w:rPr>
      </w:pPr>
      <w:r>
        <w:rPr>
          <w:rFonts w:eastAsia="楷体_GB2312"/>
          <w:sz w:val="32"/>
          <w:szCs w:val="32"/>
        </w:rPr>
        <w:t>（一）项目基本情况。</w:t>
      </w:r>
    </w:p>
    <w:p w14:paraId="19D57E55">
      <w:pPr>
        <w:spacing w:line="560" w:lineRule="exact"/>
        <w:ind w:firstLine="640" w:firstLineChars="200"/>
        <w:rPr>
          <w:rFonts w:eastAsia="仿宋_GB2312"/>
          <w:sz w:val="32"/>
          <w:szCs w:val="32"/>
        </w:rPr>
      </w:pPr>
      <w:r>
        <w:rPr>
          <w:rFonts w:eastAsia="仿宋_GB2312"/>
          <w:sz w:val="32"/>
          <w:szCs w:val="32"/>
        </w:rPr>
        <w:t>为深入贯彻落实省委</w:t>
      </w:r>
      <w:r>
        <w:rPr>
          <w:rFonts w:hint="eastAsia" w:eastAsia="仿宋_GB2312"/>
          <w:sz w:val="32"/>
          <w:szCs w:val="32"/>
          <w:lang w:eastAsia="zh-CN"/>
        </w:rPr>
        <w:t>、</w:t>
      </w:r>
      <w:r>
        <w:rPr>
          <w:rFonts w:eastAsia="仿宋_GB2312"/>
          <w:sz w:val="32"/>
          <w:szCs w:val="32"/>
        </w:rPr>
        <w:t>省政府、市委</w:t>
      </w:r>
      <w:r>
        <w:rPr>
          <w:rFonts w:hint="eastAsia" w:eastAsia="仿宋_GB2312"/>
          <w:sz w:val="32"/>
          <w:szCs w:val="32"/>
          <w:lang w:eastAsia="zh-CN"/>
        </w:rPr>
        <w:t>、</w:t>
      </w:r>
      <w:bookmarkStart w:id="69" w:name="_GoBack"/>
      <w:bookmarkEnd w:id="69"/>
      <w:r>
        <w:rPr>
          <w:rFonts w:eastAsia="仿宋_GB2312"/>
          <w:sz w:val="32"/>
          <w:szCs w:val="32"/>
        </w:rPr>
        <w:t>市政府关于两项改革“后半篇”文章决策部署，持续深化供销合作社综合改革，加快提升基层供销社服务“三农”质量、功能和水平，助推乡村振兴，推进基层组织建设，持续推进基层供销社示范社建设。根据中央、省、市、县关于深化供销合作社综合改革的实施意见和攀枝花市供销合作社联合社《关于做好2022年度基层供销社建设工作的通知》（攀供〔2022〕20号），我单位为了按时完成基层供销社示范社建设目标任务，特向县财政局申请了3万元基层供销社示范社建设资金。盐边县供销社严格按照规定使用此项目资金，加强对专项资金使用的绩效管理，确保下达的专项资金按照支持方向合法合规分配，提高资金使用效益。</w:t>
      </w:r>
    </w:p>
    <w:p w14:paraId="246BCAA1">
      <w:pPr>
        <w:spacing w:line="560" w:lineRule="exact"/>
        <w:ind w:firstLine="640" w:firstLineChars="200"/>
        <w:rPr>
          <w:rFonts w:eastAsia="楷体_GB2312"/>
          <w:sz w:val="32"/>
          <w:szCs w:val="32"/>
        </w:rPr>
      </w:pPr>
      <w:r>
        <w:rPr>
          <w:rFonts w:eastAsia="楷体_GB2312"/>
          <w:sz w:val="32"/>
          <w:szCs w:val="32"/>
        </w:rPr>
        <w:t>（二）项目绩效目标。</w:t>
      </w:r>
    </w:p>
    <w:p w14:paraId="37542046">
      <w:pPr>
        <w:spacing w:line="560" w:lineRule="exact"/>
        <w:ind w:firstLine="640" w:firstLineChars="200"/>
        <w:rPr>
          <w:rFonts w:eastAsia="仿宋_GB2312"/>
          <w:sz w:val="32"/>
          <w:szCs w:val="32"/>
        </w:rPr>
      </w:pPr>
      <w:r>
        <w:rPr>
          <w:rFonts w:eastAsia="仿宋_GB2312"/>
          <w:sz w:val="32"/>
          <w:szCs w:val="32"/>
        </w:rPr>
        <w:t>1.项目主要内容。</w:t>
      </w:r>
    </w:p>
    <w:p w14:paraId="085ECD2E">
      <w:pPr>
        <w:spacing w:line="560" w:lineRule="exact"/>
        <w:ind w:firstLine="640" w:firstLineChars="200"/>
        <w:rPr>
          <w:rFonts w:eastAsia="仿宋_GB2312"/>
          <w:sz w:val="32"/>
          <w:szCs w:val="32"/>
        </w:rPr>
      </w:pPr>
      <w:r>
        <w:rPr>
          <w:rFonts w:eastAsia="仿宋_GB2312"/>
          <w:sz w:val="32"/>
          <w:szCs w:val="32"/>
        </w:rPr>
        <w:t>投入3万元</w:t>
      </w:r>
      <w:r>
        <w:rPr>
          <w:rFonts w:hint="eastAsia" w:eastAsia="仿宋_GB2312"/>
          <w:sz w:val="32"/>
          <w:szCs w:val="32"/>
        </w:rPr>
        <w:t>，</w:t>
      </w:r>
      <w:r>
        <w:rPr>
          <w:rFonts w:eastAsia="仿宋_GB2312"/>
          <w:sz w:val="32"/>
          <w:szCs w:val="32"/>
        </w:rPr>
        <w:t>对今年下达的4个基层供销社示范社建设前期开展调研，政策宣传、摸底、选址、落实点位、制度建设、标识规范、会议会务，按照建设内容和标准全面完成创建任务，督促指导基层社开展经营业务等，后期加强业务培训,发展壮大村级集体经济，助推乡村振兴。</w:t>
      </w:r>
    </w:p>
    <w:p w14:paraId="76A0C55C">
      <w:pPr>
        <w:spacing w:line="560" w:lineRule="exact"/>
        <w:ind w:firstLine="640" w:firstLineChars="200"/>
        <w:rPr>
          <w:rFonts w:eastAsia="仿宋_GB2312"/>
          <w:sz w:val="32"/>
          <w:szCs w:val="32"/>
        </w:rPr>
      </w:pPr>
      <w:r>
        <w:rPr>
          <w:rFonts w:eastAsia="仿宋_GB2312"/>
          <w:sz w:val="32"/>
          <w:szCs w:val="32"/>
        </w:rPr>
        <w:t>2.项目应实现的具体绩效目标。</w:t>
      </w:r>
    </w:p>
    <w:p w14:paraId="53A61C30">
      <w:pPr>
        <w:spacing w:line="560" w:lineRule="exact"/>
        <w:ind w:firstLine="640" w:firstLineChars="200"/>
        <w:rPr>
          <w:rFonts w:eastAsia="仿宋_GB2312"/>
          <w:sz w:val="32"/>
          <w:szCs w:val="32"/>
        </w:rPr>
      </w:pPr>
      <w:r>
        <w:rPr>
          <w:rFonts w:eastAsia="仿宋_GB2312"/>
          <w:sz w:val="32"/>
          <w:szCs w:val="32"/>
        </w:rPr>
        <w:t>在2022年底按照建设内容和标准全面完成创建任务，加强业务培训,发展壮大村级集体经济，助推乡村振兴。</w:t>
      </w:r>
    </w:p>
    <w:p w14:paraId="402ED35A">
      <w:pPr>
        <w:spacing w:line="560" w:lineRule="exact"/>
        <w:ind w:firstLine="640" w:firstLineChars="200"/>
        <w:rPr>
          <w:rFonts w:eastAsia="仿宋_GB2312"/>
          <w:sz w:val="32"/>
          <w:szCs w:val="32"/>
        </w:rPr>
      </w:pPr>
      <w:r>
        <w:rPr>
          <w:rFonts w:eastAsia="仿宋_GB2312"/>
          <w:sz w:val="32"/>
          <w:szCs w:val="32"/>
        </w:rPr>
        <w:t>3. 申报内容与实际相符情况。</w:t>
      </w:r>
    </w:p>
    <w:p w14:paraId="01D383E6">
      <w:pPr>
        <w:spacing w:line="560" w:lineRule="exact"/>
        <w:ind w:firstLine="640" w:firstLineChars="200"/>
        <w:rPr>
          <w:rFonts w:eastAsia="仿宋_GB2312"/>
          <w:sz w:val="32"/>
          <w:szCs w:val="32"/>
        </w:rPr>
      </w:pPr>
      <w:r>
        <w:rPr>
          <w:rFonts w:eastAsia="仿宋_GB2312"/>
          <w:sz w:val="32"/>
          <w:szCs w:val="32"/>
        </w:rPr>
        <w:t>项目申报内容与具体实施内容大致相符，严格按照绩效目标完成项目申报内容。</w:t>
      </w:r>
    </w:p>
    <w:p w14:paraId="414EC6BC">
      <w:pPr>
        <w:spacing w:line="560" w:lineRule="exact"/>
        <w:ind w:firstLine="640" w:firstLineChars="200"/>
        <w:rPr>
          <w:rFonts w:eastAsia="楷体_GB2312"/>
          <w:sz w:val="32"/>
          <w:szCs w:val="32"/>
        </w:rPr>
      </w:pPr>
      <w:r>
        <w:rPr>
          <w:rFonts w:eastAsia="楷体_GB2312"/>
          <w:sz w:val="32"/>
          <w:szCs w:val="32"/>
        </w:rPr>
        <w:t>（三）项目自评步骤及方法。</w:t>
      </w:r>
    </w:p>
    <w:p w14:paraId="61030353">
      <w:pPr>
        <w:spacing w:line="560" w:lineRule="exact"/>
        <w:ind w:firstLine="640" w:firstLineChars="200"/>
        <w:rPr>
          <w:rFonts w:eastAsia="仿宋_GB2312"/>
          <w:sz w:val="32"/>
          <w:szCs w:val="32"/>
        </w:rPr>
      </w:pPr>
      <w:r>
        <w:rPr>
          <w:rFonts w:eastAsia="仿宋_GB2312"/>
          <w:sz w:val="32"/>
          <w:szCs w:val="32"/>
        </w:rPr>
        <w:t>1.现场评价</w:t>
      </w:r>
    </w:p>
    <w:p w14:paraId="4E51B232">
      <w:pPr>
        <w:spacing w:line="560" w:lineRule="exact"/>
        <w:ind w:firstLine="640" w:firstLineChars="200"/>
        <w:rPr>
          <w:rFonts w:eastAsia="仿宋_GB2312"/>
          <w:sz w:val="32"/>
          <w:szCs w:val="32"/>
        </w:rPr>
      </w:pPr>
      <w:r>
        <w:rPr>
          <w:rFonts w:eastAsia="仿宋_GB2312"/>
          <w:sz w:val="32"/>
          <w:szCs w:val="32"/>
        </w:rPr>
        <w:t>经现场检查，4个基层供销社示范社保质保量完成，验收合格。在创建工作中会议会务、制度建设、标识规范、培训、督促检查等都顺利开展。</w:t>
      </w:r>
    </w:p>
    <w:p w14:paraId="52D0A608">
      <w:pPr>
        <w:spacing w:line="560" w:lineRule="exact"/>
        <w:ind w:firstLine="640" w:firstLineChars="200"/>
        <w:rPr>
          <w:rFonts w:eastAsia="仿宋_GB2312"/>
          <w:sz w:val="32"/>
          <w:szCs w:val="32"/>
        </w:rPr>
      </w:pPr>
      <w:r>
        <w:rPr>
          <w:rFonts w:eastAsia="仿宋_GB2312"/>
          <w:sz w:val="32"/>
          <w:szCs w:val="32"/>
        </w:rPr>
        <w:t>2.项目总体评价</w:t>
      </w:r>
    </w:p>
    <w:p w14:paraId="0B3649D0">
      <w:pPr>
        <w:spacing w:line="560" w:lineRule="exact"/>
        <w:ind w:firstLine="640" w:firstLineChars="200"/>
        <w:rPr>
          <w:rFonts w:eastAsia="仿宋_GB2312"/>
          <w:sz w:val="32"/>
          <w:szCs w:val="32"/>
        </w:rPr>
      </w:pPr>
      <w:r>
        <w:rPr>
          <w:rFonts w:eastAsia="仿宋_GB2312"/>
          <w:sz w:val="32"/>
          <w:szCs w:val="32"/>
        </w:rPr>
        <w:t>项目总体评价</w:t>
      </w:r>
      <w:r>
        <w:rPr>
          <w:rFonts w:hint="eastAsia" w:eastAsia="仿宋_GB2312"/>
          <w:sz w:val="32"/>
          <w:szCs w:val="32"/>
        </w:rPr>
        <w:t>为良</w:t>
      </w:r>
      <w:r>
        <w:rPr>
          <w:rFonts w:eastAsia="仿宋_GB2312"/>
          <w:sz w:val="32"/>
          <w:szCs w:val="32"/>
        </w:rPr>
        <w:t>。</w:t>
      </w:r>
    </w:p>
    <w:p w14:paraId="4ADC0904">
      <w:pPr>
        <w:ind w:firstLine="640" w:firstLineChars="200"/>
        <w:rPr>
          <w:rFonts w:eastAsia="黑体"/>
          <w:sz w:val="32"/>
          <w:szCs w:val="32"/>
        </w:rPr>
      </w:pPr>
      <w:r>
        <w:rPr>
          <w:rFonts w:eastAsia="黑体"/>
          <w:sz w:val="32"/>
          <w:szCs w:val="32"/>
        </w:rPr>
        <w:t>二、项目资金申报及使用情况</w:t>
      </w:r>
    </w:p>
    <w:p w14:paraId="2777B421">
      <w:pPr>
        <w:spacing w:line="560" w:lineRule="exact"/>
        <w:ind w:firstLine="640" w:firstLineChars="200"/>
        <w:rPr>
          <w:rFonts w:eastAsia="楷体_GB2312"/>
          <w:sz w:val="32"/>
          <w:szCs w:val="32"/>
        </w:rPr>
      </w:pPr>
      <w:r>
        <w:rPr>
          <w:rFonts w:eastAsia="楷体_GB2312"/>
          <w:sz w:val="32"/>
          <w:szCs w:val="32"/>
        </w:rPr>
        <w:t>（一）项目资金申报及批复情况。</w:t>
      </w:r>
    </w:p>
    <w:p w14:paraId="24327097">
      <w:pPr>
        <w:spacing w:line="560" w:lineRule="exact"/>
        <w:ind w:firstLine="640" w:firstLineChars="200"/>
        <w:rPr>
          <w:rFonts w:eastAsia="仿宋_GB2312"/>
          <w:sz w:val="32"/>
          <w:szCs w:val="32"/>
        </w:rPr>
      </w:pPr>
      <w:r>
        <w:rPr>
          <w:rFonts w:eastAsia="仿宋_GB2312"/>
          <w:sz w:val="32"/>
          <w:szCs w:val="32"/>
        </w:rPr>
        <w:t>我单位2022年8月拟向县政府报告申请推进基层供销社示范社建设专项经费5万元，县财政局在2022年9月下达批复资金文件（盐财建</w:t>
      </w:r>
      <w:r>
        <w:rPr>
          <w:rFonts w:hint="eastAsia" w:ascii="方正隶书_GBK" w:hAnsi="方正隶书_GBK" w:eastAsia="方正隶书_GBK" w:cs="方正隶书_GBK"/>
          <w:sz w:val="32"/>
          <w:szCs w:val="32"/>
        </w:rPr>
        <w:t>〔</w:t>
      </w:r>
      <w:r>
        <w:rPr>
          <w:rFonts w:eastAsia="仿宋_GB2312"/>
          <w:sz w:val="32"/>
          <w:szCs w:val="32"/>
        </w:rPr>
        <w:t>2022</w:t>
      </w:r>
      <w:r>
        <w:rPr>
          <w:rFonts w:hint="eastAsia" w:ascii="方正隶书_GBK" w:hAnsi="方正隶书_GBK" w:eastAsia="方正隶书_GBK" w:cs="方正隶书_GBK"/>
          <w:sz w:val="32"/>
          <w:szCs w:val="32"/>
        </w:rPr>
        <w:t>〕</w:t>
      </w:r>
      <w:r>
        <w:rPr>
          <w:rFonts w:eastAsia="仿宋_GB2312"/>
          <w:sz w:val="32"/>
          <w:szCs w:val="32"/>
        </w:rPr>
        <w:t>73号），同意拨付我单位3万元。</w:t>
      </w:r>
    </w:p>
    <w:p w14:paraId="76B3E311">
      <w:pPr>
        <w:spacing w:line="560" w:lineRule="exact"/>
        <w:ind w:firstLine="640" w:firstLineChars="200"/>
        <w:rPr>
          <w:rFonts w:eastAsia="楷体_GB2312"/>
          <w:sz w:val="32"/>
          <w:szCs w:val="32"/>
        </w:rPr>
      </w:pPr>
      <w:r>
        <w:rPr>
          <w:rFonts w:eastAsia="楷体_GB2312"/>
          <w:sz w:val="32"/>
          <w:szCs w:val="32"/>
        </w:rPr>
        <w:t>（二）资金计划、到位及使用情况</w:t>
      </w:r>
      <w:r>
        <w:rPr>
          <w:rFonts w:hint="eastAsia" w:eastAsia="楷体_GB2312"/>
          <w:sz w:val="32"/>
          <w:szCs w:val="32"/>
          <w:lang w:eastAsia="zh-CN"/>
        </w:rPr>
        <w:t>。</w:t>
      </w:r>
    </w:p>
    <w:p w14:paraId="3AB021D9">
      <w:pPr>
        <w:spacing w:line="560" w:lineRule="exact"/>
        <w:ind w:firstLine="640" w:firstLineChars="200"/>
        <w:rPr>
          <w:rFonts w:eastAsia="仿宋_GB2312"/>
          <w:sz w:val="32"/>
          <w:szCs w:val="32"/>
        </w:rPr>
      </w:pPr>
      <w:r>
        <w:rPr>
          <w:rFonts w:eastAsia="仿宋_GB2312"/>
          <w:sz w:val="32"/>
          <w:szCs w:val="32"/>
        </w:rPr>
        <w:t>1.资金计划。</w:t>
      </w:r>
    </w:p>
    <w:p w14:paraId="55EA2645">
      <w:pPr>
        <w:spacing w:line="560" w:lineRule="exact"/>
        <w:ind w:firstLine="640" w:firstLineChars="200"/>
        <w:rPr>
          <w:rFonts w:eastAsia="仿宋_GB2312"/>
          <w:sz w:val="32"/>
          <w:szCs w:val="32"/>
        </w:rPr>
      </w:pPr>
      <w:r>
        <w:rPr>
          <w:rFonts w:eastAsia="仿宋_GB2312"/>
          <w:sz w:val="32"/>
          <w:szCs w:val="32"/>
        </w:rPr>
        <w:t>此项目全为县财政资金，用于县供销社推进基层供销社示范社建设专项经费。</w:t>
      </w:r>
    </w:p>
    <w:p w14:paraId="04F2A288">
      <w:pPr>
        <w:spacing w:line="560" w:lineRule="exact"/>
        <w:ind w:firstLine="640" w:firstLineChars="200"/>
        <w:rPr>
          <w:rFonts w:eastAsia="仿宋_GB2312"/>
          <w:sz w:val="32"/>
          <w:szCs w:val="32"/>
        </w:rPr>
      </w:pPr>
      <w:r>
        <w:rPr>
          <w:rFonts w:eastAsia="仿宋_GB2312"/>
          <w:sz w:val="32"/>
          <w:szCs w:val="32"/>
        </w:rPr>
        <w:t>2.资金到位。</w:t>
      </w:r>
    </w:p>
    <w:p w14:paraId="51C8328D">
      <w:pPr>
        <w:spacing w:line="560" w:lineRule="exact"/>
        <w:ind w:firstLine="640" w:firstLineChars="200"/>
        <w:rPr>
          <w:rFonts w:eastAsia="仿宋_GB2312"/>
          <w:sz w:val="32"/>
          <w:szCs w:val="32"/>
        </w:rPr>
      </w:pPr>
      <w:r>
        <w:rPr>
          <w:rFonts w:eastAsia="仿宋_GB2312"/>
          <w:sz w:val="32"/>
          <w:szCs w:val="32"/>
        </w:rPr>
        <w:t>县财政局2022年9月将财政指标下给县供销社，县供销社根据基层供销社示范社创建过程中实际发生的培训费、标识标牌费用、督促检查差旅费等如实支付专项经费，确保资金及时到账。</w:t>
      </w:r>
    </w:p>
    <w:p w14:paraId="50BAB024">
      <w:pPr>
        <w:spacing w:line="560" w:lineRule="exact"/>
        <w:ind w:firstLine="640" w:firstLineChars="200"/>
        <w:rPr>
          <w:rFonts w:eastAsia="仿宋_GB2312"/>
          <w:sz w:val="32"/>
          <w:szCs w:val="32"/>
        </w:rPr>
      </w:pPr>
      <w:r>
        <w:rPr>
          <w:rFonts w:eastAsia="仿宋_GB2312"/>
          <w:sz w:val="32"/>
          <w:szCs w:val="32"/>
        </w:rPr>
        <w:t>3.资金使用。</w:t>
      </w:r>
    </w:p>
    <w:p w14:paraId="03A397E3">
      <w:pPr>
        <w:spacing w:line="560" w:lineRule="exact"/>
        <w:ind w:firstLine="640" w:firstLineChars="200"/>
        <w:rPr>
          <w:rFonts w:eastAsia="仿宋_GB2312"/>
          <w:sz w:val="32"/>
          <w:szCs w:val="32"/>
        </w:rPr>
      </w:pPr>
      <w:r>
        <w:rPr>
          <w:rFonts w:eastAsia="仿宋_GB2312"/>
          <w:sz w:val="32"/>
          <w:szCs w:val="32"/>
        </w:rPr>
        <w:t>此资金用于解决我单位基层示范社创建工作中组织发动、会议会务、制度建设、标识规范、培训、督促检查等专项经费。我们在实际使用时的支付范围、支付依据与预算相符，支付标准严格按照财政相关文件要求执行，资金使用规范。在2022年底，此项目资金支付率达到100%。</w:t>
      </w:r>
    </w:p>
    <w:p w14:paraId="2D6E49D7">
      <w:pPr>
        <w:spacing w:line="560" w:lineRule="exact"/>
        <w:ind w:firstLine="640" w:firstLineChars="200"/>
        <w:rPr>
          <w:rFonts w:eastAsia="楷体_GB2312"/>
          <w:sz w:val="32"/>
          <w:szCs w:val="32"/>
        </w:rPr>
      </w:pPr>
      <w:r>
        <w:rPr>
          <w:rFonts w:eastAsia="楷体_GB2312"/>
          <w:sz w:val="32"/>
          <w:szCs w:val="32"/>
        </w:rPr>
        <w:t>（三）项目财务管理情况。</w:t>
      </w:r>
    </w:p>
    <w:p w14:paraId="111B3F33">
      <w:pPr>
        <w:spacing w:line="560" w:lineRule="exact"/>
        <w:ind w:firstLine="640" w:firstLineChars="200"/>
        <w:rPr>
          <w:rFonts w:eastAsia="仿宋_GB2312"/>
          <w:sz w:val="32"/>
          <w:szCs w:val="32"/>
        </w:rPr>
      </w:pPr>
      <w:r>
        <w:rPr>
          <w:rFonts w:eastAsia="仿宋_GB2312"/>
          <w:sz w:val="32"/>
          <w:szCs w:val="32"/>
        </w:rPr>
        <w:t>我单位实施此项目，财务管理制度健全，严格执行财务管理制度，账务处理及时，会计核算规范。</w:t>
      </w:r>
    </w:p>
    <w:p w14:paraId="24ED94E5">
      <w:pPr>
        <w:spacing w:line="560" w:lineRule="exact"/>
        <w:ind w:firstLine="640" w:firstLineChars="200"/>
        <w:rPr>
          <w:rFonts w:eastAsia="黑体"/>
          <w:sz w:val="32"/>
          <w:szCs w:val="32"/>
        </w:rPr>
      </w:pPr>
      <w:r>
        <w:rPr>
          <w:rFonts w:eastAsia="黑体"/>
          <w:sz w:val="32"/>
          <w:szCs w:val="32"/>
        </w:rPr>
        <w:t>三、项目实施及管理情况</w:t>
      </w:r>
    </w:p>
    <w:p w14:paraId="3ED37A82">
      <w:pPr>
        <w:spacing w:line="560" w:lineRule="exact"/>
        <w:ind w:firstLine="640" w:firstLineChars="200"/>
        <w:rPr>
          <w:rFonts w:eastAsia="仿宋_GB2312"/>
          <w:sz w:val="32"/>
          <w:szCs w:val="32"/>
        </w:rPr>
      </w:pPr>
      <w:r>
        <w:rPr>
          <w:rFonts w:eastAsia="仿宋_GB2312"/>
          <w:sz w:val="32"/>
          <w:szCs w:val="32"/>
        </w:rPr>
        <w:t>此项目围绕我单位基层示范社创建工作中组织发动、会议会务、制度建设、标识规范、培训、督促检查等活动展开，资金使用严格遵守财务管理制度，会计核算规范。最终，4个基层供销社示范社保质保量完成，验收合格。</w:t>
      </w:r>
    </w:p>
    <w:p w14:paraId="7C3EA0D9">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14:paraId="2ABE25B2">
      <w:pPr>
        <w:spacing w:line="560" w:lineRule="exact"/>
        <w:ind w:firstLine="640" w:firstLineChars="200"/>
        <w:rPr>
          <w:rFonts w:eastAsia="楷体_GB2312"/>
          <w:sz w:val="32"/>
          <w:szCs w:val="32"/>
        </w:rPr>
      </w:pPr>
      <w:r>
        <w:rPr>
          <w:rFonts w:eastAsia="楷体_GB2312"/>
          <w:sz w:val="32"/>
          <w:szCs w:val="32"/>
        </w:rPr>
        <w:t>（一）项目完成情况。</w:t>
      </w:r>
    </w:p>
    <w:p w14:paraId="533589A1">
      <w:pPr>
        <w:spacing w:line="560" w:lineRule="exact"/>
        <w:ind w:firstLine="640" w:firstLineChars="200"/>
        <w:rPr>
          <w:rFonts w:eastAsia="仿宋_GB2312"/>
          <w:sz w:val="32"/>
          <w:szCs w:val="32"/>
        </w:rPr>
      </w:pPr>
      <w:r>
        <w:rPr>
          <w:rFonts w:eastAsia="仿宋_GB2312"/>
          <w:sz w:val="32"/>
          <w:szCs w:val="32"/>
        </w:rPr>
        <w:t>项目在2022年底总共支付差旅费3110元，宣传制作资料费用5480元，办公耗材费6040元，办公、标识标牌费用13570元，举办培训1次，耗费1800元。项目资金使用效益较高，最终，4个基层供销社示范社在年底保质保量完成，验收合格。</w:t>
      </w:r>
    </w:p>
    <w:p w14:paraId="6C183F5D">
      <w:pPr>
        <w:spacing w:line="560" w:lineRule="exact"/>
        <w:ind w:firstLine="640" w:firstLineChars="200"/>
        <w:rPr>
          <w:rFonts w:eastAsia="楷体_GB2312"/>
          <w:sz w:val="32"/>
          <w:szCs w:val="32"/>
        </w:rPr>
      </w:pPr>
      <w:r>
        <w:rPr>
          <w:rFonts w:eastAsia="楷体_GB2312"/>
          <w:sz w:val="32"/>
          <w:szCs w:val="32"/>
        </w:rPr>
        <w:t>（二）项目效益情况。</w:t>
      </w:r>
    </w:p>
    <w:p w14:paraId="4C2F4BA3">
      <w:pPr>
        <w:spacing w:line="560" w:lineRule="exact"/>
        <w:ind w:firstLine="640" w:firstLineChars="200"/>
        <w:rPr>
          <w:rFonts w:eastAsia="仿宋_GB2312"/>
          <w:sz w:val="32"/>
          <w:szCs w:val="32"/>
        </w:rPr>
      </w:pPr>
      <w:r>
        <w:rPr>
          <w:rFonts w:eastAsia="仿宋_GB2312"/>
          <w:sz w:val="32"/>
          <w:szCs w:val="32"/>
        </w:rPr>
        <w:t>2022年我单位在全县成功建设供销社基层示范社4个，此项工作为盐边县“2022年项目攻坚突破年”重点工作，能促进农民增产增收2000元/人年，持续为农民生产生活服务，确保政策措施落实落地。通过深化供销社综合改革，拓展经营服务领域，建成为农服务的综合性合作经济组织，提升为农服务实力，激发内部活力，增强发展后劲，完善农民生产生活服务功能，带动产业发展，让农民满意度达到90%以上。</w:t>
      </w:r>
    </w:p>
    <w:p w14:paraId="0244FEDE">
      <w:pPr>
        <w:spacing w:line="560" w:lineRule="exact"/>
        <w:ind w:firstLine="640" w:firstLineChars="200"/>
        <w:rPr>
          <w:rFonts w:eastAsia="黑体"/>
          <w:sz w:val="32"/>
          <w:szCs w:val="32"/>
        </w:rPr>
      </w:pPr>
      <w:r>
        <w:rPr>
          <w:rFonts w:eastAsia="黑体"/>
          <w:sz w:val="32"/>
          <w:szCs w:val="32"/>
        </w:rPr>
        <w:t>五、评价结论及建议</w:t>
      </w:r>
    </w:p>
    <w:p w14:paraId="3B4CAAB3">
      <w:pPr>
        <w:spacing w:line="560" w:lineRule="exact"/>
        <w:ind w:firstLine="640" w:firstLineChars="200"/>
        <w:rPr>
          <w:rFonts w:eastAsia="楷体_GB2312"/>
          <w:sz w:val="32"/>
          <w:szCs w:val="32"/>
        </w:rPr>
      </w:pPr>
      <w:r>
        <w:rPr>
          <w:rFonts w:eastAsia="楷体_GB2312"/>
          <w:sz w:val="32"/>
          <w:szCs w:val="32"/>
        </w:rPr>
        <w:t>（一）评价结论。</w:t>
      </w:r>
    </w:p>
    <w:p w14:paraId="49295818">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该项目能全面推进供销社基层供销社示范社创建工作，不断提高为农服务质量和效能，服务“三农”助力乡村振兴，助力集体经济发展。</w:t>
      </w:r>
    </w:p>
    <w:p w14:paraId="0AA58C83">
      <w:pPr>
        <w:spacing w:line="560" w:lineRule="exact"/>
        <w:ind w:firstLine="640" w:firstLineChars="200"/>
        <w:rPr>
          <w:rFonts w:eastAsia="楷体_GB2312"/>
          <w:sz w:val="32"/>
          <w:szCs w:val="32"/>
        </w:rPr>
      </w:pPr>
      <w:r>
        <w:rPr>
          <w:rFonts w:eastAsia="楷体_GB2312"/>
          <w:sz w:val="32"/>
          <w:szCs w:val="32"/>
        </w:rPr>
        <w:t>（二）存在的问题。</w:t>
      </w:r>
    </w:p>
    <w:p w14:paraId="568F6C4A">
      <w:pPr>
        <w:spacing w:line="560" w:lineRule="exact"/>
        <w:ind w:firstLine="640" w:firstLineChars="200"/>
        <w:rPr>
          <w:sz w:val="32"/>
          <w:szCs w:val="32"/>
        </w:rPr>
      </w:pPr>
      <w:r>
        <w:rPr>
          <w:rFonts w:hint="eastAsia" w:ascii="仿宋_GB2312" w:hAnsi="仿宋_GB2312" w:eastAsia="仿宋_GB2312" w:cs="仿宋_GB2312"/>
          <w:sz w:val="32"/>
          <w:szCs w:val="32"/>
        </w:rPr>
        <w:t>产值增长，及农民年均收入增长需要供销社基层示范社持续发力，后期要加强业务培训,发展壮大村级集体经济，助推乡村振兴，才能产生更大的经济效益。</w:t>
      </w:r>
    </w:p>
    <w:p w14:paraId="740F033F">
      <w:pPr>
        <w:spacing w:line="560" w:lineRule="exact"/>
        <w:ind w:firstLine="640" w:firstLineChars="200"/>
        <w:rPr>
          <w:rFonts w:eastAsia="楷体_GB2312"/>
          <w:sz w:val="32"/>
          <w:szCs w:val="32"/>
        </w:rPr>
      </w:pPr>
      <w:r>
        <w:rPr>
          <w:rFonts w:eastAsia="楷体_GB2312"/>
          <w:sz w:val="32"/>
          <w:szCs w:val="32"/>
        </w:rPr>
        <w:t>（三）相关建议。</w:t>
      </w:r>
    </w:p>
    <w:p w14:paraId="49EA51F7">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无。</w:t>
      </w:r>
    </w:p>
    <w:p w14:paraId="4D016E9F">
      <w:pPr>
        <w:pStyle w:val="2"/>
      </w:pPr>
    </w:p>
    <w:p w14:paraId="5410A99C">
      <w:pPr>
        <w:pStyle w:val="2"/>
      </w:pPr>
    </w:p>
    <w:p w14:paraId="5988C939">
      <w:pPr>
        <w:pStyle w:val="2"/>
      </w:pPr>
    </w:p>
    <w:p w14:paraId="28D0A421">
      <w:pPr>
        <w:pStyle w:val="2"/>
      </w:pPr>
      <w:bookmarkStart w:id="55" w:name="_Toc15396618"/>
    </w:p>
    <w:p w14:paraId="525AC83C">
      <w:pPr>
        <w:spacing w:line="600" w:lineRule="exact"/>
        <w:jc w:val="center"/>
        <w:outlineLvl w:val="0"/>
        <w:rPr>
          <w:rFonts w:eastAsia="仿宋"/>
        </w:rPr>
      </w:pPr>
      <w:r>
        <w:rPr>
          <w:rFonts w:eastAsia="黑体"/>
          <w:sz w:val="44"/>
          <w:szCs w:val="44"/>
        </w:rPr>
        <w:t>第</w:t>
      </w:r>
      <w:r>
        <w:rPr>
          <w:rStyle w:val="29"/>
          <w:rFonts w:eastAsia="黑体"/>
          <w:b w:val="0"/>
        </w:rPr>
        <w:t>五部分 附表</w:t>
      </w:r>
      <w:bookmarkEnd w:id="53"/>
      <w:bookmarkEnd w:id="55"/>
      <w:bookmarkStart w:id="56" w:name="_Toc15396619"/>
    </w:p>
    <w:p w14:paraId="5F7DEBCC">
      <w:pPr>
        <w:pStyle w:val="4"/>
        <w:rPr>
          <w:rFonts w:ascii="Times New Roman" w:hAnsi="Times New Roman" w:eastAsia="仿宋" w:cs="Times New Roman"/>
        </w:rPr>
      </w:pPr>
      <w:r>
        <w:rPr>
          <w:rFonts w:ascii="Times New Roman" w:hAnsi="Times New Roman" w:eastAsia="仿宋" w:cs="Times New Roman"/>
          <w:b w:val="0"/>
        </w:rPr>
        <w:t>一、收</w:t>
      </w:r>
      <w:r>
        <w:rPr>
          <w:rStyle w:val="30"/>
          <w:rFonts w:ascii="Times New Roman" w:hAnsi="Times New Roman" w:eastAsia="仿宋" w:cs="Times New Roman"/>
          <w:b w:val="0"/>
          <w:bCs w:val="0"/>
        </w:rPr>
        <w:t>入支出决算总表</w:t>
      </w:r>
      <w:bookmarkEnd w:id="56"/>
    </w:p>
    <w:p w14:paraId="31F03029">
      <w:pPr>
        <w:pStyle w:val="4"/>
        <w:rPr>
          <w:rFonts w:ascii="Times New Roman" w:hAnsi="Times New Roman" w:eastAsia="仿宋" w:cs="Times New Roman"/>
        </w:rPr>
      </w:pPr>
      <w:bookmarkStart w:id="57" w:name="_Toc15396620"/>
      <w:r>
        <w:rPr>
          <w:rFonts w:ascii="Times New Roman" w:hAnsi="Times New Roman" w:eastAsia="仿宋" w:cs="Times New Roman"/>
          <w:b w:val="0"/>
        </w:rPr>
        <w:t>二、收</w:t>
      </w:r>
      <w:r>
        <w:rPr>
          <w:rStyle w:val="30"/>
          <w:rFonts w:ascii="Times New Roman" w:hAnsi="Times New Roman" w:eastAsia="仿宋" w:cs="Times New Roman"/>
          <w:b w:val="0"/>
          <w:bCs w:val="0"/>
        </w:rPr>
        <w:t>入决算表</w:t>
      </w:r>
      <w:bookmarkEnd w:id="57"/>
    </w:p>
    <w:p w14:paraId="4CB1B643">
      <w:pPr>
        <w:pStyle w:val="4"/>
        <w:rPr>
          <w:rFonts w:ascii="Times New Roman" w:hAnsi="Times New Roman" w:eastAsia="仿宋" w:cs="Times New Roman"/>
        </w:rPr>
      </w:pPr>
      <w:bookmarkStart w:id="58" w:name="_Toc15396621"/>
      <w:r>
        <w:rPr>
          <w:rStyle w:val="30"/>
          <w:rFonts w:ascii="Times New Roman" w:hAnsi="Times New Roman" w:eastAsia="仿宋" w:cs="Times New Roman"/>
          <w:b w:val="0"/>
          <w:bCs w:val="0"/>
        </w:rPr>
        <w:t>三、</w:t>
      </w:r>
      <w:r>
        <w:rPr>
          <w:rFonts w:ascii="Times New Roman" w:hAnsi="Times New Roman" w:eastAsia="仿宋" w:cs="Times New Roman"/>
          <w:b w:val="0"/>
        </w:rPr>
        <w:t>支</w:t>
      </w:r>
      <w:r>
        <w:rPr>
          <w:rStyle w:val="30"/>
          <w:rFonts w:ascii="Times New Roman" w:hAnsi="Times New Roman" w:eastAsia="仿宋" w:cs="Times New Roman"/>
          <w:b w:val="0"/>
          <w:bCs w:val="0"/>
        </w:rPr>
        <w:t>出决算表</w:t>
      </w:r>
      <w:bookmarkEnd w:id="58"/>
    </w:p>
    <w:p w14:paraId="5722AC8E">
      <w:pPr>
        <w:pStyle w:val="4"/>
        <w:rPr>
          <w:rFonts w:ascii="Times New Roman" w:hAnsi="Times New Roman" w:eastAsia="仿宋" w:cs="Times New Roman"/>
          <w:b w:val="0"/>
        </w:rPr>
      </w:pPr>
      <w:bookmarkStart w:id="59" w:name="_Toc15396622"/>
      <w:r>
        <w:rPr>
          <w:rStyle w:val="30"/>
          <w:rFonts w:ascii="Times New Roman" w:hAnsi="Times New Roman" w:eastAsia="仿宋" w:cs="Times New Roman"/>
          <w:b w:val="0"/>
          <w:bCs w:val="0"/>
        </w:rPr>
        <w:t>四、</w:t>
      </w:r>
      <w:r>
        <w:rPr>
          <w:rFonts w:ascii="Times New Roman" w:hAnsi="Times New Roman" w:eastAsia="仿宋" w:cs="Times New Roman"/>
          <w:b w:val="0"/>
        </w:rPr>
        <w:t>财</w:t>
      </w:r>
      <w:r>
        <w:rPr>
          <w:rStyle w:val="30"/>
          <w:rFonts w:ascii="Times New Roman" w:hAnsi="Times New Roman" w:eastAsia="仿宋" w:cs="Times New Roman"/>
          <w:b w:val="0"/>
          <w:bCs w:val="0"/>
        </w:rPr>
        <w:t>政拨款收入支出决算总表</w:t>
      </w:r>
      <w:bookmarkEnd w:id="59"/>
    </w:p>
    <w:p w14:paraId="5523134E">
      <w:pPr>
        <w:pStyle w:val="4"/>
        <w:rPr>
          <w:rStyle w:val="30"/>
          <w:rFonts w:ascii="Times New Roman" w:hAnsi="Times New Roman" w:eastAsia="仿宋" w:cs="Times New Roman"/>
          <w:b w:val="0"/>
          <w:bCs w:val="0"/>
        </w:rPr>
      </w:pPr>
      <w:bookmarkStart w:id="60" w:name="_Toc15396623"/>
      <w:r>
        <w:rPr>
          <w:rStyle w:val="30"/>
          <w:rFonts w:ascii="Times New Roman" w:hAnsi="Times New Roman" w:eastAsia="仿宋" w:cs="Times New Roman"/>
          <w:b w:val="0"/>
          <w:bCs w:val="0"/>
        </w:rPr>
        <w:t>五、</w:t>
      </w:r>
      <w:r>
        <w:rPr>
          <w:rFonts w:ascii="Times New Roman" w:hAnsi="Times New Roman" w:eastAsia="仿宋" w:cs="Times New Roman"/>
          <w:b w:val="0"/>
        </w:rPr>
        <w:t>财</w:t>
      </w:r>
      <w:r>
        <w:rPr>
          <w:rStyle w:val="30"/>
          <w:rFonts w:ascii="Times New Roman" w:hAnsi="Times New Roman" w:eastAsia="仿宋" w:cs="Times New Roman"/>
          <w:b w:val="0"/>
          <w:bCs w:val="0"/>
        </w:rPr>
        <w:t>政拨款支出决算明细表</w:t>
      </w:r>
      <w:bookmarkEnd w:id="60"/>
      <w:bookmarkStart w:id="61" w:name="_Toc15396624"/>
    </w:p>
    <w:p w14:paraId="31B45D03">
      <w:pPr>
        <w:pStyle w:val="4"/>
        <w:rPr>
          <w:rFonts w:ascii="Times New Roman" w:hAnsi="Times New Roman" w:eastAsia="仿宋" w:cs="Times New Roman"/>
        </w:rPr>
      </w:pPr>
      <w:r>
        <w:rPr>
          <w:rStyle w:val="30"/>
          <w:rFonts w:ascii="Times New Roman" w:hAnsi="Times New Roman" w:eastAsia="仿宋" w:cs="Times New Roman"/>
          <w:b w:val="0"/>
          <w:bCs w:val="0"/>
        </w:rPr>
        <w:t>六、</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般公共预算财政拨款支出决算表</w:t>
      </w:r>
      <w:bookmarkEnd w:id="61"/>
    </w:p>
    <w:p w14:paraId="50B0E190">
      <w:pPr>
        <w:pStyle w:val="4"/>
        <w:rPr>
          <w:rFonts w:ascii="Times New Roman" w:hAnsi="Times New Roman" w:eastAsia="仿宋" w:cs="Times New Roman"/>
        </w:rPr>
      </w:pPr>
      <w:bookmarkStart w:id="62" w:name="_Toc15396625"/>
      <w:r>
        <w:rPr>
          <w:rStyle w:val="30"/>
          <w:rFonts w:ascii="Times New Roman" w:hAnsi="Times New Roman" w:eastAsia="仿宋" w:cs="Times New Roman"/>
          <w:b w:val="0"/>
          <w:bCs w:val="0"/>
        </w:rPr>
        <w:t>七、</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般公共预算财政拨款支出决算明细表</w:t>
      </w:r>
      <w:bookmarkEnd w:id="62"/>
    </w:p>
    <w:p w14:paraId="1B19D549">
      <w:pPr>
        <w:pStyle w:val="4"/>
        <w:rPr>
          <w:rFonts w:ascii="Times New Roman" w:hAnsi="Times New Roman" w:eastAsia="仿宋" w:cs="Times New Roman"/>
        </w:rPr>
      </w:pPr>
      <w:bookmarkStart w:id="63" w:name="_Toc15396626"/>
      <w:r>
        <w:rPr>
          <w:rStyle w:val="30"/>
          <w:rFonts w:ascii="Times New Roman" w:hAnsi="Times New Roman" w:eastAsia="仿宋" w:cs="Times New Roman"/>
          <w:b w:val="0"/>
          <w:bCs w:val="0"/>
        </w:rPr>
        <w:t>八、</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般公共预算财政拨款基本支出决算表</w:t>
      </w:r>
      <w:bookmarkEnd w:id="63"/>
    </w:p>
    <w:p w14:paraId="5A6F7A0F">
      <w:pPr>
        <w:pStyle w:val="4"/>
        <w:rPr>
          <w:rFonts w:ascii="Times New Roman" w:hAnsi="Times New Roman" w:eastAsia="仿宋" w:cs="Times New Roman"/>
        </w:rPr>
      </w:pPr>
      <w:bookmarkStart w:id="64" w:name="_Toc15396627"/>
      <w:r>
        <w:rPr>
          <w:rStyle w:val="30"/>
          <w:rFonts w:ascii="Times New Roman" w:hAnsi="Times New Roman" w:eastAsia="仿宋" w:cs="Times New Roman"/>
          <w:b w:val="0"/>
          <w:bCs w:val="0"/>
        </w:rPr>
        <w:t>九、</w:t>
      </w:r>
      <w:r>
        <w:rPr>
          <w:rFonts w:ascii="Times New Roman" w:hAnsi="Times New Roman" w:eastAsia="仿宋" w:cs="Times New Roman"/>
          <w:b w:val="0"/>
        </w:rPr>
        <w:t>一</w:t>
      </w:r>
      <w:r>
        <w:rPr>
          <w:rStyle w:val="30"/>
          <w:rFonts w:ascii="Times New Roman" w:hAnsi="Times New Roman" w:eastAsia="仿宋" w:cs="Times New Roman"/>
          <w:b w:val="0"/>
          <w:bCs w:val="0"/>
        </w:rPr>
        <w:t>般公共预算财政拨款项目支出决算表</w:t>
      </w:r>
      <w:bookmarkEnd w:id="64"/>
    </w:p>
    <w:p w14:paraId="085CE0AF">
      <w:pPr>
        <w:pStyle w:val="4"/>
        <w:rPr>
          <w:rFonts w:ascii="Times New Roman" w:hAnsi="Times New Roman" w:eastAsia="仿宋" w:cs="Times New Roman"/>
        </w:rPr>
      </w:pPr>
      <w:bookmarkStart w:id="65" w:name="_Toc15396628"/>
      <w:r>
        <w:rPr>
          <w:rStyle w:val="30"/>
          <w:rFonts w:ascii="Times New Roman" w:hAnsi="Times New Roman" w:eastAsia="仿宋" w:cs="Times New Roman"/>
          <w:b w:val="0"/>
          <w:bCs w:val="0"/>
        </w:rPr>
        <w:t>十、</w:t>
      </w:r>
      <w:bookmarkEnd w:id="65"/>
      <w:r>
        <w:rPr>
          <w:rFonts w:ascii="Times New Roman" w:hAnsi="Times New Roman" w:eastAsia="仿宋" w:cs="Times New Roman"/>
          <w:b w:val="0"/>
        </w:rPr>
        <w:t>政</w:t>
      </w:r>
      <w:r>
        <w:rPr>
          <w:rStyle w:val="30"/>
          <w:rFonts w:ascii="Times New Roman" w:hAnsi="Times New Roman" w:eastAsia="仿宋" w:cs="Times New Roman"/>
          <w:b w:val="0"/>
          <w:bCs w:val="0"/>
        </w:rPr>
        <w:t>府性基金预算财政拨款收入支出决算表</w:t>
      </w:r>
    </w:p>
    <w:p w14:paraId="7101432E">
      <w:pPr>
        <w:pStyle w:val="4"/>
        <w:rPr>
          <w:rFonts w:ascii="Times New Roman" w:hAnsi="Times New Roman" w:eastAsia="仿宋" w:cs="Times New Roman"/>
        </w:rPr>
      </w:pPr>
      <w:bookmarkStart w:id="66" w:name="_Toc15396629"/>
      <w:r>
        <w:rPr>
          <w:rStyle w:val="30"/>
          <w:rFonts w:ascii="Times New Roman" w:hAnsi="Times New Roman" w:eastAsia="仿宋" w:cs="Times New Roman"/>
          <w:b w:val="0"/>
          <w:bCs w:val="0"/>
        </w:rPr>
        <w:t>十一、</w:t>
      </w:r>
      <w:bookmarkEnd w:id="66"/>
      <w:r>
        <w:rPr>
          <w:rFonts w:ascii="Times New Roman" w:hAnsi="Times New Roman" w:eastAsia="仿宋" w:cs="Times New Roman"/>
          <w:b w:val="0"/>
        </w:rPr>
        <w:t>国</w:t>
      </w:r>
      <w:r>
        <w:rPr>
          <w:rStyle w:val="30"/>
          <w:rFonts w:ascii="Times New Roman" w:hAnsi="Times New Roman" w:eastAsia="仿宋" w:cs="Times New Roman"/>
          <w:b w:val="0"/>
          <w:bCs w:val="0"/>
        </w:rPr>
        <w:t>有资本经营预算财政拨款收入支出决算表</w:t>
      </w:r>
    </w:p>
    <w:p w14:paraId="1B7E2F50">
      <w:pPr>
        <w:pStyle w:val="4"/>
        <w:rPr>
          <w:rFonts w:ascii="Times New Roman" w:hAnsi="Times New Roman" w:eastAsia="仿宋" w:cs="Times New Roman"/>
        </w:rPr>
      </w:pPr>
      <w:bookmarkStart w:id="67" w:name="_Toc15396630"/>
      <w:r>
        <w:rPr>
          <w:rStyle w:val="30"/>
          <w:rFonts w:ascii="Times New Roman" w:hAnsi="Times New Roman" w:eastAsia="仿宋" w:cs="Times New Roman"/>
          <w:b w:val="0"/>
          <w:bCs w:val="0"/>
        </w:rPr>
        <w:t>十二、</w:t>
      </w:r>
      <w:bookmarkEnd w:id="67"/>
      <w:r>
        <w:rPr>
          <w:rStyle w:val="30"/>
          <w:rFonts w:ascii="Times New Roman" w:hAnsi="Times New Roman" w:eastAsia="仿宋" w:cs="Times New Roman"/>
          <w:b w:val="0"/>
          <w:bCs w:val="0"/>
        </w:rPr>
        <w:t>国有资本经营预算财政拨款支出决算表</w:t>
      </w:r>
    </w:p>
    <w:p w14:paraId="40E6B80E">
      <w:pPr>
        <w:pStyle w:val="4"/>
        <w:rPr>
          <w:rStyle w:val="30"/>
          <w:rFonts w:ascii="Times New Roman" w:hAnsi="Times New Roman" w:eastAsia="仿宋" w:cs="Times New Roman"/>
          <w:b w:val="0"/>
          <w:bCs w:val="0"/>
        </w:rPr>
      </w:pPr>
      <w:bookmarkStart w:id="68" w:name="_Toc15396631"/>
      <w:r>
        <w:rPr>
          <w:rStyle w:val="30"/>
          <w:rFonts w:ascii="Times New Roman" w:hAnsi="Times New Roman" w:eastAsia="仿宋" w:cs="Times New Roman"/>
          <w:b w:val="0"/>
          <w:bCs w:val="0"/>
        </w:rPr>
        <w:t>十三、</w:t>
      </w:r>
      <w:bookmarkEnd w:id="68"/>
      <w:r>
        <w:rPr>
          <w:rStyle w:val="30"/>
          <w:rFonts w:ascii="Times New Roman" w:hAnsi="Times New Roman" w:eastAsia="仿宋" w:cs="Times New Roman"/>
          <w:b w:val="0"/>
          <w:bCs w:val="0"/>
        </w:rPr>
        <w:t>财政拨款“三公”经费支出决算表</w:t>
      </w:r>
    </w:p>
    <w:p w14:paraId="35FD38FD">
      <w:pPr>
        <w:rPr>
          <w:rStyle w:val="30"/>
          <w:rFonts w:ascii="仿宋" w:hAnsi="仿宋" w:eastAsia="仿宋"/>
          <w:b w:val="0"/>
          <w:bCs w:val="0"/>
        </w:rPr>
      </w:pPr>
    </w:p>
    <w:p w14:paraId="7AC75FFC">
      <w:pPr>
        <w:pStyle w:val="2"/>
        <w:rPr>
          <w:rStyle w:val="30"/>
          <w:rFonts w:ascii="仿宋" w:hAnsi="仿宋" w:eastAsia="仿宋"/>
          <w:b w:val="0"/>
          <w:bCs w:val="0"/>
        </w:rPr>
      </w:pPr>
    </w:p>
    <w:p w14:paraId="6818B48A">
      <w:pPr>
        <w:pStyle w:val="2"/>
      </w:pPr>
    </w:p>
    <w:p w14:paraId="268374A4">
      <w:pPr>
        <w:pStyle w:val="2"/>
        <w:rPr>
          <w:rStyle w:val="30"/>
          <w:rFonts w:ascii="仿宋" w:hAnsi="仿宋" w:eastAsia="仿宋"/>
          <w:b w:val="0"/>
          <w:bCs w:val="0"/>
        </w:rPr>
      </w:pPr>
      <w:r>
        <w:drawing>
          <wp:inline distT="0" distB="0" distL="114300" distR="114300">
            <wp:extent cx="5271135" cy="6416675"/>
            <wp:effectExtent l="0" t="0" r="571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tretch>
                      <a:fillRect/>
                    </a:stretch>
                  </pic:blipFill>
                  <pic:spPr>
                    <a:xfrm>
                      <a:off x="0" y="0"/>
                      <a:ext cx="5271135" cy="6416675"/>
                    </a:xfrm>
                    <a:prstGeom prst="rect">
                      <a:avLst/>
                    </a:prstGeom>
                    <a:noFill/>
                    <a:ln>
                      <a:noFill/>
                    </a:ln>
                  </pic:spPr>
                </pic:pic>
              </a:graphicData>
            </a:graphic>
          </wp:inline>
        </w:drawing>
      </w:r>
    </w:p>
    <w:p w14:paraId="476B122F">
      <w:pPr>
        <w:pStyle w:val="2"/>
        <w:rPr>
          <w:rStyle w:val="30"/>
          <w:rFonts w:ascii="仿宋" w:hAnsi="仿宋" w:eastAsia="仿宋"/>
          <w:b w:val="0"/>
          <w:bCs w:val="0"/>
        </w:rPr>
      </w:pPr>
    </w:p>
    <w:p w14:paraId="70CA276C">
      <w:pPr>
        <w:widowControl/>
        <w:jc w:val="left"/>
        <w:rPr>
          <w:rStyle w:val="30"/>
          <w:rFonts w:ascii="仿宋" w:hAnsi="仿宋" w:eastAsia="仿宋"/>
          <w:b w:val="0"/>
          <w:bCs w:val="0"/>
        </w:rPr>
        <w:sectPr>
          <w:pgSz w:w="11906" w:h="16838"/>
          <w:pgMar w:top="1440" w:right="1800" w:bottom="1440" w:left="1800" w:header="851" w:footer="992" w:gutter="0"/>
          <w:cols w:space="425" w:num="1"/>
          <w:titlePg/>
          <w:docGrid w:type="lines" w:linePitch="312" w:charSpace="0"/>
        </w:sectPr>
      </w:pPr>
    </w:p>
    <w:p w14:paraId="5F6FAE2B">
      <w:pPr>
        <w:pStyle w:val="2"/>
        <w:rPr>
          <w:rStyle w:val="30"/>
          <w:rFonts w:ascii="仿宋" w:hAnsi="仿宋" w:eastAsia="仿宋"/>
          <w:b w:val="0"/>
          <w:bCs w:val="0"/>
        </w:rPr>
      </w:pPr>
      <w:r>
        <w:rPr>
          <w:szCs w:val="32"/>
        </w:rPr>
        <w:drawing>
          <wp:anchor distT="0" distB="0" distL="114300" distR="114300" simplePos="0" relativeHeight="251668480" behindDoc="0" locked="0" layoutInCell="1" allowOverlap="1">
            <wp:simplePos x="0" y="0"/>
            <wp:positionH relativeFrom="margin">
              <wp:align>center</wp:align>
            </wp:positionH>
            <wp:positionV relativeFrom="margin">
              <wp:align>center</wp:align>
            </wp:positionV>
            <wp:extent cx="8867775" cy="4581525"/>
            <wp:effectExtent l="19050" t="0" r="9525" b="0"/>
            <wp:wrapSquare wrapText="bothSides"/>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noChangeArrowheads="1"/>
                    </pic:cNvPicPr>
                  </pic:nvPicPr>
                  <pic:blipFill>
                    <a:blip r:embed="rId19"/>
                    <a:srcRect/>
                    <a:stretch>
                      <a:fillRect/>
                    </a:stretch>
                  </pic:blipFill>
                  <pic:spPr>
                    <a:xfrm>
                      <a:off x="0" y="0"/>
                      <a:ext cx="8867775" cy="4581525"/>
                    </a:xfrm>
                    <a:prstGeom prst="rect">
                      <a:avLst/>
                    </a:prstGeom>
                    <a:noFill/>
                    <a:ln w="9525">
                      <a:noFill/>
                      <a:miter lim="800000"/>
                      <a:headEnd/>
                      <a:tailEnd/>
                    </a:ln>
                  </pic:spPr>
                </pic:pic>
              </a:graphicData>
            </a:graphic>
          </wp:anchor>
        </w:drawing>
      </w:r>
    </w:p>
    <w:p w14:paraId="4374FBA9">
      <w:pPr>
        <w:pStyle w:val="2"/>
      </w:pPr>
      <w:r>
        <w:drawing>
          <wp:anchor distT="0" distB="0" distL="114300" distR="114300" simplePos="0" relativeHeight="251667456" behindDoc="0" locked="0" layoutInCell="1" allowOverlap="1">
            <wp:simplePos x="0" y="0"/>
            <wp:positionH relativeFrom="margin">
              <wp:align>center</wp:align>
            </wp:positionH>
            <wp:positionV relativeFrom="margin">
              <wp:align>center</wp:align>
            </wp:positionV>
            <wp:extent cx="8867775" cy="4895850"/>
            <wp:effectExtent l="19050" t="0" r="9525" b="0"/>
            <wp:wrapSquare wrapText="bothSides"/>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noChangeArrowheads="1"/>
                    </pic:cNvPicPr>
                  </pic:nvPicPr>
                  <pic:blipFill>
                    <a:blip r:embed="rId20"/>
                    <a:srcRect/>
                    <a:stretch>
                      <a:fillRect/>
                    </a:stretch>
                  </pic:blipFill>
                  <pic:spPr>
                    <a:xfrm>
                      <a:off x="0" y="0"/>
                      <a:ext cx="8867775" cy="4895850"/>
                    </a:xfrm>
                    <a:prstGeom prst="rect">
                      <a:avLst/>
                    </a:prstGeom>
                    <a:noFill/>
                    <a:ln w="9525">
                      <a:noFill/>
                      <a:miter lim="800000"/>
                      <a:headEnd/>
                      <a:tailEnd/>
                    </a:ln>
                  </pic:spPr>
                </pic:pic>
              </a:graphicData>
            </a:graphic>
          </wp:anchor>
        </w:drawing>
      </w:r>
    </w:p>
    <w:p w14:paraId="0501C55A">
      <w:pPr>
        <w:pStyle w:val="2"/>
        <w:jc w:val="center"/>
        <w:sectPr>
          <w:pgSz w:w="16838" w:h="11906" w:orient="landscape"/>
          <w:pgMar w:top="1800" w:right="1440" w:bottom="1800" w:left="1440" w:header="851" w:footer="992" w:gutter="0"/>
          <w:cols w:space="425" w:num="1"/>
          <w:titlePg/>
          <w:docGrid w:type="lines" w:linePitch="312" w:charSpace="0"/>
        </w:sectPr>
      </w:pPr>
      <w:r>
        <w:drawing>
          <wp:anchor distT="0" distB="0" distL="114300" distR="114300" simplePos="0" relativeHeight="251666432" behindDoc="0" locked="0" layoutInCell="1" allowOverlap="1">
            <wp:simplePos x="0" y="0"/>
            <wp:positionH relativeFrom="margin">
              <wp:align>center</wp:align>
            </wp:positionH>
            <wp:positionV relativeFrom="margin">
              <wp:align>center</wp:align>
            </wp:positionV>
            <wp:extent cx="8867775" cy="6477000"/>
            <wp:effectExtent l="19050" t="0" r="9525" b="0"/>
            <wp:wrapSquare wrapText="bothSides"/>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21"/>
                    <a:srcRect/>
                    <a:stretch>
                      <a:fillRect/>
                    </a:stretch>
                  </pic:blipFill>
                  <pic:spPr>
                    <a:xfrm>
                      <a:off x="0" y="0"/>
                      <a:ext cx="8867775" cy="6477000"/>
                    </a:xfrm>
                    <a:prstGeom prst="rect">
                      <a:avLst/>
                    </a:prstGeom>
                    <a:noFill/>
                    <a:ln w="9525">
                      <a:noFill/>
                      <a:miter lim="800000"/>
                      <a:headEnd/>
                      <a:tailEnd/>
                    </a:ln>
                  </pic:spPr>
                </pic:pic>
              </a:graphicData>
            </a:graphic>
          </wp:anchor>
        </w:drawing>
      </w:r>
    </w:p>
    <w:p w14:paraId="5FCAEA39">
      <w:pPr>
        <w:pStyle w:val="2"/>
        <w:sectPr>
          <w:pgSz w:w="16838" w:h="11906" w:orient="landscape"/>
          <w:pgMar w:top="1800" w:right="1440" w:bottom="1800" w:left="1440" w:header="851" w:footer="992" w:gutter="0"/>
          <w:cols w:space="425" w:num="1"/>
          <w:titlePg/>
          <w:docGrid w:type="lines" w:linePitch="312" w:charSpace="0"/>
        </w:sectPr>
      </w:pPr>
      <w:r>
        <w:drawing>
          <wp:anchor distT="0" distB="0" distL="114300" distR="114300" simplePos="0" relativeHeight="251669504" behindDoc="0" locked="0" layoutInCell="1" allowOverlap="1">
            <wp:simplePos x="0" y="0"/>
            <wp:positionH relativeFrom="margin">
              <wp:align>center</wp:align>
            </wp:positionH>
            <wp:positionV relativeFrom="margin">
              <wp:align>center</wp:align>
            </wp:positionV>
            <wp:extent cx="8867775" cy="5238750"/>
            <wp:effectExtent l="19050" t="0" r="9525" b="0"/>
            <wp:wrapSquare wrapText="bothSides"/>
            <wp:docPr id="4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1"/>
                    <pic:cNvPicPr>
                      <a:picLocks noChangeAspect="1" noChangeArrowheads="1"/>
                    </pic:cNvPicPr>
                  </pic:nvPicPr>
                  <pic:blipFill>
                    <a:blip r:embed="rId22"/>
                    <a:srcRect/>
                    <a:stretch>
                      <a:fillRect/>
                    </a:stretch>
                  </pic:blipFill>
                  <pic:spPr>
                    <a:xfrm>
                      <a:off x="0" y="0"/>
                      <a:ext cx="8867775" cy="5238750"/>
                    </a:xfrm>
                    <a:prstGeom prst="rect">
                      <a:avLst/>
                    </a:prstGeom>
                    <a:noFill/>
                    <a:ln w="9525">
                      <a:noFill/>
                      <a:miter lim="800000"/>
                      <a:headEnd/>
                      <a:tailEnd/>
                    </a:ln>
                  </pic:spPr>
                </pic:pic>
              </a:graphicData>
            </a:graphic>
          </wp:anchor>
        </w:drawing>
      </w:r>
    </w:p>
    <w:p w14:paraId="3C7EEE02">
      <w:pPr>
        <w:pStyle w:val="2"/>
        <w:jc w:val="center"/>
      </w:pPr>
      <w:r>
        <w:rPr>
          <w:rFonts w:hint="eastAsia"/>
        </w:rPr>
        <w:drawing>
          <wp:anchor distT="0" distB="0" distL="114300" distR="114300" simplePos="0" relativeHeight="251670528" behindDoc="0" locked="0" layoutInCell="1" allowOverlap="1">
            <wp:simplePos x="0" y="0"/>
            <wp:positionH relativeFrom="margin">
              <wp:align>center</wp:align>
            </wp:positionH>
            <wp:positionV relativeFrom="margin">
              <wp:align>center</wp:align>
            </wp:positionV>
            <wp:extent cx="8867775" cy="5238750"/>
            <wp:effectExtent l="19050" t="0" r="9525" b="0"/>
            <wp:wrapSquare wrapText="bothSides"/>
            <wp:docPr id="4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2"/>
                    <pic:cNvPicPr>
                      <a:picLocks noChangeAspect="1" noChangeArrowheads="1"/>
                    </pic:cNvPicPr>
                  </pic:nvPicPr>
                  <pic:blipFill>
                    <a:blip r:embed="rId23"/>
                    <a:srcRect/>
                    <a:stretch>
                      <a:fillRect/>
                    </a:stretch>
                  </pic:blipFill>
                  <pic:spPr>
                    <a:xfrm>
                      <a:off x="0" y="0"/>
                      <a:ext cx="8867775" cy="5238750"/>
                    </a:xfrm>
                    <a:prstGeom prst="rect">
                      <a:avLst/>
                    </a:prstGeom>
                    <a:noFill/>
                    <a:ln w="9525">
                      <a:noFill/>
                      <a:miter lim="800000"/>
                      <a:headEnd/>
                      <a:tailEnd/>
                    </a:ln>
                  </pic:spPr>
                </pic:pic>
              </a:graphicData>
            </a:graphic>
          </wp:anchor>
        </w:drawing>
      </w:r>
    </w:p>
    <w:p w14:paraId="0268A957">
      <w:pPr>
        <w:pStyle w:val="2"/>
        <w:jc w:val="center"/>
      </w:pPr>
      <w:r>
        <w:rPr>
          <w:rFonts w:hint="eastAsia"/>
        </w:rPr>
        <w:drawing>
          <wp:anchor distT="0" distB="0" distL="114300" distR="114300" simplePos="0" relativeHeight="251671552" behindDoc="0" locked="0" layoutInCell="1" allowOverlap="1">
            <wp:simplePos x="0" y="0"/>
            <wp:positionH relativeFrom="margin">
              <wp:align>center</wp:align>
            </wp:positionH>
            <wp:positionV relativeFrom="margin">
              <wp:align>center</wp:align>
            </wp:positionV>
            <wp:extent cx="8867775" cy="5276850"/>
            <wp:effectExtent l="19050" t="0" r="9525" b="0"/>
            <wp:wrapSquare wrapText="bothSides"/>
            <wp:docPr id="4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3"/>
                    <pic:cNvPicPr>
                      <a:picLocks noChangeAspect="1" noChangeArrowheads="1"/>
                    </pic:cNvPicPr>
                  </pic:nvPicPr>
                  <pic:blipFill>
                    <a:blip r:embed="rId24"/>
                    <a:srcRect/>
                    <a:stretch>
                      <a:fillRect/>
                    </a:stretch>
                  </pic:blipFill>
                  <pic:spPr>
                    <a:xfrm>
                      <a:off x="0" y="0"/>
                      <a:ext cx="8867775" cy="5276850"/>
                    </a:xfrm>
                    <a:prstGeom prst="rect">
                      <a:avLst/>
                    </a:prstGeom>
                    <a:noFill/>
                    <a:ln w="9525">
                      <a:noFill/>
                      <a:miter lim="800000"/>
                      <a:headEnd/>
                      <a:tailEnd/>
                    </a:ln>
                  </pic:spPr>
                </pic:pic>
              </a:graphicData>
            </a:graphic>
          </wp:anchor>
        </w:drawing>
      </w:r>
    </w:p>
    <w:p w14:paraId="2C0EEEA1">
      <w:pPr>
        <w:pStyle w:val="2"/>
        <w:jc w:val="center"/>
      </w:pPr>
      <w:r>
        <w:rPr>
          <w:rFonts w:hint="eastAsia"/>
        </w:rPr>
        <w:drawing>
          <wp:anchor distT="0" distB="0" distL="114300" distR="114300" simplePos="0" relativeHeight="251672576" behindDoc="0" locked="0" layoutInCell="1" allowOverlap="1">
            <wp:simplePos x="0" y="0"/>
            <wp:positionH relativeFrom="margin">
              <wp:align>center</wp:align>
            </wp:positionH>
            <wp:positionV relativeFrom="margin">
              <wp:align>center</wp:align>
            </wp:positionV>
            <wp:extent cx="8867775" cy="3962400"/>
            <wp:effectExtent l="19050" t="0" r="9525" b="0"/>
            <wp:wrapSquare wrapText="bothSides"/>
            <wp:docPr id="5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4"/>
                    <pic:cNvPicPr>
                      <a:picLocks noChangeAspect="1" noChangeArrowheads="1"/>
                    </pic:cNvPicPr>
                  </pic:nvPicPr>
                  <pic:blipFill>
                    <a:blip r:embed="rId25"/>
                    <a:srcRect/>
                    <a:stretch>
                      <a:fillRect/>
                    </a:stretch>
                  </pic:blipFill>
                  <pic:spPr>
                    <a:xfrm>
                      <a:off x="0" y="0"/>
                      <a:ext cx="8867775" cy="3962400"/>
                    </a:xfrm>
                    <a:prstGeom prst="rect">
                      <a:avLst/>
                    </a:prstGeom>
                    <a:noFill/>
                    <a:ln w="9525">
                      <a:noFill/>
                      <a:miter lim="800000"/>
                      <a:headEnd/>
                      <a:tailEnd/>
                    </a:ln>
                  </pic:spPr>
                </pic:pic>
              </a:graphicData>
            </a:graphic>
          </wp:anchor>
        </w:drawing>
      </w:r>
    </w:p>
    <w:p w14:paraId="1FD8A828">
      <w:pPr>
        <w:pStyle w:val="2"/>
        <w:jc w:val="center"/>
      </w:pPr>
    </w:p>
    <w:p w14:paraId="64927DD9">
      <w:pPr>
        <w:pStyle w:val="2"/>
        <w:jc w:val="center"/>
      </w:pPr>
    </w:p>
    <w:p w14:paraId="3314CFF3">
      <w:pPr>
        <w:pStyle w:val="2"/>
        <w:jc w:val="center"/>
      </w:pPr>
    </w:p>
    <w:p w14:paraId="126C69B2">
      <w:pPr>
        <w:pStyle w:val="2"/>
        <w:jc w:val="center"/>
      </w:pPr>
    </w:p>
    <w:p w14:paraId="765772C5">
      <w:pPr>
        <w:pStyle w:val="2"/>
        <w:jc w:val="center"/>
      </w:pPr>
    </w:p>
    <w:p w14:paraId="5A2550D2">
      <w:pPr>
        <w:pStyle w:val="2"/>
        <w:jc w:val="center"/>
      </w:pPr>
    </w:p>
    <w:p w14:paraId="43E60796">
      <w:pPr>
        <w:pStyle w:val="2"/>
        <w:jc w:val="center"/>
      </w:pPr>
    </w:p>
    <w:p w14:paraId="073AAF45">
      <w:pPr>
        <w:pStyle w:val="2"/>
        <w:jc w:val="center"/>
      </w:pPr>
      <w:r>
        <w:rPr>
          <w:rFonts w:hint="eastAsia"/>
        </w:rPr>
        <w:drawing>
          <wp:anchor distT="0" distB="0" distL="114300" distR="114300" simplePos="0" relativeHeight="251673600" behindDoc="0" locked="0" layoutInCell="1" allowOverlap="1">
            <wp:simplePos x="0" y="0"/>
            <wp:positionH relativeFrom="margin">
              <wp:align>center</wp:align>
            </wp:positionH>
            <wp:positionV relativeFrom="margin">
              <wp:align>center</wp:align>
            </wp:positionV>
            <wp:extent cx="6619875" cy="4914900"/>
            <wp:effectExtent l="19050" t="0" r="9525" b="0"/>
            <wp:wrapSquare wrapText="bothSides"/>
            <wp:docPr id="5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5"/>
                    <pic:cNvPicPr>
                      <a:picLocks noChangeAspect="1" noChangeArrowheads="1"/>
                    </pic:cNvPicPr>
                  </pic:nvPicPr>
                  <pic:blipFill>
                    <a:blip r:embed="rId26"/>
                    <a:srcRect/>
                    <a:stretch>
                      <a:fillRect/>
                    </a:stretch>
                  </pic:blipFill>
                  <pic:spPr>
                    <a:xfrm>
                      <a:off x="0" y="0"/>
                      <a:ext cx="6619875" cy="4914900"/>
                    </a:xfrm>
                    <a:prstGeom prst="rect">
                      <a:avLst/>
                    </a:prstGeom>
                    <a:noFill/>
                    <a:ln w="9525">
                      <a:noFill/>
                      <a:miter lim="800000"/>
                      <a:headEnd/>
                      <a:tailEnd/>
                    </a:ln>
                  </pic:spPr>
                </pic:pic>
              </a:graphicData>
            </a:graphic>
          </wp:anchor>
        </w:drawing>
      </w:r>
    </w:p>
    <w:p w14:paraId="6AB4A5A4">
      <w:pPr>
        <w:pStyle w:val="2"/>
        <w:jc w:val="center"/>
      </w:pPr>
    </w:p>
    <w:p w14:paraId="55EFF7EE">
      <w:pPr>
        <w:pStyle w:val="2"/>
      </w:pPr>
      <w:r>
        <w:drawing>
          <wp:inline distT="0" distB="0" distL="0" distR="0">
            <wp:extent cx="9201150" cy="4791075"/>
            <wp:effectExtent l="19050" t="0" r="0" b="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noChangeArrowheads="1"/>
                    </pic:cNvPicPr>
                  </pic:nvPicPr>
                  <pic:blipFill>
                    <a:blip r:embed="rId27"/>
                    <a:srcRect/>
                    <a:stretch>
                      <a:fillRect/>
                    </a:stretch>
                  </pic:blipFill>
                  <pic:spPr>
                    <a:xfrm>
                      <a:off x="0" y="0"/>
                      <a:ext cx="9202143" cy="4791592"/>
                    </a:xfrm>
                    <a:prstGeom prst="rect">
                      <a:avLst/>
                    </a:prstGeom>
                    <a:noFill/>
                    <a:ln w="9525">
                      <a:noFill/>
                      <a:miter lim="800000"/>
                      <a:headEnd/>
                      <a:tailEnd/>
                    </a:ln>
                  </pic:spPr>
                </pic:pic>
              </a:graphicData>
            </a:graphic>
          </wp:inline>
        </w:drawing>
      </w:r>
    </w:p>
    <w:p w14:paraId="21FDBA83">
      <w:pPr>
        <w:pStyle w:val="2"/>
      </w:pPr>
    </w:p>
    <w:p w14:paraId="722D86BD">
      <w:pPr>
        <w:pStyle w:val="2"/>
      </w:pPr>
    </w:p>
    <w:p w14:paraId="3675D1EF">
      <w:pPr>
        <w:pStyle w:val="2"/>
      </w:pPr>
      <w:r>
        <w:drawing>
          <wp:inline distT="0" distB="0" distL="0" distR="0">
            <wp:extent cx="8886825" cy="4619625"/>
            <wp:effectExtent l="19050" t="0" r="9525" b="0"/>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noChangeArrowheads="1"/>
                    </pic:cNvPicPr>
                  </pic:nvPicPr>
                  <pic:blipFill>
                    <a:blip r:embed="rId28"/>
                    <a:srcRect/>
                    <a:stretch>
                      <a:fillRect/>
                    </a:stretch>
                  </pic:blipFill>
                  <pic:spPr>
                    <a:xfrm>
                      <a:off x="0" y="0"/>
                      <a:ext cx="8886825" cy="4619625"/>
                    </a:xfrm>
                    <a:prstGeom prst="rect">
                      <a:avLst/>
                    </a:prstGeom>
                    <a:noFill/>
                    <a:ln w="9525">
                      <a:noFill/>
                      <a:miter lim="800000"/>
                      <a:headEnd/>
                      <a:tailEnd/>
                    </a:ln>
                  </pic:spPr>
                </pic:pic>
              </a:graphicData>
            </a:graphic>
          </wp:inline>
        </w:drawing>
      </w:r>
    </w:p>
    <w:p w14:paraId="4AD79BC5">
      <w:pPr>
        <w:pStyle w:val="2"/>
      </w:pPr>
    </w:p>
    <w:p w14:paraId="5C9826F7">
      <w:pPr>
        <w:pStyle w:val="2"/>
      </w:pPr>
    </w:p>
    <w:p w14:paraId="10FDE88D">
      <w:pPr>
        <w:pStyle w:val="2"/>
      </w:pPr>
      <w:r>
        <w:drawing>
          <wp:inline distT="0" distB="0" distL="0" distR="0">
            <wp:extent cx="9525000" cy="4619625"/>
            <wp:effectExtent l="19050" t="0" r="0" b="0"/>
            <wp:docPr id="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pic:cNvPicPr>
                      <a:picLocks noChangeAspect="1" noChangeArrowheads="1"/>
                    </pic:cNvPicPr>
                  </pic:nvPicPr>
                  <pic:blipFill>
                    <a:blip r:embed="rId29"/>
                    <a:srcRect/>
                    <a:stretch>
                      <a:fillRect/>
                    </a:stretch>
                  </pic:blipFill>
                  <pic:spPr>
                    <a:xfrm>
                      <a:off x="0" y="0"/>
                      <a:ext cx="9525000" cy="4619625"/>
                    </a:xfrm>
                    <a:prstGeom prst="rect">
                      <a:avLst/>
                    </a:prstGeom>
                    <a:noFill/>
                    <a:ln w="9525">
                      <a:noFill/>
                      <a:miter lim="800000"/>
                      <a:headEnd/>
                      <a:tailEnd/>
                    </a:ln>
                  </pic:spPr>
                </pic:pic>
              </a:graphicData>
            </a:graphic>
          </wp:inline>
        </w:drawing>
      </w:r>
    </w:p>
    <w:p w14:paraId="2F001939">
      <w:pPr>
        <w:pStyle w:val="2"/>
      </w:pPr>
    </w:p>
    <w:p w14:paraId="429945C1">
      <w:pPr>
        <w:pStyle w:val="2"/>
      </w:pPr>
      <w:r>
        <w:drawing>
          <wp:inline distT="0" distB="0" distL="0" distR="0">
            <wp:extent cx="8982075" cy="4619625"/>
            <wp:effectExtent l="19050" t="0" r="9525" b="0"/>
            <wp:docPr id="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
                    <pic:cNvPicPr>
                      <a:picLocks noChangeAspect="1" noChangeArrowheads="1"/>
                    </pic:cNvPicPr>
                  </pic:nvPicPr>
                  <pic:blipFill>
                    <a:blip r:embed="rId30"/>
                    <a:srcRect/>
                    <a:stretch>
                      <a:fillRect/>
                    </a:stretch>
                  </pic:blipFill>
                  <pic:spPr>
                    <a:xfrm>
                      <a:off x="0" y="0"/>
                      <a:ext cx="8982075" cy="4619625"/>
                    </a:xfrm>
                    <a:prstGeom prst="rect">
                      <a:avLst/>
                    </a:prstGeom>
                    <a:noFill/>
                    <a:ln w="9525">
                      <a:noFill/>
                      <a:miter lim="800000"/>
                      <a:headEnd/>
                      <a:tailEnd/>
                    </a:ln>
                  </pic:spPr>
                </pic:pic>
              </a:graphicData>
            </a:graphic>
          </wp:inline>
        </w:drawing>
      </w:r>
    </w:p>
    <w:p w14:paraId="1945282B">
      <w:pPr>
        <w:pStyle w:val="2"/>
      </w:pPr>
    </w:p>
    <w:p w14:paraId="764516A5">
      <w:pPr>
        <w:pStyle w:val="2"/>
      </w:pPr>
    </w:p>
    <w:p w14:paraId="513C2FD9">
      <w:pPr>
        <w:pStyle w:val="2"/>
      </w:pPr>
      <w:r>
        <w:drawing>
          <wp:inline distT="0" distB="0" distL="0" distR="0">
            <wp:extent cx="8943975" cy="4619625"/>
            <wp:effectExtent l="19050" t="0" r="9525" b="0"/>
            <wp:docPr id="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
                    <pic:cNvPicPr>
                      <a:picLocks noChangeAspect="1" noChangeArrowheads="1"/>
                    </pic:cNvPicPr>
                  </pic:nvPicPr>
                  <pic:blipFill>
                    <a:blip r:embed="rId31"/>
                    <a:srcRect/>
                    <a:stretch>
                      <a:fillRect/>
                    </a:stretch>
                  </pic:blipFill>
                  <pic:spPr>
                    <a:xfrm>
                      <a:off x="0" y="0"/>
                      <a:ext cx="8943975" cy="4619625"/>
                    </a:xfrm>
                    <a:prstGeom prst="rect">
                      <a:avLst/>
                    </a:prstGeom>
                    <a:noFill/>
                    <a:ln w="9525">
                      <a:noFill/>
                      <a:miter lim="800000"/>
                      <a:headEnd/>
                      <a:tailEnd/>
                    </a:ln>
                  </pic:spPr>
                </pic:pic>
              </a:graphicData>
            </a:graphic>
          </wp:inline>
        </w:drawing>
      </w:r>
    </w:p>
    <w:p w14:paraId="6BFB3878">
      <w:pPr>
        <w:pStyle w:val="2"/>
      </w:pPr>
    </w:p>
    <w:p w14:paraId="2038DD47">
      <w:pPr>
        <w:pStyle w:val="2"/>
      </w:pPr>
    </w:p>
    <w:p w14:paraId="5B56D660">
      <w:pPr>
        <w:pStyle w:val="2"/>
      </w:pPr>
      <w:r>
        <w:drawing>
          <wp:inline distT="0" distB="0" distL="0" distR="0">
            <wp:extent cx="8753475" cy="4619625"/>
            <wp:effectExtent l="19050" t="0" r="9525" b="0"/>
            <wp:docPr id="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pic:cNvPicPr>
                      <a:picLocks noChangeAspect="1" noChangeArrowheads="1"/>
                    </pic:cNvPicPr>
                  </pic:nvPicPr>
                  <pic:blipFill>
                    <a:blip r:embed="rId32"/>
                    <a:srcRect/>
                    <a:stretch>
                      <a:fillRect/>
                    </a:stretch>
                  </pic:blipFill>
                  <pic:spPr>
                    <a:xfrm>
                      <a:off x="0" y="0"/>
                      <a:ext cx="8753475" cy="4619625"/>
                    </a:xfrm>
                    <a:prstGeom prst="rect">
                      <a:avLst/>
                    </a:prstGeom>
                    <a:noFill/>
                    <a:ln w="9525">
                      <a:noFill/>
                      <a:miter lim="800000"/>
                      <a:headEnd/>
                      <a:tailEnd/>
                    </a:ln>
                  </pic:spPr>
                </pic:pic>
              </a:graphicData>
            </a:graphic>
          </wp:inline>
        </w:drawing>
      </w:r>
    </w:p>
    <w:p w14:paraId="1605899A">
      <w:pPr>
        <w:pStyle w:val="2"/>
      </w:pPr>
    </w:p>
    <w:p w14:paraId="51EE415A">
      <w:pPr>
        <w:pStyle w:val="2"/>
      </w:pPr>
    </w:p>
    <w:p w14:paraId="39F60E13">
      <w:pPr>
        <w:pStyle w:val="2"/>
      </w:pPr>
      <w:r>
        <w:rPr>
          <w:rFonts w:hint="eastAsia"/>
        </w:rPr>
        <w:drawing>
          <wp:inline distT="0" distB="0" distL="0" distR="0">
            <wp:extent cx="8905875" cy="4619625"/>
            <wp:effectExtent l="19050" t="0" r="9525" b="0"/>
            <wp:docPr id="3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1"/>
                    <pic:cNvPicPr>
                      <a:picLocks noChangeAspect="1" noChangeArrowheads="1"/>
                    </pic:cNvPicPr>
                  </pic:nvPicPr>
                  <pic:blipFill>
                    <a:blip r:embed="rId33"/>
                    <a:srcRect/>
                    <a:stretch>
                      <a:fillRect/>
                    </a:stretch>
                  </pic:blipFill>
                  <pic:spPr>
                    <a:xfrm>
                      <a:off x="0" y="0"/>
                      <a:ext cx="8905875" cy="4619625"/>
                    </a:xfrm>
                    <a:prstGeom prst="rect">
                      <a:avLst/>
                    </a:prstGeom>
                    <a:noFill/>
                    <a:ln w="9525">
                      <a:noFill/>
                      <a:miter lim="800000"/>
                      <a:headEnd/>
                      <a:tailEnd/>
                    </a:ln>
                  </pic:spPr>
                </pic:pic>
              </a:graphicData>
            </a:graphic>
          </wp:inline>
        </w:drawing>
      </w:r>
    </w:p>
    <w:p w14:paraId="6783E02D">
      <w:pPr>
        <w:pStyle w:val="2"/>
      </w:pPr>
    </w:p>
    <w:p w14:paraId="6D2F1FE2">
      <w:pPr>
        <w:pStyle w:val="2"/>
      </w:pPr>
    </w:p>
    <w:p w14:paraId="62CA9A78">
      <w:pPr>
        <w:pStyle w:val="2"/>
        <w:rPr>
          <w:b/>
        </w:rPr>
      </w:pPr>
      <w:r>
        <w:rPr>
          <w:rFonts w:hint="eastAsia"/>
        </w:rPr>
        <w:drawing>
          <wp:inline distT="0" distB="0" distL="0" distR="0">
            <wp:extent cx="8924925" cy="4619625"/>
            <wp:effectExtent l="19050" t="0" r="9525" b="0"/>
            <wp:docPr id="3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2"/>
                    <pic:cNvPicPr>
                      <a:picLocks noChangeAspect="1" noChangeArrowheads="1"/>
                    </pic:cNvPicPr>
                  </pic:nvPicPr>
                  <pic:blipFill>
                    <a:blip r:embed="rId34"/>
                    <a:srcRect/>
                    <a:stretch>
                      <a:fillRect/>
                    </a:stretch>
                  </pic:blipFill>
                  <pic:spPr>
                    <a:xfrm>
                      <a:off x="0" y="0"/>
                      <a:ext cx="8924925" cy="4619625"/>
                    </a:xfrm>
                    <a:prstGeom prst="rect">
                      <a:avLst/>
                    </a:prstGeom>
                    <a:noFill/>
                    <a:ln w="9525">
                      <a:noFill/>
                      <a:miter lim="800000"/>
                      <a:headEnd/>
                      <a:tailEnd/>
                    </a:ln>
                  </pic:spPr>
                </pic:pic>
              </a:graphicData>
            </a:graphic>
          </wp:inline>
        </w:drawing>
      </w:r>
    </w:p>
    <w:p w14:paraId="03B24D7A">
      <w:pPr>
        <w:pStyle w:val="2"/>
      </w:pPr>
    </w:p>
    <w:p w14:paraId="7F1F2A80">
      <w:pPr>
        <w:pStyle w:val="2"/>
      </w:pPr>
    </w:p>
    <w:p w14:paraId="573F06F1">
      <w:pPr>
        <w:pStyle w:val="2"/>
      </w:pPr>
      <w:r>
        <w:rPr>
          <w:rFonts w:hint="eastAsia"/>
        </w:rPr>
        <w:drawing>
          <wp:inline distT="0" distB="0" distL="0" distR="0">
            <wp:extent cx="8934450" cy="4619625"/>
            <wp:effectExtent l="19050" t="0" r="0" b="0"/>
            <wp:docPr id="3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3"/>
                    <pic:cNvPicPr>
                      <a:picLocks noChangeAspect="1" noChangeArrowheads="1"/>
                    </pic:cNvPicPr>
                  </pic:nvPicPr>
                  <pic:blipFill>
                    <a:blip r:embed="rId35"/>
                    <a:srcRect/>
                    <a:stretch>
                      <a:fillRect/>
                    </a:stretch>
                  </pic:blipFill>
                  <pic:spPr>
                    <a:xfrm>
                      <a:off x="0" y="0"/>
                      <a:ext cx="8934450" cy="4619625"/>
                    </a:xfrm>
                    <a:prstGeom prst="rect">
                      <a:avLst/>
                    </a:prstGeom>
                    <a:noFill/>
                    <a:ln w="9525">
                      <a:noFill/>
                      <a:miter lim="800000"/>
                      <a:headEnd/>
                      <a:tailEnd/>
                    </a:ln>
                  </pic:spPr>
                </pic:pic>
              </a:graphicData>
            </a:graphic>
          </wp:inline>
        </w:drawing>
      </w:r>
    </w:p>
    <w:p w14:paraId="22D1BC27">
      <w:pPr>
        <w:pStyle w:val="2"/>
      </w:pPr>
    </w:p>
    <w:p w14:paraId="19BA7FAC">
      <w:pPr>
        <w:pStyle w:val="2"/>
      </w:pPr>
    </w:p>
    <w:p w14:paraId="113D40A6">
      <w:pPr>
        <w:pStyle w:val="2"/>
      </w:pPr>
    </w:p>
    <w:p w14:paraId="4A6C22CE">
      <w:pPr>
        <w:pStyle w:val="2"/>
      </w:pPr>
      <w:r>
        <w:rPr>
          <w:rFonts w:hint="eastAsia"/>
        </w:rPr>
        <w:drawing>
          <wp:inline distT="0" distB="0" distL="0" distR="0">
            <wp:extent cx="8943975" cy="4695825"/>
            <wp:effectExtent l="19050" t="0" r="9525" b="0"/>
            <wp:docPr id="3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4"/>
                    <pic:cNvPicPr>
                      <a:picLocks noChangeAspect="1" noChangeArrowheads="1"/>
                    </pic:cNvPicPr>
                  </pic:nvPicPr>
                  <pic:blipFill>
                    <a:blip r:embed="rId36"/>
                    <a:srcRect/>
                    <a:stretch>
                      <a:fillRect/>
                    </a:stretch>
                  </pic:blipFill>
                  <pic:spPr>
                    <a:xfrm>
                      <a:off x="0" y="0"/>
                      <a:ext cx="8943975" cy="4695825"/>
                    </a:xfrm>
                    <a:prstGeom prst="rect">
                      <a:avLst/>
                    </a:prstGeom>
                    <a:noFill/>
                    <a:ln w="9525">
                      <a:noFill/>
                      <a:miter lim="800000"/>
                      <a:headEnd/>
                      <a:tailEnd/>
                    </a:ln>
                  </pic:spPr>
                </pic:pic>
              </a:graphicData>
            </a:graphic>
          </wp:inline>
        </w:drawing>
      </w:r>
    </w:p>
    <w:p w14:paraId="012AB5B7">
      <w:pPr>
        <w:pStyle w:val="2"/>
      </w:pPr>
    </w:p>
    <w:p w14:paraId="0F00AFDD">
      <w:pPr>
        <w:pStyle w:val="2"/>
      </w:pPr>
    </w:p>
    <w:p w14:paraId="4765C02D">
      <w:pPr>
        <w:pStyle w:val="2"/>
      </w:pPr>
      <w:r>
        <w:rPr>
          <w:rFonts w:hint="eastAsia"/>
        </w:rPr>
        <w:drawing>
          <wp:inline distT="0" distB="0" distL="0" distR="0">
            <wp:extent cx="8858250" cy="4695825"/>
            <wp:effectExtent l="19050" t="0" r="0" b="0"/>
            <wp:docPr id="3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5"/>
                    <pic:cNvPicPr>
                      <a:picLocks noChangeAspect="1" noChangeArrowheads="1"/>
                    </pic:cNvPicPr>
                  </pic:nvPicPr>
                  <pic:blipFill>
                    <a:blip r:embed="rId37"/>
                    <a:srcRect/>
                    <a:stretch>
                      <a:fillRect/>
                    </a:stretch>
                  </pic:blipFill>
                  <pic:spPr>
                    <a:xfrm>
                      <a:off x="0" y="0"/>
                      <a:ext cx="8858250" cy="4695825"/>
                    </a:xfrm>
                    <a:prstGeom prst="rect">
                      <a:avLst/>
                    </a:prstGeom>
                    <a:noFill/>
                    <a:ln w="9525">
                      <a:noFill/>
                      <a:miter lim="800000"/>
                      <a:headEnd/>
                      <a:tailEnd/>
                    </a:ln>
                  </pic:spPr>
                </pic:pic>
              </a:graphicData>
            </a:graphic>
          </wp:inline>
        </w:drawing>
      </w:r>
    </w:p>
    <w:p w14:paraId="63232278">
      <w:pPr>
        <w:pStyle w:val="2"/>
      </w:pPr>
    </w:p>
    <w:p w14:paraId="7CD29749">
      <w:pPr>
        <w:pStyle w:val="2"/>
      </w:pPr>
      <w:r>
        <w:rPr>
          <w:rFonts w:hint="eastAsia"/>
        </w:rPr>
        <w:drawing>
          <wp:inline distT="0" distB="0" distL="0" distR="0">
            <wp:extent cx="8963025" cy="4857750"/>
            <wp:effectExtent l="19050" t="0" r="9525" b="0"/>
            <wp:docPr id="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6"/>
                    <pic:cNvPicPr>
                      <a:picLocks noChangeAspect="1" noChangeArrowheads="1"/>
                    </pic:cNvPicPr>
                  </pic:nvPicPr>
                  <pic:blipFill>
                    <a:blip r:embed="rId38"/>
                    <a:srcRect/>
                    <a:stretch>
                      <a:fillRect/>
                    </a:stretch>
                  </pic:blipFill>
                  <pic:spPr>
                    <a:xfrm>
                      <a:off x="0" y="0"/>
                      <a:ext cx="8963025" cy="4857750"/>
                    </a:xfrm>
                    <a:prstGeom prst="rect">
                      <a:avLst/>
                    </a:prstGeom>
                    <a:noFill/>
                    <a:ln w="9525">
                      <a:noFill/>
                      <a:miter lim="800000"/>
                      <a:headEnd/>
                      <a:tailEnd/>
                    </a:ln>
                  </pic:spPr>
                </pic:pic>
              </a:graphicData>
            </a:graphic>
          </wp:inline>
        </w:drawing>
      </w:r>
    </w:p>
    <w:p w14:paraId="71996272">
      <w:pPr>
        <w:pStyle w:val="2"/>
      </w:pPr>
    </w:p>
    <w:p w14:paraId="7C5C9C91">
      <w:pPr>
        <w:pStyle w:val="2"/>
      </w:pPr>
      <w:r>
        <w:rPr>
          <w:rFonts w:hint="eastAsia"/>
        </w:rPr>
        <w:drawing>
          <wp:inline distT="0" distB="0" distL="0" distR="0">
            <wp:extent cx="8905875" cy="4695825"/>
            <wp:effectExtent l="19050" t="0" r="9525" b="0"/>
            <wp:docPr id="3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7"/>
                    <pic:cNvPicPr>
                      <a:picLocks noChangeAspect="1" noChangeArrowheads="1"/>
                    </pic:cNvPicPr>
                  </pic:nvPicPr>
                  <pic:blipFill>
                    <a:blip r:embed="rId39"/>
                    <a:srcRect/>
                    <a:stretch>
                      <a:fillRect/>
                    </a:stretch>
                  </pic:blipFill>
                  <pic:spPr>
                    <a:xfrm>
                      <a:off x="0" y="0"/>
                      <a:ext cx="8905875" cy="4695825"/>
                    </a:xfrm>
                    <a:prstGeom prst="rect">
                      <a:avLst/>
                    </a:prstGeom>
                    <a:noFill/>
                    <a:ln w="9525">
                      <a:noFill/>
                      <a:miter lim="800000"/>
                      <a:headEnd/>
                      <a:tailEnd/>
                    </a:ln>
                  </pic:spPr>
                </pic:pic>
              </a:graphicData>
            </a:graphic>
          </wp:inline>
        </w:drawing>
      </w:r>
    </w:p>
    <w:p w14:paraId="60B40CD4">
      <w:pPr>
        <w:pStyle w:val="2"/>
      </w:pPr>
    </w:p>
    <w:p w14:paraId="1301EB79">
      <w:pPr>
        <w:pStyle w:val="2"/>
      </w:pPr>
    </w:p>
    <w:p w14:paraId="5DA8EAA5">
      <w:pPr>
        <w:pStyle w:val="2"/>
        <w:jc w:val="center"/>
      </w:pPr>
      <w:r>
        <w:rPr>
          <w:rFonts w:hint="eastAsia"/>
        </w:rPr>
        <w:drawing>
          <wp:inline distT="0" distB="0" distL="0" distR="0">
            <wp:extent cx="8667750" cy="4619625"/>
            <wp:effectExtent l="19050" t="0" r="0" b="0"/>
            <wp:docPr id="3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9"/>
                    <pic:cNvPicPr>
                      <a:picLocks noChangeAspect="1" noChangeArrowheads="1"/>
                    </pic:cNvPicPr>
                  </pic:nvPicPr>
                  <pic:blipFill>
                    <a:blip r:embed="rId40"/>
                    <a:srcRect/>
                    <a:stretch>
                      <a:fillRect/>
                    </a:stretch>
                  </pic:blipFill>
                  <pic:spPr>
                    <a:xfrm>
                      <a:off x="0" y="0"/>
                      <a:ext cx="8667750" cy="4619625"/>
                    </a:xfrm>
                    <a:prstGeom prst="rect">
                      <a:avLst/>
                    </a:prstGeom>
                    <a:noFill/>
                    <a:ln w="9525">
                      <a:noFill/>
                      <a:miter lim="800000"/>
                      <a:headEnd/>
                      <a:tailEnd/>
                    </a:ln>
                  </pic:spPr>
                </pic:pic>
              </a:graphicData>
            </a:graphic>
          </wp:inline>
        </w:drawing>
      </w:r>
    </w:p>
    <w:p w14:paraId="23E55E67">
      <w:pPr>
        <w:pStyle w:val="2"/>
      </w:pPr>
    </w:p>
    <w:p w14:paraId="31E7B02C">
      <w:pPr>
        <w:pStyle w:val="2"/>
      </w:pPr>
    </w:p>
    <w:p w14:paraId="4429ACDE">
      <w:pPr>
        <w:pStyle w:val="2"/>
      </w:pPr>
      <w:r>
        <w:rPr>
          <w:rFonts w:hint="eastAsia"/>
        </w:rPr>
        <w:drawing>
          <wp:inline distT="0" distB="0" distL="0" distR="0">
            <wp:extent cx="8667750" cy="4619625"/>
            <wp:effectExtent l="19050" t="0" r="0" b="0"/>
            <wp:docPr id="4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1"/>
                    <pic:cNvPicPr>
                      <a:picLocks noChangeAspect="1" noChangeArrowheads="1"/>
                    </pic:cNvPicPr>
                  </pic:nvPicPr>
                  <pic:blipFill>
                    <a:blip r:embed="rId41"/>
                    <a:srcRect/>
                    <a:stretch>
                      <a:fillRect/>
                    </a:stretch>
                  </pic:blipFill>
                  <pic:spPr>
                    <a:xfrm>
                      <a:off x="0" y="0"/>
                      <a:ext cx="8667750" cy="4619625"/>
                    </a:xfrm>
                    <a:prstGeom prst="rect">
                      <a:avLst/>
                    </a:prstGeom>
                    <a:noFill/>
                    <a:ln w="9525">
                      <a:noFill/>
                      <a:miter lim="800000"/>
                      <a:headEnd/>
                      <a:tailEnd/>
                    </a:ln>
                  </pic:spPr>
                </pic:pic>
              </a:graphicData>
            </a:graphic>
          </wp:inline>
        </w:drawing>
      </w:r>
    </w:p>
    <w:p w14:paraId="79EF0FF4">
      <w:pPr>
        <w:pStyle w:val="2"/>
      </w:pPr>
    </w:p>
    <w:p w14:paraId="6301745C">
      <w:pPr>
        <w:pStyle w:val="2"/>
      </w:pPr>
    </w:p>
    <w:p w14:paraId="7E1CBDB6">
      <w:pPr>
        <w:pStyle w:val="2"/>
      </w:pPr>
    </w:p>
    <w:p w14:paraId="31B4BB6F">
      <w:pPr>
        <w:pStyle w:val="2"/>
      </w:pPr>
      <w:r>
        <w:rPr>
          <w:rFonts w:hint="eastAsia"/>
        </w:rPr>
        <w:drawing>
          <wp:inline distT="0" distB="0" distL="0" distR="0">
            <wp:extent cx="9115425" cy="4619625"/>
            <wp:effectExtent l="19050" t="0" r="9525" b="0"/>
            <wp:docPr id="4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9"/>
                    <pic:cNvPicPr>
                      <a:picLocks noChangeAspect="1" noChangeArrowheads="1"/>
                    </pic:cNvPicPr>
                  </pic:nvPicPr>
                  <pic:blipFill>
                    <a:blip r:embed="rId42"/>
                    <a:srcRect/>
                    <a:stretch>
                      <a:fillRect/>
                    </a:stretch>
                  </pic:blipFill>
                  <pic:spPr>
                    <a:xfrm>
                      <a:off x="0" y="0"/>
                      <a:ext cx="9115425" cy="4619625"/>
                    </a:xfrm>
                    <a:prstGeom prst="rect">
                      <a:avLst/>
                    </a:prstGeom>
                    <a:noFill/>
                    <a:ln w="9525">
                      <a:noFill/>
                      <a:miter lim="800000"/>
                      <a:headEnd/>
                      <a:tailEnd/>
                    </a:ln>
                  </pic:spPr>
                </pic:pic>
              </a:graphicData>
            </a:graphic>
          </wp:inline>
        </w:drawing>
      </w:r>
    </w:p>
    <w:p w14:paraId="5439FCAE">
      <w:pPr>
        <w:pStyle w:val="2"/>
      </w:pPr>
    </w:p>
    <w:p w14:paraId="3E7CE1AB">
      <w:pPr>
        <w:pStyle w:val="2"/>
      </w:pPr>
      <w:r>
        <w:rPr>
          <w:rFonts w:hint="eastAsia"/>
        </w:rPr>
        <w:drawing>
          <wp:inline distT="0" distB="0" distL="0" distR="0">
            <wp:extent cx="8667750" cy="4657725"/>
            <wp:effectExtent l="19050" t="0" r="0" b="0"/>
            <wp:docPr id="5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0"/>
                    <pic:cNvPicPr>
                      <a:picLocks noChangeAspect="1" noChangeArrowheads="1"/>
                    </pic:cNvPicPr>
                  </pic:nvPicPr>
                  <pic:blipFill>
                    <a:blip r:embed="rId43"/>
                    <a:srcRect/>
                    <a:stretch>
                      <a:fillRect/>
                    </a:stretch>
                  </pic:blipFill>
                  <pic:spPr>
                    <a:xfrm>
                      <a:off x="0" y="0"/>
                      <a:ext cx="8667750" cy="4657725"/>
                    </a:xfrm>
                    <a:prstGeom prst="rect">
                      <a:avLst/>
                    </a:prstGeom>
                    <a:noFill/>
                    <a:ln w="9525">
                      <a:noFill/>
                      <a:miter lim="800000"/>
                      <a:headEnd/>
                      <a:tailEnd/>
                    </a:ln>
                  </pic:spPr>
                </pic:pic>
              </a:graphicData>
            </a:graphic>
          </wp:inline>
        </w:drawing>
      </w:r>
    </w:p>
    <w:p w14:paraId="110AECA5">
      <w:pPr>
        <w:pStyle w:val="2"/>
      </w:pPr>
      <w:r>
        <w:rPr>
          <w:rFonts w:hint="eastAsia"/>
        </w:rPr>
        <w:drawing>
          <wp:inline distT="0" distB="0" distL="0" distR="0">
            <wp:extent cx="8839200" cy="4953000"/>
            <wp:effectExtent l="19050" t="0" r="0" b="0"/>
            <wp:docPr id="4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6"/>
                    <pic:cNvPicPr>
                      <a:picLocks noChangeAspect="1" noChangeArrowheads="1"/>
                    </pic:cNvPicPr>
                  </pic:nvPicPr>
                  <pic:blipFill>
                    <a:blip r:embed="rId44"/>
                    <a:srcRect/>
                    <a:stretch>
                      <a:fillRect/>
                    </a:stretch>
                  </pic:blipFill>
                  <pic:spPr>
                    <a:xfrm>
                      <a:off x="0" y="0"/>
                      <a:ext cx="8839200" cy="4953000"/>
                    </a:xfrm>
                    <a:prstGeom prst="rect">
                      <a:avLst/>
                    </a:prstGeom>
                    <a:noFill/>
                    <a:ln w="9525">
                      <a:noFill/>
                      <a:miter lim="800000"/>
                      <a:headEnd/>
                      <a:tailEnd/>
                    </a:ln>
                  </pic:spPr>
                </pic:pic>
              </a:graphicData>
            </a:graphic>
          </wp:inline>
        </w:drawing>
      </w:r>
    </w:p>
    <w:p w14:paraId="559D9891">
      <w:pPr>
        <w:pStyle w:val="2"/>
      </w:pPr>
      <w:r>
        <w:drawing>
          <wp:anchor distT="0" distB="0" distL="114300" distR="114300" simplePos="0" relativeHeight="251674624" behindDoc="0" locked="0" layoutInCell="1" allowOverlap="1">
            <wp:simplePos x="0" y="0"/>
            <wp:positionH relativeFrom="margin">
              <wp:align>center</wp:align>
            </wp:positionH>
            <wp:positionV relativeFrom="margin">
              <wp:align>center</wp:align>
            </wp:positionV>
            <wp:extent cx="8867775" cy="6057900"/>
            <wp:effectExtent l="19050" t="0" r="9525" b="0"/>
            <wp:wrapSquare wrapText="bothSides"/>
            <wp:docPr id="5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6"/>
                    <pic:cNvPicPr>
                      <a:picLocks noChangeAspect="1" noChangeArrowheads="1"/>
                    </pic:cNvPicPr>
                  </pic:nvPicPr>
                  <pic:blipFill>
                    <a:blip r:embed="rId45"/>
                    <a:srcRect/>
                    <a:stretch>
                      <a:fillRect/>
                    </a:stretch>
                  </pic:blipFill>
                  <pic:spPr>
                    <a:xfrm>
                      <a:off x="0" y="0"/>
                      <a:ext cx="8867775" cy="6057900"/>
                    </a:xfrm>
                    <a:prstGeom prst="rect">
                      <a:avLst/>
                    </a:prstGeom>
                    <a:noFill/>
                    <a:ln w="9525">
                      <a:noFill/>
                      <a:miter lim="800000"/>
                      <a:headEnd/>
                      <a:tailEnd/>
                    </a:ln>
                  </pic:spPr>
                </pic:pic>
              </a:graphicData>
            </a:graphic>
          </wp:anchor>
        </w:drawing>
      </w:r>
    </w:p>
    <w:p w14:paraId="68624AEC">
      <w:pPr>
        <w:pStyle w:val="2"/>
      </w:pPr>
    </w:p>
    <w:p w14:paraId="0373894E">
      <w:pPr>
        <w:pStyle w:val="2"/>
      </w:pPr>
      <w:r>
        <w:rPr>
          <w:rFonts w:hint="eastAsia"/>
        </w:rPr>
        <w:drawing>
          <wp:anchor distT="0" distB="0" distL="114300" distR="114300" simplePos="0" relativeHeight="251675648" behindDoc="0" locked="0" layoutInCell="1" allowOverlap="1">
            <wp:simplePos x="0" y="0"/>
            <wp:positionH relativeFrom="margin">
              <wp:align>center</wp:align>
            </wp:positionH>
            <wp:positionV relativeFrom="margin">
              <wp:align>center</wp:align>
            </wp:positionV>
            <wp:extent cx="6381750" cy="3333750"/>
            <wp:effectExtent l="19050" t="0" r="0" b="0"/>
            <wp:wrapSquare wrapText="bothSides"/>
            <wp:docPr id="5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8"/>
                    <pic:cNvPicPr>
                      <a:picLocks noChangeAspect="1" noChangeArrowheads="1"/>
                    </pic:cNvPicPr>
                  </pic:nvPicPr>
                  <pic:blipFill>
                    <a:blip r:embed="rId46"/>
                    <a:srcRect/>
                    <a:stretch>
                      <a:fillRect/>
                    </a:stretch>
                  </pic:blipFill>
                  <pic:spPr>
                    <a:xfrm>
                      <a:off x="0" y="0"/>
                      <a:ext cx="6381750" cy="3333750"/>
                    </a:xfrm>
                    <a:prstGeom prst="rect">
                      <a:avLst/>
                    </a:prstGeom>
                    <a:noFill/>
                    <a:ln w="9525">
                      <a:noFill/>
                      <a:miter lim="800000"/>
                      <a:headEnd/>
                      <a:tailEnd/>
                    </a:ln>
                  </pic:spPr>
                </pic:pic>
              </a:graphicData>
            </a:graphic>
          </wp:anchor>
        </w:drawing>
      </w:r>
    </w:p>
    <w:p w14:paraId="43B183C5">
      <w:pPr>
        <w:pStyle w:val="2"/>
      </w:pPr>
    </w:p>
    <w:p w14:paraId="764A86BC">
      <w:pPr>
        <w:pStyle w:val="2"/>
      </w:pPr>
    </w:p>
    <w:p w14:paraId="0D0D0351">
      <w:pPr>
        <w:pStyle w:val="2"/>
      </w:pPr>
    </w:p>
    <w:p w14:paraId="3549711A">
      <w:pPr>
        <w:pStyle w:val="2"/>
      </w:pPr>
    </w:p>
    <w:p w14:paraId="71A5003F">
      <w:pPr>
        <w:pStyle w:val="2"/>
      </w:pPr>
    </w:p>
    <w:p w14:paraId="0C28A58D">
      <w:pPr>
        <w:pStyle w:val="2"/>
      </w:pPr>
    </w:p>
    <w:p w14:paraId="748A5931">
      <w:pPr>
        <w:pStyle w:val="2"/>
      </w:pPr>
    </w:p>
    <w:p w14:paraId="476FCD98">
      <w:pPr>
        <w:pStyle w:val="2"/>
      </w:pPr>
    </w:p>
    <w:p w14:paraId="32367044">
      <w:pPr>
        <w:pStyle w:val="2"/>
      </w:pPr>
    </w:p>
    <w:p w14:paraId="4A2CF448">
      <w:pPr>
        <w:pStyle w:val="2"/>
      </w:pPr>
    </w:p>
    <w:p w14:paraId="76D85D82">
      <w:pPr>
        <w:pStyle w:val="2"/>
      </w:pPr>
    </w:p>
    <w:p w14:paraId="10420547">
      <w:pPr>
        <w:pStyle w:val="2"/>
      </w:pPr>
    </w:p>
    <w:p w14:paraId="2C9D6DB4">
      <w:pPr>
        <w:pStyle w:val="2"/>
      </w:pPr>
    </w:p>
    <w:p w14:paraId="6CBBACDD">
      <w:pPr>
        <w:pStyle w:val="2"/>
      </w:pPr>
    </w:p>
    <w:p w14:paraId="2F847900">
      <w:pPr>
        <w:pStyle w:val="2"/>
      </w:pPr>
    </w:p>
    <w:p w14:paraId="60675FA5">
      <w:pPr>
        <w:pStyle w:val="2"/>
      </w:pPr>
    </w:p>
    <w:p w14:paraId="6120D6BC">
      <w:pPr>
        <w:pStyle w:val="2"/>
      </w:pPr>
    </w:p>
    <w:p w14:paraId="06F468EE">
      <w:pPr>
        <w:pStyle w:val="2"/>
      </w:pPr>
    </w:p>
    <w:p w14:paraId="6138489F">
      <w:pPr>
        <w:pStyle w:val="2"/>
      </w:pPr>
    </w:p>
    <w:p w14:paraId="169C25A6">
      <w:pPr>
        <w:pStyle w:val="2"/>
      </w:pPr>
    </w:p>
    <w:p w14:paraId="56F2F3D6">
      <w:pPr>
        <w:pStyle w:val="2"/>
      </w:pPr>
    </w:p>
    <w:p w14:paraId="60A7AD2C">
      <w:pPr>
        <w:pStyle w:val="2"/>
      </w:pPr>
    </w:p>
    <w:p w14:paraId="638EA6DA">
      <w:pPr>
        <w:pStyle w:val="2"/>
      </w:pPr>
    </w:p>
    <w:p w14:paraId="4E667959">
      <w:pPr>
        <w:pStyle w:val="2"/>
      </w:pPr>
    </w:p>
    <w:p w14:paraId="0E5B8114">
      <w:pPr>
        <w:pStyle w:val="2"/>
      </w:pPr>
      <w:r>
        <w:rPr>
          <w:rFonts w:hint="eastAsia"/>
        </w:rPr>
        <w:drawing>
          <wp:anchor distT="0" distB="0" distL="114300" distR="114300" simplePos="0" relativeHeight="251676672" behindDoc="0" locked="0" layoutInCell="1" allowOverlap="1">
            <wp:simplePos x="0" y="0"/>
            <wp:positionH relativeFrom="margin">
              <wp:align>center</wp:align>
            </wp:positionH>
            <wp:positionV relativeFrom="margin">
              <wp:align>center</wp:align>
            </wp:positionV>
            <wp:extent cx="8048625" cy="2676525"/>
            <wp:effectExtent l="19050" t="0" r="9525" b="0"/>
            <wp:wrapSquare wrapText="bothSides"/>
            <wp:docPr id="5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9"/>
                    <pic:cNvPicPr>
                      <a:picLocks noChangeAspect="1" noChangeArrowheads="1"/>
                    </pic:cNvPicPr>
                  </pic:nvPicPr>
                  <pic:blipFill>
                    <a:blip r:embed="rId47"/>
                    <a:srcRect/>
                    <a:stretch>
                      <a:fillRect/>
                    </a:stretch>
                  </pic:blipFill>
                  <pic:spPr>
                    <a:xfrm>
                      <a:off x="0" y="0"/>
                      <a:ext cx="8048625" cy="2676525"/>
                    </a:xfrm>
                    <a:prstGeom prst="rect">
                      <a:avLst/>
                    </a:prstGeom>
                    <a:noFill/>
                    <a:ln w="9525">
                      <a:noFill/>
                      <a:miter lim="800000"/>
                      <a:headEnd/>
                      <a:tailEnd/>
                    </a:ln>
                  </pic:spPr>
                </pic:pic>
              </a:graphicData>
            </a:graphic>
          </wp:anchor>
        </w:drawing>
      </w:r>
    </w:p>
    <w:p w14:paraId="0DD279BF">
      <w:pPr>
        <w:pStyle w:val="2"/>
      </w:pPr>
    </w:p>
    <w:p w14:paraId="676BC24A">
      <w:pPr>
        <w:pStyle w:val="2"/>
      </w:pPr>
    </w:p>
    <w:p w14:paraId="7A334074">
      <w:pPr>
        <w:pStyle w:val="2"/>
      </w:pPr>
    </w:p>
    <w:p w14:paraId="0CC9DE06">
      <w:pPr>
        <w:pStyle w:val="2"/>
      </w:pPr>
    </w:p>
    <w:p w14:paraId="22DEC907">
      <w:pPr>
        <w:pStyle w:val="2"/>
      </w:pPr>
    </w:p>
    <w:p w14:paraId="7DFD0B05">
      <w:pPr>
        <w:pStyle w:val="2"/>
      </w:pPr>
    </w:p>
    <w:p w14:paraId="0077C69F">
      <w:pPr>
        <w:pStyle w:val="2"/>
      </w:pPr>
    </w:p>
    <w:p w14:paraId="4ADAF3BE">
      <w:pPr>
        <w:pStyle w:val="2"/>
      </w:pPr>
    </w:p>
    <w:p w14:paraId="13A242F8">
      <w:pPr>
        <w:pStyle w:val="2"/>
      </w:pPr>
    </w:p>
    <w:p w14:paraId="11E10D60">
      <w:pPr>
        <w:pStyle w:val="2"/>
      </w:pPr>
    </w:p>
    <w:p w14:paraId="41D89D31">
      <w:pPr>
        <w:pStyle w:val="2"/>
      </w:pPr>
    </w:p>
    <w:p w14:paraId="614D10EF">
      <w:pPr>
        <w:pStyle w:val="2"/>
      </w:pPr>
    </w:p>
    <w:p w14:paraId="1025DABC">
      <w:pPr>
        <w:pStyle w:val="2"/>
      </w:pPr>
    </w:p>
    <w:p w14:paraId="10B0AA0D">
      <w:pPr>
        <w:pStyle w:val="2"/>
      </w:pPr>
    </w:p>
    <w:p w14:paraId="64D7B672">
      <w:pPr>
        <w:pStyle w:val="2"/>
      </w:pPr>
    </w:p>
    <w:p w14:paraId="59D282B9">
      <w:pPr>
        <w:pStyle w:val="2"/>
      </w:pPr>
    </w:p>
    <w:p w14:paraId="04392C05">
      <w:pPr>
        <w:pStyle w:val="2"/>
      </w:pPr>
    </w:p>
    <w:p w14:paraId="21E69C49">
      <w:pPr>
        <w:pStyle w:val="2"/>
      </w:pPr>
    </w:p>
    <w:p w14:paraId="5CBFE438">
      <w:pPr>
        <w:pStyle w:val="2"/>
      </w:pPr>
    </w:p>
    <w:p w14:paraId="249B55F1">
      <w:pPr>
        <w:pStyle w:val="2"/>
      </w:pPr>
    </w:p>
    <w:p w14:paraId="11D01677">
      <w:pPr>
        <w:pStyle w:val="2"/>
      </w:pPr>
    </w:p>
    <w:p w14:paraId="3B0A2968">
      <w:pPr>
        <w:pStyle w:val="2"/>
      </w:pPr>
    </w:p>
    <w:p w14:paraId="3CCF84F9">
      <w:pPr>
        <w:pStyle w:val="2"/>
      </w:pPr>
    </w:p>
    <w:p w14:paraId="0836E6D7">
      <w:pPr>
        <w:pStyle w:val="2"/>
      </w:pPr>
    </w:p>
    <w:p w14:paraId="72B98C87">
      <w:pPr>
        <w:pStyle w:val="2"/>
      </w:pPr>
    </w:p>
    <w:p w14:paraId="7CE9752D">
      <w:pPr>
        <w:pStyle w:val="2"/>
      </w:pPr>
      <w:r>
        <w:rPr>
          <w:rFonts w:hint="eastAsia"/>
        </w:rPr>
        <w:drawing>
          <wp:anchor distT="0" distB="0" distL="114300" distR="114300" simplePos="0" relativeHeight="251677696" behindDoc="0" locked="0" layoutInCell="1" allowOverlap="1">
            <wp:simplePos x="0" y="0"/>
            <wp:positionH relativeFrom="margin">
              <wp:align>center</wp:align>
            </wp:positionH>
            <wp:positionV relativeFrom="margin">
              <wp:align>center</wp:align>
            </wp:positionV>
            <wp:extent cx="6505575" cy="3333750"/>
            <wp:effectExtent l="19050" t="0" r="9525" b="0"/>
            <wp:wrapSquare wrapText="bothSides"/>
            <wp:docPr id="5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0"/>
                    <pic:cNvPicPr>
                      <a:picLocks noChangeAspect="1" noChangeArrowheads="1"/>
                    </pic:cNvPicPr>
                  </pic:nvPicPr>
                  <pic:blipFill>
                    <a:blip r:embed="rId48"/>
                    <a:srcRect/>
                    <a:stretch>
                      <a:fillRect/>
                    </a:stretch>
                  </pic:blipFill>
                  <pic:spPr>
                    <a:xfrm>
                      <a:off x="0" y="0"/>
                      <a:ext cx="6505575" cy="3333750"/>
                    </a:xfrm>
                    <a:prstGeom prst="rect">
                      <a:avLst/>
                    </a:prstGeom>
                    <a:noFill/>
                    <a:ln w="9525">
                      <a:noFill/>
                      <a:miter lim="800000"/>
                      <a:headEnd/>
                      <a:tailEnd/>
                    </a:ln>
                  </pic:spPr>
                </pic:pic>
              </a:graphicData>
            </a:graphic>
          </wp:anchor>
        </w:drawing>
      </w:r>
    </w:p>
    <w:p w14:paraId="00031C65">
      <w:pPr>
        <w:pStyle w:val="2"/>
      </w:pPr>
    </w:p>
    <w:p w14:paraId="5890DCBD">
      <w:pPr>
        <w:pStyle w:val="2"/>
      </w:pPr>
    </w:p>
    <w:p w14:paraId="6C1ACDBD">
      <w:pPr>
        <w:pStyle w:val="2"/>
      </w:pPr>
    </w:p>
    <w:p w14:paraId="525D8235">
      <w:pPr>
        <w:pStyle w:val="2"/>
      </w:pPr>
    </w:p>
    <w:p w14:paraId="036C449B">
      <w:pPr>
        <w:pStyle w:val="2"/>
      </w:pPr>
    </w:p>
    <w:p w14:paraId="720D1A63">
      <w:pPr>
        <w:pStyle w:val="2"/>
      </w:pPr>
    </w:p>
    <w:p w14:paraId="3695B789">
      <w:pPr>
        <w:pStyle w:val="2"/>
      </w:pPr>
    </w:p>
    <w:p w14:paraId="46E84B6B">
      <w:pPr>
        <w:pStyle w:val="2"/>
      </w:pPr>
    </w:p>
    <w:p w14:paraId="4E01A4CC">
      <w:pPr>
        <w:pStyle w:val="2"/>
      </w:pPr>
    </w:p>
    <w:p w14:paraId="32E92EB8">
      <w:pPr>
        <w:pStyle w:val="2"/>
      </w:pPr>
    </w:p>
    <w:p w14:paraId="65E83EAC">
      <w:pPr>
        <w:pStyle w:val="2"/>
      </w:pPr>
    </w:p>
    <w:p w14:paraId="369D4826">
      <w:pPr>
        <w:pStyle w:val="2"/>
      </w:pPr>
    </w:p>
    <w:p w14:paraId="27CB9E60">
      <w:pPr>
        <w:pStyle w:val="2"/>
      </w:pPr>
    </w:p>
    <w:p w14:paraId="24A8AFFF">
      <w:pPr>
        <w:pStyle w:val="2"/>
      </w:pPr>
    </w:p>
    <w:p w14:paraId="184B1E7C">
      <w:pPr>
        <w:pStyle w:val="2"/>
      </w:pPr>
    </w:p>
    <w:p w14:paraId="20272BB8">
      <w:pPr>
        <w:pStyle w:val="2"/>
      </w:pPr>
    </w:p>
    <w:p w14:paraId="573913B3">
      <w:pPr>
        <w:pStyle w:val="2"/>
      </w:pPr>
    </w:p>
    <w:p w14:paraId="67DA4FEB">
      <w:pPr>
        <w:pStyle w:val="2"/>
      </w:pPr>
    </w:p>
    <w:p w14:paraId="12D54E2B">
      <w:pPr>
        <w:pStyle w:val="2"/>
      </w:pPr>
    </w:p>
    <w:p w14:paraId="4A5414E6">
      <w:pPr>
        <w:pStyle w:val="2"/>
      </w:pPr>
    </w:p>
    <w:p w14:paraId="1F6CA1D1">
      <w:pPr>
        <w:pStyle w:val="2"/>
      </w:pPr>
    </w:p>
    <w:p w14:paraId="187DEB73">
      <w:pPr>
        <w:pStyle w:val="2"/>
      </w:pPr>
    </w:p>
    <w:p w14:paraId="4136106E">
      <w:pPr>
        <w:pStyle w:val="2"/>
      </w:pPr>
    </w:p>
    <w:p w14:paraId="733C3CCC">
      <w:pPr>
        <w:pStyle w:val="2"/>
      </w:pPr>
    </w:p>
    <w:p w14:paraId="5C0F158B">
      <w:pPr>
        <w:pStyle w:val="2"/>
      </w:pPr>
    </w:p>
    <w:p w14:paraId="1784D546">
      <w:pPr>
        <w:pStyle w:val="2"/>
      </w:pPr>
      <w:r>
        <w:rPr>
          <w:rFonts w:hint="eastAsia"/>
        </w:rPr>
        <w:drawing>
          <wp:anchor distT="0" distB="0" distL="114300" distR="114300" simplePos="0" relativeHeight="251678720" behindDoc="0" locked="0" layoutInCell="1" allowOverlap="1">
            <wp:simplePos x="0" y="0"/>
            <wp:positionH relativeFrom="margin">
              <wp:align>center</wp:align>
            </wp:positionH>
            <wp:positionV relativeFrom="margin">
              <wp:align>center</wp:align>
            </wp:positionV>
            <wp:extent cx="5181600" cy="3409950"/>
            <wp:effectExtent l="0" t="0" r="0" b="0"/>
            <wp:wrapSquare wrapText="bothSides"/>
            <wp:docPr id="5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1"/>
                    <pic:cNvPicPr>
                      <a:picLocks noChangeAspect="1" noChangeArrowheads="1"/>
                    </pic:cNvPicPr>
                  </pic:nvPicPr>
                  <pic:blipFill>
                    <a:blip r:embed="rId49"/>
                    <a:srcRect/>
                    <a:stretch>
                      <a:fillRect/>
                    </a:stretch>
                  </pic:blipFill>
                  <pic:spPr>
                    <a:xfrm>
                      <a:off x="0" y="0"/>
                      <a:ext cx="5181600" cy="3409950"/>
                    </a:xfrm>
                    <a:prstGeom prst="rect">
                      <a:avLst/>
                    </a:prstGeom>
                    <a:noFill/>
                    <a:ln w="9525">
                      <a:noFill/>
                      <a:miter lim="800000"/>
                      <a:headEnd/>
                      <a:tailEnd/>
                    </a:ln>
                  </pic:spPr>
                </pic:pic>
              </a:graphicData>
            </a:graphic>
          </wp:anchor>
        </w:drawing>
      </w:r>
    </w:p>
    <w:p w14:paraId="1E4B0EC5">
      <w:pPr>
        <w:pStyle w:val="2"/>
      </w:pPr>
    </w:p>
    <w:p w14:paraId="33267924">
      <w:pPr>
        <w:pStyle w:val="2"/>
      </w:pPr>
    </w:p>
    <w:p w14:paraId="5C6FD2B3">
      <w:pPr>
        <w:pStyle w:val="2"/>
      </w:pPr>
    </w:p>
    <w:p w14:paraId="74225567">
      <w:pPr>
        <w:pStyle w:val="2"/>
      </w:pPr>
    </w:p>
    <w:p w14:paraId="35C5445C">
      <w:pPr>
        <w:pStyle w:val="2"/>
      </w:pPr>
    </w:p>
    <w:p w14:paraId="1F4A5D94">
      <w:pPr>
        <w:pStyle w:val="2"/>
      </w:pPr>
    </w:p>
    <w:p w14:paraId="2C981865">
      <w:pPr>
        <w:pStyle w:val="2"/>
      </w:pPr>
    </w:p>
    <w:p w14:paraId="623E44F8">
      <w:pPr>
        <w:pStyle w:val="2"/>
      </w:pPr>
    </w:p>
    <w:p w14:paraId="5C1914F3">
      <w:pPr>
        <w:pStyle w:val="2"/>
      </w:pPr>
    </w:p>
    <w:p w14:paraId="024E00A7">
      <w:pPr>
        <w:pStyle w:val="2"/>
      </w:pPr>
    </w:p>
    <w:p w14:paraId="6612A6CE">
      <w:pPr>
        <w:pStyle w:val="2"/>
      </w:pPr>
      <w:r>
        <w:drawing>
          <wp:inline distT="0" distB="0" distL="0" distR="0">
            <wp:extent cx="8791575" cy="3267075"/>
            <wp:effectExtent l="19050" t="0" r="9525" b="0"/>
            <wp:docPr id="4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8"/>
                    <pic:cNvPicPr>
                      <a:picLocks noChangeAspect="1" noChangeArrowheads="1"/>
                    </pic:cNvPicPr>
                  </pic:nvPicPr>
                  <pic:blipFill>
                    <a:blip r:embed="rId50"/>
                    <a:srcRect/>
                    <a:stretch>
                      <a:fillRect/>
                    </a:stretch>
                  </pic:blipFill>
                  <pic:spPr>
                    <a:xfrm>
                      <a:off x="0" y="0"/>
                      <a:ext cx="8791575" cy="3267075"/>
                    </a:xfrm>
                    <a:prstGeom prst="rect">
                      <a:avLst/>
                    </a:prstGeom>
                    <a:noFill/>
                    <a:ln w="9525">
                      <a:noFill/>
                      <a:miter lim="800000"/>
                      <a:headEnd/>
                      <a:tailEnd/>
                    </a:ln>
                  </pic:spPr>
                </pic:pic>
              </a:graphicData>
            </a:graphic>
          </wp:inline>
        </w:drawing>
      </w:r>
    </w:p>
    <w:p w14:paraId="4BF25D62">
      <w:pPr>
        <w:pStyle w:val="2"/>
      </w:pPr>
    </w:p>
    <w:sectPr>
      <w:headerReference r:id="rId9" w:type="default"/>
      <w:pgSz w:w="16838" w:h="11906" w:orient="landscape"/>
      <w:pgMar w:top="1800" w:right="1440" w:bottom="1800"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SimSun-ExtB">
    <w:panose1 w:val="02010609060101010101"/>
    <w:charset w:val="86"/>
    <w:family w:val="modern"/>
    <w:pitch w:val="default"/>
    <w:sig w:usb0="00000001" w:usb1="02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方正隶书_GBK">
    <w:panose1 w:val="03000509000000000000"/>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365DE">
    <w:pPr>
      <w:pStyle w:val="11"/>
      <w:jc w:val="center"/>
    </w:pPr>
  </w:p>
  <w:p w14:paraId="019982AF">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FDEEE">
    <w:pPr>
      <w:pStyle w:val="11"/>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4532608">
                          <w:pPr>
                            <w:pStyle w:val="11"/>
                            <w:jc w:val="center"/>
                          </w:pPr>
                          <w:r>
                            <w:fldChar w:fldCharType="begin"/>
                          </w:r>
                          <w:r>
                            <w:instrText xml:space="preserve">PAGE   \* MERGEFORMAT</w:instrText>
                          </w:r>
                          <w:r>
                            <w:fldChar w:fldCharType="separate"/>
                          </w:r>
                          <w:r>
                            <w:rPr>
                              <w:lang w:val="zh-CN"/>
                            </w:rPr>
                            <w:t>2</w:t>
                          </w:r>
                          <w:r>
                            <w:rPr>
                              <w:lang w:val="zh-CN"/>
                            </w:rPr>
                            <w:fldChar w:fldCharType="end"/>
                          </w:r>
                        </w:p>
                        <w:p w14:paraId="040AF469">
                          <w:pPr>
                            <w:pStyle w:val="2"/>
                          </w:pP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864O8kBAACZAwAADgAAAGRycy9lMm9Eb2MueG1srVPNjtMwEL4j8Q6W&#10;79RpB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Iq&#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rzrg7yQEAAJkDAAAOAAAAAAAAAAEAIAAAAB4BAABkcnMvZTJvRG9j&#10;LnhtbFBLBQYAAAAABgAGAFkBAABZBQAAAAA=&#10;">
              <v:fill on="f" focussize="0,0"/>
              <v:stroke on="f"/>
              <v:imagedata o:title=""/>
              <o:lock v:ext="edit" aspectratio="f"/>
              <v:textbox inset="0mm,0mm,0mm,0mm" style="mso-fit-shape-to-text:t;">
                <w:txbxContent>
                  <w:p w14:paraId="64532608">
                    <w:pPr>
                      <w:pStyle w:val="11"/>
                      <w:jc w:val="center"/>
                    </w:pPr>
                    <w:r>
                      <w:fldChar w:fldCharType="begin"/>
                    </w:r>
                    <w:r>
                      <w:instrText xml:space="preserve">PAGE   \* MERGEFORMAT</w:instrText>
                    </w:r>
                    <w:r>
                      <w:fldChar w:fldCharType="separate"/>
                    </w:r>
                    <w:r>
                      <w:rPr>
                        <w:lang w:val="zh-CN"/>
                      </w:rPr>
                      <w:t>2</w:t>
                    </w:r>
                    <w:r>
                      <w:rPr>
                        <w:lang w:val="zh-CN"/>
                      </w:rPr>
                      <w:fldChar w:fldCharType="end"/>
                    </w:r>
                  </w:p>
                  <w:p w14:paraId="040AF469">
                    <w:pPr>
                      <w:pStyle w:val="2"/>
                    </w:pPr>
                  </w:p>
                </w:txbxContent>
              </v:textbox>
            </v:shape>
          </w:pict>
        </mc:Fallback>
      </mc:AlternateContent>
    </w:r>
  </w:p>
  <w:p w14:paraId="2E4FD64D">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48A18">
    <w:pPr>
      <w:pStyle w:val="11"/>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73C040">
                          <w:pPr>
                            <w:pStyle w:val="11"/>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573C040">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81798"/>
    </w:sdtPr>
    <w:sdtContent>
      <w:p w14:paraId="346D2544">
        <w:pPr>
          <w:pStyle w:val="11"/>
          <w:jc w:val="center"/>
        </w:pPr>
        <w:r>
          <w:fldChar w:fldCharType="begin"/>
        </w:r>
        <w:r>
          <w:instrText xml:space="preserve"> PAGE   \* MERGEFORMAT </w:instrText>
        </w:r>
        <w:r>
          <w:fldChar w:fldCharType="separate"/>
        </w:r>
        <w:r>
          <w:rPr>
            <w:lang w:val="zh-CN"/>
          </w:rPr>
          <w:t>20</w:t>
        </w:r>
        <w:r>
          <w:rPr>
            <w:lang w:val="zh-CN"/>
          </w:rPr>
          <w:fldChar w:fldCharType="end"/>
        </w:r>
      </w:p>
    </w:sdtContent>
  </w:sdt>
  <w:p w14:paraId="51B51493">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704BB">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EEFD0D">
                          <w:pPr>
                            <w:pStyle w:val="11"/>
                          </w:pPr>
                          <w:r>
                            <w:fldChar w:fldCharType="begin"/>
                          </w:r>
                          <w:r>
                            <w:instrText xml:space="preserve"> PAGE  \* MERGEFORMAT </w:instrText>
                          </w:r>
                          <w:r>
                            <w:fldChar w:fldCharType="separate"/>
                          </w:r>
                          <w:r>
                            <w:t>21</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BX5skBAACZ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Iq&#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9YFfmyQEAAJkDAAAOAAAAAAAAAAEAIAAAAB4BAABkcnMvZTJvRG9j&#10;LnhtbFBLBQYAAAAABgAGAFkBAABZBQAAAAA=&#10;">
              <v:fill on="f" focussize="0,0"/>
              <v:stroke on="f"/>
              <v:imagedata o:title=""/>
              <o:lock v:ext="edit" aspectratio="f"/>
              <v:textbox inset="0mm,0mm,0mm,0mm" style="mso-fit-shape-to-text:t;">
                <w:txbxContent>
                  <w:p w14:paraId="38EEFD0D">
                    <w:pPr>
                      <w:pStyle w:val="11"/>
                    </w:pPr>
                    <w:r>
                      <w:fldChar w:fldCharType="begin"/>
                    </w:r>
                    <w:r>
                      <w:instrText xml:space="preserve"> PAGE  \* MERGEFORMAT </w:instrText>
                    </w:r>
                    <w:r>
                      <w:fldChar w:fldCharType="separate"/>
                    </w:r>
                    <w:r>
                      <w:t>21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9F093">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B35D6">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EBEF323"/>
    <w:multiLevelType w:val="singleLevel"/>
    <w:tmpl w:val="DEBEF323"/>
    <w:lvl w:ilvl="0" w:tentative="0">
      <w:start w:val="4"/>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E5FAB687"/>
    <w:multiLevelType w:val="singleLevel"/>
    <w:tmpl w:val="E5FAB687"/>
    <w:lvl w:ilvl="0" w:tentative="0">
      <w:start w:val="1"/>
      <w:numFmt w:val="chineseCounting"/>
      <w:suff w:val="nothing"/>
      <w:lvlText w:val="（%1）"/>
      <w:lvlJc w:val="left"/>
      <w:rPr>
        <w:rFonts w:hint="eastAsia"/>
      </w:rPr>
    </w:lvl>
  </w:abstractNum>
  <w:abstractNum w:abstractNumId="4">
    <w:nsid w:val="FAEEC494"/>
    <w:multiLevelType w:val="singleLevel"/>
    <w:tmpl w:val="FAEEC494"/>
    <w:lvl w:ilvl="0" w:tentative="0">
      <w:start w:val="5"/>
      <w:numFmt w:val="chineseCounting"/>
      <w:suff w:val="nothing"/>
      <w:lvlText w:val="%1、"/>
      <w:lvlJc w:val="left"/>
      <w:rPr>
        <w:rFonts w:hint="eastAsia"/>
      </w:rPr>
    </w:lvl>
  </w:abstractNum>
  <w:abstractNum w:abstractNumId="5">
    <w:nsid w:val="FFF674BC"/>
    <w:multiLevelType w:val="singleLevel"/>
    <w:tmpl w:val="FFF674BC"/>
    <w:lvl w:ilvl="0" w:tentative="0">
      <w:start w:val="1"/>
      <w:numFmt w:val="chineseCounting"/>
      <w:suff w:val="nothing"/>
      <w:lvlText w:val="%1、"/>
      <w:lvlJc w:val="left"/>
      <w:rPr>
        <w:rFonts w:hint="eastAsia"/>
      </w:rPr>
    </w:lvl>
  </w:abstractNum>
  <w:abstractNum w:abstractNumId="6">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
    <w:nsid w:val="652F8F1B"/>
    <w:multiLevelType w:val="singleLevel"/>
    <w:tmpl w:val="652F8F1B"/>
    <w:lvl w:ilvl="0" w:tentative="0">
      <w:start w:val="2"/>
      <w:numFmt w:val="chineseCounting"/>
      <w:suff w:val="nothing"/>
      <w:lvlText w:val="（%1）"/>
      <w:lvlJc w:val="left"/>
    </w:lvl>
  </w:abstractNum>
  <w:num w:numId="1">
    <w:abstractNumId w:val="6"/>
  </w:num>
  <w:num w:numId="2">
    <w:abstractNumId w:val="0"/>
  </w:num>
  <w:num w:numId="3">
    <w:abstractNumId w:val="2"/>
  </w:num>
  <w:num w:numId="4">
    <w:abstractNumId w:val="5"/>
  </w:num>
  <w:num w:numId="5">
    <w:abstractNumId w:val="3"/>
  </w:num>
  <w:num w:numId="6">
    <w:abstractNumId w:val="1"/>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02401"/>
    <w:rsid w:val="000142FB"/>
    <w:rsid w:val="00017D3E"/>
    <w:rsid w:val="000222C6"/>
    <w:rsid w:val="0002549F"/>
    <w:rsid w:val="000333A5"/>
    <w:rsid w:val="00040C86"/>
    <w:rsid w:val="000468DB"/>
    <w:rsid w:val="000514EB"/>
    <w:rsid w:val="00054801"/>
    <w:rsid w:val="00057742"/>
    <w:rsid w:val="000620D6"/>
    <w:rsid w:val="0006487A"/>
    <w:rsid w:val="00065F8F"/>
    <w:rsid w:val="00070A43"/>
    <w:rsid w:val="000768F2"/>
    <w:rsid w:val="00077C97"/>
    <w:rsid w:val="00085352"/>
    <w:rsid w:val="0009184B"/>
    <w:rsid w:val="00094236"/>
    <w:rsid w:val="000952F1"/>
    <w:rsid w:val="0009593C"/>
    <w:rsid w:val="00097322"/>
    <w:rsid w:val="000A6A92"/>
    <w:rsid w:val="000B047F"/>
    <w:rsid w:val="000B1D1B"/>
    <w:rsid w:val="000B5923"/>
    <w:rsid w:val="000B5A48"/>
    <w:rsid w:val="000B6FF3"/>
    <w:rsid w:val="000B7774"/>
    <w:rsid w:val="000C3467"/>
    <w:rsid w:val="000C3CA6"/>
    <w:rsid w:val="000D1267"/>
    <w:rsid w:val="000D1D50"/>
    <w:rsid w:val="000D214C"/>
    <w:rsid w:val="000D2175"/>
    <w:rsid w:val="000D24AD"/>
    <w:rsid w:val="000D29EF"/>
    <w:rsid w:val="000D5782"/>
    <w:rsid w:val="000E384B"/>
    <w:rsid w:val="000E44C4"/>
    <w:rsid w:val="000E6613"/>
    <w:rsid w:val="000E7119"/>
    <w:rsid w:val="000E7479"/>
    <w:rsid w:val="00114E9B"/>
    <w:rsid w:val="00115EF5"/>
    <w:rsid w:val="00116585"/>
    <w:rsid w:val="00121F3A"/>
    <w:rsid w:val="00132A85"/>
    <w:rsid w:val="00142216"/>
    <w:rsid w:val="00144D6A"/>
    <w:rsid w:val="00145B84"/>
    <w:rsid w:val="001461E9"/>
    <w:rsid w:val="00146DA0"/>
    <w:rsid w:val="0014729F"/>
    <w:rsid w:val="00151553"/>
    <w:rsid w:val="00156036"/>
    <w:rsid w:val="00157BAB"/>
    <w:rsid w:val="001654D1"/>
    <w:rsid w:val="00174518"/>
    <w:rsid w:val="00177DBA"/>
    <w:rsid w:val="0018106D"/>
    <w:rsid w:val="0018467B"/>
    <w:rsid w:val="001869A2"/>
    <w:rsid w:val="001877A7"/>
    <w:rsid w:val="00191536"/>
    <w:rsid w:val="001941F7"/>
    <w:rsid w:val="00194B81"/>
    <w:rsid w:val="00196687"/>
    <w:rsid w:val="001966A0"/>
    <w:rsid w:val="001A6515"/>
    <w:rsid w:val="001B5D1A"/>
    <w:rsid w:val="001B7C92"/>
    <w:rsid w:val="001C0962"/>
    <w:rsid w:val="001C414E"/>
    <w:rsid w:val="001D3997"/>
    <w:rsid w:val="001D3B53"/>
    <w:rsid w:val="001D5FDA"/>
    <w:rsid w:val="001D7531"/>
    <w:rsid w:val="001E3F7A"/>
    <w:rsid w:val="001E737D"/>
    <w:rsid w:val="001F0592"/>
    <w:rsid w:val="001F1253"/>
    <w:rsid w:val="001F7506"/>
    <w:rsid w:val="002006CD"/>
    <w:rsid w:val="00202741"/>
    <w:rsid w:val="00202B36"/>
    <w:rsid w:val="00204B7A"/>
    <w:rsid w:val="00204CDE"/>
    <w:rsid w:val="00205D52"/>
    <w:rsid w:val="00205D9A"/>
    <w:rsid w:val="00207392"/>
    <w:rsid w:val="0021101A"/>
    <w:rsid w:val="00212214"/>
    <w:rsid w:val="0022024D"/>
    <w:rsid w:val="00220536"/>
    <w:rsid w:val="0022527F"/>
    <w:rsid w:val="00230F18"/>
    <w:rsid w:val="00235629"/>
    <w:rsid w:val="002356AD"/>
    <w:rsid w:val="00236778"/>
    <w:rsid w:val="002433DE"/>
    <w:rsid w:val="00250942"/>
    <w:rsid w:val="0025117F"/>
    <w:rsid w:val="00252738"/>
    <w:rsid w:val="00260C38"/>
    <w:rsid w:val="002616C0"/>
    <w:rsid w:val="002636A3"/>
    <w:rsid w:val="00264406"/>
    <w:rsid w:val="00265372"/>
    <w:rsid w:val="002662AA"/>
    <w:rsid w:val="0027096E"/>
    <w:rsid w:val="0027346C"/>
    <w:rsid w:val="0027396A"/>
    <w:rsid w:val="002740C1"/>
    <w:rsid w:val="00280496"/>
    <w:rsid w:val="00294DC9"/>
    <w:rsid w:val="00295495"/>
    <w:rsid w:val="002A06FC"/>
    <w:rsid w:val="002A2306"/>
    <w:rsid w:val="002A31DE"/>
    <w:rsid w:val="002A54A5"/>
    <w:rsid w:val="002A66F7"/>
    <w:rsid w:val="002B2613"/>
    <w:rsid w:val="002B3B2D"/>
    <w:rsid w:val="002B4229"/>
    <w:rsid w:val="002C18EB"/>
    <w:rsid w:val="002D60DC"/>
    <w:rsid w:val="002D6D05"/>
    <w:rsid w:val="002E24EA"/>
    <w:rsid w:val="002E58B7"/>
    <w:rsid w:val="002E7C4B"/>
    <w:rsid w:val="002F1818"/>
    <w:rsid w:val="002F567B"/>
    <w:rsid w:val="003165BB"/>
    <w:rsid w:val="003216A9"/>
    <w:rsid w:val="00327320"/>
    <w:rsid w:val="003330A5"/>
    <w:rsid w:val="00335A74"/>
    <w:rsid w:val="00336CAB"/>
    <w:rsid w:val="00346311"/>
    <w:rsid w:val="00364769"/>
    <w:rsid w:val="0036561B"/>
    <w:rsid w:val="00366A48"/>
    <w:rsid w:val="0037013F"/>
    <w:rsid w:val="00370CC4"/>
    <w:rsid w:val="00373462"/>
    <w:rsid w:val="003772D1"/>
    <w:rsid w:val="00380C92"/>
    <w:rsid w:val="00385CB2"/>
    <w:rsid w:val="003979D0"/>
    <w:rsid w:val="003A1020"/>
    <w:rsid w:val="003A484F"/>
    <w:rsid w:val="003A4883"/>
    <w:rsid w:val="003B0BE0"/>
    <w:rsid w:val="003B0C1B"/>
    <w:rsid w:val="003B28D3"/>
    <w:rsid w:val="003B2AAB"/>
    <w:rsid w:val="003B688C"/>
    <w:rsid w:val="003B7B7C"/>
    <w:rsid w:val="003C0291"/>
    <w:rsid w:val="003C07FD"/>
    <w:rsid w:val="003C2A47"/>
    <w:rsid w:val="003C39AE"/>
    <w:rsid w:val="003C4B0A"/>
    <w:rsid w:val="003C6115"/>
    <w:rsid w:val="003C7B60"/>
    <w:rsid w:val="003D07D3"/>
    <w:rsid w:val="003D0C0F"/>
    <w:rsid w:val="003D1FB2"/>
    <w:rsid w:val="003D66DA"/>
    <w:rsid w:val="003E1310"/>
    <w:rsid w:val="003E2D3F"/>
    <w:rsid w:val="003E670A"/>
    <w:rsid w:val="003E6F55"/>
    <w:rsid w:val="00404B61"/>
    <w:rsid w:val="00406254"/>
    <w:rsid w:val="004223DE"/>
    <w:rsid w:val="00434489"/>
    <w:rsid w:val="00437085"/>
    <w:rsid w:val="00443880"/>
    <w:rsid w:val="00446387"/>
    <w:rsid w:val="004464F4"/>
    <w:rsid w:val="004510A5"/>
    <w:rsid w:val="0045766F"/>
    <w:rsid w:val="00471401"/>
    <w:rsid w:val="00473BE2"/>
    <w:rsid w:val="00473F31"/>
    <w:rsid w:val="004824FE"/>
    <w:rsid w:val="0048263A"/>
    <w:rsid w:val="00487E5D"/>
    <w:rsid w:val="004A711F"/>
    <w:rsid w:val="004B199D"/>
    <w:rsid w:val="004B4690"/>
    <w:rsid w:val="004C4FD4"/>
    <w:rsid w:val="004C7938"/>
    <w:rsid w:val="004D3A82"/>
    <w:rsid w:val="004E0A2D"/>
    <w:rsid w:val="004E206B"/>
    <w:rsid w:val="004E66F9"/>
    <w:rsid w:val="004E6DF7"/>
    <w:rsid w:val="004F0FBD"/>
    <w:rsid w:val="004F35CF"/>
    <w:rsid w:val="00505A47"/>
    <w:rsid w:val="0050782B"/>
    <w:rsid w:val="00512FDA"/>
    <w:rsid w:val="00513319"/>
    <w:rsid w:val="00520DA0"/>
    <w:rsid w:val="00533795"/>
    <w:rsid w:val="0054571F"/>
    <w:rsid w:val="005622E1"/>
    <w:rsid w:val="005664BB"/>
    <w:rsid w:val="0056686A"/>
    <w:rsid w:val="00566FFA"/>
    <w:rsid w:val="00571F38"/>
    <w:rsid w:val="0057481D"/>
    <w:rsid w:val="00580C74"/>
    <w:rsid w:val="0058486E"/>
    <w:rsid w:val="00585B33"/>
    <w:rsid w:val="0059014D"/>
    <w:rsid w:val="005A0A8B"/>
    <w:rsid w:val="005B0A06"/>
    <w:rsid w:val="005B5C64"/>
    <w:rsid w:val="005C5337"/>
    <w:rsid w:val="005C57F5"/>
    <w:rsid w:val="005C6BD0"/>
    <w:rsid w:val="005D1C8B"/>
    <w:rsid w:val="005D468D"/>
    <w:rsid w:val="005D5CED"/>
    <w:rsid w:val="005E4197"/>
    <w:rsid w:val="005F11E4"/>
    <w:rsid w:val="005F1A4C"/>
    <w:rsid w:val="005F2982"/>
    <w:rsid w:val="005F443C"/>
    <w:rsid w:val="00603718"/>
    <w:rsid w:val="00605688"/>
    <w:rsid w:val="006070AF"/>
    <w:rsid w:val="006073D0"/>
    <w:rsid w:val="00607E6C"/>
    <w:rsid w:val="006101B1"/>
    <w:rsid w:val="00614E44"/>
    <w:rsid w:val="00615329"/>
    <w:rsid w:val="0062270A"/>
    <w:rsid w:val="00622830"/>
    <w:rsid w:val="00623DA0"/>
    <w:rsid w:val="00630AEF"/>
    <w:rsid w:val="006325F8"/>
    <w:rsid w:val="00633463"/>
    <w:rsid w:val="00634C9A"/>
    <w:rsid w:val="006371DD"/>
    <w:rsid w:val="00642FBC"/>
    <w:rsid w:val="006440E4"/>
    <w:rsid w:val="0065102F"/>
    <w:rsid w:val="0066343B"/>
    <w:rsid w:val="00664777"/>
    <w:rsid w:val="006654A7"/>
    <w:rsid w:val="006748A4"/>
    <w:rsid w:val="00681A31"/>
    <w:rsid w:val="00683E73"/>
    <w:rsid w:val="00694FE2"/>
    <w:rsid w:val="00695E96"/>
    <w:rsid w:val="00696610"/>
    <w:rsid w:val="006A0142"/>
    <w:rsid w:val="006A3141"/>
    <w:rsid w:val="006A5E34"/>
    <w:rsid w:val="006B2422"/>
    <w:rsid w:val="006B2B9A"/>
    <w:rsid w:val="006B36B2"/>
    <w:rsid w:val="006B77FC"/>
    <w:rsid w:val="006C1937"/>
    <w:rsid w:val="006C641D"/>
    <w:rsid w:val="006D06BB"/>
    <w:rsid w:val="006E6726"/>
    <w:rsid w:val="006E79E0"/>
    <w:rsid w:val="006F020C"/>
    <w:rsid w:val="007127B7"/>
    <w:rsid w:val="00715AE3"/>
    <w:rsid w:val="00716810"/>
    <w:rsid w:val="0071798E"/>
    <w:rsid w:val="00731544"/>
    <w:rsid w:val="00740F2E"/>
    <w:rsid w:val="007416B6"/>
    <w:rsid w:val="00746F48"/>
    <w:rsid w:val="0075404D"/>
    <w:rsid w:val="007540CD"/>
    <w:rsid w:val="0076182A"/>
    <w:rsid w:val="00761A8E"/>
    <w:rsid w:val="00766545"/>
    <w:rsid w:val="00767B7E"/>
    <w:rsid w:val="0077129C"/>
    <w:rsid w:val="007770C3"/>
    <w:rsid w:val="00784D24"/>
    <w:rsid w:val="00785FBA"/>
    <w:rsid w:val="00786E4A"/>
    <w:rsid w:val="007875EB"/>
    <w:rsid w:val="007921E4"/>
    <w:rsid w:val="0079426B"/>
    <w:rsid w:val="007A1394"/>
    <w:rsid w:val="007A3C63"/>
    <w:rsid w:val="007A7E16"/>
    <w:rsid w:val="007B5D76"/>
    <w:rsid w:val="007D1682"/>
    <w:rsid w:val="007D2116"/>
    <w:rsid w:val="007D312A"/>
    <w:rsid w:val="007D3F19"/>
    <w:rsid w:val="007D6462"/>
    <w:rsid w:val="007E23B0"/>
    <w:rsid w:val="007E23E5"/>
    <w:rsid w:val="007E4350"/>
    <w:rsid w:val="007F1991"/>
    <w:rsid w:val="007F2C2F"/>
    <w:rsid w:val="007F55FC"/>
    <w:rsid w:val="007F5665"/>
    <w:rsid w:val="007F6DF9"/>
    <w:rsid w:val="00800112"/>
    <w:rsid w:val="00813348"/>
    <w:rsid w:val="00817BFC"/>
    <w:rsid w:val="00820885"/>
    <w:rsid w:val="0082176D"/>
    <w:rsid w:val="008253BB"/>
    <w:rsid w:val="00827239"/>
    <w:rsid w:val="00836AA2"/>
    <w:rsid w:val="0083706E"/>
    <w:rsid w:val="008373DB"/>
    <w:rsid w:val="008408F6"/>
    <w:rsid w:val="008423A5"/>
    <w:rsid w:val="00845316"/>
    <w:rsid w:val="00850625"/>
    <w:rsid w:val="00853718"/>
    <w:rsid w:val="00855221"/>
    <w:rsid w:val="00860645"/>
    <w:rsid w:val="008619CA"/>
    <w:rsid w:val="008628D2"/>
    <w:rsid w:val="00865268"/>
    <w:rsid w:val="00871F71"/>
    <w:rsid w:val="00872FD8"/>
    <w:rsid w:val="00876ECA"/>
    <w:rsid w:val="00881482"/>
    <w:rsid w:val="00881D57"/>
    <w:rsid w:val="00885AF4"/>
    <w:rsid w:val="008939CD"/>
    <w:rsid w:val="008B74C7"/>
    <w:rsid w:val="008B768C"/>
    <w:rsid w:val="008B7D1A"/>
    <w:rsid w:val="008C4DB1"/>
    <w:rsid w:val="008C4EAF"/>
    <w:rsid w:val="008C5176"/>
    <w:rsid w:val="008C7FD0"/>
    <w:rsid w:val="008E1DE7"/>
    <w:rsid w:val="008E2575"/>
    <w:rsid w:val="008E3E0B"/>
    <w:rsid w:val="008E5B76"/>
    <w:rsid w:val="008E707C"/>
    <w:rsid w:val="008F0E44"/>
    <w:rsid w:val="008F124F"/>
    <w:rsid w:val="008F3F85"/>
    <w:rsid w:val="008F7771"/>
    <w:rsid w:val="00900B08"/>
    <w:rsid w:val="00902155"/>
    <w:rsid w:val="00902FA3"/>
    <w:rsid w:val="00923564"/>
    <w:rsid w:val="0092392E"/>
    <w:rsid w:val="009315F9"/>
    <w:rsid w:val="00932F9B"/>
    <w:rsid w:val="00933499"/>
    <w:rsid w:val="00935C98"/>
    <w:rsid w:val="00946945"/>
    <w:rsid w:val="00951248"/>
    <w:rsid w:val="0095152F"/>
    <w:rsid w:val="00954C49"/>
    <w:rsid w:val="00955E37"/>
    <w:rsid w:val="0097099F"/>
    <w:rsid w:val="00971997"/>
    <w:rsid w:val="00971FFC"/>
    <w:rsid w:val="0098660A"/>
    <w:rsid w:val="009931C3"/>
    <w:rsid w:val="00997BB5"/>
    <w:rsid w:val="009B1C49"/>
    <w:rsid w:val="009B2C43"/>
    <w:rsid w:val="009B4EAE"/>
    <w:rsid w:val="009B5FA3"/>
    <w:rsid w:val="009B7573"/>
    <w:rsid w:val="009C22F4"/>
    <w:rsid w:val="009C2A4B"/>
    <w:rsid w:val="009C2E98"/>
    <w:rsid w:val="009D1B14"/>
    <w:rsid w:val="009D3447"/>
    <w:rsid w:val="009D4711"/>
    <w:rsid w:val="009E1919"/>
    <w:rsid w:val="009F1185"/>
    <w:rsid w:val="009F18CD"/>
    <w:rsid w:val="009F1C99"/>
    <w:rsid w:val="009F2A13"/>
    <w:rsid w:val="009F2CA9"/>
    <w:rsid w:val="009F7527"/>
    <w:rsid w:val="00A04EB0"/>
    <w:rsid w:val="00A13CC1"/>
    <w:rsid w:val="00A16847"/>
    <w:rsid w:val="00A20BE0"/>
    <w:rsid w:val="00A237D8"/>
    <w:rsid w:val="00A268C4"/>
    <w:rsid w:val="00A307CD"/>
    <w:rsid w:val="00A331C8"/>
    <w:rsid w:val="00A40A00"/>
    <w:rsid w:val="00A4142F"/>
    <w:rsid w:val="00A422EB"/>
    <w:rsid w:val="00A45BB7"/>
    <w:rsid w:val="00A527BB"/>
    <w:rsid w:val="00A538FA"/>
    <w:rsid w:val="00A56DF2"/>
    <w:rsid w:val="00A56E6E"/>
    <w:rsid w:val="00A634DD"/>
    <w:rsid w:val="00A67AB5"/>
    <w:rsid w:val="00A733B2"/>
    <w:rsid w:val="00A741C2"/>
    <w:rsid w:val="00A7567B"/>
    <w:rsid w:val="00A80C8C"/>
    <w:rsid w:val="00A9134F"/>
    <w:rsid w:val="00A91760"/>
    <w:rsid w:val="00A93B00"/>
    <w:rsid w:val="00A93C21"/>
    <w:rsid w:val="00A9624A"/>
    <w:rsid w:val="00A970E4"/>
    <w:rsid w:val="00AB515A"/>
    <w:rsid w:val="00AB64C9"/>
    <w:rsid w:val="00AC3C6A"/>
    <w:rsid w:val="00AD5620"/>
    <w:rsid w:val="00AD656B"/>
    <w:rsid w:val="00AD6763"/>
    <w:rsid w:val="00AD7C1B"/>
    <w:rsid w:val="00AE16BA"/>
    <w:rsid w:val="00AE1EBE"/>
    <w:rsid w:val="00AF2114"/>
    <w:rsid w:val="00AF7A06"/>
    <w:rsid w:val="00B03C9D"/>
    <w:rsid w:val="00B0417B"/>
    <w:rsid w:val="00B060AE"/>
    <w:rsid w:val="00B10517"/>
    <w:rsid w:val="00B14E76"/>
    <w:rsid w:val="00B161B8"/>
    <w:rsid w:val="00B2048C"/>
    <w:rsid w:val="00B218B7"/>
    <w:rsid w:val="00B22741"/>
    <w:rsid w:val="00B2611D"/>
    <w:rsid w:val="00B27818"/>
    <w:rsid w:val="00B310B9"/>
    <w:rsid w:val="00B3284D"/>
    <w:rsid w:val="00B32915"/>
    <w:rsid w:val="00B35F3F"/>
    <w:rsid w:val="00B364DD"/>
    <w:rsid w:val="00B36CBB"/>
    <w:rsid w:val="00B425E0"/>
    <w:rsid w:val="00B440AA"/>
    <w:rsid w:val="00B44B70"/>
    <w:rsid w:val="00B53C56"/>
    <w:rsid w:val="00B57DAF"/>
    <w:rsid w:val="00B6127B"/>
    <w:rsid w:val="00B65CCD"/>
    <w:rsid w:val="00B7009F"/>
    <w:rsid w:val="00B76649"/>
    <w:rsid w:val="00B77BEC"/>
    <w:rsid w:val="00B77EA6"/>
    <w:rsid w:val="00B81124"/>
    <w:rsid w:val="00B81598"/>
    <w:rsid w:val="00B841F1"/>
    <w:rsid w:val="00B90A81"/>
    <w:rsid w:val="00B944D6"/>
    <w:rsid w:val="00B94FAC"/>
    <w:rsid w:val="00BA2CEE"/>
    <w:rsid w:val="00BB0CE0"/>
    <w:rsid w:val="00BB4DF0"/>
    <w:rsid w:val="00BB7652"/>
    <w:rsid w:val="00BC289F"/>
    <w:rsid w:val="00BC2D50"/>
    <w:rsid w:val="00BC5361"/>
    <w:rsid w:val="00BC5460"/>
    <w:rsid w:val="00BC6B50"/>
    <w:rsid w:val="00BD0E25"/>
    <w:rsid w:val="00BE083A"/>
    <w:rsid w:val="00BE772A"/>
    <w:rsid w:val="00BF5BD6"/>
    <w:rsid w:val="00BF7727"/>
    <w:rsid w:val="00BF7D47"/>
    <w:rsid w:val="00C01081"/>
    <w:rsid w:val="00C03E31"/>
    <w:rsid w:val="00C04D7F"/>
    <w:rsid w:val="00C2603F"/>
    <w:rsid w:val="00C264FC"/>
    <w:rsid w:val="00C32E72"/>
    <w:rsid w:val="00C33E72"/>
    <w:rsid w:val="00C354B2"/>
    <w:rsid w:val="00C35554"/>
    <w:rsid w:val="00C36B1E"/>
    <w:rsid w:val="00C42709"/>
    <w:rsid w:val="00C438B7"/>
    <w:rsid w:val="00C50A14"/>
    <w:rsid w:val="00C519DB"/>
    <w:rsid w:val="00C533CC"/>
    <w:rsid w:val="00C5751C"/>
    <w:rsid w:val="00C615BC"/>
    <w:rsid w:val="00C61BFC"/>
    <w:rsid w:val="00C62B85"/>
    <w:rsid w:val="00C65438"/>
    <w:rsid w:val="00C73F5C"/>
    <w:rsid w:val="00C84F00"/>
    <w:rsid w:val="00C87B4E"/>
    <w:rsid w:val="00C87FD8"/>
    <w:rsid w:val="00C91381"/>
    <w:rsid w:val="00C91CBB"/>
    <w:rsid w:val="00CB4E70"/>
    <w:rsid w:val="00CC09B6"/>
    <w:rsid w:val="00CC666F"/>
    <w:rsid w:val="00CD1E3F"/>
    <w:rsid w:val="00CE0294"/>
    <w:rsid w:val="00CE44F6"/>
    <w:rsid w:val="00CE49DA"/>
    <w:rsid w:val="00CE7B61"/>
    <w:rsid w:val="00CF2FD5"/>
    <w:rsid w:val="00D00095"/>
    <w:rsid w:val="00D07DB2"/>
    <w:rsid w:val="00D114F0"/>
    <w:rsid w:val="00D14EDF"/>
    <w:rsid w:val="00D20620"/>
    <w:rsid w:val="00D254F7"/>
    <w:rsid w:val="00D26091"/>
    <w:rsid w:val="00D2685C"/>
    <w:rsid w:val="00D34E7C"/>
    <w:rsid w:val="00D35489"/>
    <w:rsid w:val="00D35AE5"/>
    <w:rsid w:val="00D36AFE"/>
    <w:rsid w:val="00D51276"/>
    <w:rsid w:val="00D61440"/>
    <w:rsid w:val="00D61968"/>
    <w:rsid w:val="00D7035F"/>
    <w:rsid w:val="00D76047"/>
    <w:rsid w:val="00D81B82"/>
    <w:rsid w:val="00D86323"/>
    <w:rsid w:val="00D86686"/>
    <w:rsid w:val="00D93618"/>
    <w:rsid w:val="00D94E3E"/>
    <w:rsid w:val="00DA06E7"/>
    <w:rsid w:val="00DA3300"/>
    <w:rsid w:val="00DA634F"/>
    <w:rsid w:val="00DA65AC"/>
    <w:rsid w:val="00DA75D1"/>
    <w:rsid w:val="00DA7926"/>
    <w:rsid w:val="00DB1913"/>
    <w:rsid w:val="00DB2FFD"/>
    <w:rsid w:val="00DB3FCE"/>
    <w:rsid w:val="00DC0595"/>
    <w:rsid w:val="00DC410D"/>
    <w:rsid w:val="00DC5A81"/>
    <w:rsid w:val="00DC6607"/>
    <w:rsid w:val="00DC68CA"/>
    <w:rsid w:val="00DC7CBA"/>
    <w:rsid w:val="00DD0FE5"/>
    <w:rsid w:val="00DD3F32"/>
    <w:rsid w:val="00DD5FD6"/>
    <w:rsid w:val="00DD73B7"/>
    <w:rsid w:val="00DE235A"/>
    <w:rsid w:val="00DF28BC"/>
    <w:rsid w:val="00DF34B9"/>
    <w:rsid w:val="00DF49F1"/>
    <w:rsid w:val="00E01053"/>
    <w:rsid w:val="00E03651"/>
    <w:rsid w:val="00E07ACF"/>
    <w:rsid w:val="00E14061"/>
    <w:rsid w:val="00E331A1"/>
    <w:rsid w:val="00E33202"/>
    <w:rsid w:val="00E336A9"/>
    <w:rsid w:val="00E4486A"/>
    <w:rsid w:val="00E44908"/>
    <w:rsid w:val="00E4508D"/>
    <w:rsid w:val="00E472B1"/>
    <w:rsid w:val="00E50624"/>
    <w:rsid w:val="00E5174E"/>
    <w:rsid w:val="00E559EA"/>
    <w:rsid w:val="00E55BA6"/>
    <w:rsid w:val="00E568DF"/>
    <w:rsid w:val="00E60433"/>
    <w:rsid w:val="00E64269"/>
    <w:rsid w:val="00E64B1A"/>
    <w:rsid w:val="00E65926"/>
    <w:rsid w:val="00E75FB9"/>
    <w:rsid w:val="00E82267"/>
    <w:rsid w:val="00E829F1"/>
    <w:rsid w:val="00E8387B"/>
    <w:rsid w:val="00E853CE"/>
    <w:rsid w:val="00E867B6"/>
    <w:rsid w:val="00E91C62"/>
    <w:rsid w:val="00EA010F"/>
    <w:rsid w:val="00EA4346"/>
    <w:rsid w:val="00EB3812"/>
    <w:rsid w:val="00EB58B3"/>
    <w:rsid w:val="00EB7724"/>
    <w:rsid w:val="00ED1B63"/>
    <w:rsid w:val="00ED228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27D57"/>
    <w:rsid w:val="00F30DA6"/>
    <w:rsid w:val="00F36D8F"/>
    <w:rsid w:val="00F417B1"/>
    <w:rsid w:val="00F45853"/>
    <w:rsid w:val="00F53D19"/>
    <w:rsid w:val="00F602DF"/>
    <w:rsid w:val="00F67502"/>
    <w:rsid w:val="00F735F3"/>
    <w:rsid w:val="00F754A1"/>
    <w:rsid w:val="00F760E8"/>
    <w:rsid w:val="00F81FD9"/>
    <w:rsid w:val="00F841AA"/>
    <w:rsid w:val="00F84A94"/>
    <w:rsid w:val="00F85C2F"/>
    <w:rsid w:val="00F87E96"/>
    <w:rsid w:val="00F960C7"/>
    <w:rsid w:val="00FA23E8"/>
    <w:rsid w:val="00FA3C18"/>
    <w:rsid w:val="00FA75D7"/>
    <w:rsid w:val="00FC1774"/>
    <w:rsid w:val="00FC2594"/>
    <w:rsid w:val="00FC31F3"/>
    <w:rsid w:val="00FC3A2E"/>
    <w:rsid w:val="00FD3CC1"/>
    <w:rsid w:val="00FE2065"/>
    <w:rsid w:val="00FE23D1"/>
    <w:rsid w:val="00FE4233"/>
    <w:rsid w:val="00FE6994"/>
    <w:rsid w:val="00FE7DBD"/>
    <w:rsid w:val="00FF1E02"/>
    <w:rsid w:val="00FF30B4"/>
    <w:rsid w:val="011A20E5"/>
    <w:rsid w:val="011E1670"/>
    <w:rsid w:val="01213F0C"/>
    <w:rsid w:val="015975B8"/>
    <w:rsid w:val="01875A52"/>
    <w:rsid w:val="01BD231F"/>
    <w:rsid w:val="01DF319D"/>
    <w:rsid w:val="01E140E1"/>
    <w:rsid w:val="01FC3D0F"/>
    <w:rsid w:val="02143E91"/>
    <w:rsid w:val="0290249C"/>
    <w:rsid w:val="029537E7"/>
    <w:rsid w:val="030C0790"/>
    <w:rsid w:val="03175139"/>
    <w:rsid w:val="034C187C"/>
    <w:rsid w:val="036637B1"/>
    <w:rsid w:val="038C5836"/>
    <w:rsid w:val="038F1532"/>
    <w:rsid w:val="0393750A"/>
    <w:rsid w:val="03A61F87"/>
    <w:rsid w:val="03D71C4A"/>
    <w:rsid w:val="03F60C0F"/>
    <w:rsid w:val="04356A93"/>
    <w:rsid w:val="043875EF"/>
    <w:rsid w:val="046B7752"/>
    <w:rsid w:val="047C45E0"/>
    <w:rsid w:val="04AA3C26"/>
    <w:rsid w:val="04AA4850"/>
    <w:rsid w:val="04CD27B2"/>
    <w:rsid w:val="04E46B57"/>
    <w:rsid w:val="04EA05DB"/>
    <w:rsid w:val="05041471"/>
    <w:rsid w:val="05694088"/>
    <w:rsid w:val="05731A68"/>
    <w:rsid w:val="058B722A"/>
    <w:rsid w:val="05C719AF"/>
    <w:rsid w:val="06091043"/>
    <w:rsid w:val="06156990"/>
    <w:rsid w:val="061B415C"/>
    <w:rsid w:val="06202670"/>
    <w:rsid w:val="066300BA"/>
    <w:rsid w:val="06687DB7"/>
    <w:rsid w:val="066E0107"/>
    <w:rsid w:val="06B10DCF"/>
    <w:rsid w:val="06B936C8"/>
    <w:rsid w:val="075A5AE9"/>
    <w:rsid w:val="07792DCD"/>
    <w:rsid w:val="07996F6E"/>
    <w:rsid w:val="07BF7549"/>
    <w:rsid w:val="07C71EE8"/>
    <w:rsid w:val="084E661B"/>
    <w:rsid w:val="098B0E80"/>
    <w:rsid w:val="09AB2DB7"/>
    <w:rsid w:val="09DC7AF2"/>
    <w:rsid w:val="09DD58C6"/>
    <w:rsid w:val="0A2032A3"/>
    <w:rsid w:val="0A487EAE"/>
    <w:rsid w:val="0AA11401"/>
    <w:rsid w:val="0AB60AE0"/>
    <w:rsid w:val="0AF521A2"/>
    <w:rsid w:val="0AFA344E"/>
    <w:rsid w:val="0B29016C"/>
    <w:rsid w:val="0B834CA0"/>
    <w:rsid w:val="0BC1467C"/>
    <w:rsid w:val="0BC4242C"/>
    <w:rsid w:val="0BFC6EB7"/>
    <w:rsid w:val="0C1F2128"/>
    <w:rsid w:val="0C3A2C82"/>
    <w:rsid w:val="0C6B4F3C"/>
    <w:rsid w:val="0C9C472A"/>
    <w:rsid w:val="0CDC7F50"/>
    <w:rsid w:val="0CE4554C"/>
    <w:rsid w:val="0CF04B3E"/>
    <w:rsid w:val="0D0E427F"/>
    <w:rsid w:val="0D4320D5"/>
    <w:rsid w:val="0D56BD46"/>
    <w:rsid w:val="0D887EFD"/>
    <w:rsid w:val="0DA40E8E"/>
    <w:rsid w:val="0DCB21EF"/>
    <w:rsid w:val="0DDC2101"/>
    <w:rsid w:val="0DE22268"/>
    <w:rsid w:val="0DFF263D"/>
    <w:rsid w:val="0E5F028F"/>
    <w:rsid w:val="0E896706"/>
    <w:rsid w:val="0EC95A0E"/>
    <w:rsid w:val="0EDE0572"/>
    <w:rsid w:val="0F2F4098"/>
    <w:rsid w:val="0F7F6213"/>
    <w:rsid w:val="0F98263C"/>
    <w:rsid w:val="0FAB6392"/>
    <w:rsid w:val="0FCFBF16"/>
    <w:rsid w:val="0FF15CB1"/>
    <w:rsid w:val="0FF526A8"/>
    <w:rsid w:val="1004357B"/>
    <w:rsid w:val="10055BC2"/>
    <w:rsid w:val="101860EC"/>
    <w:rsid w:val="107B701B"/>
    <w:rsid w:val="107D0A2A"/>
    <w:rsid w:val="1098606F"/>
    <w:rsid w:val="10C055FF"/>
    <w:rsid w:val="10DD02D9"/>
    <w:rsid w:val="10F2170C"/>
    <w:rsid w:val="112F3D05"/>
    <w:rsid w:val="115006E3"/>
    <w:rsid w:val="115B5586"/>
    <w:rsid w:val="118107EC"/>
    <w:rsid w:val="11C116BF"/>
    <w:rsid w:val="11D63B97"/>
    <w:rsid w:val="12337277"/>
    <w:rsid w:val="12A6323E"/>
    <w:rsid w:val="12AC014A"/>
    <w:rsid w:val="12FE7A25"/>
    <w:rsid w:val="13031F7E"/>
    <w:rsid w:val="13426338"/>
    <w:rsid w:val="1393522F"/>
    <w:rsid w:val="13AC1D5C"/>
    <w:rsid w:val="13D50BC4"/>
    <w:rsid w:val="14381386"/>
    <w:rsid w:val="14663CEC"/>
    <w:rsid w:val="14B63F0C"/>
    <w:rsid w:val="14DC3C3F"/>
    <w:rsid w:val="14EA72A0"/>
    <w:rsid w:val="14F01E8D"/>
    <w:rsid w:val="14FD00E8"/>
    <w:rsid w:val="15204D3F"/>
    <w:rsid w:val="15496303"/>
    <w:rsid w:val="1564A534"/>
    <w:rsid w:val="160459CA"/>
    <w:rsid w:val="16861DB4"/>
    <w:rsid w:val="16BB723D"/>
    <w:rsid w:val="16DDD995"/>
    <w:rsid w:val="17671D47"/>
    <w:rsid w:val="17B21CB8"/>
    <w:rsid w:val="17B631A4"/>
    <w:rsid w:val="180147EF"/>
    <w:rsid w:val="18330BA4"/>
    <w:rsid w:val="18BC2B40"/>
    <w:rsid w:val="192034DF"/>
    <w:rsid w:val="193D0EE3"/>
    <w:rsid w:val="195401D6"/>
    <w:rsid w:val="196B40E3"/>
    <w:rsid w:val="198059C0"/>
    <w:rsid w:val="19A97DA9"/>
    <w:rsid w:val="1A3661CE"/>
    <w:rsid w:val="1AFEA57B"/>
    <w:rsid w:val="1B2F47ED"/>
    <w:rsid w:val="1BA21A2A"/>
    <w:rsid w:val="1BB544BE"/>
    <w:rsid w:val="1BC72BB8"/>
    <w:rsid w:val="1BE8440E"/>
    <w:rsid w:val="1C054B6E"/>
    <w:rsid w:val="1C45280D"/>
    <w:rsid w:val="1C7F7A8E"/>
    <w:rsid w:val="1CE91B11"/>
    <w:rsid w:val="1CEF166A"/>
    <w:rsid w:val="1CFF3CAF"/>
    <w:rsid w:val="1D0232BC"/>
    <w:rsid w:val="1D155CEE"/>
    <w:rsid w:val="1D1C68E8"/>
    <w:rsid w:val="1D3A6ECE"/>
    <w:rsid w:val="1D547182"/>
    <w:rsid w:val="1D5B85D3"/>
    <w:rsid w:val="1D714DEF"/>
    <w:rsid w:val="1D7344DC"/>
    <w:rsid w:val="1D782A5E"/>
    <w:rsid w:val="1D8A540F"/>
    <w:rsid w:val="1DC33B41"/>
    <w:rsid w:val="1E510B2E"/>
    <w:rsid w:val="1EFF4176"/>
    <w:rsid w:val="1EFF6F59"/>
    <w:rsid w:val="1FA32591"/>
    <w:rsid w:val="1FAE7380"/>
    <w:rsid w:val="1FB7220E"/>
    <w:rsid w:val="1FBA23C8"/>
    <w:rsid w:val="1FCB796F"/>
    <w:rsid w:val="1FDF6F8A"/>
    <w:rsid w:val="1FE87588"/>
    <w:rsid w:val="1FF35744"/>
    <w:rsid w:val="1FF71EB6"/>
    <w:rsid w:val="1FFFB458"/>
    <w:rsid w:val="2033676D"/>
    <w:rsid w:val="205A54DF"/>
    <w:rsid w:val="20E051A4"/>
    <w:rsid w:val="21335BBD"/>
    <w:rsid w:val="214300C2"/>
    <w:rsid w:val="228A15CB"/>
    <w:rsid w:val="22CF19D0"/>
    <w:rsid w:val="22E05919"/>
    <w:rsid w:val="22FD7A9B"/>
    <w:rsid w:val="23860B96"/>
    <w:rsid w:val="23FBB075"/>
    <w:rsid w:val="240371BF"/>
    <w:rsid w:val="24A35C23"/>
    <w:rsid w:val="24AB0C37"/>
    <w:rsid w:val="24C96555"/>
    <w:rsid w:val="24EF787F"/>
    <w:rsid w:val="25310FA8"/>
    <w:rsid w:val="25B51199"/>
    <w:rsid w:val="25E33ECA"/>
    <w:rsid w:val="25FE0352"/>
    <w:rsid w:val="26326733"/>
    <w:rsid w:val="2671009B"/>
    <w:rsid w:val="26B806EC"/>
    <w:rsid w:val="26BB6A86"/>
    <w:rsid w:val="26E37380"/>
    <w:rsid w:val="271F0AB7"/>
    <w:rsid w:val="27FD1B92"/>
    <w:rsid w:val="27FF06EF"/>
    <w:rsid w:val="28107C45"/>
    <w:rsid w:val="281C0745"/>
    <w:rsid w:val="28A64A48"/>
    <w:rsid w:val="28AC730A"/>
    <w:rsid w:val="28CE32C3"/>
    <w:rsid w:val="28F33D64"/>
    <w:rsid w:val="290E70D2"/>
    <w:rsid w:val="292C3F92"/>
    <w:rsid w:val="29AB57A4"/>
    <w:rsid w:val="29E33C04"/>
    <w:rsid w:val="29F73DBF"/>
    <w:rsid w:val="29FD04D3"/>
    <w:rsid w:val="2A1A7211"/>
    <w:rsid w:val="2A1E279A"/>
    <w:rsid w:val="2A234545"/>
    <w:rsid w:val="2A581179"/>
    <w:rsid w:val="2AFDB3B6"/>
    <w:rsid w:val="2B2B00C1"/>
    <w:rsid w:val="2B8F1FC2"/>
    <w:rsid w:val="2BF3374B"/>
    <w:rsid w:val="2C0D1BD3"/>
    <w:rsid w:val="2C562404"/>
    <w:rsid w:val="2C814131"/>
    <w:rsid w:val="2C8A61B5"/>
    <w:rsid w:val="2CBC3141"/>
    <w:rsid w:val="2D410987"/>
    <w:rsid w:val="2D4D52A4"/>
    <w:rsid w:val="2DE71ADD"/>
    <w:rsid w:val="2DF04E50"/>
    <w:rsid w:val="2E444AF1"/>
    <w:rsid w:val="2EA15B03"/>
    <w:rsid w:val="2EAF3077"/>
    <w:rsid w:val="2F040D46"/>
    <w:rsid w:val="2F333D40"/>
    <w:rsid w:val="2F3C790B"/>
    <w:rsid w:val="2F4E1FEC"/>
    <w:rsid w:val="2F7F1F38"/>
    <w:rsid w:val="2F873A0F"/>
    <w:rsid w:val="2FA77E19"/>
    <w:rsid w:val="2FAB6256"/>
    <w:rsid w:val="2FB12540"/>
    <w:rsid w:val="2FB75ACF"/>
    <w:rsid w:val="2FBD7273"/>
    <w:rsid w:val="2FBF3252"/>
    <w:rsid w:val="30212B15"/>
    <w:rsid w:val="30E22274"/>
    <w:rsid w:val="30FE089D"/>
    <w:rsid w:val="3154250C"/>
    <w:rsid w:val="3163031E"/>
    <w:rsid w:val="316B5BC6"/>
    <w:rsid w:val="318E00F5"/>
    <w:rsid w:val="31983687"/>
    <w:rsid w:val="319B01B0"/>
    <w:rsid w:val="319F7F4E"/>
    <w:rsid w:val="31A54541"/>
    <w:rsid w:val="31CE34CE"/>
    <w:rsid w:val="31FE1E70"/>
    <w:rsid w:val="324A4B76"/>
    <w:rsid w:val="325B3648"/>
    <w:rsid w:val="326B5E3B"/>
    <w:rsid w:val="32A82E21"/>
    <w:rsid w:val="32AD346E"/>
    <w:rsid w:val="3304709D"/>
    <w:rsid w:val="33786E4A"/>
    <w:rsid w:val="33B7CF9C"/>
    <w:rsid w:val="33F22190"/>
    <w:rsid w:val="345E35C8"/>
    <w:rsid w:val="346F5E83"/>
    <w:rsid w:val="3493756D"/>
    <w:rsid w:val="34C074DE"/>
    <w:rsid w:val="34CC7DA0"/>
    <w:rsid w:val="34D0194F"/>
    <w:rsid w:val="357BD832"/>
    <w:rsid w:val="35CE086D"/>
    <w:rsid w:val="35FF6074"/>
    <w:rsid w:val="35FF99FF"/>
    <w:rsid w:val="361772F7"/>
    <w:rsid w:val="36331303"/>
    <w:rsid w:val="363619F0"/>
    <w:rsid w:val="366F65C0"/>
    <w:rsid w:val="36AA5135"/>
    <w:rsid w:val="374E64A9"/>
    <w:rsid w:val="37503F70"/>
    <w:rsid w:val="375D6901"/>
    <w:rsid w:val="375DED03"/>
    <w:rsid w:val="376D39B2"/>
    <w:rsid w:val="37710F51"/>
    <w:rsid w:val="377F48A2"/>
    <w:rsid w:val="379731EA"/>
    <w:rsid w:val="37E16F03"/>
    <w:rsid w:val="37EB29F7"/>
    <w:rsid w:val="37EE1141"/>
    <w:rsid w:val="37F63027"/>
    <w:rsid w:val="37F792B9"/>
    <w:rsid w:val="37F85D5D"/>
    <w:rsid w:val="37F8C045"/>
    <w:rsid w:val="37FDA1B2"/>
    <w:rsid w:val="37FF0AF4"/>
    <w:rsid w:val="37FF8BB0"/>
    <w:rsid w:val="37FFAB89"/>
    <w:rsid w:val="380C0FEB"/>
    <w:rsid w:val="388E3EEE"/>
    <w:rsid w:val="38D469F0"/>
    <w:rsid w:val="38DB3D70"/>
    <w:rsid w:val="391E6ADA"/>
    <w:rsid w:val="39437593"/>
    <w:rsid w:val="399A78D4"/>
    <w:rsid w:val="39A45F89"/>
    <w:rsid w:val="39D01EB8"/>
    <w:rsid w:val="39ED5282"/>
    <w:rsid w:val="3A2C67EB"/>
    <w:rsid w:val="3A632F8F"/>
    <w:rsid w:val="3A66F865"/>
    <w:rsid w:val="3AEC2545"/>
    <w:rsid w:val="3AF55BDE"/>
    <w:rsid w:val="3AFD7246"/>
    <w:rsid w:val="3B055687"/>
    <w:rsid w:val="3BBBD01A"/>
    <w:rsid w:val="3BD39C61"/>
    <w:rsid w:val="3BD45BB9"/>
    <w:rsid w:val="3BE93A70"/>
    <w:rsid w:val="3C2B32D0"/>
    <w:rsid w:val="3C7D1072"/>
    <w:rsid w:val="3C831A01"/>
    <w:rsid w:val="3C8A77BD"/>
    <w:rsid w:val="3CBC141D"/>
    <w:rsid w:val="3CEF07AC"/>
    <w:rsid w:val="3D1647F1"/>
    <w:rsid w:val="3D540672"/>
    <w:rsid w:val="3D7BDAFC"/>
    <w:rsid w:val="3D98207C"/>
    <w:rsid w:val="3DB22928"/>
    <w:rsid w:val="3DC377CF"/>
    <w:rsid w:val="3DCE0F28"/>
    <w:rsid w:val="3DED9A57"/>
    <w:rsid w:val="3DFEAA7E"/>
    <w:rsid w:val="3DFF12FD"/>
    <w:rsid w:val="3DFF4898"/>
    <w:rsid w:val="3E3E51FB"/>
    <w:rsid w:val="3E5E8472"/>
    <w:rsid w:val="3E6A31E9"/>
    <w:rsid w:val="3E6D2F13"/>
    <w:rsid w:val="3E700734"/>
    <w:rsid w:val="3E78745D"/>
    <w:rsid w:val="3E8210E0"/>
    <w:rsid w:val="3ED71B95"/>
    <w:rsid w:val="3EE7DF38"/>
    <w:rsid w:val="3EECCA1A"/>
    <w:rsid w:val="3EF3917B"/>
    <w:rsid w:val="3F2F6EF0"/>
    <w:rsid w:val="3F3CF459"/>
    <w:rsid w:val="3F4BF44D"/>
    <w:rsid w:val="3F5A287E"/>
    <w:rsid w:val="3F6559E3"/>
    <w:rsid w:val="3F6D1B31"/>
    <w:rsid w:val="3F77E862"/>
    <w:rsid w:val="3F7B4A9C"/>
    <w:rsid w:val="3F95DC68"/>
    <w:rsid w:val="3F9778C9"/>
    <w:rsid w:val="3FBB1023"/>
    <w:rsid w:val="3FBE6443"/>
    <w:rsid w:val="3FDEF7FE"/>
    <w:rsid w:val="3FDFAA13"/>
    <w:rsid w:val="3FE61895"/>
    <w:rsid w:val="3FEB8400"/>
    <w:rsid w:val="3FFB6A37"/>
    <w:rsid w:val="3FFF35F5"/>
    <w:rsid w:val="3FFF7BF3"/>
    <w:rsid w:val="3FFF8BFD"/>
    <w:rsid w:val="400B004A"/>
    <w:rsid w:val="40511FA8"/>
    <w:rsid w:val="405E245D"/>
    <w:rsid w:val="40770FDE"/>
    <w:rsid w:val="40C85407"/>
    <w:rsid w:val="410E641A"/>
    <w:rsid w:val="416010DA"/>
    <w:rsid w:val="42080FA4"/>
    <w:rsid w:val="42152966"/>
    <w:rsid w:val="42835CFF"/>
    <w:rsid w:val="43223F8A"/>
    <w:rsid w:val="435B4012"/>
    <w:rsid w:val="436972D3"/>
    <w:rsid w:val="43751293"/>
    <w:rsid w:val="43C0506C"/>
    <w:rsid w:val="43FB74CF"/>
    <w:rsid w:val="440A1FC0"/>
    <w:rsid w:val="443D5F99"/>
    <w:rsid w:val="44540F8A"/>
    <w:rsid w:val="44746E2B"/>
    <w:rsid w:val="44877FEE"/>
    <w:rsid w:val="44BF798B"/>
    <w:rsid w:val="44C66B13"/>
    <w:rsid w:val="44E268DA"/>
    <w:rsid w:val="45170BA3"/>
    <w:rsid w:val="453558E6"/>
    <w:rsid w:val="455F53A4"/>
    <w:rsid w:val="45CB3945"/>
    <w:rsid w:val="45CE192C"/>
    <w:rsid w:val="45FC1DC0"/>
    <w:rsid w:val="46121FD1"/>
    <w:rsid w:val="46256C06"/>
    <w:rsid w:val="462D4E44"/>
    <w:rsid w:val="46622675"/>
    <w:rsid w:val="46696058"/>
    <w:rsid w:val="46AE7881"/>
    <w:rsid w:val="46CC501D"/>
    <w:rsid w:val="46DE794D"/>
    <w:rsid w:val="46E42DAE"/>
    <w:rsid w:val="470C37A4"/>
    <w:rsid w:val="473039B1"/>
    <w:rsid w:val="4747640F"/>
    <w:rsid w:val="474D45A0"/>
    <w:rsid w:val="47B328BF"/>
    <w:rsid w:val="484915A3"/>
    <w:rsid w:val="4892224A"/>
    <w:rsid w:val="489F6E5F"/>
    <w:rsid w:val="493A1512"/>
    <w:rsid w:val="49601E82"/>
    <w:rsid w:val="49E7623A"/>
    <w:rsid w:val="4A114ED6"/>
    <w:rsid w:val="4A303D26"/>
    <w:rsid w:val="4A627F82"/>
    <w:rsid w:val="4A8D79B3"/>
    <w:rsid w:val="4AC43ED9"/>
    <w:rsid w:val="4B0E749A"/>
    <w:rsid w:val="4B4F25DA"/>
    <w:rsid w:val="4B64659B"/>
    <w:rsid w:val="4B763F4E"/>
    <w:rsid w:val="4BBA7ABB"/>
    <w:rsid w:val="4BE068DB"/>
    <w:rsid w:val="4BE69E64"/>
    <w:rsid w:val="4BEF0C13"/>
    <w:rsid w:val="4BF7EA7D"/>
    <w:rsid w:val="4C697E1D"/>
    <w:rsid w:val="4CE41B90"/>
    <w:rsid w:val="4D415758"/>
    <w:rsid w:val="4D577224"/>
    <w:rsid w:val="4DAA5DF8"/>
    <w:rsid w:val="4DBC4B47"/>
    <w:rsid w:val="4DF21A2E"/>
    <w:rsid w:val="4E08292E"/>
    <w:rsid w:val="4E6E087A"/>
    <w:rsid w:val="4E6F7F33"/>
    <w:rsid w:val="4E75662B"/>
    <w:rsid w:val="4E870707"/>
    <w:rsid w:val="4EAB630A"/>
    <w:rsid w:val="4EB11E23"/>
    <w:rsid w:val="4ECD57B0"/>
    <w:rsid w:val="4ECE2238"/>
    <w:rsid w:val="4EDF56D9"/>
    <w:rsid w:val="4EF06AEE"/>
    <w:rsid w:val="4F2C332A"/>
    <w:rsid w:val="4F4F986E"/>
    <w:rsid w:val="4F930F3F"/>
    <w:rsid w:val="4FCFBE02"/>
    <w:rsid w:val="4FF9179E"/>
    <w:rsid w:val="4FFF339C"/>
    <w:rsid w:val="502F1AE4"/>
    <w:rsid w:val="508F110D"/>
    <w:rsid w:val="51132C51"/>
    <w:rsid w:val="51171962"/>
    <w:rsid w:val="513F196A"/>
    <w:rsid w:val="51635167"/>
    <w:rsid w:val="51666AD9"/>
    <w:rsid w:val="516D22AA"/>
    <w:rsid w:val="516E4207"/>
    <w:rsid w:val="5181104C"/>
    <w:rsid w:val="51835721"/>
    <w:rsid w:val="52703070"/>
    <w:rsid w:val="527D6F5F"/>
    <w:rsid w:val="5297792E"/>
    <w:rsid w:val="52C666E5"/>
    <w:rsid w:val="531F66D0"/>
    <w:rsid w:val="534C5D97"/>
    <w:rsid w:val="537E6D0A"/>
    <w:rsid w:val="53D93140"/>
    <w:rsid w:val="54113518"/>
    <w:rsid w:val="54130C53"/>
    <w:rsid w:val="54650417"/>
    <w:rsid w:val="54C57E39"/>
    <w:rsid w:val="556A2DFD"/>
    <w:rsid w:val="556D2ED8"/>
    <w:rsid w:val="55737DAA"/>
    <w:rsid w:val="55DE8932"/>
    <w:rsid w:val="55F01ADA"/>
    <w:rsid w:val="55FE705D"/>
    <w:rsid w:val="55FF2F59"/>
    <w:rsid w:val="5644393F"/>
    <w:rsid w:val="56683EBA"/>
    <w:rsid w:val="56A97DA2"/>
    <w:rsid w:val="56FBB850"/>
    <w:rsid w:val="56FDBD0A"/>
    <w:rsid w:val="571C241B"/>
    <w:rsid w:val="57264FD6"/>
    <w:rsid w:val="575C1A4C"/>
    <w:rsid w:val="57A27E06"/>
    <w:rsid w:val="57A50C03"/>
    <w:rsid w:val="57A7986F"/>
    <w:rsid w:val="57EFBD3D"/>
    <w:rsid w:val="57F72B10"/>
    <w:rsid w:val="582C6F3E"/>
    <w:rsid w:val="58346938"/>
    <w:rsid w:val="58D4745D"/>
    <w:rsid w:val="58EA68E0"/>
    <w:rsid w:val="590152D5"/>
    <w:rsid w:val="5904392B"/>
    <w:rsid w:val="591174E2"/>
    <w:rsid w:val="591319CF"/>
    <w:rsid w:val="59134C0A"/>
    <w:rsid w:val="591E3B2B"/>
    <w:rsid w:val="59481C3C"/>
    <w:rsid w:val="597F2FD5"/>
    <w:rsid w:val="598F0676"/>
    <w:rsid w:val="59AA06BD"/>
    <w:rsid w:val="59D58DAE"/>
    <w:rsid w:val="59E92501"/>
    <w:rsid w:val="5A4A1A6B"/>
    <w:rsid w:val="5A935836"/>
    <w:rsid w:val="5AE20BC0"/>
    <w:rsid w:val="5AF92295"/>
    <w:rsid w:val="5AF9C86F"/>
    <w:rsid w:val="5AFA3863"/>
    <w:rsid w:val="5B112C4F"/>
    <w:rsid w:val="5B9F6A9A"/>
    <w:rsid w:val="5BAD7841"/>
    <w:rsid w:val="5BBF002A"/>
    <w:rsid w:val="5BBFA3BC"/>
    <w:rsid w:val="5BCE7B02"/>
    <w:rsid w:val="5BCE9175"/>
    <w:rsid w:val="5BF364F3"/>
    <w:rsid w:val="5C1064E2"/>
    <w:rsid w:val="5C1819F0"/>
    <w:rsid w:val="5C271EFA"/>
    <w:rsid w:val="5C71637E"/>
    <w:rsid w:val="5C946FD8"/>
    <w:rsid w:val="5CBD6740"/>
    <w:rsid w:val="5CD71FC4"/>
    <w:rsid w:val="5CDF6D99"/>
    <w:rsid w:val="5D023DBD"/>
    <w:rsid w:val="5D19146B"/>
    <w:rsid w:val="5D305721"/>
    <w:rsid w:val="5D5413CC"/>
    <w:rsid w:val="5D6B9D84"/>
    <w:rsid w:val="5D7D5450"/>
    <w:rsid w:val="5D8C4AE3"/>
    <w:rsid w:val="5DC223DB"/>
    <w:rsid w:val="5DCC7A2A"/>
    <w:rsid w:val="5DCE3241"/>
    <w:rsid w:val="5DE76E67"/>
    <w:rsid w:val="5DEE0AC9"/>
    <w:rsid w:val="5DEF6825"/>
    <w:rsid w:val="5E4F4678"/>
    <w:rsid w:val="5E663D62"/>
    <w:rsid w:val="5E740FF3"/>
    <w:rsid w:val="5E77A346"/>
    <w:rsid w:val="5E9425C3"/>
    <w:rsid w:val="5EB7B839"/>
    <w:rsid w:val="5EBF5397"/>
    <w:rsid w:val="5EC55A10"/>
    <w:rsid w:val="5EE3FED0"/>
    <w:rsid w:val="5EFF402C"/>
    <w:rsid w:val="5F1605AA"/>
    <w:rsid w:val="5F2C4CD5"/>
    <w:rsid w:val="5F5E28C9"/>
    <w:rsid w:val="5F78C2C4"/>
    <w:rsid w:val="5F7B4577"/>
    <w:rsid w:val="5F7FE402"/>
    <w:rsid w:val="5F924F5A"/>
    <w:rsid w:val="5F9E48F5"/>
    <w:rsid w:val="5FA8518B"/>
    <w:rsid w:val="5FB6AA3D"/>
    <w:rsid w:val="5FCF35B2"/>
    <w:rsid w:val="5FDFCE05"/>
    <w:rsid w:val="5FE75519"/>
    <w:rsid w:val="5FF366A5"/>
    <w:rsid w:val="5FF73966"/>
    <w:rsid w:val="5FF95075"/>
    <w:rsid w:val="5FFA375B"/>
    <w:rsid w:val="60110BEF"/>
    <w:rsid w:val="60CC6B51"/>
    <w:rsid w:val="6122315A"/>
    <w:rsid w:val="61B729F5"/>
    <w:rsid w:val="61EE69F4"/>
    <w:rsid w:val="61EF3FAB"/>
    <w:rsid w:val="62474C0E"/>
    <w:rsid w:val="6266052D"/>
    <w:rsid w:val="62AA3501"/>
    <w:rsid w:val="63534740"/>
    <w:rsid w:val="637F56FA"/>
    <w:rsid w:val="63996354"/>
    <w:rsid w:val="639F2F6A"/>
    <w:rsid w:val="63A26051"/>
    <w:rsid w:val="63A80BCB"/>
    <w:rsid w:val="63BF6C75"/>
    <w:rsid w:val="63C249E8"/>
    <w:rsid w:val="647510C9"/>
    <w:rsid w:val="64EB15F6"/>
    <w:rsid w:val="650D7DF0"/>
    <w:rsid w:val="651005AE"/>
    <w:rsid w:val="657F66E3"/>
    <w:rsid w:val="65BF688E"/>
    <w:rsid w:val="65F427A3"/>
    <w:rsid w:val="66754D7B"/>
    <w:rsid w:val="6689006C"/>
    <w:rsid w:val="668B42DA"/>
    <w:rsid w:val="66966384"/>
    <w:rsid w:val="66FA07D4"/>
    <w:rsid w:val="67326286"/>
    <w:rsid w:val="675E33F4"/>
    <w:rsid w:val="677700D8"/>
    <w:rsid w:val="67887D69"/>
    <w:rsid w:val="678A777D"/>
    <w:rsid w:val="67BB2F3B"/>
    <w:rsid w:val="67D2393F"/>
    <w:rsid w:val="67F4FCF6"/>
    <w:rsid w:val="67F663CA"/>
    <w:rsid w:val="67FB54C5"/>
    <w:rsid w:val="686F3A3F"/>
    <w:rsid w:val="68A68674"/>
    <w:rsid w:val="68B641BB"/>
    <w:rsid w:val="68C744A9"/>
    <w:rsid w:val="68CD54FD"/>
    <w:rsid w:val="68FC12AF"/>
    <w:rsid w:val="690A005F"/>
    <w:rsid w:val="69C2585E"/>
    <w:rsid w:val="69E7974A"/>
    <w:rsid w:val="69FF7E89"/>
    <w:rsid w:val="6AD6670F"/>
    <w:rsid w:val="6AF13F86"/>
    <w:rsid w:val="6B1C742A"/>
    <w:rsid w:val="6B217846"/>
    <w:rsid w:val="6B280800"/>
    <w:rsid w:val="6B5D2429"/>
    <w:rsid w:val="6BBD3678"/>
    <w:rsid w:val="6BBDC962"/>
    <w:rsid w:val="6BD7139A"/>
    <w:rsid w:val="6BE316C6"/>
    <w:rsid w:val="6BFB0968"/>
    <w:rsid w:val="6BFC2837"/>
    <w:rsid w:val="6C0C5BEC"/>
    <w:rsid w:val="6C3F53F0"/>
    <w:rsid w:val="6C4A05C8"/>
    <w:rsid w:val="6C7101AA"/>
    <w:rsid w:val="6C968806"/>
    <w:rsid w:val="6C9B2C9C"/>
    <w:rsid w:val="6CDC1A37"/>
    <w:rsid w:val="6CE26C74"/>
    <w:rsid w:val="6D3456C4"/>
    <w:rsid w:val="6D7259AF"/>
    <w:rsid w:val="6D9717D1"/>
    <w:rsid w:val="6DB1E638"/>
    <w:rsid w:val="6DBFD897"/>
    <w:rsid w:val="6DCF214C"/>
    <w:rsid w:val="6DFF1F32"/>
    <w:rsid w:val="6E0E080D"/>
    <w:rsid w:val="6E13110C"/>
    <w:rsid w:val="6E1E0589"/>
    <w:rsid w:val="6E39B30E"/>
    <w:rsid w:val="6E6DE096"/>
    <w:rsid w:val="6E775D38"/>
    <w:rsid w:val="6E7E3605"/>
    <w:rsid w:val="6E990E95"/>
    <w:rsid w:val="6EF64F28"/>
    <w:rsid w:val="6F2B1456"/>
    <w:rsid w:val="6F5733B0"/>
    <w:rsid w:val="6F6B1552"/>
    <w:rsid w:val="6F783B04"/>
    <w:rsid w:val="6F7FD124"/>
    <w:rsid w:val="6F9F330B"/>
    <w:rsid w:val="6F9F80C1"/>
    <w:rsid w:val="6FA73CB5"/>
    <w:rsid w:val="6FBF6390"/>
    <w:rsid w:val="6FBFF065"/>
    <w:rsid w:val="6FCFD697"/>
    <w:rsid w:val="6FD5B3C3"/>
    <w:rsid w:val="6FDB629F"/>
    <w:rsid w:val="6FDE4259"/>
    <w:rsid w:val="6FDF1767"/>
    <w:rsid w:val="6FE24E30"/>
    <w:rsid w:val="6FE7269C"/>
    <w:rsid w:val="6FF34E30"/>
    <w:rsid w:val="6FF425D6"/>
    <w:rsid w:val="6FF5CC65"/>
    <w:rsid w:val="6FF7568E"/>
    <w:rsid w:val="6FFB7E24"/>
    <w:rsid w:val="6FFB98D1"/>
    <w:rsid w:val="6FFDF281"/>
    <w:rsid w:val="6FFF8827"/>
    <w:rsid w:val="6FFFA829"/>
    <w:rsid w:val="703734F8"/>
    <w:rsid w:val="703A6F95"/>
    <w:rsid w:val="704F3926"/>
    <w:rsid w:val="707F52AA"/>
    <w:rsid w:val="70F63E57"/>
    <w:rsid w:val="7148624B"/>
    <w:rsid w:val="715C0E4B"/>
    <w:rsid w:val="717D757E"/>
    <w:rsid w:val="71BB19DD"/>
    <w:rsid w:val="71D65096"/>
    <w:rsid w:val="721445B3"/>
    <w:rsid w:val="724406A6"/>
    <w:rsid w:val="7254583C"/>
    <w:rsid w:val="72734D90"/>
    <w:rsid w:val="7291C6D7"/>
    <w:rsid w:val="72A01A3D"/>
    <w:rsid w:val="72C31EF4"/>
    <w:rsid w:val="72F950C4"/>
    <w:rsid w:val="732F23F6"/>
    <w:rsid w:val="736DD5BF"/>
    <w:rsid w:val="739A472C"/>
    <w:rsid w:val="73AD73D5"/>
    <w:rsid w:val="73B6EB34"/>
    <w:rsid w:val="73BCC9EF"/>
    <w:rsid w:val="73FC3403"/>
    <w:rsid w:val="742727D4"/>
    <w:rsid w:val="742E6E11"/>
    <w:rsid w:val="744731E5"/>
    <w:rsid w:val="746946FD"/>
    <w:rsid w:val="74EC6558"/>
    <w:rsid w:val="74FE7EB1"/>
    <w:rsid w:val="751B2AFD"/>
    <w:rsid w:val="75617BA1"/>
    <w:rsid w:val="757207AB"/>
    <w:rsid w:val="75A53C28"/>
    <w:rsid w:val="75CE26C9"/>
    <w:rsid w:val="75D84247"/>
    <w:rsid w:val="75DF79F5"/>
    <w:rsid w:val="75E4571C"/>
    <w:rsid w:val="75EF5CC3"/>
    <w:rsid w:val="76416645"/>
    <w:rsid w:val="76CB5DAD"/>
    <w:rsid w:val="76CE6B12"/>
    <w:rsid w:val="76D9D7CB"/>
    <w:rsid w:val="76DB52BB"/>
    <w:rsid w:val="76E3355F"/>
    <w:rsid w:val="76E57593"/>
    <w:rsid w:val="770512F6"/>
    <w:rsid w:val="770528BE"/>
    <w:rsid w:val="773FCE63"/>
    <w:rsid w:val="776686CB"/>
    <w:rsid w:val="778769C8"/>
    <w:rsid w:val="77A92609"/>
    <w:rsid w:val="77D7B563"/>
    <w:rsid w:val="77DA2CE3"/>
    <w:rsid w:val="77DF2C26"/>
    <w:rsid w:val="77DFEBD3"/>
    <w:rsid w:val="77E54109"/>
    <w:rsid w:val="77E63734"/>
    <w:rsid w:val="77F06DED"/>
    <w:rsid w:val="77F6A663"/>
    <w:rsid w:val="77F8E80B"/>
    <w:rsid w:val="77FCD6B9"/>
    <w:rsid w:val="77FD51AE"/>
    <w:rsid w:val="78270047"/>
    <w:rsid w:val="78A1627A"/>
    <w:rsid w:val="78E2244E"/>
    <w:rsid w:val="78F5594F"/>
    <w:rsid w:val="79305C19"/>
    <w:rsid w:val="79581739"/>
    <w:rsid w:val="79770014"/>
    <w:rsid w:val="797F31A3"/>
    <w:rsid w:val="79A22CD0"/>
    <w:rsid w:val="79BB175C"/>
    <w:rsid w:val="79BF9B46"/>
    <w:rsid w:val="79D75BC3"/>
    <w:rsid w:val="79EE5BA4"/>
    <w:rsid w:val="79FA6691"/>
    <w:rsid w:val="79FF05E5"/>
    <w:rsid w:val="7A0841B2"/>
    <w:rsid w:val="7A17E2A0"/>
    <w:rsid w:val="7A894339"/>
    <w:rsid w:val="7AB2B31F"/>
    <w:rsid w:val="7ADF3841"/>
    <w:rsid w:val="7B3767D0"/>
    <w:rsid w:val="7B47615F"/>
    <w:rsid w:val="7B4FCA53"/>
    <w:rsid w:val="7B57AE49"/>
    <w:rsid w:val="7B5D081B"/>
    <w:rsid w:val="7B6A0504"/>
    <w:rsid w:val="7B9D768B"/>
    <w:rsid w:val="7BA75C65"/>
    <w:rsid w:val="7BAF739A"/>
    <w:rsid w:val="7BB57C1D"/>
    <w:rsid w:val="7BBB3F36"/>
    <w:rsid w:val="7BBFF847"/>
    <w:rsid w:val="7BD417DA"/>
    <w:rsid w:val="7BDB546B"/>
    <w:rsid w:val="7BDF4D9E"/>
    <w:rsid w:val="7BDF78C8"/>
    <w:rsid w:val="7BDFDAC5"/>
    <w:rsid w:val="7BED0376"/>
    <w:rsid w:val="7BF145A0"/>
    <w:rsid w:val="7BFBA097"/>
    <w:rsid w:val="7BFE8DDD"/>
    <w:rsid w:val="7BFFC65E"/>
    <w:rsid w:val="7C273689"/>
    <w:rsid w:val="7C416348"/>
    <w:rsid w:val="7C5F3E22"/>
    <w:rsid w:val="7C724319"/>
    <w:rsid w:val="7C87EEB5"/>
    <w:rsid w:val="7CFAC98A"/>
    <w:rsid w:val="7CFC9D26"/>
    <w:rsid w:val="7D3829B2"/>
    <w:rsid w:val="7D527859"/>
    <w:rsid w:val="7D6273EE"/>
    <w:rsid w:val="7D7C3986"/>
    <w:rsid w:val="7DB80175"/>
    <w:rsid w:val="7DBB24C0"/>
    <w:rsid w:val="7DD5CCCB"/>
    <w:rsid w:val="7DD758D4"/>
    <w:rsid w:val="7DDE8A72"/>
    <w:rsid w:val="7DE3DC54"/>
    <w:rsid w:val="7DF33C96"/>
    <w:rsid w:val="7DF6A941"/>
    <w:rsid w:val="7DF756A7"/>
    <w:rsid w:val="7DF79E5D"/>
    <w:rsid w:val="7DF7AFBB"/>
    <w:rsid w:val="7DFED7E1"/>
    <w:rsid w:val="7DFFC716"/>
    <w:rsid w:val="7E090738"/>
    <w:rsid w:val="7E0E7F17"/>
    <w:rsid w:val="7E1F266E"/>
    <w:rsid w:val="7E6EF9FB"/>
    <w:rsid w:val="7E7F0CFC"/>
    <w:rsid w:val="7EAF377F"/>
    <w:rsid w:val="7EB7FA33"/>
    <w:rsid w:val="7EBBA201"/>
    <w:rsid w:val="7EDBBBF4"/>
    <w:rsid w:val="7EDD411C"/>
    <w:rsid w:val="7EDF4C5F"/>
    <w:rsid w:val="7EEF11D3"/>
    <w:rsid w:val="7EEF1920"/>
    <w:rsid w:val="7EEF85AA"/>
    <w:rsid w:val="7EEFB847"/>
    <w:rsid w:val="7EF65248"/>
    <w:rsid w:val="7EF73AC2"/>
    <w:rsid w:val="7EF76995"/>
    <w:rsid w:val="7EF942E0"/>
    <w:rsid w:val="7EFC130E"/>
    <w:rsid w:val="7EFEC52A"/>
    <w:rsid w:val="7EFFA5E8"/>
    <w:rsid w:val="7EFFC415"/>
    <w:rsid w:val="7EFFC767"/>
    <w:rsid w:val="7F012495"/>
    <w:rsid w:val="7F3E422A"/>
    <w:rsid w:val="7F3F6AA5"/>
    <w:rsid w:val="7F5544D3"/>
    <w:rsid w:val="7F57DDC0"/>
    <w:rsid w:val="7F6A353E"/>
    <w:rsid w:val="7F6FD96D"/>
    <w:rsid w:val="7F77B8F2"/>
    <w:rsid w:val="7F7852F4"/>
    <w:rsid w:val="7F79BA31"/>
    <w:rsid w:val="7F7DB8BD"/>
    <w:rsid w:val="7F7F8B2D"/>
    <w:rsid w:val="7F7F9C31"/>
    <w:rsid w:val="7F7FC27E"/>
    <w:rsid w:val="7F8F4650"/>
    <w:rsid w:val="7F998B7F"/>
    <w:rsid w:val="7F9BFA84"/>
    <w:rsid w:val="7F9FBA95"/>
    <w:rsid w:val="7FA30C79"/>
    <w:rsid w:val="7FAC4A9A"/>
    <w:rsid w:val="7FADC0FF"/>
    <w:rsid w:val="7FB3E98B"/>
    <w:rsid w:val="7FB53F55"/>
    <w:rsid w:val="7FB7269E"/>
    <w:rsid w:val="7FC6BC12"/>
    <w:rsid w:val="7FC96657"/>
    <w:rsid w:val="7FCB9B18"/>
    <w:rsid w:val="7FD40696"/>
    <w:rsid w:val="7FD7048F"/>
    <w:rsid w:val="7FD77C29"/>
    <w:rsid w:val="7FD78819"/>
    <w:rsid w:val="7FDBB208"/>
    <w:rsid w:val="7FDC153B"/>
    <w:rsid w:val="7FDDE212"/>
    <w:rsid w:val="7FDE63DC"/>
    <w:rsid w:val="7FDF2965"/>
    <w:rsid w:val="7FDF4993"/>
    <w:rsid w:val="7FE03407"/>
    <w:rsid w:val="7FE7551E"/>
    <w:rsid w:val="7FE91F3E"/>
    <w:rsid w:val="7FE948D5"/>
    <w:rsid w:val="7FEAA581"/>
    <w:rsid w:val="7FEF112C"/>
    <w:rsid w:val="7FEF9EDE"/>
    <w:rsid w:val="7FEFA3FF"/>
    <w:rsid w:val="7FF23005"/>
    <w:rsid w:val="7FF63F16"/>
    <w:rsid w:val="7FFB07E0"/>
    <w:rsid w:val="7FFD6043"/>
    <w:rsid w:val="7FFDE986"/>
    <w:rsid w:val="7FFDF8B5"/>
    <w:rsid w:val="7FFE56B1"/>
    <w:rsid w:val="7FFEE141"/>
    <w:rsid w:val="7FFF0B0A"/>
    <w:rsid w:val="7FFF5829"/>
    <w:rsid w:val="7FFF74CF"/>
    <w:rsid w:val="7FFFCE7E"/>
    <w:rsid w:val="87EB49EE"/>
    <w:rsid w:val="87F7A78F"/>
    <w:rsid w:val="87FB94D6"/>
    <w:rsid w:val="8BEF7606"/>
    <w:rsid w:val="8F774B0D"/>
    <w:rsid w:val="9AFD451A"/>
    <w:rsid w:val="9BF4C51C"/>
    <w:rsid w:val="9DF7D5E7"/>
    <w:rsid w:val="9EAE31A4"/>
    <w:rsid w:val="9EFF875F"/>
    <w:rsid w:val="9F743407"/>
    <w:rsid w:val="9F7FAA40"/>
    <w:rsid w:val="9FAE257A"/>
    <w:rsid w:val="9FF4314A"/>
    <w:rsid w:val="9FFD7970"/>
    <w:rsid w:val="9FFE21AB"/>
    <w:rsid w:val="A3BF3119"/>
    <w:rsid w:val="A3BFE78C"/>
    <w:rsid w:val="A47FFF00"/>
    <w:rsid w:val="A4FF64EF"/>
    <w:rsid w:val="A79B347B"/>
    <w:rsid w:val="A7FFEA40"/>
    <w:rsid w:val="A8E224F9"/>
    <w:rsid w:val="AAB35B5C"/>
    <w:rsid w:val="AE78D71B"/>
    <w:rsid w:val="AEEF8FA3"/>
    <w:rsid w:val="AEF9D5F6"/>
    <w:rsid w:val="AEFBC3D5"/>
    <w:rsid w:val="AEFD90DD"/>
    <w:rsid w:val="AF2B3391"/>
    <w:rsid w:val="AF373EE0"/>
    <w:rsid w:val="AF663B18"/>
    <w:rsid w:val="AFC58493"/>
    <w:rsid w:val="AFDEFD84"/>
    <w:rsid w:val="AFDFC022"/>
    <w:rsid w:val="AFE79A74"/>
    <w:rsid w:val="AFF939EC"/>
    <w:rsid w:val="AFFB8665"/>
    <w:rsid w:val="AFFFEA04"/>
    <w:rsid w:val="B0DFEA44"/>
    <w:rsid w:val="B2BD962E"/>
    <w:rsid w:val="B2F993C7"/>
    <w:rsid w:val="B3FF6D16"/>
    <w:rsid w:val="B4EFC594"/>
    <w:rsid w:val="B4FBF990"/>
    <w:rsid w:val="B56FC504"/>
    <w:rsid w:val="B5EFC7F1"/>
    <w:rsid w:val="B5FF6E73"/>
    <w:rsid w:val="B5FFCD8F"/>
    <w:rsid w:val="B677EDE5"/>
    <w:rsid w:val="B692E9F8"/>
    <w:rsid w:val="B6E8AC28"/>
    <w:rsid w:val="B7DF1FD5"/>
    <w:rsid w:val="B7F700E4"/>
    <w:rsid w:val="B7FF5538"/>
    <w:rsid w:val="B7FF6449"/>
    <w:rsid w:val="B8DD43D5"/>
    <w:rsid w:val="B9FFE633"/>
    <w:rsid w:val="BB5F222C"/>
    <w:rsid w:val="BBF3F7F2"/>
    <w:rsid w:val="BBFF534E"/>
    <w:rsid w:val="BBFF9835"/>
    <w:rsid w:val="BCEF0FC8"/>
    <w:rsid w:val="BCFDEAA0"/>
    <w:rsid w:val="BDEE2D4C"/>
    <w:rsid w:val="BDFBCFEB"/>
    <w:rsid w:val="BE75DE7E"/>
    <w:rsid w:val="BEFCFA2E"/>
    <w:rsid w:val="BF5FF4F7"/>
    <w:rsid w:val="BF6D3531"/>
    <w:rsid w:val="BF7B928D"/>
    <w:rsid w:val="BF9D5BB9"/>
    <w:rsid w:val="BFB4E194"/>
    <w:rsid w:val="BFBE4C74"/>
    <w:rsid w:val="BFD982F0"/>
    <w:rsid w:val="BFD9DB4F"/>
    <w:rsid w:val="BFEE5596"/>
    <w:rsid w:val="BFFEAA31"/>
    <w:rsid w:val="BFFF80FD"/>
    <w:rsid w:val="C527EBEF"/>
    <w:rsid w:val="C6FF0452"/>
    <w:rsid w:val="C977AAA4"/>
    <w:rsid w:val="C9BE2630"/>
    <w:rsid w:val="CB7BFCA9"/>
    <w:rsid w:val="CBD4C9BC"/>
    <w:rsid w:val="CBE6905C"/>
    <w:rsid w:val="CBF34B4C"/>
    <w:rsid w:val="CC7DFDFA"/>
    <w:rsid w:val="CFEF1F02"/>
    <w:rsid w:val="CFFF9568"/>
    <w:rsid w:val="CFFFD764"/>
    <w:rsid w:val="D0F94010"/>
    <w:rsid w:val="D0FE1E64"/>
    <w:rsid w:val="D3B27F0A"/>
    <w:rsid w:val="D3F3C884"/>
    <w:rsid w:val="D5F7E257"/>
    <w:rsid w:val="D5FD17ED"/>
    <w:rsid w:val="D6FAFC7E"/>
    <w:rsid w:val="D6FFFBF0"/>
    <w:rsid w:val="D71DEB10"/>
    <w:rsid w:val="D770A0E3"/>
    <w:rsid w:val="D7B638D0"/>
    <w:rsid w:val="D7BBD102"/>
    <w:rsid w:val="D7BDC8B6"/>
    <w:rsid w:val="D7D74C44"/>
    <w:rsid w:val="D7FECCAF"/>
    <w:rsid w:val="D87B5B89"/>
    <w:rsid w:val="D8D6DB89"/>
    <w:rsid w:val="DA7B329E"/>
    <w:rsid w:val="DACFBD4F"/>
    <w:rsid w:val="DB3DB84D"/>
    <w:rsid w:val="DB6DC8F7"/>
    <w:rsid w:val="DB6F4CAB"/>
    <w:rsid w:val="DBB1847D"/>
    <w:rsid w:val="DBBE9012"/>
    <w:rsid w:val="DBFF974C"/>
    <w:rsid w:val="DCFB5D05"/>
    <w:rsid w:val="DD3EEA39"/>
    <w:rsid w:val="DD6724EE"/>
    <w:rsid w:val="DDBF8C5B"/>
    <w:rsid w:val="DDD79BCF"/>
    <w:rsid w:val="DDF3DBA7"/>
    <w:rsid w:val="DDF6FACE"/>
    <w:rsid w:val="DEC7327C"/>
    <w:rsid w:val="DEEC985C"/>
    <w:rsid w:val="DEF7CF60"/>
    <w:rsid w:val="DEFB853B"/>
    <w:rsid w:val="DEFE1DBB"/>
    <w:rsid w:val="DF4F4698"/>
    <w:rsid w:val="DF6F9789"/>
    <w:rsid w:val="DF73B97A"/>
    <w:rsid w:val="DF7A4058"/>
    <w:rsid w:val="DF9CDC28"/>
    <w:rsid w:val="DF9EA65E"/>
    <w:rsid w:val="DFDFEE93"/>
    <w:rsid w:val="DFEEA648"/>
    <w:rsid w:val="DFF36454"/>
    <w:rsid w:val="DFFA9B73"/>
    <w:rsid w:val="DFFBBD37"/>
    <w:rsid w:val="DFFF4540"/>
    <w:rsid w:val="DFFF8955"/>
    <w:rsid w:val="DFFF95A1"/>
    <w:rsid w:val="DFFFEA63"/>
    <w:rsid w:val="E47E8DE9"/>
    <w:rsid w:val="E4F34F84"/>
    <w:rsid w:val="E57EA9F3"/>
    <w:rsid w:val="E5B7CE62"/>
    <w:rsid w:val="E5C8F801"/>
    <w:rsid w:val="E6A351CC"/>
    <w:rsid w:val="E6E7F13D"/>
    <w:rsid w:val="E7B7B265"/>
    <w:rsid w:val="E7BDABE4"/>
    <w:rsid w:val="E7D7D0E9"/>
    <w:rsid w:val="E7E3B1DD"/>
    <w:rsid w:val="E7EA6D7E"/>
    <w:rsid w:val="E7F75469"/>
    <w:rsid w:val="E7FFC290"/>
    <w:rsid w:val="E9F78AA1"/>
    <w:rsid w:val="EAFF2D18"/>
    <w:rsid w:val="EB5FB36A"/>
    <w:rsid w:val="EBF1ECD8"/>
    <w:rsid w:val="EBF7D10A"/>
    <w:rsid w:val="ED7A8180"/>
    <w:rsid w:val="ED7E6AAC"/>
    <w:rsid w:val="EDBE47B2"/>
    <w:rsid w:val="EDF1545F"/>
    <w:rsid w:val="EDF7A99D"/>
    <w:rsid w:val="EDFBE650"/>
    <w:rsid w:val="EDFD8C00"/>
    <w:rsid w:val="EDFF768B"/>
    <w:rsid w:val="EEBD0141"/>
    <w:rsid w:val="EED4E1EC"/>
    <w:rsid w:val="EEFF235E"/>
    <w:rsid w:val="EF77614F"/>
    <w:rsid w:val="EF7CB3FE"/>
    <w:rsid w:val="EF7F476C"/>
    <w:rsid w:val="EFAB1D2B"/>
    <w:rsid w:val="EFBC480E"/>
    <w:rsid w:val="EFBF10DA"/>
    <w:rsid w:val="EFBF9990"/>
    <w:rsid w:val="EFE50525"/>
    <w:rsid w:val="EFE94DB6"/>
    <w:rsid w:val="EFFB097D"/>
    <w:rsid w:val="EFFC85FA"/>
    <w:rsid w:val="EFFF15A9"/>
    <w:rsid w:val="EFFF1D28"/>
    <w:rsid w:val="EFFFEDF7"/>
    <w:rsid w:val="F1A27A15"/>
    <w:rsid w:val="F256B9A9"/>
    <w:rsid w:val="F3BE4D6C"/>
    <w:rsid w:val="F3DF2074"/>
    <w:rsid w:val="F45282F1"/>
    <w:rsid w:val="F47969A5"/>
    <w:rsid w:val="F4BDEF4F"/>
    <w:rsid w:val="F55D7873"/>
    <w:rsid w:val="F57F789C"/>
    <w:rsid w:val="F597ABBB"/>
    <w:rsid w:val="F5DB01AF"/>
    <w:rsid w:val="F5DF7B29"/>
    <w:rsid w:val="F5FBD887"/>
    <w:rsid w:val="F5FF2D36"/>
    <w:rsid w:val="F5FFC7D6"/>
    <w:rsid w:val="F6CB714A"/>
    <w:rsid w:val="F6EFD210"/>
    <w:rsid w:val="F6F5E21C"/>
    <w:rsid w:val="F6FFDD47"/>
    <w:rsid w:val="F75FE00B"/>
    <w:rsid w:val="F7BF30DD"/>
    <w:rsid w:val="F7CF9723"/>
    <w:rsid w:val="F7DFF275"/>
    <w:rsid w:val="F7E0A439"/>
    <w:rsid w:val="F7F53574"/>
    <w:rsid w:val="F7FB7DD6"/>
    <w:rsid w:val="F7FBA725"/>
    <w:rsid w:val="F7FF3C8F"/>
    <w:rsid w:val="F7FFCD4D"/>
    <w:rsid w:val="F7FFF44A"/>
    <w:rsid w:val="F875EB84"/>
    <w:rsid w:val="F8EE2550"/>
    <w:rsid w:val="F9556545"/>
    <w:rsid w:val="F95755B2"/>
    <w:rsid w:val="F9D723B5"/>
    <w:rsid w:val="F9D8CA40"/>
    <w:rsid w:val="F9EE55C8"/>
    <w:rsid w:val="F9F767B1"/>
    <w:rsid w:val="F9FFEF41"/>
    <w:rsid w:val="FA6E2312"/>
    <w:rsid w:val="FA7A037A"/>
    <w:rsid w:val="FAAF000B"/>
    <w:rsid w:val="FAAF5D40"/>
    <w:rsid w:val="FABFF92F"/>
    <w:rsid w:val="FAD04618"/>
    <w:rsid w:val="FAF8C33F"/>
    <w:rsid w:val="FAFB0C73"/>
    <w:rsid w:val="FAFB4AFB"/>
    <w:rsid w:val="FB0B1BFA"/>
    <w:rsid w:val="FB33634F"/>
    <w:rsid w:val="FB337976"/>
    <w:rsid w:val="FB389A31"/>
    <w:rsid w:val="FB5DB6BC"/>
    <w:rsid w:val="FBBBECCC"/>
    <w:rsid w:val="FBDD4F5C"/>
    <w:rsid w:val="FBDDE803"/>
    <w:rsid w:val="FBEE9ABB"/>
    <w:rsid w:val="FBEF2F3D"/>
    <w:rsid w:val="FBF6E2A1"/>
    <w:rsid w:val="FBFDF104"/>
    <w:rsid w:val="FCBC4EBD"/>
    <w:rsid w:val="FCD3368B"/>
    <w:rsid w:val="FCEC58E5"/>
    <w:rsid w:val="FCED5FD6"/>
    <w:rsid w:val="FCFE59CB"/>
    <w:rsid w:val="FCFF6799"/>
    <w:rsid w:val="FD19AF12"/>
    <w:rsid w:val="FD2A68C0"/>
    <w:rsid w:val="FD97D52B"/>
    <w:rsid w:val="FDB371AC"/>
    <w:rsid w:val="FDEDCC6E"/>
    <w:rsid w:val="FDEFF826"/>
    <w:rsid w:val="FDF3B199"/>
    <w:rsid w:val="FDF50421"/>
    <w:rsid w:val="FDFC807F"/>
    <w:rsid w:val="FDFD1E32"/>
    <w:rsid w:val="FDFD87D2"/>
    <w:rsid w:val="FE1D4BD5"/>
    <w:rsid w:val="FE5F43C6"/>
    <w:rsid w:val="FE5F7666"/>
    <w:rsid w:val="FE76CFBC"/>
    <w:rsid w:val="FE7ECA82"/>
    <w:rsid w:val="FE9BBA03"/>
    <w:rsid w:val="FEAF4783"/>
    <w:rsid w:val="FEDB589A"/>
    <w:rsid w:val="FEDBCDA7"/>
    <w:rsid w:val="FEEBCE50"/>
    <w:rsid w:val="FEF7107A"/>
    <w:rsid w:val="FEFF0CB7"/>
    <w:rsid w:val="FEFF6B49"/>
    <w:rsid w:val="FF173C19"/>
    <w:rsid w:val="FF368EF1"/>
    <w:rsid w:val="FF3F8A28"/>
    <w:rsid w:val="FF4C654C"/>
    <w:rsid w:val="FF5BDEC4"/>
    <w:rsid w:val="FF5FE43E"/>
    <w:rsid w:val="FF6C3000"/>
    <w:rsid w:val="FF7C7EE4"/>
    <w:rsid w:val="FF7ED7F0"/>
    <w:rsid w:val="FF7FDCD1"/>
    <w:rsid w:val="FF8FBA56"/>
    <w:rsid w:val="FF9C0B89"/>
    <w:rsid w:val="FF9D6323"/>
    <w:rsid w:val="FF9F0860"/>
    <w:rsid w:val="FFAFD49E"/>
    <w:rsid w:val="FFB29131"/>
    <w:rsid w:val="FFBF6AB1"/>
    <w:rsid w:val="FFC73052"/>
    <w:rsid w:val="FFC7556A"/>
    <w:rsid w:val="FFCB1C41"/>
    <w:rsid w:val="FFCD630B"/>
    <w:rsid w:val="FFCFD342"/>
    <w:rsid w:val="FFD3BE56"/>
    <w:rsid w:val="FFDC22F1"/>
    <w:rsid w:val="FFDD0C90"/>
    <w:rsid w:val="FFDD2EBC"/>
    <w:rsid w:val="FFDE5257"/>
    <w:rsid w:val="FFDFEB4A"/>
    <w:rsid w:val="FFEA274F"/>
    <w:rsid w:val="FFEB1D1E"/>
    <w:rsid w:val="FFEBE44A"/>
    <w:rsid w:val="FFEF58D4"/>
    <w:rsid w:val="FFEF8093"/>
    <w:rsid w:val="FFEFCD33"/>
    <w:rsid w:val="FFEFD902"/>
    <w:rsid w:val="FFF35211"/>
    <w:rsid w:val="FFF3D16F"/>
    <w:rsid w:val="FFF931CE"/>
    <w:rsid w:val="FFFB256E"/>
    <w:rsid w:val="FFFBC1FC"/>
    <w:rsid w:val="FFFBDCAF"/>
    <w:rsid w:val="FFFBDD5A"/>
    <w:rsid w:val="FFFDA3C5"/>
    <w:rsid w:val="FFFDCB94"/>
    <w:rsid w:val="FFFDCE17"/>
    <w:rsid w:val="FFFF137C"/>
    <w:rsid w:val="FFFF43DC"/>
    <w:rsid w:val="FFFF637D"/>
    <w:rsid w:val="FFFF9CA1"/>
    <w:rsid w:val="FFFFCDB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99"/>
    <w:rPr>
      <w:rFonts w:ascii="宋体" w:hAnsi="Courier New"/>
    </w:rPr>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ody Text Indent 2"/>
    <w:basedOn w:val="1"/>
    <w:unhideWhenUsed/>
    <w:qFormat/>
    <w:uiPriority w:val="99"/>
    <w:pPr>
      <w:spacing w:after="120" w:line="480" w:lineRule="auto"/>
      <w:ind w:left="420" w:leftChars="200"/>
    </w:pPr>
  </w:style>
  <w:style w:type="paragraph" w:styleId="10">
    <w:name w:val="Balloon Text"/>
    <w:basedOn w:val="1"/>
    <w:link w:val="32"/>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8">
    <w:name w:val="列出段落1"/>
    <w:basedOn w:val="1"/>
    <w:qFormat/>
    <w:uiPriority w:val="34"/>
    <w:pPr>
      <w:ind w:firstLine="420" w:firstLineChars="200"/>
    </w:pPr>
  </w:style>
  <w:style w:type="character" w:customStyle="1" w:styleId="29">
    <w:name w:val="标题 1 Char"/>
    <w:basedOn w:val="17"/>
    <w:link w:val="3"/>
    <w:qFormat/>
    <w:uiPriority w:val="9"/>
    <w:rPr>
      <w:rFonts w:ascii="Times New Roman" w:hAnsi="Times New Roman"/>
      <w:b/>
      <w:bCs/>
      <w:kern w:val="44"/>
      <w:sz w:val="44"/>
      <w:szCs w:val="44"/>
    </w:rPr>
  </w:style>
  <w:style w:type="character" w:customStyle="1" w:styleId="30">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批注框文本 Char"/>
    <w:basedOn w:val="17"/>
    <w:link w:val="10"/>
    <w:semiHidden/>
    <w:qFormat/>
    <w:uiPriority w:val="99"/>
    <w:rPr>
      <w:rFonts w:ascii="Times New Roman" w:hAnsi="Times New Roman"/>
      <w:kern w:val="2"/>
      <w:sz w:val="18"/>
      <w:szCs w:val="18"/>
    </w:rPr>
  </w:style>
  <w:style w:type="character" w:customStyle="1" w:styleId="33">
    <w:name w:val="标题 3 Char"/>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character" w:customStyle="1" w:styleId="36">
    <w:name w:val="NormalCharacter"/>
    <w:qFormat/>
    <w:uiPriority w:val="0"/>
  </w:style>
  <w:style w:type="paragraph" w:customStyle="1" w:styleId="37">
    <w:name w:val="列出段落2"/>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3" Type="http://schemas.openxmlformats.org/officeDocument/2006/relationships/fontTable" Target="fontTable.xml"/><Relationship Id="rId52" Type="http://schemas.openxmlformats.org/officeDocument/2006/relationships/numbering" Target="numbering.xml"/><Relationship Id="rId51" Type="http://schemas.openxmlformats.org/officeDocument/2006/relationships/customXml" Target="../customXml/item1.xml"/><Relationship Id="rId50" Type="http://schemas.openxmlformats.org/officeDocument/2006/relationships/image" Target="media/image33.wmf"/><Relationship Id="rId5" Type="http://schemas.openxmlformats.org/officeDocument/2006/relationships/footer" Target="footer2.xml"/><Relationship Id="rId49" Type="http://schemas.openxmlformats.org/officeDocument/2006/relationships/image" Target="media/image32.wmf"/><Relationship Id="rId48" Type="http://schemas.openxmlformats.org/officeDocument/2006/relationships/image" Target="media/image31.wmf"/><Relationship Id="rId47" Type="http://schemas.openxmlformats.org/officeDocument/2006/relationships/image" Target="media/image30.wmf"/><Relationship Id="rId46" Type="http://schemas.openxmlformats.org/officeDocument/2006/relationships/image" Target="media/image29.wmf"/><Relationship Id="rId45" Type="http://schemas.openxmlformats.org/officeDocument/2006/relationships/image" Target="media/image28.wmf"/><Relationship Id="rId44" Type="http://schemas.openxmlformats.org/officeDocument/2006/relationships/image" Target="media/image27.wmf"/><Relationship Id="rId43" Type="http://schemas.openxmlformats.org/officeDocument/2006/relationships/image" Target="media/image26.wmf"/><Relationship Id="rId42" Type="http://schemas.openxmlformats.org/officeDocument/2006/relationships/image" Target="media/image25.wmf"/><Relationship Id="rId41" Type="http://schemas.openxmlformats.org/officeDocument/2006/relationships/image" Target="media/image24.wmf"/><Relationship Id="rId40" Type="http://schemas.openxmlformats.org/officeDocument/2006/relationships/image" Target="media/image23.wmf"/><Relationship Id="rId4" Type="http://schemas.openxmlformats.org/officeDocument/2006/relationships/footer" Target="footer1.xml"/><Relationship Id="rId39" Type="http://schemas.openxmlformats.org/officeDocument/2006/relationships/image" Target="media/image22.wmf"/><Relationship Id="rId38" Type="http://schemas.openxmlformats.org/officeDocument/2006/relationships/image" Target="media/image21.wmf"/><Relationship Id="rId37" Type="http://schemas.openxmlformats.org/officeDocument/2006/relationships/image" Target="media/image20.wmf"/><Relationship Id="rId36" Type="http://schemas.openxmlformats.org/officeDocument/2006/relationships/image" Target="media/image19.wmf"/><Relationship Id="rId35" Type="http://schemas.openxmlformats.org/officeDocument/2006/relationships/image" Target="media/image18.wmf"/><Relationship Id="rId34" Type="http://schemas.openxmlformats.org/officeDocument/2006/relationships/image" Target="media/image17.wmf"/><Relationship Id="rId33" Type="http://schemas.openxmlformats.org/officeDocument/2006/relationships/image" Target="media/image16.wmf"/><Relationship Id="rId32" Type="http://schemas.openxmlformats.org/officeDocument/2006/relationships/image" Target="media/image15.wmf"/><Relationship Id="rId31" Type="http://schemas.openxmlformats.org/officeDocument/2006/relationships/image" Target="media/image14.wmf"/><Relationship Id="rId30" Type="http://schemas.openxmlformats.org/officeDocument/2006/relationships/image" Target="media/image13.wmf"/><Relationship Id="rId3" Type="http://schemas.openxmlformats.org/officeDocument/2006/relationships/header" Target="header1.xml"/><Relationship Id="rId29" Type="http://schemas.openxmlformats.org/officeDocument/2006/relationships/image" Target="media/image12.wmf"/><Relationship Id="rId28" Type="http://schemas.openxmlformats.org/officeDocument/2006/relationships/image" Target="media/image11.wmf"/><Relationship Id="rId27" Type="http://schemas.openxmlformats.org/officeDocument/2006/relationships/image" Target="media/image10.wmf"/><Relationship Id="rId26" Type="http://schemas.openxmlformats.org/officeDocument/2006/relationships/image" Target="media/image9.wmf"/><Relationship Id="rId25" Type="http://schemas.openxmlformats.org/officeDocument/2006/relationships/image" Target="media/image8.wmf"/><Relationship Id="rId24" Type="http://schemas.openxmlformats.org/officeDocument/2006/relationships/image" Target="media/image7.wmf"/><Relationship Id="rId23" Type="http://schemas.openxmlformats.org/officeDocument/2006/relationships/image" Target="media/image6.wmf"/><Relationship Id="rId22" Type="http://schemas.openxmlformats.org/officeDocument/2006/relationships/image" Target="media/image5.wmf"/><Relationship Id="rId21" Type="http://schemas.openxmlformats.org/officeDocument/2006/relationships/image" Target="media/image4.wmf"/><Relationship Id="rId20" Type="http://schemas.openxmlformats.org/officeDocument/2006/relationships/image" Target="media/image3.wmf"/><Relationship Id="rId2" Type="http://schemas.openxmlformats.org/officeDocument/2006/relationships/settings" Target="settings.xml"/><Relationship Id="rId19" Type="http://schemas.openxmlformats.org/officeDocument/2006/relationships/image" Target="media/image2.wmf"/><Relationship Id="rId18" Type="http://schemas.openxmlformats.org/officeDocument/2006/relationships/image" Target="media/image1.png"/><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500"/>
              <a:t>收、支决算总计变动情况图（万元）</a:t>
            </a:r>
            <a:endParaRPr sz="1500"/>
          </a:p>
        </c:rich>
      </c:tx>
      <c:layout>
        <c:manualLayout>
          <c:xMode val="edge"/>
          <c:yMode val="edge"/>
          <c:x val="0.18525"/>
          <c:y val="0.00770020533880903"/>
        </c:manualLayout>
      </c:layout>
      <c:overlay val="0"/>
      <c:spPr>
        <a:noFill/>
        <a:ln>
          <a:noFill/>
        </a:ln>
        <a:effectLst/>
      </c:spPr>
    </c:title>
    <c:autoTitleDeleted val="0"/>
    <c:plotArea>
      <c:layout>
        <c:manualLayout>
          <c:layoutTarget val="inner"/>
          <c:xMode val="edge"/>
          <c:yMode val="edge"/>
          <c:x val="0.105720365502566"/>
          <c:y val="0.292209505906474"/>
          <c:w val="0.890524471147828"/>
          <c:h val="0.522498446239901"/>
        </c:manualLayout>
      </c:layout>
      <c:barChart>
        <c:barDir val="col"/>
        <c:grouping val="stacked"/>
        <c:varyColors val="0"/>
        <c:ser>
          <c:idx val="0"/>
          <c:order val="0"/>
          <c:tx>
            <c:strRef>
              <c:f>Sheet1!#REF!</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Sheet1!$A$1:$A$2</c:f>
              <c:strCache>
                <c:ptCount val="2"/>
                <c:pt idx="0">
                  <c:v>2022年收、支总计</c:v>
                </c:pt>
                <c:pt idx="1">
                  <c:v>2021年收、支总计</c:v>
                </c:pt>
              </c:strCache>
            </c:strRef>
          </c:cat>
          <c:val>
            <c:numRef>
              <c:f>Sheet1!$B$1:$B$2</c:f>
              <c:numCache>
                <c:formatCode>General</c:formatCode>
                <c:ptCount val="2"/>
                <c:pt idx="0">
                  <c:v>230.63</c:v>
                </c:pt>
                <c:pt idx="1">
                  <c:v>217.04</c:v>
                </c:pt>
              </c:numCache>
            </c:numRef>
          </c:val>
        </c:ser>
        <c:dLbls>
          <c:showLegendKey val="0"/>
          <c:showVal val="1"/>
          <c:showCatName val="0"/>
          <c:showSerName val="0"/>
          <c:showPercent val="0"/>
          <c:showBubbleSize val="0"/>
        </c:dLbls>
        <c:gapWidth val="150"/>
        <c:overlap val="100"/>
        <c:axId val="200358912"/>
        <c:axId val="200377088"/>
      </c:barChart>
      <c:catAx>
        <c:axId val="20035891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0377088"/>
        <c:crosses val="autoZero"/>
        <c:auto val="1"/>
        <c:lblAlgn val="ctr"/>
        <c:lblOffset val="100"/>
        <c:noMultiLvlLbl val="0"/>
      </c:catAx>
      <c:valAx>
        <c:axId val="2003770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03589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a:t>
            </a:r>
          </a:p>
        </c:rich>
      </c:tx>
      <c:layout/>
      <c:overlay val="0"/>
      <c:spPr>
        <a:noFill/>
        <a:ln>
          <a:noFill/>
        </a:ln>
        <a:effectLst/>
      </c:spPr>
    </c:title>
    <c:autoTitleDeleted val="0"/>
    <c:plotArea>
      <c:layout/>
      <c:pieChart>
        <c:varyColors val="1"/>
        <c:ser>
          <c:idx val="0"/>
          <c:order val="0"/>
          <c:tx>
            <c:strRef>
              <c:f>Sheet1!$B$1</c:f>
              <c:strCache>
                <c:ptCount val="1"/>
                <c:pt idx="0">
                  <c:v>收入</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一般公共预算财政拨款收入</c:v>
                </c:pt>
                <c:pt idx="1">
                  <c:v>其他收入</c:v>
                </c:pt>
              </c:strCache>
            </c:strRef>
          </c:cat>
          <c:val>
            <c:numRef>
              <c:f>Sheet1!$B$2:$B$5</c:f>
              <c:numCache>
                <c:formatCode>0.00%</c:formatCode>
                <c:ptCount val="4"/>
                <c:pt idx="0">
                  <c:v>0.8699</c:v>
                </c:pt>
                <c:pt idx="1">
                  <c:v>0.1301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egendEntry>
        <c:idx val="2"/>
        <c:delete val="1"/>
      </c:legendEntry>
      <c:legendEntry>
        <c:idx val="3"/>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p>
        </c:rich>
      </c:tx>
      <c:layout/>
      <c:overlay val="0"/>
      <c:spPr>
        <a:noFill/>
        <a:ln>
          <a:noFill/>
        </a:ln>
        <a:effectLst/>
      </c:spPr>
    </c:title>
    <c:autoTitleDeleted val="0"/>
    <c:plotArea>
      <c:layout/>
      <c:pieChart>
        <c:varyColors val="1"/>
        <c:ser>
          <c:idx val="0"/>
          <c:order val="0"/>
          <c:tx>
            <c:strRef>
              <c:f>Sheet1!$B$1</c:f>
              <c:strCache>
                <c:ptCount val="1"/>
                <c:pt idx="0">
                  <c:v>收入</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基本支出</c:v>
                </c:pt>
                <c:pt idx="1">
                  <c:v>项目支出</c:v>
                </c:pt>
              </c:strCache>
            </c:strRef>
          </c:cat>
          <c:val>
            <c:numRef>
              <c:f>Sheet1!$B$2:$B$5</c:f>
              <c:numCache>
                <c:formatCode>0.00%</c:formatCode>
                <c:ptCount val="4"/>
                <c:pt idx="0">
                  <c:v>0.8352</c:v>
                </c:pt>
                <c:pt idx="1">
                  <c:v>0.1648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egendEntry>
        <c:idx val="2"/>
        <c:delete val="1"/>
      </c:legendEntry>
      <c:legendEntry>
        <c:idx val="3"/>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500"/>
              <a:t>财政拨款收、支决算总计变动情况（万元）</a:t>
            </a:r>
            <a:endParaRPr sz="1500"/>
          </a:p>
        </c:rich>
      </c:tx>
      <c:layout>
        <c:manualLayout>
          <c:xMode val="edge"/>
          <c:yMode val="edge"/>
          <c:x val="0.18525"/>
          <c:y val="0.00770020533880903"/>
        </c:manualLayout>
      </c:layout>
      <c:overlay val="0"/>
      <c:spPr>
        <a:noFill/>
        <a:ln>
          <a:noFill/>
        </a:ln>
        <a:effectLst/>
      </c:spPr>
    </c:title>
    <c:autoTitleDeleted val="0"/>
    <c:plotArea>
      <c:layout>
        <c:manualLayout>
          <c:layoutTarget val="inner"/>
          <c:xMode val="edge"/>
          <c:yMode val="edge"/>
          <c:x val="0.105528679753369"/>
          <c:y val="0.331970237785433"/>
          <c:w val="0.890524471147828"/>
          <c:h val="0.522498446239901"/>
        </c:manualLayout>
      </c:layout>
      <c:barChart>
        <c:barDir val="col"/>
        <c:grouping val="stacked"/>
        <c:varyColors val="0"/>
        <c:ser>
          <c:idx val="0"/>
          <c:order val="0"/>
          <c:tx>
            <c:strRef>
              <c:f>Sheet1!#REF!</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Sheet1!$A$1:$A$2</c:f>
              <c:strCache>
                <c:ptCount val="2"/>
                <c:pt idx="0">
                  <c:v>2022年财政拨款收、支总计</c:v>
                </c:pt>
                <c:pt idx="1">
                  <c:v>2021年财政拨款收、支总计</c:v>
                </c:pt>
              </c:strCache>
            </c:strRef>
          </c:cat>
          <c:val>
            <c:numRef>
              <c:f>Sheet1!$B$1:$B$2</c:f>
              <c:numCache>
                <c:formatCode>General</c:formatCode>
                <c:ptCount val="2"/>
                <c:pt idx="0">
                  <c:v>200.63</c:v>
                </c:pt>
                <c:pt idx="1">
                  <c:v>217.04</c:v>
                </c:pt>
              </c:numCache>
            </c:numRef>
          </c:val>
        </c:ser>
        <c:dLbls>
          <c:showLegendKey val="0"/>
          <c:showVal val="1"/>
          <c:showCatName val="0"/>
          <c:showSerName val="0"/>
          <c:showPercent val="0"/>
          <c:showBubbleSize val="0"/>
        </c:dLbls>
        <c:gapWidth val="150"/>
        <c:overlap val="100"/>
        <c:axId val="200915584"/>
        <c:axId val="200921472"/>
      </c:barChart>
      <c:catAx>
        <c:axId val="20091558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0921472"/>
        <c:crosses val="autoZero"/>
        <c:auto val="1"/>
        <c:lblAlgn val="ctr"/>
        <c:lblOffset val="100"/>
        <c:noMultiLvlLbl val="0"/>
      </c:catAx>
      <c:valAx>
        <c:axId val="2009214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09155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500"/>
              <a:t>一般公共预算财政拨款支出决算变动情况（万元）</a:t>
            </a:r>
            <a:endParaRPr sz="1500"/>
          </a:p>
        </c:rich>
      </c:tx>
      <c:layout>
        <c:manualLayout>
          <c:xMode val="edge"/>
          <c:yMode val="edge"/>
          <c:x val="0.200116464938824"/>
          <c:y val="0.0105559465165376"/>
        </c:manualLayout>
      </c:layout>
      <c:overlay val="0"/>
      <c:spPr>
        <a:noFill/>
        <a:ln>
          <a:noFill/>
        </a:ln>
        <a:effectLst/>
      </c:spPr>
    </c:title>
    <c:autoTitleDeleted val="0"/>
    <c:plotArea>
      <c:layout>
        <c:manualLayout>
          <c:layoutTarget val="inner"/>
          <c:xMode val="edge"/>
          <c:yMode val="edge"/>
          <c:x val="0.105528679753369"/>
          <c:y val="0.331970237785433"/>
          <c:w val="0.890524471147828"/>
          <c:h val="0.522498446239901"/>
        </c:manualLayout>
      </c:layout>
      <c:barChart>
        <c:barDir val="col"/>
        <c:grouping val="stacked"/>
        <c:varyColors val="0"/>
        <c:ser>
          <c:idx val="0"/>
          <c:order val="0"/>
          <c:tx>
            <c:strRef>
              <c:f>Sheet1!#REF!</c:f>
              <c:strCache>
                <c:ptCount val="1"/>
                <c:pt idx="0">
                  <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Sheet1!$A$1:$A$2</c:f>
              <c:strCache>
                <c:ptCount val="2"/>
                <c:pt idx="0">
                  <c:v>2022年一般公共预算财政拨款支出</c:v>
                </c:pt>
                <c:pt idx="1">
                  <c:v>2021年一般公共预算财政拨款支出</c:v>
                </c:pt>
              </c:strCache>
            </c:strRef>
          </c:cat>
          <c:val>
            <c:numRef>
              <c:f>Sheet1!$B$1:$B$2</c:f>
              <c:numCache>
                <c:formatCode>General</c:formatCode>
                <c:ptCount val="2"/>
                <c:pt idx="0">
                  <c:v>200.63</c:v>
                </c:pt>
                <c:pt idx="1">
                  <c:v>217.04</c:v>
                </c:pt>
              </c:numCache>
            </c:numRef>
          </c:val>
        </c:ser>
        <c:dLbls>
          <c:showLegendKey val="0"/>
          <c:showVal val="1"/>
          <c:showCatName val="0"/>
          <c:showSerName val="0"/>
          <c:showPercent val="0"/>
          <c:showBubbleSize val="0"/>
        </c:dLbls>
        <c:gapWidth val="150"/>
        <c:overlap val="100"/>
        <c:axId val="200966144"/>
        <c:axId val="200967680"/>
      </c:barChart>
      <c:catAx>
        <c:axId val="20096614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0967680"/>
        <c:crosses val="autoZero"/>
        <c:auto val="1"/>
        <c:lblAlgn val="ctr"/>
        <c:lblOffset val="100"/>
        <c:noMultiLvlLbl val="0"/>
      </c:catAx>
      <c:valAx>
        <c:axId val="2009676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09661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a:t>
            </a:r>
          </a:p>
        </c:rich>
      </c:tx>
      <c:layout>
        <c:manualLayout>
          <c:xMode val="edge"/>
          <c:yMode val="edge"/>
          <c:x val="0.21675"/>
          <c:y val="0.0532906231799651"/>
        </c:manualLayout>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社会保障和就业（类）支出</c:v>
                </c:pt>
                <c:pt idx="1">
                  <c:v>卫生健康（类）支出</c:v>
                </c:pt>
                <c:pt idx="2">
                  <c:v>商业服务业等（类）支出</c:v>
                </c:pt>
                <c:pt idx="3">
                  <c:v>住房保障（类）支出</c:v>
                </c:pt>
              </c:strCache>
            </c:strRef>
          </c:cat>
          <c:val>
            <c:numRef>
              <c:f>Sheet1!$B$2:$B$5</c:f>
              <c:numCache>
                <c:formatCode>0.00%</c:formatCode>
                <c:ptCount val="4"/>
                <c:pt idx="0">
                  <c:v>0.1995</c:v>
                </c:pt>
                <c:pt idx="1">
                  <c:v>0.062</c:v>
                </c:pt>
                <c:pt idx="2">
                  <c:v>0.674700000000002</c:v>
                </c:pt>
                <c:pt idx="3">
                  <c:v>0.0638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800" b="1" i="0" u="none" strike="noStrike" baseline="0"/>
              <a:t>“三公”经费财政拨款支出结构</a:t>
            </a:r>
            <a:endParaRPr lang="zh-CN" altLang="en-US"/>
          </a:p>
        </c:rich>
      </c:tx>
      <c:layout/>
      <c:overlay val="0"/>
    </c:title>
    <c:autoTitleDeleted val="0"/>
    <c:plotArea>
      <c:layout/>
      <c:pieChart>
        <c:varyColors val="1"/>
        <c:ser>
          <c:idx val="0"/>
          <c:order val="0"/>
          <c:tx>
            <c:strRef>
              <c:f>Sheet1!$B$1</c:f>
              <c:strCache>
                <c:ptCount val="1"/>
                <c:pt idx="0">
                  <c:v>销售额</c:v>
                </c:pt>
              </c:strCache>
            </c:strRef>
          </c:tx>
          <c:explosion val="0"/>
          <c:dPt>
            <c:idx val="0"/>
            <c:bubble3D val="0"/>
          </c:dPt>
          <c:dPt>
            <c:idx val="1"/>
            <c:bubble3D val="0"/>
          </c:dPt>
          <c:dPt>
            <c:idx val="2"/>
            <c:bubble3D val="0"/>
          </c:dPt>
          <c:dLbls>
            <c:dLbl>
              <c:idx val="0"/>
              <c:layout>
                <c:manualLayout>
                  <c:x val="-0.221305346102144"/>
                  <c:y val="0.013279052192779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233043943188777"/>
                  <c:y val="0.31475715690337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0</c:v>
                </c:pt>
                <c:pt idx="2" c:formatCode="0%">
                  <c:v>1</c:v>
                </c:pt>
              </c:numCache>
            </c:numRef>
          </c:val>
        </c:ser>
        <c:dLbls>
          <c:showLegendKey val="0"/>
          <c:showVal val="1"/>
          <c:showCatName val="1"/>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81</Pages>
  <Words>17896</Words>
  <Characters>2964</Characters>
  <Lines>24</Lines>
  <Paragraphs>41</Paragraphs>
  <TotalTime>2</TotalTime>
  <ScaleCrop>false</ScaleCrop>
  <LinksUpToDate>false</LinksUpToDate>
  <CharactersWithSpaces>20819</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2023-10-14T02:25:00Z</dcterms:created>
  <dc:creator>曹颖</dc:creator>
  <cp:lastModifiedBy>雨点儿</cp:lastModifiedBy>
  <cp:lastPrinted>2023-08-03T02:35:00Z</cp:lastPrinted>
  <dcterms:modified xsi:type="dcterms:W3CDTF">2024-12-19T04:30:38Z</dcterms:modified>
  <dc:title>四川省***</dc:title>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2B6626D8476448719487D35915008236_13</vt:lpwstr>
  </property>
</Properties>
</file>