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3CDA1">
      <w:pPr>
        <w:spacing w:line="600" w:lineRule="exact"/>
        <w:jc w:val="center"/>
        <w:outlineLvl w:val="0"/>
        <w:rPr>
          <w:rFonts w:hint="default" w:ascii="Times New Roman" w:hAnsi="Times New Roman" w:eastAsia="方正小标宋简体" w:cs="Times New Roman"/>
          <w:sz w:val="72"/>
          <w:szCs w:val="72"/>
        </w:rPr>
      </w:pPr>
      <w:bookmarkStart w:id="0" w:name="_Toc15377193"/>
      <w:bookmarkStart w:id="1" w:name="_Toc15396597"/>
      <w:bookmarkStart w:id="2" w:name="_Toc15377425"/>
      <w:bookmarkStart w:id="3" w:name="_Toc15378441"/>
      <w:bookmarkStart w:id="4" w:name="_Toc15396475"/>
      <w:bookmarkStart w:id="5" w:name="_Toc15306267"/>
    </w:p>
    <w:p w14:paraId="6BEC2CF4">
      <w:pPr>
        <w:pStyle w:val="6"/>
        <w:spacing w:before="93"/>
        <w:rPr>
          <w:rFonts w:hint="default" w:ascii="Times New Roman" w:hAnsi="Times New Roman" w:cs="Times New Roman"/>
        </w:rPr>
      </w:pPr>
    </w:p>
    <w:p w14:paraId="2367879C">
      <w:pPr>
        <w:spacing w:line="600" w:lineRule="exact"/>
        <w:jc w:val="center"/>
        <w:outlineLvl w:val="0"/>
        <w:rPr>
          <w:rFonts w:hint="default" w:ascii="Times New Roman" w:hAnsi="Times New Roman" w:eastAsia="方正小标宋简体" w:cs="Times New Roman"/>
          <w:sz w:val="72"/>
          <w:szCs w:val="72"/>
        </w:rPr>
      </w:pPr>
    </w:p>
    <w:p w14:paraId="675F689B">
      <w:pPr>
        <w:spacing w:line="600" w:lineRule="exact"/>
        <w:jc w:val="center"/>
        <w:outlineLvl w:val="0"/>
        <w:rPr>
          <w:rFonts w:hint="default" w:ascii="Times New Roman" w:hAnsi="Times New Roman" w:eastAsia="方正小标宋简体" w:cs="Times New Roman"/>
          <w:sz w:val="72"/>
          <w:szCs w:val="72"/>
        </w:rPr>
      </w:pPr>
    </w:p>
    <w:p w14:paraId="740514C2">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2894"/>
      <w:bookmarkStart w:id="7" w:name="_Toc10699"/>
      <w:bookmarkStart w:id="8" w:name="_Toc15101"/>
      <w:bookmarkStart w:id="9" w:name="_Toc29598"/>
      <w:r>
        <w:rPr>
          <w:rFonts w:hint="default" w:ascii="Times New Roman" w:hAnsi="Times New Roman" w:eastAsia="方正小标宋简体" w:cs="Times New Roman"/>
          <w:sz w:val="72"/>
          <w:szCs w:val="72"/>
        </w:rPr>
        <w:t>2023年度</w:t>
      </w:r>
      <w:bookmarkEnd w:id="0"/>
      <w:bookmarkEnd w:id="1"/>
      <w:bookmarkEnd w:id="2"/>
      <w:bookmarkEnd w:id="3"/>
      <w:bookmarkEnd w:id="4"/>
      <w:bookmarkEnd w:id="6"/>
      <w:bookmarkEnd w:id="7"/>
      <w:bookmarkEnd w:id="8"/>
      <w:bookmarkEnd w:id="9"/>
    </w:p>
    <w:p w14:paraId="4A610AA3">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10" w:name="_Toc15377194"/>
      <w:bookmarkStart w:id="11" w:name="_Toc31089"/>
      <w:bookmarkStart w:id="12" w:name="_Toc15377426"/>
      <w:bookmarkStart w:id="13" w:name="_Toc15396598"/>
      <w:bookmarkStart w:id="14" w:name="_Toc15378442"/>
      <w:bookmarkStart w:id="15" w:name="_Toc11115"/>
      <w:bookmarkStart w:id="16" w:name="_Toc10387"/>
      <w:bookmarkStart w:id="17" w:name="_Toc25813"/>
      <w:bookmarkStart w:id="18" w:name="_Toc15396476"/>
      <w:r>
        <w:rPr>
          <w:rFonts w:hint="default" w:ascii="Times New Roman" w:hAnsi="Times New Roman" w:eastAsia="方正小标宋简体" w:cs="Times New Roman"/>
          <w:sz w:val="72"/>
          <w:szCs w:val="72"/>
        </w:rPr>
        <w:t>四川省</w:t>
      </w:r>
      <w:bookmarkEnd w:id="5"/>
      <w:bookmarkStart w:id="19" w:name="_Toc15306268"/>
      <w:r>
        <w:rPr>
          <w:rFonts w:hint="default" w:ascii="Times New Roman" w:hAnsi="Times New Roman" w:eastAsia="方正小标宋简体" w:cs="Times New Roman"/>
          <w:sz w:val="72"/>
          <w:szCs w:val="72"/>
        </w:rPr>
        <w:t>盐边县人力资源和社会保障局部门决算</w:t>
      </w:r>
      <w:bookmarkEnd w:id="10"/>
      <w:bookmarkEnd w:id="11"/>
      <w:bookmarkEnd w:id="12"/>
      <w:bookmarkEnd w:id="13"/>
      <w:bookmarkEnd w:id="14"/>
      <w:bookmarkEnd w:id="15"/>
      <w:bookmarkEnd w:id="16"/>
      <w:bookmarkEnd w:id="17"/>
      <w:bookmarkEnd w:id="18"/>
      <w:bookmarkEnd w:id="19"/>
    </w:p>
    <w:p w14:paraId="62A44FFF">
      <w:pPr>
        <w:widowControl/>
        <w:jc w:val="center"/>
        <w:rPr>
          <w:rFonts w:hint="default" w:ascii="Times New Roman" w:hAnsi="Times New Roman" w:eastAsia="黑体" w:cs="Times New Roman"/>
          <w:sz w:val="48"/>
          <w:szCs w:val="48"/>
        </w:rPr>
      </w:pPr>
      <w:r>
        <w:rPr>
          <w:rFonts w:hint="default" w:ascii="Times New Roman" w:hAnsi="Times New Roman" w:eastAsia="方正小标宋简体" w:cs="Times New Roman"/>
          <w:sz w:val="36"/>
          <w:szCs w:val="36"/>
        </w:rPr>
        <w:br w:type="page"/>
      </w:r>
      <w:r>
        <w:rPr>
          <w:rFonts w:hint="default" w:ascii="Times New Roman" w:hAnsi="Times New Roman" w:eastAsia="黑体" w:cs="Times New Roman"/>
          <w:sz w:val="48"/>
          <w:szCs w:val="48"/>
        </w:rPr>
        <w:t>目录</w:t>
      </w:r>
    </w:p>
    <w:p w14:paraId="43EB8053">
      <w:pPr>
        <w:widowControl/>
        <w:jc w:val="center"/>
        <w:rPr>
          <w:rFonts w:hint="default" w:ascii="Times New Roman" w:hAnsi="Times New Roman" w:eastAsia="黑体" w:cs="Times New Roman"/>
          <w:sz w:val="28"/>
          <w:szCs w:val="28"/>
        </w:rPr>
      </w:pPr>
    </w:p>
    <w:p w14:paraId="440E8E67">
      <w:pPr>
        <w:pStyle w:val="15"/>
        <w:tabs>
          <w:tab w:val="right" w:leader="dot" w:pos="8296"/>
        </w:tabs>
        <w:jc w:val="center"/>
        <w:rPr>
          <w:rFonts w:hint="default" w:ascii="Times New Roman" w:hAnsi="Times New Roman" w:cs="Times New Roman"/>
        </w:rPr>
      </w:pPr>
      <w:r>
        <w:rPr>
          <w:rFonts w:hint="default" w:ascii="Times New Roman" w:hAnsi="Times New Roman" w:eastAsia="仿宋" w:cs="Times New Roman"/>
          <w:sz w:val="28"/>
          <w:szCs w:val="28"/>
        </w:rPr>
        <w:t>公开时间：2024年10月28日</w:t>
      </w:r>
    </w:p>
    <w:p w14:paraId="0A327C1D">
      <w:pPr>
        <w:pStyle w:val="15"/>
        <w:tabs>
          <w:tab w:val="right" w:leader="dot" w:pos="8306"/>
        </w:tabs>
        <w:rPr>
          <w:rFonts w:hint="default" w:ascii="Times New Roman" w:hAnsi="Times New Roman" w:eastAsia="黑体" w:cs="Times New Roman"/>
          <w:sz w:val="28"/>
          <w:szCs w:val="28"/>
        </w:rPr>
      </w:pPr>
      <w:bookmarkStart w:id="20" w:name="_Toc15377196"/>
      <w:bookmarkStart w:id="21" w:name="_Toc15396599"/>
    </w:p>
    <w:p w14:paraId="5DC43957">
      <w:pPr>
        <w:pStyle w:val="15"/>
        <w:tabs>
          <w:tab w:val="right" w:leader="dot" w:pos="8306"/>
        </w:tabs>
        <w:rPr>
          <w:rFonts w:hint="default" w:ascii="Times New Roman" w:hAnsi="Times New Roman" w:eastAsia="黑体" w:cs="Times New Roman"/>
          <w:sz w:val="28"/>
          <w:szCs w:val="28"/>
        </w:rPr>
      </w:pPr>
      <w:r>
        <w:rPr>
          <w:rFonts w:hint="default" w:ascii="Times New Roman" w:hAnsi="Times New Roman" w:eastAsia="黑体" w:cs="Times New Roman"/>
          <w:sz w:val="28"/>
          <w:szCs w:val="28"/>
        </w:rPr>
        <w:fldChar w:fldCharType="begin"/>
      </w:r>
      <w:r>
        <w:rPr>
          <w:rFonts w:hint="default" w:ascii="Times New Roman" w:hAnsi="Times New Roman" w:eastAsia="黑体" w:cs="Times New Roman"/>
          <w:sz w:val="28"/>
          <w:szCs w:val="28"/>
        </w:rPr>
        <w:instrText xml:space="preserve">TOC \o "1-2" \u </w:instrText>
      </w:r>
      <w:r>
        <w:rPr>
          <w:rFonts w:hint="default" w:ascii="Times New Roman" w:hAnsi="Times New Roman" w:eastAsia="黑体" w:cs="Times New Roman"/>
          <w:sz w:val="28"/>
          <w:szCs w:val="28"/>
        </w:rPr>
        <w:fldChar w:fldCharType="separate"/>
      </w:r>
      <w:r>
        <w:rPr>
          <w:rFonts w:hint="default" w:ascii="Times New Roman" w:hAnsi="Times New Roman" w:eastAsia="黑体" w:cs="Times New Roman"/>
          <w:sz w:val="28"/>
          <w:szCs w:val="28"/>
        </w:rPr>
        <w:t>第一部分部门概况</w:t>
      </w:r>
      <w:r>
        <w:rPr>
          <w:rFonts w:hint="default" w:ascii="Times New Roman" w:hAnsi="Times New Roman" w:eastAsia="黑体" w:cs="Times New Roman"/>
          <w:sz w:val="28"/>
          <w:szCs w:val="28"/>
        </w:rPr>
        <w:tab/>
      </w:r>
      <w:r>
        <w:rPr>
          <w:rFonts w:hint="default" w:ascii="Times New Roman" w:hAnsi="Times New Roman" w:eastAsia="黑体" w:cs="Times New Roman"/>
          <w:sz w:val="28"/>
          <w:szCs w:val="28"/>
        </w:rPr>
        <w:t>1</w:t>
      </w:r>
    </w:p>
    <w:p w14:paraId="55D4E867">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一、部门职责</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_Toc23116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1</w:t>
      </w:r>
      <w:r>
        <w:rPr>
          <w:rFonts w:hint="default" w:ascii="Times New Roman" w:hAnsi="Times New Roman" w:eastAsia="黑体" w:cs="Times New Roman"/>
          <w:sz w:val="24"/>
        </w:rPr>
        <w:fldChar w:fldCharType="end"/>
      </w:r>
    </w:p>
    <w:p w14:paraId="799C859B">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二、机构设置</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_Toc16515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4</w:t>
      </w:r>
      <w:r>
        <w:rPr>
          <w:rFonts w:hint="default" w:ascii="Times New Roman" w:hAnsi="Times New Roman" w:eastAsia="黑体" w:cs="Times New Roman"/>
          <w:sz w:val="24"/>
        </w:rPr>
        <w:fldChar w:fldCharType="end"/>
      </w:r>
    </w:p>
    <w:p w14:paraId="5232D962">
      <w:pPr>
        <w:pStyle w:val="15"/>
        <w:tabs>
          <w:tab w:val="right" w:leader="dot" w:pos="8306"/>
        </w:tabs>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第二部分2023年度</w:t>
      </w:r>
      <w:r>
        <w:rPr>
          <w:rFonts w:hint="default" w:ascii="Times New Roman" w:hAnsi="Times New Roman" w:eastAsia="黑体" w:cs="Times New Roman"/>
          <w:bCs/>
          <w:sz w:val="28"/>
          <w:szCs w:val="28"/>
        </w:rPr>
        <w:t>部门决算情况说明</w:t>
      </w:r>
      <w:r>
        <w:rPr>
          <w:rFonts w:hint="default" w:ascii="Times New Roman" w:hAnsi="Times New Roman" w:eastAsia="黑体" w:cs="Times New Roman"/>
          <w:sz w:val="28"/>
          <w:szCs w:val="28"/>
        </w:rPr>
        <w:tab/>
      </w:r>
      <w:r>
        <w:rPr>
          <w:rFonts w:hint="default" w:ascii="Times New Roman" w:hAnsi="Times New Roman" w:eastAsia="黑体" w:cs="Times New Roman"/>
          <w:sz w:val="28"/>
          <w:szCs w:val="28"/>
        </w:rPr>
        <w:fldChar w:fldCharType="begin"/>
      </w:r>
      <w:r>
        <w:rPr>
          <w:rFonts w:hint="default" w:ascii="Times New Roman" w:hAnsi="Times New Roman" w:eastAsia="黑体" w:cs="Times New Roman"/>
          <w:sz w:val="28"/>
          <w:szCs w:val="28"/>
        </w:rPr>
        <w:instrText xml:space="preserve"> PAGEREF _Toc5156 </w:instrText>
      </w:r>
      <w:r>
        <w:rPr>
          <w:rFonts w:hint="default" w:ascii="Times New Roman" w:hAnsi="Times New Roman" w:eastAsia="黑体" w:cs="Times New Roman"/>
          <w:sz w:val="28"/>
          <w:szCs w:val="28"/>
        </w:rPr>
        <w:fldChar w:fldCharType="separate"/>
      </w:r>
      <w:r>
        <w:rPr>
          <w:rFonts w:hint="default" w:ascii="Times New Roman" w:hAnsi="Times New Roman" w:eastAsia="黑体" w:cs="Times New Roman"/>
          <w:sz w:val="28"/>
          <w:szCs w:val="28"/>
        </w:rPr>
        <w:t>5</w:t>
      </w:r>
      <w:r>
        <w:rPr>
          <w:rFonts w:hint="default" w:ascii="Times New Roman" w:hAnsi="Times New Roman" w:eastAsia="黑体" w:cs="Times New Roman"/>
          <w:sz w:val="28"/>
          <w:szCs w:val="28"/>
        </w:rPr>
        <w:fldChar w:fldCharType="end"/>
      </w:r>
    </w:p>
    <w:p w14:paraId="783095AF">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bCs/>
          <w:sz w:val="24"/>
        </w:rPr>
        <w:t>一、</w:t>
      </w:r>
      <w:r>
        <w:rPr>
          <w:rFonts w:hint="default" w:ascii="Times New Roman" w:hAnsi="Times New Roman" w:eastAsia="黑体" w:cs="Times New Roman"/>
          <w:sz w:val="24"/>
        </w:rPr>
        <w:t>收入支出决算总体情况说明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_Toc23841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5</w:t>
      </w:r>
      <w:r>
        <w:rPr>
          <w:rFonts w:hint="default" w:ascii="Times New Roman" w:hAnsi="Times New Roman" w:eastAsia="黑体" w:cs="Times New Roman"/>
          <w:sz w:val="24"/>
        </w:rPr>
        <w:fldChar w:fldCharType="end"/>
      </w:r>
    </w:p>
    <w:p w14:paraId="67AD15C9">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bCs/>
          <w:sz w:val="24"/>
        </w:rPr>
        <w:t>二、</w:t>
      </w:r>
      <w:r>
        <w:rPr>
          <w:rFonts w:hint="default" w:ascii="Times New Roman" w:hAnsi="Times New Roman" w:eastAsia="黑体" w:cs="Times New Roman"/>
          <w:sz w:val="24"/>
        </w:rPr>
        <w:t>收入决算情况说明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_Toc29312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5</w:t>
      </w:r>
      <w:r>
        <w:rPr>
          <w:rFonts w:hint="default" w:ascii="Times New Roman" w:hAnsi="Times New Roman" w:eastAsia="黑体" w:cs="Times New Roman"/>
          <w:sz w:val="24"/>
        </w:rPr>
        <w:fldChar w:fldCharType="end"/>
      </w:r>
    </w:p>
    <w:p w14:paraId="3725F40B">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bCs/>
          <w:sz w:val="24"/>
        </w:rPr>
        <w:t>三、</w:t>
      </w:r>
      <w:r>
        <w:rPr>
          <w:rFonts w:hint="default" w:ascii="Times New Roman" w:hAnsi="Times New Roman" w:eastAsia="黑体" w:cs="Times New Roman"/>
          <w:sz w:val="24"/>
        </w:rPr>
        <w:t>支出决算情况说明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_Toc11342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6</w:t>
      </w:r>
      <w:r>
        <w:rPr>
          <w:rFonts w:hint="default" w:ascii="Times New Roman" w:hAnsi="Times New Roman" w:eastAsia="黑体" w:cs="Times New Roman"/>
          <w:sz w:val="24"/>
        </w:rPr>
        <w:fldChar w:fldCharType="end"/>
      </w:r>
    </w:p>
    <w:p w14:paraId="7DDBE2C0">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四、财政拨款收入支出决算总体情况说明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_Toc10140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6</w:t>
      </w:r>
      <w:r>
        <w:rPr>
          <w:rFonts w:hint="default" w:ascii="Times New Roman" w:hAnsi="Times New Roman" w:eastAsia="黑体" w:cs="Times New Roman"/>
          <w:sz w:val="24"/>
        </w:rPr>
        <w:fldChar w:fldCharType="end"/>
      </w:r>
    </w:p>
    <w:p w14:paraId="36C29D9A">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五、一般公共预算财政拨款支出决算情况说明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_Toc14218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7</w:t>
      </w:r>
      <w:r>
        <w:rPr>
          <w:rFonts w:hint="default" w:ascii="Times New Roman" w:hAnsi="Times New Roman" w:eastAsia="黑体" w:cs="Times New Roman"/>
          <w:sz w:val="24"/>
        </w:rPr>
        <w:fldChar w:fldCharType="end"/>
      </w:r>
    </w:p>
    <w:p w14:paraId="4DAC4825">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六、一般公共预算财政拨款基本支出决算情况说明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_Toc4431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8</w:t>
      </w:r>
      <w:r>
        <w:rPr>
          <w:rFonts w:hint="default" w:ascii="Times New Roman" w:hAnsi="Times New Roman" w:eastAsia="黑体" w:cs="Times New Roman"/>
          <w:sz w:val="24"/>
        </w:rPr>
        <w:fldChar w:fldCharType="end"/>
      </w:r>
    </w:p>
    <w:p w14:paraId="3DCCB9C7">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七、财政拨款“三公”经费支出决算情况说明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_Toc16767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10</w:t>
      </w:r>
      <w:r>
        <w:rPr>
          <w:rFonts w:hint="default" w:ascii="Times New Roman" w:hAnsi="Times New Roman" w:eastAsia="黑体" w:cs="Times New Roman"/>
          <w:sz w:val="24"/>
        </w:rPr>
        <w:fldChar w:fldCharType="end"/>
      </w:r>
    </w:p>
    <w:p w14:paraId="44F674D9">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八、政府性基金预算支出决算情况说明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_Toc10727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12</w:t>
      </w:r>
      <w:r>
        <w:rPr>
          <w:rFonts w:hint="default" w:ascii="Times New Roman" w:hAnsi="Times New Roman" w:eastAsia="黑体" w:cs="Times New Roman"/>
          <w:sz w:val="24"/>
        </w:rPr>
        <w:fldChar w:fldCharType="end"/>
      </w:r>
    </w:p>
    <w:p w14:paraId="0CC8E3C6">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bCs/>
          <w:sz w:val="24"/>
        </w:rPr>
        <w:t>九、</w:t>
      </w:r>
      <w:r>
        <w:rPr>
          <w:rFonts w:hint="default" w:ascii="Times New Roman" w:hAnsi="Times New Roman" w:eastAsia="黑体" w:cs="Times New Roman"/>
          <w:sz w:val="24"/>
        </w:rPr>
        <w:t>国有资本经营预算支出决算情况说明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_Toc12665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12</w:t>
      </w:r>
      <w:r>
        <w:rPr>
          <w:rFonts w:hint="default" w:ascii="Times New Roman" w:hAnsi="Times New Roman" w:eastAsia="黑体" w:cs="Times New Roman"/>
          <w:sz w:val="24"/>
        </w:rPr>
        <w:fldChar w:fldCharType="end"/>
      </w:r>
    </w:p>
    <w:p w14:paraId="009F632E">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bCs/>
          <w:sz w:val="24"/>
        </w:rPr>
        <w:t>十、</w:t>
      </w:r>
      <w:r>
        <w:rPr>
          <w:rFonts w:hint="default" w:ascii="Times New Roman" w:hAnsi="Times New Roman" w:eastAsia="黑体" w:cs="Times New Roman"/>
          <w:sz w:val="24"/>
        </w:rPr>
        <w:t>其他重要事项的情况说明</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_Toc5461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12</w:t>
      </w:r>
      <w:r>
        <w:rPr>
          <w:rFonts w:hint="default" w:ascii="Times New Roman" w:hAnsi="Times New Roman" w:eastAsia="黑体" w:cs="Times New Roman"/>
          <w:sz w:val="24"/>
        </w:rPr>
        <w:fldChar w:fldCharType="end"/>
      </w:r>
    </w:p>
    <w:p w14:paraId="07A13AB0">
      <w:pPr>
        <w:pStyle w:val="15"/>
        <w:tabs>
          <w:tab w:val="right" w:leader="dot" w:pos="8306"/>
        </w:tabs>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第三部分名词解释</w:t>
      </w:r>
      <w:r>
        <w:rPr>
          <w:rFonts w:hint="default" w:ascii="Times New Roman" w:hAnsi="Times New Roman" w:eastAsia="黑体" w:cs="Times New Roman"/>
          <w:sz w:val="28"/>
          <w:szCs w:val="28"/>
        </w:rPr>
        <w:tab/>
      </w:r>
      <w:r>
        <w:rPr>
          <w:rFonts w:hint="default" w:ascii="Times New Roman" w:hAnsi="Times New Roman" w:eastAsia="黑体" w:cs="Times New Roman"/>
          <w:sz w:val="28"/>
          <w:szCs w:val="28"/>
        </w:rPr>
        <w:fldChar w:fldCharType="begin"/>
      </w:r>
      <w:r>
        <w:rPr>
          <w:rFonts w:hint="default" w:ascii="Times New Roman" w:hAnsi="Times New Roman" w:eastAsia="黑体" w:cs="Times New Roman"/>
          <w:sz w:val="28"/>
          <w:szCs w:val="28"/>
        </w:rPr>
        <w:instrText xml:space="preserve"> PAGEREF _Toc830 </w:instrText>
      </w:r>
      <w:r>
        <w:rPr>
          <w:rFonts w:hint="default" w:ascii="Times New Roman" w:hAnsi="Times New Roman" w:eastAsia="黑体" w:cs="Times New Roman"/>
          <w:sz w:val="28"/>
          <w:szCs w:val="28"/>
        </w:rPr>
        <w:fldChar w:fldCharType="separate"/>
      </w:r>
      <w:r>
        <w:rPr>
          <w:rFonts w:hint="default" w:ascii="Times New Roman" w:hAnsi="Times New Roman" w:eastAsia="黑体" w:cs="Times New Roman"/>
          <w:sz w:val="28"/>
          <w:szCs w:val="28"/>
        </w:rPr>
        <w:t>15</w:t>
      </w:r>
      <w:r>
        <w:rPr>
          <w:rFonts w:hint="default" w:ascii="Times New Roman" w:hAnsi="Times New Roman" w:eastAsia="黑体" w:cs="Times New Roman"/>
          <w:sz w:val="28"/>
          <w:szCs w:val="28"/>
        </w:rPr>
        <w:fldChar w:fldCharType="end"/>
      </w:r>
    </w:p>
    <w:p w14:paraId="07F88BE2">
      <w:pPr>
        <w:pStyle w:val="15"/>
        <w:tabs>
          <w:tab w:val="right" w:leader="dot" w:pos="8306"/>
        </w:tabs>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第四部分附件</w:t>
      </w:r>
      <w:r>
        <w:rPr>
          <w:rFonts w:hint="default" w:ascii="Times New Roman" w:hAnsi="Times New Roman" w:eastAsia="黑体" w:cs="Times New Roman"/>
          <w:sz w:val="28"/>
          <w:szCs w:val="28"/>
        </w:rPr>
        <w:tab/>
      </w:r>
      <w:r>
        <w:rPr>
          <w:rFonts w:hint="default" w:ascii="Times New Roman" w:hAnsi="Times New Roman" w:eastAsia="黑体" w:cs="Times New Roman"/>
          <w:sz w:val="28"/>
          <w:szCs w:val="28"/>
        </w:rPr>
        <w:fldChar w:fldCharType="begin"/>
      </w:r>
      <w:r>
        <w:rPr>
          <w:rFonts w:hint="default" w:ascii="Times New Roman" w:hAnsi="Times New Roman" w:eastAsia="黑体" w:cs="Times New Roman"/>
          <w:sz w:val="28"/>
          <w:szCs w:val="28"/>
        </w:rPr>
        <w:instrText xml:space="preserve"> PAGEREF _Toc4470 </w:instrText>
      </w:r>
      <w:r>
        <w:rPr>
          <w:rFonts w:hint="default" w:ascii="Times New Roman" w:hAnsi="Times New Roman" w:eastAsia="黑体" w:cs="Times New Roman"/>
          <w:sz w:val="28"/>
          <w:szCs w:val="28"/>
        </w:rPr>
        <w:fldChar w:fldCharType="separate"/>
      </w:r>
      <w:r>
        <w:rPr>
          <w:rFonts w:hint="default" w:ascii="Times New Roman" w:hAnsi="Times New Roman" w:eastAsia="黑体" w:cs="Times New Roman"/>
          <w:sz w:val="28"/>
          <w:szCs w:val="28"/>
        </w:rPr>
        <w:t>19</w:t>
      </w:r>
      <w:r>
        <w:rPr>
          <w:rFonts w:hint="default" w:ascii="Times New Roman" w:hAnsi="Times New Roman" w:eastAsia="黑体" w:cs="Times New Roman"/>
          <w:sz w:val="28"/>
          <w:szCs w:val="28"/>
        </w:rPr>
        <w:fldChar w:fldCharType="end"/>
      </w:r>
    </w:p>
    <w:p w14:paraId="5C0A9133">
      <w:pPr>
        <w:pStyle w:val="15"/>
        <w:tabs>
          <w:tab w:val="right" w:leader="dot" w:pos="8306"/>
        </w:tabs>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第五部分附表</w:t>
      </w:r>
      <w:r>
        <w:rPr>
          <w:rFonts w:hint="default" w:ascii="Times New Roman" w:hAnsi="Times New Roman" w:eastAsia="黑体" w:cs="Times New Roman"/>
          <w:sz w:val="28"/>
          <w:szCs w:val="28"/>
        </w:rPr>
        <w:tab/>
      </w:r>
      <w:r>
        <w:rPr>
          <w:rFonts w:hint="default" w:ascii="Times New Roman" w:hAnsi="Times New Roman" w:eastAsia="黑体" w:cs="Times New Roman"/>
          <w:sz w:val="28"/>
          <w:szCs w:val="28"/>
        </w:rPr>
        <w:fldChar w:fldCharType="begin"/>
      </w:r>
      <w:r>
        <w:rPr>
          <w:rFonts w:hint="default" w:ascii="Times New Roman" w:hAnsi="Times New Roman" w:eastAsia="黑体" w:cs="Times New Roman"/>
          <w:sz w:val="28"/>
          <w:szCs w:val="28"/>
        </w:rPr>
        <w:instrText xml:space="preserve"> PAGEREF _Toc12704 </w:instrText>
      </w:r>
      <w:r>
        <w:rPr>
          <w:rFonts w:hint="default" w:ascii="Times New Roman" w:hAnsi="Times New Roman" w:eastAsia="黑体" w:cs="Times New Roman"/>
          <w:sz w:val="28"/>
          <w:szCs w:val="28"/>
        </w:rPr>
        <w:fldChar w:fldCharType="separate"/>
      </w:r>
      <w:r>
        <w:rPr>
          <w:rFonts w:hint="default" w:ascii="Times New Roman" w:hAnsi="Times New Roman" w:eastAsia="黑体" w:cs="Times New Roman"/>
          <w:sz w:val="28"/>
          <w:szCs w:val="28"/>
        </w:rPr>
        <w:t>27</w:t>
      </w:r>
      <w:r>
        <w:rPr>
          <w:rFonts w:hint="default" w:ascii="Times New Roman" w:hAnsi="Times New Roman" w:eastAsia="黑体" w:cs="Times New Roman"/>
          <w:sz w:val="28"/>
          <w:szCs w:val="28"/>
        </w:rPr>
        <w:fldChar w:fldCharType="end"/>
      </w:r>
    </w:p>
    <w:p w14:paraId="6EC780F2">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一、收入支出决算总表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_Toc14494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681AB8DC">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二、收入决算表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_Toc21856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4DAAC250">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三、支出决算表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_Toc29016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18C9121E">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四、财政拨款收入支出决算总表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_Toc28773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43A3604C">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五、财政拨款支出决算明细表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_Toc15699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3C207C21">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六、一般公共预算财政拨款支出决算表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_Toc28539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2E4CE464">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七、一般公共预算财政拨款支出决算明细表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_Toc26775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0D36FD02">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八、一般公共预算财政拨款基本支出决算表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_Toc32566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3AF1F119">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九、一般公共预算财政拨款项目支出决算表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_Toc25458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5EAD76A2">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十、政府性基金预算财政拨款收入支出决算表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_Toc29863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02EF7390">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十一、国有资本经营预算财政拨款收入支出决算表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_Toc9405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05F46687">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十二、国有资本经营预算财政拨款支出决算表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_Toc20744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12003418">
      <w:pPr>
        <w:pStyle w:val="18"/>
        <w:tabs>
          <w:tab w:val="right" w:leader="dot" w:pos="8306"/>
        </w:tabs>
        <w:rPr>
          <w:rFonts w:hint="default" w:ascii="Times New Roman" w:hAnsi="Times New Roman" w:eastAsia="黑体" w:cs="Times New Roman"/>
          <w:sz w:val="24"/>
        </w:rPr>
      </w:pPr>
      <w:r>
        <w:rPr>
          <w:rFonts w:hint="default" w:ascii="Times New Roman" w:hAnsi="Times New Roman" w:eastAsia="黑体" w:cs="Times New Roman"/>
          <w:sz w:val="24"/>
        </w:rPr>
        <w:t>十三、财政拨款“三公”经费支出决算表</w:t>
      </w:r>
      <w:r>
        <w:rPr>
          <w:rFonts w:hint="default" w:ascii="Times New Roman" w:hAnsi="Times New Roman" w:eastAsia="黑体" w:cs="Times New Roman"/>
          <w:sz w:val="24"/>
        </w:rPr>
        <w:tab/>
      </w:r>
      <w:r>
        <w:rPr>
          <w:rFonts w:hint="default" w:ascii="Times New Roman" w:hAnsi="Times New Roman" w:eastAsia="黑体" w:cs="Times New Roman"/>
          <w:sz w:val="24"/>
        </w:rPr>
        <w:fldChar w:fldCharType="begin"/>
      </w:r>
      <w:r>
        <w:rPr>
          <w:rFonts w:hint="default" w:ascii="Times New Roman" w:hAnsi="Times New Roman" w:eastAsia="黑体" w:cs="Times New Roman"/>
          <w:sz w:val="24"/>
        </w:rPr>
        <w:instrText xml:space="preserve"> PAGEREF _Toc8049 </w:instrText>
      </w:r>
      <w:r>
        <w:rPr>
          <w:rFonts w:hint="default" w:ascii="Times New Roman" w:hAnsi="Times New Roman" w:eastAsia="黑体" w:cs="Times New Roman"/>
          <w:sz w:val="24"/>
        </w:rPr>
        <w:fldChar w:fldCharType="separate"/>
      </w:r>
      <w:r>
        <w:rPr>
          <w:rFonts w:hint="default" w:ascii="Times New Roman" w:hAnsi="Times New Roman" w:eastAsia="黑体" w:cs="Times New Roman"/>
          <w:sz w:val="24"/>
        </w:rPr>
        <w:t>31</w:t>
      </w:r>
      <w:r>
        <w:rPr>
          <w:rFonts w:hint="default" w:ascii="Times New Roman" w:hAnsi="Times New Roman" w:eastAsia="黑体" w:cs="Times New Roman"/>
          <w:sz w:val="24"/>
        </w:rPr>
        <w:fldChar w:fldCharType="end"/>
      </w:r>
    </w:p>
    <w:p w14:paraId="34AAB6E1">
      <w:pPr>
        <w:pStyle w:val="15"/>
        <w:tabs>
          <w:tab w:val="right" w:leader="dot" w:pos="8306"/>
        </w:tabs>
        <w:rPr>
          <w:rFonts w:hint="default" w:ascii="Times New Roman" w:hAnsi="Times New Roman" w:eastAsia="黑体" w:cs="Times New Roman"/>
          <w:sz w:val="28"/>
          <w:szCs w:val="28"/>
        </w:rPr>
      </w:pPr>
      <w:r>
        <w:rPr>
          <w:rFonts w:hint="default" w:ascii="Times New Roman" w:hAnsi="Times New Roman" w:eastAsia="黑体" w:cs="Times New Roman"/>
          <w:szCs w:val="28"/>
        </w:rPr>
        <w:fldChar w:fldCharType="end"/>
      </w:r>
    </w:p>
    <w:p w14:paraId="7B1B0692">
      <w:pPr>
        <w:pStyle w:val="15"/>
        <w:tabs>
          <w:tab w:val="right" w:leader="dot" w:pos="8306"/>
        </w:tabs>
        <w:jc w:val="center"/>
        <w:rPr>
          <w:rFonts w:hint="default" w:ascii="Times New Roman" w:hAnsi="Times New Roman" w:eastAsia="黑体" w:cs="Times New Roman"/>
          <w:bCs/>
          <w:kern w:val="44"/>
          <w:sz w:val="44"/>
          <w:szCs w:val="44"/>
        </w:rPr>
        <w:sectPr>
          <w:headerReference r:id="rId3" w:type="default"/>
          <w:footerReference r:id="rId4" w:type="default"/>
          <w:pgSz w:w="11906" w:h="16838"/>
          <w:pgMar w:top="1440" w:right="1800" w:bottom="1440" w:left="1800" w:header="851" w:footer="992" w:gutter="0"/>
          <w:pgNumType w:fmt="decimal" w:start="1"/>
          <w:cols w:space="720" w:num="1"/>
          <w:titlePg/>
          <w:docGrid w:type="lines" w:linePitch="312" w:charSpace="0"/>
        </w:sectPr>
      </w:pPr>
    </w:p>
    <w:p w14:paraId="2D866F31">
      <w:pPr>
        <w:pStyle w:val="2"/>
        <w:ind w:right="440"/>
        <w:jc w:val="center"/>
        <w:rPr>
          <w:rFonts w:hint="default" w:ascii="Times New Roman" w:hAnsi="Times New Roman" w:eastAsia="黑体" w:cs="Times New Roman"/>
          <w:b w:val="0"/>
        </w:rPr>
      </w:pPr>
    </w:p>
    <w:p w14:paraId="4A6EDED0">
      <w:pPr>
        <w:pStyle w:val="2"/>
        <w:ind w:right="440"/>
        <w:jc w:val="center"/>
        <w:rPr>
          <w:rFonts w:hint="default" w:ascii="Times New Roman" w:hAnsi="Times New Roman" w:eastAsia="黑体" w:cs="Times New Roman"/>
          <w:b w:val="0"/>
        </w:rPr>
      </w:pPr>
      <w:r>
        <w:rPr>
          <w:rFonts w:hint="default" w:ascii="Times New Roman" w:hAnsi="Times New Roman" w:eastAsia="黑体" w:cs="Times New Roman"/>
          <w:b w:val="0"/>
        </w:rPr>
        <w:t>第一部分部门概况</w:t>
      </w:r>
    </w:p>
    <w:bookmarkEnd w:id="20"/>
    <w:bookmarkEnd w:id="21"/>
    <w:p w14:paraId="087C91A0">
      <w:pPr>
        <w:pStyle w:val="3"/>
        <w:rPr>
          <w:rStyle w:val="39"/>
          <w:rFonts w:hint="default" w:ascii="Times New Roman" w:hAnsi="Times New Roman" w:eastAsia="黑体" w:cs="Times New Roman"/>
          <w:b w:val="0"/>
          <w:bCs w:val="0"/>
        </w:rPr>
      </w:pPr>
      <w:bookmarkStart w:id="22" w:name="_Toc15396600"/>
      <w:bookmarkStart w:id="23" w:name="_Toc15377197"/>
      <w:bookmarkStart w:id="24" w:name="_Toc23116"/>
      <w:r>
        <w:rPr>
          <w:rFonts w:hint="default" w:ascii="Times New Roman" w:hAnsi="Times New Roman" w:eastAsia="黑体" w:cs="Times New Roman"/>
          <w:b w:val="0"/>
        </w:rPr>
        <w:t>一、</w:t>
      </w:r>
      <w:bookmarkEnd w:id="22"/>
      <w:bookmarkEnd w:id="23"/>
      <w:r>
        <w:rPr>
          <w:rFonts w:hint="default" w:ascii="Times New Roman" w:hAnsi="Times New Roman" w:eastAsia="黑体" w:cs="Times New Roman"/>
          <w:b w:val="0"/>
        </w:rPr>
        <w:t>部门职责</w:t>
      </w:r>
      <w:bookmarkEnd w:id="24"/>
    </w:p>
    <w:p w14:paraId="6FEC6B57">
      <w:pPr>
        <w:widowControl w:val="0"/>
        <w:wordWrap/>
        <w:spacing w:line="560" w:lineRule="exact"/>
        <w:ind w:firstLine="640" w:firstLineChars="200"/>
        <w:textAlignment w:val="auto"/>
        <w:rPr>
          <w:rFonts w:hint="default" w:ascii="Times New Roman" w:hAnsi="Times New Roman" w:eastAsia="仿宋_GB2312" w:cs="Times New Roman"/>
          <w:sz w:val="32"/>
          <w:szCs w:val="32"/>
        </w:rPr>
      </w:pPr>
      <w:bookmarkStart w:id="25" w:name="_Toc15377200"/>
      <w:bookmarkStart w:id="26" w:name="_Toc15396601"/>
      <w:r>
        <w:rPr>
          <w:rFonts w:hint="default" w:ascii="Times New Roman" w:hAnsi="Times New Roman" w:eastAsia="仿宋_GB2312" w:cs="Times New Roman"/>
          <w:sz w:val="32"/>
          <w:szCs w:val="32"/>
        </w:rPr>
        <w:t>1.贯彻执行国家、省、市人力资源和社会保障工作的法律、法规、规章和政策，拟订全县人力资源和社会保障事业发展规划、政策并组织实施，统筹推进人力资源和社会保障事业发展。</w:t>
      </w:r>
    </w:p>
    <w:p w14:paraId="38DADFF2">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2.拟订并组织实施全县人力资源市场发展规划和人力资源服务业发展、人力资源流动政策，促进人力资源合理流动，有效配置。</w:t>
      </w:r>
    </w:p>
    <w:p w14:paraId="618A7651">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负责促进就业工作，拟订统筹全县城乡就业发展规划和政策，完善公共就业创业服务体系，统筹建立面向城乡劳动者的职业技能培训制度，拟订并组织落实创业、就业援助制度，提出就业资金安排计划并组织实施，牵头拟订高校毕业生就业政策，组织实施高校毕业生就业创业服务工作。</w:t>
      </w:r>
    </w:p>
    <w:p w14:paraId="7D2B6158">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统筹推进建立覆盖全县城乡的多层次社会保障体系。贯彻执行国家、省、市养老、失业、工伤等社会保险及其补充保险政策和标准，拟订全县的相关政策并组织实施，贯彻落实养老保险全国统筹办法和全国统一的养老、失业、工伤保险关系转续办法，会同有关部门拟订全县养老、失业、工伤等社会保险及其补充保险基金管理和监督制度并组织实施，编制全县相关社会保险基金预决算草案，会同有关部门实施全民参保计划并建立全县统一的社会保险公共服务平台。负责全县养老、失业、工伤保险基金保值增值的监督检查。拟订人力资源和社会保障信息化建设总体规划、年度计划，制定相关制度并组织实施。</w:t>
      </w:r>
    </w:p>
    <w:p w14:paraId="376522F7">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5.负责就业、失业和相关社会保障基金预测预警和信息引导，拟订应对预案，实施预防、调节和控制，保持就业形势稳定和相关社会保险基金总体收支平衡。</w:t>
      </w:r>
    </w:p>
    <w:p w14:paraId="5EEB41DF">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依法查处重大案件。</w:t>
      </w:r>
    </w:p>
    <w:p w14:paraId="32B1A941">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市、县有关规定履行安全管理责任。</w:t>
      </w:r>
    </w:p>
    <w:p w14:paraId="71B2CFC3">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8.组织实施国家表彰制度，综合管理政府表彰奖励工作，承担评比达标表彰等工作。承办县委管理的部分领导人员的行政任免手续。</w:t>
      </w:r>
    </w:p>
    <w:p w14:paraId="4A96CDCB">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14:paraId="3D455B4F">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贯彻执行国家、省、市企业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14:paraId="5B86C56B">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11.会同有关部门拟订劳务开发及农民工工作综合性政策和规划并推动相关政策的落实，协调解决重点难点问题，维护农民工合法权益。负责将安全生产纳入农民工技能培训内容。</w:t>
      </w:r>
    </w:p>
    <w:p w14:paraId="557B7816">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12.受理人力资源和社会保障方面的信访事项，会同有关部门协调处理重大信访事件或突发事件。</w:t>
      </w:r>
    </w:p>
    <w:p w14:paraId="2DA49B64">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13.负责县人力资源社会保障领域的对外交流与合作工作。</w:t>
      </w:r>
    </w:p>
    <w:p w14:paraId="640CF1B6">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14.担职责范围内的安全生产和职业健康、生态环境保护、审批服务便民化等工作。</w:t>
      </w:r>
    </w:p>
    <w:p w14:paraId="780823A4">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15.完成县委、县政府交办的其他任务。</w:t>
      </w:r>
    </w:p>
    <w:p w14:paraId="1918732A">
      <w:pPr>
        <w:pStyle w:val="6"/>
        <w:widowControl w:val="0"/>
        <w:wordWrap/>
        <w:adjustRightInd w:val="0"/>
        <w:snapToGrid w:val="0"/>
        <w:spacing w:before="93" w:line="560" w:lineRule="exact"/>
        <w:ind w:firstLine="672" w:firstLineChars="210"/>
        <w:textAlignment w:val="auto"/>
        <w:outlineLvl w:val="2"/>
        <w:rPr>
          <w:rFonts w:hint="default" w:ascii="Times New Roman" w:hAnsi="Times New Roman" w:eastAsia="仿宋" w:cs="Times New Roman"/>
          <w:bCs/>
          <w:color w:val="000000"/>
          <w:sz w:val="32"/>
          <w:szCs w:val="32"/>
        </w:rPr>
      </w:pPr>
      <w:bookmarkStart w:id="27" w:name="_Toc116570342"/>
      <w:r>
        <w:rPr>
          <w:rFonts w:hint="default" w:ascii="Times New Roman" w:hAnsi="Times New Roman" w:cs="Times New Roman"/>
          <w:kern w:val="2"/>
          <w:sz w:val="32"/>
          <w:szCs w:val="32"/>
        </w:rPr>
        <w:t>16.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bookmarkEnd w:id="27"/>
    </w:p>
    <w:p w14:paraId="13872E68">
      <w:pPr>
        <w:pStyle w:val="3"/>
        <w:widowControl w:val="0"/>
        <w:wordWrap/>
        <w:spacing w:line="560" w:lineRule="exact"/>
        <w:ind w:firstLine="640" w:firstLineChars="200"/>
        <w:textAlignment w:val="auto"/>
        <w:rPr>
          <w:rStyle w:val="39"/>
          <w:rFonts w:hint="default" w:ascii="Times New Roman" w:hAnsi="Times New Roman" w:cs="Times New Roman"/>
          <w:b w:val="0"/>
          <w:bCs w:val="0"/>
        </w:rPr>
      </w:pPr>
      <w:bookmarkStart w:id="28" w:name="_Toc16515"/>
      <w:r>
        <w:rPr>
          <w:rFonts w:hint="default" w:ascii="Times New Roman" w:hAnsi="Times New Roman" w:eastAsia="黑体" w:cs="Times New Roman"/>
          <w:b w:val="0"/>
        </w:rPr>
        <w:t>二、机</w:t>
      </w:r>
      <w:r>
        <w:rPr>
          <w:rStyle w:val="39"/>
          <w:rFonts w:hint="default" w:ascii="Times New Roman" w:hAnsi="Times New Roman" w:eastAsia="黑体" w:cs="Times New Roman"/>
          <w:b w:val="0"/>
          <w:bCs w:val="0"/>
        </w:rPr>
        <w:t>构设置</w:t>
      </w:r>
      <w:bookmarkEnd w:id="25"/>
      <w:bookmarkEnd w:id="26"/>
      <w:bookmarkEnd w:id="28"/>
    </w:p>
    <w:p w14:paraId="1FBC4A3B">
      <w:pPr>
        <w:widowControl w:val="0"/>
        <w:wordWrap/>
        <w:spacing w:line="560" w:lineRule="exact"/>
        <w:ind w:firstLine="800" w:firstLineChars="25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盐边县人力资源和社会保障局下属非独立核算单位</w:t>
      </w:r>
      <w:r>
        <w:rPr>
          <w:rFonts w:hint="default" w:ascii="Times New Roman" w:hAnsi="Times New Roman" w:cs="Times New Roman"/>
          <w:sz w:val="32"/>
          <w:szCs w:val="32"/>
        </w:rPr>
        <w:t>5</w:t>
      </w:r>
      <w:r>
        <w:rPr>
          <w:rFonts w:hint="default" w:ascii="Times New Roman" w:hAnsi="Times New Roman" w:eastAsia="仿宋_GB2312" w:cs="Times New Roman"/>
          <w:sz w:val="32"/>
          <w:szCs w:val="32"/>
        </w:rPr>
        <w:t>个，其中行政单位0个，参照公务员法管理的事业单位1个，其他事业单位</w:t>
      </w:r>
      <w:r>
        <w:rPr>
          <w:rFonts w:hint="default" w:ascii="Times New Roman" w:hAnsi="Times New Roman" w:cs="Times New Roman"/>
          <w:sz w:val="32"/>
          <w:szCs w:val="32"/>
        </w:rPr>
        <w:t>4</w:t>
      </w:r>
      <w:r>
        <w:rPr>
          <w:rFonts w:hint="default" w:ascii="Times New Roman" w:hAnsi="Times New Roman" w:eastAsia="仿宋_GB2312" w:cs="Times New Roman"/>
          <w:sz w:val="32"/>
          <w:szCs w:val="32"/>
        </w:rPr>
        <w:t>个。主要包括：盐边县劳动监察大队（参照公务员法管理的事业单位）、盐边县人才服务中心、盐边县劳动人事争议仲裁院、盐边县农民工服务中心、盐边县考试服务中心;盐边县人力资源和社会保障局下属独立核算参照公务员法管理的事业单位2个，主要包括：盐边县社会保险事务中心、盐边县就业创业促进中心。</w:t>
      </w:r>
    </w:p>
    <w:p w14:paraId="3DC82AC6">
      <w:pPr>
        <w:pStyle w:val="6"/>
        <w:widowControl w:val="0"/>
        <w:wordWrap/>
        <w:adjustRightInd w:val="0"/>
        <w:snapToGrid w:val="0"/>
        <w:spacing w:before="93" w:line="560" w:lineRule="exact"/>
        <w:ind w:firstLine="672" w:firstLineChars="21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纳入盐边县人力资源和社会保障局2023年度部门决算编制范围的二级预算单位：无。</w:t>
      </w:r>
    </w:p>
    <w:p w14:paraId="3C1B6826">
      <w:pPr>
        <w:widowControl/>
        <w:jc w:val="left"/>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br w:type="page"/>
      </w:r>
    </w:p>
    <w:p w14:paraId="5DB436A5">
      <w:pPr>
        <w:pStyle w:val="2"/>
        <w:ind w:right="440"/>
        <w:jc w:val="center"/>
        <w:rPr>
          <w:rStyle w:val="38"/>
          <w:rFonts w:hint="default" w:ascii="Times New Roman" w:hAnsi="Times New Roman" w:eastAsia="黑体" w:cs="Times New Roman"/>
          <w:b w:val="0"/>
          <w:bCs/>
        </w:rPr>
      </w:pPr>
      <w:bookmarkStart w:id="29" w:name="_Toc15377204"/>
      <w:bookmarkStart w:id="30" w:name="_Toc5156"/>
      <w:bookmarkStart w:id="31" w:name="_Toc15396602"/>
      <w:r>
        <w:rPr>
          <w:rFonts w:hint="default" w:ascii="Times New Roman" w:hAnsi="Times New Roman" w:eastAsia="黑体" w:cs="Times New Roman"/>
          <w:b w:val="0"/>
        </w:rPr>
        <w:t>第二部分2023年度</w:t>
      </w:r>
      <w:r>
        <w:rPr>
          <w:rStyle w:val="38"/>
          <w:rFonts w:hint="default" w:ascii="Times New Roman" w:hAnsi="Times New Roman" w:eastAsia="黑体" w:cs="Times New Roman"/>
          <w:b w:val="0"/>
          <w:bCs/>
        </w:rPr>
        <w:t>部门决算情况说明</w:t>
      </w:r>
      <w:bookmarkEnd w:id="29"/>
      <w:bookmarkEnd w:id="30"/>
      <w:bookmarkEnd w:id="31"/>
    </w:p>
    <w:p w14:paraId="05D5E5A9">
      <w:pPr>
        <w:rPr>
          <w:rFonts w:hint="default" w:ascii="Times New Roman" w:hAnsi="Times New Roman" w:cs="Times New Roman"/>
        </w:rPr>
      </w:pPr>
    </w:p>
    <w:p w14:paraId="1424ECCE">
      <w:pPr>
        <w:pStyle w:val="27"/>
        <w:widowControl w:val="0"/>
        <w:numPr>
          <w:ilvl w:val="0"/>
          <w:numId w:val="1"/>
        </w:numPr>
        <w:wordWrap/>
        <w:adjustRightInd/>
        <w:snapToGrid/>
        <w:spacing w:line="560" w:lineRule="exact"/>
        <w:ind w:firstLineChars="0"/>
        <w:textAlignment w:val="auto"/>
        <w:outlineLvl w:val="1"/>
        <w:rPr>
          <w:rStyle w:val="39"/>
          <w:rFonts w:hint="default" w:ascii="Times New Roman" w:hAnsi="Times New Roman" w:eastAsia="黑体" w:cs="Times New Roman"/>
          <w:b w:val="0"/>
        </w:rPr>
      </w:pPr>
      <w:bookmarkStart w:id="32" w:name="_Toc15396603"/>
      <w:bookmarkStart w:id="33" w:name="_Toc23841"/>
      <w:bookmarkStart w:id="34" w:name="_Toc15377205"/>
      <w:r>
        <w:rPr>
          <w:rFonts w:hint="default" w:ascii="Times New Roman" w:hAnsi="Times New Roman" w:eastAsia="黑体" w:cs="Times New Roman"/>
          <w:sz w:val="32"/>
          <w:szCs w:val="32"/>
        </w:rPr>
        <w:t>收</w:t>
      </w:r>
      <w:r>
        <w:rPr>
          <w:rStyle w:val="39"/>
          <w:rFonts w:hint="default" w:ascii="Times New Roman" w:hAnsi="Times New Roman" w:eastAsia="黑体" w:cs="Times New Roman"/>
          <w:b w:val="0"/>
        </w:rPr>
        <w:t>入支出决算总体情况说明</w:t>
      </w:r>
      <w:bookmarkEnd w:id="32"/>
      <w:bookmarkEnd w:id="33"/>
      <w:bookmarkEnd w:id="34"/>
    </w:p>
    <w:p w14:paraId="7E7D8FF0">
      <w:pPr>
        <w:widowControl w:val="0"/>
        <w:wordWrap/>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2023年度收、支总计均为</w:t>
      </w:r>
      <w:r>
        <w:rPr>
          <w:rFonts w:hint="default" w:ascii="Times New Roman" w:hAnsi="Times New Roman" w:cs="Times New Roman"/>
          <w:sz w:val="32"/>
          <w:szCs w:val="32"/>
        </w:rPr>
        <w:t>1614.33</w:t>
      </w:r>
      <w:r>
        <w:rPr>
          <w:rFonts w:hint="default" w:ascii="Times New Roman" w:hAnsi="Times New Roman" w:eastAsia="仿宋" w:cs="Times New Roman"/>
          <w:sz w:val="32"/>
          <w:szCs w:val="32"/>
        </w:rPr>
        <w:t>万元</w:t>
      </w:r>
      <w:r>
        <w:rPr>
          <w:rFonts w:hint="default" w:ascii="Times New Roman" w:hAnsi="Times New Roman" w:cs="Times New Roman"/>
          <w:sz w:val="32"/>
          <w:szCs w:val="32"/>
        </w:rPr>
        <w:t>。</w:t>
      </w:r>
      <w:r>
        <w:rPr>
          <w:rFonts w:hint="default" w:ascii="Times New Roman" w:hAnsi="Times New Roman" w:eastAsia="仿宋" w:cs="Times New Roman"/>
          <w:sz w:val="32"/>
          <w:szCs w:val="32"/>
        </w:rPr>
        <w:t>与2022年度相比（2022年度收、支均为1124.31万元），收、支总计各增加490.02万元，增长43.58%。主要变动原因是2023年度人员较2022年度有所增加，人员工资支出增加430余万元，故总体支出增加。</w:t>
      </w:r>
    </w:p>
    <w:p w14:paraId="21DD4689">
      <w:pPr>
        <w:pStyle w:val="25"/>
        <w:widowControl w:val="0"/>
        <w:wordWrap/>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宋体" w:cs="Times New Roman"/>
          <w:b/>
          <w:kern w:val="2"/>
          <w:sz w:val="21"/>
          <w:szCs w:val="24"/>
          <w:lang w:val="en-US" w:eastAsia="zh-CN" w:bidi="ar-SA"/>
        </w:rPr>
        <w:pict>
          <v:shape id="_x0000_s1028" o:spid="_x0000_s1028" o:spt="75" type="#_x0000_t75" style="position:absolute;left:0pt;margin-left:45.15pt;margin-top:18.9pt;height:222.2pt;width:332.25pt;mso-wrap-distance-bottom:0pt;mso-wrap-distance-left:9pt;mso-wrap-distance-right:9pt;mso-wrap-distance-top:0pt;z-index:251659264;mso-width-relative:page;mso-height-relative:page;" o:ole="t" fillcolor="#FFFFFF" filled="f" o:preferrelative="t" stroked="f" coordsize="21600,21600">
            <v:path/>
            <v:fill on="f" color2="#FFFFFF" focussize="0,0"/>
            <v:stroke on="f"/>
            <v:imagedata r:id="rId9" gain="65536f" blacklevel="0f" gamma="0" o:title=""/>
            <o:lock v:ext="edit" position="f" selection="f" grouping="f" rotation="f" cropping="f" text="f" aspectratio="t"/>
            <w10:wrap type="square"/>
          </v:shape>
          <o:OLEObject Type="Embed" ProgID="MSGraph.Chart.8" ShapeID="_x0000_s1028" DrawAspect="Content" ObjectID="_1468075725" r:id="rId8">
            <o:LockedField>false</o:LockedField>
          </o:OLEObject>
        </w:pict>
      </w:r>
    </w:p>
    <w:p w14:paraId="740DFB71">
      <w:pPr>
        <w:widowControl w:val="0"/>
        <w:wordWrap/>
        <w:snapToGrid/>
        <w:spacing w:line="560" w:lineRule="exact"/>
        <w:textAlignment w:val="auto"/>
        <w:rPr>
          <w:rFonts w:hint="default" w:ascii="Times New Roman" w:hAnsi="Times New Roman" w:eastAsia="仿宋" w:cs="Times New Roman"/>
          <w:sz w:val="32"/>
          <w:szCs w:val="32"/>
        </w:rPr>
      </w:pPr>
    </w:p>
    <w:p w14:paraId="0CD3602F">
      <w:pPr>
        <w:pStyle w:val="25"/>
        <w:widowControl w:val="0"/>
        <w:wordWrap/>
        <w:snapToGrid/>
        <w:spacing w:line="560" w:lineRule="exact"/>
        <w:textAlignment w:val="auto"/>
        <w:rPr>
          <w:rFonts w:hint="default" w:ascii="Times New Roman" w:hAnsi="Times New Roman" w:eastAsia="仿宋" w:cs="Times New Roman"/>
          <w:sz w:val="32"/>
          <w:szCs w:val="32"/>
        </w:rPr>
      </w:pPr>
    </w:p>
    <w:p w14:paraId="6C105FA1">
      <w:pPr>
        <w:widowControl w:val="0"/>
        <w:wordWrap/>
        <w:snapToGrid/>
        <w:spacing w:line="560" w:lineRule="exact"/>
        <w:textAlignment w:val="auto"/>
        <w:rPr>
          <w:rFonts w:hint="default" w:ascii="Times New Roman" w:hAnsi="Times New Roman" w:cs="Times New Roman"/>
        </w:rPr>
      </w:pPr>
    </w:p>
    <w:p w14:paraId="0D8A0670">
      <w:pPr>
        <w:widowControl w:val="0"/>
        <w:wordWrap/>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（图1：收、支决算总计变动情况图）（柱状图）</w:t>
      </w:r>
    </w:p>
    <w:p w14:paraId="4FD8BEC0">
      <w:pPr>
        <w:pStyle w:val="27"/>
        <w:widowControl w:val="0"/>
        <w:numPr>
          <w:ilvl w:val="0"/>
          <w:numId w:val="1"/>
        </w:numPr>
        <w:wordWrap/>
        <w:adjustRightInd/>
        <w:snapToGrid/>
        <w:spacing w:line="560" w:lineRule="exact"/>
        <w:ind w:firstLineChars="0"/>
        <w:textAlignment w:val="auto"/>
        <w:outlineLvl w:val="1"/>
        <w:rPr>
          <w:rStyle w:val="39"/>
          <w:rFonts w:hint="default" w:ascii="Times New Roman" w:hAnsi="Times New Roman" w:eastAsia="黑体" w:cs="Times New Roman"/>
          <w:b w:val="0"/>
        </w:rPr>
      </w:pPr>
      <w:bookmarkStart w:id="35" w:name="_Toc15396604"/>
      <w:bookmarkStart w:id="36" w:name="_Toc15377206"/>
      <w:bookmarkStart w:id="37" w:name="_Toc29312"/>
      <w:r>
        <w:rPr>
          <w:rFonts w:hint="default" w:ascii="Times New Roman" w:hAnsi="Times New Roman" w:eastAsia="黑体" w:cs="Times New Roman"/>
          <w:sz w:val="32"/>
          <w:szCs w:val="32"/>
        </w:rPr>
        <w:t>收</w:t>
      </w:r>
      <w:r>
        <w:rPr>
          <w:rStyle w:val="39"/>
          <w:rFonts w:hint="default" w:ascii="Times New Roman" w:hAnsi="Times New Roman" w:eastAsia="黑体" w:cs="Times New Roman"/>
          <w:b w:val="0"/>
        </w:rPr>
        <w:t>入决算情况说明</w:t>
      </w:r>
      <w:bookmarkEnd w:id="35"/>
      <w:bookmarkEnd w:id="36"/>
      <w:bookmarkEnd w:id="37"/>
    </w:p>
    <w:p w14:paraId="7750EDEA">
      <w:pPr>
        <w:widowControl w:val="0"/>
        <w:wordWrap/>
        <w:adjustRightInd/>
        <w:snapToGrid/>
        <w:spacing w:line="560" w:lineRule="exact"/>
        <w:ind w:firstLine="640" w:firstLineChars="200"/>
        <w:jc w:val="left"/>
        <w:textAlignment w:val="auto"/>
        <w:outlineLvl w:val="1"/>
        <w:rPr>
          <w:rFonts w:hint="default" w:ascii="Times New Roman" w:hAnsi="Times New Roman" w:eastAsia="仿宋" w:cs="Times New Roman"/>
          <w:sz w:val="32"/>
          <w:szCs w:val="32"/>
        </w:rPr>
      </w:pPr>
      <w:bookmarkStart w:id="38" w:name="_Toc14088"/>
      <w:bookmarkStart w:id="39" w:name="_Toc28050"/>
      <w:r>
        <w:rPr>
          <w:rFonts w:hint="default" w:ascii="Times New Roman" w:hAnsi="Times New Roman" w:eastAsia="仿宋" w:cs="Times New Roman"/>
          <w:sz w:val="32"/>
          <w:szCs w:val="32"/>
        </w:rPr>
        <w:t>2023年度本年收入合计</w:t>
      </w:r>
      <w:r>
        <w:rPr>
          <w:rFonts w:hint="default" w:ascii="Times New Roman" w:hAnsi="Times New Roman" w:cs="Times New Roman"/>
          <w:sz w:val="32"/>
          <w:szCs w:val="32"/>
        </w:rPr>
        <w:t>1614.33</w:t>
      </w:r>
      <w:r>
        <w:rPr>
          <w:rFonts w:hint="default" w:ascii="Times New Roman" w:hAnsi="Times New Roman" w:eastAsia="仿宋" w:cs="Times New Roman"/>
          <w:sz w:val="32"/>
          <w:szCs w:val="32"/>
        </w:rPr>
        <w:t>万元，其中：一般公共预算财政拨款收入</w:t>
      </w:r>
      <w:r>
        <w:rPr>
          <w:rFonts w:hint="default" w:ascii="Times New Roman" w:hAnsi="Times New Roman" w:cs="Times New Roman"/>
          <w:sz w:val="32"/>
          <w:szCs w:val="32"/>
        </w:rPr>
        <w:t>1614.33</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100</w:t>
      </w:r>
      <w:r>
        <w:rPr>
          <w:rFonts w:hint="default" w:ascii="Times New Roman" w:hAnsi="Times New Roman" w:eastAsia="仿宋" w:cs="Times New Roman"/>
          <w:sz w:val="32"/>
          <w:szCs w:val="32"/>
        </w:rPr>
        <w:t>%。</w:t>
      </w:r>
      <w:bookmarkEnd w:id="38"/>
      <w:bookmarkEnd w:id="39"/>
    </w:p>
    <w:p w14:paraId="49EC5460">
      <w:pPr>
        <w:widowControl w:val="0"/>
        <w:wordWrap/>
        <w:snapToGrid/>
        <w:spacing w:line="560" w:lineRule="exact"/>
        <w:ind w:firstLine="420" w:firstLineChars="200"/>
        <w:textAlignment w:val="auto"/>
        <w:outlineLvl w:val="1"/>
        <w:rPr>
          <w:rFonts w:hint="default" w:ascii="Times New Roman" w:hAnsi="Times New Roman" w:eastAsia="仿宋" w:cs="Times New Roman"/>
          <w:sz w:val="32"/>
          <w:szCs w:val="32"/>
        </w:rPr>
      </w:pPr>
      <w:r>
        <w:rPr>
          <w:rFonts w:hint="default" w:ascii="Times New Roman" w:hAnsi="Times New Roman" w:eastAsia="宋体" w:cs="Times New Roman"/>
          <w:kern w:val="2"/>
          <w:sz w:val="21"/>
          <w:szCs w:val="24"/>
          <w:lang w:val="en-US" w:eastAsia="zh-CN" w:bidi="ar-SA"/>
        </w:rPr>
        <w:pict>
          <v:shape id="_x0000_s1029" o:spid="_x0000_s1029" o:spt="75" type="#_x0000_t75" style="position:absolute;left:0pt;margin-left:58.5pt;margin-top:11.15pt;height:144pt;width:215.35pt;mso-wrap-distance-bottom:0pt;mso-wrap-distance-left:9pt;mso-wrap-distance-right:9pt;mso-wrap-distance-top:0pt;z-index:251660288;mso-width-relative:page;mso-height-relative:page;" o:ole="t" fillcolor="#FFFFFF" filled="f" o:preferrelative="t" stroked="f" coordsize="21600,21600">
            <v:path/>
            <v:fill on="f" color2="#FFFFFF" focussize="0,0"/>
            <v:stroke on="f"/>
            <v:imagedata r:id="rId11" gain="65536f" blacklevel="0f" gamma="0" o:title=""/>
            <o:lock v:ext="edit" position="f" selection="f" grouping="f" rotation="f" cropping="f" text="f" aspectratio="t"/>
            <w10:wrap type="square"/>
          </v:shape>
          <o:OLEObject Type="Embed" ProgID="MSGraph.Chart.8" ShapeID="_x0000_s1029" DrawAspect="Content" ObjectID="_1468075726" r:id="rId10">
            <o:LockedField>false</o:LockedField>
          </o:OLEObject>
        </w:pict>
      </w:r>
    </w:p>
    <w:p w14:paraId="3B136A49">
      <w:pPr>
        <w:pStyle w:val="25"/>
        <w:widowControl w:val="0"/>
        <w:wordWrap/>
        <w:snapToGrid/>
        <w:spacing w:line="560" w:lineRule="exact"/>
        <w:textAlignment w:val="auto"/>
        <w:rPr>
          <w:rFonts w:hint="default" w:ascii="Times New Roman" w:hAnsi="Times New Roman" w:eastAsia="仿宋" w:cs="Times New Roman"/>
          <w:sz w:val="32"/>
          <w:szCs w:val="32"/>
        </w:rPr>
      </w:pPr>
    </w:p>
    <w:p w14:paraId="65A0A261">
      <w:pPr>
        <w:widowControl w:val="0"/>
        <w:wordWrap/>
        <w:snapToGrid/>
        <w:spacing w:line="560" w:lineRule="exact"/>
        <w:textAlignment w:val="auto"/>
        <w:rPr>
          <w:rFonts w:hint="default" w:ascii="Times New Roman" w:hAnsi="Times New Roman" w:eastAsia="仿宋" w:cs="Times New Roman"/>
          <w:sz w:val="32"/>
          <w:szCs w:val="32"/>
        </w:rPr>
      </w:pPr>
    </w:p>
    <w:p w14:paraId="4B5E4241">
      <w:pPr>
        <w:pStyle w:val="25"/>
        <w:widowControl w:val="0"/>
        <w:wordWrap/>
        <w:snapToGrid/>
        <w:spacing w:line="560" w:lineRule="exact"/>
        <w:textAlignment w:val="auto"/>
        <w:rPr>
          <w:rFonts w:hint="default" w:ascii="Times New Roman" w:hAnsi="Times New Roman" w:cs="Times New Roman"/>
        </w:rPr>
      </w:pPr>
    </w:p>
    <w:p w14:paraId="522B5EA8">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（图2：收入决算结构图）（饼状图）</w:t>
      </w:r>
    </w:p>
    <w:p w14:paraId="728839A9">
      <w:pPr>
        <w:pStyle w:val="27"/>
        <w:widowControl w:val="0"/>
        <w:numPr>
          <w:ilvl w:val="0"/>
          <w:numId w:val="1"/>
        </w:numPr>
        <w:wordWrap/>
        <w:snapToGrid/>
        <w:spacing w:line="560" w:lineRule="exact"/>
        <w:ind w:firstLineChars="0"/>
        <w:textAlignment w:val="auto"/>
        <w:outlineLvl w:val="1"/>
        <w:rPr>
          <w:rStyle w:val="39"/>
          <w:rFonts w:hint="default" w:ascii="Times New Roman" w:hAnsi="Times New Roman" w:eastAsia="黑体" w:cs="Times New Roman"/>
          <w:b w:val="0"/>
        </w:rPr>
      </w:pPr>
      <w:bookmarkStart w:id="40" w:name="_Toc15377207"/>
      <w:bookmarkStart w:id="41" w:name="_Toc15396605"/>
      <w:bookmarkStart w:id="42" w:name="_Toc11342"/>
      <w:r>
        <w:rPr>
          <w:rFonts w:hint="default" w:ascii="Times New Roman" w:hAnsi="Times New Roman" w:eastAsia="黑体" w:cs="Times New Roman"/>
          <w:sz w:val="32"/>
          <w:szCs w:val="32"/>
        </w:rPr>
        <w:t>支</w:t>
      </w:r>
      <w:r>
        <w:rPr>
          <w:rStyle w:val="39"/>
          <w:rFonts w:hint="default" w:ascii="Times New Roman" w:hAnsi="Times New Roman" w:eastAsia="黑体" w:cs="Times New Roman"/>
          <w:b w:val="0"/>
        </w:rPr>
        <w:t>出决算情况说明</w:t>
      </w:r>
      <w:bookmarkEnd w:id="40"/>
      <w:bookmarkEnd w:id="41"/>
      <w:bookmarkEnd w:id="42"/>
    </w:p>
    <w:p w14:paraId="31EDD2F5">
      <w:pPr>
        <w:widowControl w:val="0"/>
        <w:wordWrap/>
        <w:snapToGrid/>
        <w:spacing w:line="560" w:lineRule="exact"/>
        <w:ind w:firstLine="640" w:firstLineChars="200"/>
        <w:textAlignment w:val="auto"/>
        <w:outlineLvl w:val="1"/>
        <w:rPr>
          <w:rFonts w:hint="default" w:ascii="Times New Roman" w:hAnsi="Times New Roman" w:eastAsia="仿宋" w:cs="Times New Roman"/>
          <w:sz w:val="32"/>
          <w:szCs w:val="32"/>
        </w:rPr>
      </w:pPr>
      <w:bookmarkStart w:id="43" w:name="_Toc16598"/>
      <w:bookmarkStart w:id="44" w:name="_Toc27169"/>
      <w:r>
        <w:rPr>
          <w:rFonts w:hint="default" w:ascii="Times New Roman" w:hAnsi="Times New Roman" w:eastAsia="仿宋" w:cs="Times New Roman"/>
          <w:sz w:val="32"/>
          <w:szCs w:val="32"/>
        </w:rPr>
        <w:t>2023年度本年支出合计</w:t>
      </w:r>
      <w:r>
        <w:rPr>
          <w:rFonts w:hint="default" w:ascii="Times New Roman" w:hAnsi="Times New Roman" w:cs="Times New Roman"/>
          <w:sz w:val="32"/>
          <w:szCs w:val="32"/>
        </w:rPr>
        <w:t>1614.33</w:t>
      </w:r>
      <w:r>
        <w:rPr>
          <w:rFonts w:hint="default" w:ascii="Times New Roman" w:hAnsi="Times New Roman" w:eastAsia="仿宋" w:cs="Times New Roman"/>
          <w:sz w:val="32"/>
          <w:szCs w:val="32"/>
        </w:rPr>
        <w:t>万元，其中：基本支出</w:t>
      </w:r>
      <w:r>
        <w:rPr>
          <w:rFonts w:hint="default" w:ascii="Times New Roman" w:hAnsi="Times New Roman" w:cs="Times New Roman"/>
          <w:sz w:val="32"/>
          <w:szCs w:val="32"/>
        </w:rPr>
        <w:t>1327.1</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82.21</w:t>
      </w:r>
      <w:r>
        <w:rPr>
          <w:rFonts w:hint="default" w:ascii="Times New Roman" w:hAnsi="Times New Roman" w:eastAsia="仿宋" w:cs="Times New Roman"/>
          <w:sz w:val="32"/>
          <w:szCs w:val="32"/>
        </w:rPr>
        <w:t>%；项目支出</w:t>
      </w:r>
      <w:r>
        <w:rPr>
          <w:rFonts w:hint="default" w:ascii="Times New Roman" w:hAnsi="Times New Roman" w:cs="Times New Roman"/>
          <w:sz w:val="32"/>
          <w:szCs w:val="32"/>
        </w:rPr>
        <w:t>287.22</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17.79</w:t>
      </w:r>
      <w:r>
        <w:rPr>
          <w:rFonts w:hint="default" w:ascii="Times New Roman" w:hAnsi="Times New Roman" w:eastAsia="仿宋" w:cs="Times New Roman"/>
          <w:sz w:val="32"/>
          <w:szCs w:val="32"/>
        </w:rPr>
        <w:t>%。</w:t>
      </w:r>
      <w:bookmarkEnd w:id="43"/>
      <w:bookmarkEnd w:id="44"/>
    </w:p>
    <w:p w14:paraId="22FA214F">
      <w:pPr>
        <w:widowControl w:val="0"/>
        <w:wordWrap/>
        <w:snapToGrid/>
        <w:spacing w:line="560" w:lineRule="exact"/>
        <w:ind w:firstLine="640"/>
        <w:textAlignment w:val="auto"/>
        <w:rPr>
          <w:rFonts w:hint="default" w:ascii="Times New Roman" w:hAnsi="Times New Roman" w:eastAsia="仿宋" w:cs="Times New Roman"/>
          <w:sz w:val="32"/>
          <w:szCs w:val="32"/>
          <w:shd w:val="pct10" w:color="auto" w:fill="FFFFFF"/>
        </w:rPr>
      </w:pPr>
      <w:r>
        <w:rPr>
          <w:rFonts w:hint="default" w:ascii="Times New Roman" w:hAnsi="Times New Roman" w:eastAsia="宋体" w:cs="Times New Roman"/>
          <w:kern w:val="2"/>
          <w:sz w:val="21"/>
          <w:szCs w:val="24"/>
          <w:lang w:val="en-US" w:eastAsia="zh-CN" w:bidi="ar-SA"/>
        </w:rPr>
        <w:pict>
          <v:shape id="_x0000_s1030" o:spid="_x0000_s1030" o:spt="75" type="#_x0000_t75" style="position:absolute;left:0pt;margin-left:54.15pt;margin-top:4.8pt;height:139.4pt;width:208.45pt;mso-wrap-distance-bottom:0pt;mso-wrap-distance-left:9pt;mso-wrap-distance-right:9pt;mso-wrap-distance-top:0pt;z-index:251661312;mso-width-relative:page;mso-height-relative:page;" o:ole="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square"/>
          </v:shape>
          <o:OLEObject Type="Embed" ProgID="MSGraph.Chart.8" ShapeID="_x0000_s1030" DrawAspect="Content" ObjectID="_1468075727" r:id="rId12">
            <o:LockedField>false</o:LockedField>
          </o:OLEObject>
        </w:pict>
      </w:r>
    </w:p>
    <w:p w14:paraId="1EA65EC6">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0D37F8BA">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53D2DFF6">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07AAD6E3">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3AC5D8A9">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67D7DC6B">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（图3：支出决算结构图）（饼状图）</w:t>
      </w:r>
    </w:p>
    <w:p w14:paraId="0A3C6472">
      <w:pPr>
        <w:widowControl w:val="0"/>
        <w:wordWrap/>
        <w:snapToGrid/>
        <w:spacing w:line="560" w:lineRule="exact"/>
        <w:ind w:firstLine="640" w:firstLineChars="200"/>
        <w:textAlignment w:val="auto"/>
        <w:outlineLvl w:val="1"/>
        <w:rPr>
          <w:rStyle w:val="39"/>
          <w:rFonts w:hint="default" w:ascii="Times New Roman" w:hAnsi="Times New Roman" w:eastAsia="黑体" w:cs="Times New Roman"/>
          <w:b w:val="0"/>
        </w:rPr>
      </w:pPr>
      <w:bookmarkStart w:id="45" w:name="_Toc10140"/>
      <w:bookmarkStart w:id="46" w:name="_Toc15377208"/>
      <w:bookmarkStart w:id="47" w:name="_Toc15396606"/>
      <w:r>
        <w:rPr>
          <w:rFonts w:hint="default" w:ascii="Times New Roman" w:hAnsi="Times New Roman" w:eastAsia="黑体" w:cs="Times New Roman"/>
          <w:sz w:val="32"/>
          <w:szCs w:val="32"/>
        </w:rPr>
        <w:t>四、财</w:t>
      </w:r>
      <w:r>
        <w:rPr>
          <w:rStyle w:val="39"/>
          <w:rFonts w:hint="default" w:ascii="Times New Roman" w:hAnsi="Times New Roman" w:eastAsia="黑体" w:cs="Times New Roman"/>
          <w:b w:val="0"/>
        </w:rPr>
        <w:t>政拨款收入支出决算总体情况说明</w:t>
      </w:r>
      <w:bookmarkEnd w:id="45"/>
      <w:bookmarkEnd w:id="46"/>
      <w:bookmarkEnd w:id="47"/>
    </w:p>
    <w:p w14:paraId="23A55211">
      <w:pPr>
        <w:widowControl w:val="0"/>
        <w:wordWrap/>
        <w:snapToGrid/>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2023年度财政拨款收、支总计均为</w:t>
      </w:r>
      <w:r>
        <w:rPr>
          <w:rFonts w:hint="default" w:ascii="Times New Roman" w:hAnsi="Times New Roman" w:cs="Times New Roman"/>
          <w:sz w:val="32"/>
          <w:szCs w:val="32"/>
        </w:rPr>
        <w:t>1614.33</w:t>
      </w:r>
      <w:r>
        <w:rPr>
          <w:rFonts w:hint="default" w:ascii="Times New Roman" w:hAnsi="Times New Roman" w:eastAsia="仿宋" w:cs="Times New Roman"/>
          <w:sz w:val="32"/>
          <w:szCs w:val="32"/>
        </w:rPr>
        <w:t>万元。与2022年度相比（2022年度收、支均为1124.31万元），财政拨款收、支总计各增加490.02万元，增长43.58%。主要变动原因是2023年度人员较2022年度有所增加，人员工资支出增加430余万元，故总体支出增加。</w:t>
      </w:r>
    </w:p>
    <w:p w14:paraId="1FDA2F20">
      <w:pPr>
        <w:widowControl w:val="0"/>
        <w:wordWrap/>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宋体" w:cs="Times New Roman"/>
          <w:kern w:val="2"/>
          <w:sz w:val="21"/>
          <w:szCs w:val="24"/>
          <w:lang w:val="en-US" w:eastAsia="zh-CN" w:bidi="ar-SA"/>
        </w:rPr>
        <w:pict>
          <v:shape id="_x0000_s1031" o:spid="_x0000_s1031" o:spt="75" type="#_x0000_t75" style="position:absolute;left:0pt;margin-left:42.15pt;margin-top:15.95pt;height:222.2pt;width:332.25pt;mso-wrap-distance-bottom:0pt;mso-wrap-distance-left:9pt;mso-wrap-distance-right:9pt;mso-wrap-distance-top:0pt;z-index:251662336;mso-width-relative:page;mso-height-relative:page;" o:ole="t" fillcolor="#FFFFFF" filled="f" o:preferrelative="t" stroked="f" coordsize="21600,21600">
            <v:path/>
            <v:fill on="f" color2="#FFFFFF" focussize="0,0"/>
            <v:stroke on="f"/>
            <v:imagedata r:id="rId9" gain="65536f" blacklevel="0f" gamma="0" o:title=""/>
            <o:lock v:ext="edit" position="f" selection="f" grouping="f" rotation="f" cropping="f" text="f" aspectratio="t"/>
            <w10:wrap type="square"/>
          </v:shape>
          <o:OLEObject Type="Embed" ProgID="MSGraph.Chart.8" ShapeID="_x0000_s1031" DrawAspect="Content" ObjectID="_1468075728" r:id="rId14">
            <o:LockedField>false</o:LockedField>
          </o:OLEObject>
        </w:pict>
      </w:r>
    </w:p>
    <w:p w14:paraId="008240B5">
      <w:pPr>
        <w:pStyle w:val="25"/>
        <w:widowControl w:val="0"/>
        <w:wordWrap/>
        <w:snapToGrid/>
        <w:spacing w:line="560" w:lineRule="exact"/>
        <w:textAlignment w:val="auto"/>
        <w:rPr>
          <w:rFonts w:hint="default" w:ascii="Times New Roman" w:hAnsi="Times New Roman" w:cs="Times New Roman"/>
        </w:rPr>
      </w:pPr>
    </w:p>
    <w:p w14:paraId="650454AB">
      <w:pPr>
        <w:widowControl w:val="0"/>
        <w:wordWrap/>
        <w:snapToGrid/>
        <w:spacing w:line="560" w:lineRule="exact"/>
        <w:ind w:firstLine="640" w:firstLineChars="200"/>
        <w:textAlignment w:val="auto"/>
        <w:rPr>
          <w:rFonts w:hint="default" w:ascii="Times New Roman" w:hAnsi="Times New Roman" w:eastAsia="仿宋" w:cs="Times New Roman"/>
          <w:b/>
          <w:sz w:val="32"/>
          <w:szCs w:val="32"/>
        </w:rPr>
      </w:pPr>
      <w:r>
        <w:rPr>
          <w:rFonts w:hint="default" w:ascii="Times New Roman" w:hAnsi="Times New Roman" w:eastAsia="仿宋" w:cs="Times New Roman"/>
          <w:sz w:val="32"/>
          <w:szCs w:val="32"/>
        </w:rPr>
        <w:t>（图4：财政拨款收、支决算总计变动情况）（柱状图）</w:t>
      </w:r>
    </w:p>
    <w:p w14:paraId="5798682F">
      <w:pPr>
        <w:widowControl w:val="0"/>
        <w:wordWrap/>
        <w:snapToGrid/>
        <w:spacing w:line="560" w:lineRule="exact"/>
        <w:ind w:firstLine="640" w:firstLineChars="200"/>
        <w:textAlignment w:val="auto"/>
        <w:outlineLvl w:val="1"/>
        <w:rPr>
          <w:rStyle w:val="39"/>
          <w:rFonts w:hint="default" w:ascii="Times New Roman" w:hAnsi="Times New Roman" w:eastAsia="黑体" w:cs="Times New Roman"/>
          <w:b w:val="0"/>
        </w:rPr>
      </w:pPr>
      <w:bookmarkStart w:id="48" w:name="_Toc15396607"/>
      <w:bookmarkStart w:id="49" w:name="_Toc14218"/>
      <w:bookmarkStart w:id="50" w:name="_Toc15377209"/>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39"/>
          <w:rFonts w:hint="default" w:ascii="Times New Roman" w:hAnsi="Times New Roman" w:eastAsia="黑体" w:cs="Times New Roman"/>
          <w:b w:val="0"/>
        </w:rPr>
        <w:t>般公共预算财政拨款支出决算情况说明</w:t>
      </w:r>
      <w:bookmarkEnd w:id="48"/>
      <w:bookmarkEnd w:id="49"/>
      <w:bookmarkEnd w:id="50"/>
    </w:p>
    <w:p w14:paraId="5DF3491A">
      <w:pPr>
        <w:widowControl w:val="0"/>
        <w:wordWrap/>
        <w:snapToGrid/>
        <w:spacing w:line="560" w:lineRule="exact"/>
        <w:ind w:firstLine="643" w:firstLineChars="200"/>
        <w:textAlignment w:val="auto"/>
        <w:outlineLvl w:val="2"/>
        <w:rPr>
          <w:rFonts w:hint="default" w:ascii="Times New Roman" w:hAnsi="Times New Roman" w:eastAsia="仿宋" w:cs="Times New Roman"/>
          <w:b/>
          <w:sz w:val="32"/>
          <w:szCs w:val="32"/>
        </w:rPr>
      </w:pPr>
      <w:bookmarkStart w:id="51" w:name="_Toc15377210"/>
      <w:r>
        <w:rPr>
          <w:rFonts w:hint="default" w:ascii="Times New Roman" w:hAnsi="Times New Roman" w:eastAsia="仿宋" w:cs="Times New Roman"/>
          <w:b/>
          <w:sz w:val="32"/>
          <w:szCs w:val="32"/>
        </w:rPr>
        <w:t>（一）一般公共预算财政拨款支出决算总体情况</w:t>
      </w:r>
      <w:bookmarkEnd w:id="51"/>
    </w:p>
    <w:p w14:paraId="3C907E8C">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2023年度一般公共预算财政拨款支出</w:t>
      </w:r>
      <w:r>
        <w:rPr>
          <w:rFonts w:hint="default" w:ascii="Times New Roman" w:hAnsi="Times New Roman" w:cs="Times New Roman"/>
          <w:sz w:val="32"/>
          <w:szCs w:val="32"/>
        </w:rPr>
        <w:t>1614.33</w:t>
      </w:r>
      <w:r>
        <w:rPr>
          <w:rFonts w:hint="default" w:ascii="Times New Roman" w:hAnsi="Times New Roman" w:eastAsia="仿宋" w:cs="Times New Roman"/>
          <w:sz w:val="32"/>
          <w:szCs w:val="32"/>
        </w:rPr>
        <w:t>万元，占本年支出合计的</w:t>
      </w:r>
      <w:r>
        <w:rPr>
          <w:rFonts w:hint="default" w:ascii="Times New Roman" w:hAnsi="Times New Roman" w:cs="Times New Roman"/>
          <w:sz w:val="32"/>
          <w:szCs w:val="32"/>
        </w:rPr>
        <w:t>100</w:t>
      </w:r>
      <w:r>
        <w:rPr>
          <w:rFonts w:hint="default" w:ascii="Times New Roman" w:hAnsi="Times New Roman" w:eastAsia="仿宋" w:cs="Times New Roman"/>
          <w:sz w:val="32"/>
          <w:szCs w:val="32"/>
        </w:rPr>
        <w:t>%。与2022年度相比（2022年度支出为1124.31万元），一般公共预算财政拨款支出增加490.02万元，增长43.58%。主要变动原因是2023年度人员较2022年度有所增加，人员工资支出增加430余万元，故总体支出增加。</w:t>
      </w:r>
    </w:p>
    <w:p w14:paraId="349472C1">
      <w:pPr>
        <w:pStyle w:val="25"/>
        <w:widowControl w:val="0"/>
        <w:wordWrap/>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宋体" w:cs="Times New Roman"/>
          <w:b/>
          <w:kern w:val="2"/>
          <w:sz w:val="21"/>
          <w:szCs w:val="24"/>
          <w:lang w:val="en-US" w:eastAsia="zh-CN" w:bidi="ar-SA"/>
        </w:rPr>
        <w:pict>
          <v:shape id="_x0000_s1032" o:spid="_x0000_s1032" o:spt="75" type="#_x0000_t75" style="position:absolute;left:0pt;margin-left:29.85pt;margin-top:0.6pt;height:195.6pt;width:292.5pt;mso-wrap-distance-bottom:0pt;mso-wrap-distance-left:9pt;mso-wrap-distance-right:9pt;mso-wrap-distance-top:0pt;z-index:251663360;mso-width-relative:page;mso-height-relative:page;" o:ole="t" fillcolor="#FFFFFF" filled="f" o:preferrelative="t" stroked="f" coordsize="21600,21600">
            <v:path/>
            <v:fill on="f" color2="#FFFFFF" focussize="0,0"/>
            <v:stroke on="f"/>
            <v:imagedata r:id="rId16" gain="65536f" blacklevel="0f" gamma="0" o:title=""/>
            <o:lock v:ext="edit" position="f" selection="f" grouping="f" rotation="f" cropping="f" text="f" aspectratio="t"/>
            <w10:wrap type="square"/>
          </v:shape>
          <o:OLEObject Type="Embed" ProgID="MSGraph.Chart.8" ShapeID="_x0000_s1032" DrawAspect="Content" ObjectID="_1468075729" r:id="rId15">
            <o:LockedField>false</o:LockedField>
          </o:OLEObject>
        </w:pict>
      </w:r>
    </w:p>
    <w:p w14:paraId="19ABDA88">
      <w:pPr>
        <w:widowControl w:val="0"/>
        <w:wordWrap/>
        <w:snapToGrid/>
        <w:spacing w:line="560" w:lineRule="exact"/>
        <w:textAlignment w:val="auto"/>
        <w:rPr>
          <w:rFonts w:hint="default" w:ascii="Times New Roman" w:hAnsi="Times New Roman" w:eastAsia="仿宋" w:cs="Times New Roman"/>
          <w:sz w:val="32"/>
          <w:szCs w:val="32"/>
        </w:rPr>
      </w:pPr>
    </w:p>
    <w:p w14:paraId="24ABFAC0">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1836AB5D">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2E47F4A2">
      <w:pPr>
        <w:widowControl w:val="0"/>
        <w:wordWrap/>
        <w:snapToGrid/>
        <w:spacing w:line="560" w:lineRule="exact"/>
        <w:textAlignment w:val="auto"/>
        <w:rPr>
          <w:rFonts w:hint="default" w:ascii="Times New Roman" w:hAnsi="Times New Roman" w:eastAsia="仿宋" w:cs="Times New Roman"/>
          <w:sz w:val="32"/>
          <w:szCs w:val="32"/>
        </w:rPr>
      </w:pPr>
    </w:p>
    <w:p w14:paraId="3F0D7A6E">
      <w:pPr>
        <w:widowControl w:val="0"/>
        <w:wordWrap/>
        <w:snapToGrid/>
        <w:spacing w:line="560" w:lineRule="exact"/>
        <w:textAlignment w:val="auto"/>
        <w:rPr>
          <w:rFonts w:hint="default" w:ascii="Times New Roman" w:hAnsi="Times New Roman" w:eastAsia="仿宋" w:cs="Times New Roman"/>
          <w:sz w:val="32"/>
          <w:szCs w:val="32"/>
        </w:rPr>
      </w:pPr>
    </w:p>
    <w:p w14:paraId="05B90DF3">
      <w:pPr>
        <w:widowControl w:val="0"/>
        <w:wordWrap/>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（图5：一般公共预算财政拨款支出决算变动情况）（柱状图）</w:t>
      </w:r>
    </w:p>
    <w:p w14:paraId="0D341262">
      <w:pPr>
        <w:widowControl w:val="0"/>
        <w:wordWrap/>
        <w:snapToGrid/>
        <w:spacing w:line="560" w:lineRule="exact"/>
        <w:ind w:firstLine="643" w:firstLineChars="200"/>
        <w:textAlignment w:val="auto"/>
        <w:outlineLvl w:val="2"/>
        <w:rPr>
          <w:rFonts w:hint="default" w:ascii="Times New Roman" w:hAnsi="Times New Roman" w:eastAsia="仿宋" w:cs="Times New Roman"/>
          <w:b/>
          <w:sz w:val="32"/>
          <w:szCs w:val="32"/>
        </w:rPr>
      </w:pPr>
      <w:bookmarkStart w:id="52" w:name="_Toc15377211"/>
      <w:r>
        <w:rPr>
          <w:rFonts w:hint="default" w:ascii="Times New Roman" w:hAnsi="Times New Roman" w:eastAsia="仿宋" w:cs="Times New Roman"/>
          <w:b/>
          <w:sz w:val="32"/>
          <w:szCs w:val="32"/>
        </w:rPr>
        <w:t>（二）一般公共预算财政拨款支出决算结构情况</w:t>
      </w:r>
      <w:bookmarkEnd w:id="52"/>
    </w:p>
    <w:p w14:paraId="2800AAF0">
      <w:pPr>
        <w:widowControl w:val="0"/>
        <w:wordWrap/>
        <w:snapToGrid/>
        <w:spacing w:line="560" w:lineRule="exact"/>
        <w:ind w:firstLine="640"/>
        <w:textAlignment w:val="auto"/>
        <w:rPr>
          <w:rFonts w:hint="default" w:ascii="Times New Roman" w:hAnsi="Times New Roman" w:eastAsia="仿宋" w:cs="Times New Roman"/>
          <w:b w:val="0"/>
          <w:bCs w:val="0"/>
          <w:sz w:val="32"/>
          <w:szCs w:val="32"/>
        </w:rPr>
      </w:pPr>
      <w:r>
        <w:rPr>
          <w:rFonts w:hint="default" w:ascii="Times New Roman" w:hAnsi="Times New Roman" w:eastAsia="仿宋" w:cs="Times New Roman"/>
          <w:b w:val="0"/>
          <w:bCs w:val="0"/>
          <w:sz w:val="32"/>
          <w:szCs w:val="32"/>
        </w:rPr>
        <w:t>2023年度一般公共预算财政拨款支出1614.33万元，主要用于以下方面:社会保障和就业支出1278.6万元，占79.2%；卫生健康支出97.98万元，占6.07%；农林水支出145.15万元，占8.99%；住房保障支出92.59万元，占5.74%。</w:t>
      </w:r>
    </w:p>
    <w:p w14:paraId="032A3D70">
      <w:pPr>
        <w:widowControl w:val="0"/>
        <w:wordWrap/>
        <w:snapToGrid/>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宋体" w:cs="Times New Roman"/>
          <w:kern w:val="2"/>
          <w:sz w:val="21"/>
          <w:szCs w:val="24"/>
          <w:lang w:val="en-US" w:eastAsia="zh-CN" w:bidi="ar-SA"/>
        </w:rPr>
        <w:pict>
          <v:shape id="_x0000_s1033" o:spid="_x0000_s1033" o:spt="75" type="#_x0000_t75" style="position:absolute;left:0pt;margin-left:82.5pt;margin-top:7.65pt;height:144pt;width:215.35pt;mso-wrap-distance-bottom:0pt;mso-wrap-distance-left:9pt;mso-wrap-distance-right:9pt;mso-wrap-distance-top:0pt;z-index:251664384;mso-width-relative:page;mso-height-relative:page;" o:ole="t" fillcolor="#FFFFFF" filled="f" o:preferrelative="t" stroked="f" coordsize="21600,21600">
            <v:path/>
            <v:fill on="f" color2="#FFFFFF" focussize="0,0"/>
            <v:stroke on="f"/>
            <v:imagedata r:id="rId18" gain="65536f" blacklevel="0f" gamma="0" o:title=""/>
            <o:lock v:ext="edit" position="f" selection="f" grouping="f" rotation="f" cropping="f" text="f" aspectratio="t"/>
            <w10:wrap type="square"/>
          </v:shape>
          <o:OLEObject Type="Embed" ProgID="MSGraph.Chart.8" ShapeID="_x0000_s1033" DrawAspect="Content" ObjectID="_1468075730" r:id="rId17">
            <o:LockedField>false</o:LockedField>
          </o:OLEObject>
        </w:pict>
      </w:r>
    </w:p>
    <w:p w14:paraId="1EA29477">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1CF8AB84">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4E69402E">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312FF984">
      <w:pPr>
        <w:widowControl w:val="0"/>
        <w:wordWrap/>
        <w:snapToGrid/>
        <w:spacing w:line="560" w:lineRule="exact"/>
        <w:ind w:firstLine="640" w:firstLineChars="200"/>
        <w:textAlignment w:val="auto"/>
        <w:rPr>
          <w:rFonts w:hint="default" w:ascii="Times New Roman" w:hAnsi="Times New Roman" w:eastAsia="仿宋" w:cs="Times New Roman"/>
          <w:sz w:val="32"/>
          <w:szCs w:val="32"/>
        </w:rPr>
      </w:pPr>
    </w:p>
    <w:p w14:paraId="019C32AA">
      <w:pPr>
        <w:widowControl w:val="0"/>
        <w:wordWrap/>
        <w:snapToGrid/>
        <w:spacing w:line="560" w:lineRule="exact"/>
        <w:textAlignment w:val="auto"/>
        <w:rPr>
          <w:rFonts w:hint="default" w:ascii="Times New Roman" w:hAnsi="Times New Roman" w:eastAsia="仿宋" w:cs="Times New Roman"/>
          <w:sz w:val="32"/>
          <w:szCs w:val="32"/>
        </w:rPr>
      </w:pPr>
    </w:p>
    <w:p w14:paraId="740C9541">
      <w:pPr>
        <w:widowControl w:val="0"/>
        <w:wordWrap/>
        <w:snapToGrid/>
        <w:spacing w:line="560" w:lineRule="exact"/>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（图6：一般公共预算财政拨款支出决算结构）（饼状图）</w:t>
      </w:r>
    </w:p>
    <w:p w14:paraId="25101C69">
      <w:pPr>
        <w:widowControl w:val="0"/>
        <w:wordWrap/>
        <w:snapToGrid/>
        <w:spacing w:line="560" w:lineRule="exact"/>
        <w:ind w:firstLine="643" w:firstLineChars="200"/>
        <w:textAlignment w:val="auto"/>
        <w:outlineLvl w:val="2"/>
        <w:rPr>
          <w:rFonts w:hint="default" w:ascii="Times New Roman" w:hAnsi="Times New Roman" w:eastAsia="仿宋" w:cs="Times New Roman"/>
          <w:b/>
          <w:sz w:val="32"/>
          <w:szCs w:val="32"/>
        </w:rPr>
      </w:pPr>
      <w:bookmarkStart w:id="53" w:name="_Toc15377212"/>
      <w:r>
        <w:rPr>
          <w:rFonts w:hint="default" w:ascii="Times New Roman" w:hAnsi="Times New Roman" w:eastAsia="仿宋" w:cs="Times New Roman"/>
          <w:b/>
          <w:sz w:val="32"/>
          <w:szCs w:val="32"/>
        </w:rPr>
        <w:t>（三）一般公共预算财政拨款支出决算具体情况</w:t>
      </w:r>
      <w:bookmarkEnd w:id="53"/>
    </w:p>
    <w:p w14:paraId="62CD6D0D">
      <w:pPr>
        <w:widowControl w:val="0"/>
        <w:wordWrap/>
        <w:snapToGrid/>
        <w:spacing w:line="560" w:lineRule="exact"/>
        <w:ind w:firstLine="640" w:firstLineChars="200"/>
        <w:textAlignment w:val="auto"/>
        <w:outlineLvl w:val="2"/>
        <w:rPr>
          <w:rFonts w:hint="default" w:ascii="Times New Roman" w:hAnsi="Times New Roman" w:eastAsia="仿宋" w:cs="Times New Roman"/>
          <w:b w:val="0"/>
          <w:bCs/>
          <w:sz w:val="32"/>
          <w:szCs w:val="32"/>
        </w:rPr>
      </w:pPr>
      <w:bookmarkStart w:id="54" w:name="_Toc15378460"/>
      <w:bookmarkStart w:id="55" w:name="_Toc15377213"/>
      <w:bookmarkStart w:id="56" w:name="_Toc15377444"/>
      <w:r>
        <w:rPr>
          <w:rFonts w:hint="default" w:ascii="Times New Roman" w:hAnsi="Times New Roman" w:eastAsia="仿宋" w:cs="Times New Roman"/>
          <w:b w:val="0"/>
          <w:bCs/>
          <w:sz w:val="32"/>
          <w:szCs w:val="32"/>
        </w:rPr>
        <w:t>2023年度一般公共预算支出决算数为1614.33</w:t>
      </w:r>
      <w:r>
        <w:rPr>
          <w:rFonts w:hint="default" w:ascii="Times New Roman" w:hAnsi="Times New Roman" w:eastAsia="仿宋" w:cs="Times New Roman"/>
          <w:b w:val="0"/>
          <w:bCs/>
          <w:sz w:val="32"/>
          <w:szCs w:val="32"/>
          <w:lang w:eastAsia="zh-CN"/>
        </w:rPr>
        <w:t>万元</w:t>
      </w:r>
      <w:r>
        <w:rPr>
          <w:rFonts w:hint="default" w:ascii="Times New Roman" w:hAnsi="Times New Roman" w:eastAsia="仿宋" w:cs="Times New Roman"/>
          <w:b w:val="0"/>
          <w:bCs/>
          <w:sz w:val="32"/>
          <w:szCs w:val="32"/>
        </w:rPr>
        <w:t>，</w:t>
      </w:r>
      <w:r>
        <w:rPr>
          <w:rStyle w:val="23"/>
          <w:rFonts w:hint="default" w:ascii="Times New Roman" w:hAnsi="Times New Roman" w:eastAsia="仿宋" w:cs="Times New Roman"/>
          <w:b w:val="0"/>
          <w:bCs/>
          <w:sz w:val="32"/>
          <w:szCs w:val="32"/>
        </w:rPr>
        <w:t>完成预算100%。其中：</w:t>
      </w:r>
      <w:bookmarkEnd w:id="54"/>
      <w:bookmarkEnd w:id="55"/>
      <w:bookmarkEnd w:id="56"/>
    </w:p>
    <w:p w14:paraId="19E230B8">
      <w:pPr>
        <w:widowControl w:val="0"/>
        <w:wordWrap/>
        <w:snapToGrid/>
        <w:spacing w:line="560" w:lineRule="exact"/>
        <w:ind w:firstLine="640" w:firstLineChars="200"/>
        <w:textAlignment w:val="auto"/>
        <w:rPr>
          <w:rFonts w:hint="default" w:ascii="Times New Roman" w:hAnsi="Times New Roman" w:eastAsia="仿宋" w:cs="Times New Roman"/>
          <w:b w:val="0"/>
          <w:bCs/>
          <w:sz w:val="32"/>
          <w:szCs w:val="32"/>
        </w:rPr>
      </w:pPr>
      <w:bookmarkStart w:id="57" w:name="_Toc15377214"/>
      <w:bookmarkStart w:id="58" w:name="_Toc15396608"/>
      <w:bookmarkStart w:id="59" w:name="_Toc4431"/>
      <w:r>
        <w:rPr>
          <w:rStyle w:val="23"/>
          <w:rFonts w:hint="default" w:ascii="Times New Roman" w:hAnsi="Times New Roman" w:eastAsia="仿宋" w:cs="Times New Roman"/>
          <w:b w:val="0"/>
          <w:bCs/>
          <w:sz w:val="32"/>
          <w:szCs w:val="32"/>
        </w:rPr>
        <w:t>1.社会保障和就业（类）</w:t>
      </w:r>
      <w:r>
        <w:rPr>
          <w:rStyle w:val="23"/>
          <w:rFonts w:hint="default" w:ascii="Times New Roman" w:hAnsi="Times New Roman" w:eastAsia="仿宋" w:cs="Times New Roman"/>
          <w:b w:val="0"/>
          <w:bCs/>
          <w:color w:val="000000"/>
          <w:sz w:val="32"/>
          <w:szCs w:val="32"/>
        </w:rPr>
        <w:t>人力资源和社会保障管理事务（款）行政运行（项）</w:t>
      </w:r>
      <w:r>
        <w:rPr>
          <w:rStyle w:val="23"/>
          <w:rFonts w:hint="default" w:ascii="Times New Roman" w:hAnsi="Times New Roman" w:eastAsia="仿宋" w:cs="Times New Roman"/>
          <w:b w:val="0"/>
          <w:bCs/>
          <w:sz w:val="32"/>
          <w:szCs w:val="32"/>
        </w:rPr>
        <w:t>:支出决算为210.72万元，完成预算100%。</w:t>
      </w:r>
    </w:p>
    <w:p w14:paraId="1390B3D2">
      <w:pPr>
        <w:widowControl w:val="0"/>
        <w:wordWrap/>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23"/>
          <w:rFonts w:hint="default" w:ascii="Times New Roman" w:hAnsi="Times New Roman" w:eastAsia="仿宋" w:cs="Times New Roman"/>
          <w:b w:val="0"/>
          <w:bCs/>
          <w:sz w:val="32"/>
          <w:szCs w:val="32"/>
        </w:rPr>
        <w:t>2.社会保障和就业（类）</w:t>
      </w:r>
      <w:r>
        <w:rPr>
          <w:rStyle w:val="23"/>
          <w:rFonts w:hint="default" w:ascii="Times New Roman" w:hAnsi="Times New Roman" w:eastAsia="仿宋" w:cs="Times New Roman"/>
          <w:b w:val="0"/>
          <w:bCs/>
          <w:color w:val="000000"/>
          <w:sz w:val="32"/>
          <w:szCs w:val="32"/>
        </w:rPr>
        <w:t>人力资源和社会保障管理事务（款）一般行政管理事务（项）</w:t>
      </w:r>
      <w:r>
        <w:rPr>
          <w:rStyle w:val="23"/>
          <w:rFonts w:hint="default" w:ascii="Times New Roman" w:hAnsi="Times New Roman" w:eastAsia="仿宋" w:cs="Times New Roman"/>
          <w:b w:val="0"/>
          <w:bCs/>
          <w:sz w:val="32"/>
          <w:szCs w:val="32"/>
        </w:rPr>
        <w:t>:支出决算为0.8万元，完成预算100%。</w:t>
      </w:r>
    </w:p>
    <w:p w14:paraId="7B801A8F">
      <w:pPr>
        <w:widowControl w:val="0"/>
        <w:wordWrap/>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23"/>
          <w:rFonts w:hint="default" w:ascii="Times New Roman" w:hAnsi="Times New Roman" w:eastAsia="仿宋" w:cs="Times New Roman"/>
          <w:b w:val="0"/>
          <w:bCs/>
          <w:sz w:val="32"/>
          <w:szCs w:val="32"/>
        </w:rPr>
        <w:t>3.社会保障和就业（类）</w:t>
      </w:r>
      <w:r>
        <w:rPr>
          <w:rStyle w:val="23"/>
          <w:rFonts w:hint="default" w:ascii="Times New Roman" w:hAnsi="Times New Roman" w:eastAsia="仿宋" w:cs="Times New Roman"/>
          <w:b w:val="0"/>
          <w:bCs/>
          <w:color w:val="000000"/>
          <w:sz w:val="32"/>
          <w:szCs w:val="32"/>
        </w:rPr>
        <w:t>人力资源和社会保障管理事务（款）事业运行（项）</w:t>
      </w:r>
      <w:r>
        <w:rPr>
          <w:rStyle w:val="23"/>
          <w:rFonts w:hint="default" w:ascii="Times New Roman" w:hAnsi="Times New Roman" w:eastAsia="仿宋" w:cs="Times New Roman"/>
          <w:b w:val="0"/>
          <w:bCs/>
          <w:sz w:val="32"/>
          <w:szCs w:val="32"/>
        </w:rPr>
        <w:t>:支出决算为751万元，完成预算100%。</w:t>
      </w:r>
    </w:p>
    <w:p w14:paraId="5B2E7788">
      <w:pPr>
        <w:widowControl w:val="0"/>
        <w:wordWrap/>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23"/>
          <w:rFonts w:hint="default" w:ascii="Times New Roman" w:hAnsi="Times New Roman" w:eastAsia="仿宋" w:cs="Times New Roman"/>
          <w:b w:val="0"/>
          <w:bCs/>
          <w:sz w:val="32"/>
          <w:szCs w:val="32"/>
        </w:rPr>
        <w:t>4.社会保障和就业（类）</w:t>
      </w:r>
      <w:r>
        <w:rPr>
          <w:rStyle w:val="23"/>
          <w:rFonts w:hint="default" w:ascii="Times New Roman" w:hAnsi="Times New Roman" w:eastAsia="仿宋" w:cs="Times New Roman"/>
          <w:b w:val="0"/>
          <w:bCs/>
          <w:color w:val="000000"/>
          <w:sz w:val="32"/>
          <w:szCs w:val="32"/>
        </w:rPr>
        <w:t>人力资源和社会保障管理事务（款）其他人力资源和社会保障管理事务支出（项）</w:t>
      </w:r>
      <w:r>
        <w:rPr>
          <w:rStyle w:val="23"/>
          <w:rFonts w:hint="default" w:ascii="Times New Roman" w:hAnsi="Times New Roman" w:eastAsia="仿宋" w:cs="Times New Roman"/>
          <w:b w:val="0"/>
          <w:bCs/>
          <w:sz w:val="32"/>
          <w:szCs w:val="32"/>
        </w:rPr>
        <w:t>:支出决算为121.99万元，完成预算100%。</w:t>
      </w:r>
    </w:p>
    <w:p w14:paraId="34DC133F">
      <w:pPr>
        <w:widowControl w:val="0"/>
        <w:wordWrap/>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23"/>
          <w:rFonts w:hint="default" w:ascii="Times New Roman" w:hAnsi="Times New Roman" w:eastAsia="仿宋" w:cs="Times New Roman"/>
          <w:b w:val="0"/>
          <w:bCs/>
          <w:sz w:val="32"/>
          <w:szCs w:val="32"/>
        </w:rPr>
        <w:t>5.社会保障和就业（类）</w:t>
      </w:r>
      <w:r>
        <w:rPr>
          <w:rStyle w:val="23"/>
          <w:rFonts w:hint="default" w:ascii="Times New Roman" w:hAnsi="Times New Roman" w:eastAsia="仿宋" w:cs="Times New Roman"/>
          <w:b w:val="0"/>
          <w:bCs/>
          <w:color w:val="000000"/>
          <w:sz w:val="32"/>
          <w:szCs w:val="32"/>
        </w:rPr>
        <w:t>行政事业单位养老支出（款）行政单位离退休（项）</w:t>
      </w:r>
      <w:r>
        <w:rPr>
          <w:rStyle w:val="23"/>
          <w:rFonts w:hint="default" w:ascii="Times New Roman" w:hAnsi="Times New Roman" w:eastAsia="仿宋" w:cs="Times New Roman"/>
          <w:b w:val="0"/>
          <w:bCs/>
          <w:sz w:val="32"/>
          <w:szCs w:val="32"/>
        </w:rPr>
        <w:t>:支出决算为28.16万元，完成预算100%。</w:t>
      </w:r>
    </w:p>
    <w:p w14:paraId="4F81D3A9">
      <w:pPr>
        <w:widowControl w:val="0"/>
        <w:wordWrap/>
        <w:snapToGrid/>
        <w:spacing w:line="560" w:lineRule="exact"/>
        <w:ind w:firstLine="640" w:firstLineChars="200"/>
        <w:textAlignment w:val="auto"/>
        <w:rPr>
          <w:rStyle w:val="23"/>
          <w:rFonts w:hint="default" w:ascii="Times New Roman" w:hAnsi="Times New Roman" w:eastAsia="仿宋" w:cs="Times New Roman"/>
          <w:b w:val="0"/>
          <w:bCs/>
          <w:sz w:val="32"/>
          <w:szCs w:val="32"/>
        </w:rPr>
      </w:pPr>
      <w:r>
        <w:rPr>
          <w:rStyle w:val="23"/>
          <w:rFonts w:hint="default" w:ascii="Times New Roman" w:hAnsi="Times New Roman" w:eastAsia="仿宋" w:cs="Times New Roman"/>
          <w:b w:val="0"/>
          <w:bCs/>
          <w:sz w:val="32"/>
          <w:szCs w:val="32"/>
        </w:rPr>
        <w:t>6.</w:t>
      </w:r>
      <w:r>
        <w:rPr>
          <w:rStyle w:val="23"/>
          <w:rFonts w:hint="default" w:ascii="Times New Roman" w:hAnsi="Times New Roman" w:eastAsia="仿宋" w:cs="Times New Roman"/>
          <w:b w:val="0"/>
          <w:bCs/>
          <w:color w:val="000000"/>
          <w:sz w:val="32"/>
          <w:szCs w:val="32"/>
        </w:rPr>
        <w:t>社会保障和就业支出（类）行政事业单位养老支出（款）机关事业单位基本养老保险缴费支出（项）</w:t>
      </w:r>
      <w:r>
        <w:rPr>
          <w:rStyle w:val="23"/>
          <w:rFonts w:hint="default" w:ascii="Times New Roman" w:hAnsi="Times New Roman" w:eastAsia="仿宋" w:cs="Times New Roman"/>
          <w:b w:val="0"/>
          <w:bCs/>
          <w:sz w:val="32"/>
          <w:szCs w:val="32"/>
        </w:rPr>
        <w:t>:支出决算为130.89万元，完成预算100%。</w:t>
      </w:r>
    </w:p>
    <w:p w14:paraId="31E41BA5">
      <w:pPr>
        <w:pStyle w:val="6"/>
        <w:widowControl w:val="0"/>
        <w:wordWrap/>
        <w:snapToGrid/>
        <w:spacing w:before="93" w:line="560" w:lineRule="exact"/>
        <w:ind w:firstLine="640" w:firstLineChars="200"/>
        <w:textAlignment w:val="auto"/>
        <w:rPr>
          <w:rFonts w:hint="default" w:ascii="Times New Roman" w:hAnsi="Times New Roman" w:cs="Times New Roman"/>
          <w:b w:val="0"/>
          <w:bCs/>
        </w:rPr>
      </w:pPr>
      <w:r>
        <w:rPr>
          <w:rStyle w:val="23"/>
          <w:rFonts w:hint="default" w:ascii="Times New Roman" w:hAnsi="Times New Roman" w:eastAsia="仿宋" w:cs="Times New Roman"/>
          <w:b w:val="0"/>
          <w:bCs/>
          <w:kern w:val="2"/>
          <w:sz w:val="32"/>
          <w:szCs w:val="32"/>
        </w:rPr>
        <w:t>7.社会保障和就业支出（类）行政事业单位养老支出（款）</w:t>
      </w:r>
      <w:r>
        <w:rPr>
          <w:rStyle w:val="23"/>
          <w:rFonts w:hint="default" w:ascii="Times New Roman" w:hAnsi="Times New Roman" w:eastAsia="仿宋" w:cs="Times New Roman"/>
          <w:b w:val="0"/>
          <w:bCs/>
          <w:color w:val="000000"/>
          <w:sz w:val="32"/>
          <w:szCs w:val="32"/>
        </w:rPr>
        <w:t>机关事业单位职业年金缴费支出（项）:支出决算为15.76万元，完成预算100%。</w:t>
      </w:r>
    </w:p>
    <w:p w14:paraId="3C8FD227">
      <w:pPr>
        <w:widowControl w:val="0"/>
        <w:wordWrap/>
        <w:snapToGrid/>
        <w:spacing w:line="560" w:lineRule="exact"/>
        <w:ind w:firstLine="640" w:firstLineChars="200"/>
        <w:textAlignment w:val="auto"/>
        <w:rPr>
          <w:rStyle w:val="23"/>
          <w:rFonts w:hint="default" w:ascii="Times New Roman" w:hAnsi="Times New Roman" w:eastAsia="仿宋" w:cs="Times New Roman"/>
          <w:b w:val="0"/>
          <w:bCs/>
          <w:sz w:val="32"/>
          <w:szCs w:val="32"/>
        </w:rPr>
      </w:pPr>
      <w:r>
        <w:rPr>
          <w:rStyle w:val="23"/>
          <w:rFonts w:hint="default" w:ascii="Times New Roman" w:hAnsi="Times New Roman" w:eastAsia="仿宋" w:cs="Times New Roman"/>
          <w:b w:val="0"/>
          <w:bCs/>
          <w:sz w:val="32"/>
          <w:szCs w:val="32"/>
        </w:rPr>
        <w:t>8.</w:t>
      </w:r>
      <w:r>
        <w:rPr>
          <w:rStyle w:val="23"/>
          <w:rFonts w:hint="default" w:ascii="Times New Roman" w:hAnsi="Times New Roman" w:eastAsia="仿宋" w:cs="Times New Roman"/>
          <w:b w:val="0"/>
          <w:bCs/>
          <w:color w:val="000000"/>
          <w:sz w:val="32"/>
          <w:szCs w:val="32"/>
        </w:rPr>
        <w:t>社会保障和就业支出（类）就业补助（款）其他就业补助支出（项）:支出决算为11.72万元，完成预算100%。</w:t>
      </w:r>
    </w:p>
    <w:p w14:paraId="728F8FC5">
      <w:pPr>
        <w:widowControl w:val="0"/>
        <w:wordWrap/>
        <w:snapToGrid/>
        <w:spacing w:line="560" w:lineRule="exact"/>
        <w:ind w:firstLine="640" w:firstLineChars="200"/>
        <w:textAlignment w:val="auto"/>
        <w:rPr>
          <w:rStyle w:val="23"/>
          <w:rFonts w:hint="default" w:ascii="Times New Roman" w:hAnsi="Times New Roman" w:eastAsia="仿宋" w:cs="Times New Roman"/>
          <w:b w:val="0"/>
          <w:bCs/>
          <w:color w:val="000000"/>
          <w:sz w:val="32"/>
          <w:szCs w:val="32"/>
        </w:rPr>
      </w:pPr>
      <w:r>
        <w:rPr>
          <w:rStyle w:val="23"/>
          <w:rFonts w:hint="default" w:ascii="Times New Roman" w:hAnsi="Times New Roman" w:eastAsia="仿宋" w:cs="Times New Roman"/>
          <w:b w:val="0"/>
          <w:bCs/>
          <w:sz w:val="32"/>
          <w:szCs w:val="32"/>
        </w:rPr>
        <w:t>9.</w:t>
      </w:r>
      <w:r>
        <w:rPr>
          <w:rStyle w:val="23"/>
          <w:rFonts w:hint="default" w:ascii="Times New Roman" w:hAnsi="Times New Roman" w:eastAsia="仿宋" w:cs="Times New Roman"/>
          <w:b w:val="0"/>
          <w:bCs/>
          <w:color w:val="000000"/>
          <w:sz w:val="32"/>
          <w:szCs w:val="32"/>
        </w:rPr>
        <w:t>社会保障和就业支出（类）抚恤（款）伤残抚恤（项）:支出决算为2.88万元，完成预算100%。</w:t>
      </w:r>
    </w:p>
    <w:p w14:paraId="1F96FBCA">
      <w:pPr>
        <w:widowControl w:val="0"/>
        <w:wordWrap/>
        <w:snapToGrid/>
        <w:spacing w:line="560" w:lineRule="exact"/>
        <w:ind w:firstLine="640" w:firstLineChars="200"/>
        <w:textAlignment w:val="auto"/>
        <w:rPr>
          <w:rStyle w:val="23"/>
          <w:rFonts w:hint="default" w:ascii="Times New Roman" w:hAnsi="Times New Roman" w:eastAsia="仿宋" w:cs="Times New Roman"/>
          <w:b w:val="0"/>
          <w:bCs/>
          <w:color w:val="000000"/>
          <w:sz w:val="32"/>
          <w:szCs w:val="32"/>
        </w:rPr>
      </w:pPr>
      <w:r>
        <w:rPr>
          <w:rStyle w:val="23"/>
          <w:rFonts w:hint="default" w:ascii="Times New Roman" w:hAnsi="Times New Roman" w:eastAsia="仿宋" w:cs="Times New Roman"/>
          <w:b w:val="0"/>
          <w:bCs/>
          <w:sz w:val="32"/>
          <w:szCs w:val="32"/>
        </w:rPr>
        <w:t>10.</w:t>
      </w:r>
      <w:r>
        <w:rPr>
          <w:rStyle w:val="23"/>
          <w:rFonts w:hint="default" w:ascii="Times New Roman" w:hAnsi="Times New Roman" w:eastAsia="仿宋" w:cs="Times New Roman"/>
          <w:b w:val="0"/>
          <w:bCs/>
          <w:color w:val="000000"/>
          <w:sz w:val="32"/>
          <w:szCs w:val="32"/>
        </w:rPr>
        <w:t>社会保障和就业支出（类）其他社会保障和就业支出（款）其他社会保障和就业支出（项）:支出决算为7.57万元，完成预算100%。</w:t>
      </w:r>
    </w:p>
    <w:p w14:paraId="2967E897">
      <w:pPr>
        <w:widowControl w:val="0"/>
        <w:wordWrap/>
        <w:snapToGrid/>
        <w:spacing w:line="560" w:lineRule="exact"/>
        <w:ind w:firstLine="640" w:firstLineChars="200"/>
        <w:textAlignment w:val="auto"/>
        <w:rPr>
          <w:rStyle w:val="23"/>
          <w:rFonts w:hint="default" w:ascii="Times New Roman" w:hAnsi="Times New Roman" w:eastAsia="仿宋" w:cs="Times New Roman"/>
          <w:b w:val="0"/>
          <w:bCs/>
          <w:sz w:val="32"/>
          <w:szCs w:val="32"/>
        </w:rPr>
      </w:pPr>
      <w:r>
        <w:rPr>
          <w:rStyle w:val="23"/>
          <w:rFonts w:hint="default" w:ascii="Times New Roman" w:hAnsi="Times New Roman" w:eastAsia="仿宋" w:cs="Times New Roman"/>
          <w:b w:val="0"/>
          <w:bCs/>
          <w:sz w:val="32"/>
          <w:szCs w:val="32"/>
        </w:rPr>
        <w:t>11.</w:t>
      </w:r>
      <w:r>
        <w:rPr>
          <w:rFonts w:hint="default" w:ascii="Times New Roman" w:hAnsi="Times New Roman" w:eastAsia="仿宋" w:cs="Times New Roman"/>
          <w:b w:val="0"/>
          <w:bCs/>
          <w:sz w:val="32"/>
          <w:szCs w:val="32"/>
        </w:rPr>
        <w:t>卫生健康支出</w:t>
      </w:r>
      <w:r>
        <w:rPr>
          <w:rStyle w:val="23"/>
          <w:rFonts w:hint="default" w:ascii="Times New Roman" w:hAnsi="Times New Roman" w:eastAsia="仿宋" w:cs="Times New Roman"/>
          <w:b w:val="0"/>
          <w:bCs/>
          <w:sz w:val="32"/>
          <w:szCs w:val="32"/>
        </w:rPr>
        <w:t>（类）行政事业单位医疗（款）行政单位医疗（项）:支出决算为13.46万元，完成预算100%。</w:t>
      </w:r>
    </w:p>
    <w:p w14:paraId="714A555F">
      <w:pPr>
        <w:widowControl w:val="0"/>
        <w:wordWrap/>
        <w:snapToGrid/>
        <w:spacing w:line="560" w:lineRule="exact"/>
        <w:ind w:firstLine="640" w:firstLineChars="200"/>
        <w:textAlignment w:val="auto"/>
        <w:rPr>
          <w:rStyle w:val="23"/>
          <w:rFonts w:hint="default" w:ascii="Times New Roman" w:hAnsi="Times New Roman" w:eastAsia="仿宋" w:cs="Times New Roman"/>
          <w:b w:val="0"/>
          <w:bCs/>
          <w:sz w:val="32"/>
          <w:szCs w:val="32"/>
        </w:rPr>
      </w:pPr>
      <w:r>
        <w:rPr>
          <w:rFonts w:hint="default" w:ascii="Times New Roman" w:hAnsi="Times New Roman" w:eastAsia="仿宋" w:cs="Times New Roman"/>
          <w:b w:val="0"/>
          <w:bCs/>
          <w:sz w:val="32"/>
          <w:szCs w:val="32"/>
        </w:rPr>
        <w:t>12.卫生健康支出</w:t>
      </w:r>
      <w:r>
        <w:rPr>
          <w:rStyle w:val="23"/>
          <w:rFonts w:hint="default" w:ascii="Times New Roman" w:hAnsi="Times New Roman" w:eastAsia="仿宋" w:cs="Times New Roman"/>
          <w:b w:val="0"/>
          <w:bCs/>
          <w:sz w:val="32"/>
          <w:szCs w:val="32"/>
        </w:rPr>
        <w:t>（类）行政事业单位医疗（款）事业单位医疗（项）:支出决算为45.35万元，完成预算100%。</w:t>
      </w:r>
    </w:p>
    <w:p w14:paraId="59D971BC">
      <w:pPr>
        <w:widowControl w:val="0"/>
        <w:wordWrap/>
        <w:snapToGrid/>
        <w:spacing w:line="560" w:lineRule="exact"/>
        <w:ind w:firstLine="640" w:firstLineChars="200"/>
        <w:textAlignment w:val="auto"/>
        <w:rPr>
          <w:rStyle w:val="23"/>
          <w:rFonts w:hint="default" w:ascii="Times New Roman" w:hAnsi="Times New Roman" w:eastAsia="仿宋" w:cs="Times New Roman"/>
          <w:b w:val="0"/>
          <w:bCs/>
          <w:sz w:val="32"/>
          <w:szCs w:val="32"/>
        </w:rPr>
      </w:pPr>
      <w:r>
        <w:rPr>
          <w:rFonts w:hint="default" w:ascii="Times New Roman" w:hAnsi="Times New Roman" w:eastAsia="仿宋" w:cs="Times New Roman"/>
          <w:b w:val="0"/>
          <w:bCs/>
          <w:sz w:val="32"/>
          <w:szCs w:val="32"/>
        </w:rPr>
        <w:t>13.卫生健康支出</w:t>
      </w:r>
      <w:r>
        <w:rPr>
          <w:rStyle w:val="23"/>
          <w:rFonts w:hint="default" w:ascii="Times New Roman" w:hAnsi="Times New Roman" w:eastAsia="仿宋" w:cs="Times New Roman"/>
          <w:b w:val="0"/>
          <w:bCs/>
          <w:sz w:val="32"/>
          <w:szCs w:val="32"/>
        </w:rPr>
        <w:t>（类）行政事业单位医疗（款）公务员医疗补助（项）:支出决算为8.45万元，完成预算100%。</w:t>
      </w:r>
    </w:p>
    <w:p w14:paraId="2A2D9DA1">
      <w:pPr>
        <w:widowControl w:val="0"/>
        <w:wordWrap/>
        <w:snapToGrid/>
        <w:spacing w:line="560" w:lineRule="exact"/>
        <w:ind w:firstLine="640" w:firstLineChars="200"/>
        <w:textAlignment w:val="auto"/>
        <w:rPr>
          <w:rStyle w:val="23"/>
          <w:rFonts w:hint="default" w:ascii="Times New Roman" w:hAnsi="Times New Roman" w:eastAsia="仿宋" w:cs="Times New Roman"/>
          <w:b w:val="0"/>
          <w:bCs/>
          <w:sz w:val="32"/>
          <w:szCs w:val="32"/>
        </w:rPr>
      </w:pPr>
      <w:r>
        <w:rPr>
          <w:rFonts w:hint="default" w:ascii="Times New Roman" w:hAnsi="Times New Roman" w:eastAsia="仿宋" w:cs="Times New Roman"/>
          <w:b w:val="0"/>
          <w:bCs/>
          <w:sz w:val="32"/>
          <w:szCs w:val="32"/>
        </w:rPr>
        <w:t>14.卫生健康支出</w:t>
      </w:r>
      <w:r>
        <w:rPr>
          <w:rStyle w:val="23"/>
          <w:rFonts w:hint="default" w:ascii="Times New Roman" w:hAnsi="Times New Roman" w:eastAsia="仿宋" w:cs="Times New Roman"/>
          <w:b w:val="0"/>
          <w:bCs/>
          <w:sz w:val="32"/>
          <w:szCs w:val="32"/>
        </w:rPr>
        <w:t>（类）行政事业单位医疗（款）其他行政事业单位医疗支出（项）:支出决算为30.72万元，完成预算100%。</w:t>
      </w:r>
    </w:p>
    <w:p w14:paraId="620B5749">
      <w:pPr>
        <w:pStyle w:val="6"/>
        <w:widowControl w:val="0"/>
        <w:wordWrap/>
        <w:snapToGrid/>
        <w:spacing w:before="93" w:line="560" w:lineRule="exact"/>
        <w:ind w:firstLine="640" w:firstLineChars="200"/>
        <w:textAlignment w:val="auto"/>
        <w:rPr>
          <w:rFonts w:hint="default" w:ascii="Times New Roman" w:hAnsi="Times New Roman" w:cs="Times New Roman"/>
          <w:b w:val="0"/>
          <w:bCs/>
        </w:rPr>
      </w:pPr>
      <w:r>
        <w:rPr>
          <w:rStyle w:val="23"/>
          <w:rFonts w:hint="default" w:ascii="Times New Roman" w:hAnsi="Times New Roman" w:eastAsia="仿宋" w:cs="Times New Roman"/>
          <w:b w:val="0"/>
          <w:bCs/>
          <w:color w:val="000000"/>
          <w:sz w:val="32"/>
          <w:szCs w:val="32"/>
        </w:rPr>
        <w:t>15.农林水支出（类）巩固脱贫攻坚成果衔接乡村振兴（款）其他巩固脱贫攻坚成果衔接乡村振兴支出（项）:支出决算为145.15万元，完成预算100%。</w:t>
      </w:r>
    </w:p>
    <w:p w14:paraId="5F600CF7">
      <w:pPr>
        <w:widowControl w:val="0"/>
        <w:wordWrap/>
        <w:snapToGrid/>
        <w:spacing w:line="560" w:lineRule="exact"/>
        <w:ind w:firstLine="640" w:firstLineChars="200"/>
        <w:textAlignment w:val="auto"/>
        <w:rPr>
          <w:rStyle w:val="23"/>
          <w:rFonts w:hint="default" w:ascii="Times New Roman" w:hAnsi="Times New Roman" w:eastAsia="仿宋" w:cs="Times New Roman"/>
          <w:b w:val="0"/>
          <w:bCs/>
          <w:color w:val="000000"/>
          <w:sz w:val="32"/>
          <w:szCs w:val="32"/>
        </w:rPr>
      </w:pPr>
      <w:r>
        <w:rPr>
          <w:rStyle w:val="23"/>
          <w:rFonts w:hint="default" w:ascii="Times New Roman" w:hAnsi="Times New Roman" w:eastAsia="仿宋" w:cs="Times New Roman"/>
          <w:b w:val="0"/>
          <w:bCs/>
          <w:color w:val="000000"/>
          <w:sz w:val="32"/>
          <w:szCs w:val="32"/>
        </w:rPr>
        <w:t>16.住房保障支出（类）住房改革支出（款）住房公积金（项）:支出决算为92.59万元，完成预算100%。</w:t>
      </w:r>
    </w:p>
    <w:p w14:paraId="7C3B0434">
      <w:pPr>
        <w:widowControl w:val="0"/>
        <w:tabs>
          <w:tab w:val="right" w:pos="8306"/>
        </w:tabs>
        <w:wordWrap/>
        <w:snapToGrid/>
        <w:spacing w:line="560" w:lineRule="exact"/>
        <w:ind w:firstLine="640"/>
        <w:textAlignment w:val="auto"/>
        <w:outlineLvl w:val="1"/>
        <w:rPr>
          <w:rStyle w:val="39"/>
          <w:rFonts w:hint="default" w:ascii="Times New Roman" w:hAnsi="Times New Roman" w:cs="Times New Roman"/>
        </w:rPr>
      </w:pPr>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39"/>
          <w:rFonts w:hint="default" w:ascii="Times New Roman" w:hAnsi="Times New Roman" w:eastAsia="黑体" w:cs="Times New Roman"/>
          <w:b w:val="0"/>
        </w:rPr>
        <w:t>般公共预算财政拨款基本支出决算情况说明</w:t>
      </w:r>
      <w:bookmarkEnd w:id="57"/>
      <w:bookmarkEnd w:id="58"/>
      <w:bookmarkEnd w:id="59"/>
      <w:r>
        <w:rPr>
          <w:rStyle w:val="39"/>
          <w:rFonts w:hint="default" w:ascii="Times New Roman" w:hAnsi="Times New Roman" w:eastAsia="黑体" w:cs="Times New Roman"/>
          <w:b w:val="0"/>
        </w:rPr>
        <w:tab/>
      </w:r>
    </w:p>
    <w:p w14:paraId="5F5D6E5B">
      <w:pPr>
        <w:widowControl w:val="0"/>
        <w:wordWrap/>
        <w:snapToGrid/>
        <w:spacing w:line="560" w:lineRule="exact"/>
        <w:ind w:firstLine="645"/>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2023年度一般公共预算财政拨款基本支出</w:t>
      </w:r>
      <w:r>
        <w:rPr>
          <w:rFonts w:hint="default" w:ascii="Times New Roman" w:hAnsi="Times New Roman" w:eastAsia="仿宋" w:cs="Times New Roman"/>
          <w:b w:val="0"/>
          <w:bCs/>
          <w:sz w:val="32"/>
          <w:szCs w:val="32"/>
        </w:rPr>
        <w:t>1327.1</w:t>
      </w:r>
      <w:r>
        <w:rPr>
          <w:rFonts w:hint="default" w:ascii="Times New Roman" w:hAnsi="Times New Roman" w:eastAsia="仿宋" w:cs="Times New Roman"/>
          <w:sz w:val="32"/>
          <w:szCs w:val="32"/>
        </w:rPr>
        <w:t>万元，其中：</w:t>
      </w:r>
    </w:p>
    <w:p w14:paraId="24A66888">
      <w:pPr>
        <w:widowControl w:val="0"/>
        <w:wordWrap/>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人员经费</w:t>
      </w:r>
      <w:r>
        <w:rPr>
          <w:rFonts w:hint="default" w:ascii="Times New Roman" w:hAnsi="Times New Roman" w:eastAsia="仿宋" w:cs="Times New Roman"/>
          <w:b w:val="0"/>
          <w:bCs/>
          <w:sz w:val="32"/>
          <w:szCs w:val="32"/>
        </w:rPr>
        <w:t>1243.55</w:t>
      </w:r>
      <w:r>
        <w:rPr>
          <w:rFonts w:hint="default" w:ascii="Times New Roman" w:hAnsi="Times New Roman" w:eastAsia="仿宋" w:cs="Times New Roman"/>
          <w:sz w:val="32"/>
          <w:szCs w:val="32"/>
        </w:rPr>
        <w:t>万元，主要包括：基本工资、津贴补贴、奖金、绩效工资、机关事业单位基本养老保险缴费、职业年金缴费、职工基本医疗保险缴费、公务员医疗补助缴费、其他社会保障缴费、住房公积金、医疗费、其他工资福利支出、生活补助、医疗费补助、奖励金等。</w:t>
      </w:r>
    </w:p>
    <w:p w14:paraId="3C3A91CC">
      <w:pPr>
        <w:widowControl w:val="0"/>
        <w:wordWrap/>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用经费83.55万元，主要包括：办公费、印刷费、手续费、水费、电费、邮电费、差旅费、维修（护）费、培训费、公务接待费、劳务费、工会经费、福利费、公务用车运行维护费、其他交通费、其他商品和服务支出等。</w:t>
      </w:r>
    </w:p>
    <w:p w14:paraId="5A295F12">
      <w:pPr>
        <w:widowControl w:val="0"/>
        <w:wordWrap/>
        <w:snapToGrid/>
        <w:spacing w:line="560" w:lineRule="exact"/>
        <w:ind w:firstLine="640"/>
        <w:textAlignment w:val="auto"/>
        <w:outlineLvl w:val="1"/>
        <w:rPr>
          <w:rStyle w:val="39"/>
          <w:rFonts w:hint="default" w:ascii="Times New Roman" w:hAnsi="Times New Roman" w:eastAsia="黑体" w:cs="Times New Roman"/>
          <w:b w:val="0"/>
        </w:rPr>
      </w:pPr>
      <w:bookmarkStart w:id="60" w:name="_Toc15377215"/>
      <w:bookmarkStart w:id="61" w:name="_Toc16767"/>
      <w:bookmarkStart w:id="62" w:name="_Toc15396609"/>
      <w:r>
        <w:rPr>
          <w:rFonts w:hint="default" w:ascii="Times New Roman" w:hAnsi="Times New Roman" w:eastAsia="黑体" w:cs="Times New Roman"/>
          <w:sz w:val="32"/>
          <w:szCs w:val="32"/>
        </w:rPr>
        <w:t>七、</w:t>
      </w:r>
      <w:r>
        <w:rPr>
          <w:rStyle w:val="39"/>
          <w:rFonts w:hint="default" w:ascii="Times New Roman" w:hAnsi="Times New Roman" w:eastAsia="黑体" w:cs="Times New Roman"/>
          <w:b w:val="0"/>
        </w:rPr>
        <w:t>财政拨款</w:t>
      </w:r>
      <w:r>
        <w:rPr>
          <w:rStyle w:val="39"/>
          <w:rFonts w:hint="default" w:ascii="Times New Roman" w:hAnsi="Times New Roman" w:eastAsia="黑体" w:cs="Times New Roman"/>
        </w:rPr>
        <w:t>“</w:t>
      </w:r>
      <w:r>
        <w:rPr>
          <w:rStyle w:val="39"/>
          <w:rFonts w:hint="default" w:ascii="Times New Roman" w:hAnsi="Times New Roman" w:eastAsia="黑体" w:cs="Times New Roman"/>
          <w:b w:val="0"/>
        </w:rPr>
        <w:t>三公”经费支出决算情况说明</w:t>
      </w:r>
      <w:bookmarkEnd w:id="60"/>
      <w:bookmarkEnd w:id="61"/>
      <w:bookmarkEnd w:id="62"/>
    </w:p>
    <w:p w14:paraId="5A5C625C">
      <w:pPr>
        <w:widowControl w:val="0"/>
        <w:wordWrap/>
        <w:snapToGrid/>
        <w:spacing w:line="560" w:lineRule="exact"/>
        <w:ind w:firstLine="640"/>
        <w:textAlignment w:val="auto"/>
        <w:outlineLvl w:val="2"/>
        <w:rPr>
          <w:rFonts w:hint="default" w:ascii="Times New Roman" w:hAnsi="Times New Roman" w:eastAsia="仿宋" w:cs="Times New Roman"/>
          <w:b/>
          <w:sz w:val="32"/>
          <w:szCs w:val="32"/>
        </w:rPr>
      </w:pPr>
      <w:bookmarkStart w:id="63" w:name="_Toc15377216"/>
      <w:r>
        <w:rPr>
          <w:rFonts w:hint="default" w:ascii="Times New Roman" w:hAnsi="Times New Roman" w:eastAsia="仿宋" w:cs="Times New Roman"/>
          <w:b/>
          <w:sz w:val="32"/>
          <w:szCs w:val="32"/>
        </w:rPr>
        <w:t>（一）“三公”经费财政拨款支出决算总体情况说明</w:t>
      </w:r>
      <w:bookmarkEnd w:id="63"/>
    </w:p>
    <w:p w14:paraId="431BC0EA">
      <w:pPr>
        <w:widowControl w:val="0"/>
        <w:wordWrap/>
        <w:snapToGrid/>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2023年度“三公”经费财政拨款支出决算为</w:t>
      </w:r>
      <w:r>
        <w:rPr>
          <w:rFonts w:hint="default" w:ascii="Times New Roman" w:hAnsi="Times New Roman" w:eastAsia="仿宋" w:cs="Times New Roman"/>
          <w:b w:val="0"/>
          <w:bCs/>
          <w:sz w:val="32"/>
          <w:szCs w:val="32"/>
        </w:rPr>
        <w:t>3.8</w:t>
      </w:r>
      <w:r>
        <w:rPr>
          <w:rFonts w:hint="default" w:ascii="Times New Roman" w:hAnsi="Times New Roman" w:eastAsia="仿宋" w:cs="Times New Roman"/>
          <w:sz w:val="32"/>
          <w:szCs w:val="32"/>
        </w:rPr>
        <w:t>万元，完成预算</w:t>
      </w:r>
      <w:r>
        <w:rPr>
          <w:rFonts w:hint="default" w:ascii="Times New Roman" w:hAnsi="Times New Roman" w:eastAsia="仿宋" w:cs="Times New Roman"/>
          <w:b w:val="0"/>
          <w:bCs/>
          <w:sz w:val="32"/>
          <w:szCs w:val="32"/>
        </w:rPr>
        <w:t>100</w:t>
      </w:r>
      <w:r>
        <w:rPr>
          <w:rFonts w:hint="default" w:ascii="Times New Roman" w:hAnsi="Times New Roman" w:eastAsia="仿宋" w:cs="Times New Roman"/>
          <w:sz w:val="32"/>
          <w:szCs w:val="32"/>
        </w:rPr>
        <w:t>%，较上年度（2022年为2.12万元）增加1.68万元，增长79.25%。决算数与预算数持平。</w:t>
      </w:r>
    </w:p>
    <w:p w14:paraId="6E7C6B80">
      <w:pPr>
        <w:widowControl w:val="0"/>
        <w:wordWrap/>
        <w:snapToGrid/>
        <w:spacing w:line="560" w:lineRule="exact"/>
        <w:ind w:firstLine="640"/>
        <w:textAlignment w:val="auto"/>
        <w:outlineLvl w:val="2"/>
        <w:rPr>
          <w:rFonts w:hint="default" w:ascii="Times New Roman" w:hAnsi="Times New Roman" w:eastAsia="仿宋" w:cs="Times New Roman"/>
          <w:b/>
          <w:sz w:val="32"/>
          <w:szCs w:val="32"/>
        </w:rPr>
      </w:pPr>
      <w:bookmarkStart w:id="64" w:name="_Toc15377217"/>
      <w:r>
        <w:rPr>
          <w:rFonts w:hint="default" w:ascii="Times New Roman" w:hAnsi="Times New Roman" w:eastAsia="仿宋" w:cs="Times New Roman"/>
          <w:b/>
          <w:sz w:val="32"/>
          <w:szCs w:val="32"/>
        </w:rPr>
        <w:t>（二）“三公”经费财政拨款支出决算具体情况说明</w:t>
      </w:r>
      <w:bookmarkEnd w:id="64"/>
    </w:p>
    <w:p w14:paraId="25DE4EDD">
      <w:pPr>
        <w:widowControl w:val="0"/>
        <w:wordWrap/>
        <w:snapToGrid/>
        <w:spacing w:line="560" w:lineRule="exact"/>
        <w:ind w:firstLine="640"/>
        <w:textAlignment w:val="auto"/>
        <w:rPr>
          <w:rFonts w:hint="default" w:ascii="Times New Roman" w:hAnsi="Times New Roman" w:eastAsia="仿宋" w:cs="Times New Roman"/>
          <w:b w:val="0"/>
          <w:bCs/>
          <w:sz w:val="32"/>
          <w:szCs w:val="32"/>
        </w:rPr>
      </w:pPr>
      <w:r>
        <w:rPr>
          <w:rFonts w:hint="default" w:ascii="Times New Roman" w:hAnsi="Times New Roman" w:eastAsia="仿宋" w:cs="Times New Roman"/>
          <w:b w:val="0"/>
          <w:bCs/>
          <w:sz w:val="32"/>
          <w:szCs w:val="32"/>
        </w:rPr>
        <w:t>2023年度“三公”经费财政拨款支出决算中，因公出国（境）费支出决算0万元，占0%；公务用车购置及运行维护费支出决算3.5万元，占92.11%；公务接待费支出决算0.3万元，占7.89%。具体情况如下：</w:t>
      </w:r>
    </w:p>
    <w:p w14:paraId="66F6EF8E">
      <w:pPr>
        <w:widowControl w:val="0"/>
        <w:wordWrap/>
        <w:snapToGrid/>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b/>
          <w:kern w:val="0"/>
          <w:sz w:val="24"/>
          <w:szCs w:val="20"/>
          <w:lang w:val="en-US" w:eastAsia="zh-CN" w:bidi="ar-SA"/>
        </w:rPr>
        <w:pict>
          <v:shape id="_x0000_s1034" o:spid="_x0000_s1034" o:spt="75" type="#_x0000_t75" style="position:absolute;left:0pt;margin-left:65.25pt;margin-top:10.65pt;height:157.55pt;width:235.6pt;mso-wrap-distance-bottom:0pt;mso-wrap-distance-left:9pt;mso-wrap-distance-right:9pt;mso-wrap-distance-top:0pt;z-index:251665408;mso-width-relative:page;mso-height-relative:page;" o:ole="t" fillcolor="#FFFFFF" filled="f" o:preferrelative="t" stroked="f" coordsize="21600,21600">
            <v:path/>
            <v:fill on="f" color2="#FFFFFF" focussize="0,0"/>
            <v:stroke on="f"/>
            <v:imagedata r:id="rId20" gain="65536f" blacklevel="0f" gamma="0" o:title=""/>
            <o:lock v:ext="edit" position="f" selection="f" grouping="f" rotation="f" cropping="f" text="f" aspectratio="t"/>
            <w10:wrap type="square"/>
          </v:shape>
          <o:OLEObject Type="Embed" ProgID="MSGraph.Chart.8" ShapeID="_x0000_s1034" DrawAspect="Content" ObjectID="_1468075731" r:id="rId19">
            <o:LockedField>false</o:LockedField>
          </o:OLEObject>
        </w:pict>
      </w:r>
    </w:p>
    <w:p w14:paraId="1460677F">
      <w:pPr>
        <w:widowControl w:val="0"/>
        <w:wordWrap/>
        <w:snapToGrid/>
        <w:spacing w:line="560" w:lineRule="exact"/>
        <w:ind w:firstLine="640"/>
        <w:textAlignment w:val="auto"/>
        <w:rPr>
          <w:rFonts w:hint="default" w:ascii="Times New Roman" w:hAnsi="Times New Roman" w:eastAsia="仿宋" w:cs="Times New Roman"/>
          <w:sz w:val="32"/>
          <w:szCs w:val="32"/>
        </w:rPr>
      </w:pPr>
    </w:p>
    <w:p w14:paraId="03DCB943">
      <w:pPr>
        <w:widowControl w:val="0"/>
        <w:wordWrap/>
        <w:snapToGrid/>
        <w:spacing w:line="560" w:lineRule="exact"/>
        <w:ind w:firstLine="640"/>
        <w:textAlignment w:val="auto"/>
        <w:rPr>
          <w:rFonts w:hint="default" w:ascii="Times New Roman" w:hAnsi="Times New Roman" w:eastAsia="仿宋" w:cs="Times New Roman"/>
          <w:sz w:val="32"/>
          <w:szCs w:val="32"/>
        </w:rPr>
      </w:pPr>
    </w:p>
    <w:p w14:paraId="7E7BC713">
      <w:pPr>
        <w:widowControl w:val="0"/>
        <w:wordWrap/>
        <w:snapToGrid/>
        <w:spacing w:line="560" w:lineRule="exact"/>
        <w:ind w:firstLine="640"/>
        <w:textAlignment w:val="auto"/>
        <w:rPr>
          <w:rFonts w:hint="default" w:ascii="Times New Roman" w:hAnsi="Times New Roman" w:eastAsia="仿宋" w:cs="Times New Roman"/>
          <w:sz w:val="32"/>
          <w:szCs w:val="32"/>
        </w:rPr>
      </w:pPr>
    </w:p>
    <w:p w14:paraId="3CCA562E">
      <w:pPr>
        <w:widowControl w:val="0"/>
        <w:wordWrap/>
        <w:snapToGrid/>
        <w:spacing w:line="560" w:lineRule="exact"/>
        <w:ind w:firstLine="640"/>
        <w:textAlignment w:val="auto"/>
        <w:rPr>
          <w:rFonts w:hint="default" w:ascii="Times New Roman" w:hAnsi="Times New Roman" w:eastAsia="仿宋" w:cs="Times New Roman"/>
          <w:sz w:val="32"/>
          <w:szCs w:val="32"/>
        </w:rPr>
      </w:pPr>
    </w:p>
    <w:p w14:paraId="69F55858">
      <w:pPr>
        <w:widowControl w:val="0"/>
        <w:wordWrap/>
        <w:snapToGrid/>
        <w:spacing w:line="560" w:lineRule="exact"/>
        <w:ind w:firstLine="640"/>
        <w:textAlignment w:val="auto"/>
        <w:rPr>
          <w:rFonts w:hint="default" w:ascii="Times New Roman" w:hAnsi="Times New Roman" w:eastAsia="仿宋" w:cs="Times New Roman"/>
          <w:sz w:val="32"/>
          <w:szCs w:val="32"/>
        </w:rPr>
      </w:pPr>
    </w:p>
    <w:p w14:paraId="28FC9755">
      <w:pPr>
        <w:widowControl w:val="0"/>
        <w:wordWrap/>
        <w:snapToGrid/>
        <w:spacing w:line="560" w:lineRule="exact"/>
        <w:ind w:firstLine="640"/>
        <w:textAlignment w:val="auto"/>
        <w:rPr>
          <w:rFonts w:hint="default" w:ascii="Times New Roman" w:hAnsi="Times New Roman" w:eastAsia="仿宋" w:cs="Times New Roman"/>
          <w:sz w:val="32"/>
          <w:szCs w:val="32"/>
        </w:rPr>
      </w:pPr>
    </w:p>
    <w:p w14:paraId="00B8A471">
      <w:pPr>
        <w:widowControl w:val="0"/>
        <w:wordWrap/>
        <w:snapToGrid/>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（图7：“三公”经费财政拨款支出结构）（饼状图）</w:t>
      </w:r>
    </w:p>
    <w:p w14:paraId="7B059885">
      <w:pPr>
        <w:widowControl w:val="0"/>
        <w:wordWrap/>
        <w:snapToGrid/>
        <w:spacing w:line="560" w:lineRule="exact"/>
        <w:ind w:firstLine="640"/>
        <w:textAlignment w:val="auto"/>
        <w:rPr>
          <w:rFonts w:hint="default" w:ascii="Times New Roman" w:hAnsi="Times New Roman" w:eastAsia="仿宋" w:cs="Times New Roman"/>
          <w:b w:val="0"/>
          <w:bCs/>
          <w:sz w:val="32"/>
          <w:szCs w:val="32"/>
        </w:rPr>
      </w:pPr>
      <w:bookmarkStart w:id="65" w:name="_Toc15377218"/>
      <w:bookmarkStart w:id="66" w:name="_Toc15396610"/>
      <w:r>
        <w:rPr>
          <w:rFonts w:hint="default" w:ascii="Times New Roman" w:hAnsi="Times New Roman" w:eastAsia="仿宋" w:cs="Times New Roman"/>
          <w:b w:val="0"/>
          <w:bCs/>
          <w:sz w:val="32"/>
          <w:szCs w:val="32"/>
        </w:rPr>
        <w:t>1.因公出国（境）经费支出0万元，年初无该项预算安排。全年安排因公出国（境）团组0次，出国（境）0人。因公出国（境）支出决算与2022年持平。主要原因是本单位未安排出国公务，未产生出国（境）费用。</w:t>
      </w:r>
    </w:p>
    <w:p w14:paraId="59D541F1">
      <w:pPr>
        <w:widowControl w:val="0"/>
        <w:wordWrap/>
        <w:snapToGrid/>
        <w:spacing w:line="560" w:lineRule="exact"/>
        <w:ind w:firstLine="640"/>
        <w:textAlignment w:val="auto"/>
        <w:rPr>
          <w:rFonts w:hint="default" w:ascii="Times New Roman" w:hAnsi="Times New Roman" w:eastAsia="仿宋_GB2312" w:cs="Times New Roman"/>
          <w:b/>
          <w:sz w:val="32"/>
          <w:szCs w:val="32"/>
        </w:rPr>
      </w:pPr>
      <w:r>
        <w:rPr>
          <w:rFonts w:hint="default" w:ascii="Times New Roman" w:hAnsi="Times New Roman" w:eastAsia="仿宋" w:cs="Times New Roman"/>
          <w:b w:val="0"/>
          <w:bCs/>
          <w:sz w:val="32"/>
          <w:szCs w:val="32"/>
        </w:rPr>
        <w:t>2.公务用车购置及运行维护费支出3.5万元,完成预算100%。公务用车购置及运行维护费支出决算比2022年度</w:t>
      </w:r>
      <w:r>
        <w:rPr>
          <w:rFonts w:hint="default" w:ascii="Times New Roman" w:hAnsi="Times New Roman" w:eastAsia="仿宋_GB2312" w:cs="Times New Roman"/>
          <w:sz w:val="32"/>
          <w:szCs w:val="32"/>
        </w:rPr>
        <w:t>（2022年度为1.5万元）增加2万元，增长133.33%。主要原因是外出检查等工作较多，使用油费增加，维修费维护费用增加。</w:t>
      </w:r>
    </w:p>
    <w:p w14:paraId="759C2C95">
      <w:pPr>
        <w:widowControl w:val="0"/>
        <w:wordWrap/>
        <w:snapToGrid/>
        <w:spacing w:line="560" w:lineRule="exact"/>
        <w:ind w:firstLine="640"/>
        <w:textAlignment w:val="auto"/>
        <w:rPr>
          <w:rFonts w:hint="default" w:ascii="Times New Roman" w:hAnsi="Times New Roman" w:eastAsia="仿宋" w:cs="Times New Roman"/>
          <w:b w:val="0"/>
          <w:bCs/>
          <w:sz w:val="32"/>
          <w:szCs w:val="32"/>
        </w:rPr>
      </w:pPr>
      <w:r>
        <w:rPr>
          <w:rFonts w:hint="default" w:ascii="Times New Roman" w:hAnsi="Times New Roman" w:eastAsia="仿宋" w:cs="Times New Roman"/>
          <w:b w:val="0"/>
          <w:bCs/>
          <w:sz w:val="32"/>
          <w:szCs w:val="32"/>
        </w:rPr>
        <w:t>其中：公务用车购置支出0万元。全年未购置公务用车。</w:t>
      </w:r>
    </w:p>
    <w:p w14:paraId="5F9BFB53">
      <w:pPr>
        <w:widowControl w:val="0"/>
        <w:wordWrap/>
        <w:snapToGrid/>
        <w:spacing w:line="560" w:lineRule="exact"/>
        <w:ind w:firstLine="640"/>
        <w:textAlignment w:val="auto"/>
        <w:rPr>
          <w:rFonts w:hint="default" w:ascii="Times New Roman" w:hAnsi="Times New Roman" w:eastAsia="仿宋" w:cs="Times New Roman"/>
          <w:b w:val="0"/>
          <w:bCs/>
          <w:sz w:val="32"/>
          <w:szCs w:val="32"/>
        </w:rPr>
      </w:pPr>
      <w:r>
        <w:rPr>
          <w:rFonts w:hint="default" w:ascii="Times New Roman" w:hAnsi="Times New Roman" w:eastAsia="仿宋" w:cs="Times New Roman"/>
          <w:b w:val="0"/>
          <w:bCs/>
          <w:sz w:val="32"/>
          <w:szCs w:val="32"/>
        </w:rPr>
        <w:t>公务用车运行维护费支出3.5万元。主要用于乡村振兴、检查工作等所需的公务用车燃料费、维修费、过路过桥费、保险费等支出。</w:t>
      </w:r>
    </w:p>
    <w:p w14:paraId="2E27AF2F">
      <w:pPr>
        <w:widowControl w:val="0"/>
        <w:wordWrap/>
        <w:snapToGrid/>
        <w:spacing w:line="560" w:lineRule="exact"/>
        <w:ind w:firstLine="640"/>
        <w:textAlignment w:val="auto"/>
        <w:rPr>
          <w:rFonts w:hint="default" w:ascii="Times New Roman" w:hAnsi="Times New Roman" w:eastAsia="仿宋" w:cs="Times New Roman"/>
          <w:b w:val="0"/>
          <w:bCs/>
          <w:sz w:val="32"/>
          <w:szCs w:val="32"/>
        </w:rPr>
      </w:pPr>
      <w:r>
        <w:rPr>
          <w:rFonts w:hint="default" w:ascii="Times New Roman" w:hAnsi="Times New Roman" w:eastAsia="仿宋" w:cs="Times New Roman"/>
          <w:b w:val="0"/>
          <w:bCs/>
          <w:sz w:val="32"/>
          <w:szCs w:val="32"/>
        </w:rPr>
        <w:t>3.公务接待费支出0.3万元，完成预算100%。公务接待费支出决算比2022年度（2022年度为0.62万元）减少0.32万元，下降106.67%。主要原因是严格执行厉行节、制止浪费行为的有关规定。其中：</w:t>
      </w:r>
    </w:p>
    <w:p w14:paraId="2901F1CA">
      <w:pPr>
        <w:widowControl w:val="0"/>
        <w:wordWrap/>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val="0"/>
          <w:bCs/>
          <w:sz w:val="32"/>
          <w:szCs w:val="32"/>
        </w:rPr>
        <w:t>国内公务接待支出0.3万元，主要用于米易县代我县开</w:t>
      </w:r>
      <w:r>
        <w:rPr>
          <w:rFonts w:hint="default" w:ascii="Times New Roman" w:hAnsi="Times New Roman" w:eastAsia="仿宋_GB2312" w:cs="Times New Roman"/>
          <w:sz w:val="32"/>
          <w:szCs w:val="32"/>
        </w:rPr>
        <w:t>展补贴性职业技能培训问题检查、宜宾市社保中心到我县开展养老保险政策执行情况大调研大检查开支的用餐费。国内公务接待2批次，25人次（不包括陪同人员），共计支出0.3万元，具体内容包括：米易县代我县开展补贴性职业技能培训问题检查用餐费0.03万元（4人）、宜宾市社保中心到我县开展养老保险政策执行情况大调研大检查用餐费0.27万元（21人）。</w:t>
      </w:r>
    </w:p>
    <w:p w14:paraId="77D6B457">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val="0"/>
          <w:bCs/>
          <w:sz w:val="32"/>
          <w:szCs w:val="32"/>
        </w:rPr>
        <w:t>外事接待支出0万元，外事接待0批次，0人次，共计</w:t>
      </w:r>
      <w:r>
        <w:rPr>
          <w:rFonts w:hint="default" w:ascii="Times New Roman" w:hAnsi="Times New Roman" w:eastAsia="仿宋_GB2312" w:cs="Times New Roman"/>
          <w:sz w:val="32"/>
          <w:szCs w:val="32"/>
        </w:rPr>
        <w:t>支出0万元。</w:t>
      </w:r>
    </w:p>
    <w:p w14:paraId="4D3C94D7">
      <w:pPr>
        <w:widowControl w:val="0"/>
        <w:wordWrap/>
        <w:snapToGrid/>
        <w:spacing w:line="560" w:lineRule="exact"/>
        <w:ind w:firstLine="640"/>
        <w:textAlignment w:val="auto"/>
        <w:outlineLvl w:val="1"/>
        <w:rPr>
          <w:rStyle w:val="39"/>
          <w:rFonts w:hint="default" w:ascii="Times New Roman" w:hAnsi="Times New Roman" w:eastAsia="黑体" w:cs="Times New Roman"/>
        </w:rPr>
      </w:pPr>
      <w:bookmarkStart w:id="67" w:name="_Toc10727"/>
      <w:r>
        <w:rPr>
          <w:rFonts w:hint="default" w:ascii="Times New Roman" w:hAnsi="Times New Roman" w:eastAsia="黑体" w:cs="Times New Roman"/>
          <w:sz w:val="32"/>
          <w:szCs w:val="32"/>
        </w:rPr>
        <w:t>八、</w:t>
      </w:r>
      <w:r>
        <w:rPr>
          <w:rStyle w:val="39"/>
          <w:rFonts w:hint="default" w:ascii="Times New Roman" w:hAnsi="Times New Roman" w:eastAsia="黑体" w:cs="Times New Roman"/>
          <w:b w:val="0"/>
        </w:rPr>
        <w:t>政府性基金预算支出决算情况说明</w:t>
      </w:r>
      <w:bookmarkEnd w:id="65"/>
      <w:bookmarkEnd w:id="66"/>
      <w:bookmarkEnd w:id="67"/>
    </w:p>
    <w:p w14:paraId="5CBB9D50">
      <w:pPr>
        <w:widowControl w:val="0"/>
        <w:wordWrap/>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2023年度政府性基金预算财政拨款支出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w:t>
      </w:r>
    </w:p>
    <w:p w14:paraId="6140414B">
      <w:pPr>
        <w:widowControl w:val="0"/>
        <w:numPr>
          <w:ilvl w:val="0"/>
          <w:numId w:val="2"/>
        </w:numPr>
        <w:wordWrap/>
        <w:snapToGrid/>
        <w:spacing w:line="560" w:lineRule="exact"/>
        <w:ind w:firstLine="640"/>
        <w:textAlignment w:val="auto"/>
        <w:outlineLvl w:val="1"/>
        <w:rPr>
          <w:rStyle w:val="39"/>
          <w:rFonts w:hint="default" w:ascii="Times New Roman" w:hAnsi="Times New Roman" w:eastAsia="黑体" w:cs="Times New Roman"/>
          <w:b w:val="0"/>
        </w:rPr>
      </w:pPr>
      <w:bookmarkStart w:id="68" w:name="_Toc12665"/>
      <w:bookmarkStart w:id="69" w:name="_Toc15396611"/>
      <w:bookmarkStart w:id="70" w:name="_Toc15377219"/>
      <w:r>
        <w:rPr>
          <w:rStyle w:val="39"/>
          <w:rFonts w:hint="default" w:ascii="Times New Roman" w:hAnsi="Times New Roman" w:eastAsia="黑体" w:cs="Times New Roman"/>
          <w:b w:val="0"/>
        </w:rPr>
        <w:t>国有资本经营预算支出决算情况说明</w:t>
      </w:r>
      <w:bookmarkEnd w:id="68"/>
      <w:bookmarkEnd w:id="69"/>
      <w:bookmarkEnd w:id="70"/>
    </w:p>
    <w:p w14:paraId="271E284F">
      <w:pPr>
        <w:widowControl w:val="0"/>
        <w:wordWrap/>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2023年度国有资本经营预算财政拨款支出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w:t>
      </w:r>
    </w:p>
    <w:p w14:paraId="58015BCA">
      <w:pPr>
        <w:widowControl w:val="0"/>
        <w:numPr>
          <w:ilvl w:val="0"/>
          <w:numId w:val="2"/>
        </w:numPr>
        <w:wordWrap/>
        <w:snapToGrid/>
        <w:spacing w:line="560" w:lineRule="exact"/>
        <w:ind w:firstLine="640"/>
        <w:textAlignment w:val="auto"/>
        <w:outlineLvl w:val="1"/>
        <w:rPr>
          <w:rStyle w:val="39"/>
          <w:rFonts w:hint="default" w:ascii="Times New Roman" w:hAnsi="Times New Roman" w:eastAsia="黑体" w:cs="Times New Roman"/>
          <w:b w:val="0"/>
        </w:rPr>
      </w:pPr>
      <w:bookmarkStart w:id="71" w:name="_Toc15396612"/>
      <w:bookmarkStart w:id="72" w:name="_Toc15377221"/>
      <w:bookmarkStart w:id="73" w:name="_Toc5461"/>
      <w:r>
        <w:rPr>
          <w:rStyle w:val="39"/>
          <w:rFonts w:hint="default" w:ascii="Times New Roman" w:hAnsi="Times New Roman" w:eastAsia="黑体" w:cs="Times New Roman"/>
          <w:b w:val="0"/>
        </w:rPr>
        <w:t>其他重要事项的情况说明</w:t>
      </w:r>
      <w:bookmarkEnd w:id="71"/>
      <w:bookmarkEnd w:id="72"/>
      <w:bookmarkEnd w:id="73"/>
    </w:p>
    <w:p w14:paraId="2F3B8F8B">
      <w:pPr>
        <w:widowControl w:val="0"/>
        <w:wordWrap/>
        <w:snapToGrid/>
        <w:spacing w:line="560" w:lineRule="exact"/>
        <w:ind w:firstLine="643" w:firstLineChars="200"/>
        <w:textAlignment w:val="auto"/>
        <w:outlineLvl w:val="2"/>
        <w:rPr>
          <w:rFonts w:hint="default" w:ascii="Times New Roman" w:hAnsi="Times New Roman" w:eastAsia="仿宋" w:cs="Times New Roman"/>
          <w:sz w:val="32"/>
          <w:szCs w:val="32"/>
        </w:rPr>
      </w:pPr>
      <w:bookmarkStart w:id="74" w:name="_Toc15377222"/>
      <w:r>
        <w:rPr>
          <w:rFonts w:hint="default" w:ascii="Times New Roman" w:hAnsi="Times New Roman" w:eastAsia="仿宋" w:cs="Times New Roman"/>
          <w:b/>
          <w:sz w:val="32"/>
          <w:szCs w:val="32"/>
        </w:rPr>
        <w:t>（一）机关运行经费支出情况</w:t>
      </w:r>
      <w:bookmarkEnd w:id="74"/>
    </w:p>
    <w:p w14:paraId="64974F17">
      <w:pPr>
        <w:widowControl w:val="0"/>
        <w:wordWrap/>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w:t>
      </w:r>
      <w:r>
        <w:rPr>
          <w:rFonts w:hint="default" w:ascii="Times New Roman" w:hAnsi="Times New Roman" w:eastAsia="仿宋_GB2312" w:cs="Times New Roman"/>
          <w:sz w:val="32"/>
          <w:szCs w:val="32"/>
          <w:lang w:eastAsia="zh-CN"/>
        </w:rPr>
        <w:t>我部门</w:t>
      </w:r>
      <w:r>
        <w:rPr>
          <w:rFonts w:hint="default" w:ascii="Times New Roman" w:hAnsi="Times New Roman" w:eastAsia="仿宋_GB2312" w:cs="Times New Roman"/>
          <w:sz w:val="32"/>
          <w:szCs w:val="32"/>
        </w:rPr>
        <w:t>机关运行经费支出83.55万元，比2022年（2022年度为56.54万元）增加27.01万元，增长47.77%。主要原因是2023年度人员较2022年度增加，故公用经费支出增加。</w:t>
      </w:r>
    </w:p>
    <w:p w14:paraId="66CFE6EA">
      <w:pPr>
        <w:widowControl w:val="0"/>
        <w:wordWrap/>
        <w:autoSpaceDE w:val="0"/>
        <w:autoSpaceDN w:val="0"/>
        <w:adjustRightInd w:val="0"/>
        <w:snapToGrid/>
        <w:spacing w:line="560" w:lineRule="exact"/>
        <w:ind w:firstLine="643" w:firstLineChars="200"/>
        <w:jc w:val="left"/>
        <w:textAlignment w:val="auto"/>
        <w:outlineLvl w:val="2"/>
        <w:rPr>
          <w:rFonts w:hint="default" w:ascii="Times New Roman" w:hAnsi="Times New Roman" w:eastAsia="仿宋" w:cs="Times New Roman"/>
          <w:b/>
          <w:sz w:val="32"/>
          <w:szCs w:val="32"/>
        </w:rPr>
      </w:pPr>
      <w:bookmarkStart w:id="75" w:name="_Toc15377223"/>
      <w:r>
        <w:rPr>
          <w:rFonts w:hint="default" w:ascii="Times New Roman" w:hAnsi="Times New Roman" w:eastAsia="仿宋" w:cs="Times New Roman"/>
          <w:b/>
          <w:sz w:val="32"/>
          <w:szCs w:val="32"/>
        </w:rPr>
        <w:t>（二）政府采购支出情况</w:t>
      </w:r>
      <w:bookmarkEnd w:id="75"/>
    </w:p>
    <w:p w14:paraId="12E9E99B">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2023年度，盐边县人力资源和社会保障局政府采购支出总额</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w:t>
      </w:r>
    </w:p>
    <w:p w14:paraId="3CB57847">
      <w:pPr>
        <w:widowControl w:val="0"/>
        <w:wordWrap/>
        <w:autoSpaceDE w:val="0"/>
        <w:autoSpaceDN w:val="0"/>
        <w:adjustRightInd w:val="0"/>
        <w:snapToGrid/>
        <w:spacing w:line="560" w:lineRule="exact"/>
        <w:ind w:firstLine="643" w:firstLineChars="200"/>
        <w:jc w:val="left"/>
        <w:textAlignment w:val="auto"/>
        <w:outlineLvl w:val="2"/>
        <w:rPr>
          <w:rFonts w:hint="default" w:ascii="Times New Roman" w:hAnsi="Times New Roman" w:eastAsia="仿宋" w:cs="Times New Roman"/>
          <w:b/>
          <w:sz w:val="32"/>
          <w:szCs w:val="32"/>
        </w:rPr>
      </w:pPr>
      <w:bookmarkStart w:id="76" w:name="_Toc15377224"/>
      <w:r>
        <w:rPr>
          <w:rFonts w:hint="default" w:ascii="Times New Roman" w:hAnsi="Times New Roman" w:eastAsia="仿宋" w:cs="Times New Roman"/>
          <w:b/>
          <w:sz w:val="32"/>
          <w:szCs w:val="32"/>
        </w:rPr>
        <w:t>（三）国有资产占有使用情况</w:t>
      </w:r>
      <w:bookmarkEnd w:id="76"/>
    </w:p>
    <w:p w14:paraId="25F81FA9">
      <w:pPr>
        <w:widowControl w:val="0"/>
        <w:wordWrap/>
        <w:autoSpaceDE w:val="0"/>
        <w:autoSpaceDN w:val="0"/>
        <w:adjustRightInd w:val="0"/>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截至2023年12月31日，盐边县人力资源和社会保障局共有车辆</w:t>
      </w:r>
      <w:r>
        <w:rPr>
          <w:rFonts w:hint="default" w:ascii="Times New Roman" w:hAnsi="Times New Roman" w:eastAsia="仿宋_GB2312" w:cs="Times New Roman"/>
          <w:b/>
          <w:sz w:val="32"/>
          <w:szCs w:val="32"/>
        </w:rPr>
        <w:t>1</w:t>
      </w:r>
      <w:r>
        <w:rPr>
          <w:rFonts w:hint="default" w:ascii="Times New Roman" w:hAnsi="Times New Roman" w:eastAsia="仿宋_GB2312" w:cs="Times New Roman"/>
          <w:sz w:val="32"/>
          <w:szCs w:val="32"/>
        </w:rPr>
        <w:t>辆，其中：其他用车1辆，其他用车主要是用于</w:t>
      </w:r>
      <w:r>
        <w:rPr>
          <w:rFonts w:hint="default" w:ascii="Times New Roman" w:hAnsi="Times New Roman" w:eastAsia="仿宋_GB2312" w:cs="Times New Roman"/>
          <w:color w:val="000000"/>
          <w:sz w:val="32"/>
          <w:szCs w:val="32"/>
        </w:rPr>
        <w:t>社会保险工作、就业创业工作、劳动保障监察等相关工作用车。</w:t>
      </w:r>
      <w:r>
        <w:rPr>
          <w:rFonts w:hint="default" w:ascii="Times New Roman" w:hAnsi="Times New Roman" w:eastAsia="仿宋_GB2312" w:cs="Times New Roman"/>
          <w:sz w:val="32"/>
          <w:szCs w:val="32"/>
        </w:rPr>
        <w:t>单价50万元以上通用设备0台（套），单价100万元以上专用设备0台（套）。</w:t>
      </w:r>
    </w:p>
    <w:p w14:paraId="37D1B748">
      <w:pPr>
        <w:widowControl w:val="0"/>
        <w:wordWrap/>
        <w:autoSpaceDE w:val="0"/>
        <w:autoSpaceDN w:val="0"/>
        <w:adjustRightInd w:val="0"/>
        <w:snapToGrid/>
        <w:spacing w:line="560" w:lineRule="exact"/>
        <w:ind w:firstLine="643" w:firstLineChars="200"/>
        <w:jc w:val="left"/>
        <w:textAlignment w:val="auto"/>
        <w:outlineLvl w:val="2"/>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14:paraId="318651A5">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预算绩效管理要求，本部门在2023年度预算编制阶段，组织对推进乡村振兴补助资金（农村公益性岗位开发）项目支出绩效自评报告、表彰（表扬）活动经费项目支出绩效自评等14个项目开展了预算事前绩效评估，对14个项目编制了绩效目标，预算执行过程中，选取14个项目开展绩效监控。</w:t>
      </w:r>
    </w:p>
    <w:p w14:paraId="603A03FD">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织对2023年度一般公共预算、政府性基金预算、国有资本经营预算、社会保险基金预算以及资本资产、债券资金等全面开展绩效自评，形成盐边县人力资源和社会保障局部门整体（含部门预算项目）绩效自评报告、表彰（表扬）活动经费项目支出绩效自评等专项预算项目绩效自评报告，其中，盐边县人力资源和社会保障局部门整体（含部门预算项目）绩效自评得分为100分，绩效自评综述：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盐边县人力资源和社会保障局根据人员情况及业务开展需要，逐项做出预算计划，预算合理、不留缺口、不留空项，在资金使用和管理方面，进一步强化资金统筹，优化资金结构，明确开支范围，细化资金用途，确保部门职责任务顺利完成。全年支出保证了部门的正常运行和专项工作的正常开展，达到预期绩效目标，总体较为满意；表彰（表扬）活动经费项目支出专项预算项目绩效自评得分为100分，绩效自评综述：盐边干部紧扣“钒钛首县、滋味盐边”发展定位，迎难而上、主动作为、攻坚突破，全县干部奋进新时代，加快构建新发展格局，努力实现经济跨越提升、社会安定和谐，奋力谱写社会主义现代化盐边建设新篇章，争取早日把盐边建设成为雅砻江畔的璀璨明珠。绩效自评报告详见附件。</w:t>
      </w:r>
    </w:p>
    <w:p w14:paraId="53A269D6">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14:paraId="0F1243D2">
      <w:pPr>
        <w:pStyle w:val="2"/>
        <w:widowControl w:val="0"/>
        <w:wordWrap/>
        <w:snapToGrid/>
        <w:spacing w:line="560" w:lineRule="exact"/>
        <w:jc w:val="center"/>
        <w:textAlignment w:val="auto"/>
        <w:rPr>
          <w:rFonts w:hint="default" w:ascii="Times New Roman" w:hAnsi="Times New Roman" w:cs="Times New Roman"/>
        </w:rPr>
      </w:pPr>
      <w:bookmarkStart w:id="77" w:name="_Toc830"/>
      <w:r>
        <w:rPr>
          <w:rFonts w:hint="eastAsia" w:ascii="黑体" w:hAnsi="黑体" w:eastAsia="黑体" w:cs="黑体"/>
          <w:b w:val="0"/>
          <w:bCs w:val="0"/>
        </w:rPr>
        <w:t>第三部分名词解释</w:t>
      </w:r>
      <w:bookmarkEnd w:id="77"/>
    </w:p>
    <w:p w14:paraId="3E72B629">
      <w:pPr>
        <w:widowControl w:val="0"/>
        <w:wordWrap/>
        <w:snapToGrid/>
        <w:spacing w:line="560" w:lineRule="exact"/>
        <w:textAlignment w:val="auto"/>
        <w:rPr>
          <w:rFonts w:hint="default" w:ascii="Times New Roman" w:hAnsi="Times New Roman" w:cs="Times New Roman"/>
        </w:rPr>
      </w:pPr>
    </w:p>
    <w:p w14:paraId="25483215">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14:paraId="784C26B6">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2.事业收入：指事业单位开展专业业务活动及辅助活动取得的收入。如二级预算单位事业收入情况等。</w:t>
      </w:r>
    </w:p>
    <w:p w14:paraId="57A7AA16">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3.经营收入：指事业单位在专业业务活动及其辅助活动之外开展非独立核算经营活动取得的收入。如二级预算单位经营收入情况等。</w:t>
      </w:r>
    </w:p>
    <w:p w14:paraId="44572473">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4.其他收入：指单位取得的除上述收入以外的各项收入。</w:t>
      </w:r>
    </w:p>
    <w:p w14:paraId="56D4B34F">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5.</w:t>
      </w:r>
      <w:r>
        <w:rPr>
          <w:rFonts w:hint="default" w:ascii="Times New Roman" w:hAnsi="Times New Roman" w:eastAsia="仿宋_GB2312" w:cs="Times New Roman"/>
          <w:sz w:val="32"/>
          <w:szCs w:val="32"/>
        </w:rPr>
        <w:t>使用非财政拨款结余（含专用结余）</w:t>
      </w:r>
      <w:r>
        <w:rPr>
          <w:rFonts w:hint="default" w:ascii="Times New Roman" w:hAnsi="Times New Roman" w:eastAsia="仿宋_GB2312" w:cs="Times New Roman"/>
          <w:color w:val="auto"/>
          <w:sz w:val="32"/>
          <w:szCs w:val="32"/>
        </w:rPr>
        <w:t>：指事业单位使用以前年度积累的非财政拨款结余弥补当年收支差额的金额。</w:t>
      </w:r>
    </w:p>
    <w:p w14:paraId="0938FFB8">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6.年初结转和结余：指以前年度尚未完成、结转到本年按有关规定继续使用的资金。</w:t>
      </w:r>
    </w:p>
    <w:p w14:paraId="4DD9BA62">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14:paraId="23E26D19">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8.年末结转和结余：指单位按有关规定结转到下年或以后年度继续使用的资金。</w:t>
      </w:r>
    </w:p>
    <w:p w14:paraId="08FCED13">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9.社会保障和就业支出（类）人力资源和社会保障管理事务（款）行政运行（项）：指行政单位（包括实行公务员管理的事业单位）的基本支出。</w:t>
      </w:r>
    </w:p>
    <w:p w14:paraId="5D89D231">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10.社会保障和就业（类）人力资源和社会保障管理事务（款）一般行政管理事务（项）:指政单位（包括实行公务员管理的事业单位）未单独设置项级科目的其他项目支出。</w:t>
      </w:r>
    </w:p>
    <w:p w14:paraId="1A7A1D8E">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11.社会保障和就业（类）人力资源和社会保障管理事务（款）事业运行（项）:指事业单位的基本支出，不包括行政单位（包括实行公务员管理的事业单位）后勤服务中心、医务室等附属事业单位。</w:t>
      </w:r>
    </w:p>
    <w:p w14:paraId="5E1A1481">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12.社会保障和就业（类）人力资源和社会保障管理事务（款）其他人力资源和社会保障管理事务支出（项）:指社会保障和就业支出（类）人力资源和社会保障管理事务（款）已有项目以外其他用于人力资源和社会保障管理事务方面的支出。</w:t>
      </w:r>
    </w:p>
    <w:p w14:paraId="09F26A5A">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13.社会保障和就业（类）行政事业单位养老支出（款）行政单位离退休（项）:指行政单位（包括实行公务员管理的事业单位）开支的离退休经费。</w:t>
      </w:r>
    </w:p>
    <w:p w14:paraId="627A2706">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14.社会保障和就业支出（类）行政事业单位养老支出（款）机关事业单位基本养老保险缴费支出（项）:指机关事业单位实施养老保险制度由单位缴纳的基本养老保险费支出。</w:t>
      </w:r>
    </w:p>
    <w:p w14:paraId="7AA3E6CB">
      <w:pPr>
        <w:pStyle w:val="6"/>
        <w:widowControl w:val="0"/>
        <w:wordWrap/>
        <w:snapToGrid/>
        <w:spacing w:before="93"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15.社会保障和就业支出（类）行政事业单位养老支出（款）其他行政事业单位养老支出（项）:指社会保障和就业支出（类）行政事业单位养老支出（款）已有项目以外其他用于行政事业单位养老方面的支出。</w:t>
      </w:r>
    </w:p>
    <w:p w14:paraId="2AD4336C">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16.社会保障和就业支出（类）就业补助（款）其他就业补助支出（项）:指社会保障和就业支出（类）就业补助（款）已有项目以外按规定确定的其他用于促进就业的补助支出。</w:t>
      </w:r>
    </w:p>
    <w:p w14:paraId="3D47098E">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17.社会保障和就业支出（类）其他社会保障和就业支出（款）其他社会保障和就业支出（项）:指社会保障和就业支出（类）其他社会保障和就业支出（款）已有项目以外其他用于社会保障和就业方面的支出。</w:t>
      </w:r>
    </w:p>
    <w:p w14:paraId="39B904E9">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18.卫生健康支出（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14:paraId="7E3F85AB">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19.卫生健康支出（类）行政事业单位医疗（款）事业单位医疗（项）:指财政部门安排的事业单位基本医疗保险缴费经费，未参加医疗保险的事业单位的公费医疗经费，按国家规定享受离休人员待遇的医疗经费。</w:t>
      </w:r>
    </w:p>
    <w:p w14:paraId="221E6C87">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20.卫生健康支出（类）行政事业单位医疗（款）公务员医疗补助（项）:指财政部门安排的公务员医疗补助经费。</w:t>
      </w:r>
    </w:p>
    <w:p w14:paraId="2A907C2B">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21.卫生健康支出（类）行政事业单位医疗（款）其他行政事业单位医疗支出（项）:指卫生健康支出（类）行政事业单位医疗（款）已有项目以外的其他用于行政事业单位医疗方面的支出。</w:t>
      </w:r>
    </w:p>
    <w:p w14:paraId="033C0C02">
      <w:pPr>
        <w:pStyle w:val="6"/>
        <w:widowControl w:val="0"/>
        <w:wordWrap/>
        <w:snapToGrid/>
        <w:spacing w:before="93"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22.农林水支出（类）巩固脱贫衔接乡村振兴（款）其他巩固脱贫衔接乡村振兴支出（项）:指农林水支出（类）巩固脱贫衔接乡村振兴（款）已有项目以外其他用于</w:t>
      </w:r>
      <w:bookmarkStart w:id="93" w:name="_GoBack"/>
      <w:bookmarkEnd w:id="93"/>
      <w:r>
        <w:rPr>
          <w:rFonts w:hint="eastAsia" w:ascii="Times New Roman" w:cs="Times New Roman"/>
          <w:sz w:val="32"/>
          <w:szCs w:val="32"/>
          <w:lang w:eastAsia="zh-CN"/>
        </w:rPr>
        <w:t>巩固拓展脱贫攻坚成果同乡村振兴有效衔接</w:t>
      </w:r>
      <w:r>
        <w:rPr>
          <w:rFonts w:hint="default" w:ascii="Times New Roman" w:hAnsi="Times New Roman" w:cs="Times New Roman"/>
          <w:sz w:val="32"/>
          <w:szCs w:val="32"/>
        </w:rPr>
        <w:t>方面的支出。</w:t>
      </w:r>
    </w:p>
    <w:p w14:paraId="7C8072C5">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23.住房保障支出（类）住房改革支出（款）住房公积金（项）:指行政事业单位按人力资源和社会保障部、财政部规定的基本工资和津贴补贴以及规定比例为职工缴纳的住房公积金。</w:t>
      </w:r>
    </w:p>
    <w:p w14:paraId="4579BA8D">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24.基本支出：指为保障机构正常运转、完成日常工作任务而发生的人员支出和公用支出。</w:t>
      </w:r>
    </w:p>
    <w:p w14:paraId="260DBC4E">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25.项目支出：指在基本支出之外为完成特定行政任务和事业发展目标所发生的支出。</w:t>
      </w:r>
    </w:p>
    <w:p w14:paraId="4769B3E0">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26.经营支出：指事业单位在专业业务活动及其辅助活动之外开展非独立核算经营活动发生的支出。</w:t>
      </w:r>
    </w:p>
    <w:p w14:paraId="1242E5BA">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27.“三公”经费：指单位用财政拨款安排的因公出国（境）费、公务用车运行费和公务接待费。其中，因公出国（境）费反映机关和参公事业单位公务出国（境）的国际旅费、国外城市间交通费、住宿费、伙食费、培训费、公杂费等支出；公务用车运行费反映机关和参公事业单位按规定保留的公务用车燃料费、维修费、过路过桥费、保险费、安全奖励费用等支出；公务接待费反映机关和参公事业单位按规定开支的各类公务接待（含外宾接待）费用。</w:t>
      </w:r>
    </w:p>
    <w:p w14:paraId="2FFEE3A6">
      <w:pPr>
        <w:pStyle w:val="26"/>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00A4E7B">
      <w:pPr>
        <w:widowControl w:val="0"/>
        <w:wordWrap/>
        <w:snapToGrid/>
        <w:spacing w:line="560" w:lineRule="exact"/>
        <w:ind w:firstLine="643" w:firstLineChars="200"/>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br w:type="page"/>
      </w:r>
    </w:p>
    <w:p w14:paraId="4627AF8F">
      <w:pPr>
        <w:pStyle w:val="2"/>
        <w:jc w:val="center"/>
        <w:rPr>
          <w:rFonts w:hint="default" w:ascii="Times New Roman" w:hAnsi="Times New Roman" w:eastAsia="黑体" w:cs="Times New Roman"/>
          <w:b w:val="0"/>
        </w:rPr>
      </w:pPr>
      <w:bookmarkStart w:id="78" w:name="_Toc4470"/>
      <w:r>
        <w:rPr>
          <w:rFonts w:hint="default" w:ascii="Times New Roman" w:hAnsi="Times New Roman" w:eastAsia="黑体" w:cs="Times New Roman"/>
          <w:b w:val="0"/>
        </w:rPr>
        <w:t>第四部分附件</w:t>
      </w:r>
      <w:bookmarkEnd w:id="78"/>
    </w:p>
    <w:p w14:paraId="1102982B">
      <w:pPr>
        <w:rPr>
          <w:rFonts w:hint="default" w:ascii="Times New Roman" w:hAnsi="Times New Roman" w:cs="Times New Roman"/>
        </w:rPr>
      </w:pPr>
    </w:p>
    <w:p w14:paraId="5429FD4C">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14:paraId="41B0E2F0">
      <w:pPr>
        <w:widowControl w:val="0"/>
        <w:wordWrap/>
        <w:adjustRightInd/>
        <w:snapToGrid/>
        <w:spacing w:line="0" w:lineRule="atLeas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盐边县人力资源和社会保障局</w:t>
      </w:r>
    </w:p>
    <w:p w14:paraId="01284BE2">
      <w:pPr>
        <w:widowControl w:val="0"/>
        <w:wordWrap/>
        <w:adjustRightInd/>
        <w:snapToGrid/>
        <w:spacing w:line="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部门预算绩效评价报告</w:t>
      </w:r>
    </w:p>
    <w:p w14:paraId="62241213">
      <w:pPr>
        <w:rPr>
          <w:rFonts w:hint="default" w:ascii="Times New Roman" w:hAnsi="Times New Roman" w:cs="Times New Roman"/>
        </w:rPr>
      </w:pPr>
    </w:p>
    <w:p w14:paraId="42826C31">
      <w:pPr>
        <w:wordWrap/>
        <w:spacing w:line="560" w:lineRule="exac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一、部门基本情况</w:t>
      </w:r>
    </w:p>
    <w:p w14:paraId="6309F035">
      <w:pPr>
        <w:pStyle w:val="6"/>
        <w:wordWrap/>
        <w:adjustRightInd w:val="0"/>
        <w:spacing w:before="93" w:line="560" w:lineRule="exact"/>
        <w:ind w:firstLine="675" w:firstLineChars="21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（一）机构组成。</w:t>
      </w:r>
    </w:p>
    <w:p w14:paraId="097D4EC3">
      <w:pPr>
        <w:pStyle w:val="6"/>
        <w:wordWrap/>
        <w:adjustRightInd w:val="0"/>
        <w:spacing w:before="93" w:line="560" w:lineRule="exact"/>
        <w:ind w:firstLine="672" w:firstLineChars="210"/>
        <w:textAlignment w:val="auto"/>
        <w:rPr>
          <w:rFonts w:hint="default" w:ascii="Times New Roman" w:hAnsi="Times New Roman" w:cs="Times New Roman"/>
          <w:sz w:val="32"/>
        </w:rPr>
      </w:pPr>
      <w:r>
        <w:rPr>
          <w:rFonts w:hint="default" w:ascii="Times New Roman" w:hAnsi="Times New Roman" w:eastAsia="仿宋" w:cs="Times New Roman"/>
          <w:sz w:val="32"/>
          <w:szCs w:val="32"/>
        </w:rPr>
        <w:t>盐边县人力资源和社会保障局下属非独立核算单位5个，其中行政单位0个，参照公务员法管理的事业单位1个，其他事业单位4个。主要包括：盐边县劳动监察大队（参照公务员法管理的事业单位）、盐边县人才服务单位、盐边县劳动人事争议仲裁院、盐边县农民工服务单位、盐边县考试服务单位;盐边县人力资源和社会保障局下属独立核算参照公务员法管理的事业单位2个，主要包括：盐边县社会保险事务单位，盐边县就业创业促进单位。</w:t>
      </w:r>
    </w:p>
    <w:p w14:paraId="45C1144F">
      <w:pPr>
        <w:pStyle w:val="31"/>
        <w:wordWrap/>
        <w:spacing w:line="560" w:lineRule="exact"/>
        <w:ind w:firstLine="64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（二）机构职能。</w:t>
      </w:r>
    </w:p>
    <w:p w14:paraId="63B55398">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(1)贯彻执行国家、省、市人力资源和社会保障工作的法律、法规、规章和政策，拟订全县人力资源和社会保障事业发展规划、政策并组织实施，统筹推进人力资源和社会保障事业发展。</w:t>
      </w:r>
    </w:p>
    <w:p w14:paraId="78375847">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(2)拟订并组织实施全县人力资源市场发展规划和人力资源服务业发展、人力资源流动政策，促进人力资源合理流动，有效配置。</w:t>
      </w:r>
    </w:p>
    <w:p w14:paraId="0C6AD60F">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负责促进就业工作，拟订统筹全县城乡就业发展规划和政策，完善公共就业创业服务体系，统筹建立面向城乡劳动者的职业技能培训制度，拟订并组织落实创业、就业援助制度，提出就业资金安排计划并组织实施，牵头拟订高校毕业生就业政策，组织实施高校毕业生就业创业服务工作。</w:t>
      </w:r>
    </w:p>
    <w:p w14:paraId="1A8E2248">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统筹推进建立覆盖全县城乡的多层次社会保障体系。贯彻执行国家、省、市养老、失业、工伤等社会保险及其补充保险政策和标准，拟订全县的相关政策并组织实施，贯彻落实养老保险全国统筹办法和全国统一的养老、失业、工伤保险关系转续办法，会同有关部门拟订全县养老、失业、工伤等社会保险及其补充保险基金管理和监督制度并组织实施，编制全县相关社会保险基金预决算草案，会同有关部门实施全民参保计划并建立全县统一的社会保险公共服务平台。负责全县养老、失业、工伤保险基金保值增值的监督检查。拟订人力资源和社会保障信息化建设总体规划、年度计划，制定相关制度并组织实施。</w:t>
      </w:r>
    </w:p>
    <w:p w14:paraId="5300A24D">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(5)负责就业、失业和相关社会保障基金预测预警和信息引导，拟订应对预案，实施预防、调节和控制，保持就业形势稳定和相关社会保险基金总体收支平衡。</w:t>
      </w:r>
    </w:p>
    <w:p w14:paraId="0F6DC70C">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依法查处重大案件。</w:t>
      </w:r>
    </w:p>
    <w:p w14:paraId="1E0BBCFF">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市、县有关规定履行安全管理责任。</w:t>
      </w:r>
    </w:p>
    <w:p w14:paraId="794824FF">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(8)组织实施国家表彰制度，综合管理政府表彰奖励工作，承担评比达标表彰等工作。承办县委管理的部分领导人员的行政任免手续。</w:t>
      </w:r>
    </w:p>
    <w:p w14:paraId="254F1A17">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14:paraId="521E5C18">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贯彻执行国家、省、市企业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14:paraId="03427196">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(11)会同有关部门拟订劳务开发及农民工工作综合性政策和规划并推动相关政策的落实，协调解决重点难点问题，维护农民工合法权益。负责将安全生产纳入农民工技能培训内容。</w:t>
      </w:r>
    </w:p>
    <w:p w14:paraId="2CE99A9A">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(12)受理人力资源和社会保障方面的信访事项，会同有关部门协调处理重大信访事件或突发事件。</w:t>
      </w:r>
    </w:p>
    <w:p w14:paraId="42717641">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(13)负责县人力资源社会保障领域的对外交流与合作工作。</w:t>
      </w:r>
    </w:p>
    <w:p w14:paraId="0D930348">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(14)担职责范围内的安全生产和职业健康、生态环境保护、审批服务便民化等工作。</w:t>
      </w:r>
    </w:p>
    <w:p w14:paraId="28C92BA6">
      <w:pPr>
        <w:pStyle w:val="31"/>
        <w:wordWrap/>
        <w:spacing w:line="560" w:lineRule="exact"/>
        <w:ind w:firstLine="64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(15)完成县委、县政府交办的其他任务。</w:t>
      </w:r>
    </w:p>
    <w:p w14:paraId="676B88C3">
      <w:pPr>
        <w:wordWrap/>
        <w:spacing w:line="560" w:lineRule="exact"/>
        <w:ind w:firstLine="640" w:firstLineChars="200"/>
        <w:textAlignment w:val="auto"/>
        <w:rPr>
          <w:rFonts w:hint="default" w:ascii="Times New Roman" w:hAnsi="Times New Roman" w:eastAsia="楷体_GB2312" w:cs="Times New Roman"/>
          <w:b/>
          <w:sz w:val="32"/>
          <w:szCs w:val="32"/>
        </w:rPr>
      </w:pPr>
      <w:r>
        <w:rPr>
          <w:rFonts w:hint="default" w:ascii="Times New Roman" w:hAnsi="Times New Roman" w:eastAsia="仿宋" w:cs="Times New Roman"/>
          <w:sz w:val="32"/>
          <w:szCs w:val="32"/>
        </w:rPr>
        <w:t>(16)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p>
    <w:p w14:paraId="0809C52A">
      <w:pPr>
        <w:wordWrap/>
        <w:snapToGrid w:val="0"/>
        <w:spacing w:line="560" w:lineRule="exact"/>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（三）人员概况。</w:t>
      </w:r>
    </w:p>
    <w:p w14:paraId="1C8D211D">
      <w:pPr>
        <w:wordWrap/>
        <w:snapToGrid w:val="0"/>
        <w:spacing w:line="560" w:lineRule="exact"/>
        <w:ind w:firstLine="640" w:firstLineChars="200"/>
        <w:textAlignment w:val="auto"/>
        <w:rPr>
          <w:rFonts w:hint="default" w:ascii="Times New Roman" w:hAnsi="Times New Roman" w:cs="Times New Roman"/>
          <w:color w:val="000000"/>
          <w:kern w:val="0"/>
          <w:szCs w:val="32"/>
          <w:shd w:val="clear" w:color="auto" w:fill="FFFFFF"/>
          <w:lang w:val="zh-CN"/>
        </w:rPr>
      </w:pPr>
      <w:r>
        <w:rPr>
          <w:rFonts w:hint="default" w:ascii="Times New Roman" w:hAnsi="Times New Roman" w:eastAsia="仿宋" w:cs="Times New Roman"/>
          <w:sz w:val="32"/>
          <w:szCs w:val="32"/>
        </w:rPr>
        <w:t>本单位共有人员86人,其中在编在职人员71人，退休15人，与2022年相比减少2人，为2023年度调出人员。</w:t>
      </w:r>
    </w:p>
    <w:p w14:paraId="79B7DB8A">
      <w:pPr>
        <w:wordWrap/>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二、部门资金收支情况</w:t>
      </w:r>
    </w:p>
    <w:p w14:paraId="6509ABB0">
      <w:pPr>
        <w:wordWrap/>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（一）收入情况。</w:t>
      </w:r>
      <w:r>
        <w:rPr>
          <w:rFonts w:hint="default" w:ascii="Times New Roman" w:hAnsi="Times New Roman" w:eastAsia="仿宋" w:cs="Times New Roman"/>
          <w:sz w:val="32"/>
          <w:szCs w:val="32"/>
        </w:rPr>
        <w:t>2023年全年预算收入1614.33万元，与上年相比(2022年为1124.31万元），增加收入490.02万元，增加43.58%，原因：2023年度人员较2022年度有所增加，人员工资支出增加430余万元，故总体收入增加</w:t>
      </w:r>
      <w:r>
        <w:rPr>
          <w:rFonts w:hint="default" w:ascii="Times New Roman" w:hAnsi="Times New Roman" w:eastAsia="仿宋_GB2312" w:cs="Times New Roman"/>
          <w:sz w:val="32"/>
          <w:szCs w:val="32"/>
        </w:rPr>
        <w:t>。</w:t>
      </w:r>
    </w:p>
    <w:p w14:paraId="00BF7902">
      <w:pPr>
        <w:wordWrap/>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（二）支出情况。</w:t>
      </w:r>
      <w:r>
        <w:rPr>
          <w:rFonts w:hint="default" w:ascii="Times New Roman" w:hAnsi="Times New Roman" w:eastAsia="仿宋" w:cs="Times New Roman"/>
          <w:sz w:val="32"/>
          <w:szCs w:val="32"/>
        </w:rPr>
        <w:t>2023年预算支出1614.33万元，与上年相比(2022年为1124.31万元），增加支出490.02万元，增加43.58%，原因：2023年度人员较2022年度有所增加，人员工资支出增加430余万元，故总体支出增加</w:t>
      </w:r>
      <w:r>
        <w:rPr>
          <w:rFonts w:hint="default" w:ascii="Times New Roman" w:hAnsi="Times New Roman" w:eastAsia="仿宋_GB2312" w:cs="Times New Roman"/>
          <w:sz w:val="32"/>
          <w:szCs w:val="32"/>
        </w:rPr>
        <w:t>。</w:t>
      </w:r>
    </w:p>
    <w:p w14:paraId="341A5F4C">
      <w:pPr>
        <w:wordWrap/>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（三）结余分配和结转结余情况。</w:t>
      </w:r>
      <w:r>
        <w:rPr>
          <w:rFonts w:hint="default" w:ascii="Times New Roman" w:hAnsi="Times New Roman" w:eastAsia="仿宋_GB2312" w:cs="Times New Roman"/>
          <w:sz w:val="32"/>
          <w:szCs w:val="32"/>
        </w:rPr>
        <w:t>盐边县人力资源和社会保障局部门2023年无结转结余。</w:t>
      </w:r>
    </w:p>
    <w:p w14:paraId="19697A82">
      <w:pPr>
        <w:wordWrap/>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三、部门预算绩效分析</w:t>
      </w:r>
    </w:p>
    <w:p w14:paraId="55600676">
      <w:pPr>
        <w:wordWrap/>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（一）部门预算总体绩效分析。</w:t>
      </w:r>
      <w:r>
        <w:rPr>
          <w:rFonts w:hint="default" w:ascii="Times New Roman" w:hAnsi="Times New Roman" w:eastAsia="仿宋_GB2312" w:cs="Times New Roman"/>
          <w:sz w:val="32"/>
          <w:szCs w:val="32"/>
        </w:rPr>
        <w:t>。</w:t>
      </w:r>
    </w:p>
    <w:p w14:paraId="2F0702F5">
      <w:pPr>
        <w:wordWrap/>
        <w:adjustRightInd w:val="0"/>
        <w:snapToGrid w:val="0"/>
        <w:spacing w:line="560" w:lineRule="exact"/>
        <w:ind w:firstLine="640" w:firstLineChars="200"/>
        <w:jc w:val="left"/>
        <w:textAlignment w:val="auto"/>
        <w:rPr>
          <w:rFonts w:hint="default" w:ascii="Times New Roman" w:hAnsi="Times New Roman"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1.</w:t>
      </w:r>
      <w:r>
        <w:rPr>
          <w:rFonts w:hint="default" w:ascii="Times New Roman" w:hAnsi="Times New Roman" w:eastAsia="楷体_GB2312" w:cs="Times New Roman"/>
          <w:color w:val="000000"/>
          <w:kern w:val="0"/>
          <w:sz w:val="32"/>
          <w:szCs w:val="32"/>
          <w:shd w:val="clear" w:color="auto" w:fill="FFFFFF"/>
          <w:lang w:val="zh-CN"/>
        </w:rPr>
        <w:t>履职</w:t>
      </w:r>
      <w:r>
        <w:rPr>
          <w:rFonts w:hint="default" w:ascii="Times New Roman" w:hAnsi="Times New Roman" w:eastAsia="楷体_GB2312" w:cs="Times New Roman"/>
          <w:color w:val="000000"/>
          <w:kern w:val="0"/>
          <w:sz w:val="32"/>
          <w:szCs w:val="32"/>
          <w:shd w:val="clear" w:color="auto" w:fill="FFFFFF"/>
        </w:rPr>
        <w:t>效能</w:t>
      </w:r>
      <w:r>
        <w:rPr>
          <w:rFonts w:hint="default" w:ascii="Times New Roman" w:hAnsi="Times New Roman" w:eastAsia="楷体_GB2312" w:cs="Times New Roman"/>
          <w:color w:val="000000"/>
          <w:kern w:val="0"/>
          <w:sz w:val="32"/>
          <w:szCs w:val="32"/>
          <w:shd w:val="clear" w:color="auto" w:fill="FFFFFF"/>
          <w:lang w:val="zh-CN"/>
        </w:rPr>
        <w:t>。</w:t>
      </w:r>
      <w:r>
        <w:rPr>
          <w:rFonts w:hint="default" w:ascii="Times New Roman" w:hAnsi="Times New Roman" w:eastAsia="仿宋_GB2312" w:cs="Times New Roman"/>
          <w:sz w:val="32"/>
          <w:szCs w:val="32"/>
        </w:rPr>
        <w:t>严格执行预算，及时申报人员经费支出，确保职工工资、住房公积金、社会保险缴费等足额发放、按时缴纳；严格按照资金用途申报、使用公用经费，202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年1-12月，基本支出预算已达全年支出预算的100%，基本支出无财政资金结转和结余，全部如期完成基本支出既定目标</w:t>
      </w:r>
      <w:r>
        <w:rPr>
          <w:rFonts w:hint="default" w:ascii="Times New Roman" w:hAnsi="Times New Roman" w:eastAsia="仿宋_GB2312" w:cs="Times New Roman"/>
          <w:sz w:val="32"/>
          <w:szCs w:val="32"/>
          <w:lang w:val="zh-CN"/>
        </w:rPr>
        <w:t>。</w:t>
      </w:r>
    </w:p>
    <w:p w14:paraId="619257D6">
      <w:pPr>
        <w:wordWrap/>
        <w:adjustRightInd w:val="0"/>
        <w:snapToGrid w:val="0"/>
        <w:spacing w:line="56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2.</w:t>
      </w:r>
      <w:r>
        <w:rPr>
          <w:rFonts w:hint="default" w:ascii="Times New Roman" w:hAnsi="Times New Roman" w:eastAsia="楷体_GB2312" w:cs="Times New Roman"/>
          <w:color w:val="000000"/>
          <w:kern w:val="0"/>
          <w:sz w:val="32"/>
          <w:szCs w:val="32"/>
          <w:shd w:val="clear" w:color="auto" w:fill="FFFFFF"/>
          <w:lang w:val="zh-CN"/>
        </w:rPr>
        <w:t>预算管理。</w:t>
      </w:r>
      <w:r>
        <w:rPr>
          <w:rFonts w:hint="default" w:ascii="Times New Roman" w:hAnsi="Times New Roman" w:eastAsia="仿宋_GB2312" w:cs="Times New Roman"/>
          <w:sz w:val="32"/>
          <w:szCs w:val="32"/>
        </w:rPr>
        <w:t>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年1-12月，基本支出预算已达全年支出预算的100%，基本支出无财政资金结转和结余，全部如期完成基本支出既定目标</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从成本、数量、时效、持续性等指标分析来看，我部门实现了年初预设的支出绩效目标，年末，全年总体绩效目标顺利实现。202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年1-12月，本部门预算绩效目标未出现偏差</w:t>
      </w:r>
      <w:r>
        <w:rPr>
          <w:rFonts w:hint="default" w:ascii="Times New Roman" w:hAnsi="Times New Roman" w:eastAsia="仿宋_GB2312" w:cs="Times New Roman"/>
          <w:color w:val="000000"/>
          <w:sz w:val="32"/>
          <w:szCs w:val="32"/>
        </w:rPr>
        <w:t>和违规记录</w:t>
      </w:r>
      <w:r>
        <w:rPr>
          <w:rFonts w:hint="default" w:ascii="Times New Roman" w:hAnsi="Times New Roman" w:eastAsia="仿宋_GB2312" w:cs="Times New Roman"/>
          <w:sz w:val="32"/>
          <w:szCs w:val="32"/>
          <w:lang w:val="zh-CN"/>
        </w:rPr>
        <w:t>。</w:t>
      </w:r>
    </w:p>
    <w:p w14:paraId="03E02F74">
      <w:pPr>
        <w:wordWrap/>
        <w:adjustRightInd w:val="0"/>
        <w:snapToGrid w:val="0"/>
        <w:spacing w:line="56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3.</w:t>
      </w:r>
      <w:r>
        <w:rPr>
          <w:rFonts w:hint="default" w:ascii="Times New Roman" w:hAnsi="Times New Roman" w:eastAsia="楷体_GB2312" w:cs="Times New Roman"/>
          <w:color w:val="000000"/>
          <w:kern w:val="0"/>
          <w:sz w:val="32"/>
          <w:szCs w:val="32"/>
          <w:shd w:val="clear" w:color="auto" w:fill="FFFFFF"/>
          <w:lang w:val="zh-CN"/>
        </w:rPr>
        <w:t>财务管理。</w:t>
      </w:r>
      <w:r>
        <w:rPr>
          <w:rFonts w:hint="default" w:ascii="Times New Roman" w:hAnsi="Times New Roman" w:eastAsia="仿宋_GB2312" w:cs="Times New Roman"/>
          <w:kern w:val="0"/>
          <w:sz w:val="32"/>
          <w:szCs w:val="32"/>
        </w:rPr>
        <w:t>我部门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r>
        <w:rPr>
          <w:rFonts w:hint="default" w:ascii="Times New Roman" w:hAnsi="Times New Roman" w:eastAsia="仿宋_GB2312" w:cs="Times New Roman"/>
          <w:sz w:val="32"/>
          <w:szCs w:val="32"/>
          <w:lang w:val="zh-CN"/>
        </w:rPr>
        <w:t>。</w:t>
      </w:r>
    </w:p>
    <w:p w14:paraId="683A34E4">
      <w:pPr>
        <w:wordWrap/>
        <w:adjustRightInd w:val="0"/>
        <w:snapToGrid w:val="0"/>
        <w:spacing w:line="56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4.</w:t>
      </w:r>
      <w:r>
        <w:rPr>
          <w:rFonts w:hint="default" w:ascii="Times New Roman" w:hAnsi="Times New Roman" w:eastAsia="楷体_GB2312" w:cs="Times New Roman"/>
          <w:color w:val="000000"/>
          <w:kern w:val="0"/>
          <w:sz w:val="32"/>
          <w:szCs w:val="32"/>
          <w:shd w:val="clear" w:color="auto" w:fill="FFFFFF"/>
          <w:lang w:val="zh-CN"/>
        </w:rPr>
        <w:t>资产管理。</w:t>
      </w:r>
      <w:r>
        <w:rPr>
          <w:rFonts w:hint="default" w:ascii="Times New Roman" w:hAnsi="Times New Roman" w:eastAsia="仿宋_GB2312" w:cs="Times New Roman"/>
          <w:sz w:val="32"/>
          <w:szCs w:val="32"/>
        </w:rPr>
        <w:t>截至2023年12月31日，盐边县人力资源和社会保障局共有车辆</w:t>
      </w:r>
      <w:r>
        <w:rPr>
          <w:rFonts w:hint="default" w:ascii="Times New Roman" w:hAnsi="Times New Roman" w:eastAsia="仿宋_GB2312" w:cs="Times New Roman"/>
          <w:b/>
          <w:sz w:val="32"/>
          <w:szCs w:val="32"/>
        </w:rPr>
        <w:t>1</w:t>
      </w:r>
      <w:r>
        <w:rPr>
          <w:rFonts w:hint="default" w:ascii="Times New Roman" w:hAnsi="Times New Roman" w:eastAsia="仿宋_GB2312" w:cs="Times New Roman"/>
          <w:sz w:val="32"/>
          <w:szCs w:val="32"/>
        </w:rPr>
        <w:t>辆，其中：其他用车1辆，其他用车主要是用于</w:t>
      </w:r>
      <w:r>
        <w:rPr>
          <w:rFonts w:hint="default" w:ascii="Times New Roman" w:hAnsi="Times New Roman" w:eastAsia="仿宋_GB2312" w:cs="Times New Roman"/>
          <w:color w:val="000000"/>
          <w:sz w:val="32"/>
          <w:szCs w:val="32"/>
        </w:rPr>
        <w:t>社会保险工作、就业创业工作、劳动保障监察等相关工作用车。</w:t>
      </w:r>
      <w:r>
        <w:rPr>
          <w:rFonts w:hint="default" w:ascii="Times New Roman" w:hAnsi="Times New Roman" w:eastAsia="仿宋_GB2312" w:cs="Times New Roman"/>
          <w:sz w:val="32"/>
          <w:szCs w:val="32"/>
        </w:rPr>
        <w:t>单价50万元以上通用设备0台（套），单价100万元以上专用设备0台（套）</w:t>
      </w:r>
      <w:r>
        <w:rPr>
          <w:rFonts w:hint="default" w:ascii="Times New Roman" w:hAnsi="Times New Roman" w:eastAsia="仿宋_GB2312" w:cs="Times New Roman"/>
          <w:sz w:val="32"/>
          <w:szCs w:val="32"/>
          <w:lang w:val="zh-CN"/>
        </w:rPr>
        <w:t>。</w:t>
      </w:r>
    </w:p>
    <w:p w14:paraId="328FFD9F">
      <w:pPr>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color w:val="000000"/>
          <w:kern w:val="0"/>
          <w:sz w:val="32"/>
          <w:szCs w:val="32"/>
          <w:shd w:val="clear" w:color="auto" w:fill="FFFFFF"/>
        </w:rPr>
        <w:t>5.</w:t>
      </w:r>
      <w:r>
        <w:rPr>
          <w:rFonts w:hint="default" w:ascii="Times New Roman" w:hAnsi="Times New Roman" w:eastAsia="楷体_GB2312" w:cs="Times New Roman"/>
          <w:color w:val="000000"/>
          <w:kern w:val="0"/>
          <w:sz w:val="32"/>
          <w:szCs w:val="32"/>
          <w:shd w:val="clear" w:color="auto" w:fill="FFFFFF"/>
          <w:lang w:val="zh-CN"/>
        </w:rPr>
        <w:t>采购管理。</w:t>
      </w:r>
      <w:r>
        <w:rPr>
          <w:rFonts w:hint="default" w:ascii="Times New Roman" w:hAnsi="Times New Roman" w:eastAsia="仿宋_GB2312" w:cs="Times New Roman"/>
          <w:sz w:val="32"/>
          <w:szCs w:val="32"/>
        </w:rPr>
        <w:t>2023年度，盐边县人力资源和社会保障局无政府采购支出。</w:t>
      </w:r>
    </w:p>
    <w:p w14:paraId="2849E29D">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（二）部门预算项目绩效分析。</w:t>
      </w:r>
    </w:p>
    <w:p w14:paraId="1985ED46">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常年项目绩效分析。该类项目总数</w:t>
      </w: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lang w:val="zh-CN"/>
        </w:rPr>
        <w:t>个，涉及预算总金额</w:t>
      </w:r>
      <w:r>
        <w:rPr>
          <w:rFonts w:hint="default" w:ascii="Times New Roman" w:hAnsi="Times New Roman" w:eastAsia="仿宋_GB2312" w:cs="Times New Roman"/>
          <w:sz w:val="32"/>
          <w:szCs w:val="32"/>
        </w:rPr>
        <w:t>48.04</w:t>
      </w:r>
      <w:r>
        <w:rPr>
          <w:rFonts w:hint="default" w:ascii="Times New Roman" w:hAnsi="Times New Roman" w:eastAsia="仿宋_GB2312" w:cs="Times New Roman"/>
          <w:sz w:val="32"/>
          <w:szCs w:val="32"/>
          <w:lang w:val="zh-CN"/>
        </w:rPr>
        <w:t>万元，1—12月预算执行总体进度为</w:t>
      </w:r>
      <w:r>
        <w:rPr>
          <w:rFonts w:hint="default" w:ascii="Times New Roman" w:hAnsi="Times New Roman" w:eastAsia="仿宋_GB2312" w:cs="Times New Roman"/>
          <w:sz w:val="32"/>
          <w:szCs w:val="32"/>
        </w:rPr>
        <w:t>100</w:t>
      </w:r>
      <w:r>
        <w:rPr>
          <w:rFonts w:hint="default" w:ascii="Times New Roman" w:hAnsi="Times New Roman" w:eastAsia="仿宋_GB2312" w:cs="Times New Roman"/>
          <w:sz w:val="32"/>
          <w:szCs w:val="32"/>
          <w:lang w:val="zh-CN"/>
        </w:rPr>
        <w:t>%，预算无结余。</w:t>
      </w:r>
    </w:p>
    <w:p w14:paraId="167E12D5">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阶段（一次性）项目绩效分析。该类项目总数</w:t>
      </w: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lang w:val="zh-CN"/>
        </w:rPr>
        <w:t>个，涉及预算总金额</w:t>
      </w:r>
      <w:r>
        <w:rPr>
          <w:rFonts w:hint="default" w:ascii="Times New Roman" w:hAnsi="Times New Roman" w:eastAsia="仿宋_GB2312" w:cs="Times New Roman"/>
          <w:sz w:val="32"/>
          <w:szCs w:val="32"/>
        </w:rPr>
        <w:t>239.18</w:t>
      </w:r>
      <w:r>
        <w:rPr>
          <w:rFonts w:hint="default" w:ascii="Times New Roman" w:hAnsi="Times New Roman" w:eastAsia="仿宋_GB2312" w:cs="Times New Roman"/>
          <w:sz w:val="32"/>
          <w:szCs w:val="32"/>
          <w:lang w:val="zh-CN"/>
        </w:rPr>
        <w:t>万元，1—12月预算执行总体进度为</w:t>
      </w:r>
      <w:r>
        <w:rPr>
          <w:rFonts w:hint="default" w:ascii="Times New Roman" w:hAnsi="Times New Roman" w:eastAsia="仿宋_GB2312" w:cs="Times New Roman"/>
          <w:sz w:val="32"/>
          <w:szCs w:val="32"/>
        </w:rPr>
        <w:t>100</w:t>
      </w:r>
      <w:r>
        <w:rPr>
          <w:rFonts w:hint="default" w:ascii="Times New Roman" w:hAnsi="Times New Roman" w:eastAsia="仿宋_GB2312" w:cs="Times New Roman"/>
          <w:sz w:val="32"/>
          <w:szCs w:val="32"/>
          <w:lang w:val="zh-CN"/>
        </w:rPr>
        <w:t>%，预算无结余。</w:t>
      </w:r>
    </w:p>
    <w:p w14:paraId="36123C1F">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color w:val="000000"/>
          <w:kern w:val="0"/>
          <w:sz w:val="32"/>
          <w:szCs w:val="32"/>
          <w:shd w:val="clear" w:color="auto" w:fill="FFFFFF"/>
        </w:rPr>
        <w:t>1.项目决策。</w:t>
      </w:r>
      <w:r>
        <w:rPr>
          <w:rFonts w:hint="default" w:ascii="Times New Roman" w:hAnsi="Times New Roman" w:eastAsia="仿宋_GB2312" w:cs="Times New Roman"/>
          <w:sz w:val="32"/>
          <w:szCs w:val="32"/>
          <w:lang w:val="zh-CN"/>
        </w:rPr>
        <w:t>紧扣“钒钛首县、滋味盐边”发展定位，项目负责股室遵循科学、民主、效益、可持续发展的原则，为我县加快构建新发展格局，努力实现经济跨越提升、社会安定和谐</w:t>
      </w:r>
      <w:r>
        <w:rPr>
          <w:rFonts w:hint="default" w:ascii="Times New Roman" w:hAnsi="Times New Roman" w:eastAsia="仿宋_GB2312" w:cs="Times New Roman"/>
          <w:sz w:val="32"/>
          <w:szCs w:val="32"/>
        </w:rPr>
        <w:t>发挥政策执行部门的主动性</w:t>
      </w:r>
      <w:r>
        <w:rPr>
          <w:rFonts w:hint="default" w:ascii="Times New Roman" w:hAnsi="Times New Roman" w:eastAsia="仿宋_GB2312" w:cs="Times New Roman"/>
          <w:sz w:val="32"/>
          <w:szCs w:val="32"/>
          <w:lang w:val="zh-CN"/>
        </w:rPr>
        <w:t>。</w:t>
      </w:r>
    </w:p>
    <w:p w14:paraId="61684A20">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color w:val="000000"/>
          <w:kern w:val="0"/>
          <w:sz w:val="32"/>
          <w:szCs w:val="32"/>
          <w:shd w:val="clear" w:color="auto" w:fill="FFFFFF"/>
        </w:rPr>
        <w:t>2.项目执行。</w:t>
      </w:r>
      <w:r>
        <w:rPr>
          <w:rFonts w:hint="default" w:ascii="Times New Roman" w:hAnsi="Times New Roman" w:eastAsia="仿宋_GB2312" w:cs="Times New Roman"/>
          <w:sz w:val="32"/>
          <w:szCs w:val="32"/>
        </w:rPr>
        <w:t>2023年，盐边县人力资源和社会保障局根据人员情况及业务开展需要，逐项做出预算计划，预算合理、不留缺口、不留空项，在资金使用和管理方面，进一步强化资金统筹，优化资金结构，明确开支范围，细化资金用途，确保部门职责任务顺利完成。</w:t>
      </w:r>
    </w:p>
    <w:p w14:paraId="6DA4C1B9">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color w:val="000000"/>
          <w:kern w:val="0"/>
          <w:sz w:val="32"/>
          <w:szCs w:val="32"/>
          <w:shd w:val="clear" w:color="auto" w:fill="FFFFFF"/>
        </w:rPr>
        <w:t>3.目标实现。</w:t>
      </w:r>
      <w:r>
        <w:rPr>
          <w:rFonts w:hint="default" w:ascii="Times New Roman" w:hAnsi="Times New Roman" w:eastAsia="仿宋_GB2312" w:cs="Times New Roman"/>
          <w:sz w:val="32"/>
          <w:szCs w:val="32"/>
        </w:rPr>
        <w:t>从成本、数量、时效、持续性等指标分析来看，我部门实现了年初预设的支出绩效目标，年末，全年总体绩效目标顺利实现。202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年1-12月，本部门预算绩效目标未出现偏差</w:t>
      </w:r>
      <w:r>
        <w:rPr>
          <w:rFonts w:hint="default" w:ascii="Times New Roman" w:hAnsi="Times New Roman" w:eastAsia="仿宋_GB2312" w:cs="Times New Roman"/>
          <w:color w:val="000000"/>
          <w:sz w:val="32"/>
          <w:szCs w:val="32"/>
        </w:rPr>
        <w:t>和违规记录</w:t>
      </w:r>
      <w:r>
        <w:rPr>
          <w:rFonts w:hint="default" w:ascii="Times New Roman" w:hAnsi="Times New Roman" w:eastAsia="仿宋_GB2312" w:cs="Times New Roman"/>
          <w:sz w:val="32"/>
          <w:szCs w:val="32"/>
          <w:lang w:val="zh-CN"/>
        </w:rPr>
        <w:t>。</w:t>
      </w:r>
    </w:p>
    <w:p w14:paraId="0792593B">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（三）重点领域绩效分析。</w:t>
      </w:r>
      <w:r>
        <w:rPr>
          <w:rFonts w:hint="default" w:ascii="Times New Roman" w:hAnsi="Times New Roman" w:eastAsia="仿宋_GB2312" w:cs="Times New Roman"/>
          <w:sz w:val="32"/>
          <w:szCs w:val="32"/>
          <w:lang w:val="zh-CN"/>
        </w:rPr>
        <w:t>我部门2023年度未涉及重点领域项目。</w:t>
      </w:r>
    </w:p>
    <w:p w14:paraId="0ECC9C43">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（四）绩效结果应用情况。</w:t>
      </w:r>
      <w:r>
        <w:rPr>
          <w:rFonts w:hint="default" w:ascii="Times New Roman" w:hAnsi="Times New Roman" w:eastAsia="仿宋_GB2312" w:cs="Times New Roman"/>
          <w:sz w:val="32"/>
          <w:szCs w:val="32"/>
        </w:rPr>
        <w:t>在资金的管理和使用上，严格按照相关法律、法规规定，遵守财经纪律，认真履行部门职能职责，加强预算绩效信息发布管理制度建设，完善</w:t>
      </w:r>
      <w:r>
        <w:rPr>
          <w:rFonts w:hint="default" w:ascii="Times New Roman" w:hAnsi="Times New Roman" w:cs="Times New Roman"/>
          <w:sz w:val="32"/>
          <w:szCs w:val="32"/>
        </w:rPr>
        <w:t>了</w:t>
      </w:r>
      <w:r>
        <w:rPr>
          <w:rFonts w:hint="default" w:ascii="Times New Roman" w:hAnsi="Times New Roman" w:eastAsia="仿宋_GB2312" w:cs="Times New Roman"/>
          <w:sz w:val="32"/>
          <w:szCs w:val="32"/>
        </w:rPr>
        <w:t>绩效信息公开机制</w:t>
      </w:r>
      <w:r>
        <w:rPr>
          <w:rFonts w:hint="default" w:ascii="Times New Roman" w:hAnsi="Times New Roman" w:eastAsia="仿宋_GB2312" w:cs="Times New Roman"/>
          <w:sz w:val="32"/>
          <w:szCs w:val="32"/>
          <w:lang w:val="zh-CN"/>
        </w:rPr>
        <w:t>。</w:t>
      </w:r>
    </w:p>
    <w:p w14:paraId="2D423814">
      <w:pPr>
        <w:wordWrap/>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四、评价结论及建议</w:t>
      </w:r>
    </w:p>
    <w:p w14:paraId="77772443">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（一）评价结论。</w:t>
      </w:r>
      <w:r>
        <w:rPr>
          <w:rFonts w:hint="default" w:ascii="Times New Roman" w:hAnsi="Times New Roman" w:eastAsia="仿宋_GB2312" w:cs="Times New Roman"/>
          <w:sz w:val="32"/>
          <w:szCs w:val="32"/>
        </w:rPr>
        <w:t>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盐边县人力资源和社会保障局根据人员情况及业务开展需要，逐项做出预算计划，预算合理、不留缺口、不留空项，在资金使用和管理方面，进一步强化资金统筹，优化资金结构，明确开支范围，细化资金用途，确保部门职责任务顺利完成。全年支出保证了部门的正常运行和专项工作的正常开展，达到预期绩效目标，总体较为满意</w:t>
      </w:r>
      <w:r>
        <w:rPr>
          <w:rFonts w:hint="default" w:ascii="Times New Roman" w:hAnsi="Times New Roman" w:eastAsia="仿宋_GB2312" w:cs="Times New Roman"/>
          <w:sz w:val="32"/>
          <w:szCs w:val="32"/>
          <w:lang w:val="zh-CN"/>
        </w:rPr>
        <w:t>。</w:t>
      </w:r>
    </w:p>
    <w:p w14:paraId="1813E233">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（二）存在问题。</w:t>
      </w:r>
      <w:r>
        <w:rPr>
          <w:rFonts w:hint="default" w:ascii="Times New Roman" w:hAnsi="Times New Roman" w:eastAsia="仿宋_GB2312" w:cs="Times New Roman"/>
          <w:sz w:val="32"/>
          <w:szCs w:val="32"/>
        </w:rPr>
        <w:t>在编制202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年预算时，各专项资金设定了相关的绩效目标。但从绩效目标管理的角度看，设置的目标均为定性的文字描述，缺乏量化的指标，在开展自评价时较难衡量目标的完成情况，不利于评价工作的顺利开展</w:t>
      </w:r>
      <w:r>
        <w:rPr>
          <w:rFonts w:hint="default" w:ascii="Times New Roman" w:hAnsi="Times New Roman" w:eastAsia="仿宋_GB2312" w:cs="Times New Roman"/>
          <w:sz w:val="32"/>
          <w:szCs w:val="32"/>
          <w:lang w:val="zh-CN"/>
        </w:rPr>
        <w:t>。</w:t>
      </w:r>
    </w:p>
    <w:p w14:paraId="5E1F5FAA">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（三）改进建议。</w:t>
      </w:r>
      <w:r>
        <w:rPr>
          <w:rFonts w:hint="default" w:ascii="Times New Roman" w:hAnsi="Times New Roman" w:eastAsia="仿宋_GB2312" w:cs="Times New Roman"/>
          <w:sz w:val="32"/>
          <w:szCs w:val="32"/>
        </w:rPr>
        <w:t>今后我部门将加强对预算绩效目标管理的学习，逐步树立以绩效目标为导向的管理理念，在申请预算时即明确细化、量化的目标，在目标的约束下开展工作</w:t>
      </w:r>
      <w:r>
        <w:rPr>
          <w:rFonts w:hint="default" w:ascii="Times New Roman" w:hAnsi="Times New Roman" w:eastAsia="仿宋_GB2312" w:cs="Times New Roman"/>
          <w:sz w:val="32"/>
          <w:szCs w:val="32"/>
          <w:lang w:val="zh-CN"/>
        </w:rPr>
        <w:t>。</w:t>
      </w:r>
    </w:p>
    <w:p w14:paraId="791863DC">
      <w:pPr>
        <w:wordWrap/>
        <w:spacing w:line="560" w:lineRule="exact"/>
        <w:ind w:firstLine="640" w:firstLineChars="200"/>
        <w:textAlignment w:val="auto"/>
        <w:rPr>
          <w:rFonts w:hint="default" w:ascii="Times New Roman" w:hAnsi="Times New Roman" w:eastAsia="仿宋_GB2312" w:cs="Times New Roman"/>
          <w:sz w:val="32"/>
          <w:szCs w:val="32"/>
          <w:lang w:val="zh-CN"/>
        </w:rPr>
      </w:pPr>
    </w:p>
    <w:p w14:paraId="61AEAF75">
      <w:pPr>
        <w:wordWrap/>
        <w:spacing w:line="560" w:lineRule="exact"/>
        <w:ind w:firstLine="640" w:firstLineChars="200"/>
        <w:textAlignment w:val="auto"/>
        <w:rPr>
          <w:rFonts w:hint="default" w:ascii="Times New Roman" w:hAnsi="Times New Roman" w:cs="Times New Roman"/>
          <w:sz w:val="32"/>
          <w:szCs w:val="32"/>
          <w:lang w:val="zh-CN"/>
        </w:rPr>
      </w:pPr>
      <w:r>
        <w:rPr>
          <w:rFonts w:hint="default" w:ascii="Times New Roman" w:hAnsi="Times New Roman" w:eastAsia="仿宋_GB2312" w:cs="Times New Roman"/>
          <w:sz w:val="32"/>
          <w:szCs w:val="32"/>
          <w:lang w:val="zh-CN"/>
        </w:rPr>
        <w:t>附表：</w:t>
      </w:r>
      <w:r>
        <w:rPr>
          <w:rFonts w:hint="default" w:ascii="Times New Roman" w:hAnsi="Times New Roman" w:eastAsia="仿宋_GB2312" w:cs="Times New Roman"/>
          <w:sz w:val="32"/>
          <w:szCs w:val="32"/>
        </w:rPr>
        <w:t>部门</w:t>
      </w:r>
      <w:r>
        <w:rPr>
          <w:rFonts w:hint="default" w:ascii="Times New Roman" w:hAnsi="Times New Roman" w:eastAsia="仿宋_GB2312" w:cs="Times New Roman"/>
          <w:sz w:val="32"/>
          <w:szCs w:val="32"/>
          <w:lang w:val="zh-CN"/>
        </w:rPr>
        <w:t>预算项目支出绩效自评表（2023年度）</w:t>
      </w:r>
    </w:p>
    <w:p w14:paraId="3EC9ECD5">
      <w:pPr>
        <w:rPr>
          <w:rFonts w:hint="default" w:ascii="Times New Roman" w:hAnsi="Times New Roman" w:cs="Times New Roman"/>
        </w:rPr>
      </w:pPr>
      <w:r>
        <w:rPr>
          <w:rFonts w:hint="default" w:ascii="Times New Roman" w:hAnsi="Times New Roman" w:cs="Times New Roman"/>
        </w:rPr>
        <w:br w:type="page"/>
      </w:r>
    </w:p>
    <w:p w14:paraId="68A4D476">
      <w:pPr>
        <w:rPr>
          <w:rFonts w:hint="default" w:ascii="Times New Roman" w:hAnsi="Times New Roman" w:cs="Times New Roman"/>
        </w:rPr>
      </w:pPr>
    </w:p>
    <w:p w14:paraId="667844D6">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14:paraId="0413C9B1">
      <w:pPr>
        <w:pStyle w:val="30"/>
        <w:widowControl w:val="0"/>
        <w:wordWrap/>
        <w:adjustRightInd/>
        <w:snapToGrid/>
        <w:spacing w:line="0" w:lineRule="atLeast"/>
        <w:jc w:val="center"/>
        <w:textAlignment w:val="auto"/>
        <w:rPr>
          <w:rFonts w:hint="default" w:ascii="Times New Roman" w:hAnsi="Times New Roman" w:eastAsia="方正小标宋简体" w:cs="Times New Roman"/>
          <w:sz w:val="44"/>
          <w:szCs w:val="44"/>
        </w:rPr>
      </w:pPr>
      <w:bookmarkStart w:id="79" w:name="_Toc12704"/>
      <w:r>
        <w:rPr>
          <w:rFonts w:hint="default" w:ascii="Times New Roman" w:hAnsi="Times New Roman" w:eastAsia="方正小标宋简体" w:cs="Times New Roman"/>
          <w:sz w:val="44"/>
          <w:szCs w:val="44"/>
        </w:rPr>
        <w:t>表彰（表扬）活动经费</w:t>
      </w:r>
    </w:p>
    <w:p w14:paraId="430C8C23">
      <w:pPr>
        <w:pStyle w:val="30"/>
        <w:widowControl w:val="0"/>
        <w:wordWrap/>
        <w:adjustRightInd/>
        <w:snapToGrid/>
        <w:spacing w:line="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项目支出绩效自评报告</w:t>
      </w:r>
    </w:p>
    <w:p w14:paraId="75D45DFD">
      <w:pPr>
        <w:pStyle w:val="30"/>
        <w:spacing w:line="560" w:lineRule="exact"/>
        <w:ind w:firstLine="640"/>
        <w:jc w:val="center"/>
        <w:rPr>
          <w:rFonts w:hint="default" w:ascii="Times New Roman" w:hAnsi="Times New Roman" w:cs="Times New Roman"/>
          <w:color w:val="auto"/>
          <w:kern w:val="2"/>
          <w:sz w:val="32"/>
          <w:szCs w:val="32"/>
        </w:rPr>
      </w:pPr>
    </w:p>
    <w:p w14:paraId="540DAC9B">
      <w:pPr>
        <w:ind w:firstLine="640" w:firstLineChars="200"/>
        <w:jc w:val="left"/>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14:paraId="167890B7">
      <w:pPr>
        <w:adjustRightInd w:val="0"/>
        <w:snapToGrid w:val="0"/>
        <w:spacing w:line="560" w:lineRule="exact"/>
        <w:ind w:firstLine="643" w:firstLineChars="200"/>
        <w:jc w:val="left"/>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（一）项目资金申报及批复情况。</w:t>
      </w:r>
      <w:r>
        <w:rPr>
          <w:rFonts w:hint="default" w:ascii="Times New Roman" w:hAnsi="Times New Roman" w:eastAsia="仿宋_GB2312" w:cs="Times New Roman"/>
          <w:sz w:val="32"/>
          <w:szCs w:val="32"/>
          <w:lang w:val="zh-CN"/>
        </w:rPr>
        <w:t>根据《盐边县人力资源和社会保障局关于解决</w:t>
      </w:r>
      <w:r>
        <w:rPr>
          <w:rFonts w:hint="default" w:ascii="Times New Roman" w:hAnsi="Times New Roman" w:eastAsia="仿宋_GB2312" w:cs="Times New Roman"/>
          <w:sz w:val="32"/>
          <w:szCs w:val="32"/>
        </w:rPr>
        <w:t>2022年度表彰（表扬）活动经费的请示</w:t>
      </w:r>
      <w:r>
        <w:rPr>
          <w:rFonts w:hint="default" w:ascii="Times New Roman" w:hAnsi="Times New Roman" w:eastAsia="仿宋_GB2312" w:cs="Times New Roman"/>
          <w:sz w:val="32"/>
          <w:szCs w:val="32"/>
          <w:lang w:val="zh-CN"/>
        </w:rPr>
        <w:t>》（盐边人社﹝202</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lang w:val="zh-CN"/>
        </w:rPr>
        <w:t>号）文件，经研究，财政局下达相关经费</w:t>
      </w:r>
      <w:r>
        <w:rPr>
          <w:rFonts w:hint="default" w:ascii="Times New Roman" w:hAnsi="Times New Roman" w:eastAsia="仿宋_GB2312" w:cs="Times New Roman"/>
          <w:sz w:val="32"/>
          <w:szCs w:val="32"/>
        </w:rPr>
        <w:t>62</w:t>
      </w:r>
      <w:r>
        <w:rPr>
          <w:rFonts w:hint="default" w:ascii="Times New Roman" w:hAnsi="Times New Roman" w:eastAsia="仿宋_GB2312" w:cs="Times New Roman"/>
          <w:sz w:val="32"/>
          <w:szCs w:val="32"/>
          <w:lang w:val="zh-CN"/>
        </w:rPr>
        <w:t>万元，对在促进产业转型升级加快钒钛首县建设等工作中表现突出的优秀集体和个人进行表彰（表扬）。</w:t>
      </w:r>
    </w:p>
    <w:p w14:paraId="2E5232CD">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14:paraId="0CE61EE7">
      <w:pPr>
        <w:adjustRightInd w:val="0"/>
        <w:snapToGrid w:val="0"/>
        <w:spacing w:line="560" w:lineRule="exact"/>
        <w:ind w:firstLine="640" w:firstLineChars="200"/>
        <w:jc w:val="left"/>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val="zh-CN"/>
        </w:rPr>
        <w:t>盐边干部紧扣“钒钛首县、滋味盐边”发展定位，迎难而上、主动作为、攻坚突破，为激励全县干部奋进新时代，加快构建新发展格局，努力实现经济跨越提升、社会安定和谐，奋力谱写社会主义现代化盐边建设新篇章，争取早日把盐边建设成为雅砻江畔的璀璨明珠</w:t>
      </w:r>
      <w:r>
        <w:rPr>
          <w:rFonts w:hint="default" w:ascii="Times New Roman" w:hAnsi="Times New Roman" w:eastAsia="仿宋_GB2312" w:cs="Times New Roman"/>
          <w:sz w:val="32"/>
          <w:szCs w:val="32"/>
        </w:rPr>
        <w:t>。</w:t>
      </w:r>
    </w:p>
    <w:p w14:paraId="337907D2">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（三）项目资金申报相符性。</w:t>
      </w:r>
    </w:p>
    <w:p w14:paraId="2796BC0B">
      <w:pPr>
        <w:adjustRightInd w:val="0"/>
        <w:snapToGrid w:val="0"/>
        <w:spacing w:line="560" w:lineRule="exact"/>
        <w:ind w:firstLine="640" w:firstLineChars="200"/>
        <w:rPr>
          <w:rFonts w:hint="default" w:ascii="Times New Roman" w:hAnsi="Times New Roman" w:cs="Times New Roman"/>
          <w:lang w:val="zh-CN"/>
        </w:rPr>
      </w:pPr>
      <w:r>
        <w:rPr>
          <w:rFonts w:hint="default" w:ascii="Times New Roman" w:hAnsi="Times New Roman" w:eastAsia="仿宋_GB2312" w:cs="Times New Roman"/>
          <w:kern w:val="0"/>
          <w:sz w:val="32"/>
          <w:szCs w:val="32"/>
        </w:rPr>
        <w:t>申报内容与实际相符，申报目标合理可行</w:t>
      </w:r>
      <w:r>
        <w:rPr>
          <w:rFonts w:hint="default" w:ascii="Times New Roman" w:hAnsi="Times New Roman" w:cs="Times New Roman"/>
          <w:lang w:val="zh-CN"/>
        </w:rPr>
        <w:t>。</w:t>
      </w:r>
    </w:p>
    <w:p w14:paraId="6BA7B3F8">
      <w:pPr>
        <w:ind w:firstLine="640"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二、项目实施及管理情况</w:t>
      </w:r>
    </w:p>
    <w:p w14:paraId="58AB7D8B">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ab/>
      </w:r>
      <w:r>
        <w:rPr>
          <w:rFonts w:hint="default" w:ascii="Times New Roman" w:hAnsi="Times New Roman" w:eastAsia="楷体_GB2312" w:cs="Times New Roman"/>
          <w:b/>
          <w:sz w:val="32"/>
          <w:szCs w:val="32"/>
          <w:lang w:val="zh-CN"/>
        </w:rPr>
        <w:t>（一）资金计划、到位及使用情况。</w:t>
      </w:r>
    </w:p>
    <w:p w14:paraId="403C0A27">
      <w:pPr>
        <w:adjustRightInd w:val="0"/>
        <w:snapToGrid w:val="0"/>
        <w:spacing w:line="560" w:lineRule="exact"/>
        <w:ind w:firstLine="643" w:firstLineChars="200"/>
        <w:jc w:val="left"/>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bCs/>
          <w:sz w:val="32"/>
          <w:szCs w:val="32"/>
          <w:lang w:val="zh-CN"/>
        </w:rPr>
        <w:t>1．资金计划及到位。</w:t>
      </w:r>
      <w:r>
        <w:rPr>
          <w:rFonts w:hint="default" w:ascii="Times New Roman" w:hAnsi="Times New Roman" w:eastAsia="仿宋_GB2312" w:cs="Times New Roman"/>
          <w:sz w:val="32"/>
          <w:szCs w:val="32"/>
          <w:lang w:val="zh-CN"/>
        </w:rPr>
        <w:t>根据《盐边县人力资源和社会保障局关于解决</w:t>
      </w:r>
      <w:r>
        <w:rPr>
          <w:rFonts w:hint="default" w:ascii="Times New Roman" w:hAnsi="Times New Roman" w:eastAsia="仿宋_GB2312" w:cs="Times New Roman"/>
          <w:sz w:val="32"/>
          <w:szCs w:val="32"/>
        </w:rPr>
        <w:t>2022年度表彰（表扬）活动经费的请示</w:t>
      </w:r>
      <w:r>
        <w:rPr>
          <w:rFonts w:hint="default" w:ascii="Times New Roman" w:hAnsi="Times New Roman" w:eastAsia="仿宋_GB2312" w:cs="Times New Roman"/>
          <w:sz w:val="32"/>
          <w:szCs w:val="32"/>
          <w:lang w:val="zh-CN"/>
        </w:rPr>
        <w:t>》（盐边人社﹝202</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lang w:val="zh-CN"/>
        </w:rPr>
        <w:t>号）文件，经研究，财政局下达相关经费</w:t>
      </w:r>
      <w:r>
        <w:rPr>
          <w:rFonts w:hint="default" w:ascii="Times New Roman" w:hAnsi="Times New Roman" w:eastAsia="仿宋_GB2312" w:cs="Times New Roman"/>
          <w:sz w:val="32"/>
          <w:szCs w:val="32"/>
        </w:rPr>
        <w:t>62</w:t>
      </w:r>
      <w:r>
        <w:rPr>
          <w:rFonts w:hint="default" w:ascii="Times New Roman" w:hAnsi="Times New Roman" w:eastAsia="仿宋_GB2312" w:cs="Times New Roman"/>
          <w:sz w:val="32"/>
          <w:szCs w:val="32"/>
          <w:lang w:val="zh-CN"/>
        </w:rPr>
        <w:t>万元。</w:t>
      </w:r>
    </w:p>
    <w:p w14:paraId="2C716CC1">
      <w:pPr>
        <w:adjustRightInd w:val="0"/>
        <w:snapToGrid w:val="0"/>
        <w:spacing w:line="560" w:lineRule="exact"/>
        <w:ind w:firstLine="643" w:firstLineChars="200"/>
        <w:jc w:val="left"/>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bCs/>
          <w:sz w:val="32"/>
          <w:szCs w:val="32"/>
          <w:lang w:val="zh-CN"/>
        </w:rPr>
        <w:t>2．资金使用。</w:t>
      </w:r>
      <w:r>
        <w:rPr>
          <w:rFonts w:hint="default" w:ascii="Times New Roman" w:hAnsi="Times New Roman" w:eastAsia="仿宋_GB2312" w:cs="Times New Roman"/>
          <w:sz w:val="32"/>
          <w:szCs w:val="32"/>
        </w:rPr>
        <w:t>根据第十五届第38次县委常委会审议通过的《盐边县关于评选表彰（表扬）2022年度优秀集体和优秀个人的工作方案》，2022年度表彰（表扬）先进集体160个、优秀个人620名，对受到表彰（表扬）的优秀个人给予物质奖励，经费共62万元。资金支付合规合法、与预算相符</w:t>
      </w:r>
      <w:r>
        <w:rPr>
          <w:rFonts w:hint="default" w:ascii="Times New Roman" w:hAnsi="Times New Roman" w:eastAsia="仿宋_GB2312" w:cs="Times New Roman"/>
          <w:sz w:val="32"/>
          <w:szCs w:val="32"/>
          <w:lang w:val="zh-CN"/>
        </w:rPr>
        <w:t>。</w:t>
      </w:r>
    </w:p>
    <w:p w14:paraId="07C31F8C">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（二）项目财务管理情况。</w:t>
      </w:r>
    </w:p>
    <w:p w14:paraId="0BFAA760">
      <w:pPr>
        <w:adjustRightInd w:val="0"/>
        <w:snapToGrid w:val="0"/>
        <w:spacing w:line="560" w:lineRule="exact"/>
        <w:ind w:firstLine="640" w:firstLineChars="200"/>
        <w:jc w:val="left"/>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我单位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r>
        <w:rPr>
          <w:rFonts w:hint="default" w:ascii="Times New Roman" w:hAnsi="Times New Roman" w:eastAsia="仿宋_GB2312" w:cs="Times New Roman"/>
          <w:sz w:val="32"/>
          <w:szCs w:val="32"/>
          <w:lang w:val="zh-CN"/>
        </w:rPr>
        <w:t>。</w:t>
      </w:r>
    </w:p>
    <w:p w14:paraId="37574C55">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（三）项目组织实施情况。</w:t>
      </w:r>
    </w:p>
    <w:p w14:paraId="0F8DE8DD">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1.项目组织架构及实施流程。</w:t>
      </w:r>
    </w:p>
    <w:p w14:paraId="67F109D7">
      <w:pPr>
        <w:spacing w:line="560" w:lineRule="exact"/>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kern w:val="2"/>
          <w:sz w:val="32"/>
          <w:szCs w:val="32"/>
          <w:lang w:val="en-US" w:eastAsia="zh-CN" w:bidi="ar-SA"/>
        </w:rPr>
        <w:pict>
          <v:line id="箭头 1" o:spid="_x0000_s1035" o:spt="20" style="position:absolute;left:0pt;margin-left:228.05pt;margin-top:15.75pt;height:0.05pt;width:24.25pt;z-index:251666432;mso-width-relative:page;mso-height-relative:page;" fillcolor="#FFFFFF" filled="f" o:preferrelative="t" stroked="t" coordsize="21600,21600">
            <v:path arrowok="t"/>
            <v:fill on="f" color2="#FFFFFF" focussize="0,0"/>
            <v:stroke color="#739CC3" color2="#FFFFFF" miterlimit="2" endarrow="block"/>
            <v:imagedata gain="65536f" blacklevel="0f" gamma="0" o:title=""/>
            <o:lock v:ext="edit" position="f" selection="f" grouping="f" rotation="f" cropping="f" text="f" aspectratio="f"/>
          </v:line>
        </w:pict>
      </w:r>
      <w:r>
        <w:rPr>
          <w:rFonts w:hint="default" w:ascii="Times New Roman" w:hAnsi="Times New Roman" w:eastAsia="楷体_GB2312" w:cs="Times New Roman"/>
          <w:sz w:val="32"/>
          <w:szCs w:val="32"/>
        </w:rPr>
        <w:t>经办人员：审核资料、计算资金</w:t>
      </w:r>
      <w:r>
        <w:rPr>
          <w:rFonts w:hint="eastAsia"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财务室：资金使用申报</w:t>
      </w:r>
    </w:p>
    <w:p w14:paraId="006F908A">
      <w:pPr>
        <w:spacing w:line="560" w:lineRule="exact"/>
        <w:ind w:firstLine="640" w:firstLineChars="200"/>
        <w:rPr>
          <w:rFonts w:hint="default" w:ascii="Times New Roman" w:hAnsi="Times New Roman" w:eastAsia="楷体_GB2312" w:cs="Times New Roman"/>
          <w:sz w:val="32"/>
          <w:szCs w:val="32"/>
          <w:lang w:eastAsia="zh-CN"/>
        </w:rPr>
      </w:pPr>
      <w:r>
        <w:rPr>
          <w:rFonts w:hint="default" w:ascii="Times New Roman" w:hAnsi="Times New Roman" w:eastAsia="宋体" w:cs="Times New Roman"/>
          <w:kern w:val="2"/>
          <w:sz w:val="32"/>
          <w:szCs w:val="24"/>
          <w:lang w:val="en-US" w:eastAsia="zh-CN" w:bidi="ar-SA"/>
        </w:rPr>
        <w:pict>
          <v:line id="箭头 2" o:spid="_x0000_s1036" o:spt="20" style="position:absolute;left:0pt;margin-left:376.95pt;margin-top:3.9pt;height:56.25pt;width:1.5pt;z-index:251667456;mso-width-relative:page;mso-height-relative:page;" fillcolor="#FFFFFF" filled="f" o:preferrelative="t" stroked="t" coordsize="21600,21600">
            <v:path arrowok="t"/>
            <v:fill on="f" color2="#FFFFFF" focussize="0,0"/>
            <v:stroke color="#739CC3" color2="#FFFFFF" miterlimit="2" endarrow="block"/>
            <v:imagedata gain="65536f" blacklevel="0f" gamma="0" o:title=""/>
            <o:lock v:ext="edit" position="f" selection="f" grouping="f" rotation="f" cropping="f" text="f" aspectratio="f"/>
          </v:line>
        </w:pict>
      </w:r>
    </w:p>
    <w:p w14:paraId="5B04C64E">
      <w:pPr>
        <w:spacing w:line="560" w:lineRule="exact"/>
        <w:ind w:firstLine="4160" w:firstLineChars="1300"/>
        <w:rPr>
          <w:rFonts w:hint="default" w:ascii="Times New Roman" w:hAnsi="Times New Roman" w:eastAsia="楷体_GB2312" w:cs="Times New Roman"/>
          <w:sz w:val="32"/>
          <w:szCs w:val="32"/>
        </w:rPr>
      </w:pPr>
    </w:p>
    <w:p w14:paraId="47876114">
      <w:pPr>
        <w:spacing w:line="560" w:lineRule="exact"/>
        <w:rPr>
          <w:rFonts w:hint="eastAsia" w:ascii="Times New Roman" w:hAnsi="Times New Roman" w:eastAsia="楷体_GB2312" w:cs="Times New Roman"/>
          <w:sz w:val="32"/>
          <w:szCs w:val="32"/>
          <w:lang w:eastAsia="zh-CN"/>
        </w:rPr>
      </w:pPr>
    </w:p>
    <w:p w14:paraId="36AB61F5">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宋体" w:cs="Times New Roman"/>
          <w:kern w:val="2"/>
          <w:sz w:val="32"/>
          <w:szCs w:val="24"/>
          <w:lang w:val="en-US" w:eastAsia="zh-CN" w:bidi="ar-SA"/>
        </w:rPr>
        <w:pict>
          <v:line id="箭头 6" o:spid="_x0000_s1037" o:spt="20" style="position:absolute;left:0pt;flip:x;margin-left:187.55pt;margin-top:17.45pt;height:0.05pt;width:66.75pt;z-index:251668480;mso-width-relative:page;mso-height-relative:page;" fillcolor="#FFFFFF" filled="f" o:preferrelative="t" stroked="t" coordsize="21600,21600">
            <v:path arrowok="t"/>
            <v:fill on="f" color2="#FFFFFF" focussize="0,0"/>
            <v:stroke color="#739CC3" color2="#FFFFFF" miterlimit="2" endarrow="block"/>
            <v:imagedata gain="65536f" blacklevel="0f" gamma="0" o:title=""/>
            <o:lock v:ext="edit" position="f" selection="f" grouping="f" rotation="f" cropping="f" text="f" aspectratio="f"/>
          </v:line>
        </w:pict>
      </w:r>
      <w:r>
        <w:rPr>
          <w:rFonts w:hint="default" w:ascii="Times New Roman" w:hAnsi="Times New Roman" w:eastAsia="楷体_GB2312" w:cs="Times New Roman"/>
          <w:sz w:val="32"/>
          <w:szCs w:val="32"/>
        </w:rPr>
        <w:t>财政局：审核支付</w:t>
      </w:r>
      <w:r>
        <w:rPr>
          <w:rFonts w:hint="eastAsia" w:eastAsia="楷体_GB2312" w:cs="Times New Roman"/>
          <w:sz w:val="32"/>
          <w:szCs w:val="32"/>
          <w:lang w:val="en-US" w:eastAsia="zh-CN"/>
        </w:rPr>
        <w:t xml:space="preserve">                </w:t>
      </w:r>
      <w:r>
        <w:rPr>
          <w:rFonts w:hint="default" w:ascii="Times New Roman" w:hAnsi="Times New Roman" w:eastAsia="楷体_GB2312" w:cs="Times New Roman"/>
          <w:sz w:val="32"/>
          <w:szCs w:val="32"/>
        </w:rPr>
        <w:t>财政局：资金审批</w:t>
      </w:r>
    </w:p>
    <w:p w14:paraId="5D8F1E8D">
      <w:pPr>
        <w:spacing w:line="560" w:lineRule="exact"/>
        <w:ind w:firstLine="640" w:firstLineChars="200"/>
        <w:rPr>
          <w:rFonts w:hint="default" w:ascii="Times New Roman" w:hAnsi="Times New Roman" w:eastAsia="宋体" w:cs="Times New Roman"/>
          <w:sz w:val="32"/>
          <w:szCs w:val="32"/>
          <w:lang w:eastAsia="zh-CN"/>
        </w:rPr>
      </w:pPr>
      <w:r>
        <w:rPr>
          <w:rFonts w:hint="default" w:ascii="Times New Roman" w:hAnsi="Times New Roman" w:eastAsia="宋体" w:cs="Times New Roman"/>
          <w:kern w:val="2"/>
          <w:sz w:val="32"/>
          <w:szCs w:val="24"/>
          <w:lang w:val="en-US" w:eastAsia="zh-CN" w:bidi="ar-SA"/>
        </w:rPr>
        <w:pict>
          <v:line id="_x0000_s1038" o:spid="_x0000_s1038" o:spt="20" style="position:absolute;left:0pt;margin-left:117.05pt;margin-top:5.05pt;height:56.25pt;width:1.5pt;z-index:251669504;mso-width-relative:page;mso-height-relative:page;" fillcolor="#FFFFFF" filled="f" o:preferrelative="t" stroked="t" coordsize="21600,21600">
            <v:path arrowok="t"/>
            <v:fill on="f" color2="#FFFFFF" focussize="0,0"/>
            <v:stroke color="#739CC3" color2="#FFFFFF" miterlimit="2" endarrow="block"/>
            <v:imagedata gain="65536f" blacklevel="0f" gamma="0" o:title=""/>
            <o:lock v:ext="edit" position="f" selection="f" grouping="f" rotation="f" cropping="f" text="f" aspectratio="f"/>
          </v:line>
        </w:pict>
      </w:r>
    </w:p>
    <w:p w14:paraId="6911FDA3">
      <w:pPr>
        <w:spacing w:line="560" w:lineRule="exact"/>
        <w:ind w:firstLine="640" w:firstLineChars="200"/>
        <w:rPr>
          <w:rFonts w:hint="default" w:ascii="Times New Roman" w:hAnsi="Times New Roman" w:eastAsia="楷体_GB2312" w:cs="Times New Roman"/>
          <w:sz w:val="32"/>
          <w:szCs w:val="32"/>
        </w:rPr>
      </w:pPr>
    </w:p>
    <w:p w14:paraId="3D6534A8">
      <w:pPr>
        <w:spacing w:line="560" w:lineRule="exact"/>
        <w:ind w:firstLine="1600" w:firstLineChars="500"/>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rPr>
        <w:t>银行：支付</w:t>
      </w:r>
    </w:p>
    <w:p w14:paraId="1C8AF9F7">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2.项目管理情况。</w:t>
      </w:r>
    </w:p>
    <w:p w14:paraId="4124BD63">
      <w:pPr>
        <w:adjustRightInd w:val="0"/>
        <w:snapToGrid w:val="0"/>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zh-CN"/>
        </w:rPr>
        <w:t>根据《盐边县人力资源和社会保障局关于解决</w:t>
      </w:r>
      <w:r>
        <w:rPr>
          <w:rFonts w:hint="default" w:ascii="Times New Roman" w:hAnsi="Times New Roman" w:eastAsia="仿宋_GB2312" w:cs="Times New Roman"/>
          <w:sz w:val="32"/>
          <w:szCs w:val="32"/>
        </w:rPr>
        <w:t>2022年度表彰（表扬）活动经费的请示</w:t>
      </w:r>
      <w:r>
        <w:rPr>
          <w:rFonts w:hint="default" w:ascii="Times New Roman" w:hAnsi="Times New Roman" w:eastAsia="仿宋_GB2312" w:cs="Times New Roman"/>
          <w:sz w:val="32"/>
          <w:szCs w:val="32"/>
          <w:lang w:val="zh-CN"/>
        </w:rPr>
        <w:t>》（盐边人社﹝202</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lang w:val="zh-CN"/>
        </w:rPr>
        <w:t>号）文件，经研究，财政局下达相关经费</w:t>
      </w:r>
      <w:r>
        <w:rPr>
          <w:rFonts w:hint="default" w:ascii="Times New Roman" w:hAnsi="Times New Roman" w:eastAsia="仿宋_GB2312" w:cs="Times New Roman"/>
          <w:sz w:val="32"/>
          <w:szCs w:val="32"/>
        </w:rPr>
        <w:t>62</w:t>
      </w:r>
      <w:r>
        <w:rPr>
          <w:rFonts w:hint="default" w:ascii="Times New Roman" w:hAnsi="Times New Roman" w:eastAsia="仿宋_GB2312" w:cs="Times New Roman"/>
          <w:sz w:val="32"/>
          <w:szCs w:val="32"/>
          <w:lang w:val="zh-CN"/>
        </w:rPr>
        <w:t>万元。</w:t>
      </w:r>
      <w:r>
        <w:rPr>
          <w:rFonts w:hint="default" w:ascii="Times New Roman" w:hAnsi="Times New Roman" w:eastAsia="仿宋_GB2312" w:cs="Times New Roman"/>
          <w:sz w:val="32"/>
          <w:szCs w:val="32"/>
        </w:rPr>
        <w:t>依据资金使用申报流程，申报该项目支出的用款计划，资金支付合规合法、与预算相符。</w:t>
      </w:r>
    </w:p>
    <w:p w14:paraId="40217D6F">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3.项目监管情况。</w:t>
      </w:r>
    </w:p>
    <w:p w14:paraId="5A760833">
      <w:pPr>
        <w:spacing w:line="560" w:lineRule="exact"/>
        <w:ind w:firstLine="640" w:firstLineChars="200"/>
        <w:rPr>
          <w:rFonts w:hint="default" w:ascii="Times New Roman" w:hAnsi="Times New Roman" w:cs="Times New Roman"/>
          <w:lang w:val="zh-CN"/>
        </w:rPr>
      </w:pPr>
      <w:r>
        <w:rPr>
          <w:rFonts w:hint="default" w:ascii="Times New Roman" w:hAnsi="Times New Roman" w:eastAsia="仿宋_GB2312" w:cs="Times New Roman"/>
          <w:kern w:val="0"/>
          <w:sz w:val="32"/>
          <w:szCs w:val="32"/>
        </w:rPr>
        <w:t>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r>
        <w:rPr>
          <w:rFonts w:hint="default" w:ascii="Times New Roman" w:hAnsi="Times New Roman" w:eastAsia="仿宋_GB2312" w:cs="Times New Roman"/>
          <w:sz w:val="32"/>
          <w:szCs w:val="32"/>
        </w:rPr>
        <w:t>。</w:t>
      </w:r>
    </w:p>
    <w:p w14:paraId="314B1686">
      <w:pPr>
        <w:ind w:firstLine="640" w:firstLineChars="200"/>
        <w:jc w:val="left"/>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三、项目绩效情况</w:t>
      </w:r>
      <w:r>
        <w:rPr>
          <w:rFonts w:hint="default" w:ascii="Times New Roman" w:hAnsi="Times New Roman" w:eastAsia="黑体" w:cs="Times New Roman"/>
          <w:sz w:val="32"/>
          <w:szCs w:val="32"/>
          <w:lang w:val="zh-CN"/>
        </w:rPr>
        <w:tab/>
      </w:r>
    </w:p>
    <w:p w14:paraId="4A5D6627">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14:paraId="377F34C8">
      <w:pPr>
        <w:adjustRightInd w:val="0"/>
        <w:snapToGrid w:val="0"/>
        <w:spacing w:line="560" w:lineRule="exact"/>
        <w:ind w:firstLine="640" w:firstLineChars="200"/>
        <w:jc w:val="both"/>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2023年1月17日，为树立典型，褒扬优秀，盐边县召开了2022年度总结表彰（表扬）大会，对在促进产业</w:t>
      </w:r>
      <w:r>
        <w:rPr>
          <w:rFonts w:hint="default" w:ascii="Times New Roman" w:hAnsi="Times New Roman" w:eastAsia="仿宋_GB2312" w:cs="Times New Roman"/>
          <w:sz w:val="32"/>
          <w:szCs w:val="32"/>
          <w:lang w:val="zh-CN"/>
        </w:rPr>
        <w:t>转型升级加快钒钛首县建设等工作中表现突出的优秀集体和个人进行表彰（表扬）。</w:t>
      </w:r>
      <w:r>
        <w:rPr>
          <w:rFonts w:hint="default" w:ascii="Times New Roman" w:hAnsi="Times New Roman" w:eastAsia="仿宋_GB2312" w:cs="Times New Roman"/>
          <w:sz w:val="32"/>
          <w:szCs w:val="32"/>
        </w:rPr>
        <w:t>根据第十五届第38次县委常委会审议通过的《盐边县关于评选表彰（表扬）2022年度优秀集体和优秀个人的工作方案》，2022年度表彰（表扬）先进集体160个、优秀个人620名，对受到表彰（表扬）的优秀个人给予物质奖励</w:t>
      </w:r>
      <w:r>
        <w:rPr>
          <w:rFonts w:hint="default" w:ascii="Times New Roman" w:hAnsi="Times New Roman" w:eastAsia="仿宋_GB2312" w:cs="Times New Roman"/>
          <w:sz w:val="32"/>
          <w:szCs w:val="32"/>
          <w:lang w:val="zh-CN"/>
        </w:rPr>
        <w:t>。</w:t>
      </w:r>
    </w:p>
    <w:p w14:paraId="5E019DD7">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14:paraId="577C1E88">
      <w:pPr>
        <w:adjustRightInd w:val="0"/>
        <w:snapToGrid w:val="0"/>
        <w:spacing w:line="560" w:lineRule="exact"/>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盐边干部紧扣“钒钛首县、滋味盐边”发展定位，迎难而上、主动作为、攻坚突破，全县干部奋进新时代，加快构建新发展格局，努力实现经济跨越提升、社会安定和谐，奋力谱写社会主义现代化盐边建设新篇章，争取早日把盐边建设成为雅砻江畔的璀璨明珠</w:t>
      </w:r>
      <w:r>
        <w:rPr>
          <w:rFonts w:hint="default" w:ascii="Times New Roman" w:hAnsi="Times New Roman" w:eastAsia="仿宋_GB2312" w:cs="Times New Roman"/>
          <w:sz w:val="32"/>
          <w:szCs w:val="32"/>
          <w:lang w:val="zh-CN"/>
        </w:rPr>
        <w:t>。</w:t>
      </w:r>
    </w:p>
    <w:p w14:paraId="57CFF51B">
      <w:pPr>
        <w:ind w:firstLine="640"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四、问题及建议</w:t>
      </w:r>
    </w:p>
    <w:p w14:paraId="35858B5E">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（一）存在的问题。</w:t>
      </w:r>
    </w:p>
    <w:p w14:paraId="3465A849">
      <w:pPr>
        <w:adjustRightInd w:val="0"/>
        <w:snapToGrid w:val="0"/>
        <w:spacing w:line="560" w:lineRule="exact"/>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600DE01C">
      <w:pPr>
        <w:adjustRightInd w:val="0"/>
        <w:snapToGrid w:val="0"/>
        <w:spacing w:line="560" w:lineRule="exact"/>
        <w:ind w:firstLine="643" w:firstLineChars="200"/>
        <w:jc w:val="left"/>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（二）相关建议。</w:t>
      </w:r>
    </w:p>
    <w:p w14:paraId="25B351E9">
      <w:pPr>
        <w:adjustRightInd w:val="0"/>
        <w:snapToGrid w:val="0"/>
        <w:spacing w:line="560" w:lineRule="exact"/>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67A57F9D">
      <w:pPr>
        <w:pStyle w:val="2"/>
        <w:jc w:val="center"/>
        <w:rPr>
          <w:rFonts w:hint="default" w:ascii="Times New Roman" w:hAnsi="Times New Roman" w:eastAsia="黑体" w:cs="Times New Roman"/>
        </w:rPr>
      </w:pPr>
      <w:r>
        <w:rPr>
          <w:rFonts w:hint="default" w:ascii="Times New Roman" w:hAnsi="Times New Roman" w:eastAsia="黑体" w:cs="Times New Roman"/>
          <w:b w:val="0"/>
          <w:bCs w:val="0"/>
        </w:rPr>
        <w:t>第五部分附表</w:t>
      </w:r>
      <w:bookmarkEnd w:id="79"/>
    </w:p>
    <w:p w14:paraId="3A2964EE">
      <w:pPr>
        <w:pStyle w:val="3"/>
        <w:rPr>
          <w:rStyle w:val="39"/>
          <w:rFonts w:hint="default" w:ascii="Times New Roman" w:hAnsi="Times New Roman" w:eastAsia="仿宋" w:cs="Times New Roman"/>
          <w:b w:val="0"/>
          <w:bCs w:val="0"/>
        </w:rPr>
      </w:pPr>
      <w:bookmarkStart w:id="80" w:name="_Toc14494"/>
      <w:r>
        <w:rPr>
          <w:rStyle w:val="39"/>
          <w:rFonts w:hint="default" w:ascii="Times New Roman" w:hAnsi="Times New Roman" w:eastAsia="仿宋" w:cs="Times New Roman"/>
          <w:b w:val="0"/>
          <w:bCs w:val="0"/>
        </w:rPr>
        <w:t>一、收入支出决算总表</w:t>
      </w:r>
      <w:bookmarkEnd w:id="80"/>
    </w:p>
    <w:p w14:paraId="009E14C2">
      <w:pPr>
        <w:pStyle w:val="3"/>
        <w:rPr>
          <w:rStyle w:val="39"/>
          <w:rFonts w:hint="default" w:ascii="Times New Roman" w:hAnsi="Times New Roman" w:eastAsia="仿宋" w:cs="Times New Roman"/>
          <w:b w:val="0"/>
          <w:bCs w:val="0"/>
        </w:rPr>
      </w:pPr>
      <w:bookmarkStart w:id="81" w:name="_Toc21856"/>
      <w:r>
        <w:rPr>
          <w:rStyle w:val="39"/>
          <w:rFonts w:hint="default" w:ascii="Times New Roman" w:hAnsi="Times New Roman" w:eastAsia="仿宋" w:cs="Times New Roman"/>
          <w:b w:val="0"/>
          <w:bCs w:val="0"/>
        </w:rPr>
        <w:t>二、收入决算表</w:t>
      </w:r>
      <w:bookmarkEnd w:id="81"/>
    </w:p>
    <w:p w14:paraId="352F1508">
      <w:pPr>
        <w:pStyle w:val="3"/>
        <w:rPr>
          <w:rStyle w:val="39"/>
          <w:rFonts w:hint="default" w:ascii="Times New Roman" w:hAnsi="Times New Roman" w:eastAsia="仿宋" w:cs="Times New Roman"/>
          <w:b w:val="0"/>
          <w:bCs w:val="0"/>
        </w:rPr>
      </w:pPr>
      <w:bookmarkStart w:id="82" w:name="_Toc29016"/>
      <w:r>
        <w:rPr>
          <w:rStyle w:val="39"/>
          <w:rFonts w:hint="default" w:ascii="Times New Roman" w:hAnsi="Times New Roman" w:eastAsia="仿宋" w:cs="Times New Roman"/>
          <w:b w:val="0"/>
          <w:bCs w:val="0"/>
        </w:rPr>
        <w:t>三、支出决算表</w:t>
      </w:r>
      <w:bookmarkEnd w:id="82"/>
    </w:p>
    <w:p w14:paraId="12C8BA82">
      <w:pPr>
        <w:pStyle w:val="3"/>
        <w:rPr>
          <w:rStyle w:val="39"/>
          <w:rFonts w:hint="default" w:ascii="Times New Roman" w:hAnsi="Times New Roman" w:eastAsia="仿宋" w:cs="Times New Roman"/>
          <w:b w:val="0"/>
          <w:bCs w:val="0"/>
        </w:rPr>
      </w:pPr>
      <w:bookmarkStart w:id="83" w:name="_Toc28773"/>
      <w:r>
        <w:rPr>
          <w:rStyle w:val="39"/>
          <w:rFonts w:hint="default" w:ascii="Times New Roman" w:hAnsi="Times New Roman" w:eastAsia="仿宋" w:cs="Times New Roman"/>
          <w:b w:val="0"/>
          <w:bCs w:val="0"/>
        </w:rPr>
        <w:t>四、财政拨款收入支出决算总表</w:t>
      </w:r>
      <w:bookmarkEnd w:id="83"/>
    </w:p>
    <w:p w14:paraId="0E9BB3FA">
      <w:pPr>
        <w:pStyle w:val="3"/>
        <w:rPr>
          <w:rStyle w:val="39"/>
          <w:rFonts w:hint="default" w:ascii="Times New Roman" w:hAnsi="Times New Roman" w:eastAsia="仿宋" w:cs="Times New Roman"/>
          <w:b w:val="0"/>
          <w:bCs w:val="0"/>
        </w:rPr>
      </w:pPr>
      <w:bookmarkStart w:id="84" w:name="_Toc15699"/>
      <w:r>
        <w:rPr>
          <w:rStyle w:val="39"/>
          <w:rFonts w:hint="default" w:ascii="Times New Roman" w:hAnsi="Times New Roman" w:eastAsia="仿宋" w:cs="Times New Roman"/>
          <w:b w:val="0"/>
          <w:bCs w:val="0"/>
        </w:rPr>
        <w:t>五、财政拨款支出决算明细表</w:t>
      </w:r>
      <w:bookmarkEnd w:id="84"/>
    </w:p>
    <w:p w14:paraId="2DA7D852">
      <w:pPr>
        <w:pStyle w:val="3"/>
        <w:rPr>
          <w:rStyle w:val="39"/>
          <w:rFonts w:hint="default" w:ascii="Times New Roman" w:hAnsi="Times New Roman" w:eastAsia="仿宋" w:cs="Times New Roman"/>
          <w:b w:val="0"/>
          <w:bCs w:val="0"/>
        </w:rPr>
      </w:pPr>
      <w:bookmarkStart w:id="85" w:name="_Toc28539"/>
      <w:r>
        <w:rPr>
          <w:rStyle w:val="39"/>
          <w:rFonts w:hint="default" w:ascii="Times New Roman" w:hAnsi="Times New Roman" w:eastAsia="仿宋" w:cs="Times New Roman"/>
          <w:b w:val="0"/>
          <w:bCs w:val="0"/>
        </w:rPr>
        <w:t>六、一般公共预算财政拨款支出决算表</w:t>
      </w:r>
      <w:bookmarkEnd w:id="85"/>
    </w:p>
    <w:p w14:paraId="681D6625">
      <w:pPr>
        <w:pStyle w:val="3"/>
        <w:rPr>
          <w:rStyle w:val="39"/>
          <w:rFonts w:hint="default" w:ascii="Times New Roman" w:hAnsi="Times New Roman" w:eastAsia="仿宋" w:cs="Times New Roman"/>
          <w:b w:val="0"/>
          <w:bCs w:val="0"/>
        </w:rPr>
      </w:pPr>
      <w:bookmarkStart w:id="86" w:name="_Toc26775"/>
      <w:r>
        <w:rPr>
          <w:rStyle w:val="39"/>
          <w:rFonts w:hint="default" w:ascii="Times New Roman" w:hAnsi="Times New Roman" w:eastAsia="仿宋" w:cs="Times New Roman"/>
          <w:b w:val="0"/>
          <w:bCs w:val="0"/>
        </w:rPr>
        <w:t>七、一般公共预算财政拨款支出决算明细表</w:t>
      </w:r>
      <w:bookmarkEnd w:id="86"/>
    </w:p>
    <w:p w14:paraId="13EB6B6C">
      <w:pPr>
        <w:pStyle w:val="3"/>
        <w:rPr>
          <w:rStyle w:val="39"/>
          <w:rFonts w:hint="default" w:ascii="Times New Roman" w:hAnsi="Times New Roman" w:eastAsia="仿宋" w:cs="Times New Roman"/>
          <w:b w:val="0"/>
          <w:bCs w:val="0"/>
        </w:rPr>
      </w:pPr>
      <w:bookmarkStart w:id="87" w:name="_Toc32566"/>
      <w:r>
        <w:rPr>
          <w:rStyle w:val="39"/>
          <w:rFonts w:hint="default" w:ascii="Times New Roman" w:hAnsi="Times New Roman" w:eastAsia="仿宋" w:cs="Times New Roman"/>
          <w:b w:val="0"/>
          <w:bCs w:val="0"/>
        </w:rPr>
        <w:t>八、一般公共预算财政拨款基本支出决算表</w:t>
      </w:r>
      <w:bookmarkEnd w:id="87"/>
    </w:p>
    <w:p w14:paraId="4B9FA969">
      <w:pPr>
        <w:pStyle w:val="3"/>
        <w:rPr>
          <w:rStyle w:val="39"/>
          <w:rFonts w:hint="default" w:ascii="Times New Roman" w:hAnsi="Times New Roman" w:eastAsia="仿宋" w:cs="Times New Roman"/>
          <w:b w:val="0"/>
          <w:bCs w:val="0"/>
        </w:rPr>
      </w:pPr>
      <w:bookmarkStart w:id="88" w:name="_Toc25458"/>
      <w:r>
        <w:rPr>
          <w:rStyle w:val="39"/>
          <w:rFonts w:hint="default" w:ascii="Times New Roman" w:hAnsi="Times New Roman" w:eastAsia="仿宋" w:cs="Times New Roman"/>
          <w:b w:val="0"/>
          <w:bCs w:val="0"/>
        </w:rPr>
        <w:t>九、一般公共预算财政拨款项目支出决算表</w:t>
      </w:r>
      <w:bookmarkEnd w:id="88"/>
    </w:p>
    <w:p w14:paraId="269982E5">
      <w:pPr>
        <w:pStyle w:val="3"/>
        <w:rPr>
          <w:rStyle w:val="39"/>
          <w:rFonts w:hint="default" w:ascii="Times New Roman" w:hAnsi="Times New Roman" w:eastAsia="仿宋" w:cs="Times New Roman"/>
          <w:b w:val="0"/>
          <w:bCs w:val="0"/>
        </w:rPr>
      </w:pPr>
      <w:bookmarkStart w:id="89" w:name="_Toc29863"/>
      <w:r>
        <w:rPr>
          <w:rStyle w:val="39"/>
          <w:rFonts w:hint="default" w:ascii="Times New Roman" w:hAnsi="Times New Roman" w:eastAsia="仿宋" w:cs="Times New Roman"/>
          <w:b w:val="0"/>
          <w:bCs w:val="0"/>
        </w:rPr>
        <w:t>十、政府性基金预算财政拨款收入支出决算表</w:t>
      </w:r>
      <w:bookmarkEnd w:id="89"/>
    </w:p>
    <w:p w14:paraId="26152DE9">
      <w:pPr>
        <w:pStyle w:val="3"/>
        <w:rPr>
          <w:rStyle w:val="39"/>
          <w:rFonts w:hint="default" w:ascii="Times New Roman" w:hAnsi="Times New Roman" w:eastAsia="仿宋" w:cs="Times New Roman"/>
          <w:b w:val="0"/>
          <w:bCs w:val="0"/>
        </w:rPr>
      </w:pPr>
      <w:bookmarkStart w:id="90" w:name="_Toc9405"/>
      <w:r>
        <w:rPr>
          <w:rStyle w:val="39"/>
          <w:rFonts w:hint="default" w:ascii="Times New Roman" w:hAnsi="Times New Roman" w:eastAsia="仿宋" w:cs="Times New Roman"/>
          <w:b w:val="0"/>
          <w:bCs w:val="0"/>
        </w:rPr>
        <w:t>十一、国有资本经营预算财政拨款收入支出决算表</w:t>
      </w:r>
      <w:bookmarkEnd w:id="90"/>
    </w:p>
    <w:p w14:paraId="2EF6B6F9">
      <w:pPr>
        <w:pStyle w:val="3"/>
        <w:rPr>
          <w:rStyle w:val="39"/>
          <w:rFonts w:hint="default" w:ascii="Times New Roman" w:hAnsi="Times New Roman" w:eastAsia="仿宋" w:cs="Times New Roman"/>
          <w:b w:val="0"/>
          <w:bCs w:val="0"/>
        </w:rPr>
      </w:pPr>
      <w:bookmarkStart w:id="91" w:name="_Toc20744"/>
      <w:r>
        <w:rPr>
          <w:rStyle w:val="39"/>
          <w:rFonts w:hint="default" w:ascii="Times New Roman" w:hAnsi="Times New Roman" w:eastAsia="仿宋" w:cs="Times New Roman"/>
          <w:b w:val="0"/>
          <w:bCs w:val="0"/>
        </w:rPr>
        <w:t>十二、国有资本经营预算财政拨款支出决算表</w:t>
      </w:r>
      <w:bookmarkEnd w:id="91"/>
    </w:p>
    <w:p w14:paraId="4BA45310">
      <w:pPr>
        <w:pStyle w:val="3"/>
        <w:rPr>
          <w:rStyle w:val="39"/>
          <w:rFonts w:hint="default" w:ascii="Times New Roman" w:hAnsi="Times New Roman" w:eastAsia="仿宋" w:cs="Times New Roman"/>
          <w:b w:val="0"/>
          <w:bCs w:val="0"/>
        </w:rPr>
      </w:pPr>
      <w:bookmarkStart w:id="92" w:name="_Toc8049"/>
      <w:r>
        <w:rPr>
          <w:rStyle w:val="39"/>
          <w:rFonts w:hint="default" w:ascii="Times New Roman" w:hAnsi="Times New Roman" w:eastAsia="仿宋" w:cs="Times New Roman"/>
          <w:b w:val="0"/>
          <w:bCs w:val="0"/>
        </w:rPr>
        <w:t>十三、财政拨款“三公”经费支出决算表</w:t>
      </w:r>
      <w:bookmarkEnd w:id="92"/>
    </w:p>
    <w:sectPr>
      <w:footerReference r:id="rId6" w:type="first"/>
      <w:footerReference r:id="rId5" w:type="default"/>
      <w:pgSz w:w="11906" w:h="16838"/>
      <w:pgMar w:top="1440" w:right="1800" w:bottom="1440"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05E66">
    <w:pPr>
      <w:pStyle w:val="13"/>
      <w:jc w:val="center"/>
    </w:pPr>
  </w:p>
  <w:p w14:paraId="06475C8B">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58E1C">
    <w:pPr>
      <w:pStyle w:val="13"/>
      <w:jc w:val="center"/>
    </w:pPr>
    <w:r>
      <w:rPr>
        <w:rFonts w:ascii="Calibri" w:hAnsi="Calibri" w:eastAsia="宋体" w:cs="Times New Roman"/>
        <w:kern w:val="0"/>
        <w:sz w:val="18"/>
        <w:szCs w:val="18"/>
        <w:lang w:val="en-US" w:eastAsia="zh-CN" w:bidi="ar-SA"/>
      </w:rPr>
      <w:pict>
        <v:shape id="文本框1" o:spid="_x0000_s2050" o:spt="202" type="#_x0000_t202"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2E9C94DA">
                <w:pPr>
                  <w:pStyle w:val="13"/>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14:paraId="58031318">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150E2">
    <w:pPr>
      <w:pStyle w:val="13"/>
    </w:pPr>
    <w:r>
      <w:rPr>
        <w:rFonts w:ascii="Calibri" w:hAnsi="Calibri" w:eastAsia="宋体" w:cs="Times New Roman"/>
        <w:kern w:val="0"/>
        <w:sz w:val="18"/>
        <w:szCs w:val="18"/>
        <w:lang w:val="en-US" w:eastAsia="zh-CN" w:bidi="ar-SA"/>
      </w:rPr>
      <w:pict>
        <v:shape id="文本框2" o:spid="_x0000_s2049" o:spt="202" type="#_x0000_t202" style="position:absolute;left:0pt;margin-top:0pt;height:144pt;width:144pt;mso-position-horizontal:outside;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39E5E949">
                <w:pPr>
                  <w:snapToGrid w:val="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36913">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5F4839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name="toc 4"/>
    <w:lsdException w:qFormat="1" w:uiPriority="39" w:name="toc 5"/>
    <w:lsdException w:qFormat="1" w:uiPriority="39" w:name="toc 6"/>
    <w:lsdException w:uiPriority="39" w:name="toc 7"/>
    <w:lsdException w:qFormat="1" w:uiPriority="39" w:name="toc 8"/>
    <w:lsdException w:qFormat="1"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9"/>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41"/>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5">
    <w:name w:val="toc 7"/>
    <w:basedOn w:val="1"/>
    <w:next w:val="1"/>
    <w:semiHidden/>
    <w:unhideWhenUsed/>
    <w:uiPriority w:val="39"/>
    <w:pPr>
      <w:ind w:left="2520" w:leftChars="1200"/>
    </w:pPr>
  </w:style>
  <w:style w:type="paragraph" w:styleId="6">
    <w:name w:val="Body Text"/>
    <w:basedOn w:val="1"/>
    <w:link w:val="37"/>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5"/>
    <w:basedOn w:val="1"/>
    <w:next w:val="1"/>
    <w:semiHidden/>
    <w:unhideWhenUsed/>
    <w:qFormat/>
    <w:uiPriority w:val="39"/>
    <w:pPr>
      <w:ind w:left="1680" w:leftChars="800"/>
    </w:pPr>
  </w:style>
  <w:style w:type="paragraph" w:styleId="9">
    <w:name w:val="toc 3"/>
    <w:basedOn w:val="1"/>
    <w:next w:val="1"/>
    <w:unhideWhenUsed/>
    <w:qFormat/>
    <w:uiPriority w:val="39"/>
    <w:pPr>
      <w:ind w:left="840" w:leftChars="400"/>
    </w:pPr>
  </w:style>
  <w:style w:type="paragraph" w:styleId="10">
    <w:name w:val="Plain Text"/>
    <w:basedOn w:val="1"/>
    <w:semiHidden/>
    <w:unhideWhenUsed/>
    <w:qFormat/>
    <w:uiPriority w:val="0"/>
    <w:rPr>
      <w:rFonts w:ascii="宋体" w:hAnsi="Courier New"/>
    </w:rPr>
  </w:style>
  <w:style w:type="paragraph" w:styleId="11">
    <w:name w:val="toc 8"/>
    <w:basedOn w:val="1"/>
    <w:next w:val="1"/>
    <w:semiHidden/>
    <w:unhideWhenUsed/>
    <w:qFormat/>
    <w:uiPriority w:val="39"/>
    <w:pPr>
      <w:ind w:left="2940" w:leftChars="1400"/>
    </w:pPr>
  </w:style>
  <w:style w:type="paragraph" w:styleId="12">
    <w:name w:val="Balloon Text"/>
    <w:basedOn w:val="1"/>
    <w:link w:val="40"/>
    <w:semiHidden/>
    <w:unhideWhenUsed/>
    <w:qFormat/>
    <w:uiPriority w:val="99"/>
    <w:rPr>
      <w:sz w:val="18"/>
      <w:szCs w:val="18"/>
    </w:rPr>
  </w:style>
  <w:style w:type="paragraph" w:styleId="13">
    <w:name w:val="footer"/>
    <w:basedOn w:val="1"/>
    <w:link w:val="35"/>
    <w:qFormat/>
    <w:uiPriority w:val="99"/>
    <w:pPr>
      <w:tabs>
        <w:tab w:val="center" w:pos="4153"/>
        <w:tab w:val="right" w:pos="8306"/>
      </w:tabs>
      <w:snapToGrid w:val="0"/>
      <w:jc w:val="left"/>
    </w:pPr>
    <w:rPr>
      <w:rFonts w:ascii="Calibri" w:hAnsi="Calibri"/>
      <w:kern w:val="0"/>
      <w:sz w:val="18"/>
      <w:szCs w:val="18"/>
    </w:rPr>
  </w:style>
  <w:style w:type="paragraph" w:styleId="14">
    <w:name w:val="header"/>
    <w:basedOn w:val="1"/>
    <w:link w:val="3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5">
    <w:name w:val="toc 1"/>
    <w:basedOn w:val="1"/>
    <w:next w:val="1"/>
    <w:unhideWhenUsed/>
    <w:qFormat/>
    <w:uiPriority w:val="39"/>
  </w:style>
  <w:style w:type="paragraph" w:styleId="16">
    <w:name w:val="toc 4"/>
    <w:basedOn w:val="1"/>
    <w:next w:val="1"/>
    <w:semiHidden/>
    <w:unhideWhenUsed/>
    <w:qFormat/>
    <w:uiPriority w:val="39"/>
    <w:pPr>
      <w:ind w:left="1260" w:leftChars="600"/>
    </w:pPr>
  </w:style>
  <w:style w:type="paragraph" w:styleId="17">
    <w:name w:val="toc 6"/>
    <w:basedOn w:val="1"/>
    <w:next w:val="1"/>
    <w:semiHidden/>
    <w:unhideWhenUsed/>
    <w:qFormat/>
    <w:uiPriority w:val="39"/>
    <w:pPr>
      <w:ind w:left="2100" w:leftChars="1000"/>
    </w:pPr>
  </w:style>
  <w:style w:type="paragraph" w:styleId="18">
    <w:name w:val="toc 2"/>
    <w:basedOn w:val="1"/>
    <w:next w:val="1"/>
    <w:unhideWhenUsed/>
    <w:qFormat/>
    <w:uiPriority w:val="39"/>
    <w:pPr>
      <w:ind w:left="420" w:leftChars="200"/>
    </w:pPr>
  </w:style>
  <w:style w:type="paragraph" w:styleId="19">
    <w:name w:val="toc 9"/>
    <w:basedOn w:val="1"/>
    <w:next w:val="1"/>
    <w:semiHidden/>
    <w:unhideWhenUsed/>
    <w:qFormat/>
    <w:uiPriority w:val="39"/>
    <w:pPr>
      <w:ind w:left="3360" w:leftChars="1600"/>
    </w:pPr>
  </w:style>
  <w:style w:type="paragraph" w:styleId="20">
    <w:name w:val="Body Text First Indent 2"/>
    <w:basedOn w:val="7"/>
    <w:unhideWhenUsed/>
    <w:qFormat/>
    <w:uiPriority w:val="99"/>
    <w:pPr>
      <w:ind w:firstLine="420" w:firstLineChars="200"/>
    </w:pPr>
  </w:style>
  <w:style w:type="character" w:styleId="23">
    <w:name w:val="Strong"/>
    <w:qFormat/>
    <w:uiPriority w:val="99"/>
    <w:rPr>
      <w:b/>
    </w:rPr>
  </w:style>
  <w:style w:type="character" w:styleId="24">
    <w:name w:val="Hyperlink"/>
    <w:unhideWhenUsed/>
    <w:qFormat/>
    <w:uiPriority w:val="99"/>
    <w:rPr>
      <w:color w:val="0000FF"/>
      <w:u w:val="single"/>
    </w:rPr>
  </w:style>
  <w:style w:type="paragraph" w:customStyle="1" w:styleId="25">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7">
    <w:name w:val="列出段落1"/>
    <w:basedOn w:val="1"/>
    <w:qFormat/>
    <w:uiPriority w:val="34"/>
    <w:pPr>
      <w:ind w:firstLine="420" w:firstLineChars="200"/>
    </w:pPr>
  </w:style>
  <w:style w:type="paragraph" w:customStyle="1" w:styleId="28">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9">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30">
    <w:name w:val="四号正文"/>
    <w:basedOn w:val="1"/>
    <w:qFormat/>
    <w:uiPriority w:val="0"/>
    <w:pPr>
      <w:spacing w:line="360" w:lineRule="auto"/>
    </w:pPr>
    <w:rPr>
      <w:rFonts w:ascii="??" w:hAnsi="??"/>
      <w:color w:val="000000"/>
      <w:kern w:val="0"/>
      <w:sz w:val="28"/>
      <w:szCs w:val="21"/>
      <w:lang w:val="zh-CN"/>
    </w:rPr>
  </w:style>
  <w:style w:type="paragraph" w:customStyle="1" w:styleId="31">
    <w:name w:val="p0"/>
    <w:basedOn w:val="1"/>
    <w:qFormat/>
    <w:uiPriority w:val="0"/>
    <w:pPr>
      <w:widowControl/>
    </w:pPr>
    <w:rPr>
      <w:kern w:val="0"/>
      <w:szCs w:val="21"/>
    </w:rPr>
  </w:style>
  <w:style w:type="character" w:customStyle="1" w:styleId="32">
    <w:name w:val="Header Char"/>
    <w:semiHidden/>
    <w:qFormat/>
    <w:uiPriority w:val="99"/>
    <w:rPr>
      <w:rFonts w:ascii="Times New Roman" w:hAnsi="Times New Roman"/>
      <w:sz w:val="18"/>
      <w:szCs w:val="18"/>
    </w:rPr>
  </w:style>
  <w:style w:type="character" w:customStyle="1" w:styleId="33">
    <w:name w:val="页眉 Char"/>
    <w:link w:val="14"/>
    <w:semiHidden/>
    <w:qFormat/>
    <w:locked/>
    <w:uiPriority w:val="99"/>
    <w:rPr>
      <w:sz w:val="18"/>
    </w:rPr>
  </w:style>
  <w:style w:type="character" w:customStyle="1" w:styleId="34">
    <w:name w:val="Footer Char"/>
    <w:semiHidden/>
    <w:qFormat/>
    <w:uiPriority w:val="99"/>
    <w:rPr>
      <w:rFonts w:ascii="Times New Roman" w:hAnsi="Times New Roman"/>
      <w:sz w:val="18"/>
      <w:szCs w:val="18"/>
    </w:rPr>
  </w:style>
  <w:style w:type="character" w:customStyle="1" w:styleId="35">
    <w:name w:val="页脚 Char"/>
    <w:link w:val="13"/>
    <w:qFormat/>
    <w:locked/>
    <w:uiPriority w:val="99"/>
    <w:rPr>
      <w:sz w:val="18"/>
    </w:rPr>
  </w:style>
  <w:style w:type="character" w:customStyle="1" w:styleId="36">
    <w:name w:val="Body Text Char"/>
    <w:semiHidden/>
    <w:qFormat/>
    <w:uiPriority w:val="99"/>
    <w:rPr>
      <w:rFonts w:ascii="Times New Roman" w:hAnsi="Times New Roman"/>
      <w:szCs w:val="24"/>
    </w:rPr>
  </w:style>
  <w:style w:type="character" w:customStyle="1" w:styleId="37">
    <w:name w:val="正文文本 Char"/>
    <w:link w:val="6"/>
    <w:qFormat/>
    <w:locked/>
    <w:uiPriority w:val="99"/>
    <w:rPr>
      <w:rFonts w:ascii="仿宋_GB2312" w:hAnsi="Times New Roman" w:eastAsia="仿宋_GB2312"/>
      <w:sz w:val="24"/>
    </w:rPr>
  </w:style>
  <w:style w:type="character" w:customStyle="1" w:styleId="38">
    <w:name w:val="标题 1 Char"/>
    <w:link w:val="2"/>
    <w:qFormat/>
    <w:uiPriority w:val="9"/>
    <w:rPr>
      <w:rFonts w:ascii="Times New Roman" w:hAnsi="Times New Roman"/>
      <w:b/>
      <w:bCs/>
      <w:kern w:val="44"/>
      <w:sz w:val="44"/>
      <w:szCs w:val="44"/>
    </w:rPr>
  </w:style>
  <w:style w:type="character" w:customStyle="1" w:styleId="39">
    <w:name w:val="标题 2 Char"/>
    <w:link w:val="3"/>
    <w:qFormat/>
    <w:uiPriority w:val="9"/>
    <w:rPr>
      <w:rFonts w:ascii="Cambria" w:hAnsi="Cambria" w:eastAsia="宋体" w:cs="黑体"/>
      <w:b/>
      <w:bCs/>
      <w:kern w:val="2"/>
      <w:sz w:val="32"/>
      <w:szCs w:val="32"/>
    </w:rPr>
  </w:style>
  <w:style w:type="character" w:customStyle="1" w:styleId="40">
    <w:name w:val="批注框文本 Char"/>
    <w:link w:val="12"/>
    <w:semiHidden/>
    <w:qFormat/>
    <w:uiPriority w:val="99"/>
    <w:rPr>
      <w:rFonts w:ascii="Times New Roman" w:hAnsi="Times New Roman"/>
      <w:kern w:val="2"/>
      <w:sz w:val="18"/>
      <w:szCs w:val="18"/>
    </w:rPr>
  </w:style>
  <w:style w:type="character" w:customStyle="1" w:styleId="41">
    <w:name w:val="标题 3 Char"/>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5.emf"/><Relationship Id="rId17" Type="http://schemas.openxmlformats.org/officeDocument/2006/relationships/oleObject" Target="embeddings/oleObject6.bin"/><Relationship Id="rId16" Type="http://schemas.openxmlformats.org/officeDocument/2006/relationships/image" Target="media/image4.emf"/><Relationship Id="rId15" Type="http://schemas.openxmlformats.org/officeDocument/2006/relationships/oleObject" Target="embeddings/oleObject5.bin"/><Relationship Id="rId14" Type="http://schemas.openxmlformats.org/officeDocument/2006/relationships/oleObject" Target="embeddings/oleObject4.bin"/><Relationship Id="rId13" Type="http://schemas.openxmlformats.org/officeDocument/2006/relationships/image" Target="media/image3.emf"/><Relationship Id="rId12" Type="http://schemas.openxmlformats.org/officeDocument/2006/relationships/oleObject" Target="embeddings/oleObject3.bin"/><Relationship Id="rId11" Type="http://schemas.openxmlformats.org/officeDocument/2006/relationships/image" Target="media/image2.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33</Pages>
  <Words>12923</Words>
  <Characters>13836</Characters>
  <Lines>106</Lines>
  <Paragraphs>30</Paragraphs>
  <TotalTime>0</TotalTime>
  <ScaleCrop>false</ScaleCrop>
  <LinksUpToDate>false</LinksUpToDate>
  <CharactersWithSpaces>13889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李富云</cp:lastModifiedBy>
  <cp:lastPrinted>2023-08-03T10:35:00Z</cp:lastPrinted>
  <dcterms:modified xsi:type="dcterms:W3CDTF">2024-12-19T02:36:59Z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94C41D0B9EA24EABBC120250D77A3D1B_12</vt:lpwstr>
  </property>
</Properties>
</file>