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ascii="方正小标宋简体" w:hAnsi="宋体" w:eastAsia="方正小标宋简体"/>
          <w:sz w:val="72"/>
          <w:szCs w:val="72"/>
        </w:rPr>
      </w:pPr>
      <w:bookmarkStart w:id="0" w:name="_Toc15378441"/>
      <w:bookmarkStart w:id="1" w:name="_Toc15396597"/>
      <w:bookmarkStart w:id="2" w:name="_Toc15377425"/>
      <w:bookmarkStart w:id="3" w:name="_Toc15377193"/>
      <w:bookmarkStart w:id="4" w:name="_Toc15396475"/>
      <w:bookmarkStart w:id="5" w:name="_Toc15306267"/>
    </w:p>
    <w:p>
      <w:pPr>
        <w:pStyle w:val="6"/>
        <w:spacing w:before="93"/>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52"/>
          <w:szCs w:val="52"/>
        </w:rPr>
      </w:pPr>
    </w:p>
    <w:p>
      <w:pPr>
        <w:tabs>
          <w:tab w:val="center" w:pos="4213"/>
          <w:tab w:val="left" w:pos="6663"/>
        </w:tabs>
        <w:adjustRightInd w:val="0"/>
        <w:snapToGrid w:val="0"/>
        <w:spacing w:line="360" w:lineRule="auto"/>
        <w:jc w:val="left"/>
        <w:outlineLvl w:val="0"/>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52"/>
          <w:szCs w:val="52"/>
          <w:lang w:eastAsia="zh-CN"/>
        </w:rPr>
        <w:tab/>
      </w:r>
      <w:bookmarkStart w:id="6" w:name="_Toc1235249240"/>
      <w:bookmarkStart w:id="7" w:name="_Toc1073498726"/>
      <w:bookmarkStart w:id="8" w:name="_Toc1809183374"/>
      <w:bookmarkStart w:id="9" w:name="_Toc463841201"/>
      <w:bookmarkStart w:id="10" w:name="_Toc725665838"/>
      <w:r>
        <w:rPr>
          <w:rFonts w:hint="eastAsia" w:ascii="方正小标宋简体" w:hAnsi="方正小标宋简体" w:eastAsia="方正小标宋简体" w:cs="方正小标宋简体"/>
          <w:sz w:val="44"/>
          <w:szCs w:val="44"/>
        </w:rPr>
        <w:t>2023年度</w:t>
      </w:r>
      <w:bookmarkEnd w:id="0"/>
      <w:bookmarkEnd w:id="1"/>
      <w:bookmarkEnd w:id="2"/>
      <w:bookmarkEnd w:id="3"/>
      <w:bookmarkEnd w:id="4"/>
      <w:bookmarkEnd w:id="6"/>
      <w:bookmarkEnd w:id="7"/>
      <w:bookmarkEnd w:id="8"/>
      <w:bookmarkEnd w:id="9"/>
      <w:bookmarkEnd w:id="10"/>
      <w:r>
        <w:rPr>
          <w:rFonts w:hint="eastAsia" w:ascii="方正小标宋简体" w:hAnsi="方正小标宋简体" w:eastAsia="方正小标宋简体" w:cs="方正小标宋简体"/>
          <w:sz w:val="44"/>
          <w:szCs w:val="44"/>
          <w:lang w:eastAsia="zh-CN"/>
        </w:rPr>
        <w:tab/>
      </w:r>
    </w:p>
    <w:bookmarkEnd w:id="5"/>
    <w:p>
      <w:pPr>
        <w:adjustRightInd w:val="0"/>
        <w:snapToGrid w:val="0"/>
        <w:spacing w:line="360" w:lineRule="auto"/>
        <w:jc w:val="center"/>
        <w:outlineLvl w:val="0"/>
        <w:rPr>
          <w:rFonts w:hint="eastAsia" w:ascii="方正小标宋简体" w:hAnsi="方正小标宋简体" w:eastAsia="方正小标宋简体" w:cs="方正小标宋简体"/>
          <w:sz w:val="44"/>
          <w:szCs w:val="44"/>
          <w:lang w:eastAsia="zh-CN"/>
        </w:rPr>
      </w:pPr>
      <w:bookmarkStart w:id="11" w:name="_Toc235070274"/>
      <w:bookmarkStart w:id="12" w:name="_Toc205661876"/>
      <w:bookmarkStart w:id="13" w:name="_Toc529738563"/>
      <w:bookmarkStart w:id="14" w:name="_Toc2109008625"/>
      <w:bookmarkStart w:id="15" w:name="_Toc1092661804"/>
      <w:bookmarkStart w:id="16" w:name="_Toc15377194"/>
      <w:bookmarkStart w:id="17" w:name="_Toc15306268"/>
      <w:bookmarkStart w:id="18" w:name="_Toc15396476"/>
      <w:bookmarkStart w:id="19" w:name="_Toc15378442"/>
      <w:bookmarkStart w:id="20" w:name="_Toc15377426"/>
      <w:bookmarkStart w:id="21" w:name="_Toc15396598"/>
      <w:r>
        <w:rPr>
          <w:rFonts w:hint="eastAsia" w:ascii="方正小标宋简体" w:hAnsi="方正小标宋简体" w:eastAsia="方正小标宋简体" w:cs="方正小标宋简体"/>
          <w:sz w:val="44"/>
          <w:szCs w:val="44"/>
          <w:lang w:eastAsia="zh-CN"/>
        </w:rPr>
        <w:t>盐边县卫生健康局</w:t>
      </w:r>
      <w:bookmarkEnd w:id="11"/>
      <w:bookmarkEnd w:id="12"/>
      <w:bookmarkEnd w:id="13"/>
      <w:bookmarkEnd w:id="14"/>
      <w:bookmarkEnd w:id="15"/>
    </w:p>
    <w:p>
      <w:pPr>
        <w:adjustRightInd w:val="0"/>
        <w:snapToGrid w:val="0"/>
        <w:spacing w:line="360" w:lineRule="auto"/>
        <w:jc w:val="center"/>
        <w:outlineLvl w:val="0"/>
        <w:rPr>
          <w:rFonts w:ascii="方正小标宋简体" w:hAnsi="方正小标宋简体" w:eastAsia="方正小标宋简体" w:cs="方正小标宋简体"/>
          <w:sz w:val="44"/>
          <w:szCs w:val="44"/>
        </w:rPr>
      </w:pPr>
      <w:bookmarkStart w:id="22" w:name="_Toc1532255382"/>
      <w:bookmarkStart w:id="23" w:name="_Toc997184962"/>
      <w:bookmarkStart w:id="24" w:name="_Toc229371034"/>
      <w:bookmarkStart w:id="25" w:name="_Toc1676573468"/>
      <w:bookmarkStart w:id="26" w:name="_Toc1679864897"/>
      <w:r>
        <w:rPr>
          <w:rFonts w:hint="eastAsia" w:ascii="方正小标宋简体" w:hAnsi="方正小标宋简体" w:eastAsia="方正小标宋简体" w:cs="方正小标宋简体"/>
          <w:sz w:val="44"/>
          <w:szCs w:val="44"/>
        </w:rPr>
        <w:t>部门决算</w:t>
      </w:r>
      <w:bookmarkEnd w:id="16"/>
      <w:bookmarkEnd w:id="17"/>
      <w:bookmarkEnd w:id="18"/>
      <w:bookmarkEnd w:id="19"/>
      <w:bookmarkEnd w:id="20"/>
      <w:bookmarkEnd w:id="21"/>
      <w:bookmarkEnd w:id="22"/>
      <w:bookmarkEnd w:id="23"/>
      <w:bookmarkEnd w:id="24"/>
      <w:bookmarkEnd w:id="25"/>
      <w:bookmarkEnd w:id="26"/>
    </w:p>
    <w:p>
      <w:pPr>
        <w:widowControl/>
        <w:jc w:val="center"/>
        <w:rPr>
          <w:rFonts w:hint="eastAsia" w:ascii="黑体" w:hAnsi="黑体" w:eastAsia="黑体"/>
          <w:sz w:val="44"/>
          <w:szCs w:val="44"/>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widowControl/>
        <w:jc w:val="center"/>
        <w:rPr>
          <w:rFonts w:ascii="黑体" w:hAnsi="黑体" w:eastAsia="黑体"/>
          <w:sz w:val="48"/>
          <w:szCs w:val="48"/>
        </w:rPr>
      </w:pP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4"/>
      </w:pPr>
      <w:r>
        <w:rPr>
          <w:rFonts w:hint="eastAsia"/>
        </w:rPr>
        <w:t>公开时间：202</w:t>
      </w:r>
      <w:r>
        <w:rPr>
          <w:rFonts w:hint="eastAsia"/>
          <w:lang w:val="en-US" w:eastAsia="zh-CN"/>
        </w:rPr>
        <w:t>4</w:t>
      </w:r>
      <w:r>
        <w:rPr>
          <w:rFonts w:hint="eastAsia"/>
        </w:rPr>
        <w:t>年</w:t>
      </w:r>
      <w:r>
        <w:rPr>
          <w:rFonts w:hint="eastAsia"/>
          <w:lang w:val="en-US" w:eastAsia="zh-CN"/>
        </w:rPr>
        <w:t>10</w:t>
      </w:r>
      <w:r>
        <w:rPr>
          <w:rFonts w:hint="eastAsia"/>
        </w:rPr>
        <w:t xml:space="preserve">月 </w:t>
      </w:r>
      <w:r>
        <w:rPr>
          <w:rFonts w:hint="eastAsia"/>
          <w:lang w:val="en-US" w:eastAsia="zh-CN"/>
        </w:rPr>
        <w:t>28</w:t>
      </w:r>
      <w:r>
        <w:rPr>
          <w:rFonts w:hint="eastAsia"/>
        </w:rPr>
        <w:t xml:space="preserve"> 日</w:t>
      </w:r>
    </w:p>
    <w:sdt>
      <w:sdtPr>
        <w:rPr>
          <w:rFonts w:ascii="宋体" w:hAnsi="宋体" w:eastAsia="宋体" w:cs="Times New Roman"/>
          <w:kern w:val="2"/>
          <w:sz w:val="21"/>
          <w:szCs w:val="24"/>
          <w:lang w:val="en-US" w:eastAsia="zh-CN" w:bidi="ar-SA"/>
        </w:rPr>
        <w:id w:val="397172494"/>
        <w15:color w:val="DBDBDB"/>
        <w:docPartObj>
          <w:docPartGallery w:val="Table of Contents"/>
          <w:docPartUnique/>
        </w:docPartObj>
      </w:sdtPr>
      <w:sdtEndPr>
        <w:rPr>
          <w:rFonts w:ascii="宋体" w:hAnsi="宋体"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fldChar w:fldCharType="begin"/>
          </w:r>
          <w:r>
            <w:instrText xml:space="preserve">TOC \o "1-3" \h \u </w:instrText>
          </w:r>
          <w:r>
            <w:fldChar w:fldCharType="separate"/>
          </w:r>
        </w:p>
        <w:p>
          <w:pPr>
            <w:pStyle w:val="14"/>
            <w:tabs>
              <w:tab w:val="right" w:leader="dot" w:pos="8306"/>
              <w:tab w:val="clear" w:pos="8296"/>
            </w:tabs>
            <w:rPr>
              <w:rFonts w:hint="eastAsia" w:ascii="CESI仿宋-GB13000" w:hAnsi="CESI仿宋-GB13000" w:eastAsia="CESI仿宋-GB13000" w:cs="CESI仿宋-GB13000"/>
              <w:sz w:val="28"/>
              <w:szCs w:val="28"/>
            </w:rPr>
          </w:pP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HYPERLINK \l _Toc1936193645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 xml:space="preserve">第一部分 </w:t>
          </w:r>
          <w:r>
            <w:rPr>
              <w:rFonts w:hint="eastAsia" w:ascii="CESI仿宋-GB13000" w:hAnsi="CESI仿宋-GB13000" w:eastAsia="CESI仿宋-GB13000" w:cs="CESI仿宋-GB13000"/>
              <w:bCs w:val="0"/>
              <w:sz w:val="28"/>
              <w:szCs w:val="28"/>
            </w:rPr>
            <w:t>部门概况</w:t>
          </w:r>
          <w:r>
            <w:rPr>
              <w:rFonts w:hint="eastAsia" w:ascii="CESI仿宋-GB13000" w:hAnsi="CESI仿宋-GB13000" w:eastAsia="CESI仿宋-GB13000" w:cs="CESI仿宋-GB13000"/>
              <w:sz w:val="28"/>
              <w:szCs w:val="28"/>
            </w:rPr>
            <w:tab/>
          </w: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PAGEREF _Toc1936193645 \h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1</w:t>
          </w:r>
          <w:r>
            <w:rPr>
              <w:rFonts w:hint="eastAsia" w:ascii="CESI仿宋-GB13000" w:hAnsi="CESI仿宋-GB13000" w:eastAsia="CESI仿宋-GB13000" w:cs="CESI仿宋-GB13000"/>
              <w:sz w:val="28"/>
              <w:szCs w:val="28"/>
            </w:rPr>
            <w:fldChar w:fldCharType="end"/>
          </w:r>
          <w:r>
            <w:rPr>
              <w:rFonts w:hint="eastAsia" w:ascii="CESI仿宋-GB13000" w:hAnsi="CESI仿宋-GB13000" w:eastAsia="CESI仿宋-GB13000" w:cs="CESI仿宋-GB13000"/>
              <w:sz w:val="28"/>
              <w:szCs w:val="28"/>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_Toc981774416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一、 部门职责</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_Toc981774416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_Toc959949503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二、机</w:t>
          </w:r>
          <w:r>
            <w:rPr>
              <w:rFonts w:hint="eastAsia" w:asciiTheme="minorEastAsia" w:hAnsiTheme="minorEastAsia" w:eastAsiaTheme="minorEastAsia" w:cstheme="minorEastAsia"/>
              <w:bCs w:val="0"/>
              <w:sz w:val="24"/>
              <w:szCs w:val="24"/>
            </w:rPr>
            <w:t>构设置</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_Toc959949503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4"/>
            <w:tabs>
              <w:tab w:val="right" w:leader="dot" w:pos="8306"/>
              <w:tab w:val="clear" w:pos="8296"/>
            </w:tabs>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HYPERLINK \l _Toc1767728673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第二部分 2023年度</w:t>
          </w:r>
          <w:r>
            <w:rPr>
              <w:rFonts w:hint="eastAsia" w:ascii="CESI仿宋-GB2312" w:hAnsi="CESI仿宋-GB2312" w:eastAsia="CESI仿宋-GB2312" w:cs="CESI仿宋-GB2312"/>
              <w:bCs/>
              <w:sz w:val="28"/>
              <w:szCs w:val="28"/>
            </w:rPr>
            <w:t>部门决算情况说明</w:t>
          </w:r>
          <w:r>
            <w:rPr>
              <w:rFonts w:hint="eastAsia" w:ascii="CESI仿宋-GB2312" w:hAnsi="CESI仿宋-GB2312" w:eastAsia="CESI仿宋-GB2312" w:cs="CESI仿宋-GB2312"/>
              <w:sz w:val="28"/>
              <w:szCs w:val="28"/>
            </w:rPr>
            <w:tab/>
          </w:r>
          <w:r>
            <w:rPr>
              <w:rFonts w:hint="eastAsia" w:ascii="CESI仿宋-GB2312" w:hAnsi="CESI仿宋-GB2312" w:eastAsia="CESI仿宋-GB2312" w:cs="CESI仿宋-GB2312"/>
              <w:sz w:val="28"/>
              <w:szCs w:val="28"/>
              <w:lang w:val="en-US" w:eastAsia="zh-CN"/>
            </w:rPr>
            <w:t>6</w:t>
          </w:r>
          <w:r>
            <w:rPr>
              <w:rFonts w:hint="eastAsia" w:ascii="CESI仿宋-GB2312" w:hAnsi="CESI仿宋-GB2312" w:eastAsia="CESI仿宋-GB2312" w:cs="CESI仿宋-GB2312"/>
              <w:sz w:val="28"/>
              <w:szCs w:val="28"/>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_Toc1712054822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一、 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_Toc505512171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 收入决算情况说明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_Toc227483964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三、 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_Toc2125645994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四、财政拨款收入支出决算总体情况说明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_Toc365765399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五、一般公共预算财政拨款支出决算情况说明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_Toc1345228841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六、一般公共预算财政拨款基本支出决算情况说明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5</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_Toc279829660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七、财政拨款“三公”经费支出决算情况说明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_Toc1192848304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八、政府性基金预算支出决算情况说明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8</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_Toc46048431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九、 国有资本经营预算支出决算情况说明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9</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_Toc1712630967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十、 其他重要事项的情况说明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9</w:t>
          </w:r>
        </w:p>
        <w:p>
          <w:pPr>
            <w:pStyle w:val="14"/>
            <w:tabs>
              <w:tab w:val="right" w:leader="dot" w:pos="8306"/>
              <w:tab w:val="clear" w:pos="8296"/>
            </w:tabs>
            <w:rPr>
              <w:rFonts w:hint="eastAsia" w:ascii="CESI仿宋-GB2312" w:hAnsi="CESI仿宋-GB2312" w:eastAsia="CESI仿宋-GB2312" w:cs="CESI仿宋-GB2312"/>
              <w:sz w:val="28"/>
              <w:szCs w:val="28"/>
              <w:lang w:val="en-US" w:eastAsia="zh-CN"/>
            </w:rPr>
          </w:pP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HYPERLINK \l _Toc788860379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第三部分 名词解释</w:t>
          </w:r>
          <w:r>
            <w:rPr>
              <w:rFonts w:hint="eastAsia" w:ascii="CESI仿宋-GB2312" w:hAnsi="CESI仿宋-GB2312" w:eastAsia="CESI仿宋-GB2312" w:cs="CESI仿宋-GB2312"/>
              <w:sz w:val="28"/>
              <w:szCs w:val="28"/>
            </w:rPr>
            <w:tab/>
          </w:r>
          <w:r>
            <w:rPr>
              <w:rFonts w:hint="eastAsia" w:ascii="CESI仿宋-GB2312" w:hAnsi="CESI仿宋-GB2312" w:eastAsia="CESI仿宋-GB2312" w:cs="CESI仿宋-GB2312"/>
              <w:sz w:val="28"/>
              <w:szCs w:val="28"/>
              <w:lang w:val="en-US" w:eastAsia="zh-CN"/>
            </w:rPr>
            <w:t>2</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lang w:val="en-US" w:eastAsia="zh-CN"/>
            </w:rPr>
            <w:t>1</w:t>
          </w:r>
        </w:p>
        <w:p>
          <w:pPr>
            <w:pStyle w:val="14"/>
            <w:tabs>
              <w:tab w:val="right" w:leader="dot" w:pos="8306"/>
              <w:tab w:val="clear" w:pos="8296"/>
            </w:tabs>
            <w:rPr>
              <w:rFonts w:hint="eastAsia" w:ascii="CESI仿宋-GB2312" w:hAnsi="CESI仿宋-GB2312" w:eastAsia="CESI仿宋-GB2312" w:cs="CESI仿宋-GB2312"/>
              <w:sz w:val="28"/>
              <w:szCs w:val="28"/>
              <w:lang w:val="en-US" w:eastAsia="zh-CN"/>
            </w:rPr>
          </w:pP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HYPERLINK \l _Toc983369049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第四部分 附件</w:t>
          </w:r>
          <w:r>
            <w:rPr>
              <w:rFonts w:hint="eastAsia" w:ascii="CESI仿宋-GB2312" w:hAnsi="CESI仿宋-GB2312" w:eastAsia="CESI仿宋-GB2312" w:cs="CESI仿宋-GB2312"/>
              <w:sz w:val="28"/>
              <w:szCs w:val="28"/>
            </w:rPr>
            <w:tab/>
          </w:r>
          <w:r>
            <w:rPr>
              <w:rFonts w:hint="eastAsia" w:ascii="CESI仿宋-GB2312" w:hAnsi="CESI仿宋-GB2312" w:eastAsia="CESI仿宋-GB2312" w:cs="CESI仿宋-GB2312"/>
              <w:sz w:val="28"/>
              <w:szCs w:val="28"/>
              <w:lang w:val="en-US" w:eastAsia="zh-CN"/>
            </w:rPr>
            <w:t>2</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lang w:val="en-US" w:eastAsia="zh-CN"/>
            </w:rPr>
            <w:t>7</w:t>
          </w:r>
        </w:p>
        <w:p>
          <w:pPr>
            <w:pStyle w:val="14"/>
            <w:tabs>
              <w:tab w:val="right" w:leader="dot" w:pos="8306"/>
              <w:tab w:val="clear" w:pos="8296"/>
            </w:tabs>
            <w:rPr>
              <w:rFonts w:hint="eastAsia" w:eastAsia="CESI仿宋-GB13000"/>
              <w:sz w:val="28"/>
              <w:szCs w:val="28"/>
              <w:lang w:val="en-US" w:eastAsia="zh-CN"/>
            </w:rPr>
          </w:pP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HYPERLINK \l _Toc71612020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第五部分 附表</w:t>
          </w:r>
          <w:r>
            <w:rPr>
              <w:rFonts w:hint="eastAsia" w:ascii="CESI仿宋-GB2312" w:hAnsi="CESI仿宋-GB2312" w:eastAsia="CESI仿宋-GB2312" w:cs="CESI仿宋-GB2312"/>
              <w:sz w:val="28"/>
              <w:szCs w:val="28"/>
            </w:rPr>
            <w:tab/>
          </w:r>
          <w:r>
            <w:rPr>
              <w:rFonts w:hint="eastAsia" w:ascii="CESI仿宋-GB2312" w:hAnsi="CESI仿宋-GB2312" w:eastAsia="CESI仿宋-GB2312" w:cs="CESI仿宋-GB2312"/>
              <w:sz w:val="28"/>
              <w:szCs w:val="28"/>
              <w:lang w:val="en-US" w:eastAsia="zh-CN"/>
            </w:rPr>
            <w:t>9</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lang w:val="en-US" w:eastAsia="zh-CN"/>
            </w:rPr>
            <w:t>6</w:t>
          </w:r>
        </w:p>
        <w:p>
          <w:pPr>
            <w:pStyle w:val="15"/>
            <w:tabs>
              <w:tab w:val="right" w:leader="dot" w:pos="8306"/>
              <w:tab w:val="clear" w:pos="8296"/>
            </w:tabs>
            <w:rPr>
              <w:sz w:val="28"/>
              <w:szCs w:val="28"/>
            </w:rPr>
            <w:sectPr>
              <w:footerReference r:id="rId6" w:type="first"/>
              <w:footerReference r:id="rId5" w:type="default"/>
              <w:pgSz w:w="11906" w:h="16838"/>
              <w:pgMar w:top="1440" w:right="1800" w:bottom="1440" w:left="1800" w:header="851" w:footer="992" w:gutter="0"/>
              <w:pgNumType w:fmt="decimal" w:start="1"/>
              <w:cols w:space="425" w:num="1"/>
              <w:titlePg/>
              <w:docGrid w:type="lines" w:linePitch="312" w:charSpace="0"/>
            </w:sectPr>
          </w:pP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_Toc577570376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一、收入支出决算总表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_Toc1965143465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二、收入决算表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_Toc1031561523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三、支出决算表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_Toc197815402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四、财政拨款收入支出决算总表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_Toc1529714639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五、财政拨款支出决算明细表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_Toc1537073694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六、一般公共预算财政拨款支出决算表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_Toc1992276037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七、一般公共预算财政拨款支出决算明细表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_Toc1757198603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八、一般公共预算财政拨款基本支出决算表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_Toc1869881541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九、一般公共预算财政拨款项目支出决算表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_Toc138108387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十、政府性基金预算财政拨款收入支出决算表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_Toc1735360949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十一、国有资本经营预算财政拨款收入支出决算表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_Toc88163292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十二、国有资本经营预算财政拨款支出决算表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_Toc462535131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十三、财政拨款“三公”经费支出决算表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6</w:t>
          </w:r>
        </w:p>
        <w:p>
          <w:r>
            <w:fldChar w:fldCharType="end"/>
          </w:r>
        </w:p>
      </w:sdtContent>
    </w:sdt>
    <w:p>
      <w:pPr>
        <w:bidi w:val="0"/>
        <w:rPr>
          <w:rFonts w:ascii="Times New Roman" w:hAnsi="Times New Roman"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pStyle w:val="2"/>
        <w:jc w:val="center"/>
        <w:rPr>
          <w:rFonts w:hint="eastAsia" w:ascii="黑体" w:hAnsi="黑体" w:eastAsia="黑体"/>
          <w:b w:val="0"/>
        </w:rPr>
        <w:sectPr>
          <w:footerReference r:id="rId8" w:type="first"/>
          <w:footerReference r:id="rId7" w:type="default"/>
          <w:pgSz w:w="11906" w:h="16838"/>
          <w:pgMar w:top="1440" w:right="1800" w:bottom="1440" w:left="1800" w:header="851" w:footer="992" w:gutter="0"/>
          <w:pgNumType w:fmt="decimal" w:start="1"/>
          <w:cols w:space="425" w:num="1"/>
          <w:titlePg/>
          <w:docGrid w:type="lines" w:linePitch="312" w:charSpace="0"/>
        </w:sectPr>
      </w:pPr>
      <w:bookmarkStart w:id="27" w:name="_Toc1936193645"/>
    </w:p>
    <w:p>
      <w:pPr>
        <w:pStyle w:val="2"/>
        <w:jc w:val="center"/>
        <w:rPr>
          <w:rStyle w:val="30"/>
          <w:rFonts w:ascii="黑体" w:hAnsi="黑体" w:eastAsia="黑体"/>
          <w:b/>
          <w:bCs w:val="0"/>
        </w:rPr>
      </w:pPr>
      <w:r>
        <w:rPr>
          <w:rFonts w:hint="eastAsia" w:ascii="黑体" w:hAnsi="黑体" w:eastAsia="黑体"/>
          <w:b w:val="0"/>
        </w:rPr>
        <w:t xml:space="preserve">第一部分 </w:t>
      </w:r>
      <w:r>
        <w:rPr>
          <w:rStyle w:val="30"/>
          <w:rFonts w:hint="eastAsia" w:ascii="黑体" w:hAnsi="黑体" w:eastAsia="黑体"/>
          <w:b w:val="0"/>
          <w:bCs w:val="0"/>
        </w:rPr>
        <w:t>部门概况</w:t>
      </w:r>
      <w:bookmarkEnd w:id="27"/>
    </w:p>
    <w:p>
      <w:pPr>
        <w:widowControl/>
        <w:jc w:val="left"/>
        <w:rPr>
          <w:rFonts w:ascii="黑体" w:eastAsia="黑体"/>
          <w:sz w:val="32"/>
          <w:szCs w:val="32"/>
        </w:rPr>
      </w:pPr>
    </w:p>
    <w:p>
      <w:pPr>
        <w:pStyle w:val="3"/>
        <w:numPr>
          <w:ilvl w:val="0"/>
          <w:numId w:val="1"/>
        </w:numPr>
        <w:rPr>
          <w:rFonts w:hint="eastAsia" w:ascii="黑体" w:hAnsi="黑体" w:eastAsia="黑体"/>
          <w:b w:val="0"/>
        </w:rPr>
      </w:pPr>
      <w:bookmarkStart w:id="28" w:name="_Toc544862525"/>
      <w:bookmarkStart w:id="29" w:name="_Toc981774416"/>
      <w:bookmarkStart w:id="30" w:name="_Toc486726548"/>
      <w:r>
        <w:rPr>
          <w:rFonts w:hint="eastAsia" w:ascii="黑体" w:hAnsi="黑体" w:eastAsia="黑体"/>
          <w:b w:val="0"/>
        </w:rPr>
        <w:t>部门职责</w:t>
      </w:r>
      <w:bookmarkEnd w:id="28"/>
      <w:bookmarkEnd w:id="29"/>
      <w:bookmarkEnd w:id="30"/>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贯彻执行国家和省、市关于卫生计生工作的方针、政策和法律、法规以及县委、县政府关于卫生计生方面的决策部署，拟订全县卫生计生发展的战略规划和政策并组织实施，负责本系统、本部门依法行政工作，落实行政执法责任制，统筹规划全县卫生计生服务资源配置，指导全县卫生计生工作。</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2.负责制定全县疾病预防控制规划、免疫规划、严重危害人民健康的公共卫生问题的干预措施并组织实施，根据国家检疫传染病和监测传染病目录，制定全县卫生应急和紧急医学救援预案、突发公共卫生事件监测和风险评估计划，组织和指导全县突发公共卫生事件预防控制和各类突发公共事件的医疗卫生救援，依法根据授权发布法定报告传染病疫情信息、突发公共卫生事件应急处置信息。</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3.负责实施职责范围内的职业卫生、放射卫生、环境卫生、学校卫生、公共场所卫生、饮用水卫生管理规范、标准和政策措施，组织开展相关监测、调查、评估和监督，负责传染病防治监督，组织实施食品安全风险监测，依据授权开展食品安全企业标准备案，为食源性疾病及与食品安全事故有关的流行病学调查提供技术支持。</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 xml:space="preserve">4.负责组织拟订并实施全县基层卫生和妇幼卫生、计划生育服务发展规划和政策措施，指导全县基层卫生和妇幼卫生、计划生育服务体系建设，推进基本公共卫生计生服务均等化，完善基层运行新机制和乡村医生管理制度。     </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5.负责制定全县医疗机构和医疗服务全行业管理办法并监督实施，制定医疗机构及其医疗服务、医疗技术、医疗质量、医疗安全以及用血机构管理的规范并组织实施，会同有关部门贯彻执行国家卫生计生专业技术人员准入、资格标准，组织实施卫生计生专业技术人员执业规则和服务规范，建立医疗服务评价和监督管理体系。</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6.负责建立公益性导向的绩效考核和评价运行机制，推进和谐医患关系建设，提出医疗服务价格政策的建议。</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7.贯彻落实国家药物政策和国家基本药物制度，执行国家药品法典、国家基本药物目录和四川省药品增补目录，实施基本药物采购、配送、使用的政策措施。</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8.组织实施促进全县出生人口性别平衡的政策措施，组织监测计划生育发展动态，负责全县计划生育相关数据采集和分析研究，提出发布计划生育安全预警预报信息建议，制定计划生育技术服务管理制度并监督实施，制定优生优育和提高出生人口素质的政策措施并组织实施，推动实施计划生育生殖健康促进计划，降低出生缺陷人口数量。</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9.组织建立计划生育利益导向、计划生育特殊困难家庭扶助和促进计划生育家庭发展等机制，负责协调推进有关部门、群众团体履行计划生育工作相关职责，建立与经济社会发展政策的衔接机制，提出促进人口长期均衡发展的政策措施。</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10.制定流动人口计划生育服务管理制度并组织实施，推动建立流动人口卫生计生信息共享和公共服务工作机制。</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11.组织拟订全县卫生计生人才发展规划，指导卫生计生人才队伍建设，加强全科医生等急需紧缺专业人才培养，贯彻落实国家住院医师和专科医师规范化培训制度。</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12.组织拟订全县卫生计生科技发展规划；组织实施卫生计生相关科研项目，协同院校医学教育和计划生育教育；组织指导实施毕业后医学教育和继续医学教育；组织实施新技术新成果推广。</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13.指导全县卫生和计划生育工作，完善综合监督执法体系，规范卫生计生行政执法行为，监督检查有关法律法规和政策措施的落实，组织查处重大违法行为；组织实施计划生育目标管理责任制的考评工作，监督落实计划生育一票否决制。</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14.拟订中医药中长期发展规划，并纳入卫生计生事业发展总体规划和战略目标。</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15.负责卫生计生宣传、健康教育、健康促进和信息化建设等工作，依法组织实施统计调查，参与县人口基础信息库建设，根据国家、省、市要求，组织卫生计生对外交流合作与卫生援外工作。</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16.承担县爱国卫生运动委员会、县地方病防治领导小组、县防治艾滋病工作委员会的日常工作，负责全县干部知识分子健康保健工作领导小组确定的保健对象的医疗保健工作，负责县重大活动与重要会议的医疗卫生保障工作。</w:t>
      </w:r>
    </w:p>
    <w:p>
      <w:pPr>
        <w:spacing w:line="60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17.承担县政府公布的有关行政审批事项。</w:t>
      </w:r>
    </w:p>
    <w:p>
      <w:pPr>
        <w:spacing w:line="600" w:lineRule="exact"/>
        <w:ind w:firstLine="640" w:firstLineChars="200"/>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18.承办县政府交办的其他事项。</w:t>
      </w:r>
    </w:p>
    <w:p>
      <w:pPr>
        <w:numPr>
          <w:ilvl w:val="0"/>
          <w:numId w:val="0"/>
        </w:numPr>
      </w:pPr>
    </w:p>
    <w:p>
      <w:pPr>
        <w:pStyle w:val="3"/>
        <w:rPr>
          <w:rStyle w:val="31"/>
          <w:b w:val="0"/>
          <w:bCs w:val="0"/>
        </w:rPr>
      </w:pPr>
      <w:bookmarkStart w:id="31" w:name="_Toc276665721"/>
      <w:bookmarkStart w:id="32" w:name="_Toc15396601"/>
      <w:bookmarkStart w:id="33" w:name="_Toc15377200"/>
      <w:bookmarkStart w:id="34" w:name="_Toc959949503"/>
      <w:bookmarkStart w:id="35" w:name="_Toc1737809396"/>
      <w:r>
        <w:rPr>
          <w:rFonts w:hint="eastAsia" w:ascii="黑体" w:eastAsia="黑体"/>
          <w:b w:val="0"/>
        </w:rPr>
        <w:t>二、</w:t>
      </w:r>
      <w:r>
        <w:rPr>
          <w:rFonts w:hint="eastAsia" w:ascii="黑体" w:hAnsi="黑体" w:eastAsia="黑体"/>
          <w:b w:val="0"/>
        </w:rPr>
        <w:t>机</w:t>
      </w:r>
      <w:r>
        <w:rPr>
          <w:rStyle w:val="31"/>
          <w:rFonts w:hint="eastAsia" w:ascii="黑体" w:hAnsi="黑体" w:eastAsia="黑体"/>
          <w:b w:val="0"/>
          <w:bCs w:val="0"/>
        </w:rPr>
        <w:t>构设置</w:t>
      </w:r>
      <w:bookmarkEnd w:id="31"/>
      <w:bookmarkEnd w:id="32"/>
      <w:bookmarkEnd w:id="33"/>
      <w:bookmarkEnd w:id="34"/>
      <w:bookmarkEnd w:id="35"/>
    </w:p>
    <w:p>
      <w:pPr>
        <w:ind w:firstLine="800" w:firstLineChars="250"/>
        <w:rPr>
          <w:rFonts w:hint="eastAsia" w:ascii="仿宋" w:hAnsi="仿宋" w:eastAsia="仿宋"/>
          <w:sz w:val="32"/>
          <w:szCs w:val="32"/>
        </w:rPr>
      </w:pPr>
      <w:r>
        <w:rPr>
          <w:rFonts w:hint="eastAsia" w:asciiTheme="minorEastAsia" w:hAnsiTheme="minorEastAsia" w:eastAsiaTheme="minorEastAsia" w:cstheme="minorEastAsia"/>
          <w:b w:val="0"/>
          <w:bCs w:val="0"/>
          <w:sz w:val="32"/>
          <w:szCs w:val="32"/>
        </w:rPr>
        <w:t>盐边县卫生健康局</w:t>
      </w:r>
      <w:r>
        <w:rPr>
          <w:rFonts w:hint="eastAsia" w:ascii="仿宋" w:hAnsi="仿宋" w:eastAsia="仿宋"/>
          <w:sz w:val="32"/>
          <w:szCs w:val="32"/>
        </w:rPr>
        <w:t>下属二级预算单位</w:t>
      </w:r>
      <w:r>
        <w:rPr>
          <w:sz w:val="32"/>
          <w:szCs w:val="32"/>
        </w:rPr>
        <w:t>1</w:t>
      </w:r>
      <w:r>
        <w:rPr>
          <w:rFonts w:hint="eastAsia"/>
          <w:sz w:val="32"/>
          <w:szCs w:val="32"/>
          <w:lang w:val="en-US" w:eastAsia="zh-CN"/>
        </w:rPr>
        <w:t>6</w:t>
      </w:r>
      <w:r>
        <w:rPr>
          <w:rFonts w:hint="eastAsia" w:ascii="仿宋" w:hAnsi="仿宋" w:eastAsia="仿宋"/>
          <w:sz w:val="32"/>
          <w:szCs w:val="32"/>
        </w:rPr>
        <w:t>个，其中行政单位</w:t>
      </w:r>
      <w:r>
        <w:rPr>
          <w:rFonts w:hint="eastAsia" w:ascii="仿宋" w:hAnsi="仿宋" w:eastAsia="仿宋"/>
          <w:sz w:val="32"/>
          <w:szCs w:val="32"/>
          <w:lang w:val="en-US" w:eastAsia="zh-CN"/>
        </w:rPr>
        <w:t>0</w:t>
      </w:r>
      <w:r>
        <w:rPr>
          <w:rFonts w:hint="eastAsia" w:ascii="仿宋" w:hAnsi="仿宋" w:eastAsia="仿宋"/>
          <w:sz w:val="32"/>
          <w:szCs w:val="32"/>
        </w:rPr>
        <w:t>个，参照公务员法管理的事业单位</w:t>
      </w:r>
      <w:r>
        <w:rPr>
          <w:rFonts w:hint="eastAsia" w:ascii="仿宋" w:hAnsi="仿宋" w:eastAsia="仿宋"/>
          <w:sz w:val="32"/>
          <w:szCs w:val="32"/>
          <w:lang w:val="en-US" w:eastAsia="zh-CN"/>
        </w:rPr>
        <w:t>1</w:t>
      </w:r>
      <w:r>
        <w:rPr>
          <w:rFonts w:hint="eastAsia" w:ascii="仿宋" w:hAnsi="仿宋" w:eastAsia="仿宋"/>
          <w:sz w:val="32"/>
          <w:szCs w:val="32"/>
        </w:rPr>
        <w:t>个，其他事业单位</w:t>
      </w:r>
      <w:r>
        <w:rPr>
          <w:rFonts w:hint="eastAsia" w:ascii="仿宋" w:hAnsi="仿宋" w:eastAsia="仿宋"/>
          <w:sz w:val="32"/>
          <w:szCs w:val="32"/>
          <w:lang w:val="en-US" w:eastAsia="zh-CN"/>
        </w:rPr>
        <w:t>15</w:t>
      </w:r>
      <w:r>
        <w:rPr>
          <w:rFonts w:hint="eastAsia" w:ascii="仿宋" w:hAnsi="仿宋" w:eastAsia="仿宋"/>
          <w:sz w:val="32"/>
          <w:szCs w:val="32"/>
        </w:rPr>
        <w:t>个。</w:t>
      </w:r>
    </w:p>
    <w:p>
      <w:pPr>
        <w:ind w:firstLine="800" w:firstLineChars="250"/>
        <w:rPr>
          <w:rFonts w:hint="eastAsia" w:ascii="仿宋" w:hAnsi="仿宋" w:eastAsia="仿宋"/>
          <w:sz w:val="32"/>
          <w:szCs w:val="32"/>
        </w:rPr>
      </w:pPr>
      <w:r>
        <w:rPr>
          <w:rFonts w:hint="eastAsia" w:ascii="仿宋" w:hAnsi="仿宋" w:eastAsia="仿宋"/>
          <w:sz w:val="32"/>
          <w:szCs w:val="32"/>
        </w:rPr>
        <w:t>纳入</w:t>
      </w:r>
      <w:r>
        <w:rPr>
          <w:rFonts w:hint="eastAsia" w:asciiTheme="minorEastAsia" w:hAnsiTheme="minorEastAsia" w:eastAsiaTheme="minorEastAsia" w:cstheme="minorEastAsia"/>
          <w:kern w:val="2"/>
          <w:sz w:val="32"/>
          <w:szCs w:val="32"/>
        </w:rPr>
        <w:t>盐边县卫生健康局</w:t>
      </w:r>
      <w:r>
        <w:rPr>
          <w:rFonts w:hint="eastAsia" w:ascii="仿宋" w:hAnsi="仿宋" w:eastAsia="仿宋"/>
          <w:sz w:val="32"/>
          <w:szCs w:val="32"/>
        </w:rPr>
        <w:t>2023年度部门决算编制范围的二级预算单位包括：</w:t>
      </w:r>
    </w:p>
    <w:p>
      <w:pPr>
        <w:numPr>
          <w:ilvl w:val="0"/>
          <w:numId w:val="2"/>
        </w:numPr>
        <w:ind w:firstLine="750" w:firstLineChars="250"/>
        <w:rPr>
          <w:rFonts w:hint="eastAsia" w:ascii="仿宋" w:hAnsi="仿宋" w:eastAsia="仿宋"/>
          <w:sz w:val="30"/>
        </w:rPr>
      </w:pPr>
      <w:r>
        <w:rPr>
          <w:rFonts w:hint="eastAsia" w:ascii="仿宋" w:hAnsi="仿宋" w:eastAsia="仿宋"/>
          <w:sz w:val="30"/>
        </w:rPr>
        <w:t>盐边县人民医院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盐边县中医院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盐边县第二人民医院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盐边县社区卫生服务中心</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盐边县桐子林镇卫生院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盐边县红格中心卫生院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盐边县渔门中心卫生院（盐边县渔门镇妇幼保健计划生育服务站）</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盐边县永兴中心卫生院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盐边县新九镇卫生院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盐边县惠民中心卫生院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盐边县红果中心卫生院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盐边县温泉彝族乡卫生院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盐边县国胜中心卫生院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盐边县共和中心卫生院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盐边县红宝苗族彝族乡卫生院</w:t>
      </w:r>
    </w:p>
    <w:p>
      <w:pPr>
        <w:numPr>
          <w:ilvl w:val="0"/>
          <w:numId w:val="2"/>
        </w:numPr>
        <w:ind w:firstLine="750" w:firstLineChars="250"/>
        <w:rPr>
          <w:rFonts w:hint="eastAsia" w:ascii="仿宋" w:hAnsi="仿宋" w:eastAsia="仿宋"/>
          <w:sz w:val="32"/>
          <w:szCs w:val="32"/>
        </w:rPr>
      </w:pPr>
      <w:r>
        <w:rPr>
          <w:rFonts w:hint="eastAsia" w:ascii="仿宋" w:hAnsi="仿宋" w:eastAsia="仿宋"/>
          <w:sz w:val="30"/>
        </w:rPr>
        <w:t>盐边县格萨拉中心卫生院</w:t>
      </w:r>
    </w:p>
    <w:p>
      <w:pPr>
        <w:pStyle w:val="6"/>
        <w:numPr>
          <w:ilvl w:val="0"/>
          <w:numId w:val="0"/>
        </w:numPr>
        <w:adjustRightInd w:val="0"/>
        <w:snapToGrid w:val="0"/>
        <w:spacing w:before="93" w:line="600" w:lineRule="exact"/>
        <w:ind w:left="672" w:leftChars="0"/>
        <w:outlineLvl w:val="9"/>
        <w:rPr>
          <w:rFonts w:ascii="仿宋" w:hAnsi="仿宋" w:eastAsia="仿宋"/>
          <w:sz w:val="32"/>
          <w:szCs w:val="32"/>
        </w:rPr>
      </w:pPr>
    </w:p>
    <w:p>
      <w:pPr>
        <w:widowControl/>
        <w:jc w:val="left"/>
        <w:rPr>
          <w:rFonts w:ascii="仿宋" w:hAnsi="仿宋" w:eastAsia="仿宋"/>
          <w:kern w:val="0"/>
          <w:sz w:val="32"/>
          <w:szCs w:val="32"/>
        </w:rPr>
      </w:pPr>
      <w:r>
        <w:rPr>
          <w:rFonts w:ascii="仿宋" w:hAnsi="仿宋" w:eastAsia="仿宋"/>
          <w:sz w:val="32"/>
          <w:szCs w:val="32"/>
        </w:rPr>
        <w:br w:type="page"/>
      </w:r>
    </w:p>
    <w:p>
      <w:pPr>
        <w:pStyle w:val="2"/>
        <w:ind w:right="440"/>
        <w:jc w:val="center"/>
        <w:rPr>
          <w:rStyle w:val="30"/>
          <w:rFonts w:ascii="黑体" w:hAnsi="黑体" w:eastAsia="黑体"/>
          <w:b w:val="0"/>
          <w:bCs/>
        </w:rPr>
      </w:pPr>
      <w:bookmarkStart w:id="36" w:name="_Toc15396602"/>
      <w:bookmarkStart w:id="37" w:name="_Toc15377204"/>
      <w:r>
        <w:rPr>
          <w:rFonts w:hint="eastAsia" w:ascii="黑体" w:hAnsi="黑体" w:eastAsia="黑体"/>
          <w:b w:val="0"/>
        </w:rPr>
        <w:t>第二部分 2023年度</w:t>
      </w:r>
      <w:r>
        <w:rPr>
          <w:rStyle w:val="30"/>
          <w:rFonts w:hint="eastAsia" w:ascii="黑体" w:hAnsi="黑体" w:eastAsia="黑体"/>
          <w:b w:val="0"/>
          <w:bCs/>
        </w:rPr>
        <w:t>部门决算情况说明</w:t>
      </w:r>
      <w:bookmarkEnd w:id="36"/>
      <w:bookmarkEnd w:id="37"/>
    </w:p>
    <w:p/>
    <w:p>
      <w:pPr>
        <w:pStyle w:val="29"/>
        <w:numPr>
          <w:ilvl w:val="0"/>
          <w:numId w:val="3"/>
        </w:numPr>
        <w:tabs>
          <w:tab w:val="left" w:pos="478"/>
        </w:tabs>
        <w:spacing w:line="600" w:lineRule="exact"/>
        <w:ind w:firstLineChars="0"/>
        <w:outlineLvl w:val="1"/>
        <w:rPr>
          <w:rStyle w:val="31"/>
          <w:rFonts w:ascii="黑体" w:hAnsi="黑体" w:eastAsia="黑体"/>
          <w:b w:val="0"/>
        </w:rPr>
      </w:pPr>
      <w:bookmarkStart w:id="38" w:name="_Toc15396603"/>
      <w:bookmarkStart w:id="39" w:name="_Toc15377205"/>
      <w:r>
        <w:rPr>
          <w:rFonts w:hint="eastAsia" w:ascii="黑体" w:hAnsi="黑体" w:eastAsia="黑体"/>
          <w:sz w:val="32"/>
          <w:szCs w:val="32"/>
        </w:rPr>
        <w:t>收</w:t>
      </w:r>
      <w:r>
        <w:rPr>
          <w:rStyle w:val="31"/>
          <w:rFonts w:hint="eastAsia" w:ascii="黑体" w:hAnsi="黑体" w:eastAsia="黑体"/>
          <w:b w:val="0"/>
        </w:rPr>
        <w:t>入支出决算总体情况说明</w:t>
      </w:r>
      <w:bookmarkEnd w:id="38"/>
      <w:bookmarkEnd w:id="39"/>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2023年度收、支总计均为</w:t>
      </w:r>
      <w:r>
        <w:rPr>
          <w:rFonts w:hint="eastAsia"/>
          <w:sz w:val="32"/>
          <w:szCs w:val="32"/>
        </w:rPr>
        <w:t>31415.89</w:t>
      </w:r>
      <w:r>
        <w:rPr>
          <w:rFonts w:hint="eastAsia" w:ascii="仿宋" w:hAnsi="仿宋" w:eastAsia="仿宋"/>
          <w:sz w:val="32"/>
          <w:szCs w:val="32"/>
        </w:rPr>
        <w:t>万元</w:t>
      </w:r>
      <w:r>
        <w:rPr>
          <w:rFonts w:hint="eastAsia"/>
          <w:sz w:val="32"/>
          <w:szCs w:val="32"/>
        </w:rPr>
        <w:t>。</w:t>
      </w:r>
      <w:r>
        <w:rPr>
          <w:rFonts w:hint="eastAsia" w:ascii="仿宋" w:hAnsi="仿宋" w:eastAsia="仿宋"/>
          <w:sz w:val="32"/>
          <w:szCs w:val="32"/>
        </w:rPr>
        <w:t>与2022年度相比，收、支总计各增加</w:t>
      </w:r>
      <w:r>
        <w:rPr>
          <w:rFonts w:hint="eastAsia" w:ascii="仿宋" w:hAnsi="仿宋" w:eastAsia="仿宋"/>
          <w:sz w:val="32"/>
          <w:szCs w:val="32"/>
          <w:lang w:val="en-US" w:eastAsia="zh-CN"/>
        </w:rPr>
        <w:t>5317.69</w:t>
      </w:r>
      <w:r>
        <w:rPr>
          <w:rFonts w:hint="eastAsia" w:ascii="仿宋" w:hAnsi="仿宋" w:eastAsia="仿宋"/>
          <w:sz w:val="32"/>
          <w:szCs w:val="32"/>
        </w:rPr>
        <w:t>万元，增长</w:t>
      </w:r>
      <w:r>
        <w:rPr>
          <w:rFonts w:hint="eastAsia" w:ascii="仿宋" w:hAnsi="仿宋" w:eastAsia="仿宋"/>
          <w:sz w:val="32"/>
          <w:szCs w:val="32"/>
          <w:lang w:val="en-US" w:eastAsia="zh-CN"/>
        </w:rPr>
        <w:t>16.93</w:t>
      </w:r>
      <w:r>
        <w:rPr>
          <w:rFonts w:ascii="仿宋" w:hAnsi="仿宋" w:eastAsia="仿宋"/>
          <w:sz w:val="32"/>
          <w:szCs w:val="32"/>
        </w:rPr>
        <w:t>%</w:t>
      </w:r>
      <w:r>
        <w:rPr>
          <w:rFonts w:hint="eastAsia" w:ascii="仿宋" w:hAnsi="仿宋" w:eastAsia="仿宋"/>
          <w:sz w:val="32"/>
          <w:szCs w:val="32"/>
        </w:rPr>
        <w:t>。主要变动原因是</w:t>
      </w:r>
      <w:r>
        <w:rPr>
          <w:rFonts w:hint="default" w:ascii="Times New Roman" w:hAnsi="Times New Roman" w:eastAsia="仿宋" w:cs="Times New Roman"/>
          <w:sz w:val="32"/>
          <w:szCs w:val="32"/>
        </w:rPr>
        <w:t>是</w:t>
      </w:r>
      <w:r>
        <w:rPr>
          <w:rFonts w:hint="default" w:ascii="Times New Roman" w:hAnsi="Times New Roman" w:eastAsia="仿宋_GB2312" w:cs="Times New Roman"/>
          <w:sz w:val="32"/>
          <w:szCs w:val="32"/>
          <w:lang w:val="en-US" w:eastAsia="zh-CN"/>
        </w:rPr>
        <w:t>新增在建工程二医院项目</w:t>
      </w:r>
      <w:r>
        <w:rPr>
          <w:rFonts w:hint="eastAsia" w:ascii="Times New Roman" w:hAnsi="Times New Roman" w:eastAsia="仿宋_GB2312" w:cs="Times New Roman"/>
          <w:sz w:val="32"/>
          <w:szCs w:val="32"/>
          <w:lang w:val="en-US" w:eastAsia="zh-CN"/>
        </w:rPr>
        <w:t>，项目</w:t>
      </w:r>
      <w:r>
        <w:rPr>
          <w:rFonts w:hint="default" w:ascii="Times New Roman" w:hAnsi="Times New Roman" w:eastAsia="仿宋_GB2312" w:cs="Times New Roman"/>
          <w:sz w:val="32"/>
          <w:szCs w:val="32"/>
          <w:lang w:val="en-US" w:eastAsia="zh-CN"/>
        </w:rPr>
        <w:t>增</w:t>
      </w:r>
      <w:r>
        <w:rPr>
          <w:rFonts w:hint="eastAsia" w:ascii="Times New Roman" w:hAnsi="Times New Roman" w:eastAsia="仿宋_GB2312" w:cs="Times New Roman"/>
          <w:sz w:val="32"/>
          <w:szCs w:val="32"/>
          <w:lang w:val="en-US" w:eastAsia="zh-CN"/>
        </w:rPr>
        <w:t>加</w:t>
      </w:r>
      <w:r>
        <w:rPr>
          <w:rFonts w:hint="default" w:ascii="Times New Roman" w:hAnsi="Times New Roman" w:eastAsia="仿宋" w:cs="Times New Roman"/>
          <w:sz w:val="32"/>
          <w:szCs w:val="32"/>
        </w:rPr>
        <w:t>。</w:t>
      </w:r>
    </w:p>
    <w:p>
      <w:pPr>
        <w:pStyle w:val="5"/>
        <w:jc w:val="center"/>
        <w:rPr>
          <w:rFonts w:hint="eastAsia" w:ascii="仿宋" w:hAnsi="仿宋" w:eastAsia="仿宋"/>
          <w:sz w:val="32"/>
          <w:szCs w:val="32"/>
        </w:rPr>
      </w:pPr>
    </w:p>
    <w:p>
      <w:pPr>
        <w:pStyle w:val="5"/>
        <w:jc w:val="center"/>
        <w:rPr>
          <w:rFonts w:ascii="仿宋" w:hAnsi="仿宋" w:eastAsia="仿宋"/>
          <w:sz w:val="32"/>
          <w:szCs w:val="32"/>
        </w:rPr>
      </w:pPr>
      <w:r>
        <w:rPr>
          <w:rFonts w:hint="default" w:ascii="Times New Roman" w:hAnsi="Times New Roman" w:eastAsia="仿宋_GB2312" w:cs="Times New Roman"/>
        </w:rPr>
        <w:drawing>
          <wp:anchor distT="0" distB="0" distL="0" distR="0" simplePos="0" relativeHeight="251659264" behindDoc="0" locked="0" layoutInCell="1" allowOverlap="1">
            <wp:simplePos x="0" y="0"/>
            <wp:positionH relativeFrom="column">
              <wp:posOffset>33655</wp:posOffset>
            </wp:positionH>
            <wp:positionV relativeFrom="paragraph">
              <wp:posOffset>146685</wp:posOffset>
            </wp:positionV>
            <wp:extent cx="5198745" cy="3550920"/>
            <wp:effectExtent l="4445" t="4445" r="16510" b="6985"/>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spacing w:line="600" w:lineRule="exact"/>
        <w:ind w:firstLine="640" w:firstLineChars="200"/>
        <w:jc w:val="left"/>
        <w:rPr>
          <w:rFonts w:ascii="仿宋_GB2312" w:eastAsia="仿宋_GB2312"/>
          <w:sz w:val="32"/>
          <w:szCs w:val="32"/>
        </w:rPr>
      </w:pPr>
    </w:p>
    <w:p>
      <w:pPr>
        <w:pStyle w:val="29"/>
        <w:numPr>
          <w:ilvl w:val="0"/>
          <w:numId w:val="3"/>
        </w:numPr>
        <w:spacing w:line="600" w:lineRule="exact"/>
        <w:ind w:firstLineChars="0"/>
        <w:outlineLvl w:val="1"/>
        <w:rPr>
          <w:rStyle w:val="31"/>
          <w:rFonts w:ascii="黑体" w:hAnsi="黑体" w:eastAsia="黑体"/>
          <w:b w:val="0"/>
        </w:rPr>
      </w:pPr>
      <w:bookmarkStart w:id="40" w:name="_Toc15377206"/>
      <w:bookmarkStart w:id="41" w:name="_Toc15396604"/>
      <w:r>
        <w:rPr>
          <w:rFonts w:hint="eastAsia" w:ascii="黑体" w:hAnsi="黑体" w:eastAsia="黑体"/>
          <w:sz w:val="32"/>
          <w:szCs w:val="32"/>
        </w:rPr>
        <w:t>收</w:t>
      </w:r>
      <w:r>
        <w:rPr>
          <w:rStyle w:val="31"/>
          <w:rFonts w:hint="eastAsia" w:ascii="黑体" w:hAnsi="黑体" w:eastAsia="黑体"/>
          <w:b w:val="0"/>
        </w:rPr>
        <w:t>入决算情况说明</w:t>
      </w:r>
      <w:bookmarkEnd w:id="40"/>
      <w:bookmarkEnd w:id="41"/>
    </w:p>
    <w:p>
      <w:pPr>
        <w:spacing w:line="600" w:lineRule="exact"/>
        <w:ind w:firstLine="640" w:firstLineChars="200"/>
        <w:jc w:val="left"/>
        <w:outlineLvl w:val="1"/>
        <w:rPr>
          <w:rFonts w:hint="eastAsia" w:ascii="仿宋" w:hAnsi="仿宋" w:eastAsia="仿宋"/>
          <w:sz w:val="32"/>
          <w:szCs w:val="32"/>
        </w:rPr>
      </w:pPr>
      <w:r>
        <w:rPr>
          <w:rFonts w:hint="eastAsia" w:ascii="仿宋" w:hAnsi="仿宋" w:eastAsia="仿宋"/>
          <w:sz w:val="32"/>
          <w:szCs w:val="32"/>
        </w:rPr>
        <w:t>2023年度本年收入合计</w:t>
      </w:r>
      <w:r>
        <w:rPr>
          <w:sz w:val="32"/>
          <w:szCs w:val="32"/>
        </w:rPr>
        <w:t>31320.37</w:t>
      </w:r>
      <w:r>
        <w:rPr>
          <w:rFonts w:hint="eastAsia" w:ascii="仿宋" w:hAnsi="仿宋" w:eastAsia="仿宋"/>
          <w:sz w:val="32"/>
          <w:szCs w:val="32"/>
        </w:rPr>
        <w:t>万元，其中：一般公共预算财政拨款收入</w:t>
      </w:r>
      <w:r>
        <w:rPr>
          <w:sz w:val="32"/>
          <w:szCs w:val="32"/>
        </w:rPr>
        <w:t>15288.16</w:t>
      </w:r>
      <w:r>
        <w:rPr>
          <w:rFonts w:hint="eastAsia" w:ascii="仿宋" w:hAnsi="仿宋" w:eastAsia="仿宋"/>
          <w:sz w:val="32"/>
          <w:szCs w:val="32"/>
        </w:rPr>
        <w:t>万元，占</w:t>
      </w:r>
      <w:r>
        <w:rPr>
          <w:sz w:val="32"/>
          <w:szCs w:val="32"/>
        </w:rPr>
        <w:t>48.81</w:t>
      </w:r>
      <w:r>
        <w:rPr>
          <w:rFonts w:ascii="仿宋" w:hAnsi="仿宋" w:eastAsia="仿宋"/>
          <w:sz w:val="32"/>
          <w:szCs w:val="32"/>
        </w:rPr>
        <w:t>%</w:t>
      </w:r>
      <w:r>
        <w:rPr>
          <w:rFonts w:hint="eastAsia" w:ascii="仿宋" w:hAnsi="仿宋" w:eastAsia="仿宋"/>
          <w:sz w:val="32"/>
          <w:szCs w:val="32"/>
        </w:rPr>
        <w:t>；政府性基金预算财政拨款收入</w:t>
      </w:r>
      <w:r>
        <w:rPr>
          <w:sz w:val="32"/>
          <w:szCs w:val="32"/>
        </w:rPr>
        <w:t>5004.06</w:t>
      </w:r>
      <w:r>
        <w:rPr>
          <w:rFonts w:hint="eastAsia" w:ascii="仿宋" w:hAnsi="仿宋" w:eastAsia="仿宋"/>
          <w:sz w:val="32"/>
          <w:szCs w:val="32"/>
        </w:rPr>
        <w:t>万元，占</w:t>
      </w:r>
      <w:r>
        <w:rPr>
          <w:sz w:val="32"/>
          <w:szCs w:val="32"/>
        </w:rPr>
        <w:t>15.97</w:t>
      </w:r>
      <w:r>
        <w:rPr>
          <w:rFonts w:ascii="仿宋" w:hAnsi="仿宋" w:eastAsia="仿宋"/>
          <w:sz w:val="32"/>
          <w:szCs w:val="32"/>
        </w:rPr>
        <w:t>%</w:t>
      </w:r>
      <w:r>
        <w:rPr>
          <w:rFonts w:hint="eastAsia" w:ascii="仿宋" w:hAnsi="仿宋" w:eastAsia="仿宋"/>
          <w:sz w:val="32"/>
          <w:szCs w:val="32"/>
        </w:rPr>
        <w:t>；国有资本经营预算财政拨款收入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；上级补助收入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；事业收入</w:t>
      </w:r>
      <w:r>
        <w:rPr>
          <w:sz w:val="32"/>
          <w:szCs w:val="32"/>
        </w:rPr>
        <w:t>10860.93</w:t>
      </w:r>
      <w:r>
        <w:rPr>
          <w:rFonts w:hint="eastAsia" w:ascii="仿宋" w:hAnsi="仿宋" w:eastAsia="仿宋"/>
          <w:sz w:val="32"/>
          <w:szCs w:val="32"/>
        </w:rPr>
        <w:t>万元，占</w:t>
      </w:r>
      <w:r>
        <w:rPr>
          <w:sz w:val="32"/>
          <w:szCs w:val="32"/>
        </w:rPr>
        <w:t>34.67</w:t>
      </w:r>
      <w:r>
        <w:rPr>
          <w:rFonts w:ascii="仿宋" w:hAnsi="仿宋" w:eastAsia="仿宋"/>
          <w:sz w:val="32"/>
          <w:szCs w:val="32"/>
        </w:rPr>
        <w:t>%</w:t>
      </w:r>
      <w:r>
        <w:rPr>
          <w:rFonts w:hint="eastAsia" w:ascii="仿宋" w:hAnsi="仿宋" w:eastAsia="仿宋"/>
          <w:sz w:val="32"/>
          <w:szCs w:val="32"/>
        </w:rPr>
        <w:t>；经营收入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；附属单位上缴收入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；其他收入</w:t>
      </w:r>
      <w:r>
        <w:rPr>
          <w:sz w:val="32"/>
          <w:szCs w:val="32"/>
        </w:rPr>
        <w:t>167.22</w:t>
      </w:r>
      <w:r>
        <w:rPr>
          <w:rFonts w:hint="eastAsia" w:ascii="仿宋" w:hAnsi="仿宋" w:eastAsia="仿宋"/>
          <w:sz w:val="32"/>
          <w:szCs w:val="32"/>
        </w:rPr>
        <w:t>万元，占</w:t>
      </w:r>
      <w:r>
        <w:rPr>
          <w:sz w:val="32"/>
          <w:szCs w:val="32"/>
        </w:rPr>
        <w:t>0.53</w:t>
      </w:r>
      <w:r>
        <w:rPr>
          <w:rFonts w:ascii="仿宋" w:hAnsi="仿宋" w:eastAsia="仿宋"/>
          <w:sz w:val="32"/>
          <w:szCs w:val="32"/>
        </w:rPr>
        <w:t>%</w:t>
      </w:r>
      <w:r>
        <w:rPr>
          <w:rFonts w:hint="eastAsia" w:ascii="仿宋" w:hAnsi="仿宋" w:eastAsia="仿宋"/>
          <w:sz w:val="32"/>
          <w:szCs w:val="32"/>
        </w:rPr>
        <w:t>。</w:t>
      </w:r>
    </w:p>
    <w:p>
      <w:pPr>
        <w:pStyle w:val="5"/>
        <w:rPr>
          <w:rFonts w:hint="eastAsia"/>
        </w:rPr>
      </w:pPr>
    </w:p>
    <w:p>
      <w:pPr>
        <w:pStyle w:val="5"/>
        <w:jc w:val="center"/>
        <w:rPr>
          <w:rFonts w:ascii="仿宋" w:hAnsi="仿宋" w:eastAsia="仿宋"/>
          <w:sz w:val="32"/>
          <w:szCs w:val="32"/>
        </w:rPr>
      </w:pPr>
      <w:bookmarkStart w:id="42" w:name="_Toc5957"/>
      <w:r>
        <w:drawing>
          <wp:anchor distT="0" distB="0" distL="0" distR="0" simplePos="0" relativeHeight="251660288" behindDoc="0" locked="0" layoutInCell="1" allowOverlap="1">
            <wp:simplePos x="0" y="0"/>
            <wp:positionH relativeFrom="column">
              <wp:posOffset>55880</wp:posOffset>
            </wp:positionH>
            <wp:positionV relativeFrom="paragraph">
              <wp:posOffset>323850</wp:posOffset>
            </wp:positionV>
            <wp:extent cx="5276850" cy="3639820"/>
            <wp:effectExtent l="4445" t="4445" r="14605" b="13335"/>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bookmarkEnd w:id="42"/>
      <w:r>
        <w:rPr>
          <w:rFonts w:hint="eastAsia" w:ascii="仿宋" w:hAnsi="仿宋" w:eastAsia="仿宋"/>
          <w:sz w:val="32"/>
          <w:szCs w:val="32"/>
        </w:rPr>
        <w:t>（图2：收入决算结构图）</w:t>
      </w:r>
    </w:p>
    <w:p>
      <w:pPr>
        <w:spacing w:line="600" w:lineRule="exact"/>
        <w:ind w:firstLine="640" w:firstLineChars="200"/>
        <w:rPr>
          <w:rFonts w:ascii="仿宋_GB2312" w:eastAsia="仿宋_GB2312"/>
          <w:sz w:val="32"/>
          <w:szCs w:val="32"/>
        </w:rPr>
      </w:pPr>
    </w:p>
    <w:p>
      <w:pPr>
        <w:pStyle w:val="29"/>
        <w:numPr>
          <w:ilvl w:val="0"/>
          <w:numId w:val="3"/>
        </w:numPr>
        <w:spacing w:line="600" w:lineRule="exact"/>
        <w:ind w:firstLineChars="0"/>
        <w:outlineLvl w:val="1"/>
        <w:rPr>
          <w:rStyle w:val="31"/>
          <w:rFonts w:ascii="黑体" w:hAnsi="黑体" w:eastAsia="黑体"/>
          <w:b w:val="0"/>
        </w:rPr>
      </w:pPr>
      <w:bookmarkStart w:id="43" w:name="_Toc15396605"/>
      <w:bookmarkStart w:id="44" w:name="_Toc15377207"/>
      <w:r>
        <w:rPr>
          <w:rFonts w:hint="eastAsia" w:ascii="黑体" w:hAnsi="黑体" w:eastAsia="黑体"/>
          <w:sz w:val="32"/>
          <w:szCs w:val="32"/>
        </w:rPr>
        <w:t>支</w:t>
      </w:r>
      <w:r>
        <w:rPr>
          <w:rStyle w:val="31"/>
          <w:rFonts w:hint="eastAsia" w:ascii="黑体" w:hAnsi="黑体" w:eastAsia="黑体"/>
          <w:b w:val="0"/>
        </w:rPr>
        <w:t>出决算情况说明</w:t>
      </w:r>
      <w:bookmarkEnd w:id="43"/>
      <w:bookmarkEnd w:id="44"/>
    </w:p>
    <w:p>
      <w:pPr>
        <w:spacing w:line="600" w:lineRule="exact"/>
        <w:ind w:firstLine="640" w:firstLineChars="200"/>
        <w:outlineLvl w:val="1"/>
        <w:rPr>
          <w:rFonts w:hint="eastAsia" w:ascii="仿宋" w:hAnsi="仿宋" w:eastAsia="仿宋"/>
          <w:sz w:val="32"/>
          <w:szCs w:val="32"/>
        </w:rPr>
      </w:pPr>
      <w:r>
        <w:rPr>
          <w:rFonts w:hint="eastAsia" w:ascii="仿宋" w:hAnsi="仿宋" w:eastAsia="仿宋"/>
          <w:sz w:val="32"/>
          <w:szCs w:val="32"/>
        </w:rPr>
        <w:t>2023年度本年支出合计</w:t>
      </w:r>
      <w:r>
        <w:rPr>
          <w:sz w:val="32"/>
          <w:szCs w:val="32"/>
        </w:rPr>
        <w:t>30559.03</w:t>
      </w:r>
      <w:r>
        <w:rPr>
          <w:rFonts w:hint="eastAsia" w:ascii="仿宋" w:hAnsi="仿宋" w:eastAsia="仿宋"/>
          <w:sz w:val="32"/>
          <w:szCs w:val="32"/>
        </w:rPr>
        <w:t>万元，其中：基本支出</w:t>
      </w:r>
      <w:r>
        <w:rPr>
          <w:sz w:val="32"/>
          <w:szCs w:val="32"/>
        </w:rPr>
        <w:t>18515.36</w:t>
      </w:r>
      <w:r>
        <w:rPr>
          <w:rFonts w:hint="eastAsia" w:ascii="仿宋" w:hAnsi="仿宋" w:eastAsia="仿宋"/>
          <w:sz w:val="32"/>
          <w:szCs w:val="32"/>
        </w:rPr>
        <w:t>万元，占</w:t>
      </w:r>
      <w:r>
        <w:rPr>
          <w:sz w:val="32"/>
          <w:szCs w:val="32"/>
        </w:rPr>
        <w:t>60.58</w:t>
      </w:r>
      <w:r>
        <w:rPr>
          <w:rFonts w:ascii="仿宋" w:hAnsi="仿宋" w:eastAsia="仿宋"/>
          <w:sz w:val="32"/>
          <w:szCs w:val="32"/>
        </w:rPr>
        <w:t>%</w:t>
      </w:r>
      <w:r>
        <w:rPr>
          <w:rFonts w:hint="eastAsia" w:ascii="仿宋" w:hAnsi="仿宋" w:eastAsia="仿宋"/>
          <w:sz w:val="32"/>
          <w:szCs w:val="32"/>
        </w:rPr>
        <w:t>；项目支出</w:t>
      </w:r>
      <w:r>
        <w:rPr>
          <w:sz w:val="32"/>
          <w:szCs w:val="32"/>
        </w:rPr>
        <w:t>12043.68</w:t>
      </w:r>
      <w:r>
        <w:rPr>
          <w:rFonts w:hint="eastAsia" w:ascii="仿宋" w:hAnsi="仿宋" w:eastAsia="仿宋"/>
          <w:sz w:val="32"/>
          <w:szCs w:val="32"/>
        </w:rPr>
        <w:t>万元，占</w:t>
      </w:r>
      <w:r>
        <w:rPr>
          <w:sz w:val="32"/>
          <w:szCs w:val="32"/>
        </w:rPr>
        <w:t>39.41</w:t>
      </w:r>
      <w:r>
        <w:rPr>
          <w:rFonts w:ascii="仿宋" w:hAnsi="仿宋" w:eastAsia="仿宋"/>
          <w:sz w:val="32"/>
          <w:szCs w:val="32"/>
        </w:rPr>
        <w:t>%</w:t>
      </w:r>
      <w:r>
        <w:rPr>
          <w:rFonts w:hint="eastAsia" w:ascii="仿宋" w:hAnsi="仿宋" w:eastAsia="仿宋"/>
          <w:sz w:val="32"/>
          <w:szCs w:val="32"/>
        </w:rPr>
        <w:t>；上缴上级支出</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；经营支出</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；对附属单位补助支出</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w:t>
      </w:r>
    </w:p>
    <w:p>
      <w:pPr>
        <w:pStyle w:val="5"/>
        <w:jc w:val="center"/>
        <w:rPr>
          <w:rFonts w:hint="eastAsia" w:ascii="仿宋" w:hAnsi="仿宋" w:eastAsia="仿宋"/>
          <w:sz w:val="32"/>
          <w:szCs w:val="32"/>
        </w:rPr>
      </w:pPr>
    </w:p>
    <w:p>
      <w:pPr>
        <w:pStyle w:val="5"/>
        <w:jc w:val="center"/>
        <w:rPr>
          <w:rFonts w:hint="eastAsia" w:ascii="仿宋" w:hAnsi="仿宋" w:eastAsia="仿宋"/>
          <w:sz w:val="32"/>
          <w:szCs w:val="32"/>
        </w:rPr>
      </w:pPr>
    </w:p>
    <w:p>
      <w:pPr>
        <w:pStyle w:val="5"/>
        <w:jc w:val="center"/>
        <w:rPr>
          <w:rFonts w:ascii="仿宋" w:hAnsi="仿宋" w:eastAsia="仿宋"/>
          <w:sz w:val="32"/>
          <w:szCs w:val="32"/>
        </w:rPr>
      </w:pPr>
      <w:r>
        <w:rPr>
          <w:rFonts w:hint="default" w:ascii="Times New Roman" w:hAnsi="Times New Roman" w:eastAsia="仿宋_GB2312" w:cs="Times New Roman"/>
        </w:rPr>
        <w:drawing>
          <wp:anchor distT="0" distB="0" distL="0" distR="0" simplePos="0" relativeHeight="251661312" behindDoc="0" locked="0" layoutInCell="1" allowOverlap="1">
            <wp:simplePos x="0" y="0"/>
            <wp:positionH relativeFrom="column">
              <wp:posOffset>55880</wp:posOffset>
            </wp:positionH>
            <wp:positionV relativeFrom="paragraph">
              <wp:posOffset>255270</wp:posOffset>
            </wp:positionV>
            <wp:extent cx="5334000" cy="3532505"/>
            <wp:effectExtent l="4445" t="4445" r="14605" b="6350"/>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hint="eastAsia" w:ascii="仿宋" w:hAnsi="仿宋" w:eastAsia="仿宋"/>
          <w:sz w:val="32"/>
          <w:szCs w:val="32"/>
        </w:rPr>
        <w:t>（图3：支出决算结构图）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31"/>
          <w:rFonts w:ascii="黑体" w:hAnsi="黑体" w:eastAsia="黑体"/>
          <w:b w:val="0"/>
        </w:rPr>
      </w:pPr>
      <w:bookmarkStart w:id="45" w:name="_Toc15377208"/>
      <w:bookmarkStart w:id="46" w:name="_Toc15396606"/>
      <w:r>
        <w:rPr>
          <w:rFonts w:hint="eastAsia" w:ascii="黑体" w:hAnsi="黑体" w:eastAsia="黑体"/>
          <w:sz w:val="32"/>
          <w:szCs w:val="32"/>
        </w:rPr>
        <w:t>四、财</w:t>
      </w:r>
      <w:r>
        <w:rPr>
          <w:rStyle w:val="31"/>
          <w:rFonts w:hint="eastAsia" w:ascii="黑体" w:hAnsi="黑体" w:eastAsia="黑体"/>
          <w:b w:val="0"/>
        </w:rPr>
        <w:t>政拨款收入支出决算总体情况说明</w:t>
      </w:r>
      <w:bookmarkEnd w:id="45"/>
      <w:bookmarkEnd w:id="46"/>
    </w:p>
    <w:p>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sz w:val="32"/>
          <w:szCs w:val="32"/>
        </w:rPr>
        <w:t>20292.22</w:t>
      </w:r>
      <w:r>
        <w:rPr>
          <w:rFonts w:hint="eastAsia" w:ascii="仿宋" w:hAnsi="仿宋" w:eastAsia="仿宋"/>
          <w:sz w:val="32"/>
          <w:szCs w:val="32"/>
        </w:rPr>
        <w:t>万元。与2022年度相比，财政拨款收、支总计各增加</w:t>
      </w:r>
      <w:r>
        <w:rPr>
          <w:rFonts w:hint="eastAsia" w:ascii="仿宋" w:hAnsi="仿宋" w:eastAsia="仿宋"/>
          <w:sz w:val="32"/>
          <w:szCs w:val="32"/>
          <w:lang w:val="en-US" w:eastAsia="zh-CN"/>
        </w:rPr>
        <w:t>5941.77</w:t>
      </w:r>
      <w:r>
        <w:rPr>
          <w:rFonts w:hint="eastAsia" w:ascii="仿宋" w:hAnsi="仿宋" w:eastAsia="仿宋"/>
          <w:sz w:val="32"/>
          <w:szCs w:val="32"/>
        </w:rPr>
        <w:t>万元，增长</w:t>
      </w:r>
      <w:r>
        <w:rPr>
          <w:rFonts w:hint="eastAsia" w:ascii="仿宋" w:hAnsi="仿宋" w:eastAsia="仿宋"/>
          <w:sz w:val="32"/>
          <w:szCs w:val="32"/>
          <w:lang w:val="en-US" w:eastAsia="zh-CN"/>
        </w:rPr>
        <w:t>29.28</w:t>
      </w:r>
      <w:r>
        <w:rPr>
          <w:rFonts w:ascii="仿宋" w:hAnsi="仿宋" w:eastAsia="仿宋"/>
          <w:sz w:val="32"/>
          <w:szCs w:val="32"/>
        </w:rPr>
        <w:t>%</w:t>
      </w:r>
      <w:r>
        <w:rPr>
          <w:rFonts w:hint="eastAsia" w:ascii="仿宋" w:hAnsi="仿宋" w:eastAsia="仿宋"/>
          <w:sz w:val="32"/>
          <w:szCs w:val="32"/>
        </w:rPr>
        <w:t>。主要变动原因是</w:t>
      </w:r>
      <w:r>
        <w:rPr>
          <w:rFonts w:hint="default" w:ascii="Times New Roman" w:hAnsi="Times New Roman" w:eastAsia="仿宋_GB2312" w:cs="Times New Roman"/>
          <w:sz w:val="32"/>
          <w:szCs w:val="32"/>
          <w:lang w:val="en-US" w:eastAsia="zh-CN"/>
        </w:rPr>
        <w:t>新增在建工程二医院项目</w:t>
      </w:r>
      <w:r>
        <w:rPr>
          <w:rFonts w:hint="eastAsia" w:ascii="Times New Roman" w:hAnsi="Times New Roman" w:eastAsia="仿宋_GB2312" w:cs="Times New Roman"/>
          <w:sz w:val="32"/>
          <w:szCs w:val="32"/>
          <w:lang w:val="en-US" w:eastAsia="zh-CN"/>
        </w:rPr>
        <w:t>，项目</w:t>
      </w:r>
      <w:r>
        <w:rPr>
          <w:rFonts w:hint="default" w:ascii="Times New Roman" w:hAnsi="Times New Roman" w:eastAsia="仿宋_GB2312" w:cs="Times New Roman"/>
          <w:sz w:val="32"/>
          <w:szCs w:val="32"/>
          <w:lang w:val="en-US" w:eastAsia="zh-CN"/>
        </w:rPr>
        <w:t>增</w:t>
      </w:r>
      <w:r>
        <w:rPr>
          <w:rFonts w:hint="eastAsia" w:ascii="Times New Roman" w:hAnsi="Times New Roman" w:eastAsia="仿宋_GB2312" w:cs="Times New Roman"/>
          <w:sz w:val="32"/>
          <w:szCs w:val="32"/>
          <w:lang w:val="en-US" w:eastAsia="zh-CN"/>
        </w:rPr>
        <w:t>加</w:t>
      </w:r>
      <w:r>
        <w:rPr>
          <w:rFonts w:hint="default" w:ascii="Times New Roman" w:hAnsi="Times New Roman" w:eastAsia="仿宋_GB2312" w:cs="Times New Roman"/>
          <w:sz w:val="32"/>
          <w:szCs w:val="32"/>
          <w:lang w:val="en-US" w:eastAsia="zh-CN"/>
        </w:rPr>
        <w:t>。</w:t>
      </w:r>
    </w:p>
    <w:p>
      <w:pPr>
        <w:spacing w:line="600" w:lineRule="exact"/>
        <w:ind w:firstLine="640"/>
        <w:rPr>
          <w:rFonts w:ascii="仿宋" w:hAnsi="仿宋" w:eastAsia="仿宋"/>
          <w:sz w:val="32"/>
          <w:szCs w:val="32"/>
        </w:rPr>
      </w:pPr>
      <w:r>
        <w:rPr>
          <w:rFonts w:hint="default" w:ascii="Times New Roman" w:hAnsi="Times New Roman" w:eastAsia="仿宋_GB2312" w:cs="Times New Roman"/>
        </w:rPr>
        <w:drawing>
          <wp:anchor distT="0" distB="0" distL="0" distR="0" simplePos="0" relativeHeight="251662336" behindDoc="0" locked="0" layoutInCell="1" allowOverlap="1">
            <wp:simplePos x="0" y="0"/>
            <wp:positionH relativeFrom="column">
              <wp:posOffset>48260</wp:posOffset>
            </wp:positionH>
            <wp:positionV relativeFrom="paragraph">
              <wp:posOffset>145415</wp:posOffset>
            </wp:positionV>
            <wp:extent cx="5168900" cy="3265805"/>
            <wp:effectExtent l="4445" t="4445" r="8255" b="6350"/>
            <wp:wrapTopAndBottom/>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r>
        <w:rPr>
          <w:rFonts w:hint="eastAsia" w:ascii="仿宋" w:hAnsi="仿宋" w:eastAsia="仿宋"/>
          <w:sz w:val="32"/>
          <w:szCs w:val="32"/>
        </w:rPr>
        <w:t>（图4：财政拨款收、支决算总计变动情况）</w:t>
      </w:r>
    </w:p>
    <w:p>
      <w:pPr>
        <w:spacing w:line="600" w:lineRule="exact"/>
        <w:ind w:firstLine="640"/>
        <w:rPr>
          <w:rFonts w:ascii="仿宋" w:hAnsi="仿宋" w:eastAsia="仿宋"/>
          <w:b/>
          <w:sz w:val="32"/>
          <w:szCs w:val="32"/>
        </w:rPr>
      </w:pPr>
    </w:p>
    <w:p>
      <w:pPr>
        <w:spacing w:line="600" w:lineRule="exact"/>
        <w:ind w:firstLine="640" w:firstLineChars="200"/>
        <w:outlineLvl w:val="1"/>
        <w:rPr>
          <w:rStyle w:val="31"/>
          <w:rFonts w:ascii="黑体" w:hAnsi="黑体" w:eastAsia="黑体"/>
          <w:b w:val="0"/>
        </w:rPr>
      </w:pPr>
      <w:bookmarkStart w:id="47" w:name="_Toc15377209"/>
      <w:bookmarkStart w:id="48" w:name="_Toc15396607"/>
      <w:r>
        <w:rPr>
          <w:rFonts w:hint="eastAsia" w:ascii="黑体" w:hAnsi="黑体" w:eastAsia="黑体"/>
          <w:sz w:val="32"/>
          <w:szCs w:val="32"/>
        </w:rPr>
        <w:t>五、</w:t>
      </w:r>
      <w:r>
        <w:rPr>
          <w:rFonts w:hint="eastAsia" w:ascii="黑体" w:hAnsi="黑体" w:eastAsia="黑体"/>
          <w:b/>
          <w:sz w:val="32"/>
          <w:szCs w:val="32"/>
        </w:rPr>
        <w:t>一</w:t>
      </w:r>
      <w:r>
        <w:rPr>
          <w:rStyle w:val="31"/>
          <w:rFonts w:hint="eastAsia" w:ascii="黑体" w:hAnsi="黑体" w:eastAsia="黑体"/>
          <w:b w:val="0"/>
        </w:rPr>
        <w:t>般公共预算财政拨款支出决算情况说明</w:t>
      </w:r>
      <w:bookmarkEnd w:id="47"/>
      <w:bookmarkEnd w:id="48"/>
    </w:p>
    <w:p>
      <w:pPr>
        <w:spacing w:line="600" w:lineRule="exact"/>
        <w:ind w:firstLine="642" w:firstLineChars="200"/>
        <w:outlineLvl w:val="2"/>
        <w:rPr>
          <w:rFonts w:ascii="仿宋" w:hAnsi="仿宋" w:eastAsia="仿宋"/>
          <w:b/>
          <w:sz w:val="32"/>
          <w:szCs w:val="32"/>
        </w:rPr>
      </w:pPr>
      <w:bookmarkStart w:id="49" w:name="_Toc15377210"/>
      <w:r>
        <w:rPr>
          <w:rFonts w:hint="eastAsia" w:ascii="仿宋" w:hAnsi="仿宋" w:eastAsia="仿宋"/>
          <w:b/>
          <w:sz w:val="32"/>
          <w:szCs w:val="32"/>
        </w:rPr>
        <w:t>（一）一般公共预算财政拨款支出决算总体情况</w:t>
      </w:r>
      <w:bookmarkEnd w:id="49"/>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2023年度一般公共预算财政拨款支出</w:t>
      </w:r>
      <w:r>
        <w:rPr>
          <w:sz w:val="32"/>
          <w:szCs w:val="32"/>
        </w:rPr>
        <w:t>15288.16</w:t>
      </w:r>
      <w:r>
        <w:rPr>
          <w:rFonts w:hint="eastAsia" w:ascii="仿宋" w:hAnsi="仿宋" w:eastAsia="仿宋"/>
          <w:sz w:val="32"/>
          <w:szCs w:val="32"/>
        </w:rPr>
        <w:t>万元，占本年支出合计的</w:t>
      </w:r>
      <w:r>
        <w:rPr>
          <w:sz w:val="32"/>
          <w:szCs w:val="32"/>
        </w:rPr>
        <w:t>50.02</w:t>
      </w:r>
      <w:r>
        <w:rPr>
          <w:rFonts w:ascii="仿宋" w:hAnsi="仿宋" w:eastAsia="仿宋"/>
          <w:sz w:val="32"/>
          <w:szCs w:val="32"/>
        </w:rPr>
        <w:t>%</w:t>
      </w:r>
      <w:r>
        <w:rPr>
          <w:rFonts w:hint="eastAsia" w:ascii="仿宋" w:hAnsi="仿宋" w:eastAsia="仿宋"/>
          <w:sz w:val="32"/>
          <w:szCs w:val="32"/>
        </w:rPr>
        <w:t>。与2022年度相比，一般公共预算财政拨款支出增加</w:t>
      </w:r>
      <w:r>
        <w:rPr>
          <w:rFonts w:hint="eastAsia" w:ascii="仿宋" w:hAnsi="仿宋" w:eastAsia="仿宋"/>
          <w:sz w:val="32"/>
          <w:szCs w:val="32"/>
          <w:lang w:val="en-US" w:eastAsia="zh-CN"/>
        </w:rPr>
        <w:t>937.71</w:t>
      </w:r>
      <w:r>
        <w:rPr>
          <w:rFonts w:hint="eastAsia" w:ascii="仿宋" w:hAnsi="仿宋" w:eastAsia="仿宋"/>
          <w:sz w:val="32"/>
          <w:szCs w:val="32"/>
        </w:rPr>
        <w:t>万元，增长</w:t>
      </w:r>
      <w:r>
        <w:rPr>
          <w:rFonts w:hint="eastAsia" w:ascii="仿宋" w:hAnsi="仿宋" w:eastAsia="仿宋"/>
          <w:sz w:val="32"/>
          <w:szCs w:val="32"/>
          <w:lang w:val="en-US" w:eastAsia="zh-CN"/>
        </w:rPr>
        <w:t>6.13</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项目支出增加。</w:t>
      </w:r>
    </w:p>
    <w:p>
      <w:pPr>
        <w:pStyle w:val="5"/>
        <w:rPr>
          <w:rFonts w:ascii="仿宋" w:hAnsi="仿宋" w:eastAsia="仿宋"/>
          <w:sz w:val="32"/>
          <w:szCs w:val="32"/>
        </w:rPr>
      </w:pPr>
      <w:r>
        <w:rPr>
          <w:rFonts w:hint="eastAsia" w:ascii="Times New Roman" w:hAnsi="Times New Roman" w:eastAsia="仿宋_GB2312" w:cs="Times New Roman"/>
          <w:sz w:val="32"/>
          <w:szCs w:val="32"/>
          <w:lang w:val="zh-CN"/>
        </w:rPr>
        <w:drawing>
          <wp:anchor distT="0" distB="0" distL="0" distR="0" simplePos="0" relativeHeight="251663360" behindDoc="0" locked="0" layoutInCell="1" allowOverlap="1">
            <wp:simplePos x="0" y="0"/>
            <wp:positionH relativeFrom="column">
              <wp:posOffset>-46990</wp:posOffset>
            </wp:positionH>
            <wp:positionV relativeFrom="paragraph">
              <wp:posOffset>127000</wp:posOffset>
            </wp:positionV>
            <wp:extent cx="5274310" cy="2742565"/>
            <wp:effectExtent l="4445" t="4445" r="17145" b="15240"/>
            <wp:wrapTopAndBottom/>
            <wp:docPr id="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w:t>
      </w:r>
    </w:p>
    <w:p>
      <w:pPr>
        <w:spacing w:line="600" w:lineRule="exact"/>
        <w:ind w:firstLine="642" w:firstLineChars="200"/>
        <w:outlineLvl w:val="2"/>
        <w:rPr>
          <w:rFonts w:hint="eastAsia" w:ascii="仿宋" w:hAnsi="仿宋" w:eastAsia="仿宋"/>
          <w:b/>
          <w:sz w:val="32"/>
          <w:szCs w:val="32"/>
        </w:rPr>
      </w:pPr>
      <w:bookmarkStart w:id="50" w:name="_Toc15377211"/>
    </w:p>
    <w:p>
      <w:pPr>
        <w:spacing w:line="600" w:lineRule="exact"/>
        <w:ind w:firstLine="642" w:firstLineChars="200"/>
        <w:outlineLvl w:val="2"/>
        <w:rPr>
          <w:rFonts w:ascii="仿宋" w:hAnsi="仿宋" w:eastAsia="仿宋"/>
          <w:b/>
          <w:sz w:val="32"/>
          <w:szCs w:val="32"/>
        </w:rPr>
      </w:pPr>
      <w:r>
        <w:rPr>
          <w:rFonts w:hint="eastAsia" w:ascii="仿宋" w:hAnsi="仿宋" w:eastAsia="仿宋"/>
          <w:b/>
          <w:sz w:val="32"/>
          <w:szCs w:val="32"/>
        </w:rPr>
        <w:t>（二）一般公共预算财政拨款支出决算结构情况</w:t>
      </w:r>
      <w:bookmarkEnd w:id="50"/>
    </w:p>
    <w:p>
      <w:pPr>
        <w:spacing w:line="600" w:lineRule="exact"/>
        <w:ind w:firstLine="640"/>
        <w:rPr>
          <w:rFonts w:hint="eastAsia" w:ascii="仿宋" w:hAnsi="仿宋" w:eastAsia="仿宋"/>
          <w:sz w:val="32"/>
          <w:szCs w:val="32"/>
        </w:rPr>
      </w:pPr>
      <w:r>
        <w:rPr>
          <w:rFonts w:hint="eastAsia" w:ascii="仿宋" w:hAnsi="仿宋" w:eastAsia="仿宋"/>
          <w:sz w:val="32"/>
          <w:szCs w:val="32"/>
        </w:rPr>
        <w:t>2023年度一般公共预算财政拨款支出</w:t>
      </w:r>
      <w:r>
        <w:rPr>
          <w:sz w:val="32"/>
          <w:szCs w:val="32"/>
        </w:rPr>
        <w:t>15288.16</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b/>
          <w:bCs/>
          <w:sz w:val="32"/>
          <w:szCs w:val="32"/>
          <w:lang w:val="en-US" w:eastAsia="zh-CN"/>
        </w:rPr>
        <w:t>1684.49</w:t>
      </w:r>
      <w:r>
        <w:rPr>
          <w:rFonts w:hint="eastAsia" w:ascii="仿宋" w:hAnsi="仿宋" w:eastAsia="仿宋"/>
          <w:sz w:val="32"/>
          <w:szCs w:val="32"/>
        </w:rPr>
        <w:t>万元，占</w:t>
      </w:r>
      <w:r>
        <w:rPr>
          <w:rFonts w:hint="eastAsia" w:ascii="仿宋" w:hAnsi="仿宋" w:eastAsia="仿宋"/>
          <w:sz w:val="32"/>
          <w:szCs w:val="32"/>
          <w:lang w:val="en-US" w:eastAsia="zh-CN"/>
        </w:rPr>
        <w:t>11.02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卫生健康支出12,807.00</w:t>
      </w:r>
      <w:r>
        <w:rPr>
          <w:rFonts w:hint="eastAsia" w:ascii="仿宋" w:hAnsi="仿宋" w:eastAsia="仿宋"/>
          <w:sz w:val="32"/>
          <w:szCs w:val="32"/>
        </w:rPr>
        <w:t>万元，占</w:t>
      </w:r>
      <w:r>
        <w:rPr>
          <w:rFonts w:hint="eastAsia" w:ascii="仿宋" w:hAnsi="仿宋" w:eastAsia="仿宋"/>
          <w:sz w:val="32"/>
          <w:szCs w:val="32"/>
          <w:lang w:val="en-US" w:eastAsia="zh-CN"/>
        </w:rPr>
        <w:t>83.77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sz w:val="32"/>
          <w:szCs w:val="32"/>
          <w:lang w:eastAsia="zh-CN"/>
        </w:rPr>
        <w:t>农林水支出196.0</w:t>
      </w:r>
      <w:r>
        <w:rPr>
          <w:rFonts w:hint="eastAsia" w:ascii="仿宋" w:hAnsi="仿宋" w:eastAsia="仿宋"/>
          <w:b/>
          <w:bCs/>
          <w:sz w:val="32"/>
          <w:szCs w:val="32"/>
        </w:rPr>
        <w:t>万元，占</w:t>
      </w:r>
      <w:r>
        <w:rPr>
          <w:rFonts w:hint="eastAsia" w:ascii="仿宋" w:hAnsi="仿宋" w:eastAsia="仿宋"/>
          <w:b/>
          <w:bCs/>
          <w:sz w:val="32"/>
          <w:szCs w:val="32"/>
          <w:lang w:val="en-US" w:eastAsia="zh-CN"/>
        </w:rPr>
        <w:t>1.28</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bCs/>
          <w:sz w:val="32"/>
          <w:szCs w:val="32"/>
        </w:rPr>
        <w:t>住房保障支出600.66</w:t>
      </w:r>
      <w:r>
        <w:rPr>
          <w:rFonts w:hint="eastAsia" w:ascii="仿宋" w:hAnsi="仿宋" w:eastAsia="仿宋"/>
          <w:sz w:val="32"/>
          <w:szCs w:val="32"/>
        </w:rPr>
        <w:t>万元，占</w:t>
      </w:r>
      <w:r>
        <w:rPr>
          <w:rFonts w:hint="eastAsia" w:ascii="仿宋" w:hAnsi="仿宋" w:eastAsia="仿宋"/>
          <w:sz w:val="32"/>
          <w:szCs w:val="32"/>
          <w:lang w:val="en-US" w:eastAsia="zh-CN"/>
        </w:rPr>
        <w:t>3.93</w:t>
      </w:r>
      <w:r>
        <w:rPr>
          <w:rFonts w:ascii="仿宋" w:hAnsi="仿宋" w:eastAsia="仿宋"/>
          <w:sz w:val="32"/>
          <w:szCs w:val="32"/>
        </w:rPr>
        <w:t>%</w:t>
      </w:r>
      <w:r>
        <w:rPr>
          <w:rFonts w:hint="eastAsia" w:ascii="仿宋" w:hAnsi="仿宋" w:eastAsia="仿宋"/>
          <w:sz w:val="32"/>
          <w:szCs w:val="32"/>
        </w:rPr>
        <w:t>。</w:t>
      </w:r>
    </w:p>
    <w:p>
      <w:pPr>
        <w:rPr>
          <w:rFonts w:hint="eastAsia" w:ascii="仿宋" w:hAnsi="仿宋" w:eastAsia="仿宋"/>
          <w:sz w:val="32"/>
          <w:szCs w:val="32"/>
        </w:rPr>
      </w:pPr>
    </w:p>
    <w:p>
      <w:pPr>
        <w:pStyle w:val="5"/>
        <w:rPr>
          <w:rFonts w:hint="eastAsia" w:ascii="仿宋" w:hAnsi="仿宋" w:eastAsia="仿宋"/>
          <w:sz w:val="32"/>
          <w:szCs w:val="32"/>
        </w:rPr>
      </w:pPr>
    </w:p>
    <w:p>
      <w:pPr>
        <w:rPr>
          <w:rFonts w:hint="eastAsia" w:ascii="仿宋" w:hAnsi="仿宋" w:eastAsia="仿宋"/>
          <w:sz w:val="32"/>
          <w:szCs w:val="32"/>
        </w:rPr>
      </w:pPr>
    </w:p>
    <w:p>
      <w:pPr>
        <w:pStyle w:val="5"/>
        <w:rPr>
          <w:rFonts w:hint="eastAsia" w:ascii="仿宋" w:hAnsi="仿宋" w:eastAsia="仿宋"/>
          <w:sz w:val="32"/>
          <w:szCs w:val="32"/>
        </w:rPr>
      </w:pPr>
    </w:p>
    <w:p>
      <w:pPr>
        <w:rPr>
          <w:rFonts w:hint="eastAsia" w:ascii="仿宋" w:hAnsi="仿宋" w:eastAsia="仿宋"/>
          <w:sz w:val="32"/>
          <w:szCs w:val="32"/>
        </w:rPr>
      </w:pPr>
    </w:p>
    <w:p>
      <w:pPr>
        <w:pStyle w:val="5"/>
        <w:rPr>
          <w:rFonts w:ascii="仿宋" w:hAnsi="仿宋" w:eastAsia="仿宋"/>
          <w:sz w:val="32"/>
          <w:szCs w:val="32"/>
        </w:rPr>
      </w:pPr>
      <w:r>
        <w:rPr>
          <w:rFonts w:hint="eastAsia" w:ascii="Times New Roman" w:hAnsi="Times New Roman" w:eastAsia="仿宋_GB2312" w:cs="Times New Roman"/>
          <w:sz w:val="32"/>
          <w:szCs w:val="32"/>
          <w:lang w:val="zh-CN"/>
        </w:rPr>
        <w:drawing>
          <wp:anchor distT="0" distB="0" distL="0" distR="0" simplePos="0" relativeHeight="251664384" behindDoc="0" locked="0" layoutInCell="1" allowOverlap="1">
            <wp:simplePos x="0" y="0"/>
            <wp:positionH relativeFrom="column">
              <wp:posOffset>261620</wp:posOffset>
            </wp:positionH>
            <wp:positionV relativeFrom="paragraph">
              <wp:posOffset>152400</wp:posOffset>
            </wp:positionV>
            <wp:extent cx="5274310" cy="3076575"/>
            <wp:effectExtent l="5080" t="4445" r="16510" b="5080"/>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0" w:firstLineChars="200"/>
        <w:rPr>
          <w:rFonts w:ascii="仿宋" w:hAnsi="仿宋" w:eastAsia="仿宋"/>
          <w:sz w:val="32"/>
          <w:szCs w:val="32"/>
        </w:rPr>
      </w:pPr>
    </w:p>
    <w:p>
      <w:pPr>
        <w:spacing w:line="600" w:lineRule="exact"/>
        <w:ind w:firstLine="642" w:firstLineChars="200"/>
        <w:outlineLvl w:val="2"/>
        <w:rPr>
          <w:rFonts w:ascii="仿宋" w:hAnsi="仿宋" w:eastAsia="仿宋"/>
          <w:b/>
          <w:sz w:val="32"/>
          <w:szCs w:val="32"/>
        </w:rPr>
      </w:pPr>
      <w:bookmarkStart w:id="51" w:name="_Toc15377212"/>
      <w:r>
        <w:rPr>
          <w:rFonts w:hint="eastAsia" w:ascii="仿宋" w:hAnsi="仿宋" w:eastAsia="仿宋"/>
          <w:b/>
          <w:sz w:val="32"/>
          <w:szCs w:val="32"/>
        </w:rPr>
        <w:t>（三）一般公共预算财政拨款支出决算具体情况</w:t>
      </w:r>
      <w:bookmarkEnd w:id="51"/>
    </w:p>
    <w:p>
      <w:pPr>
        <w:spacing w:line="600" w:lineRule="exact"/>
        <w:ind w:firstLine="642" w:firstLineChars="200"/>
        <w:outlineLvl w:val="2"/>
        <w:rPr>
          <w:rFonts w:ascii="仿宋" w:hAnsi="仿宋" w:eastAsia="仿宋"/>
          <w:sz w:val="32"/>
          <w:szCs w:val="32"/>
        </w:rPr>
      </w:pPr>
      <w:bookmarkStart w:id="52" w:name="_Toc15377213"/>
      <w:bookmarkStart w:id="53" w:name="_Toc15378460"/>
      <w:bookmarkStart w:id="54" w:name="_Toc15377444"/>
      <w:r>
        <w:rPr>
          <w:rFonts w:hint="eastAsia" w:ascii="仿宋" w:hAnsi="仿宋" w:eastAsia="仿宋"/>
          <w:b/>
          <w:sz w:val="32"/>
          <w:szCs w:val="32"/>
        </w:rPr>
        <w:t>2023年度一般公共预算支出决算数为</w:t>
      </w:r>
      <w:r>
        <w:rPr>
          <w:sz w:val="32"/>
          <w:szCs w:val="32"/>
        </w:rPr>
        <w:t>15288.16</w:t>
      </w:r>
      <w:r>
        <w:rPr>
          <w:rFonts w:hint="eastAsia"/>
          <w:sz w:val="32"/>
          <w:szCs w:val="32"/>
          <w:lang w:eastAsia="zh-CN"/>
        </w:rPr>
        <w:t>万元</w:t>
      </w:r>
      <w:r>
        <w:rPr>
          <w:rFonts w:hint="eastAsia" w:ascii="仿宋" w:hAnsi="仿宋" w:eastAsia="仿宋"/>
          <w:sz w:val="32"/>
          <w:szCs w:val="32"/>
        </w:rPr>
        <w:t>，</w:t>
      </w:r>
      <w:r>
        <w:rPr>
          <w:rStyle w:val="19"/>
          <w:rFonts w:hint="eastAsia" w:ascii="仿宋" w:hAnsi="仿宋" w:eastAsia="仿宋"/>
          <w:bCs/>
          <w:sz w:val="32"/>
          <w:szCs w:val="32"/>
        </w:rPr>
        <w:t>完成预算</w:t>
      </w:r>
      <w:r>
        <w:rPr>
          <w:rStyle w:val="19"/>
          <w:rFonts w:hint="eastAsia" w:ascii="仿宋" w:hAnsi="仿宋" w:eastAsia="仿宋"/>
          <w:bCs/>
          <w:sz w:val="32"/>
          <w:szCs w:val="32"/>
          <w:lang w:val="en-US" w:eastAsia="zh-CN"/>
        </w:rPr>
        <w:t>100</w:t>
      </w:r>
      <w:r>
        <w:rPr>
          <w:rStyle w:val="19"/>
          <w:rFonts w:ascii="仿宋" w:hAnsi="仿宋" w:eastAsia="仿宋"/>
          <w:bCs/>
          <w:sz w:val="32"/>
          <w:szCs w:val="32"/>
        </w:rPr>
        <w:t>%</w:t>
      </w:r>
      <w:r>
        <w:rPr>
          <w:rStyle w:val="19"/>
          <w:rFonts w:hint="eastAsia" w:ascii="仿宋" w:hAnsi="仿宋" w:eastAsia="仿宋"/>
          <w:bCs/>
          <w:sz w:val="32"/>
          <w:szCs w:val="32"/>
        </w:rPr>
        <w:t>。其中：</w:t>
      </w:r>
      <w:bookmarkEnd w:id="52"/>
      <w:bookmarkEnd w:id="53"/>
      <w:bookmarkEnd w:id="54"/>
    </w:p>
    <w:p>
      <w:pPr>
        <w:spacing w:line="600" w:lineRule="exact"/>
        <w:ind w:firstLine="640"/>
        <w:rPr>
          <w:rFonts w:hint="eastAsia" w:ascii="CESI仿宋-GB2312" w:hAnsi="CESI仿宋-GB2312" w:eastAsia="CESI仿宋-GB2312" w:cs="CESI仿宋-GB2312"/>
          <w:b w:val="0"/>
          <w:bCs w:val="0"/>
          <w:sz w:val="32"/>
          <w:szCs w:val="32"/>
          <w:lang w:val="zh-CN"/>
        </w:rPr>
      </w:pPr>
      <w:r>
        <w:rPr>
          <w:rStyle w:val="19"/>
          <w:rFonts w:hint="eastAsia" w:ascii="CESI仿宋-GB2312" w:hAnsi="CESI仿宋-GB2312" w:eastAsia="CESI仿宋-GB2312" w:cs="CESI仿宋-GB2312"/>
          <w:b w:val="0"/>
          <w:bCs w:val="0"/>
          <w:sz w:val="32"/>
          <w:szCs w:val="32"/>
          <w:lang w:val="en-US" w:eastAsia="zh-CN"/>
        </w:rPr>
        <w:t>1</w:t>
      </w:r>
      <w:r>
        <w:rPr>
          <w:rStyle w:val="19"/>
          <w:rFonts w:hint="eastAsia" w:ascii="CESI仿宋-GB2312" w:hAnsi="CESI仿宋-GB2312" w:eastAsia="CESI仿宋-GB2312" w:cs="CESI仿宋-GB2312"/>
          <w:b w:val="0"/>
          <w:bCs w:val="0"/>
          <w:sz w:val="32"/>
          <w:szCs w:val="32"/>
        </w:rPr>
        <w:t>.社会保障和就业（</w:t>
      </w:r>
      <w:r>
        <w:rPr>
          <w:rStyle w:val="19"/>
          <w:rFonts w:hint="eastAsia" w:ascii="CESI仿宋-GB2312" w:hAnsi="CESI仿宋-GB2312" w:eastAsia="CESI仿宋-GB2312" w:cs="CESI仿宋-GB2312"/>
          <w:b w:val="0"/>
          <w:bCs w:val="0"/>
          <w:sz w:val="32"/>
          <w:szCs w:val="32"/>
          <w:lang w:val="en-US" w:eastAsia="zh-CN"/>
        </w:rPr>
        <w:t>208</w:t>
      </w:r>
      <w:r>
        <w:rPr>
          <w:rStyle w:val="19"/>
          <w:rFonts w:hint="eastAsia" w:ascii="CESI仿宋-GB2312" w:hAnsi="CESI仿宋-GB2312" w:eastAsia="CESI仿宋-GB2312" w:cs="CESI仿宋-GB2312"/>
          <w:b w:val="0"/>
          <w:bCs w:val="0"/>
          <w:sz w:val="32"/>
          <w:szCs w:val="32"/>
        </w:rPr>
        <w:t>类）行政事业单位养老支出（</w:t>
      </w:r>
      <w:r>
        <w:rPr>
          <w:rStyle w:val="19"/>
          <w:rFonts w:hint="eastAsia" w:ascii="CESI仿宋-GB2312" w:hAnsi="CESI仿宋-GB2312" w:eastAsia="CESI仿宋-GB2312" w:cs="CESI仿宋-GB2312"/>
          <w:b w:val="0"/>
          <w:bCs w:val="0"/>
          <w:sz w:val="32"/>
          <w:szCs w:val="32"/>
          <w:lang w:val="en-US" w:eastAsia="zh-CN"/>
        </w:rPr>
        <w:t>05</w:t>
      </w:r>
      <w:r>
        <w:rPr>
          <w:rStyle w:val="19"/>
          <w:rFonts w:hint="eastAsia" w:ascii="CESI仿宋-GB2312" w:hAnsi="CESI仿宋-GB2312" w:eastAsia="CESI仿宋-GB2312" w:cs="CESI仿宋-GB2312"/>
          <w:b w:val="0"/>
          <w:bCs w:val="0"/>
          <w:sz w:val="32"/>
          <w:szCs w:val="32"/>
        </w:rPr>
        <w:t>款）:</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1545.24</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1</w:t>
      </w:r>
      <w:r>
        <w:rPr>
          <w:rFonts w:hint="eastAsia" w:ascii="CESI仿宋-GB2312" w:hAnsi="CESI仿宋-GB2312" w:eastAsia="CESI仿宋-GB2312" w:cs="CESI仿宋-GB2312"/>
          <w:b w:val="0"/>
          <w:bCs w:val="0"/>
          <w:sz w:val="32"/>
          <w:szCs w:val="32"/>
          <w:lang w:val="zh-CN"/>
        </w:rPr>
        <w:t>）行政单位离退休（</w:t>
      </w:r>
      <w:r>
        <w:rPr>
          <w:rFonts w:hint="eastAsia" w:ascii="CESI仿宋-GB2312" w:hAnsi="CESI仿宋-GB2312" w:eastAsia="CESI仿宋-GB2312" w:cs="CESI仿宋-GB2312"/>
          <w:b w:val="0"/>
          <w:bCs w:val="0"/>
          <w:sz w:val="32"/>
          <w:szCs w:val="32"/>
          <w:lang w:val="en-US" w:eastAsia="zh-CN"/>
        </w:rPr>
        <w:t>01</w:t>
      </w:r>
      <w:r>
        <w:rPr>
          <w:rFonts w:hint="eastAsia" w:ascii="CESI仿宋-GB2312" w:hAnsi="CESI仿宋-GB2312" w:eastAsia="CESI仿宋-GB2312" w:cs="CESI仿宋-GB2312"/>
          <w:b w:val="0"/>
          <w:bCs w:val="0"/>
          <w:sz w:val="32"/>
          <w:szCs w:val="32"/>
          <w:lang w:val="zh-CN"/>
        </w:rPr>
        <w:t>项）: 支出决算为</w:t>
      </w:r>
      <w:r>
        <w:rPr>
          <w:rFonts w:hint="eastAsia" w:ascii="CESI仿宋-GB2312" w:hAnsi="CESI仿宋-GB2312" w:eastAsia="CESI仿宋-GB2312" w:cs="CESI仿宋-GB2312"/>
          <w:b w:val="0"/>
          <w:bCs w:val="0"/>
          <w:sz w:val="32"/>
          <w:szCs w:val="32"/>
          <w:lang w:val="en-US" w:eastAsia="zh-CN"/>
        </w:rPr>
        <w:t>60.57</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2</w:t>
      </w:r>
      <w:r>
        <w:rPr>
          <w:rFonts w:hint="eastAsia" w:ascii="CESI仿宋-GB2312" w:hAnsi="CESI仿宋-GB2312" w:eastAsia="CESI仿宋-GB2312" w:cs="CESI仿宋-GB2312"/>
          <w:b w:val="0"/>
          <w:bCs w:val="0"/>
          <w:sz w:val="32"/>
          <w:szCs w:val="32"/>
          <w:lang w:val="zh-CN"/>
        </w:rPr>
        <w:t>）事业单位离退休（</w:t>
      </w:r>
      <w:r>
        <w:rPr>
          <w:rFonts w:hint="eastAsia" w:ascii="CESI仿宋-GB2312" w:hAnsi="CESI仿宋-GB2312" w:eastAsia="CESI仿宋-GB2312" w:cs="CESI仿宋-GB2312"/>
          <w:b w:val="0"/>
          <w:bCs w:val="0"/>
          <w:sz w:val="32"/>
          <w:szCs w:val="32"/>
          <w:lang w:val="en-US" w:eastAsia="zh-CN"/>
        </w:rPr>
        <w:t>02</w:t>
      </w:r>
      <w:r>
        <w:rPr>
          <w:rFonts w:hint="eastAsia" w:ascii="CESI仿宋-GB2312" w:hAnsi="CESI仿宋-GB2312" w:eastAsia="CESI仿宋-GB2312" w:cs="CESI仿宋-GB2312"/>
          <w:b w:val="0"/>
          <w:bCs w:val="0"/>
          <w:sz w:val="32"/>
          <w:szCs w:val="32"/>
          <w:lang w:val="zh-CN"/>
        </w:rPr>
        <w:t>项）: 支出决算为</w:t>
      </w:r>
      <w:r>
        <w:rPr>
          <w:rFonts w:hint="eastAsia" w:ascii="CESI仿宋-GB2312" w:hAnsi="CESI仿宋-GB2312" w:eastAsia="CESI仿宋-GB2312" w:cs="CESI仿宋-GB2312"/>
          <w:b w:val="0"/>
          <w:bCs w:val="0"/>
          <w:sz w:val="32"/>
          <w:szCs w:val="32"/>
          <w:lang w:val="en-US" w:eastAsia="zh-CN"/>
        </w:rPr>
        <w:t>483.3</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3</w:t>
      </w:r>
      <w:r>
        <w:rPr>
          <w:rFonts w:hint="eastAsia" w:ascii="CESI仿宋-GB2312" w:hAnsi="CESI仿宋-GB2312" w:eastAsia="CESI仿宋-GB2312" w:cs="CESI仿宋-GB2312"/>
          <w:b w:val="0"/>
          <w:bCs w:val="0"/>
          <w:sz w:val="32"/>
          <w:szCs w:val="32"/>
          <w:lang w:val="zh-CN"/>
        </w:rPr>
        <w:t>）机关事业单位基本养老保险缴费支出（</w:t>
      </w:r>
      <w:r>
        <w:rPr>
          <w:rFonts w:hint="eastAsia" w:ascii="CESI仿宋-GB2312" w:hAnsi="CESI仿宋-GB2312" w:eastAsia="CESI仿宋-GB2312" w:cs="CESI仿宋-GB2312"/>
          <w:b w:val="0"/>
          <w:bCs w:val="0"/>
          <w:sz w:val="32"/>
          <w:szCs w:val="32"/>
          <w:lang w:val="en-US" w:eastAsia="zh-CN"/>
        </w:rPr>
        <w:t>05</w:t>
      </w:r>
      <w:r>
        <w:rPr>
          <w:rFonts w:hint="eastAsia" w:ascii="CESI仿宋-GB2312" w:hAnsi="CESI仿宋-GB2312" w:eastAsia="CESI仿宋-GB2312" w:cs="CESI仿宋-GB2312"/>
          <w:b w:val="0"/>
          <w:bCs w:val="0"/>
          <w:sz w:val="32"/>
          <w:szCs w:val="32"/>
          <w:lang w:val="zh-CN"/>
        </w:rPr>
        <w:t>项）：支出决算为</w:t>
      </w:r>
      <w:r>
        <w:rPr>
          <w:rFonts w:hint="eastAsia" w:ascii="CESI仿宋-GB2312" w:hAnsi="CESI仿宋-GB2312" w:eastAsia="CESI仿宋-GB2312" w:cs="CESI仿宋-GB2312"/>
          <w:b w:val="0"/>
          <w:bCs w:val="0"/>
          <w:sz w:val="32"/>
          <w:szCs w:val="32"/>
          <w:lang w:val="en-US" w:eastAsia="zh-CN"/>
        </w:rPr>
        <w:t>779.55</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4</w:t>
      </w:r>
      <w:r>
        <w:rPr>
          <w:rFonts w:hint="eastAsia" w:ascii="CESI仿宋-GB2312" w:hAnsi="CESI仿宋-GB2312" w:eastAsia="CESI仿宋-GB2312" w:cs="CESI仿宋-GB2312"/>
          <w:b w:val="0"/>
          <w:bCs w:val="0"/>
          <w:sz w:val="32"/>
          <w:szCs w:val="32"/>
          <w:lang w:val="zh-CN"/>
        </w:rPr>
        <w:t>）机关事业单位职业年金缴费支出（</w:t>
      </w:r>
      <w:r>
        <w:rPr>
          <w:rFonts w:hint="eastAsia" w:ascii="CESI仿宋-GB2312" w:hAnsi="CESI仿宋-GB2312" w:eastAsia="CESI仿宋-GB2312" w:cs="CESI仿宋-GB2312"/>
          <w:b w:val="0"/>
          <w:bCs w:val="0"/>
          <w:sz w:val="32"/>
          <w:szCs w:val="32"/>
          <w:lang w:val="en-US" w:eastAsia="zh-CN"/>
        </w:rPr>
        <w:t>06</w:t>
      </w:r>
      <w:r>
        <w:rPr>
          <w:rFonts w:hint="eastAsia" w:ascii="CESI仿宋-GB2312" w:hAnsi="CESI仿宋-GB2312" w:eastAsia="CESI仿宋-GB2312" w:cs="CESI仿宋-GB2312"/>
          <w:b w:val="0"/>
          <w:bCs w:val="0"/>
          <w:sz w:val="32"/>
          <w:szCs w:val="32"/>
          <w:lang w:val="zh-CN"/>
        </w:rPr>
        <w:t>项）：支出决算为</w:t>
      </w:r>
      <w:r>
        <w:rPr>
          <w:rFonts w:hint="eastAsia" w:ascii="CESI仿宋-GB2312" w:hAnsi="CESI仿宋-GB2312" w:eastAsia="CESI仿宋-GB2312" w:cs="CESI仿宋-GB2312"/>
          <w:b w:val="0"/>
          <w:bCs w:val="0"/>
          <w:sz w:val="32"/>
          <w:szCs w:val="32"/>
          <w:lang w:val="en-US" w:eastAsia="zh-CN"/>
        </w:rPr>
        <w:t>221.81</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Style w:val="19"/>
          <w:rFonts w:hint="eastAsia" w:ascii="CESI仿宋-GB2312" w:hAnsi="CESI仿宋-GB2312" w:eastAsia="CESI仿宋-GB2312" w:cs="CESI仿宋-GB2312"/>
          <w:b w:val="0"/>
          <w:bCs w:val="0"/>
          <w:sz w:val="32"/>
          <w:szCs w:val="32"/>
          <w:lang w:val="en-US" w:eastAsia="zh-CN"/>
        </w:rPr>
        <w:t>2</w:t>
      </w:r>
      <w:r>
        <w:rPr>
          <w:rStyle w:val="19"/>
          <w:rFonts w:hint="eastAsia" w:ascii="CESI仿宋-GB2312" w:hAnsi="CESI仿宋-GB2312" w:eastAsia="CESI仿宋-GB2312" w:cs="CESI仿宋-GB2312"/>
          <w:b w:val="0"/>
          <w:bCs w:val="0"/>
          <w:sz w:val="32"/>
          <w:szCs w:val="32"/>
        </w:rPr>
        <w:t>.社会保障和就业（</w:t>
      </w:r>
      <w:r>
        <w:rPr>
          <w:rStyle w:val="19"/>
          <w:rFonts w:hint="eastAsia" w:ascii="CESI仿宋-GB2312" w:hAnsi="CESI仿宋-GB2312" w:eastAsia="CESI仿宋-GB2312" w:cs="CESI仿宋-GB2312"/>
          <w:b w:val="0"/>
          <w:bCs w:val="0"/>
          <w:sz w:val="32"/>
          <w:szCs w:val="32"/>
          <w:lang w:val="en-US" w:eastAsia="zh-CN"/>
        </w:rPr>
        <w:t>208</w:t>
      </w:r>
      <w:r>
        <w:rPr>
          <w:rStyle w:val="19"/>
          <w:rFonts w:hint="eastAsia" w:ascii="CESI仿宋-GB2312" w:hAnsi="CESI仿宋-GB2312" w:eastAsia="CESI仿宋-GB2312" w:cs="CESI仿宋-GB2312"/>
          <w:b w:val="0"/>
          <w:bCs w:val="0"/>
          <w:sz w:val="32"/>
          <w:szCs w:val="32"/>
        </w:rPr>
        <w:t>类）抚恤（</w:t>
      </w:r>
      <w:r>
        <w:rPr>
          <w:rStyle w:val="19"/>
          <w:rFonts w:hint="eastAsia" w:ascii="CESI仿宋-GB2312" w:hAnsi="CESI仿宋-GB2312" w:eastAsia="CESI仿宋-GB2312" w:cs="CESI仿宋-GB2312"/>
          <w:b w:val="0"/>
          <w:bCs w:val="0"/>
          <w:sz w:val="32"/>
          <w:szCs w:val="32"/>
          <w:lang w:val="en-US" w:eastAsia="zh-CN"/>
        </w:rPr>
        <w:t>08</w:t>
      </w:r>
      <w:r>
        <w:rPr>
          <w:rStyle w:val="19"/>
          <w:rFonts w:hint="eastAsia" w:ascii="CESI仿宋-GB2312" w:hAnsi="CESI仿宋-GB2312" w:eastAsia="CESI仿宋-GB2312" w:cs="CESI仿宋-GB2312"/>
          <w:b w:val="0"/>
          <w:bCs w:val="0"/>
          <w:sz w:val="32"/>
          <w:szCs w:val="32"/>
        </w:rPr>
        <w:t>款）:</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125.26</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1）</w:t>
      </w:r>
      <w:r>
        <w:rPr>
          <w:rFonts w:hint="eastAsia" w:ascii="CESI仿宋-GB2312" w:hAnsi="CESI仿宋-GB2312" w:eastAsia="CESI仿宋-GB2312" w:cs="CESI仿宋-GB2312"/>
          <w:b w:val="0"/>
          <w:bCs w:val="0"/>
          <w:sz w:val="32"/>
          <w:szCs w:val="32"/>
          <w:lang w:val="zh-CN"/>
        </w:rPr>
        <w:t>死亡抚恤（</w:t>
      </w:r>
      <w:r>
        <w:rPr>
          <w:rFonts w:hint="eastAsia" w:ascii="CESI仿宋-GB2312" w:hAnsi="CESI仿宋-GB2312" w:eastAsia="CESI仿宋-GB2312" w:cs="CESI仿宋-GB2312"/>
          <w:b w:val="0"/>
          <w:bCs w:val="0"/>
          <w:sz w:val="32"/>
          <w:szCs w:val="32"/>
          <w:lang w:val="en-US" w:eastAsia="zh-CN"/>
        </w:rPr>
        <w:t>01</w:t>
      </w:r>
      <w:r>
        <w:rPr>
          <w:rFonts w:hint="eastAsia" w:ascii="CESI仿宋-GB2312" w:hAnsi="CESI仿宋-GB2312" w:eastAsia="CESI仿宋-GB2312" w:cs="CESI仿宋-GB2312"/>
          <w:b w:val="0"/>
          <w:bCs w:val="0"/>
          <w:sz w:val="32"/>
          <w:szCs w:val="32"/>
          <w:lang w:val="zh-CN"/>
        </w:rPr>
        <w:t>项）：支出决算为</w:t>
      </w:r>
      <w:r>
        <w:rPr>
          <w:rFonts w:hint="eastAsia" w:ascii="CESI仿宋-GB2312" w:hAnsi="CESI仿宋-GB2312" w:eastAsia="CESI仿宋-GB2312" w:cs="CESI仿宋-GB2312"/>
          <w:b w:val="0"/>
          <w:bCs w:val="0"/>
          <w:sz w:val="32"/>
          <w:szCs w:val="32"/>
          <w:lang w:val="en-US" w:eastAsia="zh-CN"/>
        </w:rPr>
        <w:t>113.9</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2</w:t>
      </w:r>
      <w:r>
        <w:rPr>
          <w:rFonts w:hint="eastAsia" w:ascii="CESI仿宋-GB2312" w:hAnsi="CESI仿宋-GB2312" w:eastAsia="CESI仿宋-GB2312" w:cs="CESI仿宋-GB2312"/>
          <w:b w:val="0"/>
          <w:bCs w:val="0"/>
          <w:sz w:val="32"/>
          <w:szCs w:val="32"/>
          <w:lang w:val="zh-CN"/>
        </w:rPr>
        <w:t>）伤残抚恤（</w:t>
      </w:r>
      <w:r>
        <w:rPr>
          <w:rFonts w:hint="eastAsia" w:ascii="CESI仿宋-GB2312" w:hAnsi="CESI仿宋-GB2312" w:eastAsia="CESI仿宋-GB2312" w:cs="CESI仿宋-GB2312"/>
          <w:b w:val="0"/>
          <w:bCs w:val="0"/>
          <w:sz w:val="32"/>
          <w:szCs w:val="32"/>
          <w:lang w:val="en-US" w:eastAsia="zh-CN"/>
        </w:rPr>
        <w:t>02</w:t>
      </w:r>
      <w:r>
        <w:rPr>
          <w:rFonts w:hint="eastAsia" w:ascii="CESI仿宋-GB2312" w:hAnsi="CESI仿宋-GB2312" w:eastAsia="CESI仿宋-GB2312" w:cs="CESI仿宋-GB2312"/>
          <w:b w:val="0"/>
          <w:bCs w:val="0"/>
          <w:sz w:val="32"/>
          <w:szCs w:val="32"/>
          <w:lang w:val="zh-CN"/>
        </w:rPr>
        <w:t>项）：支出决算为</w:t>
      </w:r>
      <w:r>
        <w:rPr>
          <w:rFonts w:hint="eastAsia" w:ascii="CESI仿宋-GB2312" w:hAnsi="CESI仿宋-GB2312" w:eastAsia="CESI仿宋-GB2312" w:cs="CESI仿宋-GB2312"/>
          <w:b w:val="0"/>
          <w:bCs w:val="0"/>
          <w:sz w:val="32"/>
          <w:szCs w:val="32"/>
          <w:lang w:val="en-US" w:eastAsia="zh-CN"/>
        </w:rPr>
        <w:t>11.36</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Style w:val="19"/>
          <w:rFonts w:hint="eastAsia" w:ascii="CESI仿宋-GB2312" w:hAnsi="CESI仿宋-GB2312" w:eastAsia="CESI仿宋-GB2312" w:cs="CESI仿宋-GB2312"/>
          <w:b w:val="0"/>
          <w:bCs w:val="0"/>
          <w:sz w:val="32"/>
          <w:szCs w:val="32"/>
          <w:lang w:val="en-US" w:eastAsia="zh-CN"/>
        </w:rPr>
        <w:t>3</w:t>
      </w:r>
      <w:r>
        <w:rPr>
          <w:rStyle w:val="19"/>
          <w:rFonts w:hint="eastAsia" w:ascii="CESI仿宋-GB2312" w:hAnsi="CESI仿宋-GB2312" w:eastAsia="CESI仿宋-GB2312" w:cs="CESI仿宋-GB2312"/>
          <w:b w:val="0"/>
          <w:bCs w:val="0"/>
          <w:sz w:val="32"/>
          <w:szCs w:val="32"/>
          <w:lang w:val="zh-CN" w:eastAsia="zh-CN"/>
        </w:rPr>
        <w:t>.社会保障和就业（</w:t>
      </w:r>
      <w:r>
        <w:rPr>
          <w:rStyle w:val="19"/>
          <w:rFonts w:hint="eastAsia" w:ascii="CESI仿宋-GB2312" w:hAnsi="CESI仿宋-GB2312" w:eastAsia="CESI仿宋-GB2312" w:cs="CESI仿宋-GB2312"/>
          <w:b w:val="0"/>
          <w:bCs w:val="0"/>
          <w:sz w:val="32"/>
          <w:szCs w:val="32"/>
          <w:lang w:val="en-US" w:eastAsia="zh-CN"/>
        </w:rPr>
        <w:t>205</w:t>
      </w:r>
      <w:r>
        <w:rPr>
          <w:rStyle w:val="19"/>
          <w:rFonts w:hint="eastAsia" w:ascii="CESI仿宋-GB2312" w:hAnsi="CESI仿宋-GB2312" w:eastAsia="CESI仿宋-GB2312" w:cs="CESI仿宋-GB2312"/>
          <w:b w:val="0"/>
          <w:bCs w:val="0"/>
          <w:sz w:val="32"/>
          <w:szCs w:val="32"/>
          <w:lang w:val="zh-CN" w:eastAsia="zh-CN"/>
        </w:rPr>
        <w:t>类）</w:t>
      </w:r>
      <w:r>
        <w:rPr>
          <w:rStyle w:val="19"/>
          <w:rFonts w:hint="eastAsia" w:ascii="CESI仿宋-GB2312" w:hAnsi="CESI仿宋-GB2312" w:eastAsia="CESI仿宋-GB2312" w:cs="CESI仿宋-GB2312"/>
          <w:b w:val="0"/>
          <w:bCs w:val="0"/>
          <w:sz w:val="32"/>
          <w:szCs w:val="32"/>
          <w:lang w:val="en-US" w:eastAsia="zh-CN"/>
        </w:rPr>
        <w:t>残疾人事业</w:t>
      </w:r>
      <w:r>
        <w:rPr>
          <w:rStyle w:val="19"/>
          <w:rFonts w:hint="eastAsia" w:ascii="CESI仿宋-GB2312" w:hAnsi="CESI仿宋-GB2312" w:eastAsia="CESI仿宋-GB2312" w:cs="CESI仿宋-GB2312"/>
          <w:b w:val="0"/>
          <w:bCs w:val="0"/>
          <w:sz w:val="32"/>
          <w:szCs w:val="32"/>
          <w:lang w:val="zh-CN" w:eastAsia="zh-CN"/>
        </w:rPr>
        <w:t>（</w:t>
      </w:r>
      <w:r>
        <w:rPr>
          <w:rStyle w:val="19"/>
          <w:rFonts w:hint="eastAsia" w:ascii="CESI仿宋-GB2312" w:hAnsi="CESI仿宋-GB2312" w:eastAsia="CESI仿宋-GB2312" w:cs="CESI仿宋-GB2312"/>
          <w:b w:val="0"/>
          <w:bCs w:val="0"/>
          <w:sz w:val="32"/>
          <w:szCs w:val="32"/>
          <w:lang w:val="en-US" w:eastAsia="zh-CN"/>
        </w:rPr>
        <w:t>11</w:t>
      </w:r>
      <w:r>
        <w:rPr>
          <w:rStyle w:val="19"/>
          <w:rFonts w:hint="eastAsia" w:ascii="CESI仿宋-GB2312" w:hAnsi="CESI仿宋-GB2312" w:eastAsia="CESI仿宋-GB2312" w:cs="CESI仿宋-GB2312"/>
          <w:b w:val="0"/>
          <w:bCs w:val="0"/>
          <w:sz w:val="32"/>
          <w:szCs w:val="32"/>
          <w:lang w:val="zh-CN" w:eastAsia="zh-CN"/>
        </w:rPr>
        <w:t>款）:</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14</w:t>
      </w:r>
      <w:r>
        <w:rPr>
          <w:rFonts w:hint="eastAsia" w:ascii="CESI仿宋-GB2312" w:hAnsi="CESI仿宋-GB2312" w:eastAsia="CESI仿宋-GB2312" w:cs="CESI仿宋-GB2312"/>
          <w:b w:val="0"/>
          <w:bCs w:val="0"/>
          <w:sz w:val="32"/>
          <w:szCs w:val="32"/>
          <w:lang w:val="zh-CN"/>
        </w:rPr>
        <w:t>万元，完成预算100%。决算数等于预算数。</w:t>
      </w:r>
      <w:r>
        <w:rPr>
          <w:rFonts w:hint="eastAsia" w:ascii="CESI仿宋-GB2312" w:hAnsi="CESI仿宋-GB2312" w:eastAsia="CESI仿宋-GB2312" w:cs="CESI仿宋-GB2312"/>
          <w:b w:val="0"/>
          <w:bCs w:val="0"/>
          <w:sz w:val="32"/>
          <w:szCs w:val="32"/>
          <w:lang w:val="en-US" w:eastAsia="zh-CN"/>
        </w:rPr>
        <w:t>其他残疾人事业支出</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99</w:t>
      </w:r>
      <w:r>
        <w:rPr>
          <w:rFonts w:hint="eastAsia" w:ascii="CESI仿宋-GB2312" w:hAnsi="CESI仿宋-GB2312" w:eastAsia="CESI仿宋-GB2312" w:cs="CESI仿宋-GB2312"/>
          <w:b w:val="0"/>
          <w:bCs w:val="0"/>
          <w:sz w:val="32"/>
          <w:szCs w:val="32"/>
          <w:lang w:val="zh-CN"/>
        </w:rPr>
        <w:t>项）：支出决算为</w:t>
      </w:r>
      <w:r>
        <w:rPr>
          <w:rFonts w:hint="eastAsia" w:ascii="CESI仿宋-GB2312" w:hAnsi="CESI仿宋-GB2312" w:eastAsia="CESI仿宋-GB2312" w:cs="CESI仿宋-GB2312"/>
          <w:b w:val="0"/>
          <w:bCs w:val="0"/>
          <w:sz w:val="32"/>
          <w:szCs w:val="32"/>
          <w:lang w:val="en-US" w:eastAsia="zh-CN"/>
        </w:rPr>
        <w:t>14</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4.</w:t>
      </w:r>
      <w:r>
        <w:rPr>
          <w:rFonts w:hint="eastAsia" w:ascii="CESI仿宋-GB2312" w:hAnsi="CESI仿宋-GB2312" w:eastAsia="CESI仿宋-GB2312" w:cs="CESI仿宋-GB2312"/>
          <w:b w:val="0"/>
          <w:bCs w:val="0"/>
          <w:sz w:val="32"/>
          <w:szCs w:val="32"/>
          <w:lang w:val="zh-CN"/>
        </w:rPr>
        <w:t>卫生健康支出（</w:t>
      </w:r>
      <w:r>
        <w:rPr>
          <w:rFonts w:hint="eastAsia" w:ascii="CESI仿宋-GB2312" w:hAnsi="CESI仿宋-GB2312" w:eastAsia="CESI仿宋-GB2312" w:cs="CESI仿宋-GB2312"/>
          <w:b w:val="0"/>
          <w:bCs w:val="0"/>
          <w:sz w:val="32"/>
          <w:szCs w:val="32"/>
          <w:lang w:val="en-US" w:eastAsia="zh-CN"/>
        </w:rPr>
        <w:t>210</w:t>
      </w:r>
      <w:r>
        <w:rPr>
          <w:rFonts w:hint="eastAsia" w:ascii="CESI仿宋-GB2312" w:hAnsi="CESI仿宋-GB2312" w:eastAsia="CESI仿宋-GB2312" w:cs="CESI仿宋-GB2312"/>
          <w:b w:val="0"/>
          <w:bCs w:val="0"/>
          <w:sz w:val="32"/>
          <w:szCs w:val="32"/>
          <w:lang w:val="zh-CN"/>
        </w:rPr>
        <w:t>类）卫生健康管理事务（</w:t>
      </w:r>
      <w:r>
        <w:rPr>
          <w:rFonts w:hint="eastAsia" w:ascii="CESI仿宋-GB2312" w:hAnsi="CESI仿宋-GB2312" w:eastAsia="CESI仿宋-GB2312" w:cs="CESI仿宋-GB2312"/>
          <w:b w:val="0"/>
          <w:bCs w:val="0"/>
          <w:sz w:val="32"/>
          <w:szCs w:val="32"/>
          <w:lang w:val="en-US" w:eastAsia="zh-CN"/>
        </w:rPr>
        <w:t>01</w:t>
      </w:r>
      <w:r>
        <w:rPr>
          <w:rFonts w:hint="eastAsia" w:ascii="CESI仿宋-GB2312" w:hAnsi="CESI仿宋-GB2312" w:eastAsia="CESI仿宋-GB2312" w:cs="CESI仿宋-GB2312"/>
          <w:b w:val="0"/>
          <w:bCs w:val="0"/>
          <w:sz w:val="32"/>
          <w:szCs w:val="32"/>
          <w:lang w:val="zh-CN"/>
        </w:rPr>
        <w:t>款）</w:t>
      </w:r>
      <w:r>
        <w:rPr>
          <w:rFonts w:hint="eastAsia" w:ascii="CESI仿宋-GB2312" w:hAnsi="CESI仿宋-GB2312" w:eastAsia="CESI仿宋-GB2312" w:cs="CESI仿宋-GB2312"/>
          <w:b w:val="0"/>
          <w:bCs w:val="0"/>
          <w:sz w:val="32"/>
          <w:szCs w:val="32"/>
          <w:lang w:val="zh-CN" w:eastAsia="zh-CN"/>
        </w:rPr>
        <w:t>：</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332.68</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1</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行政运行（01项）: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310.6</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2</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机关服务（03项）: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22.08</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5.</w:t>
      </w:r>
      <w:r>
        <w:rPr>
          <w:rFonts w:hint="eastAsia" w:ascii="CESI仿宋-GB2312" w:hAnsi="CESI仿宋-GB2312" w:eastAsia="CESI仿宋-GB2312" w:cs="CESI仿宋-GB2312"/>
          <w:b w:val="0"/>
          <w:bCs w:val="0"/>
          <w:sz w:val="32"/>
          <w:szCs w:val="32"/>
          <w:lang w:val="zh-CN"/>
        </w:rPr>
        <w:t>卫生健康支出（</w:t>
      </w:r>
      <w:r>
        <w:rPr>
          <w:rFonts w:hint="eastAsia" w:ascii="CESI仿宋-GB2312" w:hAnsi="CESI仿宋-GB2312" w:eastAsia="CESI仿宋-GB2312" w:cs="CESI仿宋-GB2312"/>
          <w:b w:val="0"/>
          <w:bCs w:val="0"/>
          <w:sz w:val="32"/>
          <w:szCs w:val="32"/>
          <w:lang w:val="en-US" w:eastAsia="zh-CN"/>
        </w:rPr>
        <w:t>210</w:t>
      </w:r>
      <w:r>
        <w:rPr>
          <w:rFonts w:hint="eastAsia" w:ascii="CESI仿宋-GB2312" w:hAnsi="CESI仿宋-GB2312" w:eastAsia="CESI仿宋-GB2312" w:cs="CESI仿宋-GB2312"/>
          <w:b w:val="0"/>
          <w:bCs w:val="0"/>
          <w:sz w:val="32"/>
          <w:szCs w:val="32"/>
          <w:lang w:val="zh-CN"/>
        </w:rPr>
        <w:t>类）公立医院（</w:t>
      </w:r>
      <w:r>
        <w:rPr>
          <w:rFonts w:hint="eastAsia" w:ascii="CESI仿宋-GB2312" w:hAnsi="CESI仿宋-GB2312" w:eastAsia="CESI仿宋-GB2312" w:cs="CESI仿宋-GB2312"/>
          <w:b w:val="0"/>
          <w:bCs w:val="0"/>
          <w:sz w:val="32"/>
          <w:szCs w:val="32"/>
          <w:lang w:val="en-US" w:eastAsia="zh-CN"/>
        </w:rPr>
        <w:t>02</w:t>
      </w:r>
      <w:r>
        <w:rPr>
          <w:rFonts w:hint="eastAsia" w:ascii="CESI仿宋-GB2312" w:hAnsi="CESI仿宋-GB2312" w:eastAsia="CESI仿宋-GB2312" w:cs="CESI仿宋-GB2312"/>
          <w:b w:val="0"/>
          <w:bCs w:val="0"/>
          <w:sz w:val="32"/>
          <w:szCs w:val="32"/>
          <w:lang w:val="zh-CN"/>
        </w:rPr>
        <w:t>款）</w:t>
      </w:r>
      <w:r>
        <w:rPr>
          <w:rFonts w:hint="eastAsia" w:ascii="CESI仿宋-GB2312" w:hAnsi="CESI仿宋-GB2312" w:eastAsia="CESI仿宋-GB2312" w:cs="CESI仿宋-GB2312"/>
          <w:b w:val="0"/>
          <w:bCs w:val="0"/>
          <w:sz w:val="32"/>
          <w:szCs w:val="32"/>
          <w:lang w:val="zh-CN" w:eastAsia="zh-CN"/>
        </w:rPr>
        <w:t>：</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2681.78</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1</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综合医院（01项）: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1,643.12</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2</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中医（民族）医院（02项）: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841.48</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3</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其他公立医院支出（99项）: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197.18</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6</w:t>
      </w:r>
      <w:r>
        <w:rPr>
          <w:rFonts w:hint="eastAsia" w:ascii="CESI仿宋-GB2312" w:hAnsi="CESI仿宋-GB2312" w:eastAsia="CESI仿宋-GB2312" w:cs="CESI仿宋-GB2312"/>
          <w:b w:val="0"/>
          <w:bCs w:val="0"/>
          <w:sz w:val="32"/>
          <w:szCs w:val="32"/>
          <w:lang w:val="zh-CN"/>
        </w:rPr>
        <w:t>.卫生健康支出（</w:t>
      </w:r>
      <w:r>
        <w:rPr>
          <w:rFonts w:hint="eastAsia" w:ascii="CESI仿宋-GB2312" w:hAnsi="CESI仿宋-GB2312" w:eastAsia="CESI仿宋-GB2312" w:cs="CESI仿宋-GB2312"/>
          <w:b w:val="0"/>
          <w:bCs w:val="0"/>
          <w:sz w:val="32"/>
          <w:szCs w:val="32"/>
          <w:lang w:val="en-US" w:eastAsia="zh-CN"/>
        </w:rPr>
        <w:t>210</w:t>
      </w:r>
      <w:r>
        <w:rPr>
          <w:rFonts w:hint="eastAsia" w:ascii="CESI仿宋-GB2312" w:hAnsi="CESI仿宋-GB2312" w:eastAsia="CESI仿宋-GB2312" w:cs="CESI仿宋-GB2312"/>
          <w:b w:val="0"/>
          <w:bCs w:val="0"/>
          <w:sz w:val="32"/>
          <w:szCs w:val="32"/>
          <w:lang w:val="zh-CN"/>
        </w:rPr>
        <w:t>类）基层医疗卫生机构（</w:t>
      </w:r>
      <w:r>
        <w:rPr>
          <w:rFonts w:hint="eastAsia" w:ascii="CESI仿宋-GB2312" w:hAnsi="CESI仿宋-GB2312" w:eastAsia="CESI仿宋-GB2312" w:cs="CESI仿宋-GB2312"/>
          <w:b w:val="0"/>
          <w:bCs w:val="0"/>
          <w:sz w:val="32"/>
          <w:szCs w:val="32"/>
          <w:lang w:val="en-US" w:eastAsia="zh-CN"/>
        </w:rPr>
        <w:t>03</w:t>
      </w:r>
      <w:r>
        <w:rPr>
          <w:rFonts w:hint="eastAsia" w:ascii="CESI仿宋-GB2312" w:hAnsi="CESI仿宋-GB2312" w:eastAsia="CESI仿宋-GB2312" w:cs="CESI仿宋-GB2312"/>
          <w:b w:val="0"/>
          <w:bCs w:val="0"/>
          <w:sz w:val="32"/>
          <w:szCs w:val="32"/>
          <w:lang w:val="zh-CN"/>
        </w:rPr>
        <w:t>款）</w:t>
      </w:r>
      <w:r>
        <w:rPr>
          <w:rFonts w:hint="eastAsia" w:ascii="CESI仿宋-GB2312" w:hAnsi="CESI仿宋-GB2312" w:eastAsia="CESI仿宋-GB2312" w:cs="CESI仿宋-GB2312"/>
          <w:b w:val="0"/>
          <w:bCs w:val="0"/>
          <w:sz w:val="32"/>
          <w:szCs w:val="32"/>
          <w:lang w:val="zh-CN" w:eastAsia="zh-CN"/>
        </w:rPr>
        <w:t>：</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2892.25</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1</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城市社区卫生机构（01项）: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276.8</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2</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乡镇卫生院（02项）: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2,265.77</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3</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其他基层医疗卫生机构支出（99项）: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349.68</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7.</w:t>
      </w:r>
      <w:r>
        <w:rPr>
          <w:rFonts w:hint="eastAsia" w:ascii="CESI仿宋-GB2312" w:hAnsi="CESI仿宋-GB2312" w:eastAsia="CESI仿宋-GB2312" w:cs="CESI仿宋-GB2312"/>
          <w:b w:val="0"/>
          <w:bCs w:val="0"/>
          <w:sz w:val="32"/>
          <w:szCs w:val="32"/>
          <w:lang w:val="zh-CN"/>
        </w:rPr>
        <w:t>卫生健康支出（</w:t>
      </w:r>
      <w:r>
        <w:rPr>
          <w:rFonts w:hint="eastAsia" w:ascii="CESI仿宋-GB2312" w:hAnsi="CESI仿宋-GB2312" w:eastAsia="CESI仿宋-GB2312" w:cs="CESI仿宋-GB2312"/>
          <w:b w:val="0"/>
          <w:bCs w:val="0"/>
          <w:sz w:val="32"/>
          <w:szCs w:val="32"/>
          <w:lang w:val="en-US" w:eastAsia="zh-CN"/>
        </w:rPr>
        <w:t>210</w:t>
      </w:r>
      <w:r>
        <w:rPr>
          <w:rFonts w:hint="eastAsia" w:ascii="CESI仿宋-GB2312" w:hAnsi="CESI仿宋-GB2312" w:eastAsia="CESI仿宋-GB2312" w:cs="CESI仿宋-GB2312"/>
          <w:b w:val="0"/>
          <w:bCs w:val="0"/>
          <w:sz w:val="32"/>
          <w:szCs w:val="32"/>
          <w:lang w:val="zh-CN"/>
        </w:rPr>
        <w:t>类）公共卫生（</w:t>
      </w:r>
      <w:r>
        <w:rPr>
          <w:rFonts w:hint="eastAsia" w:ascii="CESI仿宋-GB2312" w:hAnsi="CESI仿宋-GB2312" w:eastAsia="CESI仿宋-GB2312" w:cs="CESI仿宋-GB2312"/>
          <w:b w:val="0"/>
          <w:bCs w:val="0"/>
          <w:sz w:val="32"/>
          <w:szCs w:val="32"/>
          <w:lang w:val="en-US" w:eastAsia="zh-CN"/>
        </w:rPr>
        <w:t>04</w:t>
      </w:r>
      <w:r>
        <w:rPr>
          <w:rFonts w:hint="eastAsia" w:ascii="CESI仿宋-GB2312" w:hAnsi="CESI仿宋-GB2312" w:eastAsia="CESI仿宋-GB2312" w:cs="CESI仿宋-GB2312"/>
          <w:b w:val="0"/>
          <w:bCs w:val="0"/>
          <w:sz w:val="32"/>
          <w:szCs w:val="32"/>
          <w:lang w:val="zh-CN"/>
        </w:rPr>
        <w:t>款）</w:t>
      </w:r>
      <w:r>
        <w:rPr>
          <w:rFonts w:hint="eastAsia" w:ascii="CESI仿宋-GB2312" w:hAnsi="CESI仿宋-GB2312" w:eastAsia="CESI仿宋-GB2312" w:cs="CESI仿宋-GB2312"/>
          <w:b w:val="0"/>
          <w:bCs w:val="0"/>
          <w:sz w:val="32"/>
          <w:szCs w:val="32"/>
          <w:lang w:val="zh-CN" w:eastAsia="zh-CN"/>
        </w:rPr>
        <w:t>：</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2295.11</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1</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基本公共卫生服务（08项）: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1,485.95</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（2）重大公共卫生服务（09项）: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783.6</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（3）其他公共卫生支出（99项）: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25.56</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8</w:t>
      </w:r>
      <w:r>
        <w:rPr>
          <w:rFonts w:hint="eastAsia" w:ascii="CESI仿宋-GB2312" w:hAnsi="CESI仿宋-GB2312" w:eastAsia="CESI仿宋-GB2312" w:cs="CESI仿宋-GB2312"/>
          <w:b w:val="0"/>
          <w:bCs w:val="0"/>
          <w:sz w:val="32"/>
          <w:szCs w:val="32"/>
          <w:lang w:val="zh-CN"/>
        </w:rPr>
        <w:t>.卫生健康支出（</w:t>
      </w:r>
      <w:r>
        <w:rPr>
          <w:rFonts w:hint="eastAsia" w:ascii="CESI仿宋-GB2312" w:hAnsi="CESI仿宋-GB2312" w:eastAsia="CESI仿宋-GB2312" w:cs="CESI仿宋-GB2312"/>
          <w:b w:val="0"/>
          <w:bCs w:val="0"/>
          <w:sz w:val="32"/>
          <w:szCs w:val="32"/>
          <w:lang w:val="en-US" w:eastAsia="zh-CN"/>
        </w:rPr>
        <w:t>210</w:t>
      </w:r>
      <w:r>
        <w:rPr>
          <w:rFonts w:hint="eastAsia" w:ascii="CESI仿宋-GB2312" w:hAnsi="CESI仿宋-GB2312" w:eastAsia="CESI仿宋-GB2312" w:cs="CESI仿宋-GB2312"/>
          <w:b w:val="0"/>
          <w:bCs w:val="0"/>
          <w:sz w:val="32"/>
          <w:szCs w:val="32"/>
          <w:lang w:val="zh-CN"/>
        </w:rPr>
        <w:t>类）中医药（</w:t>
      </w:r>
      <w:r>
        <w:rPr>
          <w:rFonts w:hint="eastAsia" w:ascii="CESI仿宋-GB2312" w:hAnsi="CESI仿宋-GB2312" w:eastAsia="CESI仿宋-GB2312" w:cs="CESI仿宋-GB2312"/>
          <w:b w:val="0"/>
          <w:bCs w:val="0"/>
          <w:sz w:val="32"/>
          <w:szCs w:val="32"/>
          <w:lang w:val="en-US" w:eastAsia="zh-CN"/>
        </w:rPr>
        <w:t>06</w:t>
      </w:r>
      <w:r>
        <w:rPr>
          <w:rFonts w:hint="eastAsia" w:ascii="CESI仿宋-GB2312" w:hAnsi="CESI仿宋-GB2312" w:eastAsia="CESI仿宋-GB2312" w:cs="CESI仿宋-GB2312"/>
          <w:b w:val="0"/>
          <w:bCs w:val="0"/>
          <w:sz w:val="32"/>
          <w:szCs w:val="32"/>
          <w:lang w:val="zh-CN"/>
        </w:rPr>
        <w:t>款）中医（民族医）药专项（</w:t>
      </w:r>
      <w:r>
        <w:rPr>
          <w:rFonts w:hint="eastAsia" w:ascii="CESI仿宋-GB2312" w:hAnsi="CESI仿宋-GB2312" w:eastAsia="CESI仿宋-GB2312" w:cs="CESI仿宋-GB2312"/>
          <w:b w:val="0"/>
          <w:bCs w:val="0"/>
          <w:sz w:val="32"/>
          <w:szCs w:val="32"/>
          <w:lang w:val="en-US" w:eastAsia="zh-CN"/>
        </w:rPr>
        <w:t>01</w:t>
      </w:r>
      <w:r>
        <w:rPr>
          <w:rFonts w:hint="eastAsia" w:ascii="CESI仿宋-GB2312" w:hAnsi="CESI仿宋-GB2312" w:eastAsia="CESI仿宋-GB2312" w:cs="CESI仿宋-GB2312"/>
          <w:b w:val="0"/>
          <w:bCs w:val="0"/>
          <w:sz w:val="32"/>
          <w:szCs w:val="32"/>
          <w:lang w:val="zh-CN"/>
        </w:rPr>
        <w:t>项）:支出决算为</w:t>
      </w:r>
      <w:r>
        <w:rPr>
          <w:rFonts w:hint="eastAsia" w:ascii="CESI仿宋-GB2312" w:hAnsi="CESI仿宋-GB2312" w:eastAsia="CESI仿宋-GB2312" w:cs="CESI仿宋-GB2312"/>
          <w:b w:val="0"/>
          <w:bCs w:val="0"/>
          <w:sz w:val="32"/>
          <w:szCs w:val="32"/>
          <w:lang w:val="en-US" w:eastAsia="zh-CN"/>
        </w:rPr>
        <w:t>209.76</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9</w:t>
      </w:r>
      <w:r>
        <w:rPr>
          <w:rFonts w:hint="eastAsia" w:ascii="CESI仿宋-GB2312" w:hAnsi="CESI仿宋-GB2312" w:eastAsia="CESI仿宋-GB2312" w:cs="CESI仿宋-GB2312"/>
          <w:b w:val="0"/>
          <w:bCs w:val="0"/>
          <w:sz w:val="32"/>
          <w:szCs w:val="32"/>
          <w:lang w:val="zh-CN"/>
        </w:rPr>
        <w:t>.卫生健康支出（</w:t>
      </w:r>
      <w:r>
        <w:rPr>
          <w:rFonts w:hint="eastAsia" w:ascii="CESI仿宋-GB2312" w:hAnsi="CESI仿宋-GB2312" w:eastAsia="CESI仿宋-GB2312" w:cs="CESI仿宋-GB2312"/>
          <w:b w:val="0"/>
          <w:bCs w:val="0"/>
          <w:sz w:val="32"/>
          <w:szCs w:val="32"/>
          <w:lang w:val="en-US" w:eastAsia="zh-CN"/>
        </w:rPr>
        <w:t>210</w:t>
      </w:r>
      <w:r>
        <w:rPr>
          <w:rFonts w:hint="eastAsia" w:ascii="CESI仿宋-GB2312" w:hAnsi="CESI仿宋-GB2312" w:eastAsia="CESI仿宋-GB2312" w:cs="CESI仿宋-GB2312"/>
          <w:b w:val="0"/>
          <w:bCs w:val="0"/>
          <w:sz w:val="32"/>
          <w:szCs w:val="32"/>
          <w:lang w:val="zh-CN"/>
        </w:rPr>
        <w:t>类）计划生育事务（</w:t>
      </w:r>
      <w:r>
        <w:rPr>
          <w:rFonts w:hint="eastAsia" w:ascii="CESI仿宋-GB2312" w:hAnsi="CESI仿宋-GB2312" w:eastAsia="CESI仿宋-GB2312" w:cs="CESI仿宋-GB2312"/>
          <w:b w:val="0"/>
          <w:bCs w:val="0"/>
          <w:sz w:val="32"/>
          <w:szCs w:val="32"/>
          <w:lang w:val="en-US" w:eastAsia="zh-CN"/>
        </w:rPr>
        <w:t>07</w:t>
      </w:r>
      <w:r>
        <w:rPr>
          <w:rFonts w:hint="eastAsia" w:ascii="CESI仿宋-GB2312" w:hAnsi="CESI仿宋-GB2312" w:eastAsia="CESI仿宋-GB2312" w:cs="CESI仿宋-GB2312"/>
          <w:b w:val="0"/>
          <w:bCs w:val="0"/>
          <w:sz w:val="32"/>
          <w:szCs w:val="32"/>
          <w:lang w:val="zh-CN"/>
        </w:rPr>
        <w:t>款）:支出决算为</w:t>
      </w:r>
      <w:r>
        <w:rPr>
          <w:rFonts w:hint="eastAsia" w:ascii="CESI仿宋-GB2312" w:hAnsi="CESI仿宋-GB2312" w:eastAsia="CESI仿宋-GB2312" w:cs="CESI仿宋-GB2312"/>
          <w:b w:val="0"/>
          <w:bCs w:val="0"/>
          <w:sz w:val="32"/>
          <w:szCs w:val="32"/>
          <w:lang w:val="en-US" w:eastAsia="zh-CN"/>
        </w:rPr>
        <w:t>1146.63</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1</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计划生育服务（17项）: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53.91</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2</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其他计划生育事务支出（99项）: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1092.72</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highlight w:val="none"/>
          <w:lang w:val="en-US" w:eastAsia="zh-CN"/>
        </w:rPr>
        <w:t>10.</w:t>
      </w:r>
      <w:r>
        <w:rPr>
          <w:rFonts w:hint="eastAsia" w:ascii="CESI仿宋-GB2312" w:hAnsi="CESI仿宋-GB2312" w:eastAsia="CESI仿宋-GB2312" w:cs="CESI仿宋-GB2312"/>
          <w:b w:val="0"/>
          <w:bCs w:val="0"/>
          <w:sz w:val="32"/>
          <w:szCs w:val="32"/>
          <w:highlight w:val="none"/>
          <w:lang w:val="zh-CN"/>
        </w:rPr>
        <w:t>卫生健康支出（</w:t>
      </w:r>
      <w:r>
        <w:rPr>
          <w:rFonts w:hint="eastAsia" w:ascii="CESI仿宋-GB2312" w:hAnsi="CESI仿宋-GB2312" w:eastAsia="CESI仿宋-GB2312" w:cs="CESI仿宋-GB2312"/>
          <w:b w:val="0"/>
          <w:bCs w:val="0"/>
          <w:sz w:val="32"/>
          <w:szCs w:val="32"/>
          <w:highlight w:val="none"/>
          <w:lang w:val="en-US" w:eastAsia="zh-CN"/>
        </w:rPr>
        <w:t>210</w:t>
      </w:r>
      <w:r>
        <w:rPr>
          <w:rFonts w:hint="eastAsia" w:ascii="CESI仿宋-GB2312" w:hAnsi="CESI仿宋-GB2312" w:eastAsia="CESI仿宋-GB2312" w:cs="CESI仿宋-GB2312"/>
          <w:b w:val="0"/>
          <w:bCs w:val="0"/>
          <w:sz w:val="32"/>
          <w:szCs w:val="32"/>
          <w:highlight w:val="none"/>
          <w:lang w:val="zh-CN"/>
        </w:rPr>
        <w:t>类）行政事业单位医疗（</w:t>
      </w:r>
      <w:r>
        <w:rPr>
          <w:rFonts w:hint="eastAsia" w:ascii="CESI仿宋-GB2312" w:hAnsi="CESI仿宋-GB2312" w:eastAsia="CESI仿宋-GB2312" w:cs="CESI仿宋-GB2312"/>
          <w:b w:val="0"/>
          <w:bCs w:val="0"/>
          <w:sz w:val="32"/>
          <w:szCs w:val="32"/>
          <w:highlight w:val="none"/>
          <w:lang w:val="en-US" w:eastAsia="zh-CN"/>
        </w:rPr>
        <w:t>11</w:t>
      </w:r>
      <w:r>
        <w:rPr>
          <w:rFonts w:hint="eastAsia" w:ascii="CESI仿宋-GB2312" w:hAnsi="CESI仿宋-GB2312" w:eastAsia="CESI仿宋-GB2312" w:cs="CESI仿宋-GB2312"/>
          <w:b w:val="0"/>
          <w:bCs w:val="0"/>
          <w:sz w:val="32"/>
          <w:szCs w:val="32"/>
          <w:highlight w:val="none"/>
          <w:lang w:val="zh-CN"/>
        </w:rPr>
        <w:t>款</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647.41</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1</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行政单位医疗（01项）:支</w:t>
      </w:r>
      <w:r>
        <w:rPr>
          <w:rFonts w:hint="eastAsia" w:ascii="CESI仿宋-GB2312" w:hAnsi="CESI仿宋-GB2312" w:eastAsia="CESI仿宋-GB2312" w:cs="CESI仿宋-GB2312"/>
          <w:b w:val="0"/>
          <w:bCs w:val="0"/>
          <w:sz w:val="32"/>
          <w:szCs w:val="32"/>
          <w:lang w:val="zh-CN"/>
        </w:rPr>
        <w:t>出决算为</w:t>
      </w:r>
      <w:r>
        <w:rPr>
          <w:rFonts w:hint="eastAsia" w:ascii="CESI仿宋-GB2312" w:hAnsi="CESI仿宋-GB2312" w:eastAsia="CESI仿宋-GB2312" w:cs="CESI仿宋-GB2312"/>
          <w:b w:val="0"/>
          <w:bCs w:val="0"/>
          <w:sz w:val="32"/>
          <w:szCs w:val="32"/>
          <w:lang w:val="en-US" w:eastAsia="zh-CN"/>
        </w:rPr>
        <w:t>20.04</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2</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事业单位医疗（02项）: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381.70</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3</w:t>
      </w:r>
      <w:r>
        <w:rPr>
          <w:rFonts w:hint="eastAsia" w:ascii="CESI仿宋-GB2312" w:hAnsi="CESI仿宋-GB2312" w:eastAsia="CESI仿宋-GB2312" w:cs="CESI仿宋-GB2312"/>
          <w:b w:val="0"/>
          <w:bCs w:val="0"/>
          <w:sz w:val="32"/>
          <w:szCs w:val="32"/>
          <w:lang w:val="zh-CN"/>
        </w:rPr>
        <w:t>）</w:t>
      </w:r>
      <w:r>
        <w:rPr>
          <w:rFonts w:hint="eastAsia" w:ascii="CESI仿宋-GB2312" w:hAnsi="CESI仿宋-GB2312" w:eastAsia="CESI仿宋-GB2312" w:cs="CESI仿宋-GB2312"/>
          <w:b w:val="0"/>
          <w:bCs w:val="0"/>
          <w:sz w:val="32"/>
          <w:szCs w:val="32"/>
          <w:lang w:val="en-US" w:eastAsia="zh-CN"/>
        </w:rPr>
        <w:t>公务员医疗补助（03项）: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2.05</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（4）其他行政事业单位医疗支出（99项）: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243.62</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11</w:t>
      </w:r>
      <w:r>
        <w:rPr>
          <w:rFonts w:hint="eastAsia" w:ascii="CESI仿宋-GB2312" w:hAnsi="CESI仿宋-GB2312" w:eastAsia="CESI仿宋-GB2312" w:cs="CESI仿宋-GB2312"/>
          <w:b w:val="0"/>
          <w:bCs w:val="0"/>
          <w:sz w:val="32"/>
          <w:szCs w:val="32"/>
          <w:lang w:val="zh-CN"/>
        </w:rPr>
        <w:t>.卫生健康支出（</w:t>
      </w:r>
      <w:r>
        <w:rPr>
          <w:rFonts w:hint="eastAsia" w:ascii="CESI仿宋-GB2312" w:hAnsi="CESI仿宋-GB2312" w:eastAsia="CESI仿宋-GB2312" w:cs="CESI仿宋-GB2312"/>
          <w:b w:val="0"/>
          <w:bCs w:val="0"/>
          <w:sz w:val="32"/>
          <w:szCs w:val="32"/>
          <w:lang w:val="en-US" w:eastAsia="zh-CN"/>
        </w:rPr>
        <w:t>210</w:t>
      </w:r>
      <w:r>
        <w:rPr>
          <w:rFonts w:hint="eastAsia" w:ascii="CESI仿宋-GB2312" w:hAnsi="CESI仿宋-GB2312" w:eastAsia="CESI仿宋-GB2312" w:cs="CESI仿宋-GB2312"/>
          <w:b w:val="0"/>
          <w:bCs w:val="0"/>
          <w:sz w:val="32"/>
          <w:szCs w:val="32"/>
          <w:lang w:val="zh-CN"/>
        </w:rPr>
        <w:t>类）其他卫生健康支出（</w:t>
      </w:r>
      <w:r>
        <w:rPr>
          <w:rFonts w:hint="eastAsia" w:ascii="CESI仿宋-GB2312" w:hAnsi="CESI仿宋-GB2312" w:eastAsia="CESI仿宋-GB2312" w:cs="CESI仿宋-GB2312"/>
          <w:b w:val="0"/>
          <w:bCs w:val="0"/>
          <w:sz w:val="32"/>
          <w:szCs w:val="32"/>
          <w:lang w:val="en-US" w:eastAsia="zh-CN"/>
        </w:rPr>
        <w:t>99</w:t>
      </w:r>
      <w:r>
        <w:rPr>
          <w:rFonts w:hint="eastAsia" w:ascii="CESI仿宋-GB2312" w:hAnsi="CESI仿宋-GB2312" w:eastAsia="CESI仿宋-GB2312" w:cs="CESI仿宋-GB2312"/>
          <w:b w:val="0"/>
          <w:bCs w:val="0"/>
          <w:sz w:val="32"/>
          <w:szCs w:val="32"/>
          <w:lang w:val="zh-CN"/>
        </w:rPr>
        <w:t>款）其他卫生健康支出（</w:t>
      </w:r>
      <w:r>
        <w:rPr>
          <w:rFonts w:hint="eastAsia" w:ascii="CESI仿宋-GB2312" w:hAnsi="CESI仿宋-GB2312" w:eastAsia="CESI仿宋-GB2312" w:cs="CESI仿宋-GB2312"/>
          <w:b w:val="0"/>
          <w:bCs w:val="0"/>
          <w:sz w:val="32"/>
          <w:szCs w:val="32"/>
          <w:lang w:val="en-US" w:eastAsia="zh-CN"/>
        </w:rPr>
        <w:t>99</w:t>
      </w:r>
      <w:r>
        <w:rPr>
          <w:rFonts w:hint="eastAsia" w:ascii="CESI仿宋-GB2312" w:hAnsi="CESI仿宋-GB2312" w:eastAsia="CESI仿宋-GB2312" w:cs="CESI仿宋-GB2312"/>
          <w:b w:val="0"/>
          <w:bCs w:val="0"/>
          <w:sz w:val="32"/>
          <w:szCs w:val="32"/>
          <w:lang w:val="zh-CN"/>
        </w:rPr>
        <w:t>项）:支出决算为</w:t>
      </w:r>
      <w:r>
        <w:rPr>
          <w:rFonts w:hint="eastAsia" w:ascii="CESI仿宋-GB2312" w:hAnsi="CESI仿宋-GB2312" w:eastAsia="CESI仿宋-GB2312" w:cs="CESI仿宋-GB2312"/>
          <w:b w:val="0"/>
          <w:bCs w:val="0"/>
          <w:sz w:val="32"/>
          <w:szCs w:val="32"/>
          <w:lang w:val="en-US" w:eastAsia="zh-CN"/>
        </w:rPr>
        <w:t>2591.39</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12</w:t>
      </w:r>
      <w:r>
        <w:rPr>
          <w:rFonts w:hint="eastAsia" w:ascii="CESI仿宋-GB2312" w:hAnsi="CESI仿宋-GB2312" w:eastAsia="CESI仿宋-GB2312" w:cs="CESI仿宋-GB2312"/>
          <w:b w:val="0"/>
          <w:bCs w:val="0"/>
          <w:sz w:val="32"/>
          <w:szCs w:val="32"/>
          <w:lang w:val="zh-CN"/>
        </w:rPr>
        <w:t>.卫生健康支出（</w:t>
      </w:r>
      <w:r>
        <w:rPr>
          <w:rFonts w:hint="eastAsia" w:ascii="CESI仿宋-GB2312" w:hAnsi="CESI仿宋-GB2312" w:eastAsia="CESI仿宋-GB2312" w:cs="CESI仿宋-GB2312"/>
          <w:b w:val="0"/>
          <w:bCs w:val="0"/>
          <w:sz w:val="32"/>
          <w:szCs w:val="32"/>
          <w:lang w:val="en-US" w:eastAsia="zh-CN"/>
        </w:rPr>
        <w:t>210</w:t>
      </w:r>
      <w:r>
        <w:rPr>
          <w:rFonts w:hint="eastAsia" w:ascii="CESI仿宋-GB2312" w:hAnsi="CESI仿宋-GB2312" w:eastAsia="CESI仿宋-GB2312" w:cs="CESI仿宋-GB2312"/>
          <w:b w:val="0"/>
          <w:bCs w:val="0"/>
          <w:sz w:val="32"/>
          <w:szCs w:val="32"/>
          <w:lang w:val="zh-CN"/>
        </w:rPr>
        <w:t>类）老龄卫生健康事务（</w:t>
      </w:r>
      <w:r>
        <w:rPr>
          <w:rFonts w:hint="eastAsia" w:ascii="CESI仿宋-GB2312" w:hAnsi="CESI仿宋-GB2312" w:eastAsia="CESI仿宋-GB2312" w:cs="CESI仿宋-GB2312"/>
          <w:b w:val="0"/>
          <w:bCs w:val="0"/>
          <w:sz w:val="32"/>
          <w:szCs w:val="32"/>
          <w:lang w:val="en-US" w:eastAsia="zh-CN"/>
        </w:rPr>
        <w:t>16</w:t>
      </w:r>
      <w:r>
        <w:rPr>
          <w:rFonts w:hint="eastAsia" w:ascii="CESI仿宋-GB2312" w:hAnsi="CESI仿宋-GB2312" w:eastAsia="CESI仿宋-GB2312" w:cs="CESI仿宋-GB2312"/>
          <w:b w:val="0"/>
          <w:bCs w:val="0"/>
          <w:sz w:val="32"/>
          <w:szCs w:val="32"/>
          <w:lang w:val="zh-CN"/>
        </w:rPr>
        <w:t>款）老龄卫生健康事务（</w:t>
      </w:r>
      <w:r>
        <w:rPr>
          <w:rFonts w:hint="eastAsia" w:ascii="CESI仿宋-GB2312" w:hAnsi="CESI仿宋-GB2312" w:eastAsia="CESI仿宋-GB2312" w:cs="CESI仿宋-GB2312"/>
          <w:b w:val="0"/>
          <w:bCs w:val="0"/>
          <w:sz w:val="32"/>
          <w:szCs w:val="32"/>
          <w:lang w:val="en-US" w:eastAsia="zh-CN"/>
        </w:rPr>
        <w:t>01</w:t>
      </w:r>
      <w:r>
        <w:rPr>
          <w:rFonts w:hint="eastAsia" w:ascii="CESI仿宋-GB2312" w:hAnsi="CESI仿宋-GB2312" w:eastAsia="CESI仿宋-GB2312" w:cs="CESI仿宋-GB2312"/>
          <w:b w:val="0"/>
          <w:bCs w:val="0"/>
          <w:sz w:val="32"/>
          <w:szCs w:val="32"/>
          <w:lang w:val="zh-CN"/>
        </w:rPr>
        <w:t>项）:支出决算为</w:t>
      </w:r>
      <w:r>
        <w:rPr>
          <w:rFonts w:hint="eastAsia" w:ascii="CESI仿宋-GB2312" w:hAnsi="CESI仿宋-GB2312" w:eastAsia="CESI仿宋-GB2312" w:cs="CESI仿宋-GB2312"/>
          <w:b w:val="0"/>
          <w:bCs w:val="0"/>
          <w:sz w:val="32"/>
          <w:szCs w:val="32"/>
          <w:lang w:val="en-US" w:eastAsia="zh-CN"/>
        </w:rPr>
        <w:t>10</w:t>
      </w:r>
      <w:r>
        <w:rPr>
          <w:rFonts w:hint="eastAsia" w:ascii="CESI仿宋-GB2312" w:hAnsi="CESI仿宋-GB2312" w:eastAsia="CESI仿宋-GB2312" w:cs="CESI仿宋-GB2312"/>
          <w:b w:val="0"/>
          <w:bCs w:val="0"/>
          <w:sz w:val="32"/>
          <w:szCs w:val="32"/>
          <w:lang w:val="zh-CN"/>
        </w:rPr>
        <w:t>万元，完成预算100%，决算数等于预算数。</w:t>
      </w:r>
    </w:p>
    <w:p>
      <w:pPr>
        <w:spacing w:line="600" w:lineRule="exact"/>
        <w:ind w:firstLine="640"/>
        <w:rPr>
          <w:rFonts w:hint="eastAsia" w:ascii="CESI仿宋-GB2312" w:hAnsi="CESI仿宋-GB2312" w:eastAsia="CESI仿宋-GB2312" w:cs="CESI仿宋-GB2312"/>
          <w:b w:val="0"/>
          <w:bCs w:val="0"/>
          <w:sz w:val="32"/>
          <w:szCs w:val="32"/>
          <w:lang w:val="zh-CN"/>
        </w:rPr>
      </w:pPr>
      <w:r>
        <w:rPr>
          <w:rFonts w:hint="eastAsia" w:ascii="CESI仿宋-GB2312" w:hAnsi="CESI仿宋-GB2312" w:eastAsia="CESI仿宋-GB2312" w:cs="CESI仿宋-GB2312"/>
          <w:b w:val="0"/>
          <w:bCs w:val="0"/>
          <w:sz w:val="32"/>
          <w:szCs w:val="32"/>
          <w:lang w:val="en-US" w:eastAsia="zh-CN"/>
        </w:rPr>
        <w:t>13</w:t>
      </w:r>
      <w:r>
        <w:rPr>
          <w:rFonts w:hint="eastAsia" w:ascii="CESI仿宋-GB2312" w:hAnsi="CESI仿宋-GB2312" w:eastAsia="CESI仿宋-GB2312" w:cs="CESI仿宋-GB2312"/>
          <w:b w:val="0"/>
          <w:bCs w:val="0"/>
          <w:sz w:val="32"/>
          <w:szCs w:val="32"/>
          <w:lang w:val="zh-CN" w:eastAsia="zh-CN"/>
        </w:rPr>
        <w:t>.农林水支出（</w:t>
      </w:r>
      <w:r>
        <w:rPr>
          <w:rFonts w:hint="eastAsia" w:ascii="CESI仿宋-GB2312" w:hAnsi="CESI仿宋-GB2312" w:eastAsia="CESI仿宋-GB2312" w:cs="CESI仿宋-GB2312"/>
          <w:b w:val="0"/>
          <w:bCs w:val="0"/>
          <w:sz w:val="32"/>
          <w:szCs w:val="32"/>
          <w:lang w:val="en-US" w:eastAsia="zh-CN"/>
        </w:rPr>
        <w:t>213</w:t>
      </w:r>
      <w:r>
        <w:rPr>
          <w:rFonts w:hint="eastAsia" w:ascii="CESI仿宋-GB2312" w:hAnsi="CESI仿宋-GB2312" w:eastAsia="CESI仿宋-GB2312" w:cs="CESI仿宋-GB2312"/>
          <w:b w:val="0"/>
          <w:bCs w:val="0"/>
          <w:sz w:val="32"/>
          <w:szCs w:val="32"/>
          <w:lang w:val="zh-CN" w:eastAsia="zh-CN"/>
        </w:rPr>
        <w:t>类）</w:t>
      </w:r>
      <w:r>
        <w:rPr>
          <w:rFonts w:hint="eastAsia" w:ascii="CESI仿宋-GB2312" w:hAnsi="CESI仿宋-GB2312" w:eastAsia="CESI仿宋-GB2312" w:cs="CESI仿宋-GB2312"/>
          <w:b w:val="0"/>
          <w:bCs w:val="0"/>
          <w:sz w:val="32"/>
          <w:szCs w:val="32"/>
          <w:lang w:val="en-US" w:eastAsia="zh-CN"/>
        </w:rPr>
        <w:t>巩固脱贫衔接乡村振兴</w:t>
      </w:r>
      <w:r>
        <w:rPr>
          <w:rFonts w:hint="eastAsia" w:ascii="CESI仿宋-GB2312" w:hAnsi="CESI仿宋-GB2312" w:eastAsia="CESI仿宋-GB2312" w:cs="CESI仿宋-GB2312"/>
          <w:b w:val="0"/>
          <w:bCs w:val="0"/>
          <w:sz w:val="32"/>
          <w:szCs w:val="32"/>
          <w:lang w:val="zh-CN" w:eastAsia="zh-CN"/>
        </w:rPr>
        <w:t>（</w:t>
      </w:r>
      <w:r>
        <w:rPr>
          <w:rFonts w:hint="eastAsia" w:ascii="CESI仿宋-GB2312" w:hAnsi="CESI仿宋-GB2312" w:eastAsia="CESI仿宋-GB2312" w:cs="CESI仿宋-GB2312"/>
          <w:b w:val="0"/>
          <w:bCs w:val="0"/>
          <w:sz w:val="32"/>
          <w:szCs w:val="32"/>
          <w:lang w:val="en-US" w:eastAsia="zh-CN"/>
        </w:rPr>
        <w:t>05</w:t>
      </w:r>
      <w:r>
        <w:rPr>
          <w:rFonts w:hint="eastAsia" w:ascii="CESI仿宋-GB2312" w:hAnsi="CESI仿宋-GB2312" w:eastAsia="CESI仿宋-GB2312" w:cs="CESI仿宋-GB2312"/>
          <w:b w:val="0"/>
          <w:bCs w:val="0"/>
          <w:sz w:val="32"/>
          <w:szCs w:val="32"/>
          <w:lang w:val="zh-CN" w:eastAsia="zh-CN"/>
        </w:rPr>
        <w:t>款）其他</w:t>
      </w:r>
      <w:r>
        <w:rPr>
          <w:rFonts w:hint="eastAsia" w:ascii="CESI仿宋-GB2312" w:hAnsi="CESI仿宋-GB2312" w:eastAsia="CESI仿宋-GB2312" w:cs="CESI仿宋-GB2312"/>
          <w:b w:val="0"/>
          <w:bCs w:val="0"/>
          <w:sz w:val="32"/>
          <w:szCs w:val="32"/>
          <w:lang w:val="en-US" w:eastAsia="zh-CN"/>
        </w:rPr>
        <w:t>巩固脱贫衔接乡村振兴支出</w:t>
      </w:r>
      <w:r>
        <w:rPr>
          <w:rFonts w:hint="eastAsia" w:ascii="CESI仿宋-GB2312" w:hAnsi="CESI仿宋-GB2312" w:eastAsia="CESI仿宋-GB2312" w:cs="CESI仿宋-GB2312"/>
          <w:b w:val="0"/>
          <w:bCs w:val="0"/>
          <w:sz w:val="32"/>
          <w:szCs w:val="32"/>
          <w:lang w:val="zh-CN" w:eastAsia="zh-CN"/>
        </w:rPr>
        <w:t>（</w:t>
      </w:r>
      <w:r>
        <w:rPr>
          <w:rFonts w:hint="eastAsia" w:ascii="CESI仿宋-GB2312" w:hAnsi="CESI仿宋-GB2312" w:eastAsia="CESI仿宋-GB2312" w:cs="CESI仿宋-GB2312"/>
          <w:b w:val="0"/>
          <w:bCs w:val="0"/>
          <w:sz w:val="32"/>
          <w:szCs w:val="32"/>
          <w:lang w:val="en-US" w:eastAsia="zh-CN"/>
        </w:rPr>
        <w:t>99</w:t>
      </w:r>
      <w:r>
        <w:rPr>
          <w:rFonts w:hint="eastAsia" w:ascii="CESI仿宋-GB2312" w:hAnsi="CESI仿宋-GB2312" w:eastAsia="CESI仿宋-GB2312" w:cs="CESI仿宋-GB2312"/>
          <w:b w:val="0"/>
          <w:bCs w:val="0"/>
          <w:sz w:val="32"/>
          <w:szCs w:val="32"/>
          <w:lang w:val="zh-CN" w:eastAsia="zh-CN"/>
        </w:rPr>
        <w:t>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196</w:t>
      </w:r>
      <w:r>
        <w:rPr>
          <w:rFonts w:hint="eastAsia" w:ascii="CESI仿宋-GB2312" w:hAnsi="CESI仿宋-GB2312" w:eastAsia="CESI仿宋-GB2312" w:cs="CESI仿宋-GB2312"/>
          <w:b w:val="0"/>
          <w:bCs w:val="0"/>
          <w:sz w:val="32"/>
          <w:szCs w:val="32"/>
          <w:lang w:val="zh-CN"/>
        </w:rPr>
        <w:t xml:space="preserve">万元，完成预算100%，决算数等于预算数。  </w:t>
      </w:r>
    </w:p>
    <w:p>
      <w:pPr>
        <w:spacing w:line="600" w:lineRule="exact"/>
        <w:ind w:firstLine="640"/>
        <w:rPr>
          <w:rFonts w:hint="eastAsia" w:ascii="Times New Roman" w:hAnsi="Times New Roman" w:eastAsia="仿宋_GB2312" w:cs="Times New Roman"/>
          <w:b w:val="0"/>
          <w:bCs w:val="0"/>
          <w:sz w:val="32"/>
          <w:szCs w:val="32"/>
          <w:lang w:val="zh-CN"/>
        </w:rPr>
      </w:pPr>
      <w:r>
        <w:rPr>
          <w:rFonts w:hint="eastAsia" w:ascii="CESI仿宋-GB2312" w:hAnsi="CESI仿宋-GB2312" w:eastAsia="CESI仿宋-GB2312" w:cs="CESI仿宋-GB2312"/>
          <w:b w:val="0"/>
          <w:bCs w:val="0"/>
          <w:sz w:val="32"/>
          <w:szCs w:val="32"/>
          <w:lang w:val="en-US" w:eastAsia="zh-CN"/>
        </w:rPr>
        <w:t>14</w:t>
      </w:r>
      <w:r>
        <w:rPr>
          <w:rFonts w:hint="eastAsia" w:ascii="CESI仿宋-GB2312" w:hAnsi="CESI仿宋-GB2312" w:eastAsia="CESI仿宋-GB2312" w:cs="CESI仿宋-GB2312"/>
          <w:b w:val="0"/>
          <w:bCs w:val="0"/>
          <w:sz w:val="32"/>
          <w:szCs w:val="32"/>
          <w:lang w:val="zh-CN" w:eastAsia="zh-CN"/>
        </w:rPr>
        <w:t>.住房保障支出（</w:t>
      </w:r>
      <w:r>
        <w:rPr>
          <w:rFonts w:hint="eastAsia" w:ascii="CESI仿宋-GB2312" w:hAnsi="CESI仿宋-GB2312" w:eastAsia="CESI仿宋-GB2312" w:cs="CESI仿宋-GB2312"/>
          <w:b w:val="0"/>
          <w:bCs w:val="0"/>
          <w:sz w:val="32"/>
          <w:szCs w:val="32"/>
          <w:lang w:val="en-US" w:eastAsia="zh-CN"/>
        </w:rPr>
        <w:t>221</w:t>
      </w:r>
      <w:r>
        <w:rPr>
          <w:rFonts w:hint="eastAsia" w:ascii="CESI仿宋-GB2312" w:hAnsi="CESI仿宋-GB2312" w:eastAsia="CESI仿宋-GB2312" w:cs="CESI仿宋-GB2312"/>
          <w:b w:val="0"/>
          <w:bCs w:val="0"/>
          <w:sz w:val="32"/>
          <w:szCs w:val="32"/>
          <w:lang w:val="zh-CN" w:eastAsia="zh-CN"/>
        </w:rPr>
        <w:t>类）住房改革支出（</w:t>
      </w:r>
      <w:r>
        <w:rPr>
          <w:rFonts w:hint="eastAsia" w:ascii="CESI仿宋-GB2312" w:hAnsi="CESI仿宋-GB2312" w:eastAsia="CESI仿宋-GB2312" w:cs="CESI仿宋-GB2312"/>
          <w:b w:val="0"/>
          <w:bCs w:val="0"/>
          <w:sz w:val="32"/>
          <w:szCs w:val="32"/>
          <w:lang w:val="en-US" w:eastAsia="zh-CN"/>
        </w:rPr>
        <w:t>02</w:t>
      </w:r>
      <w:r>
        <w:rPr>
          <w:rFonts w:hint="eastAsia" w:ascii="CESI仿宋-GB2312" w:hAnsi="CESI仿宋-GB2312" w:eastAsia="CESI仿宋-GB2312" w:cs="CESI仿宋-GB2312"/>
          <w:b w:val="0"/>
          <w:bCs w:val="0"/>
          <w:sz w:val="32"/>
          <w:szCs w:val="32"/>
          <w:lang w:val="zh-CN" w:eastAsia="zh-CN"/>
        </w:rPr>
        <w:t>款）住房公积金（</w:t>
      </w:r>
      <w:r>
        <w:rPr>
          <w:rFonts w:hint="eastAsia" w:ascii="CESI仿宋-GB2312" w:hAnsi="CESI仿宋-GB2312" w:eastAsia="CESI仿宋-GB2312" w:cs="CESI仿宋-GB2312"/>
          <w:b w:val="0"/>
          <w:bCs w:val="0"/>
          <w:sz w:val="32"/>
          <w:szCs w:val="32"/>
          <w:lang w:val="en-US" w:eastAsia="zh-CN"/>
        </w:rPr>
        <w:t>01</w:t>
      </w:r>
      <w:r>
        <w:rPr>
          <w:rFonts w:hint="eastAsia" w:ascii="CESI仿宋-GB2312" w:hAnsi="CESI仿宋-GB2312" w:eastAsia="CESI仿宋-GB2312" w:cs="CESI仿宋-GB2312"/>
          <w:b w:val="0"/>
          <w:bCs w:val="0"/>
          <w:sz w:val="32"/>
          <w:szCs w:val="32"/>
          <w:lang w:val="zh-CN" w:eastAsia="zh-CN"/>
        </w:rPr>
        <w:t>项）:</w:t>
      </w:r>
      <w:r>
        <w:rPr>
          <w:rFonts w:hint="eastAsia" w:ascii="CESI仿宋-GB2312" w:hAnsi="CESI仿宋-GB2312" w:eastAsia="CESI仿宋-GB2312" w:cs="CESI仿宋-GB2312"/>
          <w:b w:val="0"/>
          <w:bCs w:val="0"/>
          <w:sz w:val="32"/>
          <w:szCs w:val="32"/>
          <w:lang w:val="zh-CN"/>
        </w:rPr>
        <w:t>支出决算为</w:t>
      </w:r>
      <w:r>
        <w:rPr>
          <w:rFonts w:hint="eastAsia" w:ascii="CESI仿宋-GB2312" w:hAnsi="CESI仿宋-GB2312" w:eastAsia="CESI仿宋-GB2312" w:cs="CESI仿宋-GB2312"/>
          <w:b w:val="0"/>
          <w:bCs w:val="0"/>
          <w:sz w:val="32"/>
          <w:szCs w:val="32"/>
          <w:lang w:val="en-US" w:eastAsia="zh-CN"/>
        </w:rPr>
        <w:t>600.66</w:t>
      </w:r>
      <w:r>
        <w:rPr>
          <w:rFonts w:hint="eastAsia" w:ascii="CESI仿宋-GB2312" w:hAnsi="CESI仿宋-GB2312" w:eastAsia="CESI仿宋-GB2312" w:cs="CESI仿宋-GB2312"/>
          <w:b w:val="0"/>
          <w:bCs w:val="0"/>
          <w:sz w:val="32"/>
          <w:szCs w:val="32"/>
          <w:lang w:val="zh-CN"/>
        </w:rPr>
        <w:t>万元，完成预算100%，决算数等于预算数。</w:t>
      </w:r>
    </w:p>
    <w:p>
      <w:pPr>
        <w:tabs>
          <w:tab w:val="right" w:pos="8306"/>
        </w:tabs>
        <w:spacing w:line="600" w:lineRule="exact"/>
        <w:ind w:firstLine="640"/>
        <w:outlineLvl w:val="1"/>
        <w:rPr>
          <w:rStyle w:val="31"/>
        </w:rPr>
      </w:pPr>
      <w:bookmarkStart w:id="55" w:name="_Toc15377214"/>
      <w:bookmarkStart w:id="56"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1"/>
          <w:rFonts w:hint="eastAsia" w:ascii="黑体" w:hAnsi="黑体" w:eastAsia="黑体"/>
          <w:b w:val="0"/>
        </w:rPr>
        <w:t>般公共预算财政拨款基本支出决算情况说明</w:t>
      </w:r>
      <w:bookmarkEnd w:id="55"/>
      <w:bookmarkEnd w:id="56"/>
      <w:r>
        <w:rPr>
          <w:rStyle w:val="31"/>
          <w:rFonts w:ascii="黑体" w:hAnsi="黑体" w:eastAsia="黑体"/>
          <w:b w:val="0"/>
        </w:rPr>
        <w:tab/>
      </w:r>
    </w:p>
    <w:p>
      <w:pPr>
        <w:spacing w:line="600" w:lineRule="exact"/>
        <w:ind w:firstLine="645"/>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2023年度一般公共预算财政拨款基本支出8255.82万元，其中：</w:t>
      </w:r>
    </w:p>
    <w:p>
      <w:pPr>
        <w:spacing w:line="600" w:lineRule="exact"/>
        <w:ind w:firstLine="645"/>
        <w:rPr>
          <w:rFonts w:hint="eastAsia" w:ascii="CESI仿宋-GB2312" w:hAnsi="CESI仿宋-GB2312" w:eastAsia="CESI仿宋-GB2312" w:cs="CESI仿宋-GB2312"/>
          <w:b/>
          <w:sz w:val="32"/>
          <w:szCs w:val="32"/>
        </w:rPr>
      </w:pPr>
      <w:r>
        <w:rPr>
          <w:rFonts w:hint="eastAsia" w:ascii="CESI仿宋-GB2312" w:hAnsi="CESI仿宋-GB2312" w:eastAsia="CESI仿宋-GB2312" w:cs="CESI仿宋-GB2312"/>
          <w:sz w:val="32"/>
          <w:szCs w:val="32"/>
        </w:rPr>
        <w:t>人员经费8192.07万元，主要包括：基本工资、津贴补贴、奖金、绩效工资、机关事业单位基本养老保险缴费、职业年金缴费、职工基本医疗保险缴费</w:t>
      </w:r>
      <w:r>
        <w:rPr>
          <w:rFonts w:hint="eastAsia" w:ascii="CESI仿宋-GB2312" w:hAnsi="CESI仿宋-GB2312" w:eastAsia="CESI仿宋-GB2312" w:cs="CESI仿宋-GB2312"/>
          <w:sz w:val="32"/>
          <w:szCs w:val="32"/>
          <w:lang w:eastAsia="zh-CN"/>
        </w:rPr>
        <w:t>、公务员医疗补助缴费、</w:t>
      </w:r>
      <w:r>
        <w:rPr>
          <w:rFonts w:hint="eastAsia" w:ascii="CESI仿宋-GB2312" w:hAnsi="CESI仿宋-GB2312" w:eastAsia="CESI仿宋-GB2312" w:cs="CESI仿宋-GB2312"/>
          <w:sz w:val="32"/>
          <w:szCs w:val="32"/>
        </w:rPr>
        <w:t>其他社会保障缴费、 住房公积金</w:t>
      </w:r>
      <w:r>
        <w:rPr>
          <w:rFonts w:hint="eastAsia" w:ascii="CESI仿宋-GB2312" w:hAnsi="CESI仿宋-GB2312" w:eastAsia="CESI仿宋-GB2312" w:cs="CESI仿宋-GB2312"/>
          <w:sz w:val="32"/>
          <w:szCs w:val="32"/>
          <w:lang w:eastAsia="zh-CN"/>
        </w:rPr>
        <w:t>、医疗费、</w:t>
      </w:r>
      <w:r>
        <w:rPr>
          <w:rFonts w:hint="eastAsia" w:ascii="CESI仿宋-GB2312" w:hAnsi="CESI仿宋-GB2312" w:eastAsia="CESI仿宋-GB2312" w:cs="CESI仿宋-GB2312"/>
          <w:sz w:val="32"/>
          <w:szCs w:val="32"/>
        </w:rPr>
        <w:t>其他工资福利支出、对个人和家庭的补助</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抚恤金、生活补助、医疗费补助、奖励金、其他对个人和家庭的补助支出。</w:t>
      </w:r>
      <w:r>
        <w:rPr>
          <w:rFonts w:hint="eastAsia" w:ascii="CESI仿宋-GB2312" w:hAnsi="CESI仿宋-GB2312" w:eastAsia="CESI仿宋-GB2312" w:cs="CESI仿宋-GB2312"/>
          <w:sz w:val="32"/>
          <w:szCs w:val="32"/>
        </w:rPr>
        <w:br w:type="textWrapping"/>
      </w:r>
      <w:r>
        <w:rPr>
          <w:rFonts w:hint="eastAsia" w:ascii="CESI仿宋-GB2312" w:hAnsi="CESI仿宋-GB2312" w:eastAsia="CESI仿宋-GB2312" w:cs="CESI仿宋-GB2312"/>
          <w:sz w:val="32"/>
          <w:szCs w:val="32"/>
        </w:rPr>
        <w:t>　　公用经费63.75万元，主要包括：办公费、印刷费、手续费、水费、电费、邮电费、物业管理费、差旅费、维修（护）费、培训费、劳务费、委托业务费、工会经费、福利费、公务用车运行维护费、其他交通费、其他商品和服务支出</w:t>
      </w:r>
      <w:r>
        <w:rPr>
          <w:rFonts w:hint="eastAsia" w:ascii="CESI仿宋-GB2312" w:hAnsi="CESI仿宋-GB2312" w:eastAsia="CESI仿宋-GB2312" w:cs="CESI仿宋-GB2312"/>
          <w:sz w:val="32"/>
          <w:szCs w:val="32"/>
          <w:lang w:eastAsia="zh-CN"/>
        </w:rPr>
        <w:t>。</w:t>
      </w:r>
    </w:p>
    <w:p>
      <w:pPr>
        <w:spacing w:line="600" w:lineRule="exact"/>
        <w:ind w:firstLine="640"/>
        <w:rPr>
          <w:rFonts w:ascii="仿宋" w:hAnsi="仿宋" w:eastAsia="仿宋"/>
          <w:b/>
          <w:sz w:val="32"/>
          <w:szCs w:val="32"/>
        </w:rPr>
      </w:pPr>
    </w:p>
    <w:p>
      <w:pPr>
        <w:spacing w:line="600" w:lineRule="exact"/>
        <w:ind w:firstLine="640"/>
        <w:outlineLvl w:val="1"/>
        <w:rPr>
          <w:rStyle w:val="31"/>
          <w:rFonts w:ascii="黑体" w:hAnsi="黑体" w:eastAsia="黑体"/>
          <w:b w:val="0"/>
        </w:rPr>
      </w:pPr>
      <w:bookmarkStart w:id="57" w:name="_Toc15396609"/>
      <w:bookmarkStart w:id="58" w:name="_Toc15377215"/>
      <w:r>
        <w:rPr>
          <w:rFonts w:hint="eastAsia" w:ascii="黑体" w:eastAsia="黑体"/>
          <w:sz w:val="32"/>
          <w:szCs w:val="32"/>
        </w:rPr>
        <w:t>七、</w:t>
      </w:r>
      <w:r>
        <w:rPr>
          <w:rStyle w:val="31"/>
          <w:rFonts w:hint="eastAsia" w:ascii="黑体" w:hAnsi="黑体" w:eastAsia="黑体"/>
          <w:b w:val="0"/>
        </w:rPr>
        <w:t>财政拨款</w:t>
      </w:r>
      <w:r>
        <w:rPr>
          <w:rStyle w:val="31"/>
          <w:rFonts w:hint="eastAsia" w:ascii="黑体" w:hAnsi="黑体" w:eastAsia="黑体"/>
        </w:rPr>
        <w:t>“</w:t>
      </w:r>
      <w:r>
        <w:rPr>
          <w:rStyle w:val="31"/>
          <w:rFonts w:hint="eastAsia" w:ascii="黑体" w:hAnsi="黑体" w:eastAsia="黑体"/>
          <w:b w:val="0"/>
        </w:rPr>
        <w:t>三公”经费支出决算情况说明</w:t>
      </w:r>
      <w:bookmarkEnd w:id="57"/>
      <w:bookmarkEnd w:id="58"/>
    </w:p>
    <w:p>
      <w:pPr>
        <w:spacing w:line="600" w:lineRule="exact"/>
        <w:ind w:firstLine="640"/>
        <w:outlineLvl w:val="2"/>
        <w:rPr>
          <w:rFonts w:ascii="仿宋" w:hAnsi="仿宋" w:eastAsia="仿宋"/>
          <w:b/>
          <w:sz w:val="32"/>
          <w:szCs w:val="32"/>
        </w:rPr>
      </w:pPr>
      <w:bookmarkStart w:id="59" w:name="_Toc15377216"/>
      <w:r>
        <w:rPr>
          <w:rFonts w:hint="eastAsia" w:ascii="仿宋" w:hAnsi="仿宋" w:eastAsia="仿宋"/>
          <w:b/>
          <w:sz w:val="32"/>
          <w:szCs w:val="32"/>
        </w:rPr>
        <w:t>（一）“三公”经费财政拨款支出决算总体情况说明</w:t>
      </w:r>
      <w:bookmarkEnd w:id="59"/>
    </w:p>
    <w:p>
      <w:pPr>
        <w:keepNext/>
        <w:keepLines/>
        <w:spacing w:beforeLines="0" w:afterLines="0" w:line="576" w:lineRule="exact"/>
        <w:ind w:firstLine="640"/>
        <w:jc w:val="both"/>
        <w:rPr>
          <w:rFonts w:hint="eastAsia" w:ascii="CESI仿宋-GB2312" w:hAnsi="CESI仿宋-GB2312" w:eastAsia="CESI仿宋-GB2312" w:cs="CESI仿宋-GB2312"/>
          <w:color w:val="000000"/>
          <w:kern w:val="2"/>
          <w:sz w:val="32"/>
          <w:szCs w:val="24"/>
          <w:lang w:val="zh-CN"/>
        </w:rPr>
      </w:pPr>
      <w:r>
        <w:rPr>
          <w:rFonts w:hint="eastAsia" w:ascii="CESI仿宋-GB2312" w:hAnsi="CESI仿宋-GB2312" w:eastAsia="CESI仿宋-GB2312" w:cs="CESI仿宋-GB2312"/>
          <w:sz w:val="32"/>
          <w:szCs w:val="32"/>
        </w:rPr>
        <w:t>2023年度“三公”经费财政拨款支出决算为0.8万元，完成预算100%，较上年度减少</w:t>
      </w:r>
      <w:r>
        <w:rPr>
          <w:rFonts w:hint="eastAsia" w:ascii="CESI仿宋-GB2312" w:hAnsi="CESI仿宋-GB2312" w:eastAsia="CESI仿宋-GB2312" w:cs="CESI仿宋-GB2312"/>
          <w:sz w:val="32"/>
          <w:szCs w:val="32"/>
          <w:lang w:val="en-US" w:eastAsia="zh-CN"/>
        </w:rPr>
        <w:t>12.65</w:t>
      </w:r>
      <w:r>
        <w:rPr>
          <w:rFonts w:hint="eastAsia" w:ascii="CESI仿宋-GB2312" w:hAnsi="CESI仿宋-GB2312" w:eastAsia="CESI仿宋-GB2312" w:cs="CESI仿宋-GB2312"/>
          <w:sz w:val="32"/>
          <w:szCs w:val="32"/>
        </w:rPr>
        <w:t>万元，下降</w:t>
      </w:r>
      <w:r>
        <w:rPr>
          <w:rFonts w:hint="eastAsia" w:ascii="CESI仿宋-GB2312" w:hAnsi="CESI仿宋-GB2312" w:eastAsia="CESI仿宋-GB2312" w:cs="CESI仿宋-GB2312"/>
          <w:sz w:val="32"/>
          <w:szCs w:val="32"/>
          <w:lang w:val="en-US" w:eastAsia="zh-CN"/>
        </w:rPr>
        <w:t>94.05</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color w:val="000000"/>
          <w:kern w:val="2"/>
          <w:sz w:val="32"/>
          <w:szCs w:val="24"/>
          <w:lang w:val="zh-CN"/>
        </w:rPr>
        <w:t>决算数</w:t>
      </w:r>
      <w:r>
        <w:rPr>
          <w:rFonts w:hint="eastAsia" w:ascii="CESI仿宋-GB2312" w:hAnsi="CESI仿宋-GB2312" w:eastAsia="CESI仿宋-GB2312" w:cs="CESI仿宋-GB2312"/>
          <w:color w:val="000000"/>
          <w:kern w:val="2"/>
          <w:sz w:val="32"/>
          <w:szCs w:val="24"/>
          <w:lang w:val="en-US" w:eastAsia="zh-CN"/>
        </w:rPr>
        <w:t>持平</w:t>
      </w:r>
      <w:r>
        <w:rPr>
          <w:rFonts w:hint="eastAsia" w:ascii="CESI仿宋-GB2312" w:hAnsi="CESI仿宋-GB2312" w:eastAsia="CESI仿宋-GB2312" w:cs="CESI仿宋-GB2312"/>
          <w:color w:val="000000"/>
          <w:kern w:val="2"/>
          <w:sz w:val="32"/>
          <w:szCs w:val="24"/>
          <w:lang w:val="zh-CN"/>
        </w:rPr>
        <w:t>预算数，</w:t>
      </w:r>
      <w:r>
        <w:rPr>
          <w:rFonts w:hint="eastAsia" w:ascii="CESI仿宋-GB2312" w:hAnsi="CESI仿宋-GB2312" w:eastAsia="CESI仿宋-GB2312" w:cs="CESI仿宋-GB2312"/>
          <w:color w:val="000000"/>
          <w:kern w:val="2"/>
          <w:sz w:val="32"/>
          <w:szCs w:val="24"/>
          <w:lang w:val="en-US" w:eastAsia="zh-CN"/>
        </w:rPr>
        <w:t>较去年下降的</w:t>
      </w:r>
      <w:r>
        <w:rPr>
          <w:rFonts w:hint="eastAsia" w:ascii="CESI仿宋-GB2312" w:hAnsi="CESI仿宋-GB2312" w:eastAsia="CESI仿宋-GB2312" w:cs="CESI仿宋-GB2312"/>
          <w:color w:val="000000"/>
          <w:kern w:val="2"/>
          <w:sz w:val="32"/>
          <w:szCs w:val="24"/>
          <w:lang w:val="zh-CN"/>
        </w:rPr>
        <w:t>主要原因是因为贯彻落实中央八项规定，严格控制接待费用，加强车辆管理，努力降低车辆耗费，合理安排公务出车。</w:t>
      </w:r>
    </w:p>
    <w:p>
      <w:pPr>
        <w:spacing w:line="600" w:lineRule="exact"/>
        <w:ind w:firstLine="640"/>
        <w:outlineLvl w:val="2"/>
        <w:rPr>
          <w:rFonts w:ascii="仿宋" w:hAnsi="仿宋" w:eastAsia="仿宋"/>
          <w:b/>
          <w:sz w:val="32"/>
          <w:szCs w:val="32"/>
        </w:rPr>
      </w:pPr>
      <w:bookmarkStart w:id="60" w:name="_Toc15377217"/>
      <w:r>
        <w:rPr>
          <w:rFonts w:hint="eastAsia" w:ascii="仿宋" w:hAnsi="仿宋" w:eastAsia="仿宋"/>
          <w:b/>
          <w:sz w:val="32"/>
          <w:szCs w:val="32"/>
        </w:rPr>
        <w:t>（二）“三公”经费财政拨款支出决算具体情况说明</w:t>
      </w:r>
      <w:bookmarkEnd w:id="60"/>
    </w:p>
    <w:p>
      <w:pPr>
        <w:spacing w:line="600" w:lineRule="exact"/>
        <w:ind w:firstLine="64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2023年度“三公”经费财政拨款支出决算中，因公出国（境）费支出决算0万元，占0%；公务用车购置及运行维护费支出决算0.8万元，占100%；公务接待费支出决算0万元，占0%。具体情况如下：</w:t>
      </w:r>
    </w:p>
    <w:p>
      <w:pPr>
        <w:pStyle w:val="5"/>
        <w:rPr>
          <w:rFonts w:hint="eastAsia" w:ascii="CESI仿宋-GB2312" w:hAnsi="CESI仿宋-GB2312" w:eastAsia="CESI仿宋-GB2312" w:cs="CESI仿宋-GB2312"/>
          <w:sz w:val="32"/>
          <w:szCs w:val="32"/>
        </w:rPr>
      </w:pPr>
    </w:p>
    <w:p>
      <w:pPr>
        <w:rPr>
          <w:rFonts w:hint="eastAsia" w:ascii="仿宋" w:hAnsi="仿宋" w:eastAsia="仿宋"/>
          <w:sz w:val="32"/>
          <w:szCs w:val="32"/>
        </w:rPr>
      </w:pPr>
      <w:r>
        <w:drawing>
          <wp:inline distT="0" distB="0" distL="0" distR="0">
            <wp:extent cx="5274310" cy="3076575"/>
            <wp:effectExtent l="5080" t="4445" r="16510" b="508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pPr>
        <w:spacing w:line="600" w:lineRule="exact"/>
        <w:ind w:firstLine="640"/>
        <w:jc w:val="center"/>
        <w:rPr>
          <w:rFonts w:ascii="仿宋" w:hAnsi="仿宋" w:eastAsia="仿宋"/>
          <w:sz w:val="32"/>
          <w:szCs w:val="32"/>
        </w:rPr>
      </w:pPr>
      <w:r>
        <w:rPr>
          <w:rFonts w:hint="eastAsia" w:ascii="仿宋" w:hAnsi="仿宋" w:eastAsia="仿宋"/>
          <w:sz w:val="32"/>
          <w:szCs w:val="32"/>
        </w:rPr>
        <w:t>（图7：“三公”经费财政拨款支出结构）</w:t>
      </w:r>
    </w:p>
    <w:p/>
    <w:p>
      <w:pPr>
        <w:spacing w:line="600" w:lineRule="exact"/>
        <w:ind w:firstLine="640" w:firstLineChars="200"/>
        <w:jc w:val="both"/>
        <w:rPr>
          <w:rFonts w:hint="eastAsia" w:ascii="CESI仿宋-GB2312" w:hAnsi="CESI仿宋-GB2312" w:eastAsia="CESI仿宋-GB2312" w:cs="CESI仿宋-GB2312"/>
          <w:sz w:val="32"/>
          <w:szCs w:val="32"/>
          <w:lang w:val="zh-CN"/>
        </w:rPr>
      </w:pPr>
      <w:r>
        <w:rPr>
          <w:rFonts w:hint="eastAsia" w:ascii="CESI仿宋-GB2312" w:hAnsi="CESI仿宋-GB2312" w:eastAsia="CESI仿宋-GB2312" w:cs="CESI仿宋-GB2312"/>
          <w:b/>
          <w:sz w:val="32"/>
          <w:szCs w:val="32"/>
        </w:rPr>
        <w:t>1.因公出国（境）经费支出</w:t>
      </w:r>
      <w:r>
        <w:rPr>
          <w:rFonts w:hint="eastAsia" w:ascii="CESI仿宋-GB2312" w:hAnsi="CESI仿宋-GB2312" w:eastAsia="CESI仿宋-GB2312" w:cs="CESI仿宋-GB2312"/>
          <w:sz w:val="32"/>
          <w:szCs w:val="32"/>
        </w:rPr>
        <w:t>0万元，</w:t>
      </w:r>
      <w:r>
        <w:rPr>
          <w:rStyle w:val="19"/>
          <w:rFonts w:hint="eastAsia" w:ascii="CESI仿宋-GB2312" w:hAnsi="CESI仿宋-GB2312" w:eastAsia="CESI仿宋-GB2312" w:cs="CESI仿宋-GB2312"/>
          <w:b w:val="0"/>
          <w:bCs/>
          <w:sz w:val="32"/>
          <w:szCs w:val="32"/>
        </w:rPr>
        <w:t>完成预算</w:t>
      </w:r>
      <w:r>
        <w:rPr>
          <w:rFonts w:hint="eastAsia" w:ascii="CESI仿宋-GB2312" w:hAnsi="CESI仿宋-GB2312" w:eastAsia="CESI仿宋-GB2312" w:cs="CESI仿宋-GB2312"/>
          <w:sz w:val="32"/>
          <w:szCs w:val="32"/>
        </w:rPr>
        <w:t>0</w:t>
      </w:r>
      <w:r>
        <w:rPr>
          <w:rStyle w:val="19"/>
          <w:rFonts w:hint="eastAsia" w:ascii="CESI仿宋-GB2312" w:hAnsi="CESI仿宋-GB2312" w:eastAsia="CESI仿宋-GB2312" w:cs="CESI仿宋-GB2312"/>
          <w:b w:val="0"/>
          <w:bCs/>
          <w:sz w:val="32"/>
          <w:szCs w:val="32"/>
        </w:rPr>
        <w:t>%。</w:t>
      </w:r>
      <w:r>
        <w:rPr>
          <w:rFonts w:hint="eastAsia" w:ascii="CESI仿宋-GB2312" w:hAnsi="CESI仿宋-GB2312" w:eastAsia="CESI仿宋-GB2312" w:cs="CESI仿宋-GB2312"/>
          <w:sz w:val="32"/>
          <w:szCs w:val="32"/>
        </w:rPr>
        <w:t>全年安排因公出国（境）团组0次，出国（境）0人。因公出国（境）支出决算2022年</w:t>
      </w:r>
      <w:r>
        <w:rPr>
          <w:rFonts w:hint="eastAsia" w:ascii="CESI仿宋-GB2312" w:hAnsi="CESI仿宋-GB2312" w:eastAsia="CESI仿宋-GB2312" w:cs="CESI仿宋-GB2312"/>
          <w:sz w:val="32"/>
          <w:szCs w:val="32"/>
          <w:lang w:eastAsia="zh-CN"/>
        </w:rPr>
        <w:t>持平</w:t>
      </w:r>
      <w:r>
        <w:rPr>
          <w:rFonts w:hint="eastAsia" w:ascii="CESI仿宋-GB2312" w:hAnsi="CESI仿宋-GB2312" w:eastAsia="CESI仿宋-GB2312" w:cs="CESI仿宋-GB2312"/>
          <w:sz w:val="32"/>
          <w:szCs w:val="32"/>
        </w:rPr>
        <w:t>。主要原因是</w:t>
      </w:r>
      <w:r>
        <w:rPr>
          <w:rFonts w:hint="eastAsia" w:ascii="CESI仿宋-GB2312" w:hAnsi="CESI仿宋-GB2312" w:eastAsia="CESI仿宋-GB2312" w:cs="CESI仿宋-GB2312"/>
          <w:sz w:val="32"/>
          <w:szCs w:val="32"/>
          <w:lang w:val="en-US" w:eastAsia="zh-CN"/>
        </w:rPr>
        <w:t>2022年、</w:t>
      </w:r>
      <w:r>
        <w:rPr>
          <w:rFonts w:hint="eastAsia" w:ascii="CESI仿宋-GB2312" w:hAnsi="CESI仿宋-GB2312" w:eastAsia="CESI仿宋-GB2312" w:cs="CESI仿宋-GB2312"/>
          <w:sz w:val="32"/>
          <w:szCs w:val="32"/>
          <w:lang w:val="zh-CN"/>
        </w:rPr>
        <w:t>202</w:t>
      </w:r>
      <w:r>
        <w:rPr>
          <w:rFonts w:hint="eastAsia" w:ascii="CESI仿宋-GB2312" w:hAnsi="CESI仿宋-GB2312" w:eastAsia="CESI仿宋-GB2312" w:cs="CESI仿宋-GB2312"/>
          <w:sz w:val="32"/>
          <w:szCs w:val="32"/>
          <w:lang w:val="en-US" w:eastAsia="zh-CN"/>
        </w:rPr>
        <w:t>3</w:t>
      </w:r>
      <w:r>
        <w:rPr>
          <w:rFonts w:hint="eastAsia" w:ascii="CESI仿宋-GB2312" w:hAnsi="CESI仿宋-GB2312" w:eastAsia="CESI仿宋-GB2312" w:cs="CESI仿宋-GB2312"/>
          <w:sz w:val="32"/>
          <w:szCs w:val="32"/>
          <w:lang w:val="zh-CN"/>
        </w:rPr>
        <w:t xml:space="preserve"> 年无因公出国（境）任务安排，无出国（境）团组人次，无因公出国（境）费拨款支出。</w:t>
      </w:r>
    </w:p>
    <w:p>
      <w:pPr>
        <w:spacing w:line="600" w:lineRule="exact"/>
        <w:ind w:firstLine="640" w:firstLineChars="200"/>
        <w:rPr>
          <w:rFonts w:hint="eastAsia" w:ascii="CESI仿宋-GB2312" w:hAnsi="CESI仿宋-GB2312" w:eastAsia="CESI仿宋-GB2312" w:cs="CESI仿宋-GB2312"/>
          <w:b/>
          <w:sz w:val="32"/>
          <w:szCs w:val="32"/>
        </w:rPr>
      </w:pPr>
      <w:r>
        <w:rPr>
          <w:rFonts w:hint="eastAsia" w:ascii="CESI仿宋-GB2312" w:hAnsi="CESI仿宋-GB2312" w:eastAsia="CESI仿宋-GB2312" w:cs="CESI仿宋-GB2312"/>
          <w:b/>
          <w:sz w:val="32"/>
          <w:szCs w:val="32"/>
        </w:rPr>
        <w:t>2.公务用车购置及运行维护费支出</w:t>
      </w:r>
      <w:r>
        <w:rPr>
          <w:rFonts w:hint="eastAsia" w:ascii="CESI仿宋-GB2312" w:hAnsi="CESI仿宋-GB2312" w:eastAsia="CESI仿宋-GB2312" w:cs="CESI仿宋-GB2312"/>
          <w:sz w:val="32"/>
          <w:szCs w:val="32"/>
        </w:rPr>
        <w:t>0.8万元,</w:t>
      </w:r>
      <w:r>
        <w:rPr>
          <w:rStyle w:val="19"/>
          <w:rFonts w:hint="eastAsia" w:ascii="CESI仿宋-GB2312" w:hAnsi="CESI仿宋-GB2312" w:eastAsia="CESI仿宋-GB2312" w:cs="CESI仿宋-GB2312"/>
          <w:b w:val="0"/>
          <w:bCs/>
          <w:sz w:val="32"/>
          <w:szCs w:val="32"/>
        </w:rPr>
        <w:t>完成预算</w:t>
      </w:r>
      <w:r>
        <w:rPr>
          <w:rFonts w:hint="eastAsia" w:ascii="CESI仿宋-GB2312" w:hAnsi="CESI仿宋-GB2312" w:eastAsia="CESI仿宋-GB2312" w:cs="CESI仿宋-GB2312"/>
          <w:sz w:val="32"/>
          <w:szCs w:val="32"/>
        </w:rPr>
        <w:t>100</w:t>
      </w:r>
      <w:r>
        <w:rPr>
          <w:rStyle w:val="19"/>
          <w:rFonts w:hint="eastAsia" w:ascii="CESI仿宋-GB2312" w:hAnsi="CESI仿宋-GB2312" w:eastAsia="CESI仿宋-GB2312" w:cs="CESI仿宋-GB2312"/>
          <w:b w:val="0"/>
          <w:bCs/>
          <w:sz w:val="32"/>
          <w:szCs w:val="32"/>
        </w:rPr>
        <w:t>%。</w:t>
      </w:r>
      <w:r>
        <w:rPr>
          <w:rFonts w:hint="eastAsia" w:ascii="CESI仿宋-GB2312" w:hAnsi="CESI仿宋-GB2312" w:eastAsia="CESI仿宋-GB2312" w:cs="CESI仿宋-GB2312"/>
          <w:sz w:val="32"/>
          <w:szCs w:val="32"/>
        </w:rPr>
        <w:t>公务用车购置及运行维护费支出决算比2022年度减少</w:t>
      </w:r>
      <w:r>
        <w:rPr>
          <w:rFonts w:hint="eastAsia" w:ascii="CESI仿宋-GB2312" w:hAnsi="CESI仿宋-GB2312" w:eastAsia="CESI仿宋-GB2312" w:cs="CESI仿宋-GB2312"/>
          <w:sz w:val="32"/>
          <w:szCs w:val="32"/>
          <w:lang w:val="en-US" w:eastAsia="zh-CN"/>
        </w:rPr>
        <w:t>12.65</w:t>
      </w:r>
      <w:r>
        <w:rPr>
          <w:rFonts w:hint="eastAsia" w:ascii="CESI仿宋-GB2312" w:hAnsi="CESI仿宋-GB2312" w:eastAsia="CESI仿宋-GB2312" w:cs="CESI仿宋-GB2312"/>
          <w:sz w:val="32"/>
          <w:szCs w:val="32"/>
        </w:rPr>
        <w:t>万元，下降</w:t>
      </w:r>
      <w:r>
        <w:rPr>
          <w:rFonts w:hint="eastAsia" w:ascii="CESI仿宋-GB2312" w:hAnsi="CESI仿宋-GB2312" w:eastAsia="CESI仿宋-GB2312" w:cs="CESI仿宋-GB2312"/>
          <w:sz w:val="32"/>
          <w:szCs w:val="32"/>
          <w:lang w:val="en-US" w:eastAsia="zh-CN"/>
        </w:rPr>
        <w:t>94.05</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color w:val="000000"/>
          <w:kern w:val="2"/>
          <w:sz w:val="32"/>
          <w:szCs w:val="24"/>
          <w:lang w:val="en-US" w:eastAsia="zh-CN"/>
        </w:rPr>
        <w:t>较去年下降的</w:t>
      </w:r>
      <w:r>
        <w:rPr>
          <w:rFonts w:hint="eastAsia" w:ascii="CESI仿宋-GB2312" w:hAnsi="CESI仿宋-GB2312" w:eastAsia="CESI仿宋-GB2312" w:cs="CESI仿宋-GB2312"/>
          <w:color w:val="000000"/>
          <w:kern w:val="2"/>
          <w:sz w:val="32"/>
          <w:szCs w:val="24"/>
          <w:lang w:val="zh-CN"/>
        </w:rPr>
        <w:t>主要原因是因为贯彻落实中央</w:t>
      </w:r>
      <w:bookmarkStart w:id="71" w:name="_GoBack"/>
      <w:r>
        <w:rPr>
          <w:rFonts w:hint="eastAsia" w:ascii="CESI仿宋-GB2312" w:hAnsi="CESI仿宋-GB2312" w:eastAsia="CESI仿宋-GB2312" w:cs="CESI仿宋-GB2312"/>
          <w:color w:val="000000"/>
          <w:kern w:val="2"/>
          <w:sz w:val="32"/>
          <w:szCs w:val="24"/>
          <w:lang w:val="zh-CN"/>
        </w:rPr>
        <w:t>八项规定</w:t>
      </w:r>
      <w:bookmarkEnd w:id="71"/>
      <w:r>
        <w:rPr>
          <w:rFonts w:hint="eastAsia" w:ascii="CESI仿宋-GB2312" w:hAnsi="CESI仿宋-GB2312" w:eastAsia="CESI仿宋-GB2312" w:cs="CESI仿宋-GB2312"/>
          <w:color w:val="000000"/>
          <w:kern w:val="2"/>
          <w:sz w:val="32"/>
          <w:szCs w:val="24"/>
          <w:lang w:val="zh-CN"/>
        </w:rPr>
        <w:t>，严格控制接待费用，加强车辆管理，努力降低车辆耗费，合理安排公务出车。</w:t>
      </w:r>
    </w:p>
    <w:p>
      <w:pPr>
        <w:spacing w:line="600" w:lineRule="exact"/>
        <w:ind w:firstLine="640" w:firstLineChars="200"/>
        <w:rPr>
          <w:rFonts w:hint="eastAsia" w:ascii="CESI仿宋-GB2312" w:hAnsi="CESI仿宋-GB2312" w:eastAsia="CESI仿宋-GB2312" w:cs="CESI仿宋-GB2312"/>
          <w:b/>
          <w:sz w:val="32"/>
          <w:szCs w:val="32"/>
          <w:highlight w:val="none"/>
        </w:rPr>
      </w:pPr>
      <w:r>
        <w:rPr>
          <w:rFonts w:hint="eastAsia" w:ascii="CESI仿宋-GB2312" w:hAnsi="CESI仿宋-GB2312" w:eastAsia="CESI仿宋-GB2312" w:cs="CESI仿宋-GB2312"/>
          <w:sz w:val="32"/>
          <w:szCs w:val="32"/>
        </w:rPr>
        <w:t>其中：</w:t>
      </w:r>
      <w:r>
        <w:rPr>
          <w:rFonts w:hint="eastAsia" w:ascii="CESI仿宋-GB2312" w:hAnsi="CESI仿宋-GB2312" w:eastAsia="CESI仿宋-GB2312" w:cs="CESI仿宋-GB2312"/>
          <w:b/>
          <w:sz w:val="32"/>
          <w:szCs w:val="32"/>
        </w:rPr>
        <w:t>公务用车购置支出</w:t>
      </w:r>
      <w:r>
        <w:rPr>
          <w:rFonts w:hint="eastAsia" w:ascii="CESI仿宋-GB2312" w:hAnsi="CESI仿宋-GB2312" w:eastAsia="CESI仿宋-GB2312" w:cs="CESI仿宋-GB2312"/>
          <w:sz w:val="32"/>
          <w:szCs w:val="32"/>
        </w:rPr>
        <w:t>0万元。全年按规定更新购置公务用车</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辆，其中：轿车</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辆、金额</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万元，越野车</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辆、金额</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万元，载客汽车</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辆、金额</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万元，截至2023年12月31日，</w:t>
      </w:r>
      <w:r>
        <w:rPr>
          <w:rFonts w:hint="eastAsia" w:ascii="CESI仿宋-GB2312" w:hAnsi="CESI仿宋-GB2312" w:eastAsia="CESI仿宋-GB2312" w:cs="CESI仿宋-GB2312"/>
          <w:sz w:val="32"/>
          <w:szCs w:val="32"/>
          <w:highlight w:val="none"/>
        </w:rPr>
        <w:t>单位共有公务用车</w:t>
      </w:r>
      <w:r>
        <w:rPr>
          <w:rFonts w:hint="eastAsia" w:ascii="CESI仿宋-GB2312" w:hAnsi="CESI仿宋-GB2312" w:eastAsia="CESI仿宋-GB2312" w:cs="CESI仿宋-GB2312"/>
          <w:sz w:val="32"/>
          <w:szCs w:val="32"/>
          <w:highlight w:val="none"/>
          <w:lang w:val="en-US" w:eastAsia="zh-CN"/>
        </w:rPr>
        <w:t>2</w:t>
      </w:r>
      <w:r>
        <w:rPr>
          <w:rFonts w:hint="eastAsia" w:ascii="CESI仿宋-GB2312" w:hAnsi="CESI仿宋-GB2312" w:eastAsia="CESI仿宋-GB2312" w:cs="CESI仿宋-GB2312"/>
          <w:sz w:val="32"/>
          <w:szCs w:val="32"/>
          <w:highlight w:val="none"/>
        </w:rPr>
        <w:t>辆，其中：轿车</w:t>
      </w:r>
      <w:r>
        <w:rPr>
          <w:rFonts w:hint="eastAsia" w:ascii="CESI仿宋-GB2312" w:hAnsi="CESI仿宋-GB2312" w:eastAsia="CESI仿宋-GB2312" w:cs="CESI仿宋-GB2312"/>
          <w:sz w:val="32"/>
          <w:szCs w:val="32"/>
          <w:highlight w:val="none"/>
          <w:lang w:val="en-US" w:eastAsia="zh-CN"/>
        </w:rPr>
        <w:t>0</w:t>
      </w:r>
      <w:r>
        <w:rPr>
          <w:rFonts w:hint="eastAsia" w:ascii="CESI仿宋-GB2312" w:hAnsi="CESI仿宋-GB2312" w:eastAsia="CESI仿宋-GB2312" w:cs="CESI仿宋-GB2312"/>
          <w:sz w:val="32"/>
          <w:szCs w:val="32"/>
          <w:highlight w:val="none"/>
        </w:rPr>
        <w:t>辆、越野车</w:t>
      </w:r>
      <w:r>
        <w:rPr>
          <w:rFonts w:hint="eastAsia" w:ascii="CESI仿宋-GB2312" w:hAnsi="CESI仿宋-GB2312" w:eastAsia="CESI仿宋-GB2312" w:cs="CESI仿宋-GB2312"/>
          <w:sz w:val="32"/>
          <w:szCs w:val="32"/>
          <w:highlight w:val="none"/>
          <w:lang w:val="en-US" w:eastAsia="zh-CN"/>
        </w:rPr>
        <w:t>0</w:t>
      </w:r>
      <w:r>
        <w:rPr>
          <w:rFonts w:hint="eastAsia" w:ascii="CESI仿宋-GB2312" w:hAnsi="CESI仿宋-GB2312" w:eastAsia="CESI仿宋-GB2312" w:cs="CESI仿宋-GB2312"/>
          <w:sz w:val="32"/>
          <w:szCs w:val="32"/>
          <w:highlight w:val="none"/>
        </w:rPr>
        <w:t>辆、载客汽车</w:t>
      </w:r>
      <w:r>
        <w:rPr>
          <w:rFonts w:hint="eastAsia" w:ascii="CESI仿宋-GB2312" w:hAnsi="CESI仿宋-GB2312" w:eastAsia="CESI仿宋-GB2312" w:cs="CESI仿宋-GB2312"/>
          <w:sz w:val="32"/>
          <w:szCs w:val="32"/>
          <w:highlight w:val="none"/>
          <w:lang w:val="en-US" w:eastAsia="zh-CN"/>
        </w:rPr>
        <w:t>0</w:t>
      </w:r>
      <w:r>
        <w:rPr>
          <w:rFonts w:hint="eastAsia" w:ascii="CESI仿宋-GB2312" w:hAnsi="CESI仿宋-GB2312" w:eastAsia="CESI仿宋-GB2312" w:cs="CESI仿宋-GB2312"/>
          <w:sz w:val="32"/>
          <w:szCs w:val="32"/>
          <w:highlight w:val="none"/>
        </w:rPr>
        <w:t>辆。</w:t>
      </w:r>
    </w:p>
    <w:p>
      <w:pPr>
        <w:spacing w:line="600" w:lineRule="exact"/>
        <w:ind w:firstLine="640"/>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公务用车运行维护费支出</w:t>
      </w:r>
      <w:r>
        <w:rPr>
          <w:rFonts w:hint="eastAsia" w:ascii="CESI仿宋-GB2312" w:hAnsi="CESI仿宋-GB2312" w:eastAsia="CESI仿宋-GB2312" w:cs="CESI仿宋-GB2312"/>
          <w:sz w:val="32"/>
          <w:szCs w:val="32"/>
        </w:rPr>
        <w:t>0.8万元。主要用于开展日常工作、保障机关运转等所需的公务用车燃料费、维修费、过路过桥费、保险费等支出。</w:t>
      </w:r>
    </w:p>
    <w:p>
      <w:pPr>
        <w:spacing w:line="600" w:lineRule="exact"/>
        <w:ind w:firstLine="640"/>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3.公务接待费支出</w:t>
      </w:r>
      <w:r>
        <w:rPr>
          <w:rFonts w:hint="eastAsia" w:ascii="CESI仿宋-GB2312" w:hAnsi="CESI仿宋-GB2312" w:eastAsia="CESI仿宋-GB2312" w:cs="CESI仿宋-GB2312"/>
          <w:sz w:val="32"/>
          <w:szCs w:val="32"/>
        </w:rPr>
        <w:t>0万元，</w:t>
      </w:r>
      <w:r>
        <w:rPr>
          <w:rStyle w:val="19"/>
          <w:rFonts w:hint="eastAsia" w:ascii="CESI仿宋-GB2312" w:hAnsi="CESI仿宋-GB2312" w:eastAsia="CESI仿宋-GB2312" w:cs="CESI仿宋-GB2312"/>
          <w:b w:val="0"/>
          <w:bCs/>
          <w:sz w:val="32"/>
          <w:szCs w:val="32"/>
        </w:rPr>
        <w:t>完成预算</w:t>
      </w:r>
      <w:r>
        <w:rPr>
          <w:rFonts w:hint="eastAsia" w:ascii="CESI仿宋-GB2312" w:hAnsi="CESI仿宋-GB2312" w:eastAsia="CESI仿宋-GB2312" w:cs="CESI仿宋-GB2312"/>
          <w:sz w:val="32"/>
          <w:szCs w:val="32"/>
        </w:rPr>
        <w:t>0%</w:t>
      </w:r>
      <w:r>
        <w:rPr>
          <w:rStyle w:val="19"/>
          <w:rFonts w:hint="eastAsia" w:ascii="CESI仿宋-GB2312" w:hAnsi="CESI仿宋-GB2312" w:eastAsia="CESI仿宋-GB2312" w:cs="CESI仿宋-GB2312"/>
          <w:b w:val="0"/>
          <w:bCs/>
          <w:sz w:val="32"/>
          <w:szCs w:val="32"/>
        </w:rPr>
        <w:t>。</w:t>
      </w:r>
      <w:r>
        <w:rPr>
          <w:rFonts w:hint="eastAsia" w:ascii="CESI仿宋-GB2312" w:hAnsi="CESI仿宋-GB2312" w:eastAsia="CESI仿宋-GB2312" w:cs="CESI仿宋-GB2312"/>
          <w:sz w:val="32"/>
          <w:szCs w:val="32"/>
        </w:rPr>
        <w:t>公务接待费支出决算比2022年度减少0.13万元，下降100%。主要原因是因为贯彻落实中央八项规定，严格控制接待费用。其中：国内公务接待支出0万元，2023年无公务接待。外事接待支出0万元，2023年无外事接待。</w:t>
      </w:r>
    </w:p>
    <w:p>
      <w:pPr>
        <w:spacing w:line="600" w:lineRule="exact"/>
        <w:ind w:firstLine="64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sz w:val="32"/>
          <w:szCs w:val="32"/>
        </w:rPr>
        <w:t>国内公务接待支出</w:t>
      </w:r>
      <w:r>
        <w:rPr>
          <w:rFonts w:hint="eastAsia" w:ascii="CESI仿宋-GB2312" w:hAnsi="CESI仿宋-GB2312" w:eastAsia="CESI仿宋-GB2312" w:cs="CESI仿宋-GB2312"/>
          <w:b/>
          <w:sz w:val="32"/>
          <w:szCs w:val="32"/>
          <w:lang w:val="en-US" w:eastAsia="zh-CN"/>
        </w:rPr>
        <w:t>0</w:t>
      </w:r>
      <w:r>
        <w:rPr>
          <w:rFonts w:hint="eastAsia" w:ascii="CESI仿宋-GB2312" w:hAnsi="CESI仿宋-GB2312" w:eastAsia="CESI仿宋-GB2312" w:cs="CESI仿宋-GB2312"/>
          <w:sz w:val="32"/>
          <w:szCs w:val="32"/>
        </w:rPr>
        <w:t>万元，</w:t>
      </w:r>
      <w:r>
        <w:rPr>
          <w:rFonts w:hint="eastAsia" w:ascii="CESI仿宋-GB2312" w:hAnsi="CESI仿宋-GB2312" w:eastAsia="CESI仿宋-GB2312" w:cs="CESI仿宋-GB2312"/>
          <w:sz w:val="32"/>
          <w:szCs w:val="32"/>
          <w:lang w:val="en-US" w:eastAsia="zh-CN"/>
        </w:rPr>
        <w:t>2023年无</w:t>
      </w:r>
      <w:r>
        <w:rPr>
          <w:rFonts w:hint="eastAsia" w:ascii="CESI仿宋-GB2312" w:hAnsi="CESI仿宋-GB2312" w:eastAsia="CESI仿宋-GB2312" w:cs="CESI仿宋-GB2312"/>
          <w:b/>
          <w:sz w:val="32"/>
          <w:szCs w:val="32"/>
        </w:rPr>
        <w:t>国内公务接待</w:t>
      </w:r>
      <w:r>
        <w:rPr>
          <w:rFonts w:hint="eastAsia" w:ascii="CESI仿宋-GB2312" w:hAnsi="CESI仿宋-GB2312" w:eastAsia="CESI仿宋-GB2312" w:cs="CESI仿宋-GB2312"/>
          <w:b/>
          <w:sz w:val="32"/>
          <w:szCs w:val="32"/>
          <w:lang w:eastAsia="zh-CN"/>
        </w:rPr>
        <w:t>支出</w:t>
      </w:r>
      <w:r>
        <w:rPr>
          <w:rFonts w:hint="eastAsia" w:ascii="CESI仿宋-GB2312" w:hAnsi="CESI仿宋-GB2312" w:eastAsia="CESI仿宋-GB2312" w:cs="CESI仿宋-GB2312"/>
          <w:sz w:val="32"/>
          <w:szCs w:val="32"/>
          <w:lang w:val="zh-CN" w:eastAsia="zh-CN"/>
        </w:rPr>
        <w:t>。</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外事接待支出</w:t>
      </w:r>
      <w:r>
        <w:rPr>
          <w:rFonts w:hint="eastAsia" w:ascii="CESI仿宋-GB2312" w:hAnsi="CESI仿宋-GB2312" w:eastAsia="CESI仿宋-GB2312" w:cs="CESI仿宋-GB2312"/>
          <w:b/>
          <w:sz w:val="32"/>
          <w:szCs w:val="32"/>
          <w:lang w:val="en-US" w:eastAsia="zh-CN"/>
        </w:rPr>
        <w:t>0</w:t>
      </w:r>
      <w:r>
        <w:rPr>
          <w:rFonts w:hint="eastAsia" w:ascii="CESI仿宋-GB2312" w:hAnsi="CESI仿宋-GB2312" w:eastAsia="CESI仿宋-GB2312" w:cs="CESI仿宋-GB2312"/>
          <w:sz w:val="32"/>
          <w:szCs w:val="32"/>
        </w:rPr>
        <w:t>万元，</w:t>
      </w:r>
      <w:r>
        <w:rPr>
          <w:rFonts w:hint="eastAsia" w:ascii="CESI仿宋-GB2312" w:hAnsi="CESI仿宋-GB2312" w:eastAsia="CESI仿宋-GB2312" w:cs="CESI仿宋-GB2312"/>
          <w:sz w:val="32"/>
          <w:szCs w:val="32"/>
          <w:lang w:val="en-US" w:eastAsia="zh-CN"/>
        </w:rPr>
        <w:t>2023年无外事接待</w:t>
      </w:r>
      <w:r>
        <w:rPr>
          <w:rFonts w:hint="eastAsia" w:ascii="CESI仿宋-GB2312" w:hAnsi="CESI仿宋-GB2312" w:eastAsia="CESI仿宋-GB2312" w:cs="CESI仿宋-GB2312"/>
          <w:sz w:val="32"/>
          <w:szCs w:val="32"/>
          <w:lang w:val="zh-CN" w:eastAsia="zh-CN"/>
        </w:rPr>
        <w:t>。</w:t>
      </w:r>
      <w:bookmarkStart w:id="61" w:name="_Toc15396610"/>
      <w:bookmarkStart w:id="62" w:name="_Toc15377218"/>
    </w:p>
    <w:p>
      <w:pPr>
        <w:spacing w:line="600" w:lineRule="exact"/>
        <w:ind w:firstLine="640"/>
        <w:outlineLvl w:val="1"/>
        <w:rPr>
          <w:rStyle w:val="31"/>
          <w:rFonts w:ascii="黑体" w:hAnsi="黑体" w:eastAsia="黑体"/>
        </w:rPr>
      </w:pPr>
      <w:r>
        <w:rPr>
          <w:rFonts w:hint="eastAsia" w:ascii="黑体" w:eastAsia="黑体"/>
          <w:sz w:val="32"/>
          <w:szCs w:val="32"/>
        </w:rPr>
        <w:t>八、</w:t>
      </w:r>
      <w:r>
        <w:rPr>
          <w:rStyle w:val="31"/>
          <w:rFonts w:hint="eastAsia" w:ascii="黑体" w:hAnsi="黑体" w:eastAsia="黑体"/>
          <w:b w:val="0"/>
        </w:rPr>
        <w:t>政府性基金预算支出决算情况说明</w:t>
      </w:r>
      <w:bookmarkEnd w:id="61"/>
      <w:bookmarkEnd w:id="62"/>
    </w:p>
    <w:p>
      <w:pPr>
        <w:spacing w:line="600" w:lineRule="exact"/>
        <w:ind w:firstLine="640"/>
        <w:rPr>
          <w:rFonts w:hint="eastAsia" w:ascii="CESI仿宋-GB2312" w:hAnsi="CESI仿宋-GB2312" w:eastAsia="CESI仿宋-GB2312" w:cs="CESI仿宋-GB2312"/>
          <w:sz w:val="32"/>
          <w:szCs w:val="32"/>
          <w:highlight w:val="none"/>
        </w:rPr>
      </w:pPr>
      <w:r>
        <w:rPr>
          <w:rFonts w:hint="eastAsia" w:ascii="CESI仿宋-GB2312" w:hAnsi="CESI仿宋-GB2312" w:eastAsia="CESI仿宋-GB2312" w:cs="CESI仿宋-GB2312"/>
          <w:sz w:val="32"/>
          <w:szCs w:val="32"/>
          <w:highlight w:val="none"/>
        </w:rPr>
        <w:t>2023年度政府性基金预算财政拨款支出5004.06万元。</w:t>
      </w:r>
    </w:p>
    <w:p>
      <w:pPr>
        <w:spacing w:line="600" w:lineRule="exact"/>
        <w:rPr>
          <w:rFonts w:hint="eastAsia" w:ascii="CESI仿宋-GB2312" w:hAnsi="CESI仿宋-GB2312" w:eastAsia="CESI仿宋-GB2312" w:cs="CESI仿宋-GB2312"/>
          <w:sz w:val="32"/>
          <w:szCs w:val="32"/>
          <w:highlight w:val="yellow"/>
        </w:rPr>
      </w:pPr>
      <w:r>
        <w:rPr>
          <w:rFonts w:hint="eastAsia" w:ascii="CESI仿宋-GB2312" w:hAnsi="CESI仿宋-GB2312" w:eastAsia="CESI仿宋-GB2312" w:cs="CESI仿宋-GB2312"/>
          <w:sz w:val="32"/>
          <w:szCs w:val="32"/>
          <w:highlight w:val="none"/>
        </w:rPr>
        <w:t>其中：</w:t>
      </w:r>
    </w:p>
    <w:p>
      <w:pPr>
        <w:numPr>
          <w:ilvl w:val="0"/>
          <w:numId w:val="0"/>
        </w:numPr>
        <w:ind w:firstLine="640" w:firstLineChars="200"/>
        <w:rPr>
          <w:rFonts w:ascii="仿宋_GB2312" w:eastAsia="仿宋_GB2312"/>
          <w:sz w:val="32"/>
          <w:szCs w:val="32"/>
        </w:rPr>
      </w:pPr>
      <w:r>
        <w:rPr>
          <w:rFonts w:hint="eastAsia" w:ascii="CESI仿宋-GB2312" w:hAnsi="CESI仿宋-GB2312" w:eastAsia="CESI仿宋-GB2312" w:cs="CESI仿宋-GB2312"/>
          <w:sz w:val="32"/>
          <w:szCs w:val="32"/>
        </w:rPr>
        <w:t>其他支出（229类）其他政府性基金及对应专项债务收入安排的支出（22904款）其他地方自行试点项目收益专项债券收入安排的支出（2290402项）5000.00万元，属于县财政下达新增专项债券用于盐边县第二人民医院建设项目资金。其他支出（229类）彩票公益金安排的支出</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22960款）用于社会福利的彩票公益金支出（2296002项）</w:t>
      </w:r>
      <w:r>
        <w:rPr>
          <w:rFonts w:hint="eastAsia" w:ascii="CESI仿宋-GB2312" w:hAnsi="CESI仿宋-GB2312" w:eastAsia="CESI仿宋-GB2312" w:cs="CESI仿宋-GB2312"/>
          <w:sz w:val="32"/>
          <w:szCs w:val="32"/>
          <w:lang w:val="en-US" w:eastAsia="zh-CN"/>
        </w:rPr>
        <w:t>4.06万元，</w:t>
      </w:r>
      <w:r>
        <w:rPr>
          <w:rFonts w:hint="eastAsia" w:ascii="CESI仿宋-GB2312" w:hAnsi="CESI仿宋-GB2312" w:eastAsia="CESI仿宋-GB2312" w:cs="CESI仿宋-GB2312"/>
          <w:sz w:val="32"/>
          <w:szCs w:val="32"/>
        </w:rPr>
        <w:t>属于县财政下达新增专项债券</w:t>
      </w:r>
      <w:r>
        <w:rPr>
          <w:rFonts w:hint="eastAsia" w:ascii="CESI仿宋-GB2312" w:hAnsi="CESI仿宋-GB2312" w:eastAsia="CESI仿宋-GB2312" w:cs="CESI仿宋-GB2312"/>
          <w:sz w:val="32"/>
          <w:szCs w:val="32"/>
          <w:lang w:val="en-US" w:eastAsia="zh-CN"/>
        </w:rPr>
        <w:t>用于</w:t>
      </w:r>
      <w:r>
        <w:rPr>
          <w:rFonts w:hint="eastAsia" w:ascii="CESI仿宋-GB2312" w:hAnsi="CESI仿宋-GB2312" w:eastAsia="CESI仿宋-GB2312" w:cs="CESI仿宋-GB2312"/>
          <w:sz w:val="32"/>
          <w:szCs w:val="32"/>
        </w:rPr>
        <w:t>盐边县渔门中心卫生院（盐边县渔门镇妇幼保健计划生育服务站）</w:t>
      </w:r>
      <w:r>
        <w:rPr>
          <w:rFonts w:hint="eastAsia" w:ascii="CESI仿宋-GB2312" w:hAnsi="CESI仿宋-GB2312" w:eastAsia="CESI仿宋-GB2312" w:cs="CESI仿宋-GB2312"/>
          <w:sz w:val="32"/>
          <w:szCs w:val="32"/>
          <w:lang w:eastAsia="zh-CN"/>
        </w:rPr>
        <w:t>老年人心理关爱资金。</w:t>
      </w:r>
    </w:p>
    <w:p>
      <w:pPr>
        <w:numPr>
          <w:ilvl w:val="0"/>
          <w:numId w:val="4"/>
        </w:numPr>
        <w:spacing w:line="600" w:lineRule="exact"/>
        <w:ind w:firstLine="640"/>
        <w:outlineLvl w:val="1"/>
        <w:rPr>
          <w:rStyle w:val="31"/>
          <w:rFonts w:ascii="黑体" w:hAnsi="黑体" w:eastAsia="黑体"/>
          <w:b w:val="0"/>
        </w:rPr>
      </w:pPr>
      <w:bookmarkStart w:id="63" w:name="_Toc15377219"/>
      <w:bookmarkStart w:id="64" w:name="_Toc15396611"/>
      <w:r>
        <w:rPr>
          <w:rStyle w:val="31"/>
          <w:rFonts w:hint="eastAsia" w:ascii="黑体" w:hAnsi="黑体" w:eastAsia="黑体"/>
          <w:b w:val="0"/>
        </w:rPr>
        <w:t>国有资本经营预算支出决算情况说明</w:t>
      </w:r>
      <w:bookmarkEnd w:id="63"/>
      <w:bookmarkEnd w:id="64"/>
    </w:p>
    <w:p>
      <w:pPr>
        <w:spacing w:beforeLines="0" w:afterLines="0" w:line="576" w:lineRule="exact"/>
        <w:ind w:firstLine="640"/>
        <w:jc w:val="both"/>
        <w:rPr>
          <w:rFonts w:ascii="方正小标宋简体" w:hAnsi="方正小标宋简体" w:eastAsia="方正小标宋简体" w:cs="方正小标宋简体"/>
          <w:sz w:val="44"/>
          <w:szCs w:val="44"/>
        </w:rPr>
      </w:pPr>
      <w:r>
        <w:rPr>
          <w:rFonts w:hint="eastAsia" w:ascii="CESI仿宋-GB2312" w:hAnsi="CESI仿宋-GB2312" w:eastAsia="CESI仿宋-GB2312" w:cs="CESI仿宋-GB2312"/>
          <w:sz w:val="32"/>
          <w:szCs w:val="32"/>
        </w:rPr>
        <w:t>2023年度国有资本经营预算财政拨款支出0万元。</w:t>
      </w:r>
      <w:r>
        <w:rPr>
          <w:rFonts w:hint="eastAsia" w:ascii="CESI仿宋-GB2312" w:hAnsi="CESI仿宋-GB2312" w:eastAsia="CESI仿宋-GB2312" w:cs="CESI仿宋-GB2312"/>
          <w:sz w:val="32"/>
          <w:szCs w:val="32"/>
          <w:lang w:val="zh-CN" w:eastAsia="zh-CN"/>
        </w:rPr>
        <w:t>本部门没有国有资本经营预算拨款收入，也没有使用国有资本经营预算拨款安排的支出。</w:t>
      </w:r>
    </w:p>
    <w:p>
      <w:pPr>
        <w:numPr>
          <w:ilvl w:val="0"/>
          <w:numId w:val="4"/>
        </w:numPr>
        <w:spacing w:line="600" w:lineRule="exact"/>
        <w:ind w:firstLine="640"/>
        <w:outlineLvl w:val="1"/>
        <w:rPr>
          <w:rStyle w:val="31"/>
          <w:rFonts w:ascii="黑体" w:hAnsi="黑体" w:eastAsia="黑体"/>
          <w:b w:val="0"/>
        </w:rPr>
      </w:pPr>
      <w:bookmarkStart w:id="65" w:name="_Toc15377221"/>
      <w:bookmarkStart w:id="66" w:name="_Toc15396612"/>
      <w:r>
        <w:rPr>
          <w:rStyle w:val="31"/>
          <w:rFonts w:hint="eastAsia" w:ascii="黑体" w:hAnsi="黑体" w:eastAsia="黑体"/>
          <w:b w:val="0"/>
        </w:rPr>
        <w:t>其他重要事项的情况说明</w:t>
      </w:r>
      <w:bookmarkEnd w:id="65"/>
      <w:bookmarkEnd w:id="66"/>
    </w:p>
    <w:p>
      <w:pPr>
        <w:spacing w:line="600" w:lineRule="exact"/>
        <w:ind w:firstLine="642" w:firstLineChars="200"/>
        <w:outlineLvl w:val="2"/>
        <w:rPr>
          <w:rFonts w:ascii="仿宋" w:hAnsi="仿宋" w:eastAsia="仿宋"/>
          <w:sz w:val="32"/>
          <w:szCs w:val="32"/>
        </w:rPr>
      </w:pPr>
      <w:bookmarkStart w:id="67" w:name="_Toc15377222"/>
      <w:r>
        <w:rPr>
          <w:rFonts w:hint="eastAsia" w:ascii="仿宋" w:hAnsi="仿宋" w:eastAsia="仿宋"/>
          <w:b/>
          <w:sz w:val="32"/>
          <w:szCs w:val="32"/>
        </w:rPr>
        <w:t>（一）机关运行经费支出情况</w:t>
      </w:r>
      <w:bookmarkEnd w:id="67"/>
    </w:p>
    <w:p>
      <w:pPr>
        <w:spacing w:beforeLines="0" w:afterLines="0" w:line="576" w:lineRule="exact"/>
        <w:ind w:firstLine="64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2023年度，盐边县卫生健康局机关运行经费支出43.44万元，比2022年度减少</w:t>
      </w:r>
      <w:r>
        <w:rPr>
          <w:rFonts w:hint="eastAsia" w:ascii="CESI仿宋-GB2312" w:hAnsi="CESI仿宋-GB2312" w:eastAsia="CESI仿宋-GB2312" w:cs="CESI仿宋-GB2312"/>
          <w:sz w:val="32"/>
          <w:szCs w:val="32"/>
          <w:lang w:val="en-US" w:eastAsia="zh-CN"/>
        </w:rPr>
        <w:t>10.66</w:t>
      </w:r>
      <w:r>
        <w:rPr>
          <w:rFonts w:hint="eastAsia" w:ascii="CESI仿宋-GB2312" w:hAnsi="CESI仿宋-GB2312" w:eastAsia="CESI仿宋-GB2312" w:cs="CESI仿宋-GB2312"/>
          <w:sz w:val="32"/>
          <w:szCs w:val="32"/>
        </w:rPr>
        <w:t>万元，下降</w:t>
      </w:r>
      <w:r>
        <w:rPr>
          <w:rFonts w:hint="eastAsia" w:ascii="CESI仿宋-GB2312" w:hAnsi="CESI仿宋-GB2312" w:eastAsia="CESI仿宋-GB2312" w:cs="CESI仿宋-GB2312"/>
          <w:sz w:val="32"/>
          <w:szCs w:val="32"/>
          <w:lang w:val="en-US" w:eastAsia="zh-CN"/>
        </w:rPr>
        <w:t>19.7</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val="zh-CN" w:eastAsia="zh-CN"/>
        </w:rPr>
        <w:t>主要原因是落实过紧日子要求，厉行节约，从严控制和压缩相关经费支出。</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68" w:name="_Toc15377223"/>
      <w:r>
        <w:rPr>
          <w:rFonts w:hint="eastAsia" w:ascii="仿宋" w:hAnsi="仿宋" w:eastAsia="仿宋"/>
          <w:b/>
          <w:sz w:val="32"/>
          <w:szCs w:val="32"/>
        </w:rPr>
        <w:t>（二）政府采购支出情况</w:t>
      </w:r>
      <w:bookmarkEnd w:id="68"/>
    </w:p>
    <w:p>
      <w:pPr>
        <w:spacing w:line="600" w:lineRule="exact"/>
        <w:ind w:firstLine="640" w:firstLineChars="200"/>
        <w:rPr>
          <w:rFonts w:hint="eastAsia" w:ascii="CESI仿宋-GB13000" w:hAnsi="CESI仿宋-GB13000" w:eastAsia="CESI仿宋-GB13000" w:cs="CESI仿宋-GB13000"/>
          <w:sz w:val="32"/>
          <w:szCs w:val="32"/>
        </w:rPr>
      </w:pPr>
      <w:r>
        <w:rPr>
          <w:rFonts w:hint="eastAsia" w:ascii="CESI仿宋-GB2312" w:hAnsi="CESI仿宋-GB2312" w:eastAsia="CESI仿宋-GB2312" w:cs="CESI仿宋-GB2312"/>
          <w:sz w:val="32"/>
          <w:szCs w:val="32"/>
        </w:rPr>
        <w:t>2023年度，盐边县卫生健康局政府采购支出总额</w:t>
      </w:r>
      <w:r>
        <w:rPr>
          <w:rFonts w:hint="eastAsia" w:ascii="CESI仿宋-GB2312" w:hAnsi="CESI仿宋-GB2312" w:eastAsia="CESI仿宋-GB2312" w:cs="CESI仿宋-GB2312"/>
          <w:sz w:val="32"/>
          <w:szCs w:val="32"/>
          <w:highlight w:val="none"/>
          <w:lang w:val="en-US" w:eastAsia="zh-CN"/>
        </w:rPr>
        <w:t>307.2</w:t>
      </w:r>
      <w:r>
        <w:rPr>
          <w:rFonts w:hint="eastAsia" w:ascii="CESI仿宋-GB2312" w:hAnsi="CESI仿宋-GB2312" w:eastAsia="CESI仿宋-GB2312" w:cs="CESI仿宋-GB2312"/>
          <w:sz w:val="32"/>
          <w:szCs w:val="32"/>
        </w:rPr>
        <w:t>万元，其中：政府采购货物支出</w:t>
      </w:r>
      <w:r>
        <w:rPr>
          <w:rFonts w:hint="eastAsia" w:ascii="CESI仿宋-GB2312" w:hAnsi="CESI仿宋-GB2312" w:eastAsia="CESI仿宋-GB2312" w:cs="CESI仿宋-GB2312"/>
          <w:sz w:val="32"/>
          <w:szCs w:val="32"/>
          <w:highlight w:val="none"/>
        </w:rPr>
        <w:t>5</w:t>
      </w:r>
      <w:r>
        <w:rPr>
          <w:rFonts w:hint="eastAsia" w:ascii="CESI仿宋-GB2312" w:hAnsi="CESI仿宋-GB2312" w:eastAsia="CESI仿宋-GB2312" w:cs="CESI仿宋-GB2312"/>
          <w:sz w:val="32"/>
          <w:szCs w:val="32"/>
        </w:rPr>
        <w:t>万元、政府采购工程支出</w:t>
      </w:r>
      <w:r>
        <w:rPr>
          <w:rFonts w:hint="eastAsia" w:ascii="CESI仿宋-GB2312" w:hAnsi="CESI仿宋-GB2312" w:eastAsia="CESI仿宋-GB2312" w:cs="CESI仿宋-GB2312"/>
          <w:sz w:val="32"/>
          <w:szCs w:val="32"/>
          <w:highlight w:val="none"/>
          <w:lang w:val="en-US" w:eastAsia="zh-CN"/>
        </w:rPr>
        <w:t>0</w:t>
      </w:r>
      <w:r>
        <w:rPr>
          <w:rFonts w:hint="eastAsia" w:ascii="CESI仿宋-GB2312" w:hAnsi="CESI仿宋-GB2312" w:eastAsia="CESI仿宋-GB2312" w:cs="CESI仿宋-GB2312"/>
          <w:sz w:val="32"/>
          <w:szCs w:val="32"/>
        </w:rPr>
        <w:t>万元、政府采购服务支出</w:t>
      </w:r>
      <w:r>
        <w:rPr>
          <w:rFonts w:hint="eastAsia" w:ascii="CESI仿宋-GB2312" w:hAnsi="CESI仿宋-GB2312" w:eastAsia="CESI仿宋-GB2312" w:cs="CESI仿宋-GB2312"/>
          <w:sz w:val="32"/>
          <w:szCs w:val="32"/>
          <w:highlight w:val="none"/>
          <w:lang w:val="en-US" w:eastAsia="zh-CN"/>
        </w:rPr>
        <w:t>302.2</w:t>
      </w:r>
      <w:r>
        <w:rPr>
          <w:rFonts w:hint="eastAsia" w:ascii="CESI仿宋-GB2312" w:hAnsi="CESI仿宋-GB2312" w:eastAsia="CESI仿宋-GB2312" w:cs="CESI仿宋-GB2312"/>
          <w:sz w:val="32"/>
          <w:szCs w:val="32"/>
        </w:rPr>
        <w:t>万元。主要</w:t>
      </w:r>
      <w:r>
        <w:rPr>
          <w:rFonts w:hint="eastAsia" w:ascii="CESI仿宋-GB2312" w:hAnsi="CESI仿宋-GB2312" w:eastAsia="CESI仿宋-GB2312" w:cs="CESI仿宋-GB2312"/>
          <w:sz w:val="32"/>
          <w:szCs w:val="32"/>
          <w:lang w:eastAsia="zh-CN"/>
        </w:rPr>
        <w:t>是县人民医院</w:t>
      </w:r>
      <w:r>
        <w:rPr>
          <w:rFonts w:hint="eastAsia" w:ascii="CESI仿宋-GB2312" w:hAnsi="CESI仿宋-GB2312" w:eastAsia="CESI仿宋-GB2312" w:cs="CESI仿宋-GB2312"/>
          <w:sz w:val="32"/>
          <w:szCs w:val="32"/>
        </w:rPr>
        <w:t>用于打印机、复印机设备购买，物业管理等服务采购项目和盐边县医共体信息化建设网络安全等级保护测评服务及软件测试服务采购项目。授予中小企业合同金额</w:t>
      </w:r>
      <w:r>
        <w:rPr>
          <w:rFonts w:hint="eastAsia" w:ascii="CESI仿宋-GB2312" w:hAnsi="CESI仿宋-GB2312" w:eastAsia="CESI仿宋-GB2312" w:cs="CESI仿宋-GB2312"/>
          <w:sz w:val="32"/>
          <w:szCs w:val="32"/>
          <w:highlight w:val="none"/>
          <w:lang w:val="en-US" w:eastAsia="zh-CN"/>
        </w:rPr>
        <w:t>307.2</w:t>
      </w:r>
      <w:r>
        <w:rPr>
          <w:rFonts w:hint="eastAsia" w:ascii="CESI仿宋-GB2312" w:hAnsi="CESI仿宋-GB2312" w:eastAsia="CESI仿宋-GB2312" w:cs="CESI仿宋-GB2312"/>
          <w:sz w:val="32"/>
          <w:szCs w:val="32"/>
        </w:rPr>
        <w:t>万元，占政府采购支出总额的100%，其中：授予小微企业合同金额</w:t>
      </w:r>
      <w:r>
        <w:rPr>
          <w:rFonts w:hint="eastAsia" w:ascii="CESI仿宋-GB2312" w:hAnsi="CESI仿宋-GB2312" w:eastAsia="CESI仿宋-GB2312" w:cs="CESI仿宋-GB2312"/>
          <w:sz w:val="32"/>
          <w:szCs w:val="32"/>
          <w:highlight w:val="none"/>
          <w:lang w:val="en-US" w:eastAsia="zh-CN"/>
        </w:rPr>
        <w:t>52.5</w:t>
      </w:r>
      <w:r>
        <w:rPr>
          <w:rFonts w:hint="eastAsia" w:ascii="CESI仿宋-GB2312" w:hAnsi="CESI仿宋-GB2312" w:eastAsia="CESI仿宋-GB2312" w:cs="CESI仿宋-GB2312"/>
          <w:sz w:val="32"/>
          <w:szCs w:val="32"/>
        </w:rPr>
        <w:t>万元，占政府采购支出总额的17.08%。</w:t>
      </w:r>
    </w:p>
    <w:p>
      <w:pPr>
        <w:autoSpaceDE w:val="0"/>
        <w:autoSpaceDN w:val="0"/>
        <w:adjustRightInd w:val="0"/>
        <w:spacing w:line="600" w:lineRule="exact"/>
        <w:ind w:firstLine="642" w:firstLineChars="200"/>
        <w:jc w:val="left"/>
        <w:outlineLvl w:val="2"/>
        <w:rPr>
          <w:rFonts w:ascii="仿宋" w:hAnsi="仿宋" w:eastAsia="仿宋"/>
          <w:b/>
          <w:sz w:val="32"/>
          <w:szCs w:val="32"/>
          <w:highlight w:val="none"/>
        </w:rPr>
      </w:pPr>
      <w:bookmarkStart w:id="69" w:name="_Toc15377224"/>
      <w:r>
        <w:rPr>
          <w:rFonts w:hint="eastAsia" w:ascii="仿宋" w:hAnsi="仿宋" w:eastAsia="仿宋"/>
          <w:b/>
          <w:sz w:val="32"/>
          <w:szCs w:val="32"/>
          <w:highlight w:val="none"/>
        </w:rPr>
        <w:t>（三）国有资产占有使用情况</w:t>
      </w:r>
      <w:bookmarkEnd w:id="69"/>
    </w:p>
    <w:p>
      <w:pPr>
        <w:autoSpaceDE w:val="0"/>
        <w:autoSpaceDN w:val="0"/>
        <w:adjustRightInd w:val="0"/>
        <w:spacing w:line="600" w:lineRule="exact"/>
        <w:ind w:firstLine="640" w:firstLineChars="200"/>
        <w:jc w:val="left"/>
        <w:rPr>
          <w:rFonts w:hint="eastAsia" w:ascii="CESI仿宋-GB2312" w:hAnsi="CESI仿宋-GB2312" w:eastAsia="CESI仿宋-GB2312" w:cs="CESI仿宋-GB2312"/>
          <w:sz w:val="32"/>
          <w:szCs w:val="32"/>
          <w:highlight w:val="none"/>
        </w:rPr>
      </w:pPr>
      <w:r>
        <w:rPr>
          <w:rFonts w:hint="eastAsia" w:ascii="CESI仿宋-GB2312" w:hAnsi="CESI仿宋-GB2312" w:eastAsia="CESI仿宋-GB2312" w:cs="CESI仿宋-GB2312"/>
          <w:sz w:val="32"/>
          <w:szCs w:val="32"/>
          <w:highlight w:val="none"/>
        </w:rPr>
        <w:t>截至2023年12月31日，盐边县卫生健康局共有车辆</w:t>
      </w:r>
      <w:r>
        <w:rPr>
          <w:rFonts w:hint="eastAsia" w:ascii="CESI仿宋-GB2312" w:hAnsi="CESI仿宋-GB2312" w:eastAsia="CESI仿宋-GB2312" w:cs="CESI仿宋-GB2312"/>
          <w:sz w:val="32"/>
          <w:szCs w:val="32"/>
          <w:highlight w:val="none"/>
          <w:lang w:val="en-US" w:eastAsia="zh-CN"/>
        </w:rPr>
        <w:t>28</w:t>
      </w:r>
      <w:r>
        <w:rPr>
          <w:rFonts w:hint="eastAsia" w:ascii="CESI仿宋-GB2312" w:hAnsi="CESI仿宋-GB2312" w:eastAsia="CESI仿宋-GB2312" w:cs="CESI仿宋-GB2312"/>
          <w:sz w:val="32"/>
          <w:szCs w:val="32"/>
          <w:highlight w:val="none"/>
        </w:rPr>
        <w:t>辆，其中：主要领导干部用车</w:t>
      </w:r>
      <w:r>
        <w:rPr>
          <w:rFonts w:hint="eastAsia" w:ascii="CESI仿宋-GB2312" w:hAnsi="CESI仿宋-GB2312" w:eastAsia="CESI仿宋-GB2312" w:cs="CESI仿宋-GB2312"/>
          <w:sz w:val="32"/>
          <w:szCs w:val="32"/>
          <w:highlight w:val="none"/>
          <w:lang w:val="en-US" w:eastAsia="zh-CN"/>
        </w:rPr>
        <w:t>0</w:t>
      </w:r>
      <w:r>
        <w:rPr>
          <w:rFonts w:hint="eastAsia" w:ascii="CESI仿宋-GB2312" w:hAnsi="CESI仿宋-GB2312" w:eastAsia="CESI仿宋-GB2312" w:cs="CESI仿宋-GB2312"/>
          <w:sz w:val="32"/>
          <w:szCs w:val="32"/>
          <w:highlight w:val="none"/>
        </w:rPr>
        <w:t>辆、机要通信用车</w:t>
      </w:r>
      <w:r>
        <w:rPr>
          <w:rFonts w:hint="eastAsia" w:ascii="CESI仿宋-GB2312" w:hAnsi="CESI仿宋-GB2312" w:eastAsia="CESI仿宋-GB2312" w:cs="CESI仿宋-GB2312"/>
          <w:sz w:val="32"/>
          <w:szCs w:val="32"/>
          <w:highlight w:val="none"/>
          <w:lang w:val="en-US" w:eastAsia="zh-CN"/>
        </w:rPr>
        <w:t>0</w:t>
      </w:r>
      <w:r>
        <w:rPr>
          <w:rFonts w:hint="eastAsia" w:ascii="CESI仿宋-GB2312" w:hAnsi="CESI仿宋-GB2312" w:eastAsia="CESI仿宋-GB2312" w:cs="CESI仿宋-GB2312"/>
          <w:sz w:val="32"/>
          <w:szCs w:val="32"/>
          <w:highlight w:val="none"/>
        </w:rPr>
        <w:t>辆、应急保障用车1辆、</w:t>
      </w:r>
      <w:r>
        <w:rPr>
          <w:rFonts w:hint="eastAsia" w:ascii="CESI仿宋-GB2312" w:hAnsi="CESI仿宋-GB2312" w:eastAsia="CESI仿宋-GB2312" w:cs="CESI仿宋-GB2312"/>
          <w:sz w:val="32"/>
          <w:szCs w:val="32"/>
          <w:highlight w:val="none"/>
          <w:lang w:eastAsia="zh-CN"/>
        </w:rPr>
        <w:t>特种专业技术用车</w:t>
      </w:r>
      <w:r>
        <w:rPr>
          <w:rFonts w:hint="eastAsia" w:ascii="CESI仿宋-GB2312" w:hAnsi="CESI仿宋-GB2312" w:eastAsia="CESI仿宋-GB2312" w:cs="CESI仿宋-GB2312"/>
          <w:sz w:val="32"/>
          <w:szCs w:val="32"/>
          <w:highlight w:val="none"/>
        </w:rPr>
        <w:t>15</w:t>
      </w:r>
      <w:r>
        <w:rPr>
          <w:rFonts w:hint="eastAsia" w:ascii="CESI仿宋-GB2312" w:hAnsi="CESI仿宋-GB2312" w:eastAsia="CESI仿宋-GB2312" w:cs="CESI仿宋-GB2312"/>
          <w:sz w:val="32"/>
          <w:szCs w:val="32"/>
          <w:highlight w:val="none"/>
          <w:lang w:val="en-US" w:eastAsia="zh-CN"/>
        </w:rPr>
        <w:t>辆、</w:t>
      </w:r>
      <w:r>
        <w:rPr>
          <w:rFonts w:hint="eastAsia" w:ascii="CESI仿宋-GB2312" w:hAnsi="CESI仿宋-GB2312" w:eastAsia="CESI仿宋-GB2312" w:cs="CESI仿宋-GB2312"/>
          <w:sz w:val="32"/>
          <w:szCs w:val="32"/>
          <w:highlight w:val="none"/>
        </w:rPr>
        <w:t>其他用车1</w:t>
      </w:r>
      <w:r>
        <w:rPr>
          <w:rFonts w:hint="eastAsia" w:ascii="CESI仿宋-GB2312" w:hAnsi="CESI仿宋-GB2312" w:eastAsia="CESI仿宋-GB2312" w:cs="CESI仿宋-GB2312"/>
          <w:sz w:val="32"/>
          <w:szCs w:val="32"/>
          <w:highlight w:val="none"/>
          <w:lang w:val="en-US" w:eastAsia="zh-CN"/>
        </w:rPr>
        <w:t>2</w:t>
      </w:r>
      <w:r>
        <w:rPr>
          <w:rFonts w:hint="eastAsia" w:ascii="CESI仿宋-GB2312" w:hAnsi="CESI仿宋-GB2312" w:eastAsia="CESI仿宋-GB2312" w:cs="CESI仿宋-GB2312"/>
          <w:sz w:val="32"/>
          <w:szCs w:val="32"/>
          <w:highlight w:val="none"/>
        </w:rPr>
        <w:t>辆，其他用车主要是用于</w:t>
      </w:r>
      <w:r>
        <w:rPr>
          <w:rFonts w:hint="eastAsia" w:ascii="CESI仿宋-GB2312" w:hAnsi="CESI仿宋-GB2312" w:eastAsia="CESI仿宋-GB2312" w:cs="CESI仿宋-GB2312"/>
          <w:sz w:val="32"/>
          <w:szCs w:val="32"/>
          <w:highlight w:val="none"/>
          <w:lang w:eastAsia="zh-CN"/>
        </w:rPr>
        <w:t>开展下社区、下乡进行基本公共卫生服务工作</w:t>
      </w:r>
      <w:r>
        <w:rPr>
          <w:rFonts w:hint="eastAsia" w:ascii="CESI仿宋-GB2312" w:hAnsi="CESI仿宋-GB2312" w:eastAsia="CESI仿宋-GB2312" w:cs="CESI仿宋-GB2312"/>
          <w:sz w:val="32"/>
          <w:szCs w:val="32"/>
          <w:highlight w:val="none"/>
        </w:rPr>
        <w:t>。单价100万元以上设备（不含车辆）15台（套）。</w:t>
      </w:r>
    </w:p>
    <w:p>
      <w:pPr>
        <w:autoSpaceDE w:val="0"/>
        <w:autoSpaceDN w:val="0"/>
        <w:adjustRightInd w:val="0"/>
        <w:spacing w:line="600" w:lineRule="exact"/>
        <w:ind w:firstLine="642"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根据预算绩效管理要求，本部门在2023年度预算编制阶段，组织对</w:t>
      </w:r>
      <w:r>
        <w:rPr>
          <w:rFonts w:hint="eastAsia" w:ascii="CESI仿宋-GB2312" w:hAnsi="CESI仿宋-GB2312" w:eastAsia="CESI仿宋-GB2312" w:cs="CESI仿宋-GB2312"/>
          <w:sz w:val="32"/>
          <w:szCs w:val="32"/>
          <w:lang w:val="en-US" w:eastAsia="zh-CN"/>
        </w:rPr>
        <w:t>基本公共卫生服务</w:t>
      </w:r>
      <w:r>
        <w:rPr>
          <w:rFonts w:hint="eastAsia" w:ascii="CESI仿宋-GB2312" w:hAnsi="CESI仿宋-GB2312" w:eastAsia="CESI仿宋-GB2312" w:cs="CESI仿宋-GB2312"/>
          <w:sz w:val="32"/>
          <w:szCs w:val="32"/>
        </w:rPr>
        <w:t>项目</w:t>
      </w:r>
      <w:r>
        <w:rPr>
          <w:rFonts w:hint="eastAsia" w:ascii="CESI仿宋-GB2312" w:hAnsi="CESI仿宋-GB2312" w:eastAsia="CESI仿宋-GB2312" w:cs="CESI仿宋-GB2312"/>
          <w:sz w:val="32"/>
          <w:szCs w:val="32"/>
          <w:lang w:eastAsia="zh-CN"/>
        </w:rPr>
        <w:t>、基本药物制度补助、重大传染病防治</w:t>
      </w:r>
      <w:r>
        <w:rPr>
          <w:rFonts w:hint="eastAsia" w:ascii="CESI仿宋-GB2312" w:hAnsi="CESI仿宋-GB2312" w:eastAsia="CESI仿宋-GB2312" w:cs="CESI仿宋-GB2312"/>
          <w:sz w:val="32"/>
          <w:szCs w:val="32"/>
        </w:rPr>
        <w:t>等</w:t>
      </w:r>
      <w:r>
        <w:rPr>
          <w:rFonts w:hint="eastAsia" w:ascii="CESI仿宋-GB2312" w:hAnsi="CESI仿宋-GB2312" w:eastAsia="CESI仿宋-GB2312" w:cs="CESI仿宋-GB2312"/>
          <w:sz w:val="32"/>
          <w:szCs w:val="32"/>
          <w:lang w:val="en-US" w:eastAsia="zh-CN"/>
        </w:rPr>
        <w:t>14</w:t>
      </w:r>
      <w:r>
        <w:rPr>
          <w:rFonts w:hint="eastAsia" w:ascii="CESI仿宋-GB2312" w:hAnsi="CESI仿宋-GB2312" w:eastAsia="CESI仿宋-GB2312" w:cs="CESI仿宋-GB2312"/>
          <w:sz w:val="32"/>
          <w:szCs w:val="32"/>
        </w:rPr>
        <w:t>个项目开展了预算事前绩效评估，对</w:t>
      </w:r>
      <w:r>
        <w:rPr>
          <w:rFonts w:hint="eastAsia" w:ascii="CESI仿宋-GB2312" w:hAnsi="CESI仿宋-GB2312" w:eastAsia="CESI仿宋-GB2312" w:cs="CESI仿宋-GB2312"/>
          <w:sz w:val="32"/>
          <w:szCs w:val="32"/>
          <w:lang w:val="en-US" w:eastAsia="zh-CN"/>
        </w:rPr>
        <w:t>5</w:t>
      </w:r>
      <w:r>
        <w:rPr>
          <w:rFonts w:hint="eastAsia" w:ascii="CESI仿宋-GB2312" w:hAnsi="CESI仿宋-GB2312" w:eastAsia="CESI仿宋-GB2312" w:cs="CESI仿宋-GB2312"/>
          <w:sz w:val="32"/>
          <w:szCs w:val="32"/>
        </w:rPr>
        <w:t>个项目编制了绩效目标，预算执行过程中，选取</w:t>
      </w:r>
      <w:r>
        <w:rPr>
          <w:rFonts w:hint="eastAsia" w:ascii="CESI仿宋-GB2312" w:hAnsi="CESI仿宋-GB2312" w:eastAsia="CESI仿宋-GB2312" w:cs="CESI仿宋-GB2312"/>
          <w:sz w:val="32"/>
          <w:szCs w:val="32"/>
          <w:lang w:val="en-US" w:eastAsia="zh-CN"/>
        </w:rPr>
        <w:t>5</w:t>
      </w:r>
      <w:r>
        <w:rPr>
          <w:rFonts w:hint="eastAsia" w:ascii="CESI仿宋-GB2312" w:hAnsi="CESI仿宋-GB2312" w:eastAsia="CESI仿宋-GB2312" w:cs="CESI仿宋-GB2312"/>
          <w:sz w:val="32"/>
          <w:szCs w:val="32"/>
        </w:rPr>
        <w:t>个项目开展绩效监控。</w:t>
      </w:r>
    </w:p>
    <w:p>
      <w:pPr>
        <w:spacing w:line="58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组织对2023年度一般公共预算、政府性基金预算、国有资本经营预算、社会保险基金预算以及资本资产、债券资金等全面开展绩效自评，形成</w:t>
      </w:r>
      <w:r>
        <w:rPr>
          <w:rFonts w:hint="eastAsia" w:ascii="CESI仿宋-GB2312" w:hAnsi="CESI仿宋-GB2312" w:eastAsia="CESI仿宋-GB2312" w:cs="CESI仿宋-GB2312"/>
          <w:sz w:val="32"/>
          <w:szCs w:val="32"/>
          <w:lang w:val="en-US" w:eastAsia="zh-CN"/>
        </w:rPr>
        <w:t>盐边县卫生健康局</w:t>
      </w:r>
      <w:r>
        <w:rPr>
          <w:rFonts w:hint="eastAsia" w:ascii="CESI仿宋-GB2312" w:hAnsi="CESI仿宋-GB2312" w:eastAsia="CESI仿宋-GB2312" w:cs="CESI仿宋-GB2312"/>
          <w:sz w:val="32"/>
          <w:szCs w:val="32"/>
        </w:rPr>
        <w:t>部门整体（含部门预算项目）绩效自评报告、</w:t>
      </w:r>
      <w:r>
        <w:rPr>
          <w:rFonts w:hint="eastAsia" w:ascii="CESI仿宋-GB2312" w:hAnsi="CESI仿宋-GB2312" w:eastAsia="CESI仿宋-GB2312" w:cs="CESI仿宋-GB2312"/>
          <w:sz w:val="32"/>
          <w:szCs w:val="32"/>
          <w:lang w:val="en-US" w:eastAsia="zh-CN"/>
        </w:rPr>
        <w:t>基本公共卫生服务</w:t>
      </w:r>
      <w:r>
        <w:rPr>
          <w:rFonts w:hint="eastAsia" w:ascii="CESI仿宋-GB2312" w:hAnsi="CESI仿宋-GB2312" w:eastAsia="CESI仿宋-GB2312" w:cs="CESI仿宋-GB2312"/>
          <w:sz w:val="32"/>
          <w:szCs w:val="32"/>
        </w:rPr>
        <w:t>等专项预算项目绩效自评报告，其中，</w:t>
      </w:r>
      <w:r>
        <w:rPr>
          <w:rFonts w:hint="eastAsia" w:ascii="CESI仿宋-GB2312" w:hAnsi="CESI仿宋-GB2312" w:eastAsia="CESI仿宋-GB2312" w:cs="CESI仿宋-GB2312"/>
          <w:sz w:val="32"/>
          <w:szCs w:val="32"/>
          <w:lang w:val="en-US" w:eastAsia="zh-CN"/>
        </w:rPr>
        <w:t>盐边县卫生健康局</w:t>
      </w:r>
      <w:r>
        <w:rPr>
          <w:rFonts w:hint="eastAsia" w:ascii="CESI仿宋-GB2312" w:hAnsi="CESI仿宋-GB2312" w:eastAsia="CESI仿宋-GB2312" w:cs="CESI仿宋-GB2312"/>
          <w:sz w:val="32"/>
          <w:szCs w:val="32"/>
        </w:rPr>
        <w:t>部门整体（含部门预算项目）绩效自评得分为</w:t>
      </w:r>
      <w:r>
        <w:rPr>
          <w:rFonts w:hint="eastAsia" w:ascii="CESI仿宋-GB2312" w:hAnsi="CESI仿宋-GB2312" w:eastAsia="CESI仿宋-GB2312" w:cs="CESI仿宋-GB2312"/>
          <w:sz w:val="32"/>
          <w:szCs w:val="32"/>
          <w:lang w:val="en-US" w:eastAsia="zh-CN"/>
        </w:rPr>
        <w:t>100</w:t>
      </w:r>
      <w:r>
        <w:rPr>
          <w:rFonts w:hint="eastAsia" w:ascii="CESI仿宋-GB2312" w:hAnsi="CESI仿宋-GB2312" w:eastAsia="CESI仿宋-GB2312" w:cs="CESI仿宋-GB2312"/>
          <w:sz w:val="32"/>
          <w:szCs w:val="32"/>
        </w:rPr>
        <w:t>分，绩效自评综述：</w:t>
      </w:r>
      <w:r>
        <w:rPr>
          <w:rFonts w:hint="eastAsia" w:ascii="CESI仿宋-GB2312" w:hAnsi="CESI仿宋-GB2312" w:eastAsia="CESI仿宋-GB2312" w:cs="CESI仿宋-GB2312"/>
          <w:sz w:val="32"/>
          <w:szCs w:val="32"/>
          <w:lang w:val="en-US" w:eastAsia="zh-CN"/>
        </w:rPr>
        <w:t>绩效目标基本实现</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基本公共卫生服务</w:t>
      </w:r>
      <w:r>
        <w:rPr>
          <w:rFonts w:hint="eastAsia" w:ascii="CESI仿宋-GB2312" w:hAnsi="CESI仿宋-GB2312" w:eastAsia="CESI仿宋-GB2312" w:cs="CESI仿宋-GB2312"/>
          <w:sz w:val="32"/>
          <w:szCs w:val="32"/>
        </w:rPr>
        <w:t>专项预算项目绩效自评得分为</w:t>
      </w:r>
      <w:r>
        <w:rPr>
          <w:rFonts w:hint="eastAsia" w:ascii="CESI仿宋-GB2312" w:hAnsi="CESI仿宋-GB2312" w:eastAsia="CESI仿宋-GB2312" w:cs="CESI仿宋-GB2312"/>
          <w:sz w:val="32"/>
          <w:szCs w:val="32"/>
          <w:lang w:val="en-US" w:eastAsia="zh-CN"/>
        </w:rPr>
        <w:t>100</w:t>
      </w:r>
      <w:r>
        <w:rPr>
          <w:rFonts w:hint="eastAsia" w:ascii="CESI仿宋-GB2312" w:hAnsi="CESI仿宋-GB2312" w:eastAsia="CESI仿宋-GB2312" w:cs="CESI仿宋-GB2312"/>
          <w:sz w:val="32"/>
          <w:szCs w:val="32"/>
        </w:rPr>
        <w:t>分，绩效自评综述：</w:t>
      </w:r>
      <w:r>
        <w:rPr>
          <w:rFonts w:hint="eastAsia" w:ascii="CESI仿宋-GB2312" w:hAnsi="CESI仿宋-GB2312" w:eastAsia="CESI仿宋-GB2312" w:cs="CESI仿宋-GB2312"/>
          <w:sz w:val="32"/>
          <w:szCs w:val="32"/>
          <w:lang w:val="en-US" w:eastAsia="zh-CN"/>
        </w:rPr>
        <w:t>绩效目标基本实现</w:t>
      </w:r>
      <w:r>
        <w:rPr>
          <w:rFonts w:hint="eastAsia" w:ascii="CESI仿宋-GB2312" w:hAnsi="CESI仿宋-GB2312" w:eastAsia="CESI仿宋-GB2312" w:cs="CESI仿宋-GB2312"/>
          <w:sz w:val="32"/>
          <w:szCs w:val="32"/>
        </w:rPr>
        <w:t>。绩效自评报告详见附件。</w:t>
      </w:r>
    </w:p>
    <w:p>
      <w:pPr>
        <w:pStyle w:val="2"/>
        <w:jc w:val="center"/>
        <w:rPr>
          <w:rFonts w:hint="eastAsia"/>
        </w:rPr>
      </w:pPr>
    </w:p>
    <w:p>
      <w:pPr>
        <w:pStyle w:val="2"/>
        <w:jc w:val="center"/>
        <w:rPr>
          <w:rFonts w:hint="eastAsia"/>
        </w:rPr>
      </w:pPr>
    </w:p>
    <w:p>
      <w:pPr>
        <w:pStyle w:val="2"/>
        <w:spacing w:before="0" w:after="0" w:line="240" w:lineRule="auto"/>
        <w:jc w:val="both"/>
        <w:rPr>
          <w:rFonts w:hint="eastAsia"/>
        </w:rPr>
      </w:pPr>
    </w:p>
    <w:p>
      <w:pPr>
        <w:rPr>
          <w:rFonts w:hint="eastAsia"/>
        </w:rPr>
      </w:pPr>
    </w:p>
    <w:p>
      <w:pPr>
        <w:pStyle w:val="5"/>
        <w:rPr>
          <w:rFonts w:hint="eastAsia"/>
        </w:rPr>
      </w:pPr>
    </w:p>
    <w:p>
      <w:pPr>
        <w:rPr>
          <w:rFonts w:hint="eastAsia"/>
        </w:rPr>
      </w:pPr>
    </w:p>
    <w:p>
      <w:pPr>
        <w:pStyle w:val="2"/>
        <w:spacing w:before="0" w:after="0" w:line="240" w:lineRule="auto"/>
        <w:jc w:val="center"/>
        <w:rPr>
          <w:rFonts w:hint="eastAsia"/>
        </w:rPr>
      </w:pPr>
    </w:p>
    <w:p>
      <w:pPr>
        <w:pStyle w:val="2"/>
        <w:spacing w:before="0" w:after="0" w:line="240" w:lineRule="auto"/>
        <w:jc w:val="center"/>
        <w:rPr>
          <w:rFonts w:hint="eastAsia"/>
        </w:rPr>
      </w:pPr>
    </w:p>
    <w:p>
      <w:pPr>
        <w:pStyle w:val="2"/>
        <w:spacing w:before="0" w:after="0" w:line="240" w:lineRule="auto"/>
        <w:jc w:val="both"/>
        <w:rPr>
          <w:rFonts w:hint="eastAsia"/>
        </w:rPr>
      </w:pPr>
    </w:p>
    <w:p>
      <w:pPr>
        <w:pStyle w:val="2"/>
        <w:spacing w:before="0" w:after="0" w:line="240" w:lineRule="auto"/>
        <w:jc w:val="center"/>
        <w:rPr>
          <w:rFonts w:hint="eastAsia"/>
        </w:rPr>
      </w:pPr>
    </w:p>
    <w:p>
      <w:pPr>
        <w:pStyle w:val="2"/>
        <w:spacing w:before="0" w:after="0" w:line="240" w:lineRule="auto"/>
        <w:jc w:val="center"/>
        <w:rPr>
          <w:rFonts w:hint="eastAsia"/>
        </w:rPr>
      </w:pPr>
    </w:p>
    <w:p>
      <w:pPr>
        <w:pStyle w:val="2"/>
        <w:spacing w:before="0" w:after="0" w:line="240" w:lineRule="auto"/>
        <w:jc w:val="center"/>
        <w:rPr>
          <w:rFonts w:hint="eastAsia"/>
        </w:rPr>
      </w:pPr>
    </w:p>
    <w:p>
      <w:pPr>
        <w:pStyle w:val="2"/>
        <w:spacing w:before="0" w:after="0" w:line="240" w:lineRule="auto"/>
        <w:jc w:val="center"/>
        <w:rPr>
          <w:rFonts w:hint="eastAsia"/>
        </w:rPr>
      </w:pPr>
    </w:p>
    <w:p>
      <w:pPr>
        <w:pStyle w:val="2"/>
        <w:spacing w:before="0" w:after="0" w:line="240" w:lineRule="auto"/>
        <w:jc w:val="center"/>
        <w:rPr>
          <w:rFonts w:hint="eastAsia"/>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pStyle w:val="2"/>
        <w:spacing w:before="0" w:after="0" w:line="240" w:lineRule="auto"/>
        <w:jc w:val="center"/>
      </w:pPr>
      <w:r>
        <w:rPr>
          <w:rFonts w:hint="eastAsia"/>
        </w:rPr>
        <w:t>第三部分 名词解释</w:t>
      </w:r>
    </w:p>
    <w:p>
      <w:pPr>
        <w:rPr>
          <w:rFonts w:hint="default" w:ascii="Times New Roman" w:hAnsi="Times New Roman" w:eastAsia="仿宋_GB2312" w:cs="Times New Roman"/>
          <w:color w:val="auto"/>
          <w:sz w:val="32"/>
          <w:szCs w:val="32"/>
        </w:rPr>
      </w:pP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1.财政拨款收入：指单位从同级财政部门取得的财政预算资金。</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2.事业收入：指事业单位开展专业业务活动及辅助活动取得的收入。</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3.经营收入：指事业单位在专业业务活动及其辅助活动之外开展非独立核算经营活动取得的收入。</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4.其他收入：指单位取得的除上述收入以外的各项收入。</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5.使用非财政拨款结余：指事业单位使用以前年度积累的非财政拨款结余弥补当年收支差额的金额。</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6.年初结转和结余：指以前年度尚未完成、结转到本年按有关规定继续使用的资金。</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7.结余分配：指事业单位按照会计制度规定缴纳的所得税、提取的专用结余以及转入非财政拨款结余的金额等。</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8</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rPr>
        <w:t>年末结转和结余：指单位按有关规定结转到下年或以后年度继续使用的资金。</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9.一般公共服务（类）组织服务（款）一般行政管理事务（项）:反映行政单位未单独设置项级科目的其他项目支出。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10.社会保障和就业（类）行政事业单位养老支出（款）:行政单位离退休（项）: 反映行政单位（包括实行公务员管理的事业单位）开支的离退休经费。</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11.社会保障和就业（类）行政事业单位养老支出（款）:事业单位离退休（项）: 反映事业单位开支的离退休经费。</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12.社会保障和就业（类）行政事业单位养老支出（款）:机关事业单位基本养老保险缴费支出（项）: 反映机关事业单位实施养老保险制度由单位缴纳的基本养老保险支出。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13.社会保障和就业（类）行政事业单位养老支出（款）:机关事业单位职业年金缴费支出（项）: 反映机关事业单位实施养老保险制度由单位缴纳的职业年金支出。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14.社会保障和就业（类）抚恤（款）死亡抚恤（项）:反映按规定用于烈士和牺牲、病故人员家属的一次性和定期抚恤金以及丧葬费补助。</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15.社会保障和就业（类）抚恤（款）伤残抚恤（项）:反映按规定用于伤残人员的抚恤金和按规定开支的各种伤残补助。</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16.卫生健康支出（类）卫生健康管理事务（款）行政运行（项）:指行政单位（包括实行公务员管理的事业单位）的基本支出。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17.卫生健康支出（类）卫生健康管理事务（款）其他卫生健康管理事务支出（项）:反映除上述项目以外其他用于卫生健康管理事务方面的支出。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18.卫生健康支出（类）公立医院（款）综合医院（项）:反映卫生健康、中医部门所属的城市综合性医院、独立门诊、教学医院、疗养院和县医院的支出。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19.卫生健康支出（类）公立医院（款）中医（民族）医院（项）:反映卫生健康、中医部门所属的中医院。中西医结合医院、民族医院的支出。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20.卫生健康支出（类）公立医院（款）其他公立医院支出（项）:指其他用于公立医院方面的支出。。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21.卫生健康支出（类）基层医疗卫生机构（款）城市社区卫生机构（项）:反映用于城市社区卫生机构的支出。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22.卫生健康支出（类）基层医疗卫生机构（款）乡镇卫生院（项）:反映用于乡镇卫生院的支出。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23.卫生健康支出（类）基层医疗卫生机构（款）其他基层医疗卫生机构支出（项）:指用于基层医疗卫生机构的支出。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24.卫生健康支出（类）公共卫生（款） 疾病预防控制机构（项）:反映卫生健康部门所属疾病预防控制机构的支出。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rPr>
        <w:t>.卫生健康支出（类）公共卫生（款） 妇幼保健机构（项）:反映卫生健康部门所属妇幼妇幼保健机构的支出。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rPr>
        <w:t>.卫生健康支出（类）公共卫生（款） 基本公共卫生服务（项）:指基本公共卫生服务支出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w:t>
      </w:r>
      <w:r>
        <w:rPr>
          <w:rFonts w:hint="eastAsia" w:ascii="CESI仿宋-GB2312" w:hAnsi="CESI仿宋-GB2312" w:eastAsia="CESI仿宋-GB2312" w:cs="CESI仿宋-GB2312"/>
          <w:color w:val="auto"/>
          <w:sz w:val="32"/>
          <w:szCs w:val="32"/>
          <w:lang w:val="en-US" w:eastAsia="zh-CN"/>
        </w:rPr>
        <w:t>7</w:t>
      </w:r>
      <w:r>
        <w:rPr>
          <w:rFonts w:hint="eastAsia" w:ascii="CESI仿宋-GB2312" w:hAnsi="CESI仿宋-GB2312" w:eastAsia="CESI仿宋-GB2312" w:cs="CESI仿宋-GB2312"/>
          <w:color w:val="auto"/>
          <w:sz w:val="32"/>
          <w:szCs w:val="32"/>
        </w:rPr>
        <w:t>.卫生健康支出（类）公共卫生（款）重大公共卫生服务（项）:指重大疾病预防控制等重大公共卫生服务项目支出。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w:t>
      </w:r>
      <w:r>
        <w:rPr>
          <w:rFonts w:hint="eastAsia" w:ascii="CESI仿宋-GB2312" w:hAnsi="CESI仿宋-GB2312" w:eastAsia="CESI仿宋-GB2312" w:cs="CESI仿宋-GB2312"/>
          <w:color w:val="auto"/>
          <w:sz w:val="32"/>
          <w:szCs w:val="32"/>
          <w:lang w:val="en-US" w:eastAsia="zh-CN"/>
        </w:rPr>
        <w:t>8</w:t>
      </w:r>
      <w:r>
        <w:rPr>
          <w:rFonts w:hint="eastAsia" w:ascii="CESI仿宋-GB2312" w:hAnsi="CESI仿宋-GB2312" w:eastAsia="CESI仿宋-GB2312" w:cs="CESI仿宋-GB2312"/>
          <w:color w:val="auto"/>
          <w:sz w:val="32"/>
          <w:szCs w:val="32"/>
        </w:rPr>
        <w:t>.卫生健康支出（类）公共卫生（款）突发公共卫生事件应急处理（项）:反映用于突发公共卫生事件应急处理的支出。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val="en-US" w:eastAsia="zh-CN"/>
        </w:rPr>
        <w:t>29</w:t>
      </w:r>
      <w:r>
        <w:rPr>
          <w:rFonts w:hint="eastAsia" w:ascii="CESI仿宋-GB2312" w:hAnsi="CESI仿宋-GB2312" w:eastAsia="CESI仿宋-GB2312" w:cs="CESI仿宋-GB2312"/>
          <w:color w:val="auto"/>
          <w:sz w:val="32"/>
          <w:szCs w:val="32"/>
        </w:rPr>
        <w:t>.卫生健康支出（类）公共卫生（款） 其他公共卫生支出（项）:反映除上述项目以外的其他用于公共卫生方面的支出。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.卫生健康支出（类）中医药（款） 中医（民族医）药专项（项）:指除中医（民族医）药专项支出以外的其他中医药支出。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.卫生健康支出（类）中医药（款）其他中医药支出（项）:反映除中医（民族医）药专项支出以外的其他中医药支出。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w:t>
      </w:r>
      <w:r>
        <w:rPr>
          <w:rFonts w:hint="eastAsia" w:ascii="CESI仿宋-GB2312" w:hAnsi="CESI仿宋-GB2312" w:eastAsia="CESI仿宋-GB2312" w:cs="CESI仿宋-GB2312"/>
          <w:color w:val="auto"/>
          <w:sz w:val="32"/>
          <w:szCs w:val="32"/>
          <w:lang w:val="en-US" w:eastAsia="zh-CN"/>
        </w:rPr>
        <w:t>2</w:t>
      </w:r>
      <w:r>
        <w:rPr>
          <w:rFonts w:hint="eastAsia" w:ascii="CESI仿宋-GB2312" w:hAnsi="CESI仿宋-GB2312" w:eastAsia="CESI仿宋-GB2312" w:cs="CESI仿宋-GB2312"/>
          <w:color w:val="auto"/>
          <w:sz w:val="32"/>
          <w:szCs w:val="32"/>
        </w:rPr>
        <w:t>.卫生健康支出（类）计划生育事务（款）计划生育服务（项）:指计划生育服务支出。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rPr>
        <w:t>.卫生健康支出（类）计划生育事务（款）其他计划生育事务支出（项）:指其他用于计划生育管理事务方面的支出。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w:t>
      </w:r>
      <w:r>
        <w:rPr>
          <w:rFonts w:hint="eastAsia" w:ascii="CESI仿宋-GB2312" w:hAnsi="CESI仿宋-GB2312" w:eastAsia="CESI仿宋-GB2312" w:cs="CESI仿宋-GB2312"/>
          <w:color w:val="auto"/>
          <w:sz w:val="32"/>
          <w:szCs w:val="32"/>
          <w:lang w:val="en-US" w:eastAsia="zh-CN"/>
        </w:rPr>
        <w:t>4</w:t>
      </w:r>
      <w:r>
        <w:rPr>
          <w:rFonts w:hint="eastAsia" w:ascii="CESI仿宋-GB2312" w:hAnsi="CESI仿宋-GB2312" w:eastAsia="CESI仿宋-GB2312" w:cs="CESI仿宋-GB2312"/>
          <w:color w:val="auto"/>
          <w:sz w:val="32"/>
          <w:szCs w:val="32"/>
        </w:rPr>
        <w:t>.卫生健康支出（类）行政事业单位医疗（款）行政单位医疗（项）:反映财政部门安排的行政单位（包括实行公务员管理的事业单位）基本医疗保险缴费经费，未参加医疗保险的行政单位的公费医疗经费，按国家规定享受离休人员、红军老战士待遇人员的医疗经费。</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rPr>
        <w:t>.卫生健康支出（类） 行政事业单位医疗（款）事业单位医疗（项）:反映财政部门安排的事业单位基本医疗保险缴费经费，未参加医疗保险的事业单位的公费医疗经费，按国家规定享受离休人员待遇的医疗经费。</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rPr>
        <w:t>.卫生健康支出（类） 行政事业单位医疗（款）  公务员医疗补助（项）:反映财政部门安排的公务员医疗补助经费。</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w:t>
      </w:r>
      <w:r>
        <w:rPr>
          <w:rFonts w:hint="eastAsia" w:ascii="CESI仿宋-GB2312" w:hAnsi="CESI仿宋-GB2312" w:eastAsia="CESI仿宋-GB2312" w:cs="CESI仿宋-GB2312"/>
          <w:color w:val="auto"/>
          <w:sz w:val="32"/>
          <w:szCs w:val="32"/>
          <w:lang w:val="en-US" w:eastAsia="zh-CN"/>
        </w:rPr>
        <w:t>7</w:t>
      </w:r>
      <w:r>
        <w:rPr>
          <w:rFonts w:hint="eastAsia" w:ascii="CESI仿宋-GB2312" w:hAnsi="CESI仿宋-GB2312" w:eastAsia="CESI仿宋-GB2312" w:cs="CESI仿宋-GB2312"/>
          <w:color w:val="auto"/>
          <w:sz w:val="32"/>
          <w:szCs w:val="32"/>
        </w:rPr>
        <w:t>.卫生健康支出（类） 行政事业单位医疗（款）其他行政事业单位医疗支出（项）:反映除上述项目以外的其他用于行政事业单位医疗方面的支出。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w:t>
      </w:r>
      <w:r>
        <w:rPr>
          <w:rFonts w:hint="eastAsia" w:ascii="CESI仿宋-GB2312" w:hAnsi="CESI仿宋-GB2312" w:eastAsia="CESI仿宋-GB2312" w:cs="CESI仿宋-GB2312"/>
          <w:color w:val="auto"/>
          <w:sz w:val="32"/>
          <w:szCs w:val="32"/>
          <w:lang w:val="en-US" w:eastAsia="zh-CN"/>
        </w:rPr>
        <w:t>8</w:t>
      </w:r>
      <w:r>
        <w:rPr>
          <w:rFonts w:hint="eastAsia" w:ascii="CESI仿宋-GB2312" w:hAnsi="CESI仿宋-GB2312" w:eastAsia="CESI仿宋-GB2312" w:cs="CESI仿宋-GB2312"/>
          <w:color w:val="auto"/>
          <w:sz w:val="32"/>
          <w:szCs w:val="32"/>
        </w:rPr>
        <w:t>.卫生健康支出（类）其他卫生健康支出（款）其他卫生健康支出（项）:指用于其他卫生健康方面的支出。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val="en-US" w:eastAsia="zh-CN"/>
        </w:rPr>
        <w:t>39</w:t>
      </w:r>
      <w:r>
        <w:rPr>
          <w:rFonts w:hint="eastAsia" w:ascii="CESI仿宋-GB2312" w:hAnsi="CESI仿宋-GB2312" w:eastAsia="CESI仿宋-GB2312" w:cs="CESI仿宋-GB2312"/>
          <w:color w:val="auto"/>
          <w:sz w:val="32"/>
          <w:szCs w:val="32"/>
        </w:rPr>
        <w:t>.农林水支出（类）</w:t>
      </w:r>
      <w:r>
        <w:rPr>
          <w:rFonts w:hint="eastAsia" w:ascii="CESI仿宋-GB2312" w:hAnsi="CESI仿宋-GB2312" w:eastAsia="CESI仿宋-GB2312" w:cs="CESI仿宋-GB2312"/>
          <w:color w:val="auto"/>
          <w:sz w:val="32"/>
          <w:szCs w:val="32"/>
          <w:lang w:val="en-US" w:eastAsia="zh-CN"/>
        </w:rPr>
        <w:t>巩固脱贫衔接乡村振兴</w:t>
      </w:r>
      <w:r>
        <w:rPr>
          <w:rFonts w:hint="eastAsia" w:ascii="CESI仿宋-GB2312" w:hAnsi="CESI仿宋-GB2312" w:eastAsia="CESI仿宋-GB2312" w:cs="CESI仿宋-GB2312"/>
          <w:color w:val="auto"/>
          <w:sz w:val="32"/>
          <w:szCs w:val="32"/>
        </w:rPr>
        <w:t>（款）</w:t>
      </w:r>
      <w:r>
        <w:rPr>
          <w:rFonts w:hint="eastAsia" w:ascii="CESI仿宋-GB2312" w:hAnsi="CESI仿宋-GB2312" w:eastAsia="CESI仿宋-GB2312" w:cs="CESI仿宋-GB2312"/>
          <w:color w:val="auto"/>
          <w:sz w:val="32"/>
          <w:szCs w:val="32"/>
          <w:lang w:val="en-US" w:eastAsia="zh-CN"/>
        </w:rPr>
        <w:t>其他巩固脱贫衔接乡村振兴支出</w:t>
      </w:r>
      <w:r>
        <w:rPr>
          <w:rFonts w:hint="eastAsia" w:ascii="CESI仿宋-GB2312" w:hAnsi="CESI仿宋-GB2312" w:eastAsia="CESI仿宋-GB2312" w:cs="CESI仿宋-GB2312"/>
          <w:color w:val="auto"/>
          <w:sz w:val="32"/>
          <w:szCs w:val="32"/>
        </w:rPr>
        <w:t>（项）:反映除上述项目以外其他用于</w:t>
      </w:r>
      <w:r>
        <w:rPr>
          <w:rFonts w:hint="eastAsia" w:ascii="CESI仿宋-GB2312" w:hAnsi="CESI仿宋-GB2312" w:eastAsia="CESI仿宋-GB2312" w:cs="CESI仿宋-GB2312"/>
          <w:color w:val="auto"/>
          <w:sz w:val="32"/>
          <w:szCs w:val="32"/>
          <w:lang w:val="en-US" w:eastAsia="zh-CN"/>
        </w:rPr>
        <w:t>巩固拓展脱贫攻坚成果同乡村振兴有效衔接</w:t>
      </w:r>
      <w:r>
        <w:rPr>
          <w:rFonts w:hint="eastAsia" w:ascii="CESI仿宋-GB2312" w:hAnsi="CESI仿宋-GB2312" w:eastAsia="CESI仿宋-GB2312" w:cs="CESI仿宋-GB2312"/>
          <w:color w:val="auto"/>
          <w:sz w:val="32"/>
          <w:szCs w:val="32"/>
        </w:rPr>
        <w:t xml:space="preserve">方面的支出。  </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4</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.住房保障支出（类）住房改革支出（款）住房公积金（项）:指单位按照人力资源和社会保障部、财政部规定的基本工资和津贴补贴以及规定比例为职工缴纳的住房公积金。</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4</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.其他支出（类）其他支出（款） 其他支出（项）:反映除上述项目以外其他不能划分具体功能科目中的支出项目。</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4</w:t>
      </w:r>
      <w:r>
        <w:rPr>
          <w:rFonts w:hint="eastAsia" w:ascii="CESI仿宋-GB2312" w:hAnsi="CESI仿宋-GB2312" w:eastAsia="CESI仿宋-GB2312" w:cs="CESI仿宋-GB2312"/>
          <w:color w:val="auto"/>
          <w:sz w:val="32"/>
          <w:szCs w:val="32"/>
          <w:lang w:val="en-US" w:eastAsia="zh-CN"/>
        </w:rPr>
        <w:t>2</w:t>
      </w:r>
      <w:r>
        <w:rPr>
          <w:rFonts w:hint="eastAsia" w:ascii="CESI仿宋-GB2312" w:hAnsi="CESI仿宋-GB2312" w:eastAsia="CESI仿宋-GB2312" w:cs="CESI仿宋-GB2312"/>
          <w:color w:val="auto"/>
          <w:sz w:val="32"/>
          <w:szCs w:val="32"/>
        </w:rPr>
        <w:t>.基本支出：指为保障机构正常运转、完成日常工作任务而发生的人员支出和公用支出。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4</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rPr>
        <w:t>.项目支出：指在基本支出之外为完成特定行政任务和事业发展目标所发生的支出。</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4</w:t>
      </w:r>
      <w:r>
        <w:rPr>
          <w:rFonts w:hint="eastAsia" w:ascii="CESI仿宋-GB2312" w:hAnsi="CESI仿宋-GB2312" w:eastAsia="CESI仿宋-GB2312" w:cs="CESI仿宋-GB2312"/>
          <w:color w:val="auto"/>
          <w:sz w:val="32"/>
          <w:szCs w:val="32"/>
          <w:lang w:val="en-US" w:eastAsia="zh-CN"/>
        </w:rPr>
        <w:t>4</w:t>
      </w:r>
      <w:r>
        <w:rPr>
          <w:rFonts w:hint="eastAsia" w:ascii="CESI仿宋-GB2312" w:hAnsi="CESI仿宋-GB2312" w:eastAsia="CESI仿宋-GB2312" w:cs="CESI仿宋-GB2312"/>
          <w:color w:val="auto"/>
          <w:sz w:val="32"/>
          <w:szCs w:val="32"/>
        </w:rPr>
        <w:t>.经营支出：指事业单位在专业业务活动及其辅助活动之外开展非独立核算经营活动发生的支出。</w:t>
      </w:r>
    </w:p>
    <w:p>
      <w:pPr>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auto"/>
          <w:sz w:val="32"/>
          <w:szCs w:val="32"/>
        </w:rPr>
        <w:t>4</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ascii="仿宋_GB2312" w:eastAsia="仿宋_GB2312"/>
          <w:sz w:val="32"/>
          <w:szCs w:val="32"/>
        </w:rPr>
      </w:pPr>
      <w:r>
        <w:rPr>
          <w:rFonts w:hint="eastAsia" w:ascii="CESI仿宋-GB2312" w:hAnsi="CESI仿宋-GB2312" w:eastAsia="CESI仿宋-GB2312" w:cs="CESI仿宋-GB2312"/>
          <w:color w:val="auto"/>
          <w:sz w:val="32"/>
          <w:szCs w:val="32"/>
        </w:rPr>
        <w:t>4</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2" w:firstLineChars="200"/>
        <w:rPr>
          <w:rFonts w:ascii="仿宋" w:hAnsi="仿宋" w:eastAsia="仿宋"/>
          <w:b/>
          <w:sz w:val="32"/>
          <w:szCs w:val="32"/>
        </w:rPr>
      </w:pPr>
      <w:r>
        <w:rPr>
          <w:rFonts w:ascii="仿宋" w:hAnsi="仿宋" w:eastAsia="仿宋"/>
          <w:b/>
          <w:sz w:val="32"/>
          <w:szCs w:val="32"/>
        </w:rPr>
        <w:br w:type="page"/>
      </w:r>
    </w:p>
    <w:p>
      <w:pPr>
        <w:spacing w:line="600" w:lineRule="exact"/>
        <w:jc w:val="center"/>
        <w:outlineLvl w:val="0"/>
        <w:rPr>
          <w:rStyle w:val="40"/>
          <w:rFonts w:hint="eastAsia" w:ascii="黑体" w:hAnsi="黑体" w:eastAsia="黑体"/>
          <w:b w:val="0"/>
        </w:rPr>
      </w:pPr>
      <w:bookmarkStart w:id="70" w:name="_Toc15396614"/>
      <w:r>
        <w:rPr>
          <w:rFonts w:hint="eastAsia" w:ascii="黑体" w:hAnsi="黑体" w:eastAsia="黑体"/>
          <w:sz w:val="44"/>
          <w:szCs w:val="44"/>
        </w:rPr>
        <w:t>第</w:t>
      </w:r>
      <w:r>
        <w:rPr>
          <w:rStyle w:val="40"/>
          <w:rFonts w:hint="eastAsia" w:ascii="黑体" w:hAnsi="黑体" w:eastAsia="黑体"/>
          <w:b w:val="0"/>
        </w:rPr>
        <w:t>四部分 附件</w:t>
      </w:r>
      <w:bookmarkEnd w:id="70"/>
    </w:p>
    <w:p>
      <w:pPr>
        <w:spacing w:line="572" w:lineRule="exact"/>
        <w:jc w:val="left"/>
        <w:outlineLvl w:val="0"/>
        <w:rPr>
          <w:rFonts w:hint="eastAsia" w:ascii="黑体" w:hAnsi="黑体" w:eastAsia="黑体" w:cs="黑体"/>
          <w:color w:val="FF0000"/>
          <w:sz w:val="32"/>
          <w:szCs w:val="32"/>
        </w:rPr>
      </w:pPr>
    </w:p>
    <w:p>
      <w:pPr>
        <w:spacing w:line="572" w:lineRule="exact"/>
        <w:jc w:val="left"/>
        <w:outlineLvl w:val="0"/>
        <w:rPr>
          <w:rFonts w:hint="eastAsia" w:ascii="方正小标宋简体" w:hAnsi="方正小标宋简体" w:eastAsia="黑体" w:cs="方正小标宋简体"/>
          <w:sz w:val="44"/>
          <w:szCs w:val="44"/>
        </w:rPr>
      </w:pPr>
      <w:r>
        <w:rPr>
          <w:rFonts w:hint="eastAsia" w:ascii="黑体" w:hAnsi="黑体" w:eastAsia="黑体" w:cs="黑体"/>
          <w:sz w:val="32"/>
          <w:szCs w:val="32"/>
        </w:rPr>
        <w:t>附件1</w:t>
      </w:r>
    </w:p>
    <w:p>
      <w:pPr>
        <w:widowControl/>
        <w:adjustRightInd w:val="0"/>
        <w:snapToGrid w:val="0"/>
        <w:spacing w:line="578" w:lineRule="exact"/>
        <w:ind w:firstLine="880" w:firstLineChars="200"/>
        <w:contextualSpacing/>
        <w:jc w:val="center"/>
        <w:rPr>
          <w:rFonts w:hint="eastAsia" w:ascii="Times New Roman" w:hAnsi="Times New Roman" w:eastAsia="方正小标宋简体"/>
          <w:bCs/>
          <w:sz w:val="44"/>
          <w:szCs w:val="44"/>
          <w:shd w:val="clear" w:color="auto" w:fill="FFFFFF"/>
        </w:rPr>
      </w:pPr>
      <w:r>
        <w:rPr>
          <w:rFonts w:hint="eastAsia" w:ascii="Times New Roman" w:hAnsi="Times New Roman" w:eastAsia="方正小标宋简体"/>
          <w:bCs/>
          <w:sz w:val="44"/>
          <w:szCs w:val="44"/>
          <w:shd w:val="clear" w:color="auto" w:fill="FFFFFF"/>
        </w:rPr>
        <w:t>盐边县卫生健康局</w:t>
      </w:r>
    </w:p>
    <w:p>
      <w:pPr>
        <w:widowControl/>
        <w:adjustRightInd w:val="0"/>
        <w:snapToGrid w:val="0"/>
        <w:spacing w:line="578" w:lineRule="exact"/>
        <w:ind w:firstLine="880" w:firstLineChars="200"/>
        <w:contextualSpacing/>
        <w:jc w:val="center"/>
        <w:rPr>
          <w:rFonts w:hint="eastAsia" w:ascii="Times New Roman" w:hAnsi="Times New Roman" w:eastAsia="方正小标宋简体"/>
          <w:bCs/>
          <w:sz w:val="44"/>
          <w:szCs w:val="44"/>
          <w:shd w:val="clear" w:color="auto" w:fill="FFFFFF"/>
        </w:rPr>
      </w:pPr>
      <w:r>
        <w:rPr>
          <w:rFonts w:hint="eastAsia" w:ascii="Times New Roman" w:hAnsi="Times New Roman" w:eastAsia="方正小标宋简体"/>
          <w:bCs/>
          <w:sz w:val="44"/>
          <w:szCs w:val="44"/>
          <w:shd w:val="clear" w:color="auto" w:fill="FFFFFF"/>
        </w:rPr>
        <w:t>部门整体支出绩效自评报告</w:t>
      </w:r>
    </w:p>
    <w:p>
      <w:pPr>
        <w:pStyle w:val="5"/>
      </w:pPr>
    </w:p>
    <w:p>
      <w:pPr>
        <w:widowControl/>
        <w:adjustRightInd w:val="0"/>
        <w:snapToGrid w:val="0"/>
        <w:spacing w:line="580" w:lineRule="exact"/>
        <w:ind w:firstLine="640" w:firstLineChars="200"/>
        <w:contextualSpacing/>
        <w:jc w:val="left"/>
        <w:rPr>
          <w:rFonts w:eastAsia="黑体"/>
          <w:kern w:val="0"/>
          <w:sz w:val="32"/>
          <w:szCs w:val="32"/>
          <w:shd w:val="clear" w:color="auto" w:fill="FFFFFF"/>
          <w:lang w:val="zh-CN"/>
        </w:rPr>
      </w:pPr>
      <w:r>
        <w:rPr>
          <w:rFonts w:eastAsia="黑体"/>
          <w:kern w:val="0"/>
          <w:sz w:val="32"/>
          <w:szCs w:val="32"/>
          <w:shd w:val="clear" w:color="auto" w:fill="FFFFFF"/>
        </w:rPr>
        <w:t>一、</w:t>
      </w:r>
      <w:r>
        <w:rPr>
          <w:rFonts w:eastAsia="黑体"/>
          <w:kern w:val="0"/>
          <w:sz w:val="32"/>
          <w:szCs w:val="32"/>
          <w:shd w:val="clear" w:color="auto" w:fill="FFFFFF"/>
          <w:lang w:val="zh-CN"/>
        </w:rPr>
        <w:t>部门概况</w:t>
      </w:r>
    </w:p>
    <w:p>
      <w:pPr>
        <w:ind w:firstLine="640" w:firstLineChars="200"/>
        <w:rPr>
          <w:rFonts w:hint="eastAsia" w:ascii="CESI仿宋-GB2312" w:hAnsi="CESI仿宋-GB2312" w:eastAsia="CESI仿宋-GB2312" w:cs="CESI仿宋-GB2312"/>
          <w:sz w:val="32"/>
          <w:szCs w:val="32"/>
        </w:rPr>
      </w:pPr>
      <w:r>
        <w:rPr>
          <w:kern w:val="0"/>
          <w:sz w:val="32"/>
          <w:szCs w:val="32"/>
          <w:shd w:val="clear" w:color="auto" w:fill="FFFFFF"/>
          <w:lang w:val="zh-CN"/>
        </w:rPr>
        <w:t>（一）机构组成。</w:t>
      </w:r>
      <w:r>
        <w:rPr>
          <w:rFonts w:hint="eastAsia" w:ascii="CESI仿宋-GB2312" w:hAnsi="CESI仿宋-GB2312" w:eastAsia="CESI仿宋-GB2312" w:cs="CESI仿宋-GB2312"/>
          <w:b w:val="0"/>
          <w:bCs/>
          <w:sz w:val="32"/>
          <w:szCs w:val="32"/>
          <w:lang w:eastAsia="zh-CN"/>
        </w:rPr>
        <w:t>全县</w:t>
      </w:r>
      <w:r>
        <w:rPr>
          <w:rFonts w:hint="eastAsia" w:ascii="CESI仿宋-GB2312" w:hAnsi="CESI仿宋-GB2312" w:eastAsia="CESI仿宋-GB2312" w:cs="CESI仿宋-GB2312"/>
          <w:sz w:val="32"/>
          <w:szCs w:val="32"/>
        </w:rPr>
        <w:t>共有各级各类医疗卫生机构 2</w:t>
      </w:r>
      <w:r>
        <w:rPr>
          <w:rFonts w:hint="eastAsia" w:ascii="CESI仿宋-GB2312" w:hAnsi="CESI仿宋-GB2312" w:eastAsia="CESI仿宋-GB2312" w:cs="CESI仿宋-GB2312"/>
          <w:sz w:val="32"/>
          <w:szCs w:val="32"/>
          <w:lang w:eastAsia="zh-CN"/>
        </w:rPr>
        <w:t>3</w:t>
      </w: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家。其中，公立县级医疗机构3个</w:t>
      </w:r>
      <w:r>
        <w:rPr>
          <w:rFonts w:hint="eastAsia" w:ascii="CESI仿宋-GB2312" w:hAnsi="CESI仿宋-GB2312" w:eastAsia="CESI仿宋-GB2312" w:cs="CESI仿宋-GB2312"/>
          <w:sz w:val="32"/>
          <w:szCs w:val="32"/>
          <w:lang w:eastAsia="zh-CN"/>
        </w:rPr>
        <w:t>（县</w:t>
      </w:r>
      <w:r>
        <w:rPr>
          <w:rFonts w:hint="eastAsia" w:ascii="CESI仿宋-GB2312" w:hAnsi="CESI仿宋-GB2312" w:eastAsia="CESI仿宋-GB2312" w:cs="CESI仿宋-GB2312"/>
          <w:sz w:val="32"/>
          <w:szCs w:val="32"/>
          <w:lang w:val="en-US" w:eastAsia="zh-CN"/>
        </w:rPr>
        <w:t>人民医院、县第二人民医院、县中医院</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，卫生计生监督执法机构1个</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县卫生计生执法监督大队</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，公共卫生服务机构2个</w:t>
      </w:r>
      <w:r>
        <w:rPr>
          <w:rFonts w:hint="eastAsia" w:ascii="CESI仿宋-GB2312" w:hAnsi="CESI仿宋-GB2312" w:eastAsia="CESI仿宋-GB2312" w:cs="CESI仿宋-GB2312"/>
          <w:sz w:val="32"/>
          <w:szCs w:val="32"/>
          <w:lang w:eastAsia="zh-CN"/>
        </w:rPr>
        <w:t>（县疾病预防控制中心和县妇幼保健服务中心）</w:t>
      </w:r>
      <w:r>
        <w:rPr>
          <w:rFonts w:hint="eastAsia" w:ascii="CESI仿宋-GB2312" w:hAnsi="CESI仿宋-GB2312" w:eastAsia="CESI仿宋-GB2312" w:cs="CESI仿宋-GB2312"/>
          <w:sz w:val="32"/>
          <w:szCs w:val="32"/>
        </w:rPr>
        <w:t>，乡镇卫生院12个，社区卫生服务中心1个，村卫生室173个，民营医院3个，民营诊所37个。</w:t>
      </w:r>
    </w:p>
    <w:p>
      <w:pPr>
        <w:widowControl w:val="0"/>
        <w:adjustRightInd/>
        <w:snapToGrid/>
        <w:spacing w:line="590" w:lineRule="atLeast"/>
        <w:ind w:firstLine="640" w:firstLineChars="200"/>
        <w:contextualSpacing/>
        <w:jc w:val="both"/>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sz w:val="32"/>
          <w:szCs w:val="32"/>
        </w:rPr>
        <w:t>盐边县卫生健康局内设8个行政股室，与上年无变化。分别是办公室（政策法规股）、医政执法监督股（医改办）、基层卫生和妇幼健康股（卫生应急办公室）、人口监测与家庭发展股、疾病预防控制股（爱国卫生办公室）、健康服务业发展股、人事与科教股和规划财务审计股。盐边县卫生健康局为县本级一级预算单位，下属1</w:t>
      </w:r>
      <w:r>
        <w:rPr>
          <w:rFonts w:hint="eastAsia" w:ascii="CESI仿宋-GB2312" w:hAnsi="CESI仿宋-GB2312" w:eastAsia="CESI仿宋-GB2312" w:cs="CESI仿宋-GB2312"/>
          <w:sz w:val="32"/>
          <w:szCs w:val="32"/>
          <w:lang w:val="en-US" w:eastAsia="zh-CN"/>
        </w:rPr>
        <w:t>9</w:t>
      </w:r>
      <w:r>
        <w:rPr>
          <w:rFonts w:hint="eastAsia" w:ascii="CESI仿宋-GB2312" w:hAnsi="CESI仿宋-GB2312" w:eastAsia="CESI仿宋-GB2312" w:cs="CESI仿宋-GB2312"/>
          <w:sz w:val="32"/>
          <w:szCs w:val="32"/>
        </w:rPr>
        <w:t>个财政</w:t>
      </w:r>
      <w:r>
        <w:rPr>
          <w:rFonts w:hint="eastAsia" w:ascii="CESI仿宋-GB2312" w:hAnsi="CESI仿宋-GB2312" w:eastAsia="CESI仿宋-GB2312" w:cs="CESI仿宋-GB2312"/>
          <w:sz w:val="32"/>
          <w:szCs w:val="32"/>
          <w:lang w:eastAsia="zh-CN"/>
        </w:rPr>
        <w:t>一</w:t>
      </w:r>
      <w:r>
        <w:rPr>
          <w:rFonts w:hint="eastAsia" w:ascii="CESI仿宋-GB2312" w:hAnsi="CESI仿宋-GB2312" w:eastAsia="CESI仿宋-GB2312" w:cs="CESI仿宋-GB2312"/>
          <w:sz w:val="32"/>
          <w:szCs w:val="32"/>
        </w:rPr>
        <w:t>级预算单位，分别是县疾病预防控制中心、县卫生计生执法监督大队、</w:t>
      </w:r>
      <w:r>
        <w:rPr>
          <w:rFonts w:hint="eastAsia" w:ascii="CESI仿宋-GB2312" w:hAnsi="CESI仿宋-GB2312" w:eastAsia="CESI仿宋-GB2312" w:cs="CESI仿宋-GB2312"/>
          <w:sz w:val="32"/>
          <w:szCs w:val="32"/>
          <w:lang w:eastAsia="zh-CN"/>
        </w:rPr>
        <w:t>县妇幼保健服务中心和</w:t>
      </w:r>
      <w:r>
        <w:rPr>
          <w:rFonts w:hint="eastAsia" w:ascii="CESI仿宋-GB2312" w:hAnsi="CESI仿宋-GB2312" w:eastAsia="CESI仿宋-GB2312" w:cs="CESI仿宋-GB2312"/>
          <w:sz w:val="32"/>
          <w:szCs w:val="32"/>
        </w:rPr>
        <w:t>2个综合医院</w:t>
      </w:r>
      <w:r>
        <w:rPr>
          <w:rFonts w:hint="eastAsia" w:ascii="CESI仿宋-GB2312" w:hAnsi="CESI仿宋-GB2312" w:eastAsia="CESI仿宋-GB2312" w:cs="CESI仿宋-GB2312"/>
          <w:sz w:val="32"/>
          <w:szCs w:val="32"/>
          <w:lang w:eastAsia="zh-CN"/>
        </w:rPr>
        <w:t>（县人民医院和县第二人民医院）</w:t>
      </w:r>
      <w:r>
        <w:rPr>
          <w:rFonts w:hint="eastAsia" w:ascii="CESI仿宋-GB2312" w:hAnsi="CESI仿宋-GB2312" w:eastAsia="CESI仿宋-GB2312" w:cs="CESI仿宋-GB2312"/>
          <w:sz w:val="32"/>
          <w:szCs w:val="32"/>
        </w:rPr>
        <w:t>、1个中医医院</w:t>
      </w:r>
      <w:r>
        <w:rPr>
          <w:rFonts w:hint="eastAsia" w:ascii="CESI仿宋-GB2312" w:hAnsi="CESI仿宋-GB2312" w:eastAsia="CESI仿宋-GB2312" w:cs="CESI仿宋-GB2312"/>
          <w:sz w:val="32"/>
          <w:szCs w:val="32"/>
          <w:lang w:eastAsia="zh-CN"/>
        </w:rPr>
        <w:t>（县中医院）</w:t>
      </w:r>
      <w:r>
        <w:rPr>
          <w:rFonts w:hint="eastAsia" w:ascii="CESI仿宋-GB2312" w:hAnsi="CESI仿宋-GB2312" w:eastAsia="CESI仿宋-GB2312" w:cs="CESI仿宋-GB2312"/>
          <w:sz w:val="32"/>
          <w:szCs w:val="32"/>
        </w:rPr>
        <w:t>、1个社区卫生服务中心、12个乡镇卫生院。</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（二）机构职能。 1.组织拟订全县卫生健康政策。负责拟订卫生健康事业发展政策、规划并组织实施。统筹规划全县卫生健康资源配置。制定并组织实施推进卫生健康基本公共服务均等化、普惠化、便捷化和公共资源向基层延伸等政策措施。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2.牵头推进全县深化医药卫生体制改革。研究提出深化改革重大政策、措施的建议。组织深化公立医院综合改革，建立健全现代医院管理制度。制定并组织实施推动卫生健康公共服务提供主体多元化、提供方式多样化的政策措施。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 3.制定并组织落实全县疾病预防控制规划、免疫规划以及严重危害人民健康的艾滋病等重大传染病、寄生虫病、地方病等公共卫生问题的干预措施。负责全县卫生应急工作，组织和指导全县突发公共卫生事件预防控制和各类突发公共事件的医疗卫生救援。收集、报告法定传染病疫情信息、突发公共卫生事件应急处置信息。依照国家检疫传染病和监测传染病目录，参与开展检疫监测工作。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4.贯彻落实国家应对人口老龄化政策措施。负责推进老年健康服务体系建设和医养结合工作。承担县老龄工作委员会日常工作。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5.贯彻落实国家药物政策和国家基本药物制度。开展药械使用监测、临床综合评价和短缺药品预警，组织执行国家药典和国家基本药物目录，实施基本药物采购、配送、使用的政策措施。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6.组织实施食品安全风险监测。开展食品安全企业标准备案，组织开展食品安全事故流行病学调查。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7.负责职责范围内的职业卫生、放射卫生、环境卫生、学校卫生、公共场所卫生、饮用水卫生等公共卫生的监督管理。负责传染病防治监督，健全卫生健康综合监管体系。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8.制定全县医疗机构、医疗服务行业管理办法并监督实施，建立医疗服务评价和监督管理体系。会同有关部门实施卫生健康专业技术人员资格标准。组织实施医疗服务规范、标准和卫生健康专业技术人员执业规则、服务规范。负责医疗机构、人员和行为的日常监管。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9.制定全县中医药中长期发展规划，并纳入卫生健康事业发展总体规划和战略目标予以组织实施。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10.负责全县计划生育管理和服务工作。开展人口监测预警，研究提出人口与家庭发展相关政策建议，执行计划生育政策。指导县计划生育协会的业务工作。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11.指导乡（镇）卫生健康工作。指导基层医疗卫生、妇幼健康服务体系和基层卫生队伍建设。推进卫生健康科技创新发展。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12.负责县确定的保健对象的医疗保健工作。负责县级有关部门（单位）离休干部医疗管理工作。负责重要会议与重大活动的医疗卫生保障工作。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 xml:space="preserve">13.依法依规履行卫生健康行业安全生产监管职责。负责职责范围内的生态环境保护、审批服务便民化等工作。 </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14.承担卫生健康事业多元化、多层次发展相关工作。协调推进深化医药卫生体制改革，参与卫生健康改革发展实践，组织开展相关技术支持、咨询指导、教学培训、成果转化应用与能力提升；承担中医药传承创新发展促进事务性工作；承担卫生健康政策制定的风险评估和实施监测评价与监督指导；承担卫生健康系统新建项目相关服务性工作；承担卫生健康服务信息化系统建设和维护工作</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kern w:val="0"/>
          <w:sz w:val="32"/>
          <w:szCs w:val="32"/>
          <w:shd w:val="clear" w:color="auto" w:fill="FFFFFF"/>
          <w:lang w:val="zh-CN"/>
        </w:rPr>
        <w:t>15.完成县委、县政府交办的其他任务。</w:t>
      </w:r>
    </w:p>
    <w:p>
      <w:pPr>
        <w:widowControl w:val="0"/>
        <w:adjustRightInd/>
        <w:snapToGrid/>
        <w:spacing w:line="590" w:lineRule="atLeast"/>
        <w:ind w:firstLine="640" w:firstLineChars="200"/>
        <w:contextualSpacing/>
        <w:jc w:val="both"/>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kern w:val="0"/>
          <w:sz w:val="32"/>
          <w:szCs w:val="32"/>
          <w:shd w:val="clear" w:color="auto" w:fill="FFFFFF"/>
          <w:lang w:val="zh-CN"/>
        </w:rPr>
        <w:t>（三）人员概况。</w:t>
      </w:r>
      <w:r>
        <w:rPr>
          <w:rFonts w:hint="eastAsia" w:ascii="CESI仿宋-GB2312" w:hAnsi="CESI仿宋-GB2312" w:eastAsia="CESI仿宋-GB2312" w:cs="CESI仿宋-GB2312"/>
          <w:sz w:val="32"/>
          <w:szCs w:val="32"/>
        </w:rPr>
        <w:t>截至2023年末，</w:t>
      </w:r>
      <w:r>
        <w:rPr>
          <w:rFonts w:hint="eastAsia" w:ascii="CESI仿宋-GB2312" w:hAnsi="CESI仿宋-GB2312" w:eastAsia="CESI仿宋-GB2312" w:cs="CESI仿宋-GB2312"/>
          <w:color w:val="auto"/>
          <w:sz w:val="32"/>
          <w:szCs w:val="32"/>
        </w:rPr>
        <w:t>全县医疗卫生机构共有在编人员</w:t>
      </w:r>
      <w:r>
        <w:rPr>
          <w:rFonts w:hint="eastAsia" w:ascii="CESI仿宋-GB2312" w:hAnsi="CESI仿宋-GB2312" w:eastAsia="CESI仿宋-GB2312" w:cs="CESI仿宋-GB2312"/>
          <w:color w:val="auto"/>
          <w:sz w:val="32"/>
          <w:szCs w:val="32"/>
          <w:lang w:val="en-US" w:eastAsia="zh-CN"/>
        </w:rPr>
        <w:t>487</w:t>
      </w:r>
      <w:r>
        <w:rPr>
          <w:rFonts w:hint="eastAsia" w:ascii="CESI仿宋-GB2312" w:hAnsi="CESI仿宋-GB2312" w:eastAsia="CESI仿宋-GB2312" w:cs="CESI仿宋-GB2312"/>
          <w:color w:val="auto"/>
          <w:sz w:val="32"/>
          <w:szCs w:val="32"/>
        </w:rPr>
        <w:t>人，其中县级医疗机构</w:t>
      </w:r>
      <w:r>
        <w:rPr>
          <w:rFonts w:hint="eastAsia" w:ascii="CESI仿宋-GB2312" w:hAnsi="CESI仿宋-GB2312" w:eastAsia="CESI仿宋-GB2312" w:cs="CESI仿宋-GB2312"/>
          <w:color w:val="auto"/>
          <w:sz w:val="32"/>
          <w:szCs w:val="32"/>
          <w:lang w:val="en-US" w:eastAsia="zh-CN"/>
        </w:rPr>
        <w:t>278</w:t>
      </w:r>
      <w:r>
        <w:rPr>
          <w:rFonts w:hint="eastAsia" w:ascii="CESI仿宋-GB2312" w:hAnsi="CESI仿宋-GB2312" w:eastAsia="CESI仿宋-GB2312" w:cs="CESI仿宋-GB2312"/>
          <w:color w:val="auto"/>
          <w:sz w:val="32"/>
          <w:szCs w:val="32"/>
        </w:rPr>
        <w:t>人，乡镇卫生院</w:t>
      </w:r>
      <w:r>
        <w:rPr>
          <w:rFonts w:hint="eastAsia" w:ascii="CESI仿宋-GB2312" w:hAnsi="CESI仿宋-GB2312" w:eastAsia="CESI仿宋-GB2312" w:cs="CESI仿宋-GB2312"/>
          <w:color w:val="auto"/>
          <w:sz w:val="32"/>
          <w:szCs w:val="32"/>
          <w:lang w:val="en-US" w:eastAsia="zh-CN"/>
        </w:rPr>
        <w:t>185</w:t>
      </w:r>
      <w:r>
        <w:rPr>
          <w:rFonts w:hint="eastAsia" w:ascii="CESI仿宋-GB2312" w:hAnsi="CESI仿宋-GB2312" w:eastAsia="CESI仿宋-GB2312" w:cs="CESI仿宋-GB2312"/>
          <w:color w:val="auto"/>
          <w:sz w:val="32"/>
          <w:szCs w:val="32"/>
        </w:rPr>
        <w:t>人。全县公立医疗卫生机构自主聘用人员</w:t>
      </w:r>
      <w:r>
        <w:rPr>
          <w:rFonts w:hint="eastAsia" w:ascii="CESI仿宋-GB2312" w:hAnsi="CESI仿宋-GB2312" w:eastAsia="CESI仿宋-GB2312" w:cs="CESI仿宋-GB2312"/>
          <w:color w:val="auto"/>
          <w:sz w:val="32"/>
          <w:szCs w:val="32"/>
          <w:lang w:val="en-US" w:eastAsia="zh-CN"/>
        </w:rPr>
        <w:t>115</w:t>
      </w:r>
      <w:r>
        <w:rPr>
          <w:rFonts w:hint="eastAsia" w:ascii="CESI仿宋-GB2312" w:hAnsi="CESI仿宋-GB2312" w:eastAsia="CESI仿宋-GB2312" w:cs="CESI仿宋-GB2312"/>
          <w:color w:val="auto"/>
          <w:sz w:val="32"/>
          <w:szCs w:val="32"/>
        </w:rPr>
        <w:t>人。其中，县级医疗机构</w:t>
      </w:r>
      <w:r>
        <w:rPr>
          <w:rFonts w:hint="eastAsia" w:ascii="CESI仿宋-GB2312" w:hAnsi="CESI仿宋-GB2312" w:eastAsia="CESI仿宋-GB2312" w:cs="CESI仿宋-GB2312"/>
          <w:color w:val="auto"/>
          <w:sz w:val="32"/>
          <w:szCs w:val="32"/>
          <w:lang w:val="en-US" w:eastAsia="zh-CN"/>
        </w:rPr>
        <w:t>52</w:t>
      </w:r>
      <w:r>
        <w:rPr>
          <w:rFonts w:hint="eastAsia" w:ascii="CESI仿宋-GB2312" w:hAnsi="CESI仿宋-GB2312" w:eastAsia="CESI仿宋-GB2312" w:cs="CESI仿宋-GB2312"/>
          <w:color w:val="auto"/>
          <w:sz w:val="32"/>
          <w:szCs w:val="32"/>
        </w:rPr>
        <w:t>人（县第二人民医院</w:t>
      </w:r>
      <w:r>
        <w:rPr>
          <w:rFonts w:hint="eastAsia" w:ascii="CESI仿宋-GB2312" w:hAnsi="CESI仿宋-GB2312" w:eastAsia="CESI仿宋-GB2312" w:cs="CESI仿宋-GB2312"/>
          <w:color w:val="auto"/>
          <w:sz w:val="32"/>
          <w:szCs w:val="32"/>
          <w:highlight w:val="none"/>
          <w:lang w:val="en-US" w:eastAsia="zh-CN"/>
        </w:rPr>
        <w:t>52</w:t>
      </w:r>
      <w:r>
        <w:rPr>
          <w:rFonts w:hint="eastAsia" w:ascii="CESI仿宋-GB2312" w:hAnsi="CESI仿宋-GB2312" w:eastAsia="CESI仿宋-GB2312" w:cs="CESI仿宋-GB2312"/>
          <w:color w:val="auto"/>
          <w:sz w:val="32"/>
          <w:szCs w:val="32"/>
        </w:rPr>
        <w:t>人，疾控6人）；乡镇（中心）卫生院及社区</w:t>
      </w:r>
      <w:r>
        <w:rPr>
          <w:rFonts w:hint="eastAsia" w:ascii="CESI仿宋-GB2312" w:hAnsi="CESI仿宋-GB2312" w:eastAsia="CESI仿宋-GB2312" w:cs="CESI仿宋-GB2312"/>
          <w:color w:val="auto"/>
          <w:sz w:val="32"/>
          <w:szCs w:val="32"/>
          <w:lang w:val="en-US" w:eastAsia="zh-CN"/>
        </w:rPr>
        <w:t>57</w:t>
      </w:r>
      <w:r>
        <w:rPr>
          <w:rFonts w:hint="eastAsia" w:ascii="CESI仿宋-GB2312" w:hAnsi="CESI仿宋-GB2312" w:eastAsia="CESI仿宋-GB2312" w:cs="CESI仿宋-GB2312"/>
          <w:color w:val="auto"/>
          <w:sz w:val="32"/>
          <w:szCs w:val="32"/>
        </w:rPr>
        <w:t>人。卫生和计划生育监督执法大队有在编人员5人。</w:t>
      </w:r>
    </w:p>
    <w:p>
      <w:pPr>
        <w:ind w:firstLine="640" w:firstLineChars="200"/>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color w:val="auto"/>
          <w:sz w:val="32"/>
          <w:szCs w:val="32"/>
          <w:highlight w:val="none"/>
        </w:rPr>
        <w:t>县卫生健康局机关行政编制</w:t>
      </w:r>
      <w:r>
        <w:rPr>
          <w:rFonts w:hint="eastAsia" w:ascii="CESI仿宋-GB2312" w:hAnsi="CESI仿宋-GB2312" w:eastAsia="CESI仿宋-GB2312" w:cs="CESI仿宋-GB2312"/>
          <w:color w:val="auto"/>
          <w:sz w:val="32"/>
          <w:szCs w:val="32"/>
          <w:highlight w:val="none"/>
          <w:lang w:val="en-US" w:eastAsia="zh-CN"/>
        </w:rPr>
        <w:t>24</w:t>
      </w:r>
      <w:r>
        <w:rPr>
          <w:rFonts w:hint="eastAsia" w:ascii="CESI仿宋-GB2312" w:hAnsi="CESI仿宋-GB2312" w:eastAsia="CESI仿宋-GB2312" w:cs="CESI仿宋-GB2312"/>
          <w:color w:val="auto"/>
          <w:sz w:val="32"/>
          <w:szCs w:val="32"/>
          <w:highlight w:val="none"/>
        </w:rPr>
        <w:t>名。其中，局长1名，副局长3名，党委副书记1名。参公编制数1名。机关后勤服务人员控制数（机关后勤事业编制）2 名。现有在编人员</w:t>
      </w:r>
      <w:r>
        <w:rPr>
          <w:rFonts w:hint="eastAsia" w:ascii="CESI仿宋-GB2312" w:hAnsi="CESI仿宋-GB2312" w:eastAsia="CESI仿宋-GB2312" w:cs="CESI仿宋-GB2312"/>
          <w:color w:val="auto"/>
          <w:sz w:val="32"/>
          <w:szCs w:val="32"/>
          <w:highlight w:val="none"/>
          <w:lang w:val="en-US" w:eastAsia="zh-CN"/>
        </w:rPr>
        <w:t>24</w:t>
      </w:r>
      <w:r>
        <w:rPr>
          <w:rFonts w:hint="eastAsia" w:ascii="CESI仿宋-GB2312" w:hAnsi="CESI仿宋-GB2312" w:eastAsia="CESI仿宋-GB2312" w:cs="CESI仿宋-GB2312"/>
          <w:color w:val="auto"/>
          <w:sz w:val="32"/>
          <w:szCs w:val="32"/>
          <w:highlight w:val="none"/>
        </w:rPr>
        <w:t>人。</w:t>
      </w:r>
    </w:p>
    <w:p>
      <w:pPr>
        <w:widowControl/>
        <w:adjustRightInd w:val="0"/>
        <w:snapToGrid w:val="0"/>
        <w:spacing w:line="58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二、部门财政资金收支情况</w:t>
      </w:r>
    </w:p>
    <w:p>
      <w:pPr>
        <w:widowControl/>
        <w:adjustRightInd/>
        <w:snapToGrid w:val="0"/>
        <w:spacing w:line="590" w:lineRule="atLeast"/>
        <w:ind w:firstLine="640" w:firstLineChars="200"/>
        <w:contextualSpacing/>
        <w:jc w:val="left"/>
        <w:rPr>
          <w:rFonts w:hint="eastAsia" w:ascii="CESI仿宋-GB2312" w:hAnsi="CESI仿宋-GB2312" w:eastAsia="CESI仿宋-GB2312" w:cs="CESI仿宋-GB2312"/>
          <w:sz w:val="32"/>
          <w:szCs w:val="32"/>
          <w:highlight w:val="none"/>
        </w:rPr>
      </w:pPr>
      <w:r>
        <w:rPr>
          <w:kern w:val="0"/>
          <w:sz w:val="32"/>
          <w:szCs w:val="32"/>
          <w:shd w:val="clear" w:color="auto" w:fill="FFFFFF"/>
          <w:lang w:val="zh-CN"/>
        </w:rPr>
        <w:t>（一）部门财政资金收入情况。</w:t>
      </w:r>
      <w:r>
        <w:rPr>
          <w:rFonts w:hint="eastAsia" w:ascii="CESI仿宋-GB2312" w:hAnsi="CESI仿宋-GB2312" w:eastAsia="CESI仿宋-GB2312" w:cs="CESI仿宋-GB2312"/>
          <w:sz w:val="32"/>
          <w:szCs w:val="32"/>
          <w:highlight w:val="none"/>
          <w:lang w:eastAsia="zh-CN"/>
        </w:rPr>
        <w:t>202</w:t>
      </w:r>
      <w:r>
        <w:rPr>
          <w:rFonts w:hint="eastAsia" w:ascii="CESI仿宋-GB2312" w:hAnsi="CESI仿宋-GB2312" w:eastAsia="CESI仿宋-GB2312" w:cs="CESI仿宋-GB2312"/>
          <w:sz w:val="32"/>
          <w:szCs w:val="32"/>
          <w:highlight w:val="none"/>
          <w:lang w:val="en-US" w:eastAsia="zh-CN"/>
        </w:rPr>
        <w:t>3</w:t>
      </w:r>
      <w:r>
        <w:rPr>
          <w:rFonts w:hint="eastAsia" w:ascii="CESI仿宋-GB2312" w:hAnsi="CESI仿宋-GB2312" w:eastAsia="CESI仿宋-GB2312" w:cs="CESI仿宋-GB2312"/>
          <w:sz w:val="32"/>
          <w:szCs w:val="32"/>
          <w:highlight w:val="none"/>
          <w:lang w:eastAsia="zh-CN"/>
        </w:rPr>
        <w:t>年</w:t>
      </w:r>
      <w:r>
        <w:rPr>
          <w:rFonts w:hint="eastAsia" w:ascii="CESI仿宋-GB2312" w:hAnsi="CESI仿宋-GB2312" w:eastAsia="CESI仿宋-GB2312" w:cs="CESI仿宋-GB2312"/>
          <w:sz w:val="32"/>
          <w:szCs w:val="32"/>
          <w:highlight w:val="none"/>
        </w:rPr>
        <w:t>，局本级和下属1</w:t>
      </w:r>
      <w:r>
        <w:rPr>
          <w:rFonts w:hint="eastAsia" w:ascii="CESI仿宋-GB2312" w:hAnsi="CESI仿宋-GB2312" w:eastAsia="CESI仿宋-GB2312" w:cs="CESI仿宋-GB2312"/>
          <w:sz w:val="32"/>
          <w:szCs w:val="32"/>
          <w:highlight w:val="none"/>
          <w:lang w:eastAsia="zh-CN"/>
        </w:rPr>
        <w:t>9</w:t>
      </w:r>
      <w:r>
        <w:rPr>
          <w:rFonts w:hint="eastAsia" w:ascii="CESI仿宋-GB2312" w:hAnsi="CESI仿宋-GB2312" w:eastAsia="CESI仿宋-GB2312" w:cs="CESI仿宋-GB2312"/>
          <w:sz w:val="32"/>
          <w:szCs w:val="32"/>
          <w:highlight w:val="none"/>
        </w:rPr>
        <w:t>家医疗机构本年总收入合计</w:t>
      </w:r>
      <w:r>
        <w:rPr>
          <w:rFonts w:hint="eastAsia" w:ascii="CESI仿宋-GB2312" w:hAnsi="CESI仿宋-GB2312" w:eastAsia="CESI仿宋-GB2312" w:cs="CESI仿宋-GB2312"/>
          <w:sz w:val="32"/>
          <w:szCs w:val="32"/>
          <w:highlight w:val="none"/>
          <w:lang w:eastAsia="zh-CN"/>
        </w:rPr>
        <w:t>31,415.89</w:t>
      </w:r>
      <w:r>
        <w:rPr>
          <w:rFonts w:hint="eastAsia" w:ascii="CESI仿宋-GB2312" w:hAnsi="CESI仿宋-GB2312" w:eastAsia="CESI仿宋-GB2312" w:cs="CESI仿宋-GB2312"/>
          <w:sz w:val="32"/>
          <w:szCs w:val="32"/>
          <w:highlight w:val="none"/>
        </w:rPr>
        <w:t>万元，其中一般公共预算财政拨款收入</w:t>
      </w:r>
      <w:r>
        <w:rPr>
          <w:rFonts w:hint="eastAsia" w:ascii="CESI仿宋-GB2312" w:hAnsi="CESI仿宋-GB2312" w:eastAsia="CESI仿宋-GB2312" w:cs="CESI仿宋-GB2312"/>
          <w:sz w:val="32"/>
          <w:szCs w:val="32"/>
          <w:highlight w:val="none"/>
          <w:lang w:eastAsia="zh-CN"/>
        </w:rPr>
        <w:t>15,288.16</w:t>
      </w:r>
      <w:r>
        <w:rPr>
          <w:rFonts w:hint="eastAsia" w:ascii="CESI仿宋-GB2312" w:hAnsi="CESI仿宋-GB2312" w:eastAsia="CESI仿宋-GB2312" w:cs="CESI仿宋-GB2312"/>
          <w:sz w:val="32"/>
          <w:szCs w:val="32"/>
          <w:highlight w:val="none"/>
        </w:rPr>
        <w:t>万元，政府性基金预算财政拨款收入</w:t>
      </w:r>
      <w:r>
        <w:rPr>
          <w:rFonts w:hint="eastAsia" w:ascii="CESI仿宋-GB2312" w:hAnsi="CESI仿宋-GB2312" w:eastAsia="CESI仿宋-GB2312" w:cs="CESI仿宋-GB2312"/>
          <w:sz w:val="32"/>
          <w:szCs w:val="32"/>
          <w:highlight w:val="none"/>
          <w:lang w:eastAsia="zh-CN"/>
        </w:rPr>
        <w:t>5,004.06</w:t>
      </w:r>
      <w:r>
        <w:rPr>
          <w:rFonts w:hint="eastAsia" w:ascii="CESI仿宋-GB2312" w:hAnsi="CESI仿宋-GB2312" w:eastAsia="CESI仿宋-GB2312" w:cs="CESI仿宋-GB2312"/>
          <w:sz w:val="32"/>
          <w:szCs w:val="32"/>
          <w:highlight w:val="none"/>
        </w:rPr>
        <w:t>万元、事业收入</w:t>
      </w:r>
      <w:r>
        <w:rPr>
          <w:rFonts w:hint="eastAsia" w:ascii="CESI仿宋-GB2312" w:hAnsi="CESI仿宋-GB2312" w:eastAsia="CESI仿宋-GB2312" w:cs="CESI仿宋-GB2312"/>
          <w:sz w:val="32"/>
          <w:szCs w:val="32"/>
          <w:highlight w:val="none"/>
          <w:lang w:eastAsia="zh-CN"/>
        </w:rPr>
        <w:t>10,860.93</w:t>
      </w:r>
      <w:r>
        <w:rPr>
          <w:rFonts w:hint="eastAsia" w:ascii="CESI仿宋-GB2312" w:hAnsi="CESI仿宋-GB2312" w:eastAsia="CESI仿宋-GB2312" w:cs="CESI仿宋-GB2312"/>
          <w:sz w:val="32"/>
          <w:szCs w:val="32"/>
          <w:highlight w:val="none"/>
        </w:rPr>
        <w:t>万元、其他收入167.22万元。</w:t>
      </w:r>
      <w:r>
        <w:rPr>
          <w:rFonts w:hint="eastAsia" w:ascii="CESI仿宋-GB2312" w:hAnsi="CESI仿宋-GB2312" w:eastAsia="CESI仿宋-GB2312" w:cs="CESI仿宋-GB2312"/>
          <w:sz w:val="32"/>
          <w:szCs w:val="32"/>
          <w:highlight w:val="none"/>
          <w:lang w:val="en-US" w:eastAsia="zh-CN"/>
        </w:rPr>
        <w:t>使用非财政拨款结余（含专用结余）95.52万元。</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sz w:val="32"/>
          <w:szCs w:val="32"/>
          <w:highlight w:val="none"/>
        </w:rPr>
        <w:t>局本级</w:t>
      </w:r>
      <w:r>
        <w:rPr>
          <w:rFonts w:hint="eastAsia" w:ascii="CESI仿宋-GB2312" w:hAnsi="CESI仿宋-GB2312" w:eastAsia="CESI仿宋-GB2312" w:cs="CESI仿宋-GB2312"/>
          <w:sz w:val="32"/>
          <w:szCs w:val="32"/>
          <w:highlight w:val="none"/>
          <w:lang w:eastAsia="zh-CN"/>
        </w:rPr>
        <w:t>202</w:t>
      </w:r>
      <w:r>
        <w:rPr>
          <w:rFonts w:hint="eastAsia" w:ascii="CESI仿宋-GB2312" w:hAnsi="CESI仿宋-GB2312" w:eastAsia="CESI仿宋-GB2312" w:cs="CESI仿宋-GB2312"/>
          <w:sz w:val="32"/>
          <w:szCs w:val="32"/>
          <w:highlight w:val="none"/>
          <w:lang w:val="en-US" w:eastAsia="zh-CN"/>
        </w:rPr>
        <w:t>3</w:t>
      </w:r>
      <w:r>
        <w:rPr>
          <w:rFonts w:hint="eastAsia" w:ascii="CESI仿宋-GB2312" w:hAnsi="CESI仿宋-GB2312" w:eastAsia="CESI仿宋-GB2312" w:cs="CESI仿宋-GB2312"/>
          <w:sz w:val="32"/>
          <w:szCs w:val="32"/>
          <w:highlight w:val="none"/>
          <w:lang w:eastAsia="zh-CN"/>
        </w:rPr>
        <w:t>年</w:t>
      </w:r>
      <w:r>
        <w:rPr>
          <w:rFonts w:hint="eastAsia" w:ascii="CESI仿宋-GB2312" w:hAnsi="CESI仿宋-GB2312" w:eastAsia="CESI仿宋-GB2312" w:cs="CESI仿宋-GB2312"/>
          <w:sz w:val="32"/>
          <w:szCs w:val="32"/>
          <w:highlight w:val="none"/>
        </w:rPr>
        <w:t>总收入合计</w:t>
      </w:r>
      <w:r>
        <w:rPr>
          <w:rFonts w:hint="eastAsia" w:ascii="CESI仿宋-GB2312" w:hAnsi="CESI仿宋-GB2312" w:eastAsia="CESI仿宋-GB2312" w:cs="CESI仿宋-GB2312"/>
          <w:sz w:val="32"/>
          <w:szCs w:val="32"/>
          <w:highlight w:val="none"/>
          <w:lang w:eastAsia="zh-CN"/>
        </w:rPr>
        <w:t>7,258.84</w:t>
      </w:r>
      <w:r>
        <w:rPr>
          <w:rFonts w:hint="eastAsia" w:ascii="CESI仿宋-GB2312" w:hAnsi="CESI仿宋-GB2312" w:eastAsia="CESI仿宋-GB2312" w:cs="CESI仿宋-GB2312"/>
          <w:sz w:val="32"/>
          <w:szCs w:val="32"/>
          <w:highlight w:val="none"/>
        </w:rPr>
        <w:t>万元，其中一般公共预算财政拨款收入</w:t>
      </w:r>
      <w:r>
        <w:rPr>
          <w:rFonts w:hint="eastAsia" w:ascii="CESI仿宋-GB2312" w:hAnsi="CESI仿宋-GB2312" w:eastAsia="CESI仿宋-GB2312" w:cs="CESI仿宋-GB2312"/>
          <w:sz w:val="32"/>
          <w:szCs w:val="32"/>
          <w:highlight w:val="none"/>
          <w:lang w:eastAsia="zh-CN"/>
        </w:rPr>
        <w:t>2,258.84</w:t>
      </w:r>
      <w:r>
        <w:rPr>
          <w:rFonts w:hint="eastAsia" w:ascii="CESI仿宋-GB2312" w:hAnsi="CESI仿宋-GB2312" w:eastAsia="CESI仿宋-GB2312" w:cs="CESI仿宋-GB2312"/>
          <w:sz w:val="32"/>
          <w:szCs w:val="32"/>
          <w:highlight w:val="none"/>
        </w:rPr>
        <w:t>万元，政府性基金预算财政拨款收入</w:t>
      </w:r>
      <w:r>
        <w:rPr>
          <w:rFonts w:hint="eastAsia" w:ascii="CESI仿宋-GB2312" w:hAnsi="CESI仿宋-GB2312" w:eastAsia="CESI仿宋-GB2312" w:cs="CESI仿宋-GB2312"/>
          <w:sz w:val="32"/>
          <w:szCs w:val="32"/>
          <w:highlight w:val="none"/>
          <w:lang w:eastAsia="zh-CN"/>
        </w:rPr>
        <w:t>5,00</w:t>
      </w:r>
      <w:r>
        <w:rPr>
          <w:rFonts w:hint="eastAsia" w:ascii="CESI仿宋-GB2312" w:hAnsi="CESI仿宋-GB2312" w:eastAsia="CESI仿宋-GB2312" w:cs="CESI仿宋-GB2312"/>
          <w:sz w:val="32"/>
          <w:szCs w:val="32"/>
          <w:highlight w:val="none"/>
          <w:lang w:val="en-US" w:eastAsia="zh-CN"/>
        </w:rPr>
        <w:t>0</w:t>
      </w:r>
      <w:r>
        <w:rPr>
          <w:rFonts w:hint="eastAsia" w:ascii="CESI仿宋-GB2312" w:hAnsi="CESI仿宋-GB2312" w:eastAsia="CESI仿宋-GB2312" w:cs="CESI仿宋-GB2312"/>
          <w:sz w:val="32"/>
          <w:szCs w:val="32"/>
          <w:highlight w:val="none"/>
        </w:rPr>
        <w:t>万元</w:t>
      </w:r>
      <w:r>
        <w:rPr>
          <w:rFonts w:hint="eastAsia" w:ascii="CESI仿宋-GB2312" w:hAnsi="CESI仿宋-GB2312" w:eastAsia="CESI仿宋-GB2312" w:cs="CESI仿宋-GB2312"/>
          <w:sz w:val="32"/>
          <w:szCs w:val="32"/>
          <w:highlight w:val="none"/>
          <w:lang w:eastAsia="zh-CN"/>
        </w:rPr>
        <w:t>。</w:t>
      </w:r>
    </w:p>
    <w:p>
      <w:pPr>
        <w:numPr>
          <w:ilvl w:val="0"/>
          <w:numId w:val="0"/>
        </w:numPr>
        <w:ind w:firstLine="640" w:firstLineChars="200"/>
        <w:rPr>
          <w:rFonts w:hint="eastAsia" w:ascii="CESI仿宋-GB2312" w:hAnsi="CESI仿宋-GB2312" w:eastAsia="CESI仿宋-GB2312" w:cs="CESI仿宋-GB2312"/>
          <w:sz w:val="32"/>
          <w:szCs w:val="32"/>
          <w:highlight w:val="none"/>
        </w:rPr>
      </w:pPr>
      <w:r>
        <w:rPr>
          <w:kern w:val="0"/>
          <w:sz w:val="32"/>
          <w:szCs w:val="32"/>
          <w:shd w:val="clear" w:color="auto" w:fill="FFFFFF"/>
          <w:lang w:val="zh-CN"/>
        </w:rPr>
        <w:t>（二）部门财政资金支出情况。</w:t>
      </w:r>
      <w:r>
        <w:rPr>
          <w:rFonts w:hint="eastAsia" w:ascii="CESI仿宋-GB2312" w:hAnsi="CESI仿宋-GB2312" w:eastAsia="CESI仿宋-GB2312" w:cs="CESI仿宋-GB2312"/>
          <w:sz w:val="32"/>
          <w:szCs w:val="32"/>
          <w:highlight w:val="none"/>
          <w:lang w:eastAsia="zh-CN"/>
        </w:rPr>
        <w:t>202</w:t>
      </w:r>
      <w:r>
        <w:rPr>
          <w:rFonts w:hint="eastAsia" w:ascii="CESI仿宋-GB2312" w:hAnsi="CESI仿宋-GB2312" w:eastAsia="CESI仿宋-GB2312" w:cs="CESI仿宋-GB2312"/>
          <w:sz w:val="32"/>
          <w:szCs w:val="32"/>
          <w:highlight w:val="none"/>
          <w:lang w:val="en-US" w:eastAsia="zh-CN"/>
        </w:rPr>
        <w:t>3</w:t>
      </w:r>
      <w:r>
        <w:rPr>
          <w:rFonts w:hint="eastAsia" w:ascii="CESI仿宋-GB2312" w:hAnsi="CESI仿宋-GB2312" w:eastAsia="CESI仿宋-GB2312" w:cs="CESI仿宋-GB2312"/>
          <w:sz w:val="32"/>
          <w:szCs w:val="32"/>
          <w:highlight w:val="none"/>
          <w:lang w:eastAsia="zh-CN"/>
        </w:rPr>
        <w:t>年</w:t>
      </w:r>
      <w:r>
        <w:rPr>
          <w:rFonts w:hint="eastAsia" w:ascii="CESI仿宋-GB2312" w:hAnsi="CESI仿宋-GB2312" w:eastAsia="CESI仿宋-GB2312" w:cs="CESI仿宋-GB2312"/>
          <w:sz w:val="32"/>
          <w:szCs w:val="32"/>
          <w:highlight w:val="none"/>
        </w:rPr>
        <w:t>，局本级和下属1</w:t>
      </w:r>
      <w:r>
        <w:rPr>
          <w:rFonts w:hint="eastAsia" w:ascii="CESI仿宋-GB2312" w:hAnsi="CESI仿宋-GB2312" w:eastAsia="CESI仿宋-GB2312" w:cs="CESI仿宋-GB2312"/>
          <w:sz w:val="32"/>
          <w:szCs w:val="32"/>
          <w:highlight w:val="none"/>
          <w:lang w:eastAsia="zh-CN"/>
        </w:rPr>
        <w:t>9</w:t>
      </w:r>
      <w:r>
        <w:rPr>
          <w:rFonts w:hint="eastAsia" w:ascii="CESI仿宋-GB2312" w:hAnsi="CESI仿宋-GB2312" w:eastAsia="CESI仿宋-GB2312" w:cs="CESI仿宋-GB2312"/>
          <w:sz w:val="32"/>
          <w:szCs w:val="32"/>
          <w:highlight w:val="none"/>
        </w:rPr>
        <w:t>家医疗机构本年支出合计</w:t>
      </w:r>
      <w:r>
        <w:rPr>
          <w:rFonts w:hint="eastAsia" w:ascii="CESI仿宋-GB2312" w:hAnsi="CESI仿宋-GB2312" w:eastAsia="CESI仿宋-GB2312" w:cs="CESI仿宋-GB2312"/>
          <w:sz w:val="32"/>
          <w:szCs w:val="32"/>
          <w:highlight w:val="none"/>
          <w:lang w:eastAsia="zh-CN"/>
        </w:rPr>
        <w:t>31,415.89</w:t>
      </w:r>
      <w:r>
        <w:rPr>
          <w:rFonts w:hint="eastAsia" w:ascii="CESI仿宋-GB2312" w:hAnsi="CESI仿宋-GB2312" w:eastAsia="CESI仿宋-GB2312" w:cs="CESI仿宋-GB2312"/>
          <w:sz w:val="32"/>
          <w:szCs w:val="32"/>
          <w:highlight w:val="none"/>
        </w:rPr>
        <w:t>万元</w:t>
      </w:r>
      <w:r>
        <w:rPr>
          <w:rFonts w:hint="eastAsia" w:ascii="CESI仿宋-GB2312" w:hAnsi="CESI仿宋-GB2312" w:eastAsia="CESI仿宋-GB2312" w:cs="CESI仿宋-GB2312"/>
          <w:sz w:val="32"/>
          <w:szCs w:val="32"/>
          <w:highlight w:val="none"/>
          <w:lang w:eastAsia="zh-CN"/>
        </w:rPr>
        <w:t>，其</w:t>
      </w:r>
      <w:r>
        <w:rPr>
          <w:rFonts w:hint="eastAsia" w:ascii="CESI仿宋-GB2312" w:hAnsi="CESI仿宋-GB2312" w:eastAsia="CESI仿宋-GB2312" w:cs="CESI仿宋-GB2312"/>
          <w:sz w:val="32"/>
          <w:szCs w:val="32"/>
          <w:highlight w:val="none"/>
        </w:rPr>
        <w:t>中社会保障和就业</w:t>
      </w:r>
      <w:r>
        <w:rPr>
          <w:rFonts w:hint="eastAsia" w:ascii="CESI仿宋-GB2312" w:hAnsi="CESI仿宋-GB2312" w:eastAsia="CESI仿宋-GB2312" w:cs="CESI仿宋-GB2312"/>
          <w:sz w:val="32"/>
          <w:szCs w:val="32"/>
          <w:highlight w:val="none"/>
          <w:lang w:eastAsia="zh-CN"/>
        </w:rPr>
        <w:t>1,684.49</w:t>
      </w:r>
      <w:r>
        <w:rPr>
          <w:rFonts w:hint="eastAsia" w:ascii="CESI仿宋-GB2312" w:hAnsi="CESI仿宋-GB2312" w:eastAsia="CESI仿宋-GB2312" w:cs="CESI仿宋-GB2312"/>
          <w:sz w:val="32"/>
          <w:szCs w:val="32"/>
          <w:highlight w:val="none"/>
        </w:rPr>
        <w:t>万元，卫生健康支出</w:t>
      </w:r>
      <w:r>
        <w:rPr>
          <w:rFonts w:hint="eastAsia" w:ascii="CESI仿宋-GB2312" w:hAnsi="CESI仿宋-GB2312" w:eastAsia="CESI仿宋-GB2312" w:cs="CESI仿宋-GB2312"/>
          <w:sz w:val="32"/>
          <w:szCs w:val="32"/>
          <w:highlight w:val="none"/>
          <w:lang w:eastAsia="zh-CN"/>
        </w:rPr>
        <w:t>23,073.82</w:t>
      </w:r>
      <w:r>
        <w:rPr>
          <w:rFonts w:hint="eastAsia" w:ascii="CESI仿宋-GB2312" w:hAnsi="CESI仿宋-GB2312" w:eastAsia="CESI仿宋-GB2312" w:cs="CESI仿宋-GB2312"/>
          <w:sz w:val="32"/>
          <w:szCs w:val="32"/>
          <w:highlight w:val="none"/>
        </w:rPr>
        <w:t>万元、住房保障支出</w:t>
      </w:r>
      <w:r>
        <w:rPr>
          <w:rFonts w:hint="eastAsia" w:ascii="CESI仿宋-GB2312" w:hAnsi="CESI仿宋-GB2312" w:eastAsia="CESI仿宋-GB2312" w:cs="CESI仿宋-GB2312"/>
          <w:sz w:val="32"/>
          <w:szCs w:val="32"/>
          <w:highlight w:val="none"/>
          <w:lang w:eastAsia="zh-CN"/>
        </w:rPr>
        <w:t>600.66</w:t>
      </w:r>
      <w:r>
        <w:rPr>
          <w:rFonts w:hint="eastAsia" w:ascii="CESI仿宋-GB2312" w:hAnsi="CESI仿宋-GB2312" w:eastAsia="CESI仿宋-GB2312" w:cs="CESI仿宋-GB2312"/>
          <w:sz w:val="32"/>
          <w:szCs w:val="32"/>
          <w:highlight w:val="none"/>
        </w:rPr>
        <w:t>万元、农林水支出</w:t>
      </w:r>
      <w:r>
        <w:rPr>
          <w:rFonts w:hint="eastAsia" w:ascii="CESI仿宋-GB2312" w:hAnsi="CESI仿宋-GB2312" w:eastAsia="CESI仿宋-GB2312" w:cs="CESI仿宋-GB2312"/>
          <w:sz w:val="32"/>
          <w:szCs w:val="32"/>
          <w:highlight w:val="none"/>
          <w:lang w:eastAsia="zh-CN"/>
        </w:rPr>
        <w:t>196.00</w:t>
      </w:r>
      <w:r>
        <w:rPr>
          <w:rFonts w:hint="eastAsia" w:ascii="CESI仿宋-GB2312" w:hAnsi="CESI仿宋-GB2312" w:eastAsia="CESI仿宋-GB2312" w:cs="CESI仿宋-GB2312"/>
          <w:sz w:val="32"/>
          <w:szCs w:val="32"/>
          <w:highlight w:val="none"/>
        </w:rPr>
        <w:t>万元、</w:t>
      </w:r>
      <w:r>
        <w:rPr>
          <w:rFonts w:hint="eastAsia" w:ascii="CESI仿宋-GB2312" w:hAnsi="CESI仿宋-GB2312" w:eastAsia="CESI仿宋-GB2312" w:cs="CESI仿宋-GB2312"/>
          <w:sz w:val="32"/>
          <w:szCs w:val="32"/>
          <w:highlight w:val="none"/>
          <w:lang w:eastAsia="zh-CN"/>
        </w:rPr>
        <w:t>其他支出</w:t>
      </w:r>
      <w:r>
        <w:rPr>
          <w:rFonts w:hint="eastAsia" w:ascii="CESI仿宋-GB2312" w:hAnsi="CESI仿宋-GB2312" w:eastAsia="CESI仿宋-GB2312" w:cs="CESI仿宋-GB2312"/>
          <w:sz w:val="32"/>
          <w:szCs w:val="32"/>
          <w:highlight w:val="none"/>
        </w:rPr>
        <w:t>5,004.06万元。</w:t>
      </w:r>
    </w:p>
    <w:p>
      <w:pPr>
        <w:numPr>
          <w:ilvl w:val="0"/>
          <w:numId w:val="0"/>
        </w:numPr>
        <w:ind w:firstLine="640" w:firstLineChars="200"/>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sz w:val="32"/>
          <w:szCs w:val="32"/>
          <w:highlight w:val="none"/>
        </w:rPr>
        <w:t>县卫生健康局</w:t>
      </w:r>
      <w:r>
        <w:rPr>
          <w:rFonts w:hint="eastAsia" w:ascii="CESI仿宋-GB2312" w:hAnsi="CESI仿宋-GB2312" w:eastAsia="CESI仿宋-GB2312" w:cs="CESI仿宋-GB2312"/>
          <w:sz w:val="32"/>
          <w:szCs w:val="32"/>
          <w:highlight w:val="none"/>
          <w:lang w:eastAsia="zh-CN"/>
        </w:rPr>
        <w:t>202</w:t>
      </w:r>
      <w:r>
        <w:rPr>
          <w:rFonts w:hint="eastAsia" w:ascii="CESI仿宋-GB2312" w:hAnsi="CESI仿宋-GB2312" w:eastAsia="CESI仿宋-GB2312" w:cs="CESI仿宋-GB2312"/>
          <w:sz w:val="32"/>
          <w:szCs w:val="32"/>
          <w:highlight w:val="none"/>
          <w:lang w:val="en-US" w:eastAsia="zh-CN"/>
        </w:rPr>
        <w:t>3</w:t>
      </w:r>
      <w:r>
        <w:rPr>
          <w:rFonts w:hint="eastAsia" w:ascii="CESI仿宋-GB2312" w:hAnsi="CESI仿宋-GB2312" w:eastAsia="CESI仿宋-GB2312" w:cs="CESI仿宋-GB2312"/>
          <w:sz w:val="32"/>
          <w:szCs w:val="32"/>
          <w:highlight w:val="none"/>
          <w:lang w:eastAsia="zh-CN"/>
        </w:rPr>
        <w:t>年</w:t>
      </w:r>
      <w:r>
        <w:rPr>
          <w:rFonts w:hint="eastAsia" w:ascii="CESI仿宋-GB2312" w:hAnsi="CESI仿宋-GB2312" w:eastAsia="CESI仿宋-GB2312" w:cs="CESI仿宋-GB2312"/>
          <w:sz w:val="32"/>
          <w:szCs w:val="32"/>
          <w:highlight w:val="none"/>
        </w:rPr>
        <w:t>本年支出合计</w:t>
      </w:r>
      <w:r>
        <w:rPr>
          <w:rFonts w:hint="eastAsia" w:ascii="CESI仿宋-GB2312" w:hAnsi="CESI仿宋-GB2312" w:eastAsia="CESI仿宋-GB2312" w:cs="CESI仿宋-GB2312"/>
          <w:sz w:val="32"/>
          <w:szCs w:val="32"/>
          <w:highlight w:val="none"/>
          <w:lang w:eastAsia="zh-CN"/>
        </w:rPr>
        <w:t>7,258.84</w:t>
      </w:r>
      <w:r>
        <w:rPr>
          <w:rFonts w:hint="eastAsia" w:ascii="CESI仿宋-GB2312" w:hAnsi="CESI仿宋-GB2312" w:eastAsia="CESI仿宋-GB2312" w:cs="CESI仿宋-GB2312"/>
          <w:sz w:val="32"/>
          <w:szCs w:val="32"/>
          <w:highlight w:val="none"/>
        </w:rPr>
        <w:t>万元，其中社会保障和就业</w:t>
      </w:r>
      <w:r>
        <w:rPr>
          <w:rFonts w:hint="eastAsia" w:ascii="CESI仿宋-GB2312" w:hAnsi="CESI仿宋-GB2312" w:eastAsia="CESI仿宋-GB2312" w:cs="CESI仿宋-GB2312"/>
          <w:sz w:val="32"/>
          <w:szCs w:val="32"/>
          <w:highlight w:val="none"/>
          <w:lang w:eastAsia="zh-CN"/>
        </w:rPr>
        <w:t>203.12</w:t>
      </w:r>
      <w:r>
        <w:rPr>
          <w:rFonts w:hint="eastAsia" w:ascii="CESI仿宋-GB2312" w:hAnsi="CESI仿宋-GB2312" w:eastAsia="CESI仿宋-GB2312" w:cs="CESI仿宋-GB2312"/>
          <w:sz w:val="32"/>
          <w:szCs w:val="32"/>
          <w:highlight w:val="none"/>
        </w:rPr>
        <w:t>万元，其他支出</w:t>
      </w:r>
      <w:r>
        <w:rPr>
          <w:rFonts w:hint="eastAsia" w:ascii="CESI仿宋-GB2312" w:hAnsi="CESI仿宋-GB2312" w:eastAsia="CESI仿宋-GB2312" w:cs="CESI仿宋-GB2312"/>
          <w:sz w:val="32"/>
          <w:szCs w:val="32"/>
          <w:highlight w:val="none"/>
          <w:lang w:eastAsia="zh-CN"/>
        </w:rPr>
        <w:t>1</w:t>
      </w:r>
      <w:r>
        <w:rPr>
          <w:rFonts w:hint="eastAsia" w:ascii="CESI仿宋-GB2312" w:hAnsi="CESI仿宋-GB2312" w:eastAsia="CESI仿宋-GB2312" w:cs="CESI仿宋-GB2312"/>
          <w:sz w:val="32"/>
          <w:szCs w:val="32"/>
          <w:highlight w:val="none"/>
          <w:lang w:val="en-US" w:eastAsia="zh-CN"/>
        </w:rPr>
        <w:t>8</w:t>
      </w:r>
      <w:r>
        <w:rPr>
          <w:rFonts w:hint="eastAsia" w:ascii="CESI仿宋-GB2312" w:hAnsi="CESI仿宋-GB2312" w:eastAsia="CESI仿宋-GB2312" w:cs="CESI仿宋-GB2312"/>
          <w:sz w:val="32"/>
          <w:szCs w:val="32"/>
          <w:highlight w:val="none"/>
        </w:rPr>
        <w:t>万元、卫生健康支出</w:t>
      </w:r>
      <w:r>
        <w:rPr>
          <w:rFonts w:hint="eastAsia" w:ascii="CESI仿宋-GB2312" w:hAnsi="CESI仿宋-GB2312" w:eastAsia="CESI仿宋-GB2312" w:cs="CESI仿宋-GB2312"/>
          <w:sz w:val="32"/>
          <w:szCs w:val="32"/>
          <w:highlight w:val="none"/>
          <w:lang w:eastAsia="zh-CN"/>
        </w:rPr>
        <w:t>1,826.71</w:t>
      </w:r>
      <w:r>
        <w:rPr>
          <w:rFonts w:hint="eastAsia" w:ascii="CESI仿宋-GB2312" w:hAnsi="CESI仿宋-GB2312" w:eastAsia="CESI仿宋-GB2312" w:cs="CESI仿宋-GB2312"/>
          <w:sz w:val="32"/>
          <w:szCs w:val="32"/>
          <w:highlight w:val="none"/>
        </w:rPr>
        <w:t>万元、住房保障支出</w:t>
      </w:r>
      <w:r>
        <w:rPr>
          <w:rFonts w:hint="eastAsia" w:ascii="CESI仿宋-GB2312" w:hAnsi="CESI仿宋-GB2312" w:eastAsia="CESI仿宋-GB2312" w:cs="CESI仿宋-GB2312"/>
          <w:sz w:val="32"/>
          <w:szCs w:val="32"/>
          <w:highlight w:val="none"/>
          <w:lang w:eastAsia="zh-CN"/>
        </w:rPr>
        <w:t>33.01</w:t>
      </w:r>
      <w:r>
        <w:rPr>
          <w:rFonts w:hint="eastAsia" w:ascii="CESI仿宋-GB2312" w:hAnsi="CESI仿宋-GB2312" w:eastAsia="CESI仿宋-GB2312" w:cs="CESI仿宋-GB2312"/>
          <w:sz w:val="32"/>
          <w:szCs w:val="32"/>
          <w:highlight w:val="none"/>
        </w:rPr>
        <w:t>万元，农林水支出</w:t>
      </w:r>
      <w:r>
        <w:rPr>
          <w:rFonts w:hint="eastAsia" w:ascii="CESI仿宋-GB2312" w:hAnsi="CESI仿宋-GB2312" w:eastAsia="CESI仿宋-GB2312" w:cs="CESI仿宋-GB2312"/>
          <w:sz w:val="32"/>
          <w:szCs w:val="32"/>
          <w:highlight w:val="none"/>
          <w:lang w:val="en-US" w:eastAsia="zh-CN"/>
        </w:rPr>
        <w:t>196.00</w:t>
      </w:r>
      <w:r>
        <w:rPr>
          <w:rFonts w:hint="eastAsia" w:ascii="CESI仿宋-GB2312" w:hAnsi="CESI仿宋-GB2312" w:eastAsia="CESI仿宋-GB2312" w:cs="CESI仿宋-GB2312"/>
          <w:sz w:val="32"/>
          <w:szCs w:val="32"/>
          <w:highlight w:val="none"/>
        </w:rPr>
        <w:t>万元</w:t>
      </w:r>
      <w:r>
        <w:rPr>
          <w:rFonts w:hint="eastAsia" w:ascii="CESI仿宋-GB2312" w:hAnsi="CESI仿宋-GB2312" w:eastAsia="CESI仿宋-GB2312" w:cs="CESI仿宋-GB2312"/>
          <w:sz w:val="32"/>
          <w:szCs w:val="32"/>
          <w:highlight w:val="none"/>
          <w:lang w:eastAsia="zh-CN"/>
        </w:rPr>
        <w:t>、其他支出</w:t>
      </w:r>
      <w:r>
        <w:rPr>
          <w:rFonts w:hint="eastAsia" w:ascii="CESI仿宋-GB2312" w:hAnsi="CESI仿宋-GB2312" w:eastAsia="CESI仿宋-GB2312" w:cs="CESI仿宋-GB2312"/>
          <w:sz w:val="32"/>
          <w:szCs w:val="32"/>
          <w:highlight w:val="none"/>
        </w:rPr>
        <w:t>5,000万元</w:t>
      </w:r>
      <w:r>
        <w:rPr>
          <w:rFonts w:hint="eastAsia" w:ascii="CESI仿宋-GB2312" w:hAnsi="CESI仿宋-GB2312" w:eastAsia="CESI仿宋-GB2312" w:cs="CESI仿宋-GB2312"/>
          <w:sz w:val="32"/>
          <w:szCs w:val="32"/>
          <w:highlight w:val="none"/>
          <w:lang w:eastAsia="zh-CN"/>
        </w:rPr>
        <w:t>。</w:t>
      </w:r>
    </w:p>
    <w:p>
      <w:pPr>
        <w:widowControl/>
        <w:adjustRightInd w:val="0"/>
        <w:snapToGrid w:val="0"/>
        <w:spacing w:line="58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三、部门整体预算绩效管理情况</w:t>
      </w:r>
    </w:p>
    <w:p>
      <w:pPr>
        <w:widowControl/>
        <w:adjustRightInd w:val="0"/>
        <w:snapToGrid w:val="0"/>
        <w:spacing w:line="580" w:lineRule="exact"/>
        <w:ind w:firstLine="640" w:firstLineChars="200"/>
        <w:contextualSpacing/>
        <w:jc w:val="left"/>
        <w:rPr>
          <w:kern w:val="0"/>
          <w:sz w:val="32"/>
          <w:szCs w:val="32"/>
          <w:shd w:val="clear" w:color="auto" w:fill="FFFFFF"/>
          <w:lang w:val="zh-CN"/>
        </w:rPr>
      </w:pPr>
      <w:r>
        <w:rPr>
          <w:kern w:val="0"/>
          <w:sz w:val="32"/>
          <w:szCs w:val="32"/>
          <w:shd w:val="clear" w:color="auto" w:fill="FFFFFF"/>
          <w:lang w:val="zh-CN"/>
        </w:rPr>
        <w:t>（一）部门预算项目绩效管理。</w:t>
      </w:r>
    </w:p>
    <w:p>
      <w:pPr>
        <w:widowControl/>
        <w:adjustRightInd w:val="0"/>
        <w:snapToGrid w:val="0"/>
        <w:spacing w:line="590" w:lineRule="atLeast"/>
        <w:ind w:firstLine="640" w:firstLineChars="0"/>
        <w:contextualSpacing/>
        <w:jc w:val="left"/>
        <w:rPr>
          <w:rFonts w:hint="eastAsia" w:ascii="Times New Roman" w:hAnsi="Times New Roman" w:eastAsia="仿宋_GB2312"/>
          <w:b/>
          <w:color w:val="auto"/>
          <w:sz w:val="32"/>
          <w:szCs w:val="32"/>
        </w:rPr>
      </w:pPr>
      <w:r>
        <w:rPr>
          <w:rFonts w:hint="eastAsia" w:ascii="Times New Roman" w:hAnsi="Times New Roman" w:eastAsia="仿宋_GB2312"/>
          <w:b/>
          <w:color w:val="auto"/>
          <w:sz w:val="32"/>
          <w:szCs w:val="32"/>
          <w:shd w:val="clear" w:color="auto" w:fill="auto"/>
        </w:rPr>
        <w:t>1.绩效目标实现全覆盖</w:t>
      </w:r>
    </w:p>
    <w:p>
      <w:pPr>
        <w:widowControl/>
        <w:adjustRightInd w:val="0"/>
        <w:snapToGrid w:val="0"/>
        <w:spacing w:line="590" w:lineRule="atLeast"/>
        <w:ind w:firstLine="640" w:firstLineChars="200"/>
        <w:contextualSpacing/>
        <w:jc w:val="left"/>
        <w:rPr>
          <w:rFonts w:hint="eastAsia" w:ascii="Times New Roman" w:hAnsi="Times New Roman" w:eastAsia="仿宋_GB2312"/>
          <w:color w:val="auto"/>
          <w:sz w:val="32"/>
          <w:szCs w:val="32"/>
        </w:rPr>
      </w:pPr>
      <w:r>
        <w:rPr>
          <w:rFonts w:hint="eastAsia" w:ascii="CESI仿宋-GB2312" w:hAnsi="CESI仿宋-GB2312" w:eastAsia="CESI仿宋-GB2312" w:cs="CESI仿宋-GB2312"/>
          <w:sz w:val="32"/>
          <w:szCs w:val="32"/>
          <w:lang w:eastAsia="zh-CN"/>
        </w:rPr>
        <w:t>202</w:t>
      </w:r>
      <w:r>
        <w:rPr>
          <w:rFonts w:hint="eastAsia" w:ascii="CESI仿宋-GB2312" w:hAnsi="CESI仿宋-GB2312" w:eastAsia="CESI仿宋-GB2312" w:cs="CESI仿宋-GB2312"/>
          <w:sz w:val="32"/>
          <w:szCs w:val="32"/>
          <w:lang w:val="en-US" w:eastAsia="zh-CN"/>
        </w:rPr>
        <w:t>3</w:t>
      </w:r>
      <w:r>
        <w:rPr>
          <w:rFonts w:hint="eastAsia" w:ascii="CESI仿宋-GB2312" w:hAnsi="CESI仿宋-GB2312" w:eastAsia="CESI仿宋-GB2312" w:cs="CESI仿宋-GB2312"/>
          <w:sz w:val="32"/>
          <w:szCs w:val="32"/>
          <w:lang w:eastAsia="zh-CN"/>
        </w:rPr>
        <w:t>年</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color w:val="auto"/>
          <w:sz w:val="32"/>
          <w:szCs w:val="32"/>
          <w:shd w:val="clear" w:color="auto" w:fill="auto"/>
        </w:rPr>
        <w:t>绩效目标管理覆盖一般公共预算中所有本级项目和中央对地方专项转移支付，</w:t>
      </w:r>
      <w:r>
        <w:rPr>
          <w:rFonts w:hint="eastAsia" w:ascii="CESI仿宋-GB2312" w:hAnsi="CESI仿宋-GB2312" w:eastAsia="CESI仿宋-GB2312" w:cs="CESI仿宋-GB2312"/>
          <w:sz w:val="32"/>
          <w:szCs w:val="32"/>
        </w:rPr>
        <w:t>建立了比较全面规范的绩效指标体系，同时</w:t>
      </w:r>
      <w:r>
        <w:rPr>
          <w:rFonts w:hint="eastAsia" w:ascii="CESI仿宋-GB2312" w:hAnsi="CESI仿宋-GB2312" w:eastAsia="CESI仿宋-GB2312" w:cs="CESI仿宋-GB2312"/>
          <w:color w:val="auto"/>
          <w:sz w:val="32"/>
          <w:szCs w:val="32"/>
          <w:shd w:val="clear" w:color="auto" w:fill="auto"/>
        </w:rPr>
        <w:t>将绩效目标随同</w:t>
      </w:r>
      <w:r>
        <w:rPr>
          <w:rFonts w:hint="eastAsia" w:ascii="CESI仿宋-GB2312" w:hAnsi="CESI仿宋-GB2312" w:eastAsia="CESI仿宋-GB2312" w:cs="CESI仿宋-GB2312"/>
          <w:sz w:val="32"/>
          <w:szCs w:val="32"/>
        </w:rPr>
        <w:t>资金同步下</w:t>
      </w:r>
      <w:r>
        <w:rPr>
          <w:rFonts w:hint="eastAsia" w:ascii="CESI仿宋-GB2312" w:hAnsi="CESI仿宋-GB2312" w:eastAsia="CESI仿宋-GB2312" w:cs="CESI仿宋-GB2312"/>
          <w:color w:val="auto"/>
          <w:sz w:val="32"/>
          <w:szCs w:val="32"/>
          <w:shd w:val="clear" w:color="auto" w:fill="auto"/>
        </w:rPr>
        <w:t>达，强化资金使用单位的主体责任和效率意识。</w:t>
      </w:r>
    </w:p>
    <w:p>
      <w:pPr>
        <w:widowControl/>
        <w:adjustRightInd w:val="0"/>
        <w:snapToGrid w:val="0"/>
        <w:spacing w:line="590" w:lineRule="atLeast"/>
        <w:ind w:firstLine="640" w:firstLineChars="0"/>
        <w:contextualSpacing/>
        <w:jc w:val="left"/>
        <w:rPr>
          <w:rFonts w:hint="eastAsia" w:ascii="Times New Roman" w:hAnsi="Times New Roman" w:eastAsia="仿宋_GB2312"/>
          <w:b/>
          <w:color w:val="auto"/>
          <w:sz w:val="32"/>
          <w:szCs w:val="32"/>
        </w:rPr>
      </w:pPr>
      <w:r>
        <w:rPr>
          <w:rFonts w:hint="eastAsia" w:ascii="Times New Roman" w:hAnsi="Times New Roman" w:eastAsia="仿宋_GB2312"/>
          <w:b/>
          <w:color w:val="auto"/>
          <w:sz w:val="32"/>
          <w:szCs w:val="32"/>
          <w:shd w:val="clear" w:color="auto" w:fill="auto"/>
        </w:rPr>
        <w:t>2.全面实施绩效自评</w:t>
      </w:r>
    </w:p>
    <w:p>
      <w:pPr>
        <w:widowControl/>
        <w:adjustRightInd w:val="0"/>
        <w:snapToGrid w:val="0"/>
        <w:spacing w:line="590" w:lineRule="atLeast"/>
        <w:ind w:firstLine="640" w:firstLineChars="200"/>
        <w:contextualSpacing/>
        <w:jc w:val="left"/>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auto"/>
          <w:sz w:val="32"/>
          <w:szCs w:val="32"/>
          <w:shd w:val="clear" w:color="auto" w:fill="auto"/>
        </w:rPr>
        <w:t>组织</w:t>
      </w:r>
      <w:r>
        <w:rPr>
          <w:rFonts w:hint="eastAsia" w:ascii="CESI仿宋-GB2312" w:hAnsi="CESI仿宋-GB2312" w:eastAsia="CESI仿宋-GB2312" w:cs="CESI仿宋-GB2312"/>
          <w:sz w:val="32"/>
          <w:szCs w:val="32"/>
        </w:rPr>
        <w:t>局机关各股室及下属19家医疗卫生机构</w:t>
      </w:r>
      <w:r>
        <w:rPr>
          <w:rFonts w:hint="eastAsia" w:ascii="CESI仿宋-GB2312" w:hAnsi="CESI仿宋-GB2312" w:eastAsia="CESI仿宋-GB2312" w:cs="CESI仿宋-GB2312"/>
          <w:color w:val="auto"/>
          <w:sz w:val="32"/>
          <w:szCs w:val="32"/>
          <w:shd w:val="clear" w:color="auto" w:fill="auto"/>
        </w:rPr>
        <w:t>对上年所有本级项目</w:t>
      </w:r>
      <w:r>
        <w:rPr>
          <w:rFonts w:hint="eastAsia" w:ascii="CESI仿宋-GB2312" w:hAnsi="CESI仿宋-GB2312" w:eastAsia="CESI仿宋-GB2312" w:cs="CESI仿宋-GB2312"/>
          <w:sz w:val="32"/>
          <w:szCs w:val="32"/>
        </w:rPr>
        <w:t>和</w:t>
      </w:r>
      <w:r>
        <w:rPr>
          <w:rFonts w:hint="eastAsia" w:ascii="CESI仿宋-GB2312" w:hAnsi="CESI仿宋-GB2312" w:eastAsia="CESI仿宋-GB2312" w:cs="CESI仿宋-GB2312"/>
          <w:color w:val="auto"/>
          <w:sz w:val="32"/>
          <w:szCs w:val="32"/>
          <w:shd w:val="clear" w:color="auto" w:fill="auto"/>
        </w:rPr>
        <w:t>中央专项转移支付全面开展绩效自评。</w:t>
      </w:r>
      <w:r>
        <w:rPr>
          <w:rFonts w:hint="eastAsia" w:ascii="CESI仿宋-GB2312" w:hAnsi="CESI仿宋-GB2312" w:eastAsia="CESI仿宋-GB2312" w:cs="CESI仿宋-GB2312"/>
          <w:sz w:val="32"/>
          <w:szCs w:val="32"/>
        </w:rPr>
        <w:t>并对本年度预算执行、预算调整、绩效目标完成及实现情况全面开展事中绩效监控，提高财政资金使用效益，</w:t>
      </w:r>
      <w:r>
        <w:rPr>
          <w:rFonts w:hint="eastAsia" w:ascii="CESI仿宋-GB2312" w:hAnsi="CESI仿宋-GB2312" w:eastAsia="CESI仿宋-GB2312" w:cs="CESI仿宋-GB2312"/>
          <w:sz w:val="32"/>
          <w:szCs w:val="32"/>
          <w:lang w:eastAsia="zh-CN"/>
        </w:rPr>
        <w:t>202</w:t>
      </w:r>
      <w:r>
        <w:rPr>
          <w:rFonts w:hint="eastAsia" w:ascii="CESI仿宋-GB2312" w:hAnsi="CESI仿宋-GB2312" w:eastAsia="CESI仿宋-GB2312" w:cs="CESI仿宋-GB2312"/>
          <w:sz w:val="32"/>
          <w:szCs w:val="32"/>
          <w:lang w:val="en-US" w:eastAsia="zh-CN"/>
        </w:rPr>
        <w:t>3</w:t>
      </w:r>
      <w:r>
        <w:rPr>
          <w:rFonts w:hint="eastAsia" w:ascii="CESI仿宋-GB2312" w:hAnsi="CESI仿宋-GB2312" w:eastAsia="CESI仿宋-GB2312" w:cs="CESI仿宋-GB2312"/>
          <w:sz w:val="32"/>
          <w:szCs w:val="32"/>
          <w:lang w:eastAsia="zh-CN"/>
        </w:rPr>
        <w:t>年</w:t>
      </w:r>
      <w:r>
        <w:rPr>
          <w:rFonts w:hint="eastAsia" w:ascii="CESI仿宋-GB2312" w:hAnsi="CESI仿宋-GB2312" w:eastAsia="CESI仿宋-GB2312" w:cs="CESI仿宋-GB2312"/>
          <w:sz w:val="32"/>
          <w:szCs w:val="32"/>
        </w:rPr>
        <w:t>无违规记录。</w:t>
      </w:r>
    </w:p>
    <w:p>
      <w:pPr>
        <w:widowControl/>
        <w:adjustRightInd w:val="0"/>
        <w:snapToGrid w:val="0"/>
        <w:spacing w:line="590" w:lineRule="atLeast"/>
        <w:ind w:firstLine="480" w:firstLineChars="150"/>
        <w:contextualSpacing/>
        <w:jc w:val="left"/>
        <w:rPr>
          <w:rFonts w:hint="eastAsia" w:ascii="CESI仿宋-GB2312" w:hAnsi="CESI仿宋-GB2312" w:eastAsia="CESI仿宋-GB2312" w:cs="CESI仿宋-GB2312"/>
          <w:color w:val="000000"/>
          <w:sz w:val="32"/>
          <w:szCs w:val="32"/>
          <w:highlight w:val="none"/>
        </w:rPr>
      </w:pPr>
      <w:r>
        <w:rPr>
          <w:rFonts w:hint="eastAsia" w:ascii="CESI仿宋-GB2312" w:hAnsi="CESI仿宋-GB2312" w:eastAsia="CESI仿宋-GB2312" w:cs="CESI仿宋-GB2312"/>
          <w:b/>
          <w:color w:val="000000"/>
          <w:sz w:val="32"/>
          <w:szCs w:val="32"/>
          <w:highlight w:val="none"/>
        </w:rPr>
        <w:t>人员经费类</w:t>
      </w:r>
      <w:r>
        <w:rPr>
          <w:rFonts w:hint="eastAsia" w:ascii="CESI仿宋-GB2312" w:hAnsi="CESI仿宋-GB2312" w:eastAsia="CESI仿宋-GB2312" w:cs="CESI仿宋-GB2312"/>
          <w:color w:val="000000"/>
          <w:sz w:val="32"/>
          <w:szCs w:val="32"/>
          <w:highlight w:val="none"/>
        </w:rPr>
        <w:t>：主要是保障局机关</w:t>
      </w:r>
      <w:r>
        <w:rPr>
          <w:rFonts w:hint="eastAsia" w:ascii="CESI仿宋-GB2312" w:hAnsi="CESI仿宋-GB2312" w:eastAsia="CESI仿宋-GB2312" w:cs="CESI仿宋-GB2312"/>
          <w:color w:val="000000"/>
          <w:sz w:val="32"/>
          <w:szCs w:val="32"/>
          <w:highlight w:val="none"/>
          <w:lang w:val="en-US" w:eastAsia="zh-CN"/>
        </w:rPr>
        <w:t>24</w:t>
      </w:r>
      <w:r>
        <w:rPr>
          <w:rFonts w:hint="eastAsia" w:ascii="CESI仿宋-GB2312" w:hAnsi="CESI仿宋-GB2312" w:eastAsia="CESI仿宋-GB2312" w:cs="CESI仿宋-GB2312"/>
          <w:color w:val="000000"/>
          <w:sz w:val="32"/>
          <w:szCs w:val="32"/>
          <w:highlight w:val="none"/>
        </w:rPr>
        <w:t>名和下属二级医疗机</w:t>
      </w:r>
      <w:r>
        <w:rPr>
          <w:rFonts w:hint="eastAsia" w:ascii="CESI仿宋-GB2312" w:hAnsi="CESI仿宋-GB2312" w:eastAsia="CESI仿宋-GB2312" w:cs="CESI仿宋-GB2312"/>
          <w:color w:val="000000"/>
          <w:sz w:val="32"/>
          <w:szCs w:val="32"/>
          <w:highlight w:val="none"/>
          <w:lang w:val="en-US" w:eastAsia="zh-CN"/>
        </w:rPr>
        <w:t>644</w:t>
      </w:r>
      <w:r>
        <w:rPr>
          <w:rFonts w:hint="eastAsia" w:ascii="CESI仿宋-GB2312" w:hAnsi="CESI仿宋-GB2312" w:eastAsia="CESI仿宋-GB2312" w:cs="CESI仿宋-GB2312"/>
          <w:color w:val="000000"/>
          <w:sz w:val="32"/>
          <w:szCs w:val="32"/>
          <w:highlight w:val="none"/>
        </w:rPr>
        <w:t>名职工的基本工资、津贴补贴保险、奖金、保险和公积金等，每月按时发放，有调资或者增资等严格按照人社局审批执行及时拨付，保证了人员的稳定和积极性。局本级年初人员经费预算</w:t>
      </w:r>
      <w:r>
        <w:rPr>
          <w:rFonts w:hint="eastAsia" w:ascii="CESI仿宋-GB2312" w:hAnsi="CESI仿宋-GB2312" w:eastAsia="CESI仿宋-GB2312" w:cs="CESI仿宋-GB2312"/>
          <w:color w:val="000000"/>
          <w:sz w:val="32"/>
          <w:szCs w:val="32"/>
          <w:highlight w:val="none"/>
          <w:lang w:val="en-US" w:eastAsia="zh-CN"/>
        </w:rPr>
        <w:t>360.35</w:t>
      </w:r>
      <w:r>
        <w:rPr>
          <w:rFonts w:hint="eastAsia" w:ascii="CESI仿宋-GB2312" w:hAnsi="CESI仿宋-GB2312" w:eastAsia="CESI仿宋-GB2312" w:cs="CESI仿宋-GB2312"/>
          <w:color w:val="000000"/>
          <w:sz w:val="32"/>
          <w:szCs w:val="32"/>
          <w:highlight w:val="none"/>
        </w:rPr>
        <w:t>万元，完成率100%，无资金结余。</w:t>
      </w:r>
    </w:p>
    <w:p>
      <w:pPr>
        <w:widowControl/>
        <w:adjustRightInd w:val="0"/>
        <w:snapToGrid w:val="0"/>
        <w:spacing w:line="590" w:lineRule="atLeast"/>
        <w:ind w:firstLine="480" w:firstLineChars="150"/>
        <w:contextualSpacing/>
        <w:jc w:val="left"/>
        <w:rPr>
          <w:rFonts w:hint="eastAsia" w:ascii="CESI仿宋-GB2312" w:hAnsi="CESI仿宋-GB2312" w:eastAsia="CESI仿宋-GB2312" w:cs="CESI仿宋-GB2312"/>
          <w:color w:val="000000"/>
          <w:sz w:val="32"/>
          <w:szCs w:val="32"/>
          <w:highlight w:val="none"/>
        </w:rPr>
      </w:pPr>
      <w:r>
        <w:rPr>
          <w:rFonts w:hint="eastAsia" w:ascii="CESI仿宋-GB2312" w:hAnsi="CESI仿宋-GB2312" w:eastAsia="CESI仿宋-GB2312" w:cs="CESI仿宋-GB2312"/>
          <w:b/>
          <w:color w:val="000000"/>
          <w:sz w:val="32"/>
          <w:szCs w:val="32"/>
          <w:highlight w:val="none"/>
        </w:rPr>
        <w:t>公用经费：</w:t>
      </w:r>
      <w:r>
        <w:rPr>
          <w:rFonts w:hint="eastAsia" w:ascii="CESI仿宋-GB2312" w:hAnsi="CESI仿宋-GB2312" w:eastAsia="CESI仿宋-GB2312" w:cs="CESI仿宋-GB2312"/>
          <w:color w:val="000000"/>
          <w:sz w:val="32"/>
          <w:szCs w:val="32"/>
          <w:highlight w:val="none"/>
        </w:rPr>
        <w:t>主要是保障单位各项基本职能的履行和日常工作开展，全面贯彻政府过紧日子要求，本着厉行节约、打紧使用的原则控制支出，合理使用资金，单位各项工作有序、稳定的全面执行。年初公用经费预算</w:t>
      </w:r>
      <w:r>
        <w:rPr>
          <w:rFonts w:hint="eastAsia" w:ascii="CESI仿宋-GB2312" w:hAnsi="CESI仿宋-GB2312" w:eastAsia="CESI仿宋-GB2312" w:cs="CESI仿宋-GB2312"/>
          <w:color w:val="000000"/>
          <w:sz w:val="32"/>
          <w:szCs w:val="32"/>
          <w:highlight w:val="none"/>
          <w:lang w:eastAsia="zh-CN"/>
        </w:rPr>
        <w:t>1</w:t>
      </w:r>
      <w:r>
        <w:rPr>
          <w:rFonts w:hint="eastAsia" w:ascii="CESI仿宋-GB2312" w:hAnsi="CESI仿宋-GB2312" w:eastAsia="CESI仿宋-GB2312" w:cs="CESI仿宋-GB2312"/>
          <w:color w:val="000000"/>
          <w:sz w:val="32"/>
          <w:szCs w:val="32"/>
          <w:highlight w:val="none"/>
          <w:lang w:val="en-US" w:eastAsia="zh-CN"/>
        </w:rPr>
        <w:t>413.40</w:t>
      </w:r>
      <w:r>
        <w:rPr>
          <w:rFonts w:hint="eastAsia" w:ascii="CESI仿宋-GB2312" w:hAnsi="CESI仿宋-GB2312" w:eastAsia="CESI仿宋-GB2312" w:cs="CESI仿宋-GB2312"/>
          <w:color w:val="000000"/>
          <w:sz w:val="32"/>
          <w:szCs w:val="32"/>
          <w:highlight w:val="none"/>
        </w:rPr>
        <w:t>万元，其中，局本级年初公用经费预算</w:t>
      </w:r>
      <w:r>
        <w:rPr>
          <w:rFonts w:hint="eastAsia" w:ascii="CESI仿宋-GB2312" w:hAnsi="CESI仿宋-GB2312" w:eastAsia="CESI仿宋-GB2312" w:cs="CESI仿宋-GB2312"/>
          <w:color w:val="000000"/>
          <w:sz w:val="32"/>
          <w:szCs w:val="32"/>
          <w:highlight w:val="none"/>
          <w:lang w:eastAsia="zh-CN"/>
        </w:rPr>
        <w:t>3</w:t>
      </w:r>
      <w:r>
        <w:rPr>
          <w:rFonts w:hint="eastAsia" w:ascii="CESI仿宋-GB2312" w:hAnsi="CESI仿宋-GB2312" w:eastAsia="CESI仿宋-GB2312" w:cs="CESI仿宋-GB2312"/>
          <w:color w:val="000000"/>
          <w:sz w:val="32"/>
          <w:szCs w:val="32"/>
          <w:highlight w:val="none"/>
          <w:lang w:val="en-US" w:eastAsia="zh-CN"/>
        </w:rPr>
        <w:t>9.06</w:t>
      </w:r>
      <w:r>
        <w:rPr>
          <w:rFonts w:hint="eastAsia" w:ascii="CESI仿宋-GB2312" w:hAnsi="CESI仿宋-GB2312" w:eastAsia="CESI仿宋-GB2312" w:cs="CESI仿宋-GB2312"/>
          <w:color w:val="000000"/>
          <w:sz w:val="32"/>
          <w:szCs w:val="32"/>
          <w:highlight w:val="none"/>
        </w:rPr>
        <w:t>万元，完成率100%，无资金结余。</w:t>
      </w:r>
    </w:p>
    <w:p>
      <w:pPr>
        <w:widowControl/>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highlight w:val="none"/>
        </w:rPr>
      </w:pPr>
      <w:r>
        <w:rPr>
          <w:rFonts w:hint="eastAsia" w:ascii="CESI仿宋-GB2312" w:hAnsi="CESI仿宋-GB2312" w:eastAsia="CESI仿宋-GB2312" w:cs="CESI仿宋-GB2312"/>
          <w:b/>
          <w:color w:val="000000"/>
          <w:sz w:val="32"/>
          <w:szCs w:val="32"/>
          <w:highlight w:val="none"/>
        </w:rPr>
        <w:t>特定目标类</w:t>
      </w:r>
      <w:r>
        <w:rPr>
          <w:rFonts w:hint="eastAsia" w:ascii="CESI仿宋-GB2312" w:hAnsi="CESI仿宋-GB2312" w:eastAsia="CESI仿宋-GB2312" w:cs="CESI仿宋-GB2312"/>
          <w:color w:val="000000"/>
          <w:sz w:val="32"/>
          <w:szCs w:val="32"/>
          <w:highlight w:val="none"/>
        </w:rPr>
        <w:t>：</w:t>
      </w:r>
      <w:r>
        <w:rPr>
          <w:rFonts w:hint="eastAsia" w:ascii="CESI仿宋-GB2312" w:hAnsi="CESI仿宋-GB2312" w:eastAsia="CESI仿宋-GB2312" w:cs="CESI仿宋-GB2312"/>
          <w:color w:val="auto"/>
          <w:sz w:val="32"/>
          <w:szCs w:val="32"/>
          <w:highlight w:val="none"/>
        </w:rPr>
        <w:t>特定目标类年初预算</w:t>
      </w:r>
      <w:r>
        <w:rPr>
          <w:rFonts w:hint="eastAsia" w:ascii="CESI仿宋-GB2312" w:hAnsi="CESI仿宋-GB2312" w:eastAsia="CESI仿宋-GB2312" w:cs="CESI仿宋-GB2312"/>
          <w:color w:val="auto"/>
          <w:sz w:val="32"/>
          <w:szCs w:val="32"/>
          <w:highlight w:val="none"/>
          <w:lang w:val="en-US" w:eastAsia="zh-CN"/>
        </w:rPr>
        <w:t>1829.23</w:t>
      </w:r>
      <w:r>
        <w:rPr>
          <w:rFonts w:hint="eastAsia" w:ascii="CESI仿宋-GB2312" w:hAnsi="CESI仿宋-GB2312" w:eastAsia="CESI仿宋-GB2312" w:cs="CESI仿宋-GB2312"/>
          <w:color w:val="auto"/>
          <w:sz w:val="32"/>
          <w:szCs w:val="32"/>
          <w:highlight w:val="none"/>
        </w:rPr>
        <w:t>万元，</w:t>
      </w:r>
      <w:r>
        <w:rPr>
          <w:rFonts w:hint="eastAsia" w:ascii="CESI仿宋-GB2312" w:hAnsi="CESI仿宋-GB2312" w:eastAsia="CESI仿宋-GB2312" w:cs="CESI仿宋-GB2312"/>
          <w:color w:val="auto"/>
          <w:sz w:val="32"/>
          <w:szCs w:val="32"/>
          <w:highlight w:val="none"/>
          <w:lang w:eastAsia="zh-CN"/>
        </w:rPr>
        <w:t>其中：卫健局</w:t>
      </w:r>
      <w:r>
        <w:rPr>
          <w:rFonts w:hint="eastAsia" w:ascii="CESI仿宋-GB2312" w:hAnsi="CESI仿宋-GB2312" w:eastAsia="CESI仿宋-GB2312" w:cs="CESI仿宋-GB2312"/>
          <w:color w:val="auto"/>
          <w:sz w:val="32"/>
          <w:szCs w:val="32"/>
          <w:highlight w:val="none"/>
          <w:lang w:val="en-US" w:eastAsia="zh-CN"/>
        </w:rPr>
        <w:t>345.43万元、</w:t>
      </w:r>
      <w:r>
        <w:rPr>
          <w:rFonts w:hint="eastAsia" w:ascii="CESI仿宋-GB2312" w:hAnsi="CESI仿宋-GB2312" w:eastAsia="CESI仿宋-GB2312" w:cs="CESI仿宋-GB2312"/>
          <w:color w:val="auto"/>
          <w:sz w:val="32"/>
          <w:szCs w:val="32"/>
          <w:highlight w:val="none"/>
        </w:rPr>
        <w:t>医疗机构</w:t>
      </w:r>
      <w:r>
        <w:rPr>
          <w:rFonts w:hint="eastAsia" w:ascii="CESI仿宋-GB2312" w:hAnsi="CESI仿宋-GB2312" w:eastAsia="CESI仿宋-GB2312" w:cs="CESI仿宋-GB2312"/>
          <w:color w:val="auto"/>
          <w:sz w:val="32"/>
          <w:szCs w:val="32"/>
          <w:highlight w:val="none"/>
          <w:lang w:val="en-US" w:eastAsia="zh-CN"/>
        </w:rPr>
        <w:t>1483.8万元</w:t>
      </w:r>
      <w:r>
        <w:rPr>
          <w:rFonts w:hint="eastAsia" w:ascii="CESI仿宋-GB2312" w:hAnsi="CESI仿宋-GB2312" w:eastAsia="CESI仿宋-GB2312" w:cs="CESI仿宋-GB2312"/>
          <w:color w:val="auto"/>
          <w:sz w:val="32"/>
          <w:szCs w:val="32"/>
          <w:highlight w:val="none"/>
        </w:rPr>
        <w:t>的</w:t>
      </w:r>
      <w:r>
        <w:rPr>
          <w:rFonts w:hint="eastAsia" w:ascii="CESI仿宋-GB2312" w:hAnsi="CESI仿宋-GB2312" w:eastAsia="CESI仿宋-GB2312" w:cs="CESI仿宋-GB2312"/>
          <w:color w:val="auto"/>
          <w:sz w:val="32"/>
          <w:szCs w:val="32"/>
          <w:highlight w:val="none"/>
          <w:lang w:eastAsia="zh-CN"/>
        </w:rPr>
        <w:t>。202</w:t>
      </w:r>
      <w:r>
        <w:rPr>
          <w:rFonts w:hint="eastAsia" w:ascii="CESI仿宋-GB2312" w:hAnsi="CESI仿宋-GB2312" w:eastAsia="CESI仿宋-GB2312" w:cs="CESI仿宋-GB2312"/>
          <w:color w:val="auto"/>
          <w:sz w:val="32"/>
          <w:szCs w:val="32"/>
          <w:highlight w:val="none"/>
          <w:lang w:val="en-US" w:eastAsia="zh-CN"/>
        </w:rPr>
        <w:t>3</w:t>
      </w:r>
      <w:r>
        <w:rPr>
          <w:rFonts w:hint="eastAsia" w:ascii="CESI仿宋-GB2312" w:hAnsi="CESI仿宋-GB2312" w:eastAsia="CESI仿宋-GB2312" w:cs="CESI仿宋-GB2312"/>
          <w:color w:val="auto"/>
          <w:sz w:val="32"/>
          <w:szCs w:val="32"/>
          <w:highlight w:val="none"/>
          <w:lang w:eastAsia="zh-CN"/>
        </w:rPr>
        <w:t>年</w:t>
      </w:r>
      <w:r>
        <w:rPr>
          <w:rFonts w:hint="eastAsia" w:ascii="CESI仿宋-GB2312" w:hAnsi="CESI仿宋-GB2312" w:eastAsia="CESI仿宋-GB2312" w:cs="CESI仿宋-GB2312"/>
          <w:color w:val="auto"/>
          <w:sz w:val="32"/>
          <w:szCs w:val="32"/>
          <w:highlight w:val="none"/>
        </w:rPr>
        <w:t>紧密结合县委、县政府工作重点和卫生健康事业的发展规划，对所申报的项目按照相关法律、法规、方针政策和支出需要，进行充分调研和论证，做好可行性分析，按照轻重缓急的原则合理进行编报。所有项目制定了绩效目标，实行项目入库、严格支出管理，按进度支付，实行绩效监控、开展绩效评价、提高资金使用效益。</w:t>
      </w:r>
      <w:r>
        <w:rPr>
          <w:rFonts w:hint="eastAsia" w:ascii="CESI仿宋-GB2312" w:hAnsi="CESI仿宋-GB2312" w:eastAsia="CESI仿宋-GB2312" w:cs="CESI仿宋-GB2312"/>
          <w:color w:val="auto"/>
          <w:sz w:val="32"/>
          <w:szCs w:val="32"/>
          <w:highlight w:val="none"/>
          <w:lang w:eastAsia="zh-CN"/>
        </w:rPr>
        <w:t>202</w:t>
      </w:r>
      <w:r>
        <w:rPr>
          <w:rFonts w:hint="eastAsia" w:ascii="CESI仿宋-GB2312" w:hAnsi="CESI仿宋-GB2312" w:eastAsia="CESI仿宋-GB2312" w:cs="CESI仿宋-GB2312"/>
          <w:color w:val="auto"/>
          <w:sz w:val="32"/>
          <w:szCs w:val="32"/>
          <w:highlight w:val="none"/>
          <w:lang w:val="en-US" w:eastAsia="zh-CN"/>
        </w:rPr>
        <w:t>3</w:t>
      </w:r>
      <w:r>
        <w:rPr>
          <w:rFonts w:hint="eastAsia" w:ascii="CESI仿宋-GB2312" w:hAnsi="CESI仿宋-GB2312" w:eastAsia="CESI仿宋-GB2312" w:cs="CESI仿宋-GB2312"/>
          <w:color w:val="auto"/>
          <w:sz w:val="32"/>
          <w:szCs w:val="32"/>
          <w:highlight w:val="none"/>
          <w:lang w:eastAsia="zh-CN"/>
        </w:rPr>
        <w:t>年局本级及下属</w:t>
      </w:r>
      <w:r>
        <w:rPr>
          <w:rFonts w:hint="eastAsia" w:ascii="CESI仿宋-GB2312" w:hAnsi="CESI仿宋-GB2312" w:eastAsia="CESI仿宋-GB2312" w:cs="CESI仿宋-GB2312"/>
          <w:color w:val="auto"/>
          <w:sz w:val="32"/>
          <w:szCs w:val="32"/>
          <w:highlight w:val="none"/>
          <w:lang w:val="en-US" w:eastAsia="zh-CN"/>
        </w:rPr>
        <w:t>19家医疗机构</w:t>
      </w:r>
      <w:r>
        <w:rPr>
          <w:rFonts w:hint="eastAsia" w:ascii="CESI仿宋-GB2312" w:hAnsi="CESI仿宋-GB2312" w:eastAsia="CESI仿宋-GB2312" w:cs="CESI仿宋-GB2312"/>
          <w:color w:val="auto"/>
          <w:sz w:val="32"/>
          <w:szCs w:val="32"/>
          <w:highlight w:val="none"/>
        </w:rPr>
        <w:t>特定项目类支出</w:t>
      </w:r>
      <w:r>
        <w:rPr>
          <w:rFonts w:hint="eastAsia" w:ascii="CESI仿宋-GB2312" w:hAnsi="CESI仿宋-GB2312" w:eastAsia="CESI仿宋-GB2312" w:cs="CESI仿宋-GB2312"/>
          <w:color w:val="auto"/>
          <w:sz w:val="32"/>
          <w:szCs w:val="32"/>
          <w:highlight w:val="none"/>
          <w:lang w:val="en-US" w:eastAsia="zh-CN"/>
        </w:rPr>
        <w:t>12513.06</w:t>
      </w:r>
      <w:r>
        <w:rPr>
          <w:rFonts w:hint="eastAsia" w:ascii="CESI仿宋-GB2312" w:hAnsi="CESI仿宋-GB2312" w:eastAsia="CESI仿宋-GB2312" w:cs="CESI仿宋-GB2312"/>
          <w:color w:val="auto"/>
          <w:sz w:val="32"/>
          <w:szCs w:val="32"/>
          <w:highlight w:val="none"/>
        </w:rPr>
        <w:t>万元，其中一般公共预算财政拨款支出</w:t>
      </w:r>
      <w:r>
        <w:rPr>
          <w:rFonts w:hint="eastAsia" w:ascii="CESI仿宋-GB2312" w:hAnsi="CESI仿宋-GB2312" w:eastAsia="CESI仿宋-GB2312" w:cs="CESI仿宋-GB2312"/>
          <w:color w:val="auto"/>
          <w:sz w:val="32"/>
          <w:szCs w:val="32"/>
          <w:highlight w:val="none"/>
          <w:lang w:val="en-US" w:eastAsia="zh-CN"/>
        </w:rPr>
        <w:t>7509</w:t>
      </w:r>
      <w:r>
        <w:rPr>
          <w:rFonts w:hint="eastAsia" w:ascii="CESI仿宋-GB2312" w:hAnsi="CESI仿宋-GB2312" w:eastAsia="CESI仿宋-GB2312" w:cs="CESI仿宋-GB2312"/>
          <w:color w:val="auto"/>
          <w:sz w:val="32"/>
          <w:szCs w:val="32"/>
          <w:highlight w:val="none"/>
        </w:rPr>
        <w:t>万元</w:t>
      </w:r>
      <w:r>
        <w:rPr>
          <w:rFonts w:hint="eastAsia" w:ascii="CESI仿宋-GB2312" w:hAnsi="CESI仿宋-GB2312" w:eastAsia="CESI仿宋-GB2312" w:cs="CESI仿宋-GB2312"/>
          <w:color w:val="auto"/>
          <w:sz w:val="32"/>
          <w:szCs w:val="32"/>
          <w:highlight w:val="none"/>
          <w:lang w:eastAsia="zh-CN"/>
        </w:rPr>
        <w:t>、</w:t>
      </w:r>
      <w:r>
        <w:rPr>
          <w:rFonts w:hint="eastAsia" w:ascii="CESI仿宋-GB2312" w:hAnsi="CESI仿宋-GB2312" w:eastAsia="CESI仿宋-GB2312" w:cs="CESI仿宋-GB2312"/>
          <w:color w:val="auto"/>
          <w:sz w:val="32"/>
          <w:szCs w:val="32"/>
          <w:highlight w:val="none"/>
        </w:rPr>
        <w:t>政府性基金预算财政拨款</w:t>
      </w:r>
      <w:r>
        <w:rPr>
          <w:rFonts w:hint="eastAsia" w:ascii="CESI仿宋-GB2312" w:hAnsi="CESI仿宋-GB2312" w:eastAsia="CESI仿宋-GB2312" w:cs="CESI仿宋-GB2312"/>
          <w:color w:val="auto"/>
          <w:sz w:val="32"/>
          <w:szCs w:val="32"/>
          <w:highlight w:val="none"/>
          <w:lang w:eastAsia="zh-CN"/>
        </w:rPr>
        <w:t>收入</w:t>
      </w:r>
      <w:r>
        <w:rPr>
          <w:rFonts w:hint="eastAsia" w:ascii="CESI仿宋-GB2312" w:hAnsi="CESI仿宋-GB2312" w:eastAsia="CESI仿宋-GB2312" w:cs="CESI仿宋-GB2312"/>
          <w:color w:val="auto"/>
          <w:sz w:val="32"/>
          <w:szCs w:val="32"/>
          <w:highlight w:val="none"/>
          <w:lang w:val="en-US" w:eastAsia="zh-CN"/>
        </w:rPr>
        <w:t>5004.06万元</w:t>
      </w:r>
      <w:r>
        <w:rPr>
          <w:rFonts w:hint="eastAsia" w:ascii="CESI仿宋-GB2312" w:hAnsi="CESI仿宋-GB2312" w:eastAsia="CESI仿宋-GB2312" w:cs="CESI仿宋-GB2312"/>
          <w:color w:val="auto"/>
          <w:sz w:val="32"/>
          <w:szCs w:val="32"/>
          <w:highlight w:val="none"/>
        </w:rPr>
        <w:t>。其中：卫健局</w:t>
      </w:r>
      <w:r>
        <w:rPr>
          <w:rFonts w:hint="eastAsia" w:ascii="CESI仿宋-GB2312" w:hAnsi="CESI仿宋-GB2312" w:eastAsia="CESI仿宋-GB2312" w:cs="CESI仿宋-GB2312"/>
          <w:color w:val="auto"/>
          <w:sz w:val="32"/>
          <w:szCs w:val="32"/>
          <w:highlight w:val="none"/>
          <w:lang w:eastAsia="zh-CN"/>
        </w:rPr>
        <w:t>202</w:t>
      </w:r>
      <w:r>
        <w:rPr>
          <w:rFonts w:hint="eastAsia" w:ascii="CESI仿宋-GB2312" w:hAnsi="CESI仿宋-GB2312" w:eastAsia="CESI仿宋-GB2312" w:cs="CESI仿宋-GB2312"/>
          <w:color w:val="auto"/>
          <w:sz w:val="32"/>
          <w:szCs w:val="32"/>
          <w:highlight w:val="none"/>
          <w:lang w:val="en-US" w:eastAsia="zh-CN"/>
        </w:rPr>
        <w:t>3</w:t>
      </w:r>
      <w:r>
        <w:rPr>
          <w:rFonts w:hint="eastAsia" w:ascii="CESI仿宋-GB2312" w:hAnsi="CESI仿宋-GB2312" w:eastAsia="CESI仿宋-GB2312" w:cs="CESI仿宋-GB2312"/>
          <w:color w:val="auto"/>
          <w:sz w:val="32"/>
          <w:szCs w:val="32"/>
          <w:highlight w:val="none"/>
          <w:lang w:eastAsia="zh-CN"/>
        </w:rPr>
        <w:t>年</w:t>
      </w:r>
      <w:r>
        <w:rPr>
          <w:rFonts w:hint="eastAsia" w:ascii="CESI仿宋-GB2312" w:hAnsi="CESI仿宋-GB2312" w:eastAsia="CESI仿宋-GB2312" w:cs="CESI仿宋-GB2312"/>
          <w:color w:val="auto"/>
          <w:sz w:val="32"/>
          <w:szCs w:val="32"/>
          <w:highlight w:val="none"/>
        </w:rPr>
        <w:t>特定项目类支出</w:t>
      </w:r>
      <w:r>
        <w:rPr>
          <w:rFonts w:hint="eastAsia" w:ascii="CESI仿宋-GB2312" w:hAnsi="CESI仿宋-GB2312" w:eastAsia="CESI仿宋-GB2312" w:cs="CESI仿宋-GB2312"/>
          <w:color w:val="auto"/>
          <w:sz w:val="32"/>
          <w:szCs w:val="32"/>
          <w:highlight w:val="none"/>
          <w:lang w:val="en-US" w:eastAsia="zh-CN"/>
        </w:rPr>
        <w:t>6655.05</w:t>
      </w:r>
      <w:r>
        <w:rPr>
          <w:rFonts w:hint="eastAsia" w:ascii="CESI仿宋-GB2312" w:hAnsi="CESI仿宋-GB2312" w:eastAsia="CESI仿宋-GB2312" w:cs="CESI仿宋-GB2312"/>
          <w:color w:val="auto"/>
          <w:sz w:val="32"/>
          <w:szCs w:val="32"/>
          <w:highlight w:val="none"/>
        </w:rPr>
        <w:t>万元，其中一般公共预算财政拨款支出</w:t>
      </w:r>
      <w:r>
        <w:rPr>
          <w:rFonts w:hint="eastAsia" w:ascii="CESI仿宋-GB2312" w:hAnsi="CESI仿宋-GB2312" w:eastAsia="CESI仿宋-GB2312" w:cs="CESI仿宋-GB2312"/>
          <w:color w:val="auto"/>
          <w:sz w:val="32"/>
          <w:szCs w:val="32"/>
          <w:highlight w:val="none"/>
          <w:lang w:val="en-US" w:eastAsia="zh-CN"/>
        </w:rPr>
        <w:t>1655.05</w:t>
      </w:r>
      <w:r>
        <w:rPr>
          <w:rFonts w:hint="eastAsia" w:ascii="CESI仿宋-GB2312" w:hAnsi="CESI仿宋-GB2312" w:eastAsia="CESI仿宋-GB2312" w:cs="CESI仿宋-GB2312"/>
          <w:color w:val="auto"/>
          <w:sz w:val="32"/>
          <w:szCs w:val="32"/>
          <w:highlight w:val="none"/>
        </w:rPr>
        <w:t>万元</w:t>
      </w:r>
      <w:r>
        <w:rPr>
          <w:rFonts w:hint="eastAsia" w:ascii="CESI仿宋-GB2312" w:hAnsi="CESI仿宋-GB2312" w:eastAsia="CESI仿宋-GB2312" w:cs="CESI仿宋-GB2312"/>
          <w:color w:val="auto"/>
          <w:sz w:val="32"/>
          <w:szCs w:val="32"/>
          <w:highlight w:val="none"/>
          <w:lang w:eastAsia="zh-CN"/>
        </w:rPr>
        <w:t>、</w:t>
      </w:r>
      <w:r>
        <w:rPr>
          <w:rFonts w:hint="eastAsia" w:ascii="CESI仿宋-GB2312" w:hAnsi="CESI仿宋-GB2312" w:eastAsia="CESI仿宋-GB2312" w:cs="CESI仿宋-GB2312"/>
          <w:color w:val="auto"/>
          <w:sz w:val="32"/>
          <w:szCs w:val="32"/>
          <w:highlight w:val="none"/>
        </w:rPr>
        <w:t>政府性基金预算财政拨款</w:t>
      </w:r>
      <w:r>
        <w:rPr>
          <w:rFonts w:hint="eastAsia" w:ascii="CESI仿宋-GB2312" w:hAnsi="CESI仿宋-GB2312" w:eastAsia="CESI仿宋-GB2312" w:cs="CESI仿宋-GB2312"/>
          <w:color w:val="auto"/>
          <w:sz w:val="32"/>
          <w:szCs w:val="32"/>
          <w:highlight w:val="none"/>
          <w:lang w:eastAsia="zh-CN"/>
        </w:rPr>
        <w:t>收入</w:t>
      </w:r>
      <w:r>
        <w:rPr>
          <w:rFonts w:hint="eastAsia" w:ascii="CESI仿宋-GB2312" w:hAnsi="CESI仿宋-GB2312" w:eastAsia="CESI仿宋-GB2312" w:cs="CESI仿宋-GB2312"/>
          <w:color w:val="auto"/>
          <w:sz w:val="32"/>
          <w:szCs w:val="32"/>
          <w:highlight w:val="none"/>
          <w:lang w:val="en-US" w:eastAsia="zh-CN"/>
        </w:rPr>
        <w:t>5000万元。</w:t>
      </w:r>
      <w:r>
        <w:rPr>
          <w:rFonts w:hint="eastAsia" w:ascii="CESI仿宋-GB2312" w:hAnsi="CESI仿宋-GB2312" w:eastAsia="CESI仿宋-GB2312" w:cs="CESI仿宋-GB2312"/>
          <w:color w:val="auto"/>
          <w:sz w:val="32"/>
          <w:szCs w:val="32"/>
          <w:highlight w:val="none"/>
        </w:rPr>
        <w:t>年末无资金结余。</w:t>
      </w:r>
    </w:p>
    <w:p>
      <w:pPr>
        <w:widowControl/>
        <w:adjustRightInd w:val="0"/>
        <w:snapToGrid w:val="0"/>
        <w:spacing w:line="580" w:lineRule="exact"/>
        <w:ind w:firstLine="640" w:firstLineChars="200"/>
        <w:contextualSpacing/>
        <w:jc w:val="left"/>
        <w:rPr>
          <w:kern w:val="0"/>
          <w:sz w:val="32"/>
          <w:szCs w:val="32"/>
          <w:shd w:val="clear" w:color="auto" w:fill="FFFFFF"/>
          <w:lang w:val="zh-CN"/>
        </w:rPr>
      </w:pPr>
      <w:r>
        <w:rPr>
          <w:kern w:val="0"/>
          <w:sz w:val="32"/>
          <w:szCs w:val="32"/>
          <w:shd w:val="clear" w:color="auto" w:fill="FFFFFF"/>
          <w:lang w:val="zh-CN"/>
        </w:rPr>
        <w:t>（二）结果应用情况。</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Times New Roman" w:hAnsi="Times New Roman" w:eastAsia="仿宋_GB2312"/>
          <w:b/>
          <w:bCs/>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1.2023年重点项目绩效目标完成良好，服务对象满意率较好。</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（1）扎实推动医疗卫生服务体系改革</w:t>
      </w:r>
      <w:r>
        <w:rPr>
          <w:rFonts w:hint="eastAsia" w:ascii="CESI仿宋-GB2312" w:hAnsi="CESI仿宋-GB2312" w:eastAsia="CESI仿宋-GB2312" w:cs="CESI仿宋-GB2312"/>
          <w:color w:val="auto"/>
          <w:sz w:val="32"/>
          <w:szCs w:val="32"/>
          <w:lang w:val="en-US" w:eastAsia="zh-CN"/>
        </w:rPr>
        <w:t>。不断深化与市中西医结合医院的战略合作关系，依托上级医院资源、学科、服务能力等优势，同步推进城市医联体和县域医共体建设，不断优化整合县域医疗资源，建立盐边县人民院“4合1”运行机制、国胜·红宝联合卫生院发展模式，集中优势医疗资源全力推动县级医疗机构等级建设，基层特色专科创建全面推开。并在此基础上进一步探索全县“1+2+3+N”医疗体系整体发展规划，根据医疗资源分布和各级医疗机构发展特色，确定县级医疗机构“综合全科+医养康复”、“中医专科+急诊急救”、“创伤专科+现代康复”错位发展模式，以及基层医疗机构由“大而全”转向“小而精”的发展方向。成功打造省级重点专科2个、基层特色专科2个，完成申报县级重点专科2个、基层特色专科3个。</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（2）全力开展基层中医药事业综合改革</w:t>
      </w:r>
      <w:r>
        <w:rPr>
          <w:rFonts w:hint="eastAsia" w:ascii="CESI仿宋-GB2312" w:hAnsi="CESI仿宋-GB2312" w:eastAsia="CESI仿宋-GB2312" w:cs="CESI仿宋-GB2312"/>
          <w:color w:val="auto"/>
          <w:sz w:val="32"/>
          <w:szCs w:val="32"/>
          <w:lang w:val="en-US" w:eastAsia="zh-CN"/>
        </w:rPr>
        <w:t>。积极争创四川省中医药强县和全国基层中医药工作改革示范县，持续推动中草药产业突破攻坚行动，打造万亩蚕桑现代农业园区3个，桑葚种子资源库130余个，川续断、魔芋生产基地千亩以上基地2个，云木香、重楼基地百亩以上基地3个。着力提升中医药传统诊疗技术服务能力，争取资金250万元，成功创建2个省级中医特色科室、攀枝花市治未病中心分中心2个、建成中医适宜技术推广培训中心1个、区域中医医疗次中心1个。强化中医药文化体系建设，成功创建攀枝花市中医药文化宣传教育基地2个。成功申报四川省中医药健康旅游示范基地1个、四川省林草中药材规范化种植示范基地1个、四川省中医药文化宣传教育基地1个。获得四川省民族地区中医药工作表现优秀集体和优秀个人称号。</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（3）提升基础设施硬实力</w:t>
      </w:r>
      <w:r>
        <w:rPr>
          <w:rFonts w:hint="eastAsia" w:ascii="CESI仿宋-GB2312" w:hAnsi="CESI仿宋-GB2312" w:eastAsia="CESI仿宋-GB2312" w:cs="CESI仿宋-GB2312"/>
          <w:color w:val="auto"/>
          <w:sz w:val="32"/>
          <w:szCs w:val="32"/>
          <w:lang w:val="en-US" w:eastAsia="zh-CN"/>
        </w:rPr>
        <w:t>。结合红格运动康养旅游发展定位和紧邻安宁工业园区地理优势，争取资金12000万元，以“三级乙等”综合医院建设标准，启动县第二人民医院建设项目。实施县中医院能力提升项目，完成县中医院综合大楼建设工程项目可研等前期工作，为创建三级医疗机构奠定硬件基础。</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（4）提升重点学科软实力</w:t>
      </w:r>
      <w:r>
        <w:rPr>
          <w:rFonts w:hint="eastAsia" w:ascii="CESI仿宋-GB2312" w:hAnsi="CESI仿宋-GB2312" w:eastAsia="CESI仿宋-GB2312" w:cs="CESI仿宋-GB2312"/>
          <w:color w:val="auto"/>
          <w:sz w:val="32"/>
          <w:szCs w:val="32"/>
          <w:lang w:val="en-US" w:eastAsia="zh-CN"/>
        </w:rPr>
        <w:t>。持续推进2个省级重点专科、2个县级重点专科的常规化建设。持续加强与成都厚朴古风中医学研究所交流合作，积极引进南京凌启云副主任中医师成立“凌启云名中医工作室”，强化县级医疗机构中医药服务能力。积极培育县级医疗机构体检科、血透室等学科，着力满足县域内群众的健康需求。鼓励县级医疗机构积极争创各级重点学科，进一步提升我县医疗救治服务能力。</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（5）提升招才引智竞争力</w:t>
      </w:r>
      <w:r>
        <w:rPr>
          <w:rFonts w:hint="eastAsia" w:ascii="CESI仿宋-GB2312" w:hAnsi="CESI仿宋-GB2312" w:eastAsia="CESI仿宋-GB2312" w:cs="CESI仿宋-GB2312"/>
          <w:color w:val="auto"/>
          <w:sz w:val="32"/>
          <w:szCs w:val="32"/>
          <w:lang w:val="en-US" w:eastAsia="zh-CN"/>
        </w:rPr>
        <w:t>。直接考核招聘引进成熟专业技术人才1人，引进“西部志愿者”2人，引进县域外编内专业技术人才1人，医疗机构自主招聘25人。扎实开展“滋味盐边·就在身边”工作，助力1名包保对象进入卫生健康系统工作。针对我县薄弱学科建设，积极对接市中心医院、市中西医结合医院、攀钢集团总医院、市第二人民医院，争取到7名专家，到县级医疗机构开展为期2年的“传帮带”对口支援业务指导，帮助培养我县后备力量。同时，选派26人到上级医疗机构进修学习，为培养本土高层次人才打下人才基础。</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（6）持续强化基本公共服务</w:t>
      </w:r>
      <w:r>
        <w:rPr>
          <w:rFonts w:hint="eastAsia" w:ascii="CESI仿宋-GB2312" w:hAnsi="CESI仿宋-GB2312" w:eastAsia="CESI仿宋-GB2312" w:cs="CESI仿宋-GB2312"/>
          <w:color w:val="auto"/>
          <w:sz w:val="32"/>
          <w:szCs w:val="32"/>
          <w:lang w:val="en-US" w:eastAsia="zh-CN"/>
        </w:rPr>
        <w:t>。筑牢基层服务网底，持续开展“优质服务基层行”创建工作，不断巩固11家已达基本标准基层医疗机构成效，完成2家已达推荐标准机构的申报工作，最后2家达到基本标准机构已通过市级验收，均等待省级现场验收，完成2家社区医院创建申报工作。强化居民电子健康档案规范管理，规范管理率93.07%。扎实做好严重精神障碍患者管理工作，规范管理率达96.25%，定期与公安、教育、民政等部门开展严重精神障碍患者信息交换，确保重点人群在管在册。今年重大活动和重大事件节点，未发生肇事肇祸严重精神障碍患者失管失控事件。</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（7）深入开展爱国卫生运动</w:t>
      </w:r>
      <w:r>
        <w:rPr>
          <w:rFonts w:hint="eastAsia" w:ascii="CESI仿宋-GB2312" w:hAnsi="CESI仿宋-GB2312" w:eastAsia="CESI仿宋-GB2312" w:cs="CESI仿宋-GB2312"/>
          <w:color w:val="auto"/>
          <w:sz w:val="32"/>
          <w:szCs w:val="32"/>
          <w:lang w:val="en-US" w:eastAsia="zh-CN"/>
        </w:rPr>
        <w:t>。开展爱国卫生月、健康科普“五进”等各类活动41场（次），参与2000人次。桐子林镇、红格镇成功通过国家卫生县城、国家卫生乡镇复审，渔门镇顺利通过国家卫生乡镇现场评审，复审（评审）通过率达100%。成功申报6个健康单位、2个健康乡镇、13个健康村、2个健康促进医院、2家健康企业、200个健康家庭，目前已接受市级评审。</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（8）全面加强老龄健康服务</w:t>
      </w:r>
      <w:r>
        <w:rPr>
          <w:rFonts w:hint="eastAsia" w:ascii="CESI仿宋-GB2312" w:hAnsi="CESI仿宋-GB2312" w:eastAsia="CESI仿宋-GB2312" w:cs="CESI仿宋-GB2312"/>
          <w:color w:val="auto"/>
          <w:sz w:val="32"/>
          <w:szCs w:val="32"/>
          <w:lang w:val="en-US" w:eastAsia="zh-CN"/>
        </w:rPr>
        <w:t>。开展老年健康宣传周、“大笮健康讲堂”等老龄健康宣传活动4场次，1000余名65岁老年人参加现场活动并接受老龄健康指导。组织县域内家庭医生服务团队，通过“健康敲门行动”为314名65岁以上老年人提供“三个一”健康服务。争取资金4.06万元，积极申报打造渔门镇狮子堡村老年心理关爱点，完成村内337名65岁以上老年人心理调查评和数字档案建立工作。</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（9）妥善实施生育各项政策</w:t>
      </w:r>
      <w:r>
        <w:rPr>
          <w:rFonts w:hint="eastAsia" w:ascii="CESI仿宋-GB2312" w:hAnsi="CESI仿宋-GB2312" w:eastAsia="CESI仿宋-GB2312" w:cs="CESI仿宋-GB2312"/>
          <w:color w:val="auto"/>
          <w:sz w:val="32"/>
          <w:szCs w:val="32"/>
          <w:lang w:val="en-US" w:eastAsia="zh-CN"/>
        </w:rPr>
        <w:t>。稳妥执行计生特别扶助政策，反复认真核对目标人群，截至目前，累计兑现各项扶助金1304.526万元。严格落实国家生命登记管理制度，健全完善人口发展统计监测体系，截至10月31日，县域内累计出生1233人，出生率6.84‰；死亡1457人，死亡率8.09‰，人口自然增长率-2.33‰。全面实施育儿补贴金政策，鼓励适龄人群积极生育，2022年累计566人符合政策，发放育儿补贴金227.4万元，截至目前，新增申报279人。扎实开展计生特殊家庭扶助关怀工作，搭建就医绿色通道，落实“双岗”联系人制度，为173名特别扶助对象购买住院护理补贴保险，2023年累计理赔住院护理补贴35件，理赔金额3.91万元。持续扩大普惠托育服务供给，新增3岁以下婴幼儿托育机构1家，设立托位50个，县域内3岁以下婴幼儿托位增加至334个。</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（10）优化提升妇幼健康服务。</w:t>
      </w:r>
      <w:r>
        <w:rPr>
          <w:rFonts w:hint="eastAsia" w:ascii="CESI仿宋-GB2312" w:hAnsi="CESI仿宋-GB2312" w:eastAsia="CESI仿宋-GB2312" w:cs="CESI仿宋-GB2312"/>
          <w:color w:val="auto"/>
          <w:sz w:val="32"/>
          <w:szCs w:val="32"/>
          <w:lang w:val="en-US" w:eastAsia="zh-CN"/>
        </w:rPr>
        <w:t>切实保障母婴安全，县域内全年住院分娩产妇数1249人，活产数1260人，无孕产妇死亡，5岁以下儿童死亡率为6.34‰、婴儿死亡率为4.0‰。加强农村妇女健康监测，完成农村适龄妇女免费“两癌”筛查1813人。做好婚育健康体检，免费婚前医学检查428对、免费孕前优生检查484对。有效预防出生缺陷，截至目前，新生儿疾病筛查率达95.25%，新生儿听力筛查率达90%。成功申报儿童早期发展基地1个，并顺利通过市级验收。</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（11）扎实抓好民生实事项目。</w:t>
      </w:r>
      <w:r>
        <w:rPr>
          <w:rFonts w:hint="eastAsia" w:ascii="CESI仿宋-GB2312" w:hAnsi="CESI仿宋-GB2312" w:eastAsia="CESI仿宋-GB2312" w:cs="CESI仿宋-GB2312"/>
          <w:color w:val="auto"/>
          <w:sz w:val="32"/>
          <w:szCs w:val="32"/>
          <w:lang w:val="en-US" w:eastAsia="zh-CN"/>
        </w:rPr>
        <w:t>累计争取基本公共卫生服务项目中央、省、县级资金1434.06万元，截至目前已拨付中央、省级资金1334.06万元，县级配套资金100万元将于年终考核结束后拨付。争取农村适龄妇女“两癌”筛查项目资金23.04万元，截至目前，已完成筛查1813人，资金已拨付到位。争取普惠性托育项目资金50万元，截至目前已完成新九镇萌宝托育园新建50个托位改建项目，项目资金已拨付到位。</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b/>
          <w:bCs/>
          <w:color w:val="auto"/>
          <w:sz w:val="32"/>
          <w:szCs w:val="32"/>
          <w:lang w:val="en-US" w:eastAsia="zh-CN"/>
        </w:rPr>
        <w:t>（12.）加强绩效评价监督检查和考核工作。</w:t>
      </w:r>
      <w:r>
        <w:rPr>
          <w:rFonts w:hint="eastAsia" w:ascii="CESI仿宋-GB2312" w:hAnsi="CESI仿宋-GB2312" w:eastAsia="CESI仿宋-GB2312" w:cs="CESI仿宋-GB2312"/>
          <w:color w:val="auto"/>
          <w:sz w:val="32"/>
          <w:szCs w:val="32"/>
          <w:lang w:val="en-US" w:eastAsia="zh-CN"/>
        </w:rPr>
        <w:t>将绩效目标完成情况纳入各医疗卫生机构年度目标考核，并将绩效评价结果作为下年度项目立项和经费支持的重要依据。加强对绩效管理工作的跟踪督查，实现绩效管理规范化、常态化。</w:t>
      </w:r>
    </w:p>
    <w:p>
      <w:pPr>
        <w:keepNext w:val="0"/>
        <w:keepLines w:val="0"/>
        <w:pageBreakBefore w:val="0"/>
        <w:widowControl/>
        <w:kinsoku/>
        <w:wordWrap/>
        <w:overflowPunct/>
        <w:topLinePunct w:val="0"/>
        <w:autoSpaceDE/>
        <w:autoSpaceDN/>
        <w:bidi w:val="0"/>
        <w:adjustRightInd w:val="0"/>
        <w:snapToGrid w:val="0"/>
        <w:spacing w:line="590" w:lineRule="atLeast"/>
        <w:ind w:firstLine="640" w:firstLineChars="200"/>
        <w:contextualSpacing/>
        <w:jc w:val="left"/>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b/>
          <w:bCs/>
          <w:color w:val="auto"/>
          <w:sz w:val="32"/>
          <w:szCs w:val="32"/>
          <w:lang w:val="en-US" w:eastAsia="zh-CN"/>
        </w:rPr>
        <w:t>（13.）及时按要求开展</w:t>
      </w:r>
      <w:r>
        <w:rPr>
          <w:rFonts w:hint="eastAsia" w:ascii="CESI仿宋-GB2312" w:hAnsi="CESI仿宋-GB2312" w:eastAsia="CESI仿宋-GB2312" w:cs="CESI仿宋-GB2312"/>
          <w:b/>
          <w:bCs/>
          <w:color w:val="auto"/>
          <w:sz w:val="32"/>
          <w:szCs w:val="32"/>
          <w:shd w:val="clear" w:color="auto" w:fill="auto"/>
        </w:rPr>
        <w:t>绩效</w:t>
      </w:r>
      <w:r>
        <w:rPr>
          <w:rFonts w:hint="eastAsia" w:ascii="CESI仿宋-GB2312" w:hAnsi="CESI仿宋-GB2312" w:eastAsia="CESI仿宋-GB2312" w:cs="CESI仿宋-GB2312"/>
          <w:b/>
          <w:bCs/>
          <w:color w:val="auto"/>
          <w:sz w:val="32"/>
          <w:szCs w:val="32"/>
          <w:shd w:val="clear" w:color="auto" w:fill="auto"/>
          <w:lang w:eastAsia="zh-CN"/>
        </w:rPr>
        <w:t>自评</w:t>
      </w:r>
      <w:r>
        <w:rPr>
          <w:rFonts w:hint="eastAsia" w:ascii="CESI仿宋-GB2312" w:hAnsi="CESI仿宋-GB2312" w:eastAsia="CESI仿宋-GB2312" w:cs="CESI仿宋-GB2312"/>
          <w:b/>
          <w:bCs/>
          <w:color w:val="auto"/>
          <w:sz w:val="32"/>
          <w:szCs w:val="32"/>
          <w:shd w:val="clear" w:color="auto" w:fill="auto"/>
        </w:rPr>
        <w:t>信息公开。</w:t>
      </w:r>
      <w:r>
        <w:rPr>
          <w:rFonts w:hint="eastAsia" w:ascii="CESI仿宋-GB2312" w:hAnsi="CESI仿宋-GB2312" w:eastAsia="CESI仿宋-GB2312" w:cs="CESI仿宋-GB2312"/>
          <w:color w:val="auto"/>
          <w:sz w:val="32"/>
          <w:szCs w:val="32"/>
        </w:rPr>
        <w:t>卫生健康系统内各单位均</w:t>
      </w:r>
      <w:r>
        <w:rPr>
          <w:rFonts w:hint="eastAsia" w:ascii="CESI仿宋-GB2312" w:hAnsi="CESI仿宋-GB2312" w:eastAsia="CESI仿宋-GB2312" w:cs="CESI仿宋-GB2312"/>
          <w:sz w:val="32"/>
          <w:szCs w:val="32"/>
        </w:rPr>
        <w:t>按</w:t>
      </w:r>
      <w:r>
        <w:rPr>
          <w:rFonts w:hint="eastAsia" w:ascii="CESI仿宋-GB2312" w:hAnsi="CESI仿宋-GB2312" w:eastAsia="CESI仿宋-GB2312" w:cs="CESI仿宋-GB2312"/>
          <w:sz w:val="32"/>
          <w:szCs w:val="32"/>
          <w:lang w:eastAsia="zh-CN"/>
        </w:rPr>
        <w:t>县</w:t>
      </w:r>
      <w:r>
        <w:rPr>
          <w:rFonts w:hint="eastAsia" w:ascii="CESI仿宋-GB2312" w:hAnsi="CESI仿宋-GB2312" w:eastAsia="CESI仿宋-GB2312" w:cs="CESI仿宋-GB2312"/>
          <w:sz w:val="32"/>
          <w:szCs w:val="32"/>
        </w:rPr>
        <w:t>财政局相关规定和要求</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color w:val="auto"/>
          <w:sz w:val="32"/>
          <w:szCs w:val="32"/>
        </w:rPr>
        <w:t>将部门预算、决算</w:t>
      </w:r>
      <w:r>
        <w:rPr>
          <w:rFonts w:hint="eastAsia" w:ascii="CESI仿宋-GB2312" w:hAnsi="CESI仿宋-GB2312" w:eastAsia="CESI仿宋-GB2312" w:cs="CESI仿宋-GB2312"/>
          <w:color w:val="auto"/>
          <w:sz w:val="32"/>
          <w:szCs w:val="32"/>
          <w:lang w:eastAsia="zh-CN"/>
        </w:rPr>
        <w:t>及绩效评价</w:t>
      </w:r>
      <w:r>
        <w:rPr>
          <w:rFonts w:hint="eastAsia" w:ascii="CESI仿宋-GB2312" w:hAnsi="CESI仿宋-GB2312" w:eastAsia="CESI仿宋-GB2312" w:cs="CESI仿宋-GB2312"/>
          <w:color w:val="auto"/>
          <w:sz w:val="32"/>
          <w:szCs w:val="32"/>
        </w:rPr>
        <w:t>等信息，</w:t>
      </w:r>
      <w:r>
        <w:rPr>
          <w:rFonts w:hint="eastAsia" w:ascii="CESI仿宋-GB2312" w:hAnsi="CESI仿宋-GB2312" w:eastAsia="CESI仿宋-GB2312" w:cs="CESI仿宋-GB2312"/>
          <w:color w:val="auto"/>
          <w:sz w:val="32"/>
          <w:szCs w:val="32"/>
          <w:lang w:eastAsia="zh-CN"/>
        </w:rPr>
        <w:t>按</w:t>
      </w:r>
      <w:r>
        <w:rPr>
          <w:rFonts w:hint="eastAsia" w:ascii="CESI仿宋-GB2312" w:hAnsi="CESI仿宋-GB2312" w:eastAsia="CESI仿宋-GB2312" w:cs="CESI仿宋-GB2312"/>
          <w:color w:val="auto"/>
          <w:sz w:val="32"/>
          <w:szCs w:val="32"/>
        </w:rPr>
        <w:t>时在盐边县公众信息网“财政信息”栏中进行公开。</w:t>
      </w:r>
    </w:p>
    <w:p>
      <w:pPr>
        <w:widowControl/>
        <w:numPr>
          <w:ilvl w:val="0"/>
          <w:numId w:val="5"/>
        </w:numPr>
        <w:adjustRightInd w:val="0"/>
        <w:snapToGrid w:val="0"/>
        <w:spacing w:line="580" w:lineRule="exact"/>
        <w:ind w:firstLine="640" w:firstLineChars="200"/>
        <w:contextualSpacing/>
        <w:jc w:val="left"/>
        <w:rPr>
          <w:kern w:val="0"/>
          <w:sz w:val="32"/>
          <w:szCs w:val="32"/>
          <w:shd w:val="clear" w:color="auto" w:fill="FFFFFF"/>
        </w:rPr>
      </w:pPr>
      <w:r>
        <w:rPr>
          <w:kern w:val="0"/>
          <w:sz w:val="32"/>
          <w:szCs w:val="32"/>
          <w:shd w:val="clear" w:color="auto" w:fill="FFFFFF"/>
          <w:lang w:val="zh-CN"/>
        </w:rPr>
        <w:t>自评质量</w:t>
      </w:r>
      <w:r>
        <w:rPr>
          <w:rFonts w:hint="eastAsia"/>
          <w:kern w:val="0"/>
          <w:sz w:val="32"/>
          <w:szCs w:val="32"/>
          <w:shd w:val="clear" w:color="auto" w:fill="FFFFFF"/>
          <w:lang w:val="zh-CN"/>
        </w:rPr>
        <w:t>。</w:t>
      </w:r>
      <w:r>
        <w:rPr>
          <w:rFonts w:hint="eastAsia" w:ascii="CESI仿宋-GB2312" w:hAnsi="CESI仿宋-GB2312" w:eastAsia="CESI仿宋-GB2312" w:cs="CESI仿宋-GB2312"/>
          <w:color w:val="000000"/>
          <w:kern w:val="0"/>
          <w:sz w:val="32"/>
          <w:szCs w:val="32"/>
          <w:shd w:val="clear" w:color="auto" w:fill="FFFFFF"/>
        </w:rPr>
        <w:t>本次自评工作启动后，我局及时</w:t>
      </w:r>
      <w:r>
        <w:rPr>
          <w:rFonts w:hint="eastAsia" w:ascii="CESI仿宋-GB2312" w:hAnsi="CESI仿宋-GB2312" w:eastAsia="CESI仿宋-GB2312" w:cs="CESI仿宋-GB2312"/>
          <w:color w:val="000000"/>
          <w:kern w:val="0"/>
          <w:sz w:val="32"/>
          <w:szCs w:val="32"/>
          <w:shd w:val="clear" w:color="auto" w:fill="FFFFFF"/>
          <w:lang w:eastAsia="zh-CN"/>
        </w:rPr>
        <w:t>转</w:t>
      </w:r>
      <w:r>
        <w:rPr>
          <w:rFonts w:hint="eastAsia" w:ascii="CESI仿宋-GB2312" w:hAnsi="CESI仿宋-GB2312" w:eastAsia="CESI仿宋-GB2312" w:cs="CESI仿宋-GB2312"/>
          <w:color w:val="000000"/>
          <w:kern w:val="0"/>
          <w:sz w:val="32"/>
          <w:szCs w:val="32"/>
          <w:shd w:val="clear" w:color="auto" w:fill="FFFFFF"/>
        </w:rPr>
        <w:t>发了盐边县财政局关于开展2023年度预算绩效自评工作的通知</w:t>
      </w:r>
      <w:r>
        <w:rPr>
          <w:rFonts w:hint="eastAsia" w:ascii="CESI仿宋-GB2312" w:hAnsi="CESI仿宋-GB2312" w:eastAsia="CESI仿宋-GB2312" w:cs="CESI仿宋-GB2312"/>
          <w:color w:val="000000"/>
          <w:kern w:val="0"/>
          <w:sz w:val="32"/>
          <w:szCs w:val="32"/>
          <w:shd w:val="clear" w:color="auto" w:fill="FFFFFF"/>
          <w:lang w:eastAsia="zh-CN"/>
        </w:rPr>
        <w:t>（</w:t>
      </w:r>
      <w:r>
        <w:rPr>
          <w:rFonts w:hint="eastAsia" w:ascii="CESI仿宋-GB2312" w:hAnsi="CESI仿宋-GB2312" w:eastAsia="CESI仿宋-GB2312" w:cs="CESI仿宋-GB2312"/>
          <w:color w:val="000000"/>
          <w:kern w:val="0"/>
          <w:sz w:val="32"/>
          <w:szCs w:val="32"/>
          <w:shd w:val="clear" w:color="auto" w:fill="FFFFFF"/>
        </w:rPr>
        <w:t>盐边财绩〔2024〕2号</w:t>
      </w:r>
      <w:r>
        <w:rPr>
          <w:rFonts w:hint="eastAsia" w:ascii="CESI仿宋-GB2312" w:hAnsi="CESI仿宋-GB2312" w:eastAsia="CESI仿宋-GB2312" w:cs="CESI仿宋-GB2312"/>
          <w:color w:val="000000"/>
          <w:kern w:val="0"/>
          <w:sz w:val="32"/>
          <w:szCs w:val="32"/>
          <w:shd w:val="clear" w:color="auto" w:fill="FFFFFF"/>
          <w:lang w:eastAsia="zh-CN"/>
        </w:rPr>
        <w:t>）</w:t>
      </w:r>
      <w:r>
        <w:rPr>
          <w:rFonts w:hint="eastAsia" w:ascii="CESI仿宋-GB2312" w:hAnsi="CESI仿宋-GB2312" w:eastAsia="CESI仿宋-GB2312" w:cs="CESI仿宋-GB2312"/>
          <w:color w:val="000000"/>
          <w:kern w:val="0"/>
          <w:sz w:val="32"/>
          <w:szCs w:val="32"/>
          <w:shd w:val="clear" w:color="auto" w:fill="FFFFFF"/>
        </w:rPr>
        <w:t>，</w:t>
      </w:r>
      <w:r>
        <w:rPr>
          <w:rFonts w:hint="eastAsia" w:ascii="CESI仿宋-GB2312" w:hAnsi="CESI仿宋-GB2312" w:eastAsia="CESI仿宋-GB2312" w:cs="CESI仿宋-GB2312"/>
          <w:color w:val="000000"/>
          <w:kern w:val="0"/>
          <w:sz w:val="32"/>
          <w:szCs w:val="32"/>
          <w:shd w:val="clear" w:color="auto" w:fill="FFFFFF"/>
          <w:lang w:eastAsia="zh-CN"/>
        </w:rPr>
        <w:t>对下属各</w:t>
      </w:r>
      <w:r>
        <w:rPr>
          <w:rFonts w:hint="eastAsia" w:ascii="CESI仿宋-GB2312" w:hAnsi="CESI仿宋-GB2312" w:eastAsia="CESI仿宋-GB2312" w:cs="CESI仿宋-GB2312"/>
          <w:color w:val="000000"/>
          <w:kern w:val="0"/>
          <w:sz w:val="32"/>
          <w:szCs w:val="32"/>
          <w:shd w:val="clear" w:color="auto" w:fill="FFFFFF"/>
        </w:rPr>
        <w:t>预算单位进行了工作部署，要求对部门预算和专项预算进行全覆盖自评。自评工作</w:t>
      </w:r>
      <w:r>
        <w:rPr>
          <w:rFonts w:hint="eastAsia" w:ascii="CESI仿宋-GB2312" w:hAnsi="CESI仿宋-GB2312" w:eastAsia="CESI仿宋-GB2312" w:cs="CESI仿宋-GB2312"/>
          <w:color w:val="000000"/>
          <w:kern w:val="0"/>
          <w:sz w:val="32"/>
          <w:szCs w:val="32"/>
          <w:shd w:val="clear" w:color="auto" w:fill="FFFFFF"/>
          <w:lang w:eastAsia="zh-CN"/>
        </w:rPr>
        <w:t>覆盖局本级和下属</w:t>
      </w:r>
      <w:r>
        <w:rPr>
          <w:rFonts w:hint="eastAsia" w:ascii="CESI仿宋-GB2312" w:hAnsi="CESI仿宋-GB2312" w:eastAsia="CESI仿宋-GB2312" w:cs="CESI仿宋-GB2312"/>
          <w:color w:val="000000"/>
          <w:kern w:val="0"/>
          <w:sz w:val="32"/>
          <w:szCs w:val="32"/>
          <w:shd w:val="clear" w:color="auto" w:fill="FFFFFF"/>
          <w:lang w:val="en-US" w:eastAsia="zh-CN"/>
        </w:rPr>
        <w:t>19</w:t>
      </w:r>
      <w:r>
        <w:rPr>
          <w:rFonts w:hint="eastAsia" w:ascii="CESI仿宋-GB2312" w:hAnsi="CESI仿宋-GB2312" w:eastAsia="CESI仿宋-GB2312" w:cs="CESI仿宋-GB2312"/>
          <w:color w:val="000000"/>
          <w:kern w:val="0"/>
          <w:sz w:val="32"/>
          <w:szCs w:val="32"/>
          <w:shd w:val="clear" w:color="auto" w:fill="FFFFFF"/>
        </w:rPr>
        <w:t>个</w:t>
      </w:r>
      <w:r>
        <w:rPr>
          <w:rFonts w:hint="eastAsia" w:ascii="CESI仿宋-GB2312" w:hAnsi="CESI仿宋-GB2312" w:eastAsia="CESI仿宋-GB2312" w:cs="CESI仿宋-GB2312"/>
          <w:color w:val="000000"/>
          <w:kern w:val="0"/>
          <w:sz w:val="32"/>
          <w:szCs w:val="32"/>
          <w:shd w:val="clear" w:color="auto" w:fill="FFFFFF"/>
          <w:lang w:eastAsia="zh-CN"/>
        </w:rPr>
        <w:t>医疗卫生</w:t>
      </w:r>
      <w:r>
        <w:rPr>
          <w:rFonts w:hint="eastAsia" w:ascii="CESI仿宋-GB2312" w:hAnsi="CESI仿宋-GB2312" w:eastAsia="CESI仿宋-GB2312" w:cs="CESI仿宋-GB2312"/>
          <w:color w:val="000000"/>
          <w:kern w:val="0"/>
          <w:sz w:val="32"/>
          <w:szCs w:val="32"/>
          <w:shd w:val="clear" w:color="auto" w:fill="FFFFFF"/>
        </w:rPr>
        <w:t>单位，压紧压实了</w:t>
      </w:r>
      <w:r>
        <w:rPr>
          <w:rFonts w:hint="eastAsia" w:ascii="CESI仿宋-GB2312" w:hAnsi="CESI仿宋-GB2312" w:eastAsia="CESI仿宋-GB2312" w:cs="CESI仿宋-GB2312"/>
          <w:color w:val="000000"/>
          <w:kern w:val="0"/>
          <w:sz w:val="32"/>
          <w:szCs w:val="32"/>
          <w:shd w:val="clear" w:color="auto" w:fill="FFFFFF"/>
          <w:lang w:eastAsia="zh-CN"/>
        </w:rPr>
        <w:t>局机关相关股室</w:t>
      </w:r>
      <w:r>
        <w:rPr>
          <w:rFonts w:hint="eastAsia" w:ascii="CESI仿宋-GB2312" w:hAnsi="CESI仿宋-GB2312" w:eastAsia="CESI仿宋-GB2312" w:cs="CESI仿宋-GB2312"/>
          <w:color w:val="000000"/>
          <w:kern w:val="0"/>
          <w:sz w:val="32"/>
          <w:szCs w:val="32"/>
          <w:shd w:val="clear" w:color="auto" w:fill="FFFFFF"/>
        </w:rPr>
        <w:t>及</w:t>
      </w:r>
      <w:r>
        <w:rPr>
          <w:rFonts w:hint="eastAsia" w:ascii="CESI仿宋-GB2312" w:hAnsi="CESI仿宋-GB2312" w:eastAsia="CESI仿宋-GB2312" w:cs="CESI仿宋-GB2312"/>
          <w:color w:val="000000"/>
          <w:kern w:val="0"/>
          <w:sz w:val="32"/>
          <w:szCs w:val="32"/>
          <w:shd w:val="clear" w:color="auto" w:fill="FFFFFF"/>
          <w:lang w:eastAsia="zh-CN"/>
        </w:rPr>
        <w:t>各医疗卫生单位</w:t>
      </w:r>
      <w:r>
        <w:rPr>
          <w:rFonts w:hint="eastAsia" w:ascii="CESI仿宋-GB2312" w:hAnsi="CESI仿宋-GB2312" w:eastAsia="CESI仿宋-GB2312" w:cs="CESI仿宋-GB2312"/>
          <w:color w:val="000000"/>
          <w:kern w:val="0"/>
          <w:sz w:val="32"/>
          <w:szCs w:val="32"/>
          <w:shd w:val="clear" w:color="auto" w:fill="FFFFFF"/>
        </w:rPr>
        <w:t>的主体责任，但由于自评工作时间紧、任务重、项目多，资金使用末端单位较多，自评报告主要基于各</w:t>
      </w:r>
      <w:r>
        <w:rPr>
          <w:rFonts w:hint="eastAsia" w:ascii="CESI仿宋-GB2312" w:hAnsi="CESI仿宋-GB2312" w:eastAsia="CESI仿宋-GB2312" w:cs="CESI仿宋-GB2312"/>
          <w:color w:val="000000"/>
          <w:kern w:val="0"/>
          <w:sz w:val="32"/>
          <w:szCs w:val="32"/>
          <w:shd w:val="clear" w:color="auto" w:fill="FFFFFF"/>
          <w:lang w:eastAsia="zh-CN"/>
        </w:rPr>
        <w:t>股室、</w:t>
      </w:r>
      <w:r>
        <w:rPr>
          <w:rFonts w:hint="eastAsia" w:ascii="CESI仿宋-GB2312" w:hAnsi="CESI仿宋-GB2312" w:eastAsia="CESI仿宋-GB2312" w:cs="CESI仿宋-GB2312"/>
          <w:color w:val="000000"/>
          <w:kern w:val="0"/>
          <w:sz w:val="32"/>
          <w:szCs w:val="32"/>
          <w:shd w:val="clear" w:color="auto" w:fill="FFFFFF"/>
        </w:rPr>
        <w:t>各</w:t>
      </w:r>
      <w:r>
        <w:rPr>
          <w:rFonts w:hint="eastAsia" w:ascii="CESI仿宋-GB2312" w:hAnsi="CESI仿宋-GB2312" w:eastAsia="CESI仿宋-GB2312" w:cs="CESI仿宋-GB2312"/>
          <w:color w:val="000000"/>
          <w:kern w:val="0"/>
          <w:sz w:val="32"/>
          <w:szCs w:val="32"/>
          <w:shd w:val="clear" w:color="auto" w:fill="FFFFFF"/>
          <w:lang w:eastAsia="zh-CN"/>
        </w:rPr>
        <w:t>医疗卫生</w:t>
      </w:r>
      <w:r>
        <w:rPr>
          <w:rFonts w:hint="eastAsia" w:ascii="CESI仿宋-GB2312" w:hAnsi="CESI仿宋-GB2312" w:eastAsia="CESI仿宋-GB2312" w:cs="CESI仿宋-GB2312"/>
          <w:color w:val="000000"/>
          <w:kern w:val="0"/>
          <w:sz w:val="32"/>
          <w:szCs w:val="32"/>
          <w:shd w:val="clear" w:color="auto" w:fill="FFFFFF"/>
        </w:rPr>
        <w:t>单位的自评情况进行汇总分析，可能存在一定的局限性和片面性，此项自评得分</w:t>
      </w:r>
      <w:r>
        <w:rPr>
          <w:rFonts w:hint="eastAsia" w:ascii="CESI仿宋-GB2312" w:hAnsi="CESI仿宋-GB2312" w:eastAsia="CESI仿宋-GB2312" w:cs="CESI仿宋-GB2312"/>
          <w:color w:val="000000"/>
          <w:kern w:val="0"/>
          <w:sz w:val="32"/>
          <w:szCs w:val="32"/>
          <w:shd w:val="clear" w:color="auto" w:fill="FFFFFF"/>
          <w:lang w:val="en-US" w:eastAsia="zh-CN"/>
        </w:rPr>
        <w:t>10</w:t>
      </w:r>
      <w:r>
        <w:rPr>
          <w:rFonts w:hint="eastAsia" w:ascii="CESI仿宋-GB2312" w:hAnsi="CESI仿宋-GB2312" w:eastAsia="CESI仿宋-GB2312" w:cs="CESI仿宋-GB2312"/>
          <w:color w:val="000000"/>
          <w:kern w:val="0"/>
          <w:sz w:val="32"/>
          <w:szCs w:val="32"/>
          <w:shd w:val="clear" w:color="auto" w:fill="FFFFFF"/>
        </w:rPr>
        <w:t>分。</w:t>
      </w:r>
    </w:p>
    <w:p>
      <w:pPr>
        <w:widowControl/>
        <w:adjustRightInd w:val="0"/>
        <w:snapToGrid w:val="0"/>
        <w:spacing w:line="58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四、评价结论及建议</w:t>
      </w:r>
    </w:p>
    <w:p>
      <w:pPr>
        <w:snapToGrid w:val="0"/>
        <w:spacing w:line="590" w:lineRule="atLeast"/>
        <w:ind w:firstLine="640" w:firstLineChars="200"/>
        <w:rPr>
          <w:rFonts w:ascii="Times New Roman" w:hAnsi="Times New Roman" w:eastAsia="仿宋_GB2312"/>
          <w:bCs w:val="0"/>
          <w:color w:val="000000"/>
          <w:sz w:val="32"/>
          <w:szCs w:val="32"/>
        </w:rPr>
      </w:pPr>
      <w:r>
        <w:rPr>
          <w:kern w:val="0"/>
          <w:sz w:val="32"/>
          <w:szCs w:val="32"/>
          <w:shd w:val="clear" w:color="auto" w:fill="FFFFFF"/>
          <w:lang w:val="zh-CN"/>
        </w:rPr>
        <w:t>（一）评价结论。</w:t>
      </w:r>
      <w:r>
        <w:rPr>
          <w:rFonts w:hint="eastAsia" w:ascii="Times New Roman" w:hAnsi="Times New Roman" w:eastAsia="仿宋_GB2312"/>
          <w:bCs w:val="0"/>
          <w:color w:val="000000"/>
          <w:sz w:val="32"/>
          <w:szCs w:val="32"/>
        </w:rPr>
        <w:t>盐边县卫生健康局严格按照财政预算编制规定和要求，结合单位年度工作计划采取人员经费按照县委组织部审核过的工资进行编制，公用经费按定额编制的方法按时完成人员经费、日常公用经费编制工作，切实做到数据完整和准确无误。项目资金预算</w:t>
      </w:r>
      <w:r>
        <w:rPr>
          <w:rFonts w:hint="eastAsia" w:ascii="Times New Roman" w:hAnsi="Times New Roman" w:eastAsia="仿宋_GB2312"/>
          <w:color w:val="000000"/>
          <w:sz w:val="32"/>
          <w:szCs w:val="32"/>
        </w:rPr>
        <w:t>，</w:t>
      </w:r>
      <w:r>
        <w:rPr>
          <w:rFonts w:hint="eastAsia" w:ascii="Times New Roman" w:hAnsi="Times New Roman" w:eastAsia="仿宋_GB2312"/>
          <w:bCs w:val="0"/>
          <w:color w:val="000000"/>
          <w:sz w:val="32"/>
          <w:szCs w:val="32"/>
        </w:rPr>
        <w:t>精准编制项目支出绩效申报表，提供准确的项目支撑依据，切实做到项目资金编制的合理化，并</w:t>
      </w:r>
      <w:r>
        <w:rPr>
          <w:rFonts w:hint="eastAsia" w:ascii="Times New Roman" w:hAnsi="Times New Roman" w:eastAsia="仿宋_GB2312"/>
          <w:color w:val="000000"/>
          <w:sz w:val="32"/>
          <w:szCs w:val="32"/>
        </w:rPr>
        <w:t>按财政</w:t>
      </w:r>
      <w:r>
        <w:rPr>
          <w:rFonts w:hint="eastAsia" w:ascii="Times New Roman" w:hAnsi="Times New Roman" w:eastAsia="仿宋_GB2312"/>
          <w:bCs w:val="0"/>
          <w:color w:val="000000"/>
          <w:sz w:val="32"/>
          <w:szCs w:val="32"/>
        </w:rPr>
        <w:t>规定完整、准确</w:t>
      </w:r>
      <w:r>
        <w:rPr>
          <w:rFonts w:hint="eastAsia" w:ascii="Times New Roman" w:hAnsi="Times New Roman" w:eastAsia="仿宋_GB2312"/>
          <w:color w:val="000000"/>
          <w:sz w:val="32"/>
          <w:szCs w:val="32"/>
        </w:rPr>
        <w:t>、及时</w:t>
      </w:r>
      <w:r>
        <w:rPr>
          <w:rFonts w:hint="eastAsia" w:ascii="Times New Roman" w:hAnsi="Times New Roman" w:eastAsia="仿宋_GB2312"/>
          <w:bCs w:val="0"/>
          <w:color w:val="000000"/>
          <w:sz w:val="32"/>
          <w:szCs w:val="32"/>
        </w:rPr>
        <w:t>报送。</w:t>
      </w:r>
    </w:p>
    <w:p>
      <w:pPr>
        <w:widowControl w:val="0"/>
        <w:adjustRightInd/>
        <w:snapToGrid w:val="0"/>
        <w:spacing w:line="590" w:lineRule="atLeast"/>
        <w:ind w:firstLine="640" w:firstLineChars="200"/>
        <w:contextualSpacing/>
        <w:jc w:val="both"/>
        <w:rPr>
          <w:rFonts w:hint="eastAsia" w:ascii="Times New Roman" w:hAnsi="Times New Roman" w:eastAsia="仿宋_GB2312"/>
          <w:color w:val="000000"/>
          <w:sz w:val="32"/>
          <w:szCs w:val="32"/>
        </w:rPr>
      </w:pPr>
      <w:r>
        <w:rPr>
          <w:rFonts w:hint="eastAsia" w:ascii="Times New Roman" w:hAnsi="Times New Roman" w:eastAsia="仿宋_GB2312"/>
          <w:bCs w:val="0"/>
          <w:color w:val="000000"/>
          <w:sz w:val="32"/>
          <w:szCs w:val="32"/>
        </w:rPr>
        <w:t>资金支出执行</w:t>
      </w:r>
      <w:r>
        <w:rPr>
          <w:rFonts w:hint="eastAsia" w:ascii="Times New Roman" w:hAnsi="Times New Roman" w:eastAsia="仿宋_GB2312"/>
          <w:bCs w:val="0"/>
          <w:color w:val="000000"/>
          <w:sz w:val="32"/>
          <w:szCs w:val="32"/>
          <w:lang w:eastAsia="zh-CN"/>
        </w:rPr>
        <w:t>方面</w:t>
      </w:r>
      <w:r>
        <w:rPr>
          <w:rFonts w:hint="eastAsia" w:ascii="Times New Roman" w:hAnsi="Times New Roman" w:eastAsia="仿宋_GB2312"/>
          <w:bCs w:val="0"/>
          <w:color w:val="000000"/>
          <w:sz w:val="32"/>
          <w:szCs w:val="32"/>
        </w:rPr>
        <w:t>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w:t>
      </w:r>
      <w:r>
        <w:rPr>
          <w:rFonts w:hint="eastAsia" w:ascii="Times New Roman" w:hAnsi="Times New Roman" w:eastAsia="仿宋_GB2312"/>
          <w:color w:val="000000"/>
          <w:sz w:val="32"/>
          <w:szCs w:val="32"/>
        </w:rPr>
        <w:t>加强</w:t>
      </w:r>
      <w:r>
        <w:rPr>
          <w:rFonts w:hint="eastAsia" w:ascii="Times New Roman" w:hAnsi="Times New Roman" w:eastAsia="仿宋_GB2312"/>
          <w:bCs w:val="0"/>
          <w:color w:val="000000"/>
          <w:sz w:val="32"/>
          <w:szCs w:val="32"/>
        </w:rPr>
        <w:t>“三公”经费管理，严格把支出控制在年初的预算指标内，严格按照中央八项规定、省、市“十项规定”和财务相关规定执行财政资金的管理和使用。</w:t>
      </w:r>
    </w:p>
    <w:p>
      <w:pPr>
        <w:widowControl/>
        <w:adjustRightInd w:val="0"/>
        <w:snapToGrid w:val="0"/>
        <w:spacing w:line="580" w:lineRule="exact"/>
        <w:ind w:firstLine="640" w:firstLineChars="200"/>
        <w:contextualSpacing/>
        <w:jc w:val="left"/>
        <w:rPr>
          <w:kern w:val="0"/>
          <w:sz w:val="32"/>
          <w:szCs w:val="32"/>
          <w:shd w:val="clear" w:color="auto" w:fill="FFFFFF"/>
          <w:lang w:val="zh-CN"/>
        </w:rPr>
      </w:pPr>
      <w:r>
        <w:rPr>
          <w:rFonts w:hint="eastAsia" w:ascii="CESI仿宋-GB2312" w:hAnsi="CESI仿宋-GB2312" w:eastAsia="CESI仿宋-GB2312" w:cs="CESI仿宋-GB2312"/>
          <w:color w:val="000000"/>
          <w:sz w:val="32"/>
          <w:szCs w:val="32"/>
          <w:lang w:eastAsia="zh-CN"/>
        </w:rPr>
        <w:t>202</w:t>
      </w:r>
      <w:r>
        <w:rPr>
          <w:rFonts w:hint="eastAsia" w:ascii="CESI仿宋-GB2312" w:hAnsi="CESI仿宋-GB2312" w:eastAsia="CESI仿宋-GB2312" w:cs="CESI仿宋-GB2312"/>
          <w:color w:val="000000"/>
          <w:sz w:val="32"/>
          <w:szCs w:val="32"/>
          <w:lang w:val="en-US" w:eastAsia="zh-CN"/>
        </w:rPr>
        <w:t>3</w:t>
      </w:r>
      <w:r>
        <w:rPr>
          <w:rFonts w:hint="eastAsia" w:ascii="Times New Roman" w:hAnsi="Times New Roman" w:eastAsia="仿宋_GB2312"/>
          <w:color w:val="000000"/>
          <w:sz w:val="32"/>
          <w:szCs w:val="32"/>
          <w:lang w:eastAsia="zh-CN"/>
        </w:rPr>
        <w:t>年</w:t>
      </w:r>
      <w:r>
        <w:rPr>
          <w:rFonts w:hint="eastAsia" w:ascii="Times New Roman" w:hAnsi="Times New Roman" w:eastAsia="仿宋_GB2312"/>
          <w:sz w:val="32"/>
          <w:szCs w:val="32"/>
        </w:rPr>
        <w:t>全年基本支出保证了部门的正常运行和日常工作的正常开展，项目支出保障了部门重点工作的实施，达到了预期绩效管理目标，</w:t>
      </w:r>
      <w:r>
        <w:rPr>
          <w:rFonts w:hint="eastAsia" w:ascii="CESI仿宋-GB2312" w:hAnsi="CESI仿宋-GB2312" w:eastAsia="CESI仿宋-GB2312" w:cs="CESI仿宋-GB2312"/>
          <w:sz w:val="32"/>
          <w:szCs w:val="32"/>
        </w:rPr>
        <w:t>自评</w:t>
      </w:r>
      <w:r>
        <w:rPr>
          <w:rFonts w:hint="eastAsia" w:ascii="CESI仿宋-GB2312" w:hAnsi="CESI仿宋-GB2312" w:eastAsia="CESI仿宋-GB2312" w:cs="CESI仿宋-GB2312"/>
          <w:sz w:val="32"/>
          <w:szCs w:val="32"/>
          <w:lang w:eastAsia="zh-CN"/>
        </w:rPr>
        <w:t>得分</w:t>
      </w:r>
      <w:r>
        <w:rPr>
          <w:rFonts w:hint="eastAsia" w:ascii="CESI仿宋-GB2312" w:hAnsi="CESI仿宋-GB2312" w:eastAsia="CESI仿宋-GB2312" w:cs="CESI仿宋-GB2312"/>
          <w:sz w:val="32"/>
          <w:szCs w:val="32"/>
          <w:lang w:val="en-US" w:eastAsia="zh-CN"/>
        </w:rPr>
        <w:t>98分</w:t>
      </w:r>
      <w:r>
        <w:rPr>
          <w:rFonts w:hint="eastAsia" w:ascii="CESI仿宋-GB2312" w:hAnsi="CESI仿宋-GB2312" w:eastAsia="CESI仿宋-GB2312" w:cs="CESI仿宋-GB2312"/>
          <w:sz w:val="32"/>
          <w:szCs w:val="32"/>
        </w:rPr>
        <w:t>。</w:t>
      </w:r>
    </w:p>
    <w:p>
      <w:pPr>
        <w:numPr>
          <w:ilvl w:val="0"/>
          <w:numId w:val="6"/>
        </w:numPr>
        <w:snapToGrid w:val="0"/>
        <w:spacing w:line="590" w:lineRule="atLeast"/>
        <w:ind w:firstLine="640" w:firstLineChars="200"/>
        <w:rPr>
          <w:kern w:val="0"/>
          <w:sz w:val="32"/>
          <w:szCs w:val="32"/>
          <w:shd w:val="clear" w:color="auto" w:fill="FFFFFF"/>
          <w:lang w:val="zh-CN"/>
        </w:rPr>
      </w:pPr>
      <w:r>
        <w:rPr>
          <w:kern w:val="0"/>
          <w:sz w:val="32"/>
          <w:szCs w:val="32"/>
          <w:shd w:val="clear" w:color="auto" w:fill="FFFFFF"/>
          <w:lang w:val="zh-CN"/>
        </w:rPr>
        <w:t>存在问题。</w:t>
      </w:r>
    </w:p>
    <w:p>
      <w:pPr>
        <w:numPr>
          <w:ilvl w:val="0"/>
          <w:numId w:val="0"/>
        </w:numPr>
        <w:snapToGrid w:val="0"/>
        <w:spacing w:line="590" w:lineRule="atLeast"/>
        <w:ind w:firstLine="640" w:firstLineChars="200"/>
        <w:rPr>
          <w:rFonts w:hint="eastAsia" w:ascii="CESI仿宋-GB2312" w:hAnsi="CESI仿宋-GB2312" w:eastAsia="CESI仿宋-GB2312" w:cs="CESI仿宋-GB2312"/>
          <w:bCs/>
          <w:sz w:val="32"/>
          <w:szCs w:val="32"/>
        </w:rPr>
      </w:pPr>
      <w:r>
        <w:rPr>
          <w:rFonts w:hint="default" w:ascii="Times New Roman" w:hAnsi="Times New Roman" w:eastAsia="仿宋_GB2312" w:cs="Times New Roman"/>
          <w:bCs/>
          <w:sz w:val="32"/>
          <w:szCs w:val="32"/>
        </w:rPr>
        <w:t>1.</w:t>
      </w:r>
      <w:r>
        <w:rPr>
          <w:rFonts w:hint="eastAsia" w:ascii="CESI仿宋-GB2312" w:hAnsi="CESI仿宋-GB2312" w:eastAsia="CESI仿宋-GB2312" w:cs="CESI仿宋-GB2312"/>
          <w:bCs/>
          <w:sz w:val="32"/>
          <w:szCs w:val="32"/>
        </w:rPr>
        <w:t>内部控制制度不够健全。内控制度基本明确了相关业务岗位的有关风险等级和风险防控措施，但相关</w:t>
      </w:r>
      <w:r>
        <w:rPr>
          <w:rFonts w:hint="eastAsia" w:ascii="CESI仿宋-GB2312" w:hAnsi="CESI仿宋-GB2312" w:eastAsia="CESI仿宋-GB2312" w:cs="CESI仿宋-GB2312"/>
          <w:bCs/>
          <w:sz w:val="32"/>
          <w:szCs w:val="32"/>
          <w:lang w:eastAsia="zh-CN"/>
        </w:rPr>
        <w:t>业务</w:t>
      </w:r>
      <w:r>
        <w:rPr>
          <w:rFonts w:hint="eastAsia" w:ascii="CESI仿宋-GB2312" w:hAnsi="CESI仿宋-GB2312" w:eastAsia="CESI仿宋-GB2312" w:cs="CESI仿宋-GB2312"/>
          <w:bCs/>
          <w:sz w:val="32"/>
          <w:szCs w:val="32"/>
        </w:rPr>
        <w:t>股室领会认识不</w:t>
      </w:r>
      <w:r>
        <w:rPr>
          <w:rFonts w:hint="eastAsia" w:ascii="CESI仿宋-GB2312" w:hAnsi="CESI仿宋-GB2312" w:eastAsia="CESI仿宋-GB2312" w:cs="CESI仿宋-GB2312"/>
          <w:bCs/>
          <w:sz w:val="32"/>
          <w:szCs w:val="32"/>
          <w:lang w:eastAsia="zh-CN"/>
        </w:rPr>
        <w:t>足</w:t>
      </w:r>
      <w:r>
        <w:rPr>
          <w:rFonts w:hint="eastAsia" w:ascii="CESI仿宋-GB2312" w:hAnsi="CESI仿宋-GB2312" w:eastAsia="CESI仿宋-GB2312" w:cs="CESI仿宋-GB2312"/>
          <w:bCs/>
          <w:sz w:val="32"/>
          <w:szCs w:val="32"/>
        </w:rPr>
        <w:t xml:space="preserve">，履行职能职责还不是很到位。  </w:t>
      </w:r>
    </w:p>
    <w:p>
      <w:pPr>
        <w:snapToGrid w:val="0"/>
        <w:spacing w:line="590" w:lineRule="atLeast"/>
        <w:ind w:firstLine="640" w:firstLineChars="200"/>
        <w:rPr>
          <w:rFonts w:hint="eastAsia" w:ascii="CESI仿宋-GB2312" w:hAnsi="CESI仿宋-GB2312" w:eastAsia="CESI仿宋-GB2312" w:cs="CESI仿宋-GB2312"/>
          <w:kern w:val="0"/>
          <w:sz w:val="32"/>
          <w:szCs w:val="32"/>
          <w:shd w:val="clear" w:color="auto" w:fill="FFFFFF"/>
          <w:lang w:val="zh-CN"/>
        </w:rPr>
      </w:pPr>
      <w:r>
        <w:rPr>
          <w:rFonts w:hint="eastAsia" w:ascii="CESI仿宋-GB2312" w:hAnsi="CESI仿宋-GB2312" w:eastAsia="CESI仿宋-GB2312" w:cs="CESI仿宋-GB2312"/>
          <w:bCs/>
          <w:sz w:val="32"/>
          <w:szCs w:val="32"/>
        </w:rPr>
        <w:t>2.财务人员业务能力</w:t>
      </w:r>
      <w:r>
        <w:rPr>
          <w:rFonts w:hint="eastAsia" w:ascii="CESI仿宋-GB2312" w:hAnsi="CESI仿宋-GB2312" w:eastAsia="CESI仿宋-GB2312" w:cs="CESI仿宋-GB2312"/>
          <w:bCs/>
          <w:sz w:val="32"/>
          <w:szCs w:val="32"/>
          <w:lang w:eastAsia="zh-CN"/>
        </w:rPr>
        <w:t>不足</w:t>
      </w:r>
      <w:r>
        <w:rPr>
          <w:rFonts w:hint="eastAsia" w:ascii="CESI仿宋-GB2312" w:hAnsi="CESI仿宋-GB2312" w:eastAsia="CESI仿宋-GB2312" w:cs="CESI仿宋-GB2312"/>
          <w:bCs/>
          <w:sz w:val="32"/>
          <w:szCs w:val="32"/>
        </w:rPr>
        <w:t>。在会计核算工作中，财务人员欠缺整体联动和统筹结合的逻辑运用能力，业务能力有待进一步增强。</w:t>
      </w:r>
    </w:p>
    <w:p>
      <w:pPr>
        <w:snapToGrid w:val="0"/>
        <w:spacing w:line="590" w:lineRule="atLeast"/>
        <w:ind w:firstLine="640" w:firstLineChars="200"/>
        <w:rPr>
          <w:kern w:val="0"/>
          <w:sz w:val="32"/>
          <w:szCs w:val="32"/>
          <w:shd w:val="clear" w:color="auto" w:fill="FFFFFF"/>
          <w:lang w:val="zh-CN"/>
        </w:rPr>
      </w:pPr>
      <w:r>
        <w:rPr>
          <w:kern w:val="0"/>
          <w:sz w:val="32"/>
          <w:szCs w:val="32"/>
          <w:shd w:val="clear" w:color="auto" w:fill="FFFFFF"/>
          <w:lang w:val="zh-CN"/>
        </w:rPr>
        <w:t>（三）改进建议。</w:t>
      </w:r>
    </w:p>
    <w:p>
      <w:pPr>
        <w:snapToGrid w:val="0"/>
        <w:spacing w:line="590" w:lineRule="atLeast"/>
        <w:ind w:firstLine="640" w:firstLineChars="200"/>
        <w:rPr>
          <w:rFonts w:hint="eastAsia" w:ascii="CESI仿宋-GB2312" w:hAnsi="CESI仿宋-GB2312" w:eastAsia="CESI仿宋-GB2312" w:cs="CESI仿宋-GB2312"/>
          <w:bCs/>
          <w:sz w:val="32"/>
          <w:szCs w:val="32"/>
        </w:rPr>
      </w:pPr>
      <w:r>
        <w:rPr>
          <w:rFonts w:hint="eastAsia" w:ascii="CESI仿宋-GB2312" w:hAnsi="CESI仿宋-GB2312" w:eastAsia="CESI仿宋-GB2312" w:cs="CESI仿宋-GB2312"/>
          <w:bCs/>
          <w:sz w:val="32"/>
          <w:szCs w:val="32"/>
        </w:rPr>
        <w:t>1.加强内部控制，突出风险防控。建立健全内部监督管理制度，完善业务流程，将制衡机制嵌入部门内部管理各环节，建立起决策、执行和监督相互分离、相互制约的长效机制。</w:t>
      </w:r>
    </w:p>
    <w:p>
      <w:pPr>
        <w:snapToGrid w:val="0"/>
        <w:spacing w:line="590" w:lineRule="atLeast"/>
        <w:ind w:firstLine="640" w:firstLineChars="200"/>
        <w:rPr>
          <w:rFonts w:hint="eastAsia" w:ascii="CESI仿宋-GB2312" w:hAnsi="CESI仿宋-GB2312" w:eastAsia="CESI仿宋-GB2312" w:cs="CESI仿宋-GB2312"/>
          <w:bCs/>
          <w:sz w:val="32"/>
          <w:szCs w:val="32"/>
        </w:rPr>
      </w:pPr>
      <w:r>
        <w:rPr>
          <w:rFonts w:hint="eastAsia" w:ascii="CESI仿宋-GB2312" w:hAnsi="CESI仿宋-GB2312" w:eastAsia="CESI仿宋-GB2312" w:cs="CESI仿宋-GB2312"/>
          <w:bCs/>
          <w:sz w:val="32"/>
          <w:szCs w:val="32"/>
        </w:rPr>
        <w:t>2.定期组织培训，不断提高财务人员</w:t>
      </w:r>
      <w:r>
        <w:rPr>
          <w:rFonts w:hint="eastAsia" w:ascii="CESI仿宋-GB2312" w:hAnsi="CESI仿宋-GB2312" w:eastAsia="CESI仿宋-GB2312" w:cs="CESI仿宋-GB2312"/>
          <w:bCs/>
          <w:sz w:val="32"/>
          <w:szCs w:val="32"/>
          <w:lang w:eastAsia="zh-CN"/>
        </w:rPr>
        <w:t>业务</w:t>
      </w:r>
      <w:r>
        <w:rPr>
          <w:rFonts w:hint="eastAsia" w:ascii="CESI仿宋-GB2312" w:hAnsi="CESI仿宋-GB2312" w:eastAsia="CESI仿宋-GB2312" w:cs="CESI仿宋-GB2312"/>
          <w:bCs/>
          <w:sz w:val="32"/>
          <w:szCs w:val="32"/>
        </w:rPr>
        <w:t>能力。以不断提升财务管理工作能力为目标，进一步加强学习各项财经制度，大力提升财务人员综合能力。</w:t>
      </w:r>
    </w:p>
    <w:p>
      <w:pPr>
        <w:widowControl/>
        <w:adjustRightInd w:val="0"/>
        <w:snapToGrid w:val="0"/>
        <w:spacing w:line="580" w:lineRule="exact"/>
        <w:ind w:firstLine="640" w:firstLineChars="200"/>
        <w:contextualSpacing/>
        <w:jc w:val="left"/>
        <w:rPr>
          <w:rFonts w:hint="eastAsia" w:ascii="CESI仿宋-GB2312" w:hAnsi="CESI仿宋-GB2312" w:eastAsia="CESI仿宋-GB2312" w:cs="CESI仿宋-GB2312"/>
          <w:color w:val="000000"/>
          <w:kern w:val="0"/>
          <w:sz w:val="32"/>
          <w:szCs w:val="32"/>
          <w:shd w:val="clear" w:color="auto" w:fill="FFFFFF"/>
          <w:lang w:val="zh-CN"/>
        </w:rPr>
      </w:pPr>
      <w:r>
        <w:rPr>
          <w:rFonts w:hint="eastAsia" w:ascii="CESI仿宋-GB2312" w:hAnsi="CESI仿宋-GB2312" w:eastAsia="CESI仿宋-GB2312" w:cs="CESI仿宋-GB2312"/>
          <w:sz w:val="32"/>
          <w:szCs w:val="32"/>
          <w:lang w:val="zh-CN"/>
        </w:rPr>
        <w:t>3.进一步加强预算编制，早部署早谋划，提高预算编制的精准性，严格预算调整，项目实施分类管理，明确经费保障范围。</w:t>
      </w:r>
    </w:p>
    <w:p>
      <w:pPr>
        <w:widowControl/>
        <w:adjustRightInd w:val="0"/>
        <w:snapToGrid w:val="0"/>
        <w:spacing w:line="580" w:lineRule="exact"/>
        <w:ind w:firstLine="640" w:firstLineChars="200"/>
        <w:contextualSpacing/>
        <w:jc w:val="left"/>
        <w:rPr>
          <w:kern w:val="0"/>
          <w:sz w:val="32"/>
          <w:szCs w:val="32"/>
          <w:shd w:val="clear" w:color="auto" w:fill="FFFFFF"/>
          <w:lang w:val="zh-CN"/>
        </w:rPr>
      </w:pPr>
      <w:r>
        <w:rPr>
          <w:rFonts w:hint="eastAsia" w:hAnsi="Times New Roman"/>
          <w:sz w:val="32"/>
          <w:lang w:val="zh-CN"/>
        </w:rPr>
        <w:t>附表：</w:t>
      </w:r>
      <w:r>
        <w:rPr>
          <w:rFonts w:hint="eastAsia" w:hAnsi="Times New Roman"/>
          <w:sz w:val="32"/>
        </w:rPr>
        <w:t>部门预算项目支出绩效自评表（202</w:t>
      </w:r>
      <w:r>
        <w:rPr>
          <w:rFonts w:hint="eastAsia"/>
          <w:sz w:val="32"/>
        </w:rPr>
        <w:t>3</w:t>
      </w:r>
      <w:r>
        <w:rPr>
          <w:rFonts w:hint="eastAsia" w:hAnsi="Times New Roman"/>
          <w:sz w:val="32"/>
        </w:rPr>
        <w:t>年度）</w:t>
      </w:r>
    </w:p>
    <w:p>
      <w:pPr>
        <w:pStyle w:val="8"/>
        <w:spacing w:line="560" w:lineRule="exact"/>
        <w:ind w:leftChars="0" w:firstLine="640"/>
        <w:rPr>
          <w:rFonts w:hint="eastAsia" w:hAnsi="Times New Roman"/>
          <w:sz w:val="32"/>
          <w:lang w:val="zh-CN"/>
        </w:rPr>
      </w:pPr>
    </w:p>
    <w:p>
      <w:pPr>
        <w:rPr>
          <w:rFonts w:ascii="黑体" w:hAnsi="黑体" w:eastAsia="黑体"/>
          <w:sz w:val="32"/>
          <w:szCs w:val="32"/>
        </w:rPr>
      </w:pPr>
    </w:p>
    <w:p>
      <w:pPr>
        <w:pStyle w:val="5"/>
      </w:pPr>
    </w:p>
    <w:p>
      <w:pPr>
        <w:pStyle w:val="5"/>
      </w:pPr>
    </w:p>
    <w:p/>
    <w:p>
      <w:pPr>
        <w:pStyle w:val="5"/>
      </w:pPr>
    </w:p>
    <w:p/>
    <w:p>
      <w:pPr>
        <w:pStyle w:val="5"/>
      </w:pPr>
    </w:p>
    <w:p/>
    <w:p>
      <w:pPr>
        <w:pStyle w:val="5"/>
      </w:pPr>
    </w:p>
    <w:p/>
    <w:p>
      <w:pPr>
        <w:pStyle w:val="5"/>
      </w:pPr>
    </w:p>
    <w:p/>
    <w:p>
      <w:pPr>
        <w:pStyle w:val="5"/>
      </w:pPr>
    </w:p>
    <w:p/>
    <w:p>
      <w:pPr>
        <w:pStyle w:val="5"/>
      </w:pPr>
    </w:p>
    <w:p/>
    <w:p>
      <w:pPr>
        <w:pStyle w:val="5"/>
      </w:pPr>
    </w:p>
    <w:p/>
    <w:p>
      <w:pPr>
        <w:pStyle w:val="5"/>
      </w:pPr>
    </w:p>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sz w:val="32"/>
          <w:szCs w:val="32"/>
        </w:rPr>
      </w:pPr>
      <w:r>
        <w:rPr>
          <w:rFonts w:hint="eastAsia" w:ascii="黑体" w:hAnsi="黑体" w:eastAsia="黑体" w:cs="黑体"/>
          <w:kern w:val="0"/>
          <w:sz w:val="32"/>
          <w:szCs w:val="32"/>
          <w:shd w:val="clear" w:color="auto" w:fill="FFFFFF"/>
          <w:lang w:val="zh-CN"/>
        </w:rPr>
        <w:t>附件</w:t>
      </w:r>
      <w:r>
        <w:rPr>
          <w:rFonts w:hint="eastAsia" w:ascii="黑体" w:hAnsi="黑体" w:eastAsia="黑体" w:cs="黑体"/>
          <w:kern w:val="0"/>
          <w:sz w:val="32"/>
          <w:szCs w:val="32"/>
          <w:shd w:val="clear" w:color="auto" w:fill="FFFFFF"/>
        </w:rPr>
        <w:t>2</w:t>
      </w: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rPr>
        <w:t>专项预算</w:t>
      </w:r>
      <w:r>
        <w:rPr>
          <w:rFonts w:hint="eastAsia" w:ascii="方正小标宋_GBK" w:hAnsi="方正小标宋_GBK" w:eastAsia="方正小标宋_GBK" w:cs="方正小标宋_GBK"/>
          <w:kern w:val="2"/>
          <w:sz w:val="44"/>
          <w:szCs w:val="44"/>
          <w:lang w:val="en-US" w:eastAsia="zh-CN" w:bidi="ar"/>
        </w:rPr>
        <w:t>基本公共卫生服务</w:t>
      </w:r>
      <w:r>
        <w:rPr>
          <w:rFonts w:hint="eastAsia" w:ascii="方正小标宋简体" w:hAnsi="方正小标宋简体" w:eastAsia="方正小标宋简体" w:cs="方正小标宋简体"/>
          <w:color w:val="auto"/>
          <w:kern w:val="2"/>
          <w:sz w:val="44"/>
          <w:szCs w:val="44"/>
          <w:lang w:val="en-US"/>
        </w:rPr>
        <w:t>项目</w:t>
      </w: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eastAsia="zh-CN"/>
        </w:rPr>
      </w:pPr>
      <w:r>
        <w:rPr>
          <w:rFonts w:hint="eastAsia" w:ascii="方正小标宋简体" w:hAnsi="方正小标宋简体" w:eastAsia="方正小标宋简体" w:cs="方正小标宋简体"/>
          <w:color w:val="auto"/>
          <w:kern w:val="2"/>
          <w:sz w:val="44"/>
          <w:szCs w:val="44"/>
          <w:lang w:val="en-US"/>
        </w:rPr>
        <w:t>绩效评价</w:t>
      </w:r>
      <w:r>
        <w:rPr>
          <w:rFonts w:hint="eastAsia" w:ascii="方正小标宋简体" w:hAnsi="方正小标宋简体" w:eastAsia="方正小标宋简体" w:cs="方正小标宋简体"/>
          <w:color w:val="auto"/>
          <w:kern w:val="2"/>
          <w:sz w:val="44"/>
          <w:szCs w:val="44"/>
          <w:lang w:val="en-US" w:eastAsia="zh-CN"/>
        </w:rPr>
        <w:t>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spacing w:line="560" w:lineRule="exact"/>
        <w:ind w:left="210" w:leftChars="100" w:firstLine="320" w:firstLineChars="100"/>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rPr>
        <w:t>1.</w:t>
      </w:r>
      <w:r>
        <w:rPr>
          <w:rFonts w:hint="eastAsia" w:ascii="CESI仿宋-GB2312" w:hAnsi="CESI仿宋-GB2312" w:eastAsia="CESI仿宋-GB2312" w:cs="CESI仿宋-GB2312"/>
          <w:b/>
          <w:bCs/>
          <w:sz w:val="32"/>
          <w:szCs w:val="32"/>
          <w:lang w:val="zh-CN"/>
        </w:rPr>
        <w:t>说明项目主管部门（单位）在该项目管理中的职能。</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县卫生健康局各相关股室负责制定基本公共卫生服务项目、地方病防治、农村妇女“两癌”筛查、免费孕前优生健康检查、老年健康与医养结合服务项目、双随机、计划生育服务补助、健康教育宣传等项目实施方案、考核细则、拟定项目计划和目标、成立项目技术指导小组、组织人员培训、技术指导、检查督导、绩效考核。</w:t>
      </w:r>
    </w:p>
    <w:p>
      <w:pPr>
        <w:adjustRightInd w:val="0"/>
        <w:snapToGrid w:val="0"/>
        <w:spacing w:line="600" w:lineRule="exact"/>
        <w:ind w:firstLine="720"/>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rPr>
        <w:t>2.</w:t>
      </w:r>
      <w:r>
        <w:rPr>
          <w:rFonts w:hint="eastAsia" w:ascii="CESI仿宋-GB2312" w:hAnsi="CESI仿宋-GB2312" w:eastAsia="CESI仿宋-GB2312" w:cs="CESI仿宋-GB2312"/>
          <w:b/>
          <w:bCs/>
          <w:sz w:val="32"/>
          <w:szCs w:val="32"/>
          <w:lang w:val="zh-CN"/>
        </w:rPr>
        <w:t>项目立项、资金申报的依据。</w:t>
      </w:r>
    </w:p>
    <w:p>
      <w:pPr>
        <w:spacing w:line="560" w:lineRule="exact"/>
        <w:ind w:firstLine="640" w:firstLineChars="200"/>
        <w:rPr>
          <w:rFonts w:hint="eastAsia" w:ascii="CESI仿宋-GB2312" w:hAnsi="CESI仿宋-GB2312" w:eastAsia="CESI仿宋-GB2312" w:cs="CESI仿宋-GB2312"/>
          <w:b w:val="0"/>
          <w:bCs/>
          <w:sz w:val="32"/>
          <w:szCs w:val="32"/>
          <w:lang w:val="en-US" w:eastAsia="zh-CN"/>
        </w:rPr>
      </w:pPr>
      <w:r>
        <w:rPr>
          <w:rFonts w:hint="eastAsia" w:ascii="CESI仿宋-GB2312" w:hAnsi="CESI仿宋-GB2312" w:eastAsia="CESI仿宋-GB2312" w:cs="CESI仿宋-GB2312"/>
          <w:b w:val="0"/>
          <w:bCs/>
          <w:sz w:val="32"/>
          <w:szCs w:val="32"/>
          <w:lang w:val="zh-CN" w:eastAsia="zh-CN"/>
        </w:rPr>
        <w:t>依据《国家基本公共卫生服务项目规范（第三版）》、《四川省基本公共卫生服务项目管理手册》《四川省财政厅 四川省卫生健康委员会 四川省医疗保障局 四川省中医药管理局关于印发公共卫生等5项补助资金管理办法的通知》〔川财社（2022）112号〕等文件，印发《盐边县20</w:t>
      </w:r>
      <w:r>
        <w:rPr>
          <w:rFonts w:hint="eastAsia" w:ascii="CESI仿宋-GB2312" w:hAnsi="CESI仿宋-GB2312" w:eastAsia="CESI仿宋-GB2312" w:cs="CESI仿宋-GB2312"/>
          <w:b w:val="0"/>
          <w:bCs/>
          <w:sz w:val="32"/>
          <w:szCs w:val="32"/>
          <w:lang w:val="en-US" w:eastAsia="zh-CN"/>
        </w:rPr>
        <w:t>23</w:t>
      </w:r>
      <w:r>
        <w:rPr>
          <w:rFonts w:hint="eastAsia" w:ascii="CESI仿宋-GB2312" w:hAnsi="CESI仿宋-GB2312" w:eastAsia="CESI仿宋-GB2312" w:cs="CESI仿宋-GB2312"/>
          <w:b w:val="0"/>
          <w:bCs/>
          <w:sz w:val="32"/>
          <w:szCs w:val="32"/>
          <w:lang w:val="zh-CN" w:eastAsia="zh-CN"/>
        </w:rPr>
        <w:t>年基本公共卫生服务项目实施方案》《盐边县</w:t>
      </w:r>
      <w:r>
        <w:rPr>
          <w:rFonts w:hint="eastAsia" w:ascii="CESI仿宋-GB2312" w:hAnsi="CESI仿宋-GB2312" w:eastAsia="CESI仿宋-GB2312" w:cs="CESI仿宋-GB2312"/>
          <w:b w:val="0"/>
          <w:bCs/>
          <w:sz w:val="32"/>
          <w:szCs w:val="32"/>
          <w:lang w:val="en-US" w:eastAsia="zh-CN"/>
        </w:rPr>
        <w:t>2023年度基本公共卫生服务项目绩效考核方案</w:t>
      </w:r>
      <w:r>
        <w:rPr>
          <w:rFonts w:hint="eastAsia" w:ascii="CESI仿宋-GB2312" w:hAnsi="CESI仿宋-GB2312" w:eastAsia="CESI仿宋-GB2312" w:cs="CESI仿宋-GB2312"/>
          <w:b w:val="0"/>
          <w:bCs/>
          <w:sz w:val="32"/>
          <w:szCs w:val="32"/>
          <w:lang w:val="zh-CN" w:eastAsia="zh-CN"/>
        </w:rPr>
        <w:t>》等方案。</w:t>
      </w:r>
    </w:p>
    <w:p>
      <w:pPr>
        <w:spacing w:line="560" w:lineRule="exact"/>
        <w:ind w:firstLine="640" w:firstLineChars="200"/>
        <w:rPr>
          <w:rFonts w:hint="eastAsia" w:ascii="CESI仿宋-GB2312" w:hAnsi="CESI仿宋-GB2312" w:eastAsia="CESI仿宋-GB2312" w:cs="CESI仿宋-GB2312"/>
          <w:b/>
          <w:bCs/>
          <w:sz w:val="32"/>
          <w:szCs w:val="32"/>
        </w:rPr>
      </w:pPr>
      <w:r>
        <w:rPr>
          <w:rFonts w:hint="eastAsia" w:ascii="CESI仿宋-GB2312" w:hAnsi="CESI仿宋-GB2312" w:eastAsia="CESI仿宋-GB2312" w:cs="CESI仿宋-GB2312"/>
          <w:b/>
          <w:bCs/>
          <w:sz w:val="32"/>
          <w:szCs w:val="32"/>
        </w:rPr>
        <w:t>3.</w:t>
      </w:r>
      <w:r>
        <w:rPr>
          <w:rFonts w:hint="eastAsia" w:ascii="CESI仿宋-GB2312" w:hAnsi="CESI仿宋-GB2312" w:eastAsia="CESI仿宋-GB2312" w:cs="CESI仿宋-GB2312"/>
          <w:b/>
          <w:bCs/>
          <w:sz w:val="32"/>
          <w:szCs w:val="32"/>
          <w:lang w:val="zh-CN"/>
        </w:rPr>
        <w:t>资金管理办法制定情况，资金支持具体项目的条件、范围与支持方式概况。</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按照《四川省基本公共卫生服务项目成本核算指导意见》《四川省财政厅 四川省卫生健康委员会 四川省医疗保障局 四川省中医药管理局关于印发公共卫生等5项补助资金管理办法的通知》〔川财社（2022）112号〕及</w:t>
      </w:r>
      <w:r>
        <w:rPr>
          <w:rFonts w:hint="eastAsia" w:ascii="CESI仿宋-GB2312" w:hAnsi="CESI仿宋-GB2312" w:eastAsia="CESI仿宋-GB2312" w:cs="CESI仿宋-GB2312"/>
          <w:sz w:val="32"/>
          <w:szCs w:val="32"/>
          <w:lang w:val="en-US" w:eastAsia="zh-CN"/>
        </w:rPr>
        <w:t>按照地方病防治实施方案及省、市对地方病工作相关要求，</w:t>
      </w:r>
      <w:r>
        <w:rPr>
          <w:rFonts w:hint="eastAsia" w:ascii="CESI仿宋-GB2312" w:hAnsi="CESI仿宋-GB2312" w:eastAsia="CESI仿宋-GB2312" w:cs="CESI仿宋-GB2312"/>
          <w:b w:val="0"/>
          <w:bCs/>
          <w:sz w:val="32"/>
          <w:szCs w:val="32"/>
          <w:lang w:val="zh-CN" w:eastAsia="zh-CN"/>
        </w:rPr>
        <w:t>对各乡（镇）、乡（镇）卫生院、社区卫生服务中心、村卫生室进行考核，按照上级下达人口数进行项目测算，项目完成按照</w:t>
      </w:r>
      <w:r>
        <w:rPr>
          <w:rFonts w:hint="eastAsia" w:ascii="CESI仿宋-GB2312" w:hAnsi="CESI仿宋-GB2312" w:eastAsia="CESI仿宋-GB2312" w:cs="CESI仿宋-GB2312"/>
          <w:b w:val="0"/>
          <w:bCs/>
          <w:sz w:val="32"/>
          <w:szCs w:val="32"/>
          <w:lang w:val="en-US" w:eastAsia="zh-CN"/>
        </w:rPr>
        <w:t>100%比例进行经费拨付</w:t>
      </w:r>
      <w:r>
        <w:rPr>
          <w:rFonts w:hint="eastAsia" w:ascii="CESI仿宋-GB2312" w:hAnsi="CESI仿宋-GB2312" w:eastAsia="CESI仿宋-GB2312" w:cs="CESI仿宋-GB2312"/>
          <w:b w:val="0"/>
          <w:bCs/>
          <w:sz w:val="32"/>
          <w:szCs w:val="32"/>
          <w:lang w:val="zh-CN" w:eastAsia="zh-CN"/>
        </w:rPr>
        <w:t>。</w:t>
      </w:r>
    </w:p>
    <w:p>
      <w:pPr>
        <w:spacing w:line="560" w:lineRule="exact"/>
        <w:ind w:firstLine="640" w:firstLineChars="200"/>
        <w:rPr>
          <w:rFonts w:hint="eastAsia" w:ascii="CESI仿宋-GB2312" w:hAnsi="CESI仿宋-GB2312" w:eastAsia="CESI仿宋-GB2312" w:cs="CESI仿宋-GB2312"/>
          <w:b/>
          <w:bCs/>
          <w:sz w:val="32"/>
          <w:szCs w:val="32"/>
        </w:rPr>
      </w:pPr>
      <w:r>
        <w:rPr>
          <w:rFonts w:hint="eastAsia" w:ascii="CESI仿宋-GB2312" w:hAnsi="CESI仿宋-GB2312" w:eastAsia="CESI仿宋-GB2312" w:cs="CESI仿宋-GB2312"/>
          <w:b/>
          <w:bCs/>
          <w:sz w:val="32"/>
          <w:szCs w:val="32"/>
        </w:rPr>
        <w:t>4.</w:t>
      </w:r>
      <w:r>
        <w:rPr>
          <w:rFonts w:hint="eastAsia" w:ascii="CESI仿宋-GB2312" w:hAnsi="CESI仿宋-GB2312" w:eastAsia="CESI仿宋-GB2312" w:cs="CESI仿宋-GB2312"/>
          <w:b/>
          <w:bCs/>
          <w:sz w:val="32"/>
          <w:szCs w:val="32"/>
          <w:lang w:val="zh-CN"/>
        </w:rPr>
        <w:t>资金分配的原则及考虑因素。</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CESI仿宋-GB2312" w:hAnsi="CESI仿宋-GB2312" w:eastAsia="CESI仿宋-GB2312" w:cs="CESI仿宋-GB2312"/>
          <w:b w:val="0"/>
          <w:bCs/>
          <w:sz w:val="32"/>
          <w:szCs w:val="32"/>
          <w:lang w:val="zh-CN" w:eastAsia="zh-CN"/>
        </w:rPr>
        <w:t>该项目资金按照完成数量、质量、群众满意度等综合考虑，不单以完成数量进行拨付。</w:t>
      </w:r>
      <w:r>
        <w:rPr>
          <w:rFonts w:hint="eastAsia" w:ascii="CESI仿宋-GB2312" w:hAnsi="CESI仿宋-GB2312" w:eastAsia="CESI仿宋-GB2312" w:cs="CESI仿宋-GB2312"/>
          <w:b w:val="0"/>
          <w:bCs/>
          <w:sz w:val="32"/>
          <w:szCs w:val="32"/>
          <w:lang w:val="en-US" w:eastAsia="zh-CN"/>
        </w:rPr>
        <w:t>项目资金按照省级要求的比例，在6月底前完成目标任务覆盖人群的70%，9月底前完成目标任务覆盖人群的90%，10月底前完成目标任务覆盖人群的100%，11-12月查漏补缺，项目资金拨付进度和项目完成进度保持一致。项目资金全部拨付给基层医疗卫生机构开展项目使用，县级无截留、挤占、挪用的情况发生。</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1．项目主要内容。</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国家基本公共卫生服务服务项目分别为居民健康档案、健康教育、0-6岁儿童健康管理、预防接种、孕产妇健康管理、老年人健康管理、慢性病管理、严重精神障碍患者管理、肺结核患者健康管理、中医药健康管理、传染病及突发公共卫生事件报告和处理服务、卫生计生监督协管服务、地方病防治、职业病防治、失能老年人健康服务、农村妇女“两癌”筛查、免费孕前优生项目、其他公共卫生服务项目等工作。</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2．项目应实现的具体绩效目标，</w:t>
      </w:r>
      <w:r>
        <w:rPr>
          <w:rFonts w:hint="eastAsia" w:ascii="仿宋_GB2312" w:hAnsi="仿宋_GB2312" w:eastAsia="仿宋_GB2312" w:cs="仿宋_GB2312"/>
          <w:kern w:val="0"/>
          <w:sz w:val="32"/>
          <w:szCs w:val="32"/>
          <w:shd w:val="clear" w:color="auto" w:fill="FFFFFF"/>
        </w:rPr>
        <w:t>包括</w:t>
      </w:r>
      <w:r>
        <w:rPr>
          <w:rFonts w:hint="eastAsia" w:ascii="CESI仿宋-GB2312" w:hAnsi="CESI仿宋-GB2312" w:eastAsia="CESI仿宋-GB2312" w:cs="CESI仿宋-GB2312"/>
          <w:kern w:val="0"/>
          <w:sz w:val="32"/>
          <w:szCs w:val="32"/>
          <w:shd w:val="clear" w:color="auto" w:fill="FFFFFF"/>
        </w:rPr>
        <w:t>绩效</w:t>
      </w:r>
      <w:r>
        <w:rPr>
          <w:rFonts w:hint="eastAsia" w:ascii="仿宋_GB2312" w:hAnsi="仿宋_GB2312" w:eastAsia="仿宋_GB2312" w:cs="仿宋_GB2312"/>
          <w:kern w:val="0"/>
          <w:sz w:val="32"/>
          <w:szCs w:val="32"/>
          <w:shd w:val="clear" w:color="auto" w:fill="FFFFFF"/>
          <w:lang w:val="zh-CN"/>
        </w:rPr>
        <w:t>目标的量化细化情况</w:t>
      </w:r>
      <w:r>
        <w:rPr>
          <w:rFonts w:hint="eastAsia" w:ascii="仿宋_GB2312" w:hAnsi="仿宋_GB2312" w:cs="仿宋_GB2312"/>
          <w:kern w:val="0"/>
          <w:sz w:val="32"/>
          <w:szCs w:val="32"/>
          <w:shd w:val="clear" w:color="auto" w:fill="FFFFFF"/>
          <w:lang w:val="zh-CN"/>
        </w:rPr>
        <w:t>、</w:t>
      </w:r>
      <w:r>
        <w:rPr>
          <w:rFonts w:hint="eastAsia" w:ascii="仿宋_GB2312" w:hAnsi="仿宋_GB2312" w:eastAsia="仿宋_GB2312" w:cs="仿宋_GB2312"/>
          <w:kern w:val="0"/>
          <w:sz w:val="32"/>
          <w:szCs w:val="32"/>
          <w:shd w:val="clear" w:color="auto" w:fill="FFFFFF"/>
          <w:lang w:val="zh-CN"/>
        </w:rPr>
        <w:t>项目实施进度计划等。</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居民规范化电子健康档案覆盖率96.97%；全县适龄儿童国家免疫规划疫苗接种率94.03%；7岁以下儿童健康管理率95.49%，0-6岁儿童眼保健和视力检查覆盖率95.42%，3岁以下儿童系统管理率95.28%，孕产妇系统管理率95.12%；高血压患者管理人数10036人，高血压患者基层规范管理服务率71.33%；2型糖尿病患者管理人数3697人，2型糖尿病患者基层规范管理服务率68.03%；65岁及以上老年人城乡社区规范健康管理服务率68.58%，老年人中医药健康管理率77.49%；0-3岁儿童中医药健康管理率93.50%；肺结核患者管理率100%；社区在册居家严重精神障碍患者健康管理率91.94%；卫生监督协管各专业每年巡查（访）2次完成率95%；传染病和突发公共卫生事件报告率100%；职业健康检查服务覆盖率98%；工作场所职业病危害因素监测县（区）覆盖率92%；地方病防治工作任务完成率100%；65岁以上失能老年人健康服务目标任务完成率100%；农村妇女“两癌”筛查任务完成率100.61%，宫颈癌、乳腺癌筛查覆盖率逐步提升；免费孕前优生项目目标人群覆盖率81%。全面完成全年任务目标。</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分析评价申报内容是否与实际相符，申报目标是否合理可行。按照省、市印发的基本公共卫生服务项目实施方案要求，制定符合我县的项目实施方案，分解细化目标任务，确保了目标任务全面完成。申报内容与实际相符，申报目标合理可行。</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1.县卫生健康局按照中央、省、市要求，加强对基层医疗卫生机构的日常资金使用指导，每年对各基层医疗卫生机构财务人员进行财经纪律上的培训，保障项目专款专用。</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2.县卫生健康局对拨付的项目经费的支出都做出了相应要求，并上局务会、局党组会讨论通过，有会议纪要作为支撑。</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3.2023年，坚持兼顾公平、多劳多得、优劳优得的原则。细化考核方案，差异化服务、差异化考核，充分发挥考核的激励引导作用，促使基层医疗卫生机构严格按规范、保质量地开展基本公共卫生服务工作。</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基本公共卫生项目资金由县卫生健康局组织申报、县财政根据实际情况予以批复及进行预算调整。</w:t>
      </w:r>
    </w:p>
    <w:p>
      <w:pPr>
        <w:adjustRightInd w:val="0"/>
        <w:snapToGrid w:val="0"/>
        <w:spacing w:line="578" w:lineRule="exact"/>
        <w:ind w:firstLine="720"/>
        <w:rPr>
          <w:rFonts w:ascii="仿宋_GB2312" w:hAnsi="宋体"/>
          <w:sz w:val="32"/>
          <w:szCs w:val="32"/>
          <w:lang w:val="zh-CN"/>
        </w:rPr>
      </w:pPr>
      <w:r>
        <w:rPr>
          <w:rFonts w:hint="eastAsia" w:ascii="楷体_GB2312" w:hAnsi="宋体" w:eastAsia="楷体_GB2312"/>
          <w:b/>
          <w:sz w:val="32"/>
          <w:szCs w:val="32"/>
          <w:lang w:val="zh-CN"/>
        </w:rPr>
        <w:t>（二）资金计划、到位及使用情况。</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资金计划。2023年按照国家、省、县国家基本公共卫生服务项目实施方案要求，按照人口数下达项目资金共计1558.41万元，其中中央资金1211.71万元，省级资金221.76万元，县级配套资金124.94万元。所有资金全部到位并下拨到各项目执行单位。县卫生健康局将加强对资金监管，确保专款专用，严禁截留和挪用。</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2．资金到位。</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（1）省级下达资金</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2022年12月14日，印发《四川省财政厅  四川省卫生健康委员会关于提前下达2023年基本公共卫生服务中央和省级补助资金的通知》（川财社〔2022〕155号）文件，下达项目资金共计1210.71万元，其中中央资金1046.02万元，省级资金164.69万元。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2023年6月27日，印发《四川省财政厅  四川省卫生健康委员会关于下达2023年基本公共卫生服务中央和省级补助资金》（川财社〔2023〕73号）文件，下达项目资金221.76万元，其中中央资金192.77万元，省级资金28.99万元。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（2）市级下达资金</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根据《四川省财政厅  四川省卫生健康委员会关于下达2023年基本公共卫生服务中央和省级补助资金》（川财社〔2023〕73号）文件要求，市卫生健康委印发《攀枝花市财政局攀枝花市卫生健康委员会关于下达2023年基本公共卫生服务中央和省级补助资金(第二批)的通知》（攀财资社〔2023〕146号），下发2023年基本公共卫生服务中央奖励补助资金1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（3）县级资金</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年1月6日，县财政局印发《关于提前下达2023年基本公共卫生服务中央和省级补助资金的通知》（盐财资行〔2023〕7号）文件，拨付基本公共卫生服务项目资金1210.71万元，其中中央资金1046.02万元，省级资金164.69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年7月6日，县财政局印发《关于下达2023年基本公共卫生服务中央和省级补助资金的通知》（盐财资行〔2023〕260号）文件，拨付项目基本公共卫生服务项目资金221.76万元，其中中央资金192.77万元，省级资金28.99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2023年11月28日，县财政局印发《关于下达2023年基本公共卫生服务项目县级配套经费的通知》（盐财资行〔2023〕498号）文件，拨付基本公共卫生服务项目资金县级配套资金124.94万元。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3．资金使用。2023年全县各医疗卫生单位实施财务一体化预算，项目资金都在系统上列支，截止2023年底，项目资金1558.41万元已全部拨付到位。</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各项目实施单位财务管理制度健全，严格执行财务管理制度，及时账务处理，规范会计核算，及时完成财务年报、卫生统计年报、月报等。</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2023年基本公共卫生服务项目时间是从2023年1月-12月，按照上级要求进行，建立辖区居民健康档案；做好预防接种工作；对重点人群进行每年一次的年度体检，对慢性病、重精、肺结核病等患者进行随访服务，对0-6岁儿童进行成长发育指导，加强对老年人和0-3岁儿童家长进行中医体质辨识指导；做好辖区健康教育宣传咨询和健康教育讲座，做好医疗卫生机构健康素养促进活动；对有避孕意向的妇女发放避孕药具；做好传染病、突发公共卫生事件报告；做好卫生计生监督协管巡查；开展地方病防治工作；开展农村妇女两癌筛查、免费孕前优生健康检查；对65岁以上失能老年人开展健康服务；开展2023年计划生育服务补助；开展双随机抽查等工作。</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（二）项目管理情况。</w:t>
      </w:r>
    </w:p>
    <w:p>
      <w:pPr>
        <w:adjustRightInd w:val="0"/>
        <w:snapToGrid w:val="0"/>
        <w:spacing w:line="578" w:lineRule="exact"/>
        <w:ind w:firstLine="720"/>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一是认真开展“5.19世界家庭医生日”“基本公共卫生服务项目”“高血压病防治”“糖尿病防治”“3.21世界睡眠日”“10.10精神卫生日”等宣传活动。按照国家和省统一安排部署，各医疗卫生机构添措施、想办法开展项目宣传活动，继续深入开展“三减三健”和“七进”活动宣传，提高群众知晓率和感受度，促进居民养成健康的生活方式；二是多形式开展健康教育宣传。采取网络、QQ、微信、展板、宣传折页、宣传标语等群众喜闻乐见的传统宣传方式，形成多渠道、多层次、多语境的宣传态势，为项目实施营造良好氛围，形成强大合力。以基层医疗卫生机构为单位，发放《中国公民健康素养66条》宣传绘图，基本公共卫生服务项目宣传资料，提高群众对基本公共卫生服务项目的参与积极性和自身健康意识；三是抓好信息公开。基层医疗卫生机构在辖区和机构内显著位置公示项目免费政策、服务项目、机构地址、电话号码等内容。将广播、QQ、微信、官方微博等新闻媒体和传统的宣传栏、壁报、宣传折页等形式相结合，多渠道，多途径地将机构基本情况、基本公共卫生服务内容、服务信息、反馈信息和提醒信息等及时全面传递给服务对象；四是加强信息报送。各医疗卫生机构及时总结上报基本公共卫生服务工作完成情况，创新性做法和典型经验等信息。及时总结提炼宣传活动经验、特色亮点，挖掘基本公共卫生服务工作中的先进个人和感人事迹进行深入报道，深化对国家基本公共卫生服务项目的宣传，提高群众的知晓率和认可度。</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（三）项目监管情况。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日常督导。县卫生健康局将加强基本公共卫生服务项目技术指导和督导，强化重点任务项目落地落实，由县卫生健康局牵头，县均等化指导中心、县疾控中心、县妇幼保健服务中心等指导机构，每月实施重点人群线上信息审核，重点审核体检信息、随访等相关信息，截止2023年底，共完成12次线上审核通报。至少每季度开展一次全方位现场督导检查，截止2023年底，共完成4次督导检查。其他基本公共卫生服务项目采取每月提取相关数据进行通报，确保年底前完成年初下达任务目标。</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考核：2023年6月26日—7月6日，对全县各乡（镇）卫生院、社区卫生服务中心2023年度基本公共卫生服务项目进行了半年绩效考核，总共考核了12个乡（镇）卫生院、1个社区卫生服务中心、28个村卫生室。2023年10月16日—10月26日，对全县各乡（镇）卫生院、社区卫生服务中心2020年度基本公共卫生服务项目进行了年终绩效考核，总共考核了12个乡镇（中心）卫生院、1个社区卫生服务中心、32个村卫生室，现场考核采取查阅资料、问卷调查、现场核实真实性等方式进行，考核结束后在15个工作日内向市卫生健康委上报考核报告。乡（镇）卫生院和社区卫生服务中心要强化对村卫生室的全面绩效考核，严肃处理弄虚作假情况，严格实行评价结果与资金拨付挂钩。</w:t>
      </w:r>
    </w:p>
    <w:p>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居民规范化电子健康档案覆盖率96.97%；全县适龄儿童国家免疫规划疫苗接种率94.03%；7岁以下儿童健康管理率95.49%，0-6岁儿童眼保健和视力检查覆盖率95.42%，3岁以下儿童系统管理率95.28%，孕产妇系统管理率95.12%；高血压患者管理人数10036人，高血压患者基层规范管理服务率71.33%；2型糖尿病患者管理人数3697人，2型糖尿病患者基层规范管理服务率68.03%；65岁及以上老年人城乡社区规范健康管理服务率68.58%，老年人中医药健康管理率77.49%；0-3岁儿童中医药健康管理率93.50%；肺结核患者管理率100%；社区在册居家严重精神障碍患者健康管理率91.94%；卫生监督协管各专业每年巡查（访）2次完成率95%；传染病和突发公共卫生事件报告率100%；职业健康检查服务覆盖率98%；工作场所职业病危害因素监测县（区）覆盖率92%；地方病防治工作任务完成率100%；65岁以上失能老年人健康服务目标任务完成率100%；农村妇女“两癌”筛查任务完成率100.61%，宫颈癌、乳腺癌筛查覆盖率逐步提升；免费孕前优生项目目标人群覆盖率81%。全面完成全年任务目标。</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adjustRightInd w:val="0"/>
        <w:snapToGrid w:val="0"/>
        <w:spacing w:line="578" w:lineRule="exact"/>
        <w:ind w:firstLine="720"/>
        <w:rPr>
          <w:rFonts w:ascii="黑体" w:hAnsi="宋体" w:eastAsia="黑体"/>
          <w:sz w:val="32"/>
          <w:szCs w:val="32"/>
        </w:rPr>
      </w:pPr>
      <w:r>
        <w:rPr>
          <w:rFonts w:hint="eastAsia" w:ascii="仿宋_GB2312" w:hAnsi="仿宋_GB2312" w:eastAsia="仿宋_GB2312" w:cs="仿宋_GB2312"/>
          <w:kern w:val="0"/>
          <w:sz w:val="32"/>
          <w:szCs w:val="32"/>
          <w:shd w:val="clear" w:color="auto" w:fill="FFFFFF"/>
        </w:rPr>
        <w:t>县卫生健康局和各医疗卫生单位按照省、市卫生健康委的统一部署，开展好“世界家庭医生日”、“国家基本公共卫生宣传月活动”。大力宣传“三减三健”（减盐、减油、减糖，健康体重、健康骨骼、健康口腔），促进居民养成健康的生活方式。推动项目“七进”活动（进社区、进农村、进学校、进机关、进企业、进寺庙、进家庭）。利用电视、广播、网络、微信、报刊、展板、宣传折页、宣传标语等传统媒体和新兴媒介，以群众喜闻乐见的方式加大宣传力度，为项目实施营造良好舆论氛围。配合宣传活动，向居民发放控盐勺、腰围尺、控油壶等实用的健康干预工具，并指导居民使用，提高群众对基本公共卫生服务项目的参与积极性。基层医疗卫生机构在辖区和机构内显著位置公示项目免费政策、服务项目等内容。采用广播、电视、手机短信、微信公众平台等新闻媒体将机构情况、基本公共卫生服务内容、服务信息、反馈信息和提醒信息等及时全面传递给服务对象。</w:t>
      </w: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年基本公共卫生服务能力得到提升，基本公共卫生服务项目得到有序进行，老百姓获得感不断增强，群众满意度在逐年提高。人民群众健康意识进一步得到增强，使人人享受到基本公共卫生服务带来的健康实惠。项目总体指标完成较好，均能完成评价指标，达到预期值。</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1.组织管理需要加强。部分机构对内部职工和村医的培训资料收集不全，主要存在培训内容与课 件不符，课件收集不全，没有讲课人。大部分机构对上级督导发现的问题形成的整改台账无连续性，部分机构整改计划和整改报告相混淆。项目宣传活动资料收集不全。</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健康档案管理需进一步规范。居民健康档案动态管理率较低，抽查档案中，主要存在普通人群档案使用率不高。重点人群体检表填写不规范，主要是部分辅助检查未做，体检表填写不规范；血压只填一侧；老年人生活方式和情感状况未填；查体项目与实际询问不一致等情况。部分医疗卫生机构未做到基本医疗和基本公卫的有效结合，在系统中未录入慢性病筛查，门诊、住院记录等相关信息未能未在基层信息网中体现出来。</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慢性病患者健康管理不够：部分机构高血压、糖尿病患者管理率不达标。部分机构高血压规范管理率未达标，部分机构糖尿病规范管理率未达标，主要是存在体检表记录不全，用药情况与实际询问不一致；随访血压血糖高于正常值，填写控制满意，随访次数不达标、超期随访等情况。慢性病患者筛查未全部录入信息系统中。</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4.健康教育有待提高：影像播放资料收集不齐全，无群众观看图片，播放次数不够。宣传栏资料部分未落机构或日期，宣传栏内容制作未按要求进行，宣传栏部分机构无中医内容和健康素养66条相关内容。公众健康咨询和健康讲座含中医内容的次数不达标，中医药相关内容较少。</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CESI仿宋-GB2312" w:hAnsi="CESI仿宋-GB2312" w:eastAsia="CESI仿宋-GB2312" w:cs="CESI仿宋-GB2312"/>
          <w:b w:val="0"/>
          <w:bCs/>
          <w:sz w:val="32"/>
          <w:szCs w:val="32"/>
        </w:rPr>
      </w:pPr>
      <w:r>
        <w:rPr>
          <w:rFonts w:hint="eastAsia" w:ascii="CESI仿宋-GB2312" w:hAnsi="CESI仿宋-GB2312" w:eastAsia="CESI仿宋-GB2312" w:cs="CESI仿宋-GB2312"/>
          <w:b/>
          <w:bCs w:val="0"/>
          <w:sz w:val="32"/>
          <w:szCs w:val="32"/>
          <w:lang w:val="en-US" w:eastAsia="zh-CN"/>
        </w:rPr>
        <w:t>1.</w:t>
      </w:r>
      <w:r>
        <w:rPr>
          <w:rFonts w:hint="eastAsia" w:ascii="CESI仿宋-GB2312" w:hAnsi="CESI仿宋-GB2312" w:eastAsia="CESI仿宋-GB2312" w:cs="CESI仿宋-GB2312"/>
          <w:b w:val="0"/>
          <w:bCs/>
          <w:sz w:val="32"/>
          <w:szCs w:val="32"/>
        </w:rPr>
        <w:t>建立县、乡、村三级分级负责的公共卫生管理体系，为顺利均等化服务实现奠定组织基础。</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CESI仿宋-GB2312" w:hAnsi="CESI仿宋-GB2312" w:eastAsia="CESI仿宋-GB2312" w:cs="CESI仿宋-GB2312"/>
          <w:b w:val="0"/>
          <w:bCs/>
          <w:sz w:val="32"/>
          <w:szCs w:val="32"/>
        </w:rPr>
      </w:pPr>
      <w:r>
        <w:rPr>
          <w:rFonts w:hint="eastAsia" w:ascii="CESI仿宋-GB2312" w:hAnsi="CESI仿宋-GB2312" w:eastAsia="CESI仿宋-GB2312" w:cs="CESI仿宋-GB2312"/>
          <w:b/>
          <w:bCs w:val="0"/>
          <w:sz w:val="32"/>
          <w:szCs w:val="32"/>
          <w:lang w:val="en-US" w:eastAsia="zh-CN"/>
        </w:rPr>
        <w:t>2.</w:t>
      </w:r>
      <w:r>
        <w:rPr>
          <w:rFonts w:hint="eastAsia" w:ascii="CESI仿宋-GB2312" w:hAnsi="CESI仿宋-GB2312" w:eastAsia="CESI仿宋-GB2312" w:cs="CESI仿宋-GB2312"/>
          <w:b w:val="0"/>
          <w:bCs/>
          <w:sz w:val="32"/>
          <w:szCs w:val="32"/>
        </w:rPr>
        <w:t>按照"</w:t>
      </w:r>
      <w:r>
        <w:rPr>
          <w:rFonts w:hint="eastAsia" w:ascii="CESI仿宋-GB2312" w:hAnsi="CESI仿宋-GB2312" w:eastAsia="CESI仿宋-GB2312" w:cs="CESI仿宋-GB2312"/>
          <w:b w:val="0"/>
          <w:bCs/>
          <w:sz w:val="32"/>
          <w:szCs w:val="32"/>
          <w:lang w:eastAsia="zh-CN"/>
        </w:rPr>
        <w:t>购买服务</w:t>
      </w:r>
      <w:r>
        <w:rPr>
          <w:rFonts w:hint="eastAsia" w:ascii="CESI仿宋-GB2312" w:hAnsi="CESI仿宋-GB2312" w:eastAsia="CESI仿宋-GB2312" w:cs="CESI仿宋-GB2312"/>
          <w:b w:val="0"/>
          <w:bCs/>
          <w:sz w:val="32"/>
          <w:szCs w:val="32"/>
        </w:rPr>
        <w:t>"的原则</w:t>
      </w:r>
      <w:r>
        <w:rPr>
          <w:rFonts w:hint="eastAsia" w:ascii="CESI仿宋-GB2312" w:hAnsi="CESI仿宋-GB2312" w:eastAsia="CESI仿宋-GB2312" w:cs="CESI仿宋-GB2312"/>
          <w:b w:val="0"/>
          <w:bCs/>
          <w:sz w:val="32"/>
          <w:szCs w:val="32"/>
          <w:lang w:eastAsia="zh-CN"/>
        </w:rPr>
        <w:t>，</w:t>
      </w:r>
      <w:r>
        <w:rPr>
          <w:rFonts w:hint="eastAsia" w:ascii="CESI仿宋-GB2312" w:hAnsi="CESI仿宋-GB2312" w:eastAsia="CESI仿宋-GB2312" w:cs="CESI仿宋-GB2312"/>
          <w:b w:val="0"/>
          <w:bCs/>
          <w:sz w:val="32"/>
          <w:szCs w:val="32"/>
        </w:rPr>
        <w:t>建立购买基本公共卫生服务工作机制。</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CESI仿宋-GB2312" w:hAnsi="CESI仿宋-GB2312" w:eastAsia="CESI仿宋-GB2312" w:cs="CESI仿宋-GB2312"/>
          <w:b w:val="0"/>
          <w:bCs/>
          <w:sz w:val="32"/>
          <w:szCs w:val="32"/>
        </w:rPr>
      </w:pPr>
      <w:r>
        <w:rPr>
          <w:rFonts w:hint="eastAsia" w:ascii="CESI仿宋-GB2312" w:hAnsi="CESI仿宋-GB2312" w:eastAsia="CESI仿宋-GB2312" w:cs="CESI仿宋-GB2312"/>
          <w:b/>
          <w:bCs w:val="0"/>
          <w:sz w:val="32"/>
          <w:szCs w:val="32"/>
          <w:lang w:val="en-US" w:eastAsia="zh-CN"/>
        </w:rPr>
        <w:t>3.</w:t>
      </w:r>
      <w:r>
        <w:rPr>
          <w:rFonts w:hint="eastAsia" w:ascii="CESI仿宋-GB2312" w:hAnsi="CESI仿宋-GB2312" w:eastAsia="CESI仿宋-GB2312" w:cs="CESI仿宋-GB2312"/>
          <w:b w:val="0"/>
          <w:bCs/>
          <w:sz w:val="32"/>
          <w:szCs w:val="32"/>
        </w:rPr>
        <w:t>整合农村资源</w:t>
      </w:r>
      <w:r>
        <w:rPr>
          <w:rFonts w:hint="eastAsia" w:ascii="CESI仿宋-GB2312" w:hAnsi="CESI仿宋-GB2312" w:eastAsia="CESI仿宋-GB2312" w:cs="CESI仿宋-GB2312"/>
          <w:b w:val="0"/>
          <w:bCs/>
          <w:sz w:val="32"/>
          <w:szCs w:val="32"/>
          <w:lang w:eastAsia="zh-CN"/>
        </w:rPr>
        <w:t>，</w:t>
      </w:r>
      <w:r>
        <w:rPr>
          <w:rFonts w:hint="eastAsia" w:ascii="CESI仿宋-GB2312" w:hAnsi="CESI仿宋-GB2312" w:eastAsia="CESI仿宋-GB2312" w:cs="CESI仿宋-GB2312"/>
          <w:b w:val="0"/>
          <w:bCs/>
          <w:sz w:val="32"/>
          <w:szCs w:val="32"/>
        </w:rPr>
        <w:t>建立一支相对稳定以全科医生为主体的较高专业水平，充满活力的家庭医生团队队伍</w:t>
      </w:r>
      <w:r>
        <w:rPr>
          <w:rFonts w:hint="eastAsia" w:ascii="CESI仿宋-GB2312" w:hAnsi="CESI仿宋-GB2312" w:eastAsia="CESI仿宋-GB2312" w:cs="CESI仿宋-GB2312"/>
          <w:b w:val="0"/>
          <w:bCs/>
          <w:sz w:val="32"/>
          <w:szCs w:val="32"/>
          <w:lang w:eastAsia="zh-CN"/>
        </w:rPr>
        <w:t>，参与基层医疗卫生机构巡回诊疗工作</w:t>
      </w:r>
      <w:r>
        <w:rPr>
          <w:rFonts w:hint="eastAsia" w:ascii="CESI仿宋-GB2312" w:hAnsi="CESI仿宋-GB2312" w:eastAsia="CESI仿宋-GB2312" w:cs="CESI仿宋-GB2312"/>
          <w:b w:val="0"/>
          <w:bCs/>
          <w:sz w:val="32"/>
          <w:szCs w:val="32"/>
        </w:rPr>
        <w:t>。</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CESI仿宋-GB2312" w:hAnsi="CESI仿宋-GB2312" w:eastAsia="CESI仿宋-GB2312" w:cs="CESI仿宋-GB2312"/>
          <w:b w:val="0"/>
          <w:bCs/>
          <w:sz w:val="32"/>
          <w:szCs w:val="32"/>
        </w:rPr>
      </w:pPr>
      <w:r>
        <w:rPr>
          <w:rFonts w:hint="eastAsia" w:ascii="CESI仿宋-GB2312" w:hAnsi="CESI仿宋-GB2312" w:eastAsia="CESI仿宋-GB2312" w:cs="CESI仿宋-GB2312"/>
          <w:b/>
          <w:bCs w:val="0"/>
          <w:sz w:val="32"/>
          <w:szCs w:val="32"/>
          <w:lang w:val="en-US" w:eastAsia="zh-CN"/>
        </w:rPr>
        <w:t>4.</w:t>
      </w:r>
      <w:r>
        <w:rPr>
          <w:rFonts w:hint="eastAsia" w:ascii="CESI仿宋-GB2312" w:hAnsi="CESI仿宋-GB2312" w:eastAsia="CESI仿宋-GB2312" w:cs="CESI仿宋-GB2312"/>
          <w:b w:val="0"/>
          <w:bCs/>
          <w:sz w:val="32"/>
          <w:szCs w:val="32"/>
        </w:rPr>
        <w:t>持续推进基本公共卫生服务经费调配与差异化绩效考核机制</w:t>
      </w:r>
      <w:r>
        <w:rPr>
          <w:rFonts w:hint="eastAsia" w:ascii="CESI仿宋-GB2312" w:hAnsi="CESI仿宋-GB2312" w:eastAsia="CESI仿宋-GB2312" w:cs="CESI仿宋-GB2312"/>
          <w:b w:val="0"/>
          <w:bCs/>
          <w:sz w:val="32"/>
          <w:szCs w:val="32"/>
          <w:lang w:eastAsia="zh-CN"/>
        </w:rPr>
        <w:t>，</w:t>
      </w:r>
      <w:r>
        <w:rPr>
          <w:rFonts w:hint="eastAsia" w:ascii="CESI仿宋-GB2312" w:hAnsi="CESI仿宋-GB2312" w:eastAsia="CESI仿宋-GB2312" w:cs="CESI仿宋-GB2312"/>
          <w:b w:val="0"/>
          <w:bCs/>
          <w:sz w:val="32"/>
          <w:szCs w:val="32"/>
        </w:rPr>
        <w:t>为健全基本公共卫生服务提供有效保障。</w:t>
      </w:r>
    </w:p>
    <w:p>
      <w:pPr>
        <w:keepNext w:val="0"/>
        <w:keepLines w:val="0"/>
        <w:pageBreakBefore w:val="0"/>
        <w:widowControl/>
        <w:kinsoku/>
        <w:wordWrap/>
        <w:overflowPunct/>
        <w:topLinePunct w:val="0"/>
        <w:autoSpaceDE/>
        <w:autoSpaceDN/>
        <w:bidi w:val="0"/>
        <w:adjustRightInd/>
        <w:snapToGrid/>
        <w:spacing w:line="570" w:lineRule="exact"/>
        <w:ind w:firstLine="585"/>
        <w:jc w:val="left"/>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sz w:val="32"/>
          <w:szCs w:val="32"/>
          <w:lang w:val="en-US" w:eastAsia="zh-CN"/>
        </w:rPr>
        <w:t>5.</w:t>
      </w:r>
      <w:r>
        <w:rPr>
          <w:rFonts w:hint="eastAsia" w:ascii="CESI仿宋-GB2312" w:hAnsi="CESI仿宋-GB2312" w:eastAsia="CESI仿宋-GB2312" w:cs="CESI仿宋-GB2312"/>
          <w:sz w:val="32"/>
          <w:szCs w:val="32"/>
        </w:rPr>
        <w:t>加强惠民项目的宣传引导，实施基本公共卫生规范管理和家庭医生签约服务活动，提高群众主动参与意识与参与度，确保各项服务能够更加顺利地开展，落到实处。</w:t>
      </w:r>
    </w:p>
    <w:p>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0" w:lineRule="exact"/>
        <w:ind w:firstLine="627" w:firstLineChars="196"/>
        <w:jc w:val="both"/>
        <w:textAlignment w:val="auto"/>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b/>
          <w:kern w:val="2"/>
          <w:sz w:val="32"/>
          <w:szCs w:val="32"/>
          <w:lang w:val="en-US" w:eastAsia="zh-CN"/>
        </w:rPr>
        <w:t>6.</w:t>
      </w:r>
      <w:r>
        <w:rPr>
          <w:rFonts w:hint="eastAsia" w:ascii="CESI仿宋-GB2312" w:hAnsi="CESI仿宋-GB2312" w:eastAsia="CESI仿宋-GB2312" w:cs="CESI仿宋-GB2312"/>
          <w:kern w:val="2"/>
          <w:sz w:val="32"/>
          <w:szCs w:val="32"/>
        </w:rPr>
        <w:t>加强对基层卫生标准化建设及优质服务基层行创建活动的督导，对参与创建活动单位加大投入和技术指导力度，确保顺利达标验收。</w:t>
      </w:r>
    </w:p>
    <w:p>
      <w:pPr>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sz w:val="32"/>
          <w:szCs w:val="32"/>
          <w:lang w:val="en-US" w:eastAsia="zh-CN"/>
        </w:rPr>
        <w:t>7.</w:t>
      </w:r>
      <w:r>
        <w:rPr>
          <w:rFonts w:hint="eastAsia" w:ascii="CESI仿宋-GB2312" w:hAnsi="CESI仿宋-GB2312" w:eastAsia="CESI仿宋-GB2312" w:cs="CESI仿宋-GB2312"/>
          <w:sz w:val="32"/>
          <w:szCs w:val="32"/>
        </w:rPr>
        <w:t>规范开展培训，确保基层医务人员全面掌握相应的服务标准和技能，更好地完成项目所规定的任务，满足群众的健康需求。</w:t>
      </w: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sz w:val="32"/>
          <w:szCs w:val="32"/>
          <w:lang w:eastAsia="zh-CN"/>
        </w:rPr>
      </w:pPr>
      <w:r>
        <w:rPr>
          <w:rFonts w:hint="eastAsia" w:ascii="黑体" w:hAnsi="黑体" w:eastAsia="黑体" w:cs="黑体"/>
          <w:kern w:val="0"/>
          <w:sz w:val="32"/>
          <w:szCs w:val="32"/>
          <w:shd w:val="clear" w:color="auto" w:fill="FFFFFF"/>
          <w:lang w:val="zh-CN"/>
        </w:rPr>
        <w:t>附件</w:t>
      </w:r>
      <w:r>
        <w:rPr>
          <w:rFonts w:hint="eastAsia" w:ascii="黑体" w:hAnsi="黑体" w:eastAsia="黑体" w:cs="黑体"/>
          <w:kern w:val="0"/>
          <w:sz w:val="32"/>
          <w:szCs w:val="32"/>
          <w:shd w:val="clear" w:color="auto" w:fill="FFFFFF"/>
          <w:lang w:val="en-US" w:eastAsia="zh-CN"/>
        </w:rPr>
        <w:t>3</w:t>
      </w: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rPr>
        <w:t>专项预算</w:t>
      </w:r>
      <w:r>
        <w:rPr>
          <w:rFonts w:hint="eastAsia" w:ascii="方正小标宋_GBK" w:hAnsi="方正小标宋_GBK" w:eastAsia="方正小标宋_GBK" w:cs="方正小标宋_GBK"/>
          <w:kern w:val="2"/>
          <w:sz w:val="44"/>
          <w:szCs w:val="44"/>
          <w:lang w:val="en-US" w:eastAsia="zh-CN" w:bidi="ar"/>
        </w:rPr>
        <w:t>基本药物制度</w:t>
      </w:r>
      <w:r>
        <w:rPr>
          <w:rFonts w:hint="eastAsia" w:ascii="方正小标宋简体" w:hAnsi="方正小标宋简体" w:eastAsia="方正小标宋简体" w:cs="方正小标宋简体"/>
          <w:color w:val="auto"/>
          <w:kern w:val="2"/>
          <w:sz w:val="44"/>
          <w:szCs w:val="44"/>
          <w:lang w:val="en-US"/>
        </w:rPr>
        <w:t>项目</w:t>
      </w: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eastAsia="zh-CN"/>
        </w:rPr>
      </w:pPr>
      <w:r>
        <w:rPr>
          <w:rFonts w:hint="eastAsia" w:ascii="方正小标宋简体" w:hAnsi="方正小标宋简体" w:eastAsia="方正小标宋简体" w:cs="方正小标宋简体"/>
          <w:color w:val="auto"/>
          <w:kern w:val="2"/>
          <w:sz w:val="44"/>
          <w:szCs w:val="44"/>
          <w:lang w:val="en-US"/>
        </w:rPr>
        <w:t>绩效评价</w:t>
      </w:r>
      <w:r>
        <w:rPr>
          <w:rFonts w:hint="eastAsia" w:ascii="方正小标宋简体" w:hAnsi="方正小标宋简体" w:eastAsia="方正小标宋简体" w:cs="方正小标宋简体"/>
          <w:color w:val="auto"/>
          <w:kern w:val="2"/>
          <w:sz w:val="44"/>
          <w:szCs w:val="44"/>
          <w:lang w:val="en-US" w:eastAsia="zh-CN"/>
        </w:rPr>
        <w:t>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spacing w:line="560" w:lineRule="exact"/>
        <w:ind w:left="210" w:leftChars="100" w:firstLine="320" w:firstLineChars="100"/>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rPr>
        <w:t>1.</w:t>
      </w:r>
      <w:r>
        <w:rPr>
          <w:rFonts w:hint="eastAsia" w:ascii="CESI仿宋-GB2312" w:hAnsi="CESI仿宋-GB2312" w:eastAsia="CESI仿宋-GB2312" w:cs="CESI仿宋-GB2312"/>
          <w:b/>
          <w:bCs/>
          <w:sz w:val="32"/>
          <w:szCs w:val="32"/>
          <w:lang w:val="zh-CN"/>
        </w:rPr>
        <w:t>说明项目主管部门（单位）在该项目管理中的职能。</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县卫生健康局负责制定基本药物制度项目绩效考核方案，及时将中央和省级转移支付资金下达至项目执行单位，组织实施监督和绩效考核。</w:t>
      </w:r>
    </w:p>
    <w:p>
      <w:pPr>
        <w:adjustRightInd w:val="0"/>
        <w:snapToGrid w:val="0"/>
        <w:spacing w:line="600" w:lineRule="exact"/>
        <w:ind w:firstLine="720"/>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rPr>
        <w:t>2.</w:t>
      </w:r>
      <w:r>
        <w:rPr>
          <w:rFonts w:hint="eastAsia" w:ascii="CESI仿宋-GB2312" w:hAnsi="CESI仿宋-GB2312" w:eastAsia="CESI仿宋-GB2312" w:cs="CESI仿宋-GB2312"/>
          <w:b/>
          <w:bCs/>
          <w:sz w:val="32"/>
          <w:szCs w:val="32"/>
          <w:lang w:val="zh-CN"/>
        </w:rPr>
        <w:t>项目立项、资金申报的依据。</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加强和规范中央和省级财政支持基层医疗卫生机构实施国家基本药物制度补助资金的分配、使用和管理，根据《中</w:t>
      </w:r>
    </w:p>
    <w:p>
      <w:pPr>
        <w:spacing w:line="560" w:lineRule="exact"/>
        <w:jc w:val="left"/>
        <w:rPr>
          <w:rFonts w:hint="eastAsia" w:ascii="CESI仿宋-GB2312" w:hAnsi="CESI仿宋-GB2312" w:eastAsia="CESI仿宋-GB2312" w:cs="CESI仿宋-GB2312"/>
          <w:b w:val="0"/>
          <w:bCs/>
          <w:sz w:val="32"/>
          <w:szCs w:val="32"/>
          <w:lang w:val="en-US" w:eastAsia="zh-CN"/>
        </w:rPr>
      </w:pPr>
      <w:r>
        <w:rPr>
          <w:rFonts w:hint="eastAsia" w:ascii="CESI仿宋-GB2312" w:hAnsi="CESI仿宋-GB2312" w:eastAsia="CESI仿宋-GB2312" w:cs="CESI仿宋-GB2312"/>
          <w:b w:val="0"/>
          <w:bCs/>
          <w:sz w:val="32"/>
          <w:szCs w:val="32"/>
          <w:lang w:val="zh-CN" w:eastAsia="zh-CN"/>
        </w:rPr>
        <w:t>华人民共和国预算法》《财政部 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四川省财政厅 四川省卫生健康委员会 四川省医疗保障局 四川省中医药管理局关于印发公共卫生等5项补助资金管理办法的通知》等有关法律法规和政策文件。</w:t>
      </w:r>
    </w:p>
    <w:p>
      <w:pPr>
        <w:spacing w:line="560" w:lineRule="exact"/>
        <w:ind w:firstLine="640" w:firstLineChars="200"/>
        <w:rPr>
          <w:rFonts w:hint="eastAsia" w:ascii="CESI仿宋-GB2312" w:hAnsi="CESI仿宋-GB2312" w:eastAsia="CESI仿宋-GB2312" w:cs="CESI仿宋-GB2312"/>
          <w:b/>
          <w:bCs/>
          <w:sz w:val="32"/>
          <w:szCs w:val="32"/>
        </w:rPr>
      </w:pPr>
      <w:r>
        <w:rPr>
          <w:rFonts w:hint="eastAsia" w:ascii="CESI仿宋-GB2312" w:hAnsi="CESI仿宋-GB2312" w:eastAsia="CESI仿宋-GB2312" w:cs="CESI仿宋-GB2312"/>
          <w:b/>
          <w:bCs/>
          <w:sz w:val="32"/>
          <w:szCs w:val="32"/>
        </w:rPr>
        <w:t>3.</w:t>
      </w:r>
      <w:r>
        <w:rPr>
          <w:rFonts w:hint="eastAsia" w:ascii="CESI仿宋-GB2312" w:hAnsi="CESI仿宋-GB2312" w:eastAsia="CESI仿宋-GB2312" w:cs="CESI仿宋-GB2312"/>
          <w:b/>
          <w:bCs/>
          <w:sz w:val="32"/>
          <w:szCs w:val="32"/>
          <w:lang w:val="zh-CN"/>
        </w:rPr>
        <w:t>资金管理办法制定情况，资金支持具体项目的条件、范围与支持方式概况。</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为巩固国家基本药物制度实施成果，强化监督和考核工作，规范实施国家基本药物制度，按照《四川省卫生健康委员会办公室关于进一步加强基本药物制度绩效考核的通知》（川卫办基卫便函〔2023〕26号）《攀枝花市卫生健康委员会关于下达2023年基本药物制度绩效考核指标的通知》要求，结合全县实际，印制定了《盐边县卫生健康局关于印发基层医疗卫生机构国家基本药物制度绩效考核方案（试行）的通知》，按照客观公正，民主公开，分级考核，合理规划，科学论证，强化管理，注重实效，讲求绩效，量效挂钩的原则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w:t>
      </w:r>
    </w:p>
    <w:p>
      <w:pPr>
        <w:spacing w:line="560" w:lineRule="exact"/>
        <w:ind w:firstLine="640" w:firstLineChars="200"/>
        <w:rPr>
          <w:rFonts w:hint="eastAsia" w:ascii="CESI仿宋-GB2312" w:hAnsi="CESI仿宋-GB2312" w:eastAsia="CESI仿宋-GB2312" w:cs="CESI仿宋-GB2312"/>
          <w:b/>
          <w:bCs/>
          <w:sz w:val="32"/>
          <w:szCs w:val="32"/>
        </w:rPr>
      </w:pPr>
      <w:r>
        <w:rPr>
          <w:rFonts w:hint="eastAsia" w:ascii="CESI仿宋-GB2312" w:hAnsi="CESI仿宋-GB2312" w:eastAsia="CESI仿宋-GB2312" w:cs="CESI仿宋-GB2312"/>
          <w:b/>
          <w:bCs/>
          <w:sz w:val="32"/>
          <w:szCs w:val="32"/>
        </w:rPr>
        <w:t>4.</w:t>
      </w:r>
      <w:r>
        <w:rPr>
          <w:rFonts w:hint="eastAsia" w:ascii="CESI仿宋-GB2312" w:hAnsi="CESI仿宋-GB2312" w:eastAsia="CESI仿宋-GB2312" w:cs="CESI仿宋-GB2312"/>
          <w:b/>
          <w:bCs/>
          <w:sz w:val="32"/>
          <w:szCs w:val="32"/>
          <w:lang w:val="zh-CN"/>
        </w:rPr>
        <w:t>资金分配的原则及考虑因素。</w:t>
      </w:r>
    </w:p>
    <w:p>
      <w:pPr>
        <w:widowControl/>
        <w:adjustRightInd w:val="0"/>
        <w:snapToGrid w:val="0"/>
        <w:spacing w:line="578" w:lineRule="exact"/>
        <w:ind w:firstLine="640" w:firstLineChars="200"/>
        <w:contextualSpacing/>
        <w:jc w:val="left"/>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（1）分配原则</w:t>
      </w:r>
    </w:p>
    <w:p>
      <w:pPr>
        <w:widowControl/>
        <w:adjustRightInd w:val="0"/>
        <w:snapToGrid w:val="0"/>
        <w:spacing w:line="578" w:lineRule="exact"/>
        <w:ind w:firstLine="640" w:firstLineChars="200"/>
        <w:contextualSpacing/>
        <w:jc w:val="left"/>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合理规划，分级管理。按照医改工作总体要求及相关规划，合理分配补助资金。</w:t>
      </w:r>
    </w:p>
    <w:p>
      <w:pPr>
        <w:widowControl/>
        <w:adjustRightInd w:val="0"/>
        <w:snapToGrid w:val="0"/>
        <w:spacing w:line="578" w:lineRule="exact"/>
        <w:ind w:firstLine="640" w:firstLineChars="200"/>
        <w:contextualSpacing/>
        <w:jc w:val="left"/>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统筹安排，保障基本。结合实际工作需要，统筹安排上级转移支付资金和本级预算安排资金，支持落实相关工作任务。</w:t>
      </w:r>
    </w:p>
    <w:p>
      <w:pPr>
        <w:widowControl/>
        <w:adjustRightInd w:val="0"/>
        <w:snapToGrid w:val="0"/>
        <w:spacing w:line="578" w:lineRule="exact"/>
        <w:ind w:firstLine="640" w:firstLineChars="200"/>
        <w:contextualSpacing/>
        <w:jc w:val="left"/>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讲求绩效，量效挂钩。补助资金实施全过程预算绩效管理，建立绩效评价结果与资金分配挂钩机制，提高资金使用效益。</w:t>
      </w:r>
    </w:p>
    <w:p>
      <w:pPr>
        <w:widowControl/>
        <w:adjustRightInd w:val="0"/>
        <w:snapToGrid w:val="0"/>
        <w:spacing w:line="578" w:lineRule="exact"/>
        <w:ind w:firstLine="640" w:firstLineChars="200"/>
        <w:contextualSpacing/>
        <w:jc w:val="left"/>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（2）分配因素</w:t>
      </w:r>
    </w:p>
    <w:p>
      <w:pPr>
        <w:widowControl/>
        <w:adjustRightInd w:val="0"/>
        <w:snapToGrid w:val="0"/>
        <w:spacing w:line="578" w:lineRule="exact"/>
        <w:ind w:firstLine="640" w:firstLineChars="200"/>
        <w:contextualSpacing/>
        <w:jc w:val="left"/>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对社区卫生服务中心和乡镇卫生院，按照“核定任务、核定收支、绩效考核补助”的办法核定补助资金。其中:中央补</w:t>
      </w:r>
    </w:p>
    <w:p>
      <w:pPr>
        <w:widowControl/>
        <w:adjustRightInd w:val="0"/>
        <w:snapToGrid w:val="0"/>
        <w:spacing w:line="578" w:lineRule="exact"/>
        <w:ind w:firstLine="640" w:firstLineChars="200"/>
        <w:contextualSpacing/>
        <w:jc w:val="left"/>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助资金按照常住人口数分配，并参照绩效考核因素予以调整;省级补助资金根据常住人口数和既定补助标准据实分配。分配所需的常住人口数量为省统计局公布的第N-2年常住人口数量(N为资金下达年度)。</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CESI仿宋-GB2312" w:hAnsi="CESI仿宋-GB2312" w:eastAsia="CESI仿宋-GB2312" w:cs="CESI仿宋-GB2312"/>
          <w:b w:val="0"/>
          <w:bCs/>
          <w:sz w:val="32"/>
          <w:szCs w:val="32"/>
          <w:lang w:val="zh-CN" w:eastAsia="zh-CN"/>
        </w:rPr>
        <w:t>对村卫生室，中央补助资金按照农业人口数和村卫生室个数两个因素分配;省级转移支付资金按照村卫生室个数和补助标准两个因素分配。分配所需的农业人口数量为省统计局公布的第N-2年农业人口数量(N为资金下达年度)。</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1．项目主要内容。</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保证所有政府办基层医疗卫生机构实施国家基本药物制度，推进综合改革顺利进行。对实施国家基本药物制度的村卫生室给予补助，支持国家基本药物制度在村卫生室顺利实施。</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2．项目应实现的具体绩效目标，</w:t>
      </w:r>
      <w:r>
        <w:rPr>
          <w:rFonts w:hint="eastAsia" w:ascii="仿宋_GB2312" w:hAnsi="仿宋_GB2312" w:eastAsia="仿宋_GB2312" w:cs="仿宋_GB2312"/>
          <w:kern w:val="0"/>
          <w:sz w:val="32"/>
          <w:szCs w:val="32"/>
          <w:shd w:val="clear" w:color="auto" w:fill="FFFFFF"/>
        </w:rPr>
        <w:t>包括</w:t>
      </w:r>
      <w:r>
        <w:rPr>
          <w:rFonts w:hint="eastAsia" w:ascii="CESI仿宋-GB2312" w:hAnsi="CESI仿宋-GB2312" w:eastAsia="CESI仿宋-GB2312" w:cs="CESI仿宋-GB2312"/>
          <w:kern w:val="0"/>
          <w:sz w:val="32"/>
          <w:szCs w:val="32"/>
          <w:shd w:val="clear" w:color="auto" w:fill="FFFFFF"/>
        </w:rPr>
        <w:t>绩效</w:t>
      </w:r>
      <w:r>
        <w:rPr>
          <w:rFonts w:hint="eastAsia" w:ascii="仿宋_GB2312" w:hAnsi="仿宋_GB2312" w:eastAsia="仿宋_GB2312" w:cs="仿宋_GB2312"/>
          <w:kern w:val="0"/>
          <w:sz w:val="32"/>
          <w:szCs w:val="32"/>
          <w:shd w:val="clear" w:color="auto" w:fill="FFFFFF"/>
          <w:lang w:val="zh-CN"/>
        </w:rPr>
        <w:t>目标的量化细化情况</w:t>
      </w:r>
      <w:r>
        <w:rPr>
          <w:rFonts w:hint="eastAsia" w:ascii="仿宋_GB2312" w:hAnsi="仿宋_GB2312" w:cs="仿宋_GB2312"/>
          <w:kern w:val="0"/>
          <w:sz w:val="32"/>
          <w:szCs w:val="32"/>
          <w:shd w:val="clear" w:color="auto" w:fill="FFFFFF"/>
          <w:lang w:val="zh-CN"/>
        </w:rPr>
        <w:t>、</w:t>
      </w:r>
      <w:r>
        <w:rPr>
          <w:rFonts w:hint="eastAsia" w:ascii="仿宋_GB2312" w:hAnsi="仿宋_GB2312" w:eastAsia="仿宋_GB2312" w:cs="仿宋_GB2312"/>
          <w:kern w:val="0"/>
          <w:sz w:val="32"/>
          <w:szCs w:val="32"/>
          <w:shd w:val="clear" w:color="auto" w:fill="FFFFFF"/>
          <w:lang w:val="zh-CN"/>
        </w:rPr>
        <w:t>项目实施进度计划等。</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2023年基层医疗卫生机构和村卫生室全面实施了国家基本药物制度，依据考核方案给予了资金补助，基本药物制度在我县落地落实。</w:t>
      </w:r>
    </w:p>
    <w:p>
      <w:pPr>
        <w:widowControl/>
        <w:numPr>
          <w:ilvl w:val="0"/>
          <w:numId w:val="7"/>
        </w:numPr>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分析评价申报内容是否与实际相符，申报目标是否合理可行。</w:t>
      </w:r>
    </w:p>
    <w:p>
      <w:pPr>
        <w:widowControl/>
        <w:numPr>
          <w:ilvl w:val="0"/>
          <w:numId w:val="0"/>
        </w:numPr>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按根据开展基本药物指导工作情况分析，申报内容是与实际相符，申报目标是合理可行的。</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组织相关人员开展基本药物制度绩效考核，一是通过现场查看了解基层医疗机构和村卫生室执行基本药物“零”加价、提高群众满意度评价效益；二是利用药械平台提取基层医疗机构采购基本药物量作为量化兑现补助；三是通过乡村一体化管理由乡镇卫生院代采购村卫生室的基本药物，并监督执行及绩效考核。</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2023年度，共计下达项目资金348.82万元，其中：中央资金217.19万元，省级资金131.63万元。截止2023年12月底，已全部完成项目资金的拨付。</w:t>
      </w:r>
    </w:p>
    <w:p>
      <w:pPr>
        <w:adjustRightInd w:val="0"/>
        <w:snapToGrid w:val="0"/>
        <w:spacing w:line="578" w:lineRule="exact"/>
        <w:ind w:firstLine="720"/>
        <w:rPr>
          <w:rFonts w:ascii="仿宋_GB2312" w:hAnsi="宋体"/>
          <w:sz w:val="32"/>
          <w:szCs w:val="32"/>
          <w:lang w:val="zh-CN"/>
        </w:rPr>
      </w:pPr>
      <w:r>
        <w:rPr>
          <w:rFonts w:hint="eastAsia" w:ascii="楷体_GB2312" w:hAnsi="宋体" w:eastAsia="楷体_GB2312"/>
          <w:b/>
          <w:sz w:val="32"/>
          <w:szCs w:val="32"/>
          <w:lang w:val="zh-CN"/>
        </w:rPr>
        <w:t>（二）资金计划、到位及使用情况。</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1．资金计划。上级共下达项目资金348.82万元，全部用于基层医疗卫生机构和村卫生室开展基本药物制度。</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2．资金到位。</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2022年12月14日，印发《四川省财政厅  四川省卫生健康委员会关于提前下达2023年基本药物制度中央和省级补助资金的通知》（川财社〔2022〕153号）文件，拨付项目中央和省级资金322.81万元，其中拨付基层医疗机构130.56万元（中央资金91.18万元、省级资金39.38万元）；拨付村卫生室项目资金192.25万元（中央109.11万元、省级83.14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年6月27日，印发《四川省财政厅四川省卫生健康委员会关于下达2023年基本药物制度中央和省级补助资金的通知》（川财社〔2023〕70号）文件，拨付项目中央和省级资金26.01万元，其中拨付基层医疗机构中央资金14.78万元；拨付村卫生室11.23万元（中央资金2.12万元，省级资金9.11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资金使用。2023年基本药物补助资金348.82万元，按照客观公正，民主公开，分级考核，合理规划，科学论证，强化管理，注重实效，讲求绩效，量效挂钩的原则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制定《盐边县卫生健康局关于印发基层医疗卫生机构国家基本药物制度绩效考核方案（试行）的通知》，科学分配补助资金给基层医疗机构和村卫生室。</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县财政局、县卫生健康局及我县相关基层医疗机构严格按照全面实施预算绩效管理的要求，强化绩效目标管理，做好本地区补助资金监督检查和绩效评价工作，并加强结果应用，确保提高补助资金配置效率和使用效益。县卫生健康部门负责项目业务指导和管理，并对项目执行情况开展每年一次的绩效评价。</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通过上述分配原则和因素，由县卫生健康局党组研究决定后分配项目资金给基层医疗机构组织实施。</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（二）项目管理情况。</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仿宋_GB2312" w:hAnsi="仿宋_GB2312" w:eastAsia="仿宋_GB2312" w:cs="仿宋_GB2312"/>
          <w:kern w:val="0"/>
          <w:sz w:val="32"/>
          <w:szCs w:val="32"/>
          <w:shd w:val="clear" w:color="auto" w:fill="FFFFFF"/>
          <w:lang w:val="zh-CN"/>
        </w:rPr>
        <w:t>根据《四川省财政厅 四川省卫生健康委员会 四川省医疗保障局 四川省中医药管理局关于印发公共卫生等5项补助资金管理办法的通知》（川财社〔2022〕112号）中《四川省基本药物制度补助资金管理办法》严格执行项目管理。</w:t>
      </w:r>
      <w:r>
        <w:rPr>
          <w:rFonts w:hint="eastAsia" w:ascii="楷体_GB2312" w:hAnsi="宋体" w:eastAsia="楷体_GB2312"/>
          <w:b/>
          <w:sz w:val="32"/>
          <w:szCs w:val="32"/>
          <w:lang w:val="zh-CN"/>
        </w:rPr>
        <w:t>（三）项目监管情况。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按照《盐边县卫生健康局关于印发基层医疗卫生机构国家基本药物制度绩效考核方案（试行）的通知》要求，县卫生健康局负责对基层医疗卫生机构进行考核，基层医疗卫生机构负责对本辖区内村卫生室进行考核，县卫生健康局按照每个乡（镇）村卫生室不低于20%的比例进行抽查复核。按照半年一次的频次开展考核，半年考核与年终考核各占50%比例进行最终核算，考核结果与补助资金直接挂钩。</w:t>
      </w:r>
    </w:p>
    <w:p>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2023年，我县兑现基本药物补助的基层医疗机构为13家，100%政府办基层医疗卫生机构实施国家基本药物制度；村卫生室执行基本药物制度142家，村卫生室实施国家基本药物制度覆盖率100%。基层医疗卫生机构“优质服务基层行”活动开展评价机构数比例为100%，达到基本标准11家，2家达到推荐标准，达标率为100%。</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adjustRightInd w:val="0"/>
        <w:snapToGrid w:val="0"/>
        <w:spacing w:line="578" w:lineRule="exact"/>
        <w:ind w:firstLine="720"/>
        <w:rPr>
          <w:rFonts w:ascii="黑体" w:hAnsi="宋体" w:eastAsia="黑体"/>
          <w:sz w:val="32"/>
          <w:szCs w:val="32"/>
        </w:rPr>
      </w:pPr>
      <w:r>
        <w:rPr>
          <w:rFonts w:hint="eastAsia" w:ascii="仿宋_GB2312" w:hAnsi="仿宋_GB2312" w:eastAsia="仿宋_GB2312" w:cs="仿宋_GB2312"/>
          <w:kern w:val="0"/>
          <w:sz w:val="32"/>
          <w:szCs w:val="32"/>
          <w:shd w:val="clear" w:color="auto" w:fill="FFFFFF"/>
        </w:rPr>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22023年基本药物补助资金项目在卫生健康局的统筹安排下，在财政部门的支持下，通过项目单位（基层医疗机构）共同努力下达到支持基层医疗卫生机构实施国家基本药物制度的目的。社区卫生服务中心和乡镇卫生院，弥补核定收支后的经常性收支差额补助、推进基层医疗卫生机构综合改革等符合政府卫生投入政策落地见效。实施基本药物制度的村卫生室，乡村医生的收入补助得到提高。基层医疗机构的就医环境、服务能力、服务流程进一步改善，人民群众的获得感和满意度进一步提升，基层医疗机构医防结合能力得到加强。</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由于我县开展区域规划撤乡并镇、强村并组工作，原有的行政村撤并减少，村医去留是个大问题，导致积极性不高，落实基本药物制度不到位。</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基层医疗机构基本药物挂网采购价格普遍较高，药店和社会办医在药品销售上占一定的优势，人民群众对政府举办的基层医疗机构药品价格产生质疑。</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pStyle w:val="6"/>
        <w:ind w:firstLine="640" w:firstLineChars="200"/>
        <w:rPr>
          <w:rFonts w:hint="default" w:ascii="Times New Roman" w:hAnsi="Times New Roman" w:eastAsia="方正仿宋_GBK" w:cs="Times New Roman"/>
          <w:b/>
          <w:bCs w:val="0"/>
          <w:sz w:val="32"/>
          <w:szCs w:val="32"/>
          <w:lang w:val="en-US" w:eastAsia="zh-CN"/>
        </w:rPr>
      </w:pPr>
      <w:r>
        <w:rPr>
          <w:rFonts w:hint="eastAsia" w:ascii="CESI仿宋-GB2312" w:hAnsi="CESI仿宋-GB2312" w:eastAsia="CESI仿宋-GB2312" w:cs="CESI仿宋-GB2312"/>
          <w:b w:val="0"/>
          <w:bCs/>
          <w:sz w:val="32"/>
          <w:szCs w:val="32"/>
          <w:lang w:val="en-US" w:eastAsia="zh-CN"/>
        </w:rPr>
        <w:t>下一步将充分结合自身的情况，一是强弱项，补短板，积极争取政府的支持，科学设置村卫生室，形成稳定的村卫生室稳定的村医收入，确保人民群众能就近就医，为乡村振兴提高良好的农村医疗环境；二是充分利用我县县域紧密型医共体试点县的契机，科学谋划，统筹考虑，在医共体政策体系更加完善，保障机制更加健全，建成目标明确、权责清晰、分工协作、有效运行的整合型医疗卫生体系上将基本药物制度在基层医疗机构落地落实，彻底解除以药补医机制，力促基层门急诊人次和住院人次占比较前一年度有所提升，基层开展技术、项目的能力不断增加，基本实现“大病不出县、小病不出乡（镇）”。</w:t>
      </w: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kern w:val="0"/>
          <w:sz w:val="32"/>
          <w:szCs w:val="32"/>
          <w:shd w:val="clear" w:color="auto" w:fill="FFFFFF"/>
          <w:lang w:val="zh-CN"/>
        </w:rPr>
      </w:pPr>
    </w:p>
    <w:p>
      <w:pPr>
        <w:pStyle w:val="6"/>
        <w:rPr>
          <w:rFonts w:hint="eastAsia" w:ascii="黑体" w:hAnsi="黑体" w:eastAsia="黑体" w:cs="黑体"/>
          <w:sz w:val="32"/>
          <w:szCs w:val="32"/>
          <w:lang w:eastAsia="zh-CN"/>
        </w:rPr>
      </w:pPr>
      <w:r>
        <w:rPr>
          <w:rFonts w:hint="eastAsia" w:ascii="黑体" w:hAnsi="黑体" w:eastAsia="黑体" w:cs="黑体"/>
          <w:kern w:val="0"/>
          <w:sz w:val="32"/>
          <w:szCs w:val="32"/>
          <w:shd w:val="clear" w:color="auto" w:fill="FFFFFF"/>
          <w:lang w:val="zh-CN"/>
        </w:rPr>
        <w:t>附件</w:t>
      </w:r>
      <w:r>
        <w:rPr>
          <w:rFonts w:hint="eastAsia" w:ascii="黑体" w:hAnsi="黑体" w:eastAsia="黑体" w:cs="黑体"/>
          <w:kern w:val="0"/>
          <w:sz w:val="32"/>
          <w:szCs w:val="32"/>
          <w:shd w:val="clear" w:color="auto" w:fill="FFFFFF"/>
          <w:lang w:val="en-US" w:eastAsia="zh-CN"/>
        </w:rPr>
        <w:t>4</w:t>
      </w: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ascii="Times New Roman" w:hAnsi="Times New Roman" w:eastAsia="方正小标宋简体"/>
          <w:color w:val="auto"/>
          <w:kern w:val="2"/>
          <w:sz w:val="40"/>
          <w:szCs w:val="40"/>
        </w:rPr>
      </w:pPr>
      <w:r>
        <w:rPr>
          <w:rFonts w:hint="eastAsia" w:ascii="方正小标宋简体" w:hAnsi="方正小标宋简体" w:eastAsia="方正小标宋简体" w:cs="方正小标宋简体"/>
          <w:color w:val="auto"/>
          <w:kern w:val="2"/>
          <w:sz w:val="44"/>
          <w:szCs w:val="44"/>
          <w:lang w:val="en-US"/>
        </w:rPr>
        <w:t>专项预算</w:t>
      </w:r>
      <w:r>
        <w:rPr>
          <w:rFonts w:hint="eastAsia" w:ascii="Times New Roman" w:hAnsi="Times New Roman" w:eastAsia="方正小标宋简体"/>
          <w:color w:val="auto"/>
          <w:kern w:val="2"/>
          <w:sz w:val="40"/>
          <w:szCs w:val="40"/>
          <w:lang w:eastAsia="zh-CN"/>
        </w:rPr>
        <w:t>计划生育转移支付资金</w:t>
      </w:r>
      <w:r>
        <w:rPr>
          <w:rFonts w:ascii="Times New Roman" w:hAnsi="Times New Roman" w:eastAsia="方正小标宋简体"/>
          <w:color w:val="auto"/>
          <w:kern w:val="2"/>
          <w:sz w:val="40"/>
          <w:szCs w:val="40"/>
        </w:rPr>
        <w:t>项目</w:t>
      </w: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eastAsia="zh-CN"/>
        </w:rPr>
      </w:pPr>
      <w:r>
        <w:rPr>
          <w:rFonts w:hint="eastAsia" w:ascii="方正小标宋简体" w:hAnsi="方正小标宋简体" w:eastAsia="方正小标宋简体" w:cs="方正小标宋简体"/>
          <w:color w:val="auto"/>
          <w:kern w:val="2"/>
          <w:sz w:val="44"/>
          <w:szCs w:val="44"/>
          <w:lang w:val="en-US"/>
        </w:rPr>
        <w:t>绩效评价</w:t>
      </w:r>
      <w:r>
        <w:rPr>
          <w:rFonts w:hint="eastAsia" w:ascii="方正小标宋简体" w:hAnsi="方正小标宋简体" w:eastAsia="方正小标宋简体" w:cs="方正小标宋简体"/>
          <w:color w:val="auto"/>
          <w:kern w:val="2"/>
          <w:sz w:val="44"/>
          <w:szCs w:val="44"/>
          <w:lang w:val="en-US" w:eastAsia="zh-CN"/>
        </w:rPr>
        <w:t>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spacing w:line="560" w:lineRule="exact"/>
        <w:ind w:left="210" w:leftChars="100" w:firstLine="320" w:firstLineChars="100"/>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rPr>
        <w:t>1.</w:t>
      </w:r>
      <w:r>
        <w:rPr>
          <w:rFonts w:hint="eastAsia" w:ascii="CESI仿宋-GB2312" w:hAnsi="CESI仿宋-GB2312" w:eastAsia="CESI仿宋-GB2312" w:cs="CESI仿宋-GB2312"/>
          <w:b/>
          <w:bCs/>
          <w:sz w:val="32"/>
          <w:szCs w:val="32"/>
          <w:lang w:val="zh-CN"/>
        </w:rPr>
        <w:t>说明项目主管部门（单位）在该项目管理中的职能。</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县卫生健康局贯彻执行党和国家关于卫生健康工作方针、政策与法律法规以及县委、县政府关于卫生健康方面的决策部署，指导全县各乡镇有序开展卫生健康工作。</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 xml:space="preserve">计划生育服务项目主要涉及农村部分计划生育家庭奖励扶助制度和计划生育家庭特别扶助制度，奖励扶助政策是全国性计划生育利益导向重要政策制度。该政策从2005起开始执行，现已全面推行。主要受益群众为农村部分计划生育家庭。特别扶助政策是促进社会主义和谐社会建设，积极做好关爱关怀失独家庭工作，利于缓解独生子女伤残死亡家庭的实际困难，利于促进人口和计划生育工作向依法管理和利益导向政策转变，利于完善社会保障制度，体现社会公平。  </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实行农村部分计划生育家庭奖励扶助制度和计划生育家庭特别扶助制度缓解了农村计划生育家庭、计划生育特别扶助家庭在生产生活和养老方面的特殊困难，有利于促进人口老龄化问题的解决，促进人口与经济，社会协调发展和可持续发展。县卫生健康局管理职能是结合实际指导基层，层层开展培训，熟练掌握扶助制度各项工作流程，严格执行工作规范，确保工作质量。进一步加强监管，切实落实质量抽查和县级复查确认，严格遵守资金发放管理规范，确保资格准确无误，及时配套各级资金确保资金及时足额发放到位，接受社会举报和监督。</w:t>
      </w:r>
    </w:p>
    <w:p>
      <w:pPr>
        <w:adjustRightInd w:val="0"/>
        <w:snapToGrid w:val="0"/>
        <w:spacing w:line="600" w:lineRule="exact"/>
        <w:ind w:firstLine="720"/>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rPr>
        <w:t>2.</w:t>
      </w:r>
      <w:r>
        <w:rPr>
          <w:rFonts w:hint="eastAsia" w:ascii="CESI仿宋-GB2312" w:hAnsi="CESI仿宋-GB2312" w:eastAsia="CESI仿宋-GB2312" w:cs="CESI仿宋-GB2312"/>
          <w:b/>
          <w:bCs/>
          <w:sz w:val="32"/>
          <w:szCs w:val="32"/>
          <w:lang w:val="zh-CN"/>
        </w:rPr>
        <w:t>项目立项、资金申报的依据。</w:t>
      </w:r>
    </w:p>
    <w:p>
      <w:pPr>
        <w:spacing w:line="560" w:lineRule="exact"/>
        <w:ind w:firstLine="640" w:firstLineChars="200"/>
        <w:rPr>
          <w:rFonts w:hint="eastAsia" w:ascii="CESI仿宋-GB2312" w:hAnsi="CESI仿宋-GB2312" w:eastAsia="CESI仿宋-GB2312" w:cs="CESI仿宋-GB2312"/>
          <w:b w:val="0"/>
          <w:bCs/>
          <w:sz w:val="32"/>
          <w:szCs w:val="32"/>
          <w:lang w:val="en-US" w:eastAsia="zh-CN"/>
        </w:rPr>
      </w:pPr>
      <w:r>
        <w:rPr>
          <w:rFonts w:hint="eastAsia" w:ascii="CESI仿宋-GB2312" w:hAnsi="CESI仿宋-GB2312" w:eastAsia="CESI仿宋-GB2312" w:cs="CESI仿宋-GB2312"/>
          <w:b w:val="0"/>
          <w:bCs/>
          <w:sz w:val="32"/>
          <w:szCs w:val="32"/>
          <w:lang w:val="zh-CN" w:eastAsia="zh-CN"/>
        </w:rPr>
        <w:t>根据《财政部 人口计生委关于调整全国农村部分计划生育家庭奖励扶助和计划生育家庭特别扶助标准的通知》（财教〔2011〕623号）、《国家人口计生委财政部关于将三级以上计划生育手术并发症人员纳人计划生育家庭特别扶助制度的通知》（人口政法〔2011〕62号）、《四川省人民政府办公厅转发省人口计生委省财政厅关于开展农村部分计划生育家庭实行奖励扶助制度试点工作实施意见的通知》（川办发〔2004〕25号）、《四川省人口和计划生育委员会关于做好2008年农村计划生育家庭奖励扶助工作的通知》（川人口发〔2007〕27号）、《四川省人口和计划生育委员会关于印发〈四川省农村计划生育家庭奖励扶助制度信息管理规范（试行）〉的通知》（川人口发〔2008〕 22号）、《四川省卫生健康委员会关于农村部分计划生育家庭奖励扶助政策的实施意见》（川卫规〔2022〕1号）进行项目立项；根据《财政部人口计生委关于调整全国农村部分计划生育家庭奖励扶助和计划生育家庭特别扶助标准的通知》（财教〔2011〕623号）、《财政厅 省卫生健康委关于提高计划生育家庭特别扶助制度扶助标准的通知》（川财社〔2022〕48号）、《省财政厅 省人口和计划生育委员会关于调整独生子女父母奖励金发放标准的通知》（川财教〔2013〕22号）、文件，开展项目资金申报。</w:t>
      </w:r>
    </w:p>
    <w:p>
      <w:pPr>
        <w:spacing w:line="560" w:lineRule="exact"/>
        <w:ind w:firstLine="640" w:firstLineChars="200"/>
        <w:rPr>
          <w:rFonts w:hint="eastAsia" w:ascii="CESI仿宋-GB2312" w:hAnsi="CESI仿宋-GB2312" w:eastAsia="CESI仿宋-GB2312" w:cs="CESI仿宋-GB2312"/>
          <w:b/>
          <w:bCs/>
          <w:sz w:val="32"/>
          <w:szCs w:val="32"/>
        </w:rPr>
      </w:pPr>
      <w:r>
        <w:rPr>
          <w:rFonts w:hint="eastAsia" w:ascii="CESI仿宋-GB2312" w:hAnsi="CESI仿宋-GB2312" w:eastAsia="CESI仿宋-GB2312" w:cs="CESI仿宋-GB2312"/>
          <w:b/>
          <w:bCs/>
          <w:sz w:val="32"/>
          <w:szCs w:val="32"/>
        </w:rPr>
        <w:t>3.</w:t>
      </w:r>
      <w:r>
        <w:rPr>
          <w:rFonts w:hint="eastAsia" w:ascii="CESI仿宋-GB2312" w:hAnsi="CESI仿宋-GB2312" w:eastAsia="CESI仿宋-GB2312" w:cs="CESI仿宋-GB2312"/>
          <w:b/>
          <w:bCs/>
          <w:sz w:val="32"/>
          <w:szCs w:val="32"/>
          <w:lang w:val="zh-CN"/>
        </w:rPr>
        <w:t>资金管理办法制定情况，资金支持具体项目的条件、范围与支持方式概况。</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计划生育奖励扶助补助资金根据《财政部国家卫生健康委国家医保局国家中医药局国家疾控局关于修订基本公共卫生服务等5项补助资金管理办法的通知》以及《四川省财政厅四川省卫生和计划生育委员会关于印发〈四川省计划生育服务补助资金管理办法〉的通知》（川财社〔2016〕72号）文件，对符合规范的人群、机构落实财政补助政策的补助，市县级执行国家、省级补助资金管理办法，未再单独制定补助资金管理办法。</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农村部分计划生育家庭奖励扶助对象应是同时具备以下基本条件的已婚农村居民：（1）本人为农村居民户口或界定为农村居民户口，且户口在本乡（镇、街道）。（2）本人或配偶曾经生育子女，本人及配偶没有违反计划生育法规和政策规定生育。（3）本人及配偶现存一个子女，或现存两个女孩，或子女死亡现无子女。（4）1933年1月1日以后出生，男性年满60周岁，女性年满58周岁（58-59岁女性由省按照国家农村计划生育家庭奖励扶助标准予以奖励，年满60周岁后纳入国家农村计划生育家庭奖励扶助范围）（5）奖励扶助标准：每人每月80元，即全年960元/年。（6）所需经费实行各级财政分级负担解决。</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计划生育家庭特别扶助制度扶助的对象是：四川省户籍人口中独生子女死亡或伤、病残后未再生育或收养子女家庭的夫妻。扶助对象应同时符合以下条件：（1）应在1933年1月1日以后出生，女方须年满49周岁。（2）只生育一个子女或合法收养一个子女。（3）现无存活子女或独生子女被依法鉴定为残疾（伤残达到三级以上）。</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计划生育并发症人员纳入特别扶助制度的基本政策对象条件：纳入特扶助制度的井发症人员应同时具备以下条件，（1）施行了计划生育手术。（2）按规定鉴定为三级以上的并发症。（3）并发症尚未治愈或康复。</w:t>
      </w:r>
    </w:p>
    <w:p>
      <w:pPr>
        <w:spacing w:line="560" w:lineRule="exact"/>
        <w:ind w:firstLine="640" w:firstLineChars="20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独生子女父母奖励金为：领取《独生子女父母光荣证》之月起，发至其独生子女满十八周岁止，我市独生子女父母奖励金标准为每对夫妇每年不低于120元。是给独生子女父母的一种奖励政策。</w:t>
      </w:r>
    </w:p>
    <w:p>
      <w:pPr>
        <w:spacing w:line="560" w:lineRule="exact"/>
        <w:ind w:firstLine="640" w:firstLineChars="200"/>
        <w:rPr>
          <w:rFonts w:hint="eastAsia" w:ascii="CESI仿宋-GB2312" w:hAnsi="CESI仿宋-GB2312" w:eastAsia="CESI仿宋-GB2312" w:cs="CESI仿宋-GB2312"/>
          <w:b/>
          <w:bCs/>
          <w:sz w:val="32"/>
          <w:szCs w:val="32"/>
        </w:rPr>
      </w:pPr>
      <w:r>
        <w:rPr>
          <w:rFonts w:hint="eastAsia" w:ascii="CESI仿宋-GB2312" w:hAnsi="CESI仿宋-GB2312" w:eastAsia="CESI仿宋-GB2312" w:cs="CESI仿宋-GB2312"/>
          <w:b/>
          <w:bCs/>
          <w:sz w:val="32"/>
          <w:szCs w:val="32"/>
        </w:rPr>
        <w:t>4.</w:t>
      </w:r>
      <w:r>
        <w:rPr>
          <w:rFonts w:hint="eastAsia" w:ascii="CESI仿宋-GB2312" w:hAnsi="CESI仿宋-GB2312" w:eastAsia="CESI仿宋-GB2312" w:cs="CESI仿宋-GB2312"/>
          <w:b/>
          <w:bCs/>
          <w:sz w:val="32"/>
          <w:szCs w:val="32"/>
          <w:lang w:val="zh-CN"/>
        </w:rPr>
        <w:t>资金分配的原则及考虑因素。</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农村部分计划生育家庭奖励扶助每月80元标准；特别扶助制度对象子女死亡1000元/月、子女伤残790元/月；二级手术并发症490元/月、三级手术并发症260元/月；独生子女父母奖励金标准为每对夫妇每年不低于120元。农村部分计划生育家庭奖励扶助、特别扶助制度对象扶助标准根据国家标准和省定标准，由省、市、县三级财政共同负担，列入年度财政预算。其中国家标准所需经费由中央承担80%，省级承担16%，县级承担4%；省定标准所需经费由省级承担45%，县级承担55%。独生子女父母奖励金省级每人12.5元，县级每人47.5元。我县在实施计划生育奖励扶助、特别扶助、独生子女父母奖励过程中，严格实行“四权分离”管理机制（即将行政、立法、司法和监察四个权力分别独立运作，相互制约，以保证政策稳定和公正），资金分配原则按照年度审核的实际人数进行分配，需要考虑人员资格退出、死亡退出等因素。</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1．项目主要内容。</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总体目标：（1）实施农村部分计划生育家庭奖励扶助制度，解决3104人农村独生子女和双女家庭养老问题，全年计划发放资金297.984万元。（2）落实计划生育家庭特别扶助制度目标人数174人（其中伤残家庭32人，死亡家庭142人），全年计划发放资金200.736万元。（3）计划生育特别扶助其他1799人，全年计划发放资金562.392万元。（4）独生子女父母奖励金923人，全年计划发放资金5.262万元。（5）独生子女伤残夭折父母养老保险1人，计划资金1.0149万元；（6）独生子女伤残夭折父母定期扶助8人，1.6万元；（7）特别扶助交通补贴资金174人，计划发放资金12.528万元；（8）计划生育特别扶助（其他）人员县级补助12.0431万元。专项资金按制度及时发放给符合条件的对象，体现了政府对计划生育家庭的关怀，有效促进了社会和谐稳定。2．项目应实现的具体绩效目标，</w:t>
      </w:r>
      <w:r>
        <w:rPr>
          <w:rFonts w:hint="eastAsia" w:ascii="仿宋_GB2312" w:hAnsi="仿宋_GB2312" w:eastAsia="仿宋_GB2312" w:cs="仿宋_GB2312"/>
          <w:kern w:val="0"/>
          <w:sz w:val="32"/>
          <w:szCs w:val="32"/>
          <w:shd w:val="clear" w:color="auto" w:fill="FFFFFF"/>
        </w:rPr>
        <w:t>包括</w:t>
      </w:r>
      <w:r>
        <w:rPr>
          <w:rFonts w:hint="eastAsia" w:ascii="CESI仿宋-GB2312" w:hAnsi="CESI仿宋-GB2312" w:eastAsia="CESI仿宋-GB2312" w:cs="CESI仿宋-GB2312"/>
          <w:kern w:val="0"/>
          <w:sz w:val="32"/>
          <w:szCs w:val="32"/>
          <w:shd w:val="clear" w:color="auto" w:fill="FFFFFF"/>
        </w:rPr>
        <w:t>绩效</w:t>
      </w:r>
      <w:r>
        <w:rPr>
          <w:rFonts w:hint="eastAsia" w:ascii="仿宋_GB2312" w:hAnsi="仿宋_GB2312" w:eastAsia="仿宋_GB2312" w:cs="仿宋_GB2312"/>
          <w:kern w:val="0"/>
          <w:sz w:val="32"/>
          <w:szCs w:val="32"/>
          <w:shd w:val="clear" w:color="auto" w:fill="FFFFFF"/>
          <w:lang w:val="zh-CN"/>
        </w:rPr>
        <w:t>目标的量化细化情况</w:t>
      </w:r>
      <w:r>
        <w:rPr>
          <w:rFonts w:hint="eastAsia" w:ascii="仿宋_GB2312" w:hAnsi="仿宋_GB2312" w:cs="仿宋_GB2312"/>
          <w:kern w:val="0"/>
          <w:sz w:val="32"/>
          <w:szCs w:val="32"/>
          <w:shd w:val="clear" w:color="auto" w:fill="FFFFFF"/>
          <w:lang w:val="zh-CN"/>
        </w:rPr>
        <w:t>、</w:t>
      </w:r>
      <w:r>
        <w:rPr>
          <w:rFonts w:hint="eastAsia" w:ascii="仿宋_GB2312" w:hAnsi="仿宋_GB2312" w:eastAsia="仿宋_GB2312" w:cs="仿宋_GB2312"/>
          <w:kern w:val="0"/>
          <w:sz w:val="32"/>
          <w:szCs w:val="32"/>
          <w:shd w:val="clear" w:color="auto" w:fill="FFFFFF"/>
          <w:lang w:val="zh-CN"/>
        </w:rPr>
        <w:t>项目实施进度计划等。</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（1）2023年上报农村部分计划生育家庭3104人，实际支付农村计划生育家庭奖励扶助对象3102人，执行标准为960元/人/年，共支付资金297.792万元（未支付2人，原因：2人因省级复核户籍农转非不符退出未拨付）。</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2023年上报计划生育特别扶助家庭174人，实际支付计划生育特别扶助家庭173人，其中子女死亡141人（执行标准1000元/月），子女伤残32人（790元/月），共支付资金199.536万元。（未支付1人，原因：独生子女死亡扶助对象陈泽连因死亡销户时间为2022年11月，未拨付2023年扶助金。）</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2023年上报计划生育手术并发症人员174人，实际支付计划生育手术并发症人员1798人（二级4人，三级1794人），二级人员执行标准490元/月；三级人员执行标准260元/月，共计支付资金562.08万元。（未支付1人，原因：李春云户籍已迁入遂宁市，未发放资金。）</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（4）2023年实际支付独生子女父母奖励金人员923人，执行标准5元/月/人，共计发放资金5.262万元。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6）评价时间安排：12月-1月确认扶助对象录入“四川省计划生育奖特扶系统”情况，开展资格审查；2月扶助对象县级复核工作完成，统计符合条件人员的组卷审核、资格年审确认工作的情况；6月-11月资金发放到位情况。</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7）项目产出情况：农村部分计划生育家庭奖励扶助执行2008年国家标准及四川省标准，即每人每年960元；特别扶助制度对象子女死亡12000元/年、子女伤残9480元/年；二级手术并发症5880元/年、三级手术并发症3120元/年；独生子女父母奖励金标准为5元/月/人。</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（8）项目效益情况：每年11月底前完成符合条件扶助对象资金发放。</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3．分析评价申报内容是否与实际相符，申报目标是否合理可行。</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农村部分计划生育家庭奖励扶助新增对象全部进行资格认定，并通过“三级”审核、“三级”公示、群众举报、社会监督等措施，确保政策执行的公平性。已申报的历年奖励扶助、特别扶助、手术并发症、独生子女父母奖励金享受对象每年1月进行资格条件年审，确保申报内容与实际相符，并建立完善基本的信息档案，各项扶助资金及时足额发放。计划生育项目申报内容与实际相符，申报目标合理可行。</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通过查阅资料、入户走访、系统信息比对等方式，对所有奖特扶对象的资格确认进行逐一核查。采取窗口年审的核查方式，正常享受对象到户籍所在地乡（镇）社会事务办公室或乡（镇）便民服务中心计生窗口接受年审；对没有到窗口来办理的体弱多病、行走不便等特殊年审对象，按照窗口年审规范进行入户年审调查；对外出不在家、看病或随子女在外生活的对象，采取微信、视频等形式进行年审。对核查后发现人员资格确认有误的，督促乡（镇）及时在系统进行人员退出，清退涉及资金后缴存县级财政部门。同时，加强政策的学习，强抓业务培训，提升服务能力。</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年盐边县卫生健康局《关于盐边县2023年农村计划生育家庭奖励扶助、特别扶助对象审批结果的报告》（盐边卫〔2023〕11号）上报2023年年度农村计划生育家庭奖励扶助对象、特别扶助对象资格确认人数，并纳入预算申报。</w:t>
      </w:r>
    </w:p>
    <w:p>
      <w:pPr>
        <w:adjustRightInd w:val="0"/>
        <w:snapToGrid w:val="0"/>
        <w:spacing w:line="578" w:lineRule="exact"/>
        <w:ind w:firstLine="720"/>
        <w:rPr>
          <w:rFonts w:ascii="仿宋_GB2312" w:hAnsi="宋体"/>
          <w:sz w:val="32"/>
          <w:szCs w:val="32"/>
          <w:lang w:val="zh-CN"/>
        </w:rPr>
      </w:pPr>
      <w:r>
        <w:rPr>
          <w:rFonts w:hint="eastAsia" w:ascii="楷体_GB2312" w:hAnsi="宋体" w:eastAsia="楷体_GB2312"/>
          <w:b/>
          <w:sz w:val="32"/>
          <w:szCs w:val="32"/>
          <w:lang w:val="zh-CN"/>
        </w:rPr>
        <w:t>（二）资金计划、到位及使用情况。</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资金计划。2023年农村计划生育家庭奖励扶助对象3104人、计划生育特别扶助家庭174人、计划生育手术并发症人员1799人、独生子女父母奖励金奖励人员923人。根据省定标准，由省、市、县三级财政共同负担，列入年度财政预算。2023年计划生育家庭扶助项目补助资金到位1093.56万元，其中：中央资金756.54万元，省级资金203.5万元，县级资金133.52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2．资金到位。</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根据《省财政厅省卫健委关于提前下达2023年计划生育服务中央和省级补助资金的通知》(川财社〔2022〕154号)安排资金635万元（其中中央资金492万元，省级资金143万元）、《四川省财政厅四川省卫生健康委员会关于下达2023年计划生育服务中央和省级补助资金的通知》（川财社〔2023〕74号）安排资金325.04万元（其中中央资金264.54万元，省级资金60.5万元）、《县财政局关于印发2023年部门预算批复的通知》（盐边财政〔2023〕8号）安排县级资金133.52万元。各级配套到位各级资金共计1093.56万元。</w:t>
      </w:r>
    </w:p>
    <w:p>
      <w:pPr>
        <w:widowControl/>
        <w:numPr>
          <w:ilvl w:val="0"/>
          <w:numId w:val="7"/>
        </w:numPr>
        <w:adjustRightInd w:val="0"/>
        <w:snapToGrid w:val="0"/>
        <w:spacing w:line="578" w:lineRule="exact"/>
        <w:ind w:left="0" w:leftChars="0"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资金使用。</w:t>
      </w:r>
    </w:p>
    <w:p>
      <w:pPr>
        <w:widowControl/>
        <w:numPr>
          <w:ilvl w:val="0"/>
          <w:numId w:val="0"/>
        </w:numPr>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2023计划生育家庭扶助金按制度、按程序发放给提出申请且符合条件的计划生育家庭。</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（1）2023年实际支付农村计划生育家庭奖励扶助对象3102人，执行标准为960元/人/年，共支付资金297.792万元（未支付原因：2人因户籍农转非省级系统复核退出未拨付）。</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（2）2023年实际支付计划生育特别扶助家庭173人，其中子女死亡141人（执行标准1000元/月），子女伤残32人（执行标准790元/月），共支付资金199.536万元。 （未支付原因：子女死亡扶助对象陈泽连销户时间在2022年，予以退出未拨付。）</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2023年实际支付计划生育手术并发症人员1798人（二级4人，三级1794人），二级人员执行标准490元/月；三级人员执行标准260元/月，共计支付资金562.08万元。（未支付原因：共和乡李春云因户籍迁入遂宁市予以退出，未发放资金。）</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（4）2023年实际支付独生子女父母奖励金人员923人，执行标准5元/月/人，共计发放资金5.262万元。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计划生育家庭扶助金、独生子女父母奖励金已按要求于2023年11月底前全部通过“四川省计划生育奖特扶系统”推送系统人员至“一卡通系统”，拨付到本人社保卡，符合发放但死亡无卡或社保卡注销的通过特殊备案方式发放，由乡镇、村社监督签订社保卡代领协议，确保享受人员领取使用（死亡人员由继承人领取），资金发放安全合法。</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计划生育扶助资金、独生子女父母奖励金实行“财政专项、封闭运行、委托发放、专款专用”的管理制度，实行专款专用，专账核算。财务管理制度健全，执行情况良好，严格按照财务制度实施，会计核算规范，及时拨付资金，无违反财务管理、财务纪律情况发生。</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农村部分计划生育家庭奖励扶助、计划生育特别扶助制度工作规范按照宣传工作，窗口申报、年审受理，乡村联合核查，乡级初审、乡级公示、县级复查确认、市级质量抽查，档案管理工作等五个环节，通过广泛宣传，切实抓好奖扶政策的宣传引导工作，让群众了解奖励的对象、扶助的标准，以及资格确认、资金发放的具体程序，增加政策执行透明度，并对重点人群发放《宣传告知单》，实施重点宣传。经乡级初审、乡级奖扶公示、县级复查确认、市级质量抽查，符合条件的纳入享受对象。已享受农村部分计划生育家庭奖励扶助、计划生育特别扶助制度、计划生育特别扶助手术并发症、独生子女父母奖励金对象每年到户籍所在地乡（镇、街道）卫生计生办或乡（镇、街道）便民服务中心计生窗口接受年审。</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 xml:space="preserve">每年4月至12月，申报人到户籍所在地乡（镇）卫生健康部门进行申报，提交相关申报资料。乡（镇）系统操作员进行信息采集、系统录入，通过系统打印《申报表》2份，申报人核对《申报表》内容，无误后签名、盖指模，口头告知申报人申报受理完毕，并做“目标人群对象见面调查表”。  </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由乡、村两级干部组成调查组，携带《申报表》开展入户调查，对每个申报对象调查走访知情群众不少于3人，重点询问调查对象婚姻史、生育史、节育史、收养史、户籍、居住地等情况，核实申报信息，请知情群众在《申报表》“知情群众签名”处签字。调查结束后核查人员在《申报表》“核查意见”签署意见并签名，村级盖章。（简易程序由乡、村两级干部进村入户核查对象申报信息真实性、完整性，核查人员在申报表核查情况栏签署意见并签名，村级盖章。)</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由乡（镇）分管卫生健康工作领导、卫生健康部门人员和全体调查人员对申报对象资格进行初审，乡（镇）分管卫生健康工作的领导在《申报表》上签署意见、签名并加盖政府公章。</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乡镇卫生健康部门打印奖特扶对象年审表，对已享受对象通过窗口年审及上门年审等形式进行年审，同时对年审对象的相关信息进行询问，对信息有变化的及时在系统里进行更改，对应退出享受对象在系统里进行退出操作。</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乡镇卫生健康部门打印奖励扶助新增对象公示榜、退出对象公示榜，由乡（镇）级组织以村为单位在村（居）委会驻地、交通要道、对象所在村（居）民小组进行为期7天的公示。对公示有异议对象，重新进村（居）入户调查核实，如符合条件上报县级卫生健康局，如不符合条件发放《不受理（不符合）告知书》。</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乡镇为扶助对象建立档案，将书面申报材料报送县卫生健康局人口监测与家庭发展股，由局分管领导及股室工作人员审查上报的材料，对需要补充调查的通知乡（镇）限时补充调查并上报。组织工作人员对上报对象进行复查，复查对象不低于20%的入户复查。县卫生健康局分管领导在申报表签署意见，在系统里进行确认上报。对不符合政策的退档并由乡（镇）发放《不受理（不符合）告知书》。</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（二）项目管理情况。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1.坚持标准，准确无误</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对各乡（镇）加强政策培训，真正做到对政策一清二楚，了如指掌。严格审查、把好关口，对核查后发现人员资格确认有误的，督促乡（镇）及时在系统进行人员退出，清退涉及资金后缴存县级财政部门。同时，加强政策的学习，强抓业务培训，提升服务能力。真正做到符合奖扶条件的一户不漏，不符合条件的一户不报，确保奖扶对象准确率100%。</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2.严格程序，公开公正</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按照各项奖扶制度的确认程序，通过张榜公布、逐级审核、接受群众和社会监督等措施，确保公开透明、公正公平地执行政策。按照资格确认、资金管理、资金发放与监督评估“四权分离”的运行机制（四权分离将行政、立法、司法和监察四个权力分别独立运作，相互制约，以保证政策稳定和公正），及时足额将资金拨付到委托代理发放机构，监督委托代理发放机构及时划转到个人账户，确保政策执行到位。并通过公示、群众举报、社会监督等措施，确保政策执行的公平性。</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（三）项目监管情况。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直接补助，到户到人。由县财政局监管，签订代发协议，委托第三方机构发放奖励扶助金，根据“阳光审批公示”流程，通过“一卡通系统”直接打款在本人社保卡中。严禁任何单位或个人截留挪用、虚报冒领奖励扶助金和以扣代罚等各种名目的违规行为，确保奖励扶助政策真正落实到每一个应奖励扶助的对象。</w:t>
      </w:r>
    </w:p>
    <w:p>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2023年共计兑现资金：1088.82万元，其中：农村计划生育家庭奖励扶助资金3102人，297.792万元；计划生育特别扶助资金173人，199.536万元；独生子女伤残夭折父母养老保险1人，1.0149万元；独生子女伤残夭折父母定期扶助8人，1.6万元；特别扶助交通补贴资金173人，12.456万元；计划生育家庭特别扶助制度（其它）1798人，562.08万元；计划生育特别扶助（其他）人员县级补助24人，9.0797万元；独生子女父母奖励金资金923人，5.262万元。已完成符合条件扶助对象资金发放，已于当年11月底前通过“一卡通”系统兑现到本人社保卡，其中通过“一卡通”系统发放资金1078.726万元。</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1.经济效益分析</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较好地缓解了计划生育家庭的老有所养问题，特别扶助政策是促进社会主义和谐社会建设，积极做好关爱关怀失独家庭工作，利于缓解独生子女伤残死亡家庭的实际困难，利于促进人口和计划生育工作向依法管理和利益导向政策转变，利于完善社会保障制度，体现社会公平。促进了农民增收和农村稳定，改善了农村计划生育老年人的生活质量。符合制度要求奖励扶助对象资金发放情况达到100％。</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2.社会效益分析</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综合运用利益导向、服务关怀和宣传倡导等手段，开展计划生育特殊家庭扶助关怀，为计划生育特殊家庭解决实际困难，使他们生活上得到帮助、精神上获得慰藉。改善了人口计生工作者与农民群众的关系，推进了社会主义新农村建设，体现了财政资金的使用投向更加关注民生的需求。</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3.可持续效益</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全面贯彻落实计划生育家庭扶助保障政策，坚定人民立场，着力帮助解决群众问题，有效地促进了基层计划生育工作的开展。</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4.服务对象满意度</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扶助制度提高了计划生育家庭对国家计生政策的满意度，融洽了干群关系。对计划生育工作更加理解和支持，对象满意度达到95%以上。</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djustRightInd w:val="0"/>
        <w:snapToGrid w:val="0"/>
        <w:spacing w:line="578" w:lineRule="exact"/>
        <w:ind w:firstLine="720"/>
        <w:rPr>
          <w:rFonts w:ascii="楷体_GB2312" w:hAnsi="宋体" w:eastAsia="楷体_GB2312"/>
          <w:b/>
          <w:sz w:val="32"/>
          <w:szCs w:val="32"/>
          <w:lang w:val="zh-CN"/>
        </w:rPr>
      </w:pPr>
      <w:r>
        <w:rPr>
          <w:rFonts w:hint="eastAsia" w:ascii="仿宋_GB2312" w:hAnsi="仿宋_GB2312" w:eastAsia="仿宋_GB2312" w:cs="仿宋_GB2312"/>
          <w:kern w:val="0"/>
          <w:sz w:val="32"/>
          <w:szCs w:val="32"/>
          <w:shd w:val="clear" w:color="auto" w:fill="FFFFFF"/>
          <w:lang w:val="zh-CN"/>
        </w:rPr>
        <w:t>2023年度计划生育扶助项目专项资金进行了绩效自评，对项目概况、项目资金使用、管理、实施情况以及项目的绩效情况进行了总结，自评得分97分，自评结果为“较好”。</w:t>
      </w:r>
      <w:r>
        <w:rPr>
          <w:rFonts w:hint="eastAsia" w:ascii="楷体_GB2312" w:hAnsi="宋体" w:eastAsia="楷体_GB2312"/>
          <w:b/>
          <w:sz w:val="32"/>
          <w:szCs w:val="32"/>
          <w:lang w:val="zh-CN"/>
        </w:rPr>
        <w:t>（二）存在的问题。</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负责奖扶的工作人员变动频繁，工作岗位不固定，造成了新旧交替时工作衔接不上等问题。人口家庭工作面临着新形势、新任务，部分乡（镇）行政区划调整后，新接手工作的人员对相关业务及操作管理流程不熟悉，业务能力有待提升、服务管理力度不够等问题和困难。</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对象每年到户籍所在地乡（镇、街道）卫生计生办或乡（镇、街道）便民服务中心计生窗口接受年审，但仍然存在极少部分群众变动户口后未及时告知，仍然使用原农业户籍证明（户口簿）进行年审，影响年审工作质量。</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ind w:firstLine="640" w:firstLineChars="200"/>
        <w:rPr>
          <w:rFonts w:hint="eastAsia" w:ascii="CESI仿宋-GB2312" w:hAnsi="CESI仿宋-GB2312" w:eastAsia="CESI仿宋-GB2312" w:cs="CESI仿宋-GB2312"/>
          <w:b w:val="0"/>
          <w:bCs/>
          <w:sz w:val="32"/>
          <w:szCs w:val="32"/>
          <w:lang w:val="en-US" w:eastAsia="zh-CN"/>
        </w:rPr>
      </w:pPr>
      <w:r>
        <w:rPr>
          <w:rFonts w:hint="eastAsia" w:ascii="CESI仿宋-GB2312" w:hAnsi="CESI仿宋-GB2312" w:eastAsia="CESI仿宋-GB2312" w:cs="CESI仿宋-GB2312"/>
          <w:b w:val="0"/>
          <w:bCs/>
          <w:sz w:val="32"/>
          <w:szCs w:val="32"/>
          <w:lang w:val="en-US" w:eastAsia="zh-CN"/>
        </w:rPr>
        <w:t>1.强化政策宣传。加大宣传力度，提高宣传效果，广泛利用多种宣传渠道。加大对各乡（镇）分管领导、基层工作人员的业务培训，提升系统操作、业务能力水平和服务管理力度，提高奖扶对象确认及时率。加强资金使用的规范管理，加强对资金使用情况的监督和审计，加强组织管理，提高工作效率，确保政策的全面执行。</w:t>
      </w:r>
    </w:p>
    <w:p>
      <w:pPr>
        <w:ind w:firstLine="640" w:firstLineChars="200"/>
        <w:rPr>
          <w:rFonts w:hint="eastAsia" w:ascii="CESI仿宋-GB2312" w:hAnsi="CESI仿宋-GB2312" w:eastAsia="CESI仿宋-GB2312" w:cs="CESI仿宋-GB2312"/>
          <w:b w:val="0"/>
          <w:bCs/>
          <w:sz w:val="32"/>
          <w:szCs w:val="32"/>
          <w:lang w:val="en-US" w:eastAsia="zh-CN"/>
        </w:rPr>
      </w:pPr>
      <w:r>
        <w:rPr>
          <w:rFonts w:hint="eastAsia" w:ascii="CESI仿宋-GB2312" w:hAnsi="CESI仿宋-GB2312" w:eastAsia="CESI仿宋-GB2312" w:cs="CESI仿宋-GB2312"/>
          <w:b w:val="0"/>
          <w:bCs/>
          <w:sz w:val="32"/>
          <w:szCs w:val="32"/>
          <w:lang w:val="en-US" w:eastAsia="zh-CN"/>
        </w:rPr>
        <w:t>2.2011年《财政部人口计生委关于调整全国农村部分计划生育家庭奖励扶助和计划生育家庭特别扶助标准的通知》（财教〔2011〕623号）文件精神奖励扶助标准每人每月80元，考虑经济不断发展，该标准一直未进行调整，建议适当提高调整扶助标准。</w:t>
      </w:r>
    </w:p>
    <w:p>
      <w:pPr>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val="0"/>
          <w:bCs/>
          <w:sz w:val="32"/>
          <w:szCs w:val="32"/>
          <w:lang w:val="en-US" w:eastAsia="zh-CN"/>
        </w:rPr>
        <w:t>3.《四川省卫生健康委员会关于农村部分计划生育家庭奖励扶助政策的实施意见》（川卫规〔2022〕1号）文件要求“本人或配偶曾经生育子女，本人及配偶没有违反计划生育法规和政策规定生育”“再婚夫妻再婚后未生育和收养子女的，可按各自生育和收养情况分别判定”。部分再婚夫妻再婚后未生育和收养子女，而配偶存在违反计划生育法规和政策规定生育情况，导致未违反计划生育法规和政策规定生育的一方也无法申报该项目。建议再婚夫妻再婚后未生育和收养子女的，配偶生育情况不计入本人的生育合法性。</w:t>
      </w:r>
    </w:p>
    <w:p>
      <w:pPr>
        <w:pStyle w:val="2"/>
        <w:jc w:val="cente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pStyle w:val="6"/>
        <w:rPr>
          <w:rFonts w:hint="eastAsia" w:ascii="黑体" w:hAnsi="黑体" w:eastAsia="黑体" w:cs="黑体"/>
          <w:sz w:val="32"/>
          <w:szCs w:val="32"/>
          <w:lang w:eastAsia="zh-CN"/>
        </w:rPr>
      </w:pPr>
      <w:r>
        <w:rPr>
          <w:rFonts w:hint="eastAsia" w:ascii="黑体" w:hAnsi="黑体" w:eastAsia="黑体" w:cs="黑体"/>
          <w:kern w:val="0"/>
          <w:sz w:val="32"/>
          <w:szCs w:val="32"/>
          <w:shd w:val="clear" w:color="auto" w:fill="FFFFFF"/>
          <w:lang w:val="zh-CN"/>
        </w:rPr>
        <w:t>附件</w:t>
      </w:r>
      <w:r>
        <w:rPr>
          <w:rFonts w:hint="eastAsia" w:ascii="黑体" w:hAnsi="黑体" w:eastAsia="黑体" w:cs="黑体"/>
          <w:kern w:val="0"/>
          <w:sz w:val="32"/>
          <w:szCs w:val="32"/>
          <w:shd w:val="clear" w:color="auto" w:fill="FFFFFF"/>
          <w:lang w:val="en-US" w:eastAsia="zh-CN"/>
        </w:rPr>
        <w:t>5</w:t>
      </w: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rPr>
        <w:t>专项预算</w:t>
      </w:r>
      <w:r>
        <w:rPr>
          <w:rFonts w:hint="eastAsia" w:ascii="Times New Roman" w:hAnsi="Times New Roman" w:eastAsia="方正小标宋简体"/>
          <w:color w:val="auto"/>
          <w:kern w:val="2"/>
          <w:sz w:val="40"/>
          <w:szCs w:val="40"/>
        </w:rPr>
        <w:t>医疗服务与保障能力提升</w:t>
      </w:r>
      <w:r>
        <w:rPr>
          <w:rFonts w:hint="eastAsia" w:ascii="方正小标宋简体" w:hAnsi="方正小标宋简体" w:eastAsia="方正小标宋简体" w:cs="方正小标宋简体"/>
          <w:color w:val="auto"/>
          <w:kern w:val="2"/>
          <w:sz w:val="44"/>
          <w:szCs w:val="44"/>
          <w:lang w:val="en-US"/>
        </w:rPr>
        <w:t>项目绩效评价报告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spacing w:line="560" w:lineRule="exact"/>
        <w:ind w:left="638" w:leftChars="304" w:firstLine="0" w:firstLineChars="0"/>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1．说明项目主管部门（单位）在该项目管理中的职能</w:t>
      </w:r>
    </w:p>
    <w:p>
      <w:pPr>
        <w:spacing w:line="560" w:lineRule="exact"/>
        <w:ind w:firstLine="640" w:firstLineChars="200"/>
        <w:jc w:val="left"/>
        <w:rPr>
          <w:rFonts w:ascii="仿宋_GB2312" w:hAnsi="仿宋_GB2312" w:eastAsia="仿宋_GB2312" w:cs="仿宋_GB2312"/>
          <w:kern w:val="0"/>
          <w:sz w:val="32"/>
          <w:szCs w:val="32"/>
          <w:shd w:val="clear" w:color="auto" w:fill="FFFFFF"/>
          <w:lang w:val="zh-CN"/>
        </w:rPr>
      </w:pPr>
      <w:r>
        <w:rPr>
          <w:rFonts w:hint="default" w:ascii="Times New Roman" w:hAnsi="Times New Roman" w:eastAsia="仿宋_GB2312" w:cs="Times New Roman"/>
          <w:sz w:val="32"/>
          <w:szCs w:val="32"/>
        </w:rPr>
        <w:t>卫生健康局按规定下达预算并拨付资金</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确定并下达预算绩效目标，指导督促制定绩效目标并做好绩效自评，组织开展预算监管和绩效评价。根据政策目标制定工作方案和规划;提供测算因素数据,并对其准确性、及时性负责</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审核报送的材料和数据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督促做好相关项目实施工作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按要求开展预算绩效管理工作。</w:t>
      </w:r>
    </w:p>
    <w:p>
      <w:pPr>
        <w:widowControl/>
        <w:numPr>
          <w:ilvl w:val="0"/>
          <w:numId w:val="8"/>
        </w:numPr>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项目立项、资金申报的依据</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规范和加强中央和省级财政医疗服务与保障能力提升补助资金管理，提高资金使用效益，根据《中华人民共和国</w:t>
      </w:r>
    </w:p>
    <w:p>
      <w:pPr>
        <w:spacing w:line="560" w:lineRule="exact"/>
        <w:rPr>
          <w:rFonts w:hint="eastAsia" w:ascii="仿宋_GB2312" w:hAnsi="仿宋_GB2312" w:eastAsia="仿宋_GB2312" w:cs="仿宋_GB2312"/>
          <w:kern w:val="0"/>
          <w:sz w:val="32"/>
          <w:szCs w:val="32"/>
          <w:shd w:val="clear" w:color="auto" w:fill="FFFFFF"/>
          <w:lang w:val="zh-CN"/>
        </w:rPr>
      </w:pPr>
      <w:r>
        <w:rPr>
          <w:rFonts w:hint="default" w:ascii="Times New Roman" w:hAnsi="Times New Roman" w:eastAsia="仿宋_GB2312" w:cs="Times New Roman"/>
          <w:sz w:val="32"/>
          <w:szCs w:val="32"/>
        </w:rPr>
        <w:t>预算法》《财政部国家卫生健康委国家医疗保障局国家中医药管理局医疗服务与保障能力提升补助资金管理办法》《中共四川省委四川省人民政府关于全面预算绩效管理的实施意见》《四川省人民政府关于改革完善省对下转移支付制度的意见》《四川省人民政府办公厅关于印发四川省基本公共服务领域省与市县共同财政事权和支出责任划分改革方案的通知》等有关法律法规和政策文件。</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3．资金管理办法制定情况，资金支持具体项目的条件、范围与支持方式概况。</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根据《四川省医疗服务与保障能力提升补助资金管理办法》，由财政厅会同省卫生健康委、省医疗保障局、省中医药管理局根据《“健康中国2030”规划纲要》《“健康四川2030”规划纲要》《四川省贯彻中医药发展战略规划纲要(2016-2030年)实施方案》《关于印发基本公共卫生服务等4项补助资金管理办法的通知》,以及深化医药卫生体制改革总体要求和工作部署安排使用。重点支持公立医院综合改革、卫生健康人才培养、医疗卫生机构能力建设、医疗保障服务能力建设以及其他医改相关工作,具体内容和方式由财政厅会同省卫生健康委、省医疗保障局、省中医药管理局按照国家部委有关要求、相关规划以及医疗服务与医疗保障领域年度重点工作安排研究确定。采取提前预拨与后期结算相结合的方式。按照预算法和预算管理有关规定，省级财政在收到中央财政转移支付资金后30日内下达各地;在省人民代表大会批准预算后30日内将省级财政转移支付下达各地。各地要根据预算法的有关要求，将提前下达的转移支付预计数编入本级政府预算,在收到上级转移支付资金后30日内将资金拨付到下级财政或项目承担单位。</w:t>
      </w:r>
    </w:p>
    <w:p>
      <w:pPr>
        <w:widowControl/>
        <w:numPr>
          <w:ilvl w:val="0"/>
          <w:numId w:val="8"/>
        </w:numPr>
        <w:adjustRightInd w:val="0"/>
        <w:snapToGrid w:val="0"/>
        <w:spacing w:line="578" w:lineRule="exact"/>
        <w:ind w:left="0" w:leftChars="0"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资金分配的原则及考虑因素。</w:t>
      </w:r>
    </w:p>
    <w:p>
      <w:pPr>
        <w:widowControl/>
        <w:numPr>
          <w:ilvl w:val="0"/>
          <w:numId w:val="0"/>
        </w:numPr>
        <w:adjustRightInd w:val="0"/>
        <w:snapToGrid w:val="0"/>
        <w:spacing w:line="578" w:lineRule="exact"/>
        <w:ind w:left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（1）原则。</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合理规划、科学论证。按照健康中国、健康四川战略、健康攀枝花、健康盐边和医改总体布局及相关规划，合理确定补助资金使用方向，对补助资金支持项目的必要性、可行性进行科学论证。</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统筹分配、保障重点。统筹考虑健康中国、健康四川和医改工作需要，合理安排补助资金预算,动态调整重点支持项</w:t>
      </w:r>
    </w:p>
    <w:p>
      <w:pPr>
        <w:widowControl/>
        <w:adjustRightInd w:val="0"/>
        <w:snapToGrid w:val="0"/>
        <w:spacing w:line="578" w:lineRule="exact"/>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目，切实保障医疗服务与保障能力提升重点项目的资金需求。</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 xml:space="preserve">讲求绩效、绩效挂钩。资金实施全过程预算绩效管理，建立绩效评价结果与资金分配挂钩机制，提高资金使用效益。       </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（2）因素。</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省级主要考虑补助对象数量、补助标准等因素，其中:某地公立医院综合改革应拨付资金=补助对象数量x补助标准x人口系数x贫困系数(根据常住人口数量分档确定贫困倾斜系数)。县级因素分配权重根据县域公立医院在改革工作中的发挥作用确定。取消药品加成地方配套资金根据公立医院药品采购情况测算补助，减省级下拨部分，剩于的报县政府有地方财政承担。</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1．项目主要内容。深化公立医院综合改革，建立健全现代医院管理制度，协调推进医疗价格、人事薪酬、药品流通、医保支付改革，提高医疗卫生服务质量。</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2．项目应实现的具体绩效目标，</w:t>
      </w:r>
      <w:r>
        <w:rPr>
          <w:rFonts w:hint="eastAsia" w:ascii="仿宋_GB2312" w:hAnsi="仿宋_GB2312" w:eastAsia="仿宋_GB2312" w:cs="仿宋_GB2312"/>
          <w:kern w:val="0"/>
          <w:sz w:val="32"/>
          <w:szCs w:val="32"/>
          <w:shd w:val="clear" w:color="auto" w:fill="FFFFFF"/>
        </w:rPr>
        <w:t>包括但不限于</w:t>
      </w:r>
      <w:r>
        <w:rPr>
          <w:rFonts w:hint="eastAsia" w:ascii="仿宋_GB2312" w:hAnsi="仿宋_GB2312" w:cs="仿宋_GB2312"/>
          <w:kern w:val="0"/>
          <w:sz w:val="32"/>
          <w:szCs w:val="32"/>
          <w:shd w:val="clear" w:color="auto" w:fill="FFFFFF"/>
        </w:rPr>
        <w:t>：绩效</w:t>
      </w:r>
      <w:r>
        <w:rPr>
          <w:rFonts w:hint="eastAsia" w:ascii="仿宋_GB2312" w:hAnsi="仿宋_GB2312" w:eastAsia="仿宋_GB2312" w:cs="仿宋_GB2312"/>
          <w:kern w:val="0"/>
          <w:sz w:val="32"/>
          <w:szCs w:val="32"/>
          <w:shd w:val="clear" w:color="auto" w:fill="FFFFFF"/>
          <w:lang w:val="zh-CN"/>
        </w:rPr>
        <w:t>目标的量化细化情况</w:t>
      </w:r>
      <w:r>
        <w:rPr>
          <w:rFonts w:hint="eastAsia" w:ascii="仿宋_GB2312" w:hAnsi="仿宋_GB2312" w:cs="仿宋_GB2312"/>
          <w:kern w:val="0"/>
          <w:sz w:val="32"/>
          <w:szCs w:val="32"/>
          <w:shd w:val="clear" w:color="auto" w:fill="FFFFFF"/>
          <w:lang w:val="zh-CN"/>
        </w:rPr>
        <w:t>、</w:t>
      </w:r>
      <w:r>
        <w:rPr>
          <w:rFonts w:hint="eastAsia" w:ascii="仿宋_GB2312" w:hAnsi="仿宋_GB2312" w:eastAsia="仿宋_GB2312" w:cs="仿宋_GB2312"/>
          <w:kern w:val="0"/>
          <w:sz w:val="32"/>
          <w:szCs w:val="32"/>
          <w:shd w:val="clear" w:color="auto" w:fill="FFFFFF"/>
          <w:lang w:val="zh-CN"/>
        </w:rPr>
        <w:t>项目实施进度计划等。（1）持续推进辖区内公立医院医疗总费用及门诊、住院次均费用控制在我县GDP增长以内，切实降低人民群众医疗费用。</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（2）区域内公立医院医疗服务收入（不含药品、耗材、检查、化验收入）占医疗收入的比例较上年上升。</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（3）区域内公立医疗机构配备使用国家基本药物全部达到规定比例（县医院和中医院45%、二院和保健院50%，基层医疗机构55%，村卫生室65%）。三家二级医疗机构全部购买医疗责任保险。</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（4）二级及以上公立医院平均住院日低于全市平均值。</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（5）根据市卫生健康委要求，健全综合监管制度，全面推进医疗“三监管”，落实市县分级监管，问题线索查处率100％。</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（6）医疗机构建立医疗“三监管”制度体系和工作机制，开展自主监管。三家二级以上医疗机构100%接入医废在线监管平台，并按要求做好在线监管工作。</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（7）二级以上公立医院医责险覆盖率达100%。</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（8）区域内公立医院门诊诊疗量、住院量较上一年提升；区域内未发生定性为主要责任的一级及以上医疗事故或直接被卫生健康部门判定的重大医疗事故。</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（9）区域内公立医院实现收支平衡的公立医院占公立医院总数的比例较上一年提升。</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（10）辖区内医疗机构职工满意度94%，门诊满意度91%，住院患者满意度90%。</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3．分析评价申报内容是否与实际相符，申报目标是否合理可行。根据开展公立医院工作情况分析。申报内容是与实际相符，申报目标是合理可行的。</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说明项目绩效自评采用的组织实施步骤及方法。</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组织相关人员开展公立医院改革绩效评价，一是通过现场查看了解公立医院优化医疗环境、改善医疗服务态度、升级就医布局、提高群众满意度评估效益；二是利用信息平台提取公立医院落实医改目标任务数据评估效果；三是通过查阅资料了解资金使用情况评估效率。</w:t>
      </w:r>
    </w:p>
    <w:p>
      <w:pPr>
        <w:adjustRightInd w:val="0"/>
        <w:snapToGrid w:val="0"/>
        <w:spacing w:line="578" w:lineRule="exact"/>
        <w:ind w:firstLine="720"/>
        <w:rPr>
          <w:rFonts w:ascii="仿宋_GB2312" w:hAnsi="宋体"/>
          <w:sz w:val="32"/>
          <w:szCs w:val="32"/>
          <w:lang w:val="zh-CN"/>
        </w:rPr>
      </w:pPr>
      <w:r>
        <w:rPr>
          <w:rFonts w:hint="eastAsia" w:ascii="楷体_GB2312" w:hAnsi="宋体" w:eastAsia="楷体_GB2312"/>
          <w:b/>
          <w:sz w:val="32"/>
          <w:szCs w:val="32"/>
          <w:lang w:val="zh-CN"/>
        </w:rPr>
        <w:t>（二）资金计划、到位及使用情况（可用表格形式反映）。</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1．资金计划。中央转移支付公立医院改革资金131.95万元，省级取消药品加成34.02万元。</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资金到位。“关于提前下达2023医疗服务与保障能力提升中央和省级补助资金的通知”（川财社〔2022〕150号）、“财政厅省卫生健康委关于下达关于下达2023年医疗服务与保障能力提升（公立医院综合改革）中央补助资金的通知”（川财社〔2023〕67号）等文件共计下达165.97万元。所有项目资金根据预算法的有关要求和中央、省提出的“三保”要求，县级财政严格落实保障序列，在先保障人员工资和单位的基本运转，其次保证必要的民生支出前提下，再尽可能收到上级转移支付资金后30日内将资金拨付到项目承担单位。</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资金使用。汇项目资金按照全面实施预算绩效管理的要求，强化绩效目标管理，做好绩效监控和绩效评价，并加强结果运用，确保项目资金在我县公立医院综合改革事项中用好、用活，提高转移支付资金配置效率和使用效益。县卫生健康局会同县财政建立健全绩效评价机制，对项目执行情况开展绩效评价。</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其中，2023年1月，拨付公立医院改革资金123.58万元，拨付取消药品加成补助资金34.02万元；共计下达157.6万元；2023年7月，中央拨付公立医院改革资金8.37万元，共计下达8.37万元；2023年9月，根据2022年10月-2023年6月药品采购金额，核算取消药品加成金额共计29.2万元，拨付29.2万元。</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县财政局、县卫生健康局及我县相关县级医疗机构严格按照财政预算和国库管理规定，制定资金管理部办法，加强资金管理，规范预算执行管理。</w:t>
      </w:r>
    </w:p>
    <w:p>
      <w:pPr>
        <w:adjustRightInd w:val="0"/>
        <w:snapToGrid w:val="0"/>
        <w:spacing w:line="578" w:lineRule="exact"/>
        <w:ind w:firstLine="720"/>
        <w:rPr>
          <w:rFonts w:ascii="仿宋_GB2312" w:hAnsi="仿宋_GB2312" w:eastAsia="仿宋_GB2312" w:cs="仿宋_GB2312"/>
          <w:kern w:val="0"/>
          <w:sz w:val="32"/>
          <w:szCs w:val="32"/>
          <w:shd w:val="clear" w:color="auto" w:fill="FFFFFF"/>
          <w:lang w:val="zh-CN"/>
        </w:rPr>
      </w:pPr>
      <w:r>
        <w:rPr>
          <w:rFonts w:hint="eastAsia" w:ascii="黑体" w:hAnsi="宋体" w:eastAsia="黑体"/>
          <w:sz w:val="32"/>
          <w:szCs w:val="32"/>
        </w:rPr>
        <w:t>三、项目实施及管理情况</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楷体_GB2312" w:hAnsi="宋体" w:eastAsia="楷体_GB2312"/>
          <w:b/>
          <w:sz w:val="32"/>
          <w:szCs w:val="32"/>
          <w:lang w:val="zh-CN"/>
        </w:rPr>
        <w:t>（一）项目组织架构及实施流程。</w:t>
      </w:r>
      <w:r>
        <w:rPr>
          <w:rFonts w:hint="eastAsia" w:ascii="CESI仿宋-GB2312" w:hAnsi="CESI仿宋-GB2312" w:eastAsia="CESI仿宋-GB2312" w:cs="CESI仿宋-GB2312"/>
          <w:b w:val="0"/>
          <w:bCs/>
          <w:sz w:val="32"/>
          <w:szCs w:val="32"/>
          <w:lang w:val="zh-CN"/>
        </w:rPr>
        <w:t>通过项目资金分配原则和因素，由卫生健康局党委研究决定后分配项目资金给县域公立医院组织实施。</w:t>
      </w:r>
    </w:p>
    <w:p>
      <w:pPr>
        <w:adjustRightInd w:val="0"/>
        <w:snapToGrid w:val="0"/>
        <w:spacing w:line="578" w:lineRule="exact"/>
        <w:ind w:firstLine="720"/>
        <w:rPr>
          <w:rFonts w:ascii="仿宋_GB2312" w:hAnsi="仿宋_GB2312" w:eastAsia="仿宋_GB2312" w:cs="仿宋_GB2312"/>
          <w:kern w:val="0"/>
          <w:sz w:val="32"/>
          <w:szCs w:val="32"/>
          <w:shd w:val="clear" w:color="auto" w:fill="FFFFFF"/>
          <w:lang w:val="zh-CN"/>
        </w:rPr>
      </w:pPr>
      <w:r>
        <w:rPr>
          <w:rFonts w:hint="eastAsia" w:ascii="楷体_GB2312" w:hAnsi="宋体" w:eastAsia="楷体_GB2312"/>
          <w:b/>
          <w:sz w:val="32"/>
          <w:szCs w:val="32"/>
          <w:lang w:val="zh-CN"/>
        </w:rPr>
        <w:t>（二）项目管理情况。</w:t>
      </w:r>
      <w:r>
        <w:rPr>
          <w:rFonts w:hint="eastAsia" w:ascii="仿宋_GB2312" w:hAnsi="仿宋_GB2312" w:eastAsia="仿宋_GB2312" w:cs="仿宋_GB2312"/>
          <w:kern w:val="0"/>
          <w:sz w:val="32"/>
          <w:szCs w:val="32"/>
          <w:shd w:val="clear" w:color="auto" w:fill="FFFFFF"/>
          <w:lang w:val="zh-CN"/>
        </w:rPr>
        <w:t>根据《财政厅省卫生健康委 省医疗保障局 省中医药管理局关于印发基本公共卫生服务等4项补助资金管理办法的通知》川财社〔2019〕76号中《四川省医疗服务与保障能力提升补助资金管理办法》严格执行项目管理。</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楷体_GB2312" w:hAnsi="宋体" w:eastAsia="楷体_GB2312"/>
          <w:b/>
          <w:sz w:val="32"/>
          <w:szCs w:val="32"/>
          <w:lang w:val="zh-CN"/>
        </w:rPr>
        <w:t>（三）项目监管情况。</w:t>
      </w:r>
      <w:r>
        <w:rPr>
          <w:rFonts w:hint="eastAsia" w:ascii="仿宋_GB2312" w:hAnsi="仿宋_GB2312" w:eastAsia="仿宋_GB2312" w:cs="仿宋_GB2312"/>
          <w:kern w:val="0"/>
          <w:sz w:val="32"/>
          <w:szCs w:val="32"/>
          <w:shd w:val="clear" w:color="auto" w:fill="FFFFFF"/>
          <w:lang w:val="zh-CN"/>
        </w:rPr>
        <w:t>卫生健康局根据需要对医疗服务与保障能力提升政策落实、资金分配和使用等进行绩效评价和监督检查,并将评价检查结果与补助资金分配挂钩。按照财政预算和国库管理有关规定，制定资金管理办法，加强资金管理，规范预算执行管理。补助资金原则上应在当年执行完毕，年度未支出的补助资金按财政部门结转结余资金管理有关规定管理。认真开展补助资金管理和使用情况监督检查，及时发现和纠正有关问题。各级部门( 单位)和工作人员不得以任何形式挤占、挪用、截留补助资金;不得擅自扩大补助资金使用范围;不得违反规定分配或使用补助资金。</w:t>
      </w:r>
    </w:p>
    <w:p>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我县公立医院有4家，县医院为二级甲等综合医院，县中医院为二级甲等中医医院，县二院为二级乙等综合医院，县保健院属专科医院，2022年10月与县人民医院整合。2023年我县县级医院的医疗服务收入占公立医院医疗收入较2022年有所提高。</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2023年县级公立医院医疗服务能力得到提升，现代医院管理制度加快建立。主要表现在：持续推进辖区内公立医院医疗总费用及门诊、住院次均费用控制在我县GDP增长以内，切实降低人民群众医疗费用。二级及以上公立医院药占比控制在30％以内、公立医疗机构百元医疗收入（不含药品收入）中消耗的卫生材料费用低于20元、医疗服务收入占业务收入比重达到35％以上。落实二级及以上医院临床路径管理率达到60％（距离70%有一定的差距）。公立医疗机构配备使用国家基本药物全部达到规定比例（县医院和中医院45%、二院和保健院50%，基层医疗机构55%，村卫生室65%）。三家二级医疗机构全部购买医疗责任保险。根据市卫生健康委要求，健全综合监管制度，全面推进医疗“三监管”，落实市县分级监管，问题线索查处率100％。医疗机构建立医疗“三监管”制度体系和工作机制，开展自主监管。三家二级以上医疗机构100%接入医废在线监管平台，并按要求做好在线监管工作。。</w:t>
      </w:r>
    </w:p>
    <w:p>
      <w:pPr>
        <w:widowControl/>
        <w:adjustRightInd w:val="0"/>
        <w:snapToGrid w:val="0"/>
        <w:spacing w:line="578" w:lineRule="exact"/>
        <w:ind w:firstLine="640" w:firstLineChars="200"/>
        <w:contextualSpacing/>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rPr>
        <w:t>公立医院百元医疗收入的医疗支出（不含药品收入）低于上年水平。</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公立医院医疗服务收入（不含药品、耗材、检查、化验收入）占医疗收入的比例高于2022年水平；人员支出占业务支出比例高于2022年水平；财政补助收入占总支出比例高于2022年水平；公立医院资产负债率低于2022年水平。</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公立医院平均住院日高于2022年水平；公立医院百元医疗收入的医疗支出（不含药品收入）高于2022年水平。</w:t>
      </w:r>
    </w:p>
    <w:p>
      <w:pPr>
        <w:widowControl/>
        <w:adjustRightInd w:val="0"/>
        <w:snapToGrid w:val="0"/>
        <w:spacing w:line="578" w:lineRule="exact"/>
        <w:ind w:firstLine="640" w:firstLineChars="200"/>
        <w:contextualSpacing/>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rPr>
        <w:t>2023年县公立医院的门诊患者满意度、住院患者满意度、职工满意度较上年有所提高。</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djustRightInd w:val="0"/>
        <w:snapToGrid w:val="0"/>
        <w:spacing w:line="578" w:lineRule="exact"/>
        <w:ind w:firstLine="720"/>
        <w:rPr>
          <w:rFonts w:ascii="楷体_GB2312" w:hAnsi="宋体" w:eastAsia="楷体_GB2312"/>
          <w:b/>
          <w:sz w:val="32"/>
          <w:szCs w:val="32"/>
          <w:lang w:val="zh-CN"/>
        </w:rPr>
      </w:pPr>
      <w:r>
        <w:rPr>
          <w:rFonts w:hint="eastAsia" w:ascii="仿宋_GB2312" w:hAnsi="仿宋_GB2312" w:eastAsia="仿宋_GB2312" w:cs="仿宋_GB2312"/>
          <w:kern w:val="0"/>
          <w:sz w:val="32"/>
          <w:szCs w:val="32"/>
          <w:shd w:val="clear" w:color="auto" w:fill="FFFFFF"/>
          <w:lang w:val="zh-CN"/>
        </w:rPr>
        <w:t>2023年公立医院改革资金项目在卫生健康局的统筹安排下，在财政部门的支持下，通过项目单位（县级公立医院）的细化落实下完成了年度目标任务。医疗机构的就医环境、服务能力、服务流程进一步改善，基层诊疗量有所增长，人民群众的获得感和满意度进一步提升，达到项目预期目标。</w:t>
      </w:r>
      <w:r>
        <w:rPr>
          <w:rFonts w:hint="eastAsia" w:ascii="楷体_GB2312" w:hAnsi="宋体" w:eastAsia="楷体_GB2312"/>
          <w:b/>
          <w:sz w:val="32"/>
          <w:szCs w:val="32"/>
          <w:lang w:val="zh-CN"/>
        </w:rPr>
        <w:t>（二）存在的问题。</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由于我县的县医院、县二院的位置离市区比较近，人才流失严重，加之人民群众的就医需求在不断提升，三家医院的服务能力较弱，看大病、解难症水平提升不明显，实现大病不出县、群众就地就医的目标是硬伤是短板。</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我县地广人稀，南北分散，县级医院的基础差、底子薄、人才引进难。在医疗服务收入占比、医疗费用控制、医疗服务量的提升、县域诊疗量占比等很难达到省市的要求，县级医院在政府和社会的满意度不高，支持率低。</w:t>
      </w:r>
    </w:p>
    <w:p>
      <w:pPr>
        <w:numPr>
          <w:ilvl w:val="0"/>
          <w:numId w:val="6"/>
        </w:numPr>
        <w:adjustRightInd w:val="0"/>
        <w:snapToGrid w:val="0"/>
        <w:spacing w:line="578" w:lineRule="exact"/>
        <w:ind w:left="0" w:leftChars="0" w:firstLine="642" w:firstLineChars="200"/>
        <w:rPr>
          <w:rFonts w:hint="eastAsia" w:ascii="楷体_GB2312" w:hAnsi="宋体" w:eastAsia="楷体_GB2312"/>
          <w:b/>
          <w:sz w:val="32"/>
          <w:szCs w:val="32"/>
          <w:lang w:val="zh-CN"/>
        </w:rPr>
      </w:pPr>
      <w:r>
        <w:rPr>
          <w:rFonts w:hint="eastAsia" w:ascii="楷体_GB2312" w:hAnsi="宋体" w:eastAsia="楷体_GB2312"/>
          <w:b/>
          <w:sz w:val="32"/>
          <w:szCs w:val="32"/>
          <w:lang w:val="zh-CN"/>
        </w:rPr>
        <w:t>相关建议。</w:t>
      </w:r>
    </w:p>
    <w:p>
      <w:pPr>
        <w:ind w:firstLine="642" w:firstLineChars="200"/>
        <w:rPr>
          <w:rFonts w:hint="default" w:ascii="Times New Roman" w:hAnsi="Times New Roman" w:eastAsia="仿宋" w:cs="Times New Roman"/>
          <w:color w:val="000000"/>
          <w:sz w:val="32"/>
          <w:szCs w:val="32"/>
        </w:rPr>
      </w:pPr>
      <w:r>
        <w:rPr>
          <w:rFonts w:hint="eastAsia" w:ascii="楷体_GB2312" w:hAnsi="宋体" w:eastAsia="楷体_GB2312"/>
          <w:b/>
          <w:sz w:val="32"/>
          <w:szCs w:val="32"/>
          <w:lang w:val="en-US" w:eastAsia="zh-CN"/>
        </w:rPr>
        <w:t xml:space="preserve">  </w:t>
      </w:r>
      <w:r>
        <w:rPr>
          <w:rFonts w:hint="default" w:ascii="Times New Roman" w:hAnsi="Times New Roman" w:eastAsia="仿宋_GB2312" w:cs="Times New Roman"/>
          <w:sz w:val="32"/>
          <w:szCs w:val="32"/>
        </w:rPr>
        <w:t>下一步将结合自身的情况，</w:t>
      </w:r>
      <w:r>
        <w:rPr>
          <w:rFonts w:hint="default" w:ascii="Times New Roman" w:hAnsi="Times New Roman" w:eastAsia="仿宋_GB2312" w:cs="Times New Roman"/>
          <w:sz w:val="32"/>
          <w:szCs w:val="32"/>
          <w:lang w:val="en-US" w:eastAsia="zh-CN"/>
        </w:rPr>
        <w:t>让县级机构</w:t>
      </w:r>
      <w:r>
        <w:rPr>
          <w:rFonts w:hint="default" w:ascii="Times New Roman" w:hAnsi="Times New Roman" w:eastAsia="仿宋_GB2312" w:cs="Times New Roman"/>
          <w:sz w:val="32"/>
          <w:szCs w:val="32"/>
        </w:rPr>
        <w:t>走好差异化发展道路。</w:t>
      </w:r>
      <w:r>
        <w:rPr>
          <w:rFonts w:hint="default" w:ascii="Times New Roman" w:hAnsi="Times New Roman" w:eastAsia="仿宋" w:cs="Times New Roman"/>
          <w:b/>
          <w:color w:val="000000"/>
          <w:sz w:val="32"/>
          <w:szCs w:val="32"/>
        </w:rPr>
        <w:t>一是</w:t>
      </w:r>
      <w:r>
        <w:rPr>
          <w:rFonts w:hint="default" w:ascii="Times New Roman" w:hAnsi="Times New Roman" w:eastAsia="仿宋" w:cs="Times New Roman"/>
          <w:color w:val="000000"/>
          <w:sz w:val="32"/>
          <w:szCs w:val="32"/>
        </w:rPr>
        <w:t>建强县人民医院康复、妇幼、内科、体检、外科等重点学科，提升县人民医院综合实力，争创三级乙等综合医院，打造县域内医疗卫生高地，充分发挥龙头医疗机构辐射带动作用。</w:t>
      </w:r>
      <w:r>
        <w:rPr>
          <w:rFonts w:hint="default" w:ascii="Times New Roman" w:hAnsi="Times New Roman" w:eastAsia="仿宋" w:cs="Times New Roman"/>
          <w:b/>
          <w:color w:val="000000"/>
          <w:sz w:val="32"/>
          <w:szCs w:val="32"/>
        </w:rPr>
        <w:t>二是</w:t>
      </w:r>
      <w:r>
        <w:rPr>
          <w:rFonts w:hint="default" w:ascii="Times New Roman" w:hAnsi="Times New Roman" w:eastAsia="仿宋" w:cs="Times New Roman"/>
          <w:color w:val="000000"/>
          <w:sz w:val="32"/>
          <w:szCs w:val="32"/>
        </w:rPr>
        <w:t>结合红格运动康养旅游发展定位，加快推进县第二人民医院建设项目，强化县第二人民医院医养结合、运动康复、中医康复、骨伤等特色科室建设，积极打造“康养+医疗”特色产业。</w:t>
      </w:r>
      <w:r>
        <w:rPr>
          <w:rFonts w:hint="default" w:ascii="Times New Roman" w:hAnsi="Times New Roman" w:eastAsia="仿宋" w:cs="Times New Roman"/>
          <w:b/>
          <w:color w:val="000000"/>
          <w:sz w:val="32"/>
          <w:szCs w:val="32"/>
        </w:rPr>
        <w:t>三是</w:t>
      </w:r>
      <w:r>
        <w:rPr>
          <w:rFonts w:hint="default" w:ascii="Times New Roman" w:hAnsi="Times New Roman" w:eastAsia="仿宋" w:cs="Times New Roman"/>
          <w:color w:val="000000"/>
          <w:sz w:val="32"/>
          <w:szCs w:val="32"/>
        </w:rPr>
        <w:t>持续开展县中医院能力提升建设，集中力量打造急诊急救、卒中、胸痛、中医等重点学科，强化对基层医疗机构的业务指导和培训，建立健全农村地区院前急救网络。</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积极争取上级部门的支持，利用好有限的公立医院改革资金，积极引进人才，提升县级医院的服务能力，充分利用我县是全国县域紧密型医共体试点县的契机，科学谋划，统筹考虑，努力建成南北两个紧密型医共体。积极对接相关部门，努力推动县域紧密型医共体建设，提升广大群众看病就医的便捷性。依托市中心医院对我县县级医疗机构的托管协议，落实分级诊疗制度，真正实现“传、帮、带”，提升农村卫生服务能力，为乡村振兴战略出力。以县域紧密型医共体建设为改革的突破口，从根本上扭转我县公立医院改革的被动局面，努力将我县的公立医院服务能力提质增效，逐步实现省市的要求。</w:t>
      </w:r>
    </w:p>
    <w:p>
      <w:pPr>
        <w:numPr>
          <w:ilvl w:val="0"/>
          <w:numId w:val="0"/>
        </w:numPr>
        <w:adjustRightInd w:val="0"/>
        <w:snapToGrid w:val="0"/>
        <w:spacing w:line="578" w:lineRule="exact"/>
        <w:rPr>
          <w:rFonts w:hint="default" w:ascii="楷体_GB2312" w:hAnsi="宋体" w:eastAsia="楷体_GB2312"/>
          <w:b/>
          <w:sz w:val="32"/>
          <w:szCs w:val="32"/>
          <w:lang w:val="en-US" w:eastAsia="zh-CN"/>
        </w:rPr>
      </w:pPr>
    </w:p>
    <w:p>
      <w:pPr>
        <w:pStyle w:val="2"/>
        <w:jc w:val="cente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pStyle w:val="6"/>
        <w:rPr>
          <w:rFonts w:hint="eastAsia" w:ascii="黑体" w:hAnsi="黑体" w:eastAsia="黑体" w:cs="黑体"/>
          <w:sz w:val="32"/>
          <w:szCs w:val="32"/>
          <w:lang w:eastAsia="zh-CN"/>
        </w:rPr>
      </w:pPr>
      <w:r>
        <w:rPr>
          <w:rFonts w:hint="eastAsia" w:ascii="黑体" w:hAnsi="黑体" w:eastAsia="黑体" w:cs="黑体"/>
          <w:kern w:val="0"/>
          <w:sz w:val="32"/>
          <w:szCs w:val="32"/>
          <w:shd w:val="clear" w:color="auto" w:fill="FFFFFF"/>
          <w:lang w:val="zh-CN"/>
        </w:rPr>
        <w:t>附件</w:t>
      </w:r>
      <w:r>
        <w:rPr>
          <w:rFonts w:hint="eastAsia" w:ascii="黑体" w:hAnsi="黑体" w:eastAsia="黑体" w:cs="黑体"/>
          <w:kern w:val="0"/>
          <w:sz w:val="32"/>
          <w:szCs w:val="32"/>
          <w:shd w:val="clear" w:color="auto" w:fill="FFFFFF"/>
          <w:lang w:val="en-US" w:eastAsia="zh-CN"/>
        </w:rPr>
        <w:t>6</w:t>
      </w: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rPr>
        <w:t>专项预算</w:t>
      </w:r>
      <w:r>
        <w:rPr>
          <w:rFonts w:hint="eastAsia" w:ascii="方正小标宋简体" w:hAnsi="方正小标宋简体" w:eastAsia="方正小标宋简体" w:cs="方正小标宋简体"/>
          <w:color w:val="auto"/>
          <w:kern w:val="2"/>
          <w:sz w:val="44"/>
          <w:szCs w:val="44"/>
          <w:lang w:eastAsia="zh-CN"/>
        </w:rPr>
        <w:t>重大传染病防治</w:t>
      </w:r>
      <w:r>
        <w:rPr>
          <w:rFonts w:hint="eastAsia" w:ascii="方正小标宋简体" w:hAnsi="方正小标宋简体" w:eastAsia="方正小标宋简体" w:cs="方正小标宋简体"/>
          <w:color w:val="auto"/>
          <w:kern w:val="2"/>
          <w:sz w:val="44"/>
          <w:szCs w:val="44"/>
          <w:lang w:val="en-US"/>
        </w:rPr>
        <w:t>项目</w:t>
      </w: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rPr>
        <w:t>绩效评价报告范本</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1．说明项目主管部门（单位）在该项目管理中的职能。</w:t>
      </w:r>
    </w:p>
    <w:p>
      <w:pPr>
        <w:keepNext w:val="0"/>
        <w:keepLines w:val="0"/>
        <w:pageBreakBefore w:val="0"/>
        <w:kinsoku/>
        <w:wordWrap/>
        <w:overflowPunct/>
        <w:topLinePunct w:val="0"/>
        <w:autoSpaceDE/>
        <w:autoSpaceDN/>
        <w:bidi w:val="0"/>
        <w:adjustRightInd w:val="0"/>
        <w:snapToGrid w:val="0"/>
        <w:spacing w:line="560" w:lineRule="exact"/>
        <w:ind w:left="319" w:leftChars="152" w:firstLine="774" w:firstLineChars="242"/>
        <w:jc w:val="left"/>
        <w:rPr>
          <w:rFonts w:ascii="仿宋_GB2312" w:hAnsi="仿宋_GB2312" w:eastAsia="仿宋_GB2312" w:cs="仿宋_GB2312"/>
          <w:kern w:val="0"/>
          <w:sz w:val="32"/>
          <w:szCs w:val="32"/>
          <w:shd w:val="clear" w:color="auto" w:fill="FFFFFF"/>
          <w:lang w:val="zh-CN"/>
        </w:rPr>
      </w:pPr>
      <w:r>
        <w:rPr>
          <w:rFonts w:hint="default" w:ascii="Times New Roman" w:hAnsi="Times New Roman" w:eastAsia="仿宋" w:cs="Times New Roman"/>
          <w:sz w:val="32"/>
          <w:szCs w:val="32"/>
          <w:lang w:val="zh-CN" w:eastAsia="zh-CN"/>
        </w:rPr>
        <w:t>县卫生健康局</w:t>
      </w:r>
      <w:r>
        <w:rPr>
          <w:rFonts w:hint="default" w:ascii="Times New Roman" w:hAnsi="Times New Roman" w:eastAsia="仿宋" w:cs="Times New Roman"/>
          <w:sz w:val="32"/>
          <w:szCs w:val="32"/>
        </w:rPr>
        <w:t>负责</w:t>
      </w:r>
      <w:r>
        <w:rPr>
          <w:rFonts w:hint="default" w:ascii="Times New Roman" w:hAnsi="Times New Roman" w:eastAsia="仿宋" w:cs="Times New Roman"/>
          <w:sz w:val="32"/>
          <w:szCs w:val="32"/>
          <w:lang w:eastAsia="zh-CN"/>
        </w:rPr>
        <w:t>重大传染病防控项目</w:t>
      </w:r>
      <w:r>
        <w:rPr>
          <w:rFonts w:hint="default" w:ascii="Times New Roman" w:hAnsi="Times New Roman" w:eastAsia="仿宋" w:cs="Times New Roman"/>
          <w:sz w:val="32"/>
          <w:szCs w:val="32"/>
          <w:lang w:val="zh-CN" w:eastAsia="zh-CN"/>
        </w:rPr>
        <w:t>实施方案、考核细则、</w:t>
      </w:r>
      <w:r>
        <w:rPr>
          <w:rFonts w:hint="default" w:ascii="Times New Roman" w:hAnsi="Times New Roman" w:eastAsia="仿宋" w:cs="Times New Roman"/>
          <w:sz w:val="32"/>
          <w:szCs w:val="32"/>
          <w:lang w:eastAsia="zh-CN"/>
        </w:rPr>
        <w:t>工作</w:t>
      </w:r>
      <w:r>
        <w:rPr>
          <w:rFonts w:hint="default" w:ascii="Times New Roman" w:hAnsi="Times New Roman" w:eastAsia="仿宋" w:cs="Times New Roman"/>
          <w:sz w:val="32"/>
          <w:szCs w:val="32"/>
        </w:rPr>
        <w:t>计划</w:t>
      </w:r>
      <w:r>
        <w:rPr>
          <w:rFonts w:hint="default" w:ascii="Times New Roman" w:hAnsi="Times New Roman" w:eastAsia="仿宋" w:cs="Times New Roman"/>
          <w:sz w:val="32"/>
          <w:szCs w:val="32"/>
          <w:lang w:eastAsia="zh-CN"/>
        </w:rPr>
        <w:t>的制定，</w:t>
      </w:r>
      <w:r>
        <w:rPr>
          <w:rFonts w:hint="default" w:ascii="Times New Roman" w:hAnsi="Times New Roman" w:eastAsia="仿宋" w:cs="Times New Roman"/>
          <w:sz w:val="32"/>
          <w:szCs w:val="32"/>
        </w:rPr>
        <w:t>下达经费使用方案；负责组织协调、督查指导、评估考核</w:t>
      </w:r>
      <w:r>
        <w:rPr>
          <w:rFonts w:hint="default" w:ascii="Times New Roman" w:hAnsi="Times New Roman" w:eastAsia="仿宋" w:cs="Times New Roman"/>
          <w:sz w:val="32"/>
          <w:szCs w:val="32"/>
          <w:lang w:eastAsia="zh-CN"/>
        </w:rPr>
        <w:t>、人员培训等</w:t>
      </w:r>
      <w:r>
        <w:rPr>
          <w:rFonts w:hint="default" w:ascii="Times New Roman" w:hAnsi="Times New Roman" w:eastAsia="仿宋" w:cs="Times New Roman"/>
          <w:sz w:val="32"/>
          <w:szCs w:val="32"/>
        </w:rPr>
        <w:t>工作</w:t>
      </w:r>
      <w:r>
        <w:rPr>
          <w:rFonts w:hint="default" w:ascii="Times New Roman" w:hAnsi="Times New Roman" w:eastAsia="仿宋" w:cs="Times New Roman"/>
          <w:sz w:val="32"/>
          <w:szCs w:val="32"/>
          <w:lang w:eastAsia="zh-CN"/>
        </w:rPr>
        <w:t>。</w:t>
      </w:r>
    </w:p>
    <w:p>
      <w:pPr>
        <w:keepNext w:val="0"/>
        <w:keepLines w:val="0"/>
        <w:pageBreakBefore w:val="0"/>
        <w:numPr>
          <w:ilvl w:val="0"/>
          <w:numId w:val="9"/>
        </w:numPr>
        <w:kinsoku/>
        <w:wordWrap/>
        <w:overflowPunct/>
        <w:topLinePunct w:val="0"/>
        <w:autoSpaceDE/>
        <w:autoSpaceDN/>
        <w:bidi w:val="0"/>
        <w:adjustRightInd w:val="0"/>
        <w:snapToGrid w:val="0"/>
        <w:spacing w:line="560"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项目立项、资金申报的依据。</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rPr>
          <w:rFonts w:ascii="仿宋_GB2312" w:hAnsi="仿宋_GB2312" w:eastAsia="仿宋_GB2312" w:cs="仿宋_GB2312"/>
          <w:kern w:val="0"/>
          <w:sz w:val="32"/>
          <w:szCs w:val="32"/>
          <w:shd w:val="clear" w:color="auto" w:fill="FFFFFF"/>
          <w:lang w:val="zh-CN"/>
        </w:rPr>
      </w:pPr>
      <w:r>
        <w:rPr>
          <w:rFonts w:hint="default" w:ascii="Times New Roman" w:hAnsi="Times New Roman" w:eastAsia="仿宋" w:cs="Times New Roman"/>
          <w:sz w:val="32"/>
          <w:szCs w:val="32"/>
          <w:lang w:eastAsia="zh-CN"/>
        </w:rPr>
        <w:t>依据国家、省、市重大传染病防控相关规定及《</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年四川省艾滋病防治工作重点任务</w:t>
      </w:r>
      <w:r>
        <w:rPr>
          <w:rFonts w:hint="default" w:ascii="Times New Roman" w:hAnsi="Times New Roman" w:eastAsia="仿宋" w:cs="Times New Roman"/>
          <w:sz w:val="32"/>
          <w:szCs w:val="32"/>
          <w:lang w:eastAsia="zh-CN"/>
        </w:rPr>
        <w:t>》、《202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lang w:eastAsia="zh-CN"/>
        </w:rPr>
        <w:t>年攀枝花市艾滋病防治工作重点任务》要求，完成重大传染病各项目标任务</w:t>
      </w:r>
      <w:r>
        <w:rPr>
          <w:rFonts w:hint="default" w:ascii="Times New Roman" w:hAnsi="Times New Roman" w:eastAsia="仿宋" w:cs="Times New Roman"/>
          <w:sz w:val="32"/>
          <w:szCs w:val="32"/>
        </w:rPr>
        <w:t>。</w:t>
      </w:r>
    </w:p>
    <w:p>
      <w:pPr>
        <w:keepNext w:val="0"/>
        <w:keepLines w:val="0"/>
        <w:pageBreakBefore w:val="0"/>
        <w:numPr>
          <w:ilvl w:val="0"/>
          <w:numId w:val="9"/>
        </w:numPr>
        <w:kinsoku/>
        <w:wordWrap/>
        <w:overflowPunct/>
        <w:topLinePunct w:val="0"/>
        <w:autoSpaceDE/>
        <w:autoSpaceDN/>
        <w:bidi w:val="0"/>
        <w:adjustRightInd w:val="0"/>
        <w:snapToGrid w:val="0"/>
        <w:spacing w:line="560" w:lineRule="exact"/>
        <w:ind w:left="0" w:leftChars="0" w:firstLine="720" w:firstLineChars="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资金</w:t>
      </w:r>
      <w:r>
        <w:rPr>
          <w:rFonts w:hint="eastAsia" w:ascii="仿宋_GB2312" w:hAnsi="仿宋_GB2312" w:eastAsia="仿宋_GB2312" w:cs="仿宋_GB2312"/>
          <w:kern w:val="0"/>
          <w:sz w:val="32"/>
          <w:szCs w:val="32"/>
          <w:shd w:val="clear" w:color="auto" w:fill="FFFFFF"/>
        </w:rPr>
        <w:t>或项目</w:t>
      </w:r>
      <w:r>
        <w:rPr>
          <w:rFonts w:hint="eastAsia" w:ascii="仿宋_GB2312" w:hAnsi="仿宋_GB2312" w:eastAsia="仿宋_GB2312" w:cs="仿宋_GB2312"/>
          <w:kern w:val="0"/>
          <w:sz w:val="32"/>
          <w:szCs w:val="32"/>
          <w:shd w:val="clear" w:color="auto" w:fill="FFFFFF"/>
          <w:lang w:val="zh-CN"/>
        </w:rPr>
        <w:t>管理办法制定情况。</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rPr>
          <w:rFonts w:ascii="仿宋_GB2312" w:hAnsi="仿宋_GB2312" w:eastAsia="仿宋_GB2312" w:cs="仿宋_GB2312"/>
          <w:kern w:val="0"/>
          <w:sz w:val="32"/>
          <w:szCs w:val="32"/>
          <w:shd w:val="clear" w:color="auto" w:fill="FFFFFF"/>
          <w:lang w:val="zh-CN"/>
        </w:rPr>
      </w:pPr>
      <w:r>
        <w:rPr>
          <w:rFonts w:hint="default" w:ascii="Times New Roman" w:hAnsi="Times New Roman" w:eastAsia="仿宋" w:cs="Times New Roman"/>
          <w:sz w:val="32"/>
          <w:szCs w:val="32"/>
          <w:lang w:val="zh-CN" w:eastAsia="zh-CN"/>
        </w:rPr>
        <w:t>根据《四川省重大传染病防控补助资金管理办法》、《四川省财政厅</w:t>
      </w:r>
      <w:r>
        <w:rPr>
          <w:rFonts w:hint="default" w:ascii="Times New Roman" w:hAnsi="Times New Roman" w:eastAsia="仿宋" w:cs="Times New Roman"/>
          <w:sz w:val="32"/>
          <w:szCs w:val="32"/>
          <w:lang w:val="en-US" w:eastAsia="zh-CN"/>
        </w:rPr>
        <w:t xml:space="preserve"> 省卫生健康委 省医疗保障局 省中医药管理局关于印发公共卫生服务等5项补助资金管理办法的通知</w:t>
      </w:r>
      <w:r>
        <w:rPr>
          <w:rFonts w:hint="default" w:ascii="Times New Roman" w:hAnsi="Times New Roman" w:eastAsia="仿宋" w:cs="Times New Roman"/>
          <w:sz w:val="32"/>
          <w:szCs w:val="32"/>
          <w:lang w:val="zh-CN" w:eastAsia="zh-CN"/>
        </w:rPr>
        <w:t>》（川</w:t>
      </w:r>
      <w:r>
        <w:rPr>
          <w:rFonts w:hint="default" w:ascii="Times New Roman" w:hAnsi="Times New Roman" w:eastAsia="仿宋" w:cs="Times New Roman"/>
          <w:sz w:val="32"/>
          <w:szCs w:val="32"/>
          <w:lang w:val="en-US" w:eastAsia="zh-CN"/>
        </w:rPr>
        <w:t>财社〔2022〕112号</w:t>
      </w:r>
      <w:r>
        <w:rPr>
          <w:rFonts w:hint="default" w:ascii="Times New Roman" w:hAnsi="Times New Roman" w:eastAsia="仿宋" w:cs="Times New Roman"/>
          <w:sz w:val="32"/>
          <w:szCs w:val="32"/>
          <w:lang w:val="zh-CN" w:eastAsia="zh-CN"/>
        </w:rPr>
        <w:t>）等文件精神，依据《四川省卫生健康委员会关于印发四川省2023年中央财政补助艾滋病等重大传染病和地方病防治项目第一批资金实施方案的通知》、《四川省卫生健康委员会关于印发四川省2023年中央财政补助艾滋病等重大传染病和地方病防治项目第二批资金实施方案的通知》</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下达各</w:t>
      </w:r>
      <w:r>
        <w:rPr>
          <w:rFonts w:hint="default" w:ascii="Times New Roman" w:hAnsi="Times New Roman" w:eastAsia="仿宋" w:cs="Times New Roman"/>
          <w:sz w:val="32"/>
          <w:szCs w:val="32"/>
          <w:lang w:eastAsia="zh-CN"/>
        </w:rPr>
        <w:t>医疗卫生</w:t>
      </w:r>
      <w:r>
        <w:rPr>
          <w:rFonts w:hint="default" w:ascii="Times New Roman" w:hAnsi="Times New Roman" w:eastAsia="仿宋" w:cs="Times New Roman"/>
          <w:sz w:val="32"/>
          <w:szCs w:val="32"/>
        </w:rPr>
        <w:t>单位</w:t>
      </w:r>
      <w:r>
        <w:rPr>
          <w:rFonts w:hint="default" w:ascii="Times New Roman" w:hAnsi="Times New Roman" w:eastAsia="仿宋" w:cs="Times New Roman"/>
          <w:sz w:val="32"/>
          <w:szCs w:val="32"/>
          <w:lang w:eastAsia="zh-CN"/>
        </w:rPr>
        <w:t>重大</w:t>
      </w:r>
      <w:r>
        <w:rPr>
          <w:rFonts w:hint="default" w:ascii="Times New Roman" w:hAnsi="Times New Roman" w:eastAsia="仿宋" w:cs="Times New Roman"/>
          <w:sz w:val="32"/>
          <w:szCs w:val="32"/>
        </w:rPr>
        <w:t>传染病防治经费。</w:t>
      </w:r>
    </w:p>
    <w:p>
      <w:pPr>
        <w:widowControl/>
        <w:numPr>
          <w:ilvl w:val="0"/>
          <w:numId w:val="9"/>
        </w:numPr>
        <w:adjustRightInd w:val="0"/>
        <w:snapToGrid w:val="0"/>
        <w:spacing w:line="578" w:lineRule="exact"/>
        <w:ind w:left="0" w:leftChars="0" w:firstLine="720" w:firstLineChars="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资金分配的原则及考虑因素。</w:t>
      </w:r>
    </w:p>
    <w:p>
      <w:pPr>
        <w:widowControl/>
        <w:numPr>
          <w:ilvl w:val="0"/>
          <w:numId w:val="0"/>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按照各医疗卫生单位承担任务的完成数量、质量、满意度等综合考虑，进行资金分配；项目资金拨付给县疾控中心、县妇计中心、各医疗卫生机构开展项目使用，局本级不截留、挤占、挪用。</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项目主要内容。重大传染病防控主要包括纳入国家免疫规划的常规免疫及补充免疫，艾滋病、结核病、血吸虫病、包虫病防控，精神心理疾病综合管理、重大慢性病防控管理模式和适宜技术探索、疾病及危害因素监测等全国性或跨区域的重大疾病防控内容，以及省级根据实际情况增加实施的相关项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2．项目应实现的具体绩效目标，</w:t>
      </w:r>
      <w:r>
        <w:rPr>
          <w:rFonts w:hint="eastAsia" w:ascii="仿宋_GB2312" w:hAnsi="仿宋_GB2312" w:eastAsia="仿宋_GB2312" w:cs="仿宋_GB2312"/>
          <w:kern w:val="0"/>
          <w:sz w:val="32"/>
          <w:szCs w:val="32"/>
          <w:shd w:val="clear" w:color="auto" w:fill="FFFFFF"/>
        </w:rPr>
        <w:t>包括但不限于</w:t>
      </w:r>
      <w:r>
        <w:rPr>
          <w:rFonts w:hint="eastAsia" w:ascii="仿宋_GB2312" w:hAnsi="仿宋_GB2312" w:cs="仿宋_GB2312"/>
          <w:kern w:val="0"/>
          <w:sz w:val="32"/>
          <w:szCs w:val="32"/>
          <w:shd w:val="clear" w:color="auto" w:fill="FFFFFF"/>
        </w:rPr>
        <w:t>：绩效</w:t>
      </w:r>
      <w:r>
        <w:rPr>
          <w:rFonts w:hint="eastAsia" w:ascii="仿宋_GB2312" w:hAnsi="仿宋_GB2312" w:eastAsia="仿宋_GB2312" w:cs="仿宋_GB2312"/>
          <w:kern w:val="0"/>
          <w:sz w:val="32"/>
          <w:szCs w:val="32"/>
          <w:shd w:val="clear" w:color="auto" w:fill="FFFFFF"/>
          <w:lang w:val="zh-CN"/>
        </w:rPr>
        <w:t>目标的量化细化情况</w:t>
      </w:r>
      <w:r>
        <w:rPr>
          <w:rFonts w:hint="eastAsia" w:ascii="仿宋_GB2312" w:hAnsi="仿宋_GB2312" w:cs="仿宋_GB2312"/>
          <w:kern w:val="0"/>
          <w:sz w:val="32"/>
          <w:szCs w:val="32"/>
          <w:shd w:val="clear" w:color="auto" w:fill="FFFFFF"/>
          <w:lang w:val="zh-CN"/>
        </w:rPr>
        <w:t>、</w:t>
      </w:r>
      <w:r>
        <w:rPr>
          <w:rFonts w:hint="eastAsia" w:ascii="仿宋_GB2312" w:hAnsi="仿宋_GB2312" w:eastAsia="仿宋_GB2312" w:cs="仿宋_GB2312"/>
          <w:kern w:val="0"/>
          <w:sz w:val="32"/>
          <w:szCs w:val="32"/>
          <w:shd w:val="clear" w:color="auto" w:fill="FFFFFF"/>
          <w:lang w:val="zh-CN"/>
        </w:rPr>
        <w:t>项目实施进度计划等。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（1）在治病人病毒载量检测比例9</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（2）抗病毒治疗</w:t>
      </w:r>
      <w:r>
        <w:rPr>
          <w:rFonts w:hint="default" w:ascii="Times New Roman" w:hAnsi="Times New Roman" w:eastAsia="仿宋" w:cs="Times New Roman"/>
          <w:color w:val="000000" w:themeColor="text1"/>
          <w:sz w:val="32"/>
          <w:szCs w:val="32"/>
          <w:lang w:eastAsia="zh-CN"/>
          <w14:textFill>
            <w14:solidFill>
              <w14:schemeClr w14:val="tx1"/>
            </w14:solidFill>
          </w14:textFill>
        </w:rPr>
        <w:t>覆盖率</w:t>
      </w:r>
      <w:r>
        <w:rPr>
          <w:rFonts w:hint="default" w:ascii="Times New Roman" w:hAnsi="Times New Roman" w:eastAsia="仿宋" w:cs="Times New Roman"/>
          <w:color w:val="000000" w:themeColor="text1"/>
          <w:sz w:val="32"/>
          <w:szCs w:val="32"/>
          <w14:textFill>
            <w14:solidFill>
              <w14:schemeClr w14:val="tx1"/>
            </w14:solidFill>
          </w14:textFill>
        </w:rPr>
        <w:t>9</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（3）抗病毒治疗成功率9</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（4）感染者/病人随访检测比例90%</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（5）阳性者配偶检测比例85%</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（6）孕产妇艾滋病、梅毒和乙肝检测率</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90%</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（7）适龄儿童国家免疫规划疫苗接种率</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90%</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（8）病原学阳性肺结核患者耐药筛查率</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80%</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（9）肺结核治疗成功率</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90%</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10</w:t>
      </w:r>
      <w:r>
        <w:rPr>
          <w:rFonts w:hint="default" w:ascii="Times New Roman" w:hAnsi="Times New Roman" w:eastAsia="仿宋" w:cs="Times New Roman"/>
          <w:color w:val="000000" w:themeColor="text1"/>
          <w:sz w:val="32"/>
          <w:szCs w:val="32"/>
          <w14:textFill>
            <w14:solidFill>
              <w14:schemeClr w14:val="tx1"/>
            </w14:solidFill>
          </w14:textFill>
        </w:rPr>
        <w:t>）在册严重精神障碍患者规范管理率</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80%</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11</w:t>
      </w:r>
      <w:r>
        <w:rPr>
          <w:rFonts w:hint="default" w:ascii="Times New Roman" w:hAnsi="Times New Roman" w:eastAsia="仿宋" w:cs="Times New Roman"/>
          <w:color w:val="000000" w:themeColor="text1"/>
          <w:sz w:val="32"/>
          <w:szCs w:val="32"/>
          <w14:textFill>
            <w14:solidFill>
              <w14:schemeClr w14:val="tx1"/>
            </w14:solidFill>
          </w14:textFill>
        </w:rPr>
        <w:t>）在册精神障碍患者治疗率</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70%</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zh-CN"/>
        </w:rPr>
        <w:t>（</w:t>
      </w:r>
      <w:r>
        <w:rPr>
          <w:rFonts w:hint="eastAsia" w:ascii="CESI仿宋-GB2312" w:hAnsi="CESI仿宋-GB2312" w:eastAsia="CESI仿宋-GB2312" w:cs="CESI仿宋-GB2312"/>
          <w:sz w:val="32"/>
          <w:szCs w:val="32"/>
          <w:lang w:val="en-US" w:eastAsia="zh-CN"/>
        </w:rPr>
        <w:t>12</w:t>
      </w:r>
      <w:r>
        <w:rPr>
          <w:rFonts w:hint="eastAsia" w:ascii="CESI仿宋-GB2312" w:hAnsi="CESI仿宋-GB2312" w:eastAsia="CESI仿宋-GB2312" w:cs="CESI仿宋-GB2312"/>
          <w:sz w:val="32"/>
          <w:szCs w:val="32"/>
          <w:lang w:val="zh-CN"/>
        </w:rPr>
        <w:t>）窝沟封闭完成率</w:t>
      </w:r>
      <w:r>
        <w:rPr>
          <w:rFonts w:hint="eastAsia" w:ascii="CESI仿宋-GB2312" w:hAnsi="CESI仿宋-GB2312" w:eastAsia="CESI仿宋-GB2312" w:cs="CESI仿宋-GB2312"/>
          <w:sz w:val="32"/>
          <w:szCs w:val="32"/>
          <w:lang w:val="en-US" w:eastAsia="zh-CN"/>
        </w:rPr>
        <w:t>100%</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（13）钉螺调查任务完成率90%</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rPr>
          <w:rFonts w:ascii="仿宋_GB2312" w:hAnsi="仿宋_GB2312" w:eastAsia="仿宋_GB2312" w:cs="仿宋_GB2312"/>
          <w:kern w:val="0"/>
          <w:sz w:val="32"/>
          <w:szCs w:val="32"/>
          <w:shd w:val="clear" w:color="auto" w:fill="FFFFFF"/>
          <w:lang w:val="zh-CN"/>
        </w:rPr>
      </w:pPr>
      <w:r>
        <w:rPr>
          <w:rFonts w:hint="eastAsia" w:ascii="CESI仿宋-GB2312" w:hAnsi="CESI仿宋-GB2312" w:eastAsia="CESI仿宋-GB2312" w:cs="CESI仿宋-GB2312"/>
          <w:sz w:val="32"/>
          <w:szCs w:val="32"/>
          <w:lang w:val="en-US" w:eastAsia="zh-CN"/>
        </w:rPr>
        <w:t>（14）麻风病规定随访到位率90%</w:t>
      </w:r>
    </w:p>
    <w:p>
      <w:pPr>
        <w:keepNext w:val="0"/>
        <w:keepLines w:val="0"/>
        <w:pageBreakBefore w:val="0"/>
        <w:kinsoku/>
        <w:wordWrap/>
        <w:overflowPunct/>
        <w:topLinePunct w:val="0"/>
        <w:autoSpaceDE/>
        <w:autoSpaceDN/>
        <w:bidi w:val="0"/>
        <w:adjustRightInd w:val="0"/>
        <w:snapToGrid w:val="0"/>
        <w:spacing w:line="560" w:lineRule="exact"/>
        <w:ind w:firstLine="720"/>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3．分析评价申报内容是否与实际相符，申报目标是否合理可行。</w:t>
      </w:r>
      <w:r>
        <w:rPr>
          <w:rFonts w:hint="default" w:ascii="Times New Roman" w:hAnsi="Times New Roman" w:eastAsia="仿宋" w:cs="Times New Roman"/>
          <w:color w:val="000000"/>
          <w:kern w:val="0"/>
          <w:sz w:val="33"/>
          <w:szCs w:val="33"/>
          <w:lang w:val="en-US" w:eastAsia="zh-CN"/>
        </w:rPr>
        <w:t>按照省、市印发的重大传染病防治项目实施方案要求，分解细化目标任务，确保了目标任务全面完成。申报内容与实际相符，申报目标合理可行。</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县卫生健康局按照中央、省、市要求，加强对县疾控中心、县妇计中心、各医疗卫生机构的日常资金使用指导；根据各医疗卫生单位承担任务的完成数量、质量等综合考虑，进行资金拨付，各医疗卫生机构保障项目专款专用；县卫生健康局对拨付的项目经费都做出了相应要求，并报经局务会、党组会讨论通过，有会议纪要作为支撑；对各单位资金进行监督检查，及时发现和纠正有关问题，确保资金安全。</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申报：2023年重大传染病防治经费项目预算；</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批复：盐边县财政局下达2023年重大传染病防治经费项目预算控制数60万元（盐边财政〔2023〕8号）。</w:t>
      </w:r>
    </w:p>
    <w:p>
      <w:pPr>
        <w:adjustRightInd w:val="0"/>
        <w:snapToGrid w:val="0"/>
        <w:spacing w:line="578" w:lineRule="exact"/>
        <w:ind w:firstLine="720"/>
        <w:rPr>
          <w:rFonts w:ascii="仿宋_GB2312" w:hAnsi="宋体"/>
          <w:sz w:val="32"/>
          <w:szCs w:val="32"/>
          <w:lang w:val="zh-CN"/>
        </w:rPr>
      </w:pPr>
      <w:r>
        <w:rPr>
          <w:rFonts w:hint="eastAsia" w:ascii="楷体_GB2312" w:hAnsi="宋体" w:eastAsia="楷体_GB2312"/>
          <w:b/>
          <w:sz w:val="32"/>
          <w:szCs w:val="32"/>
          <w:lang w:val="zh-CN"/>
        </w:rPr>
        <w:t>（二）资金计划、到位及使用情况（可用表格形式反映）。</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1．资金计划。中央资金270.74万元，县级申报资金60万元。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2．资金到位。</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（1）川财社〔2022〕156号文件下达2023年重大传染病防控中央补助资金（第一批）162.98万元。</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（2）川财社〔2023〕90号文件下达2023年重大传染病防控中央补助资金（第二批）107.76万元。</w:t>
      </w:r>
    </w:p>
    <w:p>
      <w:pPr>
        <w:widowControl/>
        <w:adjustRightInd w:val="0"/>
        <w:snapToGrid w:val="0"/>
        <w:spacing w:line="578" w:lineRule="exact"/>
        <w:ind w:left="638" w:leftChars="304" w:firstLine="0" w:firstLineChars="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（3）盐边财政〔2023〕8号文件下达县级资金60万元。3．资金使用。</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（1）中央下达艾滋病防治经费共计270.74万元，由县卫生健康局出具分配方案分配后，报县财政局下达县疾控中心、县妇计中心及相关医疗机构。</w:t>
      </w:r>
    </w:p>
    <w:p>
      <w:pPr>
        <w:adjustRightInd w:val="0"/>
        <w:snapToGrid w:val="0"/>
        <w:spacing w:line="578" w:lineRule="exact"/>
        <w:ind w:firstLine="640" w:firstLineChars="20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（2）地方配套资金60万元拨付县疾控中心，用于支付HIV抗体检测试剂及耗材采购、相关检测费用报销等。</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各项目实施单位财务管理制度健全，严格执行财务管理制度，及时账务处理，规范会计核算，及时完成财务年报、卫生统计年报、月报等。</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r>
        <w:rPr>
          <w:rFonts w:hint="default" w:ascii="Times New Roman" w:hAnsi="Times New Roman" w:eastAsia="仿宋" w:cs="Times New Roman"/>
          <w:sz w:val="32"/>
          <w:szCs w:val="32"/>
        </w:rPr>
        <w:t>盐边县卫生健康局</w:t>
      </w:r>
      <w:r>
        <w:rPr>
          <w:rFonts w:hint="default" w:ascii="Times New Roman" w:hAnsi="Times New Roman" w:eastAsia="仿宋" w:cs="Times New Roman"/>
          <w:sz w:val="32"/>
          <w:szCs w:val="32"/>
          <w:lang w:eastAsia="zh-CN"/>
        </w:rPr>
        <w:t>负责组织实施，加强所属医疗卫生单位开展疾病预防控制工作管理、考核和绩效评价</w:t>
      </w:r>
      <w:r>
        <w:rPr>
          <w:rFonts w:hint="default" w:ascii="Times New Roman" w:hAnsi="Times New Roman" w:eastAsia="仿宋" w:cs="Times New Roman"/>
          <w:sz w:val="32"/>
          <w:szCs w:val="32"/>
          <w:lang w:val="en-US" w:eastAsia="zh-CN"/>
        </w:rPr>
        <w:t>，县</w:t>
      </w:r>
      <w:r>
        <w:rPr>
          <w:rFonts w:hint="default" w:ascii="Times New Roman" w:hAnsi="Times New Roman" w:eastAsia="仿宋" w:cs="Times New Roman"/>
          <w:sz w:val="32"/>
          <w:szCs w:val="32"/>
          <w:lang w:eastAsia="zh-CN"/>
        </w:rPr>
        <w:t>疾病预防控制中心负责各医疗机构业务指导和项目管理，提供项目技术支持，各医疗机构具体负责实施相关工作。</w:t>
      </w:r>
    </w:p>
    <w:p>
      <w:pPr>
        <w:adjustRightInd w:val="0"/>
        <w:snapToGrid w:val="0"/>
        <w:spacing w:line="578" w:lineRule="exact"/>
        <w:ind w:firstLine="720"/>
        <w:rPr>
          <w:rFonts w:ascii="仿宋_GB2312" w:hAnsi="仿宋_GB2312" w:eastAsia="仿宋_GB2312" w:cs="仿宋_GB2312"/>
          <w:kern w:val="0"/>
          <w:sz w:val="32"/>
          <w:szCs w:val="32"/>
          <w:shd w:val="clear" w:color="auto" w:fill="FFFFFF"/>
          <w:lang w:val="zh-CN"/>
        </w:rPr>
      </w:pPr>
      <w:r>
        <w:rPr>
          <w:rFonts w:hint="eastAsia" w:ascii="楷体_GB2312" w:hAnsi="宋体" w:eastAsia="楷体_GB2312"/>
          <w:b/>
          <w:sz w:val="32"/>
          <w:szCs w:val="32"/>
          <w:lang w:val="zh-CN"/>
        </w:rPr>
        <w:t>（二）项目管理情况。</w:t>
      </w:r>
      <w:r>
        <w:rPr>
          <w:rFonts w:hint="eastAsia" w:ascii="仿宋_GB2312" w:hAnsi="仿宋_GB2312" w:eastAsia="仿宋_GB2312" w:cs="仿宋_GB2312"/>
          <w:kern w:val="0"/>
          <w:sz w:val="32"/>
          <w:szCs w:val="32"/>
          <w:shd w:val="clear" w:color="auto" w:fill="FFFFFF"/>
          <w:lang w:val="zh-CN"/>
        </w:rPr>
        <w:t>县卫生健康局结合本地情况统筹安排，对落实本项目各项活动中的不足经费协调解决，并根据工作进度合理使用上年结转资金，确保各项目标任务完成。</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楷体_GB2312" w:hAnsi="宋体" w:eastAsia="楷体_GB2312"/>
          <w:b/>
          <w:sz w:val="32"/>
          <w:szCs w:val="32"/>
          <w:lang w:val="zh-CN"/>
        </w:rPr>
        <w:t>（三）项目监管情况。</w:t>
      </w:r>
      <w:r>
        <w:rPr>
          <w:rFonts w:hint="eastAsia" w:ascii="仿宋_GB2312" w:hAnsi="仿宋_GB2312" w:eastAsia="仿宋_GB2312" w:cs="仿宋_GB2312"/>
          <w:kern w:val="0"/>
          <w:sz w:val="32"/>
          <w:szCs w:val="32"/>
          <w:shd w:val="clear" w:color="auto" w:fill="FFFFFF"/>
          <w:lang w:val="zh-CN"/>
        </w:rPr>
        <w:t>按照《中央补助地方卫生事业专项资金管理办法》和《四川省省级卫生事业财政专项资金管理暂行办法（川财社〔2004〕159号）、《四川省财政厅预算绩效管理工作实施方案》（川财办〔2019〕27号）、《四川省财政厅关于开展2020年度绩效运行自行监控工作的通知》（川财绩〔2020〕15号）的规定，加强资金的管理与监督，确保专项资金专款专用，适时开展绩效运行自行监控和评估。</w:t>
      </w:r>
    </w:p>
    <w:p>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（1）在治病人病毒载量检测比例97.85%</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（2）抗病毒治疗覆盖率96.74%</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（3）抗病毒治疗成功率97.44%</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（4）感染者/病人随访检测比例92.51%</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（5）阳性者配偶检测比例91.14%</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（6）孕产妇艾滋病、梅毒和乙肝检测率100%</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（7）适龄儿童国家免疫规划疫苗接种率91%</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（8）病原学阳性肺结核患者耐药筛查率100%</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（9）肺结核治疗成功率96.43%</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（10）在册严重精神障碍患者规范管理率95.29%</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（11）在册精神障碍患者治疗率80.57%</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（12）窝沟封闭完成率100%</w:t>
      </w:r>
    </w:p>
    <w:p>
      <w:pPr>
        <w:widowControl/>
        <w:adjustRightInd w:val="0"/>
        <w:snapToGrid w:val="0"/>
        <w:spacing w:line="578" w:lineRule="exact"/>
        <w:ind w:firstLine="640" w:firstLineChars="200"/>
        <w:contextualSpacing/>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（13）钉螺调查任务完成率100%</w:t>
      </w:r>
    </w:p>
    <w:p>
      <w:pPr>
        <w:widowControl/>
        <w:adjustRightInd w:val="0"/>
        <w:snapToGrid w:val="0"/>
        <w:spacing w:line="578" w:lineRule="exact"/>
        <w:ind w:firstLine="640" w:firstLineChars="200"/>
        <w:contextualSpacing/>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rPr>
        <w:t>（14）麻风病规定随访到位率100%</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盐边县落实落细各项工作措施，有效遏制艾滋病、结核病传播，减少地方病发生，减少麻风病危害，疾病防治知识知晓率进一步提升；全县免疫规划、精神卫生、慢性病防控、传染病监测及突发公共卫生事件处置、健康危害因素监测水平进一步提高，群众满意率95%，项目实现了预期目标。</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2023年重大传染病防治工作得到有序进行，项目总体指标完成较好，均能完成评价指标，达到预期值，自评为优良。</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1.宣传发动还不够深入，全人群传染病知晓率低。健康教育针对性不强，人群覆盖面窄，各类人群传染病知识知晓率和目标要求还有较大差距。</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2.筛查组织待加强，艾滋病病毒感染者和病人检测发现率低。基层组织动员不广泛，重点人群筛查未全覆盖，筛查效果差。</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3.协调配合待加强，部分单位履行艾防主体责任不明确。有的单位职责任务不明确，工作被动应付，工作人员频繁更换。</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（三）相关建议。</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1.强化宣传，营造良好防治氛围。各单位要采取多种方式，全面普及重大传染病防治知识和政策，动员全社会参与，提高知识知晓率。</w:t>
      </w:r>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2.综合施策，全方位推进工作开展。各单位要分工协作，密切配合，采取一切有效措施，推进重大传染病防治工作的开展。</w:t>
      </w:r>
    </w:p>
    <w:p>
      <w:pPr>
        <w:pStyle w:val="2"/>
        <w:jc w:val="center"/>
        <w:rPr>
          <w:rFonts w:hint="eastAsia" w:ascii="黑体" w:hAnsi="黑体" w:eastAsia="黑体"/>
        </w:rPr>
      </w:pPr>
    </w:p>
    <w:p>
      <w:pPr>
        <w:pStyle w:val="2"/>
        <w:jc w:val="center"/>
        <w:rPr>
          <w:rFonts w:hint="eastAsia" w:ascii="黑体" w:hAnsi="黑体" w:eastAsia="黑体"/>
        </w:rPr>
      </w:pPr>
    </w:p>
    <w:p>
      <w:pPr>
        <w:outlineLvl w:val="1"/>
        <w:rPr>
          <w:rFonts w:ascii="仿宋" w:hAnsi="仿宋" w:eastAsia="仿宋"/>
          <w:sz w:val="32"/>
          <w:szCs w:val="32"/>
        </w:rPr>
        <w:sectPr>
          <w:footerReference r:id="rId10" w:type="first"/>
          <w:footerReference r:id="rId9" w:type="default"/>
          <w:pgSz w:w="11906" w:h="16838"/>
          <w:pgMar w:top="1440" w:right="1800" w:bottom="1440" w:left="1800" w:header="851" w:footer="992" w:gutter="0"/>
          <w:pgNumType w:fmt="decimal" w:start="1"/>
          <w:cols w:space="425" w:num="1"/>
          <w:titlePg/>
          <w:docGrid w:type="lines" w:linePitch="312" w:charSpace="0"/>
        </w:sectPr>
      </w:pPr>
    </w:p>
    <w:p>
      <w:pPr>
        <w:pStyle w:val="2"/>
        <w:jc w:val="center"/>
        <w:rPr>
          <w:rFonts w:ascii="黑体" w:hAnsi="黑体" w:eastAsia="黑体"/>
        </w:rPr>
      </w:pPr>
      <w:r>
        <w:rPr>
          <w:rFonts w:hint="eastAsia" w:ascii="黑体" w:hAnsi="黑体" w:eastAsia="黑体"/>
        </w:rPr>
        <w:t>第五部分 附表</w:t>
      </w:r>
    </w:p>
    <w:p>
      <w:pPr>
        <w:rPr>
          <w:rFonts w:ascii="仿宋" w:hAnsi="仿宋" w:eastAsia="仿宋"/>
          <w:sz w:val="32"/>
          <w:szCs w:val="32"/>
        </w:rPr>
      </w:pPr>
      <w:r>
        <w:rPr>
          <w:rFonts w:hint="eastAsia" w:ascii="仿宋" w:hAnsi="仿宋" w:eastAsia="仿宋"/>
          <w:sz w:val="32"/>
          <w:szCs w:val="32"/>
        </w:rPr>
        <w:t>一、收入支出决算总表</w:t>
      </w:r>
    </w:p>
    <w:p>
      <w:pPr>
        <w:rPr>
          <w:rFonts w:ascii="仿宋" w:hAnsi="仿宋" w:eastAsia="仿宋"/>
          <w:sz w:val="32"/>
          <w:szCs w:val="32"/>
        </w:rPr>
      </w:pPr>
      <w:r>
        <w:rPr>
          <w:rFonts w:hint="eastAsia" w:ascii="仿宋" w:hAnsi="仿宋" w:eastAsia="仿宋"/>
          <w:sz w:val="32"/>
          <w:szCs w:val="32"/>
        </w:rPr>
        <w:t>二、收入决算表</w:t>
      </w:r>
    </w:p>
    <w:p>
      <w:pPr>
        <w:rPr>
          <w:rFonts w:ascii="仿宋" w:hAnsi="仿宋" w:eastAsia="仿宋"/>
          <w:sz w:val="32"/>
          <w:szCs w:val="32"/>
        </w:rPr>
      </w:pPr>
      <w:r>
        <w:rPr>
          <w:rFonts w:hint="eastAsia" w:ascii="仿宋" w:hAnsi="仿宋" w:eastAsia="仿宋"/>
          <w:sz w:val="32"/>
          <w:szCs w:val="32"/>
        </w:rPr>
        <w:t>三、支出决算表</w:t>
      </w:r>
    </w:p>
    <w:p>
      <w:pPr>
        <w:rPr>
          <w:rFonts w:ascii="仿宋" w:hAnsi="仿宋" w:eastAsia="仿宋"/>
          <w:sz w:val="32"/>
          <w:szCs w:val="32"/>
        </w:rPr>
      </w:pPr>
      <w:r>
        <w:rPr>
          <w:rFonts w:hint="eastAsia" w:ascii="仿宋" w:hAnsi="仿宋" w:eastAsia="仿宋"/>
          <w:sz w:val="32"/>
          <w:szCs w:val="32"/>
        </w:rPr>
        <w:t>四、财政拨款收入支出决算总表</w:t>
      </w:r>
    </w:p>
    <w:p>
      <w:pPr>
        <w:rPr>
          <w:rFonts w:ascii="仿宋" w:hAnsi="仿宋" w:eastAsia="仿宋"/>
          <w:sz w:val="32"/>
          <w:szCs w:val="32"/>
        </w:rPr>
      </w:pPr>
      <w:r>
        <w:rPr>
          <w:rFonts w:hint="eastAsia" w:ascii="仿宋" w:hAnsi="仿宋" w:eastAsia="仿宋"/>
          <w:sz w:val="32"/>
          <w:szCs w:val="32"/>
        </w:rPr>
        <w:t>五、财政拨款支出决算明细表</w:t>
      </w:r>
    </w:p>
    <w:p>
      <w:pPr>
        <w:rPr>
          <w:rFonts w:ascii="仿宋" w:hAnsi="仿宋" w:eastAsia="仿宋"/>
          <w:sz w:val="32"/>
          <w:szCs w:val="32"/>
        </w:rPr>
      </w:pPr>
      <w:r>
        <w:rPr>
          <w:rFonts w:hint="eastAsia" w:ascii="仿宋" w:hAnsi="仿宋" w:eastAsia="仿宋"/>
          <w:sz w:val="32"/>
          <w:szCs w:val="32"/>
        </w:rPr>
        <w:t>六、一般公共预算财政拨款支出决算表</w:t>
      </w:r>
    </w:p>
    <w:p>
      <w:pPr>
        <w:rPr>
          <w:rFonts w:ascii="仿宋" w:hAnsi="仿宋" w:eastAsia="仿宋"/>
          <w:sz w:val="32"/>
          <w:szCs w:val="32"/>
        </w:rPr>
      </w:pPr>
      <w:r>
        <w:rPr>
          <w:rFonts w:hint="eastAsia" w:ascii="仿宋" w:hAnsi="仿宋" w:eastAsia="仿宋"/>
          <w:sz w:val="32"/>
          <w:szCs w:val="32"/>
        </w:rPr>
        <w:t>七、一般公共预算财政拨款支出决算明细表</w:t>
      </w:r>
    </w:p>
    <w:p>
      <w:pPr>
        <w:rPr>
          <w:rFonts w:ascii="仿宋" w:hAnsi="仿宋" w:eastAsia="仿宋"/>
          <w:sz w:val="32"/>
          <w:szCs w:val="32"/>
        </w:rPr>
      </w:pPr>
      <w:r>
        <w:rPr>
          <w:rFonts w:hint="eastAsia" w:ascii="仿宋" w:hAnsi="仿宋" w:eastAsia="仿宋"/>
          <w:sz w:val="32"/>
          <w:szCs w:val="32"/>
        </w:rPr>
        <w:t>八、一般公共预算财政拨款基本支出决算表</w:t>
      </w:r>
    </w:p>
    <w:p>
      <w:pPr>
        <w:rPr>
          <w:rFonts w:ascii="仿宋" w:hAnsi="仿宋" w:eastAsia="仿宋"/>
          <w:sz w:val="32"/>
          <w:szCs w:val="32"/>
        </w:rPr>
      </w:pPr>
      <w:r>
        <w:rPr>
          <w:rFonts w:hint="eastAsia" w:ascii="仿宋" w:hAnsi="仿宋" w:eastAsia="仿宋"/>
          <w:sz w:val="32"/>
          <w:szCs w:val="32"/>
        </w:rPr>
        <w:t>九、一般公共预算财政拨款项目支出决算表</w:t>
      </w:r>
    </w:p>
    <w:p>
      <w:pPr>
        <w:rPr>
          <w:rFonts w:ascii="仿宋" w:hAnsi="仿宋" w:eastAsia="仿宋"/>
          <w:sz w:val="32"/>
          <w:szCs w:val="32"/>
        </w:rPr>
      </w:pPr>
      <w:r>
        <w:rPr>
          <w:rFonts w:hint="eastAsia" w:ascii="仿宋" w:hAnsi="仿宋" w:eastAsia="仿宋"/>
          <w:sz w:val="32"/>
          <w:szCs w:val="32"/>
        </w:rPr>
        <w:t>十、政府性基金预算财政拨款收入支出决算表</w:t>
      </w:r>
    </w:p>
    <w:p>
      <w:pPr>
        <w:rPr>
          <w:rFonts w:ascii="仿宋" w:hAnsi="仿宋" w:eastAsia="仿宋"/>
          <w:sz w:val="32"/>
          <w:szCs w:val="32"/>
        </w:rPr>
      </w:pPr>
      <w:r>
        <w:rPr>
          <w:rFonts w:hint="eastAsia" w:ascii="仿宋" w:hAnsi="仿宋" w:eastAsia="仿宋"/>
          <w:sz w:val="32"/>
          <w:szCs w:val="32"/>
        </w:rPr>
        <w:t>十一、国有资本经营预算财政拨款收入支出决算表</w:t>
      </w:r>
    </w:p>
    <w:p>
      <w:pPr>
        <w:rPr>
          <w:rFonts w:ascii="仿宋" w:hAnsi="仿宋" w:eastAsia="仿宋"/>
          <w:sz w:val="32"/>
          <w:szCs w:val="32"/>
        </w:rPr>
      </w:pPr>
      <w:r>
        <w:rPr>
          <w:rFonts w:hint="eastAsia" w:ascii="仿宋" w:hAnsi="仿宋" w:eastAsia="仿宋"/>
          <w:sz w:val="32"/>
          <w:szCs w:val="32"/>
        </w:rPr>
        <w:t>十二、国有资本经营预算财政拨款支出决算表</w:t>
      </w:r>
    </w:p>
    <w:p>
      <w:pPr>
        <w:rPr>
          <w:rFonts w:ascii="仿宋" w:hAnsi="仿宋" w:eastAsia="仿宋"/>
          <w:sz w:val="32"/>
          <w:szCs w:val="32"/>
        </w:rPr>
      </w:pPr>
      <w:r>
        <w:rPr>
          <w:rFonts w:hint="eastAsia" w:ascii="仿宋" w:hAnsi="仿宋" w:eastAsia="仿宋"/>
          <w:sz w:val="32"/>
          <w:szCs w:val="32"/>
        </w:rPr>
        <w:t>十三、财政拨款“三公”经费支出决算表</w:t>
      </w:r>
    </w:p>
    <w:p>
      <w:pPr>
        <w:outlineLvl w:val="1"/>
        <w:rPr>
          <w:rFonts w:ascii="仿宋" w:hAnsi="仿宋" w:eastAsia="仿宋"/>
          <w:sz w:val="32"/>
          <w:szCs w:val="32"/>
        </w:rPr>
      </w:pPr>
    </w:p>
    <w:sectPr>
      <w:footerReference r:id="rId12" w:type="first"/>
      <w:footerReference r:id="rId11" w:type="default"/>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
    <w:altName w:val="华文中宋"/>
    <w:panose1 w:val="00000000000000000000"/>
    <w:charset w:val="00"/>
    <w:family w:val="roman"/>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A00002BF" w:usb1="184F6CFA" w:usb2="00000012" w:usb3="00000000" w:csb0="00040001" w:csb1="00000000"/>
  </w:font>
  <w:font w:name="CESI仿宋-GB13000">
    <w:panose1 w:val="02000500000000000000"/>
    <w:charset w:val="86"/>
    <w:family w:val="auto"/>
    <w:pitch w:val="default"/>
    <w:sig w:usb0="800002BF" w:usb1="18CF7CF8" w:usb2="00000016" w:usb3="00000000" w:csb0="0004000F" w:csb1="00000000"/>
  </w:font>
  <w:font w:name="CESI仿宋-GB2312">
    <w:panose1 w:val="02000500000000000000"/>
    <w:charset w:val="86"/>
    <w:family w:val="auto"/>
    <w:pitch w:val="default"/>
    <w:sig w:usb0="800002AF" w:usb1="084F6CF8" w:usb2="00000010" w:usb3="00000000" w:csb0="0004000F" w:csb1="00000000"/>
  </w:font>
  <w:font w:name="方正小标宋_GBK">
    <w:panose1 w:val="02000000000000000000"/>
    <w:charset w:val="86"/>
    <w:family w:val="script"/>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12"/>
          <w:jc w:val="center"/>
        </w:pPr>
        <w:r>
          <w:fldChar w:fldCharType="begin"/>
        </w:r>
        <w:r>
          <w:instrText xml:space="preserve">PAGE   \* MERGEFORMAT</w:instrText>
        </w:r>
        <w:r>
          <w:fldChar w:fldCharType="separate"/>
        </w:r>
        <w:r>
          <w:rPr>
            <w:lang w:val="zh-CN"/>
          </w:rPr>
          <w:t>23</w:t>
        </w:r>
        <w:r>
          <w:fldChar w:fldCharType="end"/>
        </w:r>
      </w:p>
    </w:sdtContent>
  </w:sdt>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tabs>
        <w:tab w:val="clear" w:pos="4153"/>
      </w:tabs>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s>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tabs>
        <w:tab w:val="clear" w:pos="4153"/>
      </w:tabs>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s>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p>
                              <w:pPr>
                                <w:pStyle w:val="12"/>
                                <w:jc w:val="center"/>
                              </w:pPr>
                              <w:r>
                                <w:fldChar w:fldCharType="begin"/>
                              </w:r>
                              <w:r>
                                <w:instrText xml:space="preserve">PAGE   \* MERGEFORMAT</w:instrText>
                              </w:r>
                              <w:r>
                                <w:fldChar w:fldCharType="separate"/>
                              </w:r>
                              <w:r>
                                <w:rPr>
                                  <w:lang w:val="zh-CN"/>
                                </w:rPr>
                                <w:t>23</w:t>
                              </w:r>
                              <w:r>
                                <w:fldChar w:fldCharType="end"/>
                              </w:r>
                            </w:p>
                          </w:sdtContent>
                        </w:sdt>
                        <w:p>
                          <w:pPr>
                            <w:pStyle w:val="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ClSD0MgIAAGEEAAAOAAAAZHJz&#10;L2Uyb0RvYy54bWytVM2O0zAQviPxDpbvNGkRq27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AKVIPQyAgAAYQQAAA4AAAAAAAAAAQAgAAAA&#10;NQEAAGRycy9lMm9Eb2MueG1sUEsFBgAAAAAGAAYAWQEAANkFAAAAAA==&#10;">
              <v:fill on="f" focussize="0,0"/>
              <v:stroke on="f" weight="0.5pt"/>
              <v:imagedata o:title=""/>
              <o:lock v:ext="edit" aspectratio="f"/>
              <v:textbox inset="0mm,0mm,0mm,0mm" style="mso-fit-shape-to-text:t;">
                <w:txbxContent>
                  <w:sdt>
                    <w:sdtPr>
                      <w:id w:val="-1"/>
                    </w:sdtPr>
                    <w:sdtContent>
                      <w:p>
                        <w:pPr>
                          <w:pStyle w:val="12"/>
                          <w:jc w:val="center"/>
                        </w:pPr>
                        <w:r>
                          <w:fldChar w:fldCharType="begin"/>
                        </w:r>
                        <w:r>
                          <w:instrText xml:space="preserve">PAGE   \* MERGEFORMAT</w:instrText>
                        </w:r>
                        <w:r>
                          <w:fldChar w:fldCharType="separate"/>
                        </w:r>
                        <w:r>
                          <w:rPr>
                            <w:lang w:val="zh-CN"/>
                          </w:rPr>
                          <w:t>23</w:t>
                        </w:r>
                        <w:r>
                          <w:fldChar w:fldCharType="end"/>
                        </w:r>
                      </w:p>
                    </w:sdtContent>
                  </w:sdt>
                  <w:p>
                    <w:pPr>
                      <w:pStyle w:val="5"/>
                    </w:pPr>
                  </w:p>
                </w:txbxContent>
              </v:textbox>
            </v:shape>
          </w:pict>
        </mc:Fallback>
      </mc:AlternateContent>
    </w:r>
  </w:p>
  <w:p>
    <w:pPr>
      <w:pStyle w:val="12"/>
      <w:tabs>
        <w:tab w:val="clear" w:pos="4153"/>
      </w:tabs>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s>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qK+VMQ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&#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qaivlTECAABjBAAADgAAAAAAAAABACAAAAA1&#10;AQAAZHJzL2Uyb0RvYy54bWxQSwUGAAAAAAYABgBZAQAA2A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p>
                              <w:pPr>
                                <w:pStyle w:val="12"/>
                                <w:jc w:val="center"/>
                              </w:pPr>
                              <w:r>
                                <w:fldChar w:fldCharType="begin"/>
                              </w:r>
                              <w:r>
                                <w:instrText xml:space="preserve">PAGE   \* MERGEFORMAT</w:instrText>
                              </w:r>
                              <w:r>
                                <w:fldChar w:fldCharType="separate"/>
                              </w:r>
                              <w:r>
                                <w:rPr>
                                  <w:lang w:val="zh-CN"/>
                                </w:rPr>
                                <w:t>23</w:t>
                              </w:r>
                              <w:r>
                                <w:fldChar w:fldCharType="end"/>
                              </w:r>
                            </w:p>
                          </w:sdtContent>
                        </w:sdt>
                        <w:p>
                          <w:pPr>
                            <w:pStyle w:val="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sdt>
                    <w:sdtPr>
                      <w:id w:val="-1"/>
                    </w:sdtPr>
                    <w:sdtContent>
                      <w:p>
                        <w:pPr>
                          <w:pStyle w:val="12"/>
                          <w:jc w:val="center"/>
                        </w:pPr>
                        <w:r>
                          <w:fldChar w:fldCharType="begin"/>
                        </w:r>
                        <w:r>
                          <w:instrText xml:space="preserve">PAGE   \* MERGEFORMAT</w:instrText>
                        </w:r>
                        <w:r>
                          <w:fldChar w:fldCharType="separate"/>
                        </w:r>
                        <w:r>
                          <w:rPr>
                            <w:lang w:val="zh-CN"/>
                          </w:rPr>
                          <w:t>23</w:t>
                        </w:r>
                        <w:r>
                          <w:fldChar w:fldCharType="end"/>
                        </w:r>
                      </w:p>
                    </w:sdtContent>
                  </w:sdt>
                  <w:p>
                    <w:pPr>
                      <w:pStyle w:val="5"/>
                    </w:pPr>
                  </w:p>
                </w:txbxContent>
              </v:textbox>
            </v:shape>
          </w:pict>
        </mc:Fallback>
      </mc:AlternateContent>
    </w:r>
  </w:p>
  <w:p>
    <w:pPr>
      <w:pStyle w:val="12"/>
      <w:tabs>
        <w:tab w:val="clear" w:pos="4153"/>
      </w:tabs>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s>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6wA4ejECAABjBAAADgAAAAAAAAABACAAAAA1&#10;AQAAZHJzL2Uyb0RvYy54bWxQSwUGAAAAAAYABgBZAQAA2A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FF7B5A44"/>
    <w:multiLevelType w:val="singleLevel"/>
    <w:tmpl w:val="FF7B5A44"/>
    <w:lvl w:ilvl="0" w:tentative="0">
      <w:start w:val="2"/>
      <w:numFmt w:val="chineseCounting"/>
      <w:suff w:val="nothing"/>
      <w:lvlText w:val="（%1）"/>
      <w:lvlJc w:val="left"/>
      <w:rPr>
        <w:rFonts w:hint="eastAsia"/>
      </w:rPr>
    </w:lvl>
  </w:abstractNum>
  <w:abstractNum w:abstractNumId="2">
    <w:nsid w:val="FF9FC194"/>
    <w:multiLevelType w:val="singleLevel"/>
    <w:tmpl w:val="FF9FC194"/>
    <w:lvl w:ilvl="0" w:tentative="0">
      <w:start w:val="3"/>
      <w:numFmt w:val="decimal"/>
      <w:suff w:val="nothing"/>
      <w:lvlText w:val="%1．"/>
      <w:lvlJc w:val="left"/>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3E794925"/>
    <w:multiLevelType w:val="singleLevel"/>
    <w:tmpl w:val="3E794925"/>
    <w:lvl w:ilvl="0" w:tentative="0">
      <w:start w:val="3"/>
      <w:numFmt w:val="chineseCounting"/>
      <w:suff w:val="nothing"/>
      <w:lvlText w:val="（%1）"/>
      <w:lvlJc w:val="left"/>
      <w:rPr>
        <w:rFonts w:hint="eastAsia"/>
      </w:rPr>
    </w:lvl>
  </w:abstractNum>
  <w:abstractNum w:abstractNumId="5">
    <w:nsid w:val="64BB7037"/>
    <w:multiLevelType w:val="singleLevel"/>
    <w:tmpl w:val="64BB7037"/>
    <w:lvl w:ilvl="0" w:tentative="0">
      <w:start w:val="1"/>
      <w:numFmt w:val="decimal"/>
      <w:lvlText w:val="%1."/>
      <w:lvlJc w:val="left"/>
      <w:pPr>
        <w:tabs>
          <w:tab w:val="left" w:pos="312"/>
        </w:tabs>
      </w:pPr>
    </w:lvl>
  </w:abstractNum>
  <w:abstractNum w:abstractNumId="6">
    <w:nsid w:val="7938380D"/>
    <w:multiLevelType w:val="singleLevel"/>
    <w:tmpl w:val="7938380D"/>
    <w:lvl w:ilvl="0" w:tentative="0">
      <w:start w:val="2"/>
      <w:numFmt w:val="decimal"/>
      <w:suff w:val="nothing"/>
      <w:lvlText w:val="%1．"/>
      <w:lvlJc w:val="left"/>
    </w:lvl>
  </w:abstractNum>
  <w:abstractNum w:abstractNumId="7">
    <w:nsid w:val="7EB73AD0"/>
    <w:multiLevelType w:val="singleLevel"/>
    <w:tmpl w:val="7EB73AD0"/>
    <w:lvl w:ilvl="0" w:tentative="0">
      <w:start w:val="1"/>
      <w:numFmt w:val="chineseCounting"/>
      <w:suff w:val="nothing"/>
      <w:lvlText w:val="%1、"/>
      <w:lvlJc w:val="left"/>
      <w:rPr>
        <w:rFonts w:hint="eastAsia"/>
      </w:rPr>
    </w:lvl>
  </w:abstractNum>
  <w:abstractNum w:abstractNumId="8">
    <w:nsid w:val="7EEEBAE5"/>
    <w:multiLevelType w:val="singleLevel"/>
    <w:tmpl w:val="7EEEBAE5"/>
    <w:lvl w:ilvl="0" w:tentative="0">
      <w:start w:val="2"/>
      <w:numFmt w:val="decimal"/>
      <w:suff w:val="nothing"/>
      <w:lvlText w:val="%1．"/>
      <w:lvlJc w:val="left"/>
    </w:lvl>
  </w:abstractNum>
  <w:num w:numId="1">
    <w:abstractNumId w:val="7"/>
  </w:num>
  <w:num w:numId="2">
    <w:abstractNumId w:val="5"/>
  </w:num>
  <w:num w:numId="3">
    <w:abstractNumId w:val="3"/>
  </w:num>
  <w:num w:numId="4">
    <w:abstractNumId w:val="0"/>
  </w:num>
  <w:num w:numId="5">
    <w:abstractNumId w:val="4"/>
  </w:num>
  <w:num w:numId="6">
    <w:abstractNumId w:val="1"/>
  </w:num>
  <w:num w:numId="7">
    <w:abstractNumId w:val="2"/>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6584091"/>
    <w:rsid w:val="066E0107"/>
    <w:rsid w:val="07996F6E"/>
    <w:rsid w:val="07DFD8BA"/>
    <w:rsid w:val="0A2032A3"/>
    <w:rsid w:val="0D35B1ED"/>
    <w:rsid w:val="0E7ED1F5"/>
    <w:rsid w:val="0F98263C"/>
    <w:rsid w:val="101860EC"/>
    <w:rsid w:val="10C055FF"/>
    <w:rsid w:val="118107EC"/>
    <w:rsid w:val="13D50BC4"/>
    <w:rsid w:val="13F5616D"/>
    <w:rsid w:val="160A4032"/>
    <w:rsid w:val="16BB723D"/>
    <w:rsid w:val="17F9714D"/>
    <w:rsid w:val="1918F934"/>
    <w:rsid w:val="19C31ED3"/>
    <w:rsid w:val="1B1B468B"/>
    <w:rsid w:val="1BE8440E"/>
    <w:rsid w:val="1C2776E6"/>
    <w:rsid w:val="1D155CEE"/>
    <w:rsid w:val="1DFBC4B3"/>
    <w:rsid w:val="1E740ACF"/>
    <w:rsid w:val="1F19C781"/>
    <w:rsid w:val="1F33FCE5"/>
    <w:rsid w:val="1F7F7398"/>
    <w:rsid w:val="1FD2DB6F"/>
    <w:rsid w:val="1FF35744"/>
    <w:rsid w:val="1FF6BC77"/>
    <w:rsid w:val="1FF9236D"/>
    <w:rsid w:val="20742119"/>
    <w:rsid w:val="22043726"/>
    <w:rsid w:val="2333840E"/>
    <w:rsid w:val="23860B96"/>
    <w:rsid w:val="240371BF"/>
    <w:rsid w:val="257C638F"/>
    <w:rsid w:val="29FD04D3"/>
    <w:rsid w:val="2BFF7BC6"/>
    <w:rsid w:val="2C8A61B5"/>
    <w:rsid w:val="2CD59C95"/>
    <w:rsid w:val="2DF04E50"/>
    <w:rsid w:val="2EFD05E5"/>
    <w:rsid w:val="2F040D46"/>
    <w:rsid w:val="2F4F95CE"/>
    <w:rsid w:val="2FA6BF9D"/>
    <w:rsid w:val="2FACAFDD"/>
    <w:rsid w:val="2FAE5751"/>
    <w:rsid w:val="2FB1A395"/>
    <w:rsid w:val="2FCC36F6"/>
    <w:rsid w:val="2FCF0B76"/>
    <w:rsid w:val="2FD9A7D8"/>
    <w:rsid w:val="319F7F4E"/>
    <w:rsid w:val="3304709D"/>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E79925"/>
    <w:rsid w:val="3BF5BC2F"/>
    <w:rsid w:val="3BF7C23A"/>
    <w:rsid w:val="3BFF223E"/>
    <w:rsid w:val="3C6EC0A1"/>
    <w:rsid w:val="3CDB0824"/>
    <w:rsid w:val="3CEBA265"/>
    <w:rsid w:val="3D6A7F9F"/>
    <w:rsid w:val="3D7E7F4D"/>
    <w:rsid w:val="3D98207C"/>
    <w:rsid w:val="3D9CF30A"/>
    <w:rsid w:val="3DFF5A3E"/>
    <w:rsid w:val="3DFF64EB"/>
    <w:rsid w:val="3E78745D"/>
    <w:rsid w:val="3EEE77E9"/>
    <w:rsid w:val="3F394AF5"/>
    <w:rsid w:val="3FBE5714"/>
    <w:rsid w:val="3FDD8615"/>
    <w:rsid w:val="3FDFB2FF"/>
    <w:rsid w:val="3FF4CAE0"/>
    <w:rsid w:val="3FF75FAF"/>
    <w:rsid w:val="3FF7B227"/>
    <w:rsid w:val="44E268DA"/>
    <w:rsid w:val="457F4F6B"/>
    <w:rsid w:val="4737FB58"/>
    <w:rsid w:val="47ECCB02"/>
    <w:rsid w:val="47FA6A3F"/>
    <w:rsid w:val="481F64FB"/>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28A6861"/>
    <w:rsid w:val="53425514"/>
    <w:rsid w:val="537E6D0A"/>
    <w:rsid w:val="53AB6B88"/>
    <w:rsid w:val="53F74C96"/>
    <w:rsid w:val="5583522D"/>
    <w:rsid w:val="57BD3DD4"/>
    <w:rsid w:val="57F9CD1E"/>
    <w:rsid w:val="5AF92295"/>
    <w:rsid w:val="5AF9D8E9"/>
    <w:rsid w:val="5BDD38BD"/>
    <w:rsid w:val="5BDD79E6"/>
    <w:rsid w:val="5BEFC772"/>
    <w:rsid w:val="5BF368BE"/>
    <w:rsid w:val="5BFC7176"/>
    <w:rsid w:val="5BFF5DFC"/>
    <w:rsid w:val="5CD71FC4"/>
    <w:rsid w:val="5D1F11B5"/>
    <w:rsid w:val="5D3647F9"/>
    <w:rsid w:val="5DA644D4"/>
    <w:rsid w:val="5DAE1B18"/>
    <w:rsid w:val="5DE7D9E5"/>
    <w:rsid w:val="5E8C6FBD"/>
    <w:rsid w:val="5ECEC941"/>
    <w:rsid w:val="5EFF8FC6"/>
    <w:rsid w:val="5F5BA39A"/>
    <w:rsid w:val="5F7D3B79"/>
    <w:rsid w:val="5F7D5BB7"/>
    <w:rsid w:val="5F7F4610"/>
    <w:rsid w:val="5FBF9FF3"/>
    <w:rsid w:val="5FCD4E2C"/>
    <w:rsid w:val="5FEF394A"/>
    <w:rsid w:val="5FF67715"/>
    <w:rsid w:val="61CA71D5"/>
    <w:rsid w:val="627EE9EA"/>
    <w:rsid w:val="63B23AA5"/>
    <w:rsid w:val="64621411"/>
    <w:rsid w:val="647F5392"/>
    <w:rsid w:val="64E322C4"/>
    <w:rsid w:val="65FB93B9"/>
    <w:rsid w:val="6633C463"/>
    <w:rsid w:val="67D55B77"/>
    <w:rsid w:val="67DE09D8"/>
    <w:rsid w:val="67EE7F84"/>
    <w:rsid w:val="686F5F53"/>
    <w:rsid w:val="6A7FFA73"/>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CAE78F"/>
    <w:rsid w:val="74ED5379"/>
    <w:rsid w:val="75DEEEC2"/>
    <w:rsid w:val="75FE5142"/>
    <w:rsid w:val="767F479D"/>
    <w:rsid w:val="76E3355F"/>
    <w:rsid w:val="76F742AF"/>
    <w:rsid w:val="76F7BE7D"/>
    <w:rsid w:val="76FF5125"/>
    <w:rsid w:val="773570D3"/>
    <w:rsid w:val="77597F31"/>
    <w:rsid w:val="776F6FFA"/>
    <w:rsid w:val="7777A522"/>
    <w:rsid w:val="77858688"/>
    <w:rsid w:val="778769C8"/>
    <w:rsid w:val="77CB741A"/>
    <w:rsid w:val="77D50D1C"/>
    <w:rsid w:val="77D7BE3A"/>
    <w:rsid w:val="77DC22F5"/>
    <w:rsid w:val="797E3A6C"/>
    <w:rsid w:val="79CF70E2"/>
    <w:rsid w:val="79D7FD79"/>
    <w:rsid w:val="79E75806"/>
    <w:rsid w:val="79EE5BA4"/>
    <w:rsid w:val="7A641148"/>
    <w:rsid w:val="7A6F8BF5"/>
    <w:rsid w:val="7A894339"/>
    <w:rsid w:val="7ACF82B5"/>
    <w:rsid w:val="7ADE4B6F"/>
    <w:rsid w:val="7AFF28C9"/>
    <w:rsid w:val="7AFF72A0"/>
    <w:rsid w:val="7AFF7572"/>
    <w:rsid w:val="7B6C7DFB"/>
    <w:rsid w:val="7B7D76A7"/>
    <w:rsid w:val="7BAE2FE2"/>
    <w:rsid w:val="7BAF6951"/>
    <w:rsid w:val="7BBFBED0"/>
    <w:rsid w:val="7BC3E394"/>
    <w:rsid w:val="7BF3FE4C"/>
    <w:rsid w:val="7BFB5035"/>
    <w:rsid w:val="7BFDE17E"/>
    <w:rsid w:val="7BFFCBFA"/>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46FEA"/>
    <w:rsid w:val="7FF5890D"/>
    <w:rsid w:val="7FF5EB09"/>
    <w:rsid w:val="7FF89B92"/>
    <w:rsid w:val="7FF8F2E7"/>
    <w:rsid w:val="7FF93490"/>
    <w:rsid w:val="7FFA6237"/>
    <w:rsid w:val="7FFB5275"/>
    <w:rsid w:val="7FFD14DE"/>
    <w:rsid w:val="7FFFF783"/>
    <w:rsid w:val="93F70A9E"/>
    <w:rsid w:val="969F9126"/>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5F48C4"/>
    <w:rsid w:val="BF7F09AC"/>
    <w:rsid w:val="BFB3380D"/>
    <w:rsid w:val="BFB7E7A2"/>
    <w:rsid w:val="BFC2F103"/>
    <w:rsid w:val="BFD475C3"/>
    <w:rsid w:val="BFDAAE76"/>
    <w:rsid w:val="BFDE5EA6"/>
    <w:rsid w:val="BFDFEB8D"/>
    <w:rsid w:val="BFEF99E9"/>
    <w:rsid w:val="BFF9E564"/>
    <w:rsid w:val="BFFB78E6"/>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7F5897"/>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11D31FD"/>
    <w:rsid w:val="E2BD0ED5"/>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1FBB2E1"/>
    <w:rsid w:val="F2BEBCB8"/>
    <w:rsid w:val="F36FB518"/>
    <w:rsid w:val="F3DE1A04"/>
    <w:rsid w:val="F3E244FA"/>
    <w:rsid w:val="F3EFB7CA"/>
    <w:rsid w:val="F3F722E5"/>
    <w:rsid w:val="F699BB1A"/>
    <w:rsid w:val="F6DEABFE"/>
    <w:rsid w:val="F7B650C7"/>
    <w:rsid w:val="F7BEE329"/>
    <w:rsid w:val="F7E55095"/>
    <w:rsid w:val="F7EF9033"/>
    <w:rsid w:val="F7FDC2B1"/>
    <w:rsid w:val="F8DDDAC6"/>
    <w:rsid w:val="F96B55C8"/>
    <w:rsid w:val="FA2F5BEB"/>
    <w:rsid w:val="FA5F1E70"/>
    <w:rsid w:val="FA5FDB97"/>
    <w:rsid w:val="FB1BB959"/>
    <w:rsid w:val="FB75E3C8"/>
    <w:rsid w:val="FB7F461B"/>
    <w:rsid w:val="FB7F486A"/>
    <w:rsid w:val="FB7F6E28"/>
    <w:rsid w:val="FB8778F4"/>
    <w:rsid w:val="FB9E06E3"/>
    <w:rsid w:val="FBB61866"/>
    <w:rsid w:val="FBEE055A"/>
    <w:rsid w:val="FBF7C102"/>
    <w:rsid w:val="FBF91527"/>
    <w:rsid w:val="FBFD1260"/>
    <w:rsid w:val="FBFF5B2E"/>
    <w:rsid w:val="FC833EBB"/>
    <w:rsid w:val="FC9D5473"/>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03718"/>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778F5"/>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Salutation"/>
    <w:basedOn w:val="1"/>
    <w:next w:val="1"/>
    <w:unhideWhenUsed/>
    <w:qFormat/>
    <w:uiPriority w:val="99"/>
  </w:style>
  <w:style w:type="paragraph" w:styleId="6">
    <w:name w:val="Body Text"/>
    <w:basedOn w:val="1"/>
    <w:link w:val="27"/>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qFormat/>
    <w:uiPriority w:val="0"/>
    <w:rPr>
      <w:rFonts w:ascii="宋体" w:hAnsi="Courier New"/>
    </w:rPr>
  </w:style>
  <w:style w:type="paragraph" w:styleId="11">
    <w:name w:val="Balloon Text"/>
    <w:basedOn w:val="1"/>
    <w:link w:val="33"/>
    <w:semiHidden/>
    <w:unhideWhenUsed/>
    <w:qFormat/>
    <w:uiPriority w:val="99"/>
    <w:rPr>
      <w:sz w:val="18"/>
      <w:szCs w:val="18"/>
    </w:rPr>
  </w:style>
  <w:style w:type="paragraph" w:styleId="12">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toc 2"/>
    <w:basedOn w:val="1"/>
    <w:next w:val="1"/>
    <w:unhideWhenUsed/>
    <w:qFormat/>
    <w:uiPriority w:val="39"/>
    <w:pPr>
      <w:tabs>
        <w:tab w:val="right" w:leader="dot" w:pos="8296"/>
      </w:tabs>
      <w:ind w:left="420" w:leftChars="200"/>
    </w:pPr>
  </w:style>
  <w:style w:type="paragraph" w:styleId="16">
    <w:name w:val="Normal (Web)"/>
    <w:basedOn w:val="1"/>
    <w:semiHidden/>
    <w:unhideWhenUsed/>
    <w:qFormat/>
    <w:uiPriority w:val="99"/>
    <w:rPr>
      <w:sz w:val="24"/>
    </w:r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8"/>
    <w:semiHidden/>
    <w:qFormat/>
    <w:uiPriority w:val="99"/>
    <w:rPr>
      <w:rFonts w:ascii="Times New Roman" w:hAnsi="Times New Roman"/>
      <w:sz w:val="18"/>
      <w:szCs w:val="18"/>
    </w:rPr>
  </w:style>
  <w:style w:type="character" w:customStyle="1" w:styleId="23">
    <w:name w:val="页眉 字符"/>
    <w:link w:val="13"/>
    <w:semiHidden/>
    <w:qFormat/>
    <w:locked/>
    <w:uiPriority w:val="99"/>
    <w:rPr>
      <w:sz w:val="18"/>
    </w:rPr>
  </w:style>
  <w:style w:type="character" w:customStyle="1" w:styleId="24">
    <w:name w:val="Footer Char"/>
    <w:basedOn w:val="18"/>
    <w:semiHidden/>
    <w:qFormat/>
    <w:uiPriority w:val="99"/>
    <w:rPr>
      <w:rFonts w:ascii="Times New Roman" w:hAnsi="Times New Roman"/>
      <w:sz w:val="18"/>
      <w:szCs w:val="18"/>
    </w:rPr>
  </w:style>
  <w:style w:type="character" w:customStyle="1" w:styleId="25">
    <w:name w:val="页脚 字符"/>
    <w:link w:val="12"/>
    <w:qFormat/>
    <w:locked/>
    <w:uiPriority w:val="99"/>
    <w:rPr>
      <w:sz w:val="18"/>
    </w:rPr>
  </w:style>
  <w:style w:type="character" w:customStyle="1" w:styleId="26">
    <w:name w:val="Body Text Char"/>
    <w:basedOn w:val="18"/>
    <w:semiHidden/>
    <w:qFormat/>
    <w:uiPriority w:val="99"/>
    <w:rPr>
      <w:rFonts w:ascii="Times New Roman" w:hAnsi="Times New Roman"/>
      <w:szCs w:val="24"/>
    </w:rPr>
  </w:style>
  <w:style w:type="character" w:customStyle="1" w:styleId="27">
    <w:name w:val="正文文本 字符"/>
    <w:link w:val="6"/>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字符"/>
    <w:basedOn w:val="18"/>
    <w:link w:val="2"/>
    <w:qFormat/>
    <w:uiPriority w:val="9"/>
    <w:rPr>
      <w:rFonts w:ascii="Times New Roman" w:hAnsi="Times New Roman"/>
      <w:b/>
      <w:bCs/>
      <w:kern w:val="44"/>
      <w:sz w:val="44"/>
      <w:szCs w:val="44"/>
    </w:rPr>
  </w:style>
  <w:style w:type="character" w:customStyle="1" w:styleId="31">
    <w:name w:val="标题 2 字符"/>
    <w:basedOn w:val="18"/>
    <w:link w:val="3"/>
    <w:qFormat/>
    <w:uiPriority w:val="9"/>
    <w:rPr>
      <w:rFonts w:asciiTheme="majorHAnsi" w:hAnsiTheme="majorHAnsi" w:eastAsiaTheme="majorEastAsia" w:cstheme="majorBidi"/>
      <w:b/>
      <w:bCs/>
      <w:kern w:val="2"/>
      <w:sz w:val="32"/>
      <w:szCs w:val="32"/>
    </w:rPr>
  </w:style>
  <w:style w:type="paragraph" w:customStyle="1" w:styleId="3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批注框文本 字符"/>
    <w:basedOn w:val="18"/>
    <w:link w:val="11"/>
    <w:semiHidden/>
    <w:qFormat/>
    <w:uiPriority w:val="99"/>
    <w:rPr>
      <w:rFonts w:ascii="Times New Roman" w:hAnsi="Times New Roman"/>
      <w:kern w:val="2"/>
      <w:sz w:val="18"/>
      <w:szCs w:val="18"/>
    </w:rPr>
  </w:style>
  <w:style w:type="character" w:customStyle="1" w:styleId="34">
    <w:name w:val="标题 3 字符"/>
    <w:basedOn w:val="18"/>
    <w:link w:val="4"/>
    <w:qFormat/>
    <w:uiPriority w:val="9"/>
    <w:rPr>
      <w:rFonts w:ascii="Times New Roman" w:hAnsi="Times New Roman"/>
      <w:b/>
      <w:bCs/>
      <w:kern w:val="2"/>
      <w:sz w:val="32"/>
      <w:szCs w:val="32"/>
    </w:rPr>
  </w:style>
  <w:style w:type="paragraph" w:customStyle="1" w:styleId="3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paragraph" w:customStyle="1" w:styleId="37">
    <w:name w:val="WPSOffice手动目录 1"/>
    <w:qFormat/>
    <w:uiPriority w:val="0"/>
    <w:pPr>
      <w:ind w:leftChars="0"/>
    </w:pPr>
    <w:rPr>
      <w:rFonts w:ascii="Times New Roman" w:hAnsi="Times New Roman" w:eastAsia="宋体" w:cs="Times New Roman"/>
      <w:sz w:val="20"/>
      <w:szCs w:val="20"/>
    </w:rPr>
  </w:style>
  <w:style w:type="paragraph" w:customStyle="1" w:styleId="38">
    <w:name w:val="WPSOffice手动目录 2"/>
    <w:qFormat/>
    <w:uiPriority w:val="0"/>
    <w:pPr>
      <w:ind w:leftChars="200"/>
    </w:pPr>
    <w:rPr>
      <w:rFonts w:ascii="Times New Roman" w:hAnsi="Times New Roman" w:eastAsia="宋体" w:cs="Times New Roman"/>
      <w:sz w:val="20"/>
      <w:szCs w:val="20"/>
    </w:rPr>
  </w:style>
  <w:style w:type="paragraph" w:customStyle="1" w:styleId="39">
    <w:name w:val="WPSOffice手动目录 3"/>
    <w:qFormat/>
    <w:uiPriority w:val="0"/>
    <w:pPr>
      <w:ind w:leftChars="400"/>
    </w:pPr>
    <w:rPr>
      <w:rFonts w:ascii="Times New Roman" w:hAnsi="Times New Roman" w:eastAsia="宋体" w:cs="Times New Roman"/>
      <w:sz w:val="20"/>
      <w:szCs w:val="20"/>
    </w:rPr>
  </w:style>
  <w:style w:type="character" w:customStyle="1" w:styleId="40">
    <w:name w:val="标题 1 Char"/>
    <w:link w:val="2"/>
    <w:qFormat/>
    <w:uiPriority w:val="9"/>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chart" Target="charts/chart4.xml"/><Relationship Id="rId16" Type="http://schemas.openxmlformats.org/officeDocument/2006/relationships/chart" Target="charts/chart3.xml"/><Relationship Id="rId15" Type="http://schemas.openxmlformats.org/officeDocument/2006/relationships/chart" Target="charts/chart2.xml"/><Relationship Id="rId14" Type="http://schemas.openxmlformats.org/officeDocument/2006/relationships/chart" Target="charts/chart1.xml"/><Relationship Id="rId13" Type="http://schemas.openxmlformats.org/officeDocument/2006/relationships/theme" Target="theme/theme1.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4709905948455"/>
          <c:y val="0.027002861230329"/>
          <c:w val="0.748259435690729"/>
          <c:h val="0.866773962804006"/>
        </c:manualLayout>
      </c:layout>
      <c:barChart>
        <c:barDir val="col"/>
        <c:grouping val="clustered"/>
        <c:varyColors val="0"/>
        <c:ser>
          <c:idx val="0"/>
          <c:order val="0"/>
          <c:tx>
            <c:strRef>
              <c:f>Sheet1!$B$1</c:f>
              <c:strCache>
                <c:ptCount val="1"/>
                <c:pt idx="0">
                  <c:v>2022年</c:v>
                </c:pt>
              </c:strCache>
            </c:strRef>
          </c:tx>
          <c:invertIfNegative val="0"/>
          <c:dLbls>
            <c:delete val="1"/>
          </c:dLbls>
          <c:cat>
            <c:strRef>
              <c:f>Sheet1!$A$2</c:f>
              <c:strCache>
                <c:ptCount val="1"/>
                <c:pt idx="0">
                  <c:v>收、支</c:v>
                </c:pt>
              </c:strCache>
            </c:strRef>
          </c:cat>
          <c:val>
            <c:numRef>
              <c:f>Sheet1!$B$2</c:f>
              <c:numCache>
                <c:formatCode>#,##0.00</c:formatCode>
                <c:ptCount val="1"/>
                <c:pt idx="0">
                  <c:v>26098.2</c:v>
                </c:pt>
              </c:numCache>
            </c:numRef>
          </c:val>
        </c:ser>
        <c:ser>
          <c:idx val="1"/>
          <c:order val="1"/>
          <c:tx>
            <c:strRef>
              <c:f>Sheet1!$C$1</c:f>
              <c:strCache>
                <c:ptCount val="1"/>
                <c:pt idx="0">
                  <c:v>2023年</c:v>
                </c:pt>
              </c:strCache>
            </c:strRef>
          </c:tx>
          <c:invertIfNegative val="0"/>
          <c:dLbls>
            <c:delete val="1"/>
          </c:dLbls>
          <c:cat>
            <c:strRef>
              <c:f>Sheet1!$A$2</c:f>
              <c:strCache>
                <c:ptCount val="1"/>
                <c:pt idx="0">
                  <c:v>收、支</c:v>
                </c:pt>
              </c:strCache>
            </c:strRef>
          </c:cat>
          <c:val>
            <c:numRef>
              <c:f>Sheet1!$C$2</c:f>
              <c:numCache>
                <c:formatCode>General</c:formatCode>
                <c:ptCount val="1"/>
                <c:pt idx="0">
                  <c:v>31415.89</c:v>
                </c:pt>
              </c:numCache>
            </c:numRef>
          </c:val>
        </c:ser>
        <c:dLbls>
          <c:showLegendKey val="0"/>
          <c:showVal val="0"/>
          <c:showCatName val="0"/>
          <c:showSerName val="0"/>
          <c:showPercent val="0"/>
          <c:showBubbleSize val="0"/>
        </c:dLbls>
        <c:gapWidth val="330"/>
        <c:overlap val="-100"/>
        <c:axId val="177253376"/>
        <c:axId val="177304320"/>
      </c:barChart>
      <c:catAx>
        <c:axId val="17725337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7304320"/>
        <c:crosses val="autoZero"/>
        <c:auto val="1"/>
        <c:lblAlgn val="ctr"/>
        <c:lblOffset val="100"/>
        <c:noMultiLvlLbl val="0"/>
      </c:catAx>
      <c:valAx>
        <c:axId val="177304320"/>
        <c:scaling>
          <c:orientation val="minMax"/>
        </c:scaling>
        <c:delete val="0"/>
        <c:axPos val="l"/>
        <c:majorGridlines/>
        <c:numFmt formatCode="#,##0.0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7253376"/>
        <c:crosses val="autoZero"/>
        <c:crossBetween val="between"/>
      </c:valAx>
    </c:plotArea>
    <c:legend>
      <c:legendPos val="r"/>
      <c:layout>
        <c:manualLayout>
          <c:xMode val="edge"/>
          <c:yMode val="edge"/>
          <c:x val="0.871503603273482"/>
          <c:y val="0.436427038626609"/>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2023年收入</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一般公共预算财政拨款收入</c:v>
                </c:pt>
                <c:pt idx="1">
                  <c:v>事业收入</c:v>
                </c:pt>
                <c:pt idx="2">
                  <c:v>政府性基金预算财政拨款收入</c:v>
                </c:pt>
                <c:pt idx="3">
                  <c:v>其他收入</c:v>
                </c:pt>
              </c:strCache>
            </c:strRef>
          </c:cat>
          <c:val>
            <c:numRef>
              <c:f>Sheet1!$B$2:$B$6</c:f>
              <c:numCache>
                <c:formatCode>General</c:formatCode>
                <c:ptCount val="5"/>
                <c:pt idx="0">
                  <c:v>15288.16</c:v>
                </c:pt>
                <c:pt idx="1">
                  <c:v>10860.93</c:v>
                </c:pt>
                <c:pt idx="2">
                  <c:v>5004.06</c:v>
                </c:pt>
                <c:pt idx="3">
                  <c:v>167.22</c:v>
                </c:pt>
              </c:numCache>
            </c:numRef>
          </c:val>
        </c:ser>
        <c:dLbls>
          <c:showLegendKey val="0"/>
          <c:showVal val="0"/>
          <c:showCatName val="0"/>
          <c:showSerName val="0"/>
          <c:showPercent val="1"/>
          <c:showBubbleSize val="0"/>
          <c:showLeaderLines val="1"/>
        </c:dLbls>
        <c:firstSliceAng val="0"/>
      </c:pieChart>
    </c:plotArea>
    <c:legend>
      <c:legendPos val="t"/>
      <c:layout>
        <c:manualLayout>
          <c:xMode val="edge"/>
          <c:yMode val="edge"/>
          <c:x val="0.276800976800977"/>
          <c:y val="0.155055446836268"/>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2023年支出</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18515.36</c:v>
                </c:pt>
                <c:pt idx="1">
                  <c:v>12043.68</c:v>
                </c:pt>
              </c:numCache>
            </c:numRef>
          </c:val>
        </c:ser>
        <c:dLbls>
          <c:showLegendKey val="0"/>
          <c:showVal val="0"/>
          <c:showCatName val="0"/>
          <c:showSerName val="0"/>
          <c:showPercent val="1"/>
          <c:showBubbleSize val="0"/>
          <c:showLeaderLines val="1"/>
        </c:dLbls>
        <c:firstSliceAng val="0"/>
      </c:pieChart>
    </c:plotArea>
    <c:legend>
      <c:legendPos val="t"/>
      <c:layout>
        <c:manualLayout>
          <c:xMode val="edge"/>
          <c:yMode val="edge"/>
          <c:x val="0.0879445449065702"/>
          <c:y val="0.182068965517241"/>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77678786419456"/>
          <c:y val="0.00684931506849315"/>
          <c:w val="0.723693715386468"/>
          <c:h val="0.83013698630137"/>
        </c:manualLayout>
      </c:layout>
      <c:barChart>
        <c:barDir val="col"/>
        <c:grouping val="clustered"/>
        <c:varyColors val="0"/>
        <c:ser>
          <c:idx val="0"/>
          <c:order val="0"/>
          <c:tx>
            <c:strRef>
              <c:f>Sheet1!$B$1</c:f>
              <c:strCache>
                <c:ptCount val="1"/>
                <c:pt idx="0">
                  <c:v>2022年</c:v>
                </c:pt>
              </c:strCache>
            </c:strRef>
          </c:tx>
          <c:invertIfNegative val="0"/>
          <c:dLbls>
            <c:delete val="1"/>
          </c:dLbls>
          <c:cat>
            <c:strRef>
              <c:f>Sheet1!$A$2</c:f>
              <c:strCache>
                <c:ptCount val="1"/>
                <c:pt idx="0">
                  <c:v>收支</c:v>
                </c:pt>
              </c:strCache>
            </c:strRef>
          </c:cat>
          <c:val>
            <c:numRef>
              <c:f>Sheet1!$B$2</c:f>
              <c:numCache>
                <c:formatCode>General</c:formatCode>
                <c:ptCount val="1"/>
                <c:pt idx="0">
                  <c:v>14350.45</c:v>
                </c:pt>
              </c:numCache>
            </c:numRef>
          </c:val>
        </c:ser>
        <c:ser>
          <c:idx val="1"/>
          <c:order val="1"/>
          <c:tx>
            <c:strRef>
              <c:f>Sheet1!$C$1</c:f>
              <c:strCache>
                <c:ptCount val="1"/>
                <c:pt idx="0">
                  <c:v>2023年</c:v>
                </c:pt>
              </c:strCache>
            </c:strRef>
          </c:tx>
          <c:invertIfNegative val="0"/>
          <c:dLbls>
            <c:delete val="1"/>
          </c:dLbls>
          <c:cat>
            <c:strRef>
              <c:f>Sheet1!$A$2</c:f>
              <c:strCache>
                <c:ptCount val="1"/>
                <c:pt idx="0">
                  <c:v>收支</c:v>
                </c:pt>
              </c:strCache>
            </c:strRef>
          </c:cat>
          <c:val>
            <c:numRef>
              <c:f>Sheet1!$C$2</c:f>
              <c:numCache>
                <c:formatCode>General</c:formatCode>
                <c:ptCount val="1"/>
                <c:pt idx="0">
                  <c:v>20292.22</c:v>
                </c:pt>
              </c:numCache>
            </c:numRef>
          </c:val>
        </c:ser>
        <c:dLbls>
          <c:showLegendKey val="0"/>
          <c:showVal val="0"/>
          <c:showCatName val="0"/>
          <c:showSerName val="0"/>
          <c:showPercent val="0"/>
          <c:showBubbleSize val="0"/>
        </c:dLbls>
        <c:gapWidth val="330"/>
        <c:overlap val="-100"/>
        <c:axId val="177253376"/>
        <c:axId val="177304320"/>
      </c:barChart>
      <c:catAx>
        <c:axId val="17725337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7304320"/>
        <c:crosses val="autoZero"/>
        <c:auto val="1"/>
        <c:lblAlgn val="ctr"/>
        <c:lblOffset val="100"/>
        <c:noMultiLvlLbl val="0"/>
      </c:catAx>
      <c:valAx>
        <c:axId val="1773043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725337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2022年</c:v>
                </c:pt>
              </c:strCache>
            </c:strRef>
          </c:tx>
          <c:invertIfNegative val="0"/>
          <c:dLbls>
            <c:delete val="1"/>
          </c:dLbls>
          <c:cat>
            <c:strRef>
              <c:f>Sheet1!$A$2</c:f>
              <c:strCache>
                <c:ptCount val="1"/>
                <c:pt idx="0">
                  <c:v>支出</c:v>
                </c:pt>
              </c:strCache>
            </c:strRef>
          </c:cat>
          <c:val>
            <c:numRef>
              <c:f>Sheet1!$B$2</c:f>
              <c:numCache>
                <c:formatCode>General</c:formatCode>
                <c:ptCount val="1"/>
                <c:pt idx="0">
                  <c:v>14350.45</c:v>
                </c:pt>
              </c:numCache>
            </c:numRef>
          </c:val>
        </c:ser>
        <c:ser>
          <c:idx val="1"/>
          <c:order val="1"/>
          <c:tx>
            <c:strRef>
              <c:f>Sheet1!$C$1</c:f>
              <c:strCache>
                <c:ptCount val="1"/>
                <c:pt idx="0">
                  <c:v>2023年</c:v>
                </c:pt>
              </c:strCache>
            </c:strRef>
          </c:tx>
          <c:invertIfNegative val="0"/>
          <c:dLbls>
            <c:delete val="1"/>
          </c:dLbls>
          <c:cat>
            <c:strRef>
              <c:f>Sheet1!$A$2</c:f>
              <c:strCache>
                <c:ptCount val="1"/>
                <c:pt idx="0">
                  <c:v>支出</c:v>
                </c:pt>
              </c:strCache>
            </c:strRef>
          </c:cat>
          <c:val>
            <c:numRef>
              <c:f>Sheet1!$C$2</c:f>
              <c:numCache>
                <c:formatCode>General</c:formatCode>
                <c:ptCount val="1"/>
                <c:pt idx="0">
                  <c:v>15288.16</c:v>
                </c:pt>
              </c:numCache>
            </c:numRef>
          </c:val>
        </c:ser>
        <c:dLbls>
          <c:showLegendKey val="0"/>
          <c:showVal val="0"/>
          <c:showCatName val="0"/>
          <c:showSerName val="0"/>
          <c:showPercent val="0"/>
          <c:showBubbleSize val="0"/>
        </c:dLbls>
        <c:gapWidth val="330"/>
        <c:overlap val="-100"/>
        <c:axId val="157152384"/>
        <c:axId val="157153920"/>
      </c:barChart>
      <c:catAx>
        <c:axId val="157152384"/>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7153920"/>
        <c:crosses val="autoZero"/>
        <c:auto val="1"/>
        <c:lblAlgn val="ctr"/>
        <c:lblOffset val="100"/>
        <c:noMultiLvlLbl val="0"/>
      </c:catAx>
      <c:valAx>
        <c:axId val="1571539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715238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一般公共预算财政拨款支出</c:v>
                </c:pt>
              </c:strCache>
            </c:strRef>
          </c:tx>
          <c:explosion val="0"/>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Sheet1!$A$2:$A$5</c:f>
              <c:strCache>
                <c:ptCount val="4"/>
                <c:pt idx="0">
                  <c:v>社会保障和就业支出</c:v>
                </c:pt>
                <c:pt idx="1">
                  <c:v>卫生健康支出</c:v>
                </c:pt>
                <c:pt idx="2">
                  <c:v>农林水支出</c:v>
                </c:pt>
                <c:pt idx="3">
                  <c:v>住房保障支出</c:v>
                </c:pt>
              </c:strCache>
            </c:strRef>
          </c:cat>
          <c:val>
            <c:numRef>
              <c:f>Sheet1!$B$2:$B$5</c:f>
              <c:numCache>
                <c:formatCode>General</c:formatCode>
                <c:ptCount val="4"/>
                <c:pt idx="0">
                  <c:v>1684.49</c:v>
                </c:pt>
                <c:pt idx="1">
                  <c:v>12807</c:v>
                </c:pt>
                <c:pt idx="2">
                  <c:v>196</c:v>
                </c:pt>
                <c:pt idx="3">
                  <c:v>600.66</c:v>
                </c:pt>
              </c:numCache>
            </c:numRef>
          </c:val>
        </c:ser>
        <c:dLbls>
          <c:showLegendKey val="0"/>
          <c:showVal val="1"/>
          <c:showCatName val="0"/>
          <c:showSerName val="0"/>
          <c:showPercent val="0"/>
          <c:showBubbleSize val="0"/>
          <c:showLeaderLines val="1"/>
        </c:dLbls>
        <c:firstSliceAng val="0"/>
      </c:pieChart>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2023年“三公”经费财政拨款支出</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因公出国（境）费支出</c:v>
                </c:pt>
                <c:pt idx="1">
                  <c:v>公务用车购置及运行维护费支出</c:v>
                </c:pt>
                <c:pt idx="2">
                  <c:v>公务接待费支出</c:v>
                </c:pt>
              </c:strCache>
            </c:strRef>
          </c:cat>
          <c:val>
            <c:numRef>
              <c:f>Sheet1!$B$2:$B$6</c:f>
              <c:numCache>
                <c:formatCode>General</c:formatCode>
                <c:ptCount val="5"/>
                <c:pt idx="0">
                  <c:v>0</c:v>
                </c:pt>
                <c:pt idx="1">
                  <c:v>0.8</c:v>
                </c:pt>
                <c:pt idx="2">
                  <c:v>0</c:v>
                </c:pt>
              </c:numCache>
            </c:numRef>
          </c:val>
        </c:ser>
        <c:dLbls>
          <c:showLegendKey val="0"/>
          <c:showVal val="1"/>
          <c:showCatName val="0"/>
          <c:showSerName val="0"/>
          <c:showPercent val="0"/>
          <c:showBubbleSize val="0"/>
          <c:showLeaderLines val="1"/>
        </c:dLbls>
        <c:firstSliceAng val="0"/>
      </c:pieChart>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Pages>
  <Words>1535</Words>
  <Characters>8751</Characters>
  <Lines>1</Lines>
  <Paragraphs>1</Paragraphs>
  <TotalTime>12</TotalTime>
  <ScaleCrop>false</ScaleCrop>
  <LinksUpToDate>false</LinksUpToDate>
  <CharactersWithSpaces>10266</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2024-08-10T07:12:00Z</dcterms:created>
  <dc:creator>曹颖</dc:creator>
  <cp:lastModifiedBy>user</cp:lastModifiedBy>
  <cp:lastPrinted>2023-08-08T10:35:00Z</cp:lastPrinted>
  <dcterms:modified xsi:type="dcterms:W3CDTF">2024-11-11T11:12:47Z</dcterms:modified>
  <dc:title>四川省***</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6E6E9A0E1A03B26A2F763167E9A96E48</vt:lpwstr>
  </property>
</Properties>
</file>