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BAC78D9">
      <w:pPr>
        <w:spacing w:line="600" w:lineRule="exact"/>
        <w:jc w:val="center"/>
        <w:rPr>
          <w:rFonts w:ascii="方正小标宋简体" w:hAnsi="宋体" w:eastAsia="方正小标宋简体"/>
          <w:sz w:val="72"/>
          <w:szCs w:val="72"/>
        </w:rPr>
      </w:pPr>
      <w:bookmarkStart w:id="0" w:name="_Toc15378441"/>
      <w:bookmarkStart w:id="1" w:name="_Toc15377193"/>
      <w:bookmarkStart w:id="2" w:name="_Toc15377425"/>
      <w:bookmarkStart w:id="3" w:name="_Toc15396597"/>
      <w:bookmarkStart w:id="4" w:name="_Toc15396475"/>
      <w:bookmarkStart w:id="5" w:name="_Toc15306267"/>
    </w:p>
    <w:p w14:paraId="05A413E1">
      <w:pPr>
        <w:pStyle w:val="5"/>
        <w:spacing w:before="93"/>
      </w:pPr>
    </w:p>
    <w:p w14:paraId="0D02B422">
      <w:pPr>
        <w:spacing w:line="600" w:lineRule="exact"/>
        <w:jc w:val="center"/>
        <w:rPr>
          <w:rFonts w:ascii="方正小标宋简体" w:hAnsi="宋体" w:eastAsia="方正小标宋简体"/>
          <w:sz w:val="72"/>
          <w:szCs w:val="72"/>
        </w:rPr>
      </w:pPr>
    </w:p>
    <w:p w14:paraId="703E8EC2">
      <w:pPr>
        <w:spacing w:line="600" w:lineRule="exact"/>
        <w:jc w:val="center"/>
        <w:rPr>
          <w:rFonts w:ascii="方正小标宋简体" w:hAnsi="宋体" w:eastAsia="方正小标宋简体"/>
          <w:sz w:val="72"/>
          <w:szCs w:val="72"/>
        </w:rPr>
      </w:pPr>
    </w:p>
    <w:p w14:paraId="11819771">
      <w:pPr>
        <w:adjustRightInd w:val="0"/>
        <w:snapToGrid w:val="0"/>
        <w:spacing w:line="360" w:lineRule="auto"/>
        <w:jc w:val="center"/>
        <w:rPr>
          <w:rFonts w:ascii="方正小标宋简体" w:hAnsi="方正小标宋简体" w:eastAsia="方正小标宋简体" w:cs="方正小标宋简体"/>
          <w:sz w:val="72"/>
          <w:szCs w:val="72"/>
        </w:rPr>
      </w:pPr>
      <w:bookmarkStart w:id="6" w:name="_Toc11403"/>
      <w:bookmarkStart w:id="7" w:name="_Toc18714"/>
      <w:r>
        <w:rPr>
          <w:rFonts w:hint="eastAsia" w:ascii="方正小标宋简体" w:hAnsi="方正小标宋简体" w:eastAsia="方正小标宋简体" w:cs="方正小标宋简体"/>
          <w:sz w:val="72"/>
          <w:szCs w:val="72"/>
        </w:rPr>
        <w:t>2023年度</w:t>
      </w:r>
      <w:bookmarkEnd w:id="0"/>
      <w:bookmarkEnd w:id="1"/>
      <w:bookmarkEnd w:id="2"/>
      <w:bookmarkEnd w:id="3"/>
      <w:bookmarkEnd w:id="4"/>
      <w:bookmarkEnd w:id="6"/>
      <w:bookmarkEnd w:id="7"/>
    </w:p>
    <w:p w14:paraId="176C33BB">
      <w:pPr>
        <w:adjustRightInd w:val="0"/>
        <w:snapToGrid w:val="0"/>
        <w:spacing w:line="360" w:lineRule="auto"/>
        <w:jc w:val="center"/>
        <w:rPr>
          <w:rFonts w:ascii="方正小标宋简体" w:hAnsi="方正小标宋简体" w:eastAsia="方正小标宋简体" w:cs="方正小标宋简体"/>
          <w:sz w:val="72"/>
          <w:szCs w:val="72"/>
        </w:rPr>
      </w:pPr>
      <w:bookmarkStart w:id="8" w:name="_Toc15396598"/>
      <w:bookmarkStart w:id="9" w:name="_Toc7969"/>
      <w:bookmarkStart w:id="10" w:name="_Toc15377426"/>
      <w:bookmarkStart w:id="11" w:name="_Toc15378442"/>
      <w:bookmarkStart w:id="12" w:name="_Toc15396476"/>
      <w:bookmarkStart w:id="13" w:name="_Toc6475"/>
      <w:bookmarkStart w:id="14" w:name="_Toc15377194"/>
      <w:r>
        <w:rPr>
          <w:rFonts w:hint="eastAsia" w:ascii="方正小标宋简体" w:hAnsi="方正小标宋简体" w:eastAsia="方正小标宋简体" w:cs="方正小标宋简体"/>
          <w:sz w:val="72"/>
          <w:szCs w:val="72"/>
        </w:rPr>
        <w:t>四川省</w:t>
      </w:r>
      <w:bookmarkEnd w:id="5"/>
      <w:bookmarkStart w:id="15" w:name="_Toc15306268"/>
      <w:r>
        <w:rPr>
          <w:rFonts w:hint="eastAsia" w:ascii="方正小标宋简体" w:hAnsi="方正小标宋简体" w:eastAsia="方正小标宋简体" w:cs="方正小标宋简体"/>
          <w:sz w:val="72"/>
          <w:szCs w:val="72"/>
        </w:rPr>
        <w:t>盐边县社会保险事务中心部门决算</w:t>
      </w:r>
      <w:bookmarkEnd w:id="8"/>
      <w:bookmarkEnd w:id="9"/>
      <w:bookmarkEnd w:id="10"/>
      <w:bookmarkEnd w:id="11"/>
      <w:bookmarkEnd w:id="12"/>
      <w:bookmarkEnd w:id="13"/>
      <w:bookmarkEnd w:id="14"/>
      <w:bookmarkEnd w:id="15"/>
    </w:p>
    <w:p w14:paraId="52B74FB3">
      <w:pPr>
        <w:widowControl/>
        <w:jc w:val="center"/>
        <w:rPr>
          <w:rFonts w:ascii="黑体" w:hAnsi="黑体" w:eastAsia="黑体" w:cs="黑体"/>
          <w:sz w:val="28"/>
          <w:szCs w:val="28"/>
        </w:rPr>
      </w:pPr>
      <w:r>
        <w:rPr>
          <w:rFonts w:ascii="方正小标宋简体" w:hAnsi="宋体" w:eastAsia="方正小标宋简体"/>
          <w:sz w:val="36"/>
          <w:szCs w:val="36"/>
        </w:rPr>
        <w:br w:type="page"/>
      </w:r>
      <w:r>
        <w:rPr>
          <w:rFonts w:hint="eastAsia" w:ascii="黑体" w:hAnsi="黑体" w:eastAsia="黑体"/>
          <w:sz w:val="48"/>
          <w:szCs w:val="48"/>
        </w:rPr>
        <w:t>目录</w:t>
      </w:r>
    </w:p>
    <w:p w14:paraId="161E3D82">
      <w:pPr>
        <w:pStyle w:val="12"/>
      </w:pPr>
      <w:r>
        <w:rPr>
          <w:rFonts w:hint="eastAsia"/>
        </w:rPr>
        <w:t>公开时间：2024年10月28日</w:t>
      </w:r>
    </w:p>
    <w:p w14:paraId="4632AEE7"/>
    <w:p w14:paraId="61C049B5">
      <w:pPr>
        <w:jc w:val="center"/>
        <w:rPr>
          <w:b/>
        </w:rPr>
      </w:pPr>
      <w:bookmarkStart w:id="16" w:name="_Toc15377196"/>
      <w:bookmarkStart w:id="17" w:name="_Toc15396599"/>
      <w:r>
        <w:fldChar w:fldCharType="begin"/>
      </w:r>
      <w:r>
        <w:instrText xml:space="preserve">TOC \o "1-2" \h \u </w:instrText>
      </w:r>
      <w:r>
        <w:fldChar w:fldCharType="separate"/>
      </w:r>
    </w:p>
    <w:p w14:paraId="074DA40A">
      <w:pPr>
        <w:pStyle w:val="12"/>
        <w:tabs>
          <w:tab w:val="right" w:leader="dot" w:pos="8306"/>
          <w:tab w:val="clear" w:pos="8296"/>
        </w:tabs>
        <w:spacing w:before="0"/>
      </w:pPr>
      <w:r>
        <w:fldChar w:fldCharType="begin"/>
      </w:r>
      <w:r>
        <w:instrText xml:space="preserve">HYPERLINK  \l "_Toc15512" </w:instrText>
      </w:r>
      <w:r>
        <w:fldChar w:fldCharType="separate"/>
      </w:r>
      <w:r>
        <w:rPr>
          <w:rFonts w:hint="eastAsia" w:ascii="黑体" w:hAnsi="黑体" w:eastAsia="黑体"/>
        </w:rPr>
        <w:t>第一部分 部门概况</w:t>
      </w:r>
      <w:r>
        <w:tab/>
      </w:r>
      <w:r>
        <w:fldChar w:fldCharType="begin"/>
      </w:r>
      <w:r>
        <w:instrText xml:space="preserve"> PAGEREF _Toc15512 \h </w:instrText>
      </w:r>
      <w:r>
        <w:fldChar w:fldCharType="separate"/>
      </w:r>
      <w:r>
        <w:t>1</w:t>
      </w:r>
      <w:r>
        <w:fldChar w:fldCharType="end"/>
      </w:r>
      <w:r>
        <w:fldChar w:fldCharType="end"/>
      </w:r>
    </w:p>
    <w:p w14:paraId="6D1EDF36">
      <w:pPr>
        <w:pStyle w:val="13"/>
        <w:tabs>
          <w:tab w:val="right" w:leader="dot" w:pos="8306"/>
          <w:tab w:val="clear" w:pos="8296"/>
        </w:tabs>
        <w:ind w:left="0" w:leftChars="0" w:firstLine="420" w:firstLineChars="200"/>
      </w:pPr>
      <w:r>
        <w:fldChar w:fldCharType="begin"/>
      </w:r>
      <w:r>
        <w:instrText xml:space="preserve">HYPERLINK  \l "_Toc16762" </w:instrText>
      </w:r>
      <w:r>
        <w:fldChar w:fldCharType="separate"/>
      </w:r>
      <w:r>
        <w:rPr>
          <w:rFonts w:hint="eastAsia" w:ascii="黑体" w:hAnsi="黑体" w:eastAsia="黑体"/>
        </w:rPr>
        <w:t>一、部门职责</w:t>
      </w:r>
      <w:r>
        <w:tab/>
      </w:r>
      <w:r>
        <w:fldChar w:fldCharType="begin"/>
      </w:r>
      <w:r>
        <w:instrText xml:space="preserve"> PAGEREF _Toc16762 \h </w:instrText>
      </w:r>
      <w:r>
        <w:fldChar w:fldCharType="separate"/>
      </w:r>
      <w:r>
        <w:t>1</w:t>
      </w:r>
      <w:r>
        <w:fldChar w:fldCharType="end"/>
      </w:r>
      <w:r>
        <w:fldChar w:fldCharType="end"/>
      </w:r>
    </w:p>
    <w:p w14:paraId="21D3D015">
      <w:pPr>
        <w:pStyle w:val="13"/>
        <w:tabs>
          <w:tab w:val="right" w:leader="dot" w:pos="8306"/>
          <w:tab w:val="clear" w:pos="8296"/>
        </w:tabs>
      </w:pPr>
      <w:r>
        <w:fldChar w:fldCharType="begin"/>
      </w:r>
      <w:r>
        <w:instrText xml:space="preserve">HYPERLINK  \l "_Toc29859" </w:instrText>
      </w:r>
      <w:r>
        <w:fldChar w:fldCharType="separate"/>
      </w:r>
      <w:r>
        <w:rPr>
          <w:rFonts w:hint="eastAsia" w:ascii="黑体" w:eastAsia="黑体"/>
        </w:rPr>
        <w:t>二、</w:t>
      </w:r>
      <w:r>
        <w:rPr>
          <w:rFonts w:hint="eastAsia" w:ascii="黑体" w:hAnsi="黑体" w:eastAsia="黑体"/>
        </w:rPr>
        <w:t>机构设置</w:t>
      </w:r>
      <w:r>
        <w:tab/>
      </w:r>
      <w:r>
        <w:fldChar w:fldCharType="begin"/>
      </w:r>
      <w:r>
        <w:instrText xml:space="preserve"> PAGEREF _Toc29859 \h </w:instrText>
      </w:r>
      <w:r>
        <w:fldChar w:fldCharType="separate"/>
      </w:r>
      <w:r>
        <w:t>1</w:t>
      </w:r>
      <w:r>
        <w:fldChar w:fldCharType="end"/>
      </w:r>
      <w:r>
        <w:fldChar w:fldCharType="end"/>
      </w:r>
    </w:p>
    <w:p w14:paraId="6B5533E0">
      <w:pPr>
        <w:pStyle w:val="12"/>
        <w:tabs>
          <w:tab w:val="right" w:leader="dot" w:pos="8306"/>
          <w:tab w:val="clear" w:pos="8296"/>
        </w:tabs>
      </w:pPr>
      <w:r>
        <w:fldChar w:fldCharType="begin"/>
      </w:r>
      <w:r>
        <w:instrText xml:space="preserve">HYPERLINK  \l "_Toc16559" </w:instrText>
      </w:r>
      <w:r>
        <w:fldChar w:fldCharType="separate"/>
      </w:r>
      <w:r>
        <w:rPr>
          <w:rFonts w:hint="eastAsia" w:ascii="黑体" w:hAnsi="黑体" w:eastAsia="黑体"/>
        </w:rPr>
        <w:t>第二部分 2023年度</w:t>
      </w:r>
      <w:r>
        <w:rPr>
          <w:rFonts w:hint="eastAsia" w:ascii="黑体" w:hAnsi="黑体" w:eastAsia="黑体"/>
          <w:bCs/>
        </w:rPr>
        <w:t>部门决算情况说明</w:t>
      </w:r>
      <w:r>
        <w:tab/>
      </w:r>
      <w:r>
        <w:fldChar w:fldCharType="begin"/>
      </w:r>
      <w:r>
        <w:instrText xml:space="preserve"> PAGEREF _Toc16559 \h </w:instrText>
      </w:r>
      <w:r>
        <w:fldChar w:fldCharType="separate"/>
      </w:r>
      <w:r>
        <w:t>2</w:t>
      </w:r>
      <w:r>
        <w:fldChar w:fldCharType="end"/>
      </w:r>
      <w:r>
        <w:fldChar w:fldCharType="end"/>
      </w:r>
    </w:p>
    <w:p w14:paraId="3CCC2ABC">
      <w:pPr>
        <w:pStyle w:val="13"/>
        <w:tabs>
          <w:tab w:val="right" w:leader="dot" w:pos="8306"/>
          <w:tab w:val="clear" w:pos="8296"/>
        </w:tabs>
      </w:pPr>
      <w:r>
        <w:fldChar w:fldCharType="begin"/>
      </w:r>
      <w:r>
        <w:instrText xml:space="preserve">HYPERLINK  \l "_Toc27433" </w:instrText>
      </w:r>
      <w:r>
        <w:fldChar w:fldCharType="separate"/>
      </w:r>
      <w:r>
        <w:rPr>
          <w:rFonts w:ascii="黑体" w:hAnsi="黑体" w:eastAsia="黑体"/>
        </w:rPr>
        <w:t xml:space="preserve">一、 </w:t>
      </w:r>
      <w:r>
        <w:rPr>
          <w:rFonts w:hint="eastAsia" w:ascii="黑体" w:hAnsi="黑体" w:eastAsia="黑体"/>
          <w:szCs w:val="32"/>
        </w:rPr>
        <w:t>收</w:t>
      </w:r>
      <w:r>
        <w:rPr>
          <w:rFonts w:hint="eastAsia" w:ascii="黑体" w:hAnsi="黑体" w:eastAsia="黑体"/>
        </w:rPr>
        <w:t>入支出决算总体情况说明</w:t>
      </w:r>
      <w:r>
        <w:tab/>
      </w:r>
      <w:r>
        <w:fldChar w:fldCharType="begin"/>
      </w:r>
      <w:r>
        <w:instrText xml:space="preserve"> PAGEREF _Toc27433 \h </w:instrText>
      </w:r>
      <w:r>
        <w:fldChar w:fldCharType="separate"/>
      </w:r>
      <w:r>
        <w:t>2</w:t>
      </w:r>
      <w:r>
        <w:fldChar w:fldCharType="end"/>
      </w:r>
      <w:r>
        <w:fldChar w:fldCharType="end"/>
      </w:r>
    </w:p>
    <w:p w14:paraId="04DE203C">
      <w:pPr>
        <w:pStyle w:val="13"/>
        <w:tabs>
          <w:tab w:val="right" w:leader="dot" w:pos="8306"/>
          <w:tab w:val="clear" w:pos="8296"/>
        </w:tabs>
      </w:pPr>
      <w:r>
        <w:fldChar w:fldCharType="begin"/>
      </w:r>
      <w:r>
        <w:instrText xml:space="preserve">HYPERLINK  \l "_Toc16977" </w:instrText>
      </w:r>
      <w:r>
        <w:fldChar w:fldCharType="separate"/>
      </w:r>
      <w:r>
        <w:rPr>
          <w:rFonts w:ascii="黑体" w:hAnsi="黑体" w:eastAsia="黑体"/>
        </w:rPr>
        <w:t xml:space="preserve">二、 </w:t>
      </w:r>
      <w:r>
        <w:rPr>
          <w:rFonts w:hint="eastAsia" w:ascii="黑体" w:hAnsi="黑体" w:eastAsia="黑体"/>
          <w:szCs w:val="32"/>
        </w:rPr>
        <w:t>收</w:t>
      </w:r>
      <w:r>
        <w:rPr>
          <w:rFonts w:hint="eastAsia" w:ascii="黑体" w:hAnsi="黑体" w:eastAsia="黑体"/>
        </w:rPr>
        <w:t>入决算情况说明</w:t>
      </w:r>
      <w:r>
        <w:tab/>
      </w:r>
      <w:r>
        <w:fldChar w:fldCharType="begin"/>
      </w:r>
      <w:r>
        <w:instrText xml:space="preserve"> PAGEREF _Toc16977 \h </w:instrText>
      </w:r>
      <w:r>
        <w:fldChar w:fldCharType="separate"/>
      </w:r>
      <w:r>
        <w:t>2</w:t>
      </w:r>
      <w:r>
        <w:fldChar w:fldCharType="end"/>
      </w:r>
      <w:r>
        <w:fldChar w:fldCharType="end"/>
      </w:r>
    </w:p>
    <w:p w14:paraId="44F1A22C">
      <w:pPr>
        <w:pStyle w:val="13"/>
        <w:tabs>
          <w:tab w:val="right" w:leader="dot" w:pos="8306"/>
          <w:tab w:val="clear" w:pos="8296"/>
        </w:tabs>
      </w:pPr>
      <w:r>
        <w:fldChar w:fldCharType="begin"/>
      </w:r>
      <w:r>
        <w:instrText xml:space="preserve">HYPERLINK  \l "_Toc29124" </w:instrText>
      </w:r>
      <w:r>
        <w:fldChar w:fldCharType="separate"/>
      </w:r>
      <w:r>
        <w:rPr>
          <w:rFonts w:ascii="黑体" w:hAnsi="黑体" w:eastAsia="黑体"/>
        </w:rPr>
        <w:t xml:space="preserve">三、 </w:t>
      </w:r>
      <w:r>
        <w:rPr>
          <w:rFonts w:hint="eastAsia" w:ascii="黑体" w:hAnsi="黑体" w:eastAsia="黑体"/>
          <w:szCs w:val="32"/>
        </w:rPr>
        <w:t>支</w:t>
      </w:r>
      <w:r>
        <w:rPr>
          <w:rFonts w:hint="eastAsia" w:ascii="黑体" w:hAnsi="黑体" w:eastAsia="黑体"/>
        </w:rPr>
        <w:t>出决算情况说明</w:t>
      </w:r>
      <w:r>
        <w:tab/>
      </w:r>
      <w:r>
        <w:fldChar w:fldCharType="begin"/>
      </w:r>
      <w:r>
        <w:instrText xml:space="preserve"> PAGEREF _Toc29124 \h </w:instrText>
      </w:r>
      <w:r>
        <w:fldChar w:fldCharType="separate"/>
      </w:r>
      <w:r>
        <w:t>3</w:t>
      </w:r>
      <w:r>
        <w:fldChar w:fldCharType="end"/>
      </w:r>
      <w:r>
        <w:fldChar w:fldCharType="end"/>
      </w:r>
    </w:p>
    <w:p w14:paraId="14DB25AF">
      <w:pPr>
        <w:pStyle w:val="13"/>
        <w:tabs>
          <w:tab w:val="right" w:leader="dot" w:pos="8306"/>
          <w:tab w:val="clear" w:pos="8296"/>
        </w:tabs>
      </w:pPr>
      <w:r>
        <w:fldChar w:fldCharType="begin"/>
      </w:r>
      <w:r>
        <w:instrText xml:space="preserve">HYPERLINK  \l "_Toc23188" </w:instrText>
      </w:r>
      <w:r>
        <w:fldChar w:fldCharType="separate"/>
      </w:r>
      <w:r>
        <w:rPr>
          <w:rFonts w:hint="eastAsia" w:ascii="黑体" w:hAnsi="黑体" w:eastAsia="黑体"/>
          <w:szCs w:val="32"/>
        </w:rPr>
        <w:t>四、财</w:t>
      </w:r>
      <w:r>
        <w:rPr>
          <w:rFonts w:hint="eastAsia" w:ascii="黑体" w:hAnsi="黑体" w:eastAsia="黑体"/>
        </w:rPr>
        <w:t>政拨款收入支出决算总体情况说明</w:t>
      </w:r>
      <w:r>
        <w:tab/>
      </w:r>
      <w:r>
        <w:fldChar w:fldCharType="begin"/>
      </w:r>
      <w:r>
        <w:instrText xml:space="preserve"> PAGEREF _Toc23188 \h </w:instrText>
      </w:r>
      <w:r>
        <w:fldChar w:fldCharType="separate"/>
      </w:r>
      <w:r>
        <w:t>3</w:t>
      </w:r>
      <w:r>
        <w:fldChar w:fldCharType="end"/>
      </w:r>
      <w:r>
        <w:fldChar w:fldCharType="end"/>
      </w:r>
    </w:p>
    <w:p w14:paraId="4109FE26">
      <w:pPr>
        <w:pStyle w:val="13"/>
        <w:tabs>
          <w:tab w:val="right" w:leader="dot" w:pos="8306"/>
          <w:tab w:val="clear" w:pos="8296"/>
        </w:tabs>
      </w:pPr>
      <w:r>
        <w:fldChar w:fldCharType="begin"/>
      </w:r>
      <w:r>
        <w:instrText xml:space="preserve">HYPERLINK  \l "_Toc14551" </w:instrText>
      </w:r>
      <w:r>
        <w:fldChar w:fldCharType="separate"/>
      </w:r>
      <w:r>
        <w:rPr>
          <w:rFonts w:hint="eastAsia" w:ascii="黑体" w:hAnsi="黑体" w:eastAsia="黑体"/>
          <w:szCs w:val="32"/>
        </w:rPr>
        <w:t>五、一</w:t>
      </w:r>
      <w:r>
        <w:rPr>
          <w:rFonts w:hint="eastAsia" w:ascii="黑体" w:hAnsi="黑体" w:eastAsia="黑体"/>
        </w:rPr>
        <w:t>般公共预算财政拨款支出决算情况说明</w:t>
      </w:r>
      <w:r>
        <w:tab/>
      </w:r>
      <w:r>
        <w:fldChar w:fldCharType="begin"/>
      </w:r>
      <w:r>
        <w:instrText xml:space="preserve"> PAGEREF _Toc14551 \h </w:instrText>
      </w:r>
      <w:r>
        <w:fldChar w:fldCharType="separate"/>
      </w:r>
      <w:r>
        <w:t>3</w:t>
      </w:r>
      <w:r>
        <w:fldChar w:fldCharType="end"/>
      </w:r>
      <w:r>
        <w:fldChar w:fldCharType="end"/>
      </w:r>
    </w:p>
    <w:p w14:paraId="0BD8F551">
      <w:pPr>
        <w:pStyle w:val="13"/>
        <w:tabs>
          <w:tab w:val="right" w:leader="dot" w:pos="8306"/>
          <w:tab w:val="clear" w:pos="8296"/>
        </w:tabs>
      </w:pPr>
      <w:r>
        <w:fldChar w:fldCharType="begin"/>
      </w:r>
      <w:r>
        <w:instrText xml:space="preserve">HYPERLINK  \l "_Toc6503" </w:instrText>
      </w:r>
      <w:r>
        <w:fldChar w:fldCharType="separate"/>
      </w:r>
      <w:r>
        <w:rPr>
          <w:rFonts w:hint="eastAsia" w:ascii="黑体" w:eastAsia="黑体"/>
          <w:szCs w:val="32"/>
        </w:rPr>
        <w:t>六、</w:t>
      </w:r>
      <w:r>
        <w:rPr>
          <w:rFonts w:hint="eastAsia" w:ascii="黑体" w:hAnsi="黑体" w:eastAsia="黑体"/>
          <w:szCs w:val="32"/>
        </w:rPr>
        <w:t>一</w:t>
      </w:r>
      <w:r>
        <w:rPr>
          <w:rFonts w:hint="eastAsia" w:ascii="黑体" w:hAnsi="黑体" w:eastAsia="黑体"/>
        </w:rPr>
        <w:t>般公共预算财政拨款基本支出决算情况说明</w:t>
      </w:r>
      <w:r>
        <w:tab/>
      </w:r>
      <w:r>
        <w:fldChar w:fldCharType="begin"/>
      </w:r>
      <w:r>
        <w:instrText xml:space="preserve"> PAGEREF _Toc6503 \h </w:instrText>
      </w:r>
      <w:r>
        <w:fldChar w:fldCharType="separate"/>
      </w:r>
      <w:r>
        <w:t>6</w:t>
      </w:r>
      <w:r>
        <w:fldChar w:fldCharType="end"/>
      </w:r>
      <w:r>
        <w:fldChar w:fldCharType="end"/>
      </w:r>
    </w:p>
    <w:p w14:paraId="75065F13">
      <w:pPr>
        <w:pStyle w:val="13"/>
        <w:tabs>
          <w:tab w:val="right" w:leader="dot" w:pos="8306"/>
          <w:tab w:val="clear" w:pos="8296"/>
        </w:tabs>
      </w:pPr>
      <w:r>
        <w:fldChar w:fldCharType="begin"/>
      </w:r>
      <w:r>
        <w:instrText xml:space="preserve">HYPERLINK  \l "_Toc30047" </w:instrText>
      </w:r>
      <w:r>
        <w:fldChar w:fldCharType="separate"/>
      </w:r>
      <w:r>
        <w:rPr>
          <w:rFonts w:hint="eastAsia" w:ascii="黑体" w:eastAsia="黑体"/>
          <w:szCs w:val="32"/>
        </w:rPr>
        <w:t>七、</w:t>
      </w:r>
      <w:r>
        <w:rPr>
          <w:rFonts w:hint="eastAsia" w:ascii="黑体" w:hAnsi="黑体" w:eastAsia="黑体"/>
        </w:rPr>
        <w:t>财政拨款“三公”经费支出决算情况说明</w:t>
      </w:r>
      <w:r>
        <w:tab/>
      </w:r>
      <w:r>
        <w:fldChar w:fldCharType="begin"/>
      </w:r>
      <w:r>
        <w:instrText xml:space="preserve"> PAGEREF _Toc30047 \h </w:instrText>
      </w:r>
      <w:r>
        <w:fldChar w:fldCharType="separate"/>
      </w:r>
      <w:r>
        <w:t>6</w:t>
      </w:r>
      <w:r>
        <w:fldChar w:fldCharType="end"/>
      </w:r>
      <w:r>
        <w:fldChar w:fldCharType="end"/>
      </w:r>
    </w:p>
    <w:p w14:paraId="3DC45C20">
      <w:pPr>
        <w:pStyle w:val="13"/>
        <w:tabs>
          <w:tab w:val="right" w:leader="dot" w:pos="8306"/>
          <w:tab w:val="clear" w:pos="8296"/>
        </w:tabs>
      </w:pPr>
      <w:r>
        <w:fldChar w:fldCharType="begin"/>
      </w:r>
      <w:r>
        <w:instrText xml:space="preserve">HYPERLINK  \l "_Toc22897" </w:instrText>
      </w:r>
      <w:r>
        <w:fldChar w:fldCharType="separate"/>
      </w:r>
      <w:r>
        <w:rPr>
          <w:rFonts w:hint="eastAsia" w:ascii="黑体" w:eastAsia="黑体"/>
          <w:szCs w:val="32"/>
        </w:rPr>
        <w:t>八、</w:t>
      </w:r>
      <w:r>
        <w:rPr>
          <w:rFonts w:hint="eastAsia" w:ascii="黑体" w:hAnsi="黑体" w:eastAsia="黑体"/>
        </w:rPr>
        <w:t>政府性基金预算支出决算情况说明</w:t>
      </w:r>
      <w:r>
        <w:tab/>
      </w:r>
      <w:r>
        <w:fldChar w:fldCharType="begin"/>
      </w:r>
      <w:r>
        <w:instrText xml:space="preserve"> PAGEREF _Toc22897 \h </w:instrText>
      </w:r>
      <w:r>
        <w:fldChar w:fldCharType="separate"/>
      </w:r>
      <w:r>
        <w:t>8</w:t>
      </w:r>
      <w:r>
        <w:fldChar w:fldCharType="end"/>
      </w:r>
      <w:r>
        <w:fldChar w:fldCharType="end"/>
      </w:r>
    </w:p>
    <w:p w14:paraId="0B491D18">
      <w:pPr>
        <w:pStyle w:val="13"/>
        <w:tabs>
          <w:tab w:val="right" w:leader="dot" w:pos="8306"/>
          <w:tab w:val="clear" w:pos="8296"/>
        </w:tabs>
      </w:pPr>
      <w:r>
        <w:fldChar w:fldCharType="begin"/>
      </w:r>
      <w:r>
        <w:instrText xml:space="preserve">HYPERLINK  \l "_Toc12925" </w:instrText>
      </w:r>
      <w:r>
        <w:fldChar w:fldCharType="separate"/>
      </w:r>
      <w:r>
        <w:rPr>
          <w:rFonts w:hint="eastAsia" w:ascii="黑体" w:hAnsi="黑体" w:eastAsia="黑体"/>
        </w:rPr>
        <w:t>九、 国有资本经营预算支出决算情况说明</w:t>
      </w:r>
      <w:r>
        <w:tab/>
      </w:r>
      <w:r>
        <w:fldChar w:fldCharType="begin"/>
      </w:r>
      <w:r>
        <w:instrText xml:space="preserve"> PAGEREF _Toc12925 \h </w:instrText>
      </w:r>
      <w:r>
        <w:fldChar w:fldCharType="separate"/>
      </w:r>
      <w:r>
        <w:t>8</w:t>
      </w:r>
      <w:r>
        <w:fldChar w:fldCharType="end"/>
      </w:r>
      <w:r>
        <w:fldChar w:fldCharType="end"/>
      </w:r>
    </w:p>
    <w:p w14:paraId="651ABD24">
      <w:pPr>
        <w:pStyle w:val="13"/>
        <w:tabs>
          <w:tab w:val="right" w:leader="dot" w:pos="8306"/>
          <w:tab w:val="clear" w:pos="8296"/>
        </w:tabs>
      </w:pPr>
      <w:r>
        <w:fldChar w:fldCharType="begin"/>
      </w:r>
      <w:r>
        <w:instrText xml:space="preserve">HYPERLINK  \l "_Toc4095" </w:instrText>
      </w:r>
      <w:r>
        <w:fldChar w:fldCharType="separate"/>
      </w:r>
      <w:r>
        <w:rPr>
          <w:rFonts w:hint="eastAsia" w:ascii="黑体" w:hAnsi="黑体" w:eastAsia="黑体"/>
        </w:rPr>
        <w:t>十、 其他重要事项的情况说明</w:t>
      </w:r>
      <w:r>
        <w:tab/>
      </w:r>
      <w:r>
        <w:fldChar w:fldCharType="begin"/>
      </w:r>
      <w:r>
        <w:instrText xml:space="preserve"> PAGEREF _Toc4095 \h </w:instrText>
      </w:r>
      <w:r>
        <w:fldChar w:fldCharType="separate"/>
      </w:r>
      <w:r>
        <w:t>8</w:t>
      </w:r>
      <w:r>
        <w:fldChar w:fldCharType="end"/>
      </w:r>
      <w:r>
        <w:fldChar w:fldCharType="end"/>
      </w:r>
    </w:p>
    <w:p w14:paraId="6B9DF28D">
      <w:pPr>
        <w:pStyle w:val="12"/>
        <w:tabs>
          <w:tab w:val="right" w:leader="dot" w:pos="8306"/>
          <w:tab w:val="clear" w:pos="8296"/>
        </w:tabs>
      </w:pPr>
      <w:r>
        <w:fldChar w:fldCharType="begin"/>
      </w:r>
      <w:r>
        <w:instrText xml:space="preserve">HYPERLINK  \l "_Toc5177" </w:instrText>
      </w:r>
      <w:r>
        <w:fldChar w:fldCharType="separate"/>
      </w:r>
      <w:r>
        <w:rPr>
          <w:rFonts w:hint="eastAsia" w:ascii="黑体" w:hAnsi="黑体" w:eastAsia="黑体"/>
        </w:rPr>
        <w:t>第三部分 名词解释</w:t>
      </w:r>
      <w:r>
        <w:tab/>
      </w:r>
      <w:r>
        <w:fldChar w:fldCharType="begin"/>
      </w:r>
      <w:r>
        <w:instrText xml:space="preserve"> PAGEREF _Toc5177 \h </w:instrText>
      </w:r>
      <w:r>
        <w:fldChar w:fldCharType="separate"/>
      </w:r>
      <w:r>
        <w:t>11</w:t>
      </w:r>
      <w:r>
        <w:fldChar w:fldCharType="end"/>
      </w:r>
      <w:r>
        <w:fldChar w:fldCharType="end"/>
      </w:r>
    </w:p>
    <w:p w14:paraId="2F66A70D">
      <w:pPr>
        <w:pStyle w:val="12"/>
        <w:tabs>
          <w:tab w:val="right" w:leader="dot" w:pos="8306"/>
          <w:tab w:val="clear" w:pos="8296"/>
        </w:tabs>
      </w:pPr>
      <w:r>
        <w:fldChar w:fldCharType="begin"/>
      </w:r>
      <w:r>
        <w:instrText xml:space="preserve">HYPERLINK  \l "_Toc27967" </w:instrText>
      </w:r>
      <w:r>
        <w:fldChar w:fldCharType="separate"/>
      </w:r>
      <w:r>
        <w:rPr>
          <w:rFonts w:hint="eastAsia" w:ascii="黑体" w:hAnsi="黑体" w:eastAsia="黑体"/>
        </w:rPr>
        <w:t>第四部分 附件</w:t>
      </w:r>
      <w:r>
        <w:tab/>
      </w:r>
      <w:r>
        <w:fldChar w:fldCharType="begin"/>
      </w:r>
      <w:r>
        <w:instrText xml:space="preserve"> PAGEREF _Toc27967 \h </w:instrText>
      </w:r>
      <w:r>
        <w:fldChar w:fldCharType="separate"/>
      </w:r>
      <w:r>
        <w:t>15</w:t>
      </w:r>
      <w:r>
        <w:fldChar w:fldCharType="end"/>
      </w:r>
      <w:r>
        <w:fldChar w:fldCharType="end"/>
      </w:r>
    </w:p>
    <w:p w14:paraId="6E794D4B">
      <w:pPr>
        <w:pStyle w:val="13"/>
        <w:tabs>
          <w:tab w:val="right" w:leader="dot" w:pos="8306"/>
          <w:tab w:val="clear" w:pos="8296"/>
        </w:tabs>
      </w:pPr>
      <w:r>
        <w:fldChar w:fldCharType="begin"/>
      </w:r>
      <w:r>
        <w:instrText xml:space="preserve">HYPERLINK  \l "_Toc15677" </w:instrText>
      </w:r>
      <w:r>
        <w:fldChar w:fldCharType="separate"/>
      </w:r>
      <w:r>
        <w:rPr>
          <w:rFonts w:hint="eastAsia" w:ascii="黑体" w:hAnsi="黑体" w:eastAsia="黑体"/>
          <w:szCs w:val="32"/>
        </w:rPr>
        <w:t>附件1盐边县社会保险事务中心部门预算绩效评价报告</w:t>
      </w:r>
      <w:r>
        <w:tab/>
      </w:r>
      <w:r>
        <w:fldChar w:fldCharType="begin"/>
      </w:r>
      <w:r>
        <w:instrText xml:space="preserve"> PAGEREF _Toc15677 \h </w:instrText>
      </w:r>
      <w:r>
        <w:fldChar w:fldCharType="separate"/>
      </w:r>
      <w:r>
        <w:t>15</w:t>
      </w:r>
      <w:r>
        <w:fldChar w:fldCharType="end"/>
      </w:r>
      <w:r>
        <w:fldChar w:fldCharType="end"/>
      </w:r>
    </w:p>
    <w:p w14:paraId="6A4BB7E1">
      <w:pPr>
        <w:pStyle w:val="13"/>
        <w:tabs>
          <w:tab w:val="right" w:leader="dot" w:pos="8306"/>
          <w:tab w:val="clear" w:pos="8296"/>
        </w:tabs>
        <w:ind w:left="840" w:hanging="420" w:hangingChars="200"/>
      </w:pPr>
      <w:r>
        <w:fldChar w:fldCharType="begin"/>
      </w:r>
      <w:r>
        <w:instrText xml:space="preserve">HYPERLINK  \l "_Toc22402" </w:instrText>
      </w:r>
      <w:r>
        <w:fldChar w:fldCharType="separate"/>
      </w:r>
      <w:r>
        <w:rPr>
          <w:rFonts w:hint="eastAsia" w:ascii="黑体" w:hAnsi="黑体" w:eastAsia="黑体"/>
          <w:szCs w:val="32"/>
        </w:rPr>
        <w:t>附件22023年省级财政困难群众社会保险个人缴费代缴资金专项预算项目绩效评价报告</w:t>
      </w:r>
      <w:r>
        <w:tab/>
      </w:r>
      <w:r>
        <w:fldChar w:fldCharType="begin"/>
      </w:r>
      <w:r>
        <w:instrText xml:space="preserve"> PAGEREF _Toc22402 \h </w:instrText>
      </w:r>
      <w:r>
        <w:fldChar w:fldCharType="separate"/>
      </w:r>
      <w:r>
        <w:t>20</w:t>
      </w:r>
      <w:r>
        <w:fldChar w:fldCharType="end"/>
      </w:r>
      <w:r>
        <w:fldChar w:fldCharType="end"/>
      </w:r>
    </w:p>
    <w:p w14:paraId="5E55A4E7">
      <w:pPr>
        <w:pStyle w:val="12"/>
        <w:tabs>
          <w:tab w:val="right" w:leader="dot" w:pos="8306"/>
          <w:tab w:val="clear" w:pos="8296"/>
        </w:tabs>
      </w:pPr>
      <w:r>
        <w:fldChar w:fldCharType="begin"/>
      </w:r>
      <w:r>
        <w:instrText xml:space="preserve">HYPERLINK  \l "_Toc22437" </w:instrText>
      </w:r>
      <w:r>
        <w:fldChar w:fldCharType="separate"/>
      </w:r>
      <w:r>
        <w:rPr>
          <w:rFonts w:hint="eastAsia" w:ascii="黑体" w:hAnsi="黑体" w:eastAsia="黑体"/>
        </w:rPr>
        <w:t>第五部分 附表</w:t>
      </w:r>
      <w:r>
        <w:tab/>
      </w:r>
      <w:r>
        <w:fldChar w:fldCharType="begin"/>
      </w:r>
      <w:r>
        <w:instrText xml:space="preserve"> PAGEREF _Toc22437 \h </w:instrText>
      </w:r>
      <w:r>
        <w:fldChar w:fldCharType="separate"/>
      </w:r>
      <w:r>
        <w:t>26</w:t>
      </w:r>
      <w:r>
        <w:fldChar w:fldCharType="end"/>
      </w:r>
      <w:r>
        <w:fldChar w:fldCharType="end"/>
      </w:r>
    </w:p>
    <w:p w14:paraId="3DE8AEF0">
      <w:pPr>
        <w:jc w:val="center"/>
      </w:pPr>
      <w:r>
        <w:rPr>
          <w:b/>
        </w:rPr>
        <w:fldChar w:fldCharType="end"/>
      </w:r>
    </w:p>
    <w:p w14:paraId="4C3898F5">
      <w:pPr>
        <w:pStyle w:val="2"/>
        <w:spacing w:line="560" w:lineRule="exact"/>
        <w:jc w:val="center"/>
        <w:rPr>
          <w:rFonts w:ascii="黑体" w:hAnsi="黑体" w:eastAsia="黑体"/>
          <w:b w:val="0"/>
        </w:rPr>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titlePg/>
          <w:docGrid w:type="lines" w:linePitch="312" w:charSpace="0"/>
        </w:sectPr>
      </w:pPr>
      <w:bookmarkStart w:id="18" w:name="_Toc15512"/>
    </w:p>
    <w:p w14:paraId="7D35C3BA">
      <w:pPr>
        <w:pStyle w:val="2"/>
        <w:spacing w:line="560" w:lineRule="exact"/>
        <w:jc w:val="center"/>
        <w:rPr>
          <w:rFonts w:ascii="黑体" w:eastAsia="黑体"/>
          <w:sz w:val="32"/>
          <w:szCs w:val="32"/>
        </w:rPr>
      </w:pPr>
      <w:r>
        <w:rPr>
          <w:rFonts w:hint="eastAsia" w:ascii="黑体" w:hAnsi="黑体" w:eastAsia="黑体"/>
          <w:b w:val="0"/>
        </w:rPr>
        <w:t xml:space="preserve">第一部分 </w:t>
      </w:r>
      <w:r>
        <w:rPr>
          <w:rStyle w:val="35"/>
          <w:rFonts w:hint="eastAsia" w:ascii="黑体" w:hAnsi="黑体" w:eastAsia="黑体"/>
          <w:b w:val="0"/>
          <w:bCs w:val="0"/>
        </w:rPr>
        <w:t>部门概况</w:t>
      </w:r>
      <w:bookmarkEnd w:id="16"/>
      <w:bookmarkEnd w:id="17"/>
      <w:bookmarkEnd w:id="18"/>
    </w:p>
    <w:p w14:paraId="3477C787">
      <w:pPr>
        <w:pStyle w:val="3"/>
        <w:numPr>
          <w:ilvl w:val="0"/>
          <w:numId w:val="1"/>
        </w:numPr>
        <w:spacing w:line="560" w:lineRule="exact"/>
        <w:rPr>
          <w:rFonts w:ascii="黑体" w:hAnsi="黑体" w:eastAsia="黑体"/>
          <w:b w:val="0"/>
        </w:rPr>
      </w:pPr>
      <w:bookmarkStart w:id="19" w:name="_Toc16762"/>
      <w:r>
        <w:rPr>
          <w:rFonts w:hint="eastAsia" w:ascii="黑体" w:hAnsi="黑体" w:eastAsia="黑体"/>
          <w:b w:val="0"/>
        </w:rPr>
        <w:t>部门职责</w:t>
      </w:r>
      <w:bookmarkEnd w:id="19"/>
    </w:p>
    <w:p w14:paraId="44FC28AA">
      <w:pPr>
        <w:snapToGrid w:val="0"/>
        <w:spacing w:line="560" w:lineRule="exact"/>
        <w:ind w:firstLine="640" w:firstLineChars="200"/>
      </w:pPr>
      <w:r>
        <w:rPr>
          <w:rFonts w:eastAsia="仿宋_GB2312"/>
          <w:kern w:val="0"/>
          <w:sz w:val="32"/>
          <w:szCs w:val="32"/>
          <w:shd w:val="clear" w:color="auto" w:fill="FFFFFF"/>
          <w:lang w:val="zh-CN"/>
        </w:rPr>
        <w:t>负责全县城镇职工、城乡居民、机关事业单位养老保险、职业年金的基金征收计划核定工作。负责办理参保职工社会保险关系转移、接续等工作（失业保险、医疗保险、生育保险除外）。负责全县参保单位的社会保险稽核检查工作（医疗保险、生育保险</w:t>
      </w:r>
      <w:r>
        <w:rPr>
          <w:rFonts w:hint="eastAsia" w:eastAsia="仿宋_GB2312"/>
          <w:kern w:val="0"/>
          <w:sz w:val="32"/>
          <w:szCs w:val="32"/>
          <w:shd w:val="clear" w:color="auto" w:fill="FFFFFF"/>
          <w:lang w:val="zh-CN"/>
        </w:rPr>
        <w:t>、</w:t>
      </w:r>
      <w:r>
        <w:rPr>
          <w:rFonts w:hint="eastAsia" w:eastAsia="仿宋_GB2312"/>
          <w:kern w:val="0"/>
          <w:sz w:val="32"/>
          <w:szCs w:val="32"/>
          <w:shd w:val="clear" w:color="auto" w:fill="FFFFFF"/>
        </w:rPr>
        <w:t>失业保险</w:t>
      </w:r>
      <w:r>
        <w:rPr>
          <w:rFonts w:eastAsia="仿宋_GB2312"/>
          <w:kern w:val="0"/>
          <w:sz w:val="32"/>
          <w:szCs w:val="32"/>
          <w:shd w:val="clear" w:color="auto" w:fill="FFFFFF"/>
          <w:lang w:val="zh-CN"/>
        </w:rPr>
        <w:t>除外）。负责全县离退休人员待遇核定、养老金领取资格认证、待遇发放及社会化管理工作。负责工伤保险待遇发放工作。负责社会保险档案管理工作。</w:t>
      </w:r>
    </w:p>
    <w:p w14:paraId="4139CC43">
      <w:pPr>
        <w:pStyle w:val="3"/>
        <w:spacing w:line="560" w:lineRule="exact"/>
        <w:rPr>
          <w:rStyle w:val="36"/>
          <w:b w:val="0"/>
          <w:bCs w:val="0"/>
        </w:rPr>
      </w:pPr>
      <w:bookmarkStart w:id="20" w:name="_Toc15396601"/>
      <w:bookmarkStart w:id="21" w:name="_Toc15377200"/>
      <w:bookmarkStart w:id="22" w:name="_Toc29859"/>
      <w:r>
        <w:rPr>
          <w:rFonts w:hint="eastAsia" w:ascii="黑体" w:eastAsia="黑体"/>
          <w:b w:val="0"/>
        </w:rPr>
        <w:t>二、</w:t>
      </w:r>
      <w:r>
        <w:rPr>
          <w:rFonts w:hint="eastAsia" w:ascii="黑体" w:hAnsi="黑体" w:eastAsia="黑体"/>
          <w:b w:val="0"/>
        </w:rPr>
        <w:t>机</w:t>
      </w:r>
      <w:r>
        <w:rPr>
          <w:rStyle w:val="36"/>
          <w:rFonts w:hint="eastAsia" w:ascii="黑体" w:hAnsi="黑体" w:eastAsia="黑体"/>
          <w:b w:val="0"/>
          <w:bCs w:val="0"/>
        </w:rPr>
        <w:t>构设置</w:t>
      </w:r>
      <w:bookmarkEnd w:id="20"/>
      <w:bookmarkEnd w:id="21"/>
      <w:bookmarkEnd w:id="22"/>
    </w:p>
    <w:p w14:paraId="1382F834">
      <w:pPr>
        <w:pStyle w:val="26"/>
        <w:spacing w:line="560" w:lineRule="exact"/>
        <w:ind w:firstLine="640" w:firstLineChars="200"/>
        <w:rPr>
          <w:rFonts w:ascii="仿宋" w:hAnsi="仿宋" w:eastAsia="仿宋"/>
          <w:sz w:val="32"/>
          <w:szCs w:val="32"/>
        </w:rPr>
      </w:pPr>
      <w:bookmarkStart w:id="23" w:name="_Toc15377201"/>
      <w:bookmarkStart w:id="24" w:name="_Toc15378448"/>
      <w:bookmarkStart w:id="25" w:name="_Toc15377432"/>
      <w:bookmarkStart w:id="26" w:name="_Toc15306275"/>
      <w:r>
        <w:rPr>
          <w:rFonts w:hint="eastAsia" w:ascii="仿宋" w:hAnsi="仿宋" w:eastAsia="仿宋"/>
          <w:sz w:val="32"/>
          <w:szCs w:val="32"/>
        </w:rPr>
        <w:t>盐边县社会保险事务中心隶属于盐边县人力资源和社会保障局的参公管理单位，无下属二级预算单位。</w:t>
      </w:r>
    </w:p>
    <w:bookmarkEnd w:id="23"/>
    <w:bookmarkEnd w:id="24"/>
    <w:bookmarkEnd w:id="25"/>
    <w:bookmarkEnd w:id="26"/>
    <w:p w14:paraId="36FF23E9">
      <w:pPr>
        <w:widowControl/>
        <w:jc w:val="left"/>
        <w:rPr>
          <w:rFonts w:ascii="仿宋" w:hAnsi="仿宋" w:eastAsia="仿宋"/>
          <w:kern w:val="0"/>
          <w:sz w:val="32"/>
          <w:szCs w:val="32"/>
        </w:rPr>
      </w:pPr>
      <w:r>
        <w:rPr>
          <w:rFonts w:ascii="仿宋" w:hAnsi="仿宋" w:eastAsia="仿宋"/>
          <w:sz w:val="32"/>
          <w:szCs w:val="32"/>
        </w:rPr>
        <w:br w:type="page"/>
      </w:r>
    </w:p>
    <w:p w14:paraId="451A608E">
      <w:pPr>
        <w:pStyle w:val="2"/>
        <w:ind w:right="440"/>
        <w:jc w:val="center"/>
      </w:pPr>
      <w:bookmarkStart w:id="27" w:name="_Toc16559"/>
      <w:bookmarkStart w:id="28" w:name="_Toc15377204"/>
      <w:bookmarkStart w:id="29" w:name="_Toc15396602"/>
      <w:r>
        <w:rPr>
          <w:rFonts w:hint="eastAsia" w:ascii="黑体" w:hAnsi="黑体" w:eastAsia="黑体"/>
          <w:b w:val="0"/>
        </w:rPr>
        <w:t>第二部分 2023年度</w:t>
      </w:r>
      <w:r>
        <w:rPr>
          <w:rStyle w:val="35"/>
          <w:rFonts w:hint="eastAsia" w:ascii="黑体" w:hAnsi="黑体" w:eastAsia="黑体"/>
          <w:b w:val="0"/>
          <w:bCs/>
        </w:rPr>
        <w:t>部门决算情况说明</w:t>
      </w:r>
      <w:bookmarkEnd w:id="27"/>
      <w:bookmarkEnd w:id="28"/>
      <w:bookmarkEnd w:id="29"/>
    </w:p>
    <w:p w14:paraId="55784EB6">
      <w:pPr>
        <w:pStyle w:val="22"/>
        <w:numPr>
          <w:ilvl w:val="0"/>
          <w:numId w:val="2"/>
        </w:numPr>
        <w:spacing w:line="560" w:lineRule="exact"/>
        <w:ind w:firstLineChars="0"/>
        <w:outlineLvl w:val="1"/>
        <w:rPr>
          <w:rStyle w:val="36"/>
          <w:rFonts w:ascii="黑体" w:hAnsi="黑体" w:eastAsia="黑体"/>
          <w:b w:val="0"/>
        </w:rPr>
      </w:pPr>
      <w:bookmarkStart w:id="30" w:name="_Toc15377205"/>
      <w:bookmarkStart w:id="31" w:name="_Toc15396603"/>
      <w:bookmarkStart w:id="32" w:name="_Toc27433"/>
      <w:r>
        <w:rPr>
          <w:rFonts w:hint="eastAsia" w:ascii="黑体" w:hAnsi="黑体" w:eastAsia="黑体"/>
          <w:sz w:val="32"/>
          <w:szCs w:val="32"/>
        </w:rPr>
        <w:t>收</w:t>
      </w:r>
      <w:r>
        <w:rPr>
          <w:rStyle w:val="36"/>
          <w:rFonts w:hint="eastAsia" w:ascii="黑体" w:hAnsi="黑体" w:eastAsia="黑体"/>
          <w:b w:val="0"/>
        </w:rPr>
        <w:t>入支出决算总体情况说明</w:t>
      </w:r>
      <w:bookmarkEnd w:id="30"/>
      <w:bookmarkEnd w:id="31"/>
      <w:bookmarkEnd w:id="32"/>
    </w:p>
    <w:p w14:paraId="0B5690C6">
      <w:pPr>
        <w:spacing w:line="560" w:lineRule="exact"/>
        <w:ind w:firstLine="640" w:firstLineChars="200"/>
      </w:pPr>
      <w:r>
        <w:rPr>
          <w:rFonts w:hint="eastAsia" w:ascii="仿宋" w:hAnsi="仿宋" w:eastAsia="仿宋"/>
          <w:sz w:val="32"/>
          <w:szCs w:val="32"/>
        </w:rPr>
        <w:t>2023年度收、支总计均为</w:t>
      </w:r>
      <w:r>
        <w:rPr>
          <w:rFonts w:hint="eastAsia"/>
          <w:sz w:val="32"/>
          <w:szCs w:val="32"/>
        </w:rPr>
        <w:t>259.07</w:t>
      </w:r>
      <w:r>
        <w:rPr>
          <w:rFonts w:hint="eastAsia" w:ascii="仿宋" w:hAnsi="仿宋" w:eastAsia="仿宋"/>
          <w:sz w:val="32"/>
          <w:szCs w:val="32"/>
        </w:rPr>
        <w:t>万元</w:t>
      </w:r>
      <w:r>
        <w:rPr>
          <w:rFonts w:hint="eastAsia"/>
          <w:sz w:val="32"/>
          <w:szCs w:val="32"/>
        </w:rPr>
        <w:t>。</w:t>
      </w:r>
      <w:r>
        <w:rPr>
          <w:rFonts w:hint="eastAsia" w:ascii="仿宋" w:hAnsi="仿宋" w:eastAsia="仿宋"/>
          <w:sz w:val="32"/>
          <w:szCs w:val="32"/>
        </w:rPr>
        <w:t>与2022年度相比，收、支总计各减少30.27万元，下降10.46</w:t>
      </w:r>
      <w:r>
        <w:rPr>
          <w:rFonts w:ascii="仿宋" w:hAnsi="仿宋" w:eastAsia="仿宋"/>
          <w:sz w:val="32"/>
          <w:szCs w:val="32"/>
        </w:rPr>
        <w:t>%</w:t>
      </w:r>
      <w:r>
        <w:rPr>
          <w:rFonts w:hint="eastAsia" w:ascii="仿宋" w:hAnsi="仿宋" w:eastAsia="仿宋"/>
          <w:sz w:val="32"/>
          <w:szCs w:val="32"/>
        </w:rPr>
        <w:t>。主要变动原因是当年度调出县外1人，年度内退休2人，在</w:t>
      </w:r>
      <w:r>
        <w:rPr>
          <w:rFonts w:hint="eastAsia" w:ascii="仿宋_GB2312" w:hAnsi="仿宋_GB2312" w:eastAsia="仿宋_GB2312" w:cs="仿宋_GB2312"/>
          <w:sz w:val="32"/>
          <w:szCs w:val="32"/>
        </w:rPr>
        <w:t>职工工资福利支出方面变动较大。另外,</w:t>
      </w:r>
      <w:r>
        <w:rPr>
          <w:rFonts w:hint="eastAsia" w:ascii="仿宋" w:hAnsi="仿宋" w:eastAsia="仿宋"/>
          <w:sz w:val="32"/>
          <w:szCs w:val="32"/>
        </w:rPr>
        <w:t>2022年省级财政社保公共服务能力建设资金项目收、支9.98万元，2023年未开展此专项项目，无相关支出。</w:t>
      </w:r>
    </w:p>
    <w:p w14:paraId="6DA0DE4F">
      <w:pPr>
        <w:spacing w:line="600" w:lineRule="exact"/>
        <w:ind w:firstLine="640" w:firstLineChars="200"/>
        <w:jc w:val="left"/>
        <w:rPr>
          <w:rFonts w:ascii="仿宋" w:hAnsi="仿宋" w:eastAsia="仿宋"/>
          <w:sz w:val="32"/>
          <w:szCs w:val="32"/>
        </w:rPr>
      </w:pPr>
      <w:r>
        <w:rPr>
          <w:rFonts w:hint="eastAsia" w:ascii="仿宋" w:hAnsi="仿宋" w:eastAsia="仿宋" w:cs="Times New Roman"/>
          <w:kern w:val="2"/>
          <w:sz w:val="32"/>
          <w:szCs w:val="32"/>
          <w:lang w:val="en-US" w:eastAsia="zh-CN" w:bidi="ar-SA"/>
        </w:rPr>
        <w:pict>
          <v:shape id="图表 3" o:spid="_x0000_s1031" style="position:absolute;left:0pt;margin-left:45.8pt;margin-top:326.6pt;height:150pt;width:307.3pt;mso-position-vertical-relative:page;z-index:251659264;mso-width-relative:page;mso-height-relative:page;" fillcolor="#FFFFFF" filled="t" o:preferrelative="t" stroked="t" coordsize="21600,21600">
            <v:fill on="t" focussize="0,0"/>
            <v:stroke color="#000000" color2="#FFFFFF" miterlimit="2"/>
            <v:imagedata gain="65536f" blacklevel="0f" gamma="0" o:title=""/>
            <o:lock v:ext="edit" position="f" selection="f" grouping="f" rotation="f" cropping="f" text="f" aspectratio="f"/>
          </v:shape>
        </w:pict>
      </w:r>
    </w:p>
    <w:p w14:paraId="272AF51D">
      <w:pPr>
        <w:pStyle w:val="5"/>
        <w:spacing w:before="93"/>
        <w:rPr>
          <w:rFonts w:ascii="仿宋" w:hAnsi="仿宋" w:eastAsia="仿宋"/>
          <w:sz w:val="32"/>
          <w:szCs w:val="32"/>
        </w:rPr>
      </w:pPr>
    </w:p>
    <w:p w14:paraId="0479203C">
      <w:pPr>
        <w:pStyle w:val="5"/>
        <w:spacing w:before="93"/>
        <w:rPr>
          <w:rFonts w:ascii="仿宋" w:hAnsi="仿宋" w:eastAsia="仿宋"/>
          <w:sz w:val="32"/>
          <w:szCs w:val="32"/>
        </w:rPr>
      </w:pPr>
    </w:p>
    <w:p w14:paraId="6E9839E9">
      <w:pPr>
        <w:pStyle w:val="5"/>
        <w:spacing w:before="93"/>
        <w:rPr>
          <w:rFonts w:ascii="仿宋" w:hAnsi="仿宋" w:eastAsia="仿宋"/>
          <w:sz w:val="32"/>
          <w:szCs w:val="32"/>
        </w:rPr>
      </w:pPr>
    </w:p>
    <w:p w14:paraId="7733A5A5">
      <w:pPr>
        <w:spacing w:line="600" w:lineRule="exact"/>
        <w:ind w:firstLine="640" w:firstLineChars="200"/>
        <w:rPr>
          <w:rFonts w:ascii="仿宋" w:hAnsi="仿宋" w:eastAsia="仿宋"/>
          <w:sz w:val="32"/>
          <w:szCs w:val="32"/>
        </w:rPr>
      </w:pPr>
    </w:p>
    <w:p w14:paraId="56F600C1">
      <w:pPr>
        <w:spacing w:line="560" w:lineRule="exact"/>
        <w:ind w:firstLine="640" w:firstLineChars="200"/>
        <w:rPr>
          <w:rFonts w:ascii="仿宋_GB2312" w:eastAsia="仿宋_GB2312"/>
          <w:sz w:val="32"/>
          <w:szCs w:val="32"/>
        </w:rPr>
      </w:pPr>
      <w:r>
        <w:rPr>
          <w:rFonts w:hint="eastAsia" w:ascii="仿宋" w:hAnsi="仿宋" w:eastAsia="仿宋"/>
          <w:sz w:val="32"/>
          <w:szCs w:val="32"/>
        </w:rPr>
        <w:t>（图</w:t>
      </w:r>
      <w:r>
        <w:rPr>
          <w:rFonts w:ascii="仿宋" w:hAnsi="仿宋" w:eastAsia="仿宋"/>
          <w:sz w:val="32"/>
          <w:szCs w:val="32"/>
        </w:rPr>
        <w:t>1</w:t>
      </w:r>
      <w:r>
        <w:rPr>
          <w:rFonts w:hint="eastAsia" w:ascii="仿宋" w:hAnsi="仿宋" w:eastAsia="仿宋"/>
          <w:sz w:val="32"/>
          <w:szCs w:val="32"/>
        </w:rPr>
        <w:t>：收、支决算总计变动情况图）（柱状图）</w:t>
      </w:r>
    </w:p>
    <w:p w14:paraId="31AC3D8E">
      <w:pPr>
        <w:pStyle w:val="22"/>
        <w:numPr>
          <w:ilvl w:val="0"/>
          <w:numId w:val="2"/>
        </w:numPr>
        <w:spacing w:line="560" w:lineRule="exact"/>
        <w:ind w:firstLineChars="0"/>
        <w:outlineLvl w:val="1"/>
        <w:rPr>
          <w:rStyle w:val="36"/>
          <w:rFonts w:ascii="黑体" w:hAnsi="黑体" w:eastAsia="黑体"/>
          <w:b w:val="0"/>
        </w:rPr>
      </w:pPr>
      <w:bookmarkStart w:id="33" w:name="_Toc15377206"/>
      <w:bookmarkStart w:id="34" w:name="_Toc16977"/>
      <w:bookmarkStart w:id="35" w:name="_Toc15396604"/>
      <w:r>
        <w:rPr>
          <w:rFonts w:hint="eastAsia" w:ascii="黑体" w:hAnsi="黑体" w:eastAsia="黑体"/>
          <w:sz w:val="32"/>
          <w:szCs w:val="32"/>
        </w:rPr>
        <w:t>收</w:t>
      </w:r>
      <w:r>
        <w:rPr>
          <w:rStyle w:val="36"/>
          <w:rFonts w:hint="eastAsia" w:ascii="黑体" w:hAnsi="黑体" w:eastAsia="黑体"/>
          <w:b w:val="0"/>
        </w:rPr>
        <w:t>入决算情况说明</w:t>
      </w:r>
      <w:bookmarkEnd w:id="33"/>
      <w:bookmarkEnd w:id="34"/>
      <w:bookmarkEnd w:id="35"/>
    </w:p>
    <w:p w14:paraId="45AE7A0E">
      <w:pPr>
        <w:spacing w:line="560" w:lineRule="exact"/>
        <w:ind w:firstLine="640" w:firstLineChars="200"/>
        <w:jc w:val="left"/>
        <w:rPr>
          <w:rFonts w:ascii="仿宋" w:hAnsi="仿宋" w:eastAsia="仿宋"/>
          <w:sz w:val="32"/>
          <w:szCs w:val="32"/>
        </w:rPr>
      </w:pPr>
      <w:r>
        <w:rPr>
          <w:rFonts w:hint="eastAsia" w:ascii="仿宋" w:hAnsi="仿宋" w:eastAsia="仿宋"/>
          <w:sz w:val="32"/>
          <w:szCs w:val="32"/>
        </w:rPr>
        <w:t>2023年度本年收入合计</w:t>
      </w:r>
      <w:r>
        <w:rPr>
          <w:sz w:val="32"/>
          <w:szCs w:val="32"/>
        </w:rPr>
        <w:t>259.07</w:t>
      </w:r>
      <w:r>
        <w:rPr>
          <w:rFonts w:hint="eastAsia" w:ascii="仿宋" w:hAnsi="仿宋" w:eastAsia="仿宋"/>
          <w:sz w:val="32"/>
          <w:szCs w:val="32"/>
        </w:rPr>
        <w:t>万元，其中：一般公共预算财政拨款收入</w:t>
      </w:r>
      <w:r>
        <w:rPr>
          <w:sz w:val="32"/>
          <w:szCs w:val="32"/>
        </w:rPr>
        <w:t>259.07</w:t>
      </w:r>
      <w:r>
        <w:rPr>
          <w:rFonts w:hint="eastAsia" w:ascii="仿宋" w:hAnsi="仿宋" w:eastAsia="仿宋"/>
          <w:sz w:val="32"/>
          <w:szCs w:val="32"/>
        </w:rPr>
        <w:t>万元，占</w:t>
      </w:r>
      <w:r>
        <w:rPr>
          <w:sz w:val="32"/>
          <w:szCs w:val="32"/>
        </w:rPr>
        <w:t>100</w:t>
      </w:r>
      <w:r>
        <w:rPr>
          <w:rFonts w:ascii="仿宋" w:hAnsi="仿宋" w:eastAsia="仿宋"/>
          <w:sz w:val="32"/>
          <w:szCs w:val="32"/>
        </w:rPr>
        <w:t>%</w:t>
      </w:r>
      <w:r>
        <w:rPr>
          <w:rFonts w:hint="eastAsia" w:ascii="仿宋" w:hAnsi="仿宋" w:eastAsia="仿宋"/>
          <w:sz w:val="32"/>
          <w:szCs w:val="32"/>
        </w:rPr>
        <w:t>；。</w:t>
      </w:r>
    </w:p>
    <w:p w14:paraId="04B11D9D">
      <w:pPr>
        <w:spacing w:line="600" w:lineRule="exact"/>
        <w:ind w:firstLine="640" w:firstLineChars="200"/>
        <w:rPr>
          <w:rFonts w:ascii="仿宋" w:hAnsi="仿宋" w:eastAsia="仿宋"/>
          <w:sz w:val="32"/>
          <w:szCs w:val="32"/>
        </w:rPr>
      </w:pPr>
      <w:r>
        <w:rPr>
          <w:rFonts w:ascii="Times New Roman" w:hAnsi="Times New Roman" w:eastAsia="仿宋" w:cs="Times New Roman"/>
          <w:kern w:val="2"/>
          <w:sz w:val="32"/>
          <w:szCs w:val="32"/>
          <w:lang w:val="en-US" w:eastAsia="zh-CN" w:bidi="ar-SA"/>
        </w:rPr>
        <w:pict>
          <v:shape id="图表 4" o:spid="_x0000_s1032" style="position:absolute;left:0pt;margin-left:61.1pt;margin-top:617.45pt;height:167.8pt;width:279.8pt;mso-position-vertical-relative:page;z-index:251660288;mso-width-relative:page;mso-height-relative:page;" fillcolor="#FFFFFF" filled="t" o:preferrelative="t" stroked="t" coordsize="21600,21600">
            <v:fill on="t" focussize="0,0"/>
            <v:stroke color="#000000" color2="#FFFFFF" miterlimit="2"/>
            <v:imagedata gain="65536f" blacklevel="0f" gamma="0" o:title=""/>
            <o:lock v:ext="edit" position="f" selection="f" grouping="f" rotation="f" cropping="f" text="f" aspectratio="f"/>
          </v:shape>
        </w:pict>
      </w:r>
    </w:p>
    <w:p w14:paraId="5AF94058">
      <w:pPr>
        <w:pStyle w:val="5"/>
        <w:spacing w:before="93"/>
        <w:rPr>
          <w:rFonts w:ascii="仿宋" w:hAnsi="仿宋" w:eastAsia="仿宋"/>
          <w:sz w:val="32"/>
          <w:szCs w:val="32"/>
        </w:rPr>
      </w:pPr>
    </w:p>
    <w:p w14:paraId="5ED43DEB">
      <w:pPr>
        <w:pStyle w:val="5"/>
        <w:spacing w:before="93"/>
        <w:rPr>
          <w:rFonts w:ascii="仿宋" w:hAnsi="仿宋" w:eastAsia="仿宋"/>
          <w:sz w:val="32"/>
          <w:szCs w:val="32"/>
        </w:rPr>
      </w:pPr>
    </w:p>
    <w:p w14:paraId="07E7EB5C">
      <w:pPr>
        <w:pStyle w:val="5"/>
        <w:spacing w:before="93"/>
        <w:rPr>
          <w:rFonts w:ascii="仿宋" w:hAnsi="仿宋" w:eastAsia="仿宋"/>
          <w:sz w:val="32"/>
          <w:szCs w:val="32"/>
        </w:rPr>
      </w:pPr>
    </w:p>
    <w:p w14:paraId="2842948D">
      <w:pPr>
        <w:pStyle w:val="5"/>
        <w:spacing w:before="93"/>
        <w:rPr>
          <w:rFonts w:ascii="仿宋" w:hAnsi="仿宋" w:eastAsia="仿宋"/>
          <w:sz w:val="32"/>
          <w:szCs w:val="32"/>
        </w:rPr>
      </w:pPr>
    </w:p>
    <w:p w14:paraId="25D6A9D0">
      <w:pPr>
        <w:spacing w:line="560" w:lineRule="exact"/>
        <w:ind w:firstLine="640" w:firstLineChars="200"/>
        <w:rPr>
          <w:rFonts w:ascii="仿宋_GB2312" w:eastAsia="仿宋_GB2312"/>
          <w:sz w:val="32"/>
          <w:szCs w:val="32"/>
        </w:rPr>
      </w:pPr>
      <w:r>
        <w:rPr>
          <w:rFonts w:hint="eastAsia" w:ascii="仿宋" w:hAnsi="仿宋" w:eastAsia="仿宋"/>
          <w:sz w:val="32"/>
          <w:szCs w:val="32"/>
        </w:rPr>
        <w:t>（图2：收入决算结构图）（饼状图）</w:t>
      </w:r>
    </w:p>
    <w:p w14:paraId="7FC17884">
      <w:pPr>
        <w:pStyle w:val="22"/>
        <w:numPr>
          <w:ilvl w:val="0"/>
          <w:numId w:val="2"/>
        </w:numPr>
        <w:spacing w:line="560" w:lineRule="exact"/>
        <w:ind w:firstLineChars="0"/>
        <w:outlineLvl w:val="1"/>
        <w:rPr>
          <w:rStyle w:val="36"/>
          <w:rFonts w:ascii="黑体" w:hAnsi="黑体" w:eastAsia="黑体"/>
          <w:b w:val="0"/>
        </w:rPr>
      </w:pPr>
      <w:bookmarkStart w:id="36" w:name="_Toc29124"/>
      <w:bookmarkStart w:id="37" w:name="_Toc15377207"/>
      <w:bookmarkStart w:id="38" w:name="_Toc15396605"/>
      <w:r>
        <w:rPr>
          <w:rFonts w:hint="eastAsia" w:ascii="黑体" w:hAnsi="黑体" w:eastAsia="黑体"/>
          <w:sz w:val="32"/>
          <w:szCs w:val="32"/>
        </w:rPr>
        <w:t>支</w:t>
      </w:r>
      <w:r>
        <w:rPr>
          <w:rStyle w:val="36"/>
          <w:rFonts w:hint="eastAsia" w:ascii="黑体" w:hAnsi="黑体" w:eastAsia="黑体"/>
          <w:b w:val="0"/>
        </w:rPr>
        <w:t>出决算情况说明</w:t>
      </w:r>
      <w:bookmarkEnd w:id="36"/>
      <w:bookmarkEnd w:id="37"/>
      <w:bookmarkEnd w:id="38"/>
    </w:p>
    <w:p w14:paraId="1FF17076">
      <w:pPr>
        <w:spacing w:line="560" w:lineRule="exact"/>
        <w:ind w:firstLine="640" w:firstLineChars="200"/>
        <w:outlineLvl w:val="1"/>
        <w:rPr>
          <w:rStyle w:val="36"/>
          <w:rFonts w:ascii="黑体" w:hAnsi="黑体" w:eastAsia="黑体"/>
          <w:b w:val="0"/>
        </w:rPr>
      </w:pPr>
      <w:bookmarkStart w:id="39" w:name="_Toc15396606"/>
      <w:bookmarkStart w:id="40" w:name="_Toc23188"/>
      <w:bookmarkStart w:id="41" w:name="_Toc15377208"/>
      <w:r>
        <w:rPr>
          <w:rFonts w:hint="eastAsia" w:ascii="黑体" w:hAnsi="黑体" w:eastAsia="黑体"/>
          <w:sz w:val="32"/>
          <w:szCs w:val="32"/>
        </w:rPr>
        <w:t>四、财</w:t>
      </w:r>
      <w:r>
        <w:rPr>
          <w:rStyle w:val="36"/>
          <w:rFonts w:hint="eastAsia" w:ascii="黑体" w:hAnsi="黑体" w:eastAsia="黑体"/>
          <w:b w:val="0"/>
        </w:rPr>
        <w:t>政拨款收入支出决算总体情况说明</w:t>
      </w:r>
      <w:bookmarkEnd w:id="39"/>
      <w:bookmarkEnd w:id="40"/>
      <w:bookmarkEnd w:id="41"/>
    </w:p>
    <w:p w14:paraId="2A948357">
      <w:pPr>
        <w:spacing w:line="560" w:lineRule="exact"/>
        <w:ind w:firstLine="640" w:firstLineChars="200"/>
      </w:pPr>
      <w:r>
        <w:rPr>
          <w:rFonts w:hint="eastAsia" w:ascii="仿宋" w:hAnsi="仿宋" w:eastAsia="仿宋"/>
          <w:sz w:val="32"/>
          <w:szCs w:val="32"/>
        </w:rPr>
        <w:t>2023年度财政拨款收、支总计均为</w:t>
      </w:r>
      <w:r>
        <w:rPr>
          <w:sz w:val="32"/>
          <w:szCs w:val="32"/>
        </w:rPr>
        <w:t>259.07</w:t>
      </w:r>
      <w:r>
        <w:rPr>
          <w:rFonts w:hint="eastAsia" w:ascii="仿宋" w:hAnsi="仿宋" w:eastAsia="仿宋"/>
          <w:sz w:val="32"/>
          <w:szCs w:val="32"/>
        </w:rPr>
        <w:t>万元。与2022年度相比，财政拨款收、支总计各减少30.72万元，下降10.46</w:t>
      </w:r>
      <w:r>
        <w:rPr>
          <w:rFonts w:ascii="仿宋" w:hAnsi="仿宋" w:eastAsia="仿宋"/>
          <w:sz w:val="32"/>
          <w:szCs w:val="32"/>
        </w:rPr>
        <w:t>%</w:t>
      </w:r>
      <w:r>
        <w:rPr>
          <w:rFonts w:hint="eastAsia" w:ascii="仿宋" w:hAnsi="仿宋" w:eastAsia="仿宋"/>
          <w:sz w:val="32"/>
          <w:szCs w:val="32"/>
        </w:rPr>
        <w:t>。主要变动原因是当年度调出县外1人，年度内退休2人，在职工工资福利支出方面变动较大。另外,2022年省级财政社保公共服务能力建设资金项目收、支9.98万元，2023年未开展此专项项目，无相关支出。</w:t>
      </w:r>
    </w:p>
    <w:p w14:paraId="5654D8F6">
      <w:pPr>
        <w:spacing w:line="600" w:lineRule="exact"/>
        <w:rPr>
          <w:rFonts w:ascii="仿宋" w:hAnsi="仿宋" w:eastAsia="仿宋"/>
          <w:sz w:val="32"/>
          <w:szCs w:val="32"/>
        </w:rPr>
      </w:pPr>
      <w:r>
        <w:rPr>
          <w:rFonts w:hint="eastAsia" w:ascii="仿宋" w:hAnsi="仿宋" w:eastAsia="仿宋" w:cs="Times New Roman"/>
          <w:kern w:val="2"/>
          <w:sz w:val="32"/>
          <w:szCs w:val="32"/>
          <w:lang w:val="en-US" w:eastAsia="zh-CN" w:bidi="ar-SA"/>
        </w:rPr>
        <w:pict>
          <v:shape id="图表 9" o:spid="_x0000_s1033" style="position:absolute;left:0pt;margin-left:81.65pt;margin-top:361.55pt;height:162.25pt;width:271.05pt;mso-position-vertical-relative:page;z-index:251661312;mso-width-relative:page;mso-height-relative:page;" fillcolor="#FFFFFF" filled="t" o:preferrelative="t" stroked="t" coordsize="21600,21600">
            <v:fill on="t" focussize="0,0"/>
            <v:stroke color="#000000" color2="#FFFFFF" miterlimit="2"/>
            <v:imagedata gain="65536f" blacklevel="0f" gamma="0" o:title=""/>
            <o:lock v:ext="edit" position="f" selection="f" grouping="f" rotation="f" cropping="f" text="f" aspectratio="f"/>
          </v:shape>
        </w:pict>
      </w:r>
    </w:p>
    <w:p w14:paraId="17D43E5B">
      <w:pPr>
        <w:pStyle w:val="5"/>
        <w:spacing w:before="93"/>
        <w:rPr>
          <w:rFonts w:ascii="仿宋" w:hAnsi="仿宋" w:eastAsia="仿宋"/>
          <w:sz w:val="32"/>
          <w:szCs w:val="32"/>
        </w:rPr>
      </w:pPr>
    </w:p>
    <w:p w14:paraId="5CC948D1">
      <w:pPr>
        <w:pStyle w:val="5"/>
        <w:spacing w:before="93"/>
        <w:rPr>
          <w:rFonts w:ascii="仿宋" w:hAnsi="仿宋" w:eastAsia="仿宋"/>
          <w:sz w:val="32"/>
          <w:szCs w:val="32"/>
        </w:rPr>
      </w:pPr>
    </w:p>
    <w:p w14:paraId="20744A24">
      <w:pPr>
        <w:pStyle w:val="5"/>
        <w:spacing w:before="93"/>
        <w:rPr>
          <w:rFonts w:ascii="仿宋" w:hAnsi="仿宋" w:eastAsia="仿宋"/>
          <w:sz w:val="32"/>
          <w:szCs w:val="32"/>
        </w:rPr>
      </w:pPr>
    </w:p>
    <w:p w14:paraId="79FE7D9A">
      <w:pPr>
        <w:pStyle w:val="5"/>
        <w:spacing w:before="93"/>
        <w:rPr>
          <w:rFonts w:ascii="仿宋" w:hAnsi="仿宋" w:eastAsia="仿宋"/>
          <w:sz w:val="32"/>
          <w:szCs w:val="32"/>
        </w:rPr>
      </w:pPr>
    </w:p>
    <w:p w14:paraId="1B328047">
      <w:pPr>
        <w:spacing w:line="560" w:lineRule="exact"/>
        <w:ind w:firstLine="640" w:firstLineChars="200"/>
        <w:rPr>
          <w:rFonts w:ascii="仿宋" w:hAnsi="仿宋" w:eastAsia="仿宋"/>
          <w:b/>
          <w:sz w:val="32"/>
          <w:szCs w:val="32"/>
        </w:rPr>
      </w:pPr>
      <w:r>
        <w:rPr>
          <w:rFonts w:hint="eastAsia" w:ascii="仿宋" w:hAnsi="仿宋" w:eastAsia="仿宋"/>
          <w:sz w:val="32"/>
          <w:szCs w:val="32"/>
        </w:rPr>
        <w:t>（图4：财政拨款收、支决算总计变动情况）（柱状图）</w:t>
      </w:r>
    </w:p>
    <w:p w14:paraId="01BFF668">
      <w:pPr>
        <w:spacing w:line="560" w:lineRule="exact"/>
        <w:ind w:firstLine="640" w:firstLineChars="200"/>
        <w:outlineLvl w:val="1"/>
        <w:rPr>
          <w:rStyle w:val="36"/>
          <w:rFonts w:ascii="黑体" w:hAnsi="黑体" w:eastAsia="黑体"/>
          <w:b w:val="0"/>
        </w:rPr>
      </w:pPr>
      <w:bookmarkStart w:id="42" w:name="_Toc15377209"/>
      <w:bookmarkStart w:id="43" w:name="_Toc14551"/>
      <w:bookmarkStart w:id="44" w:name="_Toc15396607"/>
      <w:r>
        <w:rPr>
          <w:rFonts w:hint="eastAsia" w:ascii="黑体" w:hAnsi="黑体" w:eastAsia="黑体"/>
          <w:sz w:val="32"/>
          <w:szCs w:val="32"/>
        </w:rPr>
        <w:t>五、</w:t>
      </w:r>
      <w:r>
        <w:rPr>
          <w:rFonts w:hint="eastAsia" w:ascii="黑体" w:hAnsi="黑体" w:eastAsia="黑体"/>
          <w:b/>
          <w:sz w:val="32"/>
          <w:szCs w:val="32"/>
        </w:rPr>
        <w:t>一</w:t>
      </w:r>
      <w:r>
        <w:rPr>
          <w:rStyle w:val="36"/>
          <w:rFonts w:hint="eastAsia" w:ascii="黑体" w:hAnsi="黑体" w:eastAsia="黑体"/>
          <w:b w:val="0"/>
        </w:rPr>
        <w:t>般公共预算财政拨款支出决算情况说明</w:t>
      </w:r>
      <w:bookmarkEnd w:id="42"/>
      <w:bookmarkEnd w:id="43"/>
      <w:bookmarkEnd w:id="44"/>
    </w:p>
    <w:p w14:paraId="6ABB3783">
      <w:pPr>
        <w:spacing w:line="560" w:lineRule="exact"/>
        <w:ind w:firstLine="643" w:firstLineChars="200"/>
        <w:outlineLvl w:val="2"/>
        <w:rPr>
          <w:rFonts w:ascii="仿宋" w:hAnsi="仿宋" w:eastAsia="仿宋"/>
          <w:b/>
          <w:sz w:val="32"/>
          <w:szCs w:val="32"/>
        </w:rPr>
      </w:pPr>
      <w:bookmarkStart w:id="45" w:name="_Toc15377210"/>
      <w:r>
        <w:rPr>
          <w:rFonts w:hint="eastAsia" w:ascii="仿宋" w:hAnsi="仿宋" w:eastAsia="仿宋"/>
          <w:b/>
          <w:sz w:val="32"/>
          <w:szCs w:val="32"/>
        </w:rPr>
        <w:t>（一）一般公共预算财政拨款支出决算总体情况</w:t>
      </w:r>
      <w:bookmarkEnd w:id="45"/>
    </w:p>
    <w:p w14:paraId="6417FD9A">
      <w:pPr>
        <w:spacing w:line="560" w:lineRule="exact"/>
        <w:ind w:firstLine="640" w:firstLineChars="200"/>
      </w:pPr>
      <w:r>
        <w:rPr>
          <w:rFonts w:hint="eastAsia" w:ascii="仿宋" w:hAnsi="仿宋" w:eastAsia="仿宋"/>
          <w:sz w:val="32"/>
          <w:szCs w:val="32"/>
        </w:rPr>
        <w:t>2023年度一般公共预算财政拨款支出</w:t>
      </w:r>
      <w:r>
        <w:rPr>
          <w:sz w:val="32"/>
          <w:szCs w:val="32"/>
        </w:rPr>
        <w:t>259.07</w:t>
      </w:r>
      <w:r>
        <w:rPr>
          <w:rFonts w:hint="eastAsia" w:ascii="仿宋" w:hAnsi="仿宋" w:eastAsia="仿宋"/>
          <w:sz w:val="32"/>
          <w:szCs w:val="32"/>
        </w:rPr>
        <w:t>万元，占本年支出合计的</w:t>
      </w:r>
      <w:r>
        <w:rPr>
          <w:sz w:val="32"/>
          <w:szCs w:val="32"/>
        </w:rPr>
        <w:t>100</w:t>
      </w:r>
      <w:r>
        <w:rPr>
          <w:rFonts w:ascii="仿宋" w:hAnsi="仿宋" w:eastAsia="仿宋"/>
          <w:sz w:val="32"/>
          <w:szCs w:val="32"/>
        </w:rPr>
        <w:t>%</w:t>
      </w:r>
      <w:r>
        <w:rPr>
          <w:rFonts w:hint="eastAsia" w:ascii="仿宋" w:hAnsi="仿宋" w:eastAsia="仿宋"/>
          <w:sz w:val="32"/>
          <w:szCs w:val="32"/>
        </w:rPr>
        <w:t>。与2022年度相比，一般公共预算财政拨款支出减少30.27万元，下降10.46</w:t>
      </w:r>
      <w:r>
        <w:rPr>
          <w:rFonts w:ascii="仿宋" w:hAnsi="仿宋" w:eastAsia="仿宋"/>
          <w:sz w:val="32"/>
          <w:szCs w:val="32"/>
        </w:rPr>
        <w:t>%</w:t>
      </w:r>
      <w:r>
        <w:rPr>
          <w:rFonts w:hint="eastAsia" w:ascii="仿宋" w:hAnsi="仿宋" w:eastAsia="仿宋"/>
          <w:sz w:val="32"/>
          <w:szCs w:val="32"/>
        </w:rPr>
        <w:t>。主要变动原因是当年度调出县外1人，年度内退休2人，在职工工资福利支出。另外,2022年省级财政社保公共服务能力建设资金项目收、支9.98万元，2023年未开展此专项项目，无相关支出。</w:t>
      </w:r>
    </w:p>
    <w:p w14:paraId="5348C697">
      <w:pPr>
        <w:spacing w:line="600" w:lineRule="exact"/>
        <w:ind w:firstLine="640" w:firstLineChars="200"/>
        <w:rPr>
          <w:rFonts w:ascii="仿宋" w:hAnsi="仿宋" w:eastAsia="仿宋"/>
          <w:sz w:val="32"/>
          <w:szCs w:val="32"/>
        </w:rPr>
      </w:pPr>
      <w:r>
        <w:rPr>
          <w:rFonts w:hint="eastAsia" w:ascii="仿宋" w:hAnsi="仿宋" w:eastAsia="仿宋" w:cs="Times New Roman"/>
          <w:kern w:val="2"/>
          <w:sz w:val="32"/>
          <w:szCs w:val="32"/>
          <w:lang w:val="en-US" w:eastAsia="zh-CN" w:bidi="ar-SA"/>
        </w:rPr>
        <w:pict>
          <v:shape id="图表 12" o:spid="_x0000_s1034" style="position:absolute;left:0pt;margin-left:63.65pt;margin-top:117.2pt;height:204.9pt;width:306.45pt;mso-position-vertical-relative:page;z-index:251662336;mso-width-relative:page;mso-height-relative:page;" fillcolor="#FFFFFF" filled="t" o:preferrelative="t" stroked="t" coordsize="21600,21600">
            <v:fill on="t" focussize="0,0"/>
            <v:stroke color="#000000" color2="#FFFFFF" miterlimit="2"/>
            <v:imagedata gain="65536f" blacklevel="0f" gamma="0" o:title=""/>
            <o:lock v:ext="edit" position="f" selection="f" grouping="f" rotation="f" cropping="f" text="f" aspectratio="f"/>
          </v:shape>
        </w:pict>
      </w:r>
    </w:p>
    <w:p w14:paraId="1F5A236B">
      <w:pPr>
        <w:pStyle w:val="5"/>
        <w:spacing w:before="93"/>
        <w:rPr>
          <w:rFonts w:ascii="仿宋" w:hAnsi="仿宋" w:eastAsia="仿宋"/>
          <w:sz w:val="32"/>
          <w:szCs w:val="32"/>
        </w:rPr>
      </w:pPr>
    </w:p>
    <w:p w14:paraId="1EA5FC93">
      <w:pPr>
        <w:pStyle w:val="5"/>
        <w:spacing w:before="93"/>
        <w:rPr>
          <w:rFonts w:ascii="仿宋" w:hAnsi="仿宋" w:eastAsia="仿宋"/>
          <w:sz w:val="32"/>
          <w:szCs w:val="32"/>
        </w:rPr>
      </w:pPr>
    </w:p>
    <w:p w14:paraId="6EB1A8C6">
      <w:pPr>
        <w:pStyle w:val="5"/>
        <w:spacing w:before="93"/>
        <w:rPr>
          <w:rFonts w:ascii="仿宋" w:hAnsi="仿宋" w:eastAsia="仿宋"/>
          <w:sz w:val="32"/>
          <w:szCs w:val="32"/>
        </w:rPr>
      </w:pPr>
    </w:p>
    <w:p w14:paraId="7BF360CA">
      <w:pPr>
        <w:pStyle w:val="5"/>
        <w:spacing w:before="93"/>
        <w:rPr>
          <w:rFonts w:ascii="仿宋" w:hAnsi="仿宋" w:eastAsia="仿宋"/>
          <w:sz w:val="32"/>
          <w:szCs w:val="32"/>
        </w:rPr>
      </w:pPr>
    </w:p>
    <w:p w14:paraId="49263530">
      <w:pPr>
        <w:pStyle w:val="5"/>
        <w:spacing w:before="93"/>
        <w:rPr>
          <w:rFonts w:ascii="仿宋" w:hAnsi="仿宋" w:eastAsia="仿宋"/>
          <w:sz w:val="32"/>
          <w:szCs w:val="32"/>
        </w:rPr>
      </w:pPr>
    </w:p>
    <w:p w14:paraId="21D7B8BD">
      <w:pPr>
        <w:pStyle w:val="5"/>
        <w:spacing w:before="93"/>
        <w:rPr>
          <w:rFonts w:ascii="仿宋" w:hAnsi="仿宋" w:eastAsia="仿宋"/>
          <w:sz w:val="32"/>
          <w:szCs w:val="32"/>
        </w:rPr>
      </w:pPr>
    </w:p>
    <w:p w14:paraId="25536911">
      <w:pPr>
        <w:spacing w:line="560" w:lineRule="exact"/>
        <w:ind w:firstLine="640" w:firstLineChars="200"/>
        <w:rPr>
          <w:rFonts w:ascii="仿宋" w:hAnsi="仿宋" w:eastAsia="仿宋"/>
          <w:sz w:val="32"/>
          <w:szCs w:val="32"/>
        </w:rPr>
      </w:pPr>
      <w:r>
        <w:rPr>
          <w:rFonts w:hint="eastAsia" w:ascii="仿宋" w:hAnsi="仿宋" w:eastAsia="仿宋"/>
          <w:sz w:val="32"/>
          <w:szCs w:val="32"/>
        </w:rPr>
        <w:t>（图5：一般公共预算财政拨款支出决算变动情况）（柱状图）</w:t>
      </w:r>
    </w:p>
    <w:p w14:paraId="6720FD7A">
      <w:pPr>
        <w:spacing w:line="560" w:lineRule="exact"/>
        <w:ind w:firstLine="643" w:firstLineChars="200"/>
        <w:outlineLvl w:val="2"/>
        <w:rPr>
          <w:rFonts w:ascii="仿宋" w:hAnsi="仿宋" w:eastAsia="仿宋"/>
          <w:b/>
          <w:sz w:val="32"/>
          <w:szCs w:val="32"/>
        </w:rPr>
      </w:pPr>
      <w:bookmarkStart w:id="46" w:name="_Toc15377211"/>
      <w:r>
        <w:rPr>
          <w:rFonts w:hint="eastAsia" w:ascii="仿宋" w:hAnsi="仿宋" w:eastAsia="仿宋"/>
          <w:b/>
          <w:sz w:val="32"/>
          <w:szCs w:val="32"/>
        </w:rPr>
        <w:t>（二）一般公共预算财政拨款支出决算结构情况</w:t>
      </w:r>
      <w:bookmarkEnd w:id="46"/>
    </w:p>
    <w:p w14:paraId="33964274">
      <w:pPr>
        <w:spacing w:line="560" w:lineRule="exact"/>
        <w:ind w:firstLine="640" w:firstLineChars="200"/>
        <w:rPr>
          <w:rFonts w:ascii="仿宋" w:hAnsi="仿宋" w:eastAsia="仿宋"/>
          <w:sz w:val="32"/>
          <w:szCs w:val="32"/>
        </w:rPr>
      </w:pPr>
      <w:r>
        <w:rPr>
          <w:rFonts w:hint="eastAsia" w:ascii="仿宋" w:hAnsi="仿宋" w:eastAsia="仿宋"/>
          <w:sz w:val="32"/>
          <w:szCs w:val="32"/>
        </w:rPr>
        <w:t>2023年度一般公共预算财政拨款支出</w:t>
      </w:r>
      <w:r>
        <w:rPr>
          <w:sz w:val="32"/>
          <w:szCs w:val="32"/>
        </w:rPr>
        <w:t>259.07</w:t>
      </w:r>
      <w:r>
        <w:rPr>
          <w:rFonts w:hint="eastAsia" w:ascii="仿宋" w:hAnsi="仿宋" w:eastAsia="仿宋"/>
          <w:sz w:val="32"/>
          <w:szCs w:val="32"/>
        </w:rPr>
        <w:t>万元，主要用于以下方面</w:t>
      </w:r>
      <w:r>
        <w:rPr>
          <w:rFonts w:ascii="仿宋" w:hAnsi="仿宋" w:eastAsia="仿宋"/>
          <w:sz w:val="32"/>
          <w:szCs w:val="32"/>
        </w:rPr>
        <w:t>:</w:t>
      </w:r>
      <w:r>
        <w:rPr>
          <w:rFonts w:hint="eastAsia" w:ascii="仿宋" w:hAnsi="仿宋" w:eastAsia="仿宋"/>
          <w:b/>
          <w:sz w:val="32"/>
          <w:szCs w:val="32"/>
        </w:rPr>
        <w:t>社会保障和就业</w:t>
      </w:r>
      <w:r>
        <w:rPr>
          <w:rFonts w:hint="eastAsia" w:ascii="仿宋" w:hAnsi="仿宋" w:eastAsia="仿宋"/>
          <w:b/>
          <w:bCs/>
          <w:sz w:val="32"/>
          <w:szCs w:val="32"/>
        </w:rPr>
        <w:t>支出</w:t>
      </w:r>
      <w:r>
        <w:rPr>
          <w:rFonts w:hint="eastAsia" w:ascii="仿宋" w:hAnsi="仿宋" w:eastAsia="仿宋"/>
          <w:sz w:val="32"/>
          <w:szCs w:val="32"/>
        </w:rPr>
        <w:t>229.08万元，占88.42</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卫生健康支出</w:t>
      </w:r>
      <w:r>
        <w:rPr>
          <w:rFonts w:hint="eastAsia" w:ascii="仿宋" w:hAnsi="仿宋" w:eastAsia="仿宋"/>
          <w:sz w:val="32"/>
          <w:szCs w:val="32"/>
        </w:rPr>
        <w:t>15.4万元，占5.94</w:t>
      </w:r>
      <w:r>
        <w:rPr>
          <w:rFonts w:ascii="仿宋" w:hAnsi="仿宋" w:eastAsia="仿宋"/>
          <w:sz w:val="32"/>
          <w:szCs w:val="32"/>
        </w:rPr>
        <w:t>%</w:t>
      </w:r>
      <w:r>
        <w:rPr>
          <w:rFonts w:hint="eastAsia" w:ascii="仿宋" w:hAnsi="仿宋" w:eastAsia="仿宋"/>
          <w:sz w:val="32"/>
          <w:szCs w:val="32"/>
        </w:rPr>
        <w:t>；</w:t>
      </w:r>
      <w:r>
        <w:rPr>
          <w:rFonts w:hint="eastAsia" w:ascii="仿宋" w:hAnsi="仿宋" w:eastAsia="仿宋"/>
          <w:b/>
          <w:bCs/>
          <w:sz w:val="32"/>
          <w:szCs w:val="32"/>
        </w:rPr>
        <w:t>住房保障支出</w:t>
      </w:r>
      <w:r>
        <w:rPr>
          <w:rFonts w:hint="eastAsia" w:ascii="仿宋" w:hAnsi="仿宋" w:eastAsia="仿宋"/>
          <w:sz w:val="32"/>
          <w:szCs w:val="32"/>
        </w:rPr>
        <w:t>14.6万元，占5.64</w:t>
      </w:r>
      <w:r>
        <w:rPr>
          <w:rFonts w:ascii="仿宋" w:hAnsi="仿宋" w:eastAsia="仿宋"/>
          <w:sz w:val="32"/>
          <w:szCs w:val="32"/>
        </w:rPr>
        <w:t>%</w:t>
      </w:r>
      <w:r>
        <w:rPr>
          <w:rFonts w:hint="eastAsia" w:ascii="仿宋" w:hAnsi="仿宋" w:eastAsia="仿宋"/>
          <w:sz w:val="32"/>
          <w:szCs w:val="32"/>
        </w:rPr>
        <w:t>。</w:t>
      </w:r>
    </w:p>
    <w:p w14:paraId="19460E10">
      <w:pPr>
        <w:spacing w:line="600" w:lineRule="exact"/>
        <w:ind w:firstLine="643" w:firstLineChars="200"/>
        <w:rPr>
          <w:rFonts w:ascii="仿宋" w:hAnsi="仿宋" w:eastAsia="仿宋"/>
          <w:sz w:val="32"/>
          <w:szCs w:val="32"/>
        </w:rPr>
      </w:pPr>
      <w:r>
        <w:rPr>
          <w:rFonts w:hint="eastAsia" w:ascii="仿宋" w:hAnsi="仿宋" w:eastAsia="仿宋" w:cs="Times New Roman"/>
          <w:b/>
          <w:kern w:val="2"/>
          <w:sz w:val="32"/>
          <w:szCs w:val="32"/>
          <w:lang w:val="en-US" w:eastAsia="zh-CN" w:bidi="ar-SA"/>
        </w:rPr>
        <w:pict>
          <v:shape id="图表 7" o:spid="_x0000_s1035" style="position:absolute;left:0pt;margin-left:56.1pt;margin-top:553.45pt;height:199.2pt;width:319.45pt;mso-position-vertical-relative:page;mso-wrap-distance-bottom:0pt;mso-wrap-distance-left:9pt;mso-wrap-distance-right:9pt;mso-wrap-distance-top:0pt;z-index:251663360;mso-width-relative:page;mso-height-relative:page;" fillcolor="#FFFFFF" filled="t" o:preferrelative="t" stroked="t" coordsize="21600,21600">
            <v:fill on="t" focussize="0,0"/>
            <v:stroke color="#000000" color2="#FFFFFF" miterlimit="2"/>
            <v:imagedata gain="65536f" blacklevel="0f" gamma="0" o:title=""/>
            <o:lock v:ext="edit" position="f" selection="f" grouping="f" rotation="f" cropping="f" text="f" aspectratio="f"/>
            <w10:wrap type="square"/>
          </v:shape>
        </w:pict>
      </w:r>
    </w:p>
    <w:p w14:paraId="706949D2">
      <w:pPr>
        <w:spacing w:line="600" w:lineRule="exact"/>
        <w:ind w:firstLine="640" w:firstLineChars="200"/>
        <w:rPr>
          <w:rFonts w:ascii="仿宋" w:hAnsi="仿宋" w:eastAsia="仿宋"/>
          <w:sz w:val="32"/>
          <w:szCs w:val="32"/>
        </w:rPr>
      </w:pPr>
    </w:p>
    <w:p w14:paraId="35E5B91F">
      <w:pPr>
        <w:spacing w:line="600" w:lineRule="exact"/>
        <w:ind w:firstLine="640" w:firstLineChars="200"/>
        <w:rPr>
          <w:rFonts w:ascii="仿宋" w:hAnsi="仿宋" w:eastAsia="仿宋"/>
          <w:sz w:val="32"/>
          <w:szCs w:val="32"/>
        </w:rPr>
      </w:pPr>
    </w:p>
    <w:p w14:paraId="7DBA094A">
      <w:pPr>
        <w:spacing w:line="600" w:lineRule="exact"/>
        <w:ind w:firstLine="640" w:firstLineChars="200"/>
        <w:rPr>
          <w:rFonts w:ascii="仿宋" w:hAnsi="仿宋" w:eastAsia="仿宋"/>
          <w:sz w:val="32"/>
          <w:szCs w:val="32"/>
        </w:rPr>
      </w:pPr>
    </w:p>
    <w:p w14:paraId="699DF289">
      <w:pPr>
        <w:spacing w:line="600" w:lineRule="exact"/>
        <w:ind w:firstLine="640" w:firstLineChars="200"/>
        <w:rPr>
          <w:rFonts w:ascii="仿宋" w:hAnsi="仿宋" w:eastAsia="仿宋"/>
          <w:sz w:val="32"/>
          <w:szCs w:val="32"/>
        </w:rPr>
      </w:pPr>
    </w:p>
    <w:p w14:paraId="6E3BFAA4">
      <w:pPr>
        <w:spacing w:line="600" w:lineRule="exact"/>
        <w:ind w:firstLine="640" w:firstLineChars="200"/>
        <w:rPr>
          <w:rFonts w:ascii="仿宋" w:hAnsi="仿宋" w:eastAsia="仿宋"/>
          <w:sz w:val="32"/>
          <w:szCs w:val="32"/>
        </w:rPr>
      </w:pPr>
    </w:p>
    <w:p w14:paraId="27AD62A3">
      <w:pPr>
        <w:spacing w:line="600" w:lineRule="exact"/>
        <w:ind w:firstLine="640" w:firstLineChars="200"/>
        <w:rPr>
          <w:rFonts w:ascii="仿宋" w:hAnsi="仿宋" w:eastAsia="仿宋"/>
          <w:sz w:val="32"/>
          <w:szCs w:val="32"/>
        </w:rPr>
      </w:pPr>
    </w:p>
    <w:p w14:paraId="25BC9155">
      <w:pPr>
        <w:spacing w:line="560" w:lineRule="exact"/>
        <w:ind w:firstLine="640" w:firstLineChars="200"/>
        <w:rPr>
          <w:rFonts w:ascii="仿宋" w:hAnsi="仿宋" w:eastAsia="仿宋"/>
          <w:sz w:val="32"/>
          <w:szCs w:val="32"/>
        </w:rPr>
      </w:pPr>
      <w:r>
        <w:rPr>
          <w:rFonts w:hint="eastAsia" w:ascii="仿宋" w:hAnsi="仿宋" w:eastAsia="仿宋"/>
          <w:sz w:val="32"/>
          <w:szCs w:val="32"/>
        </w:rPr>
        <w:t>（图6：一般公共预算财政拨款支出决算结构）（饼状图）</w:t>
      </w:r>
    </w:p>
    <w:p w14:paraId="07CCB546">
      <w:pPr>
        <w:spacing w:line="560" w:lineRule="exact"/>
        <w:ind w:firstLine="643" w:firstLineChars="200"/>
        <w:outlineLvl w:val="2"/>
        <w:rPr>
          <w:rFonts w:ascii="仿宋" w:hAnsi="仿宋" w:eastAsia="仿宋"/>
          <w:b/>
          <w:sz w:val="32"/>
          <w:szCs w:val="32"/>
        </w:rPr>
      </w:pPr>
      <w:bookmarkStart w:id="47" w:name="_Toc15377212"/>
      <w:r>
        <w:rPr>
          <w:rFonts w:hint="eastAsia" w:ascii="仿宋" w:hAnsi="仿宋" w:eastAsia="仿宋"/>
          <w:b/>
          <w:sz w:val="32"/>
          <w:szCs w:val="32"/>
        </w:rPr>
        <w:t>（三）一般公共预算财政拨款支出决算具体情况</w:t>
      </w:r>
      <w:bookmarkEnd w:id="47"/>
    </w:p>
    <w:p w14:paraId="25438EBE">
      <w:pPr>
        <w:spacing w:line="560" w:lineRule="exact"/>
        <w:ind w:firstLine="643" w:firstLineChars="200"/>
        <w:rPr>
          <w:rFonts w:ascii="仿宋" w:hAnsi="仿宋" w:eastAsia="仿宋"/>
          <w:sz w:val="32"/>
          <w:szCs w:val="32"/>
        </w:rPr>
      </w:pPr>
      <w:bookmarkStart w:id="48" w:name="_Toc15378460"/>
      <w:bookmarkStart w:id="49" w:name="_Toc15377213"/>
      <w:bookmarkStart w:id="50" w:name="_Toc15377444"/>
      <w:r>
        <w:rPr>
          <w:rFonts w:hint="eastAsia" w:ascii="仿宋" w:hAnsi="仿宋" w:eastAsia="仿宋"/>
          <w:b/>
          <w:sz w:val="32"/>
          <w:szCs w:val="32"/>
        </w:rPr>
        <w:t>2023年度一般公共预算支出决算数为</w:t>
      </w:r>
      <w:r>
        <w:rPr>
          <w:sz w:val="32"/>
          <w:szCs w:val="32"/>
        </w:rPr>
        <w:t>259.07</w:t>
      </w:r>
      <w:r>
        <w:rPr>
          <w:rFonts w:hint="eastAsia" w:ascii="仿宋" w:hAnsi="仿宋" w:eastAsia="仿宋"/>
          <w:b/>
          <w:sz w:val="32"/>
          <w:szCs w:val="32"/>
        </w:rPr>
        <w:t>万元</w:t>
      </w:r>
      <w:r>
        <w:rPr>
          <w:rFonts w:hint="eastAsia" w:ascii="仿宋" w:hAnsi="仿宋" w:eastAsia="仿宋"/>
          <w:sz w:val="32"/>
          <w:szCs w:val="32"/>
        </w:rPr>
        <w:t>，</w:t>
      </w:r>
      <w:r>
        <w:rPr>
          <w:rStyle w:val="18"/>
          <w:rFonts w:hint="eastAsia" w:ascii="仿宋" w:hAnsi="仿宋" w:eastAsia="仿宋"/>
          <w:bCs/>
          <w:sz w:val="32"/>
          <w:szCs w:val="32"/>
        </w:rPr>
        <w:t>完成预算100</w:t>
      </w:r>
      <w:r>
        <w:rPr>
          <w:rStyle w:val="18"/>
          <w:rFonts w:ascii="仿宋" w:hAnsi="仿宋" w:eastAsia="仿宋"/>
          <w:bCs/>
          <w:sz w:val="32"/>
          <w:szCs w:val="32"/>
        </w:rPr>
        <w:t>%</w:t>
      </w:r>
      <w:r>
        <w:rPr>
          <w:rStyle w:val="18"/>
          <w:rFonts w:hint="eastAsia" w:ascii="仿宋" w:hAnsi="仿宋" w:eastAsia="仿宋"/>
          <w:bCs/>
          <w:sz w:val="32"/>
          <w:szCs w:val="32"/>
        </w:rPr>
        <w:t>。其中：</w:t>
      </w:r>
      <w:bookmarkEnd w:id="48"/>
      <w:bookmarkEnd w:id="49"/>
      <w:bookmarkEnd w:id="50"/>
    </w:p>
    <w:p w14:paraId="512B0424">
      <w:pPr>
        <w:numPr>
          <w:ilvl w:val="0"/>
          <w:numId w:val="3"/>
        </w:numPr>
        <w:spacing w:line="560" w:lineRule="exact"/>
        <w:ind w:left="0" w:firstLine="643" w:firstLineChars="200"/>
        <w:rPr>
          <w:rFonts w:eastAsia="仿宋_GB2312"/>
          <w:bCs/>
          <w:sz w:val="32"/>
          <w:szCs w:val="32"/>
        </w:rPr>
      </w:pPr>
      <w:r>
        <w:rPr>
          <w:rFonts w:eastAsia="仿宋_GB2312"/>
          <w:b/>
          <w:bCs/>
          <w:sz w:val="32"/>
          <w:szCs w:val="32"/>
        </w:rPr>
        <w:t>社会保障和就业（208类）支出决算数为</w:t>
      </w:r>
      <w:r>
        <w:rPr>
          <w:rFonts w:hint="eastAsia" w:eastAsia="仿宋_GB2312"/>
          <w:b/>
          <w:bCs/>
          <w:sz w:val="32"/>
          <w:szCs w:val="32"/>
        </w:rPr>
        <w:t>229.08</w:t>
      </w:r>
      <w:r>
        <w:rPr>
          <w:rFonts w:eastAsia="仿宋_GB2312"/>
          <w:b/>
          <w:bCs/>
          <w:sz w:val="32"/>
          <w:szCs w:val="32"/>
        </w:rPr>
        <w:t>万元，其中：</w:t>
      </w:r>
    </w:p>
    <w:p w14:paraId="255DCB20">
      <w:pPr>
        <w:spacing w:line="560" w:lineRule="exact"/>
        <w:ind w:firstLine="643" w:firstLineChars="200"/>
        <w:rPr>
          <w:rFonts w:eastAsia="仿宋_GB2312"/>
          <w:bCs/>
          <w:sz w:val="32"/>
          <w:szCs w:val="32"/>
        </w:rPr>
      </w:pPr>
      <w:r>
        <w:rPr>
          <w:rFonts w:eastAsia="仿宋_GB2312"/>
          <w:b/>
          <w:bCs/>
          <w:sz w:val="32"/>
          <w:szCs w:val="32"/>
        </w:rPr>
        <w:t>（1）人力资源和社会保障管理事务（01款）行政运行（01项）:</w:t>
      </w:r>
      <w:r>
        <w:rPr>
          <w:rFonts w:eastAsia="仿宋_GB2312"/>
          <w:bCs/>
          <w:sz w:val="32"/>
          <w:szCs w:val="32"/>
        </w:rPr>
        <w:t>支出决算为</w:t>
      </w:r>
      <w:r>
        <w:rPr>
          <w:rFonts w:hint="eastAsia" w:eastAsia="仿宋_GB2312"/>
          <w:bCs/>
          <w:sz w:val="32"/>
          <w:szCs w:val="32"/>
        </w:rPr>
        <w:t>154.47</w:t>
      </w:r>
      <w:r>
        <w:rPr>
          <w:rFonts w:eastAsia="仿宋_GB2312"/>
          <w:bCs/>
          <w:sz w:val="32"/>
          <w:szCs w:val="32"/>
        </w:rPr>
        <w:t>万元，完成预算100%。</w:t>
      </w:r>
    </w:p>
    <w:p w14:paraId="7572B892">
      <w:pPr>
        <w:spacing w:line="560" w:lineRule="exact"/>
        <w:ind w:firstLine="643" w:firstLineChars="200"/>
        <w:rPr>
          <w:rFonts w:eastAsia="仿宋_GB2312"/>
          <w:bCs/>
          <w:sz w:val="32"/>
          <w:szCs w:val="32"/>
        </w:rPr>
      </w:pPr>
      <w:r>
        <w:rPr>
          <w:rFonts w:eastAsia="仿宋_GB2312"/>
          <w:b/>
          <w:bCs/>
          <w:sz w:val="32"/>
          <w:szCs w:val="32"/>
        </w:rPr>
        <w:t>（2）人力资源和社会保障管理事务（01款）</w:t>
      </w:r>
      <w:r>
        <w:rPr>
          <w:rFonts w:hint="eastAsia" w:eastAsia="仿宋_GB2312"/>
          <w:b/>
          <w:bCs/>
          <w:sz w:val="32"/>
          <w:szCs w:val="32"/>
        </w:rPr>
        <w:t>社会保险经办机构</w:t>
      </w:r>
      <w:r>
        <w:rPr>
          <w:rFonts w:eastAsia="仿宋_GB2312"/>
          <w:b/>
          <w:bCs/>
          <w:sz w:val="32"/>
          <w:szCs w:val="32"/>
        </w:rPr>
        <w:t>（0</w:t>
      </w:r>
      <w:r>
        <w:rPr>
          <w:rFonts w:hint="eastAsia" w:eastAsia="仿宋_GB2312"/>
          <w:b/>
          <w:bCs/>
          <w:sz w:val="32"/>
          <w:szCs w:val="32"/>
        </w:rPr>
        <w:t>9</w:t>
      </w:r>
      <w:r>
        <w:rPr>
          <w:rFonts w:eastAsia="仿宋_GB2312"/>
          <w:b/>
          <w:bCs/>
          <w:sz w:val="32"/>
          <w:szCs w:val="32"/>
        </w:rPr>
        <w:t>项）:</w:t>
      </w:r>
      <w:r>
        <w:rPr>
          <w:rFonts w:eastAsia="仿宋_GB2312"/>
          <w:bCs/>
          <w:sz w:val="32"/>
          <w:szCs w:val="32"/>
        </w:rPr>
        <w:t>支出决算为0.72万元，完成预算100%。</w:t>
      </w:r>
    </w:p>
    <w:p w14:paraId="1E2F05B7">
      <w:pPr>
        <w:spacing w:line="560" w:lineRule="exact"/>
        <w:ind w:firstLine="643" w:firstLineChars="200"/>
        <w:rPr>
          <w:rFonts w:eastAsia="仿宋_GB2312"/>
          <w:bCs/>
          <w:sz w:val="32"/>
          <w:szCs w:val="32"/>
        </w:rPr>
      </w:pPr>
      <w:r>
        <w:rPr>
          <w:rFonts w:eastAsia="仿宋_GB2312"/>
          <w:b/>
          <w:bCs/>
          <w:sz w:val="32"/>
          <w:szCs w:val="32"/>
        </w:rPr>
        <w:t>（4）行政事业单位养老支出（05款）行政单位离退休（01项）:</w:t>
      </w:r>
      <w:r>
        <w:rPr>
          <w:rFonts w:eastAsia="仿宋_GB2312"/>
          <w:bCs/>
          <w:sz w:val="32"/>
          <w:szCs w:val="32"/>
        </w:rPr>
        <w:t>支出决算为</w:t>
      </w:r>
      <w:r>
        <w:rPr>
          <w:rFonts w:hint="eastAsia" w:eastAsia="仿宋_GB2312"/>
          <w:bCs/>
          <w:sz w:val="32"/>
          <w:szCs w:val="32"/>
        </w:rPr>
        <w:t>7.07</w:t>
      </w:r>
      <w:r>
        <w:rPr>
          <w:rFonts w:eastAsia="仿宋_GB2312"/>
          <w:bCs/>
          <w:sz w:val="32"/>
          <w:szCs w:val="32"/>
        </w:rPr>
        <w:t>万元，完成预算100%。</w:t>
      </w:r>
    </w:p>
    <w:p w14:paraId="74EE4563">
      <w:pPr>
        <w:spacing w:line="560" w:lineRule="exact"/>
        <w:ind w:firstLine="643" w:firstLineChars="200"/>
        <w:rPr>
          <w:rFonts w:eastAsia="仿宋_GB2312"/>
          <w:bCs/>
          <w:sz w:val="32"/>
          <w:szCs w:val="32"/>
        </w:rPr>
      </w:pPr>
      <w:r>
        <w:rPr>
          <w:rFonts w:eastAsia="仿宋_GB2312"/>
          <w:b/>
          <w:bCs/>
          <w:sz w:val="32"/>
          <w:szCs w:val="32"/>
        </w:rPr>
        <w:t>（5）行政事业单位养老支出（05款）机关事业单位养老保险缴费支出（05项）:</w:t>
      </w:r>
      <w:r>
        <w:rPr>
          <w:rFonts w:eastAsia="仿宋_GB2312"/>
          <w:bCs/>
          <w:sz w:val="32"/>
          <w:szCs w:val="32"/>
        </w:rPr>
        <w:t>支出决算为</w:t>
      </w:r>
      <w:r>
        <w:rPr>
          <w:rFonts w:hint="eastAsia" w:eastAsia="仿宋_GB2312"/>
          <w:bCs/>
          <w:sz w:val="32"/>
          <w:szCs w:val="32"/>
        </w:rPr>
        <w:t>20.45</w:t>
      </w:r>
      <w:r>
        <w:rPr>
          <w:rFonts w:eastAsia="仿宋_GB2312"/>
          <w:bCs/>
          <w:sz w:val="32"/>
          <w:szCs w:val="32"/>
        </w:rPr>
        <w:t>万元，完成预算100%。</w:t>
      </w:r>
    </w:p>
    <w:p w14:paraId="016C5128">
      <w:pPr>
        <w:spacing w:line="560" w:lineRule="exact"/>
        <w:ind w:firstLine="643" w:firstLineChars="200"/>
        <w:rPr>
          <w:rFonts w:eastAsia="仿宋_GB2312"/>
          <w:bCs/>
          <w:sz w:val="32"/>
          <w:szCs w:val="32"/>
        </w:rPr>
      </w:pPr>
      <w:r>
        <w:rPr>
          <w:rFonts w:eastAsia="仿宋_GB2312"/>
          <w:b/>
          <w:bCs/>
          <w:sz w:val="32"/>
          <w:szCs w:val="32"/>
        </w:rPr>
        <w:t>（6）行政事业单位养老支出（05款）机关事业单位职业年金缴费支出（06项）:</w:t>
      </w:r>
      <w:r>
        <w:rPr>
          <w:rFonts w:eastAsia="仿宋_GB2312"/>
          <w:bCs/>
          <w:sz w:val="32"/>
          <w:szCs w:val="32"/>
        </w:rPr>
        <w:t>支出决算为</w:t>
      </w:r>
      <w:r>
        <w:rPr>
          <w:rFonts w:hint="eastAsia" w:eastAsia="仿宋_GB2312"/>
          <w:bCs/>
          <w:sz w:val="32"/>
          <w:szCs w:val="32"/>
        </w:rPr>
        <w:t>18.14</w:t>
      </w:r>
      <w:r>
        <w:rPr>
          <w:rFonts w:eastAsia="仿宋_GB2312"/>
          <w:bCs/>
          <w:sz w:val="32"/>
          <w:szCs w:val="32"/>
        </w:rPr>
        <w:t>万元，完成预算100%。</w:t>
      </w:r>
    </w:p>
    <w:p w14:paraId="491DB2A7">
      <w:pPr>
        <w:spacing w:line="560" w:lineRule="exact"/>
        <w:ind w:firstLine="643" w:firstLineChars="200"/>
        <w:rPr>
          <w:rFonts w:eastAsia="仿宋_GB2312"/>
          <w:sz w:val="32"/>
          <w:szCs w:val="32"/>
        </w:rPr>
      </w:pPr>
      <w:r>
        <w:rPr>
          <w:rFonts w:eastAsia="仿宋_GB2312"/>
          <w:b/>
          <w:bCs/>
          <w:sz w:val="32"/>
          <w:szCs w:val="32"/>
        </w:rPr>
        <w:t>（7）行政事业单位养老支出（05款）其他行政事业单位养老支出（99项）:</w:t>
      </w:r>
      <w:r>
        <w:rPr>
          <w:rFonts w:eastAsia="仿宋_GB2312"/>
          <w:bCs/>
          <w:sz w:val="32"/>
          <w:szCs w:val="32"/>
        </w:rPr>
        <w:t>支出决算为</w:t>
      </w:r>
      <w:r>
        <w:rPr>
          <w:rFonts w:hint="eastAsia" w:eastAsia="仿宋_GB2312"/>
          <w:bCs/>
          <w:sz w:val="32"/>
          <w:szCs w:val="32"/>
        </w:rPr>
        <w:t>2.27</w:t>
      </w:r>
      <w:r>
        <w:rPr>
          <w:rFonts w:eastAsia="仿宋_GB2312"/>
          <w:bCs/>
          <w:sz w:val="32"/>
          <w:szCs w:val="32"/>
        </w:rPr>
        <w:t>万元，完成预算100%。</w:t>
      </w:r>
    </w:p>
    <w:p w14:paraId="1B8F0F99">
      <w:pPr>
        <w:spacing w:line="560" w:lineRule="exact"/>
        <w:ind w:firstLine="643" w:firstLineChars="200"/>
        <w:rPr>
          <w:rFonts w:eastAsia="仿宋_GB2312"/>
          <w:bCs/>
          <w:sz w:val="32"/>
          <w:szCs w:val="32"/>
        </w:rPr>
      </w:pPr>
      <w:r>
        <w:rPr>
          <w:rFonts w:eastAsia="仿宋_GB2312"/>
          <w:b/>
          <w:bCs/>
          <w:sz w:val="32"/>
          <w:szCs w:val="32"/>
        </w:rPr>
        <w:t>（8）</w:t>
      </w:r>
      <w:r>
        <w:rPr>
          <w:rFonts w:eastAsia="仿宋_GB2312"/>
          <w:b/>
          <w:sz w:val="32"/>
          <w:szCs w:val="32"/>
        </w:rPr>
        <w:t>财政代缴社会保险费支出（30款）财政代缴城乡居民基本养老保险费支出（01项）：</w:t>
      </w:r>
      <w:r>
        <w:rPr>
          <w:rFonts w:eastAsia="仿宋_GB2312"/>
          <w:bCs/>
          <w:sz w:val="32"/>
          <w:szCs w:val="32"/>
        </w:rPr>
        <w:t>支出决算为</w:t>
      </w:r>
      <w:r>
        <w:rPr>
          <w:rFonts w:hint="eastAsia" w:eastAsia="仿宋_GB2312"/>
          <w:bCs/>
          <w:sz w:val="32"/>
          <w:szCs w:val="32"/>
        </w:rPr>
        <w:t>25.95</w:t>
      </w:r>
      <w:r>
        <w:rPr>
          <w:rFonts w:eastAsia="仿宋_GB2312"/>
          <w:bCs/>
          <w:sz w:val="32"/>
          <w:szCs w:val="32"/>
        </w:rPr>
        <w:t>万元，完成预算100%。</w:t>
      </w:r>
    </w:p>
    <w:p w14:paraId="37B2FFA5">
      <w:pPr>
        <w:numPr>
          <w:ilvl w:val="0"/>
          <w:numId w:val="3"/>
        </w:numPr>
        <w:spacing w:line="560" w:lineRule="exact"/>
        <w:ind w:left="0" w:firstLine="643" w:firstLineChars="200"/>
        <w:rPr>
          <w:rFonts w:eastAsia="仿宋_GB2312"/>
          <w:bCs/>
          <w:sz w:val="32"/>
          <w:szCs w:val="32"/>
        </w:rPr>
      </w:pPr>
      <w:r>
        <w:rPr>
          <w:rFonts w:eastAsia="仿宋_GB2312"/>
          <w:b/>
          <w:sz w:val="32"/>
          <w:szCs w:val="32"/>
        </w:rPr>
        <w:t>卫生健康支出（210类）</w:t>
      </w:r>
      <w:r>
        <w:rPr>
          <w:rFonts w:eastAsia="仿宋_GB2312"/>
          <w:b/>
          <w:bCs/>
          <w:sz w:val="32"/>
          <w:szCs w:val="32"/>
        </w:rPr>
        <w:t>支出决算数为</w:t>
      </w:r>
      <w:r>
        <w:rPr>
          <w:rFonts w:hint="eastAsia" w:eastAsia="仿宋_GB2312"/>
          <w:b/>
          <w:bCs/>
          <w:sz w:val="32"/>
          <w:szCs w:val="32"/>
        </w:rPr>
        <w:t>15.4</w:t>
      </w:r>
      <w:r>
        <w:rPr>
          <w:rFonts w:eastAsia="仿宋_GB2312"/>
          <w:b/>
          <w:bCs/>
          <w:sz w:val="32"/>
          <w:szCs w:val="32"/>
        </w:rPr>
        <w:t>万元，其中：</w:t>
      </w:r>
    </w:p>
    <w:p w14:paraId="46C79D9E">
      <w:pPr>
        <w:spacing w:line="560" w:lineRule="exact"/>
        <w:ind w:firstLine="643" w:firstLineChars="200"/>
        <w:rPr>
          <w:rFonts w:eastAsia="仿宋_GB2312"/>
          <w:bCs/>
          <w:sz w:val="32"/>
          <w:szCs w:val="32"/>
        </w:rPr>
      </w:pPr>
      <w:r>
        <w:rPr>
          <w:rFonts w:eastAsia="仿宋_GB2312"/>
          <w:b/>
          <w:bCs/>
          <w:sz w:val="32"/>
          <w:szCs w:val="32"/>
        </w:rPr>
        <w:t>（1）行政事业单位医疗（11款）行政单位医疗（01项）:</w:t>
      </w:r>
      <w:r>
        <w:rPr>
          <w:rFonts w:eastAsia="仿宋_GB2312"/>
          <w:bCs/>
          <w:sz w:val="32"/>
          <w:szCs w:val="32"/>
        </w:rPr>
        <w:t xml:space="preserve"> 支出决算为</w:t>
      </w:r>
      <w:r>
        <w:rPr>
          <w:rFonts w:hint="eastAsia" w:eastAsia="仿宋_GB2312"/>
          <w:bCs/>
          <w:sz w:val="32"/>
          <w:szCs w:val="32"/>
        </w:rPr>
        <w:t>9.66</w:t>
      </w:r>
      <w:r>
        <w:rPr>
          <w:rFonts w:eastAsia="仿宋_GB2312"/>
          <w:bCs/>
          <w:sz w:val="32"/>
          <w:szCs w:val="32"/>
        </w:rPr>
        <w:t>万元，完成预算100%。</w:t>
      </w:r>
    </w:p>
    <w:p w14:paraId="1FACBD81">
      <w:pPr>
        <w:spacing w:line="560" w:lineRule="exact"/>
        <w:ind w:firstLine="643" w:firstLineChars="200"/>
        <w:rPr>
          <w:rFonts w:eastAsia="仿宋_GB2312"/>
          <w:bCs/>
          <w:sz w:val="32"/>
          <w:szCs w:val="32"/>
        </w:rPr>
      </w:pPr>
      <w:r>
        <w:rPr>
          <w:rFonts w:eastAsia="仿宋_GB2312"/>
          <w:b/>
          <w:bCs/>
          <w:sz w:val="32"/>
          <w:szCs w:val="32"/>
        </w:rPr>
        <w:t>（2）行政事业单位医疗（11款）事业单位医疗（02项）:</w:t>
      </w:r>
      <w:r>
        <w:rPr>
          <w:rFonts w:eastAsia="仿宋_GB2312"/>
          <w:bCs/>
          <w:sz w:val="32"/>
          <w:szCs w:val="32"/>
        </w:rPr>
        <w:t xml:space="preserve"> 支出决算为1.44万元，完成预算100%。</w:t>
      </w:r>
    </w:p>
    <w:p w14:paraId="10917DF3">
      <w:pPr>
        <w:spacing w:line="560" w:lineRule="exact"/>
        <w:ind w:firstLine="643" w:firstLineChars="200"/>
        <w:rPr>
          <w:rFonts w:eastAsia="仿宋_GB2312"/>
          <w:bCs/>
          <w:sz w:val="32"/>
          <w:szCs w:val="32"/>
        </w:rPr>
      </w:pPr>
      <w:r>
        <w:rPr>
          <w:rFonts w:eastAsia="仿宋_GB2312"/>
          <w:b/>
          <w:bCs/>
          <w:sz w:val="32"/>
          <w:szCs w:val="32"/>
        </w:rPr>
        <w:t>（3）行政事业单位医疗（11款）公务员医疗补助（03项）:</w:t>
      </w:r>
      <w:r>
        <w:rPr>
          <w:rFonts w:eastAsia="仿宋_GB2312"/>
          <w:bCs/>
          <w:sz w:val="32"/>
          <w:szCs w:val="32"/>
        </w:rPr>
        <w:t xml:space="preserve"> 支出决算为</w:t>
      </w:r>
      <w:r>
        <w:rPr>
          <w:rFonts w:hint="eastAsia" w:eastAsia="仿宋_GB2312"/>
          <w:bCs/>
          <w:sz w:val="32"/>
          <w:szCs w:val="32"/>
        </w:rPr>
        <w:t>1.13</w:t>
      </w:r>
      <w:r>
        <w:rPr>
          <w:rFonts w:eastAsia="仿宋_GB2312"/>
          <w:bCs/>
          <w:sz w:val="32"/>
          <w:szCs w:val="32"/>
        </w:rPr>
        <w:t>万元，完成预算100%。</w:t>
      </w:r>
    </w:p>
    <w:p w14:paraId="30E9D442">
      <w:pPr>
        <w:spacing w:line="560" w:lineRule="exact"/>
        <w:ind w:firstLine="643" w:firstLineChars="200"/>
        <w:rPr>
          <w:rFonts w:eastAsia="仿宋_GB2312"/>
          <w:sz w:val="32"/>
          <w:szCs w:val="32"/>
        </w:rPr>
      </w:pPr>
      <w:r>
        <w:rPr>
          <w:rFonts w:eastAsia="仿宋_GB2312"/>
          <w:b/>
          <w:bCs/>
          <w:sz w:val="32"/>
          <w:szCs w:val="32"/>
        </w:rPr>
        <w:t>（4）行政事业单位医疗（11款）其他行政事业单位医疗支出（99项）:</w:t>
      </w:r>
      <w:r>
        <w:rPr>
          <w:rFonts w:eastAsia="仿宋_GB2312"/>
          <w:bCs/>
          <w:sz w:val="32"/>
          <w:szCs w:val="32"/>
        </w:rPr>
        <w:t xml:space="preserve"> 支出决算为</w:t>
      </w:r>
      <w:r>
        <w:rPr>
          <w:rFonts w:hint="eastAsia" w:eastAsia="仿宋_GB2312"/>
          <w:bCs/>
          <w:sz w:val="32"/>
          <w:szCs w:val="32"/>
        </w:rPr>
        <w:t>4.6</w:t>
      </w:r>
      <w:r>
        <w:rPr>
          <w:rFonts w:eastAsia="仿宋_GB2312"/>
          <w:bCs/>
          <w:sz w:val="32"/>
          <w:szCs w:val="32"/>
        </w:rPr>
        <w:t>万元，完成预算100%。</w:t>
      </w:r>
    </w:p>
    <w:p w14:paraId="0411CF61">
      <w:pPr>
        <w:numPr>
          <w:ilvl w:val="0"/>
          <w:numId w:val="3"/>
        </w:numPr>
        <w:spacing w:line="560" w:lineRule="exact"/>
        <w:ind w:left="0" w:firstLine="643" w:firstLineChars="200"/>
        <w:rPr>
          <w:rFonts w:ascii="仿宋" w:hAnsi="仿宋" w:eastAsia="仿宋"/>
          <w:b/>
          <w:sz w:val="32"/>
          <w:szCs w:val="32"/>
        </w:rPr>
      </w:pPr>
      <w:r>
        <w:rPr>
          <w:rFonts w:eastAsia="仿宋_GB2312"/>
          <w:b/>
          <w:sz w:val="32"/>
          <w:szCs w:val="32"/>
        </w:rPr>
        <w:t>住房保障支出（221类）住房改革支出（02款）住房公积金支出（01项）</w:t>
      </w:r>
      <w:r>
        <w:rPr>
          <w:rFonts w:eastAsia="仿宋_GB2312"/>
          <w:bCs/>
          <w:sz w:val="32"/>
          <w:szCs w:val="32"/>
        </w:rPr>
        <w:t>：支出决算为</w:t>
      </w:r>
      <w:r>
        <w:rPr>
          <w:rFonts w:hint="eastAsia" w:eastAsia="仿宋_GB2312"/>
          <w:bCs/>
          <w:sz w:val="32"/>
          <w:szCs w:val="32"/>
        </w:rPr>
        <w:t>14.6</w:t>
      </w:r>
      <w:r>
        <w:rPr>
          <w:rFonts w:eastAsia="仿宋_GB2312"/>
          <w:bCs/>
          <w:sz w:val="32"/>
          <w:szCs w:val="32"/>
        </w:rPr>
        <w:t>万元，完成预算100%。</w:t>
      </w:r>
    </w:p>
    <w:p w14:paraId="5799BE8E">
      <w:pPr>
        <w:tabs>
          <w:tab w:val="right" w:pos="8306"/>
        </w:tabs>
        <w:spacing w:line="600" w:lineRule="exact"/>
        <w:ind w:firstLine="640"/>
        <w:outlineLvl w:val="1"/>
        <w:rPr>
          <w:rStyle w:val="36"/>
        </w:rPr>
      </w:pPr>
      <w:bookmarkStart w:id="51" w:name="_Toc6503"/>
      <w:bookmarkStart w:id="52" w:name="_Toc15396608"/>
      <w:bookmarkStart w:id="53" w:name="_Toc15377214"/>
      <w:r>
        <w:rPr>
          <w:rFonts w:hint="eastAsia" w:ascii="黑体" w:eastAsia="黑体"/>
          <w:sz w:val="32"/>
          <w:szCs w:val="32"/>
        </w:rPr>
        <w:t>六</w:t>
      </w:r>
      <w:r>
        <w:rPr>
          <w:rFonts w:hint="eastAsia" w:ascii="黑体" w:eastAsia="黑体"/>
          <w:b/>
          <w:sz w:val="32"/>
          <w:szCs w:val="32"/>
        </w:rPr>
        <w:t>、</w:t>
      </w:r>
      <w:r>
        <w:rPr>
          <w:rFonts w:hint="eastAsia" w:ascii="黑体" w:hAnsi="黑体" w:eastAsia="黑体"/>
          <w:b/>
          <w:sz w:val="32"/>
          <w:szCs w:val="32"/>
        </w:rPr>
        <w:t>一</w:t>
      </w:r>
      <w:r>
        <w:rPr>
          <w:rStyle w:val="36"/>
          <w:rFonts w:hint="eastAsia" w:ascii="黑体" w:hAnsi="黑体" w:eastAsia="黑体"/>
          <w:b w:val="0"/>
        </w:rPr>
        <w:t>般公共预算财政拨款基本支出决算情况说明</w:t>
      </w:r>
      <w:bookmarkEnd w:id="51"/>
      <w:bookmarkEnd w:id="52"/>
      <w:bookmarkEnd w:id="53"/>
      <w:r>
        <w:rPr>
          <w:rStyle w:val="36"/>
          <w:rFonts w:ascii="黑体" w:hAnsi="黑体" w:eastAsia="黑体"/>
          <w:b w:val="0"/>
        </w:rPr>
        <w:tab/>
      </w:r>
    </w:p>
    <w:p w14:paraId="33153F99">
      <w:pPr>
        <w:spacing w:line="560" w:lineRule="exact"/>
        <w:ind w:firstLine="646"/>
        <w:rPr>
          <w:rFonts w:ascii="仿宋" w:hAnsi="仿宋" w:eastAsia="仿宋"/>
          <w:sz w:val="32"/>
          <w:szCs w:val="32"/>
        </w:rPr>
      </w:pPr>
      <w:r>
        <w:rPr>
          <w:rFonts w:hint="eastAsia" w:ascii="仿宋" w:hAnsi="仿宋" w:eastAsia="仿宋"/>
          <w:sz w:val="32"/>
          <w:szCs w:val="32"/>
        </w:rPr>
        <w:t>2023年度一般公共预算财政拨款基本支出</w:t>
      </w:r>
      <w:r>
        <w:rPr>
          <w:sz w:val="32"/>
          <w:szCs w:val="32"/>
        </w:rPr>
        <w:t>230.13</w:t>
      </w:r>
      <w:r>
        <w:rPr>
          <w:rFonts w:hint="eastAsia" w:ascii="仿宋" w:hAnsi="仿宋" w:eastAsia="仿宋"/>
          <w:sz w:val="32"/>
          <w:szCs w:val="32"/>
        </w:rPr>
        <w:t>万元，其中：</w:t>
      </w:r>
    </w:p>
    <w:p w14:paraId="7CAB739F">
      <w:pPr>
        <w:spacing w:line="560" w:lineRule="exact"/>
        <w:ind w:firstLine="646"/>
        <w:rPr>
          <w:rFonts w:ascii="仿宋" w:hAnsi="仿宋" w:eastAsia="仿宋"/>
          <w:sz w:val="32"/>
          <w:szCs w:val="32"/>
        </w:rPr>
      </w:pPr>
      <w:r>
        <w:rPr>
          <w:rFonts w:hint="eastAsia" w:ascii="仿宋" w:hAnsi="仿宋" w:eastAsia="仿宋"/>
          <w:sz w:val="32"/>
          <w:szCs w:val="32"/>
        </w:rPr>
        <w:t>人员经费</w:t>
      </w:r>
      <w:r>
        <w:rPr>
          <w:sz w:val="32"/>
          <w:szCs w:val="32"/>
        </w:rPr>
        <w:t>211</w:t>
      </w:r>
      <w:r>
        <w:rPr>
          <w:rFonts w:hint="eastAsia" w:ascii="仿宋" w:hAnsi="仿宋" w:eastAsia="仿宋"/>
          <w:sz w:val="32"/>
          <w:szCs w:val="32"/>
        </w:rPr>
        <w:t>万元，主要包括：基本工资、津贴补贴、奖金、机关事业单位基本养老保险缴费、职业年金缴费、职工基本医疗保险缴费、公务员医疗补助缴费、其他社会保障缴费、其他工资福利支出、生活补助、医疗费补助、住房公积金等。</w:t>
      </w:r>
    </w:p>
    <w:p w14:paraId="145C19DC">
      <w:pPr>
        <w:spacing w:line="560" w:lineRule="exact"/>
        <w:ind w:firstLine="646"/>
        <w:rPr>
          <w:rFonts w:ascii="仿宋" w:hAnsi="仿宋" w:eastAsia="仿宋"/>
          <w:b/>
          <w:sz w:val="32"/>
          <w:szCs w:val="32"/>
        </w:rPr>
      </w:pPr>
      <w:r>
        <w:rPr>
          <w:rFonts w:hint="eastAsia" w:ascii="仿宋" w:hAnsi="仿宋" w:eastAsia="仿宋"/>
          <w:sz w:val="32"/>
          <w:szCs w:val="32"/>
        </w:rPr>
        <w:t>　公用经费</w:t>
      </w:r>
      <w:r>
        <w:rPr>
          <w:rFonts w:ascii="仿宋" w:hAnsi="仿宋" w:eastAsia="仿宋"/>
          <w:b/>
          <w:sz w:val="32"/>
          <w:szCs w:val="32"/>
        </w:rPr>
        <w:t>19.13</w:t>
      </w:r>
      <w:r>
        <w:rPr>
          <w:rFonts w:hint="eastAsia" w:ascii="仿宋" w:hAnsi="仿宋" w:eastAsia="仿宋"/>
          <w:sz w:val="32"/>
          <w:szCs w:val="32"/>
        </w:rPr>
        <w:t>万元，主要包括：办公费、水费、邮电费、差旅费、维修（护）费、培训费、劳务费、工会经费、福利费、其他交通费。</w:t>
      </w:r>
    </w:p>
    <w:p w14:paraId="5187C2E0">
      <w:pPr>
        <w:spacing w:line="600" w:lineRule="exact"/>
        <w:ind w:firstLine="640"/>
        <w:outlineLvl w:val="1"/>
        <w:rPr>
          <w:rStyle w:val="36"/>
          <w:rFonts w:ascii="黑体" w:hAnsi="黑体" w:eastAsia="黑体"/>
          <w:b w:val="0"/>
        </w:rPr>
      </w:pPr>
      <w:bookmarkStart w:id="54" w:name="_Toc15377215"/>
      <w:bookmarkStart w:id="55" w:name="_Toc15396609"/>
      <w:bookmarkStart w:id="56" w:name="_Toc30047"/>
      <w:r>
        <w:rPr>
          <w:rFonts w:hint="eastAsia" w:ascii="黑体" w:eastAsia="黑体"/>
          <w:sz w:val="32"/>
          <w:szCs w:val="32"/>
        </w:rPr>
        <w:t>七、</w:t>
      </w:r>
      <w:r>
        <w:rPr>
          <w:rStyle w:val="36"/>
          <w:rFonts w:hint="eastAsia" w:ascii="黑体" w:hAnsi="黑体" w:eastAsia="黑体"/>
          <w:b w:val="0"/>
        </w:rPr>
        <w:t>财政拨款</w:t>
      </w:r>
      <w:r>
        <w:rPr>
          <w:rStyle w:val="36"/>
          <w:rFonts w:hint="eastAsia" w:ascii="黑体" w:hAnsi="黑体" w:eastAsia="黑体"/>
        </w:rPr>
        <w:t>“</w:t>
      </w:r>
      <w:r>
        <w:rPr>
          <w:rStyle w:val="36"/>
          <w:rFonts w:hint="eastAsia" w:ascii="黑体" w:hAnsi="黑体" w:eastAsia="黑体"/>
          <w:b w:val="0"/>
        </w:rPr>
        <w:t>三公”经费支出决算情况说明</w:t>
      </w:r>
      <w:bookmarkEnd w:id="54"/>
      <w:bookmarkEnd w:id="55"/>
      <w:bookmarkEnd w:id="56"/>
    </w:p>
    <w:p w14:paraId="5ABEEA87">
      <w:pPr>
        <w:spacing w:line="600" w:lineRule="exact"/>
        <w:ind w:firstLine="640"/>
        <w:outlineLvl w:val="2"/>
        <w:rPr>
          <w:rFonts w:ascii="仿宋" w:hAnsi="仿宋" w:eastAsia="仿宋"/>
          <w:b/>
          <w:sz w:val="32"/>
          <w:szCs w:val="32"/>
        </w:rPr>
      </w:pPr>
      <w:bookmarkStart w:id="57" w:name="_Toc15377216"/>
      <w:r>
        <w:rPr>
          <w:rFonts w:hint="eastAsia" w:ascii="仿宋" w:hAnsi="仿宋" w:eastAsia="仿宋"/>
          <w:b/>
          <w:sz w:val="32"/>
          <w:szCs w:val="32"/>
        </w:rPr>
        <w:t>（一）“三公”经费财政拨款支出决算总体情况说明</w:t>
      </w:r>
      <w:bookmarkEnd w:id="57"/>
    </w:p>
    <w:p w14:paraId="20C8FABC">
      <w:pPr>
        <w:spacing w:line="560" w:lineRule="exact"/>
        <w:ind w:firstLine="646"/>
        <w:rPr>
          <w:rFonts w:eastAsia="仿宋"/>
          <w:sz w:val="32"/>
          <w:szCs w:val="32"/>
        </w:rPr>
      </w:pPr>
      <w:bookmarkStart w:id="58" w:name="_Toc15377217"/>
      <w:r>
        <w:rPr>
          <w:rFonts w:eastAsia="仿宋"/>
          <w:sz w:val="32"/>
          <w:szCs w:val="32"/>
        </w:rPr>
        <w:t>2023年度“三公”经费财政拨款支出决算为0万元，完成预算0%，较上年无变动。决算数与预算数持平，主要原因是本年度单位未发生公务用车、公务接待，因公出国（境）等业务。</w:t>
      </w:r>
    </w:p>
    <w:p w14:paraId="0D061927">
      <w:pPr>
        <w:spacing w:line="600" w:lineRule="exact"/>
        <w:ind w:firstLine="640"/>
        <w:outlineLvl w:val="2"/>
        <w:rPr>
          <w:rFonts w:ascii="仿宋" w:hAnsi="仿宋" w:eastAsia="仿宋"/>
          <w:b/>
          <w:sz w:val="32"/>
          <w:szCs w:val="32"/>
        </w:rPr>
      </w:pPr>
      <w:r>
        <w:rPr>
          <w:rFonts w:hint="eastAsia" w:ascii="仿宋" w:hAnsi="仿宋" w:eastAsia="仿宋"/>
          <w:b/>
          <w:sz w:val="32"/>
          <w:szCs w:val="32"/>
        </w:rPr>
        <w:t>（二）“三公”经费财政拨款支出决算具体情况说明</w:t>
      </w:r>
      <w:bookmarkEnd w:id="58"/>
    </w:p>
    <w:p w14:paraId="3410CE9D">
      <w:pPr>
        <w:spacing w:line="560" w:lineRule="exact"/>
        <w:ind w:firstLine="641"/>
        <w:rPr>
          <w:rFonts w:ascii="仿宋" w:hAnsi="仿宋" w:eastAsia="仿宋"/>
          <w:sz w:val="32"/>
          <w:szCs w:val="32"/>
        </w:rPr>
      </w:pPr>
      <w:r>
        <w:rPr>
          <w:rFonts w:eastAsia="仿宋"/>
          <w:sz w:val="32"/>
          <w:szCs w:val="32"/>
        </w:rPr>
        <w:t>2023年度“三公”经费财政拨款支出决算中，因公出国（境）费支出决算</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%；公务用车购置及运行维护费支出决算</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%；公务接待费支出决算</w:t>
      </w:r>
      <w:r>
        <w:rPr>
          <w:rFonts w:eastAsia="仿宋"/>
          <w:b/>
          <w:sz w:val="32"/>
          <w:szCs w:val="32"/>
        </w:rPr>
        <w:t>0</w:t>
      </w:r>
      <w:r>
        <w:rPr>
          <w:rFonts w:eastAsia="仿宋"/>
          <w:sz w:val="32"/>
          <w:szCs w:val="32"/>
        </w:rPr>
        <w:t>万元，占</w:t>
      </w:r>
      <w:r>
        <w:rPr>
          <w:rFonts w:eastAsia="仿宋"/>
          <w:b/>
          <w:sz w:val="32"/>
          <w:szCs w:val="32"/>
        </w:rPr>
        <w:t>0</w:t>
      </w:r>
      <w:r>
        <w:rPr>
          <w:rFonts w:eastAsia="仿宋"/>
          <w:sz w:val="32"/>
          <w:szCs w:val="32"/>
        </w:rPr>
        <w:t>%。</w:t>
      </w:r>
    </w:p>
    <w:p w14:paraId="42C1751D">
      <w:pPr>
        <w:tabs>
          <w:tab w:val="left" w:pos="389"/>
        </w:tabs>
        <w:spacing w:line="600" w:lineRule="exact"/>
        <w:ind w:firstLine="640"/>
        <w:rPr>
          <w:rFonts w:ascii="仿宋" w:hAnsi="仿宋" w:eastAsia="仿宋"/>
          <w:sz w:val="32"/>
          <w:szCs w:val="32"/>
        </w:rPr>
      </w:pPr>
      <w:r>
        <w:rPr>
          <w:rFonts w:hint="eastAsia" w:ascii="仿宋" w:hAnsi="仿宋" w:eastAsia="仿宋"/>
          <w:sz w:val="32"/>
          <w:szCs w:val="32"/>
        </w:rPr>
        <w:tab/>
      </w:r>
    </w:p>
    <w:p w14:paraId="3A49395D">
      <w:pPr>
        <w:tabs>
          <w:tab w:val="left" w:pos="389"/>
        </w:tabs>
        <w:spacing w:line="600" w:lineRule="exact"/>
        <w:ind w:firstLine="640"/>
        <w:rPr>
          <w:rFonts w:ascii="仿宋" w:hAnsi="仿宋" w:eastAsia="仿宋"/>
          <w:sz w:val="32"/>
          <w:szCs w:val="32"/>
        </w:rPr>
      </w:pPr>
      <w:r>
        <w:rPr>
          <w:rFonts w:ascii="Times New Roman" w:hAnsi="Times New Roman" w:eastAsia="仿宋" w:cs="Times New Roman"/>
          <w:kern w:val="2"/>
          <w:sz w:val="32"/>
          <w:szCs w:val="32"/>
          <w:lang w:val="en-US" w:eastAsia="zh-CN" w:bidi="ar-SA"/>
        </w:rPr>
        <w:pict>
          <v:shape id="图表 6" o:spid="_x0000_s1036" style="position:absolute;left:0pt;margin-left:56.7pt;margin-top:22.7pt;height:185.55pt;width:327.75pt;z-index:251664384;mso-width-relative:page;mso-height-relative:page;" fillcolor="#FFFFFF" filled="t" o:preferrelative="t" stroked="t" coordsize="21600,21600">
            <v:fill on="t" focussize="0,0"/>
            <v:stroke color="#000000" color2="#FFFFFF" miterlimit="2"/>
            <v:imagedata gain="65536f" blacklevel="0f" gamma="0" o:title=""/>
            <o:lock v:ext="edit" position="f" selection="f" grouping="f" rotation="f" cropping="f" text="f" aspectratio="f"/>
          </v:shape>
        </w:pict>
      </w:r>
    </w:p>
    <w:p w14:paraId="3FD39AE6">
      <w:pPr>
        <w:tabs>
          <w:tab w:val="left" w:pos="389"/>
        </w:tabs>
        <w:spacing w:line="600" w:lineRule="exact"/>
        <w:ind w:firstLine="640"/>
        <w:rPr>
          <w:rFonts w:ascii="仿宋" w:hAnsi="仿宋" w:eastAsia="仿宋"/>
          <w:sz w:val="32"/>
          <w:szCs w:val="32"/>
        </w:rPr>
      </w:pPr>
    </w:p>
    <w:p w14:paraId="76C3D662">
      <w:pPr>
        <w:tabs>
          <w:tab w:val="left" w:pos="588"/>
        </w:tabs>
        <w:spacing w:line="600" w:lineRule="exact"/>
        <w:rPr>
          <w:rFonts w:ascii="仿宋" w:hAnsi="仿宋" w:eastAsia="仿宋"/>
          <w:sz w:val="32"/>
          <w:szCs w:val="32"/>
        </w:rPr>
      </w:pPr>
    </w:p>
    <w:p w14:paraId="1EA50005">
      <w:pPr>
        <w:tabs>
          <w:tab w:val="left" w:pos="588"/>
        </w:tabs>
        <w:spacing w:line="600" w:lineRule="exact"/>
        <w:ind w:firstLine="640"/>
        <w:rPr>
          <w:rFonts w:ascii="仿宋" w:hAnsi="仿宋" w:eastAsia="仿宋"/>
          <w:sz w:val="32"/>
          <w:szCs w:val="32"/>
        </w:rPr>
      </w:pPr>
    </w:p>
    <w:p w14:paraId="2BA7E586">
      <w:pPr>
        <w:tabs>
          <w:tab w:val="left" w:pos="588"/>
        </w:tabs>
        <w:spacing w:line="600" w:lineRule="exact"/>
        <w:ind w:firstLine="640"/>
        <w:rPr>
          <w:rFonts w:ascii="仿宋" w:hAnsi="仿宋" w:eastAsia="仿宋"/>
          <w:sz w:val="32"/>
          <w:szCs w:val="32"/>
        </w:rPr>
      </w:pPr>
    </w:p>
    <w:p w14:paraId="60A2B00C">
      <w:pPr>
        <w:tabs>
          <w:tab w:val="left" w:pos="588"/>
        </w:tabs>
        <w:spacing w:line="600" w:lineRule="exact"/>
        <w:ind w:firstLine="640"/>
        <w:rPr>
          <w:rFonts w:ascii="仿宋" w:hAnsi="仿宋" w:eastAsia="仿宋"/>
          <w:sz w:val="32"/>
          <w:szCs w:val="32"/>
        </w:rPr>
      </w:pPr>
    </w:p>
    <w:p w14:paraId="062F8547">
      <w:pPr>
        <w:tabs>
          <w:tab w:val="left" w:pos="588"/>
        </w:tabs>
        <w:spacing w:line="600" w:lineRule="exact"/>
        <w:ind w:firstLine="640"/>
        <w:rPr>
          <w:rFonts w:ascii="仿宋" w:hAnsi="仿宋" w:eastAsia="仿宋"/>
          <w:sz w:val="32"/>
          <w:szCs w:val="32"/>
        </w:rPr>
      </w:pPr>
    </w:p>
    <w:p w14:paraId="0BC526D5">
      <w:pPr>
        <w:tabs>
          <w:tab w:val="left" w:pos="588"/>
        </w:tabs>
        <w:spacing w:line="600" w:lineRule="exact"/>
        <w:ind w:firstLine="640"/>
        <w:rPr>
          <w:rFonts w:ascii="仿宋" w:hAnsi="仿宋" w:eastAsia="仿宋"/>
          <w:sz w:val="32"/>
          <w:szCs w:val="32"/>
        </w:rPr>
      </w:pPr>
    </w:p>
    <w:p w14:paraId="59267285">
      <w:pPr>
        <w:tabs>
          <w:tab w:val="left" w:pos="588"/>
        </w:tabs>
        <w:spacing w:line="560" w:lineRule="exact"/>
        <w:ind w:firstLine="640"/>
        <w:rPr>
          <w:rFonts w:ascii="仿宋" w:hAnsi="仿宋" w:eastAsia="仿宋"/>
          <w:sz w:val="32"/>
          <w:szCs w:val="32"/>
        </w:rPr>
      </w:pPr>
      <w:r>
        <w:rPr>
          <w:rFonts w:hint="eastAsia" w:ascii="仿宋" w:hAnsi="仿宋" w:eastAsia="仿宋"/>
          <w:sz w:val="32"/>
          <w:szCs w:val="32"/>
        </w:rPr>
        <w:t>（图7：“三公”经费财政拨款支出结构）（饼状图）</w:t>
      </w:r>
    </w:p>
    <w:p w14:paraId="5CF20E96">
      <w:pPr>
        <w:spacing w:line="560" w:lineRule="exact"/>
        <w:ind w:firstLine="640"/>
        <w:rPr>
          <w:rFonts w:eastAsia="仿宋"/>
          <w:sz w:val="32"/>
          <w:szCs w:val="32"/>
        </w:rPr>
      </w:pPr>
      <w:r>
        <w:rPr>
          <w:rFonts w:ascii="仿宋_GB2312" w:eastAsia="仿宋_GB2312"/>
          <w:b/>
          <w:sz w:val="32"/>
          <w:szCs w:val="32"/>
        </w:rPr>
        <w:t>1.</w:t>
      </w:r>
      <w:r>
        <w:rPr>
          <w:rFonts w:hint="eastAsia" w:ascii="仿宋_GB2312" w:eastAsia="仿宋_GB2312"/>
          <w:b/>
          <w:sz w:val="32"/>
          <w:szCs w:val="32"/>
        </w:rPr>
        <w:t>因公出国（境）经费支出</w:t>
      </w:r>
      <w:r>
        <w:rPr>
          <w:rFonts w:eastAsia="仿宋"/>
          <w:sz w:val="32"/>
          <w:szCs w:val="32"/>
        </w:rPr>
        <w:t>0万元，完成预算0%。因公出国（境）经费支出决算数与2022年持平，无增减变动。本年无因公出国（境）支出的主要原因是：本单位未安排出国公务，未产生出国境费用。</w:t>
      </w:r>
    </w:p>
    <w:p w14:paraId="01339984">
      <w:pPr>
        <w:spacing w:line="560" w:lineRule="exact"/>
        <w:ind w:firstLine="640"/>
        <w:rPr>
          <w:rFonts w:eastAsia="仿宋"/>
          <w:sz w:val="32"/>
          <w:szCs w:val="32"/>
        </w:rPr>
      </w:pPr>
      <w:r>
        <w:rPr>
          <w:rFonts w:ascii="仿宋_GB2312" w:eastAsia="仿宋_GB2312"/>
          <w:b/>
          <w:sz w:val="32"/>
          <w:szCs w:val="32"/>
        </w:rPr>
        <w:t>2.</w:t>
      </w:r>
      <w:r>
        <w:rPr>
          <w:rFonts w:hint="eastAsia" w:ascii="仿宋_GB2312" w:eastAsia="仿宋_GB2312"/>
          <w:b/>
          <w:sz w:val="32"/>
          <w:szCs w:val="32"/>
        </w:rPr>
        <w:t>公务用车购置及运行维护费支出</w:t>
      </w:r>
      <w:r>
        <w:rPr>
          <w:rFonts w:eastAsia="仿宋"/>
          <w:sz w:val="32"/>
          <w:szCs w:val="32"/>
        </w:rPr>
        <w:t>0</w:t>
      </w:r>
      <w:r>
        <w:rPr>
          <w:rFonts w:hint="eastAsia" w:eastAsia="仿宋"/>
          <w:sz w:val="32"/>
          <w:szCs w:val="32"/>
        </w:rPr>
        <w:t>万元,完成预算</w:t>
      </w:r>
      <w:r>
        <w:rPr>
          <w:rFonts w:eastAsia="仿宋"/>
          <w:sz w:val="32"/>
          <w:szCs w:val="32"/>
        </w:rPr>
        <w:t>0%</w:t>
      </w:r>
      <w:r>
        <w:rPr>
          <w:rFonts w:hint="eastAsia" w:eastAsia="仿宋"/>
          <w:sz w:val="32"/>
          <w:szCs w:val="32"/>
        </w:rPr>
        <w:t>。</w:t>
      </w:r>
      <w:r>
        <w:rPr>
          <w:rFonts w:eastAsia="仿宋"/>
          <w:sz w:val="32"/>
          <w:szCs w:val="32"/>
        </w:rPr>
        <w:t>公务用车购置及运行维护费支出决算数与202</w:t>
      </w:r>
      <w:r>
        <w:rPr>
          <w:rFonts w:hint="eastAsia" w:eastAsia="仿宋"/>
          <w:sz w:val="32"/>
          <w:szCs w:val="32"/>
        </w:rPr>
        <w:t>2</w:t>
      </w:r>
      <w:r>
        <w:rPr>
          <w:rFonts w:eastAsia="仿宋"/>
          <w:sz w:val="32"/>
          <w:szCs w:val="32"/>
        </w:rPr>
        <w:t>年持平，无增减变动。本年未产生公务用车运行维护费的主要原因是：本单位未保留公务用车，未产生公务用车运行维护费用支出。</w:t>
      </w:r>
    </w:p>
    <w:p w14:paraId="12B7EF66">
      <w:pPr>
        <w:spacing w:line="560" w:lineRule="exact"/>
        <w:ind w:firstLine="640"/>
        <w:rPr>
          <w:rFonts w:eastAsia="仿宋"/>
          <w:sz w:val="32"/>
          <w:szCs w:val="32"/>
        </w:rPr>
      </w:pPr>
      <w:r>
        <w:rPr>
          <w:rFonts w:eastAsia="仿宋"/>
          <w:sz w:val="32"/>
          <w:szCs w:val="32"/>
        </w:rPr>
        <w:t>全年未进行公务用车购置，截至202</w:t>
      </w:r>
      <w:r>
        <w:rPr>
          <w:rFonts w:hint="eastAsia" w:eastAsia="仿宋"/>
          <w:sz w:val="32"/>
          <w:szCs w:val="32"/>
        </w:rPr>
        <w:t>3</w:t>
      </w:r>
      <w:r>
        <w:rPr>
          <w:rFonts w:eastAsia="仿宋"/>
          <w:sz w:val="32"/>
          <w:szCs w:val="32"/>
        </w:rPr>
        <w:t>年12月底，本部门共有公务用车0辆，故未产生公务用车运行维护费支出。</w:t>
      </w:r>
    </w:p>
    <w:p w14:paraId="1117DC08">
      <w:pPr>
        <w:spacing w:line="560" w:lineRule="exact"/>
        <w:ind w:firstLine="630" w:firstLineChars="196"/>
        <w:rPr>
          <w:rFonts w:eastAsia="仿宋"/>
          <w:sz w:val="32"/>
          <w:szCs w:val="32"/>
        </w:rPr>
      </w:pPr>
      <w:r>
        <w:rPr>
          <w:rFonts w:ascii="仿宋_GB2312" w:eastAsia="仿宋_GB2312"/>
          <w:b/>
          <w:sz w:val="32"/>
          <w:szCs w:val="32"/>
        </w:rPr>
        <w:t>3.</w:t>
      </w:r>
      <w:r>
        <w:rPr>
          <w:rFonts w:hint="eastAsia" w:ascii="仿宋_GB2312" w:eastAsia="仿宋_GB2312"/>
          <w:b/>
          <w:sz w:val="32"/>
          <w:szCs w:val="32"/>
        </w:rPr>
        <w:t>公务接待费支出</w:t>
      </w:r>
      <w:r>
        <w:rPr>
          <w:rFonts w:eastAsia="仿宋"/>
          <w:sz w:val="32"/>
          <w:szCs w:val="32"/>
        </w:rPr>
        <w:t>0</w:t>
      </w:r>
      <w:r>
        <w:rPr>
          <w:rFonts w:hint="eastAsia" w:eastAsia="仿宋"/>
          <w:sz w:val="32"/>
          <w:szCs w:val="32"/>
        </w:rPr>
        <w:t>万元，完成预算</w:t>
      </w:r>
      <w:r>
        <w:rPr>
          <w:rFonts w:eastAsia="仿宋"/>
          <w:sz w:val="32"/>
          <w:szCs w:val="32"/>
        </w:rPr>
        <w:t>0%</w:t>
      </w:r>
      <w:r>
        <w:rPr>
          <w:rFonts w:hint="eastAsia" w:eastAsia="仿宋"/>
          <w:sz w:val="32"/>
          <w:szCs w:val="32"/>
        </w:rPr>
        <w:t>。公</w:t>
      </w:r>
      <w:r>
        <w:rPr>
          <w:rFonts w:eastAsia="仿宋"/>
          <w:sz w:val="32"/>
          <w:szCs w:val="32"/>
        </w:rPr>
        <w:t>接待费支出决算与202</w:t>
      </w:r>
      <w:r>
        <w:rPr>
          <w:rFonts w:hint="eastAsia" w:eastAsia="仿宋"/>
          <w:sz w:val="32"/>
          <w:szCs w:val="32"/>
        </w:rPr>
        <w:t>2</w:t>
      </w:r>
      <w:r>
        <w:rPr>
          <w:rFonts w:eastAsia="仿宋"/>
          <w:sz w:val="32"/>
          <w:szCs w:val="32"/>
        </w:rPr>
        <w:t>年持平。主要原因是本年度公务活动未安排就餐，故未产生公务接待费用支出。</w:t>
      </w:r>
    </w:p>
    <w:p w14:paraId="1362373A">
      <w:pPr>
        <w:spacing w:line="600" w:lineRule="exact"/>
        <w:ind w:firstLine="640"/>
        <w:outlineLvl w:val="1"/>
        <w:rPr>
          <w:rStyle w:val="36"/>
          <w:rFonts w:ascii="黑体" w:hAnsi="黑体" w:eastAsia="黑体"/>
        </w:rPr>
      </w:pPr>
      <w:bookmarkStart w:id="59" w:name="_Toc22897"/>
      <w:bookmarkStart w:id="60" w:name="_Toc15377218"/>
      <w:bookmarkStart w:id="61" w:name="_Toc15396610"/>
      <w:r>
        <w:rPr>
          <w:rFonts w:hint="eastAsia" w:ascii="黑体" w:eastAsia="黑体"/>
          <w:sz w:val="32"/>
          <w:szCs w:val="32"/>
        </w:rPr>
        <w:t>八、</w:t>
      </w:r>
      <w:r>
        <w:rPr>
          <w:rStyle w:val="36"/>
          <w:rFonts w:hint="eastAsia" w:ascii="黑体" w:hAnsi="黑体" w:eastAsia="黑体"/>
          <w:b w:val="0"/>
        </w:rPr>
        <w:t>政府性基金预算支出决算情况说明</w:t>
      </w:r>
      <w:bookmarkEnd w:id="59"/>
      <w:bookmarkEnd w:id="60"/>
      <w:bookmarkEnd w:id="61"/>
    </w:p>
    <w:p w14:paraId="3D330929">
      <w:pPr>
        <w:spacing w:line="560" w:lineRule="exact"/>
        <w:ind w:firstLine="640" w:firstLineChars="200"/>
        <w:rPr>
          <w:rFonts w:eastAsia="仿宋"/>
          <w:sz w:val="32"/>
          <w:szCs w:val="32"/>
        </w:rPr>
      </w:pPr>
      <w:r>
        <w:rPr>
          <w:rFonts w:hint="eastAsia" w:eastAsia="仿宋"/>
          <w:sz w:val="32"/>
          <w:szCs w:val="32"/>
        </w:rPr>
        <w:t>2023年度政府性基金预算财政拨款支出0万元。</w:t>
      </w:r>
    </w:p>
    <w:p w14:paraId="658259E6">
      <w:pPr>
        <w:numPr>
          <w:ilvl w:val="0"/>
          <w:numId w:val="4"/>
        </w:numPr>
        <w:spacing w:line="600" w:lineRule="exact"/>
        <w:ind w:firstLine="640"/>
        <w:outlineLvl w:val="1"/>
        <w:rPr>
          <w:rStyle w:val="36"/>
          <w:rFonts w:ascii="黑体" w:hAnsi="黑体" w:eastAsia="黑体"/>
          <w:b w:val="0"/>
        </w:rPr>
      </w:pPr>
      <w:bookmarkStart w:id="62" w:name="_Toc15396611"/>
      <w:bookmarkStart w:id="63" w:name="_Toc15377219"/>
      <w:bookmarkStart w:id="64" w:name="_Toc12925"/>
      <w:r>
        <w:rPr>
          <w:rStyle w:val="36"/>
          <w:rFonts w:hint="eastAsia" w:ascii="黑体" w:hAnsi="黑体" w:eastAsia="黑体"/>
          <w:b w:val="0"/>
        </w:rPr>
        <w:t>国有资本经营预算支出决算情况说明</w:t>
      </w:r>
      <w:bookmarkEnd w:id="62"/>
      <w:bookmarkEnd w:id="63"/>
      <w:bookmarkEnd w:id="64"/>
    </w:p>
    <w:p w14:paraId="6EC36EA1">
      <w:pPr>
        <w:spacing w:line="560" w:lineRule="exact"/>
        <w:ind w:firstLine="640" w:firstLineChars="200"/>
        <w:rPr>
          <w:rFonts w:eastAsia="仿宋"/>
          <w:sz w:val="32"/>
          <w:szCs w:val="32"/>
        </w:rPr>
      </w:pPr>
      <w:r>
        <w:rPr>
          <w:rFonts w:hint="eastAsia" w:eastAsia="仿宋"/>
          <w:sz w:val="32"/>
          <w:szCs w:val="32"/>
        </w:rPr>
        <w:t>2023年度国有资本经营预算财政拨款支出0万元。</w:t>
      </w:r>
    </w:p>
    <w:p w14:paraId="63D620F6">
      <w:pPr>
        <w:numPr>
          <w:ilvl w:val="0"/>
          <w:numId w:val="4"/>
        </w:numPr>
        <w:spacing w:line="600" w:lineRule="exact"/>
        <w:ind w:firstLine="640"/>
        <w:outlineLvl w:val="1"/>
        <w:rPr>
          <w:rStyle w:val="36"/>
          <w:rFonts w:ascii="黑体" w:hAnsi="黑体" w:eastAsia="黑体"/>
          <w:b w:val="0"/>
        </w:rPr>
      </w:pPr>
      <w:bookmarkStart w:id="65" w:name="_Toc15396612"/>
      <w:bookmarkStart w:id="66" w:name="_Toc15377221"/>
      <w:bookmarkStart w:id="67" w:name="_Toc4095"/>
      <w:r>
        <w:rPr>
          <w:rStyle w:val="36"/>
          <w:rFonts w:hint="eastAsia" w:ascii="黑体" w:hAnsi="黑体" w:eastAsia="黑体"/>
          <w:b w:val="0"/>
        </w:rPr>
        <w:t>其他重要事项的情况说明</w:t>
      </w:r>
      <w:bookmarkEnd w:id="65"/>
      <w:bookmarkEnd w:id="66"/>
      <w:bookmarkEnd w:id="67"/>
    </w:p>
    <w:p w14:paraId="415B851B">
      <w:pPr>
        <w:spacing w:line="600" w:lineRule="exact"/>
        <w:ind w:firstLine="643" w:firstLineChars="200"/>
        <w:outlineLvl w:val="2"/>
        <w:rPr>
          <w:rFonts w:ascii="仿宋" w:hAnsi="仿宋" w:eastAsia="仿宋"/>
          <w:sz w:val="32"/>
          <w:szCs w:val="32"/>
        </w:rPr>
      </w:pPr>
      <w:bookmarkStart w:id="68" w:name="_Toc15377222"/>
      <w:r>
        <w:rPr>
          <w:rFonts w:hint="eastAsia" w:ascii="仿宋" w:hAnsi="仿宋" w:eastAsia="仿宋"/>
          <w:b/>
          <w:sz w:val="32"/>
          <w:szCs w:val="32"/>
        </w:rPr>
        <w:t>（一）机关运行经费支出情况</w:t>
      </w:r>
      <w:bookmarkEnd w:id="68"/>
    </w:p>
    <w:p w14:paraId="679DF6E5">
      <w:pPr>
        <w:spacing w:line="560" w:lineRule="exact"/>
        <w:ind w:firstLine="640" w:firstLineChars="200"/>
        <w:rPr>
          <w:rFonts w:ascii="仿宋_GB2312" w:eastAsia="仿宋_GB2312"/>
          <w:sz w:val="32"/>
          <w:szCs w:val="32"/>
        </w:rPr>
      </w:pPr>
      <w:r>
        <w:rPr>
          <w:rFonts w:eastAsia="仿宋"/>
          <w:sz w:val="32"/>
          <w:szCs w:val="32"/>
        </w:rPr>
        <w:t>2023年度，</w:t>
      </w:r>
      <w:r>
        <w:rPr>
          <w:rFonts w:eastAsia="仿宋"/>
          <w:b/>
          <w:sz w:val="32"/>
          <w:szCs w:val="32"/>
        </w:rPr>
        <w:t>盐边县社会保险事务中心</w:t>
      </w:r>
      <w:r>
        <w:rPr>
          <w:rFonts w:eastAsia="仿宋"/>
          <w:sz w:val="32"/>
          <w:szCs w:val="32"/>
        </w:rPr>
        <w:t>机关运行经费支出</w:t>
      </w:r>
      <w:r>
        <w:rPr>
          <w:rFonts w:eastAsia="仿宋"/>
          <w:b/>
          <w:sz w:val="32"/>
          <w:szCs w:val="32"/>
        </w:rPr>
        <w:t>19.13</w:t>
      </w:r>
      <w:r>
        <w:rPr>
          <w:rFonts w:eastAsia="仿宋"/>
          <w:sz w:val="32"/>
          <w:szCs w:val="32"/>
        </w:rPr>
        <w:t>万元，比2022年度减少5.63万元，下降22.73%。主要原因是本年度无省级财政社保公共服务能力建设资金项目预算，未进行此项支出。</w:t>
      </w:r>
    </w:p>
    <w:p w14:paraId="75165E47">
      <w:pPr>
        <w:autoSpaceDE w:val="0"/>
        <w:autoSpaceDN w:val="0"/>
        <w:adjustRightInd w:val="0"/>
        <w:spacing w:line="600" w:lineRule="exact"/>
        <w:ind w:firstLine="643" w:firstLineChars="200"/>
        <w:jc w:val="left"/>
        <w:outlineLvl w:val="2"/>
        <w:rPr>
          <w:rFonts w:ascii="仿宋" w:hAnsi="仿宋" w:eastAsia="仿宋"/>
          <w:b/>
          <w:sz w:val="32"/>
          <w:szCs w:val="32"/>
        </w:rPr>
      </w:pPr>
      <w:bookmarkStart w:id="69" w:name="_Toc15377223"/>
      <w:r>
        <w:rPr>
          <w:rFonts w:hint="eastAsia" w:ascii="仿宋" w:hAnsi="仿宋" w:eastAsia="仿宋"/>
          <w:b/>
          <w:sz w:val="32"/>
          <w:szCs w:val="32"/>
        </w:rPr>
        <w:t>（二）政府采购支出情况</w:t>
      </w:r>
      <w:bookmarkEnd w:id="69"/>
    </w:p>
    <w:p w14:paraId="61216B4F">
      <w:pPr>
        <w:spacing w:line="560" w:lineRule="exact"/>
        <w:ind w:firstLine="640" w:firstLineChars="200"/>
        <w:rPr>
          <w:rFonts w:eastAsia="仿宋"/>
          <w:sz w:val="32"/>
          <w:szCs w:val="32"/>
        </w:rPr>
      </w:pPr>
      <w:r>
        <w:rPr>
          <w:rFonts w:eastAsia="仿宋"/>
          <w:sz w:val="32"/>
          <w:szCs w:val="32"/>
        </w:rPr>
        <w:t>2023年度，</w:t>
      </w:r>
      <w:r>
        <w:rPr>
          <w:rFonts w:eastAsia="仿宋"/>
          <w:b/>
          <w:bCs/>
          <w:sz w:val="32"/>
          <w:szCs w:val="32"/>
        </w:rPr>
        <w:t>盐边县社会保险事务中心</w:t>
      </w:r>
      <w:r>
        <w:rPr>
          <w:rFonts w:eastAsia="仿宋"/>
          <w:sz w:val="32"/>
          <w:szCs w:val="32"/>
        </w:rPr>
        <w:t>政府采购支出总额0万元，其中：政府采购货物支出0万元、政府采购工程支出0万元、政府采购服务支出0万元。</w:t>
      </w:r>
    </w:p>
    <w:p w14:paraId="75E9FCA0">
      <w:pPr>
        <w:autoSpaceDE w:val="0"/>
        <w:autoSpaceDN w:val="0"/>
        <w:adjustRightInd w:val="0"/>
        <w:spacing w:line="600" w:lineRule="exact"/>
        <w:ind w:firstLine="643" w:firstLineChars="200"/>
        <w:jc w:val="left"/>
        <w:outlineLvl w:val="2"/>
        <w:rPr>
          <w:rFonts w:ascii="仿宋" w:hAnsi="仿宋" w:eastAsia="仿宋"/>
          <w:b/>
          <w:sz w:val="32"/>
          <w:szCs w:val="32"/>
        </w:rPr>
      </w:pPr>
      <w:bookmarkStart w:id="70" w:name="_Toc15377224"/>
      <w:r>
        <w:rPr>
          <w:rFonts w:hint="eastAsia" w:ascii="仿宋" w:hAnsi="仿宋" w:eastAsia="仿宋"/>
          <w:b/>
          <w:sz w:val="32"/>
          <w:szCs w:val="32"/>
        </w:rPr>
        <w:t>（三）国有资产占有使用情况</w:t>
      </w:r>
      <w:bookmarkEnd w:id="70"/>
    </w:p>
    <w:p w14:paraId="168D99C8">
      <w:pPr>
        <w:autoSpaceDE w:val="0"/>
        <w:autoSpaceDN w:val="0"/>
        <w:adjustRightInd w:val="0"/>
        <w:spacing w:line="560" w:lineRule="exact"/>
        <w:ind w:firstLine="640" w:firstLineChars="200"/>
        <w:jc w:val="left"/>
        <w:rPr>
          <w:rFonts w:eastAsia="仿宋"/>
          <w:sz w:val="32"/>
          <w:szCs w:val="32"/>
        </w:rPr>
      </w:pPr>
      <w:r>
        <w:rPr>
          <w:rFonts w:eastAsia="仿宋"/>
          <w:sz w:val="32"/>
          <w:szCs w:val="32"/>
        </w:rPr>
        <w:t>截至2023年12月31日，</w:t>
      </w:r>
      <w:r>
        <w:rPr>
          <w:rFonts w:eastAsia="仿宋"/>
          <w:b/>
          <w:bCs/>
          <w:sz w:val="32"/>
          <w:szCs w:val="32"/>
        </w:rPr>
        <w:t>盐边县社会保险事务中心</w:t>
      </w:r>
      <w:r>
        <w:rPr>
          <w:rFonts w:eastAsia="仿宋"/>
          <w:sz w:val="32"/>
          <w:szCs w:val="32"/>
        </w:rPr>
        <w:t>共有车辆0辆。单价100万元以上设备（不含车辆）0台（套）。</w:t>
      </w:r>
    </w:p>
    <w:p w14:paraId="66041C41">
      <w:pPr>
        <w:autoSpaceDE w:val="0"/>
        <w:autoSpaceDN w:val="0"/>
        <w:adjustRightInd w:val="0"/>
        <w:spacing w:line="600" w:lineRule="exact"/>
        <w:ind w:firstLine="643" w:firstLineChars="200"/>
        <w:jc w:val="left"/>
        <w:outlineLvl w:val="2"/>
        <w:rPr>
          <w:rFonts w:ascii="仿宋" w:hAnsi="仿宋" w:eastAsia="仿宋"/>
          <w:b/>
          <w:sz w:val="32"/>
          <w:szCs w:val="32"/>
        </w:rPr>
      </w:pPr>
      <w:r>
        <w:rPr>
          <w:rFonts w:hint="eastAsia" w:ascii="仿宋" w:hAnsi="仿宋" w:eastAsia="仿宋"/>
          <w:b/>
          <w:sz w:val="32"/>
          <w:szCs w:val="32"/>
        </w:rPr>
        <w:t>（四）预算绩效管理情况</w:t>
      </w:r>
    </w:p>
    <w:p w14:paraId="794B4868">
      <w:pPr>
        <w:spacing w:line="560" w:lineRule="exact"/>
        <w:ind w:firstLine="640" w:firstLineChars="200"/>
        <w:rPr>
          <w:rFonts w:eastAsia="仿宋"/>
          <w:sz w:val="32"/>
          <w:szCs w:val="32"/>
        </w:rPr>
      </w:pPr>
      <w:r>
        <w:rPr>
          <w:rFonts w:eastAsia="仿宋"/>
          <w:sz w:val="32"/>
          <w:szCs w:val="32"/>
        </w:rPr>
        <w:t>根据预算绩效管理要求，本部门在</w:t>
      </w:r>
      <w:bookmarkStart w:id="76" w:name="_GoBack"/>
      <w:bookmarkEnd w:id="76"/>
      <w:r>
        <w:rPr>
          <w:rFonts w:eastAsia="仿宋"/>
          <w:sz w:val="32"/>
          <w:szCs w:val="32"/>
        </w:rPr>
        <w:t>2023年度预算编制阶段，组织对2023年省级财政困难群众养老保险代缴资金项目1个项目开展了预算事前绩效评估，对该项目编制了绩效目标，预算执行过程中，对该项目开展绩效监控，组织对该项目开展绩效自评。</w:t>
      </w:r>
    </w:p>
    <w:p w14:paraId="0FC35FC5">
      <w:pPr>
        <w:pStyle w:val="14"/>
        <w:widowControl/>
        <w:shd w:val="clear" w:color="auto" w:fill="FDFDFE"/>
        <w:spacing w:before="210" w:beforeAutospacing="0" w:afterAutospacing="0" w:line="26" w:lineRule="atLeast"/>
        <w:rPr>
          <w:rFonts w:eastAsia="仿宋"/>
          <w:sz w:val="32"/>
          <w:szCs w:val="32"/>
        </w:rPr>
      </w:pPr>
      <w:r>
        <w:rPr>
          <w:rFonts w:eastAsia="仿宋"/>
          <w:sz w:val="32"/>
          <w:szCs w:val="32"/>
        </w:rPr>
        <w:t>组织对2023年度一般公共预算、政府性基金预算、国有资本经营预算、社会保险基金预算以及资本资产、债券资金等全面开展绩效自评，形成盐边县社会保险部门整体（含部门预算项目）绩效自评报告、2023年省级财政困难群众养老保险代缴资金项目绩效自评报告，其中，盐边县社会保险事务中心部门整体（含部门预算项目）绩效自评得分为98分，绩效自评综述：2023年，盐边县社会保险中心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2023年省级财政困难群众养老保险代缴资金项目支专项预算项目绩效自评得分为100分，绩效自评综述：</w:t>
      </w:r>
      <w:r>
        <w:rPr>
          <w:rFonts w:hint="eastAsia" w:eastAsia="仿宋"/>
          <w:sz w:val="32"/>
          <w:szCs w:val="32"/>
        </w:rPr>
        <w:t>本年度盐边县社会保险事务中心</w:t>
      </w:r>
      <w:r>
        <w:rPr>
          <w:rFonts w:eastAsia="仿宋"/>
          <w:sz w:val="32"/>
          <w:szCs w:val="32"/>
        </w:rPr>
        <w:t>严格执行国家和地方相关政策，确保社</w:t>
      </w:r>
      <w:r>
        <w:rPr>
          <w:rFonts w:hint="eastAsia" w:eastAsia="仿宋"/>
          <w:sz w:val="32"/>
          <w:szCs w:val="32"/>
        </w:rPr>
        <w:t>保</w:t>
      </w:r>
      <w:r>
        <w:rPr>
          <w:rFonts w:eastAsia="仿宋"/>
          <w:sz w:val="32"/>
          <w:szCs w:val="32"/>
        </w:rPr>
        <w:t>资金的安全、规范使用，切实保障了参保群众的权益。加强了内部控制和审计监督，确保了资金的准确性和及时性。在服务方面，我们不断优化业务流程，提高服务质量和效率，赢得了广大参保群众的一致好评</w:t>
      </w:r>
      <w:r>
        <w:rPr>
          <w:rFonts w:hint="eastAsia" w:eastAsia="仿宋"/>
          <w:sz w:val="32"/>
          <w:szCs w:val="32"/>
        </w:rPr>
        <w:t>，工作整体绩效显著。</w:t>
      </w:r>
      <w:r>
        <w:rPr>
          <w:rFonts w:eastAsia="仿宋"/>
          <w:sz w:val="32"/>
          <w:szCs w:val="32"/>
        </w:rPr>
        <w:t>绩效自评报告详见附件。</w:t>
      </w:r>
    </w:p>
    <w:p w14:paraId="55380410">
      <w:r>
        <w:rPr>
          <w:rFonts w:hint="eastAsia"/>
        </w:rPr>
        <w:br w:type="page"/>
      </w:r>
    </w:p>
    <w:p w14:paraId="6CD8761C">
      <w:pPr>
        <w:pStyle w:val="2"/>
        <w:jc w:val="center"/>
      </w:pPr>
      <w:bookmarkStart w:id="71" w:name="_Toc5177"/>
      <w:r>
        <w:rPr>
          <w:rFonts w:hint="eastAsia"/>
        </w:rPr>
        <w:t>第三部分 名词解释</w:t>
      </w:r>
      <w:bookmarkEnd w:id="71"/>
    </w:p>
    <w:p w14:paraId="7CE8FBB5">
      <w:pPr>
        <w:spacing w:line="560" w:lineRule="exact"/>
      </w:pPr>
    </w:p>
    <w:p w14:paraId="746928AD">
      <w:pPr>
        <w:spacing w:line="560" w:lineRule="exact"/>
        <w:ind w:firstLine="640" w:firstLineChars="200"/>
        <w:rPr>
          <w:rFonts w:eastAsia="仿宋"/>
          <w:sz w:val="32"/>
          <w:szCs w:val="32"/>
        </w:rPr>
      </w:pPr>
      <w:r>
        <w:rPr>
          <w:rFonts w:eastAsia="仿宋"/>
          <w:sz w:val="32"/>
          <w:szCs w:val="32"/>
        </w:rPr>
        <w:t>1.财政拨款收入：指单位从同级财政部门取得的财政预算资金。</w:t>
      </w:r>
    </w:p>
    <w:p w14:paraId="0DBA9DCC">
      <w:pPr>
        <w:spacing w:line="560" w:lineRule="exact"/>
        <w:ind w:firstLine="640" w:firstLineChars="200"/>
        <w:rPr>
          <w:rFonts w:eastAsia="仿宋"/>
          <w:sz w:val="32"/>
          <w:szCs w:val="32"/>
        </w:rPr>
      </w:pPr>
      <w:r>
        <w:rPr>
          <w:rFonts w:eastAsia="仿宋"/>
          <w:sz w:val="32"/>
          <w:szCs w:val="32"/>
        </w:rPr>
        <w:t>2.事业收入：指事业单位开展专业业务活动及辅助活动取得的收入。如…（二级预算单位事业收入情况）等。</w:t>
      </w:r>
    </w:p>
    <w:p w14:paraId="433CA8C3">
      <w:pPr>
        <w:spacing w:line="560" w:lineRule="exact"/>
        <w:ind w:firstLine="640" w:firstLineChars="200"/>
        <w:rPr>
          <w:rFonts w:eastAsia="仿宋"/>
          <w:sz w:val="32"/>
          <w:szCs w:val="32"/>
        </w:rPr>
      </w:pPr>
      <w:r>
        <w:rPr>
          <w:rFonts w:eastAsia="仿宋"/>
          <w:sz w:val="32"/>
          <w:szCs w:val="32"/>
        </w:rPr>
        <w:t>3.经营收入：指事业单位在专业业务活动及其辅助活动之外开展非独立核算经营活动取得的收入。如…（二级预算单位经营收入情况）等。</w:t>
      </w:r>
    </w:p>
    <w:p w14:paraId="002A5CDB">
      <w:pPr>
        <w:spacing w:line="560" w:lineRule="exact"/>
        <w:ind w:firstLine="640" w:firstLineChars="200"/>
        <w:rPr>
          <w:rFonts w:eastAsia="仿宋"/>
          <w:sz w:val="32"/>
          <w:szCs w:val="32"/>
        </w:rPr>
      </w:pPr>
      <w:r>
        <w:rPr>
          <w:rFonts w:eastAsia="仿宋"/>
          <w:sz w:val="32"/>
          <w:szCs w:val="32"/>
        </w:rPr>
        <w:t xml:space="preserve">4.其他收入：指单位取得的除上述收入以外的各项收入。主要是…（收入类型）等。 </w:t>
      </w:r>
    </w:p>
    <w:p w14:paraId="1D966755">
      <w:pPr>
        <w:spacing w:line="560" w:lineRule="exact"/>
        <w:ind w:firstLine="640" w:firstLineChars="200"/>
        <w:rPr>
          <w:rFonts w:eastAsia="仿宋"/>
          <w:sz w:val="32"/>
          <w:szCs w:val="32"/>
        </w:rPr>
      </w:pPr>
      <w:r>
        <w:rPr>
          <w:rFonts w:eastAsia="仿宋"/>
          <w:sz w:val="32"/>
          <w:szCs w:val="32"/>
        </w:rPr>
        <w:t xml:space="preserve">5.使用非财政拨款结余（含专用结余）：指事业单位使用以前年度积累的非财政拨款结余弥补当年收支差额的金额。 </w:t>
      </w:r>
    </w:p>
    <w:p w14:paraId="1181B482">
      <w:pPr>
        <w:spacing w:line="560" w:lineRule="exact"/>
        <w:ind w:firstLine="640" w:firstLineChars="200"/>
        <w:rPr>
          <w:rFonts w:eastAsia="仿宋"/>
          <w:sz w:val="32"/>
          <w:szCs w:val="32"/>
        </w:rPr>
      </w:pPr>
      <w:r>
        <w:rPr>
          <w:rFonts w:eastAsia="仿宋"/>
          <w:sz w:val="32"/>
          <w:szCs w:val="32"/>
        </w:rPr>
        <w:t xml:space="preserve">6.年初结转和结余：指以前年度尚未完成、结转到本年按有关规定继续使用的资金。 </w:t>
      </w:r>
    </w:p>
    <w:p w14:paraId="4F1DCF14">
      <w:pPr>
        <w:spacing w:line="560" w:lineRule="exact"/>
        <w:ind w:firstLine="640" w:firstLineChars="200"/>
        <w:rPr>
          <w:rFonts w:eastAsia="仿宋"/>
          <w:sz w:val="32"/>
          <w:szCs w:val="32"/>
        </w:rPr>
      </w:pPr>
      <w:r>
        <w:rPr>
          <w:rFonts w:eastAsia="仿宋"/>
          <w:sz w:val="32"/>
          <w:szCs w:val="32"/>
        </w:rPr>
        <w:t>7.结余分配：指事业单位按照会计制度规定缴纳的所得税、提取的专用结余以及转入非财政拨款结余的金额等。</w:t>
      </w:r>
    </w:p>
    <w:p w14:paraId="03311F8C">
      <w:pPr>
        <w:spacing w:line="560" w:lineRule="exact"/>
        <w:ind w:firstLine="640" w:firstLineChars="200"/>
        <w:rPr>
          <w:rFonts w:eastAsia="仿宋"/>
          <w:sz w:val="32"/>
          <w:szCs w:val="32"/>
        </w:rPr>
      </w:pPr>
      <w:r>
        <w:rPr>
          <w:rFonts w:eastAsia="仿宋"/>
          <w:sz w:val="32"/>
          <w:szCs w:val="32"/>
        </w:rPr>
        <w:t>8.年末结转和结余：指单位按有关规定结转到下年或以后年度继续使用的资金。</w:t>
      </w:r>
    </w:p>
    <w:p w14:paraId="75B8707B">
      <w:pPr>
        <w:spacing w:line="560" w:lineRule="exact"/>
        <w:ind w:firstLine="640" w:firstLineChars="200"/>
        <w:rPr>
          <w:rFonts w:eastAsia="仿宋"/>
          <w:color w:val="000000"/>
          <w:sz w:val="32"/>
          <w:szCs w:val="32"/>
        </w:rPr>
      </w:pPr>
      <w:r>
        <w:rPr>
          <w:rFonts w:eastAsia="仿宋"/>
          <w:color w:val="000000"/>
          <w:sz w:val="32"/>
          <w:szCs w:val="32"/>
        </w:rPr>
        <w:t>9.社会保障和就业支出（208类）人力资源和社会保障管理事务（01款）行政运行（01项）：指反映行政单位（包括实行公务员管理的事业单位）的基本支出。</w:t>
      </w:r>
    </w:p>
    <w:p w14:paraId="110A0D23">
      <w:pPr>
        <w:spacing w:line="560" w:lineRule="exact"/>
        <w:ind w:firstLine="640" w:firstLineChars="200"/>
        <w:rPr>
          <w:rFonts w:eastAsia="仿宋"/>
          <w:sz w:val="32"/>
          <w:szCs w:val="32"/>
        </w:rPr>
      </w:pPr>
      <w:r>
        <w:rPr>
          <w:rFonts w:eastAsia="仿宋"/>
          <w:color w:val="000000"/>
          <w:sz w:val="32"/>
          <w:szCs w:val="32"/>
        </w:rPr>
        <w:t>10.社会保障</w:t>
      </w:r>
      <w:r>
        <w:rPr>
          <w:rFonts w:eastAsia="仿宋"/>
          <w:sz w:val="32"/>
          <w:szCs w:val="32"/>
        </w:rPr>
        <w:t>和就业支出（208类）人力资源和社会保障管理事务（01款）社会保险经办机构（09项）：</w:t>
      </w:r>
      <w:r>
        <w:rPr>
          <w:rFonts w:hint="eastAsia" w:eastAsia="仿宋"/>
          <w:sz w:val="32"/>
          <w:szCs w:val="32"/>
        </w:rPr>
        <w:t>反映社会保险经办机构开展业务工作的支出。</w:t>
      </w:r>
    </w:p>
    <w:p w14:paraId="79A6625B">
      <w:pPr>
        <w:spacing w:line="560" w:lineRule="exact"/>
        <w:ind w:firstLine="640" w:firstLineChars="200"/>
        <w:rPr>
          <w:rFonts w:eastAsia="仿宋"/>
          <w:sz w:val="32"/>
          <w:szCs w:val="32"/>
        </w:rPr>
      </w:pPr>
      <w:r>
        <w:rPr>
          <w:rFonts w:eastAsia="仿宋"/>
          <w:sz w:val="32"/>
          <w:szCs w:val="32"/>
        </w:rPr>
        <w:t>11.社会保障和就业支出（208类）行政事业单位养老支出（05款）行政单位离退休（01项）：指反映行政单位（包括实行公务员管理的事业单位）开支的离退休经费。</w:t>
      </w:r>
    </w:p>
    <w:p w14:paraId="25FA18E2">
      <w:pPr>
        <w:spacing w:line="560" w:lineRule="exact"/>
        <w:ind w:firstLine="640" w:firstLineChars="200"/>
        <w:rPr>
          <w:rFonts w:eastAsia="仿宋"/>
          <w:sz w:val="32"/>
          <w:szCs w:val="32"/>
        </w:rPr>
      </w:pPr>
      <w:r>
        <w:rPr>
          <w:rFonts w:eastAsia="仿宋"/>
          <w:sz w:val="32"/>
          <w:szCs w:val="32"/>
        </w:rPr>
        <w:t>13.社会保障和就业支出（208类）行政事业单位养老支出（05款）机关事业单位基本养老保险缴费支出（05项）：指机关事业单位实施养老保险制度由单位缴纳的基本养老保险费支出。</w:t>
      </w:r>
    </w:p>
    <w:p w14:paraId="4D926C34">
      <w:pPr>
        <w:spacing w:line="560" w:lineRule="exact"/>
        <w:ind w:firstLine="640" w:firstLineChars="200"/>
        <w:rPr>
          <w:rFonts w:eastAsia="仿宋"/>
          <w:sz w:val="32"/>
          <w:szCs w:val="32"/>
        </w:rPr>
      </w:pPr>
      <w:r>
        <w:rPr>
          <w:rFonts w:eastAsia="仿宋"/>
          <w:sz w:val="32"/>
          <w:szCs w:val="32"/>
        </w:rPr>
        <w:t>14.社会保障和就业支出（208类）行政事业单位养老支出（05款）机关事业单位职业年金缴费支出（06项）：反映机关事业单位实施养老保险制度由单位实际缴纳的职业年金支出。</w:t>
      </w:r>
    </w:p>
    <w:p w14:paraId="0E8C8884">
      <w:pPr>
        <w:spacing w:line="560" w:lineRule="exact"/>
        <w:ind w:firstLine="640" w:firstLineChars="200"/>
        <w:rPr>
          <w:rFonts w:eastAsia="仿宋"/>
          <w:sz w:val="32"/>
          <w:szCs w:val="32"/>
        </w:rPr>
      </w:pPr>
      <w:r>
        <w:rPr>
          <w:rFonts w:eastAsia="仿宋"/>
          <w:sz w:val="32"/>
          <w:szCs w:val="32"/>
        </w:rPr>
        <w:t>15.社会保障和就业支出（208类）行政事业单位养老支出（05款）其他行政事业单位养老支出（99项）：其他用于行政事业单位养老方面的支出。</w:t>
      </w:r>
    </w:p>
    <w:p w14:paraId="60E59B22">
      <w:pPr>
        <w:spacing w:line="560" w:lineRule="exact"/>
        <w:ind w:firstLine="640" w:firstLineChars="200"/>
        <w:rPr>
          <w:rFonts w:eastAsia="仿宋"/>
          <w:sz w:val="32"/>
          <w:szCs w:val="32"/>
        </w:rPr>
      </w:pPr>
      <w:r>
        <w:rPr>
          <w:rFonts w:eastAsia="仿宋"/>
          <w:sz w:val="32"/>
          <w:szCs w:val="32"/>
        </w:rPr>
        <w:t>16.社会保障和就业支出（208类）财政代缴社会保险费支出（30款）财政代缴城乡居民基本养老保险费支出（01项）：指财政为生活困难人员缴纳的城乡居民基本养老保险费支出。</w:t>
      </w:r>
    </w:p>
    <w:p w14:paraId="694F9B83">
      <w:pPr>
        <w:spacing w:line="560" w:lineRule="exact"/>
        <w:ind w:firstLine="640" w:firstLineChars="200"/>
        <w:rPr>
          <w:rFonts w:eastAsia="仿宋"/>
          <w:sz w:val="32"/>
          <w:szCs w:val="32"/>
        </w:rPr>
      </w:pPr>
      <w:r>
        <w:rPr>
          <w:rFonts w:eastAsia="仿宋"/>
          <w:sz w:val="32"/>
          <w:szCs w:val="32"/>
        </w:rPr>
        <w:t>16.卫生健康支出（210类）行政事业单位医疗（11款）行政单位医疗（01项）：指财政部门安排的行政单位（包括实行公务员管理的事业单位，下同）基本医疗保险缴费经费，按国家规定享受离休人员待遇的医疗经费。</w:t>
      </w:r>
    </w:p>
    <w:p w14:paraId="6546D6C5">
      <w:pPr>
        <w:spacing w:line="560" w:lineRule="exact"/>
        <w:ind w:firstLine="640" w:firstLineChars="200"/>
        <w:rPr>
          <w:rFonts w:eastAsia="仿宋"/>
          <w:sz w:val="32"/>
          <w:szCs w:val="32"/>
        </w:rPr>
      </w:pPr>
      <w:r>
        <w:rPr>
          <w:rFonts w:eastAsia="仿宋"/>
          <w:sz w:val="32"/>
          <w:szCs w:val="32"/>
        </w:rPr>
        <w:t>17.卫生健康支出（210类）行政事业单位医疗（11款）公务员医疗补助（03项）：指财政部门安排的公务员医疗补助经费。</w:t>
      </w:r>
    </w:p>
    <w:p w14:paraId="7DB4EB71">
      <w:pPr>
        <w:spacing w:line="560" w:lineRule="exact"/>
        <w:ind w:firstLine="640" w:firstLineChars="200"/>
        <w:rPr>
          <w:rFonts w:eastAsia="仿宋"/>
          <w:sz w:val="32"/>
          <w:szCs w:val="32"/>
        </w:rPr>
      </w:pPr>
      <w:r>
        <w:rPr>
          <w:rFonts w:eastAsia="仿宋"/>
          <w:sz w:val="32"/>
          <w:szCs w:val="32"/>
        </w:rPr>
        <w:t>19.卫生健康支出（210类）行政事业单位医疗（11款）其他行政事业单位医疗支出（99项）：其他用于行政事业单位医疗方面的支出。</w:t>
      </w:r>
    </w:p>
    <w:p w14:paraId="38A53407">
      <w:pPr>
        <w:spacing w:line="560" w:lineRule="exact"/>
        <w:ind w:firstLine="640" w:firstLineChars="200"/>
        <w:rPr>
          <w:rFonts w:eastAsia="仿宋"/>
          <w:sz w:val="32"/>
          <w:szCs w:val="32"/>
        </w:rPr>
      </w:pPr>
      <w:r>
        <w:rPr>
          <w:rFonts w:eastAsia="仿宋"/>
          <w:sz w:val="32"/>
          <w:szCs w:val="32"/>
        </w:rPr>
        <w:t>20.住房保障支出（221类）住房改革支出（02款）住房公积金（01项）：指行政事业单位按人力资源和社会保障部、财政部规定的基本工资和津贴补贴以及规定比例为职工缴纳的住房公积金。</w:t>
      </w:r>
    </w:p>
    <w:p w14:paraId="629F1E38">
      <w:pPr>
        <w:spacing w:line="560" w:lineRule="exact"/>
        <w:ind w:firstLine="640" w:firstLineChars="200"/>
        <w:rPr>
          <w:rFonts w:eastAsia="仿宋"/>
          <w:sz w:val="32"/>
          <w:szCs w:val="32"/>
        </w:rPr>
      </w:pPr>
      <w:r>
        <w:rPr>
          <w:rFonts w:eastAsia="仿宋"/>
          <w:sz w:val="32"/>
          <w:szCs w:val="32"/>
        </w:rPr>
        <w:t>21.其他交通费用：反映单位除公务用车运行维护费以外的其他交通费用。如公务交通补贴，租车费用、出租车费用，飞机、船舶的燃料费、维修费、保险费等。</w:t>
      </w:r>
    </w:p>
    <w:p w14:paraId="7766D007">
      <w:pPr>
        <w:spacing w:line="560" w:lineRule="exact"/>
        <w:ind w:firstLine="640" w:firstLineChars="200"/>
        <w:rPr>
          <w:rFonts w:eastAsia="仿宋"/>
          <w:sz w:val="32"/>
          <w:szCs w:val="32"/>
        </w:rPr>
      </w:pPr>
      <w:r>
        <w:rPr>
          <w:rFonts w:eastAsia="仿宋"/>
          <w:sz w:val="32"/>
          <w:szCs w:val="32"/>
        </w:rPr>
        <w:t>2</w:t>
      </w:r>
      <w:r>
        <w:rPr>
          <w:rFonts w:hint="eastAsia" w:eastAsia="仿宋"/>
          <w:sz w:val="32"/>
          <w:szCs w:val="32"/>
        </w:rPr>
        <w:t>2</w:t>
      </w:r>
      <w:r>
        <w:rPr>
          <w:rFonts w:eastAsia="仿宋"/>
          <w:sz w:val="32"/>
          <w:szCs w:val="32"/>
        </w:rPr>
        <w:t>.</w:t>
      </w:r>
      <w:r>
        <w:rPr>
          <w:rFonts w:hint="eastAsia" w:eastAsia="仿宋"/>
          <w:sz w:val="32"/>
          <w:szCs w:val="32"/>
        </w:rPr>
        <w:t>基本支出：指为保障机构正常运转、完成日常工作任务而发生的人员支出和公用支出。</w:t>
      </w:r>
    </w:p>
    <w:p w14:paraId="6EAC17CE">
      <w:pPr>
        <w:spacing w:line="560" w:lineRule="exact"/>
        <w:ind w:firstLine="640" w:firstLineChars="200"/>
        <w:rPr>
          <w:rFonts w:eastAsia="仿宋"/>
          <w:sz w:val="32"/>
          <w:szCs w:val="32"/>
        </w:rPr>
      </w:pPr>
      <w:r>
        <w:rPr>
          <w:rFonts w:eastAsia="仿宋"/>
          <w:sz w:val="32"/>
          <w:szCs w:val="32"/>
        </w:rPr>
        <w:t>2</w:t>
      </w:r>
      <w:r>
        <w:rPr>
          <w:rFonts w:hint="eastAsia" w:eastAsia="仿宋"/>
          <w:sz w:val="32"/>
          <w:szCs w:val="32"/>
        </w:rPr>
        <w:t>3</w:t>
      </w:r>
      <w:r>
        <w:rPr>
          <w:rFonts w:eastAsia="仿宋"/>
          <w:sz w:val="32"/>
          <w:szCs w:val="32"/>
        </w:rPr>
        <w:t>.</w:t>
      </w:r>
      <w:r>
        <w:rPr>
          <w:rFonts w:hint="eastAsia" w:eastAsia="仿宋"/>
          <w:sz w:val="32"/>
          <w:szCs w:val="32"/>
        </w:rPr>
        <w:t>项目支出：指在基本支出之外为完成特定行政任务和事业发展目标所发生的支出。</w:t>
      </w:r>
      <w:r>
        <w:rPr>
          <w:rFonts w:eastAsia="仿宋"/>
          <w:sz w:val="32"/>
          <w:szCs w:val="32"/>
        </w:rPr>
        <w:t xml:space="preserve"> </w:t>
      </w:r>
    </w:p>
    <w:p w14:paraId="5D9F3985">
      <w:pPr>
        <w:spacing w:line="560" w:lineRule="exact"/>
        <w:ind w:firstLine="640" w:firstLineChars="200"/>
        <w:rPr>
          <w:rFonts w:eastAsia="仿宋"/>
          <w:sz w:val="32"/>
          <w:szCs w:val="32"/>
        </w:rPr>
      </w:pPr>
      <w:r>
        <w:rPr>
          <w:rFonts w:eastAsia="仿宋"/>
          <w:sz w:val="32"/>
          <w:szCs w:val="32"/>
        </w:rPr>
        <w:t>2</w:t>
      </w:r>
      <w:r>
        <w:rPr>
          <w:rFonts w:hint="eastAsia" w:eastAsia="仿宋"/>
          <w:sz w:val="32"/>
          <w:szCs w:val="32"/>
        </w:rPr>
        <w:t>4</w:t>
      </w:r>
      <w:r>
        <w:rPr>
          <w:rFonts w:eastAsia="仿宋"/>
          <w:sz w:val="32"/>
          <w:szCs w:val="32"/>
        </w:rPr>
        <w:t>.</w:t>
      </w:r>
      <w:r>
        <w:rPr>
          <w:rFonts w:hint="eastAsia" w:eastAsia="仿宋"/>
          <w:sz w:val="32"/>
          <w:szCs w:val="32"/>
        </w:rPr>
        <w:t>经营支出：指事业单位在专业业务活动及其辅助活动之外开展非独立核算经营活动发生的支出。</w:t>
      </w:r>
    </w:p>
    <w:p w14:paraId="7514482C">
      <w:pPr>
        <w:spacing w:line="560" w:lineRule="exact"/>
        <w:ind w:firstLine="640" w:firstLineChars="200"/>
        <w:rPr>
          <w:rFonts w:eastAsia="仿宋"/>
          <w:sz w:val="32"/>
          <w:szCs w:val="32"/>
        </w:rPr>
      </w:pPr>
      <w:r>
        <w:rPr>
          <w:rFonts w:hint="eastAsia" w:eastAsia="仿宋"/>
          <w:sz w:val="32"/>
          <w:szCs w:val="32"/>
        </w:rPr>
        <w:t>25</w:t>
      </w:r>
      <w:r>
        <w:rPr>
          <w:rFonts w:eastAsia="仿宋"/>
          <w:sz w:val="32"/>
          <w:szCs w:val="32"/>
        </w:rPr>
        <w:t>.</w:t>
      </w:r>
      <w:r>
        <w:rPr>
          <w:rFonts w:hint="default" w:ascii="Times New Roman" w:hAnsi="Times New Roman" w:eastAsia="仿宋_GB2312" w:cs="Times New Roman"/>
          <w:color w:val="auto"/>
          <w:sz w:val="32"/>
          <w:szCs w:val="32"/>
        </w:rPr>
        <w:t>指单位用财政拨款安排的因公出国（境）费、公务用车运行费和公务接待费。其中，因公出国（境）费反映机关和参公事业单位公务出国（境）的国际旅费、国外城市间交通费、住宿费、伙食费、培训费、公杂费等支出；公务用车运行费反映机关和参公事业单位按规定保留的公务用车燃料费、维修费、过路过桥费、保险费、安全奖励费用等支出；公务接待费反映机关和参公事业单位按规定开支的各类公务接待（含外宾接待）费用</w:t>
      </w:r>
      <w:r>
        <w:rPr>
          <w:rFonts w:hint="eastAsia" w:eastAsia="仿宋"/>
          <w:sz w:val="32"/>
          <w:szCs w:val="32"/>
        </w:rPr>
        <w:t>。</w:t>
      </w:r>
    </w:p>
    <w:p w14:paraId="44BF6C4C">
      <w:pPr>
        <w:spacing w:line="560" w:lineRule="exact"/>
        <w:ind w:firstLine="640" w:firstLineChars="200"/>
        <w:rPr>
          <w:rFonts w:eastAsia="仿宋"/>
          <w:sz w:val="32"/>
          <w:szCs w:val="32"/>
        </w:rPr>
      </w:pPr>
      <w:r>
        <w:rPr>
          <w:rFonts w:hint="eastAsia" w:eastAsia="仿宋"/>
          <w:sz w:val="32"/>
          <w:szCs w:val="32"/>
        </w:rPr>
        <w:t>26</w:t>
      </w:r>
      <w:r>
        <w:rPr>
          <w:rFonts w:eastAsia="仿宋"/>
          <w:sz w:val="32"/>
          <w:szCs w:val="32"/>
        </w:rPr>
        <w:t>.</w:t>
      </w:r>
      <w:r>
        <w:rPr>
          <w:rFonts w:hint="eastAsia" w:eastAsia="仿宋"/>
          <w:sz w:val="32"/>
          <w:szCs w:val="32"/>
        </w:rPr>
        <w:t>机关运行经费：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14:paraId="1F3FAB95">
      <w:pPr>
        <w:ind w:firstLine="640" w:firstLineChars="200"/>
        <w:rPr>
          <w:rFonts w:eastAsia="仿宋"/>
          <w:sz w:val="32"/>
          <w:szCs w:val="32"/>
        </w:rPr>
      </w:pPr>
      <w:r>
        <w:rPr>
          <w:rFonts w:eastAsia="仿宋"/>
          <w:sz w:val="32"/>
          <w:szCs w:val="32"/>
        </w:rPr>
        <w:br w:type="page"/>
      </w:r>
    </w:p>
    <w:p w14:paraId="08C15609">
      <w:pPr>
        <w:pStyle w:val="2"/>
        <w:jc w:val="center"/>
        <w:rPr>
          <w:rFonts w:ascii="黑体" w:hAnsi="黑体" w:eastAsia="黑体"/>
          <w:b w:val="0"/>
        </w:rPr>
      </w:pPr>
      <w:bookmarkStart w:id="72" w:name="_Toc27967"/>
      <w:r>
        <w:rPr>
          <w:rFonts w:hint="eastAsia" w:ascii="黑体" w:hAnsi="黑体" w:eastAsia="黑体"/>
          <w:b w:val="0"/>
        </w:rPr>
        <w:t>第四部分 附件</w:t>
      </w:r>
      <w:bookmarkEnd w:id="72"/>
    </w:p>
    <w:p w14:paraId="3CD26B34"/>
    <w:p w14:paraId="5A8C68B3">
      <w:pPr>
        <w:outlineLvl w:val="1"/>
        <w:rPr>
          <w:rFonts w:ascii="黑体" w:hAnsi="黑体" w:eastAsia="黑体"/>
          <w:sz w:val="32"/>
          <w:szCs w:val="32"/>
        </w:rPr>
      </w:pPr>
      <w:bookmarkStart w:id="73" w:name="_Toc15677"/>
      <w:r>
        <w:rPr>
          <w:rFonts w:hint="eastAsia" w:ascii="黑体" w:hAnsi="黑体" w:eastAsia="黑体"/>
          <w:sz w:val="32"/>
          <w:szCs w:val="32"/>
        </w:rPr>
        <w:t>附件1</w:t>
      </w:r>
      <w:bookmarkEnd w:id="73"/>
    </w:p>
    <w:p w14:paraId="45EBF63C">
      <w:pPr>
        <w:jc w:val="center"/>
        <w:rPr>
          <w:rFonts w:ascii="方正小标宋简体" w:hAnsi="方正小标宋简体" w:eastAsia="方正小标宋简体"/>
          <w:sz w:val="44"/>
          <w:szCs w:val="44"/>
        </w:rPr>
      </w:pPr>
      <w:r>
        <w:rPr>
          <w:rFonts w:hint="eastAsia" w:ascii="方正小标宋简体" w:hAnsi="方正小标宋简体" w:eastAsia="方正小标宋简体"/>
          <w:sz w:val="44"/>
          <w:szCs w:val="44"/>
        </w:rPr>
        <w:t>盐边县社会保险事务中心</w:t>
      </w:r>
    </w:p>
    <w:p w14:paraId="11E7DD5D">
      <w:pPr>
        <w:jc w:val="center"/>
      </w:pPr>
      <w:r>
        <w:rPr>
          <w:rFonts w:hint="eastAsia" w:ascii="方正小标宋简体" w:hAnsi="方正小标宋简体" w:eastAsia="方正小标宋简体"/>
          <w:sz w:val="44"/>
          <w:szCs w:val="44"/>
        </w:rPr>
        <w:t>部门预算绩效评价报告</w:t>
      </w:r>
    </w:p>
    <w:p w14:paraId="6E4A6925">
      <w:pPr>
        <w:rPr>
          <w:rFonts w:ascii="黑体" w:hAnsi="黑体" w:eastAsia="黑体"/>
          <w:sz w:val="32"/>
          <w:szCs w:val="32"/>
        </w:rPr>
      </w:pPr>
      <w:r>
        <w:rPr>
          <w:rFonts w:hint="eastAsia" w:ascii="黑体" w:hAnsi="黑体" w:eastAsia="黑体"/>
          <w:sz w:val="32"/>
          <w:szCs w:val="32"/>
        </w:rPr>
        <w:t>一、部门（单位）基本情况</w:t>
      </w:r>
    </w:p>
    <w:p w14:paraId="4CAE1933">
      <w:pPr>
        <w:pStyle w:val="5"/>
        <w:adjustRightInd w:val="0"/>
        <w:spacing w:before="93" w:line="560" w:lineRule="exact"/>
        <w:ind w:firstLine="675" w:firstLineChars="210"/>
        <w:rPr>
          <w:rFonts w:ascii="楷体_GB2312" w:eastAsia="楷体_GB2312"/>
          <w:b/>
          <w:sz w:val="32"/>
          <w:szCs w:val="32"/>
        </w:rPr>
      </w:pPr>
      <w:r>
        <w:rPr>
          <w:rFonts w:hint="eastAsia" w:ascii="楷体_GB2312" w:eastAsia="楷体_GB2312"/>
          <w:b/>
          <w:sz w:val="32"/>
          <w:szCs w:val="32"/>
        </w:rPr>
        <w:t>（一）机构组成。</w:t>
      </w:r>
    </w:p>
    <w:p w14:paraId="6C11E443">
      <w:pPr>
        <w:pStyle w:val="5"/>
        <w:adjustRightInd w:val="0"/>
        <w:spacing w:before="93" w:line="560" w:lineRule="exact"/>
        <w:ind w:firstLine="672" w:firstLineChars="210"/>
        <w:rPr>
          <w:rFonts w:ascii="仿宋" w:hAnsi="仿宋" w:eastAsia="仿宋" w:cs="仿宋"/>
          <w:sz w:val="32"/>
        </w:rPr>
      </w:pPr>
      <w:r>
        <w:rPr>
          <w:rFonts w:hint="eastAsia" w:ascii="仿宋" w:hAnsi="仿宋" w:eastAsia="仿宋" w:cs="仿宋"/>
          <w:sz w:val="32"/>
        </w:rPr>
        <w:t>盐边县社会保险事务中心隶属于盐边县人力资源和社会保障局的参公管理单位，无下属单位。</w:t>
      </w:r>
    </w:p>
    <w:p w14:paraId="6279C761">
      <w:pPr>
        <w:ind w:firstLine="643" w:firstLineChars="200"/>
        <w:rPr>
          <w:rFonts w:ascii="楷体_GB2312" w:eastAsia="楷体_GB2312"/>
          <w:b/>
          <w:sz w:val="32"/>
          <w:szCs w:val="32"/>
        </w:rPr>
      </w:pPr>
      <w:r>
        <w:rPr>
          <w:rFonts w:hint="eastAsia" w:ascii="楷体_GB2312" w:eastAsia="楷体_GB2312"/>
          <w:b/>
          <w:sz w:val="32"/>
          <w:szCs w:val="32"/>
        </w:rPr>
        <w:t>（二）机构职能。</w:t>
      </w:r>
    </w:p>
    <w:p w14:paraId="43EEA0D5">
      <w:pPr>
        <w:pStyle w:val="5"/>
        <w:adjustRightInd w:val="0"/>
        <w:spacing w:before="93" w:line="560" w:lineRule="exact"/>
        <w:ind w:firstLine="672" w:firstLineChars="210"/>
        <w:rPr>
          <w:rFonts w:ascii="仿宋" w:hAnsi="仿宋" w:eastAsia="仿宋" w:cs="仿宋"/>
          <w:sz w:val="32"/>
          <w:lang w:val="zh-CN"/>
        </w:rPr>
      </w:pPr>
      <w:r>
        <w:rPr>
          <w:rFonts w:ascii="仿宋" w:hAnsi="仿宋" w:eastAsia="仿宋" w:cs="仿宋"/>
          <w:sz w:val="32"/>
          <w:lang w:val="zh-CN"/>
        </w:rPr>
        <w:t>负责全县城镇职工、城乡居民、机关事业单位养老保险、职业年金的基金征收计划核定工作。负责办理参保职工社会保险关系转移、接续等工作（失业保险、医疗保险、生育保险除外）。负责全县参保单位的社会保险稽核检查工作（医疗保险、生育保险除外）。负责全县离退休人员待遇核定、养老金领取资格认证、待遇发放及社会化管理工作。负责工伤保险待遇发放工作。负责社会保险档案管理工作。</w:t>
      </w:r>
    </w:p>
    <w:p w14:paraId="1CFBA286">
      <w:pPr>
        <w:widowControl/>
        <w:numPr>
          <w:ilvl w:val="0"/>
          <w:numId w:val="5"/>
        </w:numPr>
        <w:adjustRightInd w:val="0"/>
        <w:snapToGrid w:val="0"/>
        <w:spacing w:line="580" w:lineRule="exact"/>
        <w:ind w:firstLine="643" w:firstLineChars="200"/>
        <w:contextualSpacing/>
        <w:jc w:val="left"/>
        <w:rPr>
          <w:rFonts w:ascii="楷体_GB2312" w:eastAsia="楷体_GB2312"/>
          <w:b/>
          <w:sz w:val="32"/>
          <w:szCs w:val="32"/>
        </w:rPr>
      </w:pPr>
      <w:r>
        <w:rPr>
          <w:rFonts w:hint="eastAsia" w:ascii="楷体_GB2312" w:eastAsia="楷体_GB2312"/>
          <w:b/>
          <w:sz w:val="32"/>
          <w:szCs w:val="32"/>
        </w:rPr>
        <w:t>人员概况。</w:t>
      </w:r>
    </w:p>
    <w:p w14:paraId="24BDFD99">
      <w:pPr>
        <w:widowControl/>
        <w:adjustRightInd w:val="0"/>
        <w:snapToGrid w:val="0"/>
        <w:spacing w:line="580" w:lineRule="exact"/>
        <w:ind w:firstLine="640" w:firstLineChars="200"/>
        <w:contextualSpacing/>
        <w:jc w:val="left"/>
        <w:rPr>
          <w:rFonts w:ascii="仿宋" w:hAnsi="仿宋" w:eastAsia="仿宋" w:cs="仿宋"/>
          <w:kern w:val="0"/>
          <w:sz w:val="32"/>
          <w:lang w:val="zh-CN"/>
        </w:rPr>
      </w:pPr>
      <w:r>
        <w:rPr>
          <w:rFonts w:ascii="仿宋" w:hAnsi="仿宋" w:eastAsia="仿宋" w:cs="仿宋"/>
          <w:kern w:val="0"/>
          <w:sz w:val="32"/>
        </w:rPr>
        <w:t>202</w:t>
      </w:r>
      <w:r>
        <w:rPr>
          <w:rFonts w:hint="eastAsia" w:ascii="仿宋" w:hAnsi="仿宋" w:eastAsia="仿宋" w:cs="仿宋"/>
          <w:kern w:val="0"/>
          <w:sz w:val="32"/>
        </w:rPr>
        <w:t>3</w:t>
      </w:r>
      <w:r>
        <w:rPr>
          <w:rFonts w:ascii="仿宋" w:hAnsi="仿宋" w:eastAsia="仿宋" w:cs="仿宋"/>
          <w:kern w:val="0"/>
          <w:sz w:val="32"/>
        </w:rPr>
        <w:t>年末</w:t>
      </w:r>
      <w:r>
        <w:rPr>
          <w:rFonts w:hint="eastAsia" w:ascii="仿宋" w:hAnsi="仿宋" w:eastAsia="仿宋" w:cs="仿宋"/>
          <w:kern w:val="0"/>
          <w:sz w:val="32"/>
        </w:rPr>
        <w:t>盐边县社会保险事务中心</w:t>
      </w:r>
      <w:r>
        <w:rPr>
          <w:rFonts w:ascii="仿宋" w:hAnsi="仿宋" w:eastAsia="仿宋" w:cs="仿宋"/>
          <w:kern w:val="0"/>
          <w:sz w:val="32"/>
        </w:rPr>
        <w:t>有</w:t>
      </w:r>
      <w:r>
        <w:rPr>
          <w:rFonts w:ascii="仿宋" w:hAnsi="仿宋" w:eastAsia="仿宋" w:cs="仿宋"/>
          <w:kern w:val="0"/>
          <w:sz w:val="32"/>
          <w:lang w:val="zh-CN"/>
        </w:rPr>
        <w:t>参照公务员法管理的事业编制</w:t>
      </w:r>
      <w:r>
        <w:rPr>
          <w:rFonts w:ascii="仿宋" w:hAnsi="仿宋" w:eastAsia="仿宋" w:cs="仿宋"/>
          <w:kern w:val="0"/>
          <w:sz w:val="32"/>
        </w:rPr>
        <w:t>在职职工10人，</w:t>
      </w:r>
      <w:r>
        <w:rPr>
          <w:rFonts w:ascii="仿宋" w:hAnsi="仿宋" w:eastAsia="仿宋" w:cs="仿宋"/>
          <w:kern w:val="0"/>
          <w:sz w:val="32"/>
          <w:lang w:val="zh-CN"/>
        </w:rPr>
        <w:t>退休人员</w:t>
      </w:r>
      <w:r>
        <w:rPr>
          <w:rFonts w:hint="eastAsia" w:ascii="仿宋" w:hAnsi="仿宋" w:eastAsia="仿宋" w:cs="仿宋"/>
          <w:kern w:val="0"/>
          <w:sz w:val="32"/>
        </w:rPr>
        <w:t>6</w:t>
      </w:r>
      <w:r>
        <w:rPr>
          <w:rFonts w:ascii="仿宋" w:hAnsi="仿宋" w:eastAsia="仿宋" w:cs="仿宋"/>
          <w:kern w:val="0"/>
          <w:sz w:val="32"/>
          <w:lang w:val="zh-CN"/>
        </w:rPr>
        <w:t>人，无临时聘用人员。</w:t>
      </w:r>
    </w:p>
    <w:p w14:paraId="223988AE">
      <w:pPr>
        <w:rPr>
          <w:rFonts w:ascii="黑体" w:hAnsi="黑体" w:eastAsia="黑体"/>
          <w:sz w:val="32"/>
          <w:szCs w:val="32"/>
        </w:rPr>
      </w:pPr>
      <w:r>
        <w:rPr>
          <w:rFonts w:hint="eastAsia" w:ascii="黑体" w:hAnsi="黑体" w:eastAsia="黑体"/>
          <w:sz w:val="32"/>
          <w:szCs w:val="32"/>
        </w:rPr>
        <w:t>二、部门资金收支情况</w:t>
      </w:r>
    </w:p>
    <w:p w14:paraId="0B90CE79">
      <w:pPr>
        <w:ind w:firstLine="643" w:firstLineChars="200"/>
        <w:rPr>
          <w:rFonts w:ascii="楷体_GB2312" w:eastAsia="楷体_GB2312"/>
          <w:b/>
          <w:sz w:val="32"/>
          <w:szCs w:val="32"/>
        </w:rPr>
      </w:pPr>
      <w:r>
        <w:rPr>
          <w:rFonts w:hint="eastAsia" w:ascii="楷体_GB2312" w:eastAsia="楷体_GB2312"/>
          <w:b/>
          <w:sz w:val="32"/>
          <w:szCs w:val="32"/>
        </w:rPr>
        <w:t>（一）收入情况。</w:t>
      </w:r>
    </w:p>
    <w:p w14:paraId="42B5C1C0">
      <w:pPr>
        <w:ind w:firstLine="640" w:firstLineChars="200"/>
        <w:rPr>
          <w:rFonts w:eastAsia="仿宋"/>
          <w:sz w:val="32"/>
          <w:szCs w:val="32"/>
        </w:rPr>
      </w:pPr>
      <w:r>
        <w:rPr>
          <w:rFonts w:eastAsia="仿宋"/>
          <w:kern w:val="0"/>
          <w:sz w:val="32"/>
          <w:szCs w:val="32"/>
          <w:shd w:val="clear" w:color="auto" w:fill="FFFFFF"/>
        </w:rPr>
        <w:t>2023年全年，</w:t>
      </w:r>
      <w:r>
        <w:rPr>
          <w:rFonts w:eastAsia="仿宋"/>
          <w:kern w:val="0"/>
          <w:sz w:val="32"/>
          <w:szCs w:val="32"/>
          <w:shd w:val="clear" w:color="auto" w:fill="FFFFFF"/>
          <w:lang w:val="zh-CN"/>
        </w:rPr>
        <w:t>本单位当年财政拨款</w:t>
      </w:r>
      <w:r>
        <w:rPr>
          <w:rFonts w:eastAsia="仿宋"/>
          <w:kern w:val="0"/>
          <w:sz w:val="32"/>
          <w:szCs w:val="32"/>
          <w:shd w:val="clear" w:color="auto" w:fill="FFFFFF"/>
        </w:rPr>
        <w:t>总</w:t>
      </w:r>
      <w:r>
        <w:rPr>
          <w:rFonts w:eastAsia="仿宋"/>
          <w:kern w:val="0"/>
          <w:sz w:val="32"/>
          <w:szCs w:val="32"/>
          <w:shd w:val="clear" w:color="auto" w:fill="FFFFFF"/>
          <w:lang w:val="zh-CN"/>
        </w:rPr>
        <w:t>收入</w:t>
      </w:r>
      <w:r>
        <w:rPr>
          <w:rFonts w:eastAsia="仿宋"/>
          <w:kern w:val="0"/>
          <w:sz w:val="32"/>
          <w:szCs w:val="32"/>
          <w:shd w:val="clear" w:color="auto" w:fill="FFFFFF"/>
        </w:rPr>
        <w:t>为2590706.05</w:t>
      </w:r>
      <w:r>
        <w:rPr>
          <w:rFonts w:eastAsia="仿宋"/>
          <w:kern w:val="0"/>
          <w:sz w:val="32"/>
          <w:szCs w:val="32"/>
          <w:shd w:val="clear" w:color="auto" w:fill="FFFFFF"/>
          <w:lang w:val="zh-CN"/>
        </w:rPr>
        <w:t>元、当年财政拨款</w:t>
      </w:r>
      <w:r>
        <w:rPr>
          <w:rFonts w:eastAsia="仿宋"/>
          <w:kern w:val="0"/>
          <w:sz w:val="32"/>
          <w:szCs w:val="32"/>
          <w:shd w:val="clear" w:color="auto" w:fill="FFFFFF"/>
        </w:rPr>
        <w:t>总</w:t>
      </w:r>
      <w:r>
        <w:rPr>
          <w:rFonts w:eastAsia="仿宋"/>
          <w:kern w:val="0"/>
          <w:sz w:val="32"/>
          <w:szCs w:val="32"/>
          <w:shd w:val="clear" w:color="auto" w:fill="FFFFFF"/>
          <w:lang w:val="zh-CN"/>
        </w:rPr>
        <w:t>支出</w:t>
      </w:r>
      <w:r>
        <w:rPr>
          <w:rFonts w:eastAsia="仿宋"/>
          <w:kern w:val="0"/>
          <w:sz w:val="32"/>
          <w:szCs w:val="32"/>
          <w:shd w:val="clear" w:color="auto" w:fill="FFFFFF"/>
        </w:rPr>
        <w:t>为2590706.05</w:t>
      </w:r>
      <w:r>
        <w:rPr>
          <w:rFonts w:eastAsia="仿宋"/>
          <w:kern w:val="0"/>
          <w:sz w:val="32"/>
          <w:szCs w:val="32"/>
          <w:shd w:val="clear" w:color="auto" w:fill="FFFFFF"/>
          <w:lang w:val="zh-CN"/>
        </w:rPr>
        <w:t>元，</w:t>
      </w:r>
      <w:r>
        <w:rPr>
          <w:rFonts w:eastAsia="仿宋"/>
          <w:kern w:val="0"/>
          <w:sz w:val="32"/>
          <w:szCs w:val="32"/>
          <w:shd w:val="clear" w:color="auto" w:fill="FFFFFF"/>
        </w:rPr>
        <w:t>年度无结转结余。</w:t>
      </w:r>
    </w:p>
    <w:p w14:paraId="342CEC60">
      <w:pPr>
        <w:numPr>
          <w:ilvl w:val="0"/>
          <w:numId w:val="6"/>
        </w:numPr>
        <w:snapToGrid w:val="0"/>
        <w:spacing w:line="560" w:lineRule="exact"/>
        <w:ind w:firstLine="643" w:firstLineChars="200"/>
        <w:rPr>
          <w:rFonts w:ascii="楷体_GB2312" w:eastAsia="楷体_GB2312"/>
          <w:b/>
          <w:sz w:val="32"/>
          <w:szCs w:val="32"/>
        </w:rPr>
      </w:pPr>
      <w:r>
        <w:rPr>
          <w:rFonts w:hint="eastAsia" w:ascii="楷体_GB2312" w:eastAsia="楷体_GB2312"/>
          <w:b/>
          <w:sz w:val="32"/>
          <w:szCs w:val="32"/>
        </w:rPr>
        <w:t>支出情况。</w:t>
      </w:r>
    </w:p>
    <w:p w14:paraId="58DE5D18">
      <w:pPr>
        <w:snapToGrid w:val="0"/>
        <w:spacing w:line="560" w:lineRule="exact"/>
        <w:ind w:firstLine="640" w:firstLineChars="200"/>
        <w:rPr>
          <w:rFonts w:eastAsia="仿宋"/>
          <w:kern w:val="0"/>
          <w:sz w:val="32"/>
          <w:szCs w:val="32"/>
          <w:shd w:val="clear" w:color="auto" w:fill="FFFFFF"/>
        </w:rPr>
      </w:pPr>
      <w:r>
        <w:rPr>
          <w:rFonts w:eastAsia="仿宋"/>
          <w:kern w:val="0"/>
          <w:sz w:val="32"/>
          <w:szCs w:val="32"/>
          <w:shd w:val="clear" w:color="auto" w:fill="FFFFFF"/>
        </w:rPr>
        <w:t>2023年全年，本单位当年财政拨款基本支出(收入数) 为：2301256.45元；当年财政拨款基本支出(支出数)为：2301256.45元。</w:t>
      </w:r>
    </w:p>
    <w:p w14:paraId="7E29464C">
      <w:pPr>
        <w:spacing w:line="560" w:lineRule="exact"/>
        <w:ind w:firstLine="640" w:firstLineChars="200"/>
        <w:rPr>
          <w:rFonts w:eastAsia="仿宋"/>
          <w:sz w:val="32"/>
          <w:szCs w:val="32"/>
        </w:rPr>
      </w:pPr>
      <w:r>
        <w:rPr>
          <w:rFonts w:eastAsia="仿宋"/>
          <w:kern w:val="0"/>
          <w:sz w:val="32"/>
          <w:szCs w:val="32"/>
          <w:shd w:val="clear" w:color="auto" w:fill="FFFFFF"/>
        </w:rPr>
        <w:t>2023年全年，本单位当年财政拨款项目支出(收入数) 为：289419.6元；当年财政拨款项目支出(支出数)为：289419.6元</w:t>
      </w:r>
    </w:p>
    <w:p w14:paraId="13B2AF5E">
      <w:pPr>
        <w:numPr>
          <w:ilvl w:val="0"/>
          <w:numId w:val="6"/>
        </w:numPr>
        <w:ind w:firstLine="643" w:firstLineChars="200"/>
        <w:rPr>
          <w:rFonts w:ascii="楷体_GB2312" w:eastAsia="楷体_GB2312"/>
          <w:b/>
          <w:sz w:val="32"/>
          <w:szCs w:val="32"/>
        </w:rPr>
      </w:pPr>
      <w:r>
        <w:rPr>
          <w:rFonts w:hint="eastAsia" w:ascii="楷体_GB2312" w:eastAsia="楷体_GB2312"/>
          <w:b/>
          <w:sz w:val="32"/>
          <w:szCs w:val="32"/>
        </w:rPr>
        <w:t>结余分配和结转结余情况。</w:t>
      </w:r>
    </w:p>
    <w:p w14:paraId="4EEC2ACE">
      <w:pPr>
        <w:spacing w:line="560" w:lineRule="exact"/>
        <w:ind w:firstLine="640" w:firstLineChars="200"/>
        <w:rPr>
          <w:rFonts w:ascii="仿宋_GB2312" w:eastAsia="仿宋_GB2312"/>
          <w:sz w:val="32"/>
          <w:szCs w:val="32"/>
        </w:rPr>
      </w:pPr>
      <w:r>
        <w:rPr>
          <w:rFonts w:hint="eastAsia" w:ascii="仿宋_GB2312" w:eastAsia="仿宋_GB2312"/>
          <w:sz w:val="32"/>
          <w:szCs w:val="32"/>
        </w:rPr>
        <w:t>盐边县社会保险事务中心2023年决算报表年末无结转结余。</w:t>
      </w:r>
    </w:p>
    <w:p w14:paraId="661A7704">
      <w:pPr>
        <w:rPr>
          <w:rFonts w:ascii="黑体" w:hAnsi="黑体" w:eastAsia="黑体"/>
          <w:sz w:val="32"/>
          <w:szCs w:val="32"/>
        </w:rPr>
      </w:pPr>
      <w:r>
        <w:rPr>
          <w:rFonts w:hint="eastAsia" w:ascii="黑体" w:hAnsi="黑体" w:eastAsia="黑体"/>
          <w:sz w:val="32"/>
          <w:szCs w:val="32"/>
        </w:rPr>
        <w:t>三、部门预算绩效分析</w:t>
      </w:r>
    </w:p>
    <w:p w14:paraId="52AE9C09">
      <w:pPr>
        <w:pStyle w:val="8"/>
        <w:spacing w:line="360" w:lineRule="auto"/>
        <w:ind w:firstLine="643" w:firstLineChars="200"/>
        <w:rPr>
          <w:rFonts w:ascii="楷体_GB2312" w:eastAsia="楷体_GB2312"/>
          <w:b/>
          <w:sz w:val="32"/>
          <w:szCs w:val="32"/>
        </w:rPr>
      </w:pPr>
      <w:r>
        <w:rPr>
          <w:rFonts w:hint="eastAsia" w:ascii="楷体_GB2312" w:eastAsia="楷体_GB2312"/>
          <w:b/>
          <w:sz w:val="32"/>
          <w:szCs w:val="32"/>
        </w:rPr>
        <w:t>（一）部门预算总体绩效分析。</w:t>
      </w:r>
    </w:p>
    <w:p w14:paraId="7976D67C">
      <w:pPr>
        <w:pStyle w:val="8"/>
        <w:spacing w:line="560" w:lineRule="exact"/>
        <w:ind w:firstLine="640" w:firstLineChars="200"/>
        <w:rPr>
          <w:rFonts w:ascii="Times New Roman" w:hAnsi="Times New Roman" w:eastAsia="仿宋"/>
          <w:sz w:val="32"/>
          <w:szCs w:val="32"/>
        </w:rPr>
      </w:pPr>
      <w:r>
        <w:rPr>
          <w:rFonts w:ascii="Times New Roman" w:hAnsi="Times New Roman" w:eastAsia="仿宋"/>
          <w:sz w:val="32"/>
          <w:szCs w:val="32"/>
        </w:rPr>
        <w:t>2023年度，本中心财政拨款收入项目预算总额累计为259.07万元，财政拨款项目支出累计达到259.07万元，项目支出无财政资金结转和结余，全部如期完成项目既定目标。</w:t>
      </w:r>
    </w:p>
    <w:p w14:paraId="5CFFDA8C">
      <w:pPr>
        <w:adjustRightInd w:val="0"/>
        <w:snapToGrid w:val="0"/>
        <w:spacing w:line="560" w:lineRule="exact"/>
        <w:ind w:firstLine="640" w:firstLineChars="200"/>
        <w:jc w:val="left"/>
        <w:rPr>
          <w:rFonts w:eastAsia="仿宋"/>
          <w:color w:val="000000"/>
          <w:kern w:val="0"/>
          <w:sz w:val="32"/>
          <w:szCs w:val="32"/>
          <w:shd w:val="clear" w:color="auto" w:fill="FFFFFF"/>
          <w:lang w:val="zh-CN"/>
        </w:rPr>
      </w:pPr>
      <w:r>
        <w:rPr>
          <w:rFonts w:hint="eastAsia" w:ascii="楷体_GB2312" w:hAnsi="楷体_GB2312" w:eastAsia="楷体_GB2312" w:cs="楷体_GB2312"/>
          <w:color w:val="000000"/>
          <w:kern w:val="0"/>
          <w:sz w:val="32"/>
          <w:szCs w:val="32"/>
          <w:shd w:val="clear" w:color="auto" w:fill="FFFFFF"/>
        </w:rPr>
        <w:t>1.</w:t>
      </w:r>
      <w:r>
        <w:rPr>
          <w:rFonts w:hint="eastAsia" w:ascii="楷体_GB2312" w:hAnsi="楷体_GB2312" w:eastAsia="楷体_GB2312" w:cs="楷体_GB2312"/>
          <w:color w:val="000000"/>
          <w:kern w:val="0"/>
          <w:sz w:val="32"/>
          <w:szCs w:val="32"/>
          <w:shd w:val="clear" w:color="auto" w:fill="FFFFFF"/>
          <w:lang w:val="zh-CN"/>
        </w:rPr>
        <w:t>履职</w:t>
      </w:r>
      <w:r>
        <w:rPr>
          <w:rFonts w:hint="eastAsia" w:ascii="楷体_GB2312" w:hAnsi="楷体_GB2312" w:eastAsia="楷体_GB2312" w:cs="楷体_GB2312"/>
          <w:color w:val="000000"/>
          <w:kern w:val="0"/>
          <w:sz w:val="32"/>
          <w:szCs w:val="32"/>
          <w:shd w:val="clear" w:color="auto" w:fill="FFFFFF"/>
        </w:rPr>
        <w:t>效能</w:t>
      </w:r>
      <w:r>
        <w:rPr>
          <w:rFonts w:hint="eastAsia" w:ascii="楷体_GB2312" w:hAnsi="楷体_GB2312" w:eastAsia="楷体_GB2312" w:cs="楷体_GB2312"/>
          <w:color w:val="000000"/>
          <w:kern w:val="0"/>
          <w:sz w:val="32"/>
          <w:szCs w:val="32"/>
          <w:shd w:val="clear" w:color="auto" w:fill="FFFFFF"/>
          <w:lang w:val="zh-CN"/>
        </w:rPr>
        <w:t>。</w:t>
      </w:r>
      <w:r>
        <w:rPr>
          <w:rFonts w:eastAsia="仿宋"/>
          <w:sz w:val="32"/>
          <w:szCs w:val="32"/>
        </w:rPr>
        <w:t>严格执行预算，及时申报人员经费支出，确保职工工资、住房公积金、社会保险缴费等足额发放、按时缴纳；严格按照资金用途申报、使用公用经费，2023年1-12月，基本支出预算已达全年支出预算的100%，基本支出无财政资金结转和结余，全部如期完成基本支出既定目标。</w:t>
      </w:r>
    </w:p>
    <w:p w14:paraId="6EBA3EE8">
      <w:pPr>
        <w:adjustRightInd w:val="0"/>
        <w:snapToGrid w:val="0"/>
        <w:spacing w:line="560" w:lineRule="exact"/>
        <w:ind w:firstLine="640" w:firstLineChars="200"/>
        <w:jc w:val="left"/>
        <w:rPr>
          <w:rFonts w:eastAsia="仿宋"/>
          <w:color w:val="000000"/>
          <w:kern w:val="0"/>
          <w:sz w:val="32"/>
          <w:szCs w:val="32"/>
          <w:shd w:val="clear" w:color="auto" w:fill="FFFFFF"/>
          <w:lang w:val="zh-CN"/>
        </w:rPr>
      </w:pPr>
      <w:r>
        <w:rPr>
          <w:rFonts w:ascii="楷体_GB2312" w:hAnsi="楷体_GB2312" w:eastAsia="楷体_GB2312" w:cs="楷体_GB2312"/>
          <w:color w:val="000000"/>
          <w:kern w:val="0"/>
          <w:sz w:val="32"/>
          <w:szCs w:val="32"/>
          <w:shd w:val="clear" w:color="auto" w:fill="FFFFFF"/>
        </w:rPr>
        <w:t>2.</w:t>
      </w:r>
      <w:r>
        <w:rPr>
          <w:rFonts w:ascii="楷体_GB2312" w:hAnsi="楷体_GB2312" w:eastAsia="楷体_GB2312" w:cs="楷体_GB2312"/>
          <w:color w:val="000000"/>
          <w:kern w:val="0"/>
          <w:sz w:val="32"/>
          <w:szCs w:val="32"/>
          <w:shd w:val="clear" w:color="auto" w:fill="FFFFFF"/>
          <w:lang w:val="zh-CN"/>
        </w:rPr>
        <w:t>预算管理。</w:t>
      </w:r>
      <w:r>
        <w:rPr>
          <w:rFonts w:eastAsia="仿宋"/>
          <w:sz w:val="32"/>
          <w:szCs w:val="32"/>
        </w:rPr>
        <w:t>2023年1-12月，基本支出预算已达全年支出预算的100%，基本支出无财政资金结转和结余，全部如期完成基本支出既定目标</w:t>
      </w:r>
      <w:r>
        <w:rPr>
          <w:rFonts w:eastAsia="仿宋"/>
          <w:sz w:val="32"/>
          <w:szCs w:val="32"/>
          <w:lang w:val="zh-CN"/>
        </w:rPr>
        <w:t>。</w:t>
      </w:r>
      <w:r>
        <w:rPr>
          <w:rFonts w:eastAsia="仿宋"/>
          <w:sz w:val="32"/>
          <w:szCs w:val="32"/>
        </w:rPr>
        <w:t>从成本、数量、时效、持续性等指标分析来看，我中心实现了年初预设的支出绩效目标，年末，全年总体绩效目标顺利实现。2023年1-12月，本中心预算绩效目标未出现偏差</w:t>
      </w:r>
      <w:r>
        <w:rPr>
          <w:rFonts w:eastAsia="仿宋"/>
          <w:color w:val="000000"/>
          <w:sz w:val="32"/>
          <w:szCs w:val="32"/>
        </w:rPr>
        <w:t>和违规记录</w:t>
      </w:r>
      <w:r>
        <w:rPr>
          <w:rFonts w:eastAsia="仿宋"/>
          <w:sz w:val="32"/>
          <w:szCs w:val="32"/>
        </w:rPr>
        <w:t>。</w:t>
      </w:r>
    </w:p>
    <w:p w14:paraId="78FBEEBB">
      <w:pPr>
        <w:adjustRightInd w:val="0"/>
        <w:snapToGrid w:val="0"/>
        <w:spacing w:line="560" w:lineRule="exact"/>
        <w:ind w:firstLine="640" w:firstLineChars="200"/>
        <w:jc w:val="left"/>
        <w:rPr>
          <w:rFonts w:eastAsia="仿宋"/>
          <w:color w:val="000000"/>
          <w:kern w:val="0"/>
          <w:sz w:val="32"/>
          <w:szCs w:val="32"/>
          <w:shd w:val="clear" w:color="auto" w:fill="FFFFFF"/>
          <w:lang w:val="zh-CN"/>
        </w:rPr>
      </w:pPr>
      <w:r>
        <w:rPr>
          <w:rFonts w:ascii="楷体_GB2312" w:hAnsi="楷体_GB2312" w:eastAsia="楷体_GB2312" w:cs="楷体_GB2312"/>
          <w:color w:val="000000"/>
          <w:kern w:val="0"/>
          <w:sz w:val="32"/>
          <w:szCs w:val="32"/>
          <w:shd w:val="clear" w:color="auto" w:fill="FFFFFF"/>
        </w:rPr>
        <w:t>3.</w:t>
      </w:r>
      <w:r>
        <w:rPr>
          <w:rFonts w:ascii="楷体_GB2312" w:hAnsi="楷体_GB2312" w:eastAsia="楷体_GB2312" w:cs="楷体_GB2312"/>
          <w:color w:val="000000"/>
          <w:kern w:val="0"/>
          <w:sz w:val="32"/>
          <w:szCs w:val="32"/>
          <w:shd w:val="clear" w:color="auto" w:fill="FFFFFF"/>
          <w:lang w:val="zh-CN"/>
        </w:rPr>
        <w:t>财务管理。</w:t>
      </w:r>
      <w:r>
        <w:rPr>
          <w:rFonts w:eastAsia="仿宋"/>
          <w:kern w:val="0"/>
          <w:sz w:val="32"/>
          <w:szCs w:val="32"/>
        </w:rPr>
        <w:t>我中心严格执行《行政事业单位财务管理制度》等财务管理制度，权限管理规范，内控较为严谨，账务处理及时，会计核算规范，该笔项目资金从申报到支付，均严格遵守资金使用流程，专款专用，依法依规进行全流程、精细化管理，确保资金安全。</w:t>
      </w:r>
    </w:p>
    <w:p w14:paraId="4DD6A993">
      <w:pPr>
        <w:autoSpaceDE w:val="0"/>
        <w:autoSpaceDN w:val="0"/>
        <w:adjustRightInd w:val="0"/>
        <w:spacing w:line="560" w:lineRule="exact"/>
        <w:ind w:firstLine="640" w:firstLineChars="200"/>
        <w:jc w:val="left"/>
        <w:rPr>
          <w:rFonts w:eastAsia="仿宋"/>
          <w:color w:val="000000"/>
          <w:kern w:val="0"/>
          <w:sz w:val="32"/>
          <w:szCs w:val="32"/>
          <w:shd w:val="clear" w:color="auto" w:fill="FFFFFF"/>
          <w:lang w:val="zh-CN"/>
        </w:rPr>
      </w:pPr>
      <w:r>
        <w:rPr>
          <w:rFonts w:ascii="楷体_GB2312" w:hAnsi="楷体_GB2312" w:eastAsia="楷体_GB2312" w:cs="楷体_GB2312"/>
          <w:color w:val="000000"/>
          <w:kern w:val="0"/>
          <w:sz w:val="32"/>
          <w:szCs w:val="32"/>
          <w:shd w:val="clear" w:color="auto" w:fill="FFFFFF"/>
        </w:rPr>
        <w:t>4.</w:t>
      </w:r>
      <w:r>
        <w:rPr>
          <w:rFonts w:ascii="楷体_GB2312" w:hAnsi="楷体_GB2312" w:eastAsia="楷体_GB2312" w:cs="楷体_GB2312"/>
          <w:color w:val="000000"/>
          <w:kern w:val="0"/>
          <w:sz w:val="32"/>
          <w:szCs w:val="32"/>
          <w:shd w:val="clear" w:color="auto" w:fill="FFFFFF"/>
          <w:lang w:val="zh-CN"/>
        </w:rPr>
        <w:t>资产管理</w:t>
      </w:r>
      <w:r>
        <w:rPr>
          <w:rFonts w:eastAsia="仿宋"/>
          <w:color w:val="000000"/>
          <w:kern w:val="0"/>
          <w:sz w:val="32"/>
          <w:szCs w:val="32"/>
          <w:shd w:val="clear" w:color="auto" w:fill="FFFFFF"/>
          <w:lang w:val="zh-CN"/>
        </w:rPr>
        <w:t>。</w:t>
      </w:r>
      <w:r>
        <w:rPr>
          <w:rFonts w:eastAsia="仿宋"/>
          <w:sz w:val="32"/>
          <w:szCs w:val="32"/>
        </w:rPr>
        <w:t>截至2023年12月31日，我中心未保留公务用车。单价50万元以上通用设备0台（套），单价100万元以上专用设备0台（套）。</w:t>
      </w:r>
    </w:p>
    <w:p w14:paraId="4025C63F">
      <w:pPr>
        <w:spacing w:line="560" w:lineRule="exact"/>
        <w:ind w:firstLine="640" w:firstLineChars="200"/>
        <w:rPr>
          <w:rFonts w:eastAsia="仿宋"/>
          <w:color w:val="000000"/>
          <w:kern w:val="0"/>
          <w:sz w:val="32"/>
          <w:szCs w:val="32"/>
          <w:shd w:val="clear" w:color="auto" w:fill="FFFFFF"/>
          <w:lang w:val="zh-CN"/>
        </w:rPr>
      </w:pPr>
      <w:r>
        <w:rPr>
          <w:rFonts w:ascii="楷体_GB2312" w:hAnsi="楷体_GB2312" w:eastAsia="楷体_GB2312" w:cs="楷体_GB2312"/>
          <w:color w:val="000000"/>
          <w:kern w:val="0"/>
          <w:sz w:val="32"/>
          <w:szCs w:val="32"/>
          <w:shd w:val="clear" w:color="auto" w:fill="FFFFFF"/>
          <w:lang w:val="zh-CN"/>
        </w:rPr>
        <w:t>5.采购管理。</w:t>
      </w:r>
      <w:r>
        <w:rPr>
          <w:rFonts w:eastAsia="仿宋"/>
          <w:sz w:val="32"/>
          <w:szCs w:val="32"/>
        </w:rPr>
        <w:t>2023年度，盐边县社会保险事务中心政府采购支出总额</w:t>
      </w:r>
      <w:r>
        <w:rPr>
          <w:rFonts w:eastAsia="仿宋"/>
          <w:b/>
          <w:sz w:val="32"/>
          <w:szCs w:val="32"/>
        </w:rPr>
        <w:t>0</w:t>
      </w:r>
      <w:r>
        <w:rPr>
          <w:rFonts w:eastAsia="仿宋"/>
          <w:sz w:val="32"/>
          <w:szCs w:val="32"/>
        </w:rPr>
        <w:t>万元，其中：政府采购货物支出</w:t>
      </w:r>
      <w:r>
        <w:rPr>
          <w:rFonts w:eastAsia="仿宋"/>
          <w:b/>
          <w:sz w:val="32"/>
          <w:szCs w:val="32"/>
        </w:rPr>
        <w:t>0</w:t>
      </w:r>
      <w:r>
        <w:rPr>
          <w:rFonts w:eastAsia="仿宋"/>
          <w:sz w:val="32"/>
          <w:szCs w:val="32"/>
        </w:rPr>
        <w:t>万元。0授予中小企业合同金额</w:t>
      </w:r>
      <w:r>
        <w:rPr>
          <w:rFonts w:eastAsia="仿宋"/>
          <w:b/>
          <w:sz w:val="32"/>
          <w:szCs w:val="32"/>
        </w:rPr>
        <w:t>0</w:t>
      </w:r>
      <w:r>
        <w:rPr>
          <w:rFonts w:eastAsia="仿宋"/>
          <w:sz w:val="32"/>
          <w:szCs w:val="32"/>
        </w:rPr>
        <w:t>万元0。</w:t>
      </w:r>
    </w:p>
    <w:p w14:paraId="38D994A9">
      <w:pPr>
        <w:ind w:firstLine="643" w:firstLineChars="200"/>
        <w:rPr>
          <w:rFonts w:eastAsia="仿宋_GB2312"/>
          <w:sz w:val="32"/>
          <w:szCs w:val="32"/>
          <w:lang w:val="zh-CN"/>
        </w:rPr>
      </w:pPr>
      <w:r>
        <w:rPr>
          <w:rFonts w:hint="eastAsia" w:ascii="楷体_GB2312" w:eastAsia="楷体_GB2312"/>
          <w:b/>
          <w:sz w:val="32"/>
          <w:szCs w:val="32"/>
        </w:rPr>
        <w:t>（二）部门预算项目绩效分析。</w:t>
      </w:r>
    </w:p>
    <w:p w14:paraId="79B0D729">
      <w:pPr>
        <w:spacing w:line="560" w:lineRule="exact"/>
        <w:ind w:firstLine="640" w:firstLineChars="200"/>
        <w:rPr>
          <w:rFonts w:eastAsia="仿宋"/>
          <w:sz w:val="32"/>
          <w:szCs w:val="32"/>
          <w:lang w:val="zh-CN"/>
        </w:rPr>
      </w:pPr>
      <w:r>
        <w:rPr>
          <w:rFonts w:eastAsia="仿宋"/>
          <w:sz w:val="32"/>
          <w:szCs w:val="32"/>
          <w:lang w:val="zh-CN"/>
        </w:rPr>
        <w:t>常年项目绩效分析。该类项目总数</w:t>
      </w:r>
      <w:r>
        <w:rPr>
          <w:rFonts w:eastAsia="仿宋"/>
          <w:sz w:val="32"/>
          <w:szCs w:val="32"/>
        </w:rPr>
        <w:t>1</w:t>
      </w:r>
      <w:r>
        <w:rPr>
          <w:rFonts w:eastAsia="仿宋"/>
          <w:sz w:val="32"/>
          <w:szCs w:val="32"/>
          <w:lang w:val="zh-CN"/>
        </w:rPr>
        <w:t>个，涉及预算总金额</w:t>
      </w:r>
      <w:r>
        <w:rPr>
          <w:rFonts w:eastAsia="仿宋"/>
          <w:sz w:val="32"/>
          <w:szCs w:val="32"/>
        </w:rPr>
        <w:t>259.07</w:t>
      </w:r>
      <w:r>
        <w:rPr>
          <w:rFonts w:eastAsia="仿宋"/>
          <w:sz w:val="32"/>
          <w:szCs w:val="32"/>
          <w:lang w:val="zh-CN"/>
        </w:rPr>
        <w:t>万元，1—12月预算执行总体进度为</w:t>
      </w:r>
      <w:r>
        <w:rPr>
          <w:rFonts w:eastAsia="仿宋"/>
          <w:sz w:val="32"/>
          <w:szCs w:val="32"/>
        </w:rPr>
        <w:t>100</w:t>
      </w:r>
      <w:r>
        <w:rPr>
          <w:rFonts w:eastAsia="仿宋"/>
          <w:sz w:val="32"/>
          <w:szCs w:val="32"/>
          <w:lang w:val="zh-CN"/>
        </w:rPr>
        <w:t>%。</w:t>
      </w:r>
    </w:p>
    <w:p w14:paraId="1171DDF4">
      <w:pPr>
        <w:spacing w:line="560" w:lineRule="exact"/>
        <w:ind w:firstLine="640" w:firstLineChars="200"/>
        <w:rPr>
          <w:rFonts w:eastAsia="仿宋"/>
          <w:sz w:val="32"/>
          <w:szCs w:val="32"/>
          <w:lang w:val="zh-CN"/>
        </w:rPr>
      </w:pPr>
      <w:r>
        <w:rPr>
          <w:rFonts w:eastAsia="仿宋"/>
          <w:sz w:val="32"/>
          <w:szCs w:val="32"/>
          <w:lang w:val="zh-CN"/>
        </w:rPr>
        <w:t>阶段（一次性）项目绩效分析。该类项目总数</w:t>
      </w:r>
      <w:r>
        <w:rPr>
          <w:rFonts w:eastAsia="仿宋"/>
          <w:sz w:val="32"/>
          <w:szCs w:val="32"/>
        </w:rPr>
        <w:t>0</w:t>
      </w:r>
      <w:r>
        <w:rPr>
          <w:rFonts w:eastAsia="仿宋"/>
          <w:sz w:val="32"/>
          <w:szCs w:val="32"/>
          <w:lang w:val="zh-CN"/>
        </w:rPr>
        <w:t>个。</w:t>
      </w:r>
    </w:p>
    <w:p w14:paraId="57771CAF">
      <w:pPr>
        <w:spacing w:line="560" w:lineRule="exact"/>
        <w:ind w:firstLine="640" w:firstLineChars="200"/>
        <w:rPr>
          <w:rFonts w:ascii="仿宋" w:hAnsi="仿宋" w:eastAsia="仿宋" w:cs="仿宋"/>
          <w:sz w:val="32"/>
          <w:szCs w:val="32"/>
          <w:lang w:val="zh-CN"/>
        </w:rPr>
      </w:pPr>
      <w:r>
        <w:rPr>
          <w:rFonts w:hint="eastAsia" w:ascii="楷体_GB2312" w:hAnsi="楷体_GB2312" w:eastAsia="楷体_GB2312" w:cs="楷体_GB2312"/>
          <w:color w:val="000000"/>
          <w:kern w:val="0"/>
          <w:sz w:val="32"/>
          <w:szCs w:val="32"/>
          <w:shd w:val="clear" w:color="auto" w:fill="FFFFFF"/>
        </w:rPr>
        <w:t>1.项目决策。</w:t>
      </w:r>
      <w:r>
        <w:rPr>
          <w:rFonts w:hint="eastAsia" w:ascii="仿宋" w:hAnsi="仿宋" w:eastAsia="仿宋" w:cs="仿宋"/>
          <w:sz w:val="32"/>
          <w:szCs w:val="32"/>
          <w:lang w:val="zh-CN"/>
        </w:rPr>
        <w:t>围绕决策程序、目标设置、项目入库进行绩效分析。</w:t>
      </w:r>
    </w:p>
    <w:p w14:paraId="6A92BDD8">
      <w:pPr>
        <w:spacing w:line="560" w:lineRule="exact"/>
        <w:ind w:firstLine="640" w:firstLineChars="200"/>
        <w:rPr>
          <w:rFonts w:ascii="仿宋" w:hAnsi="仿宋" w:eastAsia="仿宋" w:cs="仿宋"/>
          <w:sz w:val="32"/>
          <w:szCs w:val="32"/>
          <w:lang w:val="zh-CN"/>
        </w:rPr>
      </w:pPr>
      <w:r>
        <w:rPr>
          <w:rFonts w:hint="eastAsia" w:ascii="楷体_GB2312" w:hAnsi="楷体_GB2312" w:eastAsia="楷体_GB2312" w:cs="楷体_GB2312"/>
          <w:color w:val="000000"/>
          <w:kern w:val="0"/>
          <w:sz w:val="32"/>
          <w:szCs w:val="32"/>
          <w:shd w:val="clear" w:color="auto" w:fill="FFFFFF"/>
        </w:rPr>
        <w:t>2.项目执行。</w:t>
      </w:r>
      <w:r>
        <w:rPr>
          <w:rFonts w:hint="eastAsia" w:ascii="仿宋" w:hAnsi="仿宋" w:eastAsia="仿宋" w:cs="仿宋"/>
          <w:sz w:val="32"/>
          <w:szCs w:val="32"/>
          <w:lang w:val="zh-CN"/>
        </w:rPr>
        <w:t>围绕资金执行同向、项目调整、执行结果进行绩效分析。</w:t>
      </w:r>
    </w:p>
    <w:p w14:paraId="0C56F7C7">
      <w:pPr>
        <w:autoSpaceDE w:val="0"/>
        <w:autoSpaceDN w:val="0"/>
        <w:adjustRightInd w:val="0"/>
        <w:spacing w:line="560" w:lineRule="exact"/>
        <w:ind w:firstLine="640" w:firstLineChars="200"/>
        <w:jc w:val="left"/>
        <w:rPr>
          <w:rFonts w:eastAsia="仿宋"/>
          <w:kern w:val="0"/>
          <w:sz w:val="32"/>
          <w:szCs w:val="32"/>
        </w:rPr>
      </w:pPr>
      <w:r>
        <w:rPr>
          <w:rFonts w:hint="eastAsia" w:ascii="楷体_GB2312" w:hAnsi="楷体_GB2312" w:eastAsia="楷体_GB2312" w:cs="楷体_GB2312"/>
          <w:color w:val="000000"/>
          <w:kern w:val="0"/>
          <w:sz w:val="32"/>
          <w:szCs w:val="32"/>
          <w:shd w:val="clear" w:color="auto" w:fill="FFFFFF"/>
        </w:rPr>
        <w:t>3.目标实现。</w:t>
      </w:r>
      <w:r>
        <w:rPr>
          <w:rFonts w:eastAsia="仿宋"/>
          <w:kern w:val="0"/>
          <w:sz w:val="32"/>
          <w:szCs w:val="32"/>
        </w:rPr>
        <w:t>该项目当年预拨次年结算，依据攀枝花市社会保险事务中心核定的缴费人数，我中心及时足额将该项目资金全额划转至指定专户，由市社会保险事务中心进行个人账户权益分配。确保补贴政策落实到人，个人账户权益记录到位。项目应实现的具体绩效目标：核实参保人数，依法依</w:t>
      </w:r>
      <w:r>
        <w:rPr>
          <w:rFonts w:hint="eastAsia" w:eastAsia="仿宋"/>
          <w:kern w:val="0"/>
          <w:sz w:val="32"/>
          <w:szCs w:val="32"/>
          <w:lang w:val="en-US" w:eastAsia="zh-CN"/>
        </w:rPr>
        <w:t>规</w:t>
      </w:r>
      <w:r>
        <w:rPr>
          <w:rFonts w:eastAsia="仿宋"/>
          <w:kern w:val="0"/>
          <w:sz w:val="32"/>
          <w:szCs w:val="32"/>
        </w:rPr>
        <w:t>依政策，严格使用配套资金记录个人权益，按照《攀枝花市城乡居民基本养老保险实施办法》（攀办发〔2014〕48号）确定的补助办法和补助比例，2023年省级财政困难群众社会保险个人缴费代缴资金共计25.95万元。2023年4月，收到县级批复第一批代缴资金14万元，2023年6月收到第二批代缴资金11.95万元，我中心于收到资金当月内，通过财政大平台，依据资金使用申报流程，申报该项目支出的用款计划，并将该笔资金以直接支付方式全额划转至攀枝花市社会保险事务中心指定专用存款账户。</w:t>
      </w:r>
    </w:p>
    <w:p w14:paraId="0AF15F63">
      <w:pPr>
        <w:ind w:firstLine="643" w:firstLineChars="200"/>
        <w:rPr>
          <w:rFonts w:ascii="楷体_GB2312" w:eastAsia="楷体_GB2312"/>
          <w:b/>
          <w:sz w:val="32"/>
          <w:szCs w:val="32"/>
        </w:rPr>
      </w:pPr>
      <w:r>
        <w:rPr>
          <w:rFonts w:hint="eastAsia" w:ascii="楷体_GB2312" w:eastAsia="楷体_GB2312"/>
          <w:b/>
          <w:sz w:val="32"/>
          <w:szCs w:val="32"/>
        </w:rPr>
        <w:t>（三）重点领域绩效分析。</w:t>
      </w:r>
    </w:p>
    <w:p w14:paraId="3DE4F1B0">
      <w:pPr>
        <w:spacing w:line="560" w:lineRule="exact"/>
        <w:ind w:firstLine="640" w:firstLineChars="200"/>
        <w:rPr>
          <w:rFonts w:eastAsia="仿宋_GB2312"/>
          <w:sz w:val="32"/>
          <w:szCs w:val="32"/>
          <w:lang w:val="zh-CN"/>
        </w:rPr>
      </w:pPr>
      <w:r>
        <w:rPr>
          <w:rFonts w:hint="eastAsia" w:eastAsia="仿宋_GB2312"/>
          <w:sz w:val="32"/>
          <w:szCs w:val="32"/>
          <w:lang w:val="zh-CN"/>
        </w:rPr>
        <w:t>我部门2023年度未涉及重点领域项目。</w:t>
      </w:r>
    </w:p>
    <w:p w14:paraId="111D41F7">
      <w:pPr>
        <w:widowControl/>
        <w:numPr>
          <w:ilvl w:val="0"/>
          <w:numId w:val="6"/>
        </w:numPr>
        <w:spacing w:line="560" w:lineRule="exact"/>
        <w:ind w:firstLine="643" w:firstLineChars="200"/>
        <w:rPr>
          <w:rFonts w:ascii="楷体_GB2312" w:eastAsia="楷体_GB2312"/>
          <w:b/>
          <w:sz w:val="32"/>
          <w:szCs w:val="32"/>
        </w:rPr>
      </w:pPr>
      <w:r>
        <w:rPr>
          <w:rFonts w:hint="eastAsia" w:ascii="楷体_GB2312" w:eastAsia="楷体_GB2312"/>
          <w:b/>
          <w:sz w:val="32"/>
          <w:szCs w:val="32"/>
        </w:rPr>
        <w:t>绩效结果应用情况。</w:t>
      </w:r>
    </w:p>
    <w:p w14:paraId="0D140A75">
      <w:pPr>
        <w:widowControl/>
        <w:spacing w:line="560" w:lineRule="exact"/>
        <w:rPr>
          <w:rFonts w:eastAsia="仿宋_GB2312"/>
          <w:sz w:val="32"/>
          <w:szCs w:val="32"/>
          <w:lang w:val="zh-CN"/>
        </w:rPr>
      </w:pPr>
      <w:r>
        <w:rPr>
          <w:rFonts w:hint="eastAsia" w:eastAsia="仿宋_GB2312"/>
          <w:kern w:val="0"/>
          <w:sz w:val="32"/>
          <w:szCs w:val="32"/>
          <w:shd w:val="clear" w:color="auto" w:fill="FFFFFF"/>
        </w:rPr>
        <w:t>本中心严格开展绩效监控评价工作，</w:t>
      </w:r>
      <w:r>
        <w:rPr>
          <w:rFonts w:eastAsia="仿宋_GB2312"/>
          <w:kern w:val="0"/>
          <w:sz w:val="32"/>
          <w:szCs w:val="32"/>
          <w:shd w:val="clear" w:color="auto" w:fill="FFFFFF"/>
          <w:lang w:val="zh-CN"/>
        </w:rPr>
        <w:t>安排项目实施、运行、财务相关人员，落实项目实施运行及资金使用情况，及时报送绩效自评相关材料。进一步加强制度建设，提升自评质量，预算绩效管理取得新成效。抓好绩效目标编制，加强过程监控，深入开展财政支出绩效评价，强化评价结果应用，组织绩效自评和绩效跟踪监控，对发现的问题及时反馈并要求改进加强评价结果与项目资金安排的衔接。强化日常监管，确保资金使用效益。</w:t>
      </w:r>
    </w:p>
    <w:p w14:paraId="3C40F54A">
      <w:pPr>
        <w:ind w:firstLine="640" w:firstLineChars="200"/>
        <w:rPr>
          <w:rFonts w:ascii="黑体" w:hAnsi="黑体" w:eastAsia="黑体"/>
          <w:sz w:val="32"/>
          <w:szCs w:val="32"/>
        </w:rPr>
      </w:pPr>
      <w:r>
        <w:rPr>
          <w:rFonts w:hint="eastAsia" w:ascii="黑体" w:hAnsi="黑体" w:eastAsia="黑体"/>
          <w:sz w:val="32"/>
          <w:szCs w:val="32"/>
        </w:rPr>
        <w:t>四、评价结论及建议</w:t>
      </w:r>
    </w:p>
    <w:p w14:paraId="1F86211E">
      <w:pPr>
        <w:widowControl/>
        <w:spacing w:line="560" w:lineRule="exact"/>
        <w:ind w:firstLine="643" w:firstLineChars="200"/>
        <w:rPr>
          <w:rFonts w:ascii="楷体_GB2312" w:eastAsia="楷体_GB2312"/>
          <w:b/>
          <w:sz w:val="32"/>
          <w:szCs w:val="32"/>
        </w:rPr>
      </w:pPr>
      <w:r>
        <w:rPr>
          <w:rFonts w:hint="eastAsia" w:ascii="楷体_GB2312" w:eastAsia="楷体_GB2312"/>
          <w:b/>
          <w:sz w:val="32"/>
          <w:szCs w:val="32"/>
        </w:rPr>
        <w:t>（一）评价结论。</w:t>
      </w:r>
    </w:p>
    <w:p w14:paraId="578FAD41">
      <w:pPr>
        <w:widowControl/>
        <w:spacing w:line="560" w:lineRule="exact"/>
        <w:ind w:firstLine="640" w:firstLineChars="200"/>
        <w:rPr>
          <w:rFonts w:eastAsia="仿宋"/>
          <w:kern w:val="0"/>
          <w:sz w:val="32"/>
          <w:szCs w:val="32"/>
          <w:shd w:val="clear" w:color="auto" w:fill="FFFFFF"/>
          <w:lang w:val="zh-CN"/>
        </w:rPr>
      </w:pPr>
      <w:r>
        <w:rPr>
          <w:rFonts w:eastAsia="仿宋"/>
          <w:kern w:val="0"/>
          <w:sz w:val="32"/>
          <w:szCs w:val="32"/>
          <w:shd w:val="clear" w:color="auto" w:fill="FFFFFF"/>
          <w:lang w:val="zh-CN"/>
        </w:rPr>
        <w:t>20</w:t>
      </w:r>
      <w:r>
        <w:rPr>
          <w:rFonts w:eastAsia="仿宋"/>
          <w:kern w:val="0"/>
          <w:sz w:val="32"/>
          <w:szCs w:val="32"/>
          <w:shd w:val="clear" w:color="auto" w:fill="FFFFFF"/>
        </w:rPr>
        <w:t>23</w:t>
      </w:r>
      <w:r>
        <w:rPr>
          <w:rFonts w:eastAsia="仿宋"/>
          <w:kern w:val="0"/>
          <w:sz w:val="32"/>
          <w:szCs w:val="32"/>
          <w:shd w:val="clear" w:color="auto" w:fill="FFFFFF"/>
          <w:lang w:val="zh-CN"/>
        </w:rPr>
        <w:t>年，盐边县</w:t>
      </w:r>
      <w:r>
        <w:rPr>
          <w:rFonts w:hint="eastAsia" w:eastAsia="仿宋"/>
          <w:kern w:val="0"/>
          <w:sz w:val="32"/>
          <w:szCs w:val="32"/>
          <w:shd w:val="clear" w:color="auto" w:fill="FFFFFF"/>
          <w:lang w:val="zh-CN"/>
        </w:rPr>
        <w:t>社会保险事务中心</w:t>
      </w:r>
      <w:r>
        <w:rPr>
          <w:rFonts w:eastAsia="仿宋"/>
          <w:kern w:val="0"/>
          <w:sz w:val="32"/>
          <w:szCs w:val="32"/>
          <w:shd w:val="clear" w:color="auto" w:fill="FFFFFF"/>
          <w:lang w:val="zh-CN"/>
        </w:rPr>
        <w:t>中心根据人员情况及业务开展需要，逐项做出预算计划，预算合理、不留缺口、不留空项，在资金使用和管理方面，进一步强化资金统筹，优化资金结构，明确开支范围，细化资金用途，确保部门职责任务顺利完成。全年支出保证了部门的正常运行和专项工作的正常开展，达到预期绩效目标，总体较为满意。自评得分</w:t>
      </w:r>
      <w:r>
        <w:rPr>
          <w:rFonts w:eastAsia="仿宋"/>
          <w:kern w:val="0"/>
          <w:sz w:val="32"/>
          <w:szCs w:val="32"/>
          <w:shd w:val="clear" w:color="auto" w:fill="FFFFFF"/>
        </w:rPr>
        <w:t>98分。</w:t>
      </w:r>
    </w:p>
    <w:p w14:paraId="6F267E9B">
      <w:pPr>
        <w:widowControl/>
        <w:numPr>
          <w:ilvl w:val="0"/>
          <w:numId w:val="7"/>
        </w:numPr>
        <w:spacing w:line="560" w:lineRule="exact"/>
        <w:ind w:firstLine="643" w:firstLineChars="200"/>
        <w:rPr>
          <w:rFonts w:ascii="楷体_GB2312" w:eastAsia="楷体_GB2312"/>
          <w:b/>
          <w:sz w:val="32"/>
          <w:szCs w:val="32"/>
        </w:rPr>
      </w:pPr>
      <w:r>
        <w:rPr>
          <w:rFonts w:hint="eastAsia" w:ascii="楷体_GB2312" w:eastAsia="楷体_GB2312"/>
          <w:b/>
          <w:sz w:val="32"/>
          <w:szCs w:val="32"/>
        </w:rPr>
        <w:t>存在问题。</w:t>
      </w:r>
    </w:p>
    <w:p w14:paraId="19481335">
      <w:pPr>
        <w:widowControl/>
        <w:spacing w:line="560" w:lineRule="exact"/>
        <w:ind w:firstLine="640" w:firstLineChars="200"/>
        <w:rPr>
          <w:rFonts w:ascii="仿宋" w:hAnsi="仿宋" w:eastAsia="仿宋" w:cs="仿宋"/>
          <w:sz w:val="32"/>
          <w:szCs w:val="32"/>
          <w:lang w:val="zh-CN"/>
        </w:rPr>
      </w:pPr>
      <w:r>
        <w:rPr>
          <w:rFonts w:hint="eastAsia" w:ascii="仿宋" w:hAnsi="仿宋" w:eastAsia="仿宋" w:cs="仿宋"/>
          <w:kern w:val="0"/>
          <w:sz w:val="32"/>
          <w:szCs w:val="32"/>
          <w:shd w:val="clear" w:color="auto" w:fill="FFFFFF"/>
        </w:rPr>
        <w:t>评价周期不合理。评价周期过长，导致有些短期的绩效问题无法被及时发现和解决；单位绩效评价体系还不够完善绩效评价能力还有待加强。</w:t>
      </w:r>
    </w:p>
    <w:p w14:paraId="62135DC2">
      <w:pPr>
        <w:numPr>
          <w:ilvl w:val="0"/>
          <w:numId w:val="7"/>
        </w:numPr>
        <w:ind w:firstLine="643" w:firstLineChars="200"/>
        <w:rPr>
          <w:rFonts w:ascii="楷体_GB2312" w:eastAsia="楷体_GB2312"/>
          <w:b/>
          <w:sz w:val="32"/>
          <w:szCs w:val="32"/>
        </w:rPr>
      </w:pPr>
      <w:r>
        <w:rPr>
          <w:rFonts w:hint="eastAsia" w:ascii="楷体_GB2312" w:eastAsia="楷体_GB2312"/>
          <w:b/>
          <w:sz w:val="32"/>
          <w:szCs w:val="32"/>
        </w:rPr>
        <w:t>改进建议。</w:t>
      </w:r>
    </w:p>
    <w:p w14:paraId="5F3536AF">
      <w:pPr>
        <w:spacing w:line="560" w:lineRule="exact"/>
        <w:ind w:firstLine="640" w:firstLineChars="200"/>
        <w:rPr>
          <w:rFonts w:ascii="仿宋" w:hAnsi="仿宋" w:eastAsia="仿宋" w:cs="仿宋"/>
          <w:sz w:val="32"/>
          <w:szCs w:val="32"/>
          <w:lang w:val="zh-CN"/>
        </w:rPr>
      </w:pPr>
      <w:r>
        <w:rPr>
          <w:rFonts w:hint="eastAsia" w:ascii="仿宋" w:hAnsi="仿宋" w:eastAsia="仿宋" w:cs="仿宋"/>
          <w:kern w:val="0"/>
          <w:sz w:val="32"/>
          <w:szCs w:val="32"/>
          <w:shd w:val="clear" w:color="auto" w:fill="FFFFFF"/>
        </w:rPr>
        <w:t>随着绩效评价工作的重要性、准确性、完整性加强，应加强认识，统筹协调各部门参与到预算编制、项目申报。进一步提高绩效评价工作效率，从而完善预算绩效管理制度，优化资金使用。</w:t>
      </w:r>
    </w:p>
    <w:p w14:paraId="0FEC3E3F">
      <w:pPr>
        <w:ind w:firstLine="640" w:firstLineChars="200"/>
        <w:rPr>
          <w:rFonts w:eastAsia="仿宋_GB2312"/>
          <w:sz w:val="32"/>
          <w:szCs w:val="32"/>
          <w:lang w:val="zh-CN"/>
        </w:rPr>
      </w:pPr>
    </w:p>
    <w:p w14:paraId="5964B410">
      <w:pPr>
        <w:ind w:firstLine="640" w:firstLineChars="200"/>
        <w:rPr>
          <w:rFonts w:ascii="宋体" w:hAnsi="宋体" w:eastAsia="宋体"/>
          <w:sz w:val="32"/>
          <w:szCs w:val="32"/>
          <w:lang w:val="zh-CN"/>
        </w:rPr>
      </w:pPr>
      <w:r>
        <w:rPr>
          <w:rFonts w:hint="eastAsia" w:ascii="宋体" w:hAnsi="宋体" w:eastAsia="宋体"/>
          <w:sz w:val="32"/>
          <w:szCs w:val="32"/>
          <w:lang w:val="zh-CN"/>
        </w:rPr>
        <w:t>附表：</w:t>
      </w:r>
      <w:r>
        <w:rPr>
          <w:rFonts w:hint="eastAsia" w:ascii="宋体" w:hAnsi="宋体" w:eastAsia="宋体"/>
          <w:sz w:val="32"/>
          <w:szCs w:val="32"/>
        </w:rPr>
        <w:t>部门</w:t>
      </w:r>
      <w:r>
        <w:rPr>
          <w:rFonts w:hint="eastAsia" w:ascii="宋体" w:hAnsi="宋体" w:eastAsia="宋体"/>
          <w:sz w:val="32"/>
          <w:szCs w:val="32"/>
          <w:lang w:val="zh-CN"/>
        </w:rPr>
        <w:t>预算项目支出绩效自评表（2023年度）</w:t>
      </w:r>
    </w:p>
    <w:p w14:paraId="4D154E8A">
      <w:pPr>
        <w:ind w:firstLine="640" w:firstLineChars="200"/>
        <w:rPr>
          <w:rFonts w:ascii="宋体" w:hAnsi="宋体" w:eastAsia="宋体"/>
          <w:sz w:val="32"/>
          <w:szCs w:val="32"/>
          <w:lang w:val="zh-CN"/>
        </w:rPr>
      </w:pPr>
    </w:p>
    <w:p w14:paraId="37C43339">
      <w:pPr>
        <w:rPr>
          <w:rFonts w:ascii="宋体" w:hAnsi="宋体" w:eastAsia="宋体"/>
          <w:sz w:val="32"/>
          <w:szCs w:val="32"/>
          <w:lang w:val="zh-CN"/>
        </w:rPr>
      </w:pPr>
    </w:p>
    <w:p w14:paraId="777F8CAC"/>
    <w:p w14:paraId="340038A2">
      <w:pPr>
        <w:outlineLvl w:val="1"/>
        <w:rPr>
          <w:rFonts w:ascii="黑体" w:hAnsi="黑体" w:eastAsia="黑体"/>
          <w:sz w:val="32"/>
          <w:szCs w:val="32"/>
        </w:rPr>
      </w:pPr>
      <w:bookmarkStart w:id="74" w:name="_Toc22402"/>
      <w:r>
        <w:rPr>
          <w:rFonts w:hint="eastAsia" w:ascii="黑体" w:hAnsi="黑体" w:eastAsia="黑体"/>
          <w:sz w:val="32"/>
          <w:szCs w:val="32"/>
        </w:rPr>
        <w:t>附件2</w:t>
      </w:r>
      <w:bookmarkEnd w:id="74"/>
    </w:p>
    <w:p w14:paraId="5E13181D">
      <w:pPr>
        <w:jc w:val="center"/>
        <w:rPr>
          <w:rFonts w:eastAsia="仿宋_GB2312"/>
          <w:sz w:val="32"/>
          <w:szCs w:val="32"/>
          <w:lang w:val="zh-CN"/>
        </w:rPr>
      </w:pPr>
      <w:r>
        <w:rPr>
          <w:rFonts w:ascii="方正小标宋简体" w:hAnsi="方正小标宋简体" w:eastAsia="方正小标宋简体"/>
          <w:sz w:val="44"/>
          <w:szCs w:val="44"/>
          <w:lang w:val="zh-CN"/>
        </w:rPr>
        <w:t>2023年省级财政困难群众社会保险个人缴费代缴资金</w:t>
      </w:r>
      <w:r>
        <w:rPr>
          <w:rFonts w:hint="eastAsia" w:ascii="方正小标宋简体" w:hAnsi="方正小标宋简体" w:eastAsia="方正小标宋简体"/>
          <w:sz w:val="44"/>
          <w:szCs w:val="44"/>
        </w:rPr>
        <w:t>专项预算项目绩效评价报告</w:t>
      </w:r>
    </w:p>
    <w:p w14:paraId="79EC74C4">
      <w:pPr>
        <w:ind w:firstLine="640" w:firstLineChars="200"/>
        <w:rPr>
          <w:rFonts w:ascii="黑体" w:hAnsi="黑体" w:eastAsia="黑体"/>
          <w:sz w:val="32"/>
          <w:szCs w:val="32"/>
          <w:lang w:val="zh-CN"/>
        </w:rPr>
      </w:pPr>
      <w:r>
        <w:rPr>
          <w:rFonts w:hint="eastAsia" w:ascii="黑体" w:hAnsi="黑体" w:eastAsia="黑体"/>
          <w:sz w:val="32"/>
          <w:szCs w:val="32"/>
          <w:lang w:val="zh-CN"/>
        </w:rPr>
        <w:t>一、项目概况</w:t>
      </w:r>
    </w:p>
    <w:p w14:paraId="7B6BEE33">
      <w:pPr>
        <w:pStyle w:val="14"/>
        <w:widowControl/>
        <w:shd w:val="clear" w:color="auto" w:fill="FDFDFE"/>
        <w:spacing w:before="210" w:beforeAutospacing="0" w:afterAutospacing="0" w:line="26" w:lineRule="atLeast"/>
        <w:rPr>
          <w:rFonts w:ascii="楷体_GB2312" w:eastAsia="楷体_GB2312"/>
          <w:b/>
          <w:sz w:val="32"/>
          <w:szCs w:val="32"/>
          <w:lang w:val="zh-CN"/>
        </w:rPr>
      </w:pPr>
      <w:r>
        <w:rPr>
          <w:rFonts w:hint="eastAsia" w:ascii="楷体_GB2312" w:eastAsia="楷体_GB2312"/>
          <w:b/>
          <w:sz w:val="32"/>
          <w:szCs w:val="32"/>
          <w:lang w:val="zh-CN"/>
        </w:rPr>
        <w:t>（一）设立背景及基本情况。</w:t>
      </w:r>
    </w:p>
    <w:p w14:paraId="49D81539">
      <w:pPr>
        <w:pStyle w:val="14"/>
        <w:widowControl/>
        <w:shd w:val="clear" w:color="auto" w:fill="FDFDFE"/>
        <w:spacing w:before="210" w:beforeAutospacing="0" w:afterAutospacing="0" w:line="560" w:lineRule="exact"/>
        <w:ind w:firstLine="640" w:firstLineChars="200"/>
        <w:rPr>
          <w:rFonts w:eastAsia="仿宋_GB2312"/>
          <w:kern w:val="2"/>
          <w:sz w:val="32"/>
          <w:szCs w:val="32"/>
          <w:lang w:val="zh-CN"/>
        </w:rPr>
      </w:pPr>
      <w:r>
        <w:rPr>
          <w:rFonts w:eastAsia="仿宋_GB2312"/>
          <w:kern w:val="2"/>
          <w:sz w:val="32"/>
          <w:szCs w:val="32"/>
          <w:lang w:val="zh-CN"/>
        </w:rPr>
        <w:t>2023年省级财政困难群众社会保险个人缴费代缴资金</w:t>
      </w:r>
      <w:r>
        <w:rPr>
          <w:rFonts w:hint="eastAsia" w:eastAsia="仿宋_GB2312"/>
          <w:kern w:val="2"/>
          <w:sz w:val="32"/>
          <w:szCs w:val="32"/>
          <w:lang w:val="zh-CN"/>
        </w:rPr>
        <w:t>项目</w:t>
      </w:r>
      <w:r>
        <w:rPr>
          <w:rFonts w:eastAsia="仿宋_GB2312"/>
          <w:kern w:val="2"/>
          <w:sz w:val="32"/>
          <w:szCs w:val="32"/>
          <w:lang w:val="zh-CN"/>
        </w:rPr>
        <w:t>，实施单位为盐边县社会保险事务中心。该项目设立的背景是为了贯彻落实社会保险扶贫政策，减轻困难群众负担，确保“三类困难”人员能够享受到城乡居民养老保险的保障。项目主要内容是按省级财政承担比例为全县“三类困难”人员代缴城乡居民养老保险个人缴费。主管部门为盐边县人力资源和社会保障局，负责项目的整体规划和监督。</w:t>
      </w:r>
    </w:p>
    <w:p w14:paraId="017F86C9">
      <w:pPr>
        <w:pStyle w:val="14"/>
        <w:widowControl/>
        <w:numPr>
          <w:ilvl w:val="0"/>
          <w:numId w:val="8"/>
        </w:numPr>
        <w:shd w:val="clear" w:color="auto" w:fill="FDFDFE"/>
        <w:spacing w:before="210" w:beforeAutospacing="0" w:afterAutospacing="0" w:line="26" w:lineRule="atLeast"/>
        <w:rPr>
          <w:rFonts w:ascii="楷体_GB2312" w:eastAsia="楷体_GB2312"/>
          <w:b/>
          <w:sz w:val="32"/>
          <w:szCs w:val="32"/>
          <w:lang w:val="zh-CN"/>
        </w:rPr>
      </w:pPr>
      <w:r>
        <w:rPr>
          <w:rFonts w:hint="eastAsia" w:ascii="楷体_GB2312" w:eastAsia="楷体_GB2312"/>
          <w:b/>
          <w:sz w:val="32"/>
          <w:szCs w:val="32"/>
          <w:lang w:val="zh-CN"/>
        </w:rPr>
        <w:t>实施目的及支持方向。</w:t>
      </w:r>
    </w:p>
    <w:p w14:paraId="1314B6C1">
      <w:pPr>
        <w:pStyle w:val="14"/>
        <w:widowControl/>
        <w:shd w:val="clear" w:color="auto" w:fill="FDFDFE"/>
        <w:spacing w:before="210" w:beforeAutospacing="0" w:afterAutospacing="0" w:line="560" w:lineRule="exact"/>
        <w:ind w:firstLine="640" w:firstLineChars="200"/>
        <w:rPr>
          <w:rFonts w:eastAsia="仿宋_GB2312"/>
          <w:sz w:val="32"/>
          <w:szCs w:val="32"/>
          <w:lang w:val="zh-CN"/>
        </w:rPr>
      </w:pPr>
      <w:r>
        <w:rPr>
          <w:rFonts w:hint="eastAsia" w:eastAsia="仿宋_GB2312"/>
          <w:sz w:val="32"/>
          <w:szCs w:val="32"/>
          <w:lang w:val="zh-CN"/>
        </w:rPr>
        <w:t>项目实施目的是确保补贴政策落实到人，个人账户权益记录到位，支持方向是困难群众的社会保险个人缴费代缴。</w:t>
      </w:r>
    </w:p>
    <w:p w14:paraId="13E96CEE">
      <w:pPr>
        <w:pStyle w:val="14"/>
        <w:widowControl/>
        <w:numPr>
          <w:ilvl w:val="0"/>
          <w:numId w:val="8"/>
        </w:numPr>
        <w:shd w:val="clear" w:color="auto" w:fill="FDFDFE"/>
        <w:spacing w:before="210" w:beforeAutospacing="0" w:afterAutospacing="0" w:line="26" w:lineRule="atLeast"/>
        <w:rPr>
          <w:rFonts w:ascii="楷体_GB2312" w:eastAsia="楷体_GB2312"/>
          <w:b/>
          <w:sz w:val="32"/>
          <w:szCs w:val="32"/>
          <w:lang w:val="zh-CN"/>
        </w:rPr>
      </w:pPr>
      <w:r>
        <w:rPr>
          <w:rFonts w:hint="eastAsia" w:ascii="楷体_GB2312" w:eastAsia="楷体_GB2312"/>
          <w:b/>
          <w:sz w:val="32"/>
          <w:szCs w:val="32"/>
          <w:lang w:val="zh-CN"/>
        </w:rPr>
        <w:t>预算安排及分配管理。</w:t>
      </w:r>
    </w:p>
    <w:p w14:paraId="2DE2B604">
      <w:pPr>
        <w:spacing w:line="560" w:lineRule="exact"/>
        <w:ind w:firstLine="640" w:firstLineChars="200"/>
        <w:rPr>
          <w:rFonts w:eastAsia="仿宋_GB2312"/>
          <w:sz w:val="32"/>
          <w:szCs w:val="32"/>
          <w:lang w:val="zh-CN"/>
        </w:rPr>
      </w:pPr>
      <w:r>
        <w:rPr>
          <w:rFonts w:eastAsia="仿宋_GB2312"/>
          <w:sz w:val="32"/>
          <w:szCs w:val="32"/>
          <w:lang w:val="zh-CN"/>
        </w:rPr>
        <w:t>项目资金总额为25.95万元，全部来源于省级财政拨款，预算安排</w:t>
      </w:r>
      <w:r>
        <w:rPr>
          <w:rFonts w:hint="eastAsia" w:eastAsia="仿宋_GB2312"/>
          <w:sz w:val="32"/>
          <w:szCs w:val="32"/>
          <w:lang w:val="zh-CN"/>
        </w:rPr>
        <w:t>按照</w:t>
      </w:r>
      <w:r>
        <w:rPr>
          <w:rFonts w:eastAsia="仿宋_GB2312"/>
          <w:sz w:val="32"/>
          <w:szCs w:val="32"/>
          <w:lang w:val="zh-CN"/>
        </w:rPr>
        <w:t>《四川省财政厅四川省人力资源和社会保障厅关于预拨2023年度省级财政困难群众养老保险代缴资金的通知》</w:t>
      </w:r>
      <w:r>
        <w:rPr>
          <w:rFonts w:hint="eastAsia" w:eastAsia="仿宋_GB2312"/>
          <w:sz w:val="32"/>
          <w:szCs w:val="32"/>
          <w:lang w:val="zh-CN"/>
        </w:rPr>
        <w:t>的文件要求，及时代缴到位</w:t>
      </w:r>
      <w:r>
        <w:rPr>
          <w:rFonts w:eastAsia="仿宋_GB2312"/>
          <w:sz w:val="32"/>
          <w:szCs w:val="32"/>
          <w:lang w:val="zh-CN"/>
        </w:rPr>
        <w:t>，确保资金使用的合规性和有效性。</w:t>
      </w:r>
    </w:p>
    <w:p w14:paraId="7843C4F1">
      <w:pPr>
        <w:pStyle w:val="14"/>
        <w:widowControl/>
        <w:shd w:val="clear" w:color="auto" w:fill="FDFDFE"/>
        <w:spacing w:beforeAutospacing="0" w:afterAutospacing="0" w:line="560" w:lineRule="exact"/>
        <w:ind w:firstLine="640" w:firstLineChars="200"/>
        <w:rPr>
          <w:rFonts w:ascii="楷体_GB2312" w:eastAsia="楷体_GB2312"/>
          <w:b/>
          <w:sz w:val="32"/>
          <w:szCs w:val="32"/>
          <w:lang w:val="zh-CN"/>
        </w:rPr>
      </w:pPr>
      <w:r>
        <w:rPr>
          <w:rFonts w:eastAsia="仿宋_GB2312"/>
          <w:sz w:val="32"/>
          <w:szCs w:val="32"/>
          <w:lang w:val="zh-CN"/>
        </w:rPr>
        <w:t>根据攀枝花市社会保险事务中心核定的缴费人数，资金被分为两批进行拨付。第一批资金14万元于2023年4月下达，第二批资金11.95万元于2023年6月下达。资金到位率100%，且资金到位及时，确保了项目的顺利实施。</w:t>
      </w:r>
    </w:p>
    <w:p w14:paraId="277739F6">
      <w:pPr>
        <w:pStyle w:val="14"/>
        <w:widowControl/>
        <w:numPr>
          <w:ilvl w:val="0"/>
          <w:numId w:val="8"/>
        </w:numPr>
        <w:shd w:val="clear" w:color="auto" w:fill="FDFDFE"/>
        <w:spacing w:before="210" w:beforeAutospacing="0" w:afterAutospacing="0" w:line="26" w:lineRule="atLeast"/>
        <w:rPr>
          <w:rFonts w:ascii="楷体_GB2312" w:eastAsia="楷体_GB2312"/>
          <w:b/>
          <w:sz w:val="32"/>
          <w:szCs w:val="32"/>
          <w:lang w:val="zh-CN"/>
        </w:rPr>
      </w:pPr>
      <w:r>
        <w:rPr>
          <w:rFonts w:hint="eastAsia" w:ascii="楷体_GB2312" w:eastAsia="楷体_GB2312"/>
          <w:b/>
          <w:sz w:val="32"/>
          <w:szCs w:val="32"/>
          <w:lang w:val="zh-CN"/>
        </w:rPr>
        <w:t>项目绩效目标设置。</w:t>
      </w:r>
    </w:p>
    <w:p w14:paraId="2204FDAD">
      <w:pPr>
        <w:spacing w:line="560" w:lineRule="exact"/>
        <w:ind w:firstLine="640" w:firstLineChars="200"/>
        <w:rPr>
          <w:rFonts w:eastAsia="仿宋_GB2312"/>
          <w:sz w:val="32"/>
          <w:szCs w:val="32"/>
          <w:lang w:val="zh-CN"/>
        </w:rPr>
      </w:pPr>
      <w:r>
        <w:rPr>
          <w:rFonts w:hint="eastAsia" w:eastAsia="仿宋_GB2312"/>
          <w:sz w:val="32"/>
          <w:szCs w:val="32"/>
          <w:lang w:val="zh-CN"/>
        </w:rPr>
        <w:t>项目整体绩效目标是核实参保人数，依法依规依政策使用配套资金记录个人权益，确保补贴政策落实到位。区域和具体绩效目标则是针对盐边县内的“三类困难”人员，实现全覆盖、无遗漏的代缴工作。项目自评工作开展情况良好，严格按照绩效评价指标体系进行自评。</w:t>
      </w:r>
    </w:p>
    <w:p w14:paraId="082152BA">
      <w:pPr>
        <w:ind w:firstLine="640" w:firstLineChars="200"/>
        <w:rPr>
          <w:rFonts w:ascii="黑体" w:hAnsi="黑体" w:eastAsia="黑体" w:cs="黑体"/>
          <w:sz w:val="32"/>
          <w:szCs w:val="32"/>
          <w:lang w:val="zh-CN"/>
        </w:rPr>
      </w:pPr>
      <w:r>
        <w:rPr>
          <w:rFonts w:hint="eastAsia" w:ascii="黑体" w:hAnsi="黑体" w:eastAsia="黑体" w:cs="黑体"/>
          <w:sz w:val="32"/>
          <w:szCs w:val="32"/>
          <w:lang w:val="zh-CN"/>
        </w:rPr>
        <w:t>二、评价实施</w:t>
      </w:r>
    </w:p>
    <w:p w14:paraId="568894A3">
      <w:pPr>
        <w:ind w:firstLine="643" w:firstLineChars="200"/>
        <w:rPr>
          <w:rFonts w:ascii="楷体_GB2312" w:eastAsia="楷体_GB2312"/>
          <w:b/>
          <w:sz w:val="32"/>
          <w:szCs w:val="32"/>
          <w:lang w:val="zh-CN"/>
        </w:rPr>
      </w:pPr>
      <w:r>
        <w:rPr>
          <w:rFonts w:hint="eastAsia" w:ascii="楷体_GB2312" w:eastAsia="楷体_GB2312"/>
          <w:b/>
          <w:sz w:val="32"/>
          <w:szCs w:val="32"/>
          <w:lang w:val="zh-CN"/>
        </w:rPr>
        <w:t>（一）评价目的。</w:t>
      </w:r>
    </w:p>
    <w:p w14:paraId="6D3F6E32">
      <w:pPr>
        <w:spacing w:line="560" w:lineRule="exact"/>
        <w:ind w:firstLine="640" w:firstLineChars="200"/>
        <w:rPr>
          <w:rFonts w:eastAsia="仿宋_GB2312"/>
          <w:sz w:val="32"/>
          <w:szCs w:val="32"/>
          <w:lang w:val="zh-CN"/>
        </w:rPr>
      </w:pPr>
      <w:r>
        <w:rPr>
          <w:rFonts w:hint="eastAsia" w:eastAsia="仿宋_GB2312"/>
          <w:sz w:val="32"/>
          <w:szCs w:val="32"/>
          <w:lang w:val="zh-CN"/>
        </w:rPr>
        <w:t>本次绩效评价的目的是通过对2023年省级财政困难群众社会保险个人缴费代缴资金项目的实施情况、资金使用效益等方面进行综合评价和判断，以检验项目是否达到了预期目标，并总结经验教训，为今后的项目管理和资金使用提供参考依据。</w:t>
      </w:r>
    </w:p>
    <w:p w14:paraId="4F9DA626">
      <w:pPr>
        <w:numPr>
          <w:ilvl w:val="0"/>
          <w:numId w:val="9"/>
        </w:numPr>
        <w:ind w:firstLine="643" w:firstLineChars="200"/>
        <w:rPr>
          <w:rFonts w:ascii="楷体_GB2312" w:eastAsia="楷体_GB2312"/>
          <w:b/>
          <w:sz w:val="32"/>
          <w:szCs w:val="32"/>
          <w:lang w:val="zh-CN"/>
        </w:rPr>
      </w:pPr>
      <w:r>
        <w:rPr>
          <w:rFonts w:hint="eastAsia" w:ascii="楷体_GB2312" w:eastAsia="楷体_GB2312"/>
          <w:b/>
          <w:sz w:val="32"/>
          <w:szCs w:val="32"/>
          <w:lang w:val="zh-CN"/>
        </w:rPr>
        <w:t>预设问题及评价重点。</w:t>
      </w:r>
    </w:p>
    <w:p w14:paraId="558F7C43">
      <w:pPr>
        <w:spacing w:line="560" w:lineRule="exact"/>
        <w:ind w:firstLine="640" w:firstLineChars="200"/>
        <w:rPr>
          <w:rFonts w:eastAsia="仿宋_GB2312"/>
          <w:sz w:val="32"/>
          <w:szCs w:val="32"/>
          <w:lang w:val="zh-CN"/>
        </w:rPr>
      </w:pPr>
      <w:r>
        <w:rPr>
          <w:rFonts w:hint="eastAsia" w:eastAsia="仿宋_GB2312"/>
          <w:sz w:val="32"/>
          <w:szCs w:val="32"/>
        </w:rPr>
        <w:t>2023年该笔项目资金由县财政局拨付至一体化平台，依据资金使用申报流程，申报该项目支出的用款计划，并将该笔及时划转至市社保中心账户完成代缴，过程</w:t>
      </w:r>
      <w:r>
        <w:rPr>
          <w:rFonts w:hint="eastAsia" w:eastAsia="仿宋_GB2312"/>
          <w:sz w:val="32"/>
          <w:szCs w:val="32"/>
          <w:lang w:val="zh-CN"/>
        </w:rPr>
        <w:t>严格执行《行政事业单位财务管理制度》等财务管理制度，权限管理规范，内控较为严谨，账务处理及时，会计核算规范，该笔项目资金从申报到支付，均严格遵守资金使用流程，专款专用，依法依规进行全流程、精细化管理，</w:t>
      </w:r>
      <w:r>
        <w:rPr>
          <w:rFonts w:hint="eastAsia" w:eastAsia="仿宋_GB2312"/>
          <w:sz w:val="32"/>
          <w:szCs w:val="32"/>
        </w:rPr>
        <w:t>资金划转安全、及时、规范，资金支付合规合法、与预算相符。</w:t>
      </w:r>
    </w:p>
    <w:p w14:paraId="08BFC71B">
      <w:pPr>
        <w:numPr>
          <w:ilvl w:val="0"/>
          <w:numId w:val="9"/>
        </w:numPr>
        <w:ind w:firstLine="643" w:firstLineChars="200"/>
        <w:rPr>
          <w:rFonts w:ascii="楷体_GB2312" w:eastAsia="楷体_GB2312"/>
          <w:b/>
          <w:sz w:val="32"/>
          <w:szCs w:val="32"/>
          <w:lang w:val="zh-CN"/>
        </w:rPr>
      </w:pPr>
      <w:r>
        <w:rPr>
          <w:rFonts w:hint="eastAsia" w:ascii="楷体_GB2312" w:eastAsia="楷体_GB2312"/>
          <w:b/>
          <w:sz w:val="32"/>
          <w:szCs w:val="32"/>
          <w:lang w:val="zh-CN"/>
        </w:rPr>
        <w:t>评价选点。</w:t>
      </w:r>
    </w:p>
    <w:p w14:paraId="0979709A">
      <w:pPr>
        <w:spacing w:line="560" w:lineRule="exact"/>
        <w:ind w:firstLine="640" w:firstLineChars="200"/>
        <w:rPr>
          <w:rFonts w:eastAsia="仿宋_GB2312"/>
          <w:sz w:val="32"/>
          <w:szCs w:val="32"/>
          <w:lang w:val="zh-CN"/>
        </w:rPr>
      </w:pPr>
      <w:r>
        <w:rPr>
          <w:rFonts w:hint="eastAsia" w:eastAsia="仿宋_GB2312"/>
          <w:sz w:val="32"/>
          <w:szCs w:val="32"/>
        </w:rPr>
        <w:t>本次绩效评价选取了盐边县社会保险事务中心作为评价对象，并对其负责的2023年省级财政困难群众社会保险个人缴费代缴资金项目进行了全面自评。同时，还根据实际情况进行了抽样调查，以确保评价结果的客观性和准确性。</w:t>
      </w:r>
    </w:p>
    <w:p w14:paraId="060093D4">
      <w:pPr>
        <w:numPr>
          <w:ilvl w:val="0"/>
          <w:numId w:val="9"/>
        </w:numPr>
        <w:ind w:firstLine="643" w:firstLineChars="200"/>
        <w:rPr>
          <w:rFonts w:ascii="楷体_GB2312" w:eastAsia="楷体_GB2312"/>
          <w:b/>
          <w:sz w:val="32"/>
          <w:szCs w:val="32"/>
          <w:lang w:val="zh-CN"/>
        </w:rPr>
      </w:pPr>
      <w:r>
        <w:rPr>
          <w:rFonts w:hint="eastAsia" w:ascii="楷体_GB2312" w:eastAsia="楷体_GB2312"/>
          <w:b/>
          <w:sz w:val="32"/>
          <w:szCs w:val="32"/>
          <w:lang w:val="zh-CN"/>
        </w:rPr>
        <w:t>评价方法。</w:t>
      </w:r>
    </w:p>
    <w:p w14:paraId="4A2EC1F1">
      <w:pPr>
        <w:spacing w:line="560" w:lineRule="exact"/>
        <w:ind w:firstLine="640" w:firstLineChars="200"/>
        <w:rPr>
          <w:rFonts w:eastAsia="仿宋_GB2312"/>
          <w:sz w:val="32"/>
          <w:szCs w:val="32"/>
          <w:lang w:val="zh-CN"/>
        </w:rPr>
      </w:pPr>
      <w:r>
        <w:rPr>
          <w:rFonts w:hint="eastAsia" w:eastAsia="仿宋_GB2312"/>
          <w:sz w:val="32"/>
          <w:szCs w:val="32"/>
          <w:lang w:val="zh-CN"/>
        </w:rPr>
        <w:t>我单位采用单位自评法对项目进行评价，</w:t>
      </w:r>
      <w:r>
        <w:rPr>
          <w:rFonts w:hint="eastAsia" w:eastAsia="仿宋_GB2312"/>
          <w:sz w:val="32"/>
          <w:szCs w:val="32"/>
        </w:rPr>
        <w:t>自评等级为良好。在资金的管理和使用上，严格按照相关法律、法规规定，遵守财经纪律，认真履行部门职能职责，加强预算绩效信息发布管理制度建设，完善了绩效信息公开机制</w:t>
      </w:r>
      <w:r>
        <w:rPr>
          <w:rFonts w:hint="eastAsia" w:eastAsia="仿宋_GB2312"/>
          <w:sz w:val="32"/>
          <w:szCs w:val="32"/>
          <w:lang w:val="zh-CN"/>
        </w:rPr>
        <w:t>。</w:t>
      </w:r>
    </w:p>
    <w:p w14:paraId="335645B4">
      <w:pPr>
        <w:numPr>
          <w:ilvl w:val="0"/>
          <w:numId w:val="9"/>
        </w:numPr>
        <w:ind w:firstLine="643" w:firstLineChars="200"/>
        <w:rPr>
          <w:rFonts w:ascii="楷体_GB2312" w:eastAsia="楷体_GB2312"/>
          <w:b/>
          <w:sz w:val="32"/>
          <w:szCs w:val="32"/>
          <w:lang w:val="zh-CN"/>
        </w:rPr>
      </w:pPr>
      <w:r>
        <w:rPr>
          <w:rFonts w:hint="eastAsia" w:ascii="楷体_GB2312" w:eastAsia="楷体_GB2312"/>
          <w:b/>
          <w:sz w:val="32"/>
          <w:szCs w:val="32"/>
          <w:lang w:val="zh-CN"/>
        </w:rPr>
        <w:t>评价组织。</w:t>
      </w:r>
    </w:p>
    <w:p w14:paraId="35B96EDC">
      <w:pPr>
        <w:spacing w:line="560" w:lineRule="exact"/>
        <w:ind w:firstLine="640" w:firstLineChars="200"/>
        <w:rPr>
          <w:rFonts w:eastAsia="仿宋_GB2312"/>
          <w:sz w:val="32"/>
          <w:szCs w:val="32"/>
          <w:lang w:val="zh-CN"/>
        </w:rPr>
      </w:pPr>
      <w:r>
        <w:rPr>
          <w:rFonts w:hint="eastAsia" w:eastAsia="仿宋_GB2312"/>
          <w:sz w:val="32"/>
          <w:szCs w:val="32"/>
          <w:lang w:val="zh-CN"/>
        </w:rPr>
        <w:t>评价组长负责评价工作的整体规划和协调，以及评价结果的汇总和统计分析；评价组员负责对项目绩效进行评估，并记录评价过程中的关键信息。</w:t>
      </w:r>
    </w:p>
    <w:p w14:paraId="63D7C594">
      <w:pPr>
        <w:ind w:firstLine="640" w:firstLineChars="200"/>
        <w:rPr>
          <w:rFonts w:ascii="黑体" w:hAnsi="黑体" w:eastAsia="黑体"/>
          <w:sz w:val="32"/>
          <w:szCs w:val="32"/>
          <w:lang w:val="zh-CN"/>
        </w:rPr>
      </w:pPr>
      <w:r>
        <w:rPr>
          <w:rFonts w:hint="eastAsia" w:ascii="黑体" w:hAnsi="黑体" w:eastAsia="黑体"/>
          <w:sz w:val="32"/>
          <w:szCs w:val="32"/>
          <w:lang w:val="zh-CN"/>
        </w:rPr>
        <w:t>三、绩效分析</w:t>
      </w:r>
    </w:p>
    <w:p w14:paraId="1AA59E79">
      <w:pPr>
        <w:ind w:firstLine="643" w:firstLineChars="200"/>
        <w:rPr>
          <w:rFonts w:ascii="楷体_GB2312" w:eastAsia="楷体_GB2312"/>
          <w:b/>
          <w:sz w:val="32"/>
          <w:szCs w:val="32"/>
          <w:lang w:val="zh-CN"/>
        </w:rPr>
      </w:pPr>
      <w:r>
        <w:rPr>
          <w:rFonts w:hint="eastAsia" w:ascii="楷体_GB2312" w:eastAsia="楷体_GB2312"/>
          <w:b/>
          <w:sz w:val="32"/>
          <w:szCs w:val="32"/>
          <w:lang w:val="zh-CN"/>
        </w:rPr>
        <w:t>（一）通用指标绩效分析。</w:t>
      </w:r>
    </w:p>
    <w:p w14:paraId="7677EBE6">
      <w:pPr>
        <w:spacing w:line="560" w:lineRule="exact"/>
        <w:ind w:firstLine="640" w:firstLineChars="200"/>
        <w:rPr>
          <w:rFonts w:eastAsia="仿宋_GB2312"/>
          <w:sz w:val="32"/>
          <w:szCs w:val="32"/>
          <w:lang w:val="zh-CN"/>
        </w:rPr>
      </w:pPr>
      <w:r>
        <w:rPr>
          <w:rFonts w:hint="eastAsia" w:ascii="楷体_GB2312" w:eastAsia="楷体_GB2312"/>
          <w:sz w:val="32"/>
          <w:szCs w:val="32"/>
          <w:lang w:val="zh-CN"/>
        </w:rPr>
        <w:t>1.项目决策。</w:t>
      </w:r>
      <w:r>
        <w:rPr>
          <w:rFonts w:hint="eastAsia" w:eastAsia="仿宋_GB2312"/>
          <w:sz w:val="32"/>
          <w:szCs w:val="32"/>
          <w:lang w:val="zh-CN"/>
        </w:rPr>
        <w:t>在项目决策方面，该项目的决策程序规范严谨，规划论证充分，资金投向明确，完全符合省级财政对困难群众的扶持政策要求。项目在立项之初就经过了深入的调研和论证，确保了项目的可行性和有效性。</w:t>
      </w:r>
    </w:p>
    <w:p w14:paraId="673E1419">
      <w:pPr>
        <w:spacing w:line="560" w:lineRule="exact"/>
        <w:ind w:firstLine="640" w:firstLineChars="200"/>
        <w:rPr>
          <w:rFonts w:eastAsia="仿宋_GB2312"/>
          <w:sz w:val="32"/>
          <w:szCs w:val="32"/>
          <w:lang w:val="zh-CN"/>
        </w:rPr>
      </w:pPr>
      <w:r>
        <w:rPr>
          <w:rFonts w:hint="eastAsia" w:ascii="楷体_GB2312" w:eastAsia="楷体_GB2312"/>
          <w:sz w:val="32"/>
          <w:szCs w:val="32"/>
          <w:lang w:val="zh-CN"/>
        </w:rPr>
        <w:t>2.项目管理。</w:t>
      </w:r>
      <w:r>
        <w:rPr>
          <w:rFonts w:hint="eastAsia" w:eastAsia="仿宋_GB2312"/>
          <w:sz w:val="32"/>
          <w:szCs w:val="32"/>
          <w:lang w:val="zh-CN"/>
        </w:rPr>
        <w:t>在项目管理上，项目管理制度完善，分配管理规范，绩效监管到位。项目资金实行专款专用，严格遵循了财务管理制度，确保了资金使用的安全性和有效性。项目组织架构清晰，实施流程顺畅，各股室密切分工，相互配合，确保了项目的顺利推进。</w:t>
      </w:r>
    </w:p>
    <w:p w14:paraId="7C5C5349">
      <w:pPr>
        <w:spacing w:line="560" w:lineRule="exact"/>
        <w:ind w:firstLine="640" w:firstLineChars="200"/>
        <w:rPr>
          <w:rFonts w:eastAsia="仿宋_GB2312"/>
          <w:sz w:val="32"/>
          <w:szCs w:val="32"/>
          <w:lang w:val="zh-CN"/>
        </w:rPr>
      </w:pPr>
      <w:r>
        <w:rPr>
          <w:rFonts w:hint="eastAsia" w:ascii="楷体_GB2312" w:eastAsia="楷体_GB2312"/>
          <w:sz w:val="32"/>
          <w:szCs w:val="32"/>
          <w:lang w:val="zh-CN"/>
        </w:rPr>
        <w:t>3.项目实施。</w:t>
      </w:r>
      <w:r>
        <w:rPr>
          <w:rFonts w:hint="eastAsia" w:eastAsia="仿宋_GB2312"/>
          <w:sz w:val="32"/>
          <w:szCs w:val="32"/>
          <w:lang w:val="zh-CN"/>
        </w:rPr>
        <w:t>项目实施过程中，预算执行规范，资金使用合规。项目按照既定的计划和时间表进行了顺利实施，没有出现任何偏差。在资金使用上，项目严格遵循了预算安排，没有出现超支或挪用资金的情况。同时，项目还加强了绩效监管，对资金的使用情况进行了实时跟踪和评估，确保了资金</w:t>
      </w:r>
      <w:r>
        <w:rPr>
          <w:rFonts w:eastAsia="仿宋_GB2312"/>
          <w:sz w:val="32"/>
          <w:szCs w:val="32"/>
          <w:lang w:val="zh-CN"/>
        </w:rPr>
        <w:t>的使用效益。</w:t>
      </w:r>
    </w:p>
    <w:p w14:paraId="11534A54">
      <w:pPr>
        <w:spacing w:line="560" w:lineRule="exact"/>
        <w:ind w:firstLine="640" w:firstLineChars="200"/>
        <w:rPr>
          <w:rFonts w:eastAsia="仿宋_GB2312"/>
          <w:sz w:val="32"/>
          <w:szCs w:val="32"/>
          <w:lang w:val="zh-CN"/>
        </w:rPr>
      </w:pPr>
      <w:r>
        <w:rPr>
          <w:rFonts w:hint="eastAsia" w:ascii="楷体_GB2312" w:eastAsia="楷体_GB2312"/>
          <w:sz w:val="32"/>
          <w:szCs w:val="32"/>
          <w:lang w:val="zh-CN"/>
        </w:rPr>
        <w:t>4.项目结果。</w:t>
      </w:r>
      <w:r>
        <w:rPr>
          <w:rFonts w:hint="eastAsia" w:eastAsia="仿宋_GB2312"/>
          <w:sz w:val="32"/>
          <w:szCs w:val="32"/>
          <w:lang w:val="zh-CN"/>
        </w:rPr>
        <w:t>目标完成情况：项目已按照设定的绩效目标全面完成。全年共为“三类困难”人员代缴城乡居民养老保险个人缴费25.95万元，涉及参保人数14003人，确保了补贴政策落实到人头，个人账户权益记录到位。完成时效：项目按时推进，资金及时到位并全额上解至市财政专户。从资金拨付前的甄别核算，到资金拨付时的严谨细致，再到最终批量、准确记录个人权益，各个环节均严格按照时间节点完成，确保了项目的顺利实施和效益的及时发挥。</w:t>
      </w:r>
    </w:p>
    <w:p w14:paraId="172CE5E8">
      <w:pPr>
        <w:ind w:firstLine="643" w:firstLineChars="200"/>
        <w:rPr>
          <w:rFonts w:ascii="楷体_GB2312" w:eastAsia="楷体_GB2312"/>
          <w:b/>
          <w:sz w:val="32"/>
          <w:szCs w:val="32"/>
          <w:lang w:val="zh-CN"/>
        </w:rPr>
      </w:pPr>
      <w:r>
        <w:rPr>
          <w:rFonts w:hint="eastAsia" w:ascii="楷体_GB2312" w:eastAsia="楷体_GB2312"/>
          <w:b/>
          <w:sz w:val="32"/>
          <w:szCs w:val="32"/>
          <w:lang w:val="zh-CN"/>
        </w:rPr>
        <w:t>（二）专用指标绩效分析。</w:t>
      </w:r>
    </w:p>
    <w:p w14:paraId="0E3E9AF9">
      <w:pPr>
        <w:spacing w:line="560" w:lineRule="exact"/>
        <w:ind w:firstLine="640" w:firstLineChars="200"/>
        <w:rPr>
          <w:rFonts w:eastAsia="仿宋_GB2312"/>
          <w:sz w:val="32"/>
          <w:szCs w:val="32"/>
          <w:lang w:val="zh-CN"/>
        </w:rPr>
      </w:pPr>
      <w:r>
        <w:rPr>
          <w:rFonts w:hint="eastAsia" w:eastAsia="仿宋_GB2312"/>
          <w:sz w:val="32"/>
          <w:szCs w:val="32"/>
          <w:lang w:val="zh-CN"/>
        </w:rPr>
        <w:t>该项目属于民生保障类项目，专用指标绩效分析主要围绕区域均衡性、对象精准性、标准合理性、群众满意度进行。通过项目实施，实现了对“三类困难”人员的全覆盖、无遗漏代缴工作，提高了群众的满意度和获得感。同时，项目资金的使用也符合相关标准和要求，确保了资金使用的合规性和效益性。</w:t>
      </w:r>
    </w:p>
    <w:p w14:paraId="5778DCEF">
      <w:pPr>
        <w:numPr>
          <w:ilvl w:val="0"/>
          <w:numId w:val="7"/>
        </w:numPr>
        <w:spacing w:line="560" w:lineRule="exact"/>
        <w:ind w:firstLine="643" w:firstLineChars="200"/>
        <w:rPr>
          <w:rFonts w:ascii="楷体_GB2312" w:eastAsia="楷体_GB2312"/>
          <w:b/>
          <w:sz w:val="32"/>
          <w:szCs w:val="32"/>
          <w:lang w:val="zh-CN"/>
        </w:rPr>
      </w:pPr>
      <w:r>
        <w:rPr>
          <w:rFonts w:hint="eastAsia" w:ascii="楷体_GB2312" w:eastAsia="楷体_GB2312"/>
          <w:b/>
          <w:sz w:val="32"/>
          <w:szCs w:val="32"/>
          <w:lang w:val="zh-CN"/>
        </w:rPr>
        <w:t>个性指标绩效分析。</w:t>
      </w:r>
    </w:p>
    <w:p w14:paraId="2FDDD02C">
      <w:pPr>
        <w:spacing w:line="560" w:lineRule="exact"/>
        <w:ind w:firstLine="640" w:firstLineChars="200"/>
        <w:rPr>
          <w:rFonts w:eastAsia="仿宋_GB2312"/>
          <w:sz w:val="32"/>
          <w:szCs w:val="32"/>
          <w:lang w:val="zh-CN"/>
        </w:rPr>
      </w:pPr>
      <w:r>
        <w:rPr>
          <w:rFonts w:eastAsia="仿宋_GB2312"/>
          <w:sz w:val="32"/>
          <w:szCs w:val="32"/>
          <w:lang w:val="zh-CN"/>
        </w:rPr>
        <w:t>本项目个性指标主要设置了参保率、满意度等指标。通过实施本项目，有效提高了“三类困难”人员的参保率，并得到了群众的广泛认可和好评。同时，在项目实施过程中也积累了一些宝贵的经验教训，为今后的项目管理和资金使用提供了有益的参考。</w:t>
      </w:r>
    </w:p>
    <w:p w14:paraId="2A8D0E50">
      <w:pPr>
        <w:spacing w:line="560" w:lineRule="exact"/>
        <w:ind w:firstLine="640" w:firstLineChars="200"/>
        <w:rPr>
          <w:rFonts w:eastAsia="仿宋_GB2312"/>
          <w:sz w:val="32"/>
          <w:szCs w:val="32"/>
          <w:lang w:val="zh-CN"/>
        </w:rPr>
      </w:pPr>
      <w:r>
        <w:rPr>
          <w:rFonts w:eastAsia="仿宋_GB2312"/>
          <w:sz w:val="32"/>
          <w:szCs w:val="32"/>
          <w:lang w:val="zh-CN"/>
        </w:rPr>
        <w:t>根据附件3中的自评表数据，本项目在各项绩效指标上均达到了预期目标，实际完成值与设定指标值相符，完成率均为100%。</w:t>
      </w:r>
    </w:p>
    <w:p w14:paraId="5F81FF3D">
      <w:pPr>
        <w:ind w:firstLine="640" w:firstLineChars="200"/>
        <w:rPr>
          <w:rFonts w:ascii="黑体" w:hAnsi="黑体" w:eastAsia="黑体"/>
          <w:sz w:val="32"/>
          <w:szCs w:val="32"/>
          <w:lang w:val="zh-CN"/>
        </w:rPr>
      </w:pPr>
      <w:r>
        <w:rPr>
          <w:rFonts w:hint="eastAsia" w:ascii="黑体" w:hAnsi="黑体" w:eastAsia="黑体"/>
          <w:sz w:val="32"/>
          <w:szCs w:val="32"/>
          <w:lang w:val="zh-CN"/>
        </w:rPr>
        <w:t>四、评价结论</w:t>
      </w:r>
    </w:p>
    <w:p w14:paraId="7FD02AB6">
      <w:pPr>
        <w:spacing w:line="560" w:lineRule="exact"/>
        <w:ind w:firstLine="640" w:firstLineChars="200"/>
        <w:rPr>
          <w:rFonts w:eastAsia="仿宋_GB2312"/>
          <w:sz w:val="32"/>
          <w:szCs w:val="32"/>
          <w:lang w:val="zh-CN"/>
        </w:rPr>
      </w:pPr>
      <w:r>
        <w:rPr>
          <w:rFonts w:eastAsia="仿宋_GB2312"/>
          <w:sz w:val="32"/>
          <w:szCs w:val="32"/>
          <w:lang w:val="zh-CN"/>
        </w:rPr>
        <w:t>经过项目绩效自评，盐边县社会保险事务中心2023年度省级财政困难群众养老保险代缴资金项目总体评价良好。项目决策科学、项目管理规范、项目实施到位、项目结果显著。评价总分达到优秀水平，充分体现了项目实施的效果和成效。综上所述，盐边县社会保险事务中心2023年度省级财政困难群众养老保险代缴资金项目绩效自评总体结论为优秀。项目已按照设定的绩效目标全面完成，资金使用合规、效益显著，为“三类困难”人员提供了有力的养老保障。</w:t>
      </w:r>
    </w:p>
    <w:p w14:paraId="25053BF7">
      <w:pPr>
        <w:ind w:firstLine="640" w:firstLineChars="200"/>
        <w:rPr>
          <w:rFonts w:ascii="黑体" w:hAnsi="黑体" w:eastAsia="黑体"/>
          <w:sz w:val="32"/>
          <w:szCs w:val="32"/>
          <w:lang w:val="zh-CN"/>
        </w:rPr>
      </w:pPr>
      <w:r>
        <w:rPr>
          <w:rFonts w:hint="eastAsia" w:ascii="黑体" w:hAnsi="黑体" w:eastAsia="黑体"/>
          <w:sz w:val="32"/>
          <w:szCs w:val="32"/>
          <w:lang w:val="zh-CN"/>
        </w:rPr>
        <w:t>五、存在主要问题</w:t>
      </w:r>
    </w:p>
    <w:p w14:paraId="074C6DAB">
      <w:pPr>
        <w:spacing w:line="560" w:lineRule="exact"/>
        <w:ind w:firstLine="640" w:firstLineChars="200"/>
        <w:rPr>
          <w:rFonts w:eastAsia="仿宋_GB2312"/>
          <w:sz w:val="32"/>
          <w:szCs w:val="32"/>
          <w:lang w:val="zh-CN"/>
        </w:rPr>
      </w:pPr>
      <w:r>
        <w:rPr>
          <w:rFonts w:eastAsia="仿宋_GB2312"/>
          <w:sz w:val="32"/>
          <w:szCs w:val="32"/>
          <w:lang w:val="zh-CN"/>
        </w:rPr>
        <w:t>经过项目绩效自评，未发现存在明显问题。项目实施过程中，严格按照相关规定和要求执行，确保了项目的顺利实施和资金的合规使用。</w:t>
      </w:r>
    </w:p>
    <w:p w14:paraId="2453268B">
      <w:pPr>
        <w:ind w:firstLine="640" w:firstLineChars="200"/>
        <w:rPr>
          <w:rFonts w:ascii="黑体" w:hAnsi="黑体" w:eastAsia="黑体"/>
          <w:sz w:val="32"/>
          <w:szCs w:val="32"/>
          <w:lang w:val="zh-CN"/>
        </w:rPr>
      </w:pPr>
      <w:r>
        <w:rPr>
          <w:rFonts w:hint="eastAsia" w:ascii="黑体" w:hAnsi="黑体" w:eastAsia="黑体"/>
          <w:sz w:val="32"/>
          <w:szCs w:val="32"/>
          <w:lang w:val="zh-CN"/>
        </w:rPr>
        <w:t>六、改进建议</w:t>
      </w:r>
    </w:p>
    <w:p w14:paraId="1C90B5B8">
      <w:pPr>
        <w:spacing w:line="560" w:lineRule="exact"/>
        <w:ind w:firstLine="640" w:firstLineChars="200"/>
        <w:rPr>
          <w:rFonts w:eastAsia="仿宋_GB2312"/>
          <w:sz w:val="32"/>
          <w:szCs w:val="32"/>
          <w:lang w:val="zh-CN"/>
        </w:rPr>
      </w:pPr>
      <w:r>
        <w:rPr>
          <w:rFonts w:eastAsia="仿宋_GB2312"/>
          <w:sz w:val="32"/>
          <w:szCs w:val="32"/>
          <w:lang w:val="zh-CN"/>
        </w:rPr>
        <w:t>为进一步提高项目绩效水平和资金使用效益，建议继续强化预算资金精细化管理，提高预算资金科学性、合理性。同时，加强项目实施的监督和检查力度，确保项目实施的规范性和有效性。此外，还可以积极探索新的项目实施模式和资金管理方式，以更好地服务于困难群众和社会发展的需要。</w:t>
      </w:r>
    </w:p>
    <w:p w14:paraId="6C3BB599">
      <w:pPr>
        <w:rPr>
          <w:rFonts w:ascii="黑体" w:hAnsi="黑体" w:eastAsia="黑体"/>
        </w:rPr>
      </w:pPr>
      <w:r>
        <w:rPr>
          <w:rFonts w:hint="eastAsia" w:ascii="黑体" w:hAnsi="黑体" w:eastAsia="黑体"/>
        </w:rPr>
        <w:br w:type="page"/>
      </w:r>
    </w:p>
    <w:p w14:paraId="5366C28C">
      <w:pPr>
        <w:pStyle w:val="2"/>
        <w:jc w:val="center"/>
        <w:rPr>
          <w:rFonts w:ascii="黑体" w:hAnsi="黑体" w:eastAsia="黑体"/>
        </w:rPr>
      </w:pPr>
      <w:bookmarkStart w:id="75" w:name="_Toc22437"/>
      <w:r>
        <w:rPr>
          <w:rFonts w:hint="eastAsia" w:ascii="黑体" w:hAnsi="黑体" w:eastAsia="黑体"/>
        </w:rPr>
        <w:t>第五部分 附表</w:t>
      </w:r>
      <w:bookmarkEnd w:id="75"/>
    </w:p>
    <w:p w14:paraId="365F2B25">
      <w:pPr>
        <w:rPr>
          <w:rFonts w:ascii="仿宋" w:hAnsi="仿宋" w:eastAsia="仿宋"/>
          <w:sz w:val="32"/>
          <w:szCs w:val="32"/>
        </w:rPr>
      </w:pPr>
      <w:r>
        <w:rPr>
          <w:rFonts w:hint="eastAsia" w:ascii="仿宋" w:hAnsi="仿宋" w:eastAsia="仿宋"/>
          <w:sz w:val="32"/>
          <w:szCs w:val="32"/>
        </w:rPr>
        <w:t>一、收入支出决算总表</w:t>
      </w:r>
    </w:p>
    <w:p w14:paraId="03B7CC97">
      <w:pPr>
        <w:rPr>
          <w:rFonts w:ascii="仿宋" w:hAnsi="仿宋" w:eastAsia="仿宋"/>
          <w:sz w:val="32"/>
          <w:szCs w:val="32"/>
        </w:rPr>
      </w:pPr>
      <w:r>
        <w:rPr>
          <w:rFonts w:hint="eastAsia" w:ascii="仿宋" w:hAnsi="仿宋" w:eastAsia="仿宋"/>
          <w:sz w:val="32"/>
          <w:szCs w:val="32"/>
        </w:rPr>
        <w:t>二、收入决算表</w:t>
      </w:r>
    </w:p>
    <w:p w14:paraId="0163931B">
      <w:pPr>
        <w:rPr>
          <w:rFonts w:ascii="仿宋" w:hAnsi="仿宋" w:eastAsia="仿宋"/>
          <w:sz w:val="32"/>
          <w:szCs w:val="32"/>
        </w:rPr>
      </w:pPr>
      <w:r>
        <w:rPr>
          <w:rFonts w:hint="eastAsia" w:ascii="仿宋" w:hAnsi="仿宋" w:eastAsia="仿宋"/>
          <w:sz w:val="32"/>
          <w:szCs w:val="32"/>
        </w:rPr>
        <w:t>三、支出决算表</w:t>
      </w:r>
    </w:p>
    <w:p w14:paraId="5BC8464D">
      <w:pPr>
        <w:rPr>
          <w:rFonts w:ascii="仿宋" w:hAnsi="仿宋" w:eastAsia="仿宋"/>
          <w:sz w:val="32"/>
          <w:szCs w:val="32"/>
        </w:rPr>
      </w:pPr>
      <w:r>
        <w:rPr>
          <w:rFonts w:hint="eastAsia" w:ascii="仿宋" w:hAnsi="仿宋" w:eastAsia="仿宋"/>
          <w:sz w:val="32"/>
          <w:szCs w:val="32"/>
        </w:rPr>
        <w:t>四、财政拨款收入支出决算总表</w:t>
      </w:r>
    </w:p>
    <w:p w14:paraId="5B6E12F7">
      <w:pPr>
        <w:rPr>
          <w:rFonts w:ascii="仿宋" w:hAnsi="仿宋" w:eastAsia="仿宋"/>
          <w:sz w:val="32"/>
          <w:szCs w:val="32"/>
        </w:rPr>
      </w:pPr>
      <w:r>
        <w:rPr>
          <w:rFonts w:hint="eastAsia" w:ascii="仿宋" w:hAnsi="仿宋" w:eastAsia="仿宋"/>
          <w:sz w:val="32"/>
          <w:szCs w:val="32"/>
        </w:rPr>
        <w:t>五、财政拨款支出决算明细表</w:t>
      </w:r>
    </w:p>
    <w:p w14:paraId="2E145F7A">
      <w:pPr>
        <w:rPr>
          <w:rFonts w:ascii="仿宋" w:hAnsi="仿宋" w:eastAsia="仿宋"/>
          <w:sz w:val="32"/>
          <w:szCs w:val="32"/>
        </w:rPr>
      </w:pPr>
      <w:r>
        <w:rPr>
          <w:rFonts w:hint="eastAsia" w:ascii="仿宋" w:hAnsi="仿宋" w:eastAsia="仿宋"/>
          <w:sz w:val="32"/>
          <w:szCs w:val="32"/>
        </w:rPr>
        <w:t>六、一般公共预算财政拨款支出决算表</w:t>
      </w:r>
    </w:p>
    <w:p w14:paraId="390FB267">
      <w:pPr>
        <w:rPr>
          <w:rFonts w:ascii="仿宋" w:hAnsi="仿宋" w:eastAsia="仿宋"/>
          <w:sz w:val="32"/>
          <w:szCs w:val="32"/>
        </w:rPr>
      </w:pPr>
      <w:r>
        <w:rPr>
          <w:rFonts w:hint="eastAsia" w:ascii="仿宋" w:hAnsi="仿宋" w:eastAsia="仿宋"/>
          <w:sz w:val="32"/>
          <w:szCs w:val="32"/>
        </w:rPr>
        <w:t>七、一般公共预算财政拨款支出决算明细表</w:t>
      </w:r>
    </w:p>
    <w:p w14:paraId="36F95576">
      <w:pPr>
        <w:rPr>
          <w:rFonts w:ascii="仿宋" w:hAnsi="仿宋" w:eastAsia="仿宋"/>
          <w:sz w:val="32"/>
          <w:szCs w:val="32"/>
        </w:rPr>
      </w:pPr>
      <w:r>
        <w:rPr>
          <w:rFonts w:hint="eastAsia" w:ascii="仿宋" w:hAnsi="仿宋" w:eastAsia="仿宋"/>
          <w:sz w:val="32"/>
          <w:szCs w:val="32"/>
        </w:rPr>
        <w:t>八、一般公共预算财政拨款基本支出决算表</w:t>
      </w:r>
    </w:p>
    <w:p w14:paraId="33647545">
      <w:pPr>
        <w:rPr>
          <w:rFonts w:ascii="仿宋" w:hAnsi="仿宋" w:eastAsia="仿宋"/>
          <w:sz w:val="32"/>
          <w:szCs w:val="32"/>
        </w:rPr>
      </w:pPr>
      <w:r>
        <w:rPr>
          <w:rFonts w:hint="eastAsia" w:ascii="仿宋" w:hAnsi="仿宋" w:eastAsia="仿宋"/>
          <w:sz w:val="32"/>
          <w:szCs w:val="32"/>
        </w:rPr>
        <w:t>九、一般公共预算财政拨款项目支出决算表</w:t>
      </w:r>
    </w:p>
    <w:p w14:paraId="2D0CC587">
      <w:pPr>
        <w:rPr>
          <w:rFonts w:ascii="仿宋" w:hAnsi="仿宋" w:eastAsia="仿宋"/>
          <w:sz w:val="32"/>
          <w:szCs w:val="32"/>
        </w:rPr>
      </w:pPr>
      <w:r>
        <w:rPr>
          <w:rFonts w:hint="eastAsia" w:ascii="仿宋" w:hAnsi="仿宋" w:eastAsia="仿宋"/>
          <w:sz w:val="32"/>
          <w:szCs w:val="32"/>
        </w:rPr>
        <w:t>十、政府性基金预算财政拨款收入支出决算表</w:t>
      </w:r>
    </w:p>
    <w:p w14:paraId="02BEF25F">
      <w:pPr>
        <w:rPr>
          <w:rFonts w:ascii="仿宋" w:hAnsi="仿宋" w:eastAsia="仿宋"/>
          <w:sz w:val="32"/>
          <w:szCs w:val="32"/>
        </w:rPr>
      </w:pPr>
      <w:r>
        <w:rPr>
          <w:rFonts w:hint="eastAsia" w:ascii="仿宋" w:hAnsi="仿宋" w:eastAsia="仿宋"/>
          <w:sz w:val="32"/>
          <w:szCs w:val="32"/>
        </w:rPr>
        <w:t>十一、国有资本经营预算财政拨款收入支出决算表</w:t>
      </w:r>
    </w:p>
    <w:p w14:paraId="46E9CEF3">
      <w:pPr>
        <w:rPr>
          <w:rFonts w:ascii="仿宋" w:hAnsi="仿宋" w:eastAsia="仿宋"/>
          <w:sz w:val="32"/>
          <w:szCs w:val="32"/>
        </w:rPr>
      </w:pPr>
      <w:r>
        <w:rPr>
          <w:rFonts w:hint="eastAsia" w:ascii="仿宋" w:hAnsi="仿宋" w:eastAsia="仿宋"/>
          <w:sz w:val="32"/>
          <w:szCs w:val="32"/>
        </w:rPr>
        <w:t>十二、国有资本经营预算财政拨款支出决算表</w:t>
      </w:r>
    </w:p>
    <w:p w14:paraId="6F19B728">
      <w:pPr>
        <w:rPr>
          <w:rFonts w:ascii="仿宋" w:hAnsi="仿宋" w:eastAsia="仿宋"/>
          <w:sz w:val="32"/>
          <w:szCs w:val="32"/>
        </w:rPr>
      </w:pPr>
      <w:r>
        <w:rPr>
          <w:rFonts w:hint="eastAsia" w:ascii="仿宋" w:hAnsi="仿宋" w:eastAsia="仿宋"/>
          <w:sz w:val="32"/>
          <w:szCs w:val="32"/>
        </w:rPr>
        <w:t>十三、财政拨款“三公”经费支出决算表</w:t>
      </w:r>
    </w:p>
    <w:sectPr>
      <w:footerReference r:id="rId10" w:type="first"/>
      <w:footerReference r:id="rId9" w:type="default"/>
      <w:pgSz w:w="11906" w:h="16838"/>
      <w:pgMar w:top="1440" w:right="1800" w:bottom="1440" w:left="1800" w:header="851" w:footer="992" w:gutter="0"/>
      <w:pgNumType w:start="1"/>
      <w:cols w:space="425"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
    <w:altName w:val="Times New Roman"/>
    <w:panose1 w:val="00000000000000000000"/>
    <w:charset w:val="00"/>
    <w:family w:val="auto"/>
    <w:pitch w:val="default"/>
    <w:sig w:usb0="00000000" w:usb1="00000000" w:usb2="00000000" w:usb3="00000000" w:csb0="00040001" w:csb1="00000000"/>
  </w:font>
  <w:font w:name="方正小标宋简体">
    <w:panose1 w:val="03000509000000000000"/>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9D35C">
    <w:pPr>
      <w:pStyle w:val="10"/>
    </w:pPr>
    <w:r>
      <w:rPr>
        <w:rFonts w:ascii="Calibri" w:hAnsi="Calibri" w:eastAsia="宋体" w:cs="Times New Roman"/>
        <w:kern w:val="0"/>
        <w:sz w:val="18"/>
        <w:szCs w:val="18"/>
        <w:lang w:val="en-US" w:eastAsia="zh-CN" w:bidi="ar-SA"/>
      </w:rPr>
      <w:pict>
        <v:rect id="文本框 11" o:spid="_x0000_s2049" o:spt="1" style="position:absolute;left:0pt;margin-top:0pt;height:144pt;width:144pt;mso-position-horizontal:center;mso-position-horizontal-relative:margin;mso-wrap-style:none;z-index:251660288;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DA4EAC6">
                <w:pPr>
                  <w:pStyle w:val="10"/>
                </w:pPr>
              </w:p>
            </w:txbxContent>
          </v:textbox>
        </v:rect>
      </w:pict>
    </w:r>
    <w:r>
      <w:rPr>
        <w:rFonts w:ascii="Calibri" w:hAnsi="Calibri" w:eastAsia="宋体" w:cs="Times New Roman"/>
        <w:kern w:val="0"/>
        <w:sz w:val="18"/>
        <w:szCs w:val="18"/>
        <w:lang w:val="en-US" w:eastAsia="zh-CN" w:bidi="ar-SA"/>
      </w:rPr>
      <w:pict>
        <v:rect id="文本框 8" o:spid="_x0000_s2050" o:spt="1" style="position:absolute;left:0pt;margin-top:0pt;height:144pt;width:144pt;mso-position-horizontal:center;mso-position-horizontal-relative:margin;mso-wrap-style:none;z-index:251659264;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6FD6204E">
                <w:pPr>
                  <w:pStyle w:val="10"/>
                  <w:jc w:val="center"/>
                </w:pPr>
                <w:r>
                  <w:t xml:space="preserve">     </w:t>
                </w:r>
              </w:p>
              <w:p w14:paraId="6F0E6E89"/>
            </w:txbxContent>
          </v:textbox>
        </v:rect>
      </w:pict>
    </w:r>
  </w:p>
  <w:p w14:paraId="09444353">
    <w:pPr>
      <w:pStyle w:val="1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672849">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3495CB6">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373F83F">
    <w:pPr>
      <w:pStyle w:val="10"/>
      <w:jc w:val="center"/>
    </w:pPr>
    <w:r>
      <w:rPr>
        <w:rFonts w:ascii="Calibri" w:hAnsi="Calibri" w:eastAsia="宋体" w:cs="Times New Roman"/>
        <w:kern w:val="0"/>
        <w:sz w:val="18"/>
        <w:szCs w:val="18"/>
        <w:lang w:val="en-US" w:eastAsia="zh-CN" w:bidi="ar-SA"/>
      </w:rPr>
      <w:pict>
        <v:rect id="文本框 13" o:spid="_x0000_s2052" o:spt="1" style="position:absolute;left:0pt;margin-top:0pt;height:144pt;width:144pt;mso-position-horizontal:center;mso-position-horizontal-relative:margin;mso-wrap-style:none;z-index:251662336;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390F194E">
                <w:pPr>
                  <w:pStyle w:val="10"/>
                </w:pPr>
                <w:r>
                  <w:fldChar w:fldCharType="begin"/>
                </w:r>
                <w:r>
                  <w:instrText xml:space="preserve"> PAGE  \* MERGEFORMAT </w:instrText>
                </w:r>
                <w:r>
                  <w:fldChar w:fldCharType="separate"/>
                </w:r>
                <w:r>
                  <w:t>2</w:t>
                </w:r>
                <w:r>
                  <w:fldChar w:fldCharType="end"/>
                </w:r>
              </w:p>
            </w:txbxContent>
          </v:textbox>
        </v:rect>
      </w:pict>
    </w:r>
    <w:r>
      <w:rPr>
        <w:rFonts w:ascii="Calibri" w:hAnsi="Calibri" w:eastAsia="宋体" w:cs="Times New Roman"/>
        <w:kern w:val="0"/>
        <w:sz w:val="18"/>
        <w:szCs w:val="18"/>
        <w:lang w:val="en-US" w:eastAsia="zh-CN" w:bidi="ar-SA"/>
      </w:rPr>
      <w:pict>
        <v:rect id="文本框 14" o:spid="_x0000_s2053" o:spt="1" style="position:absolute;left:0pt;margin-top:0pt;height:144pt;width:144pt;mso-position-horizontal:center;mso-position-horizontal-relative:margin;mso-wrap-style:none;z-index:251661312;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12D7FB30">
                <w:pPr>
                  <w:pStyle w:val="10"/>
                  <w:jc w:val="center"/>
                </w:pPr>
                <w:r>
                  <w:rPr>
                    <w:rFonts w:hint="eastAsia"/>
                  </w:rPr>
                  <w:t>1</w:t>
                </w:r>
              </w:p>
              <w:p w14:paraId="366B9603"/>
            </w:txbxContent>
          </v:textbox>
        </v:rect>
      </w:pict>
    </w:r>
  </w:p>
  <w:p w14:paraId="69231DB3">
    <w:pPr>
      <w:pStyle w:val="1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748CAF3">
    <w:pPr>
      <w:pStyle w:val="10"/>
    </w:pPr>
    <w:r>
      <w:rPr>
        <w:rFonts w:ascii="Calibri" w:hAnsi="Calibri" w:eastAsia="宋体" w:cs="Times New Roman"/>
        <w:kern w:val="0"/>
        <w:sz w:val="18"/>
        <w:szCs w:val="18"/>
        <w:lang w:val="en-US" w:eastAsia="zh-CN" w:bidi="ar-SA"/>
      </w:rPr>
      <w:pict>
        <v:rect id="文本框 15" o:spid="_x0000_s2051" o:spt="1" style="position:absolute;left:0pt;margin-top:0pt;height:144pt;width:144pt;mso-position-horizontal:center;mso-position-horizontal-relative:margin;mso-wrap-style:none;z-index:251663360;mso-width-relative:page;mso-height-relative:page;" fillcolor="#FFFFFF" filled="f" o:preferrelative="t" stroked="f" coordsize="21600,21600">
          <v:path/>
          <v:fill on="f" color2="#FFFFFF" focussize="0,0"/>
          <v:stroke on="f"/>
          <v:imagedata gain="65536f" blacklevel="0f" gamma="0" o:title=""/>
          <o:lock v:ext="edit" position="f" selection="f" grouping="f" rotation="f" cropping="f" text="f" aspectratio="f"/>
          <v:textbox inset="0mm,0mm,0mm,0mm" style="mso-fit-shape-to-text:t;">
            <w:txbxContent>
              <w:p w14:paraId="411D8954">
                <w:pPr>
                  <w:pStyle w:val="10"/>
                </w:pPr>
                <w:r>
                  <w:fldChar w:fldCharType="begin"/>
                </w:r>
                <w:r>
                  <w:instrText xml:space="preserve"> PAGE  \* MERGEFORMAT </w:instrText>
                </w:r>
                <w:r>
                  <w:fldChar w:fldCharType="separate"/>
                </w:r>
                <w:r>
                  <w:t>1</w:t>
                </w:r>
                <w:r>
                  <w:fldChar w:fldCharType="end"/>
                </w:r>
              </w:p>
            </w:txbxContent>
          </v:textbox>
        </v:rect>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C2FCDD4">
    <w:pPr>
      <w:pStyle w:val="11"/>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CD0F09">
    <w:pPr>
      <w:pStyle w:val="11"/>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4C3DA9">
    <w:pPr>
      <w:pStyle w:val="11"/>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8FC7E06"/>
    <w:multiLevelType w:val="singleLevel"/>
    <w:tmpl w:val="98FC7E06"/>
    <w:lvl w:ilvl="0" w:tentative="0">
      <w:start w:val="2"/>
      <w:numFmt w:val="chineseCounting"/>
      <w:suff w:val="nothing"/>
      <w:lvlText w:val="（%1）"/>
      <w:lvlJc w:val="left"/>
      <w:rPr>
        <w:rFonts w:hint="eastAsia"/>
      </w:rPr>
    </w:lvl>
  </w:abstractNum>
  <w:abstractNum w:abstractNumId="1">
    <w:nsid w:val="9AD0038C"/>
    <w:multiLevelType w:val="singleLevel"/>
    <w:tmpl w:val="9AD0038C"/>
    <w:lvl w:ilvl="0" w:tentative="0">
      <w:start w:val="3"/>
      <w:numFmt w:val="chineseCounting"/>
      <w:suff w:val="nothing"/>
      <w:lvlText w:val="（%1）"/>
      <w:lvlJc w:val="left"/>
      <w:rPr>
        <w:rFonts w:hint="eastAsia"/>
      </w:rPr>
    </w:lvl>
  </w:abstractNum>
  <w:abstractNum w:abstractNumId="2">
    <w:nsid w:val="B2FB7E21"/>
    <w:multiLevelType w:val="singleLevel"/>
    <w:tmpl w:val="B2FB7E21"/>
    <w:lvl w:ilvl="0" w:tentative="0">
      <w:start w:val="2"/>
      <w:numFmt w:val="chineseCounting"/>
      <w:suff w:val="nothing"/>
      <w:lvlText w:val="（%1）"/>
      <w:lvlJc w:val="left"/>
      <w:rPr>
        <w:rFonts w:hint="eastAsia"/>
      </w:rPr>
    </w:lvl>
  </w:abstractNum>
  <w:abstractNum w:abstractNumId="3">
    <w:nsid w:val="C1ECADA9"/>
    <w:multiLevelType w:val="singleLevel"/>
    <w:tmpl w:val="C1ECADA9"/>
    <w:lvl w:ilvl="0" w:tentative="0">
      <w:start w:val="1"/>
      <w:numFmt w:val="chineseCounting"/>
      <w:suff w:val="nothing"/>
      <w:lvlText w:val="%1、"/>
      <w:lvlJc w:val="left"/>
      <w:rPr>
        <w:rFonts w:hint="eastAsia"/>
      </w:rPr>
    </w:lvl>
  </w:abstractNum>
  <w:abstractNum w:abstractNumId="4">
    <w:nsid w:val="CF652CEC"/>
    <w:multiLevelType w:val="singleLevel"/>
    <w:tmpl w:val="CF652CEC"/>
    <w:lvl w:ilvl="0" w:tentative="0">
      <w:start w:val="9"/>
      <w:numFmt w:val="chineseCounting"/>
      <w:suff w:val="nothing"/>
      <w:lvlText w:val="%1、"/>
      <w:lvlJc w:val="left"/>
      <w:rPr>
        <w:rFonts w:hint="eastAsia"/>
      </w:rPr>
    </w:lvl>
  </w:abstractNum>
  <w:abstractNum w:abstractNumId="5">
    <w:nsid w:val="1272550B"/>
    <w:multiLevelType w:val="multilevel"/>
    <w:tmpl w:val="1272550B"/>
    <w:lvl w:ilvl="0" w:tentative="0">
      <w:start w:val="1"/>
      <w:numFmt w:val="japaneseCounting"/>
      <w:lvlText w:val="%1、"/>
      <w:lvlJc w:val="left"/>
      <w:pPr>
        <w:ind w:left="1360" w:hanging="720"/>
      </w:pPr>
      <w:rPr>
        <w:rFonts w:hint="default"/>
        <w:b w:val="0"/>
      </w:rPr>
    </w:lvl>
    <w:lvl w:ilvl="1" w:tentative="0">
      <w:start w:val="1"/>
      <w:numFmt w:val="lowerLetter"/>
      <w:lvlText w:val="%2)"/>
      <w:lvlJc w:val="left"/>
      <w:pPr>
        <w:ind w:left="1480" w:hanging="420"/>
      </w:pPr>
    </w:lvl>
    <w:lvl w:ilvl="2" w:tentative="0">
      <w:start w:val="1"/>
      <w:numFmt w:val="lowerRoman"/>
      <w:lvlText w:val="%3."/>
      <w:lvlJc w:val="right"/>
      <w:pPr>
        <w:ind w:left="1900" w:hanging="420"/>
      </w:pPr>
    </w:lvl>
    <w:lvl w:ilvl="3" w:tentative="0">
      <w:start w:val="1"/>
      <w:numFmt w:val="decimal"/>
      <w:lvlText w:val="%4."/>
      <w:lvlJc w:val="left"/>
      <w:pPr>
        <w:ind w:left="2320" w:hanging="420"/>
      </w:pPr>
    </w:lvl>
    <w:lvl w:ilvl="4" w:tentative="0">
      <w:start w:val="1"/>
      <w:numFmt w:val="lowerLetter"/>
      <w:lvlText w:val="%5)"/>
      <w:lvlJc w:val="left"/>
      <w:pPr>
        <w:ind w:left="2740" w:hanging="420"/>
      </w:pPr>
    </w:lvl>
    <w:lvl w:ilvl="5" w:tentative="0">
      <w:start w:val="1"/>
      <w:numFmt w:val="lowerRoman"/>
      <w:lvlText w:val="%6."/>
      <w:lvlJc w:val="right"/>
      <w:pPr>
        <w:ind w:left="3160" w:hanging="420"/>
      </w:pPr>
    </w:lvl>
    <w:lvl w:ilvl="6" w:tentative="0">
      <w:start w:val="1"/>
      <w:numFmt w:val="decimal"/>
      <w:lvlText w:val="%7."/>
      <w:lvlJc w:val="left"/>
      <w:pPr>
        <w:ind w:left="3580" w:hanging="420"/>
      </w:pPr>
    </w:lvl>
    <w:lvl w:ilvl="7" w:tentative="0">
      <w:start w:val="1"/>
      <w:numFmt w:val="lowerLetter"/>
      <w:lvlText w:val="%8)"/>
      <w:lvlJc w:val="left"/>
      <w:pPr>
        <w:ind w:left="4000" w:hanging="420"/>
      </w:pPr>
    </w:lvl>
    <w:lvl w:ilvl="8" w:tentative="0">
      <w:start w:val="1"/>
      <w:numFmt w:val="lowerRoman"/>
      <w:lvlText w:val="%9."/>
      <w:lvlJc w:val="right"/>
      <w:pPr>
        <w:ind w:left="4420" w:hanging="420"/>
      </w:pPr>
    </w:lvl>
  </w:abstractNum>
  <w:abstractNum w:abstractNumId="6">
    <w:nsid w:val="202974A8"/>
    <w:multiLevelType w:val="singleLevel"/>
    <w:tmpl w:val="202974A8"/>
    <w:lvl w:ilvl="0" w:tentative="0">
      <w:start w:val="2"/>
      <w:numFmt w:val="chineseCounting"/>
      <w:suff w:val="nothing"/>
      <w:lvlText w:val="（%1）"/>
      <w:lvlJc w:val="left"/>
      <w:rPr>
        <w:rFonts w:hint="eastAsia"/>
      </w:rPr>
    </w:lvl>
  </w:abstractNum>
  <w:abstractNum w:abstractNumId="7">
    <w:nsid w:val="61652C4E"/>
    <w:multiLevelType w:val="singleLevel"/>
    <w:tmpl w:val="61652C4E"/>
    <w:lvl w:ilvl="0" w:tentative="0">
      <w:start w:val="1"/>
      <w:numFmt w:val="decimal"/>
      <w:suff w:val="nothing"/>
      <w:lvlText w:val="%1."/>
      <w:lvlJc w:val="left"/>
      <w:pPr>
        <w:ind w:left="-13"/>
      </w:pPr>
      <w:rPr>
        <w:rFonts w:hint="default"/>
        <w:b/>
        <w:bCs/>
      </w:rPr>
    </w:lvl>
  </w:abstractNum>
  <w:abstractNum w:abstractNumId="8">
    <w:nsid w:val="63D71869"/>
    <w:multiLevelType w:val="singleLevel"/>
    <w:tmpl w:val="63D71869"/>
    <w:lvl w:ilvl="0" w:tentative="0">
      <w:start w:val="2"/>
      <w:numFmt w:val="chineseCounting"/>
      <w:suff w:val="nothing"/>
      <w:lvlText w:val="（%1）"/>
      <w:lvlJc w:val="left"/>
      <w:rPr>
        <w:rFonts w:hint="eastAsia"/>
      </w:rPr>
    </w:lvl>
  </w:abstractNum>
  <w:num w:numId="1">
    <w:abstractNumId w:val="3"/>
  </w:num>
  <w:num w:numId="2">
    <w:abstractNumId w:val="5"/>
  </w:num>
  <w:num w:numId="3">
    <w:abstractNumId w:val="7"/>
  </w:num>
  <w:num w:numId="4">
    <w:abstractNumId w:val="4"/>
  </w:num>
  <w:num w:numId="5">
    <w:abstractNumId w:val="1"/>
  </w:num>
  <w:num w:numId="6">
    <w:abstractNumId w:val="8"/>
  </w:num>
  <w:num w:numId="7">
    <w:abstractNumId w:val="0"/>
  </w:num>
  <w:num w:numId="8">
    <w:abstractNumId w:val="6"/>
  </w:num>
  <w:num w:numId="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doNotWrapTextWithPunct/>
    <w:doNotUseEastAsianBreakRules/>
    <w:useFELayout/>
    <w:useNormalStyleForList/>
    <w:doNotUseIndentAsNumberingTabStop/>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docVars>
    <w:docVar w:name="commondata" w:val="eyJoZGlkIjoiNjAwY2Q1NjEwNjQ4YWZlY2VmYWNmMWJhNTFjYTcwMzAifQ=="/>
  </w:docVars>
  <w:rsids>
    <w:rsidRoot w:val="00000000"/>
    <w:rsid w:val="00213FB8"/>
    <w:rsid w:val="6AB8232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t" stroke="t">
      <v:fill type="gradient" on="t" angle="90" focussize="0f,0f" focusposition="0f,0f">
        <o:fill type="gradientUnscaled" v:ext="backwardCompatible"/>
      </v:fill>
      <v:stroke weight="1.25pt" color="#739CC3"/>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uiPriority="0" w:name="annotation text"/>
    <w:lsdException w:qFormat="1" w:unhideWhenUsed="0" w:uiPriority="99" w:name="header"/>
    <w:lsdException w:qFormat="1" w:unhideWhenUsed="0"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qFormat="1" w:unhideWhenUsed="0" w:uiPriority="99" w:semiHidden="0" w:name="Body Text"/>
    <w:lsdException w:qFormat="1" w:unhideWhenUsed="0" w:uiPriority="0" w:semiHidden="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qFormat="1" w:uiPriority="99" w:semiHidden="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uiPriority="0" w:name="FollowedHyperlink"/>
    <w:lsdException w:qFormat="1" w:unhideWhenUsed="0" w:uiPriority="99" w:semiHidden="0" w:name="Strong"/>
    <w:lsdException w:qFormat="1" w:unhideWhenUsed="0" w:uiPriority="20" w:semiHidden="0" w:name="Emphasis"/>
    <w:lsdException w:uiPriority="0" w:name="Document Map"/>
    <w:lsdException w:qFormat="1" w:uiPriority="0" w:name="Plain Text"/>
    <w:lsdException w:uiPriority="0" w:name="E-mail Signature"/>
    <w:lsdException w:qFormat="1" w:uiPriority="99"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5"/>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36"/>
    <w:unhideWhenUsed/>
    <w:qFormat/>
    <w:uiPriority w:val="9"/>
    <w:pPr>
      <w:keepNext/>
      <w:keepLines/>
      <w:spacing w:before="260" w:after="260" w:line="416" w:lineRule="auto"/>
      <w:outlineLvl w:val="1"/>
    </w:pPr>
    <w:rPr>
      <w:rFonts w:ascii="Cambria" w:hAnsi="Cambria" w:eastAsia="宋体" w:cs="黑体"/>
      <w:b/>
      <w:bCs/>
      <w:sz w:val="32"/>
      <w:szCs w:val="32"/>
    </w:rPr>
  </w:style>
  <w:style w:type="paragraph" w:styleId="4">
    <w:name w:val="heading 3"/>
    <w:basedOn w:val="1"/>
    <w:next w:val="1"/>
    <w:link w:val="38"/>
    <w:unhideWhenUsed/>
    <w:qFormat/>
    <w:uiPriority w:val="9"/>
    <w:pPr>
      <w:keepNext/>
      <w:keepLines/>
      <w:spacing w:before="260" w:after="260" w:line="416" w:lineRule="auto"/>
      <w:outlineLvl w:val="2"/>
    </w:pPr>
    <w:rPr>
      <w:b/>
      <w:bCs/>
      <w:sz w:val="32"/>
      <w:szCs w:val="32"/>
    </w:rPr>
  </w:style>
  <w:style w:type="character" w:default="1" w:styleId="17">
    <w:name w:val="Default Paragraph Font"/>
    <w:semiHidden/>
    <w:unhideWhenUsed/>
    <w:uiPriority w:val="1"/>
  </w:style>
  <w:style w:type="table" w:default="1" w:styleId="16">
    <w:name w:val="Normal Table"/>
    <w:semiHidden/>
    <w:unhideWhenUsed/>
    <w:qFormat/>
    <w:uiPriority w:val="99"/>
    <w:tblPr>
      <w:tblCellMar>
        <w:top w:w="0" w:type="dxa"/>
        <w:left w:w="108" w:type="dxa"/>
        <w:bottom w:w="0" w:type="dxa"/>
        <w:right w:w="108" w:type="dxa"/>
      </w:tblCellMar>
    </w:tblPr>
  </w:style>
  <w:style w:type="paragraph" w:styleId="5">
    <w:name w:val="Body Text"/>
    <w:basedOn w:val="1"/>
    <w:link w:val="34"/>
    <w:qFormat/>
    <w:uiPriority w:val="99"/>
    <w:pPr>
      <w:spacing w:beforeLines="30"/>
    </w:pPr>
    <w:rPr>
      <w:rFonts w:ascii="仿宋_GB2312" w:eastAsia="仿宋_GB2312"/>
      <w:kern w:val="0"/>
      <w:sz w:val="30"/>
    </w:rPr>
  </w:style>
  <w:style w:type="paragraph" w:styleId="6">
    <w:name w:val="Body Text Indent"/>
    <w:basedOn w:val="1"/>
    <w:qFormat/>
    <w:uiPriority w:val="0"/>
    <w:pPr>
      <w:spacing w:after="120"/>
      <w:ind w:left="200" w:leftChars="200"/>
    </w:pPr>
    <w:rPr>
      <w:rFonts w:ascii="仿宋_GB2312"/>
      <w:szCs w:val="32"/>
    </w:rPr>
  </w:style>
  <w:style w:type="paragraph" w:styleId="7">
    <w:name w:val="toc 3"/>
    <w:basedOn w:val="1"/>
    <w:next w:val="1"/>
    <w:unhideWhenUsed/>
    <w:qFormat/>
    <w:uiPriority w:val="39"/>
    <w:pPr>
      <w:tabs>
        <w:tab w:val="right" w:leader="dot" w:pos="8296"/>
      </w:tabs>
      <w:ind w:left="840" w:leftChars="400"/>
    </w:pPr>
  </w:style>
  <w:style w:type="paragraph" w:styleId="8">
    <w:name w:val="Plain Text"/>
    <w:basedOn w:val="1"/>
    <w:semiHidden/>
    <w:unhideWhenUsed/>
    <w:qFormat/>
    <w:uiPriority w:val="0"/>
    <w:rPr>
      <w:rFonts w:ascii="宋体" w:hAnsi="Courier New"/>
    </w:rPr>
  </w:style>
  <w:style w:type="paragraph" w:styleId="9">
    <w:name w:val="Balloon Text"/>
    <w:basedOn w:val="1"/>
    <w:link w:val="37"/>
    <w:semiHidden/>
    <w:unhideWhenUsed/>
    <w:qFormat/>
    <w:uiPriority w:val="99"/>
    <w:rPr>
      <w:sz w:val="18"/>
      <w:szCs w:val="18"/>
    </w:rPr>
  </w:style>
  <w:style w:type="paragraph" w:styleId="10">
    <w:name w:val="footer"/>
    <w:basedOn w:val="1"/>
    <w:link w:val="32"/>
    <w:qFormat/>
    <w:uiPriority w:val="99"/>
    <w:pPr>
      <w:tabs>
        <w:tab w:val="center" w:pos="4153"/>
        <w:tab w:val="right" w:pos="8306"/>
      </w:tabs>
      <w:snapToGrid w:val="0"/>
      <w:jc w:val="left"/>
    </w:pPr>
    <w:rPr>
      <w:rFonts w:ascii="Calibri" w:hAnsi="Calibri"/>
      <w:kern w:val="0"/>
      <w:sz w:val="18"/>
      <w:szCs w:val="18"/>
    </w:rPr>
  </w:style>
  <w:style w:type="paragraph" w:styleId="11">
    <w:name w:val="header"/>
    <w:basedOn w:val="1"/>
    <w:link w:val="30"/>
    <w:semiHidden/>
    <w:qFormat/>
    <w:uiPriority w:val="99"/>
    <w:pPr>
      <w:pBdr>
        <w:bottom w:val="single" w:color="auto" w:sz="6" w:space="1"/>
      </w:pBdr>
      <w:tabs>
        <w:tab w:val="center" w:pos="4153"/>
        <w:tab w:val="right" w:pos="8306"/>
      </w:tabs>
      <w:snapToGrid w:val="0"/>
      <w:jc w:val="center"/>
    </w:pPr>
    <w:rPr>
      <w:rFonts w:ascii="Calibri" w:hAnsi="Calibri"/>
      <w:kern w:val="0"/>
      <w:sz w:val="18"/>
      <w:szCs w:val="18"/>
    </w:rPr>
  </w:style>
  <w:style w:type="paragraph" w:styleId="12">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13">
    <w:name w:val="toc 2"/>
    <w:basedOn w:val="1"/>
    <w:next w:val="1"/>
    <w:unhideWhenUsed/>
    <w:qFormat/>
    <w:uiPriority w:val="39"/>
    <w:pPr>
      <w:tabs>
        <w:tab w:val="right" w:leader="dot" w:pos="8296"/>
      </w:tabs>
      <w:ind w:left="420" w:leftChars="200"/>
    </w:pPr>
  </w:style>
  <w:style w:type="paragraph" w:styleId="14">
    <w:name w:val="Normal (Web)"/>
    <w:basedOn w:val="1"/>
    <w:semiHidden/>
    <w:unhideWhenUsed/>
    <w:qFormat/>
    <w:uiPriority w:val="99"/>
    <w:pPr>
      <w:spacing w:beforeAutospacing="1" w:afterAutospacing="1"/>
      <w:jc w:val="left"/>
    </w:pPr>
    <w:rPr>
      <w:kern w:val="0"/>
      <w:sz w:val="24"/>
    </w:rPr>
  </w:style>
  <w:style w:type="paragraph" w:styleId="15">
    <w:name w:val="Body Text First Indent 2"/>
    <w:basedOn w:val="6"/>
    <w:unhideWhenUsed/>
    <w:qFormat/>
    <w:uiPriority w:val="99"/>
    <w:pPr>
      <w:ind w:firstLine="420" w:firstLineChars="200"/>
    </w:pPr>
  </w:style>
  <w:style w:type="character" w:styleId="18">
    <w:name w:val="Strong"/>
    <w:basedOn w:val="17"/>
    <w:qFormat/>
    <w:uiPriority w:val="99"/>
    <w:rPr>
      <w:b/>
    </w:rPr>
  </w:style>
  <w:style w:type="character" w:styleId="19">
    <w:name w:val="Hyperlink"/>
    <w:basedOn w:val="17"/>
    <w:unhideWhenUsed/>
    <w:qFormat/>
    <w:uiPriority w:val="99"/>
    <w:rPr>
      <w:color w:val="0000FF"/>
      <w:u w:val="single"/>
    </w:rPr>
  </w:style>
  <w:style w:type="paragraph" w:customStyle="1" w:styleId="20">
    <w:name w:val="标题 5（有编号）（绿盟科技）"/>
    <w:next w:val="1"/>
    <w:qFormat/>
    <w:uiPriority w:val="99"/>
    <w:pPr>
      <w:keepNext/>
      <w:keepLines/>
      <w:widowControl w:val="0"/>
      <w:spacing w:before="280" w:after="156" w:line="377" w:lineRule="auto"/>
      <w:outlineLvl w:val="4"/>
    </w:pPr>
    <w:rPr>
      <w:rFonts w:ascii="Arial" w:hAnsi="Arial" w:eastAsia="黑体" w:cs="Times New Roman"/>
      <w:b/>
      <w:kern w:val="2"/>
      <w:sz w:val="24"/>
      <w:szCs w:val="28"/>
      <w:lang w:val="en-US" w:eastAsia="zh-CN" w:bidi="ar-SA"/>
    </w:rPr>
  </w:style>
  <w:style w:type="paragraph" w:customStyle="1" w:styleId="21">
    <w:name w:val="Default"/>
    <w:qFormat/>
    <w:uiPriority w:val="99"/>
    <w:pPr>
      <w:widowControl w:val="0"/>
      <w:autoSpaceDE w:val="0"/>
      <w:autoSpaceDN w:val="0"/>
      <w:adjustRightInd w:val="0"/>
    </w:pPr>
    <w:rPr>
      <w:rFonts w:ascii="仿宋" w:hAnsi="Calibri" w:eastAsia="仿宋" w:cs="仿宋"/>
      <w:color w:val="000000"/>
      <w:sz w:val="24"/>
      <w:szCs w:val="24"/>
      <w:lang w:val="en-US" w:eastAsia="zh-CN" w:bidi="ar-SA"/>
    </w:rPr>
  </w:style>
  <w:style w:type="paragraph" w:customStyle="1" w:styleId="22">
    <w:name w:val="List Paragraph"/>
    <w:basedOn w:val="1"/>
    <w:qFormat/>
    <w:uiPriority w:val="34"/>
    <w:pPr>
      <w:ind w:firstLine="420" w:firstLineChars="200"/>
    </w:pPr>
  </w:style>
  <w:style w:type="paragraph" w:customStyle="1" w:styleId="23">
    <w:name w:val="TOC 标题1"/>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4">
    <w:name w:val="TOC 标题2"/>
    <w:basedOn w:val="2"/>
    <w:next w:val="1"/>
    <w:unhideWhenUsed/>
    <w:qFormat/>
    <w:uiPriority w:val="39"/>
    <w:pPr>
      <w:widowControl/>
      <w:spacing w:before="480" w:after="0" w:line="276" w:lineRule="auto"/>
      <w:jc w:val="left"/>
      <w:outlineLvl w:val="9"/>
    </w:pPr>
    <w:rPr>
      <w:rFonts w:ascii="Cambria" w:hAnsi="Cambria" w:eastAsia="宋体" w:cs="黑体"/>
      <w:color w:val="365F90"/>
      <w:kern w:val="0"/>
      <w:sz w:val="28"/>
      <w:szCs w:val="28"/>
    </w:rPr>
  </w:style>
  <w:style w:type="paragraph" w:customStyle="1" w:styleId="25">
    <w:name w:val="四号正文"/>
    <w:basedOn w:val="1"/>
    <w:qFormat/>
    <w:uiPriority w:val="0"/>
    <w:pPr>
      <w:spacing w:line="360" w:lineRule="auto"/>
    </w:pPr>
    <w:rPr>
      <w:rFonts w:ascii="??" w:hAnsi="??"/>
      <w:color w:val="000000"/>
      <w:kern w:val="0"/>
      <w:sz w:val="28"/>
      <w:szCs w:val="21"/>
      <w:lang w:val="zh-CN"/>
    </w:rPr>
  </w:style>
  <w:style w:type="paragraph" w:customStyle="1" w:styleId="26">
    <w:name w:val="p0"/>
    <w:basedOn w:val="1"/>
    <w:qFormat/>
    <w:uiPriority w:val="99"/>
    <w:pPr>
      <w:widowControl/>
    </w:pPr>
    <w:rPr>
      <w:kern w:val="0"/>
      <w:szCs w:val="21"/>
    </w:rPr>
  </w:style>
  <w:style w:type="paragraph" w:customStyle="1" w:styleId="27">
    <w:name w:val="WPSOffice手动目录 1"/>
    <w:qFormat/>
    <w:uiPriority w:val="0"/>
    <w:rPr>
      <w:rFonts w:ascii="Times New Roman" w:hAnsi="Times New Roman" w:eastAsia="宋体" w:cs="Times New Roman"/>
      <w:lang w:val="en-US" w:eastAsia="zh-CN" w:bidi="ar-SA"/>
    </w:rPr>
  </w:style>
  <w:style w:type="paragraph" w:customStyle="1" w:styleId="28">
    <w:name w:val="WPSOffice手动目录 2"/>
    <w:qFormat/>
    <w:uiPriority w:val="0"/>
    <w:pPr>
      <w:ind w:left="200" w:leftChars="200"/>
    </w:pPr>
    <w:rPr>
      <w:rFonts w:ascii="Times New Roman" w:hAnsi="Times New Roman" w:eastAsia="宋体" w:cs="Times New Roman"/>
      <w:lang w:val="en-US" w:eastAsia="zh-CN" w:bidi="ar-SA"/>
    </w:rPr>
  </w:style>
  <w:style w:type="character" w:customStyle="1" w:styleId="29">
    <w:name w:val="Header Char"/>
    <w:basedOn w:val="17"/>
    <w:semiHidden/>
    <w:qFormat/>
    <w:uiPriority w:val="99"/>
    <w:rPr>
      <w:rFonts w:ascii="Times New Roman" w:hAnsi="Times New Roman"/>
      <w:sz w:val="18"/>
      <w:szCs w:val="18"/>
    </w:rPr>
  </w:style>
  <w:style w:type="character" w:customStyle="1" w:styleId="30">
    <w:name w:val="页眉 Char"/>
    <w:link w:val="11"/>
    <w:semiHidden/>
    <w:qFormat/>
    <w:locked/>
    <w:uiPriority w:val="99"/>
    <w:rPr>
      <w:sz w:val="18"/>
    </w:rPr>
  </w:style>
  <w:style w:type="character" w:customStyle="1" w:styleId="31">
    <w:name w:val="Footer Char"/>
    <w:basedOn w:val="17"/>
    <w:semiHidden/>
    <w:qFormat/>
    <w:uiPriority w:val="99"/>
    <w:rPr>
      <w:rFonts w:ascii="Times New Roman" w:hAnsi="Times New Roman"/>
      <w:sz w:val="18"/>
      <w:szCs w:val="18"/>
    </w:rPr>
  </w:style>
  <w:style w:type="character" w:customStyle="1" w:styleId="32">
    <w:name w:val="页脚 Char"/>
    <w:link w:val="10"/>
    <w:qFormat/>
    <w:locked/>
    <w:uiPriority w:val="99"/>
    <w:rPr>
      <w:sz w:val="18"/>
    </w:rPr>
  </w:style>
  <w:style w:type="character" w:customStyle="1" w:styleId="33">
    <w:name w:val="Body Text Char"/>
    <w:basedOn w:val="17"/>
    <w:semiHidden/>
    <w:qFormat/>
    <w:uiPriority w:val="99"/>
    <w:rPr>
      <w:rFonts w:ascii="Times New Roman" w:hAnsi="Times New Roman"/>
      <w:szCs w:val="24"/>
    </w:rPr>
  </w:style>
  <w:style w:type="character" w:customStyle="1" w:styleId="34">
    <w:name w:val="正文文本 Char"/>
    <w:link w:val="5"/>
    <w:qFormat/>
    <w:locked/>
    <w:uiPriority w:val="99"/>
    <w:rPr>
      <w:rFonts w:ascii="仿宋_GB2312" w:hAnsi="Times New Roman" w:eastAsia="仿宋_GB2312"/>
      <w:sz w:val="24"/>
    </w:rPr>
  </w:style>
  <w:style w:type="character" w:customStyle="1" w:styleId="35">
    <w:name w:val="标题 1 Char"/>
    <w:basedOn w:val="17"/>
    <w:link w:val="2"/>
    <w:qFormat/>
    <w:uiPriority w:val="9"/>
    <w:rPr>
      <w:rFonts w:ascii="Times New Roman" w:hAnsi="Times New Roman"/>
      <w:b/>
      <w:bCs/>
      <w:kern w:val="44"/>
      <w:sz w:val="44"/>
      <w:szCs w:val="44"/>
    </w:rPr>
  </w:style>
  <w:style w:type="character" w:customStyle="1" w:styleId="36">
    <w:name w:val="标题 2 Char"/>
    <w:basedOn w:val="17"/>
    <w:link w:val="3"/>
    <w:qFormat/>
    <w:uiPriority w:val="9"/>
    <w:rPr>
      <w:rFonts w:ascii="Cambria" w:hAnsi="Cambria" w:eastAsia="宋体" w:cs="黑体"/>
      <w:b/>
      <w:bCs/>
      <w:kern w:val="2"/>
      <w:sz w:val="32"/>
      <w:szCs w:val="32"/>
    </w:rPr>
  </w:style>
  <w:style w:type="character" w:customStyle="1" w:styleId="37">
    <w:name w:val="批注框文本 Char"/>
    <w:basedOn w:val="17"/>
    <w:link w:val="9"/>
    <w:semiHidden/>
    <w:qFormat/>
    <w:uiPriority w:val="99"/>
    <w:rPr>
      <w:rFonts w:ascii="Times New Roman" w:hAnsi="Times New Roman"/>
      <w:kern w:val="2"/>
      <w:sz w:val="18"/>
      <w:szCs w:val="18"/>
    </w:rPr>
  </w:style>
  <w:style w:type="character" w:customStyle="1" w:styleId="38">
    <w:name w:val="标题 3 Char"/>
    <w:basedOn w:val="17"/>
    <w:link w:val="4"/>
    <w:qFormat/>
    <w:uiPriority w:val="9"/>
    <w:rPr>
      <w:rFonts w:ascii="Times New Roman" w:hAnsi="Times New Roman"/>
      <w:b/>
      <w:bCs/>
      <w:kern w:val="2"/>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theme" Target="theme/theme1.xml"/><Relationship Id="rId10" Type="http://schemas.openxmlformats.org/officeDocument/2006/relationships/footer" Target="foot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2049" textRotate="1"/>
    <customShpInfo spid="_x0000_s2050" textRotate="1"/>
    <customShpInfo spid="_x0000_s2052" textRotate="1"/>
    <customShpInfo spid="_x0000_s2053" textRotate="1"/>
    <customShpInfo spid="_x0000_s2051" textRotate="1"/>
    <customShpInfo spid="_x0000_s1031"/>
    <customShpInfo spid="_x0000_s1032"/>
    <customShpInfo spid="_x0000_s1033"/>
    <customShpInfo spid="_x0000_s1034"/>
    <customShpInfo spid="_x0000_s1035"/>
    <customShpInfo spid="_x0000_s103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四川省财政厅</Company>
  <Pages>28</Pages>
  <Words>10238</Words>
  <Characters>10932</Characters>
  <Lines>16</Lines>
  <Paragraphs>24</Paragraphs>
  <TotalTime>0</TotalTime>
  <ScaleCrop>false</ScaleCrop>
  <LinksUpToDate>false</LinksUpToDate>
  <CharactersWithSpaces>10979</CharactersWithSpaces>
  <Application>WPS Office_12.1.0.18608_F1E327BC-269C-435d-A152-05C5408002CA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2024-08-05T07:12:00Z</dcterms:created>
  <dc:creator>曹颖</dc:creator>
  <cp:lastModifiedBy>李富云</cp:lastModifiedBy>
  <cp:lastPrinted>2024-10-28T01:15:00Z</cp:lastPrinted>
  <dcterms:modified xsi:type="dcterms:W3CDTF">2024-11-06T02:14:11Z</dcterms:modified>
  <dc:title>四川省***</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AA28AC12F9714604A31B632A2812602C_12</vt:lpwstr>
  </property>
</Properties>
</file>