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D181F">
      <w:pPr>
        <w:spacing w:line="600" w:lineRule="exact"/>
        <w:jc w:val="center"/>
        <w:outlineLvl w:val="0"/>
        <w:rPr>
          <w:rFonts w:hint="default" w:ascii="Times New Roman" w:hAnsi="Times New Roman" w:eastAsia="方正小标宋简体" w:cs="Times New Roman"/>
          <w:sz w:val="72"/>
          <w:szCs w:val="72"/>
        </w:rPr>
      </w:pPr>
      <w:bookmarkStart w:id="0" w:name="_Toc15396597"/>
      <w:bookmarkStart w:id="1" w:name="_Toc15377425"/>
      <w:bookmarkStart w:id="2" w:name="_Toc15396475"/>
      <w:bookmarkStart w:id="3" w:name="_Toc15377193"/>
      <w:bookmarkStart w:id="4" w:name="_Toc15378441"/>
      <w:bookmarkStart w:id="5" w:name="_Toc15306267"/>
    </w:p>
    <w:p w14:paraId="10BF02D7">
      <w:pPr>
        <w:pStyle w:val="5"/>
        <w:spacing w:before="93"/>
        <w:rPr>
          <w:rFonts w:hint="default" w:ascii="Times New Roman" w:hAnsi="Times New Roman" w:cs="Times New Roman"/>
        </w:rPr>
      </w:pPr>
    </w:p>
    <w:p w14:paraId="7A349E7C">
      <w:pPr>
        <w:spacing w:line="600" w:lineRule="exact"/>
        <w:jc w:val="center"/>
        <w:outlineLvl w:val="0"/>
        <w:rPr>
          <w:rFonts w:hint="default" w:ascii="Times New Roman" w:hAnsi="Times New Roman" w:eastAsia="方正小标宋简体" w:cs="Times New Roman"/>
          <w:sz w:val="72"/>
          <w:szCs w:val="72"/>
        </w:rPr>
      </w:pPr>
    </w:p>
    <w:p w14:paraId="52C5EB62">
      <w:pPr>
        <w:spacing w:line="600" w:lineRule="exact"/>
        <w:jc w:val="center"/>
        <w:outlineLvl w:val="0"/>
        <w:rPr>
          <w:rFonts w:hint="default" w:ascii="Times New Roman" w:hAnsi="Times New Roman" w:eastAsia="方正小标宋简体" w:cs="Times New Roman"/>
          <w:sz w:val="72"/>
          <w:szCs w:val="72"/>
        </w:rPr>
      </w:pPr>
    </w:p>
    <w:p w14:paraId="71E715D8">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31558"/>
      <w:bookmarkStart w:id="7" w:name="_Toc17511"/>
      <w:r>
        <w:rPr>
          <w:rFonts w:hint="default" w:ascii="Times New Roman" w:hAnsi="Times New Roman" w:eastAsia="方正小标宋简体" w:cs="Times New Roman"/>
          <w:sz w:val="72"/>
          <w:szCs w:val="72"/>
        </w:rPr>
        <w:t>2023年度</w:t>
      </w:r>
      <w:bookmarkEnd w:id="0"/>
      <w:bookmarkEnd w:id="1"/>
      <w:bookmarkEnd w:id="2"/>
      <w:bookmarkEnd w:id="3"/>
      <w:bookmarkEnd w:id="4"/>
      <w:bookmarkEnd w:id="6"/>
      <w:bookmarkEnd w:id="7"/>
    </w:p>
    <w:p w14:paraId="49E64B05">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8" w:name="_Toc15377426"/>
      <w:bookmarkStart w:id="9" w:name="_Toc15378442"/>
      <w:bookmarkStart w:id="10" w:name="_Toc15396476"/>
      <w:bookmarkStart w:id="11" w:name="_Toc15396598"/>
      <w:bookmarkStart w:id="12" w:name="_Toc15377194"/>
      <w:bookmarkStart w:id="13" w:name="_Toc22035"/>
      <w:bookmarkStart w:id="14" w:name="_Toc31495"/>
      <w:r>
        <w:rPr>
          <w:rFonts w:hint="default" w:ascii="Times New Roman" w:hAnsi="Times New Roman" w:eastAsia="方正小标宋简体" w:cs="Times New Roman"/>
          <w:sz w:val="72"/>
          <w:szCs w:val="72"/>
        </w:rPr>
        <w:t>四川省</w:t>
      </w:r>
      <w:bookmarkEnd w:id="5"/>
      <w:bookmarkStart w:id="15" w:name="_Toc15306268"/>
      <w:r>
        <w:rPr>
          <w:rFonts w:hint="default" w:ascii="Times New Roman" w:hAnsi="Times New Roman" w:eastAsia="方正小标宋简体" w:cs="Times New Roman"/>
          <w:sz w:val="72"/>
          <w:szCs w:val="72"/>
        </w:rPr>
        <w:t>盐边县就业创业</w:t>
      </w:r>
    </w:p>
    <w:p w14:paraId="7735FF66">
      <w:pPr>
        <w:adjustRightInd w:val="0"/>
        <w:snapToGrid w:val="0"/>
        <w:spacing w:line="360" w:lineRule="auto"/>
        <w:jc w:val="center"/>
        <w:outlineLvl w:val="0"/>
        <w:rPr>
          <w:rFonts w:hint="default" w:ascii="Times New Roman" w:hAnsi="Times New Roman" w:eastAsia="方正小标宋简体" w:cs="Times New Roman"/>
          <w:sz w:val="72"/>
          <w:szCs w:val="72"/>
        </w:rPr>
      </w:pPr>
      <w:r>
        <w:rPr>
          <w:rFonts w:hint="default" w:ascii="Times New Roman" w:hAnsi="Times New Roman" w:eastAsia="方正小标宋简体" w:cs="Times New Roman"/>
          <w:sz w:val="72"/>
          <w:szCs w:val="72"/>
        </w:rPr>
        <w:t>促进中心部门决算</w:t>
      </w:r>
      <w:bookmarkEnd w:id="8"/>
      <w:bookmarkEnd w:id="9"/>
      <w:bookmarkEnd w:id="10"/>
      <w:bookmarkEnd w:id="11"/>
      <w:bookmarkEnd w:id="12"/>
      <w:bookmarkEnd w:id="13"/>
      <w:bookmarkEnd w:id="14"/>
      <w:bookmarkEnd w:id="15"/>
    </w:p>
    <w:p w14:paraId="196922F4">
      <w:pPr>
        <w:widowControl/>
        <w:jc w:val="center"/>
        <w:rPr>
          <w:rFonts w:hint="default" w:ascii="Times New Roman" w:hAnsi="Times New Roman" w:eastAsia="黑体" w:cs="Times New Roman"/>
          <w:sz w:val="48"/>
          <w:szCs w:val="48"/>
        </w:rPr>
      </w:pPr>
      <w:r>
        <w:rPr>
          <w:rFonts w:hint="default" w:ascii="Times New Roman" w:hAnsi="Times New Roman" w:eastAsia="方正小标宋简体" w:cs="Times New Roman"/>
          <w:sz w:val="36"/>
          <w:szCs w:val="36"/>
        </w:rPr>
        <w:br w:type="page"/>
      </w:r>
      <w:r>
        <w:rPr>
          <w:rFonts w:hint="default" w:ascii="Times New Roman" w:hAnsi="Times New Roman" w:eastAsia="黑体" w:cs="Times New Roman"/>
          <w:sz w:val="48"/>
          <w:szCs w:val="48"/>
        </w:rPr>
        <w:t>目录</w:t>
      </w:r>
    </w:p>
    <w:p w14:paraId="61820573">
      <w:pPr>
        <w:widowControl/>
        <w:jc w:val="center"/>
        <w:rPr>
          <w:rFonts w:hint="default" w:ascii="Times New Roman" w:hAnsi="Times New Roman" w:eastAsia="黑体" w:cs="Times New Roman"/>
          <w:sz w:val="28"/>
          <w:szCs w:val="28"/>
        </w:rPr>
      </w:pPr>
    </w:p>
    <w:p w14:paraId="6FE8D4D6">
      <w:pPr>
        <w:pStyle w:val="12"/>
        <w:rPr>
          <w:rFonts w:hint="default" w:ascii="Times New Roman" w:hAnsi="Times New Roman" w:cs="Times New Roman"/>
        </w:rPr>
      </w:pPr>
      <w:r>
        <w:rPr>
          <w:rFonts w:hint="default" w:ascii="Times New Roman" w:hAnsi="Times New Roman" w:cs="Times New Roman"/>
        </w:rPr>
        <w:t>公开时间：2024年10月28日</w:t>
      </w:r>
    </w:p>
    <w:p w14:paraId="2F5EC745">
      <w:pPr>
        <w:pStyle w:val="12"/>
        <w:tabs>
          <w:tab w:val="right" w:leader="dot" w:pos="8306"/>
          <w:tab w:val="clear" w:pos="8296"/>
        </w:tabs>
        <w:rPr>
          <w:rFonts w:hint="default" w:ascii="Times New Roman" w:hAnsi="Times New Roman" w:eastAsia="宋体" w:cs="Times New Roman"/>
          <w:bCs/>
          <w:kern w:val="44"/>
          <w:szCs w:val="44"/>
        </w:rPr>
      </w:pPr>
      <w:bookmarkStart w:id="16" w:name="_Toc15396599"/>
      <w:bookmarkStart w:id="17" w:name="_Toc15377196"/>
      <w:r>
        <w:rPr>
          <w:rFonts w:hint="default" w:ascii="Times New Roman" w:hAnsi="Times New Roman" w:cs="Times New Roman"/>
          <w:sz w:val="24"/>
        </w:rPr>
        <w:fldChar w:fldCharType="begin"/>
      </w:r>
      <w:r>
        <w:rPr>
          <w:rFonts w:hint="default" w:ascii="Times New Roman" w:hAnsi="Times New Roman" w:cs="Times New Roman"/>
          <w:sz w:val="24"/>
        </w:rPr>
        <w:instrText xml:space="preserve">TOC \o "1-3" \h  \u </w:instrText>
      </w:r>
      <w:r>
        <w:rPr>
          <w:rFonts w:hint="default" w:ascii="Times New Roman" w:hAnsi="Times New Roman" w:cs="Times New Roman"/>
          <w:sz w:val="24"/>
        </w:rPr>
        <w:fldChar w:fldCharType="separate"/>
      </w:r>
    </w:p>
    <w:p w14:paraId="02F1A632">
      <w:pPr>
        <w:pStyle w:val="12"/>
        <w:tabs>
          <w:tab w:val="right" w:leader="dot" w:pos="8306"/>
          <w:tab w:val="clear" w:pos="8296"/>
        </w:tabs>
        <w:rPr>
          <w:rFonts w:hint="default" w:ascii="Times New Roman" w:hAnsi="Times New Roman" w:eastAsia="宋体" w:cs="Times New Roman"/>
          <w:bCs/>
          <w:kern w:val="44"/>
          <w:szCs w:val="44"/>
        </w:rPr>
      </w:pPr>
      <w:r>
        <w:rPr>
          <w:rFonts w:hint="default" w:ascii="Times New Roman" w:hAnsi="Times New Roman" w:cs="Times New Roman"/>
        </w:rPr>
        <w:fldChar w:fldCharType="begin"/>
      </w:r>
      <w:r>
        <w:rPr>
          <w:rFonts w:hint="default" w:ascii="Times New Roman" w:hAnsi="Times New Roman" w:cs="Times New Roman"/>
        </w:rPr>
        <w:instrText xml:space="preserve">HYPERLINK  \l "_Toc25728" </w:instrText>
      </w:r>
      <w:r>
        <w:rPr>
          <w:rFonts w:hint="default" w:ascii="Times New Roman" w:hAnsi="Times New Roman" w:cs="Times New Roman"/>
        </w:rPr>
        <w:fldChar w:fldCharType="separate"/>
      </w:r>
      <w:r>
        <w:rPr>
          <w:rFonts w:hint="default" w:ascii="Times New Roman" w:hAnsi="Times New Roman" w:eastAsia="黑体" w:cs="Times New Roman"/>
          <w:bCs/>
          <w:kern w:val="44"/>
          <w:szCs w:val="44"/>
        </w:rPr>
        <w:t>第一部分</w:t>
      </w:r>
      <w:r>
        <w:rPr>
          <w:rFonts w:hint="default" w:ascii="Times New Roman" w:hAnsi="Times New Roman" w:eastAsia="黑体" w:cs="Times New Roman"/>
          <w:kern w:val="44"/>
          <w:szCs w:val="44"/>
        </w:rPr>
        <w:t>部门概况</w:t>
      </w:r>
      <w:r>
        <w:rPr>
          <w:rFonts w:hint="default" w:ascii="Times New Roman" w:hAnsi="Times New Roman" w:eastAsia="宋体" w:cs="Times New Roman"/>
          <w:bCs/>
          <w:kern w:val="44"/>
          <w:szCs w:val="44"/>
        </w:rPr>
        <w:tab/>
      </w:r>
      <w:r>
        <w:rPr>
          <w:rFonts w:hint="default" w:ascii="Times New Roman" w:hAnsi="Times New Roman" w:eastAsia="宋体" w:cs="Times New Roman"/>
          <w:bCs/>
          <w:kern w:val="44"/>
          <w:szCs w:val="44"/>
        </w:rPr>
        <w:fldChar w:fldCharType="begin"/>
      </w:r>
      <w:r>
        <w:rPr>
          <w:rFonts w:hint="default" w:ascii="Times New Roman" w:hAnsi="Times New Roman" w:eastAsia="宋体" w:cs="Times New Roman"/>
          <w:bCs/>
          <w:kern w:val="44"/>
          <w:szCs w:val="44"/>
        </w:rPr>
        <w:instrText xml:space="preserve"> PAGEREF _Toc25728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w:t>
      </w:r>
      <w:r>
        <w:rPr>
          <w:rFonts w:hint="default" w:ascii="Times New Roman" w:hAnsi="Times New Roman" w:eastAsia="宋体" w:cs="Times New Roman"/>
          <w:bCs/>
          <w:kern w:val="44"/>
          <w:szCs w:val="44"/>
        </w:rPr>
        <w:fldChar w:fldCharType="end"/>
      </w:r>
      <w:r>
        <w:rPr>
          <w:rFonts w:hint="default" w:ascii="Times New Roman" w:hAnsi="Times New Roman" w:cs="Times New Roman"/>
        </w:rPr>
        <w:fldChar w:fldCharType="end"/>
      </w:r>
    </w:p>
    <w:p w14:paraId="191DAC76">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"_Toc18799" </w:instrText>
      </w:r>
      <w:r>
        <w:rPr>
          <w:rFonts w:hint="default" w:ascii="Times New Roman" w:hAnsi="Times New Roman" w:cs="Times New Roman"/>
        </w:rPr>
        <w:fldChar w:fldCharType="separate"/>
      </w:r>
      <w:r>
        <w:rPr>
          <w:rFonts w:hint="default" w:ascii="Times New Roman" w:hAnsi="Times New Roman" w:eastAsia="黑体" w:cs="Times New Roman"/>
          <w:bCs/>
          <w:kern w:val="44"/>
          <w:sz w:val="24"/>
        </w:rPr>
        <w:t>一、部门职责</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_Toc18799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1</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5703B481">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"_Toc25583" </w:instrText>
      </w:r>
      <w:r>
        <w:rPr>
          <w:rFonts w:hint="default" w:ascii="Times New Roman" w:hAnsi="Times New Roman" w:cs="Times New Roman"/>
        </w:rPr>
        <w:fldChar w:fldCharType="separate"/>
      </w:r>
      <w:r>
        <w:rPr>
          <w:rFonts w:hint="default" w:ascii="Times New Roman" w:hAnsi="Times New Roman" w:eastAsia="黑体" w:cs="Times New Roman"/>
          <w:bCs/>
          <w:kern w:val="44"/>
          <w:sz w:val="24"/>
        </w:rPr>
        <w:t>二、机</w:t>
      </w:r>
      <w:r>
        <w:rPr>
          <w:rFonts w:hint="default" w:ascii="Times New Roman" w:hAnsi="Times New Roman" w:eastAsia="黑体" w:cs="Times New Roman"/>
          <w:kern w:val="44"/>
          <w:sz w:val="24"/>
        </w:rPr>
        <w:t>构设置</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_Toc25583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1</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422B3270">
      <w:pPr>
        <w:pStyle w:val="12"/>
        <w:tabs>
          <w:tab w:val="right" w:leader="dot" w:pos="8306"/>
          <w:tab w:val="clear" w:pos="8296"/>
        </w:tabs>
        <w:rPr>
          <w:rFonts w:hint="default" w:ascii="Times New Roman" w:hAnsi="Times New Roman" w:eastAsia="宋体" w:cs="Times New Roman"/>
          <w:bCs/>
          <w:kern w:val="44"/>
          <w:szCs w:val="44"/>
        </w:rPr>
      </w:pPr>
      <w:r>
        <w:rPr>
          <w:rFonts w:hint="default" w:ascii="Times New Roman" w:hAnsi="Times New Roman" w:cs="Times New Roman"/>
        </w:rPr>
        <w:fldChar w:fldCharType="begin"/>
      </w:r>
      <w:r>
        <w:rPr>
          <w:rFonts w:hint="default" w:ascii="Times New Roman" w:hAnsi="Times New Roman" w:cs="Times New Roman"/>
        </w:rPr>
        <w:instrText xml:space="preserve">HYPERLINK  \l "_Toc2739" </w:instrText>
      </w:r>
      <w:r>
        <w:rPr>
          <w:rFonts w:hint="default" w:ascii="Times New Roman" w:hAnsi="Times New Roman" w:cs="Times New Roman"/>
        </w:rPr>
        <w:fldChar w:fldCharType="separate"/>
      </w:r>
      <w:r>
        <w:rPr>
          <w:rFonts w:hint="default" w:ascii="Times New Roman" w:hAnsi="Times New Roman" w:eastAsia="黑体" w:cs="Times New Roman"/>
          <w:bCs/>
          <w:kern w:val="44"/>
          <w:szCs w:val="44"/>
        </w:rPr>
        <w:t>第二部分2023年度部门决算情况说明</w:t>
      </w:r>
      <w:r>
        <w:rPr>
          <w:rFonts w:hint="default" w:ascii="Times New Roman" w:hAnsi="Times New Roman" w:eastAsia="宋体" w:cs="Times New Roman"/>
          <w:bCs/>
          <w:kern w:val="44"/>
          <w:szCs w:val="44"/>
        </w:rPr>
        <w:tab/>
      </w:r>
      <w:r>
        <w:rPr>
          <w:rFonts w:hint="default" w:ascii="Times New Roman" w:hAnsi="Times New Roman" w:eastAsia="宋体" w:cs="Times New Roman"/>
          <w:bCs/>
          <w:kern w:val="44"/>
          <w:szCs w:val="44"/>
        </w:rPr>
        <w:fldChar w:fldCharType="begin"/>
      </w:r>
      <w:r>
        <w:rPr>
          <w:rFonts w:hint="default" w:ascii="Times New Roman" w:hAnsi="Times New Roman" w:eastAsia="宋体" w:cs="Times New Roman"/>
          <w:bCs/>
          <w:kern w:val="44"/>
          <w:szCs w:val="44"/>
        </w:rPr>
        <w:instrText xml:space="preserve"> PAGEREF _Toc2739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2</w:t>
      </w:r>
      <w:r>
        <w:rPr>
          <w:rFonts w:hint="default" w:ascii="Times New Roman" w:hAnsi="Times New Roman" w:eastAsia="宋体" w:cs="Times New Roman"/>
          <w:bCs/>
          <w:kern w:val="44"/>
          <w:szCs w:val="44"/>
        </w:rPr>
        <w:fldChar w:fldCharType="end"/>
      </w:r>
      <w:r>
        <w:rPr>
          <w:rFonts w:hint="default" w:ascii="Times New Roman" w:hAnsi="Times New Roman" w:cs="Times New Roman"/>
        </w:rPr>
        <w:fldChar w:fldCharType="end"/>
      </w:r>
    </w:p>
    <w:p w14:paraId="7B640EF3">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"_Toc32014" </w:instrText>
      </w:r>
      <w:r>
        <w:rPr>
          <w:rFonts w:hint="default" w:ascii="Times New Roman" w:hAnsi="Times New Roman" w:cs="Times New Roman"/>
        </w:rPr>
        <w:fldChar w:fldCharType="separate"/>
      </w:r>
      <w:r>
        <w:rPr>
          <w:rFonts w:hint="default" w:ascii="Times New Roman" w:hAnsi="Times New Roman" w:eastAsia="黑体" w:cs="Times New Roman"/>
          <w:bCs/>
          <w:sz w:val="24"/>
        </w:rPr>
        <w:t>一、</w:t>
      </w:r>
      <w:r>
        <w:rPr>
          <w:rFonts w:hint="default" w:ascii="Times New Roman" w:hAnsi="Times New Roman" w:eastAsia="黑体" w:cs="Times New Roman"/>
          <w:bCs/>
          <w:kern w:val="44"/>
          <w:sz w:val="24"/>
        </w:rPr>
        <w:t>收入支出决算总体情况说明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_Toc32014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2</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718955A5">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"_Toc21948" </w:instrText>
      </w:r>
      <w:r>
        <w:rPr>
          <w:rFonts w:hint="default" w:ascii="Times New Roman" w:hAnsi="Times New Roman" w:cs="Times New Roman"/>
        </w:rPr>
        <w:fldChar w:fldCharType="separate"/>
      </w:r>
      <w:r>
        <w:rPr>
          <w:rFonts w:hint="default" w:ascii="Times New Roman" w:hAnsi="Times New Roman" w:eastAsia="黑体" w:cs="Times New Roman"/>
          <w:bCs/>
          <w:sz w:val="24"/>
        </w:rPr>
        <w:t>二、</w:t>
      </w:r>
      <w:r>
        <w:rPr>
          <w:rFonts w:hint="default" w:ascii="Times New Roman" w:hAnsi="Times New Roman" w:eastAsia="黑体" w:cs="Times New Roman"/>
          <w:bCs/>
          <w:kern w:val="44"/>
          <w:sz w:val="24"/>
        </w:rPr>
        <w:t>收入决算情况说明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_Toc21948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2</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7C028FDE">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"_Toc17149" </w:instrText>
      </w:r>
      <w:r>
        <w:rPr>
          <w:rFonts w:hint="default" w:ascii="Times New Roman" w:hAnsi="Times New Roman" w:cs="Times New Roman"/>
        </w:rPr>
        <w:fldChar w:fldCharType="separate"/>
      </w:r>
      <w:r>
        <w:rPr>
          <w:rFonts w:hint="default" w:ascii="Times New Roman" w:hAnsi="Times New Roman" w:eastAsia="黑体" w:cs="Times New Roman"/>
          <w:bCs/>
          <w:sz w:val="24"/>
        </w:rPr>
        <w:t>三、</w:t>
      </w:r>
      <w:r>
        <w:rPr>
          <w:rFonts w:hint="default" w:ascii="Times New Roman" w:hAnsi="Times New Roman" w:eastAsia="黑体" w:cs="Times New Roman"/>
          <w:bCs/>
          <w:kern w:val="44"/>
          <w:sz w:val="24"/>
        </w:rPr>
        <w:t>支出决算情况说明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_Toc17149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3</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4F74C78A">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"_Toc15389" </w:instrText>
      </w:r>
      <w:r>
        <w:rPr>
          <w:rFonts w:hint="default" w:ascii="Times New Roman" w:hAnsi="Times New Roman" w:cs="Times New Roman"/>
        </w:rPr>
        <w:fldChar w:fldCharType="separate"/>
      </w:r>
      <w:r>
        <w:rPr>
          <w:rFonts w:hint="default" w:ascii="Times New Roman" w:hAnsi="Times New Roman" w:eastAsia="黑体" w:cs="Times New Roman"/>
          <w:bCs/>
          <w:kern w:val="44"/>
          <w:sz w:val="24"/>
        </w:rPr>
        <w:t>四、财政拨款收入支出决算总体情况说明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_Toc15389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3</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2AAE685B">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"_Toc2375" </w:instrText>
      </w:r>
      <w:r>
        <w:rPr>
          <w:rFonts w:hint="default" w:ascii="Times New Roman" w:hAnsi="Times New Roman" w:cs="Times New Roman"/>
        </w:rPr>
        <w:fldChar w:fldCharType="separate"/>
      </w:r>
      <w:r>
        <w:rPr>
          <w:rFonts w:hint="default" w:ascii="Times New Roman" w:hAnsi="Times New Roman" w:eastAsia="黑体" w:cs="Times New Roman"/>
          <w:bCs/>
          <w:kern w:val="44"/>
          <w:sz w:val="24"/>
        </w:rPr>
        <w:t>五、一般公共预算财政拨款支出决算情况说明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_Toc2375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4</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0B3F3E70">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"_Toc9713" </w:instrText>
      </w:r>
      <w:r>
        <w:rPr>
          <w:rFonts w:hint="default" w:ascii="Times New Roman" w:hAnsi="Times New Roman" w:cs="Times New Roman"/>
        </w:rPr>
        <w:fldChar w:fldCharType="separate"/>
      </w:r>
      <w:r>
        <w:rPr>
          <w:rFonts w:hint="default" w:ascii="Times New Roman" w:hAnsi="Times New Roman" w:eastAsia="黑体" w:cs="Times New Roman"/>
          <w:bCs/>
          <w:kern w:val="44"/>
          <w:sz w:val="24"/>
        </w:rPr>
        <w:t>六、一般公共预算财政拨款基本支出决算情况说明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_Toc9713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6</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6FB01F1F">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"_Toc6321" </w:instrText>
      </w:r>
      <w:r>
        <w:rPr>
          <w:rFonts w:hint="default" w:ascii="Times New Roman" w:hAnsi="Times New Roman" w:cs="Times New Roman"/>
        </w:rPr>
        <w:fldChar w:fldCharType="separate"/>
      </w:r>
      <w:r>
        <w:rPr>
          <w:rFonts w:hint="default" w:ascii="Times New Roman" w:hAnsi="Times New Roman" w:eastAsia="黑体" w:cs="Times New Roman"/>
          <w:bCs/>
          <w:kern w:val="44"/>
          <w:sz w:val="24"/>
        </w:rPr>
        <w:t>七、财政拨款“三公”经费支出决算情况说明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_Toc6321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7</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47587B00">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"_Toc4975" </w:instrText>
      </w:r>
      <w:r>
        <w:rPr>
          <w:rFonts w:hint="default" w:ascii="Times New Roman" w:hAnsi="Times New Roman" w:cs="Times New Roman"/>
        </w:rPr>
        <w:fldChar w:fldCharType="separate"/>
      </w:r>
      <w:r>
        <w:rPr>
          <w:rFonts w:hint="default" w:ascii="Times New Roman" w:hAnsi="Times New Roman" w:eastAsia="黑体" w:cs="Times New Roman"/>
          <w:bCs/>
          <w:kern w:val="44"/>
          <w:sz w:val="24"/>
        </w:rPr>
        <w:t>八、政府性基金预算支出决算情况说明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_Toc4975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8</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0E2551E9">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"_Toc31792" </w:instrText>
      </w:r>
      <w:r>
        <w:rPr>
          <w:rFonts w:hint="default" w:ascii="Times New Roman" w:hAnsi="Times New Roman" w:cs="Times New Roman"/>
        </w:rPr>
        <w:fldChar w:fldCharType="separate"/>
      </w:r>
      <w:r>
        <w:rPr>
          <w:rFonts w:hint="default" w:ascii="Times New Roman" w:hAnsi="Times New Roman" w:eastAsia="黑体" w:cs="Times New Roman"/>
          <w:bCs/>
          <w:sz w:val="24"/>
        </w:rPr>
        <w:t>九、</w:t>
      </w:r>
      <w:r>
        <w:rPr>
          <w:rFonts w:hint="default" w:ascii="Times New Roman" w:hAnsi="Times New Roman" w:eastAsia="黑体" w:cs="Times New Roman"/>
          <w:bCs/>
          <w:kern w:val="44"/>
          <w:sz w:val="24"/>
        </w:rPr>
        <w:t>国有资本经营预算支出决算情况说明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_Toc31792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8</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138E269C">
      <w:pPr>
        <w:pStyle w:val="13"/>
        <w:tabs>
          <w:tab w:val="right" w:leader="dot" w:pos="8306"/>
          <w:tab w:val="clear" w:pos="8296"/>
        </w:tabs>
        <w:rPr>
          <w:rFonts w:hint="default" w:ascii="Times New Roman" w:hAnsi="Times New Roman" w:cs="Times New Roman"/>
          <w:bCs/>
          <w:kern w:val="44"/>
          <w:sz w:val="24"/>
        </w:rPr>
      </w:pPr>
      <w:r>
        <w:rPr>
          <w:rFonts w:hint="default" w:ascii="Times New Roman" w:hAnsi="Times New Roman" w:cs="Times New Roman"/>
        </w:rPr>
        <w:fldChar w:fldCharType="begin"/>
      </w:r>
      <w:r>
        <w:rPr>
          <w:rFonts w:hint="default" w:ascii="Times New Roman" w:hAnsi="Times New Roman" w:cs="Times New Roman"/>
        </w:rPr>
        <w:instrText xml:space="preserve">HYPERLINK  \l "_Toc22380" </w:instrText>
      </w:r>
      <w:r>
        <w:rPr>
          <w:rFonts w:hint="default" w:ascii="Times New Roman" w:hAnsi="Times New Roman" w:cs="Times New Roman"/>
        </w:rPr>
        <w:fldChar w:fldCharType="separate"/>
      </w:r>
      <w:r>
        <w:rPr>
          <w:rFonts w:hint="default" w:ascii="Times New Roman" w:hAnsi="Times New Roman" w:eastAsia="黑体" w:cs="Times New Roman"/>
          <w:bCs/>
          <w:sz w:val="24"/>
        </w:rPr>
        <w:t>十、</w:t>
      </w:r>
      <w:r>
        <w:rPr>
          <w:rFonts w:hint="default" w:ascii="Times New Roman" w:hAnsi="Times New Roman" w:eastAsia="黑体" w:cs="Times New Roman"/>
          <w:bCs/>
          <w:kern w:val="44"/>
          <w:sz w:val="24"/>
        </w:rPr>
        <w:t>其他重要事项的情况说明</w:t>
      </w:r>
      <w:r>
        <w:rPr>
          <w:rFonts w:hint="default" w:ascii="Times New Roman" w:hAnsi="Times New Roman" w:cs="Times New Roman"/>
          <w:bCs/>
          <w:kern w:val="44"/>
          <w:sz w:val="24"/>
        </w:rPr>
        <w:tab/>
      </w:r>
      <w:r>
        <w:rPr>
          <w:rFonts w:hint="default" w:ascii="Times New Roman" w:hAnsi="Times New Roman" w:cs="Times New Roman"/>
          <w:bCs/>
          <w:kern w:val="44"/>
          <w:sz w:val="24"/>
        </w:rPr>
        <w:fldChar w:fldCharType="begin"/>
      </w:r>
      <w:r>
        <w:rPr>
          <w:rFonts w:hint="default" w:ascii="Times New Roman" w:hAnsi="Times New Roman" w:cs="Times New Roman"/>
          <w:bCs/>
          <w:kern w:val="44"/>
          <w:sz w:val="24"/>
        </w:rPr>
        <w:instrText xml:space="preserve"> PAGEREF _Toc22380 </w:instrText>
      </w:r>
      <w:r>
        <w:rPr>
          <w:rFonts w:hint="default" w:ascii="Times New Roman" w:hAnsi="Times New Roman" w:cs="Times New Roman"/>
          <w:bCs/>
          <w:kern w:val="44"/>
          <w:sz w:val="24"/>
        </w:rPr>
        <w:fldChar w:fldCharType="separate"/>
      </w:r>
      <w:r>
        <w:rPr>
          <w:rFonts w:hint="default" w:ascii="Times New Roman" w:hAnsi="Times New Roman" w:cs="Times New Roman"/>
          <w:bCs/>
          <w:kern w:val="44"/>
          <w:sz w:val="24"/>
        </w:rPr>
        <w:t>8</w:t>
      </w:r>
      <w:r>
        <w:rPr>
          <w:rFonts w:hint="default" w:ascii="Times New Roman" w:hAnsi="Times New Roman" w:cs="Times New Roman"/>
          <w:bCs/>
          <w:kern w:val="44"/>
          <w:sz w:val="24"/>
        </w:rPr>
        <w:fldChar w:fldCharType="end"/>
      </w:r>
      <w:r>
        <w:rPr>
          <w:rFonts w:hint="default" w:ascii="Times New Roman" w:hAnsi="Times New Roman" w:cs="Times New Roman"/>
        </w:rPr>
        <w:fldChar w:fldCharType="end"/>
      </w:r>
    </w:p>
    <w:p w14:paraId="1B8D8112">
      <w:pPr>
        <w:pStyle w:val="12"/>
        <w:tabs>
          <w:tab w:val="right" w:leader="dot" w:pos="8306"/>
          <w:tab w:val="clear" w:pos="8296"/>
        </w:tabs>
        <w:rPr>
          <w:rFonts w:hint="default" w:ascii="Times New Roman" w:hAnsi="Times New Roman" w:eastAsia="黑体" w:cs="Times New Roman"/>
          <w:bCs/>
          <w:kern w:val="44"/>
          <w:szCs w:val="44"/>
        </w:rPr>
      </w:pPr>
      <w:r>
        <w:rPr>
          <w:rFonts w:hint="default" w:ascii="Times New Roman" w:hAnsi="Times New Roman" w:cs="Times New Roman"/>
        </w:rPr>
        <w:fldChar w:fldCharType="begin"/>
      </w:r>
      <w:r>
        <w:rPr>
          <w:rFonts w:hint="default" w:ascii="Times New Roman" w:hAnsi="Times New Roman" w:cs="Times New Roman"/>
        </w:rPr>
        <w:instrText xml:space="preserve">HYPERLINK  \l "_Toc19525" </w:instrText>
      </w:r>
      <w:r>
        <w:rPr>
          <w:rFonts w:hint="default" w:ascii="Times New Roman" w:hAnsi="Times New Roman" w:cs="Times New Roman"/>
        </w:rPr>
        <w:fldChar w:fldCharType="separate"/>
      </w:r>
      <w:r>
        <w:rPr>
          <w:rFonts w:hint="default" w:ascii="Times New Roman" w:hAnsi="Times New Roman" w:eastAsia="黑体" w:cs="Times New Roman"/>
          <w:bCs/>
          <w:kern w:val="44"/>
          <w:szCs w:val="44"/>
        </w:rPr>
        <w:t>第三部分名词解释</w:t>
      </w:r>
      <w:r>
        <w:rPr>
          <w:rFonts w:hint="default" w:ascii="Times New Roman" w:hAnsi="Times New Roman" w:eastAsia="黑体" w:cs="Times New Roman"/>
          <w:bCs/>
          <w:kern w:val="44"/>
          <w:szCs w:val="44"/>
        </w:rPr>
        <w:tab/>
      </w:r>
      <w:r>
        <w:rPr>
          <w:rFonts w:hint="default" w:ascii="Times New Roman" w:hAnsi="Times New Roman" w:eastAsia="黑体" w:cs="Times New Roman"/>
          <w:bCs/>
          <w:kern w:val="44"/>
          <w:szCs w:val="44"/>
        </w:rPr>
        <w:fldChar w:fldCharType="begin"/>
      </w:r>
      <w:r>
        <w:rPr>
          <w:rFonts w:hint="default" w:ascii="Times New Roman" w:hAnsi="Times New Roman" w:eastAsia="黑体" w:cs="Times New Roman"/>
          <w:bCs/>
          <w:kern w:val="44"/>
          <w:szCs w:val="44"/>
        </w:rPr>
        <w:instrText xml:space="preserve"> PAGEREF _Toc19525 </w:instrText>
      </w:r>
      <w:r>
        <w:rPr>
          <w:rFonts w:hint="default" w:ascii="Times New Roman" w:hAnsi="Times New Roman" w:eastAsia="黑体" w:cs="Times New Roman"/>
          <w:bCs/>
          <w:kern w:val="44"/>
          <w:szCs w:val="44"/>
        </w:rPr>
        <w:fldChar w:fldCharType="separate"/>
      </w:r>
      <w:r>
        <w:rPr>
          <w:rFonts w:hint="default" w:ascii="Times New Roman" w:hAnsi="Times New Roman" w:eastAsia="黑体" w:cs="Times New Roman"/>
          <w:bCs/>
          <w:kern w:val="44"/>
          <w:szCs w:val="44"/>
        </w:rPr>
        <w:t>11</w:t>
      </w:r>
      <w:r>
        <w:rPr>
          <w:rFonts w:hint="default" w:ascii="Times New Roman" w:hAnsi="Times New Roman" w:eastAsia="黑体" w:cs="Times New Roman"/>
          <w:bCs/>
          <w:kern w:val="44"/>
          <w:szCs w:val="44"/>
        </w:rPr>
        <w:fldChar w:fldCharType="end"/>
      </w:r>
      <w:r>
        <w:rPr>
          <w:rFonts w:hint="default" w:ascii="Times New Roman" w:hAnsi="Times New Roman" w:cs="Times New Roman"/>
        </w:rPr>
        <w:fldChar w:fldCharType="end"/>
      </w:r>
    </w:p>
    <w:p w14:paraId="62314D09">
      <w:pPr>
        <w:pStyle w:val="12"/>
        <w:tabs>
          <w:tab w:val="right" w:leader="dot" w:pos="8306"/>
          <w:tab w:val="clear" w:pos="8296"/>
        </w:tabs>
        <w:rPr>
          <w:rFonts w:hint="default" w:ascii="Times New Roman" w:hAnsi="Times New Roman" w:eastAsia="宋体" w:cs="Times New Roman"/>
          <w:bCs/>
          <w:kern w:val="44"/>
          <w:szCs w:val="44"/>
        </w:rPr>
      </w:pPr>
      <w:r>
        <w:rPr>
          <w:rFonts w:hint="default" w:ascii="Times New Roman" w:hAnsi="Times New Roman" w:cs="Times New Roman"/>
        </w:rPr>
        <w:fldChar w:fldCharType="begin"/>
      </w:r>
      <w:r>
        <w:rPr>
          <w:rFonts w:hint="default" w:ascii="Times New Roman" w:hAnsi="Times New Roman" w:cs="Times New Roman"/>
        </w:rPr>
        <w:instrText xml:space="preserve">HYPERLINK  \l "_Toc22145" </w:instrText>
      </w:r>
      <w:r>
        <w:rPr>
          <w:rFonts w:hint="default" w:ascii="Times New Roman" w:hAnsi="Times New Roman" w:cs="Times New Roman"/>
        </w:rPr>
        <w:fldChar w:fldCharType="separate"/>
      </w:r>
      <w:r>
        <w:rPr>
          <w:rFonts w:hint="default" w:ascii="Times New Roman" w:hAnsi="Times New Roman" w:eastAsia="黑体" w:cs="Times New Roman"/>
          <w:bCs/>
          <w:kern w:val="44"/>
          <w:szCs w:val="44"/>
        </w:rPr>
        <w:t>第四部分附件</w:t>
      </w:r>
      <w:r>
        <w:rPr>
          <w:rFonts w:hint="default" w:ascii="Times New Roman" w:hAnsi="Times New Roman" w:eastAsia="宋体" w:cs="Times New Roman"/>
          <w:bCs/>
          <w:kern w:val="44"/>
          <w:szCs w:val="44"/>
        </w:rPr>
        <w:tab/>
      </w:r>
      <w:r>
        <w:rPr>
          <w:rFonts w:hint="default" w:ascii="Times New Roman" w:hAnsi="Times New Roman" w:eastAsia="宋体" w:cs="Times New Roman"/>
          <w:bCs/>
          <w:kern w:val="44"/>
          <w:szCs w:val="44"/>
        </w:rPr>
        <w:fldChar w:fldCharType="begin"/>
      </w:r>
      <w:r>
        <w:rPr>
          <w:rFonts w:hint="default" w:ascii="Times New Roman" w:hAnsi="Times New Roman" w:eastAsia="宋体" w:cs="Times New Roman"/>
          <w:bCs/>
          <w:kern w:val="44"/>
          <w:szCs w:val="44"/>
        </w:rPr>
        <w:instrText xml:space="preserve"> PAGEREF _Toc22145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15</w:t>
      </w:r>
      <w:r>
        <w:rPr>
          <w:rFonts w:hint="default" w:ascii="Times New Roman" w:hAnsi="Times New Roman" w:eastAsia="宋体" w:cs="Times New Roman"/>
          <w:bCs/>
          <w:kern w:val="44"/>
          <w:szCs w:val="44"/>
        </w:rPr>
        <w:fldChar w:fldCharType="end"/>
      </w:r>
      <w:r>
        <w:rPr>
          <w:rFonts w:hint="default" w:ascii="Times New Roman" w:hAnsi="Times New Roman" w:cs="Times New Roman"/>
        </w:rPr>
        <w:fldChar w:fldCharType="end"/>
      </w:r>
    </w:p>
    <w:p w14:paraId="7D7F2AE7">
      <w:pPr>
        <w:pStyle w:val="12"/>
        <w:tabs>
          <w:tab w:val="right" w:leader="dot" w:pos="8306"/>
          <w:tab w:val="clear" w:pos="8296"/>
        </w:tabs>
        <w:rPr>
          <w:rFonts w:hint="default" w:ascii="Times New Roman" w:hAnsi="Times New Roman" w:eastAsia="宋体" w:cs="Times New Roman"/>
          <w:bCs/>
          <w:kern w:val="44"/>
          <w:szCs w:val="44"/>
        </w:rPr>
      </w:pPr>
      <w:r>
        <w:rPr>
          <w:rFonts w:hint="default" w:ascii="Times New Roman" w:hAnsi="Times New Roman" w:cs="Times New Roman"/>
        </w:rPr>
        <w:fldChar w:fldCharType="begin"/>
      </w:r>
      <w:r>
        <w:rPr>
          <w:rFonts w:hint="default" w:ascii="Times New Roman" w:hAnsi="Times New Roman" w:cs="Times New Roman"/>
        </w:rPr>
        <w:instrText xml:space="preserve">HYPERLINK  \l "_Toc11313" </w:instrText>
      </w:r>
      <w:r>
        <w:rPr>
          <w:rFonts w:hint="default" w:ascii="Times New Roman" w:hAnsi="Times New Roman" w:cs="Times New Roman"/>
        </w:rPr>
        <w:fldChar w:fldCharType="separate"/>
      </w:r>
      <w:r>
        <w:rPr>
          <w:rFonts w:hint="default" w:ascii="Times New Roman" w:hAnsi="Times New Roman" w:eastAsia="黑体" w:cs="Times New Roman"/>
          <w:bCs/>
          <w:kern w:val="44"/>
          <w:szCs w:val="44"/>
        </w:rPr>
        <w:t>第五部分附表</w:t>
      </w:r>
      <w:r>
        <w:rPr>
          <w:rFonts w:hint="default" w:ascii="Times New Roman" w:hAnsi="Times New Roman" w:eastAsia="宋体" w:cs="Times New Roman"/>
          <w:bCs/>
          <w:kern w:val="44"/>
          <w:szCs w:val="44"/>
        </w:rPr>
        <w:tab/>
      </w:r>
      <w:r>
        <w:rPr>
          <w:rFonts w:hint="default" w:ascii="Times New Roman" w:hAnsi="Times New Roman" w:eastAsia="宋体" w:cs="Times New Roman"/>
          <w:bCs/>
          <w:kern w:val="44"/>
          <w:szCs w:val="44"/>
        </w:rPr>
        <w:fldChar w:fldCharType="begin"/>
      </w:r>
      <w:r>
        <w:rPr>
          <w:rFonts w:hint="default" w:ascii="Times New Roman" w:hAnsi="Times New Roman" w:eastAsia="宋体" w:cs="Times New Roman"/>
          <w:bCs/>
          <w:kern w:val="44"/>
          <w:szCs w:val="44"/>
        </w:rPr>
        <w:instrText xml:space="preserve"> PAGEREF _Toc11313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26</w:t>
      </w:r>
      <w:r>
        <w:rPr>
          <w:rFonts w:hint="default" w:ascii="Times New Roman" w:hAnsi="Times New Roman" w:eastAsia="宋体" w:cs="Times New Roman"/>
          <w:bCs/>
          <w:kern w:val="44"/>
          <w:szCs w:val="44"/>
        </w:rPr>
        <w:fldChar w:fldCharType="end"/>
      </w:r>
      <w:r>
        <w:rPr>
          <w:rFonts w:hint="default" w:ascii="Times New Roman" w:hAnsi="Times New Roman" w:cs="Times New Roman"/>
        </w:rPr>
        <w:fldChar w:fldCharType="end"/>
      </w:r>
    </w:p>
    <w:p w14:paraId="006D73A0">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"_Toc12291"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一、收入支出决算总表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_Toc12291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249731E9">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"_Toc20627"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二、收入决算表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_Toc20627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444402E1">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"_Toc6078"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三、支出决算表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_Toc6078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1936B28E">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"_Toc216"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四、财政拨款收入支出决算总表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_Toc216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555B6BDC">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"_Toc7723"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五、财政拨款支出决算明细表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_Toc7723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5DFE003F">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"_Toc16127"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六、一般公共预算财政拨款支出决算表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_Toc16127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6FD27B39">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"_Toc10763"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七、一般公共预算财政拨款支出决算明细表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_Toc10763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6E4656AB">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"_Toc6271"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八、一般公共预算财政拨款基本支出决算表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_Toc6271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3AE8B349">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"_Toc13771"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九、一般公共预算财政拨款项目支出决算表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_Toc13771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59663390">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"_Toc32152"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十、政府性基金预算财政拨款收入支出决算表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_Toc32152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37F441AC">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"_Toc31250"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十一、国有资本经营预算财政拨款收入支出决算表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_Toc31250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2D38D0BE">
      <w:pPr>
        <w:pStyle w:val="13"/>
        <w:tabs>
          <w:tab w:val="right" w:leader="dot" w:pos="8306"/>
          <w:tab w:val="clear" w:pos="8296"/>
        </w:tabs>
        <w:rPr>
          <w:rFonts w:hint="default" w:ascii="Times New Roman" w:hAnsi="Times New Roman" w:eastAsia="黑体" w:cs="Times New Roman"/>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"_Toc12339"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十二、国有资本经营预算财政拨款支出决算表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_Toc12339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2B2E5D8B">
      <w:pPr>
        <w:pStyle w:val="13"/>
        <w:tabs>
          <w:tab w:val="right" w:leader="dot" w:pos="8306"/>
          <w:tab w:val="clear" w:pos="8296"/>
        </w:tabs>
        <w:rPr>
          <w:rFonts w:hint="default" w:ascii="Times New Roman" w:hAnsi="Times New Roman" w:eastAsia="黑体" w:cs="Times New Roman"/>
          <w:bCs/>
          <w:kern w:val="44"/>
          <w:sz w:val="24"/>
          <w:szCs w:val="24"/>
        </w:rPr>
      </w:pP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HYPERLINK  \l "_Toc21906"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十三、财政拨款“三公”经费支出决算表</w:t>
      </w:r>
      <w:r>
        <w:rPr>
          <w:rFonts w:hint="default" w:ascii="Times New Roman" w:hAnsi="Times New Roman" w:eastAsia="黑体" w:cs="Times New Roman"/>
          <w:sz w:val="24"/>
          <w:szCs w:val="24"/>
        </w:rPr>
        <w:tab/>
      </w:r>
      <w:r>
        <w:rPr>
          <w:rFonts w:hint="default" w:ascii="Times New Roman" w:hAnsi="Times New Roman" w:eastAsia="黑体" w:cs="Times New Roman"/>
          <w:sz w:val="24"/>
          <w:szCs w:val="24"/>
        </w:rPr>
        <w:fldChar w:fldCharType="begin"/>
      </w:r>
      <w:r>
        <w:rPr>
          <w:rFonts w:hint="default" w:ascii="Times New Roman" w:hAnsi="Times New Roman" w:eastAsia="黑体" w:cs="Times New Roman"/>
          <w:sz w:val="24"/>
          <w:szCs w:val="24"/>
        </w:rPr>
        <w:instrText xml:space="preserve"> PAGEREF _Toc21906 </w:instrText>
      </w:r>
      <w:r>
        <w:rPr>
          <w:rFonts w:hint="default" w:ascii="Times New Roman" w:hAnsi="Times New Roman" w:eastAsia="黑体" w:cs="Times New Roman"/>
          <w:sz w:val="24"/>
          <w:szCs w:val="24"/>
        </w:rPr>
        <w:fldChar w:fldCharType="separate"/>
      </w:r>
      <w:r>
        <w:rPr>
          <w:rFonts w:hint="default" w:ascii="Times New Roman" w:hAnsi="Times New Roman" w:eastAsia="黑体" w:cs="Times New Roman"/>
          <w:sz w:val="24"/>
          <w:szCs w:val="24"/>
        </w:rPr>
        <w:t>26</w:t>
      </w:r>
      <w:r>
        <w:rPr>
          <w:rFonts w:hint="default" w:ascii="Times New Roman" w:hAnsi="Times New Roman" w:eastAsia="黑体" w:cs="Times New Roman"/>
          <w:sz w:val="24"/>
          <w:szCs w:val="24"/>
        </w:rPr>
        <w:fldChar w:fldCharType="end"/>
      </w:r>
      <w:r>
        <w:rPr>
          <w:rFonts w:hint="default" w:ascii="Times New Roman" w:hAnsi="Times New Roman" w:eastAsia="黑体" w:cs="Times New Roman"/>
          <w:sz w:val="24"/>
          <w:szCs w:val="24"/>
        </w:rPr>
        <w:fldChar w:fldCharType="end"/>
      </w:r>
    </w:p>
    <w:p w14:paraId="07937BA6">
      <w:pPr>
        <w:pStyle w:val="2"/>
        <w:jc w:val="center"/>
        <w:rPr>
          <w:rFonts w:hint="default" w:ascii="Times New Roman" w:hAnsi="Times New Roman" w:eastAsia="仿宋" w:cs="Times New Roman"/>
          <w:kern w:val="2"/>
          <w:szCs w:val="24"/>
        </w:rPr>
      </w:pPr>
      <w:r>
        <w:rPr>
          <w:rFonts w:hint="default" w:ascii="Times New Roman" w:hAnsi="Times New Roman" w:eastAsia="仿宋" w:cs="Times New Roman"/>
          <w:kern w:val="2"/>
          <w:szCs w:val="24"/>
        </w:rPr>
        <w:fldChar w:fldCharType="end"/>
      </w:r>
    </w:p>
    <w:p w14:paraId="3C7B8AEB">
      <w:pPr>
        <w:pStyle w:val="2"/>
        <w:jc w:val="center"/>
        <w:rPr>
          <w:rFonts w:hint="default" w:ascii="Times New Roman" w:hAnsi="Times New Roman" w:eastAsia="黑体" w:cs="Times New Roman"/>
          <w:b w:val="0"/>
        </w:rPr>
        <w:sectPr>
          <w:pgSz w:w="11906" w:h="16838"/>
          <w:pgMar w:top="1440" w:right="1800" w:bottom="1440" w:left="1800" w:header="851" w:footer="992" w:gutter="0"/>
          <w:pgNumType w:fmt="decimal" w:start="1"/>
          <w:cols w:space="720" w:num="1"/>
          <w:titlePg/>
          <w:docGrid w:type="lines" w:linePitch="312" w:charSpace="0"/>
        </w:sectPr>
      </w:pPr>
      <w:bookmarkStart w:id="18" w:name="_Toc25728"/>
    </w:p>
    <w:p w14:paraId="06A3D161">
      <w:pPr>
        <w:pStyle w:val="2"/>
        <w:jc w:val="center"/>
        <w:rPr>
          <w:rStyle w:val="32"/>
          <w:rFonts w:hint="default" w:ascii="Times New Roman" w:hAnsi="Times New Roman" w:eastAsia="黑体" w:cs="Times New Roman"/>
          <w:b/>
          <w:bCs w:val="0"/>
        </w:rPr>
      </w:pPr>
      <w:r>
        <w:rPr>
          <w:rFonts w:hint="default" w:ascii="Times New Roman" w:hAnsi="Times New Roman" w:eastAsia="黑体" w:cs="Times New Roman"/>
          <w:b w:val="0"/>
        </w:rPr>
        <w:t>第一部分</w:t>
      </w:r>
      <w:r>
        <w:rPr>
          <w:rStyle w:val="32"/>
          <w:rFonts w:hint="default" w:ascii="Times New Roman" w:hAnsi="Times New Roman" w:eastAsia="黑体" w:cs="Times New Roman"/>
          <w:b w:val="0"/>
          <w:bCs w:val="0"/>
        </w:rPr>
        <w:t>部门概况</w:t>
      </w:r>
      <w:bookmarkEnd w:id="16"/>
      <w:bookmarkEnd w:id="17"/>
      <w:bookmarkEnd w:id="18"/>
    </w:p>
    <w:p w14:paraId="54693169">
      <w:pPr>
        <w:widowControl/>
        <w:jc w:val="left"/>
        <w:rPr>
          <w:rFonts w:hint="default" w:ascii="Times New Roman" w:hAnsi="Times New Roman" w:eastAsia="黑体" w:cs="Times New Roman"/>
          <w:sz w:val="32"/>
          <w:szCs w:val="32"/>
        </w:rPr>
      </w:pPr>
    </w:p>
    <w:p w14:paraId="22499196">
      <w:pPr>
        <w:pStyle w:val="3"/>
        <w:keepNext/>
        <w:keepLines/>
        <w:widowControl w:val="0"/>
        <w:wordWrap/>
        <w:adjustRightInd/>
        <w:snapToGrid/>
        <w:spacing w:before="0" w:after="0" w:line="560" w:lineRule="exact"/>
        <w:ind w:left="0" w:leftChars="0" w:right="0" w:firstLine="0" w:firstLineChars="0"/>
        <w:jc w:val="both"/>
        <w:textAlignment w:val="auto"/>
        <w:outlineLvl w:val="1"/>
        <w:rPr>
          <w:rStyle w:val="33"/>
          <w:rFonts w:hint="default" w:ascii="Times New Roman" w:hAnsi="Times New Roman" w:eastAsia="黑体" w:cs="Times New Roman"/>
          <w:b w:val="0"/>
          <w:bCs w:val="0"/>
        </w:rPr>
      </w:pPr>
      <w:bookmarkStart w:id="19" w:name="_Toc15396600"/>
      <w:bookmarkStart w:id="20" w:name="_Toc15377197"/>
      <w:bookmarkStart w:id="21" w:name="_Toc18799"/>
      <w:bookmarkStart w:id="22" w:name="_Toc15377200"/>
      <w:bookmarkStart w:id="23" w:name="_Toc15396601"/>
      <w:r>
        <w:rPr>
          <w:rFonts w:hint="default" w:ascii="Times New Roman" w:hAnsi="Times New Roman" w:eastAsia="黑体" w:cs="Times New Roman"/>
          <w:b w:val="0"/>
        </w:rPr>
        <w:t>一、</w:t>
      </w:r>
      <w:bookmarkEnd w:id="19"/>
      <w:bookmarkEnd w:id="20"/>
      <w:r>
        <w:rPr>
          <w:rFonts w:hint="default" w:ascii="Times New Roman" w:hAnsi="Times New Roman" w:eastAsia="黑体" w:cs="Times New Roman"/>
          <w:b w:val="0"/>
        </w:rPr>
        <w:t>部门职责</w:t>
      </w:r>
      <w:bookmarkEnd w:id="21"/>
    </w:p>
    <w:bookmarkEnd w:id="22"/>
    <w:bookmarkEnd w:id="23"/>
    <w:p w14:paraId="702E68A3">
      <w:pPr>
        <w:pStyle w:val="25"/>
        <w:wordWrap/>
        <w:adjustRightInd/>
        <w:snapToGrid/>
        <w:spacing w:line="560" w:lineRule="exact"/>
        <w:ind w:firstLine="640" w:firstLineChars="200"/>
        <w:textAlignment w:val="auto"/>
        <w:rPr>
          <w:rFonts w:hint="default" w:ascii="Times New Roman" w:hAnsi="Times New Roman" w:cs="Times New Roman"/>
        </w:rPr>
      </w:pPr>
      <w:r>
        <w:rPr>
          <w:rFonts w:hint="default" w:ascii="Times New Roman" w:hAnsi="Times New Roman" w:eastAsia="仿宋" w:cs="Times New Roman"/>
          <w:sz w:val="32"/>
          <w:szCs w:val="32"/>
        </w:rPr>
        <w:t>贯彻执行国家、省、市有关劳动就业、失业保险的法律法规和方针政策;组织开展职业指导、职业介绍、职业培训、创业培训、就业援助等就业服务;全面开发就业岗位,做好人力资源市场职业供求信息收集发布;组织农村劳动力转移就业和劳务输出;建设街道(乡镇)和社区劳动就业平台;依法开展失业保险扩面征缴、失业保险金发放和基金管理等各项失业保险经办工作,负责市级失业保险市级统筹工作;对失业保险费申报和缴纳情况进行稽核检查,按照规定程序查处失业保险基金征缴、管理和使用中的违法乱纪案件。</w:t>
      </w:r>
    </w:p>
    <w:p w14:paraId="26560851">
      <w:pPr>
        <w:pStyle w:val="3"/>
        <w:keepNext/>
        <w:keepLines/>
        <w:widowControl w:val="0"/>
        <w:wordWrap/>
        <w:adjustRightInd/>
        <w:snapToGrid/>
        <w:spacing w:before="0" w:after="0" w:line="560" w:lineRule="exact"/>
        <w:ind w:left="0" w:leftChars="0" w:right="0" w:firstLine="0" w:firstLineChars="0"/>
        <w:jc w:val="both"/>
        <w:textAlignment w:val="auto"/>
        <w:outlineLvl w:val="1"/>
        <w:rPr>
          <w:rFonts w:hint="default" w:ascii="Times New Roman" w:hAnsi="Times New Roman" w:eastAsia="黑体" w:cs="Times New Roman"/>
          <w:b w:val="0"/>
        </w:rPr>
      </w:pPr>
      <w:bookmarkStart w:id="24" w:name="_Toc25583"/>
      <w:r>
        <w:rPr>
          <w:rFonts w:hint="default" w:ascii="Times New Roman" w:hAnsi="Times New Roman" w:eastAsia="黑体" w:cs="Times New Roman"/>
          <w:b w:val="0"/>
        </w:rPr>
        <w:t>二、机构设置</w:t>
      </w:r>
      <w:bookmarkEnd w:id="24"/>
    </w:p>
    <w:p w14:paraId="6EF1FDE0">
      <w:pPr>
        <w:pStyle w:val="25"/>
        <w:wordWrap/>
        <w:adjustRightInd/>
        <w:snapToGrid/>
        <w:spacing w:line="560" w:lineRule="exact"/>
        <w:ind w:firstLine="640" w:firstLineChars="200"/>
        <w:textAlignment w:val="auto"/>
        <w:rPr>
          <w:rFonts w:hint="default" w:ascii="Times New Roman" w:hAnsi="Times New Roman" w:eastAsia="仿宋" w:cs="Times New Roman"/>
          <w:sz w:val="32"/>
          <w:szCs w:val="32"/>
        </w:rPr>
      </w:pPr>
      <w:bookmarkStart w:id="25" w:name="_Toc15377201"/>
      <w:bookmarkStart w:id="26" w:name="_Toc15378448"/>
      <w:bookmarkStart w:id="27" w:name="_Toc15306275"/>
      <w:bookmarkStart w:id="28" w:name="_Toc15377432"/>
      <w:r>
        <w:rPr>
          <w:rFonts w:hint="default" w:ascii="Times New Roman" w:hAnsi="Times New Roman" w:eastAsia="仿宋" w:cs="Times New Roman"/>
          <w:sz w:val="32"/>
          <w:szCs w:val="32"/>
        </w:rPr>
        <w:t>盐边县就业创业促进中心隶属于盐边县人力资源和社会保障局的参公管理单位，无下属二级预算单位。</w:t>
      </w:r>
    </w:p>
    <w:bookmarkEnd w:id="25"/>
    <w:bookmarkEnd w:id="26"/>
    <w:bookmarkEnd w:id="27"/>
    <w:bookmarkEnd w:id="28"/>
    <w:p w14:paraId="353B8527">
      <w:pPr>
        <w:widowControl/>
        <w:jc w:val="left"/>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br w:type="page"/>
      </w:r>
    </w:p>
    <w:p w14:paraId="2CE1D284">
      <w:pPr>
        <w:pStyle w:val="2"/>
        <w:ind w:right="440"/>
        <w:jc w:val="center"/>
        <w:rPr>
          <w:rStyle w:val="32"/>
          <w:rFonts w:hint="default" w:ascii="Times New Roman" w:hAnsi="Times New Roman" w:eastAsia="黑体" w:cs="Times New Roman"/>
          <w:b w:val="0"/>
          <w:bCs/>
        </w:rPr>
      </w:pPr>
      <w:bookmarkStart w:id="29" w:name="_Toc15396602"/>
      <w:bookmarkStart w:id="30" w:name="_Toc15377204"/>
      <w:bookmarkStart w:id="31" w:name="_Toc2739"/>
      <w:r>
        <w:rPr>
          <w:rFonts w:hint="default" w:ascii="Times New Roman" w:hAnsi="Times New Roman" w:eastAsia="黑体" w:cs="Times New Roman"/>
          <w:b w:val="0"/>
        </w:rPr>
        <w:t>第二部分2023年度</w:t>
      </w:r>
      <w:r>
        <w:rPr>
          <w:rStyle w:val="32"/>
          <w:rFonts w:hint="default" w:ascii="Times New Roman" w:hAnsi="Times New Roman" w:eastAsia="黑体" w:cs="Times New Roman"/>
          <w:b w:val="0"/>
          <w:bCs/>
        </w:rPr>
        <w:t>部门决算情况说明</w:t>
      </w:r>
      <w:bookmarkEnd w:id="29"/>
      <w:bookmarkEnd w:id="30"/>
      <w:bookmarkEnd w:id="31"/>
    </w:p>
    <w:p w14:paraId="7EBCEAEF">
      <w:pPr>
        <w:rPr>
          <w:rFonts w:hint="default" w:ascii="Times New Roman" w:hAnsi="Times New Roman" w:cs="Times New Roman"/>
        </w:rPr>
      </w:pPr>
    </w:p>
    <w:p w14:paraId="66F7D795">
      <w:pPr>
        <w:pStyle w:val="21"/>
        <w:widowControl w:val="0"/>
        <w:numPr>
          <w:ilvl w:val="0"/>
          <w:numId w:val="1"/>
        </w:numPr>
        <w:wordWrap/>
        <w:adjustRightInd/>
        <w:snapToGrid/>
        <w:spacing w:line="560" w:lineRule="exact"/>
        <w:ind w:firstLineChars="0"/>
        <w:textAlignment w:val="auto"/>
        <w:outlineLvl w:val="1"/>
        <w:rPr>
          <w:rStyle w:val="33"/>
          <w:rFonts w:hint="default" w:ascii="Times New Roman" w:hAnsi="Times New Roman" w:eastAsia="黑体" w:cs="Times New Roman"/>
          <w:b w:val="0"/>
        </w:rPr>
      </w:pPr>
      <w:bookmarkStart w:id="32" w:name="_Toc32014"/>
      <w:bookmarkStart w:id="33" w:name="_Toc15377205"/>
      <w:bookmarkStart w:id="34" w:name="_Toc15396603"/>
      <w:r>
        <w:rPr>
          <w:rFonts w:hint="default" w:ascii="Times New Roman" w:hAnsi="Times New Roman" w:eastAsia="黑体" w:cs="Times New Roman"/>
          <w:sz w:val="32"/>
          <w:szCs w:val="32"/>
        </w:rPr>
        <w:t>收</w:t>
      </w:r>
      <w:r>
        <w:rPr>
          <w:rStyle w:val="33"/>
          <w:rFonts w:hint="default" w:ascii="Times New Roman" w:hAnsi="Times New Roman" w:eastAsia="黑体" w:cs="Times New Roman"/>
          <w:b w:val="0"/>
        </w:rPr>
        <w:t>入支出决算总体情况说明</w:t>
      </w:r>
      <w:bookmarkEnd w:id="32"/>
      <w:bookmarkEnd w:id="33"/>
      <w:bookmarkEnd w:id="34"/>
    </w:p>
    <w:p w14:paraId="68E59ADC">
      <w:pPr>
        <w:widowControl w:val="0"/>
        <w:wordWrap/>
        <w:adjustRightInd/>
        <w:snapToGrid/>
        <w:spacing w:line="560" w:lineRule="exact"/>
        <w:ind w:firstLine="640" w:firstLineChars="200"/>
        <w:textAlignment w:val="auto"/>
        <w:rPr>
          <w:rFonts w:hint="default" w:ascii="Times New Roman" w:hAnsi="Times New Roman" w:eastAsia="仿宋" w:cs="Times New Roman"/>
          <w:b w:val="0"/>
          <w:bCs w:val="0"/>
          <w:sz w:val="32"/>
          <w:szCs w:val="32"/>
        </w:rPr>
      </w:pPr>
      <w:r>
        <w:rPr>
          <w:rFonts w:hint="default" w:ascii="Times New Roman" w:hAnsi="Times New Roman" w:eastAsia="仿宋" w:cs="Times New Roman"/>
          <w:b w:val="0"/>
          <w:bCs w:val="0"/>
          <w:sz w:val="32"/>
          <w:szCs w:val="32"/>
        </w:rPr>
        <w:t>2023年度收、支总计均为819.32万元。与2022年度（2022年度收、支总计均为741.67万元）相比，收、支总计各增加77.65万元，增长10.47%。主要变动原因是2023年度项目支出增加。</w:t>
      </w:r>
    </w:p>
    <w:p w14:paraId="6163333D">
      <w:pPr>
        <w:pStyle w:val="19"/>
        <w:widowControl w:val="0"/>
        <w:wordWrap/>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宋体" w:cs="Times New Roman"/>
          <w:b/>
          <w:kern w:val="2"/>
          <w:sz w:val="21"/>
          <w:szCs w:val="24"/>
          <w:lang w:val="en-US" w:eastAsia="zh-CN" w:bidi="ar-SA"/>
        </w:rPr>
        <w:pict>
          <v:shape id="_x0000_s1028" o:spid="_x0000_s1028" o:spt="75" type="#_x0000_t75" style="position:absolute;left:0pt;margin-left:60.45pt;margin-top:8.25pt;height:164.25pt;width:245.3pt;mso-wrap-distance-bottom:0pt;mso-wrap-distance-left:9pt;mso-wrap-distance-right:9pt;mso-wrap-distance-top:0pt;z-index:251659264;mso-width-relative:page;mso-height-relative:page;" o:ole="t" fillcolor="#FFFFFF" filled="f" o:preferrelative="t" stroked="f" coordsize="21600,21600">
            <v:path/>
            <v:fill on="f" color2="#FFFFFF" focussize="0,0"/>
            <v:stroke on="f"/>
            <v:imagedata r:id="rId7" gain="65536f" blacklevel="0f" gamma="0" o:title=""/>
            <o:lock v:ext="edit" position="f" selection="f" grouping="f" rotation="f" cropping="f" text="f" aspectratio="t"/>
            <w10:wrap type="square"/>
          </v:shape>
          <o:OLEObject Type="Embed" ProgID="MSGraph.Chart.8" ShapeID="_x0000_s1028" DrawAspect="Content" ObjectID="_1468075725" r:id="rId6">
            <o:LockedField>false</o:LockedField>
          </o:OLEObject>
        </w:pict>
      </w:r>
    </w:p>
    <w:p w14:paraId="1B5435E6">
      <w:pPr>
        <w:widowControl w:val="0"/>
        <w:wordWrap/>
        <w:adjustRightInd/>
        <w:snapToGrid/>
        <w:spacing w:line="560" w:lineRule="exact"/>
        <w:textAlignment w:val="auto"/>
        <w:rPr>
          <w:rFonts w:hint="default" w:ascii="Times New Roman" w:hAnsi="Times New Roman" w:eastAsia="仿宋" w:cs="Times New Roman"/>
          <w:sz w:val="32"/>
          <w:szCs w:val="32"/>
        </w:rPr>
      </w:pPr>
    </w:p>
    <w:p w14:paraId="68D71F5C">
      <w:pPr>
        <w:pStyle w:val="19"/>
        <w:widowControl w:val="0"/>
        <w:wordWrap/>
        <w:adjustRightInd/>
        <w:snapToGrid/>
        <w:spacing w:line="560" w:lineRule="exact"/>
        <w:textAlignment w:val="auto"/>
        <w:rPr>
          <w:rFonts w:hint="default" w:ascii="Times New Roman" w:hAnsi="Times New Roman" w:eastAsia="仿宋" w:cs="Times New Roman"/>
          <w:sz w:val="32"/>
          <w:szCs w:val="32"/>
        </w:rPr>
      </w:pPr>
    </w:p>
    <w:p w14:paraId="75E83134">
      <w:pPr>
        <w:widowControl w:val="0"/>
        <w:wordWrap/>
        <w:adjustRightInd/>
        <w:snapToGrid/>
        <w:spacing w:line="560" w:lineRule="exact"/>
        <w:textAlignment w:val="auto"/>
        <w:rPr>
          <w:rFonts w:hint="default" w:ascii="Times New Roman" w:hAnsi="Times New Roman" w:cs="Times New Roman"/>
        </w:rPr>
      </w:pPr>
    </w:p>
    <w:p w14:paraId="18E0D7BE">
      <w:pPr>
        <w:widowControl w:val="0"/>
        <w:wordWrap/>
        <w:adjustRightInd/>
        <w:snapToGrid/>
        <w:spacing w:line="560" w:lineRule="exact"/>
        <w:ind w:firstLine="640" w:firstLineChars="200"/>
        <w:textAlignment w:val="auto"/>
        <w:rPr>
          <w:rFonts w:hint="default" w:ascii="Times New Roman" w:hAnsi="Times New Roman" w:eastAsia="仿宋" w:cs="Times New Roman"/>
          <w:sz w:val="32"/>
          <w:szCs w:val="32"/>
        </w:rPr>
      </w:pPr>
    </w:p>
    <w:p w14:paraId="41DAAC7A">
      <w:pPr>
        <w:widowControl w:val="0"/>
        <w:wordWrap/>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（图1：收、支决算总计变动情况图）（柱状图）</w:t>
      </w:r>
    </w:p>
    <w:p w14:paraId="76C5018A">
      <w:pPr>
        <w:pStyle w:val="21"/>
        <w:widowControl w:val="0"/>
        <w:numPr>
          <w:ilvl w:val="0"/>
          <w:numId w:val="1"/>
        </w:numPr>
        <w:wordWrap/>
        <w:adjustRightInd/>
        <w:snapToGrid/>
        <w:spacing w:line="560" w:lineRule="exact"/>
        <w:ind w:firstLineChars="0"/>
        <w:textAlignment w:val="auto"/>
        <w:outlineLvl w:val="1"/>
        <w:rPr>
          <w:rStyle w:val="33"/>
          <w:rFonts w:hint="default" w:ascii="Times New Roman" w:hAnsi="Times New Roman" w:eastAsia="黑体" w:cs="Times New Roman"/>
          <w:b w:val="0"/>
        </w:rPr>
      </w:pPr>
      <w:bookmarkStart w:id="35" w:name="_Toc21948"/>
      <w:bookmarkStart w:id="36" w:name="_Toc15377206"/>
      <w:bookmarkStart w:id="37" w:name="_Toc15396604"/>
      <w:r>
        <w:rPr>
          <w:rFonts w:hint="default" w:ascii="Times New Roman" w:hAnsi="Times New Roman" w:eastAsia="黑体" w:cs="Times New Roman"/>
          <w:sz w:val="32"/>
          <w:szCs w:val="32"/>
        </w:rPr>
        <w:t>收</w:t>
      </w:r>
      <w:r>
        <w:rPr>
          <w:rStyle w:val="33"/>
          <w:rFonts w:hint="default" w:ascii="Times New Roman" w:hAnsi="Times New Roman" w:eastAsia="黑体" w:cs="Times New Roman"/>
          <w:b w:val="0"/>
        </w:rPr>
        <w:t>入决算情况说明</w:t>
      </w:r>
      <w:bookmarkEnd w:id="35"/>
      <w:bookmarkEnd w:id="36"/>
      <w:bookmarkEnd w:id="37"/>
    </w:p>
    <w:p w14:paraId="001A47DC">
      <w:pPr>
        <w:widowControl w:val="0"/>
        <w:wordWrap/>
        <w:adjustRightInd/>
        <w:snapToGrid/>
        <w:spacing w:line="560" w:lineRule="exact"/>
        <w:ind w:firstLine="640" w:firstLineChars="200"/>
        <w:jc w:val="left"/>
        <w:textAlignment w:val="auto"/>
        <w:outlineLvl w:val="1"/>
        <w:rPr>
          <w:rFonts w:hint="default" w:ascii="Times New Roman" w:hAnsi="Times New Roman" w:eastAsia="仿宋" w:cs="Times New Roman"/>
          <w:sz w:val="32"/>
          <w:szCs w:val="32"/>
        </w:rPr>
      </w:pPr>
      <w:bookmarkStart w:id="38" w:name="_Toc20833"/>
      <w:bookmarkStart w:id="39" w:name="_Toc30672"/>
      <w:r>
        <w:rPr>
          <w:rFonts w:hint="default" w:ascii="Times New Roman" w:hAnsi="Times New Roman" w:eastAsia="仿宋" w:cs="Times New Roman"/>
          <w:sz w:val="32"/>
          <w:szCs w:val="32"/>
        </w:rPr>
        <w:t>2023年度本年收入合计</w:t>
      </w:r>
      <w:r>
        <w:rPr>
          <w:rFonts w:hint="default" w:ascii="Times New Roman" w:hAnsi="Times New Roman" w:cs="Times New Roman"/>
          <w:sz w:val="32"/>
          <w:szCs w:val="32"/>
        </w:rPr>
        <w:t>819.32</w:t>
      </w:r>
      <w:r>
        <w:rPr>
          <w:rFonts w:hint="default" w:ascii="Times New Roman" w:hAnsi="Times New Roman" w:eastAsia="仿宋" w:cs="Times New Roman"/>
          <w:sz w:val="32"/>
          <w:szCs w:val="32"/>
        </w:rPr>
        <w:t>万元，其中：一般公共预算财政拨款收入</w:t>
      </w:r>
      <w:r>
        <w:rPr>
          <w:rFonts w:hint="default" w:ascii="Times New Roman" w:hAnsi="Times New Roman" w:cs="Times New Roman"/>
          <w:sz w:val="32"/>
          <w:szCs w:val="32"/>
        </w:rPr>
        <w:t>819.32</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100</w:t>
      </w:r>
      <w:r>
        <w:rPr>
          <w:rFonts w:hint="default" w:ascii="Times New Roman" w:hAnsi="Times New Roman" w:eastAsia="仿宋" w:cs="Times New Roman"/>
          <w:sz w:val="32"/>
          <w:szCs w:val="32"/>
        </w:rPr>
        <w:t>%。</w:t>
      </w:r>
      <w:bookmarkEnd w:id="38"/>
      <w:bookmarkEnd w:id="39"/>
    </w:p>
    <w:p w14:paraId="17B5C0E2">
      <w:pPr>
        <w:spacing w:line="600" w:lineRule="exact"/>
        <w:ind w:firstLine="420" w:firstLineChars="200"/>
        <w:outlineLvl w:val="1"/>
        <w:rPr>
          <w:rFonts w:hint="default" w:ascii="Times New Roman" w:hAnsi="Times New Roman" w:eastAsia="仿宋" w:cs="Times New Roman"/>
          <w:sz w:val="32"/>
          <w:szCs w:val="32"/>
        </w:rPr>
      </w:pPr>
      <w:r>
        <w:rPr>
          <w:rFonts w:hint="default" w:ascii="Times New Roman" w:hAnsi="Times New Roman" w:eastAsia="宋体" w:cs="Times New Roman"/>
          <w:kern w:val="2"/>
          <w:sz w:val="21"/>
          <w:szCs w:val="24"/>
          <w:lang w:val="en-US" w:eastAsia="zh-CN" w:bidi="ar-SA"/>
        </w:rPr>
        <w:pict>
          <v:shape id="_x0000_s1029" o:spid="_x0000_s1029" o:spt="75" type="#_x0000_t75" style="position:absolute;left:0pt;margin-left:164.25pt;margin-top:88.6pt;height:128.25pt;width:192pt;mso-position-horizontal-relative:page;mso-position-vertical-relative:page;mso-wrap-distance-bottom:0pt;mso-wrap-distance-left:9pt;mso-wrap-distance-right:9pt;mso-wrap-distance-top:0pt;z-index:251660288;mso-width-relative:page;mso-height-relative:page;" o:ole="t" fillcolor="#FFFFFF" filled="f" o:preferrelative="t" stroked="f" coordsize="21600,21600">
            <v:path/>
            <v:fill on="f" color2="#FFFFFF" focussize="0,0"/>
            <v:stroke on="f"/>
            <v:imagedata r:id="rId9" gain="65536f" blacklevel="0f" gamma="0" o:title=""/>
            <o:lock v:ext="edit" position="f" selection="f" grouping="f" rotation="f" cropping="f" text="f" aspectratio="t"/>
            <w10:wrap type="square"/>
          </v:shape>
          <o:OLEObject Type="Embed" ProgID="MSGraph.Chart.8" ShapeID="_x0000_s1029" DrawAspect="Content" ObjectID="_1468075726" r:id="rId8">
            <o:LockedField>false</o:LockedField>
          </o:OLEObject>
        </w:pict>
      </w:r>
    </w:p>
    <w:p w14:paraId="3243CE4C">
      <w:pPr>
        <w:spacing w:line="600" w:lineRule="exact"/>
        <w:ind w:firstLine="640" w:firstLineChars="200"/>
        <w:rPr>
          <w:rFonts w:hint="default" w:ascii="Times New Roman" w:hAnsi="Times New Roman" w:eastAsia="仿宋" w:cs="Times New Roman"/>
          <w:sz w:val="32"/>
          <w:szCs w:val="32"/>
        </w:rPr>
      </w:pPr>
    </w:p>
    <w:p w14:paraId="588998A7">
      <w:pPr>
        <w:spacing w:line="600" w:lineRule="exact"/>
        <w:ind w:firstLine="640" w:firstLineChars="200"/>
        <w:rPr>
          <w:rFonts w:hint="default" w:ascii="Times New Roman" w:hAnsi="Times New Roman" w:eastAsia="仿宋" w:cs="Times New Roman"/>
          <w:sz w:val="32"/>
          <w:szCs w:val="32"/>
        </w:rPr>
      </w:pPr>
    </w:p>
    <w:p w14:paraId="019692AB">
      <w:pPr>
        <w:spacing w:line="600" w:lineRule="exact"/>
        <w:ind w:firstLine="640" w:firstLineChars="200"/>
        <w:rPr>
          <w:rFonts w:hint="default" w:ascii="Times New Roman" w:hAnsi="Times New Roman" w:eastAsia="仿宋" w:cs="Times New Roman"/>
          <w:sz w:val="32"/>
          <w:szCs w:val="32"/>
        </w:rPr>
      </w:pPr>
    </w:p>
    <w:p w14:paraId="6F42AB78">
      <w:pPr>
        <w:spacing w:line="600" w:lineRule="exact"/>
        <w:ind w:firstLine="640" w:firstLineChars="200"/>
        <w:rPr>
          <w:rFonts w:hint="default" w:ascii="Times New Roman" w:hAnsi="Times New Roman" w:eastAsia="仿宋" w:cs="Times New Roman"/>
          <w:sz w:val="32"/>
          <w:szCs w:val="32"/>
        </w:rPr>
      </w:pPr>
    </w:p>
    <w:p w14:paraId="2DC5A4F3">
      <w:pPr>
        <w:widowControl w:val="0"/>
        <w:wordWrap/>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（图2：收入决算结构图）（饼状图）</w:t>
      </w:r>
    </w:p>
    <w:p w14:paraId="3B2CB6B5">
      <w:pPr>
        <w:pStyle w:val="21"/>
        <w:widowControl w:val="0"/>
        <w:numPr>
          <w:ilvl w:val="0"/>
          <w:numId w:val="1"/>
        </w:numPr>
        <w:wordWrap/>
        <w:adjustRightInd/>
        <w:snapToGrid/>
        <w:spacing w:line="560" w:lineRule="exact"/>
        <w:ind w:firstLineChars="0"/>
        <w:textAlignment w:val="auto"/>
        <w:outlineLvl w:val="1"/>
        <w:rPr>
          <w:rStyle w:val="33"/>
          <w:rFonts w:hint="default" w:ascii="Times New Roman" w:hAnsi="Times New Roman" w:eastAsia="黑体" w:cs="Times New Roman"/>
          <w:b w:val="0"/>
        </w:rPr>
      </w:pPr>
      <w:bookmarkStart w:id="40" w:name="_Toc15377207"/>
      <w:bookmarkStart w:id="41" w:name="_Toc17149"/>
      <w:bookmarkStart w:id="42" w:name="_Toc15396605"/>
      <w:r>
        <w:rPr>
          <w:rFonts w:hint="default" w:ascii="Times New Roman" w:hAnsi="Times New Roman" w:eastAsia="黑体" w:cs="Times New Roman"/>
          <w:sz w:val="32"/>
          <w:szCs w:val="32"/>
        </w:rPr>
        <w:t>支</w:t>
      </w:r>
      <w:r>
        <w:rPr>
          <w:rStyle w:val="33"/>
          <w:rFonts w:hint="default" w:ascii="Times New Roman" w:hAnsi="Times New Roman" w:eastAsia="黑体" w:cs="Times New Roman"/>
          <w:b w:val="0"/>
        </w:rPr>
        <w:t>出决算情况说明</w:t>
      </w:r>
      <w:bookmarkEnd w:id="40"/>
      <w:bookmarkEnd w:id="41"/>
      <w:bookmarkEnd w:id="42"/>
    </w:p>
    <w:p w14:paraId="4DCBF455">
      <w:pPr>
        <w:widowControl w:val="0"/>
        <w:wordWrap/>
        <w:adjustRightInd/>
        <w:snapToGrid/>
        <w:spacing w:line="560" w:lineRule="exact"/>
        <w:ind w:firstLine="640" w:firstLineChars="200"/>
        <w:textAlignment w:val="auto"/>
        <w:outlineLvl w:val="1"/>
        <w:rPr>
          <w:rFonts w:hint="default" w:ascii="Times New Roman" w:hAnsi="Times New Roman" w:eastAsia="仿宋" w:cs="Times New Roman"/>
          <w:b w:val="0"/>
          <w:bCs w:val="0"/>
          <w:sz w:val="32"/>
          <w:szCs w:val="32"/>
        </w:rPr>
      </w:pPr>
      <w:bookmarkStart w:id="43" w:name="_Toc14907"/>
      <w:bookmarkStart w:id="44" w:name="_Toc15003"/>
      <w:bookmarkStart w:id="45" w:name="_Toc11371"/>
      <w:bookmarkStart w:id="46" w:name="_Toc15377208"/>
      <w:bookmarkStart w:id="47" w:name="_Toc15396606"/>
      <w:r>
        <w:rPr>
          <w:rFonts w:hint="default" w:ascii="Times New Roman" w:hAnsi="Times New Roman" w:eastAsia="仿宋" w:cs="Times New Roman"/>
          <w:b w:val="0"/>
          <w:bCs w:val="0"/>
          <w:sz w:val="32"/>
          <w:szCs w:val="32"/>
        </w:rPr>
        <w:t>2023年度本年支出合计819.32万元，其中：基本支出104.46万元，占12.74%；项目支出714.86万元，占87.25%。</w:t>
      </w:r>
      <w:bookmarkEnd w:id="43"/>
      <w:bookmarkEnd w:id="44"/>
      <w:bookmarkEnd w:id="45"/>
    </w:p>
    <w:p w14:paraId="5DDFCE91">
      <w:pPr>
        <w:spacing w:line="600" w:lineRule="exact"/>
        <w:ind w:firstLine="640"/>
        <w:rPr>
          <w:rFonts w:hint="default" w:ascii="Times New Roman" w:hAnsi="Times New Roman" w:eastAsia="仿宋" w:cs="Times New Roman"/>
          <w:sz w:val="32"/>
          <w:szCs w:val="32"/>
          <w:shd w:val="pct10" w:color="auto" w:fill="FFFFFF"/>
        </w:rPr>
      </w:pPr>
      <w:r>
        <w:rPr>
          <w:rFonts w:hint="default" w:ascii="Times New Roman" w:hAnsi="Times New Roman" w:eastAsia="宋体" w:cs="Times New Roman"/>
          <w:kern w:val="2"/>
          <w:sz w:val="21"/>
          <w:szCs w:val="24"/>
          <w:lang w:val="en-US" w:eastAsia="zh-CN" w:bidi="ar-SA"/>
        </w:rPr>
        <w:pict>
          <v:shape id="_x0000_s1030" o:spid="_x0000_s1030" o:spt="75" type="#_x0000_t75" style="position:absolute;left:0pt;margin-left:63pt;margin-top:4.8pt;height:157.55pt;width:236.25pt;mso-wrap-distance-bottom:0pt;mso-wrap-distance-left:9pt;mso-wrap-distance-right:9pt;mso-wrap-distance-top:0pt;z-index:251661312;mso-width-relative:page;mso-height-relative:page;" o:ole="t" fillcolor="#FFFFFF" filled="f" o:preferrelative="t" stroked="f" coordsize="21600,21600">
            <v:path/>
            <v:fill on="f" color2="#FFFFFF" focussize="0,0"/>
            <v:stroke on="f"/>
            <v:imagedata r:id="rId11" gain="65536f" blacklevel="0f" gamma="0" o:title=""/>
            <o:lock v:ext="edit" position="f" selection="f" grouping="f" rotation="f" cropping="f" text="f" aspectratio="t"/>
            <w10:wrap type="square"/>
          </v:shape>
          <o:OLEObject Type="Embed" ProgID="MSGraph.Chart.8" ShapeID="_x0000_s1030" DrawAspect="Content" ObjectID="_1468075727" r:id="rId10">
            <o:LockedField>false</o:LockedField>
          </o:OLEObject>
        </w:pict>
      </w:r>
    </w:p>
    <w:p w14:paraId="3F8E6847">
      <w:pPr>
        <w:spacing w:line="600" w:lineRule="exact"/>
        <w:ind w:firstLine="640" w:firstLineChars="200"/>
        <w:rPr>
          <w:rFonts w:hint="default" w:ascii="Times New Roman" w:hAnsi="Times New Roman" w:eastAsia="仿宋" w:cs="Times New Roman"/>
          <w:sz w:val="32"/>
          <w:szCs w:val="32"/>
        </w:rPr>
      </w:pPr>
    </w:p>
    <w:p w14:paraId="3C6792E2">
      <w:pPr>
        <w:spacing w:line="600" w:lineRule="exact"/>
        <w:ind w:firstLine="640" w:firstLineChars="200"/>
        <w:rPr>
          <w:rFonts w:hint="default" w:ascii="Times New Roman" w:hAnsi="Times New Roman" w:eastAsia="仿宋" w:cs="Times New Roman"/>
          <w:sz w:val="32"/>
          <w:szCs w:val="32"/>
        </w:rPr>
      </w:pPr>
    </w:p>
    <w:p w14:paraId="5C829261">
      <w:pPr>
        <w:spacing w:line="600" w:lineRule="exact"/>
        <w:ind w:firstLine="640" w:firstLineChars="200"/>
        <w:rPr>
          <w:rFonts w:hint="default" w:ascii="Times New Roman" w:hAnsi="Times New Roman" w:eastAsia="仿宋" w:cs="Times New Roman"/>
          <w:sz w:val="32"/>
          <w:szCs w:val="32"/>
        </w:rPr>
      </w:pPr>
    </w:p>
    <w:p w14:paraId="0DC7B8C6">
      <w:pPr>
        <w:spacing w:line="600" w:lineRule="exact"/>
        <w:ind w:firstLine="640" w:firstLineChars="200"/>
        <w:rPr>
          <w:rFonts w:hint="default" w:ascii="Times New Roman" w:hAnsi="Times New Roman" w:eastAsia="仿宋" w:cs="Times New Roman"/>
          <w:sz w:val="32"/>
          <w:szCs w:val="32"/>
        </w:rPr>
      </w:pPr>
    </w:p>
    <w:p w14:paraId="76EC236D">
      <w:pPr>
        <w:spacing w:line="600" w:lineRule="exact"/>
        <w:ind w:firstLine="640" w:firstLineChars="200"/>
        <w:rPr>
          <w:rFonts w:hint="default" w:ascii="Times New Roman" w:hAnsi="Times New Roman" w:eastAsia="仿宋" w:cs="Times New Roman"/>
          <w:sz w:val="32"/>
          <w:szCs w:val="32"/>
        </w:rPr>
      </w:pPr>
    </w:p>
    <w:p w14:paraId="7F638FFF">
      <w:pPr>
        <w:widowControl w:val="0"/>
        <w:wordWrap/>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（图3：支出决算结构图）（饼状图）</w:t>
      </w:r>
    </w:p>
    <w:p w14:paraId="21EFE8C5">
      <w:pPr>
        <w:widowControl w:val="0"/>
        <w:wordWrap/>
        <w:adjustRightInd/>
        <w:snapToGrid/>
        <w:spacing w:line="560" w:lineRule="exact"/>
        <w:ind w:firstLine="640" w:firstLineChars="200"/>
        <w:textAlignment w:val="auto"/>
        <w:outlineLvl w:val="1"/>
        <w:rPr>
          <w:rStyle w:val="33"/>
          <w:rFonts w:hint="default" w:ascii="Times New Roman" w:hAnsi="Times New Roman" w:eastAsia="黑体" w:cs="Times New Roman"/>
          <w:b w:val="0"/>
        </w:rPr>
      </w:pPr>
      <w:bookmarkStart w:id="48" w:name="_Toc15389"/>
      <w:r>
        <w:rPr>
          <w:rFonts w:hint="default" w:ascii="Times New Roman" w:hAnsi="Times New Roman" w:eastAsia="黑体" w:cs="Times New Roman"/>
          <w:sz w:val="32"/>
          <w:szCs w:val="32"/>
        </w:rPr>
        <w:t>四、财</w:t>
      </w:r>
      <w:r>
        <w:rPr>
          <w:rStyle w:val="33"/>
          <w:rFonts w:hint="default" w:ascii="Times New Roman" w:hAnsi="Times New Roman" w:eastAsia="黑体" w:cs="Times New Roman"/>
          <w:b w:val="0"/>
        </w:rPr>
        <w:t>政拨款收入支出决算总体情况说明</w:t>
      </w:r>
      <w:bookmarkEnd w:id="46"/>
      <w:bookmarkEnd w:id="47"/>
      <w:bookmarkEnd w:id="48"/>
    </w:p>
    <w:p w14:paraId="625AF0EB">
      <w:pPr>
        <w:widowControl w:val="0"/>
        <w:wordWrap/>
        <w:adjustRightInd/>
        <w:snapToGrid/>
        <w:spacing w:line="560" w:lineRule="exact"/>
        <w:ind w:firstLine="640"/>
        <w:textAlignment w:val="auto"/>
        <w:rPr>
          <w:rFonts w:hint="default" w:ascii="Times New Roman" w:hAnsi="Times New Roman" w:eastAsia="仿宋" w:cs="Times New Roman"/>
          <w:b w:val="0"/>
          <w:bCs w:val="0"/>
          <w:sz w:val="32"/>
          <w:szCs w:val="32"/>
        </w:rPr>
      </w:pPr>
      <w:r>
        <w:rPr>
          <w:rFonts w:hint="default" w:ascii="Times New Roman" w:hAnsi="Times New Roman" w:eastAsia="仿宋" w:cs="Times New Roman"/>
          <w:b w:val="0"/>
          <w:bCs w:val="0"/>
          <w:sz w:val="32"/>
          <w:szCs w:val="32"/>
        </w:rPr>
        <w:t>2023年度财政拨款收、支总计均为819.32万元。与2022年度（2022年度收、支总计均为741.67万元）相比，财政拨款收、支总计各增加77.65万元，增长10.47%。主要变动原因是2023年度项目支出增加。</w:t>
      </w:r>
    </w:p>
    <w:p w14:paraId="63656CA3">
      <w:pPr>
        <w:spacing w:line="600" w:lineRule="exact"/>
        <w:rPr>
          <w:rFonts w:hint="default" w:ascii="Times New Roman" w:hAnsi="Times New Roman" w:eastAsia="仿宋" w:cs="Times New Roman"/>
          <w:sz w:val="32"/>
          <w:szCs w:val="32"/>
        </w:rPr>
      </w:pPr>
    </w:p>
    <w:p w14:paraId="74CB3C24">
      <w:pPr>
        <w:spacing w:line="240" w:lineRule="auto"/>
        <w:ind w:firstLine="0" w:firstLineChars="0"/>
        <w:rPr>
          <w:rFonts w:hint="default" w:ascii="Times New Roman" w:hAnsi="Times New Roman" w:eastAsia="仿宋" w:cs="Times New Roman"/>
          <w:sz w:val="32"/>
          <w:szCs w:val="32"/>
        </w:rPr>
      </w:pPr>
      <w:r>
        <w:rPr>
          <w:rFonts w:hint="default" w:ascii="Times New Roman" w:hAnsi="Times New Roman" w:eastAsia="宋体" w:cs="Times New Roman"/>
          <w:kern w:val="2"/>
          <w:sz w:val="21"/>
          <w:szCs w:val="24"/>
          <w:lang w:val="en-US" w:eastAsia="zh-CN" w:bidi="ar-SA"/>
        </w:rPr>
        <w:pict>
          <v:shape id="_x0000_s1031" o:spid="_x0000_s1031" o:spt="75" type="#_x0000_t75" style="position:absolute;left:0pt;margin-left:37.6pt;margin-top:-657.1pt;height:175.7pt;width:262.5pt;mso-wrap-distance-bottom:0pt;mso-wrap-distance-left:9pt;mso-wrap-distance-right:9pt;mso-wrap-distance-top:0pt;z-index:251662336;mso-width-relative:page;mso-height-relative:page;" o:ole="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square"/>
          </v:shape>
          <o:OLEObject Type="Embed" ProgID="MSGraph.Chart.8" ShapeID="_x0000_s1031" DrawAspect="Content" ObjectID="_1468075728" r:id="rId12">
            <o:LockedField>false</o:LockedField>
          </o:OLEObject>
        </w:pict>
      </w:r>
    </w:p>
    <w:p w14:paraId="55DB1233">
      <w:pPr>
        <w:spacing w:line="600" w:lineRule="exact"/>
        <w:ind w:firstLine="640" w:firstLineChars="200"/>
        <w:rPr>
          <w:rFonts w:hint="default" w:ascii="Times New Roman" w:hAnsi="Times New Roman" w:eastAsia="仿宋" w:cs="Times New Roman"/>
          <w:sz w:val="32"/>
          <w:szCs w:val="32"/>
        </w:rPr>
      </w:pPr>
    </w:p>
    <w:p w14:paraId="2EBE58FE">
      <w:pPr>
        <w:spacing w:line="600" w:lineRule="exact"/>
        <w:ind w:firstLine="640" w:firstLineChars="200"/>
        <w:rPr>
          <w:rFonts w:hint="default" w:ascii="Times New Roman" w:hAnsi="Times New Roman" w:eastAsia="仿宋" w:cs="Times New Roman"/>
          <w:sz w:val="32"/>
          <w:szCs w:val="32"/>
        </w:rPr>
      </w:pPr>
    </w:p>
    <w:p w14:paraId="5AA20047">
      <w:pPr>
        <w:spacing w:line="600" w:lineRule="exact"/>
        <w:rPr>
          <w:rFonts w:hint="default" w:ascii="Times New Roman" w:hAnsi="Times New Roman" w:eastAsia="仿宋" w:cs="Times New Roman"/>
          <w:sz w:val="32"/>
          <w:szCs w:val="32"/>
        </w:rPr>
      </w:pPr>
    </w:p>
    <w:p w14:paraId="4E57EE20">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（图4：财政拨款收、支决算总计变动情况）（柱状图）</w:t>
      </w:r>
    </w:p>
    <w:p w14:paraId="1FF87028">
      <w:pPr>
        <w:spacing w:line="600" w:lineRule="exact"/>
        <w:ind w:firstLine="640" w:firstLineChars="200"/>
        <w:outlineLvl w:val="1"/>
        <w:rPr>
          <w:rStyle w:val="33"/>
          <w:rFonts w:hint="default" w:ascii="Times New Roman" w:hAnsi="Times New Roman" w:eastAsia="黑体" w:cs="Times New Roman"/>
          <w:b w:val="0"/>
        </w:rPr>
      </w:pPr>
      <w:bookmarkStart w:id="49" w:name="_Toc2375"/>
      <w:bookmarkStart w:id="50" w:name="_Toc15377209"/>
      <w:bookmarkStart w:id="51" w:name="_Toc15396607"/>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33"/>
          <w:rFonts w:hint="default" w:ascii="Times New Roman" w:hAnsi="Times New Roman" w:eastAsia="黑体" w:cs="Times New Roman"/>
          <w:b w:val="0"/>
        </w:rPr>
        <w:t>般公共预算财政拨款支出决算情况说明</w:t>
      </w:r>
      <w:bookmarkEnd w:id="49"/>
      <w:bookmarkEnd w:id="50"/>
      <w:bookmarkEnd w:id="51"/>
    </w:p>
    <w:p w14:paraId="012D6F26">
      <w:pPr>
        <w:spacing w:line="600" w:lineRule="exact"/>
        <w:ind w:firstLine="643" w:firstLineChars="200"/>
        <w:outlineLvl w:val="2"/>
        <w:rPr>
          <w:rFonts w:hint="default" w:ascii="Times New Roman" w:hAnsi="Times New Roman" w:eastAsia="仿宋" w:cs="Times New Roman"/>
          <w:b/>
          <w:sz w:val="32"/>
          <w:szCs w:val="32"/>
        </w:rPr>
      </w:pPr>
      <w:bookmarkStart w:id="52" w:name="_Toc15556"/>
      <w:bookmarkStart w:id="53" w:name="_Toc15377210"/>
      <w:bookmarkStart w:id="54" w:name="_Toc19575"/>
      <w:r>
        <w:rPr>
          <w:rFonts w:hint="default" w:ascii="Times New Roman" w:hAnsi="Times New Roman" w:eastAsia="仿宋" w:cs="Times New Roman"/>
          <w:b/>
          <w:sz w:val="32"/>
          <w:szCs w:val="32"/>
        </w:rPr>
        <w:t>（一）一般公共预算财政拨款支出决算总体情况</w:t>
      </w:r>
      <w:bookmarkEnd w:id="52"/>
      <w:bookmarkEnd w:id="53"/>
      <w:bookmarkEnd w:id="54"/>
    </w:p>
    <w:p w14:paraId="65CD5135">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b w:val="0"/>
          <w:bCs w:val="0"/>
          <w:sz w:val="32"/>
          <w:szCs w:val="32"/>
        </w:rPr>
        <w:t>2023年度一般公共预算财政拨款支出819.32万元，占本年支出合计的100%。与2022年度（2022年度为741.67万元）相比，一般公共预算财政拨款支出增加77.65万元，增长10.47%。主要变动原因是2023年度项目收入增加。</w:t>
      </w:r>
    </w:p>
    <w:p w14:paraId="0974C3BF">
      <w:pPr>
        <w:spacing w:line="600" w:lineRule="exact"/>
        <w:ind w:firstLine="420" w:firstLineChars="200"/>
        <w:rPr>
          <w:rFonts w:hint="default" w:ascii="Times New Roman" w:hAnsi="Times New Roman" w:eastAsia="仿宋" w:cs="Times New Roman"/>
          <w:sz w:val="32"/>
          <w:szCs w:val="32"/>
        </w:rPr>
      </w:pPr>
      <w:r>
        <w:rPr>
          <w:rFonts w:hint="default" w:ascii="Times New Roman" w:hAnsi="Times New Roman" w:eastAsia="宋体" w:cs="Times New Roman"/>
          <w:kern w:val="2"/>
          <w:sz w:val="21"/>
          <w:szCs w:val="24"/>
          <w:lang w:val="en-US" w:eastAsia="zh-CN" w:bidi="ar-SA"/>
        </w:rPr>
        <w:pict>
          <v:shape id="_x0000_s1032" o:spid="_x0000_s1032" o:spt="75" type="#_x0000_t75" style="position:absolute;left:0pt;margin-left:78.75pt;margin-top:0.3pt;height:175.55pt;width:262.5pt;mso-wrap-distance-bottom:0pt;mso-wrap-distance-left:9pt;mso-wrap-distance-right:9pt;mso-wrap-distance-top:0pt;z-index:251663360;mso-width-relative:page;mso-height-relative:page;" o:ole="t" fillcolor="#FFFFFF" filled="f" o:preferrelative="t" stroked="f" coordsize="21600,21600">
            <v:path/>
            <v:fill on="f" color2="#FFFFFF" focussize="0,0"/>
            <v:stroke on="f"/>
            <v:imagedata r:id="rId15" gain="65536f" blacklevel="0f" gamma="0" o:title=""/>
            <o:lock v:ext="edit" position="f" selection="f" grouping="f" rotation="f" cropping="f" text="f" aspectratio="t"/>
            <w10:wrap type="square"/>
          </v:shape>
          <o:OLEObject Type="Embed" ProgID="MSGraph.Chart.8" ShapeID="_x0000_s1032" DrawAspect="Content" ObjectID="_1468075729" r:id="rId14">
            <o:LockedField>false</o:LockedField>
          </o:OLEObject>
        </w:pict>
      </w:r>
    </w:p>
    <w:p w14:paraId="54ACA194">
      <w:pPr>
        <w:spacing w:line="600" w:lineRule="exact"/>
        <w:ind w:firstLine="640" w:firstLineChars="200"/>
        <w:rPr>
          <w:rFonts w:hint="default" w:ascii="Times New Roman" w:hAnsi="Times New Roman" w:eastAsia="仿宋" w:cs="Times New Roman"/>
          <w:sz w:val="32"/>
          <w:szCs w:val="32"/>
        </w:rPr>
      </w:pPr>
    </w:p>
    <w:p w14:paraId="5154AADF">
      <w:pPr>
        <w:spacing w:line="600" w:lineRule="exact"/>
        <w:ind w:firstLine="640" w:firstLineChars="200"/>
        <w:rPr>
          <w:rFonts w:hint="default" w:ascii="Times New Roman" w:hAnsi="Times New Roman" w:eastAsia="仿宋" w:cs="Times New Roman"/>
          <w:sz w:val="32"/>
          <w:szCs w:val="32"/>
        </w:rPr>
      </w:pPr>
    </w:p>
    <w:p w14:paraId="15C82306">
      <w:pPr>
        <w:spacing w:line="600" w:lineRule="exact"/>
        <w:ind w:firstLine="640" w:firstLineChars="200"/>
        <w:rPr>
          <w:rFonts w:hint="default" w:ascii="Times New Roman" w:hAnsi="Times New Roman" w:eastAsia="仿宋" w:cs="Times New Roman"/>
          <w:sz w:val="32"/>
          <w:szCs w:val="32"/>
        </w:rPr>
      </w:pPr>
    </w:p>
    <w:p w14:paraId="0F484B22">
      <w:pPr>
        <w:spacing w:line="600" w:lineRule="exact"/>
        <w:ind w:firstLine="640" w:firstLineChars="200"/>
        <w:rPr>
          <w:rFonts w:hint="default" w:ascii="Times New Roman" w:hAnsi="Times New Roman" w:eastAsia="仿宋" w:cs="Times New Roman"/>
          <w:sz w:val="32"/>
          <w:szCs w:val="32"/>
        </w:rPr>
      </w:pPr>
    </w:p>
    <w:p w14:paraId="489345C2">
      <w:pPr>
        <w:spacing w:line="600" w:lineRule="exact"/>
        <w:ind w:firstLine="640" w:firstLineChars="200"/>
        <w:rPr>
          <w:rFonts w:hint="default" w:ascii="Times New Roman" w:hAnsi="Times New Roman" w:eastAsia="仿宋" w:cs="Times New Roman"/>
          <w:sz w:val="32"/>
          <w:szCs w:val="32"/>
        </w:rPr>
      </w:pPr>
    </w:p>
    <w:p w14:paraId="3F731958">
      <w:pPr>
        <w:widowControl w:val="0"/>
        <w:wordWrap/>
        <w:adjustRightInd/>
        <w:snapToGri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（图5：一般公共预算财政拨款支出决算变动情况）（柱状图）</w:t>
      </w:r>
    </w:p>
    <w:p w14:paraId="57EAD686">
      <w:pPr>
        <w:widowControl w:val="0"/>
        <w:wordWrap/>
        <w:adjustRightInd/>
        <w:snapToGrid/>
        <w:spacing w:line="560" w:lineRule="exact"/>
        <w:ind w:firstLine="643" w:firstLineChars="200"/>
        <w:textAlignment w:val="auto"/>
        <w:outlineLvl w:val="2"/>
        <w:rPr>
          <w:rFonts w:hint="default" w:ascii="Times New Roman" w:hAnsi="Times New Roman" w:eastAsia="仿宋" w:cs="Times New Roman"/>
          <w:b/>
          <w:sz w:val="32"/>
          <w:szCs w:val="32"/>
        </w:rPr>
      </w:pPr>
      <w:bookmarkStart w:id="55" w:name="_Toc20690"/>
      <w:bookmarkStart w:id="56" w:name="_Toc25745"/>
      <w:bookmarkStart w:id="57" w:name="_Toc15377211"/>
      <w:r>
        <w:rPr>
          <w:rFonts w:hint="default" w:ascii="Times New Roman" w:hAnsi="Times New Roman" w:eastAsia="仿宋" w:cs="Times New Roman"/>
          <w:b/>
          <w:sz w:val="32"/>
          <w:szCs w:val="32"/>
        </w:rPr>
        <w:t>（二）一般公共预算财政拨款支出决算结构情况</w:t>
      </w:r>
      <w:bookmarkEnd w:id="55"/>
      <w:bookmarkEnd w:id="56"/>
      <w:bookmarkEnd w:id="57"/>
    </w:p>
    <w:p w14:paraId="180D9F26">
      <w:pPr>
        <w:widowControl w:val="0"/>
        <w:wordWrap/>
        <w:adjustRightInd/>
        <w:snapToGrid/>
        <w:spacing w:line="560" w:lineRule="exact"/>
        <w:ind w:firstLine="640"/>
        <w:textAlignment w:val="auto"/>
        <w:rPr>
          <w:rFonts w:hint="default" w:ascii="Times New Roman" w:hAnsi="Times New Roman" w:eastAsia="仿宋" w:cs="Times New Roman"/>
          <w:b w:val="0"/>
          <w:bCs w:val="0"/>
          <w:sz w:val="32"/>
          <w:szCs w:val="32"/>
        </w:rPr>
      </w:pPr>
      <w:bookmarkStart w:id="58" w:name="_Toc15377212"/>
      <w:r>
        <w:rPr>
          <w:rFonts w:hint="default" w:ascii="Times New Roman" w:hAnsi="Times New Roman" w:eastAsia="仿宋" w:cs="Times New Roman"/>
          <w:b w:val="0"/>
          <w:bCs w:val="0"/>
          <w:sz w:val="32"/>
          <w:szCs w:val="32"/>
        </w:rPr>
        <w:t>2023年度一般公共预算财政拨款支出819.32万元，主要用于以下方面:社会保障和就业支出805.8万元，占98.35%；卫生健康支出6.94万元，占0.85%；住房保障支出6.58万元，占0.8%。</w:t>
      </w:r>
    </w:p>
    <w:p w14:paraId="2EAAB0BF">
      <w:pPr>
        <w:spacing w:line="600" w:lineRule="exact"/>
        <w:ind w:firstLine="640"/>
        <w:rPr>
          <w:rFonts w:hint="default" w:ascii="Times New Roman" w:hAnsi="Times New Roman" w:eastAsia="仿宋" w:cs="Times New Roman"/>
          <w:sz w:val="32"/>
          <w:szCs w:val="32"/>
        </w:rPr>
      </w:pPr>
      <w:r>
        <w:rPr>
          <w:rFonts w:hint="default" w:ascii="Times New Roman" w:hAnsi="Times New Roman" w:eastAsia="宋体" w:cs="Times New Roman"/>
          <w:kern w:val="2"/>
          <w:sz w:val="21"/>
          <w:szCs w:val="24"/>
          <w:lang w:val="en-US" w:eastAsia="zh-CN" w:bidi="ar-SA"/>
        </w:rPr>
        <w:pict>
          <v:shape id="_x0000_s1033" o:spid="_x0000_s1033" o:spt="75" type="#_x0000_t75" style="position:absolute;left:0pt;margin-left:89.25pt;margin-top:4.7pt;height:129.95pt;width:194.2pt;mso-wrap-distance-bottom:0pt;mso-wrap-distance-left:9pt;mso-wrap-distance-right:9pt;mso-wrap-distance-top:0pt;z-index:251664384;mso-width-relative:page;mso-height-relative:page;" o:ole="t" fillcolor="#FFFFFF" filled="f" o:preferrelative="t" stroked="f" coordsize="21600,21600">
            <v:path/>
            <v:fill on="f" color2="#FFFFFF" focussize="0,0"/>
            <v:stroke on="f"/>
            <v:imagedata r:id="rId17" gain="65536f" blacklevel="0f" gamma="0" o:title=""/>
            <o:lock v:ext="edit" position="f" selection="f" grouping="f" rotation="f" cropping="f" text="f" aspectratio="t"/>
            <w10:wrap type="square"/>
          </v:shape>
          <o:OLEObject Type="Embed" ProgID="MSGraph.Chart.8" ShapeID="_x0000_s1033" DrawAspect="Content" ObjectID="_1468075730" r:id="rId16">
            <o:LockedField>false</o:LockedField>
          </o:OLEObject>
        </w:pict>
      </w:r>
    </w:p>
    <w:p w14:paraId="0669535A">
      <w:pPr>
        <w:spacing w:line="600" w:lineRule="exact"/>
        <w:ind w:firstLine="640" w:firstLineChars="200"/>
        <w:rPr>
          <w:rFonts w:hint="default" w:ascii="Times New Roman" w:hAnsi="Times New Roman" w:eastAsia="仿宋" w:cs="Times New Roman"/>
          <w:sz w:val="32"/>
          <w:szCs w:val="32"/>
        </w:rPr>
      </w:pPr>
    </w:p>
    <w:p w14:paraId="7F22D5E4">
      <w:pPr>
        <w:spacing w:line="600" w:lineRule="exact"/>
        <w:ind w:firstLine="640" w:firstLineChars="200"/>
        <w:rPr>
          <w:rFonts w:hint="default" w:ascii="Times New Roman" w:hAnsi="Times New Roman" w:eastAsia="仿宋" w:cs="Times New Roman"/>
          <w:sz w:val="32"/>
          <w:szCs w:val="32"/>
        </w:rPr>
      </w:pPr>
    </w:p>
    <w:p w14:paraId="19515AE4">
      <w:pPr>
        <w:spacing w:line="600" w:lineRule="exact"/>
        <w:ind w:firstLine="640" w:firstLineChars="200"/>
        <w:rPr>
          <w:rFonts w:hint="default" w:ascii="Times New Roman" w:hAnsi="Times New Roman" w:eastAsia="仿宋" w:cs="Times New Roman"/>
          <w:sz w:val="32"/>
          <w:szCs w:val="32"/>
        </w:rPr>
      </w:pPr>
    </w:p>
    <w:p w14:paraId="5C3321D3">
      <w:pPr>
        <w:spacing w:line="600" w:lineRule="exact"/>
        <w:rPr>
          <w:rFonts w:hint="default" w:ascii="Times New Roman" w:hAnsi="Times New Roman" w:eastAsia="仿宋" w:cs="Times New Roman"/>
          <w:sz w:val="32"/>
          <w:szCs w:val="32"/>
        </w:rPr>
      </w:pPr>
    </w:p>
    <w:p w14:paraId="5F24AF76">
      <w:pPr>
        <w:widowControl w:val="0"/>
        <w:wordWrap/>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（图6：一般公共预算财政拨款支出决算结构）（饼状图）</w:t>
      </w:r>
    </w:p>
    <w:p w14:paraId="3FF86ACD">
      <w:pPr>
        <w:widowControl w:val="0"/>
        <w:wordWrap/>
        <w:adjustRightInd/>
        <w:snapToGrid/>
        <w:spacing w:line="560" w:lineRule="exact"/>
        <w:ind w:firstLine="643" w:firstLineChars="200"/>
        <w:textAlignment w:val="auto"/>
        <w:outlineLvl w:val="2"/>
        <w:rPr>
          <w:rFonts w:hint="default" w:ascii="Times New Roman" w:hAnsi="Times New Roman" w:eastAsia="仿宋" w:cs="Times New Roman"/>
          <w:b/>
          <w:sz w:val="32"/>
          <w:szCs w:val="32"/>
        </w:rPr>
      </w:pPr>
      <w:bookmarkStart w:id="59" w:name="_Toc4661"/>
      <w:bookmarkStart w:id="60" w:name="_Toc25193"/>
      <w:r>
        <w:rPr>
          <w:rFonts w:hint="default" w:ascii="Times New Roman" w:hAnsi="Times New Roman" w:eastAsia="仿宋" w:cs="Times New Roman"/>
          <w:b/>
          <w:sz w:val="32"/>
          <w:szCs w:val="32"/>
        </w:rPr>
        <w:t>（三）一般公共预算财政拨款支出决算具体情况</w:t>
      </w:r>
      <w:bookmarkEnd w:id="58"/>
      <w:bookmarkEnd w:id="59"/>
      <w:bookmarkEnd w:id="60"/>
    </w:p>
    <w:p w14:paraId="6AB9CF85">
      <w:pPr>
        <w:widowControl w:val="0"/>
        <w:wordWrap/>
        <w:adjustRightInd/>
        <w:snapToGrid/>
        <w:spacing w:line="560" w:lineRule="exact"/>
        <w:ind w:firstLine="640" w:firstLineChars="200"/>
        <w:textAlignment w:val="auto"/>
        <w:outlineLvl w:val="2"/>
        <w:rPr>
          <w:rFonts w:hint="default" w:ascii="Times New Roman" w:hAnsi="Times New Roman" w:eastAsia="仿宋" w:cs="Times New Roman"/>
          <w:b w:val="0"/>
          <w:bCs/>
          <w:sz w:val="32"/>
          <w:szCs w:val="32"/>
        </w:rPr>
      </w:pPr>
      <w:bookmarkStart w:id="61" w:name="_Toc5794"/>
      <w:bookmarkStart w:id="62" w:name="_Toc15377213"/>
      <w:bookmarkStart w:id="63" w:name="_Toc16850"/>
      <w:bookmarkStart w:id="64" w:name="_Toc15377444"/>
      <w:bookmarkStart w:id="65" w:name="_Toc1560"/>
      <w:bookmarkStart w:id="66" w:name="_Toc15378460"/>
      <w:r>
        <w:rPr>
          <w:rFonts w:hint="default" w:ascii="Times New Roman" w:hAnsi="Times New Roman" w:eastAsia="仿宋" w:cs="Times New Roman"/>
          <w:b w:val="0"/>
          <w:bCs/>
          <w:sz w:val="32"/>
          <w:szCs w:val="32"/>
        </w:rPr>
        <w:t>2023年度一般公共预算支出决算数为819.32</w:t>
      </w:r>
      <w:r>
        <w:rPr>
          <w:rFonts w:hint="default" w:ascii="Times New Roman" w:hAnsi="Times New Roman" w:eastAsia="仿宋" w:cs="Times New Roman"/>
          <w:b w:val="0"/>
          <w:bCs/>
          <w:sz w:val="32"/>
          <w:szCs w:val="32"/>
          <w:lang w:eastAsia="zh-CN"/>
        </w:rPr>
        <w:t>万元</w:t>
      </w:r>
      <w:r>
        <w:rPr>
          <w:rFonts w:hint="default" w:ascii="Times New Roman" w:hAnsi="Times New Roman" w:eastAsia="仿宋" w:cs="Times New Roman"/>
          <w:b w:val="0"/>
          <w:bCs/>
          <w:sz w:val="32"/>
          <w:szCs w:val="32"/>
        </w:rPr>
        <w:t>，</w:t>
      </w:r>
      <w:r>
        <w:rPr>
          <w:rStyle w:val="17"/>
          <w:rFonts w:hint="default" w:ascii="Times New Roman" w:hAnsi="Times New Roman" w:eastAsia="仿宋" w:cs="Times New Roman"/>
          <w:b w:val="0"/>
          <w:bCs/>
          <w:sz w:val="32"/>
          <w:szCs w:val="32"/>
        </w:rPr>
        <w:t>完成预算100%。其中：</w:t>
      </w:r>
      <w:bookmarkEnd w:id="61"/>
      <w:bookmarkEnd w:id="62"/>
      <w:bookmarkEnd w:id="63"/>
      <w:bookmarkEnd w:id="64"/>
      <w:bookmarkEnd w:id="65"/>
      <w:bookmarkEnd w:id="66"/>
    </w:p>
    <w:p w14:paraId="5CF3D50F">
      <w:pPr>
        <w:widowControl w:val="0"/>
        <w:wordWrap/>
        <w:adjustRightInd/>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1.社会保障和就业支出（类）人力资源和社会保障管理事务（款）行政运行</w:t>
      </w:r>
      <w:r>
        <w:rPr>
          <w:rStyle w:val="36"/>
          <w:rFonts w:hint="default" w:ascii="Times New Roman" w:hAnsi="Times New Roman" w:eastAsia="仿宋" w:cs="Times New Roman"/>
          <w:b w:val="0"/>
          <w:bCs/>
          <w:sz w:val="32"/>
          <w:szCs w:val="32"/>
        </w:rPr>
        <w:t>（项）</w:t>
      </w:r>
      <w:r>
        <w:rPr>
          <w:rStyle w:val="17"/>
          <w:rFonts w:hint="default" w:ascii="Times New Roman" w:hAnsi="Times New Roman" w:eastAsia="仿宋" w:cs="Times New Roman"/>
          <w:b w:val="0"/>
          <w:bCs/>
          <w:sz w:val="32"/>
          <w:szCs w:val="32"/>
        </w:rPr>
        <w:t>:支出决算为69.7万元，完成预算100%。</w:t>
      </w:r>
    </w:p>
    <w:p w14:paraId="73294078">
      <w:pPr>
        <w:widowControl w:val="0"/>
        <w:wordWrap/>
        <w:adjustRightInd/>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2.</w:t>
      </w:r>
      <w:r>
        <w:rPr>
          <w:rStyle w:val="36"/>
          <w:rFonts w:hint="default" w:ascii="Times New Roman" w:hAnsi="Times New Roman" w:eastAsia="仿宋" w:cs="Times New Roman"/>
          <w:b w:val="0"/>
          <w:bCs/>
          <w:sz w:val="32"/>
          <w:szCs w:val="32"/>
        </w:rPr>
        <w:t>社会保障和就业支出（类）行政事业单位养老支出（款）行政单位离退休（项）</w:t>
      </w:r>
      <w:r>
        <w:rPr>
          <w:rStyle w:val="17"/>
          <w:rFonts w:hint="default" w:ascii="Times New Roman" w:hAnsi="Times New Roman" w:eastAsia="仿宋" w:cs="Times New Roman"/>
          <w:b w:val="0"/>
          <w:bCs/>
          <w:sz w:val="32"/>
          <w:szCs w:val="32"/>
        </w:rPr>
        <w:t>:支出决算为11.58万元，完成预算100%。</w:t>
      </w:r>
    </w:p>
    <w:p w14:paraId="2B1CBAA4">
      <w:pPr>
        <w:widowControl w:val="0"/>
        <w:wordWrap/>
        <w:adjustRightInd/>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3.</w:t>
      </w:r>
      <w:r>
        <w:rPr>
          <w:rStyle w:val="36"/>
          <w:rFonts w:hint="default" w:ascii="Times New Roman" w:hAnsi="Times New Roman" w:eastAsia="仿宋" w:cs="Times New Roman"/>
          <w:b w:val="0"/>
          <w:bCs/>
          <w:sz w:val="32"/>
          <w:szCs w:val="32"/>
        </w:rPr>
        <w:t>社会保障和就业支出（类）行政事业单位养老支出（款）机关事业单位基本养老保险缴费支出（项）</w:t>
      </w:r>
      <w:r>
        <w:rPr>
          <w:rStyle w:val="17"/>
          <w:rFonts w:hint="default" w:ascii="Times New Roman" w:hAnsi="Times New Roman" w:eastAsia="仿宋" w:cs="Times New Roman"/>
          <w:b w:val="0"/>
          <w:bCs/>
          <w:sz w:val="32"/>
          <w:szCs w:val="32"/>
        </w:rPr>
        <w:t>:支出决算为9.53万元，完成预算100%。</w:t>
      </w:r>
    </w:p>
    <w:p w14:paraId="55E321A1">
      <w:pPr>
        <w:widowControl w:val="0"/>
        <w:wordWrap/>
        <w:adjustRightInd/>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4.</w:t>
      </w:r>
      <w:r>
        <w:rPr>
          <w:rStyle w:val="36"/>
          <w:rFonts w:hint="default" w:ascii="Times New Roman" w:hAnsi="Times New Roman" w:eastAsia="仿宋" w:cs="Times New Roman"/>
          <w:b w:val="0"/>
          <w:bCs/>
          <w:sz w:val="32"/>
          <w:szCs w:val="32"/>
        </w:rPr>
        <w:t>社会保障和就业支出（类）行政事业单位养老支出（款）机关事业单位职业年金缴费支出（项）</w:t>
      </w:r>
      <w:r>
        <w:rPr>
          <w:rStyle w:val="17"/>
          <w:rFonts w:hint="default" w:ascii="Times New Roman" w:hAnsi="Times New Roman" w:eastAsia="仿宋" w:cs="Times New Roman"/>
          <w:b w:val="0"/>
          <w:bCs/>
          <w:sz w:val="32"/>
          <w:szCs w:val="32"/>
        </w:rPr>
        <w:t>:支出决算为0.12万元，完成预算100%。</w:t>
      </w:r>
    </w:p>
    <w:p w14:paraId="6CB53CDB">
      <w:pPr>
        <w:widowControl w:val="0"/>
        <w:wordWrap/>
        <w:adjustRightInd/>
        <w:snapToGrid/>
        <w:spacing w:line="560" w:lineRule="exact"/>
        <w:ind w:firstLine="640" w:firstLineChars="200"/>
        <w:textAlignment w:val="auto"/>
        <w:rPr>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5.</w:t>
      </w:r>
      <w:r>
        <w:rPr>
          <w:rStyle w:val="36"/>
          <w:rFonts w:hint="default" w:ascii="Times New Roman" w:hAnsi="Times New Roman" w:eastAsia="仿宋" w:cs="Times New Roman"/>
          <w:b w:val="0"/>
          <w:bCs/>
          <w:sz w:val="32"/>
          <w:szCs w:val="32"/>
        </w:rPr>
        <w:t>社会保障和就业支出（类）就业补助（款）就业创业服务补贴（项）</w:t>
      </w:r>
      <w:r>
        <w:rPr>
          <w:rStyle w:val="17"/>
          <w:rFonts w:hint="default" w:ascii="Times New Roman" w:hAnsi="Times New Roman" w:eastAsia="仿宋" w:cs="Times New Roman"/>
          <w:b w:val="0"/>
          <w:bCs/>
          <w:sz w:val="32"/>
          <w:szCs w:val="32"/>
        </w:rPr>
        <w:t>:支出决算为72.05万元，完成预算100%。</w:t>
      </w:r>
    </w:p>
    <w:p w14:paraId="1605C518">
      <w:pPr>
        <w:widowControl w:val="0"/>
        <w:wordWrap/>
        <w:adjustRightInd/>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6.</w:t>
      </w:r>
      <w:r>
        <w:rPr>
          <w:rStyle w:val="36"/>
          <w:rFonts w:hint="default" w:ascii="Times New Roman" w:hAnsi="Times New Roman" w:eastAsia="仿宋" w:cs="Times New Roman"/>
          <w:b w:val="0"/>
          <w:bCs/>
          <w:sz w:val="32"/>
          <w:szCs w:val="32"/>
        </w:rPr>
        <w:t>社会保障和就业支出（类）就业补助（款）职业培训补贴（项）</w:t>
      </w:r>
      <w:r>
        <w:rPr>
          <w:rStyle w:val="17"/>
          <w:rFonts w:hint="default" w:ascii="Times New Roman" w:hAnsi="Times New Roman" w:eastAsia="仿宋" w:cs="Times New Roman"/>
          <w:b w:val="0"/>
          <w:bCs/>
          <w:sz w:val="32"/>
          <w:szCs w:val="32"/>
        </w:rPr>
        <w:t>:支出决算为190.68万元，完成预算100%。</w:t>
      </w:r>
    </w:p>
    <w:p w14:paraId="621B03D0">
      <w:pPr>
        <w:widowControl w:val="0"/>
        <w:wordWrap/>
        <w:adjustRightInd/>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7.</w:t>
      </w:r>
      <w:r>
        <w:rPr>
          <w:rStyle w:val="36"/>
          <w:rFonts w:hint="default" w:ascii="Times New Roman" w:hAnsi="Times New Roman" w:eastAsia="仿宋" w:cs="Times New Roman"/>
          <w:b w:val="0"/>
          <w:bCs/>
          <w:sz w:val="32"/>
          <w:szCs w:val="32"/>
        </w:rPr>
        <w:t>社会保障和就业支出（类）就业补助（款）公益性岗位补贴（项）</w:t>
      </w:r>
      <w:r>
        <w:rPr>
          <w:rStyle w:val="17"/>
          <w:rFonts w:hint="default" w:ascii="Times New Roman" w:hAnsi="Times New Roman" w:eastAsia="仿宋" w:cs="Times New Roman"/>
          <w:b w:val="0"/>
          <w:bCs/>
          <w:sz w:val="32"/>
          <w:szCs w:val="32"/>
        </w:rPr>
        <w:t>:支出决算为286.88万元，完成预算100%。</w:t>
      </w:r>
    </w:p>
    <w:p w14:paraId="6638EEB6">
      <w:pPr>
        <w:widowControl w:val="0"/>
        <w:wordWrap/>
        <w:adjustRightInd/>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8.</w:t>
      </w:r>
      <w:r>
        <w:rPr>
          <w:rStyle w:val="36"/>
          <w:rFonts w:hint="default" w:ascii="Times New Roman" w:hAnsi="Times New Roman" w:eastAsia="仿宋" w:cs="Times New Roman"/>
          <w:b w:val="0"/>
          <w:bCs/>
          <w:sz w:val="32"/>
          <w:szCs w:val="32"/>
        </w:rPr>
        <w:t>社会保障和就业支出（类）就业补助（款）就业见习补贴（项）</w:t>
      </w:r>
      <w:r>
        <w:rPr>
          <w:rStyle w:val="17"/>
          <w:rFonts w:hint="default" w:ascii="Times New Roman" w:hAnsi="Times New Roman" w:eastAsia="仿宋" w:cs="Times New Roman"/>
          <w:b w:val="0"/>
          <w:bCs/>
          <w:sz w:val="32"/>
          <w:szCs w:val="32"/>
        </w:rPr>
        <w:t>:支出决算为28.44万元，完成预算100%。</w:t>
      </w:r>
    </w:p>
    <w:p w14:paraId="36E598EA">
      <w:pPr>
        <w:widowControl w:val="0"/>
        <w:wordWrap/>
        <w:adjustRightInd/>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9.</w:t>
      </w:r>
      <w:r>
        <w:rPr>
          <w:rStyle w:val="36"/>
          <w:rFonts w:hint="default" w:ascii="Times New Roman" w:hAnsi="Times New Roman" w:eastAsia="仿宋" w:cs="Times New Roman"/>
          <w:b w:val="0"/>
          <w:bCs/>
          <w:sz w:val="32"/>
          <w:szCs w:val="32"/>
        </w:rPr>
        <w:t>社会保障和就业支出（类）就业补助（款）促进创业补贴（项）</w:t>
      </w:r>
      <w:r>
        <w:rPr>
          <w:rStyle w:val="17"/>
          <w:rFonts w:hint="default" w:ascii="Times New Roman" w:hAnsi="Times New Roman" w:eastAsia="仿宋" w:cs="Times New Roman"/>
          <w:b w:val="0"/>
          <w:bCs/>
          <w:sz w:val="32"/>
          <w:szCs w:val="32"/>
        </w:rPr>
        <w:t>:支出决算为18万元，完成预算100%。</w:t>
      </w:r>
    </w:p>
    <w:p w14:paraId="1350FC75">
      <w:pPr>
        <w:widowControl w:val="0"/>
        <w:wordWrap/>
        <w:adjustRightInd/>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10.</w:t>
      </w:r>
      <w:r>
        <w:rPr>
          <w:rStyle w:val="36"/>
          <w:rFonts w:hint="default" w:ascii="Times New Roman" w:hAnsi="Times New Roman" w:eastAsia="仿宋" w:cs="Times New Roman"/>
          <w:b w:val="0"/>
          <w:bCs/>
          <w:sz w:val="32"/>
          <w:szCs w:val="32"/>
        </w:rPr>
        <w:t>社会保障和就业支出（类）就业补助（款）其他就业补助支出（项）</w:t>
      </w:r>
      <w:r>
        <w:rPr>
          <w:rStyle w:val="17"/>
          <w:rFonts w:hint="default" w:ascii="Times New Roman" w:hAnsi="Times New Roman" w:eastAsia="仿宋" w:cs="Times New Roman"/>
          <w:b w:val="0"/>
          <w:bCs/>
          <w:sz w:val="32"/>
          <w:szCs w:val="32"/>
        </w:rPr>
        <w:t>:支出决算为118.81万元，完成预算100%。</w:t>
      </w:r>
    </w:p>
    <w:p w14:paraId="5F8DEE31">
      <w:pPr>
        <w:widowControl w:val="0"/>
        <w:wordWrap/>
        <w:adjustRightInd/>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11.</w:t>
      </w:r>
      <w:r>
        <w:rPr>
          <w:rFonts w:hint="default" w:ascii="Times New Roman" w:hAnsi="Times New Roman" w:eastAsia="仿宋" w:cs="Times New Roman"/>
          <w:b w:val="0"/>
          <w:bCs/>
          <w:sz w:val="32"/>
          <w:szCs w:val="32"/>
        </w:rPr>
        <w:t>卫生健康支出</w:t>
      </w:r>
      <w:r>
        <w:rPr>
          <w:rStyle w:val="36"/>
          <w:rFonts w:hint="default" w:ascii="Times New Roman" w:hAnsi="Times New Roman" w:eastAsia="仿宋" w:cs="Times New Roman"/>
          <w:b w:val="0"/>
          <w:bCs/>
          <w:sz w:val="32"/>
          <w:szCs w:val="32"/>
        </w:rPr>
        <w:t>（类）行政事业单位医疗（款）行政单位医疗（项）</w:t>
      </w:r>
      <w:r>
        <w:rPr>
          <w:rStyle w:val="17"/>
          <w:rFonts w:hint="default" w:ascii="Times New Roman" w:hAnsi="Times New Roman" w:eastAsia="仿宋" w:cs="Times New Roman"/>
          <w:b w:val="0"/>
          <w:bCs/>
          <w:sz w:val="32"/>
          <w:szCs w:val="32"/>
        </w:rPr>
        <w:t>:支出决算为4.26万元，完成预算100%。</w:t>
      </w:r>
    </w:p>
    <w:p w14:paraId="440756EA">
      <w:pPr>
        <w:widowControl w:val="0"/>
        <w:wordWrap/>
        <w:adjustRightInd/>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12.</w:t>
      </w:r>
      <w:r>
        <w:rPr>
          <w:rFonts w:hint="default" w:ascii="Times New Roman" w:hAnsi="Times New Roman" w:eastAsia="仿宋" w:cs="Times New Roman"/>
          <w:b w:val="0"/>
          <w:bCs/>
          <w:sz w:val="32"/>
          <w:szCs w:val="32"/>
        </w:rPr>
        <w:t>卫生健康支出</w:t>
      </w:r>
      <w:r>
        <w:rPr>
          <w:rStyle w:val="36"/>
          <w:rFonts w:hint="default" w:ascii="Times New Roman" w:hAnsi="Times New Roman" w:eastAsia="仿宋" w:cs="Times New Roman"/>
          <w:b w:val="0"/>
          <w:bCs/>
          <w:sz w:val="32"/>
          <w:szCs w:val="32"/>
        </w:rPr>
        <w:t>（类）行政事业单位医疗（款）公务员医疗补助（项）</w:t>
      </w:r>
      <w:r>
        <w:rPr>
          <w:rStyle w:val="17"/>
          <w:rFonts w:hint="default" w:ascii="Times New Roman" w:hAnsi="Times New Roman" w:eastAsia="仿宋" w:cs="Times New Roman"/>
          <w:b w:val="0"/>
          <w:bCs/>
          <w:sz w:val="32"/>
          <w:szCs w:val="32"/>
        </w:rPr>
        <w:t>:支出决算为0.52万元，完成预算100%。</w:t>
      </w:r>
    </w:p>
    <w:p w14:paraId="6130EE70">
      <w:pPr>
        <w:widowControl w:val="0"/>
        <w:wordWrap/>
        <w:adjustRightInd/>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13.</w:t>
      </w:r>
      <w:r>
        <w:rPr>
          <w:rFonts w:hint="default" w:ascii="Times New Roman" w:hAnsi="Times New Roman" w:eastAsia="仿宋" w:cs="Times New Roman"/>
          <w:b w:val="0"/>
          <w:bCs/>
          <w:sz w:val="32"/>
          <w:szCs w:val="32"/>
        </w:rPr>
        <w:t>卫生健康支出</w:t>
      </w:r>
      <w:r>
        <w:rPr>
          <w:rStyle w:val="36"/>
          <w:rFonts w:hint="default" w:ascii="Times New Roman" w:hAnsi="Times New Roman" w:eastAsia="仿宋" w:cs="Times New Roman"/>
          <w:b w:val="0"/>
          <w:bCs/>
          <w:sz w:val="32"/>
          <w:szCs w:val="32"/>
        </w:rPr>
        <w:t>（类）行政事业单位医疗（款）其他行政事业单位医疗支出（项）</w:t>
      </w:r>
      <w:r>
        <w:rPr>
          <w:rStyle w:val="17"/>
          <w:rFonts w:hint="default" w:ascii="Times New Roman" w:hAnsi="Times New Roman" w:eastAsia="仿宋" w:cs="Times New Roman"/>
          <w:b w:val="0"/>
          <w:bCs/>
          <w:sz w:val="32"/>
          <w:szCs w:val="32"/>
        </w:rPr>
        <w:t>:支出决算为2.16万元，完成预算100%。</w:t>
      </w:r>
    </w:p>
    <w:p w14:paraId="35B50499">
      <w:pPr>
        <w:widowControl w:val="0"/>
        <w:tabs>
          <w:tab w:val="right" w:pos="8306"/>
        </w:tabs>
        <w:wordWrap/>
        <w:adjustRightInd/>
        <w:snapToGrid/>
        <w:spacing w:line="560" w:lineRule="exact"/>
        <w:ind w:firstLine="640"/>
        <w:textAlignment w:val="auto"/>
        <w:outlineLvl w:val="1"/>
        <w:rPr>
          <w:rStyle w:val="36"/>
          <w:rFonts w:hint="default" w:ascii="Times New Roman" w:hAnsi="Times New Roman" w:eastAsia="仿宋" w:cs="Times New Roman"/>
          <w:b w:val="0"/>
          <w:bCs/>
          <w:sz w:val="32"/>
          <w:szCs w:val="32"/>
        </w:rPr>
      </w:pPr>
      <w:bookmarkStart w:id="67" w:name="_Toc21439"/>
      <w:bookmarkStart w:id="68" w:name="_Toc13557"/>
      <w:bookmarkStart w:id="69" w:name="_Toc11964"/>
      <w:bookmarkStart w:id="70" w:name="_Toc26316"/>
      <w:r>
        <w:rPr>
          <w:rFonts w:hint="default" w:ascii="Times New Roman" w:hAnsi="Times New Roman" w:eastAsia="仿宋" w:cs="Times New Roman"/>
          <w:b w:val="0"/>
          <w:bCs/>
          <w:sz w:val="32"/>
          <w:szCs w:val="32"/>
        </w:rPr>
        <w:t>14.住房保障支出</w:t>
      </w:r>
      <w:r>
        <w:rPr>
          <w:rStyle w:val="36"/>
          <w:rFonts w:hint="default" w:ascii="Times New Roman" w:hAnsi="Times New Roman" w:eastAsia="仿宋" w:cs="Times New Roman"/>
          <w:b w:val="0"/>
          <w:bCs/>
          <w:sz w:val="32"/>
          <w:szCs w:val="32"/>
        </w:rPr>
        <w:t>（类）住房改革支出（款）住房公积金（项）:支出决算为6.58万元，完成预算100%。</w:t>
      </w:r>
      <w:bookmarkEnd w:id="67"/>
      <w:bookmarkEnd w:id="68"/>
      <w:bookmarkEnd w:id="69"/>
      <w:bookmarkEnd w:id="70"/>
    </w:p>
    <w:p w14:paraId="6BA742A9">
      <w:pPr>
        <w:widowControl w:val="0"/>
        <w:tabs>
          <w:tab w:val="right" w:pos="8306"/>
        </w:tabs>
        <w:wordWrap/>
        <w:adjustRightInd/>
        <w:snapToGrid/>
        <w:spacing w:line="560" w:lineRule="exact"/>
        <w:ind w:firstLine="640"/>
        <w:textAlignment w:val="auto"/>
        <w:outlineLvl w:val="1"/>
        <w:rPr>
          <w:rStyle w:val="33"/>
          <w:rFonts w:hint="default" w:ascii="Times New Roman" w:hAnsi="Times New Roman" w:cs="Times New Roman"/>
        </w:rPr>
      </w:pPr>
      <w:bookmarkStart w:id="71" w:name="_Toc15396608"/>
      <w:bookmarkStart w:id="72" w:name="_Toc9713"/>
      <w:bookmarkStart w:id="73" w:name="_Toc15377214"/>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33"/>
          <w:rFonts w:hint="default" w:ascii="Times New Roman" w:hAnsi="Times New Roman" w:eastAsia="黑体" w:cs="Times New Roman"/>
          <w:b w:val="0"/>
        </w:rPr>
        <w:t>般公共预算财政拨款基本支出决算情况说明</w:t>
      </w:r>
      <w:bookmarkEnd w:id="71"/>
      <w:bookmarkEnd w:id="72"/>
      <w:bookmarkEnd w:id="73"/>
      <w:r>
        <w:rPr>
          <w:rStyle w:val="33"/>
          <w:rFonts w:hint="default" w:ascii="Times New Roman" w:hAnsi="Times New Roman" w:eastAsia="黑体" w:cs="Times New Roman"/>
          <w:b w:val="0"/>
        </w:rPr>
        <w:tab/>
      </w:r>
    </w:p>
    <w:p w14:paraId="2391A859">
      <w:pPr>
        <w:widowControl w:val="0"/>
        <w:wordWrap/>
        <w:adjustRightInd/>
        <w:snapToGrid/>
        <w:spacing w:line="560" w:lineRule="exact"/>
        <w:ind w:firstLine="645"/>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2023年度一般公共预算财政拨款基本支出</w:t>
      </w:r>
      <w:r>
        <w:rPr>
          <w:rFonts w:hint="default" w:ascii="Times New Roman" w:hAnsi="Times New Roman" w:eastAsia="仿宋" w:cs="Times New Roman"/>
          <w:b w:val="0"/>
          <w:bCs/>
          <w:sz w:val="32"/>
          <w:szCs w:val="32"/>
        </w:rPr>
        <w:t>104.46</w:t>
      </w:r>
      <w:r>
        <w:rPr>
          <w:rFonts w:hint="default" w:ascii="Times New Roman" w:hAnsi="Times New Roman" w:eastAsia="仿宋" w:cs="Times New Roman"/>
          <w:sz w:val="32"/>
          <w:szCs w:val="32"/>
        </w:rPr>
        <w:t>万元，其中：</w:t>
      </w:r>
    </w:p>
    <w:p w14:paraId="3C435D33">
      <w:pPr>
        <w:widowControl w:val="0"/>
        <w:wordWrap/>
        <w:adjustRightInd/>
        <w:snapToGrid/>
        <w:spacing w:line="560" w:lineRule="exact"/>
        <w:ind w:firstLine="645"/>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人员经费</w:t>
      </w:r>
      <w:r>
        <w:rPr>
          <w:rFonts w:hint="default" w:ascii="Times New Roman" w:hAnsi="Times New Roman" w:eastAsia="仿宋" w:cs="Times New Roman"/>
          <w:b w:val="0"/>
          <w:bCs/>
          <w:sz w:val="32"/>
          <w:szCs w:val="32"/>
        </w:rPr>
        <w:t>97.81</w:t>
      </w:r>
      <w:r>
        <w:rPr>
          <w:rFonts w:hint="default" w:ascii="Times New Roman" w:hAnsi="Times New Roman" w:eastAsia="仿宋" w:cs="Times New Roman"/>
          <w:sz w:val="32"/>
          <w:szCs w:val="32"/>
        </w:rPr>
        <w:t>万元，主要包括：基本工资、津贴补贴、奖金、机关事业单位基本养老保险缴费、职业年金缴费、职工基本医疗保险缴费、公务员医疗补助缴费、其他社会保障缴费、生活补助、医疗费补助、住房公积金等。</w:t>
      </w:r>
    </w:p>
    <w:p w14:paraId="03C38905">
      <w:pPr>
        <w:widowControl w:val="0"/>
        <w:wordWrap/>
        <w:adjustRightInd/>
        <w:snapToGrid/>
        <w:spacing w:line="560" w:lineRule="exact"/>
        <w:ind w:firstLine="645"/>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公用经费</w:t>
      </w:r>
      <w:r>
        <w:rPr>
          <w:rFonts w:hint="default" w:ascii="Times New Roman" w:hAnsi="Times New Roman" w:eastAsia="仿宋" w:cs="Times New Roman"/>
          <w:b w:val="0"/>
          <w:bCs/>
          <w:sz w:val="32"/>
          <w:szCs w:val="32"/>
        </w:rPr>
        <w:t>6.65</w:t>
      </w:r>
      <w:r>
        <w:rPr>
          <w:rFonts w:hint="default" w:ascii="Times New Roman" w:hAnsi="Times New Roman" w:eastAsia="仿宋" w:cs="Times New Roman"/>
          <w:sz w:val="32"/>
          <w:szCs w:val="32"/>
        </w:rPr>
        <w:t>万元，主要包括：办公费、差旅费、维修（护）费、公务接待费、工会经费、其他交通费等。</w:t>
      </w:r>
    </w:p>
    <w:p w14:paraId="060374CA">
      <w:pPr>
        <w:widowControl w:val="0"/>
        <w:wordWrap/>
        <w:adjustRightInd/>
        <w:snapToGrid/>
        <w:spacing w:line="560" w:lineRule="exact"/>
        <w:ind w:firstLine="640"/>
        <w:textAlignment w:val="auto"/>
        <w:outlineLvl w:val="1"/>
        <w:rPr>
          <w:rStyle w:val="33"/>
          <w:rFonts w:hint="default" w:ascii="Times New Roman" w:hAnsi="Times New Roman" w:eastAsia="黑体" w:cs="Times New Roman"/>
          <w:b w:val="0"/>
        </w:rPr>
      </w:pPr>
      <w:bookmarkStart w:id="74" w:name="_Toc6321"/>
      <w:bookmarkStart w:id="75" w:name="_Toc15396609"/>
      <w:bookmarkStart w:id="76" w:name="_Toc15377215"/>
      <w:r>
        <w:rPr>
          <w:rFonts w:hint="default" w:ascii="Times New Roman" w:hAnsi="Times New Roman" w:eastAsia="黑体" w:cs="Times New Roman"/>
          <w:sz w:val="32"/>
          <w:szCs w:val="32"/>
        </w:rPr>
        <w:t>七、</w:t>
      </w:r>
      <w:r>
        <w:rPr>
          <w:rStyle w:val="33"/>
          <w:rFonts w:hint="default" w:ascii="Times New Roman" w:hAnsi="Times New Roman" w:eastAsia="黑体" w:cs="Times New Roman"/>
          <w:b w:val="0"/>
        </w:rPr>
        <w:t>财政拨款</w:t>
      </w:r>
      <w:r>
        <w:rPr>
          <w:rStyle w:val="33"/>
          <w:rFonts w:hint="default" w:ascii="Times New Roman" w:hAnsi="Times New Roman" w:eastAsia="黑体" w:cs="Times New Roman"/>
        </w:rPr>
        <w:t>“</w:t>
      </w:r>
      <w:r>
        <w:rPr>
          <w:rStyle w:val="33"/>
          <w:rFonts w:hint="default" w:ascii="Times New Roman" w:hAnsi="Times New Roman" w:eastAsia="黑体" w:cs="Times New Roman"/>
          <w:b w:val="0"/>
        </w:rPr>
        <w:t>三公”经费支出决算情况说明</w:t>
      </w:r>
      <w:bookmarkEnd w:id="74"/>
      <w:bookmarkEnd w:id="75"/>
      <w:bookmarkEnd w:id="76"/>
    </w:p>
    <w:p w14:paraId="75C4C5F9">
      <w:pPr>
        <w:widowControl w:val="0"/>
        <w:wordWrap/>
        <w:adjustRightInd/>
        <w:snapToGrid/>
        <w:spacing w:line="560" w:lineRule="exact"/>
        <w:ind w:firstLine="640"/>
        <w:textAlignment w:val="auto"/>
        <w:outlineLvl w:val="2"/>
        <w:rPr>
          <w:rFonts w:hint="default" w:ascii="Times New Roman" w:hAnsi="Times New Roman" w:eastAsia="仿宋" w:cs="Times New Roman"/>
          <w:b/>
          <w:sz w:val="32"/>
          <w:szCs w:val="32"/>
        </w:rPr>
      </w:pPr>
      <w:bookmarkStart w:id="77" w:name="_Toc15377216"/>
      <w:bookmarkStart w:id="78" w:name="_Toc12959"/>
      <w:bookmarkStart w:id="79" w:name="_Toc31490"/>
      <w:r>
        <w:rPr>
          <w:rFonts w:hint="default" w:ascii="Times New Roman" w:hAnsi="Times New Roman" w:eastAsia="仿宋" w:cs="Times New Roman"/>
          <w:b/>
          <w:sz w:val="32"/>
          <w:szCs w:val="32"/>
        </w:rPr>
        <w:t>（一）“三公”经费财政拨款支出决算总体情况说明</w:t>
      </w:r>
      <w:bookmarkEnd w:id="77"/>
      <w:bookmarkEnd w:id="78"/>
      <w:bookmarkEnd w:id="79"/>
    </w:p>
    <w:p w14:paraId="020990DD">
      <w:pPr>
        <w:widowControl w:val="0"/>
        <w:wordWrap/>
        <w:adjustRightInd/>
        <w:snapToGrid/>
        <w:spacing w:line="560" w:lineRule="exact"/>
        <w:ind w:firstLine="640"/>
        <w:textAlignment w:val="auto"/>
        <w:rPr>
          <w:rFonts w:hint="default" w:ascii="Times New Roman" w:hAnsi="Times New Roman" w:eastAsia="仿宋" w:cs="Times New Roman"/>
          <w:b w:val="0"/>
          <w:bCs w:val="0"/>
          <w:sz w:val="32"/>
          <w:szCs w:val="32"/>
        </w:rPr>
      </w:pPr>
      <w:bookmarkStart w:id="80" w:name="_Toc15377217"/>
      <w:r>
        <w:rPr>
          <w:rFonts w:hint="default" w:ascii="Times New Roman" w:hAnsi="Times New Roman" w:eastAsia="仿宋" w:cs="Times New Roman"/>
          <w:b w:val="0"/>
          <w:bCs w:val="0"/>
          <w:sz w:val="32"/>
          <w:szCs w:val="32"/>
        </w:rPr>
        <w:t>2023年度“三公”经费财政拨款支出决算为0.05万元，完成预算100%，较上年度减少0.03万元，下降37.5%。决算数与预算数持平。</w:t>
      </w:r>
    </w:p>
    <w:p w14:paraId="450D32E9">
      <w:pPr>
        <w:widowControl w:val="0"/>
        <w:wordWrap/>
        <w:adjustRightInd/>
        <w:snapToGrid/>
        <w:spacing w:line="560" w:lineRule="exact"/>
        <w:ind w:firstLine="640"/>
        <w:textAlignment w:val="auto"/>
        <w:outlineLvl w:val="2"/>
        <w:rPr>
          <w:rFonts w:hint="default" w:ascii="Times New Roman" w:hAnsi="Times New Roman" w:eastAsia="仿宋" w:cs="Times New Roman"/>
          <w:b/>
          <w:sz w:val="32"/>
          <w:szCs w:val="32"/>
        </w:rPr>
      </w:pPr>
      <w:bookmarkStart w:id="81" w:name="_Toc24404"/>
      <w:bookmarkStart w:id="82" w:name="_Toc17336"/>
      <w:r>
        <w:rPr>
          <w:rFonts w:hint="default" w:ascii="Times New Roman" w:hAnsi="Times New Roman" w:eastAsia="仿宋" w:cs="Times New Roman"/>
          <w:b/>
          <w:sz w:val="32"/>
          <w:szCs w:val="32"/>
        </w:rPr>
        <w:t>（二）“三公”经费财政拨款支出决算具体情况说明</w:t>
      </w:r>
      <w:bookmarkEnd w:id="80"/>
      <w:bookmarkEnd w:id="81"/>
      <w:bookmarkEnd w:id="82"/>
    </w:p>
    <w:p w14:paraId="22D3A2BD">
      <w:pPr>
        <w:widowControl w:val="0"/>
        <w:wordWrap/>
        <w:adjustRightInd/>
        <w:snapToGrid/>
        <w:spacing w:line="560" w:lineRule="exact"/>
        <w:ind w:firstLine="640"/>
        <w:textAlignment w:val="auto"/>
        <w:rPr>
          <w:rFonts w:hint="default" w:ascii="Times New Roman" w:hAnsi="Times New Roman" w:eastAsia="仿宋" w:cs="Times New Roman"/>
          <w:b w:val="0"/>
          <w:bCs w:val="0"/>
          <w:sz w:val="32"/>
          <w:szCs w:val="32"/>
        </w:rPr>
      </w:pPr>
      <w:r>
        <w:rPr>
          <w:rFonts w:hint="default" w:ascii="Times New Roman" w:hAnsi="Times New Roman" w:eastAsia="宋体" w:cs="Times New Roman"/>
          <w:b/>
          <w:kern w:val="2"/>
          <w:sz w:val="21"/>
          <w:szCs w:val="24"/>
          <w:lang w:val="en-US" w:eastAsia="zh-CN" w:bidi="ar-SA"/>
        </w:rPr>
        <w:pict>
          <v:shape id="_x0000_s1034" o:spid="_x0000_s1034" o:spt="75" type="#_x0000_t75" style="position:absolute;left:0pt;margin-left:147.55pt;margin-top:459pt;height:144pt;width:213.75pt;mso-position-horizontal-relative:page;mso-position-vertical-relative:page;mso-wrap-distance-bottom:0pt;mso-wrap-distance-left:9pt;mso-wrap-distance-right:9pt;mso-wrap-distance-top:0pt;z-index:251665408;mso-width-relative:page;mso-height-relative:page;" o:ole="t" fillcolor="#FFFFFF" filled="f" o:preferrelative="t" stroked="f" coordsize="21600,21600">
            <v:path/>
            <v:fill on="f" color2="#FFFFFF" focussize="0,0"/>
            <v:stroke on="f"/>
            <v:imagedata r:id="rId19" gain="65536f" blacklevel="0f" gamma="0" o:title=""/>
            <o:lock v:ext="edit" position="f" selection="f" grouping="f" rotation="f" cropping="f" text="f" aspectratio="t"/>
            <w10:wrap type="square"/>
          </v:shape>
          <o:OLEObject Type="Embed" ProgID="MSGraph.Chart.8" ShapeID="_x0000_s1034" DrawAspect="Content" ObjectID="_1468075731" r:id="rId18">
            <o:LockedField>false</o:LockedField>
          </o:OLEObject>
        </w:pict>
      </w:r>
      <w:r>
        <w:rPr>
          <w:rFonts w:hint="default" w:ascii="Times New Roman" w:hAnsi="Times New Roman" w:eastAsia="仿宋" w:cs="Times New Roman"/>
          <w:b w:val="0"/>
          <w:bCs w:val="0"/>
          <w:sz w:val="32"/>
          <w:szCs w:val="32"/>
        </w:rPr>
        <w:t>2023年度“三公”经费财政拨款支出决算中，因公出国（境）费支出决算0万元，占0%；公务用车购置及运行维护费支出决算0万元，占0%；公务接待费支出决算0.05万元，占100%。具体情况如下：</w:t>
      </w:r>
    </w:p>
    <w:p w14:paraId="71A5F14B">
      <w:pPr>
        <w:pStyle w:val="19"/>
        <w:rPr>
          <w:rFonts w:hint="default" w:ascii="Times New Roman" w:hAnsi="Times New Roman" w:cs="Times New Roman"/>
        </w:rPr>
      </w:pPr>
    </w:p>
    <w:p w14:paraId="101E78EB">
      <w:pPr>
        <w:spacing w:line="600" w:lineRule="exact"/>
        <w:ind w:firstLine="640"/>
        <w:rPr>
          <w:rFonts w:hint="default" w:ascii="Times New Roman" w:hAnsi="Times New Roman" w:eastAsia="仿宋" w:cs="Times New Roman"/>
          <w:sz w:val="32"/>
          <w:szCs w:val="32"/>
        </w:rPr>
      </w:pPr>
    </w:p>
    <w:p w14:paraId="7AA7C83A">
      <w:pPr>
        <w:spacing w:line="600" w:lineRule="exact"/>
        <w:ind w:firstLine="640"/>
        <w:rPr>
          <w:rFonts w:hint="default" w:ascii="Times New Roman" w:hAnsi="Times New Roman" w:eastAsia="仿宋" w:cs="Times New Roman"/>
          <w:sz w:val="32"/>
          <w:szCs w:val="32"/>
        </w:rPr>
      </w:pPr>
    </w:p>
    <w:p w14:paraId="7EB02606">
      <w:pPr>
        <w:spacing w:line="600" w:lineRule="exact"/>
        <w:ind w:firstLine="640"/>
        <w:rPr>
          <w:rFonts w:hint="default" w:ascii="Times New Roman" w:hAnsi="Times New Roman" w:eastAsia="仿宋" w:cs="Times New Roman"/>
          <w:sz w:val="32"/>
          <w:szCs w:val="32"/>
        </w:rPr>
      </w:pPr>
    </w:p>
    <w:p w14:paraId="44A9FBB2">
      <w:pPr>
        <w:widowControl w:val="0"/>
        <w:wordWrap/>
        <w:adjustRightInd/>
        <w:snapToGrid/>
        <w:spacing w:line="600" w:lineRule="exact"/>
        <w:ind w:firstLine="640" w:firstLineChars="200"/>
        <w:textAlignment w:val="auto"/>
        <w:rPr>
          <w:rFonts w:hint="default" w:ascii="Times New Roman" w:hAnsi="Times New Roman" w:eastAsia="仿宋" w:cs="Times New Roman"/>
          <w:sz w:val="32"/>
          <w:szCs w:val="32"/>
        </w:rPr>
      </w:pPr>
    </w:p>
    <w:p w14:paraId="609307A5">
      <w:pPr>
        <w:widowControl w:val="0"/>
        <w:wordWrap/>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（图7：“三公”经费财政拨款支出结构）（饼状图）</w:t>
      </w:r>
    </w:p>
    <w:p w14:paraId="42B2B7D8">
      <w:pPr>
        <w:wordWrap/>
        <w:snapToGrid/>
        <w:spacing w:line="560" w:lineRule="exact"/>
        <w:ind w:firstLine="640"/>
        <w:textAlignment w:val="auto"/>
        <w:rPr>
          <w:rFonts w:hint="default" w:ascii="Times New Roman" w:hAnsi="Times New Roman" w:eastAsia="仿宋_GB2312" w:cs="Times New Roman"/>
          <w:b w:val="0"/>
          <w:bCs/>
          <w:sz w:val="32"/>
          <w:szCs w:val="32"/>
        </w:rPr>
      </w:pPr>
      <w:bookmarkStart w:id="83" w:name="_Toc15377218"/>
      <w:bookmarkStart w:id="84" w:name="_Toc15396610"/>
      <w:r>
        <w:rPr>
          <w:rFonts w:hint="default" w:ascii="Times New Roman" w:hAnsi="Times New Roman" w:eastAsia="仿宋_GB2312" w:cs="Times New Roman"/>
          <w:b w:val="0"/>
          <w:bCs/>
          <w:sz w:val="32"/>
          <w:szCs w:val="32"/>
        </w:rPr>
        <w:t>1.因公出国（境）经费支出</w:t>
      </w:r>
      <w:r>
        <w:rPr>
          <w:rFonts w:hint="default" w:ascii="Times New Roman" w:hAnsi="Times New Roman" w:eastAsia="仿宋" w:cs="Times New Roman"/>
          <w:b w:val="0"/>
          <w:bCs/>
          <w:sz w:val="32"/>
          <w:szCs w:val="32"/>
        </w:rPr>
        <w:t>0</w:t>
      </w:r>
      <w:r>
        <w:rPr>
          <w:rFonts w:hint="default" w:ascii="Times New Roman" w:hAnsi="Times New Roman" w:eastAsia="仿宋_GB2312" w:cs="Times New Roman"/>
          <w:b w:val="0"/>
          <w:bCs/>
          <w:sz w:val="32"/>
          <w:szCs w:val="32"/>
        </w:rPr>
        <w:t>万</w:t>
      </w:r>
      <w:r>
        <w:rPr>
          <w:rFonts w:hint="default" w:ascii="Times New Roman" w:hAnsi="Times New Roman" w:eastAsia="仿宋_GB2312" w:cs="Times New Roman"/>
          <w:sz w:val="32"/>
          <w:szCs w:val="32"/>
        </w:rPr>
        <w:t>元，</w:t>
      </w:r>
      <w:r>
        <w:rPr>
          <w:rStyle w:val="17"/>
          <w:rFonts w:hint="default" w:ascii="Times New Roman" w:hAnsi="Times New Roman" w:eastAsia="仿宋" w:cs="Times New Roman"/>
          <w:b w:val="0"/>
          <w:bCs/>
          <w:sz w:val="32"/>
          <w:szCs w:val="32"/>
        </w:rPr>
        <w:t>完成预算0%。</w:t>
      </w:r>
      <w:r>
        <w:rPr>
          <w:rFonts w:hint="default" w:ascii="Times New Roman" w:hAnsi="Times New Roman" w:eastAsia="仿宋_GB2312" w:cs="Times New Roman"/>
          <w:b w:val="0"/>
          <w:bCs/>
          <w:sz w:val="32"/>
          <w:szCs w:val="32"/>
        </w:rPr>
        <w:t>全年安排因公出国（境）团组0次，出国（境）0人。因公出国（境）支出决算与2022年持平，无增减变动。主要原因是2023年无因公出国（境）任务安排，无出国（境）团组人次，无出国（境）拨款支出。</w:t>
      </w:r>
    </w:p>
    <w:p w14:paraId="1383619D">
      <w:pPr>
        <w:pStyle w:val="25"/>
        <w:wordWrap/>
        <w:snapToGrid/>
        <w:spacing w:line="560" w:lineRule="exact"/>
        <w:ind w:firstLine="640" w:firstLineChars="200"/>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2.公务用车购置及运行维护费支出0万元,完成预算0%。公务用车购置及运行维护费支出决算与2022年持平。主要原因是我中心未保留公务用车，未产生公务用车运行维护费用支出。</w:t>
      </w:r>
    </w:p>
    <w:p w14:paraId="14BF2327">
      <w:pPr>
        <w:wordWrap/>
        <w:snapToGrid/>
        <w:spacing w:line="560" w:lineRule="exact"/>
        <w:ind w:firstLine="640"/>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val="0"/>
          <w:bCs/>
          <w:kern w:val="2"/>
          <w:sz w:val="32"/>
          <w:szCs w:val="32"/>
          <w:lang w:val="en-US" w:eastAsia="zh-CN" w:bidi="ar-SA"/>
        </w:rPr>
        <w:t>3.公务接待费支出0.05万元，完成预算100%。公务接待费支出决算比2022年度减少0.03万元，下降37.5%。主要原因是节约使用公用经费。其中：</w:t>
      </w:r>
    </w:p>
    <w:p w14:paraId="612E0E4A">
      <w:pPr>
        <w:wordWrap/>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kern w:val="2"/>
          <w:sz w:val="32"/>
          <w:szCs w:val="32"/>
          <w:lang w:val="en-US" w:eastAsia="zh-CN" w:bidi="ar-SA"/>
        </w:rPr>
        <w:t>国内公务接待支出0.05万元，主要用于米易县来我县开</w:t>
      </w:r>
      <w:r>
        <w:rPr>
          <w:rFonts w:hint="default" w:ascii="Times New Roman" w:hAnsi="Times New Roman" w:eastAsia="仿宋_GB2312" w:cs="Times New Roman"/>
          <w:sz w:val="32"/>
          <w:szCs w:val="32"/>
        </w:rPr>
        <w:t>展风险防控交叉检查工作开支的用餐费。国内公务接待1批次，5人次（不包括陪同人员），共计支出0.05万元，具体内容包括：米易县来我县开展风险防控交叉检查工作开支的用餐费0.05万元。</w:t>
      </w:r>
    </w:p>
    <w:p w14:paraId="78162D5B">
      <w:pPr>
        <w:wordWrap/>
        <w:snapToGrid/>
        <w:spacing w:line="560" w:lineRule="exact"/>
        <w:ind w:firstLine="640"/>
        <w:textAlignment w:val="auto"/>
        <w:outlineLvl w:val="1"/>
        <w:rPr>
          <w:rStyle w:val="33"/>
          <w:rFonts w:hint="default" w:ascii="Times New Roman" w:hAnsi="Times New Roman" w:eastAsia="黑体" w:cs="Times New Roman"/>
        </w:rPr>
      </w:pPr>
      <w:bookmarkStart w:id="85" w:name="_Toc4975"/>
      <w:r>
        <w:rPr>
          <w:rFonts w:hint="default" w:ascii="Times New Roman" w:hAnsi="Times New Roman" w:eastAsia="黑体" w:cs="Times New Roman"/>
          <w:sz w:val="32"/>
          <w:szCs w:val="32"/>
        </w:rPr>
        <w:t>八、</w:t>
      </w:r>
      <w:r>
        <w:rPr>
          <w:rStyle w:val="33"/>
          <w:rFonts w:hint="default" w:ascii="Times New Roman" w:hAnsi="Times New Roman" w:eastAsia="黑体" w:cs="Times New Roman"/>
          <w:b w:val="0"/>
        </w:rPr>
        <w:t>政府性基金预算支出决算情况说明</w:t>
      </w:r>
      <w:bookmarkEnd w:id="83"/>
      <w:bookmarkEnd w:id="84"/>
      <w:bookmarkEnd w:id="85"/>
    </w:p>
    <w:p w14:paraId="2F993F6D">
      <w:pPr>
        <w:wordWrap/>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2023年度政府性基金预算财政拨款支出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w:t>
      </w:r>
    </w:p>
    <w:p w14:paraId="7BC0C2EB">
      <w:pPr>
        <w:numPr>
          <w:ilvl w:val="0"/>
          <w:numId w:val="2"/>
        </w:numPr>
        <w:wordWrap/>
        <w:snapToGrid/>
        <w:spacing w:line="560" w:lineRule="exact"/>
        <w:ind w:firstLine="640"/>
        <w:textAlignment w:val="auto"/>
        <w:outlineLvl w:val="1"/>
        <w:rPr>
          <w:rStyle w:val="33"/>
          <w:rFonts w:hint="default" w:ascii="Times New Roman" w:hAnsi="Times New Roman" w:eastAsia="黑体" w:cs="Times New Roman"/>
          <w:b w:val="0"/>
        </w:rPr>
      </w:pPr>
      <w:bookmarkStart w:id="86" w:name="_Toc31792"/>
      <w:bookmarkStart w:id="87" w:name="_Toc15396611"/>
      <w:bookmarkStart w:id="88" w:name="_Toc15377219"/>
      <w:r>
        <w:rPr>
          <w:rStyle w:val="33"/>
          <w:rFonts w:hint="default" w:ascii="Times New Roman" w:hAnsi="Times New Roman" w:eastAsia="黑体" w:cs="Times New Roman"/>
          <w:b w:val="0"/>
        </w:rPr>
        <w:t>国有资本经营预算支出决算情况说明</w:t>
      </w:r>
      <w:bookmarkEnd w:id="86"/>
      <w:bookmarkEnd w:id="87"/>
      <w:bookmarkEnd w:id="88"/>
    </w:p>
    <w:p w14:paraId="3510EB39">
      <w:pPr>
        <w:wordWrap/>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2023年度国有资本经营预算财政拨款支出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w:t>
      </w:r>
    </w:p>
    <w:p w14:paraId="0D517ABE">
      <w:pPr>
        <w:numPr>
          <w:ilvl w:val="0"/>
          <w:numId w:val="2"/>
        </w:numPr>
        <w:wordWrap/>
        <w:snapToGrid/>
        <w:spacing w:line="560" w:lineRule="exact"/>
        <w:ind w:firstLine="640"/>
        <w:textAlignment w:val="auto"/>
        <w:outlineLvl w:val="1"/>
        <w:rPr>
          <w:rStyle w:val="33"/>
          <w:rFonts w:hint="default" w:ascii="Times New Roman" w:hAnsi="Times New Roman" w:eastAsia="黑体" w:cs="Times New Roman"/>
          <w:b w:val="0"/>
        </w:rPr>
      </w:pPr>
      <w:bookmarkStart w:id="89" w:name="_Toc22380"/>
      <w:bookmarkStart w:id="90" w:name="_Toc15396612"/>
      <w:bookmarkStart w:id="91" w:name="_Toc15377221"/>
      <w:r>
        <w:rPr>
          <w:rStyle w:val="33"/>
          <w:rFonts w:hint="default" w:ascii="Times New Roman" w:hAnsi="Times New Roman" w:eastAsia="黑体" w:cs="Times New Roman"/>
          <w:b w:val="0"/>
        </w:rPr>
        <w:t>其他重要事项的情况说明</w:t>
      </w:r>
      <w:bookmarkEnd w:id="89"/>
      <w:bookmarkEnd w:id="90"/>
      <w:bookmarkEnd w:id="91"/>
    </w:p>
    <w:p w14:paraId="049E0326">
      <w:pPr>
        <w:wordWrap/>
        <w:snapToGrid/>
        <w:spacing w:line="560" w:lineRule="exact"/>
        <w:ind w:firstLine="643" w:firstLineChars="200"/>
        <w:textAlignment w:val="auto"/>
        <w:outlineLvl w:val="2"/>
        <w:rPr>
          <w:rFonts w:hint="default" w:ascii="Times New Roman" w:hAnsi="Times New Roman" w:eastAsia="仿宋" w:cs="Times New Roman"/>
          <w:sz w:val="32"/>
          <w:szCs w:val="32"/>
        </w:rPr>
      </w:pPr>
      <w:bookmarkStart w:id="92" w:name="_Toc28075"/>
      <w:bookmarkStart w:id="93" w:name="_Toc15377222"/>
      <w:bookmarkStart w:id="94" w:name="_Toc20456"/>
      <w:r>
        <w:rPr>
          <w:rFonts w:hint="default" w:ascii="Times New Roman" w:hAnsi="Times New Roman" w:eastAsia="仿宋" w:cs="Times New Roman"/>
          <w:b/>
          <w:sz w:val="32"/>
          <w:szCs w:val="32"/>
        </w:rPr>
        <w:t>（一）机关运行经费支出情况</w:t>
      </w:r>
      <w:bookmarkEnd w:id="92"/>
      <w:bookmarkEnd w:id="93"/>
      <w:bookmarkEnd w:id="94"/>
    </w:p>
    <w:p w14:paraId="1A1C8A44">
      <w:pPr>
        <w:wordWrap/>
        <w:snapToGrid/>
        <w:spacing w:line="560" w:lineRule="exact"/>
        <w:ind w:firstLine="640" w:firstLineChars="200"/>
        <w:textAlignment w:val="auto"/>
        <w:rPr>
          <w:rFonts w:hint="default" w:ascii="Times New Roman" w:hAnsi="Times New Roman" w:eastAsia="仿宋_GB2312" w:cs="Times New Roman"/>
          <w:b w:val="0"/>
          <w:bCs w:val="0"/>
          <w:sz w:val="32"/>
          <w:szCs w:val="32"/>
        </w:rPr>
      </w:pPr>
      <w:bookmarkStart w:id="95" w:name="_Toc15377223"/>
      <w:r>
        <w:rPr>
          <w:rFonts w:hint="default" w:ascii="Times New Roman" w:hAnsi="Times New Roman" w:eastAsia="仿宋_GB2312" w:cs="Times New Roman"/>
          <w:b w:val="0"/>
          <w:bCs w:val="0"/>
          <w:sz w:val="32"/>
          <w:szCs w:val="32"/>
        </w:rPr>
        <w:t>2023年度，</w:t>
      </w:r>
      <w:r>
        <w:rPr>
          <w:rFonts w:hint="default" w:ascii="Times New Roman" w:hAnsi="Times New Roman" w:eastAsia="仿宋_GB2312" w:cs="Times New Roman"/>
          <w:b w:val="0"/>
          <w:bCs w:val="0"/>
          <w:sz w:val="32"/>
          <w:szCs w:val="32"/>
          <w:lang w:eastAsia="zh-CN"/>
        </w:rPr>
        <w:t>本部门</w:t>
      </w:r>
      <w:r>
        <w:rPr>
          <w:rFonts w:hint="default" w:ascii="Times New Roman" w:hAnsi="Times New Roman" w:eastAsia="仿宋_GB2312" w:cs="Times New Roman"/>
          <w:b w:val="0"/>
          <w:bCs w:val="0"/>
          <w:sz w:val="32"/>
          <w:szCs w:val="32"/>
        </w:rPr>
        <w:t>机关运行经费支出</w:t>
      </w:r>
      <w:r>
        <w:rPr>
          <w:rFonts w:hint="default" w:ascii="Times New Roman" w:hAnsi="Times New Roman" w:eastAsia="仿宋" w:cs="Times New Roman"/>
          <w:b w:val="0"/>
          <w:bCs w:val="0"/>
          <w:sz w:val="32"/>
          <w:szCs w:val="32"/>
        </w:rPr>
        <w:t>6.65</w:t>
      </w:r>
      <w:r>
        <w:rPr>
          <w:rFonts w:hint="default" w:ascii="Times New Roman" w:hAnsi="Times New Roman" w:eastAsia="仿宋_GB2312" w:cs="Times New Roman"/>
          <w:b w:val="0"/>
          <w:bCs w:val="0"/>
          <w:sz w:val="32"/>
          <w:szCs w:val="32"/>
        </w:rPr>
        <w:t>万元，比2022年度（2022年度为9.74万元）减少3.09万元，下降31.72%。主要原因是2023年度节约使用公用经费。</w:t>
      </w:r>
    </w:p>
    <w:p w14:paraId="3BAC6751">
      <w:pPr>
        <w:wordWrap/>
        <w:autoSpaceDE w:val="0"/>
        <w:autoSpaceDN w:val="0"/>
        <w:adjustRightInd w:val="0"/>
        <w:snapToGrid/>
        <w:spacing w:line="560" w:lineRule="exact"/>
        <w:ind w:firstLine="643" w:firstLineChars="200"/>
        <w:jc w:val="left"/>
        <w:textAlignment w:val="auto"/>
        <w:outlineLvl w:val="2"/>
        <w:rPr>
          <w:rFonts w:hint="default" w:ascii="Times New Roman" w:hAnsi="Times New Roman" w:eastAsia="仿宋" w:cs="Times New Roman"/>
          <w:b/>
          <w:sz w:val="32"/>
          <w:szCs w:val="32"/>
        </w:rPr>
      </w:pPr>
      <w:bookmarkStart w:id="96" w:name="_Toc14792"/>
      <w:bookmarkStart w:id="97" w:name="_Toc12805"/>
      <w:r>
        <w:rPr>
          <w:rFonts w:hint="default" w:ascii="Times New Roman" w:hAnsi="Times New Roman" w:eastAsia="仿宋" w:cs="Times New Roman"/>
          <w:b/>
          <w:sz w:val="32"/>
          <w:szCs w:val="32"/>
        </w:rPr>
        <w:t>（二）政府采购支出情况</w:t>
      </w:r>
      <w:bookmarkEnd w:id="95"/>
      <w:bookmarkEnd w:id="96"/>
      <w:bookmarkEnd w:id="97"/>
    </w:p>
    <w:p w14:paraId="4F8374AD">
      <w:pPr>
        <w:wordWrap/>
        <w:snapToGrid/>
        <w:spacing w:line="560" w:lineRule="exact"/>
        <w:ind w:firstLine="640" w:firstLineChars="200"/>
        <w:textAlignment w:val="auto"/>
        <w:rPr>
          <w:rFonts w:hint="default" w:ascii="Times New Roman" w:hAnsi="Times New Roman" w:eastAsia="仿宋_GB2312" w:cs="Times New Roman"/>
          <w:b w:val="0"/>
          <w:bCs w:val="0"/>
          <w:sz w:val="32"/>
          <w:szCs w:val="32"/>
        </w:rPr>
      </w:pPr>
      <w:bookmarkStart w:id="98" w:name="_Toc15377224"/>
      <w:r>
        <w:rPr>
          <w:rFonts w:hint="default" w:ascii="Times New Roman" w:hAnsi="Times New Roman" w:eastAsia="仿宋_GB2312" w:cs="Times New Roman"/>
          <w:b w:val="0"/>
          <w:bCs w:val="0"/>
          <w:sz w:val="32"/>
          <w:szCs w:val="32"/>
        </w:rPr>
        <w:t>2023年度，</w:t>
      </w:r>
      <w:r>
        <w:rPr>
          <w:rFonts w:hint="default" w:ascii="Times New Roman" w:hAnsi="Times New Roman" w:eastAsia="仿宋_GB2312" w:cs="Times New Roman"/>
          <w:b w:val="0"/>
          <w:bCs w:val="0"/>
          <w:sz w:val="32"/>
          <w:szCs w:val="32"/>
          <w:lang w:eastAsia="zh-CN"/>
        </w:rPr>
        <w:t>本部门</w:t>
      </w:r>
      <w:r>
        <w:rPr>
          <w:rFonts w:hint="default" w:ascii="Times New Roman" w:hAnsi="Times New Roman" w:eastAsia="仿宋_GB2312" w:cs="Times New Roman"/>
          <w:b w:val="0"/>
          <w:bCs w:val="0"/>
          <w:sz w:val="32"/>
          <w:szCs w:val="32"/>
        </w:rPr>
        <w:t>政府采购支出总额</w:t>
      </w:r>
      <w:r>
        <w:rPr>
          <w:rFonts w:hint="default" w:ascii="Times New Roman" w:hAnsi="Times New Roman" w:eastAsia="仿宋" w:cs="Times New Roman"/>
          <w:b w:val="0"/>
          <w:bCs w:val="0"/>
          <w:sz w:val="32"/>
          <w:szCs w:val="32"/>
        </w:rPr>
        <w:t>6.48</w:t>
      </w:r>
      <w:r>
        <w:rPr>
          <w:rFonts w:hint="default" w:ascii="Times New Roman" w:hAnsi="Times New Roman" w:eastAsia="仿宋_GB2312" w:cs="Times New Roman"/>
          <w:b w:val="0"/>
          <w:bCs w:val="0"/>
          <w:sz w:val="32"/>
          <w:szCs w:val="32"/>
        </w:rPr>
        <w:t>万元，其中：政府采购货物支出</w:t>
      </w:r>
      <w:r>
        <w:rPr>
          <w:rFonts w:hint="default" w:ascii="Times New Roman" w:hAnsi="Times New Roman" w:eastAsia="仿宋" w:cs="Times New Roman"/>
          <w:b w:val="0"/>
          <w:bCs w:val="0"/>
          <w:sz w:val="32"/>
          <w:szCs w:val="32"/>
        </w:rPr>
        <w:t>6.48</w:t>
      </w:r>
      <w:r>
        <w:rPr>
          <w:rFonts w:hint="default" w:ascii="Times New Roman" w:hAnsi="Times New Roman" w:eastAsia="仿宋_GB2312" w:cs="Times New Roman"/>
          <w:b w:val="0"/>
          <w:bCs w:val="0"/>
          <w:sz w:val="32"/>
          <w:szCs w:val="32"/>
        </w:rPr>
        <w:t>万元。主要用于采购办公用电脑13台。授予中小企业合同金额</w:t>
      </w:r>
      <w:r>
        <w:rPr>
          <w:rFonts w:hint="default" w:ascii="Times New Roman" w:hAnsi="Times New Roman" w:eastAsia="仿宋" w:cs="Times New Roman"/>
          <w:b w:val="0"/>
          <w:bCs w:val="0"/>
          <w:sz w:val="32"/>
          <w:szCs w:val="32"/>
        </w:rPr>
        <w:t>6.48</w:t>
      </w:r>
      <w:r>
        <w:rPr>
          <w:rFonts w:hint="default" w:ascii="Times New Roman" w:hAnsi="Times New Roman" w:eastAsia="仿宋_GB2312" w:cs="Times New Roman"/>
          <w:b w:val="0"/>
          <w:bCs w:val="0"/>
          <w:sz w:val="32"/>
          <w:szCs w:val="32"/>
        </w:rPr>
        <w:t>万元，占政府采购支出总额的100%，其中：授予小微企业合同金额</w:t>
      </w:r>
      <w:r>
        <w:rPr>
          <w:rFonts w:hint="default" w:ascii="Times New Roman" w:hAnsi="Times New Roman" w:eastAsia="仿宋" w:cs="Times New Roman"/>
          <w:b w:val="0"/>
          <w:bCs w:val="0"/>
          <w:sz w:val="32"/>
          <w:szCs w:val="32"/>
        </w:rPr>
        <w:t>6.48</w:t>
      </w:r>
      <w:r>
        <w:rPr>
          <w:rFonts w:hint="default" w:ascii="Times New Roman" w:hAnsi="Times New Roman" w:eastAsia="仿宋_GB2312" w:cs="Times New Roman"/>
          <w:b w:val="0"/>
          <w:bCs w:val="0"/>
          <w:sz w:val="32"/>
          <w:szCs w:val="32"/>
        </w:rPr>
        <w:t>万元，占政府采购支出总额的100%。</w:t>
      </w:r>
    </w:p>
    <w:p w14:paraId="04A7A764">
      <w:pPr>
        <w:wordWrap/>
        <w:autoSpaceDE w:val="0"/>
        <w:autoSpaceDN w:val="0"/>
        <w:adjustRightInd w:val="0"/>
        <w:snapToGrid/>
        <w:spacing w:line="560" w:lineRule="exact"/>
        <w:ind w:firstLine="643" w:firstLineChars="200"/>
        <w:jc w:val="left"/>
        <w:textAlignment w:val="auto"/>
        <w:outlineLvl w:val="2"/>
        <w:rPr>
          <w:rFonts w:hint="default" w:ascii="Times New Roman" w:hAnsi="Times New Roman" w:eastAsia="仿宋" w:cs="Times New Roman"/>
          <w:b/>
          <w:sz w:val="32"/>
          <w:szCs w:val="32"/>
        </w:rPr>
      </w:pPr>
      <w:bookmarkStart w:id="99" w:name="_Toc21715"/>
      <w:bookmarkStart w:id="100" w:name="_Toc21684"/>
      <w:r>
        <w:rPr>
          <w:rFonts w:hint="default" w:ascii="Times New Roman" w:hAnsi="Times New Roman" w:eastAsia="仿宋" w:cs="Times New Roman"/>
          <w:b/>
          <w:sz w:val="32"/>
          <w:szCs w:val="32"/>
        </w:rPr>
        <w:t>（三）国有资产占有使用情况</w:t>
      </w:r>
      <w:bookmarkEnd w:id="98"/>
      <w:bookmarkEnd w:id="99"/>
      <w:bookmarkEnd w:id="100"/>
    </w:p>
    <w:p w14:paraId="30784AE9">
      <w:pPr>
        <w:wordWrap/>
        <w:autoSpaceDE w:val="0"/>
        <w:autoSpaceDN w:val="0"/>
        <w:adjustRightInd w:val="0"/>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截至2023年12月31日，我中心未保留公务用车。单价50万元以上通用设备0台（套），单价100万元以上专用设备0台（套）。</w:t>
      </w:r>
    </w:p>
    <w:p w14:paraId="4ADE5BEE">
      <w:pPr>
        <w:wordWrap/>
        <w:autoSpaceDE w:val="0"/>
        <w:autoSpaceDN w:val="0"/>
        <w:adjustRightInd w:val="0"/>
        <w:snapToGrid/>
        <w:spacing w:line="560" w:lineRule="exact"/>
        <w:ind w:firstLine="643" w:firstLineChars="200"/>
        <w:jc w:val="left"/>
        <w:textAlignment w:val="auto"/>
        <w:outlineLvl w:val="2"/>
        <w:rPr>
          <w:rFonts w:hint="default" w:ascii="Times New Roman" w:hAnsi="Times New Roman" w:eastAsia="仿宋" w:cs="Times New Roman"/>
          <w:b/>
          <w:sz w:val="32"/>
          <w:szCs w:val="32"/>
        </w:rPr>
      </w:pPr>
      <w:bookmarkStart w:id="101" w:name="_Toc30724"/>
      <w:bookmarkStart w:id="102" w:name="_Toc16831"/>
      <w:r>
        <w:rPr>
          <w:rFonts w:hint="default" w:ascii="Times New Roman" w:hAnsi="Times New Roman" w:eastAsia="仿宋" w:cs="Times New Roman"/>
          <w:b/>
          <w:sz w:val="32"/>
          <w:szCs w:val="32"/>
        </w:rPr>
        <w:t>（四）预算绩效管理情况</w:t>
      </w:r>
      <w:bookmarkEnd w:id="101"/>
      <w:bookmarkEnd w:id="102"/>
    </w:p>
    <w:p w14:paraId="786020FD">
      <w:pPr>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根据预算绩效管理要求，本部门在</w:t>
      </w:r>
      <w:bookmarkStart w:id="129" w:name="_GoBack"/>
      <w:bookmarkEnd w:id="129"/>
      <w:r>
        <w:rPr>
          <w:rFonts w:hint="default" w:ascii="Times New Roman" w:hAnsi="Times New Roman" w:eastAsia="仿宋_GB2312" w:cs="Times New Roman"/>
          <w:sz w:val="32"/>
          <w:szCs w:val="32"/>
        </w:rPr>
        <w:t>2023年度预算编制阶段，组织对就业创业补助资金项目1个项目开展了预算事前绩效评估，对该项目编制了绩效目标，预算执行过程中，对该项目开展绩效监控，组织对该项目开展绩效自评。</w:t>
      </w:r>
    </w:p>
    <w:p w14:paraId="1EFEB467">
      <w:pPr>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织对2023年度一般公共预算、政府性基金预算、国有资本经营预算、社会保险基金预算以及资本资产、债券资金等全面开展绩效自评，形成盐边县就业创业促进中心部门整体（含部门预算项目）绩效自评报告、就业创业补助资金等专项预算项目绩效自评报告，其中，盐边县就业创业促进中心部门整体（含部门预算项目）绩效自评得分为100分，绩效自评综述：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盐边县就业创业促进中心根据人员情况及业务开展需要，逐项做出预算计划，预算合理、不留缺口、不留空项，在资金使用和管理方面，进一步强化资金统筹，优化资金结构，明确开支范围，细化资金用途，确保部门职责任务顺利完成。全年支出保证了部门的正常运行和专项工作的正常开展，达到预期绩效目标，总体较为满意；就业创业补助资金专项预算项目绩效自评得分为100分，绩效自评综述：发挥政策执行部门、用人单位促进就业、稳定就业的主动性，调动了城乡劳动者提升能力、主动就业、积极创业的积极性，促进了城乡劳动者的平等就业。绩效自评报告详见附件。</w:t>
      </w:r>
    </w:p>
    <w:p w14:paraId="7970D7A6">
      <w:pPr>
        <w:pStyle w:val="2"/>
        <w:jc w:val="center"/>
        <w:rPr>
          <w:rFonts w:hint="default" w:ascii="Times New Roman" w:hAnsi="Times New Roman" w:cs="Times New Roman"/>
        </w:rPr>
      </w:pPr>
      <w:r>
        <w:rPr>
          <w:rFonts w:hint="default" w:ascii="Times New Roman" w:hAnsi="Times New Roman" w:cs="Times New Roman"/>
        </w:rPr>
        <w:br w:type="page"/>
      </w:r>
      <w:bookmarkStart w:id="103" w:name="_Toc19525"/>
      <w:r>
        <w:rPr>
          <w:rFonts w:hint="eastAsia" w:ascii="黑体" w:hAnsi="黑体" w:eastAsia="黑体" w:cs="黑体"/>
          <w:b w:val="0"/>
          <w:bCs w:val="0"/>
        </w:rPr>
        <w:t>第三部分名词解释</w:t>
      </w:r>
      <w:bookmarkEnd w:id="103"/>
    </w:p>
    <w:p w14:paraId="4322D398">
      <w:pPr>
        <w:rPr>
          <w:rFonts w:hint="default" w:ascii="Times New Roman" w:hAnsi="Times New Roman" w:cs="Times New Roman"/>
        </w:rPr>
      </w:pPr>
    </w:p>
    <w:p w14:paraId="5F08CF82">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1.财政拨款收入：指单位从同级财政部门取得的财政预算资金。</w:t>
      </w:r>
    </w:p>
    <w:p w14:paraId="63642DC5">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2.事业收入：指事业单位开展专业业务活动及辅助活动取得的收入。如二级预算单位事业收入情况等。</w:t>
      </w:r>
    </w:p>
    <w:p w14:paraId="2754A8E9">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3.经营收入：指事业单位在专业业务活动及其辅助活动之外开展非独立核算经营活动取得的收入。如二级预算单位经营收入情况等。</w:t>
      </w:r>
    </w:p>
    <w:p w14:paraId="3BD3BF9D">
      <w:pPr>
        <w:widowControl w:val="0"/>
        <w:wordWrap/>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4.其他收入：指单位取得的除上述收入以外的各项收入。</w:t>
      </w:r>
    </w:p>
    <w:p w14:paraId="794CCD1E">
      <w:pPr>
        <w:widowControl w:val="0"/>
        <w:wordWrap/>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5.使用非财政拨款结余（含专用结余）：指事业单位使用以前年度积累的非财政拨款结余弥补当年收支差额的金额。</w:t>
      </w:r>
    </w:p>
    <w:p w14:paraId="45ADD99F">
      <w:pPr>
        <w:widowControl w:val="0"/>
        <w:wordWrap/>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6.年初结转和结余：指以前年度尚未完成、结转到本年按有关规定继续使用的资金。</w:t>
      </w:r>
    </w:p>
    <w:p w14:paraId="71756CED">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7.结余分配：指事业单位按照会计制度规定缴纳的所得税、提取的专用结余以及转入非财政拨款结余的金额等。</w:t>
      </w:r>
    </w:p>
    <w:p w14:paraId="70BD68E8">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8.年末结转和结余：指单位按有关规定结转到下年或以后年度继续使用的资金。</w:t>
      </w:r>
    </w:p>
    <w:p w14:paraId="60F2A346">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9.社会保障和就业支出（类）人力资源和社会保障管理事务（款）行政运行（项）：指行政单位（包括实行公务员管理的事业单位）的基本支出。</w:t>
      </w:r>
    </w:p>
    <w:p w14:paraId="1988F549">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10.社会保障和就业支出（类）行政事业单位养老支出（款）行政单位离退休（项）：指行政单位（包括实行公务员管理的事业单位）开支的离退休经费。</w:t>
      </w:r>
    </w:p>
    <w:p w14:paraId="1F824BE2">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11.社会保障和就业支出（类）行政事业单位养老支出（款）机关事业单位基本养老保险缴费支出（项）：指机关事业单位实施养老保险制度由单位缴纳的基本养老保险费支出。</w:t>
      </w:r>
    </w:p>
    <w:p w14:paraId="67C2A95B">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12.社会保障和就业支出（类）行政事业单位养老支出（款）机关事业单位职业年金缴费支出（项）：指机关事业单位实施养老保险制度由单位实际缴纳的职业年金支出。</w:t>
      </w:r>
    </w:p>
    <w:p w14:paraId="279097F9">
      <w:pPr>
        <w:widowControl w:val="0"/>
        <w:wordWrap/>
        <w:snapToGrid/>
        <w:spacing w:line="560" w:lineRule="exact"/>
        <w:ind w:firstLine="640" w:firstLineChars="200"/>
        <w:textAlignment w:val="auto"/>
        <w:rPr>
          <w:rFonts w:hint="default" w:ascii="Times New Roman" w:hAnsi="Times New Roman" w:eastAsia="仿宋" w:cs="Times New Roman"/>
          <w:b/>
          <w:sz w:val="32"/>
          <w:szCs w:val="32"/>
        </w:rPr>
      </w:pPr>
      <w:r>
        <w:rPr>
          <w:rFonts w:hint="default" w:ascii="Times New Roman" w:hAnsi="Times New Roman" w:eastAsia="仿宋_GB2312" w:cs="Times New Roman"/>
          <w:kern w:val="0"/>
          <w:sz w:val="32"/>
          <w:szCs w:val="32"/>
        </w:rPr>
        <w:t>13.社会保障和就业支出（类）就业补助（款）就业创业服务补贴（项）:指财政用于支持加强公共就业服务机构提升创业服务能力和向社会力量购买就业创业服务成果的补助支出</w:t>
      </w:r>
      <w:r>
        <w:rPr>
          <w:rStyle w:val="17"/>
          <w:rFonts w:hint="default" w:ascii="Times New Roman" w:hAnsi="Times New Roman" w:eastAsia="仿宋" w:cs="Times New Roman"/>
          <w:b w:val="0"/>
          <w:bCs/>
          <w:sz w:val="32"/>
          <w:szCs w:val="32"/>
        </w:rPr>
        <w:t>。</w:t>
      </w:r>
    </w:p>
    <w:p w14:paraId="3A13608D">
      <w:pPr>
        <w:widowControl w:val="0"/>
        <w:wordWrap/>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Fonts w:hint="default" w:ascii="Times New Roman" w:hAnsi="Times New Roman" w:eastAsia="仿宋_GB2312" w:cs="Times New Roman"/>
          <w:kern w:val="0"/>
          <w:sz w:val="32"/>
          <w:szCs w:val="32"/>
        </w:rPr>
        <w:t>14.社会保障和就业支出（类）就业补助（款）职业培训补贴（项）:指财政用于落实相关职业培训政策方面的补贴支出</w:t>
      </w:r>
      <w:r>
        <w:rPr>
          <w:rStyle w:val="17"/>
          <w:rFonts w:hint="default" w:ascii="Times New Roman" w:hAnsi="Times New Roman" w:eastAsia="仿宋" w:cs="Times New Roman"/>
          <w:b w:val="0"/>
          <w:bCs/>
          <w:sz w:val="32"/>
          <w:szCs w:val="32"/>
        </w:rPr>
        <w:t>。</w:t>
      </w:r>
    </w:p>
    <w:p w14:paraId="4C6AADA9">
      <w:pPr>
        <w:widowControl w:val="0"/>
        <w:wordWrap/>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Fonts w:hint="default" w:ascii="Times New Roman" w:hAnsi="Times New Roman" w:eastAsia="仿宋_GB2312" w:cs="Times New Roman"/>
          <w:kern w:val="0"/>
          <w:sz w:val="32"/>
          <w:szCs w:val="32"/>
        </w:rPr>
        <w:t>15.社会保障和就业支出（类）就业补助（款）公益性岗位补贴（项）:指财政对符合条件的就业困难人员在公益性岗位就业给予的岗位补贴支出</w:t>
      </w:r>
      <w:r>
        <w:rPr>
          <w:rStyle w:val="17"/>
          <w:rFonts w:hint="default" w:ascii="Times New Roman" w:hAnsi="Times New Roman" w:eastAsia="仿宋" w:cs="Times New Roman"/>
          <w:b w:val="0"/>
          <w:bCs/>
          <w:sz w:val="32"/>
          <w:szCs w:val="32"/>
        </w:rPr>
        <w:t>。</w:t>
      </w:r>
    </w:p>
    <w:p w14:paraId="4B745C71">
      <w:pPr>
        <w:widowControl w:val="0"/>
        <w:wordWrap/>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Fonts w:hint="default" w:ascii="Times New Roman" w:hAnsi="Times New Roman" w:eastAsia="仿宋_GB2312" w:cs="Times New Roman"/>
          <w:kern w:val="0"/>
          <w:sz w:val="32"/>
          <w:szCs w:val="32"/>
        </w:rPr>
        <w:t>16.社会保障和就业支出（类）就业补助（款）就业见习补贴（项）:</w:t>
      </w:r>
      <w:r>
        <w:rPr>
          <w:rStyle w:val="17"/>
          <w:rFonts w:hint="default" w:ascii="Times New Roman" w:hAnsi="Times New Roman" w:eastAsia="仿宋" w:cs="Times New Roman"/>
          <w:b w:val="0"/>
          <w:bCs/>
          <w:sz w:val="32"/>
          <w:szCs w:val="32"/>
        </w:rPr>
        <w:t>指财政对高校毕业生就业见习基本生活费给予的补贴支出。</w:t>
      </w:r>
    </w:p>
    <w:p w14:paraId="510AD8E1">
      <w:pPr>
        <w:widowControl w:val="0"/>
        <w:wordWrap/>
        <w:snapToGrid/>
        <w:spacing w:line="560" w:lineRule="exact"/>
        <w:ind w:firstLine="640" w:firstLineChars="200"/>
        <w:textAlignment w:val="auto"/>
        <w:rPr>
          <w:rStyle w:val="17"/>
          <w:rFonts w:hint="default" w:ascii="Times New Roman" w:hAnsi="Times New Roman" w:eastAsia="仿宋" w:cs="Times New Roman"/>
          <w:b w:val="0"/>
          <w:bCs/>
          <w:sz w:val="32"/>
          <w:szCs w:val="32"/>
        </w:rPr>
      </w:pPr>
      <w:r>
        <w:rPr>
          <w:rFonts w:hint="default" w:ascii="Times New Roman" w:hAnsi="Times New Roman" w:eastAsia="仿宋_GB2312" w:cs="Times New Roman"/>
          <w:kern w:val="0"/>
          <w:sz w:val="32"/>
          <w:szCs w:val="32"/>
        </w:rPr>
        <w:t>17.社会保障和就业支出（类）就业补助（款）促进创业补贴（项）:</w:t>
      </w:r>
      <w:r>
        <w:rPr>
          <w:rStyle w:val="17"/>
          <w:rFonts w:hint="default" w:ascii="Times New Roman" w:hAnsi="Times New Roman" w:eastAsia="仿宋" w:cs="Times New Roman"/>
          <w:b w:val="0"/>
          <w:bCs/>
          <w:sz w:val="32"/>
          <w:szCs w:val="32"/>
        </w:rPr>
        <w:t>指财政为支持符合条件的高校毕业生求职创业给予的求职创业补贴，以及为支持符合规定条件的群体灵活就业、自主创业给予的一次性创业补贴等相关支出。</w:t>
      </w:r>
    </w:p>
    <w:p w14:paraId="7CB1C95D">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18.社会保障和就业支出（类）就业补助（款）其他就业补助支出（项）：指社会保障和就业（类）就业补助（款）已有项目以外按规定确定的其他用于促进就业的补助支出。</w:t>
      </w:r>
    </w:p>
    <w:p w14:paraId="194B5CB3">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19.卫生健康支出（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14:paraId="705A2DAF">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20.卫生健康支出（类）行政事业单位医疗（款）公务员医疗补助（项）：指财政部门安排的公务员医疗补助经费。</w:t>
      </w:r>
    </w:p>
    <w:p w14:paraId="027F1106">
      <w:pPr>
        <w:widowControl w:val="0"/>
        <w:wordWrap/>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21.卫生健康支出（类）行政事业单位医疗（款）其他行政事业单位医疗支出（项）：指卫生健康支出（类）行政事业单位医疗（款）已有项目以外的其他用于行政事业单位医疗方面的支出。</w:t>
      </w:r>
    </w:p>
    <w:p w14:paraId="54FF7440">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22.住房保障支出（类）住房改革支出（款）住房公积金（项）：指行政事业单位按人力资源和社会保障部、财政部规定的基本工资和津贴补贴以及规定比例为职工缴纳的</w:t>
      </w:r>
      <w:r>
        <w:rPr>
          <w:rFonts w:hint="default" w:ascii="Times New Roman" w:hAnsi="Times New Roman" w:eastAsia="仿宋_GB2312" w:cs="Times New Roman"/>
          <w:sz w:val="32"/>
          <w:szCs w:val="32"/>
        </w:rPr>
        <w:t>住房公积金。</w:t>
      </w:r>
    </w:p>
    <w:p w14:paraId="4AAFC888">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23.基本支出：指为保障机构正常运转、完成日常工作任务而发生的人员支出和公用支出。</w:t>
      </w:r>
    </w:p>
    <w:p w14:paraId="00CF33C1">
      <w:pPr>
        <w:widowControl w:val="0"/>
        <w:wordWrap/>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24.项目支出：指在基本支出之外为完成特定行政任务和事业发展目标所发生的支出。</w:t>
      </w:r>
    </w:p>
    <w:p w14:paraId="033DA570">
      <w:pPr>
        <w:widowControl w:val="0"/>
        <w:wordWrap/>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25.经营支出：指事业单位在专业业务活动及其辅助活动之外开展非独立核算经营活动发生的支出。</w:t>
      </w:r>
    </w:p>
    <w:p w14:paraId="2755F081">
      <w:pPr>
        <w:pStyle w:val="20"/>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26.“三公”经费：指单位用财政拨款安排的因公出国（境）费、公务用车运行费和公务接待费。其中，因公出国（境）费反映机关和参公事业单位公务出国（境）的国际旅费、国外城市间交通费、住宿费、伙食费、培训费、公杂费等支出；公务用车运行费反映机关和参公事业单位按规定保留的公务用车燃料费、维修费、过路过桥费、保险费、安全奖励费用等支出；公务接待费反映机关和参公事业单位按规定开支的各类公务接待（含外宾接待）费用。</w:t>
      </w:r>
    </w:p>
    <w:p w14:paraId="4E1A9950">
      <w:pPr>
        <w:pStyle w:val="20"/>
        <w:widowControl w:val="0"/>
        <w:wordWrap/>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6C8879C">
      <w:pPr>
        <w:ind w:firstLine="420" w:firstLineChars="200"/>
        <w:rPr>
          <w:rFonts w:hint="default" w:ascii="Times New Roman" w:hAnsi="Times New Roman" w:cs="Times New Roman"/>
        </w:rPr>
      </w:pPr>
    </w:p>
    <w:p w14:paraId="45232B86">
      <w:pPr>
        <w:pStyle w:val="2"/>
        <w:jc w:val="center"/>
        <w:rPr>
          <w:rFonts w:hint="default" w:ascii="Times New Roman" w:hAnsi="Times New Roman" w:eastAsia="黑体" w:cs="Times New Roman"/>
          <w:b w:val="0"/>
        </w:rPr>
      </w:pPr>
      <w:bookmarkStart w:id="104" w:name="_Toc22145"/>
      <w:r>
        <w:rPr>
          <w:rFonts w:hint="default" w:ascii="Times New Roman" w:hAnsi="Times New Roman" w:eastAsia="黑体" w:cs="Times New Roman"/>
          <w:b w:val="0"/>
        </w:rPr>
        <w:br w:type="page"/>
      </w:r>
      <w:r>
        <w:rPr>
          <w:rFonts w:hint="default" w:ascii="Times New Roman" w:hAnsi="Times New Roman" w:eastAsia="黑体" w:cs="Times New Roman"/>
          <w:b w:val="0"/>
        </w:rPr>
        <w:t>第四部分附件</w:t>
      </w:r>
      <w:bookmarkEnd w:id="104"/>
    </w:p>
    <w:p w14:paraId="7647441B">
      <w:pPr>
        <w:rPr>
          <w:rFonts w:hint="default" w:ascii="Times New Roman" w:hAnsi="Times New Roman" w:cs="Times New Roman"/>
        </w:rPr>
      </w:pPr>
    </w:p>
    <w:p w14:paraId="2E46DA8B">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14:paraId="38654177">
      <w:pPr>
        <w:widowControl w:val="0"/>
        <w:wordWrap/>
        <w:adjustRightInd/>
        <w:snapToGrid/>
        <w:spacing w:line="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盐边县就业创业促进中心</w:t>
      </w:r>
    </w:p>
    <w:p w14:paraId="25E18FD4">
      <w:pPr>
        <w:widowControl w:val="0"/>
        <w:wordWrap/>
        <w:adjustRightInd/>
        <w:snapToGrid/>
        <w:spacing w:line="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部门预算绩效评价报告</w:t>
      </w:r>
    </w:p>
    <w:p w14:paraId="015DB56F">
      <w:pPr>
        <w:rPr>
          <w:rFonts w:hint="default" w:ascii="Times New Roman" w:hAnsi="Times New Roman" w:cs="Times New Roman"/>
        </w:rPr>
      </w:pPr>
    </w:p>
    <w:p w14:paraId="7398D627">
      <w:pPr>
        <w:wordWrap/>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一、部门（单位）基本情况</w:t>
      </w:r>
    </w:p>
    <w:p w14:paraId="1FB23E32">
      <w:pPr>
        <w:pStyle w:val="5"/>
        <w:wordWrap/>
        <w:adjustRightInd w:val="0"/>
        <w:spacing w:before="93" w:line="560" w:lineRule="exact"/>
        <w:ind w:firstLine="675" w:firstLineChars="21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（一）机构组成。</w:t>
      </w:r>
    </w:p>
    <w:p w14:paraId="7FF92EB7">
      <w:pPr>
        <w:pStyle w:val="5"/>
        <w:wordWrap/>
        <w:adjustRightInd w:val="0"/>
        <w:spacing w:before="93" w:line="560" w:lineRule="exact"/>
        <w:ind w:firstLine="672" w:firstLineChars="210"/>
        <w:textAlignment w:val="auto"/>
        <w:rPr>
          <w:rFonts w:hint="default" w:ascii="Times New Roman" w:hAnsi="Times New Roman" w:cs="Times New Roman"/>
          <w:sz w:val="32"/>
        </w:rPr>
      </w:pPr>
      <w:r>
        <w:rPr>
          <w:rFonts w:hint="default" w:ascii="Times New Roman" w:hAnsi="Times New Roman" w:cs="Times New Roman"/>
          <w:sz w:val="32"/>
        </w:rPr>
        <w:t>县就创中心隶属于盐边县人力资源和社会保障局的参公管理单位，无下属单位。</w:t>
      </w:r>
    </w:p>
    <w:p w14:paraId="225DCAFC">
      <w:pPr>
        <w:pStyle w:val="5"/>
        <w:wordWrap/>
        <w:adjustRightInd w:val="0"/>
        <w:spacing w:before="93" w:line="560" w:lineRule="exact"/>
        <w:ind w:firstLine="675" w:firstLineChars="21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（二）机构职能。</w:t>
      </w:r>
    </w:p>
    <w:p w14:paraId="5D32F84E">
      <w:pPr>
        <w:pStyle w:val="5"/>
        <w:wordWrap/>
        <w:adjustRightInd w:val="0"/>
        <w:spacing w:before="93" w:line="560" w:lineRule="exact"/>
        <w:ind w:firstLine="672" w:firstLineChars="210"/>
        <w:textAlignment w:val="auto"/>
        <w:rPr>
          <w:rFonts w:hint="default" w:ascii="Times New Roman" w:hAnsi="Times New Roman" w:cs="Times New Roman"/>
          <w:kern w:val="2"/>
          <w:sz w:val="32"/>
          <w:szCs w:val="32"/>
        </w:rPr>
      </w:pPr>
      <w:r>
        <w:rPr>
          <w:rFonts w:hint="default" w:ascii="Times New Roman" w:hAnsi="Times New Roman" w:cs="Times New Roman"/>
          <w:kern w:val="2"/>
          <w:sz w:val="32"/>
          <w:szCs w:val="32"/>
        </w:rPr>
        <w:t>1.贯彻执行国家、省、市有关劳动就业、失业保险的法律法规和方针政策；</w:t>
      </w:r>
    </w:p>
    <w:p w14:paraId="060EEC6A">
      <w:pPr>
        <w:pStyle w:val="5"/>
        <w:wordWrap/>
        <w:adjustRightInd w:val="0"/>
        <w:spacing w:before="93" w:line="560" w:lineRule="exact"/>
        <w:ind w:firstLine="672" w:firstLineChars="210"/>
        <w:textAlignment w:val="auto"/>
        <w:rPr>
          <w:rFonts w:hint="default" w:ascii="Times New Roman" w:hAnsi="Times New Roman" w:cs="Times New Roman"/>
          <w:kern w:val="2"/>
          <w:sz w:val="32"/>
          <w:szCs w:val="32"/>
        </w:rPr>
      </w:pPr>
      <w:r>
        <w:rPr>
          <w:rFonts w:hint="default" w:ascii="Times New Roman" w:hAnsi="Times New Roman" w:cs="Times New Roman"/>
          <w:kern w:val="2"/>
          <w:sz w:val="32"/>
          <w:szCs w:val="32"/>
        </w:rPr>
        <w:t>2.组织开展职业指导、职业介绍、职业培训、创业培训、就业援助等就业服务；</w:t>
      </w:r>
    </w:p>
    <w:p w14:paraId="7F9A4E1B">
      <w:pPr>
        <w:pStyle w:val="5"/>
        <w:wordWrap/>
        <w:adjustRightInd w:val="0"/>
        <w:spacing w:before="93" w:line="560" w:lineRule="exact"/>
        <w:ind w:firstLine="672" w:firstLineChars="210"/>
        <w:textAlignment w:val="auto"/>
        <w:rPr>
          <w:rFonts w:hint="default" w:ascii="Times New Roman" w:hAnsi="Times New Roman" w:cs="Times New Roman"/>
          <w:kern w:val="2"/>
          <w:sz w:val="32"/>
          <w:szCs w:val="32"/>
        </w:rPr>
      </w:pPr>
      <w:r>
        <w:rPr>
          <w:rFonts w:hint="default" w:ascii="Times New Roman" w:hAnsi="Times New Roman" w:cs="Times New Roman"/>
          <w:kern w:val="2"/>
          <w:sz w:val="32"/>
          <w:szCs w:val="32"/>
        </w:rPr>
        <w:t>3.全面开发就业岗位,做好人力资源市场职业供求信息收集发布；</w:t>
      </w:r>
    </w:p>
    <w:p w14:paraId="6D408BDC">
      <w:pPr>
        <w:pStyle w:val="5"/>
        <w:wordWrap/>
        <w:adjustRightInd w:val="0"/>
        <w:spacing w:before="93" w:line="560" w:lineRule="exact"/>
        <w:ind w:firstLine="672" w:firstLineChars="210"/>
        <w:textAlignment w:val="auto"/>
        <w:rPr>
          <w:rFonts w:hint="default" w:ascii="Times New Roman" w:hAnsi="Times New Roman" w:cs="Times New Roman"/>
          <w:kern w:val="2"/>
          <w:sz w:val="32"/>
          <w:szCs w:val="32"/>
        </w:rPr>
      </w:pPr>
      <w:r>
        <w:rPr>
          <w:rFonts w:hint="default" w:ascii="Times New Roman" w:hAnsi="Times New Roman" w:cs="Times New Roman"/>
          <w:kern w:val="2"/>
          <w:sz w:val="32"/>
          <w:szCs w:val="32"/>
        </w:rPr>
        <w:t>4.组织农村劳动力转移就业和劳务输出;建设街道(乡镇)和社区劳动就业平台；</w:t>
      </w:r>
    </w:p>
    <w:p w14:paraId="7395B240">
      <w:pPr>
        <w:pStyle w:val="5"/>
        <w:wordWrap/>
        <w:adjustRightInd w:val="0"/>
        <w:spacing w:before="93" w:line="560" w:lineRule="exact"/>
        <w:ind w:firstLine="672" w:firstLineChars="210"/>
        <w:textAlignment w:val="auto"/>
        <w:rPr>
          <w:rFonts w:hint="default" w:ascii="Times New Roman" w:hAnsi="Times New Roman" w:cs="Times New Roman"/>
          <w:kern w:val="2"/>
          <w:sz w:val="32"/>
          <w:szCs w:val="32"/>
        </w:rPr>
      </w:pPr>
      <w:r>
        <w:rPr>
          <w:rFonts w:hint="default" w:ascii="Times New Roman" w:hAnsi="Times New Roman" w:cs="Times New Roman"/>
          <w:kern w:val="2"/>
          <w:sz w:val="32"/>
          <w:szCs w:val="32"/>
        </w:rPr>
        <w:t>5.依法开展失业保险扩面征缴、失业保险金发放和基金管理等各项失业保险经办工作,负责市级失业保险市级统筹工作；</w:t>
      </w:r>
    </w:p>
    <w:p w14:paraId="1D05C934">
      <w:pPr>
        <w:pStyle w:val="5"/>
        <w:wordWrap/>
        <w:adjustRightInd w:val="0"/>
        <w:spacing w:before="93" w:line="560" w:lineRule="exact"/>
        <w:ind w:firstLine="672" w:firstLineChars="210"/>
        <w:textAlignment w:val="auto"/>
        <w:rPr>
          <w:rFonts w:hint="default" w:ascii="Times New Roman" w:hAnsi="Times New Roman" w:cs="Times New Roman"/>
          <w:b/>
          <w:sz w:val="32"/>
        </w:rPr>
      </w:pPr>
      <w:r>
        <w:rPr>
          <w:rFonts w:hint="default" w:ascii="Times New Roman" w:hAnsi="Times New Roman" w:cs="Times New Roman"/>
          <w:kern w:val="2"/>
          <w:sz w:val="32"/>
          <w:szCs w:val="32"/>
        </w:rPr>
        <w:t>6.对失业保险费申报和缴纳情况进行稽核检查,按照规定程序查处失业保险基金征缴、管理和使用中的违法乱纪案件。</w:t>
      </w:r>
    </w:p>
    <w:p w14:paraId="595311B8">
      <w:pPr>
        <w:numPr>
          <w:ilvl w:val="0"/>
          <w:numId w:val="3"/>
        </w:numPr>
        <w:wordWrap/>
        <w:snapToGrid w:val="0"/>
        <w:spacing w:line="560" w:lineRule="exact"/>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人员概况。</w:t>
      </w:r>
    </w:p>
    <w:p w14:paraId="010E22BC">
      <w:pPr>
        <w:wordWrap/>
        <w:snapToGrid w:val="0"/>
        <w:spacing w:line="560" w:lineRule="exact"/>
        <w:ind w:firstLine="640" w:firstLineChars="200"/>
        <w:textAlignment w:val="auto"/>
        <w:rPr>
          <w:rFonts w:hint="default" w:ascii="Times New Roman" w:hAnsi="Times New Roman" w:cs="Times New Roman"/>
          <w:color w:val="000000"/>
          <w:kern w:val="0"/>
          <w:szCs w:val="32"/>
          <w:shd w:val="clear" w:color="auto" w:fill="FFFFFF"/>
          <w:lang w:val="zh-CN"/>
        </w:rPr>
      </w:pPr>
      <w:r>
        <w:rPr>
          <w:rFonts w:hint="default" w:ascii="Times New Roman" w:hAnsi="Times New Roman" w:eastAsia="仿宋" w:cs="Times New Roman"/>
          <w:sz w:val="32"/>
          <w:szCs w:val="32"/>
        </w:rPr>
        <w:t>截至2023年末共有人员10人,其中在编在职人员5人（2023年新招录1人），退休5人。</w:t>
      </w:r>
    </w:p>
    <w:p w14:paraId="57264DB5">
      <w:pPr>
        <w:wordWrap/>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二、部门资金收支情况</w:t>
      </w:r>
    </w:p>
    <w:p w14:paraId="7EA6738C">
      <w:pPr>
        <w:widowControl/>
        <w:wordWrap/>
        <w:adjustRightInd w:val="0"/>
        <w:snapToGrid w:val="0"/>
        <w:spacing w:line="560" w:lineRule="exact"/>
        <w:ind w:firstLine="643" w:firstLineChars="200"/>
        <w:contextualSpacing/>
        <w:jc w:val="left"/>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（一）收入情况。</w:t>
      </w:r>
    </w:p>
    <w:p w14:paraId="4BECDBD8">
      <w:pPr>
        <w:widowControl/>
        <w:wordWrap/>
        <w:adjustRightInd w:val="0"/>
        <w:snapToGrid w:val="0"/>
        <w:spacing w:line="560" w:lineRule="exact"/>
        <w:ind w:firstLine="640" w:firstLineChars="200"/>
        <w:contextualSpacing/>
        <w:jc w:val="left"/>
        <w:textAlignment w:val="auto"/>
        <w:rPr>
          <w:rFonts w:hint="default" w:ascii="Times New Roman" w:hAnsi="Times New Roman" w:cs="Times New Roman"/>
          <w:color w:val="000000"/>
          <w:kern w:val="0"/>
          <w:szCs w:val="32"/>
          <w:shd w:val="clear" w:color="auto" w:fill="FFFFFF"/>
          <w:lang w:val="zh-CN"/>
        </w:rPr>
      </w:pPr>
      <w:r>
        <w:rPr>
          <w:rFonts w:hint="default" w:ascii="Times New Roman" w:hAnsi="Times New Roman" w:eastAsia="仿宋" w:cs="Times New Roman"/>
          <w:sz w:val="32"/>
          <w:szCs w:val="32"/>
        </w:rPr>
        <w:t>2023年全年预算收入819.32万元，与上年相比(2022年为741.67万元），增加收入77.65万元，增加10.47%，原因：本年项目收入较2022年有增加。</w:t>
      </w:r>
    </w:p>
    <w:p w14:paraId="6F40A55A">
      <w:pPr>
        <w:widowControl/>
        <w:wordWrap/>
        <w:adjustRightInd w:val="0"/>
        <w:snapToGrid w:val="0"/>
        <w:spacing w:line="560" w:lineRule="exact"/>
        <w:ind w:firstLine="643" w:firstLineChars="200"/>
        <w:contextualSpacing/>
        <w:jc w:val="left"/>
        <w:textAlignment w:val="auto"/>
        <w:rPr>
          <w:rFonts w:hint="eastAsia" w:ascii="Times New Roman" w:hAnsi="Times New Roman" w:eastAsia="楷体_GB2312" w:cs="Times New Roman"/>
          <w:b/>
          <w:sz w:val="32"/>
          <w:szCs w:val="32"/>
          <w:lang w:eastAsia="zh-CN"/>
        </w:rPr>
      </w:pPr>
      <w:r>
        <w:rPr>
          <w:rFonts w:hint="default" w:ascii="Times New Roman" w:hAnsi="Times New Roman" w:eastAsia="楷体_GB2312" w:cs="Times New Roman"/>
          <w:b/>
          <w:sz w:val="32"/>
          <w:szCs w:val="32"/>
        </w:rPr>
        <w:t>（二）支出情况。</w:t>
      </w:r>
    </w:p>
    <w:p w14:paraId="259DE2E7">
      <w:pPr>
        <w:widowControl/>
        <w:wordWrap/>
        <w:adjustRightInd w:val="0"/>
        <w:snapToGrid w:val="0"/>
        <w:spacing w:line="560" w:lineRule="exact"/>
        <w:ind w:firstLine="640" w:firstLineChars="200"/>
        <w:contextualSpacing/>
        <w:jc w:val="left"/>
        <w:textAlignment w:val="auto"/>
        <w:rPr>
          <w:rFonts w:hint="default" w:ascii="Times New Roman" w:hAnsi="Times New Roman" w:cs="Times New Roman"/>
          <w:color w:val="000000"/>
          <w:kern w:val="0"/>
          <w:szCs w:val="32"/>
          <w:shd w:val="clear" w:color="auto" w:fill="FFFFFF"/>
          <w:lang w:val="zh-CN"/>
        </w:rPr>
      </w:pPr>
      <w:r>
        <w:rPr>
          <w:rFonts w:hint="default" w:ascii="Times New Roman" w:hAnsi="Times New Roman" w:eastAsia="仿宋" w:cs="Times New Roman"/>
          <w:sz w:val="32"/>
          <w:szCs w:val="32"/>
        </w:rPr>
        <w:t>2023年预算支出819.32万元，与上年相比(2022年为741.67万元），增加支出77.65万元，增加10.47%，原因：本年项目支出较2022年有增加。</w:t>
      </w:r>
    </w:p>
    <w:p w14:paraId="6F92EF9F">
      <w:pPr>
        <w:numPr>
          <w:ilvl w:val="0"/>
          <w:numId w:val="4"/>
        </w:numPr>
        <w:wordWrap/>
        <w:spacing w:line="560" w:lineRule="exact"/>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结余分配和结转结余情况。</w:t>
      </w:r>
    </w:p>
    <w:p w14:paraId="159518D2">
      <w:pPr>
        <w:widowControl/>
        <w:wordWrap/>
        <w:adjustRightInd w:val="0"/>
        <w:snapToGrid w:val="0"/>
        <w:spacing w:line="560" w:lineRule="exact"/>
        <w:ind w:firstLine="640" w:firstLineChars="200"/>
        <w:contextualSpacing/>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我部门无结转和结余。</w:t>
      </w:r>
    </w:p>
    <w:p w14:paraId="7B64D426">
      <w:pPr>
        <w:wordWrap/>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三、部门预算绩效分析</w:t>
      </w:r>
    </w:p>
    <w:p w14:paraId="02AA91A5">
      <w:pPr>
        <w:pStyle w:val="8"/>
        <w:wordWrap/>
        <w:spacing w:line="560" w:lineRule="exact"/>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（一）部门预算总体绩效分析。</w:t>
      </w:r>
    </w:p>
    <w:p w14:paraId="68EDCEC3">
      <w:pPr>
        <w:pStyle w:val="8"/>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2023年度，本中心财政拨款收入项目预算总额累计为714.86万元，财政拨款项目支出累计达到714.86万元，项目支出无财政资金结转和结余，全部如期完成项目既定目标。</w:t>
      </w:r>
    </w:p>
    <w:p w14:paraId="3953A25E">
      <w:pPr>
        <w:widowControl/>
        <w:wordWrap/>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sz w:val="32"/>
          <w:szCs w:val="32"/>
        </w:rPr>
      </w:pPr>
    </w:p>
    <w:p w14:paraId="1195E4A2">
      <w:pPr>
        <w:wordWrap/>
        <w:spacing w:line="560" w:lineRule="exact"/>
        <w:textAlignment w:val="auto"/>
        <w:rPr>
          <w:rFonts w:hint="default" w:ascii="Times New Roman" w:hAnsi="Times New Roman" w:eastAsia="仿宋_GB2312" w:cs="Times New Roman"/>
          <w:sz w:val="32"/>
          <w:szCs w:val="32"/>
        </w:rPr>
      </w:pPr>
    </w:p>
    <w:p w14:paraId="6868AD96">
      <w:pPr>
        <w:pStyle w:val="8"/>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color w:val="000000"/>
          <w:kern w:val="0"/>
          <w:sz w:val="32"/>
          <w:szCs w:val="32"/>
          <w:shd w:val="clear" w:color="auto" w:fill="FFFFFF"/>
        </w:rPr>
        <w:t>1.</w:t>
      </w:r>
      <w:r>
        <w:rPr>
          <w:rFonts w:hint="default" w:ascii="Times New Roman" w:hAnsi="Times New Roman" w:eastAsia="楷体_GB2312" w:cs="Times New Roman"/>
          <w:color w:val="000000"/>
          <w:kern w:val="0"/>
          <w:sz w:val="32"/>
          <w:szCs w:val="32"/>
          <w:shd w:val="clear" w:color="auto" w:fill="FFFFFF"/>
          <w:lang w:val="zh-CN"/>
        </w:rPr>
        <w:t>履职</w:t>
      </w:r>
      <w:r>
        <w:rPr>
          <w:rFonts w:hint="default" w:ascii="Times New Roman" w:hAnsi="Times New Roman" w:eastAsia="楷体_GB2312" w:cs="Times New Roman"/>
          <w:color w:val="000000"/>
          <w:kern w:val="0"/>
          <w:sz w:val="32"/>
          <w:szCs w:val="32"/>
          <w:shd w:val="clear" w:color="auto" w:fill="FFFFFF"/>
        </w:rPr>
        <w:t>效能</w:t>
      </w:r>
      <w:r>
        <w:rPr>
          <w:rFonts w:hint="default" w:ascii="Times New Roman" w:hAnsi="Times New Roman" w:eastAsia="楷体_GB2312" w:cs="Times New Roman"/>
          <w:color w:val="000000"/>
          <w:kern w:val="0"/>
          <w:sz w:val="32"/>
          <w:szCs w:val="32"/>
          <w:shd w:val="clear" w:color="auto" w:fill="FFFFFF"/>
          <w:lang w:val="zh-CN"/>
        </w:rPr>
        <w:t>。</w:t>
      </w:r>
      <w:r>
        <w:rPr>
          <w:rFonts w:hint="default" w:ascii="Times New Roman" w:hAnsi="Times New Roman" w:eastAsia="仿宋_GB2312" w:cs="Times New Roman"/>
          <w:sz w:val="32"/>
          <w:szCs w:val="32"/>
        </w:rPr>
        <w:t>严格执行预算，及时申报人员经费支出，确保职工工资、住房公积金、社会保险缴费等足额发放、按时缴纳；严格按照资金用途申报、使用公用经费，202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年1-12月，基本支出预算已达全年支出预算的100%，基本支出无财政资金结转和结余，全部如期完成基本支出既定目标。</w:t>
      </w:r>
    </w:p>
    <w:p w14:paraId="14EFD740">
      <w:pPr>
        <w:wordWrap/>
        <w:adjustRightInd w:val="0"/>
        <w:snapToGrid w:val="0"/>
        <w:spacing w:line="56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2.</w:t>
      </w:r>
      <w:r>
        <w:rPr>
          <w:rFonts w:hint="default" w:ascii="Times New Roman" w:hAnsi="Times New Roman" w:eastAsia="楷体_GB2312" w:cs="Times New Roman"/>
          <w:color w:val="000000"/>
          <w:kern w:val="0"/>
          <w:sz w:val="32"/>
          <w:szCs w:val="32"/>
          <w:shd w:val="clear" w:color="auto" w:fill="FFFFFF"/>
          <w:lang w:val="zh-CN"/>
        </w:rPr>
        <w:t>预算管理。</w:t>
      </w:r>
      <w:r>
        <w:rPr>
          <w:rFonts w:hint="default" w:ascii="Times New Roman" w:hAnsi="Times New Roman" w:eastAsia="仿宋_GB2312" w:cs="Times New Roman"/>
          <w:sz w:val="32"/>
          <w:szCs w:val="32"/>
        </w:rPr>
        <w:t>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年1-12月，基本支出预算已达全年支出预算的100%，基本支出无财政资金结转和结余，全部如期完成基本支出既定目标</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从成本、数量、时效、持续性等指标分析来看，我中心实现了年初预设的支出绩效目标，年末，全年总体绩效目标顺利实现。202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年1-12月，本中心预算绩效目标未出现偏差</w:t>
      </w:r>
      <w:r>
        <w:rPr>
          <w:rFonts w:hint="default" w:ascii="Times New Roman" w:hAnsi="Times New Roman" w:eastAsia="仿宋_GB2312" w:cs="Times New Roman"/>
          <w:color w:val="000000"/>
          <w:sz w:val="32"/>
          <w:szCs w:val="32"/>
        </w:rPr>
        <w:t>和违规记录</w:t>
      </w:r>
      <w:r>
        <w:rPr>
          <w:rFonts w:hint="default" w:ascii="Times New Roman" w:hAnsi="Times New Roman" w:eastAsia="仿宋_GB2312" w:cs="Times New Roman"/>
          <w:sz w:val="32"/>
          <w:szCs w:val="32"/>
        </w:rPr>
        <w:t>。</w:t>
      </w:r>
    </w:p>
    <w:p w14:paraId="051D2F9A">
      <w:pPr>
        <w:wordWrap/>
        <w:adjustRightInd w:val="0"/>
        <w:snapToGrid w:val="0"/>
        <w:spacing w:line="560" w:lineRule="exact"/>
        <w:ind w:firstLine="640" w:firstLineChars="200"/>
        <w:jc w:val="left"/>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3.</w:t>
      </w:r>
      <w:r>
        <w:rPr>
          <w:rFonts w:hint="default" w:ascii="Times New Roman" w:hAnsi="Times New Roman" w:eastAsia="楷体_GB2312" w:cs="Times New Roman"/>
          <w:color w:val="000000"/>
          <w:kern w:val="0"/>
          <w:sz w:val="32"/>
          <w:szCs w:val="32"/>
          <w:shd w:val="clear" w:color="auto" w:fill="FFFFFF"/>
          <w:lang w:val="zh-CN"/>
        </w:rPr>
        <w:t>财务管理。</w:t>
      </w:r>
      <w:r>
        <w:rPr>
          <w:rFonts w:hint="default" w:ascii="Times New Roman" w:hAnsi="Times New Roman" w:eastAsia="仿宋_GB2312" w:cs="Times New Roman"/>
          <w:kern w:val="0"/>
          <w:sz w:val="32"/>
          <w:szCs w:val="32"/>
        </w:rPr>
        <w:t>我中心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36672DEB">
      <w:pPr>
        <w:wordWrap/>
        <w:autoSpaceDE w:val="0"/>
        <w:autoSpaceDN w:val="0"/>
        <w:adjustRightInd w:val="0"/>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color w:val="000000"/>
          <w:kern w:val="0"/>
          <w:sz w:val="32"/>
          <w:szCs w:val="32"/>
          <w:shd w:val="clear" w:color="auto" w:fill="FFFFFF"/>
        </w:rPr>
        <w:t>4.</w:t>
      </w:r>
      <w:r>
        <w:rPr>
          <w:rFonts w:hint="default" w:ascii="Times New Roman" w:hAnsi="Times New Roman" w:eastAsia="楷体_GB2312" w:cs="Times New Roman"/>
          <w:color w:val="000000"/>
          <w:kern w:val="0"/>
          <w:sz w:val="32"/>
          <w:szCs w:val="32"/>
          <w:shd w:val="clear" w:color="auto" w:fill="FFFFFF"/>
          <w:lang w:val="zh-CN"/>
        </w:rPr>
        <w:t>资产管理。</w:t>
      </w:r>
      <w:r>
        <w:rPr>
          <w:rFonts w:hint="default" w:ascii="Times New Roman" w:hAnsi="Times New Roman" w:eastAsia="仿宋_GB2312" w:cs="Times New Roman"/>
          <w:sz w:val="32"/>
          <w:szCs w:val="32"/>
        </w:rPr>
        <w:t>截至2023年12月31日，我中心未保留公务用车。单价50万元以上通用设备0台（套），单价100万元以上专用设备0台（套）。</w:t>
      </w:r>
    </w:p>
    <w:p w14:paraId="033F9890">
      <w:pPr>
        <w:wordWrap/>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楷体_GB2312" w:cs="Times New Roman"/>
          <w:color w:val="000000"/>
          <w:kern w:val="0"/>
          <w:sz w:val="32"/>
          <w:szCs w:val="32"/>
          <w:shd w:val="clear" w:color="auto" w:fill="FFFFFF"/>
        </w:rPr>
        <w:t>5.</w:t>
      </w:r>
      <w:r>
        <w:rPr>
          <w:rFonts w:hint="default" w:ascii="Times New Roman" w:hAnsi="Times New Roman" w:eastAsia="楷体_GB2312" w:cs="Times New Roman"/>
          <w:color w:val="000000"/>
          <w:kern w:val="0"/>
          <w:sz w:val="32"/>
          <w:szCs w:val="32"/>
          <w:shd w:val="clear" w:color="auto" w:fill="FFFFFF"/>
          <w:lang w:val="zh-CN"/>
        </w:rPr>
        <w:t>采购管理。</w:t>
      </w:r>
      <w:r>
        <w:rPr>
          <w:rFonts w:hint="default" w:ascii="Times New Roman" w:hAnsi="Times New Roman" w:eastAsia="仿宋_GB2312" w:cs="Times New Roman"/>
          <w:b w:val="0"/>
          <w:bCs w:val="0"/>
          <w:sz w:val="32"/>
          <w:szCs w:val="32"/>
        </w:rPr>
        <w:t>2023年度，盐边县就业创业促进中心政府采购支出总额</w:t>
      </w:r>
      <w:r>
        <w:rPr>
          <w:rFonts w:hint="default" w:ascii="Times New Roman" w:hAnsi="Times New Roman" w:eastAsia="仿宋" w:cs="Times New Roman"/>
          <w:b w:val="0"/>
          <w:bCs w:val="0"/>
          <w:sz w:val="32"/>
          <w:szCs w:val="32"/>
        </w:rPr>
        <w:t>6.48</w:t>
      </w:r>
      <w:r>
        <w:rPr>
          <w:rFonts w:hint="default" w:ascii="Times New Roman" w:hAnsi="Times New Roman" w:eastAsia="仿宋_GB2312" w:cs="Times New Roman"/>
          <w:b w:val="0"/>
          <w:bCs w:val="0"/>
          <w:sz w:val="32"/>
          <w:szCs w:val="32"/>
        </w:rPr>
        <w:t>万元，其中：政府采购货物支出</w:t>
      </w:r>
      <w:r>
        <w:rPr>
          <w:rFonts w:hint="default" w:ascii="Times New Roman" w:hAnsi="Times New Roman" w:eastAsia="仿宋" w:cs="Times New Roman"/>
          <w:b w:val="0"/>
          <w:bCs w:val="0"/>
          <w:sz w:val="32"/>
          <w:szCs w:val="32"/>
        </w:rPr>
        <w:t>6.48</w:t>
      </w:r>
      <w:r>
        <w:rPr>
          <w:rFonts w:hint="default" w:ascii="Times New Roman" w:hAnsi="Times New Roman" w:eastAsia="仿宋_GB2312" w:cs="Times New Roman"/>
          <w:b w:val="0"/>
          <w:bCs w:val="0"/>
          <w:sz w:val="32"/>
          <w:szCs w:val="32"/>
        </w:rPr>
        <w:t>万元。主要用于采购办公用电脑13台。授予中小企业合同金额</w:t>
      </w:r>
      <w:r>
        <w:rPr>
          <w:rFonts w:hint="default" w:ascii="Times New Roman" w:hAnsi="Times New Roman" w:eastAsia="仿宋" w:cs="Times New Roman"/>
          <w:b w:val="0"/>
          <w:bCs w:val="0"/>
          <w:sz w:val="32"/>
          <w:szCs w:val="32"/>
        </w:rPr>
        <w:t>6.48</w:t>
      </w:r>
      <w:r>
        <w:rPr>
          <w:rFonts w:hint="default" w:ascii="Times New Roman" w:hAnsi="Times New Roman" w:eastAsia="仿宋_GB2312" w:cs="Times New Roman"/>
          <w:b w:val="0"/>
          <w:bCs w:val="0"/>
          <w:sz w:val="32"/>
          <w:szCs w:val="32"/>
        </w:rPr>
        <w:t>万元，占政府采购支出总额的100%，其中：授予小微企业合同金额</w:t>
      </w:r>
      <w:r>
        <w:rPr>
          <w:rFonts w:hint="default" w:ascii="Times New Roman" w:hAnsi="Times New Roman" w:eastAsia="仿宋" w:cs="Times New Roman"/>
          <w:b w:val="0"/>
          <w:bCs w:val="0"/>
          <w:sz w:val="32"/>
          <w:szCs w:val="32"/>
        </w:rPr>
        <w:t>6.48</w:t>
      </w:r>
      <w:r>
        <w:rPr>
          <w:rFonts w:hint="default" w:ascii="Times New Roman" w:hAnsi="Times New Roman" w:eastAsia="仿宋_GB2312" w:cs="Times New Roman"/>
          <w:b w:val="0"/>
          <w:bCs w:val="0"/>
          <w:sz w:val="32"/>
          <w:szCs w:val="32"/>
        </w:rPr>
        <w:t>万元，占政府采购支出总额的100%。</w:t>
      </w:r>
    </w:p>
    <w:p w14:paraId="40FE0580">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（二）部门预算项目绩效分析。</w:t>
      </w:r>
    </w:p>
    <w:p w14:paraId="5A885B0B">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常年项目绩效分析。该类项目总数</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zh-CN"/>
        </w:rPr>
        <w:t>个，涉及预算总金额</w:t>
      </w:r>
      <w:r>
        <w:rPr>
          <w:rFonts w:hint="default" w:ascii="Times New Roman" w:hAnsi="Times New Roman" w:eastAsia="仿宋_GB2312" w:cs="Times New Roman"/>
          <w:sz w:val="32"/>
          <w:szCs w:val="32"/>
        </w:rPr>
        <w:t>714.86</w:t>
      </w:r>
      <w:r>
        <w:rPr>
          <w:rFonts w:hint="default" w:ascii="Times New Roman" w:hAnsi="Times New Roman" w:eastAsia="仿宋_GB2312" w:cs="Times New Roman"/>
          <w:sz w:val="32"/>
          <w:szCs w:val="32"/>
          <w:lang w:val="zh-CN"/>
        </w:rPr>
        <w:t>万元，1—12月预算执行总体进度为</w:t>
      </w:r>
      <w:r>
        <w:rPr>
          <w:rFonts w:hint="default" w:ascii="Times New Roman" w:hAnsi="Times New Roman" w:eastAsia="仿宋_GB2312" w:cs="Times New Roman"/>
          <w:sz w:val="32"/>
          <w:szCs w:val="32"/>
        </w:rPr>
        <w:t>100</w:t>
      </w:r>
      <w:r>
        <w:rPr>
          <w:rFonts w:hint="default" w:ascii="Times New Roman" w:hAnsi="Times New Roman" w:eastAsia="仿宋_GB2312" w:cs="Times New Roman"/>
          <w:sz w:val="32"/>
          <w:szCs w:val="32"/>
          <w:lang w:val="zh-CN"/>
        </w:rPr>
        <w:t>%。</w:t>
      </w:r>
    </w:p>
    <w:p w14:paraId="4802B29C">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阶段（一次性）项目绩效分析。该类项目总数</w:t>
      </w:r>
      <w:r>
        <w:rPr>
          <w:rFonts w:hint="default" w:ascii="Times New Roman" w:hAnsi="Times New Roman" w:eastAsia="仿宋_GB2312" w:cs="Times New Roman"/>
          <w:sz w:val="32"/>
          <w:szCs w:val="32"/>
        </w:rPr>
        <w:t>0</w:t>
      </w:r>
      <w:r>
        <w:rPr>
          <w:rFonts w:hint="default" w:ascii="Times New Roman" w:hAnsi="Times New Roman" w:eastAsia="仿宋_GB2312" w:cs="Times New Roman"/>
          <w:sz w:val="32"/>
          <w:szCs w:val="32"/>
          <w:lang w:val="zh-CN"/>
        </w:rPr>
        <w:t>个。</w:t>
      </w:r>
    </w:p>
    <w:p w14:paraId="412B0219">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color w:val="000000"/>
          <w:kern w:val="0"/>
          <w:sz w:val="32"/>
          <w:szCs w:val="32"/>
          <w:shd w:val="clear" w:color="auto" w:fill="FFFFFF"/>
        </w:rPr>
        <w:t>1.项目决策。</w:t>
      </w:r>
      <w:r>
        <w:rPr>
          <w:rFonts w:hint="default" w:ascii="Times New Roman" w:hAnsi="Times New Roman" w:eastAsia="仿宋_GB2312" w:cs="Times New Roman"/>
          <w:sz w:val="32"/>
          <w:szCs w:val="32"/>
          <w:lang w:val="zh-CN"/>
        </w:rPr>
        <w:t>根据《四川省财政厅四川省人社资源社会保障厅关于下达提前下达2023年中央和省级就业创业补助资金预算指标的通知》（川财社﹝2022﹞147号）经研究，财政局下达2023年中央和省级就业创业补助资金</w:t>
      </w:r>
      <w:r>
        <w:rPr>
          <w:rFonts w:hint="default" w:ascii="Times New Roman" w:hAnsi="Times New Roman" w:eastAsia="仿宋_GB2312" w:cs="Times New Roman"/>
          <w:sz w:val="32"/>
          <w:szCs w:val="32"/>
        </w:rPr>
        <w:t>645</w:t>
      </w:r>
      <w:r>
        <w:rPr>
          <w:rFonts w:hint="default" w:ascii="Times New Roman" w:hAnsi="Times New Roman" w:eastAsia="仿宋_GB2312" w:cs="Times New Roman"/>
          <w:sz w:val="32"/>
          <w:szCs w:val="32"/>
          <w:lang w:val="zh-CN"/>
        </w:rPr>
        <w:t>万元，根据川财预(2022)101号文件下达县级就业创业补助资金</w:t>
      </w:r>
      <w:r>
        <w:rPr>
          <w:rFonts w:hint="default" w:ascii="Times New Roman" w:hAnsi="Times New Roman" w:eastAsia="仿宋_GB2312" w:cs="Times New Roman"/>
          <w:sz w:val="32"/>
          <w:szCs w:val="32"/>
        </w:rPr>
        <w:t>69.86万元</w:t>
      </w:r>
      <w:r>
        <w:rPr>
          <w:rFonts w:hint="default" w:ascii="Times New Roman" w:hAnsi="Times New Roman" w:eastAsia="仿宋_GB2312" w:cs="Times New Roman"/>
          <w:sz w:val="32"/>
          <w:szCs w:val="32"/>
          <w:lang w:val="zh-CN"/>
        </w:rPr>
        <w:t>。国家实行有利于促进就业的财政政策，加大资金投入，改善就业环境，扩大就业。根据就业状况和就业工作目标，在财政预算中安排就业专项资金用于促进就业工作。</w:t>
      </w:r>
    </w:p>
    <w:p w14:paraId="429DDA6F">
      <w:pPr>
        <w:wordWrap/>
        <w:spacing w:line="560" w:lineRule="exact"/>
        <w:ind w:firstLine="640" w:firstLineChars="200"/>
        <w:textAlignment w:val="auto"/>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2.项目执行。</w:t>
      </w:r>
      <w:r>
        <w:rPr>
          <w:rFonts w:hint="default" w:ascii="Times New Roman" w:hAnsi="Times New Roman" w:eastAsia="仿宋_GB2312" w:cs="Times New Roman"/>
          <w:sz w:val="32"/>
          <w:szCs w:val="32"/>
          <w:lang w:val="zh-CN"/>
        </w:rPr>
        <w:t>（1）资金计划及到位。根据《四川省财政厅四川省人社资源社会保障厅关于下达提前下达2023年中央和省级就业创业补助资金预算指标的通知》（川财社﹝2022﹞147号）经研究，财政局下达2023年中央和省级就业创业补助资金</w:t>
      </w:r>
      <w:r>
        <w:rPr>
          <w:rFonts w:hint="default" w:ascii="Times New Roman" w:hAnsi="Times New Roman" w:eastAsia="仿宋_GB2312" w:cs="Times New Roman"/>
          <w:sz w:val="32"/>
          <w:szCs w:val="32"/>
        </w:rPr>
        <w:t>651.51</w:t>
      </w:r>
      <w:r>
        <w:rPr>
          <w:rFonts w:hint="default" w:ascii="Times New Roman" w:hAnsi="Times New Roman" w:eastAsia="仿宋_GB2312" w:cs="Times New Roman"/>
          <w:sz w:val="32"/>
          <w:szCs w:val="32"/>
          <w:lang w:val="zh-CN"/>
        </w:rPr>
        <w:t>万元。（2）资金使用。</w:t>
      </w:r>
      <w:r>
        <w:rPr>
          <w:rFonts w:hint="default" w:ascii="Times New Roman" w:hAnsi="Times New Roman" w:eastAsia="仿宋_GB2312" w:cs="Times New Roman"/>
          <w:sz w:val="32"/>
          <w:szCs w:val="32"/>
        </w:rPr>
        <w:t>我中心于2023年2-12月，通过财政一体化平台逐次拨付，通过直接支付方式支付至受补贴的人员本人账户。依据资金使用申报流程，申报该项目支出的用款计划，并将该笔资金以直接支付方式全额划转，资金划转安全、及时、规范，资金支付合规合法、与预算相符</w:t>
      </w:r>
      <w:r>
        <w:rPr>
          <w:rFonts w:hint="default" w:ascii="Times New Roman" w:hAnsi="Times New Roman" w:eastAsia="仿宋_GB2312" w:cs="Times New Roman"/>
          <w:sz w:val="32"/>
          <w:szCs w:val="32"/>
          <w:lang w:val="zh-CN"/>
        </w:rPr>
        <w:t>。</w:t>
      </w:r>
    </w:p>
    <w:p w14:paraId="1C8AFE1D">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color w:val="000000"/>
          <w:kern w:val="0"/>
          <w:sz w:val="32"/>
          <w:szCs w:val="32"/>
          <w:shd w:val="clear" w:color="auto" w:fill="FFFFFF"/>
        </w:rPr>
        <w:t>3.目标实现。</w:t>
      </w:r>
      <w:r>
        <w:rPr>
          <w:rFonts w:hint="default" w:ascii="Times New Roman" w:hAnsi="Times New Roman" w:eastAsia="仿宋_GB2312" w:cs="Times New Roman"/>
          <w:sz w:val="32"/>
          <w:szCs w:val="32"/>
        </w:rPr>
        <w:t>落实了各项就业创业的政策，重点支持了就业困难人员、建档立卡贫困劳动力、大学生、退役军人、农民工等群体就业创业，同时兼顾了其他各类群体，发挥政策执行部门、用人单位促进就业、稳定就业的主动性，调动了城乡劳动者提升能力、主动就业、积极创业的积极性，促进了城乡劳动者的平等就业</w:t>
      </w:r>
      <w:r>
        <w:rPr>
          <w:rFonts w:hint="default" w:ascii="Times New Roman" w:hAnsi="Times New Roman" w:eastAsia="仿宋_GB2312" w:cs="Times New Roman"/>
          <w:sz w:val="32"/>
          <w:szCs w:val="32"/>
          <w:lang w:val="zh-CN"/>
        </w:rPr>
        <w:t>。</w:t>
      </w:r>
    </w:p>
    <w:p w14:paraId="5DD1FD01">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（三）重点领域绩效分析。</w:t>
      </w:r>
      <w:r>
        <w:rPr>
          <w:rFonts w:hint="default" w:ascii="Times New Roman" w:hAnsi="Times New Roman" w:eastAsia="仿宋_GB2312" w:cs="Times New Roman"/>
          <w:sz w:val="32"/>
          <w:szCs w:val="32"/>
          <w:lang w:val="zh-CN"/>
        </w:rPr>
        <w:t>我部门2023年度未涉及重点领域项目。</w:t>
      </w:r>
    </w:p>
    <w:p w14:paraId="141AADEA">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（四）绩效结果应用情况。</w:t>
      </w:r>
      <w:r>
        <w:rPr>
          <w:rFonts w:hint="default" w:ascii="Times New Roman" w:hAnsi="Times New Roman" w:eastAsia="仿宋_GB2312" w:cs="Times New Roman"/>
          <w:sz w:val="32"/>
          <w:szCs w:val="32"/>
        </w:rPr>
        <w:t>发挥政策执行部门、用人单位促进就业、稳定就业的主动性，调动了城乡劳动者提升能力、主动就业、积极创业的积极性，促进了城乡劳动者的平等就业</w:t>
      </w:r>
      <w:r>
        <w:rPr>
          <w:rFonts w:hint="default" w:ascii="Times New Roman" w:hAnsi="Times New Roman" w:eastAsia="仿宋_GB2312" w:cs="Times New Roman"/>
          <w:sz w:val="32"/>
          <w:szCs w:val="32"/>
          <w:lang w:val="zh-CN"/>
        </w:rPr>
        <w:t>。</w:t>
      </w:r>
    </w:p>
    <w:p w14:paraId="058B675C">
      <w:pPr>
        <w:wordWrap/>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四、评价结论及建议</w:t>
      </w:r>
    </w:p>
    <w:p w14:paraId="5D2E75B8">
      <w:pPr>
        <w:widowControl/>
        <w:wordWrap/>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（一）评价结论。</w:t>
      </w:r>
      <w:r>
        <w:rPr>
          <w:rFonts w:hint="default" w:ascii="Times New Roman" w:hAnsi="Times New Roman" w:eastAsia="仿宋_GB2312" w:cs="Times New Roman"/>
          <w:sz w:val="32"/>
          <w:szCs w:val="32"/>
        </w:rPr>
        <w:t>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盐边县就业创业促进中心根据人员情况及业务开展需要，逐项做出预算计划，预算合理、不留缺口、不留空项，在资金使用和管理方面，进一步强化资金统筹，优化资金结构，明确开支范围，细化资金用途，确保部门职责任务顺利完成。全年支出保证了部门的正常运行和专项工作的正常开展，达到预期绩效目标，总体较为满意。自评得分100分。</w:t>
      </w:r>
    </w:p>
    <w:p w14:paraId="242F66B0">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（二）存在问题。</w:t>
      </w:r>
      <w:r>
        <w:rPr>
          <w:rFonts w:hint="default" w:ascii="Times New Roman" w:hAnsi="Times New Roman" w:eastAsia="仿宋_GB2312" w:cs="Times New Roman"/>
          <w:sz w:val="32"/>
          <w:szCs w:val="32"/>
        </w:rPr>
        <w:t>在编制202</w:t>
      </w:r>
      <w:r>
        <w:rPr>
          <w:rFonts w:hint="default" w:ascii="Times New Roman" w:hAnsi="Times New Roman" w:cs="Times New Roman"/>
          <w:sz w:val="32"/>
          <w:szCs w:val="32"/>
        </w:rPr>
        <w:t>3</w:t>
      </w:r>
      <w:r>
        <w:rPr>
          <w:rFonts w:hint="default" w:ascii="Times New Roman" w:hAnsi="Times New Roman" w:eastAsia="仿宋_GB2312" w:cs="Times New Roman"/>
          <w:sz w:val="32"/>
          <w:szCs w:val="32"/>
        </w:rPr>
        <w:t>年预算时，各专项资金设定了相关的绩效目标。但从绩效目标管理的角度看，设置的目标均为定性的文字描述，缺乏量化的指标，在开展自评价时较难衡量目标的完成情况，不利于评价工作的顺利开展</w:t>
      </w:r>
      <w:r>
        <w:rPr>
          <w:rFonts w:hint="default" w:ascii="Times New Roman" w:hAnsi="Times New Roman" w:cs="Times New Roman"/>
          <w:sz w:val="32"/>
          <w:szCs w:val="32"/>
        </w:rPr>
        <w:t>。</w:t>
      </w:r>
    </w:p>
    <w:p w14:paraId="4A90BB8C">
      <w:pPr>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（三）改进建议。</w:t>
      </w:r>
      <w:r>
        <w:rPr>
          <w:rFonts w:hint="default" w:ascii="Times New Roman" w:hAnsi="Times New Roman" w:eastAsia="仿宋_GB2312" w:cs="Times New Roman"/>
          <w:sz w:val="32"/>
          <w:szCs w:val="32"/>
        </w:rPr>
        <w:t>今后我中心将加强对预算绩效目标管理的学习，逐步树立以绩效目标为导向的管理理念，在申请预算时即明确细化、量化的目标，在目标的约束下开展工作</w:t>
      </w:r>
      <w:r>
        <w:rPr>
          <w:rFonts w:hint="default" w:ascii="Times New Roman" w:hAnsi="Times New Roman" w:eastAsia="仿宋_GB2312" w:cs="Times New Roman"/>
          <w:sz w:val="32"/>
          <w:szCs w:val="32"/>
          <w:lang w:val="zh-CN"/>
        </w:rPr>
        <w:t>。</w:t>
      </w:r>
    </w:p>
    <w:p w14:paraId="7E80458E">
      <w:pPr>
        <w:wordWrap/>
        <w:spacing w:line="560" w:lineRule="exact"/>
        <w:ind w:firstLine="640" w:firstLineChars="200"/>
        <w:textAlignment w:val="auto"/>
        <w:rPr>
          <w:rFonts w:hint="default" w:ascii="Times New Roman" w:hAnsi="Times New Roman" w:eastAsia="仿宋_GB2312" w:cs="Times New Roman"/>
          <w:sz w:val="32"/>
          <w:szCs w:val="32"/>
          <w:lang w:val="zh-CN"/>
        </w:rPr>
      </w:pPr>
    </w:p>
    <w:p w14:paraId="3B1AEEB9">
      <w:pPr>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附表：</w:t>
      </w:r>
      <w:r>
        <w:rPr>
          <w:rFonts w:hint="default" w:ascii="Times New Roman" w:hAnsi="Times New Roman" w:eastAsia="仿宋_GB2312" w:cs="Times New Roman"/>
          <w:sz w:val="32"/>
          <w:szCs w:val="32"/>
        </w:rPr>
        <w:t>部门</w:t>
      </w:r>
      <w:r>
        <w:rPr>
          <w:rFonts w:hint="default" w:ascii="Times New Roman" w:hAnsi="Times New Roman" w:eastAsia="仿宋_GB2312" w:cs="Times New Roman"/>
          <w:sz w:val="32"/>
          <w:szCs w:val="32"/>
          <w:lang w:val="zh-CN"/>
        </w:rPr>
        <w:t>预算项目支出绩效自评表（2023年度）</w:t>
      </w:r>
    </w:p>
    <w:p w14:paraId="300D3942">
      <w:pPr>
        <w:rPr>
          <w:rFonts w:hint="default" w:ascii="Times New Roman" w:hAnsi="Times New Roman" w:cs="Times New Roman"/>
        </w:rPr>
      </w:pPr>
      <w:r>
        <w:rPr>
          <w:rFonts w:hint="default" w:ascii="Times New Roman" w:hAnsi="Times New Roman" w:cs="Times New Roman"/>
        </w:rPr>
        <w:br w:type="page"/>
      </w:r>
    </w:p>
    <w:p w14:paraId="4C1D3F76">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14:paraId="3F4AECF4">
      <w:pPr>
        <w:widowControl w:val="0"/>
        <w:wordWrap/>
        <w:adjustRightInd/>
        <w:snapToGrid/>
        <w:spacing w:line="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就业创业补助资金</w:t>
      </w:r>
    </w:p>
    <w:p w14:paraId="227E5EA3">
      <w:pPr>
        <w:widowControl w:val="0"/>
        <w:wordWrap/>
        <w:adjustRightInd/>
        <w:snapToGrid/>
        <w:spacing w:line="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专项预算项目绩效评价报告</w:t>
      </w:r>
    </w:p>
    <w:p w14:paraId="54227469">
      <w:pPr>
        <w:rPr>
          <w:rFonts w:hint="default" w:ascii="Times New Roman" w:hAnsi="Times New Roman" w:eastAsia="仿宋_GB2312" w:cs="Times New Roman"/>
          <w:sz w:val="32"/>
          <w:szCs w:val="32"/>
          <w:lang w:val="zh-CN"/>
        </w:rPr>
      </w:pPr>
    </w:p>
    <w:p w14:paraId="3B077C4E">
      <w:pPr>
        <w:widowControl w:val="0"/>
        <w:wordWrap/>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0B914B32">
      <w:pPr>
        <w:widowControl w:val="0"/>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国家实行有利于促进就业的财政政策，加大资金投入，改善就业环境，扩大就业。根据就业状况和就业工作目标，在财政预算中安排就业专项资金用于促进就业工作。根据《四川省财政厅四川省人社资源社会保障厅关于下达提前下达2023年中央和省级就业创业补助资金预算指标的通知》（川财社﹝2022﹞147号）经研究，财政局下达2023年中央和省级就业创业补助资金6</w:t>
      </w:r>
      <w:r>
        <w:rPr>
          <w:rFonts w:hint="default" w:ascii="Times New Roman" w:hAnsi="Times New Roman" w:eastAsia="仿宋_GB2312" w:cs="Times New Roman"/>
          <w:sz w:val="32"/>
          <w:szCs w:val="32"/>
        </w:rPr>
        <w:t>51.51</w:t>
      </w:r>
      <w:r>
        <w:rPr>
          <w:rFonts w:hint="default" w:ascii="Times New Roman" w:hAnsi="Times New Roman" w:eastAsia="仿宋_GB2312" w:cs="Times New Roman"/>
          <w:sz w:val="32"/>
          <w:szCs w:val="32"/>
          <w:lang w:val="zh-CN"/>
        </w:rPr>
        <w:t>万元，根据川财预(2022)101号文件下达县级就业创业补助资金</w:t>
      </w:r>
      <w:r>
        <w:rPr>
          <w:rFonts w:hint="default" w:ascii="Times New Roman" w:hAnsi="Times New Roman" w:eastAsia="仿宋_GB2312" w:cs="Times New Roman"/>
          <w:sz w:val="32"/>
          <w:szCs w:val="32"/>
        </w:rPr>
        <w:t>63.35万元</w:t>
      </w:r>
      <w:r>
        <w:rPr>
          <w:rFonts w:hint="default" w:ascii="Times New Roman" w:hAnsi="Times New Roman" w:eastAsia="仿宋_GB2312" w:cs="Times New Roman"/>
          <w:sz w:val="32"/>
          <w:szCs w:val="32"/>
          <w:lang w:val="zh-CN"/>
        </w:rPr>
        <w:t>。</w:t>
      </w:r>
    </w:p>
    <w:p w14:paraId="51A1392D">
      <w:pPr>
        <w:widowControl w:val="0"/>
        <w:wordWrap/>
        <w:adjustRightInd w:val="0"/>
        <w:snapToGrid w:val="0"/>
        <w:spacing w:line="560" w:lineRule="exact"/>
        <w:ind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rPr>
        <w:t>落实各项就业创业的政策，重点支持就业困难人员、建档立卡贫困劳动力、大学生、退役军人、农民工等群体就业创业，同时兼顾其他各类群体，发挥政策执行部门、用人单位促进就业、稳定就业的主动性，调动城乡劳动者提升能力、主动就业、积极创业的积极性，促进了城乡劳动者的平等就业。</w:t>
      </w:r>
    </w:p>
    <w:p w14:paraId="61960C16">
      <w:pPr>
        <w:widowControl w:val="0"/>
        <w:wordWrap/>
        <w:spacing w:line="560" w:lineRule="exact"/>
        <w:ind w:firstLine="643" w:firstLineChars="20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根据就业状况和就业工作目标，在财政预算中安排中央和省级就业专项资金</w:t>
      </w:r>
      <w:r>
        <w:rPr>
          <w:rFonts w:hint="default" w:ascii="Times New Roman" w:hAnsi="Times New Roman" w:eastAsia="仿宋_GB2312" w:cs="Times New Roman"/>
          <w:sz w:val="32"/>
          <w:szCs w:val="32"/>
        </w:rPr>
        <w:t>651.51万元、县级资金63.35万元</w:t>
      </w:r>
      <w:r>
        <w:rPr>
          <w:rFonts w:hint="default" w:ascii="Times New Roman" w:hAnsi="Times New Roman" w:eastAsia="仿宋_GB2312" w:cs="Times New Roman"/>
          <w:sz w:val="32"/>
          <w:szCs w:val="32"/>
          <w:lang w:val="zh-CN"/>
        </w:rPr>
        <w:t>用于促进就业工作。</w:t>
      </w:r>
    </w:p>
    <w:p w14:paraId="5292EBF2">
      <w:pPr>
        <w:widowControl w:val="0"/>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rPr>
        <w:t>资金按规定用于职业培训补贴、社会保险补贴、公益性岗位补贴、创业补贴、就业见习补贴、求职创业补贴、就业创业服务补助、高技能人才培养补助等支出及经省级人民政府批准的其他支出项目；确保完成年度城镇新增就业目标任务</w:t>
      </w:r>
      <w:r>
        <w:rPr>
          <w:rFonts w:hint="default" w:ascii="Times New Roman" w:hAnsi="Times New Roman" w:eastAsia="仿宋_GB2312" w:cs="Times New Roman"/>
          <w:sz w:val="32"/>
          <w:szCs w:val="32"/>
          <w:lang w:val="zh-CN"/>
        </w:rPr>
        <w:t>。</w:t>
      </w:r>
    </w:p>
    <w:p w14:paraId="018B227B">
      <w:pPr>
        <w:widowControl w:val="0"/>
        <w:wordWrap/>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3D3A17F9">
      <w:pPr>
        <w:widowControl w:val="0"/>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p>
    <w:p w14:paraId="34B03725">
      <w:pPr>
        <w:widowControl w:val="0"/>
        <w:wordWrap/>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rPr>
        <w:t>2023年该笔项目资金由县财政局拨付至一体化平台，依据资金使用申报流程，申报该项目支出的用款计划，并将该笔资金逐次逐笔支付至受补贴的人员本人账户，严格执行《行政事业单位财务管理制度》等财务管理制度，权限管理规范，内控较为严谨，账务处理及时，会计核算规范，该笔项目资金从申报到支付，均严格遵守资金使用流程，专款专用，依法依规进行全流程、精细化管理，资金划转安全、及时、规范，资金支付合规合法、与预算相符。</w:t>
      </w:r>
    </w:p>
    <w:p w14:paraId="5BC66F8C">
      <w:pPr>
        <w:widowControl w:val="0"/>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rPr>
        <w:t>未在受益群众中全面、全覆盖组织开展满意度调查</w:t>
      </w:r>
      <w:r>
        <w:rPr>
          <w:rFonts w:hint="default" w:ascii="Times New Roman" w:hAnsi="Times New Roman" w:eastAsia="仿宋_GB2312" w:cs="Times New Roman"/>
          <w:sz w:val="32"/>
          <w:szCs w:val="32"/>
          <w:lang w:val="zh-CN"/>
        </w:rPr>
        <w:t>。</w:t>
      </w:r>
    </w:p>
    <w:p w14:paraId="08FD3906">
      <w:pPr>
        <w:widowControl w:val="0"/>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根据项目情况和评价重点，我单位采用单位自评法对项目进行评价，</w:t>
      </w:r>
      <w:r>
        <w:rPr>
          <w:rFonts w:hint="default" w:ascii="Times New Roman" w:hAnsi="Times New Roman" w:eastAsia="仿宋_GB2312" w:cs="Times New Roman"/>
          <w:sz w:val="32"/>
          <w:szCs w:val="32"/>
        </w:rPr>
        <w:t>自评等级为良好。在资金的管理和使用上，严格按照相关法律、法规规定，遵守财经纪律，认真履行部门职能职责，加强预算绩效信息发布管理制度建设，完善</w:t>
      </w:r>
      <w:r>
        <w:rPr>
          <w:rFonts w:hint="default" w:ascii="Times New Roman" w:hAnsi="Times New Roman" w:cs="Times New Roman"/>
          <w:sz w:val="32"/>
          <w:szCs w:val="32"/>
        </w:rPr>
        <w:t>了</w:t>
      </w:r>
      <w:r>
        <w:rPr>
          <w:rFonts w:hint="default" w:ascii="Times New Roman" w:hAnsi="Times New Roman" w:eastAsia="仿宋_GB2312" w:cs="Times New Roman"/>
          <w:sz w:val="32"/>
          <w:szCs w:val="32"/>
        </w:rPr>
        <w:t>绩效信息公开机制</w:t>
      </w:r>
      <w:r>
        <w:rPr>
          <w:rFonts w:hint="default" w:ascii="Times New Roman" w:hAnsi="Times New Roman" w:eastAsia="仿宋_GB2312" w:cs="Times New Roman"/>
          <w:sz w:val="32"/>
          <w:szCs w:val="32"/>
          <w:lang w:val="zh-CN"/>
        </w:rPr>
        <w:t>。</w:t>
      </w:r>
    </w:p>
    <w:p w14:paraId="3BBFBF8C">
      <w:pPr>
        <w:widowControl w:val="0"/>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评价组长负责评价工作的整体规划和协调，以及评价结果的汇总和统计分析；评价组员负责对项目绩效进行评估，并记录评价过程中的关键信息。</w:t>
      </w:r>
    </w:p>
    <w:p w14:paraId="203FB23D">
      <w:pPr>
        <w:widowControl w:val="0"/>
        <w:wordWrap/>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4A9FE4C8">
      <w:pPr>
        <w:widowControl w:val="0"/>
        <w:wordWrap/>
        <w:spacing w:line="560" w:lineRule="exact"/>
        <w:ind w:firstLine="643" w:firstLineChars="20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332EA6EA">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根据《四川省财政厅四川省人社资源社会保障厅关于下达提前下达2023年中央和省级就业创业补助资金预算指标的通知》（川财社﹝2022﹞147号），开展各项资金的申报及拨付工作。</w:t>
      </w:r>
    </w:p>
    <w:p w14:paraId="15571016">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中心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1069F1DB">
      <w:pPr>
        <w:widowControl w:val="0"/>
        <w:wordWrap/>
        <w:spacing w:line="560" w:lineRule="exact"/>
        <w:ind w:firstLine="640" w:firstLineChars="200"/>
        <w:textAlignment w:val="auto"/>
        <w:outlineLvl w:val="0"/>
        <w:rPr>
          <w:rFonts w:hint="default" w:ascii="Times New Roman" w:hAnsi="Times New Roman" w:eastAsia="楷体_GB2312" w:cs="Times New Roman"/>
          <w:sz w:val="32"/>
          <w:szCs w:val="32"/>
          <w:lang w:val="zh-CN"/>
        </w:rPr>
      </w:pPr>
      <w:bookmarkStart w:id="105" w:name="_Toc8534"/>
      <w:bookmarkStart w:id="106" w:name="_Toc11390"/>
      <w:r>
        <w:rPr>
          <w:rFonts w:hint="default" w:ascii="Times New Roman" w:hAnsi="Times New Roman" w:eastAsia="楷体_GB2312" w:cs="Times New Roman"/>
          <w:sz w:val="32"/>
          <w:szCs w:val="32"/>
          <w:lang w:val="zh-CN"/>
        </w:rPr>
        <w:t>3.项目实施。</w:t>
      </w:r>
      <w:bookmarkEnd w:id="105"/>
      <w:bookmarkEnd w:id="106"/>
    </w:p>
    <w:p w14:paraId="7CAC3CD2">
      <w:pPr>
        <w:widowControl w:val="0"/>
        <w:wordWrap/>
        <w:spacing w:line="560" w:lineRule="exact"/>
        <w:ind w:firstLine="640" w:firstLineChars="200"/>
        <w:textAlignment w:val="auto"/>
        <w:outlineLvl w:val="0"/>
        <w:rPr>
          <w:rFonts w:hint="default" w:ascii="Times New Roman" w:hAnsi="Times New Roman" w:eastAsia="仿宋_GB2312" w:cs="Times New Roman"/>
          <w:sz w:val="32"/>
          <w:szCs w:val="32"/>
        </w:rPr>
      </w:pPr>
      <w:bookmarkStart w:id="107" w:name="_Toc22259"/>
      <w:bookmarkStart w:id="108" w:name="_Toc3947"/>
      <w:r>
        <w:rPr>
          <w:rFonts w:hint="default" w:ascii="Times New Roman" w:hAnsi="Times New Roman" w:eastAsia="仿宋_GB2312" w:cs="Times New Roman"/>
          <w:sz w:val="32"/>
          <w:szCs w:val="32"/>
        </w:rPr>
        <w:t>（1）对补贴资料申报审核实行“四级联审”制度，而外部实行“逐级审核”制度。申报审批流程规范，做到系统内部和系统外部实现相互之间的有效监督和制约。</w:t>
      </w:r>
      <w:bookmarkEnd w:id="107"/>
      <w:bookmarkEnd w:id="108"/>
    </w:p>
    <w:p w14:paraId="3F26F133">
      <w:pPr>
        <w:widowControl w:val="0"/>
        <w:wordWrap/>
        <w:spacing w:line="560" w:lineRule="exact"/>
        <w:ind w:firstLine="640" w:firstLineChars="200"/>
        <w:textAlignment w:val="auto"/>
        <w:outlineLvl w:val="0"/>
        <w:rPr>
          <w:rFonts w:hint="default" w:ascii="Times New Roman" w:hAnsi="Times New Roman" w:eastAsia="仿宋_GB2312" w:cs="Times New Roman"/>
          <w:sz w:val="32"/>
          <w:szCs w:val="32"/>
        </w:rPr>
      </w:pPr>
      <w:bookmarkStart w:id="109" w:name="_Toc8764"/>
      <w:bookmarkStart w:id="110" w:name="_Toc30687"/>
      <w:r>
        <w:rPr>
          <w:rFonts w:hint="default" w:ascii="Times New Roman" w:hAnsi="Times New Roman" w:eastAsia="仿宋_GB2312" w:cs="Times New Roman"/>
          <w:sz w:val="32"/>
          <w:szCs w:val="32"/>
        </w:rPr>
        <w:t>2.建立健全了就业创业补助资金监督、管理、统计制度。对各项补贴审核、拨付严格按照工作业务流程及风险防控体系落实就业政策。</w:t>
      </w:r>
      <w:bookmarkEnd w:id="109"/>
      <w:bookmarkEnd w:id="110"/>
    </w:p>
    <w:p w14:paraId="56CF3EDA">
      <w:pPr>
        <w:widowControl w:val="0"/>
        <w:wordWrap/>
        <w:spacing w:line="560" w:lineRule="exact"/>
        <w:ind w:firstLine="640" w:firstLineChars="200"/>
        <w:textAlignment w:val="auto"/>
        <w:outlineLvl w:val="0"/>
        <w:rPr>
          <w:rFonts w:hint="default" w:ascii="Times New Roman" w:hAnsi="Times New Roman" w:eastAsia="仿宋_GB2312" w:cs="Times New Roman"/>
          <w:sz w:val="32"/>
          <w:szCs w:val="32"/>
        </w:rPr>
      </w:pPr>
      <w:bookmarkStart w:id="111" w:name="_Toc5464"/>
      <w:bookmarkStart w:id="112" w:name="_Toc2845"/>
      <w:r>
        <w:rPr>
          <w:rFonts w:hint="default" w:ascii="Times New Roman" w:hAnsi="Times New Roman" w:eastAsia="仿宋_GB2312" w:cs="Times New Roman"/>
          <w:sz w:val="32"/>
          <w:szCs w:val="32"/>
        </w:rPr>
        <w:t>3.公开各项补贴申报、审批工作流程，对申报单位及相关申报材料进行公示；设立群众举报电话和信箱，公开资金使用问题反映的联系方式，公布就业创业补助资金支出项目、金额等情况，接受群众的广泛监督。</w:t>
      </w:r>
      <w:bookmarkEnd w:id="111"/>
      <w:bookmarkEnd w:id="112"/>
    </w:p>
    <w:p w14:paraId="3F8196F6">
      <w:pPr>
        <w:widowControl w:val="0"/>
        <w:wordWrap/>
        <w:spacing w:line="560" w:lineRule="exact"/>
        <w:ind w:firstLine="640" w:firstLineChars="200"/>
        <w:textAlignment w:val="auto"/>
        <w:outlineLvl w:val="0"/>
        <w:rPr>
          <w:rFonts w:hint="default" w:ascii="Times New Roman" w:hAnsi="Times New Roman" w:eastAsia="仿宋_GB2312" w:cs="Times New Roman"/>
          <w:sz w:val="32"/>
          <w:szCs w:val="32"/>
        </w:rPr>
      </w:pPr>
      <w:bookmarkStart w:id="113" w:name="_Toc32128"/>
      <w:bookmarkStart w:id="114" w:name="_Toc24144"/>
      <w:r>
        <w:rPr>
          <w:rFonts w:hint="default" w:ascii="Times New Roman" w:hAnsi="Times New Roman" w:eastAsia="仿宋_GB2312" w:cs="Times New Roman"/>
          <w:sz w:val="32"/>
          <w:szCs w:val="32"/>
        </w:rPr>
        <w:t>4.规范各项补贴业务的操作程序，有效利用就业服务管理信息系统实现对各项补贴业务流程的管理，简化群众办事程序，提高工作效率。</w:t>
      </w:r>
      <w:bookmarkEnd w:id="113"/>
      <w:bookmarkEnd w:id="114"/>
    </w:p>
    <w:p w14:paraId="6669FF65">
      <w:pPr>
        <w:widowControl w:val="0"/>
        <w:wordWrap/>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rPr>
        <w:t>职业培训补贴发放准确率，接受职业培训后取得职业资格证书（或专项能力证书、培训合格证书）人员的比率，公益性岗位补贴发放率，就业见习补贴发放率，求职创业补贴发放率均达到100%。</w:t>
      </w:r>
    </w:p>
    <w:p w14:paraId="3F0BBD3A">
      <w:pPr>
        <w:widowControl w:val="0"/>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60CAFC9D">
      <w:pPr>
        <w:widowControl w:val="0"/>
        <w:wordWrap/>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rPr>
        <w:t>完成全县相关就业创业工作，促进城镇新增就业2652人，控制我县城镇登记失业率在3.58%,高校毕业生总体就业率保持基本稳定，城镇失业人员再就业810人，就业困难人员就业130人。</w:t>
      </w:r>
    </w:p>
    <w:p w14:paraId="7A3F4905">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rPr>
        <w:t>就业创业补助资金兑现了现行各项就业创业政策，促进全市城镇新增就业、城镇失业人员再就业、就业困难人员就业工作开展，帮助创业人员实施创业项目</w:t>
      </w:r>
      <w:r>
        <w:rPr>
          <w:rFonts w:hint="default" w:ascii="Times New Roman" w:hAnsi="Times New Roman" w:eastAsia="仿宋_GB2312" w:cs="Times New Roman"/>
          <w:sz w:val="32"/>
          <w:szCs w:val="32"/>
          <w:lang w:val="zh-CN"/>
        </w:rPr>
        <w:t>。</w:t>
      </w:r>
    </w:p>
    <w:p w14:paraId="45904E62">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不涉及该项。</w:t>
      </w:r>
    </w:p>
    <w:p w14:paraId="793721C4">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不涉及该项。</w:t>
      </w:r>
    </w:p>
    <w:p w14:paraId="7C1C2B91">
      <w:pPr>
        <w:widowControl w:val="0"/>
        <w:wordWrap/>
        <w:spacing w:line="560" w:lineRule="exact"/>
        <w:ind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未设定个性指标。</w:t>
      </w:r>
    </w:p>
    <w:p w14:paraId="3C10B457">
      <w:pPr>
        <w:widowControl w:val="0"/>
        <w:wordWrap/>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33BD6094">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项目实施严格按照上级下达目标开展工作，通过制定实施方案，确定人员、流程、资金、完成时间等多项重要内容，确保目标任务按时按量完成。加强财务管理、保证资金安全性和效益性的重要抓手，细化工作责任，确保专项资金绩效评价工作达到预期目的。</w:t>
      </w:r>
    </w:p>
    <w:p w14:paraId="33615CF5">
      <w:pPr>
        <w:widowControl w:val="0"/>
        <w:wordWrap/>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77167976">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未在受益群众中全面、全覆盖组织开展满意度调查</w:t>
      </w:r>
      <w:r>
        <w:rPr>
          <w:rFonts w:hint="default" w:ascii="Times New Roman" w:hAnsi="Times New Roman" w:eastAsia="仿宋_GB2312" w:cs="Times New Roman"/>
          <w:kern w:val="0"/>
          <w:sz w:val="32"/>
          <w:szCs w:val="32"/>
        </w:rPr>
        <w:t>。主要原因为：该项工作受益对象基数大，覆盖人数较多，涉及地域较广，安排全覆盖满意度专项调查较为困难</w:t>
      </w:r>
      <w:r>
        <w:rPr>
          <w:rFonts w:hint="default" w:ascii="Times New Roman" w:hAnsi="Times New Roman" w:eastAsia="仿宋_GB2312" w:cs="Times New Roman"/>
          <w:sz w:val="32"/>
          <w:szCs w:val="32"/>
          <w:lang w:val="zh-CN"/>
        </w:rPr>
        <w:t>。</w:t>
      </w:r>
    </w:p>
    <w:p w14:paraId="18ABDEF9">
      <w:pPr>
        <w:widowControl w:val="0"/>
        <w:wordWrap/>
        <w:spacing w:line="560" w:lineRule="exact"/>
        <w:ind w:firstLine="640" w:firstLineChars="200"/>
        <w:textAlignment w:val="auto"/>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41C641CF">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在每一次下乡工作中，积极进行该工作的满意度调查，扩大</w:t>
      </w:r>
      <w:r>
        <w:rPr>
          <w:rFonts w:hint="default" w:ascii="Times New Roman" w:hAnsi="Times New Roman" w:eastAsia="仿宋_GB2312" w:cs="Times New Roman"/>
          <w:kern w:val="0"/>
          <w:sz w:val="32"/>
          <w:szCs w:val="32"/>
        </w:rPr>
        <w:t>满意度调查的覆盖率</w:t>
      </w:r>
      <w:r>
        <w:rPr>
          <w:rFonts w:hint="default" w:ascii="Times New Roman" w:hAnsi="Times New Roman" w:eastAsia="仿宋_GB2312" w:cs="Times New Roman"/>
          <w:sz w:val="32"/>
          <w:szCs w:val="32"/>
          <w:lang w:val="zh-CN"/>
        </w:rPr>
        <w:t>。</w:t>
      </w:r>
    </w:p>
    <w:p w14:paraId="10472F41">
      <w:pPr>
        <w:widowControl w:val="0"/>
        <w:wordWrap/>
        <w:spacing w:line="560" w:lineRule="exact"/>
        <w:ind w:firstLine="640" w:firstLineChars="200"/>
        <w:textAlignment w:val="auto"/>
        <w:rPr>
          <w:rFonts w:hint="default" w:ascii="Times New Roman" w:hAnsi="Times New Roman" w:eastAsia="仿宋_GB2312" w:cs="Times New Roman"/>
          <w:sz w:val="32"/>
          <w:szCs w:val="32"/>
          <w:lang w:val="zh-CN"/>
        </w:rPr>
      </w:pPr>
    </w:p>
    <w:p w14:paraId="67E6B5C6">
      <w:pPr>
        <w:pStyle w:val="2"/>
        <w:jc w:val="center"/>
        <w:rPr>
          <w:rFonts w:hint="default" w:ascii="Times New Roman" w:hAnsi="Times New Roman" w:eastAsia="黑体" w:cs="Times New Roman"/>
        </w:rPr>
      </w:pPr>
      <w:bookmarkStart w:id="115" w:name="_Toc11313"/>
      <w:r>
        <w:rPr>
          <w:rFonts w:hint="default" w:ascii="Times New Roman" w:hAnsi="Times New Roman" w:eastAsia="黑体" w:cs="Times New Roman"/>
          <w:b w:val="0"/>
          <w:bCs w:val="0"/>
        </w:rPr>
        <w:t>第五部分附表</w:t>
      </w:r>
      <w:bookmarkEnd w:id="115"/>
    </w:p>
    <w:p w14:paraId="04E65C27">
      <w:pPr>
        <w:pStyle w:val="3"/>
        <w:rPr>
          <w:rStyle w:val="33"/>
          <w:rFonts w:hint="default" w:ascii="Times New Roman" w:hAnsi="Times New Roman" w:eastAsia="仿宋" w:cs="Times New Roman"/>
          <w:b w:val="0"/>
          <w:bCs w:val="0"/>
        </w:rPr>
      </w:pPr>
      <w:bookmarkStart w:id="116" w:name="_Toc12291"/>
      <w:r>
        <w:rPr>
          <w:rStyle w:val="33"/>
          <w:rFonts w:hint="default" w:ascii="Times New Roman" w:hAnsi="Times New Roman" w:eastAsia="仿宋" w:cs="Times New Roman"/>
          <w:b w:val="0"/>
          <w:bCs w:val="0"/>
        </w:rPr>
        <w:t>一、收入支出决算总表</w:t>
      </w:r>
      <w:bookmarkEnd w:id="116"/>
    </w:p>
    <w:p w14:paraId="512A5A6F">
      <w:pPr>
        <w:pStyle w:val="3"/>
        <w:rPr>
          <w:rStyle w:val="33"/>
          <w:rFonts w:hint="default" w:ascii="Times New Roman" w:hAnsi="Times New Roman" w:eastAsia="仿宋" w:cs="Times New Roman"/>
          <w:b w:val="0"/>
          <w:bCs w:val="0"/>
        </w:rPr>
      </w:pPr>
      <w:bookmarkStart w:id="117" w:name="_Toc20627"/>
      <w:r>
        <w:rPr>
          <w:rStyle w:val="33"/>
          <w:rFonts w:hint="default" w:ascii="Times New Roman" w:hAnsi="Times New Roman" w:eastAsia="仿宋" w:cs="Times New Roman"/>
          <w:b w:val="0"/>
          <w:bCs w:val="0"/>
        </w:rPr>
        <w:t>二、收入决算表</w:t>
      </w:r>
      <w:bookmarkEnd w:id="117"/>
    </w:p>
    <w:p w14:paraId="6EBADB64">
      <w:pPr>
        <w:pStyle w:val="3"/>
        <w:rPr>
          <w:rStyle w:val="33"/>
          <w:rFonts w:hint="default" w:ascii="Times New Roman" w:hAnsi="Times New Roman" w:eastAsia="仿宋" w:cs="Times New Roman"/>
          <w:b w:val="0"/>
          <w:bCs w:val="0"/>
        </w:rPr>
      </w:pPr>
      <w:bookmarkStart w:id="118" w:name="_Toc6078"/>
      <w:r>
        <w:rPr>
          <w:rStyle w:val="33"/>
          <w:rFonts w:hint="default" w:ascii="Times New Roman" w:hAnsi="Times New Roman" w:eastAsia="仿宋" w:cs="Times New Roman"/>
          <w:b w:val="0"/>
          <w:bCs w:val="0"/>
        </w:rPr>
        <w:t>三、支出决算表</w:t>
      </w:r>
      <w:bookmarkEnd w:id="118"/>
    </w:p>
    <w:p w14:paraId="11D0AE42">
      <w:pPr>
        <w:pStyle w:val="3"/>
        <w:rPr>
          <w:rStyle w:val="33"/>
          <w:rFonts w:hint="default" w:ascii="Times New Roman" w:hAnsi="Times New Roman" w:eastAsia="仿宋" w:cs="Times New Roman"/>
          <w:b w:val="0"/>
          <w:bCs w:val="0"/>
        </w:rPr>
      </w:pPr>
      <w:bookmarkStart w:id="119" w:name="_Toc216"/>
      <w:r>
        <w:rPr>
          <w:rStyle w:val="33"/>
          <w:rFonts w:hint="default" w:ascii="Times New Roman" w:hAnsi="Times New Roman" w:eastAsia="仿宋" w:cs="Times New Roman"/>
          <w:b w:val="0"/>
          <w:bCs w:val="0"/>
        </w:rPr>
        <w:t>四、财政拨款收入支出决算总表</w:t>
      </w:r>
      <w:bookmarkEnd w:id="119"/>
    </w:p>
    <w:p w14:paraId="5AA68CA1">
      <w:pPr>
        <w:pStyle w:val="3"/>
        <w:rPr>
          <w:rStyle w:val="33"/>
          <w:rFonts w:hint="default" w:ascii="Times New Roman" w:hAnsi="Times New Roman" w:eastAsia="仿宋" w:cs="Times New Roman"/>
          <w:b w:val="0"/>
          <w:bCs w:val="0"/>
        </w:rPr>
      </w:pPr>
      <w:bookmarkStart w:id="120" w:name="_Toc7723"/>
      <w:r>
        <w:rPr>
          <w:rStyle w:val="33"/>
          <w:rFonts w:hint="default" w:ascii="Times New Roman" w:hAnsi="Times New Roman" w:eastAsia="仿宋" w:cs="Times New Roman"/>
          <w:b w:val="0"/>
          <w:bCs w:val="0"/>
        </w:rPr>
        <w:t>五、财政拨款支出决算明细表</w:t>
      </w:r>
      <w:bookmarkEnd w:id="120"/>
    </w:p>
    <w:p w14:paraId="53B4AB77">
      <w:pPr>
        <w:pStyle w:val="3"/>
        <w:rPr>
          <w:rStyle w:val="33"/>
          <w:rFonts w:hint="default" w:ascii="Times New Roman" w:hAnsi="Times New Roman" w:eastAsia="仿宋" w:cs="Times New Roman"/>
          <w:b w:val="0"/>
          <w:bCs w:val="0"/>
        </w:rPr>
      </w:pPr>
      <w:bookmarkStart w:id="121" w:name="_Toc16127"/>
      <w:r>
        <w:rPr>
          <w:rStyle w:val="33"/>
          <w:rFonts w:hint="default" w:ascii="Times New Roman" w:hAnsi="Times New Roman" w:eastAsia="仿宋" w:cs="Times New Roman"/>
          <w:b w:val="0"/>
          <w:bCs w:val="0"/>
        </w:rPr>
        <w:t>六、一般公共预算财政拨款支出决算表</w:t>
      </w:r>
      <w:bookmarkEnd w:id="121"/>
    </w:p>
    <w:p w14:paraId="5A441C62">
      <w:pPr>
        <w:pStyle w:val="3"/>
        <w:rPr>
          <w:rStyle w:val="33"/>
          <w:rFonts w:hint="default" w:ascii="Times New Roman" w:hAnsi="Times New Roman" w:eastAsia="仿宋" w:cs="Times New Roman"/>
          <w:b w:val="0"/>
          <w:bCs w:val="0"/>
        </w:rPr>
      </w:pPr>
      <w:bookmarkStart w:id="122" w:name="_Toc10763"/>
      <w:r>
        <w:rPr>
          <w:rStyle w:val="33"/>
          <w:rFonts w:hint="default" w:ascii="Times New Roman" w:hAnsi="Times New Roman" w:eastAsia="仿宋" w:cs="Times New Roman"/>
          <w:b w:val="0"/>
          <w:bCs w:val="0"/>
        </w:rPr>
        <w:t>七、一般公共预算财政拨款支出决算明细表</w:t>
      </w:r>
      <w:bookmarkEnd w:id="122"/>
    </w:p>
    <w:p w14:paraId="67E828E2">
      <w:pPr>
        <w:pStyle w:val="3"/>
        <w:rPr>
          <w:rStyle w:val="33"/>
          <w:rFonts w:hint="default" w:ascii="Times New Roman" w:hAnsi="Times New Roman" w:eastAsia="仿宋" w:cs="Times New Roman"/>
          <w:b w:val="0"/>
          <w:bCs w:val="0"/>
        </w:rPr>
      </w:pPr>
      <w:bookmarkStart w:id="123" w:name="_Toc6271"/>
      <w:r>
        <w:rPr>
          <w:rStyle w:val="33"/>
          <w:rFonts w:hint="default" w:ascii="Times New Roman" w:hAnsi="Times New Roman" w:eastAsia="仿宋" w:cs="Times New Roman"/>
          <w:b w:val="0"/>
          <w:bCs w:val="0"/>
        </w:rPr>
        <w:t>八、一般公共预算财政拨款基本支出决算表</w:t>
      </w:r>
      <w:bookmarkEnd w:id="123"/>
    </w:p>
    <w:p w14:paraId="19793D01">
      <w:pPr>
        <w:pStyle w:val="3"/>
        <w:rPr>
          <w:rStyle w:val="33"/>
          <w:rFonts w:hint="default" w:ascii="Times New Roman" w:hAnsi="Times New Roman" w:eastAsia="仿宋" w:cs="Times New Roman"/>
          <w:b w:val="0"/>
          <w:bCs w:val="0"/>
        </w:rPr>
      </w:pPr>
      <w:bookmarkStart w:id="124" w:name="_Toc13771"/>
      <w:r>
        <w:rPr>
          <w:rStyle w:val="33"/>
          <w:rFonts w:hint="default" w:ascii="Times New Roman" w:hAnsi="Times New Roman" w:eastAsia="仿宋" w:cs="Times New Roman"/>
          <w:b w:val="0"/>
          <w:bCs w:val="0"/>
        </w:rPr>
        <w:t>九、一般公共预算财政拨款项目支出决算表</w:t>
      </w:r>
      <w:bookmarkEnd w:id="124"/>
    </w:p>
    <w:p w14:paraId="2E6BA748">
      <w:pPr>
        <w:pStyle w:val="3"/>
        <w:rPr>
          <w:rStyle w:val="33"/>
          <w:rFonts w:hint="default" w:ascii="Times New Roman" w:hAnsi="Times New Roman" w:eastAsia="仿宋" w:cs="Times New Roman"/>
          <w:b w:val="0"/>
          <w:bCs w:val="0"/>
        </w:rPr>
      </w:pPr>
      <w:bookmarkStart w:id="125" w:name="_Toc32152"/>
      <w:r>
        <w:rPr>
          <w:rStyle w:val="33"/>
          <w:rFonts w:hint="default" w:ascii="Times New Roman" w:hAnsi="Times New Roman" w:eastAsia="仿宋" w:cs="Times New Roman"/>
          <w:b w:val="0"/>
          <w:bCs w:val="0"/>
        </w:rPr>
        <w:t>十、政府性基金预算财政拨款收入支出决算表</w:t>
      </w:r>
      <w:bookmarkEnd w:id="125"/>
    </w:p>
    <w:p w14:paraId="56D70C3D">
      <w:pPr>
        <w:pStyle w:val="3"/>
        <w:rPr>
          <w:rStyle w:val="33"/>
          <w:rFonts w:hint="default" w:ascii="Times New Roman" w:hAnsi="Times New Roman" w:eastAsia="仿宋" w:cs="Times New Roman"/>
          <w:b w:val="0"/>
          <w:bCs w:val="0"/>
        </w:rPr>
      </w:pPr>
      <w:bookmarkStart w:id="126" w:name="_Toc31250"/>
      <w:r>
        <w:rPr>
          <w:rStyle w:val="33"/>
          <w:rFonts w:hint="default" w:ascii="Times New Roman" w:hAnsi="Times New Roman" w:eastAsia="仿宋" w:cs="Times New Roman"/>
          <w:b w:val="0"/>
          <w:bCs w:val="0"/>
        </w:rPr>
        <w:t>十一、国有资本经营预算财政拨款收入支出决算表</w:t>
      </w:r>
      <w:bookmarkEnd w:id="126"/>
    </w:p>
    <w:p w14:paraId="30145366">
      <w:pPr>
        <w:pStyle w:val="3"/>
        <w:rPr>
          <w:rStyle w:val="33"/>
          <w:rFonts w:hint="default" w:ascii="Times New Roman" w:hAnsi="Times New Roman" w:eastAsia="仿宋" w:cs="Times New Roman"/>
          <w:b w:val="0"/>
          <w:bCs w:val="0"/>
        </w:rPr>
      </w:pPr>
      <w:bookmarkStart w:id="127" w:name="_Toc12339"/>
      <w:r>
        <w:rPr>
          <w:rStyle w:val="33"/>
          <w:rFonts w:hint="default" w:ascii="Times New Roman" w:hAnsi="Times New Roman" w:eastAsia="仿宋" w:cs="Times New Roman"/>
          <w:b w:val="0"/>
          <w:bCs w:val="0"/>
        </w:rPr>
        <w:t>十二、国有资本经营预算财政拨款支出决算表</w:t>
      </w:r>
      <w:bookmarkEnd w:id="127"/>
    </w:p>
    <w:p w14:paraId="3C227A49">
      <w:pPr>
        <w:pStyle w:val="3"/>
        <w:rPr>
          <w:rStyle w:val="33"/>
          <w:rFonts w:hint="default" w:ascii="Times New Roman" w:hAnsi="Times New Roman" w:eastAsia="仿宋" w:cs="Times New Roman"/>
          <w:b w:val="0"/>
          <w:bCs w:val="0"/>
        </w:rPr>
      </w:pPr>
      <w:bookmarkStart w:id="128" w:name="_Toc21906"/>
      <w:r>
        <w:rPr>
          <w:rStyle w:val="33"/>
          <w:rFonts w:hint="default" w:ascii="Times New Roman" w:hAnsi="Times New Roman" w:eastAsia="仿宋" w:cs="Times New Roman"/>
          <w:b w:val="0"/>
          <w:bCs w:val="0"/>
        </w:rPr>
        <w:t>十三、财政拨款“三公”经费支出决算表</w:t>
      </w:r>
      <w:bookmarkEnd w:id="128"/>
    </w:p>
    <w:sectPr>
      <w:footerReference r:id="rId4" w:type="first"/>
      <w:footerReference r:id="rId3" w:type="default"/>
      <w:pgSz w:w="11906" w:h="16838"/>
      <w:pgMar w:top="1440" w:right="1800" w:bottom="1440"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0F71A">
    <w:pPr>
      <w:pStyle w:val="10"/>
    </w:pPr>
    <w:r>
      <w:rPr>
        <w:rFonts w:ascii="Calibri" w:hAnsi="Calibri" w:eastAsia="宋体" w:cs="Times New Roman"/>
        <w:kern w:val="0"/>
        <w:sz w:val="18"/>
        <w:szCs w:val="18"/>
        <w:lang w:val="en-US" w:eastAsia="zh-CN" w:bidi="ar-SA"/>
      </w:rPr>
      <w:pict>
        <v:shape id="文本框10" o:spid="_x0000_s2050" o:spt="202" type="#_x0000_t202"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74D83EB3">
                <w:pPr>
                  <w:snapToGrid w:val="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A7003">
    <w:pPr>
      <w:pStyle w:val="10"/>
    </w:pPr>
    <w:r>
      <w:rPr>
        <w:rFonts w:ascii="Calibri" w:hAnsi="Calibri" w:eastAsia="宋体" w:cs="Times New Roman"/>
        <w:kern w:val="0"/>
        <w:sz w:val="18"/>
        <w:szCs w:val="18"/>
        <w:lang w:val="en-US" w:eastAsia="zh-CN" w:bidi="ar-SA"/>
      </w:rPr>
      <w:pict>
        <v:shape id="文本框11" o:spid="_x0000_s2049" o:spt="202" type="#_x0000_t202" style="position:absolute;left:0pt;margin-top:0pt;height:144pt;width:144pt;mso-position-horizontal:outside;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027383C2">
                <w:pPr>
                  <w:snapToGrid w:val="0"/>
                  <w:rPr>
                    <w:sz w:val="18"/>
                  </w:rPr>
                </w:pPr>
                <w:r>
                  <w:rPr>
                    <w:sz w:val="18"/>
                  </w:rPr>
                  <w:t xml:space="preserve">—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6710DE17"/>
    <w:multiLevelType w:val="singleLevel"/>
    <w:tmpl w:val="6710DE17"/>
    <w:lvl w:ilvl="0" w:tentative="0">
      <w:start w:val="3"/>
      <w:numFmt w:val="chineseCounting"/>
      <w:suff w:val="nothing"/>
      <w:lvlText w:val="（%1）"/>
      <w:lvlJc w:val="left"/>
    </w:lvl>
  </w:abstractNum>
  <w:abstractNum w:abstractNumId="3">
    <w:nsid w:val="6710DF9B"/>
    <w:multiLevelType w:val="singleLevel"/>
    <w:tmpl w:val="6710DF9B"/>
    <w:lvl w:ilvl="0" w:tentative="0">
      <w:start w:val="3"/>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jAwY2Q1NjEwNjQ4YWZlY2VmYWNmMWJhNTFjYTcwMzAifQ=="/>
  </w:docVars>
  <w:rsids>
    <w:rsidRoot w:val="00000000"/>
    <w:rsid w:val="5DD30D5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3"/>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Body Text"/>
    <w:basedOn w:val="1"/>
    <w:link w:val="31"/>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semiHidden/>
    <w:unhideWhenUsed/>
    <w:qFormat/>
    <w:uiPriority w:val="0"/>
    <w:rPr>
      <w:rFonts w:ascii="宋体" w:hAnsi="Courier New"/>
    </w:rPr>
  </w:style>
  <w:style w:type="paragraph" w:styleId="9">
    <w:name w:val="Balloon Text"/>
    <w:basedOn w:val="1"/>
    <w:link w:val="34"/>
    <w:semiHidden/>
    <w:unhideWhenUsed/>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6"/>
    <w:unhideWhenUsed/>
    <w:qFormat/>
    <w:uiPriority w:val="99"/>
    <w:pPr>
      <w:ind w:firstLine="420" w:firstLineChars="200"/>
    </w:pPr>
  </w:style>
  <w:style w:type="character" w:styleId="17">
    <w:name w:val="Strong"/>
    <w:qFormat/>
    <w:uiPriority w:val="99"/>
    <w:rPr>
      <w:b/>
    </w:rPr>
  </w:style>
  <w:style w:type="character" w:styleId="18">
    <w:name w:val="Hyperlink"/>
    <w:unhideWhenUsed/>
    <w:qFormat/>
    <w:uiPriority w:val="99"/>
    <w:rPr>
      <w:color w:val="0000FF"/>
      <w:u w:val="single"/>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customStyle="1" w:styleId="20">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1">
    <w:name w:val="列出段落1"/>
    <w:basedOn w:val="1"/>
    <w:qFormat/>
    <w:uiPriority w:val="34"/>
    <w:pPr>
      <w:ind w:firstLine="420" w:firstLineChars="200"/>
    </w:pPr>
  </w:style>
  <w:style w:type="paragraph" w:customStyle="1" w:styleId="22">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3">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4">
    <w:name w:val="四号正文"/>
    <w:basedOn w:val="1"/>
    <w:qFormat/>
    <w:uiPriority w:val="0"/>
    <w:pPr>
      <w:spacing w:line="360" w:lineRule="auto"/>
    </w:pPr>
    <w:rPr>
      <w:rFonts w:ascii="??" w:hAnsi="??"/>
      <w:color w:val="000000"/>
      <w:kern w:val="0"/>
      <w:sz w:val="28"/>
      <w:szCs w:val="21"/>
      <w:lang w:val="zh-CN"/>
    </w:rPr>
  </w:style>
  <w:style w:type="paragraph" w:customStyle="1" w:styleId="25">
    <w:name w:val="p0"/>
    <w:basedOn w:val="1"/>
    <w:qFormat/>
    <w:uiPriority w:val="99"/>
    <w:pPr>
      <w:widowControl/>
    </w:pPr>
    <w:rPr>
      <w:kern w:val="0"/>
      <w:szCs w:val="21"/>
    </w:rPr>
  </w:style>
  <w:style w:type="character" w:customStyle="1" w:styleId="26">
    <w:name w:val="Header Char"/>
    <w:semiHidden/>
    <w:qFormat/>
    <w:uiPriority w:val="99"/>
    <w:rPr>
      <w:rFonts w:ascii="Times New Roman" w:hAnsi="Times New Roman"/>
      <w:sz w:val="18"/>
      <w:szCs w:val="18"/>
    </w:rPr>
  </w:style>
  <w:style w:type="character" w:customStyle="1" w:styleId="27">
    <w:name w:val="页眉 Char"/>
    <w:link w:val="11"/>
    <w:semiHidden/>
    <w:qFormat/>
    <w:locked/>
    <w:uiPriority w:val="99"/>
    <w:rPr>
      <w:sz w:val="18"/>
    </w:rPr>
  </w:style>
  <w:style w:type="character" w:customStyle="1" w:styleId="28">
    <w:name w:val="Footer Char"/>
    <w:semiHidden/>
    <w:qFormat/>
    <w:uiPriority w:val="99"/>
    <w:rPr>
      <w:rFonts w:ascii="Times New Roman" w:hAnsi="Times New Roman"/>
      <w:sz w:val="18"/>
      <w:szCs w:val="18"/>
    </w:rPr>
  </w:style>
  <w:style w:type="character" w:customStyle="1" w:styleId="29">
    <w:name w:val="页脚 Char"/>
    <w:link w:val="10"/>
    <w:qFormat/>
    <w:locked/>
    <w:uiPriority w:val="99"/>
    <w:rPr>
      <w:sz w:val="18"/>
    </w:rPr>
  </w:style>
  <w:style w:type="character" w:customStyle="1" w:styleId="30">
    <w:name w:val="Body Text Char"/>
    <w:semiHidden/>
    <w:qFormat/>
    <w:uiPriority w:val="99"/>
    <w:rPr>
      <w:rFonts w:ascii="Times New Roman" w:hAnsi="Times New Roman"/>
      <w:szCs w:val="24"/>
    </w:rPr>
  </w:style>
  <w:style w:type="character" w:customStyle="1" w:styleId="31">
    <w:name w:val="正文文本 Char"/>
    <w:link w:val="5"/>
    <w:qFormat/>
    <w:locked/>
    <w:uiPriority w:val="99"/>
    <w:rPr>
      <w:rFonts w:ascii="仿宋_GB2312" w:hAnsi="Times New Roman" w:eastAsia="仿宋_GB2312"/>
      <w:sz w:val="24"/>
    </w:rPr>
  </w:style>
  <w:style w:type="character" w:customStyle="1" w:styleId="32">
    <w:name w:val="标题 1 Char"/>
    <w:link w:val="2"/>
    <w:qFormat/>
    <w:uiPriority w:val="9"/>
    <w:rPr>
      <w:rFonts w:ascii="Times New Roman" w:hAnsi="Times New Roman"/>
      <w:b/>
      <w:bCs/>
      <w:kern w:val="44"/>
      <w:sz w:val="44"/>
      <w:szCs w:val="44"/>
    </w:rPr>
  </w:style>
  <w:style w:type="character" w:customStyle="1" w:styleId="33">
    <w:name w:val="标题 2 Char"/>
    <w:link w:val="3"/>
    <w:qFormat/>
    <w:uiPriority w:val="9"/>
    <w:rPr>
      <w:rFonts w:ascii="Cambria" w:hAnsi="Cambria" w:eastAsia="宋体" w:cs="黑体"/>
      <w:b/>
      <w:bCs/>
      <w:kern w:val="2"/>
      <w:sz w:val="32"/>
      <w:szCs w:val="32"/>
    </w:rPr>
  </w:style>
  <w:style w:type="character" w:customStyle="1" w:styleId="34">
    <w:name w:val="批注框文本 Char"/>
    <w:link w:val="9"/>
    <w:semiHidden/>
    <w:qFormat/>
    <w:uiPriority w:val="99"/>
    <w:rPr>
      <w:rFonts w:ascii="Times New Roman" w:hAnsi="Times New Roman"/>
      <w:kern w:val="2"/>
      <w:sz w:val="18"/>
      <w:szCs w:val="18"/>
    </w:rPr>
  </w:style>
  <w:style w:type="character" w:customStyle="1" w:styleId="35">
    <w:name w:val="标题 3 Char"/>
    <w:link w:val="4"/>
    <w:qFormat/>
    <w:uiPriority w:val="9"/>
    <w:rPr>
      <w:rFonts w:ascii="Times New Roman" w:hAnsi="Times New Roman"/>
      <w:b/>
      <w:bCs/>
      <w:kern w:val="2"/>
      <w:sz w:val="32"/>
      <w:szCs w:val="32"/>
    </w:rPr>
  </w:style>
  <w:style w:type="character" w:customStyle="1" w:styleId="36">
    <w:name w:val="15"/>
    <w:uiPriority w:val="99"/>
    <w:rPr>
      <w:rFonts w:ascii="Times New Roman" w:hAnsi="Times New Roman" w:cs="Times New Roman"/>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1028"/>
    <customShpInfo spid="_x0000_s1029"/>
    <customShpInfo spid="_x0000_s1030"/>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29</Pages>
  <Words>10305</Words>
  <Characters>11120</Characters>
  <Lines>92</Lines>
  <Paragraphs>25</Paragraphs>
  <TotalTime>0</TotalTime>
  <ScaleCrop>false</ScaleCrop>
  <LinksUpToDate>false</LinksUpToDate>
  <CharactersWithSpaces>11151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李富云</cp:lastModifiedBy>
  <cp:lastPrinted>2023-08-03T10:35:00Z</cp:lastPrinted>
  <dcterms:modified xsi:type="dcterms:W3CDTF">2024-11-06T02:11:04Z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992FB7844CAB4BF5ABA044EE2DC183DD_12</vt:lpwstr>
  </property>
</Properties>
</file>