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B44351">
      <w:pPr>
        <w:spacing w:line="600" w:lineRule="exact"/>
        <w:jc w:val="center"/>
        <w:outlineLvl w:val="0"/>
        <w:rPr>
          <w:rFonts w:eastAsia="方正小标宋简体"/>
          <w:sz w:val="72"/>
          <w:szCs w:val="72"/>
        </w:rPr>
      </w:pPr>
      <w:bookmarkStart w:id="0" w:name="_Toc15377425"/>
      <w:bookmarkStart w:id="1" w:name="_Toc15377193"/>
      <w:bookmarkStart w:id="2" w:name="_Toc15378441"/>
      <w:bookmarkStart w:id="3" w:name="_Toc15396475"/>
      <w:bookmarkStart w:id="4" w:name="_Toc15396597"/>
      <w:bookmarkStart w:id="5" w:name="_Toc15306267"/>
      <w:bookmarkStart w:id="57" w:name="_GoBack"/>
      <w:bookmarkEnd w:id="57"/>
    </w:p>
    <w:p w14:paraId="003630C2">
      <w:pPr>
        <w:pStyle w:val="6"/>
        <w:spacing w:before="93"/>
        <w:rPr>
          <w:rFonts w:ascii="Times New Roman"/>
        </w:rPr>
      </w:pPr>
    </w:p>
    <w:p w14:paraId="05FE4AD9">
      <w:pPr>
        <w:spacing w:line="600" w:lineRule="exact"/>
        <w:jc w:val="center"/>
        <w:outlineLvl w:val="0"/>
        <w:rPr>
          <w:rFonts w:eastAsia="方正小标宋简体"/>
          <w:sz w:val="72"/>
          <w:szCs w:val="72"/>
        </w:rPr>
      </w:pPr>
    </w:p>
    <w:p w14:paraId="2383DECD">
      <w:pPr>
        <w:spacing w:line="600" w:lineRule="exact"/>
        <w:jc w:val="center"/>
        <w:outlineLvl w:val="0"/>
        <w:rPr>
          <w:rFonts w:eastAsia="方正小标宋简体"/>
          <w:sz w:val="72"/>
          <w:szCs w:val="72"/>
        </w:rPr>
      </w:pPr>
    </w:p>
    <w:p w14:paraId="374FE467">
      <w:pPr>
        <w:adjustRightInd w:val="0"/>
        <w:snapToGrid w:val="0"/>
        <w:spacing w:line="360" w:lineRule="auto"/>
        <w:jc w:val="center"/>
        <w:outlineLvl w:val="0"/>
        <w:rPr>
          <w:rFonts w:eastAsia="方正小标宋简体"/>
          <w:sz w:val="72"/>
          <w:szCs w:val="72"/>
        </w:rPr>
      </w:pPr>
      <w:r>
        <w:rPr>
          <w:rFonts w:eastAsia="方正小标宋简体"/>
          <w:sz w:val="72"/>
          <w:szCs w:val="72"/>
        </w:rPr>
        <w:t>2023年度</w:t>
      </w:r>
      <w:bookmarkEnd w:id="0"/>
      <w:bookmarkEnd w:id="1"/>
      <w:bookmarkEnd w:id="2"/>
      <w:bookmarkEnd w:id="3"/>
      <w:bookmarkEnd w:id="4"/>
    </w:p>
    <w:bookmarkEnd w:id="5"/>
    <w:p w14:paraId="26EFC8F7">
      <w:pPr>
        <w:adjustRightInd w:val="0"/>
        <w:snapToGrid w:val="0"/>
        <w:spacing w:line="360" w:lineRule="auto"/>
        <w:jc w:val="center"/>
        <w:outlineLvl w:val="0"/>
        <w:rPr>
          <w:rFonts w:eastAsia="方正小标宋简体"/>
          <w:sz w:val="72"/>
          <w:szCs w:val="72"/>
        </w:rPr>
      </w:pPr>
      <w:bookmarkStart w:id="6" w:name="_Toc15396476"/>
      <w:bookmarkStart w:id="7" w:name="_Toc15377426"/>
      <w:bookmarkStart w:id="8" w:name="_Toc15396598"/>
      <w:bookmarkStart w:id="9" w:name="_Toc15306268"/>
      <w:bookmarkStart w:id="10" w:name="_Toc15378442"/>
      <w:bookmarkStart w:id="11" w:name="_Toc15377194"/>
      <w:r>
        <w:rPr>
          <w:rFonts w:eastAsia="方正小标宋简体"/>
          <w:sz w:val="72"/>
          <w:szCs w:val="72"/>
        </w:rPr>
        <w:t>中共盐边县委党校</w:t>
      </w:r>
    </w:p>
    <w:p w14:paraId="06859AF9">
      <w:pPr>
        <w:adjustRightInd w:val="0"/>
        <w:snapToGrid w:val="0"/>
        <w:spacing w:line="360" w:lineRule="auto"/>
        <w:jc w:val="center"/>
        <w:outlineLvl w:val="0"/>
        <w:rPr>
          <w:rFonts w:eastAsia="方正小标宋简体"/>
          <w:sz w:val="72"/>
          <w:szCs w:val="72"/>
        </w:rPr>
      </w:pPr>
      <w:r>
        <w:rPr>
          <w:rFonts w:eastAsia="方正小标宋简体"/>
          <w:sz w:val="72"/>
          <w:szCs w:val="72"/>
        </w:rPr>
        <w:t>部门决算</w:t>
      </w:r>
      <w:bookmarkEnd w:id="6"/>
      <w:bookmarkEnd w:id="7"/>
      <w:bookmarkEnd w:id="8"/>
      <w:bookmarkEnd w:id="9"/>
      <w:bookmarkEnd w:id="10"/>
      <w:bookmarkEnd w:id="11"/>
    </w:p>
    <w:p w14:paraId="2872492B">
      <w:pPr>
        <w:widowControl/>
        <w:jc w:val="center"/>
        <w:rPr>
          <w:rFonts w:eastAsia="黑体"/>
          <w:sz w:val="48"/>
          <w:szCs w:val="48"/>
        </w:rPr>
        <w:sectPr>
          <w:headerReference r:id="rId3" w:type="default"/>
          <w:footerReference r:id="rId4" w:type="default"/>
          <w:pgSz w:w="11906" w:h="16838"/>
          <w:pgMar w:top="2098" w:right="1474" w:bottom="1984" w:left="1587" w:header="851" w:footer="992" w:gutter="0"/>
          <w:pgNumType w:start="1"/>
          <w:cols w:space="0" w:num="1"/>
          <w:titlePg/>
          <w:docGrid w:type="lines" w:linePitch="312" w:charSpace="0"/>
        </w:sectPr>
      </w:pPr>
    </w:p>
    <w:p w14:paraId="36749990">
      <w:pPr>
        <w:widowControl/>
        <w:jc w:val="center"/>
        <w:rPr>
          <w:rFonts w:eastAsia="方正小标宋_GBK"/>
          <w:b/>
          <w:bCs/>
          <w:sz w:val="38"/>
          <w:szCs w:val="38"/>
        </w:rPr>
      </w:pPr>
      <w:r>
        <w:rPr>
          <w:rFonts w:eastAsia="方正小标宋_GBK"/>
          <w:b/>
          <w:bCs/>
          <w:sz w:val="38"/>
          <w:szCs w:val="38"/>
        </w:rPr>
        <w:t>目   录</w:t>
      </w:r>
    </w:p>
    <w:p w14:paraId="0161A832">
      <w:pPr>
        <w:widowControl/>
        <w:jc w:val="center"/>
        <w:rPr>
          <w:rFonts w:eastAsia="黑体"/>
          <w:sz w:val="28"/>
          <w:szCs w:val="28"/>
        </w:rPr>
      </w:pPr>
    </w:p>
    <w:p w14:paraId="71A66704">
      <w:pPr>
        <w:pStyle w:val="12"/>
        <w:spacing w:before="0" w:line="576" w:lineRule="exact"/>
        <w:rPr>
          <w:rFonts w:ascii="Times New Roman" w:hAnsi="Times New Roman" w:eastAsia="方正仿宋_GBK"/>
          <w:sz w:val="33"/>
          <w:szCs w:val="33"/>
        </w:rPr>
      </w:pPr>
      <w:r>
        <w:rPr>
          <w:rFonts w:ascii="Times New Roman" w:hAnsi="Times New Roman" w:eastAsia="方正仿宋_GBK"/>
          <w:sz w:val="33"/>
          <w:szCs w:val="33"/>
        </w:rPr>
        <w:t>公开时间：2023年10月28日</w:t>
      </w:r>
    </w:p>
    <w:p w14:paraId="579FB028">
      <w:pPr>
        <w:spacing w:line="576" w:lineRule="exact"/>
        <w:rPr>
          <w:rFonts w:eastAsia="方正仿宋_GBK"/>
          <w:sz w:val="33"/>
          <w:szCs w:val="33"/>
        </w:rPr>
      </w:pPr>
    </w:p>
    <w:p w14:paraId="23E85EEB">
      <w:pPr>
        <w:pStyle w:val="12"/>
        <w:adjustRightInd w:val="0"/>
        <w:snapToGrid w:val="0"/>
        <w:spacing w:before="0" w:line="576" w:lineRule="exact"/>
        <w:jc w:val="left"/>
        <w:rPr>
          <w:rFonts w:ascii="Times New Roman" w:hAnsi="Times New Roman" w:eastAsia="方正仿宋_GBK"/>
          <w:sz w:val="33"/>
          <w:szCs w:val="33"/>
        </w:rPr>
      </w:pPr>
      <w:r>
        <w:rPr>
          <w:rFonts w:ascii="Times New Roman" w:hAnsi="Times New Roman" w:eastAsia="方正仿宋_GBK"/>
          <w:b/>
          <w:bCs/>
          <w:sz w:val="33"/>
          <w:szCs w:val="33"/>
        </w:rPr>
        <w:t>第一部分 部门概况</w:t>
      </w:r>
      <w:r>
        <w:rPr>
          <w:rFonts w:ascii="Times New Roman" w:hAnsi="Times New Roman" w:eastAsia="方正仿宋_GBK"/>
          <w:sz w:val="33"/>
          <w:szCs w:val="33"/>
        </w:rPr>
        <w:ptab w:relativeTo="margin" w:alignment="right" w:leader="dot"/>
      </w:r>
      <w:r>
        <w:rPr>
          <w:rFonts w:ascii="Times New Roman" w:hAnsi="Times New Roman" w:eastAsia="方正仿宋_GBK"/>
          <w:sz w:val="33"/>
          <w:szCs w:val="33"/>
        </w:rPr>
        <w:t>1</w:t>
      </w:r>
    </w:p>
    <w:p w14:paraId="71E2B93D">
      <w:pPr>
        <w:pStyle w:val="13"/>
        <w:adjustRightInd w:val="0"/>
        <w:snapToGrid w:val="0"/>
        <w:spacing w:line="576" w:lineRule="exact"/>
        <w:ind w:left="0" w:leftChars="0"/>
        <w:jc w:val="left"/>
        <w:rPr>
          <w:rFonts w:eastAsia="方正仿宋_GBK"/>
          <w:sz w:val="33"/>
          <w:szCs w:val="33"/>
        </w:rPr>
      </w:pPr>
      <w:r>
        <w:rPr>
          <w:rFonts w:eastAsia="方正仿宋_GBK"/>
          <w:sz w:val="33"/>
          <w:szCs w:val="33"/>
        </w:rPr>
        <w:t>一、部门职责</w:t>
      </w:r>
      <w:r>
        <w:rPr>
          <w:rFonts w:eastAsia="方正仿宋_GBK"/>
          <w:sz w:val="33"/>
          <w:szCs w:val="33"/>
        </w:rPr>
        <w:ptab w:relativeTo="margin" w:alignment="right" w:leader="dot"/>
      </w:r>
      <w:r>
        <w:rPr>
          <w:rFonts w:eastAsia="方正仿宋_GBK"/>
          <w:sz w:val="33"/>
          <w:szCs w:val="33"/>
        </w:rPr>
        <w:t>1</w:t>
      </w:r>
    </w:p>
    <w:p w14:paraId="52D180C5">
      <w:pPr>
        <w:pStyle w:val="13"/>
        <w:adjustRightInd w:val="0"/>
        <w:snapToGrid w:val="0"/>
        <w:spacing w:line="576" w:lineRule="exact"/>
        <w:ind w:left="0" w:leftChars="0"/>
        <w:jc w:val="left"/>
        <w:rPr>
          <w:rFonts w:eastAsia="方正仿宋_GBK"/>
          <w:sz w:val="33"/>
          <w:szCs w:val="33"/>
        </w:rPr>
      </w:pPr>
      <w:r>
        <w:rPr>
          <w:rFonts w:eastAsia="方正仿宋_GBK"/>
          <w:sz w:val="33"/>
          <w:szCs w:val="33"/>
        </w:rPr>
        <w:t>二、机构设置</w:t>
      </w:r>
      <w:r>
        <w:rPr>
          <w:rFonts w:eastAsia="方正仿宋_GBK"/>
          <w:sz w:val="33"/>
          <w:szCs w:val="33"/>
        </w:rPr>
        <w:ptab w:relativeTo="margin" w:alignment="right" w:leader="dot"/>
      </w:r>
      <w:r>
        <w:rPr>
          <w:rFonts w:eastAsia="方正仿宋_GBK"/>
          <w:sz w:val="33"/>
          <w:szCs w:val="33"/>
        </w:rPr>
        <w:t>1</w:t>
      </w:r>
    </w:p>
    <w:p w14:paraId="2CB10BCC">
      <w:pPr>
        <w:pStyle w:val="12"/>
        <w:adjustRightInd w:val="0"/>
        <w:snapToGrid w:val="0"/>
        <w:spacing w:before="0" w:line="576" w:lineRule="exact"/>
        <w:jc w:val="left"/>
        <w:rPr>
          <w:rFonts w:ascii="Times New Roman" w:hAnsi="Times New Roman" w:eastAsia="方正仿宋_GBK"/>
          <w:sz w:val="33"/>
          <w:szCs w:val="33"/>
        </w:rPr>
      </w:pPr>
      <w:r>
        <w:rPr>
          <w:rFonts w:ascii="Times New Roman" w:hAnsi="Times New Roman" w:eastAsia="方正仿宋_GBK"/>
          <w:b/>
          <w:bCs/>
          <w:sz w:val="33"/>
          <w:szCs w:val="33"/>
        </w:rPr>
        <w:t>第二部分 2023年度部门决算情况说明</w:t>
      </w:r>
      <w:r>
        <w:rPr>
          <w:rFonts w:ascii="Times New Roman" w:hAnsi="Times New Roman" w:eastAsia="方正仿宋_GBK"/>
          <w:sz w:val="33"/>
          <w:szCs w:val="33"/>
        </w:rPr>
        <w:ptab w:relativeTo="margin" w:alignment="right" w:leader="dot"/>
      </w:r>
      <w:r>
        <w:rPr>
          <w:rFonts w:ascii="Times New Roman" w:hAnsi="Times New Roman" w:eastAsia="方正仿宋_GBK"/>
          <w:sz w:val="33"/>
          <w:szCs w:val="33"/>
        </w:rPr>
        <w:t>2</w:t>
      </w:r>
    </w:p>
    <w:p w14:paraId="70E14123">
      <w:pPr>
        <w:pStyle w:val="13"/>
        <w:adjustRightInd w:val="0"/>
        <w:snapToGrid w:val="0"/>
        <w:spacing w:line="576" w:lineRule="exact"/>
        <w:ind w:left="0" w:leftChars="0"/>
        <w:jc w:val="left"/>
        <w:rPr>
          <w:rFonts w:eastAsia="方正仿宋_GBK"/>
          <w:sz w:val="33"/>
          <w:szCs w:val="33"/>
        </w:rPr>
      </w:pPr>
      <w:r>
        <w:rPr>
          <w:rFonts w:eastAsia="方正仿宋_GBK"/>
          <w:sz w:val="33"/>
          <w:szCs w:val="33"/>
        </w:rPr>
        <w:t>一、收入支出决算总体情况说明</w:t>
      </w:r>
      <w:r>
        <w:rPr>
          <w:rFonts w:eastAsia="方正仿宋_GBK"/>
          <w:sz w:val="33"/>
          <w:szCs w:val="33"/>
        </w:rPr>
        <w:ptab w:relativeTo="margin" w:alignment="right" w:leader="dot"/>
      </w:r>
      <w:r>
        <w:rPr>
          <w:rFonts w:eastAsia="方正仿宋_GBK"/>
          <w:sz w:val="33"/>
          <w:szCs w:val="33"/>
        </w:rPr>
        <w:t>2</w:t>
      </w:r>
    </w:p>
    <w:p w14:paraId="098DD689">
      <w:pPr>
        <w:pStyle w:val="13"/>
        <w:adjustRightInd w:val="0"/>
        <w:snapToGrid w:val="0"/>
        <w:spacing w:line="576" w:lineRule="exact"/>
        <w:ind w:left="0" w:leftChars="0"/>
        <w:jc w:val="left"/>
        <w:rPr>
          <w:rFonts w:eastAsia="方正仿宋_GBK"/>
          <w:sz w:val="33"/>
          <w:szCs w:val="33"/>
        </w:rPr>
      </w:pPr>
      <w:r>
        <w:rPr>
          <w:rFonts w:eastAsia="方正仿宋_GBK"/>
          <w:sz w:val="33"/>
          <w:szCs w:val="33"/>
        </w:rPr>
        <w:t>二、收入决算情况说明</w:t>
      </w:r>
      <w:r>
        <w:rPr>
          <w:rFonts w:eastAsia="方正仿宋_GBK"/>
          <w:sz w:val="33"/>
          <w:szCs w:val="33"/>
        </w:rPr>
        <w:ptab w:relativeTo="margin" w:alignment="right" w:leader="dot"/>
      </w:r>
      <w:r>
        <w:rPr>
          <w:rFonts w:eastAsia="方正仿宋_GBK"/>
          <w:sz w:val="33"/>
          <w:szCs w:val="33"/>
        </w:rPr>
        <w:t>2</w:t>
      </w:r>
    </w:p>
    <w:p w14:paraId="48367C6E">
      <w:pPr>
        <w:pStyle w:val="13"/>
        <w:adjustRightInd w:val="0"/>
        <w:snapToGrid w:val="0"/>
        <w:spacing w:line="576" w:lineRule="exact"/>
        <w:ind w:left="0" w:leftChars="0"/>
        <w:jc w:val="left"/>
        <w:rPr>
          <w:rFonts w:eastAsia="方正仿宋_GBK"/>
          <w:sz w:val="33"/>
          <w:szCs w:val="33"/>
        </w:rPr>
      </w:pPr>
      <w:r>
        <w:rPr>
          <w:rFonts w:eastAsia="方正仿宋_GBK"/>
          <w:sz w:val="33"/>
          <w:szCs w:val="33"/>
        </w:rPr>
        <w:t>三、支出决算情况说明</w:t>
      </w:r>
      <w:r>
        <w:rPr>
          <w:rFonts w:eastAsia="方正仿宋_GBK"/>
          <w:sz w:val="33"/>
          <w:szCs w:val="33"/>
        </w:rPr>
        <w:ptab w:relativeTo="margin" w:alignment="right" w:leader="dot"/>
      </w:r>
      <w:r>
        <w:rPr>
          <w:rFonts w:eastAsia="方正仿宋_GBK"/>
          <w:sz w:val="33"/>
          <w:szCs w:val="33"/>
        </w:rPr>
        <w:t>3</w:t>
      </w:r>
    </w:p>
    <w:p w14:paraId="1C814B3C">
      <w:pPr>
        <w:pStyle w:val="13"/>
        <w:adjustRightInd w:val="0"/>
        <w:snapToGrid w:val="0"/>
        <w:spacing w:line="576" w:lineRule="exact"/>
        <w:ind w:left="0" w:leftChars="0"/>
        <w:jc w:val="left"/>
        <w:rPr>
          <w:rFonts w:eastAsia="方正仿宋_GBK"/>
          <w:sz w:val="33"/>
          <w:szCs w:val="33"/>
        </w:rPr>
      </w:pPr>
      <w:r>
        <w:rPr>
          <w:rFonts w:eastAsia="方正仿宋_GBK"/>
          <w:sz w:val="33"/>
          <w:szCs w:val="33"/>
        </w:rPr>
        <w:t>四、财政拨款收入支出决算总体情况说明</w:t>
      </w:r>
      <w:r>
        <w:rPr>
          <w:rFonts w:eastAsia="方正仿宋_GBK"/>
          <w:sz w:val="33"/>
          <w:szCs w:val="33"/>
        </w:rPr>
        <w:ptab w:relativeTo="margin" w:alignment="right" w:leader="dot"/>
      </w:r>
      <w:r>
        <w:rPr>
          <w:rFonts w:hint="eastAsia" w:eastAsia="方正仿宋_GBK"/>
          <w:sz w:val="33"/>
          <w:szCs w:val="33"/>
        </w:rPr>
        <w:t>4</w:t>
      </w:r>
    </w:p>
    <w:p w14:paraId="764FCA36">
      <w:pPr>
        <w:pStyle w:val="13"/>
        <w:adjustRightInd w:val="0"/>
        <w:snapToGrid w:val="0"/>
        <w:spacing w:line="576" w:lineRule="exact"/>
        <w:ind w:left="0" w:leftChars="0"/>
        <w:jc w:val="left"/>
        <w:rPr>
          <w:rFonts w:eastAsia="方正仿宋_GBK"/>
          <w:sz w:val="33"/>
          <w:szCs w:val="33"/>
        </w:rPr>
      </w:pPr>
      <w:r>
        <w:rPr>
          <w:rFonts w:eastAsia="方正仿宋_GBK"/>
          <w:sz w:val="33"/>
          <w:szCs w:val="33"/>
        </w:rPr>
        <w:t>五、一般公共预算财政拨款支出决算情况说明</w:t>
      </w:r>
      <w:r>
        <w:rPr>
          <w:rFonts w:eastAsia="方正仿宋_GBK"/>
          <w:sz w:val="33"/>
          <w:szCs w:val="33"/>
        </w:rPr>
        <w:ptab w:relativeTo="margin" w:alignment="right" w:leader="dot"/>
      </w:r>
      <w:r>
        <w:rPr>
          <w:rFonts w:eastAsia="方正仿宋_GBK"/>
          <w:sz w:val="33"/>
          <w:szCs w:val="33"/>
        </w:rPr>
        <w:t>5</w:t>
      </w:r>
    </w:p>
    <w:p w14:paraId="4D939A60">
      <w:pPr>
        <w:pStyle w:val="13"/>
        <w:adjustRightInd w:val="0"/>
        <w:snapToGrid w:val="0"/>
        <w:spacing w:line="576" w:lineRule="exact"/>
        <w:ind w:left="0" w:leftChars="0"/>
        <w:jc w:val="left"/>
        <w:rPr>
          <w:rFonts w:eastAsia="方正仿宋_GBK"/>
          <w:sz w:val="33"/>
          <w:szCs w:val="33"/>
        </w:rPr>
      </w:pPr>
      <w:r>
        <w:rPr>
          <w:rFonts w:eastAsia="方正仿宋_GBK"/>
          <w:sz w:val="33"/>
          <w:szCs w:val="33"/>
        </w:rPr>
        <w:t>六、一般公共预算财政拨款基本支出决算情况说明</w:t>
      </w:r>
      <w:r>
        <w:rPr>
          <w:rFonts w:eastAsia="方正仿宋_GBK"/>
          <w:sz w:val="33"/>
          <w:szCs w:val="33"/>
        </w:rPr>
        <w:ptab w:relativeTo="margin" w:alignment="right" w:leader="dot"/>
      </w:r>
      <w:r>
        <w:rPr>
          <w:rFonts w:eastAsia="方正仿宋_GBK"/>
          <w:sz w:val="33"/>
          <w:szCs w:val="33"/>
        </w:rPr>
        <w:t>9</w:t>
      </w:r>
    </w:p>
    <w:p w14:paraId="72D1FD14">
      <w:pPr>
        <w:pStyle w:val="13"/>
        <w:adjustRightInd w:val="0"/>
        <w:snapToGrid w:val="0"/>
        <w:spacing w:line="576" w:lineRule="exact"/>
        <w:ind w:left="0" w:leftChars="0"/>
        <w:jc w:val="left"/>
        <w:rPr>
          <w:rFonts w:eastAsia="方正仿宋_GBK"/>
          <w:sz w:val="33"/>
          <w:szCs w:val="33"/>
        </w:rPr>
      </w:pPr>
      <w:r>
        <w:rPr>
          <w:rFonts w:eastAsia="方正仿宋_GBK"/>
          <w:sz w:val="33"/>
          <w:szCs w:val="33"/>
        </w:rPr>
        <w:t>七、财政拨款“三公”经费支出决算情况说明</w:t>
      </w:r>
      <w:r>
        <w:rPr>
          <w:rFonts w:eastAsia="方正仿宋_GBK"/>
          <w:sz w:val="33"/>
          <w:szCs w:val="33"/>
        </w:rPr>
        <w:ptab w:relativeTo="margin" w:alignment="right" w:leader="dot"/>
      </w:r>
      <w:r>
        <w:rPr>
          <w:rFonts w:eastAsia="方正仿宋_GBK"/>
          <w:sz w:val="33"/>
          <w:szCs w:val="33"/>
        </w:rPr>
        <w:t>9</w:t>
      </w:r>
    </w:p>
    <w:p w14:paraId="7FA24E3A">
      <w:pPr>
        <w:pStyle w:val="13"/>
        <w:adjustRightInd w:val="0"/>
        <w:snapToGrid w:val="0"/>
        <w:spacing w:line="576" w:lineRule="exact"/>
        <w:ind w:left="0" w:leftChars="0"/>
        <w:jc w:val="left"/>
        <w:rPr>
          <w:rFonts w:eastAsia="方正仿宋_GBK"/>
          <w:sz w:val="33"/>
          <w:szCs w:val="33"/>
        </w:rPr>
      </w:pPr>
      <w:r>
        <w:rPr>
          <w:rFonts w:eastAsia="方正仿宋_GBK"/>
          <w:sz w:val="33"/>
          <w:szCs w:val="33"/>
        </w:rPr>
        <w:t>八、政府性基金预算支出决算情况说明</w:t>
      </w:r>
      <w:r>
        <w:rPr>
          <w:rFonts w:eastAsia="方正仿宋_GBK"/>
          <w:sz w:val="33"/>
          <w:szCs w:val="33"/>
        </w:rPr>
        <w:ptab w:relativeTo="margin" w:alignment="right" w:leader="dot"/>
      </w:r>
      <w:r>
        <w:rPr>
          <w:rFonts w:eastAsia="方正仿宋_GBK"/>
          <w:sz w:val="33"/>
          <w:szCs w:val="33"/>
        </w:rPr>
        <w:t>11</w:t>
      </w:r>
    </w:p>
    <w:p w14:paraId="7D2826F7">
      <w:pPr>
        <w:pStyle w:val="13"/>
        <w:adjustRightInd w:val="0"/>
        <w:snapToGrid w:val="0"/>
        <w:spacing w:line="576" w:lineRule="exact"/>
        <w:ind w:left="0" w:leftChars="0"/>
        <w:jc w:val="left"/>
        <w:rPr>
          <w:rFonts w:eastAsia="方正仿宋_GBK"/>
          <w:sz w:val="33"/>
          <w:szCs w:val="33"/>
        </w:rPr>
      </w:pPr>
      <w:r>
        <w:rPr>
          <w:rFonts w:eastAsia="方正仿宋_GBK"/>
          <w:sz w:val="33"/>
          <w:szCs w:val="33"/>
        </w:rPr>
        <w:t>九、国有资本经营预算支出决算情况说明</w:t>
      </w:r>
      <w:r>
        <w:rPr>
          <w:rFonts w:eastAsia="方正仿宋_GBK"/>
          <w:sz w:val="33"/>
          <w:szCs w:val="33"/>
        </w:rPr>
        <w:ptab w:relativeTo="margin" w:alignment="right" w:leader="dot"/>
      </w:r>
      <w:r>
        <w:rPr>
          <w:rFonts w:eastAsia="方正仿宋_GBK"/>
          <w:sz w:val="33"/>
          <w:szCs w:val="33"/>
        </w:rPr>
        <w:t>11</w:t>
      </w:r>
    </w:p>
    <w:p w14:paraId="32360FCB">
      <w:pPr>
        <w:adjustRightInd w:val="0"/>
        <w:snapToGrid w:val="0"/>
        <w:spacing w:line="576" w:lineRule="exact"/>
        <w:jc w:val="left"/>
        <w:rPr>
          <w:rFonts w:eastAsia="方正仿宋_GBK"/>
          <w:sz w:val="33"/>
          <w:szCs w:val="33"/>
        </w:rPr>
      </w:pPr>
      <w:r>
        <w:rPr>
          <w:rStyle w:val="19"/>
          <w:rFonts w:eastAsia="方正仿宋_GBK"/>
          <w:color w:val="auto"/>
          <w:sz w:val="33"/>
          <w:szCs w:val="33"/>
          <w:u w:val="none"/>
        </w:rPr>
        <w:t>十、</w:t>
      </w:r>
      <w:r>
        <w:rPr>
          <w:rFonts w:eastAsia="方正仿宋_GBK"/>
          <w:sz w:val="33"/>
          <w:szCs w:val="33"/>
        </w:rPr>
        <w:t>其他重要事项的情况说明</w:t>
      </w:r>
      <w:r>
        <w:rPr>
          <w:rFonts w:eastAsia="方正仿宋_GBK"/>
          <w:sz w:val="33"/>
          <w:szCs w:val="33"/>
        </w:rPr>
        <w:tab/>
      </w:r>
      <w:r>
        <w:rPr>
          <w:rFonts w:eastAsia="方正仿宋_GBK"/>
          <w:sz w:val="33"/>
          <w:szCs w:val="33"/>
        </w:rPr>
        <w:ptab w:relativeTo="margin" w:alignment="right" w:leader="dot"/>
      </w:r>
      <w:r>
        <w:rPr>
          <w:rFonts w:eastAsia="方正仿宋_GBK"/>
          <w:sz w:val="33"/>
          <w:szCs w:val="33"/>
        </w:rPr>
        <w:t>11</w:t>
      </w:r>
    </w:p>
    <w:p w14:paraId="3969732E">
      <w:pPr>
        <w:pStyle w:val="12"/>
        <w:adjustRightInd w:val="0"/>
        <w:snapToGrid w:val="0"/>
        <w:spacing w:before="0" w:line="576" w:lineRule="exact"/>
        <w:jc w:val="left"/>
        <w:rPr>
          <w:rFonts w:ascii="Times New Roman" w:hAnsi="Times New Roman" w:eastAsia="方正仿宋_GBK"/>
          <w:sz w:val="33"/>
          <w:szCs w:val="33"/>
        </w:rPr>
      </w:pPr>
      <w:r>
        <w:rPr>
          <w:rFonts w:ascii="Times New Roman" w:hAnsi="Times New Roman" w:eastAsia="方正仿宋_GBK"/>
          <w:b/>
          <w:bCs/>
          <w:sz w:val="33"/>
          <w:szCs w:val="33"/>
        </w:rPr>
        <w:t>第三部分 名词解释</w:t>
      </w:r>
      <w:r>
        <w:rPr>
          <w:rFonts w:ascii="Times New Roman" w:hAnsi="Times New Roman" w:eastAsia="方正仿宋_GBK"/>
          <w:sz w:val="33"/>
          <w:szCs w:val="33"/>
        </w:rPr>
        <w:ptab w:relativeTo="margin" w:alignment="right" w:leader="dot"/>
      </w:r>
      <w:r>
        <w:rPr>
          <w:rFonts w:ascii="Times New Roman" w:hAnsi="Times New Roman" w:eastAsia="方正仿宋_GBK"/>
          <w:sz w:val="33"/>
          <w:szCs w:val="33"/>
        </w:rPr>
        <w:t>13</w:t>
      </w:r>
    </w:p>
    <w:p w14:paraId="0D9EA0DF">
      <w:pPr>
        <w:pStyle w:val="12"/>
        <w:adjustRightInd w:val="0"/>
        <w:snapToGrid w:val="0"/>
        <w:spacing w:before="0" w:line="576" w:lineRule="exact"/>
        <w:jc w:val="left"/>
        <w:rPr>
          <w:rFonts w:ascii="Times New Roman" w:hAnsi="Times New Roman" w:eastAsia="方正仿宋_GBK"/>
          <w:sz w:val="33"/>
          <w:szCs w:val="33"/>
        </w:rPr>
      </w:pPr>
      <w:r>
        <w:rPr>
          <w:rFonts w:ascii="Times New Roman" w:hAnsi="Times New Roman" w:eastAsia="方正仿宋_GBK"/>
          <w:b/>
          <w:bCs/>
          <w:sz w:val="33"/>
          <w:szCs w:val="33"/>
        </w:rPr>
        <w:t>第四部分 附件</w:t>
      </w:r>
      <w:r>
        <w:rPr>
          <w:rFonts w:ascii="Times New Roman" w:hAnsi="Times New Roman" w:eastAsia="方正仿宋_GBK"/>
          <w:sz w:val="33"/>
          <w:szCs w:val="33"/>
        </w:rPr>
        <w:ptab w:relativeTo="margin" w:alignment="right" w:leader="dot"/>
      </w:r>
      <w:r>
        <w:rPr>
          <w:rFonts w:ascii="Times New Roman" w:hAnsi="Times New Roman" w:eastAsia="方正仿宋_GBK"/>
          <w:sz w:val="33"/>
          <w:szCs w:val="33"/>
        </w:rPr>
        <w:t>17</w:t>
      </w:r>
    </w:p>
    <w:p w14:paraId="4001B9C1">
      <w:pPr>
        <w:pStyle w:val="12"/>
        <w:adjustRightInd w:val="0"/>
        <w:snapToGrid w:val="0"/>
        <w:spacing w:before="0" w:line="576" w:lineRule="exact"/>
        <w:jc w:val="left"/>
        <w:rPr>
          <w:rFonts w:ascii="Times New Roman" w:hAnsi="Times New Roman" w:eastAsia="方正仿宋_GBK"/>
          <w:sz w:val="33"/>
          <w:szCs w:val="33"/>
        </w:rPr>
      </w:pPr>
      <w:r>
        <w:rPr>
          <w:rFonts w:ascii="Times New Roman" w:hAnsi="Times New Roman" w:eastAsia="方正仿宋_GBK"/>
          <w:b/>
          <w:bCs/>
          <w:sz w:val="33"/>
          <w:szCs w:val="33"/>
        </w:rPr>
        <w:t>第五部分 附表</w:t>
      </w:r>
      <w:r>
        <w:rPr>
          <w:rFonts w:ascii="Times New Roman" w:hAnsi="Times New Roman" w:eastAsia="方正仿宋_GBK"/>
          <w:sz w:val="33"/>
          <w:szCs w:val="33"/>
        </w:rPr>
        <w:ptab w:relativeTo="margin" w:alignment="right" w:leader="dot"/>
      </w:r>
      <w:r>
        <w:rPr>
          <w:rFonts w:hint="eastAsia" w:ascii="Times New Roman" w:hAnsi="Times New Roman" w:eastAsia="方正仿宋_GBK"/>
          <w:sz w:val="33"/>
          <w:szCs w:val="33"/>
        </w:rPr>
        <w:t>3</w:t>
      </w:r>
      <w:r>
        <w:rPr>
          <w:rFonts w:ascii="Times New Roman" w:hAnsi="Times New Roman" w:eastAsia="方正仿宋_GBK"/>
          <w:sz w:val="33"/>
          <w:szCs w:val="33"/>
        </w:rPr>
        <w:t>1</w:t>
      </w:r>
    </w:p>
    <w:p w14:paraId="1ABC3FF5">
      <w:pPr>
        <w:pStyle w:val="13"/>
        <w:adjustRightInd w:val="0"/>
        <w:snapToGrid w:val="0"/>
        <w:spacing w:line="576" w:lineRule="exact"/>
        <w:ind w:left="0" w:leftChars="0"/>
        <w:jc w:val="left"/>
        <w:rPr>
          <w:rFonts w:eastAsia="方正仿宋_GBK"/>
          <w:sz w:val="33"/>
          <w:szCs w:val="33"/>
        </w:rPr>
        <w:sectPr>
          <w:footerReference r:id="rId6" w:type="first"/>
          <w:footerReference r:id="rId5" w:type="default"/>
          <w:pgSz w:w="11906" w:h="16838"/>
          <w:pgMar w:top="2098" w:right="1474" w:bottom="1984" w:left="1587" w:header="851" w:footer="992" w:gutter="0"/>
          <w:pgNumType w:start="1"/>
          <w:cols w:space="0" w:num="1"/>
          <w:titlePg/>
          <w:docGrid w:type="lines" w:linePitch="312" w:charSpace="0"/>
        </w:sectPr>
      </w:pPr>
    </w:p>
    <w:p w14:paraId="75B1FB1C">
      <w:pPr>
        <w:pStyle w:val="13"/>
        <w:adjustRightInd w:val="0"/>
        <w:snapToGrid w:val="0"/>
        <w:spacing w:line="576" w:lineRule="exact"/>
        <w:ind w:left="0" w:leftChars="0"/>
        <w:jc w:val="left"/>
        <w:rPr>
          <w:rFonts w:eastAsia="方正仿宋_GBK"/>
          <w:sz w:val="33"/>
          <w:szCs w:val="33"/>
        </w:rPr>
      </w:pPr>
      <w:r>
        <w:rPr>
          <w:rFonts w:eastAsia="方正仿宋_GBK"/>
          <w:sz w:val="33"/>
          <w:szCs w:val="33"/>
        </w:rPr>
        <w:t>一、收入支出决算总表</w:t>
      </w:r>
      <w:r>
        <w:rPr>
          <w:rFonts w:eastAsia="方正仿宋_GBK"/>
          <w:sz w:val="33"/>
          <w:szCs w:val="33"/>
        </w:rPr>
        <w:ptab w:relativeTo="margin" w:alignment="right" w:leader="dot"/>
      </w:r>
      <w:r>
        <w:rPr>
          <w:rFonts w:hint="eastAsia" w:eastAsia="方正仿宋_GBK"/>
          <w:sz w:val="33"/>
          <w:szCs w:val="33"/>
        </w:rPr>
        <w:t>3</w:t>
      </w:r>
      <w:r>
        <w:rPr>
          <w:rFonts w:eastAsia="方正仿宋_GBK"/>
          <w:sz w:val="33"/>
          <w:szCs w:val="33"/>
        </w:rPr>
        <w:t>1</w:t>
      </w:r>
    </w:p>
    <w:p w14:paraId="3FD60583">
      <w:pPr>
        <w:pStyle w:val="13"/>
        <w:adjustRightInd w:val="0"/>
        <w:snapToGrid w:val="0"/>
        <w:spacing w:line="576" w:lineRule="exact"/>
        <w:ind w:left="0" w:leftChars="0"/>
        <w:jc w:val="left"/>
        <w:rPr>
          <w:rFonts w:eastAsia="方正仿宋_GBK"/>
          <w:sz w:val="33"/>
          <w:szCs w:val="33"/>
        </w:rPr>
      </w:pPr>
      <w:r>
        <w:rPr>
          <w:rFonts w:eastAsia="方正仿宋_GBK"/>
          <w:sz w:val="33"/>
          <w:szCs w:val="33"/>
        </w:rPr>
        <w:t>二、收入决算表</w:t>
      </w:r>
      <w:r>
        <w:rPr>
          <w:rFonts w:eastAsia="方正仿宋_GBK"/>
          <w:sz w:val="33"/>
          <w:szCs w:val="33"/>
        </w:rPr>
        <w:ptab w:relativeTo="margin" w:alignment="right" w:leader="dot"/>
      </w:r>
      <w:r>
        <w:rPr>
          <w:rFonts w:hint="eastAsia" w:eastAsia="方正仿宋_GBK"/>
          <w:sz w:val="33"/>
          <w:szCs w:val="33"/>
        </w:rPr>
        <w:t>3</w:t>
      </w:r>
      <w:r>
        <w:rPr>
          <w:rFonts w:eastAsia="方正仿宋_GBK"/>
          <w:sz w:val="33"/>
          <w:szCs w:val="33"/>
        </w:rPr>
        <w:t>1</w:t>
      </w:r>
    </w:p>
    <w:p w14:paraId="435C0D2D">
      <w:pPr>
        <w:pStyle w:val="13"/>
        <w:adjustRightInd w:val="0"/>
        <w:snapToGrid w:val="0"/>
        <w:spacing w:line="576" w:lineRule="exact"/>
        <w:ind w:left="0" w:leftChars="0"/>
        <w:jc w:val="left"/>
        <w:rPr>
          <w:rFonts w:eastAsia="方正仿宋_GBK"/>
          <w:sz w:val="33"/>
          <w:szCs w:val="33"/>
        </w:rPr>
      </w:pPr>
      <w:r>
        <w:rPr>
          <w:rFonts w:eastAsia="方正仿宋_GBK"/>
          <w:sz w:val="33"/>
          <w:szCs w:val="33"/>
        </w:rPr>
        <w:t>三、支出决算表</w:t>
      </w:r>
      <w:r>
        <w:rPr>
          <w:rFonts w:eastAsia="方正仿宋_GBK"/>
          <w:sz w:val="33"/>
          <w:szCs w:val="33"/>
        </w:rPr>
        <w:ptab w:relativeTo="margin" w:alignment="right" w:leader="dot"/>
      </w:r>
      <w:r>
        <w:rPr>
          <w:rFonts w:hint="eastAsia" w:eastAsia="方正仿宋_GBK"/>
          <w:sz w:val="33"/>
          <w:szCs w:val="33"/>
        </w:rPr>
        <w:t>3</w:t>
      </w:r>
      <w:r>
        <w:rPr>
          <w:rFonts w:eastAsia="方正仿宋_GBK"/>
          <w:sz w:val="33"/>
          <w:szCs w:val="33"/>
        </w:rPr>
        <w:t>1</w:t>
      </w:r>
    </w:p>
    <w:p w14:paraId="6A0E136B">
      <w:pPr>
        <w:pStyle w:val="13"/>
        <w:adjustRightInd w:val="0"/>
        <w:snapToGrid w:val="0"/>
        <w:spacing w:line="576" w:lineRule="exact"/>
        <w:ind w:left="0" w:leftChars="0"/>
        <w:jc w:val="left"/>
        <w:rPr>
          <w:rFonts w:eastAsia="方正仿宋_GBK"/>
          <w:sz w:val="33"/>
          <w:szCs w:val="33"/>
        </w:rPr>
      </w:pPr>
      <w:r>
        <w:rPr>
          <w:rFonts w:eastAsia="方正仿宋_GBK"/>
          <w:sz w:val="33"/>
          <w:szCs w:val="33"/>
        </w:rPr>
        <w:t>四、财政拨款收入支出决算总表</w:t>
      </w:r>
      <w:r>
        <w:rPr>
          <w:rFonts w:eastAsia="方正仿宋_GBK"/>
          <w:sz w:val="33"/>
          <w:szCs w:val="33"/>
        </w:rPr>
        <w:ptab w:relativeTo="margin" w:alignment="right" w:leader="dot"/>
      </w:r>
      <w:r>
        <w:rPr>
          <w:rFonts w:hint="eastAsia" w:eastAsia="方正仿宋_GBK"/>
          <w:sz w:val="33"/>
          <w:szCs w:val="33"/>
        </w:rPr>
        <w:t>3</w:t>
      </w:r>
      <w:r>
        <w:rPr>
          <w:rFonts w:eastAsia="方正仿宋_GBK"/>
          <w:sz w:val="33"/>
          <w:szCs w:val="33"/>
        </w:rPr>
        <w:t>1</w:t>
      </w:r>
    </w:p>
    <w:p w14:paraId="36EFC866">
      <w:pPr>
        <w:pStyle w:val="13"/>
        <w:adjustRightInd w:val="0"/>
        <w:snapToGrid w:val="0"/>
        <w:spacing w:line="576" w:lineRule="exact"/>
        <w:ind w:left="0" w:leftChars="0"/>
        <w:jc w:val="left"/>
        <w:rPr>
          <w:rFonts w:eastAsia="方正仿宋_GBK"/>
          <w:sz w:val="33"/>
          <w:szCs w:val="33"/>
        </w:rPr>
      </w:pPr>
      <w:r>
        <w:rPr>
          <w:rFonts w:eastAsia="方正仿宋_GBK"/>
          <w:sz w:val="33"/>
          <w:szCs w:val="33"/>
        </w:rPr>
        <w:t>五、财政拨款支出决算明细表</w:t>
      </w:r>
      <w:r>
        <w:rPr>
          <w:rFonts w:eastAsia="方正仿宋_GBK"/>
          <w:sz w:val="33"/>
          <w:szCs w:val="33"/>
        </w:rPr>
        <w:ptab w:relativeTo="margin" w:alignment="right" w:leader="dot"/>
      </w:r>
      <w:r>
        <w:rPr>
          <w:rFonts w:hint="eastAsia" w:eastAsia="方正仿宋_GBK"/>
          <w:sz w:val="33"/>
          <w:szCs w:val="33"/>
        </w:rPr>
        <w:t>3</w:t>
      </w:r>
      <w:r>
        <w:rPr>
          <w:rFonts w:eastAsia="方正仿宋_GBK"/>
          <w:sz w:val="33"/>
          <w:szCs w:val="33"/>
        </w:rPr>
        <w:t>1</w:t>
      </w:r>
    </w:p>
    <w:p w14:paraId="6B30A177">
      <w:pPr>
        <w:pStyle w:val="13"/>
        <w:adjustRightInd w:val="0"/>
        <w:snapToGrid w:val="0"/>
        <w:spacing w:line="576" w:lineRule="exact"/>
        <w:ind w:left="0" w:leftChars="0"/>
        <w:jc w:val="left"/>
        <w:rPr>
          <w:rFonts w:eastAsia="方正仿宋_GBK"/>
          <w:sz w:val="33"/>
          <w:szCs w:val="33"/>
        </w:rPr>
      </w:pPr>
      <w:r>
        <w:rPr>
          <w:rFonts w:eastAsia="方正仿宋_GBK"/>
          <w:sz w:val="33"/>
          <w:szCs w:val="33"/>
        </w:rPr>
        <w:t>六、一般公共预算财政拨款支出决算表</w:t>
      </w:r>
      <w:r>
        <w:rPr>
          <w:rFonts w:eastAsia="方正仿宋_GBK"/>
          <w:sz w:val="33"/>
          <w:szCs w:val="33"/>
        </w:rPr>
        <w:ptab w:relativeTo="margin" w:alignment="right" w:leader="dot"/>
      </w:r>
      <w:r>
        <w:rPr>
          <w:rFonts w:hint="eastAsia" w:eastAsia="方正仿宋_GBK"/>
          <w:sz w:val="33"/>
          <w:szCs w:val="33"/>
        </w:rPr>
        <w:t>3</w:t>
      </w:r>
      <w:r>
        <w:rPr>
          <w:rFonts w:eastAsia="方正仿宋_GBK"/>
          <w:sz w:val="33"/>
          <w:szCs w:val="33"/>
        </w:rPr>
        <w:t>1</w:t>
      </w:r>
    </w:p>
    <w:p w14:paraId="4DE3B0E2">
      <w:pPr>
        <w:pStyle w:val="13"/>
        <w:adjustRightInd w:val="0"/>
        <w:snapToGrid w:val="0"/>
        <w:spacing w:line="576" w:lineRule="exact"/>
        <w:ind w:left="0" w:leftChars="0"/>
        <w:jc w:val="left"/>
        <w:rPr>
          <w:rFonts w:eastAsia="方正仿宋_GBK"/>
          <w:sz w:val="33"/>
          <w:szCs w:val="33"/>
        </w:rPr>
      </w:pPr>
      <w:r>
        <w:rPr>
          <w:rFonts w:eastAsia="方正仿宋_GBK"/>
          <w:sz w:val="33"/>
          <w:szCs w:val="33"/>
        </w:rPr>
        <w:t>七、一般公共预算财政拨款支出决算明细表</w:t>
      </w:r>
      <w:r>
        <w:rPr>
          <w:rFonts w:eastAsia="方正仿宋_GBK"/>
          <w:sz w:val="33"/>
          <w:szCs w:val="33"/>
        </w:rPr>
        <w:ptab w:relativeTo="margin" w:alignment="right" w:leader="dot"/>
      </w:r>
      <w:r>
        <w:rPr>
          <w:rFonts w:hint="eastAsia" w:eastAsia="方正仿宋_GBK"/>
          <w:sz w:val="33"/>
          <w:szCs w:val="33"/>
        </w:rPr>
        <w:t>3</w:t>
      </w:r>
      <w:r>
        <w:rPr>
          <w:rFonts w:eastAsia="方正仿宋_GBK"/>
          <w:sz w:val="33"/>
          <w:szCs w:val="33"/>
        </w:rPr>
        <w:t>1</w:t>
      </w:r>
    </w:p>
    <w:p w14:paraId="086A3C27">
      <w:pPr>
        <w:pStyle w:val="13"/>
        <w:adjustRightInd w:val="0"/>
        <w:snapToGrid w:val="0"/>
        <w:spacing w:line="576" w:lineRule="exact"/>
        <w:ind w:left="0" w:leftChars="0"/>
        <w:jc w:val="left"/>
        <w:rPr>
          <w:rFonts w:eastAsia="方正仿宋_GBK"/>
          <w:sz w:val="33"/>
          <w:szCs w:val="33"/>
        </w:rPr>
      </w:pPr>
      <w:r>
        <w:rPr>
          <w:rFonts w:eastAsia="方正仿宋_GBK"/>
          <w:sz w:val="33"/>
          <w:szCs w:val="33"/>
        </w:rPr>
        <w:t>八、一般公共预算财政拨款基本支出决算明细表</w:t>
      </w:r>
      <w:r>
        <w:rPr>
          <w:rFonts w:eastAsia="方正仿宋_GBK"/>
          <w:sz w:val="33"/>
          <w:szCs w:val="33"/>
        </w:rPr>
        <w:ptab w:relativeTo="margin" w:alignment="right" w:leader="dot"/>
      </w:r>
      <w:r>
        <w:rPr>
          <w:rFonts w:hint="eastAsia" w:eastAsia="方正仿宋_GBK"/>
          <w:sz w:val="33"/>
          <w:szCs w:val="33"/>
        </w:rPr>
        <w:t>3</w:t>
      </w:r>
      <w:r>
        <w:rPr>
          <w:rFonts w:eastAsia="方正仿宋_GBK"/>
          <w:sz w:val="33"/>
          <w:szCs w:val="33"/>
        </w:rPr>
        <w:t>1</w:t>
      </w:r>
    </w:p>
    <w:p w14:paraId="5649433D">
      <w:pPr>
        <w:pStyle w:val="13"/>
        <w:adjustRightInd w:val="0"/>
        <w:snapToGrid w:val="0"/>
        <w:spacing w:line="576" w:lineRule="exact"/>
        <w:ind w:left="0" w:leftChars="0"/>
        <w:jc w:val="left"/>
        <w:rPr>
          <w:rFonts w:eastAsia="方正仿宋_GBK"/>
          <w:sz w:val="33"/>
          <w:szCs w:val="33"/>
        </w:rPr>
      </w:pPr>
      <w:r>
        <w:rPr>
          <w:rFonts w:eastAsia="方正仿宋_GBK"/>
          <w:sz w:val="33"/>
          <w:szCs w:val="33"/>
        </w:rPr>
        <w:t>九、一般公共预算财政拨款项目支出决算表</w:t>
      </w:r>
      <w:r>
        <w:rPr>
          <w:rFonts w:eastAsia="方正仿宋_GBK"/>
          <w:sz w:val="33"/>
          <w:szCs w:val="33"/>
        </w:rPr>
        <w:ptab w:relativeTo="margin" w:alignment="right" w:leader="dot"/>
      </w:r>
      <w:r>
        <w:rPr>
          <w:rFonts w:hint="eastAsia" w:eastAsia="方正仿宋_GBK"/>
          <w:sz w:val="33"/>
          <w:szCs w:val="33"/>
        </w:rPr>
        <w:t>3</w:t>
      </w:r>
      <w:r>
        <w:rPr>
          <w:rFonts w:eastAsia="方正仿宋_GBK"/>
          <w:sz w:val="33"/>
          <w:szCs w:val="33"/>
        </w:rPr>
        <w:t>1</w:t>
      </w:r>
    </w:p>
    <w:p w14:paraId="0459F081">
      <w:pPr>
        <w:pStyle w:val="13"/>
        <w:adjustRightInd w:val="0"/>
        <w:snapToGrid w:val="0"/>
        <w:spacing w:line="576" w:lineRule="exact"/>
        <w:ind w:left="0" w:leftChars="0"/>
        <w:jc w:val="left"/>
        <w:rPr>
          <w:rFonts w:eastAsia="方正仿宋_GBK"/>
          <w:sz w:val="33"/>
          <w:szCs w:val="33"/>
        </w:rPr>
      </w:pPr>
      <w:r>
        <w:rPr>
          <w:rFonts w:eastAsia="方正仿宋_GBK"/>
          <w:sz w:val="33"/>
          <w:szCs w:val="33"/>
        </w:rPr>
        <w:t>十、政府性基金预算财政拨款收入支出决算表</w:t>
      </w:r>
      <w:r>
        <w:rPr>
          <w:rFonts w:eastAsia="方正仿宋_GBK"/>
          <w:sz w:val="33"/>
          <w:szCs w:val="33"/>
        </w:rPr>
        <w:ptab w:relativeTo="margin" w:alignment="right" w:leader="dot"/>
      </w:r>
      <w:r>
        <w:rPr>
          <w:rFonts w:hint="eastAsia" w:eastAsia="方正仿宋_GBK"/>
          <w:sz w:val="33"/>
          <w:szCs w:val="33"/>
        </w:rPr>
        <w:t>3</w:t>
      </w:r>
      <w:r>
        <w:rPr>
          <w:rFonts w:eastAsia="方正仿宋_GBK"/>
          <w:sz w:val="33"/>
          <w:szCs w:val="33"/>
        </w:rPr>
        <w:t>1</w:t>
      </w:r>
    </w:p>
    <w:p w14:paraId="1AEFAF0D">
      <w:pPr>
        <w:pStyle w:val="13"/>
        <w:adjustRightInd w:val="0"/>
        <w:snapToGrid w:val="0"/>
        <w:spacing w:line="576" w:lineRule="exact"/>
        <w:ind w:left="0" w:leftChars="0"/>
        <w:jc w:val="left"/>
        <w:rPr>
          <w:rFonts w:eastAsia="方正仿宋_GBK"/>
          <w:sz w:val="33"/>
          <w:szCs w:val="33"/>
        </w:rPr>
      </w:pPr>
      <w:r>
        <w:rPr>
          <w:rFonts w:eastAsia="方正仿宋_GBK"/>
          <w:sz w:val="33"/>
          <w:szCs w:val="33"/>
        </w:rPr>
        <w:t>十一、国有资本经营预算财政拨款收入支出决算表</w:t>
      </w:r>
      <w:r>
        <w:rPr>
          <w:rFonts w:eastAsia="方正仿宋_GBK"/>
          <w:sz w:val="33"/>
          <w:szCs w:val="33"/>
        </w:rPr>
        <w:ptab w:relativeTo="margin" w:alignment="right" w:leader="dot"/>
      </w:r>
      <w:r>
        <w:rPr>
          <w:rFonts w:hint="eastAsia" w:eastAsia="方正仿宋_GBK"/>
          <w:sz w:val="33"/>
          <w:szCs w:val="33"/>
        </w:rPr>
        <w:t>3</w:t>
      </w:r>
      <w:r>
        <w:rPr>
          <w:rFonts w:eastAsia="方正仿宋_GBK"/>
          <w:sz w:val="33"/>
          <w:szCs w:val="33"/>
        </w:rPr>
        <w:t>1</w:t>
      </w:r>
    </w:p>
    <w:p w14:paraId="532D050F">
      <w:pPr>
        <w:pStyle w:val="13"/>
        <w:adjustRightInd w:val="0"/>
        <w:snapToGrid w:val="0"/>
        <w:spacing w:line="576" w:lineRule="exact"/>
        <w:ind w:left="0" w:leftChars="0"/>
        <w:jc w:val="left"/>
        <w:rPr>
          <w:rFonts w:eastAsia="方正仿宋_GBK"/>
          <w:sz w:val="33"/>
          <w:szCs w:val="33"/>
        </w:rPr>
      </w:pPr>
      <w:r>
        <w:rPr>
          <w:rFonts w:eastAsia="方正仿宋_GBK"/>
          <w:sz w:val="33"/>
          <w:szCs w:val="33"/>
        </w:rPr>
        <w:t>十二、国有资本经营预算财政拨款支出决算表</w:t>
      </w:r>
      <w:r>
        <w:rPr>
          <w:rFonts w:eastAsia="方正仿宋_GBK"/>
          <w:sz w:val="33"/>
          <w:szCs w:val="33"/>
        </w:rPr>
        <w:ptab w:relativeTo="margin" w:alignment="right" w:leader="dot"/>
      </w:r>
      <w:r>
        <w:rPr>
          <w:rFonts w:hint="eastAsia" w:eastAsia="方正仿宋_GBK"/>
          <w:sz w:val="33"/>
          <w:szCs w:val="33"/>
        </w:rPr>
        <w:t>3</w:t>
      </w:r>
      <w:r>
        <w:rPr>
          <w:rFonts w:eastAsia="方正仿宋_GBK"/>
          <w:sz w:val="33"/>
          <w:szCs w:val="33"/>
        </w:rPr>
        <w:t>1</w:t>
      </w:r>
    </w:p>
    <w:p w14:paraId="19D87E68">
      <w:pPr>
        <w:pStyle w:val="13"/>
        <w:adjustRightInd w:val="0"/>
        <w:snapToGrid w:val="0"/>
        <w:spacing w:line="576" w:lineRule="exact"/>
        <w:ind w:left="0" w:leftChars="0"/>
        <w:jc w:val="left"/>
        <w:rPr>
          <w:rFonts w:eastAsia="方正仿宋_GBK"/>
          <w:sz w:val="33"/>
          <w:szCs w:val="33"/>
        </w:rPr>
      </w:pPr>
      <w:r>
        <w:rPr>
          <w:rFonts w:eastAsia="方正仿宋_GBK"/>
          <w:sz w:val="33"/>
          <w:szCs w:val="33"/>
        </w:rPr>
        <w:t>十三、财政拨款“三公”经费支出决算表</w:t>
      </w:r>
      <w:r>
        <w:rPr>
          <w:rFonts w:eastAsia="方正仿宋_GBK"/>
          <w:sz w:val="33"/>
          <w:szCs w:val="33"/>
        </w:rPr>
        <w:ptab w:relativeTo="margin" w:alignment="right" w:leader="dot"/>
      </w:r>
      <w:r>
        <w:rPr>
          <w:rFonts w:hint="eastAsia" w:eastAsia="方正仿宋_GBK"/>
          <w:sz w:val="33"/>
          <w:szCs w:val="33"/>
        </w:rPr>
        <w:t>3</w:t>
      </w:r>
      <w:r>
        <w:rPr>
          <w:rFonts w:eastAsia="方正仿宋_GBK"/>
          <w:sz w:val="33"/>
          <w:szCs w:val="33"/>
        </w:rPr>
        <w:t>1</w:t>
      </w:r>
    </w:p>
    <w:p w14:paraId="60C2CD80">
      <w:pPr>
        <w:pStyle w:val="3"/>
        <w:spacing w:before="0" w:after="0" w:line="576" w:lineRule="exact"/>
        <w:jc w:val="center"/>
        <w:rPr>
          <w:rFonts w:eastAsia="方正仿宋_GBK"/>
          <w:b w:val="0"/>
          <w:sz w:val="33"/>
          <w:szCs w:val="33"/>
        </w:rPr>
        <w:sectPr>
          <w:footerReference r:id="rId8" w:type="first"/>
          <w:footerReference r:id="rId7" w:type="default"/>
          <w:pgSz w:w="11906" w:h="16838"/>
          <w:pgMar w:top="2098" w:right="1474" w:bottom="1984" w:left="1587" w:header="851" w:footer="992" w:gutter="0"/>
          <w:pgNumType w:start="1"/>
          <w:cols w:space="0" w:num="1"/>
          <w:docGrid w:type="lines" w:linePitch="312" w:charSpace="0"/>
        </w:sectPr>
      </w:pPr>
      <w:bookmarkStart w:id="12" w:name="_Toc15396599"/>
      <w:bookmarkStart w:id="13" w:name="_Toc15377196"/>
    </w:p>
    <w:p w14:paraId="46EB7612">
      <w:pPr>
        <w:pStyle w:val="3"/>
        <w:spacing w:before="0" w:after="0" w:line="576" w:lineRule="exact"/>
        <w:jc w:val="center"/>
        <w:rPr>
          <w:rStyle w:val="28"/>
          <w:rFonts w:eastAsia="方正仿宋_GBK"/>
          <w:b/>
          <w:bCs w:val="0"/>
          <w:sz w:val="33"/>
          <w:szCs w:val="33"/>
        </w:rPr>
      </w:pPr>
      <w:r>
        <w:rPr>
          <w:rFonts w:eastAsia="方正小标宋_GBK"/>
          <w:bCs w:val="0"/>
          <w:sz w:val="38"/>
          <w:szCs w:val="38"/>
        </w:rPr>
        <w:t xml:space="preserve">第一部分  </w:t>
      </w:r>
      <w:r>
        <w:rPr>
          <w:rStyle w:val="28"/>
          <w:rFonts w:eastAsia="方正小标宋_GBK"/>
          <w:b/>
          <w:bCs w:val="0"/>
          <w:sz w:val="38"/>
          <w:szCs w:val="38"/>
        </w:rPr>
        <w:t>部门概况</w:t>
      </w:r>
      <w:bookmarkEnd w:id="12"/>
      <w:bookmarkEnd w:id="13"/>
    </w:p>
    <w:p w14:paraId="614E0A5B">
      <w:pPr>
        <w:spacing w:line="576" w:lineRule="exact"/>
        <w:rPr>
          <w:rFonts w:eastAsia="方正仿宋_GBK"/>
          <w:sz w:val="33"/>
          <w:szCs w:val="33"/>
        </w:rPr>
      </w:pPr>
    </w:p>
    <w:p w14:paraId="1EA15EE1">
      <w:pPr>
        <w:pStyle w:val="4"/>
        <w:spacing w:before="0" w:after="0" w:line="576" w:lineRule="exact"/>
        <w:ind w:firstLine="660" w:firstLineChars="200"/>
        <w:rPr>
          <w:rFonts w:ascii="Times New Roman" w:hAnsi="Times New Roman" w:eastAsia="方正仿宋_GBK" w:cs="Times New Roman"/>
          <w:b w:val="0"/>
          <w:sz w:val="33"/>
          <w:szCs w:val="33"/>
        </w:rPr>
      </w:pPr>
      <w:r>
        <w:rPr>
          <w:rFonts w:ascii="Times New Roman" w:hAnsi="Times New Roman" w:eastAsia="方正黑体_GBK" w:cs="Times New Roman"/>
          <w:b w:val="0"/>
          <w:sz w:val="33"/>
          <w:szCs w:val="33"/>
        </w:rPr>
        <w:t>一、部门职责</w:t>
      </w:r>
    </w:p>
    <w:p w14:paraId="3F0EDAA1">
      <w:pPr>
        <w:spacing w:line="576" w:lineRule="exact"/>
        <w:ind w:firstLine="660" w:firstLineChars="200"/>
        <w:rPr>
          <w:rFonts w:eastAsia="方正仿宋_GBK"/>
          <w:kern w:val="0"/>
          <w:sz w:val="33"/>
          <w:szCs w:val="33"/>
        </w:rPr>
      </w:pPr>
      <w:r>
        <w:rPr>
          <w:rFonts w:eastAsia="方正仿宋_GBK"/>
          <w:kern w:val="0"/>
          <w:sz w:val="33"/>
          <w:szCs w:val="33"/>
        </w:rPr>
        <w:t>中共盐边县委党校属于参公事业单位，主要职能是承担各级党员领导干部以及年轻后备干部的培训工作、宣传党的理论、路线、方针和政策，完成科研课题，围绕县委、县政府的重大战略部署和政策，为全县经济和社会发展服务。</w:t>
      </w:r>
    </w:p>
    <w:p w14:paraId="3BC6D831">
      <w:pPr>
        <w:pStyle w:val="4"/>
        <w:spacing w:before="0" w:after="0" w:line="576" w:lineRule="exact"/>
        <w:ind w:firstLine="660" w:firstLineChars="200"/>
        <w:rPr>
          <w:rStyle w:val="29"/>
          <w:rFonts w:ascii="Times New Roman" w:hAnsi="Times New Roman" w:eastAsia="方正仿宋_GBK" w:cs="Times New Roman"/>
          <w:b w:val="0"/>
          <w:bCs w:val="0"/>
          <w:sz w:val="33"/>
          <w:szCs w:val="33"/>
        </w:rPr>
      </w:pPr>
      <w:bookmarkStart w:id="14" w:name="_Toc15377200"/>
      <w:bookmarkStart w:id="15" w:name="_Toc15396601"/>
      <w:r>
        <w:rPr>
          <w:rFonts w:ascii="Times New Roman" w:hAnsi="Times New Roman" w:eastAsia="方正黑体_GBK" w:cs="Times New Roman"/>
          <w:b w:val="0"/>
          <w:sz w:val="33"/>
          <w:szCs w:val="33"/>
        </w:rPr>
        <w:t>二、机构设置</w:t>
      </w:r>
      <w:bookmarkEnd w:id="14"/>
      <w:bookmarkEnd w:id="15"/>
    </w:p>
    <w:p w14:paraId="146C7EF0">
      <w:pPr>
        <w:spacing w:line="576" w:lineRule="exact"/>
        <w:ind w:firstLine="660" w:firstLineChars="200"/>
        <w:rPr>
          <w:rFonts w:eastAsia="方正仿宋_GBK"/>
          <w:sz w:val="33"/>
          <w:szCs w:val="33"/>
        </w:rPr>
      </w:pPr>
      <w:r>
        <w:rPr>
          <w:rFonts w:eastAsia="方正仿宋_GBK"/>
          <w:sz w:val="33"/>
          <w:szCs w:val="33"/>
        </w:rPr>
        <w:t>中共盐边县委党校属于独立核算机构，下属二级预算单位0个，其中行政单位0个，参照公务员法管理的事业单位</w:t>
      </w:r>
      <w:r>
        <w:rPr>
          <w:rFonts w:eastAsia="方正仿宋_GBK"/>
          <w:bCs/>
          <w:sz w:val="33"/>
          <w:szCs w:val="33"/>
        </w:rPr>
        <w:t>0</w:t>
      </w:r>
      <w:r>
        <w:rPr>
          <w:rFonts w:eastAsia="方正仿宋_GBK"/>
          <w:sz w:val="33"/>
          <w:szCs w:val="33"/>
        </w:rPr>
        <w:t>个，其他事业单位0个。</w:t>
      </w:r>
    </w:p>
    <w:p w14:paraId="76B0547A">
      <w:pPr>
        <w:spacing w:line="576" w:lineRule="exact"/>
        <w:rPr>
          <w:rFonts w:eastAsia="方正仿宋_GBK"/>
          <w:kern w:val="0"/>
          <w:sz w:val="33"/>
          <w:szCs w:val="33"/>
        </w:rPr>
      </w:pPr>
      <w:r>
        <w:rPr>
          <w:rFonts w:eastAsia="方正仿宋_GBK"/>
          <w:sz w:val="33"/>
          <w:szCs w:val="33"/>
        </w:rPr>
        <w:br w:type="page"/>
      </w:r>
    </w:p>
    <w:p w14:paraId="20B66238">
      <w:pPr>
        <w:pStyle w:val="3"/>
        <w:spacing w:before="0" w:after="0" w:line="576" w:lineRule="exact"/>
        <w:jc w:val="center"/>
        <w:rPr>
          <w:rStyle w:val="28"/>
          <w:rFonts w:eastAsia="方正仿宋_GBK"/>
          <w:b w:val="0"/>
          <w:bCs/>
          <w:sz w:val="33"/>
          <w:szCs w:val="33"/>
        </w:rPr>
      </w:pPr>
      <w:bookmarkStart w:id="16" w:name="_Toc15396602"/>
      <w:bookmarkStart w:id="17" w:name="_Toc15377204"/>
      <w:r>
        <w:rPr>
          <w:rFonts w:eastAsia="方正小标宋_GBK"/>
          <w:bCs w:val="0"/>
          <w:sz w:val="38"/>
          <w:szCs w:val="38"/>
        </w:rPr>
        <w:t>第二部分  2023年度</w:t>
      </w:r>
      <w:r>
        <w:rPr>
          <w:rStyle w:val="28"/>
          <w:rFonts w:eastAsia="方正小标宋_GBK"/>
          <w:b/>
          <w:bCs w:val="0"/>
          <w:sz w:val="38"/>
          <w:szCs w:val="38"/>
        </w:rPr>
        <w:t>部门决算情况说明</w:t>
      </w:r>
      <w:bookmarkEnd w:id="16"/>
      <w:bookmarkEnd w:id="17"/>
    </w:p>
    <w:p w14:paraId="6B2FA451">
      <w:pPr>
        <w:spacing w:line="576" w:lineRule="exact"/>
        <w:rPr>
          <w:rFonts w:eastAsia="方正仿宋_GBK"/>
          <w:sz w:val="33"/>
          <w:szCs w:val="33"/>
        </w:rPr>
      </w:pPr>
    </w:p>
    <w:p w14:paraId="4E1B5CCA">
      <w:pPr>
        <w:pStyle w:val="27"/>
        <w:spacing w:line="576" w:lineRule="exact"/>
        <w:ind w:left="-720" w:firstLine="1320" w:firstLineChars="400"/>
        <w:outlineLvl w:val="1"/>
        <w:rPr>
          <w:rStyle w:val="29"/>
          <w:rFonts w:ascii="Times New Roman" w:hAnsi="Times New Roman" w:eastAsia="方正仿宋_GBK" w:cs="Times New Roman"/>
          <w:b w:val="0"/>
          <w:sz w:val="33"/>
          <w:szCs w:val="33"/>
        </w:rPr>
      </w:pPr>
      <w:bookmarkStart w:id="18" w:name="_Toc15396603"/>
      <w:bookmarkStart w:id="19" w:name="_Toc15377205"/>
      <w:r>
        <w:rPr>
          <w:rFonts w:eastAsia="方正黑体_GBK"/>
          <w:sz w:val="33"/>
          <w:szCs w:val="33"/>
        </w:rPr>
        <w:t>一、收</w:t>
      </w:r>
      <w:r>
        <w:rPr>
          <w:rStyle w:val="29"/>
          <w:rFonts w:ascii="Times New Roman" w:hAnsi="Times New Roman" w:eastAsia="方正黑体_GBK" w:cs="Times New Roman"/>
          <w:b w:val="0"/>
          <w:sz w:val="33"/>
          <w:szCs w:val="33"/>
        </w:rPr>
        <w:t>入支出决算总体情况说明</w:t>
      </w:r>
      <w:bookmarkEnd w:id="18"/>
      <w:bookmarkEnd w:id="19"/>
    </w:p>
    <w:p w14:paraId="5D05D551">
      <w:pPr>
        <w:pStyle w:val="26"/>
        <w:spacing w:line="576" w:lineRule="exact"/>
        <w:ind w:firstLine="660"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2023年度收、支总计均为601.63万元。与2022年度收、支总计均为285.95万元相比，收、支总计各增加315.68万元，增长110.4%。主要变动原因是财政拨款收入中的人员经费和日常公用经费，项目中的培训费增加。</w:t>
      </w:r>
    </w:p>
    <w:p w14:paraId="07D187DD">
      <w:pPr>
        <w:pStyle w:val="2"/>
        <w:spacing w:before="0" w:after="0" w:line="240" w:lineRule="auto"/>
        <w:jc w:val="center"/>
        <w:rPr>
          <w:rFonts w:ascii="Times New Roman" w:hAnsi="Times New Roman" w:eastAsia="方正仿宋_GBK"/>
          <w:sz w:val="33"/>
          <w:szCs w:val="33"/>
        </w:rPr>
      </w:pPr>
      <w:r>
        <w:rPr>
          <w:rFonts w:ascii="Times New Roman" w:hAnsi="Times New Roman" w:eastAsia="方正仿宋_GBK"/>
          <w:sz w:val="33"/>
          <w:szCs w:val="33"/>
        </w:rPr>
        <w:drawing>
          <wp:inline distT="0" distB="0" distL="114300" distR="114300">
            <wp:extent cx="4572000" cy="2743200"/>
            <wp:effectExtent l="4445" t="4445" r="14605" b="14605"/>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572163AD">
      <w:pPr>
        <w:pStyle w:val="26"/>
        <w:spacing w:line="576" w:lineRule="exact"/>
        <w:jc w:val="center"/>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（图1：收、支决算总计变动情况图）</w:t>
      </w:r>
    </w:p>
    <w:p w14:paraId="29079B11">
      <w:pPr>
        <w:pStyle w:val="27"/>
        <w:spacing w:line="576" w:lineRule="exact"/>
        <w:ind w:firstLine="660"/>
        <w:outlineLvl w:val="1"/>
        <w:rPr>
          <w:rFonts w:eastAsia="方正仿宋_GBK"/>
          <w:b/>
          <w:bCs/>
          <w:sz w:val="33"/>
          <w:szCs w:val="33"/>
        </w:rPr>
      </w:pPr>
      <w:bookmarkStart w:id="20" w:name="_Toc15396604"/>
      <w:bookmarkStart w:id="21" w:name="_Toc15377206"/>
      <w:r>
        <w:rPr>
          <w:rFonts w:eastAsia="方正黑体_GBK"/>
          <w:sz w:val="33"/>
          <w:szCs w:val="33"/>
        </w:rPr>
        <w:t>二、收入决算情况说明</w:t>
      </w:r>
      <w:bookmarkEnd w:id="20"/>
      <w:bookmarkEnd w:id="21"/>
    </w:p>
    <w:p w14:paraId="0F686E7F">
      <w:pPr>
        <w:pStyle w:val="26"/>
        <w:spacing w:line="576" w:lineRule="exact"/>
        <w:ind w:firstLine="660"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2023年度本年收入合计601.63万元，其中：一般公共预算财政拨款收入601.63万元，占100%；政府性基金预算财政拨款收入0万元，占0%；国有资本经营预算财政拨款收入0万元，占0%；上级补助收入0万元，占0%；事业收入0万元，占0%；经营收入0万元，占0%；附属单位上缴收入0万元，占0%；其他收入0万元，占0%</w:t>
      </w:r>
    </w:p>
    <w:p w14:paraId="475885A3">
      <w:pPr>
        <w:pStyle w:val="2"/>
        <w:spacing w:before="0" w:after="0" w:line="240" w:lineRule="auto"/>
        <w:jc w:val="center"/>
        <w:rPr>
          <w:rFonts w:ascii="Times New Roman" w:hAnsi="Times New Roman" w:eastAsia="方正仿宋_GBK"/>
          <w:sz w:val="33"/>
          <w:szCs w:val="33"/>
        </w:rPr>
      </w:pPr>
      <w:r>
        <w:rPr>
          <w:rFonts w:ascii="Times New Roman" w:hAnsi="Times New Roman" w:eastAsia="方正仿宋_GBK"/>
          <w:sz w:val="33"/>
          <w:szCs w:val="33"/>
        </w:rPr>
        <w:drawing>
          <wp:inline distT="0" distB="0" distL="114300" distR="114300">
            <wp:extent cx="4572000" cy="2743200"/>
            <wp:effectExtent l="4445" t="4445" r="14605" b="14605"/>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5773DF87">
      <w:pPr>
        <w:pStyle w:val="26"/>
        <w:spacing w:line="576" w:lineRule="exact"/>
        <w:jc w:val="center"/>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（图2：收入决算结构图）</w:t>
      </w:r>
    </w:p>
    <w:p w14:paraId="3B403607">
      <w:pPr>
        <w:pStyle w:val="27"/>
        <w:spacing w:line="576" w:lineRule="exact"/>
        <w:ind w:firstLine="660"/>
        <w:outlineLvl w:val="1"/>
        <w:rPr>
          <w:rFonts w:eastAsia="方正仿宋_GBK"/>
          <w:b/>
          <w:bCs/>
          <w:sz w:val="33"/>
          <w:szCs w:val="33"/>
        </w:rPr>
      </w:pPr>
      <w:bookmarkStart w:id="22" w:name="_Toc15396605"/>
      <w:bookmarkStart w:id="23" w:name="_Toc15377207"/>
      <w:r>
        <w:rPr>
          <w:rFonts w:eastAsia="方正黑体_GBK"/>
          <w:sz w:val="33"/>
          <w:szCs w:val="33"/>
        </w:rPr>
        <w:t>三、支出决算情况说明</w:t>
      </w:r>
      <w:bookmarkEnd w:id="22"/>
      <w:bookmarkEnd w:id="23"/>
    </w:p>
    <w:p w14:paraId="2E7B7149">
      <w:pPr>
        <w:pStyle w:val="26"/>
        <w:spacing w:line="576" w:lineRule="exact"/>
        <w:ind w:firstLine="660"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2023年度本年支出合计601.63万元，其中：基本支出420.07万元，占69.82%；项目支出181.56万元，占30.18%。</w:t>
      </w:r>
    </w:p>
    <w:p w14:paraId="2A65F5FB">
      <w:pPr>
        <w:pStyle w:val="2"/>
        <w:spacing w:before="0" w:after="0" w:line="240" w:lineRule="auto"/>
        <w:jc w:val="center"/>
        <w:rPr>
          <w:rFonts w:ascii="Times New Roman" w:hAnsi="Times New Roman" w:eastAsia="方正仿宋_GBK"/>
          <w:sz w:val="33"/>
          <w:szCs w:val="33"/>
        </w:rPr>
      </w:pPr>
      <w:r>
        <w:rPr>
          <w:rFonts w:ascii="Times New Roman" w:hAnsi="Times New Roman" w:eastAsia="方正仿宋_GBK"/>
          <w:sz w:val="33"/>
          <w:szCs w:val="33"/>
        </w:rPr>
        <w:drawing>
          <wp:inline distT="0" distB="0" distL="114300" distR="114300">
            <wp:extent cx="4394200" cy="3169920"/>
            <wp:effectExtent l="4445" t="4445" r="20955" b="6985"/>
            <wp:docPr id="1"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673EB971">
      <w:pPr>
        <w:pStyle w:val="26"/>
        <w:spacing w:line="576" w:lineRule="exact"/>
        <w:jc w:val="center"/>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（图3：支出决算结构图）</w:t>
      </w:r>
    </w:p>
    <w:p w14:paraId="352A4E3B">
      <w:pPr>
        <w:pStyle w:val="27"/>
        <w:spacing w:line="576" w:lineRule="exact"/>
        <w:ind w:firstLine="660"/>
        <w:outlineLvl w:val="1"/>
        <w:rPr>
          <w:rFonts w:eastAsia="方正仿宋_GBK"/>
          <w:b/>
          <w:bCs/>
          <w:sz w:val="33"/>
          <w:szCs w:val="33"/>
        </w:rPr>
      </w:pPr>
      <w:bookmarkStart w:id="24" w:name="_Toc15396606"/>
      <w:bookmarkStart w:id="25" w:name="_Toc15377208"/>
      <w:r>
        <w:rPr>
          <w:rFonts w:eastAsia="方正黑体_GBK"/>
          <w:sz w:val="33"/>
          <w:szCs w:val="33"/>
        </w:rPr>
        <w:t>四、财政拨款收入支出决算总体情况说明</w:t>
      </w:r>
      <w:bookmarkEnd w:id="24"/>
      <w:bookmarkEnd w:id="25"/>
    </w:p>
    <w:p w14:paraId="53F400DC">
      <w:pPr>
        <w:pStyle w:val="26"/>
        <w:spacing w:line="576" w:lineRule="exact"/>
        <w:ind w:firstLine="660"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2023年度财政拨款收、支总计均为601.63万元。与2022年度财政拨款收、支总计均为285.95万元相比，财政拨款收、支总计各增加315.68万元，增长110.4%。主要变动原因是一般公共预算财政拨款中人员经费和日常公用经费，项目中的培训费增加。</w:t>
      </w:r>
    </w:p>
    <w:p w14:paraId="0FCEE9B2">
      <w:pPr>
        <w:pStyle w:val="2"/>
        <w:spacing w:before="0" w:after="0" w:line="240" w:lineRule="auto"/>
        <w:jc w:val="center"/>
        <w:rPr>
          <w:rFonts w:ascii="Times New Roman" w:hAnsi="Times New Roman" w:eastAsia="方正仿宋_GBK"/>
          <w:sz w:val="33"/>
          <w:szCs w:val="33"/>
        </w:rPr>
      </w:pPr>
      <w:r>
        <w:rPr>
          <w:rFonts w:ascii="Times New Roman" w:hAnsi="Times New Roman" w:eastAsia="方正仿宋_GBK"/>
          <w:sz w:val="33"/>
          <w:szCs w:val="33"/>
        </w:rPr>
        <w:drawing>
          <wp:inline distT="0" distB="0" distL="114300" distR="114300">
            <wp:extent cx="4572000" cy="2743200"/>
            <wp:effectExtent l="4445" t="4445" r="14605" b="14605"/>
            <wp:docPr id="15" name="图表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49E8D4D6">
      <w:pPr>
        <w:pStyle w:val="26"/>
        <w:spacing w:line="576" w:lineRule="exact"/>
        <w:ind w:firstLine="660" w:firstLineChars="200"/>
        <w:jc w:val="both"/>
        <w:rPr>
          <w:rFonts w:ascii="Times New Roman" w:hAnsi="Times New Roman" w:eastAsia="方正仿宋_GBK" w:cs="Times New Roman"/>
          <w:b/>
          <w:sz w:val="33"/>
          <w:szCs w:val="33"/>
        </w:rPr>
      </w:pPr>
      <w:r>
        <w:rPr>
          <w:rFonts w:ascii="Times New Roman" w:hAnsi="Times New Roman" w:eastAsia="方正仿宋_GBK" w:cs="Times New Roman"/>
          <w:color w:val="auto"/>
          <w:sz w:val="33"/>
          <w:szCs w:val="33"/>
        </w:rPr>
        <w:t>（图4：财政拨款收、支决算总计变动情况）</w:t>
      </w:r>
    </w:p>
    <w:p w14:paraId="74053BDC">
      <w:pPr>
        <w:pStyle w:val="27"/>
        <w:spacing w:line="576" w:lineRule="exact"/>
        <w:ind w:firstLine="660"/>
        <w:outlineLvl w:val="1"/>
        <w:rPr>
          <w:rFonts w:eastAsia="方正仿宋_GBK"/>
          <w:b/>
          <w:bCs/>
          <w:sz w:val="33"/>
          <w:szCs w:val="33"/>
        </w:rPr>
      </w:pPr>
      <w:bookmarkStart w:id="26" w:name="_Toc15377209"/>
      <w:bookmarkStart w:id="27" w:name="_Toc15396607"/>
      <w:r>
        <w:rPr>
          <w:rFonts w:eastAsia="方正黑体_GBK"/>
          <w:sz w:val="33"/>
          <w:szCs w:val="33"/>
        </w:rPr>
        <w:t>五、一般公共预算财政拨款支出决算情况说明</w:t>
      </w:r>
      <w:bookmarkEnd w:id="26"/>
      <w:bookmarkEnd w:id="27"/>
    </w:p>
    <w:p w14:paraId="18912765">
      <w:pPr>
        <w:pStyle w:val="26"/>
        <w:spacing w:line="576" w:lineRule="exact"/>
        <w:ind w:firstLine="663" w:firstLineChars="200"/>
        <w:jc w:val="both"/>
        <w:rPr>
          <w:rFonts w:ascii="Times New Roman" w:hAnsi="Times New Roman" w:eastAsia="方正楷体_GBK" w:cs="Times New Roman"/>
          <w:b/>
          <w:bCs/>
          <w:color w:val="auto"/>
          <w:sz w:val="33"/>
          <w:szCs w:val="33"/>
        </w:rPr>
      </w:pPr>
      <w:bookmarkStart w:id="28" w:name="_Toc15377210"/>
      <w:r>
        <w:rPr>
          <w:rFonts w:ascii="Times New Roman" w:hAnsi="Times New Roman" w:eastAsia="方正楷体_GBK" w:cs="Times New Roman"/>
          <w:b/>
          <w:bCs/>
          <w:color w:val="auto"/>
          <w:sz w:val="33"/>
          <w:szCs w:val="33"/>
        </w:rPr>
        <w:t>（一）一般公共预算财政拨款支出决算总体情况</w:t>
      </w:r>
      <w:bookmarkEnd w:id="28"/>
    </w:p>
    <w:p w14:paraId="743784C8">
      <w:pPr>
        <w:pStyle w:val="26"/>
        <w:spacing w:line="576" w:lineRule="exact"/>
        <w:ind w:firstLine="660"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2023年度一般公共预算财政拨款支出601.63万元，占本年支出合计的100%。与2022年度一般公共预算财政拨款支出285.95万元相比，一般公共预算财政拨款支出增加315.68万元，增长110.4%。主要变动原因是基本支出中的人员经费和日常公用经费增加，项目支出中的培训经费增加。</w:t>
      </w:r>
    </w:p>
    <w:p w14:paraId="31C52F5D">
      <w:pPr>
        <w:jc w:val="center"/>
        <w:rPr>
          <w:rFonts w:eastAsia="方正仿宋_GBK"/>
          <w:sz w:val="33"/>
          <w:szCs w:val="33"/>
        </w:rPr>
      </w:pPr>
      <w:r>
        <w:rPr>
          <w:rFonts w:eastAsia="方正仿宋_GBK"/>
          <w:sz w:val="33"/>
          <w:szCs w:val="33"/>
        </w:rPr>
        <w:drawing>
          <wp:inline distT="0" distB="0" distL="114300" distR="114300">
            <wp:extent cx="4572000" cy="4114800"/>
            <wp:effectExtent l="4445" t="4445" r="14605" b="14605"/>
            <wp:docPr id="17" name="图表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0570F568">
      <w:pPr>
        <w:pStyle w:val="26"/>
        <w:spacing w:line="576" w:lineRule="exact"/>
        <w:jc w:val="center"/>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（图5：一般公共预算财政拨款支出决算变动情况）</w:t>
      </w:r>
      <w:bookmarkStart w:id="29" w:name="_Toc15377211"/>
    </w:p>
    <w:p w14:paraId="675147A6">
      <w:pPr>
        <w:pStyle w:val="26"/>
        <w:spacing w:line="576" w:lineRule="exact"/>
        <w:ind w:firstLine="663" w:firstLineChars="200"/>
        <w:jc w:val="both"/>
        <w:rPr>
          <w:rFonts w:ascii="Times New Roman" w:hAnsi="Times New Roman" w:eastAsia="方正楷体_GBK" w:cs="Times New Roman"/>
          <w:b/>
          <w:bCs/>
          <w:color w:val="auto"/>
          <w:sz w:val="33"/>
          <w:szCs w:val="33"/>
        </w:rPr>
      </w:pPr>
      <w:r>
        <w:rPr>
          <w:rFonts w:ascii="Times New Roman" w:hAnsi="Times New Roman" w:eastAsia="方正楷体_GBK" w:cs="Times New Roman"/>
          <w:b/>
          <w:bCs/>
          <w:color w:val="auto"/>
          <w:sz w:val="33"/>
          <w:szCs w:val="33"/>
        </w:rPr>
        <w:t>（二）一般公共预算财政拨款支出决算结构情况</w:t>
      </w:r>
      <w:bookmarkEnd w:id="29"/>
    </w:p>
    <w:p w14:paraId="1DA0398B">
      <w:pPr>
        <w:pStyle w:val="26"/>
        <w:spacing w:line="576" w:lineRule="exact"/>
        <w:ind w:firstLine="660"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2023年度一般公共预算财政拨款支出601.63万元，主要用于以下方面:一般公共服务支出178.04万元，占29.59%；教育支出337.26万元，占56.06%；社会保障和就业支出44.09万元，占7.33%；卫生健康支出21.98万元，占3.65%；住房保障支出20.26万元，占3.37%。</w:t>
      </w:r>
    </w:p>
    <w:p w14:paraId="0084A6A4">
      <w:pPr>
        <w:pStyle w:val="2"/>
        <w:spacing w:before="0" w:after="0" w:line="576" w:lineRule="exact"/>
        <w:jc w:val="both"/>
        <w:rPr>
          <w:rFonts w:ascii="Times New Roman" w:hAnsi="Times New Roman" w:eastAsia="方正仿宋_GBK"/>
          <w:sz w:val="33"/>
          <w:szCs w:val="33"/>
        </w:rPr>
      </w:pPr>
    </w:p>
    <w:p w14:paraId="6B599608">
      <w:pPr>
        <w:spacing w:line="576" w:lineRule="exact"/>
        <w:rPr>
          <w:rFonts w:eastAsia="方正仿宋_GBK"/>
          <w:sz w:val="33"/>
          <w:szCs w:val="33"/>
        </w:rPr>
      </w:pPr>
    </w:p>
    <w:p w14:paraId="45F884FD">
      <w:pPr>
        <w:pStyle w:val="2"/>
        <w:spacing w:before="0" w:after="0" w:line="240" w:lineRule="auto"/>
        <w:jc w:val="center"/>
        <w:rPr>
          <w:rFonts w:ascii="Times New Roman" w:hAnsi="Times New Roman" w:eastAsia="方正仿宋_GBK"/>
          <w:sz w:val="33"/>
          <w:szCs w:val="33"/>
        </w:rPr>
      </w:pPr>
      <w:r>
        <w:rPr>
          <w:rFonts w:ascii="Times New Roman" w:hAnsi="Times New Roman" w:eastAsia="方正仿宋_GBK"/>
          <w:sz w:val="33"/>
          <w:szCs w:val="33"/>
        </w:rPr>
        <w:drawing>
          <wp:inline distT="0" distB="0" distL="114300" distR="114300">
            <wp:extent cx="4810760" cy="3556000"/>
            <wp:effectExtent l="4445" t="4445" r="23495" b="20955"/>
            <wp:docPr id="19" name="图表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31AADA96">
      <w:pPr>
        <w:pStyle w:val="26"/>
        <w:spacing w:line="576" w:lineRule="exact"/>
        <w:jc w:val="center"/>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（图6：一般公共预算财政拨款支出决算结构）</w:t>
      </w:r>
      <w:bookmarkStart w:id="30" w:name="_Toc15377212"/>
    </w:p>
    <w:p w14:paraId="687E94C3">
      <w:pPr>
        <w:pStyle w:val="26"/>
        <w:spacing w:line="576" w:lineRule="exact"/>
        <w:ind w:firstLine="663" w:firstLineChars="200"/>
        <w:jc w:val="both"/>
        <w:rPr>
          <w:rFonts w:ascii="Times New Roman" w:hAnsi="Times New Roman" w:eastAsia="方正楷体_GBK" w:cs="Times New Roman"/>
          <w:b/>
          <w:bCs/>
          <w:color w:val="auto"/>
          <w:sz w:val="33"/>
          <w:szCs w:val="33"/>
        </w:rPr>
      </w:pPr>
      <w:r>
        <w:rPr>
          <w:rFonts w:ascii="Times New Roman" w:hAnsi="Times New Roman" w:eastAsia="方正楷体_GBK" w:cs="Times New Roman"/>
          <w:b/>
          <w:bCs/>
          <w:color w:val="auto"/>
          <w:sz w:val="33"/>
          <w:szCs w:val="33"/>
        </w:rPr>
        <w:t>（三）一般公共预算财政拨款支出决算具体情况</w:t>
      </w:r>
      <w:bookmarkEnd w:id="30"/>
    </w:p>
    <w:p w14:paraId="69E857BF">
      <w:pPr>
        <w:pStyle w:val="26"/>
        <w:spacing w:line="576" w:lineRule="exact"/>
        <w:ind w:firstLine="660" w:firstLineChars="200"/>
        <w:jc w:val="both"/>
        <w:rPr>
          <w:rFonts w:ascii="Times New Roman" w:hAnsi="Times New Roman" w:eastAsia="方正仿宋_GBK" w:cs="Times New Roman"/>
          <w:color w:val="auto"/>
          <w:sz w:val="33"/>
          <w:szCs w:val="33"/>
        </w:rPr>
      </w:pPr>
      <w:bookmarkStart w:id="31" w:name="_Toc15377444"/>
      <w:bookmarkStart w:id="32" w:name="_Toc15378460"/>
      <w:bookmarkStart w:id="33" w:name="_Toc15377213"/>
      <w:r>
        <w:rPr>
          <w:rFonts w:ascii="Times New Roman" w:hAnsi="Times New Roman" w:eastAsia="方正仿宋_GBK" w:cs="Times New Roman"/>
          <w:color w:val="auto"/>
          <w:sz w:val="33"/>
          <w:szCs w:val="33"/>
        </w:rPr>
        <w:t>2023年度一般公共预算支出决算数为601.6</w:t>
      </w:r>
      <w:r>
        <w:rPr>
          <w:rFonts w:hint="eastAsia" w:ascii="Times New Roman" w:hAnsi="Times New Roman" w:eastAsia="方正仿宋_GBK" w:cs="Times New Roman"/>
          <w:color w:val="auto"/>
          <w:sz w:val="33"/>
          <w:szCs w:val="33"/>
        </w:rPr>
        <w:t>3万元</w:t>
      </w:r>
      <w:r>
        <w:rPr>
          <w:rFonts w:ascii="Times New Roman" w:hAnsi="Times New Roman" w:eastAsia="方正仿宋_GBK" w:cs="Times New Roman"/>
          <w:color w:val="auto"/>
          <w:sz w:val="33"/>
          <w:szCs w:val="33"/>
        </w:rPr>
        <w:t>，完成预算100%。其中：</w:t>
      </w:r>
      <w:bookmarkEnd w:id="31"/>
      <w:bookmarkEnd w:id="32"/>
      <w:bookmarkEnd w:id="33"/>
    </w:p>
    <w:p w14:paraId="5984A56D">
      <w:pPr>
        <w:pStyle w:val="26"/>
        <w:spacing w:line="576" w:lineRule="exact"/>
        <w:ind w:firstLine="663"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b/>
          <w:bCs/>
          <w:color w:val="auto"/>
          <w:sz w:val="33"/>
          <w:szCs w:val="33"/>
        </w:rPr>
        <w:t>1.一般公共服务支出决算为178.04万元，完成预算100%。</w:t>
      </w:r>
      <w:r>
        <w:rPr>
          <w:rFonts w:ascii="Times New Roman" w:hAnsi="Times New Roman" w:eastAsia="方正仿宋_GBK" w:cs="Times New Roman"/>
          <w:color w:val="auto"/>
          <w:sz w:val="33"/>
          <w:szCs w:val="33"/>
        </w:rPr>
        <w:t>其中：（1）一般公共服务（类）组织事务（款）一般行政管理事务（项）：支出决算数为39.96万元；（2）一般公共服务（类）组织事务（款）其他组织事务（项）：支出决算数为138.08万元。</w:t>
      </w:r>
    </w:p>
    <w:p w14:paraId="4486CD86">
      <w:pPr>
        <w:pStyle w:val="26"/>
        <w:spacing w:line="576" w:lineRule="exact"/>
        <w:ind w:firstLine="663"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b/>
          <w:bCs/>
          <w:color w:val="auto"/>
          <w:sz w:val="33"/>
          <w:szCs w:val="33"/>
        </w:rPr>
        <w:t>2.教育支出决算为337.26万元，完成预算100%。</w:t>
      </w:r>
      <w:r>
        <w:rPr>
          <w:rFonts w:ascii="Times New Roman" w:hAnsi="Times New Roman" w:eastAsia="方正仿宋_GBK" w:cs="Times New Roman"/>
          <w:color w:val="auto"/>
          <w:sz w:val="33"/>
          <w:szCs w:val="33"/>
        </w:rPr>
        <w:t>其中：（1）教育支出（类）教育管理事务（款）行政运行（项）：支出决算数为244.93万元；（2）教育支出（类）教育管理事务（款）其他教育管理事务支出（项）：支出决算数为0.81万元；（3）教育支出（类）进修及培训（款）干部教育（项）：支出决算数为91.52万元。</w:t>
      </w:r>
    </w:p>
    <w:p w14:paraId="42E06A79">
      <w:pPr>
        <w:pStyle w:val="26"/>
        <w:spacing w:line="576" w:lineRule="exact"/>
        <w:ind w:firstLine="663"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b/>
          <w:bCs/>
          <w:color w:val="auto"/>
          <w:sz w:val="33"/>
          <w:szCs w:val="33"/>
        </w:rPr>
        <w:t xml:space="preserve">3.社会保障和就业: </w:t>
      </w:r>
      <w:r>
        <w:rPr>
          <w:rFonts w:ascii="Times New Roman" w:hAnsi="Times New Roman" w:eastAsia="方正仿宋_GBK" w:cs="Times New Roman"/>
          <w:color w:val="auto"/>
          <w:sz w:val="33"/>
          <w:szCs w:val="33"/>
        </w:rPr>
        <w:t>支出决算为44.09万元，完成预算100%。其中（1)教社会保障和就业（类）行政事业单位养老（款）机关事业单位基本养老保险缴费（项）：支出决算数为27.68万元；（2）教社会保障和就业（类）行政事业单位养老（款）机关事业单位职业年金缴费（项）：支出决算数为0.14万元；（3）教社会保障和就业（类）行政事业单位养老（款）事业单位离退休（项）：支出决算数为4.33万元；（4）教社会保障和就业（类）行政事业单位养老（款）行政单位离退休（项）：支出决算数为11.94万元；</w:t>
      </w:r>
    </w:p>
    <w:p w14:paraId="4372D6CE">
      <w:pPr>
        <w:pStyle w:val="26"/>
        <w:spacing w:line="576" w:lineRule="exact"/>
        <w:ind w:firstLine="663"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b/>
          <w:bCs/>
          <w:color w:val="auto"/>
          <w:sz w:val="33"/>
          <w:szCs w:val="33"/>
        </w:rPr>
        <w:t>4.卫生健康:</w:t>
      </w:r>
      <w:r>
        <w:rPr>
          <w:rFonts w:ascii="Times New Roman" w:hAnsi="Times New Roman" w:eastAsia="方正仿宋_GBK" w:cs="Times New Roman"/>
          <w:color w:val="auto"/>
          <w:sz w:val="33"/>
          <w:szCs w:val="33"/>
        </w:rPr>
        <w:t>支出决算为21.98万元，完成预算100%。其中：（1）卫生健康（类）行政事业单位医疗（款）事业单位医疗（项）：支出决算数为5.38万元；（2）卫生健康（类）行政事业单位医疗（款）其他行政事业单位医疗（项）：支出决算数为7.43万元；（3）卫生健康（类）行政事业单位医疗（款）行政单位医疗（项）：支出决算数为8.29万元；（4）卫生健康（类）行政事业单位医疗（款）公务员医疗补助（项）：支出决算数为0.88万元。</w:t>
      </w:r>
    </w:p>
    <w:p w14:paraId="26EA5B90">
      <w:pPr>
        <w:pStyle w:val="26"/>
        <w:spacing w:line="576" w:lineRule="exact"/>
        <w:ind w:firstLine="663"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b/>
          <w:bCs/>
          <w:color w:val="auto"/>
          <w:sz w:val="33"/>
          <w:szCs w:val="33"/>
        </w:rPr>
        <w:t>5.住房保障:</w:t>
      </w:r>
      <w:r>
        <w:rPr>
          <w:rFonts w:ascii="Times New Roman" w:hAnsi="Times New Roman" w:eastAsia="方正仿宋_GBK" w:cs="Times New Roman"/>
          <w:color w:val="auto"/>
          <w:sz w:val="33"/>
          <w:szCs w:val="33"/>
        </w:rPr>
        <w:t>支出决算为20.26万元，完成预算100%。其中：住房保障（类）住房改革（款）住房公积金（项）：支出决算数为20.26万元.</w:t>
      </w:r>
    </w:p>
    <w:p w14:paraId="20A5D60F">
      <w:pPr>
        <w:tabs>
          <w:tab w:val="right" w:pos="8306"/>
        </w:tabs>
        <w:spacing w:line="576" w:lineRule="exact"/>
        <w:ind w:firstLine="640"/>
        <w:outlineLvl w:val="1"/>
        <w:rPr>
          <w:rFonts w:eastAsia="方正黑体_GBK"/>
          <w:sz w:val="33"/>
          <w:szCs w:val="33"/>
        </w:rPr>
      </w:pPr>
      <w:bookmarkStart w:id="34" w:name="_Toc15377214"/>
      <w:bookmarkStart w:id="35" w:name="_Toc15396608"/>
      <w:r>
        <w:rPr>
          <w:rFonts w:eastAsia="方正黑体_GBK"/>
          <w:sz w:val="33"/>
          <w:szCs w:val="33"/>
        </w:rPr>
        <w:t>六、一般公共预算财政拨款基本支出决算情况说明</w:t>
      </w:r>
      <w:bookmarkEnd w:id="34"/>
      <w:bookmarkEnd w:id="35"/>
      <w:r>
        <w:rPr>
          <w:rFonts w:eastAsia="方正黑体_GBK"/>
          <w:sz w:val="33"/>
          <w:szCs w:val="33"/>
        </w:rPr>
        <w:tab/>
      </w:r>
    </w:p>
    <w:p w14:paraId="379C170F">
      <w:pPr>
        <w:pStyle w:val="26"/>
        <w:spacing w:line="576" w:lineRule="exact"/>
        <w:ind w:firstLine="660"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2023年度一般公共预算财政拨款基本支出420.07万元，其中：人员经费276.97万元，主要包括：基本工资、津贴补贴、奖金、绩效工资、机关事业单位基本养老保险缴费、职业年金缴费、职工基本医疗保险经费、公务员医疗补助经费、其他社会保障缴费、住房公积金、医疗费、其他工资福利支出、生活补助、医疗费补助、奖励金。</w:t>
      </w:r>
      <w:r>
        <w:rPr>
          <w:rFonts w:ascii="Times New Roman" w:hAnsi="Times New Roman" w:eastAsia="方正仿宋_GBK" w:cs="Times New Roman"/>
          <w:color w:val="auto"/>
          <w:sz w:val="33"/>
          <w:szCs w:val="33"/>
        </w:rPr>
        <w:br w:type="textWrapping"/>
      </w:r>
      <w:r>
        <w:rPr>
          <w:rFonts w:ascii="Times New Roman" w:hAnsi="Times New Roman" w:eastAsia="方正仿宋_GBK" w:cs="Times New Roman"/>
          <w:color w:val="auto"/>
          <w:sz w:val="33"/>
          <w:szCs w:val="33"/>
        </w:rPr>
        <w:t>　　公用经费143.1万元，主要包括：办公费、水费、差旅费、维修（护）费、培训费、工会经费、福利费、公务用车运行维护费、其他交通费、其他商品和服务支出、其他资本性支出等。</w:t>
      </w:r>
    </w:p>
    <w:p w14:paraId="5B8724B0">
      <w:pPr>
        <w:pStyle w:val="27"/>
        <w:spacing w:line="576" w:lineRule="exact"/>
        <w:ind w:left="-720" w:firstLine="1320" w:firstLineChars="400"/>
        <w:outlineLvl w:val="1"/>
        <w:rPr>
          <w:rFonts w:eastAsia="方正黑体_GBK"/>
          <w:sz w:val="33"/>
          <w:szCs w:val="33"/>
        </w:rPr>
      </w:pPr>
      <w:bookmarkStart w:id="36" w:name="_Toc15377215"/>
      <w:bookmarkStart w:id="37" w:name="_Toc15396609"/>
      <w:r>
        <w:rPr>
          <w:rFonts w:eastAsia="方正黑体_GBK"/>
          <w:sz w:val="33"/>
          <w:szCs w:val="33"/>
        </w:rPr>
        <w:t>七、财政拨款“三公”经费支出决算情况说明</w:t>
      </w:r>
      <w:bookmarkEnd w:id="36"/>
      <w:bookmarkEnd w:id="37"/>
    </w:p>
    <w:p w14:paraId="790593A8">
      <w:pPr>
        <w:pStyle w:val="26"/>
        <w:spacing w:line="576" w:lineRule="exact"/>
        <w:ind w:firstLine="663" w:firstLineChars="200"/>
        <w:jc w:val="both"/>
        <w:rPr>
          <w:rFonts w:ascii="Times New Roman" w:hAnsi="Times New Roman" w:eastAsia="方正楷体_GBK" w:cs="Times New Roman"/>
          <w:b/>
          <w:bCs/>
          <w:color w:val="auto"/>
          <w:sz w:val="33"/>
          <w:szCs w:val="33"/>
        </w:rPr>
      </w:pPr>
      <w:bookmarkStart w:id="38" w:name="_Toc15377216"/>
      <w:r>
        <w:rPr>
          <w:rFonts w:ascii="Times New Roman" w:hAnsi="Times New Roman" w:eastAsia="方正楷体_GBK" w:cs="Times New Roman"/>
          <w:b/>
          <w:bCs/>
          <w:color w:val="auto"/>
          <w:sz w:val="33"/>
          <w:szCs w:val="33"/>
        </w:rPr>
        <w:t>（一）“三公”经费财政拨款支出决算总体情况说明</w:t>
      </w:r>
      <w:bookmarkEnd w:id="38"/>
    </w:p>
    <w:p w14:paraId="7E7DDACA">
      <w:pPr>
        <w:pStyle w:val="26"/>
        <w:spacing w:line="576" w:lineRule="exact"/>
        <w:ind w:firstLine="660"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2023年度“三公”经费财政拨款支出决算为0.97万元，完成预算100%，较上年度增加0.54万元，增长128.57%。</w:t>
      </w:r>
    </w:p>
    <w:p w14:paraId="788309EE">
      <w:pPr>
        <w:pStyle w:val="26"/>
        <w:spacing w:line="576" w:lineRule="exact"/>
        <w:ind w:firstLine="663" w:firstLineChars="200"/>
        <w:jc w:val="both"/>
        <w:rPr>
          <w:rFonts w:ascii="Times New Roman" w:hAnsi="Times New Roman" w:eastAsia="方正楷体_GBK" w:cs="Times New Roman"/>
          <w:b/>
          <w:bCs/>
          <w:color w:val="auto"/>
          <w:sz w:val="33"/>
          <w:szCs w:val="33"/>
        </w:rPr>
      </w:pPr>
      <w:bookmarkStart w:id="39" w:name="_Toc15377217"/>
      <w:r>
        <w:rPr>
          <w:rFonts w:ascii="Times New Roman" w:hAnsi="Times New Roman" w:eastAsia="方正楷体_GBK" w:cs="Times New Roman"/>
          <w:b/>
          <w:bCs/>
          <w:color w:val="auto"/>
          <w:sz w:val="33"/>
          <w:szCs w:val="33"/>
        </w:rPr>
        <w:t>（二）“三公”经费财政拨款支出决算具体情况说明</w:t>
      </w:r>
      <w:bookmarkEnd w:id="39"/>
    </w:p>
    <w:p w14:paraId="35533D2A">
      <w:pPr>
        <w:pStyle w:val="26"/>
        <w:spacing w:line="576" w:lineRule="exact"/>
        <w:ind w:firstLine="660"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2023年度“三公”经费财政拨款支出决算中，因公出国（境）费支出决算0万元，占0%；公务用车购置及运行维护费支出决算0.97万元，占100%；公务接待费支出决算0万元，占0%。具体情况如下：</w:t>
      </w:r>
    </w:p>
    <w:p w14:paraId="79B0827E">
      <w:pPr>
        <w:pStyle w:val="26"/>
        <w:spacing w:line="576" w:lineRule="exact"/>
        <w:ind w:firstLine="660" w:firstLineChars="200"/>
        <w:jc w:val="both"/>
        <w:rPr>
          <w:rFonts w:ascii="Times New Roman" w:hAnsi="Times New Roman" w:eastAsia="方正仿宋_GBK" w:cs="Times New Roman"/>
          <w:color w:val="auto"/>
          <w:sz w:val="33"/>
          <w:szCs w:val="33"/>
        </w:rPr>
      </w:pPr>
    </w:p>
    <w:p w14:paraId="70ED68AD">
      <w:pPr>
        <w:pStyle w:val="26"/>
        <w:spacing w:line="576" w:lineRule="exact"/>
        <w:ind w:firstLine="660" w:firstLineChars="200"/>
        <w:jc w:val="both"/>
        <w:rPr>
          <w:rFonts w:ascii="Times New Roman" w:hAnsi="Times New Roman" w:eastAsia="方正仿宋_GBK" w:cs="Times New Roman"/>
          <w:color w:val="auto"/>
          <w:sz w:val="33"/>
          <w:szCs w:val="33"/>
        </w:rPr>
      </w:pPr>
    </w:p>
    <w:p w14:paraId="421E3468">
      <w:pPr>
        <w:pStyle w:val="26"/>
        <w:spacing w:line="576" w:lineRule="exact"/>
        <w:ind w:firstLine="660" w:firstLineChars="200"/>
        <w:jc w:val="both"/>
        <w:rPr>
          <w:rFonts w:ascii="Times New Roman" w:hAnsi="Times New Roman" w:eastAsia="方正仿宋_GBK" w:cs="Times New Roman"/>
          <w:color w:val="auto"/>
          <w:sz w:val="33"/>
          <w:szCs w:val="33"/>
        </w:rPr>
      </w:pPr>
    </w:p>
    <w:p w14:paraId="416F9521">
      <w:pPr>
        <w:pStyle w:val="26"/>
        <w:spacing w:line="576" w:lineRule="exact"/>
        <w:ind w:firstLine="660" w:firstLineChars="200"/>
        <w:jc w:val="both"/>
        <w:rPr>
          <w:rFonts w:ascii="Times New Roman" w:hAnsi="Times New Roman" w:eastAsia="方正仿宋_GBK" w:cs="Times New Roman"/>
          <w:color w:val="auto"/>
          <w:sz w:val="33"/>
          <w:szCs w:val="33"/>
        </w:rPr>
      </w:pPr>
    </w:p>
    <w:p w14:paraId="6DD43D66">
      <w:pPr>
        <w:pStyle w:val="26"/>
        <w:spacing w:line="576" w:lineRule="exact"/>
        <w:ind w:firstLine="660" w:firstLineChars="200"/>
        <w:jc w:val="both"/>
        <w:rPr>
          <w:rFonts w:ascii="Times New Roman" w:hAnsi="Times New Roman" w:eastAsia="方正仿宋_GBK" w:cs="Times New Roman"/>
          <w:color w:val="auto"/>
          <w:sz w:val="33"/>
          <w:szCs w:val="33"/>
        </w:rPr>
      </w:pPr>
    </w:p>
    <w:p w14:paraId="40AA8FC3">
      <w:pPr>
        <w:pStyle w:val="26"/>
        <w:spacing w:line="576" w:lineRule="exact"/>
        <w:ind w:firstLine="660" w:firstLineChars="200"/>
        <w:jc w:val="both"/>
        <w:rPr>
          <w:rFonts w:ascii="Times New Roman" w:hAnsi="Times New Roman" w:eastAsia="方正仿宋_GBK" w:cs="Times New Roman"/>
          <w:color w:val="auto"/>
          <w:sz w:val="33"/>
          <w:szCs w:val="33"/>
        </w:rPr>
      </w:pPr>
    </w:p>
    <w:p w14:paraId="2B045E38">
      <w:pPr>
        <w:pStyle w:val="26"/>
        <w:spacing w:line="576" w:lineRule="exact"/>
        <w:ind w:firstLine="660" w:firstLineChars="200"/>
        <w:jc w:val="both"/>
        <w:rPr>
          <w:rFonts w:ascii="Times New Roman" w:hAnsi="Times New Roman" w:eastAsia="方正仿宋_GBK" w:cs="Times New Roman"/>
          <w:color w:val="auto"/>
          <w:sz w:val="33"/>
          <w:szCs w:val="33"/>
        </w:rPr>
      </w:pPr>
    </w:p>
    <w:p w14:paraId="42665879">
      <w:pPr>
        <w:pStyle w:val="26"/>
        <w:spacing w:line="576" w:lineRule="exact"/>
        <w:ind w:firstLine="660"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sz w:val="33"/>
          <w:szCs w:val="33"/>
        </w:rPr>
        <w:drawing>
          <wp:anchor distT="0" distB="0" distL="114300" distR="114300" simplePos="0" relativeHeight="251659264" behindDoc="0" locked="0" layoutInCell="1" allowOverlap="1">
            <wp:simplePos x="0" y="0"/>
            <wp:positionH relativeFrom="column">
              <wp:posOffset>309245</wp:posOffset>
            </wp:positionH>
            <wp:positionV relativeFrom="paragraph">
              <wp:posOffset>-2473325</wp:posOffset>
            </wp:positionV>
            <wp:extent cx="4572000" cy="2743200"/>
            <wp:effectExtent l="4445" t="4445" r="14605" b="14605"/>
            <wp:wrapSquare wrapText="bothSides"/>
            <wp:docPr id="30"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anchor>
        </w:drawing>
      </w:r>
    </w:p>
    <w:p w14:paraId="0F1AEC80">
      <w:pPr>
        <w:spacing w:line="576" w:lineRule="exact"/>
        <w:jc w:val="center"/>
        <w:rPr>
          <w:rFonts w:eastAsia="方正仿宋_GBK"/>
          <w:kern w:val="0"/>
          <w:sz w:val="33"/>
          <w:szCs w:val="33"/>
        </w:rPr>
      </w:pPr>
      <w:r>
        <w:rPr>
          <w:rFonts w:eastAsia="方正仿宋_GBK"/>
          <w:kern w:val="0"/>
          <w:sz w:val="33"/>
          <w:szCs w:val="33"/>
        </w:rPr>
        <w:t>（图7：“三公”经费财政拨款支出结构）</w:t>
      </w:r>
    </w:p>
    <w:p w14:paraId="689749F0">
      <w:pPr>
        <w:spacing w:line="576" w:lineRule="exact"/>
        <w:ind w:firstLine="663" w:firstLineChars="200"/>
        <w:rPr>
          <w:rFonts w:eastAsia="方正仿宋_GBK"/>
          <w:kern w:val="0"/>
          <w:sz w:val="33"/>
          <w:szCs w:val="33"/>
        </w:rPr>
      </w:pPr>
      <w:bookmarkStart w:id="40" w:name="_Toc15377218"/>
      <w:bookmarkStart w:id="41" w:name="_Toc15396610"/>
      <w:r>
        <w:rPr>
          <w:rFonts w:eastAsia="方正仿宋_GBK"/>
          <w:b/>
          <w:bCs/>
          <w:kern w:val="0"/>
          <w:sz w:val="33"/>
          <w:szCs w:val="33"/>
        </w:rPr>
        <w:t>1.因公出国（境）经费支出0万元，完成预算0%。</w:t>
      </w:r>
      <w:r>
        <w:rPr>
          <w:rFonts w:eastAsia="方正仿宋_GBK"/>
          <w:kern w:val="0"/>
          <w:sz w:val="33"/>
          <w:szCs w:val="33"/>
        </w:rPr>
        <w:t>全年安排因公出国（境）团组0次，出国（境）0人。因公出国（境）支出决算与2022年持平。</w:t>
      </w:r>
    </w:p>
    <w:p w14:paraId="3B86782A">
      <w:pPr>
        <w:pStyle w:val="26"/>
        <w:spacing w:line="576" w:lineRule="exact"/>
        <w:ind w:firstLine="663"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b/>
          <w:bCs/>
          <w:color w:val="auto"/>
          <w:sz w:val="33"/>
          <w:szCs w:val="33"/>
        </w:rPr>
        <w:t>2.公务用车购置及运行维护费支出0.97万元,完成预算100%。</w:t>
      </w:r>
      <w:r>
        <w:rPr>
          <w:rFonts w:ascii="Times New Roman" w:hAnsi="Times New Roman" w:eastAsia="方正仿宋_GBK" w:cs="Times New Roman"/>
          <w:color w:val="auto"/>
          <w:sz w:val="33"/>
          <w:szCs w:val="33"/>
        </w:rPr>
        <w:t>公务用车购置及运行维护费支出决算比2022年度增加0.54万元，增长128.57%。主要原因是2022年公务用车运行维护费是6月，2023年是12个月，事业维护费增加。</w:t>
      </w:r>
    </w:p>
    <w:p w14:paraId="374A0068">
      <w:pPr>
        <w:pStyle w:val="26"/>
        <w:spacing w:line="576" w:lineRule="exact"/>
        <w:ind w:firstLine="660"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其中：公务用车购置支出0万元。全年按规定更新购置公务用车0辆，其中：轿车0辆、金额0万元，越野车0辆、金额0万元，载客汽车0辆、金额0万元。截至2023年12月31日，单位共有公务用车1辆，其中：轿车1辆、越野车0辆、载客汽车0辆。</w:t>
      </w:r>
    </w:p>
    <w:p w14:paraId="05120156">
      <w:pPr>
        <w:pStyle w:val="26"/>
        <w:spacing w:line="576" w:lineRule="exact"/>
        <w:ind w:firstLine="660"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公务用车运行维护费支出0.97万元。主要用于所需的公务用车燃料费、维修费、保险费等支出。</w:t>
      </w:r>
    </w:p>
    <w:p w14:paraId="755BDC6C">
      <w:pPr>
        <w:pStyle w:val="26"/>
        <w:spacing w:line="576" w:lineRule="exact"/>
        <w:ind w:firstLine="663"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b/>
          <w:bCs/>
          <w:color w:val="auto"/>
          <w:sz w:val="33"/>
          <w:szCs w:val="33"/>
        </w:rPr>
        <w:t>3.公务接待费支出0万元，完成预算0%。公务接待费支出决算与2022年度持平。</w:t>
      </w:r>
      <w:r>
        <w:rPr>
          <w:rFonts w:ascii="Times New Roman" w:hAnsi="Times New Roman" w:eastAsia="方正仿宋_GBK" w:cs="Times New Roman"/>
          <w:color w:val="auto"/>
          <w:sz w:val="33"/>
          <w:szCs w:val="33"/>
        </w:rPr>
        <w:t>其中：</w:t>
      </w:r>
    </w:p>
    <w:p w14:paraId="278BAE73">
      <w:pPr>
        <w:pStyle w:val="26"/>
        <w:spacing w:line="576" w:lineRule="exact"/>
        <w:ind w:firstLine="660"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国内公务接待支出0万元。国内公务接待0批次，0人次，共计支出0万元。</w:t>
      </w:r>
    </w:p>
    <w:p w14:paraId="7C6D33E4">
      <w:pPr>
        <w:pStyle w:val="26"/>
        <w:spacing w:line="576" w:lineRule="exact"/>
        <w:ind w:firstLine="660"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外事接待支出0万元。外事接待0批次，0人次，共计支出0万元。</w:t>
      </w:r>
    </w:p>
    <w:p w14:paraId="71E2B195">
      <w:pPr>
        <w:pStyle w:val="27"/>
        <w:spacing w:line="576" w:lineRule="exact"/>
        <w:ind w:left="-720" w:firstLine="1320" w:firstLineChars="400"/>
        <w:outlineLvl w:val="1"/>
        <w:rPr>
          <w:rFonts w:eastAsia="方正黑体_GBK"/>
          <w:sz w:val="33"/>
          <w:szCs w:val="33"/>
        </w:rPr>
      </w:pPr>
      <w:r>
        <w:rPr>
          <w:rFonts w:eastAsia="方正黑体_GBK"/>
          <w:sz w:val="33"/>
          <w:szCs w:val="33"/>
        </w:rPr>
        <w:t>八、政府性基金预算支出决算情况说明</w:t>
      </w:r>
      <w:bookmarkEnd w:id="40"/>
      <w:bookmarkEnd w:id="41"/>
    </w:p>
    <w:p w14:paraId="3EA30B5C">
      <w:pPr>
        <w:pStyle w:val="26"/>
        <w:spacing w:line="576" w:lineRule="exact"/>
        <w:ind w:firstLine="660"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2023年度政府性基金预算财政拨款支出0万元。</w:t>
      </w:r>
      <w:r>
        <w:rPr>
          <w:rFonts w:ascii="Times New Roman" w:hAnsi="Times New Roman" w:eastAsia="方正仿宋_GBK" w:cs="Times New Roman"/>
          <w:color w:val="auto"/>
          <w:sz w:val="33"/>
          <w:szCs w:val="33"/>
          <w:lang w:val="zh-CN"/>
        </w:rPr>
        <w:t>本单位没有政府性基金拨款收入，也没有使用政府性基金安排的支出。</w:t>
      </w:r>
    </w:p>
    <w:p w14:paraId="4B5B817F">
      <w:pPr>
        <w:pStyle w:val="27"/>
        <w:spacing w:line="576" w:lineRule="exact"/>
        <w:ind w:left="-720" w:firstLine="1320" w:firstLineChars="400"/>
        <w:outlineLvl w:val="1"/>
        <w:rPr>
          <w:rFonts w:eastAsia="方正黑体_GBK"/>
          <w:sz w:val="33"/>
          <w:szCs w:val="33"/>
        </w:rPr>
      </w:pPr>
      <w:bookmarkStart w:id="42" w:name="_Toc15377219"/>
      <w:bookmarkStart w:id="43" w:name="_Toc15396611"/>
      <w:r>
        <w:rPr>
          <w:rFonts w:eastAsia="方正黑体_GBK"/>
          <w:sz w:val="33"/>
          <w:szCs w:val="33"/>
        </w:rPr>
        <w:t>九、国有资本经营预算支出决算情况说明</w:t>
      </w:r>
      <w:bookmarkEnd w:id="42"/>
      <w:bookmarkEnd w:id="43"/>
    </w:p>
    <w:p w14:paraId="7A0443B1">
      <w:pPr>
        <w:pStyle w:val="26"/>
        <w:spacing w:line="576" w:lineRule="exact"/>
        <w:ind w:firstLine="660"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2023年度国有资本经营预算财政拨款支出0万元。</w:t>
      </w:r>
      <w:r>
        <w:rPr>
          <w:rFonts w:ascii="Times New Roman" w:hAnsi="Times New Roman" w:eastAsia="方正仿宋_GBK" w:cs="Times New Roman"/>
          <w:color w:val="auto"/>
          <w:sz w:val="33"/>
          <w:szCs w:val="33"/>
          <w:lang w:val="zh-CN"/>
        </w:rPr>
        <w:t>本单位没有国有资本经营预算拨款收入，也没有使用国有资本经营预算拨款安排的支出。</w:t>
      </w:r>
    </w:p>
    <w:p w14:paraId="4EB604CD">
      <w:pPr>
        <w:pStyle w:val="27"/>
        <w:spacing w:line="576" w:lineRule="exact"/>
        <w:ind w:left="-720" w:firstLine="1320" w:firstLineChars="400"/>
        <w:outlineLvl w:val="1"/>
        <w:rPr>
          <w:rFonts w:eastAsia="方正黑体_GBK"/>
          <w:sz w:val="33"/>
          <w:szCs w:val="33"/>
        </w:rPr>
      </w:pPr>
      <w:bookmarkStart w:id="44" w:name="_Toc15396612"/>
      <w:bookmarkStart w:id="45" w:name="_Toc15377221"/>
      <w:r>
        <w:rPr>
          <w:rFonts w:eastAsia="方正黑体_GBK"/>
          <w:sz w:val="33"/>
          <w:szCs w:val="33"/>
        </w:rPr>
        <w:t>十、其他重要事项的情况说明</w:t>
      </w:r>
      <w:bookmarkEnd w:id="44"/>
      <w:bookmarkEnd w:id="45"/>
    </w:p>
    <w:p w14:paraId="1D1F2527">
      <w:pPr>
        <w:pStyle w:val="26"/>
        <w:spacing w:line="576" w:lineRule="exact"/>
        <w:ind w:firstLine="663" w:firstLineChars="200"/>
        <w:jc w:val="both"/>
        <w:rPr>
          <w:rFonts w:ascii="Times New Roman" w:hAnsi="Times New Roman" w:eastAsia="方正楷体_GBK" w:cs="Times New Roman"/>
          <w:b/>
          <w:bCs/>
          <w:color w:val="auto"/>
          <w:sz w:val="33"/>
          <w:szCs w:val="33"/>
        </w:rPr>
      </w:pPr>
      <w:bookmarkStart w:id="46" w:name="_Toc15377222"/>
      <w:r>
        <w:rPr>
          <w:rFonts w:ascii="Times New Roman" w:hAnsi="Times New Roman" w:eastAsia="方正楷体_GBK" w:cs="Times New Roman"/>
          <w:b/>
          <w:bCs/>
          <w:color w:val="auto"/>
          <w:sz w:val="33"/>
          <w:szCs w:val="33"/>
        </w:rPr>
        <w:t>（一）机关运行经费支出情况</w:t>
      </w:r>
      <w:bookmarkEnd w:id="46"/>
    </w:p>
    <w:p w14:paraId="7DAD40F7">
      <w:pPr>
        <w:pStyle w:val="26"/>
        <w:spacing w:line="576" w:lineRule="exact"/>
        <w:ind w:firstLine="660"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2023年度，中共盐边县委党校机关运行经费支出143.1万元，比2022年度机关运行经费支出14.73万元，增加128.37万元，增长871.49%，主要原因是行政运行当中的培训费增加。</w:t>
      </w:r>
    </w:p>
    <w:p w14:paraId="45396BBD">
      <w:pPr>
        <w:pStyle w:val="26"/>
        <w:spacing w:line="576" w:lineRule="exact"/>
        <w:ind w:firstLine="663" w:firstLineChars="200"/>
        <w:jc w:val="both"/>
        <w:rPr>
          <w:rFonts w:ascii="Times New Roman" w:hAnsi="Times New Roman" w:eastAsia="方正楷体_GBK" w:cs="Times New Roman"/>
          <w:b/>
          <w:bCs/>
          <w:color w:val="auto"/>
          <w:sz w:val="33"/>
          <w:szCs w:val="33"/>
        </w:rPr>
      </w:pPr>
      <w:bookmarkStart w:id="47" w:name="_Toc15377223"/>
      <w:r>
        <w:rPr>
          <w:rFonts w:ascii="Times New Roman" w:hAnsi="Times New Roman" w:eastAsia="方正楷体_GBK" w:cs="Times New Roman"/>
          <w:b/>
          <w:bCs/>
          <w:color w:val="auto"/>
          <w:sz w:val="33"/>
          <w:szCs w:val="33"/>
        </w:rPr>
        <w:t>（二）政府采购支出情况</w:t>
      </w:r>
      <w:bookmarkEnd w:id="47"/>
    </w:p>
    <w:p w14:paraId="5B7BE9C7">
      <w:pPr>
        <w:pStyle w:val="26"/>
        <w:spacing w:line="576" w:lineRule="exact"/>
        <w:ind w:firstLine="660"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2023年度，中共盐边县委党校政府采购支出总额39.96万元，其中：政府采购货物支出0万元、政府采购工程支出0万元、政府采购服务支出39.96万元。主要用于危机管理实训信息系统和采购办公设备。授予中小企业合同金额39.96万元，占政府采购支出总额的1%，其中：授予小微企业合同金额39.96万元，占政府采购支出总额的100%。</w:t>
      </w:r>
    </w:p>
    <w:p w14:paraId="3D3226E6">
      <w:pPr>
        <w:pStyle w:val="26"/>
        <w:spacing w:line="576" w:lineRule="exact"/>
        <w:ind w:firstLine="663" w:firstLineChars="200"/>
        <w:jc w:val="both"/>
        <w:rPr>
          <w:rFonts w:ascii="Times New Roman" w:hAnsi="Times New Roman" w:eastAsia="方正楷体_GBK" w:cs="Times New Roman"/>
          <w:b/>
          <w:bCs/>
          <w:color w:val="auto"/>
          <w:sz w:val="33"/>
          <w:szCs w:val="33"/>
        </w:rPr>
      </w:pPr>
      <w:bookmarkStart w:id="48" w:name="_Toc15377224"/>
      <w:r>
        <w:rPr>
          <w:rFonts w:ascii="Times New Roman" w:hAnsi="Times New Roman" w:eastAsia="方正楷体_GBK" w:cs="Times New Roman"/>
          <w:b/>
          <w:bCs/>
          <w:color w:val="auto"/>
          <w:sz w:val="33"/>
          <w:szCs w:val="33"/>
        </w:rPr>
        <w:t>（三）国有资产占有使用情况</w:t>
      </w:r>
      <w:bookmarkEnd w:id="48"/>
    </w:p>
    <w:p w14:paraId="7AD67825">
      <w:pPr>
        <w:autoSpaceDE w:val="0"/>
        <w:autoSpaceDN w:val="0"/>
        <w:adjustRightInd w:val="0"/>
        <w:spacing w:line="576" w:lineRule="exact"/>
        <w:ind w:firstLine="660" w:firstLineChars="200"/>
        <w:outlineLvl w:val="2"/>
        <w:rPr>
          <w:rFonts w:eastAsia="方正仿宋_GBK"/>
          <w:kern w:val="0"/>
          <w:sz w:val="33"/>
          <w:szCs w:val="33"/>
        </w:rPr>
      </w:pPr>
      <w:r>
        <w:rPr>
          <w:rFonts w:eastAsia="方正仿宋_GBK"/>
          <w:kern w:val="0"/>
          <w:sz w:val="33"/>
          <w:szCs w:val="33"/>
        </w:rPr>
        <w:t>截至2023年12月31日，中共盐边县委党校共有车辆1辆，其中：主要领导干部用车0辆、机要通信用车0辆、应急保障用车0辆、其他用车1辆，其他用车主要是用于公务出差。单价100万元以上设备（不含车辆）0台（套）。</w:t>
      </w:r>
    </w:p>
    <w:p w14:paraId="3E8081BC">
      <w:pPr>
        <w:pStyle w:val="26"/>
        <w:spacing w:line="576" w:lineRule="exact"/>
        <w:ind w:firstLine="663" w:firstLineChars="200"/>
        <w:jc w:val="both"/>
        <w:rPr>
          <w:rFonts w:ascii="Times New Roman" w:hAnsi="Times New Roman" w:eastAsia="方正楷体_GBK" w:cs="Times New Roman"/>
          <w:b/>
          <w:bCs/>
          <w:color w:val="auto"/>
          <w:sz w:val="33"/>
          <w:szCs w:val="33"/>
        </w:rPr>
      </w:pPr>
      <w:r>
        <w:rPr>
          <w:rFonts w:ascii="Times New Roman" w:hAnsi="Times New Roman" w:eastAsia="方正楷体_GBK" w:cs="Times New Roman"/>
          <w:b/>
          <w:bCs/>
          <w:color w:val="auto"/>
          <w:sz w:val="33"/>
          <w:szCs w:val="33"/>
        </w:rPr>
        <w:t>（四）预算绩效管理情况</w:t>
      </w:r>
    </w:p>
    <w:p w14:paraId="1AFA2045">
      <w:pPr>
        <w:spacing w:line="576" w:lineRule="exact"/>
        <w:ind w:firstLine="660" w:firstLineChars="200"/>
        <w:rPr>
          <w:rFonts w:eastAsia="方正仿宋_GBK"/>
          <w:sz w:val="33"/>
          <w:szCs w:val="33"/>
        </w:rPr>
      </w:pPr>
      <w:r>
        <w:rPr>
          <w:rFonts w:eastAsia="方正仿宋_GBK"/>
          <w:sz w:val="33"/>
          <w:szCs w:val="33"/>
        </w:rPr>
        <w:t>根据预算绩效管理要求，本部门在2023年度预算编制阶段，组织对组织对主体班干部培训、科研资政、2022年基层干训机构建设、图书馆图书购买、图书馆布置、2023年度干部外出培训等5个项目开展了预算事前绩效评估，对5个项目编制了绩效目标，预算执行过程中，选取2个项目开展绩效监控。</w:t>
      </w:r>
    </w:p>
    <w:p w14:paraId="32C773EF">
      <w:pPr>
        <w:spacing w:line="576" w:lineRule="exact"/>
        <w:ind w:firstLine="660" w:firstLineChars="200"/>
        <w:rPr>
          <w:rFonts w:eastAsia="方正仿宋_GBK"/>
          <w:sz w:val="33"/>
          <w:szCs w:val="33"/>
        </w:rPr>
      </w:pPr>
      <w:r>
        <w:rPr>
          <w:rFonts w:eastAsia="方正仿宋_GBK"/>
          <w:sz w:val="33"/>
          <w:szCs w:val="33"/>
        </w:rPr>
        <w:t>组织对2023年度一般公共预算全面开展绩效自评，形成2个绩效自评报告、主体班干部培训、科研资政专项预算项目绩效自评报告，形成2个整体（含部门预算项目）绩效自评得分为96分，绩效自评报告详见附件。</w:t>
      </w:r>
    </w:p>
    <w:p w14:paraId="1D6381F9">
      <w:pPr>
        <w:rPr>
          <w:rFonts w:eastAsia="方正仿宋_GBK"/>
          <w:sz w:val="33"/>
          <w:szCs w:val="33"/>
        </w:rPr>
      </w:pPr>
      <w:r>
        <w:rPr>
          <w:rFonts w:eastAsia="方正仿宋_GBK"/>
          <w:sz w:val="33"/>
          <w:szCs w:val="33"/>
        </w:rPr>
        <w:br w:type="page"/>
      </w:r>
    </w:p>
    <w:p w14:paraId="2EA7767A">
      <w:pPr>
        <w:pStyle w:val="3"/>
        <w:spacing w:before="0" w:after="0" w:line="576" w:lineRule="exact"/>
        <w:jc w:val="center"/>
        <w:rPr>
          <w:rFonts w:eastAsia="方正小标宋_GBK"/>
          <w:sz w:val="38"/>
          <w:szCs w:val="38"/>
        </w:rPr>
      </w:pPr>
      <w:r>
        <w:rPr>
          <w:rFonts w:eastAsia="方正小标宋_GBK"/>
          <w:sz w:val="38"/>
          <w:szCs w:val="38"/>
        </w:rPr>
        <w:t>第三部分  名词解释</w:t>
      </w:r>
    </w:p>
    <w:p w14:paraId="66B6299A">
      <w:pPr>
        <w:spacing w:line="576" w:lineRule="exact"/>
        <w:rPr>
          <w:rFonts w:eastAsia="方正仿宋_GBK"/>
          <w:sz w:val="33"/>
          <w:szCs w:val="33"/>
        </w:rPr>
      </w:pPr>
    </w:p>
    <w:p w14:paraId="4CA5D1E7">
      <w:pPr>
        <w:pStyle w:val="26"/>
        <w:spacing w:line="576" w:lineRule="exact"/>
        <w:ind w:firstLine="660"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1.财政拨款收入：指单位从同级财政部门取得的财政预算资金。</w:t>
      </w:r>
    </w:p>
    <w:p w14:paraId="1435B91E">
      <w:pPr>
        <w:pStyle w:val="26"/>
        <w:spacing w:line="576" w:lineRule="exact"/>
        <w:ind w:firstLine="660"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2.事业收入：指事业单位开展专业业务活动及辅助活动取得的收入。</w:t>
      </w:r>
    </w:p>
    <w:p w14:paraId="2B684B9A">
      <w:pPr>
        <w:pStyle w:val="26"/>
        <w:spacing w:line="576" w:lineRule="exact"/>
        <w:ind w:firstLine="660"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3.经营收入：指事业单位在专业业务活动及其辅助活动之外开展非独立核算经营活动取得的收入。</w:t>
      </w:r>
    </w:p>
    <w:p w14:paraId="6F6371F3">
      <w:pPr>
        <w:pStyle w:val="26"/>
        <w:spacing w:line="576" w:lineRule="exact"/>
        <w:ind w:firstLine="660"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 xml:space="preserve">4.其他收入：指单位取得的除上述收入以外的各项收入。 </w:t>
      </w:r>
    </w:p>
    <w:p w14:paraId="14A96644">
      <w:pPr>
        <w:pStyle w:val="26"/>
        <w:spacing w:line="576" w:lineRule="exact"/>
        <w:ind w:firstLine="660"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 xml:space="preserve">5.使用非财政拨款结余（含专用结余）：指事业单位使用以前年度积累的非财政拨款结余弥补当年收支差额的金额。 </w:t>
      </w:r>
    </w:p>
    <w:p w14:paraId="0ACBA58B">
      <w:pPr>
        <w:pStyle w:val="26"/>
        <w:spacing w:line="576" w:lineRule="exact"/>
        <w:ind w:firstLine="660"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 xml:space="preserve">6.年初结转和结余：指以前年度尚未完成、结转到本年按有关规定继续使用的资金。 </w:t>
      </w:r>
    </w:p>
    <w:p w14:paraId="1951A6EE">
      <w:pPr>
        <w:pStyle w:val="26"/>
        <w:spacing w:line="576" w:lineRule="exact"/>
        <w:ind w:firstLine="660"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7.结余分配：指事业单位按照会计制度规定缴纳的所得税、提取的专用结余以及转入非财政拨款结余的金额等。</w:t>
      </w:r>
    </w:p>
    <w:p w14:paraId="30E29BEC">
      <w:pPr>
        <w:pStyle w:val="26"/>
        <w:spacing w:line="576" w:lineRule="exact"/>
        <w:ind w:firstLine="660"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8.年末结转和结余：指单位按有关规定结转到下年或以后年度继续使用的资金。</w:t>
      </w:r>
    </w:p>
    <w:p w14:paraId="19CEFF7F">
      <w:pPr>
        <w:pStyle w:val="26"/>
        <w:spacing w:line="576" w:lineRule="exact"/>
        <w:ind w:firstLine="660"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9.一般公共服务（类）组织事务（款）一般行政管理事务（项）：指反映行政单位未单独设置项级科目的其他项目支出。</w:t>
      </w:r>
    </w:p>
    <w:p w14:paraId="45FFC5B4">
      <w:pPr>
        <w:pStyle w:val="26"/>
        <w:spacing w:line="576" w:lineRule="exact"/>
        <w:ind w:firstLine="660"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10.一般公共服务（类）组织事务（款）其他组织事务（项）：指反映除上述项目以外其他用于中国共产党组织部门的事务支出。</w:t>
      </w:r>
    </w:p>
    <w:p w14:paraId="63A392EE">
      <w:pPr>
        <w:pStyle w:val="26"/>
        <w:spacing w:line="576" w:lineRule="exact"/>
        <w:ind w:firstLine="660"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11.教育（类）教育管理事务（款）行政运行（项）：指反映行政单位的基本支出。</w:t>
      </w:r>
    </w:p>
    <w:p w14:paraId="61E2BAA7">
      <w:pPr>
        <w:pStyle w:val="26"/>
        <w:spacing w:line="576" w:lineRule="exact"/>
        <w:ind w:firstLine="660"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12.教育（类）教育管理事务（款）其他教育管理事务支出（项）：指反映除上述项目以外其他用教育管理事务方面的支出。</w:t>
      </w:r>
    </w:p>
    <w:p w14:paraId="7983117D">
      <w:pPr>
        <w:pStyle w:val="26"/>
        <w:spacing w:line="576" w:lineRule="exact"/>
        <w:ind w:firstLine="660"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13.教育（类）进行及培训（款）其他教育管理事务支干部教育（项）：指反映各级党校、行政学院、社会主义学院、国家会计学院的支出。</w:t>
      </w:r>
    </w:p>
    <w:p w14:paraId="4CEADCE2">
      <w:pPr>
        <w:pStyle w:val="26"/>
        <w:spacing w:line="576" w:lineRule="exact"/>
        <w:ind w:firstLine="660"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14.社会保障和就业支出（类）行政事业单位养老支出（款）事业单位离退休费（项）：反映事业单位开支的离退休经费。</w:t>
      </w:r>
    </w:p>
    <w:p w14:paraId="317C1AF1">
      <w:pPr>
        <w:pStyle w:val="26"/>
        <w:spacing w:line="576" w:lineRule="exact"/>
        <w:ind w:firstLine="660"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15.社会保障和就业支出（类）行政事业单位养老支出（款）行政单位离退休费（项）：反映行政单位开支的离退休经费。</w:t>
      </w:r>
    </w:p>
    <w:p w14:paraId="09FF0C6B">
      <w:pPr>
        <w:pStyle w:val="26"/>
        <w:spacing w:line="576" w:lineRule="exact"/>
        <w:ind w:firstLine="660" w:firstLineChars="200"/>
        <w:jc w:val="both"/>
        <w:rPr>
          <w:rFonts w:ascii="Times New Roman" w:hAnsi="Times New Roman" w:eastAsia="方正仿宋_GBK" w:cs="Times New Roman"/>
          <w:color w:val="auto"/>
          <w:sz w:val="33"/>
          <w:szCs w:val="33"/>
          <w:lang w:val="zh-CN"/>
        </w:rPr>
      </w:pPr>
      <w:r>
        <w:rPr>
          <w:rFonts w:ascii="Times New Roman" w:hAnsi="Times New Roman" w:eastAsia="方正仿宋_GBK" w:cs="Times New Roman"/>
          <w:color w:val="auto"/>
          <w:sz w:val="33"/>
          <w:szCs w:val="33"/>
          <w:lang w:val="zh-CN"/>
        </w:rPr>
        <w:t>1</w:t>
      </w:r>
      <w:r>
        <w:rPr>
          <w:rFonts w:ascii="Times New Roman" w:hAnsi="Times New Roman" w:eastAsia="方正仿宋_GBK" w:cs="Times New Roman"/>
          <w:color w:val="auto"/>
          <w:sz w:val="33"/>
          <w:szCs w:val="33"/>
        </w:rPr>
        <w:t>6</w:t>
      </w:r>
      <w:r>
        <w:rPr>
          <w:rFonts w:ascii="Times New Roman" w:hAnsi="Times New Roman" w:eastAsia="方正仿宋_GBK" w:cs="Times New Roman"/>
          <w:color w:val="auto"/>
          <w:sz w:val="33"/>
          <w:szCs w:val="33"/>
          <w:lang w:val="zh-CN"/>
        </w:rPr>
        <w:t>.社会保障和就业支出（类）</w:t>
      </w:r>
      <w:r>
        <w:rPr>
          <w:rFonts w:ascii="Times New Roman" w:hAnsi="Times New Roman" w:eastAsia="方正仿宋_GBK" w:cs="Times New Roman"/>
          <w:color w:val="auto"/>
          <w:sz w:val="33"/>
          <w:szCs w:val="33"/>
        </w:rPr>
        <w:t>行政事业单位养老支出</w:t>
      </w:r>
      <w:r>
        <w:rPr>
          <w:rFonts w:ascii="Times New Roman" w:hAnsi="Times New Roman" w:eastAsia="方正仿宋_GBK" w:cs="Times New Roman"/>
          <w:color w:val="auto"/>
          <w:sz w:val="33"/>
          <w:szCs w:val="33"/>
          <w:lang w:val="zh-CN"/>
        </w:rPr>
        <w:t>（款）机关事业单位</w:t>
      </w:r>
      <w:r>
        <w:rPr>
          <w:rFonts w:ascii="Times New Roman" w:hAnsi="Times New Roman" w:eastAsia="方正仿宋_GBK" w:cs="Times New Roman"/>
          <w:color w:val="auto"/>
          <w:sz w:val="33"/>
          <w:szCs w:val="33"/>
        </w:rPr>
        <w:t>基本</w:t>
      </w:r>
      <w:r>
        <w:rPr>
          <w:rFonts w:ascii="Times New Roman" w:hAnsi="Times New Roman" w:eastAsia="方正仿宋_GBK" w:cs="Times New Roman"/>
          <w:color w:val="auto"/>
          <w:sz w:val="33"/>
          <w:szCs w:val="33"/>
          <w:lang w:val="zh-CN"/>
        </w:rPr>
        <w:t>养老保险缴费支出（项）：反映</w:t>
      </w:r>
      <w:r>
        <w:rPr>
          <w:rFonts w:ascii="Times New Roman" w:hAnsi="Times New Roman" w:eastAsia="方正仿宋_GBK" w:cs="Times New Roman"/>
          <w:color w:val="auto"/>
          <w:sz w:val="33"/>
          <w:szCs w:val="33"/>
        </w:rPr>
        <w:t>机关事业单位实施养老保险制度由单位缴纳的基本养老保险费支出</w:t>
      </w:r>
      <w:r>
        <w:rPr>
          <w:rFonts w:ascii="Times New Roman" w:hAnsi="Times New Roman" w:eastAsia="方正仿宋_GBK" w:cs="Times New Roman"/>
          <w:color w:val="auto"/>
          <w:sz w:val="33"/>
          <w:szCs w:val="33"/>
          <w:lang w:val="zh-CN"/>
        </w:rPr>
        <w:t>。</w:t>
      </w:r>
    </w:p>
    <w:p w14:paraId="02AC84FA">
      <w:pPr>
        <w:pStyle w:val="26"/>
        <w:spacing w:line="576" w:lineRule="exact"/>
        <w:ind w:firstLine="660" w:firstLineChars="200"/>
        <w:jc w:val="both"/>
        <w:rPr>
          <w:rFonts w:ascii="Times New Roman" w:hAnsi="Times New Roman" w:eastAsia="方正仿宋_GBK" w:cs="Times New Roman"/>
          <w:color w:val="auto"/>
          <w:sz w:val="33"/>
          <w:szCs w:val="33"/>
          <w:lang w:val="zh-CN"/>
        </w:rPr>
      </w:pPr>
      <w:r>
        <w:rPr>
          <w:rFonts w:ascii="Times New Roman" w:hAnsi="Times New Roman" w:eastAsia="方正仿宋_GBK" w:cs="Times New Roman"/>
          <w:color w:val="auto"/>
          <w:sz w:val="33"/>
          <w:szCs w:val="33"/>
          <w:lang w:val="zh-CN"/>
        </w:rPr>
        <w:t>1</w:t>
      </w:r>
      <w:r>
        <w:rPr>
          <w:rFonts w:ascii="Times New Roman" w:hAnsi="Times New Roman" w:eastAsia="方正仿宋_GBK" w:cs="Times New Roman"/>
          <w:color w:val="auto"/>
          <w:sz w:val="33"/>
          <w:szCs w:val="33"/>
        </w:rPr>
        <w:t>7</w:t>
      </w:r>
      <w:r>
        <w:rPr>
          <w:rFonts w:ascii="Times New Roman" w:hAnsi="Times New Roman" w:eastAsia="方正仿宋_GBK" w:cs="Times New Roman"/>
          <w:color w:val="auto"/>
          <w:sz w:val="33"/>
          <w:szCs w:val="33"/>
          <w:lang w:val="zh-CN"/>
        </w:rPr>
        <w:t>.社会保障和就业支出（类）</w:t>
      </w:r>
      <w:r>
        <w:rPr>
          <w:rFonts w:ascii="Times New Roman" w:hAnsi="Times New Roman" w:eastAsia="方正仿宋_GBK" w:cs="Times New Roman"/>
          <w:color w:val="auto"/>
          <w:sz w:val="33"/>
          <w:szCs w:val="33"/>
        </w:rPr>
        <w:t>行政事业单位养老支出</w:t>
      </w:r>
      <w:r>
        <w:rPr>
          <w:rFonts w:ascii="Times New Roman" w:hAnsi="Times New Roman" w:eastAsia="方正仿宋_GBK" w:cs="Times New Roman"/>
          <w:color w:val="auto"/>
          <w:sz w:val="33"/>
          <w:szCs w:val="33"/>
          <w:lang w:val="zh-CN"/>
        </w:rPr>
        <w:t>（款）机关事业单位职业年金经</w:t>
      </w:r>
      <w:r>
        <w:rPr>
          <w:rFonts w:ascii="Times New Roman" w:hAnsi="Times New Roman" w:eastAsia="方正仿宋_GBK" w:cs="Times New Roman"/>
          <w:color w:val="auto"/>
          <w:sz w:val="33"/>
          <w:szCs w:val="33"/>
        </w:rPr>
        <w:t>缴</w:t>
      </w:r>
      <w:r>
        <w:rPr>
          <w:rFonts w:ascii="Times New Roman" w:hAnsi="Times New Roman" w:eastAsia="方正仿宋_GBK" w:cs="Times New Roman"/>
          <w:color w:val="auto"/>
          <w:sz w:val="33"/>
          <w:szCs w:val="33"/>
          <w:lang w:val="zh-CN"/>
        </w:rPr>
        <w:t>费支出（项）：反映</w:t>
      </w:r>
      <w:r>
        <w:rPr>
          <w:rFonts w:ascii="Times New Roman" w:hAnsi="Times New Roman" w:eastAsia="方正仿宋_GBK" w:cs="Times New Roman"/>
          <w:color w:val="auto"/>
          <w:sz w:val="33"/>
          <w:szCs w:val="33"/>
        </w:rPr>
        <w:t>机关事业单位实施养老保险制度由单位实际缴纳的职业年金支出</w:t>
      </w:r>
      <w:r>
        <w:rPr>
          <w:rFonts w:ascii="Times New Roman" w:hAnsi="Times New Roman" w:eastAsia="方正仿宋_GBK" w:cs="Times New Roman"/>
          <w:color w:val="auto"/>
          <w:sz w:val="33"/>
          <w:szCs w:val="33"/>
          <w:lang w:val="zh-CN"/>
        </w:rPr>
        <w:t>。</w:t>
      </w:r>
    </w:p>
    <w:p w14:paraId="2766BFB4">
      <w:pPr>
        <w:pStyle w:val="26"/>
        <w:spacing w:line="576" w:lineRule="exact"/>
        <w:ind w:firstLine="660" w:firstLineChars="200"/>
        <w:jc w:val="both"/>
        <w:rPr>
          <w:rFonts w:ascii="Times New Roman" w:hAnsi="Times New Roman" w:eastAsia="方正仿宋_GBK" w:cs="Times New Roman"/>
          <w:color w:val="auto"/>
          <w:sz w:val="33"/>
          <w:szCs w:val="33"/>
          <w:lang w:val="zh-CN"/>
        </w:rPr>
      </w:pPr>
      <w:r>
        <w:rPr>
          <w:rFonts w:ascii="Times New Roman" w:hAnsi="Times New Roman" w:eastAsia="方正仿宋_GBK" w:cs="Times New Roman"/>
          <w:color w:val="auto"/>
          <w:sz w:val="33"/>
          <w:szCs w:val="33"/>
          <w:lang w:val="zh-CN"/>
        </w:rPr>
        <w:t>1</w:t>
      </w:r>
      <w:r>
        <w:rPr>
          <w:rFonts w:ascii="Times New Roman" w:hAnsi="Times New Roman" w:eastAsia="方正仿宋_GBK" w:cs="Times New Roman"/>
          <w:color w:val="auto"/>
          <w:sz w:val="33"/>
          <w:szCs w:val="33"/>
        </w:rPr>
        <w:t>8</w:t>
      </w:r>
      <w:r>
        <w:rPr>
          <w:rFonts w:ascii="Times New Roman" w:hAnsi="Times New Roman" w:eastAsia="方正仿宋_GBK" w:cs="Times New Roman"/>
          <w:color w:val="auto"/>
          <w:sz w:val="33"/>
          <w:szCs w:val="33"/>
          <w:lang w:val="zh-CN"/>
        </w:rPr>
        <w:t>.卫生健康支出（类）</w:t>
      </w:r>
      <w:r>
        <w:rPr>
          <w:rFonts w:ascii="Times New Roman" w:hAnsi="Times New Roman" w:eastAsia="方正仿宋_GBK" w:cs="Times New Roman"/>
          <w:color w:val="auto"/>
          <w:sz w:val="33"/>
          <w:szCs w:val="33"/>
        </w:rPr>
        <w:t>行政事业单位医疗</w:t>
      </w:r>
      <w:r>
        <w:rPr>
          <w:rFonts w:ascii="Times New Roman" w:hAnsi="Times New Roman" w:eastAsia="方正仿宋_GBK" w:cs="Times New Roman"/>
          <w:color w:val="auto"/>
          <w:sz w:val="33"/>
          <w:szCs w:val="33"/>
          <w:lang w:val="zh-CN"/>
        </w:rPr>
        <w:t>（款）</w:t>
      </w:r>
      <w:r>
        <w:rPr>
          <w:rFonts w:ascii="Times New Roman" w:hAnsi="Times New Roman" w:eastAsia="方正仿宋_GBK" w:cs="Times New Roman"/>
          <w:color w:val="auto"/>
          <w:sz w:val="33"/>
          <w:szCs w:val="33"/>
        </w:rPr>
        <w:t>事业单位医疗</w:t>
      </w:r>
      <w:r>
        <w:rPr>
          <w:rFonts w:ascii="Times New Roman" w:hAnsi="Times New Roman" w:eastAsia="方正仿宋_GBK" w:cs="Times New Roman"/>
          <w:color w:val="auto"/>
          <w:sz w:val="33"/>
          <w:szCs w:val="33"/>
          <w:lang w:val="zh-CN"/>
        </w:rPr>
        <w:t>（项）：反映财政部门安排的事业单位基本医疗保险缴费经费，未参加医疗保险的事业单位的公费医疗经费，按国家规定享受离休人员待遇的医疗经费。</w:t>
      </w:r>
    </w:p>
    <w:p w14:paraId="219DDE7F">
      <w:pPr>
        <w:pStyle w:val="26"/>
        <w:spacing w:line="576" w:lineRule="exact"/>
        <w:ind w:firstLine="660" w:firstLineChars="200"/>
        <w:jc w:val="both"/>
        <w:rPr>
          <w:rFonts w:ascii="Times New Roman" w:hAnsi="Times New Roman" w:eastAsia="方正仿宋_GBK" w:cs="Times New Roman"/>
          <w:color w:val="auto"/>
          <w:sz w:val="33"/>
          <w:szCs w:val="33"/>
          <w:lang w:val="zh-CN"/>
        </w:rPr>
      </w:pPr>
      <w:r>
        <w:rPr>
          <w:rFonts w:ascii="Times New Roman" w:hAnsi="Times New Roman" w:eastAsia="方正仿宋_GBK" w:cs="Times New Roman"/>
          <w:color w:val="auto"/>
          <w:sz w:val="33"/>
          <w:szCs w:val="33"/>
          <w:lang w:val="zh-CN"/>
        </w:rPr>
        <w:t>1</w:t>
      </w:r>
      <w:r>
        <w:rPr>
          <w:rFonts w:ascii="Times New Roman" w:hAnsi="Times New Roman" w:eastAsia="方正仿宋_GBK" w:cs="Times New Roman"/>
          <w:color w:val="auto"/>
          <w:sz w:val="33"/>
          <w:szCs w:val="33"/>
        </w:rPr>
        <w:t>9</w:t>
      </w:r>
      <w:r>
        <w:rPr>
          <w:rFonts w:ascii="Times New Roman" w:hAnsi="Times New Roman" w:eastAsia="方正仿宋_GBK" w:cs="Times New Roman"/>
          <w:color w:val="auto"/>
          <w:sz w:val="33"/>
          <w:szCs w:val="33"/>
          <w:lang w:val="zh-CN"/>
        </w:rPr>
        <w:t>.卫生健康支出（类）</w:t>
      </w:r>
      <w:r>
        <w:rPr>
          <w:rFonts w:ascii="Times New Roman" w:hAnsi="Times New Roman" w:eastAsia="方正仿宋_GBK" w:cs="Times New Roman"/>
          <w:color w:val="auto"/>
          <w:sz w:val="33"/>
          <w:szCs w:val="33"/>
        </w:rPr>
        <w:t>行政事业单位医疗</w:t>
      </w:r>
      <w:r>
        <w:rPr>
          <w:rFonts w:ascii="Times New Roman" w:hAnsi="Times New Roman" w:eastAsia="方正仿宋_GBK" w:cs="Times New Roman"/>
          <w:color w:val="auto"/>
          <w:sz w:val="33"/>
          <w:szCs w:val="33"/>
          <w:lang w:val="zh-CN"/>
        </w:rPr>
        <w:t>（款）</w:t>
      </w:r>
      <w:r>
        <w:rPr>
          <w:rFonts w:ascii="Times New Roman" w:hAnsi="Times New Roman" w:eastAsia="方正仿宋_GBK" w:cs="Times New Roman"/>
          <w:color w:val="auto"/>
          <w:sz w:val="33"/>
          <w:szCs w:val="33"/>
        </w:rPr>
        <w:t>行政单位医疗</w:t>
      </w:r>
      <w:r>
        <w:rPr>
          <w:rFonts w:ascii="Times New Roman" w:hAnsi="Times New Roman" w:eastAsia="方正仿宋_GBK" w:cs="Times New Roman"/>
          <w:color w:val="auto"/>
          <w:sz w:val="33"/>
          <w:szCs w:val="33"/>
          <w:lang w:val="zh-CN"/>
        </w:rPr>
        <w:t>（项）：反映财政部门安排的</w:t>
      </w:r>
      <w:r>
        <w:rPr>
          <w:rFonts w:ascii="Times New Roman" w:hAnsi="Times New Roman" w:eastAsia="方正仿宋_GBK" w:cs="Times New Roman"/>
          <w:color w:val="auto"/>
          <w:sz w:val="33"/>
          <w:szCs w:val="33"/>
        </w:rPr>
        <w:t>行政</w:t>
      </w:r>
      <w:r>
        <w:rPr>
          <w:rFonts w:ascii="Times New Roman" w:hAnsi="Times New Roman" w:eastAsia="方正仿宋_GBK" w:cs="Times New Roman"/>
          <w:color w:val="auto"/>
          <w:sz w:val="33"/>
          <w:szCs w:val="33"/>
          <w:lang w:val="zh-CN"/>
        </w:rPr>
        <w:t>单位基本医疗保险缴费经费，未参加医疗保险的</w:t>
      </w:r>
      <w:r>
        <w:rPr>
          <w:rFonts w:ascii="Times New Roman" w:hAnsi="Times New Roman" w:eastAsia="方正仿宋_GBK" w:cs="Times New Roman"/>
          <w:color w:val="auto"/>
          <w:sz w:val="33"/>
          <w:szCs w:val="33"/>
        </w:rPr>
        <w:t>行政</w:t>
      </w:r>
      <w:r>
        <w:rPr>
          <w:rFonts w:ascii="Times New Roman" w:hAnsi="Times New Roman" w:eastAsia="方正仿宋_GBK" w:cs="Times New Roman"/>
          <w:color w:val="auto"/>
          <w:sz w:val="33"/>
          <w:szCs w:val="33"/>
          <w:lang w:val="zh-CN"/>
        </w:rPr>
        <w:t>单位的公费医疗经费，按国家规定享受离休人员、</w:t>
      </w:r>
      <w:r>
        <w:rPr>
          <w:rFonts w:ascii="Times New Roman" w:hAnsi="Times New Roman" w:eastAsia="方正仿宋_GBK" w:cs="Times New Roman"/>
          <w:color w:val="auto"/>
          <w:sz w:val="33"/>
          <w:szCs w:val="33"/>
        </w:rPr>
        <w:t>红军老战士</w:t>
      </w:r>
      <w:r>
        <w:rPr>
          <w:rFonts w:ascii="Times New Roman" w:hAnsi="Times New Roman" w:eastAsia="方正仿宋_GBK" w:cs="Times New Roman"/>
          <w:color w:val="auto"/>
          <w:sz w:val="33"/>
          <w:szCs w:val="33"/>
          <w:lang w:val="zh-CN"/>
        </w:rPr>
        <w:t>待遇的医疗经费。</w:t>
      </w:r>
    </w:p>
    <w:p w14:paraId="68A4DB3D">
      <w:pPr>
        <w:pStyle w:val="26"/>
        <w:spacing w:line="576" w:lineRule="exact"/>
        <w:ind w:firstLine="660"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20.</w:t>
      </w:r>
      <w:r>
        <w:rPr>
          <w:rFonts w:ascii="Times New Roman" w:hAnsi="Times New Roman" w:eastAsia="方正仿宋_GBK" w:cs="Times New Roman"/>
          <w:color w:val="auto"/>
          <w:sz w:val="33"/>
          <w:szCs w:val="33"/>
          <w:lang w:val="zh-CN"/>
        </w:rPr>
        <w:t>卫生健康支出（类）</w:t>
      </w:r>
      <w:r>
        <w:rPr>
          <w:rFonts w:ascii="Times New Roman" w:hAnsi="Times New Roman" w:eastAsia="方正仿宋_GBK" w:cs="Times New Roman"/>
          <w:color w:val="auto"/>
          <w:sz w:val="33"/>
          <w:szCs w:val="33"/>
        </w:rPr>
        <w:t>行政事业单位医疗</w:t>
      </w:r>
      <w:r>
        <w:rPr>
          <w:rFonts w:ascii="Times New Roman" w:hAnsi="Times New Roman" w:eastAsia="方正仿宋_GBK" w:cs="Times New Roman"/>
          <w:color w:val="auto"/>
          <w:sz w:val="33"/>
          <w:szCs w:val="33"/>
          <w:lang w:val="zh-CN"/>
        </w:rPr>
        <w:t>（款）</w:t>
      </w:r>
      <w:r>
        <w:rPr>
          <w:rFonts w:ascii="Times New Roman" w:hAnsi="Times New Roman" w:eastAsia="方正仿宋_GBK" w:cs="Times New Roman"/>
          <w:color w:val="auto"/>
          <w:sz w:val="33"/>
          <w:szCs w:val="33"/>
        </w:rPr>
        <w:t>公务员医疗补助</w:t>
      </w:r>
      <w:r>
        <w:rPr>
          <w:rFonts w:ascii="Times New Roman" w:hAnsi="Times New Roman" w:eastAsia="方正仿宋_GBK" w:cs="Times New Roman"/>
          <w:color w:val="auto"/>
          <w:sz w:val="33"/>
          <w:szCs w:val="33"/>
          <w:lang w:val="zh-CN"/>
        </w:rPr>
        <w:t>（项）：</w:t>
      </w:r>
      <w:r>
        <w:rPr>
          <w:rFonts w:ascii="Times New Roman" w:hAnsi="Times New Roman" w:eastAsia="方正仿宋_GBK" w:cs="Times New Roman"/>
          <w:color w:val="auto"/>
          <w:sz w:val="33"/>
          <w:szCs w:val="33"/>
        </w:rPr>
        <w:t>反映财政部门安排的公务员医疗补助经费。</w:t>
      </w:r>
    </w:p>
    <w:p w14:paraId="2B6629DB">
      <w:pPr>
        <w:pStyle w:val="26"/>
        <w:spacing w:line="576" w:lineRule="exact"/>
        <w:ind w:firstLine="660" w:firstLineChars="200"/>
        <w:jc w:val="both"/>
        <w:rPr>
          <w:rFonts w:ascii="Times New Roman" w:hAnsi="Times New Roman" w:eastAsia="方正仿宋_GBK" w:cs="Times New Roman"/>
          <w:color w:val="auto"/>
          <w:sz w:val="33"/>
          <w:szCs w:val="33"/>
          <w:lang w:val="zh-CN"/>
        </w:rPr>
      </w:pPr>
      <w:r>
        <w:rPr>
          <w:rFonts w:ascii="Times New Roman" w:hAnsi="Times New Roman" w:eastAsia="方正仿宋_GBK" w:cs="Times New Roman"/>
          <w:color w:val="auto"/>
          <w:sz w:val="33"/>
          <w:szCs w:val="33"/>
        </w:rPr>
        <w:t>21</w:t>
      </w:r>
      <w:r>
        <w:rPr>
          <w:rFonts w:ascii="Times New Roman" w:hAnsi="Times New Roman" w:eastAsia="方正仿宋_GBK" w:cs="Times New Roman"/>
          <w:color w:val="auto"/>
          <w:sz w:val="33"/>
          <w:szCs w:val="33"/>
          <w:lang w:val="zh-CN"/>
        </w:rPr>
        <w:t>.卫生健康支出（类）</w:t>
      </w:r>
      <w:r>
        <w:rPr>
          <w:rFonts w:ascii="Times New Roman" w:hAnsi="Times New Roman" w:eastAsia="方正仿宋_GBK" w:cs="Times New Roman"/>
          <w:color w:val="auto"/>
          <w:sz w:val="33"/>
          <w:szCs w:val="33"/>
        </w:rPr>
        <w:t>行政事业单位医疗</w:t>
      </w:r>
      <w:r>
        <w:rPr>
          <w:rFonts w:ascii="Times New Roman" w:hAnsi="Times New Roman" w:eastAsia="方正仿宋_GBK" w:cs="Times New Roman"/>
          <w:color w:val="auto"/>
          <w:sz w:val="33"/>
          <w:szCs w:val="33"/>
          <w:lang w:val="zh-CN"/>
        </w:rPr>
        <w:t>（款）其他行政事业单位医疗支出（项）：反映除上述项目以外的其他用于行政事业单位医疗方面的支出。</w:t>
      </w:r>
    </w:p>
    <w:p w14:paraId="607E4FF1">
      <w:pPr>
        <w:pStyle w:val="26"/>
        <w:spacing w:line="576" w:lineRule="exact"/>
        <w:ind w:firstLine="660" w:firstLineChars="200"/>
        <w:jc w:val="both"/>
        <w:rPr>
          <w:rFonts w:ascii="Times New Roman" w:hAnsi="Times New Roman" w:eastAsia="方正仿宋_GBK" w:cs="Times New Roman"/>
          <w:color w:val="auto"/>
          <w:sz w:val="33"/>
          <w:szCs w:val="33"/>
          <w:lang w:val="zh-CN"/>
        </w:rPr>
      </w:pPr>
      <w:r>
        <w:rPr>
          <w:rFonts w:ascii="Times New Roman" w:hAnsi="Times New Roman" w:eastAsia="方正仿宋_GBK" w:cs="Times New Roman"/>
          <w:color w:val="auto"/>
          <w:sz w:val="33"/>
          <w:szCs w:val="33"/>
        </w:rPr>
        <w:t>22</w:t>
      </w:r>
      <w:r>
        <w:rPr>
          <w:rFonts w:ascii="Times New Roman" w:hAnsi="Times New Roman" w:eastAsia="方正仿宋_GBK" w:cs="Times New Roman"/>
          <w:color w:val="auto"/>
          <w:sz w:val="33"/>
          <w:szCs w:val="33"/>
          <w:lang w:val="zh-CN"/>
        </w:rPr>
        <w:t>. 住房保障</w:t>
      </w:r>
      <w:r>
        <w:rPr>
          <w:rFonts w:ascii="Times New Roman" w:hAnsi="Times New Roman" w:eastAsia="方正仿宋_GBK" w:cs="Times New Roman"/>
          <w:color w:val="auto"/>
          <w:sz w:val="33"/>
          <w:szCs w:val="33"/>
        </w:rPr>
        <w:t>支出</w:t>
      </w:r>
      <w:r>
        <w:rPr>
          <w:rFonts w:ascii="Times New Roman" w:hAnsi="Times New Roman" w:eastAsia="方正仿宋_GBK" w:cs="Times New Roman"/>
          <w:color w:val="auto"/>
          <w:sz w:val="33"/>
          <w:szCs w:val="33"/>
          <w:lang w:val="zh-CN"/>
        </w:rPr>
        <w:t>（类）住房改革支出（款）住房公积金（项）：反映</w:t>
      </w:r>
      <w:r>
        <w:rPr>
          <w:rFonts w:ascii="Times New Roman" w:hAnsi="Times New Roman" w:eastAsia="方正仿宋_GBK" w:cs="Times New Roman"/>
          <w:color w:val="auto"/>
          <w:sz w:val="33"/>
          <w:szCs w:val="33"/>
        </w:rPr>
        <w:t>行政事业单位按人力资源和社会保障部财政部规定的基本工资和津贴补贴以及规定比例为职工缴纳的住房公积金。</w:t>
      </w:r>
    </w:p>
    <w:p w14:paraId="287A3C15">
      <w:pPr>
        <w:pStyle w:val="26"/>
        <w:spacing w:line="576" w:lineRule="exact"/>
        <w:ind w:firstLine="660"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23.基本支出：指为保障机构正常运转、完成日常工作任务而发生的人员支出和公用支出。</w:t>
      </w:r>
    </w:p>
    <w:p w14:paraId="7223F3C0">
      <w:pPr>
        <w:pStyle w:val="26"/>
        <w:spacing w:line="576" w:lineRule="exact"/>
        <w:ind w:firstLine="660"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 xml:space="preserve">24.项目支出：指在基本支出之外为完成特定行政任务和事业发展目标所发生的支出。 </w:t>
      </w:r>
    </w:p>
    <w:p w14:paraId="1970EC8D">
      <w:pPr>
        <w:pStyle w:val="26"/>
        <w:spacing w:line="576" w:lineRule="exact"/>
        <w:ind w:firstLine="660"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25.经营支出：指事业单位在专业业务活动及其辅助活动之外开展非独立核算经营活动发生的支出。</w:t>
      </w:r>
    </w:p>
    <w:p w14:paraId="194B1CF4">
      <w:pPr>
        <w:pStyle w:val="26"/>
        <w:spacing w:line="576" w:lineRule="exact"/>
        <w:ind w:firstLine="660" w:firstLineChars="200"/>
        <w:jc w:val="both"/>
        <w:rPr>
          <w:rFonts w:ascii="Times New Roman" w:hAnsi="Times New Roman" w:eastAsia="方正仿宋_GBK" w:cs="Times New Roman"/>
          <w:color w:val="auto"/>
          <w:sz w:val="33"/>
          <w:szCs w:val="33"/>
        </w:rPr>
      </w:pPr>
      <w:r>
        <w:rPr>
          <w:rFonts w:ascii="Times New Roman" w:hAnsi="Times New Roman" w:eastAsia="方正仿宋_GBK" w:cs="Times New Roman"/>
          <w:color w:val="auto"/>
          <w:sz w:val="33"/>
          <w:szCs w:val="33"/>
        </w:rPr>
        <w:t>26.“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6A06F70E">
      <w:pPr>
        <w:pStyle w:val="26"/>
        <w:spacing w:line="576" w:lineRule="exact"/>
        <w:ind w:firstLine="660" w:firstLineChars="200"/>
        <w:jc w:val="both"/>
        <w:rPr>
          <w:rFonts w:ascii="Times New Roman" w:hAnsi="Times New Roman" w:eastAsia="方正仿宋_GBK" w:cs="Times New Roman"/>
          <w:b/>
          <w:sz w:val="33"/>
          <w:szCs w:val="33"/>
        </w:rPr>
      </w:pPr>
      <w:r>
        <w:rPr>
          <w:rFonts w:ascii="Times New Roman" w:hAnsi="Times New Roman" w:eastAsia="方正仿宋_GBK" w:cs="Times New Roman"/>
          <w:color w:val="auto"/>
          <w:sz w:val="33"/>
          <w:szCs w:val="33"/>
        </w:rPr>
        <w:t>27.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r>
        <w:rPr>
          <w:rFonts w:ascii="Times New Roman" w:hAnsi="Times New Roman" w:eastAsia="方正仿宋_GBK" w:cs="Times New Roman"/>
          <w:b/>
          <w:sz w:val="33"/>
          <w:szCs w:val="33"/>
        </w:rPr>
        <w:br w:type="page"/>
      </w:r>
    </w:p>
    <w:p w14:paraId="44F12C68">
      <w:pPr>
        <w:pStyle w:val="3"/>
        <w:spacing w:before="0" w:after="0" w:line="576" w:lineRule="exact"/>
        <w:jc w:val="center"/>
        <w:rPr>
          <w:rFonts w:eastAsia="方正小标宋_GBK"/>
          <w:bCs w:val="0"/>
          <w:sz w:val="38"/>
          <w:szCs w:val="38"/>
        </w:rPr>
      </w:pPr>
      <w:r>
        <w:rPr>
          <w:rFonts w:eastAsia="方正小标宋_GBK"/>
          <w:bCs w:val="0"/>
          <w:sz w:val="38"/>
          <w:szCs w:val="38"/>
        </w:rPr>
        <w:t>第四部分  附件</w:t>
      </w:r>
    </w:p>
    <w:p w14:paraId="4A436B3B">
      <w:pPr>
        <w:spacing w:line="576" w:lineRule="exact"/>
        <w:rPr>
          <w:rFonts w:eastAsia="方正仿宋_GBK"/>
          <w:sz w:val="33"/>
          <w:szCs w:val="33"/>
        </w:rPr>
      </w:pPr>
    </w:p>
    <w:p w14:paraId="0FA66342">
      <w:pPr>
        <w:spacing w:line="576" w:lineRule="exact"/>
        <w:rPr>
          <w:rFonts w:eastAsia="方正黑体_GBK"/>
          <w:sz w:val="33"/>
          <w:szCs w:val="33"/>
        </w:rPr>
      </w:pPr>
      <w:r>
        <w:rPr>
          <w:rFonts w:eastAsia="方正黑体_GBK"/>
          <w:sz w:val="33"/>
          <w:szCs w:val="33"/>
        </w:rPr>
        <w:t>附件1</w:t>
      </w:r>
    </w:p>
    <w:p w14:paraId="589AB91C">
      <w:pPr>
        <w:spacing w:line="576" w:lineRule="exact"/>
        <w:jc w:val="center"/>
        <w:rPr>
          <w:rFonts w:eastAsia="方正小标宋_GBK"/>
          <w:b/>
          <w:bCs/>
          <w:sz w:val="40"/>
          <w:szCs w:val="40"/>
        </w:rPr>
      </w:pPr>
      <w:r>
        <w:rPr>
          <w:rFonts w:eastAsia="方正小标宋_GBK"/>
          <w:b/>
          <w:bCs/>
          <w:sz w:val="40"/>
          <w:szCs w:val="40"/>
        </w:rPr>
        <w:t>2023年中共盐边县委党校</w:t>
      </w:r>
    </w:p>
    <w:p w14:paraId="6D899C36">
      <w:pPr>
        <w:spacing w:line="576" w:lineRule="exact"/>
        <w:jc w:val="center"/>
        <w:rPr>
          <w:rFonts w:eastAsia="方正小标宋_GBK"/>
          <w:b/>
          <w:bCs/>
          <w:sz w:val="40"/>
          <w:szCs w:val="40"/>
        </w:rPr>
      </w:pPr>
      <w:r>
        <w:rPr>
          <w:rFonts w:eastAsia="方正小标宋_GBK"/>
          <w:b/>
          <w:bCs/>
          <w:sz w:val="40"/>
          <w:szCs w:val="40"/>
        </w:rPr>
        <w:t>部门预算绩效评价报告</w:t>
      </w:r>
    </w:p>
    <w:p w14:paraId="50B8DFEA">
      <w:pPr>
        <w:spacing w:line="576" w:lineRule="exact"/>
        <w:rPr>
          <w:rFonts w:eastAsia="方正仿宋_GBK"/>
          <w:sz w:val="33"/>
          <w:szCs w:val="33"/>
        </w:rPr>
      </w:pPr>
    </w:p>
    <w:p w14:paraId="3BAF690F">
      <w:pPr>
        <w:spacing w:line="576" w:lineRule="exact"/>
        <w:ind w:firstLine="660" w:firstLineChars="200"/>
        <w:rPr>
          <w:rFonts w:eastAsia="方正仿宋_GBK"/>
          <w:sz w:val="33"/>
          <w:szCs w:val="33"/>
        </w:rPr>
      </w:pPr>
      <w:r>
        <w:rPr>
          <w:rFonts w:eastAsia="方正黑体_GBK"/>
          <w:sz w:val="33"/>
          <w:szCs w:val="33"/>
        </w:rPr>
        <w:t>一、部门（单位）基本情况</w:t>
      </w:r>
    </w:p>
    <w:p w14:paraId="471939FA">
      <w:pPr>
        <w:spacing w:line="576" w:lineRule="exact"/>
        <w:ind w:firstLine="663" w:firstLineChars="200"/>
        <w:rPr>
          <w:rFonts w:eastAsia="方正楷体_GBK"/>
          <w:b/>
          <w:sz w:val="33"/>
          <w:szCs w:val="33"/>
        </w:rPr>
      </w:pPr>
      <w:r>
        <w:rPr>
          <w:rFonts w:eastAsia="方正楷体_GBK"/>
          <w:b/>
          <w:sz w:val="33"/>
          <w:szCs w:val="33"/>
        </w:rPr>
        <w:t>（一）机构组成</w:t>
      </w:r>
    </w:p>
    <w:p w14:paraId="42D71CC2">
      <w:pPr>
        <w:spacing w:line="576" w:lineRule="exact"/>
        <w:ind w:firstLine="660" w:firstLineChars="200"/>
        <w:rPr>
          <w:rFonts w:eastAsia="方正仿宋_GBK"/>
          <w:kern w:val="0"/>
          <w:sz w:val="33"/>
          <w:szCs w:val="33"/>
          <w:shd w:val="clear" w:color="auto" w:fill="FFFFFF"/>
          <w:lang w:val="zh-CN"/>
        </w:rPr>
      </w:pPr>
      <w:r>
        <w:rPr>
          <w:rFonts w:eastAsia="方正仿宋_GBK"/>
          <w:kern w:val="0"/>
          <w:sz w:val="33"/>
          <w:szCs w:val="33"/>
          <w:shd w:val="clear" w:color="auto" w:fill="FFFFFF"/>
          <w:lang w:val="zh-CN"/>
        </w:rPr>
        <w:t>中共盐边县委党校为独立核算单位，无变动情况。</w:t>
      </w:r>
    </w:p>
    <w:p w14:paraId="46C1D9B3">
      <w:pPr>
        <w:pStyle w:val="6"/>
        <w:spacing w:beforeLines="0" w:line="576" w:lineRule="exact"/>
        <w:ind w:firstLine="663" w:firstLineChars="200"/>
        <w:rPr>
          <w:rFonts w:ascii="Times New Roman" w:eastAsia="方正仿宋_GBK"/>
          <w:sz w:val="33"/>
          <w:szCs w:val="33"/>
          <w:shd w:val="clear" w:color="auto" w:fill="FFFFFF"/>
          <w:lang w:val="zh-CN"/>
        </w:rPr>
      </w:pPr>
      <w:r>
        <w:rPr>
          <w:rFonts w:ascii="Times New Roman" w:eastAsia="方正楷体_GBK"/>
          <w:b/>
          <w:kern w:val="2"/>
          <w:sz w:val="33"/>
          <w:szCs w:val="33"/>
        </w:rPr>
        <w:t>（二）机构职能。</w:t>
      </w:r>
      <w:r>
        <w:rPr>
          <w:rFonts w:ascii="Times New Roman" w:eastAsia="方正仿宋_GBK"/>
          <w:sz w:val="33"/>
          <w:szCs w:val="33"/>
          <w:shd w:val="clear" w:color="auto" w:fill="FFFFFF"/>
          <w:lang w:val="zh-CN"/>
        </w:rPr>
        <w:t>中共盐边县委党校属于参公事业单位，主要职能是承担全县党员领导干部以及年轻后备干部的培训工作、宣传党的理论、路线、方针和政策，完成科研课题，围绕县委、县政府的重大战略部署和政策开展资政建设，为全县经济和社会发展服务。</w:t>
      </w:r>
    </w:p>
    <w:p w14:paraId="6DB00A17">
      <w:pPr>
        <w:spacing w:line="576" w:lineRule="exact"/>
        <w:ind w:firstLine="663" w:firstLineChars="200"/>
        <w:rPr>
          <w:rFonts w:eastAsia="方正仿宋_GBK"/>
          <w:sz w:val="33"/>
          <w:szCs w:val="33"/>
        </w:rPr>
      </w:pPr>
      <w:r>
        <w:rPr>
          <w:rFonts w:eastAsia="方正楷体_GBK"/>
          <w:b/>
          <w:sz w:val="33"/>
          <w:szCs w:val="33"/>
        </w:rPr>
        <w:t>（三）人员概况。</w:t>
      </w:r>
      <w:r>
        <w:rPr>
          <w:rFonts w:eastAsia="方正仿宋_GBK"/>
          <w:kern w:val="0"/>
          <w:sz w:val="33"/>
          <w:szCs w:val="33"/>
          <w:shd w:val="clear" w:color="auto" w:fill="FFFFFF"/>
          <w:lang w:val="zh-CN"/>
        </w:rPr>
        <w:t>中共盐边县委党校</w:t>
      </w:r>
      <w:r>
        <w:rPr>
          <w:rFonts w:eastAsia="方正仿宋_GBK"/>
          <w:sz w:val="33"/>
          <w:szCs w:val="33"/>
        </w:rPr>
        <w:t>机关编制数15人，其中：行政编制7人，事业编制8人，2023年末实有人数14人，退休7人。</w:t>
      </w:r>
    </w:p>
    <w:p w14:paraId="0F059785">
      <w:pPr>
        <w:spacing w:line="576" w:lineRule="exact"/>
        <w:ind w:firstLine="660" w:firstLineChars="200"/>
        <w:rPr>
          <w:rFonts w:eastAsia="方正黑体_GBK"/>
          <w:sz w:val="33"/>
          <w:szCs w:val="33"/>
        </w:rPr>
      </w:pPr>
      <w:r>
        <w:rPr>
          <w:rFonts w:eastAsia="方正黑体_GBK"/>
          <w:sz w:val="33"/>
          <w:szCs w:val="33"/>
        </w:rPr>
        <w:t>二、部门资金收支情况</w:t>
      </w:r>
    </w:p>
    <w:p w14:paraId="3EDA1150">
      <w:pPr>
        <w:spacing w:line="576" w:lineRule="exact"/>
        <w:ind w:firstLine="663" w:firstLineChars="200"/>
        <w:rPr>
          <w:rFonts w:eastAsia="方正楷体_GBK"/>
          <w:b/>
          <w:sz w:val="33"/>
          <w:szCs w:val="33"/>
        </w:rPr>
      </w:pPr>
      <w:r>
        <w:rPr>
          <w:rFonts w:eastAsia="方正楷体_GBK"/>
          <w:b/>
          <w:sz w:val="33"/>
          <w:szCs w:val="33"/>
        </w:rPr>
        <w:t>（一）收入情况</w:t>
      </w:r>
    </w:p>
    <w:p w14:paraId="17119940">
      <w:pPr>
        <w:spacing w:line="576" w:lineRule="exact"/>
        <w:ind w:firstLine="660" w:firstLineChars="200"/>
        <w:rPr>
          <w:rFonts w:eastAsia="方正仿宋_GBK"/>
          <w:sz w:val="33"/>
          <w:szCs w:val="33"/>
        </w:rPr>
      </w:pPr>
      <w:r>
        <w:rPr>
          <w:rFonts w:eastAsia="方正仿宋_GBK"/>
          <w:kern w:val="0"/>
          <w:sz w:val="33"/>
          <w:szCs w:val="33"/>
          <w:shd w:val="clear" w:color="auto" w:fill="FFFFFF"/>
        </w:rPr>
        <w:t>中共盐边县委党校</w:t>
      </w:r>
      <w:r>
        <w:rPr>
          <w:rFonts w:eastAsia="方正仿宋_GBK"/>
          <w:kern w:val="0"/>
          <w:sz w:val="33"/>
          <w:szCs w:val="33"/>
          <w:shd w:val="clear" w:color="auto" w:fill="FFFFFF"/>
          <w:lang w:val="zh-CN"/>
        </w:rPr>
        <w:t>部门2023</w:t>
      </w:r>
      <w:r>
        <w:rPr>
          <w:rFonts w:eastAsia="方正仿宋_GBK"/>
          <w:kern w:val="0"/>
          <w:sz w:val="33"/>
          <w:szCs w:val="33"/>
          <w:shd w:val="clear" w:color="auto" w:fill="FFFFFF"/>
        </w:rPr>
        <w:t>年</w:t>
      </w:r>
      <w:r>
        <w:rPr>
          <w:rFonts w:eastAsia="方正仿宋_GBK"/>
          <w:kern w:val="0"/>
          <w:sz w:val="33"/>
          <w:szCs w:val="33"/>
          <w:shd w:val="clear" w:color="auto" w:fill="FFFFFF"/>
          <w:lang w:val="zh-CN"/>
        </w:rPr>
        <w:t>年初</w:t>
      </w:r>
      <w:r>
        <w:rPr>
          <w:rFonts w:eastAsia="方正仿宋_GBK"/>
          <w:kern w:val="0"/>
          <w:sz w:val="33"/>
          <w:szCs w:val="33"/>
          <w:shd w:val="clear" w:color="auto" w:fill="FFFFFF"/>
        </w:rPr>
        <w:t>预算收入为501.37万元、决算报表收入为601.63万元。</w:t>
      </w:r>
    </w:p>
    <w:p w14:paraId="34608082">
      <w:pPr>
        <w:spacing w:line="576" w:lineRule="exact"/>
        <w:ind w:firstLine="663" w:firstLineChars="200"/>
        <w:rPr>
          <w:rFonts w:eastAsia="方正楷体_GBK"/>
          <w:b/>
          <w:sz w:val="33"/>
          <w:szCs w:val="33"/>
        </w:rPr>
      </w:pPr>
      <w:r>
        <w:rPr>
          <w:rFonts w:eastAsia="方正楷体_GBK"/>
          <w:b/>
          <w:sz w:val="33"/>
          <w:szCs w:val="33"/>
        </w:rPr>
        <w:t>（二）支出情况</w:t>
      </w:r>
    </w:p>
    <w:p w14:paraId="41C970BB">
      <w:pPr>
        <w:spacing w:line="576" w:lineRule="exact"/>
        <w:ind w:firstLine="660" w:firstLineChars="200"/>
        <w:rPr>
          <w:rFonts w:eastAsia="方正仿宋_GBK"/>
          <w:kern w:val="0"/>
          <w:sz w:val="33"/>
          <w:szCs w:val="33"/>
          <w:shd w:val="clear" w:color="auto" w:fill="FFFFFF"/>
        </w:rPr>
      </w:pPr>
      <w:r>
        <w:rPr>
          <w:rFonts w:eastAsia="方正仿宋_GBK"/>
          <w:kern w:val="0"/>
          <w:sz w:val="33"/>
          <w:szCs w:val="33"/>
          <w:shd w:val="clear" w:color="auto" w:fill="FFFFFF"/>
        </w:rPr>
        <w:t>中共盐边县委党校部门2023年年初预算支出501.37万元、决算报表支出为601.63万元。</w:t>
      </w:r>
    </w:p>
    <w:p w14:paraId="1F5499FF">
      <w:pPr>
        <w:spacing w:line="576" w:lineRule="exact"/>
        <w:ind w:firstLine="663" w:firstLineChars="200"/>
        <w:rPr>
          <w:rFonts w:eastAsia="方正楷体_GBK"/>
          <w:b/>
          <w:sz w:val="33"/>
          <w:szCs w:val="33"/>
        </w:rPr>
      </w:pPr>
      <w:r>
        <w:rPr>
          <w:rFonts w:eastAsia="方正楷体_GBK"/>
          <w:b/>
          <w:sz w:val="33"/>
          <w:szCs w:val="33"/>
        </w:rPr>
        <w:t>（三）结余分配和结转结余情况</w:t>
      </w:r>
    </w:p>
    <w:p w14:paraId="28DC6649">
      <w:pPr>
        <w:spacing w:line="576" w:lineRule="exact"/>
        <w:ind w:firstLine="660" w:firstLineChars="200"/>
        <w:rPr>
          <w:rFonts w:eastAsia="方正仿宋_GBK"/>
          <w:kern w:val="0"/>
          <w:sz w:val="33"/>
          <w:szCs w:val="33"/>
          <w:shd w:val="clear" w:color="auto" w:fill="FFFFFF"/>
        </w:rPr>
      </w:pPr>
      <w:r>
        <w:rPr>
          <w:rFonts w:eastAsia="方正仿宋_GBK"/>
          <w:kern w:val="0"/>
          <w:sz w:val="33"/>
          <w:szCs w:val="33"/>
          <w:shd w:val="clear" w:color="auto" w:fill="FFFFFF"/>
        </w:rPr>
        <w:t>中共盐边县委党校部门2023年决算报表，本年无结转结余。</w:t>
      </w:r>
    </w:p>
    <w:p w14:paraId="5F89A6DC">
      <w:pPr>
        <w:spacing w:line="576" w:lineRule="exact"/>
        <w:ind w:firstLine="660" w:firstLineChars="200"/>
        <w:rPr>
          <w:rFonts w:eastAsia="方正黑体_GBK"/>
          <w:sz w:val="33"/>
          <w:szCs w:val="33"/>
        </w:rPr>
      </w:pPr>
      <w:r>
        <w:rPr>
          <w:rFonts w:eastAsia="方正黑体_GBK"/>
          <w:sz w:val="33"/>
          <w:szCs w:val="33"/>
        </w:rPr>
        <w:t>三、部门预算绩效分析</w:t>
      </w:r>
    </w:p>
    <w:p w14:paraId="6D34A594">
      <w:pPr>
        <w:spacing w:line="576" w:lineRule="exact"/>
        <w:ind w:firstLine="663" w:firstLineChars="200"/>
        <w:rPr>
          <w:rFonts w:eastAsia="方正楷体_GBK"/>
          <w:b/>
          <w:sz w:val="33"/>
          <w:szCs w:val="33"/>
        </w:rPr>
      </w:pPr>
      <w:r>
        <w:rPr>
          <w:rFonts w:eastAsia="方正楷体_GBK"/>
          <w:b/>
          <w:sz w:val="33"/>
          <w:szCs w:val="33"/>
        </w:rPr>
        <w:t>（一）部门预算总体绩效分析</w:t>
      </w:r>
    </w:p>
    <w:p w14:paraId="1B5EAC8F">
      <w:pPr>
        <w:adjustRightInd w:val="0"/>
        <w:snapToGrid w:val="0"/>
        <w:spacing w:line="576" w:lineRule="exact"/>
        <w:ind w:firstLine="663" w:firstLineChars="200"/>
        <w:contextualSpacing/>
        <w:rPr>
          <w:rFonts w:eastAsia="方正仿宋_GBK"/>
          <w:b/>
          <w:bCs/>
          <w:color w:val="000000"/>
          <w:kern w:val="0"/>
          <w:sz w:val="33"/>
          <w:szCs w:val="33"/>
          <w:shd w:val="clear" w:color="auto" w:fill="FFFFFF"/>
          <w:lang w:val="zh-CN"/>
        </w:rPr>
      </w:pPr>
      <w:r>
        <w:rPr>
          <w:rFonts w:eastAsia="方正仿宋_GBK"/>
          <w:b/>
          <w:bCs/>
          <w:color w:val="000000"/>
          <w:kern w:val="0"/>
          <w:sz w:val="33"/>
          <w:szCs w:val="33"/>
          <w:shd w:val="clear" w:color="auto" w:fill="FFFFFF"/>
        </w:rPr>
        <w:t>1.</w:t>
      </w:r>
      <w:r>
        <w:rPr>
          <w:rFonts w:eastAsia="方正仿宋_GBK"/>
          <w:b/>
          <w:bCs/>
          <w:color w:val="000000"/>
          <w:kern w:val="0"/>
          <w:sz w:val="33"/>
          <w:szCs w:val="33"/>
          <w:shd w:val="clear" w:color="auto" w:fill="FFFFFF"/>
          <w:lang w:val="zh-CN"/>
        </w:rPr>
        <w:t>履职</w:t>
      </w:r>
      <w:r>
        <w:rPr>
          <w:rFonts w:eastAsia="方正仿宋_GBK"/>
          <w:b/>
          <w:bCs/>
          <w:color w:val="000000"/>
          <w:kern w:val="0"/>
          <w:sz w:val="33"/>
          <w:szCs w:val="33"/>
          <w:shd w:val="clear" w:color="auto" w:fill="FFFFFF"/>
        </w:rPr>
        <w:t>效能</w:t>
      </w:r>
      <w:r>
        <w:rPr>
          <w:rFonts w:eastAsia="方正仿宋_GBK"/>
          <w:b/>
          <w:bCs/>
          <w:color w:val="000000"/>
          <w:kern w:val="0"/>
          <w:sz w:val="33"/>
          <w:szCs w:val="33"/>
          <w:shd w:val="clear" w:color="auto" w:fill="FFFFFF"/>
          <w:lang w:val="zh-CN"/>
        </w:rPr>
        <w:t>。</w:t>
      </w:r>
    </w:p>
    <w:p w14:paraId="6ACE281B">
      <w:pPr>
        <w:adjustRightInd w:val="0"/>
        <w:snapToGrid w:val="0"/>
        <w:spacing w:line="576" w:lineRule="exact"/>
        <w:ind w:firstLine="660" w:firstLineChars="200"/>
        <w:contextualSpacing/>
        <w:rPr>
          <w:rFonts w:eastAsia="方正仿宋_GBK"/>
          <w:sz w:val="33"/>
          <w:szCs w:val="33"/>
        </w:rPr>
      </w:pPr>
      <w:r>
        <w:rPr>
          <w:rFonts w:eastAsia="方正仿宋_GBK"/>
          <w:sz w:val="33"/>
          <w:szCs w:val="33"/>
        </w:rPr>
        <w:t>紧紧围绕“预算编制有目标、预算执行有监控、预算完成有评价、评价结果有反馈、反馈结果有应用”开展工作，突出预算绩效管理，提高资金使用效益。通过科学规范制定内控管理制度有效地加强了预算绩效管理。</w:t>
      </w:r>
    </w:p>
    <w:p w14:paraId="5B122F89">
      <w:pPr>
        <w:pStyle w:val="14"/>
        <w:spacing w:beforeAutospacing="0" w:afterAutospacing="0" w:line="576" w:lineRule="exact"/>
        <w:ind w:firstLine="660" w:firstLineChars="200"/>
        <w:jc w:val="both"/>
        <w:rPr>
          <w:rFonts w:eastAsia="方正仿宋_GBK"/>
          <w:kern w:val="2"/>
          <w:sz w:val="33"/>
          <w:szCs w:val="33"/>
        </w:rPr>
      </w:pPr>
      <w:r>
        <w:rPr>
          <w:rFonts w:eastAsia="方正仿宋_GBK"/>
          <w:kern w:val="2"/>
          <w:sz w:val="33"/>
          <w:szCs w:val="33"/>
        </w:rPr>
        <w:t>新建盐边县委党校占地35.6亩，总建筑面积3.15万平方米。校园环境优美，教育、食宿、运动等功能齐全，满足封闭式教学。高标准建成160㎡图书室1间，新购图书6000余册，藏书达10500余册。为更好地适应大规模干部培训的需求，2023年对办公区和教学区中央空调进行了大规模修缮改造，利用省级资金40万元开展了录播室和实训室升级改造工程，所有教室均安装了电子显示屏等电教设备，极大改善了盐边县委党校的办学条件。2023年顺利通过了县级党校分类建设和办学质量评估终评，终评得分94.89分，等级为优秀，在全市5个县（区）中排名第二位。</w:t>
      </w:r>
    </w:p>
    <w:p w14:paraId="06C86C33">
      <w:pPr>
        <w:adjustRightInd w:val="0"/>
        <w:snapToGrid w:val="0"/>
        <w:spacing w:line="576" w:lineRule="exact"/>
        <w:ind w:firstLine="663" w:firstLineChars="200"/>
        <w:contextualSpacing/>
        <w:rPr>
          <w:rFonts w:eastAsia="方正仿宋_GBK"/>
          <w:b/>
          <w:bCs/>
          <w:color w:val="000000"/>
          <w:kern w:val="0"/>
          <w:sz w:val="33"/>
          <w:szCs w:val="33"/>
          <w:shd w:val="clear" w:color="auto" w:fill="FFFFFF"/>
          <w:lang w:val="zh-CN"/>
        </w:rPr>
      </w:pPr>
      <w:r>
        <w:rPr>
          <w:rFonts w:eastAsia="方正仿宋_GBK"/>
          <w:b/>
          <w:bCs/>
          <w:color w:val="000000"/>
          <w:kern w:val="0"/>
          <w:sz w:val="33"/>
          <w:szCs w:val="33"/>
          <w:shd w:val="clear" w:color="auto" w:fill="FFFFFF"/>
        </w:rPr>
        <w:t>2.</w:t>
      </w:r>
      <w:r>
        <w:rPr>
          <w:rFonts w:eastAsia="方正仿宋_GBK"/>
          <w:b/>
          <w:bCs/>
          <w:color w:val="000000"/>
          <w:kern w:val="0"/>
          <w:sz w:val="33"/>
          <w:szCs w:val="33"/>
          <w:shd w:val="clear" w:color="auto" w:fill="FFFFFF"/>
          <w:lang w:val="zh-CN"/>
        </w:rPr>
        <w:t>预算管理。</w:t>
      </w:r>
    </w:p>
    <w:p w14:paraId="3A1FDE88">
      <w:pPr>
        <w:adjustRightInd w:val="0"/>
        <w:snapToGrid w:val="0"/>
        <w:spacing w:line="576" w:lineRule="exact"/>
        <w:ind w:firstLine="663" w:firstLineChars="200"/>
        <w:rPr>
          <w:rFonts w:eastAsia="方正仿宋_GBK"/>
          <w:sz w:val="33"/>
          <w:szCs w:val="33"/>
        </w:rPr>
      </w:pPr>
      <w:r>
        <w:rPr>
          <w:rFonts w:eastAsia="方正仿宋_GBK"/>
          <w:b/>
          <w:bCs/>
          <w:sz w:val="33"/>
          <w:szCs w:val="33"/>
        </w:rPr>
        <w:t>一是</w:t>
      </w:r>
      <w:r>
        <w:rPr>
          <w:rFonts w:eastAsia="方正仿宋_GBK"/>
          <w:sz w:val="33"/>
          <w:szCs w:val="33"/>
        </w:rPr>
        <w:t>预算编制上</w:t>
      </w:r>
      <w:r>
        <w:rPr>
          <w:rFonts w:eastAsia="方正仿宋_GBK"/>
          <w:sz w:val="33"/>
          <w:szCs w:val="33"/>
          <w:lang w:val="zh-CN"/>
        </w:rPr>
        <w:t>提高预算编制的准确性和科学性，加强数据收集和分析，确保预算编制与实际需求相符。建立预算编制的审核和反馈机制，及时发现和纠正问题。</w:t>
      </w:r>
      <w:r>
        <w:rPr>
          <w:rFonts w:eastAsia="方正仿宋_GBK"/>
          <w:b/>
          <w:bCs/>
          <w:sz w:val="33"/>
          <w:szCs w:val="33"/>
        </w:rPr>
        <w:t>二是</w:t>
      </w:r>
      <w:r>
        <w:rPr>
          <w:rFonts w:eastAsia="方正仿宋_GBK"/>
          <w:sz w:val="33"/>
          <w:szCs w:val="33"/>
        </w:rPr>
        <w:t>支持执行进度上，</w:t>
      </w:r>
      <w:r>
        <w:rPr>
          <w:rFonts w:eastAsia="方正仿宋_GBK"/>
          <w:sz w:val="33"/>
          <w:szCs w:val="33"/>
          <w:lang w:val="zh-CN"/>
        </w:rPr>
        <w:t>加强支出执行的监控和管理，确保支出进度与预算计划相符。建立支出执行的预警机制，及时发现和解决支出执行中的问题。</w:t>
      </w:r>
      <w:r>
        <w:rPr>
          <w:rFonts w:eastAsia="方正仿宋_GBK"/>
          <w:b/>
          <w:bCs/>
          <w:sz w:val="33"/>
          <w:szCs w:val="33"/>
        </w:rPr>
        <w:t>三是</w:t>
      </w:r>
      <w:r>
        <w:rPr>
          <w:rFonts w:eastAsia="方正仿宋_GBK"/>
          <w:sz w:val="33"/>
          <w:szCs w:val="33"/>
          <w:lang w:val="zh-CN"/>
        </w:rPr>
        <w:t>预算年终结余，加强预算执行的精细化管理，提高资金使用效率。建立预算年终结余的评估机制，根据结余情况调整下一年度的预算编制。</w:t>
      </w:r>
      <w:r>
        <w:rPr>
          <w:rFonts w:eastAsia="方正仿宋_GBK"/>
          <w:b/>
          <w:bCs/>
          <w:sz w:val="33"/>
          <w:szCs w:val="33"/>
        </w:rPr>
        <w:t>四是</w:t>
      </w:r>
      <w:r>
        <w:rPr>
          <w:rFonts w:eastAsia="方正仿宋_GBK"/>
          <w:sz w:val="33"/>
          <w:szCs w:val="33"/>
          <w:lang w:val="zh-CN"/>
        </w:rPr>
        <w:t>严控一般性支出，建立一般性支出的审批和监管机制，严格控制支出标准和范围。同时，加强员工对一般性支出的节约意识，鼓励员工在日常工作中节约开支。</w:t>
      </w:r>
    </w:p>
    <w:p w14:paraId="2CD7A932">
      <w:pPr>
        <w:adjustRightInd w:val="0"/>
        <w:snapToGrid w:val="0"/>
        <w:spacing w:line="576" w:lineRule="exact"/>
        <w:ind w:firstLine="663" w:firstLineChars="200"/>
        <w:contextualSpacing/>
        <w:rPr>
          <w:rFonts w:eastAsia="方正仿宋_GBK"/>
          <w:b/>
          <w:bCs/>
          <w:color w:val="000000"/>
          <w:kern w:val="0"/>
          <w:sz w:val="33"/>
          <w:szCs w:val="33"/>
          <w:shd w:val="clear" w:color="auto" w:fill="FFFFFF"/>
          <w:lang w:val="zh-CN"/>
        </w:rPr>
      </w:pPr>
      <w:r>
        <w:rPr>
          <w:rFonts w:eastAsia="方正仿宋_GBK"/>
          <w:b/>
          <w:bCs/>
          <w:color w:val="000000"/>
          <w:kern w:val="0"/>
          <w:sz w:val="33"/>
          <w:szCs w:val="33"/>
          <w:shd w:val="clear" w:color="auto" w:fill="FFFFFF"/>
        </w:rPr>
        <w:t>3.</w:t>
      </w:r>
      <w:r>
        <w:rPr>
          <w:rFonts w:eastAsia="方正仿宋_GBK"/>
          <w:b/>
          <w:bCs/>
          <w:color w:val="000000"/>
          <w:kern w:val="0"/>
          <w:sz w:val="33"/>
          <w:szCs w:val="33"/>
          <w:shd w:val="clear" w:color="auto" w:fill="FFFFFF"/>
          <w:lang w:val="zh-CN"/>
        </w:rPr>
        <w:t>财务管理。</w:t>
      </w:r>
    </w:p>
    <w:p w14:paraId="25C8E924">
      <w:pPr>
        <w:adjustRightInd w:val="0"/>
        <w:snapToGrid w:val="0"/>
        <w:spacing w:line="576" w:lineRule="exact"/>
        <w:ind w:firstLine="663" w:firstLineChars="200"/>
        <w:rPr>
          <w:rFonts w:eastAsia="方正仿宋_GBK"/>
          <w:color w:val="000000"/>
          <w:kern w:val="0"/>
          <w:sz w:val="33"/>
          <w:szCs w:val="33"/>
          <w:shd w:val="clear" w:color="auto" w:fill="FFFFFF"/>
          <w:lang w:val="zh-CN"/>
        </w:rPr>
      </w:pPr>
      <w:r>
        <w:rPr>
          <w:rFonts w:eastAsia="方正仿宋_GBK"/>
          <w:b/>
          <w:bCs/>
          <w:sz w:val="33"/>
          <w:szCs w:val="33"/>
        </w:rPr>
        <w:t>一是</w:t>
      </w:r>
      <w:r>
        <w:rPr>
          <w:rFonts w:eastAsia="方正仿宋_GBK"/>
          <w:sz w:val="33"/>
          <w:szCs w:val="33"/>
          <w:lang w:val="zh-CN"/>
        </w:rPr>
        <w:t>财务管理制度，定期对财务管理制度进行审查和更新，确保其适应组织发展的需要。加强制度培训，确保所有财务相关人员都能准确理解和遵守制度。建立制度执行的监督机制，对违规行为进行及时纠正和处罚。</w:t>
      </w:r>
      <w:r>
        <w:rPr>
          <w:rFonts w:eastAsia="方正仿宋_GBK"/>
          <w:b/>
          <w:bCs/>
          <w:sz w:val="33"/>
          <w:szCs w:val="33"/>
        </w:rPr>
        <w:t>二是</w:t>
      </w:r>
      <w:r>
        <w:rPr>
          <w:rFonts w:eastAsia="方正仿宋_GBK"/>
          <w:sz w:val="33"/>
          <w:szCs w:val="33"/>
          <w:lang w:val="zh-CN"/>
        </w:rPr>
        <w:t>财务岗位设置建立人员考核机制，激励员工提升工作绩效。</w:t>
      </w:r>
      <w:r>
        <w:rPr>
          <w:rFonts w:eastAsia="方正仿宋_GBK"/>
          <w:b/>
          <w:bCs/>
          <w:sz w:val="33"/>
          <w:szCs w:val="33"/>
        </w:rPr>
        <w:t>三是</w:t>
      </w:r>
      <w:r>
        <w:rPr>
          <w:rFonts w:eastAsia="方正仿宋_GBK"/>
          <w:sz w:val="33"/>
          <w:szCs w:val="33"/>
          <w:lang w:val="zh-CN"/>
        </w:rPr>
        <w:t>资金使用规范建立严格的资金使用审批流程，确保每一笔资金的使用都经过合法合规的审批。加强资金流动的监控和分析，及时发现和解决资金使用中的问题。优化资金配置，提高资金使用效率。</w:t>
      </w:r>
    </w:p>
    <w:p w14:paraId="54F25F09">
      <w:pPr>
        <w:adjustRightInd w:val="0"/>
        <w:snapToGrid w:val="0"/>
        <w:spacing w:line="576" w:lineRule="exact"/>
        <w:ind w:firstLine="663" w:firstLineChars="200"/>
        <w:rPr>
          <w:rFonts w:eastAsia="方正仿宋_GBK"/>
          <w:color w:val="000000"/>
          <w:kern w:val="0"/>
          <w:sz w:val="33"/>
          <w:szCs w:val="33"/>
          <w:shd w:val="clear" w:color="auto" w:fill="FFFFFF"/>
          <w:lang w:val="zh-CN"/>
        </w:rPr>
      </w:pPr>
      <w:r>
        <w:rPr>
          <w:rFonts w:eastAsia="方正仿宋_GBK"/>
          <w:b/>
          <w:bCs/>
          <w:color w:val="000000"/>
          <w:kern w:val="0"/>
          <w:sz w:val="33"/>
          <w:szCs w:val="33"/>
          <w:shd w:val="clear" w:color="auto" w:fill="FFFFFF"/>
        </w:rPr>
        <w:t>4.</w:t>
      </w:r>
      <w:r>
        <w:rPr>
          <w:rFonts w:eastAsia="方正仿宋_GBK"/>
          <w:b/>
          <w:bCs/>
          <w:color w:val="000000"/>
          <w:kern w:val="0"/>
          <w:sz w:val="33"/>
          <w:szCs w:val="33"/>
          <w:shd w:val="clear" w:color="auto" w:fill="FFFFFF"/>
          <w:lang w:val="zh-CN"/>
        </w:rPr>
        <w:t>资产管理。</w:t>
      </w:r>
      <w:r>
        <w:rPr>
          <w:rFonts w:eastAsia="方正仿宋_GBK"/>
          <w:sz w:val="33"/>
          <w:szCs w:val="33"/>
        </w:rPr>
        <w:t>一是</w:t>
      </w:r>
      <w:r>
        <w:rPr>
          <w:rFonts w:eastAsia="方正仿宋_GBK"/>
          <w:sz w:val="33"/>
          <w:szCs w:val="33"/>
          <w:lang w:val="zh-CN"/>
        </w:rPr>
        <w:t>人均资产变化率</w:t>
      </w:r>
      <w:r>
        <w:rPr>
          <w:rFonts w:eastAsia="方正仿宋_GBK"/>
          <w:sz w:val="33"/>
          <w:szCs w:val="33"/>
        </w:rPr>
        <w:t>上</w:t>
      </w:r>
      <w:r>
        <w:rPr>
          <w:rFonts w:eastAsia="方正仿宋_GBK"/>
          <w:sz w:val="33"/>
          <w:szCs w:val="33"/>
          <w:lang w:val="zh-CN"/>
        </w:rPr>
        <w:t>加强资产管理人员的培训和能力提升，提高资产管理水平。</w:t>
      </w:r>
      <w:r>
        <w:rPr>
          <w:rFonts w:eastAsia="方正仿宋_GBK"/>
          <w:sz w:val="33"/>
          <w:szCs w:val="33"/>
        </w:rPr>
        <w:t>二是</w:t>
      </w:r>
      <w:r>
        <w:rPr>
          <w:rFonts w:eastAsia="方正仿宋_GBK"/>
          <w:sz w:val="33"/>
          <w:szCs w:val="33"/>
          <w:lang w:val="zh-CN"/>
        </w:rPr>
        <w:t>资产利用率</w:t>
      </w:r>
      <w:r>
        <w:rPr>
          <w:rFonts w:eastAsia="方正仿宋_GBK"/>
          <w:sz w:val="33"/>
          <w:szCs w:val="33"/>
        </w:rPr>
        <w:t>上定期进行资产清查和盘点，及时发现并处理闲置资产三是</w:t>
      </w:r>
      <w:r>
        <w:rPr>
          <w:rFonts w:eastAsia="方正仿宋_GBK"/>
          <w:sz w:val="33"/>
          <w:szCs w:val="33"/>
          <w:lang w:val="zh-CN"/>
        </w:rPr>
        <w:t>资产盘活率</w:t>
      </w:r>
      <w:r>
        <w:rPr>
          <w:rFonts w:eastAsia="方正仿宋_GBK"/>
          <w:sz w:val="33"/>
          <w:szCs w:val="33"/>
        </w:rPr>
        <w:t>上建立完善的资产管理制度和流程，确保资产管理的规范化和标准化。</w:t>
      </w:r>
    </w:p>
    <w:p w14:paraId="29D55F5D">
      <w:pPr>
        <w:adjustRightInd w:val="0"/>
        <w:snapToGrid w:val="0"/>
        <w:spacing w:line="576" w:lineRule="exact"/>
        <w:ind w:firstLine="663" w:firstLineChars="200"/>
        <w:rPr>
          <w:rFonts w:eastAsia="方正仿宋_GBK"/>
          <w:color w:val="000000"/>
          <w:kern w:val="0"/>
          <w:sz w:val="33"/>
          <w:szCs w:val="33"/>
          <w:shd w:val="clear" w:color="auto" w:fill="FFFFFF"/>
          <w:lang w:val="zh-CN"/>
        </w:rPr>
      </w:pPr>
      <w:r>
        <w:rPr>
          <w:rFonts w:eastAsia="方正仿宋_GBK"/>
          <w:b/>
          <w:bCs/>
          <w:color w:val="000000"/>
          <w:kern w:val="0"/>
          <w:sz w:val="33"/>
          <w:szCs w:val="33"/>
          <w:shd w:val="clear" w:color="auto" w:fill="FFFFFF"/>
        </w:rPr>
        <w:t>5.</w:t>
      </w:r>
      <w:r>
        <w:rPr>
          <w:rFonts w:eastAsia="方正仿宋_GBK"/>
          <w:b/>
          <w:bCs/>
          <w:color w:val="000000"/>
          <w:kern w:val="0"/>
          <w:sz w:val="33"/>
          <w:szCs w:val="33"/>
          <w:shd w:val="clear" w:color="auto" w:fill="FFFFFF"/>
          <w:lang w:val="zh-CN"/>
        </w:rPr>
        <w:t>采购管理。</w:t>
      </w:r>
      <w:r>
        <w:rPr>
          <w:rFonts w:eastAsia="方正仿宋_GBK"/>
          <w:sz w:val="33"/>
          <w:szCs w:val="33"/>
          <w:lang w:val="zh-CN"/>
        </w:rPr>
        <w:t>建立对采购活动的监督机制，确保采购计划的严格执行和采购活动的合规性。对采购执行率进行定期评估和考核，及时发现问题并采取改进措施。</w:t>
      </w:r>
    </w:p>
    <w:p w14:paraId="2159CFD1">
      <w:pPr>
        <w:spacing w:line="576" w:lineRule="exact"/>
        <w:ind w:firstLine="663" w:firstLineChars="200"/>
        <w:rPr>
          <w:rFonts w:eastAsia="方正楷体_GBK"/>
          <w:sz w:val="33"/>
          <w:szCs w:val="33"/>
          <w:lang w:val="zh-CN"/>
        </w:rPr>
      </w:pPr>
      <w:r>
        <w:rPr>
          <w:rFonts w:eastAsia="方正楷体_GBK"/>
          <w:b/>
          <w:sz w:val="33"/>
          <w:szCs w:val="33"/>
        </w:rPr>
        <w:t>（二）部门预算项目绩效分析</w:t>
      </w:r>
    </w:p>
    <w:p w14:paraId="470958E6">
      <w:pPr>
        <w:spacing w:line="576" w:lineRule="exact"/>
        <w:ind w:firstLine="660" w:firstLineChars="200"/>
        <w:rPr>
          <w:rFonts w:eastAsia="方正仿宋_GBK"/>
          <w:sz w:val="33"/>
          <w:szCs w:val="33"/>
          <w:lang w:val="zh-CN"/>
        </w:rPr>
      </w:pPr>
      <w:r>
        <w:rPr>
          <w:rFonts w:eastAsia="方正仿宋_GBK"/>
          <w:sz w:val="33"/>
          <w:szCs w:val="33"/>
          <w:lang w:val="zh-CN"/>
        </w:rPr>
        <w:t>常年项目绩效分析。该类项目总数</w:t>
      </w:r>
      <w:r>
        <w:rPr>
          <w:rFonts w:eastAsia="方正仿宋_GBK"/>
          <w:sz w:val="33"/>
          <w:szCs w:val="33"/>
        </w:rPr>
        <w:t>5</w:t>
      </w:r>
      <w:r>
        <w:rPr>
          <w:rFonts w:eastAsia="方正仿宋_GBK"/>
          <w:sz w:val="33"/>
          <w:szCs w:val="33"/>
          <w:lang w:val="zh-CN"/>
        </w:rPr>
        <w:t>个，涉及预算总金额</w:t>
      </w:r>
    </w:p>
    <w:p w14:paraId="21ACBD09">
      <w:pPr>
        <w:spacing w:line="576" w:lineRule="exact"/>
        <w:rPr>
          <w:rFonts w:eastAsia="方正仿宋_GBK"/>
          <w:sz w:val="33"/>
          <w:szCs w:val="33"/>
          <w:lang w:val="zh-CN"/>
        </w:rPr>
      </w:pPr>
      <w:r>
        <w:rPr>
          <w:rFonts w:eastAsia="方正仿宋_GBK"/>
          <w:sz w:val="33"/>
          <w:szCs w:val="33"/>
          <w:lang w:val="zh-CN"/>
        </w:rPr>
        <w:t xml:space="preserve">   万元，1</w:t>
      </w:r>
      <w:r>
        <w:rPr>
          <w:rFonts w:eastAsia="方正仿宋_GBK"/>
          <w:sz w:val="33"/>
          <w:szCs w:val="33"/>
        </w:rPr>
        <w:t>-</w:t>
      </w:r>
      <w:r>
        <w:rPr>
          <w:rFonts w:eastAsia="方正仿宋_GBK"/>
          <w:sz w:val="33"/>
          <w:szCs w:val="33"/>
          <w:lang w:val="zh-CN"/>
        </w:rPr>
        <w:t>12月预算执行总体进度为</w:t>
      </w:r>
      <w:r>
        <w:rPr>
          <w:rFonts w:eastAsia="方正仿宋_GBK"/>
          <w:sz w:val="33"/>
          <w:szCs w:val="33"/>
        </w:rPr>
        <w:t>100</w:t>
      </w:r>
      <w:r>
        <w:rPr>
          <w:rFonts w:eastAsia="方正仿宋_GBK"/>
          <w:sz w:val="33"/>
          <w:szCs w:val="33"/>
          <w:lang w:val="zh-CN"/>
        </w:rPr>
        <w:t xml:space="preserve"> %，其中：预算结余率大于10%的项目共计</w:t>
      </w:r>
      <w:r>
        <w:rPr>
          <w:rFonts w:eastAsia="方正仿宋_GBK"/>
          <w:sz w:val="33"/>
          <w:szCs w:val="33"/>
        </w:rPr>
        <w:t>0</w:t>
      </w:r>
      <w:r>
        <w:rPr>
          <w:rFonts w:eastAsia="方正仿宋_GBK"/>
          <w:sz w:val="33"/>
          <w:szCs w:val="33"/>
          <w:lang w:val="zh-CN"/>
        </w:rPr>
        <w:t>个。</w:t>
      </w:r>
    </w:p>
    <w:p w14:paraId="48BC242A">
      <w:pPr>
        <w:spacing w:line="576" w:lineRule="exact"/>
        <w:ind w:firstLine="663" w:firstLineChars="200"/>
        <w:rPr>
          <w:rFonts w:eastAsia="方正仿宋_GBK"/>
          <w:sz w:val="33"/>
          <w:szCs w:val="33"/>
          <w:lang w:val="zh-CN"/>
        </w:rPr>
      </w:pPr>
      <w:r>
        <w:rPr>
          <w:rFonts w:eastAsia="方正仿宋_GBK"/>
          <w:b/>
          <w:bCs/>
          <w:color w:val="000000"/>
          <w:kern w:val="0"/>
          <w:sz w:val="33"/>
          <w:szCs w:val="33"/>
          <w:shd w:val="clear" w:color="auto" w:fill="FFFFFF"/>
        </w:rPr>
        <w:t>1.项目决策。</w:t>
      </w:r>
      <w:r>
        <w:rPr>
          <w:rFonts w:eastAsia="方正仿宋_GBK"/>
          <w:sz w:val="33"/>
          <w:szCs w:val="33"/>
          <w:lang w:val="zh-CN"/>
        </w:rPr>
        <w:t>制定明确的入库标准和流程，确保入库项目的质量和效益。加强项目储备库的建设和管理，完善项目储备机制，为组织的未来发展提供有力支持。建立完善的项目效益评估体系，对入库项目进行全面的效益评估，确保项目的经济效益和社会效益</w:t>
      </w:r>
    </w:p>
    <w:p w14:paraId="4C2D37E1">
      <w:pPr>
        <w:spacing w:line="576" w:lineRule="exact"/>
        <w:ind w:firstLine="663" w:firstLineChars="200"/>
        <w:rPr>
          <w:rFonts w:eastAsia="方正仿宋_GBK"/>
          <w:sz w:val="33"/>
          <w:szCs w:val="33"/>
        </w:rPr>
      </w:pPr>
      <w:r>
        <w:rPr>
          <w:rFonts w:eastAsia="方正仿宋_GBK"/>
          <w:b/>
          <w:bCs/>
          <w:color w:val="000000"/>
          <w:kern w:val="0"/>
          <w:sz w:val="33"/>
          <w:szCs w:val="33"/>
          <w:shd w:val="clear" w:color="auto" w:fill="FFFFFF"/>
        </w:rPr>
        <w:t>2.项目执行。</w:t>
      </w:r>
      <w:r>
        <w:rPr>
          <w:rFonts w:eastAsia="方正仿宋_GBK"/>
          <w:b/>
          <w:bCs/>
          <w:sz w:val="33"/>
          <w:szCs w:val="33"/>
        </w:rPr>
        <w:t>一是</w:t>
      </w:r>
      <w:r>
        <w:rPr>
          <w:rFonts w:eastAsia="方正仿宋_GBK"/>
          <w:sz w:val="33"/>
          <w:szCs w:val="33"/>
          <w:lang w:val="zh-CN"/>
        </w:rPr>
        <w:t>资金执行</w:t>
      </w:r>
      <w:r>
        <w:rPr>
          <w:rFonts w:eastAsia="方正仿宋_GBK"/>
          <w:sz w:val="33"/>
          <w:szCs w:val="33"/>
        </w:rPr>
        <w:t>上</w:t>
      </w:r>
      <w:r>
        <w:rPr>
          <w:rFonts w:eastAsia="方正仿宋_GBK"/>
          <w:sz w:val="33"/>
          <w:szCs w:val="33"/>
          <w:lang w:val="zh-CN"/>
        </w:rPr>
        <w:t>加强财务管理和监控，确保资金的合规使用和有效利用。建立资金与项目进度的联动机制，确保资金的投入与项目的实际进度相匹配。提高资金使用的效益意识，优化资金使用结构，确保资金的投入能够带来预期的项目效益。</w:t>
      </w:r>
      <w:r>
        <w:rPr>
          <w:rFonts w:eastAsia="方正仿宋_GBK"/>
          <w:b/>
          <w:bCs/>
          <w:sz w:val="33"/>
          <w:szCs w:val="33"/>
        </w:rPr>
        <w:t>二是</w:t>
      </w:r>
      <w:r>
        <w:rPr>
          <w:rFonts w:eastAsia="方正仿宋_GBK"/>
          <w:sz w:val="33"/>
          <w:szCs w:val="33"/>
        </w:rPr>
        <w:t>建立项目调整的预警机制，及时发现和处理项目执行过程中出现的问题。加强调整方案的论证和评估，确保调整方案的合理性和可行性。强化调整后的执行监控和评估，确保调整方案能够得到有效执行并达到预期效果。</w:t>
      </w:r>
      <w:r>
        <w:rPr>
          <w:rFonts w:eastAsia="方正仿宋_GBK"/>
          <w:sz w:val="33"/>
          <w:szCs w:val="33"/>
          <w:lang w:val="zh-CN"/>
        </w:rPr>
        <w:t>项目调整、执行结果进行绩效分析。</w:t>
      </w:r>
      <w:r>
        <w:rPr>
          <w:rFonts w:eastAsia="方正仿宋_GBK"/>
          <w:b/>
          <w:bCs/>
          <w:sz w:val="33"/>
          <w:szCs w:val="33"/>
        </w:rPr>
        <w:t>三是</w:t>
      </w:r>
      <w:r>
        <w:rPr>
          <w:rFonts w:eastAsia="方正仿宋_GBK"/>
          <w:sz w:val="33"/>
          <w:szCs w:val="33"/>
        </w:rPr>
        <w:t>项目执行上建立项目执行结果的评估机制，对项目目标的达成情况和项目效益的发挥进行全面评估。加强项目经验的总结与分享，将成功经验纳入组织的知识管理体系，为未来的项目执行提供有益的参考和借鉴。根据项目执行结果的评估结果，及时总结经验教训，优化项目管理流程和方法，提高项目管理能力和水平。</w:t>
      </w:r>
    </w:p>
    <w:p w14:paraId="079D8132">
      <w:pPr>
        <w:spacing w:line="576" w:lineRule="exact"/>
        <w:ind w:firstLine="663" w:firstLineChars="200"/>
        <w:rPr>
          <w:rFonts w:eastAsia="方正仿宋_GBK"/>
          <w:sz w:val="33"/>
          <w:szCs w:val="33"/>
          <w:lang w:val="zh-CN"/>
        </w:rPr>
      </w:pPr>
      <w:r>
        <w:rPr>
          <w:rFonts w:eastAsia="方正仿宋_GBK"/>
          <w:b/>
          <w:bCs/>
          <w:color w:val="000000"/>
          <w:kern w:val="0"/>
          <w:sz w:val="33"/>
          <w:szCs w:val="33"/>
          <w:shd w:val="clear" w:color="auto" w:fill="FFFFFF"/>
        </w:rPr>
        <w:t>3.目标实现。</w:t>
      </w:r>
      <w:r>
        <w:rPr>
          <w:rFonts w:eastAsia="方正仿宋_GBK"/>
          <w:sz w:val="33"/>
          <w:szCs w:val="33"/>
          <w:lang w:val="zh-CN"/>
        </w:rPr>
        <w:t>加强经济效益的评估和优化，提高目标实现的商业价值。注重社会效益的提升，增强组织的社会责任感和影响力。制定长期发展战略，确保目标实现的可持续性和长远发展。</w:t>
      </w:r>
    </w:p>
    <w:p w14:paraId="1E1F46BB">
      <w:pPr>
        <w:spacing w:line="576" w:lineRule="exact"/>
        <w:ind w:firstLine="663" w:firstLineChars="200"/>
        <w:rPr>
          <w:rFonts w:eastAsia="方正楷体_GBK"/>
          <w:b/>
          <w:sz w:val="33"/>
          <w:szCs w:val="33"/>
        </w:rPr>
      </w:pPr>
      <w:r>
        <w:rPr>
          <w:rFonts w:eastAsia="方正楷体_GBK"/>
          <w:b/>
          <w:sz w:val="33"/>
          <w:szCs w:val="33"/>
        </w:rPr>
        <w:t>（三）重点领域绩效分析</w:t>
      </w:r>
    </w:p>
    <w:p w14:paraId="60FB247F">
      <w:pPr>
        <w:spacing w:line="576" w:lineRule="exact"/>
        <w:ind w:firstLine="660" w:firstLineChars="200"/>
        <w:rPr>
          <w:rFonts w:eastAsia="方正仿宋_GBK"/>
          <w:sz w:val="33"/>
          <w:szCs w:val="33"/>
          <w:lang w:val="zh-CN"/>
        </w:rPr>
      </w:pPr>
      <w:r>
        <w:rPr>
          <w:rFonts w:eastAsia="方正仿宋_GBK"/>
          <w:sz w:val="33"/>
          <w:szCs w:val="33"/>
        </w:rPr>
        <w:t>县委党校</w:t>
      </w:r>
      <w:r>
        <w:rPr>
          <w:rFonts w:eastAsia="方正仿宋_GBK"/>
          <w:sz w:val="33"/>
          <w:szCs w:val="33"/>
          <w:lang w:val="zh-CN"/>
        </w:rPr>
        <w:t>2023年度</w:t>
      </w:r>
      <w:r>
        <w:rPr>
          <w:rFonts w:eastAsia="方正仿宋_GBK"/>
          <w:sz w:val="33"/>
          <w:szCs w:val="33"/>
        </w:rPr>
        <w:t>不</w:t>
      </w:r>
      <w:r>
        <w:rPr>
          <w:rFonts w:eastAsia="方正仿宋_GBK"/>
          <w:sz w:val="33"/>
          <w:szCs w:val="33"/>
          <w:lang w:val="zh-CN"/>
        </w:rPr>
        <w:t>涉及国有资本、行政事业性国有资产、债券资金、政府采购和政府购买服务等重点领域。</w:t>
      </w:r>
    </w:p>
    <w:p w14:paraId="2D24105C">
      <w:pPr>
        <w:spacing w:line="576" w:lineRule="exact"/>
        <w:ind w:firstLine="663" w:firstLineChars="200"/>
        <w:rPr>
          <w:rFonts w:eastAsia="方正楷体_GBK"/>
          <w:b/>
          <w:sz w:val="33"/>
          <w:szCs w:val="33"/>
        </w:rPr>
      </w:pPr>
      <w:r>
        <w:rPr>
          <w:rFonts w:eastAsia="方正楷体_GBK"/>
          <w:b/>
          <w:sz w:val="33"/>
          <w:szCs w:val="33"/>
        </w:rPr>
        <w:t>（四）绩效结果应用情况。</w:t>
      </w:r>
    </w:p>
    <w:p w14:paraId="2D684BC2">
      <w:pPr>
        <w:adjustRightInd w:val="0"/>
        <w:snapToGrid w:val="0"/>
        <w:spacing w:line="576" w:lineRule="exact"/>
        <w:ind w:firstLine="660" w:firstLineChars="200"/>
        <w:contextualSpacing/>
        <w:rPr>
          <w:rFonts w:eastAsia="方正仿宋_GBK"/>
          <w:b/>
          <w:bCs/>
          <w:color w:val="000000" w:themeColor="text1"/>
          <w:kern w:val="0"/>
          <w:sz w:val="33"/>
          <w:szCs w:val="33"/>
          <w:shd w:val="clear" w:color="auto" w:fill="FFFFFF"/>
          <w14:textFill>
            <w14:solidFill>
              <w14:schemeClr w14:val="tx1"/>
            </w14:solidFill>
          </w14:textFill>
        </w:rPr>
      </w:pPr>
      <w:r>
        <w:rPr>
          <w:rFonts w:eastAsia="方正仿宋_GBK"/>
          <w:kern w:val="0"/>
          <w:sz w:val="33"/>
          <w:szCs w:val="33"/>
          <w:shd w:val="clear" w:color="auto" w:fill="FFFFFF"/>
          <w:lang w:val="zh-CN"/>
        </w:rPr>
        <w:t>保障工资及时发放、足额发放，</w:t>
      </w:r>
      <w:r>
        <w:rPr>
          <w:rFonts w:eastAsia="方正仿宋_GBK"/>
          <w:sz w:val="33"/>
          <w:szCs w:val="33"/>
        </w:rPr>
        <w:t>及单位日常运转，并保质保量的</w:t>
      </w:r>
      <w:r>
        <w:rPr>
          <w:rFonts w:eastAsia="方正仿宋_GBK"/>
          <w:kern w:val="0"/>
          <w:sz w:val="33"/>
          <w:szCs w:val="33"/>
          <w:shd w:val="clear" w:color="auto" w:fill="FFFFFF"/>
        </w:rPr>
        <w:t>完成了2023年党校培训任务。</w:t>
      </w:r>
    </w:p>
    <w:p w14:paraId="672EB55F">
      <w:pPr>
        <w:spacing w:line="576" w:lineRule="exact"/>
        <w:ind w:firstLine="660" w:firstLineChars="200"/>
        <w:rPr>
          <w:rFonts w:eastAsia="方正黑体_GBK"/>
          <w:sz w:val="33"/>
          <w:szCs w:val="33"/>
        </w:rPr>
      </w:pPr>
      <w:r>
        <w:rPr>
          <w:rFonts w:eastAsia="方正黑体_GBK"/>
          <w:sz w:val="33"/>
          <w:szCs w:val="33"/>
        </w:rPr>
        <w:t>四、评价结论及建议</w:t>
      </w:r>
    </w:p>
    <w:p w14:paraId="2B950E7E">
      <w:pPr>
        <w:spacing w:line="576" w:lineRule="exact"/>
        <w:ind w:firstLine="663" w:firstLineChars="200"/>
        <w:rPr>
          <w:rFonts w:eastAsia="方正仿宋_GBK"/>
          <w:sz w:val="33"/>
          <w:szCs w:val="33"/>
        </w:rPr>
      </w:pPr>
      <w:r>
        <w:rPr>
          <w:rFonts w:eastAsia="方正楷体_GBK"/>
          <w:b/>
          <w:sz w:val="33"/>
          <w:szCs w:val="33"/>
        </w:rPr>
        <w:t>（一）评价结论。</w:t>
      </w:r>
      <w:r>
        <w:rPr>
          <w:rFonts w:eastAsia="方正仿宋_GBK"/>
          <w:sz w:val="33"/>
          <w:szCs w:val="33"/>
        </w:rPr>
        <w:t>本年度整体支出绩效评价指标体系自评得分96分，根据评分表结果显示，我单位绩效管理情况较为理想，基本达到了年初设定的各项绩效目标。所有资金使用严格按审批程序办理、操作规范，会计核算结果真实、准确，各项支出严格按照各项制度执行。</w:t>
      </w:r>
    </w:p>
    <w:p w14:paraId="286404D8">
      <w:pPr>
        <w:spacing w:line="576" w:lineRule="exact"/>
        <w:ind w:firstLine="660" w:firstLineChars="200"/>
        <w:rPr>
          <w:rFonts w:eastAsia="方正仿宋_GBK"/>
          <w:sz w:val="33"/>
          <w:szCs w:val="33"/>
        </w:rPr>
      </w:pPr>
      <w:r>
        <w:rPr>
          <w:rFonts w:eastAsia="方正仿宋_GBK"/>
          <w:sz w:val="33"/>
          <w:szCs w:val="33"/>
        </w:rPr>
        <w:t>绩效自评结果用于指导今后的部门预算绩效工作，全面做到保障单位正常工作运转，结合我校年度工作计划，按照进度有序使用资金。部门预算整体绩效自评表部门预算整体绩效评价自评报告将在按照规定在盐边县公众信息网进行公开公示。</w:t>
      </w:r>
    </w:p>
    <w:p w14:paraId="6AC45B76">
      <w:pPr>
        <w:spacing w:line="576" w:lineRule="exact"/>
        <w:ind w:firstLine="663" w:firstLineChars="200"/>
        <w:rPr>
          <w:rFonts w:eastAsia="方正楷体_GBK"/>
          <w:b/>
          <w:sz w:val="33"/>
          <w:szCs w:val="33"/>
        </w:rPr>
      </w:pPr>
      <w:r>
        <w:rPr>
          <w:rFonts w:eastAsia="方正楷体_GBK"/>
          <w:b/>
          <w:sz w:val="33"/>
          <w:szCs w:val="33"/>
        </w:rPr>
        <w:t>（二）存在问题</w:t>
      </w:r>
    </w:p>
    <w:p w14:paraId="7F5B8098">
      <w:pPr>
        <w:spacing w:line="576" w:lineRule="exact"/>
        <w:ind w:firstLine="660" w:firstLineChars="200"/>
        <w:rPr>
          <w:rFonts w:eastAsia="方正仿宋_GBK"/>
          <w:sz w:val="33"/>
          <w:szCs w:val="33"/>
          <w:lang w:val="zh-CN"/>
        </w:rPr>
      </w:pPr>
      <w:r>
        <w:rPr>
          <w:rFonts w:eastAsia="方正仿宋_GBK"/>
          <w:sz w:val="33"/>
          <w:szCs w:val="33"/>
        </w:rPr>
        <w:t>加强我校人员的培训教育，提高对预算资金使用效率的认识。</w:t>
      </w:r>
      <w:r>
        <w:rPr>
          <w:rFonts w:eastAsia="方正仿宋_GBK"/>
          <w:sz w:val="33"/>
          <w:szCs w:val="33"/>
          <w:lang w:val="zh-CN"/>
        </w:rPr>
        <w:t>简要阐述部门预算绩效自评发现的主要问题。</w:t>
      </w:r>
    </w:p>
    <w:p w14:paraId="49080C95">
      <w:pPr>
        <w:spacing w:line="576" w:lineRule="exact"/>
        <w:ind w:firstLine="663" w:firstLineChars="200"/>
        <w:rPr>
          <w:rFonts w:eastAsia="方正楷体_GBK"/>
          <w:b/>
          <w:sz w:val="33"/>
          <w:szCs w:val="33"/>
        </w:rPr>
      </w:pPr>
      <w:r>
        <w:rPr>
          <w:rFonts w:eastAsia="方正楷体_GBK"/>
          <w:b/>
          <w:sz w:val="33"/>
          <w:szCs w:val="33"/>
        </w:rPr>
        <w:t>（三）改进建议</w:t>
      </w:r>
    </w:p>
    <w:p w14:paraId="2C57DEAF">
      <w:pPr>
        <w:spacing w:line="576" w:lineRule="exact"/>
        <w:ind w:firstLine="660" w:firstLineChars="200"/>
        <w:rPr>
          <w:rFonts w:eastAsia="方正仿宋_GBK"/>
          <w:sz w:val="33"/>
          <w:szCs w:val="33"/>
        </w:rPr>
      </w:pPr>
      <w:r>
        <w:rPr>
          <w:rFonts w:eastAsia="方正仿宋_GBK"/>
          <w:sz w:val="33"/>
          <w:szCs w:val="33"/>
        </w:rPr>
        <w:t>加强对财务人员培训和继续教育工作，提高财务人员的整体专业技术水平。加强单位人员的培训教育，提高对预算资金使用效率的认识。进一步加强预算资金管理，减少预算资金使用的随意性，加大预算监督管理力度，提高预算资金使用效率。</w:t>
      </w:r>
    </w:p>
    <w:p w14:paraId="48FCF4FE">
      <w:pPr>
        <w:spacing w:line="576" w:lineRule="exact"/>
        <w:ind w:firstLine="660" w:firstLineChars="200"/>
        <w:rPr>
          <w:rFonts w:eastAsia="方正仿宋_GBK"/>
          <w:sz w:val="33"/>
          <w:szCs w:val="33"/>
          <w:lang w:val="zh-CN"/>
        </w:rPr>
      </w:pPr>
    </w:p>
    <w:p w14:paraId="336F748A">
      <w:pPr>
        <w:spacing w:line="576" w:lineRule="exact"/>
        <w:ind w:firstLine="660" w:firstLineChars="200"/>
        <w:rPr>
          <w:rFonts w:eastAsia="方正仿宋_GBK"/>
          <w:sz w:val="33"/>
          <w:szCs w:val="33"/>
          <w:lang w:val="zh-CN"/>
        </w:rPr>
      </w:pPr>
      <w:r>
        <w:rPr>
          <w:rFonts w:eastAsia="方正仿宋_GBK"/>
          <w:sz w:val="33"/>
          <w:szCs w:val="33"/>
          <w:lang w:val="zh-CN"/>
        </w:rPr>
        <w:t>附表：</w:t>
      </w:r>
      <w:r>
        <w:rPr>
          <w:rFonts w:eastAsia="方正仿宋_GBK"/>
          <w:sz w:val="33"/>
          <w:szCs w:val="33"/>
        </w:rPr>
        <w:t>部门</w:t>
      </w:r>
      <w:r>
        <w:rPr>
          <w:rFonts w:eastAsia="方正仿宋_GBK"/>
          <w:sz w:val="33"/>
          <w:szCs w:val="33"/>
          <w:lang w:val="zh-CN"/>
        </w:rPr>
        <w:t>预算项目支出绩效自评表（2023年度）</w:t>
      </w:r>
    </w:p>
    <w:p w14:paraId="2247804B">
      <w:pPr>
        <w:rPr>
          <w:rFonts w:eastAsia="方正仿宋_GBK"/>
          <w:sz w:val="33"/>
          <w:szCs w:val="33"/>
          <w:lang w:val="zh-CN"/>
        </w:rPr>
      </w:pPr>
      <w:r>
        <w:rPr>
          <w:rFonts w:eastAsia="方正仿宋_GBK"/>
          <w:sz w:val="33"/>
          <w:szCs w:val="33"/>
          <w:lang w:val="zh-CN"/>
        </w:rPr>
        <w:br w:type="page"/>
      </w:r>
    </w:p>
    <w:p w14:paraId="2D0B417D">
      <w:pPr>
        <w:spacing w:line="576" w:lineRule="exact"/>
        <w:rPr>
          <w:rFonts w:eastAsia="方正黑体_GBK"/>
          <w:sz w:val="33"/>
          <w:szCs w:val="33"/>
        </w:rPr>
      </w:pPr>
      <w:r>
        <w:rPr>
          <w:rFonts w:eastAsia="方正黑体_GBK"/>
          <w:sz w:val="33"/>
          <w:szCs w:val="33"/>
        </w:rPr>
        <w:t>附件2</w:t>
      </w:r>
    </w:p>
    <w:p w14:paraId="0F1F8D94">
      <w:pPr>
        <w:pStyle w:val="2"/>
        <w:rPr>
          <w:rFonts w:ascii="Times New Roman" w:hAnsi="Times New Roman"/>
        </w:rPr>
      </w:pPr>
    </w:p>
    <w:p w14:paraId="5DE3263E">
      <w:pPr>
        <w:pStyle w:val="34"/>
        <w:spacing w:line="576" w:lineRule="exact"/>
        <w:jc w:val="center"/>
        <w:rPr>
          <w:rFonts w:ascii="Times New Roman" w:hAnsi="Times New Roman" w:eastAsia="方正小标宋_GBK"/>
          <w:b/>
          <w:bCs/>
          <w:color w:val="000000" w:themeColor="text1"/>
          <w:kern w:val="2"/>
          <w:sz w:val="36"/>
          <w:szCs w:val="36"/>
          <w:lang w:val="en-US"/>
          <w14:textFill>
            <w14:solidFill>
              <w14:schemeClr w14:val="tx1"/>
            </w14:solidFill>
          </w14:textFill>
        </w:rPr>
      </w:pPr>
      <w:r>
        <w:rPr>
          <w:rFonts w:ascii="Times New Roman" w:hAnsi="Times New Roman" w:eastAsia="方正小标宋_GBK"/>
          <w:b/>
          <w:bCs/>
          <w:color w:val="000000" w:themeColor="text1"/>
          <w:kern w:val="2"/>
          <w:sz w:val="36"/>
          <w:szCs w:val="36"/>
          <w:lang w:val="en-US"/>
          <w14:textFill>
            <w14:solidFill>
              <w14:schemeClr w14:val="tx1"/>
            </w14:solidFill>
          </w14:textFill>
        </w:rPr>
        <w:t>中共盐边县委党校</w:t>
      </w:r>
    </w:p>
    <w:p w14:paraId="4348D2A9">
      <w:pPr>
        <w:pStyle w:val="34"/>
        <w:spacing w:line="576" w:lineRule="exact"/>
        <w:jc w:val="center"/>
        <w:rPr>
          <w:rFonts w:ascii="Times New Roman" w:hAnsi="Times New Roman" w:eastAsia="方正小标宋_GBK"/>
          <w:b/>
          <w:bCs/>
          <w:color w:val="000000" w:themeColor="text1"/>
          <w:kern w:val="2"/>
          <w:sz w:val="36"/>
          <w:szCs w:val="36"/>
          <w:lang w:val="en-US"/>
          <w14:textFill>
            <w14:solidFill>
              <w14:schemeClr w14:val="tx1"/>
            </w14:solidFill>
          </w14:textFill>
        </w:rPr>
      </w:pPr>
      <w:r>
        <w:rPr>
          <w:rFonts w:ascii="Times New Roman" w:hAnsi="Times New Roman" w:eastAsia="方正小标宋_GBK"/>
          <w:b/>
          <w:bCs/>
          <w:color w:val="000000" w:themeColor="text1"/>
          <w:kern w:val="2"/>
          <w:sz w:val="36"/>
          <w:szCs w:val="36"/>
          <w:lang w:val="en-US"/>
          <w14:textFill>
            <w14:solidFill>
              <w14:schemeClr w14:val="tx1"/>
            </w14:solidFill>
          </w14:textFill>
        </w:rPr>
        <w:t>2023年专项资金预算项目绩效自评报告</w:t>
      </w:r>
    </w:p>
    <w:p w14:paraId="4B4563F9">
      <w:pPr>
        <w:pStyle w:val="34"/>
        <w:spacing w:line="576" w:lineRule="exact"/>
        <w:jc w:val="center"/>
        <w:rPr>
          <w:rFonts w:ascii="Times New Roman" w:hAnsi="Times New Roman" w:eastAsia="方正楷体_GBK"/>
          <w:b/>
          <w:bCs/>
          <w:color w:val="000000" w:themeColor="text1"/>
          <w:kern w:val="2"/>
          <w:sz w:val="33"/>
          <w:szCs w:val="33"/>
          <w:lang w:val="en-US"/>
          <w14:textFill>
            <w14:solidFill>
              <w14:schemeClr w14:val="tx1"/>
            </w14:solidFill>
          </w14:textFill>
        </w:rPr>
      </w:pPr>
      <w:r>
        <w:rPr>
          <w:rFonts w:ascii="Times New Roman" w:hAnsi="Times New Roman" w:eastAsia="方正楷体_GBK"/>
          <w:b/>
          <w:bCs/>
          <w:color w:val="000000" w:themeColor="text1"/>
          <w:kern w:val="2"/>
          <w:sz w:val="33"/>
          <w:szCs w:val="33"/>
          <w:lang w:val="en-US"/>
          <w14:textFill>
            <w14:solidFill>
              <w14:schemeClr w14:val="tx1"/>
            </w14:solidFill>
          </w14:textFill>
        </w:rPr>
        <w:t>（2023年度干部外出培训项目）</w:t>
      </w:r>
    </w:p>
    <w:p w14:paraId="7CBE9A6F">
      <w:pPr>
        <w:spacing w:line="576" w:lineRule="exact"/>
        <w:rPr>
          <w:rFonts w:eastAsia="方正楷体_GBK"/>
          <w:b/>
          <w:bCs/>
          <w:sz w:val="33"/>
          <w:szCs w:val="33"/>
          <w:lang w:val="zh-CN"/>
        </w:rPr>
      </w:pPr>
    </w:p>
    <w:p w14:paraId="7083D561">
      <w:pPr>
        <w:spacing w:line="576" w:lineRule="exact"/>
        <w:ind w:firstLine="660" w:firstLineChars="200"/>
        <w:rPr>
          <w:rFonts w:eastAsia="方正黑体_GBK"/>
          <w:sz w:val="33"/>
          <w:szCs w:val="33"/>
          <w:lang w:val="zh-CN"/>
        </w:rPr>
      </w:pPr>
      <w:r>
        <w:rPr>
          <w:rFonts w:eastAsia="方正黑体_GBK"/>
          <w:sz w:val="33"/>
          <w:szCs w:val="33"/>
          <w:lang w:val="zh-CN"/>
        </w:rPr>
        <w:t>一、项目概况</w:t>
      </w:r>
    </w:p>
    <w:p w14:paraId="288E610B">
      <w:pPr>
        <w:spacing w:line="576" w:lineRule="exact"/>
        <w:ind w:firstLine="663" w:firstLineChars="200"/>
        <w:rPr>
          <w:rFonts w:eastAsia="方正仿宋_GBK"/>
          <w:b/>
          <w:sz w:val="33"/>
          <w:szCs w:val="33"/>
          <w:lang w:val="zh-CN"/>
        </w:rPr>
      </w:pPr>
      <w:r>
        <w:rPr>
          <w:rFonts w:eastAsia="方正楷体_GBK"/>
          <w:b/>
          <w:sz w:val="33"/>
          <w:szCs w:val="33"/>
          <w:lang w:val="zh-CN"/>
        </w:rPr>
        <w:t>（一）设立背景及基本情况</w:t>
      </w:r>
    </w:p>
    <w:p w14:paraId="2D8A9209">
      <w:pPr>
        <w:spacing w:line="576" w:lineRule="exact"/>
        <w:ind w:firstLine="660" w:firstLineChars="200"/>
        <w:rPr>
          <w:rFonts w:eastAsia="方正仿宋_GBK"/>
          <w:sz w:val="33"/>
          <w:szCs w:val="33"/>
        </w:rPr>
      </w:pPr>
      <w:r>
        <w:rPr>
          <w:rFonts w:eastAsia="方正仿宋_GBK"/>
          <w:sz w:val="33"/>
          <w:szCs w:val="33"/>
        </w:rPr>
        <w:t>2023年县委党校工作经费项目主管部门是中共盐边县委党校，其职能是校工作经费项目进行督促指导及验收，对资金进行划拨、使用和审核。</w:t>
      </w:r>
    </w:p>
    <w:p w14:paraId="71B5E64D">
      <w:pPr>
        <w:spacing w:line="576" w:lineRule="exact"/>
        <w:ind w:firstLine="663" w:firstLineChars="200"/>
        <w:rPr>
          <w:rFonts w:eastAsia="方正楷体_GBK"/>
          <w:b/>
          <w:sz w:val="33"/>
          <w:szCs w:val="33"/>
          <w:lang w:val="zh-CN"/>
        </w:rPr>
      </w:pPr>
      <w:r>
        <w:rPr>
          <w:rFonts w:eastAsia="方正楷体_GBK"/>
          <w:b/>
          <w:sz w:val="33"/>
          <w:szCs w:val="33"/>
          <w:lang w:val="zh-CN"/>
        </w:rPr>
        <w:t>（</w:t>
      </w:r>
      <w:r>
        <w:rPr>
          <w:rFonts w:eastAsia="方正楷体_GBK"/>
          <w:b/>
          <w:sz w:val="33"/>
          <w:szCs w:val="33"/>
        </w:rPr>
        <w:t>二</w:t>
      </w:r>
      <w:r>
        <w:rPr>
          <w:rFonts w:eastAsia="方正楷体_GBK"/>
          <w:b/>
          <w:sz w:val="33"/>
          <w:szCs w:val="33"/>
          <w:lang w:val="zh-CN"/>
        </w:rPr>
        <w:t>）实施目的及支持方向</w:t>
      </w:r>
    </w:p>
    <w:p w14:paraId="355781E7">
      <w:pPr>
        <w:spacing w:line="576" w:lineRule="exact"/>
        <w:ind w:firstLine="660" w:firstLineChars="200"/>
        <w:rPr>
          <w:rFonts w:eastAsia="方正仿宋_GBK"/>
          <w:sz w:val="33"/>
          <w:szCs w:val="33"/>
        </w:rPr>
      </w:pPr>
      <w:r>
        <w:rPr>
          <w:rFonts w:eastAsia="方正仿宋_GBK"/>
          <w:sz w:val="33"/>
          <w:szCs w:val="33"/>
        </w:rPr>
        <w:t>项目立项、资金申报的依据是保证党校日常工作正常进行</w:t>
      </w:r>
      <w:r>
        <w:rPr>
          <w:rFonts w:eastAsia="方正仿宋_GBK"/>
          <w:kern w:val="0"/>
          <w:sz w:val="33"/>
          <w:szCs w:val="33"/>
          <w:shd w:val="clear" w:color="auto" w:fill="FFFFFF"/>
          <w:lang w:val="zh-CN"/>
        </w:rPr>
        <w:t>。</w:t>
      </w:r>
      <w:r>
        <w:rPr>
          <w:rFonts w:eastAsia="方正仿宋_GBK"/>
          <w:sz w:val="33"/>
          <w:szCs w:val="33"/>
        </w:rPr>
        <w:t>资金由县委党校预算并向县政府请示，由县财政局划拨使用。资金实际使用</w:t>
      </w:r>
      <w:r>
        <w:rPr>
          <w:rFonts w:hint="eastAsia" w:eastAsia="方正仿宋_GBK"/>
          <w:sz w:val="33"/>
          <w:szCs w:val="33"/>
        </w:rPr>
        <w:t>138.08</w:t>
      </w:r>
      <w:r>
        <w:rPr>
          <w:rFonts w:eastAsia="方正仿宋_GBK"/>
          <w:sz w:val="33"/>
          <w:szCs w:val="33"/>
        </w:rPr>
        <w:t>万元。</w:t>
      </w:r>
    </w:p>
    <w:p w14:paraId="4643EC53">
      <w:pPr>
        <w:spacing w:line="576" w:lineRule="exact"/>
        <w:ind w:firstLine="663" w:firstLineChars="200"/>
        <w:rPr>
          <w:rFonts w:eastAsia="方正楷体_GBK"/>
          <w:b/>
          <w:sz w:val="33"/>
          <w:szCs w:val="33"/>
          <w:lang w:val="zh-CN"/>
        </w:rPr>
      </w:pPr>
      <w:r>
        <w:rPr>
          <w:rFonts w:eastAsia="方正楷体_GBK"/>
          <w:b/>
          <w:sz w:val="33"/>
          <w:szCs w:val="33"/>
          <w:lang w:val="zh-CN"/>
        </w:rPr>
        <w:t>（</w:t>
      </w:r>
      <w:r>
        <w:rPr>
          <w:rFonts w:eastAsia="方正楷体_GBK"/>
          <w:b/>
          <w:sz w:val="33"/>
          <w:szCs w:val="33"/>
        </w:rPr>
        <w:t>三</w:t>
      </w:r>
      <w:r>
        <w:rPr>
          <w:rFonts w:eastAsia="方正楷体_GBK"/>
          <w:b/>
          <w:sz w:val="33"/>
          <w:szCs w:val="33"/>
          <w:lang w:val="zh-CN"/>
        </w:rPr>
        <w:t>）预算安排及分配管理</w:t>
      </w:r>
    </w:p>
    <w:p w14:paraId="7F26249A">
      <w:pPr>
        <w:adjustRightInd w:val="0"/>
        <w:snapToGrid w:val="0"/>
        <w:spacing w:line="576" w:lineRule="exact"/>
        <w:ind w:firstLine="660" w:firstLineChars="200"/>
        <w:contextualSpacing/>
        <w:rPr>
          <w:rFonts w:eastAsia="方正仿宋_GBK"/>
          <w:kern w:val="0"/>
          <w:sz w:val="33"/>
          <w:szCs w:val="33"/>
          <w:shd w:val="clear" w:color="auto" w:fill="FFFFFF"/>
          <w:lang w:val="zh-CN"/>
        </w:rPr>
      </w:pPr>
      <w:r>
        <w:rPr>
          <w:rFonts w:eastAsia="方正仿宋_GBK"/>
          <w:kern w:val="0"/>
          <w:sz w:val="33"/>
          <w:szCs w:val="33"/>
          <w:shd w:val="clear" w:color="auto" w:fill="FFFFFF"/>
        </w:rPr>
        <w:t>资金使用严格按照经费支出的要求列支，</w:t>
      </w:r>
      <w:r>
        <w:rPr>
          <w:rFonts w:eastAsia="方正仿宋_GBK"/>
          <w:sz w:val="33"/>
          <w:szCs w:val="33"/>
        </w:rPr>
        <w:t>资金按照各项日常办公支出实际指出进行分配</w:t>
      </w:r>
      <w:r>
        <w:rPr>
          <w:rFonts w:eastAsia="方正仿宋_GBK"/>
          <w:kern w:val="0"/>
          <w:sz w:val="33"/>
          <w:szCs w:val="33"/>
          <w:shd w:val="clear" w:color="auto" w:fill="FFFFFF"/>
          <w:lang w:val="zh-CN"/>
        </w:rPr>
        <w:t>。</w:t>
      </w:r>
    </w:p>
    <w:p w14:paraId="1DDCF76C">
      <w:pPr>
        <w:spacing w:line="576" w:lineRule="exact"/>
        <w:ind w:firstLine="663" w:firstLineChars="200"/>
        <w:rPr>
          <w:rFonts w:eastAsia="方正楷体_GBK"/>
          <w:b/>
          <w:sz w:val="33"/>
          <w:szCs w:val="33"/>
          <w:lang w:val="zh-CN"/>
        </w:rPr>
      </w:pPr>
      <w:r>
        <w:rPr>
          <w:rFonts w:eastAsia="方正楷体_GBK"/>
          <w:b/>
          <w:sz w:val="33"/>
          <w:szCs w:val="33"/>
          <w:lang w:val="zh-CN"/>
        </w:rPr>
        <w:t>（</w:t>
      </w:r>
      <w:r>
        <w:rPr>
          <w:rFonts w:eastAsia="方正楷体_GBK"/>
          <w:b/>
          <w:sz w:val="33"/>
          <w:szCs w:val="33"/>
        </w:rPr>
        <w:t>四</w:t>
      </w:r>
      <w:r>
        <w:rPr>
          <w:rFonts w:eastAsia="方正楷体_GBK"/>
          <w:b/>
          <w:sz w:val="33"/>
          <w:szCs w:val="33"/>
          <w:lang w:val="zh-CN"/>
        </w:rPr>
        <w:t>）项目绩效目标设置</w:t>
      </w:r>
    </w:p>
    <w:p w14:paraId="293E2CCB">
      <w:pPr>
        <w:adjustRightInd w:val="0"/>
        <w:snapToGrid w:val="0"/>
        <w:spacing w:line="576" w:lineRule="exact"/>
        <w:ind w:firstLine="660" w:firstLineChars="200"/>
        <w:contextualSpacing/>
        <w:rPr>
          <w:rFonts w:eastAsia="方正仿宋_GBK"/>
          <w:kern w:val="0"/>
          <w:sz w:val="33"/>
          <w:szCs w:val="33"/>
          <w:shd w:val="clear" w:color="auto" w:fill="FFFFFF"/>
          <w:lang w:val="zh-CN"/>
        </w:rPr>
      </w:pPr>
      <w:r>
        <w:rPr>
          <w:rFonts w:eastAsia="方正仿宋_GBK"/>
          <w:kern w:val="0"/>
          <w:sz w:val="33"/>
          <w:szCs w:val="33"/>
          <w:shd w:val="clear" w:color="auto" w:fill="FFFFFF"/>
          <w:lang w:val="zh-CN"/>
        </w:rPr>
        <w:t>1．项目主要内容</w:t>
      </w:r>
      <w:r>
        <w:rPr>
          <w:rFonts w:eastAsia="方正仿宋_GBK"/>
          <w:kern w:val="0"/>
          <w:sz w:val="33"/>
          <w:szCs w:val="33"/>
          <w:shd w:val="clear" w:color="auto" w:fill="FFFFFF"/>
        </w:rPr>
        <w:t>全面推动</w:t>
      </w:r>
      <w:r>
        <w:rPr>
          <w:rFonts w:hint="eastAsia" w:eastAsia="方正仿宋_GBK"/>
          <w:kern w:val="0"/>
          <w:sz w:val="33"/>
          <w:szCs w:val="33"/>
          <w:shd w:val="clear" w:color="auto" w:fill="FFFFFF"/>
        </w:rPr>
        <w:t>外培</w:t>
      </w:r>
      <w:r>
        <w:rPr>
          <w:rFonts w:eastAsia="方正仿宋_GBK"/>
          <w:kern w:val="0"/>
          <w:sz w:val="33"/>
          <w:szCs w:val="33"/>
          <w:shd w:val="clear" w:color="auto" w:fill="FFFFFF"/>
        </w:rPr>
        <w:t>工作，为</w:t>
      </w:r>
      <w:r>
        <w:rPr>
          <w:rFonts w:hint="eastAsia" w:eastAsia="方正仿宋_GBK"/>
          <w:kern w:val="0"/>
          <w:sz w:val="33"/>
          <w:szCs w:val="33"/>
          <w:shd w:val="clear" w:color="auto" w:fill="FFFFFF"/>
          <w:lang w:eastAsia="zh-CN"/>
        </w:rPr>
        <w:t>县委县政府</w:t>
      </w:r>
      <w:r>
        <w:rPr>
          <w:rFonts w:eastAsia="方正仿宋_GBK"/>
          <w:kern w:val="0"/>
          <w:sz w:val="33"/>
          <w:szCs w:val="33"/>
          <w:shd w:val="clear" w:color="auto" w:fill="FFFFFF"/>
        </w:rPr>
        <w:t>提供资政建议做好后勤保障工作</w:t>
      </w:r>
      <w:r>
        <w:rPr>
          <w:rFonts w:eastAsia="方正仿宋_GBK"/>
          <w:kern w:val="0"/>
          <w:sz w:val="33"/>
          <w:szCs w:val="33"/>
          <w:shd w:val="clear" w:color="auto" w:fill="FFFFFF"/>
          <w:lang w:val="zh-CN"/>
        </w:rPr>
        <w:t>。</w:t>
      </w:r>
    </w:p>
    <w:p w14:paraId="2DC657A4">
      <w:pPr>
        <w:adjustRightInd w:val="0"/>
        <w:snapToGrid w:val="0"/>
        <w:spacing w:line="576" w:lineRule="exact"/>
        <w:ind w:firstLine="660" w:firstLineChars="200"/>
        <w:contextualSpacing/>
        <w:rPr>
          <w:rFonts w:eastAsia="方正仿宋_GBK"/>
          <w:kern w:val="0"/>
          <w:sz w:val="33"/>
          <w:szCs w:val="33"/>
          <w:shd w:val="clear" w:color="auto" w:fill="FFFFFF"/>
          <w:lang w:val="zh-CN"/>
        </w:rPr>
      </w:pPr>
      <w:r>
        <w:rPr>
          <w:rFonts w:eastAsia="方正仿宋_GBK"/>
          <w:kern w:val="0"/>
          <w:sz w:val="33"/>
          <w:szCs w:val="33"/>
          <w:shd w:val="clear" w:color="auto" w:fill="FFFFFF"/>
          <w:lang w:val="zh-CN"/>
        </w:rPr>
        <w:t>2.</w:t>
      </w:r>
      <w:r>
        <w:rPr>
          <w:rFonts w:eastAsia="方正仿宋_GBK"/>
          <w:sz w:val="33"/>
          <w:szCs w:val="33"/>
        </w:rPr>
        <w:t>中共盐边县委党校紧紧围绕县委的重大决策部署，</w:t>
      </w:r>
      <w:r>
        <w:rPr>
          <w:rFonts w:hint="eastAsia" w:eastAsia="方正仿宋_GBK"/>
          <w:sz w:val="33"/>
          <w:szCs w:val="33"/>
        </w:rPr>
        <w:t>举办送外培训班</w:t>
      </w:r>
      <w:r>
        <w:rPr>
          <w:rFonts w:eastAsia="方正仿宋_GBK"/>
          <w:kern w:val="0"/>
          <w:sz w:val="33"/>
          <w:szCs w:val="33"/>
          <w:shd w:val="clear" w:color="auto" w:fill="FFFFFF"/>
          <w:lang w:val="zh-CN"/>
        </w:rPr>
        <w:t>。</w:t>
      </w:r>
    </w:p>
    <w:p w14:paraId="2CFED24D">
      <w:pPr>
        <w:spacing w:line="576" w:lineRule="exact"/>
        <w:ind w:firstLine="660" w:firstLineChars="200"/>
        <w:rPr>
          <w:rFonts w:eastAsia="方正仿宋_GBK"/>
          <w:sz w:val="33"/>
          <w:szCs w:val="33"/>
          <w:lang w:val="zh-CN"/>
        </w:rPr>
      </w:pPr>
      <w:r>
        <w:rPr>
          <w:rFonts w:eastAsia="方正仿宋_GBK"/>
          <w:kern w:val="0"/>
          <w:sz w:val="33"/>
          <w:szCs w:val="33"/>
          <w:shd w:val="clear" w:color="auto" w:fill="FFFFFF"/>
          <w:lang w:val="zh-CN"/>
        </w:rPr>
        <w:t>3</w:t>
      </w:r>
      <w:r>
        <w:rPr>
          <w:rFonts w:eastAsia="方正仿宋_GBK"/>
          <w:kern w:val="0"/>
          <w:sz w:val="33"/>
          <w:szCs w:val="33"/>
          <w:shd w:val="clear" w:color="auto" w:fill="FFFFFF"/>
        </w:rPr>
        <w:t>.</w:t>
      </w:r>
      <w:r>
        <w:rPr>
          <w:rFonts w:eastAsia="方正仿宋_GBK"/>
          <w:sz w:val="33"/>
          <w:szCs w:val="33"/>
        </w:rPr>
        <w:t>分析评价申报内容是否与实际相符：此项目对全面推进县级党校分类改革工作作用大，切实提升了党校办学水平</w:t>
      </w:r>
      <w:r>
        <w:rPr>
          <w:rFonts w:eastAsia="方正仿宋_GBK"/>
          <w:sz w:val="33"/>
          <w:szCs w:val="33"/>
          <w:lang w:val="zh-CN"/>
        </w:rPr>
        <w:t>二、评价实施</w:t>
      </w:r>
    </w:p>
    <w:p w14:paraId="7FFA667F">
      <w:pPr>
        <w:spacing w:line="576" w:lineRule="exact"/>
        <w:ind w:firstLine="660" w:firstLineChars="200"/>
        <w:rPr>
          <w:rFonts w:eastAsia="方正黑体_GBK"/>
          <w:sz w:val="33"/>
          <w:szCs w:val="33"/>
          <w:lang w:val="zh-CN"/>
        </w:rPr>
      </w:pPr>
      <w:r>
        <w:rPr>
          <w:rFonts w:eastAsia="方正黑体_GBK"/>
          <w:sz w:val="33"/>
          <w:szCs w:val="33"/>
          <w:lang w:val="zh-CN"/>
        </w:rPr>
        <w:t>二、评价实施</w:t>
      </w:r>
    </w:p>
    <w:p w14:paraId="3CBB2F1F">
      <w:pPr>
        <w:spacing w:line="576" w:lineRule="exact"/>
        <w:ind w:firstLine="663" w:firstLineChars="200"/>
        <w:rPr>
          <w:rFonts w:eastAsia="方正仿宋_GBK"/>
          <w:sz w:val="33"/>
          <w:szCs w:val="33"/>
          <w:lang w:val="zh-CN"/>
        </w:rPr>
      </w:pPr>
      <w:r>
        <w:rPr>
          <w:rFonts w:eastAsia="方正楷体_GBK"/>
          <w:b/>
          <w:sz w:val="33"/>
          <w:szCs w:val="33"/>
          <w:lang w:val="zh-CN"/>
        </w:rPr>
        <w:t>（一）评价目的。</w:t>
      </w:r>
      <w:r>
        <w:rPr>
          <w:rFonts w:eastAsia="方正仿宋_GBK"/>
          <w:sz w:val="33"/>
          <w:szCs w:val="33"/>
        </w:rPr>
        <w:t>为确保项目按质按量完成，资金使用合法合规</w:t>
      </w:r>
      <w:r>
        <w:rPr>
          <w:rFonts w:eastAsia="方正仿宋_GBK"/>
          <w:sz w:val="33"/>
          <w:szCs w:val="33"/>
          <w:lang w:val="zh-CN"/>
        </w:rPr>
        <w:t>。</w:t>
      </w:r>
    </w:p>
    <w:p w14:paraId="7ABBBCC4">
      <w:pPr>
        <w:spacing w:line="576" w:lineRule="exact"/>
        <w:ind w:firstLine="663" w:firstLineChars="200"/>
        <w:rPr>
          <w:rFonts w:eastAsia="方正仿宋_GBK"/>
          <w:sz w:val="33"/>
          <w:szCs w:val="33"/>
        </w:rPr>
      </w:pPr>
      <w:r>
        <w:rPr>
          <w:rFonts w:eastAsia="方正楷体_GBK"/>
          <w:b/>
          <w:sz w:val="33"/>
          <w:szCs w:val="33"/>
          <w:lang w:val="zh-CN"/>
        </w:rPr>
        <w:t>（二）预设问题及评价重点。</w:t>
      </w:r>
      <w:r>
        <w:rPr>
          <w:rFonts w:eastAsia="方正仿宋_GBK"/>
          <w:sz w:val="33"/>
          <w:szCs w:val="33"/>
        </w:rPr>
        <w:t>是否能够满足调研顺利进行。</w:t>
      </w:r>
    </w:p>
    <w:p w14:paraId="28097242">
      <w:pPr>
        <w:spacing w:line="576" w:lineRule="exact"/>
        <w:ind w:firstLine="663" w:firstLineChars="200"/>
        <w:rPr>
          <w:rFonts w:eastAsia="方正仿宋_GBK"/>
          <w:sz w:val="33"/>
          <w:szCs w:val="33"/>
          <w:lang w:val="zh-CN"/>
        </w:rPr>
      </w:pPr>
      <w:r>
        <w:rPr>
          <w:rFonts w:eastAsia="方正楷体_GBK"/>
          <w:b/>
          <w:sz w:val="33"/>
          <w:szCs w:val="33"/>
          <w:lang w:val="zh-CN"/>
        </w:rPr>
        <w:t>（三）评价选点。</w:t>
      </w:r>
      <w:r>
        <w:rPr>
          <w:rFonts w:eastAsia="方正仿宋_GBK"/>
          <w:sz w:val="33"/>
          <w:szCs w:val="33"/>
        </w:rPr>
        <w:t>分别对产出指标及效益指标进行监控</w:t>
      </w:r>
      <w:r>
        <w:rPr>
          <w:rFonts w:eastAsia="方正仿宋_GBK"/>
          <w:sz w:val="33"/>
          <w:szCs w:val="33"/>
          <w:lang w:val="zh-CN"/>
        </w:rPr>
        <w:t>。</w:t>
      </w:r>
    </w:p>
    <w:p w14:paraId="10699406">
      <w:pPr>
        <w:spacing w:line="576" w:lineRule="exact"/>
        <w:ind w:firstLine="663" w:firstLineChars="200"/>
        <w:rPr>
          <w:rFonts w:eastAsia="方正仿宋_GBK"/>
          <w:sz w:val="33"/>
          <w:szCs w:val="33"/>
          <w:lang w:val="zh-CN"/>
        </w:rPr>
      </w:pPr>
      <w:r>
        <w:rPr>
          <w:rFonts w:eastAsia="方正楷体_GBK"/>
          <w:b/>
          <w:sz w:val="33"/>
          <w:szCs w:val="33"/>
          <w:lang w:val="zh-CN"/>
        </w:rPr>
        <w:t>（四）评价方法。</w:t>
      </w:r>
      <w:r>
        <w:rPr>
          <w:rFonts w:eastAsia="方正仿宋_GBK"/>
          <w:sz w:val="33"/>
          <w:szCs w:val="33"/>
        </w:rPr>
        <w:t>项目采取</w:t>
      </w:r>
      <w:r>
        <w:rPr>
          <w:rFonts w:eastAsia="方正仿宋_GBK"/>
          <w:sz w:val="33"/>
          <w:szCs w:val="33"/>
          <w:lang w:val="zh-CN"/>
        </w:rPr>
        <w:t>单位自评法、实地勘察法、座谈调研法多种方法。</w:t>
      </w:r>
    </w:p>
    <w:p w14:paraId="160B1AB3">
      <w:pPr>
        <w:spacing w:line="576" w:lineRule="exact"/>
        <w:ind w:firstLine="663" w:firstLineChars="200"/>
        <w:rPr>
          <w:rFonts w:eastAsia="方正仿宋_GBK"/>
          <w:sz w:val="33"/>
          <w:szCs w:val="33"/>
        </w:rPr>
      </w:pPr>
      <w:r>
        <w:rPr>
          <w:rFonts w:eastAsia="方正楷体_GBK"/>
          <w:b/>
          <w:sz w:val="33"/>
          <w:szCs w:val="33"/>
          <w:lang w:val="zh-CN"/>
        </w:rPr>
        <w:t>（五）评价组织。</w:t>
      </w:r>
      <w:r>
        <w:rPr>
          <w:rFonts w:eastAsia="方正仿宋_GBK"/>
          <w:sz w:val="33"/>
          <w:szCs w:val="33"/>
          <w:lang w:val="zh-CN"/>
        </w:rPr>
        <w:t>评价组</w:t>
      </w:r>
      <w:r>
        <w:rPr>
          <w:rFonts w:eastAsia="方正仿宋_GBK"/>
          <w:sz w:val="33"/>
          <w:szCs w:val="33"/>
        </w:rPr>
        <w:t>由主要领导，财务分管领导及财务人员组成</w:t>
      </w:r>
      <w:r>
        <w:rPr>
          <w:rFonts w:eastAsia="方正仿宋_GBK"/>
          <w:sz w:val="33"/>
          <w:szCs w:val="33"/>
          <w:lang w:val="zh-CN"/>
        </w:rPr>
        <w:t>。</w:t>
      </w:r>
      <w:r>
        <w:rPr>
          <w:rFonts w:eastAsia="方正仿宋_GBK"/>
          <w:sz w:val="33"/>
          <w:szCs w:val="33"/>
        </w:rPr>
        <w:t>主要分别负责监控项目实施进度、资金使用及报账流程等。</w:t>
      </w:r>
    </w:p>
    <w:p w14:paraId="61DE40F5">
      <w:pPr>
        <w:spacing w:line="576" w:lineRule="exact"/>
        <w:ind w:firstLine="660" w:firstLineChars="200"/>
        <w:rPr>
          <w:rFonts w:eastAsia="方正黑体_GBK"/>
          <w:sz w:val="33"/>
          <w:szCs w:val="33"/>
          <w:lang w:val="zh-CN"/>
        </w:rPr>
      </w:pPr>
      <w:r>
        <w:rPr>
          <w:rFonts w:eastAsia="方正黑体_GBK"/>
          <w:sz w:val="33"/>
          <w:szCs w:val="33"/>
          <w:lang w:val="zh-CN"/>
        </w:rPr>
        <w:t>三、绩效分析</w:t>
      </w:r>
    </w:p>
    <w:p w14:paraId="56FCCDCC">
      <w:pPr>
        <w:spacing w:line="576" w:lineRule="exact"/>
        <w:ind w:firstLine="663" w:firstLineChars="200"/>
        <w:rPr>
          <w:rFonts w:eastAsia="方正楷体_GBK"/>
          <w:b/>
          <w:sz w:val="33"/>
          <w:szCs w:val="33"/>
          <w:lang w:val="zh-CN"/>
        </w:rPr>
      </w:pPr>
      <w:r>
        <w:rPr>
          <w:rFonts w:eastAsia="方正楷体_GBK"/>
          <w:b/>
          <w:sz w:val="33"/>
          <w:szCs w:val="33"/>
          <w:lang w:val="zh-CN"/>
        </w:rPr>
        <w:t>（一）通用指标绩效分析</w:t>
      </w:r>
    </w:p>
    <w:p w14:paraId="1B09ACF0">
      <w:pPr>
        <w:spacing w:line="576" w:lineRule="exact"/>
        <w:ind w:firstLine="660" w:firstLineChars="200"/>
        <w:rPr>
          <w:rFonts w:eastAsia="方正仿宋_GBK"/>
          <w:sz w:val="33"/>
          <w:szCs w:val="33"/>
          <w:lang w:val="zh-CN"/>
        </w:rPr>
      </w:pPr>
      <w:r>
        <w:rPr>
          <w:rFonts w:eastAsia="方正仿宋_GBK"/>
          <w:sz w:val="33"/>
          <w:szCs w:val="33"/>
          <w:lang w:val="zh-CN"/>
        </w:rPr>
        <w:t>1.项目决策。</w:t>
      </w:r>
      <w:r>
        <w:rPr>
          <w:rFonts w:eastAsia="方正仿宋_GBK"/>
          <w:b/>
          <w:bCs/>
          <w:sz w:val="33"/>
          <w:szCs w:val="33"/>
        </w:rPr>
        <w:t>一是</w:t>
      </w:r>
      <w:r>
        <w:rPr>
          <w:rFonts w:eastAsia="方正仿宋_GBK"/>
          <w:sz w:val="33"/>
          <w:szCs w:val="33"/>
          <w:lang w:val="zh-CN"/>
        </w:rPr>
        <w:t>程序规范性：检查决策过程是否遵循了既定的规章制度和流程，确保每一步都合法合规。</w:t>
      </w:r>
      <w:r>
        <w:rPr>
          <w:rFonts w:eastAsia="方正仿宋_GBK"/>
          <w:b/>
          <w:bCs/>
          <w:sz w:val="33"/>
          <w:szCs w:val="33"/>
        </w:rPr>
        <w:t>二是</w:t>
      </w:r>
      <w:r>
        <w:rPr>
          <w:rFonts w:eastAsia="方正仿宋_GBK"/>
          <w:sz w:val="33"/>
          <w:szCs w:val="33"/>
          <w:lang w:val="zh-CN"/>
        </w:rPr>
        <w:t>决策效率：评估决策过程的时间成本，即从项目提出到最终决策所需的时间。高效决策有助于项目快速启动，减少时间浪费。</w:t>
      </w:r>
      <w:r>
        <w:rPr>
          <w:rFonts w:eastAsia="方正仿宋_GBK"/>
          <w:b/>
          <w:bCs/>
          <w:sz w:val="33"/>
          <w:szCs w:val="33"/>
        </w:rPr>
        <w:t>三是</w:t>
      </w:r>
      <w:r>
        <w:rPr>
          <w:rFonts w:eastAsia="方正仿宋_GBK"/>
          <w:sz w:val="33"/>
          <w:szCs w:val="33"/>
          <w:lang w:val="zh-CN"/>
        </w:rPr>
        <w:t>决策质量：分析决策结果是否基于充分的信息和合理的判断，以及决策是否考虑了项目的长期效益和风险。</w:t>
      </w:r>
      <w:r>
        <w:rPr>
          <w:rFonts w:eastAsia="方正仿宋_GBK"/>
          <w:sz w:val="33"/>
          <w:szCs w:val="33"/>
        </w:rPr>
        <w:t>四是</w:t>
      </w:r>
      <w:r>
        <w:rPr>
          <w:rFonts w:eastAsia="方正仿宋_GBK"/>
          <w:sz w:val="33"/>
          <w:szCs w:val="33"/>
          <w:lang w:val="zh-CN"/>
        </w:rPr>
        <w:t>参与程度：评估决策过程中各方利益的代表性和参与度，确保决策过程公正、透明。</w:t>
      </w:r>
    </w:p>
    <w:p w14:paraId="18EC59C0">
      <w:pPr>
        <w:adjustRightInd w:val="0"/>
        <w:snapToGrid w:val="0"/>
        <w:spacing w:line="576" w:lineRule="exact"/>
        <w:ind w:firstLine="720"/>
        <w:rPr>
          <w:rFonts w:eastAsia="方正仿宋_GBK"/>
          <w:sz w:val="33"/>
          <w:szCs w:val="33"/>
        </w:rPr>
      </w:pPr>
      <w:r>
        <w:rPr>
          <w:rFonts w:eastAsia="方正仿宋_GBK"/>
          <w:sz w:val="33"/>
          <w:szCs w:val="33"/>
          <w:lang w:val="zh-CN"/>
        </w:rPr>
        <w:t>2.项目管理。</w:t>
      </w:r>
      <w:r>
        <w:rPr>
          <w:rFonts w:eastAsia="方正仿宋_GBK"/>
          <w:sz w:val="33"/>
          <w:szCs w:val="33"/>
        </w:rPr>
        <w:t>此项目严格按照经费支出手续完成支付。</w:t>
      </w:r>
    </w:p>
    <w:p w14:paraId="266BCC3A">
      <w:pPr>
        <w:spacing w:line="576" w:lineRule="exact"/>
        <w:ind w:firstLine="660" w:firstLineChars="200"/>
        <w:rPr>
          <w:rFonts w:eastAsia="方正仿宋_GBK"/>
          <w:sz w:val="33"/>
          <w:szCs w:val="33"/>
        </w:rPr>
      </w:pPr>
      <w:r>
        <w:rPr>
          <w:rFonts w:eastAsia="方正仿宋_GBK"/>
          <w:sz w:val="33"/>
          <w:szCs w:val="33"/>
          <w:lang w:val="zh-CN"/>
        </w:rPr>
        <w:t>3.项目实施。</w:t>
      </w:r>
      <w:r>
        <w:rPr>
          <w:rFonts w:eastAsia="方正仿宋_GBK"/>
          <w:sz w:val="33"/>
          <w:szCs w:val="33"/>
        </w:rPr>
        <w:t>此项目按照预定</w:t>
      </w:r>
      <w:r>
        <w:rPr>
          <w:rFonts w:hint="eastAsia" w:eastAsia="方正仿宋_GBK"/>
          <w:sz w:val="33"/>
          <w:szCs w:val="33"/>
        </w:rPr>
        <w:t>培训</w:t>
      </w:r>
      <w:r>
        <w:rPr>
          <w:rFonts w:eastAsia="方正仿宋_GBK"/>
          <w:sz w:val="33"/>
          <w:szCs w:val="33"/>
        </w:rPr>
        <w:t>期间完成。</w:t>
      </w:r>
    </w:p>
    <w:p w14:paraId="211465FD">
      <w:pPr>
        <w:spacing w:line="576" w:lineRule="exact"/>
        <w:ind w:firstLine="660" w:firstLineChars="200"/>
        <w:rPr>
          <w:rFonts w:eastAsia="方正仿宋_GBK"/>
          <w:sz w:val="33"/>
          <w:szCs w:val="33"/>
        </w:rPr>
      </w:pPr>
      <w:r>
        <w:rPr>
          <w:rFonts w:eastAsia="方正仿宋_GBK"/>
          <w:sz w:val="33"/>
          <w:szCs w:val="33"/>
          <w:lang w:val="zh-CN"/>
        </w:rPr>
        <w:t>4.项目结果</w:t>
      </w:r>
      <w:r>
        <w:rPr>
          <w:rFonts w:eastAsia="方正仿宋_GBK"/>
          <w:sz w:val="33"/>
          <w:szCs w:val="33"/>
        </w:rPr>
        <w:t>此项目按照规定时间按时推进，满足日常工作需求。</w:t>
      </w:r>
    </w:p>
    <w:p w14:paraId="0D0B5E18">
      <w:pPr>
        <w:spacing w:line="576" w:lineRule="exact"/>
        <w:ind w:firstLine="663" w:firstLineChars="200"/>
        <w:rPr>
          <w:rFonts w:eastAsia="方正楷体_GBK"/>
          <w:b/>
          <w:sz w:val="33"/>
          <w:szCs w:val="33"/>
          <w:lang w:val="zh-CN"/>
        </w:rPr>
      </w:pPr>
      <w:r>
        <w:rPr>
          <w:rFonts w:eastAsia="方正楷体_GBK"/>
          <w:b/>
          <w:sz w:val="33"/>
          <w:szCs w:val="33"/>
          <w:lang w:val="zh-CN"/>
        </w:rPr>
        <w:t>（二）专用指标绩效分析</w:t>
      </w:r>
    </w:p>
    <w:p w14:paraId="759F66EA">
      <w:pPr>
        <w:spacing w:line="576" w:lineRule="exact"/>
        <w:ind w:firstLine="660" w:firstLineChars="200"/>
        <w:rPr>
          <w:rFonts w:eastAsia="方正仿宋_GBK"/>
          <w:sz w:val="33"/>
          <w:szCs w:val="33"/>
          <w:lang w:val="zh-CN"/>
        </w:rPr>
      </w:pPr>
      <w:r>
        <w:rPr>
          <w:rFonts w:eastAsia="方正仿宋_GBK"/>
          <w:sz w:val="33"/>
          <w:szCs w:val="33"/>
          <w:lang w:val="zh-CN"/>
        </w:rPr>
        <w:t>检查行政决策是否遵循了法定的决策程序和规定，是否进行了充分的调研和论证。评估标准：决策程序是否符合法律法规、政策文件和行业标准，是否体现了民主、科学、公正的原则。绩效指标，决策程序合规率、决策质量评估、公众参与度等。</w:t>
      </w:r>
    </w:p>
    <w:p w14:paraId="0D95D604">
      <w:pPr>
        <w:spacing w:line="576" w:lineRule="exact"/>
        <w:ind w:firstLine="663" w:firstLineChars="200"/>
        <w:rPr>
          <w:rFonts w:eastAsia="方正楷体_GBK"/>
          <w:b/>
          <w:sz w:val="33"/>
          <w:szCs w:val="33"/>
          <w:lang w:val="zh-CN"/>
        </w:rPr>
      </w:pPr>
      <w:r>
        <w:rPr>
          <w:rFonts w:eastAsia="方正楷体_GBK"/>
          <w:b/>
          <w:sz w:val="33"/>
          <w:szCs w:val="33"/>
          <w:lang w:val="zh-CN"/>
        </w:rPr>
        <w:t>（三）个性指标绩效分析</w:t>
      </w:r>
    </w:p>
    <w:p w14:paraId="5F7DA4AB">
      <w:pPr>
        <w:spacing w:line="576" w:lineRule="exact"/>
        <w:ind w:firstLine="660" w:firstLineChars="200"/>
        <w:rPr>
          <w:rFonts w:eastAsia="方正仿宋_GBK"/>
          <w:sz w:val="33"/>
          <w:szCs w:val="33"/>
          <w:lang w:val="zh-CN"/>
        </w:rPr>
      </w:pPr>
      <w:r>
        <w:rPr>
          <w:rFonts w:eastAsia="方正仿宋_GBK"/>
          <w:sz w:val="33"/>
          <w:szCs w:val="33"/>
          <w:lang w:val="zh-CN"/>
        </w:rPr>
        <w:t>完成</w:t>
      </w:r>
      <w:r>
        <w:rPr>
          <w:rFonts w:hint="eastAsia" w:eastAsia="方正仿宋_GBK"/>
          <w:sz w:val="33"/>
          <w:szCs w:val="33"/>
          <w:lang w:val="zh-CN"/>
        </w:rPr>
        <w:t>县委</w:t>
      </w:r>
      <w:r>
        <w:rPr>
          <w:rFonts w:eastAsia="方正仿宋_GBK"/>
          <w:sz w:val="33"/>
          <w:szCs w:val="33"/>
          <w:lang w:val="zh-CN"/>
        </w:rPr>
        <w:t>党校</w:t>
      </w:r>
      <w:r>
        <w:rPr>
          <w:rFonts w:eastAsia="方正仿宋_GBK"/>
          <w:kern w:val="0"/>
          <w:sz w:val="33"/>
          <w:szCs w:val="33"/>
          <w:shd w:val="clear" w:color="auto" w:fill="FFFFFF"/>
        </w:rPr>
        <w:t>送外培训</w:t>
      </w:r>
      <w:r>
        <w:rPr>
          <w:rFonts w:hint="eastAsia" w:eastAsia="方正仿宋_GBK"/>
          <w:kern w:val="0"/>
          <w:sz w:val="33"/>
          <w:szCs w:val="33"/>
          <w:shd w:val="clear" w:color="auto" w:fill="FFFFFF"/>
        </w:rPr>
        <w:t>8</w:t>
      </w:r>
      <w:r>
        <w:rPr>
          <w:rFonts w:eastAsia="方正仿宋_GBK"/>
          <w:kern w:val="0"/>
          <w:sz w:val="33"/>
          <w:szCs w:val="33"/>
          <w:shd w:val="clear" w:color="auto" w:fill="FFFFFF"/>
        </w:rPr>
        <w:t>人次，在校跟班学习54人次</w:t>
      </w:r>
      <w:r>
        <w:rPr>
          <w:rFonts w:eastAsia="方正仿宋_GBK"/>
          <w:sz w:val="33"/>
          <w:szCs w:val="33"/>
          <w:lang w:val="zh-CN"/>
        </w:rPr>
        <w:t>切实发挥党校围绕中心服务大局作用。</w:t>
      </w:r>
    </w:p>
    <w:p w14:paraId="3418DAEB">
      <w:pPr>
        <w:spacing w:line="576" w:lineRule="exact"/>
        <w:ind w:firstLine="660" w:firstLineChars="200"/>
        <w:rPr>
          <w:rFonts w:eastAsia="方正仿宋_GBK"/>
          <w:sz w:val="33"/>
          <w:szCs w:val="33"/>
          <w:lang w:val="zh-CN"/>
        </w:rPr>
      </w:pPr>
      <w:r>
        <w:rPr>
          <w:rFonts w:eastAsia="方正黑体_GBK"/>
          <w:sz w:val="33"/>
          <w:szCs w:val="33"/>
          <w:lang w:val="zh-CN"/>
        </w:rPr>
        <w:t>四、评价结论</w:t>
      </w:r>
    </w:p>
    <w:p w14:paraId="29A3707B">
      <w:pPr>
        <w:spacing w:line="576" w:lineRule="exact"/>
        <w:ind w:firstLine="660" w:firstLineChars="200"/>
        <w:rPr>
          <w:rFonts w:eastAsia="方正仿宋_GBK"/>
          <w:sz w:val="33"/>
          <w:szCs w:val="33"/>
        </w:rPr>
      </w:pPr>
      <w:r>
        <w:rPr>
          <w:rFonts w:eastAsia="方正仿宋_GBK"/>
          <w:sz w:val="33"/>
          <w:szCs w:val="33"/>
        </w:rPr>
        <w:t>此项目是盐边</w:t>
      </w:r>
      <w:r>
        <w:rPr>
          <w:rFonts w:hint="eastAsia" w:eastAsia="方正仿宋_GBK"/>
          <w:sz w:val="33"/>
          <w:szCs w:val="33"/>
          <w:lang w:eastAsia="zh-CN"/>
        </w:rPr>
        <w:t>县委县政府</w:t>
      </w:r>
      <w:r>
        <w:rPr>
          <w:rFonts w:eastAsia="方正仿宋_GBK"/>
          <w:sz w:val="33"/>
          <w:szCs w:val="33"/>
        </w:rPr>
        <w:t>推进，县级党校分类改革工作的一项重大举措，切实提升了中共盐边县委党校独立办学能力。</w:t>
      </w:r>
    </w:p>
    <w:p w14:paraId="1E1ABD8E">
      <w:pPr>
        <w:spacing w:line="576" w:lineRule="exact"/>
        <w:ind w:firstLine="660" w:firstLineChars="200"/>
        <w:rPr>
          <w:rFonts w:eastAsia="方正黑体_GBK"/>
          <w:sz w:val="33"/>
          <w:szCs w:val="33"/>
          <w:lang w:val="zh-CN"/>
        </w:rPr>
      </w:pPr>
      <w:r>
        <w:rPr>
          <w:rFonts w:eastAsia="方正黑体_GBK"/>
          <w:sz w:val="33"/>
          <w:szCs w:val="33"/>
          <w:lang w:val="zh-CN"/>
        </w:rPr>
        <w:t>五、存在主要问题</w:t>
      </w:r>
    </w:p>
    <w:p w14:paraId="56601B13">
      <w:pPr>
        <w:spacing w:line="576" w:lineRule="exact"/>
        <w:ind w:firstLine="660" w:firstLineChars="200"/>
        <w:rPr>
          <w:rFonts w:eastAsia="方正仿宋_GBK"/>
          <w:sz w:val="33"/>
          <w:szCs w:val="33"/>
          <w:lang w:val="zh-CN"/>
        </w:rPr>
      </w:pPr>
      <w:r>
        <w:rPr>
          <w:rFonts w:eastAsia="方正仿宋_GBK"/>
          <w:sz w:val="33"/>
          <w:szCs w:val="33"/>
        </w:rPr>
        <w:t>随着县级党校分类改革工作不断推进，培训学员增多费用增加，2023年对预算的执行有偏差。</w:t>
      </w:r>
    </w:p>
    <w:p w14:paraId="45F83507">
      <w:pPr>
        <w:spacing w:line="576" w:lineRule="exact"/>
        <w:ind w:firstLine="660" w:firstLineChars="200"/>
        <w:rPr>
          <w:rFonts w:eastAsia="方正仿宋_GBK"/>
          <w:sz w:val="33"/>
          <w:szCs w:val="33"/>
          <w:lang w:val="zh-CN"/>
        </w:rPr>
      </w:pPr>
      <w:r>
        <w:rPr>
          <w:rFonts w:eastAsia="方正黑体_GBK"/>
          <w:sz w:val="33"/>
          <w:szCs w:val="33"/>
          <w:lang w:val="zh-CN"/>
        </w:rPr>
        <w:t>六、改进建议</w:t>
      </w:r>
    </w:p>
    <w:p w14:paraId="76B4A873">
      <w:pPr>
        <w:spacing w:line="576" w:lineRule="exact"/>
        <w:ind w:firstLine="660" w:firstLineChars="200"/>
        <w:rPr>
          <w:rFonts w:eastAsia="方正仿宋_GBK"/>
          <w:sz w:val="33"/>
          <w:szCs w:val="33"/>
        </w:rPr>
      </w:pPr>
      <w:r>
        <w:rPr>
          <w:rFonts w:eastAsia="方正仿宋_GBK"/>
          <w:sz w:val="33"/>
          <w:szCs w:val="33"/>
        </w:rPr>
        <w:t>保持经费投入。</w:t>
      </w:r>
    </w:p>
    <w:p w14:paraId="5FAF83EC">
      <w:pPr>
        <w:pStyle w:val="34"/>
        <w:spacing w:line="576" w:lineRule="exact"/>
        <w:rPr>
          <w:rFonts w:ascii="Times New Roman" w:hAnsi="Times New Roman" w:eastAsia="方正仿宋_GBK"/>
          <w:color w:val="000000" w:themeColor="text1"/>
          <w:kern w:val="2"/>
          <w:sz w:val="33"/>
          <w:szCs w:val="33"/>
          <w:lang w:val="en-US"/>
          <w14:textFill>
            <w14:solidFill>
              <w14:schemeClr w14:val="tx1"/>
            </w14:solidFill>
          </w14:textFill>
        </w:rPr>
      </w:pPr>
    </w:p>
    <w:p w14:paraId="719BEE04">
      <w:pPr>
        <w:rPr>
          <w:rFonts w:eastAsia="方正仿宋_GBK"/>
          <w:color w:val="000000" w:themeColor="text1"/>
          <w:sz w:val="33"/>
          <w:szCs w:val="33"/>
          <w14:textFill>
            <w14:solidFill>
              <w14:schemeClr w14:val="tx1"/>
            </w14:solidFill>
          </w14:textFill>
        </w:rPr>
      </w:pPr>
      <w:r>
        <w:rPr>
          <w:rFonts w:eastAsia="方正仿宋_GBK"/>
          <w:color w:val="000000" w:themeColor="text1"/>
          <w:sz w:val="33"/>
          <w:szCs w:val="33"/>
          <w14:textFill>
            <w14:solidFill>
              <w14:schemeClr w14:val="tx1"/>
            </w14:solidFill>
          </w14:textFill>
        </w:rPr>
        <w:br w:type="page"/>
      </w:r>
    </w:p>
    <w:p w14:paraId="011CD0D9">
      <w:pPr>
        <w:pStyle w:val="34"/>
        <w:spacing w:line="576" w:lineRule="exact"/>
        <w:jc w:val="center"/>
        <w:rPr>
          <w:rFonts w:ascii="Times New Roman" w:hAnsi="Times New Roman" w:eastAsia="方正小标宋_GBK"/>
          <w:b/>
          <w:bCs/>
          <w:color w:val="000000" w:themeColor="text1"/>
          <w:kern w:val="2"/>
          <w:sz w:val="36"/>
          <w:szCs w:val="36"/>
          <w:lang w:val="en-US"/>
          <w14:textFill>
            <w14:solidFill>
              <w14:schemeClr w14:val="tx1"/>
            </w14:solidFill>
          </w14:textFill>
        </w:rPr>
      </w:pPr>
      <w:r>
        <w:rPr>
          <w:rFonts w:ascii="Times New Roman" w:hAnsi="Times New Roman" w:eastAsia="方正小标宋_GBK"/>
          <w:b/>
          <w:bCs/>
          <w:color w:val="000000" w:themeColor="text1"/>
          <w:kern w:val="2"/>
          <w:sz w:val="36"/>
          <w:szCs w:val="36"/>
          <w:lang w:val="en-US"/>
          <w14:textFill>
            <w14:solidFill>
              <w14:schemeClr w14:val="tx1"/>
            </w14:solidFill>
          </w14:textFill>
        </w:rPr>
        <w:t>中共盐边县委党校</w:t>
      </w:r>
    </w:p>
    <w:p w14:paraId="0C816C5B">
      <w:pPr>
        <w:pStyle w:val="34"/>
        <w:spacing w:line="576" w:lineRule="exact"/>
        <w:jc w:val="center"/>
        <w:rPr>
          <w:rFonts w:ascii="Times New Roman" w:hAnsi="Times New Roman" w:eastAsia="方正仿宋_GBK"/>
          <w:color w:val="000000" w:themeColor="text1"/>
          <w:kern w:val="2"/>
          <w:sz w:val="33"/>
          <w:szCs w:val="33"/>
          <w:lang w:val="en-US"/>
          <w14:textFill>
            <w14:solidFill>
              <w14:schemeClr w14:val="tx1"/>
            </w14:solidFill>
          </w14:textFill>
        </w:rPr>
      </w:pPr>
      <w:r>
        <w:rPr>
          <w:rFonts w:ascii="Times New Roman" w:hAnsi="Times New Roman" w:eastAsia="方正小标宋_GBK"/>
          <w:b/>
          <w:bCs/>
          <w:color w:val="000000" w:themeColor="text1"/>
          <w:kern w:val="2"/>
          <w:sz w:val="36"/>
          <w:szCs w:val="36"/>
          <w:lang w:val="en-US"/>
          <w14:textFill>
            <w14:solidFill>
              <w14:schemeClr w14:val="tx1"/>
            </w14:solidFill>
          </w14:textFill>
        </w:rPr>
        <w:t>2023年专项资金预算项目绩效自评报告</w:t>
      </w:r>
    </w:p>
    <w:p w14:paraId="78E0CEC4">
      <w:pPr>
        <w:pStyle w:val="34"/>
        <w:spacing w:line="576" w:lineRule="exact"/>
        <w:jc w:val="center"/>
        <w:rPr>
          <w:rFonts w:ascii="Times New Roman" w:hAnsi="Times New Roman" w:eastAsia="方正楷体_GBK"/>
          <w:b/>
          <w:bCs/>
          <w:color w:val="000000" w:themeColor="text1"/>
          <w:kern w:val="2"/>
          <w:sz w:val="33"/>
          <w:szCs w:val="33"/>
          <w:lang w:val="en-US"/>
          <w14:textFill>
            <w14:solidFill>
              <w14:schemeClr w14:val="tx1"/>
            </w14:solidFill>
          </w14:textFill>
        </w:rPr>
      </w:pPr>
      <w:r>
        <w:rPr>
          <w:rFonts w:ascii="Times New Roman" w:hAnsi="Times New Roman" w:eastAsia="方正楷体_GBK"/>
          <w:b/>
          <w:bCs/>
          <w:color w:val="000000" w:themeColor="text1"/>
          <w:kern w:val="2"/>
          <w:sz w:val="33"/>
          <w:szCs w:val="33"/>
          <w:lang w:val="en-US"/>
          <w14:textFill>
            <w14:solidFill>
              <w14:schemeClr w14:val="tx1"/>
            </w14:solidFill>
          </w14:textFill>
        </w:rPr>
        <w:t>（2023主体班干部培训项目）</w:t>
      </w:r>
    </w:p>
    <w:p w14:paraId="1EBB5850">
      <w:pPr>
        <w:spacing w:line="576" w:lineRule="exact"/>
        <w:ind w:firstLine="660" w:firstLineChars="200"/>
        <w:rPr>
          <w:rFonts w:eastAsia="方正仿宋_GBK"/>
          <w:sz w:val="33"/>
          <w:szCs w:val="33"/>
          <w:lang w:val="zh-CN"/>
        </w:rPr>
      </w:pPr>
    </w:p>
    <w:p w14:paraId="6E79D511">
      <w:pPr>
        <w:spacing w:line="576" w:lineRule="exact"/>
        <w:ind w:firstLine="660" w:firstLineChars="200"/>
        <w:rPr>
          <w:rFonts w:eastAsia="方正黑体_GBK"/>
          <w:sz w:val="33"/>
          <w:szCs w:val="33"/>
          <w:lang w:val="zh-CN"/>
        </w:rPr>
      </w:pPr>
      <w:r>
        <w:rPr>
          <w:rFonts w:eastAsia="方正黑体_GBK"/>
          <w:sz w:val="33"/>
          <w:szCs w:val="33"/>
          <w:lang w:val="zh-CN"/>
        </w:rPr>
        <w:t>一、项目概况</w:t>
      </w:r>
    </w:p>
    <w:p w14:paraId="7B65A728">
      <w:pPr>
        <w:spacing w:line="576" w:lineRule="exact"/>
        <w:ind w:firstLine="663" w:firstLineChars="200"/>
        <w:rPr>
          <w:rFonts w:eastAsia="方正楷体_GBK"/>
          <w:b/>
          <w:sz w:val="33"/>
          <w:szCs w:val="33"/>
          <w:lang w:val="zh-CN"/>
        </w:rPr>
      </w:pPr>
      <w:r>
        <w:rPr>
          <w:rFonts w:eastAsia="方正楷体_GBK"/>
          <w:b/>
          <w:sz w:val="33"/>
          <w:szCs w:val="33"/>
          <w:lang w:val="zh-CN"/>
        </w:rPr>
        <w:t>（一）设立背景及基本情况</w:t>
      </w:r>
    </w:p>
    <w:p w14:paraId="77C37ED5">
      <w:pPr>
        <w:spacing w:line="576" w:lineRule="exact"/>
        <w:ind w:firstLine="660" w:firstLineChars="200"/>
        <w:rPr>
          <w:rFonts w:eastAsia="方正仿宋_GBK"/>
          <w:sz w:val="33"/>
          <w:szCs w:val="33"/>
        </w:rPr>
      </w:pPr>
      <w:r>
        <w:rPr>
          <w:rFonts w:eastAsia="方正仿宋_GBK"/>
          <w:kern w:val="0"/>
          <w:sz w:val="33"/>
          <w:szCs w:val="33"/>
          <w:shd w:val="clear" w:color="auto" w:fill="FFFFFF"/>
          <w:lang w:val="zh-CN"/>
        </w:rPr>
        <w:t>1.</w:t>
      </w:r>
      <w:r>
        <w:rPr>
          <w:rFonts w:eastAsia="方正仿宋_GBK"/>
          <w:sz w:val="33"/>
          <w:szCs w:val="33"/>
        </w:rPr>
        <w:t>2023年县委党校工作经费项目主管部门是中共盐边县委党校，其职能是对培训经费合规使用进行监督，对资金进行划拨、使用和审核。</w:t>
      </w:r>
    </w:p>
    <w:p w14:paraId="1EBD1FE0">
      <w:pPr>
        <w:adjustRightInd w:val="0"/>
        <w:snapToGrid w:val="0"/>
        <w:spacing w:line="576" w:lineRule="exact"/>
        <w:ind w:firstLine="660" w:firstLineChars="200"/>
        <w:contextualSpacing/>
        <w:rPr>
          <w:rFonts w:eastAsia="方正仿宋_GBK"/>
          <w:kern w:val="0"/>
          <w:sz w:val="33"/>
          <w:szCs w:val="33"/>
          <w:shd w:val="clear" w:color="auto" w:fill="FFFFFF"/>
          <w:lang w:val="zh-CN"/>
        </w:rPr>
      </w:pPr>
      <w:r>
        <w:rPr>
          <w:rFonts w:eastAsia="方正仿宋_GBK"/>
          <w:sz w:val="33"/>
          <w:szCs w:val="33"/>
        </w:rPr>
        <w:t>2.</w:t>
      </w:r>
      <w:r>
        <w:rPr>
          <w:rFonts w:eastAsia="方正仿宋_GBK"/>
          <w:color w:val="000000"/>
          <w:sz w:val="33"/>
          <w:szCs w:val="33"/>
        </w:rPr>
        <w:t>项目依据《中国共产党党校（行政学院）工作条例》《干部教育培训学员管理规定》《市县级党校办学质量评估办法》《市县级党校主体班班次办学规范》和《2019-2023年盐边县干部教育培训规划》申报资金。</w:t>
      </w:r>
      <w:r>
        <w:rPr>
          <w:rFonts w:eastAsia="方正仿宋_GBK"/>
          <w:kern w:val="0"/>
          <w:sz w:val="33"/>
          <w:szCs w:val="33"/>
          <w:shd w:val="clear" w:color="auto" w:fill="FFFFFF"/>
          <w:lang w:val="zh-CN"/>
        </w:rPr>
        <w:t>。</w:t>
      </w:r>
    </w:p>
    <w:p w14:paraId="0D902BC1">
      <w:pPr>
        <w:adjustRightInd w:val="0"/>
        <w:snapToGrid w:val="0"/>
        <w:spacing w:line="576" w:lineRule="exact"/>
        <w:ind w:firstLine="660" w:firstLineChars="200"/>
        <w:contextualSpacing/>
        <w:rPr>
          <w:rFonts w:eastAsia="方正仿宋_GBK"/>
          <w:color w:val="000000"/>
          <w:sz w:val="33"/>
          <w:szCs w:val="33"/>
        </w:rPr>
      </w:pPr>
      <w:r>
        <w:rPr>
          <w:rFonts w:eastAsia="方正仿宋_GBK"/>
          <w:kern w:val="0"/>
          <w:sz w:val="33"/>
          <w:szCs w:val="33"/>
          <w:shd w:val="clear" w:color="auto" w:fill="FFFFFF"/>
        </w:rPr>
        <w:t>3.</w:t>
      </w:r>
      <w:r>
        <w:rPr>
          <w:rFonts w:eastAsia="方正仿宋_GBK"/>
          <w:color w:val="000000"/>
          <w:sz w:val="33"/>
          <w:szCs w:val="33"/>
        </w:rPr>
        <w:t>干部教育培训相关项目由校委会审定在全县各部门、乡镇征求意见后，报经县委常委会审议通过，并报市委党校备案。制定了相关干部培训资金管理办法，按程序支出。</w:t>
      </w:r>
    </w:p>
    <w:p w14:paraId="1E882E2A">
      <w:pPr>
        <w:adjustRightInd w:val="0"/>
        <w:snapToGrid w:val="0"/>
        <w:spacing w:line="576" w:lineRule="exact"/>
        <w:ind w:firstLine="660" w:firstLineChars="200"/>
        <w:contextualSpacing/>
        <w:rPr>
          <w:rFonts w:eastAsia="方正仿宋_GBK"/>
          <w:kern w:val="0"/>
          <w:sz w:val="33"/>
          <w:szCs w:val="33"/>
          <w:shd w:val="clear" w:color="auto" w:fill="FFFFFF"/>
          <w:lang w:val="zh-CN"/>
        </w:rPr>
      </w:pPr>
      <w:r>
        <w:rPr>
          <w:rFonts w:eastAsia="方正仿宋_GBK"/>
          <w:sz w:val="33"/>
          <w:szCs w:val="33"/>
        </w:rPr>
        <w:t>4.资金按照各培训班实际费用及培训费支出规定进行分配</w:t>
      </w:r>
      <w:r>
        <w:rPr>
          <w:rFonts w:eastAsia="方正仿宋_GBK"/>
          <w:kern w:val="0"/>
          <w:sz w:val="33"/>
          <w:szCs w:val="33"/>
          <w:shd w:val="clear" w:color="auto" w:fill="FFFFFF"/>
          <w:lang w:val="zh-CN"/>
        </w:rPr>
        <w:t>。</w:t>
      </w:r>
    </w:p>
    <w:p w14:paraId="1ADCA002">
      <w:pPr>
        <w:spacing w:line="576" w:lineRule="exact"/>
        <w:ind w:firstLine="663" w:firstLineChars="200"/>
        <w:rPr>
          <w:rFonts w:eastAsia="方正楷体_GBK"/>
          <w:b/>
          <w:sz w:val="33"/>
          <w:szCs w:val="33"/>
          <w:lang w:val="zh-CN"/>
        </w:rPr>
      </w:pPr>
      <w:r>
        <w:rPr>
          <w:rFonts w:eastAsia="方正楷体_GBK"/>
          <w:b/>
          <w:sz w:val="33"/>
          <w:szCs w:val="33"/>
        </w:rPr>
        <w:t>（二）</w:t>
      </w:r>
      <w:r>
        <w:rPr>
          <w:rFonts w:eastAsia="方正楷体_GBK"/>
          <w:b/>
          <w:sz w:val="33"/>
          <w:szCs w:val="33"/>
          <w:lang w:val="zh-CN"/>
        </w:rPr>
        <w:t>施目的及支持方向</w:t>
      </w:r>
    </w:p>
    <w:p w14:paraId="4A5684AF">
      <w:pPr>
        <w:spacing w:line="576" w:lineRule="exact"/>
        <w:ind w:firstLine="660" w:firstLineChars="200"/>
        <w:rPr>
          <w:rFonts w:eastAsia="方正仿宋_GBK"/>
          <w:sz w:val="33"/>
          <w:szCs w:val="33"/>
        </w:rPr>
      </w:pPr>
      <w:r>
        <w:rPr>
          <w:rFonts w:eastAsia="方正仿宋_GBK"/>
          <w:sz w:val="33"/>
          <w:szCs w:val="33"/>
        </w:rPr>
        <w:t>项目立项、资金申报的依据是保证党校日常工作正常进行</w:t>
      </w:r>
      <w:r>
        <w:rPr>
          <w:rFonts w:eastAsia="方正仿宋_GBK"/>
          <w:kern w:val="0"/>
          <w:sz w:val="33"/>
          <w:szCs w:val="33"/>
          <w:shd w:val="clear" w:color="auto" w:fill="FFFFFF"/>
          <w:lang w:val="zh-CN"/>
        </w:rPr>
        <w:t>。</w:t>
      </w:r>
      <w:r>
        <w:rPr>
          <w:rFonts w:eastAsia="方正仿宋_GBK"/>
          <w:sz w:val="33"/>
          <w:szCs w:val="33"/>
        </w:rPr>
        <w:t>资金由县委党校预算并向县政府请示，由县财政局划拨使用。资金实际使用100.41万元。</w:t>
      </w:r>
    </w:p>
    <w:p w14:paraId="39C10291">
      <w:pPr>
        <w:spacing w:line="576" w:lineRule="exact"/>
        <w:ind w:firstLine="663" w:firstLineChars="200"/>
        <w:rPr>
          <w:rFonts w:eastAsia="方正楷体_GBK"/>
          <w:b/>
          <w:sz w:val="33"/>
          <w:szCs w:val="33"/>
          <w:lang w:val="zh-CN"/>
        </w:rPr>
      </w:pPr>
      <w:r>
        <w:rPr>
          <w:rFonts w:eastAsia="方正楷体_GBK"/>
          <w:b/>
          <w:sz w:val="33"/>
          <w:szCs w:val="33"/>
          <w:lang w:val="zh-CN"/>
        </w:rPr>
        <w:t>（三）预算安排及分配管理</w:t>
      </w:r>
    </w:p>
    <w:p w14:paraId="601FAA17">
      <w:pPr>
        <w:adjustRightInd w:val="0"/>
        <w:snapToGrid w:val="0"/>
        <w:spacing w:line="576" w:lineRule="exact"/>
        <w:ind w:firstLine="660" w:firstLineChars="200"/>
        <w:contextualSpacing/>
        <w:rPr>
          <w:rFonts w:eastAsia="方正仿宋_GBK"/>
          <w:kern w:val="0"/>
          <w:sz w:val="33"/>
          <w:szCs w:val="33"/>
          <w:shd w:val="clear" w:color="auto" w:fill="FFFFFF"/>
          <w:lang w:val="zh-CN"/>
        </w:rPr>
      </w:pPr>
      <w:r>
        <w:rPr>
          <w:rFonts w:eastAsia="方正仿宋_GBK"/>
          <w:kern w:val="0"/>
          <w:sz w:val="33"/>
          <w:szCs w:val="33"/>
          <w:shd w:val="clear" w:color="auto" w:fill="FFFFFF"/>
        </w:rPr>
        <w:t>资金使用严格按照经费支出的要求列支，</w:t>
      </w:r>
      <w:r>
        <w:rPr>
          <w:rFonts w:eastAsia="方正仿宋_GBK"/>
          <w:sz w:val="33"/>
          <w:szCs w:val="33"/>
        </w:rPr>
        <w:t>资金按照各项日常办公支出实际指出进行分配</w:t>
      </w:r>
      <w:r>
        <w:rPr>
          <w:rFonts w:eastAsia="方正仿宋_GBK"/>
          <w:kern w:val="0"/>
          <w:sz w:val="33"/>
          <w:szCs w:val="33"/>
          <w:shd w:val="clear" w:color="auto" w:fill="FFFFFF"/>
          <w:lang w:val="zh-CN"/>
        </w:rPr>
        <w:t>。</w:t>
      </w:r>
    </w:p>
    <w:p w14:paraId="1E088A12">
      <w:pPr>
        <w:spacing w:line="576" w:lineRule="exact"/>
        <w:ind w:firstLine="663" w:firstLineChars="200"/>
        <w:rPr>
          <w:rFonts w:eastAsia="方正楷体_GBK"/>
          <w:b/>
          <w:sz w:val="33"/>
          <w:szCs w:val="33"/>
          <w:lang w:val="zh-CN"/>
        </w:rPr>
      </w:pPr>
      <w:r>
        <w:rPr>
          <w:rFonts w:eastAsia="方正楷体_GBK"/>
          <w:b/>
          <w:sz w:val="33"/>
          <w:szCs w:val="33"/>
          <w:lang w:val="zh-CN"/>
        </w:rPr>
        <w:t>（四）项目绩效目标设置</w:t>
      </w:r>
    </w:p>
    <w:p w14:paraId="0BF2E268">
      <w:pPr>
        <w:pStyle w:val="14"/>
        <w:spacing w:beforeAutospacing="0" w:afterAutospacing="0" w:line="576" w:lineRule="exact"/>
        <w:ind w:firstLine="660" w:firstLineChars="200"/>
        <w:jc w:val="both"/>
        <w:rPr>
          <w:rFonts w:eastAsia="方正仿宋_GBK"/>
          <w:sz w:val="33"/>
          <w:szCs w:val="33"/>
          <w:shd w:val="clear" w:color="auto" w:fill="FFFFFF"/>
        </w:rPr>
      </w:pPr>
      <w:r>
        <w:rPr>
          <w:rFonts w:eastAsia="方正仿宋_GBK"/>
          <w:sz w:val="33"/>
          <w:szCs w:val="33"/>
          <w:shd w:val="clear" w:color="auto" w:fill="FFFFFF"/>
        </w:rPr>
        <w:t>统筹使用省市党校、高校及区县党校师资库力量，邀请教师、专家、学者到我校上课，优化师资队伍结构。推行开展校本研学、送外培训、跟班学习等师资提能活动，开展校本研学5次，送外培训</w:t>
      </w:r>
      <w:r>
        <w:rPr>
          <w:rFonts w:hint="eastAsia" w:eastAsia="方正仿宋_GBK"/>
          <w:sz w:val="33"/>
          <w:szCs w:val="33"/>
          <w:shd w:val="clear" w:color="auto" w:fill="FFFFFF"/>
        </w:rPr>
        <w:t>8个班</w:t>
      </w:r>
      <w:r>
        <w:rPr>
          <w:rFonts w:eastAsia="方正仿宋_GBK"/>
          <w:sz w:val="33"/>
          <w:szCs w:val="33"/>
          <w:shd w:val="clear" w:color="auto" w:fill="FFFFFF"/>
        </w:rPr>
        <w:t>，在校跟班学习54人次，切实提升干部职工教学能力和科研资政能力。</w:t>
      </w:r>
    </w:p>
    <w:p w14:paraId="2169BBFD">
      <w:pPr>
        <w:spacing w:line="576" w:lineRule="exact"/>
        <w:ind w:firstLine="660" w:firstLineChars="200"/>
        <w:rPr>
          <w:rFonts w:eastAsia="方正黑体_GBK"/>
          <w:sz w:val="33"/>
          <w:szCs w:val="33"/>
          <w:lang w:val="zh-CN"/>
        </w:rPr>
      </w:pPr>
      <w:r>
        <w:rPr>
          <w:rFonts w:eastAsia="方正黑体_GBK"/>
          <w:sz w:val="33"/>
          <w:szCs w:val="33"/>
          <w:lang w:val="zh-CN"/>
        </w:rPr>
        <w:t>二、评价实施</w:t>
      </w:r>
    </w:p>
    <w:p w14:paraId="08814473">
      <w:pPr>
        <w:spacing w:line="576" w:lineRule="exact"/>
        <w:ind w:firstLine="663" w:firstLineChars="200"/>
        <w:rPr>
          <w:rFonts w:eastAsia="方正仿宋_GBK"/>
          <w:sz w:val="33"/>
          <w:szCs w:val="33"/>
          <w:lang w:val="zh-CN"/>
        </w:rPr>
      </w:pPr>
      <w:r>
        <w:rPr>
          <w:rFonts w:eastAsia="方正楷体_GBK"/>
          <w:b/>
          <w:sz w:val="33"/>
          <w:szCs w:val="33"/>
          <w:lang w:val="zh-CN"/>
        </w:rPr>
        <w:t>（一）评价目的。</w:t>
      </w:r>
      <w:r>
        <w:rPr>
          <w:rFonts w:eastAsia="方正仿宋_GBK"/>
          <w:sz w:val="33"/>
          <w:szCs w:val="33"/>
        </w:rPr>
        <w:t>为确保项目按质按量完成，资金使用合法合规</w:t>
      </w:r>
      <w:r>
        <w:rPr>
          <w:rFonts w:eastAsia="方正仿宋_GBK"/>
          <w:sz w:val="33"/>
          <w:szCs w:val="33"/>
          <w:lang w:val="zh-CN"/>
        </w:rPr>
        <w:t>。</w:t>
      </w:r>
    </w:p>
    <w:p w14:paraId="11F0FBDC">
      <w:pPr>
        <w:spacing w:line="576" w:lineRule="exact"/>
        <w:ind w:firstLine="663" w:firstLineChars="200"/>
        <w:rPr>
          <w:rFonts w:eastAsia="方正仿宋_GBK"/>
          <w:sz w:val="33"/>
          <w:szCs w:val="33"/>
        </w:rPr>
      </w:pPr>
      <w:r>
        <w:rPr>
          <w:rFonts w:eastAsia="方正楷体_GBK"/>
          <w:b/>
          <w:sz w:val="33"/>
          <w:szCs w:val="33"/>
          <w:lang w:val="zh-CN"/>
        </w:rPr>
        <w:t>（二）预设问题及评价重点。</w:t>
      </w:r>
      <w:r>
        <w:rPr>
          <w:rFonts w:eastAsia="方正仿宋_GBK"/>
          <w:sz w:val="33"/>
          <w:szCs w:val="33"/>
        </w:rPr>
        <w:t>是否能够满足调研顺利进行。</w:t>
      </w:r>
    </w:p>
    <w:p w14:paraId="06F6C7E8">
      <w:pPr>
        <w:spacing w:line="576" w:lineRule="exact"/>
        <w:ind w:firstLine="663" w:firstLineChars="200"/>
        <w:rPr>
          <w:rFonts w:eastAsia="方正仿宋_GBK"/>
          <w:sz w:val="33"/>
          <w:szCs w:val="33"/>
          <w:lang w:val="zh-CN"/>
        </w:rPr>
      </w:pPr>
      <w:r>
        <w:rPr>
          <w:rFonts w:eastAsia="方正楷体_GBK"/>
          <w:b/>
          <w:sz w:val="33"/>
          <w:szCs w:val="33"/>
          <w:lang w:val="zh-CN"/>
        </w:rPr>
        <w:t>（三）评价选点。</w:t>
      </w:r>
      <w:r>
        <w:rPr>
          <w:rFonts w:eastAsia="方正仿宋_GBK"/>
          <w:sz w:val="33"/>
          <w:szCs w:val="33"/>
        </w:rPr>
        <w:t>分别对产出指标及效益指标进行监控</w:t>
      </w:r>
      <w:r>
        <w:rPr>
          <w:rFonts w:eastAsia="方正仿宋_GBK"/>
          <w:sz w:val="33"/>
          <w:szCs w:val="33"/>
          <w:lang w:val="zh-CN"/>
        </w:rPr>
        <w:t>。</w:t>
      </w:r>
    </w:p>
    <w:p w14:paraId="731D6998">
      <w:pPr>
        <w:spacing w:line="576" w:lineRule="exact"/>
        <w:ind w:firstLine="663" w:firstLineChars="200"/>
        <w:rPr>
          <w:rFonts w:eastAsia="方正仿宋_GBK"/>
          <w:sz w:val="33"/>
          <w:szCs w:val="33"/>
          <w:lang w:val="zh-CN"/>
        </w:rPr>
      </w:pPr>
      <w:r>
        <w:rPr>
          <w:rFonts w:eastAsia="方正楷体_GBK"/>
          <w:b/>
          <w:sz w:val="33"/>
          <w:szCs w:val="33"/>
          <w:lang w:val="zh-CN"/>
        </w:rPr>
        <w:t>（四）评价方法。</w:t>
      </w:r>
      <w:r>
        <w:rPr>
          <w:rFonts w:eastAsia="方正仿宋_GBK"/>
          <w:sz w:val="33"/>
          <w:szCs w:val="33"/>
        </w:rPr>
        <w:t>项目采取</w:t>
      </w:r>
      <w:r>
        <w:rPr>
          <w:rFonts w:eastAsia="方正仿宋_GBK"/>
          <w:sz w:val="33"/>
          <w:szCs w:val="33"/>
          <w:lang w:val="zh-CN"/>
        </w:rPr>
        <w:t>单位自评法、实地勘察法、座谈调研法多种方法。</w:t>
      </w:r>
    </w:p>
    <w:p w14:paraId="35196B1A">
      <w:pPr>
        <w:spacing w:line="576" w:lineRule="exact"/>
        <w:ind w:firstLine="663" w:firstLineChars="200"/>
        <w:rPr>
          <w:rFonts w:eastAsia="方正仿宋_GBK"/>
          <w:sz w:val="33"/>
          <w:szCs w:val="33"/>
        </w:rPr>
      </w:pPr>
      <w:r>
        <w:rPr>
          <w:rFonts w:eastAsia="方正楷体_GBK"/>
          <w:b/>
          <w:sz w:val="33"/>
          <w:szCs w:val="33"/>
          <w:lang w:val="zh-CN"/>
        </w:rPr>
        <w:t>（五）评价组织。</w:t>
      </w:r>
      <w:r>
        <w:rPr>
          <w:rFonts w:eastAsia="方正仿宋_GBK"/>
          <w:sz w:val="33"/>
          <w:szCs w:val="33"/>
          <w:lang w:val="zh-CN"/>
        </w:rPr>
        <w:t>评价组</w:t>
      </w:r>
      <w:r>
        <w:rPr>
          <w:rFonts w:eastAsia="方正仿宋_GBK"/>
          <w:sz w:val="33"/>
          <w:szCs w:val="33"/>
        </w:rPr>
        <w:t>由主要领导，财务分管领导及财务人员组成</w:t>
      </w:r>
      <w:r>
        <w:rPr>
          <w:rFonts w:eastAsia="方正仿宋_GBK"/>
          <w:sz w:val="33"/>
          <w:szCs w:val="33"/>
          <w:lang w:val="zh-CN"/>
        </w:rPr>
        <w:t>。</w:t>
      </w:r>
      <w:r>
        <w:rPr>
          <w:rFonts w:eastAsia="方正仿宋_GBK"/>
          <w:sz w:val="33"/>
          <w:szCs w:val="33"/>
        </w:rPr>
        <w:t>主要分别负责监控项目实施进度、资金使用及报账流程等。</w:t>
      </w:r>
    </w:p>
    <w:p w14:paraId="423905B8">
      <w:pPr>
        <w:spacing w:line="576" w:lineRule="exact"/>
        <w:ind w:firstLine="660" w:firstLineChars="200"/>
        <w:rPr>
          <w:rFonts w:eastAsia="方正黑体_GBK"/>
          <w:sz w:val="33"/>
          <w:szCs w:val="33"/>
          <w:lang w:val="zh-CN"/>
        </w:rPr>
      </w:pPr>
      <w:r>
        <w:rPr>
          <w:rFonts w:eastAsia="方正黑体_GBK"/>
          <w:sz w:val="33"/>
          <w:szCs w:val="33"/>
          <w:lang w:val="zh-CN"/>
        </w:rPr>
        <w:t>三、绩效分析</w:t>
      </w:r>
    </w:p>
    <w:p w14:paraId="218F7036">
      <w:pPr>
        <w:spacing w:line="576" w:lineRule="exact"/>
        <w:ind w:firstLine="663" w:firstLineChars="200"/>
        <w:rPr>
          <w:rFonts w:eastAsia="方正楷体_GBK"/>
          <w:b/>
          <w:sz w:val="33"/>
          <w:szCs w:val="33"/>
          <w:lang w:val="zh-CN"/>
        </w:rPr>
      </w:pPr>
      <w:r>
        <w:rPr>
          <w:rFonts w:eastAsia="方正楷体_GBK"/>
          <w:b/>
          <w:sz w:val="33"/>
          <w:szCs w:val="33"/>
          <w:lang w:val="zh-CN"/>
        </w:rPr>
        <w:t>（一）通用指标绩效分析</w:t>
      </w:r>
    </w:p>
    <w:p w14:paraId="46A4DE2F">
      <w:pPr>
        <w:spacing w:line="576" w:lineRule="exact"/>
        <w:ind w:firstLine="660" w:firstLineChars="200"/>
        <w:rPr>
          <w:rFonts w:eastAsia="方正仿宋_GBK"/>
          <w:sz w:val="33"/>
          <w:szCs w:val="33"/>
          <w:lang w:val="zh-CN"/>
        </w:rPr>
      </w:pPr>
      <w:r>
        <w:rPr>
          <w:rFonts w:eastAsia="方正仿宋_GBK"/>
          <w:sz w:val="33"/>
          <w:szCs w:val="33"/>
          <w:lang w:val="zh-CN"/>
        </w:rPr>
        <w:t>1.项目决策。</w:t>
      </w:r>
      <w:r>
        <w:rPr>
          <w:rFonts w:eastAsia="方正仿宋_GBK"/>
          <w:b/>
          <w:bCs/>
          <w:sz w:val="33"/>
          <w:szCs w:val="33"/>
        </w:rPr>
        <w:t>一是</w:t>
      </w:r>
      <w:r>
        <w:rPr>
          <w:rFonts w:eastAsia="方正仿宋_GBK"/>
          <w:sz w:val="33"/>
          <w:szCs w:val="33"/>
          <w:lang w:val="zh-CN"/>
        </w:rPr>
        <w:t>程序规范性：检查决策过程是否遵循了既定的规章制度和流程，确保每一步都合法合规。</w:t>
      </w:r>
      <w:r>
        <w:rPr>
          <w:rFonts w:eastAsia="方正仿宋_GBK"/>
          <w:b/>
          <w:bCs/>
          <w:sz w:val="33"/>
          <w:szCs w:val="33"/>
        </w:rPr>
        <w:t>二是</w:t>
      </w:r>
      <w:r>
        <w:rPr>
          <w:rFonts w:eastAsia="方正仿宋_GBK"/>
          <w:sz w:val="33"/>
          <w:szCs w:val="33"/>
          <w:lang w:val="zh-CN"/>
        </w:rPr>
        <w:t>决策效率：评估决策过程的时间成本，即从项目提出到最终决策所需的时间。高效决策有助于项目快速启动，减少时间浪费。</w:t>
      </w:r>
      <w:r>
        <w:rPr>
          <w:rFonts w:eastAsia="方正仿宋_GBK"/>
          <w:b/>
          <w:bCs/>
          <w:sz w:val="33"/>
          <w:szCs w:val="33"/>
        </w:rPr>
        <w:t>三是</w:t>
      </w:r>
      <w:r>
        <w:rPr>
          <w:rFonts w:eastAsia="方正仿宋_GBK"/>
          <w:sz w:val="33"/>
          <w:szCs w:val="33"/>
          <w:lang w:val="zh-CN"/>
        </w:rPr>
        <w:t>决策质量：分析决策结果是否基于充分的信息和合理的判断，以及决策是否考虑了项目的长期效益和风险。</w:t>
      </w:r>
      <w:r>
        <w:rPr>
          <w:rFonts w:eastAsia="方正仿宋_GBK"/>
          <w:sz w:val="33"/>
          <w:szCs w:val="33"/>
        </w:rPr>
        <w:t>四是</w:t>
      </w:r>
      <w:r>
        <w:rPr>
          <w:rFonts w:eastAsia="方正仿宋_GBK"/>
          <w:sz w:val="33"/>
          <w:szCs w:val="33"/>
          <w:lang w:val="zh-CN"/>
        </w:rPr>
        <w:t>参与程度：评估决策过程中各方利益的代表性和参与度，确保决策过程公正、透明。</w:t>
      </w:r>
    </w:p>
    <w:p w14:paraId="6B0FA074">
      <w:pPr>
        <w:adjustRightInd w:val="0"/>
        <w:snapToGrid w:val="0"/>
        <w:spacing w:line="576" w:lineRule="exact"/>
        <w:ind w:firstLine="720"/>
        <w:rPr>
          <w:rFonts w:eastAsia="方正仿宋_GBK"/>
          <w:sz w:val="33"/>
          <w:szCs w:val="33"/>
        </w:rPr>
      </w:pPr>
      <w:r>
        <w:rPr>
          <w:rFonts w:eastAsia="方正仿宋_GBK"/>
          <w:sz w:val="33"/>
          <w:szCs w:val="33"/>
          <w:lang w:val="zh-CN"/>
        </w:rPr>
        <w:t>2.项目管理。</w:t>
      </w:r>
      <w:r>
        <w:rPr>
          <w:rFonts w:eastAsia="方正仿宋_GBK"/>
          <w:sz w:val="33"/>
          <w:szCs w:val="33"/>
        </w:rPr>
        <w:t>此项目严格按照经费支出手续完成支付。</w:t>
      </w:r>
    </w:p>
    <w:p w14:paraId="15856B37">
      <w:pPr>
        <w:spacing w:line="576" w:lineRule="exact"/>
        <w:ind w:firstLine="660" w:firstLineChars="200"/>
        <w:rPr>
          <w:rFonts w:eastAsia="方正仿宋_GBK"/>
          <w:sz w:val="33"/>
          <w:szCs w:val="33"/>
        </w:rPr>
      </w:pPr>
      <w:r>
        <w:rPr>
          <w:rFonts w:eastAsia="方正仿宋_GBK"/>
          <w:sz w:val="33"/>
          <w:szCs w:val="33"/>
          <w:lang w:val="zh-CN"/>
        </w:rPr>
        <w:t>3.项目实施。</w:t>
      </w:r>
      <w:r>
        <w:rPr>
          <w:rFonts w:eastAsia="方正仿宋_GBK"/>
          <w:sz w:val="33"/>
          <w:szCs w:val="33"/>
        </w:rPr>
        <w:t>此项目按照预定在调研期间完成。</w:t>
      </w:r>
    </w:p>
    <w:p w14:paraId="524BB145">
      <w:pPr>
        <w:spacing w:line="576" w:lineRule="exact"/>
        <w:ind w:firstLine="660" w:firstLineChars="200"/>
        <w:rPr>
          <w:rFonts w:eastAsia="方正仿宋_GBK"/>
          <w:sz w:val="33"/>
          <w:szCs w:val="33"/>
        </w:rPr>
      </w:pPr>
      <w:r>
        <w:rPr>
          <w:rFonts w:eastAsia="方正仿宋_GBK"/>
          <w:sz w:val="33"/>
          <w:szCs w:val="33"/>
          <w:lang w:val="zh-CN"/>
        </w:rPr>
        <w:t>4.项目结果</w:t>
      </w:r>
      <w:r>
        <w:rPr>
          <w:rFonts w:eastAsia="方正仿宋_GBK"/>
          <w:sz w:val="33"/>
          <w:szCs w:val="33"/>
        </w:rPr>
        <w:t>此项目按照规定时间按时推进，满足日常工作需求。</w:t>
      </w:r>
    </w:p>
    <w:p w14:paraId="42CC86C1">
      <w:pPr>
        <w:spacing w:line="576" w:lineRule="exact"/>
        <w:ind w:firstLine="663" w:firstLineChars="200"/>
        <w:rPr>
          <w:rFonts w:eastAsia="方正楷体_GBK"/>
          <w:b/>
          <w:sz w:val="33"/>
          <w:szCs w:val="33"/>
          <w:lang w:val="zh-CN"/>
        </w:rPr>
      </w:pPr>
      <w:r>
        <w:rPr>
          <w:rFonts w:eastAsia="方正楷体_GBK"/>
          <w:b/>
          <w:sz w:val="33"/>
          <w:szCs w:val="33"/>
          <w:lang w:val="zh-CN"/>
        </w:rPr>
        <w:t>（二）专用指标绩效分析</w:t>
      </w:r>
    </w:p>
    <w:p w14:paraId="7ECBEE17">
      <w:pPr>
        <w:spacing w:line="576" w:lineRule="exact"/>
        <w:ind w:firstLine="660" w:firstLineChars="200"/>
        <w:rPr>
          <w:rFonts w:eastAsia="方正仿宋_GBK"/>
          <w:sz w:val="33"/>
          <w:szCs w:val="33"/>
          <w:lang w:val="zh-CN"/>
        </w:rPr>
      </w:pPr>
      <w:r>
        <w:rPr>
          <w:rFonts w:eastAsia="方正仿宋_GBK"/>
          <w:sz w:val="33"/>
          <w:szCs w:val="33"/>
          <w:lang w:val="zh-CN"/>
        </w:rPr>
        <w:t>检查行政决策是否遵循了法定的决策程序和规定，是否进行了充分的调研和论证。评估标准：决策程序是否符合法律法规、政策文件和行业标准，是否体现了民主、科学、公正的原则。绩效指标，决策程序合规率、决策质量评估、公众参与度等。</w:t>
      </w:r>
    </w:p>
    <w:p w14:paraId="0956EAF5">
      <w:pPr>
        <w:spacing w:line="576" w:lineRule="exact"/>
        <w:ind w:firstLine="663" w:firstLineChars="200"/>
        <w:rPr>
          <w:rFonts w:eastAsia="方正楷体_GBK"/>
          <w:b/>
          <w:sz w:val="33"/>
          <w:szCs w:val="33"/>
          <w:lang w:val="zh-CN"/>
        </w:rPr>
      </w:pPr>
      <w:r>
        <w:rPr>
          <w:rFonts w:eastAsia="方正楷体_GBK"/>
          <w:b/>
          <w:sz w:val="33"/>
          <w:szCs w:val="33"/>
          <w:lang w:val="zh-CN"/>
        </w:rPr>
        <w:t>（三）个性指标绩效分析。</w:t>
      </w:r>
    </w:p>
    <w:p w14:paraId="5E9BB212">
      <w:pPr>
        <w:spacing w:line="576" w:lineRule="exact"/>
        <w:ind w:firstLine="330" w:firstLineChars="100"/>
        <w:rPr>
          <w:rFonts w:eastAsia="方正仿宋_GBK"/>
          <w:sz w:val="33"/>
          <w:szCs w:val="33"/>
          <w:lang w:val="zh-CN"/>
        </w:rPr>
      </w:pPr>
      <w:r>
        <w:rPr>
          <w:rFonts w:eastAsia="方正仿宋_GBK"/>
          <w:sz w:val="33"/>
          <w:szCs w:val="33"/>
          <w:lang w:val="zh-CN"/>
        </w:rPr>
        <w:t>根据</w:t>
      </w:r>
      <w:r>
        <w:rPr>
          <w:rFonts w:eastAsia="方正仿宋_GBK"/>
          <w:sz w:val="33"/>
          <w:szCs w:val="33"/>
        </w:rPr>
        <w:t>年初工作安排完成</w:t>
      </w:r>
      <w:r>
        <w:rPr>
          <w:rFonts w:eastAsia="方正仿宋_GBK"/>
          <w:sz w:val="33"/>
          <w:szCs w:val="33"/>
          <w:lang w:val="zh-CN"/>
        </w:rPr>
        <w:t>。</w:t>
      </w:r>
    </w:p>
    <w:p w14:paraId="34DB9D4E">
      <w:pPr>
        <w:spacing w:line="576" w:lineRule="exact"/>
        <w:ind w:firstLine="660" w:firstLineChars="200"/>
        <w:rPr>
          <w:rFonts w:eastAsia="方正黑体_GBK"/>
          <w:sz w:val="33"/>
          <w:szCs w:val="33"/>
          <w:lang w:val="zh-CN"/>
        </w:rPr>
      </w:pPr>
      <w:r>
        <w:rPr>
          <w:rFonts w:eastAsia="方正黑体_GBK"/>
          <w:sz w:val="33"/>
          <w:szCs w:val="33"/>
          <w:lang w:val="zh-CN"/>
        </w:rPr>
        <w:t>四、评价结论</w:t>
      </w:r>
    </w:p>
    <w:p w14:paraId="2906B17F">
      <w:pPr>
        <w:spacing w:line="576" w:lineRule="exact"/>
        <w:ind w:firstLine="660" w:firstLineChars="200"/>
        <w:rPr>
          <w:rFonts w:eastAsia="方正仿宋_GBK"/>
          <w:color w:val="000000"/>
          <w:sz w:val="33"/>
          <w:szCs w:val="33"/>
        </w:rPr>
      </w:pPr>
      <w:r>
        <w:rPr>
          <w:rFonts w:eastAsia="方正仿宋_GBK"/>
          <w:color w:val="000000"/>
          <w:sz w:val="33"/>
          <w:szCs w:val="33"/>
        </w:rPr>
        <w:t>坚持“缺什么、学什么”原则，采取“互动教学+现场教学+现场交流”等方式进行效果明显。</w:t>
      </w:r>
    </w:p>
    <w:p w14:paraId="12AB4BF1">
      <w:pPr>
        <w:spacing w:line="576" w:lineRule="exact"/>
        <w:ind w:firstLine="660" w:firstLineChars="200"/>
        <w:rPr>
          <w:rFonts w:eastAsia="方正黑体_GBK"/>
          <w:sz w:val="33"/>
          <w:szCs w:val="33"/>
          <w:lang w:val="zh-CN"/>
        </w:rPr>
      </w:pPr>
      <w:r>
        <w:rPr>
          <w:rFonts w:eastAsia="方正黑体_GBK"/>
          <w:sz w:val="33"/>
          <w:szCs w:val="33"/>
          <w:lang w:val="zh-CN"/>
        </w:rPr>
        <w:t>五、存在主要问题</w:t>
      </w:r>
    </w:p>
    <w:p w14:paraId="02475A25">
      <w:pPr>
        <w:spacing w:line="576" w:lineRule="exact"/>
        <w:ind w:firstLine="660" w:firstLineChars="200"/>
        <w:rPr>
          <w:rFonts w:eastAsia="方正仿宋_GBK"/>
          <w:sz w:val="33"/>
          <w:szCs w:val="33"/>
        </w:rPr>
      </w:pPr>
      <w:r>
        <w:rPr>
          <w:rFonts w:eastAsia="方正仿宋_GBK"/>
          <w:sz w:val="33"/>
          <w:szCs w:val="33"/>
        </w:rPr>
        <w:t>无</w:t>
      </w:r>
    </w:p>
    <w:p w14:paraId="5FA2901A">
      <w:pPr>
        <w:spacing w:line="576" w:lineRule="exact"/>
        <w:ind w:firstLine="660" w:firstLineChars="200"/>
        <w:rPr>
          <w:rFonts w:eastAsia="方正黑体_GBK"/>
          <w:sz w:val="33"/>
          <w:szCs w:val="33"/>
          <w:lang w:val="zh-CN"/>
        </w:rPr>
      </w:pPr>
      <w:r>
        <w:rPr>
          <w:rFonts w:eastAsia="方正黑体_GBK"/>
          <w:sz w:val="33"/>
          <w:szCs w:val="33"/>
          <w:lang w:val="zh-CN"/>
        </w:rPr>
        <w:t>六、改进建议</w:t>
      </w:r>
    </w:p>
    <w:p w14:paraId="2FADC4CF">
      <w:pPr>
        <w:spacing w:line="576" w:lineRule="exact"/>
        <w:ind w:firstLine="660" w:firstLineChars="200"/>
        <w:rPr>
          <w:rFonts w:eastAsia="方正仿宋_GBK"/>
          <w:sz w:val="33"/>
          <w:szCs w:val="33"/>
          <w:lang w:val="zh-CN"/>
        </w:rPr>
      </w:pPr>
      <w:r>
        <w:rPr>
          <w:rFonts w:eastAsia="方正仿宋_GBK"/>
          <w:sz w:val="33"/>
          <w:szCs w:val="33"/>
        </w:rPr>
        <w:t>无</w:t>
      </w:r>
    </w:p>
    <w:p w14:paraId="43D491B6">
      <w:pPr>
        <w:pStyle w:val="2"/>
        <w:spacing w:before="0" w:after="0" w:line="576" w:lineRule="exact"/>
        <w:jc w:val="both"/>
        <w:rPr>
          <w:rFonts w:ascii="Times New Roman" w:hAnsi="Times New Roman" w:eastAsia="方正仿宋_GBK"/>
          <w:sz w:val="33"/>
          <w:szCs w:val="33"/>
          <w:lang w:val="zh-CN"/>
        </w:rPr>
      </w:pPr>
    </w:p>
    <w:p w14:paraId="41FDB9D7">
      <w:pPr>
        <w:pStyle w:val="3"/>
        <w:numPr>
          <w:ilvl w:val="0"/>
          <w:numId w:val="1"/>
        </w:numPr>
        <w:spacing w:before="0" w:after="0" w:line="576" w:lineRule="exact"/>
        <w:jc w:val="center"/>
        <w:rPr>
          <w:rFonts w:eastAsia="方正小标宋_GBK"/>
          <w:sz w:val="38"/>
          <w:szCs w:val="38"/>
        </w:rPr>
      </w:pPr>
      <w:r>
        <w:rPr>
          <w:rFonts w:eastAsia="方正小标宋_GBK"/>
          <w:sz w:val="38"/>
          <w:szCs w:val="38"/>
        </w:rPr>
        <w:t xml:space="preserve"> 附 表</w:t>
      </w:r>
    </w:p>
    <w:p w14:paraId="6D9F695B">
      <w:pPr>
        <w:pStyle w:val="4"/>
        <w:spacing w:before="0" w:after="0" w:line="576" w:lineRule="exact"/>
        <w:rPr>
          <w:rFonts w:ascii="Times New Roman" w:hAnsi="Times New Roman" w:eastAsia="方正仿宋_GBK" w:cs="Times New Roman"/>
          <w:b w:val="0"/>
          <w:sz w:val="33"/>
          <w:szCs w:val="33"/>
        </w:rPr>
      </w:pPr>
    </w:p>
    <w:p w14:paraId="48CC84E5">
      <w:pPr>
        <w:pStyle w:val="4"/>
        <w:spacing w:before="0" w:after="0" w:line="576" w:lineRule="exact"/>
        <w:rPr>
          <w:rFonts w:ascii="Times New Roman" w:hAnsi="Times New Roman" w:eastAsia="方正仿宋_GBK" w:cs="Times New Roman"/>
          <w:sz w:val="33"/>
          <w:szCs w:val="33"/>
        </w:rPr>
      </w:pPr>
      <w:r>
        <w:rPr>
          <w:rFonts w:ascii="Times New Roman" w:hAnsi="Times New Roman" w:eastAsia="方正仿宋_GBK" w:cs="Times New Roman"/>
          <w:b w:val="0"/>
          <w:sz w:val="33"/>
          <w:szCs w:val="33"/>
        </w:rPr>
        <w:t>一、收</w:t>
      </w:r>
      <w:r>
        <w:rPr>
          <w:rStyle w:val="29"/>
          <w:rFonts w:ascii="Times New Roman" w:hAnsi="Times New Roman" w:eastAsia="方正仿宋_GBK" w:cs="Times New Roman"/>
          <w:b w:val="0"/>
          <w:bCs w:val="0"/>
          <w:sz w:val="33"/>
          <w:szCs w:val="33"/>
        </w:rPr>
        <w:t>入支出决算总表</w:t>
      </w:r>
    </w:p>
    <w:p w14:paraId="610D56CF">
      <w:pPr>
        <w:pStyle w:val="4"/>
        <w:spacing w:before="0" w:after="0" w:line="576" w:lineRule="exact"/>
        <w:rPr>
          <w:rFonts w:ascii="Times New Roman" w:hAnsi="Times New Roman" w:eastAsia="方正仿宋_GBK" w:cs="Times New Roman"/>
          <w:sz w:val="33"/>
          <w:szCs w:val="33"/>
        </w:rPr>
      </w:pPr>
      <w:bookmarkStart w:id="49" w:name="_Toc15396620"/>
      <w:r>
        <w:rPr>
          <w:rFonts w:ascii="Times New Roman" w:hAnsi="Times New Roman" w:eastAsia="方正仿宋_GBK" w:cs="Times New Roman"/>
          <w:b w:val="0"/>
          <w:sz w:val="33"/>
          <w:szCs w:val="33"/>
        </w:rPr>
        <w:t>二、收</w:t>
      </w:r>
      <w:r>
        <w:rPr>
          <w:rStyle w:val="29"/>
          <w:rFonts w:ascii="Times New Roman" w:hAnsi="Times New Roman" w:eastAsia="方正仿宋_GBK" w:cs="Times New Roman"/>
          <w:b w:val="0"/>
          <w:bCs w:val="0"/>
          <w:sz w:val="33"/>
          <w:szCs w:val="33"/>
        </w:rPr>
        <w:t>入决算表</w:t>
      </w:r>
      <w:bookmarkEnd w:id="49"/>
    </w:p>
    <w:p w14:paraId="1F864013">
      <w:pPr>
        <w:pStyle w:val="4"/>
        <w:spacing w:before="0" w:after="0" w:line="576" w:lineRule="exact"/>
        <w:rPr>
          <w:rFonts w:ascii="Times New Roman" w:hAnsi="Times New Roman" w:eastAsia="方正仿宋_GBK" w:cs="Times New Roman"/>
          <w:sz w:val="33"/>
          <w:szCs w:val="33"/>
        </w:rPr>
      </w:pPr>
      <w:bookmarkStart w:id="50" w:name="_Toc15396621"/>
      <w:r>
        <w:rPr>
          <w:rFonts w:ascii="Times New Roman" w:hAnsi="Times New Roman" w:eastAsia="方正仿宋_GBK" w:cs="Times New Roman"/>
          <w:b w:val="0"/>
          <w:sz w:val="33"/>
          <w:szCs w:val="33"/>
        </w:rPr>
        <w:t>三、支</w:t>
      </w:r>
      <w:r>
        <w:rPr>
          <w:rStyle w:val="29"/>
          <w:rFonts w:ascii="Times New Roman" w:hAnsi="Times New Roman" w:eastAsia="方正仿宋_GBK" w:cs="Times New Roman"/>
          <w:b w:val="0"/>
          <w:bCs w:val="0"/>
          <w:sz w:val="33"/>
          <w:szCs w:val="33"/>
        </w:rPr>
        <w:t>出决算表</w:t>
      </w:r>
      <w:bookmarkEnd w:id="50"/>
    </w:p>
    <w:p w14:paraId="61C2FC50">
      <w:pPr>
        <w:pStyle w:val="4"/>
        <w:spacing w:before="0" w:after="0" w:line="576" w:lineRule="exact"/>
        <w:rPr>
          <w:rFonts w:ascii="Times New Roman" w:hAnsi="Times New Roman" w:eastAsia="方正仿宋_GBK" w:cs="Times New Roman"/>
          <w:sz w:val="33"/>
          <w:szCs w:val="33"/>
        </w:rPr>
      </w:pPr>
      <w:bookmarkStart w:id="51" w:name="_Toc15396622"/>
      <w:r>
        <w:rPr>
          <w:rFonts w:ascii="Times New Roman" w:hAnsi="Times New Roman" w:eastAsia="方正仿宋_GBK" w:cs="Times New Roman"/>
          <w:b w:val="0"/>
          <w:sz w:val="33"/>
          <w:szCs w:val="33"/>
        </w:rPr>
        <w:t>四、财</w:t>
      </w:r>
      <w:r>
        <w:rPr>
          <w:rStyle w:val="29"/>
          <w:rFonts w:ascii="Times New Roman" w:hAnsi="Times New Roman" w:eastAsia="方正仿宋_GBK" w:cs="Times New Roman"/>
          <w:b w:val="0"/>
          <w:bCs w:val="0"/>
          <w:sz w:val="33"/>
          <w:szCs w:val="33"/>
        </w:rPr>
        <w:t>政拨款收入支出决算总表</w:t>
      </w:r>
      <w:bookmarkEnd w:id="51"/>
    </w:p>
    <w:p w14:paraId="1A9C28B9">
      <w:pPr>
        <w:pStyle w:val="4"/>
        <w:spacing w:before="0" w:after="0" w:line="576" w:lineRule="exact"/>
        <w:rPr>
          <w:rFonts w:ascii="Times New Roman" w:hAnsi="Times New Roman" w:eastAsia="方正仿宋_GBK" w:cs="Times New Roman"/>
          <w:sz w:val="33"/>
          <w:szCs w:val="33"/>
        </w:rPr>
      </w:pPr>
      <w:bookmarkStart w:id="52" w:name="_Toc15396623"/>
      <w:r>
        <w:rPr>
          <w:rFonts w:ascii="Times New Roman" w:hAnsi="Times New Roman" w:eastAsia="方正仿宋_GBK" w:cs="Times New Roman"/>
          <w:b w:val="0"/>
          <w:sz w:val="33"/>
          <w:szCs w:val="33"/>
        </w:rPr>
        <w:t>五、财</w:t>
      </w:r>
      <w:r>
        <w:rPr>
          <w:rStyle w:val="29"/>
          <w:rFonts w:ascii="Times New Roman" w:hAnsi="Times New Roman" w:eastAsia="方正仿宋_GBK" w:cs="Times New Roman"/>
          <w:b w:val="0"/>
          <w:bCs w:val="0"/>
          <w:sz w:val="33"/>
          <w:szCs w:val="33"/>
        </w:rPr>
        <w:t>政拨款支出决算明细表</w:t>
      </w:r>
      <w:bookmarkEnd w:id="52"/>
      <w:bookmarkStart w:id="53" w:name="_Toc15396624"/>
    </w:p>
    <w:p w14:paraId="46683CB4">
      <w:pPr>
        <w:pStyle w:val="4"/>
        <w:spacing w:before="0" w:after="0" w:line="576" w:lineRule="exact"/>
        <w:rPr>
          <w:rFonts w:ascii="Times New Roman" w:hAnsi="Times New Roman" w:eastAsia="方正仿宋_GBK" w:cs="Times New Roman"/>
          <w:sz w:val="33"/>
          <w:szCs w:val="33"/>
        </w:rPr>
      </w:pPr>
      <w:r>
        <w:rPr>
          <w:rFonts w:ascii="Times New Roman" w:hAnsi="Times New Roman" w:eastAsia="方正仿宋_GBK" w:cs="Times New Roman"/>
          <w:b w:val="0"/>
          <w:sz w:val="33"/>
          <w:szCs w:val="33"/>
        </w:rPr>
        <w:t>六、一</w:t>
      </w:r>
      <w:r>
        <w:rPr>
          <w:rStyle w:val="29"/>
          <w:rFonts w:ascii="Times New Roman" w:hAnsi="Times New Roman" w:eastAsia="方正仿宋_GBK" w:cs="Times New Roman"/>
          <w:b w:val="0"/>
          <w:bCs w:val="0"/>
          <w:sz w:val="33"/>
          <w:szCs w:val="33"/>
        </w:rPr>
        <w:t>般公共预算财政拨款支出决算表</w:t>
      </w:r>
      <w:bookmarkEnd w:id="53"/>
    </w:p>
    <w:p w14:paraId="14DF6258">
      <w:pPr>
        <w:pStyle w:val="4"/>
        <w:spacing w:before="0" w:after="0" w:line="576" w:lineRule="exact"/>
        <w:rPr>
          <w:rFonts w:ascii="Times New Roman" w:hAnsi="Times New Roman" w:eastAsia="方正仿宋_GBK" w:cs="Times New Roman"/>
          <w:sz w:val="33"/>
          <w:szCs w:val="33"/>
        </w:rPr>
      </w:pPr>
      <w:bookmarkStart w:id="54" w:name="_Toc15396625"/>
      <w:r>
        <w:rPr>
          <w:rFonts w:ascii="Times New Roman" w:hAnsi="Times New Roman" w:eastAsia="方正仿宋_GBK" w:cs="Times New Roman"/>
          <w:b w:val="0"/>
          <w:sz w:val="33"/>
          <w:szCs w:val="33"/>
        </w:rPr>
        <w:t>七、一</w:t>
      </w:r>
      <w:r>
        <w:rPr>
          <w:rStyle w:val="29"/>
          <w:rFonts w:ascii="Times New Roman" w:hAnsi="Times New Roman" w:eastAsia="方正仿宋_GBK" w:cs="Times New Roman"/>
          <w:b w:val="0"/>
          <w:bCs w:val="0"/>
          <w:sz w:val="33"/>
          <w:szCs w:val="33"/>
        </w:rPr>
        <w:t>般公共预算财政拨款支出决算明细表</w:t>
      </w:r>
      <w:bookmarkEnd w:id="54"/>
    </w:p>
    <w:p w14:paraId="76ABAE8F">
      <w:pPr>
        <w:pStyle w:val="4"/>
        <w:spacing w:before="0" w:after="0" w:line="576" w:lineRule="exact"/>
        <w:rPr>
          <w:rFonts w:ascii="Times New Roman" w:hAnsi="Times New Roman" w:eastAsia="方正仿宋_GBK" w:cs="Times New Roman"/>
          <w:sz w:val="33"/>
          <w:szCs w:val="33"/>
        </w:rPr>
      </w:pPr>
      <w:bookmarkStart w:id="55" w:name="_Toc15396626"/>
      <w:r>
        <w:rPr>
          <w:rFonts w:ascii="Times New Roman" w:hAnsi="Times New Roman" w:eastAsia="方正仿宋_GBK" w:cs="Times New Roman"/>
          <w:b w:val="0"/>
          <w:sz w:val="33"/>
          <w:szCs w:val="33"/>
        </w:rPr>
        <w:t>八、一</w:t>
      </w:r>
      <w:r>
        <w:rPr>
          <w:rStyle w:val="29"/>
          <w:rFonts w:ascii="Times New Roman" w:hAnsi="Times New Roman" w:eastAsia="方正仿宋_GBK" w:cs="Times New Roman"/>
          <w:b w:val="0"/>
          <w:bCs w:val="0"/>
          <w:sz w:val="33"/>
          <w:szCs w:val="33"/>
        </w:rPr>
        <w:t>般公共预算财政拨款基本支出决算表</w:t>
      </w:r>
      <w:bookmarkEnd w:id="55"/>
    </w:p>
    <w:p w14:paraId="7152DBA2">
      <w:pPr>
        <w:pStyle w:val="4"/>
        <w:spacing w:before="0" w:after="0" w:line="576" w:lineRule="exact"/>
        <w:rPr>
          <w:rFonts w:ascii="Times New Roman" w:hAnsi="Times New Roman" w:eastAsia="方正仿宋_GBK" w:cs="Times New Roman"/>
          <w:sz w:val="33"/>
          <w:szCs w:val="33"/>
        </w:rPr>
      </w:pPr>
      <w:bookmarkStart w:id="56" w:name="_Toc15396627"/>
      <w:r>
        <w:rPr>
          <w:rFonts w:ascii="Times New Roman" w:hAnsi="Times New Roman" w:eastAsia="方正仿宋_GBK" w:cs="Times New Roman"/>
          <w:b w:val="0"/>
          <w:sz w:val="33"/>
          <w:szCs w:val="33"/>
        </w:rPr>
        <w:t>九、一</w:t>
      </w:r>
      <w:r>
        <w:rPr>
          <w:rStyle w:val="29"/>
          <w:rFonts w:ascii="Times New Roman" w:hAnsi="Times New Roman" w:eastAsia="方正仿宋_GBK" w:cs="Times New Roman"/>
          <w:b w:val="0"/>
          <w:bCs w:val="0"/>
          <w:sz w:val="33"/>
          <w:szCs w:val="33"/>
        </w:rPr>
        <w:t>般公共预算财政拨款项目支出决算表</w:t>
      </w:r>
      <w:bookmarkEnd w:id="56"/>
    </w:p>
    <w:p w14:paraId="4A5AFEBF">
      <w:pPr>
        <w:pStyle w:val="4"/>
        <w:spacing w:before="0" w:after="0" w:line="576" w:lineRule="exact"/>
        <w:rPr>
          <w:rFonts w:ascii="Times New Roman" w:hAnsi="Times New Roman" w:eastAsia="方正仿宋_GBK" w:cs="Times New Roman"/>
          <w:sz w:val="33"/>
          <w:szCs w:val="33"/>
        </w:rPr>
      </w:pPr>
      <w:r>
        <w:rPr>
          <w:rFonts w:ascii="Times New Roman" w:hAnsi="Times New Roman" w:eastAsia="方正仿宋_GBK" w:cs="Times New Roman"/>
          <w:b w:val="0"/>
          <w:sz w:val="33"/>
          <w:szCs w:val="33"/>
        </w:rPr>
        <w:t>十、政</w:t>
      </w:r>
      <w:r>
        <w:rPr>
          <w:rStyle w:val="29"/>
          <w:rFonts w:ascii="Times New Roman" w:hAnsi="Times New Roman" w:eastAsia="方正仿宋_GBK" w:cs="Times New Roman"/>
          <w:b w:val="0"/>
          <w:bCs w:val="0"/>
          <w:sz w:val="33"/>
          <w:szCs w:val="33"/>
        </w:rPr>
        <w:t>府性基金预算财政拨款收入支出决算表</w:t>
      </w:r>
    </w:p>
    <w:p w14:paraId="40E1D8E8">
      <w:pPr>
        <w:pStyle w:val="4"/>
        <w:spacing w:before="0" w:after="0" w:line="576" w:lineRule="exact"/>
        <w:rPr>
          <w:rFonts w:ascii="Times New Roman" w:hAnsi="Times New Roman" w:eastAsia="方正仿宋_GBK" w:cs="Times New Roman"/>
          <w:sz w:val="33"/>
          <w:szCs w:val="33"/>
        </w:rPr>
      </w:pPr>
      <w:r>
        <w:rPr>
          <w:rFonts w:ascii="Times New Roman" w:hAnsi="Times New Roman" w:eastAsia="方正仿宋_GBK" w:cs="Times New Roman"/>
          <w:b w:val="0"/>
          <w:sz w:val="33"/>
          <w:szCs w:val="33"/>
        </w:rPr>
        <w:t>十一国</w:t>
      </w:r>
      <w:r>
        <w:rPr>
          <w:rStyle w:val="29"/>
          <w:rFonts w:ascii="Times New Roman" w:hAnsi="Times New Roman" w:eastAsia="方正仿宋_GBK" w:cs="Times New Roman"/>
          <w:b w:val="0"/>
          <w:bCs w:val="0"/>
          <w:sz w:val="33"/>
          <w:szCs w:val="33"/>
        </w:rPr>
        <w:t>有资本经营预算财政拨款收入支出决算表</w:t>
      </w:r>
    </w:p>
    <w:p w14:paraId="73A2A5DB">
      <w:pPr>
        <w:pStyle w:val="4"/>
        <w:spacing w:before="0" w:after="0" w:line="576" w:lineRule="exact"/>
        <w:rPr>
          <w:rFonts w:ascii="Times New Roman" w:hAnsi="Times New Roman" w:eastAsia="方正仿宋_GBK" w:cs="Times New Roman"/>
          <w:sz w:val="33"/>
          <w:szCs w:val="33"/>
        </w:rPr>
      </w:pPr>
      <w:r>
        <w:rPr>
          <w:rStyle w:val="29"/>
          <w:rFonts w:ascii="Times New Roman" w:hAnsi="Times New Roman" w:eastAsia="方正仿宋_GBK" w:cs="Times New Roman"/>
          <w:b w:val="0"/>
          <w:bCs w:val="0"/>
          <w:sz w:val="33"/>
          <w:szCs w:val="33"/>
        </w:rPr>
        <w:t>十二、国有资本经营预算财政拨款支出决算表</w:t>
      </w:r>
    </w:p>
    <w:p w14:paraId="7D8A3058">
      <w:pPr>
        <w:pStyle w:val="4"/>
        <w:spacing w:before="0" w:after="0" w:line="576" w:lineRule="exact"/>
        <w:rPr>
          <w:rStyle w:val="29"/>
          <w:rFonts w:ascii="Times New Roman" w:hAnsi="Times New Roman" w:eastAsia="方正仿宋_GBK" w:cs="Times New Roman"/>
          <w:b w:val="0"/>
          <w:bCs w:val="0"/>
          <w:sz w:val="33"/>
          <w:szCs w:val="33"/>
        </w:rPr>
      </w:pPr>
      <w:r>
        <w:rPr>
          <w:rStyle w:val="29"/>
          <w:rFonts w:ascii="Times New Roman" w:hAnsi="Times New Roman" w:eastAsia="方正仿宋_GBK" w:cs="Times New Roman"/>
          <w:b w:val="0"/>
          <w:bCs w:val="0"/>
          <w:sz w:val="33"/>
          <w:szCs w:val="33"/>
        </w:rPr>
        <w:t>十三、财政拨款“三公”经费支出决算表</w:t>
      </w:r>
    </w:p>
    <w:p w14:paraId="0AC1AADF">
      <w:pPr>
        <w:spacing w:line="576" w:lineRule="exact"/>
        <w:rPr>
          <w:rFonts w:eastAsia="方正仿宋_GBK"/>
          <w:sz w:val="33"/>
          <w:szCs w:val="33"/>
        </w:rPr>
      </w:pPr>
    </w:p>
    <w:sectPr>
      <w:footerReference r:id="rId9" w:type="default"/>
      <w:pgSz w:w="11906" w:h="16838"/>
      <w:pgMar w:top="2098" w:right="1474" w:bottom="1985" w:left="1588" w:header="907" w:footer="1644"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CFD290">
    <w:pPr>
      <w:pStyle w:val="10"/>
      <w:jc w:val="center"/>
    </w:pPr>
  </w:p>
  <w:p w14:paraId="7D6F1083">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27C1CD">
    <w:pPr>
      <w:pStyle w:val="10"/>
      <w:jc w:val="center"/>
    </w:pPr>
  </w:p>
  <w:p w14:paraId="52AA1D41">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305E43">
    <w:pPr>
      <w:pStyle w:val="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A4C501">
    <w:pPr>
      <w:pStyle w:val="10"/>
      <w:jc w:val="center"/>
    </w:pPr>
  </w:p>
  <w:p w14:paraId="0C3B4214">
    <w:pPr>
      <w:pStyle w:val="1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880415">
    <w:pPr>
      <w:pStyle w:val="10"/>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36310D">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2936310D">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29B80E">
    <w:pPr>
      <w:pStyle w:val="10"/>
      <w:jc w:val="center"/>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E26EB8">
                          <w:pPr>
                            <w:pStyle w:val="2"/>
                            <w:rPr>
                              <w:rFonts w:asciiTheme="minorEastAsia" w:hAnsiTheme="minorEastAsia" w:eastAsiaTheme="minorEastAsia" w:cstheme="minorEastAsia"/>
                              <w:b w:val="0"/>
                              <w:bCs/>
                              <w:sz w:val="28"/>
                            </w:rPr>
                          </w:pPr>
                          <w:r>
                            <w:rPr>
                              <w:rFonts w:hint="eastAsia" w:asciiTheme="minorEastAsia" w:hAnsiTheme="minorEastAsia" w:eastAsiaTheme="minorEastAsia" w:cstheme="minorEastAsia"/>
                              <w:b w:val="0"/>
                              <w:bCs/>
                              <w:sz w:val="28"/>
                            </w:rPr>
                            <w:t xml:space="preserve">— </w:t>
                          </w:r>
                          <w:r>
                            <w:rPr>
                              <w:rFonts w:hint="eastAsia" w:asciiTheme="minorEastAsia" w:hAnsiTheme="minorEastAsia" w:eastAsiaTheme="minorEastAsia" w:cstheme="minorEastAsia"/>
                              <w:b w:val="0"/>
                              <w:bCs/>
                              <w:sz w:val="28"/>
                            </w:rPr>
                            <w:fldChar w:fldCharType="begin"/>
                          </w:r>
                          <w:r>
                            <w:rPr>
                              <w:rFonts w:hint="eastAsia" w:asciiTheme="minorEastAsia" w:hAnsiTheme="minorEastAsia" w:eastAsiaTheme="minorEastAsia" w:cstheme="minorEastAsia"/>
                              <w:b w:val="0"/>
                              <w:bCs/>
                              <w:sz w:val="28"/>
                            </w:rPr>
                            <w:instrText xml:space="preserve"> PAGE  \* MERGEFORMAT </w:instrText>
                          </w:r>
                          <w:r>
                            <w:rPr>
                              <w:rFonts w:hint="eastAsia" w:asciiTheme="minorEastAsia" w:hAnsiTheme="minorEastAsia" w:eastAsiaTheme="minorEastAsia" w:cstheme="minorEastAsia"/>
                              <w:b w:val="0"/>
                              <w:bCs/>
                              <w:sz w:val="28"/>
                            </w:rPr>
                            <w:fldChar w:fldCharType="separate"/>
                          </w:r>
                          <w:r>
                            <w:rPr>
                              <w:rFonts w:asciiTheme="minorEastAsia" w:hAnsiTheme="minorEastAsia" w:eastAsiaTheme="minorEastAsia" w:cstheme="minorEastAsia"/>
                              <w:b w:val="0"/>
                              <w:bCs/>
                              <w:sz w:val="28"/>
                            </w:rPr>
                            <w:t>7</w:t>
                          </w:r>
                          <w:r>
                            <w:rPr>
                              <w:rFonts w:hint="eastAsia" w:asciiTheme="minorEastAsia" w:hAnsiTheme="minorEastAsia" w:eastAsiaTheme="minorEastAsia" w:cstheme="minorEastAsia"/>
                              <w:b w:val="0"/>
                              <w:bCs/>
                              <w:sz w:val="28"/>
                            </w:rPr>
                            <w:fldChar w:fldCharType="end"/>
                          </w:r>
                          <w:r>
                            <w:rPr>
                              <w:rFonts w:hint="eastAsia" w:asciiTheme="minorEastAsia" w:hAnsiTheme="minorEastAsia" w:eastAsiaTheme="minorEastAsia" w:cstheme="minorEastAsia"/>
                              <w:b w:val="0"/>
                              <w:bCs/>
                              <w:sz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14:paraId="2FE26EB8">
                    <w:pPr>
                      <w:pStyle w:val="2"/>
                      <w:rPr>
                        <w:rFonts w:asciiTheme="minorEastAsia" w:hAnsiTheme="minorEastAsia" w:eastAsiaTheme="minorEastAsia" w:cstheme="minorEastAsia"/>
                        <w:b w:val="0"/>
                        <w:bCs/>
                        <w:sz w:val="28"/>
                      </w:rPr>
                    </w:pPr>
                    <w:r>
                      <w:rPr>
                        <w:rFonts w:hint="eastAsia" w:asciiTheme="minorEastAsia" w:hAnsiTheme="minorEastAsia" w:eastAsiaTheme="minorEastAsia" w:cstheme="minorEastAsia"/>
                        <w:b w:val="0"/>
                        <w:bCs/>
                        <w:sz w:val="28"/>
                      </w:rPr>
                      <w:t xml:space="preserve">— </w:t>
                    </w:r>
                    <w:r>
                      <w:rPr>
                        <w:rFonts w:hint="eastAsia" w:asciiTheme="minorEastAsia" w:hAnsiTheme="minorEastAsia" w:eastAsiaTheme="minorEastAsia" w:cstheme="minorEastAsia"/>
                        <w:b w:val="0"/>
                        <w:bCs/>
                        <w:sz w:val="28"/>
                      </w:rPr>
                      <w:fldChar w:fldCharType="begin"/>
                    </w:r>
                    <w:r>
                      <w:rPr>
                        <w:rFonts w:hint="eastAsia" w:asciiTheme="minorEastAsia" w:hAnsiTheme="minorEastAsia" w:eastAsiaTheme="minorEastAsia" w:cstheme="minorEastAsia"/>
                        <w:b w:val="0"/>
                        <w:bCs/>
                        <w:sz w:val="28"/>
                      </w:rPr>
                      <w:instrText xml:space="preserve"> PAGE  \* MERGEFORMAT </w:instrText>
                    </w:r>
                    <w:r>
                      <w:rPr>
                        <w:rFonts w:hint="eastAsia" w:asciiTheme="minorEastAsia" w:hAnsiTheme="minorEastAsia" w:eastAsiaTheme="minorEastAsia" w:cstheme="minorEastAsia"/>
                        <w:b w:val="0"/>
                        <w:bCs/>
                        <w:sz w:val="28"/>
                      </w:rPr>
                      <w:fldChar w:fldCharType="separate"/>
                    </w:r>
                    <w:r>
                      <w:rPr>
                        <w:rFonts w:asciiTheme="minorEastAsia" w:hAnsiTheme="minorEastAsia" w:eastAsiaTheme="minorEastAsia" w:cstheme="minorEastAsia"/>
                        <w:b w:val="0"/>
                        <w:bCs/>
                        <w:sz w:val="28"/>
                      </w:rPr>
                      <w:t>7</w:t>
                    </w:r>
                    <w:r>
                      <w:rPr>
                        <w:rFonts w:hint="eastAsia" w:asciiTheme="minorEastAsia" w:hAnsiTheme="minorEastAsia" w:eastAsiaTheme="minorEastAsia" w:cstheme="minorEastAsia"/>
                        <w:b w:val="0"/>
                        <w:bCs/>
                        <w:sz w:val="28"/>
                      </w:rPr>
                      <w:fldChar w:fldCharType="end"/>
                    </w:r>
                    <w:r>
                      <w:rPr>
                        <w:rFonts w:hint="eastAsia" w:asciiTheme="minorEastAsia" w:hAnsiTheme="minorEastAsia" w:eastAsiaTheme="minorEastAsia" w:cstheme="minorEastAsia"/>
                        <w:b w:val="0"/>
                        <w:bCs/>
                        <w:sz w:val="28"/>
                      </w:rPr>
                      <w:t xml:space="preserve"> —</w:t>
                    </w:r>
                  </w:p>
                </w:txbxContent>
              </v:textbox>
            </v:shape>
          </w:pict>
        </mc:Fallback>
      </mc:AlternateContent>
    </w:r>
  </w:p>
  <w:p w14:paraId="2883FEDE">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C64A53">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9A5E89"/>
    <w:multiLevelType w:val="singleLevel"/>
    <w:tmpl w:val="A39A5E89"/>
    <w:lvl w:ilvl="0" w:tentative="0">
      <w:start w:val="5"/>
      <w:numFmt w:val="chineseCounting"/>
      <w:suff w:val="space"/>
      <w:lvlText w:val="第%1部分"/>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IyMWQ2YTg0NDZiMzA1ZWJmZmM3ZjE5NTBjZDMyNjQifQ=="/>
  </w:docVars>
  <w:rsids>
    <w:rsidRoot w:val="00F1361C"/>
    <w:rsid w:val="00014A1C"/>
    <w:rsid w:val="000222C6"/>
    <w:rsid w:val="0002549F"/>
    <w:rsid w:val="00035392"/>
    <w:rsid w:val="0004513D"/>
    <w:rsid w:val="000468DB"/>
    <w:rsid w:val="0006487A"/>
    <w:rsid w:val="00065F8F"/>
    <w:rsid w:val="00070A43"/>
    <w:rsid w:val="000768F2"/>
    <w:rsid w:val="00082EAC"/>
    <w:rsid w:val="0009184B"/>
    <w:rsid w:val="00094236"/>
    <w:rsid w:val="00094611"/>
    <w:rsid w:val="0009593C"/>
    <w:rsid w:val="00097322"/>
    <w:rsid w:val="00097358"/>
    <w:rsid w:val="000A6A92"/>
    <w:rsid w:val="000B047F"/>
    <w:rsid w:val="000B5923"/>
    <w:rsid w:val="000B5A48"/>
    <w:rsid w:val="000B6FF3"/>
    <w:rsid w:val="000C3467"/>
    <w:rsid w:val="000C3B7B"/>
    <w:rsid w:val="000C3CA6"/>
    <w:rsid w:val="000D1267"/>
    <w:rsid w:val="000D1D50"/>
    <w:rsid w:val="000D5782"/>
    <w:rsid w:val="000E6613"/>
    <w:rsid w:val="000E7119"/>
    <w:rsid w:val="00114E9B"/>
    <w:rsid w:val="00142216"/>
    <w:rsid w:val="00144D6A"/>
    <w:rsid w:val="0014729F"/>
    <w:rsid w:val="00157BAB"/>
    <w:rsid w:val="001654D1"/>
    <w:rsid w:val="00165D0D"/>
    <w:rsid w:val="001730E5"/>
    <w:rsid w:val="00174518"/>
    <w:rsid w:val="0018106D"/>
    <w:rsid w:val="001877A7"/>
    <w:rsid w:val="00191536"/>
    <w:rsid w:val="00196687"/>
    <w:rsid w:val="001C0962"/>
    <w:rsid w:val="001C2738"/>
    <w:rsid w:val="001D7531"/>
    <w:rsid w:val="001E737D"/>
    <w:rsid w:val="001F0592"/>
    <w:rsid w:val="001F6419"/>
    <w:rsid w:val="001F7506"/>
    <w:rsid w:val="002006CD"/>
    <w:rsid w:val="00200B79"/>
    <w:rsid w:val="00202B36"/>
    <w:rsid w:val="00204B7A"/>
    <w:rsid w:val="00204CDE"/>
    <w:rsid w:val="0021101A"/>
    <w:rsid w:val="00220536"/>
    <w:rsid w:val="00235629"/>
    <w:rsid w:val="00256FE9"/>
    <w:rsid w:val="00260289"/>
    <w:rsid w:val="00260C38"/>
    <w:rsid w:val="002616C0"/>
    <w:rsid w:val="002643DB"/>
    <w:rsid w:val="00265372"/>
    <w:rsid w:val="002662AA"/>
    <w:rsid w:val="00280496"/>
    <w:rsid w:val="00283D47"/>
    <w:rsid w:val="00294DC9"/>
    <w:rsid w:val="00295495"/>
    <w:rsid w:val="002A31DE"/>
    <w:rsid w:val="002A62F7"/>
    <w:rsid w:val="002B2613"/>
    <w:rsid w:val="002C1468"/>
    <w:rsid w:val="002D6D05"/>
    <w:rsid w:val="002F1818"/>
    <w:rsid w:val="002F5109"/>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2919"/>
    <w:rsid w:val="003D66DA"/>
    <w:rsid w:val="003E1310"/>
    <w:rsid w:val="003E2E6A"/>
    <w:rsid w:val="003E6F55"/>
    <w:rsid w:val="00406254"/>
    <w:rsid w:val="00410559"/>
    <w:rsid w:val="0041585D"/>
    <w:rsid w:val="00420B47"/>
    <w:rsid w:val="004223DE"/>
    <w:rsid w:val="00434489"/>
    <w:rsid w:val="00437085"/>
    <w:rsid w:val="00443880"/>
    <w:rsid w:val="004464F4"/>
    <w:rsid w:val="00447329"/>
    <w:rsid w:val="00471401"/>
    <w:rsid w:val="00473F31"/>
    <w:rsid w:val="0048263A"/>
    <w:rsid w:val="004826A2"/>
    <w:rsid w:val="00487E5D"/>
    <w:rsid w:val="004A711F"/>
    <w:rsid w:val="004B199D"/>
    <w:rsid w:val="004B4690"/>
    <w:rsid w:val="004E0A2D"/>
    <w:rsid w:val="004E206B"/>
    <w:rsid w:val="004E3607"/>
    <w:rsid w:val="004E6DF7"/>
    <w:rsid w:val="004F0FBD"/>
    <w:rsid w:val="00505A47"/>
    <w:rsid w:val="00512FDA"/>
    <w:rsid w:val="00520DA0"/>
    <w:rsid w:val="005664BB"/>
    <w:rsid w:val="00566FFA"/>
    <w:rsid w:val="0057481D"/>
    <w:rsid w:val="0058486E"/>
    <w:rsid w:val="00585B33"/>
    <w:rsid w:val="0059014D"/>
    <w:rsid w:val="005A09FD"/>
    <w:rsid w:val="005A0B17"/>
    <w:rsid w:val="005B0198"/>
    <w:rsid w:val="005B321C"/>
    <w:rsid w:val="005B5C64"/>
    <w:rsid w:val="005C5337"/>
    <w:rsid w:val="005C6BD0"/>
    <w:rsid w:val="005D1C8B"/>
    <w:rsid w:val="005D468D"/>
    <w:rsid w:val="005D5CED"/>
    <w:rsid w:val="005F1A4C"/>
    <w:rsid w:val="00605688"/>
    <w:rsid w:val="006070AF"/>
    <w:rsid w:val="00607E6C"/>
    <w:rsid w:val="006101B1"/>
    <w:rsid w:val="00614E44"/>
    <w:rsid w:val="00620030"/>
    <w:rsid w:val="0062270A"/>
    <w:rsid w:val="00622830"/>
    <w:rsid w:val="00623DA0"/>
    <w:rsid w:val="00630AEF"/>
    <w:rsid w:val="006325F8"/>
    <w:rsid w:val="00633463"/>
    <w:rsid w:val="00634C9A"/>
    <w:rsid w:val="00640417"/>
    <w:rsid w:val="00641F56"/>
    <w:rsid w:val="006440E4"/>
    <w:rsid w:val="0066343B"/>
    <w:rsid w:val="00664777"/>
    <w:rsid w:val="006748A4"/>
    <w:rsid w:val="00681A31"/>
    <w:rsid w:val="00683E73"/>
    <w:rsid w:val="006A3141"/>
    <w:rsid w:val="006A5E34"/>
    <w:rsid w:val="006B2422"/>
    <w:rsid w:val="006B2B9A"/>
    <w:rsid w:val="006C1937"/>
    <w:rsid w:val="006D2F8B"/>
    <w:rsid w:val="006F020C"/>
    <w:rsid w:val="007127B7"/>
    <w:rsid w:val="0071798E"/>
    <w:rsid w:val="007416B6"/>
    <w:rsid w:val="0074516B"/>
    <w:rsid w:val="00746F48"/>
    <w:rsid w:val="0075404D"/>
    <w:rsid w:val="0076182A"/>
    <w:rsid w:val="00762406"/>
    <w:rsid w:val="0076493D"/>
    <w:rsid w:val="00767B7E"/>
    <w:rsid w:val="007770C3"/>
    <w:rsid w:val="00784D24"/>
    <w:rsid w:val="00785FBA"/>
    <w:rsid w:val="00786E4A"/>
    <w:rsid w:val="007875EB"/>
    <w:rsid w:val="0079426B"/>
    <w:rsid w:val="007D1682"/>
    <w:rsid w:val="007D312A"/>
    <w:rsid w:val="007D3F19"/>
    <w:rsid w:val="007E23B0"/>
    <w:rsid w:val="007E23E5"/>
    <w:rsid w:val="007E6A82"/>
    <w:rsid w:val="007F1991"/>
    <w:rsid w:val="007F2C2F"/>
    <w:rsid w:val="007F55FC"/>
    <w:rsid w:val="007F5665"/>
    <w:rsid w:val="007F7385"/>
    <w:rsid w:val="00800112"/>
    <w:rsid w:val="00813348"/>
    <w:rsid w:val="008253BB"/>
    <w:rsid w:val="0083706E"/>
    <w:rsid w:val="008408F6"/>
    <w:rsid w:val="008423A5"/>
    <w:rsid w:val="00850625"/>
    <w:rsid w:val="00853718"/>
    <w:rsid w:val="00855221"/>
    <w:rsid w:val="00860645"/>
    <w:rsid w:val="00871F71"/>
    <w:rsid w:val="00872FD8"/>
    <w:rsid w:val="00875641"/>
    <w:rsid w:val="00885AF4"/>
    <w:rsid w:val="00887F08"/>
    <w:rsid w:val="008914B9"/>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34F0"/>
    <w:rsid w:val="00935C98"/>
    <w:rsid w:val="00946945"/>
    <w:rsid w:val="00951248"/>
    <w:rsid w:val="0095152F"/>
    <w:rsid w:val="009546E4"/>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E50C8"/>
    <w:rsid w:val="009F1185"/>
    <w:rsid w:val="009F18CD"/>
    <w:rsid w:val="009F2A13"/>
    <w:rsid w:val="009F7527"/>
    <w:rsid w:val="00A04EB0"/>
    <w:rsid w:val="00A13CC1"/>
    <w:rsid w:val="00A16847"/>
    <w:rsid w:val="00A237D8"/>
    <w:rsid w:val="00A25C9F"/>
    <w:rsid w:val="00A268C4"/>
    <w:rsid w:val="00A27C77"/>
    <w:rsid w:val="00A307CD"/>
    <w:rsid w:val="00A331C8"/>
    <w:rsid w:val="00A40A00"/>
    <w:rsid w:val="00A4142F"/>
    <w:rsid w:val="00A422EB"/>
    <w:rsid w:val="00A45BB7"/>
    <w:rsid w:val="00A56DF2"/>
    <w:rsid w:val="00A56E6E"/>
    <w:rsid w:val="00A67AB5"/>
    <w:rsid w:val="00A733B2"/>
    <w:rsid w:val="00A741C2"/>
    <w:rsid w:val="00A74A9E"/>
    <w:rsid w:val="00A91760"/>
    <w:rsid w:val="00A93B00"/>
    <w:rsid w:val="00A93C21"/>
    <w:rsid w:val="00AB64C9"/>
    <w:rsid w:val="00AC2E50"/>
    <w:rsid w:val="00AC3C6A"/>
    <w:rsid w:val="00AD5620"/>
    <w:rsid w:val="00AD656B"/>
    <w:rsid w:val="00AD7C1B"/>
    <w:rsid w:val="00AE16BA"/>
    <w:rsid w:val="00AE1EBE"/>
    <w:rsid w:val="00B03C9D"/>
    <w:rsid w:val="00B060AE"/>
    <w:rsid w:val="00B10517"/>
    <w:rsid w:val="00B12E8B"/>
    <w:rsid w:val="00B14E76"/>
    <w:rsid w:val="00B161B8"/>
    <w:rsid w:val="00B2048C"/>
    <w:rsid w:val="00B310B9"/>
    <w:rsid w:val="00B35F3F"/>
    <w:rsid w:val="00B36CBB"/>
    <w:rsid w:val="00B411A6"/>
    <w:rsid w:val="00B425E0"/>
    <w:rsid w:val="00B440AA"/>
    <w:rsid w:val="00B44B70"/>
    <w:rsid w:val="00B53C56"/>
    <w:rsid w:val="00B57DAF"/>
    <w:rsid w:val="00B76F9D"/>
    <w:rsid w:val="00B77EA6"/>
    <w:rsid w:val="00B81598"/>
    <w:rsid w:val="00B841F1"/>
    <w:rsid w:val="00B944D6"/>
    <w:rsid w:val="00BA579E"/>
    <w:rsid w:val="00BB4DF0"/>
    <w:rsid w:val="00BC289F"/>
    <w:rsid w:val="00BC2D50"/>
    <w:rsid w:val="00BC5361"/>
    <w:rsid w:val="00BC5460"/>
    <w:rsid w:val="00BC6B50"/>
    <w:rsid w:val="00BD0E25"/>
    <w:rsid w:val="00BF5BD6"/>
    <w:rsid w:val="00C03E31"/>
    <w:rsid w:val="00C33E72"/>
    <w:rsid w:val="00C354B2"/>
    <w:rsid w:val="00C35554"/>
    <w:rsid w:val="00C42709"/>
    <w:rsid w:val="00C46119"/>
    <w:rsid w:val="00C533CC"/>
    <w:rsid w:val="00C5751C"/>
    <w:rsid w:val="00C61BFC"/>
    <w:rsid w:val="00C62B85"/>
    <w:rsid w:val="00C65438"/>
    <w:rsid w:val="00C860D5"/>
    <w:rsid w:val="00C87FD8"/>
    <w:rsid w:val="00C91381"/>
    <w:rsid w:val="00C91CBB"/>
    <w:rsid w:val="00CB4E70"/>
    <w:rsid w:val="00CC09B6"/>
    <w:rsid w:val="00CC666F"/>
    <w:rsid w:val="00CD1E3F"/>
    <w:rsid w:val="00CE44F6"/>
    <w:rsid w:val="00CE49DA"/>
    <w:rsid w:val="00CE7B61"/>
    <w:rsid w:val="00CF20C4"/>
    <w:rsid w:val="00D00095"/>
    <w:rsid w:val="00D114F0"/>
    <w:rsid w:val="00D20620"/>
    <w:rsid w:val="00D254F7"/>
    <w:rsid w:val="00D26091"/>
    <w:rsid w:val="00D2685C"/>
    <w:rsid w:val="00D34E7C"/>
    <w:rsid w:val="00D35489"/>
    <w:rsid w:val="00D36AFE"/>
    <w:rsid w:val="00D51276"/>
    <w:rsid w:val="00D7035F"/>
    <w:rsid w:val="00D950A1"/>
    <w:rsid w:val="00DA634F"/>
    <w:rsid w:val="00DA65AC"/>
    <w:rsid w:val="00DB1913"/>
    <w:rsid w:val="00DC410D"/>
    <w:rsid w:val="00DC5A81"/>
    <w:rsid w:val="00DC68CA"/>
    <w:rsid w:val="00DC7CBA"/>
    <w:rsid w:val="00DD73B7"/>
    <w:rsid w:val="00DF24DF"/>
    <w:rsid w:val="00DF28BC"/>
    <w:rsid w:val="00DF34B9"/>
    <w:rsid w:val="00E01053"/>
    <w:rsid w:val="00E01B70"/>
    <w:rsid w:val="00E07ACF"/>
    <w:rsid w:val="00E11813"/>
    <w:rsid w:val="00E31E11"/>
    <w:rsid w:val="00E331A1"/>
    <w:rsid w:val="00E33202"/>
    <w:rsid w:val="00E336A9"/>
    <w:rsid w:val="00E472B1"/>
    <w:rsid w:val="00E50624"/>
    <w:rsid w:val="00E568DF"/>
    <w:rsid w:val="00E64269"/>
    <w:rsid w:val="00E82267"/>
    <w:rsid w:val="00E853CE"/>
    <w:rsid w:val="00E867B6"/>
    <w:rsid w:val="00EA010F"/>
    <w:rsid w:val="00EB0FAE"/>
    <w:rsid w:val="00ED1B63"/>
    <w:rsid w:val="00ED3C1F"/>
    <w:rsid w:val="00ED4085"/>
    <w:rsid w:val="00ED420E"/>
    <w:rsid w:val="00ED6FBE"/>
    <w:rsid w:val="00EE2F57"/>
    <w:rsid w:val="00EF4C34"/>
    <w:rsid w:val="00EF77C6"/>
    <w:rsid w:val="00F03938"/>
    <w:rsid w:val="00F05438"/>
    <w:rsid w:val="00F1361C"/>
    <w:rsid w:val="00F156F0"/>
    <w:rsid w:val="00F160C7"/>
    <w:rsid w:val="00F2408F"/>
    <w:rsid w:val="00F240E9"/>
    <w:rsid w:val="00F36D8F"/>
    <w:rsid w:val="00F417B1"/>
    <w:rsid w:val="00F45853"/>
    <w:rsid w:val="00F5561B"/>
    <w:rsid w:val="00F602DF"/>
    <w:rsid w:val="00F754A1"/>
    <w:rsid w:val="00F81FD9"/>
    <w:rsid w:val="00F841AA"/>
    <w:rsid w:val="00F84A94"/>
    <w:rsid w:val="00F87E96"/>
    <w:rsid w:val="00FA23E8"/>
    <w:rsid w:val="00FA789D"/>
    <w:rsid w:val="00FC7DA4"/>
    <w:rsid w:val="00FD3CC1"/>
    <w:rsid w:val="00FF1E02"/>
    <w:rsid w:val="00FF30B4"/>
    <w:rsid w:val="01231EBD"/>
    <w:rsid w:val="015975B8"/>
    <w:rsid w:val="02FEBE30"/>
    <w:rsid w:val="036F8141"/>
    <w:rsid w:val="066E0107"/>
    <w:rsid w:val="07996F6E"/>
    <w:rsid w:val="07DFD8BA"/>
    <w:rsid w:val="0A2032A3"/>
    <w:rsid w:val="0D35B1ED"/>
    <w:rsid w:val="0E7ED1F5"/>
    <w:rsid w:val="0F98263C"/>
    <w:rsid w:val="101860EC"/>
    <w:rsid w:val="10C055FF"/>
    <w:rsid w:val="118107EC"/>
    <w:rsid w:val="13D50BC4"/>
    <w:rsid w:val="13F5616D"/>
    <w:rsid w:val="16BB723D"/>
    <w:rsid w:val="17F9714D"/>
    <w:rsid w:val="187803FA"/>
    <w:rsid w:val="1918F934"/>
    <w:rsid w:val="1BE8440E"/>
    <w:rsid w:val="1D155CEE"/>
    <w:rsid w:val="1DFBC4B3"/>
    <w:rsid w:val="1E740ACF"/>
    <w:rsid w:val="1F19C781"/>
    <w:rsid w:val="1F33FCE5"/>
    <w:rsid w:val="1F5C7E52"/>
    <w:rsid w:val="1F7F7398"/>
    <w:rsid w:val="1FD2DB6F"/>
    <w:rsid w:val="1FF35744"/>
    <w:rsid w:val="1FF6BC77"/>
    <w:rsid w:val="1FF9236D"/>
    <w:rsid w:val="218D5528"/>
    <w:rsid w:val="2333840E"/>
    <w:rsid w:val="23860B96"/>
    <w:rsid w:val="240371BF"/>
    <w:rsid w:val="257C638F"/>
    <w:rsid w:val="29FD04D3"/>
    <w:rsid w:val="2B56346A"/>
    <w:rsid w:val="2BFF7BC6"/>
    <w:rsid w:val="2C8A61B5"/>
    <w:rsid w:val="2CD59C95"/>
    <w:rsid w:val="2DF04E50"/>
    <w:rsid w:val="2EFD05E5"/>
    <w:rsid w:val="2F040D46"/>
    <w:rsid w:val="2F4F95CE"/>
    <w:rsid w:val="2FACAFDD"/>
    <w:rsid w:val="2FAE5751"/>
    <w:rsid w:val="2FB1A395"/>
    <w:rsid w:val="2FCF0B76"/>
    <w:rsid w:val="2FD9A7D8"/>
    <w:rsid w:val="319F7F4E"/>
    <w:rsid w:val="3304709D"/>
    <w:rsid w:val="36AA5135"/>
    <w:rsid w:val="36BE0DA7"/>
    <w:rsid w:val="376B6AA6"/>
    <w:rsid w:val="376D39B2"/>
    <w:rsid w:val="37E16F03"/>
    <w:rsid w:val="37F53A3B"/>
    <w:rsid w:val="383E2338"/>
    <w:rsid w:val="38D469F0"/>
    <w:rsid w:val="38F78389"/>
    <w:rsid w:val="397BAF1F"/>
    <w:rsid w:val="39E7B272"/>
    <w:rsid w:val="39F7642F"/>
    <w:rsid w:val="39FF7B37"/>
    <w:rsid w:val="3AB79AF3"/>
    <w:rsid w:val="3AFDCB77"/>
    <w:rsid w:val="3B7EF35A"/>
    <w:rsid w:val="3B9FDB6C"/>
    <w:rsid w:val="3BF5BC2F"/>
    <w:rsid w:val="3BF7C23A"/>
    <w:rsid w:val="3BFF223E"/>
    <w:rsid w:val="3C6EC0A1"/>
    <w:rsid w:val="3C7A5440"/>
    <w:rsid w:val="3CDB0824"/>
    <w:rsid w:val="3CEBA265"/>
    <w:rsid w:val="3D6A7F9F"/>
    <w:rsid w:val="3D7E7F4D"/>
    <w:rsid w:val="3D98207C"/>
    <w:rsid w:val="3D9CF30A"/>
    <w:rsid w:val="3DFF5A3E"/>
    <w:rsid w:val="3E78745D"/>
    <w:rsid w:val="3E924906"/>
    <w:rsid w:val="3EEE77E9"/>
    <w:rsid w:val="3F394AF5"/>
    <w:rsid w:val="3FBE5714"/>
    <w:rsid w:val="3FDD8615"/>
    <w:rsid w:val="3FDFB2FF"/>
    <w:rsid w:val="3FF4CAE0"/>
    <w:rsid w:val="3FF75FAF"/>
    <w:rsid w:val="3FF7B227"/>
    <w:rsid w:val="41013C1A"/>
    <w:rsid w:val="44A92FA2"/>
    <w:rsid w:val="44E268DA"/>
    <w:rsid w:val="457F4F6B"/>
    <w:rsid w:val="45C2526B"/>
    <w:rsid w:val="4737FB58"/>
    <w:rsid w:val="47ECCB02"/>
    <w:rsid w:val="47FA6A3F"/>
    <w:rsid w:val="47FD752B"/>
    <w:rsid w:val="49D7AE48"/>
    <w:rsid w:val="4A3F6C7E"/>
    <w:rsid w:val="4A627F82"/>
    <w:rsid w:val="4B0E749A"/>
    <w:rsid w:val="4B4F25DA"/>
    <w:rsid w:val="4BBB4781"/>
    <w:rsid w:val="4BD709A5"/>
    <w:rsid w:val="4BDD9BFF"/>
    <w:rsid w:val="4BE068DB"/>
    <w:rsid w:val="4D577224"/>
    <w:rsid w:val="4DBF1CEB"/>
    <w:rsid w:val="4DBF6A6B"/>
    <w:rsid w:val="4DF6A672"/>
    <w:rsid w:val="4EAB630A"/>
    <w:rsid w:val="4ECE2238"/>
    <w:rsid w:val="4F7EA413"/>
    <w:rsid w:val="4FAB812F"/>
    <w:rsid w:val="4FE9BD67"/>
    <w:rsid w:val="4FEE4C07"/>
    <w:rsid w:val="4FFB052F"/>
    <w:rsid w:val="537E6D0A"/>
    <w:rsid w:val="53AB6B88"/>
    <w:rsid w:val="53F74C96"/>
    <w:rsid w:val="5583522D"/>
    <w:rsid w:val="55AE6ED1"/>
    <w:rsid w:val="57BD3DD4"/>
    <w:rsid w:val="57F9CD1E"/>
    <w:rsid w:val="5AF92295"/>
    <w:rsid w:val="5AF9D8E9"/>
    <w:rsid w:val="5BDD38BD"/>
    <w:rsid w:val="5BDD79E6"/>
    <w:rsid w:val="5BEFC772"/>
    <w:rsid w:val="5BFF5DFC"/>
    <w:rsid w:val="5CD71FC4"/>
    <w:rsid w:val="5D1F11B5"/>
    <w:rsid w:val="5D3647F9"/>
    <w:rsid w:val="5D5C2942"/>
    <w:rsid w:val="5DA644D4"/>
    <w:rsid w:val="5DAE1B18"/>
    <w:rsid w:val="5DE7D9E5"/>
    <w:rsid w:val="5ECEC941"/>
    <w:rsid w:val="5EFF8FC6"/>
    <w:rsid w:val="5F5BA39A"/>
    <w:rsid w:val="5F7D3B79"/>
    <w:rsid w:val="5F7F4610"/>
    <w:rsid w:val="5FBF9FF3"/>
    <w:rsid w:val="5FCD4E2C"/>
    <w:rsid w:val="5FE83009"/>
    <w:rsid w:val="5FEF394A"/>
    <w:rsid w:val="5FF67715"/>
    <w:rsid w:val="61CA71D5"/>
    <w:rsid w:val="627EE9EA"/>
    <w:rsid w:val="63B23AA5"/>
    <w:rsid w:val="64177FAF"/>
    <w:rsid w:val="647F5392"/>
    <w:rsid w:val="64E322C4"/>
    <w:rsid w:val="65FB93B9"/>
    <w:rsid w:val="6633C463"/>
    <w:rsid w:val="67D55B77"/>
    <w:rsid w:val="67EE7F84"/>
    <w:rsid w:val="686F5F53"/>
    <w:rsid w:val="6ABE62D1"/>
    <w:rsid w:val="6AFFCEAF"/>
    <w:rsid w:val="6B96E9E6"/>
    <w:rsid w:val="6BCE57B5"/>
    <w:rsid w:val="6BFEA4DB"/>
    <w:rsid w:val="6BFFB662"/>
    <w:rsid w:val="6C4A05C8"/>
    <w:rsid w:val="6CFF4FB8"/>
    <w:rsid w:val="6D6BD6E0"/>
    <w:rsid w:val="6D77E73C"/>
    <w:rsid w:val="6DBF5E93"/>
    <w:rsid w:val="6DFF077E"/>
    <w:rsid w:val="6E7E3605"/>
    <w:rsid w:val="6E7FDCC7"/>
    <w:rsid w:val="6ED6A62E"/>
    <w:rsid w:val="6EE00B15"/>
    <w:rsid w:val="6EE737B2"/>
    <w:rsid w:val="6EEB2329"/>
    <w:rsid w:val="6EECE67A"/>
    <w:rsid w:val="6F6F90A8"/>
    <w:rsid w:val="6F6FB3EB"/>
    <w:rsid w:val="6F8731EA"/>
    <w:rsid w:val="6FBC2ADD"/>
    <w:rsid w:val="6FD57C00"/>
    <w:rsid w:val="6FEFFFD8"/>
    <w:rsid w:val="6FF5CC65"/>
    <w:rsid w:val="6FFB47EC"/>
    <w:rsid w:val="6FFF034A"/>
    <w:rsid w:val="712A28F1"/>
    <w:rsid w:val="715C0E4B"/>
    <w:rsid w:val="71FFD401"/>
    <w:rsid w:val="72233669"/>
    <w:rsid w:val="72734D90"/>
    <w:rsid w:val="7310626D"/>
    <w:rsid w:val="7332FE48"/>
    <w:rsid w:val="73AD73D5"/>
    <w:rsid w:val="73B6EB34"/>
    <w:rsid w:val="73FA497D"/>
    <w:rsid w:val="744731E5"/>
    <w:rsid w:val="74BBD01D"/>
    <w:rsid w:val="74ED5379"/>
    <w:rsid w:val="75DEEEC2"/>
    <w:rsid w:val="767F479D"/>
    <w:rsid w:val="76E3355F"/>
    <w:rsid w:val="76F742AF"/>
    <w:rsid w:val="76F7BE7D"/>
    <w:rsid w:val="76FF5125"/>
    <w:rsid w:val="773570D3"/>
    <w:rsid w:val="77597F31"/>
    <w:rsid w:val="776F6FFA"/>
    <w:rsid w:val="7777A522"/>
    <w:rsid w:val="77858688"/>
    <w:rsid w:val="778769C8"/>
    <w:rsid w:val="77CB741A"/>
    <w:rsid w:val="77D7BE3A"/>
    <w:rsid w:val="77DC22F5"/>
    <w:rsid w:val="797E3A6C"/>
    <w:rsid w:val="79CF70E2"/>
    <w:rsid w:val="79D7FD79"/>
    <w:rsid w:val="79E75806"/>
    <w:rsid w:val="79EE5BA4"/>
    <w:rsid w:val="7A641148"/>
    <w:rsid w:val="7A6F8BF5"/>
    <w:rsid w:val="7A894339"/>
    <w:rsid w:val="7AAB321C"/>
    <w:rsid w:val="7ACF82B5"/>
    <w:rsid w:val="7AFF28C9"/>
    <w:rsid w:val="7AFF72A0"/>
    <w:rsid w:val="7AFF7572"/>
    <w:rsid w:val="7B6C7DFB"/>
    <w:rsid w:val="7B7D76A7"/>
    <w:rsid w:val="7BAE2FE2"/>
    <w:rsid w:val="7BAF6951"/>
    <w:rsid w:val="7BBFBED0"/>
    <w:rsid w:val="7BC3E394"/>
    <w:rsid w:val="7BF3FE4C"/>
    <w:rsid w:val="7BFB5035"/>
    <w:rsid w:val="7BFDE17E"/>
    <w:rsid w:val="7CA01955"/>
    <w:rsid w:val="7CBFC87B"/>
    <w:rsid w:val="7CFE0F48"/>
    <w:rsid w:val="7D3DE31C"/>
    <w:rsid w:val="7D7EC23E"/>
    <w:rsid w:val="7D7F8A13"/>
    <w:rsid w:val="7DBBCB01"/>
    <w:rsid w:val="7DC765D0"/>
    <w:rsid w:val="7DDB0EE0"/>
    <w:rsid w:val="7DFF51D8"/>
    <w:rsid w:val="7E634199"/>
    <w:rsid w:val="7E8ADEBF"/>
    <w:rsid w:val="7EEF11D3"/>
    <w:rsid w:val="7EF78C20"/>
    <w:rsid w:val="7F3F679B"/>
    <w:rsid w:val="7F4FC4EF"/>
    <w:rsid w:val="7F5E4D54"/>
    <w:rsid w:val="7F6B75FA"/>
    <w:rsid w:val="7F9F518D"/>
    <w:rsid w:val="7FA30C79"/>
    <w:rsid w:val="7FAF8ABF"/>
    <w:rsid w:val="7FB7269E"/>
    <w:rsid w:val="7FBD6753"/>
    <w:rsid w:val="7FBFABB4"/>
    <w:rsid w:val="7FC65084"/>
    <w:rsid w:val="7FC96657"/>
    <w:rsid w:val="7FD72595"/>
    <w:rsid w:val="7FDA9588"/>
    <w:rsid w:val="7FDF220F"/>
    <w:rsid w:val="7FDF4542"/>
    <w:rsid w:val="7FDF5405"/>
    <w:rsid w:val="7FEDC251"/>
    <w:rsid w:val="7FEDC5F7"/>
    <w:rsid w:val="7FEDD9DE"/>
    <w:rsid w:val="7FEFCDB9"/>
    <w:rsid w:val="7FF5890D"/>
    <w:rsid w:val="7FF5EB09"/>
    <w:rsid w:val="7FF89B92"/>
    <w:rsid w:val="7FF8F2E7"/>
    <w:rsid w:val="7FF93490"/>
    <w:rsid w:val="7FFA6237"/>
    <w:rsid w:val="7FFB5275"/>
    <w:rsid w:val="7FFD14DE"/>
    <w:rsid w:val="7FFFF783"/>
    <w:rsid w:val="93F70A9E"/>
    <w:rsid w:val="997D060E"/>
    <w:rsid w:val="99FF2014"/>
    <w:rsid w:val="9E59F895"/>
    <w:rsid w:val="9E7DEDC1"/>
    <w:rsid w:val="9EEF2B0D"/>
    <w:rsid w:val="9FF6F2A6"/>
    <w:rsid w:val="9FFE4AD9"/>
    <w:rsid w:val="9FFF61B9"/>
    <w:rsid w:val="A6DD0D7F"/>
    <w:rsid w:val="A7955197"/>
    <w:rsid w:val="A7FE5E0E"/>
    <w:rsid w:val="ADC6F725"/>
    <w:rsid w:val="AF0FFA84"/>
    <w:rsid w:val="AF9F0A5E"/>
    <w:rsid w:val="AFEF7964"/>
    <w:rsid w:val="B27A6F28"/>
    <w:rsid w:val="B35F0D5A"/>
    <w:rsid w:val="B3F7F693"/>
    <w:rsid w:val="B3FBBB6C"/>
    <w:rsid w:val="B5FFE407"/>
    <w:rsid w:val="B7CF06AB"/>
    <w:rsid w:val="B7CFA926"/>
    <w:rsid w:val="B7F8786B"/>
    <w:rsid w:val="B9EF5647"/>
    <w:rsid w:val="BABB6AA1"/>
    <w:rsid w:val="BAFCD398"/>
    <w:rsid w:val="BAFFDA0F"/>
    <w:rsid w:val="BB2F4199"/>
    <w:rsid w:val="BBFBD24E"/>
    <w:rsid w:val="BD079C78"/>
    <w:rsid w:val="BD2DD278"/>
    <w:rsid w:val="BD733540"/>
    <w:rsid w:val="BDF7970E"/>
    <w:rsid w:val="BDFE68BD"/>
    <w:rsid w:val="BE6FC990"/>
    <w:rsid w:val="BEBE9537"/>
    <w:rsid w:val="BEFF0D62"/>
    <w:rsid w:val="BEFF90EF"/>
    <w:rsid w:val="BF3735D5"/>
    <w:rsid w:val="BF7F09AC"/>
    <w:rsid w:val="BFB3380D"/>
    <w:rsid w:val="BFB7E7A2"/>
    <w:rsid w:val="BFC2F103"/>
    <w:rsid w:val="BFD475C3"/>
    <w:rsid w:val="BFDE5EA6"/>
    <w:rsid w:val="BFEF99E9"/>
    <w:rsid w:val="BFF9E564"/>
    <w:rsid w:val="BFFF3A69"/>
    <w:rsid w:val="C7BFEF9C"/>
    <w:rsid w:val="C8BD8F25"/>
    <w:rsid w:val="C94DA72E"/>
    <w:rsid w:val="CBEEAA00"/>
    <w:rsid w:val="CC7E9ECE"/>
    <w:rsid w:val="CDBFF9FF"/>
    <w:rsid w:val="CDF78664"/>
    <w:rsid w:val="CE3FF57E"/>
    <w:rsid w:val="CF3AB4AC"/>
    <w:rsid w:val="CF6FC6F3"/>
    <w:rsid w:val="CFD3D3D7"/>
    <w:rsid w:val="CFDF1009"/>
    <w:rsid w:val="D6B7E4F6"/>
    <w:rsid w:val="D6CB2739"/>
    <w:rsid w:val="D776A8DB"/>
    <w:rsid w:val="D7B6B268"/>
    <w:rsid w:val="D7D7B16A"/>
    <w:rsid w:val="D7EF2E2A"/>
    <w:rsid w:val="D8D6DB89"/>
    <w:rsid w:val="DB6F4CAB"/>
    <w:rsid w:val="DB777682"/>
    <w:rsid w:val="DBDDA52A"/>
    <w:rsid w:val="DCFFC0D1"/>
    <w:rsid w:val="DD1FB521"/>
    <w:rsid w:val="DDCB2E5E"/>
    <w:rsid w:val="DDFE75CA"/>
    <w:rsid w:val="DEFBBE33"/>
    <w:rsid w:val="DEFBFEAE"/>
    <w:rsid w:val="DF1F3B80"/>
    <w:rsid w:val="DF6F9789"/>
    <w:rsid w:val="DF9B8D55"/>
    <w:rsid w:val="DF9D198A"/>
    <w:rsid w:val="DFDF1D8E"/>
    <w:rsid w:val="DFEFC58B"/>
    <w:rsid w:val="DFF5F241"/>
    <w:rsid w:val="DFFFA9E8"/>
    <w:rsid w:val="E37D5D3F"/>
    <w:rsid w:val="E3FFE98D"/>
    <w:rsid w:val="E5F4E9DC"/>
    <w:rsid w:val="E67FF583"/>
    <w:rsid w:val="E70FE695"/>
    <w:rsid w:val="E7676621"/>
    <w:rsid w:val="E76B2B9A"/>
    <w:rsid w:val="E7AB7A34"/>
    <w:rsid w:val="E7DF1E20"/>
    <w:rsid w:val="E7FF6381"/>
    <w:rsid w:val="E9A30291"/>
    <w:rsid w:val="EBBF924C"/>
    <w:rsid w:val="ECFED1BC"/>
    <w:rsid w:val="ED1D69BB"/>
    <w:rsid w:val="ED2C2584"/>
    <w:rsid w:val="ED7FD312"/>
    <w:rsid w:val="EDBE03E0"/>
    <w:rsid w:val="EDD1A84A"/>
    <w:rsid w:val="EDFF8263"/>
    <w:rsid w:val="EE1FA0C7"/>
    <w:rsid w:val="EF53993F"/>
    <w:rsid w:val="EF7B8152"/>
    <w:rsid w:val="EF8E27E2"/>
    <w:rsid w:val="EFBFB2F4"/>
    <w:rsid w:val="EFBFFA21"/>
    <w:rsid w:val="EFDF4337"/>
    <w:rsid w:val="EFF7097E"/>
    <w:rsid w:val="F2BEBCB8"/>
    <w:rsid w:val="F36FB518"/>
    <w:rsid w:val="F3DE1A04"/>
    <w:rsid w:val="F3E244FA"/>
    <w:rsid w:val="F3EFB7CA"/>
    <w:rsid w:val="F3F722E5"/>
    <w:rsid w:val="F699BB1A"/>
    <w:rsid w:val="F6DEABFE"/>
    <w:rsid w:val="F7B650C7"/>
    <w:rsid w:val="F7EF9033"/>
    <w:rsid w:val="F7FDC2B1"/>
    <w:rsid w:val="F8DDDAC6"/>
    <w:rsid w:val="F96B55C8"/>
    <w:rsid w:val="FA2F5BEB"/>
    <w:rsid w:val="FA5F1E70"/>
    <w:rsid w:val="FA5FDB97"/>
    <w:rsid w:val="FB1BB959"/>
    <w:rsid w:val="FB75E3C8"/>
    <w:rsid w:val="FB7F461B"/>
    <w:rsid w:val="FB7F486A"/>
    <w:rsid w:val="FB7F6E28"/>
    <w:rsid w:val="FB8778F4"/>
    <w:rsid w:val="FBB61866"/>
    <w:rsid w:val="FBEE055A"/>
    <w:rsid w:val="FBF91527"/>
    <w:rsid w:val="FBFD1260"/>
    <w:rsid w:val="FBFF5B2E"/>
    <w:rsid w:val="FC833EBB"/>
    <w:rsid w:val="FCFE0B49"/>
    <w:rsid w:val="FD4B388D"/>
    <w:rsid w:val="FD77A83C"/>
    <w:rsid w:val="FD7FFE2B"/>
    <w:rsid w:val="FDADA43D"/>
    <w:rsid w:val="FDBDC432"/>
    <w:rsid w:val="FDEB412A"/>
    <w:rsid w:val="FDEE196B"/>
    <w:rsid w:val="FDEF50BC"/>
    <w:rsid w:val="FDFD5EC3"/>
    <w:rsid w:val="FDFE6575"/>
    <w:rsid w:val="FE9E11AB"/>
    <w:rsid w:val="FEBF38CD"/>
    <w:rsid w:val="FEDFDDC2"/>
    <w:rsid w:val="FEEB4E4D"/>
    <w:rsid w:val="FEED32F6"/>
    <w:rsid w:val="FEF781DD"/>
    <w:rsid w:val="FEF9D8C4"/>
    <w:rsid w:val="FF3F7E3F"/>
    <w:rsid w:val="FF3FF759"/>
    <w:rsid w:val="FF4749A3"/>
    <w:rsid w:val="FF4D3A28"/>
    <w:rsid w:val="FF5913BC"/>
    <w:rsid w:val="FF7F1E7E"/>
    <w:rsid w:val="FF9BAA5C"/>
    <w:rsid w:val="FFA57884"/>
    <w:rsid w:val="FFB513DD"/>
    <w:rsid w:val="FFBA12D7"/>
    <w:rsid w:val="FFBFE8C6"/>
    <w:rsid w:val="FFCF2925"/>
    <w:rsid w:val="FFD33B6C"/>
    <w:rsid w:val="FFDAD824"/>
    <w:rsid w:val="FFDE4064"/>
    <w:rsid w:val="FFDEA9D8"/>
    <w:rsid w:val="FFDF2DEC"/>
    <w:rsid w:val="FFDF624E"/>
    <w:rsid w:val="FFDF6BC0"/>
    <w:rsid w:val="FFDFFAEE"/>
    <w:rsid w:val="FFE3BA41"/>
    <w:rsid w:val="FFE3BED4"/>
    <w:rsid w:val="FFF316C1"/>
    <w:rsid w:val="FFF63ECC"/>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customStyle="1" w:styleId="2">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paragraph" w:styleId="6">
    <w:name w:val="Body Text"/>
    <w:basedOn w:val="1"/>
    <w:link w:val="25"/>
    <w:qFormat/>
    <w:uiPriority w:val="99"/>
    <w:pPr>
      <w:spacing w:beforeLines="30"/>
    </w:pPr>
    <w:rPr>
      <w:rFonts w:ascii="仿宋_GB2312" w:eastAsia="仿宋_GB2312"/>
      <w:kern w:val="0"/>
      <w:sz w:val="30"/>
    </w:rPr>
  </w:style>
  <w:style w:type="paragraph" w:styleId="7">
    <w:name w:val="Body Text Indent"/>
    <w:basedOn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1"/>
    <w:semiHidden/>
    <w:unhideWhenUsed/>
    <w:qFormat/>
    <w:uiPriority w:val="99"/>
    <w:rPr>
      <w:sz w:val="18"/>
      <w:szCs w:val="18"/>
    </w:rPr>
  </w:style>
  <w:style w:type="paragraph" w:styleId="10">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styleId="14">
    <w:name w:val="Normal (Web)"/>
    <w:basedOn w:val="1"/>
    <w:qFormat/>
    <w:uiPriority w:val="0"/>
    <w:pPr>
      <w:spacing w:beforeAutospacing="1" w:afterAutospacing="1"/>
      <w:jc w:val="left"/>
    </w:pPr>
    <w:rPr>
      <w:kern w:val="0"/>
      <w:sz w:val="24"/>
    </w:rPr>
  </w:style>
  <w:style w:type="paragraph" w:styleId="15">
    <w:name w:val="Body Text First Indent 2"/>
    <w:basedOn w:val="7"/>
    <w:unhideWhenUsed/>
    <w:qFormat/>
    <w:uiPriority w:val="99"/>
    <w:pPr>
      <w:ind w:firstLine="420" w:firstLineChars="200"/>
    </w:pPr>
  </w:style>
  <w:style w:type="character" w:styleId="18">
    <w:name w:val="Strong"/>
    <w:basedOn w:val="17"/>
    <w:qFormat/>
    <w:uiPriority w:val="99"/>
    <w:rPr>
      <w:b/>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customStyle="1" w:styleId="20">
    <w:name w:val="Header Char"/>
    <w:basedOn w:val="17"/>
    <w:semiHidden/>
    <w:qFormat/>
    <w:uiPriority w:val="99"/>
    <w:rPr>
      <w:rFonts w:ascii="Times New Roman" w:hAnsi="Times New Roman"/>
      <w:sz w:val="18"/>
      <w:szCs w:val="18"/>
    </w:rPr>
  </w:style>
  <w:style w:type="character" w:customStyle="1" w:styleId="21">
    <w:name w:val="页眉 Char"/>
    <w:link w:val="11"/>
    <w:semiHidden/>
    <w:qFormat/>
    <w:locked/>
    <w:uiPriority w:val="99"/>
    <w:rPr>
      <w:sz w:val="18"/>
    </w:rPr>
  </w:style>
  <w:style w:type="character" w:customStyle="1" w:styleId="22">
    <w:name w:val="Footer Char"/>
    <w:basedOn w:val="17"/>
    <w:semiHidden/>
    <w:qFormat/>
    <w:uiPriority w:val="99"/>
    <w:rPr>
      <w:rFonts w:ascii="Times New Roman" w:hAnsi="Times New Roman"/>
      <w:sz w:val="18"/>
      <w:szCs w:val="18"/>
    </w:rPr>
  </w:style>
  <w:style w:type="character" w:customStyle="1" w:styleId="23">
    <w:name w:val="页脚 Char"/>
    <w:link w:val="10"/>
    <w:qFormat/>
    <w:locked/>
    <w:uiPriority w:val="99"/>
    <w:rPr>
      <w:sz w:val="18"/>
    </w:rPr>
  </w:style>
  <w:style w:type="character" w:customStyle="1" w:styleId="24">
    <w:name w:val="Body Text Char"/>
    <w:basedOn w:val="17"/>
    <w:semiHidden/>
    <w:qFormat/>
    <w:uiPriority w:val="99"/>
    <w:rPr>
      <w:rFonts w:ascii="Times New Roman" w:hAnsi="Times New Roman"/>
      <w:szCs w:val="24"/>
    </w:rPr>
  </w:style>
  <w:style w:type="character" w:customStyle="1" w:styleId="25">
    <w:name w:val="正文文本 Char"/>
    <w:link w:val="6"/>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Char"/>
    <w:basedOn w:val="17"/>
    <w:link w:val="3"/>
    <w:qFormat/>
    <w:uiPriority w:val="9"/>
    <w:rPr>
      <w:rFonts w:ascii="Times New Roman" w:hAnsi="Times New Roman"/>
      <w:b/>
      <w:bCs/>
      <w:kern w:val="44"/>
      <w:sz w:val="44"/>
      <w:szCs w:val="44"/>
    </w:rPr>
  </w:style>
  <w:style w:type="character" w:customStyle="1" w:styleId="29">
    <w:name w:val="标题 2 Char"/>
    <w:basedOn w:val="17"/>
    <w:link w:val="4"/>
    <w:qFormat/>
    <w:uiPriority w:val="9"/>
    <w:rPr>
      <w:rFonts w:asciiTheme="majorHAnsi" w:hAnsiTheme="majorHAnsi" w:eastAsiaTheme="majorEastAsia" w:cstheme="majorBidi"/>
      <w:b/>
      <w:bCs/>
      <w:kern w:val="2"/>
      <w:sz w:val="32"/>
      <w:szCs w:val="32"/>
    </w:rPr>
  </w:style>
  <w:style w:type="paragraph" w:customStyle="1" w:styleId="30">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Char"/>
    <w:basedOn w:val="17"/>
    <w:link w:val="9"/>
    <w:semiHidden/>
    <w:qFormat/>
    <w:uiPriority w:val="99"/>
    <w:rPr>
      <w:rFonts w:ascii="Times New Roman" w:hAnsi="Times New Roman"/>
      <w:kern w:val="2"/>
      <w:sz w:val="18"/>
      <w:szCs w:val="18"/>
    </w:rPr>
  </w:style>
  <w:style w:type="character" w:customStyle="1" w:styleId="32">
    <w:name w:val="标题 3 Char"/>
    <w:basedOn w:val="17"/>
    <w:link w:val="5"/>
    <w:qFormat/>
    <w:uiPriority w:val="9"/>
    <w:rPr>
      <w:rFonts w:ascii="Times New Roman" w:hAnsi="Times New Roman"/>
      <w:b/>
      <w:bCs/>
      <w:kern w:val="2"/>
      <w:sz w:val="32"/>
      <w:szCs w:val="32"/>
    </w:rPr>
  </w:style>
  <w:style w:type="paragraph" w:customStyle="1" w:styleId="33">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4">
    <w:name w:val="四号正文"/>
    <w:basedOn w:val="1"/>
    <w:qFormat/>
    <w:uiPriority w:val="0"/>
    <w:pPr>
      <w:spacing w:line="360" w:lineRule="auto"/>
    </w:pPr>
    <w:rPr>
      <w:rFonts w:ascii="??" w:hAnsi="??"/>
      <w:color w:val="000000"/>
      <w:kern w:val="0"/>
      <w:sz w:val="28"/>
      <w:szCs w:val="21"/>
      <w:lang w:val="zh-CN"/>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chart" Target="charts/chart7.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theme" Target="theme/theme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istrator\Desktop\&#24037;&#20316;&#31807;1.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Administrator\Desktop\&#24037;&#20316;&#31807;1.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Administrator\Desktop\&#24037;&#20316;&#31807;1.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Administrator\Desktop\&#24037;&#20316;&#31807;1.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C:\Users\Administrator\Desktop\&#24037;&#20316;&#31807;1.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Administrator\Desktop\&#24037;&#20316;&#31807;1.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C:\Users\Administrator\Desktop\&#24037;&#20316;&#31807;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收、支总计决算变动表（万元）</a:t>
            </a:r>
            <a:endParaRPr lang="zh-CN" altLang="en-US"/>
          </a:p>
        </c:rich>
      </c:tx>
      <c:layout/>
      <c:overlay val="0"/>
      <c:spPr>
        <a:noFill/>
        <a:ln>
          <a:noFill/>
        </a:ln>
        <a:effectLst/>
      </c:spPr>
    </c:title>
    <c:autoTitleDeleted val="0"/>
    <c:plotArea>
      <c:layout/>
      <c:barChart>
        <c:barDir val="col"/>
        <c:grouping val="clustered"/>
        <c:varyColors val="0"/>
        <c:ser>
          <c:idx val="0"/>
          <c:order val="0"/>
          <c:tx>
            <c:strRef>
              <c:f>[工作簿1.xlsx]Sheet1!$C$1:$C$2</c:f>
              <c:strCache>
                <c:ptCount val="1"/>
                <c:pt idx="0">
                  <c:v>2022年</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[工作簿1.xlsx]Sheet1!$B$3:$B$4</c:f>
              <c:strCache>
                <c:ptCount val="2"/>
                <c:pt idx="0">
                  <c:v>收入</c:v>
                </c:pt>
                <c:pt idx="1">
                  <c:v>支出</c:v>
                </c:pt>
              </c:strCache>
            </c:strRef>
          </c:cat>
          <c:val>
            <c:numRef>
              <c:f>[工作簿1.xlsx]Sheet1!$C$3:$C$4</c:f>
              <c:numCache>
                <c:formatCode>General</c:formatCode>
                <c:ptCount val="2"/>
                <c:pt idx="0">
                  <c:v>285.95</c:v>
                </c:pt>
                <c:pt idx="1">
                  <c:v>285.95</c:v>
                </c:pt>
              </c:numCache>
            </c:numRef>
          </c:val>
        </c:ser>
        <c:ser>
          <c:idx val="1"/>
          <c:order val="1"/>
          <c:tx>
            <c:strRef>
              <c:f>[工作簿1.xlsx]Sheet1!$D$1:$D$2</c:f>
              <c:strCache>
                <c:ptCount val="1"/>
                <c:pt idx="0">
                  <c:v>2023年</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[工作簿1.xlsx]Sheet1!$B$3:$B$4</c:f>
              <c:strCache>
                <c:ptCount val="2"/>
                <c:pt idx="0">
                  <c:v>收入</c:v>
                </c:pt>
                <c:pt idx="1">
                  <c:v>支出</c:v>
                </c:pt>
              </c:strCache>
            </c:strRef>
          </c:cat>
          <c:val>
            <c:numRef>
              <c:f>[工作簿1.xlsx]Sheet1!$D$3:$D$4</c:f>
              <c:numCache>
                <c:formatCode>General</c:formatCode>
                <c:ptCount val="2"/>
                <c:pt idx="0">
                  <c:v>601.63</c:v>
                </c:pt>
                <c:pt idx="1">
                  <c:v>601.63</c:v>
                </c:pt>
              </c:numCache>
            </c:numRef>
          </c:val>
        </c:ser>
        <c:dLbls>
          <c:showLegendKey val="0"/>
          <c:showVal val="1"/>
          <c:showCatName val="0"/>
          <c:showSerName val="0"/>
          <c:showPercent val="0"/>
          <c:showBubbleSize val="0"/>
        </c:dLbls>
        <c:gapWidth val="219"/>
        <c:overlap val="-27"/>
        <c:axId val="844880264"/>
        <c:axId val="844882616"/>
      </c:barChart>
      <c:catAx>
        <c:axId val="844880264"/>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44882616"/>
        <c:crosses val="autoZero"/>
        <c:auto val="1"/>
        <c:lblAlgn val="ctr"/>
        <c:lblOffset val="100"/>
        <c:noMultiLvlLbl val="0"/>
      </c:catAx>
      <c:valAx>
        <c:axId val="84488261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44880264"/>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f1c72959-4880-4085-abb2-a878508f189c}"/>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[工作簿1.xlsx]Sheet1!$C$8</c:f>
              <c:strCache>
                <c:ptCount val="1"/>
                <c:pt idx="0">
                  <c:v>一般公共预算财政拨款收入（万元）</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Pt>
            <c:idx val="7"/>
            <c:bubble3D val="0"/>
            <c:spPr>
              <a:solidFill>
                <a:schemeClr val="accent2">
                  <a:lumMod val="60000"/>
                </a:schemeClr>
              </a:solidFill>
              <a:ln w="19050">
                <a:solidFill>
                  <a:schemeClr val="lt1"/>
                </a:solidFill>
              </a:ln>
              <a:effectLst/>
            </c:spPr>
          </c:dPt>
          <c:dLbls>
            <c:dLbl>
              <c:idx val="0"/>
              <c:layout>
                <c:manualLayout>
                  <c:x val="0.129166666666667"/>
                  <c:y val="-0.243055555555556"/>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1"/>
              <c:showSerName val="0"/>
              <c:showPercent val="1"/>
              <c:showBubbleSize val="0"/>
              <c:separator>
</c:separator>
              <c:extLs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[工作簿1.xlsx]Sheet1!$B$9:$B$16</c:f>
              <c:strCache>
                <c:ptCount val="8"/>
                <c:pt idx="0">
                  <c:v>一般公共预算财政拨款收入</c:v>
                </c:pt>
                <c:pt idx="1">
                  <c:v>政府性基金预算</c:v>
                </c:pt>
                <c:pt idx="2">
                  <c:v>国有资本经营预算财政拨款收入</c:v>
                </c:pt>
                <c:pt idx="3">
                  <c:v>上级补助收入</c:v>
                </c:pt>
                <c:pt idx="4">
                  <c:v>事业收入</c:v>
                </c:pt>
                <c:pt idx="5">
                  <c:v>经营收入</c:v>
                </c:pt>
                <c:pt idx="6">
                  <c:v>附属单位上缴收入</c:v>
                </c:pt>
                <c:pt idx="7">
                  <c:v>其他收入</c:v>
                </c:pt>
              </c:strCache>
            </c:strRef>
          </c:cat>
          <c:val>
            <c:numRef>
              <c:f>[工作簿1.xlsx]Sheet1!$C$9:$C$16</c:f>
              <c:numCache>
                <c:formatCode>General</c:formatCode>
                <c:ptCount val="8"/>
                <c:pt idx="0">
                  <c:v>601.63</c:v>
                </c:pt>
              </c:numCache>
            </c:numRef>
          </c:val>
        </c:ser>
        <c:dLbls>
          <c:showLegendKey val="0"/>
          <c:showVal val="1"/>
          <c:showCatName val="1"/>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2cd3220c-a581-4fbb-a8f2-9b74fcc5a2bb}"/>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支出决算结构图（万元）</a:t>
            </a:r>
            <a:endParaRPr lang="zh-CN" altLang="en-US"/>
          </a:p>
        </c:rich>
      </c:tx>
      <c:layout>
        <c:manualLayout>
          <c:xMode val="edge"/>
          <c:yMode val="edge"/>
          <c:x val="0.332463194601665"/>
          <c:y val="0.0119655392469687"/>
        </c:manualLayout>
      </c:layout>
      <c:overlay val="0"/>
      <c:spPr>
        <a:noFill/>
        <a:ln>
          <a:noFill/>
        </a:ln>
        <a:effectLst/>
      </c:sp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Lbl>
              <c:idx val="1"/>
              <c:layout/>
              <c:tx>
                <c:rich>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rPr lang="zh-CN" altLang="en-US"/>
                      <a:t>项目支出</a:t>
                    </a:r>
                    <a:endParaRPr lang="zh-CN" altLang="en-US"/>
                  </a:p>
                  <a:p>
                    <a:pPr>
                      <a:defRPr lang="zh-CN" sz="900" b="0" i="0" u="none" strike="noStrike" kern="1200" baseline="0">
                        <a:solidFill>
                          <a:schemeClr val="tx1">
                            <a:lumMod val="75000"/>
                            <a:lumOff val="25000"/>
                          </a:schemeClr>
                        </a:solidFill>
                        <a:latin typeface="+mn-lt"/>
                        <a:ea typeface="+mn-ea"/>
                        <a:cs typeface="+mn-cs"/>
                      </a:defRPr>
                    </a:pPr>
                    <a:r>
                      <a:rPr lang="en-US" altLang="zh-CN"/>
                      <a:t>181.56</a:t>
                    </a:r>
                    <a:endParaRPr lang="en-US" altLang="zh-CN"/>
                  </a:p>
                  <a:p>
                    <a:pPr>
                      <a:defRPr lang="zh-CN" sz="900" b="0" i="0" u="none" strike="noStrike" kern="1200" baseline="0">
                        <a:solidFill>
                          <a:schemeClr val="tx1">
                            <a:lumMod val="75000"/>
                            <a:lumOff val="25000"/>
                          </a:schemeClr>
                        </a:solidFill>
                        <a:latin typeface="+mn-lt"/>
                        <a:ea typeface="+mn-ea"/>
                        <a:cs typeface="+mn-cs"/>
                      </a:defRPr>
                    </a:pPr>
                    <a:r>
                      <a:rPr lang="en-US" altLang="zh-CN"/>
                      <a:t>30.18%</a:t>
                    </a:r>
                    <a:endParaRPr lang="en-US" altLang="zh-CN"/>
                  </a:p>
                </c:rich>
              </c:tx>
              <c:dLblPos val="outEnd"/>
              <c:showLegendKey val="1"/>
              <c:showVal val="1"/>
              <c:showCatName val="1"/>
              <c:showSerName val="0"/>
              <c:showPercent val="1"/>
              <c:showBubbleSize val="0"/>
              <c:separator>
</c:separator>
              <c:extLst>
                <c:ext xmlns:c15="http://schemas.microsoft.com/office/drawing/2012/chart" uri="{CE6537A1-D6FC-4f65-9D91-7224C49458BB}"/>
              </c:extLst>
            </c:dLbl>
            <c:numFmt formatCode="0.00%"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1"/>
            <c:showVal val="1"/>
            <c:showCatName val="1"/>
            <c:showSerName val="0"/>
            <c:showPercent val="1"/>
            <c:showBubbleSize val="0"/>
            <c:separator>
</c:separator>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[工作簿1.xlsx]Sheet1!$B$18:$B$19</c:f>
              <c:strCache>
                <c:ptCount val="2"/>
                <c:pt idx="0">
                  <c:v>基本支出</c:v>
                </c:pt>
                <c:pt idx="1">
                  <c:v>项目支出</c:v>
                </c:pt>
              </c:strCache>
            </c:strRef>
          </c:cat>
          <c:val>
            <c:numRef>
              <c:f>[工作簿1.xlsx]Sheet1!$C$18:$C$19</c:f>
              <c:numCache>
                <c:formatCode>General</c:formatCode>
                <c:ptCount val="2"/>
                <c:pt idx="0">
                  <c:v>420.07</c:v>
                </c:pt>
                <c:pt idx="1">
                  <c:v>181.57</c:v>
                </c:pt>
              </c:numCache>
            </c:numRef>
          </c:val>
        </c:ser>
        <c:dLbls>
          <c:showLegendKey val="1"/>
          <c:showVal val="1"/>
          <c:showCatName val="1"/>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3f7ff503-af02-4183-8494-09fdb04c8d96}"/>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财政拨款收支决算总计表（万元）</a:t>
            </a:r>
            <a:endParaRPr lang="zh-CN" altLang="en-US"/>
          </a:p>
        </c:rich>
      </c:tx>
      <c:layout>
        <c:manualLayout>
          <c:xMode val="edge"/>
          <c:yMode val="edge"/>
          <c:x val="0.221944444444444"/>
          <c:y val="0.03125"/>
        </c:manualLayout>
      </c:layout>
      <c:overlay val="0"/>
      <c:spPr>
        <a:noFill/>
        <a:ln>
          <a:noFill/>
        </a:ln>
        <a:effectLst/>
      </c:spPr>
    </c:title>
    <c:autoTitleDeleted val="0"/>
    <c:plotArea>
      <c:layout/>
      <c:barChart>
        <c:barDir val="col"/>
        <c:grouping val="clustered"/>
        <c:varyColors val="0"/>
        <c:ser>
          <c:idx val="0"/>
          <c:order val="0"/>
          <c:tx>
            <c:strRef>
              <c:f>[工作簿1.xlsx]Sheet1!$B$36</c:f>
              <c:strCache>
                <c:ptCount val="1"/>
                <c:pt idx="0">
                  <c:v>2022年</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[工作簿1.xlsx]Sheet1!$C$35:$D$35</c:f>
              <c:strCache>
                <c:ptCount val="2"/>
                <c:pt idx="0">
                  <c:v>财政拨款收入</c:v>
                </c:pt>
                <c:pt idx="1">
                  <c:v>财政拨款支出</c:v>
                </c:pt>
              </c:strCache>
            </c:strRef>
          </c:cat>
          <c:val>
            <c:numRef>
              <c:f>[工作簿1.xlsx]Sheet1!$C$36:$D$36</c:f>
              <c:numCache>
                <c:formatCode>General</c:formatCode>
                <c:ptCount val="2"/>
                <c:pt idx="0">
                  <c:v>285.95</c:v>
                </c:pt>
                <c:pt idx="1">
                  <c:v>285.95</c:v>
                </c:pt>
              </c:numCache>
            </c:numRef>
          </c:val>
        </c:ser>
        <c:ser>
          <c:idx val="1"/>
          <c:order val="1"/>
          <c:tx>
            <c:strRef>
              <c:f>[工作簿1.xlsx]Sheet1!$B$37</c:f>
              <c:strCache>
                <c:ptCount val="1"/>
                <c:pt idx="0">
                  <c:v>2023年</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[工作簿1.xlsx]Sheet1!$C$35:$D$35</c:f>
              <c:strCache>
                <c:ptCount val="2"/>
                <c:pt idx="0">
                  <c:v>财政拨款收入</c:v>
                </c:pt>
                <c:pt idx="1">
                  <c:v>财政拨款支出</c:v>
                </c:pt>
              </c:strCache>
            </c:strRef>
          </c:cat>
          <c:val>
            <c:numRef>
              <c:f>[工作簿1.xlsx]Sheet1!$C$37:$D$37</c:f>
              <c:numCache>
                <c:formatCode>General</c:formatCode>
                <c:ptCount val="2"/>
                <c:pt idx="0">
                  <c:v>601.63</c:v>
                </c:pt>
                <c:pt idx="1">
                  <c:v>601.63</c:v>
                </c:pt>
              </c:numCache>
            </c:numRef>
          </c:val>
        </c:ser>
        <c:dLbls>
          <c:showLegendKey val="0"/>
          <c:showVal val="0"/>
          <c:showCatName val="0"/>
          <c:showSerName val="0"/>
          <c:showPercent val="0"/>
          <c:showBubbleSize val="0"/>
        </c:dLbls>
        <c:gapWidth val="219"/>
        <c:overlap val="-27"/>
        <c:axId val="844887320"/>
        <c:axId val="844884968"/>
      </c:barChart>
      <c:catAx>
        <c:axId val="844887320"/>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44884968"/>
        <c:crosses val="autoZero"/>
        <c:auto val="1"/>
        <c:lblAlgn val="ctr"/>
        <c:lblOffset val="100"/>
        <c:noMultiLvlLbl val="0"/>
      </c:catAx>
      <c:valAx>
        <c:axId val="84488496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4488732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59cecd4f-4c46-4167-9237-910454ea567a}"/>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barChart>
        <c:barDir val="col"/>
        <c:grouping val="clustered"/>
        <c:varyColors val="0"/>
        <c:ser>
          <c:idx val="0"/>
          <c:order val="0"/>
          <c:tx>
            <c:strRef>
              <c:f>[工作簿1.xlsx]Sheet1!$C$54</c:f>
              <c:strCache>
                <c:ptCount val="1"/>
                <c:pt idx="0">
                  <c:v>一般公共预算财政拨款支出（万元）</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[工作簿1.xlsx]Sheet1!$B$55:$B$56</c:f>
              <c:strCache>
                <c:ptCount val="2"/>
                <c:pt idx="0">
                  <c:v>2022年</c:v>
                </c:pt>
                <c:pt idx="1">
                  <c:v>2023年</c:v>
                </c:pt>
              </c:strCache>
            </c:strRef>
          </c:cat>
          <c:val>
            <c:numRef>
              <c:f>[工作簿1.xlsx]Sheet1!$C$55:$C$56</c:f>
              <c:numCache>
                <c:formatCode>General</c:formatCode>
                <c:ptCount val="2"/>
                <c:pt idx="0">
                  <c:v>285.95</c:v>
                </c:pt>
                <c:pt idx="1">
                  <c:v>601.63</c:v>
                </c:pt>
              </c:numCache>
            </c:numRef>
          </c:val>
        </c:ser>
        <c:dLbls>
          <c:showLegendKey val="0"/>
          <c:showVal val="1"/>
          <c:showCatName val="0"/>
          <c:showSerName val="0"/>
          <c:showPercent val="0"/>
          <c:showBubbleSize val="0"/>
        </c:dLbls>
        <c:gapWidth val="219"/>
        <c:overlap val="-27"/>
        <c:axId val="846497192"/>
        <c:axId val="846499544"/>
      </c:barChart>
      <c:catAx>
        <c:axId val="846497192"/>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46499544"/>
        <c:crosses val="autoZero"/>
        <c:auto val="1"/>
        <c:lblAlgn val="ctr"/>
        <c:lblOffset val="100"/>
        <c:noMultiLvlLbl val="0"/>
      </c:catAx>
      <c:valAx>
        <c:axId val="84649954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46497192"/>
        <c:crosses val="autoZero"/>
        <c:crossBetween val="between"/>
      </c:valAx>
      <c:spPr>
        <a:noFill/>
        <a:ln>
          <a:noFill/>
        </a:ln>
        <a:effectLst/>
      </c:spPr>
    </c:plotArea>
    <c:plotVisOnly val="1"/>
    <c:dispBlanksAs val="gap"/>
    <c:showDLblsOverMax val="0"/>
    <c:extLst>
      <c:ext uri="{0b15fc19-7d7d-44ad-8c2d-2c3a37ce22c3}">
        <chartProps xmlns="https://web.wps.cn/et/2018/main" chartId="{686cd29f-cbd0-44ab-bae3-a73d4e7c8293}"/>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一般公共预算财政拨款支出决算结构（万元）</a:t>
            </a:r>
            <a:endParaRPr lang="zh-CN" altLang="en-US"/>
          </a:p>
        </c:rich>
      </c:tx>
      <c:layout>
        <c:manualLayout>
          <c:xMode val="edge"/>
          <c:yMode val="edge"/>
          <c:x val="0.207945597709377"/>
          <c:y val="0.0170787247885491"/>
        </c:manualLayout>
      </c:layout>
      <c:overlay val="0"/>
      <c:spPr>
        <a:noFill/>
        <a:ln>
          <a:noFill/>
        </a:ln>
        <a:effectLst/>
      </c:spPr>
    </c:title>
    <c:autoTitleDeleted val="0"/>
    <c:plotArea>
      <c:layout>
        <c:manualLayout>
          <c:layoutTarget val="inner"/>
          <c:xMode val="edge"/>
          <c:yMode val="edge"/>
          <c:x val="0.294077103998364"/>
          <c:y val="0.169938191281718"/>
          <c:w val="0.424116985376828"/>
          <c:h val="0.674599869876383"/>
        </c:manualLayout>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dLbl>
              <c:idx val="2"/>
              <c:layout>
                <c:manualLayout>
                  <c:x val="-0.128847530422334"/>
                  <c:y val="0.0458648806057076"/>
                </c:manualLayout>
              </c:layout>
              <c:dLblPos val="bestFit"/>
              <c:showLegendKey val="1"/>
              <c:showVal val="1"/>
              <c:showCatName val="0"/>
              <c:showSerName val="0"/>
              <c:showPercent val="1"/>
              <c:showBubbleSize val="0"/>
              <c:separator>
</c:separator>
              <c:extLst>
                <c:ext xmlns:c15="http://schemas.microsoft.com/office/drawing/2012/chart" uri="{CE6537A1-D6FC-4f65-9D91-7224C49458BB}">
                  <c15:layout/>
                </c:ext>
              </c:extLst>
            </c:dLbl>
            <c:dLbl>
              <c:idx val="3"/>
              <c:layout>
                <c:manualLayout>
                  <c:x val="-0.0975814128949938"/>
                  <c:y val="0.00319591041272251"/>
                </c:manualLayout>
              </c:layout>
              <c:dLblPos val="bestFit"/>
              <c:showLegendKey val="1"/>
              <c:showVal val="1"/>
              <c:showCatName val="0"/>
              <c:showSerName val="0"/>
              <c:showPercent val="1"/>
              <c:showBubbleSize val="0"/>
              <c:separator>
</c:separator>
              <c:extLst>
                <c:ext xmlns:c15="http://schemas.microsoft.com/office/drawing/2012/chart" uri="{CE6537A1-D6FC-4f65-9D91-7224C49458BB}">
                  <c15:layout/>
                </c:ext>
              </c:extLst>
            </c:dLbl>
            <c:dLbl>
              <c:idx val="4"/>
              <c:layout>
                <c:manualLayout>
                  <c:x val="0.0950724046006696"/>
                  <c:y val="-0.0141427635580888"/>
                </c:manualLayout>
              </c:layout>
              <c:dLblPos val="bestFit"/>
              <c:showLegendKey val="1"/>
              <c:showVal val="1"/>
              <c:showCatName val="0"/>
              <c:showSerName val="0"/>
              <c:showPercent val="1"/>
              <c:showBubbleSize val="0"/>
              <c:separator>
</c:separator>
              <c:extLst>
                <c:ext xmlns:c15="http://schemas.microsoft.com/office/drawing/2012/chart" uri="{CE6537A1-D6FC-4f65-9D91-7224C49458BB}">
                  <c15:layout/>
                </c:ext>
              </c:extLst>
            </c:dLbl>
            <c:numFmt formatCode="0.00%"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1"/>
            <c:showVal val="1"/>
            <c:showCatName val="0"/>
            <c:showSerName val="0"/>
            <c:showPercent val="1"/>
            <c:showBubbleSize val="0"/>
            <c:separator>
</c:separator>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[工作簿1.xlsx]Sheet1!$B$80:$B$84</c:f>
              <c:strCache>
                <c:ptCount val="5"/>
                <c:pt idx="0">
                  <c:v>一般公共服务支出</c:v>
                </c:pt>
                <c:pt idx="1">
                  <c:v>教育支出</c:v>
                </c:pt>
                <c:pt idx="2">
                  <c:v>社会保障和就业支出</c:v>
                </c:pt>
                <c:pt idx="3">
                  <c:v>卫生健康支出</c:v>
                </c:pt>
                <c:pt idx="4">
                  <c:v>住房保障支出</c:v>
                </c:pt>
              </c:strCache>
            </c:strRef>
          </c:cat>
          <c:val>
            <c:numRef>
              <c:f>[工作簿1.xlsx]Sheet1!$C$80:$C$84</c:f>
              <c:numCache>
                <c:formatCode>General</c:formatCode>
                <c:ptCount val="5"/>
                <c:pt idx="0">
                  <c:v>178.04</c:v>
                </c:pt>
                <c:pt idx="1">
                  <c:v>337.26</c:v>
                </c:pt>
                <c:pt idx="2">
                  <c:v>44.09</c:v>
                </c:pt>
                <c:pt idx="3">
                  <c:v>21.98</c:v>
                </c:pt>
                <c:pt idx="4">
                  <c:v>20.26</c:v>
                </c:pt>
              </c:numCache>
            </c:numRef>
          </c:val>
        </c:ser>
        <c:dLbls>
          <c:showLegendKey val="1"/>
          <c:showVal val="1"/>
          <c:showCatName val="0"/>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48a5d73e-8396-4621-8314-44144a8b404d}"/>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三公经费财政拨款（万元）</a:t>
            </a:r>
            <a:endParaRPr lang="zh-CN" altLang="en-US"/>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1"/>
            <c:showVal val="1"/>
            <c:showCatName val="1"/>
            <c:showSerName val="0"/>
            <c:showPercent val="1"/>
            <c:showBubbleSize val="0"/>
            <c:separator>
</c:separator>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[工作簿1.xlsx]Sheet1!$B$101:$B$103</c:f>
              <c:strCache>
                <c:ptCount val="3"/>
                <c:pt idx="0">
                  <c:v>公务接待费支出</c:v>
                </c:pt>
                <c:pt idx="1">
                  <c:v>公务用车购置及运行维护费</c:v>
                </c:pt>
                <c:pt idx="2">
                  <c:v>因公出国（境）费</c:v>
                </c:pt>
              </c:strCache>
            </c:strRef>
          </c:cat>
          <c:val>
            <c:numRef>
              <c:f>[工作簿1.xlsx]Sheet1!$C$101:$C$103</c:f>
              <c:numCache>
                <c:formatCode>General</c:formatCode>
                <c:ptCount val="3"/>
                <c:pt idx="1">
                  <c:v>0.97</c:v>
                </c:pt>
              </c:numCache>
            </c:numRef>
          </c:val>
        </c:ser>
        <c:dLbls>
          <c:showLegendKey val="1"/>
          <c:showVal val="1"/>
          <c:showCatName val="1"/>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203d94e0-dd0e-48a3-ad51-a039f8391214}"/>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5116A74-4FC8-46D0-9124-867B7C1DE57F}">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34</Pages>
  <Words>10154</Words>
  <Characters>10828</Characters>
  <Lines>82</Lines>
  <Paragraphs>23</Paragraphs>
  <TotalTime>13</TotalTime>
  <ScaleCrop>false</ScaleCrop>
  <LinksUpToDate>false</LinksUpToDate>
  <CharactersWithSpaces>10888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2024-10-28T01:54:00Z</dcterms:created>
  <dc:creator>曹颖</dc:creator>
  <cp:lastModifiedBy>忆长安，江南雨</cp:lastModifiedBy>
  <cp:lastPrinted>2023-08-03T10:35:00Z</cp:lastPrinted>
  <dcterms:modified xsi:type="dcterms:W3CDTF">2024-11-04T03:30:52Z</dcterms:modified>
  <dc:title>四川省***</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2E0288329E4C495383160532794B44AD_13</vt:lpwstr>
  </property>
</Properties>
</file>