
<file path=[Content_Types].xml><?xml version="1.0" encoding="utf-8"?>
<Types xmlns="http://schemas.openxmlformats.org/package/2006/content-types">
  <Default Extension="xml" ContentType="application/xml"/>
  <Default Extension="xls" ContentType="application/vnd.ms-exce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9"/>
        <w:rPr>
          <w:rFonts w:ascii="方正小标宋简体" w:hAnsi="宋体" w:eastAsia="方正小标宋简体"/>
          <w:szCs w:val="21"/>
        </w:rPr>
      </w:pPr>
      <w:bookmarkStart w:id="0" w:name="_Toc15306267"/>
    </w:p>
    <w:p>
      <w:pPr>
        <w:pStyle w:val="6"/>
        <w:spacing w:before="93"/>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hint="default" w:ascii="方正小标宋简体" w:hAnsi="方正小标宋简体" w:eastAsia="方正小标宋简体" w:cs="方正小标宋简体"/>
          <w:sz w:val="44"/>
          <w:szCs w:val="44"/>
        </w:rPr>
      </w:pPr>
      <w:bookmarkStart w:id="1" w:name="_Toc15396597"/>
      <w:bookmarkStart w:id="2" w:name="_Toc15377193"/>
      <w:bookmarkStart w:id="3" w:name="_Toc15377425"/>
      <w:bookmarkStart w:id="4" w:name="_Toc2774"/>
      <w:bookmarkStart w:id="5" w:name="_Toc2079054278"/>
      <w:bookmarkStart w:id="6" w:name="_Toc15396475"/>
      <w:bookmarkStart w:id="7" w:name="_Toc15378441"/>
      <w:r>
        <w:rPr>
          <w:rFonts w:hint="default" w:ascii="方正小标宋简体" w:hAnsi="方正小标宋简体" w:eastAsia="方正小标宋简体" w:cs="方正小标宋简体"/>
          <w:sz w:val="44"/>
          <w:szCs w:val="44"/>
        </w:rPr>
        <w:t>2023年度</w:t>
      </w:r>
      <w:bookmarkEnd w:id="1"/>
      <w:bookmarkEnd w:id="2"/>
      <w:bookmarkEnd w:id="3"/>
      <w:bookmarkEnd w:id="4"/>
      <w:bookmarkEnd w:id="5"/>
      <w:bookmarkEnd w:id="6"/>
      <w:bookmarkEnd w:id="7"/>
    </w:p>
    <w:bookmarkEnd w:id="0"/>
    <w:p>
      <w:pPr>
        <w:adjustRightInd w:val="0"/>
        <w:snapToGrid w:val="0"/>
        <w:spacing w:line="360" w:lineRule="auto"/>
        <w:jc w:val="center"/>
        <w:outlineLvl w:val="0"/>
        <w:rPr>
          <w:rFonts w:hint="default" w:ascii="方正小标宋简体" w:hAnsi="方正小标宋简体" w:eastAsia="方正小标宋简体" w:cs="方正小标宋简体"/>
          <w:sz w:val="44"/>
          <w:szCs w:val="44"/>
        </w:rPr>
      </w:pPr>
      <w:bookmarkStart w:id="8" w:name="_Toc1057352480"/>
      <w:bookmarkStart w:id="9" w:name="_Toc30658"/>
      <w:bookmarkStart w:id="10" w:name="_Toc15377194"/>
      <w:bookmarkStart w:id="11" w:name="_Toc15377426"/>
      <w:bookmarkStart w:id="12" w:name="_Toc15306268"/>
      <w:bookmarkStart w:id="13" w:name="_Toc15396598"/>
      <w:bookmarkStart w:id="14" w:name="_Toc15396476"/>
      <w:bookmarkStart w:id="15" w:name="_Toc15378442"/>
      <w:r>
        <w:rPr>
          <w:rFonts w:hint="default" w:ascii="方正小标宋简体" w:hAnsi="方正小标宋简体" w:eastAsia="方正小标宋简体" w:cs="方正小标宋简体"/>
          <w:sz w:val="44"/>
          <w:szCs w:val="44"/>
        </w:rPr>
        <w:t>盐边县红十字会</w:t>
      </w:r>
      <w:bookmarkEnd w:id="8"/>
      <w:bookmarkEnd w:id="9"/>
    </w:p>
    <w:p>
      <w:pPr>
        <w:adjustRightInd w:val="0"/>
        <w:snapToGrid w:val="0"/>
        <w:spacing w:line="360" w:lineRule="auto"/>
        <w:jc w:val="center"/>
        <w:outlineLvl w:val="0"/>
        <w:rPr>
          <w:rFonts w:hint="default" w:ascii="方正小标宋简体" w:hAnsi="方正小标宋简体" w:eastAsia="方正小标宋简体" w:cs="方正小标宋简体"/>
          <w:sz w:val="44"/>
          <w:szCs w:val="44"/>
        </w:rPr>
      </w:pPr>
      <w:bookmarkStart w:id="16" w:name="_Toc1423495157"/>
      <w:bookmarkStart w:id="17" w:name="_Toc21717"/>
      <w:r>
        <w:rPr>
          <w:rFonts w:hint="default" w:ascii="方正小标宋简体" w:hAnsi="方正小标宋简体" w:eastAsia="方正小标宋简体" w:cs="方正小标宋简体"/>
          <w:sz w:val="44"/>
          <w:szCs w:val="44"/>
        </w:rPr>
        <w:t>单位决算</w:t>
      </w:r>
      <w:bookmarkEnd w:id="10"/>
      <w:bookmarkEnd w:id="11"/>
      <w:bookmarkEnd w:id="12"/>
      <w:bookmarkEnd w:id="13"/>
      <w:bookmarkEnd w:id="14"/>
      <w:bookmarkEnd w:id="15"/>
      <w:bookmarkEnd w:id="16"/>
      <w:bookmarkEnd w:id="17"/>
    </w:p>
    <w:p>
      <w:pPr>
        <w:widowControl/>
        <w:jc w:val="center"/>
        <w:rPr>
          <w:rFonts w:ascii="Times New Roman" w:hAnsi="Times New Roman" w:eastAsia="黑体" w:cs="Times New Roman"/>
          <w:sz w:val="48"/>
          <w:szCs w:val="48"/>
        </w:rPr>
      </w:pPr>
      <w:r>
        <w:rPr>
          <w:rFonts w:ascii="方正小标宋简体" w:hAnsi="宋体" w:eastAsia="方正小标宋简体"/>
          <w:sz w:val="36"/>
          <w:szCs w:val="36"/>
        </w:rPr>
        <w:br w:type="page"/>
      </w:r>
      <w:r>
        <w:rPr>
          <w:rFonts w:hint="eastAsia" w:ascii="Times New Roman" w:hAnsi="Times New Roman" w:eastAsia="黑体" w:cs="Times New Roman"/>
          <w:sz w:val="48"/>
          <w:szCs w:val="48"/>
        </w:rPr>
        <w:t>目录</w:t>
      </w:r>
    </w:p>
    <w:p>
      <w:pPr>
        <w:pStyle w:val="13"/>
        <w:rPr>
          <w:rFonts w:ascii="Times New Roman" w:hAnsi="Times New Roman" w:cs="Times New Roman"/>
        </w:rPr>
      </w:pPr>
      <w:r>
        <w:rPr>
          <w:rFonts w:hint="eastAsia" w:ascii="Times New Roman" w:hAnsi="Times New Roman" w:cs="Times New Roman"/>
        </w:rPr>
        <w:t>公开时间：2024年10月28日</w:t>
      </w:r>
    </w:p>
    <w:sdt>
      <w:sdtPr>
        <w:rPr>
          <w:rFonts w:hint="default" w:ascii="宋体" w:hAnsi="宋体" w:eastAsia="宋体" w:cs="Times New Roman"/>
          <w:kern w:val="2"/>
          <w:sz w:val="21"/>
          <w:szCs w:val="24"/>
          <w:lang w:val="en-US" w:eastAsia="zh-CN" w:bidi="ar-SA"/>
        </w:rPr>
        <w:id w:val="133687442"/>
        <w15:color w:val="DBDBDB"/>
        <w:docPartObj>
          <w:docPartGallery w:val="Table of Contents"/>
          <w:docPartUnique/>
        </w:docPartObj>
      </w:sdtPr>
      <w:sdtEndPr>
        <w:rPr>
          <w:rFonts w:hint="default" w:ascii="Times New Roman" w:hAnsi="Times New Roman" w:eastAsia="宋体" w:cs="Times New Roman"/>
          <w:b/>
          <w:kern w:val="2"/>
          <w:sz w:val="33"/>
          <w:szCs w:val="33"/>
          <w:lang w:val="en-US" w:eastAsia="zh-CN" w:bidi="ar-SA"/>
        </w:rPr>
      </w:sdtEndPr>
      <w:sdtContent>
        <w:p>
          <w:pPr>
            <w:spacing w:before="0" w:beforeLines="0" w:after="0" w:afterLines="0" w:line="240" w:lineRule="auto"/>
            <w:ind w:left="0" w:leftChars="0" w:right="0" w:rightChars="0" w:firstLine="0" w:firstLineChars="0"/>
            <w:jc w:val="center"/>
            <w:rPr>
              <w:rFonts w:hint="default"/>
              <w:lang w:val="en-US"/>
            </w:rPr>
          </w:pPr>
        </w:p>
        <w:p>
          <w:pPr>
            <w:pStyle w:val="35"/>
            <w:tabs>
              <w:tab w:val="right" w:leader="dot" w:pos="8360"/>
            </w:tabs>
            <w:rPr>
              <w:b/>
            </w:rPr>
          </w:pPr>
          <w:r>
            <w:fldChar w:fldCharType="begin"/>
          </w:r>
          <w:r>
            <w:instrText xml:space="preserve">TOC \o "1-2" \h \u </w:instrText>
          </w:r>
          <w:r>
            <w:fldChar w:fldCharType="separate"/>
          </w:r>
        </w:p>
        <w:p>
          <w:pPr>
            <w:pStyle w:val="13"/>
            <w:tabs>
              <w:tab w:val="right" w:leader="dot" w:pos="8306"/>
              <w:tab w:val="clear" w:pos="8296"/>
            </w:tabs>
            <w:rPr>
              <w:rFonts w:hint="eastAsia" w:ascii="CESI仿宋-GB13000" w:hAnsi="CESI仿宋-GB13000" w:eastAsia="CESI仿宋-GB13000" w:cs="CESI仿宋-GB13000"/>
            </w:rPr>
          </w:pPr>
          <w:bookmarkStart w:id="122" w:name="_GoBack"/>
          <w:r>
            <w:rPr>
              <w:rFonts w:hint="eastAsia" w:ascii="CESI仿宋-GB13000" w:hAnsi="CESI仿宋-GB13000" w:eastAsia="CESI仿宋-GB13000" w:cs="CESI仿宋-GB13000"/>
            </w:rPr>
            <w:fldChar w:fldCharType="begin"/>
          </w:r>
          <w:r>
            <w:rPr>
              <w:rFonts w:hint="eastAsia" w:ascii="CESI仿宋-GB13000" w:hAnsi="CESI仿宋-GB13000" w:eastAsia="CESI仿宋-GB13000" w:cs="CESI仿宋-GB13000"/>
            </w:rPr>
            <w:instrText xml:space="preserve"> HYPERLINK \l _Toc1915365625 </w:instrText>
          </w:r>
          <w:r>
            <w:rPr>
              <w:rFonts w:hint="eastAsia" w:ascii="CESI仿宋-GB13000" w:hAnsi="CESI仿宋-GB13000" w:eastAsia="CESI仿宋-GB13000" w:cs="CESI仿宋-GB13000"/>
            </w:rPr>
            <w:fldChar w:fldCharType="separate"/>
          </w:r>
          <w:r>
            <w:rPr>
              <w:rFonts w:hint="default" w:ascii="CESI仿宋-GB13000" w:hAnsi="CESI仿宋-GB13000" w:eastAsia="CESI仿宋-GB13000" w:cs="CESI仿宋-GB13000"/>
            </w:rPr>
            <w:t>第一部分 单位概况</w:t>
          </w:r>
          <w:r>
            <w:rPr>
              <w:rFonts w:hint="eastAsia" w:ascii="CESI仿宋-GB13000" w:hAnsi="CESI仿宋-GB13000" w:eastAsia="CESI仿宋-GB13000" w:cs="CESI仿宋-GB13000"/>
            </w:rPr>
            <w:tab/>
          </w:r>
          <w:r>
            <w:rPr>
              <w:rFonts w:hint="eastAsia" w:ascii="CESI仿宋-GB13000" w:hAnsi="CESI仿宋-GB13000" w:eastAsia="CESI仿宋-GB13000" w:cs="CESI仿宋-GB13000"/>
              <w:lang w:val="en-US" w:eastAsia="zh-CN"/>
            </w:rPr>
            <w:t>1</w:t>
          </w:r>
          <w:r>
            <w:rPr>
              <w:rFonts w:hint="eastAsia" w:ascii="CESI仿宋-GB13000" w:hAnsi="CESI仿宋-GB13000" w:eastAsia="CESI仿宋-GB13000" w:cs="CESI仿宋-GB13000"/>
            </w:rPr>
            <w:fldChar w:fldCharType="end"/>
          </w:r>
        </w:p>
        <w:bookmarkEnd w:id="122"/>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_Toc1483507009 </w:instrText>
          </w:r>
          <w:r>
            <w:rPr>
              <w:rFonts w:hint="eastAsia" w:asciiTheme="minorEastAsia" w:hAnsiTheme="minorEastAsia" w:eastAsiaTheme="minorEastAsia" w:cstheme="minorEastAsia"/>
              <w:sz w:val="24"/>
              <w:szCs w:val="24"/>
            </w:rPr>
            <w:fldChar w:fldCharType="separate"/>
          </w:r>
          <w:r>
            <w:rPr>
              <w:rFonts w:hint="default" w:asciiTheme="minorEastAsia" w:hAnsiTheme="minorEastAsia" w:eastAsiaTheme="minorEastAsia" w:cstheme="minorEastAsia"/>
              <w:sz w:val="24"/>
              <w:szCs w:val="24"/>
              <w:lang w:val="en-US" w:eastAsia="zh-CN"/>
            </w:rPr>
            <w:t>一、</w:t>
          </w:r>
          <w:r>
            <w:rPr>
              <w:rFonts w:hint="default" w:asciiTheme="minorEastAsia" w:hAnsiTheme="minorEastAsia" w:eastAsiaTheme="minorEastAsia" w:cstheme="minorEastAsia"/>
              <w:sz w:val="24"/>
              <w:szCs w:val="24"/>
            </w:rPr>
            <w:t>主要职责</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_Toc2051678936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二、机构设置</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eastAsia" w:ascii="CESI仿宋-GB13000" w:hAnsi="CESI仿宋-GB13000" w:eastAsia="CESI仿宋-GB13000" w:cs="CESI仿宋-GB13000"/>
              <w:sz w:val="28"/>
              <w:szCs w:val="28"/>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_Toc1837393195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第二部分 2023年度部门决算情况说明</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lang w:val="en-US" w:eastAsia="zh-CN"/>
            </w:rPr>
            <w:t>2</w:t>
          </w:r>
          <w:r>
            <w:rPr>
              <w:rFonts w:hint="eastAsia" w:ascii="CESI仿宋-GB13000" w:hAnsi="CESI仿宋-GB13000" w:eastAsia="CESI仿宋-GB13000" w:cs="CESI仿宋-GB13000"/>
              <w:sz w:val="28"/>
              <w:szCs w:val="28"/>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_Toc2030567096 </w:instrText>
          </w:r>
          <w:r>
            <w:rPr>
              <w:rFonts w:hint="eastAsia" w:asciiTheme="minorEastAsia" w:hAnsiTheme="minorEastAsia" w:eastAsiaTheme="minorEastAsia" w:cstheme="minorEastAsia"/>
              <w:sz w:val="24"/>
              <w:szCs w:val="24"/>
            </w:rPr>
            <w:fldChar w:fldCharType="separate"/>
          </w:r>
          <w:r>
            <w:rPr>
              <w:rFonts w:hint="default"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lang w:val="en-US" w:eastAsia="zh-CN"/>
            </w:rPr>
            <w:t>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_Toc1664563541 </w:instrText>
          </w:r>
          <w:r>
            <w:rPr>
              <w:rFonts w:hint="eastAsia" w:asciiTheme="minorEastAsia" w:hAnsiTheme="minorEastAsia" w:eastAsiaTheme="minorEastAsia" w:cstheme="minorEastAsia"/>
              <w:sz w:val="24"/>
              <w:szCs w:val="24"/>
            </w:rPr>
            <w:fldChar w:fldCharType="separate"/>
          </w:r>
          <w:r>
            <w:rPr>
              <w:rFonts w:hint="default"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lang w:val="en-US" w:eastAsia="zh-CN"/>
            </w:rPr>
            <w:t>收入决算情况说明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_Toc1474663599 </w:instrText>
          </w:r>
          <w:r>
            <w:rPr>
              <w:rFonts w:hint="eastAsia" w:asciiTheme="minorEastAsia" w:hAnsiTheme="minorEastAsia" w:eastAsiaTheme="minorEastAsia" w:cstheme="minorEastAsia"/>
              <w:sz w:val="24"/>
              <w:szCs w:val="24"/>
            </w:rPr>
            <w:fldChar w:fldCharType="separate"/>
          </w:r>
          <w:r>
            <w:rPr>
              <w:rFonts w:hint="default"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lang w:val="en-US" w:eastAsia="zh-CN"/>
            </w:rPr>
            <w:t>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_Toc2063051429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四、财政拨款收入支出决算总体情况说明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_Toc1947727351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五、一般公共预算财政拨款支出决算情况说明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_Toc759488577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六、一般公共预算财政拨款基本支出决算情况说明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_Toc929460199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七、财政拨款“三公”经费支出决算情况说明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_Toc1590978794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八、政府性基金预算支出决算情况说明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_Toc634171932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九、国有资本经营预算支出决算情况说明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_Toc1138044386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十、其他重要事项的情况说明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fldChar w:fldCharType="end"/>
          </w:r>
        </w:p>
        <w:p>
          <w:pPr>
            <w:pStyle w:val="13"/>
            <w:tabs>
              <w:tab w:val="right" w:leader="dot" w:pos="8306"/>
              <w:tab w:val="clear" w:pos="8296"/>
            </w:tabs>
            <w:rPr>
              <w:rFonts w:hint="default" w:ascii="CESI仿宋-GB13000" w:hAnsi="CESI仿宋-GB13000" w:eastAsia="CESI仿宋-GB13000" w:cs="CESI仿宋-GB13000"/>
              <w:sz w:val="28"/>
              <w:szCs w:val="28"/>
              <w:lang w:val="en-US" w:eastAsia="zh-CN"/>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_Toc423608500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第三部分 名词解释</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lang w:val="en-US" w:eastAsia="zh-CN"/>
            </w:rPr>
            <w:t>1</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lang w:val="en-US" w:eastAsia="zh-CN"/>
            </w:rPr>
            <w:t>0</w:t>
          </w:r>
        </w:p>
        <w:p>
          <w:pPr>
            <w:pStyle w:val="13"/>
            <w:tabs>
              <w:tab w:val="right" w:leader="dot" w:pos="8306"/>
              <w:tab w:val="clear" w:pos="8296"/>
            </w:tabs>
            <w:rPr>
              <w:rFonts w:hint="default" w:ascii="CESI仿宋-GB13000" w:hAnsi="CESI仿宋-GB13000" w:eastAsia="CESI仿宋-GB13000" w:cs="CESI仿宋-GB13000"/>
              <w:sz w:val="28"/>
              <w:szCs w:val="28"/>
              <w:lang w:val="en-US" w:eastAsia="zh-CN"/>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_Toc423608500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w:t>
          </w:r>
          <w:r>
            <w:rPr>
              <w:rFonts w:hint="eastAsia" w:ascii="CESI仿宋-GB13000" w:hAnsi="CESI仿宋-GB13000" w:eastAsia="CESI仿宋-GB13000" w:cs="CESI仿宋-GB13000"/>
              <w:sz w:val="28"/>
              <w:szCs w:val="28"/>
              <w:lang w:eastAsia="zh-CN"/>
            </w:rPr>
            <w:t>四</w:t>
          </w:r>
          <w:r>
            <w:rPr>
              <w:rFonts w:hint="eastAsia" w:ascii="CESI仿宋-GB13000" w:hAnsi="CESI仿宋-GB13000" w:eastAsia="CESI仿宋-GB13000" w:cs="CESI仿宋-GB13000"/>
              <w:sz w:val="28"/>
              <w:szCs w:val="28"/>
            </w:rPr>
            <w:t xml:space="preserve">部分 </w:t>
          </w:r>
          <w:r>
            <w:rPr>
              <w:rFonts w:hint="eastAsia" w:ascii="CESI仿宋-GB13000" w:hAnsi="CESI仿宋-GB13000" w:eastAsia="CESI仿宋-GB13000" w:cs="CESI仿宋-GB13000"/>
              <w:sz w:val="28"/>
              <w:szCs w:val="28"/>
              <w:lang w:eastAsia="zh-CN"/>
            </w:rPr>
            <w:t>附件</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lang w:val="en-US" w:eastAsia="zh-CN"/>
            </w:rPr>
            <w:t>1</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lang w:val="en-US" w:eastAsia="zh-CN"/>
            </w:rPr>
            <w:t>3</w:t>
          </w:r>
        </w:p>
        <w:p>
          <w:pPr>
            <w:pStyle w:val="13"/>
            <w:tabs>
              <w:tab w:val="right" w:leader="dot" w:pos="8306"/>
              <w:tab w:val="clear" w:pos="8296"/>
            </w:tabs>
            <w:rPr>
              <w:rFonts w:hint="eastAsia" w:ascii="CESI仿宋-GB13000" w:hAnsi="CESI仿宋-GB13000" w:eastAsia="CESI仿宋-GB13000" w:cs="CESI仿宋-GB13000"/>
              <w:sz w:val="28"/>
              <w:szCs w:val="28"/>
            </w:rPr>
          </w:pP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HYPERLINK \l _Toc439498069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第五部分 附表</w:t>
          </w:r>
          <w:r>
            <w:rPr>
              <w:rFonts w:hint="eastAsia" w:ascii="CESI仿宋-GB13000" w:hAnsi="CESI仿宋-GB13000" w:eastAsia="CESI仿宋-GB13000" w:cs="CESI仿宋-GB13000"/>
              <w:sz w:val="28"/>
              <w:szCs w:val="28"/>
            </w:rPr>
            <w:tab/>
          </w:r>
          <w:r>
            <w:rPr>
              <w:rFonts w:hint="eastAsia" w:ascii="CESI仿宋-GB13000" w:hAnsi="CESI仿宋-GB13000" w:eastAsia="CESI仿宋-GB13000" w:cs="CESI仿宋-GB13000"/>
              <w:sz w:val="28"/>
              <w:szCs w:val="28"/>
            </w:rPr>
            <w:fldChar w:fldCharType="begin"/>
          </w:r>
          <w:r>
            <w:rPr>
              <w:rFonts w:hint="eastAsia" w:ascii="CESI仿宋-GB13000" w:hAnsi="CESI仿宋-GB13000" w:eastAsia="CESI仿宋-GB13000" w:cs="CESI仿宋-GB13000"/>
              <w:sz w:val="28"/>
              <w:szCs w:val="28"/>
            </w:rPr>
            <w:instrText xml:space="preserve"> PAGEREF _Toc439498069 \h </w:instrText>
          </w:r>
          <w:r>
            <w:rPr>
              <w:rFonts w:hint="eastAsia" w:ascii="CESI仿宋-GB13000" w:hAnsi="CESI仿宋-GB13000" w:eastAsia="CESI仿宋-GB13000" w:cs="CESI仿宋-GB13000"/>
              <w:sz w:val="28"/>
              <w:szCs w:val="28"/>
            </w:rPr>
            <w:fldChar w:fldCharType="separate"/>
          </w:r>
          <w:r>
            <w:rPr>
              <w:rFonts w:hint="eastAsia" w:ascii="CESI仿宋-GB13000" w:hAnsi="CESI仿宋-GB13000" w:eastAsia="CESI仿宋-GB13000" w:cs="CESI仿宋-GB13000"/>
              <w:sz w:val="28"/>
              <w:szCs w:val="28"/>
            </w:rPr>
            <w:t>1</w:t>
          </w:r>
          <w:r>
            <w:rPr>
              <w:rFonts w:hint="eastAsia" w:ascii="CESI仿宋-GB13000" w:hAnsi="CESI仿宋-GB13000" w:eastAsia="CESI仿宋-GB13000" w:cs="CESI仿宋-GB13000"/>
              <w:sz w:val="28"/>
              <w:szCs w:val="28"/>
              <w:lang w:val="en-US" w:eastAsia="zh-CN"/>
            </w:rPr>
            <w:t>4</w:t>
          </w:r>
          <w:r>
            <w:rPr>
              <w:rFonts w:hint="eastAsia" w:ascii="CESI仿宋-GB13000" w:hAnsi="CESI仿宋-GB13000" w:eastAsia="CESI仿宋-GB13000" w:cs="CESI仿宋-GB13000"/>
              <w:sz w:val="28"/>
              <w:szCs w:val="28"/>
            </w:rPr>
            <w:fldChar w:fldCharType="end"/>
          </w:r>
          <w:r>
            <w:rPr>
              <w:rFonts w:hint="eastAsia" w:ascii="CESI仿宋-GB13000" w:hAnsi="CESI仿宋-GB13000" w:eastAsia="CESI仿宋-GB13000" w:cs="CESI仿宋-GB13000"/>
              <w:sz w:val="28"/>
              <w:szCs w:val="28"/>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_Toc810456195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一、收入支出决算总表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_Toc810456195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_Toc1447869342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二、收入决算表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_Toc1447869342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_Toc935185858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三、支出决算表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_Toc935185858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_Toc2092903251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四、财政拨款收入支出决算总表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_Toc2092903251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_Toc980068532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五、财政拨款支出决算明细表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_Toc980068532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_Toc1181648162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六、一般公共预算财政拨款支出决算表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_Toc1181648162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_Toc30901414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七、一般公共预算财政拨款支出决算明细表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_Toc30901414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_Toc1188083129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八、一般公共预算财政拨款基本支出决算表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_Toc1188083129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_Toc66055858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九、一般公共预算财政拨款项目支出决算表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_Toc66055858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_Toc1433508797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十、政府性基金预算财政拨款收入支出决算表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_Toc1433508797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_Toc1119653760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十一、国有资本经营预算财政拨款收入支出决算表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_Toc1119653760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_Toc1123408338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十二、国有资本经营预算财政拨款支出决算表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_Toc1123408338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_Toc709520307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十三、财政拨款“三公”经费支出决算表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_Toc709520307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p>
        <w:p>
          <w:pPr>
            <w:pStyle w:val="2"/>
          </w:pPr>
          <w:r>
            <w:rPr>
              <w:b/>
            </w:rPr>
            <w:fldChar w:fldCharType="end"/>
          </w:r>
        </w:p>
      </w:sdtContent>
    </w:sdt>
    <w:p>
      <w:pPr>
        <w:rPr>
          <w:rFonts w:hint="default" w:ascii="Times New Roman" w:hAnsi="Times New Roman" w:eastAsia="方正小标宋简体" w:cs="Times New Roman"/>
          <w:b w:val="0"/>
        </w:rPr>
      </w:pPr>
      <w:bookmarkStart w:id="18" w:name="_Toc15396599"/>
      <w:bookmarkStart w:id="19" w:name="_Toc15377196"/>
      <w:r>
        <w:rPr>
          <w:rFonts w:hint="default" w:ascii="Times New Roman" w:hAnsi="Times New Roman" w:eastAsia="方正小标宋简体" w:cs="Times New Roman"/>
          <w:b w:val="0"/>
        </w:rPr>
        <w:br w:type="page"/>
      </w:r>
    </w:p>
    <w:p>
      <w:pPr>
        <w:pStyle w:val="3"/>
        <w:keepNext/>
        <w:keepLines/>
        <w:pageBreakBefore w:val="0"/>
        <w:widowControl w:val="0"/>
        <w:kinsoku/>
        <w:wordWrap/>
        <w:overflowPunct/>
        <w:topLinePunct w:val="0"/>
        <w:autoSpaceDE/>
        <w:autoSpaceDN/>
        <w:bidi w:val="0"/>
        <w:adjustRightInd/>
        <w:snapToGrid/>
        <w:spacing w:before="313" w:beforeLines="100" w:after="313" w:afterLines="100" w:line="640" w:lineRule="exact"/>
        <w:jc w:val="center"/>
        <w:textAlignment w:val="auto"/>
        <w:rPr>
          <w:rStyle w:val="29"/>
          <w:rFonts w:hint="default" w:ascii="Times New Roman" w:hAnsi="Times New Roman" w:eastAsia="方正小标宋简体" w:cs="Times New Roman"/>
          <w:b/>
          <w:bCs w:val="0"/>
        </w:rPr>
      </w:pPr>
      <w:bookmarkStart w:id="20" w:name="_Toc1915365625"/>
      <w:r>
        <w:rPr>
          <w:rFonts w:hint="default" w:ascii="Times New Roman" w:hAnsi="Times New Roman" w:eastAsia="方正小标宋简体" w:cs="Times New Roman"/>
          <w:b w:val="0"/>
        </w:rPr>
        <w:t>第一部分 单位</w:t>
      </w:r>
      <w:r>
        <w:rPr>
          <w:rStyle w:val="29"/>
          <w:rFonts w:hint="default" w:ascii="Times New Roman" w:hAnsi="Times New Roman" w:eastAsia="方正小标宋简体" w:cs="Times New Roman"/>
          <w:b w:val="0"/>
          <w:bCs w:val="0"/>
        </w:rPr>
        <w:t>概况</w:t>
      </w:r>
      <w:bookmarkEnd w:id="18"/>
      <w:bookmarkEnd w:id="19"/>
      <w:bookmarkEnd w:id="20"/>
    </w:p>
    <w:p>
      <w:pPr>
        <w:widowControl/>
        <w:jc w:val="left"/>
        <w:rPr>
          <w:rFonts w:ascii="黑体" w:eastAsia="黑体"/>
          <w:sz w:val="32"/>
          <w:szCs w:val="32"/>
        </w:rPr>
      </w:pPr>
    </w:p>
    <w:p>
      <w:pPr>
        <w:pStyle w:val="4"/>
        <w:pageBreakBefore w:val="0"/>
        <w:widowControl w:val="0"/>
        <w:numPr>
          <w:ilvl w:val="0"/>
          <w:numId w:val="0"/>
        </w:numPr>
        <w:kinsoku/>
        <w:wordWrap/>
        <w:overflowPunct/>
        <w:topLinePunct w:val="0"/>
        <w:autoSpaceDE/>
        <w:autoSpaceDN/>
        <w:bidi w:val="0"/>
        <w:adjustRightInd/>
        <w:snapToGrid/>
        <w:spacing w:line="120" w:lineRule="auto"/>
        <w:ind w:firstLine="640" w:firstLineChars="200"/>
        <w:textAlignment w:val="auto"/>
        <w:rPr>
          <w:rStyle w:val="30"/>
          <w:rFonts w:hint="default" w:ascii="Times New Roman" w:hAnsi="Times New Roman" w:eastAsia="黑体" w:cs="Times New Roman"/>
          <w:b w:val="0"/>
          <w:bCs w:val="0"/>
          <w:lang w:eastAsia="zh-CN"/>
        </w:rPr>
      </w:pPr>
      <w:bookmarkStart w:id="21" w:name="_Toc1483507009"/>
      <w:bookmarkStart w:id="22" w:name="_Toc15396600"/>
      <w:bookmarkStart w:id="23" w:name="_Toc15377197"/>
      <w:r>
        <w:rPr>
          <w:rStyle w:val="30"/>
          <w:rFonts w:hint="default" w:ascii="Times New Roman" w:hAnsi="Times New Roman" w:eastAsia="黑体" w:cs="Times New Roman"/>
          <w:b w:val="0"/>
          <w:bCs w:val="0"/>
          <w:lang w:val="en-US" w:eastAsia="zh-CN"/>
        </w:rPr>
        <w:t>一、</w:t>
      </w:r>
      <w:r>
        <w:rPr>
          <w:rStyle w:val="30"/>
          <w:rFonts w:hint="default" w:ascii="Times New Roman" w:hAnsi="Times New Roman" w:eastAsia="黑体" w:cs="Times New Roman"/>
          <w:b w:val="0"/>
          <w:bCs w:val="0"/>
          <w:lang w:eastAsia="zh-CN"/>
        </w:rPr>
        <w:t>主要职责</w:t>
      </w:r>
      <w:bookmarkEnd w:id="21"/>
    </w:p>
    <w:p>
      <w:pPr>
        <w:pageBreakBefore w:val="0"/>
        <w:widowControl w:val="0"/>
        <w:kinsoku/>
        <w:wordWrap/>
        <w:overflowPunct/>
        <w:topLinePunct w:val="0"/>
        <w:autoSpaceDE/>
        <w:autoSpaceDN/>
        <w:bidi w:val="0"/>
        <w:adjustRightInd/>
        <w:snapToGrid/>
        <w:spacing w:line="120" w:lineRule="auto"/>
        <w:ind w:firstLine="640" w:firstLineChars="200"/>
        <w:textAlignment w:val="auto"/>
        <w:rPr>
          <w:rFonts w:hint="default" w:ascii="仿宋_GB2312" w:hAnsi="Times New Roman" w:eastAsia="仿宋_GB2312" w:cs="Times New Roman"/>
          <w:sz w:val="32"/>
          <w:szCs w:val="32"/>
        </w:rPr>
      </w:pPr>
      <w:r>
        <w:rPr>
          <w:rFonts w:hint="default" w:ascii="仿宋_GB2312" w:hAnsi="Times New Roman" w:eastAsia="仿宋_GB2312" w:cs="Times New Roman"/>
          <w:sz w:val="32"/>
          <w:szCs w:val="32"/>
        </w:rPr>
        <w:t>完成应急救护培训任务、开展红十字生命教育工作，开展人道动员宣传工作，</w:t>
      </w:r>
      <w:r>
        <w:rPr>
          <w:rFonts w:hint="eastAsia" w:ascii="仿宋_GB2312" w:hAnsi="Times New Roman" w:eastAsia="仿宋_GB2312" w:cs="Times New Roman"/>
          <w:sz w:val="32"/>
          <w:szCs w:val="32"/>
          <w:lang w:eastAsia="zh-CN"/>
        </w:rPr>
        <w:t>开展</w:t>
      </w:r>
      <w:r>
        <w:rPr>
          <w:rFonts w:hint="default" w:ascii="仿宋_GB2312" w:hAnsi="Times New Roman" w:eastAsia="仿宋_GB2312" w:cs="Times New Roman"/>
          <w:sz w:val="32"/>
          <w:szCs w:val="32"/>
        </w:rPr>
        <w:t>人道救援及生命教育宣传，开展基层组织建设和红十字志愿服务，红十字青少年工作。开展筹资工作，参与腾讯99公益日活动等，开展红十字救灾备灾工作，完善赈济救援队装备及强化培训。</w:t>
      </w:r>
    </w:p>
    <w:p>
      <w:pPr>
        <w:pStyle w:val="4"/>
        <w:pageBreakBefore w:val="0"/>
        <w:widowControl w:val="0"/>
        <w:numPr>
          <w:ilvl w:val="0"/>
          <w:numId w:val="0"/>
        </w:numPr>
        <w:kinsoku/>
        <w:wordWrap/>
        <w:overflowPunct/>
        <w:topLinePunct w:val="0"/>
        <w:autoSpaceDE/>
        <w:autoSpaceDN/>
        <w:bidi w:val="0"/>
        <w:adjustRightInd/>
        <w:snapToGrid/>
        <w:spacing w:line="120" w:lineRule="auto"/>
        <w:ind w:firstLine="640" w:firstLineChars="200"/>
        <w:textAlignment w:val="auto"/>
        <w:rPr>
          <w:rStyle w:val="30"/>
          <w:rFonts w:hint="default" w:ascii="Times New Roman" w:hAnsi="Times New Roman" w:eastAsia="黑体" w:cs="Times New Roman"/>
          <w:b w:val="0"/>
          <w:bCs w:val="0"/>
          <w:lang w:val="en-US" w:eastAsia="zh-CN"/>
        </w:rPr>
      </w:pPr>
      <w:bookmarkStart w:id="24" w:name="_Toc2051678936"/>
      <w:r>
        <w:rPr>
          <w:rStyle w:val="30"/>
          <w:rFonts w:hint="eastAsia" w:ascii="Times New Roman" w:hAnsi="Times New Roman" w:eastAsia="黑体" w:cs="Times New Roman"/>
          <w:b w:val="0"/>
          <w:bCs w:val="0"/>
          <w:lang w:val="en-US" w:eastAsia="zh-CN"/>
        </w:rPr>
        <w:t>二、机构设置</w:t>
      </w:r>
      <w:bookmarkEnd w:id="24"/>
    </w:p>
    <w:p>
      <w:pPr>
        <w:pageBreakBefore w:val="0"/>
        <w:widowControl w:val="0"/>
        <w:kinsoku/>
        <w:wordWrap/>
        <w:overflowPunct/>
        <w:topLinePunct w:val="0"/>
        <w:autoSpaceDE/>
        <w:autoSpaceDN/>
        <w:bidi w:val="0"/>
        <w:adjustRightInd/>
        <w:snapToGrid/>
        <w:spacing w:line="120" w:lineRule="auto"/>
        <w:ind w:firstLine="640" w:firstLineChars="200"/>
        <w:textAlignment w:val="auto"/>
        <w:rPr>
          <w:rFonts w:hint="default" w:ascii="仿宋_GB2312" w:hAnsi="Times New Roman" w:eastAsia="仿宋_GB2312" w:cs="Times New Roman"/>
          <w:sz w:val="32"/>
          <w:szCs w:val="32"/>
        </w:rPr>
      </w:pPr>
      <w:r>
        <w:rPr>
          <w:rFonts w:hint="eastAsia" w:ascii="仿宋_GB2312" w:hAnsi="Times New Roman" w:eastAsia="仿宋_GB2312" w:cs="Times New Roman"/>
          <w:sz w:val="32"/>
          <w:szCs w:val="32"/>
        </w:rPr>
        <w:t>2021年底新成立单位，属于群团组织，2023年新独立纳入一级预算单位。</w:t>
      </w:r>
    </w:p>
    <w:p/>
    <w:bookmarkEnd w:id="22"/>
    <w:bookmarkEnd w:id="23"/>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Fonts w:hint="default" w:ascii="Times New Roman" w:hAnsi="Times New Roman" w:eastAsia="黑体" w:cs="Times New Roman"/>
          <w:b w:val="0"/>
        </w:rPr>
      </w:pPr>
      <w:bookmarkStart w:id="25" w:name="_Toc1837393195"/>
      <w:bookmarkStart w:id="26" w:name="_Toc15377226"/>
      <w:r>
        <w:rPr>
          <w:rFonts w:hint="eastAsia" w:ascii="Times New Roman" w:hAnsi="Times New Roman" w:eastAsia="黑体" w:cs="Times New Roman"/>
          <w:b w:val="0"/>
        </w:rPr>
        <w:t>第二部分 2023年度部门决算情况说明</w:t>
      </w:r>
      <w:bookmarkEnd w:id="25"/>
    </w:p>
    <w:p>
      <w:pPr>
        <w:pStyle w:val="28"/>
        <w:numPr>
          <w:ilvl w:val="0"/>
          <w:numId w:val="1"/>
        </w:numPr>
        <w:spacing w:line="600" w:lineRule="exact"/>
        <w:ind w:firstLineChars="0"/>
        <w:outlineLvl w:val="1"/>
        <w:rPr>
          <w:rFonts w:hint="default" w:ascii="Times New Roman" w:hAnsi="Times New Roman" w:eastAsia="黑体" w:cs="Times New Roman"/>
          <w:sz w:val="32"/>
          <w:szCs w:val="32"/>
          <w:lang w:val="en-US" w:eastAsia="zh-CN"/>
        </w:rPr>
      </w:pPr>
      <w:bookmarkStart w:id="27" w:name="_Toc2030567096"/>
      <w:r>
        <w:rPr>
          <w:rFonts w:hint="eastAsia" w:ascii="Times New Roman" w:hAnsi="Times New Roman" w:eastAsia="黑体" w:cs="Times New Roman"/>
          <w:sz w:val="32"/>
          <w:szCs w:val="32"/>
          <w:lang w:val="en-US" w:eastAsia="zh-CN"/>
        </w:rPr>
        <w:t>收入支出决算总体情况说明</w:t>
      </w:r>
      <w:bookmarkEnd w:id="27"/>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2023年度收、支总计均为91.51万元。与2022年度相比，收、支总计各增加91.51万元，增长100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。主要变动</w:t>
      </w:r>
      <w:r>
        <w:rPr>
          <w:rFonts w:hint="eastAsia" w:ascii="Times New Roman" w:hAnsi="Times New Roman" w:eastAsia="仿宋_GB2312" w:cs="Times New Roman"/>
          <w:sz w:val="32"/>
          <w:szCs w:val="32"/>
          <w:lang w:eastAsia="zh-CN"/>
        </w:rPr>
        <w:t>原</w:t>
      </w:r>
      <w:r>
        <w:rPr>
          <w:rFonts w:hint="eastAsia" w:ascii="Times New Roman" w:hAnsi="Times New Roman" w:eastAsia="仿宋_GB2312" w:cs="Times New Roman"/>
          <w:sz w:val="32"/>
          <w:szCs w:val="32"/>
        </w:rPr>
        <w:t>因是2023年才新独立纳入一级预算单位。</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pict>
          <v:shape id="_x0000_s1026" o:spid="_x0000_s1026" o:spt="75" type="#_x0000_t75" style="position:absolute;left:0pt;margin-left:61.7pt;margin-top:3.9pt;height:202.75pt;width:313.2pt;z-index:-251655168;mso-width-relative:page;mso-height-relative:page;" o:ole="t" filled="f" o:preferrelative="t" stroked="f" coordsize="21600,21600">
            <v:path/>
            <v:fill on="f" focussize="0,0"/>
            <v:stroke on="f" joinstyle="miter"/>
            <v:imagedata r:id="rId9" o:title=""/>
            <o:lock v:ext="edit" aspectratio="t"/>
          </v:shape>
          <o:OLEObject Type="Embed" ProgID="Excel.Chart.8" ShapeID="_x0000_s1026" DrawAspect="Content" ObjectID="_1468075725" r:id="rId8">
            <o:LockedField>false</o:LockedField>
          </o:OLEObject>
        </w:pic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8"/>
        <w:numPr>
          <w:ilvl w:val="0"/>
          <w:numId w:val="1"/>
        </w:numPr>
        <w:spacing w:line="600" w:lineRule="exact"/>
        <w:ind w:firstLineChars="0"/>
        <w:outlineLvl w:val="1"/>
        <w:rPr>
          <w:rFonts w:hint="default" w:ascii="Times New Roman" w:hAnsi="Times New Roman" w:eastAsia="黑体" w:cs="Times New Roman"/>
          <w:sz w:val="32"/>
          <w:szCs w:val="32"/>
          <w:lang w:val="en-US" w:eastAsia="zh-CN"/>
        </w:rPr>
      </w:pPr>
      <w:bookmarkStart w:id="28" w:name="_Toc15396604"/>
      <w:bookmarkStart w:id="29" w:name="_Toc15377206"/>
      <w:bookmarkStart w:id="30" w:name="_Toc1664563541"/>
      <w:r>
        <w:rPr>
          <w:rFonts w:hint="eastAsia" w:ascii="Times New Roman" w:hAnsi="Times New Roman" w:eastAsia="黑体" w:cs="Times New Roman"/>
          <w:sz w:val="32"/>
          <w:szCs w:val="32"/>
          <w:lang w:val="en-US" w:eastAsia="zh-CN"/>
        </w:rPr>
        <w:t>收入决算情况说明</w:t>
      </w:r>
      <w:bookmarkEnd w:id="28"/>
      <w:bookmarkEnd w:id="29"/>
      <w:bookmarkEnd w:id="30"/>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2023年度本年收入合计</w:t>
      </w:r>
      <w:r>
        <w:rPr>
          <w:rFonts w:hint="default" w:ascii="Times New Roman" w:hAnsi="Times New Roman" w:eastAsia="仿宋_GB2312" w:cs="Times New Roman"/>
          <w:sz w:val="32"/>
          <w:szCs w:val="32"/>
        </w:rPr>
        <w:t>91.51</w:t>
      </w:r>
      <w:r>
        <w:rPr>
          <w:rFonts w:hint="eastAsia" w:ascii="Times New Roman" w:hAnsi="Times New Roman" w:eastAsia="仿宋_GB2312" w:cs="Times New Roman"/>
          <w:sz w:val="32"/>
          <w:szCs w:val="32"/>
        </w:rPr>
        <w:t>万元，其中：一般公共预算财政拨款收入</w:t>
      </w:r>
      <w:r>
        <w:rPr>
          <w:rFonts w:hint="default" w:ascii="Times New Roman" w:hAnsi="Times New Roman" w:eastAsia="仿宋_GB2312" w:cs="Times New Roman"/>
          <w:sz w:val="32"/>
          <w:szCs w:val="32"/>
        </w:rPr>
        <w:t>91.51</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；政府性基金预算财政拨款收入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；国有资本经营预算财政拨款收入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；上级补助收入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；事业收入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；经营收入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；附属单位上缴收入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；其他收入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w:t>
      </w:r>
    </w:p>
    <w:p>
      <w:p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pict>
          <v:shape id="Object 3" o:spid="_x0000_s1027" o:spt="75" type="#_x0000_t75" style="position:absolute;left:0pt;margin-left:59.9pt;margin-top:7.35pt;height:192.4pt;width:316.8pt;z-index:-251654144;mso-width-relative:page;mso-height-relative:page;" o:ole="t" filled="f" o:preferrelative="t" stroked="f" coordsize="21600,21600">
            <v:path/>
            <v:fill on="f" focussize="0,0"/>
            <v:stroke on="f"/>
            <v:imagedata r:id="rId11" o:title=""/>
            <o:lock v:ext="edit" aspectratio="t"/>
          </v:shape>
          <o:OLEObject Type="Embed" ProgID="Excel.Chart.8" ShapeID="Object 3" DrawAspect="Content" ObjectID="_1468075726" r:id="rId10">
            <o:LockedField>false</o:LockedField>
          </o:OLEObject>
        </w:pict>
      </w:r>
    </w:p>
    <w:p>
      <w:pPr>
        <w:spacing w:line="600" w:lineRule="exact"/>
        <w:ind w:firstLine="640" w:firstLineChars="200"/>
        <w:rPr>
          <w:rFonts w:hint="eastAsia" w:ascii="Times New Roman" w:hAnsi="Times New Roman" w:eastAsia="仿宋_GB2312" w:cs="Times New Roman"/>
          <w:sz w:val="32"/>
          <w:szCs w:val="32"/>
        </w:rPr>
      </w:pPr>
    </w:p>
    <w:p>
      <w:pPr>
        <w:spacing w:line="600" w:lineRule="exact"/>
        <w:ind w:firstLine="640" w:firstLineChars="200"/>
        <w:rPr>
          <w:rFonts w:hint="eastAsia" w:ascii="Times New Roman" w:hAnsi="Times New Roman" w:eastAsia="仿宋_GB2312" w:cs="Times New Roman"/>
          <w:sz w:val="32"/>
          <w:szCs w:val="32"/>
        </w:rPr>
      </w:pPr>
    </w:p>
    <w:p>
      <w:pPr>
        <w:pStyle w:val="8"/>
        <w:keepNext w:val="0"/>
        <w:keepLines w:val="0"/>
        <w:pageBreakBefore w:val="0"/>
        <w:widowControl w:val="0"/>
        <w:kinsoku/>
        <w:wordWrap/>
        <w:overflowPunct/>
        <w:topLinePunct w:val="0"/>
        <w:autoSpaceDE/>
        <w:autoSpaceDN/>
        <w:bidi w:val="0"/>
        <w:adjustRightInd/>
        <w:ind w:left="420" w:firstLine="0" w:firstLineChars="0"/>
        <w:jc w:val="center"/>
        <w:textAlignment w:val="auto"/>
        <w:rPr>
          <w:rFonts w:ascii="仿宋" w:hAnsi="仿宋" w:eastAsia="仿宋"/>
          <w:sz w:val="32"/>
        </w:rPr>
      </w:pPr>
    </w:p>
    <w:p>
      <w:pPr>
        <w:pStyle w:val="8"/>
        <w:keepNext w:val="0"/>
        <w:keepLines w:val="0"/>
        <w:pageBreakBefore w:val="0"/>
        <w:widowControl w:val="0"/>
        <w:kinsoku/>
        <w:wordWrap/>
        <w:overflowPunct/>
        <w:topLinePunct w:val="0"/>
        <w:autoSpaceDE/>
        <w:autoSpaceDN/>
        <w:bidi w:val="0"/>
        <w:adjustRightInd/>
        <w:ind w:left="420" w:firstLine="0" w:firstLineChars="0"/>
        <w:jc w:val="center"/>
        <w:textAlignment w:val="auto"/>
        <w:rPr>
          <w:rFonts w:ascii="仿宋" w:hAnsi="仿宋" w:eastAsia="仿宋"/>
          <w:sz w:val="32"/>
        </w:rPr>
      </w:pPr>
    </w:p>
    <w:p>
      <w:pPr>
        <w:pStyle w:val="8"/>
        <w:keepNext w:val="0"/>
        <w:keepLines w:val="0"/>
        <w:pageBreakBefore w:val="0"/>
        <w:widowControl w:val="0"/>
        <w:kinsoku/>
        <w:wordWrap/>
        <w:overflowPunct/>
        <w:topLinePunct w:val="0"/>
        <w:autoSpaceDE/>
        <w:autoSpaceDN/>
        <w:bidi w:val="0"/>
        <w:adjustRightInd/>
        <w:ind w:left="420" w:firstLine="0" w:firstLineChars="0"/>
        <w:jc w:val="center"/>
        <w:textAlignment w:val="auto"/>
        <w:rPr>
          <w:rFonts w:ascii="仿宋" w:hAnsi="仿宋" w:eastAsia="仿宋"/>
          <w:sz w:val="32"/>
        </w:rPr>
      </w:pPr>
    </w:p>
    <w:p>
      <w:pPr>
        <w:spacing w:line="600" w:lineRule="exact"/>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（图2：收入决算结构图）</w:t>
      </w:r>
    </w:p>
    <w:p>
      <w:pPr>
        <w:pStyle w:val="28"/>
        <w:numPr>
          <w:ilvl w:val="0"/>
          <w:numId w:val="1"/>
        </w:numPr>
        <w:spacing w:line="600" w:lineRule="exact"/>
        <w:ind w:firstLineChars="0"/>
        <w:outlineLvl w:val="1"/>
        <w:rPr>
          <w:rFonts w:hint="default" w:ascii="Times New Roman" w:hAnsi="Times New Roman" w:eastAsia="黑体" w:cs="Times New Roman"/>
          <w:sz w:val="32"/>
          <w:szCs w:val="32"/>
          <w:lang w:val="en-US" w:eastAsia="zh-CN"/>
        </w:rPr>
      </w:pPr>
      <w:bookmarkStart w:id="31" w:name="_Toc1474663599"/>
      <w:bookmarkStart w:id="32" w:name="_Toc15377207"/>
      <w:bookmarkStart w:id="33" w:name="_Toc15396605"/>
      <w:r>
        <w:rPr>
          <w:rFonts w:hint="eastAsia" w:ascii="Times New Roman" w:hAnsi="Times New Roman" w:eastAsia="黑体" w:cs="Times New Roman"/>
          <w:sz w:val="32"/>
          <w:szCs w:val="32"/>
          <w:lang w:val="en-US" w:eastAsia="zh-CN"/>
        </w:rPr>
        <w:t>支出决算情况说明</w:t>
      </w:r>
      <w:bookmarkEnd w:id="31"/>
      <w:bookmarkEnd w:id="32"/>
      <w:bookmarkEnd w:id="33"/>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2023年度本年支出合计</w:t>
      </w:r>
      <w:r>
        <w:rPr>
          <w:rFonts w:hint="default" w:ascii="Times New Roman" w:hAnsi="Times New Roman" w:eastAsia="仿宋_GB2312" w:cs="Times New Roman"/>
          <w:sz w:val="32"/>
          <w:szCs w:val="32"/>
        </w:rPr>
        <w:t>91.51</w:t>
      </w:r>
      <w:r>
        <w:rPr>
          <w:rFonts w:hint="eastAsia" w:ascii="Times New Roman" w:hAnsi="Times New Roman" w:eastAsia="仿宋_GB2312" w:cs="Times New Roman"/>
          <w:sz w:val="32"/>
          <w:szCs w:val="32"/>
        </w:rPr>
        <w:t>万元，其中：基本支出</w:t>
      </w:r>
      <w:r>
        <w:rPr>
          <w:rFonts w:hint="default" w:ascii="Times New Roman" w:hAnsi="Times New Roman" w:eastAsia="仿宋_GB2312" w:cs="Times New Roman"/>
          <w:sz w:val="32"/>
          <w:szCs w:val="32"/>
        </w:rPr>
        <w:t>84.68</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92.54%</w:t>
      </w:r>
      <w:r>
        <w:rPr>
          <w:rFonts w:hint="eastAsia" w:ascii="Times New Roman" w:hAnsi="Times New Roman" w:eastAsia="仿宋_GB2312" w:cs="Times New Roman"/>
          <w:sz w:val="32"/>
          <w:szCs w:val="32"/>
        </w:rPr>
        <w:t>；项目支出</w:t>
      </w:r>
      <w:r>
        <w:rPr>
          <w:rFonts w:hint="default" w:ascii="Times New Roman" w:hAnsi="Times New Roman" w:eastAsia="仿宋_GB2312" w:cs="Times New Roman"/>
          <w:sz w:val="32"/>
          <w:szCs w:val="32"/>
        </w:rPr>
        <w:t>6.83</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7.45%</w:t>
      </w:r>
      <w:r>
        <w:rPr>
          <w:rFonts w:hint="eastAsia" w:ascii="Times New Roman" w:hAnsi="Times New Roman" w:eastAsia="仿宋_GB2312" w:cs="Times New Roman"/>
          <w:sz w:val="32"/>
          <w:szCs w:val="32"/>
        </w:rPr>
        <w:t>；上缴上级支出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；经营支出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；对附属单位补助支出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w:t>
      </w:r>
    </w:p>
    <w:p>
      <w:pPr>
        <w:spacing w:line="600" w:lineRule="exact"/>
        <w:ind w:firstLine="640"/>
        <w:rPr>
          <w:rFonts w:ascii="仿宋" w:hAnsi="仿宋" w:eastAsia="仿宋"/>
          <w:sz w:val="32"/>
          <w:szCs w:val="32"/>
          <w:shd w:val="pct10" w:color="auto" w:fill="FFFFFF"/>
        </w:rPr>
      </w:pPr>
      <w:r>
        <w:rPr>
          <w:rFonts w:ascii="黑体" w:hAnsi="黑体" w:eastAsia="黑体"/>
          <w:sz w:val="32"/>
          <w:szCs w:val="32"/>
        </w:rPr>
        <w:pict>
          <v:shape id="Object 4" o:spid="_x0000_s1028" o:spt="75" type="#_x0000_t75" style="position:absolute;left:0pt;margin-left:69.05pt;margin-top:12.55pt;height:183.3pt;width:303.55pt;mso-wrap-distance-left:9pt;mso-wrap-distance-right:9pt;z-index:-251653120;mso-width-relative:page;mso-height-relative:page;" o:ole="t" filled="f" o:preferrelative="t" stroked="f" coordsize="21600,21600" wrapcoords="21592 -2 0 0 0 21600 21592 21602 8 21602 21600 21600 21600 0 8 -2 21592 -2">
            <v:path/>
            <v:fill on="f" focussize="0,0"/>
            <v:stroke on="f"/>
            <v:imagedata r:id="rId13" o:title=""/>
            <o:lock v:ext="edit" aspectratio="t"/>
            <w10:wrap type="tight"/>
          </v:shape>
          <o:OLEObject Type="Embed" ProgID="Excel.Sheet.8" ShapeID="Object 4" DrawAspect="Content" ObjectID="_1468075727" r:id="rId12">
            <o:LockedField>false</o:LockedField>
          </o:OLEObject>
        </w:pict>
      </w:r>
    </w:p>
    <w:p>
      <w:pPr>
        <w:spacing w:line="600" w:lineRule="exact"/>
        <w:ind w:firstLine="640" w:firstLineChars="200"/>
        <w:rPr>
          <w:rFonts w:ascii="仿宋" w:hAnsi="仿宋" w:eastAsia="仿宋"/>
          <w:sz w:val="32"/>
          <w:szCs w:val="32"/>
        </w:rPr>
      </w:pPr>
    </w:p>
    <w:p>
      <w:pPr>
        <w:pStyle w:val="2"/>
        <w:rPr>
          <w:rFonts w:ascii="仿宋" w:hAnsi="仿宋" w:eastAsia="仿宋"/>
          <w:sz w:val="32"/>
          <w:szCs w:val="32"/>
        </w:rPr>
      </w:pPr>
    </w:p>
    <w:p>
      <w:pPr>
        <w:rPr>
          <w:rFonts w:ascii="仿宋" w:hAnsi="仿宋" w:eastAsia="仿宋"/>
          <w:sz w:val="32"/>
          <w:szCs w:val="32"/>
        </w:rPr>
      </w:pPr>
    </w:p>
    <w:p>
      <w:pPr>
        <w:pStyle w:val="2"/>
        <w:rPr>
          <w:rFonts w:ascii="仿宋" w:hAnsi="仿宋" w:eastAsia="仿宋"/>
          <w:sz w:val="32"/>
          <w:szCs w:val="32"/>
        </w:rPr>
      </w:pPr>
    </w:p>
    <w:p>
      <w:pPr>
        <w:rPr>
          <w:rFonts w:ascii="仿宋" w:hAnsi="仿宋" w:eastAsia="仿宋"/>
          <w:sz w:val="32"/>
          <w:szCs w:val="32"/>
        </w:rPr>
      </w:pPr>
    </w:p>
    <w:p>
      <w:pPr>
        <w:pStyle w:val="2"/>
      </w:pPr>
    </w:p>
    <w:p>
      <w:pPr>
        <w:spacing w:line="600" w:lineRule="exact"/>
        <w:ind w:firstLine="640" w:firstLineChars="200"/>
        <w:jc w:val="center"/>
        <w:rPr>
          <w:rFonts w:ascii="Times New Roman" w:hAnsi="Times New Roman" w:eastAsia="仿宋" w:cs="Times New Roman"/>
          <w:sz w:val="32"/>
          <w:szCs w:val="32"/>
        </w:rPr>
      </w:pPr>
      <w:r>
        <w:rPr>
          <w:rFonts w:hint="eastAsia" w:ascii="Times New Roman" w:hAnsi="Times New Roman" w:eastAsia="仿宋" w:cs="Times New Roman"/>
          <w:sz w:val="32"/>
          <w:szCs w:val="32"/>
        </w:rPr>
        <w:t>（图3：支出决算结构图）</w:t>
      </w:r>
    </w:p>
    <w:p>
      <w:pPr>
        <w:spacing w:line="600" w:lineRule="exact"/>
        <w:ind w:firstLine="640" w:firstLineChars="200"/>
        <w:outlineLvl w:val="1"/>
        <w:rPr>
          <w:rFonts w:hint="default" w:ascii="Times New Roman" w:hAnsi="Times New Roman" w:eastAsia="黑体" w:cs="Times New Roman"/>
          <w:sz w:val="32"/>
          <w:szCs w:val="32"/>
          <w:lang w:val="en-US" w:eastAsia="zh-CN"/>
        </w:rPr>
      </w:pPr>
      <w:bookmarkStart w:id="34" w:name="_Toc2063051429"/>
      <w:bookmarkStart w:id="35" w:name="_Toc15396606"/>
      <w:bookmarkStart w:id="36" w:name="_Toc15377208"/>
      <w:r>
        <w:rPr>
          <w:rFonts w:hint="eastAsia" w:ascii="Times New Roman" w:hAnsi="Times New Roman" w:eastAsia="黑体" w:cs="Times New Roman"/>
          <w:sz w:val="32"/>
          <w:szCs w:val="32"/>
          <w:lang w:val="en-US" w:eastAsia="zh-CN"/>
        </w:rPr>
        <w:t>四、财政拨款收入支出决算总体情况说明</w:t>
      </w:r>
      <w:bookmarkEnd w:id="34"/>
      <w:bookmarkEnd w:id="35"/>
      <w:bookmarkEnd w:id="36"/>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2023年度财政拨款收、支总计均为</w:t>
      </w:r>
      <w:r>
        <w:rPr>
          <w:rFonts w:hint="default" w:ascii="Times New Roman" w:hAnsi="Times New Roman" w:eastAsia="仿宋_GB2312" w:cs="Times New Roman"/>
          <w:sz w:val="32"/>
          <w:szCs w:val="32"/>
        </w:rPr>
        <w:t>91.51</w:t>
      </w:r>
      <w:r>
        <w:rPr>
          <w:rFonts w:hint="eastAsia" w:ascii="Times New Roman" w:hAnsi="Times New Roman" w:eastAsia="仿宋_GB2312" w:cs="Times New Roman"/>
          <w:sz w:val="32"/>
          <w:szCs w:val="32"/>
        </w:rPr>
        <w:t>万元。与2022年度相比，财政拨款收、支总计各增加91.51万元，增长100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。主要变动原因是2023年才新独立纳入一级预算单位。</w:t>
      </w:r>
    </w:p>
    <w:p>
      <w:pPr>
        <w:spacing w:line="600" w:lineRule="exact"/>
        <w:ind w:firstLine="640" w:firstLineChars="200"/>
        <w:rPr>
          <w:rFonts w:hint="default" w:ascii="Times New Roman" w:hAnsi="Times New Roman" w:eastAsia="仿宋" w:cs="Times New Roman"/>
          <w:sz w:val="32"/>
          <w:szCs w:val="32"/>
        </w:rPr>
      </w:pPr>
      <w:r>
        <w:rPr>
          <w:rFonts w:hint="eastAsia" w:ascii="Times New Roman" w:hAnsi="Times New Roman" w:eastAsia="仿宋" w:cs="Times New Roman"/>
          <w:sz w:val="32"/>
          <w:szCs w:val="32"/>
        </w:rPr>
        <w:t>（图4：财政拨款收、支决算总计变动情况）</w:t>
      </w:r>
    </w:p>
    <w:p>
      <w:pPr>
        <w:spacing w:line="600" w:lineRule="exact"/>
        <w:ind w:firstLine="640" w:firstLineChars="200"/>
        <w:outlineLvl w:val="1"/>
        <w:rPr>
          <w:rFonts w:hint="default" w:ascii="Times New Roman" w:hAnsi="Times New Roman" w:eastAsia="黑体" w:cs="Times New Roman"/>
          <w:sz w:val="32"/>
          <w:szCs w:val="32"/>
          <w:lang w:val="en-US" w:eastAsia="zh-CN"/>
        </w:rPr>
      </w:pPr>
      <w:bookmarkStart w:id="37" w:name="_Toc15377209"/>
      <w:bookmarkStart w:id="38" w:name="_Toc15396607"/>
      <w:bookmarkStart w:id="39" w:name="_Toc1947727351"/>
      <w:r>
        <w:rPr>
          <w:rFonts w:hint="eastAsia" w:ascii="Times New Roman" w:hAnsi="Times New Roman" w:eastAsia="黑体" w:cs="Times New Roman"/>
          <w:sz w:val="32"/>
          <w:szCs w:val="32"/>
          <w:lang w:val="en-US" w:eastAsia="zh-CN"/>
        </w:rPr>
        <w:t>五、一般公共预算财政拨款支出决算情况说明</w:t>
      </w:r>
      <w:bookmarkEnd w:id="37"/>
      <w:bookmarkEnd w:id="38"/>
      <w:bookmarkEnd w:id="39"/>
    </w:p>
    <w:p>
      <w:pPr>
        <w:spacing w:line="600" w:lineRule="exact"/>
        <w:ind w:firstLine="643" w:firstLineChars="200"/>
        <w:outlineLvl w:val="2"/>
        <w:rPr>
          <w:rFonts w:hint="eastAsia" w:ascii="方正楷体_GBK" w:hAnsi="Times New Roman" w:eastAsia="方正楷体_GBK" w:cs="Times New Roman"/>
          <w:b/>
          <w:bCs/>
          <w:sz w:val="32"/>
          <w:szCs w:val="32"/>
        </w:rPr>
      </w:pPr>
      <w:bookmarkStart w:id="40" w:name="_Toc27761"/>
      <w:bookmarkStart w:id="41" w:name="_Toc15377210"/>
      <w:r>
        <w:rPr>
          <w:rFonts w:hint="eastAsia" w:ascii="方正楷体_GBK" w:hAnsi="Times New Roman" w:eastAsia="方正楷体_GBK" w:cs="Times New Roman"/>
          <w:b/>
          <w:bCs/>
          <w:sz w:val="32"/>
          <w:szCs w:val="32"/>
        </w:rPr>
        <w:t>（一）一般公共预算财政拨款支出决算总体情况</w:t>
      </w:r>
      <w:bookmarkEnd w:id="40"/>
      <w:bookmarkEnd w:id="41"/>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2023年度一般公共预算财政拨款支出</w:t>
      </w:r>
      <w:r>
        <w:rPr>
          <w:rFonts w:hint="default" w:ascii="Times New Roman" w:hAnsi="Times New Roman" w:eastAsia="仿宋_GB2312" w:cs="Times New Roman"/>
          <w:sz w:val="32"/>
          <w:szCs w:val="32"/>
        </w:rPr>
        <w:t>91.51</w:t>
      </w:r>
      <w:r>
        <w:rPr>
          <w:rFonts w:hint="eastAsia" w:ascii="Times New Roman" w:hAnsi="Times New Roman" w:eastAsia="仿宋_GB2312" w:cs="Times New Roman"/>
          <w:sz w:val="32"/>
          <w:szCs w:val="32"/>
        </w:rPr>
        <w:t>万元，占本年支出合计的</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。与2022年度相比，一般公共预算财政拨款支出增加91.51万元，增长100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。主要变动原因是2023年才新独立纳入一级预算单位。</w:t>
      </w:r>
    </w:p>
    <w:p>
      <w:pPr>
        <w:spacing w:line="600" w:lineRule="exact"/>
        <w:ind w:firstLine="643" w:firstLineChars="200"/>
        <w:rPr>
          <w:rFonts w:ascii="仿宋" w:hAnsi="仿宋" w:eastAsia="仿宋"/>
          <w:sz w:val="32"/>
          <w:szCs w:val="32"/>
        </w:rPr>
      </w:pPr>
      <w:r>
        <w:rPr>
          <w:rFonts w:ascii="仿宋" w:hAnsi="仿宋" w:eastAsia="仿宋"/>
          <w:b/>
          <w:sz w:val="32"/>
          <w:szCs w:val="32"/>
        </w:rPr>
        <w:pict>
          <v:shape id="_x0000_s1030" o:spid="_x0000_s1030" o:spt="75" type="#_x0000_t75" style="position:absolute;left:0pt;margin-left:27.6pt;margin-top:2.6pt;height:183.7pt;width:381.35pt;z-index:-251652096;mso-width-relative:page;mso-height-relative:page;" o:ole="t" filled="f" o:preferrelative="t" stroked="f" coordsize="21600,21600">
            <v:path/>
            <v:fill on="f" focussize="0,0"/>
            <v:stroke on="f" joinstyle="miter"/>
            <v:imagedata r:id="rId15" o:title=""/>
            <o:lock v:ext="edit" aspectratio="t"/>
          </v:shape>
          <o:OLEObject Type="Embed" ProgID="Excel.Chart.8" ShapeID="_x0000_s1030" DrawAspect="Content" ObjectID="_1468075728" r:id="rId14">
            <o:LockedField>false</o:LockedField>
          </o:OLEObject>
        </w:pic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（图5：一般公共预算财政拨款支出决算变动情况）</w:t>
      </w:r>
      <w:bookmarkStart w:id="42" w:name="_Toc15377211"/>
    </w:p>
    <w:p>
      <w:pPr>
        <w:spacing w:line="600" w:lineRule="exact"/>
        <w:ind w:firstLine="643" w:firstLineChars="200"/>
        <w:outlineLvl w:val="2"/>
        <w:rPr>
          <w:rFonts w:hint="eastAsia" w:ascii="方正楷体_GBK" w:hAnsi="Times New Roman" w:eastAsia="方正楷体_GBK" w:cs="Times New Roman"/>
          <w:b/>
          <w:bCs/>
          <w:sz w:val="32"/>
          <w:szCs w:val="32"/>
        </w:rPr>
      </w:pPr>
      <w:bookmarkStart w:id="43" w:name="_Toc15920"/>
      <w:r>
        <w:rPr>
          <w:rFonts w:hint="eastAsia" w:ascii="方正楷体_GBK" w:hAnsi="Times New Roman" w:eastAsia="方正楷体_GBK" w:cs="Times New Roman"/>
          <w:b/>
          <w:bCs/>
          <w:sz w:val="32"/>
          <w:szCs w:val="32"/>
        </w:rPr>
        <w:t>（二）一般公共预算财政拨款支出决算结构情况</w:t>
      </w:r>
      <w:bookmarkEnd w:id="42"/>
      <w:bookmarkEnd w:id="43"/>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2023年度一般公共预算财政拨款支出</w:t>
      </w:r>
      <w:r>
        <w:rPr>
          <w:rFonts w:hint="default" w:ascii="Times New Roman" w:hAnsi="Times New Roman" w:eastAsia="仿宋_GB2312" w:cs="Times New Roman"/>
          <w:sz w:val="32"/>
          <w:szCs w:val="32"/>
        </w:rPr>
        <w:t>91.51</w:t>
      </w:r>
      <w:r>
        <w:rPr>
          <w:rFonts w:hint="eastAsia" w:ascii="Times New Roman" w:hAnsi="Times New Roman" w:eastAsia="仿宋_GB2312" w:cs="Times New Roman"/>
          <w:sz w:val="32"/>
          <w:szCs w:val="32"/>
        </w:rPr>
        <w:t>万元，主要用于以下方面</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社会保障和就业支出79.35万元，占86.71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；卫生健康支出6.32万元，占6.91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；住房保障支出5.84万元，占6.38</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r>
        <w:rPr>
          <w:rFonts w:ascii="黑体" w:hAnsi="黑体" w:eastAsia="黑体"/>
          <w:sz w:val="32"/>
          <w:szCs w:val="32"/>
        </w:rPr>
        <w:pict>
          <v:shape id="_x0000_s1032" o:spid="_x0000_s1032" o:spt="75" type="#_x0000_t75" style="position:absolute;left:0pt;margin-left:48.15pt;margin-top:14.25pt;height:222.75pt;width:340.35pt;mso-wrap-distance-bottom:0pt;mso-wrap-distance-left:9pt;mso-wrap-distance-right:9pt;mso-wrap-distance-top:0pt;z-index:251665408;mso-width-relative:page;mso-height-relative:page;" o:ole="t" filled="f" o:preferrelative="t" stroked="f" coordsize="21600,21600">
            <v:path/>
            <v:fill on="f" focussize="0,0"/>
            <v:stroke on="f" joinstyle="miter"/>
            <v:imagedata r:id="rId17" o:title=""/>
            <o:lock v:ext="edit" aspectratio="t"/>
            <w10:wrap type="square"/>
          </v:shape>
          <o:OLEObject Type="Embed" ProgID="Excel.Chart.8" ShapeID="_x0000_s1032" DrawAspect="Content" ObjectID="_1468075729" r:id="rId16">
            <o:LockedField>false</o:LockedField>
          </o:OLEObject>
        </w:pict>
      </w: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hint="eastAsia" w:ascii="方正楷体_GBK" w:hAnsi="Times New Roman" w:eastAsia="方正楷体_GBK" w:cs="Times New Roman"/>
          <w:b/>
          <w:bCs/>
          <w:sz w:val="32"/>
          <w:szCs w:val="32"/>
        </w:rPr>
      </w:pPr>
      <w:bookmarkStart w:id="44" w:name="_Toc15377212"/>
      <w:bookmarkStart w:id="45" w:name="_Toc14985"/>
      <w:r>
        <w:rPr>
          <w:rFonts w:hint="eastAsia" w:ascii="方正楷体_GBK" w:hAnsi="Times New Roman" w:eastAsia="方正楷体_GBK" w:cs="Times New Roman"/>
          <w:b/>
          <w:bCs/>
          <w:sz w:val="32"/>
          <w:szCs w:val="32"/>
        </w:rPr>
        <w:t>（三）一般公共预算财政拨款支出决算具体情况</w:t>
      </w:r>
      <w:bookmarkEnd w:id="44"/>
      <w:bookmarkEnd w:id="45"/>
    </w:p>
    <w:p>
      <w:pPr>
        <w:spacing w:line="600" w:lineRule="exact"/>
        <w:ind w:firstLine="640" w:firstLineChars="200"/>
        <w:rPr>
          <w:rFonts w:hint="default" w:ascii="Times New Roman" w:hAnsi="Times New Roman" w:eastAsia="仿宋_GB2312" w:cs="Times New Roman"/>
          <w:sz w:val="32"/>
          <w:szCs w:val="32"/>
        </w:rPr>
      </w:pPr>
      <w:bookmarkStart w:id="46" w:name="_Toc15378460"/>
      <w:bookmarkStart w:id="47" w:name="_Toc15377213"/>
      <w:bookmarkStart w:id="48" w:name="_Toc15377444"/>
      <w:r>
        <w:rPr>
          <w:rFonts w:hint="eastAsia" w:ascii="Times New Roman" w:hAnsi="Times New Roman" w:eastAsia="仿宋_GB2312" w:cs="Times New Roman"/>
          <w:sz w:val="32"/>
          <w:szCs w:val="32"/>
        </w:rPr>
        <w:t>2023年度一般公共预算支出决算数为</w:t>
      </w:r>
      <w:r>
        <w:rPr>
          <w:rFonts w:hint="default" w:ascii="Times New Roman" w:hAnsi="Times New Roman" w:eastAsia="仿宋_GB2312" w:cs="Times New Roman"/>
          <w:sz w:val="32"/>
          <w:szCs w:val="32"/>
        </w:rPr>
        <w:t>91.51</w:t>
      </w:r>
      <w:r>
        <w:rPr>
          <w:rFonts w:hint="eastAsia" w:ascii="Times New Roman" w:hAnsi="Times New Roman" w:eastAsia="仿宋_GB2312" w:cs="Times New Roman"/>
          <w:sz w:val="32"/>
          <w:szCs w:val="32"/>
          <w:lang w:val="en-US" w:eastAsia="zh-CN"/>
        </w:rPr>
        <w:t>万元</w:t>
      </w:r>
      <w:r>
        <w:rPr>
          <w:rFonts w:hint="eastAsia" w:ascii="Times New Roman" w:hAnsi="Times New Roman" w:eastAsia="仿宋_GB2312" w:cs="Times New Roman"/>
          <w:sz w:val="32"/>
          <w:szCs w:val="32"/>
        </w:rPr>
        <w:t>，完成预算100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。其中：</w:t>
      </w:r>
      <w:bookmarkEnd w:id="46"/>
      <w:bookmarkEnd w:id="47"/>
      <w:bookmarkEnd w:id="48"/>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rPr>
        <w:t>1.</w:t>
      </w:r>
      <w:r>
        <w:rPr>
          <w:rFonts w:hint="eastAsia" w:ascii="Times New Roman" w:hAnsi="Times New Roman" w:eastAsia="仿宋_GB2312" w:cs="Times New Roman"/>
          <w:b/>
          <w:bCs/>
          <w:sz w:val="32"/>
          <w:szCs w:val="32"/>
        </w:rPr>
        <w:t>社会保障和就业（208类）行政事业单位养老支出（05款）机关事业单位基本养老保险缴费支出（05项）</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支出决算为7.17万元，完成预算100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w:t>
      </w:r>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lang w:val="en-US" w:eastAsia="zh-CN"/>
        </w:rPr>
        <w:t>2.</w:t>
      </w:r>
      <w:r>
        <w:rPr>
          <w:rFonts w:hint="eastAsia" w:ascii="Times New Roman" w:hAnsi="Times New Roman" w:eastAsia="仿宋_GB2312" w:cs="Times New Roman"/>
          <w:b/>
          <w:bCs/>
          <w:sz w:val="32"/>
          <w:szCs w:val="32"/>
        </w:rPr>
        <w:t>社会保障和就业（208类）红十字事业（16款）行政运行（01项）</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支出决算为65.35万元，完成预算100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w:t>
      </w:r>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rPr>
        <w:t>3</w:t>
      </w:r>
      <w:r>
        <w:rPr>
          <w:rFonts w:hint="default"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社会保障和就业（208类）红十字事业（16款）其他红十字事业支出（99项）</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支出决算为6.83万元，完成预算100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w:t>
      </w:r>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rPr>
        <w:t>4</w:t>
      </w:r>
      <w:r>
        <w:rPr>
          <w:rFonts w:hint="default"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卫生健康（210类）行政事业单位医疗（11款）行政单位医疗（01项）</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支出决算为3.81万元，完成预算100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w:t>
      </w:r>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rPr>
        <w:t>5</w:t>
      </w:r>
      <w:r>
        <w:rPr>
          <w:rFonts w:hint="default"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卫生健康（210类）行政事业单位医疗（11款）公务员医疗补助（03项）</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支出决算为0.32万元，完成预算100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w:t>
      </w:r>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rPr>
        <w:t>6</w:t>
      </w:r>
      <w:r>
        <w:rPr>
          <w:rFonts w:hint="default"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卫生健康（210类）行政事业单位医疗（11款）其他行政事业单位医疗支出（99项）</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支出决算为2.19万元，完成预算100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w:t>
      </w:r>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rPr>
        <w:t>7.住房保障（221类）住房改革支出（02款）住房公积金（01项）</w:t>
      </w: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sz w:val="32"/>
          <w:szCs w:val="32"/>
        </w:rPr>
        <w:t>支出决算为5.84万元，完成预算100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，决算数等于预算数。</w:t>
      </w:r>
    </w:p>
    <w:p>
      <w:pPr>
        <w:tabs>
          <w:tab w:val="right" w:pos="8306"/>
        </w:tabs>
        <w:spacing w:line="600" w:lineRule="exact"/>
        <w:ind w:firstLine="640"/>
        <w:outlineLvl w:val="1"/>
        <w:rPr>
          <w:rFonts w:hint="eastAsia" w:ascii="Times New Roman" w:hAnsi="Times New Roman" w:eastAsia="黑体" w:cs="Times New Roman"/>
          <w:sz w:val="32"/>
          <w:szCs w:val="32"/>
          <w:lang w:val="en-US" w:eastAsia="zh-CN"/>
        </w:rPr>
      </w:pPr>
      <w:bookmarkStart w:id="49" w:name="_Toc15377214"/>
      <w:bookmarkStart w:id="50" w:name="_Toc15396608"/>
      <w:bookmarkStart w:id="51" w:name="_Toc759488577"/>
      <w:r>
        <w:rPr>
          <w:rFonts w:hint="eastAsia" w:ascii="Times New Roman" w:hAnsi="Times New Roman" w:eastAsia="黑体" w:cs="Times New Roman"/>
          <w:sz w:val="32"/>
          <w:szCs w:val="32"/>
          <w:lang w:val="en-US" w:eastAsia="zh-CN"/>
        </w:rPr>
        <w:t>六、一般公共预算财政拨款基本支出决算情况说明</w:t>
      </w:r>
      <w:bookmarkEnd w:id="49"/>
      <w:bookmarkEnd w:id="50"/>
      <w:bookmarkEnd w:id="51"/>
      <w:r>
        <w:rPr>
          <w:rFonts w:hint="eastAsia" w:ascii="Times New Roman" w:hAnsi="Times New Roman" w:eastAsia="黑体" w:cs="Times New Roman"/>
          <w:sz w:val="32"/>
          <w:szCs w:val="32"/>
          <w:lang w:val="en-US" w:eastAsia="zh-CN"/>
        </w:rPr>
        <w:tab/>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2023年度一般公共预算财政拨款基本支出</w:t>
      </w:r>
      <w:r>
        <w:rPr>
          <w:rFonts w:hint="default" w:ascii="Times New Roman" w:hAnsi="Times New Roman" w:eastAsia="仿宋_GB2312" w:cs="Times New Roman"/>
          <w:sz w:val="32"/>
          <w:szCs w:val="32"/>
        </w:rPr>
        <w:t>84.68</w:t>
      </w:r>
      <w:r>
        <w:rPr>
          <w:rFonts w:hint="eastAsia" w:ascii="Times New Roman" w:hAnsi="Times New Roman" w:eastAsia="仿宋_GB2312" w:cs="Times New Roman"/>
          <w:sz w:val="32"/>
          <w:szCs w:val="32"/>
        </w:rPr>
        <w:t>万元，其中：</w:t>
      </w:r>
    </w:p>
    <w:p>
      <w:pPr>
        <w:spacing w:line="600" w:lineRule="exact"/>
        <w:ind w:firstLine="643"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b/>
          <w:bCs/>
          <w:sz w:val="32"/>
          <w:szCs w:val="32"/>
        </w:rPr>
        <w:t>人员经费</w:t>
      </w:r>
      <w:r>
        <w:rPr>
          <w:rFonts w:hint="default" w:ascii="Times New Roman" w:hAnsi="Times New Roman" w:eastAsia="仿宋_GB2312" w:cs="Times New Roman"/>
          <w:b/>
          <w:bCs/>
          <w:sz w:val="32"/>
          <w:szCs w:val="32"/>
        </w:rPr>
        <w:t>76.32</w:t>
      </w:r>
      <w:r>
        <w:rPr>
          <w:rFonts w:hint="eastAsia" w:ascii="Times New Roman" w:hAnsi="Times New Roman" w:eastAsia="仿宋_GB2312" w:cs="Times New Roman"/>
          <w:b/>
          <w:bCs/>
          <w:sz w:val="32"/>
          <w:szCs w:val="32"/>
        </w:rPr>
        <w:t>万元，</w:t>
      </w:r>
      <w:r>
        <w:rPr>
          <w:rFonts w:hint="eastAsia" w:ascii="Times New Roman" w:hAnsi="Times New Roman" w:eastAsia="仿宋_GB2312" w:cs="Times New Roman"/>
          <w:sz w:val="32"/>
          <w:szCs w:val="32"/>
        </w:rPr>
        <w:t>主要包括：基本工资、津贴补贴、奖金、其他工资福利支出、机关事业单位基本养老保险缴费、其他社会保障缴费、医疗费补助、住房公积金、奖励金等。</w:t>
      </w:r>
    </w:p>
    <w:p>
      <w:pPr>
        <w:spacing w:line="600" w:lineRule="exact"/>
        <w:ind w:firstLine="643"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b/>
          <w:bCs/>
          <w:sz w:val="32"/>
          <w:szCs w:val="32"/>
        </w:rPr>
        <w:t>公用经费</w:t>
      </w:r>
      <w:r>
        <w:rPr>
          <w:rFonts w:hint="default" w:ascii="Times New Roman" w:hAnsi="Times New Roman" w:eastAsia="仿宋_GB2312" w:cs="Times New Roman"/>
          <w:b/>
          <w:bCs/>
          <w:sz w:val="32"/>
          <w:szCs w:val="32"/>
        </w:rPr>
        <w:t>8.37</w:t>
      </w:r>
      <w:r>
        <w:rPr>
          <w:rFonts w:hint="eastAsia" w:ascii="Times New Roman" w:hAnsi="Times New Roman" w:eastAsia="仿宋_GB2312" w:cs="Times New Roman"/>
          <w:b/>
          <w:bCs/>
          <w:sz w:val="32"/>
          <w:szCs w:val="32"/>
        </w:rPr>
        <w:t>万元，</w:t>
      </w:r>
      <w:r>
        <w:rPr>
          <w:rFonts w:hint="eastAsia" w:ascii="Times New Roman" w:hAnsi="Times New Roman" w:eastAsia="仿宋_GB2312" w:cs="Times New Roman"/>
          <w:sz w:val="32"/>
          <w:szCs w:val="32"/>
        </w:rPr>
        <w:t>主要包括：办公费、印刷费电费、邮电费、差旅费、培训费、专用材料费、劳务费、工会经费、福利费、其他交通费、其他商品和服务支出等。</w:t>
      </w:r>
    </w:p>
    <w:p>
      <w:pPr>
        <w:spacing w:line="600" w:lineRule="exact"/>
        <w:ind w:firstLine="640" w:firstLineChars="200"/>
        <w:outlineLvl w:val="1"/>
        <w:rPr>
          <w:rFonts w:hint="eastAsia" w:ascii="Times New Roman" w:hAnsi="Times New Roman" w:eastAsia="黑体" w:cs="Times New Roman"/>
          <w:sz w:val="32"/>
          <w:szCs w:val="32"/>
          <w:lang w:val="en-US" w:eastAsia="zh-CN"/>
        </w:rPr>
      </w:pPr>
      <w:bookmarkStart w:id="52" w:name="_Toc929460199"/>
      <w:bookmarkStart w:id="53" w:name="_Toc15377215"/>
      <w:bookmarkStart w:id="54" w:name="_Toc15396609"/>
      <w:r>
        <w:rPr>
          <w:rFonts w:hint="eastAsia" w:ascii="Times New Roman" w:hAnsi="Times New Roman" w:eastAsia="黑体" w:cs="Times New Roman"/>
          <w:sz w:val="32"/>
          <w:szCs w:val="32"/>
          <w:lang w:val="en-US" w:eastAsia="zh-CN"/>
        </w:rPr>
        <w:t>七、财政拨款“三公”经费支出决算情况说明</w:t>
      </w:r>
      <w:bookmarkEnd w:id="52"/>
      <w:bookmarkEnd w:id="53"/>
      <w:bookmarkEnd w:id="54"/>
    </w:p>
    <w:p>
      <w:pPr>
        <w:spacing w:line="600" w:lineRule="exact"/>
        <w:ind w:firstLine="640"/>
        <w:outlineLvl w:val="2"/>
        <w:rPr>
          <w:rFonts w:hint="eastAsia" w:ascii="方正楷体_GBK" w:hAnsi="方正楷体_GBK" w:eastAsia="方正楷体_GBK" w:cs="方正楷体_GBK"/>
          <w:b/>
          <w:bCs w:val="0"/>
          <w:sz w:val="32"/>
          <w:szCs w:val="32"/>
        </w:rPr>
      </w:pPr>
      <w:bookmarkStart w:id="55" w:name="_Toc8239"/>
      <w:bookmarkStart w:id="56" w:name="_Toc15377216"/>
      <w:r>
        <w:rPr>
          <w:rFonts w:hint="eastAsia" w:ascii="方正楷体_GBK" w:hAnsi="方正楷体_GBK" w:eastAsia="方正楷体_GBK" w:cs="方正楷体_GBK"/>
          <w:b/>
          <w:bCs w:val="0"/>
          <w:sz w:val="32"/>
          <w:szCs w:val="32"/>
        </w:rPr>
        <w:t>（一）“三公”经费财政拨款支出决算总体情况说明</w:t>
      </w:r>
      <w:bookmarkEnd w:id="55"/>
      <w:bookmarkEnd w:id="56"/>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2023年度“三公”经费财政拨款支出决算为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，较上年度增加万元，增长%。</w:t>
      </w:r>
    </w:p>
    <w:p>
      <w:pPr>
        <w:spacing w:line="600" w:lineRule="exact"/>
        <w:ind w:firstLine="640"/>
        <w:outlineLvl w:val="2"/>
        <w:rPr>
          <w:rFonts w:hint="default" w:ascii="方正楷体_GBK" w:hAnsi="方正楷体_GBK" w:eastAsia="方正楷体_GBK" w:cs="方正楷体_GBK"/>
          <w:b/>
          <w:bCs w:val="0"/>
          <w:sz w:val="32"/>
          <w:szCs w:val="32"/>
        </w:rPr>
      </w:pPr>
      <w:bookmarkStart w:id="57" w:name="_Toc24225"/>
      <w:bookmarkStart w:id="58" w:name="_Toc15377217"/>
      <w:r>
        <w:rPr>
          <w:rFonts w:hint="eastAsia" w:ascii="方正楷体_GBK" w:hAnsi="方正楷体_GBK" w:eastAsia="方正楷体_GBK" w:cs="方正楷体_GBK"/>
          <w:b/>
          <w:bCs w:val="0"/>
          <w:sz w:val="32"/>
          <w:szCs w:val="32"/>
        </w:rPr>
        <w:t>（二）“三公”经费财政拨款支出决算具体情况说明</w:t>
      </w:r>
      <w:bookmarkEnd w:id="57"/>
      <w:bookmarkEnd w:id="58"/>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2023年度“三公”经费财政拨款支出决算中，因公出国（境）费支出决算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；公务用车购置及运行维护费支出决算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。具体情况如下：</w:t>
      </w:r>
    </w:p>
    <w:p>
      <w:pPr>
        <w:spacing w:line="600" w:lineRule="exact"/>
        <w:ind w:firstLine="640"/>
        <w:rPr>
          <w:rFonts w:ascii="仿宋" w:hAnsi="仿宋" w:eastAsia="仿宋"/>
          <w:sz w:val="32"/>
          <w:szCs w:val="32"/>
        </w:rPr>
      </w:pPr>
      <w:r>
        <w:rPr>
          <w:rFonts w:ascii="黑体" w:hAnsi="黑体" w:eastAsia="黑体"/>
          <w:sz w:val="32"/>
          <w:szCs w:val="32"/>
        </w:rPr>
        <w:pict>
          <v:shape id="_x0000_s1033" o:spid="_x0000_s1033" o:spt="75" type="#_x0000_t75" style="position:absolute;left:0pt;margin-left:48.1pt;margin-top:9.15pt;height:222.75pt;width:340.35pt;mso-wrap-distance-bottom:0pt;mso-wrap-distance-left:9pt;mso-wrap-distance-right:9pt;mso-wrap-distance-top:0pt;z-index:251666432;mso-width-relative:page;mso-height-relative:page;" o:ole="t" filled="f" o:preferrelative="t" stroked="f" coordsize="21600,21600">
            <v:path/>
            <v:fill on="f" focussize="0,0"/>
            <v:stroke on="f" joinstyle="miter"/>
            <v:imagedata r:id="rId19" o:title=""/>
            <o:lock v:ext="edit" aspectratio="t"/>
            <w10:wrap type="square"/>
          </v:shape>
          <o:OLEObject Type="Embed" ProgID="Excel.Chart.8" ShapeID="_x0000_s1033" DrawAspect="Content" ObjectID="_1468075730" r:id="rId18">
            <o:LockedField>false</o:LockedField>
          </o:OLEObject>
        </w:pict>
      </w: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jc w:val="center"/>
        <w:textAlignment w:val="auto"/>
        <w:rPr>
          <w:rFonts w:ascii="仿宋" w:hAnsi="仿宋" w:eastAsia="仿宋"/>
          <w:sz w:val="32"/>
          <w:szCs w:val="32"/>
        </w:rPr>
      </w:pPr>
      <w:r>
        <w:rPr>
          <w:rFonts w:hint="eastAsia" w:ascii="仿宋" w:hAnsi="仿宋" w:eastAsia="仿宋"/>
          <w:sz w:val="32"/>
          <w:szCs w:val="32"/>
        </w:rPr>
        <w:t>（图7：“三公”经费财政拨款支出结构）</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因公出国（境）经费支出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次，出国（境）</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人。因公出国（境）支出决算比2022年增加0万元，增长0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rPr>
        <w:t>公务用车购置及运行维护费支出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。公务用车购置及运行维护费支出决算比2022年度增加0万元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增长0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其中：公务用车购置支出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公务用车运行维护费支出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3.公务接待费支出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国内公务接待支出0万元。</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外事接待支出0万元。</w:t>
      </w:r>
      <w:bookmarkStart w:id="59" w:name="_Toc15396610"/>
      <w:bookmarkStart w:id="60" w:name="_Toc15377218"/>
    </w:p>
    <w:p>
      <w:pPr>
        <w:spacing w:line="600" w:lineRule="exact"/>
        <w:ind w:firstLine="640" w:firstLineChars="200"/>
        <w:outlineLvl w:val="1"/>
        <w:rPr>
          <w:rFonts w:hint="eastAsia" w:ascii="Times New Roman" w:hAnsi="Times New Roman" w:eastAsia="黑体" w:cs="Times New Roman"/>
          <w:sz w:val="32"/>
          <w:szCs w:val="32"/>
          <w:lang w:val="en-US" w:eastAsia="zh-CN"/>
        </w:rPr>
      </w:pPr>
      <w:bookmarkStart w:id="61" w:name="_Toc1590978794"/>
      <w:r>
        <w:rPr>
          <w:rFonts w:hint="eastAsia" w:ascii="Times New Roman" w:hAnsi="Times New Roman" w:eastAsia="黑体" w:cs="Times New Roman"/>
          <w:sz w:val="32"/>
          <w:szCs w:val="32"/>
          <w:lang w:val="en-US" w:eastAsia="zh-CN"/>
        </w:rPr>
        <w:t>八、政府性基金预算支出决算情况说明</w:t>
      </w:r>
      <w:bookmarkEnd w:id="59"/>
      <w:bookmarkEnd w:id="60"/>
      <w:bookmarkEnd w:id="61"/>
    </w:p>
    <w:p>
      <w:pPr>
        <w:spacing w:line="600" w:lineRule="exac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2023年度政府性基金预算财政拨款支出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p>
    <w:p>
      <w:pPr>
        <w:spacing w:line="600" w:lineRule="exact"/>
        <w:ind w:firstLine="640" w:firstLineChars="200"/>
        <w:outlineLvl w:val="1"/>
        <w:rPr>
          <w:rFonts w:hint="eastAsia" w:ascii="Times New Roman" w:hAnsi="Times New Roman" w:eastAsia="黑体" w:cs="Times New Roman"/>
          <w:sz w:val="32"/>
          <w:szCs w:val="32"/>
          <w:lang w:val="en-US" w:eastAsia="zh-CN"/>
        </w:rPr>
      </w:pPr>
      <w:bookmarkStart w:id="62" w:name="_Toc634171932"/>
      <w:bookmarkStart w:id="63" w:name="_Toc15377219"/>
      <w:bookmarkStart w:id="64" w:name="_Toc15396611"/>
      <w:r>
        <w:rPr>
          <w:rFonts w:hint="eastAsia" w:ascii="Times New Roman" w:hAnsi="Times New Roman" w:eastAsia="黑体" w:cs="Times New Roman"/>
          <w:sz w:val="32"/>
          <w:szCs w:val="32"/>
          <w:lang w:val="en-US" w:eastAsia="zh-CN"/>
        </w:rPr>
        <w:t>九、国有资本经营预算支出决算情况说明</w:t>
      </w:r>
      <w:bookmarkEnd w:id="62"/>
      <w:bookmarkEnd w:id="63"/>
      <w:bookmarkEnd w:id="64"/>
    </w:p>
    <w:p>
      <w:pPr>
        <w:spacing w:line="600" w:lineRule="exac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2023年度国有资本经营预算财政拨款支出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p>
    <w:p>
      <w:pPr>
        <w:spacing w:line="600" w:lineRule="exact"/>
        <w:ind w:firstLine="640" w:firstLineChars="200"/>
        <w:outlineLvl w:val="1"/>
        <w:rPr>
          <w:rFonts w:hint="eastAsia" w:ascii="Times New Roman" w:hAnsi="Times New Roman" w:eastAsia="黑体" w:cs="Times New Roman"/>
          <w:sz w:val="32"/>
          <w:szCs w:val="32"/>
          <w:lang w:val="en-US" w:eastAsia="zh-CN"/>
        </w:rPr>
      </w:pPr>
      <w:bookmarkStart w:id="65" w:name="_Toc15396612"/>
      <w:bookmarkStart w:id="66" w:name="_Toc15377221"/>
      <w:bookmarkStart w:id="67" w:name="_Toc1138044386"/>
      <w:r>
        <w:rPr>
          <w:rFonts w:hint="eastAsia" w:ascii="Times New Roman" w:hAnsi="Times New Roman" w:eastAsia="黑体" w:cs="Times New Roman"/>
          <w:sz w:val="32"/>
          <w:szCs w:val="32"/>
          <w:lang w:val="en-US" w:eastAsia="zh-CN"/>
        </w:rPr>
        <w:t>十、其他重要事项的情况说明</w:t>
      </w:r>
      <w:bookmarkEnd w:id="65"/>
      <w:bookmarkEnd w:id="66"/>
      <w:bookmarkEnd w:id="67"/>
    </w:p>
    <w:p>
      <w:pPr>
        <w:spacing w:line="600" w:lineRule="exact"/>
        <w:ind w:firstLine="643" w:firstLineChars="200"/>
        <w:outlineLvl w:val="2"/>
        <w:rPr>
          <w:rFonts w:hint="eastAsia" w:ascii="方正楷体_GBK" w:hAnsi="Times New Roman" w:eastAsia="方正楷体_GBK" w:cs="Times New Roman"/>
          <w:b/>
          <w:bCs/>
          <w:sz w:val="32"/>
          <w:szCs w:val="32"/>
        </w:rPr>
      </w:pPr>
      <w:bookmarkStart w:id="68" w:name="_Toc4034"/>
      <w:bookmarkStart w:id="69" w:name="_Toc15377222"/>
      <w:r>
        <w:rPr>
          <w:rFonts w:hint="eastAsia" w:ascii="方正楷体_GBK" w:hAnsi="Times New Roman" w:eastAsia="方正楷体_GBK" w:cs="Times New Roman"/>
          <w:b/>
          <w:bCs/>
          <w:sz w:val="32"/>
          <w:szCs w:val="32"/>
        </w:rPr>
        <w:t>（一）机关运行经费支出情况</w:t>
      </w:r>
      <w:bookmarkEnd w:id="68"/>
      <w:bookmarkEnd w:id="69"/>
    </w:p>
    <w:p>
      <w:pPr>
        <w:spacing w:line="600" w:lineRule="exac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2023年度，盐边县红十字会机关运行经费支出</w:t>
      </w:r>
      <w:r>
        <w:rPr>
          <w:rFonts w:hint="default" w:ascii="Times New Roman" w:hAnsi="Times New Roman" w:eastAsia="仿宋_GB2312" w:cs="Times New Roman"/>
          <w:sz w:val="32"/>
          <w:szCs w:val="32"/>
        </w:rPr>
        <w:t>8.37</w:t>
      </w:r>
      <w:r>
        <w:rPr>
          <w:rFonts w:hint="eastAsia" w:ascii="Times New Roman" w:hAnsi="Times New Roman" w:eastAsia="仿宋_GB2312" w:cs="Times New Roman"/>
          <w:sz w:val="32"/>
          <w:szCs w:val="32"/>
        </w:rPr>
        <w:t>万元，比2022年度增加8.37万元，增长100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（主要原因是2023年才新独立纳入一级预算单位</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w:t>
      </w:r>
    </w:p>
    <w:p>
      <w:pPr>
        <w:spacing w:line="600" w:lineRule="exact"/>
        <w:ind w:firstLine="643" w:firstLineChars="200"/>
        <w:outlineLvl w:val="2"/>
        <w:rPr>
          <w:rFonts w:hint="eastAsia" w:ascii="方正楷体_GBK" w:hAnsi="Times New Roman" w:eastAsia="方正楷体_GBK" w:cs="Times New Roman"/>
          <w:b/>
          <w:bCs/>
          <w:sz w:val="32"/>
          <w:szCs w:val="32"/>
        </w:rPr>
      </w:pPr>
      <w:bookmarkStart w:id="70" w:name="_Toc15377223"/>
      <w:bookmarkStart w:id="71" w:name="_Toc11945"/>
      <w:r>
        <w:rPr>
          <w:rFonts w:hint="eastAsia" w:ascii="方正楷体_GBK" w:hAnsi="Times New Roman" w:eastAsia="方正楷体_GBK" w:cs="Times New Roman"/>
          <w:b/>
          <w:bCs/>
          <w:sz w:val="32"/>
          <w:szCs w:val="32"/>
        </w:rPr>
        <w:t>（二）政府采购支出情况</w:t>
      </w:r>
      <w:bookmarkEnd w:id="70"/>
      <w:bookmarkEnd w:id="71"/>
    </w:p>
    <w:p>
      <w:pPr>
        <w:spacing w:line="600" w:lineRule="exac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2023年度，盐边县红十字会政府采购支出总额</w:t>
      </w:r>
      <w:r>
        <w:rPr>
          <w:rFonts w:hint="default" w:ascii="Times New Roman" w:hAnsi="Times New Roman" w:eastAsia="仿宋_GB2312" w:cs="Times New Roman"/>
          <w:sz w:val="32"/>
          <w:szCs w:val="32"/>
        </w:rPr>
        <w:t>2.9</w:t>
      </w:r>
      <w:r>
        <w:rPr>
          <w:rFonts w:hint="eastAsia" w:ascii="Times New Roman" w:hAnsi="Times New Roman" w:eastAsia="仿宋_GB2312" w:cs="Times New Roman"/>
          <w:sz w:val="32"/>
          <w:szCs w:val="32"/>
        </w:rPr>
        <w:t>万元，其中：政府采购货物支出</w:t>
      </w:r>
      <w:r>
        <w:rPr>
          <w:rFonts w:hint="default" w:ascii="Times New Roman" w:hAnsi="Times New Roman" w:eastAsia="仿宋_GB2312" w:cs="Times New Roman"/>
          <w:sz w:val="32"/>
          <w:szCs w:val="32"/>
        </w:rPr>
        <w:t>2.9</w:t>
      </w:r>
      <w:r>
        <w:rPr>
          <w:rFonts w:hint="eastAsia" w:ascii="Times New Roman" w:hAnsi="Times New Roman" w:eastAsia="仿宋_GB2312" w:cs="Times New Roman"/>
          <w:sz w:val="32"/>
          <w:szCs w:val="32"/>
        </w:rPr>
        <w:t>万元、政府采购工程支出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万元、政府采购服务支出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万元。授予中小企业合同金额</w:t>
      </w:r>
      <w:r>
        <w:rPr>
          <w:rFonts w:hint="default" w:ascii="Times New Roman" w:hAnsi="Times New Roman" w:eastAsia="仿宋_GB2312" w:cs="Times New Roman"/>
          <w:sz w:val="32"/>
          <w:szCs w:val="32"/>
        </w:rPr>
        <w:t>2.9</w:t>
      </w:r>
      <w:r>
        <w:rPr>
          <w:rFonts w:hint="eastAsia"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，其中：授予小微企业合同金额</w:t>
      </w:r>
      <w:r>
        <w:rPr>
          <w:rFonts w:hint="default" w:ascii="Times New Roman" w:hAnsi="Times New Roman" w:eastAsia="仿宋_GB2312" w:cs="Times New Roman"/>
          <w:sz w:val="32"/>
          <w:szCs w:val="32"/>
        </w:rPr>
        <w:t>2.9</w:t>
      </w:r>
      <w:r>
        <w:rPr>
          <w:rFonts w:hint="eastAsia"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w:t>
      </w:r>
    </w:p>
    <w:p>
      <w:pPr>
        <w:spacing w:line="600" w:lineRule="exact"/>
        <w:ind w:firstLine="643" w:firstLineChars="200"/>
        <w:outlineLvl w:val="2"/>
        <w:rPr>
          <w:rFonts w:hint="eastAsia" w:ascii="方正楷体_GBK" w:hAnsi="Times New Roman" w:eastAsia="方正楷体_GBK" w:cs="Times New Roman"/>
          <w:b/>
          <w:bCs/>
          <w:sz w:val="32"/>
          <w:szCs w:val="32"/>
        </w:rPr>
      </w:pPr>
      <w:bookmarkStart w:id="72" w:name="_Toc15377224"/>
      <w:bookmarkStart w:id="73" w:name="_Toc3839"/>
      <w:r>
        <w:rPr>
          <w:rFonts w:hint="eastAsia" w:ascii="方正楷体_GBK" w:hAnsi="Times New Roman" w:eastAsia="方正楷体_GBK" w:cs="Times New Roman"/>
          <w:b/>
          <w:bCs/>
          <w:sz w:val="32"/>
          <w:szCs w:val="32"/>
        </w:rPr>
        <w:t>（三）国有资产占有使用情况</w:t>
      </w:r>
      <w:bookmarkEnd w:id="72"/>
      <w:bookmarkEnd w:id="73"/>
    </w:p>
    <w:p>
      <w:pPr>
        <w:spacing w:line="600" w:lineRule="exac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截至2023年</w:t>
      </w:r>
      <w:r>
        <w:rPr>
          <w:rFonts w:hint="default" w:ascii="Times New Roman" w:hAnsi="Times New Roman" w:eastAsia="仿宋_GB2312" w:cs="Times New Roman"/>
          <w:sz w:val="32"/>
          <w:szCs w:val="32"/>
        </w:rPr>
        <w:t>12</w:t>
      </w:r>
      <w:r>
        <w:rPr>
          <w:rFonts w:hint="eastAsia" w:ascii="Times New Roman" w:hAnsi="Times New Roman" w:eastAsia="仿宋_GB2312" w:cs="Times New Roman"/>
          <w:sz w:val="32"/>
          <w:szCs w:val="32"/>
        </w:rPr>
        <w:t>月</w:t>
      </w:r>
      <w:r>
        <w:rPr>
          <w:rFonts w:hint="default" w:ascii="Times New Roman" w:hAnsi="Times New Roman" w:eastAsia="仿宋_GB2312" w:cs="Times New Roman"/>
          <w:sz w:val="32"/>
          <w:szCs w:val="32"/>
        </w:rPr>
        <w:t>31</w:t>
      </w:r>
      <w:r>
        <w:rPr>
          <w:rFonts w:hint="eastAsia" w:ascii="Times New Roman" w:hAnsi="Times New Roman" w:eastAsia="仿宋_GB2312" w:cs="Times New Roman"/>
          <w:sz w:val="32"/>
          <w:szCs w:val="32"/>
        </w:rPr>
        <w:t>日，盐边县红十字会共有车辆</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辆。单价</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万元以上设备（不含车辆）</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台（套）。</w:t>
      </w:r>
    </w:p>
    <w:p>
      <w:pPr>
        <w:spacing w:line="600" w:lineRule="exact"/>
        <w:ind w:firstLine="643" w:firstLineChars="200"/>
        <w:outlineLvl w:val="2"/>
        <w:rPr>
          <w:rFonts w:hint="eastAsia" w:ascii="方正楷体_GBK" w:hAnsi="Times New Roman" w:eastAsia="方正楷体_GBK" w:cs="Times New Roman"/>
          <w:b/>
          <w:bCs/>
          <w:sz w:val="32"/>
          <w:szCs w:val="32"/>
        </w:rPr>
      </w:pPr>
      <w:bookmarkStart w:id="74" w:name="_Toc18954"/>
      <w:r>
        <w:rPr>
          <w:rFonts w:hint="eastAsia" w:ascii="方正楷体_GBK" w:hAnsi="Times New Roman" w:eastAsia="方正楷体_GBK" w:cs="Times New Roman"/>
          <w:b/>
          <w:bCs/>
          <w:sz w:val="32"/>
          <w:szCs w:val="32"/>
        </w:rPr>
        <w:t>（四）预算绩效管理情况</w:t>
      </w:r>
      <w:bookmarkEnd w:id="74"/>
    </w:p>
    <w:p>
      <w:pPr>
        <w:spacing w:line="600" w:lineRule="exact"/>
        <w:ind w:firstLine="64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根据预算绩效管理要求，本部门在2023年度预算编制阶段，组织对红十字会能力建设、三救三献项目2个项目开展了预算事前绩效评估，对2个项目编制了绩效目标，预算执行过程中，选取2个项目开展绩效监控。</w:t>
      </w:r>
    </w:p>
    <w:p>
      <w:pPr>
        <w:spacing w:line="600"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组织对2023年度一般公共预算、政府性基金预算、国有资本经营预算等全面开展绩效自评，形成盐边县红十字会部门整体绩效自评报告、红十字会能力建设、三救三献等专项预算项目绩效自评报告，其中，盐边县红十字会部门整体绩效自评得分为100分，三救三献项目专项预算项目绩效自评得分为100分，绩效自评报告详见附件。</w:t>
      </w:r>
    </w:p>
    <w:p>
      <w:pPr>
        <w:spacing w:line="600"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numPr>
          <w:ilvl w:val="0"/>
          <w:numId w:val="0"/>
        </w:numPr>
        <w:spacing w:line="600" w:lineRule="exact"/>
        <w:ind w:firstLine="660" w:firstLineChars="150"/>
        <w:jc w:val="center"/>
        <w:outlineLvl w:val="0"/>
        <w:rPr>
          <w:rFonts w:hint="default" w:ascii="黑体" w:hAnsi="黑体" w:eastAsia="黑体" w:cs="黑体"/>
          <w:b w:val="0"/>
          <w:bCs/>
          <w:kern w:val="44"/>
          <w:sz w:val="44"/>
          <w:szCs w:val="44"/>
          <w:lang w:val="en-US" w:eastAsia="zh-CN" w:bidi="ar-SA"/>
        </w:rPr>
      </w:pPr>
      <w:bookmarkStart w:id="75" w:name="_Toc423608500"/>
      <w:r>
        <w:rPr>
          <w:rFonts w:hint="eastAsia" w:ascii="黑体" w:hAnsi="黑体" w:eastAsia="黑体" w:cs="黑体"/>
          <w:b w:val="0"/>
          <w:bCs/>
          <w:kern w:val="44"/>
          <w:sz w:val="44"/>
          <w:szCs w:val="44"/>
          <w:lang w:val="en-US" w:eastAsia="zh-CN" w:bidi="ar-SA"/>
        </w:rPr>
        <w:t>第三部分 名词解释</w:t>
      </w:r>
      <w:bookmarkEnd w:id="75"/>
    </w:p>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hAnsi="仿宋_GB2312" w:eastAsia="仿宋_GB2312" w:cs="仿宋_GB2312"/>
          <w:sz w:val="32"/>
          <w:szCs w:val="32"/>
        </w:rPr>
      </w:pPr>
      <w:bookmarkStart w:id="76" w:name="_Toc7595"/>
      <w:bookmarkStart w:id="77" w:name="_Toc557070709"/>
      <w:r>
        <w:rPr>
          <w:rFonts w:hint="eastAsia" w:ascii="仿宋_GB2312" w:hAnsi="仿宋_GB2312" w:eastAsia="仿宋_GB2312" w:cs="仿宋_GB2312"/>
          <w:b/>
          <w:bCs/>
          <w:sz w:val="32"/>
          <w:szCs w:val="32"/>
        </w:rPr>
        <w:t>1.财政拨款收入：</w:t>
      </w:r>
      <w:r>
        <w:rPr>
          <w:rFonts w:hint="eastAsia" w:ascii="仿宋_GB2312" w:hAnsi="仿宋_GB2312" w:eastAsia="仿宋_GB2312" w:cs="仿宋_GB2312"/>
          <w:sz w:val="32"/>
          <w:szCs w:val="32"/>
        </w:rPr>
        <w:t>指单位从同级财政部门取得的财政预算资金。</w:t>
      </w:r>
      <w:bookmarkEnd w:id="76"/>
      <w:bookmarkEnd w:id="77"/>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2.事业收入：</w:t>
      </w:r>
      <w:r>
        <w:rPr>
          <w:rFonts w:hint="eastAsia" w:ascii="仿宋_GB2312" w:hAnsi="仿宋_GB2312" w:eastAsia="仿宋_GB2312" w:cs="仿宋_GB2312"/>
          <w:sz w:val="32"/>
          <w:szCs w:val="32"/>
        </w:rPr>
        <w:t>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3.经营收入：</w:t>
      </w:r>
      <w:r>
        <w:rPr>
          <w:rFonts w:hint="eastAsia" w:ascii="仿宋_GB2312" w:hAnsi="仿宋_GB2312" w:eastAsia="仿宋_GB2312" w:cs="仿宋_GB2312"/>
          <w:sz w:val="32"/>
          <w:szCs w:val="32"/>
        </w:rPr>
        <w:t>指事业单位在专业业务活动及其辅助活动之外开展非独立核算经营活动取得的收入。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hAnsi="仿宋_GB2312" w:eastAsia="仿宋_GB2312" w:cs="仿宋_GB2312"/>
          <w:sz w:val="32"/>
          <w:szCs w:val="32"/>
        </w:rPr>
      </w:pPr>
      <w:bookmarkStart w:id="78" w:name="_Toc7791"/>
      <w:bookmarkStart w:id="79" w:name="_Toc84508784"/>
      <w:r>
        <w:rPr>
          <w:rFonts w:hint="eastAsia" w:ascii="仿宋_GB2312" w:hAnsi="仿宋_GB2312" w:eastAsia="仿宋_GB2312" w:cs="仿宋_GB2312"/>
          <w:b/>
          <w:bCs/>
          <w:sz w:val="32"/>
          <w:szCs w:val="32"/>
        </w:rPr>
        <w:t>4.其他收入：</w:t>
      </w:r>
      <w:r>
        <w:rPr>
          <w:rFonts w:hint="eastAsia" w:ascii="仿宋_GB2312" w:hAnsi="仿宋_GB2312" w:eastAsia="仿宋_GB2312" w:cs="仿宋_GB2312"/>
          <w:sz w:val="32"/>
          <w:szCs w:val="32"/>
        </w:rPr>
        <w:t>指单位取得的除上述收入以外的各项收入。</w:t>
      </w:r>
      <w:bookmarkEnd w:id="78"/>
      <w:bookmarkEnd w:id="79"/>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5.使用非财政拨款结余（含专用结余）：</w:t>
      </w:r>
      <w:r>
        <w:rPr>
          <w:rFonts w:hint="eastAsia" w:ascii="仿宋_GB2312" w:hAnsi="仿宋_GB2312" w:eastAsia="仿宋_GB2312" w:cs="仿宋_GB2312"/>
          <w:sz w:val="32"/>
          <w:szCs w:val="32"/>
        </w:rPr>
        <w:t xml:space="preserve">指事业单位使用以前年度积累的非财政拨款结余弥补当年收支差额的金额。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6.年初结转和结余：</w:t>
      </w:r>
      <w:r>
        <w:rPr>
          <w:rFonts w:hint="eastAsia" w:ascii="仿宋_GB2312" w:hAnsi="仿宋_GB2312" w:eastAsia="仿宋_GB2312" w:cs="仿宋_GB2312"/>
          <w:sz w:val="32"/>
          <w:szCs w:val="32"/>
        </w:rPr>
        <w:t xml:space="preserve">指以前年度尚未完成、结转到本年按有关规定继续使用的资金。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7.结余分配：</w:t>
      </w:r>
      <w:r>
        <w:rPr>
          <w:rFonts w:hint="eastAsia" w:ascii="仿宋_GB2312" w:hAnsi="仿宋_GB2312" w:eastAsia="仿宋_GB2312" w:cs="仿宋_GB2312"/>
          <w:sz w:val="32"/>
          <w:szCs w:val="32"/>
        </w:rPr>
        <w:t>指事业单位按照会计制度规定缴纳的所得税、提取的专用结余以及转入非财政拨款结余的金额等。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8.年末结转和结余：</w:t>
      </w:r>
      <w:r>
        <w:rPr>
          <w:rFonts w:hint="eastAsia" w:ascii="仿宋_GB2312" w:hAnsi="仿宋_GB2312" w:eastAsia="仿宋_GB2312" w:cs="仿宋_GB2312"/>
          <w:sz w:val="32"/>
          <w:szCs w:val="32"/>
        </w:rPr>
        <w:t>指单位按有关规定结转到下年或以后年度继续使用的资金。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9.社会保障和就业（类）行政事业单位养老支出（款）机关事业单位基本养老保险缴费支出（项）：</w:t>
      </w:r>
      <w:r>
        <w:rPr>
          <w:rFonts w:hint="eastAsia" w:ascii="仿宋_GB2312" w:hAnsi="仿宋_GB2312" w:eastAsia="仿宋_GB2312" w:cs="仿宋_GB2312"/>
          <w:sz w:val="32"/>
          <w:szCs w:val="32"/>
        </w:rPr>
        <w:t>指反映机关事业单位实施养老保险制度由单位缴纳的基本养老保险支出。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10.社会保障和就业（类）红十字事业（款）行政运行（项）</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反映行政单位（包括实行公务员管理的事业单位）的基本支出。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11.社会保障和就业（类）红十字事业（款）其他红十字事业支出（项）</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反映除上述项目以外其他用于红十字会事业</w:t>
      </w:r>
      <w:r>
        <w:rPr>
          <w:rFonts w:hint="eastAsia" w:ascii="仿宋_GB2312" w:hAnsi="仿宋_GB2312" w:eastAsia="仿宋_GB2312" w:cs="仿宋_GB2312"/>
          <w:sz w:val="32"/>
          <w:szCs w:val="32"/>
          <w:lang w:val="en-US" w:eastAsia="zh-CN"/>
        </w:rPr>
        <w:t>方</w:t>
      </w:r>
      <w:r>
        <w:rPr>
          <w:rFonts w:hint="eastAsia" w:ascii="仿宋_GB2312" w:hAnsi="仿宋_GB2312" w:eastAsia="仿宋_GB2312" w:cs="仿宋_GB2312"/>
          <w:sz w:val="32"/>
          <w:szCs w:val="32"/>
        </w:rPr>
        <w:t>面的支出。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12.卫生健康支出（类）行政事业单位医疗（款）行政单位医疗（项）</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反映财政部门安排的行政单位（包括实行公务员管理的事业单位，下同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基本医疗保险缴费经费，</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参加医疗保险的行政单位的公费医疗经费，按国家规定享受离休人员、红军老战士待遇人员的</w:t>
      </w:r>
      <w:r>
        <w:rPr>
          <w:rFonts w:hint="eastAsia" w:ascii="仿宋_GB2312" w:hAnsi="仿宋_GB2312" w:eastAsia="仿宋_GB2312" w:cs="仿宋_GB2312"/>
          <w:sz w:val="32"/>
          <w:szCs w:val="32"/>
          <w:lang w:eastAsia="zh-CN"/>
        </w:rPr>
        <w:t>医疗</w:t>
      </w:r>
      <w:r>
        <w:rPr>
          <w:rFonts w:hint="eastAsia" w:ascii="仿宋_GB2312" w:hAnsi="仿宋_GB2312" w:eastAsia="仿宋_GB2312" w:cs="仿宋_GB2312"/>
          <w:sz w:val="32"/>
          <w:szCs w:val="32"/>
        </w:rPr>
        <w:t>经费。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13.卫生健康（类）行政事业单位医疗（款）公务员医疗补助（项）</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反映财政部门安排的公务员医疗补助经费。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14.卫生健康（类）行政事业单位医疗（款）其他行政事业单位医疗支出（项）</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反映除上述项目以外的其他用于行政事业单位医疗方面的支出。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15.住房保障（类）住房改革支出（款）住房公积金（项）</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反映行政事业单位按人力资源和社会保障部、财政部规定的基本工资和津贴补贴以及规定比例为职工缴纳的住房公积金。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16.基本支出：</w:t>
      </w:r>
      <w:r>
        <w:rPr>
          <w:rFonts w:hint="eastAsia" w:ascii="仿宋_GB2312" w:hAnsi="仿宋_GB2312" w:eastAsia="仿宋_GB2312" w:cs="仿宋_GB2312"/>
          <w:sz w:val="32"/>
          <w:szCs w:val="32"/>
        </w:rPr>
        <w:t>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17.项目支出：</w:t>
      </w:r>
      <w:r>
        <w:rPr>
          <w:rFonts w:hint="eastAsia" w:ascii="仿宋_GB2312" w:hAnsi="仿宋_GB2312" w:eastAsia="仿宋_GB2312" w:cs="仿宋_GB2312"/>
          <w:sz w:val="32"/>
          <w:szCs w:val="32"/>
        </w:rPr>
        <w:t xml:space="preserve">指在基本支出之外为完成特定行政任务和事业发展目标所发生的支出。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18.经营支出：</w:t>
      </w:r>
      <w:r>
        <w:rPr>
          <w:rFonts w:hint="eastAsia" w:ascii="仿宋_GB2312" w:hAnsi="仿宋_GB2312" w:eastAsia="仿宋_GB2312" w:cs="仿宋_GB2312"/>
          <w:sz w:val="32"/>
          <w:szCs w:val="32"/>
        </w:rPr>
        <w:t>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19.“三公”经费：</w:t>
      </w:r>
      <w:r>
        <w:rPr>
          <w:rFonts w:hint="eastAsia" w:ascii="仿宋_GB2312" w:hAnsi="仿宋_GB2312" w:eastAsia="仿宋_GB2312" w:cs="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Times New Roman" w:hAnsi="Times New Roman" w:eastAsia="仿宋_GB2312" w:cs="Times New Roman"/>
          <w:sz w:val="32"/>
          <w:szCs w:val="32"/>
        </w:rPr>
      </w:pPr>
      <w:r>
        <w:rPr>
          <w:rFonts w:hint="eastAsia" w:ascii="仿宋_GB2312" w:hAnsi="仿宋_GB2312" w:eastAsia="仿宋_GB2312" w:cs="仿宋_GB2312"/>
          <w:b/>
          <w:bCs/>
          <w:sz w:val="32"/>
          <w:szCs w:val="32"/>
        </w:rPr>
        <w:t>20.机关运行经费：</w:t>
      </w:r>
      <w:r>
        <w:rPr>
          <w:rFonts w:hint="eastAsia" w:ascii="仿宋_GB2312" w:hAnsi="仿宋_GB2312" w:eastAsia="仿宋_GB2312" w:cs="仿宋_GB2312"/>
          <w:sz w:val="32"/>
          <w:szCs w:val="32"/>
        </w:rPr>
        <w:t>为保障行政单位（含参照公务员法管理</w:t>
      </w:r>
      <w:r>
        <w:rPr>
          <w:rFonts w:hint="eastAsia" w:ascii="Times New Roman" w:hAnsi="Times New Roman" w:eastAsia="仿宋_GB2312" w:cs="Times New Roman"/>
          <w:sz w:val="32"/>
          <w:szCs w:val="32"/>
        </w:rPr>
        <w:t>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Times New Roman" w:hAnsi="Times New Roman" w:eastAsia="黑体" w:cs="Times New Roman"/>
          <w:sz w:val="44"/>
          <w:szCs w:val="44"/>
        </w:rPr>
      </w:pPr>
      <w:r>
        <w:rPr>
          <w:rFonts w:hint="eastAsia" w:ascii="Times New Roman" w:hAnsi="Times New Roman" w:eastAsia="仿宋_GB2312" w:cs="Times New Roman"/>
          <w:sz w:val="32"/>
          <w:szCs w:val="32"/>
        </w:rPr>
        <w:br w:type="page"/>
      </w:r>
      <w:bookmarkStart w:id="80" w:name="_Toc15396614"/>
      <w:r>
        <w:rPr>
          <w:rFonts w:hint="eastAsia" w:ascii="Times New Roman" w:hAnsi="Times New Roman" w:eastAsia="黑体" w:cs="Times New Roman"/>
          <w:sz w:val="44"/>
          <w:szCs w:val="44"/>
          <w:lang w:val="en-US" w:eastAsia="zh-CN"/>
        </w:rPr>
        <w:t>第四部分 附件</w:t>
      </w:r>
      <w:bookmarkEnd w:id="80"/>
    </w:p>
    <w:p>
      <w:pPr>
        <w:spacing w:line="600" w:lineRule="exact"/>
        <w:jc w:val="center"/>
        <w:outlineLvl w:val="0"/>
        <w:rPr>
          <w:rFonts w:hint="eastAsia" w:ascii="CESI仿宋-GB2312" w:hAnsi="CESI仿宋-GB2312" w:eastAsia="CESI仿宋-GB2312" w:cs="CESI仿宋-GB2312"/>
          <w:sz w:val="32"/>
          <w:szCs w:val="32"/>
        </w:rPr>
      </w:pPr>
    </w:p>
    <w:p>
      <w:pPr>
        <w:spacing w:line="600" w:lineRule="exact"/>
        <w:jc w:val="center"/>
        <w:outlineLvl w:val="0"/>
        <w:rPr>
          <w:rFonts w:hint="eastAsia" w:ascii="CESI仿宋-GB2312" w:hAnsi="CESI仿宋-GB2312" w:eastAsia="CESI仿宋-GB2312" w:cs="CESI仿宋-GB2312"/>
          <w:sz w:val="32"/>
          <w:szCs w:val="32"/>
        </w:rPr>
      </w:pPr>
      <w:bookmarkStart w:id="81" w:name="_Toc15396618"/>
      <w:r>
        <w:rPr>
          <w:rFonts w:hint="eastAsia" w:ascii="CESI仿宋-GB2312" w:hAnsi="CESI仿宋-GB2312" w:eastAsia="CESI仿宋-GB2312" w:cs="CESI仿宋-GB2312"/>
          <w:sz w:val="32"/>
          <w:szCs w:val="32"/>
        </w:rPr>
        <w:t>部门预算项目支出绩效自评表（2023年度）见附件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GB3212" w:cs="Times New Roman"/>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spacing w:line="600" w:lineRule="exact"/>
        <w:jc w:val="center"/>
        <w:outlineLvl w:val="0"/>
        <w:rPr>
          <w:rFonts w:hint="default" w:ascii="Times New Roman" w:hAnsi="Times New Roman" w:eastAsia="黑体" w:cs="Times New Roman"/>
          <w:sz w:val="44"/>
          <w:szCs w:val="44"/>
        </w:rPr>
      </w:pPr>
      <w:bookmarkStart w:id="82" w:name="_Toc439498069"/>
      <w:r>
        <w:rPr>
          <w:rFonts w:hint="eastAsia" w:ascii="Times New Roman" w:hAnsi="Times New Roman" w:eastAsia="黑体" w:cs="Times New Roman"/>
          <w:sz w:val="44"/>
          <w:szCs w:val="44"/>
        </w:rPr>
        <w:t>第五部分 附表</w:t>
      </w:r>
      <w:bookmarkEnd w:id="26"/>
      <w:bookmarkEnd w:id="81"/>
      <w:bookmarkEnd w:id="82"/>
      <w:bookmarkStart w:id="83" w:name="_Toc15396619"/>
    </w:p>
    <w:p>
      <w:pPr>
        <w:pStyle w:val="4"/>
        <w:rPr>
          <w:rFonts w:hint="eastAsia" w:ascii="CESI仿宋-GB2312" w:hAnsi="CESI仿宋-GB2312" w:eastAsia="CESI仿宋-GB2312" w:cs="CESI仿宋-GB2312"/>
          <w:b w:val="0"/>
        </w:rPr>
      </w:pPr>
      <w:bookmarkStart w:id="84" w:name="_Toc810456195"/>
      <w:bookmarkStart w:id="85" w:name="_Toc7472"/>
      <w:r>
        <w:rPr>
          <w:rFonts w:hint="eastAsia" w:ascii="CESI仿宋-GB2312" w:hAnsi="CESI仿宋-GB2312" w:eastAsia="CESI仿宋-GB2312" w:cs="CESI仿宋-GB2312"/>
          <w:b w:val="0"/>
        </w:rPr>
        <w:t>一、收入支出决算总表</w:t>
      </w:r>
      <w:bookmarkEnd w:id="83"/>
      <w:bookmarkEnd w:id="84"/>
      <w:bookmarkEnd w:id="85"/>
    </w:p>
    <w:p>
      <w:pPr>
        <w:pStyle w:val="4"/>
        <w:rPr>
          <w:rFonts w:hint="eastAsia" w:ascii="CESI仿宋-GB2312" w:hAnsi="CESI仿宋-GB2312" w:eastAsia="CESI仿宋-GB2312" w:cs="CESI仿宋-GB2312"/>
          <w:b w:val="0"/>
        </w:rPr>
      </w:pPr>
      <w:bookmarkStart w:id="86" w:name="_Toc15396620"/>
      <w:bookmarkStart w:id="87" w:name="_Toc4827"/>
      <w:bookmarkStart w:id="88" w:name="_Toc1447869342"/>
      <w:r>
        <w:rPr>
          <w:rFonts w:hint="eastAsia" w:ascii="CESI仿宋-GB2312" w:hAnsi="CESI仿宋-GB2312" w:eastAsia="CESI仿宋-GB2312" w:cs="CESI仿宋-GB2312"/>
          <w:b w:val="0"/>
        </w:rPr>
        <w:t>二、收入决算表</w:t>
      </w:r>
      <w:bookmarkEnd w:id="86"/>
      <w:bookmarkEnd w:id="87"/>
      <w:bookmarkEnd w:id="88"/>
    </w:p>
    <w:p>
      <w:pPr>
        <w:pStyle w:val="4"/>
        <w:rPr>
          <w:rFonts w:hint="eastAsia" w:ascii="CESI仿宋-GB2312" w:hAnsi="CESI仿宋-GB2312" w:eastAsia="CESI仿宋-GB2312" w:cs="CESI仿宋-GB2312"/>
          <w:b w:val="0"/>
        </w:rPr>
      </w:pPr>
      <w:bookmarkStart w:id="89" w:name="_Toc935185858"/>
      <w:bookmarkStart w:id="90" w:name="_Toc15396621"/>
      <w:bookmarkStart w:id="91" w:name="_Toc20856"/>
      <w:r>
        <w:rPr>
          <w:rFonts w:hint="eastAsia" w:ascii="CESI仿宋-GB2312" w:hAnsi="CESI仿宋-GB2312" w:eastAsia="CESI仿宋-GB2312" w:cs="CESI仿宋-GB2312"/>
          <w:b w:val="0"/>
        </w:rPr>
        <w:t>三、支出决算表</w:t>
      </w:r>
      <w:bookmarkEnd w:id="89"/>
      <w:bookmarkEnd w:id="90"/>
      <w:bookmarkEnd w:id="91"/>
    </w:p>
    <w:p>
      <w:pPr>
        <w:pStyle w:val="4"/>
        <w:rPr>
          <w:rFonts w:hint="eastAsia" w:ascii="CESI仿宋-GB2312" w:hAnsi="CESI仿宋-GB2312" w:eastAsia="CESI仿宋-GB2312" w:cs="CESI仿宋-GB2312"/>
          <w:b w:val="0"/>
        </w:rPr>
      </w:pPr>
      <w:bookmarkStart w:id="92" w:name="_Toc15396622"/>
      <w:bookmarkStart w:id="93" w:name="_Toc30711"/>
      <w:bookmarkStart w:id="94" w:name="_Toc2092903251"/>
      <w:r>
        <w:rPr>
          <w:rFonts w:hint="eastAsia" w:ascii="CESI仿宋-GB2312" w:hAnsi="CESI仿宋-GB2312" w:eastAsia="CESI仿宋-GB2312" w:cs="CESI仿宋-GB2312"/>
          <w:b w:val="0"/>
        </w:rPr>
        <w:t>四、财政拨款收入支出决算总表</w:t>
      </w:r>
      <w:bookmarkEnd w:id="92"/>
      <w:bookmarkEnd w:id="93"/>
      <w:bookmarkEnd w:id="94"/>
    </w:p>
    <w:p>
      <w:pPr>
        <w:pStyle w:val="4"/>
        <w:rPr>
          <w:rFonts w:hint="eastAsia" w:ascii="CESI仿宋-GB2312" w:hAnsi="CESI仿宋-GB2312" w:eastAsia="CESI仿宋-GB2312" w:cs="CESI仿宋-GB2312"/>
          <w:b w:val="0"/>
        </w:rPr>
      </w:pPr>
      <w:bookmarkStart w:id="95" w:name="_Toc980068532"/>
      <w:bookmarkStart w:id="96" w:name="_Toc15396623"/>
      <w:bookmarkStart w:id="97" w:name="_Toc23020"/>
      <w:r>
        <w:rPr>
          <w:rFonts w:hint="eastAsia" w:ascii="CESI仿宋-GB2312" w:hAnsi="CESI仿宋-GB2312" w:eastAsia="CESI仿宋-GB2312" w:cs="CESI仿宋-GB2312"/>
          <w:b w:val="0"/>
        </w:rPr>
        <w:t>五、财政拨款支出决算明细表</w:t>
      </w:r>
      <w:bookmarkEnd w:id="95"/>
      <w:bookmarkEnd w:id="96"/>
      <w:bookmarkEnd w:id="97"/>
      <w:bookmarkStart w:id="98" w:name="_Toc15396624"/>
    </w:p>
    <w:p>
      <w:pPr>
        <w:pStyle w:val="4"/>
        <w:rPr>
          <w:rFonts w:hint="eastAsia" w:ascii="CESI仿宋-GB2312" w:hAnsi="CESI仿宋-GB2312" w:eastAsia="CESI仿宋-GB2312" w:cs="CESI仿宋-GB2312"/>
          <w:b w:val="0"/>
        </w:rPr>
      </w:pPr>
      <w:bookmarkStart w:id="99" w:name="_Toc32354"/>
      <w:bookmarkStart w:id="100" w:name="_Toc1181648162"/>
      <w:r>
        <w:rPr>
          <w:rFonts w:hint="eastAsia" w:ascii="CESI仿宋-GB2312" w:hAnsi="CESI仿宋-GB2312" w:eastAsia="CESI仿宋-GB2312" w:cs="CESI仿宋-GB2312"/>
          <w:b w:val="0"/>
        </w:rPr>
        <w:t>六、一般公共预算财政拨款支出决算表</w:t>
      </w:r>
      <w:bookmarkEnd w:id="98"/>
      <w:bookmarkEnd w:id="99"/>
      <w:bookmarkEnd w:id="100"/>
    </w:p>
    <w:p>
      <w:pPr>
        <w:pStyle w:val="4"/>
        <w:rPr>
          <w:rFonts w:hint="eastAsia" w:ascii="CESI仿宋-GB2312" w:hAnsi="CESI仿宋-GB2312" w:eastAsia="CESI仿宋-GB2312" w:cs="CESI仿宋-GB2312"/>
          <w:b w:val="0"/>
        </w:rPr>
      </w:pPr>
      <w:bookmarkStart w:id="101" w:name="_Toc15396625"/>
      <w:bookmarkStart w:id="102" w:name="_Toc30901414"/>
      <w:bookmarkStart w:id="103" w:name="_Toc4587"/>
      <w:r>
        <w:rPr>
          <w:rFonts w:hint="eastAsia" w:ascii="CESI仿宋-GB2312" w:hAnsi="CESI仿宋-GB2312" w:eastAsia="CESI仿宋-GB2312" w:cs="CESI仿宋-GB2312"/>
          <w:b w:val="0"/>
        </w:rPr>
        <w:t>七、一般公共预算财政拨款支出决算明细表</w:t>
      </w:r>
      <w:bookmarkEnd w:id="101"/>
      <w:bookmarkEnd w:id="102"/>
      <w:bookmarkEnd w:id="103"/>
    </w:p>
    <w:p>
      <w:pPr>
        <w:pStyle w:val="4"/>
        <w:rPr>
          <w:rFonts w:hint="eastAsia" w:ascii="CESI仿宋-GB2312" w:hAnsi="CESI仿宋-GB2312" w:eastAsia="CESI仿宋-GB2312" w:cs="CESI仿宋-GB2312"/>
          <w:b w:val="0"/>
        </w:rPr>
      </w:pPr>
      <w:bookmarkStart w:id="104" w:name="_Toc1188083129"/>
      <w:bookmarkStart w:id="105" w:name="_Toc15396626"/>
      <w:bookmarkStart w:id="106" w:name="_Toc29889"/>
      <w:r>
        <w:rPr>
          <w:rFonts w:hint="eastAsia" w:ascii="CESI仿宋-GB2312" w:hAnsi="CESI仿宋-GB2312" w:eastAsia="CESI仿宋-GB2312" w:cs="CESI仿宋-GB2312"/>
          <w:b w:val="0"/>
        </w:rPr>
        <w:t>八、一般公共预算财政拨款基本支出决算表</w:t>
      </w:r>
      <w:bookmarkEnd w:id="104"/>
      <w:bookmarkEnd w:id="105"/>
      <w:bookmarkEnd w:id="106"/>
    </w:p>
    <w:p>
      <w:pPr>
        <w:pStyle w:val="4"/>
        <w:rPr>
          <w:rFonts w:hint="eastAsia" w:ascii="CESI仿宋-GB2312" w:hAnsi="CESI仿宋-GB2312" w:eastAsia="CESI仿宋-GB2312" w:cs="CESI仿宋-GB2312"/>
          <w:b w:val="0"/>
        </w:rPr>
      </w:pPr>
      <w:bookmarkStart w:id="107" w:name="_Toc66055858"/>
      <w:bookmarkStart w:id="108" w:name="_Toc21340"/>
      <w:bookmarkStart w:id="109" w:name="_Toc15396627"/>
      <w:r>
        <w:rPr>
          <w:rFonts w:hint="eastAsia" w:ascii="CESI仿宋-GB2312" w:hAnsi="CESI仿宋-GB2312" w:eastAsia="CESI仿宋-GB2312" w:cs="CESI仿宋-GB2312"/>
          <w:b w:val="0"/>
        </w:rPr>
        <w:t>九、一般公共预算财政拨款项目支出决算表</w:t>
      </w:r>
      <w:bookmarkEnd w:id="107"/>
      <w:bookmarkEnd w:id="108"/>
      <w:bookmarkEnd w:id="109"/>
    </w:p>
    <w:p>
      <w:pPr>
        <w:pStyle w:val="4"/>
        <w:rPr>
          <w:rFonts w:hint="eastAsia" w:ascii="CESI仿宋-GB2312" w:hAnsi="CESI仿宋-GB2312" w:eastAsia="CESI仿宋-GB2312" w:cs="CESI仿宋-GB2312"/>
          <w:b w:val="0"/>
        </w:rPr>
      </w:pPr>
      <w:bookmarkStart w:id="110" w:name="_Toc15396628"/>
      <w:bookmarkStart w:id="111" w:name="_Toc17381"/>
      <w:bookmarkStart w:id="112" w:name="_Toc1433508797"/>
      <w:r>
        <w:rPr>
          <w:rFonts w:hint="eastAsia" w:ascii="CESI仿宋-GB2312" w:hAnsi="CESI仿宋-GB2312" w:eastAsia="CESI仿宋-GB2312" w:cs="CESI仿宋-GB2312"/>
          <w:b w:val="0"/>
        </w:rPr>
        <w:t>十、</w:t>
      </w:r>
      <w:bookmarkEnd w:id="110"/>
      <w:r>
        <w:rPr>
          <w:rFonts w:hint="eastAsia" w:ascii="CESI仿宋-GB2312" w:hAnsi="CESI仿宋-GB2312" w:eastAsia="CESI仿宋-GB2312" w:cs="CESI仿宋-GB2312"/>
          <w:b w:val="0"/>
        </w:rPr>
        <w:t>政府性基金预算财政拨款收入支出决算表</w:t>
      </w:r>
      <w:bookmarkEnd w:id="111"/>
      <w:bookmarkEnd w:id="112"/>
    </w:p>
    <w:p>
      <w:pPr>
        <w:pStyle w:val="4"/>
        <w:rPr>
          <w:rFonts w:hint="eastAsia" w:ascii="CESI仿宋-GB2312" w:hAnsi="CESI仿宋-GB2312" w:eastAsia="CESI仿宋-GB2312" w:cs="CESI仿宋-GB2312"/>
          <w:b w:val="0"/>
        </w:rPr>
      </w:pPr>
      <w:bookmarkStart w:id="113" w:name="_Toc15396629"/>
      <w:bookmarkStart w:id="114" w:name="_Toc1119653760"/>
      <w:bookmarkStart w:id="115" w:name="_Toc10284"/>
      <w:r>
        <w:rPr>
          <w:rFonts w:hint="eastAsia" w:ascii="CESI仿宋-GB2312" w:hAnsi="CESI仿宋-GB2312" w:eastAsia="CESI仿宋-GB2312" w:cs="CESI仿宋-GB2312"/>
          <w:b w:val="0"/>
        </w:rPr>
        <w:t>十一、</w:t>
      </w:r>
      <w:bookmarkEnd w:id="113"/>
      <w:r>
        <w:rPr>
          <w:rFonts w:hint="eastAsia" w:ascii="CESI仿宋-GB2312" w:hAnsi="CESI仿宋-GB2312" w:eastAsia="CESI仿宋-GB2312" w:cs="CESI仿宋-GB2312"/>
          <w:b w:val="0"/>
        </w:rPr>
        <w:t>国有资本经营预算财政拨款收入支出决算表</w:t>
      </w:r>
      <w:bookmarkEnd w:id="114"/>
      <w:bookmarkEnd w:id="115"/>
    </w:p>
    <w:p>
      <w:pPr>
        <w:pStyle w:val="4"/>
        <w:rPr>
          <w:rFonts w:hint="eastAsia" w:ascii="CESI仿宋-GB2312" w:hAnsi="CESI仿宋-GB2312" w:eastAsia="CESI仿宋-GB2312" w:cs="CESI仿宋-GB2312"/>
          <w:b w:val="0"/>
        </w:rPr>
      </w:pPr>
      <w:bookmarkStart w:id="116" w:name="_Toc15396630"/>
      <w:bookmarkStart w:id="117" w:name="_Toc2274"/>
      <w:bookmarkStart w:id="118" w:name="_Toc1123408338"/>
      <w:r>
        <w:rPr>
          <w:rFonts w:hint="eastAsia" w:ascii="CESI仿宋-GB2312" w:hAnsi="CESI仿宋-GB2312" w:eastAsia="CESI仿宋-GB2312" w:cs="CESI仿宋-GB2312"/>
          <w:b w:val="0"/>
        </w:rPr>
        <w:t>十二、</w:t>
      </w:r>
      <w:bookmarkEnd w:id="116"/>
      <w:r>
        <w:rPr>
          <w:rFonts w:hint="eastAsia" w:ascii="CESI仿宋-GB2312" w:hAnsi="CESI仿宋-GB2312" w:eastAsia="CESI仿宋-GB2312" w:cs="CESI仿宋-GB2312"/>
          <w:b w:val="0"/>
        </w:rPr>
        <w:t>国有资本经营预算财政拨款支出决算表</w:t>
      </w:r>
      <w:bookmarkEnd w:id="117"/>
      <w:bookmarkEnd w:id="118"/>
    </w:p>
    <w:p>
      <w:pPr>
        <w:pStyle w:val="4"/>
        <w:rPr>
          <w:rFonts w:hint="eastAsia" w:ascii="CESI仿宋-GB2312" w:hAnsi="CESI仿宋-GB2312" w:eastAsia="CESI仿宋-GB2312" w:cs="CESI仿宋-GB2312"/>
          <w:b w:val="0"/>
        </w:rPr>
      </w:pPr>
      <w:bookmarkStart w:id="119" w:name="_Toc15396631"/>
      <w:bookmarkStart w:id="120" w:name="_Toc28819"/>
      <w:bookmarkStart w:id="121" w:name="_Toc709520307"/>
      <w:r>
        <w:rPr>
          <w:rFonts w:hint="eastAsia" w:ascii="CESI仿宋-GB2312" w:hAnsi="CESI仿宋-GB2312" w:eastAsia="CESI仿宋-GB2312" w:cs="CESI仿宋-GB2312"/>
          <w:b w:val="0"/>
        </w:rPr>
        <w:t>十三、</w:t>
      </w:r>
      <w:bookmarkEnd w:id="119"/>
      <w:r>
        <w:rPr>
          <w:rFonts w:hint="eastAsia" w:ascii="CESI仿宋-GB2312" w:hAnsi="CESI仿宋-GB2312" w:eastAsia="CESI仿宋-GB2312" w:cs="CESI仿宋-GB2312"/>
          <w:b w:val="0"/>
        </w:rPr>
        <w:t>财政拨款“三公”经费支出决算表</w:t>
      </w:r>
      <w:bookmarkEnd w:id="120"/>
      <w:bookmarkEnd w:id="121"/>
    </w:p>
    <w:sectPr>
      <w:headerReference r:id="rId4" w:type="first"/>
      <w:footerReference r:id="rId6" w:type="first"/>
      <w:headerReference r:id="rId3" w:type="default"/>
      <w:footerReference r:id="rId5" w:type="default"/>
      <w:pgSz w:w="11906" w:h="16838"/>
      <w:pgMar w:top="2098" w:right="1959" w:bottom="1984" w:left="1587"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CESI仿宋-GB13000">
    <w:altName w:val="仿宋"/>
    <w:panose1 w:val="02000500000000000000"/>
    <w:charset w:val="86"/>
    <w:family w:val="auto"/>
    <w:pitch w:val="default"/>
    <w:sig w:usb0="00000000" w:usb1="00000000" w:usb2="00000016" w:usb3="00000000" w:csb0="0004000F" w:csb1="00000000"/>
  </w:font>
  <w:font w:name="方正楷体_GBK">
    <w:panose1 w:val="03000509000000000000"/>
    <w:charset w:val="86"/>
    <w:family w:val="script"/>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仿宋-GB32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ZGRmM2E4NDNmZTU3YjZmYzhlZmQ1YWEwMjhiMDQ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D7103"/>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2326"/>
    <w:rsid w:val="0066343B"/>
    <w:rsid w:val="00664777"/>
    <w:rsid w:val="006748A4"/>
    <w:rsid w:val="00681A31"/>
    <w:rsid w:val="00683E73"/>
    <w:rsid w:val="006A3141"/>
    <w:rsid w:val="006A5E34"/>
    <w:rsid w:val="006B2422"/>
    <w:rsid w:val="006B2B9A"/>
    <w:rsid w:val="006C1937"/>
    <w:rsid w:val="006F01E9"/>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1C4"/>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4DA38FC"/>
    <w:rsid w:val="05E67779"/>
    <w:rsid w:val="081B5E94"/>
    <w:rsid w:val="0A2032A3"/>
    <w:rsid w:val="0B8A37D8"/>
    <w:rsid w:val="0DAE2941"/>
    <w:rsid w:val="0F5FFB2F"/>
    <w:rsid w:val="0FFFCF60"/>
    <w:rsid w:val="10C055FF"/>
    <w:rsid w:val="110B678B"/>
    <w:rsid w:val="118107EC"/>
    <w:rsid w:val="11DD6519"/>
    <w:rsid w:val="12FA45F5"/>
    <w:rsid w:val="167D604A"/>
    <w:rsid w:val="16BB723D"/>
    <w:rsid w:val="18015F3F"/>
    <w:rsid w:val="1A404921"/>
    <w:rsid w:val="1BE8440E"/>
    <w:rsid w:val="1D155CEE"/>
    <w:rsid w:val="1D776A99"/>
    <w:rsid w:val="1E777B20"/>
    <w:rsid w:val="1FDBBF84"/>
    <w:rsid w:val="20F57F95"/>
    <w:rsid w:val="240371BF"/>
    <w:rsid w:val="25017B07"/>
    <w:rsid w:val="25711CC6"/>
    <w:rsid w:val="25C741E6"/>
    <w:rsid w:val="261847F8"/>
    <w:rsid w:val="2732523B"/>
    <w:rsid w:val="276F80C0"/>
    <w:rsid w:val="27842671"/>
    <w:rsid w:val="28041684"/>
    <w:rsid w:val="29FD04D3"/>
    <w:rsid w:val="2ABE7A3E"/>
    <w:rsid w:val="2AFF09B6"/>
    <w:rsid w:val="2CA234A8"/>
    <w:rsid w:val="2D4B2969"/>
    <w:rsid w:val="2D5D45B4"/>
    <w:rsid w:val="2EFA178C"/>
    <w:rsid w:val="2EFDF86C"/>
    <w:rsid w:val="2F9D17E1"/>
    <w:rsid w:val="2FD14541"/>
    <w:rsid w:val="30B46D73"/>
    <w:rsid w:val="319F7F4E"/>
    <w:rsid w:val="33E724BE"/>
    <w:rsid w:val="356A28F1"/>
    <w:rsid w:val="357C035A"/>
    <w:rsid w:val="368E000D"/>
    <w:rsid w:val="377274D0"/>
    <w:rsid w:val="383D272C"/>
    <w:rsid w:val="39AE70AB"/>
    <w:rsid w:val="3A4DCE41"/>
    <w:rsid w:val="3A5B04E2"/>
    <w:rsid w:val="3BCB56FA"/>
    <w:rsid w:val="3C0C0783"/>
    <w:rsid w:val="3EE7C2F4"/>
    <w:rsid w:val="3F371B56"/>
    <w:rsid w:val="3F792ED8"/>
    <w:rsid w:val="3F9F3A96"/>
    <w:rsid w:val="3FECA4B2"/>
    <w:rsid w:val="3FF58C48"/>
    <w:rsid w:val="42FF6694"/>
    <w:rsid w:val="45B169AA"/>
    <w:rsid w:val="485446B7"/>
    <w:rsid w:val="48BF60AB"/>
    <w:rsid w:val="493C27E9"/>
    <w:rsid w:val="496F39ED"/>
    <w:rsid w:val="49FF41D3"/>
    <w:rsid w:val="4BE068DB"/>
    <w:rsid w:val="4BF6002B"/>
    <w:rsid w:val="4BFFC6BE"/>
    <w:rsid w:val="4ECE2238"/>
    <w:rsid w:val="51DB4B86"/>
    <w:rsid w:val="51F64DB0"/>
    <w:rsid w:val="552644A1"/>
    <w:rsid w:val="55333C3E"/>
    <w:rsid w:val="56E83D9B"/>
    <w:rsid w:val="5BCA74EA"/>
    <w:rsid w:val="5F5F4B0A"/>
    <w:rsid w:val="5F67802D"/>
    <w:rsid w:val="5F7DC4F2"/>
    <w:rsid w:val="5F7FE938"/>
    <w:rsid w:val="5FB36814"/>
    <w:rsid w:val="5FBB8E56"/>
    <w:rsid w:val="5FF3B760"/>
    <w:rsid w:val="5FFB5535"/>
    <w:rsid w:val="603C295B"/>
    <w:rsid w:val="647214DB"/>
    <w:rsid w:val="64CA39A1"/>
    <w:rsid w:val="670530A5"/>
    <w:rsid w:val="69630ADE"/>
    <w:rsid w:val="69BD5F13"/>
    <w:rsid w:val="69FB0B4B"/>
    <w:rsid w:val="6A965387"/>
    <w:rsid w:val="6B924226"/>
    <w:rsid w:val="6BBE63A4"/>
    <w:rsid w:val="6BFFE1FB"/>
    <w:rsid w:val="6C4A05C8"/>
    <w:rsid w:val="6C7F4402"/>
    <w:rsid w:val="6D341690"/>
    <w:rsid w:val="6D3B1A89"/>
    <w:rsid w:val="6DB7D8A3"/>
    <w:rsid w:val="6DF60D05"/>
    <w:rsid w:val="6EC78701"/>
    <w:rsid w:val="6F7A5481"/>
    <w:rsid w:val="6F8A3624"/>
    <w:rsid w:val="6FC25BBF"/>
    <w:rsid w:val="6FFE07A9"/>
    <w:rsid w:val="701A2263"/>
    <w:rsid w:val="71BF4EC2"/>
    <w:rsid w:val="72734D90"/>
    <w:rsid w:val="73E75B71"/>
    <w:rsid w:val="7412278C"/>
    <w:rsid w:val="75DDCDA9"/>
    <w:rsid w:val="75FF44B1"/>
    <w:rsid w:val="767D4E60"/>
    <w:rsid w:val="77670518"/>
    <w:rsid w:val="777FA627"/>
    <w:rsid w:val="77DF1B5F"/>
    <w:rsid w:val="77EF2D9D"/>
    <w:rsid w:val="79E7B28D"/>
    <w:rsid w:val="7ACFF0C2"/>
    <w:rsid w:val="7AD879A9"/>
    <w:rsid w:val="7AFB9108"/>
    <w:rsid w:val="7BBA0189"/>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6EF9F22"/>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7696D0"/>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0"/>
    <w:rPr>
      <w:sz w:val="33"/>
      <w:szCs w:val="33"/>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WPSOffice手动目录 1"/>
    <w:qFormat/>
    <w:uiPriority w:val="0"/>
    <w:pPr>
      <w:ind w:leftChars="0"/>
    </w:pPr>
    <w:rPr>
      <w:rFonts w:asciiTheme="minorHAnsi" w:hAnsiTheme="minorHAnsi" w:eastAsiaTheme="minorEastAsia" w:cstheme="minorBidi"/>
      <w:sz w:val="20"/>
      <w:szCs w:val="20"/>
    </w:rPr>
  </w:style>
  <w:style w:type="paragraph" w:customStyle="1" w:styleId="36">
    <w:name w:val="WPSOffice手动目录 2"/>
    <w:qFormat/>
    <w:uiPriority w:val="0"/>
    <w:pPr>
      <w:ind w:leftChars="200"/>
    </w:pPr>
    <w:rPr>
      <w:rFonts w:asciiTheme="minorHAnsi" w:hAnsiTheme="minorHAnsi" w:eastAsiaTheme="minorEastAsia" w:cstheme="minorBidi"/>
      <w:sz w:val="20"/>
      <w:szCs w:val="20"/>
    </w:rPr>
  </w:style>
  <w:style w:type="paragraph" w:customStyle="1" w:styleId="37">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Workbook1.xls"/><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Workbook5.xls"/><Relationship Id="rId17" Type="http://schemas.openxmlformats.org/officeDocument/2006/relationships/image" Target="media/image5.emf"/><Relationship Id="rId16" Type="http://schemas.openxmlformats.org/officeDocument/2006/relationships/oleObject" Target="embeddings/Workbook4.xls"/><Relationship Id="rId15" Type="http://schemas.openxmlformats.org/officeDocument/2006/relationships/image" Target="media/image4.emf"/><Relationship Id="rId14" Type="http://schemas.openxmlformats.org/officeDocument/2006/relationships/oleObject" Target="embeddings/Workbook3.xls"/><Relationship Id="rId13" Type="http://schemas.openxmlformats.org/officeDocument/2006/relationships/image" Target="media/image3.emf"/><Relationship Id="rId12" Type="http://schemas.openxmlformats.org/officeDocument/2006/relationships/oleObject" Target="embeddings/oleObject1.bin"/><Relationship Id="rId11" Type="http://schemas.openxmlformats.org/officeDocument/2006/relationships/image" Target="media/image2.emf"/><Relationship Id="rId10" Type="http://schemas.openxmlformats.org/officeDocument/2006/relationships/oleObject" Target="embeddings/Workbook2.xls"/><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Info spid="_x0000_s1030"/>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16</Pages>
  <Words>4291</Words>
  <Characters>4675</Characters>
  <Lines>41</Lines>
  <Paragraphs>11</Paragraphs>
  <TotalTime>7</TotalTime>
  <ScaleCrop>false</ScaleCrop>
  <LinksUpToDate>false</LinksUpToDate>
  <CharactersWithSpaces>4739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2020-08-08T17:49:00Z</dcterms:created>
  <dc:creator>曹颖</dc:creator>
  <cp:lastModifiedBy>admin</cp:lastModifiedBy>
  <cp:lastPrinted>2023-08-03T18:35:00Z</cp:lastPrinted>
  <dcterms:modified xsi:type="dcterms:W3CDTF">2024-10-29T09:47:51Z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F71FC5512A5C46EDB1B3F6CED4B83111_13</vt:lpwstr>
  </property>
</Properties>
</file>