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3"/>
      </w:pPr>
    </w:p>
    <w:p>
      <w:pPr>
        <w:spacing w:line="600" w:lineRule="exact"/>
        <w:jc w:val="center"/>
        <w:outlineLvl w:val="0"/>
        <w:rPr>
          <w:rFonts w:hint="eastAsia" w:ascii="方正小标宋简体" w:hAnsi="宋体" w:eastAsia="方正小标宋简体"/>
          <w:sz w:val="72"/>
          <w:szCs w:val="72"/>
        </w:rPr>
      </w:pPr>
    </w:p>
    <w:p>
      <w:pPr>
        <w:spacing w:line="600" w:lineRule="exact"/>
        <w:jc w:val="center"/>
        <w:outlineLvl w:val="0"/>
        <w:rPr>
          <w:rFonts w:eastAsia="方正小标宋简体"/>
          <w:sz w:val="72"/>
          <w:szCs w:val="72"/>
        </w:rPr>
      </w:pPr>
    </w:p>
    <w:p>
      <w:pPr>
        <w:jc w:val="center"/>
        <w:rPr>
          <w:rFonts w:hint="eastAsia" w:ascii="方正小标宋简体" w:hAnsi="方正小标宋简体" w:eastAsia="方正小标宋简体" w:cs="方正小标宋简体"/>
          <w:sz w:val="44"/>
          <w:szCs w:val="44"/>
        </w:rPr>
      </w:pPr>
      <w:bookmarkStart w:id="0" w:name="_Toc15396475"/>
      <w:bookmarkStart w:id="1" w:name="_Toc15378441"/>
      <w:bookmarkStart w:id="2" w:name="_Toc15396597"/>
      <w:bookmarkStart w:id="3" w:name="_Toc15377425"/>
      <w:bookmarkStart w:id="4" w:name="_Toc15377193"/>
      <w:r>
        <w:rPr>
          <w:rFonts w:hint="eastAsia" w:ascii="方正小标宋简体" w:hAnsi="方正小标宋简体" w:eastAsia="方正小标宋简体" w:cs="方正小标宋简体"/>
          <w:sz w:val="44"/>
          <w:szCs w:val="44"/>
        </w:rPr>
        <w:t>2023年度</w:t>
      </w:r>
      <w:bookmarkEnd w:id="0"/>
      <w:bookmarkEnd w:id="1"/>
      <w:bookmarkEnd w:id="2"/>
      <w:bookmarkEnd w:id="3"/>
      <w:bookmarkEnd w:id="4"/>
    </w:p>
    <w:p>
      <w:pPr>
        <w:jc w:val="center"/>
        <w:rPr>
          <w:rFonts w:hint="eastAsia" w:ascii="方正小标宋简体" w:hAnsi="方正小标宋简体" w:eastAsia="方正小标宋简体" w:cs="方正小标宋简体"/>
          <w:sz w:val="44"/>
          <w:szCs w:val="44"/>
        </w:rPr>
      </w:pPr>
      <w:bookmarkStart w:id="5" w:name="_Toc15378442"/>
      <w:bookmarkStart w:id="6" w:name="_Toc15396598"/>
      <w:bookmarkStart w:id="7" w:name="_Toc15377194"/>
      <w:bookmarkStart w:id="8" w:name="_Toc15377426"/>
      <w:bookmarkStart w:id="9" w:name="_Toc15396476"/>
      <w:bookmarkStart w:id="10" w:name="_Toc15306268"/>
      <w:r>
        <w:rPr>
          <w:rFonts w:hint="eastAsia" w:ascii="方正小标宋简体" w:hAnsi="方正小标宋简体" w:eastAsia="方正小标宋简体" w:cs="方正小标宋简体"/>
          <w:sz w:val="44"/>
          <w:szCs w:val="44"/>
        </w:rPr>
        <w:t>盐边县人民医院</w:t>
      </w:r>
    </w:p>
    <w:p>
      <w:pPr>
        <w:jc w:val="center"/>
        <w:rPr>
          <w:rFonts w:hint="eastAsia" w:ascii="方正小标宋简体" w:hAnsi="方正小标宋简体" w:eastAsia="方正小标宋简体" w:cs="方正小标宋简体"/>
          <w:sz w:val="44"/>
          <w:szCs w:val="44"/>
        </w:rPr>
        <w:sectPr>
          <w:headerReference r:id="rId3" w:type="default"/>
          <w:headerReference r:id="rId4" w:type="even"/>
          <w:footerReference r:id="rId5" w:type="even"/>
          <w:pgSz w:w="11906" w:h="16838"/>
          <w:pgMar w:top="1440" w:right="1800" w:bottom="1440" w:left="1800" w:header="851" w:footer="992" w:gutter="0"/>
          <w:pgNumType w:start="1"/>
          <w:cols w:space="425" w:num="1"/>
          <w:titlePg/>
          <w:docGrid w:type="lines" w:linePitch="312" w:charSpace="0"/>
        </w:sectPr>
      </w:pPr>
      <w:r>
        <w:rPr>
          <w:rFonts w:hint="eastAsia" w:ascii="方正小标宋简体" w:hAnsi="方正小标宋简体" w:eastAsia="方正小标宋简体" w:cs="方正小标宋简体"/>
          <w:sz w:val="44"/>
          <w:szCs w:val="44"/>
        </w:rPr>
        <w:t>单位决算</w:t>
      </w:r>
      <w:bookmarkEnd w:id="5"/>
      <w:bookmarkEnd w:id="6"/>
      <w:bookmarkEnd w:id="7"/>
      <w:bookmarkEnd w:id="8"/>
      <w:bookmarkEnd w:id="9"/>
      <w:bookmarkEnd w:id="10"/>
    </w:p>
    <w:p>
      <w:pPr>
        <w:pStyle w:val="15"/>
      </w:pPr>
    </w:p>
    <w:p>
      <w:pPr>
        <w:widowControl/>
        <w:jc w:val="center"/>
        <w:rPr>
          <w:rFonts w:eastAsia="黑体"/>
          <w:sz w:val="48"/>
          <w:szCs w:val="48"/>
        </w:rPr>
      </w:pPr>
      <w:r>
        <w:rPr>
          <w:rFonts w:eastAsia="黑体"/>
          <w:sz w:val="48"/>
          <w:szCs w:val="48"/>
        </w:rPr>
        <w:t>目录</w:t>
      </w:r>
    </w:p>
    <w:p>
      <w:pPr>
        <w:widowControl/>
        <w:jc w:val="center"/>
        <w:rPr>
          <w:rFonts w:eastAsia="黑体"/>
          <w:sz w:val="28"/>
          <w:szCs w:val="28"/>
        </w:rPr>
      </w:pPr>
    </w:p>
    <w:p>
      <w:pPr>
        <w:pStyle w:val="10"/>
        <w:rPr>
          <w:rFonts w:ascii="Times New Roman" w:hAnsi="Times New Roman"/>
          <w:sz w:val="32"/>
          <w:szCs w:val="32"/>
        </w:rPr>
      </w:pPr>
      <w:r>
        <w:rPr>
          <w:rFonts w:ascii="Times New Roman" w:hAnsi="Times New Roman"/>
          <w:sz w:val="32"/>
          <w:szCs w:val="32"/>
        </w:rPr>
        <w:t>公开时间：2024年10月28日</w:t>
      </w:r>
    </w:p>
    <w:sdt>
      <w:sdtPr>
        <w:rPr>
          <w:lang w:val="zh-CN"/>
        </w:rPr>
        <w:id w:val="-1"/>
        <w:docPartObj>
          <w:docPartGallery w:val="Table of Contents"/>
          <w:docPartUnique/>
        </w:docPartObj>
      </w:sdtPr>
      <w:sdtEndPr>
        <w:rPr>
          <w:b/>
          <w:bCs/>
          <w:lang w:val="zh-CN"/>
        </w:rPr>
      </w:sdtEndPr>
      <w:sdtContent>
        <w:p>
          <w:pPr>
            <w:rPr>
              <w:rFonts w:hint="eastAsia" w:ascii="宋体" w:hAnsi="宋体" w:cs="宋体"/>
              <w:sz w:val="28"/>
              <w:szCs w:val="28"/>
            </w:rPr>
          </w:pPr>
          <w:bookmarkStart w:id="11" w:name="_Toc15396599"/>
          <w:bookmarkStart w:id="12" w:name="_Toc15377196"/>
        </w:p>
        <w:p>
          <w:pPr>
            <w:pStyle w:val="11"/>
            <w:tabs>
              <w:tab w:val="right" w:leader="dot" w:pos="8306"/>
              <w:tab w:val="clear" w:pos="8296"/>
            </w:tabs>
            <w:rPr>
              <w:rFonts w:hint="eastAsia" w:ascii="宋体" w:hAnsi="宋体" w:cs="宋体"/>
              <w:sz w:val="24"/>
            </w:rPr>
          </w:pPr>
          <w:r>
            <w:rPr>
              <w:rFonts w:hint="eastAsia" w:ascii="宋体" w:hAnsi="宋体" w:cs="宋体"/>
              <w:sz w:val="28"/>
              <w:szCs w:val="28"/>
            </w:rPr>
            <w:fldChar w:fldCharType="begin"/>
          </w:r>
          <w:r>
            <w:rPr>
              <w:rFonts w:hint="eastAsia" w:ascii="宋体" w:hAnsi="宋体" w:cs="宋体"/>
              <w:sz w:val="28"/>
              <w:szCs w:val="28"/>
            </w:rPr>
            <w:instrText xml:space="preserve"> TOC \o "1-3" \h \z \u </w:instrText>
          </w:r>
          <w:r>
            <w:rPr>
              <w:rFonts w:hint="eastAsia" w:ascii="宋体" w:hAnsi="宋体" w:cs="宋体"/>
              <w:sz w:val="28"/>
              <w:szCs w:val="28"/>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"_Toc1915" </w:instrText>
          </w:r>
          <w:r>
            <w:rPr>
              <w:rFonts w:hint="eastAsia" w:ascii="仿宋" w:hAnsi="仿宋" w:eastAsia="仿宋" w:cs="仿宋"/>
            </w:rPr>
            <w:fldChar w:fldCharType="separate"/>
          </w:r>
          <w:r>
            <w:rPr>
              <w:rFonts w:hint="eastAsia" w:ascii="仿宋" w:hAnsi="仿宋" w:eastAsia="仿宋" w:cs="仿宋"/>
              <w:sz w:val="24"/>
            </w:rPr>
            <w:t>第一部分 单位概况</w:t>
          </w:r>
          <w:r>
            <w:rPr>
              <w:rFonts w:hint="eastAsia" w:ascii="仿宋" w:hAnsi="仿宋" w:eastAsia="仿宋" w:cs="仿宋"/>
              <w:sz w:val="24"/>
            </w:rPr>
            <w:tab/>
          </w:r>
          <w:r>
            <w:rPr>
              <w:rFonts w:hint="eastAsia" w:ascii="仿宋" w:hAnsi="仿宋" w:eastAsia="仿宋" w:cs="仿宋"/>
              <w:sz w:val="24"/>
            </w:rPr>
            <w:fldChar w:fldCharType="begin"/>
          </w:r>
          <w:r>
            <w:rPr>
              <w:rFonts w:hint="eastAsia" w:ascii="仿宋" w:hAnsi="仿宋" w:eastAsia="仿宋" w:cs="仿宋"/>
              <w:sz w:val="24"/>
            </w:rPr>
            <w:instrText xml:space="preserve"> PAGEREF _Toc1915 \h </w:instrText>
          </w:r>
          <w:r>
            <w:rPr>
              <w:rFonts w:hint="eastAsia" w:ascii="仿宋" w:hAnsi="仿宋" w:eastAsia="仿宋" w:cs="仿宋"/>
              <w:sz w:val="24"/>
            </w:rPr>
            <w:fldChar w:fldCharType="separate"/>
          </w:r>
          <w:r>
            <w:rPr>
              <w:rFonts w:hint="eastAsia" w:ascii="仿宋" w:hAnsi="仿宋" w:eastAsia="仿宋" w:cs="仿宋"/>
              <w:sz w:val="24"/>
            </w:rPr>
            <w:t>1</w:t>
          </w:r>
          <w:r>
            <w:rPr>
              <w:rFonts w:hint="eastAsia" w:ascii="仿宋" w:hAnsi="仿宋" w:eastAsia="仿宋" w:cs="仿宋"/>
              <w:sz w:val="24"/>
            </w:rPr>
            <w:fldChar w:fldCharType="end"/>
          </w:r>
          <w:r>
            <w:rPr>
              <w:rFonts w:hint="eastAsia" w:ascii="仿宋" w:hAnsi="仿宋" w:eastAsia="仿宋" w:cs="仿宋"/>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"_Toc29246" </w:instrText>
          </w:r>
          <w:r>
            <w:fldChar w:fldCharType="separate"/>
          </w:r>
          <w:r>
            <w:rPr>
              <w:rFonts w:hint="eastAsia" w:ascii="宋体" w:hAnsi="宋体" w:cs="宋体"/>
              <w:bCs/>
              <w:sz w:val="24"/>
            </w:rPr>
            <w:t>一、主要职责</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_Toc29246 \h </w:instrText>
          </w:r>
          <w:r>
            <w:rPr>
              <w:rFonts w:hint="eastAsia" w:ascii="宋体" w:hAnsi="宋体" w:cs="宋体"/>
              <w:sz w:val="24"/>
            </w:rPr>
            <w:fldChar w:fldCharType="separate"/>
          </w:r>
          <w:r>
            <w:rPr>
              <w:rFonts w:hint="eastAsia" w:ascii="宋体" w:hAnsi="宋体" w:cs="宋体"/>
              <w:sz w:val="24"/>
            </w:rPr>
            <w:t>1</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"_Toc10075" </w:instrText>
          </w:r>
          <w:r>
            <w:fldChar w:fldCharType="separate"/>
          </w:r>
          <w:r>
            <w:rPr>
              <w:rFonts w:hint="eastAsia" w:ascii="宋体" w:hAnsi="宋体" w:cs="宋体"/>
              <w:sz w:val="24"/>
            </w:rPr>
            <w:t>二、机构设置</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_Toc10075 \h </w:instrText>
          </w:r>
          <w:r>
            <w:rPr>
              <w:rFonts w:hint="eastAsia" w:ascii="宋体" w:hAnsi="宋体" w:cs="宋体"/>
              <w:sz w:val="24"/>
            </w:rPr>
            <w:fldChar w:fldCharType="separate"/>
          </w:r>
          <w:r>
            <w:rPr>
              <w:rFonts w:hint="eastAsia" w:ascii="宋体" w:hAnsi="宋体" w:cs="宋体"/>
              <w:sz w:val="24"/>
            </w:rPr>
            <w:t>1</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黑体" w:hAnsi="黑体" w:eastAsia="黑体" w:cs="黑体"/>
              <w:sz w:val="24"/>
            </w:rPr>
          </w:pPr>
          <w:r>
            <w:rPr>
              <w:rFonts w:hint="eastAsia" w:ascii="仿宋" w:hAnsi="仿宋" w:eastAsia="仿宋" w:cs="仿宋"/>
            </w:rPr>
            <w:fldChar w:fldCharType="begin"/>
          </w:r>
          <w:r>
            <w:rPr>
              <w:rFonts w:hint="eastAsia" w:ascii="仿宋" w:hAnsi="仿宋" w:eastAsia="仿宋" w:cs="仿宋"/>
            </w:rPr>
            <w:instrText xml:space="preserve"> HYPERLINK \l "_Toc11651" </w:instrText>
          </w:r>
          <w:r>
            <w:rPr>
              <w:rFonts w:hint="eastAsia" w:ascii="仿宋" w:hAnsi="仿宋" w:eastAsia="仿宋" w:cs="仿宋"/>
            </w:rPr>
            <w:fldChar w:fldCharType="separate"/>
          </w:r>
          <w:r>
            <w:rPr>
              <w:rFonts w:hint="eastAsia" w:ascii="仿宋" w:hAnsi="仿宋" w:eastAsia="仿宋" w:cs="仿宋"/>
              <w:sz w:val="24"/>
            </w:rPr>
            <w:t>第二部分 2023年度单位决算情况说明</w:t>
          </w:r>
          <w:r>
            <w:rPr>
              <w:rFonts w:hint="eastAsia" w:ascii="仿宋" w:hAnsi="仿宋" w:eastAsia="仿宋" w:cs="仿宋"/>
              <w:sz w:val="24"/>
            </w:rPr>
            <w:tab/>
          </w:r>
          <w:r>
            <w:rPr>
              <w:rFonts w:hint="eastAsia" w:ascii="仿宋" w:hAnsi="仿宋" w:eastAsia="仿宋" w:cs="仿宋"/>
              <w:sz w:val="24"/>
            </w:rPr>
            <w:fldChar w:fldCharType="begin"/>
          </w:r>
          <w:r>
            <w:rPr>
              <w:rFonts w:hint="eastAsia" w:ascii="仿宋" w:hAnsi="仿宋" w:eastAsia="仿宋" w:cs="仿宋"/>
              <w:sz w:val="24"/>
            </w:rPr>
            <w:instrText xml:space="preserve"> PAGEREF _Toc11651 \h </w:instrText>
          </w:r>
          <w:r>
            <w:rPr>
              <w:rFonts w:hint="eastAsia" w:ascii="仿宋" w:hAnsi="仿宋" w:eastAsia="仿宋" w:cs="仿宋"/>
              <w:sz w:val="24"/>
            </w:rPr>
            <w:fldChar w:fldCharType="separate"/>
          </w:r>
          <w:r>
            <w:rPr>
              <w:rFonts w:hint="eastAsia" w:ascii="仿宋" w:hAnsi="仿宋" w:eastAsia="仿宋" w:cs="仿宋"/>
              <w:sz w:val="24"/>
            </w:rPr>
            <w:t>2</w:t>
          </w:r>
          <w:r>
            <w:rPr>
              <w:rFonts w:hint="eastAsia" w:ascii="仿宋" w:hAnsi="仿宋" w:eastAsia="仿宋" w:cs="仿宋"/>
              <w:sz w:val="24"/>
            </w:rPr>
            <w:fldChar w:fldCharType="end"/>
          </w:r>
          <w:r>
            <w:rPr>
              <w:rFonts w:hint="eastAsia" w:ascii="仿宋" w:hAnsi="仿宋" w:eastAsia="仿宋" w:cs="仿宋"/>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"_Toc22910" </w:instrText>
          </w:r>
          <w:r>
            <w:fldChar w:fldCharType="separate"/>
          </w:r>
          <w:r>
            <w:rPr>
              <w:rFonts w:hint="eastAsia" w:ascii="宋体" w:hAnsi="宋体" w:cs="宋体"/>
              <w:sz w:val="24"/>
            </w:rPr>
            <w:t>一、 收入支出决算总体情况说明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_Toc22910 \h </w:instrText>
          </w:r>
          <w:r>
            <w:rPr>
              <w:rFonts w:hint="eastAsia" w:ascii="宋体" w:hAnsi="宋体" w:cs="宋体"/>
              <w:sz w:val="24"/>
            </w:rPr>
            <w:fldChar w:fldCharType="separate"/>
          </w:r>
          <w:r>
            <w:rPr>
              <w:rFonts w:hint="eastAsia" w:ascii="宋体" w:hAnsi="宋体" w:cs="宋体"/>
              <w:sz w:val="24"/>
            </w:rPr>
            <w:t>2</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"_Toc19812" </w:instrText>
          </w:r>
          <w:r>
            <w:fldChar w:fldCharType="separate"/>
          </w:r>
          <w:r>
            <w:rPr>
              <w:rFonts w:hint="eastAsia" w:ascii="宋体" w:hAnsi="宋体" w:cs="宋体"/>
              <w:sz w:val="24"/>
            </w:rPr>
            <w:t>二、 收入决算情况说明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_Toc19812 \h </w:instrText>
          </w:r>
          <w:r>
            <w:rPr>
              <w:rFonts w:hint="eastAsia" w:ascii="宋体" w:hAnsi="宋体" w:cs="宋体"/>
              <w:sz w:val="24"/>
            </w:rPr>
            <w:fldChar w:fldCharType="separate"/>
          </w:r>
          <w:r>
            <w:rPr>
              <w:rFonts w:hint="eastAsia" w:ascii="宋体" w:hAnsi="宋体" w:cs="宋体"/>
              <w:sz w:val="24"/>
            </w:rPr>
            <w:t>2</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"_Toc12446" </w:instrText>
          </w:r>
          <w:r>
            <w:fldChar w:fldCharType="separate"/>
          </w:r>
          <w:r>
            <w:rPr>
              <w:rFonts w:hint="eastAsia" w:ascii="宋体" w:hAnsi="宋体" w:cs="宋体"/>
              <w:sz w:val="24"/>
            </w:rPr>
            <w:t>三、 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_Toc12446 \h </w:instrText>
          </w:r>
          <w:r>
            <w:rPr>
              <w:rFonts w:hint="eastAsia" w:ascii="宋体" w:hAnsi="宋体" w:cs="宋体"/>
              <w:sz w:val="24"/>
            </w:rPr>
            <w:fldChar w:fldCharType="separate"/>
          </w:r>
          <w:r>
            <w:rPr>
              <w:rFonts w:hint="eastAsia" w:ascii="宋体" w:hAnsi="宋体" w:cs="宋体"/>
              <w:sz w:val="24"/>
            </w:rPr>
            <w:t>3</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"_Toc5855" </w:instrText>
          </w:r>
          <w:r>
            <w:fldChar w:fldCharType="separate"/>
          </w:r>
          <w:r>
            <w:rPr>
              <w:rFonts w:hint="eastAsia" w:ascii="宋体" w:hAnsi="宋体" w:cs="宋体"/>
              <w:sz w:val="24"/>
            </w:rPr>
            <w:t>四、财政拨款收入支出决算总体情况说明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_Toc5855 \h </w:instrText>
          </w:r>
          <w:r>
            <w:rPr>
              <w:rFonts w:hint="eastAsia" w:ascii="宋体" w:hAnsi="宋体" w:cs="宋体"/>
              <w:sz w:val="24"/>
            </w:rPr>
            <w:fldChar w:fldCharType="separate"/>
          </w:r>
          <w:r>
            <w:rPr>
              <w:rFonts w:hint="eastAsia" w:ascii="宋体" w:hAnsi="宋体" w:cs="宋体"/>
              <w:sz w:val="24"/>
            </w:rPr>
            <w:t>4</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"_Toc3649" </w:instrText>
          </w:r>
          <w:r>
            <w:fldChar w:fldCharType="separate"/>
          </w:r>
          <w:r>
            <w:rPr>
              <w:rFonts w:hint="eastAsia" w:ascii="宋体" w:hAnsi="宋体" w:cs="宋体"/>
              <w:sz w:val="24"/>
            </w:rPr>
            <w:t>五、一般公共预算财政拨款支</w:t>
          </w:r>
          <w:bookmarkStart w:id="68" w:name="_GoBack"/>
          <w:bookmarkEnd w:id="68"/>
          <w:r>
            <w:rPr>
              <w:rFonts w:hint="eastAsia" w:ascii="宋体" w:hAnsi="宋体" w:cs="宋体"/>
              <w:sz w:val="24"/>
            </w:rPr>
            <w:t>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_Toc3649 \h </w:instrText>
          </w:r>
          <w:r>
            <w:rPr>
              <w:rFonts w:hint="eastAsia" w:ascii="宋体" w:hAnsi="宋体" w:cs="宋体"/>
              <w:sz w:val="24"/>
            </w:rPr>
            <w:fldChar w:fldCharType="separate"/>
          </w:r>
          <w:r>
            <w:rPr>
              <w:rFonts w:hint="eastAsia" w:ascii="宋体" w:hAnsi="宋体" w:cs="宋体"/>
              <w:sz w:val="24"/>
            </w:rPr>
            <w:t>4</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"_Toc23513" </w:instrText>
          </w:r>
          <w:r>
            <w:fldChar w:fldCharType="separate"/>
          </w:r>
          <w:r>
            <w:rPr>
              <w:rFonts w:hint="eastAsia" w:ascii="宋体" w:hAnsi="宋体" w:cs="宋体"/>
              <w:sz w:val="24"/>
            </w:rPr>
            <w:t>六、一般公共预算财政拨款基本支出决算情况说明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_Toc23513 \h </w:instrText>
          </w:r>
          <w:r>
            <w:rPr>
              <w:rFonts w:hint="eastAsia" w:ascii="宋体" w:hAnsi="宋体" w:cs="宋体"/>
              <w:sz w:val="24"/>
            </w:rPr>
            <w:fldChar w:fldCharType="separate"/>
          </w:r>
          <w:r>
            <w:rPr>
              <w:rFonts w:hint="eastAsia" w:ascii="宋体" w:hAnsi="宋体" w:cs="宋体"/>
              <w:sz w:val="24"/>
            </w:rPr>
            <w:t>7</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"_Toc333" </w:instrText>
          </w:r>
          <w:r>
            <w:fldChar w:fldCharType="separate"/>
          </w:r>
          <w:r>
            <w:rPr>
              <w:rFonts w:hint="eastAsia" w:ascii="宋体" w:hAnsi="宋体" w:cs="宋体"/>
              <w:sz w:val="24"/>
            </w:rPr>
            <w:t>七、财政拨款“三公”经费支出决算情况说明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_Toc333 \h </w:instrText>
          </w:r>
          <w:r>
            <w:rPr>
              <w:rFonts w:hint="eastAsia" w:ascii="宋体" w:hAnsi="宋体" w:cs="宋体"/>
              <w:sz w:val="24"/>
            </w:rPr>
            <w:fldChar w:fldCharType="separate"/>
          </w:r>
          <w:r>
            <w:rPr>
              <w:rFonts w:hint="eastAsia" w:ascii="宋体" w:hAnsi="宋体" w:cs="宋体"/>
              <w:sz w:val="24"/>
            </w:rPr>
            <w:t>7</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"_Toc10728" </w:instrText>
          </w:r>
          <w:r>
            <w:fldChar w:fldCharType="separate"/>
          </w:r>
          <w:r>
            <w:rPr>
              <w:rFonts w:hint="eastAsia" w:ascii="宋体" w:hAnsi="宋体" w:cs="宋体"/>
              <w:sz w:val="24"/>
            </w:rPr>
            <w:t>八、政府性基金预算支出决算情况说明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_Toc10728 \h </w:instrText>
          </w:r>
          <w:r>
            <w:rPr>
              <w:rFonts w:hint="eastAsia" w:ascii="宋体" w:hAnsi="宋体" w:cs="宋体"/>
              <w:sz w:val="24"/>
            </w:rPr>
            <w:fldChar w:fldCharType="separate"/>
          </w:r>
          <w:r>
            <w:rPr>
              <w:rFonts w:hint="eastAsia" w:ascii="宋体" w:hAnsi="宋体" w:cs="宋体"/>
              <w:sz w:val="24"/>
            </w:rPr>
            <w:t>9</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"_Toc23070" </w:instrText>
          </w:r>
          <w:r>
            <w:fldChar w:fldCharType="separate"/>
          </w:r>
          <w:r>
            <w:rPr>
              <w:rFonts w:hint="eastAsia" w:ascii="宋体" w:hAnsi="宋体" w:cs="宋体"/>
              <w:sz w:val="24"/>
            </w:rPr>
            <w:t>九、 国有资本经营预算支出决算情况说明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_Toc23070 \h </w:instrText>
          </w:r>
          <w:r>
            <w:rPr>
              <w:rFonts w:hint="eastAsia" w:ascii="宋体" w:hAnsi="宋体" w:cs="宋体"/>
              <w:sz w:val="24"/>
            </w:rPr>
            <w:fldChar w:fldCharType="separate"/>
          </w:r>
          <w:r>
            <w:rPr>
              <w:rFonts w:hint="eastAsia" w:ascii="宋体" w:hAnsi="宋体" w:cs="宋体"/>
              <w:sz w:val="24"/>
            </w:rPr>
            <w:t>9</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宋体" w:hAnsi="宋体" w:cs="宋体"/>
              <w:sz w:val="24"/>
            </w:rPr>
          </w:pPr>
          <w:r>
            <w:fldChar w:fldCharType="begin"/>
          </w:r>
          <w:r>
            <w:instrText xml:space="preserve"> HYPERLINK \l "_Toc11417" </w:instrText>
          </w:r>
          <w:r>
            <w:fldChar w:fldCharType="separate"/>
          </w:r>
          <w:r>
            <w:rPr>
              <w:rFonts w:hint="eastAsia" w:ascii="宋体" w:hAnsi="宋体" w:cs="宋体"/>
              <w:sz w:val="24"/>
            </w:rPr>
            <w:t>十、 其他重要事项的情况说明</w:t>
          </w:r>
          <w:r>
            <w:rPr>
              <w:rFonts w:hint="eastAsia" w:ascii="宋体" w:hAnsi="宋体" w:cs="宋体"/>
              <w:sz w:val="24"/>
            </w:rPr>
            <w:tab/>
          </w:r>
          <w:r>
            <w:rPr>
              <w:rFonts w:hint="eastAsia" w:ascii="宋体" w:hAnsi="宋体" w:cs="宋体"/>
              <w:sz w:val="24"/>
            </w:rPr>
            <w:fldChar w:fldCharType="begin"/>
          </w:r>
          <w:r>
            <w:rPr>
              <w:rFonts w:hint="eastAsia" w:ascii="宋体" w:hAnsi="宋体" w:cs="宋体"/>
              <w:sz w:val="24"/>
            </w:rPr>
            <w:instrText xml:space="preserve"> PAGEREF _Toc11417 \h </w:instrText>
          </w:r>
          <w:r>
            <w:rPr>
              <w:rFonts w:hint="eastAsia" w:ascii="宋体" w:hAnsi="宋体" w:cs="宋体"/>
              <w:sz w:val="24"/>
            </w:rPr>
            <w:fldChar w:fldCharType="separate"/>
          </w:r>
          <w:r>
            <w:rPr>
              <w:rFonts w:hint="eastAsia" w:ascii="宋体" w:hAnsi="宋体" w:cs="宋体"/>
              <w:sz w:val="24"/>
            </w:rPr>
            <w:t>9</w:t>
          </w:r>
          <w:r>
            <w:rPr>
              <w:rFonts w:hint="eastAsia" w:ascii="宋体" w:hAnsi="宋体" w:cs="宋体"/>
              <w:sz w:val="24"/>
            </w:rPr>
            <w:fldChar w:fldCharType="end"/>
          </w:r>
          <w:r>
            <w:rPr>
              <w:rFonts w:hint="eastAsia" w:ascii="宋体" w:hAnsi="宋体" w:cs="宋体"/>
              <w:sz w:val="24"/>
            </w:rPr>
            <w:fldChar w:fldCharType="end"/>
          </w:r>
        </w:p>
        <w:p>
          <w:pPr>
            <w:pStyle w:val="11"/>
            <w:tabs>
              <w:tab w:val="right" w:leader="dot" w:pos="8306"/>
              <w:tab w:val="clear" w:pos="8296"/>
            </w:tabs>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"_Toc10308" </w:instrText>
          </w:r>
          <w:r>
            <w:rPr>
              <w:rFonts w:hint="eastAsia" w:ascii="仿宋" w:hAnsi="仿宋" w:eastAsia="仿宋" w:cs="仿宋"/>
              <w:sz w:val="24"/>
              <w:szCs w:val="24"/>
            </w:rPr>
            <w:fldChar w:fldCharType="separate"/>
          </w:r>
          <w:r>
            <w:rPr>
              <w:rFonts w:hint="eastAsia" w:ascii="仿宋" w:hAnsi="仿宋" w:eastAsia="仿宋" w:cs="仿宋"/>
              <w:sz w:val="24"/>
              <w:szCs w:val="24"/>
            </w:rPr>
            <w:t>第三部分 名词解释</w:t>
          </w:r>
          <w:r>
            <w:rPr>
              <w:rFonts w:hint="eastAsia" w:ascii="仿宋" w:hAnsi="仿宋" w:eastAsia="仿宋" w:cs="仿宋"/>
              <w:sz w:val="24"/>
              <w:szCs w:val="24"/>
            </w:rPr>
            <w:tab/>
          </w: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PAGEREF _Toc10308 \h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lang w:val="en-US" w:eastAsia="zh-CN"/>
            </w:rPr>
            <w:t>2</w:t>
          </w:r>
          <w:r>
            <w:rPr>
              <w:rFonts w:hint="eastAsia" w:ascii="仿宋" w:hAnsi="仿宋" w:eastAsia="仿宋" w:cs="仿宋"/>
              <w:sz w:val="24"/>
              <w:szCs w:val="24"/>
            </w:rPr>
            <w:fldChar w:fldCharType="end"/>
          </w:r>
          <w:r>
            <w:rPr>
              <w:rFonts w:hint="eastAsia" w:ascii="仿宋" w:hAnsi="仿宋" w:eastAsia="仿宋" w:cs="仿宋"/>
              <w:sz w:val="24"/>
              <w:szCs w:val="24"/>
            </w:rPr>
            <w:fldChar w:fldCharType="end"/>
          </w:r>
        </w:p>
        <w:p>
          <w:pPr>
            <w:pStyle w:val="11"/>
            <w:tabs>
              <w:tab w:val="right" w:leader="dot" w:pos="8306"/>
              <w:tab w:val="clear" w:pos="8296"/>
            </w:tabs>
            <w:rPr>
              <w:rFonts w:hint="eastAsia" w:ascii="仿宋" w:hAnsi="仿宋" w:eastAsia="仿宋" w:cs="仿宋"/>
              <w:sz w:val="24"/>
              <w:szCs w:val="24"/>
              <w:lang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"_Toc18080" </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第四部分 附件</w:t>
          </w:r>
          <w:r>
            <w:rPr>
              <w:rFonts w:hint="eastAsia" w:ascii="仿宋" w:hAnsi="仿宋" w:eastAsia="仿宋" w:cs="仿宋"/>
              <w:sz w:val="24"/>
              <w:szCs w:val="24"/>
              <w:lang w:val="zh-CN"/>
            </w:rPr>
            <w:tab/>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5</w:t>
          </w:r>
        </w:p>
        <w:p>
          <w:pPr>
            <w:pStyle w:val="11"/>
            <w:tabs>
              <w:tab w:val="right" w:leader="dot" w:pos="8306"/>
              <w:tab w:val="clear" w:pos="8296"/>
            </w:tabs>
            <w:rPr>
              <w:rFonts w:hint="eastAsia" w:ascii="仿宋" w:hAnsi="仿宋" w:eastAsia="仿宋" w:cs="仿宋"/>
              <w:sz w:val="24"/>
              <w:szCs w:val="24"/>
              <w:lang w:eastAsia="zh-CN"/>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"_Toc14176" </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第五部分  附表</w:t>
          </w:r>
          <w:r>
            <w:rPr>
              <w:rFonts w:hint="eastAsia" w:ascii="仿宋" w:hAnsi="仿宋" w:eastAsia="仿宋" w:cs="仿宋"/>
              <w:sz w:val="24"/>
              <w:szCs w:val="24"/>
              <w:lang w:val="zh-CN"/>
            </w:rPr>
            <w:tab/>
          </w:r>
          <w:r>
            <w:rPr>
              <w:rFonts w:hint="eastAsia" w:ascii="仿宋" w:hAnsi="仿宋" w:eastAsia="仿宋" w:cs="仿宋"/>
              <w:sz w:val="24"/>
              <w:szCs w:val="24"/>
            </w:rPr>
            <w:t>1</w:t>
          </w:r>
          <w:r>
            <w:rPr>
              <w:rFonts w:hint="eastAsia" w:ascii="仿宋" w:hAnsi="仿宋" w:eastAsia="仿宋" w:cs="仿宋"/>
              <w:sz w:val="24"/>
              <w:szCs w:val="24"/>
            </w:rPr>
            <w:fldChar w:fldCharType="end"/>
          </w:r>
          <w:r>
            <w:rPr>
              <w:rFonts w:hint="eastAsia" w:ascii="仿宋" w:hAnsi="仿宋" w:eastAsia="仿宋" w:cs="仿宋"/>
              <w:sz w:val="24"/>
              <w:szCs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"_Toc16856"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一、收入支出决算总表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"_Toc2996"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二、收入决算表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"_Toc13315"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三、支出决算表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"_Toc9313"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四、财政拨款收入支出决算总表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"_Toc26266"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五、财政拨款支出决算明细表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"_Toc14441"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六、一般公共预算财政拨款支出决算表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"_Toc16956"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七、一般公共预算财政拨款支出决算明细表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"_Toc3311"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八、一般公共预算财政拨款基本支出决算表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"_Toc638"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九、一般公共预算财政拨款项目支出决算表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"_Toc13902"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十、政府性基金预算财政拨款收入支出决算表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fldChar w:fldCharType="begin"/>
          </w:r>
          <w:r>
            <w:rPr>
              <w:rFonts w:hint="eastAsia" w:asciiTheme="minorEastAsia" w:hAnsiTheme="minorEastAsia" w:eastAsiaTheme="minorEastAsia" w:cstheme="minorEastAsia"/>
              <w:sz w:val="24"/>
            </w:rPr>
            <w:instrText xml:space="preserve"> PAGEREF _Toc13902 \h </w:instrText>
          </w:r>
          <w:r>
            <w:rPr>
              <w:rFonts w:hint="eastAsia" w:asciiTheme="minorEastAsia" w:hAnsiTheme="minorEastAsia" w:eastAsiaTheme="minorEastAsia" w:cstheme="minorEastAsia"/>
              <w:sz w:val="24"/>
            </w:rPr>
            <w:fldChar w:fldCharType="separate"/>
          </w:r>
          <w:r>
            <w:rPr>
              <w:rFonts w:hint="eastAsia" w:asciiTheme="minorEastAsia" w:hAnsiTheme="minorEastAsia" w:eastAsiaTheme="minorEastAsia" w:cstheme="minorEastAsia"/>
              <w:sz w:val="24"/>
            </w:rPr>
            <w:t>16</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rPr>
            <w:fldChar w:fldCharType="end"/>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"_Toc23833"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十一、国有资本经营预算财政拨款收入支出决算表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"_Toc25332"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十二、国有资本经营预算财政拨款支出决算表</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pStyle w:val="11"/>
            <w:rPr>
              <w:rFonts w:hint="eastAsia" w:asciiTheme="minorEastAsia" w:hAnsiTheme="minorEastAsia" w:eastAsiaTheme="minorEastAsia" w:cstheme="minorEastAsia"/>
              <w:sz w:val="30"/>
              <w:szCs w:val="30"/>
              <w:lang w:eastAsia="zh-CN"/>
            </w:rPr>
          </w:pP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\l "_Toc24538"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sz w:val="24"/>
            </w:rPr>
            <w:t>十三、财政拨款“三公”经费支出决算</w:t>
          </w:r>
          <w:r>
            <w:rPr>
              <w:rFonts w:hint="eastAsia" w:asciiTheme="minorEastAsia" w:hAnsiTheme="minorEastAsia" w:eastAsiaTheme="minorEastAsia" w:cstheme="minorEastAsia"/>
              <w:sz w:val="24"/>
            </w:rPr>
            <w:tab/>
          </w:r>
          <w:r>
            <w:rPr>
              <w:rFonts w:hint="eastAsia" w:asciiTheme="minorEastAsia" w:hAnsiTheme="minorEastAsia" w:eastAsiaTheme="minorEastAsia" w:cstheme="minorEastAsia"/>
              <w:sz w:val="24"/>
            </w:rPr>
            <w:t>1</w:t>
          </w:r>
          <w:r>
            <w:rPr>
              <w:rFonts w:hint="eastAsia" w:asciiTheme="minorEastAsia" w:hAnsiTheme="minorEastAsia" w:eastAsiaTheme="minorEastAsia" w:cstheme="minorEastAsia"/>
              <w:sz w:val="24"/>
            </w:rPr>
            <w:fldChar w:fldCharType="end"/>
          </w:r>
          <w:r>
            <w:rPr>
              <w:rFonts w:hint="eastAsia" w:asciiTheme="minorEastAsia" w:hAnsiTheme="minorEastAsia" w:eastAsiaTheme="minorEastAsia" w:cstheme="minorEastAsia"/>
              <w:sz w:val="24"/>
              <w:lang w:val="en-US" w:eastAsia="zh-CN"/>
            </w:rPr>
            <w:t>6</w:t>
          </w:r>
        </w:p>
        <w:p>
          <w:pPr>
            <w:rPr>
              <w:rFonts w:eastAsia="仿宋"/>
              <w:b/>
              <w:sz w:val="24"/>
            </w:rPr>
            <w:sectPr>
              <w:footerReference r:id="rId7" w:type="first"/>
              <w:footerReference r:id="rId6" w:type="default"/>
              <w:pgSz w:w="11906" w:h="16838"/>
              <w:pgMar w:top="1440" w:right="1800" w:bottom="1440" w:left="1800" w:header="851" w:footer="992" w:gutter="0"/>
              <w:pgNumType w:start="1"/>
              <w:cols w:space="425" w:num="1"/>
              <w:titlePg/>
              <w:docGrid w:type="lines" w:linePitch="312" w:charSpace="0"/>
            </w:sectPr>
          </w:pPr>
          <w:r>
            <w:rPr>
              <w:rFonts w:hint="eastAsia" w:ascii="宋体" w:hAnsi="宋体" w:cs="宋体"/>
              <w:bCs/>
              <w:sz w:val="28"/>
              <w:szCs w:val="28"/>
              <w:lang w:val="zh-CN"/>
            </w:rPr>
            <w:fldChar w:fldCharType="end"/>
          </w:r>
        </w:p>
      </w:sdtContent>
    </w:sdt>
    <w:p>
      <w:pPr>
        <w:pStyle w:val="4"/>
        <w:jc w:val="center"/>
        <w:rPr>
          <w:rFonts w:hint="eastAsia" w:asciiTheme="majorEastAsia" w:hAnsiTheme="majorEastAsia"/>
          <w:sz w:val="44"/>
          <w:szCs w:val="44"/>
        </w:rPr>
      </w:pPr>
      <w:bookmarkStart w:id="13" w:name="_Toc1915"/>
      <w:r>
        <w:rPr>
          <w:rFonts w:asciiTheme="majorEastAsia" w:hAnsiTheme="majorEastAsia"/>
          <w:sz w:val="44"/>
          <w:szCs w:val="44"/>
        </w:rPr>
        <w:t>第一部分 单位概况</w:t>
      </w:r>
      <w:bookmarkEnd w:id="11"/>
      <w:bookmarkEnd w:id="12"/>
      <w:bookmarkEnd w:id="13"/>
    </w:p>
    <w:p>
      <w:pPr>
        <w:widowControl/>
        <w:spacing w:line="360" w:lineRule="auto"/>
        <w:jc w:val="left"/>
        <w:rPr>
          <w:rFonts w:eastAsia="黑体"/>
          <w:sz w:val="32"/>
          <w:szCs w:val="32"/>
        </w:rPr>
      </w:pPr>
    </w:p>
    <w:p>
      <w:pPr>
        <w:spacing w:line="360" w:lineRule="auto"/>
        <w:ind w:left="640"/>
        <w:outlineLvl w:val="1"/>
        <w:rPr>
          <w:rStyle w:val="16"/>
          <w:rFonts w:ascii="Times New Roman" w:hAnsi="Times New Roman" w:eastAsia="黑体" w:cs="Times New Roman"/>
        </w:rPr>
      </w:pPr>
      <w:bookmarkStart w:id="14" w:name="_Toc29246"/>
      <w:bookmarkStart w:id="15" w:name="_Toc15396600"/>
      <w:bookmarkStart w:id="16" w:name="_Toc15377197"/>
      <w:r>
        <w:rPr>
          <w:rFonts w:eastAsia="黑体"/>
          <w:bCs/>
          <w:sz w:val="32"/>
          <w:szCs w:val="32"/>
        </w:rPr>
        <w:t>一、主要职责</w:t>
      </w:r>
      <w:bookmarkEnd w:id="14"/>
      <w:r>
        <w:rPr>
          <w:rFonts w:eastAsia="黑体"/>
          <w:bCs/>
          <w:sz w:val="32"/>
          <w:szCs w:val="32"/>
        </w:rPr>
        <w:t xml:space="preserve"> </w:t>
      </w:r>
      <w:r>
        <w:rPr>
          <w:rStyle w:val="16"/>
          <w:rFonts w:ascii="Times New Roman" w:hAnsi="Times New Roman" w:eastAsia="黑体" w:cs="Times New Roman"/>
        </w:rPr>
        <w:t xml:space="preserve">          </w:t>
      </w:r>
    </w:p>
    <w:p>
      <w:pPr>
        <w:spacing w:line="360" w:lineRule="auto"/>
        <w:ind w:firstLine="640" w:firstLineChars="200"/>
        <w:rPr>
          <w:rFonts w:eastAsia="仿宋"/>
          <w:b/>
          <w:bCs/>
          <w:sz w:val="32"/>
          <w:szCs w:val="32"/>
        </w:rPr>
      </w:pPr>
      <w:r>
        <w:rPr>
          <w:rFonts w:eastAsia="仿宋"/>
          <w:sz w:val="32"/>
          <w:szCs w:val="32"/>
        </w:rPr>
        <w:t>盐边县人民医院是盐边县域内医疗卫生中心和农村三级医疗卫生服务龙头，与市级医院分工协作，主要为县域居民提供基本医疗服务，包括运用适宜医疗技术和药物，开展常见病、多发病诊疗，危急重症病人救治，重大疑难疾病接治转诊；推广应用适宜医疗技术，为农村基层医疗卫生机构人员提供培训和技术指导；承担部分公共卫生服务，以及自然灾害和突发事件医疗救治等工作。医院以病人为中心，加强内部管理，不断完善功能，提高技术水平和服务质量满足人民群众日益增长的医疗服务需求，实现小病不出乡大病不出县，切实解决群众看病难看病贵问题。</w:t>
      </w:r>
    </w:p>
    <w:p>
      <w:pPr>
        <w:spacing w:line="360" w:lineRule="auto"/>
      </w:pPr>
    </w:p>
    <w:p>
      <w:pPr>
        <w:pStyle w:val="4"/>
        <w:spacing w:line="360" w:lineRule="auto"/>
        <w:rPr>
          <w:rFonts w:ascii="Times New Roman" w:hAnsi="Times New Roman" w:eastAsia="黑体" w:cs="Times New Roman"/>
          <w:b w:val="0"/>
        </w:rPr>
      </w:pPr>
      <w:bookmarkStart w:id="17" w:name="_Toc10075"/>
      <w:r>
        <w:rPr>
          <w:rFonts w:ascii="Times New Roman" w:hAnsi="Times New Roman" w:eastAsia="黑体" w:cs="Times New Roman"/>
          <w:b w:val="0"/>
        </w:rPr>
        <w:t>二、机构设置</w:t>
      </w:r>
      <w:bookmarkEnd w:id="17"/>
    </w:p>
    <w:bookmarkEnd w:id="15"/>
    <w:bookmarkEnd w:id="16"/>
    <w:p>
      <w:pPr>
        <w:spacing w:line="360" w:lineRule="auto"/>
        <w:ind w:firstLine="640" w:firstLineChars="200"/>
        <w:rPr>
          <w:rFonts w:eastAsia="仿宋"/>
          <w:sz w:val="32"/>
          <w:szCs w:val="32"/>
        </w:rPr>
      </w:pPr>
      <w:r>
        <w:rPr>
          <w:rFonts w:eastAsia="仿宋"/>
          <w:sz w:val="32"/>
          <w:szCs w:val="32"/>
        </w:rPr>
        <w:t>盐边县人民医院</w:t>
      </w:r>
      <w:r>
        <w:rPr>
          <w:rFonts w:hint="eastAsia" w:eastAsia="仿宋"/>
          <w:sz w:val="32"/>
          <w:szCs w:val="32"/>
        </w:rPr>
        <w:t>内设科室36个，其中职能科室13个（党委办公室、院办公室、财务科、人教科、医务科、护理部、质控办公室、院感科、预防保健科、艾滋病综合管理办公室、信息科、医保办公室、采购保障办公室），临床科室11个（内科、外科、妇产科、儿科、中医康复科、急诊科、门诊部、感染性疾病科、手术室麻醉科、血透室、重症医学科ICU），医技科室6个（影像科、功能科、药剂科、检验科、输血科），医辅科室6个（体检科、医学设备科、供应室、收费室、洗衣房、驾驶班）。2023年在编人员145人，临聘人员91人，退休人员113人。</w:t>
      </w:r>
      <w:r>
        <w:rPr>
          <w:rFonts w:eastAsia="仿宋"/>
          <w:sz w:val="32"/>
          <w:szCs w:val="32"/>
        </w:rPr>
        <w:br w:type="page"/>
      </w:r>
    </w:p>
    <w:p>
      <w:pPr>
        <w:pStyle w:val="4"/>
        <w:jc w:val="center"/>
        <w:rPr>
          <w:rFonts w:hint="eastAsia" w:asciiTheme="majorEastAsia" w:hAnsiTheme="majorEastAsia"/>
          <w:sz w:val="44"/>
          <w:szCs w:val="44"/>
        </w:rPr>
      </w:pPr>
      <w:bookmarkStart w:id="18" w:name="_Toc15396602"/>
      <w:bookmarkStart w:id="19" w:name="_Toc11651"/>
      <w:bookmarkStart w:id="20" w:name="_Toc15377204"/>
      <w:r>
        <w:rPr>
          <w:rFonts w:asciiTheme="majorEastAsia" w:hAnsiTheme="majorEastAsia"/>
          <w:sz w:val="44"/>
          <w:szCs w:val="44"/>
        </w:rPr>
        <w:t>第二部分 2023年度单位决算情况说明</w:t>
      </w:r>
      <w:bookmarkEnd w:id="18"/>
      <w:bookmarkEnd w:id="19"/>
      <w:bookmarkEnd w:id="20"/>
    </w:p>
    <w:p>
      <w:pPr>
        <w:spacing w:line="360" w:lineRule="auto"/>
      </w:pPr>
    </w:p>
    <w:p>
      <w:pPr>
        <w:pStyle w:val="17"/>
        <w:numPr>
          <w:ilvl w:val="0"/>
          <w:numId w:val="1"/>
        </w:numPr>
        <w:spacing w:line="360" w:lineRule="auto"/>
        <w:ind w:firstLineChars="0"/>
        <w:outlineLvl w:val="1"/>
        <w:rPr>
          <w:rStyle w:val="16"/>
          <w:rFonts w:ascii="Times New Roman" w:hAnsi="Times New Roman" w:eastAsia="黑体" w:cs="Times New Roman"/>
          <w:b w:val="0"/>
        </w:rPr>
      </w:pPr>
      <w:bookmarkStart w:id="21" w:name="_Toc15377205"/>
      <w:bookmarkStart w:id="22" w:name="_Toc22910"/>
      <w:bookmarkStart w:id="23" w:name="_Toc15396603"/>
      <w:r>
        <w:rPr>
          <w:rFonts w:eastAsia="黑体"/>
          <w:sz w:val="32"/>
          <w:szCs w:val="32"/>
        </w:rPr>
        <w:t>收</w:t>
      </w:r>
      <w:r>
        <w:rPr>
          <w:rStyle w:val="16"/>
          <w:rFonts w:ascii="Times New Roman" w:hAnsi="Times New Roman" w:eastAsia="黑体" w:cs="Times New Roman"/>
          <w:b w:val="0"/>
        </w:rPr>
        <w:t>入支出决算总体情况说明</w:t>
      </w:r>
      <w:bookmarkEnd w:id="21"/>
      <w:bookmarkEnd w:id="22"/>
      <w:bookmarkEnd w:id="23"/>
    </w:p>
    <w:p>
      <w:pPr>
        <w:spacing w:line="360" w:lineRule="auto"/>
        <w:ind w:firstLine="640" w:firstLineChars="200"/>
        <w:rPr>
          <w:rFonts w:eastAsia="仿宋"/>
          <w:sz w:val="32"/>
          <w:szCs w:val="32"/>
        </w:rPr>
      </w:pPr>
      <w:r>
        <w:rPr>
          <w:rFonts w:eastAsia="仿宋"/>
          <w:sz w:val="32"/>
          <w:szCs w:val="32"/>
        </w:rPr>
        <w:t>2023年度收、支总计均为7364.73万元。与2022年度相比（2022年收、支总计6019.08万元），收入增加1345.65万元，同比增长22.36%。</w:t>
      </w:r>
      <w:r>
        <w:rPr>
          <w:rFonts w:hint="eastAsia" w:eastAsia="仿宋"/>
          <w:sz w:val="32"/>
          <w:szCs w:val="32"/>
        </w:rPr>
        <w:t xml:space="preserve">主要变动原因是由于 </w:t>
      </w:r>
      <w:r>
        <w:rPr>
          <w:rFonts w:eastAsia="仿宋"/>
          <w:sz w:val="32"/>
          <w:szCs w:val="32"/>
        </w:rPr>
        <w:t>2023</w:t>
      </w:r>
      <w:r>
        <w:rPr>
          <w:rFonts w:hint="eastAsia" w:eastAsia="仿宋"/>
          <w:sz w:val="32"/>
          <w:szCs w:val="32"/>
        </w:rPr>
        <w:t>年财政项目拨款收入增加7</w:t>
      </w:r>
      <w:r>
        <w:rPr>
          <w:rFonts w:eastAsia="仿宋"/>
          <w:sz w:val="32"/>
          <w:szCs w:val="32"/>
        </w:rPr>
        <w:t>98.38</w:t>
      </w:r>
      <w:r>
        <w:rPr>
          <w:rFonts w:hint="eastAsia" w:eastAsia="仿宋"/>
          <w:sz w:val="32"/>
          <w:szCs w:val="32"/>
        </w:rPr>
        <w:t>万元造成的。</w:t>
      </w:r>
    </w:p>
    <w:p>
      <w:pPr>
        <w:pStyle w:val="2"/>
        <w:spacing w:before="93" w:line="360" w:lineRule="auto"/>
        <w:jc w:val="center"/>
        <w:rPr>
          <w:rFonts w:ascii="Times New Roman"/>
        </w:rPr>
      </w:pPr>
      <w:r>
        <w:rPr>
          <w:rFonts w:ascii="Times New Roman"/>
        </w:rPr>
        <w:drawing>
          <wp:inline distT="0" distB="0" distL="0" distR="0">
            <wp:extent cx="4533900" cy="2905125"/>
            <wp:effectExtent l="4445" t="4445" r="14605" b="508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spacing w:before="93" w:line="360" w:lineRule="auto"/>
        <w:jc w:val="center"/>
        <w:rPr>
          <w:rFonts w:ascii="Times New Roman"/>
        </w:rPr>
      </w:pPr>
      <w:r>
        <w:rPr>
          <w:sz w:val="32"/>
          <w:szCs w:val="32"/>
        </w:rPr>
        <w:t>（图1：收、支决算总计变动情况图）</w:t>
      </w:r>
    </w:p>
    <w:p>
      <w:pPr>
        <w:pStyle w:val="17"/>
        <w:numPr>
          <w:ilvl w:val="0"/>
          <w:numId w:val="1"/>
        </w:numPr>
        <w:spacing w:line="360" w:lineRule="auto"/>
        <w:ind w:firstLineChars="0"/>
        <w:outlineLvl w:val="1"/>
        <w:rPr>
          <w:rStyle w:val="16"/>
          <w:rFonts w:ascii="Times New Roman" w:hAnsi="Times New Roman" w:eastAsia="黑体" w:cs="Times New Roman"/>
          <w:b w:val="0"/>
        </w:rPr>
      </w:pPr>
      <w:bookmarkStart w:id="24" w:name="_Toc15396604"/>
      <w:bookmarkStart w:id="25" w:name="_Toc19812"/>
      <w:bookmarkStart w:id="26" w:name="_Toc15377206"/>
      <w:r>
        <w:rPr>
          <w:rFonts w:eastAsia="黑体"/>
          <w:sz w:val="32"/>
          <w:szCs w:val="32"/>
        </w:rPr>
        <w:t>收</w:t>
      </w:r>
      <w:r>
        <w:rPr>
          <w:rStyle w:val="16"/>
          <w:rFonts w:ascii="Times New Roman" w:hAnsi="Times New Roman" w:eastAsia="黑体" w:cs="Times New Roman"/>
          <w:b w:val="0"/>
        </w:rPr>
        <w:t>入决算情况说明</w:t>
      </w:r>
      <w:bookmarkEnd w:id="24"/>
      <w:bookmarkEnd w:id="25"/>
      <w:bookmarkEnd w:id="26"/>
    </w:p>
    <w:p>
      <w:pPr>
        <w:spacing w:line="360" w:lineRule="auto"/>
        <w:ind w:firstLine="640" w:firstLineChars="200"/>
        <w:rPr>
          <w:rFonts w:eastAsia="仿宋"/>
          <w:sz w:val="32"/>
          <w:szCs w:val="32"/>
        </w:rPr>
      </w:pPr>
      <w:r>
        <w:rPr>
          <w:rFonts w:eastAsia="仿宋"/>
          <w:sz w:val="32"/>
          <w:szCs w:val="32"/>
        </w:rPr>
        <w:t>2023年度本年收入合计7364.73万元，其中：一般公共预算财政拨款收入2895.54万元，占39.32%；政府性基金预算财政拨款收入0万元，占0%；国有资本经营预算财政拨款收入0万元，占0%；上级补助收入0万元，占0%；事业收入4447.56万元，占60.39%；经营收入0万元，占0%；附属单位上缴收入0万元，占0%；其他收入21.63万元，占0.29%。</w:t>
      </w:r>
    </w:p>
    <w:p>
      <w:pPr>
        <w:pStyle w:val="2"/>
        <w:spacing w:before="93" w:line="360" w:lineRule="auto"/>
        <w:jc w:val="center"/>
        <w:rPr>
          <w:rFonts w:ascii="Times New Roman"/>
        </w:rPr>
      </w:pPr>
      <w:r>
        <w:rPr>
          <w:rFonts w:ascii="Times New Roman"/>
        </w:rPr>
        <w:drawing>
          <wp:inline distT="0" distB="0" distL="0" distR="0">
            <wp:extent cx="4208780" cy="2455545"/>
            <wp:effectExtent l="4445" t="4445" r="15875" b="1651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360" w:lineRule="auto"/>
        <w:jc w:val="center"/>
      </w:pPr>
      <w:r>
        <w:rPr>
          <w:rFonts w:eastAsia="仿宋"/>
          <w:sz w:val="32"/>
        </w:rPr>
        <w:t>（图2：收入决算结构图）</w:t>
      </w:r>
    </w:p>
    <w:p>
      <w:pPr>
        <w:pStyle w:val="17"/>
        <w:numPr>
          <w:ilvl w:val="0"/>
          <w:numId w:val="1"/>
        </w:numPr>
        <w:spacing w:line="360" w:lineRule="auto"/>
        <w:ind w:firstLineChars="0"/>
        <w:outlineLvl w:val="1"/>
        <w:rPr>
          <w:rStyle w:val="16"/>
          <w:rFonts w:ascii="Times New Roman" w:hAnsi="Times New Roman" w:eastAsia="黑体" w:cs="Times New Roman"/>
          <w:b w:val="0"/>
        </w:rPr>
      </w:pPr>
      <w:bookmarkStart w:id="27" w:name="_Toc15377207"/>
      <w:bookmarkStart w:id="28" w:name="_Toc15396605"/>
      <w:bookmarkStart w:id="29" w:name="_Toc12446"/>
      <w:r>
        <w:rPr>
          <w:rFonts w:eastAsia="黑体"/>
          <w:sz w:val="32"/>
          <w:szCs w:val="32"/>
        </w:rPr>
        <w:t>支</w:t>
      </w:r>
      <w:r>
        <w:rPr>
          <w:rStyle w:val="16"/>
          <w:rFonts w:ascii="Times New Roman" w:hAnsi="Times New Roman" w:eastAsia="黑体" w:cs="Times New Roman"/>
          <w:b w:val="0"/>
        </w:rPr>
        <w:t>出决算情况说明</w:t>
      </w:r>
      <w:bookmarkEnd w:id="27"/>
      <w:bookmarkEnd w:id="28"/>
      <w:bookmarkEnd w:id="29"/>
    </w:p>
    <w:p>
      <w:pPr>
        <w:spacing w:line="360" w:lineRule="auto"/>
        <w:ind w:firstLine="640" w:firstLineChars="200"/>
        <w:rPr>
          <w:rFonts w:eastAsia="仿宋"/>
          <w:sz w:val="32"/>
          <w:szCs w:val="32"/>
        </w:rPr>
      </w:pPr>
      <w:r>
        <w:rPr>
          <w:rFonts w:eastAsia="仿宋"/>
          <w:sz w:val="32"/>
          <w:szCs w:val="32"/>
        </w:rPr>
        <w:t>2023年度本年支出合计6704.96万元，其中：基本支出5779.19万元，占86.2%；项目支出925.77万元，占13.8%；上缴上级支出0万元，占0%；经营支出0万元，占0%；对附属单位补助支出0万元，占0%。</w:t>
      </w:r>
    </w:p>
    <w:p>
      <w:pPr>
        <w:pStyle w:val="2"/>
        <w:spacing w:before="93" w:line="360" w:lineRule="auto"/>
        <w:jc w:val="center"/>
      </w:pPr>
      <w:r>
        <w:rPr>
          <w:rFonts w:hint="eastAsia"/>
        </w:rPr>
        <w:drawing>
          <wp:inline distT="0" distB="0" distL="0" distR="0">
            <wp:extent cx="3992245" cy="2411730"/>
            <wp:effectExtent l="4445" t="4445" r="22860" b="222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360" w:lineRule="auto"/>
        <w:jc w:val="center"/>
      </w:pPr>
      <w:r>
        <w:rPr>
          <w:rFonts w:eastAsia="仿宋"/>
          <w:sz w:val="32"/>
        </w:rPr>
        <w:t>（图3：支出决算结构图）</w:t>
      </w:r>
    </w:p>
    <w:p>
      <w:pPr>
        <w:spacing w:line="360" w:lineRule="auto"/>
        <w:ind w:firstLine="640" w:firstLineChars="200"/>
        <w:outlineLvl w:val="1"/>
        <w:rPr>
          <w:rStyle w:val="16"/>
          <w:rFonts w:ascii="Times New Roman" w:hAnsi="Times New Roman" w:eastAsia="黑体" w:cs="Times New Roman"/>
          <w:b w:val="0"/>
        </w:rPr>
      </w:pPr>
      <w:bookmarkStart w:id="30" w:name="_Toc15396606"/>
      <w:bookmarkStart w:id="31" w:name="_Toc15377208"/>
      <w:bookmarkStart w:id="32" w:name="_Toc5855"/>
      <w:r>
        <w:rPr>
          <w:rFonts w:eastAsia="黑体"/>
          <w:sz w:val="32"/>
          <w:szCs w:val="32"/>
        </w:rPr>
        <w:t>四、财</w:t>
      </w:r>
      <w:r>
        <w:rPr>
          <w:rStyle w:val="16"/>
          <w:rFonts w:ascii="Times New Roman" w:hAnsi="Times New Roman" w:eastAsia="黑体" w:cs="Times New Roman"/>
          <w:b w:val="0"/>
        </w:rPr>
        <w:t>政拨款收入支出决算总体情况说明</w:t>
      </w:r>
      <w:bookmarkEnd w:id="30"/>
      <w:bookmarkEnd w:id="31"/>
      <w:bookmarkEnd w:id="32"/>
    </w:p>
    <w:p>
      <w:pPr>
        <w:spacing w:line="360" w:lineRule="auto"/>
        <w:ind w:firstLine="640"/>
        <w:rPr>
          <w:rFonts w:eastAsia="仿宋"/>
          <w:sz w:val="32"/>
          <w:szCs w:val="32"/>
        </w:rPr>
      </w:pPr>
      <w:r>
        <w:rPr>
          <w:rFonts w:eastAsia="仿宋"/>
          <w:sz w:val="32"/>
          <w:szCs w:val="32"/>
        </w:rPr>
        <w:t>2023年度财政拨款收、支总计均为</w:t>
      </w:r>
      <w:r>
        <w:rPr>
          <w:rFonts w:eastAsia="仿宋"/>
          <w:bCs/>
          <w:sz w:val="32"/>
          <w:szCs w:val="32"/>
        </w:rPr>
        <w:t>2895.54</w:t>
      </w:r>
      <w:r>
        <w:rPr>
          <w:rFonts w:eastAsia="仿宋"/>
          <w:sz w:val="32"/>
          <w:szCs w:val="32"/>
        </w:rPr>
        <w:t>万元。与2022年度相比（2022年为2097.16万元），财政拨款收、支总计各增加798.38万元，增长38.07%。主要变动原因</w:t>
      </w:r>
      <w:r>
        <w:rPr>
          <w:rFonts w:hint="eastAsia" w:eastAsia="仿宋"/>
          <w:sz w:val="32"/>
          <w:szCs w:val="32"/>
        </w:rPr>
        <w:t>是人员经费增加1</w:t>
      </w:r>
      <w:r>
        <w:rPr>
          <w:rFonts w:eastAsia="仿宋"/>
          <w:sz w:val="32"/>
          <w:szCs w:val="32"/>
        </w:rPr>
        <w:t>24.12</w:t>
      </w:r>
      <w:r>
        <w:rPr>
          <w:rFonts w:hint="eastAsia" w:eastAsia="仿宋"/>
          <w:sz w:val="32"/>
          <w:szCs w:val="32"/>
        </w:rPr>
        <w:t>万元，项目拨款经费增加6</w:t>
      </w:r>
      <w:r>
        <w:rPr>
          <w:rFonts w:eastAsia="仿宋"/>
          <w:sz w:val="32"/>
          <w:szCs w:val="32"/>
        </w:rPr>
        <w:t>74.26</w:t>
      </w:r>
      <w:r>
        <w:rPr>
          <w:rFonts w:hint="eastAsia" w:eastAsia="仿宋"/>
          <w:sz w:val="32"/>
          <w:szCs w:val="32"/>
        </w:rPr>
        <w:t>万元造成的。</w:t>
      </w:r>
    </w:p>
    <w:p>
      <w:pPr>
        <w:pStyle w:val="2"/>
        <w:spacing w:before="93" w:line="360" w:lineRule="auto"/>
        <w:jc w:val="center"/>
        <w:rPr>
          <w:rFonts w:ascii="Times New Roman"/>
        </w:rPr>
      </w:pPr>
      <w:r>
        <w:rPr>
          <w:rFonts w:ascii="Times New Roman"/>
        </w:rPr>
        <w:drawing>
          <wp:inline distT="0" distB="0" distL="0" distR="0">
            <wp:extent cx="4660900" cy="3258185"/>
            <wp:effectExtent l="4445" t="4445" r="20955" b="1397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360" w:lineRule="auto"/>
        <w:jc w:val="center"/>
      </w:pPr>
      <w:r>
        <w:rPr>
          <w:rFonts w:eastAsia="仿宋"/>
          <w:sz w:val="32"/>
        </w:rPr>
        <w:t>（图4：财政拨款收、支决算总计变动情况）</w:t>
      </w:r>
    </w:p>
    <w:p>
      <w:pPr>
        <w:spacing w:line="360" w:lineRule="auto"/>
        <w:ind w:firstLine="640" w:firstLineChars="200"/>
        <w:outlineLvl w:val="1"/>
        <w:rPr>
          <w:rStyle w:val="16"/>
          <w:rFonts w:ascii="Times New Roman" w:hAnsi="Times New Roman" w:eastAsia="黑体" w:cs="Times New Roman"/>
          <w:b w:val="0"/>
        </w:rPr>
      </w:pPr>
      <w:bookmarkStart w:id="33" w:name="_Toc15396607"/>
      <w:bookmarkStart w:id="34" w:name="_Toc3649"/>
      <w:bookmarkStart w:id="35" w:name="_Toc15377209"/>
      <w:r>
        <w:rPr>
          <w:rFonts w:eastAsia="黑体"/>
          <w:sz w:val="32"/>
          <w:szCs w:val="32"/>
        </w:rPr>
        <w:t>五、</w:t>
      </w:r>
      <w:r>
        <w:rPr>
          <w:rFonts w:eastAsia="黑体"/>
          <w:b/>
          <w:sz w:val="32"/>
          <w:szCs w:val="32"/>
        </w:rPr>
        <w:t>一</w:t>
      </w:r>
      <w:r>
        <w:rPr>
          <w:rStyle w:val="16"/>
          <w:rFonts w:ascii="Times New Roman" w:hAnsi="Times New Roman" w:eastAsia="黑体" w:cs="Times New Roman"/>
          <w:b w:val="0"/>
        </w:rPr>
        <w:t>般公共预算财政拨款支出决算情况说明</w:t>
      </w:r>
      <w:bookmarkEnd w:id="33"/>
      <w:bookmarkEnd w:id="34"/>
      <w:bookmarkEnd w:id="35"/>
    </w:p>
    <w:p>
      <w:pPr>
        <w:spacing w:line="360" w:lineRule="auto"/>
        <w:ind w:firstLine="640" w:firstLineChars="200"/>
        <w:rPr>
          <w:rFonts w:hint="eastAsia" w:ascii="楷体" w:hAnsi="楷体" w:eastAsia="楷体"/>
          <w:sz w:val="32"/>
          <w:szCs w:val="32"/>
        </w:rPr>
      </w:pPr>
      <w:bookmarkStart w:id="36" w:name="_Toc15377210"/>
      <w:r>
        <w:rPr>
          <w:rFonts w:ascii="楷体" w:hAnsi="楷体" w:eastAsia="楷体"/>
          <w:sz w:val="32"/>
          <w:szCs w:val="32"/>
        </w:rPr>
        <w:t>（一）</w:t>
      </w:r>
      <w:r>
        <w:rPr>
          <w:rFonts w:hint="eastAsia" w:ascii="楷体" w:hAnsi="楷体" w:eastAsia="楷体"/>
          <w:sz w:val="32"/>
          <w:szCs w:val="32"/>
        </w:rPr>
        <w:t xml:space="preserve"> </w:t>
      </w:r>
      <w:r>
        <w:rPr>
          <w:rFonts w:ascii="楷体" w:hAnsi="楷体" w:eastAsia="楷体"/>
          <w:sz w:val="32"/>
          <w:szCs w:val="32"/>
        </w:rPr>
        <w:t>一般公共预算财政拨款支出决算总体情况</w:t>
      </w:r>
      <w:bookmarkEnd w:id="36"/>
    </w:p>
    <w:p>
      <w:pPr>
        <w:spacing w:line="360" w:lineRule="auto"/>
        <w:ind w:firstLine="640" w:firstLineChars="200"/>
        <w:rPr>
          <w:rFonts w:eastAsia="仿宋"/>
          <w:sz w:val="32"/>
          <w:szCs w:val="32"/>
        </w:rPr>
      </w:pPr>
      <w:r>
        <w:rPr>
          <w:rFonts w:eastAsia="仿宋"/>
          <w:sz w:val="32"/>
          <w:szCs w:val="32"/>
        </w:rPr>
        <w:t>2023年度一般公共预算财政拨款支出2895.54万元，占本年支出合计的43.18%。与2022年度相比，一般公共预算财政拨款支出增加798.38万元，增长38.07%。主要变动</w:t>
      </w:r>
      <w:r>
        <w:rPr>
          <w:rFonts w:hint="eastAsia" w:eastAsia="仿宋"/>
          <w:sz w:val="32"/>
          <w:szCs w:val="32"/>
        </w:rPr>
        <w:t>原因是基本支出增加1</w:t>
      </w:r>
      <w:r>
        <w:rPr>
          <w:rFonts w:eastAsia="仿宋"/>
          <w:sz w:val="32"/>
          <w:szCs w:val="32"/>
        </w:rPr>
        <w:t>24.12</w:t>
      </w:r>
      <w:r>
        <w:rPr>
          <w:rFonts w:hint="eastAsia" w:eastAsia="仿宋"/>
          <w:sz w:val="32"/>
          <w:szCs w:val="32"/>
        </w:rPr>
        <w:t>万元，项目支出增加6</w:t>
      </w:r>
      <w:r>
        <w:rPr>
          <w:rFonts w:eastAsia="仿宋"/>
          <w:sz w:val="32"/>
          <w:szCs w:val="32"/>
        </w:rPr>
        <w:t>74.26</w:t>
      </w:r>
      <w:r>
        <w:rPr>
          <w:rFonts w:hint="eastAsia" w:eastAsia="仿宋"/>
          <w:sz w:val="32"/>
          <w:szCs w:val="32"/>
        </w:rPr>
        <w:t>万元造成的。</w:t>
      </w:r>
    </w:p>
    <w:p>
      <w:pPr>
        <w:spacing w:line="360" w:lineRule="auto"/>
        <w:jc w:val="center"/>
      </w:pPr>
      <w:r>
        <w:drawing>
          <wp:inline distT="0" distB="0" distL="0" distR="0">
            <wp:extent cx="3867150" cy="2647950"/>
            <wp:effectExtent l="4445" t="4445" r="1460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360" w:lineRule="auto"/>
        <w:jc w:val="center"/>
        <w:rPr>
          <w:rFonts w:eastAsia="仿宋"/>
          <w:sz w:val="32"/>
          <w:szCs w:val="32"/>
        </w:rPr>
      </w:pPr>
      <w:r>
        <w:rPr>
          <w:rFonts w:eastAsia="仿宋_GB2312"/>
          <w:sz w:val="32"/>
          <w:szCs w:val="32"/>
        </w:rPr>
        <w:t>（图5：一般公共预算财政拨款支出决算变动情况）</w:t>
      </w:r>
    </w:p>
    <w:p>
      <w:pPr>
        <w:spacing w:line="360" w:lineRule="auto"/>
        <w:ind w:firstLine="640" w:firstLineChars="200"/>
        <w:rPr>
          <w:rFonts w:hint="eastAsia" w:ascii="楷体" w:hAnsi="楷体" w:eastAsia="楷体"/>
          <w:sz w:val="32"/>
          <w:szCs w:val="32"/>
        </w:rPr>
      </w:pPr>
      <w:bookmarkStart w:id="37" w:name="_Toc15377211"/>
      <w:r>
        <w:rPr>
          <w:rFonts w:ascii="楷体" w:hAnsi="楷体" w:eastAsia="楷体"/>
          <w:sz w:val="32"/>
          <w:szCs w:val="32"/>
        </w:rPr>
        <w:t>（二）</w:t>
      </w:r>
      <w:r>
        <w:rPr>
          <w:rFonts w:hint="eastAsia" w:ascii="楷体" w:hAnsi="楷体" w:eastAsia="楷体"/>
          <w:sz w:val="32"/>
          <w:szCs w:val="32"/>
        </w:rPr>
        <w:t xml:space="preserve"> </w:t>
      </w:r>
      <w:r>
        <w:rPr>
          <w:rFonts w:ascii="楷体" w:hAnsi="楷体" w:eastAsia="楷体"/>
          <w:sz w:val="32"/>
          <w:szCs w:val="32"/>
        </w:rPr>
        <w:t>一般公共预算财政拨款支出决算结构情况</w:t>
      </w:r>
      <w:bookmarkEnd w:id="37"/>
    </w:p>
    <w:p>
      <w:pPr>
        <w:spacing w:line="360" w:lineRule="auto"/>
        <w:ind w:firstLine="640"/>
        <w:rPr>
          <w:rFonts w:eastAsia="仿宋"/>
          <w:sz w:val="32"/>
          <w:szCs w:val="32"/>
        </w:rPr>
      </w:pPr>
      <w:r>
        <w:rPr>
          <w:rFonts w:eastAsia="仿宋"/>
          <w:sz w:val="32"/>
          <w:szCs w:val="32"/>
        </w:rPr>
        <w:t>2023年度一般公共预算财政拨款支出2895.54万元，主要用于以下方面:社会保障和就业</w:t>
      </w:r>
      <w:r>
        <w:rPr>
          <w:rFonts w:eastAsia="仿宋"/>
          <w:bCs/>
          <w:sz w:val="32"/>
          <w:szCs w:val="32"/>
        </w:rPr>
        <w:t>支出</w:t>
      </w:r>
      <w:r>
        <w:rPr>
          <w:rFonts w:eastAsia="仿宋"/>
          <w:sz w:val="32"/>
          <w:szCs w:val="32"/>
        </w:rPr>
        <w:t>506.43万元，占17.5%；</w:t>
      </w:r>
      <w:r>
        <w:rPr>
          <w:rFonts w:eastAsia="仿宋"/>
          <w:bCs/>
          <w:sz w:val="32"/>
          <w:szCs w:val="32"/>
        </w:rPr>
        <w:t>卫生健康支出</w:t>
      </w:r>
      <w:r>
        <w:rPr>
          <w:rFonts w:eastAsia="仿宋"/>
          <w:sz w:val="32"/>
          <w:szCs w:val="32"/>
        </w:rPr>
        <w:t>2252.63万元，占77.8%；</w:t>
      </w:r>
      <w:r>
        <w:rPr>
          <w:rFonts w:eastAsia="仿宋"/>
          <w:bCs/>
          <w:sz w:val="32"/>
          <w:szCs w:val="32"/>
        </w:rPr>
        <w:t>住房保障支出</w:t>
      </w:r>
      <w:r>
        <w:rPr>
          <w:rFonts w:eastAsia="仿宋"/>
          <w:sz w:val="32"/>
          <w:szCs w:val="32"/>
        </w:rPr>
        <w:t>136.48万元，占4.7%。</w:t>
      </w:r>
    </w:p>
    <w:p>
      <w:pPr>
        <w:spacing w:line="360" w:lineRule="auto"/>
        <w:jc w:val="center"/>
      </w:pPr>
      <w:r>
        <w:drawing>
          <wp:inline distT="0" distB="0" distL="0" distR="0">
            <wp:extent cx="4166870" cy="2468245"/>
            <wp:effectExtent l="4445" t="4445" r="19685" b="2286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360" w:lineRule="auto"/>
        <w:jc w:val="center"/>
      </w:pPr>
      <w:r>
        <w:rPr>
          <w:rFonts w:eastAsia="仿宋"/>
          <w:sz w:val="32"/>
        </w:rPr>
        <w:t>（图6：一般公共预算财政拨款支出决算结构）</w:t>
      </w:r>
    </w:p>
    <w:p>
      <w:pPr>
        <w:spacing w:line="360" w:lineRule="auto"/>
        <w:ind w:firstLine="640" w:firstLineChars="200"/>
        <w:rPr>
          <w:rFonts w:hint="eastAsia" w:ascii="楷体" w:hAnsi="楷体" w:eastAsia="楷体"/>
          <w:sz w:val="32"/>
          <w:szCs w:val="32"/>
        </w:rPr>
      </w:pPr>
      <w:bookmarkStart w:id="38" w:name="_Toc15377212"/>
      <w:r>
        <w:rPr>
          <w:rFonts w:ascii="楷体" w:hAnsi="楷体" w:eastAsia="楷体"/>
          <w:sz w:val="32"/>
          <w:szCs w:val="32"/>
        </w:rPr>
        <w:t>（三）</w:t>
      </w:r>
      <w:r>
        <w:rPr>
          <w:rFonts w:hint="eastAsia" w:ascii="楷体" w:hAnsi="楷体" w:eastAsia="楷体"/>
          <w:sz w:val="32"/>
          <w:szCs w:val="32"/>
        </w:rPr>
        <w:t xml:space="preserve"> </w:t>
      </w:r>
      <w:r>
        <w:rPr>
          <w:rFonts w:ascii="楷体" w:hAnsi="楷体" w:eastAsia="楷体"/>
          <w:sz w:val="32"/>
          <w:szCs w:val="32"/>
        </w:rPr>
        <w:t>一般公共预算财政拨款支出决算具体情况</w:t>
      </w:r>
      <w:bookmarkEnd w:id="38"/>
    </w:p>
    <w:p>
      <w:pPr>
        <w:spacing w:line="360" w:lineRule="auto"/>
        <w:ind w:firstLine="640" w:firstLineChars="200"/>
        <w:rPr>
          <w:rFonts w:eastAsia="仿宋"/>
          <w:sz w:val="32"/>
          <w:szCs w:val="32"/>
        </w:rPr>
      </w:pPr>
      <w:bookmarkStart w:id="39" w:name="_Toc15378460"/>
      <w:bookmarkStart w:id="40" w:name="_Toc15377444"/>
      <w:bookmarkStart w:id="41" w:name="_Toc15377213"/>
      <w:r>
        <w:rPr>
          <w:rFonts w:eastAsia="仿宋"/>
          <w:sz w:val="32"/>
          <w:szCs w:val="32"/>
        </w:rPr>
        <w:t>2023年度一般公共预算支出决算数为2895.54</w:t>
      </w:r>
      <w:r>
        <w:rPr>
          <w:rFonts w:hint="eastAsia" w:eastAsia="仿宋"/>
          <w:sz w:val="32"/>
          <w:szCs w:val="32"/>
        </w:rPr>
        <w:t>万元</w:t>
      </w:r>
      <w:r>
        <w:rPr>
          <w:rFonts w:eastAsia="仿宋"/>
          <w:sz w:val="32"/>
          <w:szCs w:val="32"/>
        </w:rPr>
        <w:t>，</w:t>
      </w:r>
      <w:r>
        <w:rPr>
          <w:rStyle w:val="14"/>
          <w:rFonts w:eastAsia="仿宋"/>
          <w:b w:val="0"/>
          <w:bCs/>
          <w:sz w:val="32"/>
          <w:szCs w:val="32"/>
        </w:rPr>
        <w:t>完成预算100%。其中：</w:t>
      </w:r>
      <w:bookmarkEnd w:id="39"/>
      <w:bookmarkEnd w:id="40"/>
      <w:bookmarkEnd w:id="41"/>
    </w:p>
    <w:p>
      <w:pPr>
        <w:spacing w:line="360" w:lineRule="auto"/>
        <w:ind w:firstLine="640" w:firstLineChars="200"/>
        <w:rPr>
          <w:rFonts w:eastAsia="仿宋"/>
          <w:sz w:val="32"/>
          <w:szCs w:val="32"/>
        </w:rPr>
      </w:pPr>
      <w:r>
        <w:rPr>
          <w:rFonts w:eastAsia="仿宋"/>
          <w:sz w:val="32"/>
          <w:szCs w:val="32"/>
        </w:rPr>
        <w:t>1.社会保障和就业支出（类)行政事业单位养老支出(款)事业单位离退休支出（项）：决算为 204.16 万元，完成预算100%。</w:t>
      </w:r>
    </w:p>
    <w:p>
      <w:pPr>
        <w:spacing w:line="360" w:lineRule="auto"/>
        <w:ind w:firstLine="640" w:firstLineChars="200"/>
        <w:rPr>
          <w:rFonts w:eastAsia="仿宋"/>
          <w:sz w:val="32"/>
          <w:szCs w:val="32"/>
        </w:rPr>
      </w:pPr>
      <w:r>
        <w:rPr>
          <w:rFonts w:eastAsia="仿宋"/>
          <w:sz w:val="32"/>
          <w:szCs w:val="32"/>
        </w:rPr>
        <w:t>2.社会保障和就业支出（类）行政事业单位养老支出（款）机关事业单位基本养老保险缴费支出（项）:决算为 187.28 万元，完成预算100%。</w:t>
      </w:r>
    </w:p>
    <w:p>
      <w:pPr>
        <w:spacing w:line="360" w:lineRule="auto"/>
        <w:ind w:firstLine="640" w:firstLineChars="200"/>
        <w:rPr>
          <w:rFonts w:eastAsia="仿宋"/>
          <w:sz w:val="32"/>
          <w:szCs w:val="32"/>
        </w:rPr>
      </w:pPr>
      <w:r>
        <w:rPr>
          <w:rFonts w:eastAsia="仿宋"/>
          <w:sz w:val="32"/>
          <w:szCs w:val="32"/>
        </w:rPr>
        <w:t>3.社会保障和就业支出（类）行政事业单位养老支出（款）机关事业单位职业年金缴费支出（项）：决算为 90.99万元，完成预算100%。</w:t>
      </w:r>
    </w:p>
    <w:p>
      <w:pPr>
        <w:spacing w:line="360" w:lineRule="auto"/>
        <w:ind w:firstLine="640" w:firstLineChars="200"/>
        <w:rPr>
          <w:rFonts w:eastAsia="仿宋"/>
          <w:sz w:val="32"/>
          <w:szCs w:val="32"/>
        </w:rPr>
      </w:pPr>
      <w:r>
        <w:rPr>
          <w:rFonts w:eastAsia="仿宋"/>
          <w:sz w:val="32"/>
          <w:szCs w:val="32"/>
        </w:rPr>
        <w:t>4.社会保障和就业支出（类）抚恤（款）死亡抚恤支出（项）：决算为 20.61 万元，完成预算100%。</w:t>
      </w:r>
    </w:p>
    <w:p>
      <w:pPr>
        <w:spacing w:line="360" w:lineRule="auto"/>
        <w:ind w:firstLine="640" w:firstLineChars="200"/>
        <w:rPr>
          <w:rFonts w:eastAsia="仿宋"/>
          <w:sz w:val="32"/>
          <w:szCs w:val="32"/>
        </w:rPr>
      </w:pPr>
      <w:r>
        <w:rPr>
          <w:rFonts w:eastAsia="仿宋"/>
          <w:sz w:val="32"/>
          <w:szCs w:val="32"/>
        </w:rPr>
        <w:t>5.社会保障和就业支出（类）抚恤（款）伤残抚恤支出（项）决算为  3.38万元，完成预算100%。</w:t>
      </w:r>
    </w:p>
    <w:p>
      <w:pPr>
        <w:spacing w:line="360" w:lineRule="auto"/>
        <w:ind w:firstLine="640" w:firstLineChars="200"/>
        <w:rPr>
          <w:rFonts w:eastAsia="仿宋"/>
          <w:sz w:val="32"/>
          <w:szCs w:val="32"/>
        </w:rPr>
      </w:pPr>
      <w:r>
        <w:rPr>
          <w:rFonts w:eastAsia="仿宋"/>
          <w:sz w:val="32"/>
          <w:szCs w:val="32"/>
        </w:rPr>
        <w:t>6.卫生健康支出（类）公立医院（款）综合医院支出（项）决算为1180.57 万元，完成预算100%。</w:t>
      </w:r>
    </w:p>
    <w:p>
      <w:pPr>
        <w:spacing w:line="360" w:lineRule="auto"/>
        <w:ind w:firstLine="640" w:firstLineChars="200"/>
        <w:rPr>
          <w:rFonts w:eastAsia="仿宋"/>
          <w:sz w:val="32"/>
          <w:szCs w:val="32"/>
        </w:rPr>
      </w:pPr>
      <w:r>
        <w:rPr>
          <w:rFonts w:eastAsia="仿宋"/>
          <w:sz w:val="32"/>
          <w:szCs w:val="32"/>
        </w:rPr>
        <w:t>7.卫生健康支出（类）公立医院（款）其他公立医院支出（项）决算为 80.84 万元，完成预算100%。</w:t>
      </w:r>
    </w:p>
    <w:p>
      <w:pPr>
        <w:spacing w:line="360" w:lineRule="auto"/>
        <w:ind w:firstLine="640" w:firstLineChars="200"/>
        <w:rPr>
          <w:rFonts w:eastAsia="仿宋"/>
          <w:sz w:val="32"/>
          <w:szCs w:val="32"/>
        </w:rPr>
      </w:pPr>
      <w:r>
        <w:rPr>
          <w:rFonts w:eastAsia="仿宋"/>
          <w:sz w:val="32"/>
          <w:szCs w:val="32"/>
        </w:rPr>
        <w:t>8.卫生健康支出（类）公共卫生（款）重大公共卫生服务支出（项）决算为 145.52 万元，完成预算100%。</w:t>
      </w:r>
    </w:p>
    <w:p>
      <w:pPr>
        <w:spacing w:line="360" w:lineRule="auto"/>
        <w:ind w:firstLine="640" w:firstLineChars="200"/>
        <w:rPr>
          <w:rFonts w:eastAsia="仿宋"/>
          <w:sz w:val="32"/>
          <w:szCs w:val="32"/>
        </w:rPr>
      </w:pPr>
      <w:r>
        <w:rPr>
          <w:rFonts w:eastAsia="仿宋"/>
          <w:sz w:val="32"/>
          <w:szCs w:val="32"/>
        </w:rPr>
        <w:t>9.卫生健康支出（类）行政事业单位医疗（款）事业单位医疗支出（项）决算为 90.45 万元，完成预算100%。</w:t>
      </w:r>
    </w:p>
    <w:p>
      <w:pPr>
        <w:spacing w:line="360" w:lineRule="auto"/>
        <w:ind w:firstLine="640" w:firstLineChars="200"/>
        <w:rPr>
          <w:rFonts w:eastAsia="仿宋"/>
          <w:sz w:val="32"/>
          <w:szCs w:val="32"/>
        </w:rPr>
      </w:pPr>
      <w:r>
        <w:rPr>
          <w:rFonts w:eastAsia="仿宋"/>
          <w:sz w:val="32"/>
          <w:szCs w:val="32"/>
        </w:rPr>
        <w:t>10.卫生健康支出（类）行政事业单位医疗（款）其他行政事业单位医疗支出（项）决算为55.84万元，完成预算100%。</w:t>
      </w:r>
    </w:p>
    <w:p>
      <w:pPr>
        <w:spacing w:line="360" w:lineRule="auto"/>
        <w:ind w:firstLine="640" w:firstLineChars="200"/>
        <w:rPr>
          <w:rFonts w:eastAsia="仿宋"/>
          <w:sz w:val="32"/>
          <w:szCs w:val="32"/>
        </w:rPr>
      </w:pPr>
      <w:r>
        <w:rPr>
          <w:rFonts w:eastAsia="仿宋"/>
          <w:sz w:val="32"/>
          <w:szCs w:val="32"/>
        </w:rPr>
        <w:t>11.卫生健康支出（类)其他卫生健康支出(款)其他卫生健康支出(项）决算为 699.4 万元，完成预算100%。</w:t>
      </w:r>
    </w:p>
    <w:p>
      <w:pPr>
        <w:spacing w:line="360" w:lineRule="auto"/>
        <w:ind w:firstLine="640" w:firstLineChars="200"/>
        <w:rPr>
          <w:rFonts w:eastAsia="仿宋"/>
          <w:sz w:val="32"/>
          <w:szCs w:val="32"/>
        </w:rPr>
      </w:pPr>
      <w:r>
        <w:rPr>
          <w:rFonts w:eastAsia="仿宋"/>
          <w:sz w:val="32"/>
          <w:szCs w:val="32"/>
        </w:rPr>
        <w:t>12、住房保障支出（类）住房改革支出（款）住房公积金支出（项）：决算为136.48万元，完成预算100%。</w:t>
      </w:r>
    </w:p>
    <w:p>
      <w:pPr>
        <w:tabs>
          <w:tab w:val="right" w:pos="8306"/>
        </w:tabs>
        <w:spacing w:line="360" w:lineRule="auto"/>
        <w:ind w:firstLine="640"/>
        <w:outlineLvl w:val="1"/>
        <w:rPr>
          <w:rStyle w:val="16"/>
          <w:rFonts w:ascii="Times New Roman" w:hAnsi="Times New Roman" w:cs="Times New Roman"/>
        </w:rPr>
      </w:pPr>
      <w:bookmarkStart w:id="42" w:name="_Toc15396608"/>
      <w:bookmarkStart w:id="43" w:name="_Toc23513"/>
      <w:bookmarkStart w:id="44" w:name="_Toc15377214"/>
      <w:r>
        <w:rPr>
          <w:rFonts w:eastAsia="黑体"/>
          <w:sz w:val="32"/>
          <w:szCs w:val="32"/>
        </w:rPr>
        <w:t>六</w:t>
      </w:r>
      <w:r>
        <w:rPr>
          <w:rFonts w:eastAsia="黑体"/>
          <w:b/>
          <w:sz w:val="32"/>
          <w:szCs w:val="32"/>
        </w:rPr>
        <w:t>、一</w:t>
      </w:r>
      <w:r>
        <w:rPr>
          <w:rStyle w:val="16"/>
          <w:rFonts w:ascii="Times New Roman" w:hAnsi="Times New Roman" w:eastAsia="黑体" w:cs="Times New Roman"/>
          <w:b w:val="0"/>
        </w:rPr>
        <w:t>般公共预算财政拨款基本支出决算情况说明</w:t>
      </w:r>
      <w:bookmarkEnd w:id="42"/>
      <w:bookmarkEnd w:id="43"/>
      <w:bookmarkEnd w:id="44"/>
      <w:r>
        <w:rPr>
          <w:rStyle w:val="16"/>
          <w:rFonts w:ascii="Times New Roman" w:hAnsi="Times New Roman" w:eastAsia="黑体" w:cs="Times New Roman"/>
          <w:b w:val="0"/>
        </w:rPr>
        <w:tab/>
      </w:r>
    </w:p>
    <w:p>
      <w:pPr>
        <w:spacing w:line="360" w:lineRule="auto"/>
        <w:ind w:firstLine="645"/>
        <w:rPr>
          <w:rFonts w:eastAsia="仿宋"/>
          <w:sz w:val="32"/>
          <w:szCs w:val="32"/>
        </w:rPr>
      </w:pPr>
      <w:r>
        <w:rPr>
          <w:rFonts w:eastAsia="仿宋"/>
          <w:sz w:val="32"/>
          <w:szCs w:val="32"/>
        </w:rPr>
        <w:t>2023年度一般公共预算财政拨款基本支出1969.77万元，其中：</w:t>
      </w:r>
    </w:p>
    <w:p>
      <w:pPr>
        <w:spacing w:line="360" w:lineRule="auto"/>
        <w:ind w:firstLine="645"/>
        <w:rPr>
          <w:rFonts w:eastAsia="仿宋"/>
          <w:sz w:val="32"/>
          <w:szCs w:val="32"/>
        </w:rPr>
      </w:pPr>
      <w:r>
        <w:rPr>
          <w:rFonts w:eastAsia="仿宋"/>
          <w:sz w:val="32"/>
          <w:szCs w:val="32"/>
        </w:rPr>
        <w:t>人员经费1958.55万元，主要包括：基本工资、津贴补贴、绩效工资、机关事业单位基本养老保险缴费、职业年金缴费、</w:t>
      </w:r>
      <w:r>
        <w:rPr>
          <w:rFonts w:hint="eastAsia" w:eastAsia="仿宋"/>
          <w:sz w:val="32"/>
          <w:szCs w:val="32"/>
        </w:rPr>
        <w:t>职工基本医疗保险缴费、公务员医疗补助缴费、</w:t>
      </w:r>
      <w:r>
        <w:rPr>
          <w:rFonts w:eastAsia="仿宋"/>
          <w:sz w:val="32"/>
          <w:szCs w:val="32"/>
        </w:rPr>
        <w:t>其他社会保障缴费、</w:t>
      </w:r>
      <w:r>
        <w:rPr>
          <w:rFonts w:hint="eastAsia" w:eastAsia="仿宋"/>
          <w:sz w:val="32"/>
          <w:szCs w:val="32"/>
        </w:rPr>
        <w:t>住房公积金、医疗费、</w:t>
      </w:r>
      <w:r>
        <w:rPr>
          <w:rFonts w:eastAsia="仿宋"/>
          <w:sz w:val="32"/>
          <w:szCs w:val="32"/>
        </w:rPr>
        <w:t>抚恤金、生活补助、医疗费补助、奖励金。</w:t>
      </w:r>
      <w:r>
        <w:rPr>
          <w:rFonts w:eastAsia="仿宋"/>
          <w:sz w:val="32"/>
          <w:szCs w:val="32"/>
        </w:rPr>
        <w:br w:type="textWrapping"/>
      </w:r>
      <w:r>
        <w:rPr>
          <w:rFonts w:eastAsia="仿宋"/>
          <w:sz w:val="32"/>
          <w:szCs w:val="32"/>
        </w:rPr>
        <w:t>　　公用经费11.22万元，主要包括：维修（护）费、</w:t>
      </w:r>
      <w:r>
        <w:rPr>
          <w:rFonts w:hint="eastAsia" w:eastAsia="仿宋"/>
          <w:sz w:val="32"/>
          <w:szCs w:val="32"/>
        </w:rPr>
        <w:t>福利费</w:t>
      </w:r>
      <w:r>
        <w:rPr>
          <w:rFonts w:eastAsia="仿宋"/>
          <w:sz w:val="32"/>
          <w:szCs w:val="32"/>
        </w:rPr>
        <w:t>。</w:t>
      </w:r>
    </w:p>
    <w:p>
      <w:pPr>
        <w:spacing w:line="360" w:lineRule="auto"/>
        <w:ind w:firstLine="640"/>
        <w:outlineLvl w:val="1"/>
        <w:rPr>
          <w:rStyle w:val="16"/>
          <w:rFonts w:ascii="Times New Roman" w:hAnsi="Times New Roman" w:eastAsia="黑体" w:cs="Times New Roman"/>
          <w:b w:val="0"/>
        </w:rPr>
      </w:pPr>
      <w:bookmarkStart w:id="45" w:name="_Toc333"/>
      <w:bookmarkStart w:id="46" w:name="_Toc15377215"/>
      <w:bookmarkStart w:id="47" w:name="_Toc15396609"/>
      <w:r>
        <w:rPr>
          <w:rFonts w:eastAsia="黑体"/>
          <w:sz w:val="32"/>
          <w:szCs w:val="32"/>
        </w:rPr>
        <w:t>七、</w:t>
      </w:r>
      <w:r>
        <w:rPr>
          <w:rStyle w:val="16"/>
          <w:rFonts w:ascii="Times New Roman" w:hAnsi="Times New Roman" w:eastAsia="黑体" w:cs="Times New Roman"/>
          <w:b w:val="0"/>
        </w:rPr>
        <w:t>财政拨款</w:t>
      </w:r>
      <w:r>
        <w:rPr>
          <w:rStyle w:val="16"/>
          <w:rFonts w:ascii="Times New Roman" w:hAnsi="Times New Roman" w:eastAsia="黑体" w:cs="Times New Roman"/>
        </w:rPr>
        <w:t>“</w:t>
      </w:r>
      <w:r>
        <w:rPr>
          <w:rStyle w:val="16"/>
          <w:rFonts w:ascii="Times New Roman" w:hAnsi="Times New Roman" w:eastAsia="黑体" w:cs="Times New Roman"/>
          <w:b w:val="0"/>
        </w:rPr>
        <w:t>三公”经费支出决算情况说明</w:t>
      </w:r>
      <w:bookmarkEnd w:id="45"/>
      <w:bookmarkEnd w:id="46"/>
      <w:bookmarkEnd w:id="47"/>
    </w:p>
    <w:p>
      <w:pPr>
        <w:spacing w:line="360" w:lineRule="auto"/>
        <w:ind w:firstLine="320" w:firstLineChars="100"/>
        <w:rPr>
          <w:rFonts w:hint="eastAsia" w:ascii="楷体" w:hAnsi="楷体" w:eastAsia="楷体"/>
          <w:sz w:val="32"/>
          <w:szCs w:val="32"/>
        </w:rPr>
      </w:pPr>
      <w:bookmarkStart w:id="48" w:name="_Toc15377216"/>
      <w:r>
        <w:rPr>
          <w:rFonts w:ascii="楷体" w:hAnsi="楷体" w:eastAsia="楷体"/>
          <w:sz w:val="32"/>
          <w:szCs w:val="32"/>
        </w:rPr>
        <w:t>（一）</w:t>
      </w:r>
      <w:r>
        <w:rPr>
          <w:rFonts w:hint="eastAsia" w:ascii="楷体" w:hAnsi="楷体" w:eastAsia="楷体"/>
          <w:sz w:val="32"/>
          <w:szCs w:val="32"/>
        </w:rPr>
        <w:t xml:space="preserve"> </w:t>
      </w:r>
      <w:r>
        <w:rPr>
          <w:rFonts w:ascii="楷体" w:hAnsi="楷体" w:eastAsia="楷体"/>
          <w:sz w:val="32"/>
          <w:szCs w:val="32"/>
        </w:rPr>
        <w:t>“三公”经费财政拨款支出决算总体情况说明</w:t>
      </w:r>
      <w:bookmarkEnd w:id="48"/>
    </w:p>
    <w:p>
      <w:pPr>
        <w:pStyle w:val="6"/>
        <w:spacing w:line="360" w:lineRule="auto"/>
        <w:ind w:left="420" w:firstLine="640" w:firstLineChars="200"/>
        <w:rPr>
          <w:rFonts w:ascii="Times New Roman" w:eastAsia="仿宋"/>
          <w:color w:val="000000"/>
          <w:sz w:val="32"/>
        </w:rPr>
      </w:pPr>
      <w:r>
        <w:rPr>
          <w:rFonts w:ascii="Times New Roman" w:eastAsia="仿宋"/>
          <w:sz w:val="32"/>
        </w:rPr>
        <w:t>2023年度“三公”经费财政拨款支出决算为0万元，完成预算0%，较上年度减少0.2万元，下降100%。</w:t>
      </w:r>
      <w:r>
        <w:rPr>
          <w:rFonts w:ascii="Times New Roman" w:eastAsia="仿宋"/>
          <w:sz w:val="32"/>
          <w:lang w:val="zh-CN"/>
        </w:rPr>
        <w:t>决算数与预算数持平。</w:t>
      </w:r>
    </w:p>
    <w:p>
      <w:pPr>
        <w:spacing w:line="360" w:lineRule="auto"/>
        <w:ind w:firstLine="320" w:firstLineChars="100"/>
        <w:rPr>
          <w:rFonts w:hint="eastAsia" w:ascii="楷体" w:hAnsi="楷体" w:eastAsia="楷体"/>
          <w:sz w:val="32"/>
          <w:szCs w:val="32"/>
        </w:rPr>
      </w:pPr>
      <w:bookmarkStart w:id="49" w:name="_Toc15377217"/>
      <w:r>
        <w:rPr>
          <w:rFonts w:ascii="楷体" w:hAnsi="楷体" w:eastAsia="楷体"/>
          <w:sz w:val="32"/>
          <w:szCs w:val="32"/>
        </w:rPr>
        <w:t>（二）</w:t>
      </w:r>
      <w:r>
        <w:rPr>
          <w:rFonts w:hint="eastAsia" w:ascii="楷体" w:hAnsi="楷体" w:eastAsia="楷体"/>
          <w:sz w:val="32"/>
          <w:szCs w:val="32"/>
        </w:rPr>
        <w:t xml:space="preserve"> </w:t>
      </w:r>
      <w:r>
        <w:rPr>
          <w:rFonts w:ascii="楷体" w:hAnsi="楷体" w:eastAsia="楷体"/>
          <w:sz w:val="32"/>
          <w:szCs w:val="32"/>
        </w:rPr>
        <w:t>“三公”经费财政拨款支出决算具体情况说明</w:t>
      </w:r>
      <w:bookmarkEnd w:id="49"/>
    </w:p>
    <w:p>
      <w:pPr>
        <w:spacing w:line="360" w:lineRule="auto"/>
        <w:ind w:firstLine="640"/>
        <w:rPr>
          <w:rFonts w:eastAsia="仿宋"/>
          <w:sz w:val="32"/>
          <w:szCs w:val="32"/>
        </w:rPr>
      </w:pPr>
      <w:r>
        <w:rPr>
          <w:rFonts w:eastAsia="仿宋"/>
          <w:sz w:val="32"/>
          <w:szCs w:val="32"/>
        </w:rPr>
        <w:t>2023年度“三公”经费财政拨款支出决算中，因公出国（境）费支出决算0万元，占0%；公务用车购置及运行维护费支出决算0万元，占0%；公务接待费支出决算0万元，占0%。</w:t>
      </w:r>
    </w:p>
    <w:p>
      <w:pPr>
        <w:spacing w:line="360" w:lineRule="auto"/>
        <w:ind w:firstLine="640"/>
        <w:rPr>
          <w:rFonts w:eastAsia="仿宋"/>
          <w:sz w:val="32"/>
          <w:szCs w:val="32"/>
        </w:rPr>
      </w:pPr>
      <w:bookmarkStart w:id="50" w:name="_Toc15377218"/>
      <w:bookmarkStart w:id="51" w:name="_Toc15396610"/>
      <w:r>
        <w:rPr>
          <w:rFonts w:eastAsia="仿宋"/>
          <w:b/>
          <w:sz w:val="32"/>
          <w:szCs w:val="32"/>
        </w:rPr>
        <w:t>1.因公出国（境）经费</w:t>
      </w:r>
      <w:r>
        <w:rPr>
          <w:rFonts w:eastAsia="仿宋"/>
          <w:sz w:val="32"/>
          <w:szCs w:val="32"/>
        </w:rPr>
        <w:t>支出0万元，</w:t>
      </w:r>
      <w:r>
        <w:rPr>
          <w:rStyle w:val="14"/>
          <w:rFonts w:eastAsia="仿宋"/>
          <w:b w:val="0"/>
          <w:bCs/>
          <w:sz w:val="32"/>
          <w:szCs w:val="32"/>
        </w:rPr>
        <w:t>完成预算0%。</w:t>
      </w:r>
      <w:r>
        <w:rPr>
          <w:rFonts w:eastAsia="仿宋"/>
          <w:sz w:val="32"/>
          <w:szCs w:val="32"/>
        </w:rPr>
        <w:t xml:space="preserve">全年安排因公出国（境）团组0次，出国（境）0人。因公出国（境）支出决算与2022年相比较无变动情况。 </w:t>
      </w:r>
    </w:p>
    <w:p>
      <w:pPr>
        <w:spacing w:line="360" w:lineRule="auto"/>
        <w:ind w:firstLine="640"/>
        <w:rPr>
          <w:rFonts w:eastAsia="仿宋"/>
          <w:sz w:val="32"/>
          <w:szCs w:val="32"/>
        </w:rPr>
      </w:pPr>
      <w:r>
        <w:rPr>
          <w:rFonts w:eastAsia="仿宋"/>
          <w:b/>
          <w:sz w:val="32"/>
          <w:szCs w:val="32"/>
        </w:rPr>
        <w:t>2.公务用车购置及运行维护费</w:t>
      </w:r>
      <w:r>
        <w:rPr>
          <w:rFonts w:eastAsia="仿宋"/>
          <w:sz w:val="32"/>
          <w:szCs w:val="32"/>
        </w:rPr>
        <w:t>支出0万元,</w:t>
      </w:r>
      <w:r>
        <w:rPr>
          <w:rStyle w:val="14"/>
          <w:rFonts w:eastAsia="仿宋"/>
          <w:b w:val="0"/>
          <w:bCs/>
          <w:sz w:val="32"/>
          <w:szCs w:val="32"/>
        </w:rPr>
        <w:t>完成预算0%。</w:t>
      </w:r>
      <w:r>
        <w:rPr>
          <w:rFonts w:eastAsia="仿宋"/>
          <w:sz w:val="32"/>
          <w:szCs w:val="32"/>
        </w:rPr>
        <w:t>公务用车购置及运行维护费支出决算与2022年相比较无变动情况。</w:t>
      </w:r>
    </w:p>
    <w:p>
      <w:pPr>
        <w:spacing w:line="360" w:lineRule="auto"/>
        <w:ind w:firstLine="640" w:firstLineChars="200"/>
        <w:rPr>
          <w:rFonts w:eastAsia="仿宋"/>
          <w:sz w:val="32"/>
          <w:szCs w:val="32"/>
          <w:lang w:val="zh-CN"/>
        </w:rPr>
      </w:pPr>
      <w:r>
        <w:rPr>
          <w:rFonts w:eastAsia="仿宋"/>
          <w:color w:val="000000"/>
          <w:sz w:val="32"/>
          <w:szCs w:val="32"/>
          <w:lang w:val="zh-CN"/>
        </w:rPr>
        <w:t>其中：</w:t>
      </w:r>
      <w:r>
        <w:rPr>
          <w:rFonts w:eastAsia="仿宋"/>
          <w:b/>
          <w:color w:val="000000"/>
          <w:sz w:val="32"/>
          <w:szCs w:val="32"/>
          <w:lang w:val="zh-CN"/>
        </w:rPr>
        <w:t>公务用车购置费</w:t>
      </w:r>
      <w:r>
        <w:rPr>
          <w:rFonts w:eastAsia="仿宋"/>
          <w:color w:val="000000"/>
          <w:sz w:val="32"/>
          <w:szCs w:val="32"/>
          <w:lang w:val="zh-CN"/>
        </w:rPr>
        <w:t>支</w:t>
      </w:r>
      <w:r>
        <w:rPr>
          <w:rFonts w:eastAsia="仿宋"/>
          <w:sz w:val="32"/>
          <w:szCs w:val="32"/>
          <w:lang w:val="zh-CN"/>
        </w:rPr>
        <w:t>出0万元。全年按规定更新购置公务用车0辆，金额</w:t>
      </w:r>
      <w:r>
        <w:rPr>
          <w:rFonts w:eastAsia="仿宋"/>
          <w:sz w:val="32"/>
          <w:szCs w:val="32"/>
        </w:rPr>
        <w:t>0</w:t>
      </w:r>
      <w:r>
        <w:rPr>
          <w:rFonts w:eastAsia="仿宋"/>
          <w:sz w:val="32"/>
          <w:szCs w:val="32"/>
          <w:lang w:val="zh-CN"/>
        </w:rPr>
        <w:t>万元。截至2023年12月底，本部门共有公务用车</w:t>
      </w:r>
      <w:r>
        <w:rPr>
          <w:rFonts w:eastAsia="仿宋"/>
          <w:sz w:val="32"/>
          <w:szCs w:val="32"/>
        </w:rPr>
        <w:t>6</w:t>
      </w:r>
      <w:r>
        <w:rPr>
          <w:rFonts w:eastAsia="仿宋"/>
          <w:sz w:val="32"/>
          <w:szCs w:val="32"/>
          <w:lang w:val="zh-CN"/>
        </w:rPr>
        <w:t>辆，其中：轿车</w:t>
      </w:r>
      <w:r>
        <w:rPr>
          <w:rFonts w:eastAsia="仿宋"/>
          <w:sz w:val="32"/>
          <w:szCs w:val="32"/>
        </w:rPr>
        <w:t>0</w:t>
      </w:r>
      <w:r>
        <w:rPr>
          <w:rFonts w:eastAsia="仿宋"/>
          <w:sz w:val="32"/>
          <w:szCs w:val="32"/>
          <w:lang w:val="zh-CN"/>
        </w:rPr>
        <w:t>辆、越野车</w:t>
      </w:r>
      <w:r>
        <w:rPr>
          <w:rFonts w:eastAsia="仿宋"/>
          <w:sz w:val="32"/>
          <w:szCs w:val="32"/>
        </w:rPr>
        <w:t>0</w:t>
      </w:r>
      <w:r>
        <w:rPr>
          <w:rFonts w:eastAsia="仿宋"/>
          <w:sz w:val="32"/>
          <w:szCs w:val="32"/>
          <w:lang w:val="zh-CN"/>
        </w:rPr>
        <w:t>辆、小型载客汽车</w:t>
      </w:r>
      <w:r>
        <w:rPr>
          <w:rFonts w:eastAsia="仿宋"/>
          <w:sz w:val="32"/>
          <w:szCs w:val="32"/>
        </w:rPr>
        <w:t>1</w:t>
      </w:r>
      <w:r>
        <w:rPr>
          <w:rFonts w:eastAsia="仿宋"/>
          <w:sz w:val="32"/>
          <w:szCs w:val="32"/>
          <w:lang w:val="zh-CN"/>
        </w:rPr>
        <w:t>辆、大中型载客汽车</w:t>
      </w:r>
      <w:r>
        <w:rPr>
          <w:rFonts w:eastAsia="仿宋"/>
          <w:sz w:val="32"/>
          <w:szCs w:val="32"/>
        </w:rPr>
        <w:t>0</w:t>
      </w:r>
      <w:r>
        <w:rPr>
          <w:rFonts w:eastAsia="仿宋"/>
          <w:sz w:val="32"/>
          <w:szCs w:val="32"/>
          <w:lang w:val="zh-CN"/>
        </w:rPr>
        <w:t>辆、其他车型</w:t>
      </w:r>
      <w:r>
        <w:rPr>
          <w:rFonts w:eastAsia="仿宋"/>
          <w:sz w:val="32"/>
          <w:szCs w:val="32"/>
        </w:rPr>
        <w:t>5</w:t>
      </w:r>
      <w:r>
        <w:rPr>
          <w:rFonts w:eastAsia="仿宋"/>
          <w:sz w:val="32"/>
          <w:szCs w:val="32"/>
          <w:lang w:val="zh-CN"/>
        </w:rPr>
        <w:t>辆。</w:t>
      </w:r>
    </w:p>
    <w:p>
      <w:pPr>
        <w:spacing w:line="360" w:lineRule="auto"/>
        <w:ind w:firstLine="640"/>
        <w:rPr>
          <w:rFonts w:eastAsia="仿宋"/>
          <w:sz w:val="32"/>
          <w:szCs w:val="32"/>
        </w:rPr>
      </w:pPr>
      <w:r>
        <w:rPr>
          <w:rFonts w:eastAsia="仿宋"/>
          <w:b/>
          <w:sz w:val="32"/>
          <w:szCs w:val="32"/>
        </w:rPr>
        <w:t>公务用车运行维护费</w:t>
      </w:r>
      <w:r>
        <w:rPr>
          <w:rFonts w:eastAsia="仿宋"/>
          <w:sz w:val="32"/>
          <w:szCs w:val="32"/>
        </w:rPr>
        <w:t>支出0万元。与2022年相比较无变动情况。</w:t>
      </w:r>
    </w:p>
    <w:p>
      <w:pPr>
        <w:spacing w:line="360" w:lineRule="auto"/>
        <w:ind w:firstLine="640"/>
        <w:rPr>
          <w:rFonts w:eastAsia="仿宋"/>
          <w:sz w:val="32"/>
          <w:szCs w:val="32"/>
        </w:rPr>
      </w:pPr>
      <w:r>
        <w:rPr>
          <w:rFonts w:eastAsia="仿宋"/>
          <w:b/>
          <w:sz w:val="32"/>
          <w:szCs w:val="32"/>
        </w:rPr>
        <w:t>3.公务接待费</w:t>
      </w:r>
      <w:r>
        <w:rPr>
          <w:rFonts w:eastAsia="仿宋"/>
          <w:sz w:val="32"/>
          <w:szCs w:val="32"/>
        </w:rPr>
        <w:t>支出0万元，</w:t>
      </w:r>
      <w:r>
        <w:rPr>
          <w:rStyle w:val="14"/>
          <w:rFonts w:eastAsia="仿宋"/>
          <w:b w:val="0"/>
          <w:bCs/>
          <w:sz w:val="32"/>
          <w:szCs w:val="32"/>
        </w:rPr>
        <w:t>完成预算0%。</w:t>
      </w:r>
      <w:r>
        <w:rPr>
          <w:rFonts w:eastAsia="仿宋"/>
          <w:sz w:val="32"/>
          <w:szCs w:val="32"/>
        </w:rPr>
        <w:t>公务接待费支出决算比2022年度减少0.2万元，下降100%。</w:t>
      </w:r>
      <w:r>
        <w:rPr>
          <w:rFonts w:eastAsia="仿宋"/>
          <w:sz w:val="32"/>
          <w:lang w:val="zh-CN"/>
        </w:rPr>
        <w:t>主要原因是</w:t>
      </w:r>
      <w:r>
        <w:rPr>
          <w:rFonts w:eastAsia="仿宋"/>
          <w:sz w:val="32"/>
        </w:rPr>
        <w:t>2023年我院严格控制公务接待费支出的结果</w:t>
      </w:r>
      <w:r>
        <w:rPr>
          <w:rFonts w:eastAsia="仿宋"/>
          <w:sz w:val="32"/>
          <w:szCs w:val="32"/>
        </w:rPr>
        <w:t>。</w:t>
      </w:r>
    </w:p>
    <w:p>
      <w:pPr>
        <w:spacing w:line="360" w:lineRule="auto"/>
        <w:ind w:firstLine="640"/>
        <w:rPr>
          <w:rFonts w:eastAsia="仿宋"/>
          <w:sz w:val="32"/>
          <w:szCs w:val="32"/>
        </w:rPr>
      </w:pPr>
      <w:r>
        <w:rPr>
          <w:rFonts w:eastAsia="仿宋"/>
          <w:b/>
          <w:sz w:val="32"/>
          <w:szCs w:val="32"/>
        </w:rPr>
        <w:t>国内公务接待支出</w:t>
      </w:r>
      <w:r>
        <w:rPr>
          <w:rFonts w:eastAsia="仿宋"/>
          <w:sz w:val="32"/>
          <w:szCs w:val="32"/>
        </w:rPr>
        <w:t>0万元。国内公务接待0批次，0人次（不包括陪同人员），共计支出0万元。</w:t>
      </w:r>
    </w:p>
    <w:p>
      <w:pPr>
        <w:spacing w:line="360" w:lineRule="auto"/>
        <w:ind w:firstLine="643" w:firstLineChars="200"/>
        <w:rPr>
          <w:rFonts w:eastAsia="仿宋"/>
          <w:sz w:val="32"/>
          <w:szCs w:val="32"/>
        </w:rPr>
      </w:pPr>
      <w:r>
        <w:rPr>
          <w:rFonts w:eastAsia="仿宋"/>
          <w:b/>
          <w:sz w:val="32"/>
          <w:szCs w:val="32"/>
        </w:rPr>
        <w:t>外事接待支出</w:t>
      </w:r>
      <w:r>
        <w:rPr>
          <w:rFonts w:eastAsia="仿宋"/>
          <w:sz w:val="32"/>
          <w:szCs w:val="32"/>
        </w:rPr>
        <w:t>0万元。外事接待0批次，0人次（不包括陪同人员），共计支出0万元。</w:t>
      </w:r>
    </w:p>
    <w:p>
      <w:pPr>
        <w:spacing w:line="360" w:lineRule="auto"/>
        <w:ind w:firstLine="640"/>
        <w:outlineLvl w:val="1"/>
        <w:rPr>
          <w:rStyle w:val="16"/>
          <w:rFonts w:ascii="Times New Roman" w:hAnsi="Times New Roman" w:eastAsia="黑体" w:cs="Times New Roman"/>
        </w:rPr>
      </w:pPr>
      <w:bookmarkStart w:id="52" w:name="_Toc10728"/>
      <w:r>
        <w:rPr>
          <w:rFonts w:eastAsia="黑体"/>
          <w:sz w:val="32"/>
          <w:szCs w:val="32"/>
        </w:rPr>
        <w:t>八、</w:t>
      </w:r>
      <w:r>
        <w:rPr>
          <w:rStyle w:val="16"/>
          <w:rFonts w:ascii="Times New Roman" w:hAnsi="Times New Roman" w:eastAsia="黑体" w:cs="Times New Roman"/>
          <w:b w:val="0"/>
        </w:rPr>
        <w:t>政府性基金预算支出决算情况说明</w:t>
      </w:r>
      <w:bookmarkEnd w:id="50"/>
      <w:bookmarkEnd w:id="51"/>
      <w:bookmarkEnd w:id="52"/>
    </w:p>
    <w:p>
      <w:pPr>
        <w:spacing w:line="360" w:lineRule="auto"/>
        <w:ind w:firstLine="640"/>
        <w:rPr>
          <w:rFonts w:eastAsia="仿宋"/>
          <w:sz w:val="32"/>
          <w:szCs w:val="32"/>
        </w:rPr>
      </w:pPr>
      <w:r>
        <w:rPr>
          <w:rFonts w:eastAsia="仿宋"/>
          <w:sz w:val="32"/>
          <w:szCs w:val="32"/>
        </w:rPr>
        <w:t>2023年度政府性基金预算财政拨款支出0万元。</w:t>
      </w:r>
    </w:p>
    <w:p>
      <w:pPr>
        <w:pStyle w:val="2"/>
      </w:pPr>
    </w:p>
    <w:p>
      <w:pPr>
        <w:numPr>
          <w:ilvl w:val="0"/>
          <w:numId w:val="2"/>
        </w:numPr>
        <w:spacing w:line="360" w:lineRule="auto"/>
        <w:ind w:firstLine="640"/>
        <w:outlineLvl w:val="1"/>
        <w:rPr>
          <w:rStyle w:val="16"/>
          <w:rFonts w:ascii="Times New Roman" w:hAnsi="Times New Roman" w:eastAsia="黑体" w:cs="Times New Roman"/>
          <w:b w:val="0"/>
        </w:rPr>
      </w:pPr>
      <w:bookmarkStart w:id="53" w:name="_Toc15377219"/>
      <w:bookmarkStart w:id="54" w:name="_Toc23070"/>
      <w:bookmarkStart w:id="55" w:name="_Toc15396611"/>
      <w:r>
        <w:rPr>
          <w:rStyle w:val="16"/>
          <w:rFonts w:ascii="Times New Roman" w:hAnsi="Times New Roman" w:eastAsia="黑体" w:cs="Times New Roman"/>
          <w:b w:val="0"/>
        </w:rPr>
        <w:t>国有资本经营预算支出决算情况说明</w:t>
      </w:r>
      <w:bookmarkEnd w:id="53"/>
      <w:bookmarkEnd w:id="54"/>
      <w:bookmarkEnd w:id="55"/>
    </w:p>
    <w:p>
      <w:pPr>
        <w:spacing w:line="360" w:lineRule="auto"/>
        <w:ind w:firstLine="640"/>
        <w:rPr>
          <w:rFonts w:eastAsia="仿宋"/>
          <w:sz w:val="32"/>
          <w:szCs w:val="32"/>
        </w:rPr>
      </w:pPr>
      <w:r>
        <w:rPr>
          <w:rFonts w:eastAsia="仿宋"/>
          <w:sz w:val="32"/>
          <w:szCs w:val="32"/>
        </w:rPr>
        <w:t>2023年度国有资本经营预算财政拨款支出0万元。</w:t>
      </w:r>
    </w:p>
    <w:p>
      <w:pPr>
        <w:pStyle w:val="2"/>
      </w:pPr>
    </w:p>
    <w:p>
      <w:pPr>
        <w:numPr>
          <w:ilvl w:val="0"/>
          <w:numId w:val="2"/>
        </w:numPr>
        <w:spacing w:line="360" w:lineRule="auto"/>
        <w:ind w:firstLine="640"/>
        <w:outlineLvl w:val="1"/>
        <w:rPr>
          <w:rStyle w:val="16"/>
          <w:rFonts w:ascii="Times New Roman" w:hAnsi="Times New Roman" w:eastAsia="黑体" w:cs="Times New Roman"/>
          <w:b w:val="0"/>
        </w:rPr>
      </w:pPr>
      <w:bookmarkStart w:id="56" w:name="_Toc15377221"/>
      <w:bookmarkStart w:id="57" w:name="_Toc15396612"/>
      <w:bookmarkStart w:id="58" w:name="_Toc11417"/>
      <w:r>
        <w:rPr>
          <w:rStyle w:val="16"/>
          <w:rFonts w:ascii="Times New Roman" w:hAnsi="Times New Roman" w:eastAsia="黑体" w:cs="Times New Roman"/>
          <w:b w:val="0"/>
        </w:rPr>
        <w:t>其他重要事项的情况说明</w:t>
      </w:r>
      <w:bookmarkEnd w:id="56"/>
      <w:bookmarkEnd w:id="57"/>
      <w:bookmarkEnd w:id="58"/>
    </w:p>
    <w:p>
      <w:pPr>
        <w:pStyle w:val="17"/>
        <w:numPr>
          <w:ilvl w:val="0"/>
          <w:numId w:val="3"/>
        </w:numPr>
        <w:spacing w:line="360" w:lineRule="auto"/>
        <w:ind w:firstLineChars="0"/>
        <w:rPr>
          <w:rFonts w:hint="eastAsia" w:ascii="楷体" w:hAnsi="楷体" w:eastAsia="楷体"/>
          <w:sz w:val="32"/>
          <w:szCs w:val="32"/>
        </w:rPr>
      </w:pPr>
      <w:bookmarkStart w:id="59" w:name="_Toc15377222"/>
      <w:r>
        <w:rPr>
          <w:rFonts w:ascii="楷体" w:hAnsi="楷体" w:eastAsia="楷体"/>
          <w:sz w:val="32"/>
          <w:szCs w:val="32"/>
        </w:rPr>
        <w:t>机关运行经费支出情况</w:t>
      </w:r>
      <w:bookmarkEnd w:id="59"/>
    </w:p>
    <w:p>
      <w:pPr>
        <w:spacing w:line="360" w:lineRule="auto"/>
        <w:ind w:firstLine="640"/>
        <w:rPr>
          <w:rFonts w:eastAsia="仿宋"/>
          <w:color w:val="000000"/>
          <w:sz w:val="32"/>
          <w:lang w:val="zh-CN"/>
        </w:rPr>
      </w:pPr>
      <w:r>
        <w:rPr>
          <w:rFonts w:eastAsia="仿宋"/>
          <w:sz w:val="32"/>
          <w:szCs w:val="32"/>
        </w:rPr>
        <w:t>2023年度，盐边县人民医院机关运行经费支出0万元，</w:t>
      </w:r>
      <w:r>
        <w:rPr>
          <w:rFonts w:eastAsia="仿宋"/>
          <w:color w:val="000000"/>
          <w:sz w:val="32"/>
          <w:lang w:val="zh-CN"/>
        </w:rPr>
        <w:t>，</w:t>
      </w:r>
      <w:r>
        <w:rPr>
          <w:rFonts w:eastAsia="仿宋"/>
          <w:sz w:val="32"/>
        </w:rPr>
        <w:t>与2022年决算数持平</w:t>
      </w:r>
      <w:r>
        <w:rPr>
          <w:rFonts w:eastAsia="仿宋"/>
          <w:color w:val="000000"/>
          <w:sz w:val="32"/>
          <w:lang w:val="zh-CN"/>
        </w:rPr>
        <w:t>。</w:t>
      </w:r>
    </w:p>
    <w:p>
      <w:pPr>
        <w:pStyle w:val="17"/>
        <w:numPr>
          <w:ilvl w:val="0"/>
          <w:numId w:val="3"/>
        </w:numPr>
        <w:spacing w:line="360" w:lineRule="auto"/>
        <w:ind w:firstLineChars="0"/>
        <w:rPr>
          <w:rFonts w:hint="eastAsia" w:ascii="楷体" w:hAnsi="楷体" w:eastAsia="楷体"/>
          <w:sz w:val="32"/>
          <w:szCs w:val="32"/>
        </w:rPr>
      </w:pPr>
      <w:bookmarkStart w:id="60" w:name="_Toc15377223"/>
      <w:r>
        <w:rPr>
          <w:rFonts w:ascii="楷体" w:hAnsi="楷体" w:eastAsia="楷体"/>
          <w:sz w:val="32"/>
          <w:szCs w:val="32"/>
        </w:rPr>
        <w:t>政府采购支出情况</w:t>
      </w:r>
      <w:bookmarkEnd w:id="60"/>
    </w:p>
    <w:p>
      <w:pPr>
        <w:spacing w:line="360" w:lineRule="auto"/>
        <w:ind w:firstLine="640" w:firstLineChars="200"/>
        <w:rPr>
          <w:rFonts w:eastAsia="仿宋"/>
          <w:sz w:val="32"/>
          <w:szCs w:val="32"/>
        </w:rPr>
      </w:pPr>
      <w:r>
        <w:rPr>
          <w:rFonts w:eastAsia="仿宋"/>
          <w:sz w:val="32"/>
          <w:szCs w:val="32"/>
        </w:rPr>
        <w:t>2023年度，盐边县人民医院政府采购支出总额307.2万元，其中：政府采购货物支出5万元、政府采购工程支出0万元、政府采购服务支出302.2万元。主要用于打印机、复印机设备购买，物业管理等服务采购项目和盐边县医共体信息化建设网络安全等级保护测评服务及软件测试服务采购项目。授予中小企业合同金额307.2万元，占政府采购支出总额的100%，其中：授予小微企业合同金额52.5万元，占政府采购支出总额的17.09%。</w:t>
      </w:r>
    </w:p>
    <w:p>
      <w:pPr>
        <w:pStyle w:val="17"/>
        <w:numPr>
          <w:ilvl w:val="0"/>
          <w:numId w:val="3"/>
        </w:numPr>
        <w:spacing w:line="360" w:lineRule="auto"/>
        <w:ind w:firstLineChars="0"/>
        <w:rPr>
          <w:rFonts w:hint="eastAsia" w:ascii="楷体" w:hAnsi="楷体" w:eastAsia="楷体"/>
          <w:sz w:val="32"/>
          <w:szCs w:val="32"/>
        </w:rPr>
      </w:pPr>
      <w:bookmarkStart w:id="61" w:name="_Toc15377224"/>
      <w:r>
        <w:rPr>
          <w:rFonts w:ascii="楷体" w:hAnsi="楷体" w:eastAsia="楷体"/>
          <w:sz w:val="32"/>
          <w:szCs w:val="32"/>
        </w:rPr>
        <w:t>国有资产占有使用情况</w:t>
      </w:r>
      <w:bookmarkEnd w:id="61"/>
    </w:p>
    <w:p>
      <w:pPr>
        <w:autoSpaceDE w:val="0"/>
        <w:autoSpaceDN w:val="0"/>
        <w:adjustRightInd w:val="0"/>
        <w:spacing w:line="360" w:lineRule="auto"/>
        <w:ind w:firstLine="640" w:firstLineChars="200"/>
        <w:jc w:val="left"/>
        <w:rPr>
          <w:rFonts w:eastAsia="仿宋"/>
          <w:sz w:val="32"/>
          <w:szCs w:val="32"/>
        </w:rPr>
      </w:pPr>
      <w:r>
        <w:rPr>
          <w:rFonts w:eastAsia="仿宋"/>
          <w:color w:val="000000"/>
          <w:sz w:val="32"/>
          <w:lang w:val="zh-CN"/>
        </w:rPr>
        <w:t>截至2023年12月31日，盐边县人民医院共有车辆6辆，其中：副部（省）级及以上领导用车0辆、主要领导干部用车0辆、机要通信用车0辆、应急保障用车1辆、执法执勤用车0辆、特种专业技术用车5辆、离退休干部用车0辆、其他用车0辆。</w:t>
      </w:r>
      <w:r>
        <w:rPr>
          <w:rFonts w:eastAsia="仿宋"/>
          <w:sz w:val="32"/>
          <w:szCs w:val="32"/>
        </w:rPr>
        <w:t>单价100万元以上设备（不含车辆）</w:t>
      </w:r>
      <w:r>
        <w:rPr>
          <w:rFonts w:eastAsia="仿宋"/>
          <w:b/>
          <w:sz w:val="32"/>
          <w:szCs w:val="32"/>
        </w:rPr>
        <w:t>9</w:t>
      </w:r>
      <w:r>
        <w:rPr>
          <w:rFonts w:eastAsia="仿宋"/>
          <w:sz w:val="32"/>
          <w:szCs w:val="32"/>
        </w:rPr>
        <w:t>台（套）。</w:t>
      </w:r>
    </w:p>
    <w:p>
      <w:pPr>
        <w:pStyle w:val="17"/>
        <w:numPr>
          <w:ilvl w:val="0"/>
          <w:numId w:val="3"/>
        </w:numPr>
        <w:spacing w:line="360" w:lineRule="auto"/>
        <w:ind w:firstLineChars="0"/>
        <w:rPr>
          <w:rFonts w:hint="eastAsia" w:ascii="楷体" w:hAnsi="楷体" w:eastAsia="楷体"/>
          <w:sz w:val="32"/>
          <w:szCs w:val="32"/>
        </w:rPr>
      </w:pPr>
      <w:r>
        <w:rPr>
          <w:rFonts w:ascii="楷体" w:hAnsi="楷体" w:eastAsia="楷体"/>
          <w:sz w:val="32"/>
          <w:szCs w:val="32"/>
        </w:rPr>
        <w:t>预算绩效管理情况</w:t>
      </w:r>
    </w:p>
    <w:p>
      <w:pPr>
        <w:spacing w:line="360" w:lineRule="auto"/>
        <w:ind w:firstLine="640" w:firstLineChars="200"/>
        <w:rPr>
          <w:rFonts w:eastAsia="仿宋"/>
          <w:sz w:val="32"/>
          <w:szCs w:val="32"/>
        </w:rPr>
      </w:pPr>
      <w:r>
        <w:rPr>
          <w:rFonts w:eastAsia="仿宋"/>
          <w:sz w:val="32"/>
          <w:szCs w:val="32"/>
        </w:rPr>
        <w:t>根据预算绩效管理要求，本单位在2023年度预算编制阶段，</w:t>
      </w:r>
      <w:r>
        <w:rPr>
          <w:rFonts w:eastAsia="仿宋"/>
          <w:sz w:val="32"/>
        </w:rPr>
        <w:t>组织对提升医疗服务能力与保障资金、新冠肺炎等重点传染病监测</w:t>
      </w:r>
      <w:r>
        <w:rPr>
          <w:rFonts w:eastAsia="仿宋"/>
          <w:sz w:val="32"/>
          <w:szCs w:val="32"/>
        </w:rPr>
        <w:t>等10个项目开展了预算事前绩效评估，对10个项目编制了绩效目标，预算执行过程中，选取10个项目开展绩效监控，组织对10个项目开展绩效自评，绩效自评表详见第四部分附件。</w:t>
      </w:r>
    </w:p>
    <w:p>
      <w:pPr>
        <w:pStyle w:val="6"/>
        <w:spacing w:line="360" w:lineRule="auto"/>
        <w:ind w:left="420"/>
      </w:pPr>
    </w:p>
    <w:p>
      <w:pPr>
        <w:spacing w:line="360" w:lineRule="auto"/>
      </w:pPr>
      <w:r>
        <w:rPr>
          <w:rFonts w:hint="eastAsia"/>
        </w:rPr>
        <w:br w:type="page"/>
      </w:r>
    </w:p>
    <w:p>
      <w:pPr>
        <w:pStyle w:val="4"/>
        <w:jc w:val="center"/>
        <w:rPr>
          <w:rStyle w:val="18"/>
          <w:rFonts w:hint="eastAsia" w:asciiTheme="majorEastAsia" w:hAnsiTheme="majorEastAsia"/>
          <w:b/>
          <w:bCs w:val="0"/>
        </w:rPr>
      </w:pPr>
      <w:bookmarkStart w:id="62" w:name="_Toc15396613"/>
      <w:bookmarkStart w:id="63" w:name="_Toc10308"/>
      <w:bookmarkStart w:id="64" w:name="_Toc15377225"/>
      <w:r>
        <w:rPr>
          <w:rFonts w:hint="eastAsia" w:asciiTheme="majorEastAsia" w:hAnsiTheme="majorEastAsia"/>
          <w:sz w:val="44"/>
          <w:szCs w:val="44"/>
        </w:rPr>
        <w:t xml:space="preserve">第三部分 </w:t>
      </w:r>
      <w:r>
        <w:rPr>
          <w:rFonts w:asciiTheme="majorEastAsia" w:hAnsiTheme="majorEastAsia"/>
          <w:sz w:val="44"/>
          <w:szCs w:val="44"/>
        </w:rPr>
        <w:t>名</w:t>
      </w:r>
      <w:r>
        <w:rPr>
          <w:rStyle w:val="18"/>
          <w:rFonts w:asciiTheme="majorEastAsia" w:hAnsiTheme="majorEastAsia"/>
          <w:b w:val="0"/>
          <w:bCs w:val="0"/>
        </w:rPr>
        <w:t>词解释</w:t>
      </w:r>
      <w:bookmarkEnd w:id="62"/>
      <w:bookmarkEnd w:id="63"/>
      <w:bookmarkEnd w:id="64"/>
    </w:p>
    <w:p>
      <w:pPr>
        <w:spacing w:line="600" w:lineRule="exact"/>
        <w:jc w:val="left"/>
        <w:rPr>
          <w:b/>
          <w:sz w:val="44"/>
          <w:szCs w:val="44"/>
        </w:rPr>
      </w:pPr>
    </w:p>
    <w:p>
      <w:pPr>
        <w:spacing w:line="360" w:lineRule="auto"/>
        <w:rPr>
          <w:rFonts w:eastAsia="仿宋"/>
          <w:sz w:val="32"/>
          <w:szCs w:val="32"/>
        </w:rPr>
      </w:pPr>
      <w:r>
        <w:rPr>
          <w:rFonts w:eastAsia="仿宋"/>
          <w:sz w:val="32"/>
          <w:szCs w:val="32"/>
        </w:rPr>
        <w:t>1.一般公共预算财政拨款收入：指单位从同级财政部门取得的财政预算资金。</w:t>
      </w:r>
    </w:p>
    <w:p>
      <w:pPr>
        <w:spacing w:line="360" w:lineRule="auto"/>
        <w:rPr>
          <w:rFonts w:eastAsia="仿宋"/>
          <w:sz w:val="32"/>
          <w:szCs w:val="32"/>
        </w:rPr>
      </w:pPr>
      <w:r>
        <w:rPr>
          <w:rFonts w:eastAsia="仿宋"/>
          <w:sz w:val="32"/>
          <w:szCs w:val="32"/>
        </w:rPr>
        <w:t>2.事业收入：指事业单位开展专业业务活动及辅助活动取得的收入。</w:t>
      </w:r>
    </w:p>
    <w:p>
      <w:pPr>
        <w:spacing w:line="360" w:lineRule="auto"/>
        <w:rPr>
          <w:rFonts w:eastAsia="仿宋"/>
          <w:sz w:val="32"/>
          <w:szCs w:val="32"/>
        </w:rPr>
      </w:pPr>
      <w:r>
        <w:rPr>
          <w:rFonts w:eastAsia="仿宋"/>
          <w:sz w:val="32"/>
          <w:szCs w:val="32"/>
        </w:rPr>
        <w:t>3.经营收入：指事业单位在专业业务活动及其辅助活动之外开展非独立核算经营活动取得的收入。。</w:t>
      </w:r>
    </w:p>
    <w:p>
      <w:pPr>
        <w:spacing w:line="360" w:lineRule="auto"/>
        <w:rPr>
          <w:rFonts w:eastAsia="仿宋"/>
          <w:sz w:val="32"/>
          <w:szCs w:val="32"/>
        </w:rPr>
      </w:pPr>
      <w:r>
        <w:rPr>
          <w:rFonts w:eastAsia="仿宋"/>
          <w:sz w:val="32"/>
          <w:szCs w:val="32"/>
        </w:rPr>
        <w:t>4.其他收入：指单位取得的除上述收入以外的各项收入。</w:t>
      </w:r>
    </w:p>
    <w:p>
      <w:pPr>
        <w:spacing w:line="360" w:lineRule="auto"/>
        <w:rPr>
          <w:rFonts w:eastAsia="仿宋"/>
          <w:sz w:val="32"/>
          <w:szCs w:val="32"/>
        </w:rPr>
      </w:pPr>
      <w:r>
        <w:rPr>
          <w:rFonts w:eastAsia="仿宋"/>
          <w:sz w:val="32"/>
          <w:szCs w:val="32"/>
        </w:rPr>
        <w:t xml:space="preserve">5.年初结转和结余：指以前年度尚未完成、结转到本年按有关规定继续使用的资金。 </w:t>
      </w:r>
    </w:p>
    <w:p>
      <w:pPr>
        <w:spacing w:line="360" w:lineRule="auto"/>
        <w:rPr>
          <w:rFonts w:eastAsia="仿宋"/>
          <w:sz w:val="32"/>
          <w:szCs w:val="32"/>
        </w:rPr>
      </w:pPr>
      <w:r>
        <w:rPr>
          <w:rFonts w:eastAsia="仿宋"/>
          <w:sz w:val="32"/>
          <w:szCs w:val="32"/>
        </w:rPr>
        <w:t>6.结余分配：指事业单位按照会计制度规定缴纳的所得税、提取的专用结余以及转入非财政拨款结余的金额等。</w:t>
      </w:r>
    </w:p>
    <w:p>
      <w:pPr>
        <w:spacing w:line="360" w:lineRule="auto"/>
        <w:rPr>
          <w:rFonts w:eastAsia="仿宋"/>
          <w:sz w:val="32"/>
          <w:szCs w:val="32"/>
        </w:rPr>
      </w:pPr>
      <w:r>
        <w:rPr>
          <w:rFonts w:eastAsia="仿宋"/>
          <w:sz w:val="32"/>
          <w:szCs w:val="32"/>
        </w:rPr>
        <w:t>7.年末结转和结余：指单位按有关规定结转到下年或以后年度继续使用的资金。</w:t>
      </w:r>
    </w:p>
    <w:p>
      <w:pPr>
        <w:spacing w:line="360" w:lineRule="auto"/>
        <w:rPr>
          <w:rFonts w:eastAsia="仿宋"/>
          <w:sz w:val="32"/>
          <w:szCs w:val="32"/>
        </w:rPr>
      </w:pPr>
      <w:r>
        <w:rPr>
          <w:rFonts w:eastAsia="仿宋"/>
          <w:sz w:val="32"/>
          <w:szCs w:val="32"/>
        </w:rPr>
        <w:t>8.社会保障和就业支出（类）行政事业单位养老支出（款）事业单位离退休（项）：反映事业单位开支的离退休经费。</w:t>
      </w:r>
    </w:p>
    <w:p>
      <w:pPr>
        <w:spacing w:line="360" w:lineRule="auto"/>
        <w:rPr>
          <w:rFonts w:eastAsia="仿宋"/>
          <w:sz w:val="32"/>
          <w:szCs w:val="32"/>
        </w:rPr>
      </w:pPr>
      <w:r>
        <w:rPr>
          <w:rFonts w:eastAsia="仿宋"/>
          <w:sz w:val="32"/>
          <w:szCs w:val="32"/>
        </w:rPr>
        <w:t>9.社会保障和就业支出（类）行政事业单位养老支出（款）机关事业单位基本养老保险缴费支出（项）：指机关事业单位实施养老保险制度由单位缴纳的基本养老保险费支出。</w:t>
      </w:r>
    </w:p>
    <w:p>
      <w:pPr>
        <w:spacing w:line="360" w:lineRule="auto"/>
        <w:rPr>
          <w:rFonts w:eastAsia="仿宋"/>
          <w:sz w:val="32"/>
          <w:szCs w:val="32"/>
        </w:rPr>
      </w:pPr>
      <w:r>
        <w:rPr>
          <w:rFonts w:eastAsia="仿宋"/>
          <w:sz w:val="32"/>
          <w:szCs w:val="32"/>
        </w:rPr>
        <w:t>10.社会保障和就业（类）行政事业单位养老支出（款）机关事业单位职业年金缴费支出（项）</w:t>
      </w:r>
      <w:r>
        <w:rPr>
          <w:rFonts w:eastAsia="仿宋"/>
          <w:b/>
          <w:sz w:val="32"/>
          <w:szCs w:val="32"/>
        </w:rPr>
        <w:t>:</w:t>
      </w:r>
      <w:r>
        <w:rPr>
          <w:rFonts w:eastAsia="仿宋"/>
          <w:sz w:val="32"/>
          <w:szCs w:val="32"/>
        </w:rPr>
        <w:t>指机关事业单位实施养老保险制度由单位实际缴纳的职业年金支出。</w:t>
      </w:r>
    </w:p>
    <w:p>
      <w:pPr>
        <w:spacing w:line="360" w:lineRule="auto"/>
        <w:rPr>
          <w:rFonts w:eastAsia="仿宋"/>
          <w:sz w:val="32"/>
          <w:szCs w:val="32"/>
        </w:rPr>
      </w:pPr>
      <w:r>
        <w:rPr>
          <w:rFonts w:eastAsia="仿宋"/>
          <w:sz w:val="32"/>
          <w:szCs w:val="32"/>
        </w:rPr>
        <w:t>11、社会保障和就业（类）抚恤（款）死亡抚恤（项）：反映按规定用于烈士和牺牲、病故人员家属的一次性和定期抚恤金、丧葬补助费以及烈士褒扬金。</w:t>
      </w:r>
    </w:p>
    <w:p>
      <w:pPr>
        <w:spacing w:line="360" w:lineRule="auto"/>
        <w:rPr>
          <w:rFonts w:eastAsia="仿宋"/>
          <w:sz w:val="32"/>
          <w:szCs w:val="32"/>
        </w:rPr>
      </w:pPr>
      <w:r>
        <w:rPr>
          <w:rFonts w:eastAsia="仿宋"/>
          <w:sz w:val="32"/>
          <w:szCs w:val="32"/>
        </w:rPr>
        <w:t>12、社会保障和就业（类）抚恤（款）伤残抚恤（项）：反映按规定用于伤残人员的抚恤金的按规定开支的各类伤残补助费。</w:t>
      </w:r>
    </w:p>
    <w:p>
      <w:pPr>
        <w:spacing w:line="360" w:lineRule="auto"/>
        <w:rPr>
          <w:rFonts w:eastAsia="仿宋"/>
          <w:sz w:val="32"/>
          <w:szCs w:val="32"/>
        </w:rPr>
      </w:pPr>
      <w:r>
        <w:rPr>
          <w:rFonts w:eastAsia="仿宋"/>
          <w:sz w:val="32"/>
          <w:szCs w:val="32"/>
        </w:rPr>
        <w:t>13.卫生健康支出（类）公立医院（款）综合医院（项）：指卫生健康、中医部门所属的城市综合性医院、独立门诊、教学医院、疗养院和县医院的支出。</w:t>
      </w:r>
    </w:p>
    <w:p>
      <w:pPr>
        <w:spacing w:line="360" w:lineRule="auto"/>
        <w:rPr>
          <w:rFonts w:eastAsia="仿宋"/>
          <w:sz w:val="32"/>
          <w:szCs w:val="32"/>
        </w:rPr>
      </w:pPr>
      <w:r>
        <w:rPr>
          <w:rFonts w:eastAsia="仿宋"/>
          <w:sz w:val="32"/>
          <w:szCs w:val="32"/>
        </w:rPr>
        <w:t>14.卫生健康支出（类）公立医院（款）其他公立医院支出（项）：指除上述项目以外的其他用于公立医院方面的支出。</w:t>
      </w:r>
    </w:p>
    <w:p>
      <w:pPr>
        <w:spacing w:line="360" w:lineRule="auto"/>
        <w:rPr>
          <w:rFonts w:eastAsia="仿宋"/>
          <w:sz w:val="32"/>
          <w:szCs w:val="32"/>
        </w:rPr>
      </w:pPr>
      <w:r>
        <w:rPr>
          <w:rFonts w:eastAsia="仿宋"/>
          <w:sz w:val="32"/>
          <w:szCs w:val="32"/>
        </w:rPr>
        <w:t>15.卫生健康支出（类）公共卫生（款）重大公共卫生服务（项）：指重大疾病、重大传染病预防控制等重大公共卫生服务项目支出。</w:t>
      </w:r>
    </w:p>
    <w:p>
      <w:pPr>
        <w:spacing w:line="360" w:lineRule="auto"/>
        <w:rPr>
          <w:rFonts w:eastAsia="仿宋"/>
          <w:sz w:val="32"/>
          <w:szCs w:val="32"/>
        </w:rPr>
      </w:pPr>
      <w:r>
        <w:rPr>
          <w:rFonts w:eastAsia="仿宋"/>
          <w:sz w:val="32"/>
          <w:szCs w:val="32"/>
        </w:rPr>
        <w:t>16.卫生健康支出（类）公共卫生（款）突发公共卫生事件应急处理（项）：指用于突发公共卫生事件应急处理的支出。</w:t>
      </w:r>
    </w:p>
    <w:p>
      <w:pPr>
        <w:spacing w:line="360" w:lineRule="auto"/>
        <w:rPr>
          <w:rFonts w:eastAsia="仿宋"/>
          <w:sz w:val="32"/>
          <w:szCs w:val="32"/>
        </w:rPr>
      </w:pPr>
      <w:r>
        <w:rPr>
          <w:rFonts w:eastAsia="仿宋"/>
          <w:sz w:val="32"/>
          <w:szCs w:val="32"/>
        </w:rPr>
        <w:t>17.卫生健康支出（类）行政事业单位医疗（款）事业单位医疗（项）：指财政部门安排的事业单位基本医疗保险缴费经费，未参加医疗保险的事业单位的公费医疗经费，按国家规定享受离休人员待遇的医疗经费。</w:t>
      </w:r>
    </w:p>
    <w:p>
      <w:pPr>
        <w:spacing w:line="360" w:lineRule="auto"/>
        <w:rPr>
          <w:rFonts w:eastAsia="仿宋"/>
          <w:sz w:val="32"/>
          <w:szCs w:val="32"/>
        </w:rPr>
      </w:pPr>
      <w:r>
        <w:rPr>
          <w:rFonts w:eastAsia="仿宋"/>
          <w:sz w:val="32"/>
          <w:szCs w:val="32"/>
        </w:rPr>
        <w:t>18.卫生健康支出（类）行政事业单位医疗（款）公务员医疗补助（项）：指财政部门安排的公务员医疗补助经费。</w:t>
      </w:r>
    </w:p>
    <w:p>
      <w:pPr>
        <w:spacing w:line="360" w:lineRule="auto"/>
        <w:rPr>
          <w:rFonts w:eastAsia="仿宋"/>
          <w:sz w:val="32"/>
          <w:szCs w:val="32"/>
        </w:rPr>
      </w:pPr>
      <w:r>
        <w:rPr>
          <w:rFonts w:eastAsia="仿宋"/>
          <w:sz w:val="32"/>
          <w:szCs w:val="32"/>
        </w:rPr>
        <w:t>19.卫生健康支出（类）其他卫生健康支出（款）其他卫生健康支出（项）：指除上述项目以外其他用于卫生健康方面的支出。</w:t>
      </w:r>
    </w:p>
    <w:p>
      <w:pPr>
        <w:spacing w:line="360" w:lineRule="auto"/>
        <w:rPr>
          <w:rFonts w:eastAsia="仿宋"/>
          <w:sz w:val="32"/>
          <w:szCs w:val="32"/>
        </w:rPr>
      </w:pPr>
      <w:r>
        <w:rPr>
          <w:rFonts w:eastAsia="仿宋"/>
          <w:sz w:val="32"/>
          <w:szCs w:val="32"/>
        </w:rPr>
        <w:t>20.住房保障支出（类）住房改革支出（款）住房公积金（项）：指行政事业单位按人力资源和社会保障部、财政部规定的基本工资和津贴补贴以及规定比例为职工缴纳的住房公积金。</w:t>
      </w:r>
    </w:p>
    <w:p>
      <w:pPr>
        <w:spacing w:line="360" w:lineRule="auto"/>
        <w:rPr>
          <w:rFonts w:eastAsia="仿宋"/>
          <w:sz w:val="32"/>
          <w:szCs w:val="32"/>
        </w:rPr>
      </w:pPr>
      <w:r>
        <w:rPr>
          <w:rFonts w:eastAsia="仿宋"/>
          <w:sz w:val="32"/>
          <w:szCs w:val="32"/>
        </w:rPr>
        <w:t>21.基本支出：指为保障机构正常运转、完成日常工作任务而发生的人员支出和公用支出。</w:t>
      </w:r>
    </w:p>
    <w:p>
      <w:pPr>
        <w:spacing w:line="360" w:lineRule="auto"/>
        <w:rPr>
          <w:rFonts w:eastAsia="仿宋"/>
          <w:sz w:val="32"/>
          <w:szCs w:val="32"/>
        </w:rPr>
      </w:pPr>
      <w:r>
        <w:rPr>
          <w:rFonts w:eastAsia="仿宋"/>
          <w:sz w:val="32"/>
          <w:szCs w:val="32"/>
        </w:rPr>
        <w:t>22.项目支出：指在基本支出之外为完成特定行政任务和事业发展目标所发生的支出。</w:t>
      </w:r>
    </w:p>
    <w:p>
      <w:pPr>
        <w:spacing w:line="360" w:lineRule="auto"/>
        <w:rPr>
          <w:rFonts w:eastAsia="仿宋"/>
          <w:sz w:val="32"/>
          <w:szCs w:val="32"/>
        </w:rPr>
      </w:pPr>
      <w:r>
        <w:rPr>
          <w:rFonts w:eastAsia="仿宋"/>
          <w:sz w:val="32"/>
          <w:szCs w:val="32"/>
        </w:rPr>
        <w:t>23.“三公”经费：指部门用财政拨款安排的因公出国（境）费、公务用车购置及运行费和公务接待费。其中，因公出国（境）费反映单位公务出国（境）的国际旅费、国外城市间交通费、住宿费、伙食费、培训费、公杂费等支出；公务用车购置反映单位公务用车购置支出（含车辆购置税、牌照费）。公务用车运行维护费反映单位按规定保留的公务用车燃料费、维修费、过路过桥费、保险费、安全奖励费用等支出；公务接待费反映单位按规定开支的各类公务接待（含外宾接待）支出。</w:t>
      </w:r>
    </w:p>
    <w:p>
      <w:pPr>
        <w:pStyle w:val="4"/>
        <w:jc w:val="center"/>
        <w:rPr>
          <w:sz w:val="44"/>
          <w:szCs w:val="44"/>
        </w:rPr>
      </w:pPr>
      <w:bookmarkStart w:id="65" w:name="_Toc18080"/>
    </w:p>
    <w:p>
      <w:pPr>
        <w:pStyle w:val="4"/>
        <w:jc w:val="center"/>
        <w:rPr>
          <w:sz w:val="44"/>
          <w:szCs w:val="44"/>
        </w:rPr>
      </w:pPr>
      <w:r>
        <w:rPr>
          <w:sz w:val="44"/>
          <w:szCs w:val="44"/>
        </w:rPr>
        <w:t>第四部分 附件</w:t>
      </w:r>
      <w:bookmarkEnd w:id="65"/>
    </w:p>
    <w:p>
      <w:pPr>
        <w:jc w:val="center"/>
      </w:pPr>
      <w:bookmarkStart w:id="66" w:name="_Toc15396614"/>
    </w:p>
    <w:p>
      <w:pPr>
        <w:ind w:firstLine="640" w:firstLineChars="200"/>
        <w:rPr>
          <w:rFonts w:hint="eastAsia" w:ascii="仿宋" w:hAnsi="仿宋" w:eastAsia="仿宋" w:cs="仿宋"/>
          <w:sz w:val="32"/>
          <w:szCs w:val="32"/>
        </w:rPr>
        <w:sectPr>
          <w:footerReference r:id="rId9" w:type="first"/>
          <w:footerReference r:id="rId8" w:type="default"/>
          <w:pgSz w:w="11906" w:h="16838"/>
          <w:pgMar w:top="1440" w:right="1800" w:bottom="1440" w:left="1800" w:header="851" w:footer="992" w:gutter="0"/>
          <w:pgNumType w:start="1"/>
          <w:cols w:space="425" w:num="1"/>
          <w:titlePg/>
          <w:docGrid w:type="lines" w:linePitch="312" w:charSpace="0"/>
        </w:sectPr>
      </w:pPr>
      <w:r>
        <w:rPr>
          <w:rFonts w:hint="eastAsia" w:ascii="仿宋" w:hAnsi="仿宋" w:eastAsia="仿宋" w:cs="仿宋"/>
          <w:sz w:val="32"/>
          <w:szCs w:val="32"/>
        </w:rPr>
        <w:t>部门预算项目支出绩效自评表（2023年度）见附件</w:t>
      </w:r>
    </w:p>
    <w:bookmarkEnd w:id="66"/>
    <w:p>
      <w:pPr>
        <w:pStyle w:val="4"/>
        <w:jc w:val="center"/>
        <w:rPr>
          <w:sz w:val="44"/>
          <w:szCs w:val="44"/>
        </w:rPr>
      </w:pPr>
      <w:bookmarkStart w:id="67" w:name="_Toc14176"/>
      <w:r>
        <w:rPr>
          <w:sz w:val="44"/>
          <w:szCs w:val="44"/>
        </w:rPr>
        <w:t>第五部分  附表</w:t>
      </w:r>
      <w:bookmarkEnd w:id="67"/>
    </w:p>
    <w:p>
      <w:pPr>
        <w:pStyle w:val="4"/>
        <w:rPr>
          <w:rFonts w:hint="eastAsia" w:ascii="仿宋" w:hAnsi="仿宋" w:eastAsia="仿宋"/>
        </w:rPr>
      </w:pPr>
      <w:r>
        <w:rPr>
          <w:rFonts w:hint="eastAsia" w:ascii="仿宋" w:hAnsi="仿宋" w:eastAsia="仿宋"/>
          <w:b w:val="0"/>
        </w:rPr>
        <w:t>一、收</w:t>
      </w:r>
      <w:r>
        <w:rPr>
          <w:rStyle w:val="19"/>
          <w:rFonts w:hint="eastAsia" w:ascii="仿宋" w:hAnsi="仿宋" w:eastAsia="仿宋"/>
          <w:b w:val="0"/>
          <w:bCs w:val="0"/>
        </w:rPr>
        <w:t>入支出决算总表</w:t>
      </w:r>
    </w:p>
    <w:p>
      <w:pPr>
        <w:pStyle w:val="4"/>
        <w:rPr>
          <w:rFonts w:hint="eastAsia" w:ascii="仿宋" w:hAnsi="仿宋" w:eastAsia="仿宋"/>
        </w:rPr>
      </w:pPr>
      <w:r>
        <w:rPr>
          <w:rFonts w:hint="eastAsia" w:ascii="仿宋" w:hAnsi="仿宋" w:eastAsia="仿宋"/>
          <w:b w:val="0"/>
        </w:rPr>
        <w:t>二、收</w:t>
      </w:r>
      <w:r>
        <w:rPr>
          <w:rStyle w:val="19"/>
          <w:rFonts w:hint="eastAsia" w:ascii="仿宋" w:hAnsi="仿宋" w:eastAsia="仿宋"/>
          <w:b w:val="0"/>
          <w:bCs w:val="0"/>
        </w:rPr>
        <w:t>入决算表</w:t>
      </w:r>
    </w:p>
    <w:p>
      <w:pPr>
        <w:pStyle w:val="4"/>
        <w:rPr>
          <w:rFonts w:hint="eastAsia" w:ascii="仿宋" w:hAnsi="仿宋" w:eastAsia="仿宋"/>
        </w:rPr>
      </w:pPr>
      <w:r>
        <w:rPr>
          <w:rStyle w:val="19"/>
          <w:rFonts w:hint="eastAsia" w:ascii="仿宋" w:hAnsi="仿宋" w:eastAsia="仿宋"/>
          <w:b w:val="0"/>
          <w:bCs w:val="0"/>
        </w:rPr>
        <w:t>三、</w:t>
      </w:r>
      <w:r>
        <w:rPr>
          <w:rFonts w:hint="eastAsia" w:ascii="仿宋" w:hAnsi="仿宋" w:eastAsia="仿宋"/>
          <w:b w:val="0"/>
        </w:rPr>
        <w:t>支</w:t>
      </w:r>
      <w:r>
        <w:rPr>
          <w:rStyle w:val="19"/>
          <w:rFonts w:hint="eastAsia" w:ascii="仿宋" w:hAnsi="仿宋" w:eastAsia="仿宋"/>
          <w:b w:val="0"/>
          <w:bCs w:val="0"/>
        </w:rPr>
        <w:t>出决算表</w:t>
      </w:r>
    </w:p>
    <w:p>
      <w:pPr>
        <w:pStyle w:val="4"/>
        <w:rPr>
          <w:rFonts w:hint="eastAsia" w:ascii="仿宋" w:hAnsi="仿宋" w:eastAsia="仿宋"/>
          <w:b w:val="0"/>
        </w:rPr>
      </w:pPr>
      <w:r>
        <w:rPr>
          <w:rStyle w:val="19"/>
          <w:rFonts w:hint="eastAsia" w:ascii="仿宋" w:hAnsi="仿宋" w:eastAsia="仿宋"/>
          <w:b w:val="0"/>
          <w:bCs w:val="0"/>
        </w:rPr>
        <w:t>四、</w:t>
      </w:r>
      <w:r>
        <w:rPr>
          <w:rFonts w:hint="eastAsia" w:ascii="仿宋" w:hAnsi="仿宋" w:eastAsia="仿宋"/>
          <w:b w:val="0"/>
        </w:rPr>
        <w:t>财</w:t>
      </w:r>
      <w:r>
        <w:rPr>
          <w:rStyle w:val="19"/>
          <w:rFonts w:hint="eastAsia" w:ascii="仿宋" w:hAnsi="仿宋" w:eastAsia="仿宋"/>
          <w:b w:val="0"/>
          <w:bCs w:val="0"/>
        </w:rPr>
        <w:t>政拨款收入支出决算总表</w:t>
      </w:r>
    </w:p>
    <w:p>
      <w:pPr>
        <w:pStyle w:val="4"/>
        <w:rPr>
          <w:rStyle w:val="19"/>
          <w:rFonts w:hint="eastAsia" w:ascii="仿宋" w:hAnsi="仿宋" w:eastAsia="仿宋"/>
          <w:b w:val="0"/>
          <w:bCs w:val="0"/>
        </w:rPr>
      </w:pPr>
      <w:r>
        <w:rPr>
          <w:rStyle w:val="19"/>
          <w:rFonts w:hint="eastAsia" w:ascii="仿宋" w:hAnsi="仿宋" w:eastAsia="仿宋"/>
          <w:b w:val="0"/>
          <w:bCs w:val="0"/>
        </w:rPr>
        <w:t>五、</w:t>
      </w:r>
      <w:r>
        <w:rPr>
          <w:rFonts w:hint="eastAsia" w:ascii="仿宋" w:hAnsi="仿宋" w:eastAsia="仿宋"/>
          <w:b w:val="0"/>
        </w:rPr>
        <w:t>财</w:t>
      </w:r>
      <w:r>
        <w:rPr>
          <w:rStyle w:val="19"/>
          <w:rFonts w:hint="eastAsia" w:ascii="仿宋" w:hAnsi="仿宋" w:eastAsia="仿宋"/>
          <w:b w:val="0"/>
          <w:bCs w:val="0"/>
        </w:rPr>
        <w:t>政拨款支出决算明细表</w:t>
      </w:r>
    </w:p>
    <w:p>
      <w:pPr>
        <w:pStyle w:val="4"/>
        <w:rPr>
          <w:rFonts w:hint="eastAsia" w:ascii="仿宋" w:hAnsi="仿宋" w:eastAsia="仿宋"/>
        </w:rPr>
      </w:pPr>
      <w:r>
        <w:rPr>
          <w:rStyle w:val="19"/>
          <w:rFonts w:hint="eastAsia" w:ascii="仿宋" w:hAnsi="仿宋" w:eastAsia="仿宋"/>
          <w:b w:val="0"/>
          <w:bCs w:val="0"/>
        </w:rPr>
        <w:t>六、</w:t>
      </w:r>
      <w:r>
        <w:rPr>
          <w:rFonts w:hint="eastAsia" w:ascii="仿宋" w:hAnsi="仿宋" w:eastAsia="仿宋"/>
          <w:b w:val="0"/>
        </w:rPr>
        <w:t>一</w:t>
      </w:r>
      <w:r>
        <w:rPr>
          <w:rStyle w:val="19"/>
          <w:rFonts w:hint="eastAsia" w:ascii="仿宋" w:hAnsi="仿宋" w:eastAsia="仿宋"/>
          <w:b w:val="0"/>
          <w:bCs w:val="0"/>
        </w:rPr>
        <w:t>般公共预算财政拨款支出决算表</w:t>
      </w:r>
    </w:p>
    <w:p>
      <w:pPr>
        <w:pStyle w:val="4"/>
        <w:rPr>
          <w:rFonts w:hint="eastAsia" w:ascii="仿宋" w:hAnsi="仿宋" w:eastAsia="仿宋"/>
        </w:rPr>
      </w:pPr>
      <w:r>
        <w:rPr>
          <w:rStyle w:val="19"/>
          <w:rFonts w:hint="eastAsia" w:ascii="仿宋" w:hAnsi="仿宋" w:eastAsia="仿宋"/>
          <w:b w:val="0"/>
          <w:bCs w:val="0"/>
        </w:rPr>
        <w:t>七、</w:t>
      </w:r>
      <w:r>
        <w:rPr>
          <w:rFonts w:hint="eastAsia" w:ascii="仿宋" w:hAnsi="仿宋" w:eastAsia="仿宋"/>
          <w:b w:val="0"/>
        </w:rPr>
        <w:t>一</w:t>
      </w:r>
      <w:r>
        <w:rPr>
          <w:rStyle w:val="19"/>
          <w:rFonts w:hint="eastAsia" w:ascii="仿宋" w:hAnsi="仿宋" w:eastAsia="仿宋"/>
          <w:b w:val="0"/>
          <w:bCs w:val="0"/>
        </w:rPr>
        <w:t>般公共预算财政拨款支出决算明细表</w:t>
      </w:r>
    </w:p>
    <w:p>
      <w:pPr>
        <w:pStyle w:val="4"/>
        <w:rPr>
          <w:rFonts w:hint="eastAsia" w:ascii="仿宋" w:hAnsi="仿宋" w:eastAsia="仿宋"/>
        </w:rPr>
      </w:pPr>
      <w:r>
        <w:rPr>
          <w:rStyle w:val="19"/>
          <w:rFonts w:hint="eastAsia" w:ascii="仿宋" w:hAnsi="仿宋" w:eastAsia="仿宋"/>
          <w:b w:val="0"/>
          <w:bCs w:val="0"/>
        </w:rPr>
        <w:t>八、</w:t>
      </w:r>
      <w:r>
        <w:rPr>
          <w:rFonts w:hint="eastAsia" w:ascii="仿宋" w:hAnsi="仿宋" w:eastAsia="仿宋"/>
          <w:b w:val="0"/>
        </w:rPr>
        <w:t>一</w:t>
      </w:r>
      <w:r>
        <w:rPr>
          <w:rStyle w:val="19"/>
          <w:rFonts w:hint="eastAsia" w:ascii="仿宋" w:hAnsi="仿宋" w:eastAsia="仿宋"/>
          <w:b w:val="0"/>
          <w:bCs w:val="0"/>
        </w:rPr>
        <w:t>般公共预算财政拨款基本支出决算表</w:t>
      </w:r>
    </w:p>
    <w:p>
      <w:pPr>
        <w:pStyle w:val="4"/>
        <w:rPr>
          <w:rFonts w:hint="eastAsia" w:ascii="仿宋" w:hAnsi="仿宋" w:eastAsia="仿宋"/>
        </w:rPr>
      </w:pPr>
      <w:r>
        <w:rPr>
          <w:rStyle w:val="19"/>
          <w:rFonts w:hint="eastAsia" w:ascii="仿宋" w:hAnsi="仿宋" w:eastAsia="仿宋"/>
          <w:b w:val="0"/>
          <w:bCs w:val="0"/>
        </w:rPr>
        <w:t>九、</w:t>
      </w:r>
      <w:r>
        <w:rPr>
          <w:rFonts w:hint="eastAsia" w:ascii="仿宋" w:hAnsi="仿宋" w:eastAsia="仿宋"/>
          <w:b w:val="0"/>
        </w:rPr>
        <w:t>一</w:t>
      </w:r>
      <w:r>
        <w:rPr>
          <w:rStyle w:val="19"/>
          <w:rFonts w:hint="eastAsia" w:ascii="仿宋" w:hAnsi="仿宋" w:eastAsia="仿宋"/>
          <w:b w:val="0"/>
          <w:bCs w:val="0"/>
        </w:rPr>
        <w:t>般公共预算财政拨款项目支出决算表</w:t>
      </w:r>
    </w:p>
    <w:p>
      <w:pPr>
        <w:pStyle w:val="4"/>
        <w:rPr>
          <w:rFonts w:hint="eastAsia" w:ascii="仿宋" w:hAnsi="仿宋" w:eastAsia="仿宋"/>
        </w:rPr>
      </w:pPr>
      <w:r>
        <w:rPr>
          <w:rStyle w:val="19"/>
          <w:rFonts w:hint="eastAsia" w:ascii="仿宋" w:hAnsi="仿宋" w:eastAsia="仿宋"/>
          <w:b w:val="0"/>
          <w:bCs w:val="0"/>
        </w:rPr>
        <w:t>十、</w:t>
      </w:r>
      <w:r>
        <w:rPr>
          <w:rFonts w:hint="eastAsia" w:ascii="仿宋" w:hAnsi="仿宋" w:eastAsia="仿宋"/>
          <w:b w:val="0"/>
        </w:rPr>
        <w:t>政</w:t>
      </w:r>
      <w:r>
        <w:rPr>
          <w:rStyle w:val="19"/>
          <w:rFonts w:hint="eastAsia" w:ascii="仿宋" w:hAnsi="仿宋" w:eastAsia="仿宋"/>
          <w:b w:val="0"/>
          <w:bCs w:val="0"/>
        </w:rPr>
        <w:t>府性基金预算财政拨款收入支出决算表</w:t>
      </w:r>
    </w:p>
    <w:p>
      <w:pPr>
        <w:pStyle w:val="4"/>
        <w:rPr>
          <w:rFonts w:hint="eastAsia" w:ascii="仿宋" w:hAnsi="仿宋" w:eastAsia="仿宋"/>
        </w:rPr>
      </w:pPr>
      <w:r>
        <w:rPr>
          <w:rStyle w:val="19"/>
          <w:rFonts w:hint="eastAsia" w:ascii="仿宋" w:hAnsi="仿宋" w:eastAsia="仿宋"/>
          <w:b w:val="0"/>
          <w:bCs w:val="0"/>
        </w:rPr>
        <w:t>十一、</w:t>
      </w:r>
      <w:r>
        <w:rPr>
          <w:rFonts w:hint="eastAsia" w:ascii="仿宋" w:hAnsi="仿宋" w:eastAsia="仿宋"/>
          <w:b w:val="0"/>
        </w:rPr>
        <w:t>国</w:t>
      </w:r>
      <w:r>
        <w:rPr>
          <w:rStyle w:val="19"/>
          <w:rFonts w:hint="eastAsia" w:ascii="仿宋" w:hAnsi="仿宋" w:eastAsia="仿宋"/>
          <w:b w:val="0"/>
          <w:bCs w:val="0"/>
        </w:rPr>
        <w:t>有资本经营预算财政拨款收入支出决算表</w:t>
      </w:r>
    </w:p>
    <w:p>
      <w:pPr>
        <w:pStyle w:val="4"/>
        <w:rPr>
          <w:rFonts w:hint="eastAsia" w:ascii="仿宋" w:hAnsi="仿宋" w:eastAsia="仿宋"/>
        </w:rPr>
      </w:pPr>
      <w:r>
        <w:rPr>
          <w:rStyle w:val="19"/>
          <w:rFonts w:hint="eastAsia" w:ascii="仿宋" w:hAnsi="仿宋" w:eastAsia="仿宋"/>
          <w:b w:val="0"/>
          <w:bCs w:val="0"/>
        </w:rPr>
        <w:t>十二、国有资本经营预算财政拨款支出决算表</w:t>
      </w:r>
    </w:p>
    <w:p>
      <w:pPr>
        <w:pStyle w:val="4"/>
        <w:rPr>
          <w:rFonts w:eastAsia="仿宋"/>
        </w:rPr>
      </w:pPr>
      <w:r>
        <w:rPr>
          <w:rStyle w:val="19"/>
          <w:rFonts w:hint="eastAsia" w:ascii="仿宋" w:hAnsi="仿宋" w:eastAsia="仿宋"/>
          <w:b w:val="0"/>
          <w:bCs w:val="0"/>
        </w:rPr>
        <w:t>十三、财政拨款“三公”经费支出决算表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0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posOffset>2603500</wp:posOffset>
              </wp:positionH>
              <wp:positionV relativeFrom="paragraph">
                <wp:posOffset>2540</wp:posOffset>
              </wp:positionV>
              <wp:extent cx="222250" cy="120650"/>
              <wp:effectExtent l="0" t="0" r="6350" b="12700"/>
              <wp:wrapNone/>
              <wp:docPr id="12" name="文本框 12"/>
              <wp:cNvGraphicFramePr/>
              <a:graphic xmlns:a="http://schemas.openxmlformats.org/drawingml/2006/main">
                <a:graphicData uri="http://schemas.microsoft.com/office/word/2010/wordprocessingShape">
                  <wps:wsp>
                    <wps:cNvSpPr txBox="1"/>
                    <wps:spPr>
                      <a:xfrm>
                        <a:off x="0" y="0"/>
                        <a:ext cx="222250" cy="120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05pt;margin-top:0.2pt;height:9.5pt;width:17.5pt;mso-position-horizontal-relative:margin;z-index:251659264;mso-width-relative:page;mso-height-relative:page;" filled="f" stroked="f" coordsize="21600,21600" o:gfxdata="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bvn9nVAAAABwEAAA8AAAAAAAAAAQAgAAAAIgAAAGRycy9kb3ducmV2LnhtbFBLAQIUABQA&#10;AAAIAIdO4kDfRc/7LAIAAFcEAAAOAAAAAAAAAAEAIAAAACQBAABkcnMvZTJvRG9jLnhtbFBLBQYA&#10;AAAABgAGAFkBAADCBQAAAAA=&#10;">
              <v:fill on="f" focussize="0,0"/>
              <v:stroke on="f" weight="0.5pt"/>
              <v:imagedata o:title=""/>
              <o:lock v:ext="edit" aspectratio="f"/>
              <v:textbox inset="0mm,0mm,0mm,0mm">
                <w:txbxContent>
                  <w:p>
                    <w:pPr>
                      <w:pStyle w:val="8"/>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6BA72E2A"/>
    <w:multiLevelType w:val="multilevel"/>
    <w:tmpl w:val="6BA72E2A"/>
    <w:lvl w:ilvl="0" w:tentative="0">
      <w:start w:val="1"/>
      <w:numFmt w:val="japaneseCounting"/>
      <w:lvlText w:val="（%1）"/>
      <w:lvlJc w:val="left"/>
      <w:pPr>
        <w:ind w:left="1400" w:hanging="1080"/>
      </w:pPr>
      <w:rPr>
        <w:rFonts w:hint="default"/>
      </w:rPr>
    </w:lvl>
    <w:lvl w:ilvl="1" w:tentative="0">
      <w:start w:val="1"/>
      <w:numFmt w:val="lowerLetter"/>
      <w:lvlText w:val="%2)"/>
      <w:lvlJc w:val="left"/>
      <w:pPr>
        <w:ind w:left="1200" w:hanging="440"/>
      </w:pPr>
    </w:lvl>
    <w:lvl w:ilvl="2" w:tentative="0">
      <w:start w:val="1"/>
      <w:numFmt w:val="lowerRoman"/>
      <w:lvlText w:val="%3."/>
      <w:lvlJc w:val="right"/>
      <w:pPr>
        <w:ind w:left="1640" w:hanging="440"/>
      </w:pPr>
    </w:lvl>
    <w:lvl w:ilvl="3" w:tentative="0">
      <w:start w:val="1"/>
      <w:numFmt w:val="decimal"/>
      <w:lvlText w:val="%4."/>
      <w:lvlJc w:val="left"/>
      <w:pPr>
        <w:ind w:left="2080" w:hanging="440"/>
      </w:pPr>
    </w:lvl>
    <w:lvl w:ilvl="4" w:tentative="0">
      <w:start w:val="1"/>
      <w:numFmt w:val="lowerLetter"/>
      <w:lvlText w:val="%5)"/>
      <w:lvlJc w:val="left"/>
      <w:pPr>
        <w:ind w:left="2520" w:hanging="440"/>
      </w:pPr>
    </w:lvl>
    <w:lvl w:ilvl="5" w:tentative="0">
      <w:start w:val="1"/>
      <w:numFmt w:val="lowerRoman"/>
      <w:lvlText w:val="%6."/>
      <w:lvlJc w:val="right"/>
      <w:pPr>
        <w:ind w:left="2960" w:hanging="440"/>
      </w:pPr>
    </w:lvl>
    <w:lvl w:ilvl="6" w:tentative="0">
      <w:start w:val="1"/>
      <w:numFmt w:val="decimal"/>
      <w:lvlText w:val="%7."/>
      <w:lvlJc w:val="left"/>
      <w:pPr>
        <w:ind w:left="3400" w:hanging="440"/>
      </w:pPr>
    </w:lvl>
    <w:lvl w:ilvl="7" w:tentative="0">
      <w:start w:val="1"/>
      <w:numFmt w:val="lowerLetter"/>
      <w:lvlText w:val="%8)"/>
      <w:lvlJc w:val="left"/>
      <w:pPr>
        <w:ind w:left="3840" w:hanging="440"/>
      </w:pPr>
    </w:lvl>
    <w:lvl w:ilvl="8" w:tentative="0">
      <w:start w:val="1"/>
      <w:numFmt w:val="lowerRoman"/>
      <w:lvlText w:val="%9."/>
      <w:lvlJc w:val="right"/>
      <w:pPr>
        <w:ind w:left="4280" w:hanging="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yYzU4YTIzZGYzZTZjOTI2ZDgyODI2MDhhMjk4NWMifQ=="/>
  </w:docVars>
  <w:rsids>
    <w:rsidRoot w:val="00BB3BF0"/>
    <w:rsid w:val="003A1DDE"/>
    <w:rsid w:val="003D7D47"/>
    <w:rsid w:val="005402B1"/>
    <w:rsid w:val="0061498C"/>
    <w:rsid w:val="007355D7"/>
    <w:rsid w:val="008B323E"/>
    <w:rsid w:val="00AA3CE9"/>
    <w:rsid w:val="00B600E6"/>
    <w:rsid w:val="00BB3BF0"/>
    <w:rsid w:val="00C45EC8"/>
    <w:rsid w:val="00F167DA"/>
    <w:rsid w:val="022E586F"/>
    <w:rsid w:val="04460171"/>
    <w:rsid w:val="04EE7947"/>
    <w:rsid w:val="0F8B040F"/>
    <w:rsid w:val="27704F69"/>
    <w:rsid w:val="29F07285"/>
    <w:rsid w:val="2BF41ADD"/>
    <w:rsid w:val="2BF51A0F"/>
    <w:rsid w:val="3899043C"/>
    <w:rsid w:val="440A30CD"/>
    <w:rsid w:val="47E400EF"/>
    <w:rsid w:val="506A1490"/>
    <w:rsid w:val="5E7A3B59"/>
    <w:rsid w:val="65D84419"/>
    <w:rsid w:val="65EB7404"/>
    <w:rsid w:val="67FE1795"/>
    <w:rsid w:val="69722D8E"/>
    <w:rsid w:val="70A63769"/>
    <w:rsid w:val="764D1B91"/>
    <w:rsid w:val="A8F7D734"/>
    <w:rsid w:val="F0BFB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spacing w:before="260" w:after="260" w:line="413" w:lineRule="auto"/>
      <w:outlineLvl w:val="2"/>
    </w:pPr>
    <w:rPr>
      <w:b/>
      <w:sz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qFormat/>
    <w:uiPriority w:val="0"/>
    <w:pPr>
      <w:ind w:left="840" w:leftChars="400"/>
    </w:pPr>
  </w:style>
  <w:style w:type="paragraph" w:styleId="8">
    <w:name w:val="footer"/>
    <w:basedOn w:val="1"/>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paragraph" w:customStyle="1" w:styleId="15">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6">
    <w:name w:val="标题 2 字符"/>
    <w:basedOn w:val="13"/>
    <w:qFormat/>
    <w:uiPriority w:val="9"/>
    <w:rPr>
      <w:rFonts w:asciiTheme="majorHAnsi" w:hAnsiTheme="majorHAnsi" w:eastAsiaTheme="majorEastAsia" w:cstheme="majorBidi"/>
      <w:b/>
      <w:bCs/>
      <w:sz w:val="32"/>
      <w:szCs w:val="32"/>
    </w:rPr>
  </w:style>
  <w:style w:type="paragraph" w:styleId="17">
    <w:name w:val="List Paragraph"/>
    <w:basedOn w:val="1"/>
    <w:qFormat/>
    <w:uiPriority w:val="34"/>
    <w:pPr>
      <w:ind w:firstLine="420" w:firstLineChars="200"/>
    </w:pPr>
  </w:style>
  <w:style w:type="character" w:customStyle="1" w:styleId="18">
    <w:name w:val="标题 1 字符"/>
    <w:basedOn w:val="13"/>
    <w:link w:val="3"/>
    <w:qFormat/>
    <w:uiPriority w:val="9"/>
    <w:rPr>
      <w:b/>
      <w:bCs/>
      <w:kern w:val="44"/>
      <w:sz w:val="44"/>
      <w:szCs w:val="44"/>
    </w:rPr>
  </w:style>
  <w:style w:type="character" w:customStyle="1" w:styleId="19">
    <w:name w:val="标题 2 字符1"/>
    <w:link w:val="4"/>
    <w:qFormat/>
    <w:uiPriority w:val="9"/>
    <w:rPr>
      <w:rFonts w:ascii="Cambria" w:hAnsi="Cambria" w:eastAsia="宋体"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theme" Target="theme/theme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收、支决算总计变动情况图（万元）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2022年</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Sheet1!$B$2:$B$3</c:f>
              <c:numCache>
                <c:formatCode>General</c:formatCode>
                <c:ptCount val="2"/>
                <c:pt idx="0">
                  <c:v>6019.08</c:v>
                </c:pt>
                <c:pt idx="1">
                  <c:v>6019.08</c:v>
                </c:pt>
              </c:numCache>
            </c:numRef>
          </c:val>
        </c:ser>
        <c:ser>
          <c:idx val="1"/>
          <c:order val="1"/>
          <c:tx>
            <c:strRef>
              <c:f>Sheet1!$C$1</c:f>
              <c:strCache>
                <c:ptCount val="1"/>
                <c:pt idx="0">
                  <c:v>2023年</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总收入</c:v>
                </c:pt>
                <c:pt idx="1">
                  <c:v>总支出</c:v>
                </c:pt>
              </c:strCache>
            </c:strRef>
          </c:cat>
          <c:val>
            <c:numRef>
              <c:f>Sheet1!$C$2:$C$3</c:f>
              <c:numCache>
                <c:formatCode>General</c:formatCode>
                <c:ptCount val="2"/>
                <c:pt idx="0">
                  <c:v>7364.73</c:v>
                </c:pt>
                <c:pt idx="1">
                  <c:v>7364.73</c:v>
                </c:pt>
              </c:numCache>
            </c:numRef>
          </c:val>
        </c:ser>
        <c:dLbls>
          <c:showLegendKey val="0"/>
          <c:showVal val="1"/>
          <c:showCatName val="0"/>
          <c:showSerName val="0"/>
          <c:showPercent val="0"/>
          <c:showBubbleSize val="0"/>
        </c:dLbls>
        <c:gapWidth val="219"/>
        <c:overlap val="-27"/>
        <c:axId val="1934293823"/>
        <c:axId val="1934292991"/>
      </c:barChart>
      <c:catAx>
        <c:axId val="19342938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2991"/>
        <c:crosses val="autoZero"/>
        <c:auto val="1"/>
        <c:lblAlgn val="ctr"/>
        <c:lblOffset val="100"/>
        <c:noMultiLvlLbl val="0"/>
      </c:catAx>
      <c:valAx>
        <c:axId val="193429299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3823"/>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t>2023</a:t>
            </a:r>
            <a:r>
              <a:rPr lang="zh-CN" altLang="en-US"/>
              <a:t>年收入金额百分比</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c:explosion val="0"/>
          <c:dPt>
            <c:idx val="0"/>
            <c:bubble3D val="0"/>
            <c:spPr>
              <a:solidFill>
                <a:schemeClr val="accent1"/>
              </a:solidFill>
              <a:ln w="19050">
                <a:solidFill>
                  <a:schemeClr val="lt1"/>
                </a:solidFill>
              </a:ln>
              <a:effectLst/>
            </c:spPr>
          </c:dPt>
          <c:dPt>
            <c:idx val="1"/>
            <c:bubble3D val="0"/>
            <c:spPr>
              <a:solidFill>
                <a:schemeClr val="accent3"/>
              </a:solidFill>
              <a:ln w="19050">
                <a:solidFill>
                  <a:schemeClr val="lt1"/>
                </a:solidFill>
              </a:ln>
              <a:effectLst/>
            </c:spPr>
          </c:dPt>
          <c:dPt>
            <c:idx val="2"/>
            <c:bubble3D val="0"/>
            <c:spPr>
              <a:solidFill>
                <a:schemeClr val="accent5"/>
              </a:solidFill>
              <a:ln w="19050">
                <a:solidFill>
                  <a:schemeClr val="lt1"/>
                </a:solidFill>
              </a:ln>
              <a:effectLst/>
            </c:spPr>
          </c:dPt>
          <c:dLbls>
            <c:numFmt formatCode="0.00%" sourceLinked="0"/>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lang="zh-CN" sz="900" b="0" i="0" u="none" strike="noStrike" kern="1200" baseline="0">
                    <a:solidFill>
                      <a:schemeClr val="dk1">
                        <a:lumMod val="65000"/>
                        <a:lumOff val="35000"/>
                      </a:schemeClr>
                    </a:solidFill>
                    <a:latin typeface="+mn-lt"/>
                    <a:ea typeface="+mn-ea"/>
                    <a:cs typeface="+mn-cs"/>
                  </a:defRPr>
                </a:pPr>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15:layout/>
                <c15:showLeaderLines val="0"/>
                <c15:leaderLines>
                  <c:spPr>
                    <a:ln w="9525" cap="flat" cmpd="sng" algn="ctr">
                      <a:solidFill>
                        <a:schemeClr val="tx1">
                          <a:lumMod val="35000"/>
                          <a:lumOff val="65000"/>
                        </a:schemeClr>
                      </a:solidFill>
                      <a:round/>
                    </a:ln>
                    <a:effectLst/>
                  </c:spPr>
                </c15:leaderLines>
              </c:ext>
            </c:extLst>
          </c:dLbls>
          <c:cat>
            <c:strRef>
              <c:f>Sheet1!$A$2:$A$4</c:f>
              <c:strCache>
                <c:ptCount val="3"/>
                <c:pt idx="0">
                  <c:v>事业收入</c:v>
                </c:pt>
                <c:pt idx="1">
                  <c:v>其他收入</c:v>
                </c:pt>
                <c:pt idx="2">
                  <c:v>一般公共预算财政拨款收入</c:v>
                </c:pt>
              </c:strCache>
            </c:strRef>
          </c:cat>
          <c:val>
            <c:numRef>
              <c:f>Sheet1!$B$2:$B$4</c:f>
              <c:numCache>
                <c:formatCode>General</c:formatCode>
                <c:ptCount val="3"/>
                <c:pt idx="0">
                  <c:v>60.38</c:v>
                </c:pt>
                <c:pt idx="1">
                  <c:v>0.29</c:v>
                </c:pt>
                <c:pt idx="2">
                  <c:v>39.31</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r"/>
      <c:layout>
        <c:manualLayout>
          <c:xMode val="edge"/>
          <c:yMode val="edge"/>
          <c:x val="0.669064579063423"/>
          <c:y val="0.322748185888529"/>
          <c:w val="0.330935385885753"/>
          <c:h val="0.539340643167268"/>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支出决算百分比</c:v>
                </c:pt>
              </c:strCache>
            </c:strRef>
          </c:tx>
          <c:spPr/>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86.2</c:v>
                </c:pt>
                <c:pt idx="1">
                  <c:v>13.8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ltLang="en-US"/>
              <a:t>财政拨款收、支决算总计变动情况（万元）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2022</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Sheet1!$B$2:$B$3</c:f>
              <c:numCache>
                <c:formatCode>General</c:formatCode>
                <c:ptCount val="2"/>
                <c:pt idx="0">
                  <c:v>2097.16</c:v>
                </c:pt>
                <c:pt idx="1">
                  <c:v>2097.16</c:v>
                </c:pt>
              </c:numCache>
            </c:numRef>
          </c:val>
        </c:ser>
        <c:ser>
          <c:idx val="1"/>
          <c:order val="1"/>
          <c:tx>
            <c:strRef>
              <c:f>Sheet1!$C$1</c:f>
              <c:strCache>
                <c:ptCount val="1"/>
                <c:pt idx="0">
                  <c:v>2023</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财政拨款收入</c:v>
                </c:pt>
                <c:pt idx="1">
                  <c:v>财政拨款支出</c:v>
                </c:pt>
              </c:strCache>
            </c:strRef>
          </c:cat>
          <c:val>
            <c:numRef>
              <c:f>Sheet1!$C$2:$C$3</c:f>
              <c:numCache>
                <c:formatCode>General</c:formatCode>
                <c:ptCount val="2"/>
                <c:pt idx="0">
                  <c:v>2895.54</c:v>
                </c:pt>
                <c:pt idx="1">
                  <c:v>2895.54</c:v>
                </c:pt>
              </c:numCache>
            </c:numRef>
          </c:val>
        </c:ser>
        <c:dLbls>
          <c:showLegendKey val="0"/>
          <c:showVal val="1"/>
          <c:showCatName val="0"/>
          <c:showSerName val="0"/>
          <c:showPercent val="0"/>
          <c:showBubbleSize val="0"/>
        </c:dLbls>
        <c:gapWidth val="219"/>
        <c:overlap val="-27"/>
        <c:axId val="1934290495"/>
        <c:axId val="1934286335"/>
      </c:barChart>
      <c:catAx>
        <c:axId val="19342904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86335"/>
        <c:crosses val="autoZero"/>
        <c:auto val="1"/>
        <c:lblAlgn val="ctr"/>
        <c:lblOffset val="100"/>
        <c:noMultiLvlLbl val="0"/>
      </c:catAx>
      <c:valAx>
        <c:axId val="193428633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34290495"/>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a:t>一般公共预算财政拨款支出决算变动情况（万元）</a:t>
            </a:r>
            <a:endParaRPr 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2021</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2097.16</c:v>
                </c:pt>
              </c:numCache>
            </c:numRef>
          </c:val>
        </c:ser>
        <c:ser>
          <c:idx val="1"/>
          <c:order val="1"/>
          <c:tx>
            <c:strRef>
              <c:f>Sheet1!$C$1</c:f>
              <c:strCache>
                <c:ptCount val="1"/>
                <c:pt idx="0">
                  <c:v>2022</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2895.54</c:v>
                </c:pt>
              </c:numCache>
            </c:numRef>
          </c:val>
        </c:ser>
        <c:dLbls>
          <c:showLegendKey val="0"/>
          <c:showVal val="1"/>
          <c:showCatName val="0"/>
          <c:showSerName val="0"/>
          <c:showPercent val="0"/>
          <c:showBubbleSize val="0"/>
        </c:dLbls>
        <c:gapWidth val="219"/>
        <c:overlap val="-27"/>
        <c:axId val="450141423"/>
        <c:axId val="450141839"/>
      </c:barChart>
      <c:catAx>
        <c:axId val="450141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0141839"/>
        <c:crosses val="autoZero"/>
        <c:auto val="1"/>
        <c:lblAlgn val="ctr"/>
        <c:lblOffset val="100"/>
        <c:noMultiLvlLbl val="0"/>
      </c:catAx>
      <c:valAx>
        <c:axId val="4501418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50141423"/>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2023年一般公共预算财政拨款支出决算结构百分比</c:v>
                </c:pt>
              </c:strCache>
            </c:strRef>
          </c:tx>
          <c:spPr/>
          <c:explosion val="0"/>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Pt>
            <c:idx val="2"/>
            <c:bubble3D val="0"/>
            <c:spPr>
              <a:solidFill>
                <a:schemeClr val="accent4"/>
              </a:solidFill>
              <a:ln w="19050">
                <a:solidFill>
                  <a:schemeClr val="lt1"/>
                </a:solidFill>
              </a:ln>
              <a:effectLst/>
            </c:spPr>
          </c:dPt>
          <c:dLbls>
            <c:numFmt formatCode="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General</c:formatCode>
                <c:ptCount val="3"/>
                <c:pt idx="0">
                  <c:v>0.175</c:v>
                </c:pt>
                <c:pt idx="1">
                  <c:v>0.778</c:v>
                </c:pt>
                <c:pt idx="2">
                  <c:v>0.047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5337</Words>
  <Characters>5879</Characters>
  <Lines>52</Lines>
  <Paragraphs>14</Paragraphs>
  <TotalTime>14</TotalTime>
  <ScaleCrop>false</ScaleCrop>
  <LinksUpToDate>false</LinksUpToDate>
  <CharactersWithSpaces>6026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2024-10-24T01:30:00Z</dcterms:created>
  <dc:creator>Administrator</dc:creator>
  <cp:lastModifiedBy>Administrator</cp:lastModifiedBy>
  <dcterms:modified xsi:type="dcterms:W3CDTF">2024-10-27T02:32:45Z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297305A5DE084445A400BE4D1E1104CF_12</vt:lpwstr>
  </property>
</Properties>
</file>