
<file path=[Content_Types].xml><?xml version="1.0" encoding="utf-8"?>
<Types xmlns="http://schemas.openxmlformats.org/package/2006/content-types">
  <Default Extension="xml" ContentType="application/xml"/>
  <Default Extension="xls" ContentType="application/vnd.ms-exce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540F2">
      <w:pPr>
        <w:spacing w:line="600" w:lineRule="exact"/>
        <w:jc w:val="left"/>
        <w:outlineLvl w:val="0"/>
        <w:rPr>
          <w:rFonts w:ascii="方正小标宋简体" w:hAnsi="宋体" w:eastAsia="方正小标宋简体"/>
          <w:szCs w:val="21"/>
        </w:rPr>
      </w:pPr>
      <w:bookmarkStart w:id="0" w:name="_Toc15306267"/>
    </w:p>
    <w:p w14:paraId="09BDA36D">
      <w:pPr>
        <w:pStyle w:val="2"/>
        <w:spacing w:before="93"/>
      </w:pPr>
    </w:p>
    <w:p w14:paraId="2F795705">
      <w:pPr>
        <w:spacing w:line="600" w:lineRule="exact"/>
        <w:jc w:val="center"/>
        <w:outlineLvl w:val="0"/>
        <w:rPr>
          <w:rFonts w:ascii="方正小标宋简体" w:hAnsi="宋体" w:eastAsia="方正小标宋简体"/>
          <w:sz w:val="72"/>
          <w:szCs w:val="72"/>
        </w:rPr>
      </w:pPr>
    </w:p>
    <w:p w14:paraId="5B9607F0">
      <w:pPr>
        <w:spacing w:line="600" w:lineRule="exact"/>
        <w:jc w:val="center"/>
        <w:outlineLvl w:val="0"/>
        <w:rPr>
          <w:rFonts w:ascii="方正小标宋简体" w:hAnsi="宋体" w:eastAsia="方正小标宋简体"/>
          <w:sz w:val="44"/>
          <w:szCs w:val="44"/>
        </w:rPr>
      </w:pPr>
    </w:p>
    <w:p w14:paraId="1A4A9E26">
      <w:pPr>
        <w:tabs>
          <w:tab w:val="left" w:pos="2362"/>
          <w:tab w:val="center" w:pos="4213"/>
        </w:tabs>
        <w:adjustRightInd w:val="0"/>
        <w:snapToGrid w:val="0"/>
        <w:spacing w:line="360" w:lineRule="auto"/>
        <w:jc w:val="left"/>
        <w:outlineLvl w:val="0"/>
        <w:rPr>
          <w:rFonts w:ascii="方正小标宋简体" w:hAnsi="方正小标宋简体" w:eastAsia="方正小标宋简体" w:cs="方正小标宋简体"/>
          <w:sz w:val="44"/>
          <w:szCs w:val="44"/>
        </w:rPr>
      </w:pPr>
      <w:bookmarkStart w:id="1" w:name="_Toc15396475"/>
      <w:bookmarkStart w:id="2" w:name="_Toc15378441"/>
      <w:bookmarkStart w:id="3" w:name="_Toc15377425"/>
      <w:bookmarkStart w:id="4" w:name="_Toc15377193"/>
      <w:bookmarkStart w:id="5" w:name="_Toc15396597"/>
      <w:r>
        <w:rPr>
          <w:rFonts w:hint="eastAsia" w:ascii="方正小标宋简体" w:hAnsi="方正小标宋简体" w:eastAsia="方正小标宋简体" w:cs="方正小标宋简体"/>
          <w:sz w:val="44"/>
          <w:szCs w:val="44"/>
        </w:rPr>
        <w:tab/>
      </w:r>
      <w:r>
        <w:rPr>
          <w:rFonts w:hint="eastAsia" w:ascii="方正小标宋简体" w:hAnsi="方正小标宋简体" w:eastAsia="方正小标宋简体" w:cs="方正小标宋简体"/>
          <w:sz w:val="44"/>
          <w:szCs w:val="44"/>
        </w:rPr>
        <w:tab/>
      </w:r>
      <w:r>
        <w:rPr>
          <w:rFonts w:hint="eastAsia" w:ascii="方正小标宋简体" w:hAnsi="方正小标宋简体" w:eastAsia="方正小标宋简体" w:cs="方正小标宋简体"/>
          <w:sz w:val="44"/>
          <w:szCs w:val="44"/>
        </w:rPr>
        <w:t>2023年度</w:t>
      </w:r>
      <w:bookmarkEnd w:id="1"/>
      <w:bookmarkEnd w:id="2"/>
      <w:bookmarkEnd w:id="3"/>
      <w:bookmarkEnd w:id="4"/>
      <w:bookmarkEnd w:id="5"/>
    </w:p>
    <w:bookmarkEnd w:id="0"/>
    <w:p w14:paraId="08DF06B2">
      <w:pPr>
        <w:tabs>
          <w:tab w:val="center" w:pos="4213"/>
          <w:tab w:val="right" w:pos="8306"/>
        </w:tabs>
        <w:adjustRightInd w:val="0"/>
        <w:snapToGrid w:val="0"/>
        <w:spacing w:line="360" w:lineRule="auto"/>
        <w:jc w:val="left"/>
        <w:outlineLvl w:val="0"/>
        <w:rPr>
          <w:rFonts w:ascii="方正小标宋简体" w:hAnsi="方正小标宋简体" w:eastAsia="方正小标宋简体" w:cs="方正小标宋简体"/>
          <w:sz w:val="44"/>
          <w:szCs w:val="44"/>
        </w:rPr>
      </w:pPr>
      <w:bookmarkStart w:id="6" w:name="_Toc15396476"/>
      <w:bookmarkStart w:id="7" w:name="_Toc15377426"/>
      <w:bookmarkStart w:id="8" w:name="_Toc15378442"/>
      <w:bookmarkStart w:id="9" w:name="_Toc15377194"/>
      <w:bookmarkStart w:id="10" w:name="_Toc15306268"/>
      <w:bookmarkStart w:id="11" w:name="_Toc15396598"/>
      <w:r>
        <w:rPr>
          <w:rFonts w:hint="eastAsia" w:ascii="方正小标宋简体" w:hAnsi="方正小标宋简体" w:eastAsia="方正小标宋简体" w:cs="方正小标宋简体"/>
          <w:sz w:val="44"/>
          <w:szCs w:val="44"/>
        </w:rPr>
        <w:tab/>
      </w:r>
      <w:r>
        <w:rPr>
          <w:rFonts w:hint="eastAsia" w:ascii="方正小标宋简体" w:hAnsi="方正小标宋简体" w:eastAsia="方正小标宋简体" w:cs="方正小标宋简体"/>
          <w:sz w:val="44"/>
          <w:szCs w:val="44"/>
        </w:rPr>
        <w:t>盐边县温泉彝族乡卫生院</w:t>
      </w:r>
      <w:r>
        <w:rPr>
          <w:rFonts w:hint="eastAsia" w:ascii="方正小标宋简体" w:hAnsi="方正小标宋简体" w:eastAsia="方正小标宋简体" w:cs="方正小标宋简体"/>
          <w:sz w:val="44"/>
          <w:szCs w:val="44"/>
        </w:rPr>
        <w:tab/>
      </w:r>
    </w:p>
    <w:p w14:paraId="6BB47AAE">
      <w:pPr>
        <w:tabs>
          <w:tab w:val="left" w:pos="3516"/>
        </w:tabs>
        <w:adjustRightInd w:val="0"/>
        <w:snapToGrid w:val="0"/>
        <w:spacing w:line="360" w:lineRule="auto"/>
        <w:ind w:firstLine="3520" w:firstLineChars="800"/>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单位决算</w:t>
      </w:r>
      <w:bookmarkEnd w:id="6"/>
      <w:bookmarkEnd w:id="7"/>
      <w:bookmarkEnd w:id="8"/>
      <w:bookmarkEnd w:id="9"/>
      <w:bookmarkEnd w:id="10"/>
      <w:bookmarkEnd w:id="11"/>
    </w:p>
    <w:p w14:paraId="5C8FA62C">
      <w:pPr>
        <w:adjustRightInd w:val="0"/>
        <w:snapToGrid w:val="0"/>
        <w:spacing w:line="360" w:lineRule="auto"/>
        <w:jc w:val="center"/>
        <w:outlineLvl w:val="0"/>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 录</w:t>
      </w:r>
    </w:p>
    <w:p w14:paraId="2AB30E8E">
      <w:pPr>
        <w:pStyle w:val="12"/>
      </w:pPr>
      <w:r>
        <w:rPr>
          <w:rFonts w:hint="eastAsia"/>
        </w:rPr>
        <w:t>公开时间：202</w:t>
      </w:r>
      <w:r>
        <w:rPr>
          <w:rFonts w:hint="eastAsia"/>
          <w:lang w:val="en-US" w:eastAsia="zh-CN"/>
        </w:rPr>
        <w:t>4</w:t>
      </w:r>
      <w:r>
        <w:rPr>
          <w:rFonts w:hint="eastAsia"/>
        </w:rPr>
        <w:t>年10月28日</w:t>
      </w:r>
    </w:p>
    <w:p w14:paraId="3748FA6E"/>
    <w:p w14:paraId="3DC070C5">
      <w:pPr>
        <w:pStyle w:val="12"/>
        <w:adjustRightInd w:val="0"/>
        <w:snapToGrid w:val="0"/>
        <w:spacing w:before="0" w:line="440" w:lineRule="exact"/>
        <w:jc w:val="left"/>
        <w:rPr>
          <w:sz w:val="24"/>
          <w:szCs w:val="24"/>
        </w:rPr>
      </w:pPr>
      <w:r>
        <w:rPr>
          <w:rFonts w:hint="eastAsia"/>
          <w:sz w:val="24"/>
        </w:rPr>
        <w:t>第一部分</w:t>
      </w:r>
      <w:r>
        <w:rPr>
          <w:sz w:val="24"/>
        </w:rPr>
        <w:t xml:space="preserve"> </w:t>
      </w:r>
      <w:r>
        <w:rPr>
          <w:rFonts w:hint="eastAsia"/>
          <w:sz w:val="24"/>
        </w:rPr>
        <w:t>单位概况...................................................1</w:t>
      </w:r>
    </w:p>
    <w:p w14:paraId="3865E1DD">
      <w:pPr>
        <w:pStyle w:val="13"/>
        <w:adjustRightInd w:val="0"/>
        <w:snapToGrid w:val="0"/>
        <w:spacing w:line="440" w:lineRule="exact"/>
        <w:jc w:val="left"/>
        <w:rPr>
          <w:sz w:val="24"/>
        </w:rPr>
      </w:pPr>
      <w:r>
        <w:rPr>
          <w:rFonts w:hint="eastAsia"/>
          <w:sz w:val="24"/>
        </w:rPr>
        <w:t>一、主要职责..........................................................................................................1</w:t>
      </w:r>
    </w:p>
    <w:p w14:paraId="4EFA07E1">
      <w:pPr>
        <w:pStyle w:val="13"/>
        <w:adjustRightInd w:val="0"/>
        <w:snapToGrid w:val="0"/>
        <w:spacing w:line="440" w:lineRule="exact"/>
        <w:jc w:val="left"/>
      </w:pPr>
      <w:r>
        <w:rPr>
          <w:rFonts w:hint="eastAsia"/>
          <w:sz w:val="24"/>
        </w:rPr>
        <w:t>二、机构设置..........................................................................................................1</w:t>
      </w:r>
    </w:p>
    <w:p w14:paraId="0E9B14F6">
      <w:pPr>
        <w:pStyle w:val="12"/>
        <w:adjustRightInd w:val="0"/>
        <w:snapToGrid w:val="0"/>
        <w:spacing w:before="0" w:line="440" w:lineRule="exact"/>
        <w:jc w:val="left"/>
        <w:rPr>
          <w:sz w:val="24"/>
          <w:szCs w:val="24"/>
        </w:rPr>
      </w:pPr>
      <w:r>
        <w:rPr>
          <w:rFonts w:hint="eastAsia"/>
          <w:sz w:val="24"/>
        </w:rPr>
        <w:t>第二部分 2023年度单位决算情况说明..................................2</w:t>
      </w:r>
    </w:p>
    <w:p w14:paraId="7CAE8D35">
      <w:pPr>
        <w:pStyle w:val="13"/>
        <w:adjustRightInd w:val="0"/>
        <w:snapToGrid w:val="0"/>
        <w:spacing w:line="440" w:lineRule="exact"/>
        <w:jc w:val="left"/>
        <w:rPr>
          <w:rFonts w:ascii="仿宋" w:hAnsi="仿宋"/>
          <w:sz w:val="24"/>
        </w:rPr>
      </w:pPr>
      <w:r>
        <w:rPr>
          <w:rFonts w:hint="eastAsia"/>
          <w:sz w:val="24"/>
        </w:rPr>
        <w:t>一、收入支出决算总体情况说明..........................................................................2</w:t>
      </w:r>
    </w:p>
    <w:p w14:paraId="1188021C">
      <w:pPr>
        <w:pStyle w:val="13"/>
        <w:adjustRightInd w:val="0"/>
        <w:snapToGrid w:val="0"/>
        <w:spacing w:line="440" w:lineRule="exact"/>
        <w:jc w:val="left"/>
        <w:rPr>
          <w:rFonts w:ascii="仿宋" w:hAnsi="仿宋"/>
          <w:sz w:val="24"/>
        </w:rPr>
      </w:pPr>
      <w:r>
        <w:rPr>
          <w:rFonts w:hint="eastAsia"/>
          <w:sz w:val="24"/>
        </w:rPr>
        <w:t>二、收入决算情况说明..........................................................................................3</w:t>
      </w:r>
    </w:p>
    <w:p w14:paraId="0FFEF8FB">
      <w:pPr>
        <w:pStyle w:val="13"/>
        <w:adjustRightInd w:val="0"/>
        <w:snapToGrid w:val="0"/>
        <w:spacing w:line="440" w:lineRule="exact"/>
        <w:jc w:val="left"/>
        <w:rPr>
          <w:rFonts w:ascii="仿宋" w:hAnsi="仿宋"/>
          <w:sz w:val="24"/>
        </w:rPr>
      </w:pPr>
      <w:r>
        <w:rPr>
          <w:rFonts w:hint="eastAsia"/>
          <w:sz w:val="24"/>
        </w:rPr>
        <w:t>三、支出决算情况说明..........................................................................................3</w:t>
      </w:r>
    </w:p>
    <w:p w14:paraId="49B8B49F">
      <w:pPr>
        <w:pStyle w:val="13"/>
        <w:adjustRightInd w:val="0"/>
        <w:snapToGrid w:val="0"/>
        <w:spacing w:line="440" w:lineRule="exact"/>
        <w:jc w:val="left"/>
        <w:rPr>
          <w:rFonts w:ascii="仿宋" w:hAnsi="仿宋"/>
          <w:sz w:val="24"/>
        </w:rPr>
      </w:pPr>
      <w:r>
        <w:rPr>
          <w:rFonts w:hint="eastAsia"/>
          <w:sz w:val="24"/>
        </w:rPr>
        <w:t>四、财政拨款收入支出决算总体情况说明..........................................................4</w:t>
      </w:r>
    </w:p>
    <w:p w14:paraId="5680069B">
      <w:pPr>
        <w:pStyle w:val="13"/>
        <w:adjustRightInd w:val="0"/>
        <w:snapToGrid w:val="0"/>
        <w:spacing w:line="440" w:lineRule="exact"/>
        <w:jc w:val="left"/>
        <w:rPr>
          <w:rFonts w:ascii="仿宋" w:hAnsi="仿宋" w:eastAsia="仿宋"/>
          <w:sz w:val="24"/>
        </w:rPr>
      </w:pPr>
      <w:r>
        <w:rPr>
          <w:rFonts w:hint="eastAsia"/>
          <w:sz w:val="24"/>
        </w:rPr>
        <w:t>五、一般公共预算财政拨款支出决算情况说明..................................................5</w:t>
      </w:r>
    </w:p>
    <w:p w14:paraId="5392FB32">
      <w:pPr>
        <w:pStyle w:val="13"/>
        <w:adjustRightInd w:val="0"/>
        <w:snapToGrid w:val="0"/>
        <w:spacing w:line="440" w:lineRule="exact"/>
        <w:jc w:val="left"/>
        <w:rPr>
          <w:rFonts w:ascii="仿宋" w:hAnsi="仿宋" w:eastAsia="仿宋"/>
          <w:sz w:val="24"/>
        </w:rPr>
      </w:pPr>
      <w:r>
        <w:rPr>
          <w:rFonts w:hint="eastAsia"/>
          <w:sz w:val="24"/>
        </w:rPr>
        <w:t>六、一般公共预算财政拨款基本支出决算情况说明..........................................8</w:t>
      </w:r>
    </w:p>
    <w:p w14:paraId="34B6F82E">
      <w:pPr>
        <w:pStyle w:val="13"/>
        <w:adjustRightInd w:val="0"/>
        <w:snapToGrid w:val="0"/>
        <w:spacing w:line="440" w:lineRule="exact"/>
        <w:jc w:val="left"/>
        <w:rPr>
          <w:rFonts w:ascii="仿宋" w:hAnsi="仿宋" w:eastAsia="仿宋"/>
          <w:sz w:val="24"/>
        </w:rPr>
      </w:pPr>
      <w:r>
        <w:rPr>
          <w:rFonts w:hint="eastAsia"/>
          <w:sz w:val="24"/>
        </w:rPr>
        <w:t>七、财政拨款“三公”经费支出决算情况说明......................................................9</w:t>
      </w:r>
    </w:p>
    <w:p w14:paraId="161FE8ED">
      <w:pPr>
        <w:pStyle w:val="13"/>
        <w:adjustRightInd w:val="0"/>
        <w:snapToGrid w:val="0"/>
        <w:spacing w:line="440" w:lineRule="exact"/>
        <w:jc w:val="left"/>
        <w:rPr>
          <w:rFonts w:ascii="仿宋" w:hAnsi="仿宋" w:eastAsia="仿宋"/>
          <w:sz w:val="24"/>
        </w:rPr>
      </w:pPr>
      <w:r>
        <w:rPr>
          <w:rFonts w:hint="eastAsia"/>
          <w:sz w:val="24"/>
        </w:rPr>
        <w:t>八、政府性基金预算支出决算情况说明............................................................10</w:t>
      </w:r>
    </w:p>
    <w:p w14:paraId="5235501D">
      <w:pPr>
        <w:pStyle w:val="13"/>
        <w:adjustRightInd w:val="0"/>
        <w:snapToGrid w:val="0"/>
        <w:spacing w:line="440" w:lineRule="exact"/>
        <w:jc w:val="left"/>
        <w:rPr>
          <w:sz w:val="24"/>
        </w:rPr>
      </w:pPr>
      <w:r>
        <w:rPr>
          <w:rFonts w:hint="eastAsia"/>
          <w:sz w:val="24"/>
        </w:rPr>
        <w:t>九、国有资本经营预算支出决算情况说明........................................................10</w:t>
      </w:r>
    </w:p>
    <w:p w14:paraId="5FF5E1D4">
      <w:pPr>
        <w:pStyle w:val="13"/>
        <w:adjustRightInd w:val="0"/>
        <w:snapToGrid w:val="0"/>
        <w:spacing w:line="440" w:lineRule="exact"/>
        <w:jc w:val="left"/>
        <w:rPr>
          <w:sz w:val="24"/>
        </w:rPr>
      </w:pPr>
      <w:r>
        <w:rPr>
          <w:rFonts w:hint="eastAsia"/>
          <w:sz w:val="24"/>
        </w:rPr>
        <w:t>十、其他重要事项的情况说明............................................................................10</w:t>
      </w:r>
    </w:p>
    <w:p w14:paraId="4E3FEF52">
      <w:pPr>
        <w:pStyle w:val="13"/>
        <w:adjustRightInd w:val="0"/>
        <w:snapToGrid w:val="0"/>
        <w:spacing w:line="440" w:lineRule="exact"/>
        <w:jc w:val="left"/>
        <w:rPr>
          <w:sz w:val="24"/>
        </w:rPr>
      </w:pPr>
      <w:r>
        <w:rPr>
          <w:rFonts w:hint="eastAsia"/>
          <w:sz w:val="24"/>
        </w:rPr>
        <w:t>第三部分</w:t>
      </w:r>
      <w:r>
        <w:rPr>
          <w:sz w:val="24"/>
        </w:rPr>
        <w:t xml:space="preserve"> </w:t>
      </w:r>
      <w:r>
        <w:rPr>
          <w:rFonts w:hint="eastAsia"/>
          <w:sz w:val="24"/>
        </w:rPr>
        <w:t>名词解释............................................................................................ 11</w:t>
      </w:r>
    </w:p>
    <w:p w14:paraId="07830BC7">
      <w:pPr>
        <w:pStyle w:val="12"/>
        <w:adjustRightInd w:val="0"/>
        <w:snapToGrid w:val="0"/>
        <w:spacing w:before="0" w:line="440" w:lineRule="exact"/>
        <w:jc w:val="left"/>
        <w:rPr>
          <w:sz w:val="24"/>
          <w:szCs w:val="24"/>
        </w:rPr>
      </w:pPr>
      <w:r>
        <w:rPr>
          <w:rFonts w:hint="eastAsia"/>
          <w:sz w:val="24"/>
        </w:rPr>
        <w:t>第四部分</w:t>
      </w:r>
      <w:r>
        <w:rPr>
          <w:sz w:val="24"/>
        </w:rPr>
        <w:t xml:space="preserve"> </w:t>
      </w:r>
      <w:r>
        <w:rPr>
          <w:rFonts w:hint="eastAsia"/>
          <w:sz w:val="24"/>
        </w:rPr>
        <w:t>附件......................................................14</w:t>
      </w:r>
    </w:p>
    <w:p w14:paraId="3EF6057A">
      <w:pPr>
        <w:pStyle w:val="12"/>
        <w:adjustRightInd w:val="0"/>
        <w:snapToGrid w:val="0"/>
        <w:spacing w:before="0" w:line="440" w:lineRule="exact"/>
        <w:jc w:val="left"/>
        <w:rPr>
          <w:sz w:val="24"/>
          <w:szCs w:val="24"/>
        </w:rPr>
      </w:pPr>
      <w:r>
        <w:rPr>
          <w:rFonts w:hint="eastAsia"/>
          <w:sz w:val="24"/>
        </w:rPr>
        <w:t>第五部分</w:t>
      </w:r>
      <w:r>
        <w:rPr>
          <w:sz w:val="24"/>
        </w:rPr>
        <w:t xml:space="preserve"> </w:t>
      </w:r>
      <w:r>
        <w:rPr>
          <w:rFonts w:hint="eastAsia"/>
          <w:sz w:val="24"/>
        </w:rPr>
        <w:t>附表......................................................15</w:t>
      </w:r>
    </w:p>
    <w:p w14:paraId="0D108BD6">
      <w:pPr>
        <w:pStyle w:val="13"/>
        <w:adjustRightInd w:val="0"/>
        <w:snapToGrid w:val="0"/>
        <w:spacing w:line="440" w:lineRule="exact"/>
        <w:jc w:val="left"/>
        <w:rPr>
          <w:sz w:val="24"/>
        </w:rPr>
      </w:pPr>
      <w:r>
        <w:rPr>
          <w:rFonts w:hint="eastAsia"/>
          <w:sz w:val="24"/>
        </w:rPr>
        <w:t>一、收入支出决算总表........................................................................................15</w:t>
      </w:r>
    </w:p>
    <w:p w14:paraId="04E0185D">
      <w:pPr>
        <w:pStyle w:val="13"/>
        <w:adjustRightInd w:val="0"/>
        <w:snapToGrid w:val="0"/>
        <w:spacing w:line="440" w:lineRule="exact"/>
        <w:jc w:val="left"/>
        <w:rPr>
          <w:sz w:val="24"/>
        </w:rPr>
      </w:pPr>
      <w:r>
        <w:rPr>
          <w:rFonts w:hint="eastAsia"/>
          <w:sz w:val="24"/>
        </w:rPr>
        <w:t>二、收入决算表....................................................................................................15</w:t>
      </w:r>
    </w:p>
    <w:p w14:paraId="0B94AF66">
      <w:pPr>
        <w:pStyle w:val="13"/>
        <w:adjustRightInd w:val="0"/>
        <w:snapToGrid w:val="0"/>
        <w:spacing w:line="440" w:lineRule="exact"/>
        <w:jc w:val="left"/>
        <w:rPr>
          <w:sz w:val="24"/>
        </w:rPr>
      </w:pPr>
      <w:r>
        <w:rPr>
          <w:rFonts w:hint="eastAsia"/>
          <w:sz w:val="24"/>
        </w:rPr>
        <w:t>三、支出决算表....................................................................................................15</w:t>
      </w:r>
    </w:p>
    <w:p w14:paraId="562C4390">
      <w:pPr>
        <w:pStyle w:val="13"/>
        <w:adjustRightInd w:val="0"/>
        <w:snapToGrid w:val="0"/>
        <w:spacing w:line="440" w:lineRule="exact"/>
        <w:jc w:val="left"/>
        <w:rPr>
          <w:sz w:val="24"/>
        </w:rPr>
      </w:pPr>
      <w:r>
        <w:rPr>
          <w:rFonts w:hint="eastAsia"/>
          <w:sz w:val="24"/>
        </w:rPr>
        <w:t>四、财政拨款收入支出决算总表........................................................................15</w:t>
      </w:r>
    </w:p>
    <w:p w14:paraId="6EBBD8A9">
      <w:pPr>
        <w:pStyle w:val="13"/>
        <w:adjustRightInd w:val="0"/>
        <w:snapToGrid w:val="0"/>
        <w:spacing w:line="440" w:lineRule="exact"/>
        <w:jc w:val="left"/>
        <w:rPr>
          <w:sz w:val="24"/>
        </w:rPr>
      </w:pPr>
      <w:r>
        <w:rPr>
          <w:rFonts w:hint="eastAsia"/>
          <w:sz w:val="24"/>
        </w:rPr>
        <w:t>五、财政拨款支出决算明细表............................................................................15</w:t>
      </w:r>
    </w:p>
    <w:p w14:paraId="284E8F2F">
      <w:pPr>
        <w:pStyle w:val="13"/>
        <w:adjustRightInd w:val="0"/>
        <w:snapToGrid w:val="0"/>
        <w:spacing w:line="440" w:lineRule="exact"/>
        <w:jc w:val="left"/>
        <w:rPr>
          <w:sz w:val="24"/>
        </w:rPr>
      </w:pPr>
      <w:r>
        <w:rPr>
          <w:rFonts w:hint="eastAsia"/>
          <w:sz w:val="24"/>
        </w:rPr>
        <w:t>六、一般公共预算财政拨款支出决算表............................................................15</w:t>
      </w:r>
    </w:p>
    <w:p w14:paraId="799B42DE">
      <w:pPr>
        <w:pStyle w:val="13"/>
        <w:adjustRightInd w:val="0"/>
        <w:snapToGrid w:val="0"/>
        <w:spacing w:line="440" w:lineRule="exact"/>
        <w:jc w:val="left"/>
        <w:rPr>
          <w:sz w:val="24"/>
        </w:rPr>
      </w:pPr>
      <w:r>
        <w:rPr>
          <w:rFonts w:hint="eastAsia"/>
          <w:sz w:val="24"/>
        </w:rPr>
        <w:t>七、一般公共预算财政拨款支出决算明细表....................................................15</w:t>
      </w:r>
    </w:p>
    <w:p w14:paraId="234BEFE3">
      <w:pPr>
        <w:pStyle w:val="13"/>
        <w:adjustRightInd w:val="0"/>
        <w:snapToGrid w:val="0"/>
        <w:spacing w:line="440" w:lineRule="exact"/>
        <w:jc w:val="left"/>
        <w:rPr>
          <w:sz w:val="24"/>
        </w:rPr>
      </w:pPr>
      <w:r>
        <w:rPr>
          <w:rFonts w:hint="eastAsia"/>
          <w:sz w:val="24"/>
        </w:rPr>
        <w:t>八、一般公共预算财政拨款基本支出决算明细表............................................15</w:t>
      </w:r>
    </w:p>
    <w:p w14:paraId="17D9DA58">
      <w:pPr>
        <w:pStyle w:val="13"/>
        <w:adjustRightInd w:val="0"/>
        <w:snapToGrid w:val="0"/>
        <w:spacing w:line="440" w:lineRule="exact"/>
        <w:jc w:val="left"/>
        <w:rPr>
          <w:sz w:val="24"/>
        </w:rPr>
        <w:sectPr>
          <w:footerReference r:id="rId3" w:type="default"/>
          <w:pgSz w:w="11906" w:h="16838"/>
          <w:pgMar w:top="1440" w:right="1800" w:bottom="1440" w:left="1800" w:header="720" w:footer="720" w:gutter="0"/>
          <w:pgNumType w:start="1"/>
          <w:cols w:space="720" w:num="1"/>
          <w:docGrid w:type="lines" w:linePitch="312" w:charSpace="0"/>
        </w:sectPr>
      </w:pPr>
      <w:r>
        <w:rPr>
          <w:rFonts w:hint="eastAsia"/>
          <w:sz w:val="24"/>
        </w:rPr>
        <w:t>九、一般公共预算财政拨款项目支出决算表....................................................15</w:t>
      </w:r>
    </w:p>
    <w:p w14:paraId="38281600">
      <w:pPr>
        <w:pStyle w:val="13"/>
        <w:adjustRightInd w:val="0"/>
        <w:snapToGrid w:val="0"/>
        <w:spacing w:line="440" w:lineRule="exact"/>
        <w:jc w:val="left"/>
        <w:rPr>
          <w:sz w:val="24"/>
        </w:rPr>
      </w:pPr>
      <w:r>
        <w:rPr>
          <w:rFonts w:hint="eastAsia"/>
          <w:sz w:val="24"/>
        </w:rPr>
        <w:t>十、政府性基金预算财政拨款收入支出决算表................................................16</w:t>
      </w:r>
    </w:p>
    <w:p w14:paraId="57682013">
      <w:pPr>
        <w:pStyle w:val="13"/>
        <w:adjustRightInd w:val="0"/>
        <w:snapToGrid w:val="0"/>
        <w:spacing w:line="440" w:lineRule="exact"/>
        <w:jc w:val="left"/>
        <w:rPr>
          <w:sz w:val="24"/>
        </w:rPr>
      </w:pPr>
      <w:r>
        <w:rPr>
          <w:rFonts w:hint="eastAsia"/>
          <w:sz w:val="24"/>
        </w:rPr>
        <w:t>十一、国有资本经营预算财政拨款收入支出决算表........................................16</w:t>
      </w:r>
    </w:p>
    <w:p w14:paraId="32425F11">
      <w:pPr>
        <w:pStyle w:val="13"/>
        <w:adjustRightInd w:val="0"/>
        <w:snapToGrid w:val="0"/>
        <w:spacing w:line="440" w:lineRule="exact"/>
        <w:jc w:val="left"/>
        <w:rPr>
          <w:rFonts w:ascii="仿宋" w:hAnsi="仿宋" w:eastAsia="仿宋"/>
          <w:bCs/>
          <w:kern w:val="44"/>
          <w:sz w:val="24"/>
        </w:rPr>
        <w:sectPr>
          <w:footerReference r:id="rId4" w:type="default"/>
          <w:pgSz w:w="11906" w:h="16838"/>
          <w:pgMar w:top="1440" w:right="1800" w:bottom="1440" w:left="1800" w:header="720" w:footer="720" w:gutter="0"/>
          <w:pgNumType w:start="0"/>
          <w:cols w:space="720" w:num="1"/>
          <w:docGrid w:type="lines" w:linePitch="312" w:charSpace="0"/>
        </w:sectPr>
      </w:pPr>
      <w:r>
        <w:rPr>
          <w:rFonts w:hint="eastAsia"/>
          <w:sz w:val="24"/>
        </w:rPr>
        <w:t>十二、国有资本经营预算财政拨款支出决算表................................................16十三、财政拨款“三公”经费支出决算表............................................................16</w:t>
      </w:r>
    </w:p>
    <w:p w14:paraId="1734E962">
      <w:pPr>
        <w:pStyle w:val="3"/>
        <w:tabs>
          <w:tab w:val="left" w:pos="2113"/>
          <w:tab w:val="center" w:pos="4213"/>
        </w:tabs>
        <w:ind w:firstLine="1760" w:firstLineChars="400"/>
        <w:jc w:val="left"/>
        <w:rPr>
          <w:rStyle w:val="28"/>
          <w:rFonts w:ascii="黑体" w:hAnsi="黑体" w:eastAsia="黑体"/>
          <w:b/>
          <w:bCs w:val="0"/>
        </w:rPr>
      </w:pPr>
      <w:bookmarkStart w:id="12" w:name="_Toc15396599"/>
      <w:bookmarkStart w:id="13" w:name="_Toc15377196"/>
      <w:r>
        <w:rPr>
          <w:rFonts w:hint="eastAsia" w:ascii="黑体" w:hAnsi="黑体" w:eastAsia="黑体"/>
          <w:b w:val="0"/>
        </w:rPr>
        <w:t>第一部分 单位</w:t>
      </w:r>
      <w:r>
        <w:rPr>
          <w:rStyle w:val="28"/>
          <w:rFonts w:hint="eastAsia" w:ascii="黑体" w:hAnsi="黑体" w:eastAsia="黑体"/>
          <w:b w:val="0"/>
          <w:bCs w:val="0"/>
        </w:rPr>
        <w:t>概况</w:t>
      </w:r>
      <w:bookmarkEnd w:id="12"/>
      <w:bookmarkEnd w:id="13"/>
    </w:p>
    <w:p w14:paraId="1E747CA4">
      <w:pPr>
        <w:snapToGrid w:val="0"/>
        <w:spacing w:line="360" w:lineRule="auto"/>
        <w:ind w:firstLine="640" w:firstLineChars="200"/>
        <w:rPr>
          <w:rFonts w:ascii="黑体" w:hAnsi="黑体" w:eastAsia="黑体" w:cs="黑体"/>
          <w:sz w:val="32"/>
          <w:szCs w:val="32"/>
        </w:rPr>
      </w:pPr>
      <w:r>
        <w:rPr>
          <w:rStyle w:val="34"/>
          <w:rFonts w:hint="eastAsia" w:ascii="黑体" w:hAnsi="黑体" w:eastAsia="黑体"/>
          <w:b w:val="0"/>
          <w:bCs w:val="0"/>
        </w:rPr>
        <w:t>一、</w:t>
      </w:r>
      <w:r>
        <w:rPr>
          <w:rFonts w:hint="eastAsia" w:ascii="黑体" w:hAnsi="黑体" w:eastAsia="黑体" w:cs="黑体"/>
          <w:sz w:val="32"/>
          <w:szCs w:val="32"/>
        </w:rPr>
        <w:t>主要职责。</w:t>
      </w:r>
    </w:p>
    <w:p w14:paraId="42EA35DD">
      <w:pPr>
        <w:pStyle w:val="4"/>
        <w:spacing w:line="560" w:lineRule="exact"/>
        <w:ind w:firstLine="640" w:firstLineChars="200"/>
        <w:rPr>
          <w:rFonts w:ascii="仿宋" w:hAnsi="仿宋" w:eastAsia="仿宋" w:cs="Times New Roman"/>
          <w:b w:val="0"/>
          <w:bCs w:val="0"/>
        </w:rPr>
      </w:pPr>
      <w:r>
        <w:rPr>
          <w:rFonts w:ascii="仿宋" w:hAnsi="仿宋" w:eastAsia="仿宋" w:cs="Times New Roman"/>
          <w:b w:val="0"/>
          <w:bCs w:val="0"/>
        </w:rPr>
        <w:t>盐边县</w:t>
      </w:r>
      <w:r>
        <w:rPr>
          <w:rFonts w:hint="eastAsia" w:ascii="仿宋" w:hAnsi="仿宋" w:eastAsia="仿宋" w:cs="Times New Roman"/>
          <w:b w:val="0"/>
          <w:bCs w:val="0"/>
        </w:rPr>
        <w:t>温泉彝族乡卫生院</w:t>
      </w:r>
      <w:r>
        <w:rPr>
          <w:rFonts w:ascii="仿宋" w:hAnsi="仿宋" w:eastAsia="仿宋" w:cs="Times New Roman"/>
          <w:b w:val="0"/>
          <w:bCs w:val="0"/>
        </w:rPr>
        <w:t>卫生院属于财政拨款单位，承担本辖区内围产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优生健康检查项目等任务；负责对村医生及计生服务人员提供业务培训指导。</w:t>
      </w:r>
    </w:p>
    <w:p w14:paraId="432E197F">
      <w:pPr>
        <w:snapToGrid w:val="0"/>
        <w:spacing w:line="360" w:lineRule="auto"/>
        <w:ind w:firstLine="640" w:firstLineChars="200"/>
        <w:rPr>
          <w:rStyle w:val="34"/>
          <w:rFonts w:ascii="黑体" w:hAnsi="黑体" w:eastAsia="黑体"/>
          <w:b w:val="0"/>
          <w:bCs w:val="0"/>
        </w:rPr>
      </w:pPr>
      <w:r>
        <w:rPr>
          <w:rStyle w:val="34"/>
          <w:rFonts w:hint="eastAsia" w:ascii="黑体" w:hAnsi="黑体" w:eastAsia="黑体"/>
          <w:b w:val="0"/>
          <w:bCs w:val="0"/>
        </w:rPr>
        <w:t>二、机构设置</w:t>
      </w:r>
    </w:p>
    <w:p w14:paraId="22C0F1E1">
      <w:pPr>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设有内科、外科、妇儿科、治疗室、观察室、公共卫生科、预防接种室、保健室、办公室、财务室等专业科室及综合管理业务科室，设置病床7张，本年机构无变化情况。</w:t>
      </w:r>
    </w:p>
    <w:p w14:paraId="51DAE9A7">
      <w:pPr>
        <w:widowControl/>
        <w:jc w:val="left"/>
        <w:rPr>
          <w:rFonts w:ascii="仿宋" w:hAnsi="仿宋" w:eastAsia="仿宋"/>
          <w:sz w:val="32"/>
          <w:szCs w:val="32"/>
        </w:rPr>
      </w:pPr>
      <w:r>
        <w:rPr>
          <w:rFonts w:ascii="仿宋" w:hAnsi="仿宋" w:eastAsia="仿宋"/>
          <w:sz w:val="32"/>
          <w:szCs w:val="32"/>
        </w:rPr>
        <w:br w:type="page"/>
      </w:r>
    </w:p>
    <w:p w14:paraId="1F523059">
      <w:pPr>
        <w:jc w:val="left"/>
      </w:pPr>
    </w:p>
    <w:p w14:paraId="38B2683D">
      <w:pPr>
        <w:pStyle w:val="3"/>
        <w:ind w:right="440"/>
        <w:jc w:val="center"/>
        <w:rPr>
          <w:rStyle w:val="28"/>
          <w:rFonts w:ascii="黑体" w:hAnsi="黑体" w:eastAsia="黑体"/>
          <w:b w:val="0"/>
          <w:bCs/>
        </w:rPr>
      </w:pPr>
      <w:bookmarkStart w:id="14" w:name="_Toc15396602"/>
      <w:bookmarkStart w:id="15" w:name="_Toc15377204"/>
      <w:r>
        <w:rPr>
          <w:rFonts w:hint="eastAsia" w:ascii="黑体" w:hAnsi="黑体" w:eastAsia="黑体"/>
          <w:b w:val="0"/>
        </w:rPr>
        <w:t>第二部分 2023年度</w:t>
      </w:r>
      <w:r>
        <w:rPr>
          <w:rStyle w:val="28"/>
          <w:rFonts w:hint="eastAsia" w:ascii="黑体" w:hAnsi="黑体" w:eastAsia="黑体"/>
          <w:b w:val="0"/>
          <w:bCs/>
        </w:rPr>
        <w:t>单位决算情况说明</w:t>
      </w:r>
      <w:bookmarkEnd w:id="14"/>
      <w:bookmarkEnd w:id="15"/>
    </w:p>
    <w:p w14:paraId="70392499"/>
    <w:p w14:paraId="4C75B147">
      <w:pPr>
        <w:pStyle w:val="27"/>
        <w:numPr>
          <w:ilvl w:val="0"/>
          <w:numId w:val="1"/>
        </w:numPr>
        <w:spacing w:line="600" w:lineRule="exact"/>
        <w:ind w:firstLineChars="0"/>
        <w:outlineLvl w:val="1"/>
        <w:rPr>
          <w:rStyle w:val="29"/>
          <w:rFonts w:ascii="黑体" w:hAnsi="黑体" w:eastAsia="黑体"/>
          <w:b w:val="0"/>
        </w:rPr>
      </w:pPr>
      <w:bookmarkStart w:id="16" w:name="_Toc15377205"/>
      <w:bookmarkStart w:id="17" w:name="_Toc15396603"/>
      <w:r>
        <w:rPr>
          <w:rFonts w:hint="eastAsia" w:ascii="黑体" w:hAnsi="黑体" w:eastAsia="黑体"/>
          <w:sz w:val="32"/>
          <w:szCs w:val="32"/>
        </w:rPr>
        <w:t>收</w:t>
      </w:r>
      <w:r>
        <w:rPr>
          <w:rStyle w:val="29"/>
          <w:rFonts w:hint="eastAsia" w:ascii="黑体" w:hAnsi="黑体" w:eastAsia="黑体"/>
          <w:b w:val="0"/>
        </w:rPr>
        <w:t>入支出决算总体情况说明</w:t>
      </w:r>
      <w:bookmarkEnd w:id="16"/>
      <w:bookmarkEnd w:id="17"/>
    </w:p>
    <w:p w14:paraId="52FAEBB4">
      <w:pPr>
        <w:spacing w:line="600" w:lineRule="exact"/>
        <w:ind w:firstLine="640" w:firstLineChars="200"/>
        <w:rPr>
          <w:rFonts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Cs/>
          <w:sz w:val="32"/>
          <w:szCs w:val="32"/>
        </w:rPr>
        <w:t>193.21万元。与2022年度收支总计均为199.92万元相比，收、支总计各减</w:t>
      </w:r>
      <w:r>
        <w:rPr>
          <w:rFonts w:hint="eastAsia" w:ascii="仿宋" w:hAnsi="仿宋" w:eastAsia="仿宋"/>
          <w:sz w:val="32"/>
          <w:szCs w:val="32"/>
        </w:rPr>
        <w:t>少6.71万元，下降3.47</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_GB2312" w:eastAsia="仿宋_GB2312"/>
          <w:sz w:val="32"/>
          <w:szCs w:val="32"/>
        </w:rPr>
        <w:t>基本医疗收入减少，医院各类开支减少，收入支出随之</w:t>
      </w:r>
      <w:r>
        <w:rPr>
          <w:rFonts w:hint="eastAsia" w:ascii="仿宋_GB2312" w:hAnsi="仿宋_GB2312" w:eastAsia="仿宋_GB2312"/>
          <w:sz w:val="32"/>
          <w:szCs w:val="32"/>
          <w:highlight w:val="yellow"/>
        </w:rPr>
        <w:t>减少。</w:t>
      </w:r>
    </w:p>
    <w:p w14:paraId="3744A561">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14:paraId="535376EE">
      <w:pPr>
        <w:tabs>
          <w:tab w:val="left" w:pos="1745"/>
        </w:tabs>
        <w:spacing w:line="600" w:lineRule="exact"/>
        <w:ind w:firstLine="420" w:firstLineChars="200"/>
        <w:jc w:val="left"/>
        <w:rPr>
          <w:rFonts w:ascii="仿宋_GB2312" w:eastAsia="仿宋_GB2312"/>
          <w:sz w:val="32"/>
          <w:szCs w:val="32"/>
        </w:rPr>
      </w:pPr>
      <w:r>
        <w:drawing>
          <wp:anchor distT="0" distB="0" distL="114300" distR="114300" simplePos="0" relativeHeight="251659264" behindDoc="0" locked="0" layoutInCell="1" allowOverlap="1">
            <wp:simplePos x="0" y="0"/>
            <wp:positionH relativeFrom="column">
              <wp:posOffset>-293370</wp:posOffset>
            </wp:positionH>
            <wp:positionV relativeFrom="paragraph">
              <wp:posOffset>194945</wp:posOffset>
            </wp:positionV>
            <wp:extent cx="5271135" cy="1717675"/>
            <wp:effectExtent l="4445" t="4445" r="20320" b="11430"/>
            <wp:wrapNone/>
            <wp:docPr id="3" name="图表 1" descr="7b0a202020202263686172745265734964223a20223230343736303833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ascii="仿宋_GB2312" w:eastAsia="仿宋_GB2312"/>
          <w:sz w:val="32"/>
          <w:szCs w:val="32"/>
        </w:rPr>
        <w:tab/>
      </w:r>
    </w:p>
    <w:p w14:paraId="7E50AA4A">
      <w:pPr>
        <w:pStyle w:val="19"/>
        <w:rPr>
          <w:rFonts w:ascii="仿宋_GB2312" w:eastAsia="仿宋_GB2312"/>
          <w:sz w:val="32"/>
          <w:szCs w:val="32"/>
        </w:rPr>
      </w:pPr>
    </w:p>
    <w:p w14:paraId="701EB58B"/>
    <w:p w14:paraId="6BB2EB03">
      <w:pPr>
        <w:pStyle w:val="19"/>
      </w:pPr>
    </w:p>
    <w:p w14:paraId="749BE12E"/>
    <w:p w14:paraId="04114D74">
      <w:pPr>
        <w:pStyle w:val="27"/>
        <w:numPr>
          <w:ilvl w:val="0"/>
          <w:numId w:val="1"/>
        </w:numPr>
        <w:spacing w:line="600" w:lineRule="exact"/>
        <w:ind w:firstLineChars="0"/>
        <w:outlineLvl w:val="1"/>
        <w:rPr>
          <w:rStyle w:val="29"/>
          <w:rFonts w:ascii="黑体" w:hAnsi="黑体" w:eastAsia="黑体"/>
          <w:b w:val="0"/>
        </w:rPr>
      </w:pPr>
      <w:bookmarkStart w:id="18" w:name="_Toc15396604"/>
      <w:bookmarkStart w:id="19" w:name="_Toc15377206"/>
      <w:r>
        <w:rPr>
          <w:rFonts w:hint="eastAsia" w:ascii="黑体" w:hAnsi="黑体" w:eastAsia="黑体"/>
          <w:sz w:val="32"/>
          <w:szCs w:val="32"/>
        </w:rPr>
        <w:t>收</w:t>
      </w:r>
      <w:r>
        <w:rPr>
          <w:rStyle w:val="29"/>
          <w:rFonts w:hint="eastAsia" w:ascii="黑体" w:hAnsi="黑体" w:eastAsia="黑体"/>
          <w:b w:val="0"/>
        </w:rPr>
        <w:t>入决算情况说明</w:t>
      </w:r>
      <w:bookmarkEnd w:id="18"/>
      <w:bookmarkEnd w:id="19"/>
    </w:p>
    <w:p w14:paraId="3D977EF1">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sz w:val="32"/>
          <w:szCs w:val="32"/>
        </w:rPr>
        <w:t>193.21</w:t>
      </w:r>
      <w:r>
        <w:rPr>
          <w:rFonts w:hint="eastAsia" w:ascii="仿宋" w:hAnsi="仿宋" w:eastAsia="仿宋"/>
          <w:sz w:val="32"/>
          <w:szCs w:val="32"/>
        </w:rPr>
        <w:t>万元，其中：一般公共预算财政拨款收入</w:t>
      </w:r>
      <w:r>
        <w:rPr>
          <w:rFonts w:ascii="仿宋" w:hAnsi="仿宋" w:eastAsia="仿宋"/>
          <w:sz w:val="32"/>
          <w:szCs w:val="32"/>
        </w:rPr>
        <w:t>177.9</w:t>
      </w:r>
      <w:r>
        <w:rPr>
          <w:rFonts w:hint="eastAsia" w:ascii="仿宋" w:hAnsi="仿宋" w:eastAsia="仿宋"/>
          <w:sz w:val="32"/>
          <w:szCs w:val="32"/>
        </w:rPr>
        <w:t>万元，占</w:t>
      </w:r>
      <w:r>
        <w:rPr>
          <w:rFonts w:ascii="仿宋" w:hAnsi="仿宋" w:eastAsia="仿宋"/>
          <w:sz w:val="32"/>
          <w:szCs w:val="32"/>
        </w:rPr>
        <w:t>92.07%</w:t>
      </w:r>
      <w:r>
        <w:rPr>
          <w:rFonts w:hint="eastAsia" w:ascii="仿宋" w:hAnsi="仿宋" w:eastAsia="仿宋"/>
          <w:sz w:val="32"/>
          <w:szCs w:val="32"/>
        </w:rPr>
        <w:t>；政府性基金预算财政拨款收入</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；国有资本经营预算财政拨款收入</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；上级补助收入</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sz w:val="32"/>
          <w:szCs w:val="32"/>
        </w:rPr>
        <w:t>14.55</w:t>
      </w:r>
      <w:r>
        <w:rPr>
          <w:rFonts w:hint="eastAsia" w:ascii="仿宋" w:hAnsi="仿宋" w:eastAsia="仿宋"/>
          <w:sz w:val="32"/>
          <w:szCs w:val="32"/>
        </w:rPr>
        <w:t>万元，占</w:t>
      </w:r>
      <w:r>
        <w:rPr>
          <w:rFonts w:ascii="仿宋" w:hAnsi="仿宋" w:eastAsia="仿宋"/>
          <w:sz w:val="32"/>
          <w:szCs w:val="32"/>
        </w:rPr>
        <w:t>7.53%</w:t>
      </w:r>
      <w:r>
        <w:rPr>
          <w:rFonts w:hint="eastAsia" w:ascii="仿宋" w:hAnsi="仿宋" w:eastAsia="仿宋"/>
          <w:sz w:val="32"/>
          <w:szCs w:val="32"/>
        </w:rPr>
        <w:t>；经营收入</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；附属单位上缴收入</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；其他收入</w:t>
      </w:r>
      <w:r>
        <w:rPr>
          <w:rFonts w:ascii="仿宋" w:hAnsi="仿宋" w:eastAsia="仿宋"/>
          <w:sz w:val="32"/>
          <w:szCs w:val="32"/>
        </w:rPr>
        <w:t>0.76</w:t>
      </w:r>
      <w:r>
        <w:rPr>
          <w:rFonts w:hint="eastAsia" w:ascii="仿宋" w:hAnsi="仿宋" w:eastAsia="仿宋"/>
          <w:sz w:val="32"/>
          <w:szCs w:val="32"/>
        </w:rPr>
        <w:t>万元，占</w:t>
      </w:r>
      <w:r>
        <w:rPr>
          <w:rFonts w:ascii="仿宋" w:hAnsi="仿宋" w:eastAsia="仿宋"/>
          <w:sz w:val="32"/>
          <w:szCs w:val="32"/>
        </w:rPr>
        <w:t>0.39%</w:t>
      </w:r>
    </w:p>
    <w:p w14:paraId="05409003">
      <w:pPr>
        <w:spacing w:line="600" w:lineRule="exact"/>
        <w:ind w:firstLine="640" w:firstLineChars="200"/>
        <w:outlineLvl w:val="1"/>
        <w:rPr>
          <w:rFonts w:ascii="仿宋" w:hAnsi="仿宋" w:eastAsia="仿宋"/>
          <w:sz w:val="32"/>
          <w:szCs w:val="32"/>
        </w:rPr>
      </w:pPr>
    </w:p>
    <w:p w14:paraId="6811626F">
      <w:pPr>
        <w:spacing w:line="600" w:lineRule="exact"/>
        <w:ind w:firstLine="640" w:firstLineChars="200"/>
        <w:outlineLvl w:val="1"/>
        <w:rPr>
          <w:rFonts w:ascii="仿宋" w:hAnsi="仿宋" w:eastAsia="仿宋"/>
          <w:sz w:val="32"/>
          <w:szCs w:val="32"/>
        </w:rPr>
      </w:pPr>
    </w:p>
    <w:p w14:paraId="39B11B99">
      <w:pPr>
        <w:spacing w:line="600" w:lineRule="exact"/>
        <w:ind w:firstLine="640" w:firstLineChars="200"/>
        <w:outlineLvl w:val="1"/>
        <w:rPr>
          <w:rFonts w:ascii="仿宋" w:hAnsi="仿宋" w:eastAsia="仿宋"/>
          <w:sz w:val="32"/>
          <w:szCs w:val="32"/>
        </w:rPr>
      </w:pPr>
    </w:p>
    <w:p w14:paraId="34FDFC79">
      <w:pPr>
        <w:spacing w:line="600" w:lineRule="exact"/>
        <w:ind w:firstLine="420" w:firstLineChars="200"/>
        <w:outlineLvl w:val="1"/>
        <w:rPr>
          <w:rFonts w:ascii="仿宋" w:hAnsi="仿宋" w:eastAsia="仿宋"/>
          <w:sz w:val="32"/>
          <w:szCs w:val="32"/>
        </w:rPr>
      </w:pPr>
      <w:r>
        <w:drawing>
          <wp:anchor distT="0" distB="0" distL="114300" distR="114300" simplePos="0" relativeHeight="251660288" behindDoc="0" locked="0" layoutInCell="1" allowOverlap="1">
            <wp:simplePos x="0" y="0"/>
            <wp:positionH relativeFrom="column">
              <wp:posOffset>17145</wp:posOffset>
            </wp:positionH>
            <wp:positionV relativeFrom="paragraph">
              <wp:posOffset>238760</wp:posOffset>
            </wp:positionV>
            <wp:extent cx="4892040" cy="2876550"/>
            <wp:effectExtent l="4445" t="4445" r="18415" b="14605"/>
            <wp:wrapNone/>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2252330A">
      <w:pPr>
        <w:pStyle w:val="19"/>
        <w:rPr>
          <w:rFonts w:ascii="仿宋" w:hAnsi="仿宋" w:eastAsia="仿宋"/>
          <w:sz w:val="32"/>
          <w:szCs w:val="32"/>
        </w:rPr>
      </w:pPr>
    </w:p>
    <w:p w14:paraId="0C186A53">
      <w:pPr>
        <w:rPr>
          <w:rFonts w:ascii="仿宋" w:hAnsi="仿宋" w:eastAsia="仿宋"/>
          <w:sz w:val="32"/>
          <w:szCs w:val="32"/>
        </w:rPr>
      </w:pPr>
    </w:p>
    <w:p w14:paraId="13A8C749">
      <w:pPr>
        <w:pStyle w:val="19"/>
        <w:rPr>
          <w:rFonts w:ascii="仿宋" w:hAnsi="仿宋" w:eastAsia="仿宋"/>
          <w:sz w:val="32"/>
          <w:szCs w:val="32"/>
        </w:rPr>
      </w:pPr>
    </w:p>
    <w:p w14:paraId="308358C2">
      <w:pPr>
        <w:rPr>
          <w:rFonts w:ascii="仿宋" w:hAnsi="仿宋" w:eastAsia="仿宋"/>
          <w:sz w:val="32"/>
          <w:szCs w:val="32"/>
        </w:rPr>
      </w:pPr>
    </w:p>
    <w:p w14:paraId="1F65E21C">
      <w:pPr>
        <w:pStyle w:val="19"/>
      </w:pPr>
    </w:p>
    <w:p w14:paraId="5C4F107E"/>
    <w:p w14:paraId="24D54044">
      <w:pPr>
        <w:tabs>
          <w:tab w:val="left" w:pos="7003"/>
        </w:tabs>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w:t>
      </w:r>
    </w:p>
    <w:p w14:paraId="0873AF36">
      <w:pPr>
        <w:spacing w:line="600" w:lineRule="exact"/>
        <w:ind w:firstLine="640" w:firstLineChars="200"/>
        <w:rPr>
          <w:rFonts w:ascii="仿宋_GB2312" w:eastAsia="仿宋_GB2312"/>
          <w:sz w:val="32"/>
          <w:szCs w:val="32"/>
        </w:rPr>
      </w:pPr>
    </w:p>
    <w:p w14:paraId="3C209B9C">
      <w:pPr>
        <w:pStyle w:val="27"/>
        <w:numPr>
          <w:ilvl w:val="0"/>
          <w:numId w:val="1"/>
        </w:numPr>
        <w:spacing w:line="600" w:lineRule="exact"/>
        <w:ind w:firstLineChars="0"/>
        <w:outlineLvl w:val="1"/>
        <w:rPr>
          <w:rStyle w:val="29"/>
          <w:rFonts w:ascii="黑体" w:hAnsi="黑体" w:eastAsia="黑体"/>
          <w:b w:val="0"/>
        </w:rPr>
      </w:pPr>
      <w:bookmarkStart w:id="20" w:name="_Toc15396605"/>
      <w:bookmarkStart w:id="21" w:name="_Toc15377207"/>
      <w:r>
        <w:rPr>
          <w:rFonts w:hint="eastAsia" w:ascii="黑体" w:hAnsi="黑体" w:eastAsia="黑体"/>
          <w:sz w:val="32"/>
          <w:szCs w:val="32"/>
        </w:rPr>
        <w:t>支</w:t>
      </w:r>
      <w:r>
        <w:rPr>
          <w:rStyle w:val="29"/>
          <w:rFonts w:hint="eastAsia" w:ascii="黑体" w:hAnsi="黑体" w:eastAsia="黑体"/>
          <w:b w:val="0"/>
        </w:rPr>
        <w:t>出决算情况说明</w:t>
      </w:r>
      <w:bookmarkEnd w:id="20"/>
      <w:bookmarkEnd w:id="21"/>
    </w:p>
    <w:p w14:paraId="0929F32E">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sz w:val="32"/>
          <w:szCs w:val="32"/>
        </w:rPr>
        <w:t>187.96</w:t>
      </w:r>
      <w:r>
        <w:rPr>
          <w:rFonts w:hint="eastAsia" w:ascii="仿宋" w:hAnsi="仿宋" w:eastAsia="仿宋"/>
          <w:sz w:val="32"/>
          <w:szCs w:val="32"/>
        </w:rPr>
        <w:t>万元，其中：基本支出</w:t>
      </w:r>
      <w:r>
        <w:rPr>
          <w:rFonts w:ascii="仿宋" w:hAnsi="仿宋" w:eastAsia="仿宋"/>
          <w:sz w:val="32"/>
          <w:szCs w:val="32"/>
        </w:rPr>
        <w:t>117.1</w:t>
      </w:r>
      <w:r>
        <w:rPr>
          <w:rFonts w:hint="eastAsia" w:ascii="仿宋" w:hAnsi="仿宋" w:eastAsia="仿宋"/>
          <w:sz w:val="32"/>
          <w:szCs w:val="32"/>
        </w:rPr>
        <w:t>万元，占</w:t>
      </w:r>
      <w:r>
        <w:rPr>
          <w:rFonts w:ascii="仿宋" w:hAnsi="仿宋" w:eastAsia="仿宋"/>
          <w:sz w:val="32"/>
          <w:szCs w:val="32"/>
        </w:rPr>
        <w:t>62.3%</w:t>
      </w:r>
      <w:r>
        <w:rPr>
          <w:rFonts w:hint="eastAsia" w:ascii="仿宋" w:hAnsi="仿宋" w:eastAsia="仿宋"/>
          <w:sz w:val="32"/>
          <w:szCs w:val="32"/>
        </w:rPr>
        <w:t>；项目支出</w:t>
      </w:r>
      <w:r>
        <w:rPr>
          <w:rFonts w:ascii="仿宋" w:hAnsi="仿宋" w:eastAsia="仿宋"/>
          <w:sz w:val="32"/>
          <w:szCs w:val="32"/>
        </w:rPr>
        <w:t>70.86</w:t>
      </w:r>
      <w:r>
        <w:rPr>
          <w:rFonts w:hint="eastAsia" w:ascii="仿宋" w:hAnsi="仿宋" w:eastAsia="仿宋"/>
          <w:sz w:val="32"/>
          <w:szCs w:val="32"/>
        </w:rPr>
        <w:t>万元，占</w:t>
      </w:r>
      <w:r>
        <w:rPr>
          <w:rFonts w:ascii="仿宋" w:hAnsi="仿宋" w:eastAsia="仿宋"/>
          <w:sz w:val="32"/>
          <w:szCs w:val="32"/>
        </w:rPr>
        <w:t>37.69%</w:t>
      </w:r>
      <w:r>
        <w:rPr>
          <w:rFonts w:hint="eastAsia" w:ascii="仿宋" w:hAnsi="仿宋" w:eastAsia="仿宋"/>
          <w:sz w:val="32"/>
          <w:szCs w:val="32"/>
        </w:rPr>
        <w:t>；上缴上级支出</w:t>
      </w:r>
      <w:r>
        <w:rPr>
          <w:rFonts w:ascii="仿宋" w:hAnsi="仿宋" w:eastAsia="仿宋"/>
          <w:sz w:val="32"/>
          <w:szCs w:val="32"/>
        </w:rPr>
        <w:t>0</w:t>
      </w:r>
      <w:r>
        <w:rPr>
          <w:rFonts w:hint="eastAsia" w:ascii="仿宋" w:hAnsi="仿宋" w:eastAsia="仿宋"/>
          <w:sz w:val="32"/>
          <w:szCs w:val="32"/>
        </w:rPr>
        <w:t>万元，占0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；对附属单位补助支出</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w:t>
      </w:r>
    </w:p>
    <w:p w14:paraId="34065171">
      <w:pPr>
        <w:spacing w:line="600" w:lineRule="exact"/>
        <w:ind w:firstLine="643" w:firstLineChars="200"/>
        <w:outlineLvl w:val="1"/>
        <w:rPr>
          <w:rFonts w:ascii="仿宋" w:hAnsi="仿宋" w:eastAsia="仿宋"/>
          <w:b/>
          <w:sz w:val="32"/>
          <w:szCs w:val="32"/>
        </w:rPr>
      </w:pPr>
    </w:p>
    <w:p w14:paraId="308486E9">
      <w:pPr>
        <w:spacing w:line="600" w:lineRule="exact"/>
        <w:ind w:firstLine="640"/>
        <w:rPr>
          <w:rFonts w:ascii="仿宋" w:hAnsi="仿宋" w:eastAsia="仿宋"/>
          <w:sz w:val="32"/>
          <w:szCs w:val="32"/>
          <w:shd w:val="pct10" w:color="auto" w:fill="FFFFFF"/>
        </w:rPr>
      </w:pPr>
      <w:r>
        <w:drawing>
          <wp:anchor distT="0" distB="0" distL="114300" distR="114300" simplePos="0" relativeHeight="251661312" behindDoc="0" locked="0" layoutInCell="1" allowOverlap="1">
            <wp:simplePos x="0" y="0"/>
            <wp:positionH relativeFrom="column">
              <wp:posOffset>1050925</wp:posOffset>
            </wp:positionH>
            <wp:positionV relativeFrom="paragraph">
              <wp:posOffset>-325755</wp:posOffset>
            </wp:positionV>
            <wp:extent cx="3461385" cy="1666875"/>
            <wp:effectExtent l="4445" t="4445" r="20320" b="5080"/>
            <wp:wrapNone/>
            <wp:docPr id="17"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600D5A5D">
      <w:pPr>
        <w:pStyle w:val="19"/>
        <w:rPr>
          <w:rFonts w:ascii="仿宋" w:hAnsi="仿宋" w:eastAsia="仿宋"/>
          <w:sz w:val="32"/>
          <w:szCs w:val="32"/>
          <w:shd w:val="pct10" w:color="auto" w:fill="FFFFFF"/>
        </w:rPr>
      </w:pPr>
    </w:p>
    <w:p w14:paraId="288B2F4A"/>
    <w:p w14:paraId="4EE5145E">
      <w:pPr>
        <w:spacing w:line="600" w:lineRule="exact"/>
        <w:ind w:firstLine="640" w:firstLineChars="200"/>
        <w:rPr>
          <w:rFonts w:ascii="仿宋" w:hAnsi="仿宋" w:eastAsia="仿宋"/>
          <w:sz w:val="32"/>
          <w:szCs w:val="32"/>
        </w:rPr>
      </w:pPr>
    </w:p>
    <w:p w14:paraId="282B4644">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w:t>
      </w:r>
    </w:p>
    <w:p w14:paraId="0DA4C652">
      <w:pPr>
        <w:spacing w:line="600" w:lineRule="exact"/>
        <w:ind w:firstLine="640" w:firstLineChars="200"/>
        <w:outlineLvl w:val="1"/>
        <w:rPr>
          <w:rStyle w:val="29"/>
          <w:rFonts w:ascii="黑体" w:hAnsi="黑体" w:eastAsia="黑体"/>
          <w:b w:val="0"/>
        </w:rPr>
      </w:pPr>
      <w:bookmarkStart w:id="22" w:name="_Toc15377208"/>
      <w:bookmarkStart w:id="23" w:name="_Toc15396606"/>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2"/>
      <w:bookmarkEnd w:id="23"/>
    </w:p>
    <w:p w14:paraId="7217B93E">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rFonts w:ascii="仿宋" w:hAnsi="仿宋" w:eastAsia="仿宋"/>
          <w:sz w:val="32"/>
          <w:szCs w:val="32"/>
        </w:rPr>
        <w:t>177.9</w:t>
      </w:r>
      <w:r>
        <w:rPr>
          <w:rFonts w:hint="eastAsia" w:ascii="仿宋" w:hAnsi="仿宋" w:eastAsia="仿宋"/>
          <w:sz w:val="32"/>
          <w:szCs w:val="32"/>
        </w:rPr>
        <w:t>万元。与2022年度相比，财政拨款收、支总计各增加12.92万元，增长7.26</w:t>
      </w:r>
      <w:r>
        <w:rPr>
          <w:rFonts w:ascii="仿宋" w:hAnsi="仿宋" w:eastAsia="仿宋"/>
          <w:sz w:val="32"/>
          <w:szCs w:val="32"/>
        </w:rPr>
        <w:t>%</w:t>
      </w:r>
      <w:r>
        <w:rPr>
          <w:rFonts w:hint="eastAsia" w:ascii="仿宋" w:hAnsi="仿宋" w:eastAsia="仿宋"/>
          <w:sz w:val="32"/>
          <w:szCs w:val="32"/>
        </w:rPr>
        <w:t>。主要变动原因是；基本医疗进药量增加，基本药物财政补助增加，</w:t>
      </w:r>
      <w:r>
        <w:rPr>
          <w:rFonts w:hint="eastAsia" w:ascii="仿宋_GB2312" w:hAnsi="仿宋_GB2312" w:eastAsia="仿宋_GB2312"/>
          <w:sz w:val="32"/>
          <w:szCs w:val="32"/>
        </w:rPr>
        <w:t>财政拨款收入随之增加。</w:t>
      </w:r>
    </w:p>
    <w:p w14:paraId="7B48A32C">
      <w:pPr>
        <w:pStyle w:val="2"/>
        <w:spacing w:before="93"/>
        <w:rPr>
          <w:rFonts w:ascii="仿宋" w:hAnsi="仿宋" w:eastAsia="仿宋"/>
          <w:sz w:val="32"/>
          <w:szCs w:val="32"/>
        </w:rPr>
      </w:pPr>
      <w:r>
        <w:drawing>
          <wp:anchor distT="0" distB="0" distL="114300" distR="114300" simplePos="0" relativeHeight="251662336" behindDoc="0" locked="0" layoutInCell="1" allowOverlap="1">
            <wp:simplePos x="0" y="0"/>
            <wp:positionH relativeFrom="column">
              <wp:posOffset>416560</wp:posOffset>
            </wp:positionH>
            <wp:positionV relativeFrom="paragraph">
              <wp:posOffset>386715</wp:posOffset>
            </wp:positionV>
            <wp:extent cx="4000500" cy="2235835"/>
            <wp:effectExtent l="4445" t="5080" r="14605" b="6985"/>
            <wp:wrapNone/>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46523297">
      <w:pPr>
        <w:pStyle w:val="2"/>
        <w:spacing w:before="93"/>
        <w:rPr>
          <w:rFonts w:ascii="仿宋" w:hAnsi="仿宋" w:eastAsia="仿宋"/>
          <w:sz w:val="32"/>
          <w:szCs w:val="32"/>
        </w:rPr>
      </w:pPr>
    </w:p>
    <w:p w14:paraId="4674B644">
      <w:pPr>
        <w:pStyle w:val="2"/>
        <w:spacing w:before="93"/>
        <w:rPr>
          <w:rFonts w:ascii="仿宋" w:hAnsi="仿宋" w:eastAsia="仿宋"/>
          <w:sz w:val="32"/>
          <w:szCs w:val="32"/>
        </w:rPr>
      </w:pPr>
    </w:p>
    <w:p w14:paraId="44380F21">
      <w:pPr>
        <w:pStyle w:val="2"/>
        <w:spacing w:before="93"/>
        <w:rPr>
          <w:rFonts w:ascii="仿宋" w:hAnsi="仿宋" w:eastAsia="仿宋"/>
          <w:sz w:val="32"/>
          <w:szCs w:val="32"/>
        </w:rPr>
      </w:pPr>
    </w:p>
    <w:p w14:paraId="49BE11AD">
      <w:pPr>
        <w:pStyle w:val="2"/>
        <w:spacing w:before="93"/>
        <w:rPr>
          <w:rFonts w:ascii="仿宋" w:hAnsi="仿宋" w:eastAsia="仿宋"/>
          <w:sz w:val="32"/>
          <w:szCs w:val="32"/>
        </w:rPr>
      </w:pPr>
    </w:p>
    <w:p w14:paraId="28DC2FF5">
      <w:pPr>
        <w:pStyle w:val="2"/>
        <w:spacing w:before="93"/>
        <w:rPr>
          <w:rFonts w:ascii="仿宋" w:hAnsi="仿宋" w:eastAsia="仿宋"/>
          <w:sz w:val="32"/>
          <w:szCs w:val="32"/>
        </w:rPr>
      </w:pPr>
    </w:p>
    <w:p w14:paraId="316A9A34">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w:t>
      </w:r>
    </w:p>
    <w:p w14:paraId="709C9DB4">
      <w:pPr>
        <w:spacing w:line="600" w:lineRule="exact"/>
        <w:ind w:firstLine="640"/>
        <w:rPr>
          <w:rFonts w:ascii="仿宋" w:hAnsi="仿宋" w:eastAsia="仿宋"/>
          <w:b/>
          <w:sz w:val="32"/>
          <w:szCs w:val="32"/>
        </w:rPr>
      </w:pPr>
    </w:p>
    <w:p w14:paraId="5FB35B1D">
      <w:pPr>
        <w:spacing w:line="600" w:lineRule="exact"/>
        <w:ind w:firstLine="640" w:firstLineChars="200"/>
        <w:outlineLvl w:val="1"/>
        <w:rPr>
          <w:rStyle w:val="29"/>
          <w:rFonts w:ascii="黑体" w:hAnsi="黑体" w:eastAsia="黑体"/>
          <w:b w:val="0"/>
        </w:rPr>
      </w:pPr>
      <w:bookmarkStart w:id="24" w:name="_Toc15377209"/>
      <w:bookmarkStart w:id="25"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4"/>
      <w:bookmarkEnd w:id="25"/>
    </w:p>
    <w:p w14:paraId="7578DC01">
      <w:pPr>
        <w:spacing w:line="600" w:lineRule="exact"/>
        <w:ind w:firstLine="643" w:firstLineChars="200"/>
        <w:outlineLvl w:val="2"/>
        <w:rPr>
          <w:rFonts w:ascii="仿宋" w:hAnsi="仿宋" w:eastAsia="仿宋"/>
          <w:b/>
          <w:sz w:val="32"/>
          <w:szCs w:val="32"/>
        </w:rPr>
      </w:pPr>
      <w:bookmarkStart w:id="26" w:name="_Toc15377210"/>
      <w:r>
        <w:rPr>
          <w:rFonts w:hint="eastAsia" w:ascii="仿宋" w:hAnsi="仿宋" w:eastAsia="仿宋"/>
          <w:b/>
          <w:sz w:val="32"/>
          <w:szCs w:val="32"/>
        </w:rPr>
        <w:t>（一）一般公共预算财政拨款支出决算总体情况</w:t>
      </w:r>
      <w:bookmarkEnd w:id="26"/>
    </w:p>
    <w:p w14:paraId="13CE781D">
      <w:pPr>
        <w:spacing w:line="600" w:lineRule="exact"/>
        <w:ind w:firstLine="64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177.9</w:t>
      </w:r>
      <w:r>
        <w:rPr>
          <w:rFonts w:hint="eastAsia" w:ascii="仿宋" w:hAnsi="仿宋" w:eastAsia="仿宋"/>
          <w:sz w:val="32"/>
          <w:szCs w:val="32"/>
        </w:rPr>
        <w:t>万元，占本年支出合计的</w:t>
      </w:r>
      <w:r>
        <w:rPr>
          <w:rFonts w:ascii="仿宋" w:hAnsi="仿宋" w:eastAsia="仿宋"/>
          <w:b/>
          <w:sz w:val="32"/>
          <w:szCs w:val="32"/>
        </w:rPr>
        <w:t>94.64</w:t>
      </w:r>
      <w:r>
        <w:rPr>
          <w:rFonts w:ascii="仿宋" w:hAnsi="仿宋" w:eastAsia="仿宋"/>
          <w:sz w:val="32"/>
          <w:szCs w:val="32"/>
        </w:rPr>
        <w:t>%</w:t>
      </w:r>
      <w:r>
        <w:rPr>
          <w:rFonts w:hint="eastAsia" w:ascii="仿宋" w:hAnsi="仿宋" w:eastAsia="仿宋"/>
          <w:sz w:val="32"/>
          <w:szCs w:val="32"/>
        </w:rPr>
        <w:t>。与2022年度相比，一般公共预算财政拨款支出增加12.92万元，增长7.26</w:t>
      </w:r>
      <w:r>
        <w:rPr>
          <w:rFonts w:ascii="仿宋" w:hAnsi="仿宋" w:eastAsia="仿宋"/>
          <w:sz w:val="32"/>
          <w:szCs w:val="32"/>
        </w:rPr>
        <w:t>%</w:t>
      </w:r>
      <w:r>
        <w:rPr>
          <w:rFonts w:hint="eastAsia" w:ascii="仿宋" w:hAnsi="仿宋" w:eastAsia="仿宋"/>
          <w:sz w:val="32"/>
          <w:szCs w:val="32"/>
        </w:rPr>
        <w:t>。主要变动原因是基本医疗进药量增加，基本药物财政补助增加，</w:t>
      </w:r>
      <w:r>
        <w:rPr>
          <w:rFonts w:hint="eastAsia" w:ascii="仿宋_GB2312" w:hAnsi="仿宋_GB2312" w:eastAsia="仿宋_GB2312"/>
          <w:sz w:val="32"/>
          <w:szCs w:val="32"/>
        </w:rPr>
        <w:t>财政拨款收入随之增加。</w:t>
      </w:r>
    </w:p>
    <w:p w14:paraId="21F22FB0">
      <w:pPr>
        <w:spacing w:line="600" w:lineRule="exact"/>
        <w:ind w:firstLine="420" w:firstLineChars="200"/>
      </w:pPr>
    </w:p>
    <w:p w14:paraId="2B8660D0">
      <w:pPr>
        <w:pStyle w:val="2"/>
        <w:spacing w:before="93"/>
      </w:pPr>
    </w:p>
    <w:p w14:paraId="4A7B15AC">
      <w:pPr>
        <w:pStyle w:val="2"/>
        <w:spacing w:before="93"/>
      </w:pPr>
      <w:r>
        <w:drawing>
          <wp:anchor distT="0" distB="0" distL="114300" distR="114300" simplePos="0" relativeHeight="251663360" behindDoc="1" locked="0" layoutInCell="1" allowOverlap="1">
            <wp:simplePos x="0" y="0"/>
            <wp:positionH relativeFrom="column">
              <wp:posOffset>-6350</wp:posOffset>
            </wp:positionH>
            <wp:positionV relativeFrom="paragraph">
              <wp:posOffset>-485140</wp:posOffset>
            </wp:positionV>
            <wp:extent cx="4826000" cy="2743200"/>
            <wp:effectExtent l="4445" t="4445" r="8255" b="14605"/>
            <wp:wrapNone/>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4C33ACB0">
      <w:pPr>
        <w:pStyle w:val="2"/>
        <w:spacing w:before="93"/>
      </w:pPr>
    </w:p>
    <w:p w14:paraId="666748DA">
      <w:pPr>
        <w:pStyle w:val="2"/>
        <w:spacing w:before="93"/>
      </w:pPr>
    </w:p>
    <w:p w14:paraId="3167AC5F">
      <w:pPr>
        <w:spacing w:line="600" w:lineRule="exact"/>
        <w:ind w:firstLine="640" w:firstLineChars="200"/>
        <w:rPr>
          <w:rFonts w:ascii="仿宋" w:hAnsi="仿宋" w:eastAsia="仿宋"/>
          <w:sz w:val="32"/>
          <w:szCs w:val="32"/>
        </w:rPr>
      </w:pPr>
    </w:p>
    <w:p w14:paraId="00F5B6CA">
      <w:pPr>
        <w:spacing w:line="600" w:lineRule="exact"/>
        <w:ind w:firstLine="640" w:firstLineChars="200"/>
        <w:rPr>
          <w:rFonts w:ascii="仿宋" w:hAnsi="仿宋" w:eastAsia="仿宋"/>
          <w:sz w:val="32"/>
          <w:szCs w:val="32"/>
        </w:rPr>
      </w:pPr>
    </w:p>
    <w:p w14:paraId="0663C7B7">
      <w:pPr>
        <w:spacing w:line="600" w:lineRule="exact"/>
        <w:ind w:firstLine="640" w:firstLineChars="200"/>
        <w:rPr>
          <w:rFonts w:ascii="仿宋" w:hAnsi="仿宋" w:eastAsia="仿宋"/>
          <w:sz w:val="32"/>
          <w:szCs w:val="32"/>
        </w:rPr>
      </w:pPr>
    </w:p>
    <w:p w14:paraId="4C3D8A09">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w:t>
      </w:r>
    </w:p>
    <w:p w14:paraId="645F37C0">
      <w:pPr>
        <w:spacing w:line="600" w:lineRule="exact"/>
        <w:ind w:firstLine="640" w:firstLineChars="200"/>
        <w:rPr>
          <w:rFonts w:ascii="仿宋" w:hAnsi="仿宋" w:eastAsia="仿宋"/>
          <w:sz w:val="32"/>
          <w:szCs w:val="32"/>
        </w:rPr>
      </w:pPr>
    </w:p>
    <w:p w14:paraId="26EADC44">
      <w:pPr>
        <w:spacing w:line="600" w:lineRule="exact"/>
        <w:ind w:firstLine="643" w:firstLineChars="200"/>
        <w:outlineLvl w:val="2"/>
        <w:rPr>
          <w:rFonts w:ascii="仿宋" w:hAnsi="仿宋" w:eastAsia="仿宋"/>
          <w:b/>
          <w:sz w:val="32"/>
          <w:szCs w:val="32"/>
        </w:rPr>
      </w:pPr>
      <w:bookmarkStart w:id="27" w:name="_Toc15377211"/>
      <w:r>
        <w:rPr>
          <w:rFonts w:hint="eastAsia" w:ascii="仿宋" w:hAnsi="仿宋" w:eastAsia="仿宋"/>
          <w:b/>
          <w:sz w:val="32"/>
          <w:szCs w:val="32"/>
        </w:rPr>
        <w:t>（二）一般公共预算财政拨款支出决算结构情况</w:t>
      </w:r>
      <w:bookmarkEnd w:id="27"/>
    </w:p>
    <w:p w14:paraId="06E785FF">
      <w:pPr>
        <w:spacing w:line="600" w:lineRule="exact"/>
        <w:ind w:firstLine="64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sz w:val="32"/>
          <w:szCs w:val="32"/>
        </w:rPr>
        <w:t>177.9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sz w:val="32"/>
          <w:szCs w:val="32"/>
        </w:rPr>
        <w:t>教育支出0万元，占0</w:t>
      </w:r>
      <w:r>
        <w:rPr>
          <w:rFonts w:ascii="仿宋" w:hAnsi="仿宋" w:eastAsia="仿宋"/>
          <w:sz w:val="32"/>
          <w:szCs w:val="32"/>
        </w:rPr>
        <w:t>%</w:t>
      </w:r>
      <w:r>
        <w:rPr>
          <w:rFonts w:hint="eastAsia" w:ascii="仿宋" w:hAnsi="仿宋" w:eastAsia="仿宋"/>
          <w:sz w:val="32"/>
          <w:szCs w:val="32"/>
        </w:rPr>
        <w:t>；科学技术支出0万元，占0</w:t>
      </w:r>
      <w:r>
        <w:rPr>
          <w:rFonts w:ascii="仿宋" w:hAnsi="仿宋" w:eastAsia="仿宋"/>
          <w:sz w:val="32"/>
          <w:szCs w:val="32"/>
        </w:rPr>
        <w:t>%</w:t>
      </w:r>
      <w:r>
        <w:rPr>
          <w:rFonts w:hint="eastAsia" w:ascii="仿宋" w:hAnsi="仿宋" w:eastAsia="仿宋"/>
          <w:sz w:val="32"/>
          <w:szCs w:val="32"/>
        </w:rPr>
        <w:t>；文化旅游体育与传媒支出0万元，占0</w:t>
      </w:r>
      <w:r>
        <w:rPr>
          <w:rFonts w:ascii="仿宋" w:hAnsi="仿宋" w:eastAsia="仿宋"/>
          <w:sz w:val="32"/>
          <w:szCs w:val="32"/>
        </w:rPr>
        <w:t>%</w:t>
      </w:r>
      <w:r>
        <w:rPr>
          <w:rFonts w:hint="eastAsia" w:ascii="仿宋" w:hAnsi="仿宋" w:eastAsia="仿宋"/>
          <w:sz w:val="32"/>
          <w:szCs w:val="32"/>
        </w:rPr>
        <w:t>；社会保障和就业支出10.68万元，占4.60</w:t>
      </w:r>
      <w:r>
        <w:rPr>
          <w:rFonts w:ascii="仿宋" w:hAnsi="仿宋" w:eastAsia="仿宋"/>
          <w:sz w:val="32"/>
          <w:szCs w:val="32"/>
        </w:rPr>
        <w:t>%</w:t>
      </w:r>
      <w:r>
        <w:rPr>
          <w:rFonts w:hint="eastAsia" w:ascii="仿宋" w:hAnsi="仿宋" w:eastAsia="仿宋"/>
          <w:sz w:val="32"/>
          <w:szCs w:val="32"/>
        </w:rPr>
        <w:t>；卫生健康支出158.79万元，占91.28</w:t>
      </w:r>
      <w:r>
        <w:rPr>
          <w:rFonts w:ascii="仿宋" w:hAnsi="仿宋" w:eastAsia="仿宋"/>
          <w:sz w:val="32"/>
          <w:szCs w:val="32"/>
        </w:rPr>
        <w:t>%</w:t>
      </w:r>
      <w:r>
        <w:rPr>
          <w:rFonts w:hint="eastAsia" w:ascii="仿宋" w:hAnsi="仿宋" w:eastAsia="仿宋"/>
          <w:sz w:val="32"/>
          <w:szCs w:val="32"/>
        </w:rPr>
        <w:t>；住房保障支出8.43万元，占4.22</w:t>
      </w:r>
      <w:r>
        <w:rPr>
          <w:rFonts w:ascii="仿宋" w:hAnsi="仿宋" w:eastAsia="仿宋"/>
          <w:sz w:val="32"/>
          <w:szCs w:val="32"/>
        </w:rPr>
        <w:t>%</w:t>
      </w:r>
      <w:r>
        <w:rPr>
          <w:rFonts w:hint="eastAsia" w:ascii="仿宋" w:hAnsi="仿宋" w:eastAsia="仿宋"/>
          <w:sz w:val="32"/>
          <w:szCs w:val="32"/>
        </w:rPr>
        <w:t>。</w:t>
      </w:r>
    </w:p>
    <w:p w14:paraId="36F93287">
      <w:pPr>
        <w:spacing w:line="600" w:lineRule="exact"/>
        <w:ind w:firstLine="640"/>
        <w:rPr>
          <w:rFonts w:ascii="仿宋" w:hAnsi="仿宋" w:eastAsia="仿宋"/>
          <w:sz w:val="32"/>
          <w:szCs w:val="32"/>
        </w:rPr>
      </w:pPr>
      <w:r>
        <w:drawing>
          <wp:anchor distT="0" distB="0" distL="114300" distR="114300" simplePos="0" relativeHeight="251664384" behindDoc="0" locked="0" layoutInCell="1" allowOverlap="1">
            <wp:simplePos x="0" y="0"/>
            <wp:positionH relativeFrom="column">
              <wp:posOffset>527685</wp:posOffset>
            </wp:positionH>
            <wp:positionV relativeFrom="paragraph">
              <wp:posOffset>10795</wp:posOffset>
            </wp:positionV>
            <wp:extent cx="4452620" cy="2305685"/>
            <wp:effectExtent l="4445" t="4445" r="19685" b="13970"/>
            <wp:wrapNone/>
            <wp:docPr id="11"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4E0770BE">
      <w:pPr>
        <w:pStyle w:val="2"/>
        <w:spacing w:before="93"/>
        <w:rPr>
          <w:rFonts w:ascii="仿宋" w:hAnsi="仿宋" w:eastAsia="仿宋"/>
          <w:sz w:val="32"/>
          <w:szCs w:val="32"/>
        </w:rPr>
      </w:pPr>
    </w:p>
    <w:p w14:paraId="06172947">
      <w:pPr>
        <w:pStyle w:val="2"/>
        <w:spacing w:before="93"/>
        <w:rPr>
          <w:rFonts w:ascii="仿宋" w:hAnsi="仿宋" w:eastAsia="仿宋"/>
          <w:sz w:val="32"/>
          <w:szCs w:val="32"/>
        </w:rPr>
      </w:pPr>
    </w:p>
    <w:p w14:paraId="004B5BFD">
      <w:pPr>
        <w:pStyle w:val="2"/>
        <w:spacing w:before="93"/>
        <w:rPr>
          <w:rFonts w:ascii="仿宋" w:hAnsi="仿宋" w:eastAsia="仿宋"/>
          <w:sz w:val="32"/>
          <w:szCs w:val="32"/>
        </w:rPr>
      </w:pPr>
    </w:p>
    <w:p w14:paraId="15E09C16">
      <w:pPr>
        <w:pStyle w:val="2"/>
        <w:spacing w:before="93"/>
        <w:rPr>
          <w:rFonts w:ascii="仿宋" w:hAnsi="仿宋" w:eastAsia="仿宋"/>
          <w:sz w:val="32"/>
          <w:szCs w:val="32"/>
        </w:rPr>
      </w:pPr>
    </w:p>
    <w:p w14:paraId="68EED25E">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14:paraId="4C9F773C">
      <w:pPr>
        <w:spacing w:line="600" w:lineRule="exact"/>
        <w:ind w:firstLine="640" w:firstLineChars="200"/>
        <w:rPr>
          <w:rFonts w:ascii="仿宋" w:hAnsi="仿宋" w:eastAsia="仿宋"/>
          <w:sz w:val="32"/>
          <w:szCs w:val="32"/>
        </w:rPr>
      </w:pPr>
    </w:p>
    <w:p w14:paraId="5018DC72">
      <w:pPr>
        <w:spacing w:line="600" w:lineRule="exact"/>
        <w:ind w:firstLine="643" w:firstLineChars="200"/>
        <w:outlineLvl w:val="2"/>
        <w:rPr>
          <w:rFonts w:ascii="仿宋" w:hAnsi="仿宋" w:eastAsia="仿宋"/>
          <w:b/>
          <w:sz w:val="32"/>
          <w:szCs w:val="32"/>
        </w:rPr>
      </w:pPr>
      <w:bookmarkStart w:id="28" w:name="_Toc15377212"/>
      <w:r>
        <w:rPr>
          <w:rFonts w:hint="eastAsia" w:ascii="仿宋" w:hAnsi="仿宋" w:eastAsia="仿宋"/>
          <w:b/>
          <w:sz w:val="32"/>
          <w:szCs w:val="32"/>
        </w:rPr>
        <w:t>（三）一般公共预算财政拨款支出决算具体情况</w:t>
      </w:r>
      <w:bookmarkEnd w:id="28"/>
    </w:p>
    <w:p w14:paraId="6FFC03DD">
      <w:pPr>
        <w:spacing w:line="600" w:lineRule="exact"/>
        <w:ind w:firstLine="643" w:firstLineChars="200"/>
        <w:outlineLvl w:val="2"/>
        <w:rPr>
          <w:rStyle w:val="17"/>
          <w:rFonts w:ascii="仿宋" w:hAnsi="仿宋" w:eastAsia="仿宋"/>
          <w:b w:val="0"/>
          <w:bCs/>
          <w:sz w:val="32"/>
          <w:szCs w:val="32"/>
        </w:rPr>
      </w:pPr>
      <w:bookmarkStart w:id="29" w:name="_Toc15377213"/>
      <w:bookmarkStart w:id="30" w:name="_Toc15377444"/>
      <w:bookmarkStart w:id="31" w:name="_Toc15378460"/>
      <w:r>
        <w:rPr>
          <w:rFonts w:hint="eastAsia" w:ascii="仿宋" w:hAnsi="仿宋" w:eastAsia="仿宋"/>
          <w:b/>
          <w:sz w:val="32"/>
          <w:szCs w:val="32"/>
        </w:rPr>
        <w:t>2</w:t>
      </w:r>
      <w:r>
        <w:rPr>
          <w:rFonts w:hint="eastAsia" w:ascii="仿宋" w:hAnsi="仿宋" w:eastAsia="仿宋"/>
          <w:bCs/>
          <w:sz w:val="32"/>
          <w:szCs w:val="32"/>
        </w:rPr>
        <w:t>023年度一般公共预算支出决算数为</w:t>
      </w:r>
      <w:r>
        <w:rPr>
          <w:rFonts w:ascii="仿宋" w:hAnsi="仿宋" w:eastAsia="仿宋"/>
          <w:bCs/>
          <w:sz w:val="32"/>
          <w:szCs w:val="32"/>
        </w:rPr>
        <w:t>177.9</w:t>
      </w:r>
      <w:bookmarkEnd w:id="29"/>
      <w:bookmarkEnd w:id="30"/>
      <w:bookmarkEnd w:id="31"/>
      <w:r>
        <w:rPr>
          <w:rFonts w:hint="eastAsia" w:ascii="仿宋" w:hAnsi="仿宋" w:eastAsia="仿宋"/>
          <w:bCs/>
          <w:sz w:val="32"/>
          <w:szCs w:val="32"/>
        </w:rPr>
        <w:t>万元，</w:t>
      </w:r>
      <w:r>
        <w:rPr>
          <w:rStyle w:val="17"/>
          <w:rFonts w:hint="eastAsia" w:ascii="仿宋" w:hAnsi="仿宋" w:eastAsia="仿宋"/>
          <w:b w:val="0"/>
          <w:bCs/>
          <w:sz w:val="32"/>
          <w:szCs w:val="32"/>
        </w:rPr>
        <w:t>完成预算数的100%，其中：</w:t>
      </w:r>
    </w:p>
    <w:p w14:paraId="15405398">
      <w:pPr>
        <w:spacing w:line="600" w:lineRule="exact"/>
        <w:ind w:firstLine="640" w:firstLineChars="200"/>
        <w:rPr>
          <w:sz w:val="32"/>
          <w:szCs w:val="32"/>
        </w:rPr>
      </w:pPr>
      <w:r>
        <w:rPr>
          <w:rStyle w:val="17"/>
          <w:rFonts w:hint="eastAsia" w:ascii="仿宋" w:hAnsi="仿宋" w:eastAsia="仿宋"/>
          <w:b w:val="0"/>
          <w:bCs/>
          <w:color w:val="000000"/>
          <w:sz w:val="32"/>
          <w:szCs w:val="32"/>
        </w:rPr>
        <w:t>1</w:t>
      </w:r>
      <w:r>
        <w:rPr>
          <w:rStyle w:val="17"/>
          <w:rFonts w:ascii="仿宋" w:hAnsi="仿宋" w:eastAsia="仿宋"/>
          <w:b w:val="0"/>
          <w:bCs/>
          <w:color w:val="000000"/>
          <w:sz w:val="32"/>
          <w:szCs w:val="32"/>
        </w:rPr>
        <w:t>.</w:t>
      </w:r>
      <w:r>
        <w:rPr>
          <w:rStyle w:val="17"/>
          <w:rFonts w:hint="eastAsia" w:ascii="仿宋" w:hAnsi="仿宋" w:eastAsia="仿宋"/>
          <w:b w:val="0"/>
          <w:bCs/>
          <w:color w:val="000000"/>
          <w:sz w:val="32"/>
          <w:szCs w:val="32"/>
        </w:rPr>
        <w:t>社会保障和就业（类）行政事业单位养老支出（款）机关事业单位基本养老保险缴费支出（项）</w:t>
      </w:r>
      <w:r>
        <w:rPr>
          <w:rStyle w:val="17"/>
          <w:rFonts w:ascii="仿宋" w:hAnsi="仿宋" w:eastAsia="仿宋"/>
          <w:b w:val="0"/>
          <w:bCs/>
          <w:color w:val="000000"/>
          <w:sz w:val="32"/>
          <w:szCs w:val="32"/>
        </w:rPr>
        <w:t xml:space="preserve">: </w:t>
      </w:r>
      <w:r>
        <w:rPr>
          <w:rStyle w:val="17"/>
          <w:rFonts w:hint="eastAsia" w:ascii="仿宋" w:hAnsi="仿宋" w:eastAsia="仿宋"/>
          <w:b w:val="0"/>
          <w:bCs/>
          <w:color w:val="000000"/>
          <w:sz w:val="32"/>
          <w:szCs w:val="32"/>
        </w:rPr>
        <w:t>支出决算为10.68万元，完成预算100</w:t>
      </w:r>
      <w:r>
        <w:rPr>
          <w:rStyle w:val="17"/>
          <w:rFonts w:ascii="仿宋" w:hAnsi="仿宋" w:eastAsia="仿宋"/>
          <w:b w:val="0"/>
          <w:bCs/>
          <w:color w:val="000000"/>
          <w:sz w:val="32"/>
          <w:szCs w:val="32"/>
        </w:rPr>
        <w:t>%</w:t>
      </w:r>
      <w:r>
        <w:rPr>
          <w:rStyle w:val="17"/>
          <w:rFonts w:hint="eastAsia" w:ascii="仿宋" w:hAnsi="仿宋" w:eastAsia="仿宋"/>
          <w:b w:val="0"/>
          <w:bCs/>
          <w:color w:val="000000"/>
          <w:sz w:val="32"/>
          <w:szCs w:val="32"/>
        </w:rPr>
        <w:t>，决算数等于预算数。</w:t>
      </w:r>
    </w:p>
    <w:p w14:paraId="2ACE29FF">
      <w:pPr>
        <w:spacing w:line="600" w:lineRule="exact"/>
        <w:ind w:firstLine="640" w:firstLineChars="200"/>
        <w:rPr>
          <w:rStyle w:val="17"/>
          <w:rFonts w:ascii="仿宋" w:hAnsi="仿宋" w:eastAsia="仿宋"/>
          <w:bCs/>
          <w:color w:val="000000"/>
          <w:sz w:val="32"/>
          <w:szCs w:val="32"/>
        </w:rPr>
      </w:pPr>
      <w:r>
        <w:rPr>
          <w:rStyle w:val="17"/>
          <w:rFonts w:hint="eastAsia" w:ascii="仿宋" w:hAnsi="仿宋" w:eastAsia="仿宋"/>
          <w:b w:val="0"/>
          <w:color w:val="000000"/>
          <w:sz w:val="32"/>
          <w:szCs w:val="32"/>
        </w:rPr>
        <w:t>2</w:t>
      </w:r>
      <w:r>
        <w:rPr>
          <w:rStyle w:val="17"/>
          <w:rFonts w:ascii="仿宋" w:hAnsi="仿宋" w:eastAsia="仿宋"/>
          <w:b w:val="0"/>
          <w:color w:val="000000"/>
          <w:sz w:val="32"/>
          <w:szCs w:val="32"/>
        </w:rPr>
        <w:t>.</w:t>
      </w:r>
      <w:r>
        <w:rPr>
          <w:rStyle w:val="17"/>
          <w:rFonts w:hint="eastAsia" w:ascii="仿宋" w:hAnsi="仿宋" w:eastAsia="仿宋"/>
          <w:b w:val="0"/>
          <w:color w:val="000000"/>
          <w:sz w:val="32"/>
          <w:szCs w:val="32"/>
        </w:rPr>
        <w:t>社会保障和就业（类）</w:t>
      </w:r>
      <w:r>
        <w:rPr>
          <w:rStyle w:val="17"/>
          <w:rFonts w:eastAsia="仿宋_GB2312"/>
          <w:b w:val="0"/>
          <w:sz w:val="32"/>
          <w:szCs w:val="32"/>
        </w:rPr>
        <w:t>抚恤（款）伤残抚恤（项）</w:t>
      </w:r>
      <w:r>
        <w:rPr>
          <w:rStyle w:val="17"/>
          <w:rFonts w:ascii="仿宋" w:hAnsi="仿宋" w:eastAsia="仿宋"/>
          <w:b w:val="0"/>
          <w:color w:val="000000"/>
          <w:sz w:val="32"/>
          <w:szCs w:val="32"/>
        </w:rPr>
        <w:t xml:space="preserve">: </w:t>
      </w:r>
      <w:r>
        <w:rPr>
          <w:rStyle w:val="17"/>
          <w:rFonts w:hint="eastAsia" w:ascii="仿宋" w:hAnsi="仿宋" w:eastAsia="仿宋"/>
          <w:b w:val="0"/>
          <w:bCs/>
          <w:color w:val="000000"/>
          <w:sz w:val="32"/>
          <w:szCs w:val="32"/>
        </w:rPr>
        <w:t>支出决算为</w:t>
      </w:r>
      <w:r>
        <w:rPr>
          <w:rFonts w:hint="eastAsia" w:ascii="仿宋" w:hAnsi="仿宋" w:eastAsia="仿宋"/>
          <w:sz w:val="32"/>
          <w:szCs w:val="32"/>
        </w:rPr>
        <w:t>0</w:t>
      </w:r>
      <w:r>
        <w:rPr>
          <w:rStyle w:val="17"/>
          <w:rFonts w:hint="eastAsia" w:ascii="仿宋" w:hAnsi="仿宋" w:eastAsia="仿宋"/>
          <w:b w:val="0"/>
          <w:bCs/>
          <w:color w:val="000000"/>
          <w:sz w:val="32"/>
          <w:szCs w:val="32"/>
        </w:rPr>
        <w:t>万元，完成预算0</w:t>
      </w:r>
      <w:r>
        <w:rPr>
          <w:rStyle w:val="17"/>
          <w:rFonts w:ascii="仿宋" w:hAnsi="仿宋" w:eastAsia="仿宋"/>
          <w:b w:val="0"/>
          <w:bCs/>
          <w:color w:val="000000"/>
          <w:sz w:val="32"/>
          <w:szCs w:val="32"/>
        </w:rPr>
        <w:t>%</w:t>
      </w:r>
      <w:r>
        <w:rPr>
          <w:rStyle w:val="17"/>
          <w:rFonts w:hint="eastAsia" w:ascii="仿宋" w:hAnsi="仿宋" w:eastAsia="仿宋"/>
          <w:b w:val="0"/>
          <w:bCs/>
          <w:color w:val="000000"/>
          <w:sz w:val="32"/>
          <w:szCs w:val="32"/>
        </w:rPr>
        <w:t>，决算数等于预算数。</w:t>
      </w:r>
    </w:p>
    <w:p w14:paraId="65BA6B31">
      <w:pPr>
        <w:spacing w:line="600" w:lineRule="exact"/>
        <w:ind w:firstLine="643" w:firstLineChars="200"/>
        <w:rPr>
          <w:rStyle w:val="17"/>
          <w:rFonts w:ascii="仿宋" w:hAnsi="仿宋" w:eastAsia="仿宋"/>
          <w:b w:val="0"/>
          <w:bCs/>
          <w:color w:val="000000"/>
          <w:sz w:val="32"/>
          <w:szCs w:val="32"/>
        </w:rPr>
      </w:pPr>
      <w:r>
        <w:rPr>
          <w:rStyle w:val="17"/>
          <w:rFonts w:hint="eastAsia" w:ascii="仿宋" w:hAnsi="仿宋" w:eastAsia="仿宋"/>
          <w:bCs/>
          <w:color w:val="000000"/>
          <w:sz w:val="32"/>
          <w:szCs w:val="32"/>
        </w:rPr>
        <w:t>3.</w:t>
      </w:r>
      <w:r>
        <w:rPr>
          <w:rFonts w:hint="eastAsia" w:ascii="仿宋" w:hAnsi="仿宋" w:eastAsia="仿宋"/>
          <w:color w:val="000000" w:themeColor="text1"/>
          <w:sz w:val="32"/>
          <w:szCs w:val="32"/>
        </w:rPr>
        <w:t>卫生健康</w:t>
      </w:r>
      <w:r>
        <w:rPr>
          <w:rStyle w:val="17"/>
          <w:rFonts w:hint="eastAsia" w:ascii="仿宋" w:hAnsi="仿宋" w:eastAsia="仿宋"/>
          <w:b w:val="0"/>
          <w:color w:val="000000"/>
          <w:sz w:val="32"/>
          <w:szCs w:val="32"/>
        </w:rPr>
        <w:t>（类）基层医疗卫生机构（款）乡镇卫生院（项）</w:t>
      </w:r>
      <w:r>
        <w:rPr>
          <w:rStyle w:val="17"/>
          <w:rFonts w:ascii="仿宋" w:hAnsi="仿宋" w:eastAsia="仿宋"/>
          <w:b w:val="0"/>
          <w:color w:val="000000"/>
          <w:sz w:val="32"/>
          <w:szCs w:val="32"/>
        </w:rPr>
        <w:t>:</w:t>
      </w:r>
      <w:r>
        <w:rPr>
          <w:rStyle w:val="17"/>
          <w:rFonts w:hint="eastAsia" w:ascii="仿宋" w:hAnsi="仿宋" w:eastAsia="仿宋"/>
          <w:b w:val="0"/>
          <w:bCs/>
          <w:color w:val="000000"/>
          <w:sz w:val="32"/>
          <w:szCs w:val="32"/>
        </w:rPr>
        <w:t>支出决算为78.5万元，完成预算100</w:t>
      </w:r>
      <w:r>
        <w:rPr>
          <w:rStyle w:val="17"/>
          <w:rFonts w:ascii="仿宋" w:hAnsi="仿宋" w:eastAsia="仿宋"/>
          <w:b w:val="0"/>
          <w:bCs/>
          <w:color w:val="000000"/>
          <w:sz w:val="32"/>
          <w:szCs w:val="32"/>
        </w:rPr>
        <w:t>%</w:t>
      </w:r>
      <w:r>
        <w:rPr>
          <w:rStyle w:val="17"/>
          <w:rFonts w:hint="eastAsia" w:ascii="仿宋" w:hAnsi="仿宋" w:eastAsia="仿宋"/>
          <w:b w:val="0"/>
          <w:bCs/>
          <w:color w:val="000000"/>
          <w:sz w:val="32"/>
          <w:szCs w:val="32"/>
        </w:rPr>
        <w:t>。决算数等于预算数。</w:t>
      </w:r>
    </w:p>
    <w:p w14:paraId="39806564">
      <w:pPr>
        <w:spacing w:line="600" w:lineRule="exact"/>
        <w:ind w:firstLine="640" w:firstLineChars="200"/>
      </w:pPr>
      <w:r>
        <w:rPr>
          <w:rStyle w:val="17"/>
          <w:rFonts w:hint="eastAsia" w:ascii="仿宋" w:hAnsi="仿宋" w:eastAsia="仿宋"/>
          <w:b w:val="0"/>
          <w:bCs/>
          <w:color w:val="000000"/>
          <w:sz w:val="32"/>
          <w:szCs w:val="32"/>
        </w:rPr>
        <w:t>4.</w:t>
      </w:r>
      <w:r>
        <w:rPr>
          <w:rFonts w:hint="eastAsia" w:ascii="仿宋" w:hAnsi="仿宋" w:eastAsia="仿宋"/>
          <w:color w:val="000000" w:themeColor="text1"/>
          <w:sz w:val="32"/>
          <w:szCs w:val="32"/>
        </w:rPr>
        <w:t>卫生健康</w:t>
      </w:r>
      <w:r>
        <w:rPr>
          <w:rStyle w:val="17"/>
          <w:rFonts w:hint="eastAsia" w:ascii="仿宋" w:hAnsi="仿宋" w:eastAsia="仿宋"/>
          <w:b w:val="0"/>
          <w:color w:val="000000"/>
          <w:sz w:val="32"/>
          <w:szCs w:val="32"/>
        </w:rPr>
        <w:t>（类）基层医疗卫生机构（款）</w:t>
      </w:r>
      <w:r>
        <w:rPr>
          <w:rStyle w:val="17"/>
          <w:rFonts w:eastAsia="仿宋_GB2312"/>
          <w:b w:val="0"/>
          <w:sz w:val="32"/>
          <w:szCs w:val="32"/>
        </w:rPr>
        <w:t>其他基层医疗卫生机构支出（项）</w:t>
      </w:r>
      <w:r>
        <w:rPr>
          <w:rStyle w:val="17"/>
          <w:rFonts w:hint="eastAsia" w:eastAsia="仿宋_GB2312"/>
          <w:b w:val="0"/>
          <w:sz w:val="32"/>
          <w:szCs w:val="32"/>
        </w:rPr>
        <w:t xml:space="preserve">: </w:t>
      </w:r>
      <w:r>
        <w:rPr>
          <w:rStyle w:val="17"/>
          <w:rFonts w:hint="eastAsia" w:ascii="仿宋" w:hAnsi="仿宋" w:eastAsia="仿宋"/>
          <w:b w:val="0"/>
          <w:bCs/>
          <w:color w:val="000000"/>
          <w:sz w:val="32"/>
          <w:szCs w:val="32"/>
        </w:rPr>
        <w:t>支出决算为9.89万元，完成预算100</w:t>
      </w:r>
      <w:r>
        <w:rPr>
          <w:rStyle w:val="17"/>
          <w:rFonts w:ascii="仿宋" w:hAnsi="仿宋" w:eastAsia="仿宋"/>
          <w:b w:val="0"/>
          <w:bCs/>
          <w:color w:val="000000"/>
          <w:sz w:val="32"/>
          <w:szCs w:val="32"/>
        </w:rPr>
        <w:t>%</w:t>
      </w:r>
      <w:r>
        <w:rPr>
          <w:rStyle w:val="17"/>
          <w:rFonts w:hint="eastAsia" w:ascii="仿宋" w:hAnsi="仿宋" w:eastAsia="仿宋"/>
          <w:b w:val="0"/>
          <w:bCs/>
          <w:color w:val="000000"/>
          <w:sz w:val="32"/>
          <w:szCs w:val="32"/>
        </w:rPr>
        <w:t>。决算数等于预算数。</w:t>
      </w:r>
    </w:p>
    <w:p w14:paraId="6A4F628D">
      <w:pPr>
        <w:spacing w:line="600" w:lineRule="exact"/>
        <w:ind w:firstLine="640" w:firstLineChars="200"/>
        <w:rPr>
          <w:rStyle w:val="17"/>
          <w:rFonts w:ascii="仿宋" w:hAnsi="仿宋" w:eastAsia="仿宋"/>
          <w:b w:val="0"/>
          <w:bCs/>
          <w:color w:val="000000"/>
          <w:sz w:val="32"/>
          <w:szCs w:val="32"/>
        </w:rPr>
      </w:pPr>
      <w:r>
        <w:rPr>
          <w:rFonts w:hint="eastAsia" w:ascii="仿宋" w:hAnsi="仿宋" w:eastAsia="仿宋"/>
          <w:color w:val="000000" w:themeColor="text1"/>
          <w:sz w:val="32"/>
          <w:szCs w:val="32"/>
        </w:rPr>
        <w:t>5.卫生健康</w:t>
      </w:r>
      <w:r>
        <w:rPr>
          <w:rStyle w:val="17"/>
          <w:rFonts w:hint="eastAsia" w:ascii="仿宋" w:hAnsi="仿宋" w:eastAsia="仿宋"/>
          <w:b w:val="0"/>
          <w:color w:val="000000"/>
          <w:sz w:val="32"/>
          <w:szCs w:val="32"/>
        </w:rPr>
        <w:t>（类）</w:t>
      </w:r>
      <w:r>
        <w:rPr>
          <w:rStyle w:val="17"/>
          <w:rFonts w:eastAsia="仿宋_GB2312"/>
          <w:b w:val="0"/>
          <w:sz w:val="32"/>
          <w:szCs w:val="32"/>
        </w:rPr>
        <w:t>公共卫生（款）基本公共卫生服务（项）</w:t>
      </w:r>
      <w:r>
        <w:rPr>
          <w:rStyle w:val="17"/>
          <w:rFonts w:hint="eastAsia" w:eastAsia="仿宋_GB2312"/>
          <w:b w:val="0"/>
          <w:sz w:val="32"/>
          <w:szCs w:val="32"/>
        </w:rPr>
        <w:t>:</w:t>
      </w:r>
      <w:r>
        <w:rPr>
          <w:rStyle w:val="17"/>
          <w:rFonts w:hint="eastAsia" w:eastAsia="仿宋_GB2312"/>
          <w:sz w:val="32"/>
          <w:szCs w:val="32"/>
        </w:rPr>
        <w:t xml:space="preserve"> </w:t>
      </w:r>
      <w:r>
        <w:rPr>
          <w:rStyle w:val="17"/>
          <w:rFonts w:hint="eastAsia" w:ascii="仿宋" w:hAnsi="仿宋" w:eastAsia="仿宋"/>
          <w:b w:val="0"/>
          <w:bCs/>
          <w:color w:val="000000"/>
          <w:sz w:val="32"/>
          <w:szCs w:val="32"/>
        </w:rPr>
        <w:t>支出决算为49.82万元，完成预算100</w:t>
      </w:r>
      <w:r>
        <w:rPr>
          <w:rStyle w:val="17"/>
          <w:rFonts w:ascii="仿宋" w:hAnsi="仿宋" w:eastAsia="仿宋"/>
          <w:b w:val="0"/>
          <w:bCs/>
          <w:color w:val="000000"/>
          <w:sz w:val="32"/>
          <w:szCs w:val="32"/>
        </w:rPr>
        <w:t>%</w:t>
      </w:r>
      <w:r>
        <w:rPr>
          <w:rStyle w:val="17"/>
          <w:rFonts w:hint="eastAsia" w:ascii="仿宋" w:hAnsi="仿宋" w:eastAsia="仿宋"/>
          <w:b w:val="0"/>
          <w:bCs/>
          <w:color w:val="000000"/>
          <w:sz w:val="32"/>
          <w:szCs w:val="32"/>
        </w:rPr>
        <w:t>。决算数等于预算数。</w:t>
      </w:r>
    </w:p>
    <w:p w14:paraId="03916E6F">
      <w:pPr>
        <w:spacing w:line="600" w:lineRule="exact"/>
        <w:ind w:firstLine="640" w:firstLineChars="200"/>
        <w:rPr>
          <w:rStyle w:val="17"/>
          <w:rFonts w:ascii="仿宋" w:hAnsi="仿宋" w:eastAsia="仿宋"/>
          <w:b w:val="0"/>
          <w:bCs/>
          <w:color w:val="000000"/>
          <w:sz w:val="32"/>
          <w:szCs w:val="32"/>
        </w:rPr>
      </w:pPr>
      <w:r>
        <w:rPr>
          <w:rFonts w:hint="eastAsia" w:ascii="仿宋" w:hAnsi="仿宋" w:eastAsia="仿宋"/>
          <w:color w:val="000000" w:themeColor="text1"/>
          <w:sz w:val="32"/>
          <w:szCs w:val="32"/>
        </w:rPr>
        <w:t>6.卫生健康</w:t>
      </w:r>
      <w:r>
        <w:rPr>
          <w:rStyle w:val="17"/>
          <w:rFonts w:hint="eastAsia" w:ascii="仿宋" w:hAnsi="仿宋" w:eastAsia="仿宋"/>
          <w:b w:val="0"/>
          <w:color w:val="000000"/>
          <w:sz w:val="32"/>
          <w:szCs w:val="32"/>
        </w:rPr>
        <w:t>（类）</w:t>
      </w:r>
      <w:r>
        <w:rPr>
          <w:rStyle w:val="17"/>
          <w:rFonts w:eastAsia="仿宋_GB2312"/>
          <w:b w:val="0"/>
          <w:sz w:val="32"/>
          <w:szCs w:val="32"/>
        </w:rPr>
        <w:t>公共卫生（款）重大公共卫生服务（项）</w:t>
      </w:r>
      <w:r>
        <w:rPr>
          <w:rStyle w:val="17"/>
          <w:rFonts w:hint="eastAsia" w:eastAsia="仿宋_GB2312"/>
          <w:b w:val="0"/>
          <w:sz w:val="32"/>
          <w:szCs w:val="32"/>
        </w:rPr>
        <w:t>:</w:t>
      </w:r>
      <w:r>
        <w:rPr>
          <w:rStyle w:val="17"/>
          <w:rFonts w:hint="eastAsia" w:ascii="仿宋" w:hAnsi="仿宋" w:eastAsia="仿宋"/>
          <w:b w:val="0"/>
          <w:bCs/>
          <w:color w:val="000000"/>
          <w:sz w:val="32"/>
          <w:szCs w:val="32"/>
        </w:rPr>
        <w:t>支出决算为7.70万元，完成预算100</w:t>
      </w:r>
      <w:r>
        <w:rPr>
          <w:rStyle w:val="17"/>
          <w:rFonts w:ascii="仿宋" w:hAnsi="仿宋" w:eastAsia="仿宋"/>
          <w:b w:val="0"/>
          <w:bCs/>
          <w:color w:val="000000"/>
          <w:sz w:val="32"/>
          <w:szCs w:val="32"/>
        </w:rPr>
        <w:t>%</w:t>
      </w:r>
      <w:r>
        <w:rPr>
          <w:rStyle w:val="17"/>
          <w:rFonts w:hint="eastAsia" w:ascii="仿宋" w:hAnsi="仿宋" w:eastAsia="仿宋"/>
          <w:b w:val="0"/>
          <w:bCs/>
          <w:color w:val="000000"/>
          <w:sz w:val="32"/>
          <w:szCs w:val="32"/>
        </w:rPr>
        <w:t>。决算数等于预算数。</w:t>
      </w:r>
    </w:p>
    <w:p w14:paraId="6BA241F2">
      <w:pPr>
        <w:spacing w:line="600" w:lineRule="exact"/>
        <w:ind w:firstLine="640" w:firstLineChars="200"/>
        <w:rPr>
          <w:rFonts w:eastAsia="仿宋_GB2312"/>
        </w:rPr>
      </w:pPr>
      <w:r>
        <w:rPr>
          <w:rFonts w:hint="eastAsia" w:ascii="仿宋" w:hAnsi="仿宋" w:eastAsia="仿宋"/>
          <w:color w:val="000000" w:themeColor="text1"/>
          <w:sz w:val="32"/>
          <w:szCs w:val="32"/>
        </w:rPr>
        <w:t>7.卫生健康</w:t>
      </w:r>
      <w:r>
        <w:rPr>
          <w:rStyle w:val="17"/>
          <w:rFonts w:hint="eastAsia" w:ascii="仿宋" w:hAnsi="仿宋" w:eastAsia="仿宋"/>
          <w:b w:val="0"/>
          <w:color w:val="000000"/>
          <w:sz w:val="32"/>
          <w:szCs w:val="32"/>
        </w:rPr>
        <w:t>（类）</w:t>
      </w:r>
      <w:r>
        <w:rPr>
          <w:rStyle w:val="17"/>
          <w:rFonts w:eastAsia="仿宋_GB2312"/>
          <w:b w:val="0"/>
          <w:sz w:val="32"/>
          <w:szCs w:val="32"/>
        </w:rPr>
        <w:t>公共卫生（款）其他公共卫生支出（项）</w:t>
      </w:r>
      <w:r>
        <w:rPr>
          <w:rStyle w:val="17"/>
          <w:rFonts w:hint="eastAsia" w:eastAsia="仿宋_GB2312"/>
          <w:b w:val="0"/>
          <w:sz w:val="32"/>
          <w:szCs w:val="32"/>
        </w:rPr>
        <w:t>:</w:t>
      </w:r>
      <w:r>
        <w:rPr>
          <w:rStyle w:val="17"/>
          <w:rFonts w:hint="eastAsia" w:ascii="仿宋" w:hAnsi="仿宋" w:eastAsia="仿宋"/>
          <w:b w:val="0"/>
          <w:color w:val="000000"/>
          <w:sz w:val="32"/>
          <w:szCs w:val="32"/>
        </w:rPr>
        <w:t>支出决算为3.2万元，完成预算100</w:t>
      </w:r>
      <w:r>
        <w:rPr>
          <w:rStyle w:val="17"/>
          <w:rFonts w:ascii="仿宋" w:hAnsi="仿宋" w:eastAsia="仿宋"/>
          <w:b w:val="0"/>
          <w:color w:val="000000"/>
          <w:sz w:val="32"/>
          <w:szCs w:val="32"/>
        </w:rPr>
        <w:t>%</w:t>
      </w:r>
      <w:r>
        <w:rPr>
          <w:rStyle w:val="17"/>
          <w:rFonts w:hint="eastAsia" w:ascii="仿宋" w:hAnsi="仿宋" w:eastAsia="仿宋"/>
          <w:b w:val="0"/>
          <w:color w:val="000000"/>
          <w:sz w:val="32"/>
          <w:szCs w:val="32"/>
        </w:rPr>
        <w:t>。决算数等于预算数。</w:t>
      </w:r>
    </w:p>
    <w:p w14:paraId="0079B7FB">
      <w:pPr>
        <w:spacing w:line="600" w:lineRule="exact"/>
        <w:ind w:firstLine="640" w:firstLineChars="200"/>
        <w:rPr>
          <w:rFonts w:eastAsia="仿宋_GB2312"/>
        </w:rPr>
      </w:pPr>
      <w:r>
        <w:rPr>
          <w:rStyle w:val="17"/>
          <w:rFonts w:hint="eastAsia" w:ascii="仿宋" w:hAnsi="仿宋" w:eastAsia="仿宋"/>
          <w:b w:val="0"/>
          <w:color w:val="000000"/>
          <w:sz w:val="32"/>
          <w:szCs w:val="32"/>
        </w:rPr>
        <w:t>8.</w:t>
      </w:r>
      <w:r>
        <w:rPr>
          <w:rFonts w:hint="eastAsia" w:ascii="仿宋" w:hAnsi="仿宋" w:eastAsia="仿宋"/>
          <w:color w:val="000000" w:themeColor="text1"/>
          <w:sz w:val="32"/>
          <w:szCs w:val="32"/>
        </w:rPr>
        <w:t>卫生健康</w:t>
      </w:r>
      <w:r>
        <w:rPr>
          <w:rStyle w:val="17"/>
          <w:rFonts w:hint="eastAsia" w:ascii="仿宋" w:hAnsi="仿宋" w:eastAsia="仿宋"/>
          <w:b w:val="0"/>
          <w:color w:val="000000"/>
          <w:sz w:val="32"/>
          <w:szCs w:val="32"/>
        </w:rPr>
        <w:t>（类）</w:t>
      </w:r>
      <w:r>
        <w:rPr>
          <w:rStyle w:val="17"/>
          <w:rFonts w:eastAsia="仿宋_GB2312"/>
          <w:b w:val="0"/>
          <w:sz w:val="32"/>
          <w:szCs w:val="32"/>
        </w:rPr>
        <w:t>公共卫生（款）行政事业单位医疗（款）事业单位医疗（项）</w:t>
      </w:r>
      <w:r>
        <w:rPr>
          <w:rStyle w:val="17"/>
          <w:rFonts w:hint="eastAsia" w:eastAsia="仿宋_GB2312"/>
          <w:b w:val="0"/>
          <w:sz w:val="32"/>
          <w:szCs w:val="32"/>
        </w:rPr>
        <w:t>:</w:t>
      </w:r>
      <w:r>
        <w:rPr>
          <w:rStyle w:val="17"/>
          <w:rFonts w:hint="eastAsia" w:ascii="仿宋" w:hAnsi="仿宋" w:eastAsia="仿宋"/>
          <w:b w:val="0"/>
          <w:color w:val="000000"/>
          <w:sz w:val="32"/>
          <w:szCs w:val="32"/>
        </w:rPr>
        <w:t>支出决算为6.03万元，完成预算100</w:t>
      </w:r>
      <w:r>
        <w:rPr>
          <w:rStyle w:val="17"/>
          <w:rFonts w:ascii="仿宋" w:hAnsi="仿宋" w:eastAsia="仿宋"/>
          <w:b w:val="0"/>
          <w:color w:val="000000"/>
          <w:sz w:val="32"/>
          <w:szCs w:val="32"/>
        </w:rPr>
        <w:t>%</w:t>
      </w:r>
      <w:r>
        <w:rPr>
          <w:rStyle w:val="17"/>
          <w:rFonts w:hint="eastAsia" w:ascii="仿宋" w:hAnsi="仿宋" w:eastAsia="仿宋"/>
          <w:b w:val="0"/>
          <w:color w:val="000000"/>
          <w:sz w:val="32"/>
          <w:szCs w:val="32"/>
        </w:rPr>
        <w:t>。</w:t>
      </w:r>
      <w:r>
        <w:rPr>
          <w:rStyle w:val="17"/>
          <w:rFonts w:hint="eastAsia" w:ascii="仿宋" w:hAnsi="仿宋" w:eastAsia="仿宋"/>
          <w:b w:val="0"/>
          <w:bCs/>
          <w:color w:val="000000"/>
          <w:sz w:val="32"/>
          <w:szCs w:val="32"/>
        </w:rPr>
        <w:t>决算数等于预算数。</w:t>
      </w:r>
    </w:p>
    <w:p w14:paraId="4DE833D5">
      <w:pPr>
        <w:spacing w:line="600" w:lineRule="exact"/>
        <w:ind w:firstLine="640" w:firstLineChars="200"/>
      </w:pPr>
      <w:r>
        <w:rPr>
          <w:rStyle w:val="17"/>
          <w:rFonts w:hint="eastAsia" w:ascii="仿宋" w:hAnsi="仿宋" w:eastAsia="仿宋"/>
          <w:b w:val="0"/>
          <w:color w:val="000000"/>
          <w:sz w:val="32"/>
          <w:szCs w:val="32"/>
        </w:rPr>
        <w:t>9.</w:t>
      </w:r>
      <w:r>
        <w:rPr>
          <w:rFonts w:hint="eastAsia" w:ascii="仿宋" w:hAnsi="仿宋" w:eastAsia="仿宋"/>
          <w:color w:val="000000" w:themeColor="text1"/>
          <w:sz w:val="32"/>
          <w:szCs w:val="32"/>
        </w:rPr>
        <w:t>卫生健康</w:t>
      </w:r>
      <w:r>
        <w:rPr>
          <w:rStyle w:val="17"/>
          <w:rFonts w:hint="eastAsia" w:ascii="仿宋" w:hAnsi="仿宋" w:eastAsia="仿宋"/>
          <w:b w:val="0"/>
          <w:color w:val="000000"/>
          <w:sz w:val="32"/>
          <w:szCs w:val="32"/>
        </w:rPr>
        <w:t>（类）</w:t>
      </w:r>
      <w:r>
        <w:rPr>
          <w:rStyle w:val="17"/>
          <w:rFonts w:eastAsia="仿宋_GB2312"/>
          <w:b w:val="0"/>
          <w:sz w:val="32"/>
          <w:szCs w:val="32"/>
        </w:rPr>
        <w:t>公共卫生（款）行政事业单位医疗（款）事业单位医疗（项）</w:t>
      </w:r>
      <w:r>
        <w:rPr>
          <w:rStyle w:val="17"/>
          <w:rFonts w:hint="eastAsia" w:eastAsia="仿宋_GB2312"/>
          <w:b w:val="0"/>
          <w:sz w:val="32"/>
          <w:szCs w:val="32"/>
        </w:rPr>
        <w:t>:</w:t>
      </w:r>
      <w:r>
        <w:rPr>
          <w:rStyle w:val="17"/>
          <w:rFonts w:hint="eastAsia" w:ascii="仿宋" w:hAnsi="仿宋" w:eastAsia="仿宋"/>
          <w:b w:val="0"/>
          <w:color w:val="000000"/>
          <w:sz w:val="32"/>
          <w:szCs w:val="32"/>
        </w:rPr>
        <w:t>支出决算为3.19万元，完成预算100</w:t>
      </w:r>
      <w:r>
        <w:rPr>
          <w:rStyle w:val="17"/>
          <w:rFonts w:ascii="仿宋" w:hAnsi="仿宋" w:eastAsia="仿宋"/>
          <w:b w:val="0"/>
          <w:color w:val="000000"/>
          <w:sz w:val="32"/>
          <w:szCs w:val="32"/>
        </w:rPr>
        <w:t>%</w:t>
      </w:r>
      <w:r>
        <w:rPr>
          <w:rStyle w:val="17"/>
          <w:rFonts w:hint="eastAsia" w:ascii="仿宋" w:hAnsi="仿宋" w:eastAsia="仿宋"/>
          <w:b w:val="0"/>
          <w:color w:val="000000"/>
          <w:sz w:val="32"/>
          <w:szCs w:val="32"/>
        </w:rPr>
        <w:t>。决算数等于预算数。</w:t>
      </w:r>
    </w:p>
    <w:p w14:paraId="7E6DC242">
      <w:pPr>
        <w:spacing w:line="600" w:lineRule="exact"/>
        <w:ind w:firstLine="640" w:firstLineChars="200"/>
        <w:rPr>
          <w:rFonts w:ascii="仿宋" w:hAnsi="仿宋" w:eastAsia="仿宋"/>
          <w:color w:val="000000"/>
          <w:sz w:val="32"/>
          <w:szCs w:val="32"/>
        </w:rPr>
      </w:pPr>
      <w:r>
        <w:rPr>
          <w:rStyle w:val="17"/>
          <w:rFonts w:hint="eastAsia" w:ascii="仿宋" w:hAnsi="仿宋" w:eastAsia="仿宋"/>
          <w:b w:val="0"/>
          <w:color w:val="000000"/>
          <w:sz w:val="32"/>
          <w:szCs w:val="32"/>
        </w:rPr>
        <w:t>10.住房保障支出（类）住房改革支出（款）住房公积金（项）：支出决算为8.43万元，完成预算100</w:t>
      </w:r>
      <w:r>
        <w:rPr>
          <w:rStyle w:val="17"/>
          <w:rFonts w:ascii="仿宋" w:hAnsi="仿宋" w:eastAsia="仿宋"/>
          <w:b w:val="0"/>
          <w:color w:val="000000"/>
          <w:sz w:val="32"/>
          <w:szCs w:val="32"/>
        </w:rPr>
        <w:t>%</w:t>
      </w:r>
      <w:r>
        <w:rPr>
          <w:rStyle w:val="17"/>
          <w:rFonts w:hint="eastAsia" w:ascii="仿宋" w:hAnsi="仿宋" w:eastAsia="仿宋"/>
          <w:b w:val="0"/>
          <w:color w:val="000000"/>
          <w:sz w:val="32"/>
          <w:szCs w:val="32"/>
        </w:rPr>
        <w:t>。决算数等于预算数。</w:t>
      </w:r>
    </w:p>
    <w:p w14:paraId="70D04F62">
      <w:pPr>
        <w:tabs>
          <w:tab w:val="right" w:pos="8306"/>
        </w:tabs>
        <w:spacing w:line="600" w:lineRule="exact"/>
        <w:ind w:firstLine="640"/>
        <w:outlineLvl w:val="1"/>
        <w:rPr>
          <w:rStyle w:val="29"/>
        </w:rPr>
      </w:pPr>
      <w:bookmarkStart w:id="32" w:name="_Toc15396608"/>
      <w:bookmarkStart w:id="33"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2"/>
      <w:bookmarkEnd w:id="33"/>
      <w:r>
        <w:rPr>
          <w:rStyle w:val="29"/>
          <w:rFonts w:ascii="黑体" w:hAnsi="黑体" w:eastAsia="黑体"/>
          <w:b w:val="0"/>
        </w:rPr>
        <w:tab/>
      </w:r>
    </w:p>
    <w:p w14:paraId="0D059237">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sz w:val="32"/>
          <w:szCs w:val="32"/>
        </w:rPr>
        <w:t>107.29</w:t>
      </w:r>
      <w:r>
        <w:rPr>
          <w:rFonts w:hint="eastAsia" w:ascii="仿宋" w:hAnsi="仿宋" w:eastAsia="仿宋"/>
          <w:sz w:val="32"/>
          <w:szCs w:val="32"/>
        </w:rPr>
        <w:t>万元，其中：</w:t>
      </w:r>
    </w:p>
    <w:p w14:paraId="0D0F3479">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sz w:val="32"/>
          <w:szCs w:val="32"/>
        </w:rPr>
        <w:t>107.17</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sz w:val="32"/>
          <w:szCs w:val="32"/>
        </w:rPr>
        <w:t>0.12</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074DD8F2">
      <w:pPr>
        <w:spacing w:line="600" w:lineRule="exact"/>
        <w:ind w:firstLine="640"/>
        <w:outlineLvl w:val="1"/>
        <w:rPr>
          <w:rStyle w:val="29"/>
          <w:rFonts w:ascii="黑体" w:hAnsi="黑体" w:eastAsia="黑体"/>
          <w:b w:val="0"/>
        </w:rPr>
      </w:pPr>
      <w:bookmarkStart w:id="34" w:name="_Toc15377215"/>
      <w:bookmarkStart w:id="35"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4"/>
      <w:bookmarkEnd w:id="35"/>
    </w:p>
    <w:p w14:paraId="0CB3CBF7">
      <w:pPr>
        <w:spacing w:line="600" w:lineRule="exact"/>
        <w:ind w:firstLine="640"/>
        <w:outlineLvl w:val="2"/>
        <w:rPr>
          <w:rFonts w:ascii="仿宋" w:hAnsi="仿宋" w:eastAsia="仿宋"/>
          <w:b/>
          <w:sz w:val="32"/>
          <w:szCs w:val="32"/>
        </w:rPr>
      </w:pPr>
      <w:bookmarkStart w:id="36" w:name="_Toc15377216"/>
      <w:r>
        <w:rPr>
          <w:rFonts w:hint="eastAsia" w:ascii="仿宋" w:hAnsi="仿宋" w:eastAsia="仿宋"/>
          <w:b/>
          <w:sz w:val="32"/>
          <w:szCs w:val="32"/>
        </w:rPr>
        <w:t>（一）“三公”经费财政拨款支出决算总体情况说明</w:t>
      </w:r>
      <w:bookmarkEnd w:id="36"/>
    </w:p>
    <w:p w14:paraId="4543EEEA">
      <w:pPr>
        <w:spacing w:line="600" w:lineRule="exact"/>
        <w:ind w:firstLine="640"/>
        <w:rPr>
          <w:rFonts w:ascii="仿宋" w:hAnsi="仿宋" w:eastAsia="仿宋"/>
          <w:b/>
          <w:sz w:val="32"/>
          <w:szCs w:val="32"/>
        </w:rPr>
      </w:pPr>
      <w:r>
        <w:rPr>
          <w:rFonts w:hint="eastAsia" w:ascii="仿宋" w:hAnsi="仿宋" w:eastAsia="仿宋"/>
          <w:sz w:val="32"/>
          <w:szCs w:val="32"/>
        </w:rPr>
        <w:t>2023年度“三公”经费财政拨款支出决算为</w:t>
      </w:r>
      <w:r>
        <w:rPr>
          <w:rFonts w:ascii="仿宋" w:hAnsi="仿宋" w:eastAsia="仿宋"/>
          <w:sz w:val="32"/>
          <w:szCs w:val="32"/>
        </w:rPr>
        <w:t>0</w:t>
      </w:r>
      <w:r>
        <w:rPr>
          <w:rFonts w:hint="eastAsia" w:ascii="仿宋" w:hAnsi="仿宋" w:eastAsia="仿宋"/>
          <w:sz w:val="32"/>
          <w:szCs w:val="32"/>
        </w:rPr>
        <w:t>万元。</w:t>
      </w:r>
    </w:p>
    <w:p w14:paraId="12C408E7">
      <w:pPr>
        <w:spacing w:line="600" w:lineRule="exact"/>
        <w:ind w:firstLine="640"/>
        <w:outlineLvl w:val="2"/>
        <w:rPr>
          <w:rFonts w:ascii="仿宋" w:hAnsi="仿宋" w:eastAsia="仿宋"/>
          <w:b/>
          <w:sz w:val="32"/>
          <w:szCs w:val="32"/>
        </w:rPr>
      </w:pPr>
      <w:bookmarkStart w:id="37" w:name="_Toc15377217"/>
      <w:r>
        <w:rPr>
          <w:rFonts w:hint="eastAsia" w:ascii="仿宋" w:hAnsi="仿宋" w:eastAsia="仿宋"/>
          <w:b/>
          <w:sz w:val="32"/>
          <w:szCs w:val="32"/>
        </w:rPr>
        <w:t>（二）“三公”经费财政拨款支出决算具体情况说明</w:t>
      </w:r>
      <w:bookmarkEnd w:id="37"/>
    </w:p>
    <w:p w14:paraId="052C963D">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；公务接待费支出决算0万元，占0</w:t>
      </w:r>
      <w:r>
        <w:rPr>
          <w:rFonts w:ascii="仿宋" w:hAnsi="仿宋" w:eastAsia="仿宋"/>
          <w:sz w:val="32"/>
          <w:szCs w:val="32"/>
        </w:rPr>
        <w:t>%</w:t>
      </w:r>
      <w:r>
        <w:rPr>
          <w:rFonts w:hint="eastAsia" w:ascii="仿宋" w:hAnsi="仿宋" w:eastAsia="仿宋"/>
          <w:sz w:val="32"/>
          <w:szCs w:val="32"/>
        </w:rPr>
        <w:t>。具体情况如下：</w:t>
      </w:r>
    </w:p>
    <w:p w14:paraId="588BAD08">
      <w:pPr>
        <w:pStyle w:val="2"/>
        <w:spacing w:before="93"/>
        <w:rPr>
          <w:rFonts w:ascii="仿宋" w:hAnsi="仿宋" w:eastAsia="仿宋"/>
          <w:sz w:val="32"/>
          <w:szCs w:val="32"/>
        </w:rPr>
      </w:pPr>
      <w:r>
        <w:rPr>
          <w:rFonts w:hint="eastAsia" w:ascii="仿宋" w:hAnsi="仿宋" w:eastAsia="仿宋"/>
          <w:sz w:val="32"/>
          <w:szCs w:val="32"/>
        </w:rPr>
        <w:object>
          <v:shape id="_x0000_i1025" o:spt="75" type="#_x0000_t75" style="height:190.5pt;width:345.75pt;" o:ole="t" filled="f" o:preferrelative="t" stroked="f" coordsize="21600,21600">
            <v:path/>
            <v:fill on="f" focussize="0,0"/>
            <v:stroke on="f" joinstyle="miter"/>
            <v:imagedata r:id="rId16" o:title=""/>
            <o:lock v:ext="edit" aspectratio="t"/>
            <w10:wrap type="none"/>
            <w10:anchorlock/>
          </v:shape>
          <o:OLEObject Type="Embed" ProgID="Excel.Chart.8" ShapeID="_x0000_i1025" DrawAspect="Content" ObjectID="_1468075725" r:id="rId15">
            <o:LockedField>false</o:LockedField>
          </o:OLEObject>
        </w:object>
      </w:r>
    </w:p>
    <w:p w14:paraId="1D8824BD">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w:t>
      </w:r>
    </w:p>
    <w:p w14:paraId="21D18204">
      <w:pPr>
        <w:spacing w:line="600" w:lineRule="exact"/>
        <w:ind w:firstLine="640"/>
        <w:rPr>
          <w:rFonts w:ascii="仿宋_GB2312" w:eastAsia="仿宋_GB2312"/>
          <w:bCs/>
          <w:sz w:val="32"/>
          <w:szCs w:val="32"/>
        </w:rPr>
      </w:pPr>
      <w:bookmarkStart w:id="38" w:name="_Toc15377218"/>
      <w:bookmarkStart w:id="39" w:name="_Toc15396610"/>
      <w:r>
        <w:rPr>
          <w:rFonts w:ascii="仿宋_GB2312" w:eastAsia="仿宋_GB2312"/>
          <w:bCs/>
          <w:sz w:val="32"/>
          <w:szCs w:val="32"/>
        </w:rPr>
        <w:t>1.</w:t>
      </w:r>
      <w:r>
        <w:rPr>
          <w:rFonts w:hint="eastAsia" w:ascii="仿宋_GB2312" w:eastAsia="仿宋_GB2312"/>
          <w:bCs/>
          <w:sz w:val="32"/>
          <w:szCs w:val="32"/>
        </w:rPr>
        <w:t>因公出国（境）经费支出</w:t>
      </w:r>
      <w:r>
        <w:rPr>
          <w:rFonts w:ascii="仿宋" w:hAnsi="仿宋" w:eastAsia="仿宋"/>
          <w:bCs/>
          <w:sz w:val="32"/>
          <w:szCs w:val="32"/>
        </w:rPr>
        <w:t>0</w:t>
      </w:r>
      <w:r>
        <w:rPr>
          <w:rFonts w:hint="eastAsia" w:ascii="仿宋_GB2312" w:eastAsia="仿宋_GB2312"/>
          <w:bCs/>
          <w:sz w:val="32"/>
          <w:szCs w:val="32"/>
        </w:rPr>
        <w:t>万元，0万元，</w:t>
      </w:r>
      <w:r>
        <w:rPr>
          <w:rStyle w:val="17"/>
          <w:rFonts w:hint="eastAsia" w:ascii="仿宋" w:hAnsi="仿宋" w:eastAsia="仿宋"/>
          <w:b w:val="0"/>
          <w:bCs/>
          <w:sz w:val="32"/>
          <w:szCs w:val="32"/>
        </w:rPr>
        <w:t>完成预算0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bCs/>
          <w:sz w:val="32"/>
          <w:szCs w:val="32"/>
        </w:rPr>
        <w:t>全年安排因公出国（境）团组0次，出国（境）0人。</w:t>
      </w:r>
    </w:p>
    <w:p w14:paraId="6A99625A">
      <w:pPr>
        <w:spacing w:line="600" w:lineRule="exact"/>
        <w:ind w:firstLine="640"/>
        <w:rPr>
          <w:rFonts w:ascii="仿宋_GB2312" w:eastAsia="仿宋_GB2312"/>
          <w:b/>
          <w:sz w:val="32"/>
          <w:szCs w:val="32"/>
        </w:rPr>
      </w:pPr>
      <w:r>
        <w:rPr>
          <w:rFonts w:ascii="仿宋_GB2312" w:eastAsia="仿宋_GB2312"/>
          <w:bCs/>
          <w:sz w:val="32"/>
          <w:szCs w:val="32"/>
        </w:rPr>
        <w:t>2.</w:t>
      </w:r>
      <w:r>
        <w:rPr>
          <w:rFonts w:hint="eastAsia" w:ascii="仿宋_GB2312" w:eastAsia="仿宋_GB2312"/>
          <w:bCs/>
          <w:sz w:val="32"/>
          <w:szCs w:val="32"/>
        </w:rPr>
        <w:t>公务用车购置及运行维护费支出0万元。</w:t>
      </w:r>
      <w:r>
        <w:rPr>
          <w:rStyle w:val="17"/>
          <w:rFonts w:hint="eastAsia" w:ascii="仿宋" w:hAnsi="仿宋" w:eastAsia="仿宋"/>
          <w:b w:val="0"/>
          <w:bCs/>
          <w:sz w:val="32"/>
          <w:szCs w:val="32"/>
        </w:rPr>
        <w:t>完成预算0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bCs/>
          <w:sz w:val="32"/>
          <w:szCs w:val="32"/>
        </w:rPr>
        <w:t>公务用车购置及运行维护费支出决算比</w:t>
      </w:r>
      <w:r>
        <w:rPr>
          <w:rFonts w:ascii="仿宋_GB2312" w:eastAsia="仿宋_GB2312"/>
          <w:bCs/>
          <w:sz w:val="32"/>
          <w:szCs w:val="32"/>
        </w:rPr>
        <w:t>20</w:t>
      </w:r>
      <w:r>
        <w:rPr>
          <w:rFonts w:hint="eastAsia" w:ascii="仿宋_GB2312" w:eastAsia="仿宋_GB2312"/>
          <w:bCs/>
          <w:sz w:val="32"/>
          <w:szCs w:val="32"/>
        </w:rPr>
        <w:t>22年减少0</w:t>
      </w:r>
      <w:r>
        <w:rPr>
          <w:rFonts w:hint="eastAsia" w:ascii="仿宋_GB2312" w:eastAsia="仿宋_GB2312"/>
          <w:sz w:val="32"/>
          <w:szCs w:val="32"/>
        </w:rPr>
        <w:t>万元，减少0</w:t>
      </w:r>
      <w:r>
        <w:rPr>
          <w:rFonts w:ascii="仿宋_GB2312" w:eastAsia="仿宋_GB2312"/>
          <w:sz w:val="32"/>
          <w:szCs w:val="32"/>
        </w:rPr>
        <w:t>%</w:t>
      </w:r>
      <w:r>
        <w:rPr>
          <w:rFonts w:hint="eastAsia" w:ascii="仿宋_GB2312" w:eastAsia="仿宋_GB2312"/>
          <w:sz w:val="32"/>
          <w:szCs w:val="32"/>
        </w:rPr>
        <w:t>。主要原因是无公务用车购置及运行维护费</w:t>
      </w:r>
      <w:r>
        <w:rPr>
          <w:rFonts w:hint="eastAsia" w:ascii="仿宋_GB2312" w:eastAsia="仿宋_GB2312"/>
          <w:color w:val="000000"/>
          <w:sz w:val="32"/>
          <w:szCs w:val="32"/>
        </w:rPr>
        <w:t>支出</w:t>
      </w:r>
      <w:r>
        <w:rPr>
          <w:rFonts w:hint="eastAsia" w:ascii="仿宋_GB2312" w:eastAsia="仿宋_GB2312"/>
          <w:sz w:val="32"/>
          <w:szCs w:val="32"/>
        </w:rPr>
        <w:t>。</w:t>
      </w:r>
    </w:p>
    <w:p w14:paraId="7528F01B">
      <w:pPr>
        <w:spacing w:line="600" w:lineRule="exact"/>
        <w:ind w:firstLine="640" w:firstLineChars="200"/>
        <w:rPr>
          <w:rFonts w:ascii="仿宋_GB2312" w:eastAsia="仿宋_GB2312"/>
          <w:b w:val="0"/>
          <w:bCs w:val="0"/>
          <w:sz w:val="32"/>
          <w:szCs w:val="32"/>
        </w:rPr>
      </w:pPr>
      <w:r>
        <w:rPr>
          <w:rFonts w:hint="eastAsia" w:ascii="仿宋_GB2312" w:eastAsia="仿宋_GB2312"/>
          <w:sz w:val="32"/>
          <w:szCs w:val="32"/>
        </w:rPr>
        <w:t>其中：公务用车购置支出</w:t>
      </w:r>
      <w:r>
        <w:rPr>
          <w:rFonts w:ascii="仿宋" w:hAnsi="仿宋" w:eastAsia="仿宋"/>
          <w:sz w:val="32"/>
          <w:szCs w:val="32"/>
        </w:rPr>
        <w:t>0</w:t>
      </w:r>
      <w:r>
        <w:rPr>
          <w:rFonts w:hint="eastAsia" w:ascii="仿宋_GB2312" w:eastAsia="仿宋_GB2312"/>
          <w:sz w:val="32"/>
          <w:szCs w:val="32"/>
        </w:rPr>
        <w:t>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b w:val="0"/>
          <w:bCs w:val="0"/>
          <w:sz w:val="32"/>
          <w:szCs w:val="32"/>
        </w:rPr>
        <w:t>月底，单位共有公务用车0辆，其中：轿车0辆、越野车0辆、载客汽车0辆。</w:t>
      </w:r>
    </w:p>
    <w:p w14:paraId="7D8B225F">
      <w:pPr>
        <w:pStyle w:val="2"/>
        <w:spacing w:before="93"/>
        <w:ind w:firstLine="600" w:firstLineChars="200"/>
        <w:rPr>
          <w:rFonts w:hint="eastAsia"/>
          <w:b w:val="0"/>
          <w:bCs/>
        </w:rPr>
      </w:pPr>
      <w:r>
        <w:rPr>
          <w:rFonts w:hint="eastAsia"/>
          <w:b w:val="0"/>
          <w:bCs/>
        </w:rPr>
        <w:t>公务用车运行维护费支出0万元。主要用于紧急救护、下村体检、运送医疗废物等所需的公务用车燃料费、维修费、过路过桥费、保险费等支出。</w:t>
      </w:r>
    </w:p>
    <w:p w14:paraId="10E96595">
      <w:pPr>
        <w:pStyle w:val="2"/>
        <w:spacing w:before="93"/>
        <w:ind w:firstLine="600" w:firstLineChars="200"/>
        <w:rPr>
          <w:rFonts w:hint="eastAsia"/>
          <w:b w:val="0"/>
          <w:bCs/>
        </w:rPr>
      </w:pPr>
      <w:r>
        <w:rPr>
          <w:rFonts w:hint="eastAsia"/>
          <w:b w:val="0"/>
          <w:bCs/>
        </w:rPr>
        <w:t>公务接待费支出0万元，主要用于紧急救护、下村体检、运送医疗废物等所需的公务用车燃料费、维修费、过路过桥费、保险费等支出。</w:t>
      </w:r>
      <w:bookmarkStart w:id="65" w:name="_GoBack"/>
      <w:bookmarkEnd w:id="65"/>
    </w:p>
    <w:p w14:paraId="7F6E3355">
      <w:pPr>
        <w:pStyle w:val="2"/>
        <w:spacing w:before="93"/>
        <w:rPr>
          <w:b w:val="0"/>
          <w:bCs/>
        </w:rPr>
      </w:pPr>
    </w:p>
    <w:p w14:paraId="30C188D9">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38"/>
      <w:bookmarkEnd w:id="39"/>
    </w:p>
    <w:p w14:paraId="1134EC9C">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2023年度政府性基金预算财政拨款支出0万元。</w:t>
      </w:r>
    </w:p>
    <w:p w14:paraId="43258704">
      <w:pPr>
        <w:pStyle w:val="2"/>
        <w:spacing w:before="93"/>
      </w:pPr>
    </w:p>
    <w:p w14:paraId="54677E81">
      <w:pPr>
        <w:numPr>
          <w:ilvl w:val="0"/>
          <w:numId w:val="2"/>
        </w:numPr>
        <w:spacing w:line="600" w:lineRule="exact"/>
        <w:ind w:firstLine="640"/>
        <w:outlineLvl w:val="1"/>
        <w:rPr>
          <w:rStyle w:val="29"/>
          <w:rFonts w:ascii="黑体" w:hAnsi="黑体" w:eastAsia="黑体"/>
          <w:b w:val="0"/>
        </w:rPr>
      </w:pPr>
      <w:bookmarkStart w:id="40" w:name="_Toc15377219"/>
      <w:bookmarkStart w:id="41" w:name="_Toc15396611"/>
      <w:r>
        <w:rPr>
          <w:rStyle w:val="29"/>
          <w:rFonts w:hint="eastAsia" w:ascii="黑体" w:hAnsi="黑体" w:eastAsia="黑体"/>
          <w:b w:val="0"/>
        </w:rPr>
        <w:t>国有资本经营预算支出决算情况说明</w:t>
      </w:r>
      <w:bookmarkEnd w:id="40"/>
      <w:bookmarkEnd w:id="41"/>
    </w:p>
    <w:p w14:paraId="422B648E">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2023年度国有资本经营预算财政拨款支出0万元。</w:t>
      </w:r>
    </w:p>
    <w:p w14:paraId="1E416679">
      <w:pPr>
        <w:pStyle w:val="2"/>
        <w:spacing w:before="93"/>
      </w:pPr>
    </w:p>
    <w:p w14:paraId="64E36336">
      <w:pPr>
        <w:numPr>
          <w:ilvl w:val="0"/>
          <w:numId w:val="2"/>
        </w:numPr>
        <w:spacing w:line="600" w:lineRule="exact"/>
        <w:ind w:firstLine="640"/>
        <w:outlineLvl w:val="1"/>
        <w:rPr>
          <w:rStyle w:val="29"/>
          <w:rFonts w:ascii="黑体" w:hAnsi="黑体" w:eastAsia="黑体"/>
          <w:b w:val="0"/>
        </w:rPr>
      </w:pPr>
      <w:bookmarkStart w:id="42" w:name="_Toc15377221"/>
      <w:bookmarkStart w:id="43" w:name="_Toc15396612"/>
      <w:r>
        <w:rPr>
          <w:rStyle w:val="29"/>
          <w:rFonts w:hint="eastAsia" w:ascii="黑体" w:hAnsi="黑体" w:eastAsia="黑体"/>
          <w:b w:val="0"/>
        </w:rPr>
        <w:t>其他重要事项的情况说明</w:t>
      </w:r>
      <w:bookmarkEnd w:id="42"/>
      <w:bookmarkEnd w:id="43"/>
    </w:p>
    <w:p w14:paraId="18780389">
      <w:pPr>
        <w:spacing w:line="600" w:lineRule="exact"/>
        <w:ind w:firstLine="643" w:firstLineChars="200"/>
        <w:outlineLvl w:val="2"/>
        <w:rPr>
          <w:rFonts w:ascii="仿宋" w:hAnsi="仿宋" w:eastAsia="仿宋"/>
          <w:sz w:val="32"/>
          <w:szCs w:val="32"/>
        </w:rPr>
      </w:pPr>
      <w:bookmarkStart w:id="44" w:name="_Toc15377222"/>
      <w:r>
        <w:rPr>
          <w:rFonts w:hint="eastAsia" w:ascii="仿宋" w:hAnsi="仿宋" w:eastAsia="仿宋"/>
          <w:b/>
          <w:sz w:val="32"/>
          <w:szCs w:val="32"/>
        </w:rPr>
        <w:t>（一）机关运行经费支出情况</w:t>
      </w:r>
      <w:bookmarkEnd w:id="44"/>
    </w:p>
    <w:p w14:paraId="3C1A9C34">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hint="eastAsia" w:ascii="仿宋_GB2312" w:eastAsia="仿宋_GB2312"/>
          <w:color w:val="000000"/>
          <w:sz w:val="32"/>
          <w:szCs w:val="32"/>
        </w:rPr>
        <w:t>盐边县温泉彝族乡卫生院运行经费支出0万元</w:t>
      </w:r>
      <w:r>
        <w:rPr>
          <w:rFonts w:hint="eastAsia" w:ascii="仿宋_GB2312" w:eastAsia="仿宋_GB2312"/>
          <w:sz w:val="32"/>
          <w:szCs w:val="32"/>
        </w:rPr>
        <w:t>，与</w:t>
      </w:r>
      <w:r>
        <w:rPr>
          <w:rFonts w:ascii="仿宋_GB2312" w:eastAsia="仿宋_GB2312"/>
          <w:sz w:val="32"/>
          <w:szCs w:val="32"/>
        </w:rPr>
        <w:t>20</w:t>
      </w:r>
      <w:r>
        <w:rPr>
          <w:rFonts w:hint="eastAsia" w:ascii="仿宋_GB2312" w:eastAsia="仿宋_GB2312"/>
          <w:sz w:val="32"/>
          <w:szCs w:val="32"/>
        </w:rPr>
        <w:t>22年决算数持平。</w:t>
      </w:r>
    </w:p>
    <w:p w14:paraId="327A3598">
      <w:pPr>
        <w:autoSpaceDE w:val="0"/>
        <w:autoSpaceDN w:val="0"/>
        <w:adjustRightInd w:val="0"/>
        <w:spacing w:line="600" w:lineRule="exact"/>
        <w:ind w:firstLine="643" w:firstLineChars="200"/>
        <w:jc w:val="left"/>
        <w:outlineLvl w:val="2"/>
        <w:rPr>
          <w:rFonts w:ascii="仿宋" w:hAnsi="仿宋" w:eastAsia="仿宋"/>
          <w:b/>
          <w:sz w:val="32"/>
          <w:szCs w:val="32"/>
        </w:rPr>
      </w:pPr>
      <w:bookmarkStart w:id="45" w:name="_Toc15377223"/>
      <w:r>
        <w:rPr>
          <w:rFonts w:hint="eastAsia" w:ascii="仿宋" w:hAnsi="仿宋" w:eastAsia="仿宋"/>
          <w:b/>
          <w:sz w:val="32"/>
          <w:szCs w:val="32"/>
        </w:rPr>
        <w:t>（二）政府采购支出情况</w:t>
      </w:r>
      <w:bookmarkEnd w:id="45"/>
    </w:p>
    <w:p w14:paraId="309F4AE1">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盐边县温泉彝族乡卫生院</w:t>
      </w:r>
      <w:r>
        <w:rPr>
          <w:rFonts w:hint="eastAsia" w:ascii="仿宋_GB2312" w:eastAsia="仿宋_GB2312"/>
          <w:sz w:val="32"/>
          <w:szCs w:val="32"/>
        </w:rPr>
        <w:t>政府采购支出总额0万元，其中：政府采购货物支出0万元、政府采购工程支出0万元、政府采购服务支出0万元。授予中小企业合同金额0万元，占政府采购支出总额的</w:t>
      </w:r>
      <w:r>
        <w:rPr>
          <w:rFonts w:ascii="仿宋_GB2312" w:eastAsia="仿宋_GB2312"/>
          <w:sz w:val="32"/>
          <w:szCs w:val="32"/>
        </w:rPr>
        <w:t>0%</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14:paraId="369E75D1">
      <w:pPr>
        <w:autoSpaceDE w:val="0"/>
        <w:autoSpaceDN w:val="0"/>
        <w:adjustRightInd w:val="0"/>
        <w:spacing w:line="600" w:lineRule="exact"/>
        <w:ind w:firstLine="643" w:firstLineChars="200"/>
        <w:jc w:val="left"/>
        <w:outlineLvl w:val="2"/>
        <w:rPr>
          <w:rFonts w:ascii="仿宋" w:hAnsi="仿宋" w:eastAsia="仿宋"/>
          <w:b/>
          <w:sz w:val="32"/>
          <w:szCs w:val="32"/>
        </w:rPr>
      </w:pPr>
      <w:bookmarkStart w:id="46" w:name="_Toc15377224"/>
      <w:r>
        <w:rPr>
          <w:rFonts w:hint="eastAsia" w:ascii="仿宋" w:hAnsi="仿宋" w:eastAsia="仿宋"/>
          <w:b/>
          <w:sz w:val="32"/>
          <w:szCs w:val="32"/>
        </w:rPr>
        <w:t>（三）国有资产占有使用情况</w:t>
      </w:r>
      <w:bookmarkEnd w:id="46"/>
    </w:p>
    <w:p w14:paraId="233CDCA5">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color w:val="000000"/>
          <w:sz w:val="32"/>
          <w:szCs w:val="32"/>
        </w:rPr>
        <w:t>盐边县温泉彝族乡卫生院共有车辆0辆，其中：主要领导干部用车0辆、机要通信用车0辆、应急保障用车0辆、其他用车0辆，</w:t>
      </w:r>
      <w:r>
        <w:rPr>
          <w:rFonts w:hint="eastAsia" w:ascii="仿宋_GB2312" w:eastAsia="仿宋_GB2312"/>
          <w:color w:val="000000" w:themeColor="text1"/>
          <w:sz w:val="32"/>
          <w:szCs w:val="32"/>
        </w:rPr>
        <w:t>单价</w:t>
      </w:r>
      <w:r>
        <w:rPr>
          <w:rFonts w:ascii="仿宋_GB2312" w:eastAsia="仿宋_GB2312"/>
          <w:color w:val="000000" w:themeColor="text1"/>
          <w:sz w:val="32"/>
          <w:szCs w:val="32"/>
        </w:rPr>
        <w:t>50</w:t>
      </w:r>
      <w:r>
        <w:rPr>
          <w:rFonts w:hint="eastAsia" w:ascii="仿宋_GB2312" w:eastAsia="仿宋_GB2312"/>
          <w:color w:val="000000" w:themeColor="text1"/>
          <w:sz w:val="32"/>
          <w:szCs w:val="32"/>
        </w:rPr>
        <w:t>万元以上通用设备0台（套），单价</w:t>
      </w:r>
      <w:r>
        <w:rPr>
          <w:rFonts w:ascii="仿宋_GB2312" w:eastAsia="仿宋_GB2312"/>
          <w:color w:val="000000" w:themeColor="text1"/>
          <w:sz w:val="32"/>
          <w:szCs w:val="32"/>
        </w:rPr>
        <w:t>100</w:t>
      </w:r>
      <w:r>
        <w:rPr>
          <w:rFonts w:hint="eastAsia" w:ascii="仿宋_GB2312" w:eastAsia="仿宋_GB2312"/>
          <w:color w:val="000000"/>
          <w:sz w:val="32"/>
          <w:szCs w:val="32"/>
        </w:rPr>
        <w:t>万元以上专用设备0台（套）。</w:t>
      </w:r>
    </w:p>
    <w:p w14:paraId="448938CF">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63A3FD09">
      <w:pPr>
        <w:spacing w:line="600" w:lineRule="exact"/>
        <w:ind w:firstLine="640" w:firstLineChars="200"/>
        <w:rPr>
          <w:rFonts w:ascii="仿宋_GB2312" w:eastAsia="仿宋_GB2312"/>
          <w:sz w:val="32"/>
          <w:szCs w:val="32"/>
        </w:rPr>
      </w:pPr>
      <w:r>
        <w:rPr>
          <w:rFonts w:hint="eastAsia" w:ascii="仿宋_GB2312" w:eastAsia="仿宋_GB2312"/>
          <w:sz w:val="32"/>
          <w:szCs w:val="32"/>
        </w:rPr>
        <w:t>根据预算绩效管理要求，本单位在2023年度预算编制阶段，组织对基本公共卫生服务项目、基本药物等3个项目开展了预算事前绩效评估，对3个项目编制了绩效目标，预算执行过程中，选取3个项目开展绩效监控，组织对3个项目开展绩效自评，绩效自评表详见第四部分附件。</w:t>
      </w:r>
    </w:p>
    <w:p w14:paraId="52503C03">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14:paraId="7ADE55A1">
      <w:pPr>
        <w:numPr>
          <w:ilvl w:val="0"/>
          <w:numId w:val="3"/>
        </w:numPr>
        <w:spacing w:line="600" w:lineRule="exact"/>
        <w:ind w:firstLine="660" w:firstLineChars="150"/>
        <w:jc w:val="center"/>
        <w:outlineLvl w:val="0"/>
        <w:rPr>
          <w:rStyle w:val="28"/>
          <w:rFonts w:ascii="黑体" w:hAnsi="黑体" w:eastAsia="黑体"/>
          <w:b w:val="0"/>
        </w:rPr>
      </w:pPr>
      <w:bookmarkStart w:id="47" w:name="_Toc15377225"/>
      <w:bookmarkStart w:id="48" w:name="_Toc15396613"/>
      <w:r>
        <w:rPr>
          <w:rFonts w:hint="eastAsia" w:ascii="黑体" w:hAnsi="黑体" w:eastAsia="黑体"/>
          <w:sz w:val="44"/>
          <w:szCs w:val="44"/>
        </w:rPr>
        <w:t>名</w:t>
      </w:r>
      <w:r>
        <w:rPr>
          <w:rStyle w:val="28"/>
          <w:rFonts w:hint="eastAsia" w:ascii="黑体" w:hAnsi="黑体" w:eastAsia="黑体"/>
          <w:b w:val="0"/>
        </w:rPr>
        <w:t>词解释</w:t>
      </w:r>
      <w:bookmarkEnd w:id="47"/>
      <w:bookmarkEnd w:id="48"/>
    </w:p>
    <w:p w14:paraId="4DC5C639">
      <w:pPr>
        <w:spacing w:line="600" w:lineRule="exact"/>
        <w:jc w:val="left"/>
        <w:rPr>
          <w:rFonts w:ascii="宋体"/>
          <w:b/>
          <w:sz w:val="44"/>
          <w:szCs w:val="44"/>
        </w:rPr>
      </w:pPr>
    </w:p>
    <w:p w14:paraId="789F1F4F">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67A23044">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14:paraId="6524F9E3">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3</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w:t>
      </w:r>
    </w:p>
    <w:p w14:paraId="7DE0E362">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4</w:t>
      </w:r>
      <w:r>
        <w:rPr>
          <w:rFonts w:ascii="仿宋_GB2312" w:eastAsia="仿宋_GB2312"/>
          <w:color w:val="auto"/>
          <w:sz w:val="32"/>
          <w:szCs w:val="32"/>
        </w:rPr>
        <w:t>.</w:t>
      </w:r>
      <w:r>
        <w:rPr>
          <w:rFonts w:hint="eastAsia" w:ascii="仿宋_GB2312" w:eastAsia="仿宋_GB2312"/>
          <w:color w:val="auto"/>
          <w:sz w:val="32"/>
          <w:szCs w:val="32"/>
        </w:rPr>
        <w:t>使用非财政拨款结余：指事业单位使用以前年度积累的非财政拨款结余弥补当年收支差额的金额。</w:t>
      </w:r>
    </w:p>
    <w:p w14:paraId="262CF2FC">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5</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p>
    <w:p w14:paraId="24DA148C">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6</w:t>
      </w:r>
      <w:r>
        <w:rPr>
          <w:rFonts w:ascii="仿宋_GB2312" w:eastAsia="仿宋_GB2312"/>
          <w:color w:val="auto"/>
          <w:sz w:val="32"/>
          <w:szCs w:val="32"/>
        </w:rPr>
        <w:t>.</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7E1CBD60">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7、年末结转和结余：指单位按有关规定结转到下年或以后年度继续使用的资金。</w:t>
      </w:r>
    </w:p>
    <w:p w14:paraId="579C84A0">
      <w:pPr>
        <w:ind w:firstLine="640" w:firstLineChars="200"/>
        <w:rPr>
          <w:rFonts w:ascii="仿宋_GB2312" w:eastAsia="仿宋_GB2312"/>
          <w:sz w:val="32"/>
          <w:szCs w:val="32"/>
        </w:rPr>
      </w:pPr>
      <w:r>
        <w:rPr>
          <w:rFonts w:hint="eastAsia" w:ascii="仿宋_GB2312" w:eastAsia="仿宋_GB2312"/>
          <w:sz w:val="32"/>
          <w:szCs w:val="32"/>
        </w:rPr>
        <w:t>8</w:t>
      </w:r>
      <w:r>
        <w:rPr>
          <w:rFonts w:ascii="仿宋_GB2312" w:eastAsia="仿宋_GB2312"/>
          <w:sz w:val="32"/>
          <w:szCs w:val="32"/>
        </w:rPr>
        <w:t>.</w:t>
      </w:r>
      <w:r>
        <w:rPr>
          <w:rFonts w:hint="eastAsia" w:ascii="仿宋_GB2312" w:eastAsia="仿宋_GB2312"/>
          <w:sz w:val="32"/>
          <w:szCs w:val="32"/>
        </w:rPr>
        <w:t>社会保障和就业支出（类）行政事业单位养老支出（款）机关事业单位基本养老保险缴费支出（项）：指机关事业单位实施养老保险制度由单位缴纳的基本养老保险费支出。</w:t>
      </w:r>
    </w:p>
    <w:p w14:paraId="55C5E076">
      <w:pPr>
        <w:ind w:firstLine="640" w:firstLineChars="200"/>
        <w:rPr>
          <w:rFonts w:ascii="仿宋_GB2312" w:eastAsia="仿宋_GB2312"/>
          <w:sz w:val="32"/>
          <w:szCs w:val="32"/>
        </w:rPr>
      </w:pPr>
      <w:r>
        <w:rPr>
          <w:rFonts w:hint="eastAsia" w:ascii="仿宋_GB2312" w:eastAsia="仿宋_GB2312"/>
          <w:sz w:val="32"/>
          <w:szCs w:val="32"/>
        </w:rPr>
        <w:t>9</w:t>
      </w:r>
      <w:r>
        <w:rPr>
          <w:rFonts w:ascii="仿宋_GB2312" w:eastAsia="仿宋_GB2312"/>
          <w:sz w:val="32"/>
          <w:szCs w:val="32"/>
        </w:rPr>
        <w:t>.</w:t>
      </w:r>
      <w:r>
        <w:rPr>
          <w:rFonts w:hint="eastAsia" w:ascii="仿宋_GB2312" w:eastAsia="仿宋_GB2312"/>
          <w:sz w:val="32"/>
          <w:szCs w:val="32"/>
        </w:rPr>
        <w:t>卫生健康支出（类）基层医疗卫生机构（款）乡镇卫生院（项）：指用于乡镇卫生院的支出。</w:t>
      </w:r>
    </w:p>
    <w:p w14:paraId="53C0D089">
      <w:pPr>
        <w:ind w:firstLine="640" w:firstLineChars="200"/>
        <w:rPr>
          <w:rFonts w:ascii="仿宋_GB2312" w:eastAsia="仿宋_GB2312"/>
          <w:sz w:val="32"/>
          <w:szCs w:val="32"/>
        </w:rPr>
      </w:pPr>
      <w:r>
        <w:rPr>
          <w:rFonts w:hint="eastAsia" w:ascii="仿宋_GB2312" w:eastAsia="仿宋_GB2312"/>
          <w:sz w:val="32"/>
          <w:szCs w:val="32"/>
        </w:rPr>
        <w:t>10</w:t>
      </w:r>
      <w:r>
        <w:rPr>
          <w:rFonts w:ascii="仿宋_GB2312" w:eastAsia="仿宋_GB2312"/>
          <w:sz w:val="32"/>
          <w:szCs w:val="32"/>
        </w:rPr>
        <w:t>.</w:t>
      </w:r>
      <w:r>
        <w:rPr>
          <w:rFonts w:hint="eastAsia" w:ascii="仿宋_GB2312" w:eastAsia="仿宋_GB2312"/>
          <w:sz w:val="32"/>
          <w:szCs w:val="32"/>
        </w:rPr>
        <w:t>卫生健康支出（类）基层医疗卫生机构（款）其他基层医疗卫生机构支出（项）：指除上述项目以外的其他用于基层医疗卫生机构的支出。</w:t>
      </w:r>
    </w:p>
    <w:p w14:paraId="4FB2FBF3">
      <w:pPr>
        <w:ind w:firstLine="640" w:firstLineChars="200"/>
        <w:rPr>
          <w:rFonts w:ascii="仿宋_GB2312" w:eastAsia="仿宋_GB2312"/>
          <w:sz w:val="32"/>
          <w:szCs w:val="32"/>
        </w:rPr>
      </w:pPr>
      <w:r>
        <w:rPr>
          <w:rFonts w:hint="eastAsia" w:ascii="仿宋_GB2312" w:eastAsia="仿宋_GB2312"/>
          <w:sz w:val="32"/>
          <w:szCs w:val="32"/>
        </w:rPr>
        <w:t>11</w:t>
      </w:r>
      <w:r>
        <w:rPr>
          <w:rFonts w:ascii="仿宋_GB2312" w:eastAsia="仿宋_GB2312"/>
          <w:sz w:val="32"/>
          <w:szCs w:val="32"/>
        </w:rPr>
        <w:t>.</w:t>
      </w:r>
      <w:r>
        <w:rPr>
          <w:rFonts w:hint="eastAsia" w:ascii="仿宋_GB2312" w:eastAsia="仿宋_GB2312"/>
          <w:sz w:val="32"/>
          <w:szCs w:val="32"/>
        </w:rPr>
        <w:t>卫生健康支出（类）公共卫生（款）基本公共卫生服务（项）：指基本公共卫生服务支出。</w:t>
      </w:r>
    </w:p>
    <w:p w14:paraId="2882404C">
      <w:pPr>
        <w:ind w:firstLine="640" w:firstLineChars="200"/>
        <w:rPr>
          <w:rFonts w:ascii="仿宋_GB2312" w:eastAsia="仿宋_GB2312"/>
          <w:sz w:val="32"/>
          <w:szCs w:val="32"/>
        </w:rPr>
      </w:pPr>
      <w:r>
        <w:rPr>
          <w:rFonts w:hint="eastAsia" w:ascii="仿宋_GB2312" w:eastAsia="仿宋_GB2312"/>
          <w:sz w:val="32"/>
          <w:szCs w:val="32"/>
        </w:rPr>
        <w:t>12</w:t>
      </w:r>
      <w:r>
        <w:rPr>
          <w:rFonts w:ascii="仿宋_GB2312" w:eastAsia="仿宋_GB2312"/>
          <w:sz w:val="32"/>
          <w:szCs w:val="32"/>
        </w:rPr>
        <w:t>.</w:t>
      </w:r>
      <w:r>
        <w:rPr>
          <w:rFonts w:hint="eastAsia" w:ascii="仿宋_GB2312" w:eastAsia="仿宋_GB2312"/>
          <w:sz w:val="32"/>
          <w:szCs w:val="32"/>
        </w:rPr>
        <w:t>卫生健康支出（类）公共卫生（款）重大公共卫生服务（项）：指重大疾病、重大传染病预防控制等重大公共卫生服务项目支出。</w:t>
      </w:r>
    </w:p>
    <w:p w14:paraId="44342034">
      <w:pPr>
        <w:ind w:firstLine="640" w:firstLineChars="200"/>
        <w:rPr>
          <w:rFonts w:ascii="仿宋_GB2312" w:eastAsia="仿宋_GB2312"/>
          <w:sz w:val="32"/>
          <w:szCs w:val="32"/>
        </w:rPr>
      </w:pPr>
      <w:r>
        <w:rPr>
          <w:rFonts w:hint="eastAsia" w:ascii="仿宋_GB2312" w:eastAsia="仿宋_GB2312"/>
          <w:sz w:val="32"/>
          <w:szCs w:val="32"/>
        </w:rPr>
        <w:t>13</w:t>
      </w:r>
      <w:r>
        <w:rPr>
          <w:rFonts w:ascii="仿宋_GB2312" w:eastAsia="仿宋_GB2312"/>
          <w:sz w:val="32"/>
          <w:szCs w:val="32"/>
        </w:rPr>
        <w:t>.</w:t>
      </w:r>
      <w:r>
        <w:rPr>
          <w:rFonts w:hint="eastAsia" w:ascii="仿宋_GB2312" w:eastAsia="仿宋_GB2312"/>
          <w:sz w:val="32"/>
          <w:szCs w:val="32"/>
        </w:rPr>
        <w:t>卫生健康支出（类）公共卫生（款）其他公共卫生支出（项）：指除上述项目以外的其他用于公共卫生方面的支出。</w:t>
      </w:r>
    </w:p>
    <w:p w14:paraId="5BFE5058">
      <w:pPr>
        <w:ind w:firstLine="640" w:firstLineChars="200"/>
        <w:rPr>
          <w:rFonts w:ascii="仿宋_GB2312" w:eastAsia="仿宋_GB2312"/>
          <w:sz w:val="32"/>
          <w:szCs w:val="32"/>
        </w:rPr>
      </w:pPr>
      <w:r>
        <w:rPr>
          <w:rFonts w:hint="eastAsia" w:ascii="仿宋_GB2312" w:eastAsia="仿宋_GB2312"/>
          <w:sz w:val="32"/>
          <w:szCs w:val="32"/>
        </w:rPr>
        <w:t>14</w:t>
      </w:r>
      <w:r>
        <w:rPr>
          <w:rFonts w:ascii="仿宋_GB2312" w:eastAsia="仿宋_GB2312"/>
          <w:sz w:val="32"/>
          <w:szCs w:val="32"/>
        </w:rPr>
        <w:t>.</w:t>
      </w:r>
      <w:r>
        <w:rPr>
          <w:rFonts w:hint="eastAsia" w:ascii="仿宋_GB2312" w:eastAsia="仿宋_GB2312"/>
          <w:sz w:val="32"/>
          <w:szCs w:val="32"/>
        </w:rPr>
        <w:t>卫生健康支出（类）行政事业单位医疗（款）事业单位医疗（项）：指财政部门安排的事业单位基本医疗保险缴费经费，未参加医疗保险的事业单位的公费医疗经费，按国家规定享受离休人员待遇的医疗经费。</w:t>
      </w:r>
    </w:p>
    <w:p w14:paraId="65012E40">
      <w:pPr>
        <w:ind w:firstLine="640" w:firstLineChars="200"/>
        <w:rPr>
          <w:rFonts w:ascii="仿宋_GB2312" w:eastAsia="仿宋_GB2312"/>
          <w:sz w:val="32"/>
          <w:szCs w:val="32"/>
        </w:rPr>
      </w:pPr>
      <w:r>
        <w:rPr>
          <w:rFonts w:hint="eastAsia" w:ascii="仿宋_GB2312" w:eastAsia="仿宋_GB2312"/>
          <w:sz w:val="32"/>
          <w:szCs w:val="32"/>
        </w:rPr>
        <w:t>15</w:t>
      </w:r>
      <w:r>
        <w:rPr>
          <w:rFonts w:ascii="仿宋_GB2312" w:eastAsia="仿宋_GB2312"/>
          <w:sz w:val="32"/>
          <w:szCs w:val="32"/>
        </w:rPr>
        <w:t>.</w:t>
      </w:r>
      <w:r>
        <w:rPr>
          <w:rFonts w:hint="eastAsia" w:ascii="仿宋_GB2312" w:eastAsia="仿宋_GB2312"/>
          <w:sz w:val="32"/>
          <w:szCs w:val="32"/>
        </w:rPr>
        <w:t>卫生健康支出（类）行政事业单位医疗（款）公务员医疗补助（项）：指财政部门安排的公务员医疗补助经费。</w:t>
      </w:r>
    </w:p>
    <w:p w14:paraId="51BF7C06">
      <w:pPr>
        <w:ind w:firstLine="640" w:firstLineChars="200"/>
        <w:rPr>
          <w:rFonts w:ascii="仿宋_GB2312" w:eastAsia="仿宋_GB2312"/>
          <w:sz w:val="32"/>
          <w:szCs w:val="32"/>
        </w:rPr>
      </w:pPr>
      <w:r>
        <w:rPr>
          <w:rFonts w:hint="eastAsia" w:ascii="仿宋_GB2312" w:eastAsia="仿宋_GB2312"/>
          <w:sz w:val="32"/>
          <w:szCs w:val="32"/>
        </w:rPr>
        <w:t>16</w:t>
      </w:r>
      <w:r>
        <w:rPr>
          <w:rFonts w:ascii="仿宋_GB2312" w:eastAsia="仿宋_GB2312"/>
          <w:sz w:val="32"/>
          <w:szCs w:val="32"/>
        </w:rPr>
        <w:t>.</w:t>
      </w:r>
      <w:r>
        <w:rPr>
          <w:rFonts w:hint="eastAsia" w:ascii="仿宋_GB2312" w:eastAsia="仿宋_GB2312"/>
          <w:sz w:val="32"/>
          <w:szCs w:val="32"/>
        </w:rPr>
        <w:t>卫生健康支出（类）其他卫生健康支出（款）其他卫生健康支出（项）：指除上述项目以外其他用于卫生健康方面的支出。</w:t>
      </w:r>
    </w:p>
    <w:p w14:paraId="248E1663">
      <w:pPr>
        <w:ind w:firstLine="640" w:firstLineChars="200"/>
        <w:rPr>
          <w:rFonts w:ascii="仿宋_GB2312" w:eastAsia="仿宋_GB2312"/>
          <w:sz w:val="32"/>
          <w:szCs w:val="32"/>
        </w:rPr>
      </w:pPr>
      <w:r>
        <w:rPr>
          <w:rFonts w:hint="eastAsia" w:ascii="仿宋_GB2312" w:eastAsia="仿宋_GB2312"/>
          <w:sz w:val="32"/>
          <w:szCs w:val="32"/>
        </w:rPr>
        <w:t>17</w:t>
      </w:r>
      <w:r>
        <w:rPr>
          <w:rFonts w:ascii="仿宋_GB2312" w:eastAsia="仿宋_GB2312"/>
          <w:sz w:val="32"/>
          <w:szCs w:val="32"/>
        </w:rPr>
        <w:t>.</w:t>
      </w:r>
      <w:r>
        <w:rPr>
          <w:rFonts w:hint="eastAsia" w:ascii="仿宋_GB2312" w:eastAsia="仿宋_GB2312"/>
          <w:sz w:val="32"/>
          <w:szCs w:val="32"/>
        </w:rPr>
        <w:t>住房保障支出（类）住房改革支出（款）住房公积金（项）：指行政事业单位按人力资源和社会保障部、财政部规定的基本工资和津贴补贴以及规定比例为职工缴纳的住房公积金。</w:t>
      </w:r>
    </w:p>
    <w:p w14:paraId="742C937C">
      <w:pPr>
        <w:ind w:firstLine="640" w:firstLineChars="200"/>
        <w:rPr>
          <w:rFonts w:ascii="仿宋_GB2312" w:eastAsia="仿宋_GB2312"/>
          <w:sz w:val="32"/>
          <w:szCs w:val="32"/>
        </w:rPr>
      </w:pPr>
      <w:r>
        <w:rPr>
          <w:rFonts w:hint="eastAsia" w:ascii="仿宋_GB2312" w:eastAsia="仿宋_GB2312"/>
          <w:sz w:val="32"/>
          <w:szCs w:val="32"/>
        </w:rPr>
        <w:t>18</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14:paraId="098E5840">
      <w:pPr>
        <w:ind w:firstLine="640" w:firstLineChars="200"/>
        <w:rPr>
          <w:rFonts w:ascii="仿宋_GB2312" w:eastAsia="仿宋_GB2312"/>
          <w:sz w:val="32"/>
          <w:szCs w:val="32"/>
        </w:rPr>
      </w:pPr>
      <w:r>
        <w:rPr>
          <w:rFonts w:hint="eastAsia" w:ascii="仿宋_GB2312" w:eastAsia="仿宋_GB2312"/>
          <w:sz w:val="32"/>
          <w:szCs w:val="32"/>
        </w:rPr>
        <w:t>19</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14:paraId="1FA980E1">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20</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4657107E">
      <w:pPr>
        <w:spacing w:line="600" w:lineRule="exact"/>
        <w:jc w:val="center"/>
        <w:outlineLvl w:val="0"/>
        <w:rPr>
          <w:rFonts w:ascii="黑体" w:hAnsi="黑体" w:eastAsia="黑体"/>
          <w:sz w:val="44"/>
          <w:szCs w:val="44"/>
        </w:rPr>
      </w:pPr>
      <w:bookmarkStart w:id="49" w:name="_Toc15396614"/>
      <w:bookmarkStart w:id="50" w:name="_Toc15377226"/>
    </w:p>
    <w:p w14:paraId="2CA276AC">
      <w:pPr>
        <w:spacing w:line="600" w:lineRule="exact"/>
        <w:jc w:val="center"/>
        <w:outlineLvl w:val="0"/>
        <w:rPr>
          <w:rFonts w:ascii="黑体" w:hAnsi="黑体" w:eastAsia="黑体"/>
          <w:sz w:val="44"/>
          <w:szCs w:val="44"/>
        </w:rPr>
      </w:pPr>
    </w:p>
    <w:p w14:paraId="4F91A018">
      <w:pPr>
        <w:spacing w:line="600" w:lineRule="exact"/>
        <w:jc w:val="center"/>
        <w:outlineLvl w:val="0"/>
        <w:rPr>
          <w:rFonts w:ascii="黑体" w:hAnsi="黑体" w:eastAsia="黑体"/>
          <w:sz w:val="44"/>
          <w:szCs w:val="44"/>
        </w:rPr>
      </w:pPr>
    </w:p>
    <w:p w14:paraId="14370392">
      <w:pPr>
        <w:spacing w:line="600" w:lineRule="exact"/>
        <w:jc w:val="center"/>
        <w:outlineLvl w:val="0"/>
        <w:rPr>
          <w:rFonts w:ascii="黑体" w:hAnsi="黑体" w:eastAsia="黑体"/>
          <w:sz w:val="44"/>
          <w:szCs w:val="44"/>
        </w:rPr>
      </w:pPr>
    </w:p>
    <w:p w14:paraId="4D1B0867">
      <w:pPr>
        <w:spacing w:line="600" w:lineRule="exact"/>
        <w:jc w:val="center"/>
        <w:outlineLvl w:val="0"/>
        <w:rPr>
          <w:rFonts w:ascii="黑体" w:hAnsi="黑体" w:eastAsia="黑体"/>
          <w:sz w:val="44"/>
          <w:szCs w:val="44"/>
        </w:rPr>
      </w:pPr>
    </w:p>
    <w:p w14:paraId="146936E4">
      <w:pPr>
        <w:tabs>
          <w:tab w:val="left" w:pos="2182"/>
        </w:tabs>
        <w:spacing w:line="600" w:lineRule="exact"/>
        <w:jc w:val="left"/>
        <w:outlineLvl w:val="0"/>
        <w:rPr>
          <w:rFonts w:ascii="黑体" w:hAnsi="黑体" w:eastAsia="黑体"/>
          <w:sz w:val="44"/>
          <w:szCs w:val="44"/>
        </w:rPr>
      </w:pPr>
      <w:r>
        <w:rPr>
          <w:rFonts w:hint="eastAsia" w:ascii="黑体" w:hAnsi="黑体" w:eastAsia="黑体"/>
          <w:sz w:val="44"/>
          <w:szCs w:val="44"/>
        </w:rPr>
        <w:tab/>
      </w:r>
    </w:p>
    <w:p w14:paraId="39DF90A0">
      <w:pPr>
        <w:pStyle w:val="2"/>
        <w:spacing w:before="93"/>
        <w:rPr>
          <w:rFonts w:ascii="黑体" w:hAnsi="黑体" w:eastAsia="黑体"/>
          <w:sz w:val="44"/>
          <w:szCs w:val="44"/>
        </w:rPr>
      </w:pPr>
    </w:p>
    <w:p w14:paraId="04AC0131">
      <w:pPr>
        <w:pStyle w:val="2"/>
        <w:spacing w:before="93"/>
        <w:rPr>
          <w:rFonts w:ascii="黑体" w:hAnsi="黑体" w:eastAsia="黑体"/>
          <w:sz w:val="44"/>
          <w:szCs w:val="44"/>
        </w:rPr>
      </w:pPr>
    </w:p>
    <w:p w14:paraId="6B894C25">
      <w:pPr>
        <w:pStyle w:val="2"/>
        <w:spacing w:before="93"/>
        <w:rPr>
          <w:rFonts w:ascii="黑体" w:hAnsi="黑体" w:eastAsia="黑体"/>
          <w:sz w:val="44"/>
          <w:szCs w:val="44"/>
        </w:rPr>
      </w:pPr>
    </w:p>
    <w:p w14:paraId="21552483">
      <w:pPr>
        <w:pStyle w:val="2"/>
        <w:spacing w:before="93"/>
        <w:rPr>
          <w:rFonts w:ascii="黑体" w:hAnsi="黑体" w:eastAsia="黑体"/>
          <w:sz w:val="44"/>
          <w:szCs w:val="44"/>
        </w:rPr>
      </w:pPr>
    </w:p>
    <w:p w14:paraId="16F8FB90">
      <w:pPr>
        <w:pStyle w:val="2"/>
        <w:spacing w:before="93"/>
        <w:rPr>
          <w:rFonts w:ascii="黑体" w:hAnsi="黑体" w:eastAsia="黑体"/>
          <w:sz w:val="44"/>
          <w:szCs w:val="44"/>
        </w:rPr>
      </w:pPr>
    </w:p>
    <w:p w14:paraId="2224DA6D">
      <w:pPr>
        <w:spacing w:line="600" w:lineRule="exact"/>
        <w:jc w:val="center"/>
        <w:outlineLvl w:val="0"/>
        <w:rPr>
          <w:rStyle w:val="28"/>
          <w:rFonts w:ascii="黑体" w:hAnsi="黑体" w:eastAsia="黑体"/>
          <w:b w:val="0"/>
        </w:rPr>
      </w:pPr>
      <w:r>
        <w:rPr>
          <w:rFonts w:hint="eastAsia" w:ascii="黑体" w:hAnsi="黑体" w:eastAsia="黑体"/>
          <w:sz w:val="44"/>
          <w:szCs w:val="44"/>
        </w:rPr>
        <w:t>第</w:t>
      </w:r>
      <w:r>
        <w:rPr>
          <w:rStyle w:val="28"/>
          <w:rFonts w:hint="eastAsia" w:ascii="黑体" w:hAnsi="黑体" w:eastAsia="黑体"/>
          <w:b w:val="0"/>
        </w:rPr>
        <w:t>四部分 附件</w:t>
      </w:r>
      <w:bookmarkEnd w:id="49"/>
    </w:p>
    <w:p w14:paraId="6E2355AE">
      <w:pPr>
        <w:spacing w:line="572" w:lineRule="exact"/>
        <w:jc w:val="left"/>
        <w:outlineLvl w:val="0"/>
        <w:rPr>
          <w:rFonts w:ascii="仿宋_GB2312" w:hAnsi="仿宋_GB2312" w:eastAsia="仿宋_GB2312" w:cs="仿宋_GB2312"/>
          <w:sz w:val="32"/>
          <w:szCs w:val="32"/>
        </w:rPr>
      </w:pPr>
    </w:p>
    <w:p w14:paraId="55931216">
      <w:pPr>
        <w:spacing w:line="600" w:lineRule="exact"/>
        <w:jc w:val="center"/>
        <w:outlineLvl w:val="0"/>
        <w:rPr>
          <w:rFonts w:ascii="黑体" w:hAnsi="黑体" w:eastAsia="黑体"/>
          <w:color w:val="FF0000"/>
          <w:sz w:val="44"/>
          <w:szCs w:val="44"/>
        </w:rPr>
      </w:pPr>
      <w:bookmarkStart w:id="51" w:name="_Toc15396618"/>
      <w:r>
        <w:rPr>
          <w:rFonts w:hint="eastAsia"/>
          <w:sz w:val="32"/>
          <w:szCs w:val="32"/>
        </w:rPr>
        <w:t>部门预算项目支出绩效自评表（2023年度）</w:t>
      </w:r>
    </w:p>
    <w:p w14:paraId="3C622422">
      <w:pPr>
        <w:pStyle w:val="14"/>
        <w:spacing w:line="560" w:lineRule="exact"/>
        <w:ind w:left="0" w:leftChars="0" w:firstLine="640"/>
        <w:rPr>
          <w:sz w:val="32"/>
        </w:rPr>
      </w:pPr>
    </w:p>
    <w:p w14:paraId="2C467B7A">
      <w:pPr>
        <w:pStyle w:val="2"/>
        <w:spacing w:before="93"/>
        <w:rPr>
          <w:rFonts w:hAnsi="Calibri" w:cs="仿宋"/>
          <w:sz w:val="32"/>
          <w:szCs w:val="32"/>
        </w:rPr>
      </w:pPr>
    </w:p>
    <w:p w14:paraId="5BBC857D">
      <w:pPr>
        <w:pStyle w:val="2"/>
        <w:spacing w:before="93"/>
        <w:rPr>
          <w:rFonts w:hAnsi="Calibri" w:cs="仿宋"/>
          <w:sz w:val="32"/>
          <w:szCs w:val="32"/>
        </w:rPr>
      </w:pPr>
    </w:p>
    <w:p w14:paraId="4166A9A2">
      <w:pPr>
        <w:pStyle w:val="2"/>
        <w:spacing w:before="93"/>
        <w:rPr>
          <w:rFonts w:hAnsi="Calibri" w:cs="仿宋"/>
          <w:sz w:val="32"/>
          <w:szCs w:val="32"/>
        </w:rPr>
      </w:pPr>
    </w:p>
    <w:p w14:paraId="3988141E">
      <w:pPr>
        <w:pStyle w:val="2"/>
        <w:spacing w:before="93"/>
        <w:rPr>
          <w:rFonts w:hAnsi="Calibri" w:cs="仿宋"/>
          <w:sz w:val="32"/>
          <w:szCs w:val="32"/>
        </w:rPr>
      </w:pPr>
    </w:p>
    <w:p w14:paraId="31B8C439">
      <w:pPr>
        <w:pStyle w:val="2"/>
        <w:spacing w:before="93"/>
        <w:rPr>
          <w:rFonts w:hAnsi="Calibri" w:cs="仿宋"/>
          <w:sz w:val="32"/>
          <w:szCs w:val="32"/>
        </w:rPr>
      </w:pPr>
    </w:p>
    <w:p w14:paraId="3DB2DF5D">
      <w:pPr>
        <w:pStyle w:val="2"/>
        <w:spacing w:before="93"/>
        <w:rPr>
          <w:rFonts w:hAnsi="Calibri" w:cs="仿宋"/>
          <w:sz w:val="32"/>
          <w:szCs w:val="32"/>
        </w:rPr>
      </w:pPr>
    </w:p>
    <w:p w14:paraId="21BF7E58">
      <w:pPr>
        <w:pStyle w:val="2"/>
        <w:spacing w:before="93"/>
        <w:rPr>
          <w:rFonts w:hAnsi="Calibri" w:cs="仿宋"/>
          <w:sz w:val="32"/>
          <w:szCs w:val="32"/>
        </w:rPr>
      </w:pPr>
    </w:p>
    <w:p w14:paraId="35340B34">
      <w:pPr>
        <w:pStyle w:val="2"/>
        <w:spacing w:before="93"/>
        <w:rPr>
          <w:rFonts w:hAnsi="Calibri" w:cs="仿宋"/>
          <w:sz w:val="32"/>
          <w:szCs w:val="32"/>
        </w:rPr>
      </w:pPr>
    </w:p>
    <w:p w14:paraId="79F68C5B">
      <w:pPr>
        <w:pStyle w:val="2"/>
        <w:spacing w:before="93"/>
        <w:rPr>
          <w:rFonts w:hAnsi="Calibri" w:cs="仿宋"/>
          <w:sz w:val="32"/>
          <w:szCs w:val="32"/>
        </w:rPr>
      </w:pPr>
    </w:p>
    <w:p w14:paraId="17A5293C">
      <w:pPr>
        <w:pStyle w:val="2"/>
        <w:spacing w:before="93"/>
        <w:rPr>
          <w:rFonts w:hAnsi="Calibri" w:cs="仿宋"/>
          <w:sz w:val="32"/>
          <w:szCs w:val="32"/>
        </w:rPr>
      </w:pPr>
    </w:p>
    <w:p w14:paraId="40C1BB41">
      <w:pPr>
        <w:pStyle w:val="2"/>
        <w:spacing w:before="93"/>
        <w:rPr>
          <w:rFonts w:hAnsi="Calibri" w:cs="仿宋"/>
          <w:sz w:val="32"/>
          <w:szCs w:val="32"/>
        </w:rPr>
      </w:pPr>
    </w:p>
    <w:p w14:paraId="20A8C633">
      <w:pPr>
        <w:pStyle w:val="2"/>
        <w:spacing w:before="93"/>
        <w:rPr>
          <w:rFonts w:hAnsi="Calibri" w:cs="仿宋"/>
          <w:sz w:val="32"/>
          <w:szCs w:val="32"/>
        </w:rPr>
      </w:pPr>
    </w:p>
    <w:p w14:paraId="23D75CDE">
      <w:pPr>
        <w:pStyle w:val="2"/>
        <w:spacing w:before="93"/>
        <w:rPr>
          <w:rFonts w:hAnsi="Calibri" w:cs="仿宋"/>
          <w:sz w:val="32"/>
          <w:szCs w:val="32"/>
        </w:rPr>
      </w:pPr>
    </w:p>
    <w:p w14:paraId="2B0F92BA">
      <w:pPr>
        <w:pStyle w:val="2"/>
        <w:spacing w:before="93"/>
        <w:rPr>
          <w:rFonts w:hAnsi="Calibri" w:cs="仿宋"/>
          <w:sz w:val="32"/>
          <w:szCs w:val="32"/>
        </w:rPr>
      </w:pPr>
    </w:p>
    <w:p w14:paraId="53C37E03">
      <w:pPr>
        <w:pStyle w:val="2"/>
        <w:spacing w:before="93"/>
        <w:rPr>
          <w:rFonts w:hAnsi="Calibri" w:cs="仿宋"/>
          <w:sz w:val="32"/>
          <w:szCs w:val="32"/>
        </w:rPr>
      </w:pPr>
    </w:p>
    <w:p w14:paraId="7E06ED28">
      <w:pPr>
        <w:pStyle w:val="2"/>
        <w:spacing w:before="93"/>
        <w:rPr>
          <w:rFonts w:hAnsi="Calibri" w:cs="仿宋"/>
          <w:sz w:val="32"/>
          <w:szCs w:val="32"/>
        </w:rPr>
      </w:pPr>
    </w:p>
    <w:p w14:paraId="7498F77A">
      <w:pPr>
        <w:spacing w:line="600" w:lineRule="exact"/>
        <w:jc w:val="center"/>
        <w:outlineLvl w:val="0"/>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50"/>
      <w:bookmarkEnd w:id="51"/>
      <w:bookmarkStart w:id="52" w:name="_Toc15396619"/>
    </w:p>
    <w:p w14:paraId="204CFA4B">
      <w:pPr>
        <w:pStyle w:val="4"/>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52"/>
    </w:p>
    <w:p w14:paraId="0A660293">
      <w:pPr>
        <w:pStyle w:val="4"/>
        <w:rPr>
          <w:rFonts w:ascii="仿宋" w:hAnsi="仿宋" w:eastAsia="仿宋"/>
        </w:rPr>
      </w:pPr>
      <w:bookmarkStart w:id="53" w:name="_Toc15396620"/>
      <w:r>
        <w:rPr>
          <w:rFonts w:hint="eastAsia" w:ascii="仿宋" w:hAnsi="仿宋" w:eastAsia="仿宋"/>
          <w:b w:val="0"/>
        </w:rPr>
        <w:t>二、收</w:t>
      </w:r>
      <w:r>
        <w:rPr>
          <w:rStyle w:val="29"/>
          <w:rFonts w:hint="eastAsia" w:ascii="仿宋" w:hAnsi="仿宋" w:eastAsia="仿宋"/>
          <w:b w:val="0"/>
          <w:bCs w:val="0"/>
        </w:rPr>
        <w:t>入决算表</w:t>
      </w:r>
      <w:bookmarkEnd w:id="53"/>
    </w:p>
    <w:p w14:paraId="5ADE7D71">
      <w:pPr>
        <w:pStyle w:val="4"/>
        <w:rPr>
          <w:rFonts w:ascii="仿宋" w:hAnsi="仿宋" w:eastAsia="仿宋"/>
        </w:rPr>
      </w:pPr>
      <w:bookmarkStart w:id="54"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54"/>
    </w:p>
    <w:p w14:paraId="087E5AD1">
      <w:pPr>
        <w:pStyle w:val="4"/>
        <w:rPr>
          <w:rFonts w:ascii="仿宋" w:hAnsi="仿宋" w:eastAsia="仿宋"/>
          <w:b w:val="0"/>
        </w:rPr>
      </w:pPr>
      <w:bookmarkStart w:id="55"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55"/>
    </w:p>
    <w:p w14:paraId="571BA499">
      <w:pPr>
        <w:pStyle w:val="4"/>
        <w:rPr>
          <w:rStyle w:val="29"/>
          <w:rFonts w:ascii="仿宋" w:hAnsi="仿宋" w:eastAsia="仿宋"/>
          <w:b w:val="0"/>
          <w:bCs w:val="0"/>
        </w:rPr>
      </w:pPr>
      <w:bookmarkStart w:id="56"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56"/>
      <w:bookmarkStart w:id="57" w:name="_Toc15396624"/>
    </w:p>
    <w:p w14:paraId="42AFFCFC">
      <w:pPr>
        <w:pStyle w:val="4"/>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57"/>
    </w:p>
    <w:p w14:paraId="714DB587">
      <w:pPr>
        <w:pStyle w:val="4"/>
        <w:rPr>
          <w:rFonts w:ascii="仿宋" w:hAnsi="仿宋" w:eastAsia="仿宋"/>
        </w:rPr>
      </w:pPr>
      <w:bookmarkStart w:id="58"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58"/>
    </w:p>
    <w:p w14:paraId="1B59AB69">
      <w:pPr>
        <w:pStyle w:val="4"/>
        <w:rPr>
          <w:rFonts w:ascii="仿宋" w:hAnsi="仿宋" w:eastAsia="仿宋"/>
        </w:rPr>
      </w:pPr>
      <w:bookmarkStart w:id="59"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59"/>
    </w:p>
    <w:p w14:paraId="03F86B3C">
      <w:pPr>
        <w:pStyle w:val="4"/>
        <w:rPr>
          <w:rFonts w:ascii="仿宋" w:hAnsi="仿宋" w:eastAsia="仿宋"/>
        </w:rPr>
      </w:pPr>
      <w:bookmarkStart w:id="60"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60"/>
    </w:p>
    <w:p w14:paraId="7233B319">
      <w:pPr>
        <w:pStyle w:val="4"/>
        <w:rPr>
          <w:rFonts w:ascii="仿宋" w:hAnsi="仿宋" w:eastAsia="仿宋"/>
        </w:rPr>
      </w:pPr>
      <w:bookmarkStart w:id="61" w:name="_Toc15396628"/>
      <w:r>
        <w:rPr>
          <w:rStyle w:val="29"/>
          <w:rFonts w:hint="eastAsia" w:ascii="仿宋" w:hAnsi="仿宋" w:eastAsia="仿宋"/>
          <w:b w:val="0"/>
          <w:bCs w:val="0"/>
        </w:rPr>
        <w:t>十、</w:t>
      </w:r>
      <w:bookmarkEnd w:id="61"/>
      <w:r>
        <w:rPr>
          <w:rFonts w:hint="eastAsia" w:ascii="仿宋" w:hAnsi="仿宋" w:eastAsia="仿宋"/>
          <w:b w:val="0"/>
        </w:rPr>
        <w:t>政</w:t>
      </w:r>
      <w:r>
        <w:rPr>
          <w:rStyle w:val="29"/>
          <w:rFonts w:hint="eastAsia" w:ascii="仿宋" w:hAnsi="仿宋" w:eastAsia="仿宋"/>
          <w:b w:val="0"/>
          <w:bCs w:val="0"/>
        </w:rPr>
        <w:t>府性基金预算财政拨款收入支出决算表</w:t>
      </w:r>
    </w:p>
    <w:p w14:paraId="6DDF4528">
      <w:pPr>
        <w:pStyle w:val="4"/>
        <w:rPr>
          <w:rFonts w:ascii="仿宋" w:hAnsi="仿宋" w:eastAsia="仿宋"/>
        </w:rPr>
      </w:pPr>
      <w:bookmarkStart w:id="62" w:name="_Toc15396629"/>
      <w:r>
        <w:rPr>
          <w:rStyle w:val="29"/>
          <w:rFonts w:hint="eastAsia" w:ascii="仿宋" w:hAnsi="仿宋" w:eastAsia="仿宋"/>
          <w:b w:val="0"/>
          <w:bCs w:val="0"/>
        </w:rPr>
        <w:t>十一、</w:t>
      </w:r>
      <w:bookmarkEnd w:id="62"/>
      <w:r>
        <w:rPr>
          <w:rFonts w:hint="eastAsia" w:ascii="仿宋" w:hAnsi="仿宋" w:eastAsia="仿宋"/>
          <w:b w:val="0"/>
        </w:rPr>
        <w:t>国</w:t>
      </w:r>
      <w:r>
        <w:rPr>
          <w:rStyle w:val="29"/>
          <w:rFonts w:hint="eastAsia" w:ascii="仿宋" w:hAnsi="仿宋" w:eastAsia="仿宋"/>
          <w:b w:val="0"/>
          <w:bCs w:val="0"/>
        </w:rPr>
        <w:t>有资本经营预算财政拨款收入支出决算表</w:t>
      </w:r>
    </w:p>
    <w:p w14:paraId="3B5DD1C5">
      <w:pPr>
        <w:pStyle w:val="4"/>
        <w:rPr>
          <w:rFonts w:ascii="仿宋" w:hAnsi="仿宋" w:eastAsia="仿宋"/>
        </w:rPr>
      </w:pPr>
      <w:bookmarkStart w:id="63" w:name="_Toc15396630"/>
      <w:r>
        <w:rPr>
          <w:rStyle w:val="29"/>
          <w:rFonts w:hint="eastAsia" w:ascii="仿宋" w:hAnsi="仿宋" w:eastAsia="仿宋"/>
          <w:b w:val="0"/>
          <w:bCs w:val="0"/>
        </w:rPr>
        <w:t>十二、</w:t>
      </w:r>
      <w:bookmarkEnd w:id="63"/>
      <w:r>
        <w:rPr>
          <w:rStyle w:val="29"/>
          <w:rFonts w:hint="eastAsia" w:ascii="仿宋" w:hAnsi="仿宋" w:eastAsia="仿宋"/>
          <w:b w:val="0"/>
          <w:bCs w:val="0"/>
        </w:rPr>
        <w:t>国有资本经营预算财政拨款支出决算表</w:t>
      </w:r>
    </w:p>
    <w:p w14:paraId="645C798C">
      <w:pPr>
        <w:pStyle w:val="4"/>
        <w:rPr>
          <w:rFonts w:eastAsia="仿宋"/>
        </w:rPr>
      </w:pPr>
      <w:bookmarkStart w:id="64" w:name="_Toc15396631"/>
      <w:r>
        <w:rPr>
          <w:rStyle w:val="29"/>
          <w:rFonts w:hint="eastAsia" w:ascii="仿宋" w:hAnsi="仿宋" w:eastAsia="仿宋"/>
          <w:b w:val="0"/>
          <w:bCs w:val="0"/>
        </w:rPr>
        <w:t>十三、</w:t>
      </w:r>
      <w:bookmarkEnd w:id="64"/>
      <w:r>
        <w:rPr>
          <w:rStyle w:val="29"/>
          <w:rFonts w:hint="eastAsia" w:ascii="仿宋" w:hAnsi="仿宋" w:eastAsia="仿宋"/>
          <w:b w:val="0"/>
          <w:bCs w:val="0"/>
        </w:rPr>
        <w:t>财政拨款“三公”经费支出决算表</w:t>
      </w:r>
    </w:p>
    <w:sectPr>
      <w:footerReference r:id="rId7" w:type="first"/>
      <w:headerReference r:id="rId5" w:type="default"/>
      <w:footerReference r:id="rId6"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AE9ECA-E295-439E-B82D-C0D1EF78097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E04D1A2-74D5-43EA-BF3C-1CDA1D643596}"/>
  </w:font>
  <w:font w:name="Cambria">
    <w:panose1 w:val="02040503050406030204"/>
    <w:charset w:val="00"/>
    <w:family w:val="roman"/>
    <w:pitch w:val="default"/>
    <w:sig w:usb0="E00006FF" w:usb1="420024FF" w:usb2="02000000" w:usb3="00000000" w:csb0="2000019F" w:csb1="00000000"/>
    <w:embedRegular r:id="rId3" w:fontKey="{86D2743B-7722-4E98-8E22-55B41F777DB3}"/>
  </w:font>
  <w:font w:name="仿宋_GB2312">
    <w:altName w:val="仿宋"/>
    <w:panose1 w:val="00000000000000000000"/>
    <w:charset w:val="86"/>
    <w:family w:val="auto"/>
    <w:pitch w:val="default"/>
    <w:sig w:usb0="00000000" w:usb1="00000000" w:usb2="00000000" w:usb3="00000000" w:csb0="00040000" w:csb1="00000000"/>
    <w:embedRegular r:id="rId4" w:fontKey="{E3253F88-8563-4F0E-96FE-389C72A1B9A8}"/>
  </w:font>
  <w:font w:name="仿宋">
    <w:panose1 w:val="02010609060101010101"/>
    <w:charset w:val="86"/>
    <w:family w:val="modern"/>
    <w:pitch w:val="default"/>
    <w:sig w:usb0="800002BF" w:usb1="38CF7CFA" w:usb2="00000016" w:usb3="00000000" w:csb0="00040001" w:csb1="00000000"/>
    <w:embedRegular r:id="rId5" w:fontKey="{50C91607-AB51-4BBA-A29C-34F64BE86142}"/>
  </w:font>
  <w:font w:name="Arial">
    <w:panose1 w:val="020B0604020202020204"/>
    <w:charset w:val="00"/>
    <w:family w:val="swiss"/>
    <w:pitch w:val="default"/>
    <w:sig w:usb0="E0002EFF" w:usb1="C000785B" w:usb2="00000009" w:usb3="00000000" w:csb0="400001FF" w:csb1="FFFF0000"/>
  </w:font>
  <w:font w:name="方正小标宋简体">
    <w:panose1 w:val="02000000000000000000"/>
    <w:charset w:val="86"/>
    <w:family w:val="script"/>
    <w:pitch w:val="default"/>
    <w:sig w:usb0="00000001" w:usb1="08000000" w:usb2="00000000" w:usb3="00000000" w:csb0="00040000" w:csb1="00000000"/>
    <w:embedRegular r:id="rId6" w:fontKey="{781D3B94-6683-4292-BA25-F8636AF1B5C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A96E1">
    <w:pPr>
      <w:pStyle w:val="10"/>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8E122">
    <w:pPr>
      <w:pStyle w:val="10"/>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B79A5">
    <w:pPr>
      <w:pStyle w:val="1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6086FCA">
                          <w:pPr>
                            <w:pStyle w:val="1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ilnPo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0NG6+lB1&#10;DzCHloWt3lke00SpvF0dA6RNikeBOlXQqXjAJKae9VsTR/3Pc4p6/K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GKWc+jgCAABxBAAADgAAAAAAAAABACAAAAAfAQAAZHJzL2Uyb0RvYy54&#10;bWxQSwUGAAAAAAYABgBZAQAAyQUAAAAA&#10;">
              <v:fill on="f" focussize="0,0"/>
              <v:stroke on="f" weight="0.5pt"/>
              <v:imagedata o:title=""/>
              <o:lock v:ext="edit" aspectratio="f"/>
              <v:textbox inset="0mm,0mm,0mm,0mm" style="mso-fit-shape-to-text:t;">
                <w:txbxContent>
                  <w:p w14:paraId="26086FCA">
                    <w:pPr>
                      <w:pStyle w:val="1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1F2C4">
    <w:pPr>
      <w:pStyle w:val="10"/>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95E7A0F">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X1r85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DkX1r85AgAAcQQAAA4AAAAAAAAAAQAgAAAAHwEAAGRycy9lMm9Eb2Mu&#10;eG1sUEsFBgAAAAAGAAYAWQEAAMoFAAAAAA==&#10;">
              <v:fill on="f" focussize="0,0"/>
              <v:stroke on="f" weight="0.5pt"/>
              <v:imagedata o:title=""/>
              <o:lock v:ext="edit" aspectratio="f"/>
              <v:textbox inset="0mm,0mm,0mm,0mm" style="mso-fit-shape-to-text:t;">
                <w:txbxContent>
                  <w:p w14:paraId="495E7A0F">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0E317">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3ZjBhZjNlZjBkMTgxZTliMTEyODhkZWM1YzY0NjQ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3155"/>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6A2"/>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AF0"/>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2F254D6"/>
    <w:rsid w:val="03DC2831"/>
    <w:rsid w:val="081B5E94"/>
    <w:rsid w:val="083011EE"/>
    <w:rsid w:val="0A2032A3"/>
    <w:rsid w:val="0B17438C"/>
    <w:rsid w:val="0B8A37D8"/>
    <w:rsid w:val="0F5FFB2F"/>
    <w:rsid w:val="0FFFCF60"/>
    <w:rsid w:val="10C055FF"/>
    <w:rsid w:val="118107EC"/>
    <w:rsid w:val="11DD6519"/>
    <w:rsid w:val="1212349F"/>
    <w:rsid w:val="159B473B"/>
    <w:rsid w:val="15BA09D0"/>
    <w:rsid w:val="166937C5"/>
    <w:rsid w:val="16BB723D"/>
    <w:rsid w:val="17B86896"/>
    <w:rsid w:val="18015F3F"/>
    <w:rsid w:val="18C272A1"/>
    <w:rsid w:val="1977314F"/>
    <w:rsid w:val="1BE8440E"/>
    <w:rsid w:val="1D155CEE"/>
    <w:rsid w:val="1E770B63"/>
    <w:rsid w:val="1F252F4B"/>
    <w:rsid w:val="1FDBBF84"/>
    <w:rsid w:val="20F57F95"/>
    <w:rsid w:val="240371BF"/>
    <w:rsid w:val="25711CC6"/>
    <w:rsid w:val="25C741E6"/>
    <w:rsid w:val="276F80C0"/>
    <w:rsid w:val="27842671"/>
    <w:rsid w:val="29FD04D3"/>
    <w:rsid w:val="2ABE7A3E"/>
    <w:rsid w:val="2AFF09B6"/>
    <w:rsid w:val="2CA234A8"/>
    <w:rsid w:val="2E357C65"/>
    <w:rsid w:val="2ECD5D6D"/>
    <w:rsid w:val="2EFA178C"/>
    <w:rsid w:val="2EFDF86C"/>
    <w:rsid w:val="2F9D17E1"/>
    <w:rsid w:val="30B46D73"/>
    <w:rsid w:val="31821294"/>
    <w:rsid w:val="319F7F4E"/>
    <w:rsid w:val="31AC56BF"/>
    <w:rsid w:val="356A28F1"/>
    <w:rsid w:val="357C035A"/>
    <w:rsid w:val="368E000D"/>
    <w:rsid w:val="3752423F"/>
    <w:rsid w:val="37C50CCC"/>
    <w:rsid w:val="383D272C"/>
    <w:rsid w:val="39AE70AB"/>
    <w:rsid w:val="3A4DCE41"/>
    <w:rsid w:val="3AF24F22"/>
    <w:rsid w:val="3BCB56FA"/>
    <w:rsid w:val="3C0C0783"/>
    <w:rsid w:val="3EE7C2F4"/>
    <w:rsid w:val="3F371B56"/>
    <w:rsid w:val="3F792ED8"/>
    <w:rsid w:val="3F9F3A96"/>
    <w:rsid w:val="3FECA4B2"/>
    <w:rsid w:val="3FF58C48"/>
    <w:rsid w:val="42097B6B"/>
    <w:rsid w:val="42FF6694"/>
    <w:rsid w:val="43C43D3D"/>
    <w:rsid w:val="45742769"/>
    <w:rsid w:val="48BF60AB"/>
    <w:rsid w:val="490E0D68"/>
    <w:rsid w:val="493C27E9"/>
    <w:rsid w:val="496F39ED"/>
    <w:rsid w:val="49FF41D3"/>
    <w:rsid w:val="4B2B2900"/>
    <w:rsid w:val="4BE068DB"/>
    <w:rsid w:val="4BF6002B"/>
    <w:rsid w:val="4BFFC6BE"/>
    <w:rsid w:val="4DF711BF"/>
    <w:rsid w:val="4ECE2238"/>
    <w:rsid w:val="50D650BC"/>
    <w:rsid w:val="510C6D30"/>
    <w:rsid w:val="51DB4B86"/>
    <w:rsid w:val="51F64DB0"/>
    <w:rsid w:val="55333C3E"/>
    <w:rsid w:val="5DBF7ED5"/>
    <w:rsid w:val="5F67802D"/>
    <w:rsid w:val="5F7DC4F2"/>
    <w:rsid w:val="5FB36814"/>
    <w:rsid w:val="5FBB8E56"/>
    <w:rsid w:val="5FBF1411"/>
    <w:rsid w:val="5FFB5535"/>
    <w:rsid w:val="64CA39A1"/>
    <w:rsid w:val="69630ADE"/>
    <w:rsid w:val="69BD5F13"/>
    <w:rsid w:val="69FB0B4B"/>
    <w:rsid w:val="6BFFE1FB"/>
    <w:rsid w:val="6C4A05C8"/>
    <w:rsid w:val="6C51446C"/>
    <w:rsid w:val="6C88141A"/>
    <w:rsid w:val="6D3B1A89"/>
    <w:rsid w:val="6DB7D8A3"/>
    <w:rsid w:val="6E6733A0"/>
    <w:rsid w:val="6EC78701"/>
    <w:rsid w:val="6F7A5481"/>
    <w:rsid w:val="6F8F2BAE"/>
    <w:rsid w:val="6FFE07A9"/>
    <w:rsid w:val="71BF4EC2"/>
    <w:rsid w:val="72734D90"/>
    <w:rsid w:val="73E75B71"/>
    <w:rsid w:val="7412278C"/>
    <w:rsid w:val="75706FDE"/>
    <w:rsid w:val="75DDCDA9"/>
    <w:rsid w:val="75FF44B1"/>
    <w:rsid w:val="762D1373"/>
    <w:rsid w:val="77670518"/>
    <w:rsid w:val="777FA627"/>
    <w:rsid w:val="77DF1B5F"/>
    <w:rsid w:val="77EF2D9D"/>
    <w:rsid w:val="787F8CA8"/>
    <w:rsid w:val="79E7B28D"/>
    <w:rsid w:val="7ACFF0C2"/>
    <w:rsid w:val="7AFB9108"/>
    <w:rsid w:val="7BD5340C"/>
    <w:rsid w:val="7BFB19D2"/>
    <w:rsid w:val="7BFD1750"/>
    <w:rsid w:val="7BFDAA1B"/>
    <w:rsid w:val="7CDF9A82"/>
    <w:rsid w:val="7CFFA1BD"/>
    <w:rsid w:val="7D0D651E"/>
    <w:rsid w:val="7D2E3F7A"/>
    <w:rsid w:val="7DED9490"/>
    <w:rsid w:val="7DFF4872"/>
    <w:rsid w:val="7E304914"/>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annotation text"/>
    <w:basedOn w:val="1"/>
    <w:semiHidden/>
    <w:unhideWhenUsed/>
    <w:qFormat/>
    <w:uiPriority w:val="99"/>
    <w:pPr>
      <w:jc w:val="left"/>
    </w:p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字符"/>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4">
    <w:name w:val="标题 2 Char"/>
    <w:basedOn w:val="16"/>
    <w:link w:val="4"/>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emf"/><Relationship Id="rId15" Type="http://schemas.openxmlformats.org/officeDocument/2006/relationships/oleObject" Target="embeddings/Workbook1.xls"/><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WPS%20Cloud%20Files\.14051842\cachedata\09F49F4680944F53BBC9233A107254C6\&#24037;&#20316;&#31807;2.20240116205333026.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WPS%20Cloud%20Files\.14051842\cachedata\09F49F4680944F53BBC9233A107254C6\&#24037;&#20316;&#31807;2.20240116205333026.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024&#24180;10&#26376;&#20570;2023&#24180;&#20915;&#31639;&#20844;&#24320;&#20449;&#24687;\&#24037;&#20316;&#31807;2.20240116205333026.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024&#24180;10&#26376;&#20570;2023&#24180;&#20915;&#31639;&#20844;&#24320;&#20449;&#24687;\&#24037;&#20316;&#31807;2.20240116205333026.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024&#24180;10&#26376;&#20570;2023&#24180;&#20915;&#31639;&#20844;&#24320;&#20449;&#24687;\&#24037;&#20316;&#31807;2.20240116205333026.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24037;&#20316;&#34920;%20&#22312;%20&#24037;&#20316;&#31807;2.2024011620533302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收支决算总计变动情况</a:t>
            </a:r>
            <a:r>
              <a:rPr lang="en-US" altLang="zh-CN"/>
              <a:t>   </a:t>
            </a:r>
            <a:r>
              <a:rPr altLang="en-US"/>
              <a:t>万元</a:t>
            </a:r>
            <a:endParaRPr lang="en-US" altLang="zh-CN"/>
          </a:p>
        </c:rich>
      </c:tx>
      <c:layout/>
      <c:overlay val="0"/>
      <c:spPr>
        <a:noFill/>
        <a:ln>
          <a:noFill/>
        </a:ln>
        <a:effectLst/>
      </c:spPr>
    </c:title>
    <c:autoTitleDeleted val="0"/>
    <c:plotArea>
      <c:layout/>
      <c:barChart>
        <c:barDir val="col"/>
        <c:grouping val="clustered"/>
        <c:varyColors val="0"/>
        <c:ser>
          <c:idx val="0"/>
          <c:order val="0"/>
          <c:tx>
            <c:strRef>
              <c:f>[工作簿2.20240116205333026.xlsx]Sheet1!$A$2</c:f>
              <c:strCache>
                <c:ptCount val="1"/>
                <c:pt idx="0">
                  <c:v>2022</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[工作簿2.20240116205333026.xlsx]Sheet1!$C$3:$D$4</c:f>
              <c:multiLvlStrCache>
                <c:ptCount val="2"/>
                <c:lvl/>
                <c:lvl>
                  <c:pt idx="0">
                    <c:v>收入</c:v>
                  </c:pt>
                  <c:pt idx="1">
                    <c:v>支出</c:v>
                  </c:pt>
                </c:lvl>
              </c:multiLvlStrCache>
            </c:multiLvlStrRef>
          </c:cat>
          <c:val>
            <c:numRef>
              <c:f>[工作簿2.20240116205333026.xlsx]Sheet1!$A$3:$A$4</c:f>
              <c:numCache>
                <c:formatCode>#,##0.00</c:formatCode>
                <c:ptCount val="2"/>
                <c:pt idx="0">
                  <c:v>199.92</c:v>
                </c:pt>
                <c:pt idx="1">
                  <c:v>199.92</c:v>
                </c:pt>
              </c:numCache>
            </c:numRef>
          </c:val>
        </c:ser>
        <c:ser>
          <c:idx val="1"/>
          <c:order val="1"/>
          <c:tx>
            <c:strRef>
              <c:f>[工作簿2.20240116205333026.xlsx]Sheet1!$B$2</c:f>
              <c:strCache>
                <c:ptCount val="1"/>
                <c:pt idx="0">
                  <c:v>2023</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[工作簿2.20240116205333026.xlsx]Sheet1!$C$3:$D$4</c:f>
              <c:multiLvlStrCache>
                <c:ptCount val="2"/>
                <c:lvl/>
                <c:lvl>
                  <c:pt idx="0">
                    <c:v>收入</c:v>
                  </c:pt>
                  <c:pt idx="1">
                    <c:v>支出</c:v>
                  </c:pt>
                </c:lvl>
              </c:multiLvlStrCache>
            </c:multiLvlStrRef>
          </c:cat>
          <c:val>
            <c:numRef>
              <c:f>[工作簿2.20240116205333026.xlsx]Sheet1!$B$3:$B$4</c:f>
              <c:numCache>
                <c:formatCode>#,##0.00</c:formatCode>
                <c:ptCount val="2"/>
                <c:pt idx="0">
                  <c:v>193.21</c:v>
                </c:pt>
                <c:pt idx="1">
                  <c:v>193.21</c:v>
                </c:pt>
              </c:numCache>
            </c:numRef>
          </c:val>
        </c:ser>
        <c:dLbls>
          <c:showLegendKey val="0"/>
          <c:showVal val="1"/>
          <c:showCatName val="0"/>
          <c:showSerName val="0"/>
          <c:showPercent val="0"/>
          <c:showBubbleSize val="0"/>
        </c:dLbls>
        <c:gapWidth val="246"/>
        <c:overlap val="-28"/>
        <c:axId val="127000576"/>
        <c:axId val="127003264"/>
      </c:barChart>
      <c:catAx>
        <c:axId val="1270005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7003264"/>
        <c:crosses val="autoZero"/>
        <c:auto val="1"/>
        <c:lblAlgn val="ctr"/>
        <c:lblOffset val="100"/>
        <c:noMultiLvlLbl val="0"/>
      </c:catAx>
      <c:valAx>
        <c:axId val="127003264"/>
        <c:scaling>
          <c:orientation val="minMax"/>
        </c:scaling>
        <c:delete val="0"/>
        <c:axPos val="l"/>
        <c:majorGridlines>
          <c:spPr>
            <a:ln w="9525" cap="flat" cmpd="sng" algn="ctr">
              <a:solidFill>
                <a:schemeClr val="lt1">
                  <a:lumMod val="90200"/>
                </a:schemeClr>
              </a:solidFill>
              <a:prstDash val="solid"/>
              <a:round/>
            </a:ln>
            <a:effectLst/>
          </c:spPr>
        </c:majorGridlines>
        <c:numFmt formatCode="#,##0.00"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700057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2dc4493-8736-4106-82e6-f044e11c5d9d}"/>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92105038316443"/>
          <c:y val="0.00662251655629139"/>
        </c:manualLayout>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[工作簿2.20240116205333026.xlsx]Sheet1!$K$4</c:f>
              <c:strCache>
                <c:ptCount val="1"/>
                <c:pt idx="0">
                  <c:v>财政拨款收入</c:v>
                </c:pt>
              </c:strCache>
            </c:strRef>
          </c:tx>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[工作簿2.20240116205333026.xlsx]Sheet1!$L$4:$Q$4</c:f>
              <c:strCache>
                <c:ptCount val="6"/>
                <c:pt idx="0">
                  <c:v>事业收入</c:v>
                </c:pt>
                <c:pt idx="1">
                  <c:v>其他收入</c:v>
                </c:pt>
                <c:pt idx="2">
                  <c:v>政府性基金预算财政拨款收入</c:v>
                </c:pt>
                <c:pt idx="3">
                  <c:v>国有资本经营预算财政拨款收</c:v>
                </c:pt>
                <c:pt idx="5">
                  <c:v>上级补助收入</c:v>
                </c:pt>
              </c:strCache>
            </c:strRef>
          </c:cat>
          <c:val>
            <c:numRef>
              <c:f>[工作簿2.20240116205333026.xlsx]Sheet1!$K$5:$Q$5</c:f>
              <c:numCache>
                <c:formatCode>General</c:formatCode>
                <c:ptCount val="7"/>
                <c:pt idx="0">
                  <c:v>177.9</c:v>
                </c:pt>
                <c:pt idx="1">
                  <c:v>14.55</c:v>
                </c:pt>
                <c:pt idx="2">
                  <c:v>0.76</c:v>
                </c:pt>
              </c:numCache>
            </c:numRef>
          </c:val>
        </c:ser>
        <c:ser>
          <c:idx val="1"/>
          <c:order val="1"/>
          <c:tx>
            <c:strRef>
              <c:f>[工作簿2.20240116205333026.xlsx]Sheet1!$L$4</c:f>
              <c:strCache>
                <c:ptCount val="1"/>
                <c:pt idx="0">
                  <c:v>事业收入</c:v>
                </c:pt>
              </c:strCache>
            </c:strRef>
          </c:tx>
          <c:explosion val="0"/>
          <c:dPt>
            <c:idx val="0"/>
            <c:bubble3D val="0"/>
            <c:spPr>
              <a:solidFill>
                <a:schemeClr val="accent1"/>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[工作簿2.20240116205333026.xlsx]Sheet1!$L$4:$Q$4</c:f>
              <c:strCache>
                <c:ptCount val="6"/>
                <c:pt idx="0">
                  <c:v>事业收入</c:v>
                </c:pt>
                <c:pt idx="1">
                  <c:v>其他收入</c:v>
                </c:pt>
                <c:pt idx="2">
                  <c:v>政府性基金预算财政拨款收入</c:v>
                </c:pt>
                <c:pt idx="3">
                  <c:v>国有资本经营预算财政拨款收</c:v>
                </c:pt>
                <c:pt idx="5">
                  <c:v>上级补助收入</c:v>
                </c:pt>
              </c:strCache>
            </c:strRef>
          </c:cat>
          <c:val>
            <c:numRef>
              <c:f>{1}</c:f>
              <c:numCache>
                <c:formatCode>General</c:formatCode>
                <c:ptCount val="1"/>
                <c:pt idx="0">
                  <c:v>1</c:v>
                </c:pt>
              </c:numCache>
            </c:numRef>
          </c:val>
        </c:ser>
        <c:ser>
          <c:idx val="2"/>
          <c:order val="2"/>
          <c:tx>
            <c:strRef>
              <c:f>[工作簿2.20240116205333026.xlsx]Sheet1!$M$4</c:f>
              <c:strCache>
                <c:ptCount val="1"/>
                <c:pt idx="0">
                  <c:v>其他收入</c:v>
                </c:pt>
              </c:strCache>
            </c:strRef>
          </c:tx>
          <c:explosion val="0"/>
          <c:dPt>
            <c:idx val="0"/>
            <c:bubble3D val="0"/>
            <c:spPr>
              <a:solidFill>
                <a:schemeClr val="accent1"/>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[工作簿2.20240116205333026.xlsx]Sheet1!$L$4:$Q$4</c:f>
              <c:strCache>
                <c:ptCount val="6"/>
                <c:pt idx="0">
                  <c:v>事业收入</c:v>
                </c:pt>
                <c:pt idx="1">
                  <c:v>其他收入</c:v>
                </c:pt>
                <c:pt idx="2">
                  <c:v>政府性基金预算财政拨款收入</c:v>
                </c:pt>
                <c:pt idx="3">
                  <c:v>国有资本经营预算财政拨款收</c:v>
                </c:pt>
                <c:pt idx="5">
                  <c:v>上级补助收入</c:v>
                </c:pt>
              </c:strCache>
            </c:strRef>
          </c:cat>
          <c:val>
            <c:numRef>
              <c:f>{1}</c:f>
              <c:numCache>
                <c:formatCode>General</c:formatCode>
                <c:ptCount val="1"/>
                <c:pt idx="0">
                  <c:v>1</c:v>
                </c:pt>
              </c:numCache>
            </c:numRef>
          </c:val>
        </c:ser>
        <c:dLbls>
          <c:showLegendKey val="0"/>
          <c:showVal val="1"/>
          <c:showCatName val="0"/>
          <c:showSerName val="0"/>
          <c:showPercent val="0"/>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b0453bf0-e067-4a67-b80b-07eda7d2f897}"/>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支出决算结构图</a:t>
            </a:r>
          </a:p>
        </c:rich>
      </c:tx>
      <c:layout/>
      <c:overlay val="0"/>
      <c:spPr>
        <a:noFill/>
        <a:ln>
          <a:noFill/>
        </a:ln>
        <a:effectLst/>
      </c:spPr>
    </c:title>
    <c:autoTitleDeleted val="0"/>
    <c:plotArea>
      <c:layout/>
      <c:pieChart>
        <c:varyColors val="1"/>
        <c:ser>
          <c:idx val="0"/>
          <c:order val="0"/>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elete val="1"/>
          </c:dLbls>
          <c:cat>
            <c:strRef>
              <c:f>[工作簿2.20240116205333026.xlsx]Sheet1!$A$27:$A$28</c:f>
              <c:strCache>
                <c:ptCount val="2"/>
                <c:pt idx="0">
                  <c:v>基本支出177.1（万元）</c:v>
                </c:pt>
                <c:pt idx="1">
                  <c:v>项目支出支出70.86（万元）</c:v>
                </c:pt>
              </c:strCache>
            </c:strRef>
          </c:cat>
          <c:val>
            <c:numRef>
              <c:f>[工作簿2.20240116205333026.xlsx]Sheet1!$B$27:$B$28</c:f>
              <c:numCache>
                <c:formatCode>General</c:formatCode>
                <c:ptCount val="2"/>
                <c:pt idx="0">
                  <c:v>177.1</c:v>
                </c:pt>
                <c:pt idx="1">
                  <c:v>70.86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7e21df30-5f5d-45cd-9e6c-48c3616ab4a3}"/>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财政拨款收、支决算总计变动情况</a:t>
            </a:r>
          </a:p>
        </c:rich>
      </c:tx>
      <c:layout>
        <c:manualLayout>
          <c:xMode val="edge"/>
          <c:yMode val="edge"/>
          <c:x val="0.256578947368421"/>
          <c:y val="0.0138888888888889"/>
        </c:manualLayout>
      </c:layout>
      <c:overlay val="0"/>
      <c:spPr>
        <a:noFill/>
        <a:ln>
          <a:noFill/>
        </a:ln>
        <a:effectLst/>
      </c:spPr>
    </c:title>
    <c:autoTitleDeleted val="0"/>
    <c:plotArea>
      <c:layout>
        <c:manualLayout>
          <c:layoutTarget val="inner"/>
          <c:xMode val="edge"/>
          <c:yMode val="edge"/>
          <c:x val="0.0650793650793651"/>
          <c:y val="0.363533087191139"/>
          <c:w val="0.93015873015873"/>
          <c:h val="0.517580232888384"/>
        </c:manualLayout>
      </c:layout>
      <c:barChart>
        <c:barDir val="col"/>
        <c:grouping val="clustered"/>
        <c:varyColors val="0"/>
        <c:ser>
          <c:idx val="0"/>
          <c:order val="0"/>
          <c:tx>
            <c:strRef>
              <c:f>[工作簿2.20240116205333026.xlsx]Sheet1!$B$41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[工作簿2.20240116205333026.xlsx]Sheet1!$A$42:$A$44</c:f>
              <c:strCache>
                <c:ptCount val="3"/>
                <c:pt idx="0">
                  <c:v>财政拨款总收入</c:v>
                </c:pt>
                <c:pt idx="1">
                  <c:v>财政拨款总支出</c:v>
                </c:pt>
              </c:strCache>
            </c:strRef>
          </c:cat>
          <c:val>
            <c:numRef>
              <c:f>[工作簿2.20240116205333026.xlsx]Sheet1!$B$42:$B$44</c:f>
              <c:numCache>
                <c:formatCode>General</c:formatCode>
                <c:ptCount val="3"/>
                <c:pt idx="0">
                  <c:v>177.9</c:v>
                </c:pt>
                <c:pt idx="1">
                  <c:v>177.9</c:v>
                </c:pt>
              </c:numCache>
            </c:numRef>
          </c:val>
        </c:ser>
        <c:ser>
          <c:idx val="1"/>
          <c:order val="1"/>
          <c:tx>
            <c:strRef>
              <c:f>[工作簿2.20240116205333026.xlsx]Sheet1!$C$41</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[工作簿2.20240116205333026.xlsx]Sheet1!$A$42:$A$44</c:f>
              <c:strCache>
                <c:ptCount val="3"/>
                <c:pt idx="0">
                  <c:v>财政拨款总收入</c:v>
                </c:pt>
                <c:pt idx="1">
                  <c:v>财政拨款总支出</c:v>
                </c:pt>
              </c:strCache>
            </c:strRef>
          </c:cat>
          <c:val>
            <c:numRef>
              <c:f>[工作簿2.20240116205333026.xlsx]Sheet1!$C$42:$C$44</c:f>
              <c:numCache>
                <c:formatCode>General</c:formatCode>
                <c:ptCount val="3"/>
                <c:pt idx="0">
                  <c:v>164.98</c:v>
                </c:pt>
                <c:pt idx="1">
                  <c:v>164.98</c:v>
                </c:pt>
              </c:numCache>
            </c:numRef>
          </c:val>
        </c:ser>
        <c:dLbls>
          <c:showLegendKey val="0"/>
          <c:showVal val="1"/>
          <c:showCatName val="0"/>
          <c:showSerName val="0"/>
          <c:showPercent val="0"/>
          <c:showBubbleSize val="0"/>
        </c:dLbls>
        <c:gapWidth val="260"/>
        <c:overlap val="-32"/>
        <c:axId val="142862976"/>
        <c:axId val="146668928"/>
      </c:barChart>
      <c:catAx>
        <c:axId val="14286297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46668928"/>
        <c:crosses val="autoZero"/>
        <c:auto val="1"/>
        <c:lblAlgn val="ctr"/>
        <c:lblOffset val="100"/>
        <c:noMultiLvlLbl val="0"/>
      </c:catAx>
      <c:valAx>
        <c:axId val="146668928"/>
        <c:scaling>
          <c:orientation val="minMax"/>
        </c:scaling>
        <c:delete val="1"/>
        <c:axPos val="l"/>
        <c:numFmt formatCode="General" sourceLinked="1"/>
        <c:majorTickMark val="none"/>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42862976"/>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07bceb4-200a-4ef3-b57b-c0aca44013e1}"/>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般公共预算财政拨款支出决算变动情况</a:t>
            </a:r>
          </a:p>
        </c:rich>
      </c:tx>
      <c:layout/>
      <c:overlay val="0"/>
      <c:spPr>
        <a:noFill/>
        <a:ln>
          <a:noFill/>
        </a:ln>
        <a:effectLst/>
      </c:spPr>
    </c:title>
    <c:autoTitleDeleted val="0"/>
    <c:plotArea>
      <c:layout/>
      <c:barChart>
        <c:barDir val="col"/>
        <c:grouping val="clustered"/>
        <c:varyColors val="0"/>
        <c:ser>
          <c:idx val="0"/>
          <c:order val="0"/>
          <c:tx>
            <c:strRef>
              <c:f>[工作簿2.20240116205333026.xlsx]Sheet1!$A$65</c:f>
              <c:strCache>
                <c:ptCount val="1"/>
                <c:pt idx="0">
                  <c:v>一般公共预算财政拨款支出万元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[工作簿2.20240116205333026.xlsx]Sheet1!$B$64:$C$64</c:f>
              <c:numCache>
                <c:formatCode>General</c:formatCode>
                <c:ptCount val="2"/>
                <c:pt idx="0">
                  <c:v>2023</c:v>
                </c:pt>
                <c:pt idx="1">
                  <c:v>2022</c:v>
                </c:pt>
              </c:numCache>
            </c:numRef>
          </c:cat>
          <c:val>
            <c:numRef>
              <c:f>[工作簿2.20240116205333026.xlsx]Sheet1!$B$65:$C$65</c:f>
              <c:numCache>
                <c:formatCode>General</c:formatCode>
                <c:ptCount val="2"/>
                <c:pt idx="0">
                  <c:v>1779.6</c:v>
                </c:pt>
                <c:pt idx="1">
                  <c:v>164.98</c:v>
                </c:pt>
              </c:numCache>
            </c:numRef>
          </c:val>
        </c:ser>
        <c:ser>
          <c:idx val="1"/>
          <c:order val="1"/>
          <c:tx>
            <c:strRef>
              <c:f>[工作簿2.20240116205333026.xlsx]Sheet1!$A$66</c:f>
              <c:strCache>
                <c:ptCount val="1"/>
                <c:pt idx="0">
                  <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[工作簿2.20240116205333026.xlsx]Sheet1!$B$64:$C$64</c:f>
              <c:numCache>
                <c:formatCode>General</c:formatCode>
                <c:ptCount val="2"/>
                <c:pt idx="0">
                  <c:v>2023</c:v>
                </c:pt>
                <c:pt idx="1">
                  <c:v>2022</c:v>
                </c:pt>
              </c:numCache>
            </c:numRef>
          </c:cat>
          <c:val>
            <c:numRef>
              <c:f>[工作簿2.20240116205333026.xlsx]Sheet1!$B$66:$C$66</c:f>
              <c:numCache>
                <c:formatCode>General</c:formatCode>
                <c:ptCount val="2"/>
              </c:numCache>
            </c:numRef>
          </c:val>
        </c:ser>
        <c:dLbls>
          <c:showLegendKey val="0"/>
          <c:showVal val="1"/>
          <c:showCatName val="0"/>
          <c:showSerName val="0"/>
          <c:showPercent val="0"/>
          <c:showBubbleSize val="0"/>
        </c:dLbls>
        <c:gapWidth val="246"/>
        <c:overlap val="-28"/>
        <c:axId val="224838016"/>
        <c:axId val="224857088"/>
      </c:barChart>
      <c:catAx>
        <c:axId val="2248380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24857088"/>
        <c:crosses val="autoZero"/>
        <c:auto val="1"/>
        <c:lblAlgn val="ctr"/>
        <c:lblOffset val="100"/>
        <c:noMultiLvlLbl val="0"/>
      </c:catAx>
      <c:valAx>
        <c:axId val="224857088"/>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2483801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6939c9e-3306-4687-9b96-b5a5c924ce05}"/>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一般公共预算财政拨款支出决算结构</a:t>
            </a:r>
          </a:p>
        </c:rich>
      </c:tx>
      <c:layout/>
      <c:overlay val="0"/>
      <c:spPr>
        <a:noFill/>
        <a:ln>
          <a:noFill/>
        </a:ln>
        <a:effectLst/>
      </c:spPr>
    </c:title>
    <c:autoTitleDeleted val="0"/>
    <c:plotArea>
      <c:layout/>
      <c:pieChart>
        <c:varyColors val="1"/>
        <c:ser>
          <c:idx val="0"/>
          <c:order val="0"/>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r>
                      <a:rPr lang="en-US" altLang="zh-CN"/>
                      <a:t>10.68</a:t>
                    </a:r>
                    <a:endParaRPr lang="en-US" altLang="zh-CN"/>
                  </a:p>
                </c:rich>
              </c:tx>
              <c:dLblPos val="inEnd"/>
              <c:showLegendKey val="0"/>
              <c:showVal val="0"/>
              <c:showCatName val="0"/>
              <c:showSerName val="0"/>
              <c:showPercent val="1"/>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r>
                      <a:rPr lang="en-US" altLang="zh-CN"/>
                      <a:t>158.79</a:t>
                    </a:r>
                    <a:endParaRPr lang="en-US" altLang="zh-CN"/>
                  </a:p>
                </c:rich>
              </c:tx>
              <c:dLblPos val="inEnd"/>
              <c:showLegendKey val="0"/>
              <c:showVal val="0"/>
              <c:showCatName val="0"/>
              <c:showSerName val="0"/>
              <c:showPercent val="1"/>
              <c:showBubbleSize val="0"/>
              <c:extLst>
                <c:ext xmlns:c15="http://schemas.microsoft.com/office/drawing/2012/chart" uri="{CE6537A1-D6FC-4f65-9D91-7224C49458BB}"/>
              </c:extLst>
            </c:dLbl>
            <c:dLbl>
              <c:idx val="3"/>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r>
                      <a:rPr lang="en-US" altLang="zh-CN"/>
                      <a:t>8.43</a:t>
                    </a:r>
                    <a:endParaRPr lang="en-US" altLang="zh-CN"/>
                  </a:p>
                </c:rich>
              </c:tx>
              <c:dLblPos val="inEnd"/>
              <c:showLegendKey val="0"/>
              <c:showVal val="0"/>
              <c:showCatName val="0"/>
              <c:showSerName val="0"/>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'[工作表 在 工作簿2.20240116205333026.xlsx]Sheet1'!$A$82:$A$85</c:f>
              <c:strCache>
                <c:ptCount val="4"/>
                <c:pt idx="0">
                  <c:v>；社会保障和就业万元</c:v>
                </c:pt>
                <c:pt idx="1">
                  <c:v>卫生健康支出万元</c:v>
                </c:pt>
                <c:pt idx="3">
                  <c:v>住房保障支出万元</c:v>
                </c:pt>
              </c:strCache>
            </c:strRef>
          </c:cat>
          <c:val>
            <c:numRef>
              <c:f>'[工作表 在 工作簿2.20240116205333026.xlsx]Sheet1'!$B$82:$B$85</c:f>
              <c:numCache>
                <c:formatCode>General</c:formatCode>
                <c:ptCount val="4"/>
                <c:pt idx="0">
                  <c:v>10.68</c:v>
                </c:pt>
                <c:pt idx="1">
                  <c:v>158.79</c:v>
                </c:pt>
                <c:pt idx="3">
                  <c:v>8.43</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89b68434-4692-4b22-beb2-3cccc4cdc306}"/>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18</Pages>
  <Words>1132</Words>
  <Characters>6454</Characters>
  <Lines>53</Lines>
  <Paragraphs>15</Paragraphs>
  <TotalTime>11</TotalTime>
  <ScaleCrop>false</ScaleCrop>
  <LinksUpToDate>false</LinksUpToDate>
  <CharactersWithSpaces>7571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2020-08-08T09:49:00Z</dcterms:created>
  <dc:creator>曹颖</dc:creator>
  <cp:lastModifiedBy>飞之芳</cp:lastModifiedBy>
  <cp:lastPrinted>2023-08-03T10:35:00Z</cp:lastPrinted>
  <dcterms:modified xsi:type="dcterms:W3CDTF">2024-10-27T10:44:05Z</dcterms:modified>
  <dc:title>四川省***</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05FE7F51C29B4BC392C3F91EF29F1CE9_13</vt:lpwstr>
  </property>
</Properties>
</file>