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1" w:name="_Toc15378441"/>
      <w:bookmarkStart w:id="2" w:name="_Toc15396475"/>
      <w:bookmarkStart w:id="3" w:name="_Toc1214607597"/>
      <w:bookmarkStart w:id="4" w:name="_Toc15377193"/>
      <w:bookmarkStart w:id="5" w:name="_Toc15396597"/>
      <w:bookmarkStart w:id="6" w:name="_Toc1957882"/>
      <w:bookmarkStart w:id="7" w:name="_Toc15377425"/>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bookmarkEnd w:id="6"/>
      <w:bookmarkEnd w:id="7"/>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8" w:name="_Toc1807025883"/>
      <w:bookmarkStart w:id="9" w:name="_Toc451096019"/>
      <w:bookmarkStart w:id="10" w:name="_Toc15378442"/>
      <w:bookmarkStart w:id="11" w:name="_Toc15396476"/>
      <w:bookmarkStart w:id="12" w:name="_Toc15306268"/>
      <w:bookmarkStart w:id="13" w:name="_Toc15377194"/>
      <w:bookmarkStart w:id="14" w:name="_Toc15396598"/>
      <w:bookmarkStart w:id="15" w:name="_Toc15377426"/>
      <w:r>
        <w:rPr>
          <w:rFonts w:hint="eastAsia" w:ascii="方正小标宋简体" w:hAnsi="方正小标宋简体" w:eastAsia="方正小标宋简体" w:cs="方正小标宋简体"/>
          <w:sz w:val="44"/>
          <w:szCs w:val="44"/>
        </w:rPr>
        <w:t>盐边县卫生健康局</w:t>
      </w:r>
      <w:bookmarkEnd w:id="8"/>
      <w:bookmarkEnd w:id="9"/>
    </w:p>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16" w:name="_Toc1750638628"/>
      <w:bookmarkStart w:id="17" w:name="_Toc1887941369"/>
      <w:r>
        <w:rPr>
          <w:rFonts w:hint="eastAsia" w:ascii="方正小标宋简体" w:hAnsi="方正小标宋简体" w:eastAsia="方正小标宋简体" w:cs="方正小标宋简体"/>
          <w:sz w:val="44"/>
          <w:szCs w:val="44"/>
          <w:lang w:eastAsia="zh-CN"/>
        </w:rPr>
        <w:t>单位</w:t>
      </w:r>
      <w:r>
        <w:rPr>
          <w:rFonts w:hint="eastAsia" w:ascii="方正小标宋简体" w:hAnsi="方正小标宋简体" w:eastAsia="方正小标宋简体" w:cs="方正小标宋简体"/>
          <w:sz w:val="44"/>
          <w:szCs w:val="44"/>
        </w:rPr>
        <w:t>决算</w:t>
      </w:r>
      <w:bookmarkEnd w:id="10"/>
      <w:bookmarkEnd w:id="11"/>
      <w:bookmarkEnd w:id="12"/>
      <w:bookmarkEnd w:id="13"/>
      <w:bookmarkEnd w:id="14"/>
      <w:bookmarkEnd w:id="15"/>
      <w:bookmarkEnd w:id="16"/>
      <w:bookmarkEnd w:id="17"/>
    </w:p>
    <w:p>
      <w:pPr>
        <w:adjustRightInd w:val="0"/>
        <w:snapToGrid w:val="0"/>
        <w:spacing w:line="360" w:lineRule="auto"/>
        <w:jc w:val="center"/>
        <w:outlineLvl w:val="0"/>
        <w:rPr>
          <w:rFonts w:eastAsia="方正小标宋简体"/>
          <w:sz w:val="52"/>
          <w:szCs w:val="52"/>
        </w:rPr>
      </w:pPr>
    </w:p>
    <w:p>
      <w:pPr>
        <w:widowControl/>
        <w:jc w:val="center"/>
        <w:rPr>
          <w:rFonts w:eastAsia="黑体"/>
          <w:sz w:val="48"/>
          <w:szCs w:val="48"/>
        </w:rPr>
        <w:sectPr>
          <w:headerReference r:id="rId4" w:type="first"/>
          <w:headerReference r:id="rId3" w:type="default"/>
          <w:footerReference r:id="rId5" w:type="default"/>
          <w:pgSz w:w="11906" w:h="16838"/>
          <w:pgMar w:top="1440" w:right="1800" w:bottom="1440" w:left="1800" w:header="851" w:footer="992" w:gutter="0"/>
          <w:pgNumType w:start="1"/>
          <w:cols w:space="425" w:num="1"/>
          <w:titlePg/>
          <w:docGrid w:type="lines" w:linePitch="312" w:charSpace="0"/>
        </w:sectPr>
      </w:pPr>
    </w:p>
    <w:p>
      <w:pPr>
        <w:widowControl/>
        <w:jc w:val="center"/>
        <w:rPr>
          <w:rFonts w:eastAsia="黑体"/>
          <w:sz w:val="48"/>
          <w:szCs w:val="48"/>
        </w:rPr>
      </w:pPr>
      <w:r>
        <w:rPr>
          <w:rFonts w:eastAsia="黑体"/>
          <w:sz w:val="48"/>
          <w:szCs w:val="48"/>
        </w:rPr>
        <w:t>目录</w:t>
      </w:r>
    </w:p>
    <w:p>
      <w:pPr>
        <w:pStyle w:val="2"/>
      </w:pPr>
    </w:p>
    <w:p>
      <w:pPr>
        <w:pStyle w:val="12"/>
        <w:rPr>
          <w:rFonts w:ascii="Times New Roman" w:hAnsi="Times New Roman"/>
        </w:rPr>
      </w:pPr>
      <w:r>
        <w:rPr>
          <w:rFonts w:ascii="Times New Roman" w:hAnsi="Times New Roman"/>
        </w:rPr>
        <w:t>公开时间：2024年10月28日</w:t>
      </w:r>
      <w:bookmarkStart w:id="18" w:name="_Toc15377196"/>
      <w:bookmarkStart w:id="19" w:name="_Toc15396599"/>
    </w:p>
    <w:p>
      <w:pPr>
        <w:pStyle w:val="12"/>
      </w:pPr>
      <w:r>
        <w:fldChar w:fldCharType="begin"/>
      </w:r>
      <w:r>
        <w:instrText xml:space="preserve">TOC \o "1-3" \h \u </w:instrText>
      </w:r>
      <w:r>
        <w:fldChar w:fldCharType="separate"/>
      </w:r>
    </w:p>
    <w:p>
      <w:pPr>
        <w:pStyle w:val="12"/>
        <w:tabs>
          <w:tab w:val="right" w:leader="dot" w:pos="8306"/>
          <w:tab w:val="clear" w:pos="8296"/>
        </w:tabs>
        <w:rPr>
          <w:rFonts w:hint="eastAsia" w:ascii="CESI仿宋-GB13000" w:hAnsi="CESI仿宋-GB13000" w:eastAsia="CESI仿宋-GB13000" w:cs="CESI仿宋-GB13000"/>
        </w:rPr>
      </w:pPr>
      <w:r>
        <w:rPr>
          <w:rFonts w:hint="eastAsia" w:ascii="CESI仿宋-GB13000" w:hAnsi="CESI仿宋-GB13000" w:eastAsia="CESI仿宋-GB13000" w:cs="CESI仿宋-GB13000"/>
        </w:rPr>
        <w:fldChar w:fldCharType="begin"/>
      </w:r>
      <w:r>
        <w:rPr>
          <w:rFonts w:hint="eastAsia" w:ascii="CESI仿宋-GB13000" w:hAnsi="CESI仿宋-GB13000" w:eastAsia="CESI仿宋-GB13000" w:cs="CESI仿宋-GB13000"/>
        </w:rPr>
        <w:instrText xml:space="preserve"> HYPERLINK \l _Toc46078842 </w:instrText>
      </w:r>
      <w:r>
        <w:rPr>
          <w:rFonts w:hint="eastAsia" w:ascii="CESI仿宋-GB13000" w:hAnsi="CESI仿宋-GB13000" w:eastAsia="CESI仿宋-GB13000" w:cs="CESI仿宋-GB13000"/>
        </w:rPr>
        <w:fldChar w:fldCharType="separate"/>
      </w:r>
      <w:r>
        <w:rPr>
          <w:rFonts w:hint="eastAsia" w:ascii="CESI仿宋-GB13000" w:hAnsi="CESI仿宋-GB13000" w:eastAsia="CESI仿宋-GB13000" w:cs="CESI仿宋-GB13000"/>
        </w:rPr>
        <w:t>第一部分 单位</w:t>
      </w:r>
      <w:r>
        <w:rPr>
          <w:rFonts w:hint="eastAsia" w:ascii="CESI仿宋-GB13000" w:hAnsi="CESI仿宋-GB13000" w:eastAsia="CESI仿宋-GB13000" w:cs="CESI仿宋-GB13000"/>
          <w:bCs w:val="0"/>
        </w:rPr>
        <w:t>概况</w:t>
      </w:r>
      <w:r>
        <w:rPr>
          <w:rFonts w:hint="eastAsia" w:ascii="CESI仿宋-GB13000" w:hAnsi="CESI仿宋-GB13000" w:eastAsia="CESI仿宋-GB13000" w:cs="CESI仿宋-GB13000"/>
        </w:rPr>
        <w:tab/>
      </w:r>
      <w:r>
        <w:rPr>
          <w:rFonts w:hint="eastAsia" w:ascii="CESI仿宋-GB13000" w:hAnsi="CESI仿宋-GB13000" w:eastAsia="CESI仿宋-GB13000" w:cs="CESI仿宋-GB13000"/>
        </w:rPr>
        <w:fldChar w:fldCharType="begin"/>
      </w:r>
      <w:r>
        <w:rPr>
          <w:rFonts w:hint="eastAsia" w:ascii="CESI仿宋-GB13000" w:hAnsi="CESI仿宋-GB13000" w:eastAsia="CESI仿宋-GB13000" w:cs="CESI仿宋-GB13000"/>
        </w:rPr>
        <w:instrText xml:space="preserve"> PAGEREF _Toc46078842 \h </w:instrText>
      </w:r>
      <w:r>
        <w:rPr>
          <w:rFonts w:hint="eastAsia" w:ascii="CESI仿宋-GB13000" w:hAnsi="CESI仿宋-GB13000" w:eastAsia="CESI仿宋-GB13000" w:cs="CESI仿宋-GB13000"/>
        </w:rPr>
        <w:fldChar w:fldCharType="separate"/>
      </w:r>
      <w:r>
        <w:rPr>
          <w:rFonts w:hint="eastAsia" w:ascii="CESI仿宋-GB13000" w:hAnsi="CESI仿宋-GB13000" w:eastAsia="CESI仿宋-GB13000" w:cs="CESI仿宋-GB13000"/>
        </w:rPr>
        <w:t>1</w:t>
      </w:r>
      <w:r>
        <w:rPr>
          <w:rFonts w:hint="eastAsia" w:ascii="CESI仿宋-GB13000" w:hAnsi="CESI仿宋-GB13000" w:eastAsia="CESI仿宋-GB13000" w:cs="CESI仿宋-GB13000"/>
        </w:rPr>
        <w:fldChar w:fldCharType="end"/>
      </w:r>
      <w:r>
        <w:rPr>
          <w:rFonts w:hint="eastAsia" w:ascii="CESI仿宋-GB13000" w:hAnsi="CESI仿宋-GB13000" w:eastAsia="CESI仿宋-GB13000" w:cs="CESI仿宋-GB13000"/>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_Toc1498445446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kern w:val="0"/>
          <w:sz w:val="24"/>
          <w:szCs w:val="24"/>
        </w:rPr>
        <w:t xml:space="preserve">一、 </w:t>
      </w:r>
      <w:r>
        <w:rPr>
          <w:rFonts w:hint="eastAsia" w:asciiTheme="minorEastAsia" w:hAnsiTheme="minorEastAsia" w:eastAsiaTheme="minorEastAsia" w:cstheme="minorEastAsia"/>
          <w:bCs w:val="0"/>
          <w:sz w:val="24"/>
          <w:szCs w:val="24"/>
          <w:lang w:eastAsia="zh-CN"/>
        </w:rPr>
        <w:t>单位</w:t>
      </w:r>
      <w:r>
        <w:rPr>
          <w:rFonts w:hint="eastAsia" w:asciiTheme="minorEastAsia" w:hAnsiTheme="minorEastAsia" w:eastAsiaTheme="minorEastAsia" w:cstheme="minorEastAsia"/>
          <w:bCs w:val="0"/>
          <w:sz w:val="24"/>
          <w:szCs w:val="24"/>
        </w:rPr>
        <w:t>职责</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_Toc1498445446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_Toc177258615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 机构设置</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_Toc177258615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2"/>
        <w:tabs>
          <w:tab w:val="right" w:leader="dot" w:pos="8306"/>
          <w:tab w:val="clear" w:pos="8296"/>
        </w:tabs>
        <w:rPr>
          <w:rFonts w:hint="eastAsia" w:ascii="CESI仿宋-GB13000" w:hAnsi="CESI仿宋-GB13000" w:eastAsia="CESI仿宋-GB13000" w:cs="CESI仿宋-GB13000"/>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_Toc1589865816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第二部分 2023年度</w:t>
      </w:r>
      <w:r>
        <w:rPr>
          <w:rFonts w:hint="eastAsia" w:ascii="CESI仿宋-GB13000" w:hAnsi="CESI仿宋-GB13000" w:eastAsia="CESI仿宋-GB13000" w:cs="CESI仿宋-GB13000"/>
          <w:bCs/>
          <w:sz w:val="28"/>
          <w:szCs w:val="28"/>
        </w:rPr>
        <w:t>单位决算情况说明</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PAGEREF _Toc1589865816 \h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5</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_Toc1054747972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 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_Toc1054747972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_Toc2021479219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 收入决算情况说明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_Toc2021479219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_Toc1217574760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三、 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_Toc1217574760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6</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_Toc1106384741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四、财政拨款收入支出决算总体情况说明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_Toc1106384741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_Toc1335227989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五、一般公共预算财政拨款支出决算情况说明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_Toc1335227989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8</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_Toc100617280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六、一般公共预算财政拨款基本支出决算情况说明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_Toc100617280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_Toc1261686613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七、财政拨款“三公”经费支出决算情况说明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_Toc1261686613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_Toc1821938029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八、政府性基金预算支出决算情况说明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_Toc1821938029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_Toc1969080751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九、 国有资本经营预算支出决算情况说明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_Toc1969080751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sz w:val="28"/>
          <w:szCs w:val="28"/>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_Toc1646065242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 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_Toc1646065242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2"/>
        <w:tabs>
          <w:tab w:val="right" w:leader="dot" w:pos="8306"/>
          <w:tab w:val="clear" w:pos="8296"/>
        </w:tabs>
        <w:rPr>
          <w:rFonts w:hint="eastAsia" w:ascii="CESI仿宋-GB13000" w:hAnsi="CESI仿宋-GB13000" w:eastAsia="CESI仿宋-GB13000" w:cs="CESI仿宋-GB13000"/>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_Toc1717558562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第三部分 名词解释</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PAGEREF _Toc1717558562 \h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18</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rPr>
        <w:fldChar w:fldCharType="end"/>
      </w:r>
    </w:p>
    <w:p>
      <w:pPr>
        <w:pStyle w:val="12"/>
        <w:tabs>
          <w:tab w:val="right" w:leader="dot" w:pos="8306"/>
          <w:tab w:val="clear" w:pos="8296"/>
        </w:tabs>
        <w:jc w:val="both"/>
        <w:rPr>
          <w:rFonts w:hint="eastAsia" w:ascii="CESI仿宋-GB13000" w:hAnsi="CESI仿宋-GB13000" w:eastAsia="CESI仿宋-GB13000" w:cs="CESI仿宋-GB13000"/>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_Toc601073725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第四部分 附件</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PAGEREF _Toc601073725 \h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22</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rPr>
        <w:fldChar w:fldCharType="end"/>
      </w:r>
    </w:p>
    <w:p>
      <w:pPr>
        <w:pStyle w:val="12"/>
        <w:tabs>
          <w:tab w:val="right" w:leader="dot" w:pos="8306"/>
          <w:tab w:val="clear" w:pos="8296"/>
        </w:tabs>
        <w:rPr>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_Toc308085697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第五部分 附表</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PAGEREF _Toc308085697 \h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23</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_Toc480523656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一、收</w:t>
      </w:r>
      <w:r>
        <w:rPr>
          <w:rFonts w:hint="eastAsia" w:asciiTheme="minorEastAsia" w:hAnsiTheme="minorEastAsia" w:eastAsiaTheme="minorEastAsia" w:cstheme="minorEastAsia"/>
          <w:bCs w:val="0"/>
          <w:sz w:val="24"/>
          <w:szCs w:val="24"/>
        </w:rPr>
        <w:t>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_Toc480523656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_Toc76098707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二、收</w:t>
      </w:r>
      <w:r>
        <w:rPr>
          <w:rFonts w:hint="eastAsia" w:asciiTheme="minorEastAsia" w:hAnsiTheme="minorEastAsia" w:eastAsiaTheme="minorEastAsia" w:cstheme="minorEastAsia"/>
          <w:bCs w:val="0"/>
          <w:sz w:val="24"/>
          <w:szCs w:val="24"/>
        </w:rPr>
        <w:t>入决算表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_Toc76098707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_Toc181879040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三、</w:t>
      </w:r>
      <w:r>
        <w:rPr>
          <w:rFonts w:hint="eastAsia" w:asciiTheme="minorEastAsia" w:hAnsiTheme="minorEastAsia" w:eastAsiaTheme="minorEastAsia" w:cstheme="minorEastAsia"/>
          <w:sz w:val="24"/>
          <w:szCs w:val="24"/>
        </w:rPr>
        <w:t>支</w:t>
      </w:r>
      <w:r>
        <w:rPr>
          <w:rFonts w:hint="eastAsia" w:asciiTheme="minorEastAsia" w:hAnsiTheme="minorEastAsia" w:eastAsiaTheme="minorEastAsia" w:cstheme="minorEastAsia"/>
          <w:bCs w:val="0"/>
          <w:sz w:val="24"/>
          <w:szCs w:val="24"/>
        </w:rPr>
        <w:t>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_Toc181879040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_Toc50598570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四、</w:t>
      </w:r>
      <w:r>
        <w:rPr>
          <w:rFonts w:hint="eastAsia" w:asciiTheme="minorEastAsia" w:hAnsiTheme="minorEastAsia" w:eastAsiaTheme="minorEastAsia" w:cstheme="minorEastAsia"/>
          <w:sz w:val="24"/>
          <w:szCs w:val="24"/>
        </w:rPr>
        <w:t>财</w:t>
      </w:r>
      <w:r>
        <w:rPr>
          <w:rFonts w:hint="eastAsia" w:asciiTheme="minorEastAsia" w:hAnsiTheme="minorEastAsia" w:eastAsiaTheme="minorEastAsia" w:cstheme="minorEastAsia"/>
          <w:bCs w:val="0"/>
          <w:sz w:val="24"/>
          <w:szCs w:val="24"/>
        </w:rPr>
        <w:t>政拨款收入支出决算总表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_Toc50598570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_Toc1833159050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五、</w:t>
      </w:r>
      <w:r>
        <w:rPr>
          <w:rFonts w:hint="eastAsia" w:asciiTheme="minorEastAsia" w:hAnsiTheme="minorEastAsia" w:eastAsiaTheme="minorEastAsia" w:cstheme="minorEastAsia"/>
          <w:sz w:val="24"/>
          <w:szCs w:val="24"/>
        </w:rPr>
        <w:t>财</w:t>
      </w:r>
      <w:r>
        <w:rPr>
          <w:rFonts w:hint="eastAsia" w:asciiTheme="minorEastAsia" w:hAnsiTheme="minorEastAsia" w:eastAsiaTheme="minorEastAsia" w:cstheme="minorEastAsia"/>
          <w:bCs w:val="0"/>
          <w:sz w:val="24"/>
          <w:szCs w:val="24"/>
        </w:rPr>
        <w:t>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_Toc1833159050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_Toc271655192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六、</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_Toc271655192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_Toc835281082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七、</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_Toc835281082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_Toc1102277980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八、</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般公共预算财政拨款基本支出决算表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_Toc1102277980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_Toc101889065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九、</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般公共预算财政拨款项目支出决算表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_Toc101889065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_Toc1963184112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w:t>
      </w:r>
      <w:r>
        <w:rPr>
          <w:rFonts w:hint="eastAsia" w:asciiTheme="minorEastAsia" w:hAnsiTheme="minorEastAsia" w:eastAsiaTheme="minorEastAsia" w:cstheme="minorEastAsia"/>
          <w:sz w:val="24"/>
          <w:szCs w:val="24"/>
        </w:rPr>
        <w:t>政</w:t>
      </w:r>
      <w:r>
        <w:rPr>
          <w:rFonts w:hint="eastAsia" w:asciiTheme="minorEastAsia" w:hAnsiTheme="minorEastAsia" w:eastAsiaTheme="minorEastAsia" w:cstheme="minorEastAsia"/>
          <w:bCs w:val="0"/>
          <w:sz w:val="24"/>
          <w:szCs w:val="24"/>
        </w:rPr>
        <w:t>府性基金预算财政拨款收入支出决算表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_Toc1963184112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_Toc417475752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十一、</w:t>
      </w:r>
      <w:r>
        <w:rPr>
          <w:rFonts w:hint="eastAsia" w:asciiTheme="minorEastAsia" w:hAnsiTheme="minorEastAsia" w:eastAsiaTheme="minorEastAsia" w:cstheme="minorEastAsia"/>
          <w:sz w:val="24"/>
          <w:szCs w:val="24"/>
        </w:rPr>
        <w:t>国</w:t>
      </w:r>
      <w:r>
        <w:rPr>
          <w:rFonts w:hint="eastAsia" w:asciiTheme="minorEastAsia" w:hAnsiTheme="minorEastAsia" w:eastAsiaTheme="minorEastAsia" w:cstheme="minorEastAsia"/>
          <w:bCs w:val="0"/>
          <w:sz w:val="24"/>
          <w:szCs w:val="24"/>
        </w:rPr>
        <w:t>有资本经营预算财政拨款收入支出决算表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_Toc417475752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_Toc1430568385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十二、国有资本经营预算财政拨款支出决算表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_Toc1430568385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_Toc1120862109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十三、财政拨款“三公”经费支出决算表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_Toc1120862109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r>
        <w:fldChar w:fldCharType="end"/>
      </w:r>
    </w:p>
    <w:p>
      <w:pPr>
        <w:pStyle w:val="3"/>
        <w:jc w:val="center"/>
        <w:rPr>
          <w:rFonts w:eastAsia="黑体"/>
          <w:b w:val="0"/>
        </w:rPr>
        <w:sectPr>
          <w:footerReference r:id="rId6" w:type="default"/>
          <w:pgSz w:w="11906" w:h="16838"/>
          <w:pgMar w:top="1440" w:right="1800" w:bottom="1440" w:left="1800" w:header="851" w:footer="992" w:gutter="0"/>
          <w:pgNumType w:fmt="decimal" w:start="1"/>
          <w:cols w:space="425" w:num="1"/>
          <w:docGrid w:type="lines" w:linePitch="312" w:charSpace="0"/>
        </w:sectPr>
      </w:pPr>
      <w:bookmarkStart w:id="20" w:name="_Toc46078842"/>
    </w:p>
    <w:p>
      <w:pPr>
        <w:pStyle w:val="3"/>
        <w:jc w:val="center"/>
        <w:rPr>
          <w:rFonts w:eastAsia="黑体"/>
          <w:sz w:val="32"/>
          <w:szCs w:val="32"/>
        </w:rPr>
      </w:pPr>
      <w:r>
        <w:rPr>
          <w:rFonts w:eastAsia="黑体"/>
          <w:b w:val="0"/>
        </w:rPr>
        <w:t xml:space="preserve">第一部分 </w:t>
      </w:r>
      <w:r>
        <w:rPr>
          <w:rFonts w:hint="eastAsia" w:eastAsia="黑体"/>
          <w:b w:val="0"/>
          <w:lang w:eastAsia="zh-CN"/>
        </w:rPr>
        <w:t>部门</w:t>
      </w:r>
      <w:r>
        <w:rPr>
          <w:rStyle w:val="28"/>
          <w:rFonts w:eastAsia="黑体"/>
          <w:b w:val="0"/>
          <w:bCs w:val="0"/>
        </w:rPr>
        <w:t>概况</w:t>
      </w:r>
      <w:bookmarkEnd w:id="18"/>
      <w:bookmarkEnd w:id="19"/>
      <w:bookmarkEnd w:id="20"/>
    </w:p>
    <w:p>
      <w:pPr>
        <w:pStyle w:val="4"/>
        <w:pageBreakBefore w:val="0"/>
        <w:widowControl w:val="0"/>
        <w:numPr>
          <w:numId w:val="0"/>
        </w:numPr>
        <w:kinsoku/>
        <w:wordWrap/>
        <w:overflowPunct/>
        <w:topLinePunct w:val="0"/>
        <w:autoSpaceDE/>
        <w:autoSpaceDN/>
        <w:bidi w:val="0"/>
        <w:adjustRightInd/>
        <w:snapToGrid/>
        <w:spacing w:line="120" w:lineRule="auto"/>
        <w:ind w:firstLine="640" w:firstLineChars="200"/>
        <w:textAlignment w:val="auto"/>
        <w:rPr>
          <w:rFonts w:ascii="Times New Roman" w:hAnsi="Times New Roman" w:cs="Times New Roman"/>
          <w:kern w:val="0"/>
        </w:rPr>
      </w:pPr>
      <w:bookmarkStart w:id="21" w:name="_Toc1498445446"/>
      <w:bookmarkStart w:id="22" w:name="_Toc15396600"/>
      <w:bookmarkStart w:id="23" w:name="_Toc15377197"/>
      <w:r>
        <w:rPr>
          <w:rStyle w:val="29"/>
          <w:rFonts w:hint="eastAsia" w:ascii="Times New Roman" w:hAnsi="Times New Roman" w:eastAsia="黑体" w:cs="Times New Roman"/>
          <w:b w:val="0"/>
          <w:bCs w:val="0"/>
          <w:lang w:eastAsia="zh-CN"/>
        </w:rPr>
        <w:t>一、单位</w:t>
      </w:r>
      <w:r>
        <w:rPr>
          <w:rStyle w:val="29"/>
          <w:rFonts w:ascii="Times New Roman" w:hAnsi="Times New Roman" w:eastAsia="黑体" w:cs="Times New Roman"/>
          <w:b w:val="0"/>
          <w:bCs w:val="0"/>
        </w:rPr>
        <w:t>职责</w:t>
      </w:r>
      <w:bookmarkEnd w:id="21"/>
    </w:p>
    <w:p>
      <w:pPr>
        <w:pageBreakBefore w:val="0"/>
        <w:widowControl w:val="0"/>
        <w:kinsoku/>
        <w:wordWrap/>
        <w:overflowPunct/>
        <w:topLinePunct w:val="0"/>
        <w:autoSpaceDE/>
        <w:autoSpaceDN/>
        <w:bidi w:val="0"/>
        <w:adjustRightInd/>
        <w:snapToGrid/>
        <w:spacing w:line="120" w:lineRule="auto"/>
        <w:ind w:firstLine="640" w:firstLineChars="200"/>
        <w:textAlignment w:val="auto"/>
        <w:rPr>
          <w:rFonts w:ascii="仿宋_GB2312" w:eastAsia="仿宋_GB2312"/>
          <w:sz w:val="32"/>
          <w:szCs w:val="32"/>
        </w:rPr>
      </w:pPr>
      <w:r>
        <w:rPr>
          <w:rFonts w:hint="eastAsia" w:ascii="仿宋_GB2312" w:eastAsia="仿宋_GB2312"/>
          <w:sz w:val="32"/>
          <w:szCs w:val="32"/>
        </w:rPr>
        <w:t>1.贯彻执行国家和省、市关于卫生计生工作的方针、政策和法律、法规以及县委、县政府关于卫生计生方面的决策部署，拟订全县卫生计生发展的战略规划和政策并组织实施，负责本系统、本部门依法行政工作，落实行政执法责任制，统筹规划全县卫生计生服务资源配置，指导全县卫生计生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负责制定全县疾病预防控制规划、免疫规划、严重危害人民健康的公共卫生问题的干预措施并组织实施，根据国家检疫传染病和监测传染病目录，制定全县卫生应急和紧急医学救援预案、突发公共卫生事件监测和风险评估计划，组织和指导全县突发公共卫生事件预防控制和各类突发公共事件的医疗卫生救援，依法根据授权发布法定报告传染病疫情信息、突发公共卫生事件应急处置信息。</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负责实施职责范围内的职业卫生、放射卫生、环境卫生、学校卫生、公共场所卫生、饮用水卫生管理规范、标准和政策措施，组织开展相关监测、调查、评估和监督，负责传染病防治监督，组织实施食品安全风险监测，依据授权开展食品安全企业标准备案，为食源性疾病及与食品安全事故有关的流行病学调查提供技术支持。</w:t>
      </w:r>
    </w:p>
    <w:p>
      <w:pPr>
        <w:spacing w:line="600" w:lineRule="exact"/>
        <w:ind w:firstLine="640" w:firstLineChars="200"/>
        <w:rPr>
          <w:rFonts w:eastAsia="仿宋"/>
          <w:sz w:val="32"/>
          <w:szCs w:val="32"/>
        </w:rPr>
      </w:pPr>
      <w:r>
        <w:rPr>
          <w:rFonts w:hint="eastAsia" w:ascii="仿宋_GB2312" w:eastAsia="仿宋_GB2312"/>
          <w:sz w:val="32"/>
          <w:szCs w:val="32"/>
        </w:rPr>
        <w:t xml:space="preserve">4.负责组织拟订并实施全县基层卫生和妇幼卫生、计划生育服务发展规划和政策措施，指导全县基层卫生和妇幼卫生、计划生育服务体系建设，推进基本公共卫生计生服务均等化，完善基层运行新机制和乡村医生管理制度。   </w:t>
      </w:r>
      <w:r>
        <w:rPr>
          <w:rFonts w:hint="eastAsia" w:eastAsia="仿宋"/>
          <w:sz w:val="32"/>
          <w:szCs w:val="32"/>
        </w:rPr>
        <w:t xml:space="preserve">  </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5.负责制定全县医疗机构和医疗服务全行业管理办法并监督实施，制定医疗机构及其医疗服务、医疗技术、医疗质量、医疗安全以及用血机构管理的规范并组织实施，会同有关部门贯彻执行国家卫生计生专业技术人员准入、资格标准，组织实施卫生计生专业技术人员执业规则和服务规范，建立医疗服务评价和监督管理体系。</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6.负责建立公益性导向的绩效考核和评价运行机制，推进和谐医患关系建设，提出医疗服务价格政策的建议。</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7.贯彻落实国家药物政策和国家基本药物制度，执行国家药品法典、国家基本药物目录和四川省药品增补目录，实施基本药物采购、配送、使用的政策措施。</w:t>
      </w:r>
    </w:p>
    <w:p>
      <w:pPr>
        <w:spacing w:line="600" w:lineRule="exact"/>
        <w:ind w:firstLine="640" w:firstLineChars="200"/>
        <w:rPr>
          <w:rFonts w:eastAsia="仿宋"/>
          <w:sz w:val="32"/>
          <w:szCs w:val="32"/>
        </w:rPr>
      </w:pPr>
      <w:r>
        <w:rPr>
          <w:rFonts w:hint="eastAsia" w:ascii="仿宋_GB2312" w:eastAsia="仿宋_GB2312"/>
          <w:sz w:val="32"/>
          <w:szCs w:val="32"/>
        </w:rPr>
        <w:t>8.组织实施促进全县出生人口性别平衡的政策措施，组织监测计划生育发展动态，负责全县计划生育相关数据采集和分析研究，提出发布计划生育安全预警预报信息建议，制定计划生育技术服务管理制度并监督实施，制定优生优育和提高出生人口素质的政策措施并组织实施，推动实施计划生</w:t>
      </w:r>
      <w:r>
        <w:rPr>
          <w:rFonts w:hint="eastAsia" w:eastAsia="仿宋"/>
          <w:sz w:val="32"/>
          <w:szCs w:val="32"/>
        </w:rPr>
        <w:t>育生殖健康促进计划，降低出生缺陷人口数量。</w:t>
      </w:r>
    </w:p>
    <w:p>
      <w:pPr>
        <w:spacing w:line="600" w:lineRule="exact"/>
        <w:ind w:firstLine="640" w:firstLineChars="200"/>
        <w:rPr>
          <w:rFonts w:ascii="仿宋_GB2312" w:eastAsia="仿宋_GB2312"/>
          <w:sz w:val="32"/>
          <w:szCs w:val="32"/>
        </w:rPr>
      </w:pPr>
      <w:r>
        <w:rPr>
          <w:rFonts w:hint="eastAsia" w:ascii="CESI仿宋-GB2312" w:hAnsi="CESI仿宋-GB2312" w:eastAsia="CESI仿宋-GB2312" w:cs="CESI仿宋-GB2312"/>
          <w:b w:val="0"/>
          <w:bCs w:val="0"/>
          <w:sz w:val="32"/>
          <w:szCs w:val="32"/>
        </w:rPr>
        <w:t>9.</w:t>
      </w:r>
      <w:r>
        <w:rPr>
          <w:rFonts w:hint="eastAsia" w:eastAsia="仿宋"/>
          <w:sz w:val="32"/>
          <w:szCs w:val="32"/>
        </w:rPr>
        <w:t>组织建立计划生育利益导向、计划生育特殊困难家庭扶助和促进计划生育家庭发展等机制，负责协调推进有关部</w:t>
      </w:r>
      <w:r>
        <w:rPr>
          <w:rFonts w:hint="eastAsia" w:ascii="仿宋_GB2312" w:eastAsia="仿宋_GB2312"/>
          <w:sz w:val="32"/>
          <w:szCs w:val="32"/>
        </w:rPr>
        <w:t>门、群众团体履行计划生育工作相关职责，建立与经济社会发展政策的衔接机制，提出促进人口长期均衡发展的政策措施。</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10.制定流动人口计划生育服务管理制度并组织实施，推动建立流动人口卫生计生信息共享和公共服务工作机制。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11.组织拟订全县卫生计生人才发展规划，指导卫生计生人才队伍建设，加强全科医生等急需紧缺专业人才培养，贯彻落实国家住院医师和专科医师规范化培训制度。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12.组织拟订全县卫生计生科技发展规划；组织实施卫生计生相关科研项目，协同院校医学教育和计划生育教育；组织指导实施毕业后医学教育和继续医学教育；组织实施新技术新成果推广。</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13.指导全县卫生和计划生育工作，完善综合监督执法体系，规范卫生计生行政执法行为，监督检查有关法律法规和政策措施的落实，组织查处重大违法行为；组织实施计划生育目标管理责任制的考评工作，监督落实计划生育一票否决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14.拟订中医药中长期发展规划，并纳入卫生计生事业发展总体规划和战略目标。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15.负责卫生计生宣传、健康教育、健康促进和信息化建设等工作，依法组织实施统计调查，参与县人口基础信息库建设，根据国家、省、市要求，组织卫生计生对外交流合作与卫生援外工作。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16.承担县爱国卫生运动委员会、县地方病防治领导小组、县防治艾滋病工作委员会的日常工作，负责全县干部知识分子健康保健工作领导小组确定的保健对象的医疗保健工作，负责县重大活动与重要会议的医疗卫生保障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17.承担县政府公布的有关行政审批事项。</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18.承办县政府交办的其他事项。</w:t>
      </w:r>
      <w:bookmarkStart w:id="24" w:name="_Toc177258615"/>
    </w:p>
    <w:p>
      <w:pPr>
        <w:spacing w:line="600" w:lineRule="exact"/>
        <w:ind w:firstLine="600" w:firstLineChars="200"/>
        <w:rPr>
          <w:rFonts w:hint="eastAsia" w:ascii="国标黑体" w:hAnsi="国标黑体" w:eastAsia="国标黑体" w:cs="国标黑体"/>
          <w:b w:val="0"/>
          <w:sz w:val="30"/>
          <w:szCs w:val="30"/>
        </w:rPr>
      </w:pPr>
      <w:r>
        <w:rPr>
          <w:rFonts w:hint="eastAsia" w:ascii="国标黑体" w:hAnsi="国标黑体" w:eastAsia="国标黑体" w:cs="国标黑体"/>
          <w:sz w:val="30"/>
          <w:szCs w:val="30"/>
          <w:lang w:eastAsia="zh-CN"/>
        </w:rPr>
        <w:t>二、</w:t>
      </w:r>
      <w:r>
        <w:rPr>
          <w:rFonts w:hint="eastAsia" w:ascii="国标黑体" w:hAnsi="国标黑体" w:eastAsia="国标黑体" w:cs="国标黑体"/>
          <w:b w:val="0"/>
          <w:sz w:val="30"/>
          <w:szCs w:val="30"/>
        </w:rPr>
        <w:t>机构设置</w:t>
      </w:r>
      <w:bookmarkEnd w:id="24"/>
    </w:p>
    <w:p>
      <w:pPr>
        <w:spacing w:line="600" w:lineRule="exact"/>
        <w:ind w:firstLine="640" w:firstLineChars="200"/>
        <w:rPr>
          <w:rFonts w:ascii="仿宋_GB2312" w:eastAsia="仿宋_GB2312"/>
          <w:sz w:val="32"/>
          <w:szCs w:val="32"/>
        </w:rPr>
      </w:pPr>
      <w:r>
        <w:rPr>
          <w:rFonts w:ascii="仿宋_GB2312" w:eastAsia="仿宋_GB2312"/>
          <w:sz w:val="32"/>
          <w:szCs w:val="32"/>
        </w:rPr>
        <w:t>盐边县卫生健康局下属非独</w:t>
      </w:r>
      <w:bookmarkStart w:id="146" w:name="_GoBack"/>
      <w:bookmarkEnd w:id="146"/>
      <w:r>
        <w:rPr>
          <w:rFonts w:ascii="仿宋_GB2312" w:eastAsia="仿宋_GB2312"/>
          <w:sz w:val="32"/>
          <w:szCs w:val="32"/>
        </w:rPr>
        <w:t>立核算单位2个，参照公务员法管理的事业单位1个，其他事业单位1个。主要包括：盐边县老龄健康服务中心、盐边县基层卫生发展促进中心（盐边县中医药传承创新发展中心）。</w:t>
      </w:r>
    </w:p>
    <w:p>
      <w:pPr>
        <w:spacing w:line="600" w:lineRule="exact"/>
        <w:ind w:firstLine="640" w:firstLineChars="200"/>
        <w:rPr>
          <w:rFonts w:ascii="仿宋_GB2312" w:eastAsia="仿宋_GB2312"/>
          <w:sz w:val="32"/>
          <w:szCs w:val="32"/>
        </w:rPr>
      </w:pPr>
      <w:r>
        <w:rPr>
          <w:rFonts w:ascii="仿宋_GB2312" w:eastAsia="仿宋_GB2312"/>
          <w:sz w:val="32"/>
          <w:szCs w:val="32"/>
        </w:rPr>
        <w:t>盐边县卫生健康局内设8个行政股室，分别是局机关内设办公室（政策法规股）、医政执法监督股（医改办）、基层卫生和妇幼健康股（卫生应急办公室）、人口监测与家庭发展股、疾病预防控制股（爱国卫生办公室）、健康服务业发展股、人事与科教股和规划财务审计股。</w:t>
      </w:r>
    </w:p>
    <w:p>
      <w:pPr>
        <w:ind w:firstLine="800" w:firstLineChars="250"/>
        <w:rPr>
          <w:rFonts w:eastAsia="仿宋_GB2312"/>
          <w:sz w:val="32"/>
          <w:szCs w:val="32"/>
        </w:rPr>
      </w:pPr>
    </w:p>
    <w:p/>
    <w:bookmarkEnd w:id="22"/>
    <w:bookmarkEnd w:id="23"/>
    <w:p>
      <w:pPr>
        <w:widowControl/>
        <w:jc w:val="left"/>
        <w:rPr>
          <w:rFonts w:eastAsia="仿宋"/>
          <w:kern w:val="0"/>
          <w:sz w:val="32"/>
          <w:szCs w:val="32"/>
        </w:rPr>
      </w:pPr>
      <w:r>
        <w:rPr>
          <w:rFonts w:eastAsia="仿宋"/>
          <w:sz w:val="32"/>
          <w:szCs w:val="32"/>
        </w:rPr>
        <w:br w:type="page"/>
      </w:r>
    </w:p>
    <w:p>
      <w:pPr>
        <w:pStyle w:val="3"/>
        <w:ind w:right="440"/>
        <w:jc w:val="center"/>
        <w:rPr>
          <w:rStyle w:val="28"/>
          <w:rFonts w:eastAsia="黑体"/>
          <w:b w:val="0"/>
          <w:bCs/>
        </w:rPr>
      </w:pPr>
      <w:bookmarkStart w:id="25" w:name="_Toc15377204"/>
      <w:bookmarkStart w:id="26" w:name="_Toc1589865816"/>
      <w:bookmarkStart w:id="27" w:name="_Toc15396602"/>
      <w:r>
        <w:rPr>
          <w:rFonts w:eastAsia="黑体"/>
          <w:b w:val="0"/>
        </w:rPr>
        <w:t>第二部分 2023年度</w:t>
      </w:r>
      <w:r>
        <w:rPr>
          <w:rStyle w:val="28"/>
          <w:rFonts w:eastAsia="黑体"/>
          <w:b w:val="0"/>
          <w:bCs/>
        </w:rPr>
        <w:t>单位决算情况说明</w:t>
      </w:r>
      <w:bookmarkEnd w:id="25"/>
      <w:bookmarkEnd w:id="26"/>
      <w:bookmarkEnd w:id="27"/>
    </w:p>
    <w:p/>
    <w:p>
      <w:pPr>
        <w:pStyle w:val="27"/>
        <w:numPr>
          <w:ilvl w:val="0"/>
          <w:numId w:val="1"/>
        </w:numPr>
        <w:spacing w:line="600" w:lineRule="exact"/>
        <w:ind w:firstLineChars="0"/>
        <w:outlineLvl w:val="1"/>
        <w:rPr>
          <w:rStyle w:val="29"/>
          <w:rFonts w:ascii="Times New Roman" w:hAnsi="Times New Roman" w:eastAsia="黑体" w:cs="Times New Roman"/>
          <w:b w:val="0"/>
        </w:rPr>
      </w:pPr>
      <w:bookmarkStart w:id="28" w:name="_Toc15396603"/>
      <w:bookmarkStart w:id="29" w:name="_Toc1054747972"/>
      <w:bookmarkStart w:id="30" w:name="_Toc15377205"/>
      <w:r>
        <w:rPr>
          <w:rFonts w:eastAsia="黑体"/>
          <w:sz w:val="32"/>
          <w:szCs w:val="32"/>
        </w:rPr>
        <w:t>收</w:t>
      </w:r>
      <w:r>
        <w:rPr>
          <w:rStyle w:val="29"/>
          <w:rFonts w:ascii="Times New Roman" w:hAnsi="Times New Roman" w:eastAsia="黑体" w:cs="Times New Roman"/>
          <w:b w:val="0"/>
        </w:rPr>
        <w:t>入支出决算总体情况说明</w:t>
      </w:r>
      <w:bookmarkEnd w:id="28"/>
      <w:bookmarkEnd w:id="29"/>
      <w:bookmarkEnd w:id="30"/>
    </w:p>
    <w:p>
      <w:pPr>
        <w:spacing w:line="600" w:lineRule="exact"/>
        <w:ind w:firstLine="640" w:firstLineChars="200"/>
        <w:rPr>
          <w:rFonts w:eastAsia="仿宋_GB2312"/>
          <w:sz w:val="32"/>
          <w:szCs w:val="32"/>
        </w:rPr>
      </w:pPr>
      <w:r>
        <w:rPr>
          <w:rFonts w:eastAsia="仿宋_GB2312"/>
          <w:sz w:val="32"/>
          <w:szCs w:val="32"/>
        </w:rPr>
        <w:t>2023年度收、支总计7258.84万元。与2022年度相比，收、支总计各增加4745.68万元，增长188.83%。主要变动原因是新增在建工程二医院项目。</w:t>
      </w:r>
    </w:p>
    <w:p>
      <w:pPr>
        <w:pStyle w:val="2"/>
      </w:pPr>
      <w:r>
        <w:drawing>
          <wp:inline distT="0" distB="0" distL="0" distR="0">
            <wp:extent cx="5274310" cy="3076575"/>
            <wp:effectExtent l="5080" t="4445" r="16510" b="50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jc w:val="center"/>
        <w:rPr>
          <w:rFonts w:eastAsia="仿宋"/>
          <w:sz w:val="32"/>
          <w:szCs w:val="32"/>
        </w:rPr>
      </w:pPr>
      <w:r>
        <w:rPr>
          <w:rFonts w:eastAsia="仿宋"/>
          <w:sz w:val="32"/>
          <w:szCs w:val="32"/>
        </w:rPr>
        <w:t>（图1：收、支决算总计变动情况图）</w:t>
      </w:r>
    </w:p>
    <w:p>
      <w:pPr>
        <w:spacing w:line="600" w:lineRule="exact"/>
        <w:ind w:firstLine="640" w:firstLineChars="200"/>
        <w:jc w:val="left"/>
        <w:rPr>
          <w:rFonts w:eastAsia="仿宋_GB2312"/>
          <w:sz w:val="32"/>
          <w:szCs w:val="32"/>
        </w:rPr>
      </w:pPr>
    </w:p>
    <w:p>
      <w:pPr>
        <w:pStyle w:val="27"/>
        <w:numPr>
          <w:ilvl w:val="0"/>
          <w:numId w:val="1"/>
        </w:numPr>
        <w:spacing w:line="600" w:lineRule="exact"/>
        <w:ind w:firstLineChars="0"/>
        <w:outlineLvl w:val="1"/>
        <w:rPr>
          <w:rStyle w:val="29"/>
          <w:rFonts w:ascii="Times New Roman" w:hAnsi="Times New Roman" w:eastAsia="黑体" w:cs="Times New Roman"/>
          <w:b w:val="0"/>
        </w:rPr>
      </w:pPr>
      <w:bookmarkStart w:id="31" w:name="_Toc15396604"/>
      <w:bookmarkStart w:id="32" w:name="_Toc2021479219"/>
      <w:bookmarkStart w:id="33" w:name="_Toc15377206"/>
      <w:r>
        <w:rPr>
          <w:rFonts w:eastAsia="黑体"/>
          <w:sz w:val="32"/>
          <w:szCs w:val="32"/>
        </w:rPr>
        <w:t>收</w:t>
      </w:r>
      <w:r>
        <w:rPr>
          <w:rStyle w:val="29"/>
          <w:rFonts w:ascii="Times New Roman" w:hAnsi="Times New Roman" w:eastAsia="黑体" w:cs="Times New Roman"/>
          <w:b w:val="0"/>
        </w:rPr>
        <w:t>入决算情况说明</w:t>
      </w:r>
      <w:bookmarkEnd w:id="31"/>
      <w:bookmarkEnd w:id="32"/>
      <w:bookmarkEnd w:id="33"/>
    </w:p>
    <w:p>
      <w:pPr>
        <w:spacing w:line="600" w:lineRule="exact"/>
        <w:ind w:firstLine="640" w:firstLineChars="200"/>
        <w:outlineLvl w:val="1"/>
        <w:rPr>
          <w:rFonts w:eastAsia="仿宋_GB2312"/>
          <w:sz w:val="32"/>
          <w:szCs w:val="32"/>
        </w:rPr>
      </w:pPr>
      <w:bookmarkStart w:id="34" w:name="_Toc608259518"/>
      <w:r>
        <w:rPr>
          <w:rFonts w:eastAsia="仿宋_GB2312"/>
          <w:sz w:val="32"/>
          <w:szCs w:val="32"/>
        </w:rPr>
        <w:t>2023年度本年收入合计7258.84万元，其中：一般公共预算财政拨款收入2258.84万元，占31.11%；政府性基金预算财政拨款收入5000</w:t>
      </w:r>
      <w:r>
        <w:rPr>
          <w:rFonts w:hint="eastAsia" w:eastAsia="仿宋_GB2312"/>
          <w:sz w:val="32"/>
          <w:szCs w:val="32"/>
        </w:rPr>
        <w:t>.00</w:t>
      </w:r>
      <w:r>
        <w:rPr>
          <w:rFonts w:eastAsia="仿宋_GB2312"/>
          <w:sz w:val="32"/>
          <w:szCs w:val="32"/>
        </w:rPr>
        <w:t>万元，占68.88%；国有资本经营预算财政拨款收入0万元，占0%；上级补助收入0万元，占0%；事业收入0万元，占0%；经营收入0万元，占0%；附属单</w:t>
      </w:r>
      <w:r>
        <w:rPr>
          <w:rFonts w:eastAsia="仿宋_GB2312"/>
          <w:sz w:val="32"/>
          <w:szCs w:val="32"/>
        </w:rPr>
        <w:drawing>
          <wp:anchor distT="0" distB="0" distL="0" distR="0" simplePos="0" relativeHeight="251659264" behindDoc="0" locked="0" layoutInCell="1" allowOverlap="1">
            <wp:simplePos x="0" y="0"/>
            <wp:positionH relativeFrom="column">
              <wp:posOffset>19050</wp:posOffset>
            </wp:positionH>
            <wp:positionV relativeFrom="paragraph">
              <wp:posOffset>1016635</wp:posOffset>
            </wp:positionV>
            <wp:extent cx="5200650" cy="2781300"/>
            <wp:effectExtent l="4445" t="4445" r="14605" b="1460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eastAsia="仿宋_GB2312"/>
          <w:sz w:val="32"/>
          <w:szCs w:val="32"/>
        </w:rPr>
        <w:t>位上缴收入0万元，占0%；其他收入0万元，占0%</w:t>
      </w:r>
      <w:r>
        <w:rPr>
          <w:rFonts w:hint="eastAsia" w:eastAsia="仿宋_GB2312"/>
          <w:sz w:val="32"/>
          <w:szCs w:val="32"/>
        </w:rPr>
        <w:t>。</w:t>
      </w:r>
      <w:bookmarkEnd w:id="34"/>
    </w:p>
    <w:p>
      <w:pPr>
        <w:spacing w:line="600" w:lineRule="exact"/>
        <w:ind w:firstLine="642" w:firstLineChars="200"/>
        <w:outlineLvl w:val="1"/>
        <w:rPr>
          <w:rFonts w:eastAsia="仿宋"/>
          <w:b/>
          <w:sz w:val="32"/>
          <w:szCs w:val="32"/>
        </w:rPr>
      </w:pPr>
    </w:p>
    <w:p>
      <w:pPr>
        <w:spacing w:line="600" w:lineRule="exact"/>
        <w:jc w:val="center"/>
        <w:rPr>
          <w:rFonts w:eastAsia="仿宋"/>
          <w:sz w:val="32"/>
          <w:szCs w:val="32"/>
        </w:rPr>
      </w:pPr>
      <w:r>
        <w:rPr>
          <w:rFonts w:eastAsia="仿宋"/>
          <w:sz w:val="32"/>
          <w:szCs w:val="32"/>
        </w:rPr>
        <w:t>（图2：收入决算结构图）</w:t>
      </w:r>
    </w:p>
    <w:p>
      <w:pPr>
        <w:spacing w:line="600" w:lineRule="exact"/>
        <w:ind w:firstLine="640" w:firstLineChars="200"/>
        <w:rPr>
          <w:rFonts w:eastAsia="仿宋_GB2312"/>
          <w:sz w:val="32"/>
          <w:szCs w:val="32"/>
        </w:rPr>
      </w:pPr>
    </w:p>
    <w:p>
      <w:pPr>
        <w:pStyle w:val="27"/>
        <w:numPr>
          <w:ilvl w:val="0"/>
          <w:numId w:val="1"/>
        </w:numPr>
        <w:spacing w:line="600" w:lineRule="exact"/>
        <w:ind w:firstLineChars="0"/>
        <w:outlineLvl w:val="1"/>
        <w:rPr>
          <w:rStyle w:val="29"/>
          <w:rFonts w:ascii="Times New Roman" w:hAnsi="Times New Roman" w:eastAsia="黑体" w:cs="Times New Roman"/>
          <w:b w:val="0"/>
        </w:rPr>
      </w:pPr>
      <w:bookmarkStart w:id="35" w:name="_Toc15377207"/>
      <w:bookmarkStart w:id="36" w:name="_Toc15396605"/>
      <w:bookmarkStart w:id="37" w:name="_Toc1217574760"/>
      <w:r>
        <w:rPr>
          <w:rFonts w:eastAsia="黑体"/>
          <w:sz w:val="32"/>
          <w:szCs w:val="32"/>
        </w:rPr>
        <w:t>支</w:t>
      </w:r>
      <w:r>
        <w:rPr>
          <w:rStyle w:val="29"/>
          <w:rFonts w:ascii="Times New Roman" w:hAnsi="Times New Roman" w:eastAsia="黑体" w:cs="Times New Roman"/>
          <w:b w:val="0"/>
        </w:rPr>
        <w:t>出决算情况说明</w:t>
      </w:r>
      <w:bookmarkEnd w:id="35"/>
      <w:bookmarkEnd w:id="36"/>
      <w:bookmarkEnd w:id="37"/>
    </w:p>
    <w:p>
      <w:pPr>
        <w:spacing w:line="600" w:lineRule="exact"/>
        <w:ind w:firstLine="640" w:firstLineChars="200"/>
        <w:rPr>
          <w:rFonts w:eastAsia="仿宋_GB2312"/>
          <w:sz w:val="32"/>
          <w:szCs w:val="32"/>
        </w:rPr>
      </w:pPr>
      <w:r>
        <w:rPr>
          <w:rFonts w:eastAsia="仿宋_GB2312"/>
          <w:sz w:val="32"/>
          <w:szCs w:val="32"/>
        </w:rPr>
        <w:t>2023年度本年支出合计7258.84万元，其中：基本支出603.79万元，占8.31%；项目支出6655.05万元，占91.68%；上缴上级支出0万元，占0%；经营支出0万元，占0%；对附属单位补助支出0万元，占0%。</w:t>
      </w:r>
    </w:p>
    <w:p>
      <w:pPr>
        <w:rPr>
          <w:rFonts w:eastAsia="仿宋"/>
          <w:sz w:val="32"/>
          <w:szCs w:val="32"/>
          <w:shd w:val="pct10" w:color="auto" w:fill="FFFFFF"/>
        </w:rPr>
      </w:pPr>
      <w:r>
        <w:drawing>
          <wp:anchor distT="0" distB="0" distL="0" distR="0" simplePos="0" relativeHeight="251660288" behindDoc="0" locked="0" layoutInCell="1" allowOverlap="1">
            <wp:simplePos x="0" y="0"/>
            <wp:positionH relativeFrom="column">
              <wp:posOffset>121920</wp:posOffset>
            </wp:positionH>
            <wp:positionV relativeFrom="paragraph">
              <wp:posOffset>137160</wp:posOffset>
            </wp:positionV>
            <wp:extent cx="5200650" cy="2781300"/>
            <wp:effectExtent l="4445" t="4445" r="14605" b="1460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2"/>
      </w:pPr>
    </w:p>
    <w:p>
      <w:pPr>
        <w:spacing w:line="600" w:lineRule="exact"/>
        <w:ind w:firstLine="640" w:firstLineChars="200"/>
        <w:jc w:val="center"/>
        <w:rPr>
          <w:rFonts w:eastAsia="仿宋"/>
          <w:sz w:val="32"/>
          <w:szCs w:val="32"/>
        </w:rPr>
      </w:pPr>
      <w:r>
        <w:rPr>
          <w:rFonts w:eastAsia="仿宋"/>
          <w:sz w:val="32"/>
          <w:szCs w:val="32"/>
        </w:rPr>
        <w:t>（图3：支出决算结构图）</w:t>
      </w:r>
    </w:p>
    <w:p>
      <w:pPr>
        <w:spacing w:line="600" w:lineRule="exact"/>
        <w:ind w:firstLine="640" w:firstLineChars="200"/>
        <w:rPr>
          <w:rFonts w:eastAsia="仿宋_GB2312"/>
          <w:sz w:val="32"/>
          <w:szCs w:val="32"/>
        </w:rPr>
      </w:pPr>
    </w:p>
    <w:p>
      <w:pPr>
        <w:spacing w:line="600" w:lineRule="exact"/>
        <w:ind w:firstLine="640" w:firstLineChars="200"/>
        <w:outlineLvl w:val="1"/>
        <w:rPr>
          <w:rStyle w:val="29"/>
          <w:rFonts w:ascii="Times New Roman" w:hAnsi="Times New Roman" w:eastAsia="黑体" w:cs="Times New Roman"/>
          <w:b w:val="0"/>
        </w:rPr>
      </w:pPr>
      <w:bookmarkStart w:id="38" w:name="_Toc1106384741"/>
      <w:bookmarkStart w:id="39" w:name="_Toc15396606"/>
      <w:bookmarkStart w:id="40" w:name="_Toc15377208"/>
      <w:r>
        <w:rPr>
          <w:rFonts w:eastAsia="黑体"/>
          <w:sz w:val="32"/>
          <w:szCs w:val="32"/>
        </w:rPr>
        <w:t>四、财</w:t>
      </w:r>
      <w:r>
        <w:rPr>
          <w:rStyle w:val="29"/>
          <w:rFonts w:ascii="Times New Roman" w:hAnsi="Times New Roman" w:eastAsia="黑体" w:cs="Times New Roman"/>
          <w:b w:val="0"/>
        </w:rPr>
        <w:t>政拨款收入支出决算总体情况说明</w:t>
      </w:r>
      <w:bookmarkEnd w:id="38"/>
      <w:bookmarkEnd w:id="39"/>
      <w:bookmarkEnd w:id="40"/>
    </w:p>
    <w:p>
      <w:pPr>
        <w:spacing w:line="600" w:lineRule="exact"/>
        <w:ind w:firstLine="640" w:firstLineChars="200"/>
        <w:rPr>
          <w:rFonts w:eastAsia="仿宋_GB2312"/>
          <w:sz w:val="32"/>
          <w:szCs w:val="32"/>
        </w:rPr>
      </w:pPr>
      <w:r>
        <w:rPr>
          <w:rFonts w:eastAsia="仿宋_GB2312"/>
          <w:sz w:val="32"/>
          <w:szCs w:val="32"/>
        </w:rPr>
        <w:t>2023年度财政拨款收、支总计均为7258.84万元</w:t>
      </w:r>
      <w:r>
        <w:rPr>
          <w:rFonts w:hint="eastAsia" w:eastAsia="仿宋_GB2312"/>
          <w:sz w:val="32"/>
          <w:szCs w:val="32"/>
        </w:rPr>
        <w:t>（其中：一般公共预算2258.84万元、政府性基金预算5000.00万元）</w:t>
      </w:r>
      <w:r>
        <w:rPr>
          <w:rFonts w:eastAsia="仿宋_GB2312"/>
          <w:sz w:val="32"/>
          <w:szCs w:val="32"/>
        </w:rPr>
        <w:t>。与2022年度相比，财政拨款收、支总计各增加4745.68万元，增长188.83%。主要变动原因是新增在建工程盐边县第二</w:t>
      </w:r>
      <w:r>
        <w:rPr>
          <w:rFonts w:hint="eastAsia" w:eastAsia="仿宋_GB2312"/>
          <w:sz w:val="32"/>
          <w:szCs w:val="32"/>
        </w:rPr>
        <w:t>人民</w:t>
      </w:r>
      <w:r>
        <w:rPr>
          <w:rFonts w:eastAsia="仿宋_GB2312"/>
          <w:sz w:val="32"/>
          <w:szCs w:val="32"/>
        </w:rPr>
        <w:t>医院项目。</w:t>
      </w:r>
    </w:p>
    <w:p>
      <w:pPr>
        <w:spacing w:line="600" w:lineRule="exact"/>
        <w:ind w:firstLine="640"/>
        <w:rPr>
          <w:rFonts w:eastAsia="仿宋"/>
          <w:b/>
          <w:sz w:val="32"/>
          <w:szCs w:val="32"/>
        </w:rPr>
      </w:pPr>
    </w:p>
    <w:p>
      <w:pPr>
        <w:spacing w:line="600" w:lineRule="exact"/>
        <w:rPr>
          <w:rFonts w:eastAsia="仿宋"/>
          <w:sz w:val="32"/>
          <w:szCs w:val="32"/>
        </w:rPr>
      </w:pPr>
    </w:p>
    <w:p>
      <w:pPr>
        <w:pStyle w:val="2"/>
        <w:rPr>
          <w:rFonts w:eastAsia="仿宋"/>
          <w:sz w:val="32"/>
          <w:szCs w:val="32"/>
        </w:rPr>
      </w:pPr>
    </w:p>
    <w:p>
      <w:pPr>
        <w:rPr>
          <w:rFonts w:eastAsia="仿宋"/>
          <w:sz w:val="32"/>
          <w:szCs w:val="32"/>
        </w:rPr>
      </w:pPr>
    </w:p>
    <w:p>
      <w:pPr>
        <w:pStyle w:val="2"/>
        <w:rPr>
          <w:rFonts w:eastAsia="仿宋"/>
          <w:sz w:val="32"/>
          <w:szCs w:val="32"/>
        </w:rPr>
      </w:pPr>
    </w:p>
    <w:p>
      <w:pPr>
        <w:rPr>
          <w:rFonts w:eastAsia="仿宋"/>
          <w:sz w:val="32"/>
          <w:szCs w:val="32"/>
        </w:rPr>
      </w:pPr>
    </w:p>
    <w:p>
      <w:pPr>
        <w:pStyle w:val="2"/>
        <w:rPr>
          <w:rFonts w:eastAsia="仿宋"/>
          <w:sz w:val="32"/>
          <w:szCs w:val="32"/>
        </w:rPr>
      </w:pPr>
    </w:p>
    <w:p>
      <w:pPr>
        <w:pStyle w:val="2"/>
      </w:pPr>
      <w:r>
        <w:drawing>
          <wp:inline distT="0" distB="0" distL="0" distR="0">
            <wp:extent cx="5274310" cy="3076575"/>
            <wp:effectExtent l="5080" t="4445" r="16510" b="508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rPr>
          <w:rFonts w:eastAsia="仿宋"/>
          <w:sz w:val="32"/>
          <w:szCs w:val="32"/>
        </w:rPr>
      </w:pPr>
      <w:r>
        <w:rPr>
          <w:rFonts w:eastAsia="仿宋"/>
          <w:sz w:val="32"/>
          <w:szCs w:val="32"/>
        </w:rPr>
        <w:t>（图4：财政拨款收、支决算总计变动情况）</w:t>
      </w:r>
    </w:p>
    <w:p>
      <w:pPr>
        <w:spacing w:line="600" w:lineRule="exact"/>
        <w:ind w:firstLine="640"/>
        <w:rPr>
          <w:rFonts w:eastAsia="仿宋"/>
          <w:b/>
          <w:sz w:val="32"/>
          <w:szCs w:val="32"/>
        </w:rPr>
      </w:pPr>
    </w:p>
    <w:p>
      <w:pPr>
        <w:spacing w:line="600" w:lineRule="exact"/>
        <w:ind w:firstLine="640" w:firstLineChars="200"/>
        <w:outlineLvl w:val="1"/>
        <w:rPr>
          <w:rStyle w:val="29"/>
          <w:rFonts w:ascii="Times New Roman" w:hAnsi="Times New Roman" w:eastAsia="黑体" w:cs="Times New Roman"/>
          <w:b w:val="0"/>
        </w:rPr>
      </w:pPr>
      <w:bookmarkStart w:id="41" w:name="_Toc15377209"/>
      <w:bookmarkStart w:id="42" w:name="_Toc1335227989"/>
      <w:bookmarkStart w:id="43" w:name="_Toc15396607"/>
      <w:r>
        <w:rPr>
          <w:rFonts w:eastAsia="黑体"/>
          <w:sz w:val="32"/>
          <w:szCs w:val="32"/>
        </w:rPr>
        <w:t>五、</w:t>
      </w:r>
      <w:r>
        <w:rPr>
          <w:rFonts w:eastAsia="黑体"/>
          <w:b/>
          <w:sz w:val="32"/>
          <w:szCs w:val="32"/>
        </w:rPr>
        <w:t>一</w:t>
      </w:r>
      <w:r>
        <w:rPr>
          <w:rStyle w:val="29"/>
          <w:rFonts w:ascii="Times New Roman" w:hAnsi="Times New Roman" w:eastAsia="黑体" w:cs="Times New Roman"/>
          <w:b w:val="0"/>
        </w:rPr>
        <w:t>般公共预算财政拨款支出决算情况说明</w:t>
      </w:r>
      <w:bookmarkEnd w:id="41"/>
      <w:bookmarkEnd w:id="42"/>
      <w:bookmarkEnd w:id="43"/>
    </w:p>
    <w:p>
      <w:pPr>
        <w:spacing w:line="600" w:lineRule="exact"/>
        <w:ind w:firstLine="640" w:firstLineChars="200"/>
        <w:outlineLvl w:val="2"/>
        <w:rPr>
          <w:rFonts w:ascii="方正楷体_GBK" w:eastAsia="方正楷体_GBK"/>
          <w:sz w:val="32"/>
          <w:szCs w:val="32"/>
        </w:rPr>
      </w:pPr>
      <w:bookmarkStart w:id="44" w:name="_Toc15377210"/>
      <w:bookmarkStart w:id="45" w:name="_Toc1581431208"/>
      <w:r>
        <w:rPr>
          <w:rFonts w:hint="eastAsia" w:ascii="方正楷体_GBK" w:eastAsia="方正楷体_GBK"/>
          <w:sz w:val="32"/>
          <w:szCs w:val="32"/>
        </w:rPr>
        <w:t>（一）一般公共预算财政拨款支出决算总体情况</w:t>
      </w:r>
      <w:bookmarkEnd w:id="44"/>
      <w:r>
        <w:rPr>
          <w:rFonts w:hint="eastAsia" w:ascii="方正楷体_GBK" w:eastAsia="方正楷体_GBK"/>
          <w:sz w:val="32"/>
          <w:szCs w:val="32"/>
        </w:rPr>
        <w:t>。</w:t>
      </w:r>
      <w:bookmarkEnd w:id="45"/>
    </w:p>
    <w:p>
      <w:pPr>
        <w:spacing w:line="600" w:lineRule="exact"/>
        <w:ind w:firstLine="640" w:firstLineChars="200"/>
        <w:rPr>
          <w:rFonts w:eastAsia="仿宋_GB2312"/>
          <w:sz w:val="32"/>
          <w:szCs w:val="32"/>
        </w:rPr>
      </w:pPr>
      <w:r>
        <w:rPr>
          <w:rFonts w:eastAsia="仿宋_GB2312"/>
          <w:sz w:val="32"/>
          <w:szCs w:val="32"/>
        </w:rPr>
        <w:t>2023年度一般公共预算财政拨款支出2258.84万元，占本年支出合计的31.11%。与2022年度相比，一般公共预算财政拨款支出减少257.32万元，下降10.24%。主要变动原因是项目支出减少。</w:t>
      </w:r>
    </w:p>
    <w:p>
      <w:pPr>
        <w:spacing w:line="600" w:lineRule="exact"/>
        <w:ind w:firstLine="640" w:firstLineChars="200"/>
        <w:rPr>
          <w:rFonts w:eastAsia="仿宋"/>
          <w:sz w:val="32"/>
          <w:szCs w:val="32"/>
        </w:rPr>
      </w:pPr>
    </w:p>
    <w:p>
      <w:pPr>
        <w:pStyle w:val="2"/>
        <w:tabs>
          <w:tab w:val="left" w:pos="1747"/>
        </w:tabs>
        <w:rPr>
          <w:rFonts w:eastAsia="仿宋"/>
          <w:sz w:val="32"/>
          <w:szCs w:val="32"/>
        </w:rPr>
      </w:pPr>
      <w:r>
        <w:rPr>
          <w:rFonts w:eastAsia="仿宋"/>
          <w:sz w:val="32"/>
          <w:szCs w:val="32"/>
        </w:rPr>
        <w:tab/>
      </w:r>
    </w:p>
    <w:p>
      <w:pPr>
        <w:rPr>
          <w:rFonts w:eastAsia="仿宋"/>
          <w:sz w:val="32"/>
          <w:szCs w:val="32"/>
        </w:rPr>
      </w:pPr>
    </w:p>
    <w:p>
      <w:pPr>
        <w:pStyle w:val="2"/>
        <w:rPr>
          <w:rFonts w:eastAsia="仿宋"/>
          <w:sz w:val="32"/>
          <w:szCs w:val="32"/>
        </w:rPr>
      </w:pPr>
    </w:p>
    <w:p>
      <w:pPr>
        <w:rPr>
          <w:rFonts w:eastAsia="仿宋"/>
          <w:sz w:val="32"/>
          <w:szCs w:val="32"/>
        </w:rPr>
      </w:pPr>
    </w:p>
    <w:p>
      <w:pPr>
        <w:pStyle w:val="2"/>
        <w:rPr>
          <w:rFonts w:eastAsia="仿宋"/>
          <w:sz w:val="32"/>
          <w:szCs w:val="32"/>
        </w:rPr>
      </w:pPr>
      <w:r>
        <w:drawing>
          <wp:inline distT="0" distB="0" distL="0" distR="0">
            <wp:extent cx="5274310" cy="3076575"/>
            <wp:effectExtent l="5080" t="4445" r="16510" b="508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
      <w:pPr>
        <w:spacing w:line="600" w:lineRule="exact"/>
        <w:ind w:firstLine="640" w:firstLineChars="200"/>
        <w:rPr>
          <w:rFonts w:eastAsia="仿宋"/>
          <w:sz w:val="32"/>
          <w:szCs w:val="32"/>
        </w:rPr>
      </w:pPr>
      <w:r>
        <w:rPr>
          <w:rFonts w:eastAsia="仿宋"/>
          <w:sz w:val="32"/>
          <w:szCs w:val="32"/>
        </w:rPr>
        <w:t>（图5：一般公共预算财政拨款支出决算变动情况）</w:t>
      </w:r>
    </w:p>
    <w:p>
      <w:pPr>
        <w:pStyle w:val="2"/>
      </w:pPr>
    </w:p>
    <w:p>
      <w:pPr>
        <w:spacing w:line="600" w:lineRule="exact"/>
        <w:ind w:firstLine="640" w:firstLineChars="200"/>
        <w:outlineLvl w:val="2"/>
        <w:rPr>
          <w:rFonts w:ascii="方正楷体_GBK" w:eastAsia="方正楷体_GBK"/>
          <w:sz w:val="32"/>
          <w:szCs w:val="32"/>
        </w:rPr>
      </w:pPr>
      <w:bookmarkStart w:id="46" w:name="_Toc15377211"/>
      <w:bookmarkStart w:id="47" w:name="_Toc923070780"/>
      <w:r>
        <w:rPr>
          <w:rFonts w:ascii="方正楷体_GBK" w:eastAsia="方正楷体_GBK"/>
          <w:sz w:val="32"/>
          <w:szCs w:val="32"/>
        </w:rPr>
        <w:t>（二）一般公共预算财政拨款支出决算结构情况</w:t>
      </w:r>
      <w:bookmarkEnd w:id="46"/>
      <w:r>
        <w:rPr>
          <w:rFonts w:hint="eastAsia" w:ascii="方正楷体_GBK" w:eastAsia="方正楷体_GBK"/>
          <w:sz w:val="32"/>
          <w:szCs w:val="32"/>
        </w:rPr>
        <w:t>。</w:t>
      </w:r>
      <w:bookmarkEnd w:id="47"/>
    </w:p>
    <w:p>
      <w:pPr>
        <w:spacing w:line="600" w:lineRule="exact"/>
        <w:ind w:firstLine="640" w:firstLineChars="200"/>
        <w:rPr>
          <w:rFonts w:eastAsia="仿宋_GB2312"/>
          <w:sz w:val="32"/>
          <w:szCs w:val="32"/>
        </w:rPr>
      </w:pPr>
      <w:r>
        <w:rPr>
          <w:rFonts w:eastAsia="仿宋_GB2312"/>
          <w:sz w:val="32"/>
          <w:szCs w:val="32"/>
        </w:rPr>
        <w:t>2023年度一般公共预算财政拨款支出2258.84万元，主要用于以下方面:社会保障和就业支出203.12万元，占8.99%；卫生健康支出1826.71万元，占80.87%；农林水支出196万元，占8.68%；住房保障支出33.01万元，占1.46%。</w:t>
      </w:r>
    </w:p>
    <w:p>
      <w:pPr>
        <w:spacing w:line="600" w:lineRule="exact"/>
        <w:ind w:firstLine="640"/>
        <w:rPr>
          <w:rFonts w:eastAsia="仿宋"/>
          <w:sz w:val="32"/>
          <w:szCs w:val="32"/>
        </w:rPr>
      </w:pPr>
      <w:r>
        <w:drawing>
          <wp:anchor distT="0" distB="0" distL="0" distR="0" simplePos="0" relativeHeight="251661312" behindDoc="0" locked="0" layoutInCell="1" allowOverlap="1">
            <wp:simplePos x="0" y="0"/>
            <wp:positionH relativeFrom="column">
              <wp:posOffset>33655</wp:posOffset>
            </wp:positionH>
            <wp:positionV relativeFrom="paragraph">
              <wp:posOffset>12700</wp:posOffset>
            </wp:positionV>
            <wp:extent cx="5200650" cy="2781300"/>
            <wp:effectExtent l="4445" t="4445" r="14605" b="1460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eastAsia="仿宋"/>
          <w:sz w:val="32"/>
          <w:szCs w:val="32"/>
        </w:rPr>
        <w:t>（图6：一般公共预算财政拨款支出决算结构）</w:t>
      </w:r>
    </w:p>
    <w:p>
      <w:pPr>
        <w:spacing w:line="600" w:lineRule="exact"/>
        <w:ind w:firstLine="640" w:firstLineChars="200"/>
        <w:rPr>
          <w:rFonts w:eastAsia="仿宋"/>
          <w:sz w:val="32"/>
          <w:szCs w:val="32"/>
        </w:rPr>
      </w:pPr>
    </w:p>
    <w:p>
      <w:pPr>
        <w:spacing w:line="600" w:lineRule="exact"/>
        <w:ind w:firstLine="640" w:firstLineChars="200"/>
        <w:outlineLvl w:val="2"/>
        <w:rPr>
          <w:rFonts w:ascii="方正楷体_GBK" w:eastAsia="方正楷体_GBK"/>
          <w:sz w:val="32"/>
          <w:szCs w:val="32"/>
        </w:rPr>
      </w:pPr>
      <w:bookmarkStart w:id="48" w:name="_Toc15377212"/>
      <w:bookmarkStart w:id="49" w:name="_Toc49697530"/>
      <w:r>
        <w:rPr>
          <w:rFonts w:ascii="方正楷体_GBK" w:eastAsia="方正楷体_GBK"/>
          <w:sz w:val="32"/>
          <w:szCs w:val="32"/>
        </w:rPr>
        <w:t>（三）一般公共预算财政拨款支出决算具体情况</w:t>
      </w:r>
      <w:bookmarkEnd w:id="48"/>
      <w:r>
        <w:rPr>
          <w:rFonts w:hint="eastAsia" w:ascii="方正楷体_GBK" w:eastAsia="方正楷体_GBK"/>
          <w:sz w:val="32"/>
          <w:szCs w:val="32"/>
        </w:rPr>
        <w:t>。</w:t>
      </w:r>
      <w:bookmarkEnd w:id="49"/>
    </w:p>
    <w:p>
      <w:pPr>
        <w:spacing w:line="600" w:lineRule="exact"/>
        <w:ind w:firstLine="640" w:firstLineChars="200"/>
        <w:rPr>
          <w:rFonts w:eastAsia="仿宋_GB2312"/>
          <w:sz w:val="32"/>
          <w:szCs w:val="32"/>
        </w:rPr>
      </w:pPr>
      <w:bookmarkStart w:id="50" w:name="_Toc15378460"/>
      <w:bookmarkStart w:id="51" w:name="_Toc15377213"/>
      <w:bookmarkStart w:id="52" w:name="_Toc15377444"/>
      <w:r>
        <w:rPr>
          <w:rFonts w:eastAsia="仿宋_GB2312"/>
          <w:sz w:val="32"/>
          <w:szCs w:val="32"/>
        </w:rPr>
        <w:t>2023年度一般公共预算支出决算数为2258.84万元</w:t>
      </w:r>
      <w:r>
        <w:rPr>
          <w:rFonts w:hint="eastAsia" w:eastAsia="仿宋_GB2312"/>
          <w:sz w:val="32"/>
          <w:szCs w:val="32"/>
        </w:rPr>
        <w:t>，</w:t>
      </w:r>
      <w:r>
        <w:rPr>
          <w:rFonts w:eastAsia="仿宋_GB2312"/>
          <w:sz w:val="32"/>
          <w:szCs w:val="32"/>
        </w:rPr>
        <w:t>完成预算100%。其中：</w:t>
      </w:r>
      <w:bookmarkEnd w:id="50"/>
      <w:bookmarkEnd w:id="51"/>
      <w:bookmarkEnd w:id="52"/>
    </w:p>
    <w:p>
      <w:pPr>
        <w:spacing w:line="600" w:lineRule="exact"/>
        <w:ind w:firstLine="640" w:firstLineChars="200"/>
        <w:rPr>
          <w:rFonts w:eastAsia="仿宋_GB2312"/>
          <w:sz w:val="32"/>
          <w:szCs w:val="32"/>
        </w:rPr>
      </w:pPr>
      <w:r>
        <w:rPr>
          <w:rFonts w:eastAsia="仿宋_GB2312"/>
          <w:sz w:val="32"/>
          <w:szCs w:val="32"/>
        </w:rPr>
        <w:t>1.社会保障和就业（</w:t>
      </w:r>
      <w:r>
        <w:rPr>
          <w:rFonts w:hint="eastAsia" w:eastAsia="仿宋_GB2312"/>
          <w:sz w:val="32"/>
          <w:szCs w:val="32"/>
        </w:rPr>
        <w:t>208</w:t>
      </w:r>
      <w:r>
        <w:rPr>
          <w:rFonts w:eastAsia="仿宋_GB2312"/>
          <w:sz w:val="32"/>
          <w:szCs w:val="32"/>
        </w:rPr>
        <w:t>类）行政事业单位养老支出（</w:t>
      </w:r>
      <w:r>
        <w:rPr>
          <w:rFonts w:hint="eastAsia" w:eastAsia="仿宋_GB2312"/>
          <w:sz w:val="32"/>
          <w:szCs w:val="32"/>
        </w:rPr>
        <w:t>05</w:t>
      </w:r>
      <w:r>
        <w:rPr>
          <w:rFonts w:eastAsia="仿宋_GB2312"/>
          <w:sz w:val="32"/>
          <w:szCs w:val="32"/>
        </w:rPr>
        <w:t>款）:支出决算为133.54万元，完成预算100%。决算数等于预算数。</w:t>
      </w:r>
    </w:p>
    <w:p>
      <w:pPr>
        <w:spacing w:line="600" w:lineRule="exact"/>
        <w:ind w:firstLine="640" w:firstLineChars="200"/>
        <w:rPr>
          <w:rFonts w:eastAsia="仿宋_GB2312"/>
          <w:sz w:val="32"/>
          <w:szCs w:val="32"/>
        </w:rPr>
      </w:pPr>
      <w:r>
        <w:rPr>
          <w:rFonts w:eastAsia="仿宋_GB2312"/>
          <w:sz w:val="32"/>
          <w:szCs w:val="32"/>
        </w:rPr>
        <w:t>（1）行政单位离退休（</w:t>
      </w:r>
      <w:r>
        <w:rPr>
          <w:rFonts w:hint="eastAsia" w:eastAsia="仿宋_GB2312"/>
          <w:sz w:val="32"/>
          <w:szCs w:val="32"/>
        </w:rPr>
        <w:t>01</w:t>
      </w:r>
      <w:r>
        <w:rPr>
          <w:rFonts w:eastAsia="仿宋_GB2312"/>
          <w:sz w:val="32"/>
          <w:szCs w:val="32"/>
        </w:rPr>
        <w:t>项）: 支出决算为60.57万元，完成预算100%，决算数等于预算数。</w:t>
      </w:r>
    </w:p>
    <w:p>
      <w:pPr>
        <w:spacing w:line="600" w:lineRule="exact"/>
        <w:ind w:firstLine="640" w:firstLineChars="200"/>
        <w:rPr>
          <w:rFonts w:eastAsia="仿宋_GB2312"/>
          <w:sz w:val="32"/>
          <w:szCs w:val="32"/>
        </w:rPr>
      </w:pPr>
      <w:r>
        <w:rPr>
          <w:rFonts w:eastAsia="仿宋_GB2312"/>
          <w:sz w:val="32"/>
          <w:szCs w:val="32"/>
        </w:rPr>
        <w:t>（2）事业单位离退休（</w:t>
      </w:r>
      <w:r>
        <w:rPr>
          <w:rFonts w:hint="eastAsia" w:eastAsia="仿宋_GB2312"/>
          <w:sz w:val="32"/>
          <w:szCs w:val="32"/>
        </w:rPr>
        <w:t>02</w:t>
      </w:r>
      <w:r>
        <w:rPr>
          <w:rFonts w:eastAsia="仿宋_GB2312"/>
          <w:sz w:val="32"/>
          <w:szCs w:val="32"/>
        </w:rPr>
        <w:t>项）: 支出决算为19.98万元，完成预算100%，决算数等于预算数。</w:t>
      </w:r>
    </w:p>
    <w:p>
      <w:pPr>
        <w:spacing w:line="600" w:lineRule="exact"/>
        <w:ind w:firstLine="640" w:firstLineChars="200"/>
        <w:rPr>
          <w:rFonts w:eastAsia="仿宋_GB2312"/>
          <w:sz w:val="32"/>
          <w:szCs w:val="32"/>
        </w:rPr>
      </w:pPr>
      <w:r>
        <w:rPr>
          <w:rFonts w:eastAsia="仿宋_GB2312"/>
          <w:sz w:val="32"/>
          <w:szCs w:val="32"/>
        </w:rPr>
        <w:t>（3）机关事业单位基本养老保险缴费支出（</w:t>
      </w:r>
      <w:r>
        <w:rPr>
          <w:rFonts w:hint="eastAsia" w:eastAsia="仿宋_GB2312"/>
          <w:sz w:val="32"/>
          <w:szCs w:val="32"/>
        </w:rPr>
        <w:t>05</w:t>
      </w:r>
      <w:r>
        <w:rPr>
          <w:rFonts w:eastAsia="仿宋_GB2312"/>
          <w:sz w:val="32"/>
          <w:szCs w:val="32"/>
        </w:rPr>
        <w:t>项）：支出决算为45.7万元，完成预算100%，决算数等于预算数。</w:t>
      </w:r>
    </w:p>
    <w:p>
      <w:pPr>
        <w:spacing w:line="600" w:lineRule="exact"/>
        <w:ind w:firstLine="640" w:firstLineChars="200"/>
        <w:rPr>
          <w:rFonts w:eastAsia="仿宋_GB2312"/>
          <w:sz w:val="32"/>
          <w:szCs w:val="32"/>
        </w:rPr>
      </w:pPr>
      <w:r>
        <w:rPr>
          <w:rFonts w:eastAsia="仿宋_GB2312"/>
          <w:sz w:val="32"/>
          <w:szCs w:val="32"/>
        </w:rPr>
        <w:t>（4）机关事业单位职业年金缴费支出（</w:t>
      </w:r>
      <w:r>
        <w:rPr>
          <w:rFonts w:hint="eastAsia" w:eastAsia="仿宋_GB2312"/>
          <w:sz w:val="32"/>
          <w:szCs w:val="32"/>
        </w:rPr>
        <w:t>06</w:t>
      </w:r>
      <w:r>
        <w:rPr>
          <w:rFonts w:eastAsia="仿宋_GB2312"/>
          <w:sz w:val="32"/>
          <w:szCs w:val="32"/>
        </w:rPr>
        <w:t>项）: 支出决算为7.29万元，完成预算100%，决算数等于预算数。</w:t>
      </w:r>
    </w:p>
    <w:p>
      <w:pPr>
        <w:spacing w:line="600" w:lineRule="exact"/>
        <w:ind w:firstLine="640" w:firstLineChars="200"/>
        <w:rPr>
          <w:rFonts w:eastAsia="仿宋_GB2312"/>
          <w:sz w:val="32"/>
          <w:szCs w:val="32"/>
        </w:rPr>
      </w:pPr>
      <w:r>
        <w:rPr>
          <w:rFonts w:eastAsia="仿宋_GB2312"/>
          <w:sz w:val="32"/>
          <w:szCs w:val="32"/>
        </w:rPr>
        <w:t>2.社会保障和就业（</w:t>
      </w:r>
      <w:r>
        <w:rPr>
          <w:rFonts w:hint="eastAsia" w:eastAsia="仿宋_GB2312"/>
          <w:sz w:val="32"/>
          <w:szCs w:val="32"/>
        </w:rPr>
        <w:t>208</w:t>
      </w:r>
      <w:r>
        <w:rPr>
          <w:rFonts w:eastAsia="仿宋_GB2312"/>
          <w:sz w:val="32"/>
          <w:szCs w:val="32"/>
        </w:rPr>
        <w:t>类）抚恤（</w:t>
      </w:r>
      <w:r>
        <w:rPr>
          <w:rFonts w:hint="eastAsia" w:eastAsia="仿宋_GB2312"/>
          <w:sz w:val="32"/>
          <w:szCs w:val="32"/>
        </w:rPr>
        <w:t>08</w:t>
      </w:r>
      <w:r>
        <w:rPr>
          <w:rFonts w:eastAsia="仿宋_GB2312"/>
          <w:sz w:val="32"/>
          <w:szCs w:val="32"/>
        </w:rPr>
        <w:t>款）:支出决算为69.57万元，完成预算100%。决算数等于预算数。</w:t>
      </w:r>
    </w:p>
    <w:p>
      <w:pPr>
        <w:spacing w:line="600" w:lineRule="exact"/>
        <w:ind w:firstLine="640" w:firstLineChars="200"/>
        <w:rPr>
          <w:rFonts w:eastAsia="仿宋_GB2312"/>
          <w:sz w:val="32"/>
          <w:szCs w:val="32"/>
        </w:rPr>
      </w:pPr>
      <w:r>
        <w:rPr>
          <w:rFonts w:eastAsia="仿宋_GB2312"/>
          <w:sz w:val="32"/>
          <w:szCs w:val="32"/>
        </w:rPr>
        <w:t>（1）死亡抚恤（</w:t>
      </w:r>
      <w:r>
        <w:rPr>
          <w:rFonts w:hint="eastAsia" w:eastAsia="仿宋_GB2312"/>
          <w:sz w:val="32"/>
          <w:szCs w:val="32"/>
        </w:rPr>
        <w:t>01</w:t>
      </w:r>
      <w:r>
        <w:rPr>
          <w:rFonts w:eastAsia="仿宋_GB2312"/>
          <w:sz w:val="32"/>
          <w:szCs w:val="32"/>
        </w:rPr>
        <w:t>项）：支出决算为65.61万元，完成预算100%。决算数等于预算数。</w:t>
      </w:r>
    </w:p>
    <w:p>
      <w:pPr>
        <w:spacing w:line="600" w:lineRule="exact"/>
        <w:ind w:firstLine="640" w:firstLineChars="200"/>
        <w:rPr>
          <w:rFonts w:eastAsia="仿宋_GB2312"/>
          <w:sz w:val="32"/>
          <w:szCs w:val="32"/>
        </w:rPr>
      </w:pPr>
      <w:r>
        <w:rPr>
          <w:rFonts w:eastAsia="仿宋_GB2312"/>
          <w:sz w:val="32"/>
          <w:szCs w:val="32"/>
        </w:rPr>
        <w:t>（2）伤残抚恤（</w:t>
      </w:r>
      <w:r>
        <w:rPr>
          <w:rFonts w:hint="eastAsia" w:eastAsia="仿宋_GB2312"/>
          <w:sz w:val="32"/>
          <w:szCs w:val="32"/>
        </w:rPr>
        <w:t>02</w:t>
      </w:r>
      <w:r>
        <w:rPr>
          <w:rFonts w:eastAsia="仿宋_GB2312"/>
          <w:sz w:val="32"/>
          <w:szCs w:val="32"/>
        </w:rPr>
        <w:t>项）：支出决算为3.97万元，完成预算100%。决算数等于预算数。</w:t>
      </w:r>
    </w:p>
    <w:p>
      <w:pPr>
        <w:spacing w:line="600" w:lineRule="exact"/>
        <w:ind w:firstLine="640" w:firstLineChars="200"/>
        <w:rPr>
          <w:rFonts w:eastAsia="仿宋_GB2312"/>
          <w:sz w:val="32"/>
          <w:szCs w:val="32"/>
        </w:rPr>
      </w:pPr>
      <w:r>
        <w:rPr>
          <w:rFonts w:eastAsia="仿宋_GB2312"/>
          <w:sz w:val="32"/>
          <w:szCs w:val="32"/>
        </w:rPr>
        <w:t>3.卫生健康支出（</w:t>
      </w:r>
      <w:r>
        <w:rPr>
          <w:rFonts w:hint="eastAsia" w:eastAsia="仿宋_GB2312"/>
          <w:sz w:val="32"/>
          <w:szCs w:val="32"/>
        </w:rPr>
        <w:t>210</w:t>
      </w:r>
      <w:r>
        <w:rPr>
          <w:rFonts w:eastAsia="仿宋_GB2312"/>
          <w:sz w:val="32"/>
          <w:szCs w:val="32"/>
        </w:rPr>
        <w:t>类）卫生健康管理事务（</w:t>
      </w:r>
      <w:r>
        <w:rPr>
          <w:rFonts w:hint="eastAsia" w:eastAsia="仿宋_GB2312"/>
          <w:sz w:val="32"/>
          <w:szCs w:val="32"/>
        </w:rPr>
        <w:t>01</w:t>
      </w:r>
      <w:r>
        <w:rPr>
          <w:rFonts w:eastAsia="仿宋_GB2312"/>
          <w:sz w:val="32"/>
          <w:szCs w:val="32"/>
        </w:rPr>
        <w:t>款）机关服务（</w:t>
      </w:r>
      <w:r>
        <w:rPr>
          <w:rFonts w:hint="eastAsia" w:eastAsia="仿宋_GB2312"/>
          <w:sz w:val="32"/>
          <w:szCs w:val="32"/>
        </w:rPr>
        <w:t>03</w:t>
      </w:r>
      <w:r>
        <w:rPr>
          <w:rFonts w:eastAsia="仿宋_GB2312"/>
          <w:sz w:val="32"/>
          <w:szCs w:val="32"/>
        </w:rPr>
        <w:t>项）:支出决算为22.08万元，完成预算100%，决算数等于预算数。</w:t>
      </w:r>
    </w:p>
    <w:p>
      <w:pPr>
        <w:spacing w:line="600" w:lineRule="exact"/>
        <w:ind w:firstLine="640" w:firstLineChars="200"/>
        <w:rPr>
          <w:rFonts w:eastAsia="仿宋_GB2312"/>
          <w:sz w:val="32"/>
          <w:szCs w:val="32"/>
        </w:rPr>
      </w:pPr>
      <w:r>
        <w:rPr>
          <w:rFonts w:eastAsia="仿宋_GB2312"/>
          <w:sz w:val="32"/>
          <w:szCs w:val="32"/>
        </w:rPr>
        <w:t>4.卫生健康支出（</w:t>
      </w:r>
      <w:r>
        <w:rPr>
          <w:rFonts w:hint="eastAsia" w:eastAsia="仿宋_GB2312"/>
          <w:sz w:val="32"/>
          <w:szCs w:val="32"/>
        </w:rPr>
        <w:t>210</w:t>
      </w:r>
      <w:r>
        <w:rPr>
          <w:rFonts w:eastAsia="仿宋_GB2312"/>
          <w:sz w:val="32"/>
          <w:szCs w:val="32"/>
        </w:rPr>
        <w:t>类）卫生健康管理事务（</w:t>
      </w:r>
      <w:r>
        <w:rPr>
          <w:rFonts w:hint="eastAsia" w:eastAsia="仿宋_GB2312"/>
          <w:sz w:val="32"/>
          <w:szCs w:val="32"/>
        </w:rPr>
        <w:t>01</w:t>
      </w:r>
      <w:r>
        <w:rPr>
          <w:rFonts w:eastAsia="仿宋_GB2312"/>
          <w:sz w:val="32"/>
          <w:szCs w:val="32"/>
        </w:rPr>
        <w:t>款）行政运行（</w:t>
      </w:r>
      <w:r>
        <w:rPr>
          <w:rFonts w:hint="eastAsia" w:eastAsia="仿宋_GB2312"/>
          <w:sz w:val="32"/>
          <w:szCs w:val="32"/>
        </w:rPr>
        <w:t>01</w:t>
      </w:r>
      <w:r>
        <w:rPr>
          <w:rFonts w:eastAsia="仿宋_GB2312"/>
          <w:sz w:val="32"/>
          <w:szCs w:val="32"/>
        </w:rPr>
        <w:t>项）:支出决算为310.60万元，完成预算100%，决算数等于预算数。</w:t>
      </w:r>
    </w:p>
    <w:p>
      <w:pPr>
        <w:spacing w:line="600" w:lineRule="exact"/>
        <w:ind w:firstLine="640" w:firstLineChars="200"/>
        <w:rPr>
          <w:rFonts w:eastAsia="仿宋_GB2312"/>
          <w:sz w:val="32"/>
          <w:szCs w:val="32"/>
        </w:rPr>
      </w:pPr>
      <w:r>
        <w:rPr>
          <w:rFonts w:eastAsia="仿宋_GB2312"/>
          <w:sz w:val="32"/>
          <w:szCs w:val="32"/>
        </w:rPr>
        <w:t>5.卫生健康支出（</w:t>
      </w:r>
      <w:r>
        <w:rPr>
          <w:rFonts w:hint="eastAsia" w:eastAsia="仿宋_GB2312"/>
          <w:sz w:val="32"/>
          <w:szCs w:val="32"/>
        </w:rPr>
        <w:t>210</w:t>
      </w:r>
      <w:r>
        <w:rPr>
          <w:rFonts w:eastAsia="仿宋_GB2312"/>
          <w:sz w:val="32"/>
          <w:szCs w:val="32"/>
        </w:rPr>
        <w:t>类）公共卫生（</w:t>
      </w:r>
      <w:r>
        <w:rPr>
          <w:rFonts w:hint="eastAsia" w:eastAsia="仿宋_GB2312"/>
          <w:sz w:val="32"/>
          <w:szCs w:val="32"/>
        </w:rPr>
        <w:t>04</w:t>
      </w:r>
      <w:r>
        <w:rPr>
          <w:rFonts w:eastAsia="仿宋_GB2312"/>
          <w:sz w:val="32"/>
          <w:szCs w:val="32"/>
        </w:rPr>
        <w:t>款）重大公共卫生服务（</w:t>
      </w:r>
      <w:r>
        <w:rPr>
          <w:rFonts w:hint="eastAsia" w:eastAsia="仿宋_GB2312"/>
          <w:sz w:val="32"/>
          <w:szCs w:val="32"/>
        </w:rPr>
        <w:t>09</w:t>
      </w:r>
      <w:r>
        <w:rPr>
          <w:rFonts w:eastAsia="仿宋_GB2312"/>
          <w:sz w:val="32"/>
          <w:szCs w:val="32"/>
        </w:rPr>
        <w:t>项）:支出决算为66.52万元，完成预算100%，决算数等于预算数。</w:t>
      </w:r>
    </w:p>
    <w:p>
      <w:pPr>
        <w:spacing w:line="600" w:lineRule="exact"/>
        <w:ind w:firstLine="640" w:firstLineChars="200"/>
        <w:rPr>
          <w:rFonts w:eastAsia="仿宋_GB2312"/>
          <w:sz w:val="32"/>
          <w:szCs w:val="32"/>
        </w:rPr>
      </w:pPr>
      <w:r>
        <w:rPr>
          <w:rFonts w:eastAsia="仿宋_GB2312"/>
          <w:sz w:val="32"/>
          <w:szCs w:val="32"/>
        </w:rPr>
        <w:t>6.卫生健康支出（</w:t>
      </w:r>
      <w:r>
        <w:rPr>
          <w:rFonts w:hint="eastAsia" w:eastAsia="仿宋_GB2312"/>
          <w:sz w:val="32"/>
          <w:szCs w:val="32"/>
        </w:rPr>
        <w:t>210</w:t>
      </w:r>
      <w:r>
        <w:rPr>
          <w:rFonts w:eastAsia="仿宋_GB2312"/>
          <w:sz w:val="32"/>
          <w:szCs w:val="32"/>
        </w:rPr>
        <w:t>类）公共卫生（</w:t>
      </w:r>
      <w:r>
        <w:rPr>
          <w:rFonts w:hint="eastAsia" w:eastAsia="仿宋_GB2312"/>
          <w:sz w:val="32"/>
          <w:szCs w:val="32"/>
        </w:rPr>
        <w:t>04</w:t>
      </w:r>
      <w:r>
        <w:rPr>
          <w:rFonts w:eastAsia="仿宋_GB2312"/>
          <w:sz w:val="32"/>
          <w:szCs w:val="32"/>
        </w:rPr>
        <w:t>款）其他公共卫生支出（</w:t>
      </w:r>
      <w:r>
        <w:rPr>
          <w:rFonts w:hint="eastAsia" w:eastAsia="仿宋_GB2312"/>
          <w:sz w:val="32"/>
          <w:szCs w:val="32"/>
        </w:rPr>
        <w:t>99</w:t>
      </w:r>
      <w:r>
        <w:rPr>
          <w:rFonts w:eastAsia="仿宋_GB2312"/>
          <w:sz w:val="32"/>
          <w:szCs w:val="32"/>
        </w:rPr>
        <w:t>项）:支出决算为22.35万元，完成预算100%，决算数等于预算数。</w:t>
      </w:r>
    </w:p>
    <w:p>
      <w:pPr>
        <w:spacing w:line="600" w:lineRule="exact"/>
        <w:ind w:firstLine="640" w:firstLineChars="200"/>
        <w:rPr>
          <w:rFonts w:eastAsia="仿宋_GB2312"/>
          <w:sz w:val="32"/>
          <w:szCs w:val="32"/>
        </w:rPr>
      </w:pPr>
      <w:r>
        <w:rPr>
          <w:rFonts w:eastAsia="仿宋_GB2312"/>
          <w:sz w:val="32"/>
          <w:szCs w:val="32"/>
        </w:rPr>
        <w:t>7.卫生健康支出（</w:t>
      </w:r>
      <w:r>
        <w:rPr>
          <w:rFonts w:hint="eastAsia" w:eastAsia="仿宋_GB2312"/>
          <w:sz w:val="32"/>
          <w:szCs w:val="32"/>
        </w:rPr>
        <w:t>210</w:t>
      </w:r>
      <w:r>
        <w:rPr>
          <w:rFonts w:eastAsia="仿宋_GB2312"/>
          <w:sz w:val="32"/>
          <w:szCs w:val="32"/>
        </w:rPr>
        <w:t>类）计划生育事务（</w:t>
      </w:r>
      <w:r>
        <w:rPr>
          <w:rFonts w:hint="eastAsia" w:eastAsia="仿宋_GB2312"/>
          <w:sz w:val="32"/>
          <w:szCs w:val="32"/>
        </w:rPr>
        <w:t>07</w:t>
      </w:r>
      <w:r>
        <w:rPr>
          <w:rFonts w:eastAsia="仿宋_GB2312"/>
          <w:sz w:val="32"/>
          <w:szCs w:val="32"/>
        </w:rPr>
        <w:t>款）计划生育服务（</w:t>
      </w:r>
      <w:r>
        <w:rPr>
          <w:rFonts w:hint="eastAsia" w:eastAsia="仿宋_GB2312"/>
          <w:sz w:val="32"/>
          <w:szCs w:val="32"/>
        </w:rPr>
        <w:t>17</w:t>
      </w:r>
      <w:r>
        <w:rPr>
          <w:rFonts w:eastAsia="仿宋_GB2312"/>
          <w:sz w:val="32"/>
          <w:szCs w:val="32"/>
        </w:rPr>
        <w:t>项）:支出决算为53.91万元，完成预算100%，决算数等于预算数。</w:t>
      </w:r>
    </w:p>
    <w:p>
      <w:pPr>
        <w:spacing w:line="600" w:lineRule="exact"/>
        <w:ind w:firstLine="640" w:firstLineChars="200"/>
        <w:rPr>
          <w:rFonts w:eastAsia="仿宋_GB2312"/>
          <w:sz w:val="32"/>
          <w:szCs w:val="32"/>
        </w:rPr>
      </w:pPr>
      <w:r>
        <w:rPr>
          <w:rFonts w:eastAsia="仿宋_GB2312"/>
          <w:sz w:val="32"/>
          <w:szCs w:val="32"/>
        </w:rPr>
        <w:t>8.卫生健康支出（</w:t>
      </w:r>
      <w:r>
        <w:rPr>
          <w:rFonts w:hint="eastAsia" w:eastAsia="仿宋_GB2312"/>
          <w:sz w:val="32"/>
          <w:szCs w:val="32"/>
        </w:rPr>
        <w:t>210</w:t>
      </w:r>
      <w:r>
        <w:rPr>
          <w:rFonts w:eastAsia="仿宋_GB2312"/>
          <w:sz w:val="32"/>
          <w:szCs w:val="32"/>
        </w:rPr>
        <w:t>类）计划生育事务（</w:t>
      </w:r>
      <w:r>
        <w:rPr>
          <w:rFonts w:hint="eastAsia" w:eastAsia="仿宋_GB2312"/>
          <w:sz w:val="32"/>
          <w:szCs w:val="32"/>
        </w:rPr>
        <w:t>07</w:t>
      </w:r>
      <w:r>
        <w:rPr>
          <w:rFonts w:eastAsia="仿宋_GB2312"/>
          <w:sz w:val="32"/>
          <w:szCs w:val="32"/>
        </w:rPr>
        <w:t>款）其他计划生育事务支出（</w:t>
      </w:r>
      <w:r>
        <w:rPr>
          <w:rFonts w:hint="eastAsia" w:eastAsia="仿宋_GB2312"/>
          <w:sz w:val="32"/>
          <w:szCs w:val="32"/>
        </w:rPr>
        <w:t>99</w:t>
      </w:r>
      <w:r>
        <w:rPr>
          <w:rFonts w:eastAsia="仿宋_GB2312"/>
          <w:sz w:val="32"/>
          <w:szCs w:val="32"/>
        </w:rPr>
        <w:t>项）:支出决算为1092.72万元，完成预算100%，决算数等于预算数。</w:t>
      </w:r>
    </w:p>
    <w:p>
      <w:pPr>
        <w:spacing w:line="600" w:lineRule="exact"/>
        <w:ind w:firstLine="640" w:firstLineChars="200"/>
        <w:rPr>
          <w:rFonts w:eastAsia="仿宋_GB2312"/>
          <w:sz w:val="32"/>
          <w:szCs w:val="32"/>
        </w:rPr>
      </w:pPr>
      <w:r>
        <w:rPr>
          <w:rFonts w:eastAsia="仿宋_GB2312"/>
          <w:sz w:val="32"/>
          <w:szCs w:val="32"/>
        </w:rPr>
        <w:t>9.卫生健康支出（</w:t>
      </w:r>
      <w:r>
        <w:rPr>
          <w:rFonts w:hint="eastAsia" w:eastAsia="仿宋_GB2312"/>
          <w:sz w:val="32"/>
          <w:szCs w:val="32"/>
        </w:rPr>
        <w:t>210</w:t>
      </w:r>
      <w:r>
        <w:rPr>
          <w:rFonts w:eastAsia="仿宋_GB2312"/>
          <w:sz w:val="32"/>
          <w:szCs w:val="32"/>
        </w:rPr>
        <w:t>类）行政事业单位医疗（</w:t>
      </w:r>
      <w:r>
        <w:rPr>
          <w:rFonts w:hint="eastAsia" w:eastAsia="仿宋_GB2312"/>
          <w:sz w:val="32"/>
          <w:szCs w:val="32"/>
        </w:rPr>
        <w:t>11</w:t>
      </w:r>
      <w:r>
        <w:rPr>
          <w:rFonts w:eastAsia="仿宋_GB2312"/>
          <w:sz w:val="32"/>
          <w:szCs w:val="32"/>
        </w:rPr>
        <w:t>款）行政单位医疗（</w:t>
      </w:r>
      <w:r>
        <w:rPr>
          <w:rFonts w:hint="eastAsia" w:eastAsia="仿宋_GB2312"/>
          <w:sz w:val="32"/>
          <w:szCs w:val="32"/>
        </w:rPr>
        <w:t>01</w:t>
      </w:r>
      <w:r>
        <w:rPr>
          <w:rFonts w:eastAsia="仿宋_GB2312"/>
          <w:sz w:val="32"/>
          <w:szCs w:val="32"/>
        </w:rPr>
        <w:t>项）:支出决算为20.04万元，完成预算100%，决算数等于预算数。</w:t>
      </w:r>
    </w:p>
    <w:p>
      <w:pPr>
        <w:spacing w:line="600" w:lineRule="exact"/>
        <w:ind w:firstLine="640" w:firstLineChars="200"/>
        <w:rPr>
          <w:rFonts w:eastAsia="仿宋_GB2312"/>
          <w:sz w:val="32"/>
          <w:szCs w:val="32"/>
        </w:rPr>
      </w:pPr>
      <w:r>
        <w:rPr>
          <w:rFonts w:eastAsia="仿宋_GB2312"/>
          <w:sz w:val="32"/>
          <w:szCs w:val="32"/>
        </w:rPr>
        <w:t>10.卫生健康支出（</w:t>
      </w:r>
      <w:r>
        <w:rPr>
          <w:rFonts w:hint="eastAsia" w:eastAsia="仿宋_GB2312"/>
          <w:sz w:val="32"/>
          <w:szCs w:val="32"/>
        </w:rPr>
        <w:t>210</w:t>
      </w:r>
      <w:r>
        <w:rPr>
          <w:rFonts w:eastAsia="仿宋_GB2312"/>
          <w:sz w:val="32"/>
          <w:szCs w:val="32"/>
        </w:rPr>
        <w:t>类）行政事业单位医疗（</w:t>
      </w:r>
      <w:r>
        <w:rPr>
          <w:rFonts w:hint="eastAsia" w:eastAsia="仿宋_GB2312"/>
          <w:sz w:val="32"/>
          <w:szCs w:val="32"/>
        </w:rPr>
        <w:t>11</w:t>
      </w:r>
      <w:r>
        <w:rPr>
          <w:rFonts w:eastAsia="仿宋_GB2312"/>
          <w:sz w:val="32"/>
          <w:szCs w:val="32"/>
        </w:rPr>
        <w:t>款）  公务员医疗补助（</w:t>
      </w:r>
      <w:r>
        <w:rPr>
          <w:rFonts w:hint="eastAsia" w:eastAsia="仿宋_GB2312"/>
          <w:sz w:val="32"/>
          <w:szCs w:val="32"/>
        </w:rPr>
        <w:t>03</w:t>
      </w:r>
      <w:r>
        <w:rPr>
          <w:rFonts w:eastAsia="仿宋_GB2312"/>
          <w:sz w:val="32"/>
          <w:szCs w:val="32"/>
        </w:rPr>
        <w:t>项）:支出决算为2.05万元，完成预算100%，决算数等于预算数。</w:t>
      </w:r>
    </w:p>
    <w:p>
      <w:pPr>
        <w:spacing w:line="600" w:lineRule="exact"/>
        <w:ind w:firstLine="640" w:firstLineChars="200"/>
        <w:rPr>
          <w:rFonts w:eastAsia="仿宋_GB2312"/>
          <w:sz w:val="32"/>
          <w:szCs w:val="32"/>
        </w:rPr>
      </w:pPr>
      <w:r>
        <w:rPr>
          <w:rFonts w:eastAsia="仿宋_GB2312"/>
          <w:sz w:val="32"/>
          <w:szCs w:val="32"/>
        </w:rPr>
        <w:t>11.卫生健康支出（</w:t>
      </w:r>
      <w:r>
        <w:rPr>
          <w:rFonts w:hint="eastAsia" w:eastAsia="仿宋_GB2312"/>
          <w:sz w:val="32"/>
          <w:szCs w:val="32"/>
        </w:rPr>
        <w:t>210</w:t>
      </w:r>
      <w:r>
        <w:rPr>
          <w:rFonts w:eastAsia="仿宋_GB2312"/>
          <w:sz w:val="32"/>
          <w:szCs w:val="32"/>
        </w:rPr>
        <w:t>类）行政事业单位医疗（</w:t>
      </w:r>
      <w:r>
        <w:rPr>
          <w:rFonts w:hint="eastAsia" w:eastAsia="仿宋_GB2312"/>
          <w:sz w:val="32"/>
          <w:szCs w:val="32"/>
        </w:rPr>
        <w:t>11</w:t>
      </w:r>
      <w:r>
        <w:rPr>
          <w:rFonts w:eastAsia="仿宋_GB2312"/>
          <w:sz w:val="32"/>
          <w:szCs w:val="32"/>
        </w:rPr>
        <w:t>款）事业单位医疗（</w:t>
      </w:r>
      <w:r>
        <w:rPr>
          <w:rFonts w:hint="eastAsia" w:eastAsia="仿宋_GB2312"/>
          <w:sz w:val="32"/>
          <w:szCs w:val="32"/>
        </w:rPr>
        <w:t>02</w:t>
      </w:r>
      <w:r>
        <w:rPr>
          <w:rFonts w:eastAsia="仿宋_GB2312"/>
          <w:sz w:val="32"/>
          <w:szCs w:val="32"/>
        </w:rPr>
        <w:t>项）:支出决算为1.90万元，完成预算100%，决算数等于预算数。</w:t>
      </w:r>
    </w:p>
    <w:p>
      <w:pPr>
        <w:spacing w:line="600" w:lineRule="exact"/>
        <w:ind w:firstLine="640" w:firstLineChars="200"/>
        <w:rPr>
          <w:rFonts w:eastAsia="仿宋_GB2312"/>
          <w:sz w:val="32"/>
          <w:szCs w:val="32"/>
        </w:rPr>
      </w:pPr>
      <w:r>
        <w:rPr>
          <w:rFonts w:eastAsia="仿宋_GB2312"/>
          <w:sz w:val="32"/>
          <w:szCs w:val="32"/>
        </w:rPr>
        <w:t>12.卫生健康支出（</w:t>
      </w:r>
      <w:r>
        <w:rPr>
          <w:rFonts w:hint="eastAsia" w:eastAsia="仿宋_GB2312"/>
          <w:sz w:val="32"/>
          <w:szCs w:val="32"/>
        </w:rPr>
        <w:t>210</w:t>
      </w:r>
      <w:r>
        <w:rPr>
          <w:rFonts w:eastAsia="仿宋_GB2312"/>
          <w:sz w:val="32"/>
          <w:szCs w:val="32"/>
        </w:rPr>
        <w:t>类）行政事业单位医疗（</w:t>
      </w:r>
      <w:r>
        <w:rPr>
          <w:rFonts w:hint="eastAsia" w:eastAsia="仿宋_GB2312"/>
          <w:sz w:val="32"/>
          <w:szCs w:val="32"/>
        </w:rPr>
        <w:t>11</w:t>
      </w:r>
      <w:r>
        <w:rPr>
          <w:rFonts w:eastAsia="仿宋_GB2312"/>
          <w:sz w:val="32"/>
          <w:szCs w:val="32"/>
        </w:rPr>
        <w:t>款）其他行政事业单位医疗支出（</w:t>
      </w:r>
      <w:r>
        <w:rPr>
          <w:rFonts w:hint="eastAsia" w:eastAsia="仿宋_GB2312"/>
          <w:sz w:val="32"/>
          <w:szCs w:val="32"/>
        </w:rPr>
        <w:t>99</w:t>
      </w:r>
      <w:r>
        <w:rPr>
          <w:rFonts w:eastAsia="仿宋_GB2312"/>
          <w:sz w:val="32"/>
          <w:szCs w:val="32"/>
        </w:rPr>
        <w:t>项）:支出决算为11万元，完成预算100%，决算数等于预算数。</w:t>
      </w:r>
    </w:p>
    <w:p>
      <w:pPr>
        <w:spacing w:line="600" w:lineRule="exact"/>
        <w:ind w:firstLine="640" w:firstLineChars="200"/>
        <w:rPr>
          <w:rFonts w:eastAsia="仿宋_GB2312"/>
          <w:sz w:val="32"/>
          <w:szCs w:val="32"/>
        </w:rPr>
      </w:pPr>
      <w:r>
        <w:rPr>
          <w:rFonts w:eastAsia="仿宋_GB2312"/>
          <w:sz w:val="32"/>
          <w:szCs w:val="32"/>
        </w:rPr>
        <w:t>13.卫生健康支出（</w:t>
      </w:r>
      <w:r>
        <w:rPr>
          <w:rFonts w:hint="eastAsia" w:eastAsia="仿宋_GB2312"/>
          <w:sz w:val="32"/>
          <w:szCs w:val="32"/>
        </w:rPr>
        <w:t>210</w:t>
      </w:r>
      <w:r>
        <w:rPr>
          <w:rFonts w:eastAsia="仿宋_GB2312"/>
          <w:sz w:val="32"/>
          <w:szCs w:val="32"/>
        </w:rPr>
        <w:t>类）老龄卫生健康事务（</w:t>
      </w:r>
      <w:r>
        <w:rPr>
          <w:rFonts w:hint="eastAsia" w:eastAsia="仿宋_GB2312"/>
          <w:sz w:val="32"/>
          <w:szCs w:val="32"/>
        </w:rPr>
        <w:t>16</w:t>
      </w:r>
      <w:r>
        <w:rPr>
          <w:rFonts w:eastAsia="仿宋_GB2312"/>
          <w:sz w:val="32"/>
          <w:szCs w:val="32"/>
        </w:rPr>
        <w:t>款）老龄卫生健康事务（</w:t>
      </w:r>
      <w:r>
        <w:rPr>
          <w:rFonts w:hint="eastAsia" w:eastAsia="仿宋_GB2312"/>
          <w:sz w:val="32"/>
          <w:szCs w:val="32"/>
        </w:rPr>
        <w:t>01</w:t>
      </w:r>
      <w:r>
        <w:rPr>
          <w:rFonts w:eastAsia="仿宋_GB2312"/>
          <w:sz w:val="32"/>
          <w:szCs w:val="32"/>
        </w:rPr>
        <w:t>项）:支出决算为10万元，完成预算100%，决算数等于预算数。</w:t>
      </w:r>
    </w:p>
    <w:p>
      <w:pPr>
        <w:spacing w:line="600" w:lineRule="exact"/>
        <w:ind w:firstLine="640" w:firstLineChars="200"/>
        <w:rPr>
          <w:rFonts w:eastAsia="仿宋_GB2312"/>
          <w:sz w:val="32"/>
          <w:szCs w:val="32"/>
        </w:rPr>
      </w:pPr>
      <w:r>
        <w:rPr>
          <w:rFonts w:eastAsia="仿宋_GB2312"/>
          <w:sz w:val="32"/>
          <w:szCs w:val="32"/>
        </w:rPr>
        <w:t>14.卫生健康支出（</w:t>
      </w:r>
      <w:r>
        <w:rPr>
          <w:rFonts w:hint="eastAsia" w:eastAsia="仿宋_GB2312"/>
          <w:sz w:val="32"/>
          <w:szCs w:val="32"/>
        </w:rPr>
        <w:t>210</w:t>
      </w:r>
      <w:r>
        <w:rPr>
          <w:rFonts w:eastAsia="仿宋_GB2312"/>
          <w:sz w:val="32"/>
          <w:szCs w:val="32"/>
        </w:rPr>
        <w:t>类） 其他卫生健康支出（</w:t>
      </w:r>
      <w:r>
        <w:rPr>
          <w:rFonts w:hint="eastAsia" w:eastAsia="仿宋_GB2312"/>
          <w:sz w:val="32"/>
          <w:szCs w:val="32"/>
        </w:rPr>
        <w:t>99</w:t>
      </w:r>
      <w:r>
        <w:rPr>
          <w:rFonts w:eastAsia="仿宋_GB2312"/>
          <w:sz w:val="32"/>
          <w:szCs w:val="32"/>
        </w:rPr>
        <w:t>款）其他卫生健康支出（</w:t>
      </w:r>
      <w:r>
        <w:rPr>
          <w:rFonts w:hint="eastAsia" w:eastAsia="仿宋_GB2312"/>
          <w:sz w:val="32"/>
          <w:szCs w:val="32"/>
        </w:rPr>
        <w:t>99</w:t>
      </w:r>
      <w:r>
        <w:rPr>
          <w:rFonts w:eastAsia="仿宋_GB2312"/>
          <w:sz w:val="32"/>
          <w:szCs w:val="32"/>
        </w:rPr>
        <w:t>项）:支出决算为213.55万元，完成预算100%，决算数等于预算数。</w:t>
      </w:r>
    </w:p>
    <w:p>
      <w:pPr>
        <w:spacing w:line="600" w:lineRule="exact"/>
        <w:ind w:firstLine="640" w:firstLineChars="200"/>
        <w:rPr>
          <w:rFonts w:eastAsia="仿宋_GB2312"/>
          <w:sz w:val="32"/>
          <w:szCs w:val="32"/>
        </w:rPr>
      </w:pPr>
      <w:r>
        <w:rPr>
          <w:rFonts w:eastAsia="仿宋_GB2312"/>
          <w:sz w:val="32"/>
          <w:szCs w:val="32"/>
        </w:rPr>
        <w:t>15.农林水支出（</w:t>
      </w:r>
      <w:r>
        <w:rPr>
          <w:rFonts w:hint="eastAsia" w:eastAsia="仿宋_GB2312"/>
          <w:sz w:val="32"/>
          <w:szCs w:val="32"/>
        </w:rPr>
        <w:t>213</w:t>
      </w:r>
      <w:r>
        <w:rPr>
          <w:rFonts w:eastAsia="仿宋_GB2312"/>
          <w:sz w:val="32"/>
          <w:szCs w:val="32"/>
        </w:rPr>
        <w:t>类）巩固脱贫衔接乡村振兴（</w:t>
      </w:r>
      <w:r>
        <w:rPr>
          <w:rFonts w:hint="eastAsia" w:eastAsia="仿宋_GB2312"/>
          <w:sz w:val="32"/>
          <w:szCs w:val="32"/>
        </w:rPr>
        <w:t>05</w:t>
      </w:r>
      <w:r>
        <w:rPr>
          <w:rFonts w:eastAsia="仿宋_GB2312"/>
          <w:sz w:val="32"/>
          <w:szCs w:val="32"/>
        </w:rPr>
        <w:t>款）其他巩固脱贫衔接乡村振兴支出（</w:t>
      </w:r>
      <w:r>
        <w:rPr>
          <w:rFonts w:hint="eastAsia" w:eastAsia="仿宋_GB2312"/>
          <w:sz w:val="32"/>
          <w:szCs w:val="32"/>
        </w:rPr>
        <w:t>99</w:t>
      </w:r>
      <w:r>
        <w:rPr>
          <w:rFonts w:eastAsia="仿宋_GB2312"/>
          <w:sz w:val="32"/>
          <w:szCs w:val="32"/>
        </w:rPr>
        <w:t>项）:支出决算为196万元，完成预算100%，决算数等于预算数。</w:t>
      </w:r>
    </w:p>
    <w:p>
      <w:pPr>
        <w:spacing w:line="600" w:lineRule="exact"/>
        <w:ind w:firstLine="640" w:firstLineChars="200"/>
        <w:rPr>
          <w:rFonts w:eastAsia="仿宋_GB2312"/>
          <w:sz w:val="32"/>
          <w:szCs w:val="32"/>
        </w:rPr>
      </w:pPr>
      <w:r>
        <w:rPr>
          <w:rFonts w:eastAsia="仿宋_GB2312"/>
          <w:sz w:val="32"/>
          <w:szCs w:val="32"/>
        </w:rPr>
        <w:t>16.住房保障支出（</w:t>
      </w:r>
      <w:r>
        <w:rPr>
          <w:rFonts w:hint="eastAsia" w:eastAsia="仿宋_GB2312"/>
          <w:sz w:val="32"/>
          <w:szCs w:val="32"/>
        </w:rPr>
        <w:t>221</w:t>
      </w:r>
      <w:r>
        <w:rPr>
          <w:rFonts w:eastAsia="仿宋_GB2312"/>
          <w:sz w:val="32"/>
          <w:szCs w:val="32"/>
        </w:rPr>
        <w:t>类）住房改革支出（</w:t>
      </w:r>
      <w:r>
        <w:rPr>
          <w:rFonts w:hint="eastAsia" w:eastAsia="仿宋_GB2312"/>
          <w:sz w:val="32"/>
          <w:szCs w:val="32"/>
        </w:rPr>
        <w:t>02</w:t>
      </w:r>
      <w:r>
        <w:rPr>
          <w:rFonts w:eastAsia="仿宋_GB2312"/>
          <w:sz w:val="32"/>
          <w:szCs w:val="32"/>
        </w:rPr>
        <w:t>款）住房公积金（</w:t>
      </w:r>
      <w:r>
        <w:rPr>
          <w:rFonts w:hint="eastAsia" w:eastAsia="仿宋_GB2312"/>
          <w:sz w:val="32"/>
          <w:szCs w:val="32"/>
        </w:rPr>
        <w:t>01</w:t>
      </w:r>
      <w:r>
        <w:rPr>
          <w:rFonts w:eastAsia="仿宋_GB2312"/>
          <w:sz w:val="32"/>
          <w:szCs w:val="32"/>
        </w:rPr>
        <w:t>项）:支出决算为33.01万元，完成预算100%，决算数等于预算数。</w:t>
      </w:r>
    </w:p>
    <w:p>
      <w:pPr>
        <w:tabs>
          <w:tab w:val="right" w:pos="8306"/>
        </w:tabs>
        <w:spacing w:line="600" w:lineRule="exact"/>
        <w:ind w:firstLine="640"/>
        <w:outlineLvl w:val="1"/>
        <w:rPr>
          <w:rStyle w:val="29"/>
          <w:rFonts w:ascii="Times New Roman" w:hAnsi="Times New Roman" w:cs="Times New Roman"/>
        </w:rPr>
      </w:pPr>
      <w:bookmarkStart w:id="53" w:name="_Toc15396608"/>
      <w:bookmarkStart w:id="54" w:name="_Toc100617280"/>
      <w:bookmarkStart w:id="55" w:name="_Toc15377214"/>
      <w:r>
        <w:rPr>
          <w:rFonts w:eastAsia="黑体"/>
          <w:sz w:val="32"/>
          <w:szCs w:val="32"/>
        </w:rPr>
        <w:t>六</w:t>
      </w:r>
      <w:r>
        <w:rPr>
          <w:rFonts w:eastAsia="黑体"/>
          <w:b/>
          <w:sz w:val="32"/>
          <w:szCs w:val="32"/>
        </w:rPr>
        <w:t>、一</w:t>
      </w:r>
      <w:r>
        <w:rPr>
          <w:rStyle w:val="29"/>
          <w:rFonts w:ascii="Times New Roman" w:hAnsi="Times New Roman" w:eastAsia="黑体" w:cs="Times New Roman"/>
          <w:b w:val="0"/>
        </w:rPr>
        <w:t>般公共预算财政拨款基本支出决算情况说明</w:t>
      </w:r>
      <w:bookmarkEnd w:id="53"/>
      <w:bookmarkEnd w:id="54"/>
      <w:bookmarkEnd w:id="55"/>
      <w:r>
        <w:rPr>
          <w:rStyle w:val="29"/>
          <w:rFonts w:ascii="Times New Roman" w:hAnsi="Times New Roman" w:eastAsia="黑体" w:cs="Times New Roman"/>
          <w:b w:val="0"/>
        </w:rPr>
        <w:tab/>
      </w:r>
    </w:p>
    <w:p>
      <w:pPr>
        <w:spacing w:line="600" w:lineRule="exact"/>
        <w:ind w:firstLine="640" w:firstLineChars="200"/>
        <w:rPr>
          <w:rFonts w:eastAsia="仿宋_GB2312"/>
          <w:sz w:val="32"/>
          <w:szCs w:val="32"/>
        </w:rPr>
      </w:pPr>
      <w:r>
        <w:rPr>
          <w:rFonts w:eastAsia="仿宋_GB2312"/>
          <w:sz w:val="32"/>
          <w:szCs w:val="32"/>
        </w:rPr>
        <w:t>2023年度一般公共预算财政拨款基本支出603.79万元，其中：</w:t>
      </w:r>
    </w:p>
    <w:p>
      <w:pPr>
        <w:spacing w:line="600" w:lineRule="exact"/>
        <w:ind w:firstLine="640" w:firstLineChars="200"/>
        <w:rPr>
          <w:rFonts w:eastAsia="仿宋_GB2312"/>
          <w:sz w:val="32"/>
          <w:szCs w:val="32"/>
        </w:rPr>
      </w:pPr>
      <w:r>
        <w:rPr>
          <w:rFonts w:eastAsia="仿宋_GB2312"/>
          <w:sz w:val="32"/>
          <w:szCs w:val="32"/>
        </w:rPr>
        <w:t>人员经费560.35万元，主要包括：基本工资、津贴补贴、奖金、绩效工资、机关事业单位基本养老保险缴费、职业年金缴费、职工基本医疗保险缴费、公务员医疗补助缴费、其他社会保障缴费、其他工资福利支出、抚恤金、生活补助、医疗费补助、奖励金、住房公积金、其他对个人和家庭的补助支出。</w:t>
      </w:r>
      <w:r>
        <w:rPr>
          <w:rFonts w:eastAsia="仿宋_GB2312"/>
          <w:sz w:val="32"/>
          <w:szCs w:val="32"/>
        </w:rPr>
        <w:br w:type="textWrapping"/>
      </w:r>
      <w:r>
        <w:rPr>
          <w:rFonts w:eastAsia="仿宋_GB2312"/>
          <w:sz w:val="32"/>
          <w:szCs w:val="32"/>
        </w:rPr>
        <w:t>　　公用经费43.44万元，主要包括：办公费、印刷费、手续费、水费、电费、邮电费、物业管理费、差旅费、维修（护）费、培训费、劳务费、工会经费、福利费、公务用车运行维护费、其他交通费、其他商品和服务支出。</w:t>
      </w:r>
    </w:p>
    <w:p>
      <w:pPr>
        <w:spacing w:line="600" w:lineRule="exact"/>
        <w:ind w:firstLine="640" w:firstLineChars="200"/>
        <w:outlineLvl w:val="1"/>
        <w:rPr>
          <w:rStyle w:val="29"/>
          <w:rFonts w:ascii="Times New Roman" w:hAnsi="Times New Roman" w:eastAsia="黑体" w:cs="Times New Roman"/>
          <w:b w:val="0"/>
        </w:rPr>
      </w:pPr>
      <w:bookmarkStart w:id="56" w:name="_Toc1261686613"/>
      <w:bookmarkStart w:id="57" w:name="_Toc15396609"/>
      <w:bookmarkStart w:id="58" w:name="_Toc15377215"/>
      <w:r>
        <w:rPr>
          <w:rFonts w:eastAsia="黑体"/>
          <w:sz w:val="32"/>
          <w:szCs w:val="32"/>
        </w:rPr>
        <w:t>七、</w:t>
      </w:r>
      <w:r>
        <w:rPr>
          <w:rStyle w:val="29"/>
          <w:rFonts w:ascii="Times New Roman" w:hAnsi="Times New Roman" w:eastAsia="黑体" w:cs="Times New Roman"/>
          <w:b w:val="0"/>
        </w:rPr>
        <w:t>财政拨款</w:t>
      </w:r>
      <w:r>
        <w:rPr>
          <w:rStyle w:val="29"/>
          <w:rFonts w:ascii="Times New Roman" w:hAnsi="Times New Roman" w:eastAsia="黑体" w:cs="Times New Roman"/>
        </w:rPr>
        <w:t>“</w:t>
      </w:r>
      <w:r>
        <w:rPr>
          <w:rStyle w:val="29"/>
          <w:rFonts w:ascii="Times New Roman" w:hAnsi="Times New Roman" w:eastAsia="黑体" w:cs="Times New Roman"/>
          <w:b w:val="0"/>
        </w:rPr>
        <w:t>三公”经费支出决算情况说明</w:t>
      </w:r>
      <w:bookmarkEnd w:id="56"/>
      <w:bookmarkEnd w:id="57"/>
      <w:bookmarkEnd w:id="58"/>
    </w:p>
    <w:p>
      <w:pPr>
        <w:spacing w:line="600" w:lineRule="exact"/>
        <w:ind w:firstLine="640" w:firstLineChars="200"/>
        <w:outlineLvl w:val="2"/>
        <w:rPr>
          <w:rFonts w:ascii="方正楷体_GBK" w:eastAsia="方正楷体_GBK"/>
          <w:sz w:val="32"/>
          <w:szCs w:val="32"/>
        </w:rPr>
      </w:pPr>
      <w:bookmarkStart w:id="59" w:name="_Toc15377216"/>
      <w:bookmarkStart w:id="60" w:name="_Toc28711643"/>
      <w:r>
        <w:rPr>
          <w:rFonts w:hint="eastAsia" w:ascii="方正楷体_GBK" w:eastAsia="方正楷体_GBK"/>
          <w:sz w:val="32"/>
          <w:szCs w:val="32"/>
        </w:rPr>
        <w:t>（一）“三公”经费财政拨款支出决算总体情况说明</w:t>
      </w:r>
      <w:bookmarkEnd w:id="59"/>
      <w:r>
        <w:rPr>
          <w:rFonts w:hint="eastAsia" w:ascii="方正楷体_GBK" w:eastAsia="方正楷体_GBK"/>
          <w:sz w:val="32"/>
          <w:szCs w:val="32"/>
        </w:rPr>
        <w:t>。</w:t>
      </w:r>
      <w:bookmarkEnd w:id="60"/>
    </w:p>
    <w:p>
      <w:pPr>
        <w:spacing w:line="600" w:lineRule="exact"/>
        <w:ind w:firstLine="640" w:firstLineChars="200"/>
        <w:rPr>
          <w:rFonts w:eastAsia="仿宋_GB2312"/>
          <w:sz w:val="32"/>
          <w:szCs w:val="32"/>
        </w:rPr>
      </w:pPr>
      <w:r>
        <w:rPr>
          <w:rFonts w:eastAsia="仿宋_GB2312"/>
          <w:sz w:val="32"/>
          <w:szCs w:val="32"/>
        </w:rPr>
        <w:t>2023年度“三公”经费财政拨款支出决算为0.8万元，完成预算100%，较上年度减少0.83万元，下降45.36%。决算数持平预算数较去年下降的主要原因是因为贯彻落实中央八项规定，严格控制接待费用，加强车辆管理，努力降低车辆耗费，合理安排公务出车。</w:t>
      </w:r>
    </w:p>
    <w:p>
      <w:pPr>
        <w:spacing w:line="600" w:lineRule="exact"/>
        <w:ind w:firstLine="640" w:firstLineChars="200"/>
        <w:outlineLvl w:val="2"/>
        <w:rPr>
          <w:rFonts w:ascii="方正楷体_GBK" w:eastAsia="方正楷体_GBK"/>
          <w:sz w:val="32"/>
          <w:szCs w:val="32"/>
        </w:rPr>
      </w:pPr>
      <w:bookmarkStart w:id="61" w:name="_Toc15377217"/>
      <w:bookmarkStart w:id="62" w:name="_Toc1452525236"/>
      <w:r>
        <w:rPr>
          <w:rFonts w:hint="eastAsia" w:ascii="方正楷体_GBK" w:eastAsia="方正楷体_GBK"/>
          <w:sz w:val="32"/>
          <w:szCs w:val="32"/>
        </w:rPr>
        <w:t>（二）“三公”经费财政拨款支出决算具体情况说明</w:t>
      </w:r>
      <w:bookmarkEnd w:id="61"/>
      <w:r>
        <w:rPr>
          <w:rFonts w:hint="eastAsia" w:ascii="方正楷体_GBK" w:eastAsia="方正楷体_GBK"/>
          <w:sz w:val="32"/>
          <w:szCs w:val="32"/>
        </w:rPr>
        <w:t>。</w:t>
      </w:r>
      <w:bookmarkEnd w:id="62"/>
    </w:p>
    <w:p>
      <w:pPr>
        <w:spacing w:line="600" w:lineRule="exact"/>
        <w:ind w:firstLine="640" w:firstLineChars="200"/>
        <w:rPr>
          <w:rFonts w:eastAsia="仿宋_GB2312"/>
          <w:sz w:val="32"/>
          <w:szCs w:val="32"/>
        </w:rPr>
      </w:pPr>
      <w:r>
        <w:rPr>
          <w:rFonts w:eastAsia="仿宋_GB2312"/>
          <w:sz w:val="32"/>
          <w:szCs w:val="32"/>
        </w:rPr>
        <w:t>2023年度“三公”经费财政拨款支出决算中，因公出国（境）费支出决算0万元，占0%；公务用车购置及运行维护费支出决算0.8万元，占100%；公务接待费支出决算0万元，占0%。具体情况如下：</w:t>
      </w:r>
    </w:p>
    <w:p>
      <w:pPr>
        <w:pStyle w:val="2"/>
        <w:rPr>
          <w:rFonts w:eastAsia="仿宋"/>
          <w:sz w:val="32"/>
          <w:szCs w:val="32"/>
        </w:rPr>
      </w:pPr>
    </w:p>
    <w:p>
      <w:r>
        <w:drawing>
          <wp:anchor distT="0" distB="0" distL="0" distR="0" simplePos="0" relativeHeight="251662336" behindDoc="0" locked="0" layoutInCell="1" allowOverlap="1">
            <wp:simplePos x="0" y="0"/>
            <wp:positionH relativeFrom="column">
              <wp:posOffset>-33655</wp:posOffset>
            </wp:positionH>
            <wp:positionV relativeFrom="paragraph">
              <wp:posOffset>-45085</wp:posOffset>
            </wp:positionV>
            <wp:extent cx="5274310" cy="2784475"/>
            <wp:effectExtent l="4445" t="4445" r="17145" b="11430"/>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spacing w:line="600" w:lineRule="exact"/>
        <w:ind w:firstLine="640"/>
        <w:rPr>
          <w:rFonts w:eastAsia="仿宋"/>
          <w:sz w:val="32"/>
          <w:szCs w:val="32"/>
        </w:rPr>
      </w:pPr>
      <w:r>
        <w:rPr>
          <w:rFonts w:eastAsia="仿宋"/>
          <w:sz w:val="32"/>
          <w:szCs w:val="32"/>
        </w:rPr>
        <w:t>（图7：“三公”经费财政拨款支出结构）（饼状图）</w:t>
      </w:r>
    </w:p>
    <w:p>
      <w:pPr>
        <w:spacing w:line="600" w:lineRule="exact"/>
        <w:ind w:firstLine="640"/>
        <w:rPr>
          <w:rFonts w:eastAsia="仿宋_GB2312"/>
          <w:sz w:val="32"/>
          <w:szCs w:val="32"/>
        </w:rPr>
      </w:pPr>
      <w:bookmarkStart w:id="63" w:name="_Toc15377218"/>
      <w:bookmarkStart w:id="64" w:name="_Toc15396610"/>
      <w:r>
        <w:rPr>
          <w:rFonts w:eastAsia="仿宋_GB2312"/>
          <w:sz w:val="32"/>
          <w:szCs w:val="32"/>
        </w:rPr>
        <w:t>1.因公出国（境）经费支出0万元，完成预算0%。全年安排因公出国（境）团组0次，出国（境）0人。</w:t>
      </w:r>
    </w:p>
    <w:p>
      <w:pPr>
        <w:spacing w:line="600" w:lineRule="exact"/>
        <w:ind w:firstLine="640"/>
        <w:rPr>
          <w:rFonts w:eastAsia="仿宋_GB2312"/>
          <w:sz w:val="32"/>
          <w:szCs w:val="32"/>
        </w:rPr>
      </w:pPr>
      <w:r>
        <w:rPr>
          <w:rFonts w:eastAsia="仿宋_GB2312"/>
          <w:sz w:val="32"/>
          <w:szCs w:val="32"/>
        </w:rPr>
        <w:t>2.公务用车购置及运行维护费支出0.8万元,完成预算100%。公务用车购置及运行维护费支出决算比2022年度减少0.7万元，下降46.67%。主要原因是主要原因是疫情防控任务减少，用车减少，运行维护费降低。</w:t>
      </w:r>
    </w:p>
    <w:p>
      <w:pPr>
        <w:spacing w:line="600" w:lineRule="exact"/>
        <w:ind w:firstLine="640" w:firstLineChars="200"/>
        <w:rPr>
          <w:rFonts w:eastAsia="仿宋_GB2312"/>
          <w:sz w:val="32"/>
          <w:szCs w:val="32"/>
        </w:rPr>
      </w:pPr>
      <w:r>
        <w:rPr>
          <w:rFonts w:eastAsia="仿宋_GB2312"/>
          <w:sz w:val="32"/>
          <w:szCs w:val="32"/>
        </w:rPr>
        <w:t>其中：公务用车购置支出0万元。全年按规定更新购置公务用车0辆，截至2023年12月31日，单位共有公务用车2辆，其中：</w:t>
      </w:r>
      <w:r>
        <w:rPr>
          <w:rFonts w:hint="eastAsia" w:eastAsia="仿宋_GB2312"/>
          <w:sz w:val="32"/>
          <w:szCs w:val="32"/>
        </w:rPr>
        <w:t>救护车1</w:t>
      </w:r>
      <w:r>
        <w:rPr>
          <w:rFonts w:eastAsia="仿宋_GB2312"/>
          <w:sz w:val="32"/>
          <w:szCs w:val="32"/>
        </w:rPr>
        <w:t>辆</w:t>
      </w:r>
      <w:r>
        <w:rPr>
          <w:rFonts w:hint="eastAsia" w:eastAsia="仿宋_GB2312"/>
          <w:sz w:val="32"/>
          <w:szCs w:val="32"/>
        </w:rPr>
        <w:t>（计划生育服务车）</w:t>
      </w:r>
      <w:r>
        <w:rPr>
          <w:rFonts w:eastAsia="仿宋_GB2312"/>
          <w:sz w:val="32"/>
          <w:szCs w:val="32"/>
        </w:rPr>
        <w:t>、</w:t>
      </w:r>
      <w:r>
        <w:rPr>
          <w:rFonts w:hint="eastAsia" w:eastAsia="仿宋_GB2312"/>
          <w:sz w:val="32"/>
          <w:szCs w:val="32"/>
        </w:rPr>
        <w:t>其他专用车1</w:t>
      </w:r>
      <w:r>
        <w:rPr>
          <w:rFonts w:eastAsia="仿宋_GB2312"/>
          <w:sz w:val="32"/>
          <w:szCs w:val="32"/>
        </w:rPr>
        <w:t>辆</w:t>
      </w:r>
      <w:r>
        <w:rPr>
          <w:rFonts w:hint="eastAsia" w:eastAsia="仿宋_GB2312"/>
          <w:sz w:val="32"/>
          <w:szCs w:val="32"/>
        </w:rPr>
        <w:t>（服务车）</w:t>
      </w:r>
      <w:r>
        <w:rPr>
          <w:rFonts w:eastAsia="仿宋_GB2312"/>
          <w:sz w:val="32"/>
          <w:szCs w:val="32"/>
        </w:rPr>
        <w:t>。</w:t>
      </w:r>
    </w:p>
    <w:p>
      <w:pPr>
        <w:spacing w:line="600" w:lineRule="exact"/>
        <w:ind w:firstLine="640"/>
        <w:rPr>
          <w:rFonts w:eastAsia="仿宋_GB2312"/>
          <w:sz w:val="32"/>
          <w:szCs w:val="32"/>
        </w:rPr>
      </w:pPr>
      <w:r>
        <w:rPr>
          <w:rFonts w:eastAsia="仿宋_GB2312"/>
          <w:sz w:val="32"/>
          <w:szCs w:val="32"/>
        </w:rPr>
        <w:t>公务用车运行维护费支出0.8万元。主要用于开展日常工作、保障机关运转等所需的公务用车燃料费、维修费、过路过桥费、保险费等支出。</w:t>
      </w:r>
    </w:p>
    <w:p>
      <w:pPr>
        <w:spacing w:line="600" w:lineRule="exact"/>
        <w:ind w:firstLine="640"/>
        <w:rPr>
          <w:rFonts w:eastAsia="仿宋_GB2312"/>
          <w:sz w:val="32"/>
          <w:szCs w:val="32"/>
        </w:rPr>
      </w:pPr>
      <w:r>
        <w:rPr>
          <w:rFonts w:eastAsia="仿宋_GB2312"/>
          <w:sz w:val="32"/>
          <w:szCs w:val="32"/>
        </w:rPr>
        <w:t>3.公务接待费支出0万元，完成预算0%。公务接待费支出决算比2022年度减少0.13万元，下降100%。主要原因是因为贯彻落实中央八项规定，严格控制接待费用。其中：国内公务接待支出0万元，2023年无公务接待。外事接待支出0万元，2023年无外事接待。</w:t>
      </w:r>
    </w:p>
    <w:p>
      <w:pPr>
        <w:spacing w:line="600" w:lineRule="exact"/>
        <w:ind w:firstLine="640" w:firstLineChars="200"/>
        <w:outlineLvl w:val="1"/>
        <w:rPr>
          <w:rStyle w:val="29"/>
          <w:rFonts w:ascii="Times New Roman" w:hAnsi="Times New Roman" w:eastAsia="黑体" w:cs="Times New Roman"/>
        </w:rPr>
      </w:pPr>
      <w:bookmarkStart w:id="65" w:name="_Toc1821938029"/>
      <w:r>
        <w:rPr>
          <w:rFonts w:eastAsia="黑体"/>
          <w:sz w:val="32"/>
          <w:szCs w:val="32"/>
        </w:rPr>
        <w:t>八、</w:t>
      </w:r>
      <w:r>
        <w:rPr>
          <w:rStyle w:val="29"/>
          <w:rFonts w:ascii="Times New Roman" w:hAnsi="Times New Roman" w:eastAsia="黑体" w:cs="Times New Roman"/>
          <w:b w:val="0"/>
        </w:rPr>
        <w:t>政府性基金预算支出决算情况说明</w:t>
      </w:r>
      <w:bookmarkEnd w:id="63"/>
      <w:bookmarkEnd w:id="64"/>
      <w:bookmarkEnd w:id="65"/>
    </w:p>
    <w:p>
      <w:pPr>
        <w:spacing w:line="600" w:lineRule="exact"/>
        <w:ind w:firstLine="640"/>
        <w:rPr>
          <w:rFonts w:eastAsia="仿宋_GB2312"/>
          <w:sz w:val="32"/>
          <w:szCs w:val="32"/>
        </w:rPr>
      </w:pPr>
      <w:r>
        <w:rPr>
          <w:rFonts w:eastAsia="仿宋_GB2312"/>
          <w:sz w:val="32"/>
          <w:szCs w:val="32"/>
        </w:rPr>
        <w:t>2023年度政府性基金预算财政拨款支出5000</w:t>
      </w:r>
      <w:r>
        <w:rPr>
          <w:rFonts w:hint="eastAsia" w:eastAsia="仿宋_GB2312"/>
          <w:sz w:val="32"/>
          <w:szCs w:val="32"/>
        </w:rPr>
        <w:t>.00</w:t>
      </w:r>
      <w:r>
        <w:rPr>
          <w:rFonts w:eastAsia="仿宋_GB2312"/>
          <w:sz w:val="32"/>
          <w:szCs w:val="32"/>
        </w:rPr>
        <w:t>万元。其中</w:t>
      </w:r>
      <w:r>
        <w:rPr>
          <w:rFonts w:hint="eastAsia" w:eastAsia="仿宋_GB2312"/>
          <w:sz w:val="32"/>
          <w:szCs w:val="32"/>
        </w:rPr>
        <w:t>：</w:t>
      </w:r>
    </w:p>
    <w:p>
      <w:pPr>
        <w:spacing w:line="600" w:lineRule="exact"/>
        <w:ind w:firstLine="640"/>
        <w:rPr>
          <w:rFonts w:eastAsia="仿宋_GB2312"/>
          <w:sz w:val="32"/>
          <w:szCs w:val="32"/>
        </w:rPr>
      </w:pPr>
      <w:r>
        <w:rPr>
          <w:rFonts w:hint="eastAsia" w:eastAsia="仿宋_GB2312"/>
          <w:sz w:val="32"/>
          <w:szCs w:val="32"/>
        </w:rPr>
        <w:t>其他支出（229类）其他政府性基金及对应专项债务收入安排的支出（22904款）其他地方自行试点项目收益专项债券收入安排的支出（2290402项）5000.00万元，属于县财政下达新增专项债券用于盐边县第二人民医院建设项目资金。</w:t>
      </w:r>
    </w:p>
    <w:p>
      <w:pPr>
        <w:numPr>
          <w:ilvl w:val="0"/>
          <w:numId w:val="2"/>
        </w:numPr>
        <w:spacing w:line="600" w:lineRule="exact"/>
        <w:ind w:firstLine="640"/>
        <w:outlineLvl w:val="1"/>
        <w:rPr>
          <w:rStyle w:val="29"/>
          <w:rFonts w:ascii="Times New Roman" w:hAnsi="Times New Roman" w:eastAsia="黑体" w:cs="Times New Roman"/>
          <w:b w:val="0"/>
        </w:rPr>
      </w:pPr>
      <w:bookmarkStart w:id="66" w:name="_Toc1969080751"/>
      <w:bookmarkStart w:id="67" w:name="_Toc15377219"/>
      <w:bookmarkStart w:id="68" w:name="_Toc15396611"/>
      <w:r>
        <w:rPr>
          <w:rStyle w:val="29"/>
          <w:rFonts w:ascii="Times New Roman" w:hAnsi="Times New Roman" w:eastAsia="黑体" w:cs="Times New Roman"/>
          <w:b w:val="0"/>
        </w:rPr>
        <w:t>国有资本经营预算支出决算情况说明</w:t>
      </w:r>
      <w:bookmarkEnd w:id="66"/>
      <w:bookmarkEnd w:id="67"/>
      <w:bookmarkEnd w:id="68"/>
    </w:p>
    <w:p>
      <w:pPr>
        <w:spacing w:line="600" w:lineRule="exact"/>
        <w:ind w:firstLine="640"/>
        <w:rPr>
          <w:rFonts w:eastAsia="仿宋_GB2312"/>
          <w:sz w:val="32"/>
          <w:szCs w:val="32"/>
        </w:rPr>
      </w:pPr>
      <w:r>
        <w:rPr>
          <w:rFonts w:eastAsia="仿宋_GB2312"/>
          <w:sz w:val="32"/>
          <w:szCs w:val="32"/>
        </w:rPr>
        <w:t>2023年度国有资本经营预算财政拨款支出0万元。</w:t>
      </w:r>
    </w:p>
    <w:p>
      <w:pPr>
        <w:numPr>
          <w:ilvl w:val="0"/>
          <w:numId w:val="2"/>
        </w:numPr>
        <w:tabs>
          <w:tab w:val="left" w:pos="732"/>
        </w:tabs>
        <w:spacing w:line="600" w:lineRule="exact"/>
        <w:ind w:firstLine="640"/>
        <w:outlineLvl w:val="1"/>
        <w:rPr>
          <w:rStyle w:val="29"/>
          <w:rFonts w:ascii="Times New Roman" w:hAnsi="Times New Roman" w:eastAsia="黑体" w:cs="Times New Roman"/>
          <w:b w:val="0"/>
        </w:rPr>
      </w:pPr>
      <w:bookmarkStart w:id="69" w:name="_Toc15396612"/>
      <w:bookmarkStart w:id="70" w:name="_Toc15377221"/>
      <w:bookmarkStart w:id="71" w:name="_Toc1646065242"/>
      <w:r>
        <w:rPr>
          <w:rStyle w:val="29"/>
          <w:rFonts w:ascii="Times New Roman" w:hAnsi="Times New Roman" w:eastAsia="黑体" w:cs="Times New Roman"/>
          <w:b w:val="0"/>
        </w:rPr>
        <w:t>其他重要事项的情况说明</w:t>
      </w:r>
      <w:bookmarkEnd w:id="69"/>
      <w:bookmarkEnd w:id="70"/>
      <w:bookmarkEnd w:id="71"/>
    </w:p>
    <w:p>
      <w:pPr>
        <w:spacing w:line="600" w:lineRule="exact"/>
        <w:ind w:firstLine="640" w:firstLineChars="200"/>
        <w:outlineLvl w:val="2"/>
        <w:rPr>
          <w:rFonts w:ascii="方正楷体_GBK" w:eastAsia="方正楷体_GBK"/>
          <w:sz w:val="32"/>
          <w:szCs w:val="32"/>
        </w:rPr>
      </w:pPr>
      <w:bookmarkStart w:id="72" w:name="_Toc15377222"/>
      <w:bookmarkStart w:id="73" w:name="_Toc458299261"/>
      <w:r>
        <w:rPr>
          <w:rFonts w:hint="eastAsia" w:ascii="方正楷体_GBK" w:eastAsia="方正楷体_GBK"/>
          <w:sz w:val="32"/>
          <w:szCs w:val="32"/>
        </w:rPr>
        <w:t>（一）机关运行经费支出情况</w:t>
      </w:r>
      <w:bookmarkEnd w:id="72"/>
      <w:r>
        <w:rPr>
          <w:rFonts w:hint="eastAsia" w:ascii="方正楷体_GBK" w:eastAsia="方正楷体_GBK"/>
          <w:sz w:val="32"/>
          <w:szCs w:val="32"/>
        </w:rPr>
        <w:t>。</w:t>
      </w:r>
      <w:bookmarkEnd w:id="73"/>
    </w:p>
    <w:p>
      <w:pPr>
        <w:spacing w:line="600" w:lineRule="exact"/>
        <w:ind w:firstLine="640"/>
        <w:rPr>
          <w:rFonts w:eastAsia="仿宋_GB2312"/>
          <w:sz w:val="32"/>
          <w:szCs w:val="32"/>
        </w:rPr>
      </w:pPr>
      <w:r>
        <w:rPr>
          <w:rFonts w:eastAsia="仿宋_GB2312"/>
          <w:sz w:val="32"/>
          <w:szCs w:val="32"/>
        </w:rPr>
        <w:t>2023年度，盐边县卫生健康局(本级）机关运行经费支出43.44万元，比2022年度增加4.38万元，增长10.08%。主要原因是2023年增加了一个事业单位（盐边县基层卫生发展促进中心），增加了该单位公用经费。</w:t>
      </w:r>
    </w:p>
    <w:p>
      <w:pPr>
        <w:spacing w:line="600" w:lineRule="exact"/>
        <w:ind w:firstLine="640" w:firstLineChars="200"/>
        <w:outlineLvl w:val="2"/>
        <w:rPr>
          <w:rFonts w:ascii="方正楷体_GBK" w:eastAsia="方正楷体_GBK"/>
          <w:sz w:val="32"/>
          <w:szCs w:val="32"/>
        </w:rPr>
      </w:pPr>
      <w:bookmarkStart w:id="74" w:name="_Toc15377223"/>
      <w:bookmarkStart w:id="75" w:name="_Toc2026933579"/>
      <w:r>
        <w:rPr>
          <w:rFonts w:hint="eastAsia" w:ascii="方正楷体_GBK" w:eastAsia="方正楷体_GBK"/>
          <w:sz w:val="32"/>
          <w:szCs w:val="32"/>
        </w:rPr>
        <w:t>（二）政府采购支出情况</w:t>
      </w:r>
      <w:bookmarkEnd w:id="74"/>
      <w:r>
        <w:rPr>
          <w:rFonts w:hint="eastAsia" w:ascii="方正楷体_GBK" w:eastAsia="方正楷体_GBK"/>
          <w:sz w:val="32"/>
          <w:szCs w:val="32"/>
        </w:rPr>
        <w:t>。</w:t>
      </w:r>
      <w:bookmarkEnd w:id="75"/>
    </w:p>
    <w:p>
      <w:pPr>
        <w:spacing w:line="600" w:lineRule="exact"/>
        <w:ind w:firstLine="640" w:firstLineChars="200"/>
        <w:rPr>
          <w:rFonts w:eastAsia="仿宋_GB2312"/>
          <w:sz w:val="32"/>
          <w:szCs w:val="32"/>
        </w:rPr>
      </w:pPr>
      <w:r>
        <w:rPr>
          <w:rFonts w:eastAsia="仿宋_GB2312"/>
          <w:sz w:val="32"/>
          <w:szCs w:val="32"/>
        </w:rPr>
        <w:t>2023年度，盐边县卫生健康局(本级）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spacing w:line="600" w:lineRule="exact"/>
        <w:ind w:firstLine="640" w:firstLineChars="200"/>
        <w:outlineLvl w:val="2"/>
        <w:rPr>
          <w:rFonts w:ascii="方正楷体_GBK" w:eastAsia="方正楷体_GBK"/>
          <w:sz w:val="32"/>
          <w:szCs w:val="32"/>
        </w:rPr>
      </w:pPr>
      <w:bookmarkStart w:id="76" w:name="_Toc15377224"/>
      <w:bookmarkStart w:id="77" w:name="_Toc284392279"/>
      <w:r>
        <w:rPr>
          <w:rFonts w:hint="eastAsia" w:ascii="方正楷体_GBK" w:eastAsia="方正楷体_GBK"/>
          <w:sz w:val="32"/>
          <w:szCs w:val="32"/>
        </w:rPr>
        <w:t>（三）国有资产占有使用情况</w:t>
      </w:r>
      <w:bookmarkEnd w:id="76"/>
      <w:r>
        <w:rPr>
          <w:rFonts w:hint="eastAsia" w:ascii="方正楷体_GBK" w:eastAsia="方正楷体_GBK"/>
          <w:sz w:val="32"/>
          <w:szCs w:val="32"/>
        </w:rPr>
        <w:t>。</w:t>
      </w:r>
      <w:bookmarkEnd w:id="77"/>
    </w:p>
    <w:p>
      <w:pPr>
        <w:autoSpaceDE w:val="0"/>
        <w:autoSpaceDN w:val="0"/>
        <w:adjustRightInd w:val="0"/>
        <w:spacing w:line="600" w:lineRule="exact"/>
        <w:ind w:firstLine="640" w:firstLineChars="200"/>
        <w:jc w:val="left"/>
        <w:rPr>
          <w:rFonts w:eastAsia="仿宋_GB2312"/>
          <w:sz w:val="32"/>
          <w:szCs w:val="32"/>
        </w:rPr>
      </w:pPr>
      <w:r>
        <w:rPr>
          <w:rFonts w:eastAsia="仿宋_GB2312"/>
          <w:sz w:val="32"/>
          <w:szCs w:val="32"/>
        </w:rPr>
        <w:t>截至2023年12月31日，盐边县卫生健康局(本级）共有车辆2辆，其中：主要领导干部用车0辆、机要通信用车0辆、应急保障用车0辆、其他用车2辆，其他用车主要是用于日常工作公务用车及原计生局未报废的其他计划生育服务用车。单价100万元以上设备（不含车辆）0台（套）。</w:t>
      </w:r>
    </w:p>
    <w:p>
      <w:pPr>
        <w:spacing w:line="600" w:lineRule="exact"/>
        <w:ind w:firstLine="640" w:firstLineChars="200"/>
        <w:outlineLvl w:val="2"/>
        <w:rPr>
          <w:rFonts w:ascii="方正楷体_GBK" w:eastAsia="方正楷体_GBK"/>
          <w:sz w:val="32"/>
          <w:szCs w:val="32"/>
        </w:rPr>
      </w:pPr>
      <w:bookmarkStart w:id="78" w:name="_Toc2021276990"/>
      <w:r>
        <w:rPr>
          <w:rFonts w:hint="eastAsia" w:ascii="方正楷体_GBK" w:eastAsia="方正楷体_GBK"/>
          <w:sz w:val="32"/>
          <w:szCs w:val="32"/>
        </w:rPr>
        <w:t>（四）预算绩效管理情况</w:t>
      </w:r>
      <w:bookmarkEnd w:id="78"/>
    </w:p>
    <w:p>
      <w:pPr>
        <w:spacing w:line="600" w:lineRule="exact"/>
        <w:ind w:firstLine="640" w:firstLineChars="200"/>
        <w:rPr>
          <w:rFonts w:eastAsia="仿宋_GB2312"/>
          <w:sz w:val="32"/>
          <w:szCs w:val="32"/>
        </w:rPr>
      </w:pPr>
      <w:r>
        <w:rPr>
          <w:rFonts w:eastAsia="仿宋_GB2312"/>
          <w:sz w:val="32"/>
          <w:szCs w:val="32"/>
        </w:rPr>
        <w:t>根据预算绩效管理要求，本单位在2023年度预算编制阶段，组织对中药材产业发展规划</w:t>
      </w:r>
      <w:r>
        <w:rPr>
          <w:rFonts w:hint="eastAsia" w:eastAsia="仿宋_GB2312"/>
          <w:sz w:val="32"/>
          <w:szCs w:val="32"/>
        </w:rPr>
        <w:t>、</w:t>
      </w:r>
      <w:r>
        <w:rPr>
          <w:rFonts w:eastAsia="仿宋_GB2312"/>
          <w:sz w:val="32"/>
          <w:szCs w:val="32"/>
        </w:rPr>
        <w:t>独生子女父母奖励金</w:t>
      </w:r>
      <w:r>
        <w:rPr>
          <w:rFonts w:hint="eastAsia" w:eastAsia="仿宋_GB2312"/>
          <w:sz w:val="32"/>
          <w:szCs w:val="32"/>
        </w:rPr>
        <w:t>、</w:t>
      </w:r>
      <w:r>
        <w:rPr>
          <w:rFonts w:eastAsia="仿宋_GB2312"/>
          <w:sz w:val="32"/>
          <w:szCs w:val="32"/>
        </w:rPr>
        <w:t>医疗机构国家基本公共卫生服务项目县级配套经费等</w:t>
      </w:r>
      <w:r>
        <w:rPr>
          <w:rFonts w:hint="eastAsia" w:eastAsia="仿宋_GB2312"/>
          <w:sz w:val="32"/>
          <w:szCs w:val="32"/>
          <w:lang w:val="en-US" w:eastAsia="zh-CN"/>
        </w:rPr>
        <w:t>42</w:t>
      </w:r>
      <w:r>
        <w:rPr>
          <w:rFonts w:eastAsia="仿宋_GB2312"/>
          <w:sz w:val="32"/>
          <w:szCs w:val="32"/>
        </w:rPr>
        <w:t>个项目开展了预算事前绩效评估，对</w:t>
      </w:r>
      <w:r>
        <w:rPr>
          <w:rFonts w:hint="eastAsia" w:eastAsia="仿宋_GB2312"/>
          <w:sz w:val="32"/>
          <w:szCs w:val="32"/>
          <w:lang w:val="en-US" w:eastAsia="zh-CN"/>
        </w:rPr>
        <w:t>42</w:t>
      </w:r>
      <w:r>
        <w:rPr>
          <w:rFonts w:eastAsia="仿宋_GB2312"/>
          <w:sz w:val="32"/>
          <w:szCs w:val="32"/>
        </w:rPr>
        <w:t>个项目编制了绩效目标，预算执行过程中，选取</w:t>
      </w:r>
      <w:r>
        <w:rPr>
          <w:rFonts w:hint="eastAsia" w:eastAsia="仿宋_GB2312"/>
          <w:color w:val="auto"/>
          <w:sz w:val="32"/>
          <w:szCs w:val="32"/>
          <w:lang w:val="en-US" w:eastAsia="zh-CN"/>
        </w:rPr>
        <w:t>42</w:t>
      </w:r>
      <w:r>
        <w:rPr>
          <w:rFonts w:eastAsia="仿宋_GB2312"/>
          <w:sz w:val="32"/>
          <w:szCs w:val="32"/>
        </w:rPr>
        <w:t>个项目开展绩效监控，组织对</w:t>
      </w:r>
      <w:r>
        <w:rPr>
          <w:rFonts w:hint="eastAsia" w:eastAsia="仿宋_GB2312"/>
          <w:color w:val="auto"/>
          <w:sz w:val="32"/>
          <w:szCs w:val="32"/>
          <w:lang w:val="en-US" w:eastAsia="zh-CN"/>
        </w:rPr>
        <w:t>42</w:t>
      </w:r>
      <w:r>
        <w:rPr>
          <w:rFonts w:eastAsia="仿宋_GB2312"/>
          <w:sz w:val="32"/>
          <w:szCs w:val="32"/>
        </w:rPr>
        <w:t>个项目开展绩效自评，绩效自评表详见第四部分附件。</w:t>
      </w:r>
    </w:p>
    <w:p>
      <w:pPr>
        <w:spacing w:line="600" w:lineRule="exact"/>
        <w:ind w:firstLine="640" w:firstLineChars="200"/>
        <w:rPr>
          <w:rFonts w:eastAsia="仿宋_GB2312"/>
          <w:sz w:val="32"/>
          <w:szCs w:val="32"/>
        </w:rPr>
      </w:pPr>
      <w:r>
        <w:rPr>
          <w:rFonts w:eastAsia="仿宋_GB2312"/>
          <w:sz w:val="32"/>
          <w:szCs w:val="32"/>
        </w:rPr>
        <w:br w:type="page"/>
      </w:r>
    </w:p>
    <w:p>
      <w:pPr>
        <w:numPr>
          <w:ilvl w:val="0"/>
          <w:numId w:val="3"/>
        </w:numPr>
        <w:spacing w:line="600" w:lineRule="exact"/>
        <w:ind w:firstLine="660" w:firstLineChars="150"/>
        <w:jc w:val="center"/>
        <w:outlineLvl w:val="0"/>
        <w:rPr>
          <w:rStyle w:val="28"/>
          <w:rFonts w:eastAsia="黑体"/>
          <w:b w:val="0"/>
        </w:rPr>
      </w:pPr>
      <w:bookmarkStart w:id="79" w:name="_Toc15377225"/>
      <w:bookmarkStart w:id="80" w:name="_Toc1717558562"/>
      <w:bookmarkStart w:id="81" w:name="_Toc15396613"/>
      <w:r>
        <w:rPr>
          <w:rFonts w:eastAsia="黑体"/>
          <w:sz w:val="44"/>
          <w:szCs w:val="44"/>
        </w:rPr>
        <w:t>名</w:t>
      </w:r>
      <w:r>
        <w:rPr>
          <w:rStyle w:val="28"/>
          <w:rFonts w:eastAsia="黑体"/>
          <w:b w:val="0"/>
        </w:rPr>
        <w:t>词解释</w:t>
      </w:r>
      <w:bookmarkEnd w:id="79"/>
      <w:bookmarkEnd w:id="80"/>
      <w:bookmarkEnd w:id="81"/>
    </w:p>
    <w:p>
      <w:pPr>
        <w:spacing w:line="600" w:lineRule="exact"/>
        <w:jc w:val="left"/>
        <w:rPr>
          <w:b/>
          <w:sz w:val="44"/>
          <w:szCs w:val="44"/>
        </w:rPr>
      </w:pPr>
    </w:p>
    <w:p>
      <w:pPr>
        <w:pStyle w:val="26"/>
        <w:spacing w:line="560" w:lineRule="exact"/>
        <w:ind w:firstLine="640" w:firstLineChars="200"/>
        <w:outlineLvl w:val="1"/>
        <w:rPr>
          <w:rFonts w:ascii="Times New Roman" w:hAnsi="Times New Roman" w:eastAsia="仿宋_GB2312" w:cs="Times New Roman"/>
          <w:color w:val="auto"/>
          <w:kern w:val="2"/>
          <w:sz w:val="32"/>
          <w:szCs w:val="32"/>
        </w:rPr>
      </w:pPr>
      <w:bookmarkStart w:id="82" w:name="_Toc1757060343"/>
      <w:bookmarkStart w:id="83" w:name="_Toc22848"/>
      <w:bookmarkStart w:id="84" w:name="_Toc2293"/>
      <w:r>
        <w:rPr>
          <w:rFonts w:ascii="Times New Roman" w:hAnsi="Times New Roman" w:eastAsia="仿宋_GB2312" w:cs="Times New Roman"/>
          <w:color w:val="auto"/>
          <w:kern w:val="2"/>
          <w:sz w:val="32"/>
          <w:szCs w:val="32"/>
        </w:rPr>
        <w:t>1.财政拨款收入：单位从同级财政部门取得的财政预算资金。</w:t>
      </w:r>
      <w:bookmarkEnd w:id="82"/>
      <w:bookmarkEnd w:id="83"/>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85" w:name="_Toc89776152"/>
      <w:r>
        <w:rPr>
          <w:rFonts w:eastAsia="仿宋_GB2312"/>
          <w:sz w:val="32"/>
          <w:szCs w:val="32"/>
        </w:rPr>
        <w:t>2.年初结转和结余：指以前年度尚未完成、结转到本年按有关规定继续使用的资金。</w:t>
      </w:r>
      <w:bookmarkEnd w:id="84"/>
      <w:bookmarkEnd w:id="85"/>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rPr>
          <w:rFonts w:eastAsia="仿宋_GB2312"/>
          <w:sz w:val="32"/>
          <w:szCs w:val="32"/>
        </w:rPr>
      </w:pPr>
      <w:r>
        <w:rPr>
          <w:rFonts w:eastAsia="仿宋_GB2312"/>
          <w:sz w:val="32"/>
          <w:szCs w:val="32"/>
        </w:rPr>
        <w:t>3.社会保障和就业支出（208类）行政事业单位养老支出（05款）行政单位离退休（01项）：反映行政单位（包括实行公务员管理的事业单位）开支的离退休经费。</w:t>
      </w:r>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rPr>
          <w:rFonts w:eastAsia="仿宋_GB2312"/>
          <w:sz w:val="32"/>
          <w:szCs w:val="32"/>
        </w:rPr>
      </w:pPr>
      <w:r>
        <w:rPr>
          <w:rFonts w:eastAsia="仿宋_GB2312"/>
          <w:sz w:val="32"/>
          <w:szCs w:val="32"/>
        </w:rPr>
        <w:t>4.社会保障和就业支出（208类）行政事业单位养老支出（05款）事业单位离退休（02项）：事业单位开支的离退休经费。</w:t>
      </w:r>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86" w:name="_Toc784682511"/>
      <w:r>
        <w:rPr>
          <w:rFonts w:eastAsia="仿宋_GB2312"/>
          <w:sz w:val="32"/>
          <w:szCs w:val="32"/>
        </w:rPr>
        <w:t>5.社会保障和就业支出（208类）行政事业单位养老支出（05款）机关事业单位基本养老保险缴费支出（05项）：</w:t>
      </w:r>
      <w:r>
        <w:rPr>
          <w:rFonts w:hint="eastAsia" w:eastAsia="仿宋_GB2312"/>
          <w:sz w:val="32"/>
          <w:szCs w:val="32"/>
        </w:rPr>
        <w:t>反应</w:t>
      </w:r>
      <w:r>
        <w:rPr>
          <w:rFonts w:eastAsia="仿宋_GB2312"/>
          <w:sz w:val="32"/>
          <w:szCs w:val="32"/>
        </w:rPr>
        <w:t>机关事业单位实施养老保险制度由单位缴纳的基本养老保险费支出。</w:t>
      </w:r>
      <w:bookmarkEnd w:id="86"/>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87" w:name="_Toc1416602578"/>
      <w:r>
        <w:rPr>
          <w:rFonts w:eastAsia="仿宋_GB2312"/>
          <w:sz w:val="32"/>
          <w:szCs w:val="32"/>
        </w:rPr>
        <w:t>6.社会保障和就业支出（208类）行政事业单位养老支出（05款）机关事业单位职业年金缴费支出（06项）：</w:t>
      </w:r>
      <w:r>
        <w:rPr>
          <w:rFonts w:hint="eastAsia" w:eastAsia="仿宋_GB2312"/>
          <w:sz w:val="32"/>
          <w:szCs w:val="32"/>
        </w:rPr>
        <w:t>反应</w:t>
      </w:r>
      <w:r>
        <w:rPr>
          <w:rFonts w:eastAsia="仿宋_GB2312"/>
          <w:sz w:val="32"/>
          <w:szCs w:val="32"/>
        </w:rPr>
        <w:t>机关事业单位实施养老保险制度由单位缴纳的</w:t>
      </w:r>
      <w:r>
        <w:rPr>
          <w:rFonts w:hint="eastAsia" w:eastAsia="仿宋_GB2312"/>
          <w:sz w:val="32"/>
          <w:szCs w:val="32"/>
        </w:rPr>
        <w:t>职业年金支出（含职业年金补记支出）</w:t>
      </w:r>
      <w:bookmarkEnd w:id="87"/>
      <w:bookmarkStart w:id="88" w:name="_Toc24735"/>
      <w:bookmarkStart w:id="89" w:name="_Toc30158"/>
      <w:bookmarkStart w:id="90" w:name="_Toc32460"/>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91" w:name="_Toc1977717521"/>
      <w:r>
        <w:rPr>
          <w:rFonts w:eastAsia="仿宋_GB2312"/>
          <w:sz w:val="32"/>
          <w:szCs w:val="32"/>
        </w:rPr>
        <w:t>7.社会保障和就业（208类）抚恤（08款）死亡抚恤（01项）:反映按规定用于烈士和牺牲、病故人员家属的一次性和定期抚恤金以及丧葬费补助。</w:t>
      </w:r>
      <w:bookmarkEnd w:id="88"/>
      <w:bookmarkEnd w:id="89"/>
      <w:bookmarkEnd w:id="90"/>
      <w:bookmarkEnd w:id="91"/>
    </w:p>
    <w:p>
      <w:pPr>
        <w:spacing w:line="600" w:lineRule="exact"/>
        <w:ind w:firstLine="640" w:firstLineChars="200"/>
        <w:jc w:val="left"/>
        <w:outlineLvl w:val="0"/>
        <w:rPr>
          <w:rFonts w:eastAsia="仿宋_GB2312"/>
          <w:sz w:val="32"/>
          <w:szCs w:val="32"/>
        </w:rPr>
      </w:pPr>
      <w:bookmarkStart w:id="92" w:name="_Toc31030"/>
      <w:bookmarkStart w:id="93" w:name="_Toc19962"/>
      <w:bookmarkStart w:id="94" w:name="_Toc28811"/>
      <w:bookmarkStart w:id="95" w:name="_Toc1127903030"/>
      <w:r>
        <w:rPr>
          <w:rFonts w:eastAsia="仿宋_GB2312"/>
          <w:sz w:val="32"/>
          <w:szCs w:val="32"/>
        </w:rPr>
        <w:t>8.社会保障和就业（208类）抚恤（08款）伤残抚恤（02项）:反映按规定用于伤残人员的抚恤金和按规定开支的各种伤残补助。</w:t>
      </w:r>
      <w:bookmarkEnd w:id="92"/>
      <w:bookmarkEnd w:id="93"/>
      <w:bookmarkEnd w:id="94"/>
      <w:bookmarkEnd w:id="95"/>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96" w:name="_Toc1462681420"/>
      <w:r>
        <w:rPr>
          <w:rFonts w:eastAsia="仿宋_GB2312"/>
          <w:sz w:val="32"/>
          <w:szCs w:val="32"/>
        </w:rPr>
        <w:t>9.卫生健康支出（210类）卫生健康管理事务（01款）行政运行（01项）：</w:t>
      </w:r>
      <w:r>
        <w:rPr>
          <w:rFonts w:hint="eastAsia" w:eastAsia="仿宋_GB2312"/>
          <w:sz w:val="32"/>
          <w:szCs w:val="32"/>
        </w:rPr>
        <w:t>反应</w:t>
      </w:r>
      <w:r>
        <w:rPr>
          <w:rFonts w:eastAsia="仿宋_GB2312"/>
          <w:sz w:val="32"/>
          <w:szCs w:val="32"/>
        </w:rPr>
        <w:t>行政单位（包括实行公务员管理的事业单位）的基本支出。</w:t>
      </w:r>
      <w:bookmarkEnd w:id="96"/>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97" w:name="_Toc1328679320"/>
      <w:r>
        <w:rPr>
          <w:rFonts w:eastAsia="仿宋_GB2312"/>
          <w:sz w:val="32"/>
          <w:szCs w:val="32"/>
        </w:rPr>
        <w:t>10.卫生健康支出（210类）卫生健康管理事务（01款）机关服务（03项）：</w:t>
      </w:r>
      <w:r>
        <w:rPr>
          <w:rFonts w:hint="eastAsia" w:eastAsia="仿宋_GB2312"/>
          <w:sz w:val="32"/>
          <w:szCs w:val="32"/>
        </w:rPr>
        <w:t>反应为</w:t>
      </w:r>
      <w:r>
        <w:rPr>
          <w:rFonts w:eastAsia="仿宋_GB2312"/>
          <w:sz w:val="32"/>
          <w:szCs w:val="32"/>
        </w:rPr>
        <w:t>行政单位（包括实行公务员管理的事业单位）</w:t>
      </w:r>
      <w:r>
        <w:rPr>
          <w:rFonts w:hint="eastAsia" w:eastAsia="仿宋_GB2312"/>
          <w:sz w:val="32"/>
          <w:szCs w:val="32"/>
        </w:rPr>
        <w:t>提供后勤服务的各类后勤服务中心、医务室等附属事业单位的支出</w:t>
      </w:r>
      <w:r>
        <w:rPr>
          <w:rFonts w:eastAsia="仿宋_GB2312"/>
          <w:sz w:val="32"/>
          <w:szCs w:val="32"/>
        </w:rPr>
        <w:t>。</w:t>
      </w:r>
      <w:bookmarkEnd w:id="97"/>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98" w:name="_Toc1305161645"/>
      <w:r>
        <w:rPr>
          <w:rFonts w:eastAsia="仿宋_GB2312"/>
          <w:sz w:val="32"/>
          <w:szCs w:val="32"/>
        </w:rPr>
        <w:t>11.卫生健康支出（210类）公共卫生（04款）重大公共卫生服务（09项）：反映重大疾病、重大传染病预防控制等重大公共卫生服务项目支出。</w:t>
      </w:r>
      <w:bookmarkEnd w:id="98"/>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99" w:name="_Toc905063588"/>
      <w:r>
        <w:rPr>
          <w:rFonts w:eastAsia="仿宋_GB2312"/>
          <w:sz w:val="32"/>
          <w:szCs w:val="32"/>
        </w:rPr>
        <w:t>12.卫生健康支出（210类）公共卫生（04款）其他公共卫生支出（09项）：反映重大疾病、重大传染病预防控制等重大公共卫生服务项目支出。</w:t>
      </w:r>
      <w:bookmarkEnd w:id="99"/>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0" w:name="_Toc235943644"/>
      <w:r>
        <w:rPr>
          <w:rFonts w:eastAsia="仿宋_GB2312"/>
          <w:sz w:val="32"/>
          <w:szCs w:val="32"/>
        </w:rPr>
        <w:t>13.卫生健康支出（210类）计划生育事务（07款）计划生育服务（17项）：反映计划生育服务支出。</w:t>
      </w:r>
      <w:bookmarkEnd w:id="100"/>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1" w:name="_Toc1179157217"/>
      <w:r>
        <w:rPr>
          <w:rFonts w:eastAsia="仿宋_GB2312"/>
          <w:sz w:val="32"/>
          <w:szCs w:val="32"/>
        </w:rPr>
        <w:t>14.卫生健康支出（210类）计划生育事务（07款）其他计划生育事务支出（99项）：反映除上述项目以外其他用于计划生育管理事务方面的支出。</w:t>
      </w:r>
      <w:bookmarkEnd w:id="101"/>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2" w:name="_Toc1513323107"/>
      <w:r>
        <w:rPr>
          <w:rFonts w:eastAsia="仿宋_GB2312"/>
          <w:sz w:val="32"/>
          <w:szCs w:val="32"/>
        </w:rPr>
        <w:t>15.卫生健康支出（210类）行政事业单位医疗（11款）行政单位医疗（01项）：</w:t>
      </w:r>
      <w:r>
        <w:rPr>
          <w:rFonts w:hint="eastAsia" w:eastAsia="仿宋_GB2312"/>
          <w:sz w:val="32"/>
          <w:szCs w:val="32"/>
        </w:rPr>
        <w:t>反应</w:t>
      </w:r>
      <w:r>
        <w:rPr>
          <w:rFonts w:eastAsia="仿宋_GB2312"/>
          <w:sz w:val="32"/>
          <w:szCs w:val="32"/>
        </w:rPr>
        <w:t>财政部门安排的行政单位（包括实行公务员管理的事业单位，下同）基本医疗保险缴费经费，未参加医疗保险的行政单位的公费医疗经费，按国家规定享受离休人员、红军老战士待遇人员的医疗经费。</w:t>
      </w:r>
      <w:bookmarkEnd w:id="102"/>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3" w:name="_Toc1453518404"/>
      <w:r>
        <w:rPr>
          <w:rFonts w:eastAsia="仿宋_GB2312"/>
          <w:sz w:val="32"/>
          <w:szCs w:val="32"/>
        </w:rPr>
        <w:t>16.卫生健康支出（210类）行政事业单位医疗（11款）事业单位医疗（02项）：反应财政部门安排的事业单位基本医疗保险缴费经费，未参加医疗保险的事业单位的公费医疗经费，按国家规定享受离休人员待遇的医疗费经费。</w:t>
      </w:r>
      <w:bookmarkEnd w:id="103"/>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4" w:name="_Toc138058310"/>
      <w:r>
        <w:rPr>
          <w:rFonts w:eastAsia="仿宋_GB2312"/>
          <w:sz w:val="32"/>
          <w:szCs w:val="32"/>
        </w:rPr>
        <w:t>17.卫生健康支出（210类）行政事业单位医疗（11款）公务员医疗补助（03项）：反应财政部门安排的公务员医疗补助经费。</w:t>
      </w:r>
      <w:bookmarkEnd w:id="104"/>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5" w:name="_Toc701067448"/>
      <w:r>
        <w:rPr>
          <w:rFonts w:eastAsia="仿宋_GB2312"/>
          <w:sz w:val="32"/>
          <w:szCs w:val="32"/>
        </w:rPr>
        <w:t>18.卫生健康支出（210类）行政事业单位医疗（11款）其他行政事业单位医疗支出（99项）：反映除上述项目以外的其他用于行政事业单位医疗。</w:t>
      </w:r>
      <w:bookmarkEnd w:id="105"/>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6" w:name="_Toc887465965"/>
      <w:r>
        <w:rPr>
          <w:rFonts w:eastAsia="仿宋_GB2312"/>
          <w:sz w:val="32"/>
          <w:szCs w:val="32"/>
        </w:rPr>
        <w:t>19.卫生健康支出（210类）老龄卫生健康事务（16款）老龄卫生健康事务（01项）：反应老龄卫生健康事务方面的支出。</w:t>
      </w:r>
      <w:bookmarkEnd w:id="106"/>
      <w:r>
        <w:rPr>
          <w:rFonts w:eastAsia="仿宋_GB2312"/>
          <w:sz w:val="32"/>
          <w:szCs w:val="32"/>
        </w:rPr>
        <w:t xml:space="preserve"> </w:t>
      </w:r>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7" w:name="_Toc1061129090"/>
      <w:r>
        <w:rPr>
          <w:rFonts w:eastAsia="仿宋_GB2312"/>
          <w:sz w:val="32"/>
          <w:szCs w:val="32"/>
        </w:rPr>
        <w:t>20.卫生健康支出（210类）其他卫生健康支出（99款）其他卫生健康支出（99项）：反应除上述项目以外其他用于卫生健康方面的支出。</w:t>
      </w:r>
      <w:bookmarkEnd w:id="107"/>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r>
        <w:rPr>
          <w:rFonts w:eastAsia="仿宋_GB2312"/>
          <w:sz w:val="32"/>
          <w:szCs w:val="32"/>
        </w:rPr>
        <w:t xml:space="preserve"> </w:t>
      </w:r>
      <w:bookmarkStart w:id="108" w:name="_Toc750764978"/>
      <w:r>
        <w:rPr>
          <w:rFonts w:eastAsia="仿宋_GB2312"/>
          <w:sz w:val="32"/>
          <w:szCs w:val="32"/>
        </w:rPr>
        <w:t>21.农林水支出（213类）巩固脱贫衔接乡村振兴（05款）其他巩固脱贫衔接乡村振兴支出（99项）:反映除上述项目以外其他用于巩固拓展脱贫攻坚成果同乡村振兴有效衔接方面的支出。</w:t>
      </w:r>
      <w:bookmarkEnd w:id="108"/>
      <w:r>
        <w:rPr>
          <w:rFonts w:eastAsia="仿宋_GB2312"/>
          <w:sz w:val="32"/>
          <w:szCs w:val="32"/>
        </w:rPr>
        <w:t xml:space="preserve">    </w:t>
      </w:r>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09" w:name="_Toc988083245"/>
      <w:r>
        <w:rPr>
          <w:rFonts w:eastAsia="仿宋_GB2312"/>
          <w:sz w:val="32"/>
          <w:szCs w:val="32"/>
        </w:rPr>
        <w:t>22.住房保障支出（221类）住房改革支出（02款）住房公积金（01项）：行政事业单位按人力资源和社会保障部、财政部规定的基本工资和津贴补贴以及规定比例为职工缴纳的住房公积金。</w:t>
      </w:r>
      <w:bookmarkEnd w:id="109"/>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10" w:name="_Toc175332055"/>
      <w:r>
        <w:rPr>
          <w:rFonts w:eastAsia="仿宋_GB2312"/>
          <w:sz w:val="32"/>
          <w:szCs w:val="32"/>
        </w:rPr>
        <w:t>23.基本支出：为保证机构正常运转，完成日常工作任务而发生的人员支出和公用支出。</w:t>
      </w:r>
      <w:bookmarkEnd w:id="110"/>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11" w:name="_Toc779476621"/>
      <w:r>
        <w:rPr>
          <w:rFonts w:eastAsia="仿宋_GB2312"/>
          <w:sz w:val="32"/>
          <w:szCs w:val="32"/>
        </w:rPr>
        <w:t>24.项目支出：在基本支出之外为完成特定工作任务和事业发展目标所发生的支出。</w:t>
      </w:r>
      <w:bookmarkEnd w:id="111"/>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12" w:name="_Toc293124833"/>
      <w:r>
        <w:rPr>
          <w:rFonts w:eastAsia="仿宋_GB2312"/>
          <w:sz w:val="32"/>
          <w:szCs w:val="32"/>
        </w:rPr>
        <w:t>25. “三公”经费：纳入预决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及按规定保留的公务用车燃料费、维修费、过路过桥费、保险费、安全奖励费用等支出；公务接待费反映单位按规定开支的各类公务接待（含外宾接待）费用。</w:t>
      </w:r>
      <w:bookmarkEnd w:id="112"/>
    </w:p>
    <w:p>
      <w:pPr>
        <w:pBdr>
          <w:top w:val="single" w:color="FFFFFF" w:sz="4" w:space="0"/>
          <w:left w:val="single" w:color="FFFFFF" w:sz="4" w:space="31"/>
          <w:bottom w:val="single" w:color="FFFFFF" w:sz="4" w:space="31"/>
          <w:right w:val="single" w:color="FFFFFF" w:sz="4" w:space="31"/>
        </w:pBdr>
        <w:adjustRightInd w:val="0"/>
        <w:snapToGrid w:val="0"/>
        <w:spacing w:line="560" w:lineRule="exact"/>
        <w:ind w:firstLine="640" w:firstLineChars="200"/>
        <w:outlineLvl w:val="1"/>
        <w:rPr>
          <w:rFonts w:eastAsia="仿宋_GB2312"/>
          <w:sz w:val="32"/>
          <w:szCs w:val="32"/>
        </w:rPr>
      </w:pPr>
      <w:bookmarkStart w:id="113" w:name="_Toc1997270084"/>
      <w:r>
        <w:rPr>
          <w:rFonts w:eastAsia="仿宋_GB2312"/>
          <w:sz w:val="32"/>
          <w:szCs w:val="32"/>
        </w:rPr>
        <w:t>26.机关运行经费：为保障机关单位运行用于购买货物和服务的各项资金。包括办公及办公费、水费、电费、印刷费、邮电费、差旅费、会议费等费用开支。</w:t>
      </w:r>
      <w:bookmarkEnd w:id="113"/>
    </w:p>
    <w:p>
      <w:pPr>
        <w:spacing w:line="600" w:lineRule="exact"/>
        <w:jc w:val="center"/>
        <w:outlineLvl w:val="0"/>
        <w:rPr>
          <w:rStyle w:val="28"/>
          <w:rFonts w:eastAsia="黑体"/>
          <w:b w:val="0"/>
        </w:rPr>
      </w:pPr>
      <w:bookmarkStart w:id="114" w:name="_Toc15377226"/>
      <w:r>
        <w:rPr>
          <w:rFonts w:eastAsia="仿宋_GB2312"/>
          <w:sz w:val="32"/>
          <w:szCs w:val="32"/>
        </w:rPr>
        <w:br w:type="page"/>
      </w:r>
      <w:bookmarkStart w:id="115" w:name="_Toc601073725"/>
      <w:bookmarkStart w:id="116" w:name="_Toc15396614"/>
      <w:r>
        <w:rPr>
          <w:rFonts w:eastAsia="黑体"/>
          <w:sz w:val="44"/>
          <w:szCs w:val="44"/>
        </w:rPr>
        <w:t>第</w:t>
      </w:r>
      <w:r>
        <w:rPr>
          <w:rStyle w:val="28"/>
          <w:rFonts w:eastAsia="黑体"/>
          <w:b w:val="0"/>
        </w:rPr>
        <w:t>四部分 附件</w:t>
      </w:r>
      <w:bookmarkEnd w:id="115"/>
      <w:bookmarkEnd w:id="116"/>
    </w:p>
    <w:p>
      <w:pPr>
        <w:spacing w:line="600" w:lineRule="exact"/>
        <w:jc w:val="center"/>
        <w:outlineLvl w:val="0"/>
        <w:rPr>
          <w:sz w:val="32"/>
          <w:szCs w:val="32"/>
        </w:rPr>
      </w:pPr>
      <w:bookmarkStart w:id="117" w:name="_Toc1939190075"/>
      <w:bookmarkStart w:id="118" w:name="_Toc15396618"/>
    </w:p>
    <w:p>
      <w:pPr>
        <w:spacing w:line="600" w:lineRule="exact"/>
        <w:jc w:val="center"/>
        <w:outlineLvl w:val="0"/>
        <w:rPr>
          <w:rFonts w:hint="eastAsia" w:ascii="CESI仿宋-GB2312" w:hAnsi="CESI仿宋-GB2312" w:eastAsia="CESI仿宋-GB2312" w:cs="CESI仿宋-GB2312"/>
          <w:color w:val="FF0000"/>
          <w:sz w:val="32"/>
          <w:szCs w:val="32"/>
          <w:lang w:eastAsia="zh-CN"/>
        </w:rPr>
      </w:pPr>
      <w:r>
        <w:rPr>
          <w:rFonts w:hint="eastAsia" w:ascii="CESI仿宋-GB2312" w:hAnsi="CESI仿宋-GB2312" w:eastAsia="CESI仿宋-GB2312" w:cs="CESI仿宋-GB2312"/>
          <w:sz w:val="32"/>
          <w:szCs w:val="32"/>
        </w:rPr>
        <w:t>部门预算项目支出绩效自评表（2023年度）</w:t>
      </w:r>
      <w:bookmarkEnd w:id="117"/>
      <w:r>
        <w:rPr>
          <w:rFonts w:hint="eastAsia" w:ascii="CESI仿宋-GB2312" w:hAnsi="CESI仿宋-GB2312" w:eastAsia="CESI仿宋-GB2312" w:cs="CESI仿宋-GB2312"/>
          <w:sz w:val="32"/>
          <w:szCs w:val="32"/>
          <w:lang w:eastAsia="zh-CN"/>
        </w:rPr>
        <w:t>见附件</w:t>
      </w:r>
    </w:p>
    <w:p>
      <w:pPr>
        <w:pStyle w:val="14"/>
        <w:spacing w:line="560" w:lineRule="exact"/>
        <w:ind w:left="0" w:leftChars="0" w:firstLine="640"/>
        <w:rPr>
          <w:rFonts w:ascii="Times New Roman"/>
          <w:sz w:val="32"/>
        </w:rPr>
      </w:pPr>
    </w:p>
    <w:p>
      <w:pPr>
        <w:pStyle w:val="14"/>
        <w:spacing w:line="560" w:lineRule="exact"/>
        <w:ind w:left="0" w:leftChars="0" w:firstLine="640"/>
        <w:rPr>
          <w:rFonts w:ascii="Times New Roman" w:eastAsia="仿宋_GB2312"/>
          <w:sz w:val="32"/>
          <w:lang w:val="zh-CN"/>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spacing w:line="600" w:lineRule="exact"/>
        <w:jc w:val="center"/>
        <w:outlineLvl w:val="0"/>
        <w:rPr>
          <w:rFonts w:eastAsia="黑体"/>
          <w:sz w:val="44"/>
          <w:szCs w:val="44"/>
        </w:rPr>
      </w:pPr>
    </w:p>
    <w:p>
      <w:pPr>
        <w:spacing w:line="600" w:lineRule="exact"/>
        <w:jc w:val="center"/>
        <w:outlineLvl w:val="0"/>
        <w:rPr>
          <w:rFonts w:eastAsia="黑体"/>
          <w:sz w:val="44"/>
          <w:szCs w:val="44"/>
        </w:rPr>
      </w:pPr>
      <w:bookmarkStart w:id="119" w:name="_Toc308085697"/>
    </w:p>
    <w:p>
      <w:pPr>
        <w:spacing w:line="600" w:lineRule="exact"/>
        <w:jc w:val="center"/>
        <w:outlineLvl w:val="0"/>
        <w:rPr>
          <w:rFonts w:eastAsia="黑体"/>
          <w:sz w:val="44"/>
          <w:szCs w:val="44"/>
        </w:rPr>
      </w:pPr>
    </w:p>
    <w:p>
      <w:pPr>
        <w:spacing w:line="600" w:lineRule="exact"/>
        <w:jc w:val="center"/>
        <w:outlineLvl w:val="0"/>
        <w:rPr>
          <w:rFonts w:eastAsia="仿宋"/>
        </w:rPr>
      </w:pPr>
      <w:r>
        <w:rPr>
          <w:rFonts w:eastAsia="黑体"/>
          <w:sz w:val="44"/>
          <w:szCs w:val="44"/>
        </w:rPr>
        <w:t>第</w:t>
      </w:r>
      <w:r>
        <w:rPr>
          <w:rStyle w:val="28"/>
          <w:rFonts w:eastAsia="黑体"/>
          <w:b w:val="0"/>
        </w:rPr>
        <w:t>五部分 附表</w:t>
      </w:r>
      <w:bookmarkEnd w:id="114"/>
      <w:bookmarkEnd w:id="118"/>
      <w:bookmarkEnd w:id="119"/>
      <w:bookmarkStart w:id="120" w:name="_Toc15396619"/>
    </w:p>
    <w:p>
      <w:pPr>
        <w:pStyle w:val="4"/>
        <w:rPr>
          <w:rFonts w:hint="eastAsia" w:ascii="CESI仿宋-GB2312" w:hAnsi="CESI仿宋-GB2312" w:eastAsia="CESI仿宋-GB2312" w:cs="CESI仿宋-GB2312"/>
        </w:rPr>
      </w:pPr>
      <w:bookmarkStart w:id="121" w:name="_Toc480523656"/>
      <w:r>
        <w:rPr>
          <w:rFonts w:hint="eastAsia" w:ascii="CESI仿宋-GB2312" w:hAnsi="CESI仿宋-GB2312" w:eastAsia="CESI仿宋-GB2312" w:cs="CESI仿宋-GB2312"/>
          <w:b w:val="0"/>
        </w:rPr>
        <w:t>一、收</w:t>
      </w:r>
      <w:r>
        <w:rPr>
          <w:rStyle w:val="29"/>
          <w:rFonts w:hint="eastAsia" w:ascii="CESI仿宋-GB2312" w:hAnsi="CESI仿宋-GB2312" w:eastAsia="CESI仿宋-GB2312" w:cs="CESI仿宋-GB2312"/>
          <w:b w:val="0"/>
          <w:bCs w:val="0"/>
        </w:rPr>
        <w:t>入支出决算总表</w:t>
      </w:r>
      <w:bookmarkEnd w:id="120"/>
      <w:bookmarkEnd w:id="121"/>
    </w:p>
    <w:p>
      <w:pPr>
        <w:pStyle w:val="4"/>
        <w:rPr>
          <w:rFonts w:hint="eastAsia" w:ascii="CESI仿宋-GB2312" w:hAnsi="CESI仿宋-GB2312" w:eastAsia="CESI仿宋-GB2312" w:cs="CESI仿宋-GB2312"/>
        </w:rPr>
      </w:pPr>
      <w:bookmarkStart w:id="122" w:name="_Toc76098707"/>
      <w:bookmarkStart w:id="123" w:name="_Toc15396620"/>
      <w:r>
        <w:rPr>
          <w:rFonts w:hint="eastAsia" w:ascii="CESI仿宋-GB2312" w:hAnsi="CESI仿宋-GB2312" w:eastAsia="CESI仿宋-GB2312" w:cs="CESI仿宋-GB2312"/>
          <w:b w:val="0"/>
        </w:rPr>
        <w:t>二、收</w:t>
      </w:r>
      <w:r>
        <w:rPr>
          <w:rStyle w:val="29"/>
          <w:rFonts w:hint="eastAsia" w:ascii="CESI仿宋-GB2312" w:hAnsi="CESI仿宋-GB2312" w:eastAsia="CESI仿宋-GB2312" w:cs="CESI仿宋-GB2312"/>
          <w:b w:val="0"/>
          <w:bCs w:val="0"/>
        </w:rPr>
        <w:t>入决算表</w:t>
      </w:r>
      <w:bookmarkEnd w:id="122"/>
      <w:bookmarkEnd w:id="123"/>
    </w:p>
    <w:p>
      <w:pPr>
        <w:pStyle w:val="4"/>
        <w:rPr>
          <w:rFonts w:hint="eastAsia" w:ascii="CESI仿宋-GB2312" w:hAnsi="CESI仿宋-GB2312" w:eastAsia="CESI仿宋-GB2312" w:cs="CESI仿宋-GB2312"/>
        </w:rPr>
      </w:pPr>
      <w:bookmarkStart w:id="124" w:name="_Toc181879040"/>
      <w:bookmarkStart w:id="125" w:name="_Toc15396621"/>
      <w:r>
        <w:rPr>
          <w:rStyle w:val="29"/>
          <w:rFonts w:hint="eastAsia" w:ascii="CESI仿宋-GB2312" w:hAnsi="CESI仿宋-GB2312" w:eastAsia="CESI仿宋-GB2312" w:cs="CESI仿宋-GB2312"/>
          <w:b w:val="0"/>
          <w:bCs w:val="0"/>
        </w:rPr>
        <w:t>三、</w:t>
      </w:r>
      <w:r>
        <w:rPr>
          <w:rFonts w:hint="eastAsia" w:ascii="CESI仿宋-GB2312" w:hAnsi="CESI仿宋-GB2312" w:eastAsia="CESI仿宋-GB2312" w:cs="CESI仿宋-GB2312"/>
          <w:b w:val="0"/>
        </w:rPr>
        <w:t>支</w:t>
      </w:r>
      <w:r>
        <w:rPr>
          <w:rStyle w:val="29"/>
          <w:rFonts w:hint="eastAsia" w:ascii="CESI仿宋-GB2312" w:hAnsi="CESI仿宋-GB2312" w:eastAsia="CESI仿宋-GB2312" w:cs="CESI仿宋-GB2312"/>
          <w:b w:val="0"/>
          <w:bCs w:val="0"/>
        </w:rPr>
        <w:t>出决算表</w:t>
      </w:r>
      <w:bookmarkEnd w:id="124"/>
      <w:bookmarkEnd w:id="125"/>
    </w:p>
    <w:p>
      <w:pPr>
        <w:pStyle w:val="4"/>
        <w:rPr>
          <w:rFonts w:hint="eastAsia" w:ascii="CESI仿宋-GB2312" w:hAnsi="CESI仿宋-GB2312" w:eastAsia="CESI仿宋-GB2312" w:cs="CESI仿宋-GB2312"/>
          <w:b w:val="0"/>
        </w:rPr>
      </w:pPr>
      <w:bookmarkStart w:id="126" w:name="_Toc15396622"/>
      <w:bookmarkStart w:id="127" w:name="_Toc50598570"/>
      <w:r>
        <w:rPr>
          <w:rStyle w:val="29"/>
          <w:rFonts w:hint="eastAsia" w:ascii="CESI仿宋-GB2312" w:hAnsi="CESI仿宋-GB2312" w:eastAsia="CESI仿宋-GB2312" w:cs="CESI仿宋-GB2312"/>
          <w:b w:val="0"/>
          <w:bCs w:val="0"/>
        </w:rPr>
        <w:t>四、</w:t>
      </w:r>
      <w:r>
        <w:rPr>
          <w:rFonts w:hint="eastAsia" w:ascii="CESI仿宋-GB2312" w:hAnsi="CESI仿宋-GB2312" w:eastAsia="CESI仿宋-GB2312" w:cs="CESI仿宋-GB2312"/>
          <w:b w:val="0"/>
        </w:rPr>
        <w:t>财</w:t>
      </w:r>
      <w:r>
        <w:rPr>
          <w:rStyle w:val="29"/>
          <w:rFonts w:hint="eastAsia" w:ascii="CESI仿宋-GB2312" w:hAnsi="CESI仿宋-GB2312" w:eastAsia="CESI仿宋-GB2312" w:cs="CESI仿宋-GB2312"/>
          <w:b w:val="0"/>
          <w:bCs w:val="0"/>
        </w:rPr>
        <w:t>政拨款收入支出决算总表</w:t>
      </w:r>
      <w:bookmarkEnd w:id="126"/>
      <w:bookmarkEnd w:id="127"/>
    </w:p>
    <w:p>
      <w:pPr>
        <w:pStyle w:val="4"/>
        <w:rPr>
          <w:rStyle w:val="29"/>
          <w:rFonts w:hint="eastAsia" w:ascii="CESI仿宋-GB2312" w:hAnsi="CESI仿宋-GB2312" w:eastAsia="CESI仿宋-GB2312" w:cs="CESI仿宋-GB2312"/>
          <w:b w:val="0"/>
          <w:bCs w:val="0"/>
        </w:rPr>
      </w:pPr>
      <w:bookmarkStart w:id="128" w:name="_Toc15396623"/>
      <w:bookmarkStart w:id="129" w:name="_Toc1833159050"/>
      <w:r>
        <w:rPr>
          <w:rStyle w:val="29"/>
          <w:rFonts w:hint="eastAsia" w:ascii="CESI仿宋-GB2312" w:hAnsi="CESI仿宋-GB2312" w:eastAsia="CESI仿宋-GB2312" w:cs="CESI仿宋-GB2312"/>
          <w:b w:val="0"/>
          <w:bCs w:val="0"/>
        </w:rPr>
        <w:t>五、</w:t>
      </w:r>
      <w:r>
        <w:rPr>
          <w:rFonts w:hint="eastAsia" w:ascii="CESI仿宋-GB2312" w:hAnsi="CESI仿宋-GB2312" w:eastAsia="CESI仿宋-GB2312" w:cs="CESI仿宋-GB2312"/>
          <w:b w:val="0"/>
        </w:rPr>
        <w:t>财</w:t>
      </w:r>
      <w:r>
        <w:rPr>
          <w:rStyle w:val="29"/>
          <w:rFonts w:hint="eastAsia" w:ascii="CESI仿宋-GB2312" w:hAnsi="CESI仿宋-GB2312" w:eastAsia="CESI仿宋-GB2312" w:cs="CESI仿宋-GB2312"/>
          <w:b w:val="0"/>
          <w:bCs w:val="0"/>
        </w:rPr>
        <w:t>政拨款支出决算明细表</w:t>
      </w:r>
      <w:bookmarkEnd w:id="128"/>
      <w:bookmarkEnd w:id="129"/>
      <w:bookmarkStart w:id="130" w:name="_Toc15396624"/>
    </w:p>
    <w:p>
      <w:pPr>
        <w:pStyle w:val="4"/>
        <w:rPr>
          <w:rFonts w:hint="eastAsia" w:ascii="CESI仿宋-GB2312" w:hAnsi="CESI仿宋-GB2312" w:eastAsia="CESI仿宋-GB2312" w:cs="CESI仿宋-GB2312"/>
        </w:rPr>
      </w:pPr>
      <w:bookmarkStart w:id="131" w:name="_Toc271655192"/>
      <w:r>
        <w:rPr>
          <w:rStyle w:val="29"/>
          <w:rFonts w:hint="eastAsia" w:ascii="CESI仿宋-GB2312" w:hAnsi="CESI仿宋-GB2312" w:eastAsia="CESI仿宋-GB2312" w:cs="CESI仿宋-GB2312"/>
          <w:b w:val="0"/>
          <w:bCs w:val="0"/>
        </w:rPr>
        <w:t>六、</w:t>
      </w:r>
      <w:r>
        <w:rPr>
          <w:rFonts w:hint="eastAsia" w:ascii="CESI仿宋-GB2312" w:hAnsi="CESI仿宋-GB2312" w:eastAsia="CESI仿宋-GB2312" w:cs="CESI仿宋-GB2312"/>
          <w:b w:val="0"/>
        </w:rPr>
        <w:t>一</w:t>
      </w:r>
      <w:r>
        <w:rPr>
          <w:rStyle w:val="29"/>
          <w:rFonts w:hint="eastAsia" w:ascii="CESI仿宋-GB2312" w:hAnsi="CESI仿宋-GB2312" w:eastAsia="CESI仿宋-GB2312" w:cs="CESI仿宋-GB2312"/>
          <w:b w:val="0"/>
          <w:bCs w:val="0"/>
        </w:rPr>
        <w:t>般公共预算财政拨款支出决算表</w:t>
      </w:r>
      <w:bookmarkEnd w:id="130"/>
      <w:bookmarkEnd w:id="131"/>
    </w:p>
    <w:p>
      <w:pPr>
        <w:pStyle w:val="4"/>
        <w:rPr>
          <w:rFonts w:hint="eastAsia" w:ascii="CESI仿宋-GB2312" w:hAnsi="CESI仿宋-GB2312" w:eastAsia="CESI仿宋-GB2312" w:cs="CESI仿宋-GB2312"/>
        </w:rPr>
      </w:pPr>
      <w:bookmarkStart w:id="132" w:name="_Toc15396625"/>
      <w:bookmarkStart w:id="133" w:name="_Toc835281082"/>
      <w:r>
        <w:rPr>
          <w:rStyle w:val="29"/>
          <w:rFonts w:hint="eastAsia" w:ascii="CESI仿宋-GB2312" w:hAnsi="CESI仿宋-GB2312" w:eastAsia="CESI仿宋-GB2312" w:cs="CESI仿宋-GB2312"/>
          <w:b w:val="0"/>
          <w:bCs w:val="0"/>
        </w:rPr>
        <w:t>七、</w:t>
      </w:r>
      <w:r>
        <w:rPr>
          <w:rFonts w:hint="eastAsia" w:ascii="CESI仿宋-GB2312" w:hAnsi="CESI仿宋-GB2312" w:eastAsia="CESI仿宋-GB2312" w:cs="CESI仿宋-GB2312"/>
          <w:b w:val="0"/>
        </w:rPr>
        <w:t>一</w:t>
      </w:r>
      <w:r>
        <w:rPr>
          <w:rStyle w:val="29"/>
          <w:rFonts w:hint="eastAsia" w:ascii="CESI仿宋-GB2312" w:hAnsi="CESI仿宋-GB2312" w:eastAsia="CESI仿宋-GB2312" w:cs="CESI仿宋-GB2312"/>
          <w:b w:val="0"/>
          <w:bCs w:val="0"/>
        </w:rPr>
        <w:t>般公共预算财政拨款支出决算明细表</w:t>
      </w:r>
      <w:bookmarkEnd w:id="132"/>
      <w:bookmarkEnd w:id="133"/>
    </w:p>
    <w:p>
      <w:pPr>
        <w:pStyle w:val="4"/>
        <w:rPr>
          <w:rFonts w:hint="eastAsia" w:ascii="CESI仿宋-GB2312" w:hAnsi="CESI仿宋-GB2312" w:eastAsia="CESI仿宋-GB2312" w:cs="CESI仿宋-GB2312"/>
        </w:rPr>
      </w:pPr>
      <w:bookmarkStart w:id="134" w:name="_Toc15396626"/>
      <w:bookmarkStart w:id="135" w:name="_Toc1102277980"/>
      <w:r>
        <w:rPr>
          <w:rStyle w:val="29"/>
          <w:rFonts w:hint="eastAsia" w:ascii="CESI仿宋-GB2312" w:hAnsi="CESI仿宋-GB2312" w:eastAsia="CESI仿宋-GB2312" w:cs="CESI仿宋-GB2312"/>
          <w:b w:val="0"/>
          <w:bCs w:val="0"/>
        </w:rPr>
        <w:t>八、</w:t>
      </w:r>
      <w:r>
        <w:rPr>
          <w:rFonts w:hint="eastAsia" w:ascii="CESI仿宋-GB2312" w:hAnsi="CESI仿宋-GB2312" w:eastAsia="CESI仿宋-GB2312" w:cs="CESI仿宋-GB2312"/>
          <w:b w:val="0"/>
        </w:rPr>
        <w:t>一</w:t>
      </w:r>
      <w:r>
        <w:rPr>
          <w:rStyle w:val="29"/>
          <w:rFonts w:hint="eastAsia" w:ascii="CESI仿宋-GB2312" w:hAnsi="CESI仿宋-GB2312" w:eastAsia="CESI仿宋-GB2312" w:cs="CESI仿宋-GB2312"/>
          <w:b w:val="0"/>
          <w:bCs w:val="0"/>
        </w:rPr>
        <w:t>般公共预算财政拨款基本支出决算表</w:t>
      </w:r>
      <w:bookmarkEnd w:id="134"/>
      <w:bookmarkEnd w:id="135"/>
    </w:p>
    <w:p>
      <w:pPr>
        <w:pStyle w:val="4"/>
        <w:rPr>
          <w:rFonts w:hint="eastAsia" w:ascii="CESI仿宋-GB2312" w:hAnsi="CESI仿宋-GB2312" w:eastAsia="CESI仿宋-GB2312" w:cs="CESI仿宋-GB2312"/>
        </w:rPr>
      </w:pPr>
      <w:bookmarkStart w:id="136" w:name="_Toc101889065"/>
      <w:bookmarkStart w:id="137" w:name="_Toc15396627"/>
      <w:r>
        <w:rPr>
          <w:rStyle w:val="29"/>
          <w:rFonts w:hint="eastAsia" w:ascii="CESI仿宋-GB2312" w:hAnsi="CESI仿宋-GB2312" w:eastAsia="CESI仿宋-GB2312" w:cs="CESI仿宋-GB2312"/>
          <w:b w:val="0"/>
          <w:bCs w:val="0"/>
        </w:rPr>
        <w:t>九、</w:t>
      </w:r>
      <w:r>
        <w:rPr>
          <w:rFonts w:hint="eastAsia" w:ascii="CESI仿宋-GB2312" w:hAnsi="CESI仿宋-GB2312" w:eastAsia="CESI仿宋-GB2312" w:cs="CESI仿宋-GB2312"/>
          <w:b w:val="0"/>
        </w:rPr>
        <w:t>一</w:t>
      </w:r>
      <w:r>
        <w:rPr>
          <w:rStyle w:val="29"/>
          <w:rFonts w:hint="eastAsia" w:ascii="CESI仿宋-GB2312" w:hAnsi="CESI仿宋-GB2312" w:eastAsia="CESI仿宋-GB2312" w:cs="CESI仿宋-GB2312"/>
          <w:b w:val="0"/>
          <w:bCs w:val="0"/>
        </w:rPr>
        <w:t>般公共预算财政拨款项目支出决算表</w:t>
      </w:r>
      <w:bookmarkEnd w:id="136"/>
      <w:bookmarkEnd w:id="137"/>
    </w:p>
    <w:p>
      <w:pPr>
        <w:pStyle w:val="4"/>
        <w:rPr>
          <w:rFonts w:hint="eastAsia" w:ascii="CESI仿宋-GB2312" w:hAnsi="CESI仿宋-GB2312" w:eastAsia="CESI仿宋-GB2312" w:cs="CESI仿宋-GB2312"/>
        </w:rPr>
      </w:pPr>
      <w:bookmarkStart w:id="138" w:name="_Toc15396628"/>
      <w:bookmarkStart w:id="139" w:name="_Toc1963184112"/>
      <w:r>
        <w:rPr>
          <w:rStyle w:val="29"/>
          <w:rFonts w:hint="eastAsia" w:ascii="CESI仿宋-GB2312" w:hAnsi="CESI仿宋-GB2312" w:eastAsia="CESI仿宋-GB2312" w:cs="CESI仿宋-GB2312"/>
          <w:b w:val="0"/>
          <w:bCs w:val="0"/>
        </w:rPr>
        <w:t>十、</w:t>
      </w:r>
      <w:bookmarkEnd w:id="138"/>
      <w:r>
        <w:rPr>
          <w:rFonts w:hint="eastAsia" w:ascii="CESI仿宋-GB2312" w:hAnsi="CESI仿宋-GB2312" w:eastAsia="CESI仿宋-GB2312" w:cs="CESI仿宋-GB2312"/>
          <w:b w:val="0"/>
        </w:rPr>
        <w:t>政</w:t>
      </w:r>
      <w:r>
        <w:rPr>
          <w:rStyle w:val="29"/>
          <w:rFonts w:hint="eastAsia" w:ascii="CESI仿宋-GB2312" w:hAnsi="CESI仿宋-GB2312" w:eastAsia="CESI仿宋-GB2312" w:cs="CESI仿宋-GB2312"/>
          <w:b w:val="0"/>
          <w:bCs w:val="0"/>
        </w:rPr>
        <w:t>府性基金预算财政拨款收入支出决算表</w:t>
      </w:r>
      <w:bookmarkEnd w:id="139"/>
    </w:p>
    <w:p>
      <w:pPr>
        <w:pStyle w:val="4"/>
        <w:rPr>
          <w:rFonts w:hint="eastAsia" w:ascii="CESI仿宋-GB2312" w:hAnsi="CESI仿宋-GB2312" w:eastAsia="CESI仿宋-GB2312" w:cs="CESI仿宋-GB2312"/>
        </w:rPr>
      </w:pPr>
      <w:bookmarkStart w:id="140" w:name="_Toc15396629"/>
      <w:bookmarkStart w:id="141" w:name="_Toc417475752"/>
      <w:r>
        <w:rPr>
          <w:rStyle w:val="29"/>
          <w:rFonts w:hint="eastAsia" w:ascii="CESI仿宋-GB2312" w:hAnsi="CESI仿宋-GB2312" w:eastAsia="CESI仿宋-GB2312" w:cs="CESI仿宋-GB2312"/>
          <w:b w:val="0"/>
          <w:bCs w:val="0"/>
        </w:rPr>
        <w:t>十一、</w:t>
      </w:r>
      <w:bookmarkEnd w:id="140"/>
      <w:r>
        <w:rPr>
          <w:rFonts w:hint="eastAsia" w:ascii="CESI仿宋-GB2312" w:hAnsi="CESI仿宋-GB2312" w:eastAsia="CESI仿宋-GB2312" w:cs="CESI仿宋-GB2312"/>
          <w:b w:val="0"/>
        </w:rPr>
        <w:t>国</w:t>
      </w:r>
      <w:r>
        <w:rPr>
          <w:rStyle w:val="29"/>
          <w:rFonts w:hint="eastAsia" w:ascii="CESI仿宋-GB2312" w:hAnsi="CESI仿宋-GB2312" w:eastAsia="CESI仿宋-GB2312" w:cs="CESI仿宋-GB2312"/>
          <w:b w:val="0"/>
          <w:bCs w:val="0"/>
        </w:rPr>
        <w:t>有资本经营预算财政拨款收入支出决算表</w:t>
      </w:r>
      <w:bookmarkEnd w:id="141"/>
    </w:p>
    <w:p>
      <w:pPr>
        <w:pStyle w:val="4"/>
        <w:rPr>
          <w:rFonts w:hint="eastAsia" w:ascii="CESI仿宋-GB2312" w:hAnsi="CESI仿宋-GB2312" w:eastAsia="CESI仿宋-GB2312" w:cs="CESI仿宋-GB2312"/>
        </w:rPr>
      </w:pPr>
      <w:bookmarkStart w:id="142" w:name="_Toc15396630"/>
      <w:bookmarkStart w:id="143" w:name="_Toc1430568385"/>
      <w:r>
        <w:rPr>
          <w:rStyle w:val="29"/>
          <w:rFonts w:hint="eastAsia" w:ascii="CESI仿宋-GB2312" w:hAnsi="CESI仿宋-GB2312" w:eastAsia="CESI仿宋-GB2312" w:cs="CESI仿宋-GB2312"/>
          <w:b w:val="0"/>
          <w:bCs w:val="0"/>
        </w:rPr>
        <w:t>十二、</w:t>
      </w:r>
      <w:bookmarkEnd w:id="142"/>
      <w:r>
        <w:rPr>
          <w:rStyle w:val="29"/>
          <w:rFonts w:hint="eastAsia" w:ascii="CESI仿宋-GB2312" w:hAnsi="CESI仿宋-GB2312" w:eastAsia="CESI仿宋-GB2312" w:cs="CESI仿宋-GB2312"/>
          <w:b w:val="0"/>
          <w:bCs w:val="0"/>
        </w:rPr>
        <w:t>国有资本经营预算财政拨款支出决算表</w:t>
      </w:r>
      <w:bookmarkEnd w:id="143"/>
    </w:p>
    <w:p>
      <w:pPr>
        <w:pStyle w:val="4"/>
        <w:rPr>
          <w:rStyle w:val="29"/>
          <w:rFonts w:hint="eastAsia" w:ascii="CESI仿宋-GB2312" w:hAnsi="CESI仿宋-GB2312" w:eastAsia="CESI仿宋-GB2312" w:cs="CESI仿宋-GB2312"/>
          <w:b w:val="0"/>
          <w:bCs w:val="0"/>
        </w:rPr>
      </w:pPr>
      <w:bookmarkStart w:id="144" w:name="_Toc15396631"/>
      <w:bookmarkStart w:id="145" w:name="_Toc1120862109"/>
      <w:r>
        <w:rPr>
          <w:rStyle w:val="29"/>
          <w:rFonts w:hint="eastAsia" w:ascii="CESI仿宋-GB2312" w:hAnsi="CESI仿宋-GB2312" w:eastAsia="CESI仿宋-GB2312" w:cs="CESI仿宋-GB2312"/>
          <w:b w:val="0"/>
          <w:bCs w:val="0"/>
        </w:rPr>
        <w:t>十三、</w:t>
      </w:r>
      <w:bookmarkEnd w:id="144"/>
      <w:r>
        <w:rPr>
          <w:rStyle w:val="29"/>
          <w:rFonts w:hint="eastAsia" w:ascii="CESI仿宋-GB2312" w:hAnsi="CESI仿宋-GB2312" w:eastAsia="CESI仿宋-GB2312" w:cs="CESI仿宋-GB2312"/>
          <w:b w:val="0"/>
          <w:bCs w:val="0"/>
        </w:rPr>
        <w:t>财政拨款“三公”经费支出决算表</w:t>
      </w:r>
      <w:bookmarkEnd w:id="145"/>
    </w:p>
    <w:p>
      <w:pPr>
        <w:pStyle w:val="2"/>
        <w:keepLines/>
        <w:spacing w:line="20" w:lineRule="exact"/>
        <w:rPr>
          <w:sz w:val="10"/>
          <w:szCs w:val="10"/>
        </w:rPr>
      </w:pPr>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ESI仿宋-GB13000">
    <w:panose1 w:val="02000500000000000000"/>
    <w:charset w:val="86"/>
    <w:family w:val="auto"/>
    <w:pitch w:val="default"/>
    <w:sig w:usb0="800002BF" w:usb1="18CF7CF8" w:usb2="00000016" w:usb3="00000000" w:csb0="0004000F" w:csb1="00000000"/>
  </w:font>
  <w:font w:name="方正楷体_GBK">
    <w:panose1 w:val="02000000000000000000"/>
    <w:charset w:val="86"/>
    <w:family w:val="script"/>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华文行楷">
    <w:panose1 w:val="02010800040101010101"/>
    <w:charset w:val="86"/>
    <w:family w:val="auto"/>
    <w:pitch w:val="default"/>
    <w:sig w:usb0="00000001" w:usb1="080F0000" w:usb2="00000000" w:usb3="00000000" w:csb0="00040000" w:csb1="00000000"/>
  </w:font>
  <w:font w:name="国标仿宋">
    <w:panose1 w:val="02000500000000000000"/>
    <w:charset w:val="86"/>
    <w:family w:val="auto"/>
    <w:pitch w:val="default"/>
    <w:sig w:usb0="A00002BF" w:usb1="38C77CFA" w:usb2="00000016" w:usb3="00000000" w:csb0="00060007" w:csb1="00000000"/>
  </w:font>
  <w:font w:name="华文楷体">
    <w:panose1 w:val="02010600040101010101"/>
    <w:charset w:val="86"/>
    <w:family w:val="auto"/>
    <w:pitch w:val="default"/>
    <w:sig w:usb0="00000287" w:usb1="080F0000" w:usb2="00000000" w:usb3="00000000" w:csb0="0004009F" w:csb1="DFD70000"/>
  </w:font>
  <w:font w:name="国标宋体">
    <w:panose1 w:val="02000500000000000000"/>
    <w:charset w:val="86"/>
    <w:family w:val="auto"/>
    <w:pitch w:val="default"/>
    <w:sig w:usb0="00000001" w:usb1="28000000" w:usb2="00000000" w:usb3="00000000" w:csb0="00060007" w:csb1="00000000"/>
  </w:font>
  <w:font w:name="国标小标宋">
    <w:panose1 w:val="02000500000000000000"/>
    <w:charset w:val="86"/>
    <w:family w:val="auto"/>
    <w:pitch w:val="default"/>
    <w:sig w:usb0="00000001" w:usb1="08000000" w:usb2="00000000" w:usb3="00000000" w:csb0="00060007" w:csb1="00000000"/>
  </w:font>
  <w:font w:name="国标楷体">
    <w:panose1 w:val="02000500000000000000"/>
    <w:charset w:val="86"/>
    <w:family w:val="auto"/>
    <w:pitch w:val="default"/>
    <w:sig w:usb0="00000001" w:usb1="08000000" w:usb2="00000000" w:usb3="00000000" w:csb0="00060007" w:csb1="00000000"/>
  </w:font>
  <w:font w:name="国标黑体">
    <w:panose1 w:val="02000500000000000000"/>
    <w:charset w:val="86"/>
    <w:family w:val="auto"/>
    <w:pitch w:val="default"/>
    <w:sig w:usb0="00000001" w:usb1="08000000" w:usb2="00000000"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1ZWM2Mjk0MGFlMjk1MTg4MjI1ZTliYmQwMmMwYmQifQ=="/>
  </w:docVars>
  <w:rsids>
    <w:rsidRoot w:val="00F1361C"/>
    <w:rsid w:val="000222C6"/>
    <w:rsid w:val="0002549F"/>
    <w:rsid w:val="000468DB"/>
    <w:rsid w:val="0006487A"/>
    <w:rsid w:val="00065F8F"/>
    <w:rsid w:val="00070A43"/>
    <w:rsid w:val="000768F2"/>
    <w:rsid w:val="00085004"/>
    <w:rsid w:val="000873C3"/>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0F61"/>
    <w:rsid w:val="00157BAB"/>
    <w:rsid w:val="0016478C"/>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37C4F"/>
    <w:rsid w:val="00260C38"/>
    <w:rsid w:val="002616C0"/>
    <w:rsid w:val="00265372"/>
    <w:rsid w:val="002662AA"/>
    <w:rsid w:val="0027601B"/>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953D2"/>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0E1E"/>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C7F9D"/>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3A1"/>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8F7FCC"/>
    <w:rsid w:val="00900B08"/>
    <w:rsid w:val="00902155"/>
    <w:rsid w:val="00902FA3"/>
    <w:rsid w:val="00921385"/>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0113"/>
    <w:rsid w:val="009B2C43"/>
    <w:rsid w:val="009B4EAE"/>
    <w:rsid w:val="009B7573"/>
    <w:rsid w:val="009C22F4"/>
    <w:rsid w:val="009C2A4B"/>
    <w:rsid w:val="009C2E98"/>
    <w:rsid w:val="009D3447"/>
    <w:rsid w:val="009D4711"/>
    <w:rsid w:val="009E06C3"/>
    <w:rsid w:val="009F1185"/>
    <w:rsid w:val="009F18CD"/>
    <w:rsid w:val="009F1BA0"/>
    <w:rsid w:val="009F2A13"/>
    <w:rsid w:val="009F7527"/>
    <w:rsid w:val="00A04EB0"/>
    <w:rsid w:val="00A07D59"/>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1F09"/>
    <w:rsid w:val="00B53C56"/>
    <w:rsid w:val="00B57DAF"/>
    <w:rsid w:val="00B6461C"/>
    <w:rsid w:val="00B75E52"/>
    <w:rsid w:val="00B77EA6"/>
    <w:rsid w:val="00B81598"/>
    <w:rsid w:val="00B841F1"/>
    <w:rsid w:val="00B944D6"/>
    <w:rsid w:val="00BB4DF0"/>
    <w:rsid w:val="00BC289F"/>
    <w:rsid w:val="00BC2D50"/>
    <w:rsid w:val="00BC5361"/>
    <w:rsid w:val="00BC5460"/>
    <w:rsid w:val="00BC6B50"/>
    <w:rsid w:val="00BD0E25"/>
    <w:rsid w:val="00BD5F32"/>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321D"/>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77315"/>
    <w:rsid w:val="00DA307C"/>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B7004"/>
    <w:rsid w:val="00FC7B2A"/>
    <w:rsid w:val="00FD3CC1"/>
    <w:rsid w:val="00FF1E02"/>
    <w:rsid w:val="00FF30B4"/>
    <w:rsid w:val="02807E48"/>
    <w:rsid w:val="03DC2831"/>
    <w:rsid w:val="05B16FED"/>
    <w:rsid w:val="07785F9A"/>
    <w:rsid w:val="081B5E94"/>
    <w:rsid w:val="083D433D"/>
    <w:rsid w:val="0A2032A3"/>
    <w:rsid w:val="0A954AC0"/>
    <w:rsid w:val="0B2E291C"/>
    <w:rsid w:val="0B8A37D8"/>
    <w:rsid w:val="0E8D60ED"/>
    <w:rsid w:val="0ED87D2A"/>
    <w:rsid w:val="0F5FFB2F"/>
    <w:rsid w:val="0FFFCF60"/>
    <w:rsid w:val="10C055FF"/>
    <w:rsid w:val="118107EC"/>
    <w:rsid w:val="11DD6519"/>
    <w:rsid w:val="12796DA5"/>
    <w:rsid w:val="13A45249"/>
    <w:rsid w:val="13C702B9"/>
    <w:rsid w:val="141C5790"/>
    <w:rsid w:val="143B567E"/>
    <w:rsid w:val="152E4809"/>
    <w:rsid w:val="15683DD5"/>
    <w:rsid w:val="15FB49D8"/>
    <w:rsid w:val="16BB723D"/>
    <w:rsid w:val="18015F3F"/>
    <w:rsid w:val="1900649C"/>
    <w:rsid w:val="1A7607B8"/>
    <w:rsid w:val="1B657F27"/>
    <w:rsid w:val="1BE8440E"/>
    <w:rsid w:val="1C1C6066"/>
    <w:rsid w:val="1C5F4D57"/>
    <w:rsid w:val="1D155CEE"/>
    <w:rsid w:val="1DA529AA"/>
    <w:rsid w:val="1FDBBF84"/>
    <w:rsid w:val="20246BBC"/>
    <w:rsid w:val="20D86DC7"/>
    <w:rsid w:val="20F57F95"/>
    <w:rsid w:val="215B580F"/>
    <w:rsid w:val="240371BF"/>
    <w:rsid w:val="24AC5386"/>
    <w:rsid w:val="2561583D"/>
    <w:rsid w:val="25711CC6"/>
    <w:rsid w:val="259A582D"/>
    <w:rsid w:val="25AB74C3"/>
    <w:rsid w:val="25C741E6"/>
    <w:rsid w:val="26467D9E"/>
    <w:rsid w:val="276F80C0"/>
    <w:rsid w:val="27842671"/>
    <w:rsid w:val="28275C2E"/>
    <w:rsid w:val="28385A2D"/>
    <w:rsid w:val="285851BC"/>
    <w:rsid w:val="28A1660B"/>
    <w:rsid w:val="297F5D39"/>
    <w:rsid w:val="29FD04D3"/>
    <w:rsid w:val="2ABE7A3E"/>
    <w:rsid w:val="2AFF09B6"/>
    <w:rsid w:val="2BBE27DA"/>
    <w:rsid w:val="2CA234A8"/>
    <w:rsid w:val="2D7E27B9"/>
    <w:rsid w:val="2EA32F57"/>
    <w:rsid w:val="2EFA178C"/>
    <w:rsid w:val="2EFDF86C"/>
    <w:rsid w:val="2F670453"/>
    <w:rsid w:val="2F9D17E1"/>
    <w:rsid w:val="30185CCC"/>
    <w:rsid w:val="30B46D73"/>
    <w:rsid w:val="319F7F4E"/>
    <w:rsid w:val="32BA76E3"/>
    <w:rsid w:val="356A28F1"/>
    <w:rsid w:val="357C035A"/>
    <w:rsid w:val="35FD29AD"/>
    <w:rsid w:val="36344D15"/>
    <w:rsid w:val="368E000D"/>
    <w:rsid w:val="37845460"/>
    <w:rsid w:val="383D272C"/>
    <w:rsid w:val="39AE70AB"/>
    <w:rsid w:val="3A4DCE41"/>
    <w:rsid w:val="3AD93113"/>
    <w:rsid w:val="3BCB56FA"/>
    <w:rsid w:val="3C0C0783"/>
    <w:rsid w:val="3DC84AF1"/>
    <w:rsid w:val="3DE15708"/>
    <w:rsid w:val="3EA040C7"/>
    <w:rsid w:val="3EE7C2F4"/>
    <w:rsid w:val="3F371B56"/>
    <w:rsid w:val="3F792ED8"/>
    <w:rsid w:val="3F7B6B01"/>
    <w:rsid w:val="3F9F3A96"/>
    <w:rsid w:val="3FECA4B2"/>
    <w:rsid w:val="3FF58C48"/>
    <w:rsid w:val="4039737A"/>
    <w:rsid w:val="40522B76"/>
    <w:rsid w:val="416D268A"/>
    <w:rsid w:val="42C037B2"/>
    <w:rsid w:val="42FF6694"/>
    <w:rsid w:val="43515BBA"/>
    <w:rsid w:val="43CE1DB1"/>
    <w:rsid w:val="44415380"/>
    <w:rsid w:val="45D3296A"/>
    <w:rsid w:val="463B3788"/>
    <w:rsid w:val="4790350B"/>
    <w:rsid w:val="48B67DEB"/>
    <w:rsid w:val="48BF60AB"/>
    <w:rsid w:val="493C27E9"/>
    <w:rsid w:val="496F39ED"/>
    <w:rsid w:val="497353ED"/>
    <w:rsid w:val="49C56E8E"/>
    <w:rsid w:val="49FF41D3"/>
    <w:rsid w:val="4A512E0D"/>
    <w:rsid w:val="4B116EBF"/>
    <w:rsid w:val="4BCD1C09"/>
    <w:rsid w:val="4BE068DB"/>
    <w:rsid w:val="4BF6002B"/>
    <w:rsid w:val="4BFFC6BE"/>
    <w:rsid w:val="4C231AFE"/>
    <w:rsid w:val="4D6D36A4"/>
    <w:rsid w:val="4E413E3B"/>
    <w:rsid w:val="4ECE2238"/>
    <w:rsid w:val="4F754682"/>
    <w:rsid w:val="500222F1"/>
    <w:rsid w:val="51093CAA"/>
    <w:rsid w:val="51DB4B86"/>
    <w:rsid w:val="51F64DB0"/>
    <w:rsid w:val="53A44698"/>
    <w:rsid w:val="53DA7A8E"/>
    <w:rsid w:val="55244B63"/>
    <w:rsid w:val="55333C3E"/>
    <w:rsid w:val="55E42029"/>
    <w:rsid w:val="58804677"/>
    <w:rsid w:val="5A10724B"/>
    <w:rsid w:val="5CF01150"/>
    <w:rsid w:val="5E68756F"/>
    <w:rsid w:val="5E707683"/>
    <w:rsid w:val="5E7F5C28"/>
    <w:rsid w:val="5E9A6BA3"/>
    <w:rsid w:val="5EB83834"/>
    <w:rsid w:val="5EF16679"/>
    <w:rsid w:val="5F67802D"/>
    <w:rsid w:val="5F7DC4F2"/>
    <w:rsid w:val="5FB36814"/>
    <w:rsid w:val="5FBB8E56"/>
    <w:rsid w:val="5FFB5535"/>
    <w:rsid w:val="600A4341"/>
    <w:rsid w:val="617921AE"/>
    <w:rsid w:val="622D5734"/>
    <w:rsid w:val="62DFA65D"/>
    <w:rsid w:val="630148E7"/>
    <w:rsid w:val="63213E5D"/>
    <w:rsid w:val="634D373C"/>
    <w:rsid w:val="6351064A"/>
    <w:rsid w:val="639A41A9"/>
    <w:rsid w:val="64CA39A1"/>
    <w:rsid w:val="67F9197F"/>
    <w:rsid w:val="67F96702"/>
    <w:rsid w:val="687E00BB"/>
    <w:rsid w:val="692C58A1"/>
    <w:rsid w:val="69630ADE"/>
    <w:rsid w:val="69BD5F13"/>
    <w:rsid w:val="69FB0B4B"/>
    <w:rsid w:val="6BFFE1FB"/>
    <w:rsid w:val="6C4A05C8"/>
    <w:rsid w:val="6C835A63"/>
    <w:rsid w:val="6D3B1A89"/>
    <w:rsid w:val="6DB7D8A3"/>
    <w:rsid w:val="6EC78701"/>
    <w:rsid w:val="6F557BD7"/>
    <w:rsid w:val="6F7A5481"/>
    <w:rsid w:val="6FFE07A9"/>
    <w:rsid w:val="71BF4EC2"/>
    <w:rsid w:val="72734D90"/>
    <w:rsid w:val="73100AD4"/>
    <w:rsid w:val="736148E3"/>
    <w:rsid w:val="73657D25"/>
    <w:rsid w:val="73E75B71"/>
    <w:rsid w:val="7412278C"/>
    <w:rsid w:val="744E4040"/>
    <w:rsid w:val="75DDCDA9"/>
    <w:rsid w:val="75FF44B1"/>
    <w:rsid w:val="77670518"/>
    <w:rsid w:val="777FA627"/>
    <w:rsid w:val="77DF1B5F"/>
    <w:rsid w:val="77EF2D9D"/>
    <w:rsid w:val="79E7B28D"/>
    <w:rsid w:val="7ACFF0C2"/>
    <w:rsid w:val="7AFB9108"/>
    <w:rsid w:val="7B2172CE"/>
    <w:rsid w:val="7BD5340C"/>
    <w:rsid w:val="7BFB19D2"/>
    <w:rsid w:val="7BFD1750"/>
    <w:rsid w:val="7BFDAA1B"/>
    <w:rsid w:val="7C34324B"/>
    <w:rsid w:val="7C4B0B77"/>
    <w:rsid w:val="7CDF9A82"/>
    <w:rsid w:val="7CFFA1BD"/>
    <w:rsid w:val="7D2E3F7A"/>
    <w:rsid w:val="7D6BDA02"/>
    <w:rsid w:val="7DED9490"/>
    <w:rsid w:val="7DFF4872"/>
    <w:rsid w:val="7E5074A1"/>
    <w:rsid w:val="7E7487E6"/>
    <w:rsid w:val="7E7C2A54"/>
    <w:rsid w:val="7EEEFD72"/>
    <w:rsid w:val="7F1D517C"/>
    <w:rsid w:val="7F5201D1"/>
    <w:rsid w:val="7F5DA057"/>
    <w:rsid w:val="7F6C2237"/>
    <w:rsid w:val="7F7F319B"/>
    <w:rsid w:val="7F9F20EE"/>
    <w:rsid w:val="7FBBE890"/>
    <w:rsid w:val="7FBC2ABD"/>
    <w:rsid w:val="7FBF5D48"/>
    <w:rsid w:val="7FCA1006"/>
    <w:rsid w:val="7FCCFC01"/>
    <w:rsid w:val="7FDD1748"/>
    <w:rsid w:val="7FE769C6"/>
    <w:rsid w:val="7FFD083E"/>
    <w:rsid w:val="7FFF9372"/>
    <w:rsid w:val="84BF1F3B"/>
    <w:rsid w:val="8F55B106"/>
    <w:rsid w:val="95DF317D"/>
    <w:rsid w:val="97E77C70"/>
    <w:rsid w:val="9D25FA64"/>
    <w:rsid w:val="9E3A10E2"/>
    <w:rsid w:val="9FB91FBD"/>
    <w:rsid w:val="9FD54998"/>
    <w:rsid w:val="9FFD4FF4"/>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EF9BB1"/>
    <w:rsid w:val="DFFC559C"/>
    <w:rsid w:val="DFFC6C6E"/>
    <w:rsid w:val="DFFEDFAE"/>
    <w:rsid w:val="DFFFB5EB"/>
    <w:rsid w:val="E37EF49E"/>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5CD508"/>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15073440886106"/>
          <c:y val="0.0456140350877193"/>
          <c:w val="0.764026005297375"/>
          <c:h val="0.895768833849329"/>
        </c:manualLayout>
      </c:layout>
      <c:barChart>
        <c:barDir val="col"/>
        <c:grouping val="clustered"/>
        <c:varyColors val="0"/>
        <c:ser>
          <c:idx val="0"/>
          <c:order val="0"/>
          <c:tx>
            <c:strRef>
              <c:f>Sheet1!$B$1</c:f>
              <c:strCache>
                <c:ptCount val="1"/>
                <c:pt idx="0">
                  <c:v>2022年</c:v>
                </c:pt>
              </c:strCache>
            </c:strRef>
          </c:tx>
          <c:invertIfNegative val="0"/>
          <c:dLbls>
            <c:delete val="1"/>
          </c:dLbls>
          <c:cat>
            <c:numRef>
              <c:f>Sheet1!$A$2</c:f>
              <c:numCache>
                <c:formatCode>General</c:formatCode>
                <c:ptCount val="1"/>
              </c:numCache>
            </c:numRef>
          </c:cat>
          <c:val>
            <c:numRef>
              <c:f>Sheet1!$B$2</c:f>
              <c:numCache>
                <c:formatCode>General</c:formatCode>
                <c:ptCount val="1"/>
                <c:pt idx="0">
                  <c:v>2513.16</c:v>
                </c:pt>
              </c:numCache>
            </c:numRef>
          </c:val>
        </c:ser>
        <c:ser>
          <c:idx val="1"/>
          <c:order val="1"/>
          <c:tx>
            <c:strRef>
              <c:f>Sheet1!$C$1</c:f>
              <c:strCache>
                <c:ptCount val="1"/>
                <c:pt idx="0">
                  <c:v>2023年</c:v>
                </c:pt>
              </c:strCache>
            </c:strRef>
          </c:tx>
          <c:invertIfNegative val="0"/>
          <c:dLbls>
            <c:delete val="1"/>
          </c:dLbls>
          <c:cat>
            <c:numRef>
              <c:f>Sheet1!$A$2</c:f>
              <c:numCache>
                <c:formatCode>General</c:formatCode>
                <c:ptCount val="1"/>
              </c:numCache>
            </c:numRef>
          </c:cat>
          <c:val>
            <c:numRef>
              <c:f>Sheet1!$C$2</c:f>
              <c:numCache>
                <c:formatCode>General</c:formatCode>
                <c:ptCount val="1"/>
                <c:pt idx="0">
                  <c:v>7258.84</c:v>
                </c:pt>
              </c:numCache>
            </c:numRef>
          </c:val>
        </c:ser>
        <c:dLbls>
          <c:showLegendKey val="0"/>
          <c:showVal val="0"/>
          <c:showCatName val="0"/>
          <c:showSerName val="0"/>
          <c:showPercent val="0"/>
          <c:showBubbleSize val="0"/>
        </c:dLbls>
        <c:gapWidth val="330"/>
        <c:overlap val="-100"/>
        <c:axId val="253676160"/>
        <c:axId val="253686144"/>
      </c:barChart>
      <c:catAx>
        <c:axId val="253676160"/>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3686144"/>
        <c:crosses val="autoZero"/>
        <c:auto val="1"/>
        <c:lblAlgn val="ctr"/>
        <c:lblOffset val="100"/>
        <c:noMultiLvlLbl val="0"/>
      </c:catAx>
      <c:valAx>
        <c:axId val="25368614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367616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2023年收入</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c:v>
                </c:pt>
                <c:pt idx="1">
                  <c:v>政府性基金预算财政拨款收入</c:v>
                </c:pt>
              </c:strCache>
            </c:strRef>
          </c:cat>
          <c:val>
            <c:numRef>
              <c:f>Sheet1!$B$2:$B$6</c:f>
              <c:numCache>
                <c:formatCode>General</c:formatCode>
                <c:ptCount val="5"/>
                <c:pt idx="0">
                  <c:v>2258.84</c:v>
                </c:pt>
                <c:pt idx="1">
                  <c:v>5000</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0863247863247863"/>
          <c:y val="0.163698630136986"/>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2023年支出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基本支出</c:v>
                </c:pt>
                <c:pt idx="1">
                  <c:v>项目支出</c:v>
                </c:pt>
              </c:strCache>
            </c:strRef>
          </c:cat>
          <c:val>
            <c:numRef>
              <c:f>Sheet1!$B$2:$B$6</c:f>
              <c:numCache>
                <c:formatCode>General</c:formatCode>
                <c:ptCount val="5"/>
                <c:pt idx="0">
                  <c:v>603.79</c:v>
                </c:pt>
                <c:pt idx="1">
                  <c:v>6655.05</c:v>
                </c:pt>
              </c:numCache>
            </c:numRef>
          </c:val>
        </c:ser>
        <c:dLbls>
          <c:showLegendKey val="0"/>
          <c:showVal val="0"/>
          <c:showCatName val="0"/>
          <c:showSerName val="0"/>
          <c:showPercent val="1"/>
          <c:showBubbleSize val="0"/>
          <c:showLeaderLines val="1"/>
        </c:dLbls>
        <c:firstSliceAng val="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15073440886106"/>
          <c:y val="0.0456140350877193"/>
          <c:w val="0.764026005297375"/>
          <c:h val="0.895768833849329"/>
        </c:manualLayout>
      </c:layout>
      <c:barChart>
        <c:barDir val="col"/>
        <c:grouping val="clustered"/>
        <c:varyColors val="0"/>
        <c:ser>
          <c:idx val="0"/>
          <c:order val="0"/>
          <c:tx>
            <c:strRef>
              <c:f>Sheet1!$B$1</c:f>
              <c:strCache>
                <c:ptCount val="1"/>
                <c:pt idx="0">
                  <c:v>2022年</c:v>
                </c:pt>
              </c:strCache>
            </c:strRef>
          </c:tx>
          <c:invertIfNegative val="0"/>
          <c:dLbls>
            <c:delete val="1"/>
          </c:dLbls>
          <c:cat>
            <c:numRef>
              <c:f>Sheet1!$A$2</c:f>
              <c:numCache>
                <c:formatCode>General</c:formatCode>
                <c:ptCount val="1"/>
              </c:numCache>
            </c:numRef>
          </c:cat>
          <c:val>
            <c:numRef>
              <c:f>Sheet1!$B$2</c:f>
              <c:numCache>
                <c:formatCode>General</c:formatCode>
                <c:ptCount val="1"/>
                <c:pt idx="0">
                  <c:v>2513.16</c:v>
                </c:pt>
              </c:numCache>
            </c:numRef>
          </c:val>
        </c:ser>
        <c:ser>
          <c:idx val="1"/>
          <c:order val="1"/>
          <c:tx>
            <c:strRef>
              <c:f>Sheet1!$C$1</c:f>
              <c:strCache>
                <c:ptCount val="1"/>
                <c:pt idx="0">
                  <c:v>2023年</c:v>
                </c:pt>
              </c:strCache>
            </c:strRef>
          </c:tx>
          <c:invertIfNegative val="0"/>
          <c:dLbls>
            <c:delete val="1"/>
          </c:dLbls>
          <c:cat>
            <c:numRef>
              <c:f>Sheet1!$A$2</c:f>
              <c:numCache>
                <c:formatCode>General</c:formatCode>
                <c:ptCount val="1"/>
              </c:numCache>
            </c:numRef>
          </c:cat>
          <c:val>
            <c:numRef>
              <c:f>Sheet1!$C$2</c:f>
              <c:numCache>
                <c:formatCode>General</c:formatCode>
                <c:ptCount val="1"/>
                <c:pt idx="0">
                  <c:v>7258.84</c:v>
                </c:pt>
              </c:numCache>
            </c:numRef>
          </c:val>
        </c:ser>
        <c:dLbls>
          <c:showLegendKey val="0"/>
          <c:showVal val="0"/>
          <c:showCatName val="0"/>
          <c:showSerName val="0"/>
          <c:showPercent val="0"/>
          <c:showBubbleSize val="0"/>
        </c:dLbls>
        <c:gapWidth val="330"/>
        <c:overlap val="-100"/>
        <c:axId val="254071552"/>
        <c:axId val="254073088"/>
      </c:barChart>
      <c:catAx>
        <c:axId val="25407155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4073088"/>
        <c:crosses val="autoZero"/>
        <c:auto val="1"/>
        <c:lblAlgn val="ctr"/>
        <c:lblOffset val="100"/>
        <c:noMultiLvlLbl val="0"/>
      </c:catAx>
      <c:valAx>
        <c:axId val="2540730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407155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delete val="1"/>
          </c:dLbls>
          <c:cat>
            <c:numRef>
              <c:f>Sheet1!$A$2</c:f>
              <c:numCache>
                <c:formatCode>General</c:formatCode>
                <c:ptCount val="1"/>
              </c:numCache>
            </c:numRef>
          </c:cat>
          <c:val>
            <c:numRef>
              <c:f>Sheet1!$B$2</c:f>
              <c:numCache>
                <c:formatCode>General</c:formatCode>
                <c:ptCount val="1"/>
                <c:pt idx="0">
                  <c:v>2513.16</c:v>
                </c:pt>
              </c:numCache>
            </c:numRef>
          </c:val>
        </c:ser>
        <c:ser>
          <c:idx val="1"/>
          <c:order val="1"/>
          <c:tx>
            <c:strRef>
              <c:f>Sheet1!$C$1</c:f>
              <c:strCache>
                <c:ptCount val="1"/>
                <c:pt idx="0">
                  <c:v>2023年</c:v>
                </c:pt>
              </c:strCache>
            </c:strRef>
          </c:tx>
          <c:invertIfNegative val="0"/>
          <c:dLbls>
            <c:delete val="1"/>
          </c:dLbls>
          <c:cat>
            <c:numRef>
              <c:f>Sheet1!$A$2</c:f>
              <c:numCache>
                <c:formatCode>General</c:formatCode>
                <c:ptCount val="1"/>
              </c:numCache>
            </c:numRef>
          </c:cat>
          <c:val>
            <c:numRef>
              <c:f>Sheet1!$C$2</c:f>
              <c:numCache>
                <c:formatCode>General</c:formatCode>
                <c:ptCount val="1"/>
                <c:pt idx="0">
                  <c:v>2258.84</c:v>
                </c:pt>
              </c:numCache>
            </c:numRef>
          </c:val>
        </c:ser>
        <c:dLbls>
          <c:showLegendKey val="0"/>
          <c:showVal val="0"/>
          <c:showCatName val="0"/>
          <c:showSerName val="0"/>
          <c:showPercent val="0"/>
          <c:showBubbleSize val="0"/>
        </c:dLbls>
        <c:gapWidth val="330"/>
        <c:overlap val="-100"/>
        <c:axId val="205802496"/>
        <c:axId val="254096128"/>
      </c:barChart>
      <c:catAx>
        <c:axId val="20580249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4096128"/>
        <c:crosses val="autoZero"/>
        <c:auto val="1"/>
        <c:lblAlgn val="ctr"/>
        <c:lblOffset val="100"/>
        <c:noMultiLvlLbl val="0"/>
      </c:catAx>
      <c:valAx>
        <c:axId val="25409612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580249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2023年支出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社会保障和就业支出</c:v>
                </c:pt>
                <c:pt idx="1">
                  <c:v>卫生健康支出</c:v>
                </c:pt>
                <c:pt idx="2">
                  <c:v>农林水支出</c:v>
                </c:pt>
                <c:pt idx="3">
                  <c:v>住房保障支出</c:v>
                </c:pt>
              </c:strCache>
            </c:strRef>
          </c:cat>
          <c:val>
            <c:numRef>
              <c:f>Sheet1!$B$2:$B$6</c:f>
              <c:numCache>
                <c:formatCode>General</c:formatCode>
                <c:ptCount val="5"/>
                <c:pt idx="0">
                  <c:v>203.12</c:v>
                </c:pt>
                <c:pt idx="1">
                  <c:v>1826.71</c:v>
                </c:pt>
                <c:pt idx="2">
                  <c:v>196</c:v>
                </c:pt>
                <c:pt idx="3">
                  <c:v>33.01</c:v>
                </c:pt>
              </c:numCache>
            </c:numRef>
          </c:val>
        </c:ser>
        <c:dLbls>
          <c:showLegendKey val="0"/>
          <c:showVal val="0"/>
          <c:showCatName val="0"/>
          <c:showSerName val="0"/>
          <c:showPercent val="1"/>
          <c:showBubbleSize val="0"/>
          <c:showLeaderLines val="1"/>
        </c:dLbls>
        <c:firstSliceAng val="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2022年“三公”经费财政拨款支出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Sheet1!$A$3:$A$7</c:f>
              <c:strCache>
                <c:ptCount val="5"/>
                <c:pt idx="0">
                  <c:v>公务用车购置及运行维护费支出</c:v>
                </c:pt>
                <c:pt idx="1">
                  <c:v>公务接待费支出</c:v>
                </c:pt>
              </c:strCache>
            </c:strRef>
          </c:cat>
          <c:val>
            <c:numRef>
              <c:f>Sheet1!$B$3:$B$7</c:f>
              <c:numCache>
                <c:formatCode>General</c:formatCode>
                <c:ptCount val="5"/>
                <c:pt idx="0">
                  <c:v>0.8</c:v>
                </c:pt>
                <c:pt idx="1">
                  <c:v>0</c:v>
                </c:pt>
              </c:numCache>
            </c:numRef>
          </c:val>
        </c:ser>
        <c:dLbls>
          <c:showLegendKey val="0"/>
          <c:showVal val="1"/>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26</Pages>
  <Words>8135</Words>
  <Characters>1057</Characters>
  <Lines>8</Lines>
  <Paragraphs>18</Paragraphs>
  <TotalTime>37</TotalTime>
  <ScaleCrop>false</ScaleCrop>
  <LinksUpToDate>false</LinksUpToDate>
  <CharactersWithSpaces>9174</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2020-08-10T01:49:00Z</dcterms:created>
  <dc:creator>曹颖</dc:creator>
  <cp:lastModifiedBy>user</cp:lastModifiedBy>
  <cp:lastPrinted>2024-10-17T11:56:00Z</cp:lastPrinted>
  <dcterms:modified xsi:type="dcterms:W3CDTF">2024-10-28T09:23:19Z</dcterms:modified>
  <dc:title>四川省***</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836F9A8B673641639A242510C3F0D0E2_12</vt:lpwstr>
  </property>
</Properties>
</file>