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2D346B">
      <w:pPr>
        <w:spacing w:line="600" w:lineRule="exact"/>
        <w:jc w:val="left"/>
        <w:outlineLvl w:val="0"/>
        <w:rPr>
          <w:rFonts w:ascii="方正小标宋简体" w:hAnsi="宋体" w:eastAsia="方正小标宋简体"/>
          <w:szCs w:val="21"/>
        </w:rPr>
      </w:pPr>
      <w:bookmarkStart w:id="0" w:name="_Toc15306267"/>
    </w:p>
    <w:p w14:paraId="7DBA4AE2">
      <w:pPr>
        <w:spacing w:line="600" w:lineRule="exact"/>
        <w:jc w:val="center"/>
        <w:outlineLvl w:val="0"/>
        <w:rPr>
          <w:rFonts w:ascii="方正小标宋简体" w:hAnsi="宋体" w:eastAsia="方正小标宋简体"/>
          <w:sz w:val="72"/>
          <w:szCs w:val="72"/>
        </w:rPr>
      </w:pPr>
    </w:p>
    <w:p w14:paraId="64596A22">
      <w:pPr>
        <w:spacing w:line="600" w:lineRule="exact"/>
        <w:jc w:val="center"/>
        <w:outlineLvl w:val="0"/>
        <w:rPr>
          <w:rFonts w:ascii="方正小标宋简体" w:hAnsi="宋体" w:eastAsia="方正小标宋简体"/>
          <w:sz w:val="72"/>
          <w:szCs w:val="72"/>
        </w:rPr>
      </w:pPr>
    </w:p>
    <w:p w14:paraId="079048FF">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1" w:name="_Toc15396597"/>
      <w:bookmarkStart w:id="2" w:name="_Toc15377193"/>
      <w:bookmarkStart w:id="3" w:name="_Toc15378441"/>
      <w:bookmarkStart w:id="4" w:name="_Toc15396475"/>
      <w:bookmarkStart w:id="5" w:name="_Toc15377425"/>
    </w:p>
    <w:p w14:paraId="3BB828AF">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年度</w:t>
      </w:r>
      <w:bookmarkEnd w:id="1"/>
      <w:bookmarkEnd w:id="2"/>
      <w:bookmarkEnd w:id="3"/>
      <w:bookmarkEnd w:id="4"/>
      <w:bookmarkEnd w:id="5"/>
    </w:p>
    <w:bookmarkEnd w:id="0"/>
    <w:p w14:paraId="646EBFAE">
      <w:pPr>
        <w:adjustRightInd w:val="0"/>
        <w:snapToGrid w:val="0"/>
        <w:spacing w:line="360" w:lineRule="auto"/>
        <w:jc w:val="center"/>
        <w:outlineLvl w:val="0"/>
        <w:rPr>
          <w:rFonts w:hint="eastAsia" w:ascii="方正小标宋简体" w:hAnsi="方正小标宋简体" w:eastAsia="方正小标宋简体" w:cs="方正小标宋简体"/>
          <w:sz w:val="44"/>
          <w:szCs w:val="44"/>
          <w:lang w:eastAsia="zh-CN"/>
        </w:rPr>
      </w:pPr>
      <w:bookmarkStart w:id="6" w:name="_Toc15396598"/>
      <w:bookmarkStart w:id="7" w:name="_Toc15377194"/>
      <w:bookmarkStart w:id="8" w:name="_Toc15306268"/>
      <w:bookmarkStart w:id="9" w:name="_Toc15377426"/>
      <w:bookmarkStart w:id="10" w:name="_Toc15378442"/>
      <w:bookmarkStart w:id="11" w:name="_Toc15396476"/>
      <w:r>
        <w:rPr>
          <w:rFonts w:hint="eastAsia" w:ascii="方正小标宋简体" w:hAnsi="方正小标宋简体" w:eastAsia="方正小标宋简体" w:cs="方正小标宋简体"/>
          <w:sz w:val="44"/>
          <w:szCs w:val="44"/>
          <w:lang w:eastAsia="zh-CN"/>
        </w:rPr>
        <w:t>盐边县红果中心卫生院</w:t>
      </w:r>
    </w:p>
    <w:p w14:paraId="56CC6E2D">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14:paraId="47D1199C">
      <w:pPr>
        <w:widowControl/>
        <w:jc w:val="center"/>
        <w:rPr>
          <w:rFonts w:ascii="黑体" w:hAnsi="黑体" w:eastAsia="黑体"/>
          <w:color w:val="000000"/>
          <w:sz w:val="48"/>
          <w:szCs w:val="48"/>
        </w:rPr>
      </w:pPr>
      <w:r>
        <w:rPr>
          <w:rFonts w:ascii="方正小标宋简体" w:hAnsi="宋体" w:eastAsia="方正小标宋简体"/>
          <w:sz w:val="36"/>
          <w:szCs w:val="36"/>
        </w:rPr>
        <w:br w:type="page"/>
      </w:r>
      <w:bookmarkStart w:id="12" w:name="_Toc15377197"/>
      <w:bookmarkStart w:id="13" w:name="_Toc15396600"/>
      <w:r>
        <w:rPr>
          <w:rFonts w:hint="eastAsia" w:ascii="黑体" w:hAnsi="黑体" w:eastAsia="黑体"/>
          <w:color w:val="000000"/>
          <w:sz w:val="48"/>
          <w:szCs w:val="48"/>
        </w:rPr>
        <w:t>目录</w:t>
      </w:r>
    </w:p>
    <w:p w14:paraId="23BAAB44">
      <w:pPr>
        <w:pStyle w:val="11"/>
        <w:ind w:right="-218" w:rightChars="-104" w:firstLine="2240" w:firstLineChars="700"/>
        <w:jc w:val="both"/>
        <w:rPr>
          <w:rFonts w:hint="eastAsia" w:ascii="仿宋" w:hAnsi="仿宋" w:eastAsia="仿宋" w:cs="仿宋"/>
          <w:sz w:val="32"/>
          <w:szCs w:val="32"/>
        </w:rPr>
      </w:pPr>
      <w:r>
        <w:rPr>
          <w:rFonts w:hint="eastAsia" w:ascii="仿宋" w:hAnsi="仿宋" w:eastAsia="仿宋" w:cs="仿宋"/>
          <w:sz w:val="32"/>
          <w:szCs w:val="32"/>
        </w:rPr>
        <w:t>公开时间：202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28</w:t>
      </w:r>
      <w:r>
        <w:rPr>
          <w:rFonts w:hint="eastAsia" w:ascii="仿宋" w:hAnsi="仿宋" w:eastAsia="仿宋" w:cs="仿宋"/>
          <w:sz w:val="32"/>
          <w:szCs w:val="32"/>
        </w:rPr>
        <w:t>日</w:t>
      </w:r>
    </w:p>
    <w:p w14:paraId="372EDCEA">
      <w:pPr>
        <w:tabs>
          <w:tab w:val="left" w:pos="8400"/>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TOC \o "1-3" \h \u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第一部分单位概况</w:t>
      </w:r>
      <w:r>
        <w:rPr>
          <w:rFonts w:hint="eastAsia" w:eastAsia="仿宋_GB2312"/>
          <w:sz w:val="28"/>
          <w:szCs w:val="28"/>
          <w:lang w:val="en-US" w:eastAsia="zh-CN"/>
        </w:rPr>
        <w:t>...............................................................................</w:t>
      </w:r>
      <w:r>
        <w:rPr>
          <w:rFonts w:hint="eastAsia" w:eastAsia="仿宋_GB2312"/>
          <w:sz w:val="32"/>
          <w:szCs w:val="32"/>
          <w:lang w:val="en-US" w:eastAsia="zh-CN"/>
        </w:rPr>
        <w:t>1</w:t>
      </w:r>
    </w:p>
    <w:p w14:paraId="34BA2DE6">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_Toc20417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 主要职责</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p>
    <w:p w14:paraId="74E0A132">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_Toc29815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lang w:val="en-US" w:eastAsia="zh-CN"/>
        </w:rPr>
        <w:t xml:space="preserve">二、 </w:t>
      </w:r>
      <w:r>
        <w:rPr>
          <w:rFonts w:hint="default" w:ascii="Times New Roman" w:hAnsi="Times New Roman" w:eastAsia="仿宋_GB2312" w:cs="Times New Roman"/>
          <w:sz w:val="32"/>
          <w:szCs w:val="32"/>
        </w:rPr>
        <w:t>机构设置</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p>
    <w:p w14:paraId="67B9E866">
      <w:pPr>
        <w:pStyle w:val="11"/>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_Toc18061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第二部分 202</w:t>
      </w:r>
      <w:r>
        <w:rPr>
          <w:rFonts w:hint="eastAsia"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年度单位决算情况说明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14:paraId="0C5DE5FA">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_Toc6490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sz w:val="32"/>
          <w:szCs w:val="32"/>
        </w:rPr>
        <w:t xml:space="preserve">一、 </w:t>
      </w:r>
      <w:r>
        <w:rPr>
          <w:rFonts w:hint="default" w:ascii="Times New Roman" w:hAnsi="Times New Roman" w:eastAsia="仿宋_GB2312" w:cs="Times New Roman"/>
          <w:sz w:val="32"/>
          <w:szCs w:val="32"/>
        </w:rPr>
        <w:t>收</w:t>
      </w:r>
      <w:r>
        <w:rPr>
          <w:rFonts w:hint="default" w:ascii="Times New Roman" w:hAnsi="Times New Roman" w:eastAsia="仿宋_GB2312" w:cs="Times New Roman"/>
          <w:bCs/>
          <w:sz w:val="32"/>
          <w:szCs w:val="32"/>
        </w:rPr>
        <w:t>入支出决算总体情况说明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14:paraId="2D8561C4">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 收入决算情况说明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14:paraId="0FB6F197">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_Toc4157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三、 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fldChar w:fldCharType="end"/>
      </w:r>
    </w:p>
    <w:p w14:paraId="3D8CBF2B">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_Toc16124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四、财政拨款收入支出决算总体情况说明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fldChar w:fldCharType="end"/>
      </w:r>
    </w:p>
    <w:p w14:paraId="06AFB188">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五、一般公共预算财政拨款支出决算情况说明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4</w:t>
      </w:r>
    </w:p>
    <w:p w14:paraId="0A438CA3">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_Toc32264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六、一般公共预算财政拨款基本支出决算情况说明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7</w:t>
      </w:r>
    </w:p>
    <w:p w14:paraId="06EA531A">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eastAsia" w:eastAsia="仿宋_GB2312" w:cs="Times New Roman"/>
          <w:sz w:val="32"/>
          <w:szCs w:val="32"/>
          <w:lang w:eastAsia="zh-CN"/>
        </w:rPr>
        <w:t>七、财政拨款“三公”经费支出决算情况说明</w:t>
      </w:r>
      <w:r>
        <w:rPr>
          <w:rFonts w:hint="eastAsia" w:eastAsia="仿宋_GB2312" w:cs="Times New Roman"/>
          <w:sz w:val="32"/>
          <w:szCs w:val="32"/>
          <w:lang w:val="en-US" w:eastAsia="zh-CN"/>
        </w:rPr>
        <w:t>.................7</w:t>
      </w:r>
    </w:p>
    <w:p w14:paraId="43D8DBDF">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_Toc10932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八、政府性基金预算支出决算情况说明</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8</w:t>
      </w:r>
    </w:p>
    <w:p w14:paraId="66679706">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_Toc5995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九、 国有资本经营预算支出决算情况说明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8</w:t>
      </w:r>
      <w:r>
        <w:rPr>
          <w:rFonts w:hint="default" w:ascii="Times New Roman" w:hAnsi="Times New Roman" w:eastAsia="仿宋_GB2312" w:cs="Times New Roman"/>
          <w:sz w:val="32"/>
          <w:szCs w:val="32"/>
        </w:rPr>
        <w:fldChar w:fldCharType="end"/>
      </w:r>
    </w:p>
    <w:p w14:paraId="25778EDA">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_Toc12051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十、 其他重要事项的情况说明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8</w:t>
      </w:r>
      <w:r>
        <w:rPr>
          <w:rFonts w:hint="default" w:ascii="Times New Roman" w:hAnsi="Times New Roman" w:eastAsia="仿宋_GB2312" w:cs="Times New Roman"/>
          <w:sz w:val="32"/>
          <w:szCs w:val="32"/>
        </w:rPr>
        <w:fldChar w:fldCharType="end"/>
      </w:r>
    </w:p>
    <w:p w14:paraId="7F548C4E">
      <w:pPr>
        <w:pStyle w:val="11"/>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_Toc20138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第三部分 名词解释</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0</w:t>
      </w:r>
    </w:p>
    <w:p w14:paraId="53B3964A">
      <w:pPr>
        <w:pStyle w:val="11"/>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_Toc18807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第四部分 附件</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3</w:t>
      </w:r>
    </w:p>
    <w:p w14:paraId="6BA17276">
      <w:pPr>
        <w:pStyle w:val="11"/>
        <w:tabs>
          <w:tab w:val="right" w:leader="dot" w:pos="8306"/>
          <w:tab w:val="clear" w:pos="8296"/>
        </w:tabs>
        <w:ind w:right="-218" w:rightChars="-104"/>
        <w:rPr>
          <w:rFonts w:hint="eastAsia" w:ascii="仿宋" w:hAnsi="仿宋" w:eastAsia="仿宋" w:cs="仿宋"/>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_Toc6450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第五部分 附表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14</w:t>
      </w:r>
    </w:p>
    <w:p w14:paraId="05B1A41D">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_Toc14349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w:t>
      </w:r>
      <w:r>
        <w:rPr>
          <w:rFonts w:hint="default" w:ascii="Times New Roman" w:hAnsi="Times New Roman" w:eastAsia="仿宋_GB2312" w:cs="Times New Roman"/>
          <w:bCs/>
          <w:sz w:val="32"/>
          <w:szCs w:val="32"/>
        </w:rPr>
        <w:t>收入支出决算总表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0F106320">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_Toc1540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w:t>
      </w:r>
      <w:r>
        <w:rPr>
          <w:rFonts w:hint="default" w:ascii="Times New Roman" w:hAnsi="Times New Roman" w:eastAsia="仿宋_GB2312" w:cs="Times New Roman"/>
          <w:bCs/>
          <w:sz w:val="32"/>
          <w:szCs w:val="32"/>
        </w:rPr>
        <w:t>收入决算表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68A920FF">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_Toc24186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三、</w:t>
      </w:r>
      <w:r>
        <w:rPr>
          <w:rFonts w:hint="default" w:ascii="Times New Roman" w:hAnsi="Times New Roman" w:eastAsia="仿宋_GB2312" w:cs="Times New Roman"/>
          <w:bCs/>
          <w:sz w:val="32"/>
          <w:szCs w:val="32"/>
        </w:rPr>
        <w:t>支出决算表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5E75DB25">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_Toc2109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四、</w:t>
      </w:r>
      <w:r>
        <w:rPr>
          <w:rFonts w:hint="default" w:ascii="Times New Roman" w:hAnsi="Times New Roman" w:eastAsia="仿宋_GB2312" w:cs="Times New Roman"/>
          <w:bCs/>
          <w:sz w:val="32"/>
          <w:szCs w:val="32"/>
        </w:rPr>
        <w:t>财政拨款收入支出决算总表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31164659">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_Toc17137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五、</w:t>
      </w:r>
      <w:r>
        <w:rPr>
          <w:rFonts w:hint="default" w:ascii="Times New Roman" w:hAnsi="Times New Roman" w:eastAsia="仿宋_GB2312" w:cs="Times New Roman"/>
          <w:bCs/>
          <w:sz w:val="32"/>
          <w:szCs w:val="32"/>
        </w:rPr>
        <w:t>财政拨款支出决算明细表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30748430">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_Toc13960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六、</w:t>
      </w:r>
      <w:r>
        <w:rPr>
          <w:rFonts w:hint="default" w:ascii="Times New Roman" w:hAnsi="Times New Roman" w:eastAsia="仿宋_GB2312" w:cs="Times New Roman"/>
          <w:bCs/>
          <w:sz w:val="32"/>
          <w:szCs w:val="32"/>
        </w:rPr>
        <w:t>一般公共预算财政拨款支出决算表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19BCB9DB">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_Toc19869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七、</w:t>
      </w:r>
      <w:r>
        <w:rPr>
          <w:rFonts w:hint="default" w:ascii="Times New Roman" w:hAnsi="Times New Roman" w:eastAsia="仿宋_GB2312" w:cs="Times New Roman"/>
          <w:bCs/>
          <w:sz w:val="32"/>
          <w:szCs w:val="32"/>
        </w:rPr>
        <w:t>一般公共预算财政拨款支出决算明细表</w:t>
      </w:r>
      <w:r>
        <w:rPr>
          <w:rFonts w:hint="eastAsia" w:ascii="Times New Roman" w:hAnsi="Times New Roman" w:eastAsia="仿宋_GB2312" w:cs="Times New Roman"/>
          <w:bCs/>
          <w:sz w:val="32"/>
          <w:szCs w:val="32"/>
          <w:lang w:val="en-US" w:eastAsia="zh-CN"/>
        </w:rPr>
        <w:t>..................</w:t>
      </w:r>
      <w:r>
        <w:rPr>
          <w:rFonts w:hint="eastAsia" w:eastAsia="仿宋_GB2312" w:cs="Times New Roman"/>
          <w:bCs/>
          <w:sz w:val="32"/>
          <w:szCs w:val="32"/>
          <w:lang w:val="en-US" w:eastAsia="zh-CN"/>
        </w:rPr>
        <w:t>.</w:t>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1A5543E6">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_Toc31304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八、</w:t>
      </w:r>
      <w:r>
        <w:rPr>
          <w:rFonts w:hint="default" w:ascii="Times New Roman" w:hAnsi="Times New Roman" w:eastAsia="仿宋_GB2312" w:cs="Times New Roman"/>
          <w:bCs/>
          <w:sz w:val="32"/>
          <w:szCs w:val="32"/>
        </w:rPr>
        <w:t>一般公共预算财政拨款基本支出决算</w:t>
      </w:r>
      <w:r>
        <w:rPr>
          <w:rFonts w:hint="eastAsia" w:ascii="Times New Roman" w:hAnsi="Times New Roman" w:eastAsia="仿宋_GB2312" w:cs="Times New Roman"/>
          <w:bCs/>
          <w:sz w:val="32"/>
          <w:szCs w:val="32"/>
          <w:lang w:val="en-US" w:eastAsia="zh-CN"/>
        </w:rPr>
        <w:t>明细</w:t>
      </w:r>
      <w:r>
        <w:rPr>
          <w:rFonts w:hint="default" w:ascii="Times New Roman" w:hAnsi="Times New Roman" w:eastAsia="仿宋_GB2312" w:cs="Times New Roman"/>
          <w:bCs/>
          <w:sz w:val="32"/>
          <w:szCs w:val="32"/>
        </w:rPr>
        <w:t>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14:paraId="73A0220C">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_Toc13751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九、</w:t>
      </w:r>
      <w:r>
        <w:rPr>
          <w:rFonts w:hint="default" w:ascii="Times New Roman" w:hAnsi="Times New Roman" w:eastAsia="仿宋_GB2312" w:cs="Times New Roman"/>
          <w:bCs/>
          <w:sz w:val="32"/>
          <w:szCs w:val="32"/>
        </w:rPr>
        <w:t>一般公共预算财政拨款项目支出决算表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14</w:t>
      </w:r>
    </w:p>
    <w:p w14:paraId="4C6F37EA">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_Toc10415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w:t>
      </w:r>
      <w:r>
        <w:rPr>
          <w:rFonts w:hint="default" w:ascii="Times New Roman" w:hAnsi="Times New Roman" w:eastAsia="仿宋_GB2312" w:cs="Times New Roman"/>
          <w:bCs/>
          <w:sz w:val="32"/>
          <w:szCs w:val="32"/>
        </w:rPr>
        <w:t>政府性基金预算财政拨款收入支出决算</w:t>
      </w:r>
      <w:r>
        <w:rPr>
          <w:rFonts w:hint="eastAsia" w:ascii="Times New Roman" w:hAnsi="Times New Roman" w:eastAsia="仿宋_GB2312" w:cs="Times New Roman"/>
          <w:bCs/>
          <w:sz w:val="32"/>
          <w:szCs w:val="32"/>
          <w:lang w:eastAsia="zh-CN"/>
        </w:rPr>
        <w:t>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14</w:t>
      </w:r>
    </w:p>
    <w:p w14:paraId="08314289">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_Toc26668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十一</w:t>
      </w:r>
      <w:r>
        <w:rPr>
          <w:rFonts w:hint="default" w:ascii="Times New Roman" w:hAnsi="Times New Roman" w:eastAsia="仿宋_GB2312" w:cs="Times New Roman"/>
          <w:bCs/>
          <w:sz w:val="32"/>
          <w:szCs w:val="32"/>
        </w:rPr>
        <w:t>、国有资本经营预算财政拨款收入支出决算表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14</w:t>
      </w:r>
    </w:p>
    <w:p w14:paraId="405FA11E">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十二、国有资本经营预算财政拨款支出决算表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14</w:t>
      </w:r>
    </w:p>
    <w:p w14:paraId="0CA707C9">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_Toc22381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十三、财政拨款“三公”经费支出决算表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14</w:t>
      </w:r>
    </w:p>
    <w:p w14:paraId="1B4D0967">
      <w:pPr>
        <w:ind w:right="-218" w:rightChars="-104"/>
      </w:pPr>
      <w:r>
        <w:rPr>
          <w:rFonts w:hint="default" w:ascii="Times New Roman" w:hAnsi="Times New Roman" w:eastAsia="仿宋_GB2312" w:cs="Times New Roman"/>
          <w:sz w:val="32"/>
          <w:szCs w:val="32"/>
        </w:rPr>
        <w:fldChar w:fldCharType="end"/>
      </w:r>
    </w:p>
    <w:p w14:paraId="467B9671">
      <w:pPr>
        <w:pStyle w:val="3"/>
        <w:ind w:firstLine="2200" w:firstLineChars="500"/>
        <w:jc w:val="both"/>
        <w:rPr>
          <w:rFonts w:hint="eastAsia" w:ascii="黑体" w:hAnsi="黑体" w:eastAsia="黑体"/>
          <w:b w:val="0"/>
        </w:rPr>
      </w:pPr>
    </w:p>
    <w:p w14:paraId="3CD84D82">
      <w:pPr>
        <w:tabs>
          <w:tab w:val="left" w:pos="7086"/>
        </w:tabs>
        <w:bidi w:val="0"/>
        <w:jc w:val="left"/>
        <w:rPr>
          <w:rFonts w:hint="eastAsia" w:eastAsia="宋体"/>
          <w:lang w:eastAsia="zh-CN"/>
        </w:rPr>
        <w:sectPr>
          <w:footerReference r:id="rId4" w:type="first"/>
          <w:headerReference r:id="rId3" w:type="default"/>
          <w:pgSz w:w="11906" w:h="16838"/>
          <w:pgMar w:top="1440" w:right="1926" w:bottom="1440" w:left="1800" w:header="851" w:footer="992" w:gutter="0"/>
          <w:pgNumType w:start="1"/>
          <w:cols w:space="720" w:num="1"/>
          <w:docGrid w:type="lines" w:linePitch="312" w:charSpace="0"/>
        </w:sectPr>
      </w:pPr>
      <w:r>
        <w:rPr>
          <w:rFonts w:hint="eastAsia"/>
          <w:lang w:eastAsia="zh-CN"/>
        </w:rPr>
        <w:tab/>
      </w:r>
    </w:p>
    <w:p w14:paraId="20FFAB2B">
      <w:pPr>
        <w:pStyle w:val="3"/>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rPr>
      </w:pPr>
      <w:r>
        <w:rPr>
          <w:rFonts w:hint="eastAsia" w:ascii="黑体" w:hAnsi="黑体" w:eastAsia="黑体" w:cs="黑体"/>
          <w:b w:val="0"/>
          <w:bCs w:val="0"/>
        </w:rPr>
        <w:t>第一部分 单位概况</w:t>
      </w:r>
    </w:p>
    <w:p w14:paraId="648EBEF5">
      <w:pPr>
        <w:pStyle w:val="3"/>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rPr>
      </w:pPr>
    </w:p>
    <w:p w14:paraId="02E5FED5">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b w:val="0"/>
          <w:sz w:val="32"/>
          <w:szCs w:val="32"/>
          <w:lang w:val="en-US" w:eastAsia="zh-CN"/>
        </w:rPr>
        <w:t xml:space="preserve"> </w:t>
      </w:r>
      <w:r>
        <w:rPr>
          <w:rFonts w:hint="eastAsia" w:ascii="黑体" w:hAnsi="黑体" w:eastAsia="黑体" w:cs="黑体"/>
          <w:b w:val="0"/>
          <w:sz w:val="32"/>
          <w:szCs w:val="32"/>
          <w:lang w:eastAsia="zh-CN"/>
        </w:rPr>
        <w:t>一、</w:t>
      </w:r>
      <w:r>
        <w:rPr>
          <w:rStyle w:val="27"/>
          <w:rFonts w:hint="eastAsia" w:ascii="黑体" w:hAnsi="黑体" w:eastAsia="黑体" w:cs="黑体"/>
          <w:b w:val="0"/>
          <w:bCs w:val="0"/>
          <w:sz w:val="32"/>
          <w:szCs w:val="32"/>
        </w:rPr>
        <w:t>主要职责</w:t>
      </w:r>
    </w:p>
    <w:p w14:paraId="65120CA8">
      <w:pPr>
        <w:pStyle w:val="4"/>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bookmarkStart w:id="67" w:name="_GoBack"/>
      <w:bookmarkEnd w:id="67"/>
      <w:r>
        <w:rPr>
          <w:rFonts w:hint="eastAsia" w:ascii="仿宋" w:hAnsi="仿宋" w:eastAsia="仿宋" w:cs="仿宋"/>
          <w:b w:val="0"/>
          <w:bCs w:val="0"/>
          <w:kern w:val="2"/>
          <w:sz w:val="32"/>
          <w:szCs w:val="32"/>
          <w:lang w:val="en-US" w:eastAsia="zh-CN" w:bidi="ar-SA"/>
        </w:rPr>
        <w:t>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14:paraId="248F368A">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sz w:val="32"/>
          <w:szCs w:val="32"/>
        </w:rPr>
      </w:pPr>
      <w:r>
        <w:rPr>
          <w:rFonts w:hint="eastAsia" w:ascii="黑体" w:hAnsi="黑体" w:eastAsia="黑体" w:cs="黑体"/>
          <w:b w:val="0"/>
          <w:sz w:val="32"/>
          <w:szCs w:val="32"/>
          <w:lang w:eastAsia="zh-CN"/>
        </w:rPr>
        <w:t>二、</w:t>
      </w:r>
      <w:r>
        <w:rPr>
          <w:rFonts w:hint="eastAsia" w:ascii="黑体" w:hAnsi="黑体" w:eastAsia="黑体" w:cs="黑体"/>
          <w:b w:val="0"/>
          <w:sz w:val="32"/>
          <w:szCs w:val="32"/>
        </w:rPr>
        <w:t>机构设置</w:t>
      </w:r>
    </w:p>
    <w:p w14:paraId="55E84A63">
      <w:pPr>
        <w:pStyle w:val="4"/>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按照决算管理规定，部门决算编报内容为本单位的全部收支情况。纳入2023年度部门决算编报范围的单位是盐边县红果中心卫生院。内设机构6个，分别为中医科、西医科、护理部、药剂科、公共卫生科、综合办公室。</w:t>
      </w:r>
    </w:p>
    <w:bookmarkEnd w:id="12"/>
    <w:bookmarkEnd w:id="13"/>
    <w:p w14:paraId="2787FC68">
      <w:pPr>
        <w:pStyle w:val="4"/>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br w:type="page"/>
      </w:r>
    </w:p>
    <w:p w14:paraId="02D5F93A">
      <w:pPr>
        <w:pStyle w:val="3"/>
        <w:pageBreakBefore w:val="0"/>
        <w:widowControl w:val="0"/>
        <w:kinsoku/>
        <w:wordWrap/>
        <w:overflowPunct/>
        <w:topLinePunct w:val="0"/>
        <w:autoSpaceDE/>
        <w:autoSpaceDN/>
        <w:bidi w:val="0"/>
        <w:adjustRightInd/>
        <w:snapToGrid/>
        <w:spacing w:line="560" w:lineRule="exact"/>
        <w:ind w:right="440"/>
        <w:jc w:val="center"/>
        <w:textAlignment w:val="auto"/>
        <w:rPr>
          <w:rStyle w:val="26"/>
          <w:rFonts w:hint="eastAsia" w:ascii="黑体" w:hAnsi="黑体" w:eastAsia="黑体" w:cs="黑体"/>
          <w:b w:val="0"/>
          <w:bCs/>
          <w:sz w:val="44"/>
          <w:szCs w:val="44"/>
        </w:rPr>
      </w:pPr>
      <w:bookmarkStart w:id="14" w:name="_Toc15377204"/>
      <w:bookmarkStart w:id="15" w:name="_Toc15396602"/>
      <w:r>
        <w:rPr>
          <w:rFonts w:hint="eastAsia" w:ascii="黑体" w:hAnsi="黑体" w:eastAsia="黑体" w:cs="黑体"/>
          <w:b w:val="0"/>
          <w:sz w:val="44"/>
          <w:szCs w:val="44"/>
        </w:rPr>
        <w:t>第二部分 202</w:t>
      </w:r>
      <w:r>
        <w:rPr>
          <w:rFonts w:hint="eastAsia" w:ascii="黑体" w:hAnsi="黑体" w:eastAsia="黑体" w:cs="黑体"/>
          <w:b w:val="0"/>
          <w:sz w:val="44"/>
          <w:szCs w:val="44"/>
          <w:lang w:val="en-US" w:eastAsia="zh-CN"/>
        </w:rPr>
        <w:t>3</w:t>
      </w:r>
      <w:r>
        <w:rPr>
          <w:rFonts w:hint="eastAsia" w:ascii="黑体" w:hAnsi="黑体" w:eastAsia="黑体" w:cs="黑体"/>
          <w:b w:val="0"/>
          <w:sz w:val="44"/>
          <w:szCs w:val="44"/>
        </w:rPr>
        <w:t>年度</w:t>
      </w:r>
      <w:r>
        <w:rPr>
          <w:rStyle w:val="26"/>
          <w:rFonts w:hint="eastAsia" w:ascii="黑体" w:hAnsi="黑体" w:eastAsia="黑体" w:cs="黑体"/>
          <w:b w:val="0"/>
          <w:bCs/>
          <w:sz w:val="44"/>
          <w:szCs w:val="44"/>
        </w:rPr>
        <w:t>单位决算情况说明</w:t>
      </w:r>
      <w:bookmarkEnd w:id="14"/>
      <w:bookmarkEnd w:id="15"/>
    </w:p>
    <w:p w14:paraId="6B7DC17E">
      <w:pPr>
        <w:pageBreakBefore w:val="0"/>
        <w:widowControl w:val="0"/>
        <w:kinsoku/>
        <w:wordWrap/>
        <w:overflowPunct/>
        <w:topLinePunct w:val="0"/>
        <w:autoSpaceDE/>
        <w:autoSpaceDN/>
        <w:bidi w:val="0"/>
        <w:adjustRightInd/>
        <w:snapToGrid/>
        <w:spacing w:line="560" w:lineRule="exact"/>
        <w:textAlignment w:val="auto"/>
      </w:pPr>
    </w:p>
    <w:p w14:paraId="12BE3A2D">
      <w:pPr>
        <w:pStyle w:val="25"/>
        <w:pageBreakBefore w:val="0"/>
        <w:widowControl w:val="0"/>
        <w:numPr>
          <w:numId w:val="0"/>
        </w:numPr>
        <w:kinsoku/>
        <w:wordWrap/>
        <w:overflowPunct/>
        <w:topLinePunct w:val="0"/>
        <w:autoSpaceDE/>
        <w:autoSpaceDN/>
        <w:bidi w:val="0"/>
        <w:adjustRightInd/>
        <w:snapToGrid/>
        <w:spacing w:line="560" w:lineRule="exact"/>
        <w:ind w:left="640" w:leftChars="0"/>
        <w:textAlignment w:val="auto"/>
        <w:outlineLvl w:val="1"/>
        <w:rPr>
          <w:rStyle w:val="27"/>
          <w:rFonts w:ascii="黑体" w:hAnsi="黑体" w:eastAsia="黑体"/>
          <w:b w:val="0"/>
        </w:rPr>
      </w:pPr>
      <w:bookmarkStart w:id="16" w:name="_Toc15377205"/>
      <w:bookmarkStart w:id="17" w:name="_Toc15396603"/>
      <w:r>
        <w:rPr>
          <w:rFonts w:hint="eastAsia" w:ascii="黑体" w:hAnsi="黑体" w:eastAsia="黑体"/>
          <w:sz w:val="32"/>
          <w:szCs w:val="32"/>
          <w:lang w:val="en-US" w:eastAsia="zh-CN"/>
        </w:rPr>
        <w:t>一、</w:t>
      </w:r>
      <w:r>
        <w:rPr>
          <w:rFonts w:hint="eastAsia" w:ascii="黑体" w:hAnsi="黑体" w:eastAsia="黑体"/>
          <w:sz w:val="32"/>
          <w:szCs w:val="32"/>
        </w:rPr>
        <w:t>收</w:t>
      </w:r>
      <w:r>
        <w:rPr>
          <w:rStyle w:val="27"/>
          <w:rFonts w:hint="eastAsia" w:ascii="黑体" w:hAnsi="黑体" w:eastAsia="黑体"/>
          <w:b w:val="0"/>
        </w:rPr>
        <w:t>入支出决算总体情况说明</w:t>
      </w:r>
      <w:bookmarkEnd w:id="16"/>
      <w:bookmarkEnd w:id="17"/>
    </w:p>
    <w:p w14:paraId="68D5D50C">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rPr>
        <w:t>年度</w:t>
      </w:r>
      <w:r>
        <w:rPr>
          <w:rFonts w:hint="eastAsia" w:ascii="仿宋" w:hAnsi="仿宋" w:eastAsia="仿宋" w:cs="仿宋"/>
          <w:color w:val="auto"/>
          <w:sz w:val="32"/>
          <w:szCs w:val="32"/>
          <w:lang w:eastAsia="zh-CN"/>
        </w:rPr>
        <w:t>收、支</w:t>
      </w:r>
      <w:r>
        <w:rPr>
          <w:rFonts w:hint="eastAsia" w:ascii="仿宋" w:hAnsi="仿宋" w:eastAsia="仿宋" w:cs="仿宋"/>
          <w:color w:val="auto"/>
          <w:sz w:val="32"/>
          <w:szCs w:val="32"/>
        </w:rPr>
        <w:t>总计</w:t>
      </w:r>
      <w:r>
        <w:rPr>
          <w:rFonts w:hint="eastAsia" w:ascii="仿宋" w:hAnsi="仿宋" w:eastAsia="仿宋" w:cs="仿宋"/>
          <w:color w:val="auto"/>
          <w:sz w:val="32"/>
          <w:szCs w:val="32"/>
          <w:lang w:val="en-US" w:eastAsia="zh-CN"/>
        </w:rPr>
        <w:t>430.32万元，与2022年度相比（2022年度为387.99万元），收、支总计各增加42.33万元，增长10.91%；</w:t>
      </w:r>
      <w:r>
        <w:rPr>
          <w:rFonts w:hint="eastAsia" w:ascii="仿宋" w:hAnsi="仿宋" w:eastAsia="仿宋" w:cs="仿宋"/>
          <w:sz w:val="32"/>
          <w:szCs w:val="32"/>
        </w:rPr>
        <w:t>主要变动原因是</w:t>
      </w:r>
      <w:r>
        <w:rPr>
          <w:rFonts w:hint="eastAsia" w:ascii="仿宋" w:hAnsi="仿宋" w:eastAsia="仿宋" w:cs="仿宋"/>
          <w:sz w:val="32"/>
          <w:szCs w:val="32"/>
          <w:lang w:val="en-US" w:eastAsia="zh-CN"/>
        </w:rPr>
        <w:t>职工薪酬增加、基本公共卫生服务补助较上年增加。</w:t>
      </w:r>
    </w:p>
    <w:p w14:paraId="667299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sz w:val="32"/>
          <w:szCs w:val="32"/>
        </w:rPr>
      </w:pPr>
      <w:r>
        <w:rPr>
          <w:rFonts w:hint="default" w:ascii="仿宋_GB2312" w:hAnsi="Times New Roman" w:eastAsia="仿宋_GB2312" w:cs="Times New Roman"/>
          <w:kern w:val="0"/>
          <w:sz w:val="30"/>
          <w:szCs w:val="24"/>
          <w:lang w:val="en-US" w:eastAsia="zh-CN" w:bidi="ar-SA"/>
        </w:rPr>
        <w:object>
          <v:shape id="_x0000_i1025" o:spt="75" type="#_x0000_t75" style="height:226.2pt;width:431.1pt;" o:ole="t" filled="f" o:preferrelative="t" stroked="f" coordsize="21600,21600">
            <v:path/>
            <v:fill on="f" focussize="0,0"/>
            <v:stroke on="f"/>
            <v:imagedata r:id="rId10" blacklevel="0f" o:title=""/>
            <o:lock v:ext="edit" aspectratio="t"/>
            <w10:wrap type="none"/>
            <w10:anchorlock/>
          </v:shape>
          <o:OLEObject Type="Embed" ProgID="Excel.Chart.8" ShapeID="_x0000_i1025" DrawAspect="Content" ObjectID="_1468075725" r:id="rId9">
            <o:LockedField>false</o:LockedField>
          </o:OLEObject>
        </w:object>
      </w:r>
      <w:r>
        <w:rPr>
          <w:rFonts w:hint="eastAsia" w:ascii="仿宋_GB2312" w:eastAsia="仿宋_GB2312" w:cs="Times New Roman"/>
          <w:kern w:val="0"/>
          <w:sz w:val="30"/>
          <w:szCs w:val="24"/>
          <w:lang w:val="en-US" w:eastAsia="zh-CN" w:bidi="ar-SA"/>
        </w:rPr>
        <w:t xml:space="preserve">     </w:t>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bookmarkStart w:id="18" w:name="_Toc15377206"/>
      <w:bookmarkStart w:id="19" w:name="_Toc15396604"/>
    </w:p>
    <w:p w14:paraId="6180DA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27"/>
          <w:rFonts w:ascii="黑体" w:hAnsi="黑体" w:eastAsia="黑体"/>
          <w:b w:val="0"/>
        </w:rPr>
      </w:pPr>
      <w:r>
        <w:rPr>
          <w:rFonts w:hint="eastAsia" w:ascii="黑体" w:hAnsi="黑体" w:eastAsia="黑体" w:cs="Times New Roman"/>
          <w:kern w:val="2"/>
          <w:sz w:val="32"/>
          <w:szCs w:val="32"/>
          <w:lang w:val="en-US" w:eastAsia="zh-CN" w:bidi="ar-SA"/>
        </w:rPr>
        <w:t>二、</w:t>
      </w:r>
      <w:r>
        <w:rPr>
          <w:rFonts w:hint="eastAsia" w:ascii="黑体" w:hAnsi="黑体" w:eastAsia="黑体"/>
          <w:sz w:val="32"/>
          <w:szCs w:val="32"/>
        </w:rPr>
        <w:t>收</w:t>
      </w:r>
      <w:r>
        <w:rPr>
          <w:rStyle w:val="27"/>
          <w:rFonts w:hint="eastAsia" w:ascii="黑体" w:hAnsi="黑体" w:eastAsia="黑体"/>
          <w:b w:val="0"/>
        </w:rPr>
        <w:t>入决算情况说明</w:t>
      </w:r>
      <w:bookmarkEnd w:id="18"/>
      <w:bookmarkEnd w:id="19"/>
    </w:p>
    <w:p w14:paraId="1CDF36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 w:hAnsi="仿宋" w:eastAsia="仿宋" w:cs="仿宋"/>
          <w:color w:val="000000"/>
          <w:sz w:val="32"/>
          <w:szCs w:val="32"/>
        </w:rPr>
      </w:pPr>
      <w:bookmarkStart w:id="20" w:name="_Toc52180076"/>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度</w:t>
      </w:r>
      <w:r>
        <w:rPr>
          <w:rFonts w:hint="eastAsia" w:ascii="仿宋" w:hAnsi="仿宋" w:eastAsia="仿宋" w:cs="仿宋"/>
          <w:color w:val="000000"/>
          <w:sz w:val="32"/>
          <w:szCs w:val="32"/>
        </w:rPr>
        <w:t>本年收入合计</w:t>
      </w:r>
      <w:r>
        <w:rPr>
          <w:rFonts w:hint="eastAsia" w:ascii="仿宋" w:hAnsi="仿宋" w:eastAsia="仿宋" w:cs="仿宋"/>
          <w:color w:val="auto"/>
          <w:sz w:val="32"/>
          <w:szCs w:val="32"/>
          <w:lang w:val="en-US" w:eastAsia="zh-CN"/>
        </w:rPr>
        <w:t>427.85</w:t>
      </w:r>
      <w:r>
        <w:rPr>
          <w:rFonts w:hint="eastAsia" w:ascii="仿宋" w:hAnsi="仿宋" w:eastAsia="仿宋" w:cs="仿宋"/>
          <w:color w:val="000000"/>
          <w:sz w:val="32"/>
          <w:szCs w:val="32"/>
        </w:rPr>
        <w:t>万元，其中：一般公共预算财政拨款收入</w:t>
      </w:r>
      <w:r>
        <w:rPr>
          <w:rFonts w:hint="eastAsia" w:ascii="仿宋" w:hAnsi="仿宋" w:eastAsia="仿宋" w:cs="仿宋"/>
          <w:color w:val="000000"/>
          <w:sz w:val="32"/>
          <w:szCs w:val="32"/>
          <w:lang w:val="en-US" w:eastAsia="zh-CN"/>
        </w:rPr>
        <w:t>398.84</w:t>
      </w:r>
      <w:r>
        <w:rPr>
          <w:rFonts w:hint="eastAsia" w:ascii="仿宋" w:hAnsi="仿宋" w:eastAsia="仿宋" w:cs="仿宋"/>
          <w:color w:val="000000"/>
          <w:sz w:val="32"/>
          <w:szCs w:val="32"/>
        </w:rPr>
        <w:t>万元，占</w:t>
      </w:r>
      <w:r>
        <w:rPr>
          <w:rFonts w:hint="eastAsia" w:ascii="仿宋" w:hAnsi="仿宋" w:eastAsia="仿宋" w:cs="仿宋"/>
          <w:color w:val="000000"/>
          <w:sz w:val="32"/>
          <w:szCs w:val="32"/>
          <w:lang w:val="en-US" w:eastAsia="zh-CN"/>
        </w:rPr>
        <w:t>93.22</w:t>
      </w:r>
      <w:r>
        <w:rPr>
          <w:rFonts w:hint="eastAsia" w:ascii="仿宋" w:hAnsi="仿宋" w:eastAsia="仿宋" w:cs="仿宋"/>
          <w:color w:val="000000"/>
          <w:sz w:val="32"/>
          <w:szCs w:val="32"/>
        </w:rPr>
        <w:t>%；政府性基金预算财政拨款收入</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万元，占0%；</w:t>
      </w:r>
      <w:r>
        <w:rPr>
          <w:rFonts w:hint="eastAsia" w:ascii="仿宋" w:hAnsi="仿宋" w:eastAsia="仿宋" w:cs="仿宋"/>
          <w:sz w:val="32"/>
          <w:szCs w:val="32"/>
        </w:rPr>
        <w:t>国有资本经营预算财政拨款收入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r>
        <w:rPr>
          <w:rFonts w:hint="eastAsia" w:ascii="仿宋" w:hAnsi="仿宋" w:eastAsia="仿宋" w:cs="仿宋"/>
          <w:color w:val="000000" w:themeColor="text1"/>
          <w:sz w:val="32"/>
          <w:szCs w:val="32"/>
          <w14:textFill>
            <w14:solidFill>
              <w14:schemeClr w14:val="tx1"/>
            </w14:solidFill>
          </w14:textFill>
        </w:rPr>
        <w:t>上级补助收入0</w:t>
      </w:r>
      <w:r>
        <w:rPr>
          <w:rFonts w:hint="eastAsia" w:ascii="仿宋" w:hAnsi="仿宋" w:eastAsia="仿宋" w:cs="仿宋"/>
          <w:color w:val="000000"/>
          <w:sz w:val="32"/>
          <w:szCs w:val="32"/>
        </w:rPr>
        <w:t>万元，占0%；事业收入</w:t>
      </w:r>
      <w:r>
        <w:rPr>
          <w:rFonts w:hint="eastAsia" w:ascii="仿宋" w:hAnsi="仿宋" w:eastAsia="仿宋" w:cs="仿宋"/>
          <w:color w:val="000000"/>
          <w:sz w:val="32"/>
          <w:szCs w:val="32"/>
          <w:lang w:val="en-US" w:eastAsia="zh-CN"/>
        </w:rPr>
        <w:t>25.51</w:t>
      </w:r>
      <w:r>
        <w:rPr>
          <w:rFonts w:hint="eastAsia" w:ascii="仿宋" w:hAnsi="仿宋" w:eastAsia="仿宋" w:cs="仿宋"/>
          <w:color w:val="000000"/>
          <w:sz w:val="32"/>
          <w:szCs w:val="32"/>
        </w:rPr>
        <w:t>万元，占</w:t>
      </w:r>
      <w:r>
        <w:rPr>
          <w:rFonts w:hint="eastAsia" w:ascii="仿宋" w:hAnsi="仿宋" w:eastAsia="仿宋" w:cs="仿宋"/>
          <w:color w:val="000000"/>
          <w:sz w:val="32"/>
          <w:szCs w:val="32"/>
          <w:lang w:val="en-US" w:eastAsia="zh-CN"/>
        </w:rPr>
        <w:t>5.96</w:t>
      </w:r>
      <w:r>
        <w:rPr>
          <w:rFonts w:hint="eastAsia" w:ascii="仿宋" w:hAnsi="仿宋" w:eastAsia="仿宋" w:cs="仿宋"/>
          <w:color w:val="000000"/>
          <w:sz w:val="32"/>
          <w:szCs w:val="32"/>
        </w:rPr>
        <w:t>%；经营收入0万元，占0%；附属单位上缴收入0万元，占0%；其他收入</w:t>
      </w:r>
      <w:r>
        <w:rPr>
          <w:rFonts w:hint="eastAsia" w:ascii="仿宋" w:hAnsi="仿宋" w:eastAsia="仿宋" w:cs="仿宋"/>
          <w:color w:val="000000"/>
          <w:sz w:val="32"/>
          <w:szCs w:val="32"/>
          <w:lang w:val="en-US" w:eastAsia="zh-CN"/>
        </w:rPr>
        <w:t>3.49</w:t>
      </w:r>
      <w:r>
        <w:rPr>
          <w:rFonts w:hint="eastAsia" w:ascii="仿宋" w:hAnsi="仿宋" w:eastAsia="仿宋" w:cs="仿宋"/>
          <w:color w:val="000000"/>
          <w:sz w:val="32"/>
          <w:szCs w:val="32"/>
        </w:rPr>
        <w:t>万元，占</w:t>
      </w:r>
      <w:r>
        <w:rPr>
          <w:rFonts w:hint="eastAsia" w:ascii="仿宋" w:hAnsi="仿宋" w:eastAsia="仿宋" w:cs="仿宋"/>
          <w:color w:val="000000"/>
          <w:sz w:val="32"/>
          <w:szCs w:val="32"/>
          <w:lang w:val="en-US" w:eastAsia="zh-CN"/>
        </w:rPr>
        <w:t>0.82</w:t>
      </w:r>
      <w:r>
        <w:rPr>
          <w:rFonts w:hint="eastAsia" w:ascii="仿宋" w:hAnsi="仿宋" w:eastAsia="仿宋" w:cs="仿宋"/>
          <w:color w:val="000000"/>
          <w:sz w:val="32"/>
          <w:szCs w:val="32"/>
        </w:rPr>
        <w:t>%。</w:t>
      </w:r>
      <w:bookmarkEnd w:id="20"/>
    </w:p>
    <w:p w14:paraId="6B0E92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1"/>
        <w:rPr>
          <w:rFonts w:hint="eastAsia" w:ascii="仿宋" w:hAnsi="仿宋" w:eastAsia="仿宋"/>
          <w:sz w:val="32"/>
          <w:szCs w:val="32"/>
        </w:rPr>
      </w:pPr>
      <w:r>
        <w:rPr>
          <w:rFonts w:hint="eastAsia" w:ascii="仿宋" w:hAnsi="仿宋" w:eastAsia="仿宋" w:cs="Times New Roman"/>
          <w:kern w:val="0"/>
          <w:sz w:val="32"/>
          <w:szCs w:val="32"/>
          <w:lang w:val="en-US" w:eastAsia="zh-CN" w:bidi="ar-SA"/>
        </w:rPr>
        <w:object>
          <v:shape id="_x0000_i1026" o:spt="75" type="#_x0000_t75" style="height:221pt;width:441.55pt;" o:ole="t" filled="f" o:preferrelative="t" stroked="f" coordsize="21600,21600">
            <v:path/>
            <v:fill on="f" focussize="0,0"/>
            <v:stroke on="f"/>
            <v:imagedata r:id="rId12" blacklevel="0f" o:title=""/>
            <o:lock v:ext="edit" aspectratio="t"/>
            <w10:wrap type="none"/>
            <w10:anchorlock/>
          </v:shape>
          <o:OLEObject Type="Embed" ProgID="Excel.Chart.8" ShapeID="_x0000_i1026" DrawAspect="Content" ObjectID="_1468075726" r:id="rId11">
            <o:LockedField>false</o:LockedField>
          </o:OLEObject>
        </w:object>
      </w:r>
      <w:r>
        <w:rPr>
          <w:rFonts w:hint="eastAsia" w:ascii="仿宋" w:hAnsi="仿宋" w:eastAsia="仿宋" w:cs="Times New Roman"/>
          <w:kern w:val="0"/>
          <w:sz w:val="32"/>
          <w:szCs w:val="32"/>
          <w:lang w:val="en-US" w:eastAsia="zh-CN" w:bidi="ar-SA"/>
        </w:rPr>
        <w:t xml:space="preserve">    </w:t>
      </w:r>
      <w:r>
        <w:rPr>
          <w:rFonts w:hint="eastAsia" w:ascii="仿宋" w:hAnsi="仿宋" w:eastAsia="仿宋"/>
          <w:sz w:val="32"/>
          <w:szCs w:val="32"/>
        </w:rPr>
        <w:t>（图2：收入决算结构图）</w:t>
      </w:r>
      <w:bookmarkStart w:id="21" w:name="_Toc15396605"/>
      <w:bookmarkStart w:id="22" w:name="_Toc15377207"/>
    </w:p>
    <w:p w14:paraId="104CF3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27"/>
          <w:rFonts w:ascii="黑体" w:hAnsi="黑体" w:eastAsia="黑体"/>
          <w:b w:val="0"/>
        </w:rPr>
      </w:pPr>
      <w:r>
        <w:rPr>
          <w:rFonts w:hint="eastAsia" w:ascii="黑体" w:hAnsi="黑体" w:eastAsia="黑体" w:cs="Times New Roman"/>
          <w:kern w:val="2"/>
          <w:sz w:val="32"/>
          <w:szCs w:val="32"/>
          <w:lang w:val="en-US" w:eastAsia="zh-CN" w:bidi="ar-SA"/>
        </w:rPr>
        <w:t>三、</w:t>
      </w:r>
      <w:r>
        <w:rPr>
          <w:rFonts w:hint="eastAsia" w:ascii="黑体" w:hAnsi="黑体" w:eastAsia="黑体"/>
          <w:sz w:val="32"/>
          <w:szCs w:val="32"/>
        </w:rPr>
        <w:t>支</w:t>
      </w:r>
      <w:r>
        <w:rPr>
          <w:rStyle w:val="27"/>
          <w:rFonts w:hint="eastAsia" w:ascii="黑体" w:hAnsi="黑体" w:eastAsia="黑体"/>
          <w:b w:val="0"/>
        </w:rPr>
        <w:t>出决算情况说明</w:t>
      </w:r>
      <w:bookmarkEnd w:id="21"/>
      <w:bookmarkEnd w:id="22"/>
    </w:p>
    <w:p w14:paraId="2E44D1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 w:hAnsi="仿宋" w:eastAsia="仿宋" w:cs="仿宋"/>
          <w:color w:val="000000"/>
          <w:sz w:val="32"/>
          <w:szCs w:val="32"/>
        </w:rPr>
      </w:pPr>
      <w:bookmarkStart w:id="23" w:name="_Toc52180078"/>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度</w:t>
      </w:r>
      <w:r>
        <w:rPr>
          <w:rFonts w:hint="eastAsia" w:ascii="仿宋" w:hAnsi="仿宋" w:eastAsia="仿宋" w:cs="仿宋"/>
          <w:color w:val="000000"/>
          <w:sz w:val="32"/>
          <w:szCs w:val="32"/>
        </w:rPr>
        <w:t>本年支出合计</w:t>
      </w:r>
      <w:r>
        <w:rPr>
          <w:rFonts w:hint="eastAsia" w:ascii="仿宋" w:hAnsi="仿宋" w:eastAsia="仿宋" w:cs="仿宋"/>
          <w:color w:val="000000"/>
          <w:sz w:val="32"/>
          <w:szCs w:val="32"/>
          <w:lang w:val="en-US" w:eastAsia="zh-CN"/>
        </w:rPr>
        <w:t>430.32</w:t>
      </w:r>
      <w:r>
        <w:rPr>
          <w:rFonts w:hint="eastAsia" w:ascii="仿宋" w:hAnsi="仿宋" w:eastAsia="仿宋" w:cs="仿宋"/>
          <w:color w:val="000000"/>
          <w:sz w:val="32"/>
          <w:szCs w:val="32"/>
        </w:rPr>
        <w:t>万元，其中：基本支出</w:t>
      </w:r>
      <w:r>
        <w:rPr>
          <w:rFonts w:hint="eastAsia" w:ascii="仿宋" w:hAnsi="仿宋" w:eastAsia="仿宋" w:cs="仿宋"/>
          <w:color w:val="000000"/>
          <w:sz w:val="32"/>
          <w:szCs w:val="32"/>
          <w:lang w:val="en-US" w:eastAsia="zh-CN"/>
        </w:rPr>
        <w:t>305.49</w:t>
      </w:r>
      <w:r>
        <w:rPr>
          <w:rFonts w:hint="eastAsia" w:ascii="仿宋" w:hAnsi="仿宋" w:eastAsia="仿宋" w:cs="仿宋"/>
          <w:color w:val="000000"/>
          <w:sz w:val="32"/>
          <w:szCs w:val="32"/>
        </w:rPr>
        <w:t>万元，占</w:t>
      </w:r>
      <w:r>
        <w:rPr>
          <w:rFonts w:hint="eastAsia" w:ascii="仿宋" w:hAnsi="仿宋" w:eastAsia="仿宋" w:cs="仿宋"/>
          <w:color w:val="000000"/>
          <w:sz w:val="32"/>
          <w:szCs w:val="32"/>
          <w:lang w:val="en-US" w:eastAsia="zh-CN"/>
        </w:rPr>
        <w:t>70.99</w:t>
      </w:r>
      <w:r>
        <w:rPr>
          <w:rFonts w:hint="eastAsia" w:ascii="仿宋" w:hAnsi="仿宋" w:eastAsia="仿宋" w:cs="仿宋"/>
          <w:color w:val="000000"/>
          <w:sz w:val="32"/>
          <w:szCs w:val="32"/>
        </w:rPr>
        <w:t>%；项目支出</w:t>
      </w:r>
      <w:r>
        <w:rPr>
          <w:rFonts w:hint="eastAsia" w:ascii="仿宋" w:hAnsi="仿宋" w:eastAsia="仿宋" w:cs="仿宋"/>
          <w:color w:val="000000"/>
          <w:sz w:val="32"/>
          <w:szCs w:val="32"/>
          <w:lang w:val="en-US" w:eastAsia="zh-CN"/>
        </w:rPr>
        <w:t>124.84</w:t>
      </w:r>
      <w:r>
        <w:rPr>
          <w:rFonts w:hint="eastAsia" w:ascii="仿宋" w:hAnsi="仿宋" w:eastAsia="仿宋" w:cs="仿宋"/>
          <w:color w:val="000000"/>
          <w:sz w:val="32"/>
          <w:szCs w:val="32"/>
        </w:rPr>
        <w:t>万元，占</w:t>
      </w:r>
      <w:r>
        <w:rPr>
          <w:rFonts w:hint="eastAsia" w:ascii="仿宋" w:hAnsi="仿宋" w:eastAsia="仿宋" w:cs="仿宋"/>
          <w:color w:val="000000"/>
          <w:sz w:val="32"/>
          <w:szCs w:val="32"/>
          <w:lang w:val="en-US" w:eastAsia="zh-CN"/>
        </w:rPr>
        <w:t>29.01</w:t>
      </w:r>
      <w:r>
        <w:rPr>
          <w:rFonts w:hint="eastAsia" w:ascii="仿宋" w:hAnsi="仿宋" w:eastAsia="仿宋" w:cs="仿宋"/>
          <w:color w:val="000000"/>
          <w:sz w:val="32"/>
          <w:szCs w:val="32"/>
        </w:rPr>
        <w:t>%；上缴上级支出0万元，占0%；经营支出0万元，占0%；对附属单位补助支出0万元，占0%。</w:t>
      </w:r>
      <w:bookmarkEnd w:id="23"/>
    </w:p>
    <w:p w14:paraId="4E2FD534">
      <w:pPr>
        <w:spacing w:line="240" w:lineRule="auto"/>
        <w:jc w:val="center"/>
        <w:rPr>
          <w:rFonts w:ascii="仿宋_GB2312" w:eastAsia="仿宋_GB2312"/>
          <w:sz w:val="32"/>
          <w:szCs w:val="32"/>
        </w:rPr>
      </w:pPr>
      <w:r>
        <w:rPr>
          <w:rFonts w:hint="eastAsia" w:ascii="仿宋" w:hAnsi="仿宋" w:eastAsia="仿宋" w:cs="Times New Roman"/>
          <w:kern w:val="0"/>
          <w:sz w:val="32"/>
          <w:szCs w:val="32"/>
          <w:shd w:val="pct10" w:color="auto" w:fill="FFFFFF"/>
          <w:lang w:val="en-US" w:eastAsia="zh-CN" w:bidi="ar-SA"/>
        </w:rPr>
        <w:object>
          <v:shape id="_x0000_i1027" o:spt="75" type="#_x0000_t75" style="height:218.65pt;width:417.5pt;" o:ole="t" filled="f" o:preferrelative="t" stroked="f" coordsize="21600,21600">
            <v:path/>
            <v:fill on="f" focussize="0,0"/>
            <v:stroke on="f"/>
            <v:imagedata r:id="rId14" blacklevel="0f" o:title=""/>
            <o:lock v:ext="edit" aspectratio="t"/>
            <w10:wrap type="none"/>
            <w10:anchorlock/>
          </v:shape>
          <o:OLEObject Type="Embed" ProgID="Excel.Chart.8" ShapeID="_x0000_i1027" DrawAspect="Content" ObjectID="_1468075727" r:id="rId13">
            <o:LockedField>false</o:LockedField>
          </o:OLEObject>
        </w:object>
      </w:r>
      <w:r>
        <w:rPr>
          <w:rFonts w:hint="eastAsia" w:ascii="仿宋" w:hAnsi="仿宋" w:eastAsia="仿宋"/>
          <w:sz w:val="32"/>
          <w:szCs w:val="32"/>
        </w:rPr>
        <w:t>（图3：支出决算结构图）</w:t>
      </w:r>
    </w:p>
    <w:p w14:paraId="1F1F3269">
      <w:pPr>
        <w:spacing w:line="600" w:lineRule="exact"/>
        <w:ind w:firstLine="640" w:firstLineChars="200"/>
        <w:outlineLvl w:val="1"/>
        <w:rPr>
          <w:rStyle w:val="27"/>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4"/>
      <w:bookmarkEnd w:id="25"/>
    </w:p>
    <w:p w14:paraId="0E956CD7">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度</w:t>
      </w:r>
      <w:r>
        <w:rPr>
          <w:rFonts w:hint="eastAsia" w:ascii="仿宋" w:hAnsi="仿宋" w:eastAsia="仿宋" w:cs="仿宋"/>
          <w:color w:val="auto"/>
          <w:sz w:val="32"/>
          <w:szCs w:val="32"/>
        </w:rPr>
        <w:t>财政拨款</w:t>
      </w:r>
      <w:r>
        <w:rPr>
          <w:rFonts w:hint="eastAsia" w:ascii="仿宋" w:hAnsi="仿宋" w:eastAsia="仿宋" w:cs="仿宋"/>
          <w:color w:val="auto"/>
          <w:sz w:val="32"/>
          <w:szCs w:val="32"/>
          <w:lang w:eastAsia="zh-CN"/>
        </w:rPr>
        <w:t>收</w:t>
      </w:r>
      <w:r>
        <w:rPr>
          <w:rFonts w:hint="eastAsia" w:ascii="仿宋" w:hAnsi="仿宋" w:eastAsia="仿宋" w:cs="仿宋"/>
          <w:color w:val="auto"/>
          <w:sz w:val="32"/>
          <w:szCs w:val="32"/>
          <w:lang w:val="en-US" w:eastAsia="zh-CN"/>
        </w:rPr>
        <w:t>、支</w:t>
      </w:r>
      <w:r>
        <w:rPr>
          <w:rFonts w:hint="eastAsia" w:ascii="仿宋" w:hAnsi="仿宋" w:eastAsia="仿宋" w:cs="仿宋"/>
          <w:color w:val="auto"/>
          <w:sz w:val="32"/>
          <w:szCs w:val="32"/>
          <w:lang w:eastAsia="zh-CN"/>
        </w:rPr>
        <w:t>总计</w:t>
      </w:r>
      <w:r>
        <w:rPr>
          <w:rFonts w:hint="eastAsia" w:ascii="仿宋" w:hAnsi="仿宋" w:eastAsia="仿宋" w:cs="仿宋"/>
          <w:color w:val="auto"/>
          <w:sz w:val="32"/>
          <w:szCs w:val="32"/>
          <w:lang w:val="en-US" w:eastAsia="zh-CN"/>
        </w:rPr>
        <w:t>398.84万元，与2022年度相比（2022度年为360.85万元），财政拨款收、支总计各增加37.99万元，增长10.53%。</w:t>
      </w:r>
      <w:r>
        <w:rPr>
          <w:rFonts w:hint="eastAsia" w:ascii="仿宋" w:hAnsi="仿宋" w:eastAsia="仿宋" w:cs="仿宋"/>
          <w:sz w:val="32"/>
          <w:szCs w:val="32"/>
        </w:rPr>
        <w:t>主要变动原因</w:t>
      </w:r>
      <w:r>
        <w:rPr>
          <w:rFonts w:hint="eastAsia" w:ascii="仿宋" w:hAnsi="仿宋" w:eastAsia="仿宋" w:cs="仿宋"/>
          <w:color w:val="000000"/>
          <w:sz w:val="32"/>
          <w:szCs w:val="32"/>
        </w:rPr>
        <w:t>是</w:t>
      </w:r>
      <w:r>
        <w:rPr>
          <w:rFonts w:hint="eastAsia" w:ascii="仿宋" w:hAnsi="仿宋" w:eastAsia="仿宋" w:cs="仿宋"/>
          <w:sz w:val="32"/>
          <w:szCs w:val="32"/>
          <w:lang w:val="en-US" w:eastAsia="zh-CN"/>
        </w:rPr>
        <w:t>职工薪酬增加、基本公共卫生服务补助较上年增加。导致财政拨款收支同时增加。</w:t>
      </w:r>
    </w:p>
    <w:p w14:paraId="07798B60">
      <w:pPr>
        <w:pStyle w:val="2"/>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28" o:spt="75" type="#_x0000_t75" style="height:226.2pt;width:477.75pt;" o:ole="t" filled="f" o:preferrelative="t" stroked="f" coordsize="21600,21600">
            <v:path/>
            <v:fill on="f" focussize="0,0"/>
            <v:stroke on="f"/>
            <v:imagedata r:id="rId16" blacklevel="0f" o:title=""/>
            <o:lock v:ext="edit" aspectratio="t"/>
            <w10:wrap type="none"/>
            <w10:anchorlock/>
          </v:shape>
          <o:OLEObject Type="Embed" ProgID="Excel.Chart.8" ShapeID="_x0000_i1028" DrawAspect="Content" ObjectID="_1468075728" r:id="rId15">
            <o:LockedField>false</o:LockedField>
          </o:OLEObject>
        </w:object>
      </w:r>
      <w:r>
        <w:rPr>
          <w:rFonts w:hint="eastAsia" w:ascii="仿宋" w:hAnsi="仿宋" w:eastAsia="仿宋" w:cs="Times New Roman"/>
          <w:kern w:val="0"/>
          <w:sz w:val="32"/>
          <w:szCs w:val="32"/>
          <w:lang w:val="en-US" w:eastAsia="zh-CN" w:bidi="ar-SA"/>
        </w:rPr>
        <w:t xml:space="preserve">   </w:t>
      </w:r>
      <w:r>
        <w:rPr>
          <w:rFonts w:hint="eastAsia" w:ascii="仿宋" w:hAnsi="仿宋" w:eastAsia="仿宋"/>
          <w:sz w:val="32"/>
          <w:szCs w:val="32"/>
        </w:rPr>
        <w:t>（图4：财政拨款收、支决算总计变动情况）</w:t>
      </w:r>
    </w:p>
    <w:p w14:paraId="1A1B3F48">
      <w:pPr>
        <w:spacing w:line="600" w:lineRule="exact"/>
        <w:ind w:firstLine="960" w:firstLineChars="300"/>
        <w:outlineLvl w:val="1"/>
        <w:rPr>
          <w:rStyle w:val="27"/>
          <w:rFonts w:ascii="黑体" w:hAnsi="黑体" w:eastAsia="黑体"/>
          <w:b w:val="0"/>
          <w:sz w:val="32"/>
          <w:szCs w:val="32"/>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sz w:val="32"/>
          <w:szCs w:val="32"/>
        </w:rPr>
        <w:t>般公共预算财政拨款支出决算情况说明</w:t>
      </w:r>
      <w:bookmarkEnd w:id="26"/>
      <w:bookmarkEnd w:id="27"/>
    </w:p>
    <w:p w14:paraId="1F0F2B33">
      <w:pPr>
        <w:spacing w:line="600" w:lineRule="exact"/>
        <w:ind w:firstLine="964" w:firstLineChars="300"/>
        <w:outlineLvl w:val="2"/>
        <w:rPr>
          <w:rFonts w:hint="eastAsia" w:ascii="仿宋" w:hAnsi="仿宋" w:eastAsia="仿宋" w:cs="仿宋"/>
          <w:b/>
          <w:sz w:val="32"/>
          <w:szCs w:val="32"/>
        </w:rPr>
      </w:pPr>
      <w:bookmarkStart w:id="28" w:name="_Toc15377210"/>
      <w:r>
        <w:rPr>
          <w:rFonts w:hint="eastAsia" w:ascii="仿宋" w:hAnsi="仿宋" w:eastAsia="仿宋" w:cs="仿宋"/>
          <w:b/>
          <w:sz w:val="32"/>
          <w:szCs w:val="32"/>
        </w:rPr>
        <w:t>（一）</w:t>
      </w:r>
      <w:r>
        <w:rPr>
          <w:rFonts w:hint="eastAsia" w:ascii="仿宋" w:hAnsi="仿宋" w:eastAsia="仿宋" w:cs="仿宋"/>
          <w:b/>
          <w:sz w:val="32"/>
          <w:szCs w:val="32"/>
        </w:rPr>
        <w:t>一般公共预算财政拨款支出决算总体情况</w:t>
      </w:r>
      <w:bookmarkEnd w:id="28"/>
    </w:p>
    <w:p w14:paraId="32D07411">
      <w:pPr>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一般公共预算财政拨款支出</w:t>
      </w:r>
      <w:r>
        <w:rPr>
          <w:rFonts w:hint="eastAsia" w:ascii="仿宋" w:hAnsi="仿宋" w:eastAsia="仿宋" w:cs="仿宋"/>
          <w:sz w:val="32"/>
          <w:szCs w:val="32"/>
          <w:lang w:val="en-US" w:eastAsia="zh-CN"/>
        </w:rPr>
        <w:t>398.84</w:t>
      </w:r>
      <w:r>
        <w:rPr>
          <w:rFonts w:hint="eastAsia" w:ascii="仿宋" w:hAnsi="仿宋" w:eastAsia="仿宋" w:cs="仿宋"/>
          <w:sz w:val="32"/>
          <w:szCs w:val="32"/>
        </w:rPr>
        <w:t>万元，占本年支出合计的</w:t>
      </w:r>
      <w:r>
        <w:rPr>
          <w:rFonts w:hint="eastAsia" w:ascii="仿宋" w:hAnsi="仿宋" w:eastAsia="仿宋" w:cs="仿宋"/>
          <w:sz w:val="32"/>
          <w:szCs w:val="32"/>
          <w:lang w:val="en-US" w:eastAsia="zh-CN"/>
        </w:rPr>
        <w:t>92.68</w:t>
      </w:r>
      <w:r>
        <w:rPr>
          <w:rFonts w:hint="eastAsia" w:ascii="仿宋" w:hAnsi="仿宋" w:eastAsia="仿宋" w:cs="仿宋"/>
          <w:sz w:val="32"/>
          <w:szCs w:val="32"/>
        </w:rPr>
        <w:t>%。与202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lang w:val="en-US" w:eastAsia="zh-CN"/>
        </w:rPr>
        <w:t>360.85万元</w:t>
      </w:r>
      <w:r>
        <w:rPr>
          <w:rFonts w:hint="eastAsia" w:ascii="仿宋" w:hAnsi="仿宋" w:eastAsia="仿宋" w:cs="仿宋"/>
          <w:sz w:val="32"/>
          <w:szCs w:val="32"/>
        </w:rPr>
        <w:t>相比，一般公共预算财政拨款支出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37.99</w:t>
      </w:r>
      <w:r>
        <w:rPr>
          <w:rFonts w:hint="eastAsia" w:ascii="仿宋" w:hAnsi="仿宋" w:eastAsia="仿宋" w:cs="仿宋"/>
          <w:sz w:val="32"/>
          <w:szCs w:val="32"/>
        </w:rPr>
        <w:t>万元，</w:t>
      </w:r>
      <w:r>
        <w:rPr>
          <w:rFonts w:hint="eastAsia" w:ascii="仿宋" w:hAnsi="仿宋" w:eastAsia="仿宋" w:cs="仿宋"/>
          <w:sz w:val="32"/>
          <w:szCs w:val="32"/>
          <w:lang w:eastAsia="zh-CN"/>
        </w:rPr>
        <w:t>增长</w:t>
      </w:r>
      <w:r>
        <w:rPr>
          <w:rFonts w:hint="eastAsia" w:ascii="仿宋" w:hAnsi="仿宋" w:eastAsia="仿宋" w:cs="仿宋"/>
          <w:sz w:val="32"/>
          <w:szCs w:val="32"/>
          <w:lang w:val="en-US" w:eastAsia="zh-CN"/>
        </w:rPr>
        <w:t>10.53</w:t>
      </w:r>
      <w:r>
        <w:rPr>
          <w:rFonts w:hint="eastAsia" w:ascii="仿宋" w:hAnsi="仿宋" w:eastAsia="仿宋" w:cs="仿宋"/>
          <w:sz w:val="32"/>
          <w:szCs w:val="32"/>
        </w:rPr>
        <w:t>%。主要变动原因</w:t>
      </w:r>
      <w:r>
        <w:rPr>
          <w:rFonts w:hint="eastAsia" w:ascii="仿宋" w:hAnsi="仿宋" w:eastAsia="仿宋" w:cs="仿宋"/>
          <w:color w:val="000000"/>
          <w:sz w:val="32"/>
          <w:szCs w:val="32"/>
        </w:rPr>
        <w:t>是</w:t>
      </w:r>
      <w:r>
        <w:rPr>
          <w:rFonts w:hint="eastAsia" w:ascii="仿宋" w:hAnsi="仿宋" w:eastAsia="仿宋" w:cs="仿宋"/>
          <w:sz w:val="32"/>
          <w:szCs w:val="32"/>
          <w:lang w:val="en-US" w:eastAsia="zh-CN"/>
        </w:rPr>
        <w:t>职工薪酬增加、基本公共卫生服务补助较上年增加。故支出相应较上年增加。</w:t>
      </w:r>
    </w:p>
    <w:p w14:paraId="1F59D1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sz w:val="32"/>
          <w:szCs w:val="32"/>
          <w:lang w:eastAsia="zh-CN"/>
        </w:rPr>
      </w:pPr>
      <w:r>
        <w:rPr>
          <w:rFonts w:hint="eastAsia" w:ascii="仿宋" w:hAnsi="仿宋" w:eastAsia="仿宋" w:cs="Times New Roman"/>
          <w:kern w:val="0"/>
          <w:sz w:val="32"/>
          <w:szCs w:val="32"/>
          <w:lang w:val="en-US" w:eastAsia="zh-CN" w:bidi="ar-SA"/>
        </w:rPr>
        <w:object>
          <v:shape id="_x0000_i1029" o:spt="75" type="#_x0000_t75" style="height:214.95pt;width:433pt;" o:ole="t" filled="f" o:preferrelative="t" stroked="f" coordsize="21600,21600">
            <v:path/>
            <v:fill on="f" focussize="0,0"/>
            <v:stroke on="f"/>
            <v:imagedata r:id="rId18" blacklevel="0f" o:title=""/>
            <o:lock v:ext="edit" aspectratio="t"/>
            <w10:wrap type="none"/>
            <w10:anchorlock/>
          </v:shape>
          <o:OLEObject Type="Embed" ProgID="Excel.Chart.8" ShapeID="_x0000_i1029" DrawAspect="Content" ObjectID="_1468075729" r:id="rId17">
            <o:LockedField>false</o:LockedField>
          </o:OLEObject>
        </w:object>
      </w:r>
      <w:r>
        <w:rPr>
          <w:rFonts w:hint="eastAsia" w:ascii="仿宋" w:hAnsi="仿宋" w:eastAsia="仿宋"/>
          <w:sz w:val="32"/>
          <w:szCs w:val="32"/>
        </w:rPr>
        <w:t>（图5：一般公共预算财政拨款支出决算变动情况）</w:t>
      </w:r>
      <w:bookmarkStart w:id="29" w:name="_Toc15377211"/>
    </w:p>
    <w:p w14:paraId="66046772">
      <w:pPr>
        <w:spacing w:line="240" w:lineRule="auto"/>
        <w:ind w:firstLine="643" w:firstLineChars="200"/>
        <w:rPr>
          <w:rFonts w:hint="eastAsia" w:ascii="仿宋" w:hAnsi="仿宋" w:eastAsia="仿宋" w:cs="仿宋"/>
          <w:b/>
          <w:bCs w:val="0"/>
          <w:sz w:val="32"/>
          <w:szCs w:val="32"/>
        </w:rPr>
      </w:pPr>
      <w:r>
        <w:rPr>
          <w:rFonts w:hint="eastAsia" w:ascii="仿宋" w:hAnsi="仿宋" w:eastAsia="仿宋" w:cs="仿宋"/>
          <w:b/>
          <w:bCs w:val="0"/>
          <w:sz w:val="32"/>
          <w:szCs w:val="32"/>
        </w:rPr>
        <w:t>（二）</w:t>
      </w:r>
      <w:r>
        <w:rPr>
          <w:rFonts w:hint="eastAsia" w:ascii="仿宋" w:hAnsi="仿宋" w:eastAsia="仿宋" w:cs="仿宋"/>
          <w:b/>
          <w:bCs w:val="0"/>
          <w:sz w:val="32"/>
          <w:szCs w:val="32"/>
        </w:rPr>
        <w:t>一般公共预算财政拨款支出决算结构情况</w:t>
      </w:r>
      <w:bookmarkEnd w:id="29"/>
    </w:p>
    <w:p w14:paraId="615DE8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0"/>
          <w:sz w:val="32"/>
          <w:szCs w:val="32"/>
          <w:lang w:val="en-US" w:eastAsia="zh-CN" w:bidi="ar-SA"/>
        </w:rPr>
        <w:pict>
          <v:shape id="_x0000_s1042" o:spid="_x0000_s1042" o:spt="75" type="#_x0000_t75" style="position:absolute;left:0pt;margin-left:0.8pt;margin-top:174.35pt;height:220.15pt;width:418.4pt;mso-wrap-distance-bottom:0pt;mso-wrap-distance-left:9pt;mso-wrap-distance-right:9pt;mso-wrap-distance-top:0pt;z-index:251661312;mso-width-relative:page;mso-height-relative:page;" o:ole="t" filled="f" o:preferrelative="t" stroked="f" coordsize="21600,21600">
            <v:path/>
            <v:fill on="f" focussize="0,0"/>
            <v:stroke on="f"/>
            <v:imagedata r:id="rId20" blacklevel="0f" o:title=""/>
            <o:lock v:ext="edit" aspectratio="t"/>
            <w10:wrap type="square"/>
          </v:shape>
          <o:OLEObject Type="Embed" ProgID="Excel.Chart.8" ShapeID="_x0000_s1042" DrawAspect="Content" ObjectID="_1468075730" r:id="rId19">
            <o:LockedField>false</o:LockedField>
          </o:OLEObject>
        </w:pic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eastAsia="zh-CN"/>
        </w:rPr>
        <w:t>度</w:t>
      </w:r>
      <w:r>
        <w:rPr>
          <w:rFonts w:hint="eastAsia" w:ascii="仿宋" w:hAnsi="仿宋" w:eastAsia="仿宋" w:cs="仿宋"/>
          <w:b w:val="0"/>
          <w:bCs w:val="0"/>
          <w:sz w:val="32"/>
          <w:szCs w:val="32"/>
        </w:rPr>
        <w:t>一般公共预算财政拨款支出</w:t>
      </w:r>
      <w:r>
        <w:rPr>
          <w:rFonts w:hint="eastAsia" w:ascii="仿宋" w:hAnsi="仿宋" w:eastAsia="仿宋" w:cs="仿宋"/>
          <w:b w:val="0"/>
          <w:bCs w:val="0"/>
          <w:sz w:val="32"/>
          <w:szCs w:val="32"/>
          <w:lang w:val="en-US" w:eastAsia="zh-CN"/>
        </w:rPr>
        <w:t>398.84</w:t>
      </w:r>
      <w:r>
        <w:rPr>
          <w:rFonts w:hint="eastAsia" w:ascii="仿宋" w:hAnsi="仿宋" w:eastAsia="仿宋" w:cs="仿宋"/>
          <w:b w:val="0"/>
          <w:bCs w:val="0"/>
          <w:sz w:val="32"/>
          <w:szCs w:val="32"/>
        </w:rPr>
        <w:t>万元，主要用于以下方面:一般公共服务支出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%；教育支出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%；科学技术支出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%；文化旅游体育与传媒支出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%；社会保障和就业支出</w:t>
      </w:r>
      <w:r>
        <w:rPr>
          <w:rFonts w:hint="eastAsia" w:ascii="仿宋" w:hAnsi="仿宋" w:eastAsia="仿宋" w:cs="仿宋"/>
          <w:b w:val="0"/>
          <w:bCs w:val="0"/>
          <w:sz w:val="32"/>
          <w:szCs w:val="32"/>
          <w:lang w:val="en-US" w:eastAsia="zh-CN"/>
        </w:rPr>
        <w:t>46.72</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11.71</w:t>
      </w:r>
      <w:r>
        <w:rPr>
          <w:rFonts w:hint="eastAsia" w:ascii="仿宋" w:hAnsi="仿宋" w:eastAsia="仿宋" w:cs="仿宋"/>
          <w:b w:val="0"/>
          <w:bCs w:val="0"/>
          <w:sz w:val="32"/>
          <w:szCs w:val="32"/>
        </w:rPr>
        <w:t>%；卫生健康支出</w:t>
      </w:r>
      <w:r>
        <w:rPr>
          <w:rFonts w:hint="eastAsia" w:ascii="仿宋" w:hAnsi="仿宋" w:eastAsia="仿宋" w:cs="仿宋"/>
          <w:b w:val="0"/>
          <w:bCs w:val="0"/>
          <w:sz w:val="32"/>
          <w:szCs w:val="32"/>
          <w:lang w:val="en-US" w:eastAsia="zh-CN"/>
        </w:rPr>
        <w:t>330.79</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82.94</w:t>
      </w:r>
      <w:r>
        <w:rPr>
          <w:rFonts w:hint="eastAsia" w:ascii="仿宋" w:hAnsi="仿宋" w:eastAsia="仿宋" w:cs="仿宋"/>
          <w:b w:val="0"/>
          <w:bCs w:val="0"/>
          <w:sz w:val="32"/>
          <w:szCs w:val="32"/>
        </w:rPr>
        <w:t>%；住房保障支出</w:t>
      </w:r>
      <w:r>
        <w:rPr>
          <w:rFonts w:hint="eastAsia" w:ascii="仿宋" w:hAnsi="仿宋" w:eastAsia="仿宋" w:cs="仿宋"/>
          <w:b w:val="0"/>
          <w:bCs w:val="0"/>
          <w:sz w:val="32"/>
          <w:szCs w:val="32"/>
          <w:lang w:val="en-US" w:eastAsia="zh-CN"/>
        </w:rPr>
        <w:t>21.33</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5.35</w:t>
      </w:r>
      <w:r>
        <w:rPr>
          <w:rFonts w:hint="eastAsia" w:ascii="仿宋" w:hAnsi="仿宋" w:eastAsia="仿宋" w:cs="仿宋"/>
          <w:b w:val="0"/>
          <w:bCs w:val="0"/>
          <w:sz w:val="32"/>
          <w:szCs w:val="32"/>
        </w:rPr>
        <w:t>%。</w:t>
      </w:r>
    </w:p>
    <w:p w14:paraId="09FE73D1">
      <w:pPr>
        <w:spacing w:line="600" w:lineRule="exact"/>
        <w:ind w:firstLine="640"/>
        <w:rPr>
          <w:rFonts w:ascii="仿宋" w:hAnsi="仿宋" w:eastAsia="仿宋"/>
          <w:sz w:val="32"/>
          <w:szCs w:val="32"/>
        </w:rPr>
      </w:pPr>
      <w:r>
        <w:rPr>
          <w:rFonts w:hint="eastAsia" w:ascii="仿宋" w:hAnsi="仿宋" w:eastAsia="仿宋"/>
          <w:sz w:val="32"/>
          <w:szCs w:val="32"/>
        </w:rPr>
        <w:t>（图6：一般公共预算财政拨款支出决算结构）</w:t>
      </w:r>
    </w:p>
    <w:p w14:paraId="490138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 w:hAnsi="仿宋" w:eastAsia="仿宋" w:cs="仿宋"/>
          <w:b/>
          <w:sz w:val="32"/>
          <w:szCs w:val="32"/>
        </w:rPr>
      </w:pPr>
      <w:bookmarkStart w:id="30" w:name="_Toc15377212"/>
      <w:r>
        <w:rPr>
          <w:rFonts w:hint="eastAsia" w:ascii="仿宋" w:hAnsi="仿宋" w:eastAsia="仿宋" w:cs="仿宋"/>
          <w:b/>
          <w:sz w:val="32"/>
          <w:szCs w:val="32"/>
        </w:rPr>
        <w:t>（三）一般公共预算财政拨款支出决算具体情况</w:t>
      </w:r>
      <w:bookmarkEnd w:id="30"/>
    </w:p>
    <w:p w14:paraId="0854CDFA">
      <w:pPr>
        <w:keepNext w:val="0"/>
        <w:keepLines w:val="0"/>
        <w:pageBreakBefore w:val="0"/>
        <w:kinsoku/>
        <w:wordWrap/>
        <w:overflowPunct/>
        <w:topLinePunct w:val="0"/>
        <w:bidi w:val="0"/>
        <w:snapToGrid/>
        <w:spacing w:line="560" w:lineRule="exact"/>
        <w:ind w:firstLine="640" w:firstLineChars="200"/>
        <w:textAlignment w:val="auto"/>
        <w:outlineLvl w:val="2"/>
        <w:rPr>
          <w:rFonts w:hint="eastAsia" w:ascii="仿宋" w:hAnsi="仿宋" w:eastAsia="仿宋" w:cs="仿宋"/>
          <w:b w:val="0"/>
          <w:bCs/>
          <w:color w:val="FF0000"/>
          <w:sz w:val="32"/>
          <w:szCs w:val="32"/>
        </w:rPr>
      </w:pPr>
      <w:bookmarkStart w:id="31" w:name="_Toc52180084"/>
      <w:bookmarkStart w:id="32" w:name="_Toc15377444"/>
      <w:bookmarkStart w:id="33" w:name="_Toc15378460"/>
      <w:bookmarkStart w:id="34" w:name="_Toc15377213"/>
      <w:r>
        <w:rPr>
          <w:rFonts w:hint="eastAsia" w:ascii="仿宋" w:hAnsi="仿宋" w:eastAsia="仿宋" w:cs="仿宋"/>
          <w:b w:val="0"/>
          <w:bCs/>
          <w:color w:val="000000" w:themeColor="text1"/>
          <w:sz w:val="32"/>
          <w:szCs w:val="32"/>
          <w14:textFill>
            <w14:solidFill>
              <w14:schemeClr w14:val="tx1"/>
            </w14:solidFill>
          </w14:textFill>
        </w:rPr>
        <w:t>20</w:t>
      </w:r>
      <w:r>
        <w:rPr>
          <w:rFonts w:hint="eastAsia" w:ascii="仿宋" w:hAnsi="仿宋" w:eastAsia="仿宋" w:cs="仿宋"/>
          <w:b w:val="0"/>
          <w:bCs/>
          <w:color w:val="000000" w:themeColor="text1"/>
          <w:sz w:val="32"/>
          <w:szCs w:val="32"/>
          <w:lang w:val="en-US" w:eastAsia="zh-CN"/>
          <w14:textFill>
            <w14:solidFill>
              <w14:schemeClr w14:val="tx1"/>
            </w14:solidFill>
          </w14:textFill>
        </w:rPr>
        <w:t>23</w:t>
      </w:r>
      <w:r>
        <w:rPr>
          <w:rFonts w:hint="eastAsia" w:ascii="仿宋" w:hAnsi="仿宋" w:eastAsia="仿宋" w:cs="仿宋"/>
          <w:b w:val="0"/>
          <w:bCs/>
          <w:color w:val="000000" w:themeColor="text1"/>
          <w:sz w:val="32"/>
          <w:szCs w:val="32"/>
          <w14:textFill>
            <w14:solidFill>
              <w14:schemeClr w14:val="tx1"/>
            </w14:solidFill>
          </w14:textFill>
        </w:rPr>
        <w:t>年</w:t>
      </w:r>
      <w:r>
        <w:rPr>
          <w:rFonts w:hint="eastAsia" w:ascii="仿宋" w:hAnsi="仿宋" w:eastAsia="仿宋" w:cs="仿宋"/>
          <w:b w:val="0"/>
          <w:bCs/>
          <w:color w:val="000000" w:themeColor="text1"/>
          <w:sz w:val="32"/>
          <w:szCs w:val="32"/>
          <w:lang w:eastAsia="zh-CN"/>
          <w14:textFill>
            <w14:solidFill>
              <w14:schemeClr w14:val="tx1"/>
            </w14:solidFill>
          </w14:textFill>
        </w:rPr>
        <w:t>度</w:t>
      </w:r>
      <w:r>
        <w:rPr>
          <w:rFonts w:hint="eastAsia" w:ascii="仿宋" w:hAnsi="仿宋" w:eastAsia="仿宋" w:cs="仿宋"/>
          <w:b w:val="0"/>
          <w:bCs/>
          <w:color w:val="000000" w:themeColor="text1"/>
          <w:sz w:val="32"/>
          <w:szCs w:val="32"/>
          <w14:textFill>
            <w14:solidFill>
              <w14:schemeClr w14:val="tx1"/>
            </w14:solidFill>
          </w14:textFill>
        </w:rPr>
        <w:t>一般公共预算支出决算数为</w:t>
      </w:r>
      <w:r>
        <w:rPr>
          <w:rFonts w:hint="eastAsia" w:ascii="仿宋" w:hAnsi="仿宋" w:eastAsia="仿宋" w:cs="仿宋"/>
          <w:b w:val="0"/>
          <w:bCs/>
          <w:color w:val="000000" w:themeColor="text1"/>
          <w:sz w:val="32"/>
          <w:szCs w:val="32"/>
          <w:lang w:val="en-US" w:eastAsia="zh-CN"/>
          <w14:textFill>
            <w14:solidFill>
              <w14:schemeClr w14:val="tx1"/>
            </w14:solidFill>
          </w14:textFill>
        </w:rPr>
        <w:t>398.84</w:t>
      </w:r>
      <w:r>
        <w:rPr>
          <w:rFonts w:hint="eastAsia" w:ascii="仿宋" w:hAnsi="仿宋" w:eastAsia="仿宋" w:cs="仿宋"/>
          <w:b w:val="0"/>
          <w:bCs/>
          <w:color w:val="000000" w:themeColor="text1"/>
          <w:sz w:val="32"/>
          <w:szCs w:val="32"/>
          <w14:textFill>
            <w14:solidFill>
              <w14:schemeClr w14:val="tx1"/>
            </w14:solidFill>
          </w14:textFill>
        </w:rPr>
        <w:t>万元，</w:t>
      </w:r>
      <w:r>
        <w:rPr>
          <w:rStyle w:val="16"/>
          <w:rFonts w:hint="eastAsia" w:ascii="仿宋" w:hAnsi="仿宋" w:eastAsia="仿宋" w:cs="仿宋"/>
          <w:b w:val="0"/>
          <w:bCs/>
          <w:color w:val="000000" w:themeColor="text1"/>
          <w:sz w:val="32"/>
          <w:szCs w:val="32"/>
          <w14:textFill>
            <w14:solidFill>
              <w14:schemeClr w14:val="tx1"/>
            </w14:solidFill>
          </w14:textFill>
        </w:rPr>
        <w:t>完成</w:t>
      </w:r>
      <w:r>
        <w:rPr>
          <w:rStyle w:val="16"/>
          <w:rFonts w:hint="eastAsia" w:ascii="仿宋" w:hAnsi="仿宋" w:eastAsia="仿宋" w:cs="仿宋"/>
          <w:b w:val="0"/>
          <w:bCs/>
          <w:color w:val="000000"/>
          <w:sz w:val="32"/>
          <w:szCs w:val="32"/>
        </w:rPr>
        <w:t>预算100%。其中：</w:t>
      </w:r>
      <w:bookmarkEnd w:id="31"/>
    </w:p>
    <w:p w14:paraId="6DEF72A5">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rPr>
        <w:t>1.社会保障和就业支出（类）行政事业单位养老支出（款）事业单位离退休（项）:支出决算为</w:t>
      </w:r>
      <w:r>
        <w:rPr>
          <w:rStyle w:val="16"/>
          <w:rFonts w:hint="eastAsia" w:ascii="仿宋" w:hAnsi="仿宋" w:eastAsia="仿宋" w:cs="仿宋"/>
          <w:b w:val="0"/>
          <w:bCs/>
          <w:sz w:val="32"/>
          <w:szCs w:val="32"/>
          <w:lang w:val="en-US" w:eastAsia="zh-CN"/>
        </w:rPr>
        <w:t>18.74</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68C60AC7">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2</w:t>
      </w:r>
      <w:r>
        <w:rPr>
          <w:rStyle w:val="16"/>
          <w:rFonts w:hint="eastAsia" w:ascii="仿宋" w:hAnsi="仿宋" w:eastAsia="仿宋" w:cs="仿宋"/>
          <w:b w:val="0"/>
          <w:bCs/>
          <w:sz w:val="32"/>
          <w:szCs w:val="32"/>
        </w:rPr>
        <w:t>.社会保障和就业支出（类）行政事业单位养老支出（款）机关事业单位基本养老保险缴费支出（项）:支出决算为</w:t>
      </w:r>
      <w:r>
        <w:rPr>
          <w:rStyle w:val="16"/>
          <w:rFonts w:hint="eastAsia" w:ascii="仿宋" w:hAnsi="仿宋" w:eastAsia="仿宋" w:cs="仿宋"/>
          <w:b w:val="0"/>
          <w:bCs/>
          <w:sz w:val="32"/>
          <w:szCs w:val="32"/>
          <w:lang w:val="en-US" w:eastAsia="zh-CN"/>
        </w:rPr>
        <w:t>27.97</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655B7D4F">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3</w:t>
      </w:r>
      <w:r>
        <w:rPr>
          <w:rStyle w:val="16"/>
          <w:rFonts w:hint="eastAsia" w:ascii="仿宋" w:hAnsi="仿宋" w:eastAsia="仿宋" w:cs="仿宋"/>
          <w:b w:val="0"/>
          <w:bCs/>
          <w:sz w:val="32"/>
          <w:szCs w:val="32"/>
        </w:rPr>
        <w:t>.卫生健康支出（类）基层医疗卫生机构（款）乡镇卫生院（项）:支出决算为</w:t>
      </w:r>
      <w:r>
        <w:rPr>
          <w:rStyle w:val="16"/>
          <w:rFonts w:hint="eastAsia" w:ascii="仿宋" w:hAnsi="仿宋" w:eastAsia="仿宋" w:cs="仿宋"/>
          <w:b w:val="0"/>
          <w:bCs/>
          <w:sz w:val="32"/>
          <w:szCs w:val="32"/>
          <w:lang w:val="en-US" w:eastAsia="zh-CN"/>
        </w:rPr>
        <w:t>182.96</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2CB20846">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4</w:t>
      </w:r>
      <w:r>
        <w:rPr>
          <w:rStyle w:val="16"/>
          <w:rFonts w:hint="eastAsia" w:ascii="仿宋" w:hAnsi="仿宋" w:eastAsia="仿宋" w:cs="仿宋"/>
          <w:b w:val="0"/>
          <w:bCs/>
          <w:sz w:val="32"/>
          <w:szCs w:val="32"/>
        </w:rPr>
        <w:t>.卫生健康支出（类）基层医疗卫生机构（款）其他基层医疗卫生机构支出（项）:支出决算为</w:t>
      </w:r>
      <w:r>
        <w:rPr>
          <w:rStyle w:val="16"/>
          <w:rFonts w:hint="eastAsia" w:ascii="仿宋" w:hAnsi="仿宋" w:eastAsia="仿宋" w:cs="仿宋"/>
          <w:b w:val="0"/>
          <w:bCs/>
          <w:sz w:val="32"/>
          <w:szCs w:val="32"/>
          <w:lang w:val="en-US" w:eastAsia="zh-CN"/>
        </w:rPr>
        <w:t>18.25</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04260883">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5</w:t>
      </w:r>
      <w:r>
        <w:rPr>
          <w:rStyle w:val="16"/>
          <w:rFonts w:hint="eastAsia" w:ascii="仿宋" w:hAnsi="仿宋" w:eastAsia="仿宋" w:cs="仿宋"/>
          <w:b w:val="0"/>
          <w:bCs/>
          <w:sz w:val="32"/>
          <w:szCs w:val="32"/>
        </w:rPr>
        <w:t>.卫生健康支出（类）公共卫生（款）基本公共卫生服务（项）:支出决算为</w:t>
      </w:r>
      <w:r>
        <w:rPr>
          <w:rStyle w:val="16"/>
          <w:rFonts w:hint="eastAsia" w:ascii="仿宋" w:hAnsi="仿宋" w:eastAsia="仿宋" w:cs="仿宋"/>
          <w:b w:val="0"/>
          <w:bCs/>
          <w:sz w:val="32"/>
          <w:szCs w:val="32"/>
          <w:lang w:val="en-US" w:eastAsia="zh-CN"/>
        </w:rPr>
        <w:t>88.07</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49B86ADA">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6</w:t>
      </w:r>
      <w:r>
        <w:rPr>
          <w:rStyle w:val="16"/>
          <w:rFonts w:hint="eastAsia" w:ascii="仿宋" w:hAnsi="仿宋" w:eastAsia="仿宋" w:cs="仿宋"/>
          <w:b w:val="0"/>
          <w:bCs/>
          <w:sz w:val="32"/>
          <w:szCs w:val="32"/>
        </w:rPr>
        <w:t>.卫生健康支出（类）公共卫生（款）重大公共卫生服务（项）:支出决算为</w:t>
      </w:r>
      <w:r>
        <w:rPr>
          <w:rStyle w:val="16"/>
          <w:rFonts w:hint="eastAsia" w:ascii="仿宋" w:hAnsi="仿宋" w:eastAsia="仿宋" w:cs="仿宋"/>
          <w:b w:val="0"/>
          <w:bCs/>
          <w:sz w:val="32"/>
          <w:szCs w:val="32"/>
          <w:lang w:val="en-US" w:eastAsia="zh-CN"/>
        </w:rPr>
        <w:t>18.52</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6F6806FF">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7</w:t>
      </w:r>
      <w:r>
        <w:rPr>
          <w:rStyle w:val="16"/>
          <w:rFonts w:hint="eastAsia" w:ascii="仿宋" w:hAnsi="仿宋" w:eastAsia="仿宋" w:cs="仿宋"/>
          <w:b w:val="0"/>
          <w:bCs/>
          <w:sz w:val="32"/>
          <w:szCs w:val="32"/>
        </w:rPr>
        <w:t>.卫生健康支出（类）行政事业单位医疗（款）事业单位医疗（项）:支出决算为</w:t>
      </w:r>
      <w:r>
        <w:rPr>
          <w:rStyle w:val="16"/>
          <w:rFonts w:hint="eastAsia" w:ascii="仿宋" w:hAnsi="仿宋" w:eastAsia="仿宋" w:cs="仿宋"/>
          <w:b w:val="0"/>
          <w:bCs/>
          <w:sz w:val="32"/>
          <w:szCs w:val="32"/>
          <w:lang w:val="en-US" w:eastAsia="zh-CN"/>
        </w:rPr>
        <w:t>14.42</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35BE2665">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8</w:t>
      </w:r>
      <w:r>
        <w:rPr>
          <w:rStyle w:val="16"/>
          <w:rFonts w:hint="eastAsia" w:ascii="仿宋" w:hAnsi="仿宋" w:eastAsia="仿宋" w:cs="仿宋"/>
          <w:b w:val="0"/>
          <w:bCs/>
          <w:sz w:val="32"/>
          <w:szCs w:val="32"/>
        </w:rPr>
        <w:t>.卫生健康支出（类）行政事业单位医疗（款）其他行政事业单位医疗支出（项）:支出决算为</w:t>
      </w:r>
      <w:r>
        <w:rPr>
          <w:rStyle w:val="16"/>
          <w:rFonts w:hint="eastAsia" w:ascii="仿宋" w:hAnsi="仿宋" w:eastAsia="仿宋" w:cs="仿宋"/>
          <w:b w:val="0"/>
          <w:bCs/>
          <w:sz w:val="32"/>
          <w:szCs w:val="32"/>
          <w:lang w:val="en-US" w:eastAsia="zh-CN"/>
        </w:rPr>
        <w:t>8.58</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p>
    <w:p w14:paraId="3B41E129">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仿宋" w:hAnsi="仿宋" w:eastAsia="仿宋" w:cs="仿宋"/>
          <w:b w:val="0"/>
          <w:bCs/>
          <w:sz w:val="32"/>
          <w:szCs w:val="32"/>
        </w:rPr>
      </w:pPr>
      <w:r>
        <w:rPr>
          <w:rStyle w:val="16"/>
          <w:rFonts w:hint="eastAsia" w:ascii="仿宋" w:hAnsi="仿宋" w:eastAsia="仿宋" w:cs="仿宋"/>
          <w:b w:val="0"/>
          <w:bCs/>
          <w:sz w:val="32"/>
          <w:szCs w:val="32"/>
          <w:lang w:val="en-US" w:eastAsia="zh-CN"/>
        </w:rPr>
        <w:t>9</w:t>
      </w:r>
      <w:r>
        <w:rPr>
          <w:rStyle w:val="16"/>
          <w:rFonts w:hint="eastAsia" w:ascii="仿宋" w:hAnsi="仿宋" w:eastAsia="仿宋" w:cs="仿宋"/>
          <w:b w:val="0"/>
          <w:bCs/>
          <w:sz w:val="32"/>
          <w:szCs w:val="32"/>
        </w:rPr>
        <w:t>.住房保障支出（类）住房改革支出（款）住房公积金（项）:支出决算为</w:t>
      </w:r>
      <w:r>
        <w:rPr>
          <w:rStyle w:val="16"/>
          <w:rFonts w:hint="eastAsia" w:ascii="仿宋" w:hAnsi="仿宋" w:eastAsia="仿宋" w:cs="仿宋"/>
          <w:b w:val="0"/>
          <w:bCs/>
          <w:sz w:val="32"/>
          <w:szCs w:val="32"/>
          <w:lang w:val="en-US" w:eastAsia="zh-CN"/>
        </w:rPr>
        <w:t>21.33</w:t>
      </w:r>
      <w:r>
        <w:rPr>
          <w:rStyle w:val="16"/>
          <w:rFonts w:hint="eastAsia" w:ascii="仿宋" w:hAnsi="仿宋" w:eastAsia="仿宋" w:cs="仿宋"/>
          <w:b w:val="0"/>
          <w:bCs/>
          <w:sz w:val="32"/>
          <w:szCs w:val="32"/>
        </w:rPr>
        <w:t>万元，完成预算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%，决算数等于预算数。</w:t>
      </w:r>
      <w:bookmarkEnd w:id="32"/>
      <w:bookmarkEnd w:id="33"/>
      <w:bookmarkEnd w:id="34"/>
      <w:bookmarkStart w:id="35" w:name="_Toc15377214"/>
      <w:bookmarkStart w:id="36" w:name="_Toc15396608"/>
    </w:p>
    <w:p w14:paraId="252DBFFD">
      <w:pPr>
        <w:keepNext w:val="0"/>
        <w:keepLines w:val="0"/>
        <w:pageBreakBefore w:val="0"/>
        <w:kinsoku/>
        <w:wordWrap/>
        <w:overflowPunct/>
        <w:topLinePunct w:val="0"/>
        <w:bidi w:val="0"/>
        <w:snapToGrid/>
        <w:spacing w:line="560" w:lineRule="exact"/>
        <w:ind w:firstLine="640" w:firstLineChars="200"/>
        <w:textAlignment w:val="auto"/>
        <w:rPr>
          <w:rStyle w:val="27"/>
          <w:rFonts w:hint="default" w:ascii="Times New Roman" w:hAnsi="Times New Roman" w:eastAsia="仿宋_GB2312" w:cs="Times New Roman"/>
          <w:sz w:val="32"/>
          <w:szCs w:val="32"/>
        </w:rPr>
      </w:pPr>
      <w:r>
        <w:rPr>
          <w:rFonts w:hint="eastAsia" w:ascii="黑体" w:hAnsi="黑体" w:eastAsia="黑体" w:cs="黑体"/>
          <w:sz w:val="32"/>
          <w:szCs w:val="32"/>
        </w:rPr>
        <w:t>六</w:t>
      </w:r>
      <w:r>
        <w:rPr>
          <w:rFonts w:hint="eastAsia" w:ascii="黑体" w:hAnsi="黑体" w:eastAsia="黑体" w:cs="黑体"/>
          <w:b/>
          <w:sz w:val="32"/>
          <w:szCs w:val="32"/>
        </w:rPr>
        <w:t>、一</w:t>
      </w:r>
      <w:r>
        <w:rPr>
          <w:rStyle w:val="27"/>
          <w:rFonts w:hint="eastAsia" w:ascii="黑体" w:hAnsi="黑体" w:eastAsia="黑体" w:cs="黑体"/>
          <w:b w:val="0"/>
          <w:sz w:val="32"/>
          <w:szCs w:val="32"/>
        </w:rPr>
        <w:t>般公共预算财政拨款基本支出决算情况说明</w:t>
      </w:r>
      <w:bookmarkEnd w:id="35"/>
      <w:bookmarkEnd w:id="36"/>
      <w:r>
        <w:rPr>
          <w:rStyle w:val="27"/>
          <w:rFonts w:hint="default" w:ascii="Times New Roman" w:hAnsi="Times New Roman" w:eastAsia="仿宋_GB2312" w:cs="Times New Roman"/>
          <w:b w:val="0"/>
          <w:sz w:val="32"/>
          <w:szCs w:val="32"/>
        </w:rPr>
        <w:tab/>
      </w:r>
    </w:p>
    <w:p w14:paraId="2154914F">
      <w:pPr>
        <w:keepNext w:val="0"/>
        <w:keepLines w:val="0"/>
        <w:pageBreakBefore w:val="0"/>
        <w:kinsoku/>
        <w:wordWrap/>
        <w:overflowPunct/>
        <w:topLinePunct w:val="0"/>
        <w:bidi w:val="0"/>
        <w:snapToGrid/>
        <w:spacing w:line="56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一般公共预算财政拨款基本支出</w:t>
      </w:r>
      <w:r>
        <w:rPr>
          <w:rFonts w:hint="eastAsia" w:ascii="仿宋" w:hAnsi="仿宋" w:eastAsia="仿宋" w:cs="仿宋"/>
          <w:sz w:val="32"/>
          <w:szCs w:val="32"/>
          <w:lang w:val="en-US" w:eastAsia="zh-CN"/>
        </w:rPr>
        <w:t>274.01</w:t>
      </w:r>
      <w:r>
        <w:rPr>
          <w:rFonts w:hint="eastAsia" w:ascii="仿宋" w:hAnsi="仿宋" w:eastAsia="仿宋" w:cs="仿宋"/>
          <w:sz w:val="32"/>
          <w:szCs w:val="32"/>
        </w:rPr>
        <w:t>万元，其中：</w:t>
      </w:r>
    </w:p>
    <w:p w14:paraId="000073AE">
      <w:pPr>
        <w:keepNext w:val="0"/>
        <w:keepLines w:val="0"/>
        <w:pageBreakBefore w:val="0"/>
        <w:kinsoku/>
        <w:wordWrap/>
        <w:overflowPunct/>
        <w:topLinePunct w:val="0"/>
        <w:bidi w:val="0"/>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rPr>
        <w:t>人员经费</w:t>
      </w:r>
      <w:r>
        <w:rPr>
          <w:rFonts w:hint="eastAsia" w:ascii="仿宋" w:hAnsi="仿宋" w:eastAsia="仿宋" w:cs="仿宋"/>
          <w:sz w:val="32"/>
          <w:szCs w:val="32"/>
          <w:lang w:val="en-US" w:eastAsia="zh-CN"/>
        </w:rPr>
        <w:t>273.59</w:t>
      </w:r>
      <w:r>
        <w:rPr>
          <w:rFonts w:hint="eastAsia" w:ascii="仿宋" w:hAnsi="仿宋" w:eastAsia="仿宋" w:cs="仿宋"/>
          <w:sz w:val="32"/>
          <w:szCs w:val="32"/>
        </w:rPr>
        <w:t>万元，主要包括：基本工资、津贴补贴、绩效工资、机关事业单位基本养老保险缴费、职工基本医疗保险缴费</w:t>
      </w:r>
      <w:r>
        <w:rPr>
          <w:rFonts w:hint="eastAsia" w:ascii="仿宋" w:hAnsi="仿宋" w:eastAsia="仿宋" w:cs="仿宋"/>
          <w:sz w:val="32"/>
          <w:szCs w:val="32"/>
          <w:lang w:eastAsia="zh-CN"/>
        </w:rPr>
        <w:t>、公务员医疗补助缴费、</w:t>
      </w:r>
      <w:r>
        <w:rPr>
          <w:rFonts w:hint="eastAsia" w:ascii="仿宋" w:hAnsi="仿宋" w:eastAsia="仿宋" w:cs="仿宋"/>
          <w:sz w:val="32"/>
          <w:szCs w:val="32"/>
        </w:rPr>
        <w:t>住房公积金</w:t>
      </w:r>
      <w:r>
        <w:rPr>
          <w:rFonts w:hint="eastAsia" w:ascii="仿宋" w:hAnsi="仿宋" w:eastAsia="仿宋" w:cs="仿宋"/>
          <w:sz w:val="32"/>
          <w:szCs w:val="32"/>
          <w:lang w:eastAsia="zh-CN"/>
        </w:rPr>
        <w:t>、</w:t>
      </w:r>
      <w:r>
        <w:rPr>
          <w:rFonts w:hint="eastAsia" w:ascii="仿宋" w:hAnsi="仿宋" w:eastAsia="仿宋" w:cs="仿宋"/>
          <w:sz w:val="32"/>
          <w:szCs w:val="32"/>
        </w:rPr>
        <w:t>其他工资福利支出等。</w:t>
      </w:r>
    </w:p>
    <w:p w14:paraId="4523E6C7">
      <w:pPr>
        <w:keepNext w:val="0"/>
        <w:keepLines w:val="0"/>
        <w:pageBreakBefore w:val="0"/>
        <w:kinsoku/>
        <w:wordWrap/>
        <w:overflowPunct/>
        <w:topLinePunct w:val="0"/>
        <w:bidi w:val="0"/>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rPr>
        <w:t>公用经费</w:t>
      </w:r>
      <w:r>
        <w:rPr>
          <w:rFonts w:hint="eastAsia" w:ascii="仿宋" w:hAnsi="仿宋" w:eastAsia="仿宋" w:cs="仿宋"/>
          <w:sz w:val="32"/>
          <w:szCs w:val="32"/>
          <w:lang w:val="en-US" w:eastAsia="zh-CN"/>
        </w:rPr>
        <w:t>0.42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主要包括：</w:t>
      </w:r>
      <w:r>
        <w:rPr>
          <w:rFonts w:hint="eastAsia" w:ascii="仿宋" w:hAnsi="仿宋" w:eastAsia="仿宋" w:cs="仿宋"/>
          <w:sz w:val="32"/>
          <w:szCs w:val="32"/>
          <w:lang w:eastAsia="zh-CN"/>
        </w:rPr>
        <w:t>维修（护）费、其他商品和服务支出。</w:t>
      </w:r>
    </w:p>
    <w:p w14:paraId="71944346">
      <w:pPr>
        <w:keepNext w:val="0"/>
        <w:keepLines w:val="0"/>
        <w:pageBreakBefore w:val="0"/>
        <w:kinsoku/>
        <w:wordWrap/>
        <w:overflowPunct/>
        <w:topLinePunct w:val="0"/>
        <w:bidi w:val="0"/>
        <w:snapToGrid/>
        <w:spacing w:line="560" w:lineRule="exact"/>
        <w:ind w:firstLine="640" w:firstLineChars="200"/>
        <w:textAlignment w:val="auto"/>
        <w:outlineLvl w:val="1"/>
        <w:rPr>
          <w:rStyle w:val="27"/>
          <w:rFonts w:hint="eastAsia" w:ascii="黑体" w:hAnsi="黑体" w:eastAsia="黑体" w:cs="黑体"/>
          <w:b w:val="0"/>
          <w:sz w:val="32"/>
          <w:szCs w:val="32"/>
        </w:rPr>
      </w:pPr>
      <w:bookmarkStart w:id="37" w:name="_Toc15396609"/>
      <w:bookmarkStart w:id="38" w:name="_Toc15377215"/>
      <w:r>
        <w:rPr>
          <w:rFonts w:hint="eastAsia" w:ascii="黑体" w:hAnsi="黑体" w:eastAsia="黑体" w:cs="黑体"/>
          <w:sz w:val="32"/>
          <w:szCs w:val="32"/>
        </w:rPr>
        <w:t>七、</w:t>
      </w:r>
      <w:r>
        <w:rPr>
          <w:rStyle w:val="27"/>
          <w:rFonts w:hint="eastAsia" w:ascii="黑体" w:hAnsi="黑体" w:eastAsia="黑体" w:cs="黑体"/>
          <w:b w:val="0"/>
          <w:sz w:val="32"/>
          <w:szCs w:val="32"/>
        </w:rPr>
        <w:t>财政拨款</w:t>
      </w:r>
      <w:r>
        <w:rPr>
          <w:rStyle w:val="27"/>
          <w:rFonts w:hint="eastAsia" w:ascii="黑体" w:hAnsi="黑体" w:eastAsia="黑体" w:cs="黑体"/>
          <w:sz w:val="32"/>
          <w:szCs w:val="32"/>
        </w:rPr>
        <w:t>“</w:t>
      </w:r>
      <w:r>
        <w:rPr>
          <w:rStyle w:val="27"/>
          <w:rFonts w:hint="eastAsia" w:ascii="黑体" w:hAnsi="黑体" w:eastAsia="黑体" w:cs="黑体"/>
          <w:b w:val="0"/>
          <w:sz w:val="32"/>
          <w:szCs w:val="32"/>
        </w:rPr>
        <w:t>三公”经费支出决算情况说明</w:t>
      </w:r>
      <w:bookmarkEnd w:id="37"/>
      <w:bookmarkEnd w:id="38"/>
    </w:p>
    <w:p w14:paraId="4463A035">
      <w:pPr>
        <w:keepNext w:val="0"/>
        <w:keepLines w:val="0"/>
        <w:pageBreakBefore w:val="0"/>
        <w:kinsoku/>
        <w:wordWrap/>
        <w:overflowPunct/>
        <w:topLinePunct w:val="0"/>
        <w:bidi w:val="0"/>
        <w:snapToGrid/>
        <w:spacing w:line="560" w:lineRule="exact"/>
        <w:ind w:firstLine="640"/>
        <w:textAlignment w:val="auto"/>
        <w:outlineLvl w:val="2"/>
        <w:rPr>
          <w:rFonts w:hint="eastAsia" w:ascii="仿宋" w:hAnsi="仿宋" w:eastAsia="仿宋" w:cs="仿宋"/>
          <w:b/>
          <w:sz w:val="32"/>
          <w:szCs w:val="32"/>
        </w:rPr>
      </w:pPr>
      <w:bookmarkStart w:id="39" w:name="_Toc15377216"/>
      <w:r>
        <w:rPr>
          <w:rFonts w:hint="eastAsia" w:ascii="仿宋" w:hAnsi="仿宋" w:eastAsia="仿宋" w:cs="仿宋"/>
          <w:b/>
          <w:sz w:val="32"/>
          <w:szCs w:val="32"/>
        </w:rPr>
        <w:t>（一）“三公”经费财政拨款支出决算总体情况说明</w:t>
      </w:r>
      <w:bookmarkEnd w:id="39"/>
    </w:p>
    <w:p w14:paraId="04A73F09">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度</w:t>
      </w:r>
      <w:r>
        <w:rPr>
          <w:rFonts w:hint="eastAsia" w:ascii="仿宋" w:hAnsi="仿宋" w:eastAsia="仿宋" w:cs="仿宋"/>
          <w:color w:val="000000"/>
          <w:sz w:val="32"/>
          <w:szCs w:val="32"/>
        </w:rPr>
        <w:t>“三公”经费财政拨款支出决算为0万元，完成预算0%。</w:t>
      </w:r>
      <w:r>
        <w:rPr>
          <w:rFonts w:hint="eastAsia" w:ascii="仿宋" w:hAnsi="仿宋" w:eastAsia="仿宋" w:cs="仿宋"/>
          <w:color w:val="000000"/>
          <w:sz w:val="32"/>
          <w:szCs w:val="32"/>
          <w:lang w:eastAsia="zh-CN"/>
        </w:rPr>
        <w:t>与上年持平。</w:t>
      </w:r>
    </w:p>
    <w:p w14:paraId="246C380F">
      <w:pPr>
        <w:keepNext w:val="0"/>
        <w:keepLines w:val="0"/>
        <w:pageBreakBefore w:val="0"/>
        <w:kinsoku/>
        <w:wordWrap/>
        <w:overflowPunct/>
        <w:topLinePunct w:val="0"/>
        <w:bidi w:val="0"/>
        <w:snapToGrid/>
        <w:spacing w:line="560" w:lineRule="exact"/>
        <w:ind w:firstLine="640"/>
        <w:textAlignment w:val="auto"/>
        <w:outlineLvl w:val="2"/>
        <w:rPr>
          <w:rFonts w:hint="eastAsia" w:ascii="仿宋" w:hAnsi="仿宋" w:eastAsia="仿宋" w:cs="仿宋"/>
          <w:b/>
          <w:sz w:val="32"/>
          <w:szCs w:val="32"/>
        </w:rPr>
      </w:pPr>
      <w:bookmarkStart w:id="40" w:name="_Toc15377217"/>
      <w:r>
        <w:rPr>
          <w:rFonts w:hint="eastAsia" w:ascii="仿宋" w:hAnsi="仿宋" w:eastAsia="仿宋" w:cs="仿宋"/>
          <w:b/>
          <w:sz w:val="32"/>
          <w:szCs w:val="32"/>
        </w:rPr>
        <w:t>（二）“三公”经费财政拨款支出决算具体情况说明</w:t>
      </w:r>
      <w:bookmarkEnd w:id="40"/>
    </w:p>
    <w:p w14:paraId="4C20AE8D">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“三公”经费财政拨款支出决算中，因公出国（境）费支出决算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%；公务用车购置及运行维护费支出决算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%；公务接待费支出决算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%。具体情况如下：</w:t>
      </w:r>
    </w:p>
    <w:p w14:paraId="099F9F29">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
          <w:color w:val="000000"/>
          <w:sz w:val="32"/>
          <w:szCs w:val="32"/>
        </w:rPr>
      </w:pPr>
      <w:r>
        <w:rPr>
          <w:rFonts w:hint="eastAsia" w:ascii="仿宋" w:hAnsi="仿宋" w:eastAsia="仿宋" w:cs="仿宋"/>
          <w:b/>
          <w:color w:val="000000"/>
          <w:sz w:val="32"/>
          <w:szCs w:val="32"/>
        </w:rPr>
        <w:t>1.因公出国（境）经费支出</w:t>
      </w:r>
      <w:r>
        <w:rPr>
          <w:rFonts w:hint="eastAsia" w:ascii="仿宋" w:hAnsi="仿宋" w:eastAsia="仿宋" w:cs="仿宋"/>
          <w:color w:val="000000"/>
          <w:sz w:val="32"/>
          <w:szCs w:val="32"/>
        </w:rPr>
        <w:t>0万元，</w:t>
      </w:r>
      <w:r>
        <w:rPr>
          <w:rStyle w:val="16"/>
          <w:rFonts w:hint="eastAsia" w:ascii="仿宋" w:hAnsi="仿宋" w:eastAsia="仿宋" w:cs="仿宋"/>
          <w:b w:val="0"/>
          <w:bCs/>
          <w:color w:val="000000"/>
          <w:sz w:val="32"/>
          <w:szCs w:val="32"/>
        </w:rPr>
        <w:t>完成预算0%。</w:t>
      </w:r>
      <w:r>
        <w:rPr>
          <w:rFonts w:hint="eastAsia" w:ascii="仿宋" w:hAnsi="仿宋" w:eastAsia="仿宋" w:cs="仿宋"/>
          <w:color w:val="000000"/>
          <w:sz w:val="32"/>
          <w:szCs w:val="32"/>
        </w:rPr>
        <w:t>全年安排因公出国（境）团组0次，出国（境）0人。因公出国（境）支出决算与20</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度</w:t>
      </w:r>
      <w:r>
        <w:rPr>
          <w:rFonts w:hint="eastAsia" w:ascii="仿宋" w:hAnsi="仿宋" w:eastAsia="仿宋" w:cs="仿宋"/>
          <w:color w:val="000000"/>
          <w:sz w:val="32"/>
          <w:szCs w:val="32"/>
        </w:rPr>
        <w:t>持平。</w:t>
      </w:r>
    </w:p>
    <w:p w14:paraId="72F73405">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
          <w:color w:val="000000"/>
          <w:sz w:val="32"/>
          <w:szCs w:val="32"/>
        </w:rPr>
      </w:pPr>
      <w:r>
        <w:rPr>
          <w:rFonts w:hint="eastAsia" w:ascii="仿宋" w:hAnsi="仿宋" w:eastAsia="仿宋" w:cs="仿宋"/>
          <w:b/>
          <w:color w:val="000000"/>
          <w:sz w:val="32"/>
          <w:szCs w:val="32"/>
        </w:rPr>
        <w:t>2.公务用车购置及运行维护费支出</w:t>
      </w:r>
      <w:r>
        <w:rPr>
          <w:rFonts w:hint="eastAsia" w:ascii="仿宋" w:hAnsi="仿宋" w:eastAsia="仿宋" w:cs="仿宋"/>
          <w:color w:val="000000"/>
          <w:sz w:val="32"/>
          <w:szCs w:val="32"/>
        </w:rPr>
        <w:t>0万元,</w:t>
      </w:r>
      <w:r>
        <w:rPr>
          <w:rStyle w:val="16"/>
          <w:rFonts w:hint="eastAsia" w:ascii="仿宋" w:hAnsi="仿宋" w:eastAsia="仿宋" w:cs="仿宋"/>
          <w:b w:val="0"/>
          <w:bCs/>
          <w:color w:val="000000"/>
          <w:sz w:val="32"/>
          <w:szCs w:val="32"/>
        </w:rPr>
        <w:t>完成预算0%。</w:t>
      </w:r>
      <w:r>
        <w:rPr>
          <w:rFonts w:hint="eastAsia" w:ascii="仿宋" w:hAnsi="仿宋" w:eastAsia="仿宋" w:cs="仿宋"/>
          <w:color w:val="000000"/>
          <w:sz w:val="32"/>
          <w:szCs w:val="32"/>
        </w:rPr>
        <w:t>公务用车购置及运行维护费支出决算</w:t>
      </w:r>
      <w:r>
        <w:rPr>
          <w:rFonts w:hint="eastAsia" w:ascii="仿宋" w:hAnsi="仿宋" w:eastAsia="仿宋" w:cs="仿宋"/>
          <w:color w:val="000000"/>
          <w:sz w:val="32"/>
          <w:szCs w:val="32"/>
          <w:lang w:eastAsia="zh-CN"/>
        </w:rPr>
        <w:t>与</w:t>
      </w:r>
      <w:r>
        <w:rPr>
          <w:rFonts w:hint="eastAsia" w:ascii="仿宋" w:hAnsi="仿宋" w:eastAsia="仿宋" w:cs="仿宋"/>
          <w:color w:val="000000"/>
          <w:sz w:val="32"/>
          <w:szCs w:val="32"/>
          <w:lang w:val="en-US" w:eastAsia="zh-CN"/>
        </w:rPr>
        <w:t>2022年度持平，</w:t>
      </w:r>
      <w:r>
        <w:rPr>
          <w:rFonts w:hint="eastAsia" w:ascii="仿宋" w:hAnsi="仿宋" w:eastAsia="仿宋" w:cs="仿宋"/>
          <w:color w:val="000000"/>
          <w:sz w:val="32"/>
          <w:szCs w:val="32"/>
        </w:rPr>
        <w:t>主要原因是公务用车已报废，未产生公务用车运行维护费。</w:t>
      </w:r>
    </w:p>
    <w:p w14:paraId="1A04F523">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b/>
          <w:sz w:val="32"/>
          <w:szCs w:val="32"/>
        </w:rPr>
      </w:pPr>
      <w:r>
        <w:rPr>
          <w:rFonts w:hint="eastAsia" w:ascii="仿宋" w:hAnsi="仿宋" w:eastAsia="仿宋" w:cs="仿宋"/>
          <w:sz w:val="32"/>
          <w:szCs w:val="32"/>
        </w:rPr>
        <w:t>其中：</w:t>
      </w:r>
      <w:r>
        <w:rPr>
          <w:rFonts w:hint="eastAsia" w:ascii="仿宋" w:hAnsi="仿宋" w:eastAsia="仿宋" w:cs="仿宋"/>
          <w:b/>
          <w:sz w:val="32"/>
          <w:szCs w:val="32"/>
        </w:rPr>
        <w:t>公务用车购置支出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万元。全年按规定更新购置公务用车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万元，载客汽车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w:t>
      </w:r>
      <w:r>
        <w:rPr>
          <w:rFonts w:hint="eastAsia" w:ascii="仿宋" w:hAnsi="仿宋" w:eastAsia="仿宋" w:cs="仿宋"/>
          <w:sz w:val="32"/>
          <w:szCs w:val="32"/>
          <w:lang w:val="en-US" w:eastAsia="zh-CN"/>
        </w:rPr>
        <w:t>31日</w:t>
      </w:r>
      <w:r>
        <w:rPr>
          <w:rFonts w:hint="eastAsia" w:ascii="仿宋" w:hAnsi="仿宋" w:eastAsia="仿宋" w:cs="仿宋"/>
          <w:sz w:val="32"/>
          <w:szCs w:val="32"/>
        </w:rPr>
        <w:t>，单位共有公务用车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辆、载客汽车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p>
    <w:p w14:paraId="56267F2D">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公务用车运行维护费支出</w:t>
      </w:r>
      <w:r>
        <w:rPr>
          <w:rFonts w:hint="eastAsia" w:ascii="仿宋" w:hAnsi="仿宋" w:eastAsia="仿宋" w:cs="仿宋"/>
          <w:color w:val="000000"/>
          <w:sz w:val="32"/>
          <w:szCs w:val="32"/>
        </w:rPr>
        <w:t>0万元。</w:t>
      </w:r>
    </w:p>
    <w:p w14:paraId="1D231B87">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3.公务接待费支出</w:t>
      </w:r>
      <w:r>
        <w:rPr>
          <w:rFonts w:hint="eastAsia" w:ascii="仿宋" w:hAnsi="仿宋" w:eastAsia="仿宋" w:cs="仿宋"/>
          <w:color w:val="000000"/>
          <w:sz w:val="32"/>
          <w:szCs w:val="32"/>
        </w:rPr>
        <w:t>0万元，</w:t>
      </w:r>
      <w:r>
        <w:rPr>
          <w:rStyle w:val="16"/>
          <w:rFonts w:hint="eastAsia" w:ascii="仿宋" w:hAnsi="仿宋" w:eastAsia="仿宋" w:cs="仿宋"/>
          <w:b w:val="0"/>
          <w:bCs/>
          <w:color w:val="000000"/>
          <w:sz w:val="32"/>
          <w:szCs w:val="32"/>
        </w:rPr>
        <w:t>完成预算0%。</w:t>
      </w:r>
      <w:r>
        <w:rPr>
          <w:rFonts w:hint="eastAsia" w:ascii="仿宋" w:hAnsi="仿宋" w:eastAsia="仿宋" w:cs="仿宋"/>
          <w:color w:val="000000"/>
          <w:sz w:val="32"/>
          <w:szCs w:val="32"/>
        </w:rPr>
        <w:t>公务接待费支出决算</w:t>
      </w:r>
      <w:r>
        <w:rPr>
          <w:rFonts w:hint="eastAsia" w:ascii="仿宋" w:hAnsi="仿宋" w:eastAsia="仿宋" w:cs="仿宋"/>
          <w:color w:val="000000"/>
          <w:sz w:val="32"/>
          <w:szCs w:val="32"/>
          <w:lang w:eastAsia="zh-CN"/>
        </w:rPr>
        <w:t>与</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22年度</w:t>
      </w:r>
      <w:r>
        <w:rPr>
          <w:rFonts w:hint="eastAsia" w:ascii="仿宋" w:hAnsi="仿宋" w:eastAsia="仿宋" w:cs="仿宋"/>
          <w:color w:val="000000"/>
          <w:sz w:val="32"/>
          <w:szCs w:val="32"/>
        </w:rPr>
        <w:t>持平。主要原因是未产生公务接待。</w:t>
      </w:r>
    </w:p>
    <w:p w14:paraId="0DC8CF13">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color w:val="000000"/>
          <w:sz w:val="32"/>
          <w:szCs w:val="32"/>
          <w:lang w:eastAsia="zh-CN"/>
        </w:rPr>
      </w:pPr>
      <w:r>
        <w:rPr>
          <w:rFonts w:hint="eastAsia" w:ascii="仿宋" w:hAnsi="仿宋" w:eastAsia="仿宋" w:cs="仿宋"/>
          <w:b/>
          <w:color w:val="000000"/>
          <w:sz w:val="32"/>
          <w:szCs w:val="32"/>
        </w:rPr>
        <w:t>国内公务接待支出</w:t>
      </w:r>
      <w:r>
        <w:rPr>
          <w:rFonts w:hint="eastAsia" w:ascii="仿宋" w:hAnsi="仿宋" w:eastAsia="仿宋" w:cs="仿宋"/>
          <w:color w:val="000000"/>
          <w:sz w:val="32"/>
          <w:szCs w:val="32"/>
        </w:rPr>
        <w:t>0万元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国内公务接待0批次，0人次（不包括陪同人员），共计支出0万元</w:t>
      </w:r>
      <w:r>
        <w:rPr>
          <w:rFonts w:hint="eastAsia" w:ascii="仿宋" w:hAnsi="仿宋" w:eastAsia="仿宋" w:cs="仿宋"/>
          <w:color w:val="000000"/>
          <w:sz w:val="32"/>
          <w:szCs w:val="32"/>
          <w:lang w:eastAsia="zh-CN"/>
        </w:rPr>
        <w:t>。</w:t>
      </w:r>
    </w:p>
    <w:p w14:paraId="79514C76">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color w:val="000000"/>
          <w:sz w:val="32"/>
          <w:szCs w:val="32"/>
        </w:rPr>
        <w:t>外事接待支出</w:t>
      </w:r>
      <w:r>
        <w:rPr>
          <w:rFonts w:hint="eastAsia" w:ascii="仿宋" w:hAnsi="仿宋" w:eastAsia="仿宋" w:cs="仿宋"/>
          <w:color w:val="000000"/>
          <w:sz w:val="32"/>
          <w:szCs w:val="32"/>
        </w:rPr>
        <w:t>0万元</w:t>
      </w:r>
      <w:r>
        <w:rPr>
          <w:rFonts w:hint="eastAsia" w:ascii="仿宋" w:hAnsi="仿宋" w:eastAsia="仿宋" w:cs="仿宋"/>
          <w:color w:val="000000" w:themeColor="text1"/>
          <w:sz w:val="32"/>
          <w:szCs w:val="32"/>
          <w14:textFill>
            <w14:solidFill>
              <w14:schemeClr w14:val="tx1"/>
            </w14:solidFill>
          </w14:textFill>
        </w:rPr>
        <w:t>，外事接待0批次，0人，共计支出0万元</w:t>
      </w:r>
      <w:r>
        <w:rPr>
          <w:rFonts w:hint="eastAsia" w:ascii="仿宋" w:hAnsi="仿宋" w:eastAsia="仿宋" w:cs="仿宋"/>
          <w:color w:val="000000" w:themeColor="text1"/>
          <w:sz w:val="32"/>
          <w:szCs w:val="32"/>
          <w:lang w:eastAsia="zh-CN"/>
          <w14:textFill>
            <w14:solidFill>
              <w14:schemeClr w14:val="tx1"/>
            </w14:solidFill>
          </w14:textFill>
        </w:rPr>
        <w:t>。</w:t>
      </w:r>
      <w:bookmarkStart w:id="41" w:name="_Toc15377218"/>
      <w:bookmarkStart w:id="42" w:name="_Toc15396610"/>
    </w:p>
    <w:p w14:paraId="46A4657D">
      <w:pPr>
        <w:keepNext w:val="0"/>
        <w:keepLines w:val="0"/>
        <w:pageBreakBefore w:val="0"/>
        <w:kinsoku/>
        <w:wordWrap/>
        <w:overflowPunct/>
        <w:topLinePunct w:val="0"/>
        <w:bidi w:val="0"/>
        <w:snapToGrid/>
        <w:spacing w:line="560" w:lineRule="exact"/>
        <w:ind w:firstLine="640" w:firstLineChars="200"/>
        <w:textAlignment w:val="auto"/>
        <w:outlineLvl w:val="1"/>
        <w:rPr>
          <w:rStyle w:val="27"/>
          <w:rFonts w:hint="eastAsia" w:ascii="黑体" w:hAnsi="黑体" w:eastAsia="黑体" w:cs="黑体"/>
          <w:sz w:val="32"/>
          <w:szCs w:val="32"/>
        </w:rPr>
      </w:pPr>
      <w:r>
        <w:rPr>
          <w:rFonts w:hint="eastAsia" w:ascii="黑体" w:hAnsi="黑体" w:eastAsia="黑体" w:cs="黑体"/>
          <w:sz w:val="32"/>
          <w:szCs w:val="32"/>
        </w:rPr>
        <w:t>八、</w:t>
      </w:r>
      <w:r>
        <w:rPr>
          <w:rStyle w:val="27"/>
          <w:rFonts w:hint="eastAsia" w:ascii="黑体" w:hAnsi="黑体" w:eastAsia="黑体" w:cs="黑体"/>
          <w:b w:val="0"/>
          <w:sz w:val="32"/>
          <w:szCs w:val="32"/>
        </w:rPr>
        <w:t>政府性基金预算支出决算情况说明</w:t>
      </w:r>
      <w:bookmarkEnd w:id="41"/>
      <w:bookmarkEnd w:id="42"/>
    </w:p>
    <w:p w14:paraId="32AC4DC0">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政府性基金预算财政拨款支出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14:paraId="791E82A1">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1"/>
        <w:rPr>
          <w:rFonts w:hint="default" w:ascii="Times New Roman" w:hAnsi="Times New Roman" w:eastAsia="仿宋_GB2312" w:cs="Times New Roman"/>
          <w:sz w:val="32"/>
          <w:szCs w:val="32"/>
        </w:rPr>
      </w:pPr>
      <w:bookmarkStart w:id="43" w:name="_Toc15377219"/>
      <w:bookmarkStart w:id="44" w:name="_Toc15396611"/>
      <w:r>
        <w:rPr>
          <w:rStyle w:val="27"/>
          <w:rFonts w:hint="eastAsia" w:ascii="黑体" w:hAnsi="黑体" w:eastAsia="黑体" w:cs="黑体"/>
          <w:b w:val="0"/>
          <w:sz w:val="32"/>
          <w:szCs w:val="32"/>
          <w:lang w:eastAsia="zh-CN"/>
        </w:rPr>
        <w:t>九、</w:t>
      </w:r>
      <w:r>
        <w:rPr>
          <w:rStyle w:val="27"/>
          <w:rFonts w:hint="eastAsia" w:ascii="黑体" w:hAnsi="黑体" w:eastAsia="黑体" w:cs="黑体"/>
          <w:b w:val="0"/>
          <w:sz w:val="32"/>
          <w:szCs w:val="32"/>
        </w:rPr>
        <w:t>国有资本经营预算支出决算情况说明</w:t>
      </w:r>
      <w:bookmarkEnd w:id="43"/>
      <w:bookmarkEnd w:id="44"/>
    </w:p>
    <w:p w14:paraId="175365A6">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1"/>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国有资本经营预算财政拨款支出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bookmarkStart w:id="45" w:name="_Toc15396612"/>
      <w:bookmarkStart w:id="46" w:name="_Toc15377221"/>
    </w:p>
    <w:p w14:paraId="14FCE58E">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1"/>
        <w:rPr>
          <w:rStyle w:val="27"/>
          <w:rFonts w:hint="eastAsia" w:ascii="黑体" w:hAnsi="黑体" w:eastAsia="黑体" w:cs="黑体"/>
          <w:b w:val="0"/>
          <w:sz w:val="32"/>
          <w:szCs w:val="32"/>
        </w:rPr>
      </w:pPr>
      <w:r>
        <w:rPr>
          <w:rStyle w:val="27"/>
          <w:rFonts w:hint="eastAsia" w:ascii="黑体" w:hAnsi="黑体" w:eastAsia="黑体" w:cs="黑体"/>
          <w:b w:val="0"/>
          <w:sz w:val="32"/>
          <w:szCs w:val="32"/>
          <w:lang w:eastAsia="zh-CN"/>
        </w:rPr>
        <w:t>十、</w:t>
      </w:r>
      <w:r>
        <w:rPr>
          <w:rStyle w:val="27"/>
          <w:rFonts w:hint="eastAsia" w:ascii="黑体" w:hAnsi="黑体" w:eastAsia="黑体" w:cs="黑体"/>
          <w:b w:val="0"/>
          <w:sz w:val="32"/>
          <w:szCs w:val="32"/>
        </w:rPr>
        <w:t>其他重要事项的情况说明</w:t>
      </w:r>
      <w:bookmarkEnd w:id="45"/>
      <w:bookmarkEnd w:id="46"/>
    </w:p>
    <w:p w14:paraId="3840986A">
      <w:pPr>
        <w:keepNext w:val="0"/>
        <w:keepLines w:val="0"/>
        <w:pageBreakBefore w:val="0"/>
        <w:kinsoku/>
        <w:wordWrap/>
        <w:overflowPunct/>
        <w:topLinePunct w:val="0"/>
        <w:bidi w:val="0"/>
        <w:snapToGrid/>
        <w:spacing w:line="560" w:lineRule="exact"/>
        <w:ind w:firstLine="643" w:firstLineChars="200"/>
        <w:textAlignment w:val="auto"/>
        <w:outlineLvl w:val="2"/>
        <w:rPr>
          <w:rFonts w:hint="eastAsia" w:ascii="仿宋" w:hAnsi="仿宋" w:eastAsia="仿宋" w:cs="仿宋"/>
          <w:sz w:val="32"/>
          <w:szCs w:val="32"/>
        </w:rPr>
      </w:pPr>
      <w:bookmarkStart w:id="47" w:name="_Toc15377222"/>
      <w:r>
        <w:rPr>
          <w:rFonts w:hint="eastAsia" w:ascii="仿宋" w:hAnsi="仿宋" w:eastAsia="仿宋" w:cs="仿宋"/>
          <w:b/>
          <w:sz w:val="32"/>
          <w:szCs w:val="32"/>
        </w:rPr>
        <w:t>（一）机关运行经费支出情况</w:t>
      </w:r>
      <w:bookmarkEnd w:id="47"/>
    </w:p>
    <w:p w14:paraId="2133DB5E">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w:t>
      </w:r>
      <w:r>
        <w:rPr>
          <w:rFonts w:hint="eastAsia" w:ascii="仿宋" w:hAnsi="仿宋" w:eastAsia="仿宋" w:cs="仿宋"/>
          <w:sz w:val="32"/>
          <w:szCs w:val="32"/>
          <w:lang w:eastAsia="zh-CN"/>
        </w:rPr>
        <w:t>盐边县红果中心卫生院</w:t>
      </w:r>
      <w:r>
        <w:rPr>
          <w:rFonts w:hint="eastAsia" w:ascii="仿宋" w:hAnsi="仿宋" w:eastAsia="仿宋" w:cs="仿宋"/>
          <w:sz w:val="32"/>
          <w:szCs w:val="32"/>
        </w:rPr>
        <w:t>机关运行经费支出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万元，与202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决算数持平</w:t>
      </w:r>
      <w:r>
        <w:rPr>
          <w:rFonts w:hint="eastAsia" w:ascii="仿宋" w:hAnsi="仿宋" w:eastAsia="仿宋" w:cs="仿宋"/>
          <w:sz w:val="32"/>
          <w:szCs w:val="32"/>
          <w:lang w:eastAsia="zh-CN"/>
        </w:rPr>
        <w:t>。</w:t>
      </w:r>
    </w:p>
    <w:p w14:paraId="438E0FA5">
      <w:pPr>
        <w:keepNext w:val="0"/>
        <w:keepLines w:val="0"/>
        <w:pageBreakBefore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hint="eastAsia" w:ascii="仿宋" w:hAnsi="仿宋" w:eastAsia="仿宋" w:cs="仿宋"/>
          <w:b/>
          <w:bCs w:val="0"/>
          <w:sz w:val="32"/>
          <w:szCs w:val="32"/>
        </w:rPr>
      </w:pPr>
      <w:bookmarkStart w:id="48" w:name="_Toc15377223"/>
      <w:r>
        <w:rPr>
          <w:rFonts w:hint="eastAsia" w:ascii="仿宋" w:hAnsi="仿宋" w:eastAsia="仿宋" w:cs="仿宋"/>
          <w:b/>
          <w:bCs w:val="0"/>
          <w:sz w:val="32"/>
          <w:szCs w:val="32"/>
        </w:rPr>
        <w:t>（二）政府采购支出情况</w:t>
      </w:r>
      <w:bookmarkEnd w:id="48"/>
    </w:p>
    <w:p w14:paraId="2DDB6646">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w:t>
      </w:r>
      <w:r>
        <w:rPr>
          <w:rFonts w:hint="eastAsia" w:ascii="仿宋" w:hAnsi="仿宋" w:eastAsia="仿宋" w:cs="仿宋"/>
          <w:sz w:val="32"/>
          <w:szCs w:val="32"/>
          <w:lang w:eastAsia="zh-CN"/>
        </w:rPr>
        <w:t>盐边县红果中心卫生院</w:t>
      </w:r>
      <w:r>
        <w:rPr>
          <w:rFonts w:hint="eastAsia" w:ascii="仿宋" w:hAnsi="仿宋" w:eastAsia="仿宋" w:cs="仿宋"/>
          <w:sz w:val="32"/>
          <w:szCs w:val="32"/>
        </w:rPr>
        <w:t>政府采购支出总额</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万元、政府采购工程支出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万元。授予中小企业合同金额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%，其中：授予小微企业合同金额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14:paraId="633699A3">
      <w:pPr>
        <w:keepNext w:val="0"/>
        <w:keepLines w:val="0"/>
        <w:pageBreakBefore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hint="eastAsia" w:ascii="仿宋" w:hAnsi="仿宋" w:eastAsia="仿宋" w:cs="仿宋"/>
          <w:b/>
          <w:sz w:val="32"/>
          <w:szCs w:val="32"/>
        </w:rPr>
      </w:pPr>
      <w:bookmarkStart w:id="49" w:name="_Toc15377224"/>
      <w:r>
        <w:rPr>
          <w:rFonts w:hint="eastAsia" w:ascii="仿宋" w:hAnsi="仿宋" w:eastAsia="仿宋" w:cs="仿宋"/>
          <w:b/>
          <w:sz w:val="32"/>
          <w:szCs w:val="32"/>
        </w:rPr>
        <w:t>（三）国有资产占有使用情况</w:t>
      </w:r>
      <w:bookmarkEnd w:id="49"/>
    </w:p>
    <w:p w14:paraId="51F6450B">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年12月31日，</w:t>
      </w:r>
      <w:r>
        <w:rPr>
          <w:rFonts w:hint="eastAsia" w:ascii="仿宋" w:hAnsi="仿宋" w:eastAsia="仿宋" w:cs="仿宋"/>
          <w:sz w:val="32"/>
          <w:szCs w:val="32"/>
          <w:lang w:eastAsia="zh-CN"/>
        </w:rPr>
        <w:t>盐边县红果中心卫生院</w:t>
      </w:r>
      <w:r>
        <w:rPr>
          <w:rFonts w:hint="eastAsia" w:ascii="仿宋" w:hAnsi="仿宋" w:eastAsia="仿宋" w:cs="仿宋"/>
          <w:sz w:val="32"/>
          <w:szCs w:val="32"/>
        </w:rPr>
        <w:t>共有车辆</w:t>
      </w:r>
      <w:r>
        <w:rPr>
          <w:rFonts w:hint="eastAsia" w:ascii="仿宋" w:hAnsi="仿宋" w:eastAsia="仿宋" w:cs="仿宋"/>
          <w:sz w:val="32"/>
          <w:szCs w:val="32"/>
          <w:lang w:val="en-US" w:eastAsia="zh-CN"/>
        </w:rPr>
        <w:t>0</w:t>
      </w:r>
      <w:r>
        <w:rPr>
          <w:rFonts w:hint="eastAsia" w:ascii="仿宋" w:hAnsi="仿宋" w:eastAsia="仿宋" w:cs="仿宋"/>
          <w:sz w:val="32"/>
          <w:szCs w:val="32"/>
        </w:rPr>
        <w:t>辆，其中：主要领导干部用车</w:t>
      </w:r>
      <w:r>
        <w:rPr>
          <w:rFonts w:hint="eastAsia" w:ascii="仿宋" w:hAnsi="仿宋" w:eastAsia="仿宋" w:cs="仿宋"/>
          <w:sz w:val="32"/>
          <w:szCs w:val="32"/>
          <w:lang w:val="en-US" w:eastAsia="zh-CN"/>
        </w:rPr>
        <w:t>0</w:t>
      </w:r>
      <w:r>
        <w:rPr>
          <w:rFonts w:hint="eastAsia" w:ascii="仿宋" w:hAnsi="仿宋" w:eastAsia="仿宋" w:cs="仿宋"/>
          <w:sz w:val="32"/>
          <w:szCs w:val="32"/>
        </w:rPr>
        <w:t>辆、机要通信用车</w:t>
      </w:r>
      <w:r>
        <w:rPr>
          <w:rFonts w:hint="eastAsia" w:ascii="仿宋" w:hAnsi="仿宋" w:eastAsia="仿宋" w:cs="仿宋"/>
          <w:sz w:val="32"/>
          <w:szCs w:val="32"/>
          <w:lang w:val="en-US" w:eastAsia="zh-CN"/>
        </w:rPr>
        <w:t>0</w:t>
      </w:r>
      <w:r>
        <w:rPr>
          <w:rFonts w:hint="eastAsia" w:ascii="仿宋" w:hAnsi="仿宋" w:eastAsia="仿宋" w:cs="仿宋"/>
          <w:sz w:val="32"/>
          <w:szCs w:val="32"/>
        </w:rPr>
        <w:t>辆、应急保障用车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辆、其他用车</w:t>
      </w:r>
      <w:r>
        <w:rPr>
          <w:rFonts w:hint="eastAsia" w:ascii="仿宋" w:hAnsi="仿宋" w:eastAsia="仿宋" w:cs="仿宋"/>
          <w:sz w:val="32"/>
          <w:szCs w:val="32"/>
          <w:lang w:val="en-US" w:eastAsia="zh-CN"/>
        </w:rPr>
        <w:t>0</w:t>
      </w:r>
      <w:r>
        <w:rPr>
          <w:rFonts w:hint="eastAsia" w:ascii="仿宋" w:hAnsi="仿宋" w:eastAsia="仿宋" w:cs="仿宋"/>
          <w:sz w:val="32"/>
          <w:szCs w:val="32"/>
        </w:rPr>
        <w:t>辆。单价100万元以上设备</w:t>
      </w:r>
      <w:r>
        <w:rPr>
          <w:rFonts w:hint="eastAsia" w:ascii="仿宋" w:hAnsi="仿宋" w:eastAsia="仿宋" w:cs="仿宋"/>
          <w:sz w:val="32"/>
          <w:szCs w:val="32"/>
          <w:lang w:eastAsia="zh-CN"/>
        </w:rPr>
        <w:t>（不含车辆）</w:t>
      </w:r>
      <w:r>
        <w:rPr>
          <w:rFonts w:hint="eastAsia" w:ascii="仿宋" w:hAnsi="仿宋" w:eastAsia="仿宋" w:cs="仿宋"/>
          <w:sz w:val="32"/>
          <w:szCs w:val="32"/>
          <w:lang w:val="en-US" w:eastAsia="zh-CN"/>
        </w:rPr>
        <w:t>0</w:t>
      </w:r>
      <w:r>
        <w:rPr>
          <w:rFonts w:hint="eastAsia" w:ascii="仿宋" w:hAnsi="仿宋" w:eastAsia="仿宋" w:cs="仿宋"/>
          <w:sz w:val="32"/>
          <w:szCs w:val="32"/>
        </w:rPr>
        <w:t>台（套）。</w:t>
      </w:r>
    </w:p>
    <w:p w14:paraId="52037939">
      <w:pPr>
        <w:keepNext w:val="0"/>
        <w:keepLines w:val="0"/>
        <w:pageBreakBefore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仿宋" w:hAnsi="仿宋" w:eastAsia="仿宋" w:cs="仿宋"/>
          <w:b/>
          <w:sz w:val="32"/>
          <w:szCs w:val="32"/>
        </w:rPr>
      </w:pPr>
      <w:r>
        <w:rPr>
          <w:rFonts w:hint="eastAsia" w:ascii="仿宋" w:hAnsi="仿宋" w:eastAsia="仿宋" w:cs="仿宋"/>
          <w:b/>
          <w:sz w:val="32"/>
          <w:szCs w:val="32"/>
        </w:rPr>
        <w:t>（四）预算绩效管理情况</w:t>
      </w:r>
    </w:p>
    <w:p w14:paraId="0F174BA1">
      <w:pPr>
        <w:keepNext w:val="0"/>
        <w:keepLines w:val="0"/>
        <w:pageBreakBefore w:val="0"/>
        <w:widowControl/>
        <w:kinsoku/>
        <w:wordWrap/>
        <w:overflowPunct/>
        <w:topLinePunct w:val="0"/>
        <w:bidi w:val="0"/>
        <w:snapToGrid/>
        <w:spacing w:line="560" w:lineRule="exact"/>
        <w:ind w:firstLine="640" w:firstLineChars="200"/>
        <w:jc w:val="left"/>
        <w:textAlignment w:val="auto"/>
        <w:rPr>
          <w:rFonts w:ascii="仿宋_GB2312" w:eastAsia="仿宋_GB2312"/>
          <w:b/>
          <w:sz w:val="32"/>
          <w:szCs w:val="32"/>
        </w:rPr>
      </w:pPr>
      <w:r>
        <w:rPr>
          <w:rFonts w:hint="eastAsia" w:ascii="仿宋" w:hAnsi="仿宋" w:eastAsia="仿宋" w:cs="仿宋"/>
          <w:sz w:val="32"/>
          <w:szCs w:val="32"/>
        </w:rPr>
        <w:t>根据预算绩效管理要求，本单位在202</w:t>
      </w:r>
      <w:r>
        <w:rPr>
          <w:rFonts w:hint="eastAsia" w:ascii="仿宋" w:hAnsi="仿宋" w:eastAsia="仿宋" w:cs="仿宋"/>
          <w:sz w:val="32"/>
          <w:szCs w:val="32"/>
          <w:lang w:val="en-US" w:eastAsia="zh-CN"/>
        </w:rPr>
        <w:t>3</w:t>
      </w:r>
      <w:r>
        <w:rPr>
          <w:rFonts w:hint="eastAsia" w:ascii="仿宋" w:hAnsi="仿宋" w:eastAsia="仿宋" w:cs="仿宋"/>
          <w:sz w:val="32"/>
          <w:szCs w:val="32"/>
        </w:rPr>
        <w:t>年度预算编制阶段，组织对</w:t>
      </w:r>
      <w:r>
        <w:rPr>
          <w:rFonts w:hint="eastAsia" w:ascii="仿宋" w:hAnsi="仿宋" w:eastAsia="仿宋" w:cs="仿宋"/>
          <w:color w:val="auto"/>
          <w:sz w:val="32"/>
          <w:szCs w:val="32"/>
          <w:highlight w:val="none"/>
          <w:lang w:eastAsia="zh-CN"/>
        </w:rPr>
        <w:t>基本公共卫生服务、基本药物制度补助</w:t>
      </w:r>
      <w:r>
        <w:rPr>
          <w:rFonts w:hint="eastAsia" w:ascii="仿宋" w:hAnsi="仿宋" w:eastAsia="仿宋" w:cs="仿宋"/>
          <w:sz w:val="32"/>
          <w:szCs w:val="32"/>
        </w:rPr>
        <w:t>项目等</w:t>
      </w:r>
      <w:r>
        <w:rPr>
          <w:rFonts w:hint="eastAsia" w:ascii="仿宋" w:hAnsi="仿宋" w:eastAsia="仿宋" w:cs="仿宋"/>
          <w:sz w:val="32"/>
          <w:szCs w:val="32"/>
          <w:lang w:eastAsia="zh-CN"/>
        </w:rPr>
        <w:t>两</w:t>
      </w:r>
      <w:r>
        <w:rPr>
          <w:rFonts w:hint="eastAsia" w:ascii="仿宋" w:hAnsi="仿宋" w:eastAsia="仿宋" w:cs="仿宋"/>
          <w:sz w:val="32"/>
          <w:szCs w:val="32"/>
        </w:rPr>
        <w:t>个项目开展了预算事前绩效评估，对</w:t>
      </w:r>
      <w:r>
        <w:rPr>
          <w:rFonts w:hint="eastAsia" w:ascii="仿宋" w:hAnsi="仿宋" w:eastAsia="仿宋" w:cs="仿宋"/>
          <w:sz w:val="32"/>
          <w:szCs w:val="32"/>
          <w:lang w:val="en-US" w:eastAsia="zh-CN"/>
        </w:rPr>
        <w:t>17</w:t>
      </w:r>
      <w:r>
        <w:rPr>
          <w:rFonts w:hint="eastAsia" w:ascii="仿宋" w:hAnsi="仿宋" w:eastAsia="仿宋" w:cs="仿宋"/>
          <w:sz w:val="32"/>
          <w:szCs w:val="32"/>
        </w:rPr>
        <w:t>个项目编制了绩效目标，预算执行过程中，选取</w:t>
      </w:r>
      <w:r>
        <w:rPr>
          <w:rFonts w:hint="eastAsia" w:ascii="仿宋" w:hAnsi="仿宋" w:eastAsia="仿宋" w:cs="仿宋"/>
          <w:sz w:val="32"/>
          <w:szCs w:val="32"/>
          <w:lang w:val="en-US" w:eastAsia="zh-CN"/>
        </w:rPr>
        <w:t>17</w:t>
      </w:r>
      <w:r>
        <w:rPr>
          <w:rFonts w:hint="eastAsia" w:ascii="仿宋" w:hAnsi="仿宋" w:eastAsia="仿宋" w:cs="仿宋"/>
          <w:sz w:val="32"/>
          <w:szCs w:val="32"/>
        </w:rPr>
        <w:t>个项目开展绩效监控,织对</w:t>
      </w:r>
      <w:r>
        <w:rPr>
          <w:rFonts w:hint="eastAsia" w:ascii="仿宋" w:hAnsi="仿宋" w:eastAsia="仿宋" w:cs="仿宋"/>
          <w:sz w:val="32"/>
          <w:szCs w:val="32"/>
          <w:lang w:val="en-US" w:eastAsia="zh-CN"/>
        </w:rPr>
        <w:t>17</w:t>
      </w:r>
      <w:r>
        <w:rPr>
          <w:rFonts w:hint="eastAsia" w:ascii="仿宋" w:hAnsi="仿宋" w:eastAsia="仿宋" w:cs="仿宋"/>
          <w:sz w:val="32"/>
          <w:szCs w:val="32"/>
        </w:rPr>
        <w:t>个项目开展绩效自评，绩效自评表详见第四部分附件。</w:t>
      </w:r>
      <w:r>
        <w:rPr>
          <w:rFonts w:ascii="仿宋_GB2312" w:eastAsia="仿宋_GB2312"/>
          <w:b/>
          <w:sz w:val="32"/>
          <w:szCs w:val="32"/>
        </w:rPr>
        <w:br w:type="page"/>
      </w:r>
    </w:p>
    <w:p w14:paraId="60229762">
      <w:pPr>
        <w:numPr>
          <w:ilvl w:val="0"/>
          <w:numId w:val="1"/>
        </w:numPr>
        <w:spacing w:line="600" w:lineRule="exact"/>
        <w:ind w:firstLine="660" w:firstLineChars="150"/>
        <w:jc w:val="center"/>
        <w:outlineLvl w:val="0"/>
        <w:rPr>
          <w:rStyle w:val="26"/>
          <w:rFonts w:hint="eastAsia" w:ascii="黑体" w:hAnsi="黑体" w:eastAsia="黑体" w:cs="黑体"/>
          <w:b w:val="0"/>
          <w:sz w:val="44"/>
          <w:szCs w:val="44"/>
        </w:rPr>
      </w:pPr>
      <w:bookmarkStart w:id="50" w:name="_Toc15377225"/>
      <w:bookmarkStart w:id="51" w:name="_Toc15396613"/>
      <w:r>
        <w:rPr>
          <w:rFonts w:hint="eastAsia" w:ascii="黑体" w:hAnsi="黑体" w:eastAsia="黑体" w:cs="黑体"/>
          <w:sz w:val="44"/>
          <w:szCs w:val="44"/>
        </w:rPr>
        <w:t>名</w:t>
      </w:r>
      <w:r>
        <w:rPr>
          <w:rStyle w:val="26"/>
          <w:rFonts w:hint="eastAsia" w:ascii="黑体" w:hAnsi="黑体" w:eastAsia="黑体" w:cs="黑体"/>
          <w:b w:val="0"/>
          <w:sz w:val="44"/>
          <w:szCs w:val="44"/>
        </w:rPr>
        <w:t>词解释</w:t>
      </w:r>
      <w:bookmarkEnd w:id="50"/>
      <w:bookmarkEnd w:id="51"/>
    </w:p>
    <w:p w14:paraId="2788F1F9">
      <w:pPr>
        <w:spacing w:line="600" w:lineRule="exact"/>
        <w:jc w:val="left"/>
        <w:rPr>
          <w:rFonts w:ascii="宋体"/>
          <w:b/>
          <w:sz w:val="44"/>
          <w:szCs w:val="44"/>
        </w:rPr>
      </w:pPr>
    </w:p>
    <w:p w14:paraId="1E9AC82B">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1.财政拨款收入：指单位从同级财政部门取得的财政预算资金。</w:t>
      </w:r>
    </w:p>
    <w:p w14:paraId="0F57E5D8">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2.事业收入：指事业单位开展专业业务活动及辅助活动取得的收入。</w:t>
      </w:r>
    </w:p>
    <w:p w14:paraId="608ACDD6">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.其他收入：指单位取得的除上述收入以外的各项收入。</w:t>
      </w:r>
    </w:p>
    <w:p w14:paraId="701AF6EE">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.使用非财政拨款结余</w:t>
      </w:r>
      <w:r>
        <w:rPr>
          <w:rFonts w:hint="eastAsia" w:ascii="仿宋" w:hAnsi="仿宋" w:eastAsia="仿宋" w:cs="仿宋"/>
          <w:color w:val="auto"/>
          <w:sz w:val="32"/>
          <w:szCs w:val="32"/>
          <w:lang w:eastAsia="zh-CN"/>
        </w:rPr>
        <w:t>（含专用结余）</w:t>
      </w:r>
      <w:r>
        <w:rPr>
          <w:rFonts w:hint="eastAsia" w:ascii="仿宋" w:hAnsi="仿宋" w:eastAsia="仿宋" w:cs="仿宋"/>
          <w:color w:val="auto"/>
          <w:sz w:val="32"/>
          <w:szCs w:val="32"/>
        </w:rPr>
        <w:t>：指事业单位使用以前年度积累的非财政拨款结余弥补当年收支差额的金额。</w:t>
      </w:r>
    </w:p>
    <w:p w14:paraId="0C42F604">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.年初结转和结余：指以前年度尚未完成、结转到本年按有关规定继续使用的资金。</w:t>
      </w:r>
    </w:p>
    <w:p w14:paraId="66DF8F46">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.结余分配：指事业单位按照会计制度规定缴纳的所得税、提取的专用结余以及转入非财政拨款结余的金额等。</w:t>
      </w:r>
    </w:p>
    <w:p w14:paraId="03774CDE">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年末结转和结余：指单位按有关规定结转到下年或以后年度继续使用的资金。</w:t>
      </w:r>
    </w:p>
    <w:p w14:paraId="4C7D302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.社会保障和就业支出（类）行政事业单位养老支出（款）机关事业单位基本养老保险缴费支出（项）：指</w:t>
      </w:r>
      <w:r>
        <w:rPr>
          <w:rFonts w:hint="eastAsia" w:ascii="仿宋" w:hAnsi="仿宋" w:eastAsia="仿宋" w:cs="仿宋"/>
          <w:sz w:val="32"/>
          <w:szCs w:val="32"/>
          <w:lang w:val="en-US" w:eastAsia="zh-CN"/>
        </w:rPr>
        <w:t>机关事业单位实施养老保险制度由单位缴纳的基本养老保险费支出</w:t>
      </w:r>
      <w:r>
        <w:rPr>
          <w:rFonts w:hint="eastAsia" w:ascii="仿宋" w:hAnsi="仿宋" w:eastAsia="仿宋" w:cs="仿宋"/>
          <w:sz w:val="32"/>
          <w:szCs w:val="32"/>
        </w:rPr>
        <w:t>。</w:t>
      </w:r>
    </w:p>
    <w:p w14:paraId="4ACE9E2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.卫生健康支出（类）基层医疗卫生机构（款）乡镇卫生院（项）：指</w:t>
      </w:r>
      <w:r>
        <w:rPr>
          <w:rFonts w:hint="eastAsia" w:ascii="仿宋" w:hAnsi="仿宋" w:eastAsia="仿宋" w:cs="仿宋"/>
          <w:sz w:val="32"/>
          <w:szCs w:val="32"/>
          <w:lang w:val="en-US" w:eastAsia="zh-CN"/>
        </w:rPr>
        <w:t>用于乡镇卫生院的支出</w:t>
      </w:r>
      <w:r>
        <w:rPr>
          <w:rFonts w:hint="eastAsia" w:ascii="仿宋" w:hAnsi="仿宋" w:eastAsia="仿宋" w:cs="仿宋"/>
          <w:sz w:val="32"/>
          <w:szCs w:val="32"/>
        </w:rPr>
        <w:t>。</w:t>
      </w:r>
    </w:p>
    <w:p w14:paraId="12AD317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.卫生健康支出（类）基层医疗卫生机构（款）其他基层医疗卫生机构支出（项）：指</w:t>
      </w:r>
      <w:r>
        <w:rPr>
          <w:rFonts w:hint="eastAsia" w:ascii="仿宋" w:hAnsi="仿宋" w:eastAsia="仿宋" w:cs="仿宋"/>
          <w:sz w:val="32"/>
          <w:szCs w:val="32"/>
          <w:lang w:val="en-US" w:eastAsia="zh-CN"/>
        </w:rPr>
        <w:t>除上述项目以外的其他用于基层医疗卫生机构的支出</w:t>
      </w:r>
      <w:r>
        <w:rPr>
          <w:rFonts w:hint="eastAsia" w:ascii="仿宋" w:hAnsi="仿宋" w:eastAsia="仿宋" w:cs="仿宋"/>
          <w:sz w:val="32"/>
          <w:szCs w:val="32"/>
        </w:rPr>
        <w:t>。</w:t>
      </w:r>
    </w:p>
    <w:p w14:paraId="3452051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rPr>
        <w:t>.卫生健康支出（类）公共卫生（款）基本公共卫生服务（项）：指</w:t>
      </w:r>
      <w:r>
        <w:rPr>
          <w:rFonts w:hint="eastAsia" w:ascii="仿宋" w:hAnsi="仿宋" w:eastAsia="仿宋" w:cs="仿宋"/>
          <w:sz w:val="32"/>
          <w:szCs w:val="32"/>
          <w:lang w:val="en-US" w:eastAsia="zh-CN"/>
        </w:rPr>
        <w:t>基本公共卫生服务支出</w:t>
      </w:r>
      <w:r>
        <w:rPr>
          <w:rFonts w:hint="eastAsia" w:ascii="仿宋" w:hAnsi="仿宋" w:eastAsia="仿宋" w:cs="仿宋"/>
          <w:sz w:val="32"/>
          <w:szCs w:val="32"/>
        </w:rPr>
        <w:t>。</w:t>
      </w:r>
    </w:p>
    <w:p w14:paraId="29DE2F6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12</w:t>
      </w:r>
      <w:r>
        <w:rPr>
          <w:rFonts w:hint="eastAsia" w:ascii="仿宋" w:hAnsi="仿宋" w:eastAsia="仿宋" w:cs="仿宋"/>
          <w:sz w:val="32"/>
          <w:szCs w:val="32"/>
        </w:rPr>
        <w:t>.卫生健康支出（类）公共卫生（款）重大公共卫生服务（项）：指</w:t>
      </w:r>
      <w:r>
        <w:rPr>
          <w:rFonts w:hint="eastAsia" w:ascii="仿宋" w:hAnsi="仿宋" w:eastAsia="仿宋" w:cs="仿宋"/>
          <w:sz w:val="32"/>
          <w:szCs w:val="32"/>
          <w:lang w:val="en-US" w:eastAsia="zh-CN"/>
        </w:rPr>
        <w:t>重大疾病、重大传染病预防控制等重大公共卫生服务项目支出</w:t>
      </w:r>
      <w:r>
        <w:rPr>
          <w:rFonts w:hint="eastAsia" w:ascii="仿宋" w:hAnsi="仿宋" w:eastAsia="仿宋" w:cs="仿宋"/>
          <w:sz w:val="32"/>
          <w:szCs w:val="32"/>
        </w:rPr>
        <w:t>。</w:t>
      </w:r>
    </w:p>
    <w:p w14:paraId="4FF5EEC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13</w:t>
      </w:r>
      <w:r>
        <w:rPr>
          <w:rFonts w:hint="eastAsia" w:ascii="仿宋" w:hAnsi="仿宋" w:eastAsia="仿宋" w:cs="仿宋"/>
          <w:sz w:val="32"/>
          <w:szCs w:val="32"/>
        </w:rPr>
        <w:t>.卫生健康支出（类）公共卫生（款）其他公共卫生支出（项）：指</w:t>
      </w:r>
      <w:r>
        <w:rPr>
          <w:rFonts w:hint="eastAsia" w:ascii="仿宋" w:hAnsi="仿宋" w:eastAsia="仿宋" w:cs="仿宋"/>
          <w:sz w:val="32"/>
          <w:szCs w:val="32"/>
          <w:lang w:val="en-US" w:eastAsia="zh-CN"/>
        </w:rPr>
        <w:t>除上述项目以外的其他用于公共卫生方面的支出</w:t>
      </w:r>
      <w:r>
        <w:rPr>
          <w:rFonts w:hint="eastAsia" w:ascii="仿宋" w:hAnsi="仿宋" w:eastAsia="仿宋" w:cs="仿宋"/>
          <w:sz w:val="32"/>
          <w:szCs w:val="32"/>
        </w:rPr>
        <w:t>。</w:t>
      </w:r>
    </w:p>
    <w:p w14:paraId="5D6513C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14</w:t>
      </w:r>
      <w:r>
        <w:rPr>
          <w:rFonts w:hint="eastAsia" w:ascii="仿宋" w:hAnsi="仿宋" w:eastAsia="仿宋" w:cs="仿宋"/>
          <w:sz w:val="32"/>
          <w:szCs w:val="32"/>
        </w:rPr>
        <w:t>.卫生健康支出（类）行政事业单位医疗（款）事业单位医疗（项）：指</w:t>
      </w:r>
      <w:r>
        <w:rPr>
          <w:rFonts w:hint="eastAsia" w:ascii="仿宋" w:hAnsi="仿宋" w:eastAsia="仿宋" w:cs="仿宋"/>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 w:hAnsi="仿宋" w:eastAsia="仿宋" w:cs="仿宋"/>
          <w:sz w:val="32"/>
          <w:szCs w:val="32"/>
        </w:rPr>
        <w:t>。</w:t>
      </w:r>
    </w:p>
    <w:p w14:paraId="49FB657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.卫生健康支出（类）行政事业单位医疗（款）公务员医疗补助（项）：指</w:t>
      </w:r>
      <w:r>
        <w:rPr>
          <w:rFonts w:hint="eastAsia" w:ascii="仿宋" w:hAnsi="仿宋" w:eastAsia="仿宋" w:cs="仿宋"/>
          <w:sz w:val="32"/>
          <w:szCs w:val="32"/>
          <w:lang w:val="en-US" w:eastAsia="zh-CN"/>
        </w:rPr>
        <w:t>财政部门安排的公务员医疗补助经费</w:t>
      </w:r>
      <w:r>
        <w:rPr>
          <w:rFonts w:hint="eastAsia" w:ascii="仿宋" w:hAnsi="仿宋" w:eastAsia="仿宋" w:cs="仿宋"/>
          <w:sz w:val="32"/>
          <w:szCs w:val="32"/>
        </w:rPr>
        <w:t>。</w:t>
      </w:r>
    </w:p>
    <w:p w14:paraId="0233CF8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.卫生健康支出（类）其他卫生健康支出（款）其他卫生健康支出（项）：指</w:t>
      </w:r>
      <w:r>
        <w:rPr>
          <w:rFonts w:hint="eastAsia" w:ascii="仿宋" w:hAnsi="仿宋" w:eastAsia="仿宋" w:cs="仿宋"/>
          <w:sz w:val="32"/>
          <w:szCs w:val="32"/>
          <w:lang w:val="en-US" w:eastAsia="zh-CN"/>
        </w:rPr>
        <w:t>除上述项目以外其他用于卫生健康方面的支出</w:t>
      </w:r>
      <w:r>
        <w:rPr>
          <w:rFonts w:hint="eastAsia" w:ascii="仿宋" w:hAnsi="仿宋" w:eastAsia="仿宋" w:cs="仿宋"/>
          <w:sz w:val="32"/>
          <w:szCs w:val="32"/>
        </w:rPr>
        <w:t>。</w:t>
      </w:r>
    </w:p>
    <w:p w14:paraId="53891CA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17</w:t>
      </w:r>
      <w:r>
        <w:rPr>
          <w:rFonts w:hint="eastAsia" w:ascii="仿宋" w:hAnsi="仿宋" w:eastAsia="仿宋" w:cs="仿宋"/>
          <w:sz w:val="32"/>
          <w:szCs w:val="32"/>
        </w:rPr>
        <w:t>.住房保障支出（类）住房改革支出（款）住房公积金（项）：指</w:t>
      </w:r>
      <w:r>
        <w:rPr>
          <w:rFonts w:hint="eastAsia" w:ascii="仿宋" w:hAnsi="仿宋" w:eastAsia="仿宋" w:cs="仿宋"/>
          <w:sz w:val="32"/>
          <w:szCs w:val="32"/>
          <w:lang w:val="en-US" w:eastAsia="zh-CN"/>
        </w:rPr>
        <w:t>行政事业单位按人力资源和社会保障部、财政部规定的基本工资和津贴补贴以及规定比例为职工缴纳的住房公积金</w:t>
      </w:r>
      <w:r>
        <w:rPr>
          <w:rFonts w:hint="eastAsia" w:ascii="仿宋" w:hAnsi="仿宋" w:eastAsia="仿宋" w:cs="仿宋"/>
          <w:sz w:val="32"/>
          <w:szCs w:val="32"/>
        </w:rPr>
        <w:t>。</w:t>
      </w:r>
    </w:p>
    <w:p w14:paraId="4851639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.基本支出：指为保障机构正常运转、完成日常工作任务而发生的人员支出和公用支出。</w:t>
      </w:r>
    </w:p>
    <w:p w14:paraId="3FE774A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19</w:t>
      </w:r>
      <w:r>
        <w:rPr>
          <w:rFonts w:hint="eastAsia" w:ascii="仿宋" w:hAnsi="仿宋" w:eastAsia="仿宋" w:cs="仿宋"/>
          <w:sz w:val="32"/>
          <w:szCs w:val="32"/>
        </w:rPr>
        <w:t>.项目支出：指在基本支出之外为完成特定行政任务和事业发展目标所发生的支出。</w:t>
      </w:r>
    </w:p>
    <w:p w14:paraId="1BC712FD">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ascii="仿宋" w:hAnsi="仿宋" w:eastAsia="仿宋" w:cs="仿宋"/>
          <w:color w:val="auto"/>
          <w:sz w:val="32"/>
          <w:szCs w:val="32"/>
          <w:lang w:eastAsia="zh-CN"/>
        </w:rPr>
        <w:t>、牌照费</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及</w:t>
      </w:r>
      <w:r>
        <w:rPr>
          <w:rFonts w:hint="eastAsia" w:ascii="仿宋" w:hAnsi="仿宋" w:eastAsia="仿宋" w:cs="仿宋"/>
          <w:color w:val="auto"/>
          <w:sz w:val="32"/>
          <w:szCs w:val="32"/>
        </w:rPr>
        <w:t>燃料费、维修费、过桥过路费、保险费</w:t>
      </w:r>
      <w:r>
        <w:rPr>
          <w:rFonts w:hint="eastAsia" w:ascii="仿宋" w:hAnsi="仿宋" w:eastAsia="仿宋" w:cs="仿宋"/>
          <w:color w:val="auto"/>
          <w:sz w:val="32"/>
          <w:szCs w:val="32"/>
          <w:lang w:eastAsia="zh-CN"/>
        </w:rPr>
        <w:t>、安全奖励费</w:t>
      </w:r>
      <w:r>
        <w:rPr>
          <w:rFonts w:hint="eastAsia" w:ascii="仿宋" w:hAnsi="仿宋" w:eastAsia="仿宋" w:cs="仿宋"/>
          <w:color w:val="auto"/>
          <w:sz w:val="32"/>
          <w:szCs w:val="32"/>
          <w:lang w:val="en-US" w:eastAsia="zh-CN"/>
        </w:rPr>
        <w:t>用</w:t>
      </w:r>
      <w:r>
        <w:rPr>
          <w:rFonts w:hint="eastAsia" w:ascii="仿宋" w:hAnsi="仿宋" w:eastAsia="仿宋" w:cs="仿宋"/>
          <w:color w:val="auto"/>
          <w:sz w:val="32"/>
          <w:szCs w:val="32"/>
        </w:rPr>
        <w:t>等支出；公务接待费反映单位按规定开支的各类公务接待（含外宾接待）支出。</w:t>
      </w:r>
    </w:p>
    <w:p w14:paraId="6B1C33A9">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bookmarkStart w:id="52" w:name="_Toc15377226"/>
    </w:p>
    <w:p w14:paraId="49A3B162">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5E1E3B01">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2F3A8909">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664D3B66">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46E4F8B8">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74DFC411">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12A8E372">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08BF4027">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5E67EC2F">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442345E1">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36471C2D">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4821FF47">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34565CB3">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183F37C7">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p>
    <w:p w14:paraId="5EBDCC08">
      <w:pPr>
        <w:keepNext w:val="0"/>
        <w:keepLines w:val="0"/>
        <w:pageBreakBefore w:val="0"/>
        <w:widowControl w:val="0"/>
        <w:kinsoku/>
        <w:wordWrap/>
        <w:overflowPunct/>
        <w:topLinePunct w:val="0"/>
        <w:bidi w:val="0"/>
        <w:snapToGrid/>
        <w:spacing w:line="560" w:lineRule="exact"/>
        <w:jc w:val="center"/>
        <w:textAlignment w:val="auto"/>
        <w:outlineLvl w:val="0"/>
        <w:rPr>
          <w:rStyle w:val="26"/>
          <w:rFonts w:ascii="黑体" w:hAnsi="黑体" w:eastAsia="黑体"/>
          <w:b w:val="0"/>
        </w:rPr>
      </w:pPr>
      <w:r>
        <w:rPr>
          <w:rStyle w:val="26"/>
          <w:rFonts w:ascii="黑体" w:hAnsi="黑体" w:eastAsia="黑体"/>
          <w:b w:val="0"/>
        </w:rPr>
        <w:t xml:space="preserve"> </w:t>
      </w:r>
      <w:r>
        <w:rPr>
          <w:rFonts w:hint="eastAsia" w:ascii="黑体" w:hAnsi="黑体" w:eastAsia="黑体"/>
          <w:sz w:val="44"/>
          <w:szCs w:val="44"/>
        </w:rPr>
        <w:t>第</w:t>
      </w:r>
      <w:r>
        <w:rPr>
          <w:rStyle w:val="26"/>
          <w:rFonts w:hint="eastAsia" w:ascii="黑体" w:hAnsi="黑体" w:eastAsia="黑体"/>
        </w:rPr>
        <w:t>四部分 附件</w:t>
      </w:r>
    </w:p>
    <w:p w14:paraId="66D1BF04">
      <w:pPr>
        <w:pStyle w:val="13"/>
        <w:spacing w:line="560" w:lineRule="exact"/>
        <w:ind w:left="0" w:leftChars="0" w:firstLine="640"/>
        <w:rPr>
          <w:rFonts w:ascii="仿宋_GB2312" w:hAnsi="仿宋_GB2312" w:eastAsia="仿宋_GB2312" w:cs="仿宋_GB2312"/>
          <w:sz w:val="32"/>
          <w:szCs w:val="32"/>
        </w:rPr>
      </w:pPr>
    </w:p>
    <w:p w14:paraId="27DB509B">
      <w:pPr>
        <w:pStyle w:val="13"/>
        <w:spacing w:line="560" w:lineRule="exact"/>
        <w:ind w:left="0" w:leftChars="0" w:firstLine="800" w:firstLineChars="250"/>
        <w:rPr>
          <w:rFonts w:hint="eastAsia" w:ascii="仿宋" w:hAnsi="仿宋" w:eastAsia="仿宋" w:cs="仿宋"/>
          <w:sz w:val="32"/>
          <w:szCs w:val="32"/>
        </w:rPr>
        <w:sectPr>
          <w:footerReference r:id="rId7" w:type="first"/>
          <w:headerReference r:id="rId5" w:type="default"/>
          <w:footerReference r:id="rId6" w:type="default"/>
          <w:pgSz w:w="11906" w:h="16838"/>
          <w:pgMar w:top="1440" w:right="1800" w:bottom="1440" w:left="1800" w:header="851" w:footer="992" w:gutter="0"/>
          <w:pgNumType w:fmt="decimal" w:start="1"/>
          <w:cols w:space="425" w:num="1"/>
          <w:titlePg/>
          <w:docGrid w:type="lines" w:linePitch="312" w:charSpace="0"/>
        </w:sectPr>
      </w:pPr>
      <w:r>
        <w:rPr>
          <w:rFonts w:hint="eastAsia" w:ascii="仿宋" w:hAnsi="仿宋" w:eastAsia="仿宋" w:cs="仿宋"/>
          <w:sz w:val="32"/>
          <w:szCs w:val="32"/>
        </w:rPr>
        <w:t>部门预算项目支出绩效自评表（202</w:t>
      </w:r>
      <w:r>
        <w:rPr>
          <w:rFonts w:hint="eastAsia" w:ascii="仿宋" w:hAnsi="仿宋" w:eastAsia="仿宋" w:cs="仿宋"/>
          <w:sz w:val="32"/>
          <w:szCs w:val="32"/>
          <w:lang w:val="en-US" w:eastAsia="zh-CN"/>
        </w:rPr>
        <w:t>3</w:t>
      </w:r>
      <w:r>
        <w:rPr>
          <w:rFonts w:hint="eastAsia" w:ascii="仿宋" w:hAnsi="仿宋" w:eastAsia="仿宋" w:cs="仿宋"/>
          <w:sz w:val="32"/>
          <w:szCs w:val="32"/>
        </w:rPr>
        <w:t>年度）见附件</w:t>
      </w:r>
      <w:bookmarkStart w:id="53" w:name="_Toc15396618"/>
    </w:p>
    <w:p w14:paraId="5D0595F6">
      <w:pPr>
        <w:spacing w:line="600" w:lineRule="exact"/>
        <w:jc w:val="center"/>
        <w:outlineLvl w:val="0"/>
      </w:pPr>
      <w:r>
        <w:rPr>
          <w:rFonts w:hint="eastAsia" w:ascii="黑体" w:hAnsi="黑体" w:eastAsia="黑体" w:cs="黑体"/>
          <w:sz w:val="44"/>
          <w:szCs w:val="44"/>
        </w:rPr>
        <w:t>第</w:t>
      </w:r>
      <w:r>
        <w:rPr>
          <w:rStyle w:val="26"/>
          <w:rFonts w:hint="eastAsia" w:ascii="黑体" w:hAnsi="黑体" w:eastAsia="黑体" w:cs="黑体"/>
          <w:b w:val="0"/>
          <w:sz w:val="44"/>
          <w:szCs w:val="44"/>
        </w:rPr>
        <w:t>五部分 附表</w:t>
      </w:r>
      <w:bookmarkEnd w:id="52"/>
      <w:bookmarkEnd w:id="53"/>
      <w:bookmarkStart w:id="54" w:name="_Toc15396619"/>
    </w:p>
    <w:p w14:paraId="0ED9645E">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b w:val="0"/>
          <w:sz w:val="32"/>
          <w:szCs w:val="32"/>
        </w:rPr>
        <w:t>一、收</w:t>
      </w:r>
      <w:r>
        <w:rPr>
          <w:rStyle w:val="27"/>
          <w:rFonts w:hint="eastAsia" w:ascii="仿宋" w:hAnsi="仿宋" w:eastAsia="仿宋" w:cs="仿宋"/>
          <w:b w:val="0"/>
          <w:bCs w:val="0"/>
          <w:sz w:val="32"/>
          <w:szCs w:val="32"/>
        </w:rPr>
        <w:t>入支出决算总表</w:t>
      </w:r>
      <w:bookmarkEnd w:id="54"/>
    </w:p>
    <w:p w14:paraId="2A3C1882">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55" w:name="_Toc15396620"/>
      <w:r>
        <w:rPr>
          <w:rFonts w:hint="eastAsia" w:ascii="仿宋" w:hAnsi="仿宋" w:eastAsia="仿宋" w:cs="仿宋"/>
          <w:b w:val="0"/>
          <w:sz w:val="32"/>
          <w:szCs w:val="32"/>
        </w:rPr>
        <w:t>二、收</w:t>
      </w:r>
      <w:r>
        <w:rPr>
          <w:rStyle w:val="27"/>
          <w:rFonts w:hint="eastAsia" w:ascii="仿宋" w:hAnsi="仿宋" w:eastAsia="仿宋" w:cs="仿宋"/>
          <w:b w:val="0"/>
          <w:bCs w:val="0"/>
          <w:sz w:val="32"/>
          <w:szCs w:val="32"/>
        </w:rPr>
        <w:t>入决算表</w:t>
      </w:r>
      <w:bookmarkEnd w:id="55"/>
    </w:p>
    <w:p w14:paraId="18C24D6F">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56" w:name="_Toc15396621"/>
      <w:r>
        <w:rPr>
          <w:rStyle w:val="27"/>
          <w:rFonts w:hint="eastAsia" w:ascii="仿宋" w:hAnsi="仿宋" w:eastAsia="仿宋" w:cs="仿宋"/>
          <w:b w:val="0"/>
          <w:bCs w:val="0"/>
          <w:sz w:val="32"/>
          <w:szCs w:val="32"/>
        </w:rPr>
        <w:t>三、</w:t>
      </w:r>
      <w:r>
        <w:rPr>
          <w:rFonts w:hint="eastAsia" w:ascii="仿宋" w:hAnsi="仿宋" w:eastAsia="仿宋" w:cs="仿宋"/>
          <w:b w:val="0"/>
          <w:sz w:val="32"/>
          <w:szCs w:val="32"/>
        </w:rPr>
        <w:t>支</w:t>
      </w:r>
      <w:r>
        <w:rPr>
          <w:rStyle w:val="27"/>
          <w:rFonts w:hint="eastAsia" w:ascii="仿宋" w:hAnsi="仿宋" w:eastAsia="仿宋" w:cs="仿宋"/>
          <w:b w:val="0"/>
          <w:bCs w:val="0"/>
          <w:sz w:val="32"/>
          <w:szCs w:val="32"/>
        </w:rPr>
        <w:t>出决算表</w:t>
      </w:r>
      <w:bookmarkEnd w:id="56"/>
    </w:p>
    <w:p w14:paraId="2D24D3B2">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sz w:val="32"/>
          <w:szCs w:val="32"/>
        </w:rPr>
      </w:pPr>
      <w:bookmarkStart w:id="57" w:name="_Toc15396622"/>
      <w:r>
        <w:rPr>
          <w:rStyle w:val="27"/>
          <w:rFonts w:hint="eastAsia" w:ascii="仿宋" w:hAnsi="仿宋" w:eastAsia="仿宋" w:cs="仿宋"/>
          <w:b w:val="0"/>
          <w:bCs w:val="0"/>
          <w:sz w:val="32"/>
          <w:szCs w:val="32"/>
        </w:rPr>
        <w:t>四、</w:t>
      </w:r>
      <w:r>
        <w:rPr>
          <w:rFonts w:hint="eastAsia" w:ascii="仿宋" w:hAnsi="仿宋" w:eastAsia="仿宋" w:cs="仿宋"/>
          <w:b w:val="0"/>
          <w:sz w:val="32"/>
          <w:szCs w:val="32"/>
        </w:rPr>
        <w:t>财</w:t>
      </w:r>
      <w:r>
        <w:rPr>
          <w:rStyle w:val="27"/>
          <w:rFonts w:hint="eastAsia" w:ascii="仿宋" w:hAnsi="仿宋" w:eastAsia="仿宋" w:cs="仿宋"/>
          <w:b w:val="0"/>
          <w:bCs w:val="0"/>
          <w:sz w:val="32"/>
          <w:szCs w:val="32"/>
        </w:rPr>
        <w:t>政拨款收入支出决算总表</w:t>
      </w:r>
      <w:bookmarkEnd w:id="57"/>
    </w:p>
    <w:p w14:paraId="65DC3F55">
      <w:pPr>
        <w:pStyle w:val="4"/>
        <w:pageBreakBefore w:val="0"/>
        <w:widowControl w:val="0"/>
        <w:kinsoku/>
        <w:wordWrap/>
        <w:overflowPunct/>
        <w:topLinePunct w:val="0"/>
        <w:autoSpaceDE/>
        <w:autoSpaceDN/>
        <w:bidi w:val="0"/>
        <w:adjustRightInd/>
        <w:snapToGrid/>
        <w:spacing w:line="560" w:lineRule="exact"/>
        <w:textAlignment w:val="auto"/>
        <w:rPr>
          <w:rStyle w:val="27"/>
          <w:rFonts w:hint="eastAsia" w:ascii="仿宋" w:hAnsi="仿宋" w:eastAsia="仿宋" w:cs="仿宋"/>
          <w:b w:val="0"/>
          <w:bCs w:val="0"/>
          <w:sz w:val="32"/>
          <w:szCs w:val="32"/>
        </w:rPr>
      </w:pPr>
      <w:bookmarkStart w:id="58" w:name="_Toc15396623"/>
      <w:r>
        <w:rPr>
          <w:rStyle w:val="27"/>
          <w:rFonts w:hint="eastAsia" w:ascii="仿宋" w:hAnsi="仿宋" w:eastAsia="仿宋" w:cs="仿宋"/>
          <w:b w:val="0"/>
          <w:bCs w:val="0"/>
          <w:sz w:val="32"/>
          <w:szCs w:val="32"/>
        </w:rPr>
        <w:t>五、</w:t>
      </w:r>
      <w:r>
        <w:rPr>
          <w:rFonts w:hint="eastAsia" w:ascii="仿宋" w:hAnsi="仿宋" w:eastAsia="仿宋" w:cs="仿宋"/>
          <w:b w:val="0"/>
          <w:sz w:val="32"/>
          <w:szCs w:val="32"/>
        </w:rPr>
        <w:t>财</w:t>
      </w:r>
      <w:r>
        <w:rPr>
          <w:rStyle w:val="27"/>
          <w:rFonts w:hint="eastAsia" w:ascii="仿宋" w:hAnsi="仿宋" w:eastAsia="仿宋" w:cs="仿宋"/>
          <w:b w:val="0"/>
          <w:bCs w:val="0"/>
          <w:sz w:val="32"/>
          <w:szCs w:val="32"/>
        </w:rPr>
        <w:t>政拨款支出决算明细表</w:t>
      </w:r>
      <w:bookmarkEnd w:id="58"/>
      <w:bookmarkStart w:id="59" w:name="_Toc15396624"/>
    </w:p>
    <w:p w14:paraId="4CE511CF">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Style w:val="27"/>
          <w:rFonts w:hint="eastAsia" w:ascii="仿宋" w:hAnsi="仿宋" w:eastAsia="仿宋" w:cs="仿宋"/>
          <w:b w:val="0"/>
          <w:bCs w:val="0"/>
          <w:sz w:val="32"/>
          <w:szCs w:val="32"/>
        </w:rPr>
        <w:t>六、</w:t>
      </w:r>
      <w:r>
        <w:rPr>
          <w:rFonts w:hint="eastAsia" w:ascii="仿宋" w:hAnsi="仿宋" w:eastAsia="仿宋" w:cs="仿宋"/>
          <w:b w:val="0"/>
          <w:sz w:val="32"/>
          <w:szCs w:val="32"/>
        </w:rPr>
        <w:t>一</w:t>
      </w:r>
      <w:r>
        <w:rPr>
          <w:rStyle w:val="27"/>
          <w:rFonts w:hint="eastAsia" w:ascii="仿宋" w:hAnsi="仿宋" w:eastAsia="仿宋" w:cs="仿宋"/>
          <w:b w:val="0"/>
          <w:bCs w:val="0"/>
          <w:sz w:val="32"/>
          <w:szCs w:val="32"/>
        </w:rPr>
        <w:t>般公共预算财政拨款支出决算表</w:t>
      </w:r>
      <w:bookmarkEnd w:id="59"/>
    </w:p>
    <w:p w14:paraId="1E5A46C2">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60" w:name="_Toc15396625"/>
      <w:r>
        <w:rPr>
          <w:rStyle w:val="27"/>
          <w:rFonts w:hint="eastAsia" w:ascii="仿宋" w:hAnsi="仿宋" w:eastAsia="仿宋" w:cs="仿宋"/>
          <w:b w:val="0"/>
          <w:bCs w:val="0"/>
          <w:sz w:val="32"/>
          <w:szCs w:val="32"/>
        </w:rPr>
        <w:t>七、</w:t>
      </w:r>
      <w:r>
        <w:rPr>
          <w:rFonts w:hint="eastAsia" w:ascii="仿宋" w:hAnsi="仿宋" w:eastAsia="仿宋" w:cs="仿宋"/>
          <w:b w:val="0"/>
          <w:sz w:val="32"/>
          <w:szCs w:val="32"/>
        </w:rPr>
        <w:t>一</w:t>
      </w:r>
      <w:r>
        <w:rPr>
          <w:rStyle w:val="27"/>
          <w:rFonts w:hint="eastAsia" w:ascii="仿宋" w:hAnsi="仿宋" w:eastAsia="仿宋" w:cs="仿宋"/>
          <w:b w:val="0"/>
          <w:bCs w:val="0"/>
          <w:sz w:val="32"/>
          <w:szCs w:val="32"/>
        </w:rPr>
        <w:t>般公共预算财政拨款支出决算明细表</w:t>
      </w:r>
      <w:bookmarkEnd w:id="60"/>
    </w:p>
    <w:p w14:paraId="2673D52C">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61" w:name="_Toc15396626"/>
      <w:r>
        <w:rPr>
          <w:rStyle w:val="27"/>
          <w:rFonts w:hint="eastAsia" w:ascii="仿宋" w:hAnsi="仿宋" w:eastAsia="仿宋" w:cs="仿宋"/>
          <w:b w:val="0"/>
          <w:bCs w:val="0"/>
          <w:sz w:val="32"/>
          <w:szCs w:val="32"/>
        </w:rPr>
        <w:t>八、</w:t>
      </w:r>
      <w:r>
        <w:rPr>
          <w:rFonts w:hint="eastAsia" w:ascii="仿宋" w:hAnsi="仿宋" w:eastAsia="仿宋" w:cs="仿宋"/>
          <w:b w:val="0"/>
          <w:sz w:val="32"/>
          <w:szCs w:val="32"/>
        </w:rPr>
        <w:t>一</w:t>
      </w:r>
      <w:r>
        <w:rPr>
          <w:rStyle w:val="27"/>
          <w:rFonts w:hint="eastAsia" w:ascii="仿宋" w:hAnsi="仿宋" w:eastAsia="仿宋" w:cs="仿宋"/>
          <w:b w:val="0"/>
          <w:bCs w:val="0"/>
          <w:sz w:val="32"/>
          <w:szCs w:val="32"/>
        </w:rPr>
        <w:t>般公共预算财政拨款基本支出决算表</w:t>
      </w:r>
      <w:bookmarkEnd w:id="61"/>
    </w:p>
    <w:p w14:paraId="2BA30695">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62" w:name="_Toc15396627"/>
      <w:r>
        <w:rPr>
          <w:rStyle w:val="27"/>
          <w:rFonts w:hint="eastAsia" w:ascii="仿宋" w:hAnsi="仿宋" w:eastAsia="仿宋" w:cs="仿宋"/>
          <w:b w:val="0"/>
          <w:bCs w:val="0"/>
          <w:sz w:val="32"/>
          <w:szCs w:val="32"/>
        </w:rPr>
        <w:t>九、</w:t>
      </w:r>
      <w:r>
        <w:rPr>
          <w:rFonts w:hint="eastAsia" w:ascii="仿宋" w:hAnsi="仿宋" w:eastAsia="仿宋" w:cs="仿宋"/>
          <w:b w:val="0"/>
          <w:sz w:val="32"/>
          <w:szCs w:val="32"/>
        </w:rPr>
        <w:t>一</w:t>
      </w:r>
      <w:r>
        <w:rPr>
          <w:rStyle w:val="27"/>
          <w:rFonts w:hint="eastAsia" w:ascii="仿宋" w:hAnsi="仿宋" w:eastAsia="仿宋" w:cs="仿宋"/>
          <w:b w:val="0"/>
          <w:bCs w:val="0"/>
          <w:sz w:val="32"/>
          <w:szCs w:val="32"/>
        </w:rPr>
        <w:t>般公共预算财政拨款项目支出决算表</w:t>
      </w:r>
      <w:bookmarkEnd w:id="62"/>
    </w:p>
    <w:p w14:paraId="275F9921">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63" w:name="_Toc15396628"/>
      <w:r>
        <w:rPr>
          <w:rStyle w:val="27"/>
          <w:rFonts w:hint="eastAsia" w:ascii="仿宋" w:hAnsi="仿宋" w:eastAsia="仿宋" w:cs="仿宋"/>
          <w:b w:val="0"/>
          <w:bCs w:val="0"/>
          <w:sz w:val="32"/>
          <w:szCs w:val="32"/>
        </w:rPr>
        <w:t>十、</w:t>
      </w:r>
      <w:bookmarkEnd w:id="63"/>
      <w:r>
        <w:rPr>
          <w:rFonts w:hint="eastAsia" w:ascii="仿宋" w:hAnsi="仿宋" w:eastAsia="仿宋" w:cs="仿宋"/>
          <w:b w:val="0"/>
          <w:sz w:val="32"/>
          <w:szCs w:val="32"/>
        </w:rPr>
        <w:t>政</w:t>
      </w:r>
      <w:r>
        <w:rPr>
          <w:rStyle w:val="27"/>
          <w:rFonts w:hint="eastAsia" w:ascii="仿宋" w:hAnsi="仿宋" w:eastAsia="仿宋" w:cs="仿宋"/>
          <w:b w:val="0"/>
          <w:bCs w:val="0"/>
          <w:sz w:val="32"/>
          <w:szCs w:val="32"/>
        </w:rPr>
        <w:t>府性基金预算财政拨款收入支出决算表</w:t>
      </w:r>
    </w:p>
    <w:p w14:paraId="6D12C1E1">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64" w:name="_Toc15396629"/>
      <w:r>
        <w:rPr>
          <w:rStyle w:val="27"/>
          <w:rFonts w:hint="eastAsia" w:ascii="仿宋" w:hAnsi="仿宋" w:eastAsia="仿宋" w:cs="仿宋"/>
          <w:b w:val="0"/>
          <w:bCs w:val="0"/>
          <w:sz w:val="32"/>
          <w:szCs w:val="32"/>
        </w:rPr>
        <w:t>十一、</w:t>
      </w:r>
      <w:bookmarkEnd w:id="64"/>
      <w:r>
        <w:rPr>
          <w:rFonts w:hint="eastAsia" w:ascii="仿宋" w:hAnsi="仿宋" w:eastAsia="仿宋" w:cs="仿宋"/>
          <w:b w:val="0"/>
          <w:sz w:val="32"/>
          <w:szCs w:val="32"/>
        </w:rPr>
        <w:t>国</w:t>
      </w:r>
      <w:r>
        <w:rPr>
          <w:rStyle w:val="27"/>
          <w:rFonts w:hint="eastAsia" w:ascii="仿宋" w:hAnsi="仿宋" w:eastAsia="仿宋" w:cs="仿宋"/>
          <w:b w:val="0"/>
          <w:bCs w:val="0"/>
          <w:sz w:val="32"/>
          <w:szCs w:val="32"/>
        </w:rPr>
        <w:t>有资本经营预算财政拨款收入支出决算表</w:t>
      </w:r>
    </w:p>
    <w:p w14:paraId="51C2463B">
      <w:pPr>
        <w:pStyle w:val="4"/>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65" w:name="_Toc15396630"/>
      <w:r>
        <w:rPr>
          <w:rStyle w:val="27"/>
          <w:rFonts w:hint="eastAsia" w:ascii="仿宋" w:hAnsi="仿宋" w:eastAsia="仿宋" w:cs="仿宋"/>
          <w:b w:val="0"/>
          <w:bCs w:val="0"/>
          <w:sz w:val="32"/>
          <w:szCs w:val="32"/>
        </w:rPr>
        <w:t>十二、</w:t>
      </w:r>
      <w:bookmarkEnd w:id="65"/>
      <w:r>
        <w:rPr>
          <w:rStyle w:val="27"/>
          <w:rFonts w:hint="eastAsia" w:ascii="仿宋" w:hAnsi="仿宋" w:eastAsia="仿宋" w:cs="仿宋"/>
          <w:b w:val="0"/>
          <w:bCs w:val="0"/>
          <w:sz w:val="32"/>
          <w:szCs w:val="32"/>
        </w:rPr>
        <w:t>国有资本经营预算财政拨款支出决算表</w:t>
      </w:r>
    </w:p>
    <w:p w14:paraId="1EE74C87">
      <w:pPr>
        <w:pStyle w:val="4"/>
        <w:pageBreakBefore w:val="0"/>
        <w:widowControl w:val="0"/>
        <w:kinsoku/>
        <w:wordWrap/>
        <w:overflowPunct/>
        <w:topLinePunct w:val="0"/>
        <w:autoSpaceDE/>
        <w:autoSpaceDN/>
        <w:bidi w:val="0"/>
        <w:adjustRightInd/>
        <w:snapToGrid/>
        <w:spacing w:line="560" w:lineRule="exact"/>
        <w:textAlignment w:val="auto"/>
        <w:rPr>
          <w:rStyle w:val="27"/>
          <w:rFonts w:hint="eastAsia" w:ascii="仿宋" w:hAnsi="仿宋" w:eastAsia="仿宋" w:cs="仿宋"/>
          <w:b w:val="0"/>
          <w:bCs w:val="0"/>
        </w:rPr>
      </w:pPr>
      <w:bookmarkStart w:id="66" w:name="_Toc15396631"/>
      <w:r>
        <w:rPr>
          <w:rStyle w:val="27"/>
          <w:rFonts w:hint="eastAsia" w:ascii="仿宋" w:hAnsi="仿宋" w:eastAsia="仿宋" w:cs="仿宋"/>
          <w:b w:val="0"/>
          <w:bCs w:val="0"/>
          <w:sz w:val="32"/>
          <w:szCs w:val="32"/>
        </w:rPr>
        <w:t>十三、</w:t>
      </w:r>
      <w:bookmarkEnd w:id="66"/>
      <w:r>
        <w:rPr>
          <w:rStyle w:val="27"/>
          <w:rFonts w:hint="eastAsia" w:ascii="仿宋" w:hAnsi="仿宋" w:eastAsia="仿宋" w:cs="仿宋"/>
          <w:b w:val="0"/>
          <w:bCs w:val="0"/>
          <w:sz w:val="32"/>
          <w:szCs w:val="32"/>
        </w:rPr>
        <w:t>财政拨款“三公”经费支出决算表</w:t>
      </w:r>
    </w:p>
    <w:sectPr>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altName w:val="黑体"/>
    <w:panose1 w:val="02000000000000000000"/>
    <w:charset w:val="86"/>
    <w:family w:val="script"/>
    <w:pitch w:val="default"/>
    <w:sig w:usb0="00000000" w:usb1="00000000" w:usb2="00000012"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Microsoft JhengHei">
    <w:panose1 w:val="020B0604030504040204"/>
    <w:charset w:val="88"/>
    <w:family w:val="auto"/>
    <w:pitch w:val="default"/>
    <w:sig w:usb0="000002A7" w:usb1="28CF4400" w:usb2="00000016" w:usb3="00000000" w:csb0="00100009" w:csb1="00000000"/>
  </w:font>
  <w:font w:name="Bahnschrift Light SemiCondensed">
    <w:panose1 w:val="020B0502040204020203"/>
    <w:charset w:val="00"/>
    <w:family w:val="auto"/>
    <w:pitch w:val="default"/>
    <w:sig w:usb0="A00002C7" w:usb1="00000002" w:usb2="00000000" w:usb3="00000000" w:csb0="2000019F" w:csb1="00000000"/>
  </w:font>
  <w:font w:name="MingLiU_HKSCS-ExtB">
    <w:panose1 w:val="02020500000000000000"/>
    <w:charset w:val="88"/>
    <w:family w:val="auto"/>
    <w:pitch w:val="default"/>
    <w:sig w:usb0="8000002F" w:usb1="02000008" w:usb2="00000000" w:usb3="00000000" w:csb0="00100001" w:csb1="00000000"/>
  </w:font>
  <w:font w:name="Microsoft YaHei UI Light">
    <w:panose1 w:val="020B0502040204020203"/>
    <w:charset w:val="86"/>
    <w:family w:val="auto"/>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方正粗黑宋简体">
    <w:panose1 w:val="02000000000000000000"/>
    <w:charset w:val="86"/>
    <w:family w:val="auto"/>
    <w:pitch w:val="default"/>
    <w:sig w:usb0="A00002BF" w:usb1="184F6CFA" w:usb2="00000012" w:usb3="00000000" w:csb0="00040001" w:csb1="00000000"/>
  </w:font>
  <w:font w:name="Bahnschrift SemiBold Condensed">
    <w:panose1 w:val="020B0502040204020203"/>
    <w:charset w:val="00"/>
    <w:family w:val="auto"/>
    <w:pitch w:val="default"/>
    <w:sig w:usb0="A00002C7" w:usb1="00000002" w:usb2="00000000" w:usb3="00000000" w:csb0="2000019F" w:csb1="00000000"/>
  </w:font>
  <w:font w:name="Javanese Text">
    <w:panose1 w:val="02000000000000000000"/>
    <w:charset w:val="00"/>
    <w:family w:val="auto"/>
    <w:pitch w:val="default"/>
    <w:sig w:usb0="80000003" w:usb1="00002000" w:usb2="00000000" w:usb3="00000000" w:csb0="00000001" w:csb1="00000000"/>
  </w:font>
  <w:font w:name="Myanmar Text">
    <w:panose1 w:val="020B0502040204020203"/>
    <w:charset w:val="00"/>
    <w:family w:val="auto"/>
    <w:pitch w:val="default"/>
    <w:sig w:usb0="80000003" w:usb1="00000000" w:usb2="00000400" w:usb3="00000000" w:csb0="00000001" w:csb1="00000000"/>
  </w:font>
  <w:font w:name="Segoe UI">
    <w:panose1 w:val="020B0502040204020203"/>
    <w:charset w:val="00"/>
    <w:family w:val="auto"/>
    <w:pitch w:val="default"/>
    <w:sig w:usb0="E4002EFF" w:usb1="C000E47F" w:usb2="00000009" w:usb3="00000000" w:csb0="200001FF" w:csb1="00000000"/>
  </w:font>
  <w:font w:name="Segoe UI Emoji">
    <w:panose1 w:val="020B0502040204020203"/>
    <w:charset w:val="00"/>
    <w:family w:val="auto"/>
    <w:pitch w:val="default"/>
    <w:sig w:usb0="00000001" w:usb1="02000000" w:usb2="00000000" w:usb3="00000000" w:csb0="00000001" w:csb1="00000000"/>
  </w:font>
  <w:font w:name="DIN Next LT Pro Medium">
    <w:panose1 w:val="020B0603020203050203"/>
    <w:charset w:val="00"/>
    <w:family w:val="auto"/>
    <w:pitch w:val="default"/>
    <w:sig w:usb0="A00000AF" w:usb1="5000205B" w:usb2="00000000" w:usb3="00000000" w:csb0="20000093" w:csb1="00000000"/>
  </w:font>
  <w:font w:name="新宋体">
    <w:panose1 w:val="02010609030101010101"/>
    <w:charset w:val="86"/>
    <w:family w:val="auto"/>
    <w:pitch w:val="default"/>
    <w:sig w:usb0="00000283" w:usb1="288F0000" w:usb2="00000006" w:usb3="00000000" w:csb0="00040001" w:csb1="00000000"/>
  </w:font>
  <w:font w:name="Nirmala UI">
    <w:panose1 w:val="020B0502040204020203"/>
    <w:charset w:val="00"/>
    <w:family w:val="auto"/>
    <w:pitch w:val="default"/>
    <w:sig w:usb0="80FF8023" w:usb1="0200004A" w:usb2="00000200" w:usb3="00040000" w:csb0="00000001" w:csb1="00000000"/>
  </w:font>
  <w:font w:name="Segoe UI Symbol">
    <w:panose1 w:val="020B0502040204020203"/>
    <w:charset w:val="00"/>
    <w:family w:val="auto"/>
    <w:pitch w:val="default"/>
    <w:sig w:usb0="800001E3" w:usb1="1200FFEF" w:usb2="00040000" w:usb3="04000000" w:csb0="00000001" w:csb1="40000000"/>
  </w:font>
  <w:font w:name="Sitka Heading">
    <w:panose1 w:val="02000505000000020004"/>
    <w:charset w:val="00"/>
    <w:family w:val="auto"/>
    <w:pitch w:val="default"/>
    <w:sig w:usb0="A00002EF" w:usb1="4000204B" w:usb2="00000000" w:usb3="00000000" w:csb0="2000019F" w:csb1="00000000"/>
  </w:font>
  <w:font w:name="Sitka Text">
    <w:panose1 w:val="02000505000000020004"/>
    <w:charset w:val="00"/>
    <w:family w:val="auto"/>
    <w:pitch w:val="default"/>
    <w:sig w:usb0="A00002EF" w:usb1="4000204B" w:usb2="00000000" w:usb3="00000000" w:csb0="2000019F" w:csb1="00000000"/>
  </w:font>
  <w:font w:name="Sitka Subheading">
    <w:panose1 w:val="02000505000000020004"/>
    <w:charset w:val="00"/>
    <w:family w:val="auto"/>
    <w:pitch w:val="default"/>
    <w:sig w:usb0="A00002EF" w:usb1="4000204B" w:usb2="00000000" w:usb3="00000000" w:csb0="2000019F" w:csb1="00000000"/>
  </w:font>
  <w:font w:name="Webdings">
    <w:panose1 w:val="05030102010509060703"/>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450E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F1123">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09AC33">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909AC33">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82409">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E07725">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8E07725">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3C5EC">
    <w:pPr>
      <w:pStyle w:val="10"/>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224A4">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5YjEwOWE3NDcwNWY1ZDVkNWIyNGI2ZTMwNTUwMDc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D5F37"/>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1AA1AC9"/>
    <w:rsid w:val="01BB3CD7"/>
    <w:rsid w:val="01D550C6"/>
    <w:rsid w:val="03270470"/>
    <w:rsid w:val="04CB5FDF"/>
    <w:rsid w:val="05107E95"/>
    <w:rsid w:val="0524470D"/>
    <w:rsid w:val="053A62B5"/>
    <w:rsid w:val="057F7766"/>
    <w:rsid w:val="05CA7F66"/>
    <w:rsid w:val="063874BE"/>
    <w:rsid w:val="067B5176"/>
    <w:rsid w:val="06C158EB"/>
    <w:rsid w:val="06D747A6"/>
    <w:rsid w:val="07156D23"/>
    <w:rsid w:val="08B46AC4"/>
    <w:rsid w:val="08BB2A53"/>
    <w:rsid w:val="08FC0E5C"/>
    <w:rsid w:val="09E61F4C"/>
    <w:rsid w:val="09ED059C"/>
    <w:rsid w:val="0A2032A3"/>
    <w:rsid w:val="0B8A37D8"/>
    <w:rsid w:val="0E322F59"/>
    <w:rsid w:val="0E3A41D5"/>
    <w:rsid w:val="0E55532C"/>
    <w:rsid w:val="0FD9564D"/>
    <w:rsid w:val="10852132"/>
    <w:rsid w:val="10C055FF"/>
    <w:rsid w:val="118107EC"/>
    <w:rsid w:val="118869FA"/>
    <w:rsid w:val="11AE5655"/>
    <w:rsid w:val="11BD1AE3"/>
    <w:rsid w:val="11D66B9E"/>
    <w:rsid w:val="11DD6519"/>
    <w:rsid w:val="12631C8D"/>
    <w:rsid w:val="12674E5F"/>
    <w:rsid w:val="12802AF4"/>
    <w:rsid w:val="13B97B5C"/>
    <w:rsid w:val="13C51B57"/>
    <w:rsid w:val="151A69B5"/>
    <w:rsid w:val="151C7F6C"/>
    <w:rsid w:val="16096967"/>
    <w:rsid w:val="16315EBE"/>
    <w:rsid w:val="16BA4105"/>
    <w:rsid w:val="16BB723D"/>
    <w:rsid w:val="16CC28AA"/>
    <w:rsid w:val="16E93113"/>
    <w:rsid w:val="16F435A7"/>
    <w:rsid w:val="18015F3F"/>
    <w:rsid w:val="184A3267"/>
    <w:rsid w:val="188D46EA"/>
    <w:rsid w:val="1A7F5449"/>
    <w:rsid w:val="1AC83294"/>
    <w:rsid w:val="1B596D27"/>
    <w:rsid w:val="1BE8440E"/>
    <w:rsid w:val="1CCE02C8"/>
    <w:rsid w:val="1CD87068"/>
    <w:rsid w:val="1D155CEE"/>
    <w:rsid w:val="1D24052A"/>
    <w:rsid w:val="1D7E3CFC"/>
    <w:rsid w:val="1E0D0FBE"/>
    <w:rsid w:val="1E4F5A7B"/>
    <w:rsid w:val="1EF03E3A"/>
    <w:rsid w:val="1FFB1A16"/>
    <w:rsid w:val="200F60C4"/>
    <w:rsid w:val="20F57F95"/>
    <w:rsid w:val="215815BC"/>
    <w:rsid w:val="22781B63"/>
    <w:rsid w:val="22AC67DC"/>
    <w:rsid w:val="23FE3D9C"/>
    <w:rsid w:val="240371BF"/>
    <w:rsid w:val="24212E47"/>
    <w:rsid w:val="242B6642"/>
    <w:rsid w:val="25711CC6"/>
    <w:rsid w:val="25C4122D"/>
    <w:rsid w:val="25C741E6"/>
    <w:rsid w:val="26461511"/>
    <w:rsid w:val="26677021"/>
    <w:rsid w:val="26E1615C"/>
    <w:rsid w:val="27842671"/>
    <w:rsid w:val="28137B19"/>
    <w:rsid w:val="286C4F60"/>
    <w:rsid w:val="28845E46"/>
    <w:rsid w:val="296A5E3B"/>
    <w:rsid w:val="298C4542"/>
    <w:rsid w:val="29C57D30"/>
    <w:rsid w:val="29E24212"/>
    <w:rsid w:val="29FD04D3"/>
    <w:rsid w:val="2ABE7A3E"/>
    <w:rsid w:val="2CA234A8"/>
    <w:rsid w:val="2DCD2253"/>
    <w:rsid w:val="2E444588"/>
    <w:rsid w:val="2E725599"/>
    <w:rsid w:val="2EFA178C"/>
    <w:rsid w:val="2F034443"/>
    <w:rsid w:val="2FD63901"/>
    <w:rsid w:val="30B46D73"/>
    <w:rsid w:val="316D3ECD"/>
    <w:rsid w:val="319F7F4E"/>
    <w:rsid w:val="32452DFA"/>
    <w:rsid w:val="33A65271"/>
    <w:rsid w:val="33AA1328"/>
    <w:rsid w:val="33B63461"/>
    <w:rsid w:val="359D54D1"/>
    <w:rsid w:val="363442E8"/>
    <w:rsid w:val="364C66D0"/>
    <w:rsid w:val="368D6C2E"/>
    <w:rsid w:val="36D645E3"/>
    <w:rsid w:val="373A0C1E"/>
    <w:rsid w:val="37E94C1E"/>
    <w:rsid w:val="381628EF"/>
    <w:rsid w:val="381A45AC"/>
    <w:rsid w:val="383D272C"/>
    <w:rsid w:val="38662A5B"/>
    <w:rsid w:val="39AE70AB"/>
    <w:rsid w:val="3A7C46BB"/>
    <w:rsid w:val="3B68450D"/>
    <w:rsid w:val="3C0C0783"/>
    <w:rsid w:val="3C575DCE"/>
    <w:rsid w:val="3D3F6F8E"/>
    <w:rsid w:val="3DC252FC"/>
    <w:rsid w:val="3E78202C"/>
    <w:rsid w:val="3F9F3A96"/>
    <w:rsid w:val="40F2258F"/>
    <w:rsid w:val="41705765"/>
    <w:rsid w:val="42A60163"/>
    <w:rsid w:val="42D00689"/>
    <w:rsid w:val="4315253F"/>
    <w:rsid w:val="445F1985"/>
    <w:rsid w:val="447E329C"/>
    <w:rsid w:val="44E16B7D"/>
    <w:rsid w:val="45A8221A"/>
    <w:rsid w:val="460422BE"/>
    <w:rsid w:val="46873832"/>
    <w:rsid w:val="468B4BC9"/>
    <w:rsid w:val="46D364BA"/>
    <w:rsid w:val="473E2141"/>
    <w:rsid w:val="482C010F"/>
    <w:rsid w:val="48BF60AB"/>
    <w:rsid w:val="493C27E9"/>
    <w:rsid w:val="496F39ED"/>
    <w:rsid w:val="49D34A43"/>
    <w:rsid w:val="49FF41D3"/>
    <w:rsid w:val="4AB61CEB"/>
    <w:rsid w:val="4AF6440F"/>
    <w:rsid w:val="4B8A1D1C"/>
    <w:rsid w:val="4BE068DB"/>
    <w:rsid w:val="4BF6002B"/>
    <w:rsid w:val="4DBF6D93"/>
    <w:rsid w:val="4EAE04E3"/>
    <w:rsid w:val="4ECE2238"/>
    <w:rsid w:val="4EDF237F"/>
    <w:rsid w:val="4F161B19"/>
    <w:rsid w:val="4FB07878"/>
    <w:rsid w:val="50637B26"/>
    <w:rsid w:val="51C23892"/>
    <w:rsid w:val="51DB4B86"/>
    <w:rsid w:val="52AB07CA"/>
    <w:rsid w:val="530D4FE1"/>
    <w:rsid w:val="535449BE"/>
    <w:rsid w:val="53DB0C3B"/>
    <w:rsid w:val="54E029AD"/>
    <w:rsid w:val="55271562"/>
    <w:rsid w:val="55333C3E"/>
    <w:rsid w:val="55946C69"/>
    <w:rsid w:val="5699538C"/>
    <w:rsid w:val="56F75D8C"/>
    <w:rsid w:val="57C0752E"/>
    <w:rsid w:val="57E9601D"/>
    <w:rsid w:val="59E32F32"/>
    <w:rsid w:val="5A4161F7"/>
    <w:rsid w:val="5AD16135"/>
    <w:rsid w:val="5B022FD4"/>
    <w:rsid w:val="5B9242D5"/>
    <w:rsid w:val="5BD033B5"/>
    <w:rsid w:val="5BE015F8"/>
    <w:rsid w:val="5CE9261B"/>
    <w:rsid w:val="5D1057B5"/>
    <w:rsid w:val="5D8F31C2"/>
    <w:rsid w:val="5DAE7128"/>
    <w:rsid w:val="5DFA21C0"/>
    <w:rsid w:val="5E916306"/>
    <w:rsid w:val="5FEC5995"/>
    <w:rsid w:val="60870181"/>
    <w:rsid w:val="61B83FB6"/>
    <w:rsid w:val="628D3A49"/>
    <w:rsid w:val="63461034"/>
    <w:rsid w:val="64943BD6"/>
    <w:rsid w:val="64CA39A1"/>
    <w:rsid w:val="658B57A6"/>
    <w:rsid w:val="65B6704A"/>
    <w:rsid w:val="670D6F42"/>
    <w:rsid w:val="67707C5E"/>
    <w:rsid w:val="67A45552"/>
    <w:rsid w:val="67E20393"/>
    <w:rsid w:val="67FB08D1"/>
    <w:rsid w:val="683230C8"/>
    <w:rsid w:val="68EE1995"/>
    <w:rsid w:val="69630ADE"/>
    <w:rsid w:val="697D65C5"/>
    <w:rsid w:val="6A887A97"/>
    <w:rsid w:val="6BCA4F6B"/>
    <w:rsid w:val="6C4A05C8"/>
    <w:rsid w:val="6D3B1A89"/>
    <w:rsid w:val="6E930AEE"/>
    <w:rsid w:val="6E9340AE"/>
    <w:rsid w:val="6ED8076A"/>
    <w:rsid w:val="6F822FA3"/>
    <w:rsid w:val="708A46FF"/>
    <w:rsid w:val="70957042"/>
    <w:rsid w:val="70C26078"/>
    <w:rsid w:val="71341814"/>
    <w:rsid w:val="71BF4EC2"/>
    <w:rsid w:val="71C6119E"/>
    <w:rsid w:val="72077373"/>
    <w:rsid w:val="722872EA"/>
    <w:rsid w:val="723E22A6"/>
    <w:rsid w:val="72431602"/>
    <w:rsid w:val="72734D90"/>
    <w:rsid w:val="72B770C1"/>
    <w:rsid w:val="73F90FA1"/>
    <w:rsid w:val="7412278C"/>
    <w:rsid w:val="74753B56"/>
    <w:rsid w:val="748D1686"/>
    <w:rsid w:val="76716609"/>
    <w:rsid w:val="76BD44A5"/>
    <w:rsid w:val="77B2631F"/>
    <w:rsid w:val="77CA412C"/>
    <w:rsid w:val="77CE623E"/>
    <w:rsid w:val="79E7B28D"/>
    <w:rsid w:val="7A095B93"/>
    <w:rsid w:val="7A815A7B"/>
    <w:rsid w:val="7AC3045B"/>
    <w:rsid w:val="7AC34054"/>
    <w:rsid w:val="7B62386D"/>
    <w:rsid w:val="7D585968"/>
    <w:rsid w:val="7DC4536C"/>
    <w:rsid w:val="7F6C2913"/>
    <w:rsid w:val="7F9F20EE"/>
    <w:rsid w:val="9E3A10E2"/>
    <w:rsid w:val="BFAC5454"/>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qFormat/>
    <w:uiPriority w:val="99"/>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emf"/><Relationship Id="rId17" Type="http://schemas.openxmlformats.org/officeDocument/2006/relationships/oleObject" Target="embeddings/oleObject5.bin"/><Relationship Id="rId16" Type="http://schemas.openxmlformats.org/officeDocument/2006/relationships/image" Target="media/image4.emf"/><Relationship Id="rId15" Type="http://schemas.openxmlformats.org/officeDocument/2006/relationships/oleObject" Target="embeddings/oleObject4.bin"/><Relationship Id="rId14" Type="http://schemas.openxmlformats.org/officeDocument/2006/relationships/image" Target="media/image3.emf"/><Relationship Id="rId13" Type="http://schemas.openxmlformats.org/officeDocument/2006/relationships/oleObject" Target="embeddings/oleObject3.bin"/><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17</Pages>
  <Words>484</Words>
  <Characters>648</Characters>
  <Lines>41</Lines>
  <Paragraphs>11</Paragraphs>
  <TotalTime>9</TotalTime>
  <ScaleCrop>false</ScaleCrop>
  <LinksUpToDate>false</LinksUpToDate>
  <CharactersWithSpaces>685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2023-10-11T18:29:00Z</dcterms:created>
  <dc:creator>曹颖</dc:creator>
  <cp:lastModifiedBy>Administrator</cp:lastModifiedBy>
  <cp:lastPrinted>2024-10-23T23:30:00Z</cp:lastPrinted>
  <dcterms:modified xsi:type="dcterms:W3CDTF">2024-10-26T08:44:53Z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5E240C34BC44478985BC32D9CD66A476</vt:lpwstr>
  </property>
</Properties>
</file>