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54FA8">
      <w:pPr>
        <w:spacing w:line="600" w:lineRule="exact"/>
        <w:ind w:left="420" w:firstLine="1620"/>
        <w:jc w:val="center"/>
        <w:outlineLvl w:val="0"/>
        <w:rPr>
          <w:rFonts w:ascii="方正小标宋简体" w:hAnsi="宋体" w:eastAsia="方正小标宋简体"/>
          <w:sz w:val="72"/>
          <w:szCs w:val="72"/>
        </w:rPr>
      </w:pPr>
      <w:bookmarkStart w:id="0" w:name="_Toc15377425"/>
      <w:bookmarkStart w:id="1" w:name="_Toc15396475"/>
      <w:bookmarkStart w:id="2" w:name="_Toc15396597"/>
      <w:bookmarkStart w:id="3" w:name="_Toc15377193"/>
      <w:bookmarkStart w:id="4" w:name="_Toc15378441"/>
      <w:bookmarkStart w:id="5" w:name="_Toc15306267"/>
    </w:p>
    <w:p w14:paraId="6F097921">
      <w:pPr>
        <w:pStyle w:val="6"/>
        <w:spacing w:before="93"/>
        <w:ind w:left="420" w:firstLine="675"/>
      </w:pPr>
    </w:p>
    <w:p w14:paraId="7379A46C">
      <w:pPr>
        <w:spacing w:line="600" w:lineRule="exact"/>
        <w:ind w:left="420" w:firstLine="1620"/>
        <w:jc w:val="center"/>
        <w:outlineLvl w:val="0"/>
        <w:rPr>
          <w:rFonts w:ascii="方正小标宋简体" w:hAnsi="宋体" w:eastAsia="方正小标宋简体"/>
          <w:sz w:val="72"/>
          <w:szCs w:val="72"/>
        </w:rPr>
      </w:pPr>
    </w:p>
    <w:p w14:paraId="00B078DE">
      <w:pPr>
        <w:spacing w:line="600" w:lineRule="exact"/>
        <w:ind w:left="420" w:firstLine="1620"/>
        <w:jc w:val="center"/>
        <w:outlineLvl w:val="0"/>
        <w:rPr>
          <w:rFonts w:ascii="方正小标宋简体" w:hAnsi="宋体" w:eastAsia="方正小标宋简体"/>
          <w:sz w:val="72"/>
          <w:szCs w:val="72"/>
        </w:rPr>
      </w:pPr>
    </w:p>
    <w:p w14:paraId="20FC719B">
      <w:pPr>
        <w:adjustRightInd w:val="0"/>
        <w:snapToGrid w:val="0"/>
        <w:spacing w:line="360" w:lineRule="auto"/>
        <w:ind w:left="420" w:firstLine="1620"/>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 xml:space="preserve">   2023年度</w:t>
      </w:r>
      <w:bookmarkEnd w:id="0"/>
      <w:bookmarkEnd w:id="1"/>
      <w:bookmarkEnd w:id="2"/>
      <w:bookmarkEnd w:id="3"/>
      <w:bookmarkEnd w:id="4"/>
    </w:p>
    <w:p w14:paraId="55042E2B">
      <w:pPr>
        <w:adjustRightInd w:val="0"/>
        <w:snapToGrid w:val="0"/>
        <w:spacing w:line="360" w:lineRule="auto"/>
        <w:ind w:left="420" w:firstLine="0" w:firstLineChars="0"/>
        <w:jc w:val="center"/>
        <w:outlineLvl w:val="0"/>
        <w:rPr>
          <w:rFonts w:ascii="方正小标宋简体" w:hAnsi="方正小标宋简体" w:eastAsia="方正小标宋简体" w:cs="方正小标宋简体"/>
          <w:sz w:val="72"/>
          <w:szCs w:val="72"/>
        </w:rPr>
      </w:pPr>
      <w:bookmarkStart w:id="6" w:name="_Toc15396598"/>
      <w:bookmarkStart w:id="7" w:name="_Toc15378442"/>
      <w:bookmarkStart w:id="8" w:name="_Toc15377194"/>
      <w:bookmarkStart w:id="9" w:name="_Toc15377426"/>
      <w:bookmarkStart w:id="10" w:name="_Toc15396476"/>
      <w:r>
        <w:rPr>
          <w:rFonts w:hint="eastAsia" w:ascii="方正小标宋简体" w:hAnsi="方正小标宋简体" w:eastAsia="方正小标宋简体" w:cs="方正小标宋简体"/>
          <w:sz w:val="72"/>
          <w:szCs w:val="72"/>
        </w:rPr>
        <w:t>四川省</w:t>
      </w:r>
      <w:bookmarkEnd w:id="5"/>
      <w:bookmarkStart w:id="11" w:name="_Toc15306268"/>
      <w:r>
        <w:rPr>
          <w:rFonts w:hint="eastAsia" w:ascii="方正小标宋简体" w:hAnsi="方正小标宋简体" w:eastAsia="方正小标宋简体" w:cs="方正小标宋简体"/>
          <w:sz w:val="72"/>
          <w:szCs w:val="72"/>
        </w:rPr>
        <w:t>盐边县农业农村局部门决算</w:t>
      </w:r>
      <w:bookmarkEnd w:id="6"/>
      <w:bookmarkEnd w:id="7"/>
      <w:bookmarkEnd w:id="8"/>
      <w:bookmarkEnd w:id="9"/>
      <w:bookmarkEnd w:id="10"/>
      <w:bookmarkEnd w:id="11"/>
    </w:p>
    <w:p w14:paraId="098E4B46">
      <w:pPr>
        <w:widowControl/>
        <w:ind w:left="420" w:firstLine="810"/>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37938AD3">
      <w:pPr>
        <w:widowControl/>
        <w:ind w:left="420" w:firstLine="630"/>
        <w:jc w:val="center"/>
        <w:rPr>
          <w:rFonts w:ascii="黑体" w:hAnsi="黑体" w:eastAsia="黑体" w:cstheme="minorBidi"/>
          <w:sz w:val="28"/>
          <w:szCs w:val="28"/>
        </w:rPr>
      </w:pPr>
    </w:p>
    <w:p w14:paraId="5B1E5791">
      <w:pPr>
        <w:pStyle w:val="12"/>
        <w:ind w:left="420" w:firstLine="630"/>
      </w:pPr>
      <w:r>
        <w:rPr>
          <w:rFonts w:hint="eastAsia"/>
        </w:rPr>
        <w:t>公开时间：2024年10月 28 日</w:t>
      </w:r>
    </w:p>
    <w:p w14:paraId="4A73CFBB">
      <w:pPr>
        <w:ind w:left="420" w:firstLine="473"/>
      </w:pPr>
    </w:p>
    <w:p w14:paraId="4D72427B">
      <w:pPr>
        <w:pStyle w:val="12"/>
        <w:adjustRightInd w:val="0"/>
        <w:snapToGrid w:val="0"/>
        <w:spacing w:before="0" w:line="560" w:lineRule="exact"/>
        <w:ind w:left="420" w:firstLine="540"/>
        <w:jc w:val="left"/>
        <w:rPr>
          <w:rFonts w:cstheme="minorBidi"/>
          <w:sz w:val="24"/>
          <w:szCs w:val="24"/>
        </w:rPr>
      </w:pPr>
      <w:r>
        <w:rPr>
          <w:rFonts w:hint="eastAsia"/>
          <w:sz w:val="24"/>
        </w:rPr>
        <w:t>第一部分部门概况</w:t>
      </w:r>
      <w:r>
        <w:rPr>
          <w:rFonts w:hint="eastAsia"/>
          <w:sz w:val="24"/>
        </w:rPr>
        <w:tab/>
      </w:r>
      <w:r>
        <w:rPr>
          <w:rFonts w:hint="eastAsia"/>
          <w:sz w:val="24"/>
        </w:rPr>
        <w:t>4</w:t>
      </w:r>
    </w:p>
    <w:p w14:paraId="05510E4C">
      <w:pPr>
        <w:pStyle w:val="13"/>
        <w:adjustRightInd w:val="0"/>
        <w:snapToGrid w:val="0"/>
        <w:spacing w:line="560" w:lineRule="exact"/>
        <w:ind w:firstLine="540"/>
        <w:jc w:val="left"/>
        <w:rPr>
          <w:rFonts w:ascii="仿宋" w:hAnsi="仿宋" w:eastAsia="仿宋"/>
          <w:sz w:val="24"/>
        </w:rPr>
      </w:pPr>
      <w:r>
        <w:rPr>
          <w:rFonts w:hint="eastAsia"/>
          <w:sz w:val="24"/>
        </w:rPr>
        <w:t>一、部门职责</w:t>
      </w:r>
      <w:r>
        <w:rPr>
          <w:rFonts w:hint="eastAsia"/>
          <w:sz w:val="24"/>
        </w:rPr>
        <w:tab/>
      </w:r>
      <w:r>
        <w:rPr>
          <w:rFonts w:hint="eastAsia"/>
          <w:sz w:val="24"/>
        </w:rPr>
        <w:t>4</w:t>
      </w:r>
    </w:p>
    <w:p w14:paraId="40B6D10E">
      <w:pPr>
        <w:pStyle w:val="13"/>
        <w:tabs>
          <w:tab w:val="right" w:leader="middleDot" w:pos="8296"/>
        </w:tabs>
        <w:adjustRightInd w:val="0"/>
        <w:snapToGrid w:val="0"/>
        <w:spacing w:line="560" w:lineRule="exact"/>
        <w:ind w:firstLine="540"/>
        <w:jc w:val="left"/>
        <w:rPr>
          <w:rFonts w:ascii="仿宋" w:hAnsi="仿宋" w:eastAsia="仿宋" w:cstheme="minorBidi"/>
          <w:sz w:val="24"/>
        </w:rPr>
      </w:pPr>
      <w:r>
        <w:rPr>
          <w:rFonts w:hint="eastAsia"/>
          <w:sz w:val="24"/>
        </w:rPr>
        <w:t>二、机构设置</w:t>
      </w:r>
      <w:r>
        <w:rPr>
          <w:rFonts w:hint="eastAsia"/>
          <w:sz w:val="24"/>
        </w:rPr>
        <w:tab/>
      </w:r>
      <w:r>
        <w:rPr>
          <w:rFonts w:hint="eastAsia"/>
          <w:sz w:val="24"/>
        </w:rPr>
        <w:t>8</w:t>
      </w:r>
    </w:p>
    <w:p w14:paraId="379ED099">
      <w:pPr>
        <w:pStyle w:val="12"/>
        <w:adjustRightInd w:val="0"/>
        <w:snapToGrid w:val="0"/>
        <w:spacing w:before="0" w:line="560" w:lineRule="exact"/>
        <w:ind w:left="420" w:firstLine="540"/>
        <w:jc w:val="left"/>
        <w:rPr>
          <w:sz w:val="24"/>
          <w:szCs w:val="24"/>
        </w:rPr>
      </w:pPr>
      <w:r>
        <w:rPr>
          <w:rFonts w:hint="eastAsia"/>
          <w:sz w:val="24"/>
        </w:rPr>
        <w:t>第二部分 2023年度部门决算情况说明</w:t>
      </w:r>
      <w:r>
        <w:rPr>
          <w:rFonts w:hint="eastAsia"/>
          <w:sz w:val="24"/>
        </w:rPr>
        <w:tab/>
      </w:r>
      <w:r>
        <w:rPr>
          <w:rFonts w:hint="eastAsia"/>
          <w:sz w:val="24"/>
        </w:rPr>
        <w:t>9</w:t>
      </w:r>
    </w:p>
    <w:p w14:paraId="0C6429D9">
      <w:pPr>
        <w:pStyle w:val="13"/>
        <w:adjustRightInd w:val="0"/>
        <w:snapToGrid w:val="0"/>
        <w:spacing w:line="560" w:lineRule="exact"/>
        <w:ind w:firstLine="540"/>
        <w:jc w:val="left"/>
        <w:rPr>
          <w:rFonts w:ascii="仿宋" w:hAnsi="仿宋" w:eastAsia="仿宋" w:cstheme="minorBidi"/>
          <w:sz w:val="24"/>
        </w:rPr>
      </w:pPr>
      <w:r>
        <w:rPr>
          <w:rFonts w:hint="eastAsia"/>
          <w:sz w:val="24"/>
        </w:rPr>
        <w:t>一、收入支出决算总体情况说明</w:t>
      </w:r>
      <w:r>
        <w:rPr>
          <w:rFonts w:hint="eastAsia"/>
          <w:sz w:val="24"/>
        </w:rPr>
        <w:tab/>
      </w:r>
      <w:r>
        <w:rPr>
          <w:rFonts w:hint="eastAsia"/>
          <w:sz w:val="24"/>
        </w:rPr>
        <w:t>9</w:t>
      </w:r>
    </w:p>
    <w:p w14:paraId="7A1AE0CA">
      <w:pPr>
        <w:pStyle w:val="13"/>
        <w:adjustRightInd w:val="0"/>
        <w:snapToGrid w:val="0"/>
        <w:spacing w:line="560" w:lineRule="exact"/>
        <w:ind w:firstLine="540"/>
        <w:jc w:val="left"/>
        <w:rPr>
          <w:rFonts w:ascii="仿宋" w:hAnsi="仿宋" w:eastAsia="仿宋" w:cstheme="minorBidi"/>
          <w:sz w:val="24"/>
        </w:rPr>
      </w:pPr>
      <w:r>
        <w:rPr>
          <w:rFonts w:hint="eastAsia"/>
          <w:sz w:val="24"/>
        </w:rPr>
        <w:t>二、收入决算情况说明</w:t>
      </w:r>
      <w:r>
        <w:rPr>
          <w:rFonts w:hint="eastAsia"/>
          <w:sz w:val="24"/>
        </w:rPr>
        <w:tab/>
      </w:r>
      <w:r>
        <w:rPr>
          <w:rFonts w:hint="eastAsia"/>
          <w:sz w:val="24"/>
        </w:rPr>
        <w:t>9</w:t>
      </w:r>
    </w:p>
    <w:p w14:paraId="2F2DF70E">
      <w:pPr>
        <w:pStyle w:val="13"/>
        <w:adjustRightInd w:val="0"/>
        <w:snapToGrid w:val="0"/>
        <w:spacing w:line="560" w:lineRule="exact"/>
        <w:ind w:firstLine="540"/>
        <w:jc w:val="left"/>
        <w:rPr>
          <w:rFonts w:ascii="仿宋" w:hAnsi="仿宋" w:eastAsia="仿宋" w:cstheme="minorBidi"/>
          <w:sz w:val="24"/>
        </w:rPr>
      </w:pPr>
      <w:r>
        <w:rPr>
          <w:rFonts w:hint="eastAsia"/>
          <w:sz w:val="24"/>
        </w:rPr>
        <w:t>三、支出决算情况说明</w:t>
      </w:r>
      <w:r>
        <w:rPr>
          <w:rFonts w:hint="eastAsia"/>
          <w:sz w:val="24"/>
        </w:rPr>
        <w:tab/>
      </w:r>
      <w:r>
        <w:rPr>
          <w:rFonts w:hint="eastAsia"/>
          <w:sz w:val="24"/>
        </w:rPr>
        <w:t>10</w:t>
      </w:r>
    </w:p>
    <w:p w14:paraId="260F28E5">
      <w:pPr>
        <w:pStyle w:val="13"/>
        <w:adjustRightInd w:val="0"/>
        <w:snapToGrid w:val="0"/>
        <w:spacing w:line="560" w:lineRule="exact"/>
        <w:ind w:firstLine="540"/>
        <w:jc w:val="left"/>
        <w:rPr>
          <w:rFonts w:ascii="仿宋" w:hAnsi="仿宋" w:eastAsia="仿宋" w:cstheme="minorBidi"/>
          <w:sz w:val="24"/>
        </w:rPr>
      </w:pPr>
      <w:r>
        <w:rPr>
          <w:rFonts w:hint="eastAsia"/>
          <w:sz w:val="24"/>
        </w:rPr>
        <w:t>四、财政拨款收入支出决算总体情况说明</w:t>
      </w:r>
      <w:r>
        <w:rPr>
          <w:rFonts w:hint="eastAsia"/>
          <w:sz w:val="24"/>
        </w:rPr>
        <w:tab/>
      </w:r>
      <w:r>
        <w:rPr>
          <w:rFonts w:hint="eastAsia"/>
          <w:sz w:val="24"/>
        </w:rPr>
        <w:t>11</w:t>
      </w:r>
    </w:p>
    <w:p w14:paraId="3F0BDA37">
      <w:pPr>
        <w:pStyle w:val="13"/>
        <w:adjustRightInd w:val="0"/>
        <w:snapToGrid w:val="0"/>
        <w:spacing w:line="560" w:lineRule="exact"/>
        <w:ind w:firstLine="540"/>
        <w:jc w:val="left"/>
        <w:rPr>
          <w:rFonts w:ascii="仿宋" w:hAnsi="仿宋" w:eastAsia="仿宋" w:cstheme="minorBidi"/>
          <w:sz w:val="24"/>
        </w:rPr>
      </w:pPr>
      <w:r>
        <w:rPr>
          <w:rFonts w:hint="eastAsia"/>
          <w:sz w:val="24"/>
        </w:rPr>
        <w:t>五、一般公共预算财政拨款支出决算情况说明</w:t>
      </w:r>
      <w:r>
        <w:rPr>
          <w:rFonts w:hint="eastAsia"/>
          <w:sz w:val="24"/>
        </w:rPr>
        <w:tab/>
      </w:r>
      <w:r>
        <w:rPr>
          <w:rFonts w:hint="eastAsia"/>
          <w:sz w:val="24"/>
        </w:rPr>
        <w:t>11</w:t>
      </w:r>
    </w:p>
    <w:p w14:paraId="2740AA32">
      <w:pPr>
        <w:pStyle w:val="13"/>
        <w:adjustRightInd w:val="0"/>
        <w:snapToGrid w:val="0"/>
        <w:spacing w:line="560" w:lineRule="exact"/>
        <w:ind w:firstLine="540"/>
        <w:jc w:val="left"/>
        <w:rPr>
          <w:rFonts w:ascii="仿宋" w:hAnsi="仿宋" w:eastAsia="仿宋" w:cstheme="minorBidi"/>
          <w:sz w:val="24"/>
        </w:rPr>
      </w:pPr>
      <w:r>
        <w:rPr>
          <w:rFonts w:hint="eastAsia"/>
          <w:sz w:val="24"/>
        </w:rPr>
        <w:t>六、一般公共预算财政拨款基本支出决算情况说明</w:t>
      </w:r>
      <w:r>
        <w:rPr>
          <w:rFonts w:hint="eastAsia"/>
          <w:sz w:val="24"/>
        </w:rPr>
        <w:tab/>
      </w:r>
      <w:r>
        <w:rPr>
          <w:rFonts w:hint="eastAsia"/>
          <w:sz w:val="24"/>
        </w:rPr>
        <w:t>15</w:t>
      </w:r>
    </w:p>
    <w:p w14:paraId="3795E671">
      <w:pPr>
        <w:pStyle w:val="13"/>
        <w:adjustRightInd w:val="0"/>
        <w:snapToGrid w:val="0"/>
        <w:spacing w:line="560" w:lineRule="exact"/>
        <w:ind w:firstLine="540"/>
        <w:jc w:val="left"/>
        <w:rPr>
          <w:rFonts w:ascii="仿宋" w:hAnsi="仿宋" w:eastAsia="仿宋" w:cstheme="minorBidi"/>
          <w:sz w:val="24"/>
        </w:rPr>
      </w:pPr>
      <w:r>
        <w:rPr>
          <w:rFonts w:hint="eastAsia"/>
          <w:sz w:val="24"/>
        </w:rPr>
        <w:t>七、财政拨款“三公”经费支出决算情况说明</w:t>
      </w:r>
      <w:r>
        <w:rPr>
          <w:rFonts w:hint="eastAsia"/>
          <w:sz w:val="24"/>
        </w:rPr>
        <w:tab/>
      </w:r>
      <w:r>
        <w:rPr>
          <w:rFonts w:hint="eastAsia"/>
          <w:sz w:val="24"/>
        </w:rPr>
        <w:t>17</w:t>
      </w:r>
    </w:p>
    <w:p w14:paraId="281BF6AE">
      <w:pPr>
        <w:pStyle w:val="13"/>
        <w:adjustRightInd w:val="0"/>
        <w:snapToGrid w:val="0"/>
        <w:spacing w:line="560" w:lineRule="exact"/>
        <w:ind w:firstLine="540"/>
        <w:jc w:val="left"/>
        <w:rPr>
          <w:rFonts w:ascii="仿宋" w:hAnsi="仿宋" w:eastAsia="仿宋" w:cstheme="minorBidi"/>
          <w:sz w:val="24"/>
        </w:rPr>
      </w:pPr>
      <w:r>
        <w:rPr>
          <w:rFonts w:hint="eastAsia"/>
          <w:sz w:val="24"/>
        </w:rPr>
        <w:t>八、政府性基金预算支出决算情况说明</w:t>
      </w:r>
      <w:r>
        <w:rPr>
          <w:rFonts w:hint="eastAsia"/>
          <w:sz w:val="24"/>
        </w:rPr>
        <w:tab/>
      </w:r>
      <w:r>
        <w:rPr>
          <w:rFonts w:hint="eastAsia"/>
          <w:sz w:val="24"/>
        </w:rPr>
        <w:t>18</w:t>
      </w:r>
    </w:p>
    <w:p w14:paraId="30933094">
      <w:pPr>
        <w:pStyle w:val="13"/>
        <w:adjustRightInd w:val="0"/>
        <w:snapToGrid w:val="0"/>
        <w:spacing w:line="560" w:lineRule="exact"/>
        <w:ind w:left="200" w:leftChars="0" w:firstLine="172" w:firstLineChars="72"/>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九、国有资本经营预算支出决算情况说明</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18</w:t>
      </w:r>
    </w:p>
    <w:p w14:paraId="5522D8DF">
      <w:pPr>
        <w:pStyle w:val="13"/>
        <w:adjustRightInd w:val="0"/>
        <w:snapToGrid w:val="0"/>
        <w:spacing w:line="560" w:lineRule="exact"/>
        <w:ind w:left="200" w:leftChars="0" w:firstLine="172" w:firstLineChars="72"/>
        <w:jc w:val="left"/>
        <w:rPr>
          <w:rFonts w:asciiTheme="minorEastAsia" w:hAnsiTheme="minorEastAsia" w:eastAsiaTheme="minorEastAsia" w:cstheme="minorEastAsia"/>
          <w:sz w:val="24"/>
        </w:rPr>
      </w:pPr>
      <w:r>
        <w:rPr>
          <w:rStyle w:val="18"/>
          <w:rFonts w:hint="eastAsia" w:asciiTheme="minorEastAsia" w:hAnsiTheme="minorEastAsia" w:eastAsiaTheme="minorEastAsia" w:cstheme="minorEastAsia"/>
          <w:color w:val="auto"/>
          <w:sz w:val="24"/>
          <w:u w:val="none"/>
        </w:rPr>
        <w:t xml:space="preserve">     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18</w:t>
      </w:r>
    </w:p>
    <w:p w14:paraId="11D51532">
      <w:pPr>
        <w:pStyle w:val="12"/>
        <w:adjustRightInd w:val="0"/>
        <w:snapToGrid w:val="0"/>
        <w:spacing w:before="0" w:line="560" w:lineRule="exact"/>
        <w:ind w:left="420" w:firstLine="540"/>
        <w:jc w:val="left"/>
        <w:rPr>
          <w:rFonts w:cstheme="minorBidi"/>
          <w:sz w:val="24"/>
          <w:szCs w:val="24"/>
        </w:rPr>
      </w:pPr>
      <w:r>
        <w:rPr>
          <w:rFonts w:hint="eastAsia"/>
          <w:sz w:val="24"/>
        </w:rPr>
        <w:t>第三部分名词解释</w:t>
      </w:r>
      <w:r>
        <w:rPr>
          <w:rFonts w:hint="eastAsia"/>
          <w:sz w:val="24"/>
        </w:rPr>
        <w:tab/>
      </w:r>
      <w:r>
        <w:rPr>
          <w:rFonts w:hint="eastAsia"/>
          <w:sz w:val="24"/>
        </w:rPr>
        <w:t>22</w:t>
      </w:r>
    </w:p>
    <w:p w14:paraId="4B1D5535">
      <w:pPr>
        <w:pStyle w:val="12"/>
        <w:adjustRightInd w:val="0"/>
        <w:snapToGrid w:val="0"/>
        <w:spacing w:before="0" w:line="560" w:lineRule="exact"/>
        <w:ind w:left="420" w:firstLine="540"/>
        <w:jc w:val="left"/>
        <w:rPr>
          <w:rFonts w:cstheme="minorBidi"/>
          <w:sz w:val="24"/>
          <w:szCs w:val="24"/>
        </w:rPr>
      </w:pPr>
      <w:r>
        <w:rPr>
          <w:rFonts w:hint="eastAsia"/>
          <w:sz w:val="24"/>
        </w:rPr>
        <w:t>第四部分附件</w:t>
      </w:r>
      <w:r>
        <w:rPr>
          <w:rFonts w:hint="eastAsia"/>
          <w:sz w:val="24"/>
        </w:rPr>
        <w:tab/>
      </w:r>
      <w:r>
        <w:rPr>
          <w:rFonts w:hint="eastAsia"/>
          <w:sz w:val="24"/>
        </w:rPr>
        <w:t>25</w:t>
      </w:r>
    </w:p>
    <w:p w14:paraId="5B53B6DF">
      <w:pPr>
        <w:pStyle w:val="12"/>
        <w:adjustRightInd w:val="0"/>
        <w:snapToGrid w:val="0"/>
        <w:spacing w:before="0" w:line="560" w:lineRule="exact"/>
        <w:ind w:left="420" w:firstLine="540"/>
        <w:jc w:val="left"/>
        <w:rPr>
          <w:rFonts w:cstheme="minorBidi"/>
          <w:sz w:val="24"/>
          <w:szCs w:val="24"/>
        </w:rPr>
      </w:pPr>
      <w:r>
        <w:rPr>
          <w:rFonts w:hint="eastAsia"/>
          <w:sz w:val="24"/>
        </w:rPr>
        <w:t>第五部分附表</w:t>
      </w:r>
      <w:r>
        <w:rPr>
          <w:rFonts w:hint="eastAsia"/>
          <w:sz w:val="24"/>
        </w:rPr>
        <w:tab/>
      </w:r>
      <w:r>
        <w:rPr>
          <w:rFonts w:hint="eastAsia"/>
          <w:sz w:val="24"/>
        </w:rPr>
        <w:t>47</w:t>
      </w:r>
    </w:p>
    <w:p w14:paraId="2BFFC1A3">
      <w:pPr>
        <w:pStyle w:val="13"/>
        <w:adjustRightInd w:val="0"/>
        <w:snapToGrid w:val="0"/>
        <w:spacing w:line="560" w:lineRule="exact"/>
        <w:ind w:firstLine="540"/>
        <w:jc w:val="left"/>
        <w:rPr>
          <w:sz w:val="24"/>
        </w:rPr>
      </w:pPr>
      <w:r>
        <w:rPr>
          <w:rFonts w:hint="eastAsia"/>
          <w:sz w:val="24"/>
        </w:rPr>
        <w:t>一、收入支出决算总表</w:t>
      </w:r>
      <w:r>
        <w:rPr>
          <w:rFonts w:hint="eastAsia"/>
          <w:sz w:val="24"/>
        </w:rPr>
        <w:tab/>
      </w:r>
      <w:r>
        <w:rPr>
          <w:rFonts w:hint="eastAsia"/>
          <w:sz w:val="24"/>
        </w:rPr>
        <w:t>47</w:t>
      </w:r>
    </w:p>
    <w:p w14:paraId="6BD1D814">
      <w:pPr>
        <w:pStyle w:val="13"/>
        <w:adjustRightInd w:val="0"/>
        <w:snapToGrid w:val="0"/>
        <w:spacing w:line="560" w:lineRule="exact"/>
        <w:ind w:firstLine="540"/>
        <w:jc w:val="left"/>
        <w:rPr>
          <w:sz w:val="24"/>
        </w:rPr>
      </w:pPr>
      <w:r>
        <w:rPr>
          <w:rFonts w:hint="eastAsia"/>
          <w:sz w:val="24"/>
        </w:rPr>
        <w:t>二、收入决算表</w:t>
      </w:r>
      <w:r>
        <w:rPr>
          <w:rFonts w:hint="eastAsia"/>
          <w:sz w:val="24"/>
        </w:rPr>
        <w:tab/>
      </w:r>
      <w:r>
        <w:rPr>
          <w:rFonts w:hint="eastAsia"/>
          <w:sz w:val="24"/>
        </w:rPr>
        <w:t>47</w:t>
      </w:r>
    </w:p>
    <w:p w14:paraId="1A2E2B1E">
      <w:pPr>
        <w:pStyle w:val="13"/>
        <w:adjustRightInd w:val="0"/>
        <w:snapToGrid w:val="0"/>
        <w:spacing w:line="560" w:lineRule="exact"/>
        <w:ind w:firstLine="540"/>
        <w:jc w:val="left"/>
        <w:rPr>
          <w:sz w:val="24"/>
        </w:rPr>
      </w:pPr>
      <w:r>
        <w:rPr>
          <w:rFonts w:hint="eastAsia"/>
          <w:sz w:val="24"/>
        </w:rPr>
        <w:t>三、支出决算表</w:t>
      </w:r>
      <w:r>
        <w:rPr>
          <w:rFonts w:hint="eastAsia"/>
          <w:sz w:val="24"/>
        </w:rPr>
        <w:tab/>
      </w:r>
      <w:r>
        <w:rPr>
          <w:rFonts w:hint="eastAsia"/>
          <w:sz w:val="24"/>
        </w:rPr>
        <w:t>47</w:t>
      </w:r>
    </w:p>
    <w:p w14:paraId="26EC2A94">
      <w:pPr>
        <w:pStyle w:val="13"/>
        <w:adjustRightInd w:val="0"/>
        <w:snapToGrid w:val="0"/>
        <w:spacing w:line="560" w:lineRule="exact"/>
        <w:ind w:firstLine="540"/>
        <w:jc w:val="left"/>
        <w:rPr>
          <w:sz w:val="24"/>
        </w:rPr>
      </w:pPr>
      <w:r>
        <w:rPr>
          <w:rFonts w:hint="eastAsia"/>
          <w:sz w:val="24"/>
        </w:rPr>
        <w:t>四、财政拨款收入支出决算总表</w:t>
      </w:r>
      <w:r>
        <w:rPr>
          <w:rFonts w:hint="eastAsia"/>
          <w:sz w:val="24"/>
        </w:rPr>
        <w:tab/>
      </w:r>
      <w:r>
        <w:rPr>
          <w:rFonts w:hint="eastAsia"/>
          <w:sz w:val="24"/>
        </w:rPr>
        <w:t>47</w:t>
      </w:r>
    </w:p>
    <w:p w14:paraId="17FDC802">
      <w:pPr>
        <w:pStyle w:val="13"/>
        <w:adjustRightInd w:val="0"/>
        <w:snapToGrid w:val="0"/>
        <w:spacing w:line="560" w:lineRule="exact"/>
        <w:ind w:firstLine="540"/>
        <w:jc w:val="left"/>
        <w:rPr>
          <w:sz w:val="24"/>
        </w:rPr>
      </w:pPr>
      <w:r>
        <w:rPr>
          <w:rFonts w:hint="eastAsia"/>
          <w:sz w:val="24"/>
        </w:rPr>
        <w:t>五、财政拨款支出决算明细表</w:t>
      </w:r>
      <w:r>
        <w:rPr>
          <w:rFonts w:hint="eastAsia"/>
          <w:sz w:val="24"/>
        </w:rPr>
        <w:tab/>
      </w:r>
      <w:r>
        <w:rPr>
          <w:rFonts w:hint="eastAsia"/>
          <w:sz w:val="24"/>
        </w:rPr>
        <w:t>47</w:t>
      </w:r>
    </w:p>
    <w:p w14:paraId="60B474DD">
      <w:pPr>
        <w:pStyle w:val="13"/>
        <w:adjustRightInd w:val="0"/>
        <w:snapToGrid w:val="0"/>
        <w:spacing w:line="560" w:lineRule="exact"/>
        <w:ind w:firstLine="540"/>
        <w:jc w:val="left"/>
        <w:rPr>
          <w:sz w:val="24"/>
        </w:rPr>
      </w:pPr>
      <w:r>
        <w:rPr>
          <w:rFonts w:hint="eastAsia"/>
          <w:sz w:val="24"/>
        </w:rPr>
        <w:t>六、一般公共预算财政拨款支出决算表</w:t>
      </w:r>
      <w:r>
        <w:rPr>
          <w:rFonts w:hint="eastAsia"/>
          <w:sz w:val="24"/>
        </w:rPr>
        <w:tab/>
      </w:r>
      <w:r>
        <w:rPr>
          <w:rFonts w:hint="eastAsia"/>
          <w:sz w:val="24"/>
        </w:rPr>
        <w:t>47</w:t>
      </w:r>
    </w:p>
    <w:p w14:paraId="2C45C292">
      <w:pPr>
        <w:pStyle w:val="13"/>
        <w:adjustRightInd w:val="0"/>
        <w:snapToGrid w:val="0"/>
        <w:spacing w:line="560" w:lineRule="exact"/>
        <w:ind w:firstLine="540"/>
        <w:jc w:val="left"/>
        <w:rPr>
          <w:sz w:val="24"/>
        </w:rPr>
      </w:pPr>
      <w:r>
        <w:rPr>
          <w:rFonts w:hint="eastAsia"/>
          <w:sz w:val="24"/>
        </w:rPr>
        <w:t>七、一般公共预算财政拨款支出决算明细表</w:t>
      </w:r>
      <w:r>
        <w:rPr>
          <w:rFonts w:hint="eastAsia"/>
          <w:sz w:val="24"/>
        </w:rPr>
        <w:tab/>
      </w:r>
      <w:r>
        <w:rPr>
          <w:rFonts w:hint="eastAsia"/>
          <w:sz w:val="24"/>
        </w:rPr>
        <w:t>47</w:t>
      </w:r>
    </w:p>
    <w:p w14:paraId="0BBA733D">
      <w:pPr>
        <w:pStyle w:val="13"/>
        <w:adjustRightInd w:val="0"/>
        <w:snapToGrid w:val="0"/>
        <w:spacing w:line="560" w:lineRule="exact"/>
        <w:ind w:firstLine="540"/>
        <w:jc w:val="left"/>
        <w:rPr>
          <w:sz w:val="24"/>
        </w:rPr>
      </w:pPr>
      <w:r>
        <w:rPr>
          <w:rFonts w:hint="eastAsia"/>
          <w:sz w:val="24"/>
        </w:rPr>
        <w:t>八、一般公共预算财政拨款基本支出决算明细表</w:t>
      </w:r>
      <w:r>
        <w:rPr>
          <w:rFonts w:hint="eastAsia"/>
          <w:sz w:val="24"/>
        </w:rPr>
        <w:tab/>
      </w:r>
      <w:r>
        <w:rPr>
          <w:rFonts w:hint="eastAsia"/>
          <w:sz w:val="24"/>
        </w:rPr>
        <w:t>47</w:t>
      </w:r>
    </w:p>
    <w:p w14:paraId="01186C4F">
      <w:pPr>
        <w:pStyle w:val="13"/>
        <w:adjustRightInd w:val="0"/>
        <w:snapToGrid w:val="0"/>
        <w:spacing w:line="560" w:lineRule="exact"/>
        <w:ind w:firstLine="540"/>
        <w:jc w:val="left"/>
        <w:rPr>
          <w:sz w:val="24"/>
        </w:rPr>
      </w:pPr>
      <w:r>
        <w:rPr>
          <w:rFonts w:hint="eastAsia"/>
          <w:sz w:val="24"/>
        </w:rPr>
        <w:t>九、一般公共预算财政拨款项目支出决算表</w:t>
      </w:r>
      <w:r>
        <w:rPr>
          <w:rFonts w:hint="eastAsia"/>
          <w:sz w:val="24"/>
        </w:rPr>
        <w:tab/>
      </w:r>
      <w:r>
        <w:rPr>
          <w:rFonts w:hint="eastAsia"/>
          <w:sz w:val="24"/>
        </w:rPr>
        <w:t>47</w:t>
      </w:r>
    </w:p>
    <w:p w14:paraId="7186D544">
      <w:pPr>
        <w:pStyle w:val="13"/>
        <w:adjustRightInd w:val="0"/>
        <w:snapToGrid w:val="0"/>
        <w:spacing w:line="560" w:lineRule="exact"/>
        <w:ind w:firstLine="540"/>
        <w:jc w:val="left"/>
        <w:rPr>
          <w:sz w:val="24"/>
        </w:rPr>
      </w:pPr>
      <w:r>
        <w:rPr>
          <w:rFonts w:hint="eastAsia"/>
          <w:sz w:val="24"/>
        </w:rPr>
        <w:t>十、政府性基金预算财政拨款收入支出决算表</w:t>
      </w:r>
      <w:r>
        <w:rPr>
          <w:rFonts w:hint="eastAsia"/>
          <w:sz w:val="24"/>
        </w:rPr>
        <w:tab/>
      </w:r>
      <w:r>
        <w:rPr>
          <w:rFonts w:hint="eastAsia"/>
          <w:sz w:val="24"/>
        </w:rPr>
        <w:t>47</w:t>
      </w:r>
    </w:p>
    <w:p w14:paraId="4D983C77">
      <w:pPr>
        <w:pStyle w:val="13"/>
        <w:adjustRightInd w:val="0"/>
        <w:snapToGrid w:val="0"/>
        <w:spacing w:line="560" w:lineRule="exact"/>
        <w:ind w:firstLine="540"/>
        <w:jc w:val="left"/>
        <w:rPr>
          <w:sz w:val="24"/>
        </w:rPr>
      </w:pPr>
      <w:r>
        <w:rPr>
          <w:rFonts w:hint="eastAsia"/>
          <w:sz w:val="24"/>
        </w:rPr>
        <w:t>十一、国有资本经营预算财政拨款收入支出决算表</w:t>
      </w:r>
      <w:r>
        <w:rPr>
          <w:rFonts w:hint="eastAsia"/>
          <w:sz w:val="24"/>
        </w:rPr>
        <w:tab/>
      </w:r>
      <w:r>
        <w:rPr>
          <w:rFonts w:hint="eastAsia"/>
          <w:sz w:val="24"/>
        </w:rPr>
        <w:t>47</w:t>
      </w:r>
    </w:p>
    <w:p w14:paraId="69F51A23">
      <w:pPr>
        <w:pStyle w:val="13"/>
        <w:adjustRightInd w:val="0"/>
        <w:snapToGrid w:val="0"/>
        <w:spacing w:line="560" w:lineRule="exact"/>
        <w:ind w:firstLine="540"/>
        <w:jc w:val="left"/>
        <w:rPr>
          <w:sz w:val="24"/>
        </w:rPr>
      </w:pPr>
      <w:r>
        <w:rPr>
          <w:rFonts w:hint="eastAsia"/>
          <w:sz w:val="24"/>
        </w:rPr>
        <w:t>十二、国有资本经营预算财政拨款支出决算表</w:t>
      </w:r>
      <w:r>
        <w:rPr>
          <w:rFonts w:hint="eastAsia"/>
          <w:sz w:val="24"/>
        </w:rPr>
        <w:tab/>
      </w:r>
      <w:r>
        <w:rPr>
          <w:rFonts w:hint="eastAsia"/>
          <w:sz w:val="24"/>
        </w:rPr>
        <w:t>47</w:t>
      </w:r>
    </w:p>
    <w:p w14:paraId="2E033E97">
      <w:pPr>
        <w:pStyle w:val="13"/>
        <w:adjustRightInd w:val="0"/>
        <w:snapToGrid w:val="0"/>
        <w:spacing w:line="560" w:lineRule="exact"/>
        <w:ind w:firstLine="540"/>
        <w:jc w:val="left"/>
        <w:rPr>
          <w:rFonts w:asciiTheme="minorEastAsia" w:hAnsiTheme="minorEastAsia" w:eastAsiaTheme="minorEastAsia" w:cstheme="minorEastAsia"/>
          <w:sz w:val="24"/>
        </w:rPr>
      </w:pPr>
      <w:r>
        <w:rPr>
          <w:rFonts w:hint="eastAsia"/>
          <w:sz w:val="24"/>
        </w:rPr>
        <w:t>十三、财政拨款“三公”经费支出决算表</w:t>
      </w:r>
      <w:r>
        <w:rPr>
          <w:rFonts w:hint="eastAsia"/>
          <w:sz w:val="24"/>
        </w:rPr>
        <w:tab/>
      </w:r>
      <w:r>
        <w:rPr>
          <w:rFonts w:hint="eastAsia"/>
          <w:sz w:val="24"/>
        </w:rPr>
        <w:t>47</w:t>
      </w:r>
    </w:p>
    <w:p w14:paraId="53877A9C">
      <w:pPr>
        <w:widowControl/>
        <w:ind w:left="420" w:firstLine="542"/>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14:paraId="06BBC589">
      <w:pPr>
        <w:pStyle w:val="3"/>
        <w:ind w:left="420" w:firstLine="990"/>
        <w:jc w:val="center"/>
        <w:rPr>
          <w:rStyle w:val="27"/>
          <w:rFonts w:ascii="方正小标宋简体" w:eastAsia="方正小标宋简体"/>
          <w:b/>
          <w:bCs w:val="0"/>
        </w:rPr>
      </w:pPr>
      <w:r>
        <w:rPr>
          <w:rFonts w:hint="eastAsia" w:ascii="方正小标宋简体" w:hAnsi="黑体" w:eastAsia="方正小标宋简体"/>
          <w:b w:val="0"/>
        </w:rPr>
        <w:t>第一部分</w:t>
      </w:r>
      <w:r>
        <w:rPr>
          <w:rFonts w:hint="eastAsia" w:ascii="方正小标宋简体" w:eastAsia="方正小标宋简体"/>
          <w:b w:val="0"/>
        </w:rPr>
        <w:t xml:space="preserve"> </w:t>
      </w:r>
      <w:r>
        <w:rPr>
          <w:rStyle w:val="27"/>
          <w:rFonts w:hint="eastAsia" w:ascii="方正小标宋简体" w:hAnsi="黑体" w:eastAsia="方正小标宋简体"/>
          <w:b w:val="0"/>
          <w:bCs w:val="0"/>
        </w:rPr>
        <w:t>部门概况</w:t>
      </w:r>
      <w:bookmarkEnd w:id="12"/>
      <w:bookmarkEnd w:id="13"/>
    </w:p>
    <w:p w14:paraId="68B60369">
      <w:pPr>
        <w:widowControl/>
        <w:ind w:left="420" w:firstLine="720"/>
        <w:jc w:val="left"/>
        <w:rPr>
          <w:rFonts w:ascii="黑体" w:eastAsia="黑体"/>
          <w:sz w:val="32"/>
          <w:szCs w:val="32"/>
        </w:rPr>
      </w:pPr>
    </w:p>
    <w:p w14:paraId="779D10A4">
      <w:pPr>
        <w:spacing w:line="560" w:lineRule="exact"/>
        <w:ind w:left="0" w:leftChars="0" w:firstLine="640" w:firstLineChars="200"/>
        <w:rPr>
          <w:rFonts w:ascii="黑体" w:hAnsi="黑体" w:eastAsia="黑体"/>
          <w:sz w:val="32"/>
          <w:szCs w:val="32"/>
        </w:rPr>
      </w:pPr>
      <w:bookmarkStart w:id="14" w:name="_Toc15377197"/>
      <w:bookmarkStart w:id="15" w:name="_Toc15396600"/>
      <w:r>
        <w:rPr>
          <w:rFonts w:hint="eastAsia" w:ascii="黑体" w:hAnsi="黑体" w:eastAsia="黑体"/>
          <w:sz w:val="32"/>
          <w:szCs w:val="32"/>
        </w:rPr>
        <w:t>一、</w:t>
      </w:r>
      <w:bookmarkEnd w:id="14"/>
      <w:bookmarkEnd w:id="15"/>
      <w:r>
        <w:rPr>
          <w:rFonts w:hint="eastAsia" w:ascii="黑体" w:hAnsi="黑体" w:eastAsia="黑体"/>
          <w:sz w:val="32"/>
          <w:szCs w:val="32"/>
        </w:rPr>
        <w:t>部门职责</w:t>
      </w:r>
    </w:p>
    <w:p w14:paraId="0F086746">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一）统筹研究和组织实施全县“三农”工作发展战略、中长期规划、重大政策。贯彻执行国家和省、市有关种植业、畜牧业（草原牧业）、渔业、农业机械化、农垦等农业领域工作的法律、法规、规章、政策以及县委、县政府关于“三农”方面的决策部署，贯彻执行全市“三农”有关政策。</w:t>
      </w:r>
    </w:p>
    <w:p w14:paraId="5B45E548">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二）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14:paraId="72D2CA40">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三）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14:paraId="6B658F5E">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四）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14:paraId="4591D062">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五）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14:paraId="1E38B5F4">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六）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14:paraId="270DA666">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七）负责全县农产品质量安全监督管理。组织开展农产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14:paraId="11ABBEAE">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八）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14:paraId="32194090">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九）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14:paraId="3CB26386">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14:paraId="59AEB1F5">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一）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14:paraId="4EDE3085">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二）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14:paraId="6CB7403F">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三）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14:paraId="40198FA4">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（十四）指导全县农业农村人オ工作。制定农业农村人オ队伍建设规划并组织实施，指导农业教育和农业职业技能开发，指导新型职业农民培育、农业科技人オ培养和农村实用人才培训工作。</w:t>
      </w:r>
    </w:p>
    <w:p w14:paraId="4A68C4B6">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五）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14:paraId="252366C5">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（十六）编制全县烟叶种植规划方案，督促检查烟叶生产工作。协调烟草工业、商业做好相关工作。组织实施县级烟草扶持项目。</w:t>
      </w:r>
    </w:p>
    <w:p w14:paraId="176A19B9">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（十七）负责农业领域综合行政执法工作。负责监督指导重大案件查处和跨区域执法的组织协调工作，负责全县办理的涉农违法案件。推进农业依法行政。</w:t>
      </w:r>
    </w:p>
    <w:p w14:paraId="6FA6024D">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（十八）负责全县国有农场土地的保护、利用和管理，指导国有农场的改革与发展。</w:t>
      </w:r>
    </w:p>
    <w:p w14:paraId="6F33A00E">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十九）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14:paraId="1C8F93C8">
      <w:pPr>
        <w:spacing w:line="560" w:lineRule="exact"/>
        <w:ind w:left="0" w:leftChars="0" w:firstLine="640" w:firstLineChars="200"/>
        <w:rPr>
          <w:rFonts w:ascii="仿宋_GB2312" w:hAnsi="仿宋" w:eastAsia="仿宋_GB2312"/>
          <w:sz w:val="32"/>
          <w:szCs w:val="32"/>
        </w:rPr>
      </w:pPr>
      <w:r>
        <w:rPr>
          <w:rFonts w:hint="eastAsia" w:ascii="仿宋_GB2312" w:hAnsi="仿宋" w:eastAsia="仿宋_GB2312"/>
          <w:sz w:val="32"/>
          <w:szCs w:val="32"/>
        </w:rPr>
        <w:t>（二十）负责职责范围内的生态环境保护、审批服务便民化等工作。</w:t>
      </w:r>
    </w:p>
    <w:p w14:paraId="1CFE814A">
      <w:pPr>
        <w:spacing w:line="560" w:lineRule="exact"/>
        <w:ind w:left="0" w:leftChars="0" w:firstLine="640" w:firstLineChars="200"/>
        <w:rPr>
          <w:rFonts w:ascii="仿宋_GB2312" w:eastAsia="仿宋_GB2312"/>
          <w:b/>
          <w:bCs/>
        </w:rPr>
      </w:pPr>
      <w:r>
        <w:rPr>
          <w:rFonts w:hint="eastAsia" w:ascii="仿宋_GB2312" w:hAnsi="仿宋" w:eastAsia="仿宋_GB2312"/>
          <w:sz w:val="32"/>
          <w:szCs w:val="32"/>
        </w:rPr>
        <w:t>（二十一）完成县委、县政府交办的其他任务。</w:t>
      </w:r>
    </w:p>
    <w:p w14:paraId="2A1A0E9E">
      <w:pPr>
        <w:pStyle w:val="4"/>
        <w:spacing w:before="0" w:after="0" w:line="560" w:lineRule="exact"/>
        <w:ind w:left="0" w:leftChars="0" w:firstLine="640" w:firstLineChars="200"/>
        <w:rPr>
          <w:rStyle w:val="28"/>
          <w:rFonts w:ascii="黑体" w:hAnsi="黑体" w:eastAsia="黑体"/>
          <w:b w:val="0"/>
          <w:bCs w:val="0"/>
        </w:rPr>
      </w:pPr>
      <w:bookmarkStart w:id="16" w:name="_Toc15396601"/>
      <w:bookmarkStart w:id="17" w:name="_Toc15377200"/>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16"/>
      <w:bookmarkEnd w:id="17"/>
    </w:p>
    <w:p w14:paraId="46C7814B">
      <w:pPr>
        <w:pStyle w:val="4"/>
        <w:spacing w:before="0" w:after="0" w:line="560" w:lineRule="exact"/>
        <w:ind w:left="0" w:leftChars="0"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盐边县农业农村局下属二级预算单位1个，其中行政单位1个，参照公务员法管理的事业单位5个，其他事业单位14个。</w:t>
      </w:r>
    </w:p>
    <w:p w14:paraId="51EE1198">
      <w:pPr>
        <w:widowControl/>
        <w:spacing w:line="560" w:lineRule="exact"/>
        <w:ind w:left="420" w:firstLine="0" w:firstLineChars="0"/>
        <w:jc w:val="center"/>
        <w:rPr>
          <w:rStyle w:val="27"/>
          <w:rFonts w:ascii="方正小标宋简体" w:hAnsi="黑体" w:eastAsia="方正小标宋简体"/>
          <w:b w:val="0"/>
          <w:bCs w:val="0"/>
        </w:rPr>
      </w:pPr>
      <w:r>
        <w:rPr>
          <w:rFonts w:ascii="仿宋" w:hAnsi="仿宋" w:eastAsia="仿宋"/>
          <w:sz w:val="32"/>
          <w:szCs w:val="32"/>
        </w:rPr>
        <w:br w:type="page"/>
      </w:r>
      <w:bookmarkStart w:id="18" w:name="_Toc15377204"/>
      <w:bookmarkStart w:id="19" w:name="_Toc15396602"/>
      <w:r>
        <w:rPr>
          <w:rStyle w:val="27"/>
          <w:rFonts w:hint="eastAsia" w:ascii="方正小标宋简体" w:hAnsi="黑体" w:eastAsia="方正小标宋简体"/>
          <w:b w:val="0"/>
        </w:rPr>
        <w:t>第二部分 2023年度</w:t>
      </w:r>
      <w:r>
        <w:rPr>
          <w:rStyle w:val="27"/>
          <w:rFonts w:hint="eastAsia" w:ascii="方正小标宋简体" w:hAnsi="黑体" w:eastAsia="方正小标宋简体"/>
          <w:b w:val="0"/>
          <w:bCs w:val="0"/>
        </w:rPr>
        <w:t>部门决算情况说明</w:t>
      </w:r>
      <w:bookmarkEnd w:id="18"/>
      <w:bookmarkEnd w:id="19"/>
    </w:p>
    <w:p w14:paraId="595D0D08">
      <w:pPr>
        <w:ind w:left="420" w:firstLine="473"/>
      </w:pPr>
    </w:p>
    <w:p w14:paraId="620807E9">
      <w:pPr>
        <w:spacing w:line="560" w:lineRule="exact"/>
        <w:ind w:left="0" w:leftChars="0" w:firstLine="640" w:firstLineChars="200"/>
        <w:outlineLvl w:val="1"/>
        <w:rPr>
          <w:rStyle w:val="28"/>
          <w:rFonts w:ascii="黑体" w:hAnsi="黑体" w:eastAsia="黑体"/>
          <w:b w:val="0"/>
        </w:rPr>
      </w:pPr>
      <w:bookmarkStart w:id="20" w:name="_Toc15396603"/>
      <w:bookmarkStart w:id="21" w:name="_Toc15377205"/>
      <w:r>
        <w:rPr>
          <w:rFonts w:hint="eastAsia" w:ascii="黑体" w:hAnsi="黑体" w:eastAsia="黑体"/>
          <w:sz w:val="32"/>
          <w:szCs w:val="32"/>
        </w:rPr>
        <w:t>一、收</w:t>
      </w:r>
      <w:r>
        <w:rPr>
          <w:rStyle w:val="28"/>
          <w:rFonts w:hint="eastAsia" w:ascii="黑体" w:hAnsi="黑体" w:eastAsia="黑体"/>
          <w:b w:val="0"/>
        </w:rPr>
        <w:t>入支出决算总体情况说明</w:t>
      </w:r>
      <w:bookmarkEnd w:id="20"/>
      <w:bookmarkEnd w:id="21"/>
    </w:p>
    <w:p w14:paraId="19B2E779">
      <w:pPr>
        <w:spacing w:line="560" w:lineRule="exact"/>
        <w:ind w:left="0" w:leftChars="0" w:firstLine="640" w:firstLineChars="200"/>
        <w:rPr>
          <w:rFonts w:eastAsia="仿宋_GB2312"/>
          <w:sz w:val="32"/>
          <w:szCs w:val="32"/>
        </w:rPr>
      </w:pPr>
      <w:r>
        <w:rPr>
          <w:rFonts w:eastAsia="仿宋_GB2312"/>
          <w:sz w:val="32"/>
          <w:szCs w:val="32"/>
        </w:rPr>
        <w:t>2023年度收、支总计均为23360.89万元。与2022年度相比，</w:t>
      </w:r>
      <w:bookmarkStart w:id="22" w:name="_Toc15377206"/>
      <w:bookmarkStart w:id="23" w:name="_Toc15396604"/>
      <w:r>
        <w:rPr>
          <w:rFonts w:eastAsia="仿宋_GB2312"/>
          <w:sz w:val="32"/>
          <w:szCs w:val="32"/>
        </w:rPr>
        <w:t>收、支总计各增加8255.09万元，增长54.65%。主要变动原因是政府性基金预算财政拨款收入增大。</w:t>
      </w:r>
    </w:p>
    <w:p w14:paraId="3D575E96">
      <w:pPr>
        <w:spacing w:line="560" w:lineRule="exact"/>
        <w:ind w:left="0" w:leftChars="0" w:firstLine="640" w:firstLineChars="200"/>
        <w:jc w:val="left"/>
      </w:pPr>
      <w:r>
        <w:rPr>
          <w:rFonts w:hint="eastAsia" w:ascii="仿宋" w:hAnsi="仿宋" w:eastAsia="仿宋"/>
          <w:sz w:val="32"/>
          <w:szCs w:val="32"/>
        </w:rPr>
        <w:t xml:space="preserve">    （图</w:t>
      </w:r>
      <w:r>
        <w:rPr>
          <w:rFonts w:ascii="仿宋" w:hAnsi="仿宋" w:eastAsia="仿宋"/>
          <w:sz w:val="32"/>
          <w:szCs w:val="32"/>
        </w:rPr>
        <w:t>1</w:t>
      </w:r>
      <w:r>
        <w:rPr>
          <w:rFonts w:hint="eastAsia" w:ascii="仿宋" w:hAnsi="仿宋" w:eastAsia="仿宋"/>
          <w:sz w:val="32"/>
          <w:szCs w:val="32"/>
        </w:rPr>
        <w:t>：收、支决算总计变动情况图）</w:t>
      </w:r>
    </w:p>
    <w:p w14:paraId="410296BD">
      <w:pPr>
        <w:pStyle w:val="2"/>
        <w:ind w:left="199" w:leftChars="95" w:firstLine="224" w:firstLineChars="93"/>
        <w:rPr>
          <w:rFonts w:ascii="仿宋" w:hAnsi="仿宋" w:eastAsia="仿宋"/>
          <w:sz w:val="32"/>
          <w:szCs w:val="32"/>
        </w:rPr>
      </w:pPr>
      <w:r>
        <w:drawing>
          <wp:inline distT="0" distB="0" distL="0" distR="0">
            <wp:extent cx="4867275" cy="2703195"/>
            <wp:effectExtent l="19050" t="0" r="9525" b="19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55364ED">
      <w:pPr>
        <w:spacing w:line="560" w:lineRule="exact"/>
        <w:ind w:left="0" w:leftChars="0" w:firstLine="640" w:firstLineChars="200"/>
        <w:jc w:val="left"/>
        <w:rPr>
          <w:rStyle w:val="28"/>
          <w:rFonts w:ascii="黑体" w:hAnsi="黑体" w:eastAsia="黑体"/>
          <w:b w:val="0"/>
        </w:rPr>
      </w:pPr>
      <w:r>
        <w:rPr>
          <w:rFonts w:hint="eastAsia" w:ascii="黑体" w:hAnsi="黑体" w:eastAsia="黑体"/>
          <w:sz w:val="32"/>
          <w:szCs w:val="32"/>
        </w:rPr>
        <w:t>二、收</w:t>
      </w:r>
      <w:r>
        <w:rPr>
          <w:rStyle w:val="28"/>
          <w:rFonts w:hint="eastAsia" w:ascii="黑体" w:hAnsi="黑体" w:eastAsia="黑体"/>
          <w:b w:val="0"/>
        </w:rPr>
        <w:t>入决算情况说明</w:t>
      </w:r>
      <w:bookmarkEnd w:id="22"/>
      <w:bookmarkEnd w:id="23"/>
    </w:p>
    <w:p w14:paraId="37173E72">
      <w:pPr>
        <w:spacing w:line="560" w:lineRule="exact"/>
        <w:ind w:left="0" w:leftChars="0" w:firstLine="640" w:firstLineChars="200"/>
        <w:rPr>
          <w:rFonts w:eastAsia="仿宋_GB2312"/>
          <w:sz w:val="32"/>
          <w:szCs w:val="32"/>
        </w:rPr>
      </w:pPr>
      <w:r>
        <w:rPr>
          <w:rFonts w:hint="eastAsia" w:eastAsia="仿宋_GB2312"/>
          <w:sz w:val="32"/>
          <w:szCs w:val="32"/>
        </w:rPr>
        <w:t>2023年度本年收入合计</w:t>
      </w:r>
      <w:r>
        <w:rPr>
          <w:rFonts w:eastAsia="仿宋_GB2312"/>
          <w:sz w:val="32"/>
          <w:szCs w:val="32"/>
        </w:rPr>
        <w:t>23360.89</w:t>
      </w:r>
      <w:r>
        <w:rPr>
          <w:rFonts w:hint="eastAsia" w:eastAsia="仿宋_GB2312"/>
          <w:sz w:val="32"/>
          <w:szCs w:val="32"/>
        </w:rPr>
        <w:t>万元，其中：一般公共预算财政拨款收入</w:t>
      </w:r>
      <w:r>
        <w:rPr>
          <w:rFonts w:eastAsia="仿宋_GB2312"/>
          <w:sz w:val="32"/>
          <w:szCs w:val="32"/>
        </w:rPr>
        <w:t>15432.85</w:t>
      </w:r>
      <w:r>
        <w:rPr>
          <w:rFonts w:hint="eastAsia" w:eastAsia="仿宋_GB2312"/>
          <w:sz w:val="32"/>
          <w:szCs w:val="32"/>
        </w:rPr>
        <w:t>万元，占</w:t>
      </w:r>
      <w:r>
        <w:rPr>
          <w:rFonts w:eastAsia="仿宋_GB2312"/>
          <w:sz w:val="32"/>
          <w:szCs w:val="32"/>
        </w:rPr>
        <w:t>66.06%</w:t>
      </w:r>
      <w:r>
        <w:rPr>
          <w:rFonts w:hint="eastAsia" w:eastAsia="仿宋_GB2312"/>
          <w:sz w:val="32"/>
          <w:szCs w:val="32"/>
        </w:rPr>
        <w:t>；政府性基金预算财政拨款收入</w:t>
      </w:r>
      <w:r>
        <w:rPr>
          <w:rFonts w:eastAsia="仿宋_GB2312"/>
          <w:sz w:val="32"/>
          <w:szCs w:val="32"/>
        </w:rPr>
        <w:t>7928.03</w:t>
      </w:r>
      <w:r>
        <w:rPr>
          <w:rFonts w:hint="eastAsia" w:eastAsia="仿宋_GB2312"/>
          <w:sz w:val="32"/>
          <w:szCs w:val="32"/>
        </w:rPr>
        <w:t>万元，占</w:t>
      </w:r>
      <w:r>
        <w:rPr>
          <w:rFonts w:eastAsia="仿宋_GB2312"/>
          <w:sz w:val="32"/>
          <w:szCs w:val="32"/>
        </w:rPr>
        <w:t>33.9</w:t>
      </w:r>
      <w:r>
        <w:rPr>
          <w:rFonts w:hint="eastAsia" w:eastAsia="仿宋_GB2312"/>
          <w:sz w:val="32"/>
          <w:szCs w:val="32"/>
        </w:rPr>
        <w:t>4</w:t>
      </w:r>
      <w:r>
        <w:rPr>
          <w:rFonts w:eastAsia="仿宋_GB2312"/>
          <w:sz w:val="32"/>
          <w:szCs w:val="32"/>
        </w:rPr>
        <w:t>%</w:t>
      </w:r>
      <w:r>
        <w:rPr>
          <w:rFonts w:hint="eastAsia" w:eastAsia="仿宋_GB2312"/>
          <w:sz w:val="32"/>
          <w:szCs w:val="32"/>
        </w:rPr>
        <w:t>；国有资本经营预算财政拨款收入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；上级补助收入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；事业收入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；经营收入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；附属单位上缴收入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；其他收入</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w:t>
      </w:r>
    </w:p>
    <w:p w14:paraId="78AD8A0E">
      <w:pPr>
        <w:spacing w:line="600" w:lineRule="exact"/>
        <w:ind w:left="420" w:firstLine="1280" w:firstLineChars="400"/>
        <w:rPr>
          <w:rFonts w:ascii="仿宋" w:hAnsi="仿宋" w:eastAsia="仿宋"/>
          <w:sz w:val="32"/>
          <w:szCs w:val="32"/>
        </w:rPr>
      </w:pPr>
    </w:p>
    <w:p w14:paraId="6F7F09F7">
      <w:pPr>
        <w:spacing w:line="560" w:lineRule="exact"/>
        <w:ind w:left="0" w:leftChars="0" w:firstLine="1280" w:firstLineChars="400"/>
      </w:pPr>
      <w:r>
        <w:rPr>
          <w:rFonts w:hint="eastAsia" w:ascii="仿宋" w:hAnsi="仿宋" w:eastAsia="仿宋"/>
          <w:sz w:val="32"/>
          <w:szCs w:val="32"/>
        </w:rPr>
        <w:drawing>
          <wp:anchor distT="0" distB="0" distL="114300" distR="114300" simplePos="0" relativeHeight="251659264" behindDoc="0" locked="0" layoutInCell="1" allowOverlap="1">
            <wp:simplePos x="0" y="0"/>
            <wp:positionH relativeFrom="column">
              <wp:align>left</wp:align>
            </wp:positionH>
            <wp:positionV relativeFrom="paragraph">
              <wp:posOffset>533400</wp:posOffset>
            </wp:positionV>
            <wp:extent cx="5019675" cy="2743200"/>
            <wp:effectExtent l="19050" t="0" r="9525" b="0"/>
            <wp:wrapSquare wrapText="bothSides"/>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sz w:val="32"/>
          <w:szCs w:val="32"/>
        </w:rPr>
        <w:t>（图2：收入决算结构图）（饼状图）</w:t>
      </w:r>
    </w:p>
    <w:p w14:paraId="611D44A3">
      <w:pPr>
        <w:spacing w:line="560" w:lineRule="exact"/>
        <w:ind w:left="0" w:leftChars="0" w:firstLine="640" w:firstLineChars="200"/>
        <w:rPr>
          <w:rStyle w:val="28"/>
          <w:rFonts w:ascii="黑体" w:hAnsi="黑体" w:eastAsia="黑体"/>
          <w:b w:val="0"/>
        </w:rPr>
      </w:pPr>
      <w:bookmarkStart w:id="24" w:name="_Toc15396605"/>
      <w:bookmarkStart w:id="25" w:name="_Toc15377207"/>
      <w:r>
        <w:rPr>
          <w:rFonts w:hint="eastAsia" w:ascii="黑体" w:hAnsi="黑体" w:eastAsia="黑体"/>
          <w:sz w:val="32"/>
          <w:szCs w:val="32"/>
        </w:rPr>
        <w:t>三、支</w:t>
      </w:r>
      <w:r>
        <w:rPr>
          <w:rStyle w:val="28"/>
          <w:rFonts w:hint="eastAsia" w:ascii="黑体" w:hAnsi="黑体" w:eastAsia="黑体"/>
          <w:b w:val="0"/>
        </w:rPr>
        <w:t>出决算情况说明</w:t>
      </w:r>
      <w:bookmarkEnd w:id="24"/>
      <w:bookmarkEnd w:id="25"/>
    </w:p>
    <w:p w14:paraId="2B3ED144">
      <w:pPr>
        <w:spacing w:line="560" w:lineRule="exact"/>
        <w:ind w:left="0" w:leftChars="0" w:firstLine="640" w:firstLineChars="200"/>
        <w:rPr>
          <w:rFonts w:eastAsia="仿宋_GB2312"/>
          <w:sz w:val="32"/>
          <w:szCs w:val="32"/>
        </w:rPr>
      </w:pPr>
      <w:r>
        <w:rPr>
          <w:rFonts w:eastAsia="仿宋_GB2312"/>
          <w:sz w:val="32"/>
          <w:szCs w:val="32"/>
        </w:rPr>
        <w:t>2023年度本年支出合计23360.89万元，其中：基本支出2405.33万元，占10.29%；项目支出20955.55万元，占89.7%；上缴上级支出0万元，占0%；经营支出0万元，占0%；对附属单位补助支出0万元，占0%。</w:t>
      </w:r>
    </w:p>
    <w:p w14:paraId="33BF6E40">
      <w:pPr>
        <w:spacing w:line="560" w:lineRule="exact"/>
        <w:ind w:left="0" w:leftChars="0" w:firstLine="0" w:firstLineChars="0"/>
        <w:jc w:val="center"/>
        <w:rPr>
          <w:rFonts w:eastAsia="仿宋_GB2312"/>
          <w:sz w:val="32"/>
          <w:szCs w:val="32"/>
        </w:rPr>
      </w:pPr>
      <w:r>
        <w:rPr>
          <w:rFonts w:eastAsia="仿宋_GB2312"/>
          <w:sz w:val="32"/>
          <w:szCs w:val="32"/>
        </w:rPr>
        <w:t>（图3：支出决算结构图）（饼状图）</w:t>
      </w:r>
    </w:p>
    <w:p w14:paraId="02DB39B0">
      <w:pPr>
        <w:pStyle w:val="33"/>
        <w:ind w:left="0" w:leftChars="0" w:firstLine="0" w:firstLineChars="0"/>
        <w:rPr>
          <w:rFonts w:hint="eastAsia"/>
        </w:rPr>
      </w:pPr>
      <w:r>
        <w:rPr>
          <w:lang w:val="en-US"/>
        </w:rPr>
        <w:drawing>
          <wp:inline distT="0" distB="0" distL="0" distR="0">
            <wp:extent cx="5274310" cy="2605405"/>
            <wp:effectExtent l="19050" t="0" r="21590" b="4359"/>
            <wp:docPr id="10"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AD147CA">
      <w:pPr>
        <w:spacing w:line="600" w:lineRule="exact"/>
        <w:ind w:left="0" w:leftChars="0" w:firstLine="0" w:firstLineChars="0"/>
        <w:outlineLvl w:val="1"/>
        <w:rPr>
          <w:rFonts w:ascii="黑体" w:hAnsi="黑体" w:eastAsia="黑体"/>
          <w:sz w:val="32"/>
          <w:szCs w:val="32"/>
        </w:rPr>
      </w:pPr>
      <w:bookmarkStart w:id="26" w:name="_Toc15396606"/>
      <w:bookmarkStart w:id="27" w:name="_Toc15377208"/>
    </w:p>
    <w:p w14:paraId="42E158C5">
      <w:pPr>
        <w:spacing w:line="600" w:lineRule="exact"/>
        <w:ind w:left="0" w:leftChars="0" w:firstLine="640" w:firstLineChars="200"/>
        <w:outlineLvl w:val="1"/>
        <w:rPr>
          <w:rStyle w:val="28"/>
          <w:rFonts w:ascii="黑体" w:hAnsi="黑体" w:eastAsia="黑体"/>
          <w:b w:val="0"/>
        </w:rPr>
      </w:pPr>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6"/>
      <w:bookmarkEnd w:id="27"/>
    </w:p>
    <w:p w14:paraId="56262186">
      <w:pPr>
        <w:spacing w:line="600" w:lineRule="exact"/>
        <w:ind w:left="0" w:leftChars="0" w:firstLine="640" w:firstLineChars="200"/>
        <w:outlineLvl w:val="1"/>
        <w:rPr>
          <w:rFonts w:eastAsia="仿宋_GB2312"/>
          <w:sz w:val="32"/>
          <w:szCs w:val="32"/>
        </w:rPr>
      </w:pPr>
      <w:r>
        <w:rPr>
          <w:rFonts w:hint="eastAsia" w:eastAsia="仿宋_GB2312"/>
          <w:sz w:val="32"/>
          <w:szCs w:val="32"/>
        </w:rPr>
        <w:t>2023年度财政拨款收、支总计均为</w:t>
      </w:r>
      <w:r>
        <w:rPr>
          <w:rFonts w:eastAsia="仿宋_GB2312"/>
          <w:sz w:val="32"/>
          <w:szCs w:val="32"/>
        </w:rPr>
        <w:t>23360.89</w:t>
      </w:r>
      <w:r>
        <w:rPr>
          <w:rFonts w:hint="eastAsia" w:eastAsia="仿宋_GB2312"/>
          <w:sz w:val="32"/>
          <w:szCs w:val="32"/>
        </w:rPr>
        <w:t>万元。与2022年度相比，财政拨款收、支总计各增加8255.09万元，增长54.65</w:t>
      </w:r>
      <w:r>
        <w:rPr>
          <w:rFonts w:eastAsia="仿宋_GB2312"/>
          <w:sz w:val="32"/>
          <w:szCs w:val="32"/>
        </w:rPr>
        <w:t>%</w:t>
      </w:r>
      <w:r>
        <w:rPr>
          <w:rFonts w:hint="eastAsia" w:eastAsia="仿宋_GB2312"/>
          <w:sz w:val="32"/>
          <w:szCs w:val="32"/>
        </w:rPr>
        <w:t>。主要变动原因是政府性基金预算财政拨款收入增大。</w:t>
      </w:r>
    </w:p>
    <w:p w14:paraId="2B955591">
      <w:pPr>
        <w:spacing w:line="600" w:lineRule="exact"/>
        <w:ind w:left="0" w:leftChars="0" w:firstLine="0" w:firstLineChars="0"/>
        <w:jc w:val="center"/>
      </w:pPr>
      <w:r>
        <w:rPr>
          <w:rFonts w:hint="eastAsia" w:ascii="仿宋" w:hAnsi="仿宋" w:eastAsia="仿宋"/>
          <w:sz w:val="32"/>
          <w:szCs w:val="32"/>
        </w:rPr>
        <w:t>（图4：财政拨款收、支决算总计变动情况）（柱状图）</w:t>
      </w:r>
    </w:p>
    <w:p w14:paraId="1678DAB7">
      <w:pPr>
        <w:pStyle w:val="2"/>
        <w:ind w:left="0" w:leftChars="0" w:firstLine="0" w:firstLineChars="0"/>
      </w:pPr>
      <w:r>
        <w:drawing>
          <wp:inline distT="0" distB="0" distL="0" distR="0">
            <wp:extent cx="5153025" cy="3086100"/>
            <wp:effectExtent l="19050" t="0" r="9525" b="0"/>
            <wp:docPr id="11"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3D6E761">
      <w:pPr>
        <w:spacing w:line="600" w:lineRule="exact"/>
        <w:ind w:left="0" w:leftChars="0" w:firstLine="640" w:firstLineChars="200"/>
        <w:outlineLvl w:val="1"/>
        <w:rPr>
          <w:rStyle w:val="28"/>
          <w:rFonts w:ascii="黑体" w:hAnsi="黑体" w:eastAsia="黑体"/>
          <w:b w:val="0"/>
        </w:rPr>
      </w:pPr>
      <w:bookmarkStart w:id="28" w:name="_Toc15377209"/>
      <w:bookmarkStart w:id="29"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8"/>
      <w:bookmarkEnd w:id="29"/>
      <w:bookmarkStart w:id="30" w:name="_Toc15377210"/>
    </w:p>
    <w:p w14:paraId="14FD32F0">
      <w:pPr>
        <w:spacing w:line="600" w:lineRule="exact"/>
        <w:ind w:left="0" w:leftChars="0" w:firstLine="640" w:firstLineChars="200"/>
        <w:outlineLvl w:val="1"/>
        <w:rPr>
          <w:rFonts w:ascii="楷体_GB2312" w:hAnsi="仿宋" w:eastAsia="楷体_GB2312"/>
          <w:sz w:val="32"/>
          <w:szCs w:val="32"/>
        </w:rPr>
      </w:pPr>
      <w:r>
        <w:rPr>
          <w:rFonts w:hint="eastAsia" w:ascii="楷体_GB2312" w:hAnsi="仿宋" w:eastAsia="楷体_GB2312"/>
          <w:sz w:val="32"/>
          <w:szCs w:val="32"/>
        </w:rPr>
        <w:t>（一）一般公共预算财政拨款支出决算总体情况</w:t>
      </w:r>
      <w:bookmarkEnd w:id="30"/>
      <w:r>
        <w:rPr>
          <w:rFonts w:hint="eastAsia" w:ascii="楷体_GB2312" w:hAnsi="仿宋" w:eastAsia="楷体_GB2312"/>
          <w:sz w:val="32"/>
          <w:szCs w:val="32"/>
        </w:rPr>
        <w:t>。</w:t>
      </w:r>
    </w:p>
    <w:p w14:paraId="00B678B3">
      <w:pPr>
        <w:spacing w:line="600" w:lineRule="exact"/>
        <w:ind w:left="0" w:leftChars="0" w:firstLine="640" w:firstLineChars="200"/>
        <w:outlineLvl w:val="1"/>
        <w:rPr>
          <w:rFonts w:eastAsia="仿宋_GB2312"/>
          <w:sz w:val="32"/>
          <w:szCs w:val="32"/>
        </w:rPr>
      </w:pPr>
      <w:r>
        <w:rPr>
          <w:rFonts w:hint="eastAsia" w:eastAsia="仿宋_GB2312"/>
          <w:sz w:val="32"/>
          <w:szCs w:val="32"/>
        </w:rPr>
        <w:t>2023年度一般公共预算财政拨款支出</w:t>
      </w:r>
      <w:r>
        <w:rPr>
          <w:rFonts w:eastAsia="仿宋_GB2312"/>
          <w:sz w:val="32"/>
          <w:szCs w:val="32"/>
        </w:rPr>
        <w:t>15432.85</w:t>
      </w:r>
      <w:r>
        <w:rPr>
          <w:rFonts w:hint="eastAsia" w:eastAsia="仿宋_GB2312"/>
          <w:sz w:val="32"/>
          <w:szCs w:val="32"/>
        </w:rPr>
        <w:t>万元，占本年支出合计的</w:t>
      </w:r>
      <w:r>
        <w:rPr>
          <w:rFonts w:eastAsia="仿宋_GB2312"/>
          <w:sz w:val="32"/>
          <w:szCs w:val="32"/>
        </w:rPr>
        <w:t>66.06%</w:t>
      </w:r>
      <w:r>
        <w:rPr>
          <w:rFonts w:hint="eastAsia" w:eastAsia="仿宋_GB2312"/>
          <w:sz w:val="32"/>
          <w:szCs w:val="32"/>
        </w:rPr>
        <w:t>。与2022年度相比，一般公共预算财政拨款支出增加327.05万元，增长2.17</w:t>
      </w:r>
      <w:r>
        <w:rPr>
          <w:rFonts w:eastAsia="仿宋_GB2312"/>
          <w:sz w:val="32"/>
          <w:szCs w:val="32"/>
        </w:rPr>
        <w:t>%</w:t>
      </w:r>
      <w:r>
        <w:rPr>
          <w:rFonts w:hint="eastAsia" w:eastAsia="仿宋_GB2312"/>
          <w:sz w:val="32"/>
          <w:szCs w:val="32"/>
        </w:rPr>
        <w:t>。主要变动原因是财政逐年加大对农业的投入。</w:t>
      </w:r>
    </w:p>
    <w:p w14:paraId="1DFB38A4">
      <w:pPr>
        <w:ind w:left="420" w:firstLine="473"/>
      </w:pPr>
    </w:p>
    <w:p w14:paraId="1D56F8FB">
      <w:pPr>
        <w:spacing w:line="560" w:lineRule="exact"/>
        <w:ind w:left="0" w:leftChars="0" w:firstLine="0" w:firstLineChars="0"/>
        <w:jc w:val="center"/>
      </w:pPr>
      <w:r>
        <w:rPr>
          <w:rFonts w:hint="eastAsia" w:ascii="仿宋" w:hAnsi="仿宋" w:eastAsia="仿宋"/>
          <w:sz w:val="32"/>
          <w:szCs w:val="32"/>
        </w:rPr>
        <w:t>（图5：一般公共预算财政拨款支出决算变动情况）（柱状图）</w:t>
      </w:r>
    </w:p>
    <w:p w14:paraId="005BCD87">
      <w:pPr>
        <w:pStyle w:val="2"/>
        <w:ind w:left="199" w:leftChars="95" w:firstLine="224" w:firstLineChars="93"/>
        <w:rPr>
          <w:rFonts w:ascii="仿宋" w:hAnsi="仿宋" w:eastAsia="仿宋"/>
          <w:sz w:val="32"/>
          <w:szCs w:val="32"/>
        </w:rPr>
      </w:pPr>
      <w:r>
        <w:drawing>
          <wp:inline distT="0" distB="0" distL="0" distR="0">
            <wp:extent cx="4943475" cy="1800225"/>
            <wp:effectExtent l="19050" t="0" r="9525"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80CEC25">
      <w:pPr>
        <w:spacing w:line="560" w:lineRule="exact"/>
        <w:ind w:left="0" w:leftChars="0" w:firstLine="640" w:firstLineChars="200"/>
        <w:outlineLvl w:val="2"/>
        <w:rPr>
          <w:rFonts w:ascii="楷体_GB2312" w:hAnsi="仿宋" w:eastAsia="楷体_GB2312"/>
          <w:sz w:val="32"/>
          <w:szCs w:val="32"/>
        </w:rPr>
      </w:pPr>
      <w:bookmarkStart w:id="31" w:name="_Toc15377211"/>
      <w:r>
        <w:rPr>
          <w:rFonts w:hint="eastAsia" w:ascii="楷体_GB2312" w:hAnsi="仿宋" w:eastAsia="楷体_GB2312"/>
          <w:sz w:val="32"/>
          <w:szCs w:val="32"/>
        </w:rPr>
        <w:t>（二）一般公共预算财政拨款支出决算结构情况</w:t>
      </w:r>
      <w:bookmarkEnd w:id="31"/>
      <w:r>
        <w:rPr>
          <w:rFonts w:hint="eastAsia" w:ascii="楷体_GB2312" w:hAnsi="仿宋" w:eastAsia="楷体_GB2312"/>
          <w:sz w:val="32"/>
          <w:szCs w:val="32"/>
        </w:rPr>
        <w:t>。</w:t>
      </w:r>
    </w:p>
    <w:p w14:paraId="3EF53C77">
      <w:pPr>
        <w:spacing w:line="560" w:lineRule="exact"/>
        <w:ind w:left="0" w:leftChars="0" w:firstLine="640" w:firstLineChars="200"/>
        <w:outlineLvl w:val="1"/>
        <w:rPr>
          <w:rFonts w:eastAsia="仿宋_GB2312"/>
          <w:sz w:val="32"/>
          <w:szCs w:val="32"/>
        </w:rPr>
      </w:pPr>
      <w:r>
        <w:rPr>
          <w:rFonts w:hint="eastAsia" w:eastAsia="仿宋_GB2312"/>
          <w:sz w:val="32"/>
          <w:szCs w:val="32"/>
        </w:rPr>
        <w:t>2023年度一般公共预算财政拨款支出</w:t>
      </w:r>
      <w:r>
        <w:rPr>
          <w:rFonts w:eastAsia="仿宋_GB2312"/>
          <w:sz w:val="32"/>
          <w:szCs w:val="32"/>
        </w:rPr>
        <w:t>15432.85</w:t>
      </w:r>
      <w:r>
        <w:rPr>
          <w:rFonts w:hint="eastAsia" w:eastAsia="仿宋_GB2312"/>
          <w:sz w:val="32"/>
          <w:szCs w:val="32"/>
        </w:rPr>
        <w:t>万元，主要用于以下方面</w:t>
      </w:r>
      <w:r>
        <w:rPr>
          <w:rFonts w:eastAsia="仿宋_GB2312"/>
          <w:sz w:val="32"/>
          <w:szCs w:val="32"/>
        </w:rPr>
        <w:t>:</w:t>
      </w:r>
      <w:r>
        <w:rPr>
          <w:rFonts w:hint="eastAsia" w:eastAsia="仿宋_GB2312"/>
          <w:sz w:val="32"/>
          <w:szCs w:val="32"/>
        </w:rPr>
        <w:t xml:space="preserve"> 社会保障和就业支出427万元，占2.76</w:t>
      </w:r>
      <w:r>
        <w:rPr>
          <w:rFonts w:eastAsia="仿宋_GB2312"/>
          <w:sz w:val="32"/>
          <w:szCs w:val="32"/>
        </w:rPr>
        <w:t>%</w:t>
      </w:r>
      <w:r>
        <w:rPr>
          <w:rFonts w:hint="eastAsia" w:eastAsia="仿宋_GB2312"/>
          <w:sz w:val="32"/>
          <w:szCs w:val="32"/>
        </w:rPr>
        <w:t>；卫生健康支出166.3万元，占1.08</w:t>
      </w:r>
      <w:r>
        <w:rPr>
          <w:rFonts w:eastAsia="仿宋_GB2312"/>
          <w:sz w:val="32"/>
          <w:szCs w:val="32"/>
        </w:rPr>
        <w:t>%</w:t>
      </w:r>
      <w:r>
        <w:rPr>
          <w:rFonts w:hint="eastAsia" w:eastAsia="仿宋_GB2312"/>
          <w:sz w:val="32"/>
          <w:szCs w:val="32"/>
        </w:rPr>
        <w:t>；农林水支出14688.66万元，占95.18</w:t>
      </w:r>
      <w:r>
        <w:rPr>
          <w:rFonts w:eastAsia="仿宋_GB2312"/>
          <w:sz w:val="32"/>
          <w:szCs w:val="32"/>
        </w:rPr>
        <w:t>%</w:t>
      </w:r>
      <w:r>
        <w:rPr>
          <w:rFonts w:hint="eastAsia" w:eastAsia="仿宋_GB2312"/>
          <w:sz w:val="32"/>
          <w:szCs w:val="32"/>
        </w:rPr>
        <w:t>；住房保障支出148.3万元，占0.96</w:t>
      </w:r>
      <w:r>
        <w:rPr>
          <w:rFonts w:eastAsia="仿宋_GB2312"/>
          <w:sz w:val="32"/>
          <w:szCs w:val="32"/>
        </w:rPr>
        <w:t>%</w:t>
      </w:r>
      <w:r>
        <w:rPr>
          <w:rFonts w:hint="eastAsia" w:eastAsia="仿宋_GB2312"/>
          <w:sz w:val="32"/>
          <w:szCs w:val="32"/>
        </w:rPr>
        <w:t>；其他支出2.59万元，占0.02</w:t>
      </w:r>
      <w:r>
        <w:rPr>
          <w:rFonts w:eastAsia="仿宋_GB2312"/>
          <w:sz w:val="32"/>
          <w:szCs w:val="32"/>
        </w:rPr>
        <w:t>%</w:t>
      </w:r>
      <w:r>
        <w:rPr>
          <w:rFonts w:hint="eastAsia" w:eastAsia="仿宋_GB2312"/>
          <w:sz w:val="32"/>
          <w:szCs w:val="32"/>
        </w:rPr>
        <w:t>。</w:t>
      </w:r>
    </w:p>
    <w:p w14:paraId="3428DF98">
      <w:pPr>
        <w:spacing w:line="560" w:lineRule="exact"/>
        <w:ind w:left="0" w:leftChars="0" w:firstLine="0" w:firstLineChars="0"/>
      </w:pPr>
      <w:r>
        <w:rPr>
          <w:rFonts w:hint="eastAsia" w:ascii="仿宋" w:hAnsi="仿宋" w:eastAsia="仿宋"/>
          <w:sz w:val="32"/>
          <w:szCs w:val="32"/>
        </w:rPr>
        <w:t>（图6：一般公共预算财政拨款支出决算结构）（饼状图）</w:t>
      </w:r>
    </w:p>
    <w:p w14:paraId="26ED4FF1">
      <w:pPr>
        <w:pStyle w:val="2"/>
        <w:ind w:left="0" w:leftChars="0" w:firstLine="0" w:firstLineChars="0"/>
      </w:pPr>
      <w:r>
        <w:drawing>
          <wp:inline distT="0" distB="0" distL="0" distR="0">
            <wp:extent cx="5274310" cy="2587625"/>
            <wp:effectExtent l="19050" t="0" r="21590" b="3064"/>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6EFF050">
      <w:pPr>
        <w:spacing w:line="600" w:lineRule="exact"/>
        <w:ind w:left="0" w:leftChars="0" w:firstLine="0" w:firstLineChars="0"/>
        <w:outlineLvl w:val="2"/>
        <w:rPr>
          <w:rFonts w:ascii="仿宋" w:hAnsi="仿宋" w:eastAsia="仿宋"/>
          <w:b/>
          <w:sz w:val="32"/>
          <w:szCs w:val="32"/>
        </w:rPr>
      </w:pPr>
      <w:bookmarkStart w:id="32" w:name="_Toc15377212"/>
    </w:p>
    <w:p w14:paraId="45D67220">
      <w:pPr>
        <w:spacing w:line="560" w:lineRule="exact"/>
        <w:ind w:left="0" w:leftChars="0" w:firstLine="640" w:firstLineChars="200"/>
        <w:outlineLvl w:val="2"/>
        <w:rPr>
          <w:rFonts w:ascii="楷体_GB2312" w:hAnsi="仿宋" w:eastAsia="楷体_GB2312"/>
          <w:sz w:val="32"/>
          <w:szCs w:val="32"/>
        </w:rPr>
      </w:pPr>
      <w:r>
        <w:rPr>
          <w:rFonts w:hint="eastAsia" w:ascii="楷体_GB2312" w:hAnsi="仿宋" w:eastAsia="楷体_GB2312"/>
          <w:sz w:val="32"/>
          <w:szCs w:val="32"/>
        </w:rPr>
        <w:t>（三）一般公共预算财政拨款支出决算具体情况</w:t>
      </w:r>
      <w:bookmarkEnd w:id="32"/>
      <w:bookmarkStart w:id="33" w:name="_Toc15378460"/>
      <w:bookmarkStart w:id="34" w:name="_Toc15377444"/>
      <w:bookmarkStart w:id="35" w:name="_Toc15377213"/>
      <w:r>
        <w:rPr>
          <w:rFonts w:hint="eastAsia" w:ascii="楷体_GB2312" w:hAnsi="仿宋" w:eastAsia="楷体_GB2312"/>
          <w:sz w:val="32"/>
          <w:szCs w:val="32"/>
        </w:rPr>
        <w:t>。</w:t>
      </w:r>
    </w:p>
    <w:p w14:paraId="120C8A14">
      <w:pPr>
        <w:spacing w:line="560" w:lineRule="exact"/>
        <w:ind w:left="0" w:leftChars="0" w:firstLine="640" w:firstLineChars="200"/>
        <w:outlineLvl w:val="1"/>
        <w:rPr>
          <w:rFonts w:eastAsia="仿宋_GB2312"/>
          <w:sz w:val="32"/>
          <w:szCs w:val="32"/>
        </w:rPr>
      </w:pPr>
      <w:r>
        <w:rPr>
          <w:rFonts w:hint="eastAsia" w:eastAsia="仿宋_GB2312"/>
          <w:sz w:val="32"/>
          <w:szCs w:val="32"/>
        </w:rPr>
        <w:t>2023年度一般公共预算支出决算数为</w:t>
      </w:r>
      <w:r>
        <w:rPr>
          <w:rFonts w:eastAsia="仿宋_GB2312"/>
          <w:sz w:val="32"/>
          <w:szCs w:val="32"/>
        </w:rPr>
        <w:t>15432.85</w:t>
      </w:r>
      <w:r>
        <w:rPr>
          <w:rFonts w:hint="eastAsia" w:eastAsia="仿宋_GB2312"/>
          <w:sz w:val="32"/>
          <w:szCs w:val="32"/>
        </w:rPr>
        <w:t>，</w:t>
      </w:r>
      <w:r>
        <w:rPr>
          <w:rFonts w:hint="eastAsia" w:eastAsia="仿宋_GB2312"/>
          <w:b/>
          <w:sz w:val="32"/>
          <w:szCs w:val="32"/>
        </w:rPr>
        <w:t>完成预算100</w:t>
      </w:r>
      <w:r>
        <w:rPr>
          <w:rFonts w:eastAsia="仿宋_GB2312"/>
          <w:b/>
          <w:sz w:val="32"/>
          <w:szCs w:val="32"/>
        </w:rPr>
        <w:t>%</w:t>
      </w:r>
      <w:r>
        <w:rPr>
          <w:rFonts w:hint="eastAsia" w:eastAsia="仿宋_GB2312"/>
          <w:b/>
          <w:sz w:val="32"/>
          <w:szCs w:val="32"/>
        </w:rPr>
        <w:t>。其中：</w:t>
      </w:r>
      <w:bookmarkEnd w:id="33"/>
      <w:bookmarkEnd w:id="34"/>
      <w:bookmarkEnd w:id="35"/>
    </w:p>
    <w:p w14:paraId="65DDAFA5">
      <w:pPr>
        <w:spacing w:line="560" w:lineRule="exact"/>
        <w:ind w:left="0" w:leftChars="0" w:firstLine="640" w:firstLineChars="200"/>
        <w:outlineLvl w:val="1"/>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社会保障和就业（208类）行政事业单位养老支出（05款）行政单位离退休（01项）：支出决算为65.29万元，完成预算100</w:t>
      </w:r>
      <w:r>
        <w:rPr>
          <w:rFonts w:eastAsia="仿宋_GB2312"/>
          <w:sz w:val="32"/>
          <w:szCs w:val="32"/>
        </w:rPr>
        <w:t>%</w:t>
      </w:r>
      <w:r>
        <w:rPr>
          <w:rFonts w:hint="eastAsia" w:eastAsia="仿宋_GB2312"/>
          <w:sz w:val="32"/>
          <w:szCs w:val="32"/>
        </w:rPr>
        <w:t>。</w:t>
      </w:r>
    </w:p>
    <w:p w14:paraId="50CA463B">
      <w:pPr>
        <w:spacing w:line="560" w:lineRule="exact"/>
        <w:ind w:left="0" w:leftChars="0" w:firstLine="640" w:firstLineChars="200"/>
        <w:outlineLvl w:val="1"/>
        <w:rPr>
          <w:rFonts w:eastAsia="仿宋_GB2312"/>
          <w:sz w:val="32"/>
          <w:szCs w:val="32"/>
        </w:rPr>
      </w:pPr>
      <w:r>
        <w:rPr>
          <w:rFonts w:hint="eastAsia" w:eastAsia="仿宋_GB2312"/>
          <w:sz w:val="32"/>
          <w:szCs w:val="32"/>
        </w:rPr>
        <w:t>2.社会保障和就业（208类）行政事业单位养老支出（05款）事业单位离退休（02项）：支出决算为74.59万元，完成预算100</w:t>
      </w:r>
      <w:r>
        <w:rPr>
          <w:rFonts w:eastAsia="仿宋_GB2312"/>
          <w:sz w:val="32"/>
          <w:szCs w:val="32"/>
        </w:rPr>
        <w:t>%</w:t>
      </w:r>
      <w:r>
        <w:rPr>
          <w:rFonts w:hint="eastAsia" w:eastAsia="仿宋_GB2312"/>
          <w:sz w:val="32"/>
          <w:szCs w:val="32"/>
        </w:rPr>
        <w:t>。</w:t>
      </w:r>
    </w:p>
    <w:p w14:paraId="74E2FEA6">
      <w:pPr>
        <w:spacing w:line="560" w:lineRule="exact"/>
        <w:ind w:left="0" w:leftChars="0" w:firstLine="640" w:firstLineChars="200"/>
        <w:outlineLvl w:val="1"/>
        <w:rPr>
          <w:rFonts w:eastAsia="仿宋_GB2312"/>
          <w:sz w:val="32"/>
          <w:szCs w:val="32"/>
        </w:rPr>
      </w:pPr>
      <w:r>
        <w:rPr>
          <w:rFonts w:hint="eastAsia" w:eastAsia="仿宋_GB2312"/>
          <w:sz w:val="32"/>
          <w:szCs w:val="32"/>
        </w:rPr>
        <w:t>3.社会保障和就业（208类）行政事业单位养老支出（05款）机关事业单位基本养老保险缴费支出（05项）：支出决算为211.76万元，完成预算100</w:t>
      </w:r>
      <w:r>
        <w:rPr>
          <w:rFonts w:eastAsia="仿宋_GB2312"/>
          <w:sz w:val="32"/>
          <w:szCs w:val="32"/>
        </w:rPr>
        <w:t>%</w:t>
      </w:r>
      <w:r>
        <w:rPr>
          <w:rFonts w:hint="eastAsia" w:eastAsia="仿宋_GB2312"/>
          <w:sz w:val="32"/>
          <w:szCs w:val="32"/>
        </w:rPr>
        <w:t>。</w:t>
      </w:r>
    </w:p>
    <w:p w14:paraId="233010C8">
      <w:pPr>
        <w:spacing w:line="560" w:lineRule="exact"/>
        <w:ind w:left="0" w:leftChars="0" w:firstLine="640" w:firstLineChars="200"/>
        <w:outlineLvl w:val="1"/>
        <w:rPr>
          <w:rFonts w:eastAsia="仿宋_GB2312"/>
          <w:sz w:val="32"/>
          <w:szCs w:val="32"/>
        </w:rPr>
      </w:pPr>
      <w:r>
        <w:rPr>
          <w:rFonts w:hint="eastAsia" w:eastAsia="仿宋_GB2312"/>
          <w:sz w:val="32"/>
          <w:szCs w:val="32"/>
        </w:rPr>
        <w:t>4.社会保障和就业（208类）行政事业单位养老支出（05款）机关事业单位职业年金缴费支出（06项）：支出决算为16.07万元，完成预算100</w:t>
      </w:r>
      <w:r>
        <w:rPr>
          <w:rFonts w:eastAsia="仿宋_GB2312"/>
          <w:sz w:val="32"/>
          <w:szCs w:val="32"/>
        </w:rPr>
        <w:t>%</w:t>
      </w:r>
      <w:r>
        <w:rPr>
          <w:rFonts w:hint="eastAsia" w:eastAsia="仿宋_GB2312"/>
          <w:sz w:val="32"/>
          <w:szCs w:val="32"/>
        </w:rPr>
        <w:t>。</w:t>
      </w:r>
    </w:p>
    <w:p w14:paraId="107ECD2A">
      <w:pPr>
        <w:spacing w:line="560" w:lineRule="exact"/>
        <w:ind w:left="0" w:leftChars="0" w:firstLine="640" w:firstLineChars="200"/>
        <w:outlineLvl w:val="1"/>
        <w:rPr>
          <w:rFonts w:eastAsia="仿宋_GB2312"/>
          <w:sz w:val="32"/>
          <w:szCs w:val="32"/>
        </w:rPr>
      </w:pPr>
      <w:r>
        <w:rPr>
          <w:rFonts w:hint="eastAsia" w:eastAsia="仿宋_GB2312"/>
          <w:sz w:val="32"/>
          <w:szCs w:val="32"/>
        </w:rPr>
        <w:t>5</w:t>
      </w:r>
      <w:r>
        <w:rPr>
          <w:rFonts w:eastAsia="仿宋_GB2312"/>
          <w:sz w:val="32"/>
          <w:szCs w:val="32"/>
        </w:rPr>
        <w:t>.</w:t>
      </w:r>
      <w:r>
        <w:rPr>
          <w:rFonts w:hint="eastAsia" w:eastAsia="仿宋_GB2312"/>
          <w:sz w:val="32"/>
          <w:szCs w:val="32"/>
        </w:rPr>
        <w:t xml:space="preserve"> 社会保障和就业（208类）抚恤（08款）死亡抚恤（01项）支出决算为56.06万元，完成预算100</w:t>
      </w:r>
      <w:r>
        <w:rPr>
          <w:rFonts w:eastAsia="仿宋_GB2312"/>
          <w:sz w:val="32"/>
          <w:szCs w:val="32"/>
        </w:rPr>
        <w:t>%</w:t>
      </w:r>
      <w:r>
        <w:rPr>
          <w:rFonts w:hint="eastAsia" w:eastAsia="仿宋_GB2312"/>
          <w:sz w:val="32"/>
          <w:szCs w:val="32"/>
        </w:rPr>
        <w:t>。</w:t>
      </w:r>
    </w:p>
    <w:p w14:paraId="1412124C">
      <w:pPr>
        <w:spacing w:line="560" w:lineRule="exact"/>
        <w:ind w:left="0" w:leftChars="0" w:firstLine="640" w:firstLineChars="200"/>
        <w:outlineLvl w:val="1"/>
        <w:rPr>
          <w:rFonts w:eastAsia="仿宋_GB2312"/>
          <w:sz w:val="32"/>
          <w:szCs w:val="32"/>
        </w:rPr>
      </w:pPr>
      <w:r>
        <w:rPr>
          <w:rFonts w:hint="eastAsia" w:eastAsia="仿宋_GB2312"/>
          <w:sz w:val="32"/>
          <w:szCs w:val="32"/>
        </w:rPr>
        <w:t>6. 社会保障和就业（208类）抚恤（08款）伤残抚恤（02项）支出决算为3.22万元，完成预算100</w:t>
      </w:r>
      <w:r>
        <w:rPr>
          <w:rFonts w:eastAsia="仿宋_GB2312"/>
          <w:sz w:val="32"/>
          <w:szCs w:val="32"/>
        </w:rPr>
        <w:t>%</w:t>
      </w:r>
      <w:r>
        <w:rPr>
          <w:rFonts w:hint="eastAsia" w:eastAsia="仿宋_GB2312"/>
          <w:sz w:val="32"/>
          <w:szCs w:val="32"/>
        </w:rPr>
        <w:t>。</w:t>
      </w:r>
    </w:p>
    <w:p w14:paraId="6216CFB1">
      <w:pPr>
        <w:spacing w:line="560" w:lineRule="exact"/>
        <w:ind w:left="0" w:leftChars="0" w:firstLine="640" w:firstLineChars="200"/>
        <w:outlineLvl w:val="1"/>
        <w:rPr>
          <w:rFonts w:eastAsia="仿宋_GB2312"/>
          <w:sz w:val="32"/>
          <w:szCs w:val="32"/>
        </w:rPr>
      </w:pPr>
      <w:r>
        <w:rPr>
          <w:rFonts w:hint="eastAsia" w:eastAsia="仿宋_GB2312"/>
          <w:sz w:val="32"/>
          <w:szCs w:val="32"/>
        </w:rPr>
        <w:t>7.卫生健康（210类）行政事业单位医疗（11款）行政单位医疗（01项）：支出决算为45.85万元，完成预算100</w:t>
      </w:r>
      <w:r>
        <w:rPr>
          <w:rFonts w:eastAsia="仿宋_GB2312"/>
          <w:sz w:val="32"/>
          <w:szCs w:val="32"/>
        </w:rPr>
        <w:t>%</w:t>
      </w:r>
      <w:r>
        <w:rPr>
          <w:rFonts w:hint="eastAsia" w:eastAsia="仿宋_GB2312"/>
          <w:sz w:val="32"/>
          <w:szCs w:val="32"/>
        </w:rPr>
        <w:t>。</w:t>
      </w:r>
    </w:p>
    <w:p w14:paraId="1441393B">
      <w:pPr>
        <w:spacing w:line="560" w:lineRule="exact"/>
        <w:ind w:left="0" w:leftChars="0" w:firstLine="640" w:firstLineChars="200"/>
        <w:outlineLvl w:val="1"/>
        <w:rPr>
          <w:rFonts w:eastAsia="仿宋_GB2312"/>
          <w:sz w:val="32"/>
          <w:szCs w:val="32"/>
        </w:rPr>
      </w:pPr>
      <w:r>
        <w:rPr>
          <w:rFonts w:hint="eastAsia" w:eastAsia="仿宋_GB2312"/>
          <w:sz w:val="32"/>
          <w:szCs w:val="32"/>
        </w:rPr>
        <w:t>8.卫生健康（210类）行政事业单位医疗（11款）事业单位医疗（02项）：支出决算为55.22万元，完成预算100</w:t>
      </w:r>
      <w:r>
        <w:rPr>
          <w:rFonts w:eastAsia="仿宋_GB2312"/>
          <w:sz w:val="32"/>
          <w:szCs w:val="32"/>
        </w:rPr>
        <w:t>%</w:t>
      </w:r>
      <w:r>
        <w:rPr>
          <w:rFonts w:hint="eastAsia" w:eastAsia="仿宋_GB2312"/>
          <w:sz w:val="32"/>
          <w:szCs w:val="32"/>
        </w:rPr>
        <w:t>。</w:t>
      </w:r>
    </w:p>
    <w:p w14:paraId="21943D74">
      <w:pPr>
        <w:spacing w:line="560" w:lineRule="exact"/>
        <w:ind w:left="0" w:leftChars="0" w:firstLine="640" w:firstLineChars="200"/>
        <w:outlineLvl w:val="1"/>
        <w:rPr>
          <w:rFonts w:eastAsia="仿宋_GB2312"/>
          <w:sz w:val="32"/>
          <w:szCs w:val="32"/>
        </w:rPr>
      </w:pPr>
      <w:r>
        <w:rPr>
          <w:rFonts w:hint="eastAsia" w:eastAsia="仿宋_GB2312"/>
          <w:sz w:val="32"/>
          <w:szCs w:val="32"/>
        </w:rPr>
        <w:t>9.卫生健康（210类）行政事业单位医疗（11款）公务员医疗补助（03项）：支出决算为13.9万元，完成预算100</w:t>
      </w:r>
      <w:r>
        <w:rPr>
          <w:rFonts w:eastAsia="仿宋_GB2312"/>
          <w:sz w:val="32"/>
          <w:szCs w:val="32"/>
        </w:rPr>
        <w:t>%</w:t>
      </w:r>
      <w:r>
        <w:rPr>
          <w:rFonts w:hint="eastAsia" w:eastAsia="仿宋_GB2312"/>
          <w:sz w:val="32"/>
          <w:szCs w:val="32"/>
        </w:rPr>
        <w:t>。</w:t>
      </w:r>
    </w:p>
    <w:p w14:paraId="72DBB824">
      <w:pPr>
        <w:spacing w:line="560" w:lineRule="exact"/>
        <w:ind w:left="0" w:leftChars="0" w:firstLine="640" w:firstLineChars="200"/>
        <w:outlineLvl w:val="1"/>
        <w:rPr>
          <w:rFonts w:eastAsia="仿宋_GB2312"/>
          <w:sz w:val="32"/>
          <w:szCs w:val="32"/>
        </w:rPr>
      </w:pPr>
      <w:r>
        <w:rPr>
          <w:rFonts w:hint="eastAsia" w:eastAsia="仿宋_GB2312"/>
          <w:sz w:val="32"/>
          <w:szCs w:val="32"/>
        </w:rPr>
        <w:t>10.卫生健康（210类）行政事业单位医疗（11款）其他行政事业单位医疗支出（99项）：支出决算为51.34万元，完成预算100</w:t>
      </w:r>
      <w:r>
        <w:rPr>
          <w:rFonts w:eastAsia="仿宋_GB2312"/>
          <w:sz w:val="32"/>
          <w:szCs w:val="32"/>
        </w:rPr>
        <w:t>%</w:t>
      </w:r>
      <w:r>
        <w:rPr>
          <w:rFonts w:hint="eastAsia" w:eastAsia="仿宋_GB2312"/>
          <w:sz w:val="32"/>
          <w:szCs w:val="32"/>
        </w:rPr>
        <w:t>。</w:t>
      </w:r>
    </w:p>
    <w:p w14:paraId="087D8849">
      <w:pPr>
        <w:spacing w:line="560" w:lineRule="exact"/>
        <w:ind w:left="0" w:leftChars="0" w:firstLine="640" w:firstLineChars="200"/>
        <w:outlineLvl w:val="1"/>
        <w:rPr>
          <w:rFonts w:eastAsia="仿宋_GB2312"/>
          <w:sz w:val="32"/>
          <w:szCs w:val="32"/>
        </w:rPr>
      </w:pPr>
      <w:r>
        <w:rPr>
          <w:rFonts w:hint="eastAsia" w:eastAsia="仿宋_GB2312"/>
          <w:sz w:val="32"/>
          <w:szCs w:val="32"/>
        </w:rPr>
        <w:t>11.农林水支出（213类）农业农村（01款）行政运行（01项）：支出决算为761.04万元，完成预算100</w:t>
      </w:r>
      <w:r>
        <w:rPr>
          <w:rFonts w:eastAsia="仿宋_GB2312"/>
          <w:sz w:val="32"/>
          <w:szCs w:val="32"/>
        </w:rPr>
        <w:t>%</w:t>
      </w:r>
      <w:r>
        <w:rPr>
          <w:rFonts w:hint="eastAsia" w:eastAsia="仿宋_GB2312"/>
          <w:sz w:val="32"/>
          <w:szCs w:val="32"/>
        </w:rPr>
        <w:t>。</w:t>
      </w:r>
    </w:p>
    <w:p w14:paraId="05B266FB">
      <w:pPr>
        <w:spacing w:line="560" w:lineRule="exact"/>
        <w:ind w:left="0" w:leftChars="0" w:firstLine="640" w:firstLineChars="200"/>
        <w:outlineLvl w:val="1"/>
        <w:rPr>
          <w:rFonts w:eastAsia="仿宋_GB2312"/>
          <w:sz w:val="32"/>
          <w:szCs w:val="32"/>
        </w:rPr>
      </w:pPr>
      <w:r>
        <w:rPr>
          <w:rFonts w:hint="eastAsia" w:eastAsia="仿宋_GB2312"/>
          <w:sz w:val="32"/>
          <w:szCs w:val="32"/>
        </w:rPr>
        <w:t>12.农林水支出（213类）农业农村（01款）事业运行（04项）：支出决算为902.69万元，完成预算100</w:t>
      </w:r>
      <w:r>
        <w:rPr>
          <w:rFonts w:eastAsia="仿宋_GB2312"/>
          <w:sz w:val="32"/>
          <w:szCs w:val="32"/>
        </w:rPr>
        <w:t>%</w:t>
      </w:r>
      <w:r>
        <w:rPr>
          <w:rFonts w:hint="eastAsia" w:eastAsia="仿宋_GB2312"/>
          <w:sz w:val="32"/>
          <w:szCs w:val="32"/>
        </w:rPr>
        <w:t>。</w:t>
      </w:r>
    </w:p>
    <w:p w14:paraId="278A5BA0">
      <w:pPr>
        <w:spacing w:line="560" w:lineRule="exact"/>
        <w:ind w:left="0" w:leftChars="0" w:firstLine="640" w:firstLineChars="200"/>
        <w:outlineLvl w:val="1"/>
        <w:rPr>
          <w:rFonts w:eastAsia="仿宋_GB2312"/>
          <w:sz w:val="32"/>
          <w:szCs w:val="32"/>
        </w:rPr>
      </w:pPr>
      <w:r>
        <w:rPr>
          <w:rFonts w:hint="eastAsia" w:eastAsia="仿宋_GB2312"/>
          <w:sz w:val="32"/>
          <w:szCs w:val="32"/>
        </w:rPr>
        <w:t>13.农林水支出（213类）农业农村（01款）病虫害控制（08项）:支出决算为262.61万元，完成预算100</w:t>
      </w:r>
      <w:r>
        <w:rPr>
          <w:rFonts w:eastAsia="仿宋_GB2312"/>
          <w:sz w:val="32"/>
          <w:szCs w:val="32"/>
        </w:rPr>
        <w:t>%</w:t>
      </w:r>
      <w:r>
        <w:rPr>
          <w:rFonts w:hint="eastAsia" w:eastAsia="仿宋_GB2312"/>
          <w:sz w:val="32"/>
          <w:szCs w:val="32"/>
        </w:rPr>
        <w:t>。</w:t>
      </w:r>
    </w:p>
    <w:p w14:paraId="3C0B4854">
      <w:pPr>
        <w:spacing w:line="560" w:lineRule="exact"/>
        <w:ind w:left="0" w:leftChars="0" w:firstLine="640" w:firstLineChars="200"/>
        <w:outlineLvl w:val="1"/>
        <w:rPr>
          <w:rFonts w:eastAsia="仿宋_GB2312"/>
          <w:sz w:val="32"/>
          <w:szCs w:val="32"/>
        </w:rPr>
      </w:pPr>
      <w:r>
        <w:rPr>
          <w:rFonts w:hint="eastAsia" w:eastAsia="仿宋_GB2312"/>
          <w:sz w:val="32"/>
          <w:szCs w:val="32"/>
        </w:rPr>
        <w:t>14.农林水支出（213类）农业农村（01款）农产品质量安全（09项）：支出决算为26.41万元，完成预算100</w:t>
      </w:r>
      <w:r>
        <w:rPr>
          <w:rFonts w:eastAsia="仿宋_GB2312"/>
          <w:sz w:val="32"/>
          <w:szCs w:val="32"/>
        </w:rPr>
        <w:t>%</w:t>
      </w:r>
      <w:r>
        <w:rPr>
          <w:rFonts w:hint="eastAsia" w:eastAsia="仿宋_GB2312"/>
          <w:sz w:val="32"/>
          <w:szCs w:val="32"/>
        </w:rPr>
        <w:t>。</w:t>
      </w:r>
    </w:p>
    <w:p w14:paraId="5520FC9B">
      <w:pPr>
        <w:spacing w:line="560" w:lineRule="exact"/>
        <w:ind w:left="0" w:leftChars="0" w:firstLine="640" w:firstLineChars="200"/>
        <w:outlineLvl w:val="1"/>
        <w:rPr>
          <w:rFonts w:eastAsia="仿宋_GB2312"/>
          <w:sz w:val="32"/>
          <w:szCs w:val="32"/>
        </w:rPr>
      </w:pPr>
      <w:r>
        <w:rPr>
          <w:rFonts w:hint="eastAsia" w:eastAsia="仿宋_GB2312"/>
          <w:sz w:val="32"/>
          <w:szCs w:val="32"/>
        </w:rPr>
        <w:t>15. 农林水支出（213类）农业农村（01款）行业业务管理（12项）：支出决算为88.95万元，完成预算100</w:t>
      </w:r>
      <w:r>
        <w:rPr>
          <w:rFonts w:eastAsia="仿宋_GB2312"/>
          <w:sz w:val="32"/>
          <w:szCs w:val="32"/>
        </w:rPr>
        <w:t>%</w:t>
      </w:r>
      <w:r>
        <w:rPr>
          <w:rFonts w:hint="eastAsia" w:eastAsia="仿宋_GB2312"/>
          <w:sz w:val="32"/>
          <w:szCs w:val="32"/>
        </w:rPr>
        <w:t>。</w:t>
      </w:r>
    </w:p>
    <w:p w14:paraId="2EAB03FF">
      <w:pPr>
        <w:spacing w:line="560" w:lineRule="exact"/>
        <w:ind w:left="0" w:leftChars="0" w:firstLine="640" w:firstLineChars="200"/>
        <w:outlineLvl w:val="1"/>
        <w:rPr>
          <w:rFonts w:eastAsia="仿宋_GB2312"/>
          <w:sz w:val="32"/>
          <w:szCs w:val="32"/>
        </w:rPr>
      </w:pPr>
      <w:r>
        <w:rPr>
          <w:rFonts w:hint="eastAsia" w:eastAsia="仿宋_GB2312"/>
          <w:sz w:val="32"/>
          <w:szCs w:val="32"/>
        </w:rPr>
        <w:t>16.农林水支出（213类）农业农村（01款）防灾救灾（19项）：支出决算为102.3万元，完成预算100</w:t>
      </w:r>
      <w:r>
        <w:rPr>
          <w:rFonts w:eastAsia="仿宋_GB2312"/>
          <w:sz w:val="32"/>
          <w:szCs w:val="32"/>
        </w:rPr>
        <w:t>%</w:t>
      </w:r>
      <w:r>
        <w:rPr>
          <w:rFonts w:hint="eastAsia" w:eastAsia="仿宋_GB2312"/>
          <w:sz w:val="32"/>
          <w:szCs w:val="32"/>
        </w:rPr>
        <w:t>。</w:t>
      </w:r>
    </w:p>
    <w:p w14:paraId="56D6C5DA">
      <w:pPr>
        <w:spacing w:line="560" w:lineRule="exact"/>
        <w:ind w:left="0" w:leftChars="0" w:firstLine="640" w:firstLineChars="200"/>
        <w:outlineLvl w:val="1"/>
        <w:rPr>
          <w:rFonts w:eastAsia="仿宋_GB2312"/>
          <w:sz w:val="32"/>
          <w:szCs w:val="32"/>
        </w:rPr>
      </w:pPr>
      <w:r>
        <w:rPr>
          <w:rFonts w:hint="eastAsia" w:eastAsia="仿宋_GB2312"/>
          <w:sz w:val="32"/>
          <w:szCs w:val="32"/>
        </w:rPr>
        <w:t>17.农林水支出（213类）农业农村（01款） 农业生产发展（22项）：支出决算为3258.74万元，完成预算100</w:t>
      </w:r>
      <w:r>
        <w:rPr>
          <w:rFonts w:eastAsia="仿宋_GB2312"/>
          <w:sz w:val="32"/>
          <w:szCs w:val="32"/>
        </w:rPr>
        <w:t>%</w:t>
      </w:r>
      <w:r>
        <w:rPr>
          <w:rFonts w:hint="eastAsia" w:eastAsia="仿宋_GB2312"/>
          <w:sz w:val="32"/>
          <w:szCs w:val="32"/>
        </w:rPr>
        <w:t>。</w:t>
      </w:r>
    </w:p>
    <w:p w14:paraId="3FF0E26D">
      <w:pPr>
        <w:spacing w:line="560" w:lineRule="exact"/>
        <w:ind w:left="0" w:leftChars="0" w:firstLine="640" w:firstLineChars="200"/>
        <w:outlineLvl w:val="1"/>
        <w:rPr>
          <w:rFonts w:eastAsia="仿宋_GB2312"/>
          <w:sz w:val="32"/>
          <w:szCs w:val="32"/>
        </w:rPr>
      </w:pPr>
      <w:r>
        <w:rPr>
          <w:rFonts w:hint="eastAsia" w:eastAsia="仿宋_GB2312"/>
          <w:sz w:val="32"/>
          <w:szCs w:val="32"/>
        </w:rPr>
        <w:t>18.农林水支出（213类）农业农村（01款）农业资源保护修复与利用（35项）：支出决算为677.06万元，完成预算100</w:t>
      </w:r>
      <w:r>
        <w:rPr>
          <w:rFonts w:eastAsia="仿宋_GB2312"/>
          <w:sz w:val="32"/>
          <w:szCs w:val="32"/>
        </w:rPr>
        <w:t>%</w:t>
      </w:r>
      <w:r>
        <w:rPr>
          <w:rFonts w:hint="eastAsia" w:eastAsia="仿宋_GB2312"/>
          <w:sz w:val="32"/>
          <w:szCs w:val="32"/>
        </w:rPr>
        <w:t>。</w:t>
      </w:r>
    </w:p>
    <w:p w14:paraId="454A6AE9">
      <w:pPr>
        <w:spacing w:line="560" w:lineRule="exact"/>
        <w:ind w:left="0" w:leftChars="0" w:firstLine="640" w:firstLineChars="200"/>
        <w:outlineLvl w:val="1"/>
        <w:rPr>
          <w:rFonts w:eastAsia="仿宋_GB2312"/>
          <w:sz w:val="32"/>
          <w:szCs w:val="32"/>
        </w:rPr>
      </w:pPr>
      <w:r>
        <w:rPr>
          <w:rFonts w:hint="eastAsia" w:eastAsia="仿宋_GB2312"/>
          <w:sz w:val="32"/>
          <w:szCs w:val="32"/>
        </w:rPr>
        <w:t>19. 农林水支出（213类）农业农村（01款）渔业发展（48项）：支出决算为57.97万元，完成预算100</w:t>
      </w:r>
      <w:r>
        <w:rPr>
          <w:rFonts w:eastAsia="仿宋_GB2312"/>
          <w:sz w:val="32"/>
          <w:szCs w:val="32"/>
        </w:rPr>
        <w:t>%</w:t>
      </w:r>
      <w:r>
        <w:rPr>
          <w:rFonts w:hint="eastAsia" w:eastAsia="仿宋_GB2312"/>
          <w:sz w:val="32"/>
          <w:szCs w:val="32"/>
        </w:rPr>
        <w:t>。</w:t>
      </w:r>
    </w:p>
    <w:p w14:paraId="62EC9BC2">
      <w:pPr>
        <w:spacing w:line="560" w:lineRule="exact"/>
        <w:ind w:left="0" w:leftChars="0" w:firstLine="640" w:firstLineChars="200"/>
        <w:outlineLvl w:val="1"/>
        <w:rPr>
          <w:rFonts w:eastAsia="仿宋_GB2312"/>
          <w:sz w:val="32"/>
          <w:szCs w:val="32"/>
        </w:rPr>
      </w:pPr>
      <w:r>
        <w:rPr>
          <w:rFonts w:hint="eastAsia" w:eastAsia="仿宋_GB2312"/>
          <w:sz w:val="32"/>
          <w:szCs w:val="32"/>
        </w:rPr>
        <w:t>20.农林水支出（213类）农业农村（01款）农田建设（53项）：支出决算为2230.82万元，完成预算100</w:t>
      </w:r>
      <w:r>
        <w:rPr>
          <w:rFonts w:eastAsia="仿宋_GB2312"/>
          <w:sz w:val="32"/>
          <w:szCs w:val="32"/>
        </w:rPr>
        <w:t>%</w:t>
      </w:r>
      <w:r>
        <w:rPr>
          <w:rFonts w:hint="eastAsia" w:eastAsia="仿宋_GB2312"/>
          <w:sz w:val="32"/>
          <w:szCs w:val="32"/>
        </w:rPr>
        <w:t>。</w:t>
      </w:r>
    </w:p>
    <w:p w14:paraId="125CFF4B">
      <w:pPr>
        <w:spacing w:line="560" w:lineRule="exact"/>
        <w:ind w:left="0" w:leftChars="0" w:firstLine="640" w:firstLineChars="200"/>
        <w:outlineLvl w:val="1"/>
        <w:rPr>
          <w:rFonts w:eastAsia="仿宋_GB2312"/>
          <w:sz w:val="32"/>
          <w:szCs w:val="32"/>
        </w:rPr>
      </w:pPr>
      <w:r>
        <w:rPr>
          <w:rFonts w:hint="eastAsia" w:eastAsia="仿宋_GB2312"/>
          <w:sz w:val="32"/>
          <w:szCs w:val="32"/>
        </w:rPr>
        <w:t>21.农林水支出（213类）农业农村（01款）其他农业农村支出（99项）：支出决算为336.84万元，完成预算100</w:t>
      </w:r>
      <w:r>
        <w:rPr>
          <w:rFonts w:eastAsia="仿宋_GB2312"/>
          <w:sz w:val="32"/>
          <w:szCs w:val="32"/>
        </w:rPr>
        <w:t>%</w:t>
      </w:r>
      <w:r>
        <w:rPr>
          <w:rFonts w:hint="eastAsia" w:eastAsia="仿宋_GB2312"/>
          <w:sz w:val="32"/>
          <w:szCs w:val="32"/>
        </w:rPr>
        <w:t>。</w:t>
      </w:r>
    </w:p>
    <w:p w14:paraId="0E0170CB">
      <w:pPr>
        <w:spacing w:line="560" w:lineRule="exact"/>
        <w:ind w:left="0" w:leftChars="0" w:firstLine="640" w:firstLineChars="200"/>
        <w:outlineLvl w:val="1"/>
        <w:rPr>
          <w:rFonts w:eastAsia="仿宋_GB2312"/>
          <w:sz w:val="32"/>
          <w:szCs w:val="32"/>
        </w:rPr>
      </w:pPr>
      <w:r>
        <w:rPr>
          <w:rFonts w:hint="eastAsia" w:eastAsia="仿宋_GB2312"/>
          <w:sz w:val="32"/>
          <w:szCs w:val="32"/>
        </w:rPr>
        <w:t>22.农林水支出（213类）巩固脱贫攻坚成果衔接乡村振兴（05款）其他巩固脱贫攻坚成果衔接乡村振兴支出（99项）：支出决算为574.5万元，完成预算100</w:t>
      </w:r>
      <w:r>
        <w:rPr>
          <w:rFonts w:eastAsia="仿宋_GB2312"/>
          <w:sz w:val="32"/>
          <w:szCs w:val="32"/>
        </w:rPr>
        <w:t>%</w:t>
      </w:r>
      <w:r>
        <w:rPr>
          <w:rFonts w:hint="eastAsia" w:eastAsia="仿宋_GB2312"/>
          <w:sz w:val="32"/>
          <w:szCs w:val="32"/>
        </w:rPr>
        <w:t>。</w:t>
      </w:r>
    </w:p>
    <w:p w14:paraId="12EC8FA6">
      <w:pPr>
        <w:spacing w:line="560" w:lineRule="exact"/>
        <w:ind w:left="0" w:leftChars="0" w:firstLine="640" w:firstLineChars="200"/>
        <w:outlineLvl w:val="1"/>
        <w:rPr>
          <w:rFonts w:eastAsia="仿宋_GB2312"/>
          <w:sz w:val="32"/>
          <w:szCs w:val="32"/>
        </w:rPr>
      </w:pPr>
      <w:r>
        <w:rPr>
          <w:rFonts w:hint="eastAsia" w:eastAsia="仿宋_GB2312"/>
          <w:sz w:val="32"/>
          <w:szCs w:val="32"/>
        </w:rPr>
        <w:t>23.农林水支出（213类）其他农林水支出（99款）其他农林水支出（99项）：支出决算为5408.74万元，完成预算100</w:t>
      </w:r>
      <w:r>
        <w:rPr>
          <w:rFonts w:eastAsia="仿宋_GB2312"/>
          <w:sz w:val="32"/>
          <w:szCs w:val="32"/>
        </w:rPr>
        <w:t>%</w:t>
      </w:r>
      <w:r>
        <w:rPr>
          <w:rFonts w:hint="eastAsia" w:eastAsia="仿宋_GB2312"/>
          <w:sz w:val="32"/>
          <w:szCs w:val="32"/>
        </w:rPr>
        <w:t>。</w:t>
      </w:r>
    </w:p>
    <w:p w14:paraId="3B569CEB">
      <w:pPr>
        <w:spacing w:line="560" w:lineRule="exact"/>
        <w:ind w:left="0" w:leftChars="0" w:firstLine="640" w:firstLineChars="200"/>
        <w:outlineLvl w:val="1"/>
        <w:rPr>
          <w:rFonts w:eastAsia="仿宋_GB2312"/>
          <w:sz w:val="32"/>
          <w:szCs w:val="32"/>
        </w:rPr>
      </w:pPr>
      <w:r>
        <w:rPr>
          <w:rFonts w:hint="eastAsia" w:eastAsia="仿宋_GB2312"/>
          <w:sz w:val="32"/>
          <w:szCs w:val="32"/>
        </w:rPr>
        <w:t>24.住房保障支出（221类）住房改革支出（02款）住房公积金（01项）：支出决算为148.3万元，完成预算100</w:t>
      </w:r>
      <w:r>
        <w:rPr>
          <w:rFonts w:eastAsia="仿宋_GB2312"/>
          <w:sz w:val="32"/>
          <w:szCs w:val="32"/>
        </w:rPr>
        <w:t>%</w:t>
      </w:r>
      <w:r>
        <w:rPr>
          <w:rFonts w:hint="eastAsia" w:eastAsia="仿宋_GB2312"/>
          <w:sz w:val="32"/>
          <w:szCs w:val="32"/>
        </w:rPr>
        <w:t>。</w:t>
      </w:r>
    </w:p>
    <w:p w14:paraId="0B11DB7E">
      <w:pPr>
        <w:spacing w:line="560" w:lineRule="exact"/>
        <w:ind w:left="0" w:leftChars="0" w:firstLine="640" w:firstLineChars="200"/>
        <w:outlineLvl w:val="1"/>
        <w:rPr>
          <w:rFonts w:eastAsia="仿宋_GB2312"/>
          <w:sz w:val="32"/>
          <w:szCs w:val="32"/>
        </w:rPr>
      </w:pPr>
      <w:r>
        <w:rPr>
          <w:rFonts w:hint="eastAsia" w:eastAsia="仿宋_GB2312"/>
          <w:sz w:val="32"/>
          <w:szCs w:val="32"/>
        </w:rPr>
        <w:t>25.其他支出（229类）其他支出（99款）其他支出（99项）：支出决算为2.59万元，完成预算100</w:t>
      </w:r>
      <w:r>
        <w:rPr>
          <w:rFonts w:eastAsia="仿宋_GB2312"/>
          <w:sz w:val="32"/>
          <w:szCs w:val="32"/>
        </w:rPr>
        <w:t>%</w:t>
      </w:r>
      <w:r>
        <w:rPr>
          <w:rFonts w:hint="eastAsia" w:eastAsia="仿宋_GB2312"/>
          <w:sz w:val="32"/>
          <w:szCs w:val="32"/>
        </w:rPr>
        <w:t>。</w:t>
      </w:r>
    </w:p>
    <w:p w14:paraId="24DEBE03">
      <w:pPr>
        <w:tabs>
          <w:tab w:val="right" w:pos="8306"/>
        </w:tabs>
        <w:spacing w:line="560" w:lineRule="exact"/>
        <w:ind w:left="0" w:leftChars="0" w:firstLine="640" w:firstLineChars="200"/>
        <w:outlineLvl w:val="1"/>
        <w:rPr>
          <w:rStyle w:val="28"/>
          <w:rFonts w:ascii="黑体" w:hAnsi="黑体" w:eastAsia="黑体"/>
          <w:b w:val="0"/>
        </w:rPr>
      </w:pPr>
      <w:bookmarkStart w:id="36" w:name="_Toc15377214"/>
      <w:bookmarkStart w:id="37"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6"/>
      <w:bookmarkEnd w:id="37"/>
    </w:p>
    <w:p w14:paraId="4B23119F">
      <w:pPr>
        <w:spacing w:line="560" w:lineRule="exact"/>
        <w:ind w:left="0" w:leftChars="0" w:firstLine="640" w:firstLineChars="200"/>
        <w:outlineLvl w:val="1"/>
        <w:rPr>
          <w:rFonts w:eastAsia="仿宋_GB2312"/>
          <w:sz w:val="32"/>
          <w:szCs w:val="32"/>
        </w:rPr>
      </w:pPr>
      <w:r>
        <w:rPr>
          <w:rFonts w:hint="eastAsia" w:eastAsia="仿宋_GB2312"/>
          <w:sz w:val="32"/>
          <w:szCs w:val="32"/>
        </w:rPr>
        <w:t>2023年度一般公共预算财政拨款基本支出</w:t>
      </w:r>
      <w:r>
        <w:rPr>
          <w:rFonts w:eastAsia="仿宋_GB2312"/>
          <w:sz w:val="32"/>
          <w:szCs w:val="32"/>
        </w:rPr>
        <w:t>2405.33</w:t>
      </w:r>
      <w:r>
        <w:rPr>
          <w:rFonts w:hint="eastAsia" w:eastAsia="仿宋_GB2312"/>
          <w:sz w:val="32"/>
          <w:szCs w:val="32"/>
        </w:rPr>
        <w:t>万元，其中：</w:t>
      </w:r>
    </w:p>
    <w:p w14:paraId="68185405">
      <w:pPr>
        <w:spacing w:line="560" w:lineRule="exact"/>
        <w:ind w:left="0" w:leftChars="0" w:firstLine="640" w:firstLineChars="200"/>
        <w:outlineLvl w:val="1"/>
        <w:rPr>
          <w:rFonts w:eastAsia="仿宋_GB2312"/>
          <w:sz w:val="32"/>
          <w:szCs w:val="32"/>
        </w:rPr>
      </w:pPr>
      <w:r>
        <w:rPr>
          <w:rFonts w:hint="eastAsia" w:eastAsia="仿宋_GB2312"/>
          <w:sz w:val="32"/>
          <w:szCs w:val="32"/>
        </w:rPr>
        <w:t>人员经费</w:t>
      </w:r>
      <w:r>
        <w:rPr>
          <w:rFonts w:eastAsia="仿宋_GB2312"/>
          <w:sz w:val="32"/>
          <w:szCs w:val="32"/>
        </w:rPr>
        <w:t>2246.62</w:t>
      </w:r>
      <w:r>
        <w:rPr>
          <w:rFonts w:hint="eastAsia" w:eastAsia="仿宋_GB2312"/>
          <w:sz w:val="32"/>
          <w:szCs w:val="32"/>
        </w:rPr>
        <w:t>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奖励金、其他对个人和家庭的补助支出等。</w:t>
      </w:r>
      <w:r>
        <w:rPr>
          <w:rFonts w:eastAsia="仿宋_GB2312"/>
          <w:sz w:val="32"/>
          <w:szCs w:val="32"/>
        </w:rPr>
        <w:br w:type="textWrapping"/>
      </w:r>
      <w:r>
        <w:rPr>
          <w:rFonts w:hint="eastAsia" w:eastAsia="仿宋_GB2312"/>
          <w:sz w:val="32"/>
          <w:szCs w:val="32"/>
        </w:rPr>
        <w:t>　　公用经费</w:t>
      </w:r>
      <w:r>
        <w:rPr>
          <w:rFonts w:eastAsia="仿宋_GB2312"/>
          <w:sz w:val="32"/>
          <w:szCs w:val="32"/>
        </w:rPr>
        <w:t>158.71</w:t>
      </w:r>
      <w:r>
        <w:rPr>
          <w:rFonts w:hint="eastAsia" w:eastAsia="仿宋_GB2312"/>
          <w:sz w:val="32"/>
          <w:szCs w:val="32"/>
        </w:rPr>
        <w:t>万元，主要包括：办公费、印刷费、咨询费、水费、电费、差旅费、维修（护）费、租赁费、会议费、培训费、公务接待费、劳务费、委托业务费、工会经费、福利费、公务用车运行维护费、其他交通费、其他商品和服务支出等。</w:t>
      </w:r>
      <w:bookmarkStart w:id="38" w:name="_Toc15396609"/>
      <w:bookmarkStart w:id="39" w:name="_Toc15377215"/>
    </w:p>
    <w:p w14:paraId="07618A4B">
      <w:pPr>
        <w:spacing w:line="560" w:lineRule="exact"/>
        <w:ind w:left="0" w:leftChars="0" w:firstLine="640" w:firstLineChars="200"/>
        <w:outlineLvl w:val="1"/>
        <w:rPr>
          <w:rStyle w:val="28"/>
          <w:rFonts w:ascii="黑体" w:hAnsi="黑体" w:eastAsia="黑体"/>
          <w:b w:val="0"/>
        </w:rPr>
      </w:pPr>
      <w:r>
        <w:rPr>
          <w:rFonts w:hint="eastAsia" w:ascii="黑体" w:hAns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8"/>
      <w:bookmarkEnd w:id="39"/>
      <w:bookmarkStart w:id="40" w:name="_Toc15377216"/>
    </w:p>
    <w:p w14:paraId="3607D65C">
      <w:pPr>
        <w:spacing w:line="560" w:lineRule="exact"/>
        <w:ind w:left="0" w:leftChars="0" w:firstLine="640" w:firstLineChars="200"/>
        <w:outlineLvl w:val="1"/>
        <w:rPr>
          <w:rFonts w:ascii="楷体_GB2312" w:eastAsia="楷体_GB2312"/>
          <w:sz w:val="32"/>
          <w:szCs w:val="32"/>
        </w:rPr>
      </w:pPr>
      <w:r>
        <w:rPr>
          <w:rFonts w:hint="eastAsia" w:ascii="楷体_GB2312" w:eastAsia="楷体_GB2312"/>
          <w:sz w:val="32"/>
          <w:szCs w:val="32"/>
        </w:rPr>
        <w:t>（一）“三公”经费财政拨款支出决算总体情况说明</w:t>
      </w:r>
      <w:bookmarkEnd w:id="40"/>
      <w:r>
        <w:rPr>
          <w:rFonts w:hint="eastAsia" w:ascii="楷体_GB2312" w:eastAsia="楷体_GB2312"/>
          <w:sz w:val="32"/>
          <w:szCs w:val="32"/>
        </w:rPr>
        <w:t>。</w:t>
      </w:r>
    </w:p>
    <w:p w14:paraId="3B2B0360">
      <w:pPr>
        <w:spacing w:line="560" w:lineRule="exact"/>
        <w:ind w:left="0" w:leftChars="0" w:firstLine="640" w:firstLineChars="200"/>
        <w:outlineLvl w:val="1"/>
        <w:rPr>
          <w:rFonts w:eastAsia="仿宋_GB2312"/>
          <w:sz w:val="32"/>
          <w:szCs w:val="32"/>
        </w:rPr>
      </w:pPr>
      <w:r>
        <w:rPr>
          <w:rFonts w:hint="eastAsia" w:eastAsia="仿宋_GB2312"/>
          <w:sz w:val="32"/>
          <w:szCs w:val="32"/>
        </w:rPr>
        <w:t>2023年度“三公”经费财政拨款支出决算为</w:t>
      </w:r>
      <w:r>
        <w:rPr>
          <w:rFonts w:eastAsia="仿宋_GB2312"/>
          <w:sz w:val="32"/>
          <w:szCs w:val="32"/>
        </w:rPr>
        <w:t>5.95</w:t>
      </w:r>
      <w:r>
        <w:rPr>
          <w:rFonts w:hint="eastAsia" w:eastAsia="仿宋_GB2312"/>
          <w:sz w:val="32"/>
          <w:szCs w:val="32"/>
        </w:rPr>
        <w:t>万元，完成预算</w:t>
      </w:r>
      <w:r>
        <w:rPr>
          <w:rFonts w:eastAsia="仿宋_GB2312"/>
          <w:sz w:val="32"/>
          <w:szCs w:val="32"/>
        </w:rPr>
        <w:t>100%</w:t>
      </w:r>
      <w:r>
        <w:rPr>
          <w:rFonts w:hint="eastAsia" w:eastAsia="仿宋_GB2312"/>
          <w:sz w:val="32"/>
          <w:szCs w:val="32"/>
        </w:rPr>
        <w:t>，较上年度</w:t>
      </w:r>
      <w:bookmarkStart w:id="41" w:name="_Toc15377217"/>
      <w:r>
        <w:rPr>
          <w:rFonts w:hint="eastAsia" w:eastAsia="仿宋_GB2312"/>
          <w:sz w:val="32"/>
          <w:szCs w:val="32"/>
        </w:rPr>
        <w:t>减少11.02万元，下降64.94%。决算数小于预算数的主要原因是建立制度严格控制公车出行，严格公务接待开支。</w:t>
      </w:r>
    </w:p>
    <w:p w14:paraId="7718DF6F">
      <w:pPr>
        <w:spacing w:line="560" w:lineRule="exact"/>
        <w:ind w:left="0" w:leftChars="0" w:firstLine="640" w:firstLineChars="200"/>
        <w:outlineLvl w:val="1"/>
        <w:rPr>
          <w:rFonts w:ascii="楷体_GB2312" w:eastAsia="楷体_GB2312"/>
          <w:sz w:val="32"/>
          <w:szCs w:val="32"/>
        </w:rPr>
      </w:pPr>
      <w:r>
        <w:rPr>
          <w:rFonts w:hint="eastAsia" w:ascii="楷体_GB2312" w:eastAsia="楷体_GB2312"/>
          <w:sz w:val="32"/>
          <w:szCs w:val="32"/>
        </w:rPr>
        <w:t>（二）“三公”经费财政拨款支出决算具体情况说明</w:t>
      </w:r>
      <w:bookmarkEnd w:id="41"/>
      <w:r>
        <w:rPr>
          <w:rFonts w:hint="eastAsia" w:ascii="楷体_GB2312" w:eastAsia="楷体_GB2312"/>
          <w:sz w:val="32"/>
          <w:szCs w:val="32"/>
        </w:rPr>
        <w:t>。</w:t>
      </w:r>
    </w:p>
    <w:p w14:paraId="5ACE06DD">
      <w:pPr>
        <w:spacing w:line="560" w:lineRule="exact"/>
        <w:ind w:left="0" w:leftChars="0" w:firstLine="640" w:firstLineChars="200"/>
        <w:outlineLvl w:val="1"/>
        <w:rPr>
          <w:rFonts w:eastAsia="仿宋_GB2312"/>
          <w:sz w:val="32"/>
          <w:szCs w:val="32"/>
        </w:rPr>
      </w:pPr>
      <w:r>
        <w:rPr>
          <w:rFonts w:hint="eastAsia" w:eastAsia="仿宋_GB2312"/>
          <w:sz w:val="32"/>
          <w:szCs w:val="32"/>
        </w:rPr>
        <w:t>2023年度“三公”经费财政拨款支出决算中，因公出国（境）费支出决算</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；公务用车购置及运行维护费支出决算</w:t>
      </w:r>
      <w:r>
        <w:rPr>
          <w:rFonts w:eastAsia="仿宋_GB2312"/>
          <w:sz w:val="32"/>
          <w:szCs w:val="32"/>
        </w:rPr>
        <w:t>4.92</w:t>
      </w:r>
      <w:r>
        <w:rPr>
          <w:rFonts w:hint="eastAsia" w:eastAsia="仿宋_GB2312"/>
          <w:sz w:val="32"/>
          <w:szCs w:val="32"/>
        </w:rPr>
        <w:t>万元，占</w:t>
      </w:r>
      <w:r>
        <w:rPr>
          <w:rFonts w:eastAsia="仿宋_GB2312"/>
          <w:sz w:val="32"/>
          <w:szCs w:val="32"/>
        </w:rPr>
        <w:t>82.7%</w:t>
      </w:r>
      <w:r>
        <w:rPr>
          <w:rFonts w:hint="eastAsia" w:eastAsia="仿宋_GB2312"/>
          <w:sz w:val="32"/>
          <w:szCs w:val="32"/>
        </w:rPr>
        <w:t>；公务接待费支出决算</w:t>
      </w:r>
      <w:r>
        <w:rPr>
          <w:rFonts w:eastAsia="仿宋_GB2312"/>
          <w:sz w:val="32"/>
          <w:szCs w:val="32"/>
        </w:rPr>
        <w:t>1.03</w:t>
      </w:r>
      <w:r>
        <w:rPr>
          <w:rFonts w:hint="eastAsia" w:eastAsia="仿宋_GB2312"/>
          <w:sz w:val="32"/>
          <w:szCs w:val="32"/>
        </w:rPr>
        <w:t>万元，占</w:t>
      </w:r>
      <w:r>
        <w:rPr>
          <w:rFonts w:eastAsia="仿宋_GB2312"/>
          <w:sz w:val="32"/>
          <w:szCs w:val="32"/>
        </w:rPr>
        <w:t>17.29%</w:t>
      </w:r>
      <w:r>
        <w:rPr>
          <w:rFonts w:hint="eastAsia" w:eastAsia="仿宋_GB2312"/>
          <w:sz w:val="32"/>
          <w:szCs w:val="32"/>
        </w:rPr>
        <w:t>。具体情况如下：</w:t>
      </w:r>
    </w:p>
    <w:p w14:paraId="21B8353B">
      <w:pPr>
        <w:spacing w:line="560" w:lineRule="exact"/>
        <w:ind w:left="0" w:leftChars="0" w:firstLine="640" w:firstLineChars="200"/>
        <w:outlineLvl w:val="1"/>
        <w:rPr>
          <w:rFonts w:eastAsia="仿宋_GB2312"/>
          <w:sz w:val="32"/>
          <w:szCs w:val="32"/>
        </w:rPr>
      </w:pPr>
      <w:r>
        <w:rPr>
          <w:rFonts w:hint="eastAsia" w:eastAsia="仿宋_GB2312"/>
          <w:sz w:val="32"/>
          <w:szCs w:val="32"/>
        </w:rPr>
        <w:t>（图7：“三公”经费财政拨款支出结构）（饼状图）</w:t>
      </w:r>
    </w:p>
    <w:p w14:paraId="35CB71F8">
      <w:pPr>
        <w:pStyle w:val="2"/>
        <w:ind w:left="0" w:leftChars="0" w:firstLine="0" w:firstLineChars="0"/>
        <w:jc w:val="center"/>
      </w:pPr>
      <w:r>
        <w:drawing>
          <wp:inline distT="0" distB="0" distL="0" distR="0">
            <wp:extent cx="5162550" cy="2543175"/>
            <wp:effectExtent l="19050" t="0" r="19050"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9711929">
      <w:pPr>
        <w:spacing w:line="560" w:lineRule="exact"/>
        <w:ind w:left="0" w:leftChars="0" w:firstLine="643" w:firstLineChars="20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sz w:val="32"/>
          <w:szCs w:val="32"/>
        </w:rPr>
        <w:t>0</w:t>
      </w:r>
      <w:r>
        <w:rPr>
          <w:rFonts w:hint="eastAsia" w:ascii="仿宋_GB2312" w:eastAsia="仿宋_GB2312"/>
          <w:sz w:val="32"/>
          <w:szCs w:val="32"/>
        </w:rPr>
        <w:t>次，出国（境）</w:t>
      </w:r>
      <w:r>
        <w:rPr>
          <w:sz w:val="32"/>
          <w:szCs w:val="32"/>
        </w:rPr>
        <w:t>0</w:t>
      </w:r>
      <w:r>
        <w:rPr>
          <w:rFonts w:hint="eastAsia" w:ascii="仿宋_GB2312" w:eastAsia="仿宋_GB2312"/>
          <w:sz w:val="32"/>
          <w:szCs w:val="32"/>
        </w:rPr>
        <w:t>人。</w:t>
      </w:r>
    </w:p>
    <w:p w14:paraId="6A5DE1CD">
      <w:pPr>
        <w:spacing w:line="560" w:lineRule="exact"/>
        <w:ind w:left="0" w:leftChars="0" w:firstLine="643" w:firstLineChars="200"/>
        <w:rPr>
          <w:rFonts w:ascii="仿宋_GB2312" w:eastAsia="仿宋_GB2312"/>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4.92</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sz w:val="32"/>
          <w:szCs w:val="32"/>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公务用车购置及运行维护费支出决算比2022年度减少9.37万元，下降65.57</w:t>
      </w:r>
      <w:r>
        <w:rPr>
          <w:rFonts w:ascii="仿宋_GB2312" w:eastAsia="仿宋_GB2312"/>
          <w:sz w:val="32"/>
          <w:szCs w:val="32"/>
        </w:rPr>
        <w:t>%</w:t>
      </w:r>
      <w:r>
        <w:rPr>
          <w:rFonts w:hint="eastAsia" w:ascii="仿宋_GB2312" w:eastAsia="仿宋_GB2312"/>
          <w:sz w:val="32"/>
          <w:szCs w:val="32"/>
        </w:rPr>
        <w:t>。主要原因是建立制度严格控制公车出行。</w:t>
      </w:r>
    </w:p>
    <w:p w14:paraId="5B8F1C28">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sz w:val="32"/>
          <w:szCs w:val="32"/>
        </w:rPr>
        <w:t>0</w:t>
      </w:r>
      <w:r>
        <w:rPr>
          <w:rFonts w:hint="eastAsia" w:ascii="仿宋_GB2312" w:eastAsia="仿宋_GB2312"/>
          <w:sz w:val="32"/>
          <w:szCs w:val="32"/>
        </w:rPr>
        <w:t>万元。全年按规定更新购置公务用车0辆，其中：轿车0辆、金额0万元，越野车0辆、金额0万元，载客汽车0辆、金额0万元。截至2023年</w:t>
      </w:r>
      <w:r>
        <w:rPr>
          <w:rFonts w:ascii="仿宋_GB2312" w:eastAsia="仿宋_GB2312"/>
          <w:sz w:val="32"/>
          <w:szCs w:val="32"/>
        </w:rPr>
        <w:t>12</w:t>
      </w:r>
      <w:r>
        <w:rPr>
          <w:rFonts w:hint="eastAsia" w:ascii="仿宋_GB2312" w:eastAsia="仿宋_GB2312"/>
          <w:sz w:val="32"/>
          <w:szCs w:val="32"/>
        </w:rPr>
        <w:t>月31日，单位共有公务用车5辆，其中：执法执勤用车1辆、特种专业技术用车1辆、其他用车3辆。</w:t>
      </w:r>
    </w:p>
    <w:p w14:paraId="35B1AD40">
      <w:pPr>
        <w:spacing w:line="560" w:lineRule="exact"/>
        <w:ind w:left="0" w:leftChars="0" w:firstLine="643" w:firstLineChars="200"/>
        <w:rPr>
          <w:rFonts w:ascii="仿宋_GB2312" w:eastAsia="仿宋_GB2312"/>
          <w:sz w:val="32"/>
          <w:szCs w:val="32"/>
        </w:rPr>
      </w:pPr>
      <w:r>
        <w:rPr>
          <w:rFonts w:hint="eastAsia" w:ascii="仿宋_GB2312" w:eastAsia="仿宋_GB2312"/>
          <w:b/>
          <w:sz w:val="32"/>
          <w:szCs w:val="32"/>
        </w:rPr>
        <w:t>公务用车运行维护费支出</w:t>
      </w:r>
      <w:r>
        <w:rPr>
          <w:sz w:val="32"/>
          <w:szCs w:val="32"/>
        </w:rPr>
        <w:t>4.92</w:t>
      </w:r>
      <w:r>
        <w:rPr>
          <w:rFonts w:hint="eastAsia" w:ascii="仿宋_GB2312" w:eastAsia="仿宋_GB2312"/>
          <w:sz w:val="32"/>
          <w:szCs w:val="32"/>
        </w:rPr>
        <w:t>万元。主要用于高标准农田项目检查，厕所革命检查，乡村振兴创建检查等所需的公务用车燃料费、维修费、过路过桥费、保险费等支出。</w:t>
      </w:r>
    </w:p>
    <w:p w14:paraId="0B5447E3">
      <w:pPr>
        <w:spacing w:line="560" w:lineRule="exact"/>
        <w:ind w:left="0" w:leftChars="0" w:firstLine="643" w:firstLineChars="20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sz w:val="32"/>
          <w:szCs w:val="32"/>
        </w:rPr>
        <w:t>1.03</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sz w:val="32"/>
          <w:szCs w:val="32"/>
        </w:rPr>
        <w:t>100%</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公务接待费支出决算比2022年度减少1.65万元，下降61.57</w:t>
      </w:r>
      <w:r>
        <w:rPr>
          <w:rFonts w:ascii="仿宋_GB2312" w:eastAsia="仿宋_GB2312"/>
          <w:sz w:val="32"/>
          <w:szCs w:val="32"/>
        </w:rPr>
        <w:t>%</w:t>
      </w:r>
      <w:r>
        <w:rPr>
          <w:rFonts w:hint="eastAsia" w:ascii="仿宋_GB2312" w:eastAsia="仿宋_GB2312"/>
          <w:sz w:val="32"/>
          <w:szCs w:val="32"/>
        </w:rPr>
        <w:t>。主要原因是节约开支压减公用经费支出。</w:t>
      </w:r>
    </w:p>
    <w:p w14:paraId="7F54849A">
      <w:pPr>
        <w:spacing w:line="560" w:lineRule="exact"/>
        <w:ind w:left="0" w:leftChars="0" w:firstLine="640" w:firstLineChars="200"/>
        <w:rPr>
          <w:rFonts w:ascii="仿宋" w:hAnsi="仿宋" w:eastAsia="仿宋"/>
          <w:b/>
          <w:sz w:val="32"/>
          <w:szCs w:val="32"/>
        </w:rPr>
      </w:pPr>
      <w:r>
        <w:rPr>
          <w:rFonts w:hint="eastAsia" w:ascii="仿宋_GB2312" w:eastAsia="仿宋_GB2312"/>
          <w:sz w:val="32"/>
          <w:szCs w:val="32"/>
        </w:rPr>
        <w:t>其中：</w:t>
      </w:r>
      <w:r>
        <w:rPr>
          <w:rFonts w:hint="eastAsia" w:ascii="仿宋" w:hAnsi="仿宋" w:eastAsia="仿宋"/>
          <w:b/>
          <w:sz w:val="32"/>
          <w:szCs w:val="32"/>
        </w:rPr>
        <w:t>国内公务接待支出</w:t>
      </w:r>
      <w:bookmarkStart w:id="42" w:name="_Toc15396610"/>
      <w:bookmarkStart w:id="43" w:name="_Toc15377218"/>
      <w:r>
        <w:rPr>
          <w:rFonts w:ascii="仿宋" w:hAnsi="仿宋" w:eastAsia="仿宋"/>
          <w:b/>
          <w:sz w:val="32"/>
          <w:szCs w:val="32"/>
        </w:rPr>
        <w:t>1.03</w:t>
      </w:r>
      <w:r>
        <w:rPr>
          <w:rFonts w:hint="eastAsia" w:ascii="仿宋" w:hAnsi="仿宋" w:eastAsia="仿宋"/>
          <w:b/>
          <w:sz w:val="32"/>
          <w:szCs w:val="32"/>
        </w:rPr>
        <w:t>万元，主要用于高标准农田项目检查，厕所革命检查，乡村振兴创建检查等工作，执行公务、开展业务活动开支的用餐费等。国内公务接待35批次，350人次，共计支出1.03万元，具体内容包括：高标准农田项目检查，厕所革命检查，乡村振兴创建检查等工作1.03万元。</w:t>
      </w:r>
    </w:p>
    <w:p w14:paraId="4AF7D339">
      <w:pPr>
        <w:spacing w:line="560" w:lineRule="exact"/>
        <w:ind w:left="0" w:leftChars="0" w:firstLine="643" w:firstLineChars="200"/>
        <w:rPr>
          <w:rFonts w:ascii="仿宋" w:hAnsi="仿宋" w:eastAsia="仿宋"/>
          <w:b/>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 w:hAnsi="仿宋" w:eastAsia="仿宋"/>
          <w:b/>
          <w:sz w:val="32"/>
          <w:szCs w:val="32"/>
        </w:rPr>
        <w:t>万元。外事接待0批次，0人次，共计支出0万元。</w:t>
      </w:r>
    </w:p>
    <w:p w14:paraId="659E5767">
      <w:pPr>
        <w:spacing w:line="560" w:lineRule="exact"/>
        <w:ind w:left="0" w:leftChars="0" w:firstLine="640" w:firstLineChars="200"/>
        <w:rPr>
          <w:rStyle w:val="28"/>
          <w:rFonts w:ascii="黑体" w:hAnsi="黑体" w:eastAsia="黑体"/>
          <w:b w:val="0"/>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2"/>
      <w:bookmarkEnd w:id="43"/>
    </w:p>
    <w:p w14:paraId="639CE64A">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7928.03</w:t>
      </w:r>
      <w:r>
        <w:rPr>
          <w:rFonts w:hint="eastAsia" w:ascii="仿宋_GB2312" w:eastAsia="仿宋_GB2312"/>
          <w:sz w:val="32"/>
          <w:szCs w:val="32"/>
        </w:rPr>
        <w:t>万元。</w:t>
      </w:r>
      <w:bookmarkStart w:id="44" w:name="_Toc15396611"/>
      <w:bookmarkStart w:id="45" w:name="_Toc15377219"/>
    </w:p>
    <w:p w14:paraId="56E87537">
      <w:pPr>
        <w:spacing w:line="560" w:lineRule="exact"/>
        <w:ind w:left="0" w:leftChars="0" w:firstLine="640" w:firstLineChars="200"/>
        <w:rPr>
          <w:rStyle w:val="28"/>
          <w:rFonts w:ascii="黑体" w:hAnsi="黑体" w:eastAsia="黑体"/>
          <w:b w:val="0"/>
        </w:rPr>
      </w:pPr>
      <w:r>
        <w:rPr>
          <w:rFonts w:hint="eastAsia" w:ascii="仿宋_GB2312" w:eastAsia="仿宋_GB2312"/>
          <w:sz w:val="32"/>
          <w:szCs w:val="32"/>
        </w:rPr>
        <w:t>九、</w:t>
      </w:r>
      <w:r>
        <w:rPr>
          <w:rStyle w:val="28"/>
          <w:rFonts w:hint="eastAsia" w:ascii="黑体" w:hAnsi="黑体" w:eastAsia="黑体"/>
          <w:b w:val="0"/>
        </w:rPr>
        <w:t>国有资本经营预算支出决算情况说明</w:t>
      </w:r>
      <w:bookmarkEnd w:id="44"/>
      <w:bookmarkEnd w:id="45"/>
    </w:p>
    <w:p w14:paraId="04996A99">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bookmarkStart w:id="46" w:name="_Toc15396612"/>
      <w:bookmarkStart w:id="47" w:name="_Toc15377221"/>
    </w:p>
    <w:p w14:paraId="2B231E53">
      <w:pPr>
        <w:spacing w:line="560" w:lineRule="exact"/>
        <w:ind w:left="0" w:leftChars="0" w:firstLine="640" w:firstLineChars="200"/>
        <w:rPr>
          <w:rStyle w:val="28"/>
          <w:rFonts w:ascii="黑体" w:hAnsi="黑体" w:eastAsia="黑体"/>
          <w:b w:val="0"/>
        </w:rPr>
      </w:pPr>
      <w:r>
        <w:rPr>
          <w:rFonts w:hint="eastAsia" w:ascii="仿宋_GB2312" w:eastAsia="仿宋_GB2312"/>
          <w:sz w:val="32"/>
          <w:szCs w:val="32"/>
        </w:rPr>
        <w:t>十、</w:t>
      </w:r>
      <w:r>
        <w:rPr>
          <w:rStyle w:val="28"/>
          <w:rFonts w:hint="eastAsia" w:ascii="黑体" w:hAnsi="黑体" w:eastAsia="黑体"/>
          <w:b w:val="0"/>
        </w:rPr>
        <w:t>其他重要事项的情况说明</w:t>
      </w:r>
      <w:bookmarkEnd w:id="46"/>
      <w:bookmarkEnd w:id="47"/>
      <w:bookmarkStart w:id="48" w:name="_Toc15377222"/>
    </w:p>
    <w:p w14:paraId="0BFFAB7A">
      <w:pPr>
        <w:spacing w:line="560" w:lineRule="exact"/>
        <w:ind w:left="0" w:leftChars="0" w:firstLine="643" w:firstLineChars="200"/>
        <w:rPr>
          <w:rFonts w:ascii="仿宋" w:hAnsi="仿宋" w:eastAsia="仿宋"/>
          <w:b/>
          <w:sz w:val="32"/>
          <w:szCs w:val="32"/>
        </w:rPr>
      </w:pPr>
      <w:r>
        <w:rPr>
          <w:rFonts w:hint="eastAsia" w:ascii="仿宋" w:hAnsi="仿宋" w:eastAsia="仿宋"/>
          <w:b/>
          <w:sz w:val="32"/>
          <w:szCs w:val="32"/>
        </w:rPr>
        <w:t>（一）机关运行经费支出情况</w:t>
      </w:r>
      <w:bookmarkEnd w:id="48"/>
    </w:p>
    <w:p w14:paraId="4A430139">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2023年度，</w:t>
      </w:r>
      <w:r>
        <w:rPr>
          <w:rFonts w:hint="eastAsia"/>
          <w:sz w:val="32"/>
          <w:szCs w:val="32"/>
        </w:rPr>
        <w:t>盐边县农业农村局</w:t>
      </w:r>
      <w:r>
        <w:rPr>
          <w:rFonts w:hint="eastAsia" w:ascii="仿宋_GB2312" w:eastAsia="仿宋_GB2312"/>
          <w:sz w:val="32"/>
          <w:szCs w:val="32"/>
        </w:rPr>
        <w:t>机关运行经费支出</w:t>
      </w:r>
      <w:r>
        <w:rPr>
          <w:sz w:val="32"/>
          <w:szCs w:val="32"/>
        </w:rPr>
        <w:t>158.71</w:t>
      </w:r>
      <w:r>
        <w:rPr>
          <w:rFonts w:hint="eastAsia" w:ascii="仿宋_GB2312" w:eastAsia="仿宋_GB2312"/>
          <w:sz w:val="32"/>
          <w:szCs w:val="32"/>
        </w:rPr>
        <w:t>万元，比2022年度增加18.76万元，增长13.4</w:t>
      </w:r>
      <w:r>
        <w:rPr>
          <w:rFonts w:ascii="仿宋_GB2312" w:eastAsia="仿宋_GB2312"/>
          <w:sz w:val="32"/>
          <w:szCs w:val="32"/>
        </w:rPr>
        <w:t>%</w:t>
      </w:r>
      <w:r>
        <w:rPr>
          <w:rFonts w:hint="eastAsia" w:ascii="仿宋_GB2312" w:eastAsia="仿宋_GB2312"/>
          <w:sz w:val="32"/>
          <w:szCs w:val="32"/>
        </w:rPr>
        <w:t>。主要原因是单位人员增加。</w:t>
      </w:r>
      <w:bookmarkStart w:id="49" w:name="_Toc15377223"/>
    </w:p>
    <w:p w14:paraId="1BD674AD">
      <w:pPr>
        <w:spacing w:line="560" w:lineRule="exact"/>
        <w:ind w:left="0" w:leftChars="0" w:firstLine="643" w:firstLineChars="200"/>
        <w:rPr>
          <w:rFonts w:ascii="仿宋" w:hAnsi="仿宋" w:eastAsia="仿宋"/>
          <w:b/>
          <w:sz w:val="32"/>
          <w:szCs w:val="32"/>
        </w:rPr>
      </w:pPr>
      <w:r>
        <w:rPr>
          <w:rFonts w:hint="eastAsia" w:ascii="仿宋" w:hAnsi="仿宋" w:eastAsia="仿宋"/>
          <w:b/>
          <w:sz w:val="32"/>
          <w:szCs w:val="32"/>
        </w:rPr>
        <w:t>（二）政府采购支出情况</w:t>
      </w:r>
      <w:bookmarkEnd w:id="49"/>
    </w:p>
    <w:p w14:paraId="78F36B3B">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2023年度，</w:t>
      </w:r>
      <w:r>
        <w:rPr>
          <w:rFonts w:hint="eastAsia"/>
          <w:sz w:val="32"/>
          <w:szCs w:val="32"/>
        </w:rPr>
        <w:t>盐边县农业农村局</w:t>
      </w:r>
      <w:r>
        <w:rPr>
          <w:rFonts w:hint="eastAsia" w:ascii="仿宋_GB2312" w:eastAsia="仿宋_GB2312"/>
          <w:sz w:val="32"/>
          <w:szCs w:val="32"/>
        </w:rPr>
        <w:t>政府采购支出总额</w:t>
      </w:r>
      <w:r>
        <w:rPr>
          <w:sz w:val="32"/>
          <w:szCs w:val="32"/>
        </w:rPr>
        <w:t>1786.11</w:t>
      </w:r>
      <w:r>
        <w:rPr>
          <w:rFonts w:hint="eastAsia" w:ascii="仿宋_GB2312" w:eastAsia="仿宋_GB2312"/>
          <w:sz w:val="32"/>
          <w:szCs w:val="32"/>
        </w:rPr>
        <w:t>万元，其中：政府采购货物支出</w:t>
      </w:r>
      <w:r>
        <w:rPr>
          <w:sz w:val="32"/>
          <w:szCs w:val="32"/>
        </w:rPr>
        <w:t>772.76</w:t>
      </w:r>
      <w:r>
        <w:rPr>
          <w:rFonts w:hint="eastAsia" w:ascii="仿宋_GB2312" w:eastAsia="仿宋_GB2312"/>
          <w:sz w:val="32"/>
          <w:szCs w:val="32"/>
        </w:rPr>
        <w:t>万元、政府采购工程支出</w:t>
      </w:r>
      <w:r>
        <w:rPr>
          <w:sz w:val="32"/>
          <w:szCs w:val="32"/>
        </w:rPr>
        <w:t>0</w:t>
      </w:r>
      <w:r>
        <w:rPr>
          <w:rFonts w:hint="eastAsia" w:ascii="仿宋_GB2312" w:eastAsia="仿宋_GB2312"/>
          <w:sz w:val="32"/>
          <w:szCs w:val="32"/>
        </w:rPr>
        <w:t>万元、政府采购服务支出</w:t>
      </w:r>
      <w:r>
        <w:rPr>
          <w:sz w:val="32"/>
          <w:szCs w:val="32"/>
        </w:rPr>
        <w:t>1013.35</w:t>
      </w:r>
      <w:r>
        <w:rPr>
          <w:rFonts w:hint="eastAsia" w:ascii="仿宋_GB2312" w:eastAsia="仿宋_GB2312"/>
          <w:sz w:val="32"/>
          <w:szCs w:val="32"/>
        </w:rPr>
        <w:t>万元。主要用于高标准农田工作、动植物疫病防控工作、长江流域重点水域渔政执法网格化监管能力建设及水生生物资源保护工作、乡村振兴工作。授予中小企业合同金额</w:t>
      </w:r>
      <w:r>
        <w:rPr>
          <w:sz w:val="32"/>
          <w:szCs w:val="32"/>
        </w:rPr>
        <w:t>1786.11</w:t>
      </w:r>
      <w:r>
        <w:rPr>
          <w:rFonts w:hint="eastAsia" w:ascii="仿宋_GB2312" w:eastAsia="仿宋_GB2312"/>
          <w:sz w:val="32"/>
          <w:szCs w:val="32"/>
        </w:rPr>
        <w:t>万元，占政府采购支出总额的</w:t>
      </w:r>
      <w:r>
        <w:rPr>
          <w:sz w:val="32"/>
          <w:szCs w:val="32"/>
        </w:rPr>
        <w:t>100</w:t>
      </w:r>
      <w:r>
        <w:rPr>
          <w:rFonts w:ascii="仿宋_GB2312" w:eastAsia="仿宋_GB2312"/>
          <w:sz w:val="32"/>
          <w:szCs w:val="32"/>
        </w:rPr>
        <w:t>%</w:t>
      </w:r>
      <w:r>
        <w:rPr>
          <w:rFonts w:hint="eastAsia" w:ascii="仿宋_GB2312" w:eastAsia="仿宋_GB2312"/>
          <w:sz w:val="32"/>
          <w:szCs w:val="32"/>
        </w:rPr>
        <w:t>，其中：授予小微企业合同金额</w:t>
      </w:r>
      <w:r>
        <w:rPr>
          <w:sz w:val="32"/>
          <w:szCs w:val="32"/>
        </w:rPr>
        <w:t>1786.11</w:t>
      </w:r>
      <w:r>
        <w:rPr>
          <w:rFonts w:hint="eastAsia" w:ascii="仿宋_GB2312" w:eastAsia="仿宋_GB2312"/>
          <w:sz w:val="32"/>
          <w:szCs w:val="32"/>
        </w:rPr>
        <w:t>万元，占政府采购支出总额的</w:t>
      </w:r>
      <w:r>
        <w:rPr>
          <w:sz w:val="32"/>
          <w:szCs w:val="32"/>
        </w:rPr>
        <w:t>100</w:t>
      </w:r>
      <w:r>
        <w:rPr>
          <w:rFonts w:ascii="仿宋_GB2312" w:eastAsia="仿宋_GB2312"/>
          <w:sz w:val="32"/>
          <w:szCs w:val="32"/>
        </w:rPr>
        <w:t>%</w:t>
      </w:r>
      <w:r>
        <w:rPr>
          <w:rFonts w:hint="eastAsia" w:ascii="仿宋_GB2312" w:eastAsia="仿宋_GB2312"/>
          <w:sz w:val="32"/>
          <w:szCs w:val="32"/>
        </w:rPr>
        <w:t>。</w:t>
      </w:r>
      <w:bookmarkStart w:id="50" w:name="_Toc15377224"/>
    </w:p>
    <w:p w14:paraId="505D52A7">
      <w:pPr>
        <w:spacing w:line="560" w:lineRule="exact"/>
        <w:ind w:left="0" w:leftChars="0" w:firstLine="643" w:firstLineChars="200"/>
        <w:rPr>
          <w:rFonts w:ascii="仿宋" w:hAnsi="仿宋" w:eastAsia="仿宋"/>
          <w:b/>
          <w:sz w:val="32"/>
          <w:szCs w:val="32"/>
        </w:rPr>
      </w:pPr>
      <w:r>
        <w:rPr>
          <w:rFonts w:hint="eastAsia" w:ascii="仿宋" w:hAnsi="仿宋" w:eastAsia="仿宋"/>
          <w:b/>
          <w:sz w:val="32"/>
          <w:szCs w:val="32"/>
        </w:rPr>
        <w:t>（三）国有资产占有使用情况</w:t>
      </w:r>
      <w:bookmarkEnd w:id="50"/>
    </w:p>
    <w:p w14:paraId="17361EA7">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sz w:val="32"/>
          <w:szCs w:val="32"/>
        </w:rPr>
        <w:t>盐边县农业农村局</w:t>
      </w:r>
      <w:r>
        <w:rPr>
          <w:rFonts w:hint="eastAsia" w:ascii="仿宋_GB2312" w:eastAsia="仿宋_GB2312"/>
          <w:sz w:val="32"/>
          <w:szCs w:val="32"/>
        </w:rPr>
        <w:t>共有车辆</w:t>
      </w:r>
      <w:r>
        <w:rPr>
          <w:rFonts w:ascii="仿宋_GB2312" w:eastAsia="仿宋_GB2312"/>
          <w:sz w:val="32"/>
          <w:szCs w:val="32"/>
        </w:rPr>
        <w:t>5</w:t>
      </w:r>
      <w:r>
        <w:rPr>
          <w:rFonts w:hint="eastAsia" w:ascii="仿宋_GB2312" w:eastAsia="仿宋_GB2312"/>
          <w:sz w:val="32"/>
          <w:szCs w:val="32"/>
        </w:rPr>
        <w:t>辆，其中：主要领导干部用车0辆、机要通信用车1辆、应急保障用车1辆、其他用车3辆，其他用车主要是用于高标准农田项目检查，厕所革命检查，乡村振兴，动植物疫病防控工作、长江流域重点水域渔政执法网格化监管能力建设及水生生物资源保护工作等工作。单价</w:t>
      </w:r>
      <w:r>
        <w:rPr>
          <w:rFonts w:ascii="仿宋_GB2312" w:eastAsia="仿宋_GB2312"/>
          <w:sz w:val="32"/>
          <w:szCs w:val="32"/>
        </w:rPr>
        <w:t>100</w:t>
      </w:r>
      <w:r>
        <w:rPr>
          <w:rFonts w:hint="eastAsia" w:ascii="仿宋_GB2312" w:eastAsia="仿宋_GB2312"/>
          <w:sz w:val="32"/>
          <w:szCs w:val="32"/>
        </w:rPr>
        <w:t>万元以上设备（不含车辆）</w:t>
      </w:r>
      <w:r>
        <w:rPr>
          <w:sz w:val="32"/>
          <w:szCs w:val="32"/>
        </w:rPr>
        <w:t>0</w:t>
      </w:r>
      <w:r>
        <w:rPr>
          <w:rFonts w:hint="eastAsia" w:ascii="仿宋_GB2312" w:eastAsia="仿宋_GB2312"/>
          <w:sz w:val="32"/>
          <w:szCs w:val="32"/>
        </w:rPr>
        <w:t>台（套）。</w:t>
      </w:r>
    </w:p>
    <w:p w14:paraId="0DF27F7C">
      <w:pPr>
        <w:spacing w:line="560" w:lineRule="exact"/>
        <w:ind w:left="0" w:leftChars="0" w:firstLine="643" w:firstLineChars="200"/>
        <w:rPr>
          <w:rFonts w:ascii="仿宋" w:hAnsi="仿宋" w:eastAsia="仿宋"/>
          <w:b/>
          <w:sz w:val="32"/>
          <w:szCs w:val="32"/>
        </w:rPr>
      </w:pPr>
      <w:r>
        <w:rPr>
          <w:rFonts w:hint="eastAsia" w:ascii="仿宋" w:hAnsi="仿宋" w:eastAsia="仿宋"/>
          <w:b/>
          <w:sz w:val="32"/>
          <w:szCs w:val="32"/>
        </w:rPr>
        <w:t>（四）预算绩效管理情况</w:t>
      </w:r>
    </w:p>
    <w:p w14:paraId="38363936">
      <w:pPr>
        <w:spacing w:line="560" w:lineRule="exact"/>
        <w:ind w:left="0" w:leftChars="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根据预算绩效管理要求，本部门在2023年度预算编制阶段，组织对</w:t>
      </w:r>
      <w:r>
        <w:rPr>
          <w:rFonts w:hint="eastAsia" w:ascii="仿宋_GB2312" w:eastAsia="仿宋_GB2312"/>
          <w:sz w:val="32"/>
          <w:szCs w:val="32"/>
        </w:rPr>
        <w:t>高标准农田项目检查，厕所革命检查，乡村振兴，动植物疫病防控工作、长江流域重点水域渔政执法网格化监管能力建设及水生生物资源保护工作</w:t>
      </w:r>
      <w:r>
        <w:rPr>
          <w:rFonts w:hint="eastAsia" w:ascii="仿宋_GB2312" w:hAnsi="仿宋_GB2312" w:eastAsia="仿宋_GB2312" w:cs="仿宋_GB2312"/>
          <w:sz w:val="32"/>
          <w:szCs w:val="32"/>
        </w:rPr>
        <w:t>等43个项目开展了预算事前绩效评估，对43个项目编制了绩效目标，预算执行过程中，选取43个项目开展绩效监控。</w:t>
      </w:r>
    </w:p>
    <w:p w14:paraId="4B1D39C6">
      <w:pPr>
        <w:spacing w:line="560" w:lineRule="exact"/>
        <w:ind w:left="0" w:leftChars="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组织对2023年度一般公共预算、政府性基金预算等全面开展绩效自评，形成盐边县农业农村局2023年部门整体绩效自评报告、红火蚁监测防控项目、农业生产设施条件改善</w:t>
      </w:r>
      <w:r>
        <w:rPr>
          <w:rFonts w:ascii="仿宋_GB2312" w:hAnsi="仿宋_GB2312" w:eastAsia="仿宋_GB2312" w:cs="仿宋_GB2312"/>
          <w:sz w:val="32"/>
          <w:szCs w:val="32"/>
        </w:rPr>
        <w:t>项目</w:t>
      </w:r>
      <w:r>
        <w:rPr>
          <w:rFonts w:hint="eastAsia" w:ascii="仿宋_GB2312" w:hAnsi="仿宋_GB2312" w:eastAsia="仿宋_GB2312" w:cs="仿宋_GB2312"/>
          <w:sz w:val="32"/>
          <w:szCs w:val="32"/>
        </w:rPr>
        <w:t>、高标准农田建设项目、农村厕所革命整村推进建设项目等专项预算项目绩效自评报告，其中，盐边县农业农村局2023年部门整体（含部门预算项目）绩效自评得分为94分，绩效自评综述：</w:t>
      </w:r>
      <w:r>
        <w:rPr>
          <w:rFonts w:hint="eastAsia" w:ascii="仿宋_GB2312" w:hAnsi="仿宋_GB2312" w:eastAsia="仿宋_GB2312" w:cs="仿宋_GB2312"/>
          <w:color w:val="000000"/>
          <w:sz w:val="32"/>
          <w:szCs w:val="32"/>
        </w:rPr>
        <w:t>从整体上看，202</w:t>
      </w:r>
      <w:r>
        <w:rPr>
          <w:rFonts w:hint="eastAsia" w:ascii="仿宋_GB2312" w:hAnsi="仿宋_GB2312" w:cs="仿宋_GB2312"/>
          <w:color w:val="000000"/>
          <w:sz w:val="32"/>
          <w:szCs w:val="32"/>
        </w:rPr>
        <w:t>3</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r>
        <w:rPr>
          <w:rFonts w:hint="eastAsia" w:ascii="仿宋_GB2312" w:hAnsi="仿宋_GB2312" w:eastAsia="仿宋_GB2312" w:cs="仿宋_GB2312"/>
          <w:sz w:val="32"/>
          <w:szCs w:val="32"/>
        </w:rPr>
        <w:t>。高标准农田建设项目，绩效自评综述：通过建设1.2万亩高标准农田，增加项目区灌排能力，改善耕地用水现状，增大复种面积，并结合现代农业园区建设，推行新品种、新模式、新技术等示范，调整农作物产品结构，农作物品质有所提升，从而使得农作物种植收益更大，项目区建设后田土更适合于机械化耕作，机耕机收面积大幅提高，生产成本大量节约，使粮经作物单产较大幅度增加和种植成本下降，实现了农业增产增效，农民增收的目标。红火蚁监测防控项目，绩效自评综述：通过监测及时掌握了红火蚁的发生动态，为专业化防控提供了明确精准的防控范围；专业化防控，规范标准，达到了预期的防效，显著降低了红火蚁的发生面积和危害程度，确保了农业生产安全和人畜安全。经调查，防控区内群众对红火蚁防控的满意度＞85%。农业生产设施条件改善</w:t>
      </w:r>
      <w:r>
        <w:rPr>
          <w:rFonts w:ascii="仿宋_GB2312" w:hAnsi="仿宋_GB2312" w:eastAsia="仿宋_GB2312" w:cs="仿宋_GB2312"/>
          <w:sz w:val="32"/>
          <w:szCs w:val="32"/>
        </w:rPr>
        <w:t>项目</w:t>
      </w:r>
      <w:r>
        <w:rPr>
          <w:rFonts w:hint="eastAsia" w:ascii="仿宋_GB2312" w:hAnsi="仿宋_GB2312" w:eastAsia="仿宋_GB2312" w:cs="仿宋_GB2312"/>
          <w:sz w:val="32"/>
          <w:szCs w:val="32"/>
        </w:rPr>
        <w:t>，绩效自评综述：项目建成后，可有效改善农业生产设施条件，实现农业数量、质量和生态效益并重的可持续发展。</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方便果蔬等农产品的细化分级包装，采用机械化生产线对产品进行品质分级，既节省人工成本，也有利于销售价格的提升，冷库修建可以缓解果蔬集中上市的压力，有效解决广大农户蔬菜“卖难”问题，增加有效供给，提高产品质量安全水平。</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促进畜牧业健康发展，有效提升养殖标准化水平，提高养殖场粪污处理能力，改善养殖环境，增加养殖效益。</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提高草地资源的利用和实施种、养生态微环系统，不仅可以大幅度地提高资源的综合利用率、劳动生产率，而且通过草地保护开发建设，改善生态环境，保持水土，涵养水源，改良土壤，从根本上改变耕地旱、瘠等问题。</w:t>
      </w:r>
      <w:r>
        <w:rPr>
          <w:rFonts w:hint="eastAsia" w:ascii="仿宋_GB2312" w:hAnsi="仿宋_GB2312" w:eastAsia="仿宋_GB2312" w:cs="仿宋_GB2312"/>
          <w:b/>
          <w:bCs/>
          <w:sz w:val="32"/>
          <w:szCs w:val="32"/>
        </w:rPr>
        <w:t>四是</w:t>
      </w:r>
      <w:r>
        <w:rPr>
          <w:rFonts w:hint="eastAsia" w:ascii="仿宋_GB2312" w:hAnsi="仿宋_GB2312" w:eastAsia="仿宋_GB2312" w:cs="仿宋_GB2312"/>
          <w:sz w:val="32"/>
          <w:szCs w:val="32"/>
        </w:rPr>
        <w:t>提升农场软硬件基础设施，使生产经营进一步合理化、规范化，提高生产效率和降低生产成本，将鱼场养殖水循环使用，在不增加生产成本的前提下增加经济效益，达到节能效果。通过二级污水净化处理，养殖用水安全还原溪河，加强环境保护，实现减排目的。农村厕所革命整村推进建设项目，绩效自评综述：项目完成后示范村厕所粪污基本得到无害化处理或资源化利用，群众卫生防病意识明显增强。改厕后可隔断粪便对粪池外环境的影响，减少臭气；减少寄生虫繁殖和对土壤的污染；减轻水源污染。解决农村环境脏乱差现象，有效提升农村人居环境，改善农村群众生活质量。绩效自评报告详见附件。</w:t>
      </w:r>
    </w:p>
    <w:p w14:paraId="0D4B20C0">
      <w:pPr>
        <w:pStyle w:val="3"/>
        <w:ind w:left="420" w:firstLine="994"/>
        <w:jc w:val="center"/>
      </w:pPr>
    </w:p>
    <w:p w14:paraId="34EAEB9B">
      <w:pPr>
        <w:pStyle w:val="3"/>
        <w:ind w:left="420" w:firstLine="994"/>
        <w:jc w:val="center"/>
      </w:pPr>
    </w:p>
    <w:p w14:paraId="7F71802D">
      <w:pPr>
        <w:ind w:left="420" w:firstLine="473"/>
      </w:pPr>
    </w:p>
    <w:p w14:paraId="0EAA4BE0">
      <w:pPr>
        <w:pStyle w:val="3"/>
        <w:spacing w:before="0" w:after="0" w:line="560" w:lineRule="exact"/>
        <w:ind w:left="0" w:leftChars="0" w:firstLine="883" w:firstLineChars="200"/>
        <w:jc w:val="center"/>
      </w:pPr>
    </w:p>
    <w:p w14:paraId="26F40AD7">
      <w:pPr>
        <w:ind w:left="420" w:firstLine="473"/>
      </w:pPr>
    </w:p>
    <w:p w14:paraId="76AD005F">
      <w:pPr>
        <w:pStyle w:val="2"/>
        <w:ind w:left="420" w:firstLine="542"/>
      </w:pPr>
    </w:p>
    <w:p w14:paraId="1100421A">
      <w:pPr>
        <w:ind w:left="420" w:firstLine="473"/>
      </w:pPr>
    </w:p>
    <w:p w14:paraId="23BB2AF2">
      <w:pPr>
        <w:pStyle w:val="2"/>
        <w:ind w:left="420" w:firstLine="542"/>
      </w:pPr>
    </w:p>
    <w:p w14:paraId="70E3D87C">
      <w:pPr>
        <w:ind w:left="420" w:firstLine="473"/>
      </w:pPr>
    </w:p>
    <w:p w14:paraId="690635B2">
      <w:pPr>
        <w:pStyle w:val="2"/>
        <w:ind w:left="420" w:firstLine="542"/>
      </w:pPr>
    </w:p>
    <w:p w14:paraId="6E994F16">
      <w:pPr>
        <w:ind w:left="420" w:firstLine="473"/>
      </w:pPr>
    </w:p>
    <w:p w14:paraId="4CC12558">
      <w:pPr>
        <w:pStyle w:val="3"/>
        <w:ind w:left="420" w:firstLine="994"/>
        <w:jc w:val="center"/>
      </w:pPr>
      <w:r>
        <w:rPr>
          <w:rFonts w:hint="eastAsia"/>
        </w:rPr>
        <w:t>第三部分名词解释</w:t>
      </w:r>
    </w:p>
    <w:p w14:paraId="74D86418">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1.财政拨款收入：指单位从同级财政部门取得的财政预算资金。</w:t>
      </w:r>
    </w:p>
    <w:p w14:paraId="3EC63F88">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2.事业收入：指事业单位开展专业业务活动及辅助活动取得的收入。</w:t>
      </w:r>
    </w:p>
    <w:p w14:paraId="67BF2607">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w:t>
      </w:r>
    </w:p>
    <w:p w14:paraId="0C91A379">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4.其他收入：指单位取得的除上述收入以外的各项收入。</w:t>
      </w:r>
    </w:p>
    <w:p w14:paraId="5CD12BCF">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5.使用非财政拨款结余（含专用结余）：指事业单位使用以前年度积累的非财政拨款结余弥补当年收支差额的金额。</w:t>
      </w:r>
    </w:p>
    <w:p w14:paraId="0884934A">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6.年初结转和结余：指以前年度尚未完成、结转到本年按有关规定继续使用的资金。</w:t>
      </w:r>
    </w:p>
    <w:p w14:paraId="30B08AC3">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7.结余分配：指事业单位按照会计制度规定缴纳的所得税、提取的专用结余以及转入非财政拨款结余的金额等。</w:t>
      </w:r>
    </w:p>
    <w:p w14:paraId="5EFE85C7">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8.年末结转和结余：指单位按有关规定结转到下年或以后年度继续使用的资金。</w:t>
      </w:r>
    </w:p>
    <w:p w14:paraId="1D1DCBAE">
      <w:pPr>
        <w:spacing w:line="500" w:lineRule="exact"/>
        <w:ind w:left="0" w:leftChars="0"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 xml:space="preserve"> 农林水支出（213类）农业农村（01款）病虫害控制（08项）：反映用于病虫鼠害及疫情监测、预报、预防、控制、检疫、防疫所需的仪器、设施、药物、疫苗、种苗，疫畜（禽、鱼、植物）防治、扑杀补偿及劳务补助、菌（毒）种保藏及动植物及其产品检疫、检测等方面的支出。</w:t>
      </w:r>
    </w:p>
    <w:p w14:paraId="334C4785">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10.农林水支出（213类）农业农村（01款）农产品质量安全（09项）：反映用于农产品及其投入品的质量安全评估、监测、抽查、认证、应急处置，相关标准的制定、修订、实施、监管等方面的支出。</w:t>
      </w:r>
    </w:p>
    <w:p w14:paraId="551C92E0">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11.农林水支出（213类）农业农村（01款）防灾救灾（19项）：反映对农业生产因遭受自然、生物灾害损失给予的补助，促进农业防灾增产措施补助，海难救助补助，因其他灾害导致农牧渔业生产者损失给予的补助。</w:t>
      </w:r>
    </w:p>
    <w:p w14:paraId="2DC425DE">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12.农林水支出（213类）农业农村（01款）农业生产发展（22项）：反映用于耕地地力保护、适度规模经营、农机购置与应用补贴、优势特色主导产业发展、畜牧水产发展、农村一二三产业融合等方面支出。</w:t>
      </w:r>
    </w:p>
    <w:p w14:paraId="694FFB4D">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13.农林水支出（213类）农业农村（01款）农产品加工与促销（25项）：反映用于促进农产品加工、储藏、运输、国内外大型农产品展示、交易、产销衔接、开拓国内外农产品市场及农业产业化发展等方面的支出。</w:t>
      </w:r>
    </w:p>
    <w:p w14:paraId="5606A665">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14.农林水支出（213类）农业农村（01款）农业资源保护修复与利用（35项）：反映用于耕地质量保护、草原草场利用，渔业水域资源环境保护，农业品种改良提升，以及农业生物资源调研收集、鉴定评价、保存利用等方面的支出。</w:t>
      </w:r>
    </w:p>
    <w:p w14:paraId="5043BBCC">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15.农林水支出（213类）农业农村（01款）农田建设（53项）：反映用于农田建设和田间水利相关工程建设的支出。</w:t>
      </w:r>
    </w:p>
    <w:p w14:paraId="56CE2219">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16.农林水支出（213类）农业农村（01款）其他农业农村支出（99项）：反映除上述项目以外其他用于农业农村方面的支出。</w:t>
      </w:r>
    </w:p>
    <w:p w14:paraId="3EDE306D">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17.农林水支出（213类）农村综合改革（07款）对村级公益事业建设的补助（01项）：反映农村税费改革后对村级公益事业建设的补助支出。</w:t>
      </w:r>
    </w:p>
    <w:p w14:paraId="1528F877">
      <w:pPr>
        <w:spacing w:line="500" w:lineRule="exact"/>
        <w:ind w:left="0" w:leftChars="0"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 xml:space="preserve"> 农林水支出（213类）农村综合改革（07款）其他农村综合改革支出（99项）：反映上述项目以外其他用于农村综合改革方面的支出。</w:t>
      </w:r>
    </w:p>
    <w:p w14:paraId="5F35634C">
      <w:pPr>
        <w:spacing w:line="500" w:lineRule="exact"/>
        <w:ind w:left="0" w:leftChars="0"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农林水支出（213类）其他农林水支出（99款）其他农林水支出（99项）：反映除化解债务支出以外其他用于农林水方面的支出。</w:t>
      </w:r>
    </w:p>
    <w:p w14:paraId="1BE09F94">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306685CE">
      <w:pPr>
        <w:spacing w:line="500" w:lineRule="exact"/>
        <w:ind w:left="0" w:leftChars="0"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14:paraId="26AEC4B8">
      <w:pPr>
        <w:spacing w:line="500" w:lineRule="exact"/>
        <w:ind w:left="0" w:leftChars="0"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14:paraId="4BB341BD">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23</w:t>
      </w:r>
      <w:r>
        <w:rPr>
          <w:rFonts w:ascii="仿宋_GB2312" w:eastAsia="仿宋_GB2312"/>
          <w:sz w:val="32"/>
          <w:szCs w:val="32"/>
        </w:rPr>
        <w:t>.</w:t>
      </w:r>
      <w:r>
        <w:rPr>
          <w:rFonts w:hint="eastAsia" w:ascii="仿宋_GB2312" w:eastAsia="仿宋_GB231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B439AEC">
      <w:pPr>
        <w:spacing w:line="500" w:lineRule="exact"/>
        <w:ind w:left="0" w:leftChars="0" w:firstLine="640" w:firstLineChars="200"/>
        <w:rPr>
          <w:rFonts w:ascii="仿宋_GB2312" w:eastAsia="仿宋_GB2312"/>
          <w:sz w:val="32"/>
          <w:szCs w:val="32"/>
        </w:rPr>
      </w:pPr>
      <w:r>
        <w:rPr>
          <w:rFonts w:hint="eastAsia" w:ascii="仿宋_GB2312" w:eastAsia="仿宋_GB2312"/>
          <w:sz w:val="32"/>
          <w:szCs w:val="32"/>
        </w:rPr>
        <w:t>24</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D73DEA8">
      <w:pPr>
        <w:pStyle w:val="3"/>
        <w:ind w:left="420" w:firstLine="990"/>
        <w:jc w:val="center"/>
        <w:rPr>
          <w:rFonts w:ascii="方正小标宋简体" w:eastAsia="方正小标宋简体"/>
        </w:rPr>
      </w:pPr>
      <w:r>
        <w:rPr>
          <w:rFonts w:hint="eastAsia" w:ascii="方正小标宋简体" w:hAnsi="黑体" w:eastAsia="方正小标宋简体"/>
          <w:b w:val="0"/>
        </w:rPr>
        <w:t>第四部分 附件</w:t>
      </w:r>
    </w:p>
    <w:p w14:paraId="6BDD5B58">
      <w:pPr>
        <w:ind w:left="0" w:leftChars="0" w:firstLine="0" w:firstLineChars="0"/>
        <w:rPr>
          <w:rFonts w:ascii="方正小标宋简体" w:hAnsi="方正小标宋简体" w:eastAsia="方正小标宋简体"/>
          <w:b/>
          <w:sz w:val="44"/>
          <w:szCs w:val="44"/>
        </w:rPr>
      </w:pPr>
      <w:r>
        <w:rPr>
          <w:rFonts w:hint="eastAsia" w:ascii="黑体" w:hAnsi="黑体" w:eastAsia="黑体"/>
          <w:sz w:val="32"/>
          <w:szCs w:val="32"/>
        </w:rPr>
        <w:t>附件1</w:t>
      </w:r>
    </w:p>
    <w:p w14:paraId="6BDC80D0">
      <w:pPr>
        <w:ind w:left="0" w:leftChars="0" w:firstLine="0" w:firstLineChars="0"/>
        <w:rPr>
          <w:rFonts w:asciiTheme="minorEastAsia" w:hAnsiTheme="minorEastAsia" w:eastAsiaTheme="minorEastAsia"/>
          <w:b/>
          <w:sz w:val="44"/>
          <w:szCs w:val="44"/>
        </w:rPr>
      </w:pPr>
    </w:p>
    <w:p w14:paraId="7ABEE1CE">
      <w:pPr>
        <w:spacing w:line="540" w:lineRule="exact"/>
        <w:ind w:left="0" w:leftChars="0" w:firstLine="0" w:firstLineChars="0"/>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盐边县农业农村局</w:t>
      </w:r>
    </w:p>
    <w:p w14:paraId="5901C751">
      <w:pPr>
        <w:spacing w:line="540" w:lineRule="exact"/>
        <w:ind w:left="0" w:leftChars="0" w:firstLine="0" w:firstLineChars="0"/>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2023年部门整体支出绩效自评报告</w:t>
      </w:r>
    </w:p>
    <w:p w14:paraId="28BD40FA">
      <w:pPr>
        <w:spacing w:line="540" w:lineRule="exact"/>
        <w:ind w:left="0" w:leftChars="0" w:firstLine="0" w:firstLineChars="0"/>
        <w:rPr>
          <w:rFonts w:ascii="黑体" w:hAnsi="黑体" w:eastAsia="黑体"/>
          <w:sz w:val="32"/>
          <w:szCs w:val="32"/>
        </w:rPr>
      </w:pPr>
    </w:p>
    <w:p w14:paraId="56AB4910">
      <w:pPr>
        <w:spacing w:line="540" w:lineRule="exact"/>
        <w:ind w:left="0" w:leftChars="0" w:firstLine="640" w:firstLineChars="200"/>
        <w:rPr>
          <w:rFonts w:ascii="黑体" w:hAnsi="黑体" w:eastAsia="黑体"/>
          <w:sz w:val="32"/>
          <w:szCs w:val="32"/>
        </w:rPr>
      </w:pPr>
      <w:r>
        <w:rPr>
          <w:rFonts w:ascii="黑体" w:hAnsi="黑体" w:eastAsia="黑体"/>
          <w:sz w:val="32"/>
          <w:szCs w:val="32"/>
        </w:rPr>
        <w:t>一、部门概况</w:t>
      </w:r>
    </w:p>
    <w:p w14:paraId="12994511">
      <w:pPr>
        <w:spacing w:line="540" w:lineRule="exact"/>
        <w:ind w:left="0" w:leftChars="0" w:firstLine="640" w:firstLineChars="200"/>
        <w:rPr>
          <w:rFonts w:ascii="楷体_GB2312" w:hAnsi="仿宋" w:eastAsia="楷体_GB2312"/>
          <w:sz w:val="32"/>
          <w:szCs w:val="32"/>
        </w:rPr>
      </w:pPr>
      <w:r>
        <w:rPr>
          <w:rFonts w:hint="eastAsia" w:ascii="楷体_GB2312" w:hAnsi="仿宋" w:eastAsia="楷体_GB2312"/>
          <w:sz w:val="32"/>
          <w:szCs w:val="32"/>
        </w:rPr>
        <w:t>（一）机构组成。</w:t>
      </w:r>
    </w:p>
    <w:p w14:paraId="4670F965">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机构一：县农业机械监理所。</w:t>
      </w:r>
    </w:p>
    <w:p w14:paraId="1E50A84A">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机构二：县植物检疫站。</w:t>
      </w:r>
    </w:p>
    <w:p w14:paraId="5F01EA11">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机构三：盐边县农村能源服务站，挂“盐边县农村人居环境服务站”牌子。</w:t>
      </w:r>
    </w:p>
    <w:p w14:paraId="77528F10">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机构四;县动物疫病预防控制中心，在县动物疾病预防控制中心挂“盐边县畜牧产业服务站”牌子。</w:t>
      </w:r>
    </w:p>
    <w:p w14:paraId="402F4BCB">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机构五：盐边县农村经营指导服务站，挂“盐边县农情信息中心”“盐边县农业合作交流服务中心”“盐边县台湾农民创业园服务中心”牌子。</w:t>
      </w:r>
    </w:p>
    <w:p w14:paraId="3D14D201">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机构六：盐边县水产站。</w:t>
      </w:r>
    </w:p>
    <w:p w14:paraId="213AFA37">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机构七：盐边县经济作物推广站，单位类别公益一类。</w:t>
      </w:r>
    </w:p>
    <w:p w14:paraId="3115664E">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 xml:space="preserve">机构八：盐边县农业技术推广服务中心，为县农业农村局下属公益一类事业单位。将县农业技术服务站、县种子管理站成建制并入县农业技术推广服务中心，在县农业技术推广服务中心挂“盐边县种子服务站”“盐边县产业扶贫服务站”牌子。 </w:t>
      </w:r>
    </w:p>
    <w:p w14:paraId="0C5EE330">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机构九：盐边县农业综合开发服务中心，挂“盐边县特色农业发展与园区服务站” 牌子。</w:t>
      </w:r>
    </w:p>
    <w:p w14:paraId="7EE8F976">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 xml:space="preserve">机构十：盐边县农产品质量安全中心，挂“盐边县有机农业服务站”牌子。 </w:t>
      </w:r>
    </w:p>
    <w:p w14:paraId="474D9C2E">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 xml:space="preserve">机构十一：县农业广播电视学校挂“盐边县职业农民培育中心”牌子。 </w:t>
      </w:r>
    </w:p>
    <w:p w14:paraId="4C37EC81">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机构十二：县动物检疫站。县农业农村局所属事业单位共 12 家，事业编制 85 名。局机关行政编制11名，机关后勤编制1名，机关参公编制9名。合计编制97名。</w:t>
      </w:r>
    </w:p>
    <w:p w14:paraId="49781979">
      <w:pPr>
        <w:spacing w:line="540" w:lineRule="exact"/>
        <w:ind w:left="0" w:leftChars="0" w:firstLine="640" w:firstLineChars="200"/>
        <w:rPr>
          <w:rFonts w:ascii="楷体_GB2312" w:hAnsi="仿宋" w:eastAsia="楷体_GB2312"/>
          <w:sz w:val="32"/>
          <w:szCs w:val="32"/>
        </w:rPr>
      </w:pPr>
      <w:r>
        <w:rPr>
          <w:rFonts w:hint="eastAsia" w:ascii="楷体_GB2312" w:hAnsi="仿宋" w:eastAsia="楷体_GB2312"/>
          <w:sz w:val="32"/>
          <w:szCs w:val="32"/>
        </w:rPr>
        <w:t>（二）机构职能。</w:t>
      </w:r>
    </w:p>
    <w:p w14:paraId="4611993E">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县农业农村局贯彻落实党中央关于“三农”工作的方针政策和省委、市委、县委的决策部署，在履行职责过程中坚持和加强党对“三农”工作的集中统一领导。主要职责是：</w:t>
      </w:r>
    </w:p>
    <w:p w14:paraId="101BD074">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统筹研究和组织实施全县“三农”工作发展战略、中长期规划、重大政策。贯彻执行国家和省、市有关种植业、畜牧业（草原牧业）、渔业、农业机械化、农垦等农业领域工作的法律、法规、规章、政策以及县委、县政府关于“三农”方面的决策部署，贯彻执行全市“三农”有关政策。</w:t>
      </w:r>
    </w:p>
    <w:p w14:paraId="1D8D1578">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2.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14:paraId="48F5FDE2">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3.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14:paraId="31EA3A60">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4.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14:paraId="11B0F0B5">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5.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14:paraId="039CED51">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6.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14:paraId="7784F612">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7.负责全县农产品质量安全监督管理。组织开展农产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14:paraId="507EA250">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8.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14:paraId="17E583C9">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9.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14:paraId="2557FBA8">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10.负责全县农业防灾减灾、农作物重大病虫害防治工作。会同有关部门贯彻执行动植物防疫检疫政策。指导动植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14:paraId="0C970123">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11.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14:paraId="26148F08">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12.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14:paraId="2715C9C6">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13.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14:paraId="2FD20370">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14.指导全县农业农村人オ工作。制定农业农村人オ队伍建设规划并组织实施，指导农业教育和农业职业技能开发，指导新型职业农民培育、农业科技人オ培养和农村实用人才培训工作。</w:t>
      </w:r>
    </w:p>
    <w:p w14:paraId="32B49E7D">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15.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14:paraId="673BAEA6">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16.编制全县烟叶种植规划方案，督促检查烟叶生产工作。协调烟草工业、商业做好相关工作。组织实施县级烟草扶持项目。</w:t>
      </w:r>
    </w:p>
    <w:p w14:paraId="64B71F6D">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17.负责农业领域综合行政执法工作。负责监督指导重大案件查处和跨区域执法的组织协调工作，负责全县办理的涉农违法案件。推进农业依法行政。</w:t>
      </w:r>
    </w:p>
    <w:p w14:paraId="49EC63C5">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18.负责全县国有农场土地的保护、利用和管理，指导国有农场的改革与发展。</w:t>
      </w:r>
    </w:p>
    <w:p w14:paraId="320CE073">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19.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14:paraId="06151A55">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20.负责职责范围内的生态环境保护、审批服务便民化等工作。</w:t>
      </w:r>
    </w:p>
    <w:p w14:paraId="44770C72">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21.完成县委、县政府交办的其他任务。</w:t>
      </w:r>
    </w:p>
    <w:p w14:paraId="2ADD9D8B">
      <w:pPr>
        <w:spacing w:line="540" w:lineRule="exact"/>
        <w:ind w:left="0" w:leftChars="0" w:firstLine="640" w:firstLineChars="200"/>
        <w:rPr>
          <w:rFonts w:ascii="楷体_GB2312" w:hAnsi="仿宋" w:eastAsia="楷体_GB2312"/>
          <w:sz w:val="32"/>
          <w:szCs w:val="32"/>
        </w:rPr>
      </w:pPr>
      <w:r>
        <w:rPr>
          <w:rFonts w:hint="eastAsia" w:ascii="楷体_GB2312" w:hAnsi="仿宋" w:eastAsia="楷体_GB2312"/>
          <w:sz w:val="32"/>
          <w:szCs w:val="32"/>
        </w:rPr>
        <w:t>（三）人员概况。</w:t>
      </w:r>
    </w:p>
    <w:p w14:paraId="71C0EA26">
      <w:pPr>
        <w:spacing w:line="540" w:lineRule="exact"/>
        <w:ind w:left="0" w:leftChars="0" w:firstLine="643" w:firstLineChars="200"/>
        <w:rPr>
          <w:rFonts w:ascii="仿宋_GB2312" w:eastAsia="仿宋_GB2312"/>
          <w:sz w:val="32"/>
          <w:szCs w:val="32"/>
        </w:rPr>
      </w:pPr>
      <w:r>
        <w:rPr>
          <w:rFonts w:hint="eastAsia" w:ascii="仿宋_GB2312" w:eastAsia="仿宋_GB2312"/>
          <w:b/>
          <w:sz w:val="32"/>
          <w:szCs w:val="32"/>
        </w:rPr>
        <w:t>1.人员编制数。</w:t>
      </w:r>
      <w:r>
        <w:rPr>
          <w:rFonts w:hint="eastAsia" w:ascii="仿宋_GB2312" w:eastAsia="仿宋_GB2312"/>
          <w:sz w:val="32"/>
          <w:szCs w:val="32"/>
        </w:rPr>
        <w:t>单位编制数97人。其中：行政编制11人，机关工勤编制1人，事业编制85人（其中：事业参公28人）。总编制数为97人。</w:t>
      </w:r>
    </w:p>
    <w:p w14:paraId="1F9802AE">
      <w:pPr>
        <w:spacing w:line="540" w:lineRule="exact"/>
        <w:ind w:left="0" w:leftChars="0" w:firstLine="643" w:firstLineChars="200"/>
        <w:rPr>
          <w:rFonts w:ascii="仿宋_GB2312" w:eastAsia="仿宋_GB2312"/>
          <w:sz w:val="32"/>
          <w:szCs w:val="32"/>
        </w:rPr>
      </w:pPr>
      <w:r>
        <w:rPr>
          <w:rFonts w:hint="eastAsia" w:ascii="仿宋_GB2312" w:eastAsia="仿宋_GB2312"/>
          <w:b/>
          <w:sz w:val="32"/>
          <w:szCs w:val="32"/>
        </w:rPr>
        <w:t>2.在职人员实有数。</w:t>
      </w:r>
      <w:r>
        <w:rPr>
          <w:rFonts w:hint="eastAsia" w:ascii="仿宋_GB2312" w:eastAsia="仿宋_GB2312"/>
          <w:sz w:val="32"/>
          <w:szCs w:val="32"/>
        </w:rPr>
        <w:t>我单位在职人员实有94人，其中：行政人员42人，事业人员52人,临时人员2人。</w:t>
      </w:r>
    </w:p>
    <w:p w14:paraId="2307F2D6">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3.退休人员，行政退休36人，事业退休37人。</w:t>
      </w:r>
    </w:p>
    <w:p w14:paraId="4F184750">
      <w:pPr>
        <w:spacing w:line="540" w:lineRule="exact"/>
        <w:ind w:left="0" w:leftChars="0" w:firstLine="640" w:firstLineChars="200"/>
        <w:rPr>
          <w:rFonts w:ascii="黑体" w:hAnsi="黑体" w:eastAsia="黑体"/>
          <w:sz w:val="32"/>
          <w:szCs w:val="32"/>
        </w:rPr>
      </w:pPr>
      <w:r>
        <w:rPr>
          <w:rFonts w:ascii="黑体" w:hAnsi="黑体" w:eastAsia="黑体"/>
          <w:sz w:val="32"/>
          <w:szCs w:val="32"/>
        </w:rPr>
        <w:t>二、部门财政资金收支情况</w:t>
      </w:r>
    </w:p>
    <w:p w14:paraId="4FDA526B">
      <w:pPr>
        <w:spacing w:line="540" w:lineRule="exact"/>
        <w:ind w:left="0" w:leftChars="0" w:firstLine="626" w:firstLineChars="200"/>
        <w:rPr>
          <w:rFonts w:ascii="仿宋_GB2312" w:eastAsia="仿宋_GB2312"/>
          <w:sz w:val="32"/>
          <w:szCs w:val="32"/>
        </w:rPr>
      </w:pPr>
      <w:r>
        <w:rPr>
          <w:rFonts w:hint="eastAsia" w:ascii="楷体_GB2312" w:eastAsia="楷体_GB2312"/>
          <w:w w:val="98"/>
          <w:sz w:val="32"/>
          <w:szCs w:val="32"/>
        </w:rPr>
        <w:t>（一）部门财政资金收入情况。</w:t>
      </w:r>
      <w:r>
        <w:rPr>
          <w:rFonts w:hint="eastAsia" w:ascii="仿宋_GB2312" w:eastAsia="仿宋_GB2312"/>
          <w:w w:val="98"/>
          <w:sz w:val="32"/>
          <w:szCs w:val="32"/>
        </w:rPr>
        <w:t>2023年收入</w:t>
      </w:r>
      <w:r>
        <w:rPr>
          <w:rFonts w:ascii="仿宋_GB2312" w:eastAsia="仿宋_GB2312"/>
          <w:w w:val="98"/>
          <w:sz w:val="32"/>
          <w:szCs w:val="32"/>
        </w:rPr>
        <w:t>233608872.46</w:t>
      </w:r>
      <w:r>
        <w:rPr>
          <w:rFonts w:hint="eastAsia" w:ascii="仿宋_GB2312" w:eastAsia="仿宋_GB2312"/>
          <w:w w:val="98"/>
          <w:sz w:val="32"/>
          <w:szCs w:val="32"/>
        </w:rPr>
        <w:t>元，其中：一般公共预算拨款收入</w:t>
      </w:r>
      <w:r>
        <w:rPr>
          <w:rFonts w:ascii="仿宋_GB2312" w:eastAsia="仿宋_GB2312"/>
          <w:w w:val="98"/>
          <w:sz w:val="32"/>
          <w:szCs w:val="32"/>
        </w:rPr>
        <w:t>154328536.54</w:t>
      </w:r>
      <w:r>
        <w:rPr>
          <w:rFonts w:hint="eastAsia" w:ascii="仿宋_GB2312" w:eastAsia="仿宋_GB2312"/>
          <w:w w:val="98"/>
          <w:sz w:val="32"/>
          <w:szCs w:val="32"/>
        </w:rPr>
        <w:t>元, 占总收入的66.06%；政府性基金预算财政拨款</w:t>
      </w:r>
      <w:r>
        <w:rPr>
          <w:rFonts w:hint="eastAsia" w:ascii="仿宋_GB2312" w:eastAsia="仿宋_GB2312"/>
          <w:sz w:val="32"/>
          <w:szCs w:val="32"/>
        </w:rPr>
        <w:t>收入</w:t>
      </w:r>
      <w:r>
        <w:rPr>
          <w:rFonts w:ascii="仿宋_GB2312" w:eastAsia="仿宋_GB2312"/>
          <w:sz w:val="32"/>
          <w:szCs w:val="32"/>
        </w:rPr>
        <w:t>79280335.92</w:t>
      </w:r>
      <w:r>
        <w:rPr>
          <w:rFonts w:hint="eastAsia" w:ascii="仿宋_GB2312" w:eastAsia="仿宋_GB2312"/>
          <w:sz w:val="32"/>
          <w:szCs w:val="32"/>
        </w:rPr>
        <w:t>元,占总收入的33.94%。</w:t>
      </w:r>
    </w:p>
    <w:p w14:paraId="516300F8">
      <w:pPr>
        <w:spacing w:line="540" w:lineRule="exact"/>
        <w:ind w:left="0" w:leftChars="0" w:firstLine="640" w:firstLineChars="200"/>
        <w:rPr>
          <w:rFonts w:ascii="仿宋_GB2312" w:eastAsia="仿宋_GB2312"/>
          <w:sz w:val="32"/>
          <w:szCs w:val="32"/>
        </w:rPr>
      </w:pPr>
      <w:r>
        <w:rPr>
          <w:rFonts w:hint="eastAsia" w:ascii="楷体_GB2312" w:eastAsia="楷体_GB2312"/>
          <w:sz w:val="32"/>
          <w:szCs w:val="32"/>
        </w:rPr>
        <w:t>（二）部门财政资金支出情况。</w:t>
      </w:r>
      <w:r>
        <w:rPr>
          <w:rFonts w:hint="eastAsia" w:ascii="仿宋_GB2312" w:eastAsia="仿宋_GB2312"/>
          <w:sz w:val="32"/>
          <w:szCs w:val="32"/>
        </w:rPr>
        <w:t>2023年支出</w:t>
      </w:r>
      <w:r>
        <w:rPr>
          <w:rFonts w:ascii="仿宋_GB2312" w:eastAsia="仿宋_GB2312"/>
          <w:sz w:val="32"/>
          <w:szCs w:val="32"/>
        </w:rPr>
        <w:t>233608872.46</w:t>
      </w:r>
      <w:r>
        <w:rPr>
          <w:rFonts w:hint="eastAsia" w:ascii="仿宋_GB2312" w:eastAsia="仿宋_GB2312"/>
          <w:sz w:val="32"/>
          <w:szCs w:val="32"/>
        </w:rPr>
        <w:t>元，其中：基本支出</w:t>
      </w:r>
      <w:r>
        <w:rPr>
          <w:rFonts w:ascii="仿宋_GB2312" w:eastAsia="仿宋_GB2312"/>
          <w:sz w:val="32"/>
          <w:szCs w:val="32"/>
        </w:rPr>
        <w:t>24053346.89</w:t>
      </w:r>
      <w:r>
        <w:rPr>
          <w:rFonts w:hint="eastAsia" w:ascii="仿宋_GB2312" w:eastAsia="仿宋_GB2312"/>
          <w:sz w:val="32"/>
          <w:szCs w:val="32"/>
        </w:rPr>
        <w:t>元，占总支出的10.30%;项目支出</w:t>
      </w:r>
      <w:r>
        <w:rPr>
          <w:rFonts w:ascii="仿宋_GB2312" w:eastAsia="仿宋_GB2312"/>
          <w:sz w:val="32"/>
          <w:szCs w:val="32"/>
        </w:rPr>
        <w:t>209555525.57</w:t>
      </w:r>
      <w:r>
        <w:rPr>
          <w:rFonts w:hint="eastAsia" w:ascii="仿宋_GB2312" w:eastAsia="仿宋_GB2312"/>
          <w:sz w:val="32"/>
          <w:szCs w:val="32"/>
        </w:rPr>
        <w:t>元，占总支出的89.70%。</w:t>
      </w:r>
    </w:p>
    <w:p w14:paraId="09C56F4D">
      <w:pPr>
        <w:spacing w:line="540" w:lineRule="exact"/>
        <w:ind w:left="0" w:leftChars="0" w:firstLine="640" w:firstLineChars="200"/>
        <w:rPr>
          <w:rFonts w:ascii="黑体" w:hAnsi="黑体" w:eastAsia="黑体"/>
          <w:sz w:val="32"/>
          <w:szCs w:val="32"/>
        </w:rPr>
      </w:pPr>
      <w:r>
        <w:rPr>
          <w:rFonts w:ascii="黑体" w:hAnsi="黑体" w:eastAsia="黑体"/>
          <w:sz w:val="32"/>
          <w:szCs w:val="32"/>
        </w:rPr>
        <w:t>三、部门整体预算绩效管理情况</w:t>
      </w:r>
    </w:p>
    <w:p w14:paraId="74348545">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（一）部门预算项目绩效管理。</w:t>
      </w:r>
    </w:p>
    <w:p w14:paraId="5AE79892">
      <w:pPr>
        <w:spacing w:line="540" w:lineRule="exact"/>
        <w:ind w:left="0" w:leftChars="0" w:firstLine="640" w:firstLineChars="200"/>
        <w:rPr>
          <w:rFonts w:ascii="仿宋_GB2312" w:eastAsia="仿宋_GB2312"/>
          <w:sz w:val="32"/>
          <w:szCs w:val="32"/>
        </w:rPr>
      </w:pPr>
      <w:r>
        <w:rPr>
          <w:rFonts w:ascii="仿宋_GB2312" w:eastAsia="仿宋_GB2312"/>
          <w:sz w:val="32"/>
          <w:szCs w:val="32"/>
        </w:rPr>
        <w:t>部门绩效目标制定</w:t>
      </w:r>
      <w:r>
        <w:rPr>
          <w:rFonts w:hint="eastAsia" w:ascii="仿宋_GB2312" w:eastAsia="仿宋_GB2312"/>
          <w:sz w:val="32"/>
          <w:szCs w:val="32"/>
        </w:rPr>
        <w:t>，按照年度项目开展情况，提出开展目标绩效的自评工作</w:t>
      </w:r>
      <w:r>
        <w:rPr>
          <w:rFonts w:ascii="仿宋_GB2312" w:eastAsia="仿宋_GB2312"/>
          <w:sz w:val="32"/>
          <w:szCs w:val="32"/>
        </w:rPr>
        <w:t>、目标实现</w:t>
      </w:r>
      <w:r>
        <w:rPr>
          <w:rFonts w:hint="eastAsia" w:ascii="仿宋_GB2312" w:eastAsia="仿宋_GB2312"/>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ascii="仿宋_GB2312" w:eastAsia="仿宋_GB2312"/>
          <w:sz w:val="32"/>
          <w:szCs w:val="32"/>
        </w:rPr>
        <w:t>违规记录等情况。</w:t>
      </w:r>
    </w:p>
    <w:p w14:paraId="29B43CEE">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（二）结果应用情况。</w:t>
      </w:r>
    </w:p>
    <w:p w14:paraId="7B372DBB">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14:paraId="1F75460A">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（三）自评质量。</w:t>
      </w:r>
    </w:p>
    <w:p w14:paraId="31A8E588">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严格按照整体支出绩效评价要求对单位财政支出情况进行自评</w:t>
      </w:r>
      <w:r>
        <w:rPr>
          <w:rFonts w:ascii="仿宋_GB2312" w:eastAsia="仿宋_GB2312"/>
          <w:sz w:val="32"/>
          <w:szCs w:val="32"/>
        </w:rPr>
        <w:t>。</w:t>
      </w:r>
    </w:p>
    <w:p w14:paraId="5B2D8B52">
      <w:pPr>
        <w:spacing w:line="540" w:lineRule="exact"/>
        <w:ind w:left="0" w:leftChars="0" w:firstLine="640" w:firstLineChars="200"/>
        <w:rPr>
          <w:rFonts w:ascii="黑体" w:hAnsi="黑体" w:eastAsia="黑体"/>
          <w:sz w:val="32"/>
          <w:szCs w:val="32"/>
        </w:rPr>
      </w:pPr>
      <w:r>
        <w:rPr>
          <w:rFonts w:ascii="黑体" w:hAnsi="黑体" w:eastAsia="黑体"/>
          <w:sz w:val="32"/>
          <w:szCs w:val="32"/>
        </w:rPr>
        <w:t>四、评价结论及建议</w:t>
      </w:r>
    </w:p>
    <w:p w14:paraId="2A5CBE8D">
      <w:pPr>
        <w:spacing w:line="540" w:lineRule="exact"/>
        <w:ind w:left="0" w:leftChars="0" w:firstLine="640" w:firstLineChars="200"/>
        <w:rPr>
          <w:rFonts w:ascii="仿宋_GB2312" w:eastAsia="仿宋_GB2312"/>
          <w:sz w:val="32"/>
          <w:szCs w:val="32"/>
        </w:rPr>
      </w:pPr>
      <w:r>
        <w:rPr>
          <w:rFonts w:hint="eastAsia" w:ascii="楷体_GB2312" w:eastAsia="楷体_GB2312"/>
          <w:sz w:val="32"/>
          <w:szCs w:val="32"/>
        </w:rPr>
        <w:t>（一）评价结论。</w:t>
      </w:r>
      <w:r>
        <w:rPr>
          <w:rFonts w:hint="eastAsia" w:ascii="仿宋_GB2312" w:eastAsia="仿宋_GB2312"/>
          <w:sz w:val="32"/>
          <w:szCs w:val="32"/>
        </w:rPr>
        <w:t>从整体上看，2023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p>
    <w:p w14:paraId="1792CA46">
      <w:pPr>
        <w:spacing w:line="540" w:lineRule="exact"/>
        <w:ind w:left="0" w:leftChars="0" w:firstLine="640" w:firstLineChars="200"/>
        <w:rPr>
          <w:rFonts w:ascii="仿宋_GB2312" w:eastAsia="仿宋_GB2312"/>
          <w:sz w:val="32"/>
          <w:szCs w:val="32"/>
        </w:rPr>
      </w:pPr>
      <w:r>
        <w:rPr>
          <w:rFonts w:ascii="楷体_GB2312" w:eastAsia="楷体_GB2312"/>
          <w:sz w:val="32"/>
          <w:szCs w:val="32"/>
        </w:rPr>
        <w:t>（二）存在问题。</w:t>
      </w:r>
      <w:r>
        <w:rPr>
          <w:rFonts w:hint="eastAsia" w:ascii="仿宋_GB2312" w:eastAsia="仿宋_GB2312"/>
          <w:sz w:val="32"/>
          <w:szCs w:val="32"/>
        </w:rPr>
        <w:t>主要存在问题是预算编制不够准确和细化，预算调整额相对较大，确保单位运转公用支出缺口大。</w:t>
      </w:r>
    </w:p>
    <w:p w14:paraId="7DFFE7A4">
      <w:pPr>
        <w:spacing w:line="540" w:lineRule="exact"/>
        <w:ind w:left="0" w:leftChars="0" w:firstLine="640" w:firstLineChars="200"/>
        <w:rPr>
          <w:rFonts w:ascii="仿宋_GB2312" w:eastAsia="仿宋_GB2312"/>
          <w:sz w:val="32"/>
          <w:szCs w:val="32"/>
        </w:rPr>
      </w:pPr>
      <w:r>
        <w:rPr>
          <w:rFonts w:ascii="楷体_GB2312" w:eastAsia="楷体_GB2312"/>
          <w:sz w:val="32"/>
          <w:szCs w:val="32"/>
        </w:rPr>
        <w:t>（三）改进建议。</w:t>
      </w:r>
      <w:r>
        <w:rPr>
          <w:rFonts w:hint="eastAsia" w:ascii="仿宋_GB2312" w:eastAsia="仿宋_GB2312"/>
          <w:sz w:val="32"/>
          <w:szCs w:val="32"/>
        </w:rPr>
        <w:t>加强年初预算编制工作，提高预算编制的准确性和细化程度，根据单位工作量适当调增公用支出预算。</w:t>
      </w:r>
    </w:p>
    <w:p w14:paraId="44073E66">
      <w:pPr>
        <w:pStyle w:val="2"/>
        <w:spacing w:before="0" w:after="0" w:line="540" w:lineRule="exact"/>
        <w:ind w:left="420" w:firstLine="542"/>
      </w:pPr>
    </w:p>
    <w:p w14:paraId="0C7EE443">
      <w:pPr>
        <w:spacing w:line="540" w:lineRule="exact"/>
        <w:ind w:left="0" w:leftChars="0" w:firstLine="640" w:firstLineChars="200"/>
        <w:rPr>
          <w:rFonts w:eastAsia="仿宋_GB2312"/>
          <w:sz w:val="32"/>
          <w:szCs w:val="32"/>
        </w:rPr>
      </w:pPr>
      <w:r>
        <w:rPr>
          <w:rFonts w:eastAsia="仿宋_GB2312"/>
          <w:sz w:val="32"/>
          <w:szCs w:val="32"/>
        </w:rPr>
        <w:t>附表：部门预算项目支出绩效自评表（2023年度）</w:t>
      </w:r>
    </w:p>
    <w:tbl>
      <w:tblPr>
        <w:tblStyle w:val="15"/>
        <w:tblW w:w="5000" w:type="pct"/>
        <w:tblInd w:w="0" w:type="dxa"/>
        <w:tblLayout w:type="autofit"/>
        <w:tblCellMar>
          <w:top w:w="0" w:type="dxa"/>
          <w:left w:w="108" w:type="dxa"/>
          <w:bottom w:w="0" w:type="dxa"/>
          <w:right w:w="108" w:type="dxa"/>
        </w:tblCellMar>
      </w:tblPr>
      <w:tblGrid>
        <w:gridCol w:w="1912"/>
        <w:gridCol w:w="632"/>
        <w:gridCol w:w="948"/>
        <w:gridCol w:w="948"/>
        <w:gridCol w:w="436"/>
        <w:gridCol w:w="426"/>
        <w:gridCol w:w="426"/>
        <w:gridCol w:w="972"/>
        <w:gridCol w:w="532"/>
        <w:gridCol w:w="426"/>
        <w:gridCol w:w="864"/>
      </w:tblGrid>
      <w:tr w14:paraId="7DABE489">
        <w:tblPrEx>
          <w:tblCellMar>
            <w:top w:w="0" w:type="dxa"/>
            <w:left w:w="108" w:type="dxa"/>
            <w:bottom w:w="0" w:type="dxa"/>
            <w:right w:w="108" w:type="dxa"/>
          </w:tblCellMar>
        </w:tblPrEx>
        <w:trPr>
          <w:trHeight w:val="285" w:hRule="atLeast"/>
        </w:trPr>
        <w:tc>
          <w:tcPr>
            <w:tcW w:w="1122" w:type="pct"/>
            <w:tcBorders>
              <w:top w:val="nil"/>
              <w:left w:val="nil"/>
              <w:bottom w:val="nil"/>
              <w:right w:val="nil"/>
            </w:tcBorders>
            <w:shd w:val="clear" w:color="auto" w:fill="auto"/>
            <w:vAlign w:val="center"/>
          </w:tcPr>
          <w:p w14:paraId="5D9D2DBE">
            <w:pPr>
              <w:spacing w:line="540" w:lineRule="exact"/>
              <w:ind w:left="0" w:leftChars="0" w:firstLine="473"/>
            </w:pPr>
          </w:p>
        </w:tc>
        <w:tc>
          <w:tcPr>
            <w:tcW w:w="371" w:type="pct"/>
            <w:tcBorders>
              <w:top w:val="nil"/>
              <w:left w:val="nil"/>
              <w:bottom w:val="nil"/>
              <w:right w:val="nil"/>
            </w:tcBorders>
            <w:shd w:val="clear" w:color="auto" w:fill="auto"/>
            <w:vAlign w:val="center"/>
          </w:tcPr>
          <w:p w14:paraId="2DADA627">
            <w:pPr>
              <w:spacing w:line="540" w:lineRule="exact"/>
              <w:ind w:left="0" w:leftChars="0" w:firstLine="473"/>
            </w:pPr>
          </w:p>
        </w:tc>
        <w:tc>
          <w:tcPr>
            <w:tcW w:w="556" w:type="pct"/>
            <w:tcBorders>
              <w:top w:val="nil"/>
              <w:left w:val="nil"/>
              <w:bottom w:val="nil"/>
              <w:right w:val="nil"/>
            </w:tcBorders>
            <w:shd w:val="clear" w:color="auto" w:fill="auto"/>
            <w:vAlign w:val="center"/>
          </w:tcPr>
          <w:p w14:paraId="18D65706">
            <w:pPr>
              <w:spacing w:line="540" w:lineRule="exact"/>
              <w:ind w:left="0" w:leftChars="0" w:firstLine="473"/>
            </w:pPr>
          </w:p>
        </w:tc>
        <w:tc>
          <w:tcPr>
            <w:tcW w:w="556" w:type="pct"/>
            <w:tcBorders>
              <w:top w:val="nil"/>
              <w:left w:val="nil"/>
              <w:bottom w:val="nil"/>
              <w:right w:val="nil"/>
            </w:tcBorders>
            <w:shd w:val="clear" w:color="auto" w:fill="auto"/>
            <w:vAlign w:val="center"/>
          </w:tcPr>
          <w:p w14:paraId="35524915">
            <w:pPr>
              <w:spacing w:line="540" w:lineRule="exact"/>
              <w:ind w:left="0" w:leftChars="0" w:firstLine="473"/>
            </w:pPr>
          </w:p>
        </w:tc>
        <w:tc>
          <w:tcPr>
            <w:tcW w:w="256" w:type="pct"/>
            <w:tcBorders>
              <w:top w:val="nil"/>
              <w:left w:val="nil"/>
              <w:bottom w:val="nil"/>
              <w:right w:val="nil"/>
            </w:tcBorders>
            <w:shd w:val="clear" w:color="auto" w:fill="auto"/>
            <w:vAlign w:val="center"/>
          </w:tcPr>
          <w:p w14:paraId="5A4924AC">
            <w:pPr>
              <w:spacing w:line="540" w:lineRule="exact"/>
              <w:ind w:left="0" w:leftChars="0" w:firstLine="473"/>
            </w:pPr>
          </w:p>
        </w:tc>
        <w:tc>
          <w:tcPr>
            <w:tcW w:w="250" w:type="pct"/>
            <w:tcBorders>
              <w:top w:val="nil"/>
              <w:left w:val="nil"/>
              <w:bottom w:val="nil"/>
              <w:right w:val="nil"/>
            </w:tcBorders>
            <w:shd w:val="clear" w:color="auto" w:fill="auto"/>
            <w:vAlign w:val="center"/>
          </w:tcPr>
          <w:p w14:paraId="4D5622A1">
            <w:pPr>
              <w:spacing w:line="540" w:lineRule="exact"/>
              <w:ind w:left="0" w:leftChars="0" w:firstLine="473"/>
            </w:pPr>
          </w:p>
        </w:tc>
        <w:tc>
          <w:tcPr>
            <w:tcW w:w="250" w:type="pct"/>
            <w:tcBorders>
              <w:top w:val="nil"/>
              <w:left w:val="nil"/>
              <w:bottom w:val="nil"/>
              <w:right w:val="nil"/>
            </w:tcBorders>
            <w:shd w:val="clear" w:color="auto" w:fill="auto"/>
            <w:vAlign w:val="center"/>
          </w:tcPr>
          <w:p w14:paraId="1222964C">
            <w:pPr>
              <w:spacing w:line="540" w:lineRule="exact"/>
              <w:ind w:left="0" w:leftChars="0" w:firstLine="473"/>
            </w:pPr>
          </w:p>
        </w:tc>
        <w:tc>
          <w:tcPr>
            <w:tcW w:w="570" w:type="pct"/>
            <w:tcBorders>
              <w:top w:val="nil"/>
              <w:left w:val="nil"/>
              <w:bottom w:val="nil"/>
              <w:right w:val="nil"/>
            </w:tcBorders>
            <w:shd w:val="clear" w:color="auto" w:fill="auto"/>
            <w:vAlign w:val="center"/>
          </w:tcPr>
          <w:p w14:paraId="1FCCF62E">
            <w:pPr>
              <w:spacing w:line="540" w:lineRule="exact"/>
              <w:ind w:left="0" w:leftChars="0" w:firstLine="473"/>
            </w:pPr>
          </w:p>
        </w:tc>
        <w:tc>
          <w:tcPr>
            <w:tcW w:w="312" w:type="pct"/>
            <w:tcBorders>
              <w:top w:val="nil"/>
              <w:left w:val="nil"/>
              <w:bottom w:val="nil"/>
              <w:right w:val="nil"/>
            </w:tcBorders>
            <w:shd w:val="clear" w:color="auto" w:fill="auto"/>
            <w:vAlign w:val="center"/>
          </w:tcPr>
          <w:p w14:paraId="1A10DCBE">
            <w:pPr>
              <w:spacing w:line="540" w:lineRule="exact"/>
              <w:ind w:left="0" w:leftChars="0" w:firstLine="473"/>
            </w:pPr>
          </w:p>
        </w:tc>
        <w:tc>
          <w:tcPr>
            <w:tcW w:w="250" w:type="pct"/>
            <w:tcBorders>
              <w:top w:val="nil"/>
              <w:left w:val="nil"/>
              <w:bottom w:val="nil"/>
              <w:right w:val="nil"/>
            </w:tcBorders>
            <w:shd w:val="clear" w:color="auto" w:fill="auto"/>
            <w:vAlign w:val="center"/>
          </w:tcPr>
          <w:p w14:paraId="3C1570EA">
            <w:pPr>
              <w:spacing w:line="540" w:lineRule="exact"/>
              <w:ind w:left="0" w:leftChars="0" w:firstLine="473"/>
            </w:pPr>
          </w:p>
        </w:tc>
        <w:tc>
          <w:tcPr>
            <w:tcW w:w="507" w:type="pct"/>
            <w:tcBorders>
              <w:top w:val="nil"/>
              <w:left w:val="nil"/>
              <w:bottom w:val="nil"/>
              <w:right w:val="nil"/>
            </w:tcBorders>
            <w:shd w:val="clear" w:color="auto" w:fill="auto"/>
            <w:vAlign w:val="center"/>
          </w:tcPr>
          <w:p w14:paraId="03269110">
            <w:pPr>
              <w:spacing w:line="540" w:lineRule="exact"/>
              <w:ind w:left="0" w:leftChars="0" w:firstLine="473"/>
            </w:pPr>
          </w:p>
        </w:tc>
      </w:tr>
    </w:tbl>
    <w:p w14:paraId="49710F96">
      <w:pPr>
        <w:ind w:left="420" w:firstLine="473"/>
      </w:pPr>
    </w:p>
    <w:p w14:paraId="0FF11D7D">
      <w:pPr>
        <w:pStyle w:val="2"/>
        <w:ind w:left="420" w:firstLine="542"/>
      </w:pPr>
    </w:p>
    <w:p w14:paraId="797E5014">
      <w:pPr>
        <w:ind w:left="420" w:firstLine="473"/>
      </w:pPr>
    </w:p>
    <w:p w14:paraId="64B8F4B6">
      <w:pPr>
        <w:ind w:left="0" w:leftChars="0" w:firstLine="0" w:firstLineChars="0"/>
        <w:rPr>
          <w:rFonts w:ascii="黑体" w:hAnsi="黑体" w:eastAsia="黑体"/>
          <w:sz w:val="32"/>
          <w:szCs w:val="32"/>
        </w:rPr>
      </w:pPr>
      <w:r>
        <w:rPr>
          <w:rFonts w:hint="eastAsia" w:ascii="黑体" w:hAnsi="黑体" w:eastAsia="黑体"/>
          <w:sz w:val="32"/>
          <w:szCs w:val="32"/>
        </w:rPr>
        <w:t>附件2</w:t>
      </w:r>
    </w:p>
    <w:p w14:paraId="6DC91219">
      <w:pPr>
        <w:ind w:left="420" w:firstLine="810"/>
        <w:jc w:val="center"/>
        <w:rPr>
          <w:rFonts w:ascii="方正小标宋_GBK" w:hAnsi="黑体" w:eastAsia="方正小标宋_GBK" w:cs="黑体"/>
          <w:sz w:val="36"/>
          <w:szCs w:val="36"/>
        </w:rPr>
      </w:pPr>
    </w:p>
    <w:p w14:paraId="47DA62BE">
      <w:pPr>
        <w:spacing w:line="640" w:lineRule="exact"/>
        <w:ind w:left="0" w:leftChars="0" w:firstLine="0" w:firstLineChars="0"/>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2023年盐边县财政转移支付高标准农田</w:t>
      </w:r>
    </w:p>
    <w:p w14:paraId="2B8E96EE">
      <w:pPr>
        <w:spacing w:line="640" w:lineRule="exact"/>
        <w:ind w:left="0" w:leftChars="0" w:firstLine="0" w:firstLineChars="0"/>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建设项目支出绩效自评报告</w:t>
      </w:r>
    </w:p>
    <w:p w14:paraId="59D63BB5">
      <w:pPr>
        <w:ind w:left="0" w:leftChars="0" w:firstLine="0" w:firstLineChars="0"/>
        <w:rPr>
          <w:rFonts w:ascii="黑体" w:hAnsi="黑体" w:eastAsia="黑体"/>
          <w:sz w:val="32"/>
          <w:szCs w:val="32"/>
        </w:rPr>
      </w:pPr>
    </w:p>
    <w:p w14:paraId="7A3006C6">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一、项目概况</w:t>
      </w:r>
    </w:p>
    <w:p w14:paraId="0926B9CE">
      <w:pPr>
        <w:spacing w:line="560" w:lineRule="exact"/>
        <w:ind w:left="0" w:leftChars="0" w:firstLine="640" w:firstLineChars="200"/>
        <w:rPr>
          <w:rFonts w:ascii="仿宋_GB2312" w:eastAsia="仿宋_GB2312"/>
          <w:sz w:val="32"/>
          <w:szCs w:val="32"/>
        </w:rPr>
      </w:pPr>
      <w:r>
        <w:rPr>
          <w:rFonts w:hint="eastAsia" w:ascii="楷体_GB2312" w:eastAsia="楷体_GB2312"/>
          <w:sz w:val="32"/>
          <w:szCs w:val="32"/>
        </w:rPr>
        <w:t>（一）项目资金申报及批复情况。</w:t>
      </w:r>
      <w:r>
        <w:rPr>
          <w:rFonts w:hint="eastAsia" w:ascii="仿宋_GB2312" w:eastAsia="仿宋_GB2312"/>
          <w:sz w:val="32"/>
          <w:szCs w:val="32"/>
        </w:rPr>
        <w:t>2023年7月14日获得攀枝花市农业农村局《关于&lt;2023年盐边县财政转移支付高标准农田建设项目（新建）实施方案&gt;的批复》（攀农发〔2023〕66号）。</w:t>
      </w:r>
    </w:p>
    <w:p w14:paraId="32AEA763">
      <w:pPr>
        <w:spacing w:line="560" w:lineRule="exact"/>
        <w:ind w:left="0" w:leftChars="0" w:firstLine="640" w:firstLineChars="200"/>
        <w:rPr>
          <w:rFonts w:ascii="仿宋_GB2312" w:eastAsia="仿宋_GB2312"/>
          <w:sz w:val="32"/>
          <w:szCs w:val="32"/>
        </w:rPr>
      </w:pPr>
      <w:r>
        <w:rPr>
          <w:rFonts w:hint="eastAsia" w:ascii="楷体_GB2312" w:eastAsia="楷体_GB2312"/>
          <w:sz w:val="32"/>
          <w:szCs w:val="32"/>
        </w:rPr>
        <w:t>（二）项目绩效目标。</w:t>
      </w:r>
      <w:r>
        <w:rPr>
          <w:rFonts w:hint="eastAsia" w:ascii="仿宋_GB2312" w:eastAsia="仿宋_GB2312"/>
          <w:sz w:val="32"/>
          <w:szCs w:val="32"/>
        </w:rPr>
        <w:t>2023年盐边县财政转移支付高标准农田建设任务为1.2万亩，高效节水灌溉建设任务为0.1万亩，主要分布于盐边到的永兴镇与惠民镇。其中永兴镇高标准农田建设面积1万亩，惠乡镇高标准农田建设面积0.2万亩。按照新建和改造提升高标准农田项目立项，要聚焦永久基本农田布局选址，确保2023年将符合立项条件的永久基本农田建设成高标准农田。杜绝打造项目“核心区”，必须按照下达一亩、设计一亩、建设一亩的要求推进。优先在大中型灌区和粮（油）园区、国家种子基地、“吨粮田”千亩示范片建设高标准农田，大力支持“口粮田”特别是“水田”建设原则。将项目资金集中投向粮食生产功能区和主要农产品保护区。本项目涉及永兴镇的苍蒲村、复兴村、江西村，强胜村；惠民镇建新村、和平村、民主村、新林村、青龙村共两个乡镇9个村中。其中：高效节水灌溉位于永兴镇苍蒲村、强胜村，江西村；惠民镇新林村。通过全面建设“田网、渠网、路网”和土壤改良，建设高标准农田1.2万亩（其中高效节水灌溉1000亩）。项目区田块整治区域面积为330亩，其中永兴镇苍蒲村80亩，江西村200亩；惠民镇新林村50亩。新建浆砌石田埂24335.49m，配套移动式农机下田踏板33付。采取多种工程措施，配套与完善田块整治项目区的渠道、蓄水池、道路、输水管网、高效节水等设施。</w:t>
      </w:r>
    </w:p>
    <w:p w14:paraId="7FAE15DB">
      <w:pPr>
        <w:spacing w:line="560" w:lineRule="exact"/>
        <w:ind w:left="0" w:leftChars="0" w:firstLine="640" w:firstLineChars="200"/>
        <w:rPr>
          <w:rFonts w:ascii="仿宋_GB2312" w:eastAsia="仿宋_GB2312"/>
          <w:sz w:val="32"/>
          <w:szCs w:val="32"/>
        </w:rPr>
      </w:pPr>
      <w:r>
        <w:rPr>
          <w:rFonts w:hint="eastAsia" w:ascii="楷体_GB2312" w:eastAsia="楷体_GB2312"/>
          <w:sz w:val="32"/>
          <w:szCs w:val="32"/>
        </w:rPr>
        <w:t>（三）项目资金申报相符性。</w:t>
      </w:r>
      <w:r>
        <w:rPr>
          <w:rFonts w:hint="eastAsia" w:ascii="仿宋_GB2312" w:eastAsia="仿宋_GB2312"/>
          <w:sz w:val="32"/>
          <w:szCs w:val="32"/>
        </w:rPr>
        <w:t>该项目申报内容与具体实施内容相符、申报目标合理可行。</w:t>
      </w:r>
    </w:p>
    <w:p w14:paraId="57186EB1">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二、项目实施及管理情况</w:t>
      </w:r>
    </w:p>
    <w:p w14:paraId="381E3A49">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（一）资金计划、到位及使用情况。</w:t>
      </w:r>
    </w:p>
    <w:p w14:paraId="423C5459">
      <w:pPr>
        <w:spacing w:line="560" w:lineRule="exact"/>
        <w:ind w:left="0" w:leftChars="0" w:firstLine="643" w:firstLineChars="200"/>
        <w:rPr>
          <w:rFonts w:ascii="仿宋_GB2312" w:eastAsia="仿宋_GB2312"/>
          <w:sz w:val="32"/>
          <w:szCs w:val="32"/>
        </w:rPr>
      </w:pPr>
      <w:r>
        <w:rPr>
          <w:rFonts w:ascii="仿宋_GB2312" w:eastAsia="仿宋_GB2312"/>
          <w:b/>
          <w:sz w:val="32"/>
          <w:szCs w:val="32"/>
        </w:rPr>
        <w:t>1.资金计划。</w:t>
      </w:r>
      <w:r>
        <w:rPr>
          <w:rFonts w:hint="eastAsia" w:ascii="仿宋_GB2312" w:eastAsia="仿宋_GB2312"/>
          <w:sz w:val="32"/>
          <w:szCs w:val="32"/>
        </w:rPr>
        <w:t>本次项目总投资4945.36万元，其中，中央财政资金1243万元，省级财政资金1337万元，市级财政资金180万元，县级财政资金2185.36万元</w:t>
      </w:r>
      <w:r>
        <w:rPr>
          <w:rFonts w:ascii="仿宋_GB2312" w:eastAsia="仿宋_GB2312"/>
          <w:sz w:val="32"/>
          <w:szCs w:val="32"/>
        </w:rPr>
        <w:t>。</w:t>
      </w:r>
    </w:p>
    <w:p w14:paraId="20B98DAD">
      <w:pPr>
        <w:spacing w:line="560" w:lineRule="exact"/>
        <w:ind w:left="0" w:leftChars="0" w:firstLine="643" w:firstLineChars="200"/>
        <w:rPr>
          <w:rFonts w:ascii="仿宋_GB2312" w:eastAsia="仿宋_GB2312"/>
          <w:sz w:val="32"/>
          <w:szCs w:val="32"/>
        </w:rPr>
      </w:pPr>
      <w:r>
        <w:rPr>
          <w:rFonts w:ascii="仿宋_GB2312" w:eastAsia="仿宋_GB2312"/>
          <w:b/>
          <w:sz w:val="32"/>
          <w:szCs w:val="32"/>
        </w:rPr>
        <w:t>2.资金到位。</w:t>
      </w:r>
      <w:r>
        <w:rPr>
          <w:rFonts w:hint="eastAsia" w:ascii="仿宋_GB2312" w:eastAsia="仿宋_GB2312"/>
          <w:sz w:val="32"/>
          <w:szCs w:val="32"/>
        </w:rPr>
        <w:t>根据四川省财政厅、四川省农业农村厅《关于下达2023年中央财政耕地建设与利用资金的通知》(川财农〔2023〕49号)和《关于下达2023年省级财政农业高质量发展共同财政事权转移支付资金的通知》(川财农〔2023〕89号)《关于下达2023年盐边县财政转移支付高标准农田建设项目(新建)县级资金的通知》(盐财资农〔2023〕132号)《关于下达2023年度农田建设市级补助资金的通知》(攀财资农〔2023〕107号)已下达我县中央资金1243万元、省级资金1337万元，市级配套资金170.39万元，县级配套资金1800万元。</w:t>
      </w:r>
    </w:p>
    <w:p w14:paraId="4A5C119F">
      <w:pPr>
        <w:spacing w:line="560" w:lineRule="exact"/>
        <w:ind w:left="0" w:leftChars="0" w:firstLine="643" w:firstLineChars="200"/>
        <w:rPr>
          <w:rFonts w:ascii="仿宋_GB2312" w:eastAsia="仿宋_GB2312"/>
          <w:sz w:val="32"/>
          <w:szCs w:val="32"/>
        </w:rPr>
      </w:pPr>
      <w:r>
        <w:rPr>
          <w:rFonts w:ascii="仿宋_GB2312" w:eastAsia="仿宋_GB2312"/>
          <w:b/>
          <w:sz w:val="32"/>
          <w:szCs w:val="32"/>
        </w:rPr>
        <w:t>3.资金使用。</w:t>
      </w:r>
      <w:bookmarkStart w:id="51" w:name="_GoBack"/>
      <w:r>
        <w:rPr>
          <w:rFonts w:hint="eastAsia" w:ascii="仿宋_GB2312" w:eastAsia="仿宋_GB2312"/>
          <w:sz w:val="32"/>
          <w:szCs w:val="32"/>
        </w:rPr>
        <w:t>截</w:t>
      </w:r>
      <w:r>
        <w:rPr>
          <w:rFonts w:hint="eastAsia" w:ascii="仿宋_GB2312" w:eastAsia="仿宋_GB2312"/>
          <w:sz w:val="32"/>
          <w:szCs w:val="32"/>
          <w:lang w:eastAsia="zh-CN"/>
        </w:rPr>
        <w:t>至</w:t>
      </w:r>
      <w:r>
        <w:rPr>
          <w:rFonts w:hint="eastAsia" w:ascii="仿宋_GB2312" w:eastAsia="仿宋_GB2312"/>
          <w:sz w:val="32"/>
          <w:szCs w:val="32"/>
        </w:rPr>
        <w:t>目前</w:t>
      </w:r>
      <w:bookmarkEnd w:id="51"/>
      <w:r>
        <w:rPr>
          <w:rFonts w:hint="eastAsia" w:ascii="仿宋_GB2312" w:eastAsia="仿宋_GB2312"/>
          <w:sz w:val="32"/>
          <w:szCs w:val="32"/>
        </w:rPr>
        <w:t>，中央资金1243万元已全部拨付。省级资金已支付67.84万元。</w:t>
      </w:r>
    </w:p>
    <w:p w14:paraId="08A7989B">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（二）项目财务管理情况。</w:t>
      </w:r>
    </w:p>
    <w:p w14:paraId="1908E306">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该项目严格执行财务管理制度，账务处理及时，会计核算规范。</w:t>
      </w:r>
    </w:p>
    <w:p w14:paraId="7BE50D65">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（三）项目组织实施情况。</w:t>
      </w:r>
    </w:p>
    <w:p w14:paraId="0181BE9C">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县农业农村局实施行业监管，由永兴镇人民政府和惠民镇人民政府担任项目建设业主，行使项目法人的权利，承担项目法人的责任及义务，严格按照国家、省市有关招标投标法律法规，组织工程监理、施工和材料设备采购等的招标工作。项目建设管理实行项目法人责任制、招投标制、工程监理制、合同制、资金和项目公示制、资金拨付逐级审核制度、竣工验收制及采用当地受益农民监督模式。项目建设遵循了基本建设程序，从规划、设计到施工、验收，均按标准操作，并及时解决了实施过程中出现的问题，以确保高标准农田建设的质量和效益。</w:t>
      </w:r>
    </w:p>
    <w:p w14:paraId="02FDD750">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三、项目绩效情况</w:t>
      </w:r>
      <w:r>
        <w:rPr>
          <w:rFonts w:hint="eastAsia" w:ascii="黑体" w:hAnsi="黑体" w:eastAsia="黑体"/>
          <w:sz w:val="32"/>
          <w:szCs w:val="32"/>
        </w:rPr>
        <w:tab/>
      </w:r>
    </w:p>
    <w:p w14:paraId="24A9BA1F">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（一）项目完成情况。</w:t>
      </w:r>
    </w:p>
    <w:p w14:paraId="71455DE3">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目前该项目已完成总工程量85%。</w:t>
      </w:r>
    </w:p>
    <w:p w14:paraId="65C49CBF">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（二）项目效益情况。</w:t>
      </w:r>
    </w:p>
    <w:p w14:paraId="2E32CE62">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通过建设1.2万亩高标准农田，增加项目区灌排能力，改善耕地用水现状，增大复种面积，并结合现代农业园区建设，推行新品种、新模式、新技术等示范，调整农作物产品结构，农作物品质有所提升，从而使得农作物种植收益更大，项目区建设后田土更适合于机械化耕作，机耕机收面积大幅提高，生产成本大量节约，使粮经作物单产较大幅度增加和种植成本下降，实现了农业增产增效，农民增收的目标。</w:t>
      </w:r>
    </w:p>
    <w:p w14:paraId="3B8CB1C6">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预计年新增加粮食生产能力69.35万公斤；增加蔬菜12万公斤；增加农产品18.24万公斤；新增种植业产值320.08万元，人均增收105.91元。</w:t>
      </w:r>
    </w:p>
    <w:p w14:paraId="71CACB19">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四、问题及建议</w:t>
      </w:r>
    </w:p>
    <w:p w14:paraId="3952C668">
      <w:pPr>
        <w:spacing w:line="560" w:lineRule="exact"/>
        <w:ind w:left="0" w:leftChars="0" w:firstLine="640" w:firstLineChars="200"/>
        <w:rPr>
          <w:rFonts w:ascii="仿宋_GB2312" w:eastAsia="仿宋_GB2312"/>
          <w:sz w:val="32"/>
          <w:szCs w:val="32"/>
        </w:rPr>
      </w:pPr>
      <w:r>
        <w:rPr>
          <w:rFonts w:hint="eastAsia" w:ascii="仿宋_GB2312" w:eastAsia="仿宋_GB2312"/>
          <w:sz w:val="32"/>
          <w:szCs w:val="32"/>
        </w:rPr>
        <w:t>工程项目进度款未及时拨付到位导致施工进度缓慢，建议财政部门在确保资金安全的前提下，加快资金拨付速度，按照项目进度及时拨付资金，确保项目所需资金能够及时到位。</w:t>
      </w:r>
    </w:p>
    <w:p w14:paraId="619A32FC">
      <w:pPr>
        <w:ind w:left="420" w:firstLine="420" w:firstLineChars="200"/>
      </w:pPr>
    </w:p>
    <w:p w14:paraId="31EB7A9E">
      <w:pPr>
        <w:pStyle w:val="2"/>
        <w:ind w:left="420" w:firstLine="542"/>
      </w:pPr>
    </w:p>
    <w:p w14:paraId="1A3F218B">
      <w:pPr>
        <w:ind w:left="420" w:firstLine="473"/>
      </w:pPr>
    </w:p>
    <w:p w14:paraId="6DEACBA1">
      <w:pPr>
        <w:pStyle w:val="2"/>
        <w:ind w:left="420" w:firstLine="542"/>
      </w:pPr>
    </w:p>
    <w:p w14:paraId="19DB6C23">
      <w:pPr>
        <w:ind w:left="420" w:firstLine="473"/>
      </w:pPr>
    </w:p>
    <w:p w14:paraId="67DB0DA7">
      <w:pPr>
        <w:pStyle w:val="2"/>
        <w:ind w:left="420" w:firstLine="542"/>
      </w:pPr>
    </w:p>
    <w:p w14:paraId="4990585A">
      <w:pPr>
        <w:ind w:left="420" w:firstLine="473"/>
      </w:pPr>
    </w:p>
    <w:p w14:paraId="063078BF">
      <w:pPr>
        <w:pStyle w:val="2"/>
        <w:ind w:left="420" w:firstLine="542"/>
      </w:pPr>
    </w:p>
    <w:p w14:paraId="71864ED7">
      <w:pPr>
        <w:ind w:left="420" w:firstLine="473"/>
      </w:pPr>
    </w:p>
    <w:p w14:paraId="11519D1F">
      <w:pPr>
        <w:ind w:left="420" w:firstLine="473"/>
      </w:pPr>
    </w:p>
    <w:p w14:paraId="264AEE52">
      <w:pPr>
        <w:pStyle w:val="2"/>
        <w:ind w:left="0" w:leftChars="0" w:firstLine="0" w:firstLineChars="0"/>
        <w:rPr>
          <w:rFonts w:ascii="黑体" w:hAnsi="黑体"/>
          <w:b w:val="0"/>
          <w:sz w:val="32"/>
          <w:szCs w:val="32"/>
        </w:rPr>
      </w:pPr>
      <w:r>
        <w:rPr>
          <w:rFonts w:hint="eastAsia" w:ascii="黑体" w:hAnsi="黑体"/>
          <w:b w:val="0"/>
          <w:sz w:val="32"/>
          <w:szCs w:val="32"/>
        </w:rPr>
        <w:t>附件3</w:t>
      </w:r>
    </w:p>
    <w:p w14:paraId="1DB0C6B6">
      <w:pPr>
        <w:ind w:left="420" w:firstLine="810"/>
        <w:jc w:val="center"/>
        <w:rPr>
          <w:rFonts w:ascii="方正小标宋_GBK" w:hAnsi="黑体" w:eastAsia="方正小标宋_GBK" w:cs="黑体"/>
          <w:sz w:val="36"/>
          <w:szCs w:val="36"/>
        </w:rPr>
      </w:pPr>
    </w:p>
    <w:p w14:paraId="47E7AE59">
      <w:pPr>
        <w:spacing w:line="640" w:lineRule="exact"/>
        <w:ind w:left="0" w:leftChars="0" w:firstLine="0" w:firstLineChars="0"/>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盐边县2023年农村厕所革命整村推进建设项目支出绩效自评报告</w:t>
      </w:r>
    </w:p>
    <w:p w14:paraId="5E76A0B0">
      <w:pPr>
        <w:spacing w:line="560" w:lineRule="exact"/>
        <w:ind w:left="0" w:leftChars="0" w:firstLine="0" w:firstLineChars="0"/>
        <w:rPr>
          <w:rFonts w:ascii="方正小标宋简体" w:hAnsi="Arial" w:eastAsia="方正小标宋简体"/>
          <w:b/>
          <w:sz w:val="44"/>
          <w:szCs w:val="44"/>
        </w:rPr>
      </w:pPr>
    </w:p>
    <w:p w14:paraId="201E34BB">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一、项目概况</w:t>
      </w:r>
    </w:p>
    <w:p w14:paraId="72C326CB">
      <w:pPr>
        <w:spacing w:line="560" w:lineRule="exact"/>
        <w:ind w:left="0" w:leftChars="0" w:firstLine="640" w:firstLineChars="200"/>
        <w:rPr>
          <w:rFonts w:eastAsia="仿宋_GB2312"/>
          <w:sz w:val="32"/>
          <w:szCs w:val="32"/>
        </w:rPr>
      </w:pPr>
      <w:r>
        <w:rPr>
          <w:rFonts w:hint="eastAsia" w:ascii="楷体_GB2312" w:eastAsia="楷体_GB2312"/>
          <w:sz w:val="32"/>
          <w:szCs w:val="32"/>
        </w:rPr>
        <w:t>（一）项目资金申报及批复情况</w:t>
      </w:r>
      <w:r>
        <w:rPr>
          <w:rFonts w:eastAsia="楷体_GB2312"/>
          <w:sz w:val="32"/>
          <w:szCs w:val="32"/>
        </w:rPr>
        <w:t>。</w:t>
      </w:r>
      <w:r>
        <w:rPr>
          <w:rFonts w:eastAsia="仿宋_GB2312"/>
          <w:sz w:val="32"/>
          <w:szCs w:val="32"/>
        </w:rPr>
        <w:t>县政府第19届38次常务会议审议同意的《盐边县2023年农村厕所革命整村推进建设项目实施方案》，县级配套资金经县委第十五届第60次常委会议审议同意。</w:t>
      </w:r>
    </w:p>
    <w:p w14:paraId="26940A22">
      <w:pPr>
        <w:spacing w:line="560" w:lineRule="exact"/>
        <w:ind w:left="0" w:leftChars="0" w:firstLine="640" w:firstLineChars="200"/>
        <w:rPr>
          <w:rFonts w:eastAsia="仿宋_GB2312"/>
          <w:sz w:val="32"/>
          <w:szCs w:val="32"/>
        </w:rPr>
      </w:pPr>
      <w:r>
        <w:rPr>
          <w:rFonts w:hint="eastAsia" w:ascii="楷体_GB2312" w:eastAsia="楷体_GB2312"/>
          <w:sz w:val="32"/>
          <w:szCs w:val="32"/>
        </w:rPr>
        <w:t>（二）项目绩效目标。</w:t>
      </w:r>
      <w:r>
        <w:rPr>
          <w:rFonts w:eastAsia="仿宋_GB2312"/>
          <w:sz w:val="32"/>
          <w:szCs w:val="32"/>
        </w:rPr>
        <w:t>2023年，省、市下达盐边县农村厕所革命整村推进村数10个，共3147户。结合乡村振兴战略工作、“美丽四川·宜居乡村”工作等目标，以行政村为单元，按照“整体规划设计、整体组织发动、户厕改造与公共设施同步建设、后期管护机制同步健全、新（改）建户厕应入户进院、一宅一厕标准实施新（改）建、多年无人居住或三年内有搬迁计划的农户，可不列入改厕基数”的原则，整村连片推进农村厕所革命建设。经入户摸底调查，最终确定整村推进10个村（国胜乡小坪村、红果乡花椒箐村、惠民镇和平村、永兴镇箐河村、永兴镇苍蒲村、永兴镇作坊村、温泉乡四呷左村、新九镇新坝村、渔门镇龙胜村、渔门镇力马村），辐射25个村（国胜乡民胜村、梭罗村、大石房村、大毕村，红果乡花地村、梁子田村，惠民镇青龙村、建新村、民主村、兴隆村、新林村，永兴镇永兴村、复兴村、江西村、岩门村、新胜村，温泉乡热水塘村、道角村、那片村、野麻地村，新九镇安宁村，渔门镇鱤鱼村、犀牛村、双龙村、三源河村），实施3147户农村户用无害化卫生厕所建设，实现厕所粪污基本得到无害化处理或资源化利用，确保整村推进项目村卫生厕所普及率达85%以上，厕所粪污无害化处理率达到85%以上。</w:t>
      </w:r>
    </w:p>
    <w:p w14:paraId="37AF63A8">
      <w:pPr>
        <w:spacing w:line="560" w:lineRule="exact"/>
        <w:ind w:left="0" w:leftChars="0" w:firstLine="640" w:firstLineChars="200"/>
        <w:rPr>
          <w:rFonts w:eastAsia="仿宋_GB2312"/>
          <w:sz w:val="32"/>
          <w:szCs w:val="32"/>
        </w:rPr>
      </w:pPr>
      <w:r>
        <w:rPr>
          <w:rFonts w:hint="eastAsia" w:ascii="楷体_GB2312" w:eastAsia="楷体_GB2312"/>
          <w:sz w:val="32"/>
          <w:szCs w:val="32"/>
        </w:rPr>
        <w:t>（三）项目资金申报相符性。</w:t>
      </w:r>
      <w:r>
        <w:rPr>
          <w:rFonts w:eastAsia="仿宋_GB2312"/>
          <w:sz w:val="32"/>
          <w:szCs w:val="32"/>
        </w:rPr>
        <w:t>该项目申报内容与具体实施内容相符、申报目标合理可行。</w:t>
      </w:r>
    </w:p>
    <w:p w14:paraId="0A60B1C7">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二、项目实施及管理情况</w:t>
      </w:r>
    </w:p>
    <w:p w14:paraId="5F4EB45A">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（一）资金计划、到位及使用情况。</w:t>
      </w:r>
    </w:p>
    <w:p w14:paraId="19691B32">
      <w:pPr>
        <w:spacing w:line="560" w:lineRule="exact"/>
        <w:ind w:left="0" w:leftChars="0" w:firstLine="643" w:firstLineChars="200"/>
        <w:rPr>
          <w:rFonts w:ascii="仿宋_GB2312" w:eastAsia="仿宋_GB2312"/>
          <w:sz w:val="32"/>
          <w:szCs w:val="32"/>
        </w:rPr>
      </w:pPr>
      <w:r>
        <w:rPr>
          <w:rFonts w:ascii="仿宋_GB2312" w:eastAsia="仿宋_GB2312"/>
          <w:b/>
          <w:sz w:val="32"/>
          <w:szCs w:val="32"/>
        </w:rPr>
        <w:t>1.资金计划。</w:t>
      </w:r>
      <w:r>
        <w:rPr>
          <w:rFonts w:eastAsia="仿宋_GB2312"/>
          <w:sz w:val="32"/>
          <w:szCs w:val="32"/>
        </w:rPr>
        <w:t>盐边县2023年农村厕所革命整村推进项目需新（改）建农村无害化卫生厕所3147户，估算投资1054.245万元，其中中央财政资金补助489万元，县级财政补助140.4万元，农户自筹424.845万元。</w:t>
      </w:r>
    </w:p>
    <w:p w14:paraId="42CDE7C4">
      <w:pPr>
        <w:spacing w:line="560" w:lineRule="exact"/>
        <w:ind w:left="0" w:leftChars="0" w:firstLine="643" w:firstLineChars="200"/>
        <w:rPr>
          <w:rFonts w:eastAsia="仿宋_GB2312"/>
          <w:sz w:val="32"/>
          <w:szCs w:val="32"/>
        </w:rPr>
      </w:pPr>
      <w:r>
        <w:rPr>
          <w:rFonts w:ascii="仿宋_GB2312" w:eastAsia="仿宋_GB2312"/>
          <w:b/>
          <w:sz w:val="32"/>
          <w:szCs w:val="32"/>
        </w:rPr>
        <w:t>2.资金到位。</w:t>
      </w:r>
      <w:r>
        <w:rPr>
          <w:rFonts w:eastAsia="仿宋_GB2312"/>
          <w:sz w:val="32"/>
          <w:szCs w:val="32"/>
        </w:rPr>
        <w:t>四川省财政厅和四川省农业农村厅联合印发了《关于下达2023年中央财政土地指标跨省域调剂指标收入安排的支出预算的通知》（川财农〔2022〕164号）和《关于下达2023年中央财政土地指标跨省域调剂收入安排的支出预算的通知》（川财农〔2023〕90号）下达我县中央资金489万元。县级资金暂未下达。</w:t>
      </w:r>
    </w:p>
    <w:p w14:paraId="5174ED39">
      <w:pPr>
        <w:spacing w:line="560" w:lineRule="exact"/>
        <w:ind w:left="0" w:leftChars="0" w:firstLine="643" w:firstLineChars="200"/>
        <w:rPr>
          <w:rFonts w:eastAsia="仿宋_GB2312"/>
          <w:sz w:val="32"/>
          <w:szCs w:val="32"/>
        </w:rPr>
      </w:pPr>
      <w:r>
        <w:rPr>
          <w:rFonts w:ascii="仿宋_GB2312" w:eastAsia="仿宋_GB2312"/>
          <w:b/>
          <w:sz w:val="32"/>
          <w:szCs w:val="32"/>
        </w:rPr>
        <w:t>3.资金使用。</w:t>
      </w:r>
      <w:r>
        <w:rPr>
          <w:rFonts w:eastAsia="仿宋_GB2312"/>
          <w:sz w:val="32"/>
          <w:szCs w:val="32"/>
        </w:rPr>
        <w:t>截</w:t>
      </w:r>
      <w:r>
        <w:rPr>
          <w:rFonts w:hint="eastAsia" w:eastAsia="仿宋_GB2312"/>
          <w:sz w:val="32"/>
          <w:szCs w:val="32"/>
          <w:lang w:eastAsia="zh-CN"/>
        </w:rPr>
        <w:t>至</w:t>
      </w:r>
      <w:r>
        <w:rPr>
          <w:rFonts w:eastAsia="仿宋_GB2312"/>
          <w:sz w:val="32"/>
          <w:szCs w:val="32"/>
        </w:rPr>
        <w:t>目前，中央资金489万元已全部拨付。县级资金暂未下达。</w:t>
      </w:r>
    </w:p>
    <w:p w14:paraId="6FF31D79">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（二）项目财务管理情况。</w:t>
      </w:r>
    </w:p>
    <w:p w14:paraId="50AE48DC">
      <w:pPr>
        <w:spacing w:line="540" w:lineRule="exact"/>
        <w:ind w:left="0" w:leftChars="0" w:firstLine="640" w:firstLineChars="200"/>
        <w:rPr>
          <w:rFonts w:eastAsia="仿宋_GB2312"/>
          <w:sz w:val="32"/>
          <w:szCs w:val="32"/>
        </w:rPr>
      </w:pPr>
      <w:r>
        <w:rPr>
          <w:rFonts w:eastAsia="仿宋_GB2312"/>
          <w:sz w:val="32"/>
          <w:szCs w:val="32"/>
        </w:rPr>
        <w:t>该项目严格执行财务管理制度，账务处理及时，会计核算规范。</w:t>
      </w:r>
    </w:p>
    <w:p w14:paraId="642CA5F6">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（三）项目组织实施情况。</w:t>
      </w:r>
    </w:p>
    <w:p w14:paraId="61080BF6">
      <w:pPr>
        <w:spacing w:line="540" w:lineRule="exact"/>
        <w:ind w:left="0" w:leftChars="0" w:firstLine="640" w:firstLineChars="200"/>
        <w:rPr>
          <w:rFonts w:eastAsia="仿宋_GB2312"/>
          <w:sz w:val="32"/>
          <w:szCs w:val="32"/>
        </w:rPr>
      </w:pPr>
      <w:r>
        <w:rPr>
          <w:rFonts w:eastAsia="仿宋_GB2312"/>
          <w:sz w:val="32"/>
          <w:szCs w:val="32"/>
        </w:rPr>
        <w:t>农户厕所改造按照“属地负责”的方式进行，各乡（镇）结合实际，采取多种形式推进农村户厕改造工作，一是从节约农村劳动力、统一技术标准、保障工程质量、施工安全等方面出发，可采取各村组织施工队施工；二是从尊重群众意愿出发，可由农户按要求自建，县、乡、村做好技术指导，确保达标。农村户厕经验收合格后，兑现补助政策。</w:t>
      </w:r>
    </w:p>
    <w:p w14:paraId="480BD8FC">
      <w:pPr>
        <w:spacing w:line="540" w:lineRule="exact"/>
        <w:ind w:left="0" w:leftChars="0" w:firstLine="640" w:firstLineChars="200"/>
        <w:rPr>
          <w:rFonts w:ascii="仿宋_GB2312" w:eastAsia="仿宋_GB2312"/>
          <w:sz w:val="32"/>
          <w:szCs w:val="32"/>
        </w:rPr>
      </w:pPr>
      <w:r>
        <w:rPr>
          <w:rFonts w:hint="eastAsia" w:ascii="仿宋_GB2312" w:eastAsia="仿宋_GB2312"/>
          <w:sz w:val="32"/>
          <w:szCs w:val="32"/>
        </w:rPr>
        <w:t>三、项目绩效情况</w:t>
      </w:r>
    </w:p>
    <w:p w14:paraId="0C1D4462">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（一）项目完成情况。</w:t>
      </w:r>
    </w:p>
    <w:p w14:paraId="7CFF3E43">
      <w:pPr>
        <w:spacing w:line="540" w:lineRule="exact"/>
        <w:ind w:left="0" w:leftChars="0" w:firstLine="640" w:firstLineChars="200"/>
        <w:rPr>
          <w:rFonts w:eastAsia="仿宋_GB2312"/>
          <w:sz w:val="32"/>
          <w:szCs w:val="32"/>
        </w:rPr>
      </w:pPr>
      <w:r>
        <w:rPr>
          <w:rFonts w:eastAsia="仿宋_GB2312"/>
          <w:sz w:val="32"/>
          <w:szCs w:val="32"/>
        </w:rPr>
        <w:t>完成了7个乡（镇）35个村3147户农村户用无害化卫生厕所新（改）建。整村推进示范村基本实现农村无害化厕所普及率达到90%以上，农村卫生厕所群众满意度达到80%以上。</w:t>
      </w:r>
    </w:p>
    <w:p w14:paraId="75F7F993">
      <w:pPr>
        <w:spacing w:line="540" w:lineRule="exact"/>
        <w:ind w:left="0" w:leftChars="0" w:firstLine="640" w:firstLineChars="200"/>
        <w:rPr>
          <w:rFonts w:ascii="楷体_GB2312" w:eastAsia="楷体_GB2312"/>
          <w:sz w:val="32"/>
          <w:szCs w:val="32"/>
        </w:rPr>
      </w:pPr>
      <w:r>
        <w:rPr>
          <w:rFonts w:hint="eastAsia" w:ascii="楷体_GB2312" w:eastAsia="楷体_GB2312"/>
          <w:sz w:val="32"/>
          <w:szCs w:val="32"/>
        </w:rPr>
        <w:t>（二）项目效益情况。</w:t>
      </w:r>
    </w:p>
    <w:p w14:paraId="0C08EFD2">
      <w:pPr>
        <w:spacing w:line="540" w:lineRule="exact"/>
        <w:ind w:left="0" w:leftChars="0" w:firstLine="640" w:firstLineChars="200"/>
        <w:rPr>
          <w:rFonts w:eastAsia="仿宋_GB2312"/>
          <w:sz w:val="32"/>
          <w:szCs w:val="32"/>
        </w:rPr>
      </w:pPr>
      <w:r>
        <w:rPr>
          <w:rFonts w:eastAsia="仿宋_GB2312"/>
          <w:sz w:val="32"/>
          <w:szCs w:val="32"/>
        </w:rPr>
        <w:t>项目完成后示范村厕所粪污基本得到无害化处理或资源化利用，群众卫生防病意识明显增强。改厕后可隔断粪便对粪池外环境的影响，减少臭气；减少寄生虫繁殖和对土壤的污染；减轻水源污染。解决农村环境脏乱差现象，有效提升农村人居环境，改善农村群众生活质量。</w:t>
      </w:r>
    </w:p>
    <w:p w14:paraId="6A7A8CC4">
      <w:pPr>
        <w:spacing w:line="540" w:lineRule="exact"/>
        <w:ind w:left="0" w:leftChars="0" w:firstLine="640" w:firstLineChars="200"/>
        <w:rPr>
          <w:rFonts w:ascii="黑体" w:hAnsi="黑体" w:eastAsia="黑体"/>
          <w:sz w:val="32"/>
          <w:szCs w:val="32"/>
        </w:rPr>
      </w:pPr>
      <w:r>
        <w:rPr>
          <w:rFonts w:hint="eastAsia" w:ascii="黑体" w:hAnsi="黑体" w:eastAsia="黑体"/>
          <w:sz w:val="32"/>
          <w:szCs w:val="32"/>
        </w:rPr>
        <w:t>四、问题及建议</w:t>
      </w:r>
    </w:p>
    <w:p w14:paraId="0D040C21">
      <w:pPr>
        <w:spacing w:line="540" w:lineRule="exact"/>
        <w:ind w:left="0" w:leftChars="0" w:firstLine="640" w:firstLineChars="200"/>
        <w:rPr>
          <w:rFonts w:eastAsia="仿宋_GB2312"/>
          <w:sz w:val="32"/>
          <w:szCs w:val="32"/>
        </w:rPr>
      </w:pPr>
      <w:r>
        <w:rPr>
          <w:rFonts w:eastAsia="仿宋_GB2312"/>
          <w:sz w:val="32"/>
          <w:szCs w:val="32"/>
        </w:rPr>
        <w:t>盐边县农村“厕所革命”项目资金主要来源于中央和省级资金，上级财政支持少，县级财政压力大，建议上级加大配套资金的支持额度，实施农村“厕所革命”工作。</w:t>
      </w:r>
    </w:p>
    <w:p w14:paraId="553E406C">
      <w:pPr>
        <w:pStyle w:val="33"/>
        <w:spacing w:line="560" w:lineRule="exact"/>
        <w:ind w:left="0" w:leftChars="0" w:firstLine="0" w:firstLineChars="0"/>
        <w:jc w:val="left"/>
        <w:rPr>
          <w:rFonts w:ascii="黑体" w:hAnsi="黑体" w:eastAsia="黑体"/>
          <w:sz w:val="32"/>
          <w:szCs w:val="32"/>
          <w:lang w:val="en-US"/>
        </w:rPr>
      </w:pPr>
      <w:r>
        <w:rPr>
          <w:rFonts w:hint="eastAsia" w:ascii="黑体" w:hAnsi="黑体" w:eastAsia="黑体"/>
          <w:sz w:val="32"/>
          <w:szCs w:val="32"/>
          <w:lang w:val="en-US"/>
        </w:rPr>
        <w:t>附件4</w:t>
      </w:r>
    </w:p>
    <w:p w14:paraId="2EC3C97A">
      <w:pPr>
        <w:pStyle w:val="33"/>
        <w:spacing w:line="560" w:lineRule="exact"/>
        <w:ind w:left="420" w:firstLine="0" w:firstLineChars="0"/>
        <w:jc w:val="center"/>
        <w:rPr>
          <w:rFonts w:ascii="方正小标宋简体" w:hAnsi="宋体" w:eastAsia="方正小标宋简体"/>
          <w:sz w:val="44"/>
          <w:szCs w:val="44"/>
          <w:lang w:val="en-US"/>
        </w:rPr>
      </w:pPr>
    </w:p>
    <w:p w14:paraId="2E785A36">
      <w:pPr>
        <w:pStyle w:val="33"/>
        <w:spacing w:line="560" w:lineRule="exact"/>
        <w:ind w:left="0" w:leftChars="0" w:firstLine="0" w:firstLineChars="0"/>
        <w:jc w:val="center"/>
        <w:rPr>
          <w:rFonts w:ascii="方正小标宋简体" w:hAnsi="宋体" w:eastAsia="方正小标宋简体"/>
          <w:sz w:val="44"/>
          <w:szCs w:val="44"/>
        </w:rPr>
      </w:pPr>
      <w:r>
        <w:rPr>
          <w:rFonts w:hint="eastAsia" w:ascii="方正小标宋简体" w:hAnsi="宋体" w:eastAsia="方正小标宋简体"/>
          <w:sz w:val="44"/>
          <w:szCs w:val="44"/>
          <w:lang w:val="en-US"/>
        </w:rPr>
        <w:t>盐边县2023年农业生产实施条件改善</w:t>
      </w:r>
      <w:r>
        <w:rPr>
          <w:rFonts w:hint="eastAsia" w:ascii="方正小标宋简体" w:hAnsi="宋体" w:eastAsia="方正小标宋简体"/>
          <w:sz w:val="44"/>
          <w:szCs w:val="44"/>
        </w:rPr>
        <w:t>项目支出绩效自评报告</w:t>
      </w:r>
    </w:p>
    <w:p w14:paraId="26FF623D">
      <w:pPr>
        <w:ind w:left="199" w:leftChars="95" w:firstLine="224" w:firstLineChars="70"/>
        <w:rPr>
          <w:sz w:val="32"/>
          <w:szCs w:val="32"/>
        </w:rPr>
      </w:pPr>
    </w:p>
    <w:p w14:paraId="239EA9FB">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一、项目概况</w:t>
      </w:r>
    </w:p>
    <w:p w14:paraId="30362FF1">
      <w:pPr>
        <w:spacing w:line="560" w:lineRule="exact"/>
        <w:ind w:left="0" w:leftChars="0" w:firstLine="640" w:firstLineChars="200"/>
        <w:rPr>
          <w:rFonts w:eastAsia="仿宋_GB2312"/>
          <w:sz w:val="32"/>
          <w:szCs w:val="32"/>
        </w:rPr>
      </w:pPr>
      <w:r>
        <w:rPr>
          <w:rFonts w:hint="eastAsia" w:ascii="楷体_GB2312" w:eastAsia="楷体_GB2312"/>
          <w:sz w:val="32"/>
          <w:szCs w:val="32"/>
        </w:rPr>
        <w:t>（一）项目资金申报及批复情况。</w:t>
      </w:r>
      <w:r>
        <w:rPr>
          <w:rFonts w:hint="eastAsia" w:eastAsia="仿宋_GB2312"/>
          <w:sz w:val="32"/>
          <w:szCs w:val="32"/>
        </w:rPr>
        <w:t>拟实施项目的主体编制项目实施方案通过所在乡（镇）人民政府审核后上报县农业农村局，经农业农村局党组研究后确定名单。项目实施主体确定后，县农业农村局编制了《盐边县2023年度中央财政农业生产设施条件改善项目实施方案》，报县政府常务会议审议通过并以盐边府函〔</w:t>
      </w:r>
      <w:r>
        <w:rPr>
          <w:rFonts w:eastAsia="仿宋_GB2312"/>
          <w:sz w:val="32"/>
          <w:szCs w:val="32"/>
        </w:rPr>
        <w:t>2023</w:t>
      </w:r>
      <w:r>
        <w:rPr>
          <w:rFonts w:hint="eastAsia" w:eastAsia="仿宋_GB2312"/>
          <w:sz w:val="32"/>
          <w:szCs w:val="32"/>
        </w:rPr>
        <w:t>〕</w:t>
      </w:r>
      <w:r>
        <w:rPr>
          <w:rFonts w:eastAsia="仿宋_GB2312"/>
          <w:sz w:val="32"/>
          <w:szCs w:val="32"/>
        </w:rPr>
        <w:t>259</w:t>
      </w:r>
      <w:r>
        <w:rPr>
          <w:rFonts w:hint="eastAsia" w:eastAsia="仿宋_GB2312"/>
          <w:sz w:val="32"/>
          <w:szCs w:val="32"/>
        </w:rPr>
        <w:t>号文件批复，县农业农村局联合县财政局报送市农业农村局和市财政局备案后，个项目主体开始组织实施。</w:t>
      </w:r>
    </w:p>
    <w:p w14:paraId="6ABD189D">
      <w:pPr>
        <w:spacing w:line="560" w:lineRule="exact"/>
        <w:ind w:left="0" w:leftChars="0" w:firstLine="640" w:firstLineChars="200"/>
        <w:rPr>
          <w:rFonts w:eastAsia="仿宋_GB2312"/>
          <w:sz w:val="32"/>
          <w:szCs w:val="32"/>
        </w:rPr>
      </w:pPr>
      <w:r>
        <w:rPr>
          <w:rFonts w:hint="eastAsia" w:ascii="楷体_GB2312" w:eastAsia="楷体_GB2312"/>
          <w:sz w:val="32"/>
          <w:szCs w:val="32"/>
        </w:rPr>
        <w:t>（二）项目绩效目标。</w:t>
      </w:r>
      <w:r>
        <w:rPr>
          <w:rFonts w:hint="eastAsia" w:eastAsia="仿宋_GB2312"/>
          <w:sz w:val="32"/>
          <w:szCs w:val="32"/>
        </w:rPr>
        <w:t>2023年，省上下达我县2023年中央财政农业经营主体能力提升生产设施条件改善项目资金409万元，其中支持农民合作社资金68万元、家庭农场资金341万元，支持不少于2个农民合作社，不少于12个家庭农场实施农业生产设施条件改善，设施蔬菜财政资金不少于135万元。</w:t>
      </w:r>
      <w:r>
        <w:rPr>
          <w:rFonts w:eastAsia="仿宋_GB2312"/>
          <w:sz w:val="32"/>
          <w:szCs w:val="32"/>
        </w:rPr>
        <w:t>中央财政资金对单个主体补助不超过总投资的30%，单个农民合作社补助不超过50万元、家庭农场补助不超过30万元。</w:t>
      </w:r>
      <w:r>
        <w:rPr>
          <w:rFonts w:hint="eastAsia" w:eastAsia="仿宋_GB2312"/>
          <w:sz w:val="32"/>
          <w:szCs w:val="32"/>
        </w:rPr>
        <w:t>2023年农业生产设施条件改善项目扶持农民合作社2个资金68万元，分别是：盐边县四季牧歌种殖专业合作社50万元、盐边县国云种植专业合作社18万元；扶持家庭农场14个资金341万元，分别是：盐边县火烧天种养殖家庭农场30万元、盐边县渔门镇贵林家庭农场30万元、盐边县国胜乡启园家庭农场30万元、盐边县永兴镇金丰家庭农场15万元、盐边县渔门镇林朗家庭农场20万元、盐边县天厚种养殖家庭农场10万元、盐边县永兴镇高源家庭农场30万元、盐边县国胜乡明峰家庭农场20万元、盐边县国胜乡代顺华家庭农场30万元、盐边县渔门镇昊天家庭农场30万元、盐边县惠民镇兴源家庭农场6万元、盐边县国胜乡顺民家庭农场30万元、盐边县李正超家庭农场30万元、盐边县郑郑好家庭农场30万元。</w:t>
      </w:r>
    </w:p>
    <w:p w14:paraId="09A0647B">
      <w:pPr>
        <w:spacing w:line="560" w:lineRule="exact"/>
        <w:ind w:left="0" w:leftChars="0" w:firstLine="640" w:firstLineChars="200"/>
        <w:rPr>
          <w:rFonts w:eastAsia="仿宋_GB2312"/>
          <w:sz w:val="32"/>
          <w:szCs w:val="32"/>
        </w:rPr>
      </w:pPr>
      <w:r>
        <w:rPr>
          <w:rFonts w:hint="eastAsia" w:ascii="楷体_GB2312" w:eastAsia="楷体_GB2312"/>
          <w:sz w:val="32"/>
          <w:szCs w:val="32"/>
        </w:rPr>
        <w:t>（三）项目资金申报相符性。</w:t>
      </w:r>
      <w:r>
        <w:rPr>
          <w:rFonts w:hint="eastAsia" w:eastAsia="仿宋_GB2312"/>
          <w:sz w:val="32"/>
          <w:szCs w:val="32"/>
        </w:rPr>
        <w:t>该项目申报内容与具体实施内容相符、申报目标合理可行。</w:t>
      </w:r>
    </w:p>
    <w:p w14:paraId="6D24432C">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二、项目实施及管理情况</w:t>
      </w:r>
    </w:p>
    <w:p w14:paraId="0643CFA4">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（一）资金计划、到位及使用情况。</w:t>
      </w:r>
    </w:p>
    <w:p w14:paraId="7373C76C">
      <w:pPr>
        <w:spacing w:line="560" w:lineRule="exact"/>
        <w:ind w:left="0" w:leftChars="0"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该项目扶持合作社2个、扶持家庭农场14个，总投资1385.34万元，其中申请中央财政资金409万元，经营主体自筹资金976.34万元。</w:t>
      </w:r>
    </w:p>
    <w:p w14:paraId="729B7BE1">
      <w:pPr>
        <w:spacing w:line="560" w:lineRule="exact"/>
        <w:ind w:left="0" w:leftChars="0"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省财政厅 省农业农村厅以《关于下达2023年中央财政农业经营主体能力提升资金的通知》（川财农〔2023〕86号）文件，下达我县2023年中央财政农业经营主体能力提升生产设施条件改善项目资金409万元。</w:t>
      </w:r>
    </w:p>
    <w:p w14:paraId="75406F3C">
      <w:pPr>
        <w:spacing w:line="560" w:lineRule="exact"/>
        <w:ind w:left="0" w:leftChars="0"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截至目前，项目均已开工建设，已完工6个，验收3个，完成报账手续1个，资金暂未拨付。</w:t>
      </w:r>
    </w:p>
    <w:p w14:paraId="7D6ACE45">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（二）项目财务管理情况。</w:t>
      </w:r>
    </w:p>
    <w:p w14:paraId="23E5AD07">
      <w:pPr>
        <w:spacing w:line="560" w:lineRule="exact"/>
        <w:ind w:left="0" w:leftChars="0" w:firstLine="640" w:firstLineChars="200"/>
        <w:rPr>
          <w:rFonts w:eastAsia="仿宋_GB2312"/>
          <w:sz w:val="32"/>
          <w:szCs w:val="32"/>
        </w:rPr>
      </w:pPr>
      <w:r>
        <w:rPr>
          <w:rFonts w:hint="eastAsia" w:eastAsia="仿宋_GB2312"/>
          <w:sz w:val="32"/>
          <w:szCs w:val="32"/>
        </w:rPr>
        <w:t>该项目严格执行财务管理制度，账务处理及时，会计核算规范。</w:t>
      </w:r>
    </w:p>
    <w:p w14:paraId="15F2E5A2">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（三）项目组织实施情况。</w:t>
      </w:r>
    </w:p>
    <w:p w14:paraId="32F81390">
      <w:pPr>
        <w:spacing w:line="560" w:lineRule="exact"/>
        <w:ind w:left="0" w:leftChars="0" w:firstLine="640" w:firstLineChars="200"/>
        <w:rPr>
          <w:rFonts w:eastAsia="仿宋_GB2312"/>
          <w:sz w:val="32"/>
          <w:szCs w:val="32"/>
        </w:rPr>
      </w:pPr>
      <w:r>
        <w:rPr>
          <w:rFonts w:hint="eastAsia" w:eastAsia="仿宋_GB2312"/>
          <w:sz w:val="32"/>
          <w:szCs w:val="32"/>
        </w:rPr>
        <w:t>项目批复后，各项目主体及时落实资金进行项目建设。项目全部实行先建后补，不预付财政资金。项目完工后，先由所在乡（镇）人民政府组织验收，乡镇级验收合格后再由县农业农村局组织进行县级验收，合格后实施主体凭验收报告书到县农业农村局办理竣工结算和报帐。</w:t>
      </w:r>
    </w:p>
    <w:p w14:paraId="6FA3E051">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三、项目绩效情况</w:t>
      </w:r>
      <w:r>
        <w:rPr>
          <w:rFonts w:hint="eastAsia" w:ascii="黑体" w:hAnsi="黑体" w:eastAsia="黑体"/>
          <w:sz w:val="32"/>
          <w:szCs w:val="32"/>
        </w:rPr>
        <w:tab/>
      </w:r>
    </w:p>
    <w:p w14:paraId="2703D7FF">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（一）项目完成情况。</w:t>
      </w:r>
    </w:p>
    <w:p w14:paraId="2C487CDB">
      <w:pPr>
        <w:spacing w:line="560" w:lineRule="exact"/>
        <w:ind w:left="0" w:leftChars="0" w:firstLine="640" w:firstLineChars="200"/>
        <w:rPr>
          <w:rFonts w:eastAsia="仿宋_GB2312"/>
          <w:sz w:val="32"/>
          <w:szCs w:val="32"/>
        </w:rPr>
      </w:pPr>
      <w:r>
        <w:rPr>
          <w:rFonts w:hint="eastAsia" w:eastAsia="仿宋_GB2312"/>
          <w:sz w:val="32"/>
          <w:szCs w:val="32"/>
        </w:rPr>
        <w:t>截至目前，项目均已开工建设，已完工6个，验收3个，报账1个</w:t>
      </w:r>
    </w:p>
    <w:p w14:paraId="554356DE">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（二）项目效益情况。</w:t>
      </w:r>
    </w:p>
    <w:p w14:paraId="314DD1D4">
      <w:pPr>
        <w:spacing w:line="560" w:lineRule="exact"/>
        <w:ind w:left="0" w:leftChars="0" w:firstLine="640" w:firstLineChars="200"/>
        <w:rPr>
          <w:rFonts w:eastAsia="仿宋_GB2312"/>
          <w:sz w:val="32"/>
          <w:szCs w:val="32"/>
        </w:rPr>
      </w:pPr>
      <w:r>
        <w:rPr>
          <w:rFonts w:hint="eastAsia" w:eastAsia="仿宋_GB2312"/>
          <w:sz w:val="32"/>
          <w:szCs w:val="32"/>
        </w:rPr>
        <w:t>项目建成后，可有效改善农业生产设施条件，实现农业数量、质量和生态效益并重的可持续发展。一是方便果蔬等农产品的细化分级包装，采用机械化生产线对产品进行品质分级，既节省人工成本，也有利于销售价格的提升，冷库修建可以缓解果蔬集中上市的压力，有效解决广大农户蔬菜“卖难”问题，增加有效供给，提高产品质量安全水平。二是促进畜牧业健康发展，有效提升养殖标准化水平，提高养殖场粪污处理能力，改善养殖环境，增加养殖效益。三是提高草地资源的利用和实施种、养生态微环系统，不仅可以大幅度地提高资源的综合利用率、劳动生产率，而且通过草地保护开发建设，改善生态环境，保持水土，涵养水源，改良土壤，从根本上改变耕地旱、瘠等问题。四是提升农场软硬件基础设施，使生产经营进一步合理化、规范化，提高生产效率和降低生产成本，将鱼场养殖水循环使用，在不增加生产成本的前提下增加经济效益，达到节能效果。通过二级污水净化处理，养殖用水安全还原溪河，加强环境保护，实现减排目的。</w:t>
      </w:r>
    </w:p>
    <w:p w14:paraId="0FFF4C62">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四、问题及建议</w:t>
      </w:r>
    </w:p>
    <w:p w14:paraId="4476F5E2">
      <w:pPr>
        <w:spacing w:line="560" w:lineRule="exact"/>
        <w:ind w:left="0" w:leftChars="0" w:firstLine="643" w:firstLineChars="200"/>
        <w:rPr>
          <w:rFonts w:eastAsia="仿宋_GB2312"/>
          <w:sz w:val="32"/>
          <w:szCs w:val="32"/>
        </w:rPr>
      </w:pPr>
      <w:r>
        <w:rPr>
          <w:rFonts w:hint="eastAsia" w:eastAsia="仿宋_GB2312"/>
          <w:b/>
          <w:sz w:val="32"/>
          <w:szCs w:val="32"/>
        </w:rPr>
        <w:t>一是</w:t>
      </w:r>
      <w:r>
        <w:rPr>
          <w:rFonts w:hint="eastAsia" w:eastAsia="仿宋_GB2312"/>
          <w:sz w:val="32"/>
          <w:szCs w:val="32"/>
        </w:rPr>
        <w:t>项目下达时间较晚，县区在遴选实施主体、审核主体方案、局党组会研究、县政府常务会审议批复、上报市局备案这一流程中会耽误较多时间，可能导致项目滞后，不能按期完成。</w:t>
      </w:r>
    </w:p>
    <w:p w14:paraId="271B5D4A">
      <w:pPr>
        <w:spacing w:line="560" w:lineRule="exact"/>
        <w:ind w:left="0" w:leftChars="0" w:firstLine="643" w:firstLineChars="200"/>
        <w:rPr>
          <w:rFonts w:eastAsia="仿宋_GB2312"/>
          <w:sz w:val="32"/>
          <w:szCs w:val="32"/>
        </w:rPr>
      </w:pPr>
      <w:r>
        <w:rPr>
          <w:rFonts w:hint="eastAsia" w:eastAsia="仿宋_GB2312"/>
          <w:b/>
          <w:sz w:val="32"/>
          <w:szCs w:val="32"/>
        </w:rPr>
        <w:t>二是</w:t>
      </w:r>
      <w:r>
        <w:rPr>
          <w:rFonts w:hint="eastAsia" w:eastAsia="仿宋_GB2312"/>
          <w:sz w:val="32"/>
          <w:szCs w:val="32"/>
        </w:rPr>
        <w:t>建议省厅每年提前在3月底前安排项目，县（区）才有时间履行报批、备案等程序性工作，也才能在年底前组织验收和办理报账手续。</w:t>
      </w:r>
    </w:p>
    <w:p w14:paraId="38BBD7A9">
      <w:pPr>
        <w:spacing w:line="560" w:lineRule="exact"/>
        <w:ind w:left="0" w:leftChars="0" w:firstLine="643" w:firstLineChars="200"/>
        <w:rPr>
          <w:rFonts w:eastAsia="仿宋_GB2312"/>
          <w:sz w:val="32"/>
          <w:szCs w:val="32"/>
        </w:rPr>
      </w:pPr>
      <w:r>
        <w:rPr>
          <w:rFonts w:hint="eastAsia" w:eastAsia="仿宋_GB2312"/>
          <w:b/>
          <w:sz w:val="32"/>
          <w:szCs w:val="32"/>
        </w:rPr>
        <w:t>三是</w:t>
      </w:r>
      <w:r>
        <w:rPr>
          <w:rFonts w:hint="eastAsia" w:eastAsia="仿宋_GB2312"/>
          <w:sz w:val="32"/>
          <w:szCs w:val="32"/>
        </w:rPr>
        <w:t>建议项目跨年度实施完成，省厅项目一般都在每年7至9月安排下达，需给县区留出组织实施和验收的时间，项目也应该在第二年这个时间段完成。</w:t>
      </w:r>
    </w:p>
    <w:p w14:paraId="79F334CA">
      <w:pPr>
        <w:spacing w:line="560" w:lineRule="exact"/>
        <w:ind w:left="0" w:leftChars="0" w:firstLine="643" w:firstLineChars="200"/>
        <w:rPr>
          <w:rFonts w:eastAsia="仿宋_GB2312"/>
          <w:sz w:val="32"/>
          <w:szCs w:val="32"/>
        </w:rPr>
      </w:pPr>
      <w:r>
        <w:rPr>
          <w:rFonts w:hint="eastAsia" w:eastAsia="仿宋_GB2312"/>
          <w:b/>
          <w:sz w:val="32"/>
          <w:szCs w:val="32"/>
        </w:rPr>
        <w:t>四是</w:t>
      </w:r>
      <w:r>
        <w:rPr>
          <w:rFonts w:hint="eastAsia" w:eastAsia="仿宋_GB2312"/>
          <w:sz w:val="32"/>
          <w:szCs w:val="32"/>
        </w:rPr>
        <w:t>项目自筹资金比例较高，部分主体有意愿实施，但自筹资金不够，申报实施项目的积极性不高。</w:t>
      </w:r>
    </w:p>
    <w:p w14:paraId="32CA3DAF">
      <w:pPr>
        <w:spacing w:line="560" w:lineRule="exact"/>
        <w:ind w:left="0" w:leftChars="0" w:firstLine="0" w:firstLineChars="0"/>
        <w:rPr>
          <w:rFonts w:eastAsia="仿宋_GB2312"/>
          <w:sz w:val="32"/>
          <w:szCs w:val="32"/>
        </w:rPr>
      </w:pPr>
    </w:p>
    <w:p w14:paraId="53C7F2D8">
      <w:pPr>
        <w:spacing w:line="560" w:lineRule="exact"/>
        <w:ind w:left="0" w:leftChars="0" w:firstLine="0" w:firstLineChars="0"/>
        <w:rPr>
          <w:rFonts w:eastAsia="仿宋_GB2312"/>
          <w:sz w:val="32"/>
          <w:szCs w:val="32"/>
        </w:rPr>
      </w:pPr>
    </w:p>
    <w:p w14:paraId="69656B90">
      <w:pPr>
        <w:spacing w:line="560" w:lineRule="exact"/>
        <w:ind w:left="0" w:leftChars="0" w:firstLine="0" w:firstLineChars="0"/>
        <w:rPr>
          <w:rFonts w:eastAsia="仿宋_GB2312"/>
          <w:sz w:val="32"/>
          <w:szCs w:val="32"/>
        </w:rPr>
      </w:pPr>
    </w:p>
    <w:p w14:paraId="4476DCD2">
      <w:pPr>
        <w:spacing w:line="560" w:lineRule="exact"/>
        <w:ind w:left="0" w:leftChars="0" w:firstLine="0" w:firstLineChars="0"/>
        <w:rPr>
          <w:rFonts w:eastAsia="仿宋_GB2312"/>
          <w:sz w:val="32"/>
          <w:szCs w:val="32"/>
        </w:rPr>
      </w:pPr>
    </w:p>
    <w:p w14:paraId="1E2A9DFC">
      <w:pPr>
        <w:spacing w:line="560" w:lineRule="exact"/>
        <w:ind w:left="0" w:leftChars="0" w:firstLine="0" w:firstLineChars="0"/>
        <w:rPr>
          <w:rFonts w:eastAsia="仿宋_GB2312"/>
          <w:sz w:val="32"/>
          <w:szCs w:val="32"/>
        </w:rPr>
      </w:pPr>
    </w:p>
    <w:p w14:paraId="5F43BB19">
      <w:pPr>
        <w:spacing w:line="560" w:lineRule="exact"/>
        <w:ind w:left="0" w:leftChars="0" w:firstLine="0" w:firstLineChars="0"/>
        <w:rPr>
          <w:rFonts w:ascii="黑体" w:hAnsi="黑体" w:eastAsia="黑体"/>
          <w:sz w:val="32"/>
          <w:szCs w:val="32"/>
        </w:rPr>
      </w:pPr>
      <w:r>
        <w:rPr>
          <w:rFonts w:hint="eastAsia" w:ascii="黑体" w:hAnsi="黑体" w:eastAsia="黑体"/>
          <w:sz w:val="32"/>
          <w:szCs w:val="32"/>
        </w:rPr>
        <w:t>附件5</w:t>
      </w:r>
    </w:p>
    <w:p w14:paraId="7BFC18A9">
      <w:pPr>
        <w:spacing w:line="560" w:lineRule="exact"/>
        <w:ind w:left="0" w:leftChars="0" w:firstLine="0" w:firstLineChars="0"/>
        <w:rPr>
          <w:rFonts w:eastAsia="仿宋_GB2312"/>
          <w:sz w:val="32"/>
          <w:szCs w:val="32"/>
        </w:rPr>
      </w:pPr>
    </w:p>
    <w:p w14:paraId="21B101A4">
      <w:pPr>
        <w:spacing w:line="560" w:lineRule="exact"/>
        <w:ind w:left="0" w:leftChars="0" w:firstLine="0" w:firstLineChars="0"/>
        <w:jc w:val="center"/>
        <w:rPr>
          <w:rFonts w:ascii="方正小标宋简体" w:eastAsia="方正小标宋简体"/>
          <w:sz w:val="36"/>
          <w:szCs w:val="36"/>
        </w:rPr>
      </w:pPr>
      <w:r>
        <w:rPr>
          <w:rFonts w:hint="eastAsia" w:ascii="方正小标宋简体" w:eastAsia="方正小标宋简体"/>
          <w:sz w:val="36"/>
          <w:szCs w:val="36"/>
        </w:rPr>
        <w:t>盐边县2023年红火蚁监测防控项目支出绩效</w:t>
      </w:r>
    </w:p>
    <w:p w14:paraId="37899E09">
      <w:pPr>
        <w:spacing w:line="560" w:lineRule="exact"/>
        <w:ind w:left="0" w:leftChars="0" w:firstLine="0" w:firstLineChars="0"/>
        <w:jc w:val="center"/>
        <w:rPr>
          <w:rFonts w:ascii="方正小标宋简体" w:eastAsia="方正小标宋简体"/>
          <w:sz w:val="36"/>
          <w:szCs w:val="36"/>
        </w:rPr>
      </w:pPr>
      <w:r>
        <w:rPr>
          <w:rFonts w:hint="eastAsia" w:ascii="方正小标宋简体" w:eastAsia="方正小标宋简体"/>
          <w:sz w:val="36"/>
          <w:szCs w:val="36"/>
        </w:rPr>
        <w:t>自评报告</w:t>
      </w:r>
    </w:p>
    <w:p w14:paraId="4075848F">
      <w:pPr>
        <w:spacing w:line="560" w:lineRule="exact"/>
        <w:ind w:left="0" w:leftChars="0" w:firstLine="640" w:firstLineChars="200"/>
        <w:rPr>
          <w:rFonts w:eastAsia="仿宋_GB2312"/>
          <w:sz w:val="32"/>
          <w:szCs w:val="32"/>
        </w:rPr>
      </w:pPr>
    </w:p>
    <w:p w14:paraId="7C787825">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一、项目概况</w:t>
      </w:r>
    </w:p>
    <w:p w14:paraId="03FC3D70">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（一）项目资金申报及批复情况。</w:t>
      </w:r>
    </w:p>
    <w:p w14:paraId="3907FD2B">
      <w:pPr>
        <w:spacing w:line="560" w:lineRule="exact"/>
        <w:ind w:left="0" w:leftChars="0" w:firstLine="640" w:firstLineChars="200"/>
        <w:rPr>
          <w:rFonts w:eastAsia="仿宋_GB2312"/>
          <w:sz w:val="32"/>
          <w:szCs w:val="32"/>
        </w:rPr>
      </w:pPr>
      <w:r>
        <w:rPr>
          <w:rFonts w:hint="eastAsia" w:eastAsia="仿宋_GB2312"/>
          <w:sz w:val="32"/>
          <w:szCs w:val="32"/>
        </w:rPr>
        <w:t>2023年，《四川省财政厅四川省农业农村厅关于下达2023年中央财政农业防灾减灾和水利救灾资金（防灾救灾第一批）的通知》（川财农〔2023〕52号）下达我县红火蚁监测防控资金56万元。结合我县实际，我局制定了《盐边县2023年中央财政专项植物疫情监测及阻截防控项目实施方案》并经局党组会议审定通过，按省农业农村厅《关于印发〈四川省2023年中央财政农业防灾减灾资金（第一批）实施方案〉的通知》（川农函〔2023〕307号）要求，将编制的《盐边县2023年中央财政专项植物疫情监测及阻截防控项目实施方案》报请县政府审定，获得县政府批准，同意实施。</w:t>
      </w:r>
    </w:p>
    <w:p w14:paraId="493A4278">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（二）项目绩效目标。</w:t>
      </w:r>
    </w:p>
    <w:p w14:paraId="34473547">
      <w:pPr>
        <w:spacing w:line="560" w:lineRule="exact"/>
        <w:ind w:left="0" w:leftChars="0" w:firstLine="640" w:firstLineChars="200"/>
        <w:rPr>
          <w:rFonts w:eastAsia="仿宋_GB2312"/>
          <w:sz w:val="32"/>
          <w:szCs w:val="32"/>
        </w:rPr>
      </w:pPr>
      <w:r>
        <w:rPr>
          <w:rFonts w:hint="eastAsia" w:eastAsia="仿宋_GB2312"/>
          <w:sz w:val="32"/>
          <w:szCs w:val="32"/>
        </w:rPr>
        <w:t>项目绩效目标要求监测防控红火蚁面积≥18437亩次。项目于11月底前全面完成。</w:t>
      </w:r>
    </w:p>
    <w:p w14:paraId="1C0F78CC">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（三）项目资金申报相符性。</w:t>
      </w:r>
    </w:p>
    <w:p w14:paraId="1955A770">
      <w:pPr>
        <w:spacing w:line="560" w:lineRule="exact"/>
        <w:ind w:left="0" w:leftChars="0" w:firstLine="640" w:firstLineChars="200"/>
        <w:rPr>
          <w:rFonts w:eastAsia="仿宋_GB2312"/>
          <w:sz w:val="32"/>
          <w:szCs w:val="32"/>
        </w:rPr>
      </w:pPr>
      <w:r>
        <w:rPr>
          <w:rFonts w:hint="eastAsia" w:eastAsia="仿宋_GB2312"/>
          <w:sz w:val="32"/>
          <w:szCs w:val="32"/>
        </w:rPr>
        <w:t>该项目申报内容与具体实施内容相符、申报目标合理可行。</w:t>
      </w:r>
    </w:p>
    <w:p w14:paraId="47A6FAE8">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二、项目实施及管理情况</w:t>
      </w:r>
    </w:p>
    <w:p w14:paraId="625F7D1D">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（一）资金计划、到位及使用情况。</w:t>
      </w:r>
    </w:p>
    <w:p w14:paraId="586F306C">
      <w:pPr>
        <w:spacing w:line="560" w:lineRule="exact"/>
        <w:ind w:left="0" w:leftChars="0" w:firstLine="643" w:firstLineChars="200"/>
        <w:rPr>
          <w:rFonts w:eastAsia="仿宋_GB2312"/>
          <w:b/>
          <w:sz w:val="32"/>
          <w:szCs w:val="32"/>
        </w:rPr>
      </w:pPr>
      <w:r>
        <w:rPr>
          <w:rFonts w:hint="eastAsia" w:eastAsia="仿宋_GB2312"/>
          <w:b/>
          <w:sz w:val="32"/>
          <w:szCs w:val="32"/>
        </w:rPr>
        <w:t>1．资金计划及到位。</w:t>
      </w:r>
    </w:p>
    <w:p w14:paraId="79084962">
      <w:pPr>
        <w:spacing w:line="560" w:lineRule="exact"/>
        <w:ind w:left="0" w:leftChars="0" w:firstLine="640" w:firstLineChars="200"/>
        <w:rPr>
          <w:rFonts w:eastAsia="仿宋_GB2312"/>
          <w:sz w:val="32"/>
          <w:szCs w:val="32"/>
        </w:rPr>
      </w:pPr>
      <w:r>
        <w:rPr>
          <w:rFonts w:hint="eastAsia" w:eastAsia="仿宋_GB2312"/>
          <w:sz w:val="32"/>
          <w:szCs w:val="32"/>
        </w:rPr>
        <w:t>省级资金到位县财政后，盐边县财政及时将资金全额下达到了盐边县农业农村局。</w:t>
      </w:r>
    </w:p>
    <w:p w14:paraId="75B07C15">
      <w:pPr>
        <w:spacing w:line="560" w:lineRule="exact"/>
        <w:ind w:left="0" w:leftChars="0" w:firstLine="643" w:firstLineChars="200"/>
        <w:rPr>
          <w:rFonts w:eastAsia="仿宋_GB2312"/>
          <w:b/>
          <w:sz w:val="32"/>
          <w:szCs w:val="32"/>
        </w:rPr>
      </w:pPr>
      <w:r>
        <w:rPr>
          <w:rFonts w:hint="eastAsia" w:eastAsia="仿宋_GB2312"/>
          <w:b/>
          <w:sz w:val="32"/>
          <w:szCs w:val="32"/>
        </w:rPr>
        <w:t>2．资金使用。</w:t>
      </w:r>
    </w:p>
    <w:p w14:paraId="38673AE8">
      <w:pPr>
        <w:spacing w:line="560" w:lineRule="exact"/>
        <w:ind w:left="0" w:leftChars="0" w:firstLine="640" w:firstLineChars="200"/>
        <w:rPr>
          <w:rFonts w:eastAsia="仿宋_GB2312"/>
          <w:sz w:val="32"/>
          <w:szCs w:val="32"/>
        </w:rPr>
      </w:pPr>
      <w:r>
        <w:rPr>
          <w:rFonts w:hint="eastAsia" w:eastAsia="仿宋_GB2312"/>
          <w:sz w:val="32"/>
          <w:szCs w:val="32"/>
        </w:rPr>
        <w:t>中央资金56万元全部到位，现已支付55.4万元（防控服务费37.9万元，监测补助费等17.5万元），余额0.6万元属招标结余。</w:t>
      </w:r>
    </w:p>
    <w:p w14:paraId="0BA15F97">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（二）项目财务管理情况。</w:t>
      </w:r>
    </w:p>
    <w:p w14:paraId="22FECD7F">
      <w:pPr>
        <w:spacing w:line="560" w:lineRule="exact"/>
        <w:ind w:left="0" w:leftChars="0" w:firstLine="640" w:firstLineChars="200"/>
        <w:rPr>
          <w:rFonts w:eastAsia="仿宋_GB2312"/>
          <w:sz w:val="32"/>
          <w:szCs w:val="32"/>
        </w:rPr>
      </w:pPr>
      <w:r>
        <w:rPr>
          <w:rFonts w:hint="eastAsia" w:eastAsia="仿宋_GB2312"/>
          <w:sz w:val="32"/>
          <w:szCs w:val="32"/>
        </w:rPr>
        <w:t>项目资金管理按照《四川省省级财政农业公共安全与生</w:t>
      </w:r>
    </w:p>
    <w:p w14:paraId="3ADEF2CE">
      <w:pPr>
        <w:spacing w:line="560" w:lineRule="exact"/>
        <w:ind w:left="0" w:leftChars="0" w:firstLine="640" w:firstLineChars="200"/>
        <w:rPr>
          <w:rFonts w:eastAsia="仿宋_GB2312"/>
          <w:sz w:val="32"/>
          <w:szCs w:val="32"/>
        </w:rPr>
      </w:pPr>
      <w:r>
        <w:rPr>
          <w:rFonts w:hint="eastAsia" w:eastAsia="仿宋_GB2312"/>
          <w:sz w:val="32"/>
          <w:szCs w:val="32"/>
        </w:rPr>
        <w:t>态资源保护利用工程共同财政事权转移支付资金管理办法》规定执行。项目资金采取政府购买服务竞争性磋商招标方式进行，严格实行县级报账、公示公告制度，做到规范透明，阳光操作,防止挤占、挪用项目资金。并依据完整的项目资料、相关合法票据、考评资料等经局内相关领导审批后方可支付项目资金。财政部门全程监管。</w:t>
      </w:r>
    </w:p>
    <w:p w14:paraId="3B8D8D0D">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（三）项目组织实施情况。</w:t>
      </w:r>
    </w:p>
    <w:p w14:paraId="65504177">
      <w:pPr>
        <w:spacing w:line="560" w:lineRule="exact"/>
        <w:ind w:left="0" w:leftChars="0" w:firstLine="640" w:firstLineChars="200"/>
        <w:rPr>
          <w:rFonts w:eastAsia="仿宋_GB2312"/>
          <w:sz w:val="32"/>
          <w:szCs w:val="32"/>
        </w:rPr>
      </w:pPr>
      <w:r>
        <w:rPr>
          <w:rFonts w:hint="eastAsia" w:eastAsia="仿宋_GB2312"/>
          <w:sz w:val="32"/>
          <w:szCs w:val="32"/>
        </w:rPr>
        <w:t>项目按采购程序报批后，委托攀枝花市太立德工程咨询有限公司进行代理招标。经评标专家评审，四川英沃康农业有限公司成为了成交单位。签订了服务合同，约定了专业化防控面积（5500亩)、验收标准及验收需提交的相关资料类别。四川英沃康农业有限公司按照《红火蚁专业化防控实施规程》（NY/T3541－2020）进行了统一防控。依据批准的实施方案，与18名监测人员签订了监测协议，约定了监测任务、考核指标。要求监测人员运用招标成交的专业化防控公司提供的红火蚁普查监测防控智能系统实时上传监测情况。</w:t>
      </w:r>
    </w:p>
    <w:p w14:paraId="34715110">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三、项目绩效情况</w:t>
      </w:r>
      <w:r>
        <w:rPr>
          <w:rFonts w:hint="eastAsia" w:ascii="黑体" w:hAnsi="黑体" w:eastAsia="黑体"/>
          <w:sz w:val="32"/>
          <w:szCs w:val="32"/>
        </w:rPr>
        <w:tab/>
      </w:r>
    </w:p>
    <w:p w14:paraId="1EFDCA60">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（一）项目完成情况。</w:t>
      </w:r>
    </w:p>
    <w:p w14:paraId="5B771608">
      <w:pPr>
        <w:spacing w:line="560" w:lineRule="exact"/>
        <w:ind w:left="0" w:leftChars="0" w:firstLine="640" w:firstLineChars="200"/>
        <w:rPr>
          <w:rFonts w:eastAsia="仿宋_GB2312"/>
          <w:sz w:val="32"/>
          <w:szCs w:val="32"/>
        </w:rPr>
      </w:pPr>
      <w:r>
        <w:rPr>
          <w:rFonts w:hint="eastAsia" w:eastAsia="仿宋_GB2312"/>
          <w:sz w:val="32"/>
          <w:szCs w:val="32"/>
        </w:rPr>
        <w:t>县内涉疫区共设置红火蚁监测点89个(农业用地区域87个，绿化区域2个）。经监测调查，我县共3个乡镇16个村90个社、2个绿化区域发生红火蚁。监测调查面积41200亩，发现红火蚁活动蚁巢4736个。红火蚁发生面积26800亩。</w:t>
      </w:r>
    </w:p>
    <w:p w14:paraId="0997BC2F">
      <w:pPr>
        <w:spacing w:line="560" w:lineRule="exact"/>
        <w:ind w:left="0" w:leftChars="0" w:firstLine="640" w:firstLineChars="200"/>
        <w:rPr>
          <w:rFonts w:eastAsia="仿宋_GB2312"/>
          <w:sz w:val="32"/>
          <w:szCs w:val="32"/>
        </w:rPr>
      </w:pPr>
      <w:r>
        <w:rPr>
          <w:rFonts w:hint="eastAsia" w:eastAsia="仿宋_GB2312"/>
          <w:sz w:val="32"/>
          <w:szCs w:val="32"/>
        </w:rPr>
        <w:t>四川英沃康农业有限公司按照《红火蚁专业化防控实施规程》（NY/T3541－2020）进行了统一防控，并于11月初提请验收。11月14日，经市县验收组验收合格。防控区内红火蚁发生程度已完全控制在1级（轻发生）及以下水平。四川英沃康农业有限公司在10个专业化防控示范区开展专业化防控红火蚁，面积达11252亩次。项目监测防控面积共52452亩次。</w:t>
      </w:r>
    </w:p>
    <w:p w14:paraId="3EA355CA">
      <w:pPr>
        <w:spacing w:line="560" w:lineRule="exact"/>
        <w:ind w:left="0" w:leftChars="0" w:firstLine="640" w:firstLineChars="200"/>
        <w:rPr>
          <w:rFonts w:ascii="楷体_GB2312" w:eastAsia="楷体_GB2312"/>
          <w:sz w:val="32"/>
          <w:szCs w:val="32"/>
        </w:rPr>
      </w:pPr>
      <w:r>
        <w:rPr>
          <w:rFonts w:hint="eastAsia" w:ascii="楷体_GB2312" w:eastAsia="楷体_GB2312"/>
          <w:sz w:val="32"/>
          <w:szCs w:val="32"/>
        </w:rPr>
        <w:t>（二）项目效益情况。</w:t>
      </w:r>
    </w:p>
    <w:p w14:paraId="50FDFDEF">
      <w:pPr>
        <w:spacing w:line="560" w:lineRule="exact"/>
        <w:ind w:left="0" w:leftChars="0" w:firstLine="640" w:firstLineChars="200"/>
        <w:rPr>
          <w:rFonts w:eastAsia="仿宋_GB2312"/>
          <w:sz w:val="32"/>
          <w:szCs w:val="32"/>
        </w:rPr>
      </w:pPr>
      <w:r>
        <w:rPr>
          <w:rFonts w:hint="eastAsia" w:eastAsia="仿宋_GB2312"/>
          <w:sz w:val="32"/>
          <w:szCs w:val="32"/>
        </w:rPr>
        <w:t>通过监测及时掌握了红火蚁的发生动态，为专业化防控提供了明确精准的防控范围；专业化防控，规范标准，达到了预期的防效，显著降低了红火蚁的发生面积和危害程度，确保了农业生产安全和人畜安全。经调查，防控区内群众对红火蚁防控的满意度＞85%。</w:t>
      </w:r>
    </w:p>
    <w:p w14:paraId="7F1322A3">
      <w:pPr>
        <w:spacing w:line="560" w:lineRule="exact"/>
        <w:ind w:left="0" w:leftChars="0" w:firstLine="640" w:firstLineChars="200"/>
        <w:rPr>
          <w:rFonts w:ascii="黑体" w:hAnsi="黑体" w:eastAsia="黑体"/>
          <w:sz w:val="32"/>
          <w:szCs w:val="32"/>
        </w:rPr>
      </w:pPr>
      <w:r>
        <w:rPr>
          <w:rFonts w:hint="eastAsia" w:ascii="黑体" w:hAnsi="黑体" w:eastAsia="黑体"/>
          <w:sz w:val="32"/>
          <w:szCs w:val="32"/>
        </w:rPr>
        <w:t>四、问题及建议</w:t>
      </w:r>
    </w:p>
    <w:p w14:paraId="6DDFFB64">
      <w:pPr>
        <w:spacing w:line="560" w:lineRule="exact"/>
        <w:ind w:left="0" w:leftChars="0" w:firstLine="640" w:firstLineChars="200"/>
        <w:rPr>
          <w:rFonts w:eastAsia="仿宋_GB2312"/>
          <w:sz w:val="32"/>
          <w:szCs w:val="32"/>
        </w:rPr>
      </w:pPr>
      <w:r>
        <w:rPr>
          <w:rFonts w:hint="eastAsia" w:eastAsia="仿宋_GB2312"/>
          <w:sz w:val="32"/>
          <w:szCs w:val="32"/>
        </w:rPr>
        <w:t>红火蚁防控是一个长期持续的工作，需要投入大量的资金。上级财政支持少，县级无资金支持，防控压力大。</w:t>
      </w:r>
    </w:p>
    <w:p w14:paraId="3EAFC51E">
      <w:pPr>
        <w:pStyle w:val="3"/>
        <w:ind w:left="0" w:leftChars="0" w:firstLine="0" w:firstLineChars="0"/>
        <w:jc w:val="center"/>
        <w:rPr>
          <w:rFonts w:ascii="方正小标宋简体" w:hAnsi="黑体" w:eastAsia="方正小标宋简体"/>
          <w:b w:val="0"/>
        </w:rPr>
      </w:pPr>
      <w:r>
        <w:rPr>
          <w:rFonts w:hint="eastAsia" w:ascii="方正小标宋简体" w:hAnsi="黑体" w:eastAsia="方正小标宋简体"/>
          <w:b w:val="0"/>
        </w:rPr>
        <w:t>第五部分 附表</w:t>
      </w:r>
    </w:p>
    <w:p w14:paraId="1A18CD14">
      <w:pPr>
        <w:spacing w:line="560" w:lineRule="exact"/>
        <w:ind w:left="420" w:firstLine="720"/>
        <w:rPr>
          <w:rFonts w:ascii="仿宋" w:hAnsi="仿宋" w:eastAsia="仿宋"/>
          <w:sz w:val="32"/>
          <w:szCs w:val="32"/>
        </w:rPr>
      </w:pPr>
      <w:r>
        <w:rPr>
          <w:rFonts w:hint="eastAsia" w:ascii="仿宋" w:hAnsi="仿宋" w:eastAsia="仿宋"/>
          <w:sz w:val="32"/>
          <w:szCs w:val="32"/>
        </w:rPr>
        <w:t>一、收入支出决算总表</w:t>
      </w:r>
    </w:p>
    <w:p w14:paraId="68FB472C">
      <w:pPr>
        <w:spacing w:line="560" w:lineRule="exact"/>
        <w:ind w:left="420" w:firstLine="720"/>
        <w:rPr>
          <w:rFonts w:ascii="仿宋" w:hAnsi="仿宋" w:eastAsia="仿宋"/>
          <w:sz w:val="32"/>
          <w:szCs w:val="32"/>
        </w:rPr>
      </w:pPr>
      <w:r>
        <w:rPr>
          <w:rFonts w:hint="eastAsia" w:ascii="仿宋" w:hAnsi="仿宋" w:eastAsia="仿宋"/>
          <w:sz w:val="32"/>
          <w:szCs w:val="32"/>
        </w:rPr>
        <w:t>二、收入决算表</w:t>
      </w:r>
    </w:p>
    <w:p w14:paraId="7BC5B4F4">
      <w:pPr>
        <w:spacing w:line="560" w:lineRule="exact"/>
        <w:ind w:left="420" w:firstLine="720"/>
        <w:rPr>
          <w:rFonts w:ascii="仿宋" w:hAnsi="仿宋" w:eastAsia="仿宋"/>
          <w:sz w:val="32"/>
          <w:szCs w:val="32"/>
        </w:rPr>
      </w:pPr>
      <w:r>
        <w:rPr>
          <w:rFonts w:hint="eastAsia" w:ascii="仿宋" w:hAnsi="仿宋" w:eastAsia="仿宋"/>
          <w:sz w:val="32"/>
          <w:szCs w:val="32"/>
        </w:rPr>
        <w:t>三、支出决算表</w:t>
      </w:r>
    </w:p>
    <w:p w14:paraId="24A5209B">
      <w:pPr>
        <w:spacing w:line="560" w:lineRule="exact"/>
        <w:ind w:left="420" w:firstLine="720"/>
        <w:rPr>
          <w:rFonts w:ascii="仿宋" w:hAnsi="仿宋" w:eastAsia="仿宋"/>
          <w:sz w:val="32"/>
          <w:szCs w:val="32"/>
        </w:rPr>
      </w:pPr>
      <w:r>
        <w:rPr>
          <w:rFonts w:hint="eastAsia" w:ascii="仿宋" w:hAnsi="仿宋" w:eastAsia="仿宋"/>
          <w:sz w:val="32"/>
          <w:szCs w:val="32"/>
        </w:rPr>
        <w:t>四、财政拨款收入支出决算总表</w:t>
      </w:r>
    </w:p>
    <w:p w14:paraId="4B92427F">
      <w:pPr>
        <w:spacing w:line="560" w:lineRule="exact"/>
        <w:ind w:left="420" w:firstLine="720"/>
        <w:rPr>
          <w:rFonts w:ascii="仿宋" w:hAnsi="仿宋" w:eastAsia="仿宋"/>
          <w:sz w:val="32"/>
          <w:szCs w:val="32"/>
        </w:rPr>
      </w:pPr>
      <w:r>
        <w:rPr>
          <w:rFonts w:hint="eastAsia" w:ascii="仿宋" w:hAnsi="仿宋" w:eastAsia="仿宋"/>
          <w:sz w:val="32"/>
          <w:szCs w:val="32"/>
        </w:rPr>
        <w:t>五、财政拨款支出决算明细表</w:t>
      </w:r>
    </w:p>
    <w:p w14:paraId="105A2F3D">
      <w:pPr>
        <w:spacing w:line="560" w:lineRule="exact"/>
        <w:ind w:left="420" w:firstLine="720"/>
        <w:rPr>
          <w:rFonts w:ascii="仿宋" w:hAnsi="仿宋" w:eastAsia="仿宋"/>
          <w:sz w:val="32"/>
          <w:szCs w:val="32"/>
        </w:rPr>
      </w:pPr>
      <w:r>
        <w:rPr>
          <w:rFonts w:hint="eastAsia" w:ascii="仿宋" w:hAnsi="仿宋" w:eastAsia="仿宋"/>
          <w:sz w:val="32"/>
          <w:szCs w:val="32"/>
        </w:rPr>
        <w:t>六、一般公共预算财政拨款支出决算表</w:t>
      </w:r>
    </w:p>
    <w:p w14:paraId="641E52A4">
      <w:pPr>
        <w:spacing w:line="560" w:lineRule="exact"/>
        <w:ind w:left="420" w:firstLine="720"/>
        <w:rPr>
          <w:rFonts w:ascii="仿宋" w:hAnsi="仿宋" w:eastAsia="仿宋"/>
          <w:sz w:val="32"/>
          <w:szCs w:val="32"/>
        </w:rPr>
      </w:pPr>
      <w:r>
        <w:rPr>
          <w:rFonts w:hint="eastAsia" w:ascii="仿宋" w:hAnsi="仿宋" w:eastAsia="仿宋"/>
          <w:sz w:val="32"/>
          <w:szCs w:val="32"/>
        </w:rPr>
        <w:t>七、一般公共预算财政拨款支出决算明细表</w:t>
      </w:r>
    </w:p>
    <w:p w14:paraId="3C44B44C">
      <w:pPr>
        <w:spacing w:line="560" w:lineRule="exact"/>
        <w:ind w:left="420" w:firstLine="720"/>
        <w:rPr>
          <w:rFonts w:ascii="仿宋" w:hAnsi="仿宋" w:eastAsia="仿宋"/>
          <w:sz w:val="32"/>
          <w:szCs w:val="32"/>
        </w:rPr>
      </w:pPr>
      <w:r>
        <w:rPr>
          <w:rFonts w:hint="eastAsia" w:ascii="仿宋" w:hAnsi="仿宋" w:eastAsia="仿宋"/>
          <w:sz w:val="32"/>
          <w:szCs w:val="32"/>
        </w:rPr>
        <w:t>八、一般公共预算财政拨款基本支出决算表</w:t>
      </w:r>
    </w:p>
    <w:p w14:paraId="753DACEE">
      <w:pPr>
        <w:spacing w:line="560" w:lineRule="exact"/>
        <w:ind w:left="420" w:firstLine="720"/>
        <w:rPr>
          <w:rFonts w:ascii="仿宋" w:hAnsi="仿宋" w:eastAsia="仿宋"/>
          <w:sz w:val="32"/>
          <w:szCs w:val="32"/>
        </w:rPr>
      </w:pPr>
      <w:r>
        <w:rPr>
          <w:rFonts w:hint="eastAsia" w:ascii="仿宋" w:hAnsi="仿宋" w:eastAsia="仿宋"/>
          <w:sz w:val="32"/>
          <w:szCs w:val="32"/>
        </w:rPr>
        <w:t>九、一般公共预算财政拨款项目支出决算表</w:t>
      </w:r>
    </w:p>
    <w:p w14:paraId="56E97B82">
      <w:pPr>
        <w:spacing w:line="560" w:lineRule="exact"/>
        <w:ind w:left="420" w:firstLine="720"/>
        <w:rPr>
          <w:rFonts w:ascii="仿宋" w:hAnsi="仿宋" w:eastAsia="仿宋"/>
          <w:sz w:val="32"/>
          <w:szCs w:val="32"/>
        </w:rPr>
      </w:pPr>
      <w:r>
        <w:rPr>
          <w:rFonts w:hint="eastAsia" w:ascii="仿宋" w:hAnsi="仿宋" w:eastAsia="仿宋"/>
          <w:sz w:val="32"/>
          <w:szCs w:val="32"/>
        </w:rPr>
        <w:t>十、政府性基金预算财政拨款收入支出决算表</w:t>
      </w:r>
    </w:p>
    <w:p w14:paraId="18D728A8">
      <w:pPr>
        <w:spacing w:line="560" w:lineRule="exact"/>
        <w:ind w:left="420" w:firstLine="720"/>
        <w:rPr>
          <w:rFonts w:ascii="仿宋" w:hAnsi="仿宋" w:eastAsia="仿宋"/>
          <w:sz w:val="32"/>
          <w:szCs w:val="32"/>
        </w:rPr>
      </w:pPr>
      <w:r>
        <w:rPr>
          <w:rFonts w:hint="eastAsia" w:ascii="仿宋" w:hAnsi="仿宋" w:eastAsia="仿宋"/>
          <w:sz w:val="32"/>
          <w:szCs w:val="32"/>
        </w:rPr>
        <w:t>十一、国有资本经营预算财政拨款收入支出决算表</w:t>
      </w:r>
    </w:p>
    <w:p w14:paraId="665F7B6C">
      <w:pPr>
        <w:spacing w:line="560" w:lineRule="exact"/>
        <w:ind w:left="420" w:firstLine="720"/>
        <w:rPr>
          <w:rFonts w:ascii="仿宋" w:hAnsi="仿宋" w:eastAsia="仿宋"/>
          <w:sz w:val="32"/>
          <w:szCs w:val="32"/>
        </w:rPr>
      </w:pPr>
      <w:r>
        <w:rPr>
          <w:rFonts w:hint="eastAsia" w:ascii="仿宋" w:hAnsi="仿宋" w:eastAsia="仿宋"/>
          <w:sz w:val="32"/>
          <w:szCs w:val="32"/>
        </w:rPr>
        <w:t>十二、国有资本经营预算财政拨款支出决算表</w:t>
      </w:r>
    </w:p>
    <w:p w14:paraId="450DF4A3">
      <w:pPr>
        <w:spacing w:line="560" w:lineRule="exact"/>
        <w:ind w:left="420" w:firstLine="720"/>
        <w:rPr>
          <w:rFonts w:ascii="仿宋" w:hAnsi="仿宋" w:eastAsia="仿宋"/>
          <w:sz w:val="32"/>
          <w:szCs w:val="32"/>
        </w:rPr>
      </w:pPr>
      <w:r>
        <w:rPr>
          <w:rFonts w:hint="eastAsia" w:ascii="仿宋" w:hAnsi="仿宋" w:eastAsia="仿宋"/>
          <w:sz w:val="32"/>
          <w:szCs w:val="32"/>
        </w:rPr>
        <w:t>十三、财政拨款“三公”经费支出决算表</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20" w:firstLine="472"/>
      </w:pPr>
      <w:r>
        <w:separator/>
      </w:r>
    </w:p>
  </w:endnote>
  <w:endnote w:type="continuationSeparator" w:id="1">
    <w:p>
      <w:pPr>
        <w:spacing w:line="240" w:lineRule="auto"/>
        <w:ind w:left="420" w:firstLine="4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8C45CA-7E1F-4D50-B1F4-64590C1F058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59CAF0B-FBBF-42B9-8F11-B50F0FE7BE96}"/>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embedRegular r:id="rId3" w:fontKey="{9D831E2C-0D52-4552-BE16-91C8B3F1D18C}"/>
  </w:font>
  <w:font w:name="仿宋_GB2312">
    <w:panose1 w:val="02010609030101010101"/>
    <w:charset w:val="86"/>
    <w:family w:val="modern"/>
    <w:pitch w:val="default"/>
    <w:sig w:usb0="00000001" w:usb1="080E0000" w:usb2="00000000" w:usb3="00000000" w:csb0="00040000" w:csb1="00000000"/>
    <w:embedRegular r:id="rId4" w:fontKey="{9F13DA7C-7428-4905-AAF2-645F1D760184}"/>
  </w:font>
  <w:font w:name="仿宋">
    <w:panose1 w:val="02010609060101010101"/>
    <w:charset w:val="86"/>
    <w:family w:val="modern"/>
    <w:pitch w:val="default"/>
    <w:sig w:usb0="800002BF" w:usb1="38CF7CFA" w:usb2="00000016" w:usb3="00000000" w:csb0="00040001" w:csb1="00000000"/>
    <w:embedRegular r:id="rId5" w:fontKey="{59738097-13E3-4B71-A90B-7C89FBE1405B}"/>
  </w:font>
  <w:font w:name="??">
    <w:altName w:val="Times New Roman"/>
    <w:panose1 w:val="00000000000000000000"/>
    <w:charset w:val="00"/>
    <w:family w:val="roman"/>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6" w:fontKey="{4679AC10-1BD6-45B4-83E4-360475E46D2D}"/>
  </w:font>
  <w:font w:name="楷体_GB2312">
    <w:altName w:val="楷体"/>
    <w:panose1 w:val="02010609030101010101"/>
    <w:charset w:val="86"/>
    <w:family w:val="modern"/>
    <w:pitch w:val="default"/>
    <w:sig w:usb0="00000000" w:usb1="00000000" w:usb2="00000010" w:usb3="00000000" w:csb0="00040000" w:csb1="00000000"/>
    <w:embedRegular r:id="rId7" w:fontKey="{07DD8AE3-C160-43A2-93AC-A91EEEF07CAB}"/>
  </w:font>
  <w:font w:name="方正小标宋_GBK">
    <w:panose1 w:val="02000000000000000000"/>
    <w:charset w:val="86"/>
    <w:family w:val="script"/>
    <w:pitch w:val="default"/>
    <w:sig w:usb0="A00002BF" w:usb1="38CF7CFA" w:usb2="00082016" w:usb3="00000000" w:csb0="00040001" w:csb1="00000000"/>
    <w:embedRegular r:id="rId8" w:fontKey="{FEDA1077-7127-4B59-A2F8-47D299A1DB3B}"/>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40FDB553">
        <w:pPr>
          <w:pStyle w:val="10"/>
          <w:ind w:left="420" w:firstLine="405"/>
          <w:jc w:val="center"/>
        </w:pPr>
        <w:r>
          <w:fldChar w:fldCharType="begin"/>
        </w:r>
        <w:r>
          <w:instrText xml:space="preserve">PAGE   \* MERGEFORMAT</w:instrText>
        </w:r>
        <w:r>
          <w:fldChar w:fldCharType="separate"/>
        </w:r>
        <w:r>
          <w:rPr>
            <w:lang w:val="zh-CN"/>
          </w:rPr>
          <w:t>2</w:t>
        </w:r>
        <w:r>
          <w:rPr>
            <w:lang w:val="zh-CN"/>
          </w:rPr>
          <w:fldChar w:fldCharType="end"/>
        </w:r>
      </w:p>
    </w:sdtContent>
  </w:sdt>
  <w:p w14:paraId="21A0D533">
    <w:pPr>
      <w:pStyle w:val="10"/>
      <w:ind w:left="420" w:firstLine="40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DA683">
    <w:pPr>
      <w:pStyle w:val="10"/>
      <w:ind w:left="420" w:firstLine="40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87E93">
    <w:pPr>
      <w:pStyle w:val="10"/>
      <w:ind w:left="420" w:firstLine="40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420" w:firstLine="472"/>
      </w:pPr>
      <w:r>
        <w:separator/>
      </w:r>
    </w:p>
  </w:footnote>
  <w:footnote w:type="continuationSeparator" w:id="1">
    <w:p>
      <w:pPr>
        <w:spacing w:line="240" w:lineRule="auto"/>
        <w:ind w:left="420" w:firstLine="4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F1808">
    <w:pPr>
      <w:pStyle w:val="11"/>
      <w:pBdr>
        <w:bottom w:val="none" w:color="auto" w:sz="0" w:space="0"/>
      </w:pBdr>
      <w:ind w:left="420" w:firstLine="40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457C3">
    <w:pPr>
      <w:pStyle w:val="11"/>
      <w:ind w:left="420" w:firstLine="40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B05C8">
    <w:pPr>
      <w:pStyle w:val="11"/>
      <w:ind w:left="420" w:firstLine="40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lYWNjOTYwYWZkYWMzM2YyM2RhN2E1OGQzODE0YTkifQ=="/>
  </w:docVars>
  <w:rsids>
    <w:rsidRoot w:val="00F1361C"/>
    <w:rsid w:val="00014A1C"/>
    <w:rsid w:val="000222C6"/>
    <w:rsid w:val="00022565"/>
    <w:rsid w:val="0002549F"/>
    <w:rsid w:val="00035392"/>
    <w:rsid w:val="000468DB"/>
    <w:rsid w:val="00054F24"/>
    <w:rsid w:val="0006487A"/>
    <w:rsid w:val="00065F8F"/>
    <w:rsid w:val="00070A43"/>
    <w:rsid w:val="000768F2"/>
    <w:rsid w:val="00082EAC"/>
    <w:rsid w:val="0009184B"/>
    <w:rsid w:val="00094236"/>
    <w:rsid w:val="0009593C"/>
    <w:rsid w:val="00097322"/>
    <w:rsid w:val="00097358"/>
    <w:rsid w:val="000A0EC6"/>
    <w:rsid w:val="000A6A92"/>
    <w:rsid w:val="000B047F"/>
    <w:rsid w:val="000B5923"/>
    <w:rsid w:val="000B5A48"/>
    <w:rsid w:val="000B6FF3"/>
    <w:rsid w:val="000C244C"/>
    <w:rsid w:val="000C3467"/>
    <w:rsid w:val="000C3CA6"/>
    <w:rsid w:val="000D1267"/>
    <w:rsid w:val="000D1D50"/>
    <w:rsid w:val="000D5782"/>
    <w:rsid w:val="000E2938"/>
    <w:rsid w:val="000E609D"/>
    <w:rsid w:val="000E6613"/>
    <w:rsid w:val="000E7119"/>
    <w:rsid w:val="00114E9B"/>
    <w:rsid w:val="00142216"/>
    <w:rsid w:val="00144D6A"/>
    <w:rsid w:val="0014729F"/>
    <w:rsid w:val="00157BAB"/>
    <w:rsid w:val="001654D1"/>
    <w:rsid w:val="001730E5"/>
    <w:rsid w:val="00174113"/>
    <w:rsid w:val="00174518"/>
    <w:rsid w:val="0018106D"/>
    <w:rsid w:val="001877A7"/>
    <w:rsid w:val="00191536"/>
    <w:rsid w:val="00196687"/>
    <w:rsid w:val="001A5C33"/>
    <w:rsid w:val="001B2094"/>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664C0"/>
    <w:rsid w:val="00280496"/>
    <w:rsid w:val="00283D47"/>
    <w:rsid w:val="00286300"/>
    <w:rsid w:val="00294DC9"/>
    <w:rsid w:val="00295495"/>
    <w:rsid w:val="002A31DE"/>
    <w:rsid w:val="002A5D75"/>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A58BA"/>
    <w:rsid w:val="003B0BE0"/>
    <w:rsid w:val="003B0C1B"/>
    <w:rsid w:val="003B688C"/>
    <w:rsid w:val="003C0291"/>
    <w:rsid w:val="003C39AE"/>
    <w:rsid w:val="003C7B60"/>
    <w:rsid w:val="003D0C0F"/>
    <w:rsid w:val="003D1FB2"/>
    <w:rsid w:val="003D2919"/>
    <w:rsid w:val="003D66DA"/>
    <w:rsid w:val="003E0776"/>
    <w:rsid w:val="003E1310"/>
    <w:rsid w:val="003E2E6A"/>
    <w:rsid w:val="003E6F55"/>
    <w:rsid w:val="00406254"/>
    <w:rsid w:val="00406623"/>
    <w:rsid w:val="00410559"/>
    <w:rsid w:val="0041585D"/>
    <w:rsid w:val="00420B47"/>
    <w:rsid w:val="004223DE"/>
    <w:rsid w:val="00434489"/>
    <w:rsid w:val="00436425"/>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181E"/>
    <w:rsid w:val="0058486E"/>
    <w:rsid w:val="00585B33"/>
    <w:rsid w:val="0059014D"/>
    <w:rsid w:val="005A09FD"/>
    <w:rsid w:val="005A36BE"/>
    <w:rsid w:val="005A74E8"/>
    <w:rsid w:val="005B0198"/>
    <w:rsid w:val="005B321C"/>
    <w:rsid w:val="005B5C64"/>
    <w:rsid w:val="005C5337"/>
    <w:rsid w:val="005C6BD0"/>
    <w:rsid w:val="005D1C8B"/>
    <w:rsid w:val="005D468D"/>
    <w:rsid w:val="005D5CED"/>
    <w:rsid w:val="005F1A4C"/>
    <w:rsid w:val="006024CF"/>
    <w:rsid w:val="00605688"/>
    <w:rsid w:val="006070AF"/>
    <w:rsid w:val="00607E6C"/>
    <w:rsid w:val="006101B1"/>
    <w:rsid w:val="00614E44"/>
    <w:rsid w:val="00620030"/>
    <w:rsid w:val="0062270A"/>
    <w:rsid w:val="00622830"/>
    <w:rsid w:val="00623DA0"/>
    <w:rsid w:val="00630AEF"/>
    <w:rsid w:val="006325F8"/>
    <w:rsid w:val="00632FDC"/>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B4A24"/>
    <w:rsid w:val="006C1937"/>
    <w:rsid w:val="006F020C"/>
    <w:rsid w:val="006F0BA9"/>
    <w:rsid w:val="007127B7"/>
    <w:rsid w:val="0071798E"/>
    <w:rsid w:val="007229DB"/>
    <w:rsid w:val="007416B6"/>
    <w:rsid w:val="007417D7"/>
    <w:rsid w:val="0074516B"/>
    <w:rsid w:val="00746F48"/>
    <w:rsid w:val="0075404D"/>
    <w:rsid w:val="0076182A"/>
    <w:rsid w:val="00762406"/>
    <w:rsid w:val="0076493D"/>
    <w:rsid w:val="00767B7E"/>
    <w:rsid w:val="00774E67"/>
    <w:rsid w:val="007770C3"/>
    <w:rsid w:val="00784492"/>
    <w:rsid w:val="00784D24"/>
    <w:rsid w:val="00785FBA"/>
    <w:rsid w:val="00786E4A"/>
    <w:rsid w:val="007875EB"/>
    <w:rsid w:val="0079426B"/>
    <w:rsid w:val="007D1682"/>
    <w:rsid w:val="007D312A"/>
    <w:rsid w:val="007D3F19"/>
    <w:rsid w:val="007E23B0"/>
    <w:rsid w:val="007E23E5"/>
    <w:rsid w:val="007E6A82"/>
    <w:rsid w:val="007F1991"/>
    <w:rsid w:val="007F1DE4"/>
    <w:rsid w:val="007F2C2F"/>
    <w:rsid w:val="007F55FC"/>
    <w:rsid w:val="007F5665"/>
    <w:rsid w:val="007F7385"/>
    <w:rsid w:val="00800112"/>
    <w:rsid w:val="00813348"/>
    <w:rsid w:val="008253BB"/>
    <w:rsid w:val="0083706E"/>
    <w:rsid w:val="008408F6"/>
    <w:rsid w:val="008423A5"/>
    <w:rsid w:val="00850625"/>
    <w:rsid w:val="00853718"/>
    <w:rsid w:val="00853EC6"/>
    <w:rsid w:val="00855221"/>
    <w:rsid w:val="00860645"/>
    <w:rsid w:val="00871F71"/>
    <w:rsid w:val="00872FD8"/>
    <w:rsid w:val="00875641"/>
    <w:rsid w:val="00885AF4"/>
    <w:rsid w:val="00887F08"/>
    <w:rsid w:val="008914B9"/>
    <w:rsid w:val="00893642"/>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38B8"/>
    <w:rsid w:val="009B4EAE"/>
    <w:rsid w:val="009B7573"/>
    <w:rsid w:val="009C22F4"/>
    <w:rsid w:val="009C2A4B"/>
    <w:rsid w:val="009C2E98"/>
    <w:rsid w:val="009D3447"/>
    <w:rsid w:val="009D4711"/>
    <w:rsid w:val="009E50C8"/>
    <w:rsid w:val="009F1185"/>
    <w:rsid w:val="009F18CD"/>
    <w:rsid w:val="009F2A13"/>
    <w:rsid w:val="009F7527"/>
    <w:rsid w:val="00A04EB0"/>
    <w:rsid w:val="00A06277"/>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0AB4"/>
    <w:rsid w:val="00A733B2"/>
    <w:rsid w:val="00A741C2"/>
    <w:rsid w:val="00A74A9E"/>
    <w:rsid w:val="00A91760"/>
    <w:rsid w:val="00A93B00"/>
    <w:rsid w:val="00A93C21"/>
    <w:rsid w:val="00AB64C9"/>
    <w:rsid w:val="00AC2E50"/>
    <w:rsid w:val="00AC3C6A"/>
    <w:rsid w:val="00AC5C51"/>
    <w:rsid w:val="00AD5620"/>
    <w:rsid w:val="00AD656B"/>
    <w:rsid w:val="00AD7C1B"/>
    <w:rsid w:val="00AE16BA"/>
    <w:rsid w:val="00AE1EBE"/>
    <w:rsid w:val="00AF115A"/>
    <w:rsid w:val="00B03C9D"/>
    <w:rsid w:val="00B060AE"/>
    <w:rsid w:val="00B10517"/>
    <w:rsid w:val="00B12E8B"/>
    <w:rsid w:val="00B14E76"/>
    <w:rsid w:val="00B161B8"/>
    <w:rsid w:val="00B2048C"/>
    <w:rsid w:val="00B310B9"/>
    <w:rsid w:val="00B35F3F"/>
    <w:rsid w:val="00B36CBB"/>
    <w:rsid w:val="00B409D8"/>
    <w:rsid w:val="00B411A6"/>
    <w:rsid w:val="00B425E0"/>
    <w:rsid w:val="00B440AA"/>
    <w:rsid w:val="00B44B70"/>
    <w:rsid w:val="00B53C56"/>
    <w:rsid w:val="00B57DAF"/>
    <w:rsid w:val="00B76F9D"/>
    <w:rsid w:val="00B77EA6"/>
    <w:rsid w:val="00B81598"/>
    <w:rsid w:val="00B83909"/>
    <w:rsid w:val="00B841F1"/>
    <w:rsid w:val="00B944D6"/>
    <w:rsid w:val="00BA579E"/>
    <w:rsid w:val="00BB4DF0"/>
    <w:rsid w:val="00BC289F"/>
    <w:rsid w:val="00BC2D50"/>
    <w:rsid w:val="00BC5361"/>
    <w:rsid w:val="00BC5460"/>
    <w:rsid w:val="00BC6B50"/>
    <w:rsid w:val="00BD0E25"/>
    <w:rsid w:val="00BD799D"/>
    <w:rsid w:val="00BF4315"/>
    <w:rsid w:val="00BF5BD6"/>
    <w:rsid w:val="00C03E31"/>
    <w:rsid w:val="00C3202E"/>
    <w:rsid w:val="00C33E72"/>
    <w:rsid w:val="00C354B2"/>
    <w:rsid w:val="00C35554"/>
    <w:rsid w:val="00C42709"/>
    <w:rsid w:val="00C46119"/>
    <w:rsid w:val="00C533CC"/>
    <w:rsid w:val="00C5751C"/>
    <w:rsid w:val="00C61BFC"/>
    <w:rsid w:val="00C62B85"/>
    <w:rsid w:val="00C65438"/>
    <w:rsid w:val="00C860D5"/>
    <w:rsid w:val="00C86CBD"/>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BBF"/>
    <w:rsid w:val="00D34E7C"/>
    <w:rsid w:val="00D35489"/>
    <w:rsid w:val="00D36AFE"/>
    <w:rsid w:val="00D40D9B"/>
    <w:rsid w:val="00D51276"/>
    <w:rsid w:val="00D7035F"/>
    <w:rsid w:val="00D950A1"/>
    <w:rsid w:val="00DA634F"/>
    <w:rsid w:val="00DA65AC"/>
    <w:rsid w:val="00DB1913"/>
    <w:rsid w:val="00DB4EAB"/>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3D2B"/>
    <w:rsid w:val="00E568DF"/>
    <w:rsid w:val="00E57E38"/>
    <w:rsid w:val="00E64269"/>
    <w:rsid w:val="00E82267"/>
    <w:rsid w:val="00E853CE"/>
    <w:rsid w:val="00E867B6"/>
    <w:rsid w:val="00E96892"/>
    <w:rsid w:val="00EA010F"/>
    <w:rsid w:val="00EA4D15"/>
    <w:rsid w:val="00EB0FAE"/>
    <w:rsid w:val="00EB57F5"/>
    <w:rsid w:val="00ED1B63"/>
    <w:rsid w:val="00ED3C1F"/>
    <w:rsid w:val="00ED4085"/>
    <w:rsid w:val="00ED420E"/>
    <w:rsid w:val="00ED6FBE"/>
    <w:rsid w:val="00EE2F57"/>
    <w:rsid w:val="00EE5474"/>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100C"/>
    <w:rsid w:val="00FA23E8"/>
    <w:rsid w:val="00FA789D"/>
    <w:rsid w:val="00FC7DA4"/>
    <w:rsid w:val="00FD3CC1"/>
    <w:rsid w:val="00FF1E02"/>
    <w:rsid w:val="00FF30B4"/>
    <w:rsid w:val="015975B8"/>
    <w:rsid w:val="02FEBE30"/>
    <w:rsid w:val="036F8141"/>
    <w:rsid w:val="066E0107"/>
    <w:rsid w:val="07996F6E"/>
    <w:rsid w:val="07DFD8BA"/>
    <w:rsid w:val="0A2032A3"/>
    <w:rsid w:val="0D35B1ED"/>
    <w:rsid w:val="0E7ED1F5"/>
    <w:rsid w:val="0F98263C"/>
    <w:rsid w:val="101860EC"/>
    <w:rsid w:val="10C055FF"/>
    <w:rsid w:val="118107EC"/>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0150B81"/>
    <w:rsid w:val="44E268DA"/>
    <w:rsid w:val="457F4F6B"/>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8B70F34"/>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left="200" w:leftChars="200" w:firstLine="225" w:firstLineChars="225"/>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ind w:left="200" w:leftChars="200" w:firstLine="225" w:firstLineChars="225"/>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spacing w:line="440" w:lineRule="exact"/>
      <w:ind w:left="200" w:leftChars="200" w:firstLine="225" w:firstLineChars="225"/>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2023&#24180;&#20915;&#31639;&#20844;&#24320;&#36164;&#26009;\&#26032;&#24314;%20XLS%20&#24037;&#20316;&#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2023&#24180;&#20915;&#31639;&#20844;&#24320;&#36164;&#26009;\&#26032;&#24314;%20XLS%20&#24037;&#20316;&#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4&#24180;&#24230;&#25991;&#20214;\2024&#25991;&#20214;&#22841;\2023&#24180;&#20915;&#31639;&#20844;&#24320;&#36164;&#26009;\&#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t>收、支决算总计变动情况图</a:t>
            </a:r>
            <a:endParaRPr lang="zh-CN"/>
          </a:p>
        </c:rich>
      </c:tx>
      <c:layout/>
      <c:overlay val="0"/>
    </c:title>
    <c:autoTitleDeleted val="0"/>
    <c:plotArea>
      <c:layout/>
      <c:barChart>
        <c:barDir val="col"/>
        <c:grouping val="stacked"/>
        <c:varyColors val="0"/>
        <c:ser>
          <c:idx val="0"/>
          <c:order val="0"/>
          <c:tx>
            <c:strRef>
              <c:f>Sheet2!$A$4</c:f>
              <c:strCache>
                <c:ptCount val="1"/>
                <c:pt idx="0">
                  <c:v>增长8255.09万元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Sheet2!$B$1:$B$3</c:f>
              <c:numCache>
                <c:formatCode>General</c:formatCode>
                <c:ptCount val="3"/>
                <c:pt idx="1">
                  <c:v>23360.89</c:v>
                </c:pt>
                <c:pt idx="2">
                  <c:v>8255.09</c:v>
                </c:pt>
              </c:numCache>
            </c:numRef>
          </c:cat>
          <c:val>
            <c:numRef>
              <c:f>Sheet2!$B$4</c:f>
              <c:numCache>
                <c:formatCode>0.00%</c:formatCode>
                <c:ptCount val="1"/>
                <c:pt idx="0">
                  <c:v>0.5465</c:v>
                </c:pt>
              </c:numCache>
            </c:numRef>
          </c:val>
        </c:ser>
        <c:dLbls>
          <c:showLegendKey val="0"/>
          <c:showVal val="1"/>
          <c:showCatName val="0"/>
          <c:showSerName val="0"/>
          <c:showPercent val="0"/>
          <c:showBubbleSize val="0"/>
        </c:dLbls>
        <c:gapWidth val="150"/>
        <c:overlap val="100"/>
        <c:axId val="89957888"/>
        <c:axId val="89959424"/>
      </c:barChart>
      <c:catAx>
        <c:axId val="8995788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9959424"/>
        <c:crosses val="autoZero"/>
        <c:auto val="1"/>
        <c:lblAlgn val="ctr"/>
        <c:lblOffset val="100"/>
        <c:noMultiLvlLbl val="0"/>
      </c:catAx>
      <c:valAx>
        <c:axId val="89959424"/>
        <c:scaling>
          <c:orientation val="minMax"/>
        </c:scaling>
        <c:delete val="0"/>
        <c:axPos val="l"/>
        <c:majorGridlines/>
        <c:numFmt formatCode="0.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9957888"/>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0a98b61b-8bbf-4ff5-a024-466ad70518b2}"/>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800" b="1" i="0" u="none" strike="noStrike" baseline="0"/>
              <a:t>收入决算结构图</a:t>
            </a:r>
            <a:endParaRPr lang="zh-CN" altLang="en-US"/>
          </a:p>
        </c:rich>
      </c:tx>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Sheet3!$A$1:$A$4</c:f>
              <c:strCache>
                <c:ptCount val="4"/>
                <c:pt idx="0">
                  <c:v>收入决算结构图</c:v>
                </c:pt>
                <c:pt idx="1">
                  <c:v>2023年度本年收入合计23360.89万元</c:v>
                </c:pt>
                <c:pt idx="2">
                  <c:v>其中：一般公共预算财政拨款收入15432.85万元</c:v>
                </c:pt>
                <c:pt idx="3">
                  <c:v>政府性基金预算财政拨款收入7928.03万元</c:v>
                </c:pt>
              </c:strCache>
            </c:strRef>
          </c:cat>
          <c:val>
            <c:numRef>
              <c:f>Sheet3!$B$1:$B$4</c:f>
              <c:numCache>
                <c:formatCode>General</c:formatCode>
                <c:ptCount val="4"/>
                <c:pt idx="2" c:formatCode="0.00%">
                  <c:v>0.660600000000003</c:v>
                </c:pt>
                <c:pt idx="3" c:formatCode="0.00%">
                  <c:v>0.339400000000001</c:v>
                </c:pt>
              </c:numCache>
            </c:numRef>
          </c:val>
        </c:ser>
        <c:dLbls>
          <c:showLegendKey val="0"/>
          <c:showVal val="0"/>
          <c:showCatName val="0"/>
          <c:showSerName val="0"/>
          <c:showPercent val="1"/>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541d544-e068-465c-a896-01d884722f6c}"/>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800" b="1" i="0" u="none" strike="noStrike" baseline="0"/>
              <a:t>支出决算结构图</a:t>
            </a:r>
            <a:endParaRPr lang="zh-CN" altLang="en-US"/>
          </a:p>
        </c:rich>
      </c:tx>
      <c:layout/>
      <c:overlay val="0"/>
    </c:title>
    <c:autoTitleDeleted val="0"/>
    <c:plotArea>
      <c:layout/>
      <c:pieChart>
        <c:varyColors val="1"/>
        <c:ser>
          <c:idx val="0"/>
          <c:order val="0"/>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Sheet4!$A$1:$A$4</c:f>
              <c:strCache>
                <c:ptCount val="4"/>
                <c:pt idx="0">
                  <c:v>支出决算结构图</c:v>
                </c:pt>
                <c:pt idx="1">
                  <c:v>2023年度本年支出合计23360.89万元</c:v>
                </c:pt>
                <c:pt idx="2">
                  <c:v>其中：基本支出2405.33万元</c:v>
                </c:pt>
                <c:pt idx="3">
                  <c:v>项目支出20955.55万元</c:v>
                </c:pt>
              </c:strCache>
            </c:strRef>
          </c:cat>
          <c:val>
            <c:numRef>
              <c:f>Sheet4!$B$1:$B$4</c:f>
              <c:numCache>
                <c:formatCode>General</c:formatCode>
                <c:ptCount val="4"/>
                <c:pt idx="2">
                  <c:v>2405.33</c:v>
                </c:pt>
                <c:pt idx="3">
                  <c:v>20955.55</c:v>
                </c:pt>
              </c:numCache>
            </c:numRef>
          </c:val>
        </c:ser>
        <c:ser>
          <c:idx val="1"/>
          <c:order val="1"/>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Sheet4!$A$1:$A$4</c:f>
              <c:strCache>
                <c:ptCount val="4"/>
                <c:pt idx="0">
                  <c:v>支出决算结构图</c:v>
                </c:pt>
                <c:pt idx="1">
                  <c:v>2023年度本年支出合计23360.89万元</c:v>
                </c:pt>
                <c:pt idx="2">
                  <c:v>其中：基本支出2405.33万元</c:v>
                </c:pt>
                <c:pt idx="3">
                  <c:v>项目支出20955.55万元</c:v>
                </c:pt>
              </c:strCache>
            </c:strRef>
          </c:cat>
          <c:val>
            <c:numRef>
              <c:f>Sheet4!$C$1:$C$4</c:f>
              <c:numCache>
                <c:formatCode>General</c:formatCode>
                <c:ptCount val="4"/>
                <c:pt idx="2" c:formatCode="0.00%">
                  <c:v>0.103</c:v>
                </c:pt>
                <c:pt idx="3" c:formatCode="0.00%">
                  <c:v>0.897</c:v>
                </c:pt>
              </c:numCache>
            </c:numRef>
          </c:val>
        </c:ser>
        <c:dLbls>
          <c:showLegendKey val="0"/>
          <c:showVal val="0"/>
          <c:showCatName val="1"/>
          <c:showSerName val="0"/>
          <c:showPercent val="0"/>
          <c:showBubbleSize val="0"/>
          <c:showLeaderLines val="1"/>
        </c:dLbls>
        <c:firstSliceAng val="0"/>
      </c:pieChart>
    </c:plotArea>
    <c:plotVisOnly val="1"/>
    <c:dispBlanksAs val="gap"/>
    <c:showDLblsOverMax val="0"/>
    <c:extLst>
      <c:ext uri="{0b15fc19-7d7d-44ad-8c2d-2c3a37ce22c3}">
        <chartProps xmlns="https://web.wps.cn/et/2018/main" chartId="{d6b298a9-cef1-4250-9720-8b055a6552f4}"/>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Sheet5!$A$1:$A$4</c:f>
              <c:strCache>
                <c:ptCount val="4"/>
                <c:pt idx="0">
                  <c:v>财政拨款收、支决算总计变动情况</c:v>
                </c:pt>
                <c:pt idx="1">
                  <c:v>2023年度财政拨款收、支总计</c:v>
                </c:pt>
                <c:pt idx="2">
                  <c:v>与2022年度相比，收、支总计各增加</c:v>
                </c:pt>
                <c:pt idx="3">
                  <c:v>增长</c:v>
                </c:pt>
              </c:strCache>
            </c:strRef>
          </c:cat>
          <c:val>
            <c:numRef>
              <c:f>Sheet5!$B$1:$B$4</c:f>
              <c:numCache>
                <c:formatCode>General</c:formatCode>
                <c:ptCount val="4"/>
                <c:pt idx="1">
                  <c:v>23360.89</c:v>
                </c:pt>
                <c:pt idx="2">
                  <c:v>8255.09</c:v>
                </c:pt>
                <c:pt idx="3" c:formatCode="0.00%">
                  <c:v>0.5465</c:v>
                </c:pt>
              </c:numCache>
            </c:numRef>
          </c:val>
        </c:ser>
        <c:dLbls>
          <c:showLegendKey val="0"/>
          <c:showVal val="1"/>
          <c:showCatName val="0"/>
          <c:showSerName val="0"/>
          <c:showPercent val="0"/>
          <c:showBubbleSize val="0"/>
        </c:dLbls>
        <c:gapWidth val="150"/>
        <c:overlap val="100"/>
        <c:axId val="117802496"/>
        <c:axId val="132956928"/>
      </c:barChart>
      <c:catAx>
        <c:axId val="11780249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956928"/>
        <c:crosses val="autoZero"/>
        <c:auto val="1"/>
        <c:lblAlgn val="ctr"/>
        <c:lblOffset val="100"/>
        <c:noMultiLvlLbl val="0"/>
      </c:catAx>
      <c:valAx>
        <c:axId val="1329569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7802496"/>
        <c:crosses val="autoZero"/>
        <c:crossBetween val="between"/>
      </c:valAx>
    </c:plotArea>
    <c:plotVisOnly val="1"/>
    <c:dispBlanksAs val="gap"/>
    <c:showDLblsOverMax val="0"/>
    <c:extLst>
      <c:ext uri="{0b15fc19-7d7d-44ad-8c2d-2c3a37ce22c3}">
        <chartProps xmlns="https://web.wps.cn/et/2018/main" chartId="{894f53ff-291d-4c2f-9e1d-5e3a45d5a2e9}"/>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5391076115486"/>
          <c:y val="0.0745487022455526"/>
          <c:w val="0.744457567804025"/>
          <c:h val="0.412361111111111"/>
        </c:manualLayout>
      </c:layout>
      <c:barChart>
        <c:barDir val="col"/>
        <c:grouping val="stack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multiLvlStrRef>
              <c:f>Sheet6!$A$1:$C$3</c:f>
              <c:multiLvlStrCache>
                <c:ptCount val="3"/>
                <c:lvl>
                  <c:pt idx="1">
                    <c:v>占本年支出合计的</c:v>
                  </c:pt>
                  <c:pt idx="2">
                    <c:v>增长</c:v>
                  </c:pt>
                </c:lvl>
                <c:lvl>
                  <c:pt idx="1">
                    <c:v>15432.85万元</c:v>
                  </c:pt>
                  <c:pt idx="2">
                    <c:v>327.05万元</c:v>
                  </c:pt>
                </c:lvl>
                <c:lvl>
                  <c:pt idx="0">
                    <c:v>一般公共预算财政拨款支出决算变动情况</c:v>
                  </c:pt>
                  <c:pt idx="1">
                    <c:v>2023年度一般公共预算财政拨款支出</c:v>
                  </c:pt>
                  <c:pt idx="2">
                    <c:v>与2022年度相比，一般公共预算财政拨款支出增加</c:v>
                  </c:pt>
                </c:lvl>
              </c:multiLvlStrCache>
            </c:multiLvlStrRef>
          </c:cat>
          <c:val>
            <c:numRef>
              <c:f>Sheet6!$D$1:$D$3</c:f>
              <c:numCache>
                <c:formatCode>General</c:formatCode>
                <c:ptCount val="3"/>
                <c:pt idx="1" c:formatCode="0.00%">
                  <c:v>0.660600000000003</c:v>
                </c:pt>
                <c:pt idx="2" c:formatCode="0.00%">
                  <c:v>0.0217</c:v>
                </c:pt>
              </c:numCache>
            </c:numRef>
          </c:val>
        </c:ser>
        <c:dLbls>
          <c:showLegendKey val="0"/>
          <c:showVal val="1"/>
          <c:showCatName val="0"/>
          <c:showSerName val="0"/>
          <c:showPercent val="0"/>
          <c:showBubbleSize val="0"/>
        </c:dLbls>
        <c:gapWidth val="150"/>
        <c:overlap val="100"/>
        <c:axId val="138170752"/>
        <c:axId val="138173824"/>
      </c:barChart>
      <c:catAx>
        <c:axId val="1381707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8173824"/>
        <c:crosses val="autoZero"/>
        <c:auto val="1"/>
        <c:lblAlgn val="ctr"/>
        <c:lblOffset val="100"/>
        <c:noMultiLvlLbl val="0"/>
      </c:catAx>
      <c:valAx>
        <c:axId val="1381738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817075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719b552-9036-4ceb-9709-985bafa846e6}"/>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floor>
    <c:sideWall>
      <c:thickness val="0"/>
    </c:sideWall>
    <c:backWall>
      <c:thickness val="0"/>
    </c:backWall>
    <c:plotArea>
      <c:layout/>
      <c:pie3DChart>
        <c:varyColors val="1"/>
        <c:ser>
          <c:idx val="0"/>
          <c:order val="0"/>
          <c:explosion val="0"/>
          <c:dPt>
            <c:idx val="0"/>
            <c:bubble3D val="0"/>
          </c:dPt>
          <c:dPt>
            <c:idx val="1"/>
            <c:bubble3D val="0"/>
          </c:dPt>
          <c:dPt>
            <c:idx val="2"/>
            <c:bubble3D val="0"/>
          </c:dPt>
          <c:dPt>
            <c:idx val="3"/>
            <c:bubble3D val="0"/>
          </c:dPt>
          <c:dPt>
            <c:idx val="4"/>
            <c:bubble3D val="0"/>
          </c:dPt>
          <c:dPt>
            <c:idx val="5"/>
            <c:bubble3D val="0"/>
          </c:dPt>
          <c:dPt>
            <c:idx val="6"/>
            <c:bubble3D val="0"/>
          </c:dPt>
          <c:dLbls>
            <c:dLbl>
              <c:idx val="2"/>
              <c:layout>
                <c:manualLayout>
                  <c:x val="0.107554243219598"/>
                  <c:y val="-0.09752405949256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21921150481191"/>
                  <c:y val="0.0080723242927967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174363954505687"/>
                  <c:y val="-0.066274059492563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510404636920385"/>
                  <c:y val="-0.1391907261592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multiLvlStrRef>
              <c:f>Sheet7!$A$1:$B$7</c:f>
              <c:multiLvlStrCache>
                <c:ptCount val="7"/>
                <c:lvl>
                  <c:pt idx="1">
                    <c:v>15432.85万元</c:v>
                  </c:pt>
                  <c:pt idx="2">
                    <c:v>427万元</c:v>
                  </c:pt>
                  <c:pt idx="3">
                    <c:v>166.3万元</c:v>
                  </c:pt>
                  <c:pt idx="4">
                    <c:v>14688.66万元</c:v>
                  </c:pt>
                  <c:pt idx="5">
                    <c:v>148.3万元</c:v>
                  </c:pt>
                  <c:pt idx="6">
                    <c:v>2.59万元</c:v>
                  </c:pt>
                </c:lvl>
                <c:lvl>
                  <c:pt idx="0">
                    <c:v>一般公共预算财政拨款支出决算结构</c:v>
                  </c:pt>
                  <c:pt idx="1">
                    <c:v>2023年度一般公共预算财政拨款支出</c:v>
                  </c:pt>
                  <c:pt idx="2">
                    <c:v>社会保障和就业支出</c:v>
                  </c:pt>
                  <c:pt idx="3">
                    <c:v>卫生健康支出</c:v>
                  </c:pt>
                  <c:pt idx="4">
                    <c:v>农林水支出</c:v>
                  </c:pt>
                  <c:pt idx="5">
                    <c:v>住房保障支出</c:v>
                  </c:pt>
                  <c:pt idx="6">
                    <c:v>其他支出</c:v>
                  </c:pt>
                </c:lvl>
              </c:multiLvlStrCache>
            </c:multiLvlStrRef>
          </c:cat>
          <c:val>
            <c:numRef>
              <c:f>Sheet7!$C$1:$C$7</c:f>
              <c:numCache>
                <c:formatCode>General</c:formatCode>
                <c:ptCount val="7"/>
                <c:pt idx="2" c:formatCode="0.00%">
                  <c:v>0.0276000000000001</c:v>
                </c:pt>
                <c:pt idx="3" c:formatCode="0.00%">
                  <c:v>0.0108</c:v>
                </c:pt>
                <c:pt idx="4" c:formatCode="0.00%">
                  <c:v>0.951800000000001</c:v>
                </c:pt>
                <c:pt idx="5" c:formatCode="0.00%">
                  <c:v>0.0096</c:v>
                </c:pt>
                <c:pt idx="6" c:formatCode="0.00%">
                  <c:v>0.000200000000000001</c:v>
                </c:pt>
              </c:numCache>
            </c:numRef>
          </c:val>
        </c:ser>
        <c:dLbls>
          <c:showLegendKey val="0"/>
          <c:showVal val="1"/>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cfa069c-01f6-40e3-9c13-71ef12205332}"/>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floor>
    <c:sideWall>
      <c:thickness val="0"/>
    </c:sideWall>
    <c:backWall>
      <c:thickness val="0"/>
    </c:backWall>
    <c:plotArea>
      <c:layout/>
      <c:pie3DChart>
        <c:varyColors val="1"/>
        <c:ser>
          <c:idx val="0"/>
          <c:order val="0"/>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Sheet1!$A$1:$A$4</c:f>
              <c:strCache>
                <c:ptCount val="4"/>
                <c:pt idx="0">
                  <c:v>三公经费财政拨款支出结构</c:v>
                </c:pt>
                <c:pt idx="1">
                  <c:v>1、因公出国（境）费支出占比0%</c:v>
                </c:pt>
                <c:pt idx="2">
                  <c:v>2、公务用车购置及运行维护费支出占比82.7%</c:v>
                </c:pt>
                <c:pt idx="3">
                  <c:v>3、公务接待费支出占比17.29%</c:v>
                </c:pt>
              </c:strCache>
            </c:strRef>
          </c:cat>
          <c:val>
            <c:numRef>
              <c:f>Sheet1!$B$1:$B$4</c:f>
              <c:numCache>
                <c:formatCode>General</c:formatCode>
                <c:ptCount val="4"/>
                <c:pt idx="1">
                  <c:v>0</c:v>
                </c:pt>
                <c:pt idx="2">
                  <c:v>4.92</c:v>
                </c:pt>
                <c:pt idx="3">
                  <c:v>1.03</c:v>
                </c:pt>
              </c:numCache>
            </c:numRef>
          </c:val>
        </c:ser>
        <c:ser>
          <c:idx val="1"/>
          <c:order val="1"/>
          <c:explosion val="0"/>
          <c:dPt>
            <c:idx val="0"/>
            <c:bubble3D val="0"/>
          </c:dPt>
          <c:dPt>
            <c:idx val="1"/>
            <c:bubble3D val="0"/>
          </c:dPt>
          <c:dPt>
            <c:idx val="2"/>
            <c:bubble3D val="0"/>
          </c:dPt>
          <c:dPt>
            <c:idx val="3"/>
            <c:bubble3D val="0"/>
          </c:dPt>
          <c:dLbls>
            <c:delete val="1"/>
          </c:dLbls>
          <c:cat>
            <c:strRef>
              <c:f>Sheet1!$A$1:$A$4</c:f>
              <c:strCache>
                <c:ptCount val="4"/>
                <c:pt idx="0">
                  <c:v>三公经费财政拨款支出结构</c:v>
                </c:pt>
                <c:pt idx="1">
                  <c:v>1、因公出国（境）费支出占比0%</c:v>
                </c:pt>
                <c:pt idx="2">
                  <c:v>2、公务用车购置及运行维护费支出占比82.7%</c:v>
                </c:pt>
                <c:pt idx="3">
                  <c:v>3、公务接待费支出占比17.29%</c:v>
                </c:pt>
              </c:strCache>
            </c:strRef>
          </c:cat>
          <c:val>
            <c:numRef>
              <c:f>Sheet1!$C$1:$C$4</c:f>
              <c:numCache>
                <c:formatCode>General</c:formatCode>
                <c:ptCount val="4"/>
                <c:pt idx="1" c:formatCode="0%">
                  <c:v>0</c:v>
                </c:pt>
                <c:pt idx="2" c:formatCode="0.00%">
                  <c:v>0.827000000000001</c:v>
                </c:pt>
                <c:pt idx="3" c:formatCode="0.00%">
                  <c:v>0.1729</c:v>
                </c:pt>
              </c:numCache>
            </c:numRef>
          </c:val>
        </c:ser>
        <c:dLbls>
          <c:showLegendKey val="0"/>
          <c:showVal val="0"/>
          <c:showCatName val="0"/>
          <c:showSerName val="0"/>
          <c:showPercent val="0"/>
          <c:showBubbleSize val="0"/>
        </c:dLbls>
      </c:pie3DChart>
      <c:spPr>
        <a:noFill/>
        <a:ln w="25400">
          <a:noFill/>
        </a:ln>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1ab2a3d1-6bd5-4fd3-bfda-2351f99bfa09}"/>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47</Pages>
  <Words>20432</Words>
  <Characters>21858</Characters>
  <Lines>158</Lines>
  <Paragraphs>44</Paragraphs>
  <TotalTime>258</TotalTime>
  <ScaleCrop>false</ScaleCrop>
  <LinksUpToDate>false</LinksUpToDate>
  <CharactersWithSpaces>21935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2024-10-21T00:47:00Z</dcterms:created>
  <dc:creator>曹颖</dc:creator>
  <cp:lastModifiedBy>李永斌</cp:lastModifiedBy>
  <cp:lastPrinted>2024-10-21T07:12:00Z</cp:lastPrinted>
  <dcterms:modified xsi:type="dcterms:W3CDTF">2024-10-29T01:55:10Z</dcterms:modified>
  <dc:title>四川省***</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0594DC0389604A408969C55E79E4B73C_12</vt:lpwstr>
  </property>
</Properties>
</file>