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51D783">
      <w:pPr>
        <w:spacing w:line="600" w:lineRule="exact"/>
        <w:outlineLvl w:val="0"/>
        <w:rPr>
          <w:rFonts w:ascii="方正小标宋简体" w:hAnsi="宋体" w:eastAsia="方正小标宋简体"/>
          <w:sz w:val="72"/>
          <w:szCs w:val="72"/>
        </w:rPr>
      </w:pPr>
      <w:bookmarkStart w:id="0" w:name="_Toc15306267"/>
    </w:p>
    <w:p w14:paraId="6A1AEBA0">
      <w:pPr>
        <w:pStyle w:val="5"/>
        <w:spacing w:before="93"/>
      </w:pPr>
    </w:p>
    <w:p w14:paraId="7CEDFCD4">
      <w:pPr>
        <w:pStyle w:val="5"/>
        <w:spacing w:before="93"/>
      </w:pPr>
    </w:p>
    <w:p w14:paraId="55A98176">
      <w:pPr>
        <w:pStyle w:val="5"/>
        <w:spacing w:before="93"/>
      </w:pPr>
    </w:p>
    <w:p w14:paraId="6F82FDE0">
      <w:pPr>
        <w:pStyle w:val="5"/>
        <w:spacing w:before="93"/>
      </w:pPr>
    </w:p>
    <w:p w14:paraId="3C1EB96D">
      <w:pPr>
        <w:adjustRightInd w:val="0"/>
        <w:snapToGrid w:val="0"/>
        <w:spacing w:line="360" w:lineRule="auto"/>
        <w:jc w:val="center"/>
        <w:outlineLvl w:val="0"/>
        <w:rPr>
          <w:rFonts w:ascii="方正小标宋简体" w:hAnsi="方正小标宋简体" w:eastAsia="方正小标宋简体" w:cs="方正小标宋简体"/>
          <w:sz w:val="52"/>
          <w:szCs w:val="52"/>
        </w:rPr>
      </w:pPr>
      <w:bookmarkStart w:id="1" w:name="_Toc15377425"/>
      <w:bookmarkStart w:id="2" w:name="_Toc15396475"/>
      <w:bookmarkStart w:id="3" w:name="_Toc15377193"/>
      <w:bookmarkStart w:id="4" w:name="_Toc15378441"/>
      <w:bookmarkStart w:id="5" w:name="_Toc15396597"/>
      <w:r>
        <w:rPr>
          <w:rFonts w:hint="eastAsia" w:ascii="方正小标宋简体" w:hAnsi="方正小标宋简体" w:eastAsia="方正小标宋简体" w:cs="方正小标宋简体"/>
          <w:sz w:val="52"/>
          <w:szCs w:val="52"/>
        </w:rPr>
        <w:t>2023年度</w:t>
      </w:r>
      <w:bookmarkEnd w:id="1"/>
      <w:bookmarkEnd w:id="2"/>
      <w:bookmarkEnd w:id="3"/>
      <w:bookmarkEnd w:id="4"/>
      <w:bookmarkEnd w:id="5"/>
    </w:p>
    <w:p w14:paraId="17230A41">
      <w:pPr>
        <w:adjustRightInd w:val="0"/>
        <w:snapToGrid w:val="0"/>
        <w:spacing w:line="360" w:lineRule="auto"/>
        <w:jc w:val="center"/>
        <w:outlineLvl w:val="0"/>
        <w:rPr>
          <w:rFonts w:ascii="方正小标宋简体" w:hAnsi="方正小标宋简体" w:eastAsia="方正小标宋简体" w:cs="方正小标宋简体"/>
          <w:sz w:val="52"/>
          <w:szCs w:val="52"/>
        </w:rPr>
      </w:pPr>
      <w:bookmarkStart w:id="6" w:name="_Toc15377426"/>
      <w:bookmarkStart w:id="7" w:name="_Toc15396476"/>
      <w:bookmarkStart w:id="8" w:name="_Toc15396598"/>
      <w:bookmarkStart w:id="9" w:name="_Toc15378442"/>
      <w:bookmarkStart w:id="10" w:name="_Toc15377194"/>
      <w:r>
        <w:rPr>
          <w:rFonts w:hint="eastAsia" w:ascii="方正小标宋简体" w:hAnsi="方正小标宋简体" w:eastAsia="方正小标宋简体" w:cs="方正小标宋简体"/>
          <w:sz w:val="52"/>
          <w:szCs w:val="52"/>
        </w:rPr>
        <w:t>四川省</w:t>
      </w:r>
      <w:bookmarkEnd w:id="0"/>
      <w:bookmarkStart w:id="11" w:name="_Toc15306268"/>
      <w:r>
        <w:rPr>
          <w:rFonts w:hint="eastAsia" w:ascii="方正小标宋简体" w:hAnsi="方正小标宋简体" w:eastAsia="方正小标宋简体" w:cs="方正小标宋简体"/>
          <w:sz w:val="52"/>
          <w:szCs w:val="52"/>
        </w:rPr>
        <w:t>格萨拉中心卫生院</w:t>
      </w:r>
    </w:p>
    <w:p w14:paraId="08EFF229">
      <w:pPr>
        <w:adjustRightInd w:val="0"/>
        <w:snapToGrid w:val="0"/>
        <w:spacing w:line="360" w:lineRule="auto"/>
        <w:jc w:val="center"/>
        <w:outlineLvl w:val="0"/>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单位决算</w:t>
      </w:r>
      <w:bookmarkEnd w:id="6"/>
      <w:bookmarkEnd w:id="7"/>
      <w:bookmarkEnd w:id="8"/>
      <w:bookmarkEnd w:id="9"/>
      <w:bookmarkEnd w:id="10"/>
      <w:bookmarkEnd w:id="11"/>
    </w:p>
    <w:p w14:paraId="6F06EB4A">
      <w:pPr>
        <w:widowControl/>
        <w:jc w:val="center"/>
        <w:rPr>
          <w:rFonts w:ascii="黑体" w:hAnsi="黑体" w:eastAsia="黑体" w:cs="黑体"/>
          <w:color w:val="000000"/>
          <w:sz w:val="44"/>
          <w:szCs w:val="44"/>
        </w:rPr>
        <w:sectPr>
          <w:pgSz w:w="11906" w:h="16838"/>
          <w:pgMar w:top="1440" w:right="1926" w:bottom="1440" w:left="1800" w:header="851" w:footer="992" w:gutter="0"/>
          <w:pgNumType w:start="1"/>
          <w:cols w:space="720" w:num="1"/>
          <w:docGrid w:type="lines" w:linePitch="312" w:charSpace="0"/>
        </w:sectPr>
      </w:pPr>
    </w:p>
    <w:p w14:paraId="6A6CD39E">
      <w:pPr>
        <w:widowControl/>
        <w:jc w:val="center"/>
        <w:rPr>
          <w:rFonts w:ascii="黑体" w:hAnsi="黑体" w:eastAsia="黑体" w:cs="黑体"/>
          <w:color w:val="000000"/>
          <w:sz w:val="44"/>
          <w:szCs w:val="44"/>
        </w:rPr>
      </w:pPr>
      <w:r>
        <w:rPr>
          <w:rFonts w:hint="eastAsia" w:ascii="黑体" w:hAnsi="黑体" w:eastAsia="黑体" w:cs="黑体"/>
          <w:color w:val="000000"/>
          <w:sz w:val="44"/>
          <w:szCs w:val="44"/>
        </w:rPr>
        <w:t>目录</w:t>
      </w:r>
    </w:p>
    <w:p w14:paraId="7CDB144D">
      <w:pPr>
        <w:pStyle w:val="11"/>
        <w:ind w:right="-218" w:rightChars="-104" w:firstLine="2240" w:firstLineChars="700"/>
        <w:jc w:val="both"/>
        <w:rPr>
          <w:rFonts w:ascii="Times New Roman" w:hAnsi="Times New Roman" w:eastAsia="仿宋_GB2312"/>
          <w:sz w:val="32"/>
          <w:szCs w:val="32"/>
        </w:rPr>
      </w:pPr>
      <w:r>
        <w:rPr>
          <w:rFonts w:ascii="Times New Roman" w:hAnsi="Times New Roman" w:eastAsia="仿宋_GB2312"/>
          <w:sz w:val="32"/>
          <w:szCs w:val="32"/>
        </w:rPr>
        <w:t>公开时间：202</w:t>
      </w:r>
      <w:r>
        <w:rPr>
          <w:rFonts w:hint="eastAsia" w:ascii="Times New Roman" w:hAnsi="Times New Roman" w:eastAsia="仿宋_GB2312"/>
          <w:sz w:val="32"/>
          <w:szCs w:val="32"/>
        </w:rPr>
        <w:t>4</w:t>
      </w:r>
      <w:r>
        <w:rPr>
          <w:rFonts w:ascii="Times New Roman" w:hAnsi="Times New Roman" w:eastAsia="仿宋_GB2312"/>
          <w:sz w:val="32"/>
          <w:szCs w:val="32"/>
        </w:rPr>
        <w:t>年10月2</w:t>
      </w:r>
      <w:r>
        <w:rPr>
          <w:rFonts w:hint="eastAsia" w:ascii="Times New Roman" w:hAnsi="Times New Roman" w:eastAsia="仿宋_GB2312"/>
          <w:sz w:val="32"/>
          <w:szCs w:val="32"/>
        </w:rPr>
        <w:t>8</w:t>
      </w:r>
      <w:r>
        <w:rPr>
          <w:rFonts w:ascii="Times New Roman" w:hAnsi="Times New Roman" w:eastAsia="仿宋_GB2312"/>
          <w:sz w:val="32"/>
          <w:szCs w:val="32"/>
        </w:rPr>
        <w:t>日</w:t>
      </w:r>
    </w:p>
    <w:p w14:paraId="4C3414AB">
      <w:pPr>
        <w:tabs>
          <w:tab w:val="left" w:pos="8400"/>
        </w:tabs>
        <w:ind w:right="-218" w:rightChars="-104"/>
        <w:jc w:val="right"/>
        <w:rPr>
          <w:rFonts w:eastAsia="仿宋_GB2312"/>
          <w:sz w:val="32"/>
          <w:szCs w:val="32"/>
        </w:rPr>
      </w:pPr>
      <w:r>
        <w:rPr>
          <w:rFonts w:eastAsia="仿宋_GB2312"/>
          <w:sz w:val="32"/>
          <w:szCs w:val="32"/>
        </w:rPr>
        <w:fldChar w:fldCharType="begin"/>
      </w:r>
      <w:r>
        <w:rPr>
          <w:rFonts w:eastAsia="仿宋_GB2312"/>
          <w:sz w:val="32"/>
          <w:szCs w:val="32"/>
        </w:rPr>
        <w:instrText xml:space="preserve">TOC \o "1-3" \h \u </w:instrText>
      </w:r>
      <w:r>
        <w:rPr>
          <w:rFonts w:eastAsia="仿宋_GB2312"/>
          <w:sz w:val="32"/>
          <w:szCs w:val="32"/>
        </w:rPr>
        <w:fldChar w:fldCharType="separate"/>
      </w:r>
      <w:r>
        <w:rPr>
          <w:rFonts w:eastAsia="仿宋_GB2312"/>
          <w:b/>
          <w:bCs/>
          <w:sz w:val="32"/>
          <w:szCs w:val="32"/>
        </w:rPr>
        <w:t>第一部分单位概况</w:t>
      </w:r>
      <w:r>
        <w:rPr>
          <w:rFonts w:hint="eastAsia" w:eastAsia="仿宋_GB2312"/>
          <w:sz w:val="32"/>
          <w:szCs w:val="32"/>
        </w:rPr>
        <w:t>......................................................................</w:t>
      </w:r>
      <w:r>
        <w:rPr>
          <w:rFonts w:hint="eastAsia" w:ascii="仿宋" w:hAnsi="仿宋" w:eastAsia="仿宋" w:cs="仿宋"/>
          <w:sz w:val="32"/>
          <w:szCs w:val="32"/>
        </w:rPr>
        <w:t>1</w:t>
      </w:r>
    </w:p>
    <w:p w14:paraId="22D415C0">
      <w:pPr>
        <w:pStyle w:val="12"/>
        <w:tabs>
          <w:tab w:val="right" w:leader="dot" w:pos="8306"/>
          <w:tab w:val="clear" w:pos="8296"/>
        </w:tabs>
        <w:ind w:right="-218" w:rightChars="-104"/>
        <w:jc w:val="right"/>
        <w:rPr>
          <w:rFonts w:ascii="仿宋" w:hAnsi="仿宋" w:eastAsia="仿宋" w:cs="仿宋"/>
          <w:sz w:val="32"/>
          <w:szCs w:val="32"/>
        </w:rPr>
      </w:pPr>
      <w:r>
        <w:fldChar w:fldCharType="begin"/>
      </w:r>
      <w:r>
        <w:instrText xml:space="preserve"> HYPERLINK \l "_Toc20417" </w:instrText>
      </w:r>
      <w:r>
        <w:fldChar w:fldCharType="separate"/>
      </w:r>
      <w:r>
        <w:rPr>
          <w:rFonts w:eastAsia="仿宋_GB2312"/>
          <w:sz w:val="32"/>
          <w:szCs w:val="32"/>
        </w:rPr>
        <w:t>一、主要职责</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w:t>
      </w:r>
      <w:r>
        <w:rPr>
          <w:rFonts w:hint="eastAsia" w:ascii="仿宋" w:hAnsi="仿宋" w:eastAsia="仿宋" w:cs="仿宋"/>
          <w:sz w:val="32"/>
          <w:szCs w:val="32"/>
        </w:rPr>
        <w:t>1</w:t>
      </w:r>
    </w:p>
    <w:p w14:paraId="76400385">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"_Toc29815" </w:instrText>
      </w:r>
      <w:r>
        <w:fldChar w:fldCharType="separate"/>
      </w:r>
      <w:r>
        <w:rPr>
          <w:rFonts w:eastAsia="仿宋_GB2312"/>
          <w:sz w:val="32"/>
          <w:szCs w:val="32"/>
        </w:rPr>
        <w:t>二、机构设置</w:t>
      </w:r>
      <w:r>
        <w:rPr>
          <w:rFonts w:eastAsia="仿宋_GB2312"/>
          <w:sz w:val="32"/>
          <w:szCs w:val="32"/>
        </w:rPr>
        <w:tab/>
      </w:r>
      <w:r>
        <w:rPr>
          <w:rFonts w:hint="eastAsia" w:ascii="仿宋" w:hAnsi="仿宋" w:eastAsia="仿宋" w:cs="仿宋"/>
          <w:sz w:val="32"/>
          <w:szCs w:val="32"/>
        </w:rPr>
        <w:t>1</w:t>
      </w:r>
      <w:r>
        <w:rPr>
          <w:rFonts w:hint="eastAsia" w:ascii="仿宋" w:hAnsi="仿宋" w:eastAsia="仿宋" w:cs="仿宋"/>
          <w:sz w:val="32"/>
          <w:szCs w:val="32"/>
        </w:rPr>
        <w:fldChar w:fldCharType="end"/>
      </w:r>
    </w:p>
    <w:p w14:paraId="3F5A7501">
      <w:pPr>
        <w:pStyle w:val="11"/>
        <w:tabs>
          <w:tab w:val="right" w:leader="dot" w:pos="8306"/>
          <w:tab w:val="clear" w:pos="8296"/>
        </w:tabs>
        <w:ind w:right="-218" w:rightChars="-104"/>
        <w:jc w:val="right"/>
        <w:rPr>
          <w:rFonts w:ascii="Times New Roman" w:hAnsi="Times New Roman" w:eastAsia="仿宋_GB2312"/>
          <w:sz w:val="32"/>
          <w:szCs w:val="32"/>
        </w:rPr>
      </w:pPr>
      <w:r>
        <w:fldChar w:fldCharType="begin"/>
      </w:r>
      <w:r>
        <w:instrText xml:space="preserve"> HYPERLINK \l "_Toc18061" </w:instrText>
      </w:r>
      <w:r>
        <w:fldChar w:fldCharType="separate"/>
      </w:r>
      <w:r>
        <w:rPr>
          <w:rFonts w:ascii="Times New Roman" w:hAnsi="Times New Roman" w:eastAsia="仿宋_GB2312"/>
          <w:b/>
          <w:bCs/>
          <w:sz w:val="32"/>
          <w:szCs w:val="32"/>
        </w:rPr>
        <w:t>第二部分 202</w:t>
      </w:r>
      <w:r>
        <w:rPr>
          <w:rFonts w:hint="eastAsia" w:ascii="Times New Roman" w:hAnsi="Times New Roman" w:eastAsia="仿宋_GB2312"/>
          <w:b/>
          <w:bCs/>
          <w:sz w:val="32"/>
          <w:szCs w:val="32"/>
        </w:rPr>
        <w:t>3</w:t>
      </w:r>
      <w:r>
        <w:rPr>
          <w:rFonts w:ascii="Times New Roman" w:hAnsi="Times New Roman" w:eastAsia="仿宋_GB2312"/>
          <w:b/>
          <w:bCs/>
          <w:sz w:val="32"/>
          <w:szCs w:val="32"/>
        </w:rPr>
        <w:t>年度单位决算情况说明</w:t>
      </w:r>
      <w:r>
        <w:rPr>
          <w:rFonts w:hint="eastAsia" w:ascii="Times New Roman" w:hAnsi="Times New Roman" w:eastAsia="仿宋_GB2312"/>
          <w:sz w:val="32"/>
          <w:szCs w:val="32"/>
        </w:rPr>
        <w:t>..................................</w:t>
      </w:r>
      <w:r>
        <w:rPr>
          <w:rFonts w:hint="eastAsia" w:cs="仿宋"/>
          <w:sz w:val="32"/>
          <w:szCs w:val="32"/>
        </w:rPr>
        <w:t>2</w:t>
      </w:r>
      <w:r>
        <w:rPr>
          <w:rFonts w:hint="eastAsia" w:cs="仿宋"/>
          <w:sz w:val="32"/>
          <w:szCs w:val="32"/>
        </w:rPr>
        <w:fldChar w:fldCharType="end"/>
      </w:r>
    </w:p>
    <w:p w14:paraId="592BDC52">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"_Toc6490" </w:instrText>
      </w:r>
      <w:r>
        <w:fldChar w:fldCharType="separate"/>
      </w:r>
      <w:r>
        <w:rPr>
          <w:rFonts w:eastAsia="仿宋_GB2312"/>
          <w:bCs/>
          <w:sz w:val="32"/>
          <w:szCs w:val="32"/>
        </w:rPr>
        <w:t>一、</w:t>
      </w:r>
      <w:r>
        <w:rPr>
          <w:rFonts w:eastAsia="仿宋_GB2312"/>
          <w:sz w:val="32"/>
          <w:szCs w:val="32"/>
        </w:rPr>
        <w:t>收</w:t>
      </w:r>
      <w:r>
        <w:rPr>
          <w:rFonts w:eastAsia="仿宋_GB2312"/>
          <w:bCs/>
          <w:sz w:val="32"/>
          <w:szCs w:val="32"/>
        </w:rPr>
        <w:t>入支出决算总体情况说明</w:t>
      </w:r>
      <w:r>
        <w:rPr>
          <w:rFonts w:eastAsia="仿宋_GB2312"/>
          <w:sz w:val="32"/>
          <w:szCs w:val="32"/>
        </w:rPr>
        <w:tab/>
      </w:r>
      <w:r>
        <w:rPr>
          <w:rFonts w:hint="eastAsia" w:ascii="仿宋" w:hAnsi="仿宋" w:eastAsia="仿宋" w:cs="仿宋"/>
          <w:sz w:val="32"/>
          <w:szCs w:val="32"/>
        </w:rPr>
        <w:t>2</w:t>
      </w:r>
      <w:r>
        <w:rPr>
          <w:rFonts w:hint="eastAsia" w:ascii="仿宋" w:hAnsi="仿宋" w:eastAsia="仿宋" w:cs="仿宋"/>
          <w:sz w:val="32"/>
          <w:szCs w:val="32"/>
        </w:rPr>
        <w:fldChar w:fldCharType="end"/>
      </w:r>
    </w:p>
    <w:p w14:paraId="2CDA849C">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"_Toc18387" </w:instrText>
      </w:r>
      <w:r>
        <w:fldChar w:fldCharType="separate"/>
      </w:r>
      <w:r>
        <w:rPr>
          <w:rFonts w:eastAsia="仿宋_GB2312"/>
          <w:sz w:val="32"/>
          <w:szCs w:val="32"/>
        </w:rPr>
        <w:t>二、收入决算情况说明</w:t>
      </w:r>
      <w:r>
        <w:rPr>
          <w:rFonts w:eastAsia="仿宋_GB2312"/>
          <w:sz w:val="32"/>
          <w:szCs w:val="32"/>
        </w:rPr>
        <w:tab/>
      </w:r>
      <w:r>
        <w:rPr>
          <w:rFonts w:hint="eastAsia" w:ascii="仿宋" w:hAnsi="仿宋" w:eastAsia="仿宋" w:cs="仿宋"/>
          <w:sz w:val="32"/>
          <w:szCs w:val="32"/>
        </w:rPr>
        <w:t>2</w:t>
      </w:r>
      <w:r>
        <w:rPr>
          <w:rFonts w:hint="eastAsia" w:ascii="仿宋" w:hAnsi="仿宋" w:eastAsia="仿宋" w:cs="仿宋"/>
          <w:sz w:val="32"/>
          <w:szCs w:val="32"/>
        </w:rPr>
        <w:fldChar w:fldCharType="end"/>
      </w:r>
    </w:p>
    <w:p w14:paraId="7E260D77">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"_Toc4157" </w:instrText>
      </w:r>
      <w:r>
        <w:fldChar w:fldCharType="separate"/>
      </w:r>
      <w:r>
        <w:rPr>
          <w:rFonts w:eastAsia="仿宋_GB2312"/>
          <w:sz w:val="32"/>
          <w:szCs w:val="32"/>
        </w:rPr>
        <w:t>三、支出决算情况说明</w:t>
      </w:r>
      <w:r>
        <w:rPr>
          <w:rFonts w:eastAsia="仿宋_GB2312"/>
          <w:sz w:val="32"/>
          <w:szCs w:val="32"/>
        </w:rPr>
        <w:tab/>
      </w:r>
      <w:r>
        <w:rPr>
          <w:rFonts w:hint="eastAsia" w:ascii="仿宋" w:hAnsi="仿宋" w:eastAsia="仿宋" w:cs="仿宋"/>
          <w:sz w:val="32"/>
          <w:szCs w:val="32"/>
        </w:rPr>
        <w:t>3</w:t>
      </w:r>
      <w:r>
        <w:rPr>
          <w:rFonts w:hint="eastAsia" w:ascii="仿宋" w:hAnsi="仿宋" w:eastAsia="仿宋" w:cs="仿宋"/>
          <w:sz w:val="32"/>
          <w:szCs w:val="32"/>
        </w:rPr>
        <w:fldChar w:fldCharType="end"/>
      </w:r>
    </w:p>
    <w:p w14:paraId="18ABA3A1">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"_Toc16124" </w:instrText>
      </w:r>
      <w:r>
        <w:fldChar w:fldCharType="separate"/>
      </w:r>
      <w:r>
        <w:rPr>
          <w:rFonts w:eastAsia="仿宋_GB2312"/>
          <w:sz w:val="32"/>
          <w:szCs w:val="32"/>
        </w:rPr>
        <w:t>四、财政拨款收入支出决算总体情况说明</w:t>
      </w:r>
      <w:r>
        <w:rPr>
          <w:rFonts w:eastAsia="仿宋_GB2312"/>
          <w:sz w:val="32"/>
          <w:szCs w:val="32"/>
        </w:rPr>
        <w:tab/>
      </w:r>
      <w:r>
        <w:rPr>
          <w:rFonts w:hint="eastAsia" w:ascii="仿宋" w:hAnsi="仿宋" w:eastAsia="仿宋" w:cs="仿宋"/>
          <w:sz w:val="32"/>
          <w:szCs w:val="32"/>
        </w:rPr>
        <w:t>4</w:t>
      </w:r>
      <w:r>
        <w:rPr>
          <w:rFonts w:hint="eastAsia" w:ascii="仿宋" w:hAnsi="仿宋" w:eastAsia="仿宋" w:cs="仿宋"/>
          <w:sz w:val="32"/>
          <w:szCs w:val="32"/>
        </w:rPr>
        <w:fldChar w:fldCharType="end"/>
      </w:r>
    </w:p>
    <w:p w14:paraId="57430E85">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"_Toc28387" </w:instrText>
      </w:r>
      <w:r>
        <w:fldChar w:fldCharType="separate"/>
      </w:r>
      <w:r>
        <w:rPr>
          <w:rFonts w:eastAsia="仿宋_GB2312"/>
          <w:sz w:val="32"/>
          <w:szCs w:val="32"/>
        </w:rPr>
        <w:t>五、一般公共预算财政拨款支出决算情况说明</w:t>
      </w:r>
      <w:r>
        <w:rPr>
          <w:rFonts w:eastAsia="仿宋_GB2312"/>
          <w:sz w:val="32"/>
          <w:szCs w:val="32"/>
        </w:rPr>
        <w:tab/>
      </w:r>
      <w:r>
        <w:rPr>
          <w:rFonts w:hint="eastAsia" w:eastAsia="仿宋_GB2312"/>
          <w:sz w:val="32"/>
          <w:szCs w:val="32"/>
        </w:rPr>
        <w:t>.</w:t>
      </w:r>
      <w:r>
        <w:rPr>
          <w:rFonts w:hint="eastAsia" w:eastAsia="仿宋_GB2312"/>
          <w:sz w:val="32"/>
          <w:szCs w:val="32"/>
        </w:rPr>
        <w:fldChar w:fldCharType="end"/>
      </w:r>
      <w:r>
        <w:rPr>
          <w:rFonts w:hint="eastAsia" w:ascii="仿宋" w:hAnsi="仿宋" w:eastAsia="仿宋" w:cs="仿宋"/>
          <w:sz w:val="32"/>
          <w:szCs w:val="32"/>
        </w:rPr>
        <w:t>4</w:t>
      </w:r>
    </w:p>
    <w:p w14:paraId="286F5E9B">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"_Toc32264" </w:instrText>
      </w:r>
      <w:r>
        <w:fldChar w:fldCharType="separate"/>
      </w:r>
      <w:r>
        <w:rPr>
          <w:rFonts w:eastAsia="仿宋_GB2312"/>
          <w:sz w:val="32"/>
          <w:szCs w:val="32"/>
        </w:rPr>
        <w:t>六、一般公共预算财政拨款基本支出决算情况说明</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w:t>
      </w:r>
      <w:r>
        <w:rPr>
          <w:rFonts w:hint="eastAsia" w:ascii="仿宋" w:hAnsi="仿宋" w:eastAsia="仿宋" w:cs="仿宋"/>
          <w:sz w:val="32"/>
          <w:szCs w:val="32"/>
        </w:rPr>
        <w:t>7</w:t>
      </w:r>
    </w:p>
    <w:p w14:paraId="1F7A418B">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"_Toc29779" </w:instrText>
      </w:r>
      <w:r>
        <w:fldChar w:fldCharType="separate"/>
      </w:r>
      <w:r>
        <w:rPr>
          <w:rFonts w:eastAsia="仿宋_GB2312"/>
          <w:sz w:val="32"/>
          <w:szCs w:val="32"/>
        </w:rPr>
        <w:t>七、财政拨款“三公”经费支出决算情况说明</w:t>
      </w:r>
      <w:r>
        <w:rPr>
          <w:rFonts w:eastAsia="仿宋_GB2312"/>
          <w:sz w:val="32"/>
          <w:szCs w:val="32"/>
        </w:rPr>
        <w:fldChar w:fldCharType="end"/>
      </w:r>
      <w:r>
        <w:rPr>
          <w:rFonts w:hint="eastAsia" w:eastAsia="仿宋_GB2312"/>
          <w:sz w:val="32"/>
          <w:szCs w:val="32"/>
        </w:rPr>
        <w:t>.....................</w:t>
      </w:r>
      <w:r>
        <w:rPr>
          <w:rFonts w:hint="eastAsia" w:ascii="仿宋" w:hAnsi="仿宋" w:eastAsia="仿宋" w:cs="仿宋"/>
          <w:sz w:val="32"/>
          <w:szCs w:val="32"/>
        </w:rPr>
        <w:t>8</w:t>
      </w:r>
    </w:p>
    <w:p w14:paraId="5C5E9177">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"_Toc10932" </w:instrText>
      </w:r>
      <w:r>
        <w:fldChar w:fldCharType="separate"/>
      </w:r>
      <w:r>
        <w:rPr>
          <w:rFonts w:eastAsia="仿宋_GB2312"/>
          <w:sz w:val="32"/>
          <w:szCs w:val="32"/>
        </w:rPr>
        <w:t>八、政府性基金预算支出决算情况说明</w:t>
      </w:r>
      <w:r>
        <w:rPr>
          <w:rFonts w:eastAsia="仿宋_GB2312"/>
          <w:sz w:val="32"/>
          <w:szCs w:val="32"/>
        </w:rPr>
        <w:tab/>
      </w:r>
      <w:r>
        <w:rPr>
          <w:rFonts w:eastAsia="仿宋_GB2312"/>
          <w:sz w:val="32"/>
          <w:szCs w:val="32"/>
        </w:rPr>
        <w:fldChar w:fldCharType="end"/>
      </w:r>
      <w:r>
        <w:rPr>
          <w:rFonts w:hint="eastAsia" w:ascii="仿宋" w:hAnsi="仿宋" w:eastAsia="仿宋" w:cs="仿宋"/>
          <w:sz w:val="32"/>
          <w:szCs w:val="32"/>
        </w:rPr>
        <w:t>9</w:t>
      </w:r>
    </w:p>
    <w:p w14:paraId="71FB3CCF">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"_Toc5995" </w:instrText>
      </w:r>
      <w:r>
        <w:fldChar w:fldCharType="separate"/>
      </w:r>
      <w:r>
        <w:rPr>
          <w:rFonts w:eastAsia="仿宋_GB2312"/>
          <w:sz w:val="32"/>
          <w:szCs w:val="32"/>
        </w:rPr>
        <w:t>九、国有资本经营预算支出决算情况说明</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w:t>
      </w:r>
      <w:r>
        <w:rPr>
          <w:rFonts w:hint="eastAsia" w:ascii="仿宋" w:hAnsi="仿宋" w:eastAsia="仿宋" w:cs="仿宋"/>
          <w:sz w:val="32"/>
          <w:szCs w:val="32"/>
        </w:rPr>
        <w:t>9</w:t>
      </w:r>
    </w:p>
    <w:p w14:paraId="04A1E9D1">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"_Toc12051" </w:instrText>
      </w:r>
      <w:r>
        <w:fldChar w:fldCharType="separate"/>
      </w:r>
      <w:r>
        <w:rPr>
          <w:rFonts w:eastAsia="仿宋_GB2312"/>
          <w:sz w:val="32"/>
          <w:szCs w:val="32"/>
        </w:rPr>
        <w:t>十、其他重要事项的情况说明</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w:t>
      </w:r>
      <w:r>
        <w:rPr>
          <w:rFonts w:hint="eastAsia" w:ascii="仿宋" w:hAnsi="仿宋" w:eastAsia="仿宋" w:cs="仿宋"/>
          <w:sz w:val="32"/>
          <w:szCs w:val="32"/>
        </w:rPr>
        <w:t>9</w:t>
      </w:r>
    </w:p>
    <w:p w14:paraId="659ED24A">
      <w:pPr>
        <w:pStyle w:val="11"/>
        <w:tabs>
          <w:tab w:val="right" w:leader="dot" w:pos="8306"/>
          <w:tab w:val="clear" w:pos="8296"/>
        </w:tabs>
        <w:ind w:right="-218" w:rightChars="-104"/>
        <w:jc w:val="right"/>
        <w:rPr>
          <w:rFonts w:ascii="Times New Roman" w:hAnsi="Times New Roman" w:eastAsia="仿宋_GB2312"/>
          <w:sz w:val="32"/>
          <w:szCs w:val="32"/>
        </w:rPr>
      </w:pPr>
      <w:r>
        <w:fldChar w:fldCharType="begin"/>
      </w:r>
      <w:r>
        <w:instrText xml:space="preserve"> HYPERLINK \l "_Toc20138" </w:instrText>
      </w:r>
      <w:r>
        <w:fldChar w:fldCharType="separate"/>
      </w:r>
      <w:r>
        <w:rPr>
          <w:rFonts w:ascii="Times New Roman" w:hAnsi="Times New Roman" w:eastAsia="仿宋_GB2312"/>
          <w:b/>
          <w:bCs/>
          <w:sz w:val="32"/>
          <w:szCs w:val="32"/>
        </w:rPr>
        <w:t>第三部分 名词解释</w:t>
      </w:r>
      <w:r>
        <w:rPr>
          <w:rFonts w:hint="eastAsia" w:ascii="Times New Roman" w:hAnsi="Times New Roman" w:eastAsia="仿宋_GB2312"/>
          <w:sz w:val="32"/>
          <w:szCs w:val="32"/>
        </w:rPr>
        <w:t>..................................................................</w:t>
      </w:r>
      <w:r>
        <w:rPr>
          <w:rFonts w:hint="eastAsia" w:cs="仿宋"/>
          <w:sz w:val="32"/>
          <w:szCs w:val="32"/>
        </w:rPr>
        <w:t>1</w:t>
      </w:r>
      <w:r>
        <w:rPr>
          <w:rFonts w:hint="eastAsia" w:cs="仿宋"/>
          <w:sz w:val="32"/>
          <w:szCs w:val="32"/>
        </w:rPr>
        <w:fldChar w:fldCharType="end"/>
      </w:r>
      <w:r>
        <w:rPr>
          <w:rFonts w:hint="eastAsia" w:cs="仿宋"/>
          <w:sz w:val="32"/>
          <w:szCs w:val="32"/>
        </w:rPr>
        <w:t>1</w:t>
      </w:r>
    </w:p>
    <w:p w14:paraId="58F1E41A">
      <w:pPr>
        <w:pStyle w:val="11"/>
        <w:tabs>
          <w:tab w:val="right" w:leader="dot" w:pos="8306"/>
          <w:tab w:val="clear" w:pos="8296"/>
        </w:tabs>
        <w:ind w:right="-218" w:rightChars="-104"/>
        <w:jc w:val="right"/>
        <w:rPr>
          <w:rFonts w:ascii="Times New Roman" w:hAnsi="Times New Roman" w:eastAsia="仿宋_GB2312"/>
          <w:sz w:val="32"/>
          <w:szCs w:val="32"/>
        </w:rPr>
      </w:pPr>
      <w:r>
        <w:fldChar w:fldCharType="begin"/>
      </w:r>
      <w:r>
        <w:instrText xml:space="preserve"> HYPERLINK \l "_Toc18807" </w:instrText>
      </w:r>
      <w:r>
        <w:fldChar w:fldCharType="separate"/>
      </w:r>
      <w:r>
        <w:rPr>
          <w:rFonts w:ascii="Times New Roman" w:hAnsi="Times New Roman" w:eastAsia="仿宋_GB2312"/>
          <w:b/>
          <w:bCs/>
          <w:sz w:val="32"/>
          <w:szCs w:val="32"/>
        </w:rPr>
        <w:t>第四部分 附件</w:t>
      </w:r>
      <w:r>
        <w:rPr>
          <w:rFonts w:ascii="Times New Roman" w:hAnsi="Times New Roman" w:eastAsia="仿宋_GB2312"/>
          <w:sz w:val="32"/>
          <w:szCs w:val="32"/>
        </w:rPr>
        <w:tab/>
      </w:r>
      <w:r>
        <w:rPr>
          <w:rFonts w:hint="eastAsia" w:cs="仿宋"/>
          <w:sz w:val="32"/>
          <w:szCs w:val="32"/>
        </w:rPr>
        <w:t>1</w:t>
      </w:r>
      <w:r>
        <w:rPr>
          <w:rFonts w:hint="eastAsia" w:cs="仿宋"/>
          <w:sz w:val="32"/>
          <w:szCs w:val="32"/>
        </w:rPr>
        <w:fldChar w:fldCharType="end"/>
      </w:r>
      <w:r>
        <w:rPr>
          <w:rFonts w:hint="eastAsia" w:cs="仿宋"/>
          <w:sz w:val="32"/>
          <w:szCs w:val="32"/>
        </w:rPr>
        <w:t>5</w:t>
      </w:r>
    </w:p>
    <w:p w14:paraId="115CEA35">
      <w:pPr>
        <w:pStyle w:val="11"/>
        <w:tabs>
          <w:tab w:val="right" w:leader="dot" w:pos="8306"/>
          <w:tab w:val="clear" w:pos="8296"/>
        </w:tabs>
        <w:ind w:right="-218" w:rightChars="-104"/>
        <w:jc w:val="right"/>
        <w:rPr>
          <w:rFonts w:ascii="Times New Roman" w:hAnsi="Times New Roman" w:eastAsia="仿宋_GB2312"/>
          <w:sz w:val="32"/>
          <w:szCs w:val="32"/>
        </w:rPr>
      </w:pPr>
      <w:r>
        <w:fldChar w:fldCharType="begin"/>
      </w:r>
      <w:r>
        <w:instrText xml:space="preserve"> HYPERLINK \l "_Toc6450" </w:instrText>
      </w:r>
      <w:r>
        <w:fldChar w:fldCharType="separate"/>
      </w:r>
      <w:r>
        <w:rPr>
          <w:rFonts w:ascii="Times New Roman" w:hAnsi="Times New Roman" w:eastAsia="仿宋_GB2312"/>
          <w:b/>
          <w:bCs/>
          <w:sz w:val="32"/>
          <w:szCs w:val="32"/>
        </w:rPr>
        <w:t>第五部分 附表</w:t>
      </w:r>
      <w:r>
        <w:rPr>
          <w:rFonts w:ascii="Times New Roman" w:hAnsi="Times New Roman" w:eastAsia="仿宋_GB2312"/>
          <w:sz w:val="32"/>
          <w:szCs w:val="32"/>
        </w:rPr>
        <w:tab/>
      </w:r>
      <w:r>
        <w:rPr>
          <w:rFonts w:ascii="Times New Roman" w:hAnsi="Times New Roman" w:eastAsia="仿宋_GB2312"/>
          <w:sz w:val="32"/>
          <w:szCs w:val="32"/>
        </w:rPr>
        <w:fldChar w:fldCharType="end"/>
      </w:r>
      <w:r>
        <w:rPr>
          <w:rFonts w:hint="eastAsia" w:cs="仿宋"/>
          <w:sz w:val="32"/>
          <w:szCs w:val="32"/>
        </w:rPr>
        <w:t>16</w:t>
      </w:r>
    </w:p>
    <w:p w14:paraId="41AD3975">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"_Toc14349" </w:instrText>
      </w:r>
      <w:r>
        <w:fldChar w:fldCharType="separate"/>
      </w:r>
      <w:r>
        <w:rPr>
          <w:rFonts w:eastAsia="仿宋_GB2312"/>
          <w:sz w:val="32"/>
          <w:szCs w:val="32"/>
        </w:rPr>
        <w:t>一、收入支出决算总表</w:t>
      </w:r>
      <w:r>
        <w:rPr>
          <w:rFonts w:eastAsia="仿宋_GB2312"/>
          <w:sz w:val="32"/>
          <w:szCs w:val="32"/>
        </w:rPr>
        <w:tab/>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6</w:t>
      </w:r>
    </w:p>
    <w:p w14:paraId="4204E787">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"_Toc1540" </w:instrText>
      </w:r>
      <w:r>
        <w:fldChar w:fldCharType="separate"/>
      </w:r>
      <w:r>
        <w:rPr>
          <w:rFonts w:eastAsia="仿宋_GB2312"/>
          <w:sz w:val="32"/>
          <w:szCs w:val="32"/>
        </w:rPr>
        <w:t>二、</w:t>
      </w:r>
      <w:r>
        <w:rPr>
          <w:rFonts w:eastAsia="仿宋_GB2312"/>
          <w:bCs/>
          <w:sz w:val="32"/>
          <w:szCs w:val="32"/>
        </w:rPr>
        <w:t>收入决算表</w:t>
      </w:r>
      <w:r>
        <w:rPr>
          <w:rFonts w:eastAsia="仿宋_GB2312"/>
          <w:sz w:val="32"/>
          <w:szCs w:val="32"/>
        </w:rPr>
        <w:tab/>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6</w:t>
      </w:r>
    </w:p>
    <w:p w14:paraId="467A1523">
      <w:pPr>
        <w:pStyle w:val="12"/>
        <w:tabs>
          <w:tab w:val="right" w:leader="dot" w:pos="8306"/>
          <w:tab w:val="clear" w:pos="8296"/>
        </w:tabs>
        <w:ind w:right="-218" w:rightChars="-104"/>
        <w:jc w:val="right"/>
        <w:rPr>
          <w:rFonts w:eastAsia="仿宋_GB2312"/>
          <w:sz w:val="32"/>
          <w:szCs w:val="32"/>
        </w:rPr>
        <w:sectPr>
          <w:footerReference r:id="rId3" w:type="default"/>
          <w:pgSz w:w="11906" w:h="16838"/>
          <w:pgMar w:top="1440" w:right="1926" w:bottom="1440" w:left="1800" w:header="851" w:footer="992" w:gutter="0"/>
          <w:pgNumType w:start="1"/>
          <w:cols w:space="720" w:num="1"/>
          <w:docGrid w:type="lines" w:linePitch="312" w:charSpace="0"/>
        </w:sectPr>
      </w:pPr>
    </w:p>
    <w:p w14:paraId="1CFBC146">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"_Toc24186" </w:instrText>
      </w:r>
      <w:r>
        <w:fldChar w:fldCharType="separate"/>
      </w:r>
      <w:r>
        <w:rPr>
          <w:rFonts w:eastAsia="仿宋_GB2312"/>
          <w:sz w:val="32"/>
          <w:szCs w:val="32"/>
        </w:rPr>
        <w:t>三、</w:t>
      </w:r>
      <w:r>
        <w:rPr>
          <w:rFonts w:eastAsia="仿宋_GB2312"/>
          <w:bCs/>
          <w:sz w:val="32"/>
          <w:szCs w:val="32"/>
        </w:rPr>
        <w:t>支出决算表</w:t>
      </w:r>
      <w:r>
        <w:rPr>
          <w:rFonts w:eastAsia="仿宋_GB2312"/>
          <w:sz w:val="32"/>
          <w:szCs w:val="32"/>
        </w:rPr>
        <w:tab/>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6</w:t>
      </w:r>
    </w:p>
    <w:p w14:paraId="4EDEC8A5">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"_Toc2109" </w:instrText>
      </w:r>
      <w:r>
        <w:fldChar w:fldCharType="separate"/>
      </w:r>
      <w:r>
        <w:rPr>
          <w:rFonts w:eastAsia="仿宋_GB2312"/>
          <w:sz w:val="32"/>
          <w:szCs w:val="32"/>
        </w:rPr>
        <w:t>四、</w:t>
      </w:r>
      <w:r>
        <w:rPr>
          <w:rFonts w:eastAsia="仿宋_GB2312"/>
          <w:bCs/>
          <w:sz w:val="32"/>
          <w:szCs w:val="32"/>
        </w:rPr>
        <w:t>财政拨款收入支出决算总表</w:t>
      </w:r>
      <w:r>
        <w:rPr>
          <w:rFonts w:eastAsia="仿宋_GB2312"/>
          <w:sz w:val="32"/>
          <w:szCs w:val="32"/>
        </w:rPr>
        <w:tab/>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6</w:t>
      </w:r>
    </w:p>
    <w:p w14:paraId="3A33D57D">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"_Toc17137" </w:instrText>
      </w:r>
      <w:r>
        <w:fldChar w:fldCharType="separate"/>
      </w:r>
      <w:r>
        <w:rPr>
          <w:rFonts w:eastAsia="仿宋_GB2312"/>
          <w:sz w:val="32"/>
          <w:szCs w:val="32"/>
        </w:rPr>
        <w:t>五、</w:t>
      </w:r>
      <w:r>
        <w:rPr>
          <w:rFonts w:eastAsia="仿宋_GB2312"/>
          <w:bCs/>
          <w:sz w:val="32"/>
          <w:szCs w:val="32"/>
        </w:rPr>
        <w:t>财政拨款支出决算明细表</w:t>
      </w:r>
      <w:r>
        <w:rPr>
          <w:rFonts w:eastAsia="仿宋_GB2312"/>
          <w:sz w:val="32"/>
          <w:szCs w:val="32"/>
        </w:rPr>
        <w:tab/>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6</w:t>
      </w:r>
    </w:p>
    <w:p w14:paraId="4428BA06">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"_Toc13960" </w:instrText>
      </w:r>
      <w:r>
        <w:fldChar w:fldCharType="separate"/>
      </w:r>
      <w:r>
        <w:rPr>
          <w:rFonts w:eastAsia="仿宋_GB2312"/>
          <w:sz w:val="32"/>
          <w:szCs w:val="32"/>
        </w:rPr>
        <w:t>六、</w:t>
      </w:r>
      <w:r>
        <w:rPr>
          <w:rFonts w:eastAsia="仿宋_GB2312"/>
          <w:bCs/>
          <w:sz w:val="32"/>
          <w:szCs w:val="32"/>
        </w:rPr>
        <w:t>一般公共预算财政拨款支出决算表</w:t>
      </w:r>
      <w:r>
        <w:rPr>
          <w:rFonts w:eastAsia="仿宋_GB2312"/>
          <w:sz w:val="32"/>
          <w:szCs w:val="32"/>
        </w:rPr>
        <w:tab/>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6</w:t>
      </w:r>
    </w:p>
    <w:p w14:paraId="3AEA20E4">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"_Toc19869" </w:instrText>
      </w:r>
      <w:r>
        <w:fldChar w:fldCharType="separate"/>
      </w:r>
      <w:r>
        <w:rPr>
          <w:rFonts w:eastAsia="仿宋_GB2312"/>
          <w:sz w:val="32"/>
          <w:szCs w:val="32"/>
        </w:rPr>
        <w:t>七、</w:t>
      </w:r>
      <w:r>
        <w:rPr>
          <w:rFonts w:eastAsia="仿宋_GB2312"/>
          <w:bCs/>
          <w:sz w:val="32"/>
          <w:szCs w:val="32"/>
        </w:rPr>
        <w:t>一般公共预算财政拨款支出决算明细表</w:t>
      </w:r>
      <w:r>
        <w:rPr>
          <w:rFonts w:hint="eastAsia" w:eastAsia="仿宋_GB2312"/>
          <w:bCs/>
          <w:sz w:val="32"/>
          <w:szCs w:val="32"/>
        </w:rPr>
        <w:t>...................</w:t>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6</w:t>
      </w:r>
      <w:r>
        <w:fldChar w:fldCharType="begin"/>
      </w:r>
      <w:r>
        <w:instrText xml:space="preserve"> HYPERLINK \l "_Toc31304" </w:instrText>
      </w:r>
      <w:r>
        <w:fldChar w:fldCharType="separate"/>
      </w:r>
      <w:r>
        <w:rPr>
          <w:rFonts w:eastAsia="仿宋_GB2312"/>
          <w:sz w:val="32"/>
          <w:szCs w:val="32"/>
        </w:rPr>
        <w:t>八、</w:t>
      </w:r>
      <w:r>
        <w:rPr>
          <w:rFonts w:eastAsia="仿宋_GB2312"/>
          <w:bCs/>
          <w:sz w:val="32"/>
          <w:szCs w:val="32"/>
        </w:rPr>
        <w:t>一般公共预算财政拨款基本支出决算</w:t>
      </w:r>
      <w:r>
        <w:rPr>
          <w:rFonts w:hint="eastAsia" w:eastAsia="仿宋_GB2312"/>
          <w:bCs/>
          <w:sz w:val="32"/>
          <w:szCs w:val="32"/>
        </w:rPr>
        <w:t>明细</w:t>
      </w:r>
      <w:r>
        <w:rPr>
          <w:rFonts w:eastAsia="仿宋_GB2312"/>
          <w:bCs/>
          <w:sz w:val="32"/>
          <w:szCs w:val="32"/>
        </w:rPr>
        <w:t>表</w:t>
      </w:r>
      <w:r>
        <w:rPr>
          <w:rFonts w:eastAsia="仿宋_GB2312"/>
          <w:sz w:val="32"/>
          <w:szCs w:val="32"/>
        </w:rPr>
        <w:tab/>
      </w:r>
      <w:r>
        <w:rPr>
          <w:rFonts w:eastAsia="仿宋_GB2312"/>
          <w:sz w:val="32"/>
          <w:szCs w:val="32"/>
        </w:rPr>
        <w:fldChar w:fldCharType="end"/>
      </w:r>
      <w:r>
        <w:rPr>
          <w:rFonts w:hint="eastAsia" w:ascii="仿宋" w:hAnsi="仿宋" w:eastAsia="仿宋" w:cs="仿宋"/>
          <w:sz w:val="32"/>
          <w:szCs w:val="32"/>
        </w:rPr>
        <w:t>16</w:t>
      </w:r>
    </w:p>
    <w:p w14:paraId="5051FF8F">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"_Toc13751" </w:instrText>
      </w:r>
      <w:r>
        <w:fldChar w:fldCharType="separate"/>
      </w:r>
      <w:r>
        <w:rPr>
          <w:rFonts w:eastAsia="仿宋_GB2312"/>
          <w:sz w:val="32"/>
          <w:szCs w:val="32"/>
        </w:rPr>
        <w:t>九、</w:t>
      </w:r>
      <w:r>
        <w:rPr>
          <w:rFonts w:eastAsia="仿宋_GB2312"/>
          <w:bCs/>
          <w:sz w:val="32"/>
          <w:szCs w:val="32"/>
        </w:rPr>
        <w:t>一般公共预算财政拨款项目支出决算表</w:t>
      </w:r>
      <w:r>
        <w:rPr>
          <w:rFonts w:hint="eastAsia" w:eastAsia="仿宋_GB2312"/>
          <w:bCs/>
          <w:sz w:val="32"/>
          <w:szCs w:val="32"/>
        </w:rPr>
        <w:t>.</w:t>
      </w:r>
      <w:r>
        <w:rPr>
          <w:rFonts w:hint="eastAsia" w:eastAsia="仿宋_GB2312"/>
          <w:bCs/>
          <w:sz w:val="32"/>
          <w:szCs w:val="32"/>
        </w:rPr>
        <w:fldChar w:fldCharType="end"/>
      </w:r>
      <w:r>
        <w:rPr>
          <w:rFonts w:hint="eastAsia" w:eastAsia="仿宋_GB2312"/>
          <w:sz w:val="32"/>
          <w:szCs w:val="32"/>
        </w:rPr>
        <w:t>..................</w:t>
      </w:r>
      <w:r>
        <w:rPr>
          <w:rFonts w:hint="eastAsia" w:ascii="仿宋" w:hAnsi="仿宋" w:eastAsia="仿宋" w:cs="仿宋"/>
          <w:sz w:val="32"/>
          <w:szCs w:val="32"/>
        </w:rPr>
        <w:t>16</w:t>
      </w:r>
    </w:p>
    <w:p w14:paraId="5635C993">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"_Toc10415" </w:instrText>
      </w:r>
      <w:r>
        <w:fldChar w:fldCharType="separate"/>
      </w:r>
      <w:r>
        <w:rPr>
          <w:rFonts w:eastAsia="仿宋_GB2312"/>
          <w:sz w:val="32"/>
          <w:szCs w:val="32"/>
        </w:rPr>
        <w:t>十、</w:t>
      </w:r>
      <w:r>
        <w:rPr>
          <w:rFonts w:eastAsia="仿宋_GB2312"/>
          <w:bCs/>
          <w:sz w:val="32"/>
          <w:szCs w:val="32"/>
        </w:rPr>
        <w:t>政府性基金预算财政拨款收入支出决算</w:t>
      </w:r>
      <w:r>
        <w:rPr>
          <w:rFonts w:hint="eastAsia" w:eastAsia="仿宋_GB2312"/>
          <w:bCs/>
          <w:sz w:val="32"/>
          <w:szCs w:val="32"/>
        </w:rPr>
        <w:t>表</w:t>
      </w:r>
      <w:r>
        <w:rPr>
          <w:rFonts w:hint="eastAsia" w:eastAsia="仿宋_GB2312"/>
          <w:bCs/>
          <w:sz w:val="32"/>
          <w:szCs w:val="32"/>
        </w:rPr>
        <w:fldChar w:fldCharType="end"/>
      </w:r>
      <w:r>
        <w:rPr>
          <w:rFonts w:hint="eastAsia" w:eastAsia="仿宋_GB2312"/>
          <w:sz w:val="32"/>
          <w:szCs w:val="32"/>
        </w:rPr>
        <w:t>...............</w:t>
      </w:r>
      <w:r>
        <w:rPr>
          <w:rFonts w:hint="eastAsia" w:ascii="仿宋" w:hAnsi="仿宋" w:eastAsia="仿宋" w:cs="仿宋"/>
          <w:sz w:val="32"/>
          <w:szCs w:val="32"/>
        </w:rPr>
        <w:t>16</w:t>
      </w:r>
      <w:r>
        <w:fldChar w:fldCharType="begin"/>
      </w:r>
      <w:r>
        <w:instrText xml:space="preserve"> HYPERLINK \l "_Toc26668" </w:instrText>
      </w:r>
      <w:r>
        <w:fldChar w:fldCharType="separate"/>
      </w:r>
      <w:r>
        <w:rPr>
          <w:rFonts w:eastAsia="仿宋_GB2312"/>
          <w:sz w:val="32"/>
          <w:szCs w:val="32"/>
        </w:rPr>
        <w:t>十一</w:t>
      </w:r>
      <w:r>
        <w:rPr>
          <w:rFonts w:eastAsia="仿宋_GB2312"/>
          <w:bCs/>
          <w:sz w:val="32"/>
          <w:szCs w:val="32"/>
        </w:rPr>
        <w:t>、国有资本经营预算财政拨款收入支出决算表</w:t>
      </w:r>
      <w:r>
        <w:rPr>
          <w:rFonts w:eastAsia="仿宋_GB2312"/>
          <w:bCs/>
          <w:sz w:val="32"/>
          <w:szCs w:val="32"/>
        </w:rPr>
        <w:fldChar w:fldCharType="end"/>
      </w:r>
      <w:r>
        <w:rPr>
          <w:rFonts w:hint="eastAsia" w:eastAsia="仿宋_GB2312"/>
          <w:sz w:val="32"/>
          <w:szCs w:val="32"/>
        </w:rPr>
        <w:t>.......</w:t>
      </w:r>
      <w:r>
        <w:rPr>
          <w:rFonts w:hint="eastAsia" w:ascii="仿宋" w:hAnsi="仿宋" w:eastAsia="仿宋" w:cs="仿宋"/>
          <w:sz w:val="32"/>
          <w:szCs w:val="32"/>
        </w:rPr>
        <w:t>16</w:t>
      </w:r>
    </w:p>
    <w:p w14:paraId="3A47A089">
      <w:pPr>
        <w:pStyle w:val="12"/>
        <w:tabs>
          <w:tab w:val="right" w:leader="dot" w:pos="8306"/>
          <w:tab w:val="clear" w:pos="8296"/>
        </w:tabs>
        <w:ind w:right="-218" w:rightChars="-104"/>
        <w:jc w:val="right"/>
        <w:rPr>
          <w:rFonts w:eastAsia="仿宋_GB2312"/>
          <w:sz w:val="32"/>
          <w:szCs w:val="32"/>
        </w:rPr>
      </w:pPr>
      <w:r>
        <w:fldChar w:fldCharType="begin"/>
      </w:r>
      <w:r>
        <w:instrText xml:space="preserve"> HYPERLINK \l "_Toc2042" </w:instrText>
      </w:r>
      <w:r>
        <w:fldChar w:fldCharType="separate"/>
      </w:r>
      <w:r>
        <w:rPr>
          <w:rFonts w:eastAsia="仿宋_GB2312"/>
          <w:sz w:val="32"/>
          <w:szCs w:val="32"/>
        </w:rPr>
        <w:t>十二、国有资本经营预算财政拨款支出决算表</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w:t>
      </w:r>
      <w:r>
        <w:rPr>
          <w:rFonts w:hint="eastAsia" w:ascii="仿宋" w:hAnsi="仿宋" w:eastAsia="仿宋" w:cs="仿宋"/>
          <w:sz w:val="32"/>
          <w:szCs w:val="32"/>
        </w:rPr>
        <w:t>16</w:t>
      </w:r>
    </w:p>
    <w:p w14:paraId="46DBC202">
      <w:pPr>
        <w:pStyle w:val="12"/>
        <w:tabs>
          <w:tab w:val="right" w:leader="dot" w:pos="8306"/>
          <w:tab w:val="clear" w:pos="8296"/>
        </w:tabs>
        <w:ind w:right="-218" w:rightChars="-104"/>
        <w:jc w:val="right"/>
        <w:rPr>
          <w:rFonts w:ascii="仿宋" w:hAnsi="仿宋" w:eastAsia="仿宋" w:cs="仿宋"/>
          <w:sz w:val="32"/>
          <w:szCs w:val="32"/>
        </w:rPr>
      </w:pPr>
      <w:r>
        <w:fldChar w:fldCharType="begin"/>
      </w:r>
      <w:r>
        <w:instrText xml:space="preserve"> HYPERLINK \l "_Toc22381" </w:instrText>
      </w:r>
      <w:r>
        <w:fldChar w:fldCharType="separate"/>
      </w:r>
      <w:r>
        <w:rPr>
          <w:rFonts w:eastAsia="仿宋_GB2312"/>
          <w:sz w:val="32"/>
          <w:szCs w:val="32"/>
        </w:rPr>
        <w:t>十三、财政拨款“三公”经费支出决算表</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w:t>
      </w:r>
      <w:r>
        <w:rPr>
          <w:rFonts w:hint="eastAsia" w:ascii="仿宋" w:hAnsi="仿宋" w:eastAsia="仿宋" w:cs="仿宋"/>
          <w:sz w:val="32"/>
          <w:szCs w:val="32"/>
        </w:rPr>
        <w:t>16</w:t>
      </w:r>
    </w:p>
    <w:p w14:paraId="5D2A14E5">
      <w:pPr>
        <w:pStyle w:val="12"/>
        <w:adjustRightInd w:val="0"/>
        <w:snapToGrid w:val="0"/>
        <w:spacing w:line="440" w:lineRule="exact"/>
        <w:jc w:val="left"/>
        <w:rPr>
          <w:sz w:val="24"/>
        </w:rPr>
      </w:pPr>
      <w:r>
        <w:rPr>
          <w:rFonts w:eastAsia="仿宋_GB2312"/>
          <w:sz w:val="32"/>
          <w:szCs w:val="32"/>
        </w:rPr>
        <w:fldChar w:fldCharType="end"/>
      </w:r>
    </w:p>
    <w:p w14:paraId="7D864C99">
      <w:pPr>
        <w:pStyle w:val="2"/>
        <w:jc w:val="center"/>
        <w:rPr>
          <w:rFonts w:ascii="黑体" w:hAnsi="黑体" w:eastAsia="黑体"/>
          <w:b w:val="0"/>
        </w:rPr>
        <w:sectPr>
          <w:footerReference r:id="rId6" w:type="first"/>
          <w:headerReference r:id="rId4" w:type="default"/>
          <w:footerReference r:id="rId5" w:type="default"/>
          <w:pgSz w:w="11906" w:h="16838"/>
          <w:pgMar w:top="1440" w:right="1800" w:bottom="1440" w:left="1800" w:header="851" w:footer="992" w:gutter="0"/>
          <w:pgNumType w:start="1"/>
          <w:cols w:space="425" w:num="1"/>
          <w:titlePg/>
          <w:docGrid w:type="lines" w:linePitch="312" w:charSpace="0"/>
        </w:sectPr>
      </w:pPr>
      <w:bookmarkStart w:id="12" w:name="_Toc15396599"/>
      <w:bookmarkStart w:id="13" w:name="_Toc15377196"/>
    </w:p>
    <w:p w14:paraId="6F13E127">
      <w:pPr>
        <w:pStyle w:val="2"/>
        <w:jc w:val="center"/>
        <w:rPr>
          <w:rStyle w:val="27"/>
          <w:rFonts w:ascii="黑体" w:hAnsi="黑体" w:eastAsia="黑体"/>
          <w:b/>
          <w:bCs w:val="0"/>
        </w:rPr>
      </w:pPr>
      <w:r>
        <w:rPr>
          <w:rFonts w:hint="eastAsia" w:ascii="黑体" w:hAnsi="黑体" w:eastAsia="黑体"/>
          <w:b w:val="0"/>
        </w:rPr>
        <w:t>第一部分 单位</w:t>
      </w:r>
      <w:r>
        <w:rPr>
          <w:rStyle w:val="27"/>
          <w:rFonts w:hint="eastAsia" w:ascii="黑体" w:hAnsi="黑体" w:eastAsia="黑体"/>
          <w:b w:val="0"/>
          <w:bCs w:val="0"/>
        </w:rPr>
        <w:t>概况</w:t>
      </w:r>
      <w:bookmarkEnd w:id="12"/>
      <w:bookmarkEnd w:id="13"/>
    </w:p>
    <w:p w14:paraId="247926CD">
      <w:pPr>
        <w:widowControl/>
        <w:jc w:val="left"/>
        <w:rPr>
          <w:rFonts w:ascii="黑体" w:eastAsia="黑体"/>
          <w:sz w:val="32"/>
          <w:szCs w:val="32"/>
        </w:rPr>
      </w:pPr>
    </w:p>
    <w:p w14:paraId="32F7219A">
      <w:pPr>
        <w:spacing w:line="600" w:lineRule="exact"/>
        <w:ind w:firstLine="640" w:firstLineChars="200"/>
        <w:outlineLvl w:val="1"/>
        <w:rPr>
          <w:rStyle w:val="28"/>
          <w:rFonts w:ascii="黑体" w:hAnsi="黑体" w:eastAsia="黑体"/>
          <w:b w:val="0"/>
          <w:bCs w:val="0"/>
        </w:rPr>
      </w:pPr>
      <w:bookmarkStart w:id="14" w:name="_Toc15396600"/>
      <w:bookmarkStart w:id="15" w:name="_Toc15377197"/>
      <w:r>
        <w:rPr>
          <w:rStyle w:val="28"/>
          <w:rFonts w:hint="eastAsia" w:ascii="黑体" w:hAnsi="黑体" w:eastAsia="黑体"/>
          <w:b w:val="0"/>
          <w:bCs w:val="0"/>
        </w:rPr>
        <w:t>一、主要职责</w:t>
      </w:r>
    </w:p>
    <w:p w14:paraId="6564E494">
      <w:pPr>
        <w:spacing w:line="600" w:lineRule="exact"/>
        <w:ind w:firstLine="640" w:firstLineChars="200"/>
        <w:outlineLvl w:val="1"/>
        <w:rPr>
          <w:rStyle w:val="28"/>
          <w:rFonts w:ascii="黑体" w:hAnsi="黑体" w:eastAsia="黑体"/>
          <w:b w:val="0"/>
          <w:bCs w:val="0"/>
        </w:rPr>
      </w:pPr>
      <w:r>
        <w:rPr>
          <w:rFonts w:hint="eastAsia" w:ascii="仿宋" w:hAnsi="仿宋" w:eastAsia="仿宋"/>
          <w:sz w:val="32"/>
          <w:szCs w:val="32"/>
        </w:rPr>
        <w:t>盐边县格萨拉乡中心卫生院属于财政拨款事业单位，担负着全乡的基本医疗、基本公共卫生、预防、保健等医疗服务。设有内科、外科、妇儿科、治疗室、观察室、公共卫生科、预防接种室、保健室、办公室、财务室等专业科室及综合管理业务科室，设置病床19张，本年机构无变化情况。盐边县格萨拉中心卫生院2023年重点工作：提升基本医疗服务，积极实施基本公共卫生服务项目；提高防治重大疾病和应对突发公共卫生事件的能力；新冠疫情防控；加强综合治理，落实综合治理工作长效机制；积极承担政府指令性紧急医疗救援任务；努力完成县委、县政府以及卫生行政主管部门交办的各项任务。</w:t>
      </w:r>
    </w:p>
    <w:p w14:paraId="25A6B24A">
      <w:pPr>
        <w:numPr>
          <w:ilvl w:val="0"/>
          <w:numId w:val="1"/>
        </w:numPr>
        <w:ind w:firstLine="800" w:firstLineChars="250"/>
        <w:rPr>
          <w:rFonts w:ascii="黑体" w:hAnsi="黑体" w:eastAsia="黑体"/>
          <w:sz w:val="32"/>
          <w:szCs w:val="32"/>
        </w:rPr>
      </w:pPr>
      <w:r>
        <w:rPr>
          <w:rFonts w:hint="eastAsia" w:ascii="黑体" w:hAnsi="黑体" w:eastAsia="黑体"/>
          <w:sz w:val="32"/>
          <w:szCs w:val="32"/>
        </w:rPr>
        <w:t>机构设置</w:t>
      </w:r>
    </w:p>
    <w:p w14:paraId="360E1469">
      <w:pPr>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本单位设有内科、外科、妇儿科、治疗室、公共卫生科、预防接种室、保健室、办公室、财务室等专业科室及综合管理业务科室，设置病床</w:t>
      </w:r>
      <w:r>
        <w:rPr>
          <w:rFonts w:hint="eastAsia" w:ascii="仿宋" w:hAnsi="仿宋" w:eastAsia="仿宋" w:cs="仿宋"/>
          <w:sz w:val="32"/>
          <w:szCs w:val="32"/>
          <w:lang w:val="en-US" w:eastAsia="zh-CN"/>
        </w:rPr>
        <w:t>19</w:t>
      </w:r>
      <w:r>
        <w:rPr>
          <w:rFonts w:hint="eastAsia" w:ascii="仿宋" w:hAnsi="仿宋" w:eastAsia="仿宋" w:cs="仿宋"/>
          <w:sz w:val="32"/>
          <w:szCs w:val="32"/>
        </w:rPr>
        <w:t>张，本年机构无变化情况。</w:t>
      </w:r>
    </w:p>
    <w:p w14:paraId="5AEA918B">
      <w:pPr>
        <w:pStyle w:val="3"/>
        <w:rPr>
          <w:rFonts w:hint="eastAsia" w:ascii="方正仿宋_GB2312" w:hAnsi="方正仿宋_GB2312" w:eastAsia="方正仿宋_GB2312" w:cs="方正仿宋_GB2312"/>
          <w:b w:val="0"/>
          <w:lang w:val="en-US" w:eastAsia="zh-CN"/>
        </w:rPr>
      </w:pPr>
    </w:p>
    <w:bookmarkEnd w:id="14"/>
    <w:bookmarkEnd w:id="15"/>
    <w:p w14:paraId="679401A3">
      <w:pPr>
        <w:widowControl/>
        <w:jc w:val="left"/>
        <w:rPr>
          <w:rFonts w:ascii="仿宋" w:hAnsi="仿宋" w:eastAsia="仿宋"/>
          <w:kern w:val="0"/>
          <w:sz w:val="32"/>
          <w:szCs w:val="32"/>
        </w:rPr>
      </w:pPr>
      <w:r>
        <w:rPr>
          <w:rFonts w:ascii="仿宋" w:hAnsi="仿宋" w:eastAsia="仿宋"/>
          <w:sz w:val="32"/>
          <w:szCs w:val="32"/>
        </w:rPr>
        <w:br w:type="page"/>
      </w:r>
    </w:p>
    <w:p w14:paraId="1623CED8">
      <w:pPr>
        <w:pStyle w:val="2"/>
        <w:ind w:right="440"/>
        <w:jc w:val="center"/>
        <w:rPr>
          <w:rStyle w:val="27"/>
          <w:rFonts w:ascii="黑体" w:hAnsi="黑体" w:eastAsia="黑体"/>
          <w:b w:val="0"/>
          <w:bCs/>
        </w:rPr>
      </w:pPr>
      <w:bookmarkStart w:id="16" w:name="_Toc15396602"/>
      <w:bookmarkStart w:id="17" w:name="_Toc15377204"/>
      <w:r>
        <w:rPr>
          <w:rFonts w:hint="eastAsia" w:ascii="黑体" w:hAnsi="黑体" w:eastAsia="黑体"/>
          <w:b w:val="0"/>
        </w:rPr>
        <w:t>第二部分 2023年度</w:t>
      </w:r>
      <w:r>
        <w:rPr>
          <w:rStyle w:val="27"/>
          <w:rFonts w:hint="eastAsia" w:ascii="黑体" w:hAnsi="黑体" w:eastAsia="黑体"/>
          <w:b w:val="0"/>
          <w:bCs/>
        </w:rPr>
        <w:t>单位决算情况说明</w:t>
      </w:r>
      <w:bookmarkEnd w:id="16"/>
      <w:bookmarkEnd w:id="17"/>
    </w:p>
    <w:p w14:paraId="53A586DD"/>
    <w:p w14:paraId="5D5319F6">
      <w:pPr>
        <w:pStyle w:val="26"/>
        <w:numPr>
          <w:ilvl w:val="0"/>
          <w:numId w:val="2"/>
        </w:numPr>
        <w:spacing w:line="600" w:lineRule="exact"/>
        <w:ind w:firstLineChars="0"/>
        <w:outlineLvl w:val="1"/>
        <w:rPr>
          <w:rStyle w:val="28"/>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14:paraId="227C8A31">
      <w:pPr>
        <w:spacing w:line="600" w:lineRule="exact"/>
        <w:ind w:firstLine="640" w:firstLineChars="200"/>
        <w:rPr>
          <w:rFonts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sz w:val="32"/>
          <w:szCs w:val="32"/>
        </w:rPr>
        <w:t>415.42</w:t>
      </w:r>
      <w:r>
        <w:rPr>
          <w:rFonts w:hint="eastAsia" w:ascii="仿宋" w:hAnsi="仿宋" w:eastAsia="仿宋"/>
          <w:sz w:val="32"/>
          <w:szCs w:val="32"/>
        </w:rPr>
        <w:t>万元。与2022年度相比，收、支总计各增加9万元，增长2.1</w:t>
      </w:r>
      <w:r>
        <w:rPr>
          <w:rFonts w:ascii="仿宋" w:hAnsi="仿宋" w:eastAsia="仿宋"/>
          <w:sz w:val="32"/>
          <w:szCs w:val="32"/>
        </w:rPr>
        <w:t>%</w:t>
      </w:r>
      <w:r>
        <w:rPr>
          <w:rFonts w:hint="eastAsia" w:ascii="仿宋" w:hAnsi="仿宋" w:eastAsia="仿宋"/>
          <w:sz w:val="32"/>
          <w:szCs w:val="32"/>
        </w:rPr>
        <w:t>。主要变动原因是职工有增资。</w:t>
      </w:r>
    </w:p>
    <w:p w14:paraId="0D5784BA">
      <w:pPr>
        <w:pStyle w:val="5"/>
        <w:spacing w:before="93"/>
        <w:rPr>
          <w:rFonts w:ascii="仿宋" w:hAnsi="仿宋" w:eastAsia="仿宋"/>
          <w:sz w:val="32"/>
          <w:szCs w:val="32"/>
        </w:rPr>
      </w:pPr>
      <w:r>
        <w:rPr>
          <w:rFonts w:hint="eastAsia" w:ascii="仿宋" w:hAnsi="仿宋" w:eastAsia="仿宋"/>
          <w:sz w:val="32"/>
          <w:szCs w:val="32"/>
        </w:rPr>
        <w:drawing>
          <wp:inline distT="0" distB="0" distL="114300" distR="114300">
            <wp:extent cx="5256530" cy="2988310"/>
            <wp:effectExtent l="5080" t="4445" r="15240" b="1714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02542FF">
      <w:pPr>
        <w:pStyle w:val="5"/>
        <w:spacing w:before="93"/>
        <w:ind w:firstLine="1280" w:firstLineChars="4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14:paraId="3F4D7CF2">
      <w:pPr>
        <w:pStyle w:val="26"/>
        <w:numPr>
          <w:ilvl w:val="0"/>
          <w:numId w:val="2"/>
        </w:numPr>
        <w:spacing w:line="600" w:lineRule="exact"/>
        <w:ind w:firstLineChars="0"/>
        <w:outlineLvl w:val="1"/>
        <w:rPr>
          <w:rStyle w:val="28"/>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14:paraId="64173BB3">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415.42</w:t>
      </w:r>
      <w:r>
        <w:rPr>
          <w:rFonts w:hint="eastAsia" w:ascii="仿宋" w:hAnsi="仿宋" w:eastAsia="仿宋"/>
          <w:sz w:val="32"/>
          <w:szCs w:val="32"/>
        </w:rPr>
        <w:t>万元，其中：一般公共预算财政拨款收入</w:t>
      </w:r>
      <w:r>
        <w:rPr>
          <w:rFonts w:ascii="仿宋" w:hAnsi="仿宋" w:eastAsia="仿宋"/>
          <w:b/>
          <w:sz w:val="32"/>
          <w:szCs w:val="32"/>
        </w:rPr>
        <w:t>399.19</w:t>
      </w:r>
      <w:r>
        <w:rPr>
          <w:rFonts w:hint="eastAsia" w:ascii="仿宋" w:hAnsi="仿宋" w:eastAsia="仿宋"/>
          <w:sz w:val="32"/>
          <w:szCs w:val="32"/>
        </w:rPr>
        <w:t>万元，占</w:t>
      </w:r>
      <w:r>
        <w:rPr>
          <w:rFonts w:ascii="仿宋" w:hAnsi="仿宋" w:eastAsia="仿宋"/>
          <w:b/>
          <w:sz w:val="32"/>
          <w:szCs w:val="32"/>
        </w:rPr>
        <w:t>96.09%</w:t>
      </w:r>
      <w:r>
        <w:rPr>
          <w:rFonts w:hint="eastAsia" w:ascii="仿宋" w:hAnsi="仿宋" w:eastAsia="仿宋"/>
          <w:sz w:val="32"/>
          <w:szCs w:val="32"/>
        </w:rPr>
        <w:t>；政府性基金预算财政拨款收入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15.91</w:t>
      </w:r>
      <w:r>
        <w:rPr>
          <w:rFonts w:hint="eastAsia" w:ascii="仿宋" w:hAnsi="仿宋" w:eastAsia="仿宋"/>
          <w:sz w:val="32"/>
          <w:szCs w:val="32"/>
        </w:rPr>
        <w:t>万元，占</w:t>
      </w:r>
      <w:r>
        <w:rPr>
          <w:rFonts w:ascii="仿宋" w:hAnsi="仿宋" w:eastAsia="仿宋"/>
          <w:b/>
          <w:sz w:val="32"/>
          <w:szCs w:val="32"/>
        </w:rPr>
        <w:t>3.83</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0.32</w:t>
      </w:r>
      <w:r>
        <w:rPr>
          <w:rFonts w:hint="eastAsia" w:ascii="仿宋" w:hAnsi="仿宋" w:eastAsia="仿宋"/>
          <w:sz w:val="32"/>
          <w:szCs w:val="32"/>
        </w:rPr>
        <w:t>万元，占</w:t>
      </w:r>
      <w:r>
        <w:rPr>
          <w:rFonts w:ascii="仿宋" w:hAnsi="仿宋" w:eastAsia="仿宋"/>
          <w:b/>
          <w:sz w:val="32"/>
          <w:szCs w:val="32"/>
        </w:rPr>
        <w:t>0.07</w:t>
      </w:r>
      <w:r>
        <w:rPr>
          <w:rFonts w:ascii="仿宋" w:hAnsi="仿宋" w:eastAsia="仿宋"/>
          <w:sz w:val="32"/>
          <w:szCs w:val="32"/>
        </w:rPr>
        <w:t>%</w:t>
      </w:r>
    </w:p>
    <w:p w14:paraId="552537F2">
      <w:pPr>
        <w:pStyle w:val="5"/>
        <w:spacing w:before="93"/>
      </w:pPr>
      <w:r>
        <w:rPr>
          <w:rFonts w:hint="eastAsia"/>
        </w:rPr>
        <w:drawing>
          <wp:inline distT="0" distB="0" distL="114300" distR="114300">
            <wp:extent cx="5256530" cy="2988310"/>
            <wp:effectExtent l="5080" t="4445" r="15240" b="1714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9997A7B">
      <w:pPr>
        <w:spacing w:line="600" w:lineRule="exact"/>
        <w:ind w:firstLine="2240" w:firstLineChars="700"/>
        <w:rPr>
          <w:rFonts w:eastAsia="仿宋_GB2312"/>
        </w:rPr>
      </w:pPr>
      <w:r>
        <w:rPr>
          <w:rFonts w:hint="eastAsia" w:ascii="仿宋" w:hAnsi="仿宋" w:eastAsia="仿宋"/>
          <w:sz w:val="32"/>
          <w:szCs w:val="32"/>
        </w:rPr>
        <w:t>（图2：收入决算结构图）</w:t>
      </w:r>
    </w:p>
    <w:p w14:paraId="09F1EFDD">
      <w:pPr>
        <w:pStyle w:val="26"/>
        <w:numPr>
          <w:ilvl w:val="0"/>
          <w:numId w:val="2"/>
        </w:numPr>
        <w:spacing w:line="600" w:lineRule="exact"/>
        <w:ind w:firstLineChars="0"/>
        <w:outlineLvl w:val="1"/>
        <w:rPr>
          <w:rStyle w:val="28"/>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14:paraId="4E09D52F">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407.92</w:t>
      </w:r>
      <w:r>
        <w:rPr>
          <w:rFonts w:hint="eastAsia" w:ascii="仿宋" w:hAnsi="仿宋" w:eastAsia="仿宋"/>
          <w:sz w:val="32"/>
          <w:szCs w:val="32"/>
        </w:rPr>
        <w:t>万元，其中：基本支出</w:t>
      </w:r>
      <w:r>
        <w:rPr>
          <w:rFonts w:ascii="仿宋" w:hAnsi="仿宋" w:eastAsia="仿宋"/>
          <w:b/>
          <w:sz w:val="32"/>
          <w:szCs w:val="32"/>
        </w:rPr>
        <w:t>270.05</w:t>
      </w:r>
      <w:r>
        <w:rPr>
          <w:rFonts w:hint="eastAsia" w:ascii="仿宋" w:hAnsi="仿宋" w:eastAsia="仿宋"/>
          <w:sz w:val="32"/>
          <w:szCs w:val="32"/>
        </w:rPr>
        <w:t>万元，占</w:t>
      </w:r>
      <w:r>
        <w:rPr>
          <w:rFonts w:ascii="仿宋" w:hAnsi="仿宋" w:eastAsia="仿宋"/>
          <w:b/>
          <w:sz w:val="32"/>
          <w:szCs w:val="32"/>
        </w:rPr>
        <w:t>66.2</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137.88</w:t>
      </w:r>
      <w:r>
        <w:rPr>
          <w:rFonts w:hint="eastAsia" w:ascii="仿宋" w:hAnsi="仿宋" w:eastAsia="仿宋"/>
          <w:sz w:val="32"/>
          <w:szCs w:val="32"/>
        </w:rPr>
        <w:t>万元，占</w:t>
      </w:r>
      <w:r>
        <w:rPr>
          <w:rFonts w:ascii="仿宋" w:hAnsi="仿宋" w:eastAsia="仿宋"/>
          <w:b/>
          <w:sz w:val="32"/>
          <w:szCs w:val="32"/>
        </w:rPr>
        <w:t>33.79</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14:paraId="6584F2B8">
      <w:pPr>
        <w:pStyle w:val="5"/>
        <w:spacing w:before="93"/>
        <w:rPr>
          <w:rFonts w:eastAsia="仿宋"/>
        </w:rPr>
      </w:pPr>
      <w:r>
        <w:rPr>
          <w:rFonts w:hint="eastAsia" w:eastAsia="仿宋"/>
        </w:rPr>
        <w:drawing>
          <wp:inline distT="0" distB="0" distL="114300" distR="114300">
            <wp:extent cx="5256530" cy="2988310"/>
            <wp:effectExtent l="5080" t="4445" r="15240"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CEBBB8C">
      <w:pPr>
        <w:spacing w:line="600" w:lineRule="exact"/>
        <w:ind w:firstLine="2240" w:firstLineChars="700"/>
        <w:rPr>
          <w:rFonts w:eastAsia="仿宋"/>
        </w:rPr>
      </w:pPr>
      <w:r>
        <w:rPr>
          <w:rFonts w:hint="eastAsia" w:ascii="仿宋" w:hAnsi="仿宋" w:eastAsia="仿宋"/>
          <w:sz w:val="32"/>
          <w:szCs w:val="32"/>
        </w:rPr>
        <w:t>（图3：支出决算结构图）</w:t>
      </w:r>
    </w:p>
    <w:p w14:paraId="16747120">
      <w:pPr>
        <w:spacing w:line="600" w:lineRule="exact"/>
        <w:ind w:firstLine="640" w:firstLineChars="200"/>
        <w:outlineLvl w:val="1"/>
        <w:rPr>
          <w:rStyle w:val="28"/>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14:paraId="270F41EB">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rFonts w:ascii="仿宋" w:hAnsi="仿宋" w:eastAsia="仿宋"/>
          <w:b/>
          <w:sz w:val="32"/>
          <w:szCs w:val="32"/>
        </w:rPr>
        <w:t>399.19</w:t>
      </w:r>
      <w:r>
        <w:rPr>
          <w:rFonts w:hint="eastAsia" w:ascii="仿宋" w:hAnsi="仿宋" w:eastAsia="仿宋"/>
          <w:sz w:val="32"/>
          <w:szCs w:val="32"/>
        </w:rPr>
        <w:t>万元。与2022年度相比，财政拨款收、支总计各增加44.44万元，增长11</w:t>
      </w:r>
      <w:r>
        <w:rPr>
          <w:rFonts w:ascii="仿宋" w:hAnsi="仿宋" w:eastAsia="仿宋"/>
          <w:sz w:val="32"/>
          <w:szCs w:val="32"/>
        </w:rPr>
        <w:t>%</w:t>
      </w:r>
      <w:r>
        <w:rPr>
          <w:rFonts w:hint="eastAsia" w:ascii="仿宋" w:hAnsi="仿宋" w:eastAsia="仿宋"/>
          <w:sz w:val="32"/>
          <w:szCs w:val="32"/>
        </w:rPr>
        <w:t>。主要变动原因是公共卫生服务人口增多，经费相对增加。</w:t>
      </w:r>
    </w:p>
    <w:p w14:paraId="133E8CD7">
      <w:pPr>
        <w:pStyle w:val="5"/>
        <w:spacing w:before="93"/>
      </w:pPr>
      <w:r>
        <w:drawing>
          <wp:inline distT="0" distB="0" distL="114300" distR="114300">
            <wp:extent cx="5256530" cy="2988310"/>
            <wp:effectExtent l="5080" t="4445" r="15240" b="1714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4A31997">
      <w:pPr>
        <w:spacing w:line="600" w:lineRule="exact"/>
        <w:ind w:firstLine="640" w:firstLineChars="200"/>
        <w:rPr>
          <w:rFonts w:ascii="仿宋" w:hAnsi="仿宋" w:eastAsia="仿宋"/>
          <w:b/>
          <w:sz w:val="32"/>
          <w:szCs w:val="32"/>
        </w:rPr>
      </w:pPr>
      <w:r>
        <w:rPr>
          <w:rFonts w:hint="eastAsia" w:ascii="仿宋" w:hAnsi="仿宋" w:eastAsia="仿宋"/>
          <w:sz w:val="32"/>
          <w:szCs w:val="32"/>
        </w:rPr>
        <w:t>（图4：财政拨款收、支决算总计变动情况）</w:t>
      </w:r>
    </w:p>
    <w:p w14:paraId="12DEECCC">
      <w:pPr>
        <w:spacing w:line="600" w:lineRule="exact"/>
        <w:ind w:firstLine="640" w:firstLineChars="200"/>
        <w:outlineLvl w:val="1"/>
        <w:rPr>
          <w:rStyle w:val="28"/>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14:paraId="01F607FC">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2A00276B">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399.19</w:t>
      </w:r>
      <w:r>
        <w:rPr>
          <w:rFonts w:hint="eastAsia" w:ascii="仿宋" w:hAnsi="仿宋" w:eastAsia="仿宋"/>
          <w:sz w:val="32"/>
          <w:szCs w:val="32"/>
        </w:rPr>
        <w:t>万元，占本年支出合计的</w:t>
      </w:r>
      <w:r>
        <w:rPr>
          <w:rFonts w:ascii="仿宋" w:hAnsi="仿宋" w:eastAsia="仿宋"/>
          <w:b/>
          <w:sz w:val="32"/>
          <w:szCs w:val="32"/>
        </w:rPr>
        <w:t>97.85</w:t>
      </w:r>
      <w:r>
        <w:rPr>
          <w:rFonts w:ascii="仿宋" w:hAnsi="仿宋" w:eastAsia="仿宋"/>
          <w:sz w:val="32"/>
          <w:szCs w:val="32"/>
        </w:rPr>
        <w:t>%</w:t>
      </w:r>
      <w:r>
        <w:rPr>
          <w:rFonts w:hint="eastAsia" w:ascii="仿宋" w:hAnsi="仿宋" w:eastAsia="仿宋"/>
          <w:sz w:val="32"/>
          <w:szCs w:val="32"/>
        </w:rPr>
        <w:t>。与2022年度相比，一般公共预算财政拨款支出增加44.44万元，增长11</w:t>
      </w:r>
      <w:r>
        <w:rPr>
          <w:rFonts w:ascii="仿宋" w:hAnsi="仿宋" w:eastAsia="仿宋"/>
          <w:sz w:val="32"/>
          <w:szCs w:val="32"/>
        </w:rPr>
        <w:t>%</w:t>
      </w:r>
      <w:r>
        <w:rPr>
          <w:rFonts w:hint="eastAsia" w:ascii="仿宋" w:hAnsi="仿宋" w:eastAsia="仿宋"/>
          <w:sz w:val="32"/>
          <w:szCs w:val="32"/>
        </w:rPr>
        <w:t>。主要变动原因是公共卫生服务人口增多，经费相对增加。</w:t>
      </w:r>
    </w:p>
    <w:p w14:paraId="04B35F92">
      <w:pPr>
        <w:pStyle w:val="5"/>
        <w:spacing w:before="93"/>
      </w:pPr>
      <w:r>
        <w:drawing>
          <wp:inline distT="0" distB="0" distL="114300" distR="114300">
            <wp:extent cx="5256530" cy="2988310"/>
            <wp:effectExtent l="5080" t="4445" r="15240" b="1714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0C27A49">
      <w:pPr>
        <w:spacing w:line="600" w:lineRule="exact"/>
        <w:ind w:firstLine="640" w:firstLineChars="200"/>
      </w:pPr>
      <w:r>
        <w:rPr>
          <w:rFonts w:hint="eastAsia" w:ascii="仿宋" w:hAnsi="仿宋" w:eastAsia="仿宋"/>
          <w:sz w:val="32"/>
          <w:szCs w:val="32"/>
        </w:rPr>
        <w:t>（图5：一般公共预算财政拨款支出决算变动情况）</w:t>
      </w:r>
    </w:p>
    <w:p w14:paraId="782BDBD0">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25AA7FC1">
      <w:pPr>
        <w:spacing w:line="600" w:lineRule="exact"/>
        <w:ind w:firstLine="64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399.19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w:t>
      </w:r>
      <w:r>
        <w:rPr>
          <w:rFonts w:hint="eastAsia" w:ascii="仿宋" w:hAnsi="仿宋" w:eastAsia="仿宋"/>
          <w:b/>
          <w:bCs/>
          <w:sz w:val="32"/>
          <w:szCs w:val="32"/>
        </w:rPr>
        <w:t>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w:t>
      </w:r>
      <w:r>
        <w:rPr>
          <w:rFonts w:hint="eastAsia" w:ascii="仿宋" w:hAnsi="仿宋" w:eastAsia="仿宋"/>
          <w:b/>
          <w:bCs/>
          <w:sz w:val="32"/>
          <w:szCs w:val="32"/>
        </w:rPr>
        <w:t>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文化旅游体育与传媒支出0万元，占0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29.2万元，占7.3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209.13万元，占52.4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rPr>
        <w:t>22.8万元，占5.7</w:t>
      </w:r>
      <w:r>
        <w:rPr>
          <w:rFonts w:ascii="仿宋" w:hAnsi="仿宋" w:eastAsia="仿宋"/>
          <w:sz w:val="32"/>
          <w:szCs w:val="32"/>
        </w:rPr>
        <w:t>%</w:t>
      </w:r>
      <w:r>
        <w:rPr>
          <w:rFonts w:hint="eastAsia" w:ascii="仿宋" w:hAnsi="仿宋" w:eastAsia="仿宋"/>
          <w:sz w:val="32"/>
          <w:szCs w:val="32"/>
        </w:rPr>
        <w:t>。</w:t>
      </w:r>
    </w:p>
    <w:p w14:paraId="2DDA694A">
      <w:pPr>
        <w:spacing w:line="600" w:lineRule="exact"/>
        <w:ind w:firstLine="640"/>
        <w:rPr>
          <w:rFonts w:ascii="仿宋" w:hAnsi="仿宋" w:eastAsia="仿宋"/>
          <w:sz w:val="32"/>
          <w:szCs w:val="32"/>
        </w:rPr>
      </w:pPr>
      <w:r>
        <w:rPr>
          <w:rFonts w:hint="eastAsia" w:ascii="仿宋" w:hAnsi="仿宋" w:eastAsia="仿宋"/>
          <w:sz w:val="32"/>
          <w:szCs w:val="32"/>
        </w:rPr>
        <w:t>图6：一般公共预算财政拨款支出决算结构）</w:t>
      </w:r>
      <w:r>
        <w:rPr>
          <w:rFonts w:hint="eastAsia" w:eastAsia="仿宋"/>
        </w:rPr>
        <w:drawing>
          <wp:anchor distT="0" distB="0" distL="114300" distR="114300" simplePos="0" relativeHeight="251660288" behindDoc="1" locked="0" layoutInCell="1" allowOverlap="1">
            <wp:simplePos x="0" y="0"/>
            <wp:positionH relativeFrom="column">
              <wp:posOffset>5080</wp:posOffset>
            </wp:positionH>
            <wp:positionV relativeFrom="paragraph">
              <wp:posOffset>-6514465</wp:posOffset>
            </wp:positionV>
            <wp:extent cx="5256530" cy="2988310"/>
            <wp:effectExtent l="5080" t="4445" r="15240" b="17145"/>
            <wp:wrapThrough wrapText="bothSides">
              <wp:wrapPolygon>
                <wp:start x="0" y="0"/>
                <wp:lineTo x="0" y="21600"/>
                <wp:lineTo x="21600" y="21600"/>
                <wp:lineTo x="21600" y="0"/>
                <wp:lineTo x="0" y="0"/>
              </wp:wrapPolygon>
            </wp:wrapThrough>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14:paraId="6E4B18D3">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172C7462">
      <w:pPr>
        <w:spacing w:line="600" w:lineRule="exact"/>
        <w:ind w:firstLine="643" w:firstLineChars="200"/>
        <w:outlineLvl w:val="2"/>
        <w:rPr>
          <w:rFonts w:ascii="仿宋" w:hAnsi="仿宋" w:eastAsia="仿宋"/>
          <w:sz w:val="32"/>
          <w:szCs w:val="32"/>
        </w:rPr>
      </w:pPr>
      <w:bookmarkStart w:id="31" w:name="_Toc15377213"/>
      <w:bookmarkStart w:id="32" w:name="_Toc15377444"/>
      <w:bookmarkStart w:id="33" w:name="_Toc15378460"/>
      <w:r>
        <w:rPr>
          <w:rFonts w:hint="eastAsia" w:ascii="仿宋" w:hAnsi="仿宋" w:eastAsia="仿宋"/>
          <w:b/>
          <w:sz w:val="32"/>
          <w:szCs w:val="32"/>
        </w:rPr>
        <w:t>2023年度一般公共预算支出决算数为</w:t>
      </w:r>
      <w:r>
        <w:rPr>
          <w:rFonts w:ascii="仿宋" w:hAnsi="仿宋" w:eastAsia="仿宋"/>
          <w:b/>
          <w:sz w:val="32"/>
          <w:szCs w:val="32"/>
        </w:rPr>
        <w:t>399.19</w:t>
      </w:r>
      <w:r>
        <w:rPr>
          <w:rFonts w:hint="eastAsia" w:ascii="仿宋" w:hAnsi="仿宋" w:eastAsia="仿宋"/>
          <w:b/>
          <w:sz w:val="32"/>
          <w:szCs w:val="32"/>
        </w:rPr>
        <w:t>万元</w:t>
      </w:r>
      <w:r>
        <w:rPr>
          <w:rFonts w:hint="eastAsia" w:ascii="仿宋" w:hAnsi="仿宋" w:eastAsia="仿宋"/>
          <w:sz w:val="32"/>
          <w:szCs w:val="32"/>
        </w:rPr>
        <w:t>，</w:t>
      </w:r>
      <w:r>
        <w:rPr>
          <w:rStyle w:val="16"/>
          <w:rFonts w:hint="eastAsia" w:ascii="仿宋" w:hAnsi="仿宋" w:eastAsia="仿宋"/>
          <w:bCs/>
          <w:sz w:val="32"/>
          <w:szCs w:val="32"/>
        </w:rPr>
        <w:t>完成预算100</w:t>
      </w:r>
      <w:r>
        <w:rPr>
          <w:rStyle w:val="16"/>
          <w:rFonts w:ascii="仿宋" w:hAnsi="仿宋" w:eastAsia="仿宋"/>
          <w:bCs/>
          <w:sz w:val="32"/>
          <w:szCs w:val="32"/>
        </w:rPr>
        <w:t>%</w:t>
      </w:r>
      <w:r>
        <w:rPr>
          <w:rStyle w:val="16"/>
          <w:rFonts w:hint="eastAsia" w:ascii="仿宋" w:hAnsi="仿宋" w:eastAsia="仿宋"/>
          <w:bCs/>
          <w:sz w:val="32"/>
          <w:szCs w:val="32"/>
        </w:rPr>
        <w:t>。其中：</w:t>
      </w:r>
      <w:bookmarkEnd w:id="31"/>
      <w:bookmarkEnd w:id="32"/>
      <w:bookmarkEnd w:id="33"/>
    </w:p>
    <w:p w14:paraId="6671475F">
      <w:pPr>
        <w:spacing w:line="600" w:lineRule="exact"/>
        <w:ind w:firstLine="640" w:firstLineChars="200"/>
        <w:rPr>
          <w:rStyle w:val="16"/>
          <w:rFonts w:ascii="仿宋" w:hAnsi="仿宋" w:eastAsia="仿宋" w:cs="黑体"/>
          <w:b w:val="0"/>
          <w:bCs/>
          <w:sz w:val="32"/>
          <w:szCs w:val="32"/>
        </w:rPr>
      </w:pPr>
      <w:r>
        <w:rPr>
          <w:rStyle w:val="16"/>
          <w:rFonts w:hint="eastAsia" w:ascii="仿宋" w:hAnsi="仿宋" w:eastAsia="仿宋" w:cs="黑体"/>
          <w:b w:val="0"/>
          <w:bCs/>
          <w:sz w:val="32"/>
          <w:szCs w:val="32"/>
        </w:rPr>
        <w:t>1.社会保障和就业支出（类）行政事业单位养老支出（款）机关事业单位基本养老保险缴费支出（项）:支出决算为27.13万元，完成预算100%，决算数等于预算数。</w:t>
      </w:r>
    </w:p>
    <w:p w14:paraId="41ACCA94">
      <w:pPr>
        <w:spacing w:line="600" w:lineRule="exact"/>
        <w:ind w:firstLine="640" w:firstLineChars="200"/>
        <w:rPr>
          <w:rStyle w:val="16"/>
          <w:rFonts w:ascii="仿宋" w:hAnsi="仿宋" w:eastAsia="仿宋" w:cs="黑体"/>
          <w:b w:val="0"/>
          <w:bCs/>
          <w:sz w:val="32"/>
          <w:szCs w:val="32"/>
        </w:rPr>
      </w:pPr>
      <w:r>
        <w:rPr>
          <w:rStyle w:val="16"/>
          <w:rFonts w:hint="eastAsia" w:ascii="仿宋" w:hAnsi="仿宋" w:eastAsia="仿宋" w:cs="黑体"/>
          <w:b w:val="0"/>
          <w:bCs/>
          <w:sz w:val="32"/>
          <w:szCs w:val="32"/>
        </w:rPr>
        <w:t>2.社会保障和就业支出（类）行政事业单位养老支出（款）事业单位离退休（项）:支出决算为7.27万元，完成预算100%，决算数等于预算数。</w:t>
      </w:r>
    </w:p>
    <w:p w14:paraId="7E4C251E">
      <w:pPr>
        <w:spacing w:line="600" w:lineRule="exact"/>
        <w:ind w:firstLine="640" w:firstLineChars="200"/>
        <w:rPr>
          <w:rStyle w:val="16"/>
          <w:rFonts w:ascii="仿宋" w:hAnsi="仿宋" w:eastAsia="仿宋" w:cs="黑体"/>
          <w:b w:val="0"/>
          <w:bCs/>
          <w:sz w:val="32"/>
          <w:szCs w:val="32"/>
        </w:rPr>
      </w:pPr>
      <w:r>
        <w:rPr>
          <w:rStyle w:val="16"/>
          <w:rFonts w:hint="eastAsia" w:ascii="仿宋" w:hAnsi="仿宋" w:eastAsia="仿宋" w:cs="黑体"/>
          <w:b w:val="0"/>
          <w:bCs/>
          <w:sz w:val="32"/>
          <w:szCs w:val="32"/>
        </w:rPr>
        <w:t>3.卫生健康支出（类）基层医疗卫生机构（款）乡镇卫生院（项）:支出决算为205.78万元，完成预算100%，决算数等于预算数。</w:t>
      </w:r>
    </w:p>
    <w:p w14:paraId="5C551059">
      <w:pPr>
        <w:spacing w:line="600" w:lineRule="exact"/>
        <w:ind w:firstLine="640" w:firstLineChars="200"/>
        <w:rPr>
          <w:rStyle w:val="16"/>
          <w:rFonts w:ascii="仿宋" w:hAnsi="仿宋" w:eastAsia="仿宋" w:cs="黑体"/>
          <w:b w:val="0"/>
          <w:bCs/>
          <w:sz w:val="32"/>
          <w:szCs w:val="32"/>
        </w:rPr>
      </w:pPr>
      <w:r>
        <w:rPr>
          <w:rStyle w:val="16"/>
          <w:rFonts w:hint="eastAsia" w:ascii="仿宋" w:hAnsi="仿宋" w:eastAsia="仿宋" w:cs="黑体"/>
          <w:b w:val="0"/>
          <w:bCs/>
          <w:sz w:val="32"/>
          <w:szCs w:val="32"/>
        </w:rPr>
        <w:t>4.卫生健康支出（类）基层医疗卫生机构（款）其他基层医疗卫生机构支出（项）:支出决算为13.86万元，完成预算100%，决算数等于预算数。</w:t>
      </w:r>
    </w:p>
    <w:p w14:paraId="5BD142E4">
      <w:pPr>
        <w:spacing w:line="600" w:lineRule="exact"/>
        <w:ind w:firstLine="640" w:firstLineChars="200"/>
        <w:rPr>
          <w:rStyle w:val="16"/>
          <w:rFonts w:ascii="仿宋" w:hAnsi="仿宋" w:eastAsia="仿宋" w:cs="黑体"/>
          <w:b w:val="0"/>
          <w:bCs/>
          <w:sz w:val="32"/>
          <w:szCs w:val="32"/>
        </w:rPr>
      </w:pPr>
      <w:r>
        <w:rPr>
          <w:rStyle w:val="16"/>
          <w:rFonts w:hint="eastAsia" w:ascii="仿宋" w:hAnsi="仿宋" w:eastAsia="仿宋" w:cs="黑体"/>
          <w:b w:val="0"/>
          <w:bCs/>
          <w:sz w:val="32"/>
          <w:szCs w:val="32"/>
        </w:rPr>
        <w:t>5.卫生健康支出（类）公共卫生（款）基本公共卫生服务（项）:支出决算为78.52万元，完成预算100%，决算数等于预算数。</w:t>
      </w:r>
    </w:p>
    <w:p w14:paraId="202CCCE4">
      <w:pPr>
        <w:spacing w:line="600" w:lineRule="exact"/>
        <w:ind w:firstLine="640" w:firstLineChars="200"/>
        <w:rPr>
          <w:rStyle w:val="16"/>
          <w:rFonts w:ascii="仿宋" w:hAnsi="仿宋" w:eastAsia="仿宋" w:cs="黑体"/>
          <w:b w:val="0"/>
          <w:bCs/>
          <w:sz w:val="32"/>
          <w:szCs w:val="32"/>
        </w:rPr>
      </w:pPr>
      <w:r>
        <w:rPr>
          <w:rStyle w:val="16"/>
          <w:rFonts w:hint="eastAsia" w:ascii="仿宋" w:hAnsi="仿宋" w:eastAsia="仿宋" w:cs="黑体"/>
          <w:b w:val="0"/>
          <w:bCs/>
          <w:sz w:val="32"/>
          <w:szCs w:val="32"/>
        </w:rPr>
        <w:t>6.卫生健康支出（类）公共卫生（款）重大公共卫生服务（项）:支出决算为14万元，完成预算100%，决算数等于预算数。</w:t>
      </w:r>
    </w:p>
    <w:p w14:paraId="5443E055">
      <w:pPr>
        <w:spacing w:line="600" w:lineRule="exact"/>
        <w:ind w:firstLine="640" w:firstLineChars="200"/>
        <w:rPr>
          <w:rStyle w:val="16"/>
          <w:rFonts w:ascii="仿宋" w:hAnsi="仿宋" w:eastAsia="仿宋" w:cs="黑体"/>
          <w:b w:val="0"/>
          <w:bCs/>
          <w:sz w:val="32"/>
          <w:szCs w:val="32"/>
        </w:rPr>
      </w:pPr>
      <w:r>
        <w:rPr>
          <w:rStyle w:val="16"/>
          <w:rFonts w:hint="eastAsia" w:ascii="仿宋" w:hAnsi="仿宋" w:eastAsia="仿宋" w:cs="黑体"/>
          <w:b w:val="0"/>
          <w:bCs/>
          <w:sz w:val="32"/>
          <w:szCs w:val="32"/>
        </w:rPr>
        <w:t>7.卫生健康支出（类）行政事业单位医疗（款）事业单位医疗（项）:支出决算为14.23万元，完成预算100%，决算数等于预算数。</w:t>
      </w:r>
    </w:p>
    <w:p w14:paraId="3FBFCCAF">
      <w:pPr>
        <w:spacing w:line="600" w:lineRule="exact"/>
        <w:ind w:firstLine="640" w:firstLineChars="200"/>
        <w:rPr>
          <w:rStyle w:val="16"/>
          <w:rFonts w:ascii="仿宋" w:hAnsi="仿宋" w:eastAsia="仿宋" w:cs="黑体"/>
          <w:b w:val="0"/>
          <w:bCs/>
          <w:sz w:val="32"/>
          <w:szCs w:val="32"/>
        </w:rPr>
      </w:pPr>
      <w:r>
        <w:rPr>
          <w:rStyle w:val="16"/>
          <w:rFonts w:hint="eastAsia" w:ascii="仿宋" w:hAnsi="仿宋" w:eastAsia="仿宋" w:cs="黑体"/>
          <w:b w:val="0"/>
          <w:bCs/>
          <w:sz w:val="32"/>
          <w:szCs w:val="32"/>
        </w:rPr>
        <w:t>8.卫生健康支出（类）行政事业单位医疗（款）其他行政事业单位医疗支出（项）:支出决算为8.9万元，完成预算100%，决算数等于预算数。</w:t>
      </w:r>
    </w:p>
    <w:p w14:paraId="09299DE3">
      <w:pPr>
        <w:spacing w:line="600" w:lineRule="exact"/>
        <w:ind w:firstLine="640" w:firstLineChars="200"/>
        <w:rPr>
          <w:rStyle w:val="16"/>
          <w:rFonts w:ascii="仿宋" w:hAnsi="仿宋" w:eastAsia="仿宋" w:cs="黑体"/>
          <w:b w:val="0"/>
          <w:bCs/>
          <w:sz w:val="32"/>
          <w:szCs w:val="32"/>
        </w:rPr>
      </w:pPr>
      <w:r>
        <w:rPr>
          <w:rStyle w:val="16"/>
          <w:rFonts w:hint="eastAsia" w:ascii="仿宋" w:hAnsi="仿宋" w:eastAsia="仿宋" w:cs="黑体"/>
          <w:b w:val="0"/>
          <w:bCs/>
          <w:sz w:val="32"/>
          <w:szCs w:val="32"/>
        </w:rPr>
        <w:t>9.卫生健康支出（类）其他卫生健康支出（款）其他卫生健康支出（项：）支出决算为8.27万元，完成预算100%，决算数等于预算数。</w:t>
      </w:r>
    </w:p>
    <w:p w14:paraId="5C22E86A">
      <w:pPr>
        <w:spacing w:line="600" w:lineRule="exact"/>
        <w:ind w:firstLine="640" w:firstLineChars="200"/>
        <w:rPr>
          <w:rFonts w:ascii="仿宋" w:hAnsi="仿宋" w:eastAsia="仿宋"/>
          <w:b/>
          <w:sz w:val="32"/>
          <w:szCs w:val="32"/>
        </w:rPr>
      </w:pPr>
      <w:r>
        <w:rPr>
          <w:rStyle w:val="16"/>
          <w:rFonts w:hint="eastAsia" w:ascii="仿宋" w:hAnsi="仿宋" w:eastAsia="仿宋" w:cs="黑体"/>
          <w:b w:val="0"/>
          <w:bCs/>
          <w:sz w:val="32"/>
          <w:szCs w:val="32"/>
        </w:rPr>
        <w:t>10.住房保障支出（类）住房改革支出（款）住房公积金（项）:支出决算为21.22万元，完成预算100%，决算数等于预算数。</w:t>
      </w:r>
    </w:p>
    <w:p w14:paraId="114624A8">
      <w:pPr>
        <w:tabs>
          <w:tab w:val="right" w:pos="8306"/>
        </w:tabs>
        <w:spacing w:line="600" w:lineRule="exact"/>
        <w:ind w:firstLine="640"/>
        <w:outlineLvl w:val="1"/>
        <w:rPr>
          <w:rStyle w:val="28"/>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4"/>
      <w:bookmarkEnd w:id="35"/>
      <w:r>
        <w:rPr>
          <w:rStyle w:val="28"/>
          <w:rFonts w:ascii="黑体" w:hAnsi="黑体" w:eastAsia="黑体"/>
          <w:b w:val="0"/>
        </w:rPr>
        <w:tab/>
      </w:r>
    </w:p>
    <w:p w14:paraId="0979DF09">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261.58</w:t>
      </w:r>
      <w:r>
        <w:rPr>
          <w:rFonts w:hint="eastAsia" w:ascii="仿宋" w:hAnsi="仿宋" w:eastAsia="仿宋"/>
          <w:sz w:val="32"/>
          <w:szCs w:val="32"/>
        </w:rPr>
        <w:t>万元，其中：</w:t>
      </w:r>
    </w:p>
    <w:p w14:paraId="65BE6E75">
      <w:pPr>
        <w:spacing w:line="600" w:lineRule="exact"/>
        <w:ind w:firstLine="645"/>
        <w:rPr>
          <w:rFonts w:ascii="仿宋" w:hAnsi="仿宋" w:eastAsia="仿宋"/>
          <w:b/>
          <w:sz w:val="32"/>
          <w:szCs w:val="32"/>
        </w:rPr>
      </w:pPr>
      <w:r>
        <w:rPr>
          <w:rFonts w:hint="eastAsia" w:ascii="仿宋" w:hAnsi="仿宋" w:eastAsia="仿宋"/>
          <w:sz w:val="32"/>
          <w:szCs w:val="32"/>
        </w:rPr>
        <w:t>人员经费</w:t>
      </w:r>
      <w:r>
        <w:rPr>
          <w:rFonts w:ascii="仿宋" w:hAnsi="仿宋" w:eastAsia="仿宋"/>
          <w:b/>
          <w:sz w:val="32"/>
          <w:szCs w:val="32"/>
        </w:rPr>
        <w:t>261.09</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0.49</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6D792264">
      <w:pPr>
        <w:spacing w:line="600" w:lineRule="exact"/>
        <w:ind w:firstLine="640"/>
        <w:outlineLvl w:val="1"/>
        <w:rPr>
          <w:rStyle w:val="28"/>
          <w:rFonts w:ascii="黑体" w:hAnsi="黑体" w:eastAsia="黑体"/>
          <w:b w:val="0"/>
        </w:rPr>
      </w:pPr>
      <w:bookmarkStart w:id="36" w:name="_Toc15396609"/>
      <w:bookmarkStart w:id="37" w:name="_Toc15377215"/>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6"/>
      <w:bookmarkEnd w:id="37"/>
    </w:p>
    <w:p w14:paraId="27EC6167">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14:paraId="69674889">
      <w:pPr>
        <w:spacing w:line="600" w:lineRule="exact"/>
        <w:ind w:firstLine="640"/>
        <w:rPr>
          <w:rFonts w:ascii="仿宋" w:hAnsi="仿宋" w:eastAsia="仿宋"/>
          <w:b/>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0</w:t>
      </w:r>
      <w:r>
        <w:rPr>
          <w:rFonts w:hint="eastAsia" w:ascii="仿宋" w:hAnsi="仿宋" w:eastAsia="仿宋"/>
          <w:sz w:val="32"/>
          <w:szCs w:val="32"/>
        </w:rPr>
        <w:t>万元，完成预算</w:t>
      </w:r>
      <w:r>
        <w:rPr>
          <w:rFonts w:ascii="仿宋" w:hAnsi="仿宋" w:eastAsia="仿宋"/>
          <w:b/>
          <w:sz w:val="32"/>
          <w:szCs w:val="32"/>
        </w:rPr>
        <w:t>0</w:t>
      </w:r>
      <w:r>
        <w:rPr>
          <w:rFonts w:ascii="仿宋" w:hAnsi="仿宋" w:eastAsia="仿宋"/>
          <w:sz w:val="32"/>
          <w:szCs w:val="32"/>
        </w:rPr>
        <w:t>%</w:t>
      </w:r>
    </w:p>
    <w:p w14:paraId="616A51D2">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14:paraId="6B8CAA85">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。具体情况如下：</w:t>
      </w:r>
    </w:p>
    <w:p w14:paraId="57B9A7C3">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14:paraId="0B2CD182">
      <w:pPr>
        <w:spacing w:line="600" w:lineRule="exact"/>
        <w:ind w:firstLine="640"/>
        <w:rPr>
          <w:rFonts w:ascii="仿宋_GB2312" w:eastAsia="仿宋_GB2312"/>
          <w:sz w:val="32"/>
          <w:szCs w:val="32"/>
          <w:highlight w:val="none"/>
        </w:rPr>
      </w:pPr>
      <w:bookmarkStart w:id="40" w:name="_Toc15377218"/>
      <w:bookmarkStart w:id="41" w:name="_Toc15396610"/>
      <w:r>
        <w:rPr>
          <w:rFonts w:hint="eastAsia" w:ascii="仿宋" w:hAnsi="仿宋" w:eastAsia="仿宋" w:cs="仿宋"/>
          <w:b w:val="0"/>
          <w:bCs/>
          <w:sz w:val="32"/>
          <w:szCs w:val="32"/>
          <w:highlight w:val="none"/>
        </w:rPr>
        <w:t>1.因公出国（境）经费支出0</w:t>
      </w:r>
      <w:r>
        <w:rPr>
          <w:rFonts w:hint="eastAsia" w:ascii="仿宋_GB2312" w:eastAsia="仿宋_GB2312"/>
          <w:sz w:val="32"/>
          <w:szCs w:val="32"/>
          <w:highlight w:val="none"/>
        </w:rPr>
        <w:t>万元，</w:t>
      </w:r>
      <w:r>
        <w:rPr>
          <w:rStyle w:val="16"/>
          <w:rFonts w:hint="eastAsia" w:ascii="仿宋" w:hAnsi="仿宋" w:eastAsia="仿宋"/>
          <w:b w:val="0"/>
          <w:bCs/>
          <w:sz w:val="32"/>
          <w:szCs w:val="32"/>
          <w:highlight w:val="none"/>
        </w:rPr>
        <w:t>完成预算</w:t>
      </w:r>
      <w:r>
        <w:rPr>
          <w:rStyle w:val="16"/>
          <w:rFonts w:ascii="仿宋" w:hAnsi="仿宋" w:eastAsia="仿宋"/>
          <w:bCs/>
          <w:sz w:val="32"/>
          <w:szCs w:val="32"/>
          <w:highlight w:val="none"/>
        </w:rPr>
        <w:t>0</w:t>
      </w:r>
      <w:r>
        <w:rPr>
          <w:rStyle w:val="16"/>
          <w:rFonts w:ascii="仿宋" w:hAnsi="仿宋" w:eastAsia="仿宋"/>
          <w:b w:val="0"/>
          <w:bCs/>
          <w:sz w:val="32"/>
          <w:szCs w:val="32"/>
          <w:highlight w:val="none"/>
        </w:rPr>
        <w:t>%</w:t>
      </w:r>
      <w:r>
        <w:rPr>
          <w:rStyle w:val="16"/>
          <w:rFonts w:hint="eastAsia" w:ascii="仿宋" w:hAnsi="仿宋" w:eastAsia="仿宋"/>
          <w:b w:val="0"/>
          <w:bCs/>
          <w:sz w:val="32"/>
          <w:szCs w:val="32"/>
          <w:highlight w:val="none"/>
        </w:rPr>
        <w:t>。</w:t>
      </w:r>
      <w:r>
        <w:rPr>
          <w:rFonts w:hint="eastAsia" w:ascii="仿宋_GB2312" w:eastAsia="仿宋_GB2312"/>
          <w:sz w:val="32"/>
          <w:szCs w:val="32"/>
          <w:highlight w:val="none"/>
        </w:rPr>
        <w:t>全年安排因公出国（境）团组</w:t>
      </w:r>
      <w:r>
        <w:rPr>
          <w:rFonts w:ascii="仿宋_GB2312" w:eastAsia="仿宋_GB2312"/>
          <w:b/>
          <w:sz w:val="32"/>
          <w:szCs w:val="32"/>
          <w:highlight w:val="none"/>
        </w:rPr>
        <w:t>0</w:t>
      </w:r>
      <w:r>
        <w:rPr>
          <w:rFonts w:hint="eastAsia" w:ascii="仿宋_GB2312" w:eastAsia="仿宋_GB2312"/>
          <w:sz w:val="32"/>
          <w:szCs w:val="32"/>
          <w:highlight w:val="none"/>
        </w:rPr>
        <w:t>次，出国（境）</w:t>
      </w:r>
      <w:r>
        <w:rPr>
          <w:rFonts w:ascii="仿宋_GB2312" w:eastAsia="仿宋_GB2312"/>
          <w:b/>
          <w:sz w:val="32"/>
          <w:szCs w:val="32"/>
          <w:highlight w:val="none"/>
        </w:rPr>
        <w:t>0</w:t>
      </w:r>
      <w:r>
        <w:rPr>
          <w:rFonts w:hint="eastAsia" w:ascii="仿宋_GB2312" w:eastAsia="仿宋_GB2312"/>
          <w:sz w:val="32"/>
          <w:szCs w:val="32"/>
          <w:highlight w:val="none"/>
        </w:rPr>
        <w:t>人。因公出国（境）支出决算比2022年无变化。</w:t>
      </w:r>
    </w:p>
    <w:p w14:paraId="21FBFEBA">
      <w:pPr>
        <w:spacing w:line="600" w:lineRule="exact"/>
        <w:ind w:firstLine="640"/>
        <w:rPr>
          <w:rFonts w:ascii="仿宋_GB2312" w:eastAsia="仿宋_GB2312"/>
          <w:b/>
          <w:sz w:val="32"/>
          <w:szCs w:val="32"/>
          <w:highlight w:val="none"/>
        </w:rPr>
      </w:pPr>
      <w:r>
        <w:rPr>
          <w:rFonts w:hint="eastAsia" w:ascii="仿宋" w:hAnsi="仿宋" w:eastAsia="仿宋" w:cs="仿宋"/>
          <w:b w:val="0"/>
          <w:bCs/>
          <w:sz w:val="32"/>
          <w:szCs w:val="32"/>
          <w:highlight w:val="none"/>
        </w:rPr>
        <w:t>2.公务用车购置及运行维护费支出0</w:t>
      </w:r>
      <w:r>
        <w:rPr>
          <w:rFonts w:hint="eastAsia" w:ascii="仿宋_GB2312" w:eastAsia="仿宋_GB2312"/>
          <w:sz w:val="32"/>
          <w:szCs w:val="32"/>
          <w:highlight w:val="none"/>
        </w:rPr>
        <w:t>万元,</w:t>
      </w:r>
      <w:r>
        <w:rPr>
          <w:rStyle w:val="16"/>
          <w:rFonts w:hint="eastAsia" w:ascii="仿宋" w:hAnsi="仿宋" w:eastAsia="仿宋"/>
          <w:b w:val="0"/>
          <w:bCs/>
          <w:sz w:val="32"/>
          <w:szCs w:val="32"/>
          <w:highlight w:val="none"/>
        </w:rPr>
        <w:t>完成预算</w:t>
      </w:r>
      <w:r>
        <w:rPr>
          <w:rStyle w:val="16"/>
          <w:rFonts w:ascii="仿宋" w:hAnsi="仿宋" w:eastAsia="仿宋"/>
          <w:bCs/>
          <w:sz w:val="32"/>
          <w:szCs w:val="32"/>
          <w:highlight w:val="none"/>
        </w:rPr>
        <w:t>0</w:t>
      </w:r>
      <w:r>
        <w:rPr>
          <w:rStyle w:val="16"/>
          <w:rFonts w:ascii="仿宋" w:hAnsi="仿宋" w:eastAsia="仿宋"/>
          <w:b w:val="0"/>
          <w:bCs/>
          <w:sz w:val="32"/>
          <w:szCs w:val="32"/>
          <w:highlight w:val="none"/>
        </w:rPr>
        <w:t>%</w:t>
      </w:r>
      <w:r>
        <w:rPr>
          <w:rStyle w:val="16"/>
          <w:rFonts w:hint="eastAsia" w:ascii="仿宋" w:hAnsi="仿宋" w:eastAsia="仿宋"/>
          <w:b w:val="0"/>
          <w:bCs/>
          <w:sz w:val="32"/>
          <w:szCs w:val="32"/>
          <w:highlight w:val="none"/>
        </w:rPr>
        <w:t>。</w:t>
      </w:r>
      <w:r>
        <w:rPr>
          <w:rFonts w:hint="eastAsia" w:ascii="仿宋_GB2312" w:eastAsia="仿宋_GB2312"/>
          <w:sz w:val="32"/>
          <w:szCs w:val="32"/>
          <w:highlight w:val="none"/>
        </w:rPr>
        <w:t>公务用车购置及运行维护费支出决算比2022年无变化。</w:t>
      </w:r>
    </w:p>
    <w:p w14:paraId="643E991D">
      <w:pPr>
        <w:spacing w:line="600" w:lineRule="exact"/>
        <w:ind w:firstLine="640" w:firstLineChars="200"/>
        <w:rPr>
          <w:rFonts w:ascii="仿宋_GB2312" w:eastAsia="仿宋_GB2312"/>
          <w:b/>
          <w:sz w:val="32"/>
          <w:szCs w:val="32"/>
          <w:highlight w:val="none"/>
        </w:rPr>
      </w:pPr>
      <w:r>
        <w:rPr>
          <w:rFonts w:hint="eastAsia" w:ascii="仿宋_GB2312" w:eastAsia="仿宋_GB2312"/>
          <w:sz w:val="32"/>
          <w:szCs w:val="32"/>
          <w:highlight w:val="none"/>
        </w:rPr>
        <w:t>其中</w:t>
      </w:r>
      <w:r>
        <w:rPr>
          <w:rFonts w:hint="eastAsia" w:ascii="仿宋" w:hAnsi="仿宋" w:eastAsia="仿宋" w:cs="仿宋"/>
          <w:b w:val="0"/>
          <w:bCs w:val="0"/>
          <w:sz w:val="32"/>
          <w:szCs w:val="32"/>
          <w:highlight w:val="none"/>
        </w:rPr>
        <w:t>：公务用车购置支出0</w:t>
      </w:r>
      <w:r>
        <w:rPr>
          <w:rFonts w:hint="eastAsia" w:ascii="仿宋_GB2312" w:eastAsia="仿宋_GB2312"/>
          <w:sz w:val="32"/>
          <w:szCs w:val="32"/>
          <w:highlight w:val="none"/>
        </w:rPr>
        <w:t>万元。全年按规定更新购置公务用车0辆，其中：轿车0辆、金额0万元，越野车0辆、金额0万元，载客汽车0辆、金额0万元。截至2023年</w:t>
      </w:r>
      <w:r>
        <w:rPr>
          <w:rFonts w:ascii="仿宋_GB2312" w:eastAsia="仿宋_GB2312"/>
          <w:sz w:val="32"/>
          <w:szCs w:val="32"/>
          <w:highlight w:val="none"/>
        </w:rPr>
        <w:t>12</w:t>
      </w:r>
      <w:r>
        <w:rPr>
          <w:rFonts w:hint="eastAsia" w:ascii="仿宋_GB2312" w:eastAsia="仿宋_GB2312"/>
          <w:sz w:val="32"/>
          <w:szCs w:val="32"/>
          <w:highlight w:val="none"/>
        </w:rPr>
        <w:t>月31日，单位共有公务用车0辆，其中：轿车0辆、越野车0辆、载客汽车0辆。</w:t>
      </w:r>
    </w:p>
    <w:p w14:paraId="554F0ACE">
      <w:pPr>
        <w:spacing w:line="600" w:lineRule="exact"/>
        <w:ind w:firstLine="640"/>
        <w:rPr>
          <w:rFonts w:ascii="仿宋_GB2312" w:eastAsia="仿宋_GB2312"/>
          <w:sz w:val="32"/>
          <w:szCs w:val="32"/>
          <w:highlight w:val="none"/>
        </w:rPr>
      </w:pPr>
      <w:r>
        <w:rPr>
          <w:rFonts w:hint="eastAsia" w:ascii="仿宋" w:hAnsi="仿宋" w:eastAsia="仿宋" w:cs="仿宋"/>
          <w:b w:val="0"/>
          <w:bCs/>
          <w:sz w:val="32"/>
          <w:szCs w:val="32"/>
          <w:highlight w:val="none"/>
        </w:rPr>
        <w:t>公务用车运行维护费支出0万元</w:t>
      </w:r>
      <w:r>
        <w:rPr>
          <w:rFonts w:hint="eastAsia" w:ascii="仿宋_GB2312" w:eastAsia="仿宋_GB2312"/>
          <w:sz w:val="32"/>
          <w:szCs w:val="32"/>
          <w:highlight w:val="none"/>
        </w:rPr>
        <w:t>。</w:t>
      </w:r>
    </w:p>
    <w:p w14:paraId="06EAECCE">
      <w:pPr>
        <w:numPr>
          <w:ilvl w:val="0"/>
          <w:numId w:val="3"/>
        </w:numPr>
        <w:spacing w:line="600" w:lineRule="exact"/>
        <w:ind w:firstLine="640"/>
        <w:rPr>
          <w:rFonts w:ascii="仿宋_GB2312" w:eastAsia="仿宋_GB2312"/>
          <w:sz w:val="32"/>
          <w:szCs w:val="32"/>
          <w:highlight w:val="none"/>
        </w:rPr>
      </w:pPr>
      <w:r>
        <w:rPr>
          <w:rFonts w:hint="eastAsia" w:ascii="仿宋" w:hAnsi="仿宋" w:eastAsia="仿宋" w:cs="仿宋"/>
          <w:b w:val="0"/>
          <w:bCs/>
          <w:sz w:val="32"/>
          <w:szCs w:val="32"/>
          <w:highlight w:val="none"/>
        </w:rPr>
        <w:t>公务接待费支出0</w:t>
      </w:r>
      <w:r>
        <w:rPr>
          <w:rFonts w:hint="eastAsia" w:ascii="仿宋_GB2312" w:eastAsia="仿宋_GB2312"/>
          <w:sz w:val="32"/>
          <w:szCs w:val="32"/>
          <w:highlight w:val="none"/>
        </w:rPr>
        <w:t>万元，</w:t>
      </w:r>
      <w:r>
        <w:rPr>
          <w:rStyle w:val="16"/>
          <w:rFonts w:hint="eastAsia" w:ascii="仿宋" w:hAnsi="仿宋" w:eastAsia="仿宋"/>
          <w:b w:val="0"/>
          <w:bCs/>
          <w:sz w:val="32"/>
          <w:szCs w:val="32"/>
          <w:highlight w:val="none"/>
        </w:rPr>
        <w:t>完成预算</w:t>
      </w:r>
      <w:r>
        <w:rPr>
          <w:rStyle w:val="16"/>
          <w:rFonts w:ascii="仿宋" w:hAnsi="仿宋" w:eastAsia="仿宋"/>
          <w:b w:val="0"/>
          <w:bCs/>
          <w:sz w:val="32"/>
          <w:szCs w:val="32"/>
          <w:highlight w:val="none"/>
        </w:rPr>
        <w:t>0%</w:t>
      </w:r>
      <w:r>
        <w:rPr>
          <w:rStyle w:val="16"/>
          <w:rFonts w:hint="eastAsia" w:ascii="仿宋" w:hAnsi="仿宋" w:eastAsia="仿宋"/>
          <w:b w:val="0"/>
          <w:bCs/>
          <w:sz w:val="32"/>
          <w:szCs w:val="32"/>
          <w:highlight w:val="none"/>
        </w:rPr>
        <w:t>。</w:t>
      </w:r>
      <w:r>
        <w:rPr>
          <w:rFonts w:hint="eastAsia" w:ascii="仿宋_GB2312" w:eastAsia="仿宋_GB2312"/>
          <w:sz w:val="32"/>
          <w:szCs w:val="32"/>
          <w:highlight w:val="none"/>
        </w:rPr>
        <w:t>公务接待费支出决算比2022年度无变化</w:t>
      </w:r>
    </w:p>
    <w:p w14:paraId="5F6A5B14">
      <w:pPr>
        <w:numPr>
          <w:ilvl w:val="0"/>
          <w:numId w:val="3"/>
        </w:numPr>
        <w:spacing w:line="600" w:lineRule="exact"/>
        <w:ind w:firstLine="640"/>
        <w:rPr>
          <w:rFonts w:ascii="仿宋_GB2312" w:eastAsia="仿宋_GB2312"/>
          <w:sz w:val="32"/>
          <w:szCs w:val="32"/>
          <w:highlight w:val="none"/>
        </w:rPr>
      </w:pPr>
      <w:r>
        <w:rPr>
          <w:rFonts w:hint="eastAsia" w:ascii="仿宋" w:hAnsi="仿宋" w:eastAsia="仿宋"/>
          <w:b w:val="0"/>
          <w:bCs/>
          <w:sz w:val="32"/>
          <w:szCs w:val="32"/>
          <w:highlight w:val="none"/>
        </w:rPr>
        <w:t>国内公务接待支出</w:t>
      </w:r>
      <w:r>
        <w:rPr>
          <w:rFonts w:ascii="仿宋" w:hAnsi="仿宋" w:eastAsia="仿宋"/>
          <w:b w:val="0"/>
          <w:bCs/>
          <w:sz w:val="32"/>
          <w:szCs w:val="32"/>
          <w:highlight w:val="none"/>
        </w:rPr>
        <w:t>0</w:t>
      </w:r>
      <w:r>
        <w:rPr>
          <w:rFonts w:hint="eastAsia" w:ascii="仿宋_GB2312" w:eastAsia="仿宋_GB2312"/>
          <w:sz w:val="32"/>
          <w:szCs w:val="32"/>
          <w:highlight w:val="none"/>
        </w:rPr>
        <w:t>万元。</w:t>
      </w:r>
    </w:p>
    <w:p w14:paraId="62B61535">
      <w:pPr>
        <w:spacing w:line="600" w:lineRule="exact"/>
        <w:ind w:firstLine="643" w:firstLineChars="200"/>
        <w:rPr>
          <w:rFonts w:ascii="黑体" w:eastAsia="黑体"/>
          <w:sz w:val="32"/>
          <w:szCs w:val="32"/>
          <w:highlight w:val="none"/>
        </w:rPr>
      </w:pPr>
      <w:r>
        <w:rPr>
          <w:rFonts w:hint="eastAsia" w:ascii="仿宋" w:hAnsi="仿宋" w:eastAsia="仿宋"/>
          <w:b/>
          <w:sz w:val="32"/>
          <w:szCs w:val="32"/>
          <w:highlight w:val="none"/>
        </w:rPr>
        <w:t>外事接待支出</w:t>
      </w:r>
      <w:r>
        <w:rPr>
          <w:rFonts w:ascii="仿宋" w:hAnsi="仿宋" w:eastAsia="仿宋"/>
          <w:b/>
          <w:sz w:val="32"/>
          <w:szCs w:val="32"/>
          <w:highlight w:val="none"/>
        </w:rPr>
        <w:t>0</w:t>
      </w:r>
      <w:r>
        <w:rPr>
          <w:rFonts w:hint="eastAsia" w:ascii="仿宋_GB2312" w:eastAsia="仿宋_GB2312"/>
          <w:sz w:val="32"/>
          <w:szCs w:val="32"/>
          <w:highlight w:val="none"/>
        </w:rPr>
        <w:t>万元。</w:t>
      </w:r>
    </w:p>
    <w:p w14:paraId="23E4CBB8">
      <w:pPr>
        <w:spacing w:line="600" w:lineRule="exact"/>
        <w:ind w:firstLine="640"/>
        <w:outlineLvl w:val="1"/>
        <w:rPr>
          <w:rStyle w:val="28"/>
          <w:rFonts w:ascii="黑体" w:hAnsi="黑体" w:eastAsia="黑体"/>
          <w:highlight w:val="none"/>
        </w:rPr>
      </w:pPr>
      <w:r>
        <w:rPr>
          <w:rFonts w:hint="eastAsia" w:ascii="黑体" w:eastAsia="黑体"/>
          <w:sz w:val="32"/>
          <w:szCs w:val="32"/>
          <w:highlight w:val="none"/>
        </w:rPr>
        <w:t>八、</w:t>
      </w:r>
      <w:r>
        <w:rPr>
          <w:rStyle w:val="28"/>
          <w:rFonts w:hint="eastAsia" w:ascii="黑体" w:hAnsi="黑体" w:eastAsia="黑体"/>
          <w:b w:val="0"/>
          <w:highlight w:val="none"/>
        </w:rPr>
        <w:t>政府性基金预算支出决算情况说明</w:t>
      </w:r>
      <w:bookmarkEnd w:id="40"/>
      <w:bookmarkEnd w:id="41"/>
    </w:p>
    <w:p w14:paraId="3A2E682D">
      <w:pPr>
        <w:spacing w:line="600" w:lineRule="exact"/>
        <w:ind w:firstLine="640"/>
        <w:rPr>
          <w:rFonts w:ascii="仿宋_GB2312" w:eastAsia="仿宋_GB2312"/>
          <w:sz w:val="32"/>
          <w:szCs w:val="32"/>
          <w:highlight w:val="none"/>
        </w:rPr>
      </w:pPr>
      <w:r>
        <w:rPr>
          <w:rFonts w:hint="eastAsia" w:ascii="仿宋_GB2312" w:eastAsia="仿宋_GB2312"/>
          <w:sz w:val="32"/>
          <w:szCs w:val="32"/>
          <w:highlight w:val="none"/>
        </w:rPr>
        <w:t>2023年度政府性基金预算财政拨款支出</w:t>
      </w:r>
      <w:r>
        <w:rPr>
          <w:rFonts w:ascii="仿宋" w:hAnsi="仿宋" w:eastAsia="仿宋"/>
          <w:b/>
          <w:sz w:val="32"/>
          <w:szCs w:val="32"/>
          <w:highlight w:val="none"/>
        </w:rPr>
        <w:t>0</w:t>
      </w:r>
      <w:r>
        <w:rPr>
          <w:rFonts w:hint="eastAsia" w:ascii="仿宋_GB2312" w:eastAsia="仿宋_GB2312"/>
          <w:sz w:val="32"/>
          <w:szCs w:val="32"/>
          <w:highlight w:val="none"/>
        </w:rPr>
        <w:t>万元。</w:t>
      </w:r>
    </w:p>
    <w:p w14:paraId="628D305A">
      <w:pPr>
        <w:numPr>
          <w:ilvl w:val="0"/>
          <w:numId w:val="4"/>
        </w:numPr>
        <w:spacing w:line="600" w:lineRule="exact"/>
        <w:ind w:firstLine="640"/>
        <w:outlineLvl w:val="1"/>
        <w:rPr>
          <w:rStyle w:val="28"/>
          <w:rFonts w:ascii="黑体" w:hAnsi="黑体" w:eastAsia="黑体"/>
          <w:b w:val="0"/>
          <w:highlight w:val="none"/>
        </w:rPr>
      </w:pPr>
      <w:bookmarkStart w:id="42" w:name="_Toc15377219"/>
      <w:bookmarkStart w:id="43" w:name="_Toc15396611"/>
      <w:r>
        <w:rPr>
          <w:rStyle w:val="28"/>
          <w:rFonts w:hint="eastAsia" w:ascii="黑体" w:hAnsi="黑体" w:eastAsia="黑体"/>
          <w:b w:val="0"/>
          <w:highlight w:val="none"/>
        </w:rPr>
        <w:t>国有资本经营预算支出决算情况说明</w:t>
      </w:r>
      <w:bookmarkEnd w:id="42"/>
      <w:bookmarkEnd w:id="43"/>
    </w:p>
    <w:p w14:paraId="269ADACE">
      <w:pPr>
        <w:spacing w:line="600" w:lineRule="exact"/>
        <w:ind w:firstLine="640"/>
        <w:rPr>
          <w:rFonts w:ascii="方正小标宋简体" w:hAnsi="方正小标宋简体" w:eastAsia="方正小标宋简体" w:cs="方正小标宋简体"/>
          <w:sz w:val="44"/>
          <w:szCs w:val="44"/>
          <w:highlight w:val="none"/>
        </w:rPr>
      </w:pPr>
      <w:r>
        <w:rPr>
          <w:rFonts w:hint="eastAsia" w:ascii="仿宋_GB2312" w:eastAsia="仿宋_GB2312"/>
          <w:sz w:val="32"/>
          <w:szCs w:val="32"/>
          <w:highlight w:val="none"/>
        </w:rPr>
        <w:t>2023年度国有资本经营预算财政拨款支出</w:t>
      </w:r>
      <w:r>
        <w:rPr>
          <w:rFonts w:ascii="仿宋" w:hAnsi="仿宋" w:eastAsia="仿宋"/>
          <w:b/>
          <w:sz w:val="32"/>
          <w:szCs w:val="32"/>
          <w:highlight w:val="none"/>
        </w:rPr>
        <w:t>0</w:t>
      </w:r>
      <w:r>
        <w:rPr>
          <w:rFonts w:hint="eastAsia" w:ascii="仿宋_GB2312" w:eastAsia="仿宋_GB2312"/>
          <w:sz w:val="32"/>
          <w:szCs w:val="32"/>
          <w:highlight w:val="none"/>
        </w:rPr>
        <w:t>万元。</w:t>
      </w:r>
    </w:p>
    <w:p w14:paraId="5C265594">
      <w:pPr>
        <w:numPr>
          <w:ilvl w:val="0"/>
          <w:numId w:val="4"/>
        </w:numPr>
        <w:spacing w:line="600" w:lineRule="exact"/>
        <w:ind w:firstLine="640"/>
        <w:outlineLvl w:val="1"/>
        <w:rPr>
          <w:rStyle w:val="28"/>
          <w:rFonts w:ascii="黑体" w:hAnsi="黑体" w:eastAsia="黑体"/>
          <w:b w:val="0"/>
          <w:highlight w:val="none"/>
        </w:rPr>
      </w:pPr>
      <w:bookmarkStart w:id="44" w:name="_Toc15377221"/>
      <w:bookmarkStart w:id="45" w:name="_Toc15396612"/>
      <w:r>
        <w:rPr>
          <w:rStyle w:val="28"/>
          <w:rFonts w:hint="eastAsia" w:ascii="黑体" w:hAnsi="黑体" w:eastAsia="黑体"/>
          <w:b w:val="0"/>
          <w:highlight w:val="none"/>
        </w:rPr>
        <w:t>其他重要事项的情况说明</w:t>
      </w:r>
      <w:bookmarkEnd w:id="44"/>
      <w:bookmarkEnd w:id="45"/>
    </w:p>
    <w:p w14:paraId="1E15B257">
      <w:pPr>
        <w:spacing w:line="600" w:lineRule="exact"/>
        <w:ind w:firstLine="643" w:firstLineChars="200"/>
        <w:outlineLvl w:val="2"/>
        <w:rPr>
          <w:rFonts w:ascii="仿宋" w:hAnsi="仿宋" w:eastAsia="仿宋"/>
          <w:sz w:val="32"/>
          <w:szCs w:val="32"/>
          <w:highlight w:val="none"/>
        </w:rPr>
      </w:pPr>
      <w:bookmarkStart w:id="46" w:name="_Toc15377222"/>
      <w:r>
        <w:rPr>
          <w:rFonts w:hint="eastAsia" w:ascii="仿宋" w:hAnsi="仿宋" w:eastAsia="仿宋"/>
          <w:b/>
          <w:sz w:val="32"/>
          <w:szCs w:val="32"/>
          <w:highlight w:val="none"/>
        </w:rPr>
        <w:t>（一）机关运行经费支出情况</w:t>
      </w:r>
      <w:bookmarkEnd w:id="46"/>
    </w:p>
    <w:p w14:paraId="5C40E7C4">
      <w:pPr>
        <w:spacing w:line="60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2023年度，</w:t>
      </w:r>
      <w:r>
        <w:rPr>
          <w:rFonts w:hint="eastAsia" w:ascii="仿宋" w:hAnsi="仿宋" w:eastAsia="仿宋" w:cs="仿宋"/>
          <w:b w:val="0"/>
          <w:bCs/>
          <w:sz w:val="32"/>
          <w:szCs w:val="32"/>
          <w:highlight w:val="none"/>
        </w:rPr>
        <w:t>盐边县格萨拉中心卫生院</w:t>
      </w:r>
      <w:r>
        <w:rPr>
          <w:rFonts w:hint="eastAsia" w:ascii="仿宋_GB2312" w:eastAsia="仿宋_GB2312"/>
          <w:sz w:val="32"/>
          <w:szCs w:val="32"/>
          <w:highlight w:val="none"/>
        </w:rPr>
        <w:t>机关运行经费支出</w:t>
      </w:r>
      <w:r>
        <w:rPr>
          <w:rFonts w:ascii="仿宋" w:hAnsi="仿宋" w:eastAsia="仿宋"/>
          <w:b/>
          <w:sz w:val="32"/>
          <w:szCs w:val="32"/>
          <w:highlight w:val="none"/>
        </w:rPr>
        <w:t>0</w:t>
      </w:r>
      <w:r>
        <w:rPr>
          <w:rFonts w:hint="eastAsia" w:ascii="仿宋_GB2312" w:eastAsia="仿宋_GB2312"/>
          <w:sz w:val="32"/>
          <w:szCs w:val="32"/>
          <w:highlight w:val="none"/>
        </w:rPr>
        <w:t>万元，比2022年度增加无变化。</w:t>
      </w:r>
    </w:p>
    <w:p w14:paraId="42B7C82C">
      <w:pPr>
        <w:autoSpaceDE w:val="0"/>
        <w:autoSpaceDN w:val="0"/>
        <w:adjustRightInd w:val="0"/>
        <w:spacing w:line="600" w:lineRule="exact"/>
        <w:ind w:firstLine="643" w:firstLineChars="200"/>
        <w:jc w:val="left"/>
        <w:outlineLvl w:val="2"/>
        <w:rPr>
          <w:rFonts w:ascii="仿宋" w:hAnsi="仿宋" w:eastAsia="仿宋"/>
          <w:b/>
          <w:sz w:val="32"/>
          <w:szCs w:val="32"/>
          <w:highlight w:val="none"/>
        </w:rPr>
      </w:pPr>
      <w:bookmarkStart w:id="47" w:name="_Toc15377223"/>
      <w:r>
        <w:rPr>
          <w:rFonts w:hint="eastAsia" w:ascii="仿宋" w:hAnsi="仿宋" w:eastAsia="仿宋"/>
          <w:b/>
          <w:sz w:val="32"/>
          <w:szCs w:val="32"/>
          <w:highlight w:val="none"/>
        </w:rPr>
        <w:t>（二）政府采购支出情况</w:t>
      </w:r>
      <w:bookmarkEnd w:id="47"/>
    </w:p>
    <w:p w14:paraId="18A44668">
      <w:pPr>
        <w:spacing w:line="600" w:lineRule="exact"/>
        <w:ind w:firstLine="640" w:firstLineChars="200"/>
        <w:rPr>
          <w:rFonts w:ascii="仿宋" w:hAnsi="仿宋" w:eastAsia="仿宋"/>
          <w:b/>
          <w:sz w:val="32"/>
          <w:szCs w:val="32"/>
          <w:highlight w:val="none"/>
        </w:rPr>
      </w:pPr>
      <w:r>
        <w:rPr>
          <w:rFonts w:hint="eastAsia" w:ascii="仿宋_GB2312" w:eastAsia="仿宋_GB2312"/>
          <w:sz w:val="32"/>
          <w:szCs w:val="32"/>
          <w:highlight w:val="none"/>
        </w:rPr>
        <w:t>2023年度，</w:t>
      </w:r>
      <w:r>
        <w:rPr>
          <w:rFonts w:hint="eastAsia" w:ascii="仿宋" w:hAnsi="仿宋" w:eastAsia="仿宋" w:cs="仿宋"/>
          <w:b w:val="0"/>
          <w:bCs/>
          <w:sz w:val="32"/>
          <w:szCs w:val="32"/>
          <w:highlight w:val="none"/>
        </w:rPr>
        <w:t>盐边县格萨拉中心卫生院</w:t>
      </w:r>
      <w:r>
        <w:rPr>
          <w:rFonts w:hint="eastAsia" w:ascii="仿宋_GB2312" w:eastAsia="仿宋_GB2312"/>
          <w:sz w:val="32"/>
          <w:szCs w:val="32"/>
          <w:highlight w:val="none"/>
        </w:rPr>
        <w:t>政府采购支出总额</w:t>
      </w:r>
      <w:r>
        <w:rPr>
          <w:rFonts w:ascii="仿宋" w:hAnsi="仿宋" w:eastAsia="仿宋"/>
          <w:b/>
          <w:sz w:val="32"/>
          <w:szCs w:val="32"/>
          <w:highlight w:val="none"/>
        </w:rPr>
        <w:t>0</w:t>
      </w:r>
      <w:r>
        <w:rPr>
          <w:rFonts w:hint="eastAsia" w:ascii="仿宋_GB2312" w:eastAsia="仿宋_GB2312"/>
          <w:sz w:val="32"/>
          <w:szCs w:val="32"/>
          <w:highlight w:val="none"/>
        </w:rPr>
        <w:t>万元，其中：政府采购货物支出</w:t>
      </w:r>
      <w:r>
        <w:rPr>
          <w:rFonts w:ascii="仿宋" w:hAnsi="仿宋" w:eastAsia="仿宋"/>
          <w:b/>
          <w:sz w:val="32"/>
          <w:szCs w:val="32"/>
          <w:highlight w:val="none"/>
        </w:rPr>
        <w:t>0</w:t>
      </w:r>
      <w:r>
        <w:rPr>
          <w:rFonts w:hint="eastAsia" w:ascii="仿宋_GB2312" w:eastAsia="仿宋_GB2312"/>
          <w:sz w:val="32"/>
          <w:szCs w:val="32"/>
          <w:highlight w:val="none"/>
        </w:rPr>
        <w:t>万元、政府采购工程支出</w:t>
      </w:r>
      <w:r>
        <w:rPr>
          <w:rFonts w:ascii="仿宋" w:hAnsi="仿宋" w:eastAsia="仿宋"/>
          <w:b/>
          <w:sz w:val="32"/>
          <w:szCs w:val="32"/>
          <w:highlight w:val="none"/>
        </w:rPr>
        <w:t>0</w:t>
      </w:r>
      <w:r>
        <w:rPr>
          <w:rFonts w:hint="eastAsia" w:ascii="仿宋_GB2312" w:eastAsia="仿宋_GB2312"/>
          <w:sz w:val="32"/>
          <w:szCs w:val="32"/>
          <w:highlight w:val="none"/>
        </w:rPr>
        <w:t>万元、政府采购服务支出</w:t>
      </w:r>
      <w:r>
        <w:rPr>
          <w:rFonts w:ascii="仿宋" w:hAnsi="仿宋" w:eastAsia="仿宋"/>
          <w:b/>
          <w:sz w:val="32"/>
          <w:szCs w:val="32"/>
          <w:highlight w:val="none"/>
        </w:rPr>
        <w:t>0</w:t>
      </w:r>
      <w:r>
        <w:rPr>
          <w:rFonts w:hint="eastAsia" w:ascii="仿宋_GB2312" w:eastAsia="仿宋_GB2312"/>
          <w:sz w:val="32"/>
          <w:szCs w:val="32"/>
          <w:highlight w:val="none"/>
        </w:rPr>
        <w:t>万元。授予中小企业合同金额</w:t>
      </w:r>
      <w:r>
        <w:rPr>
          <w:rFonts w:ascii="仿宋" w:hAnsi="仿宋" w:eastAsia="仿宋"/>
          <w:b/>
          <w:sz w:val="32"/>
          <w:szCs w:val="32"/>
          <w:highlight w:val="none"/>
        </w:rPr>
        <w:t>0</w:t>
      </w:r>
      <w:r>
        <w:rPr>
          <w:rFonts w:hint="eastAsia" w:ascii="仿宋_GB2312" w:eastAsia="仿宋_GB2312"/>
          <w:sz w:val="32"/>
          <w:szCs w:val="32"/>
          <w:highlight w:val="none"/>
        </w:rPr>
        <w:t>万元，占政府采购支出总额的</w:t>
      </w:r>
      <w:r>
        <w:rPr>
          <w:rFonts w:ascii="仿宋_GB2312" w:eastAsia="仿宋_GB2312"/>
          <w:sz w:val="32"/>
          <w:szCs w:val="32"/>
          <w:highlight w:val="none"/>
        </w:rPr>
        <w:t>0%</w:t>
      </w:r>
      <w:r>
        <w:rPr>
          <w:rFonts w:hint="eastAsia" w:ascii="仿宋_GB2312" w:eastAsia="仿宋_GB2312"/>
          <w:sz w:val="32"/>
          <w:szCs w:val="32"/>
          <w:highlight w:val="none"/>
        </w:rPr>
        <w:t>，其中：授予小微企业合同金额</w:t>
      </w:r>
      <w:r>
        <w:rPr>
          <w:rFonts w:ascii="仿宋" w:hAnsi="仿宋" w:eastAsia="仿宋"/>
          <w:b/>
          <w:sz w:val="32"/>
          <w:szCs w:val="32"/>
          <w:highlight w:val="none"/>
        </w:rPr>
        <w:t>0</w:t>
      </w:r>
      <w:r>
        <w:rPr>
          <w:rFonts w:hint="eastAsia" w:ascii="仿宋_GB2312" w:eastAsia="仿宋_GB2312"/>
          <w:sz w:val="32"/>
          <w:szCs w:val="32"/>
          <w:highlight w:val="none"/>
        </w:rPr>
        <w:t>万元，占政府采购支出总额的</w:t>
      </w:r>
      <w:r>
        <w:rPr>
          <w:rFonts w:ascii="仿宋_GB2312" w:eastAsia="仿宋_GB2312"/>
          <w:b/>
          <w:sz w:val="32"/>
          <w:szCs w:val="32"/>
          <w:highlight w:val="none"/>
        </w:rPr>
        <w:t>0</w:t>
      </w:r>
      <w:r>
        <w:rPr>
          <w:rFonts w:ascii="仿宋_GB2312" w:eastAsia="仿宋_GB2312"/>
          <w:sz w:val="32"/>
          <w:szCs w:val="32"/>
          <w:highlight w:val="none"/>
        </w:rPr>
        <w:t>%</w:t>
      </w:r>
      <w:r>
        <w:rPr>
          <w:rFonts w:hint="eastAsia" w:ascii="仿宋_GB2312" w:eastAsia="仿宋_GB2312"/>
          <w:sz w:val="32"/>
          <w:szCs w:val="32"/>
          <w:highlight w:val="none"/>
        </w:rPr>
        <w:t>。</w:t>
      </w:r>
    </w:p>
    <w:p w14:paraId="34D4B93A">
      <w:pPr>
        <w:autoSpaceDE w:val="0"/>
        <w:autoSpaceDN w:val="0"/>
        <w:adjustRightInd w:val="0"/>
        <w:spacing w:line="600" w:lineRule="exact"/>
        <w:ind w:firstLine="643" w:firstLineChars="200"/>
        <w:jc w:val="left"/>
        <w:outlineLvl w:val="2"/>
        <w:rPr>
          <w:rFonts w:ascii="仿宋" w:hAnsi="仿宋" w:eastAsia="仿宋"/>
          <w:b/>
          <w:sz w:val="32"/>
          <w:szCs w:val="32"/>
          <w:highlight w:val="none"/>
        </w:rPr>
      </w:pPr>
      <w:bookmarkStart w:id="48" w:name="_Toc15377224"/>
      <w:r>
        <w:rPr>
          <w:rFonts w:hint="eastAsia" w:ascii="仿宋" w:hAnsi="仿宋" w:eastAsia="仿宋"/>
          <w:b/>
          <w:sz w:val="32"/>
          <w:szCs w:val="32"/>
          <w:highlight w:val="none"/>
        </w:rPr>
        <w:t>（三）国有资产占有使用情况</w:t>
      </w:r>
      <w:bookmarkEnd w:id="48"/>
    </w:p>
    <w:p w14:paraId="11B7E4EC">
      <w:pPr>
        <w:autoSpaceDE w:val="0"/>
        <w:autoSpaceDN w:val="0"/>
        <w:adjustRightInd w:val="0"/>
        <w:spacing w:line="600" w:lineRule="exact"/>
        <w:ind w:firstLine="640" w:firstLineChars="200"/>
        <w:jc w:val="left"/>
        <w:rPr>
          <w:rFonts w:ascii="仿宋" w:hAnsi="仿宋" w:eastAsia="仿宋"/>
          <w:b/>
          <w:sz w:val="32"/>
          <w:szCs w:val="32"/>
          <w:highlight w:val="none"/>
        </w:rPr>
      </w:pPr>
      <w:r>
        <w:rPr>
          <w:rFonts w:hint="eastAsia" w:ascii="仿宋_GB2312" w:eastAsia="仿宋_GB2312"/>
          <w:sz w:val="32"/>
          <w:szCs w:val="32"/>
          <w:highlight w:val="none"/>
        </w:rPr>
        <w:t>截至2023年</w:t>
      </w:r>
      <w:r>
        <w:rPr>
          <w:rFonts w:ascii="仿宋_GB2312" w:eastAsia="仿宋_GB2312"/>
          <w:sz w:val="32"/>
          <w:szCs w:val="32"/>
          <w:highlight w:val="none"/>
        </w:rPr>
        <w:t>12</w:t>
      </w:r>
      <w:r>
        <w:rPr>
          <w:rFonts w:hint="eastAsia" w:ascii="仿宋_GB2312" w:eastAsia="仿宋_GB2312"/>
          <w:sz w:val="32"/>
          <w:szCs w:val="32"/>
          <w:highlight w:val="none"/>
        </w:rPr>
        <w:t>月</w:t>
      </w:r>
      <w:r>
        <w:rPr>
          <w:rFonts w:ascii="仿宋_GB2312" w:eastAsia="仿宋_GB2312"/>
          <w:sz w:val="32"/>
          <w:szCs w:val="32"/>
          <w:highlight w:val="none"/>
        </w:rPr>
        <w:t>31</w:t>
      </w:r>
      <w:r>
        <w:rPr>
          <w:rFonts w:hint="eastAsia" w:ascii="仿宋_GB2312" w:eastAsia="仿宋_GB2312"/>
          <w:sz w:val="32"/>
          <w:szCs w:val="32"/>
          <w:highlight w:val="none"/>
        </w:rPr>
        <w:t>日，</w:t>
      </w:r>
      <w:r>
        <w:rPr>
          <w:rFonts w:hint="eastAsia" w:ascii="仿宋" w:hAnsi="仿宋" w:eastAsia="仿宋" w:cs="仿宋"/>
          <w:b w:val="0"/>
          <w:bCs/>
          <w:sz w:val="32"/>
          <w:szCs w:val="32"/>
          <w:highlight w:val="none"/>
        </w:rPr>
        <w:t>盐边县格萨拉中心卫生院</w:t>
      </w:r>
      <w:r>
        <w:rPr>
          <w:rFonts w:hint="eastAsia" w:ascii="仿宋_GB2312" w:eastAsia="仿宋_GB2312"/>
          <w:sz w:val="32"/>
          <w:szCs w:val="32"/>
          <w:highlight w:val="none"/>
        </w:rPr>
        <w:t>共有车辆</w:t>
      </w:r>
      <w:r>
        <w:rPr>
          <w:rFonts w:hint="eastAsia" w:ascii="仿宋_GB2312" w:eastAsia="仿宋_GB2312"/>
          <w:b/>
          <w:sz w:val="32"/>
          <w:szCs w:val="32"/>
          <w:highlight w:val="none"/>
        </w:rPr>
        <w:t>1</w:t>
      </w:r>
      <w:r>
        <w:rPr>
          <w:rFonts w:hint="eastAsia" w:ascii="仿宋_GB2312" w:eastAsia="仿宋_GB2312"/>
          <w:sz w:val="32"/>
          <w:szCs w:val="32"/>
          <w:highlight w:val="none"/>
        </w:rPr>
        <w:t>辆，其中：主要领导干部用车0辆、机要通信用车0辆、应急保障用车1辆、其他用车0辆，单价</w:t>
      </w:r>
      <w:r>
        <w:rPr>
          <w:rFonts w:ascii="仿宋_GB2312" w:eastAsia="仿宋_GB2312"/>
          <w:sz w:val="32"/>
          <w:szCs w:val="32"/>
          <w:highlight w:val="none"/>
        </w:rPr>
        <w:t>100</w:t>
      </w:r>
      <w:r>
        <w:rPr>
          <w:rFonts w:hint="eastAsia" w:ascii="仿宋_GB2312" w:eastAsia="仿宋_GB2312"/>
          <w:sz w:val="32"/>
          <w:szCs w:val="32"/>
          <w:highlight w:val="none"/>
        </w:rPr>
        <w:t>万元以上设备（不含车辆）</w:t>
      </w:r>
      <w:r>
        <w:rPr>
          <w:rFonts w:ascii="仿宋_GB2312" w:eastAsia="仿宋_GB2312"/>
          <w:b/>
          <w:sz w:val="32"/>
          <w:szCs w:val="32"/>
          <w:highlight w:val="none"/>
        </w:rPr>
        <w:t>0</w:t>
      </w:r>
      <w:r>
        <w:rPr>
          <w:rFonts w:hint="eastAsia" w:ascii="仿宋_GB2312" w:eastAsia="仿宋_GB2312"/>
          <w:sz w:val="32"/>
          <w:szCs w:val="32"/>
          <w:highlight w:val="none"/>
        </w:rPr>
        <w:t>台（套）。</w:t>
      </w:r>
    </w:p>
    <w:p w14:paraId="5842E0CA">
      <w:pPr>
        <w:autoSpaceDE w:val="0"/>
        <w:autoSpaceDN w:val="0"/>
        <w:adjustRightInd w:val="0"/>
        <w:spacing w:line="600" w:lineRule="exact"/>
        <w:ind w:firstLine="643" w:firstLineChars="200"/>
        <w:jc w:val="left"/>
        <w:outlineLvl w:val="2"/>
        <w:rPr>
          <w:rFonts w:ascii="仿宋" w:hAnsi="仿宋" w:eastAsia="仿宋"/>
          <w:b/>
          <w:sz w:val="32"/>
          <w:szCs w:val="32"/>
          <w:highlight w:val="none"/>
        </w:rPr>
      </w:pPr>
      <w:r>
        <w:rPr>
          <w:rFonts w:hint="eastAsia" w:ascii="仿宋" w:hAnsi="仿宋" w:eastAsia="仿宋"/>
          <w:b/>
          <w:sz w:val="32"/>
          <w:szCs w:val="32"/>
          <w:highlight w:val="none"/>
        </w:rPr>
        <w:t>（四）预算绩效管理情况</w:t>
      </w:r>
    </w:p>
    <w:p w14:paraId="539E57A5">
      <w:pPr>
        <w:spacing w:line="600" w:lineRule="exact"/>
        <w:ind w:firstLine="640" w:firstLineChars="200"/>
        <w:rPr>
          <w:rFonts w:ascii="仿宋_GB2312" w:eastAsia="仿宋_GB2312"/>
          <w:sz w:val="32"/>
          <w:szCs w:val="32"/>
          <w:highlight w:val="none"/>
        </w:rPr>
      </w:pPr>
      <w:r>
        <w:rPr>
          <w:rFonts w:hint="eastAsia" w:ascii="仿宋_GB2312" w:hAnsi="仿宋_GB2312" w:eastAsia="仿宋_GB2312" w:cs="仿宋_GB2312"/>
          <w:sz w:val="32"/>
          <w:szCs w:val="32"/>
          <w:highlight w:val="none"/>
        </w:rPr>
        <w:t>根据预算绩效管理要求，本单位在2022年度预算编制阶段，组织对基本公共卫生服务项目、基本药物项目、等2个项目开展了预算事前绩效评估，对2个项目编制了绩效目标，预算执行过程中，选取2个项目开展绩效监控,组织对2个项目开展绩效自评，绩效自评表详见第四部分附件。</w:t>
      </w:r>
      <w:r>
        <w:rPr>
          <w:rFonts w:hint="eastAsia" w:ascii="仿宋_GB2312" w:eastAsia="仿宋_GB2312"/>
          <w:sz w:val="32"/>
          <w:szCs w:val="32"/>
          <w:highlight w:val="none"/>
        </w:rPr>
        <w:br w:type="page"/>
      </w:r>
    </w:p>
    <w:p w14:paraId="21A8C90C">
      <w:pPr>
        <w:numPr>
          <w:ilvl w:val="0"/>
          <w:numId w:val="5"/>
        </w:numPr>
        <w:spacing w:line="600" w:lineRule="exact"/>
        <w:ind w:firstLine="660" w:firstLineChars="150"/>
        <w:jc w:val="center"/>
        <w:outlineLvl w:val="0"/>
        <w:rPr>
          <w:rStyle w:val="27"/>
          <w:rFonts w:ascii="黑体" w:hAnsi="黑体" w:eastAsia="黑体"/>
          <w:b w:val="0"/>
          <w:highlight w:val="none"/>
        </w:rPr>
      </w:pPr>
      <w:bookmarkStart w:id="49" w:name="_Toc15396613"/>
      <w:bookmarkStart w:id="50" w:name="_Toc15377225"/>
      <w:r>
        <w:rPr>
          <w:rFonts w:hint="eastAsia" w:ascii="黑体" w:hAnsi="黑体" w:eastAsia="黑体"/>
          <w:sz w:val="44"/>
          <w:szCs w:val="44"/>
          <w:highlight w:val="none"/>
        </w:rPr>
        <w:t>名</w:t>
      </w:r>
      <w:r>
        <w:rPr>
          <w:rStyle w:val="27"/>
          <w:rFonts w:hint="eastAsia" w:ascii="黑体" w:hAnsi="黑体" w:eastAsia="黑体"/>
          <w:b w:val="0"/>
          <w:highlight w:val="none"/>
        </w:rPr>
        <w:t>词解释</w:t>
      </w:r>
      <w:bookmarkEnd w:id="49"/>
      <w:bookmarkEnd w:id="50"/>
    </w:p>
    <w:p w14:paraId="0C656C14">
      <w:pPr>
        <w:spacing w:line="600" w:lineRule="exact"/>
        <w:jc w:val="left"/>
        <w:rPr>
          <w:rFonts w:ascii="宋体"/>
          <w:b/>
          <w:sz w:val="44"/>
          <w:szCs w:val="44"/>
          <w:highlight w:val="none"/>
        </w:rPr>
      </w:pPr>
    </w:p>
    <w:p w14:paraId="14F259CF">
      <w:pPr>
        <w:pStyle w:val="25"/>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1.</w:t>
      </w:r>
      <w:r>
        <w:rPr>
          <w:rFonts w:hint="eastAsia" w:ascii="仿宋_GB2312" w:eastAsia="仿宋_GB2312"/>
          <w:color w:val="auto"/>
          <w:sz w:val="32"/>
          <w:szCs w:val="32"/>
          <w:highlight w:val="none"/>
        </w:rPr>
        <w:t>财政拨款收入：指单位从同级财政部门取得的财政预算资金。</w:t>
      </w:r>
    </w:p>
    <w:p w14:paraId="73C23D31">
      <w:pPr>
        <w:pStyle w:val="25"/>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2.</w:t>
      </w:r>
      <w:r>
        <w:rPr>
          <w:rFonts w:hint="eastAsia" w:ascii="仿宋_GB2312" w:eastAsia="仿宋_GB2312"/>
          <w:color w:val="auto"/>
          <w:sz w:val="32"/>
          <w:szCs w:val="32"/>
          <w:highlight w:val="none"/>
        </w:rPr>
        <w:t>事业收入：指事业单位开展专业业务活动及辅助活动取得的收入。</w:t>
      </w:r>
    </w:p>
    <w:p w14:paraId="05D0FCE0">
      <w:pPr>
        <w:pStyle w:val="25"/>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3.</w:t>
      </w:r>
      <w:r>
        <w:rPr>
          <w:rFonts w:hint="eastAsia" w:ascii="仿宋_GB2312" w:eastAsia="仿宋_GB2312"/>
          <w:color w:val="auto"/>
          <w:sz w:val="32"/>
          <w:szCs w:val="32"/>
          <w:highlight w:val="none"/>
        </w:rPr>
        <w:t>经营收入：指事业单位在专业业务活动及其辅助活动之外开展非独立核算经营活动取得的收入。</w:t>
      </w:r>
    </w:p>
    <w:p w14:paraId="2E23156E">
      <w:pPr>
        <w:pStyle w:val="25"/>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4.</w:t>
      </w:r>
      <w:r>
        <w:rPr>
          <w:rFonts w:hint="eastAsia" w:ascii="仿宋_GB2312" w:eastAsia="仿宋_GB2312"/>
          <w:color w:val="auto"/>
          <w:sz w:val="32"/>
          <w:szCs w:val="32"/>
          <w:highlight w:val="none"/>
        </w:rPr>
        <w:t>其他收入：指单位取得的除上述收入以外的各项收入。</w:t>
      </w:r>
    </w:p>
    <w:p w14:paraId="21F25EB4">
      <w:pPr>
        <w:pStyle w:val="25"/>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5.</w:t>
      </w:r>
      <w:r>
        <w:rPr>
          <w:rFonts w:hint="eastAsia" w:ascii="仿宋_GB2312" w:eastAsia="仿宋_GB2312"/>
          <w:color w:val="auto"/>
          <w:sz w:val="32"/>
          <w:szCs w:val="32"/>
          <w:highlight w:val="none"/>
        </w:rPr>
        <w:t>使用非财政拨款结余：指事业单位使用以前年度积累的非财政拨款结余弥补当年收支差额的金额。</w:t>
      </w:r>
    </w:p>
    <w:p w14:paraId="20C17EC0">
      <w:pPr>
        <w:pStyle w:val="25"/>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6.</w:t>
      </w:r>
      <w:r>
        <w:rPr>
          <w:rFonts w:hint="eastAsia" w:ascii="仿宋_GB2312" w:eastAsia="仿宋_GB2312"/>
          <w:color w:val="auto"/>
          <w:sz w:val="32"/>
          <w:szCs w:val="32"/>
          <w:highlight w:val="none"/>
        </w:rPr>
        <w:t>年初结转和结余：指以前年度尚未完成、结转到本年按有关规定继续使用的资金。</w:t>
      </w:r>
    </w:p>
    <w:p w14:paraId="0A671C6E">
      <w:pPr>
        <w:pStyle w:val="25"/>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7.</w:t>
      </w:r>
      <w:r>
        <w:rPr>
          <w:rFonts w:hint="eastAsia" w:ascii="仿宋_GB2312" w:eastAsia="仿宋_GB2312"/>
          <w:color w:val="auto"/>
          <w:sz w:val="32"/>
          <w:szCs w:val="32"/>
          <w:highlight w:val="none"/>
        </w:rPr>
        <w:t>结余分配：指事业单位按照会计制度规定缴纳的所得税、提取的专用结余以及转入非财政拨款结余的金额等。</w:t>
      </w:r>
    </w:p>
    <w:p w14:paraId="01141994">
      <w:pPr>
        <w:pStyle w:val="25"/>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8</w:t>
      </w:r>
      <w:r>
        <w:rPr>
          <w:rFonts w:hint="eastAsia" w:ascii="仿宋_GB2312" w:eastAsia="仿宋_GB2312"/>
          <w:color w:val="auto"/>
          <w:sz w:val="32"/>
          <w:szCs w:val="32"/>
          <w:highlight w:val="none"/>
        </w:rPr>
        <w:t>.年末结转和结余：指单位按有关规定结转到下年或以后年度继续使用的资金。</w:t>
      </w:r>
    </w:p>
    <w:p w14:paraId="73BE325C">
      <w:pPr>
        <w:ind w:firstLine="640" w:firstLineChars="200"/>
        <w:rPr>
          <w:rFonts w:ascii="仿宋_GB2312" w:eastAsia="仿宋_GB2312"/>
          <w:sz w:val="32"/>
          <w:szCs w:val="32"/>
          <w:highlight w:val="none"/>
        </w:rPr>
      </w:pPr>
      <w:r>
        <w:rPr>
          <w:rFonts w:ascii="仿宋_GB2312" w:eastAsia="仿宋_GB2312"/>
          <w:sz w:val="32"/>
          <w:szCs w:val="32"/>
          <w:highlight w:val="none"/>
        </w:rPr>
        <w:t>9.</w:t>
      </w:r>
      <w:r>
        <w:rPr>
          <w:rFonts w:hint="eastAsia" w:ascii="仿宋_GB2312" w:eastAsia="仿宋_GB2312"/>
          <w:sz w:val="32"/>
          <w:szCs w:val="32"/>
          <w:highlight w:val="none"/>
        </w:rPr>
        <w:t>社会保障和就业支出（类）行政事业单位养老支出（款）机关事业单位基本养老保险缴费支出（项）：指机关事业单位实施养老保险制度由单位缴纳的基本养老保险费支出。</w:t>
      </w:r>
    </w:p>
    <w:p w14:paraId="771F550D">
      <w:pPr>
        <w:ind w:firstLine="640" w:firstLineChars="200"/>
        <w:rPr>
          <w:rFonts w:ascii="仿宋_GB2312" w:eastAsia="仿宋_GB2312"/>
          <w:sz w:val="32"/>
          <w:szCs w:val="32"/>
          <w:highlight w:val="none"/>
        </w:rPr>
      </w:pPr>
      <w:r>
        <w:rPr>
          <w:rFonts w:ascii="仿宋_GB2312" w:eastAsia="仿宋_GB2312"/>
          <w:sz w:val="32"/>
          <w:szCs w:val="32"/>
          <w:highlight w:val="none"/>
        </w:rPr>
        <w:t>10.</w:t>
      </w:r>
      <w:r>
        <w:rPr>
          <w:rFonts w:hint="eastAsia" w:ascii="仿宋_GB2312" w:eastAsia="仿宋_GB2312"/>
          <w:sz w:val="32"/>
          <w:szCs w:val="32"/>
          <w:highlight w:val="none"/>
        </w:rPr>
        <w:t>社会保障和就业支出（类）行政事业单位养老支出（款）机关事业单位职业年金缴费支出（项）：指机关事业单位实施养老保险制度由单位缴纳的职业年金缴费支出。</w:t>
      </w:r>
    </w:p>
    <w:p w14:paraId="16ED86F6">
      <w:pPr>
        <w:ind w:firstLine="640" w:firstLineChars="200"/>
        <w:rPr>
          <w:rFonts w:ascii="仿宋_GB2312" w:eastAsia="仿宋_GB2312"/>
          <w:sz w:val="32"/>
          <w:szCs w:val="32"/>
          <w:highlight w:val="none"/>
        </w:rPr>
      </w:pPr>
      <w:r>
        <w:rPr>
          <w:rFonts w:ascii="仿宋_GB2312" w:eastAsia="仿宋_GB2312"/>
          <w:sz w:val="32"/>
          <w:szCs w:val="32"/>
          <w:highlight w:val="none"/>
        </w:rPr>
        <w:t>11.</w:t>
      </w:r>
      <w:r>
        <w:rPr>
          <w:rFonts w:hint="eastAsia" w:ascii="仿宋_GB2312" w:eastAsia="仿宋_GB2312"/>
          <w:sz w:val="32"/>
          <w:szCs w:val="32"/>
          <w:highlight w:val="none"/>
        </w:rPr>
        <w:t>社会保障和就业支出（类）行政事业单位养老支出（款）事业单位离退休（项）：指事业单位开支的离退休经费。</w:t>
      </w:r>
    </w:p>
    <w:p w14:paraId="37CC4D49">
      <w:pPr>
        <w:ind w:firstLine="640" w:firstLineChars="200"/>
        <w:rPr>
          <w:rFonts w:ascii="仿宋_GB2312" w:eastAsia="仿宋_GB2312"/>
          <w:sz w:val="32"/>
          <w:szCs w:val="32"/>
          <w:highlight w:val="none"/>
        </w:rPr>
      </w:pPr>
      <w:r>
        <w:rPr>
          <w:rFonts w:ascii="仿宋_GB2312" w:eastAsia="仿宋_GB2312"/>
          <w:sz w:val="32"/>
          <w:szCs w:val="32"/>
          <w:highlight w:val="none"/>
        </w:rPr>
        <w:t>12.</w:t>
      </w:r>
      <w:r>
        <w:rPr>
          <w:rStyle w:val="16"/>
          <w:rFonts w:hint="eastAsia" w:ascii="仿宋" w:hAnsi="仿宋" w:eastAsia="仿宋" w:cs="黑体"/>
          <w:b w:val="0"/>
          <w:bCs/>
          <w:sz w:val="32"/>
          <w:szCs w:val="32"/>
          <w:highlight w:val="none"/>
        </w:rPr>
        <w:t>社会保障和就业支出（类）残疾人事业（款）其他残疾人事业支出（项）：指除上述项目以外其他用于残疾人事业方面的支出</w:t>
      </w:r>
      <w:r>
        <w:rPr>
          <w:rFonts w:hint="eastAsia" w:ascii="仿宋_GB2312" w:eastAsia="仿宋_GB2312"/>
          <w:sz w:val="32"/>
          <w:szCs w:val="32"/>
          <w:highlight w:val="none"/>
        </w:rPr>
        <w:t>。</w:t>
      </w:r>
    </w:p>
    <w:p w14:paraId="021A1FA3">
      <w:pPr>
        <w:spacing w:line="600" w:lineRule="exact"/>
        <w:ind w:firstLine="640" w:firstLineChars="200"/>
        <w:rPr>
          <w:rStyle w:val="16"/>
          <w:rFonts w:ascii="仿宋" w:hAnsi="仿宋" w:eastAsia="仿宋" w:cs="黑体"/>
          <w:b w:val="0"/>
          <w:bCs/>
          <w:sz w:val="32"/>
          <w:szCs w:val="32"/>
          <w:highlight w:val="none"/>
        </w:rPr>
      </w:pPr>
      <w:r>
        <w:rPr>
          <w:rFonts w:ascii="仿宋_GB2312" w:eastAsia="仿宋_GB2312"/>
          <w:sz w:val="32"/>
          <w:szCs w:val="32"/>
          <w:highlight w:val="none"/>
        </w:rPr>
        <w:t>13.</w:t>
      </w:r>
      <w:r>
        <w:rPr>
          <w:rStyle w:val="16"/>
          <w:rFonts w:hint="eastAsia" w:ascii="仿宋" w:hAnsi="仿宋" w:eastAsia="仿宋" w:cs="黑体"/>
          <w:b w:val="0"/>
          <w:bCs/>
          <w:sz w:val="32"/>
          <w:szCs w:val="32"/>
          <w:highlight w:val="none"/>
        </w:rPr>
        <w:t>卫生健康支出（类）基层医疗卫生机构（款）乡镇卫生院（项）:指用于乡镇卫生院的支出。</w:t>
      </w:r>
    </w:p>
    <w:p w14:paraId="2C2A6242">
      <w:pPr>
        <w:spacing w:line="600" w:lineRule="exact"/>
        <w:ind w:firstLine="640" w:firstLineChars="200"/>
        <w:rPr>
          <w:rStyle w:val="16"/>
          <w:rFonts w:ascii="仿宋" w:hAnsi="仿宋" w:eastAsia="仿宋" w:cs="黑体"/>
          <w:b w:val="0"/>
          <w:bCs/>
          <w:sz w:val="32"/>
          <w:szCs w:val="32"/>
          <w:highlight w:val="none"/>
        </w:rPr>
      </w:pPr>
      <w:r>
        <w:rPr>
          <w:rStyle w:val="16"/>
          <w:rFonts w:hint="eastAsia" w:ascii="仿宋" w:hAnsi="仿宋" w:eastAsia="仿宋" w:cs="黑体"/>
          <w:b w:val="0"/>
          <w:bCs/>
          <w:sz w:val="32"/>
          <w:szCs w:val="32"/>
          <w:highlight w:val="none"/>
        </w:rPr>
        <w:t>14.卫生健康支出（类）基层医疗卫生机构（款）其他基层医疗卫生机构支出（项）:指除上述项目以外的其他用于基层医疗卫生机构的支出。</w:t>
      </w:r>
    </w:p>
    <w:p w14:paraId="30164420">
      <w:pPr>
        <w:spacing w:line="600" w:lineRule="exact"/>
        <w:ind w:firstLine="640" w:firstLineChars="200"/>
        <w:rPr>
          <w:rStyle w:val="16"/>
          <w:rFonts w:ascii="仿宋" w:hAnsi="仿宋" w:eastAsia="仿宋" w:cs="黑体"/>
          <w:b w:val="0"/>
          <w:bCs/>
          <w:sz w:val="32"/>
          <w:szCs w:val="32"/>
          <w:highlight w:val="none"/>
        </w:rPr>
      </w:pPr>
      <w:r>
        <w:rPr>
          <w:rStyle w:val="16"/>
          <w:rFonts w:hint="eastAsia" w:ascii="仿宋" w:hAnsi="仿宋" w:eastAsia="仿宋" w:cs="黑体"/>
          <w:b w:val="0"/>
          <w:bCs/>
          <w:sz w:val="32"/>
          <w:szCs w:val="32"/>
          <w:highlight w:val="none"/>
        </w:rPr>
        <w:t>15.卫生健康支出（类）公共卫生（款）基本公共卫生服务（项）:指基本公共卫生服务支出。</w:t>
      </w:r>
    </w:p>
    <w:p w14:paraId="20A3911B">
      <w:pPr>
        <w:spacing w:line="600" w:lineRule="exact"/>
        <w:ind w:firstLine="640" w:firstLineChars="200"/>
        <w:rPr>
          <w:rStyle w:val="16"/>
          <w:rFonts w:ascii="仿宋" w:hAnsi="仿宋" w:eastAsia="仿宋" w:cs="黑体"/>
          <w:b w:val="0"/>
          <w:bCs/>
          <w:sz w:val="32"/>
          <w:szCs w:val="32"/>
          <w:highlight w:val="none"/>
        </w:rPr>
      </w:pPr>
      <w:r>
        <w:rPr>
          <w:rStyle w:val="16"/>
          <w:rFonts w:hint="eastAsia" w:ascii="仿宋" w:hAnsi="仿宋" w:eastAsia="仿宋" w:cs="黑体"/>
          <w:b w:val="0"/>
          <w:bCs/>
          <w:sz w:val="32"/>
          <w:szCs w:val="32"/>
          <w:highlight w:val="none"/>
        </w:rPr>
        <w:t>16.卫生健康支出（类）公共卫生（款）重大公共卫生服务（项）:指重大疾病、重大传染病预防控制等重大公共卫生服务项目支出。</w:t>
      </w:r>
    </w:p>
    <w:p w14:paraId="18669B05">
      <w:pPr>
        <w:spacing w:line="600" w:lineRule="exact"/>
        <w:ind w:firstLine="640" w:firstLineChars="200"/>
        <w:rPr>
          <w:rStyle w:val="16"/>
          <w:rFonts w:ascii="仿宋" w:hAnsi="仿宋" w:eastAsia="仿宋" w:cs="黑体"/>
          <w:b w:val="0"/>
          <w:bCs/>
          <w:sz w:val="32"/>
          <w:szCs w:val="32"/>
          <w:highlight w:val="none"/>
        </w:rPr>
      </w:pPr>
      <w:r>
        <w:rPr>
          <w:rStyle w:val="16"/>
          <w:rFonts w:hint="eastAsia" w:ascii="仿宋" w:hAnsi="仿宋" w:eastAsia="仿宋" w:cs="黑体"/>
          <w:b w:val="0"/>
          <w:bCs/>
          <w:sz w:val="32"/>
          <w:szCs w:val="32"/>
          <w:highlight w:val="none"/>
        </w:rPr>
        <w:t>17.卫生健康支出（类）公共卫生（款）其他公共卫生支出（项）:指除上述项目以外的其他用于公共卫生方面的支出。</w:t>
      </w:r>
    </w:p>
    <w:p w14:paraId="206BC84D">
      <w:pPr>
        <w:spacing w:line="600" w:lineRule="exact"/>
        <w:ind w:firstLine="640" w:firstLineChars="200"/>
        <w:rPr>
          <w:rStyle w:val="16"/>
          <w:rFonts w:ascii="仿宋" w:hAnsi="仿宋" w:eastAsia="仿宋" w:cs="黑体"/>
          <w:b w:val="0"/>
          <w:bCs/>
          <w:sz w:val="32"/>
          <w:szCs w:val="32"/>
          <w:highlight w:val="none"/>
        </w:rPr>
      </w:pPr>
      <w:r>
        <w:rPr>
          <w:rStyle w:val="16"/>
          <w:rFonts w:hint="eastAsia" w:ascii="仿宋" w:hAnsi="仿宋" w:eastAsia="仿宋" w:cs="黑体"/>
          <w:b w:val="0"/>
          <w:bCs/>
          <w:sz w:val="32"/>
          <w:szCs w:val="32"/>
          <w:highlight w:val="none"/>
        </w:rPr>
        <w:t>18.卫生健康支出（类）行政事业单位医疗（款）事业单位医疗（项）:</w:t>
      </w:r>
      <w:r>
        <w:rPr>
          <w:rFonts w:hint="eastAsia" w:ascii="仿宋_GB2312" w:eastAsia="仿宋_GB2312"/>
          <w:sz w:val="32"/>
          <w:szCs w:val="32"/>
          <w:highlight w:val="none"/>
        </w:rPr>
        <w:t>指财政部门安排的事业单位基本医疗保险缴费经费，未参加医疗保险的事业单位的公费医疗经费，按国家规定享受离休人员待遇的医疗经费</w:t>
      </w:r>
      <w:r>
        <w:rPr>
          <w:rStyle w:val="16"/>
          <w:rFonts w:hint="eastAsia" w:ascii="仿宋" w:hAnsi="仿宋" w:eastAsia="仿宋" w:cs="黑体"/>
          <w:b w:val="0"/>
          <w:bCs/>
          <w:sz w:val="32"/>
          <w:szCs w:val="32"/>
          <w:highlight w:val="none"/>
        </w:rPr>
        <w:t>。</w:t>
      </w:r>
    </w:p>
    <w:p w14:paraId="556C8244">
      <w:pPr>
        <w:spacing w:line="600" w:lineRule="exact"/>
        <w:ind w:firstLine="640" w:firstLineChars="200"/>
        <w:rPr>
          <w:rStyle w:val="16"/>
          <w:rFonts w:ascii="仿宋" w:hAnsi="仿宋" w:eastAsia="仿宋" w:cs="黑体"/>
          <w:b w:val="0"/>
          <w:bCs/>
          <w:sz w:val="32"/>
          <w:szCs w:val="32"/>
          <w:highlight w:val="none"/>
        </w:rPr>
      </w:pPr>
      <w:r>
        <w:rPr>
          <w:rStyle w:val="16"/>
          <w:rFonts w:hint="eastAsia" w:ascii="仿宋" w:hAnsi="仿宋" w:eastAsia="仿宋" w:cs="黑体"/>
          <w:b w:val="0"/>
          <w:bCs/>
          <w:sz w:val="32"/>
          <w:szCs w:val="32"/>
          <w:highlight w:val="none"/>
        </w:rPr>
        <w:t>19.卫生健康支出（类）行政事业单位医疗（款）其他行政事业单位医疗支出（项）:指除上述项目以外的其他用于行政事业单位医疗方面的支出。</w:t>
      </w:r>
    </w:p>
    <w:p w14:paraId="7C1E94B1">
      <w:pPr>
        <w:spacing w:line="600" w:lineRule="exact"/>
        <w:ind w:firstLine="640" w:firstLineChars="200"/>
        <w:rPr>
          <w:rFonts w:ascii="仿宋" w:hAnsi="仿宋" w:eastAsia="仿宋"/>
          <w:b/>
          <w:sz w:val="32"/>
          <w:szCs w:val="32"/>
          <w:highlight w:val="none"/>
        </w:rPr>
      </w:pPr>
      <w:r>
        <w:rPr>
          <w:rStyle w:val="16"/>
          <w:rFonts w:hint="eastAsia" w:ascii="仿宋" w:hAnsi="仿宋" w:eastAsia="仿宋" w:cs="黑体"/>
          <w:b w:val="0"/>
          <w:bCs/>
          <w:sz w:val="32"/>
          <w:szCs w:val="32"/>
          <w:highlight w:val="none"/>
        </w:rPr>
        <w:t>20.住房保障支出（类）住房改革支出（款）住房公积金（项）:</w:t>
      </w:r>
      <w:r>
        <w:rPr>
          <w:rFonts w:hint="eastAsia" w:ascii="仿宋_GB2312" w:eastAsia="仿宋_GB2312"/>
          <w:sz w:val="32"/>
          <w:szCs w:val="32"/>
          <w:highlight w:val="none"/>
        </w:rPr>
        <w:t>指行政事业单位按人力资源和社会保障部、财政部规定的基本工资和津贴补贴以及规定比例为职工缴纳的住房公积金</w:t>
      </w:r>
      <w:r>
        <w:rPr>
          <w:rStyle w:val="16"/>
          <w:rFonts w:hint="eastAsia" w:ascii="仿宋" w:hAnsi="仿宋" w:eastAsia="仿宋" w:cs="黑体"/>
          <w:b w:val="0"/>
          <w:bCs/>
          <w:sz w:val="32"/>
          <w:szCs w:val="32"/>
          <w:highlight w:val="none"/>
        </w:rPr>
        <w:t>。</w:t>
      </w:r>
    </w:p>
    <w:p w14:paraId="405BD926">
      <w:pPr>
        <w:ind w:firstLine="640" w:firstLineChars="200"/>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rPr>
        <w:t>1</w:t>
      </w:r>
      <w:r>
        <w:rPr>
          <w:rFonts w:ascii="仿宋_GB2312" w:eastAsia="仿宋_GB2312"/>
          <w:sz w:val="32"/>
          <w:szCs w:val="32"/>
          <w:highlight w:val="none"/>
        </w:rPr>
        <w:t>.</w:t>
      </w:r>
      <w:r>
        <w:rPr>
          <w:rFonts w:hint="eastAsia" w:ascii="仿宋_GB2312" w:eastAsia="仿宋_GB2312"/>
          <w:sz w:val="32"/>
          <w:szCs w:val="32"/>
          <w:highlight w:val="none"/>
        </w:rPr>
        <w:t>基本支出：指为保障机构正常运转、完成日常工作任务而发生的人员支出和公用支出。</w:t>
      </w:r>
    </w:p>
    <w:p w14:paraId="14DFC266">
      <w:pPr>
        <w:ind w:firstLine="640" w:firstLineChars="200"/>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rPr>
        <w:t>2</w:t>
      </w:r>
      <w:r>
        <w:rPr>
          <w:rFonts w:ascii="仿宋_GB2312" w:eastAsia="仿宋_GB2312"/>
          <w:sz w:val="32"/>
          <w:szCs w:val="32"/>
          <w:highlight w:val="none"/>
        </w:rPr>
        <w:t>.</w:t>
      </w:r>
      <w:r>
        <w:rPr>
          <w:rFonts w:hint="eastAsia" w:ascii="仿宋_GB2312" w:eastAsia="仿宋_GB2312"/>
          <w:sz w:val="32"/>
          <w:szCs w:val="32"/>
          <w:highlight w:val="none"/>
        </w:rPr>
        <w:t>项目支出：指在基本支出之外为完成特定行政任务和事业发展目标所发生的支出。</w:t>
      </w:r>
    </w:p>
    <w:p w14:paraId="5226D36B">
      <w:pPr>
        <w:pStyle w:val="25"/>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23</w:t>
      </w:r>
      <w:r>
        <w:rPr>
          <w:rFonts w:ascii="仿宋_GB2312" w:eastAsia="仿宋_GB2312"/>
          <w:color w:val="auto"/>
          <w:sz w:val="32"/>
          <w:szCs w:val="32"/>
          <w:highlight w:val="none"/>
        </w:rPr>
        <w:t>.</w:t>
      </w:r>
      <w:r>
        <w:rPr>
          <w:rFonts w:hint="eastAsia" w:ascii="仿宋_GB2312" w:eastAsia="仿宋_GB2312"/>
          <w:color w:val="auto"/>
          <w:sz w:val="32"/>
          <w:szCs w:val="32"/>
          <w:highlight w:val="none"/>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AA849F9">
      <w:pPr>
        <w:ind w:firstLine="640" w:firstLineChars="200"/>
        <w:rPr>
          <w:rFonts w:ascii="仿宋_GB2312" w:eastAsia="仿宋_GB2312"/>
          <w:sz w:val="32"/>
          <w:szCs w:val="32"/>
          <w:highlight w:val="none"/>
        </w:rPr>
      </w:pPr>
      <w:r>
        <w:rPr>
          <w:rFonts w:hint="eastAsia" w:ascii="仿宋_GB2312" w:eastAsia="仿宋_GB2312"/>
          <w:sz w:val="32"/>
          <w:szCs w:val="32"/>
          <w:highlight w:val="none"/>
        </w:rPr>
        <w:t>24</w:t>
      </w:r>
      <w:r>
        <w:rPr>
          <w:rFonts w:ascii="仿宋_GB2312" w:eastAsia="仿宋_GB2312"/>
          <w:sz w:val="32"/>
          <w:szCs w:val="32"/>
          <w:highlight w:val="none"/>
        </w:rPr>
        <w:t>.</w:t>
      </w:r>
      <w:r>
        <w:rPr>
          <w:rFonts w:hint="eastAsia" w:ascii="仿宋_GB2312" w:eastAsia="仿宋_GB2312"/>
          <w:sz w:val="32"/>
          <w:szCs w:val="32"/>
          <w:highlight w:val="none"/>
        </w:rPr>
        <w:t>基本支出：指为保障机构正常运转、完成日常工作任务而发生的人员支出和公用支出。</w:t>
      </w:r>
    </w:p>
    <w:p w14:paraId="3D4C9511">
      <w:pPr>
        <w:ind w:firstLine="640" w:firstLineChars="200"/>
        <w:rPr>
          <w:rFonts w:ascii="仿宋_GB2312" w:eastAsia="仿宋_GB2312"/>
          <w:sz w:val="32"/>
          <w:szCs w:val="32"/>
          <w:highlight w:val="none"/>
        </w:rPr>
      </w:pPr>
      <w:r>
        <w:rPr>
          <w:rFonts w:hint="eastAsia" w:ascii="仿宋_GB2312" w:eastAsia="仿宋_GB2312"/>
          <w:sz w:val="32"/>
          <w:szCs w:val="32"/>
          <w:highlight w:val="none"/>
        </w:rPr>
        <w:t>25</w:t>
      </w:r>
      <w:r>
        <w:rPr>
          <w:rFonts w:ascii="仿宋_GB2312" w:eastAsia="仿宋_GB2312"/>
          <w:sz w:val="32"/>
          <w:szCs w:val="32"/>
          <w:highlight w:val="none"/>
        </w:rPr>
        <w:t>.</w:t>
      </w:r>
      <w:r>
        <w:rPr>
          <w:rFonts w:hint="eastAsia" w:ascii="仿宋_GB2312" w:eastAsia="仿宋_GB2312"/>
          <w:sz w:val="32"/>
          <w:szCs w:val="32"/>
          <w:highlight w:val="none"/>
        </w:rPr>
        <w:t>项目支出：指在基本支出之外为完成特定行政任务和事业发展目标所发生的支出。</w:t>
      </w:r>
      <w:r>
        <w:rPr>
          <w:rFonts w:ascii="仿宋_GB2312" w:eastAsia="仿宋_GB2312"/>
          <w:sz w:val="32"/>
          <w:szCs w:val="32"/>
          <w:highlight w:val="none"/>
        </w:rPr>
        <w:t xml:space="preserve"> </w:t>
      </w:r>
    </w:p>
    <w:p w14:paraId="5931EB3F">
      <w:pPr>
        <w:ind w:firstLine="640" w:firstLineChars="200"/>
        <w:rPr>
          <w:rFonts w:ascii="仿宋_GB2312" w:eastAsia="仿宋_GB2312"/>
          <w:sz w:val="32"/>
          <w:szCs w:val="32"/>
          <w:highlight w:val="none"/>
        </w:rPr>
      </w:pPr>
      <w:r>
        <w:rPr>
          <w:rFonts w:hint="eastAsia" w:ascii="仿宋_GB2312" w:eastAsia="仿宋_GB2312"/>
          <w:sz w:val="32"/>
          <w:szCs w:val="32"/>
          <w:highlight w:val="none"/>
        </w:rPr>
        <w:t>26</w:t>
      </w:r>
      <w:r>
        <w:rPr>
          <w:rFonts w:ascii="仿宋_GB2312" w:eastAsia="仿宋_GB2312"/>
          <w:sz w:val="32"/>
          <w:szCs w:val="32"/>
          <w:highlight w:val="none"/>
        </w:rPr>
        <w:t>.</w:t>
      </w:r>
      <w:r>
        <w:rPr>
          <w:rFonts w:hint="eastAsia" w:ascii="仿宋_GB2312" w:eastAsia="仿宋_GB2312"/>
          <w:sz w:val="32"/>
          <w:szCs w:val="32"/>
          <w:highlight w:val="none"/>
        </w:rPr>
        <w:t>经营支出：指事业单位在专业业务活动及其辅助活动之外开展非独立核算经营活动发生的支出。</w:t>
      </w:r>
    </w:p>
    <w:p w14:paraId="7F6E246E">
      <w:pPr>
        <w:pStyle w:val="25"/>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27</w:t>
      </w:r>
      <w:r>
        <w:rPr>
          <w:rFonts w:ascii="仿宋_GB2312" w:eastAsia="仿宋_GB2312"/>
          <w:color w:val="auto"/>
          <w:sz w:val="32"/>
          <w:szCs w:val="32"/>
          <w:highlight w:val="none"/>
        </w:rPr>
        <w:t>.</w:t>
      </w:r>
      <w:r>
        <w:rPr>
          <w:rFonts w:hint="eastAsia" w:ascii="仿宋_GB2312" w:eastAsia="仿宋_GB2312"/>
          <w:color w:val="auto"/>
          <w:sz w:val="32"/>
          <w:szCs w:val="32"/>
          <w:highlight w:val="none"/>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3C85D8A">
      <w:pPr>
        <w:spacing w:line="600" w:lineRule="exact"/>
        <w:jc w:val="center"/>
        <w:outlineLvl w:val="0"/>
        <w:rPr>
          <w:rStyle w:val="27"/>
          <w:rFonts w:ascii="黑体" w:hAnsi="黑体" w:eastAsia="黑体"/>
          <w:b w:val="0"/>
        </w:rPr>
      </w:pPr>
      <w:bookmarkStart w:id="67" w:name="_GoBack"/>
      <w:bookmarkEnd w:id="67"/>
      <w:bookmarkStart w:id="51" w:name="_Toc15377226"/>
      <w:r>
        <w:rPr>
          <w:rFonts w:ascii="宋体"/>
          <w:b/>
          <w:sz w:val="44"/>
          <w:szCs w:val="44"/>
          <w:highlight w:val="none"/>
        </w:rPr>
        <w:br w:type="page"/>
      </w:r>
      <w:bookmarkStart w:id="52" w:name="_Toc15396614"/>
      <w:r>
        <w:rPr>
          <w:rFonts w:hint="eastAsia" w:ascii="黑体" w:hAnsi="黑体" w:eastAsia="黑体"/>
          <w:sz w:val="44"/>
          <w:szCs w:val="44"/>
        </w:rPr>
        <w:t>第</w:t>
      </w:r>
      <w:r>
        <w:rPr>
          <w:rStyle w:val="27"/>
          <w:rFonts w:hint="eastAsia" w:ascii="黑体" w:hAnsi="黑体" w:eastAsia="黑体"/>
          <w:b w:val="0"/>
        </w:rPr>
        <w:t>四部分 附件</w:t>
      </w:r>
      <w:bookmarkEnd w:id="52"/>
    </w:p>
    <w:p w14:paraId="10319D91">
      <w:pPr>
        <w:pStyle w:val="25"/>
        <w:spacing w:line="560" w:lineRule="exact"/>
        <w:ind w:firstLine="1280" w:firstLineChars="400"/>
        <w:jc w:val="both"/>
        <w:rPr>
          <w:rFonts w:hAnsi="仿宋"/>
          <w:sz w:val="32"/>
          <w:szCs w:val="32"/>
        </w:rPr>
      </w:pPr>
      <w:bookmarkStart w:id="53" w:name="_Toc15396618"/>
      <w:r>
        <w:rPr>
          <w:rFonts w:hint="eastAsia" w:hAnsi="仿宋"/>
          <w:sz w:val="32"/>
          <w:szCs w:val="32"/>
        </w:rPr>
        <w:t>部门预算项目支出绩效自评表（2023年度）见附件</w:t>
      </w:r>
    </w:p>
    <w:p w14:paraId="47151B85">
      <w:pPr>
        <w:pStyle w:val="5"/>
        <w:spacing w:before="93"/>
        <w:jc w:val="center"/>
        <w:rPr>
          <w:rFonts w:hAnsi="Calibri" w:cs="仿宋"/>
          <w:sz w:val="32"/>
          <w:szCs w:val="32"/>
        </w:rPr>
      </w:pPr>
    </w:p>
    <w:p w14:paraId="051F2BA9">
      <w:pPr>
        <w:pStyle w:val="5"/>
        <w:spacing w:before="93"/>
        <w:rPr>
          <w:rFonts w:hAnsi="Calibri" w:cs="仿宋"/>
          <w:sz w:val="32"/>
          <w:szCs w:val="32"/>
        </w:rPr>
      </w:pPr>
    </w:p>
    <w:p w14:paraId="0FBD572D">
      <w:pPr>
        <w:pStyle w:val="5"/>
        <w:spacing w:before="93"/>
        <w:rPr>
          <w:rFonts w:hAnsi="Calibri" w:cs="仿宋"/>
          <w:sz w:val="32"/>
          <w:szCs w:val="32"/>
        </w:rPr>
      </w:pPr>
    </w:p>
    <w:p w14:paraId="693C4465">
      <w:pPr>
        <w:pStyle w:val="5"/>
        <w:spacing w:before="93"/>
        <w:rPr>
          <w:rFonts w:hAnsi="Calibri" w:cs="仿宋"/>
          <w:sz w:val="32"/>
          <w:szCs w:val="32"/>
        </w:rPr>
      </w:pPr>
    </w:p>
    <w:p w14:paraId="0AA2E949">
      <w:pPr>
        <w:pStyle w:val="5"/>
        <w:spacing w:before="93"/>
        <w:rPr>
          <w:rFonts w:hAnsi="Calibri" w:cs="仿宋"/>
          <w:sz w:val="32"/>
          <w:szCs w:val="32"/>
        </w:rPr>
      </w:pPr>
    </w:p>
    <w:p w14:paraId="7B21AF00">
      <w:pPr>
        <w:pStyle w:val="5"/>
        <w:spacing w:before="93"/>
        <w:rPr>
          <w:rFonts w:hAnsi="Calibri" w:cs="仿宋"/>
          <w:sz w:val="32"/>
          <w:szCs w:val="32"/>
        </w:rPr>
      </w:pPr>
    </w:p>
    <w:p w14:paraId="41572F34">
      <w:pPr>
        <w:pStyle w:val="5"/>
        <w:spacing w:before="93"/>
        <w:rPr>
          <w:rFonts w:hAnsi="Calibri" w:cs="仿宋"/>
          <w:sz w:val="32"/>
          <w:szCs w:val="32"/>
        </w:rPr>
      </w:pPr>
    </w:p>
    <w:p w14:paraId="5AFC6949">
      <w:pPr>
        <w:pStyle w:val="5"/>
        <w:spacing w:before="93"/>
        <w:rPr>
          <w:rFonts w:hAnsi="Calibri" w:cs="仿宋"/>
          <w:sz w:val="32"/>
          <w:szCs w:val="32"/>
        </w:rPr>
      </w:pPr>
    </w:p>
    <w:p w14:paraId="66F1A5AB">
      <w:pPr>
        <w:pStyle w:val="5"/>
        <w:spacing w:before="93"/>
        <w:rPr>
          <w:rFonts w:hAnsi="Calibri" w:cs="仿宋"/>
          <w:sz w:val="32"/>
          <w:szCs w:val="32"/>
        </w:rPr>
      </w:pPr>
    </w:p>
    <w:p w14:paraId="50450F5D">
      <w:pPr>
        <w:pStyle w:val="5"/>
        <w:spacing w:before="93"/>
        <w:rPr>
          <w:rFonts w:hAnsi="Calibri" w:cs="仿宋"/>
          <w:sz w:val="32"/>
          <w:szCs w:val="32"/>
        </w:rPr>
      </w:pPr>
    </w:p>
    <w:p w14:paraId="43665629">
      <w:pPr>
        <w:pStyle w:val="5"/>
        <w:spacing w:before="93"/>
        <w:rPr>
          <w:rFonts w:hAnsi="Calibri" w:cs="仿宋"/>
          <w:sz w:val="32"/>
          <w:szCs w:val="32"/>
        </w:rPr>
      </w:pPr>
    </w:p>
    <w:p w14:paraId="1A3540C3">
      <w:pPr>
        <w:spacing w:line="600" w:lineRule="exact"/>
        <w:jc w:val="center"/>
        <w:outlineLvl w:val="0"/>
        <w:rPr>
          <w:rFonts w:ascii="黑体" w:hAnsi="黑体" w:eastAsia="黑体"/>
          <w:sz w:val="44"/>
          <w:szCs w:val="44"/>
        </w:rPr>
      </w:pPr>
    </w:p>
    <w:p w14:paraId="6AC1951F">
      <w:pPr>
        <w:spacing w:line="600" w:lineRule="exact"/>
        <w:jc w:val="center"/>
        <w:outlineLvl w:val="0"/>
        <w:rPr>
          <w:rFonts w:ascii="黑体" w:hAnsi="黑体" w:eastAsia="黑体"/>
          <w:sz w:val="44"/>
          <w:szCs w:val="44"/>
        </w:rPr>
      </w:pPr>
    </w:p>
    <w:p w14:paraId="2F08B058">
      <w:pPr>
        <w:spacing w:line="600" w:lineRule="exact"/>
        <w:jc w:val="center"/>
        <w:outlineLvl w:val="0"/>
        <w:rPr>
          <w:rFonts w:ascii="黑体" w:hAnsi="黑体" w:eastAsia="黑体"/>
          <w:sz w:val="44"/>
          <w:szCs w:val="44"/>
        </w:rPr>
      </w:pPr>
    </w:p>
    <w:p w14:paraId="1BF99024">
      <w:pPr>
        <w:spacing w:line="600" w:lineRule="exact"/>
        <w:jc w:val="center"/>
        <w:outlineLvl w:val="0"/>
        <w:rPr>
          <w:rFonts w:ascii="黑体" w:hAnsi="黑体" w:eastAsia="黑体"/>
          <w:sz w:val="44"/>
          <w:szCs w:val="44"/>
        </w:rPr>
      </w:pPr>
    </w:p>
    <w:p w14:paraId="32A58F6C">
      <w:pPr>
        <w:spacing w:line="600" w:lineRule="exact"/>
        <w:jc w:val="center"/>
        <w:outlineLvl w:val="0"/>
        <w:rPr>
          <w:rFonts w:ascii="黑体" w:hAnsi="黑体" w:eastAsia="黑体"/>
          <w:sz w:val="44"/>
          <w:szCs w:val="44"/>
        </w:rPr>
      </w:pPr>
    </w:p>
    <w:p w14:paraId="54997D5B">
      <w:pPr>
        <w:spacing w:line="600" w:lineRule="exact"/>
        <w:jc w:val="center"/>
        <w:outlineLvl w:val="0"/>
        <w:rPr>
          <w:rFonts w:ascii="黑体" w:hAnsi="黑体" w:eastAsia="黑体"/>
          <w:sz w:val="44"/>
          <w:szCs w:val="44"/>
        </w:rPr>
      </w:pPr>
    </w:p>
    <w:p w14:paraId="0283C5B7">
      <w:pPr>
        <w:spacing w:line="600" w:lineRule="exact"/>
        <w:jc w:val="center"/>
        <w:outlineLvl w:val="0"/>
        <w:rPr>
          <w:rFonts w:ascii="黑体" w:hAnsi="黑体" w:eastAsia="黑体"/>
          <w:sz w:val="44"/>
          <w:szCs w:val="44"/>
        </w:rPr>
      </w:pPr>
    </w:p>
    <w:p w14:paraId="2E4E1CFA">
      <w:pPr>
        <w:spacing w:line="600" w:lineRule="exact"/>
        <w:jc w:val="center"/>
        <w:outlineLvl w:val="0"/>
        <w:rPr>
          <w:rFonts w:ascii="黑体" w:hAnsi="黑体" w:eastAsia="黑体"/>
          <w:sz w:val="44"/>
          <w:szCs w:val="44"/>
        </w:rPr>
      </w:pPr>
    </w:p>
    <w:p w14:paraId="021A7C42">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51"/>
      <w:bookmarkEnd w:id="53"/>
      <w:bookmarkStart w:id="54" w:name="_Toc15396619"/>
    </w:p>
    <w:p w14:paraId="3BB974F3">
      <w:pPr>
        <w:pStyle w:val="3"/>
        <w:rPr>
          <w:rFonts w:ascii="仿宋" w:hAnsi="仿宋" w:eastAsia="仿宋"/>
        </w:rPr>
      </w:pPr>
      <w:r>
        <w:rPr>
          <w:rFonts w:hint="eastAsia" w:ascii="仿宋" w:hAnsi="仿宋" w:eastAsia="仿宋"/>
          <w:b w:val="0"/>
        </w:rPr>
        <w:t>一、收</w:t>
      </w:r>
      <w:r>
        <w:rPr>
          <w:rStyle w:val="28"/>
          <w:rFonts w:hint="eastAsia" w:ascii="仿宋" w:hAnsi="仿宋" w:eastAsia="仿宋"/>
          <w:b w:val="0"/>
          <w:bCs w:val="0"/>
        </w:rPr>
        <w:t>入支出决算总表</w:t>
      </w:r>
      <w:bookmarkEnd w:id="54"/>
    </w:p>
    <w:p w14:paraId="0B7BA51E">
      <w:pPr>
        <w:pStyle w:val="3"/>
        <w:rPr>
          <w:rFonts w:ascii="仿宋" w:hAnsi="仿宋" w:eastAsia="仿宋"/>
        </w:rPr>
      </w:pPr>
      <w:bookmarkStart w:id="55" w:name="_Toc15396620"/>
      <w:r>
        <w:rPr>
          <w:rFonts w:hint="eastAsia" w:ascii="仿宋" w:hAnsi="仿宋" w:eastAsia="仿宋"/>
          <w:b w:val="0"/>
        </w:rPr>
        <w:t>二、收</w:t>
      </w:r>
      <w:r>
        <w:rPr>
          <w:rStyle w:val="28"/>
          <w:rFonts w:hint="eastAsia" w:ascii="仿宋" w:hAnsi="仿宋" w:eastAsia="仿宋"/>
          <w:b w:val="0"/>
          <w:bCs w:val="0"/>
        </w:rPr>
        <w:t>入决算表</w:t>
      </w:r>
      <w:bookmarkEnd w:id="55"/>
    </w:p>
    <w:p w14:paraId="1DA3E6E4">
      <w:pPr>
        <w:pStyle w:val="3"/>
        <w:rPr>
          <w:rFonts w:ascii="仿宋" w:hAnsi="仿宋" w:eastAsia="仿宋"/>
        </w:rPr>
      </w:pPr>
      <w:bookmarkStart w:id="56"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56"/>
    </w:p>
    <w:p w14:paraId="559A9FF9">
      <w:pPr>
        <w:pStyle w:val="3"/>
        <w:rPr>
          <w:rFonts w:ascii="仿宋" w:hAnsi="仿宋" w:eastAsia="仿宋"/>
          <w:b w:val="0"/>
        </w:rPr>
      </w:pPr>
      <w:bookmarkStart w:id="57" w:name="_Toc15396622"/>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57"/>
    </w:p>
    <w:p w14:paraId="6BE1AB25">
      <w:pPr>
        <w:pStyle w:val="3"/>
        <w:rPr>
          <w:rStyle w:val="28"/>
          <w:rFonts w:ascii="仿宋" w:hAnsi="仿宋" w:eastAsia="仿宋"/>
          <w:b w:val="0"/>
          <w:bCs w:val="0"/>
        </w:rPr>
      </w:pPr>
      <w:bookmarkStart w:id="58" w:name="_Toc15396623"/>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58"/>
      <w:bookmarkStart w:id="59" w:name="_Toc15396624"/>
    </w:p>
    <w:p w14:paraId="42405FB9">
      <w:pPr>
        <w:pStyle w:val="3"/>
        <w:rPr>
          <w:rFonts w:ascii="仿宋" w:hAnsi="仿宋" w:eastAsia="仿宋"/>
        </w:rPr>
      </w:pPr>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59"/>
    </w:p>
    <w:p w14:paraId="3BB3E458">
      <w:pPr>
        <w:pStyle w:val="3"/>
        <w:rPr>
          <w:rFonts w:ascii="仿宋" w:hAnsi="仿宋" w:eastAsia="仿宋"/>
        </w:rPr>
      </w:pPr>
      <w:bookmarkStart w:id="60" w:name="_Toc15396625"/>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60"/>
    </w:p>
    <w:p w14:paraId="38BC3A92">
      <w:pPr>
        <w:pStyle w:val="3"/>
        <w:rPr>
          <w:rFonts w:ascii="仿宋" w:hAnsi="仿宋" w:eastAsia="仿宋"/>
        </w:rPr>
      </w:pPr>
      <w:bookmarkStart w:id="61"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61"/>
    </w:p>
    <w:p w14:paraId="29BA88B6">
      <w:pPr>
        <w:pStyle w:val="3"/>
        <w:rPr>
          <w:rFonts w:ascii="仿宋" w:hAnsi="仿宋" w:eastAsia="仿宋"/>
        </w:rPr>
      </w:pPr>
      <w:bookmarkStart w:id="62" w:name="_Toc15396627"/>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62"/>
    </w:p>
    <w:p w14:paraId="3B480271">
      <w:pPr>
        <w:pStyle w:val="3"/>
        <w:rPr>
          <w:rFonts w:ascii="仿宋" w:hAnsi="仿宋" w:eastAsia="仿宋"/>
        </w:rPr>
      </w:pPr>
      <w:bookmarkStart w:id="63" w:name="_Toc15396628"/>
      <w:r>
        <w:rPr>
          <w:rStyle w:val="28"/>
          <w:rFonts w:hint="eastAsia" w:ascii="仿宋" w:hAnsi="仿宋" w:eastAsia="仿宋"/>
          <w:b w:val="0"/>
          <w:bCs w:val="0"/>
        </w:rPr>
        <w:t>十、</w:t>
      </w:r>
      <w:bookmarkEnd w:id="63"/>
      <w:r>
        <w:rPr>
          <w:rFonts w:hint="eastAsia" w:ascii="仿宋" w:hAnsi="仿宋" w:eastAsia="仿宋"/>
          <w:b w:val="0"/>
        </w:rPr>
        <w:t>政</w:t>
      </w:r>
      <w:r>
        <w:rPr>
          <w:rStyle w:val="28"/>
          <w:rFonts w:hint="eastAsia" w:ascii="仿宋" w:hAnsi="仿宋" w:eastAsia="仿宋"/>
          <w:b w:val="0"/>
          <w:bCs w:val="0"/>
        </w:rPr>
        <w:t>府性基金预算财政拨款收入支出决算表</w:t>
      </w:r>
    </w:p>
    <w:p w14:paraId="3882FFA1">
      <w:pPr>
        <w:pStyle w:val="3"/>
        <w:rPr>
          <w:rFonts w:ascii="仿宋" w:hAnsi="仿宋" w:eastAsia="仿宋"/>
        </w:rPr>
      </w:pPr>
      <w:bookmarkStart w:id="64" w:name="_Toc15396629"/>
      <w:r>
        <w:rPr>
          <w:rStyle w:val="28"/>
          <w:rFonts w:hint="eastAsia" w:ascii="仿宋" w:hAnsi="仿宋" w:eastAsia="仿宋"/>
          <w:b w:val="0"/>
          <w:bCs w:val="0"/>
        </w:rPr>
        <w:t>十一、</w:t>
      </w:r>
      <w:bookmarkEnd w:id="64"/>
      <w:r>
        <w:rPr>
          <w:rFonts w:hint="eastAsia" w:ascii="仿宋" w:hAnsi="仿宋" w:eastAsia="仿宋"/>
          <w:b w:val="0"/>
        </w:rPr>
        <w:t>国</w:t>
      </w:r>
      <w:r>
        <w:rPr>
          <w:rStyle w:val="28"/>
          <w:rFonts w:hint="eastAsia" w:ascii="仿宋" w:hAnsi="仿宋" w:eastAsia="仿宋"/>
          <w:b w:val="0"/>
          <w:bCs w:val="0"/>
        </w:rPr>
        <w:t>有资本经营预算财政拨款收入支出决算表</w:t>
      </w:r>
    </w:p>
    <w:p w14:paraId="5FE4DF9F">
      <w:pPr>
        <w:pStyle w:val="3"/>
        <w:rPr>
          <w:rFonts w:ascii="仿宋" w:hAnsi="仿宋" w:eastAsia="仿宋"/>
        </w:rPr>
      </w:pPr>
      <w:bookmarkStart w:id="65" w:name="_Toc15396630"/>
      <w:r>
        <w:rPr>
          <w:rStyle w:val="28"/>
          <w:rFonts w:hint="eastAsia" w:ascii="仿宋" w:hAnsi="仿宋" w:eastAsia="仿宋"/>
          <w:b w:val="0"/>
          <w:bCs w:val="0"/>
        </w:rPr>
        <w:t>十二、</w:t>
      </w:r>
      <w:bookmarkEnd w:id="65"/>
      <w:r>
        <w:rPr>
          <w:rStyle w:val="28"/>
          <w:rFonts w:hint="eastAsia" w:ascii="仿宋" w:hAnsi="仿宋" w:eastAsia="仿宋"/>
          <w:b w:val="0"/>
          <w:bCs w:val="0"/>
        </w:rPr>
        <w:t>国有资本经营预算财政拨款支出决算表</w:t>
      </w:r>
    </w:p>
    <w:p w14:paraId="3E7B0696">
      <w:pPr>
        <w:pStyle w:val="3"/>
        <w:rPr>
          <w:rFonts w:eastAsia="仿宋"/>
        </w:rPr>
      </w:pPr>
      <w:bookmarkStart w:id="66" w:name="_Toc15396631"/>
      <w:r>
        <w:rPr>
          <w:rStyle w:val="28"/>
          <w:rFonts w:hint="eastAsia" w:ascii="仿宋" w:hAnsi="仿宋" w:eastAsia="仿宋"/>
          <w:b w:val="0"/>
          <w:bCs w:val="0"/>
        </w:rPr>
        <w:t>十三、</w:t>
      </w:r>
      <w:bookmarkEnd w:id="66"/>
      <w:r>
        <w:rPr>
          <w:rStyle w:val="28"/>
          <w:rFonts w:hint="eastAsia" w:ascii="仿宋" w:hAnsi="仿宋" w:eastAsia="仿宋"/>
          <w:b w:val="0"/>
          <w:bCs w:val="0"/>
        </w:rPr>
        <w:t>财政拨款“三公”经费支出决算表</w:t>
      </w:r>
    </w:p>
    <w:sectPr>
      <w:footerReference r:id="rId8" w:type="first"/>
      <w:footerReference r:id="rId7"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小标宋简体">
    <w:altName w:val="黑体"/>
    <w:panose1 w:val="00000000000000000000"/>
    <w:charset w:val="86"/>
    <w:family w:val="script"/>
    <w:pitch w:val="default"/>
    <w:sig w:usb0="00000000" w:usb1="00000000" w:usb2="00000000" w:usb3="00000000" w:csb0="00040000" w:csb1="00000000"/>
  </w:font>
  <w:font w:name="方正仿宋_GB2312">
    <w:altName w:val="方正仿宋_GB2312"/>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01546">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18779">
    <w:pPr>
      <w:pStyle w:val="9"/>
      <w:jc w:val="center"/>
    </w:pPr>
    <w:r>
      <w:pict>
        <v:shape id="_x0000_s2051" o:spid="_x0000_s2051"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path/>
          <v:fill on="f" focussize="0,0"/>
          <v:stroke on="f" weight="0.5pt" joinstyle="miter"/>
          <v:imagedata o:title=""/>
          <o:lock v:ext="edit"/>
          <v:textbox inset="0mm,0mm,0mm,0mm" style="mso-fit-shape-to-text:t;">
            <w:txbxContent>
              <w:sdt>
                <w:sdtPr>
                  <w:id w:val="147467828"/>
                </w:sdtPr>
                <w:sdtContent>
                  <w:p w14:paraId="5435518D">
                    <w:pPr>
                      <w:pStyle w:val="9"/>
                      <w:jc w:val="center"/>
                    </w:pPr>
                    <w:r>
                      <w:fldChar w:fldCharType="begin"/>
                    </w:r>
                    <w:r>
                      <w:instrText xml:space="preserve">PAGE   \* MERGEFORMAT</w:instrText>
                    </w:r>
                    <w:r>
                      <w:fldChar w:fldCharType="separate"/>
                    </w:r>
                    <w:r>
                      <w:rPr>
                        <w:lang w:val="zh-CN"/>
                      </w:rPr>
                      <w:t>15</w:t>
                    </w:r>
                    <w:r>
                      <w:fldChar w:fldCharType="end"/>
                    </w:r>
                  </w:p>
                </w:sdtContent>
              </w:sdt>
              <w:p w14:paraId="25F60877">
                <w:pPr>
                  <w:pStyle w:val="5"/>
                  <w:spacing w:before="72"/>
                </w:pPr>
              </w:p>
            </w:txbxContent>
          </v:textbox>
        </v:shape>
      </w:pict>
    </w:r>
  </w:p>
  <w:p w14:paraId="6CF8E08C">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55522">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F2802">
    <w:pPr>
      <w:pStyle w:val="9"/>
      <w:jc w:val="center"/>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1cqtNUAAAAI&#10;AQAADwAAAGRycy9kb3ducmV2LnhtbE2Py07DMBRE90j8g3WR2FG7D0KUxqlERVgi0bBg6caXJMWP&#10;yHbT8PdcVnQ5mtHMmXI3W8MmDHHwTsJyIYCha70eXCfho6kfcmAxKaeV8Q4l/GCEXXV7U6pC+4t7&#10;x+mQOkYlLhZKQp/SWHAe2x6tigs/oiPvywerEsnQcR3Uhcqt4SshMm7V4GihVyPue2y/D2crYV83&#10;TZgwBvOJr/X69Pa8wZdZyvu7pdgCSzin/zD84RM6VMR09GenIzMS1k/ZI0Ul0COys2xD8ihhlecC&#10;eFXy6wPVL1BLAwQUAAAACACHTuJAJIJGtD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xOKTFMo+CX&#10;798uP35dfn4l0yRP7cIcUTuHuNi8tQ2aZjgPOEysm9Lr9AUfAj/EPV/FFU0kPF2aTWezMVwcvmED&#10;/OzxuvMhvhNWk2Tk1KN6rajstA2xCx1CUjZjN1KptoLKkDqnN6/fjNsLVw/AlUGORKJ7bLJis296&#10;ZntbnEHM264zguMbieRbFuID82gFPBjDEu+xlMoiie0tSirrv/zrPMWjQvBSUqO1cmowSZSo9waV&#10;A2AcDD8Y+8EwR31n0asTDKHjrYkLPqrBLL3VnzFBq5QDLmY4MuU0DuZd7NobE8jFatUGHZ2Xh6q7&#10;gL5zLG7NzvGUJgkZ3OoYIWarcRKoU6XXDZ3XVqmfktTaf+7bqMc/w/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1cqtNUAAAAIAQAADwAAAAAAAAABACAAAAAiAAAAZHJzL2Rvd25yZXYueG1sUEsB&#10;AhQAFAAAAAgAh07iQCSCRrQxAgAAYQQAAA4AAAAAAAAAAQAgAAAAJAEAAGRycy9lMm9Eb2MueG1s&#10;UEsFBgAAAAAGAAYAWQEAAMcFAAAAAA==&#10;">
          <v:path/>
          <v:fill on="f" focussize="0,0"/>
          <v:stroke on="f" weight="0.5pt" joinstyle="miter"/>
          <v:imagedata o:title=""/>
          <o:lock v:ext="edit"/>
          <v:textbox inset="0mm,0mm,0mm,0mm" style="mso-fit-shape-to-text:t;">
            <w:txbxContent>
              <w:sdt>
                <w:sdtPr>
                  <w:id w:val="147473158"/>
                </w:sdtPr>
                <w:sdtContent>
                  <w:p w14:paraId="61F5531F">
                    <w:pPr>
                      <w:pStyle w:val="9"/>
                      <w:jc w:val="center"/>
                    </w:pPr>
                    <w:r>
                      <w:fldChar w:fldCharType="begin"/>
                    </w:r>
                    <w:r>
                      <w:instrText xml:space="preserve">PAGE   \* MERGEFORMAT</w:instrText>
                    </w:r>
                    <w:r>
                      <w:fldChar w:fldCharType="separate"/>
                    </w:r>
                    <w:r>
                      <w:rPr>
                        <w:lang w:val="zh-CN"/>
                      </w:rPr>
                      <w:t>16</w:t>
                    </w:r>
                    <w:r>
                      <w:fldChar w:fldCharType="end"/>
                    </w:r>
                  </w:p>
                </w:sdtContent>
              </w:sdt>
              <w:p w14:paraId="41130901">
                <w:pPr>
                  <w:pStyle w:val="5"/>
                  <w:spacing w:before="72"/>
                </w:pPr>
              </w:p>
            </w:txbxContent>
          </v:textbox>
        </v:shape>
      </w:pict>
    </w:r>
  </w:p>
  <w:p w14:paraId="1248E2EF">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71E54">
    <w:pPr>
      <w:pStyle w:val="9"/>
    </w:pPr>
    <w:r>
      <w:pict>
        <v:shape id="_x0000_s2050" o:spid="_x0000_s2050"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H7cf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QBJJGqj4&#10;/bev999/3v/4gmAPBNpqO4a4hYZIt7tSOwju9y1set67yjT+Hxgh8APW3UFetnOI+kPpIE0jcFHw&#10;9QvAD4/HtbHuFVMN8kaGDdSvlZVs5tZ1oX2Iv02qggvR1lBItM3w8PQsag8cPAAupI+FLABjb3W1&#10;+TSKRtfpdZoEyWB4HSRRngfTYpYEwyI+P8tP89ksjz97vDgZ17wsmfT39X0SJ8+rw75XugofOsUq&#10;wUsP51OyZrWcCYM2BPq0aH9eYUj+QVj4OI3WDayeUIoHSXQ1GAXFMD0PkiI5C0bnURpE8ehqNIyS&#10;UZIXjynNuWT/TumR+g+SJmNfsAO3pSD0w1+p+XSO1ECBvnCh78Ou37zldssdSOTNpSrvoDeN6p63&#10;1bTgcOmcWHdLDLxn6DmYeO4GPpVQ0Cdqb2FUK/PxT/s+HsoLXoy2MB8yLGEcYiReS3h+AOh6w/TG&#10;sjfkupkpKGQMk1TT1oQDxonerIxq3sMYnPo7wEUkhZsy7Hpz5roZBWOUsum0DVprw1d1dwCGhyZu&#10;Lhea+mvaFtLTtYP30D6ToyogpV/A+GhF3Y86P58ertuo43if/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E4ftx90CAAAmBgAADgAAAAAAAAABACAAAAAfAQAAZHJzL2Uyb0RvYy54bWxQSwUG&#10;AAAAAAYABgBZAQAAbgYAAAAA&#10;">
          <v:path/>
          <v:fill on="f" focussize="0,0"/>
          <v:stroke on="f" weight="0.5pt" joinstyle="miter"/>
          <v:imagedata o:title=""/>
          <o:lock v:ext="edit"/>
          <v:textbox inset="0mm,0mm,0mm,0mm" style="mso-fit-shape-to-text:t;">
            <w:txbxContent>
              <w:p w14:paraId="7D0D1614">
                <w:pPr>
                  <w:pStyle w:val="9"/>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5D874">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2130D7"/>
    <w:multiLevelType w:val="singleLevel"/>
    <w:tmpl w:val="CD2130D7"/>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2F0F622E"/>
    <w:multiLevelType w:val="singleLevel"/>
    <w:tmpl w:val="2F0F622E"/>
    <w:lvl w:ilvl="0" w:tentative="0">
      <w:start w:val="3"/>
      <w:numFmt w:val="decimal"/>
      <w:lvlText w:val="%1."/>
      <w:lvlJc w:val="left"/>
      <w:pPr>
        <w:tabs>
          <w:tab w:val="left" w:pos="312"/>
        </w:tabs>
      </w:p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I4YmY2ZTZlZjc3NDNiOTBjNjUxYjFjOWY3MGM2Mj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099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71D6"/>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C757B"/>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4202"/>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78608E3"/>
    <w:rsid w:val="081B5E94"/>
    <w:rsid w:val="0A2032A3"/>
    <w:rsid w:val="0B1D3CDA"/>
    <w:rsid w:val="0B8A37D8"/>
    <w:rsid w:val="0D077DD0"/>
    <w:rsid w:val="0EB95444"/>
    <w:rsid w:val="0F25419F"/>
    <w:rsid w:val="0F5FFB2F"/>
    <w:rsid w:val="0FFFCF60"/>
    <w:rsid w:val="10C055FF"/>
    <w:rsid w:val="118107EC"/>
    <w:rsid w:val="11DD6519"/>
    <w:rsid w:val="14677F5E"/>
    <w:rsid w:val="14B0333F"/>
    <w:rsid w:val="16BB723D"/>
    <w:rsid w:val="18015F3F"/>
    <w:rsid w:val="194859F8"/>
    <w:rsid w:val="1ABD5F72"/>
    <w:rsid w:val="1BE8440E"/>
    <w:rsid w:val="1BF80424"/>
    <w:rsid w:val="1D155CEE"/>
    <w:rsid w:val="1FDBBF84"/>
    <w:rsid w:val="201522AA"/>
    <w:rsid w:val="20AC4C06"/>
    <w:rsid w:val="20F57F95"/>
    <w:rsid w:val="240371BF"/>
    <w:rsid w:val="25711CC6"/>
    <w:rsid w:val="25C741E6"/>
    <w:rsid w:val="25EC2B35"/>
    <w:rsid w:val="276F80C0"/>
    <w:rsid w:val="27842671"/>
    <w:rsid w:val="27AE76F6"/>
    <w:rsid w:val="29FD04D3"/>
    <w:rsid w:val="2A97233B"/>
    <w:rsid w:val="2A9F7655"/>
    <w:rsid w:val="2ABE7A3E"/>
    <w:rsid w:val="2AFF09B6"/>
    <w:rsid w:val="2CA234A8"/>
    <w:rsid w:val="2E8970EC"/>
    <w:rsid w:val="2EFA178C"/>
    <w:rsid w:val="2EFDF86C"/>
    <w:rsid w:val="2F9D17E1"/>
    <w:rsid w:val="2FF40CC6"/>
    <w:rsid w:val="300D7276"/>
    <w:rsid w:val="30B46D73"/>
    <w:rsid w:val="30C81A8F"/>
    <w:rsid w:val="319F7F4E"/>
    <w:rsid w:val="32324DAA"/>
    <w:rsid w:val="34A33B79"/>
    <w:rsid w:val="356A28F1"/>
    <w:rsid w:val="357C035A"/>
    <w:rsid w:val="368E000D"/>
    <w:rsid w:val="37174D43"/>
    <w:rsid w:val="383D272C"/>
    <w:rsid w:val="39AE70AB"/>
    <w:rsid w:val="3A4DCE41"/>
    <w:rsid w:val="3BCB56FA"/>
    <w:rsid w:val="3C0C0783"/>
    <w:rsid w:val="3D54650F"/>
    <w:rsid w:val="3EE7C2F4"/>
    <w:rsid w:val="3F371B56"/>
    <w:rsid w:val="3F792ED8"/>
    <w:rsid w:val="3F9F3A96"/>
    <w:rsid w:val="3FECA4B2"/>
    <w:rsid w:val="3FF58C48"/>
    <w:rsid w:val="42FF6694"/>
    <w:rsid w:val="46E7114E"/>
    <w:rsid w:val="48BF60AB"/>
    <w:rsid w:val="493C27E9"/>
    <w:rsid w:val="496F39ED"/>
    <w:rsid w:val="49FF41D3"/>
    <w:rsid w:val="4BE068DB"/>
    <w:rsid w:val="4BF6002B"/>
    <w:rsid w:val="4BFFC6BE"/>
    <w:rsid w:val="4C1557DD"/>
    <w:rsid w:val="4ECE2238"/>
    <w:rsid w:val="51DB4B86"/>
    <w:rsid w:val="51F64DB0"/>
    <w:rsid w:val="55333C3E"/>
    <w:rsid w:val="583152CE"/>
    <w:rsid w:val="5DF71FE3"/>
    <w:rsid w:val="5E85359D"/>
    <w:rsid w:val="5F67802D"/>
    <w:rsid w:val="5F7DC4F2"/>
    <w:rsid w:val="5FB36814"/>
    <w:rsid w:val="5FBB8E56"/>
    <w:rsid w:val="5FFB5535"/>
    <w:rsid w:val="604D6187"/>
    <w:rsid w:val="60CC2038"/>
    <w:rsid w:val="64CA39A1"/>
    <w:rsid w:val="66894285"/>
    <w:rsid w:val="6784366C"/>
    <w:rsid w:val="69630ADE"/>
    <w:rsid w:val="69BD5F13"/>
    <w:rsid w:val="69FB0B4B"/>
    <w:rsid w:val="6A464C09"/>
    <w:rsid w:val="6BFFE1FB"/>
    <w:rsid w:val="6C4A05C8"/>
    <w:rsid w:val="6D3B1A89"/>
    <w:rsid w:val="6DB7D8A3"/>
    <w:rsid w:val="6EC78701"/>
    <w:rsid w:val="6EE36ECA"/>
    <w:rsid w:val="6F7A5481"/>
    <w:rsid w:val="6FFE07A9"/>
    <w:rsid w:val="71BF4EC2"/>
    <w:rsid w:val="72734D90"/>
    <w:rsid w:val="73E75B71"/>
    <w:rsid w:val="7412278C"/>
    <w:rsid w:val="7496678D"/>
    <w:rsid w:val="75DDCDA9"/>
    <w:rsid w:val="75FF44B1"/>
    <w:rsid w:val="77670518"/>
    <w:rsid w:val="777FA627"/>
    <w:rsid w:val="77DF1B5F"/>
    <w:rsid w:val="77EF2D9D"/>
    <w:rsid w:val="783562B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5"/>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2"/>
    <w:qFormat/>
    <w:uiPriority w:val="9"/>
    <w:rPr>
      <w:rFonts w:ascii="Times New Roman" w:hAnsi="Times New Roman"/>
      <w:b/>
      <w:bCs/>
      <w:kern w:val="44"/>
      <w:sz w:val="44"/>
      <w:szCs w:val="44"/>
    </w:rPr>
  </w:style>
  <w:style w:type="character" w:customStyle="1" w:styleId="28">
    <w:name w:val="标题 2 Char"/>
    <w:basedOn w:val="15"/>
    <w:link w:val="3"/>
    <w:qFormat/>
    <w:uiPriority w:val="9"/>
    <w:rPr>
      <w:rFonts w:asciiTheme="majorHAnsi" w:hAnsiTheme="majorHAnsi" w:eastAsiaTheme="majorEastAsia" w:cstheme="majorBidi"/>
      <w:b/>
      <w:bCs/>
      <w:kern w:val="2"/>
      <w:sz w:val="32"/>
      <w:szCs w:val="32"/>
    </w:rPr>
  </w:style>
  <w:style w:type="paragraph" w:customStyle="1" w:styleId="2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4"/>
    <w:qFormat/>
    <w:uiPriority w:val="9"/>
    <w:rPr>
      <w:rFonts w:ascii="Times New Roman" w:hAnsi="Times New Roman"/>
      <w:b/>
      <w:bCs/>
      <w:kern w:val="2"/>
      <w:sz w:val="32"/>
      <w:szCs w:val="32"/>
    </w:rPr>
  </w:style>
  <w:style w:type="paragraph" w:customStyle="1" w:styleId="32">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Sheet1!$A$2:$A$3</c15:sqref>
                  </c15:fullRef>
                </c:ext>
              </c:extLst>
              <c:f>Sheet1!$A$2:$A$3</c:f>
              <c:strCache>
                <c:ptCount val="2"/>
                <c:pt idx="0">
                  <c:v>2022年</c:v>
                </c:pt>
                <c:pt idx="1">
                  <c:v>2023年</c:v>
                </c:pt>
              </c:strCache>
            </c:strRef>
          </c:cat>
          <c:val>
            <c:numRef>
              <c:extLst>
                <c:ext xmlns:c15="http://schemas.microsoft.com/office/drawing/2012/chart" uri="{02D57815-91ED-43cb-92C2-25804820EDAC}">
                  <c15:fullRef>
                    <c15:sqref>Sheet1!$B$2:$B$3</c15:sqref>
                  </c15:fullRef>
                </c:ext>
              </c:extLst>
              <c:f>Sheet1!$B$2:$B$3</c:f>
              <c:numCache>
                <c:formatCode>General</c:formatCode>
                <c:ptCount val="2"/>
                <c:pt idx="0">
                  <c:v>406.42</c:v>
                </c:pt>
                <c:pt idx="1">
                  <c:v>415.42</c:v>
                </c:pt>
              </c:numCache>
            </c:numRef>
          </c:val>
        </c:ser>
        <c:dLbls>
          <c:showLegendKey val="0"/>
          <c:showVal val="1"/>
          <c:showCatName val="0"/>
          <c:showSerName val="0"/>
          <c:showPercent val="0"/>
          <c:showBubbleSize val="0"/>
        </c:dLbls>
        <c:gapWidth val="216"/>
        <c:overlap val="-32"/>
        <c:axId val="128773120"/>
        <c:axId val="133118208"/>
        <c:extLst>
          <c:ext xmlns:c15="http://schemas.microsoft.com/office/drawing/2012/chart" uri="{02D57815-91ED-43cb-92C2-25804820EDAC}">
            <c15:filteredBarSeries>
              <c15:ser>
                <c:idx val="1"/>
                <c:order val="1"/>
                <c:tx>
                  <c:strRef>
                    <c:extLst>
                      <c:ext uri="{02D57815-91ED-43cb-92C2-25804820EDAC}">
                        <c15:formulaRef>
                          <c15:sqref>Sheet1!#REF!</c15:sqref>
                        </c15:formulaRef>
                      </c:ext>
                    </c:extLst>
                    <c:strCache>
                      <c:ptCount val="1"/>
                      <c:pt idx="0">
                        <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Sheet1!$A$2:$A$3</c15:sqref>
                        </c15:fullRef>
                        <c15:formulaRef>
                          <c15:sqref>Sheet1!$A$2:$A$3</c15:sqref>
                        </c15:formulaRef>
                      </c:ext>
                    </c:extLst>
                    <c:strCache>
                      <c:ptCount val="2"/>
                      <c:pt idx="0">
                        <c:v>2022年</c:v>
                      </c:pt>
                      <c:pt idx="1">
                        <c:v>2023年</c:v>
                      </c:pt>
                    </c:strCache>
                  </c:strRef>
                </c:cat>
              </c15:ser>
            </c15:filteredBarSeries>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Sheet1!$A$2:$A$3</c15:sqref>
                        </c15:fullRef>
                        <c15:formulaRef>
                          <c15:sqref>Sheet1!$A$2:$A$3</c15:sqref>
                        </c15:formulaRef>
                      </c:ext>
                    </c:extLst>
                    <c:strCache>
                      <c:ptCount val="2"/>
                      <c:pt idx="0">
                        <c:v>2022年</c:v>
                      </c:pt>
                      <c:pt idx="1">
                        <c:v>2023年</c:v>
                      </c:pt>
                    </c:strCache>
                  </c:strRef>
                </c:cat>
              </c15:ser>
            </c15:filteredBarSeries>
          </c:ext>
        </c:extLst>
      </c:barChart>
      <c:catAx>
        <c:axId val="12877312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3118208"/>
        <c:crosses val="autoZero"/>
        <c:auto val="1"/>
        <c:lblAlgn val="ctr"/>
        <c:lblOffset val="100"/>
        <c:noMultiLvlLbl val="0"/>
      </c:catAx>
      <c:valAx>
        <c:axId val="133118208"/>
        <c:scaling>
          <c:orientation val="minMax"/>
        </c:scaling>
        <c:delete val="0"/>
        <c:axPos val="l"/>
        <c:majorGridlines>
          <c:spPr>
            <a:ln w="9525" cap="flat" cmpd="sng" algn="ctr">
              <a:solidFill>
                <a:schemeClr val="lt1">
                  <a:lumMod val="90200"/>
                </a:schemeClr>
              </a:solidFill>
              <a:prstDash val="solid"/>
              <a:round/>
            </a:ln>
            <a:effectLst/>
          </c:spPr>
        </c:majorGridlines>
        <c:title>
          <c:layout/>
          <c:overlay val="0"/>
          <c:spPr>
            <a:noFill/>
            <a:ln>
              <a:noFill/>
            </a:ln>
            <a:effectLst/>
          </c:spPr>
          <c:txPr>
            <a:bodyPr rot="-5400000" spcFirstLastPara="0"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title>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8773120"/>
        <c:crosses val="autoZero"/>
        <c:crossBetween val="between"/>
      </c:valAx>
      <c:dTable>
        <c:showHorzBorder val="1"/>
        <c:showVertBorder val="1"/>
        <c:showOutline val="1"/>
        <c:showKeys val="1"/>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extLst>
      <c:ext uri="{0b15fc19-7d7d-44ad-8c2d-2c3a37ce22c3}">
        <chartProps xmlns="https://web.wps.cn/et/2018/main" chartId="{6aa9b06b-efcd-4582-b6ff-8a1ee32d08fd}"/>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"收入决算"</c:f>
              <c:strCache>
                <c:ptCount val="1"/>
                <c:pt idx="0">
                  <c:v>收入决算</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一般公共预算财政拨款收入</c:v>
                </c:pt>
                <c:pt idx="1">
                  <c:v>事业收入</c:v>
                </c:pt>
                <c:pt idx="2">
                  <c:v>其他收入</c:v>
                </c:pt>
              </c:strCache>
            </c:strRef>
          </c:cat>
          <c:val>
            <c:numRef>
              <c:f>Sheet1!$B$2:$B$4</c:f>
              <c:numCache>
                <c:formatCode>General</c:formatCode>
                <c:ptCount val="3"/>
                <c:pt idx="0">
                  <c:v>399.19</c:v>
                </c:pt>
                <c:pt idx="1">
                  <c:v>15.91</c:v>
                </c:pt>
                <c:pt idx="2">
                  <c:v>0.32</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df03f885-8edd-443c-bfdc-2ee9e9f208a9}"/>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"2023年总支出"</c:f>
              <c:strCache>
                <c:ptCount val="1"/>
                <c:pt idx="0">
                  <c:v>2023年总支出</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elete val="1"/>
          </c:dLbls>
          <c:cat>
            <c:strRef>
              <c:f>Sheet1!$A$4:$A$5</c:f>
              <c:strCache>
                <c:ptCount val="2"/>
                <c:pt idx="0">
                  <c:v>基本支出</c:v>
                </c:pt>
                <c:pt idx="1">
                  <c:v>项目支出</c:v>
                </c:pt>
              </c:strCache>
            </c:strRef>
          </c:cat>
          <c:val>
            <c:numRef>
              <c:f>Sheet1!$B$4:$B$5</c:f>
              <c:numCache>
                <c:formatCode>General</c:formatCode>
                <c:ptCount val="2"/>
                <c:pt idx="0">
                  <c:v>207.05</c:v>
                </c:pt>
                <c:pt idx="1">
                  <c:v>137.88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82b9816a-5c21-4d6f-abb7-85605e2b6cf7}"/>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"2023年"</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财政拨款收、支总计</c:v>
                </c:pt>
              </c:strCache>
            </c:strRef>
          </c:cat>
          <c:val>
            <c:numRef>
              <c:f>Sheet1!$B$2</c:f>
              <c:numCache>
                <c:formatCode>General</c:formatCode>
                <c:ptCount val="1"/>
                <c:pt idx="0">
                  <c:v>406.42</c:v>
                </c:pt>
              </c:numCache>
            </c:numRef>
          </c:val>
        </c:ser>
        <c:ser>
          <c:idx val="1"/>
          <c:order val="1"/>
          <c:tx>
            <c:strRef>
              <c:f>"2022年"</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财政拨款收、支总计</c:v>
                </c:pt>
              </c:strCache>
            </c:strRef>
          </c:cat>
          <c:val>
            <c:numRef>
              <c:f>Sheet1!$C$2</c:f>
              <c:numCache>
                <c:formatCode>General</c:formatCode>
                <c:ptCount val="1"/>
                <c:pt idx="0">
                  <c:v>399.19</c:v>
                </c:pt>
              </c:numCache>
            </c:numRef>
          </c:val>
        </c:ser>
        <c:dLbls>
          <c:showLegendKey val="0"/>
          <c:showVal val="1"/>
          <c:showCatName val="0"/>
          <c:showSerName val="0"/>
          <c:showPercent val="0"/>
          <c:showBubbleSize val="0"/>
        </c:dLbls>
        <c:gapWidth val="260"/>
        <c:overlap val="-32"/>
        <c:axId val="209352960"/>
        <c:axId val="209752064"/>
        <c:extLst>
          <c:ext xmlns:c15="http://schemas.microsoft.com/office/drawing/2012/chart" uri="{02D57815-91ED-43cb-92C2-25804820EDAC}">
            <c15:filteredBarSeries>
              <c15:ser>
                <c:idx val="2"/>
                <c:order val="2"/>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
                        </c15:fullRef>
                        <c15:formulaRef>
                          <c15:sqref>Sheet1!$A$2</c15:sqref>
                        </c15:formulaRef>
                      </c:ext>
                    </c:extLst>
                    <c:strCache>
                      <c:ptCount val="1"/>
                      <c:pt idx="0">
                        <c:v>财政拨款收、支总计</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20935296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9752064"/>
        <c:crosses val="autoZero"/>
        <c:auto val="1"/>
        <c:lblAlgn val="ctr"/>
        <c:lblOffset val="100"/>
        <c:noMultiLvlLbl val="0"/>
      </c:catAx>
      <c:valAx>
        <c:axId val="209752064"/>
        <c:scaling>
          <c:orientation val="minMax"/>
        </c:scaling>
        <c:delete val="1"/>
        <c:axPos val="l"/>
        <c:numFmt formatCode="General" sourceLinked="1"/>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9352960"/>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6f0a732-2434-4bb9-8f65-d07767162f30}"/>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"2022年"</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c15:sqref>
                  </c15:fullRef>
                </c:ext>
              </c:extLst>
              <c:f>Sheet1!$A$2</c:f>
              <c:strCache>
                <c:ptCount val="1"/>
                <c:pt idx="0">
                  <c:v>一般公共预算财政拨付支出</c:v>
                </c:pt>
              </c:strCache>
            </c:strRef>
          </c:cat>
          <c:val>
            <c:numRef>
              <c:extLst>
                <c:ext xmlns:c15="http://schemas.microsoft.com/office/drawing/2012/chart" uri="{02D57815-91ED-43cb-92C2-25804820EDAC}">
                  <c15:fullRef>
                    <c15:sqref>Sheet1!$B$2</c15:sqref>
                  </c15:fullRef>
                </c:ext>
              </c:extLst>
              <c:f>Sheet1!$B$2</c:f>
              <c:numCache>
                <c:formatCode>General</c:formatCode>
                <c:ptCount val="1"/>
                <c:pt idx="0">
                  <c:v>354.75</c:v>
                </c:pt>
              </c:numCache>
            </c:numRef>
          </c:val>
        </c:ser>
        <c:ser>
          <c:idx val="1"/>
          <c:order val="1"/>
          <c:tx>
            <c:strRef>
              <c:f>"2023年"</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c15:sqref>
                  </c15:fullRef>
                </c:ext>
              </c:extLst>
              <c:f>Sheet1!$A$2</c:f>
              <c:strCache>
                <c:ptCount val="1"/>
                <c:pt idx="0">
                  <c:v>一般公共预算财政拨付支出</c:v>
                </c:pt>
              </c:strCache>
            </c:strRef>
          </c:cat>
          <c:val>
            <c:numRef>
              <c:extLst>
                <c:ext xmlns:c15="http://schemas.microsoft.com/office/drawing/2012/chart" uri="{02D57815-91ED-43cb-92C2-25804820EDAC}">
                  <c15:fullRef>
                    <c15:sqref>Sheet1!$C$2</c15:sqref>
                  </c15:fullRef>
                </c:ext>
              </c:extLst>
              <c:f>Sheet1!$C$2</c:f>
              <c:numCache>
                <c:formatCode>General</c:formatCode>
                <c:ptCount val="1"/>
                <c:pt idx="0">
                  <c:v>399.19</c:v>
                </c:pt>
              </c:numCache>
            </c:numRef>
          </c:val>
        </c:ser>
        <c:dLbls>
          <c:showLegendKey val="0"/>
          <c:showVal val="1"/>
          <c:showCatName val="0"/>
          <c:showSerName val="0"/>
          <c:showPercent val="0"/>
          <c:showBubbleSize val="0"/>
        </c:dLbls>
        <c:gapWidth val="260"/>
        <c:overlap val="-32"/>
        <c:axId val="224492544"/>
        <c:axId val="65778432"/>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Sheet1!$A$2</c15:sqref>
                        </c15:fullRef>
                        <c15:formulaRef>
                          <c15:sqref>Sheet1!$A$2</c15:sqref>
                        </c15:formulaRef>
                      </c:ext>
                    </c:extLst>
                    <c:strCache>
                      <c:ptCount val="1"/>
                      <c:pt idx="0">
                        <c:v>一般公共预算财政拨付支出</c:v>
                      </c:pt>
                    </c:strCache>
                  </c:strRef>
                </c:cat>
              </c15:ser>
            </c15:filteredBarSeries>
          </c:ext>
        </c:extLst>
      </c:barChart>
      <c:catAx>
        <c:axId val="22449254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5778432"/>
        <c:crosses val="autoZero"/>
        <c:auto val="1"/>
        <c:lblAlgn val="ctr"/>
        <c:lblOffset val="100"/>
        <c:noMultiLvlLbl val="0"/>
      </c:catAx>
      <c:valAx>
        <c:axId val="65778432"/>
        <c:scaling>
          <c:orientation val="minMax"/>
        </c:scaling>
        <c:delete val="1"/>
        <c:axPos val="l"/>
        <c:numFmt formatCode="General" sourceLinked="1"/>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4492544"/>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e19b56d-24f4-4e23-acb3-0cad34786233}"/>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"一般公共预算财政拨款支出决算"</c:f>
              <c:strCache>
                <c:ptCount val="1"/>
                <c:pt idx="0">
                  <c:v>一般公共预算财政拨款支出决算</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社会保障与就业</c:v>
                </c:pt>
                <c:pt idx="1">
                  <c:v>卫生健康</c:v>
                </c:pt>
                <c:pt idx="2">
                  <c:v>住房保障</c:v>
                </c:pt>
              </c:strCache>
            </c:strRef>
          </c:cat>
          <c:val>
            <c:numRef>
              <c:extLst>
                <c:ext xmlns:c15="http://schemas.microsoft.com/office/drawing/2012/chart" uri="{02D57815-91ED-43cb-92C2-25804820EDAC}">
                  <c15:fullRef>
                    <c15:sqref>Sheet1!$B$2:$B$5</c15:sqref>
                  </c15:fullRef>
                </c:ext>
              </c:extLst>
              <c:f>Sheet1!$B$2:$B$4</c:f>
              <c:numCache>
                <c:formatCode>General</c:formatCode>
                <c:ptCount val="3"/>
                <c:pt idx="0">
                  <c:v>29.2</c:v>
                </c:pt>
                <c:pt idx="1">
                  <c:v>209.13</c:v>
                </c:pt>
                <c:pt idx="2">
                  <c:v>22.8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5b4f291a-8674-41bd-a756-36cc3d3cb0ca}"/>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19</Pages>
  <Words>1085</Words>
  <Characters>6190</Characters>
  <Lines>51</Lines>
  <Paragraphs>14</Paragraphs>
  <TotalTime>9</TotalTime>
  <ScaleCrop>false</ScaleCrop>
  <LinksUpToDate>false</LinksUpToDate>
  <CharactersWithSpaces>7261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坏到深处自然萌</cp:lastModifiedBy>
  <cp:lastPrinted>2023-08-03T02:35:00Z</cp:lastPrinted>
  <dcterms:modified xsi:type="dcterms:W3CDTF">2024-10-27T05:44:24Z</dcterms:modified>
  <dc:title>四川省***</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D097C3C37B3742B78D897F53FE358F0A_13</vt:lpwstr>
  </property>
</Properties>
</file>