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1B23A6">
      <w:pPr>
        <w:spacing w:line="600" w:lineRule="exact"/>
        <w:jc w:val="left"/>
        <w:outlineLvl w:val="0"/>
        <w:rPr>
          <w:rFonts w:ascii="方正小标宋简体" w:hAnsi="宋体" w:eastAsia="方正小标宋简体"/>
          <w:szCs w:val="21"/>
        </w:rPr>
      </w:pPr>
      <w:bookmarkStart w:id="0" w:name="_Toc15306267"/>
    </w:p>
    <w:p w14:paraId="1682B8B9">
      <w:pPr>
        <w:pStyle w:val="2"/>
        <w:spacing w:before="93"/>
      </w:pPr>
    </w:p>
    <w:p w14:paraId="206F1A45">
      <w:pPr>
        <w:spacing w:line="600" w:lineRule="exact"/>
        <w:jc w:val="center"/>
        <w:outlineLvl w:val="0"/>
        <w:rPr>
          <w:rFonts w:ascii="方正小标宋简体" w:hAnsi="宋体" w:eastAsia="方正小标宋简体"/>
          <w:sz w:val="72"/>
          <w:szCs w:val="72"/>
        </w:rPr>
      </w:pPr>
    </w:p>
    <w:p w14:paraId="6AFA7B05">
      <w:pPr>
        <w:spacing w:line="600" w:lineRule="exact"/>
        <w:jc w:val="center"/>
        <w:outlineLvl w:val="0"/>
        <w:rPr>
          <w:rFonts w:ascii="方正小标宋简体" w:hAnsi="宋体" w:eastAsia="方正小标宋简体"/>
          <w:sz w:val="44"/>
          <w:szCs w:val="44"/>
        </w:rPr>
      </w:pPr>
    </w:p>
    <w:p w14:paraId="2DFE94B0">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1" w:name="_Toc15396597"/>
      <w:bookmarkStart w:id="2" w:name="_Toc15378441"/>
      <w:bookmarkStart w:id="3" w:name="_Toc15377425"/>
      <w:bookmarkStart w:id="4" w:name="_Toc15377193"/>
      <w:bookmarkStart w:id="5" w:name="_Toc1539647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p w14:paraId="36248B8D">
      <w:pPr>
        <w:adjustRightInd w:val="0"/>
        <w:snapToGrid w:val="0"/>
        <w:spacing w:line="360" w:lineRule="auto"/>
        <w:jc w:val="center"/>
        <w:outlineLvl w:val="0"/>
        <w:rPr>
          <w:rFonts w:eastAsia="方正小标宋简体"/>
          <w:sz w:val="44"/>
          <w:szCs w:val="44"/>
        </w:rPr>
      </w:pPr>
      <w:bookmarkStart w:id="6" w:name="_Toc15396598"/>
      <w:bookmarkStart w:id="7" w:name="_Toc15396476"/>
      <w:bookmarkStart w:id="8" w:name="_Toc15377426"/>
      <w:bookmarkStart w:id="9" w:name="_Toc15377194"/>
      <w:bookmarkStart w:id="10" w:name="_Toc15378442"/>
      <w:r>
        <w:rPr>
          <w:rFonts w:eastAsia="方正小标宋简体"/>
          <w:sz w:val="44"/>
          <w:szCs w:val="44"/>
        </w:rPr>
        <w:t>盐边县妇幼保健服务中心</w:t>
      </w:r>
      <w:bookmarkEnd w:id="0"/>
      <w:bookmarkStart w:id="11" w:name="_Toc15306268"/>
    </w:p>
    <w:p w14:paraId="0AAEAF5A">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14:paraId="442B2A35">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14:paraId="335D220B">
      <w:pPr>
        <w:widowControl/>
        <w:jc w:val="center"/>
        <w:rPr>
          <w:rFonts w:ascii="黑体" w:hAnsi="黑体" w:eastAsia="黑体"/>
          <w:sz w:val="48"/>
          <w:szCs w:val="48"/>
        </w:rPr>
      </w:pPr>
      <w:r>
        <w:rPr>
          <w:rFonts w:hint="eastAsia" w:ascii="黑体" w:hAnsi="黑体" w:eastAsia="黑体"/>
          <w:sz w:val="48"/>
          <w:szCs w:val="48"/>
        </w:rPr>
        <w:t>目录</w:t>
      </w:r>
    </w:p>
    <w:p w14:paraId="526DE358">
      <w:pPr>
        <w:widowControl/>
        <w:jc w:val="center"/>
        <w:rPr>
          <w:rFonts w:ascii="黑体" w:hAnsi="黑体" w:eastAsia="黑体" w:cstheme="minorBidi"/>
          <w:sz w:val="28"/>
          <w:szCs w:val="28"/>
        </w:rPr>
      </w:pPr>
    </w:p>
    <w:p w14:paraId="59F5BDB1">
      <w:pPr>
        <w:pStyle w:val="11"/>
        <w:rPr>
          <w:rFonts w:ascii="宋体" w:hAnsi="宋体" w:eastAsia="宋体" w:cs="宋体"/>
          <w:color w:val="FF0000"/>
          <w:sz w:val="24"/>
          <w:szCs w:val="24"/>
        </w:rPr>
      </w:pPr>
      <w:r>
        <w:rPr>
          <w:rFonts w:hint="eastAsia" w:ascii="宋体" w:hAnsi="宋体" w:eastAsia="宋体" w:cs="宋体"/>
          <w:sz w:val="24"/>
          <w:szCs w:val="24"/>
        </w:rPr>
        <w:t>公开时间：</w:t>
      </w:r>
      <w:r>
        <w:rPr>
          <w:rFonts w:hint="eastAsia" w:ascii="宋体" w:hAnsi="宋体" w:eastAsia="宋体" w:cs="宋体"/>
          <w:color w:val="000000" w:themeColor="text1"/>
          <w:sz w:val="24"/>
          <w:szCs w:val="24"/>
          <w:highlight w:val="none"/>
          <w14:textFill>
            <w14:solidFill>
              <w14:schemeClr w14:val="tx1"/>
            </w14:solidFill>
          </w14:textFill>
        </w:rPr>
        <w:t>202</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年10月28日</w:t>
      </w:r>
    </w:p>
    <w:p w14:paraId="6B3F0420">
      <w:pPr>
        <w:rPr>
          <w:rFonts w:ascii="宋体" w:hAnsi="宋体" w:cs="宋体"/>
          <w:sz w:val="24"/>
        </w:rPr>
      </w:pPr>
    </w:p>
    <w:p w14:paraId="687A92E2">
      <w:pPr>
        <w:pStyle w:val="11"/>
        <w:adjustRightInd w:val="0"/>
        <w:snapToGrid w:val="0"/>
        <w:spacing w:before="0" w:line="440" w:lineRule="exact"/>
        <w:jc w:val="left"/>
        <w:rPr>
          <w:rFonts w:ascii="宋体" w:hAnsi="宋体" w:eastAsia="宋体" w:cs="宋体"/>
          <w:sz w:val="24"/>
          <w:szCs w:val="24"/>
        </w:rPr>
      </w:pPr>
      <w:r>
        <w:rPr>
          <w:rFonts w:hint="eastAsia" w:ascii="宋体" w:hAnsi="宋体" w:eastAsia="宋体" w:cs="宋体"/>
          <w:sz w:val="24"/>
          <w:szCs w:val="24"/>
        </w:rPr>
        <w:t>第一部分 单位概况</w:t>
      </w:r>
      <w:r>
        <w:rPr>
          <w:rFonts w:hint="eastAsia" w:ascii="宋体" w:hAnsi="宋体" w:eastAsia="宋体" w:cs="宋体"/>
          <w:sz w:val="24"/>
          <w:szCs w:val="24"/>
        </w:rPr>
        <w:ptab w:relativeTo="margin" w:alignment="right" w:leader="dot"/>
      </w:r>
      <w:r>
        <w:rPr>
          <w:rFonts w:hint="eastAsia" w:ascii="宋体" w:hAnsi="宋体" w:eastAsia="宋体" w:cs="宋体"/>
          <w:sz w:val="24"/>
          <w:szCs w:val="24"/>
        </w:rPr>
        <w:t>1</w:t>
      </w:r>
    </w:p>
    <w:p w14:paraId="212E82E3">
      <w:pPr>
        <w:pStyle w:val="12"/>
        <w:adjustRightInd w:val="0"/>
        <w:snapToGrid w:val="0"/>
        <w:spacing w:line="440" w:lineRule="exact"/>
        <w:jc w:val="left"/>
        <w:rPr>
          <w:rFonts w:ascii="宋体" w:hAnsi="宋体" w:cs="宋体"/>
          <w:sz w:val="24"/>
        </w:rPr>
      </w:pPr>
      <w:r>
        <w:rPr>
          <w:rFonts w:hint="eastAsia" w:ascii="宋体" w:hAnsi="宋体" w:cs="宋体"/>
          <w:sz w:val="24"/>
        </w:rPr>
        <w:t>一、主要职责</w:t>
      </w:r>
      <w:r>
        <w:rPr>
          <w:rFonts w:hint="eastAsia" w:ascii="宋体" w:hAnsi="宋体" w:cs="宋体"/>
          <w:sz w:val="24"/>
        </w:rPr>
        <w:ptab w:relativeTo="margin" w:alignment="right" w:leader="dot"/>
      </w:r>
      <w:r>
        <w:rPr>
          <w:rFonts w:hint="eastAsia" w:ascii="宋体" w:hAnsi="宋体" w:cs="宋体"/>
          <w:sz w:val="24"/>
        </w:rPr>
        <w:t>1</w:t>
      </w:r>
    </w:p>
    <w:p w14:paraId="75495A72">
      <w:pPr>
        <w:pStyle w:val="12"/>
        <w:adjustRightInd w:val="0"/>
        <w:snapToGrid w:val="0"/>
        <w:spacing w:line="440" w:lineRule="exact"/>
        <w:jc w:val="left"/>
        <w:rPr>
          <w:rFonts w:ascii="宋体" w:hAnsi="宋体" w:cs="宋体"/>
          <w:sz w:val="24"/>
        </w:rPr>
      </w:pPr>
      <w:r>
        <w:rPr>
          <w:rFonts w:hint="eastAsia" w:ascii="宋体" w:hAnsi="宋体" w:cs="宋体"/>
          <w:sz w:val="24"/>
        </w:rPr>
        <w:t>二、机构设置</w:t>
      </w:r>
      <w:r>
        <w:rPr>
          <w:rFonts w:hint="eastAsia" w:ascii="宋体" w:hAnsi="宋体" w:cs="宋体"/>
          <w:sz w:val="24"/>
        </w:rPr>
        <w:tab/>
      </w:r>
      <w:r>
        <w:rPr>
          <w:rFonts w:hint="eastAsia" w:ascii="宋体" w:hAnsi="宋体" w:cs="宋体"/>
          <w:sz w:val="24"/>
        </w:rPr>
        <w:t>1</w:t>
      </w:r>
    </w:p>
    <w:p w14:paraId="4A11B2FE">
      <w:pPr>
        <w:pStyle w:val="11"/>
        <w:adjustRightInd w:val="0"/>
        <w:snapToGrid w:val="0"/>
        <w:spacing w:before="0" w:line="440" w:lineRule="exact"/>
        <w:jc w:val="left"/>
        <w:rPr>
          <w:rFonts w:ascii="宋体" w:hAnsi="宋体" w:eastAsia="宋体" w:cs="宋体"/>
          <w:sz w:val="24"/>
          <w:szCs w:val="24"/>
        </w:rPr>
      </w:pPr>
      <w:r>
        <w:rPr>
          <w:rFonts w:hint="eastAsia" w:ascii="宋体" w:hAnsi="宋体" w:eastAsia="宋体" w:cs="宋体"/>
          <w:sz w:val="24"/>
          <w:szCs w:val="24"/>
        </w:rPr>
        <w:t>第二部分 2023年度单位决算情况说明</w:t>
      </w:r>
      <w:r>
        <w:rPr>
          <w:rFonts w:hint="eastAsia" w:ascii="宋体" w:hAnsi="宋体" w:eastAsia="宋体" w:cs="宋体"/>
          <w:sz w:val="24"/>
          <w:szCs w:val="24"/>
        </w:rPr>
        <w:tab/>
      </w:r>
      <w:r>
        <w:rPr>
          <w:rFonts w:hint="eastAsia" w:ascii="宋体" w:hAnsi="宋体" w:eastAsia="宋体" w:cs="宋体"/>
          <w:sz w:val="24"/>
          <w:szCs w:val="24"/>
        </w:rPr>
        <w:t>2</w:t>
      </w:r>
    </w:p>
    <w:p w14:paraId="56702C2A">
      <w:pPr>
        <w:pStyle w:val="12"/>
        <w:adjustRightInd w:val="0"/>
        <w:snapToGrid w:val="0"/>
        <w:spacing w:line="440" w:lineRule="exact"/>
        <w:jc w:val="left"/>
        <w:rPr>
          <w:rFonts w:ascii="宋体" w:hAnsi="宋体" w:cs="宋体"/>
          <w:sz w:val="24"/>
        </w:rPr>
      </w:pPr>
      <w:r>
        <w:rPr>
          <w:rFonts w:hint="eastAsia" w:ascii="宋体" w:hAnsi="宋体" w:cs="宋体"/>
          <w:sz w:val="24"/>
        </w:rPr>
        <w:t>一、收入支出决算总体情况说明</w:t>
      </w:r>
      <w:r>
        <w:rPr>
          <w:rFonts w:hint="eastAsia" w:ascii="宋体" w:hAnsi="宋体" w:cs="宋体"/>
          <w:sz w:val="24"/>
        </w:rPr>
        <w:tab/>
      </w:r>
      <w:r>
        <w:rPr>
          <w:rFonts w:hint="eastAsia" w:ascii="宋体" w:hAnsi="宋体" w:cs="宋体"/>
          <w:sz w:val="24"/>
        </w:rPr>
        <w:t>2</w:t>
      </w:r>
    </w:p>
    <w:p w14:paraId="53ED04D6">
      <w:pPr>
        <w:pStyle w:val="12"/>
        <w:adjustRightInd w:val="0"/>
        <w:snapToGrid w:val="0"/>
        <w:spacing w:line="560" w:lineRule="exact"/>
        <w:jc w:val="left"/>
        <w:rPr>
          <w:rFonts w:ascii="宋体" w:hAnsi="宋体" w:cs="宋体"/>
          <w:sz w:val="24"/>
        </w:rPr>
      </w:pPr>
      <w:r>
        <w:rPr>
          <w:rFonts w:hint="eastAsia" w:ascii="宋体" w:hAnsi="宋体" w:cs="宋体"/>
          <w:sz w:val="24"/>
        </w:rPr>
        <w:t>二、收入决算情况说明</w:t>
      </w:r>
      <w:r>
        <w:rPr>
          <w:rFonts w:hint="eastAsia" w:ascii="宋体" w:hAnsi="宋体" w:cs="宋体"/>
          <w:sz w:val="24"/>
        </w:rPr>
        <w:tab/>
      </w:r>
      <w:r>
        <w:rPr>
          <w:rFonts w:hint="eastAsia" w:ascii="宋体" w:hAnsi="宋体" w:cs="宋体"/>
          <w:sz w:val="24"/>
        </w:rPr>
        <w:t>2</w:t>
      </w:r>
    </w:p>
    <w:p w14:paraId="03538DF8">
      <w:pPr>
        <w:pStyle w:val="12"/>
        <w:adjustRightInd w:val="0"/>
        <w:snapToGrid w:val="0"/>
        <w:spacing w:line="560" w:lineRule="exact"/>
        <w:jc w:val="left"/>
        <w:rPr>
          <w:rFonts w:ascii="宋体" w:hAnsi="宋体" w:cs="宋体"/>
          <w:sz w:val="24"/>
        </w:rPr>
      </w:pPr>
      <w:r>
        <w:rPr>
          <w:rFonts w:hint="eastAsia" w:ascii="宋体" w:hAnsi="宋体" w:cs="宋体"/>
          <w:sz w:val="24"/>
        </w:rPr>
        <w:t>三、支出决算情况说明</w:t>
      </w:r>
      <w:r>
        <w:rPr>
          <w:rFonts w:hint="eastAsia" w:ascii="宋体" w:hAnsi="宋体" w:cs="宋体"/>
          <w:sz w:val="24"/>
        </w:rPr>
        <w:tab/>
      </w:r>
      <w:r>
        <w:rPr>
          <w:rFonts w:hint="eastAsia" w:ascii="宋体" w:hAnsi="宋体" w:cs="宋体"/>
          <w:sz w:val="24"/>
        </w:rPr>
        <w:t>3</w:t>
      </w:r>
    </w:p>
    <w:p w14:paraId="2345F501">
      <w:pPr>
        <w:pStyle w:val="12"/>
        <w:adjustRightInd w:val="0"/>
        <w:snapToGrid w:val="0"/>
        <w:spacing w:line="440" w:lineRule="exact"/>
        <w:jc w:val="left"/>
        <w:rPr>
          <w:rFonts w:ascii="宋体" w:hAnsi="宋体" w:cs="宋体"/>
          <w:sz w:val="24"/>
        </w:rPr>
      </w:pPr>
      <w:r>
        <w:rPr>
          <w:rFonts w:hint="eastAsia" w:ascii="宋体" w:hAnsi="宋体" w:cs="宋体"/>
          <w:sz w:val="24"/>
        </w:rPr>
        <w:t>四、财政拨款收入支出决算总体情况说明</w:t>
      </w:r>
      <w:r>
        <w:rPr>
          <w:rFonts w:hint="eastAsia" w:ascii="宋体" w:hAnsi="宋体" w:cs="宋体"/>
          <w:sz w:val="24"/>
        </w:rPr>
        <w:tab/>
      </w:r>
      <w:r>
        <w:rPr>
          <w:rFonts w:hint="eastAsia" w:ascii="宋体" w:hAnsi="宋体" w:cs="宋体"/>
          <w:sz w:val="24"/>
        </w:rPr>
        <w:t>4</w:t>
      </w:r>
    </w:p>
    <w:p w14:paraId="1B20D726">
      <w:pPr>
        <w:pStyle w:val="12"/>
        <w:adjustRightInd w:val="0"/>
        <w:snapToGrid w:val="0"/>
        <w:spacing w:line="440" w:lineRule="exact"/>
        <w:jc w:val="left"/>
        <w:rPr>
          <w:rFonts w:ascii="宋体" w:hAnsi="宋体" w:cs="宋体"/>
          <w:sz w:val="24"/>
        </w:rPr>
      </w:pPr>
      <w:r>
        <w:rPr>
          <w:rFonts w:hint="eastAsia" w:ascii="宋体" w:hAnsi="宋体" w:cs="宋体"/>
          <w:sz w:val="24"/>
        </w:rPr>
        <w:t>五、一般公共预算财政拨款支出决算情况说明</w:t>
      </w:r>
      <w:r>
        <w:rPr>
          <w:rFonts w:hint="eastAsia" w:ascii="宋体" w:hAnsi="宋体" w:cs="宋体"/>
          <w:sz w:val="24"/>
        </w:rPr>
        <w:tab/>
      </w:r>
      <w:r>
        <w:rPr>
          <w:rFonts w:hint="eastAsia" w:ascii="宋体" w:hAnsi="宋体" w:cs="宋体"/>
          <w:sz w:val="24"/>
        </w:rPr>
        <w:t>4</w:t>
      </w:r>
    </w:p>
    <w:p w14:paraId="2B97A709">
      <w:pPr>
        <w:pStyle w:val="12"/>
        <w:adjustRightInd w:val="0"/>
        <w:snapToGrid w:val="0"/>
        <w:spacing w:line="440" w:lineRule="exact"/>
        <w:jc w:val="left"/>
        <w:rPr>
          <w:rFonts w:ascii="宋体" w:hAnsi="宋体" w:cs="宋体"/>
          <w:sz w:val="24"/>
        </w:rPr>
      </w:pPr>
      <w:r>
        <w:rPr>
          <w:rFonts w:hint="eastAsia" w:ascii="宋体" w:hAnsi="宋体" w:cs="宋体"/>
          <w:sz w:val="24"/>
        </w:rPr>
        <w:t>六、一般公共预算财政拨款基本支出决算情况说明</w:t>
      </w:r>
      <w:r>
        <w:rPr>
          <w:rFonts w:hint="eastAsia" w:ascii="宋体" w:hAnsi="宋体" w:cs="宋体"/>
          <w:sz w:val="24"/>
        </w:rPr>
        <w:tab/>
      </w:r>
      <w:r>
        <w:rPr>
          <w:rFonts w:hint="eastAsia" w:ascii="宋体" w:hAnsi="宋体" w:cs="宋体"/>
          <w:sz w:val="24"/>
        </w:rPr>
        <w:t>7</w:t>
      </w:r>
    </w:p>
    <w:p w14:paraId="46896C1A">
      <w:pPr>
        <w:pStyle w:val="12"/>
        <w:adjustRightInd w:val="0"/>
        <w:snapToGrid w:val="0"/>
        <w:spacing w:line="440" w:lineRule="exact"/>
        <w:jc w:val="left"/>
        <w:rPr>
          <w:rFonts w:ascii="宋体" w:hAnsi="宋体" w:cs="宋体"/>
          <w:sz w:val="24"/>
        </w:rPr>
      </w:pPr>
      <w:r>
        <w:rPr>
          <w:rFonts w:hint="eastAsia" w:ascii="宋体" w:hAnsi="宋体" w:cs="宋体"/>
          <w:sz w:val="24"/>
        </w:rPr>
        <w:t>七、财政拨款“三公”经费支出决算情况说明</w:t>
      </w:r>
      <w:r>
        <w:rPr>
          <w:rFonts w:hint="eastAsia" w:ascii="宋体" w:hAnsi="宋体" w:cs="宋体"/>
          <w:sz w:val="24"/>
        </w:rPr>
        <w:tab/>
      </w:r>
      <w:r>
        <w:rPr>
          <w:rFonts w:hint="eastAsia" w:ascii="宋体" w:hAnsi="宋体" w:cs="宋体"/>
          <w:sz w:val="24"/>
        </w:rPr>
        <w:t>7</w:t>
      </w:r>
    </w:p>
    <w:p w14:paraId="7142864C">
      <w:pPr>
        <w:pStyle w:val="12"/>
        <w:adjustRightInd w:val="0"/>
        <w:snapToGrid w:val="0"/>
        <w:spacing w:line="440" w:lineRule="exact"/>
        <w:jc w:val="left"/>
        <w:rPr>
          <w:rFonts w:ascii="宋体" w:hAnsi="宋体" w:cs="宋体"/>
          <w:sz w:val="24"/>
        </w:rPr>
      </w:pPr>
      <w:r>
        <w:rPr>
          <w:rFonts w:hint="eastAsia" w:ascii="宋体" w:hAnsi="宋体" w:cs="宋体"/>
          <w:sz w:val="24"/>
        </w:rPr>
        <w:t>八、政府性基金预算支出决算情况说明</w:t>
      </w:r>
      <w:r>
        <w:rPr>
          <w:rFonts w:hint="eastAsia" w:ascii="宋体" w:hAnsi="宋体" w:cs="宋体"/>
          <w:sz w:val="24"/>
        </w:rPr>
        <w:tab/>
      </w:r>
      <w:r>
        <w:rPr>
          <w:rFonts w:hint="eastAsia" w:ascii="宋体" w:hAnsi="宋体" w:cs="宋体"/>
          <w:sz w:val="24"/>
        </w:rPr>
        <w:t>8</w:t>
      </w:r>
    </w:p>
    <w:p w14:paraId="7D9C8E5E">
      <w:pPr>
        <w:pStyle w:val="12"/>
        <w:adjustRightInd w:val="0"/>
        <w:snapToGrid w:val="0"/>
        <w:spacing w:line="440" w:lineRule="exact"/>
        <w:jc w:val="left"/>
        <w:rPr>
          <w:rFonts w:ascii="宋体" w:hAnsi="宋体" w:cs="宋体"/>
          <w:sz w:val="24"/>
        </w:rPr>
      </w:pPr>
      <w:r>
        <w:rPr>
          <w:rFonts w:hint="eastAsia" w:ascii="宋体" w:hAnsi="宋体" w:cs="宋体"/>
          <w:sz w:val="24"/>
        </w:rPr>
        <w:t>九、国有资本经营预算支出决算情况说明</w:t>
      </w:r>
      <w:r>
        <w:rPr>
          <w:rFonts w:hint="eastAsia" w:ascii="宋体" w:hAnsi="宋体" w:cs="宋体"/>
          <w:sz w:val="24"/>
        </w:rPr>
        <w:tab/>
      </w:r>
      <w:r>
        <w:rPr>
          <w:rFonts w:hint="eastAsia" w:ascii="宋体" w:hAnsi="宋体" w:cs="宋体"/>
          <w:sz w:val="24"/>
        </w:rPr>
        <w:t>9</w:t>
      </w:r>
    </w:p>
    <w:p w14:paraId="5BB5199B">
      <w:pPr>
        <w:pStyle w:val="12"/>
        <w:adjustRightInd w:val="0"/>
        <w:snapToGrid w:val="0"/>
        <w:spacing w:line="440" w:lineRule="exact"/>
        <w:jc w:val="left"/>
        <w:rPr>
          <w:rFonts w:ascii="宋体" w:hAnsi="宋体" w:cs="宋体"/>
          <w:sz w:val="24"/>
        </w:rPr>
      </w:pPr>
      <w:r>
        <w:rPr>
          <w:rFonts w:hint="eastAsia" w:ascii="宋体" w:hAnsi="宋体" w:cs="宋体"/>
          <w:sz w:val="24"/>
        </w:rPr>
        <w:t>十、其他重要事项的情况说明</w:t>
      </w:r>
      <w:r>
        <w:rPr>
          <w:rFonts w:hint="eastAsia" w:ascii="宋体" w:hAnsi="宋体" w:cs="宋体"/>
          <w:sz w:val="24"/>
        </w:rPr>
        <w:tab/>
      </w:r>
      <w:r>
        <w:rPr>
          <w:rFonts w:hint="eastAsia" w:ascii="宋体" w:hAnsi="宋体" w:cs="宋体"/>
          <w:sz w:val="24"/>
        </w:rPr>
        <w:t>9</w:t>
      </w:r>
    </w:p>
    <w:p w14:paraId="29DA7E73">
      <w:pPr>
        <w:pStyle w:val="11"/>
        <w:adjustRightInd w:val="0"/>
        <w:snapToGrid w:val="0"/>
        <w:spacing w:before="0" w:line="440" w:lineRule="exact"/>
        <w:jc w:val="left"/>
        <w:rPr>
          <w:rFonts w:ascii="宋体" w:hAnsi="宋体" w:eastAsia="宋体" w:cs="宋体"/>
          <w:sz w:val="24"/>
          <w:szCs w:val="24"/>
        </w:rPr>
      </w:pPr>
      <w:r>
        <w:rPr>
          <w:rFonts w:hint="eastAsia" w:ascii="宋体" w:hAnsi="宋体" w:eastAsia="宋体" w:cs="宋体"/>
          <w:sz w:val="24"/>
          <w:szCs w:val="24"/>
        </w:rPr>
        <w:t>第三部分 名词解释</w:t>
      </w:r>
      <w:r>
        <w:rPr>
          <w:rFonts w:hint="eastAsia" w:ascii="宋体" w:hAnsi="宋体" w:eastAsia="宋体" w:cs="宋体"/>
          <w:sz w:val="24"/>
          <w:szCs w:val="24"/>
        </w:rPr>
        <w:tab/>
      </w:r>
      <w:r>
        <w:rPr>
          <w:rFonts w:hint="eastAsia" w:ascii="宋体" w:hAnsi="宋体" w:eastAsia="宋体" w:cs="宋体"/>
          <w:sz w:val="24"/>
          <w:szCs w:val="24"/>
        </w:rPr>
        <w:t>11</w:t>
      </w:r>
    </w:p>
    <w:p w14:paraId="6EA9563C">
      <w:pPr>
        <w:pStyle w:val="11"/>
        <w:adjustRightInd w:val="0"/>
        <w:snapToGrid w:val="0"/>
        <w:spacing w:before="0" w:line="440" w:lineRule="exact"/>
        <w:jc w:val="left"/>
        <w:rPr>
          <w:rFonts w:ascii="宋体" w:hAnsi="宋体" w:eastAsia="宋体" w:cs="宋体"/>
          <w:sz w:val="24"/>
          <w:szCs w:val="24"/>
        </w:rPr>
      </w:pPr>
      <w:r>
        <w:rPr>
          <w:rFonts w:hint="eastAsia" w:ascii="宋体" w:hAnsi="宋体" w:eastAsia="宋体" w:cs="宋体"/>
          <w:sz w:val="24"/>
          <w:szCs w:val="24"/>
        </w:rPr>
        <w:t>第四部分 附件</w:t>
      </w:r>
      <w:r>
        <w:rPr>
          <w:rFonts w:hint="eastAsia" w:ascii="宋体" w:hAnsi="宋体" w:eastAsia="宋体" w:cs="宋体"/>
          <w:sz w:val="24"/>
          <w:szCs w:val="24"/>
        </w:rPr>
        <w:tab/>
      </w:r>
      <w:r>
        <w:rPr>
          <w:rFonts w:hint="eastAsia" w:ascii="宋体" w:hAnsi="宋体" w:eastAsia="宋体" w:cs="宋体"/>
          <w:sz w:val="24"/>
          <w:szCs w:val="24"/>
        </w:rPr>
        <w:t>14</w:t>
      </w:r>
    </w:p>
    <w:p w14:paraId="5DCADD0F">
      <w:pPr>
        <w:pStyle w:val="11"/>
        <w:adjustRightInd w:val="0"/>
        <w:snapToGrid w:val="0"/>
        <w:spacing w:before="0" w:line="440" w:lineRule="exact"/>
        <w:jc w:val="left"/>
        <w:rPr>
          <w:rFonts w:ascii="宋体" w:hAnsi="宋体" w:eastAsia="宋体" w:cs="宋体"/>
          <w:sz w:val="24"/>
          <w:szCs w:val="24"/>
        </w:rPr>
      </w:pPr>
      <w:r>
        <w:rPr>
          <w:rFonts w:hint="eastAsia" w:ascii="宋体" w:hAnsi="宋体" w:eastAsia="宋体" w:cs="宋体"/>
          <w:sz w:val="24"/>
          <w:szCs w:val="24"/>
        </w:rPr>
        <w:t>第五部分 附表</w:t>
      </w:r>
      <w:r>
        <w:rPr>
          <w:rFonts w:hint="eastAsia" w:ascii="宋体" w:hAnsi="宋体" w:eastAsia="宋体" w:cs="宋体"/>
          <w:sz w:val="24"/>
          <w:szCs w:val="24"/>
        </w:rPr>
        <w:tab/>
      </w:r>
      <w:r>
        <w:rPr>
          <w:rFonts w:hint="eastAsia" w:ascii="宋体" w:hAnsi="宋体" w:eastAsia="宋体" w:cs="宋体"/>
          <w:sz w:val="24"/>
          <w:szCs w:val="24"/>
        </w:rPr>
        <w:t>15</w:t>
      </w:r>
    </w:p>
    <w:p w14:paraId="67EC83D7">
      <w:pPr>
        <w:pStyle w:val="12"/>
        <w:adjustRightInd w:val="0"/>
        <w:snapToGrid w:val="0"/>
        <w:spacing w:line="440" w:lineRule="exact"/>
        <w:jc w:val="left"/>
        <w:rPr>
          <w:rFonts w:ascii="宋体" w:hAnsi="宋体" w:cs="宋体"/>
          <w:sz w:val="24"/>
        </w:rPr>
      </w:pPr>
      <w:r>
        <w:rPr>
          <w:rFonts w:hint="eastAsia" w:ascii="宋体" w:hAnsi="宋体" w:cs="宋体"/>
          <w:sz w:val="24"/>
        </w:rPr>
        <w:t>一、收入支出决算总表</w:t>
      </w:r>
      <w:r>
        <w:rPr>
          <w:rFonts w:hint="eastAsia" w:ascii="宋体" w:hAnsi="宋体" w:cs="宋体"/>
          <w:sz w:val="24"/>
        </w:rPr>
        <w:tab/>
      </w:r>
      <w:r>
        <w:rPr>
          <w:rFonts w:hint="eastAsia" w:ascii="宋体" w:hAnsi="宋体" w:cs="宋体"/>
          <w:sz w:val="24"/>
        </w:rPr>
        <w:t>15</w:t>
      </w:r>
    </w:p>
    <w:p w14:paraId="04EED78C">
      <w:pPr>
        <w:pStyle w:val="12"/>
        <w:adjustRightInd w:val="0"/>
        <w:snapToGrid w:val="0"/>
        <w:spacing w:line="440" w:lineRule="exact"/>
        <w:jc w:val="left"/>
        <w:rPr>
          <w:rFonts w:ascii="宋体" w:hAnsi="宋体" w:cs="宋体"/>
          <w:sz w:val="24"/>
        </w:rPr>
      </w:pPr>
      <w:r>
        <w:rPr>
          <w:rFonts w:hint="eastAsia" w:ascii="宋体" w:hAnsi="宋体" w:cs="宋体"/>
          <w:sz w:val="24"/>
        </w:rPr>
        <w:t>二、收入决算表</w:t>
      </w:r>
      <w:r>
        <w:rPr>
          <w:rFonts w:hint="eastAsia" w:ascii="宋体" w:hAnsi="宋体" w:cs="宋体"/>
          <w:sz w:val="24"/>
        </w:rPr>
        <w:tab/>
      </w:r>
      <w:r>
        <w:rPr>
          <w:rFonts w:hint="eastAsia" w:ascii="宋体" w:hAnsi="宋体" w:cs="宋体"/>
          <w:sz w:val="24"/>
        </w:rPr>
        <w:t>15</w:t>
      </w:r>
    </w:p>
    <w:p w14:paraId="2CB04092">
      <w:pPr>
        <w:pStyle w:val="12"/>
        <w:adjustRightInd w:val="0"/>
        <w:snapToGrid w:val="0"/>
        <w:spacing w:line="440" w:lineRule="exact"/>
        <w:jc w:val="left"/>
        <w:rPr>
          <w:rFonts w:ascii="宋体" w:hAnsi="宋体" w:cs="宋体"/>
          <w:sz w:val="24"/>
        </w:rPr>
      </w:pPr>
      <w:r>
        <w:rPr>
          <w:rFonts w:hint="eastAsia" w:ascii="宋体" w:hAnsi="宋体" w:cs="宋体"/>
          <w:sz w:val="24"/>
        </w:rPr>
        <w:t>三、支出决算表</w:t>
      </w:r>
      <w:r>
        <w:rPr>
          <w:rFonts w:hint="eastAsia" w:ascii="宋体" w:hAnsi="宋体" w:cs="宋体"/>
          <w:sz w:val="24"/>
        </w:rPr>
        <w:tab/>
      </w:r>
      <w:r>
        <w:rPr>
          <w:rFonts w:hint="eastAsia" w:ascii="宋体" w:hAnsi="宋体" w:cs="宋体"/>
          <w:sz w:val="24"/>
        </w:rPr>
        <w:t>15</w:t>
      </w:r>
    </w:p>
    <w:p w14:paraId="5F3B3BEE">
      <w:pPr>
        <w:pStyle w:val="12"/>
        <w:adjustRightInd w:val="0"/>
        <w:snapToGrid w:val="0"/>
        <w:spacing w:line="440" w:lineRule="exact"/>
        <w:jc w:val="left"/>
        <w:rPr>
          <w:rFonts w:ascii="宋体" w:hAnsi="宋体" w:cs="宋体"/>
          <w:sz w:val="24"/>
        </w:rPr>
      </w:pPr>
      <w:r>
        <w:rPr>
          <w:rFonts w:hint="eastAsia" w:ascii="宋体" w:hAnsi="宋体" w:cs="宋体"/>
          <w:sz w:val="24"/>
        </w:rPr>
        <w:t>四、财政拨款收入支出决算总表</w:t>
      </w:r>
      <w:r>
        <w:rPr>
          <w:rFonts w:hint="eastAsia" w:ascii="宋体" w:hAnsi="宋体" w:cs="宋体"/>
          <w:sz w:val="24"/>
        </w:rPr>
        <w:tab/>
      </w:r>
      <w:r>
        <w:rPr>
          <w:rFonts w:hint="eastAsia" w:ascii="宋体" w:hAnsi="宋体" w:cs="宋体"/>
          <w:sz w:val="24"/>
        </w:rPr>
        <w:t>15</w:t>
      </w:r>
    </w:p>
    <w:p w14:paraId="0DA52D9F">
      <w:pPr>
        <w:pStyle w:val="12"/>
        <w:adjustRightInd w:val="0"/>
        <w:snapToGrid w:val="0"/>
        <w:spacing w:line="440" w:lineRule="exact"/>
        <w:jc w:val="left"/>
        <w:rPr>
          <w:rFonts w:ascii="宋体" w:hAnsi="宋体" w:cs="宋体"/>
          <w:sz w:val="24"/>
        </w:rPr>
      </w:pPr>
      <w:r>
        <w:rPr>
          <w:rFonts w:hint="eastAsia" w:ascii="宋体" w:hAnsi="宋体" w:cs="宋体"/>
          <w:sz w:val="24"/>
        </w:rPr>
        <w:t>五、财政拨款支出决算明细表</w:t>
      </w:r>
      <w:r>
        <w:rPr>
          <w:rFonts w:hint="eastAsia" w:ascii="宋体" w:hAnsi="宋体" w:cs="宋体"/>
          <w:sz w:val="24"/>
        </w:rPr>
        <w:tab/>
      </w:r>
      <w:r>
        <w:rPr>
          <w:rFonts w:hint="eastAsia" w:ascii="宋体" w:hAnsi="宋体" w:cs="宋体"/>
          <w:sz w:val="24"/>
        </w:rPr>
        <w:t>15</w:t>
      </w:r>
    </w:p>
    <w:p w14:paraId="623C3FA1">
      <w:pPr>
        <w:pStyle w:val="12"/>
        <w:adjustRightInd w:val="0"/>
        <w:snapToGrid w:val="0"/>
        <w:spacing w:line="440" w:lineRule="exact"/>
        <w:jc w:val="left"/>
        <w:rPr>
          <w:rFonts w:ascii="宋体" w:hAnsi="宋体" w:cs="宋体"/>
          <w:sz w:val="24"/>
        </w:rPr>
      </w:pPr>
      <w:r>
        <w:rPr>
          <w:rFonts w:hint="eastAsia" w:ascii="宋体" w:hAnsi="宋体" w:cs="宋体"/>
          <w:sz w:val="24"/>
        </w:rPr>
        <w:t>六、一般公共预算财政拨款支出决算表</w:t>
      </w:r>
      <w:r>
        <w:rPr>
          <w:rFonts w:hint="eastAsia" w:ascii="宋体" w:hAnsi="宋体" w:cs="宋体"/>
          <w:sz w:val="24"/>
        </w:rPr>
        <w:tab/>
      </w:r>
      <w:r>
        <w:rPr>
          <w:rFonts w:hint="eastAsia" w:ascii="宋体" w:hAnsi="宋体" w:cs="宋体"/>
          <w:sz w:val="24"/>
        </w:rPr>
        <w:t>15</w:t>
      </w:r>
    </w:p>
    <w:p w14:paraId="79F48C6E">
      <w:pPr>
        <w:pStyle w:val="12"/>
        <w:adjustRightInd w:val="0"/>
        <w:snapToGrid w:val="0"/>
        <w:spacing w:line="440" w:lineRule="exact"/>
        <w:jc w:val="left"/>
        <w:rPr>
          <w:rFonts w:ascii="宋体" w:hAnsi="宋体" w:cs="宋体"/>
          <w:sz w:val="24"/>
        </w:rPr>
      </w:pPr>
      <w:r>
        <w:rPr>
          <w:rFonts w:hint="eastAsia" w:ascii="宋体" w:hAnsi="宋体" w:cs="宋体"/>
          <w:sz w:val="24"/>
        </w:rPr>
        <w:t>七、一般公共预算财政拨款支出决算明细表</w:t>
      </w:r>
      <w:r>
        <w:rPr>
          <w:rFonts w:hint="eastAsia" w:ascii="宋体" w:hAnsi="宋体" w:cs="宋体"/>
          <w:sz w:val="24"/>
        </w:rPr>
        <w:tab/>
      </w:r>
      <w:r>
        <w:rPr>
          <w:rFonts w:hint="eastAsia" w:ascii="宋体" w:hAnsi="宋体" w:cs="宋体"/>
          <w:sz w:val="24"/>
        </w:rPr>
        <w:t>15</w:t>
      </w:r>
    </w:p>
    <w:p w14:paraId="304B045D">
      <w:pPr>
        <w:pStyle w:val="12"/>
        <w:adjustRightInd w:val="0"/>
        <w:snapToGrid w:val="0"/>
        <w:spacing w:line="440" w:lineRule="exact"/>
        <w:jc w:val="left"/>
        <w:rPr>
          <w:rFonts w:ascii="宋体" w:hAnsi="宋体" w:cs="宋体"/>
          <w:sz w:val="24"/>
        </w:rPr>
      </w:pPr>
      <w:r>
        <w:rPr>
          <w:rFonts w:hint="eastAsia" w:ascii="宋体" w:hAnsi="宋体" w:cs="宋体"/>
          <w:sz w:val="24"/>
        </w:rPr>
        <w:t>八、一般公共预算财政拨款基本支出决算明细表</w:t>
      </w:r>
      <w:r>
        <w:rPr>
          <w:rFonts w:hint="eastAsia" w:ascii="宋体" w:hAnsi="宋体" w:cs="宋体"/>
          <w:sz w:val="24"/>
        </w:rPr>
        <w:tab/>
      </w:r>
      <w:r>
        <w:rPr>
          <w:rFonts w:hint="eastAsia" w:ascii="宋体" w:hAnsi="宋体" w:cs="宋体"/>
          <w:sz w:val="24"/>
        </w:rPr>
        <w:t>15</w:t>
      </w:r>
    </w:p>
    <w:p w14:paraId="79DDE0C3">
      <w:pPr>
        <w:pStyle w:val="12"/>
        <w:adjustRightInd w:val="0"/>
        <w:snapToGrid w:val="0"/>
        <w:spacing w:line="440" w:lineRule="exact"/>
        <w:jc w:val="left"/>
        <w:rPr>
          <w:rFonts w:ascii="宋体" w:hAnsi="宋体" w:cs="宋体"/>
          <w:sz w:val="24"/>
        </w:rPr>
      </w:pPr>
      <w:r>
        <w:rPr>
          <w:rFonts w:hint="eastAsia" w:ascii="宋体" w:hAnsi="宋体" w:cs="宋体"/>
          <w:sz w:val="24"/>
        </w:rPr>
        <w:t>九、一般公共预算财政拨款项目支出决算表</w:t>
      </w:r>
      <w:r>
        <w:rPr>
          <w:rFonts w:hint="eastAsia" w:ascii="宋体" w:hAnsi="宋体" w:cs="宋体"/>
          <w:sz w:val="24"/>
        </w:rPr>
        <w:tab/>
      </w:r>
      <w:r>
        <w:rPr>
          <w:rFonts w:hint="eastAsia" w:ascii="宋体" w:hAnsi="宋体" w:cs="宋体"/>
          <w:sz w:val="24"/>
        </w:rPr>
        <w:t>15</w:t>
      </w:r>
    </w:p>
    <w:p w14:paraId="72830FA7">
      <w:pPr>
        <w:pStyle w:val="12"/>
        <w:adjustRightInd w:val="0"/>
        <w:snapToGrid w:val="0"/>
        <w:spacing w:line="440" w:lineRule="exact"/>
        <w:jc w:val="left"/>
        <w:rPr>
          <w:rFonts w:ascii="宋体" w:hAnsi="宋体" w:cs="宋体"/>
          <w:sz w:val="24"/>
        </w:rPr>
      </w:pPr>
      <w:r>
        <w:rPr>
          <w:rFonts w:hint="eastAsia" w:ascii="宋体" w:hAnsi="宋体" w:cs="宋体"/>
          <w:sz w:val="24"/>
        </w:rPr>
        <w:t>十、政府性基金预算财政拨款收入支出决算表</w:t>
      </w:r>
      <w:r>
        <w:rPr>
          <w:rFonts w:hint="eastAsia" w:ascii="宋体" w:hAnsi="宋体" w:cs="宋体"/>
          <w:sz w:val="24"/>
        </w:rPr>
        <w:tab/>
      </w:r>
      <w:r>
        <w:rPr>
          <w:rFonts w:hint="eastAsia" w:ascii="宋体" w:hAnsi="宋体" w:cs="宋体"/>
          <w:sz w:val="24"/>
        </w:rPr>
        <w:t>15</w:t>
      </w:r>
    </w:p>
    <w:p w14:paraId="448078E9">
      <w:pPr>
        <w:pStyle w:val="12"/>
        <w:adjustRightInd w:val="0"/>
        <w:snapToGrid w:val="0"/>
        <w:spacing w:line="440" w:lineRule="exact"/>
        <w:jc w:val="left"/>
        <w:rPr>
          <w:rFonts w:ascii="宋体" w:hAnsi="宋体" w:cs="宋体"/>
          <w:sz w:val="24"/>
        </w:rPr>
      </w:pPr>
      <w:r>
        <w:rPr>
          <w:rFonts w:hint="eastAsia" w:ascii="宋体" w:hAnsi="宋体" w:cs="宋体"/>
          <w:sz w:val="24"/>
        </w:rPr>
        <w:t>十一、国有资本经营预算财政拨款收入支出决算表</w:t>
      </w:r>
      <w:r>
        <w:rPr>
          <w:rFonts w:hint="eastAsia" w:ascii="宋体" w:hAnsi="宋体" w:cs="宋体"/>
          <w:sz w:val="24"/>
        </w:rPr>
        <w:tab/>
      </w:r>
      <w:r>
        <w:rPr>
          <w:rFonts w:hint="eastAsia" w:ascii="宋体" w:hAnsi="宋体" w:cs="宋体"/>
          <w:sz w:val="24"/>
        </w:rPr>
        <w:t>15</w:t>
      </w:r>
    </w:p>
    <w:p w14:paraId="00BBD066">
      <w:pPr>
        <w:pStyle w:val="12"/>
        <w:adjustRightInd w:val="0"/>
        <w:snapToGrid w:val="0"/>
        <w:spacing w:line="440" w:lineRule="exact"/>
        <w:jc w:val="left"/>
        <w:rPr>
          <w:rFonts w:ascii="宋体" w:hAnsi="宋体" w:cs="宋体"/>
          <w:sz w:val="24"/>
        </w:rPr>
      </w:pPr>
      <w:r>
        <w:rPr>
          <w:rFonts w:hint="eastAsia" w:ascii="宋体" w:hAnsi="宋体" w:cs="宋体"/>
          <w:sz w:val="24"/>
        </w:rPr>
        <w:t>十二、国有资本经营预算财政拨款支出决算表</w:t>
      </w:r>
      <w:r>
        <w:rPr>
          <w:rFonts w:hint="eastAsia" w:ascii="宋体" w:hAnsi="宋体" w:cs="宋体"/>
          <w:sz w:val="24"/>
        </w:rPr>
        <w:tab/>
      </w:r>
      <w:r>
        <w:rPr>
          <w:rFonts w:hint="eastAsia" w:ascii="宋体" w:hAnsi="宋体" w:cs="宋体"/>
          <w:sz w:val="24"/>
        </w:rPr>
        <w:t>15</w:t>
      </w:r>
    </w:p>
    <w:p w14:paraId="1DF8D87B">
      <w:pPr>
        <w:pStyle w:val="12"/>
        <w:adjustRightInd w:val="0"/>
        <w:snapToGrid w:val="0"/>
        <w:spacing w:line="440" w:lineRule="exact"/>
        <w:jc w:val="left"/>
        <w:rPr>
          <w:rFonts w:ascii="宋体" w:hAnsi="宋体" w:cs="宋体"/>
          <w:sz w:val="24"/>
        </w:rPr>
      </w:pPr>
      <w:r>
        <w:rPr>
          <w:rFonts w:hint="eastAsia" w:ascii="宋体" w:hAnsi="宋体" w:cs="宋体"/>
          <w:sz w:val="24"/>
        </w:rPr>
        <w:t>十三、财政拨款“三公”经费支出决算表</w:t>
      </w:r>
      <w:r>
        <w:rPr>
          <w:rFonts w:hint="eastAsia" w:ascii="宋体" w:hAnsi="宋体" w:cs="宋体"/>
          <w:sz w:val="24"/>
        </w:rPr>
        <w:tab/>
      </w:r>
      <w:r>
        <w:rPr>
          <w:rFonts w:hint="eastAsia" w:ascii="宋体" w:hAnsi="宋体" w:cs="宋体"/>
          <w:sz w:val="24"/>
        </w:rPr>
        <w:t>15</w:t>
      </w:r>
    </w:p>
    <w:p w14:paraId="188A559E">
      <w:pPr>
        <w:pStyle w:val="3"/>
        <w:jc w:val="center"/>
        <w:rPr>
          <w:rFonts w:ascii="宋体" w:hAnsi="宋体" w:cs="宋体"/>
          <w:b w:val="0"/>
          <w:sz w:val="24"/>
          <w:szCs w:val="24"/>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12" w:name="_Toc15396599"/>
      <w:bookmarkStart w:id="13" w:name="_Toc15377196"/>
    </w:p>
    <w:p w14:paraId="70C75A04"/>
    <w:p w14:paraId="6FC4D8D7">
      <w:pPr>
        <w:pStyle w:val="3"/>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14:paraId="5DF065D9"/>
    <w:p w14:paraId="151F687D">
      <w:pPr>
        <w:pStyle w:val="4"/>
        <w:numPr>
          <w:numId w:val="0"/>
        </w:numPr>
        <w:ind w:firstLine="640" w:firstLineChars="200"/>
        <w:rPr>
          <w:rFonts w:ascii="仿宋" w:hAnsi="仿宋" w:eastAsia="仿宋" w:cs="仿宋"/>
          <w:highlight w:val="none"/>
        </w:rPr>
      </w:pPr>
      <w:bookmarkStart w:id="14" w:name="_Toc15396600"/>
      <w:bookmarkStart w:id="15" w:name="_Toc15377197"/>
      <w:r>
        <w:rPr>
          <w:rStyle w:val="28"/>
          <w:rFonts w:hint="eastAsia" w:ascii="黑体" w:hAnsi="黑体" w:eastAsia="黑体"/>
          <w:b w:val="0"/>
          <w:bCs w:val="0"/>
          <w:highlight w:val="none"/>
          <w:lang w:val="en-US" w:eastAsia="zh-CN"/>
        </w:rPr>
        <w:t>一、</w:t>
      </w:r>
      <w:r>
        <w:rPr>
          <w:rStyle w:val="28"/>
          <w:rFonts w:hint="eastAsia" w:ascii="黑体" w:hAnsi="黑体" w:eastAsia="黑体"/>
          <w:b w:val="0"/>
          <w:bCs w:val="0"/>
          <w:highlight w:val="none"/>
        </w:rPr>
        <w:t>主要职责</w:t>
      </w:r>
    </w:p>
    <w:p w14:paraId="41C43DBB">
      <w:pPr>
        <w:pStyle w:val="4"/>
        <w:numPr>
          <w:numId w:val="0"/>
        </w:numPr>
        <w:ind w:firstLine="640" w:firstLineChars="200"/>
        <w:rPr>
          <w:rFonts w:ascii="仿宋" w:hAnsi="仿宋" w:eastAsia="仿宋" w:cs="仿宋"/>
        </w:rPr>
      </w:pPr>
      <w:r>
        <w:rPr>
          <w:rFonts w:hint="eastAsia" w:ascii="仿宋" w:hAnsi="仿宋" w:eastAsia="仿宋" w:cs="仿宋"/>
          <w:b w:val="0"/>
          <w:bCs w:val="0"/>
          <w:color w:val="333333"/>
        </w:rPr>
        <w:t>本单位以群体保健工作为基础，面向基层、预防为主，主要以</w:t>
      </w:r>
      <w:r>
        <w:rPr>
          <w:rFonts w:hint="eastAsia" w:ascii="仿宋" w:hAnsi="仿宋" w:eastAsia="仿宋" w:cs="仿宋"/>
          <w:b w:val="0"/>
          <w:bCs w:val="0"/>
          <w:color w:val="3D3D3D"/>
        </w:rPr>
        <w:t>妇女保健、儿童保健、妇产科医疗、儿科医疗、妇幼卫生监测与信息管理、妇幼卫生保健人员培训与技术支持、妇幼保健科学研究、妇幼保健咨询、计划生育技术服务、生育指导与避孕咨询、婚前保健和医学检查、婚前咨询与新婚保健、避孕方法使用和知情选择、计划生育技术和婚前保健服务人员培训与技术支持、计划生育科学研究一系列业务</w:t>
      </w:r>
      <w:r>
        <w:rPr>
          <w:rFonts w:hint="eastAsia" w:ascii="仿宋" w:hAnsi="仿宋" w:eastAsia="仿宋" w:cs="仿宋"/>
          <w:b w:val="0"/>
          <w:bCs w:val="0"/>
          <w:color w:val="333333"/>
        </w:rPr>
        <w:t>。在切实履行公共卫生职责的同时，开展与妇女儿童健康密切相关的基本医疗服务。</w:t>
      </w:r>
    </w:p>
    <w:p w14:paraId="37350AD0">
      <w:pPr>
        <w:pStyle w:val="4"/>
        <w:numPr>
          <w:numId w:val="0"/>
        </w:numPr>
        <w:ind w:firstLine="640" w:firstLineChars="200"/>
        <w:rPr>
          <w:rFonts w:ascii="仿宋" w:hAnsi="仿宋" w:eastAsia="仿宋" w:cs="仿宋"/>
          <w:sz w:val="32"/>
          <w:szCs w:val="32"/>
          <w:highlight w:val="none"/>
        </w:rPr>
      </w:pPr>
      <w:r>
        <w:rPr>
          <w:rFonts w:hint="eastAsia" w:ascii="黑体" w:hAnsi="黑体" w:eastAsia="黑体"/>
          <w:b w:val="0"/>
          <w:highlight w:val="none"/>
          <w:lang w:val="en-US" w:eastAsia="zh-CN"/>
        </w:rPr>
        <w:t>二、</w:t>
      </w:r>
      <w:r>
        <w:rPr>
          <w:rFonts w:hint="eastAsia" w:ascii="黑体" w:hAnsi="黑体" w:eastAsia="黑体"/>
          <w:b w:val="0"/>
          <w:highlight w:val="none"/>
        </w:rPr>
        <w:t>机构设置</w:t>
      </w:r>
    </w:p>
    <w:p w14:paraId="4777E27B">
      <w:pPr>
        <w:pStyle w:val="4"/>
        <w:numPr>
          <w:numId w:val="0"/>
        </w:numPr>
        <w:ind w:firstLine="640" w:firstLineChars="200"/>
        <w:rPr>
          <w:rFonts w:ascii="仿宋" w:hAnsi="仿宋" w:eastAsia="仿宋" w:cs="仿宋"/>
          <w:b w:val="0"/>
          <w:bCs w:val="0"/>
          <w:sz w:val="32"/>
          <w:szCs w:val="32"/>
        </w:rPr>
      </w:pPr>
      <w:r>
        <w:rPr>
          <w:rFonts w:hint="eastAsia" w:ascii="仿宋" w:hAnsi="仿宋" w:eastAsia="仿宋" w:cs="仿宋"/>
          <w:b w:val="0"/>
          <w:bCs w:val="0"/>
          <w:sz w:val="32"/>
          <w:szCs w:val="32"/>
        </w:rPr>
        <w:t>盐边县妇幼保健服务中心是全额拨款二级预算事业单位。由于2022年年底和盐边县人民医院合并办公，本单位的人员被分流到其他科室里。盐边县妇幼保健服务中心设立5个办公室，分别是中心主任办公室、办公室、基层保健科、预防母婴传播办公室、财务科。</w:t>
      </w:r>
    </w:p>
    <w:p w14:paraId="7AC299F6"/>
    <w:bookmarkEnd w:id="14"/>
    <w:bookmarkEnd w:id="15"/>
    <w:p w14:paraId="0D0CF01B">
      <w:pPr>
        <w:widowControl/>
        <w:jc w:val="left"/>
        <w:rPr>
          <w:rFonts w:ascii="仿宋" w:hAnsi="仿宋" w:eastAsia="仿宋"/>
          <w:kern w:val="0"/>
          <w:sz w:val="32"/>
          <w:szCs w:val="32"/>
        </w:rPr>
      </w:pPr>
      <w:r>
        <w:rPr>
          <w:rFonts w:ascii="仿宋" w:hAnsi="仿宋" w:eastAsia="仿宋"/>
          <w:sz w:val="32"/>
          <w:szCs w:val="32"/>
        </w:rPr>
        <w:br w:type="page"/>
      </w:r>
    </w:p>
    <w:p w14:paraId="6BBFEC95">
      <w:bookmarkStart w:id="16" w:name="_Toc15377204"/>
      <w:bookmarkStart w:id="17" w:name="_Toc15396602"/>
    </w:p>
    <w:p w14:paraId="736D1383">
      <w:pPr>
        <w:pStyle w:val="3"/>
        <w:ind w:right="440"/>
        <w:jc w:val="center"/>
        <w:rPr>
          <w:rStyle w:val="27"/>
          <w:rFonts w:ascii="黑体" w:hAnsi="黑体" w:eastAsia="黑体"/>
          <w:b w:val="0"/>
          <w:bCs/>
        </w:rPr>
      </w:pPr>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14:paraId="5FFB2791"/>
    <w:p w14:paraId="77F216C3">
      <w:pPr>
        <w:pStyle w:val="26"/>
        <w:numPr>
          <w:ilvl w:val="0"/>
          <w:numId w:val="1"/>
        </w:numPr>
        <w:spacing w:line="600" w:lineRule="exact"/>
        <w:ind w:firstLineChars="0"/>
        <w:outlineLvl w:val="1"/>
        <w:rPr>
          <w:rStyle w:val="28"/>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3AD7A733">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681.14</w:t>
      </w:r>
      <w:r>
        <w:rPr>
          <w:rFonts w:hint="eastAsia" w:ascii="仿宋" w:hAnsi="仿宋" w:eastAsia="仿宋"/>
          <w:sz w:val="32"/>
          <w:szCs w:val="32"/>
        </w:rPr>
        <w:t>万元。与2022年度相比，收、支总计各增加13.64万万元，增长2.04%。主要变动原因是</w:t>
      </w:r>
      <w:r>
        <w:rPr>
          <w:rFonts w:eastAsia="仿宋_GB2312"/>
          <w:sz w:val="32"/>
          <w:szCs w:val="32"/>
        </w:rPr>
        <w:t>一般公共预算财政拨款收入</w:t>
      </w:r>
      <w:r>
        <w:rPr>
          <w:rFonts w:hint="eastAsia" w:eastAsia="仿宋_GB2312"/>
          <w:sz w:val="32"/>
          <w:szCs w:val="32"/>
          <w:lang w:val="en-US" w:eastAsia="zh-CN"/>
        </w:rPr>
        <w:t>中卫生健康收入</w:t>
      </w:r>
      <w:r>
        <w:rPr>
          <w:rFonts w:eastAsia="仿宋_GB2312"/>
          <w:sz w:val="32"/>
          <w:szCs w:val="32"/>
        </w:rPr>
        <w:t>增加</w:t>
      </w:r>
      <w:r>
        <w:rPr>
          <w:rFonts w:hint="eastAsia" w:ascii="仿宋" w:hAnsi="仿宋" w:eastAsia="仿宋"/>
          <w:sz w:val="32"/>
          <w:szCs w:val="32"/>
        </w:rPr>
        <w:t>。</w:t>
      </w:r>
    </w:p>
    <w:p w14:paraId="2DADFEDF">
      <w:pPr>
        <w:pStyle w:val="2"/>
        <w:spacing w:before="93"/>
      </w:pPr>
      <w:r>
        <w:drawing>
          <wp:inline distT="0" distB="0" distL="114300" distR="114300">
            <wp:extent cx="5269865" cy="2757170"/>
            <wp:effectExtent l="4445" t="4445" r="13970" b="1206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CDDCA30">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：收、支决算总计变动情况图（万元）</w:t>
      </w:r>
    </w:p>
    <w:p w14:paraId="55A4DB79">
      <w:pPr>
        <w:spacing w:line="600" w:lineRule="exact"/>
        <w:ind w:firstLine="640" w:firstLineChars="200"/>
        <w:jc w:val="left"/>
        <w:rPr>
          <w:rFonts w:ascii="仿宋_GB2312" w:eastAsia="仿宋_GB2312"/>
          <w:sz w:val="32"/>
          <w:szCs w:val="32"/>
        </w:rPr>
      </w:pPr>
    </w:p>
    <w:p w14:paraId="6D3C6C0E">
      <w:pPr>
        <w:pStyle w:val="26"/>
        <w:numPr>
          <w:ilvl w:val="0"/>
          <w:numId w:val="1"/>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70F8A626">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681.14</w:t>
      </w:r>
      <w:r>
        <w:rPr>
          <w:rFonts w:hint="eastAsia" w:ascii="仿宋" w:hAnsi="仿宋" w:eastAsia="仿宋"/>
          <w:sz w:val="32"/>
          <w:szCs w:val="32"/>
        </w:rPr>
        <w:t>万元，其中：一般公共预算财政拨款收入</w:t>
      </w:r>
      <w:r>
        <w:rPr>
          <w:rFonts w:ascii="仿宋" w:hAnsi="仿宋" w:eastAsia="仿宋"/>
          <w:b/>
          <w:sz w:val="32"/>
          <w:szCs w:val="32"/>
        </w:rPr>
        <w:t>681.14</w:t>
      </w:r>
      <w:r>
        <w:rPr>
          <w:rFonts w:hint="eastAsia" w:ascii="仿宋" w:hAnsi="仿宋" w:eastAsia="仿宋"/>
          <w:sz w:val="32"/>
          <w:szCs w:val="32"/>
        </w:rPr>
        <w:t>万元，占</w:t>
      </w:r>
      <w:r>
        <w:rPr>
          <w:rFonts w:ascii="仿宋" w:hAnsi="仿宋" w:eastAsia="仿宋"/>
          <w:b/>
          <w:sz w:val="32"/>
          <w:szCs w:val="32"/>
        </w:rPr>
        <w:t>100%</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p>
    <w:p w14:paraId="7CCDAF07">
      <w:pPr>
        <w:ind w:firstLine="420" w:firstLineChars="200"/>
        <w:outlineLvl w:val="1"/>
        <w:rPr>
          <w:rFonts w:ascii="仿宋" w:hAnsi="仿宋" w:eastAsia="仿宋"/>
          <w:sz w:val="32"/>
          <w:szCs w:val="32"/>
        </w:rPr>
      </w:pPr>
      <w:r>
        <w:drawing>
          <wp:inline distT="0" distB="0" distL="114300" distR="114300">
            <wp:extent cx="5445125" cy="2762250"/>
            <wp:effectExtent l="4445" t="4445" r="17780"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C687912">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图2：收入决算结构图（万元）</w:t>
      </w:r>
    </w:p>
    <w:p w14:paraId="61B99790">
      <w:pPr>
        <w:spacing w:line="600" w:lineRule="exact"/>
        <w:ind w:firstLine="640" w:firstLineChars="200"/>
        <w:rPr>
          <w:rFonts w:ascii="仿宋_GB2312" w:eastAsia="仿宋_GB2312"/>
          <w:sz w:val="32"/>
          <w:szCs w:val="32"/>
        </w:rPr>
      </w:pPr>
    </w:p>
    <w:p w14:paraId="1398EF08">
      <w:pPr>
        <w:pStyle w:val="26"/>
        <w:numPr>
          <w:ilvl w:val="0"/>
          <w:numId w:val="1"/>
        </w:numPr>
        <w:spacing w:line="600" w:lineRule="exact"/>
        <w:ind w:firstLineChars="0"/>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5BA5718D">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681.14</w:t>
      </w:r>
      <w:r>
        <w:rPr>
          <w:rFonts w:hint="eastAsia" w:ascii="仿宋" w:hAnsi="仿宋" w:eastAsia="仿宋"/>
          <w:sz w:val="32"/>
          <w:szCs w:val="32"/>
        </w:rPr>
        <w:t>万元，其中：基本支出</w:t>
      </w:r>
      <w:r>
        <w:rPr>
          <w:rFonts w:ascii="仿宋" w:hAnsi="仿宋" w:eastAsia="仿宋"/>
          <w:b/>
          <w:sz w:val="32"/>
          <w:szCs w:val="32"/>
        </w:rPr>
        <w:t>566.87</w:t>
      </w:r>
      <w:r>
        <w:rPr>
          <w:rFonts w:hint="eastAsia" w:ascii="仿宋" w:hAnsi="仿宋" w:eastAsia="仿宋"/>
          <w:sz w:val="32"/>
          <w:szCs w:val="32"/>
        </w:rPr>
        <w:t>万元，占</w:t>
      </w:r>
      <w:r>
        <w:rPr>
          <w:rFonts w:ascii="仿宋" w:hAnsi="仿宋" w:eastAsia="仿宋"/>
          <w:b/>
          <w:sz w:val="32"/>
          <w:szCs w:val="32"/>
        </w:rPr>
        <w:t>83.22</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114.28</w:t>
      </w:r>
      <w:r>
        <w:rPr>
          <w:rFonts w:hint="eastAsia" w:ascii="仿宋" w:hAnsi="仿宋" w:eastAsia="仿宋"/>
          <w:sz w:val="32"/>
          <w:szCs w:val="32"/>
        </w:rPr>
        <w:t>万元，占</w:t>
      </w:r>
      <w:r>
        <w:rPr>
          <w:rFonts w:ascii="仿宋" w:hAnsi="仿宋" w:eastAsia="仿宋"/>
          <w:b/>
          <w:sz w:val="32"/>
          <w:szCs w:val="32"/>
        </w:rPr>
        <w:t>16.77</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71F911BF">
      <w:pPr>
        <w:ind w:firstLine="641"/>
        <w:rPr>
          <w:rFonts w:ascii="仿宋" w:hAnsi="仿宋" w:eastAsia="仿宋"/>
          <w:sz w:val="32"/>
          <w:szCs w:val="32"/>
          <w:shd w:val="pct10" w:color="auto" w:fill="FFFFFF"/>
        </w:rPr>
      </w:pPr>
      <w:r>
        <w:drawing>
          <wp:inline distT="0" distB="0" distL="114300" distR="114300">
            <wp:extent cx="4826000" cy="2743200"/>
            <wp:effectExtent l="4445" t="4445" r="825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6E7775E">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图3：支出决算结构图（万元）</w:t>
      </w:r>
    </w:p>
    <w:p w14:paraId="49C60E2D">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2336F36B">
      <w:pPr>
        <w:spacing w:line="600" w:lineRule="exact"/>
        <w:ind w:firstLine="640"/>
      </w:pPr>
      <w:r>
        <w:rPr>
          <w:rFonts w:hint="eastAsia" w:ascii="仿宋" w:hAnsi="仿宋" w:eastAsia="仿宋"/>
          <w:sz w:val="32"/>
          <w:szCs w:val="32"/>
        </w:rPr>
        <w:t>2023年度财政拨款收、支总计均为</w:t>
      </w:r>
      <w:r>
        <w:rPr>
          <w:rFonts w:ascii="仿宋" w:hAnsi="仿宋" w:eastAsia="仿宋"/>
          <w:b/>
          <w:sz w:val="32"/>
          <w:szCs w:val="32"/>
        </w:rPr>
        <w:t>681.14</w:t>
      </w:r>
      <w:r>
        <w:rPr>
          <w:rFonts w:hint="eastAsia" w:ascii="仿宋" w:hAnsi="仿宋" w:eastAsia="仿宋"/>
          <w:sz w:val="32"/>
          <w:szCs w:val="32"/>
        </w:rPr>
        <w:t>万元。与2022年度相比，财政拨款收、支总计各增加13.64万元，增长2.04</w:t>
      </w:r>
      <w:r>
        <w:rPr>
          <w:rFonts w:ascii="仿宋" w:hAnsi="仿宋" w:eastAsia="仿宋"/>
          <w:sz w:val="32"/>
          <w:szCs w:val="32"/>
        </w:rPr>
        <w:t>%</w:t>
      </w:r>
      <w:r>
        <w:rPr>
          <w:rFonts w:hint="eastAsia" w:ascii="仿宋" w:hAnsi="仿宋" w:eastAsia="仿宋"/>
          <w:sz w:val="32"/>
          <w:szCs w:val="32"/>
        </w:rPr>
        <w:t>。主要变动原因是项目支出</w:t>
      </w:r>
      <w:r>
        <w:rPr>
          <w:rFonts w:hint="eastAsia" w:ascii="仿宋" w:hAnsi="仿宋" w:eastAsia="仿宋"/>
          <w:sz w:val="32"/>
          <w:szCs w:val="32"/>
          <w:lang w:val="en-US" w:eastAsia="zh-CN"/>
        </w:rPr>
        <w:t>公共卫生支出</w:t>
      </w:r>
      <w:r>
        <w:rPr>
          <w:rFonts w:hint="eastAsia" w:ascii="仿宋" w:hAnsi="仿宋" w:eastAsia="仿宋"/>
          <w:sz w:val="32"/>
          <w:szCs w:val="32"/>
        </w:rPr>
        <w:t>增加。</w:t>
      </w:r>
    </w:p>
    <w:p w14:paraId="771A3CBF">
      <w:pPr>
        <w:rPr>
          <w:rFonts w:ascii="仿宋" w:hAnsi="仿宋" w:eastAsia="仿宋"/>
          <w:sz w:val="32"/>
          <w:szCs w:val="32"/>
        </w:rPr>
      </w:pPr>
      <w:r>
        <w:drawing>
          <wp:inline distT="0" distB="0" distL="114300" distR="114300">
            <wp:extent cx="5113020" cy="2218690"/>
            <wp:effectExtent l="5080" t="4445" r="6350" b="571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C096002">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图4：财政拨款收、支决算总计变动情况（万元）</w:t>
      </w:r>
    </w:p>
    <w:p w14:paraId="4444B341">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64E138A3">
      <w:pPr>
        <w:spacing w:line="600" w:lineRule="exact"/>
        <w:ind w:firstLine="643" w:firstLineChars="200"/>
        <w:outlineLvl w:val="2"/>
        <w:rPr>
          <w:rFonts w:ascii="仿宋" w:hAnsi="仿宋" w:eastAsia="仿宋"/>
          <w:b/>
          <w:sz w:val="32"/>
          <w:szCs w:val="32"/>
        </w:rPr>
      </w:pPr>
      <w:bookmarkStart w:id="67" w:name="_GoBack"/>
      <w:bookmarkEnd w:id="67"/>
      <w:bookmarkStart w:id="28" w:name="_Toc15377210"/>
      <w:r>
        <w:rPr>
          <w:rFonts w:hint="eastAsia" w:ascii="仿宋" w:hAnsi="仿宋" w:eastAsia="仿宋"/>
          <w:b/>
          <w:sz w:val="32"/>
          <w:szCs w:val="32"/>
        </w:rPr>
        <w:t>（一）一般公共预算财政拨款支出决算总体情况</w:t>
      </w:r>
      <w:bookmarkEnd w:id="28"/>
    </w:p>
    <w:p w14:paraId="02FDB6FC">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681.14</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。与2022年度相比，一般公共预算财政拨款支出增加13.64万元，增长2.04</w:t>
      </w:r>
      <w:r>
        <w:rPr>
          <w:rFonts w:ascii="仿宋" w:hAnsi="仿宋" w:eastAsia="仿宋"/>
          <w:sz w:val="32"/>
          <w:szCs w:val="32"/>
        </w:rPr>
        <w:t>%</w:t>
      </w:r>
      <w:r>
        <w:rPr>
          <w:rFonts w:hint="eastAsia" w:ascii="仿宋" w:hAnsi="仿宋" w:eastAsia="仿宋"/>
          <w:sz w:val="32"/>
          <w:szCs w:val="32"/>
        </w:rPr>
        <w:t>。主要变动原因是本年度公共卫生项目支出增加。</w:t>
      </w:r>
    </w:p>
    <w:p w14:paraId="37A128D7">
      <w:pPr>
        <w:ind w:firstLine="420" w:firstLineChars="200"/>
        <w:rPr>
          <w:rFonts w:ascii="仿宋" w:hAnsi="仿宋" w:eastAsia="仿宋"/>
          <w:sz w:val="32"/>
          <w:szCs w:val="32"/>
        </w:rPr>
      </w:pPr>
      <w:r>
        <w:drawing>
          <wp:inline distT="0" distB="0" distL="114300" distR="114300">
            <wp:extent cx="4940300" cy="2152015"/>
            <wp:effectExtent l="4445" t="4445" r="8255" b="1524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D5FC5C">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图5：一般公共预算财政拨款支出决算变动情况（万元）</w:t>
      </w:r>
    </w:p>
    <w:p w14:paraId="098F2FD4">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255B7578">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681.14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支出107.56</w:t>
      </w:r>
      <w:r>
        <w:rPr>
          <w:rFonts w:hint="eastAsia" w:ascii="仿宋" w:hAnsi="仿宋" w:eastAsia="仿宋"/>
          <w:sz w:val="32"/>
          <w:szCs w:val="32"/>
        </w:rPr>
        <w:t>万元，占15.79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卫生健康支出529.81</w:t>
      </w:r>
      <w:r>
        <w:rPr>
          <w:rFonts w:hint="eastAsia" w:ascii="仿宋" w:hAnsi="仿宋" w:eastAsia="仿宋"/>
          <w:sz w:val="32"/>
          <w:szCs w:val="32"/>
        </w:rPr>
        <w:t>万元，占77.78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住房保障支出43.77</w:t>
      </w:r>
      <w:r>
        <w:rPr>
          <w:rFonts w:hint="eastAsia" w:ascii="仿宋" w:hAnsi="仿宋" w:eastAsia="仿宋"/>
          <w:sz w:val="32"/>
          <w:szCs w:val="32"/>
        </w:rPr>
        <w:t>万元，占6.43</w:t>
      </w:r>
      <w:r>
        <w:rPr>
          <w:rFonts w:ascii="仿宋" w:hAnsi="仿宋" w:eastAsia="仿宋"/>
          <w:sz w:val="32"/>
          <w:szCs w:val="32"/>
        </w:rPr>
        <w:t>%</w:t>
      </w:r>
      <w:r>
        <w:rPr>
          <w:rFonts w:hint="eastAsia" w:ascii="仿宋" w:hAnsi="仿宋" w:eastAsia="仿宋"/>
          <w:sz w:val="32"/>
          <w:szCs w:val="32"/>
        </w:rPr>
        <w:t>；项目支出114.28，占16.77%。</w:t>
      </w:r>
    </w:p>
    <w:p w14:paraId="44C1853C">
      <w:pPr>
        <w:pStyle w:val="2"/>
        <w:spacing w:before="93"/>
      </w:pPr>
      <w:r>
        <w:drawing>
          <wp:inline distT="0" distB="0" distL="114300" distR="114300">
            <wp:extent cx="5151120" cy="2561590"/>
            <wp:effectExtent l="4445" t="4445" r="6985" b="571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B902733">
      <w:pPr>
        <w:spacing w:line="600" w:lineRule="exact"/>
        <w:ind w:firstLine="640"/>
        <w:rPr>
          <w:rFonts w:ascii="仿宋" w:hAnsi="仿宋" w:eastAsia="仿宋"/>
          <w:sz w:val="32"/>
          <w:szCs w:val="32"/>
        </w:rPr>
      </w:pPr>
    </w:p>
    <w:p w14:paraId="480EDF7B">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图6：一般公共预算财政拨款支出决算结构（万元）</w:t>
      </w:r>
    </w:p>
    <w:p w14:paraId="3CE0D5FD">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437BCD7B">
      <w:pPr>
        <w:spacing w:line="600" w:lineRule="exact"/>
        <w:ind w:firstLine="640" w:firstLineChars="200"/>
        <w:outlineLvl w:val="2"/>
        <w:rPr>
          <w:rFonts w:ascii="仿宋" w:hAnsi="仿宋" w:eastAsia="仿宋" w:cs="仿宋"/>
          <w:bCs/>
          <w:sz w:val="32"/>
          <w:szCs w:val="32"/>
        </w:rPr>
      </w:pPr>
      <w:bookmarkStart w:id="31" w:name="_Toc15378460"/>
      <w:bookmarkStart w:id="32" w:name="_Toc15377444"/>
      <w:bookmarkStart w:id="33" w:name="_Toc15377213"/>
      <w:r>
        <w:rPr>
          <w:rFonts w:hint="eastAsia" w:ascii="仿宋" w:hAnsi="仿宋" w:eastAsia="仿宋" w:cs="仿宋"/>
          <w:bCs/>
          <w:sz w:val="32"/>
          <w:szCs w:val="32"/>
        </w:rPr>
        <w:t>2023年度一般公共预算支出决算数为681.14万元，</w:t>
      </w:r>
      <w:r>
        <w:rPr>
          <w:rStyle w:val="16"/>
          <w:rFonts w:hint="eastAsia" w:ascii="仿宋" w:hAnsi="仿宋" w:eastAsia="仿宋" w:cs="仿宋"/>
          <w:b w:val="0"/>
          <w:bCs/>
          <w:sz w:val="32"/>
          <w:szCs w:val="32"/>
        </w:rPr>
        <w:t>完成预算100%。其中：</w:t>
      </w:r>
      <w:bookmarkEnd w:id="31"/>
      <w:bookmarkEnd w:id="32"/>
      <w:bookmarkEnd w:id="33"/>
    </w:p>
    <w:p w14:paraId="4BE9C151">
      <w:pPr>
        <w:spacing w:line="600" w:lineRule="exact"/>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rPr>
        <w:t>1.社会保障和就业（类）行政事业单位养老支出（款）事业单位养老保险（项）: 支出决算为60.89万元，完成预算100%.</w:t>
      </w:r>
    </w:p>
    <w:p w14:paraId="536D00F6">
      <w:pPr>
        <w:spacing w:line="600" w:lineRule="exact"/>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rPr>
        <w:t>2.社会保障和就业（类）行政事业单位养老支出（款）事业单位离退休（项）: 支出决算为38.38万元，完成预算100%。</w:t>
      </w:r>
    </w:p>
    <w:p w14:paraId="55422A74">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3.社会保障和就业（类）行政事业单位养老支出（款）事业单位职业年金缴费支出（项）: 支出决算为8.28万元，完成预算100%。</w:t>
      </w:r>
    </w:p>
    <w:p w14:paraId="7FD8A35C">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4.</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（类）公共卫生（款）妇幼保健机构（项）:支出决算为372.16万元，完成预算</w:t>
      </w:r>
      <w:r>
        <w:rPr>
          <w:rStyle w:val="16"/>
          <w:rFonts w:hint="eastAsia" w:ascii="仿宋" w:hAnsi="仿宋" w:eastAsia="仿宋" w:cs="仿宋"/>
          <w:b w:val="0"/>
          <w:bCs/>
          <w:sz w:val="32"/>
          <w:szCs w:val="32"/>
          <w:highlight w:val="none"/>
        </w:rPr>
        <w:t>100%。</w:t>
      </w:r>
    </w:p>
    <w:p w14:paraId="2EDA017C">
      <w:pPr>
        <w:spacing w:line="600" w:lineRule="exact"/>
        <w:ind w:firstLine="640" w:firstLineChars="200"/>
        <w:rPr>
          <w:rFonts w:ascii="仿宋" w:hAnsi="仿宋" w:eastAsia="仿宋" w:cs="仿宋"/>
          <w:bCs/>
          <w:sz w:val="32"/>
          <w:szCs w:val="32"/>
          <w:highlight w:val="yellow"/>
        </w:rPr>
      </w:pPr>
      <w:r>
        <w:rPr>
          <w:rStyle w:val="16"/>
          <w:rFonts w:hint="eastAsia" w:ascii="仿宋" w:hAnsi="仿宋" w:eastAsia="仿宋" w:cs="仿宋"/>
          <w:b w:val="0"/>
          <w:bCs/>
          <w:sz w:val="32"/>
          <w:szCs w:val="32"/>
        </w:rPr>
        <w:t>5.</w:t>
      </w:r>
      <w:r>
        <w:rPr>
          <w:rFonts w:hint="eastAsia" w:ascii="仿宋" w:hAnsi="仿宋" w:eastAsia="仿宋" w:cs="仿宋"/>
          <w:bCs/>
          <w:sz w:val="32"/>
          <w:szCs w:val="32"/>
        </w:rPr>
        <w:t>卫生健康</w:t>
      </w:r>
      <w:r>
        <w:rPr>
          <w:rStyle w:val="16"/>
          <w:rFonts w:hint="eastAsia" w:ascii="仿宋" w:hAnsi="仿宋" w:eastAsia="仿宋" w:cs="仿宋"/>
          <w:b w:val="0"/>
          <w:bCs/>
          <w:sz w:val="32"/>
          <w:szCs w:val="32"/>
        </w:rPr>
        <w:t>（类）公共卫生（款）基本公共卫生支出（项）:支出决算为17.1万元，完成</w:t>
      </w:r>
      <w:r>
        <w:rPr>
          <w:rStyle w:val="16"/>
          <w:rFonts w:hint="eastAsia" w:ascii="仿宋" w:hAnsi="仿宋" w:eastAsia="仿宋" w:cs="仿宋"/>
          <w:b w:val="0"/>
          <w:bCs/>
          <w:sz w:val="32"/>
          <w:szCs w:val="32"/>
          <w:highlight w:val="none"/>
        </w:rPr>
        <w:t>预算100%。</w:t>
      </w:r>
    </w:p>
    <w:p w14:paraId="419A894A">
      <w:pPr>
        <w:spacing w:line="600" w:lineRule="exact"/>
        <w:ind w:firstLine="640" w:firstLineChars="200"/>
        <w:rPr>
          <w:rFonts w:ascii="仿宋" w:hAnsi="仿宋" w:eastAsia="仿宋" w:cs="仿宋"/>
          <w:bCs/>
          <w:sz w:val="32"/>
          <w:szCs w:val="32"/>
          <w:highlight w:val="none"/>
        </w:rPr>
      </w:pPr>
      <w:r>
        <w:rPr>
          <w:rStyle w:val="16"/>
          <w:rFonts w:hint="eastAsia" w:ascii="仿宋" w:hAnsi="仿宋" w:eastAsia="仿宋" w:cs="仿宋"/>
          <w:b w:val="0"/>
          <w:bCs/>
          <w:sz w:val="32"/>
          <w:szCs w:val="32"/>
          <w:highlight w:val="none"/>
        </w:rPr>
        <w:t>6.</w:t>
      </w:r>
      <w:r>
        <w:rPr>
          <w:rFonts w:hint="eastAsia" w:ascii="仿宋" w:hAnsi="仿宋" w:eastAsia="仿宋" w:cs="仿宋"/>
          <w:bCs/>
          <w:sz w:val="32"/>
          <w:szCs w:val="32"/>
          <w:highlight w:val="none"/>
        </w:rPr>
        <w:t>卫生健康</w:t>
      </w:r>
      <w:r>
        <w:rPr>
          <w:rStyle w:val="16"/>
          <w:rFonts w:hint="eastAsia" w:ascii="仿宋" w:hAnsi="仿宋" w:eastAsia="仿宋" w:cs="仿宋"/>
          <w:b w:val="0"/>
          <w:bCs/>
          <w:sz w:val="32"/>
          <w:szCs w:val="32"/>
          <w:highlight w:val="none"/>
        </w:rPr>
        <w:t>（类）公共卫生（款）重大公共卫生支出（项）:支出决算为43.52万元，完成预算100%。</w:t>
      </w:r>
    </w:p>
    <w:p w14:paraId="3D756F00">
      <w:pPr>
        <w:spacing w:line="600" w:lineRule="exact"/>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highlight w:val="none"/>
        </w:rPr>
        <w:t>7.</w:t>
      </w:r>
      <w:r>
        <w:rPr>
          <w:rFonts w:hint="eastAsia" w:ascii="仿宋" w:hAnsi="仿宋" w:eastAsia="仿宋" w:cs="仿宋"/>
          <w:bCs/>
          <w:sz w:val="32"/>
          <w:szCs w:val="32"/>
          <w:highlight w:val="none"/>
        </w:rPr>
        <w:t>卫生健康</w:t>
      </w:r>
      <w:r>
        <w:rPr>
          <w:rStyle w:val="16"/>
          <w:rFonts w:hint="eastAsia" w:ascii="仿宋" w:hAnsi="仿宋" w:eastAsia="仿宋" w:cs="仿宋"/>
          <w:b w:val="0"/>
          <w:bCs/>
          <w:sz w:val="32"/>
          <w:szCs w:val="32"/>
          <w:highlight w:val="none"/>
        </w:rPr>
        <w:t>（类）公共卫生（款）其他公共卫生支出（项）:支出决算为10.08万元，完成预算100%。</w:t>
      </w:r>
    </w:p>
    <w:p w14:paraId="6C1DE48D">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8</w:t>
      </w:r>
      <w:r>
        <w:rPr>
          <w:rStyle w:val="16"/>
          <w:rFonts w:hint="eastAsia" w:ascii="仿宋" w:hAnsi="仿宋" w:eastAsia="仿宋" w:cs="仿宋"/>
          <w:b w:val="0"/>
          <w:bCs/>
          <w:sz w:val="32"/>
          <w:szCs w:val="32"/>
        </w:rPr>
        <w:t>.</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（类）行政事业单位医疗（款）事业单位医疗（项）:支出决算为40.9万元，完成预算100%。</w:t>
      </w:r>
    </w:p>
    <w:p w14:paraId="5C962125">
      <w:pPr>
        <w:spacing w:line="600" w:lineRule="exact"/>
        <w:ind w:firstLine="640" w:firstLineChars="200"/>
        <w:rPr>
          <w:rFonts w:ascii="仿宋" w:hAnsi="仿宋" w:eastAsia="仿宋" w:cs="仿宋"/>
          <w:bCs/>
          <w:sz w:val="32"/>
          <w:szCs w:val="32"/>
        </w:rPr>
      </w:pPr>
      <w:r>
        <w:rPr>
          <w:rStyle w:val="16"/>
          <w:rFonts w:hint="eastAsia" w:ascii="仿宋" w:hAnsi="仿宋" w:eastAsia="仿宋" w:cs="仿宋"/>
          <w:b w:val="0"/>
          <w:bCs/>
          <w:sz w:val="32"/>
          <w:szCs w:val="32"/>
        </w:rPr>
        <w:t>9.</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（类）行政事业单位医疗（款）其他行政事业单位医疗支出（项）:支出决算为2.48万元，完成预算100%。</w:t>
      </w:r>
    </w:p>
    <w:p w14:paraId="1D354D4A">
      <w:pPr>
        <w:pStyle w:val="2"/>
        <w:spacing w:before="93"/>
        <w:ind w:firstLine="640" w:firstLineChars="200"/>
        <w:rPr>
          <w:rStyle w:val="16"/>
          <w:rFonts w:ascii="仿宋" w:hAnsi="仿宋" w:eastAsia="仿宋" w:cs="仿宋"/>
          <w:b w:val="0"/>
          <w:bCs/>
          <w:sz w:val="32"/>
          <w:szCs w:val="32"/>
        </w:rPr>
      </w:pPr>
      <w:r>
        <w:rPr>
          <w:rStyle w:val="16"/>
          <w:rFonts w:hint="eastAsia" w:ascii="仿宋" w:hAnsi="仿宋" w:eastAsia="仿宋" w:cs="仿宋"/>
          <w:b w:val="0"/>
          <w:bCs/>
          <w:sz w:val="32"/>
          <w:szCs w:val="32"/>
        </w:rPr>
        <w:t>10.</w:t>
      </w:r>
      <w:r>
        <w:rPr>
          <w:rFonts w:hint="eastAsia" w:ascii="仿宋" w:hAnsi="仿宋" w:eastAsia="仿宋" w:cs="仿宋"/>
          <w:bCs/>
          <w:sz w:val="32"/>
          <w:szCs w:val="32"/>
        </w:rPr>
        <w:t>卫生健康支出</w:t>
      </w:r>
      <w:r>
        <w:rPr>
          <w:rStyle w:val="16"/>
          <w:rFonts w:hint="eastAsia" w:ascii="仿宋" w:hAnsi="仿宋" w:eastAsia="仿宋" w:cs="仿宋"/>
          <w:b w:val="0"/>
          <w:bCs/>
          <w:sz w:val="32"/>
          <w:szCs w:val="32"/>
        </w:rPr>
        <w:t>（类）其他卫生健康支出（款）其他卫生健康支出（项）:支出决算为43.57万元，完成预算100%</w:t>
      </w:r>
    </w:p>
    <w:p w14:paraId="376C08C8">
      <w:pPr>
        <w:pStyle w:val="2"/>
        <w:spacing w:before="93"/>
        <w:ind w:firstLine="640" w:firstLineChars="200"/>
        <w:rPr>
          <w:rFonts w:ascii="仿宋" w:hAnsi="仿宋" w:eastAsia="仿宋" w:cs="仿宋"/>
          <w:bCs/>
          <w:sz w:val="32"/>
          <w:szCs w:val="32"/>
        </w:rPr>
      </w:pPr>
      <w:r>
        <w:rPr>
          <w:rStyle w:val="16"/>
          <w:rFonts w:hint="eastAsia" w:ascii="仿宋" w:hAnsi="仿宋" w:eastAsia="仿宋" w:cs="仿宋"/>
          <w:b w:val="0"/>
          <w:bCs/>
          <w:color w:val="000000"/>
          <w:sz w:val="32"/>
          <w:szCs w:val="32"/>
        </w:rPr>
        <w:t>11.</w:t>
      </w:r>
      <w:r>
        <w:rPr>
          <w:rFonts w:hint="eastAsia" w:ascii="仿宋" w:hAnsi="仿宋" w:eastAsia="仿宋" w:cs="仿宋"/>
          <w:bCs/>
          <w:color w:val="000000"/>
          <w:sz w:val="32"/>
          <w:szCs w:val="32"/>
        </w:rPr>
        <w:t>住房保障支出（类）住房改革支出（款）住房公积金（项）</w:t>
      </w:r>
      <w:r>
        <w:rPr>
          <w:rStyle w:val="16"/>
          <w:rFonts w:hint="eastAsia" w:ascii="仿宋" w:hAnsi="仿宋" w:eastAsia="仿宋" w:cs="仿宋"/>
          <w:b w:val="0"/>
          <w:bCs/>
          <w:color w:val="000000"/>
          <w:sz w:val="32"/>
          <w:szCs w:val="32"/>
        </w:rPr>
        <w:t>: 支出决算为43.77万元，完成预算100%</w:t>
      </w:r>
      <w:r>
        <w:rPr>
          <w:rFonts w:hint="eastAsia" w:ascii="仿宋" w:hAnsi="仿宋" w:eastAsia="仿宋" w:cs="仿宋"/>
          <w:bCs/>
          <w:sz w:val="32"/>
          <w:szCs w:val="32"/>
        </w:rPr>
        <w:t>。</w:t>
      </w:r>
    </w:p>
    <w:p w14:paraId="302E6606">
      <w:pPr>
        <w:tabs>
          <w:tab w:val="right" w:pos="8306"/>
        </w:tabs>
        <w:spacing w:line="600" w:lineRule="exact"/>
        <w:ind w:firstLine="640" w:firstLineChars="200"/>
        <w:outlineLvl w:val="1"/>
        <w:rPr>
          <w:rStyle w:val="28"/>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3A5BF0A9">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566.87</w:t>
      </w:r>
      <w:r>
        <w:rPr>
          <w:rFonts w:hint="eastAsia" w:ascii="仿宋" w:hAnsi="仿宋" w:eastAsia="仿宋"/>
          <w:sz w:val="32"/>
          <w:szCs w:val="32"/>
        </w:rPr>
        <w:t>万元，其中：</w:t>
      </w:r>
    </w:p>
    <w:p w14:paraId="63E85374">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564.55</w:t>
      </w:r>
      <w:r>
        <w:rPr>
          <w:rFonts w:hint="eastAsia" w:ascii="仿宋" w:hAnsi="仿宋" w:eastAsia="仿宋"/>
          <w:sz w:val="32"/>
          <w:szCs w:val="32"/>
        </w:rPr>
        <w:t>万元，主要包括：基本工资、津贴补贴、绩效工资、机关事业单位基本养老保险缴费、职业年金缴费、其他社会保障缴费、其他工资福利支出、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2.32</w:t>
      </w:r>
      <w:r>
        <w:rPr>
          <w:rFonts w:hint="eastAsia" w:ascii="仿宋" w:hAnsi="仿宋" w:eastAsia="仿宋"/>
          <w:sz w:val="32"/>
          <w:szCs w:val="32"/>
        </w:rPr>
        <w:t>万元，主要包括：维修（护）费、福利费。</w:t>
      </w:r>
    </w:p>
    <w:p w14:paraId="79A57278">
      <w:pPr>
        <w:spacing w:line="600" w:lineRule="exact"/>
        <w:ind w:firstLine="640" w:firstLineChars="20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7CCCF1D6">
      <w:pPr>
        <w:spacing w:line="600" w:lineRule="exact"/>
        <w:ind w:firstLine="640"/>
        <w:outlineLvl w:val="2"/>
        <w:rPr>
          <w:rFonts w:ascii="仿宋" w:hAnsi="仿宋" w:eastAsia="仿宋" w:cs="仿宋"/>
          <w:b/>
          <w:sz w:val="32"/>
          <w:szCs w:val="32"/>
        </w:rPr>
      </w:pPr>
      <w:bookmarkStart w:id="38" w:name="_Toc15377216"/>
      <w:r>
        <w:rPr>
          <w:rFonts w:hint="eastAsia" w:ascii="仿宋" w:hAnsi="仿宋" w:eastAsia="仿宋" w:cs="仿宋"/>
          <w:b/>
          <w:sz w:val="32"/>
          <w:szCs w:val="32"/>
        </w:rPr>
        <w:t>（一）“三公”经费财政拨款支出决算总体情况说明</w:t>
      </w:r>
      <w:bookmarkEnd w:id="38"/>
    </w:p>
    <w:p w14:paraId="61AFBD8F">
      <w:pPr>
        <w:spacing w:line="600" w:lineRule="exact"/>
        <w:ind w:firstLine="640"/>
        <w:outlineLvl w:val="2"/>
        <w:rPr>
          <w:rFonts w:ascii="仿宋" w:hAnsi="仿宋" w:eastAsia="仿宋" w:cs="仿宋"/>
          <w:sz w:val="32"/>
          <w:szCs w:val="32"/>
        </w:rPr>
      </w:pPr>
      <w:r>
        <w:rPr>
          <w:rFonts w:hint="eastAsia" w:ascii="仿宋" w:hAnsi="仿宋" w:eastAsia="仿宋" w:cs="仿宋"/>
          <w:sz w:val="32"/>
          <w:szCs w:val="32"/>
        </w:rPr>
        <w:t>2023年度“三公”经费财政拨款支出决算为</w:t>
      </w:r>
      <w:r>
        <w:rPr>
          <w:rFonts w:hint="eastAsia" w:ascii="仿宋" w:hAnsi="仿宋" w:eastAsia="仿宋" w:cs="仿宋"/>
          <w:b/>
          <w:sz w:val="32"/>
          <w:szCs w:val="32"/>
        </w:rPr>
        <w:t>0</w:t>
      </w:r>
      <w:r>
        <w:rPr>
          <w:rFonts w:hint="eastAsia" w:ascii="仿宋" w:hAnsi="仿宋" w:eastAsia="仿宋" w:cs="仿宋"/>
          <w:sz w:val="32"/>
          <w:szCs w:val="32"/>
        </w:rPr>
        <w:t>万元，完成预算</w:t>
      </w:r>
      <w:r>
        <w:rPr>
          <w:rFonts w:hint="eastAsia" w:ascii="仿宋" w:hAnsi="仿宋" w:eastAsia="仿宋" w:cs="仿宋"/>
          <w:b/>
          <w:sz w:val="32"/>
          <w:szCs w:val="32"/>
        </w:rPr>
        <w:t>0</w:t>
      </w:r>
      <w:r>
        <w:rPr>
          <w:rFonts w:hint="eastAsia" w:ascii="仿宋" w:hAnsi="仿宋" w:eastAsia="仿宋" w:cs="仿宋"/>
          <w:sz w:val="32"/>
          <w:szCs w:val="32"/>
        </w:rPr>
        <w:t>%，较上年度减少0.54万元，下降100%。</w:t>
      </w:r>
      <w:bookmarkStart w:id="39" w:name="_Toc15377217"/>
      <w:r>
        <w:rPr>
          <w:rFonts w:hint="eastAsia" w:ascii="仿宋" w:hAnsi="仿宋" w:eastAsia="仿宋" w:cs="仿宋"/>
          <w:sz w:val="32"/>
          <w:szCs w:val="32"/>
        </w:rPr>
        <w:t>决算数等于预算数的主要原因是缩减“三公”经费支出。</w:t>
      </w:r>
    </w:p>
    <w:p w14:paraId="7B792A80">
      <w:pPr>
        <w:spacing w:line="600" w:lineRule="exact"/>
        <w:ind w:firstLine="640"/>
        <w:outlineLvl w:val="2"/>
        <w:rPr>
          <w:rFonts w:ascii="仿宋" w:hAnsi="仿宋" w:eastAsia="仿宋" w:cs="仿宋"/>
          <w:b/>
          <w:sz w:val="32"/>
          <w:szCs w:val="32"/>
        </w:rPr>
      </w:pPr>
      <w:r>
        <w:rPr>
          <w:rFonts w:hint="eastAsia" w:ascii="仿宋" w:hAnsi="仿宋" w:eastAsia="仿宋" w:cs="仿宋"/>
          <w:b/>
          <w:sz w:val="32"/>
          <w:szCs w:val="32"/>
        </w:rPr>
        <w:t>（二）“三公”经费财政拨款支出决算具体情况说明</w:t>
      </w:r>
      <w:bookmarkEnd w:id="39"/>
    </w:p>
    <w:p w14:paraId="606852D6">
      <w:pPr>
        <w:spacing w:line="600" w:lineRule="exact"/>
        <w:ind w:firstLine="640"/>
        <w:rPr>
          <w:rFonts w:ascii="仿宋" w:hAnsi="仿宋" w:eastAsia="仿宋" w:cs="仿宋"/>
          <w:sz w:val="32"/>
          <w:szCs w:val="32"/>
        </w:rPr>
      </w:pPr>
      <w:r>
        <w:rPr>
          <w:rFonts w:hint="eastAsia" w:ascii="仿宋" w:hAnsi="仿宋" w:eastAsia="仿宋" w:cs="仿宋"/>
          <w:sz w:val="32"/>
          <w:szCs w:val="32"/>
        </w:rPr>
        <w:t>2023年度“三公”经费财政拨款支出决算中，因公出国（境）费支出决算</w:t>
      </w:r>
      <w:r>
        <w:rPr>
          <w:rFonts w:hint="eastAsia" w:ascii="仿宋" w:hAnsi="仿宋" w:eastAsia="仿宋" w:cs="仿宋"/>
          <w:b/>
          <w:sz w:val="32"/>
          <w:szCs w:val="32"/>
        </w:rPr>
        <w:t>0</w:t>
      </w:r>
      <w:r>
        <w:rPr>
          <w:rFonts w:hint="eastAsia" w:ascii="仿宋" w:hAnsi="仿宋" w:eastAsia="仿宋" w:cs="仿宋"/>
          <w:sz w:val="32"/>
          <w:szCs w:val="32"/>
        </w:rPr>
        <w:t>万元，占</w:t>
      </w:r>
      <w:r>
        <w:rPr>
          <w:rFonts w:hint="eastAsia" w:ascii="仿宋" w:hAnsi="仿宋" w:eastAsia="仿宋" w:cs="仿宋"/>
          <w:b/>
          <w:sz w:val="32"/>
          <w:szCs w:val="32"/>
        </w:rPr>
        <w:t>0</w:t>
      </w:r>
      <w:r>
        <w:rPr>
          <w:rFonts w:hint="eastAsia" w:ascii="仿宋" w:hAnsi="仿宋" w:eastAsia="仿宋" w:cs="仿宋"/>
          <w:sz w:val="32"/>
          <w:szCs w:val="32"/>
        </w:rPr>
        <w:t>%；公务用车购置及运行维护费支出决算</w:t>
      </w:r>
      <w:r>
        <w:rPr>
          <w:rFonts w:hint="eastAsia" w:ascii="仿宋" w:hAnsi="仿宋" w:eastAsia="仿宋" w:cs="仿宋"/>
          <w:b/>
          <w:sz w:val="32"/>
          <w:szCs w:val="32"/>
        </w:rPr>
        <w:t>0</w:t>
      </w:r>
      <w:r>
        <w:rPr>
          <w:rFonts w:hint="eastAsia" w:ascii="仿宋" w:hAnsi="仿宋" w:eastAsia="仿宋" w:cs="仿宋"/>
          <w:sz w:val="32"/>
          <w:szCs w:val="32"/>
        </w:rPr>
        <w:t>万元，占</w:t>
      </w:r>
      <w:r>
        <w:rPr>
          <w:rFonts w:hint="eastAsia" w:ascii="仿宋" w:hAnsi="仿宋" w:eastAsia="仿宋" w:cs="仿宋"/>
          <w:b/>
          <w:sz w:val="32"/>
          <w:szCs w:val="32"/>
        </w:rPr>
        <w:t>0</w:t>
      </w:r>
      <w:r>
        <w:rPr>
          <w:rFonts w:hint="eastAsia" w:ascii="仿宋" w:hAnsi="仿宋" w:eastAsia="仿宋" w:cs="仿宋"/>
          <w:sz w:val="32"/>
          <w:szCs w:val="32"/>
        </w:rPr>
        <w:t>%；公务接待费支出决算</w:t>
      </w:r>
      <w:r>
        <w:rPr>
          <w:rFonts w:hint="eastAsia" w:ascii="仿宋" w:hAnsi="仿宋" w:eastAsia="仿宋" w:cs="仿宋"/>
          <w:b/>
          <w:sz w:val="32"/>
          <w:szCs w:val="32"/>
        </w:rPr>
        <w:t>0</w:t>
      </w:r>
      <w:r>
        <w:rPr>
          <w:rFonts w:hint="eastAsia" w:ascii="仿宋" w:hAnsi="仿宋" w:eastAsia="仿宋" w:cs="仿宋"/>
          <w:sz w:val="32"/>
          <w:szCs w:val="32"/>
        </w:rPr>
        <w:t>万元，占</w:t>
      </w:r>
      <w:r>
        <w:rPr>
          <w:rFonts w:hint="eastAsia" w:ascii="仿宋" w:hAnsi="仿宋" w:eastAsia="仿宋" w:cs="仿宋"/>
          <w:b/>
          <w:sz w:val="32"/>
          <w:szCs w:val="32"/>
        </w:rPr>
        <w:t>0</w:t>
      </w:r>
      <w:r>
        <w:rPr>
          <w:rFonts w:hint="eastAsia" w:ascii="仿宋" w:hAnsi="仿宋" w:eastAsia="仿宋" w:cs="仿宋"/>
          <w:sz w:val="32"/>
          <w:szCs w:val="32"/>
        </w:rPr>
        <w:t>%。具体情况如下：</w:t>
      </w:r>
    </w:p>
    <w:p w14:paraId="18CB40FC">
      <w:pPr>
        <w:spacing w:line="600" w:lineRule="exact"/>
        <w:ind w:firstLine="640"/>
        <w:rPr>
          <w:rFonts w:ascii="仿宋" w:hAnsi="仿宋" w:eastAsia="仿宋" w:cs="仿宋"/>
          <w:b/>
          <w:sz w:val="32"/>
          <w:szCs w:val="32"/>
        </w:rPr>
      </w:pPr>
      <w:bookmarkStart w:id="40" w:name="_Toc15396610"/>
      <w:bookmarkStart w:id="41" w:name="_Toc15377218"/>
      <w:r>
        <w:rPr>
          <w:rFonts w:hint="eastAsia" w:ascii="仿宋" w:hAnsi="仿宋" w:eastAsia="仿宋" w:cs="仿宋"/>
          <w:b/>
          <w:sz w:val="32"/>
          <w:szCs w:val="32"/>
        </w:rPr>
        <w:t>1.因公出国（境）经费支出0</w:t>
      </w:r>
      <w:r>
        <w:rPr>
          <w:rFonts w:hint="eastAsia" w:ascii="仿宋" w:hAnsi="仿宋" w:eastAsia="仿宋" w:cs="仿宋"/>
          <w:sz w:val="32"/>
          <w:szCs w:val="32"/>
        </w:rPr>
        <w:t>万元，</w:t>
      </w:r>
      <w:r>
        <w:rPr>
          <w:rStyle w:val="16"/>
          <w:rFonts w:hint="eastAsia" w:ascii="仿宋" w:hAnsi="仿宋" w:eastAsia="仿宋" w:cs="仿宋"/>
          <w:b w:val="0"/>
          <w:bCs/>
          <w:sz w:val="32"/>
          <w:szCs w:val="32"/>
        </w:rPr>
        <w:t>完成预算</w:t>
      </w:r>
      <w:r>
        <w:rPr>
          <w:rStyle w:val="16"/>
          <w:rFonts w:hint="eastAsia" w:ascii="仿宋" w:hAnsi="仿宋" w:eastAsia="仿宋" w:cs="仿宋"/>
          <w:bCs/>
          <w:sz w:val="32"/>
          <w:szCs w:val="32"/>
        </w:rPr>
        <w:t>0</w:t>
      </w:r>
      <w:r>
        <w:rPr>
          <w:rStyle w:val="16"/>
          <w:rFonts w:hint="eastAsia" w:ascii="仿宋" w:hAnsi="仿宋" w:eastAsia="仿宋" w:cs="仿宋"/>
          <w:b w:val="0"/>
          <w:bCs/>
          <w:sz w:val="32"/>
          <w:szCs w:val="32"/>
        </w:rPr>
        <w:t>%。</w:t>
      </w:r>
      <w:r>
        <w:rPr>
          <w:rFonts w:hint="eastAsia" w:ascii="仿宋" w:hAnsi="仿宋" w:eastAsia="仿宋" w:cs="仿宋"/>
          <w:sz w:val="32"/>
          <w:szCs w:val="32"/>
        </w:rPr>
        <w:t>全年安排因公出国（境）团组</w:t>
      </w:r>
      <w:r>
        <w:rPr>
          <w:rFonts w:hint="eastAsia" w:ascii="仿宋" w:hAnsi="仿宋" w:eastAsia="仿宋" w:cs="仿宋"/>
          <w:b/>
          <w:sz w:val="32"/>
          <w:szCs w:val="32"/>
        </w:rPr>
        <w:t>0</w:t>
      </w:r>
      <w:r>
        <w:rPr>
          <w:rFonts w:hint="eastAsia" w:ascii="仿宋" w:hAnsi="仿宋" w:eastAsia="仿宋" w:cs="仿宋"/>
          <w:sz w:val="32"/>
          <w:szCs w:val="32"/>
        </w:rPr>
        <w:t>次，出国（境）</w:t>
      </w:r>
      <w:r>
        <w:rPr>
          <w:rFonts w:hint="eastAsia" w:ascii="仿宋" w:hAnsi="仿宋" w:eastAsia="仿宋" w:cs="仿宋"/>
          <w:b/>
          <w:sz w:val="32"/>
          <w:szCs w:val="32"/>
        </w:rPr>
        <w:t>0</w:t>
      </w:r>
      <w:r>
        <w:rPr>
          <w:rFonts w:hint="eastAsia" w:ascii="仿宋" w:hAnsi="仿宋" w:eastAsia="仿宋" w:cs="仿宋"/>
          <w:sz w:val="32"/>
          <w:szCs w:val="32"/>
        </w:rPr>
        <w:t>人。因公出国（境）支出决算比2022年增加0万元，增长0%。</w:t>
      </w:r>
    </w:p>
    <w:p w14:paraId="4FD23097">
      <w:pPr>
        <w:spacing w:line="600" w:lineRule="exact"/>
        <w:ind w:firstLine="640"/>
        <w:rPr>
          <w:rFonts w:ascii="仿宋" w:hAnsi="仿宋" w:eastAsia="仿宋" w:cs="仿宋"/>
          <w:b/>
          <w:sz w:val="32"/>
          <w:szCs w:val="32"/>
        </w:rPr>
      </w:pPr>
      <w:r>
        <w:rPr>
          <w:rFonts w:hint="eastAsia" w:ascii="仿宋" w:hAnsi="仿宋" w:eastAsia="仿宋" w:cs="仿宋"/>
          <w:b/>
          <w:sz w:val="32"/>
          <w:szCs w:val="32"/>
        </w:rPr>
        <w:t>2.公务用车购置及运行维护费支出0</w:t>
      </w:r>
      <w:r>
        <w:rPr>
          <w:rFonts w:hint="eastAsia" w:ascii="仿宋" w:hAnsi="仿宋" w:eastAsia="仿宋" w:cs="仿宋"/>
          <w:sz w:val="32"/>
          <w:szCs w:val="32"/>
        </w:rPr>
        <w:t>万元,</w:t>
      </w:r>
      <w:r>
        <w:rPr>
          <w:rStyle w:val="16"/>
          <w:rFonts w:hint="eastAsia" w:ascii="仿宋" w:hAnsi="仿宋" w:eastAsia="仿宋" w:cs="仿宋"/>
          <w:b w:val="0"/>
          <w:bCs/>
          <w:sz w:val="32"/>
          <w:szCs w:val="32"/>
        </w:rPr>
        <w:t>完成预算</w:t>
      </w:r>
      <w:r>
        <w:rPr>
          <w:rStyle w:val="16"/>
          <w:rFonts w:hint="eastAsia" w:ascii="仿宋" w:hAnsi="仿宋" w:eastAsia="仿宋" w:cs="仿宋"/>
          <w:bCs/>
          <w:sz w:val="32"/>
          <w:szCs w:val="32"/>
        </w:rPr>
        <w:t>0</w:t>
      </w:r>
      <w:r>
        <w:rPr>
          <w:rStyle w:val="16"/>
          <w:rFonts w:hint="eastAsia" w:ascii="仿宋" w:hAnsi="仿宋" w:eastAsia="仿宋" w:cs="仿宋"/>
          <w:b w:val="0"/>
          <w:bCs/>
          <w:sz w:val="32"/>
          <w:szCs w:val="32"/>
        </w:rPr>
        <w:t>%。</w:t>
      </w:r>
      <w:r>
        <w:rPr>
          <w:rFonts w:hint="eastAsia" w:ascii="仿宋" w:hAnsi="仿宋" w:eastAsia="仿宋" w:cs="仿宋"/>
          <w:sz w:val="32"/>
          <w:szCs w:val="32"/>
        </w:rPr>
        <w:t>公务用车购置及运行维护费支出决算比2022年度减少0.54万元，下降100%，主要原因是本年无公务用车购置及运行维护费用。</w:t>
      </w:r>
    </w:p>
    <w:p w14:paraId="57556DA9">
      <w:pPr>
        <w:spacing w:line="600" w:lineRule="exact"/>
        <w:ind w:firstLine="640" w:firstLineChars="200"/>
        <w:rPr>
          <w:rFonts w:ascii="仿宋" w:hAnsi="仿宋" w:eastAsia="仿宋" w:cs="仿宋"/>
          <w:b/>
          <w:sz w:val="32"/>
          <w:szCs w:val="32"/>
        </w:rPr>
      </w:pPr>
      <w:r>
        <w:rPr>
          <w:rFonts w:hint="eastAsia" w:ascii="仿宋" w:hAnsi="仿宋" w:eastAsia="仿宋" w:cs="仿宋"/>
          <w:sz w:val="32"/>
          <w:szCs w:val="32"/>
        </w:rPr>
        <w:t>其中：</w:t>
      </w:r>
      <w:r>
        <w:rPr>
          <w:rFonts w:hint="eastAsia" w:ascii="仿宋" w:hAnsi="仿宋" w:eastAsia="仿宋" w:cs="仿宋"/>
          <w:b/>
          <w:sz w:val="32"/>
          <w:szCs w:val="32"/>
        </w:rPr>
        <w:t>公务用车购置支出0</w:t>
      </w:r>
      <w:r>
        <w:rPr>
          <w:rFonts w:hint="eastAsia" w:ascii="仿宋" w:hAnsi="仿宋" w:eastAsia="仿宋" w:cs="仿宋"/>
          <w:sz w:val="32"/>
          <w:szCs w:val="32"/>
        </w:rPr>
        <w:t>万元。全年按规定更新购置公务用车0辆，其中：轿车0辆、金额0万元，越野车0辆、金额0万元，载客汽车0辆、金额0万元。截至2023年12月31日，单位共有公务用车1辆，其中：特种专业用车1辆。</w:t>
      </w:r>
    </w:p>
    <w:p w14:paraId="28306E36">
      <w:pPr>
        <w:spacing w:line="600" w:lineRule="exact"/>
        <w:ind w:firstLine="640"/>
        <w:rPr>
          <w:rFonts w:ascii="仿宋" w:hAnsi="仿宋" w:eastAsia="仿宋" w:cs="仿宋"/>
          <w:sz w:val="32"/>
          <w:szCs w:val="32"/>
        </w:rPr>
      </w:pPr>
      <w:r>
        <w:rPr>
          <w:rFonts w:hint="eastAsia" w:ascii="仿宋" w:hAnsi="仿宋" w:eastAsia="仿宋" w:cs="仿宋"/>
          <w:b/>
          <w:sz w:val="32"/>
          <w:szCs w:val="32"/>
        </w:rPr>
        <w:t>公务用车运行维护费支出0</w:t>
      </w:r>
      <w:r>
        <w:rPr>
          <w:rFonts w:hint="eastAsia" w:ascii="仿宋" w:hAnsi="仿宋" w:eastAsia="仿宋" w:cs="仿宋"/>
          <w:sz w:val="32"/>
          <w:szCs w:val="32"/>
        </w:rPr>
        <w:t>万元。</w:t>
      </w:r>
    </w:p>
    <w:p w14:paraId="0A0BE220">
      <w:pPr>
        <w:spacing w:line="600" w:lineRule="exact"/>
        <w:ind w:firstLine="640"/>
        <w:rPr>
          <w:rFonts w:ascii="仿宋" w:hAnsi="仿宋" w:eastAsia="仿宋" w:cs="仿宋"/>
          <w:sz w:val="32"/>
          <w:szCs w:val="32"/>
        </w:rPr>
      </w:pPr>
      <w:r>
        <w:rPr>
          <w:rFonts w:hint="eastAsia" w:ascii="仿宋" w:hAnsi="仿宋" w:eastAsia="仿宋" w:cs="仿宋"/>
          <w:sz w:val="32"/>
          <w:szCs w:val="32"/>
        </w:rPr>
        <w:t>公务接待费支出决算比2022年度减少0.54万元，下降100%。主要原因是本年无三公经费支出。其中：</w:t>
      </w:r>
    </w:p>
    <w:p w14:paraId="0DE1E687">
      <w:pPr>
        <w:spacing w:line="600" w:lineRule="exact"/>
        <w:ind w:firstLine="640"/>
        <w:rPr>
          <w:rFonts w:ascii="仿宋" w:hAnsi="仿宋" w:eastAsia="仿宋" w:cs="仿宋"/>
          <w:b w:val="0"/>
          <w:bCs/>
          <w:sz w:val="32"/>
          <w:szCs w:val="32"/>
        </w:rPr>
      </w:pPr>
      <w:r>
        <w:rPr>
          <w:rFonts w:hint="eastAsia" w:ascii="仿宋" w:hAnsi="仿宋" w:eastAsia="仿宋" w:cs="仿宋"/>
          <w:b w:val="0"/>
          <w:bCs/>
          <w:sz w:val="32"/>
          <w:szCs w:val="32"/>
        </w:rPr>
        <w:t>国内公务接待支出0万元。</w:t>
      </w:r>
    </w:p>
    <w:p w14:paraId="3679ADCB">
      <w:pPr>
        <w:spacing w:line="600" w:lineRule="exact"/>
        <w:ind w:firstLine="640" w:firstLineChars="200"/>
        <w:rPr>
          <w:rFonts w:ascii="仿宋" w:hAnsi="仿宋" w:eastAsia="仿宋" w:cs="仿宋"/>
          <w:sz w:val="32"/>
          <w:szCs w:val="32"/>
        </w:rPr>
      </w:pPr>
      <w:r>
        <w:rPr>
          <w:rFonts w:hint="eastAsia" w:ascii="仿宋" w:hAnsi="仿宋" w:eastAsia="仿宋" w:cs="仿宋"/>
          <w:b w:val="0"/>
          <w:bCs/>
          <w:sz w:val="32"/>
          <w:szCs w:val="32"/>
        </w:rPr>
        <w:t>外事接待支出0万元。</w:t>
      </w:r>
    </w:p>
    <w:p w14:paraId="56ED0EE6">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14:paraId="480C0443">
      <w:pPr>
        <w:spacing w:line="600" w:lineRule="exact"/>
        <w:ind w:firstLine="640"/>
      </w:pPr>
      <w:r>
        <w:rPr>
          <w:rFonts w:hint="eastAsia" w:ascii="仿宋" w:hAnsi="仿宋" w:eastAsia="仿宋" w:cs="仿宋"/>
          <w:sz w:val="32"/>
          <w:szCs w:val="32"/>
        </w:rPr>
        <w:t>2023年度政府性基金预算财政拨款支出</w:t>
      </w:r>
      <w:r>
        <w:rPr>
          <w:rFonts w:hint="eastAsia" w:ascii="仿宋" w:hAnsi="仿宋" w:eastAsia="仿宋" w:cs="仿宋"/>
          <w:b/>
          <w:sz w:val="32"/>
          <w:szCs w:val="32"/>
        </w:rPr>
        <w:t>0</w:t>
      </w:r>
      <w:r>
        <w:rPr>
          <w:rFonts w:hint="eastAsia" w:ascii="仿宋" w:hAnsi="仿宋" w:eastAsia="仿宋" w:cs="仿宋"/>
          <w:sz w:val="32"/>
          <w:szCs w:val="32"/>
        </w:rPr>
        <w:t>万元。</w:t>
      </w:r>
      <w:r>
        <w:rPr>
          <w:rFonts w:hint="eastAsia" w:eastAsia="仿宋_GB2312" w:cs="Times New Roman"/>
          <w:sz w:val="32"/>
          <w:szCs w:val="32"/>
          <w:lang w:eastAsia="zh-CN"/>
        </w:rPr>
        <w:t>本单位</w:t>
      </w:r>
      <w:r>
        <w:rPr>
          <w:rFonts w:hint="default" w:ascii="Times New Roman" w:hAnsi="Times New Roman" w:eastAsia="仿宋_GB2312" w:cs="Times New Roman"/>
          <w:sz w:val="32"/>
          <w:szCs w:val="32"/>
          <w:lang w:eastAsia="zh-CN"/>
        </w:rPr>
        <w:t>无</w:t>
      </w:r>
      <w:r>
        <w:rPr>
          <w:rFonts w:hint="default" w:ascii="Times New Roman" w:hAnsi="Times New Roman" w:eastAsia="仿宋_GB2312" w:cs="Times New Roman"/>
          <w:sz w:val="32"/>
          <w:szCs w:val="32"/>
        </w:rPr>
        <w:t>政府性基金预算财政拨款</w:t>
      </w:r>
      <w:r>
        <w:rPr>
          <w:rFonts w:hint="default" w:ascii="Times New Roman" w:hAnsi="Times New Roman" w:eastAsia="仿宋_GB2312" w:cs="Times New Roman"/>
          <w:sz w:val="32"/>
          <w:szCs w:val="32"/>
          <w:lang w:eastAsia="zh-CN"/>
        </w:rPr>
        <w:t>收入，无</w:t>
      </w:r>
      <w:r>
        <w:rPr>
          <w:rFonts w:hint="default" w:ascii="Times New Roman" w:hAnsi="Times New Roman" w:eastAsia="仿宋_GB2312" w:cs="Times New Roman"/>
          <w:sz w:val="32"/>
          <w:szCs w:val="32"/>
        </w:rPr>
        <w:t>政府性基金预算财政拨款</w:t>
      </w:r>
      <w:r>
        <w:rPr>
          <w:rFonts w:hint="default" w:ascii="Times New Roman" w:hAnsi="Times New Roman" w:eastAsia="仿宋_GB2312" w:cs="Times New Roman"/>
          <w:sz w:val="32"/>
          <w:szCs w:val="32"/>
          <w:lang w:eastAsia="zh-CN"/>
        </w:rPr>
        <w:t>支出。</w:t>
      </w:r>
    </w:p>
    <w:p w14:paraId="32CB16A2">
      <w:pPr>
        <w:numPr>
          <w:ilvl w:val="0"/>
          <w:numId w:val="2"/>
        </w:numPr>
        <w:spacing w:line="600" w:lineRule="exact"/>
        <w:ind w:firstLine="640"/>
        <w:outlineLvl w:val="1"/>
        <w:rPr>
          <w:rStyle w:val="28"/>
          <w:rFonts w:ascii="黑体" w:hAnsi="黑体" w:eastAsia="黑体"/>
          <w:b w:val="0"/>
        </w:rPr>
      </w:pPr>
      <w:bookmarkStart w:id="42" w:name="_Toc15377219"/>
      <w:bookmarkStart w:id="43" w:name="_Toc15396611"/>
      <w:r>
        <w:rPr>
          <w:rStyle w:val="28"/>
          <w:rFonts w:hint="eastAsia" w:ascii="黑体" w:hAnsi="黑体" w:eastAsia="黑体"/>
          <w:b w:val="0"/>
        </w:rPr>
        <w:t>国有资本经营预算支出决算情况说明</w:t>
      </w:r>
      <w:bookmarkEnd w:id="42"/>
      <w:bookmarkEnd w:id="43"/>
    </w:p>
    <w:p w14:paraId="34DD025F">
      <w:pPr>
        <w:spacing w:line="600" w:lineRule="exact"/>
        <w:ind w:firstLine="640"/>
        <w:rPr>
          <w:rFonts w:hint="eastAsia" w:ascii="仿宋" w:hAnsi="仿宋" w:eastAsia="仿宋" w:cs="仿宋"/>
          <w:sz w:val="32"/>
          <w:szCs w:val="32"/>
        </w:rPr>
      </w:pPr>
      <w:r>
        <w:rPr>
          <w:rFonts w:hint="eastAsia" w:ascii="仿宋" w:hAnsi="仿宋" w:eastAsia="仿宋" w:cs="仿宋"/>
          <w:sz w:val="32"/>
          <w:szCs w:val="32"/>
        </w:rPr>
        <w:t>2023年度国有资本经营预算财政拨款支出</w:t>
      </w:r>
      <w:r>
        <w:rPr>
          <w:rFonts w:hint="eastAsia" w:ascii="仿宋" w:hAnsi="仿宋" w:eastAsia="仿宋" w:cs="仿宋"/>
          <w:b/>
          <w:sz w:val="32"/>
          <w:szCs w:val="32"/>
        </w:rPr>
        <w:t>0</w:t>
      </w:r>
      <w:r>
        <w:rPr>
          <w:rFonts w:hint="eastAsia" w:ascii="仿宋" w:hAnsi="仿宋" w:eastAsia="仿宋" w:cs="仿宋"/>
          <w:sz w:val="32"/>
          <w:szCs w:val="32"/>
        </w:rPr>
        <w:t>万元。</w:t>
      </w:r>
    </w:p>
    <w:p w14:paraId="7E9632FC">
      <w:pPr>
        <w:spacing w:line="600" w:lineRule="exact"/>
        <w:ind w:firstLine="640"/>
      </w:pPr>
      <w:r>
        <w:rPr>
          <w:rFonts w:hint="default" w:ascii="Times New Roman" w:hAnsi="Times New Roman" w:eastAsia="仿宋_GB2312" w:cs="Times New Roman"/>
          <w:sz w:val="32"/>
          <w:szCs w:val="32"/>
          <w:lang w:eastAsia="zh-CN"/>
        </w:rPr>
        <w:t>本中心无</w:t>
      </w:r>
      <w:r>
        <w:rPr>
          <w:rFonts w:hint="default" w:ascii="Times New Roman" w:hAnsi="Times New Roman" w:eastAsia="仿宋_GB2312" w:cs="Times New Roman"/>
          <w:sz w:val="32"/>
          <w:szCs w:val="32"/>
        </w:rPr>
        <w:t>国有资本经营预算财政拨款</w:t>
      </w:r>
      <w:r>
        <w:rPr>
          <w:rFonts w:hint="default" w:ascii="Times New Roman" w:hAnsi="Times New Roman" w:eastAsia="仿宋_GB2312" w:cs="Times New Roman"/>
          <w:sz w:val="32"/>
          <w:szCs w:val="32"/>
          <w:lang w:eastAsia="zh-CN"/>
        </w:rPr>
        <w:t>收入，无</w:t>
      </w:r>
      <w:r>
        <w:rPr>
          <w:rFonts w:hint="default" w:ascii="Times New Roman" w:hAnsi="Times New Roman" w:eastAsia="仿宋_GB2312" w:cs="Times New Roman"/>
          <w:sz w:val="32"/>
          <w:szCs w:val="32"/>
        </w:rPr>
        <w:t>国有资本经营预算财政拨款</w:t>
      </w:r>
      <w:r>
        <w:rPr>
          <w:rFonts w:hint="default" w:ascii="Times New Roman" w:hAnsi="Times New Roman" w:eastAsia="仿宋_GB2312" w:cs="Times New Roman"/>
          <w:sz w:val="32"/>
          <w:szCs w:val="32"/>
          <w:lang w:eastAsia="zh-CN"/>
        </w:rPr>
        <w:t>支出。</w:t>
      </w:r>
    </w:p>
    <w:p w14:paraId="007C5764">
      <w:pPr>
        <w:numPr>
          <w:ilvl w:val="0"/>
          <w:numId w:val="2"/>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14:paraId="172BDB90">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07DF42EA">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w:t>
      </w:r>
      <w:r>
        <w:rPr>
          <w:rFonts w:hint="eastAsia" w:ascii="仿宋" w:hAnsi="仿宋" w:eastAsia="仿宋" w:cs="仿宋"/>
          <w:b w:val="0"/>
          <w:bCs/>
          <w:sz w:val="32"/>
          <w:szCs w:val="32"/>
        </w:rPr>
        <w:t>盐边县妇幼保健服务中心</w:t>
      </w:r>
      <w:r>
        <w:rPr>
          <w:rFonts w:hint="eastAsia" w:ascii="仿宋" w:hAnsi="仿宋" w:eastAsia="仿宋" w:cs="仿宋"/>
          <w:sz w:val="32"/>
          <w:szCs w:val="32"/>
        </w:rPr>
        <w:t>机关运行经费支出</w:t>
      </w:r>
      <w:r>
        <w:rPr>
          <w:rFonts w:hint="eastAsia" w:ascii="仿宋" w:hAnsi="仿宋" w:eastAsia="仿宋" w:cs="仿宋"/>
          <w:b/>
          <w:sz w:val="32"/>
          <w:szCs w:val="32"/>
        </w:rPr>
        <w:t>0</w:t>
      </w:r>
      <w:r>
        <w:rPr>
          <w:rFonts w:hint="eastAsia" w:ascii="仿宋" w:hAnsi="仿宋" w:eastAsia="仿宋" w:cs="仿宋"/>
          <w:sz w:val="32"/>
          <w:szCs w:val="32"/>
        </w:rPr>
        <w:t>万元，比2022年度持平。</w:t>
      </w:r>
    </w:p>
    <w:p w14:paraId="6136FE4F">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4160898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w:t>
      </w:r>
      <w:r>
        <w:rPr>
          <w:rFonts w:hint="eastAsia" w:ascii="仿宋" w:hAnsi="仿宋" w:eastAsia="仿宋" w:cs="仿宋"/>
          <w:bCs/>
          <w:sz w:val="32"/>
          <w:szCs w:val="32"/>
        </w:rPr>
        <w:t>盐边县妇幼保健服务中心</w:t>
      </w:r>
      <w:r>
        <w:rPr>
          <w:rFonts w:hint="eastAsia" w:ascii="仿宋" w:hAnsi="仿宋" w:eastAsia="仿宋" w:cs="仿宋"/>
          <w:sz w:val="32"/>
          <w:szCs w:val="32"/>
        </w:rPr>
        <w:t>政府采购支出总额</w:t>
      </w:r>
      <w:r>
        <w:rPr>
          <w:rFonts w:hint="eastAsia" w:ascii="仿宋" w:hAnsi="仿宋" w:eastAsia="仿宋" w:cs="仿宋"/>
          <w:b/>
          <w:sz w:val="32"/>
          <w:szCs w:val="32"/>
        </w:rPr>
        <w:t>0</w:t>
      </w:r>
      <w:r>
        <w:rPr>
          <w:rFonts w:hint="eastAsia" w:ascii="仿宋" w:hAnsi="仿宋" w:eastAsia="仿宋" w:cs="仿宋"/>
          <w:sz w:val="32"/>
          <w:szCs w:val="32"/>
        </w:rPr>
        <w:t>万元，其中：政府采购货物支出</w:t>
      </w:r>
      <w:r>
        <w:rPr>
          <w:rFonts w:hint="eastAsia" w:ascii="仿宋" w:hAnsi="仿宋" w:eastAsia="仿宋" w:cs="仿宋"/>
          <w:b/>
          <w:sz w:val="32"/>
          <w:szCs w:val="32"/>
        </w:rPr>
        <w:t>0</w:t>
      </w:r>
      <w:r>
        <w:rPr>
          <w:rFonts w:hint="eastAsia" w:ascii="仿宋" w:hAnsi="仿宋" w:eastAsia="仿宋" w:cs="仿宋"/>
          <w:sz w:val="32"/>
          <w:szCs w:val="32"/>
        </w:rPr>
        <w:t>万元、政府采购工程支出</w:t>
      </w:r>
      <w:r>
        <w:rPr>
          <w:rFonts w:hint="eastAsia" w:ascii="仿宋" w:hAnsi="仿宋" w:eastAsia="仿宋" w:cs="仿宋"/>
          <w:b/>
          <w:sz w:val="32"/>
          <w:szCs w:val="32"/>
        </w:rPr>
        <w:t>0</w:t>
      </w:r>
      <w:r>
        <w:rPr>
          <w:rFonts w:hint="eastAsia" w:ascii="仿宋" w:hAnsi="仿宋" w:eastAsia="仿宋" w:cs="仿宋"/>
          <w:sz w:val="32"/>
          <w:szCs w:val="32"/>
        </w:rPr>
        <w:t>万元、政府采购服务支出</w:t>
      </w:r>
      <w:r>
        <w:rPr>
          <w:rFonts w:hint="eastAsia" w:ascii="仿宋" w:hAnsi="仿宋" w:eastAsia="仿宋" w:cs="仿宋"/>
          <w:b/>
          <w:sz w:val="32"/>
          <w:szCs w:val="32"/>
        </w:rPr>
        <w:t>0</w:t>
      </w:r>
      <w:r>
        <w:rPr>
          <w:rFonts w:hint="eastAsia" w:ascii="仿宋" w:hAnsi="仿宋" w:eastAsia="仿宋" w:cs="仿宋"/>
          <w:sz w:val="32"/>
          <w:szCs w:val="32"/>
        </w:rPr>
        <w:t>万元。授予中小企业合同金额</w:t>
      </w:r>
      <w:r>
        <w:rPr>
          <w:rFonts w:hint="eastAsia" w:ascii="仿宋" w:hAnsi="仿宋" w:eastAsia="仿宋" w:cs="仿宋"/>
          <w:b/>
          <w:sz w:val="32"/>
          <w:szCs w:val="32"/>
        </w:rPr>
        <w:t>0</w:t>
      </w:r>
      <w:r>
        <w:rPr>
          <w:rFonts w:hint="eastAsia" w:ascii="仿宋" w:hAnsi="仿宋" w:eastAsia="仿宋" w:cs="仿宋"/>
          <w:sz w:val="32"/>
          <w:szCs w:val="32"/>
        </w:rPr>
        <w:t>万元，占政府采购支出总额的0%，其中：授予小微企业合同金额</w:t>
      </w:r>
      <w:r>
        <w:rPr>
          <w:rFonts w:hint="eastAsia" w:ascii="仿宋" w:hAnsi="仿宋" w:eastAsia="仿宋" w:cs="仿宋"/>
          <w:b/>
          <w:sz w:val="32"/>
          <w:szCs w:val="32"/>
        </w:rPr>
        <w:t>0</w:t>
      </w:r>
      <w:r>
        <w:rPr>
          <w:rFonts w:hint="eastAsia" w:ascii="仿宋" w:hAnsi="仿宋" w:eastAsia="仿宋" w:cs="仿宋"/>
          <w:sz w:val="32"/>
          <w:szCs w:val="32"/>
        </w:rPr>
        <w:t>万元，占政府采购支出总额的</w:t>
      </w:r>
      <w:r>
        <w:rPr>
          <w:rFonts w:hint="eastAsia" w:ascii="仿宋" w:hAnsi="仿宋" w:eastAsia="仿宋" w:cs="仿宋"/>
          <w:b/>
          <w:sz w:val="32"/>
          <w:szCs w:val="32"/>
        </w:rPr>
        <w:t>0</w:t>
      </w:r>
      <w:r>
        <w:rPr>
          <w:rFonts w:hint="eastAsia" w:ascii="仿宋" w:hAnsi="仿宋" w:eastAsia="仿宋" w:cs="仿宋"/>
          <w:sz w:val="32"/>
          <w:szCs w:val="32"/>
        </w:rPr>
        <w:t>%。</w:t>
      </w:r>
    </w:p>
    <w:p w14:paraId="7762521D">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7AE59277">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 w:hAnsi="仿宋" w:eastAsia="仿宋" w:cs="仿宋"/>
          <w:sz w:val="32"/>
          <w:szCs w:val="32"/>
        </w:rPr>
        <w:t>截至2023年12月31日，</w:t>
      </w:r>
      <w:r>
        <w:rPr>
          <w:rFonts w:hint="eastAsia" w:ascii="仿宋" w:hAnsi="仿宋" w:eastAsia="仿宋" w:cs="仿宋"/>
          <w:bCs/>
          <w:sz w:val="32"/>
          <w:szCs w:val="32"/>
        </w:rPr>
        <w:t>盐边县妇幼保健服务中心</w:t>
      </w:r>
      <w:r>
        <w:rPr>
          <w:rFonts w:hint="eastAsia" w:ascii="仿宋" w:hAnsi="仿宋" w:eastAsia="仿宋" w:cs="仿宋"/>
          <w:sz w:val="32"/>
          <w:szCs w:val="32"/>
        </w:rPr>
        <w:t>共有车辆</w:t>
      </w:r>
      <w:r>
        <w:rPr>
          <w:rFonts w:hint="eastAsia" w:ascii="仿宋" w:hAnsi="仿宋" w:eastAsia="仿宋" w:cs="仿宋"/>
          <w:b/>
          <w:sz w:val="32"/>
          <w:szCs w:val="32"/>
        </w:rPr>
        <w:t>1</w:t>
      </w:r>
      <w:r>
        <w:rPr>
          <w:rFonts w:hint="eastAsia" w:ascii="仿宋" w:hAnsi="仿宋" w:eastAsia="仿宋" w:cs="仿宋"/>
          <w:sz w:val="32"/>
          <w:szCs w:val="32"/>
        </w:rPr>
        <w:t>辆，其中：其他用车1辆，其他用车主要是用于小型救护车用于下乡督导。单价100万元以上设备（不含车辆）</w:t>
      </w:r>
      <w:r>
        <w:rPr>
          <w:rFonts w:hint="eastAsia" w:ascii="仿宋" w:hAnsi="仿宋" w:eastAsia="仿宋" w:cs="仿宋"/>
          <w:b/>
          <w:sz w:val="32"/>
          <w:szCs w:val="32"/>
        </w:rPr>
        <w:t>0</w:t>
      </w:r>
      <w:r>
        <w:rPr>
          <w:rFonts w:hint="eastAsia" w:ascii="仿宋" w:hAnsi="仿宋" w:eastAsia="仿宋" w:cs="仿宋"/>
          <w:sz w:val="32"/>
          <w:szCs w:val="32"/>
        </w:rPr>
        <w:t>台（套）。</w:t>
      </w:r>
    </w:p>
    <w:p w14:paraId="455EF17F">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1B01D247">
      <w:pPr>
        <w:widowControl/>
        <w:ind w:firstLine="640" w:firstLineChars="200"/>
        <w:jc w:val="left"/>
        <w:rPr>
          <w:rFonts w:eastAsia="仿宋_GB2312"/>
          <w:b/>
          <w:sz w:val="32"/>
          <w:szCs w:val="32"/>
        </w:rPr>
      </w:pPr>
      <w:r>
        <w:rPr>
          <w:rFonts w:hint="eastAsia" w:ascii="仿宋" w:hAnsi="仿宋" w:eastAsia="仿宋" w:cs="仿宋"/>
          <w:sz w:val="32"/>
          <w:szCs w:val="32"/>
        </w:rPr>
        <w:t>根据预算绩效管理要求，本单位在2023年度预算编制阶段，组织对医疗机构事业发展资金项目、基本公共卫生（孕检）补助资金项目、基本公共卫生（妇幼卫生监测）资金项目、卫生健康专项资金（婚检）资金项目、医疗服务与保障能力提升资金项目、重大公共卫生补助资金（重大传染病防控-艾滋病、乙肝、梅毒）项目、新冠肺炎疫情防控资金项目等20个项目开展了预算事前绩效评估，对20个项目编制了绩效目标，预算执行过程中，选取20个项目开展绩效监控,组织对20个项目开展绩效自评，绩效自评表详见第四部分附件。</w:t>
      </w:r>
      <w:r>
        <w:rPr>
          <w:rFonts w:eastAsia="仿宋_GB2312"/>
          <w:b/>
          <w:sz w:val="32"/>
          <w:szCs w:val="32"/>
        </w:rPr>
        <w:br w:type="page"/>
      </w:r>
    </w:p>
    <w:p w14:paraId="2E2DEB99">
      <w:pPr>
        <w:ind w:firstLine="3520" w:firstLineChars="800"/>
        <w:rPr>
          <w:rStyle w:val="27"/>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7"/>
          <w:rFonts w:hint="eastAsia" w:ascii="黑体" w:hAnsi="黑体" w:eastAsia="黑体"/>
          <w:b w:val="0"/>
        </w:rPr>
        <w:t>词解释</w:t>
      </w:r>
      <w:bookmarkEnd w:id="49"/>
      <w:bookmarkEnd w:id="50"/>
    </w:p>
    <w:p w14:paraId="026BFBE7">
      <w:pPr>
        <w:spacing w:line="600" w:lineRule="exact"/>
        <w:jc w:val="left"/>
        <w:rPr>
          <w:rFonts w:ascii="宋体"/>
          <w:b/>
          <w:sz w:val="44"/>
          <w:szCs w:val="44"/>
        </w:rPr>
      </w:pPr>
    </w:p>
    <w:p w14:paraId="7CC5117C">
      <w:pPr>
        <w:pStyle w:val="25"/>
        <w:spacing w:line="560" w:lineRule="exact"/>
        <w:ind w:firstLine="640" w:firstLineChars="200"/>
        <w:rPr>
          <w:rFonts w:hAnsi="仿宋"/>
          <w:color w:val="auto"/>
          <w:sz w:val="32"/>
          <w:szCs w:val="32"/>
        </w:rPr>
      </w:pPr>
      <w:r>
        <w:rPr>
          <w:rFonts w:hint="eastAsia" w:hAnsi="仿宋"/>
          <w:color w:val="auto"/>
          <w:sz w:val="32"/>
          <w:szCs w:val="32"/>
        </w:rPr>
        <w:t>1.财政拨款收入：指单位从同级财政部门取得的财政预算资金。</w:t>
      </w:r>
    </w:p>
    <w:p w14:paraId="154E2A59">
      <w:pPr>
        <w:pStyle w:val="25"/>
        <w:spacing w:line="560" w:lineRule="exact"/>
        <w:ind w:firstLine="640" w:firstLineChars="200"/>
        <w:rPr>
          <w:rFonts w:hAnsi="仿宋"/>
          <w:color w:val="auto"/>
          <w:sz w:val="32"/>
          <w:szCs w:val="32"/>
        </w:rPr>
      </w:pPr>
      <w:r>
        <w:rPr>
          <w:rFonts w:hint="eastAsia" w:hAnsi="仿宋"/>
          <w:color w:val="auto"/>
          <w:sz w:val="32"/>
          <w:szCs w:val="32"/>
        </w:rPr>
        <w:t>2.事业收入：指事业单位开展专业业务活动及辅助活动取得的收入。</w:t>
      </w:r>
    </w:p>
    <w:p w14:paraId="453AD8D3">
      <w:pPr>
        <w:pStyle w:val="25"/>
        <w:spacing w:line="560" w:lineRule="exact"/>
        <w:ind w:firstLine="640" w:firstLineChars="200"/>
        <w:rPr>
          <w:rFonts w:hAnsi="仿宋"/>
          <w:color w:val="auto"/>
          <w:sz w:val="32"/>
          <w:szCs w:val="32"/>
        </w:rPr>
      </w:pPr>
      <w:r>
        <w:rPr>
          <w:rFonts w:hint="eastAsia" w:hAnsi="仿宋"/>
          <w:color w:val="auto"/>
          <w:sz w:val="32"/>
          <w:szCs w:val="32"/>
        </w:rPr>
        <w:t>3.经营收入：指事业单位在专业业务活动及其辅助活动之外开展非独立核算经营活动取得的收入。</w:t>
      </w:r>
    </w:p>
    <w:p w14:paraId="2FB7620F">
      <w:pPr>
        <w:pStyle w:val="25"/>
        <w:spacing w:line="560" w:lineRule="exact"/>
        <w:ind w:firstLine="640" w:firstLineChars="200"/>
        <w:rPr>
          <w:rFonts w:hAnsi="仿宋"/>
          <w:color w:val="auto"/>
          <w:sz w:val="32"/>
          <w:szCs w:val="32"/>
        </w:rPr>
      </w:pPr>
      <w:r>
        <w:rPr>
          <w:rFonts w:hint="eastAsia" w:hAnsi="仿宋"/>
          <w:color w:val="auto"/>
          <w:sz w:val="32"/>
          <w:szCs w:val="32"/>
        </w:rPr>
        <w:t xml:space="preserve">4.其他收入：指单位取得的除上述收入以外的各项收入。 </w:t>
      </w:r>
    </w:p>
    <w:p w14:paraId="5AD2C94E">
      <w:pPr>
        <w:pStyle w:val="25"/>
        <w:spacing w:line="560" w:lineRule="exact"/>
        <w:ind w:firstLine="640" w:firstLineChars="200"/>
        <w:rPr>
          <w:rFonts w:hAnsi="仿宋"/>
          <w:color w:val="auto"/>
          <w:sz w:val="32"/>
          <w:szCs w:val="32"/>
        </w:rPr>
      </w:pPr>
      <w:r>
        <w:rPr>
          <w:rFonts w:hint="eastAsia" w:hAnsi="仿宋"/>
          <w:color w:val="auto"/>
          <w:sz w:val="32"/>
          <w:szCs w:val="32"/>
        </w:rPr>
        <w:t>5.</w:t>
      </w:r>
      <w:r>
        <w:rPr>
          <w:rFonts w:hint="eastAsia" w:hAnsi="仿宋"/>
          <w:sz w:val="32"/>
          <w:szCs w:val="32"/>
        </w:rPr>
        <w:t>使用非财政拨款结余（含专用结余）</w:t>
      </w:r>
      <w:r>
        <w:rPr>
          <w:rFonts w:hint="eastAsia" w:hAnsi="仿宋"/>
          <w:color w:val="auto"/>
          <w:sz w:val="32"/>
          <w:szCs w:val="32"/>
        </w:rPr>
        <w:t xml:space="preserve">：指事业单位使用以前年度积累的非财政拨款结余弥补当年收支差额的金额。 </w:t>
      </w:r>
    </w:p>
    <w:p w14:paraId="660621AB">
      <w:pPr>
        <w:pStyle w:val="25"/>
        <w:spacing w:line="560" w:lineRule="exact"/>
        <w:ind w:firstLine="640" w:firstLineChars="200"/>
        <w:rPr>
          <w:rFonts w:hAnsi="仿宋"/>
          <w:color w:val="auto"/>
          <w:sz w:val="32"/>
          <w:szCs w:val="32"/>
        </w:rPr>
      </w:pPr>
      <w:r>
        <w:rPr>
          <w:rFonts w:hint="eastAsia" w:hAnsi="仿宋"/>
          <w:color w:val="auto"/>
          <w:sz w:val="32"/>
          <w:szCs w:val="32"/>
        </w:rPr>
        <w:t xml:space="preserve">6.年初结转和结余：指以前年度尚未完成、结转到本年按有关规定继续使用的资金。 </w:t>
      </w:r>
    </w:p>
    <w:p w14:paraId="2C429650">
      <w:pPr>
        <w:pStyle w:val="25"/>
        <w:spacing w:line="560" w:lineRule="exact"/>
        <w:ind w:firstLine="640" w:firstLineChars="200"/>
        <w:rPr>
          <w:rFonts w:hAnsi="仿宋"/>
          <w:color w:val="auto"/>
          <w:sz w:val="32"/>
          <w:szCs w:val="32"/>
        </w:rPr>
      </w:pPr>
      <w:r>
        <w:rPr>
          <w:rFonts w:hint="eastAsia" w:hAnsi="仿宋"/>
          <w:color w:val="auto"/>
          <w:sz w:val="32"/>
          <w:szCs w:val="32"/>
        </w:rPr>
        <w:t>7.结余分配：指事业单位按照会计制度规定缴纳的所得税、提取的专用结余以及转入非财政拨款结余的金额等。</w:t>
      </w:r>
    </w:p>
    <w:p w14:paraId="067765B9">
      <w:pPr>
        <w:pStyle w:val="25"/>
        <w:spacing w:line="560" w:lineRule="exact"/>
        <w:ind w:firstLine="640" w:firstLineChars="200"/>
        <w:rPr>
          <w:rFonts w:hAnsi="仿宋"/>
          <w:color w:val="auto"/>
          <w:sz w:val="32"/>
          <w:szCs w:val="32"/>
        </w:rPr>
      </w:pPr>
      <w:r>
        <w:rPr>
          <w:rFonts w:hint="eastAsia" w:hAnsi="仿宋"/>
          <w:color w:val="auto"/>
          <w:sz w:val="32"/>
          <w:szCs w:val="32"/>
        </w:rPr>
        <w:t>8.年末结转和结余：指单位按有关规定结转到下年或以后年度继续使用的资金。</w:t>
      </w:r>
    </w:p>
    <w:p w14:paraId="569BAA00">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社会保障和就业（类）行政事业单位养老支出（款）事业单位离退休（项）:</w:t>
      </w:r>
      <w:r>
        <w:rPr>
          <w:rFonts w:hint="eastAsia" w:ascii="仿宋" w:hAnsi="仿宋" w:eastAsia="仿宋" w:cs="仿宋"/>
          <w:sz w:val="32"/>
          <w:szCs w:val="32"/>
        </w:rPr>
        <w:t>指用于购买退休人员的公务员医疗保险、生活补贴支出。</w:t>
      </w:r>
    </w:p>
    <w:p w14:paraId="6B8BB398">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9.社会保障和就业（类）行政事业单位养老支出（款）机关事业单位基本养老保险缴费支出（项）:</w:t>
      </w:r>
      <w:r>
        <w:rPr>
          <w:rFonts w:hint="eastAsia" w:ascii="仿宋" w:hAnsi="仿宋" w:eastAsia="仿宋" w:cs="仿宋"/>
          <w:sz w:val="32"/>
          <w:szCs w:val="32"/>
        </w:rPr>
        <w:t>指机关事业单位实施养老保险制度由单位缴纳的基本养老保险费支出。</w:t>
      </w:r>
    </w:p>
    <w:p w14:paraId="65937CDC">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10.社会保障和就业（类）行政事业单位养老支出（款）机关事业单位职业年金缴费支出（项）:</w:t>
      </w:r>
      <w:r>
        <w:rPr>
          <w:rFonts w:hint="eastAsia" w:ascii="仿宋" w:hAnsi="仿宋" w:eastAsia="仿宋" w:cs="仿宋"/>
          <w:sz w:val="32"/>
          <w:szCs w:val="32"/>
        </w:rPr>
        <w:t>指机关事业单位实施退休人员年金纪实的职业年金支出</w:t>
      </w:r>
      <w:r>
        <w:rPr>
          <w:rStyle w:val="16"/>
          <w:rFonts w:hint="eastAsia" w:ascii="仿宋" w:hAnsi="仿宋" w:eastAsia="仿宋" w:cs="仿宋"/>
          <w:b w:val="0"/>
          <w:sz w:val="32"/>
          <w:szCs w:val="32"/>
        </w:rPr>
        <w:t>。</w:t>
      </w:r>
    </w:p>
    <w:p w14:paraId="1CD42757">
      <w:pPr>
        <w:spacing w:line="560" w:lineRule="exact"/>
        <w:ind w:firstLine="640" w:firstLineChars="200"/>
        <w:rPr>
          <w:rStyle w:val="16"/>
          <w:rFonts w:ascii="仿宋" w:hAnsi="仿宋" w:eastAsia="仿宋" w:cs="仿宋"/>
          <w:b w:val="0"/>
          <w:sz w:val="32"/>
          <w:szCs w:val="32"/>
        </w:rPr>
      </w:pPr>
      <w:r>
        <w:rPr>
          <w:rFonts w:hint="eastAsia" w:ascii="仿宋" w:hAnsi="仿宋" w:eastAsia="仿宋" w:cs="仿宋"/>
          <w:sz w:val="32"/>
          <w:szCs w:val="32"/>
        </w:rPr>
        <w:t>11.卫生健康支出</w:t>
      </w:r>
      <w:r>
        <w:rPr>
          <w:rStyle w:val="16"/>
          <w:rFonts w:hint="eastAsia" w:ascii="仿宋" w:hAnsi="仿宋" w:eastAsia="仿宋" w:cs="仿宋"/>
          <w:b w:val="0"/>
          <w:sz w:val="32"/>
          <w:szCs w:val="32"/>
        </w:rPr>
        <w:t>（类）公立医院（款）其他公立医院支出（项）:指用于医疗服务和保障能力提升的支出。</w:t>
      </w:r>
    </w:p>
    <w:p w14:paraId="570F1F17">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12.</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（类）公共卫生（款）妇幼保健机构（项）:指用于妇幼保健机构的支出。</w:t>
      </w:r>
    </w:p>
    <w:p w14:paraId="32FF835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13.卫生健康支出</w:t>
      </w:r>
      <w:r>
        <w:rPr>
          <w:rStyle w:val="16"/>
          <w:rFonts w:hint="eastAsia" w:ascii="仿宋" w:hAnsi="仿宋" w:eastAsia="仿宋" w:cs="仿宋"/>
          <w:b w:val="0"/>
          <w:sz w:val="32"/>
          <w:szCs w:val="32"/>
        </w:rPr>
        <w:t>（类）公共卫生（款）基本公共卫生服务（项）:</w:t>
      </w:r>
      <w:r>
        <w:rPr>
          <w:rFonts w:hint="eastAsia" w:ascii="仿宋" w:hAnsi="仿宋" w:eastAsia="仿宋" w:cs="仿宋"/>
          <w:sz w:val="32"/>
          <w:szCs w:val="32"/>
        </w:rPr>
        <w:t>指基本公共卫生服务支出</w:t>
      </w:r>
      <w:r>
        <w:rPr>
          <w:rStyle w:val="16"/>
          <w:rFonts w:hint="eastAsia" w:ascii="仿宋" w:hAnsi="仿宋" w:eastAsia="仿宋" w:cs="仿宋"/>
          <w:b w:val="0"/>
          <w:sz w:val="32"/>
          <w:szCs w:val="32"/>
        </w:rPr>
        <w:t>。</w:t>
      </w:r>
    </w:p>
    <w:p w14:paraId="39A3F25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14</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（类）公共卫生（款）重大公共卫生服务（项）:</w:t>
      </w:r>
      <w:r>
        <w:rPr>
          <w:rFonts w:hint="eastAsia" w:ascii="仿宋" w:hAnsi="仿宋" w:eastAsia="仿宋" w:cs="仿宋"/>
          <w:sz w:val="32"/>
          <w:szCs w:val="32"/>
        </w:rPr>
        <w:t>指重大疾病、重大传染病预防控制等重大公共卫生服务项目支出</w:t>
      </w:r>
      <w:r>
        <w:rPr>
          <w:rStyle w:val="16"/>
          <w:rFonts w:hint="eastAsia" w:ascii="仿宋" w:hAnsi="仿宋" w:eastAsia="仿宋" w:cs="仿宋"/>
          <w:b w:val="0"/>
          <w:sz w:val="32"/>
          <w:szCs w:val="32"/>
        </w:rPr>
        <w:t>。</w:t>
      </w:r>
    </w:p>
    <w:p w14:paraId="234CA13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15</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（类）公共卫生（款）突发公共卫生事件应急处理（项）:指突发公共卫生事件应急处理支出。</w:t>
      </w:r>
    </w:p>
    <w:p w14:paraId="7C1C9C80">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16</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（类）行政事业单位医疗（款）事业单位医疗（项）:</w:t>
      </w:r>
      <w:r>
        <w:rPr>
          <w:rFonts w:hint="eastAsia" w:ascii="仿宋" w:hAnsi="仿宋" w:eastAsia="仿宋" w:cs="仿宋"/>
          <w:sz w:val="32"/>
          <w:szCs w:val="32"/>
        </w:rPr>
        <w:t xml:space="preserve">指财政部门安排的事业单位基本医疗保险缴费经费，未参加医疗保险的事业单位的公务员医疗经费。                           </w:t>
      </w:r>
    </w:p>
    <w:p w14:paraId="7CCCF56B">
      <w:pPr>
        <w:spacing w:line="560" w:lineRule="exact"/>
        <w:ind w:firstLine="640" w:firstLineChars="200"/>
        <w:jc w:val="left"/>
        <w:rPr>
          <w:rFonts w:ascii="仿宋" w:hAnsi="仿宋" w:eastAsia="仿宋" w:cs="仿宋"/>
          <w:sz w:val="32"/>
          <w:szCs w:val="32"/>
        </w:rPr>
      </w:pPr>
      <w:r>
        <w:rPr>
          <w:rStyle w:val="16"/>
          <w:rFonts w:hint="eastAsia" w:ascii="仿宋" w:hAnsi="仿宋" w:eastAsia="仿宋" w:cs="仿宋"/>
          <w:b w:val="0"/>
          <w:sz w:val="32"/>
          <w:szCs w:val="32"/>
        </w:rPr>
        <w:t>17 .</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（类）行政事业单位医疗（款）其他行政事业单位医疗支出（项）:指用于购买企业保险的支出。</w:t>
      </w:r>
    </w:p>
    <w:p w14:paraId="1E51ADC9">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sz w:val="32"/>
          <w:szCs w:val="32"/>
        </w:rPr>
        <w:t>18.</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（类）其他卫生健康支出（款）其他卫生健康支出（项）:</w:t>
      </w:r>
      <w:r>
        <w:rPr>
          <w:rFonts w:hint="eastAsia" w:ascii="仿宋" w:hAnsi="仿宋" w:eastAsia="仿宋" w:cs="仿宋"/>
          <w:sz w:val="32"/>
          <w:szCs w:val="32"/>
        </w:rPr>
        <w:t>指除上述项目以外其他用于卫生健康方面的支出。</w:t>
      </w:r>
    </w:p>
    <w:p w14:paraId="20885FFC">
      <w:pPr>
        <w:spacing w:line="560" w:lineRule="exact"/>
        <w:ind w:firstLine="640" w:firstLineChars="200"/>
        <w:rPr>
          <w:rFonts w:ascii="仿宋" w:hAnsi="仿宋" w:eastAsia="仿宋" w:cs="仿宋"/>
          <w:sz w:val="32"/>
          <w:szCs w:val="32"/>
        </w:rPr>
      </w:pPr>
      <w:r>
        <w:rPr>
          <w:rStyle w:val="16"/>
          <w:rFonts w:hint="eastAsia" w:ascii="仿宋" w:hAnsi="仿宋" w:eastAsia="仿宋" w:cs="仿宋"/>
          <w:b w:val="0"/>
          <w:color w:val="000000"/>
          <w:sz w:val="32"/>
          <w:szCs w:val="32"/>
        </w:rPr>
        <w:t>19.</w:t>
      </w:r>
      <w:r>
        <w:rPr>
          <w:rFonts w:hint="eastAsia" w:ascii="仿宋" w:hAnsi="仿宋" w:eastAsia="仿宋" w:cs="仿宋"/>
          <w:color w:val="000000"/>
          <w:sz w:val="32"/>
          <w:szCs w:val="32"/>
        </w:rPr>
        <w:t>住房保障支出（类）住房改革支出（款）住房公积金（项）</w:t>
      </w:r>
      <w:r>
        <w:rPr>
          <w:rStyle w:val="16"/>
          <w:rFonts w:hint="eastAsia" w:ascii="仿宋" w:hAnsi="仿宋" w:eastAsia="仿宋" w:cs="仿宋"/>
          <w:b w:val="0"/>
          <w:color w:val="000000"/>
          <w:sz w:val="32"/>
          <w:szCs w:val="32"/>
        </w:rPr>
        <w:t xml:space="preserve">: </w:t>
      </w:r>
      <w:r>
        <w:rPr>
          <w:rFonts w:hint="eastAsia" w:ascii="仿宋" w:hAnsi="仿宋" w:eastAsia="仿宋" w:cs="仿宋"/>
          <w:sz w:val="32"/>
          <w:szCs w:val="32"/>
        </w:rPr>
        <w:t>指行政事业单位按人力资源和社会保障部、财政部规定的基本工资和津贴补贴以及规定比例为职工缴纳的住房公积金。</w:t>
      </w:r>
    </w:p>
    <w:p w14:paraId="70D67A04">
      <w:pPr>
        <w:ind w:firstLine="640" w:firstLineChars="200"/>
        <w:rPr>
          <w:rStyle w:val="16"/>
          <w:rFonts w:ascii="仿宋" w:hAnsi="仿宋" w:eastAsia="仿宋" w:cs="仿宋"/>
          <w:b w:val="0"/>
          <w:sz w:val="32"/>
          <w:szCs w:val="32"/>
        </w:rPr>
      </w:pPr>
      <w:r>
        <w:rPr>
          <w:rFonts w:hint="eastAsia" w:ascii="仿宋" w:hAnsi="仿宋" w:eastAsia="仿宋" w:cs="仿宋"/>
          <w:sz w:val="32"/>
          <w:szCs w:val="32"/>
        </w:rPr>
        <w:t>20</w:t>
      </w:r>
      <w:r>
        <w:rPr>
          <w:rStyle w:val="16"/>
          <w:rFonts w:hint="eastAsia" w:ascii="仿宋" w:hAnsi="仿宋" w:eastAsia="仿宋" w:cs="仿宋"/>
          <w:b w:val="0"/>
          <w:sz w:val="32"/>
          <w:szCs w:val="32"/>
        </w:rPr>
        <w:t>.</w:t>
      </w:r>
      <w:r>
        <w:rPr>
          <w:rFonts w:hint="eastAsia" w:ascii="仿宋" w:hAnsi="仿宋" w:eastAsia="仿宋" w:cs="仿宋"/>
          <w:sz w:val="32"/>
          <w:szCs w:val="32"/>
        </w:rPr>
        <w:t>卫生健康支出</w:t>
      </w:r>
      <w:r>
        <w:rPr>
          <w:rStyle w:val="16"/>
          <w:rFonts w:hint="eastAsia" w:ascii="仿宋" w:hAnsi="仿宋" w:eastAsia="仿宋" w:cs="仿宋"/>
          <w:b w:val="0"/>
          <w:sz w:val="32"/>
          <w:szCs w:val="32"/>
        </w:rPr>
        <w:t>（类）公共卫生（款）其他公共卫生支出（项）:</w:t>
      </w:r>
      <w:r>
        <w:rPr>
          <w:rFonts w:hint="eastAsia" w:ascii="仿宋" w:hAnsi="仿宋" w:eastAsia="仿宋" w:cs="仿宋"/>
          <w:sz w:val="32"/>
          <w:szCs w:val="32"/>
        </w:rPr>
        <w:t>指除上述项目以外其他用于公共卫生支出的支出</w:t>
      </w:r>
      <w:r>
        <w:rPr>
          <w:rStyle w:val="16"/>
          <w:rFonts w:hint="eastAsia" w:ascii="仿宋" w:hAnsi="仿宋" w:eastAsia="仿宋" w:cs="仿宋"/>
          <w:b w:val="0"/>
          <w:sz w:val="32"/>
          <w:szCs w:val="32"/>
        </w:rPr>
        <w:t xml:space="preserve">。      </w:t>
      </w:r>
    </w:p>
    <w:p w14:paraId="6B674216">
      <w:pPr>
        <w:ind w:firstLine="640" w:firstLineChars="200"/>
        <w:rPr>
          <w:rFonts w:ascii="仿宋" w:hAnsi="仿宋" w:eastAsia="仿宋" w:cs="仿宋"/>
          <w:sz w:val="32"/>
          <w:szCs w:val="32"/>
        </w:rPr>
      </w:pPr>
      <w:r>
        <w:rPr>
          <w:rFonts w:hint="eastAsia" w:ascii="仿宋" w:hAnsi="仿宋" w:eastAsia="仿宋" w:cs="仿宋"/>
          <w:sz w:val="32"/>
          <w:szCs w:val="32"/>
        </w:rPr>
        <w:t>21.基本支出：指为保障机构正常运转、完成日常工作任务而发生的人员支出和公用支出。</w:t>
      </w:r>
    </w:p>
    <w:p w14:paraId="7DEBBB5E">
      <w:pPr>
        <w:ind w:firstLine="640" w:firstLineChars="200"/>
        <w:rPr>
          <w:rFonts w:ascii="仿宋" w:hAnsi="仿宋" w:eastAsia="仿宋" w:cs="仿宋"/>
          <w:sz w:val="32"/>
          <w:szCs w:val="32"/>
        </w:rPr>
      </w:pPr>
      <w:r>
        <w:rPr>
          <w:rFonts w:hint="eastAsia" w:ascii="仿宋" w:hAnsi="仿宋" w:eastAsia="仿宋" w:cs="仿宋"/>
          <w:sz w:val="32"/>
          <w:szCs w:val="32"/>
        </w:rPr>
        <w:t xml:space="preserve">22.项目支出：指在基本支出之外为完成特定行政任务和事业发展目标所发生的支出。 </w:t>
      </w:r>
    </w:p>
    <w:p w14:paraId="3FFF1372">
      <w:pPr>
        <w:ind w:firstLine="640" w:firstLineChars="200"/>
        <w:rPr>
          <w:rFonts w:ascii="仿宋" w:hAnsi="仿宋" w:eastAsia="仿宋" w:cs="仿宋"/>
          <w:sz w:val="32"/>
          <w:szCs w:val="32"/>
        </w:rPr>
      </w:pPr>
      <w:r>
        <w:rPr>
          <w:rFonts w:hint="eastAsia" w:ascii="仿宋" w:hAnsi="仿宋" w:eastAsia="仿宋" w:cs="仿宋"/>
          <w:sz w:val="32"/>
          <w:szCs w:val="32"/>
        </w:rPr>
        <w:t>23.经营支出：指事业单位在专业业务活动及其辅助活动之外开展非独立核算经营活动发生的支出。</w:t>
      </w:r>
    </w:p>
    <w:p w14:paraId="5F52DEED">
      <w:pPr>
        <w:pStyle w:val="25"/>
        <w:spacing w:line="560" w:lineRule="exact"/>
        <w:ind w:firstLine="640" w:firstLineChars="200"/>
        <w:rPr>
          <w:rFonts w:hAnsi="仿宋"/>
          <w:color w:val="auto"/>
          <w:sz w:val="32"/>
          <w:szCs w:val="32"/>
        </w:rPr>
      </w:pPr>
      <w:r>
        <w:rPr>
          <w:rFonts w:hint="eastAsia" w:hAnsi="仿宋"/>
          <w:color w:val="auto"/>
          <w:sz w:val="32"/>
          <w:szCs w:val="32"/>
        </w:rPr>
        <w:t>24.“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3BC97F4B">
      <w:pPr>
        <w:spacing w:line="600" w:lineRule="exact"/>
        <w:jc w:val="center"/>
        <w:outlineLvl w:val="0"/>
        <w:rPr>
          <w:rStyle w:val="27"/>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7"/>
          <w:rFonts w:hint="eastAsia" w:ascii="黑体" w:hAnsi="黑体" w:eastAsia="黑体"/>
          <w:b w:val="0"/>
        </w:rPr>
        <w:t>四部分 附件</w:t>
      </w:r>
      <w:bookmarkEnd w:id="52"/>
    </w:p>
    <w:p w14:paraId="7742666C">
      <w:pPr>
        <w:spacing w:line="572" w:lineRule="exact"/>
        <w:jc w:val="left"/>
        <w:outlineLvl w:val="0"/>
        <w:rPr>
          <w:rFonts w:ascii="仿宋_GB2312" w:hAnsi="仿宋_GB2312" w:eastAsia="仿宋_GB2312" w:cs="仿宋_GB2312"/>
          <w:sz w:val="32"/>
          <w:szCs w:val="32"/>
        </w:rPr>
      </w:pPr>
    </w:p>
    <w:p w14:paraId="50D4225D">
      <w:pPr>
        <w:spacing w:line="600" w:lineRule="exact"/>
        <w:jc w:val="center"/>
        <w:outlineLvl w:val="0"/>
        <w:rPr>
          <w:rFonts w:ascii="仿宋" w:hAnsi="仿宋" w:eastAsia="仿宋" w:cs="仿宋"/>
          <w:color w:val="FF0000"/>
          <w:sz w:val="32"/>
          <w:szCs w:val="32"/>
        </w:rPr>
      </w:pPr>
      <w:bookmarkStart w:id="53" w:name="_Toc15396618"/>
      <w:r>
        <w:rPr>
          <w:rFonts w:hint="eastAsia" w:ascii="仿宋" w:hAnsi="仿宋" w:eastAsia="仿宋" w:cs="仿宋"/>
          <w:sz w:val="32"/>
          <w:szCs w:val="32"/>
        </w:rPr>
        <w:t>部门预算项目支出绩效自评表（2023年度）见附件。</w:t>
      </w:r>
    </w:p>
    <w:p w14:paraId="1144DE6A">
      <w:pPr>
        <w:pStyle w:val="2"/>
        <w:spacing w:before="93"/>
        <w:rPr>
          <w:rFonts w:hAnsi="Calibri" w:cs="仿宋"/>
          <w:sz w:val="32"/>
          <w:szCs w:val="32"/>
        </w:rPr>
      </w:pPr>
    </w:p>
    <w:p w14:paraId="27B82B81">
      <w:pPr>
        <w:pStyle w:val="2"/>
        <w:spacing w:before="93"/>
        <w:rPr>
          <w:rFonts w:hAnsi="Calibri" w:cs="仿宋"/>
          <w:sz w:val="32"/>
          <w:szCs w:val="32"/>
        </w:rPr>
      </w:pPr>
    </w:p>
    <w:p w14:paraId="78552017">
      <w:pPr>
        <w:pStyle w:val="2"/>
        <w:spacing w:before="93"/>
        <w:rPr>
          <w:rFonts w:hAnsi="Calibri" w:cs="仿宋"/>
          <w:sz w:val="32"/>
          <w:szCs w:val="32"/>
        </w:rPr>
      </w:pPr>
    </w:p>
    <w:p w14:paraId="1FB2BAA4">
      <w:pPr>
        <w:pStyle w:val="2"/>
        <w:spacing w:before="93"/>
        <w:rPr>
          <w:rFonts w:hAnsi="Calibri" w:cs="仿宋"/>
          <w:sz w:val="32"/>
          <w:szCs w:val="32"/>
        </w:rPr>
      </w:pPr>
    </w:p>
    <w:p w14:paraId="2F4F4BB6">
      <w:pPr>
        <w:pStyle w:val="2"/>
        <w:spacing w:before="93"/>
        <w:rPr>
          <w:rFonts w:hAnsi="Calibri" w:cs="仿宋"/>
          <w:sz w:val="32"/>
          <w:szCs w:val="32"/>
        </w:rPr>
      </w:pPr>
    </w:p>
    <w:p w14:paraId="78B1D005">
      <w:pPr>
        <w:pStyle w:val="2"/>
        <w:spacing w:before="93"/>
        <w:rPr>
          <w:rFonts w:hAnsi="Calibri" w:cs="仿宋"/>
          <w:sz w:val="32"/>
          <w:szCs w:val="32"/>
        </w:rPr>
      </w:pPr>
    </w:p>
    <w:p w14:paraId="7C68D2BD">
      <w:pPr>
        <w:pStyle w:val="2"/>
        <w:spacing w:before="93"/>
        <w:rPr>
          <w:rFonts w:hAnsi="Calibri" w:cs="仿宋"/>
          <w:sz w:val="32"/>
          <w:szCs w:val="32"/>
        </w:rPr>
      </w:pPr>
    </w:p>
    <w:p w14:paraId="56439A17">
      <w:pPr>
        <w:pStyle w:val="2"/>
        <w:spacing w:before="93"/>
        <w:rPr>
          <w:rFonts w:hAnsi="Calibri" w:cs="仿宋"/>
          <w:sz w:val="32"/>
          <w:szCs w:val="32"/>
        </w:rPr>
      </w:pPr>
    </w:p>
    <w:p w14:paraId="74799F46">
      <w:pPr>
        <w:pStyle w:val="2"/>
        <w:spacing w:before="93"/>
        <w:rPr>
          <w:rFonts w:hAnsi="Calibri" w:cs="仿宋"/>
          <w:sz w:val="32"/>
          <w:szCs w:val="32"/>
        </w:rPr>
      </w:pPr>
    </w:p>
    <w:p w14:paraId="2412C513">
      <w:pPr>
        <w:pStyle w:val="2"/>
        <w:spacing w:before="93"/>
        <w:rPr>
          <w:rFonts w:hAnsi="Calibri" w:cs="仿宋"/>
          <w:sz w:val="32"/>
          <w:szCs w:val="32"/>
        </w:rPr>
      </w:pPr>
    </w:p>
    <w:p w14:paraId="5611D7EA">
      <w:pPr>
        <w:pStyle w:val="2"/>
        <w:spacing w:before="93"/>
        <w:rPr>
          <w:rFonts w:hAnsi="Calibri" w:cs="仿宋"/>
          <w:sz w:val="32"/>
          <w:szCs w:val="32"/>
        </w:rPr>
      </w:pPr>
    </w:p>
    <w:p w14:paraId="01DC231C">
      <w:pPr>
        <w:pStyle w:val="2"/>
        <w:spacing w:before="93"/>
        <w:rPr>
          <w:rFonts w:hAnsi="Calibri" w:cs="仿宋"/>
          <w:sz w:val="32"/>
          <w:szCs w:val="32"/>
        </w:rPr>
      </w:pPr>
    </w:p>
    <w:p w14:paraId="14AF3A53">
      <w:pPr>
        <w:spacing w:line="600" w:lineRule="exact"/>
        <w:jc w:val="center"/>
        <w:outlineLvl w:val="0"/>
        <w:rPr>
          <w:rFonts w:ascii="黑体" w:hAnsi="黑体" w:eastAsia="黑体"/>
          <w:sz w:val="44"/>
          <w:szCs w:val="44"/>
        </w:rPr>
      </w:pPr>
    </w:p>
    <w:p w14:paraId="5896CB1F">
      <w:pPr>
        <w:spacing w:line="600" w:lineRule="exact"/>
        <w:jc w:val="center"/>
        <w:outlineLvl w:val="0"/>
        <w:rPr>
          <w:rFonts w:ascii="黑体" w:hAnsi="黑体" w:eastAsia="黑体"/>
          <w:sz w:val="44"/>
          <w:szCs w:val="44"/>
        </w:rPr>
      </w:pPr>
    </w:p>
    <w:p w14:paraId="68D431B7">
      <w:pPr>
        <w:spacing w:line="600" w:lineRule="exact"/>
        <w:jc w:val="center"/>
        <w:outlineLvl w:val="0"/>
        <w:rPr>
          <w:rFonts w:ascii="黑体" w:hAnsi="黑体" w:eastAsia="黑体"/>
          <w:sz w:val="44"/>
          <w:szCs w:val="44"/>
        </w:rPr>
      </w:pPr>
    </w:p>
    <w:p w14:paraId="0D245816">
      <w:pPr>
        <w:spacing w:line="600" w:lineRule="exact"/>
        <w:jc w:val="center"/>
        <w:outlineLvl w:val="0"/>
        <w:rPr>
          <w:rFonts w:ascii="黑体" w:hAnsi="黑体" w:eastAsia="黑体"/>
          <w:sz w:val="44"/>
          <w:szCs w:val="44"/>
        </w:rPr>
      </w:pPr>
    </w:p>
    <w:p w14:paraId="72F8CF83">
      <w:pPr>
        <w:spacing w:line="600" w:lineRule="exact"/>
        <w:jc w:val="center"/>
        <w:outlineLvl w:val="0"/>
        <w:rPr>
          <w:rFonts w:ascii="黑体" w:hAnsi="黑体" w:eastAsia="黑体"/>
          <w:sz w:val="44"/>
          <w:szCs w:val="44"/>
        </w:rPr>
      </w:pPr>
    </w:p>
    <w:p w14:paraId="2A2576D7">
      <w:pPr>
        <w:spacing w:line="600" w:lineRule="exact"/>
        <w:jc w:val="center"/>
        <w:outlineLvl w:val="0"/>
        <w:rPr>
          <w:rFonts w:ascii="黑体" w:hAnsi="黑体" w:eastAsia="黑体"/>
          <w:sz w:val="44"/>
          <w:szCs w:val="44"/>
        </w:rPr>
      </w:pPr>
    </w:p>
    <w:p w14:paraId="3C83E198">
      <w:pPr>
        <w:spacing w:line="600" w:lineRule="exact"/>
        <w:jc w:val="center"/>
        <w:outlineLvl w:val="0"/>
        <w:rPr>
          <w:rFonts w:ascii="黑体" w:hAnsi="黑体" w:eastAsia="黑体"/>
          <w:sz w:val="44"/>
          <w:szCs w:val="44"/>
        </w:rPr>
      </w:pPr>
    </w:p>
    <w:p w14:paraId="0D5F8006">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1"/>
      <w:bookmarkEnd w:id="53"/>
      <w:bookmarkStart w:id="54" w:name="_Toc15396619"/>
    </w:p>
    <w:p w14:paraId="323FC6AB">
      <w:pPr>
        <w:pStyle w:val="4"/>
        <w:rPr>
          <w:rFonts w:ascii="CESI仿宋-GB2312" w:hAnsi="CESI仿宋-GB2312" w:eastAsia="CESI仿宋-GB2312" w:cs="CESI仿宋-GB2312"/>
        </w:rPr>
      </w:pPr>
      <w:r>
        <w:rPr>
          <w:rFonts w:hint="eastAsia" w:ascii="CESI仿宋-GB2312" w:hAnsi="CESI仿宋-GB2312" w:eastAsia="CESI仿宋-GB2312" w:cs="CESI仿宋-GB2312"/>
          <w:b w:val="0"/>
        </w:rPr>
        <w:t>一、收</w:t>
      </w:r>
      <w:r>
        <w:rPr>
          <w:rStyle w:val="28"/>
          <w:rFonts w:hint="eastAsia" w:ascii="CESI仿宋-GB2312" w:hAnsi="CESI仿宋-GB2312" w:eastAsia="CESI仿宋-GB2312" w:cs="CESI仿宋-GB2312"/>
          <w:b w:val="0"/>
          <w:bCs w:val="0"/>
        </w:rPr>
        <w:t>入支出决算总表</w:t>
      </w:r>
      <w:bookmarkEnd w:id="54"/>
    </w:p>
    <w:p w14:paraId="57C9E869">
      <w:pPr>
        <w:pStyle w:val="4"/>
        <w:rPr>
          <w:rFonts w:ascii="CESI仿宋-GB2312" w:hAnsi="CESI仿宋-GB2312" w:eastAsia="CESI仿宋-GB2312" w:cs="CESI仿宋-GB2312"/>
        </w:rPr>
      </w:pPr>
      <w:bookmarkStart w:id="55" w:name="_Toc15396620"/>
      <w:r>
        <w:rPr>
          <w:rFonts w:hint="eastAsia" w:ascii="CESI仿宋-GB2312" w:hAnsi="CESI仿宋-GB2312" w:eastAsia="CESI仿宋-GB2312" w:cs="CESI仿宋-GB2312"/>
          <w:b w:val="0"/>
        </w:rPr>
        <w:t>二、收</w:t>
      </w:r>
      <w:r>
        <w:rPr>
          <w:rStyle w:val="28"/>
          <w:rFonts w:hint="eastAsia" w:ascii="CESI仿宋-GB2312" w:hAnsi="CESI仿宋-GB2312" w:eastAsia="CESI仿宋-GB2312" w:cs="CESI仿宋-GB2312"/>
          <w:b w:val="0"/>
          <w:bCs w:val="0"/>
        </w:rPr>
        <w:t>入决算表</w:t>
      </w:r>
      <w:bookmarkEnd w:id="55"/>
    </w:p>
    <w:p w14:paraId="727321C3">
      <w:pPr>
        <w:pStyle w:val="4"/>
        <w:rPr>
          <w:rFonts w:ascii="CESI仿宋-GB2312" w:hAnsi="CESI仿宋-GB2312" w:eastAsia="CESI仿宋-GB2312" w:cs="CESI仿宋-GB2312"/>
        </w:rPr>
      </w:pPr>
      <w:bookmarkStart w:id="56" w:name="_Toc15396621"/>
      <w:r>
        <w:rPr>
          <w:rStyle w:val="28"/>
          <w:rFonts w:hint="eastAsia" w:ascii="CESI仿宋-GB2312" w:hAnsi="CESI仿宋-GB2312" w:eastAsia="CESI仿宋-GB2312" w:cs="CESI仿宋-GB2312"/>
          <w:b w:val="0"/>
          <w:bCs w:val="0"/>
        </w:rPr>
        <w:t>三、</w:t>
      </w:r>
      <w:r>
        <w:rPr>
          <w:rFonts w:hint="eastAsia" w:ascii="CESI仿宋-GB2312" w:hAnsi="CESI仿宋-GB2312" w:eastAsia="CESI仿宋-GB2312" w:cs="CESI仿宋-GB2312"/>
          <w:b w:val="0"/>
        </w:rPr>
        <w:t>支</w:t>
      </w:r>
      <w:r>
        <w:rPr>
          <w:rStyle w:val="28"/>
          <w:rFonts w:hint="eastAsia" w:ascii="CESI仿宋-GB2312" w:hAnsi="CESI仿宋-GB2312" w:eastAsia="CESI仿宋-GB2312" w:cs="CESI仿宋-GB2312"/>
          <w:b w:val="0"/>
          <w:bCs w:val="0"/>
        </w:rPr>
        <w:t>出决算表</w:t>
      </w:r>
      <w:bookmarkEnd w:id="56"/>
    </w:p>
    <w:p w14:paraId="1C5BF71D">
      <w:pPr>
        <w:pStyle w:val="4"/>
        <w:rPr>
          <w:rFonts w:ascii="CESI仿宋-GB2312" w:hAnsi="CESI仿宋-GB2312" w:eastAsia="CESI仿宋-GB2312" w:cs="CESI仿宋-GB2312"/>
          <w:b w:val="0"/>
        </w:rPr>
      </w:pPr>
      <w:bookmarkStart w:id="57" w:name="_Toc15396622"/>
      <w:r>
        <w:rPr>
          <w:rStyle w:val="28"/>
          <w:rFonts w:hint="eastAsia" w:ascii="CESI仿宋-GB2312" w:hAnsi="CESI仿宋-GB2312" w:eastAsia="CESI仿宋-GB2312" w:cs="CESI仿宋-GB2312"/>
          <w:b w:val="0"/>
          <w:bCs w:val="0"/>
        </w:rPr>
        <w:t>四、</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政拨款收入支出决算总表</w:t>
      </w:r>
      <w:bookmarkEnd w:id="57"/>
    </w:p>
    <w:p w14:paraId="5E3C5DE6">
      <w:pPr>
        <w:pStyle w:val="4"/>
        <w:rPr>
          <w:rStyle w:val="28"/>
          <w:rFonts w:ascii="CESI仿宋-GB2312" w:hAnsi="CESI仿宋-GB2312" w:eastAsia="CESI仿宋-GB2312" w:cs="CESI仿宋-GB2312"/>
          <w:b w:val="0"/>
          <w:bCs w:val="0"/>
        </w:rPr>
      </w:pPr>
      <w:bookmarkStart w:id="58" w:name="_Toc15396623"/>
      <w:r>
        <w:rPr>
          <w:rStyle w:val="28"/>
          <w:rFonts w:hint="eastAsia" w:ascii="CESI仿宋-GB2312" w:hAnsi="CESI仿宋-GB2312" w:eastAsia="CESI仿宋-GB2312" w:cs="CESI仿宋-GB2312"/>
          <w:b w:val="0"/>
          <w:bCs w:val="0"/>
        </w:rPr>
        <w:t>五、</w:t>
      </w:r>
      <w:r>
        <w:rPr>
          <w:rFonts w:hint="eastAsia" w:ascii="CESI仿宋-GB2312" w:hAnsi="CESI仿宋-GB2312" w:eastAsia="CESI仿宋-GB2312" w:cs="CESI仿宋-GB2312"/>
          <w:b w:val="0"/>
        </w:rPr>
        <w:t>财</w:t>
      </w:r>
      <w:r>
        <w:rPr>
          <w:rStyle w:val="28"/>
          <w:rFonts w:hint="eastAsia" w:ascii="CESI仿宋-GB2312" w:hAnsi="CESI仿宋-GB2312" w:eastAsia="CESI仿宋-GB2312" w:cs="CESI仿宋-GB2312"/>
          <w:b w:val="0"/>
          <w:bCs w:val="0"/>
        </w:rPr>
        <w:t>政拨款支出决算明细表</w:t>
      </w:r>
      <w:bookmarkEnd w:id="58"/>
      <w:bookmarkStart w:id="59" w:name="_Toc15396624"/>
    </w:p>
    <w:p w14:paraId="4FCD8A8F">
      <w:pPr>
        <w:pStyle w:val="4"/>
        <w:rPr>
          <w:rFonts w:ascii="CESI仿宋-GB2312" w:hAnsi="CESI仿宋-GB2312" w:eastAsia="CESI仿宋-GB2312" w:cs="CESI仿宋-GB2312"/>
        </w:rPr>
      </w:pPr>
      <w:r>
        <w:rPr>
          <w:rStyle w:val="28"/>
          <w:rFonts w:hint="eastAsia" w:ascii="CESI仿宋-GB2312" w:hAnsi="CESI仿宋-GB2312" w:eastAsia="CESI仿宋-GB2312" w:cs="CESI仿宋-GB2312"/>
          <w:b w:val="0"/>
          <w:bCs w:val="0"/>
        </w:rPr>
        <w:t>六、</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般公共预算财政拨款支出决算表</w:t>
      </w:r>
      <w:bookmarkEnd w:id="59"/>
    </w:p>
    <w:p w14:paraId="5B03BBF2">
      <w:pPr>
        <w:pStyle w:val="4"/>
        <w:rPr>
          <w:rFonts w:ascii="CESI仿宋-GB2312" w:hAnsi="CESI仿宋-GB2312" w:eastAsia="CESI仿宋-GB2312" w:cs="CESI仿宋-GB2312"/>
        </w:rPr>
      </w:pPr>
      <w:bookmarkStart w:id="60" w:name="_Toc15396625"/>
      <w:r>
        <w:rPr>
          <w:rStyle w:val="28"/>
          <w:rFonts w:hint="eastAsia" w:ascii="CESI仿宋-GB2312" w:hAnsi="CESI仿宋-GB2312" w:eastAsia="CESI仿宋-GB2312" w:cs="CESI仿宋-GB2312"/>
          <w:b w:val="0"/>
          <w:bCs w:val="0"/>
        </w:rPr>
        <w:t>七、</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般公共预算财政拨款支出决算明细表</w:t>
      </w:r>
      <w:bookmarkEnd w:id="60"/>
    </w:p>
    <w:p w14:paraId="0C367EA6">
      <w:pPr>
        <w:pStyle w:val="4"/>
        <w:rPr>
          <w:rFonts w:ascii="CESI仿宋-GB2312" w:hAnsi="CESI仿宋-GB2312" w:eastAsia="CESI仿宋-GB2312" w:cs="CESI仿宋-GB2312"/>
        </w:rPr>
      </w:pPr>
      <w:bookmarkStart w:id="61" w:name="_Toc15396626"/>
      <w:r>
        <w:rPr>
          <w:rStyle w:val="28"/>
          <w:rFonts w:hint="eastAsia" w:ascii="CESI仿宋-GB2312" w:hAnsi="CESI仿宋-GB2312" w:eastAsia="CESI仿宋-GB2312" w:cs="CESI仿宋-GB2312"/>
          <w:b w:val="0"/>
          <w:bCs w:val="0"/>
        </w:rPr>
        <w:t>八、</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般公共预算财政拨款基本支出决算表</w:t>
      </w:r>
      <w:bookmarkEnd w:id="61"/>
    </w:p>
    <w:p w14:paraId="635E05EB">
      <w:pPr>
        <w:pStyle w:val="4"/>
        <w:rPr>
          <w:rFonts w:ascii="CESI仿宋-GB2312" w:hAnsi="CESI仿宋-GB2312" w:eastAsia="CESI仿宋-GB2312" w:cs="CESI仿宋-GB2312"/>
        </w:rPr>
      </w:pPr>
      <w:bookmarkStart w:id="62" w:name="_Toc15396627"/>
      <w:r>
        <w:rPr>
          <w:rStyle w:val="28"/>
          <w:rFonts w:hint="eastAsia" w:ascii="CESI仿宋-GB2312" w:hAnsi="CESI仿宋-GB2312" w:eastAsia="CESI仿宋-GB2312" w:cs="CESI仿宋-GB2312"/>
          <w:b w:val="0"/>
          <w:bCs w:val="0"/>
        </w:rPr>
        <w:t>九、</w:t>
      </w:r>
      <w:r>
        <w:rPr>
          <w:rFonts w:hint="eastAsia" w:ascii="CESI仿宋-GB2312" w:hAnsi="CESI仿宋-GB2312" w:eastAsia="CESI仿宋-GB2312" w:cs="CESI仿宋-GB2312"/>
          <w:b w:val="0"/>
        </w:rPr>
        <w:t>一</w:t>
      </w:r>
      <w:r>
        <w:rPr>
          <w:rStyle w:val="28"/>
          <w:rFonts w:hint="eastAsia" w:ascii="CESI仿宋-GB2312" w:hAnsi="CESI仿宋-GB2312" w:eastAsia="CESI仿宋-GB2312" w:cs="CESI仿宋-GB2312"/>
          <w:b w:val="0"/>
          <w:bCs w:val="0"/>
        </w:rPr>
        <w:t>般公共预算财政拨款项目支出决算表</w:t>
      </w:r>
      <w:bookmarkEnd w:id="62"/>
    </w:p>
    <w:p w14:paraId="77B21EEA">
      <w:pPr>
        <w:pStyle w:val="4"/>
        <w:rPr>
          <w:rFonts w:ascii="CESI仿宋-GB2312" w:hAnsi="CESI仿宋-GB2312" w:eastAsia="CESI仿宋-GB2312" w:cs="CESI仿宋-GB2312"/>
        </w:rPr>
      </w:pPr>
      <w:bookmarkStart w:id="63" w:name="_Toc15396628"/>
      <w:r>
        <w:rPr>
          <w:rStyle w:val="28"/>
          <w:rFonts w:hint="eastAsia" w:ascii="CESI仿宋-GB2312" w:hAnsi="CESI仿宋-GB2312" w:eastAsia="CESI仿宋-GB2312" w:cs="CESI仿宋-GB2312"/>
          <w:b w:val="0"/>
          <w:bCs w:val="0"/>
        </w:rPr>
        <w:t>十、</w:t>
      </w:r>
      <w:bookmarkEnd w:id="63"/>
      <w:r>
        <w:rPr>
          <w:rFonts w:hint="eastAsia" w:ascii="CESI仿宋-GB2312" w:hAnsi="CESI仿宋-GB2312" w:eastAsia="CESI仿宋-GB2312" w:cs="CESI仿宋-GB2312"/>
          <w:b w:val="0"/>
        </w:rPr>
        <w:t>政</w:t>
      </w:r>
      <w:r>
        <w:rPr>
          <w:rStyle w:val="28"/>
          <w:rFonts w:hint="eastAsia" w:ascii="CESI仿宋-GB2312" w:hAnsi="CESI仿宋-GB2312" w:eastAsia="CESI仿宋-GB2312" w:cs="CESI仿宋-GB2312"/>
          <w:b w:val="0"/>
          <w:bCs w:val="0"/>
        </w:rPr>
        <w:t>府性基金预算财政拨款收入支出决算表</w:t>
      </w:r>
    </w:p>
    <w:p w14:paraId="52E15135">
      <w:pPr>
        <w:pStyle w:val="4"/>
        <w:rPr>
          <w:rFonts w:ascii="CESI仿宋-GB2312" w:hAnsi="CESI仿宋-GB2312" w:eastAsia="CESI仿宋-GB2312" w:cs="CESI仿宋-GB2312"/>
        </w:rPr>
      </w:pPr>
      <w:bookmarkStart w:id="64" w:name="_Toc15396629"/>
      <w:r>
        <w:rPr>
          <w:rStyle w:val="28"/>
          <w:rFonts w:hint="eastAsia" w:ascii="CESI仿宋-GB2312" w:hAnsi="CESI仿宋-GB2312" w:eastAsia="CESI仿宋-GB2312" w:cs="CESI仿宋-GB2312"/>
          <w:b w:val="0"/>
          <w:bCs w:val="0"/>
        </w:rPr>
        <w:t>十一、</w:t>
      </w:r>
      <w:bookmarkEnd w:id="64"/>
      <w:r>
        <w:rPr>
          <w:rFonts w:hint="eastAsia" w:ascii="CESI仿宋-GB2312" w:hAnsi="CESI仿宋-GB2312" w:eastAsia="CESI仿宋-GB2312" w:cs="CESI仿宋-GB2312"/>
          <w:b w:val="0"/>
        </w:rPr>
        <w:t>国</w:t>
      </w:r>
      <w:r>
        <w:rPr>
          <w:rStyle w:val="28"/>
          <w:rFonts w:hint="eastAsia" w:ascii="CESI仿宋-GB2312" w:hAnsi="CESI仿宋-GB2312" w:eastAsia="CESI仿宋-GB2312" w:cs="CESI仿宋-GB2312"/>
          <w:b w:val="0"/>
          <w:bCs w:val="0"/>
        </w:rPr>
        <w:t>有资本经营预算财政拨款收入支出决算表</w:t>
      </w:r>
    </w:p>
    <w:p w14:paraId="7A783AC1">
      <w:pPr>
        <w:pStyle w:val="4"/>
        <w:rPr>
          <w:rFonts w:ascii="CESI仿宋-GB2312" w:hAnsi="CESI仿宋-GB2312" w:eastAsia="CESI仿宋-GB2312" w:cs="CESI仿宋-GB2312"/>
        </w:rPr>
      </w:pPr>
      <w:bookmarkStart w:id="65" w:name="_Toc15396630"/>
      <w:r>
        <w:rPr>
          <w:rStyle w:val="28"/>
          <w:rFonts w:hint="eastAsia" w:ascii="CESI仿宋-GB2312" w:hAnsi="CESI仿宋-GB2312" w:eastAsia="CESI仿宋-GB2312" w:cs="CESI仿宋-GB2312"/>
          <w:b w:val="0"/>
          <w:bCs w:val="0"/>
        </w:rPr>
        <w:t>十二、</w:t>
      </w:r>
      <w:bookmarkEnd w:id="65"/>
      <w:r>
        <w:rPr>
          <w:rStyle w:val="28"/>
          <w:rFonts w:hint="eastAsia" w:ascii="CESI仿宋-GB2312" w:hAnsi="CESI仿宋-GB2312" w:eastAsia="CESI仿宋-GB2312" w:cs="CESI仿宋-GB2312"/>
          <w:b w:val="0"/>
          <w:bCs w:val="0"/>
        </w:rPr>
        <w:t>国有资本经营预算财政拨款支出决算表</w:t>
      </w:r>
    </w:p>
    <w:p w14:paraId="1159DB52">
      <w:pPr>
        <w:pStyle w:val="2"/>
        <w:spacing w:before="93"/>
        <w:rPr>
          <w:rFonts w:ascii="CESI仿宋-GB2312" w:hAnsi="CESI仿宋-GB2312" w:eastAsia="CESI仿宋-GB2312" w:cs="CESI仿宋-GB2312"/>
        </w:rPr>
      </w:pPr>
      <w:bookmarkStart w:id="66" w:name="_Toc15396631"/>
      <w:r>
        <w:rPr>
          <w:rStyle w:val="28"/>
          <w:rFonts w:hint="eastAsia" w:ascii="CESI仿宋-GB2312" w:hAnsi="CESI仿宋-GB2312" w:eastAsia="CESI仿宋-GB2312" w:cs="CESI仿宋-GB2312"/>
          <w:b w:val="0"/>
          <w:bCs w:val="0"/>
        </w:rPr>
        <w:t>十三、</w:t>
      </w:r>
      <w:bookmarkEnd w:id="66"/>
      <w:r>
        <w:rPr>
          <w:rStyle w:val="28"/>
          <w:rFonts w:hint="eastAsia" w:ascii="CESI仿宋-GB2312" w:hAnsi="CESI仿宋-GB2312" w:eastAsia="CESI仿宋-GB2312" w:cs="CESI仿宋-GB2312"/>
          <w:b w:val="0"/>
          <w:bCs w:val="0"/>
        </w:rPr>
        <w:t>财政拨款“三公”经费支出决算表</w:t>
      </w:r>
    </w:p>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mbria">
    <w:altName w:val="DejaVu Math TeX Gyre"/>
    <w:panose1 w:val="02040503050406030204"/>
    <w:charset w:val="00"/>
    <w:family w:val="roman"/>
    <w:pitch w:val="default"/>
    <w:sig w:usb0="00000000" w:usb1="00000000" w:usb2="02000000" w:usb3="00000000" w:csb0="0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CESI仿宋-GB2312">
    <w:altName w:val="仿宋"/>
    <w:panose1 w:val="00000000000000000000"/>
    <w:charset w:val="86"/>
    <w:family w:val="auto"/>
    <w:pitch w:val="default"/>
    <w:sig w:usb0="00000000" w:usb1="00000000" w:usb2="00000010" w:usb3="00000000" w:csb0="0004000F" w:csb1="00000000"/>
  </w:font>
  <w:font w:name="Segoe UI">
    <w:panose1 w:val="020B0502040204020203"/>
    <w:charset w:val="00"/>
    <w:family w:val="auto"/>
    <w:pitch w:val="default"/>
    <w:sig w:usb0="E4002EFF" w:usb1="C000E47F" w:usb2="00000009" w:usb3="00000000" w:csb0="200001FF"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279AA0B6">
        <w:pPr>
          <w:pStyle w:val="9"/>
          <w:jc w:val="center"/>
        </w:pPr>
        <w:r>
          <w:fldChar w:fldCharType="begin"/>
        </w:r>
        <w:r>
          <w:instrText xml:space="preserve">PAGE   \* MERGEFORMAT</w:instrText>
        </w:r>
        <w:r>
          <w:fldChar w:fldCharType="separate"/>
        </w:r>
        <w:r>
          <w:rPr>
            <w:lang w:val="zh-CN"/>
          </w:rPr>
          <w:t>15</w:t>
        </w:r>
        <w:r>
          <w:fldChar w:fldCharType="end"/>
        </w:r>
      </w:p>
    </w:sdtContent>
  </w:sdt>
  <w:p w14:paraId="274A608C">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87714">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80C09">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42302">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E7483">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14:paraId="4D4E7483">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7ED5C">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30DBC">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14:paraId="2A830DBC">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9D00F">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jM2NhOWQxMGZjN2Y3ZTQ1MTBiNjU2YzZjYjdkZG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3836"/>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303C"/>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255B4"/>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9295AA0"/>
    <w:rsid w:val="0A2032A3"/>
    <w:rsid w:val="0AB322CF"/>
    <w:rsid w:val="0B8A37D8"/>
    <w:rsid w:val="0DC91529"/>
    <w:rsid w:val="0F5FFB2F"/>
    <w:rsid w:val="0FFFCF60"/>
    <w:rsid w:val="10586098"/>
    <w:rsid w:val="10C055FF"/>
    <w:rsid w:val="118107EC"/>
    <w:rsid w:val="11DD6519"/>
    <w:rsid w:val="13251433"/>
    <w:rsid w:val="13CE19FF"/>
    <w:rsid w:val="16BB723D"/>
    <w:rsid w:val="18015F3F"/>
    <w:rsid w:val="188C4456"/>
    <w:rsid w:val="1BE8440E"/>
    <w:rsid w:val="1D155CEE"/>
    <w:rsid w:val="1E405230"/>
    <w:rsid w:val="1F891294"/>
    <w:rsid w:val="1FDBBF84"/>
    <w:rsid w:val="20783067"/>
    <w:rsid w:val="20F57F95"/>
    <w:rsid w:val="240371BF"/>
    <w:rsid w:val="25711CC6"/>
    <w:rsid w:val="25C741E6"/>
    <w:rsid w:val="276F80C0"/>
    <w:rsid w:val="27842671"/>
    <w:rsid w:val="28685121"/>
    <w:rsid w:val="296341F3"/>
    <w:rsid w:val="29FD04D3"/>
    <w:rsid w:val="2ABE7A3E"/>
    <w:rsid w:val="2AFF09B6"/>
    <w:rsid w:val="2CA234A8"/>
    <w:rsid w:val="2D9657B7"/>
    <w:rsid w:val="2EE45A35"/>
    <w:rsid w:val="2EFA178C"/>
    <w:rsid w:val="2EFDF86C"/>
    <w:rsid w:val="2F367529"/>
    <w:rsid w:val="2F9D17E1"/>
    <w:rsid w:val="302F05F4"/>
    <w:rsid w:val="30A12166"/>
    <w:rsid w:val="30A734F4"/>
    <w:rsid w:val="30B46D73"/>
    <w:rsid w:val="319F7F4E"/>
    <w:rsid w:val="340D2714"/>
    <w:rsid w:val="34B95EE2"/>
    <w:rsid w:val="356A28F1"/>
    <w:rsid w:val="357C035A"/>
    <w:rsid w:val="361623E3"/>
    <w:rsid w:val="368E000D"/>
    <w:rsid w:val="383D272C"/>
    <w:rsid w:val="38BA6924"/>
    <w:rsid w:val="39AE70AB"/>
    <w:rsid w:val="3A4DCE41"/>
    <w:rsid w:val="3BCB56FA"/>
    <w:rsid w:val="3C0C0783"/>
    <w:rsid w:val="3CA25EE2"/>
    <w:rsid w:val="3EE7C2F4"/>
    <w:rsid w:val="3F371B56"/>
    <w:rsid w:val="3F792ED8"/>
    <w:rsid w:val="3F9F3A96"/>
    <w:rsid w:val="3FECA4B2"/>
    <w:rsid w:val="3FF58C48"/>
    <w:rsid w:val="41DD18A2"/>
    <w:rsid w:val="42FF6694"/>
    <w:rsid w:val="450C0C5A"/>
    <w:rsid w:val="484F3C4F"/>
    <w:rsid w:val="48BF60AB"/>
    <w:rsid w:val="493C27E9"/>
    <w:rsid w:val="496F39ED"/>
    <w:rsid w:val="49FF41D3"/>
    <w:rsid w:val="4B5B2223"/>
    <w:rsid w:val="4BE068DB"/>
    <w:rsid w:val="4BF6002B"/>
    <w:rsid w:val="4BFFC6BE"/>
    <w:rsid w:val="4D13189E"/>
    <w:rsid w:val="4DC47FB8"/>
    <w:rsid w:val="4ECE2238"/>
    <w:rsid w:val="50625295"/>
    <w:rsid w:val="51DB4B86"/>
    <w:rsid w:val="51F64DB0"/>
    <w:rsid w:val="55333C3E"/>
    <w:rsid w:val="5F67802D"/>
    <w:rsid w:val="5F7DC4F2"/>
    <w:rsid w:val="5FB36814"/>
    <w:rsid w:val="5FBB8E56"/>
    <w:rsid w:val="5FFB5535"/>
    <w:rsid w:val="60707E46"/>
    <w:rsid w:val="64095351"/>
    <w:rsid w:val="64CA39A1"/>
    <w:rsid w:val="69630ADE"/>
    <w:rsid w:val="6999742B"/>
    <w:rsid w:val="69BD5F13"/>
    <w:rsid w:val="69D32946"/>
    <w:rsid w:val="69FB0B4B"/>
    <w:rsid w:val="6A002AD5"/>
    <w:rsid w:val="6A9739A1"/>
    <w:rsid w:val="6B97466E"/>
    <w:rsid w:val="6BFFE1FB"/>
    <w:rsid w:val="6C4A05C8"/>
    <w:rsid w:val="6D3B1A89"/>
    <w:rsid w:val="6DB7D8A3"/>
    <w:rsid w:val="6EC78701"/>
    <w:rsid w:val="6F7A5481"/>
    <w:rsid w:val="6FFE07A9"/>
    <w:rsid w:val="71BF4EC2"/>
    <w:rsid w:val="72734D90"/>
    <w:rsid w:val="73E75B71"/>
    <w:rsid w:val="7412278C"/>
    <w:rsid w:val="75431020"/>
    <w:rsid w:val="75DDCDA9"/>
    <w:rsid w:val="75FF44B1"/>
    <w:rsid w:val="77670518"/>
    <w:rsid w:val="777FA627"/>
    <w:rsid w:val="77DF1B5F"/>
    <w:rsid w:val="77EF2D9D"/>
    <w:rsid w:val="79E7B28D"/>
    <w:rsid w:val="7ACFF0C2"/>
    <w:rsid w:val="7AFB9108"/>
    <w:rsid w:val="7B4445AB"/>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DE48D3"/>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mmm\MM\yy&#20250;&#35745;\2023&#20915;&#31639;\2023&#22919;&#24188;\2023&#25968;&#25454;&#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收支决算变动情况图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"2022年"</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[2023数据工作表.xls]Sheet1!$A$2:$B$2</c:f>
              <c:numCache>
                <c:formatCode>General</c:formatCode>
                <c:ptCount val="2"/>
                <c:pt idx="0">
                  <c:v>667.5</c:v>
                </c:pt>
                <c:pt idx="1">
                  <c:v>667.5</c:v>
                </c:pt>
              </c:numCache>
            </c:numRef>
          </c:val>
        </c:ser>
        <c:ser>
          <c:idx val="1"/>
          <c:order val="1"/>
          <c:tx>
            <c:strRef>
              <c:f>"2023年"</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[2023数据工作表.xls]Sheet1!$A$3:$B$3</c:f>
              <c:numCache>
                <c:formatCode>General</c:formatCode>
                <c:ptCount val="2"/>
                <c:pt idx="0">
                  <c:v>681.14</c:v>
                </c:pt>
                <c:pt idx="1">
                  <c:v>681.14</c:v>
                </c:pt>
              </c:numCache>
            </c:numRef>
          </c:val>
        </c:ser>
        <c:dLbls>
          <c:showLegendKey val="0"/>
          <c:showVal val="1"/>
          <c:showCatName val="0"/>
          <c:showSerName val="0"/>
          <c:showPercent val="0"/>
          <c:showBubbleSize val="0"/>
        </c:dLbls>
        <c:gapWidth val="246"/>
        <c:overlap val="-28"/>
        <c:axId val="161954816"/>
        <c:axId val="179700480"/>
      </c:barChart>
      <c:catAx>
        <c:axId val="16195481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9700480"/>
        <c:crosses val="autoZero"/>
        <c:auto val="1"/>
        <c:lblAlgn val="ctr"/>
        <c:lblOffset val="100"/>
        <c:noMultiLvlLbl val="0"/>
      </c:catAx>
      <c:valAx>
        <c:axId val="179700480"/>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195481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38e1ecf-92b7-4a9e-b788-37daa5bd9acf}"/>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收入决算结构图</a:t>
            </a:r>
            <a:endParaRPr lang="zh-CN" altLang="en-US"/>
          </a:p>
        </c:rich>
      </c:tx>
      <c:layout/>
      <c:overlay val="0"/>
      <c:spPr>
        <a:noFill/>
        <a:ln>
          <a:noFill/>
        </a:ln>
        <a:effectLst/>
      </c:spPr>
    </c:title>
    <c:autoTitleDeleted val="0"/>
    <c:plotArea>
      <c:layout/>
      <c:pieChart>
        <c:varyColors val="1"/>
        <c:ser>
          <c:idx val="0"/>
          <c:order val="0"/>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[2023数据工作表.xls]Sheet1!$A$17:$F$17</c:f>
              <c:strCache>
                <c:ptCount val="6"/>
                <c:pt idx="0">
                  <c:v>一般公共预算收入</c:v>
                </c:pt>
                <c:pt idx="1">
                  <c:v>政府基金拨款收入</c:v>
                </c:pt>
                <c:pt idx="2">
                  <c:v>上级补助收入</c:v>
                </c:pt>
                <c:pt idx="3">
                  <c:v>事业收入</c:v>
                </c:pt>
                <c:pt idx="4">
                  <c:v>经营收入</c:v>
                </c:pt>
                <c:pt idx="5">
                  <c:v>其他收入</c:v>
                </c:pt>
              </c:strCache>
            </c:strRef>
          </c:cat>
          <c:val>
            <c:numRef>
              <c:f>[2023数据工作表.xls]Sheet1!$A$18:$F$18</c:f>
              <c:numCache>
                <c:formatCode>General</c:formatCode>
                <c:ptCount val="6"/>
                <c:pt idx="0">
                  <c:v>681.14</c:v>
                </c:pt>
                <c:pt idx="1">
                  <c:v>0</c:v>
                </c:pt>
                <c:pt idx="2">
                  <c:v>0</c:v>
                </c:pt>
                <c:pt idx="3">
                  <c:v>0</c:v>
                </c:pt>
                <c:pt idx="4">
                  <c:v>0</c:v>
                </c:pt>
                <c:pt idx="5">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66ffd0c-4f39-44f3-9300-097443fe0e96}"/>
      </c:ext>
    </c:extLst>
  </c:chart>
  <c:spPr>
    <a:solidFill>
      <a:schemeClr val="accent5">
        <a:lumMod val="40000"/>
        <a:lumOff val="60000"/>
      </a:schemeClr>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2023</a:t>
            </a:r>
            <a:r>
              <a:rPr lang="zh-CN" altLang="en-US"/>
              <a:t>年支出决算结构图</a:t>
            </a:r>
            <a:endParaRPr lang="zh-CN" altLang="en-US"/>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[2023数据工作表.xls]Sheet1!$A$21:$D$21</c:f>
              <c:strCache>
                <c:ptCount val="4"/>
                <c:pt idx="0">
                  <c:v>基本支出</c:v>
                </c:pt>
                <c:pt idx="1">
                  <c:v>项目支出</c:v>
                </c:pt>
                <c:pt idx="2">
                  <c:v>上缴上级支出</c:v>
                </c:pt>
                <c:pt idx="3">
                  <c:v>经营支出</c:v>
                </c:pt>
              </c:strCache>
            </c:strRef>
          </c:cat>
          <c:val>
            <c:numRef>
              <c:f>[2023数据工作表.xls]Sheet1!$A$22:$D$22</c:f>
              <c:numCache>
                <c:formatCode>General</c:formatCode>
                <c:ptCount val="4"/>
                <c:pt idx="0">
                  <c:v>566.87</c:v>
                </c:pt>
                <c:pt idx="1">
                  <c:v>114.28</c:v>
                </c:pt>
                <c:pt idx="2">
                  <c:v>0</c:v>
                </c:pt>
                <c:pt idx="3">
                  <c:v>0</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242a2ee-1dbd-4b07-af71-dca7c07ce913}"/>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财政拨款收支决算变动情况</a:t>
            </a:r>
            <a:endParaRPr lang="zh-CN" altLang="en-US"/>
          </a:p>
        </c:rich>
      </c:tx>
      <c:layout/>
      <c:overlay val="0"/>
      <c:spPr>
        <a:noFill/>
        <a:ln>
          <a:noFill/>
        </a:ln>
        <a:effectLst/>
      </c:spPr>
    </c:title>
    <c:autoTitleDeleted val="0"/>
    <c:plotArea>
      <c:layout>
        <c:manualLayout>
          <c:layoutTarget val="inner"/>
          <c:xMode val="edge"/>
          <c:yMode val="edge"/>
          <c:x val="0.0814218841427736"/>
          <c:y val="0.240579710144928"/>
          <c:w val="0.886395552954944"/>
          <c:h val="0.449726247987118"/>
        </c:manualLayout>
      </c:layout>
      <c:barChart>
        <c:barDir val="col"/>
        <c:grouping val="clustered"/>
        <c:varyColors val="0"/>
        <c:ser>
          <c:idx val="0"/>
          <c:order val="0"/>
          <c:tx>
            <c:strRef>
              <c:f>"2022年"</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[2023数据工作表.xls]Sheet1!$A$2:$B$2</c:f>
              <c:numCache>
                <c:formatCode>General</c:formatCode>
                <c:ptCount val="2"/>
                <c:pt idx="0">
                  <c:v>667.5</c:v>
                </c:pt>
                <c:pt idx="1">
                  <c:v>667.5</c:v>
                </c:pt>
              </c:numCache>
            </c:numRef>
          </c:val>
        </c:ser>
        <c:ser>
          <c:idx val="1"/>
          <c:order val="1"/>
          <c:tx>
            <c:strRef>
              <c:f>"2023年"</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[2023数据工作表.xls]Sheet1!$A$1:$B$1</c:f>
              <c:strCache>
                <c:ptCount val="2"/>
                <c:pt idx="0">
                  <c:v>收入</c:v>
                </c:pt>
                <c:pt idx="1">
                  <c:v>支出</c:v>
                </c:pt>
              </c:strCache>
            </c:strRef>
          </c:cat>
          <c:val>
            <c:numRef>
              <c:f>[2023数据工作表.xls]Sheet1!$A$3:$B$3</c:f>
              <c:numCache>
                <c:formatCode>General</c:formatCode>
                <c:ptCount val="2"/>
                <c:pt idx="0">
                  <c:v>681.14</c:v>
                </c:pt>
                <c:pt idx="1">
                  <c:v>681.14</c:v>
                </c:pt>
              </c:numCache>
            </c:numRef>
          </c:val>
        </c:ser>
        <c:dLbls>
          <c:showLegendKey val="0"/>
          <c:showVal val="1"/>
          <c:showCatName val="0"/>
          <c:showSerName val="0"/>
          <c:showPercent val="0"/>
          <c:showBubbleSize val="0"/>
        </c:dLbls>
        <c:gapWidth val="246"/>
        <c:overlap val="-28"/>
        <c:axId val="200279168"/>
        <c:axId val="200280704"/>
      </c:barChart>
      <c:catAx>
        <c:axId val="20027916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280704"/>
        <c:crosses val="autoZero"/>
        <c:auto val="1"/>
        <c:lblAlgn val="ctr"/>
        <c:lblOffset val="100"/>
        <c:noMultiLvlLbl val="0"/>
      </c:catAx>
      <c:valAx>
        <c:axId val="200280704"/>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27916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5f96dfa-9950-4994-a966-1fa3f06bfea6}"/>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32368421052632"/>
          <c:y val="0.0789980732177264"/>
          <c:w val="0.897815789473684"/>
          <c:h val="0.550443159922929"/>
        </c:manualLayout>
      </c:layout>
      <c:barChart>
        <c:barDir val="col"/>
        <c:grouping val="clustered"/>
        <c:varyColors val="0"/>
        <c:ser>
          <c:idx val="0"/>
          <c:order val="0"/>
          <c:tx>
            <c:strRef>
              <c:f>"2022年度"</c:f>
              <c:strCache>
                <c:ptCount val="1"/>
                <c:pt idx="0">
                  <c:v>2022年度</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[2023数据工作表.xls]Sheet1!$A$25</c:f>
              <c:strCache>
                <c:ptCount val="1"/>
                <c:pt idx="0">
                  <c:v>一般公共预算支出</c:v>
                </c:pt>
              </c:strCache>
            </c:strRef>
          </c:cat>
          <c:val>
            <c:numRef>
              <c:f>[2023数据工作表.xls]Sheet1!$A$26</c:f>
              <c:numCache>
                <c:formatCode>General</c:formatCode>
                <c:ptCount val="1"/>
                <c:pt idx="0">
                  <c:v>667.5</c:v>
                </c:pt>
              </c:numCache>
            </c:numRef>
          </c:val>
        </c:ser>
        <c:ser>
          <c:idx val="1"/>
          <c:order val="1"/>
          <c:tx>
            <c:strRef>
              <c:f>"2023年度"</c:f>
              <c:strCache>
                <c:ptCount val="1"/>
                <c:pt idx="0">
                  <c:v>2023年度</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[2023数据工作表.xls]Sheet1!$A$25</c:f>
              <c:strCache>
                <c:ptCount val="1"/>
                <c:pt idx="0">
                  <c:v>一般公共预算支出</c:v>
                </c:pt>
              </c:strCache>
            </c:strRef>
          </c:cat>
          <c:val>
            <c:numRef>
              <c:f>[2023数据工作表.xls]Sheet1!$A$27</c:f>
              <c:numCache>
                <c:formatCode>General</c:formatCode>
                <c:ptCount val="1"/>
                <c:pt idx="0">
                  <c:v>681.14</c:v>
                </c:pt>
              </c:numCache>
            </c:numRef>
          </c:val>
        </c:ser>
        <c:dLbls>
          <c:showLegendKey val="0"/>
          <c:showVal val="1"/>
          <c:showCatName val="0"/>
          <c:showSerName val="0"/>
          <c:showPercent val="0"/>
          <c:showBubbleSize val="0"/>
        </c:dLbls>
        <c:gapWidth val="246"/>
        <c:overlap val="-28"/>
        <c:axId val="200298880"/>
        <c:axId val="200300416"/>
      </c:barChart>
      <c:catAx>
        <c:axId val="20029888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300416"/>
        <c:crosses val="autoZero"/>
        <c:auto val="1"/>
        <c:lblAlgn val="ctr"/>
        <c:lblOffset val="100"/>
        <c:noMultiLvlLbl val="0"/>
      </c:catAx>
      <c:valAx>
        <c:axId val="200300416"/>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29888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4c1e166-4bb4-4eb6-9157-dc5ccc20a7fc}"/>
      </c:ext>
    </c:extLst>
  </c:chart>
  <c:spPr>
    <a:solidFill>
      <a:schemeClr val="accent5">
        <a:lumMod val="40000"/>
        <a:lumOff val="60000"/>
      </a:schemeClr>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一般公共预算财政支出决算结构图</a:t>
            </a:r>
            <a:endParaRPr lang="zh-CN" altLang="en-US"/>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scene3d>
              <a:camera prst="orthographicFront"/>
              <a:lightRig rig="threePt" dir="t"/>
            </a:scene3d>
            <a:sp3d contourW="9525"/>
          </c:spPr>
          <c:explosion val="0"/>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[2023数据工作表.xls]Sheet1!$A$42:$D$42</c:f>
              <c:strCache>
                <c:ptCount val="4"/>
                <c:pt idx="0">
                  <c:v>社会保障和就业支出</c:v>
                </c:pt>
                <c:pt idx="1">
                  <c:v>卫生健康支出</c:v>
                </c:pt>
                <c:pt idx="2">
                  <c:v>住房保障支出</c:v>
                </c:pt>
                <c:pt idx="3">
                  <c:v>项目支出</c:v>
                </c:pt>
              </c:strCache>
            </c:strRef>
          </c:cat>
          <c:val>
            <c:numRef>
              <c:f>[2023数据工作表.xls]Sheet1!$A$43:$D$43</c:f>
              <c:numCache>
                <c:formatCode>General</c:formatCode>
                <c:ptCount val="4"/>
                <c:pt idx="0">
                  <c:v>107.56</c:v>
                </c:pt>
                <c:pt idx="1">
                  <c:v>529.81</c:v>
                </c:pt>
                <c:pt idx="2">
                  <c:v>43.77</c:v>
                </c:pt>
                <c:pt idx="3">
                  <c:v>114.28</c:v>
                </c:pt>
              </c:numCache>
            </c:numRef>
          </c:val>
        </c:ser>
        <c:dLbls>
          <c:showLegendKey val="0"/>
          <c:showVal val="1"/>
          <c:showCatName val="0"/>
          <c:showSerName val="0"/>
          <c:showPercent val="0"/>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7cad687-2831-4b0f-b348-88ef3e405a2e}"/>
      </c:ext>
    </c:extLst>
  </c:chart>
  <c:spPr>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0"/>
    </a:gra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5089</Words>
  <Characters>5520</Characters>
  <Lines>41</Lines>
  <Paragraphs>11</Paragraphs>
  <TotalTime>6</TotalTime>
  <ScaleCrop>false</ScaleCrop>
  <LinksUpToDate>false</LinksUpToDate>
  <CharactersWithSpaces>5605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缘来由你定</cp:lastModifiedBy>
  <cp:lastPrinted>2023-08-03T10:35:00Z</cp:lastPrinted>
  <dcterms:modified xsi:type="dcterms:W3CDTF">2024-10-28T05:31:08Z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4A7ADD4E2DF04A829623AD271FB67F82_13</vt:lpwstr>
  </property>
</Properties>
</file>