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pStyle w:val="2"/>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44"/>
          <w:szCs w:val="44"/>
        </w:rPr>
      </w:pPr>
      <w:bookmarkStart w:id="1" w:name="_Toc15377193"/>
      <w:bookmarkStart w:id="2" w:name="_Toc15378441"/>
      <w:bookmarkStart w:id="3" w:name="_Toc15377425"/>
      <w:bookmarkStart w:id="4" w:name="_Toc15396597"/>
      <w:bookmarkStart w:id="5" w:name="_Toc15396475"/>
      <w:r>
        <w:rPr>
          <w:rFonts w:hint="eastAsia" w:ascii="方正小标宋简体" w:hAnsi="方正小标宋简体" w:eastAsia="方正小标宋简体" w:cs="方正小标宋简体"/>
          <w:sz w:val="44"/>
          <w:szCs w:val="44"/>
        </w:rPr>
        <w:t>2023年度</w:t>
      </w:r>
      <w:bookmarkEnd w:id="1"/>
      <w:bookmarkEnd w:id="2"/>
      <w:bookmarkEnd w:id="3"/>
      <w:bookmarkEnd w:id="4"/>
      <w:bookmarkEnd w:id="5"/>
    </w:p>
    <w:bookmarkEnd w:id="0"/>
    <w:p>
      <w:pPr>
        <w:adjustRightInd w:val="0"/>
        <w:snapToGrid w:val="0"/>
        <w:spacing w:line="360" w:lineRule="auto"/>
        <w:jc w:val="center"/>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盐边县红宝苗族彝族乡卫生院</w:t>
      </w:r>
    </w:p>
    <w:p>
      <w:pPr>
        <w:pStyle w:val="18"/>
        <w:jc w:val="center"/>
        <w:rPr>
          <w:rFonts w:hint="default"/>
          <w:b w:val="0"/>
          <w:bCs/>
          <w:lang w:val="en-US"/>
        </w:rPr>
      </w:pPr>
      <w:r>
        <w:rPr>
          <w:rFonts w:hint="default" w:ascii="Times New Roman" w:hAnsi="Times New Roman" w:eastAsia="方正小标宋简体" w:cs="Times New Roman"/>
          <w:b w:val="0"/>
          <w:bCs/>
          <w:sz w:val="44"/>
          <w:szCs w:val="44"/>
        </w:rPr>
        <w:t>单位决算</w:t>
      </w:r>
    </w:p>
    <w:p>
      <w:pPr>
        <w:widowControl/>
        <w:jc w:val="center"/>
        <w:rPr>
          <w:rFonts w:hint="eastAsia" w:ascii="黑体" w:hAnsi="黑体" w:eastAsia="黑体" w:cs="黑体"/>
          <w:color w:val="000000"/>
          <w:sz w:val="44"/>
          <w:szCs w:val="44"/>
        </w:rPr>
      </w:pPr>
      <w:r>
        <w:rPr>
          <w:rFonts w:ascii="方正小标宋简体" w:hAnsi="宋体" w:eastAsia="方正小标宋简体"/>
          <w:sz w:val="36"/>
          <w:szCs w:val="36"/>
        </w:rPr>
        <w:br w:type="page"/>
      </w:r>
      <w:bookmarkStart w:id="6" w:name="_Toc15377196"/>
      <w:bookmarkStart w:id="7" w:name="_Toc15396599"/>
      <w:r>
        <w:rPr>
          <w:rFonts w:hint="eastAsia" w:ascii="黑体" w:hAnsi="黑体" w:eastAsia="黑体" w:cs="黑体"/>
          <w:color w:val="000000"/>
          <w:sz w:val="44"/>
          <w:szCs w:val="44"/>
        </w:rPr>
        <w:t>目录</w:t>
      </w:r>
    </w:p>
    <w:p>
      <w:pPr>
        <w:pStyle w:val="11"/>
        <w:ind w:right="-218" w:rightChars="-104" w:firstLine="2240" w:firstLineChars="7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公开时间：202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日</w:t>
      </w:r>
    </w:p>
    <w:p>
      <w:pPr>
        <w:tabs>
          <w:tab w:val="left" w:pos="8400"/>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TOC \o "1-3" \h \u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第一部分单位概况</w:t>
      </w:r>
      <w:r>
        <w:rPr>
          <w:rFonts w:hint="eastAsia" w:eastAsia="仿宋_GB2312" w:cs="Times New Roman"/>
          <w:b w:val="0"/>
          <w:bCs w:val="0"/>
          <w:sz w:val="32"/>
          <w:szCs w:val="32"/>
          <w:lang w:val="en-US" w:eastAsia="zh-CN"/>
        </w:rPr>
        <w:t>......................................................................</w:t>
      </w:r>
      <w:r>
        <w:rPr>
          <w:rFonts w:hint="eastAsia" w:ascii="仿宋" w:hAnsi="仿宋" w:eastAsia="仿宋" w:cs="仿宋"/>
          <w:b w:val="0"/>
          <w:bCs w:val="0"/>
          <w:sz w:val="32"/>
          <w:szCs w:val="32"/>
          <w:lang w:val="en-US" w:eastAsia="zh-CN"/>
        </w:rPr>
        <w:t>1</w:t>
      </w:r>
    </w:p>
    <w:p>
      <w:pPr>
        <w:pStyle w:val="12"/>
        <w:tabs>
          <w:tab w:val="right" w:leader="dot" w:pos="8306"/>
          <w:tab w:val="clear" w:pos="8296"/>
        </w:tabs>
        <w:ind w:right="-218" w:rightChars="-104"/>
        <w:jc w:val="right"/>
        <w:rPr>
          <w:rFonts w:hint="default" w:ascii="仿宋" w:hAnsi="仿宋" w:eastAsia="仿宋" w:cs="仿宋"/>
          <w:b w:val="0"/>
          <w:bCs w:val="0"/>
          <w:kern w:val="2"/>
          <w:sz w:val="32"/>
          <w:szCs w:val="32"/>
          <w:lang w:val="en-US" w:eastAsia="zh-CN" w:bidi="ar-SA"/>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_Toc20417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一、主要职责</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1</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_Toc29815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rPr>
        <w:t>机构设置</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p>
    <w:p>
      <w:pPr>
        <w:pStyle w:val="11"/>
        <w:tabs>
          <w:tab w:val="right" w:leader="dot" w:pos="8306"/>
          <w:tab w:val="clear" w:pos="8296"/>
        </w:tabs>
        <w:ind w:right="-218" w:rightChars="-104"/>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_Toc18061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 xml:space="preserve">第二部分 </w:t>
      </w:r>
      <w:r>
        <w:rPr>
          <w:rFonts w:hint="eastAsia" w:asciiTheme="minorEastAsia" w:hAnsiTheme="minorEastAsia" w:eastAsiaTheme="minorEastAsia" w:cstheme="minorEastAsia"/>
          <w:b/>
          <w:bCs/>
          <w:sz w:val="32"/>
          <w:szCs w:val="32"/>
        </w:rPr>
        <w:t>202</w:t>
      </w:r>
      <w:r>
        <w:rPr>
          <w:rFonts w:hint="eastAsia" w:asciiTheme="minorEastAsia" w:hAnsiTheme="minorEastAsia" w:eastAsiaTheme="minorEastAsia" w:cstheme="minorEastAsia"/>
          <w:b/>
          <w:bCs/>
          <w:sz w:val="32"/>
          <w:szCs w:val="32"/>
          <w:lang w:val="en-US" w:eastAsia="zh-CN"/>
        </w:rPr>
        <w:t>3</w:t>
      </w:r>
      <w:r>
        <w:rPr>
          <w:rFonts w:hint="default" w:ascii="Times New Roman" w:hAnsi="Times New Roman" w:eastAsia="仿宋_GB2312" w:cs="Times New Roman"/>
          <w:b/>
          <w:bCs/>
          <w:sz w:val="32"/>
          <w:szCs w:val="32"/>
        </w:rPr>
        <w:t>年度单位决算情况说明</w:t>
      </w:r>
      <w:r>
        <w:rPr>
          <w:rFonts w:hint="eastAsia" w:ascii="Times New Roman" w:hAnsi="Times New Roman" w:eastAsia="仿宋_GB2312" w:cs="Times New Roman"/>
          <w:kern w:val="2"/>
          <w:sz w:val="32"/>
          <w:szCs w:val="32"/>
          <w:lang w:val="en-US" w:eastAsia="zh-CN" w:bidi="ar-SA"/>
        </w:rPr>
        <w:t>..................................</w:t>
      </w:r>
      <w:r>
        <w:rPr>
          <w:rFonts w:hint="eastAsia" w:ascii="仿宋" w:hAnsi="仿宋" w:eastAsia="仿宋" w:cs="仿宋"/>
          <w:b w:val="0"/>
          <w:bCs w:val="0"/>
          <w:kern w:val="2"/>
          <w:sz w:val="32"/>
          <w:szCs w:val="32"/>
          <w:lang w:val="en-US" w:eastAsia="zh-CN" w:bidi="ar-SA"/>
        </w:rPr>
        <w:t>2</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_Toc6490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sz w:val="32"/>
          <w:szCs w:val="32"/>
        </w:rPr>
        <w:t>一、</w:t>
      </w:r>
      <w:r>
        <w:rPr>
          <w:rFonts w:hint="default" w:ascii="Times New Roman" w:hAnsi="Times New Roman" w:eastAsia="仿宋_GB2312" w:cs="Times New Roman"/>
          <w:sz w:val="32"/>
          <w:szCs w:val="32"/>
        </w:rPr>
        <w:t>收</w:t>
      </w:r>
      <w:r>
        <w:rPr>
          <w:rFonts w:hint="default" w:ascii="Times New Roman" w:hAnsi="Times New Roman" w:eastAsia="仿宋_GB2312" w:cs="Times New Roman"/>
          <w:bCs/>
          <w:sz w:val="32"/>
          <w:szCs w:val="32"/>
        </w:rPr>
        <w:t>入支出决算总体情况说明</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2</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_Toc18387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二、收入决算情况说明</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3</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_Toc4157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三、支出决算情况说明</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3</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_Toc16124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四、财政拨款收入支出决算总体情况说明</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4</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_Toc28387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五、一般公共预算财政拨款支出决算情况说明</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ascii="仿宋" w:hAnsi="仿宋" w:eastAsia="仿宋" w:cs="仿宋"/>
          <w:b w:val="0"/>
          <w:bCs w:val="0"/>
          <w:kern w:val="2"/>
          <w:sz w:val="32"/>
          <w:szCs w:val="32"/>
          <w:lang w:val="en-US" w:eastAsia="zh-CN" w:bidi="ar-SA"/>
        </w:rPr>
        <w:t>4</w:t>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_Toc32264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六、一般公共预算财政拨款基本支出决算情况说明</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7</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_Toc29779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七、财政拨款“三公”经费支出决算情况说明</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7</w:t>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_Toc10932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八、政府性基金预算支出决算情况说明</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end"/>
      </w:r>
      <w:r>
        <w:rPr>
          <w:rFonts w:hint="eastAsia" w:ascii="仿宋" w:hAnsi="仿宋" w:eastAsia="仿宋" w:cs="仿宋"/>
          <w:b w:val="0"/>
          <w:bCs w:val="0"/>
          <w:kern w:val="2"/>
          <w:sz w:val="32"/>
          <w:szCs w:val="32"/>
          <w:lang w:val="en-US" w:eastAsia="zh-CN" w:bidi="ar-SA"/>
        </w:rPr>
        <w:t>8</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_Toc5995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九、国有资本经营预算支出决算情况说明</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9</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_Toc12051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十、其他重要事项的情况说明</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9</w:t>
      </w:r>
    </w:p>
    <w:p>
      <w:pPr>
        <w:pStyle w:val="11"/>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_Toc20138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第三部分 名词解释</w:t>
      </w:r>
      <w:r>
        <w:rPr>
          <w:rFonts w:hint="eastAsia" w:ascii="Times New Roman" w:hAnsi="Times New Roman" w:eastAsia="仿宋_GB2312" w:cs="Times New Roman"/>
          <w:b w:val="0"/>
          <w:bCs w:val="0"/>
          <w:sz w:val="32"/>
          <w:szCs w:val="32"/>
          <w:lang w:val="en-US" w:eastAsia="zh-CN"/>
        </w:rPr>
        <w:t>..................................................................</w:t>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ascii="仿宋" w:hAnsi="仿宋" w:eastAsia="仿宋" w:cs="仿宋"/>
          <w:b w:val="0"/>
          <w:bCs w:val="0"/>
          <w:kern w:val="2"/>
          <w:sz w:val="32"/>
          <w:szCs w:val="32"/>
          <w:lang w:val="en-US" w:eastAsia="zh-CN" w:bidi="ar-SA"/>
        </w:rPr>
        <w:t>1</w:t>
      </w:r>
    </w:p>
    <w:p>
      <w:pPr>
        <w:pStyle w:val="11"/>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_Toc18807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第四部分 附件</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ascii="仿宋" w:hAnsi="仿宋" w:eastAsia="仿宋" w:cs="仿宋"/>
          <w:b w:val="0"/>
          <w:bCs w:val="0"/>
          <w:kern w:val="2"/>
          <w:sz w:val="32"/>
          <w:szCs w:val="32"/>
          <w:lang w:val="en-US" w:eastAsia="zh-CN" w:bidi="ar-SA"/>
        </w:rPr>
        <w:t>4</w:t>
      </w:r>
    </w:p>
    <w:p>
      <w:pPr>
        <w:pStyle w:val="11"/>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_Toc6450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第五部分 附表</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end"/>
      </w:r>
      <w:r>
        <w:rPr>
          <w:rFonts w:hint="eastAsia" w:cs="仿宋"/>
          <w:b w:val="0"/>
          <w:bCs w:val="0"/>
          <w:kern w:val="2"/>
          <w:sz w:val="32"/>
          <w:szCs w:val="32"/>
          <w:lang w:val="en-US" w:eastAsia="zh-CN" w:bidi="ar-SA"/>
        </w:rPr>
        <w:t>15</w:t>
      </w:r>
    </w:p>
    <w:p>
      <w:pPr>
        <w:pStyle w:val="12"/>
        <w:tabs>
          <w:tab w:val="right" w:leader="dot" w:pos="8306"/>
          <w:tab w:val="clear" w:pos="8296"/>
        </w:tabs>
        <w:ind w:right="-218" w:rightChars="-104"/>
        <w:jc w:val="right"/>
        <w:rPr>
          <w:rFonts w:hint="eastAsia"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fldChar w:fldCharType="begin"/>
      </w:r>
      <w:r>
        <w:rPr>
          <w:rFonts w:hint="default" w:ascii="Times New Roman" w:hAnsi="Times New Roman" w:eastAsia="仿宋_GB2312" w:cs="Times New Roman"/>
          <w:kern w:val="2"/>
          <w:sz w:val="32"/>
          <w:szCs w:val="32"/>
          <w:lang w:val="en-US" w:eastAsia="zh-CN" w:bidi="ar-SA"/>
        </w:rPr>
        <w:instrText xml:space="preserve"> HYPERLINK \l _Toc14349 </w:instrText>
      </w:r>
      <w:r>
        <w:rPr>
          <w:rFonts w:hint="default" w:ascii="Times New Roman" w:hAnsi="Times New Roman" w:eastAsia="仿宋_GB2312" w:cs="Times New Roman"/>
          <w:kern w:val="2"/>
          <w:sz w:val="32"/>
          <w:szCs w:val="32"/>
          <w:lang w:val="en-US" w:eastAsia="zh-CN" w:bidi="ar-SA"/>
        </w:rPr>
        <w:fldChar w:fldCharType="separate"/>
      </w:r>
      <w:r>
        <w:rPr>
          <w:rFonts w:hint="default" w:ascii="Times New Roman" w:hAnsi="Times New Roman" w:eastAsia="仿宋_GB2312" w:cs="Times New Roman"/>
          <w:kern w:val="2"/>
          <w:sz w:val="32"/>
          <w:szCs w:val="32"/>
          <w:lang w:val="en-US" w:eastAsia="zh-CN" w:bidi="ar-SA"/>
        </w:rPr>
        <w:t>一、收入支出决算总表</w:t>
      </w:r>
      <w:r>
        <w:rPr>
          <w:rFonts w:hint="default" w:ascii="Times New Roman" w:hAnsi="Times New Roman" w:eastAsia="仿宋_GB2312" w:cs="Times New Roman"/>
          <w:kern w:val="2"/>
          <w:sz w:val="32"/>
          <w:szCs w:val="32"/>
          <w:lang w:val="en-US" w:eastAsia="zh-CN" w:bidi="ar-SA"/>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kern w:val="2"/>
          <w:sz w:val="32"/>
          <w:szCs w:val="32"/>
          <w:lang w:val="en-US" w:eastAsia="zh-CN" w:bidi="ar-SA"/>
        </w:rPr>
        <w:fldChar w:fldCharType="end"/>
      </w:r>
      <w:r>
        <w:rPr>
          <w:rFonts w:hint="eastAsia" w:ascii="仿宋" w:hAnsi="仿宋" w:eastAsia="仿宋" w:cs="仿宋"/>
          <w:b w:val="0"/>
          <w:bCs w:val="0"/>
          <w:kern w:val="2"/>
          <w:sz w:val="32"/>
          <w:szCs w:val="32"/>
          <w:lang w:val="en-US" w:eastAsia="zh-CN" w:bidi="ar-SA"/>
        </w:rPr>
        <w:t>5</w:t>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_Toc1540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二、</w:t>
      </w:r>
      <w:r>
        <w:rPr>
          <w:rFonts w:hint="default" w:ascii="Times New Roman" w:hAnsi="Times New Roman" w:eastAsia="仿宋_GB2312" w:cs="Times New Roman"/>
          <w:bCs/>
          <w:sz w:val="32"/>
          <w:szCs w:val="32"/>
        </w:rPr>
        <w:t>收入决算表</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ascii="仿宋" w:hAnsi="仿宋" w:eastAsia="仿宋" w:cs="仿宋"/>
          <w:b w:val="0"/>
          <w:bCs w:val="0"/>
          <w:kern w:val="2"/>
          <w:sz w:val="32"/>
          <w:szCs w:val="32"/>
          <w:lang w:val="en-US" w:eastAsia="zh-CN" w:bidi="ar-SA"/>
        </w:rPr>
        <w:t>5</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rPr>
        <w:sectPr>
          <w:pgSz w:w="11906" w:h="16838"/>
          <w:pgMar w:top="1440" w:right="1926" w:bottom="1440" w:left="1800" w:header="851" w:footer="992" w:gutter="0"/>
          <w:pgNumType w:fmt="decimal" w:start="1"/>
          <w:cols w:space="720" w:num="1"/>
          <w:docGrid w:type="lines" w:linePitch="312" w:charSpace="0"/>
        </w:sectPr>
      </w:pP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_Toc24186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三、</w:t>
      </w:r>
      <w:r>
        <w:rPr>
          <w:rFonts w:hint="default" w:ascii="Times New Roman" w:hAnsi="Times New Roman" w:eastAsia="仿宋_GB2312" w:cs="Times New Roman"/>
          <w:bCs/>
          <w:sz w:val="32"/>
          <w:szCs w:val="32"/>
        </w:rPr>
        <w:t>支出决算表</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ascii="仿宋" w:hAnsi="仿宋" w:eastAsia="仿宋" w:cs="仿宋"/>
          <w:b w:val="0"/>
          <w:bCs w:val="0"/>
          <w:kern w:val="2"/>
          <w:sz w:val="32"/>
          <w:szCs w:val="32"/>
          <w:lang w:val="en-US" w:eastAsia="zh-CN" w:bidi="ar-SA"/>
        </w:rPr>
        <w:t>5</w:t>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_Toc2109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四、</w:t>
      </w:r>
      <w:r>
        <w:rPr>
          <w:rFonts w:hint="default" w:ascii="Times New Roman" w:hAnsi="Times New Roman" w:eastAsia="仿宋_GB2312" w:cs="Times New Roman"/>
          <w:bCs/>
          <w:sz w:val="32"/>
          <w:szCs w:val="32"/>
        </w:rPr>
        <w:t>财政拨款收入支出决算总表</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ascii="仿宋" w:hAnsi="仿宋" w:eastAsia="仿宋" w:cs="仿宋"/>
          <w:b w:val="0"/>
          <w:bCs w:val="0"/>
          <w:kern w:val="2"/>
          <w:sz w:val="32"/>
          <w:szCs w:val="32"/>
          <w:lang w:val="en-US" w:eastAsia="zh-CN" w:bidi="ar-SA"/>
        </w:rPr>
        <w:t>5</w:t>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_Toc17137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五、</w:t>
      </w:r>
      <w:r>
        <w:rPr>
          <w:rFonts w:hint="default" w:ascii="Times New Roman" w:hAnsi="Times New Roman" w:eastAsia="仿宋_GB2312" w:cs="Times New Roman"/>
          <w:bCs/>
          <w:sz w:val="32"/>
          <w:szCs w:val="32"/>
        </w:rPr>
        <w:t>财政拨款支出决算明细表</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ascii="仿宋" w:hAnsi="仿宋" w:eastAsia="仿宋" w:cs="仿宋"/>
          <w:b w:val="0"/>
          <w:bCs w:val="0"/>
          <w:kern w:val="2"/>
          <w:sz w:val="32"/>
          <w:szCs w:val="32"/>
          <w:lang w:val="en-US" w:eastAsia="zh-CN" w:bidi="ar-SA"/>
        </w:rPr>
        <w:t>5</w:t>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_Toc13960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六、</w:t>
      </w:r>
      <w:r>
        <w:rPr>
          <w:rFonts w:hint="default" w:ascii="Times New Roman" w:hAnsi="Times New Roman" w:eastAsia="仿宋_GB2312" w:cs="Times New Roman"/>
          <w:bCs/>
          <w:sz w:val="32"/>
          <w:szCs w:val="32"/>
        </w:rPr>
        <w:t>一般公共预算财政拨款支出决算表</w:t>
      </w:r>
      <w:r>
        <w:rPr>
          <w:rFonts w:hint="default" w:ascii="Times New Roman" w:hAnsi="Times New Roman" w:eastAsia="仿宋_GB2312" w:cs="Times New Roman"/>
          <w:sz w:val="32"/>
          <w:szCs w:val="32"/>
        </w:rPr>
        <w:tab/>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ascii="仿宋" w:hAnsi="仿宋" w:eastAsia="仿宋" w:cs="仿宋"/>
          <w:b w:val="0"/>
          <w:bCs w:val="0"/>
          <w:kern w:val="2"/>
          <w:sz w:val="32"/>
          <w:szCs w:val="32"/>
          <w:lang w:val="en-US" w:eastAsia="zh-CN" w:bidi="ar-SA"/>
        </w:rPr>
        <w:t>5</w:t>
      </w:r>
    </w:p>
    <w:p>
      <w:pPr>
        <w:pStyle w:val="12"/>
        <w:tabs>
          <w:tab w:val="right" w:leader="dot" w:pos="8306"/>
          <w:tab w:val="clear" w:pos="8296"/>
        </w:tabs>
        <w:ind w:right="-218" w:rightChars="-104"/>
        <w:jc w:val="righ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_Toc19869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七、</w:t>
      </w:r>
      <w:r>
        <w:rPr>
          <w:rFonts w:hint="default" w:ascii="Times New Roman" w:hAnsi="Times New Roman" w:eastAsia="仿宋_GB2312" w:cs="Times New Roman"/>
          <w:bCs/>
          <w:sz w:val="32"/>
          <w:szCs w:val="32"/>
        </w:rPr>
        <w:t>一般公共预算财政拨款支出决算明细表</w:t>
      </w:r>
      <w:r>
        <w:rPr>
          <w:rFonts w:hint="eastAsia" w:ascii="Times New Roman" w:hAnsi="Times New Roman" w:eastAsia="仿宋_GB2312" w:cs="Times New Roman"/>
          <w:bCs/>
          <w:sz w:val="32"/>
          <w:szCs w:val="32"/>
          <w:lang w:val="en-US" w:eastAsia="zh-CN"/>
        </w:rPr>
        <w:t>.................</w:t>
      </w:r>
      <w:r>
        <w:rPr>
          <w:rFonts w:hint="eastAsia" w:eastAsia="仿宋_GB2312" w:cs="Times New Roman"/>
          <w:bCs/>
          <w:sz w:val="32"/>
          <w:szCs w:val="32"/>
          <w:lang w:val="en-US" w:eastAsia="zh-CN"/>
        </w:rPr>
        <w:t>.</w:t>
      </w:r>
      <w:r>
        <w:rPr>
          <w:rFonts w:hint="eastAsia" w:ascii="Times New Roman" w:hAnsi="Times New Roman" w:eastAsia="仿宋_GB2312" w:cs="Times New Roman"/>
          <w:bCs/>
          <w:sz w:val="32"/>
          <w:szCs w:val="32"/>
          <w:lang w:val="en-US" w:eastAsia="zh-CN"/>
        </w:rPr>
        <w:t>.</w:t>
      </w:r>
      <w:r>
        <w:rPr>
          <w:rFonts w:hint="eastAsia" w:ascii="仿宋" w:hAnsi="仿宋" w:eastAsia="仿宋" w:cs="仿宋"/>
          <w:b w:val="0"/>
          <w:bCs w:val="0"/>
          <w:kern w:val="2"/>
          <w:sz w:val="32"/>
          <w:szCs w:val="32"/>
          <w:lang w:val="en-US" w:eastAsia="zh-CN" w:bidi="ar-SA"/>
        </w:rPr>
        <w:t>1</w:t>
      </w:r>
      <w:r>
        <w:rPr>
          <w:rFonts w:hint="default" w:ascii="Times New Roman" w:hAnsi="Times New Roman" w:eastAsia="仿宋_GB2312" w:cs="Times New Roman"/>
          <w:sz w:val="32"/>
          <w:szCs w:val="32"/>
        </w:rPr>
        <w:fldChar w:fldCharType="end"/>
      </w:r>
      <w:r>
        <w:rPr>
          <w:rFonts w:hint="eastAsia" w:ascii="仿宋" w:hAnsi="仿宋" w:eastAsia="仿宋" w:cs="仿宋"/>
          <w:b w:val="0"/>
          <w:bCs w:val="0"/>
          <w:kern w:val="2"/>
          <w:sz w:val="32"/>
          <w:szCs w:val="32"/>
          <w:lang w:val="en-US" w:eastAsia="zh-CN" w:bidi="ar-SA"/>
        </w:rPr>
        <w:t>5</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_Toc31304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八、</w:t>
      </w:r>
      <w:r>
        <w:rPr>
          <w:rFonts w:hint="default" w:ascii="Times New Roman" w:hAnsi="Times New Roman" w:eastAsia="仿宋_GB2312" w:cs="Times New Roman"/>
          <w:bCs/>
          <w:sz w:val="32"/>
          <w:szCs w:val="32"/>
        </w:rPr>
        <w:t>一般公共预算财政拨款基本支出决算</w:t>
      </w:r>
      <w:r>
        <w:rPr>
          <w:rFonts w:hint="eastAsia" w:ascii="Times New Roman" w:hAnsi="Times New Roman" w:eastAsia="仿宋_GB2312" w:cs="Times New Roman"/>
          <w:bCs/>
          <w:sz w:val="32"/>
          <w:szCs w:val="32"/>
          <w:lang w:val="en-US" w:eastAsia="zh-CN"/>
        </w:rPr>
        <w:t>明细</w:t>
      </w:r>
      <w:r>
        <w:rPr>
          <w:rFonts w:hint="default" w:ascii="Times New Roman" w:hAnsi="Times New Roman" w:eastAsia="仿宋_GB2312" w:cs="Times New Roman"/>
          <w:bCs/>
          <w:sz w:val="32"/>
          <w:szCs w:val="32"/>
        </w:rPr>
        <w:t>表</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end"/>
      </w:r>
      <w:r>
        <w:rPr>
          <w:rFonts w:hint="eastAsia" w:ascii="仿宋" w:hAnsi="仿宋" w:eastAsia="仿宋" w:cs="仿宋"/>
          <w:b w:val="0"/>
          <w:bCs w:val="0"/>
          <w:kern w:val="2"/>
          <w:sz w:val="32"/>
          <w:szCs w:val="32"/>
          <w:lang w:val="en-US" w:eastAsia="zh-CN" w:bidi="ar-SA"/>
        </w:rPr>
        <w:t>15</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_Toc13751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九、</w:t>
      </w:r>
      <w:r>
        <w:rPr>
          <w:rFonts w:hint="default" w:ascii="Times New Roman" w:hAnsi="Times New Roman" w:eastAsia="仿宋_GB2312" w:cs="Times New Roman"/>
          <w:bCs/>
          <w:sz w:val="32"/>
          <w:szCs w:val="32"/>
        </w:rPr>
        <w:t>一般公共预算财政拨款项目支出决算表</w:t>
      </w:r>
      <w:r>
        <w:rPr>
          <w:rFonts w:hint="eastAsia" w:eastAsia="仿宋_GB2312" w:cs="Times New Roman"/>
          <w:bCs/>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15</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_Toc10415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w:t>
      </w:r>
      <w:r>
        <w:rPr>
          <w:rFonts w:hint="default" w:ascii="Times New Roman" w:hAnsi="Times New Roman" w:eastAsia="仿宋_GB2312" w:cs="Times New Roman"/>
          <w:bCs/>
          <w:sz w:val="32"/>
          <w:szCs w:val="32"/>
        </w:rPr>
        <w:t>政府性基金预算财政拨款收入支出决算</w:t>
      </w:r>
      <w:r>
        <w:rPr>
          <w:rFonts w:hint="eastAsia" w:ascii="Times New Roman" w:hAnsi="Times New Roman" w:eastAsia="仿宋_GB2312" w:cs="Times New Roman"/>
          <w:bCs/>
          <w:sz w:val="32"/>
          <w:szCs w:val="32"/>
          <w:lang w:eastAsia="zh-CN"/>
        </w:rPr>
        <w:t>表</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15</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_Toc26668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十一</w:t>
      </w:r>
      <w:r>
        <w:rPr>
          <w:rFonts w:hint="default" w:ascii="Times New Roman" w:hAnsi="Times New Roman" w:eastAsia="仿宋_GB2312" w:cs="Times New Roman"/>
          <w:bCs/>
          <w:sz w:val="32"/>
          <w:szCs w:val="32"/>
        </w:rPr>
        <w:t>、国有资本经营预算财政拨款收入支出决算表</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15</w:t>
      </w:r>
    </w:p>
    <w:p>
      <w:pPr>
        <w:pStyle w:val="12"/>
        <w:tabs>
          <w:tab w:val="right" w:leader="dot" w:pos="8306"/>
          <w:tab w:val="clear" w:pos="8296"/>
        </w:tabs>
        <w:ind w:right="-218" w:rightChars="-104"/>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_Toc2042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十二、国有资本经营预算财政拨款支出决算表</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15</w:t>
      </w:r>
    </w:p>
    <w:p>
      <w:pPr>
        <w:pStyle w:val="12"/>
        <w:tabs>
          <w:tab w:val="right" w:leader="dot" w:pos="8306"/>
          <w:tab w:val="clear" w:pos="8296"/>
        </w:tabs>
        <w:ind w:right="-218" w:rightChars="-104"/>
        <w:jc w:val="right"/>
        <w:rPr>
          <w:rFonts w:hint="default" w:ascii="仿宋" w:hAnsi="仿宋" w:eastAsia="仿宋" w:cs="仿宋"/>
          <w:b w:val="0"/>
          <w:bCs w:val="0"/>
          <w:kern w:val="2"/>
          <w:sz w:val="32"/>
          <w:szCs w:val="32"/>
          <w:lang w:val="en-US" w:eastAsia="zh-CN" w:bidi="ar-SA"/>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_Toc22381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十三、财政拨款“三公”经费支出决算表</w:t>
      </w:r>
      <w:r>
        <w:rPr>
          <w:rFonts w:hint="eastAsia" w:eastAsia="仿宋_GB2312" w:cs="Times New Roman"/>
          <w:bCs w:val="0"/>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w:t>
      </w:r>
      <w:r>
        <w:rPr>
          <w:rFonts w:hint="eastAsia" w:ascii="仿宋" w:hAnsi="仿宋" w:eastAsia="仿宋" w:cs="仿宋"/>
          <w:b w:val="0"/>
          <w:bCs w:val="0"/>
          <w:kern w:val="2"/>
          <w:sz w:val="32"/>
          <w:szCs w:val="32"/>
          <w:lang w:val="en-US" w:eastAsia="zh-CN" w:bidi="ar-SA"/>
        </w:rPr>
        <w:t>15</w:t>
      </w:r>
    </w:p>
    <w:p>
      <w:pPr>
        <w:ind w:right="-218" w:rightChars="-104"/>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end"/>
      </w:r>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pStyle w:val="2"/>
        <w:rPr>
          <w:rFonts w:hint="eastAsia" w:ascii="黑体" w:hAnsi="黑体" w:eastAsia="黑体"/>
          <w:b w:val="0"/>
        </w:rPr>
      </w:pPr>
    </w:p>
    <w:p>
      <w:pPr>
        <w:pStyle w:val="2"/>
        <w:rPr>
          <w:rFonts w:hint="eastAsia" w:ascii="黑体" w:hAnsi="黑体" w:eastAsia="黑体"/>
          <w:b w:val="0"/>
        </w:rPr>
      </w:pPr>
    </w:p>
    <w:p>
      <w:pPr>
        <w:pStyle w:val="2"/>
        <w:rPr>
          <w:rFonts w:hint="eastAsia" w:ascii="黑体" w:hAnsi="黑体" w:eastAsia="黑体"/>
          <w:b w:val="0"/>
        </w:rPr>
      </w:pPr>
    </w:p>
    <w:p>
      <w:pPr>
        <w:pStyle w:val="2"/>
        <w:rPr>
          <w:rFonts w:hint="eastAsia" w:ascii="黑体" w:hAnsi="黑体" w:eastAsia="黑体"/>
          <w:b w:val="0"/>
        </w:rPr>
      </w:pPr>
    </w:p>
    <w:p>
      <w:pPr>
        <w:pStyle w:val="2"/>
        <w:rPr>
          <w:rFonts w:hint="eastAsia" w:ascii="黑体" w:hAnsi="黑体" w:eastAsia="黑体"/>
          <w:b w:val="0"/>
        </w:rPr>
      </w:pPr>
    </w:p>
    <w:p>
      <w:pPr>
        <w:pStyle w:val="2"/>
        <w:rPr>
          <w:rFonts w:hint="eastAsia" w:ascii="黑体" w:hAnsi="黑体" w:eastAsia="黑体"/>
          <w:b w:val="0"/>
        </w:rPr>
      </w:pPr>
    </w:p>
    <w:p>
      <w:pPr>
        <w:pStyle w:val="3"/>
        <w:jc w:val="center"/>
        <w:rPr>
          <w:rFonts w:hint="eastAsia" w:ascii="黑体" w:hAnsi="黑体" w:eastAsia="黑体"/>
          <w:b w:val="0"/>
        </w:rPr>
        <w:sectPr>
          <w:footerReference r:id="rId5" w:type="first"/>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pPr>
    </w:p>
    <w:p>
      <w:pPr>
        <w:pStyle w:val="3"/>
        <w:numPr>
          <w:ilvl w:val="0"/>
          <w:numId w:val="1"/>
        </w:numPr>
        <w:jc w:val="center"/>
        <w:rPr>
          <w:rStyle w:val="27"/>
          <w:rFonts w:hint="eastAsia" w:ascii="黑体" w:hAnsi="黑体" w:eastAsia="黑体"/>
          <w:b w:val="0"/>
          <w:bCs w:val="0"/>
        </w:rPr>
      </w:pPr>
      <w:r>
        <w:rPr>
          <w:rFonts w:hint="eastAsia" w:ascii="黑体" w:hAnsi="黑体" w:eastAsia="黑体"/>
          <w:b w:val="0"/>
        </w:rPr>
        <w:t>单位</w:t>
      </w:r>
      <w:r>
        <w:rPr>
          <w:rStyle w:val="27"/>
          <w:rFonts w:hint="eastAsia" w:ascii="黑体" w:hAnsi="黑体" w:eastAsia="黑体"/>
          <w:b w:val="0"/>
          <w:bCs w:val="0"/>
        </w:rPr>
        <w:t>概况</w:t>
      </w:r>
      <w:bookmarkEnd w:id="6"/>
      <w:bookmarkEnd w:id="7"/>
    </w:p>
    <w:p>
      <w:pPr>
        <w:numPr>
          <w:ilvl w:val="0"/>
          <w:numId w:val="0"/>
        </w:numPr>
      </w:pPr>
    </w:p>
    <w:p>
      <w:pPr>
        <w:pStyle w:val="4"/>
        <w:numPr>
          <w:ilvl w:val="0"/>
          <w:numId w:val="0"/>
        </w:numPr>
        <w:ind w:firstLine="640" w:firstLineChars="200"/>
        <w:rPr>
          <w:rStyle w:val="28"/>
          <w:rFonts w:ascii="黑体" w:hAnsi="黑体" w:eastAsia="黑体"/>
          <w:b w:val="0"/>
          <w:bCs w:val="0"/>
        </w:rPr>
      </w:pPr>
      <w:bookmarkStart w:id="8" w:name="_Toc52180066"/>
      <w:bookmarkStart w:id="9" w:name="_Toc15396600"/>
      <w:bookmarkStart w:id="10" w:name="_Toc15377197"/>
      <w:r>
        <w:rPr>
          <w:rFonts w:hint="eastAsia" w:ascii="黑体" w:hAnsi="黑体" w:eastAsia="黑体"/>
          <w:b w:val="0"/>
          <w:color w:val="000000"/>
          <w:lang w:eastAsia="zh-CN"/>
        </w:rPr>
        <w:t>一、</w:t>
      </w:r>
      <w:bookmarkEnd w:id="8"/>
      <w:bookmarkStart w:id="11" w:name="_Toc52180067"/>
      <w:bookmarkStart w:id="12" w:name="_Toc15377198"/>
      <w:bookmarkStart w:id="13" w:name="_Toc15378445"/>
      <w:r>
        <w:rPr>
          <w:rStyle w:val="33"/>
          <w:rFonts w:hint="eastAsia" w:ascii="黑体" w:hAnsi="黑体" w:eastAsia="黑体"/>
          <w:b w:val="0"/>
          <w:bCs w:val="0"/>
        </w:rPr>
        <w:t>主要</w:t>
      </w:r>
      <w:r>
        <w:rPr>
          <w:rStyle w:val="33"/>
          <w:rFonts w:hint="eastAsia" w:ascii="黑体" w:hAnsi="黑体" w:eastAsia="黑体"/>
          <w:b w:val="0"/>
          <w:bCs w:val="0"/>
          <w:lang w:eastAsia="zh-CN"/>
        </w:rPr>
        <w:t>职责</w:t>
      </w:r>
      <w:bookmarkEnd w:id="11"/>
      <w:bookmarkEnd w:id="12"/>
      <w:bookmarkEnd w:id="13"/>
    </w:p>
    <w:p>
      <w:pPr>
        <w:ind w:firstLine="640" w:firstLineChars="200"/>
      </w:pPr>
      <w:r>
        <w:rPr>
          <w:rFonts w:hint="eastAsia" w:ascii="仿宋_GB2312" w:hAnsi="仿宋_GB2312" w:eastAsia="仿宋_GB2312" w:cs="仿宋_GB2312"/>
          <w:sz w:val="32"/>
          <w:szCs w:val="32"/>
        </w:rPr>
        <w:t>我辖区常住居民</w:t>
      </w:r>
      <w:r>
        <w:rPr>
          <w:rFonts w:hint="eastAsia" w:ascii="仿宋_GB2312" w:hAnsi="仿宋_GB2312" w:eastAsia="仿宋_GB2312" w:cs="仿宋_GB2312"/>
          <w:sz w:val="32"/>
          <w:szCs w:val="32"/>
          <w:lang w:val="en-US" w:eastAsia="zh-CN"/>
        </w:rPr>
        <w:t>4286</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Style w:val="33"/>
          <w:rFonts w:hint="eastAsia" w:ascii="仿宋_GB2312" w:hAnsi="仿宋_GB2312" w:eastAsia="仿宋_GB2312" w:cs="仿宋_GB2312"/>
          <w:b w:val="0"/>
          <w:bCs w:val="0"/>
          <w:sz w:val="32"/>
          <w:szCs w:val="32"/>
          <w:lang w:val="en-US" w:eastAsia="zh-CN"/>
        </w:rPr>
        <w:t>我院</w:t>
      </w:r>
      <w:r>
        <w:rPr>
          <w:rFonts w:hint="eastAsia" w:ascii="仿宋_GB2312" w:hAnsi="仿宋_GB2312" w:eastAsia="仿宋_GB2312" w:cs="仿宋_GB2312"/>
          <w:kern w:val="2"/>
          <w:sz w:val="32"/>
          <w:szCs w:val="32"/>
          <w:lang w:val="en-US" w:bidi="ar-SA"/>
        </w:rPr>
        <w:t>承担本辖区内围产保健、妇女保健、儿童保健等妇幼保健任务和妇女儿童常见病防治任务;承担计划生育宣传教育、技术服务、优生指导、药具发放、信息咨询、随访服务、生殖保健等公共服务职能;落实妇幼重大公共卫生服务项目和基本公共卫生服务项目，配合做好孕前做生健康检查项目等任务;负责对村医生及计生服务人员提供业务培训指导。</w:t>
      </w:r>
      <w:r>
        <w:rPr>
          <w:rFonts w:hint="eastAsia" w:ascii="仿宋_GB2312" w:hAnsi="仿宋_GB2312" w:eastAsia="仿宋_GB2312" w:cs="仿宋_GB2312"/>
          <w:color w:val="000000" w:themeColor="text1"/>
          <w:sz w:val="32"/>
          <w:szCs w:val="32"/>
          <w:lang w:eastAsia="zh-CN"/>
          <w14:textFill>
            <w14:solidFill>
              <w14:schemeClr w14:val="tx1"/>
            </w14:solidFill>
          </w14:textFill>
        </w:rPr>
        <w:t>根据国家确定的基本公共卫生服务项目，通过基层医疗卫生机构，免费向全镇居民提供1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4大</w:t>
      </w:r>
      <w:r>
        <w:rPr>
          <w:rFonts w:hint="eastAsia" w:ascii="仿宋_GB2312" w:hAnsi="仿宋_GB2312" w:eastAsia="仿宋_GB2312" w:cs="仿宋_GB2312"/>
          <w:color w:val="000000" w:themeColor="text1"/>
          <w:sz w:val="32"/>
          <w:szCs w:val="32"/>
          <w:lang w:eastAsia="zh-CN"/>
          <w14:textFill>
            <w14:solidFill>
              <w14:schemeClr w14:val="tx1"/>
            </w14:solidFill>
          </w14:textFill>
        </w:rPr>
        <w:t>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48小项</w:t>
      </w:r>
      <w:r>
        <w:rPr>
          <w:rFonts w:hint="eastAsia" w:ascii="仿宋_GB2312" w:hAnsi="仿宋_GB2312" w:eastAsia="仿宋_GB2312" w:cs="仿宋_GB2312"/>
          <w:color w:val="000000" w:themeColor="text1"/>
          <w:sz w:val="32"/>
          <w:szCs w:val="32"/>
          <w:lang w:eastAsia="zh-CN"/>
          <w14:textFill>
            <w14:solidFill>
              <w14:schemeClr w14:val="tx1"/>
            </w14:solidFill>
          </w14:textFill>
        </w:rPr>
        <w:t>基本公共卫生服务。</w:t>
      </w:r>
    </w:p>
    <w:p>
      <w:pPr>
        <w:pStyle w:val="4"/>
        <w:keepNext/>
        <w:keepLines/>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b w:val="0"/>
        </w:rPr>
      </w:pPr>
      <w:r>
        <w:rPr>
          <w:rFonts w:hint="eastAsia" w:ascii="黑体" w:hAnsi="黑体" w:eastAsia="黑体" w:cs="黑体"/>
          <w:b w:val="0"/>
          <w:sz w:val="32"/>
          <w:szCs w:val="32"/>
        </w:rPr>
        <w:t>二、机</w:t>
      </w:r>
      <w:r>
        <w:rPr>
          <w:rStyle w:val="33"/>
          <w:rFonts w:hint="eastAsia" w:ascii="黑体" w:hAnsi="黑体" w:eastAsia="黑体" w:cs="黑体"/>
          <w:b w:val="0"/>
          <w:bCs w:val="0"/>
          <w:sz w:val="32"/>
          <w:szCs w:val="32"/>
        </w:rPr>
        <w:t>构设置</w:t>
      </w:r>
    </w:p>
    <w:p>
      <w:pPr>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仿宋" w:hAnsi="仿宋" w:eastAsia="仿宋" w:cs="Times New Roman"/>
          <w:b w:val="0"/>
          <w:bCs w:val="0"/>
          <w:kern w:val="2"/>
          <w:sz w:val="32"/>
          <w:szCs w:val="32"/>
          <w:lang w:val="en-US" w:eastAsia="zh-CN" w:bidi="ar-SA"/>
        </w:rPr>
        <w:t>盐边县</w:t>
      </w:r>
      <w:r>
        <w:rPr>
          <w:rFonts w:hint="eastAsia" w:ascii="仿宋" w:hAnsi="仿宋" w:eastAsia="仿宋" w:cs="Times New Roman"/>
          <w:b w:val="0"/>
          <w:bCs w:val="0"/>
          <w:kern w:val="2"/>
          <w:sz w:val="32"/>
          <w:szCs w:val="32"/>
          <w:lang w:val="en-US" w:eastAsia="zh-CN" w:bidi="ar-SA"/>
        </w:rPr>
        <w:t>红宝苗族彝族乡</w:t>
      </w:r>
      <w:r>
        <w:rPr>
          <w:rFonts w:hint="default" w:ascii="仿宋" w:hAnsi="仿宋" w:eastAsia="仿宋" w:cs="Times New Roman"/>
          <w:b w:val="0"/>
          <w:bCs w:val="0"/>
          <w:kern w:val="2"/>
          <w:sz w:val="32"/>
          <w:szCs w:val="32"/>
          <w:lang w:val="en-US" w:eastAsia="zh-CN" w:bidi="ar-SA"/>
        </w:rPr>
        <w:t>卫生院</w:t>
      </w:r>
      <w:r>
        <w:rPr>
          <w:rFonts w:hint="eastAsia" w:ascii="仿宋" w:hAnsi="仿宋" w:eastAsia="仿宋" w:cs="Times New Roman"/>
          <w:b w:val="0"/>
          <w:bCs w:val="0"/>
          <w:kern w:val="2"/>
          <w:sz w:val="32"/>
          <w:szCs w:val="32"/>
          <w:lang w:val="en-US" w:eastAsia="zh-CN" w:bidi="ar-SA"/>
        </w:rPr>
        <w:t>属于二</w:t>
      </w:r>
      <w:r>
        <w:rPr>
          <w:rFonts w:hint="default" w:ascii="仿宋" w:hAnsi="仿宋" w:eastAsia="仿宋" w:cs="Times New Roman"/>
          <w:b w:val="0"/>
          <w:bCs w:val="0"/>
          <w:kern w:val="2"/>
          <w:sz w:val="32"/>
          <w:szCs w:val="32"/>
          <w:lang w:val="en-US" w:eastAsia="zh-CN" w:bidi="ar-SA"/>
        </w:rPr>
        <w:t>级</w:t>
      </w:r>
      <w:r>
        <w:rPr>
          <w:rFonts w:hint="eastAsia" w:ascii="仿宋" w:hAnsi="仿宋" w:eastAsia="仿宋" w:cs="Times New Roman"/>
          <w:b w:val="0"/>
          <w:bCs w:val="0"/>
          <w:kern w:val="2"/>
          <w:sz w:val="32"/>
          <w:szCs w:val="32"/>
          <w:lang w:val="en-US" w:eastAsia="zh-CN" w:bidi="ar-SA"/>
        </w:rPr>
        <w:t>预算单位，</w:t>
      </w:r>
      <w:r>
        <w:rPr>
          <w:rFonts w:hint="default" w:ascii="Times New Roman" w:hAnsi="Times New Roman" w:eastAsia="仿宋_GB2312" w:cs="Times New Roman"/>
          <w:sz w:val="32"/>
          <w:szCs w:val="32"/>
          <w:lang w:val="en-US" w:eastAsia="zh-CN"/>
        </w:rPr>
        <w:t>内设机构6个，分别为中医科、西医科、护理部、药</w:t>
      </w:r>
      <w:r>
        <w:rPr>
          <w:rFonts w:hint="eastAsia" w:eastAsia="仿宋_GB2312" w:cs="Times New Roman"/>
          <w:sz w:val="32"/>
          <w:szCs w:val="32"/>
          <w:lang w:val="en-US" w:eastAsia="zh-CN"/>
        </w:rPr>
        <w:t>房</w:t>
      </w:r>
      <w:r>
        <w:rPr>
          <w:rFonts w:hint="default" w:ascii="Times New Roman" w:hAnsi="Times New Roman" w:eastAsia="仿宋_GB2312" w:cs="Times New Roman"/>
          <w:sz w:val="32"/>
          <w:szCs w:val="32"/>
          <w:lang w:val="en-US" w:eastAsia="zh-CN"/>
        </w:rPr>
        <w:t>、公共卫生科、综合办公室。</w:t>
      </w:r>
    </w:p>
    <w:p>
      <w:pPr>
        <w:numPr>
          <w:ilvl w:val="0"/>
          <w:numId w:val="0"/>
        </w:numPr>
        <w:ind w:leftChars="0"/>
      </w:pPr>
    </w:p>
    <w:bookmarkEnd w:id="9"/>
    <w:bookmarkEnd w:id="10"/>
    <w:p>
      <w:pPr>
        <w:pStyle w:val="3"/>
        <w:ind w:right="440"/>
        <w:jc w:val="center"/>
        <w:rPr>
          <w:rFonts w:hint="eastAsia" w:ascii="黑体" w:hAnsi="黑体" w:eastAsia="黑体"/>
          <w:b w:val="0"/>
        </w:rPr>
        <w:sectPr>
          <w:footerReference r:id="rId7" w:type="first"/>
          <w:footerReference r:id="rId6" w:type="default"/>
          <w:pgSz w:w="11906" w:h="16838"/>
          <w:pgMar w:top="1440" w:right="1800" w:bottom="1440" w:left="1800" w:header="851" w:footer="992" w:gutter="0"/>
          <w:pgNumType w:fmt="decimal" w:start="1"/>
          <w:cols w:space="425" w:num="1"/>
          <w:titlePg/>
          <w:docGrid w:type="lines" w:linePitch="312" w:charSpace="0"/>
        </w:sectPr>
      </w:pPr>
      <w:bookmarkStart w:id="14" w:name="_Toc15377204"/>
      <w:bookmarkStart w:id="15" w:name="_Toc15396602"/>
    </w:p>
    <w:p>
      <w:pPr>
        <w:pStyle w:val="3"/>
        <w:ind w:right="440"/>
        <w:jc w:val="center"/>
      </w:pPr>
      <w:r>
        <w:rPr>
          <w:rFonts w:hint="eastAsia" w:ascii="黑体" w:hAnsi="黑体" w:eastAsia="黑体"/>
          <w:b w:val="0"/>
        </w:rPr>
        <w:t>第二部分 2023年度</w:t>
      </w:r>
      <w:r>
        <w:rPr>
          <w:rStyle w:val="27"/>
          <w:rFonts w:hint="eastAsia" w:ascii="黑体" w:hAnsi="黑体" w:eastAsia="黑体"/>
          <w:b w:val="0"/>
          <w:bCs/>
        </w:rPr>
        <w:t>单位决算情况说明</w:t>
      </w:r>
      <w:bookmarkEnd w:id="14"/>
      <w:bookmarkEnd w:id="15"/>
    </w:p>
    <w:p>
      <w:pPr>
        <w:pStyle w:val="26"/>
        <w:numPr>
          <w:ilvl w:val="0"/>
          <w:numId w:val="2"/>
        </w:numPr>
        <w:spacing w:line="600" w:lineRule="exact"/>
        <w:ind w:firstLineChars="0"/>
        <w:outlineLvl w:val="1"/>
        <w:rPr>
          <w:rStyle w:val="28"/>
          <w:rFonts w:ascii="黑体" w:hAnsi="黑体" w:eastAsia="黑体"/>
          <w:b w:val="0"/>
        </w:rPr>
      </w:pPr>
      <w:bookmarkStart w:id="16" w:name="_Toc15396603"/>
      <w:bookmarkStart w:id="17" w:name="_Toc15377205"/>
      <w:r>
        <w:rPr>
          <w:rFonts w:hint="eastAsia" w:ascii="黑体" w:hAnsi="黑体" w:eastAsia="黑体"/>
          <w:sz w:val="32"/>
          <w:szCs w:val="32"/>
        </w:rPr>
        <w:t>收</w:t>
      </w:r>
      <w:r>
        <w:rPr>
          <w:rStyle w:val="28"/>
          <w:rFonts w:hint="eastAsia" w:ascii="黑体" w:hAnsi="黑体" w:eastAsia="黑体"/>
          <w:b w:val="0"/>
        </w:rPr>
        <w:t>入支出决算总体情况说明</w:t>
      </w:r>
      <w:bookmarkEnd w:id="16"/>
      <w:bookmarkEnd w:id="17"/>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仿宋" w:hAnsi="仿宋" w:eastAsia="仿宋"/>
          <w:sz w:val="32"/>
          <w:szCs w:val="32"/>
        </w:rPr>
        <w:t>2023年度收、支总计均为</w:t>
      </w:r>
      <w:r>
        <w:rPr>
          <w:rFonts w:hint="eastAsia" w:ascii="仿宋" w:hAnsi="仿宋" w:eastAsia="仿宋"/>
          <w:b/>
          <w:sz w:val="32"/>
          <w:szCs w:val="32"/>
        </w:rPr>
        <w:t>171.87</w:t>
      </w:r>
      <w:r>
        <w:rPr>
          <w:rFonts w:hint="eastAsia" w:ascii="仿宋" w:hAnsi="仿宋" w:eastAsia="仿宋"/>
          <w:sz w:val="32"/>
          <w:szCs w:val="32"/>
        </w:rPr>
        <w:t>万元。</w:t>
      </w:r>
      <w:r>
        <w:rPr>
          <w:rFonts w:hint="eastAsia" w:ascii="仿宋" w:hAnsi="仿宋" w:eastAsia="仿宋"/>
          <w:sz w:val="32"/>
          <w:szCs w:val="32"/>
          <w:lang w:val="en-US" w:eastAsia="zh-CN"/>
        </w:rPr>
        <w:t>2022年度收、支总计均为171.27，</w:t>
      </w:r>
      <w:r>
        <w:rPr>
          <w:rFonts w:hint="eastAsia" w:ascii="仿宋" w:hAnsi="仿宋" w:eastAsia="仿宋"/>
          <w:sz w:val="32"/>
          <w:szCs w:val="32"/>
        </w:rPr>
        <w:t>与2022年度相比，收、支总计各减少</w:t>
      </w:r>
      <w:r>
        <w:rPr>
          <w:rFonts w:hint="eastAsia" w:ascii="仿宋" w:hAnsi="仿宋" w:eastAsia="仿宋"/>
          <w:sz w:val="32"/>
          <w:szCs w:val="32"/>
          <w:lang w:val="en-US" w:eastAsia="zh-CN"/>
        </w:rPr>
        <w:t>0.6</w:t>
      </w:r>
      <w:r>
        <w:rPr>
          <w:rFonts w:hint="eastAsia" w:ascii="仿宋" w:hAnsi="仿宋" w:eastAsia="仿宋"/>
          <w:sz w:val="32"/>
          <w:szCs w:val="32"/>
        </w:rPr>
        <w:t>万元，下降</w:t>
      </w:r>
      <w:r>
        <w:rPr>
          <w:rFonts w:hint="eastAsia" w:ascii="仿宋" w:hAnsi="仿宋" w:eastAsia="仿宋"/>
          <w:sz w:val="32"/>
          <w:szCs w:val="32"/>
          <w:lang w:val="en-US" w:eastAsia="zh-CN"/>
        </w:rPr>
        <w:t>,0.34</w:t>
      </w:r>
      <w:r>
        <w:rPr>
          <w:rFonts w:ascii="仿宋" w:hAnsi="仿宋" w:eastAsia="仿宋"/>
          <w:sz w:val="32"/>
          <w:szCs w:val="32"/>
        </w:rPr>
        <w:t>%</w:t>
      </w:r>
      <w:r>
        <w:rPr>
          <w:rFonts w:hint="eastAsia" w:ascii="仿宋" w:hAnsi="仿宋" w:eastAsia="仿宋"/>
          <w:sz w:val="32"/>
          <w:szCs w:val="32"/>
        </w:rPr>
        <w:t>。主要变动原因是</w:t>
      </w:r>
      <w:r>
        <w:rPr>
          <w:rFonts w:hint="default" w:ascii="Times New Roman" w:hAnsi="Times New Roman" w:eastAsia="仿宋_GB2312" w:cs="Times New Roman"/>
          <w:sz w:val="32"/>
          <w:szCs w:val="32"/>
          <w:lang w:val="en-US" w:eastAsia="zh-CN"/>
        </w:rPr>
        <w:t>本年度收到</w:t>
      </w:r>
      <w:r>
        <w:rPr>
          <w:rFonts w:hint="eastAsia" w:ascii="Times New Roman" w:hAnsi="Times New Roman" w:eastAsia="仿宋_GB2312" w:cs="Times New Roman"/>
          <w:sz w:val="32"/>
          <w:szCs w:val="32"/>
          <w:lang w:val="en-US" w:eastAsia="zh-CN"/>
        </w:rPr>
        <w:t>基本公共卫生服务补助资金</w:t>
      </w:r>
      <w:r>
        <w:rPr>
          <w:rFonts w:hint="default" w:ascii="Times New Roman" w:hAnsi="Times New Roman" w:eastAsia="仿宋_GB2312" w:cs="Times New Roman"/>
          <w:sz w:val="32"/>
          <w:szCs w:val="32"/>
          <w:lang w:val="en-US" w:eastAsia="zh-CN"/>
        </w:rPr>
        <w:t>在上年基础上减少</w:t>
      </w:r>
      <w:r>
        <w:rPr>
          <w:rFonts w:hint="eastAsia" w:ascii="Times New Roman" w:hAnsi="Times New Roman" w:eastAsia="仿宋_GB2312" w:cs="Times New Roman"/>
          <w:sz w:val="32"/>
          <w:szCs w:val="32"/>
          <w:lang w:val="en-US" w:eastAsia="zh-CN"/>
        </w:rPr>
        <w:t>。</w:t>
      </w:r>
    </w:p>
    <w:p>
      <w:pPr>
        <w:pStyle w:val="2"/>
      </w:pPr>
      <w:r>
        <w:drawing>
          <wp:inline distT="0" distB="0" distL="114300" distR="114300">
            <wp:extent cx="4624070" cy="2798445"/>
            <wp:effectExtent l="4445" t="4445" r="19685" b="16510"/>
            <wp:docPr id="1029"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spacing w:line="600" w:lineRule="exact"/>
        <w:ind w:firstLine="640" w:firstLineChars="200"/>
        <w:jc w:val="left"/>
        <w:rPr>
          <w:rFonts w:ascii="仿宋_GB2312" w:eastAsia="仿宋_GB2312"/>
          <w:sz w:val="32"/>
          <w:szCs w:val="32"/>
        </w:rPr>
      </w:pPr>
    </w:p>
    <w:p>
      <w:pPr>
        <w:pStyle w:val="26"/>
        <w:numPr>
          <w:ilvl w:val="0"/>
          <w:numId w:val="2"/>
        </w:numPr>
        <w:spacing w:line="600" w:lineRule="exact"/>
        <w:ind w:firstLineChars="0"/>
        <w:outlineLvl w:val="1"/>
        <w:rPr>
          <w:rStyle w:val="28"/>
          <w:rFonts w:ascii="黑体" w:hAnsi="黑体" w:eastAsia="黑体"/>
          <w:b w:val="0"/>
        </w:rPr>
      </w:pPr>
      <w:bookmarkStart w:id="18" w:name="_Toc15396604"/>
      <w:bookmarkStart w:id="19" w:name="_Toc15377206"/>
      <w:r>
        <w:rPr>
          <w:rFonts w:hint="eastAsia" w:ascii="黑体" w:hAnsi="黑体" w:eastAsia="黑体"/>
          <w:sz w:val="32"/>
          <w:szCs w:val="32"/>
        </w:rPr>
        <w:t>收</w:t>
      </w:r>
      <w:r>
        <w:rPr>
          <w:rStyle w:val="28"/>
          <w:rFonts w:hint="eastAsia" w:ascii="黑体" w:hAnsi="黑体" w:eastAsia="黑体"/>
          <w:b w:val="0"/>
        </w:rPr>
        <w:t>入决算情况说明</w:t>
      </w:r>
      <w:bookmarkEnd w:id="18"/>
      <w:bookmarkEnd w:id="19"/>
    </w:p>
    <w:p>
      <w:pPr>
        <w:spacing w:line="600" w:lineRule="exact"/>
        <w:ind w:firstLine="640" w:firstLineChars="200"/>
        <w:outlineLvl w:val="1"/>
        <w:rPr>
          <w:rFonts w:hint="eastAsia" w:ascii="仿宋" w:hAnsi="仿宋" w:eastAsia="仿宋"/>
          <w:sz w:val="32"/>
          <w:szCs w:val="32"/>
        </w:rPr>
      </w:pPr>
      <w:r>
        <w:rPr>
          <w:rFonts w:hint="eastAsia" w:ascii="仿宋" w:hAnsi="仿宋" w:eastAsia="仿宋"/>
          <w:sz w:val="32"/>
          <w:szCs w:val="32"/>
        </w:rPr>
        <w:t>2023年度本年收入合计</w:t>
      </w:r>
      <w:r>
        <w:rPr>
          <w:rFonts w:ascii="仿宋" w:hAnsi="仿宋" w:eastAsia="仿宋"/>
          <w:b/>
          <w:sz w:val="32"/>
          <w:szCs w:val="32"/>
        </w:rPr>
        <w:t>166.66</w:t>
      </w:r>
      <w:r>
        <w:rPr>
          <w:rFonts w:hint="eastAsia" w:ascii="仿宋" w:hAnsi="仿宋" w:eastAsia="仿宋"/>
          <w:sz w:val="32"/>
          <w:szCs w:val="32"/>
        </w:rPr>
        <w:t>万元，其中：一般公共预算财政拨款收入</w:t>
      </w:r>
      <w:r>
        <w:rPr>
          <w:rFonts w:ascii="仿宋" w:hAnsi="仿宋" w:eastAsia="仿宋"/>
          <w:b/>
          <w:sz w:val="32"/>
          <w:szCs w:val="32"/>
        </w:rPr>
        <w:t>166.63</w:t>
      </w:r>
      <w:r>
        <w:rPr>
          <w:rFonts w:hint="eastAsia" w:ascii="仿宋" w:hAnsi="仿宋" w:eastAsia="仿宋"/>
          <w:sz w:val="32"/>
          <w:szCs w:val="32"/>
        </w:rPr>
        <w:t>万元，占</w:t>
      </w:r>
      <w:r>
        <w:rPr>
          <w:rFonts w:ascii="仿宋" w:hAnsi="仿宋" w:eastAsia="仿宋"/>
          <w:b/>
          <w:sz w:val="32"/>
          <w:szCs w:val="32"/>
        </w:rPr>
        <w:t>99.97%</w:t>
      </w:r>
      <w:r>
        <w:rPr>
          <w:rFonts w:hint="eastAsia" w:ascii="仿宋" w:hAnsi="仿宋" w:eastAsia="仿宋"/>
          <w:sz w:val="32"/>
          <w:szCs w:val="32"/>
        </w:rPr>
        <w:t>；政府性基金预算财政拨款收入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；国有资本经营预算财政拨款收入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；上级补助收入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；事业收入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；附属单位上缴</w:t>
      </w:r>
    </w:p>
    <w:p>
      <w:pPr>
        <w:rPr>
          <w:rFonts w:hint="eastAsia" w:ascii="仿宋" w:hAnsi="仿宋" w:eastAsia="仿宋"/>
          <w:sz w:val="32"/>
          <w:szCs w:val="32"/>
        </w:rPr>
      </w:pPr>
      <w:r>
        <w:rPr>
          <w:rFonts w:hint="eastAsia" w:ascii="仿宋" w:hAnsi="仿宋" w:eastAsia="仿宋"/>
          <w:sz w:val="32"/>
          <w:szCs w:val="32"/>
        </w:rPr>
        <w:br w:type="page"/>
      </w:r>
    </w:p>
    <w:p>
      <w:pPr>
        <w:pStyle w:val="2"/>
        <w:rPr>
          <w:rFonts w:hint="eastAsia"/>
        </w:rPr>
        <w:sectPr>
          <w:footerReference r:id="rId9" w:type="first"/>
          <w:footerReference r:id="rId8" w:type="default"/>
          <w:pgSz w:w="11906" w:h="16838"/>
          <w:pgMar w:top="1440" w:right="1800" w:bottom="1440" w:left="1800" w:header="851" w:footer="992" w:gutter="0"/>
          <w:pgNumType w:fmt="decimal"/>
          <w:cols w:space="425" w:num="1"/>
          <w:titlePg/>
          <w:docGrid w:type="lines" w:linePitch="312" w:charSpace="0"/>
        </w:sectPr>
      </w:pPr>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；其他收入</w:t>
      </w:r>
      <w:r>
        <w:rPr>
          <w:rFonts w:ascii="仿宋" w:hAnsi="仿宋" w:eastAsia="仿宋"/>
          <w:b/>
          <w:sz w:val="32"/>
          <w:szCs w:val="32"/>
        </w:rPr>
        <w:t>0.04</w:t>
      </w:r>
      <w:r>
        <w:rPr>
          <w:rFonts w:hint="eastAsia" w:ascii="仿宋" w:hAnsi="仿宋" w:eastAsia="仿宋"/>
          <w:sz w:val="32"/>
          <w:szCs w:val="32"/>
        </w:rPr>
        <w:t>万元，占</w:t>
      </w:r>
      <w:r>
        <w:rPr>
          <w:rFonts w:ascii="仿宋" w:hAnsi="仿宋" w:eastAsia="仿宋"/>
          <w:b/>
          <w:sz w:val="32"/>
          <w:szCs w:val="32"/>
        </w:rPr>
        <w:t>0.02</w:t>
      </w:r>
      <w:r>
        <w:rPr>
          <w:rFonts w:ascii="仿宋" w:hAnsi="仿宋" w:eastAsia="仿宋"/>
          <w:sz w:val="32"/>
          <w:szCs w:val="32"/>
        </w:rPr>
        <w:t>%</w:t>
      </w:r>
    </w:p>
    <w:p>
      <w:pPr>
        <w:pStyle w:val="2"/>
      </w:pPr>
      <w:r>
        <w:drawing>
          <wp:inline distT="0" distB="0" distL="114300" distR="114300">
            <wp:extent cx="4624070" cy="2204085"/>
            <wp:effectExtent l="5080" t="4445" r="19050" b="16510"/>
            <wp:docPr id="102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（图2：收入决算结构图）</w:t>
      </w:r>
    </w:p>
    <w:p>
      <w:pPr>
        <w:pStyle w:val="26"/>
        <w:numPr>
          <w:ilvl w:val="0"/>
          <w:numId w:val="2"/>
        </w:numPr>
        <w:spacing w:line="600" w:lineRule="exact"/>
        <w:ind w:firstLineChars="0"/>
        <w:outlineLvl w:val="1"/>
        <w:rPr>
          <w:rStyle w:val="28"/>
          <w:rFonts w:ascii="黑体" w:hAnsi="黑体" w:eastAsia="黑体"/>
          <w:b w:val="0"/>
        </w:rPr>
      </w:pPr>
      <w:bookmarkStart w:id="20" w:name="_Toc15377207"/>
      <w:bookmarkStart w:id="21" w:name="_Toc15396605"/>
      <w:r>
        <w:rPr>
          <w:rFonts w:hint="eastAsia" w:ascii="黑体" w:hAnsi="黑体" w:eastAsia="黑体"/>
          <w:sz w:val="32"/>
          <w:szCs w:val="32"/>
        </w:rPr>
        <w:t>支</w:t>
      </w:r>
      <w:r>
        <w:rPr>
          <w:rStyle w:val="28"/>
          <w:rFonts w:hint="eastAsia" w:ascii="黑体" w:hAnsi="黑体" w:eastAsia="黑体"/>
          <w:b w:val="0"/>
        </w:rPr>
        <w:t>出决算情况说明</w:t>
      </w:r>
      <w:bookmarkEnd w:id="20"/>
      <w:bookmarkEnd w:id="21"/>
    </w:p>
    <w:p>
      <w:pPr>
        <w:spacing w:line="600" w:lineRule="exact"/>
        <w:ind w:firstLine="640" w:firstLineChars="200"/>
        <w:outlineLvl w:val="1"/>
        <w:rPr>
          <w:rFonts w:hint="eastAsia" w:ascii="仿宋" w:hAnsi="仿宋" w:eastAsia="仿宋"/>
          <w:sz w:val="32"/>
          <w:szCs w:val="32"/>
        </w:rPr>
      </w:pPr>
      <w:r>
        <w:rPr>
          <w:rFonts w:hint="eastAsia" w:ascii="仿宋" w:hAnsi="仿宋" w:eastAsia="仿宋"/>
          <w:sz w:val="32"/>
          <w:szCs w:val="32"/>
        </w:rPr>
        <w:t>2023年度本年支出合计</w:t>
      </w:r>
      <w:r>
        <w:rPr>
          <w:rFonts w:ascii="仿宋" w:hAnsi="仿宋" w:eastAsia="仿宋"/>
          <w:b/>
          <w:sz w:val="32"/>
          <w:szCs w:val="32"/>
        </w:rPr>
        <w:t>171.87</w:t>
      </w:r>
      <w:r>
        <w:rPr>
          <w:rFonts w:hint="eastAsia" w:ascii="仿宋" w:hAnsi="仿宋" w:eastAsia="仿宋"/>
          <w:sz w:val="32"/>
          <w:szCs w:val="32"/>
        </w:rPr>
        <w:t>万元，其中：基本支出</w:t>
      </w:r>
      <w:r>
        <w:rPr>
          <w:rFonts w:ascii="仿宋" w:hAnsi="仿宋" w:eastAsia="仿宋"/>
          <w:b/>
          <w:sz w:val="32"/>
          <w:szCs w:val="32"/>
        </w:rPr>
        <w:t>134.69</w:t>
      </w:r>
      <w:r>
        <w:rPr>
          <w:rFonts w:hint="eastAsia" w:ascii="仿宋" w:hAnsi="仿宋" w:eastAsia="仿宋"/>
          <w:sz w:val="32"/>
          <w:szCs w:val="32"/>
        </w:rPr>
        <w:t>万元，占</w:t>
      </w:r>
      <w:r>
        <w:rPr>
          <w:rFonts w:ascii="仿宋" w:hAnsi="仿宋" w:eastAsia="仿宋"/>
          <w:b/>
          <w:sz w:val="32"/>
          <w:szCs w:val="32"/>
        </w:rPr>
        <w:t>78.36</w:t>
      </w:r>
      <w:r>
        <w:rPr>
          <w:rFonts w:ascii="仿宋" w:hAnsi="仿宋" w:eastAsia="仿宋"/>
          <w:sz w:val="32"/>
          <w:szCs w:val="32"/>
        </w:rPr>
        <w:t>%</w:t>
      </w:r>
      <w:r>
        <w:rPr>
          <w:rFonts w:hint="eastAsia" w:ascii="仿宋" w:hAnsi="仿宋" w:eastAsia="仿宋"/>
          <w:sz w:val="32"/>
          <w:szCs w:val="32"/>
        </w:rPr>
        <w:t>；项目支出</w:t>
      </w:r>
      <w:r>
        <w:rPr>
          <w:rFonts w:ascii="仿宋" w:hAnsi="仿宋" w:eastAsia="仿宋"/>
          <w:b/>
          <w:sz w:val="32"/>
          <w:szCs w:val="32"/>
        </w:rPr>
        <w:t>37.19</w:t>
      </w:r>
      <w:r>
        <w:rPr>
          <w:rFonts w:hint="eastAsia" w:ascii="仿宋" w:hAnsi="仿宋" w:eastAsia="仿宋"/>
          <w:sz w:val="32"/>
          <w:szCs w:val="32"/>
        </w:rPr>
        <w:t>万元，占</w:t>
      </w:r>
      <w:r>
        <w:rPr>
          <w:rFonts w:ascii="仿宋" w:hAnsi="仿宋" w:eastAsia="仿宋"/>
          <w:b/>
          <w:sz w:val="32"/>
          <w:szCs w:val="32"/>
        </w:rPr>
        <w:t>21.63</w:t>
      </w:r>
      <w:r>
        <w:rPr>
          <w:rFonts w:ascii="仿宋" w:hAnsi="仿宋" w:eastAsia="仿宋"/>
          <w:sz w:val="32"/>
          <w:szCs w:val="32"/>
        </w:rPr>
        <w:t>%</w:t>
      </w:r>
      <w:r>
        <w:rPr>
          <w:rFonts w:hint="eastAsia" w:ascii="仿宋" w:hAnsi="仿宋" w:eastAsia="仿宋"/>
          <w:sz w:val="32"/>
          <w:szCs w:val="32"/>
        </w:rPr>
        <w:t>；上缴上级支出</w:t>
      </w:r>
      <w:r>
        <w:rPr>
          <w:rFonts w:ascii="仿宋" w:hAnsi="仿宋" w:eastAsia="仿宋"/>
          <w:b/>
          <w:sz w:val="32"/>
          <w:szCs w:val="32"/>
        </w:rPr>
        <w:t>0</w:t>
      </w:r>
      <w:r>
        <w:rPr>
          <w:rFonts w:hint="eastAsia" w:ascii="仿宋" w:hAnsi="仿宋" w:eastAsia="仿宋"/>
          <w:sz w:val="32"/>
          <w:szCs w:val="32"/>
        </w:rPr>
        <w:t>万元，占</w:t>
      </w:r>
      <w:r>
        <w:rPr>
          <w:rFonts w:hint="eastAsia"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；对附属单位补助支出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pPr>
        <w:pStyle w:val="2"/>
        <w:rPr>
          <w:rFonts w:hint="eastAsia" w:ascii="仿宋" w:hAnsi="仿宋" w:eastAsia="仿宋"/>
          <w:sz w:val="32"/>
          <w:szCs w:val="32"/>
        </w:rPr>
      </w:pPr>
    </w:p>
    <w:p>
      <w:pPr>
        <w:pStyle w:val="2"/>
        <w:rPr>
          <w:rFonts w:ascii="仿宋" w:hAnsi="仿宋" w:eastAsia="仿宋"/>
          <w:sz w:val="32"/>
          <w:szCs w:val="32"/>
          <w:shd w:val="pct10" w:color="auto" w:fill="FFFFFF"/>
        </w:rPr>
      </w:pPr>
      <w:r>
        <w:drawing>
          <wp:inline distT="0" distB="0" distL="114300" distR="114300">
            <wp:extent cx="4624070" cy="2015490"/>
            <wp:effectExtent l="4445" t="4445" r="19685" b="6985"/>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w:t>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8"/>
          <w:rFonts w:ascii="黑体" w:hAnsi="黑体" w:eastAsia="黑体"/>
          <w:b w:val="0"/>
        </w:rPr>
      </w:pPr>
      <w:bookmarkStart w:id="22" w:name="_Toc15377208"/>
      <w:bookmarkStart w:id="23" w:name="_Toc15396606"/>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2"/>
      <w:bookmarkEnd w:id="23"/>
    </w:p>
    <w:p>
      <w:pPr>
        <w:spacing w:line="600" w:lineRule="exact"/>
        <w:ind w:firstLine="640"/>
        <w:rPr>
          <w:rFonts w:ascii="仿宋" w:hAnsi="仿宋" w:eastAsia="仿宋"/>
          <w:b/>
          <w:sz w:val="32"/>
          <w:szCs w:val="32"/>
        </w:rPr>
      </w:pPr>
      <w:r>
        <w:rPr>
          <w:rFonts w:hint="eastAsia" w:ascii="仿宋" w:hAnsi="仿宋" w:eastAsia="仿宋"/>
          <w:sz w:val="32"/>
          <w:szCs w:val="32"/>
        </w:rPr>
        <w:t>2023年度财政拨款收、支总计均为</w:t>
      </w:r>
      <w:r>
        <w:rPr>
          <w:rFonts w:ascii="仿宋" w:hAnsi="仿宋" w:eastAsia="仿宋"/>
          <w:b/>
          <w:sz w:val="32"/>
          <w:szCs w:val="32"/>
        </w:rPr>
        <w:t>166.63</w:t>
      </w:r>
      <w:r>
        <w:rPr>
          <w:rFonts w:hint="eastAsia" w:ascii="仿宋" w:hAnsi="仿宋" w:eastAsia="仿宋"/>
          <w:sz w:val="32"/>
          <w:szCs w:val="32"/>
        </w:rPr>
        <w:t>万元。202</w:t>
      </w:r>
      <w:r>
        <w:rPr>
          <w:rFonts w:hint="eastAsia" w:ascii="仿宋" w:hAnsi="仿宋" w:eastAsia="仿宋"/>
          <w:sz w:val="32"/>
          <w:szCs w:val="32"/>
          <w:lang w:val="en-US" w:eastAsia="zh-CN"/>
        </w:rPr>
        <w:t>2</w:t>
      </w:r>
      <w:r>
        <w:rPr>
          <w:rFonts w:hint="eastAsia" w:ascii="仿宋" w:hAnsi="仿宋" w:eastAsia="仿宋"/>
          <w:sz w:val="32"/>
          <w:szCs w:val="32"/>
        </w:rPr>
        <w:t>年度财政拨款收、支总计均为</w:t>
      </w:r>
      <w:r>
        <w:rPr>
          <w:rFonts w:ascii="仿宋" w:hAnsi="仿宋" w:eastAsia="仿宋"/>
          <w:b/>
          <w:sz w:val="32"/>
          <w:szCs w:val="32"/>
        </w:rPr>
        <w:t>166.</w:t>
      </w:r>
      <w:r>
        <w:rPr>
          <w:rFonts w:hint="eastAsia" w:ascii="仿宋" w:hAnsi="仿宋" w:eastAsia="仿宋"/>
          <w:b/>
          <w:sz w:val="32"/>
          <w:szCs w:val="32"/>
          <w:lang w:val="en-US" w:eastAsia="zh-CN"/>
        </w:rPr>
        <w:t>44</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sz w:val="32"/>
          <w:szCs w:val="32"/>
        </w:rPr>
        <w:t>与2022年度相比，财政拨款收、支总计各减少</w:t>
      </w:r>
      <w:r>
        <w:rPr>
          <w:rFonts w:hint="eastAsia" w:ascii="仿宋" w:hAnsi="仿宋" w:eastAsia="仿宋"/>
          <w:sz w:val="32"/>
          <w:szCs w:val="32"/>
          <w:lang w:val="en-US" w:eastAsia="zh-CN"/>
        </w:rPr>
        <w:t>0.19</w:t>
      </w:r>
      <w:r>
        <w:rPr>
          <w:rFonts w:hint="eastAsia" w:ascii="仿宋" w:hAnsi="仿宋" w:eastAsia="仿宋"/>
          <w:sz w:val="32"/>
          <w:szCs w:val="32"/>
        </w:rPr>
        <w:t>万元，下降</w:t>
      </w:r>
      <w:r>
        <w:rPr>
          <w:rFonts w:hint="eastAsia" w:ascii="仿宋" w:hAnsi="仿宋" w:eastAsia="仿宋"/>
          <w:sz w:val="32"/>
          <w:szCs w:val="32"/>
          <w:lang w:val="en-US" w:eastAsia="zh-CN"/>
        </w:rPr>
        <w:t>0.11</w:t>
      </w:r>
      <w:r>
        <w:rPr>
          <w:rFonts w:ascii="仿宋" w:hAnsi="仿宋" w:eastAsia="仿宋"/>
          <w:sz w:val="32"/>
          <w:szCs w:val="32"/>
        </w:rPr>
        <w:t>%</w:t>
      </w:r>
      <w:r>
        <w:rPr>
          <w:rFonts w:hint="eastAsia" w:ascii="仿宋" w:hAnsi="仿宋" w:eastAsia="仿宋"/>
          <w:sz w:val="32"/>
          <w:szCs w:val="32"/>
        </w:rPr>
        <w:t>。主要变动原因是</w:t>
      </w:r>
      <w:r>
        <w:rPr>
          <w:rFonts w:hint="default" w:ascii="Times New Roman" w:hAnsi="Times New Roman" w:eastAsia="仿宋_GB2312" w:cs="Times New Roman"/>
          <w:sz w:val="32"/>
          <w:szCs w:val="32"/>
          <w:lang w:val="en-US" w:eastAsia="zh-CN"/>
        </w:rPr>
        <w:t>本年度收到基本公共卫生经费在上年基础上</w:t>
      </w:r>
      <w:r>
        <w:rPr>
          <w:rFonts w:hint="eastAsia" w:ascii="Times New Roman" w:hAnsi="Times New Roman" w:eastAsia="仿宋_GB2312" w:cs="Times New Roman"/>
          <w:sz w:val="32"/>
          <w:szCs w:val="32"/>
          <w:lang w:val="en-US" w:eastAsia="zh-CN"/>
        </w:rPr>
        <w:t>减少。</w:t>
      </w:r>
    </w:p>
    <w:p>
      <w:pPr>
        <w:pStyle w:val="2"/>
      </w:pPr>
      <w:r>
        <w:drawing>
          <wp:inline distT="0" distB="0" distL="114300" distR="114300">
            <wp:extent cx="4624070" cy="2798445"/>
            <wp:effectExtent l="4445" t="4445" r="19685" b="16510"/>
            <wp:docPr id="102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spacing w:line="600" w:lineRule="exact"/>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w:t>
      </w:r>
    </w:p>
    <w:p>
      <w:pPr>
        <w:spacing w:line="600" w:lineRule="exact"/>
        <w:ind w:firstLine="640"/>
        <w:rPr>
          <w:rFonts w:ascii="仿宋" w:hAnsi="仿宋" w:eastAsia="仿宋"/>
          <w:b/>
          <w:sz w:val="32"/>
          <w:szCs w:val="32"/>
        </w:rPr>
      </w:pPr>
    </w:p>
    <w:p>
      <w:pPr>
        <w:spacing w:line="600" w:lineRule="exact"/>
        <w:ind w:firstLine="640" w:firstLineChars="200"/>
        <w:outlineLvl w:val="1"/>
        <w:rPr>
          <w:rStyle w:val="28"/>
          <w:rFonts w:ascii="黑体" w:hAnsi="黑体" w:eastAsia="黑体"/>
          <w:b w:val="0"/>
        </w:rPr>
      </w:pPr>
      <w:bookmarkStart w:id="24" w:name="_Toc15377209"/>
      <w:bookmarkStart w:id="25" w:name="_Toc15396607"/>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4"/>
      <w:bookmarkEnd w:id="25"/>
    </w:p>
    <w:p>
      <w:pPr>
        <w:spacing w:line="600" w:lineRule="exact"/>
        <w:ind w:firstLine="643" w:firstLineChars="200"/>
        <w:outlineLvl w:val="2"/>
        <w:rPr>
          <w:rFonts w:ascii="仿宋" w:hAnsi="仿宋" w:eastAsia="仿宋"/>
          <w:b/>
          <w:sz w:val="32"/>
          <w:szCs w:val="32"/>
        </w:rPr>
      </w:pPr>
      <w:bookmarkStart w:id="26" w:name="_Toc15377210"/>
      <w:r>
        <w:rPr>
          <w:rFonts w:hint="eastAsia" w:ascii="仿宋" w:hAnsi="仿宋" w:eastAsia="仿宋"/>
          <w:b/>
          <w:sz w:val="32"/>
          <w:szCs w:val="32"/>
        </w:rPr>
        <w:t>（一）一般公共预算财政拨款支出决算总体情况</w:t>
      </w:r>
      <w:bookmarkEnd w:id="26"/>
    </w:p>
    <w:p>
      <w:pPr>
        <w:spacing w:line="600" w:lineRule="exact"/>
        <w:ind w:firstLine="640"/>
        <w:rPr>
          <w:rFonts w:ascii="仿宋" w:hAnsi="仿宋" w:eastAsia="仿宋"/>
          <w:sz w:val="32"/>
          <w:szCs w:val="32"/>
        </w:rPr>
      </w:pPr>
      <w:r>
        <w:rPr>
          <w:rFonts w:hint="eastAsia" w:ascii="CESI仿宋-GB2312" w:hAnsi="CESI仿宋-GB2312" w:eastAsia="CESI仿宋-GB2312" w:cs="CESI仿宋-GB2312"/>
          <w:b w:val="0"/>
          <w:bCs w:val="0"/>
          <w:sz w:val="32"/>
          <w:szCs w:val="32"/>
        </w:rPr>
        <w:t>2023年度一般公共预算财政拨款支出166.63万元，占本年支出合计的96.94%。与2022年度</w:t>
      </w:r>
      <w:r>
        <w:rPr>
          <w:rFonts w:hint="eastAsia" w:ascii="CESI仿宋-GB2312" w:hAnsi="CESI仿宋-GB2312" w:eastAsia="CESI仿宋-GB2312" w:cs="CESI仿宋-GB2312"/>
          <w:b w:val="0"/>
          <w:bCs w:val="0"/>
          <w:sz w:val="32"/>
          <w:szCs w:val="32"/>
          <w:lang w:val="en-US" w:eastAsia="zh-CN"/>
        </w:rPr>
        <w:t>166.44万元</w:t>
      </w:r>
      <w:r>
        <w:rPr>
          <w:rFonts w:hint="eastAsia" w:ascii="CESI仿宋-GB2312" w:hAnsi="CESI仿宋-GB2312" w:eastAsia="CESI仿宋-GB2312" w:cs="CESI仿宋-GB2312"/>
          <w:b w:val="0"/>
          <w:bCs w:val="0"/>
          <w:sz w:val="32"/>
          <w:szCs w:val="32"/>
        </w:rPr>
        <w:t>相比，一般公共预算财政拨款支出减少</w:t>
      </w:r>
      <w:r>
        <w:rPr>
          <w:rFonts w:hint="eastAsia" w:ascii="CESI仿宋-GB2312" w:hAnsi="CESI仿宋-GB2312" w:eastAsia="CESI仿宋-GB2312" w:cs="CESI仿宋-GB2312"/>
          <w:b w:val="0"/>
          <w:bCs w:val="0"/>
          <w:sz w:val="32"/>
          <w:szCs w:val="32"/>
          <w:lang w:val="en-US" w:eastAsia="zh-CN"/>
        </w:rPr>
        <w:t>0.19</w:t>
      </w:r>
      <w:r>
        <w:rPr>
          <w:rFonts w:hint="eastAsia" w:ascii="CESI仿宋-GB2312" w:hAnsi="CESI仿宋-GB2312" w:eastAsia="CESI仿宋-GB2312" w:cs="CESI仿宋-GB2312"/>
          <w:b w:val="0"/>
          <w:bCs w:val="0"/>
          <w:sz w:val="32"/>
          <w:szCs w:val="32"/>
        </w:rPr>
        <w:t>万元，下降</w:t>
      </w:r>
      <w:r>
        <w:rPr>
          <w:rFonts w:hint="eastAsia" w:ascii="CESI仿宋-GB2312" w:hAnsi="CESI仿宋-GB2312" w:eastAsia="CESI仿宋-GB2312" w:cs="CESI仿宋-GB2312"/>
          <w:b w:val="0"/>
          <w:bCs w:val="0"/>
          <w:sz w:val="32"/>
          <w:szCs w:val="32"/>
          <w:lang w:val="en-US" w:eastAsia="zh-CN"/>
        </w:rPr>
        <w:t>0.11</w:t>
      </w:r>
      <w:r>
        <w:rPr>
          <w:rFonts w:hint="eastAsia" w:ascii="CESI仿宋-GB2312" w:hAnsi="CESI仿宋-GB2312" w:eastAsia="CESI仿宋-GB2312" w:cs="CESI仿宋-GB2312"/>
          <w:b w:val="0"/>
          <w:bCs w:val="0"/>
          <w:sz w:val="32"/>
          <w:szCs w:val="32"/>
        </w:rPr>
        <w:t>%。主要变动原因是</w:t>
      </w:r>
      <w:r>
        <w:rPr>
          <w:rFonts w:hint="eastAsia" w:ascii="CESI仿宋-GB2312" w:hAnsi="CESI仿宋-GB2312" w:eastAsia="CESI仿宋-GB2312" w:cs="CESI仿宋-GB2312"/>
          <w:b w:val="0"/>
          <w:bCs w:val="0"/>
          <w:sz w:val="32"/>
          <w:szCs w:val="32"/>
          <w:lang w:val="en-US" w:eastAsia="zh-CN"/>
        </w:rPr>
        <w:t>本年度收到基本公共卫生经费在上年基础上减</w:t>
      </w:r>
      <w:r>
        <w:rPr>
          <w:rFonts w:hint="eastAsia" w:ascii="Times New Roman" w:hAnsi="Times New Roman" w:eastAsia="仿宋_GB2312" w:cs="Times New Roman"/>
          <w:sz w:val="32"/>
          <w:szCs w:val="32"/>
          <w:lang w:val="en-US" w:eastAsia="zh-CN"/>
        </w:rPr>
        <w:t>少。</w:t>
      </w:r>
    </w:p>
    <w:p>
      <w:pPr>
        <w:pStyle w:val="2"/>
        <w:rPr>
          <w:rFonts w:ascii="仿宋" w:hAnsi="仿宋" w:eastAsia="仿宋"/>
          <w:sz w:val="32"/>
          <w:szCs w:val="32"/>
        </w:rPr>
      </w:pPr>
      <w:r>
        <w:drawing>
          <wp:inline distT="0" distB="0" distL="114300" distR="114300">
            <wp:extent cx="4624070" cy="1946275"/>
            <wp:effectExtent l="4445" t="4445" r="19685" b="15240"/>
            <wp:docPr id="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（图5：一般公共预算财政拨款支出决算变动情况）</w:t>
      </w:r>
    </w:p>
    <w:p>
      <w:pPr>
        <w:pStyle w:val="2"/>
      </w:pPr>
    </w:p>
    <w:p>
      <w:pPr>
        <w:spacing w:line="600" w:lineRule="exact"/>
        <w:ind w:firstLine="643" w:firstLineChars="200"/>
        <w:outlineLvl w:val="2"/>
        <w:rPr>
          <w:rFonts w:hint="eastAsia" w:ascii="仿宋" w:hAnsi="仿宋" w:eastAsia="仿宋" w:cs="仿宋"/>
          <w:b/>
          <w:sz w:val="32"/>
          <w:szCs w:val="32"/>
        </w:rPr>
      </w:pPr>
      <w:bookmarkStart w:id="27" w:name="_Toc15377211"/>
      <w:r>
        <w:rPr>
          <w:rFonts w:hint="eastAsia" w:ascii="仿宋" w:hAnsi="仿宋" w:eastAsia="仿宋" w:cs="仿宋"/>
          <w:b/>
          <w:sz w:val="32"/>
          <w:szCs w:val="32"/>
        </w:rPr>
        <w:t>（二）一般公共预算财政拨款支出决算结构情况</w:t>
      </w:r>
      <w:bookmarkEnd w:id="27"/>
    </w:p>
    <w:p>
      <w:pPr>
        <w:spacing w:line="600" w:lineRule="exact"/>
        <w:ind w:firstLine="640"/>
        <w:rPr>
          <w:rFonts w:hint="eastAsia" w:ascii="仿宋" w:hAnsi="仿宋" w:eastAsia="仿宋" w:cs="仿宋"/>
          <w:b w:val="0"/>
          <w:bCs w:val="0"/>
          <w:sz w:val="32"/>
          <w:szCs w:val="32"/>
        </w:rPr>
      </w:pPr>
      <w:r>
        <w:rPr>
          <w:rFonts w:hint="eastAsia" w:ascii="仿宋" w:hAnsi="仿宋" w:eastAsia="仿宋" w:cs="仿宋"/>
          <w:b w:val="0"/>
          <w:bCs w:val="0"/>
          <w:sz w:val="32"/>
          <w:szCs w:val="32"/>
        </w:rPr>
        <w:t>2023年度一般公共预算财政拨款支出166.63万元，主要用于以下方面:一般公共服务支出</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%；教育支出</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%；科学技术支出</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%；文化旅游体育与传媒支出</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%；社会保障和就业支出</w:t>
      </w:r>
      <w:r>
        <w:rPr>
          <w:rFonts w:hint="eastAsia" w:ascii="仿宋" w:hAnsi="仿宋" w:eastAsia="仿宋" w:cs="仿宋"/>
          <w:b w:val="0"/>
          <w:bCs w:val="0"/>
          <w:sz w:val="32"/>
          <w:szCs w:val="32"/>
          <w:lang w:val="en-US" w:eastAsia="zh-CN"/>
        </w:rPr>
        <w:t>20.88</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12.54</w:t>
      </w:r>
      <w:r>
        <w:rPr>
          <w:rFonts w:hint="eastAsia" w:ascii="仿宋" w:hAnsi="仿宋" w:eastAsia="仿宋" w:cs="仿宋"/>
          <w:b w:val="0"/>
          <w:bCs w:val="0"/>
          <w:sz w:val="32"/>
          <w:szCs w:val="32"/>
        </w:rPr>
        <w:t>%；卫生健康支出</w:t>
      </w:r>
      <w:r>
        <w:rPr>
          <w:rFonts w:hint="eastAsia" w:ascii="仿宋" w:hAnsi="仿宋" w:eastAsia="仿宋" w:cs="仿宋"/>
          <w:b w:val="0"/>
          <w:bCs w:val="0"/>
          <w:sz w:val="32"/>
          <w:szCs w:val="32"/>
          <w:lang w:val="en-US" w:eastAsia="zh-CN"/>
        </w:rPr>
        <w:t>135.61</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81.38</w:t>
      </w:r>
      <w:r>
        <w:rPr>
          <w:rFonts w:hint="eastAsia" w:ascii="仿宋" w:hAnsi="仿宋" w:eastAsia="仿宋" w:cs="仿宋"/>
          <w:b w:val="0"/>
          <w:bCs w:val="0"/>
          <w:sz w:val="32"/>
          <w:szCs w:val="32"/>
        </w:rPr>
        <w:t>%；住房保障支出</w:t>
      </w:r>
      <w:r>
        <w:rPr>
          <w:rFonts w:hint="eastAsia" w:ascii="仿宋" w:hAnsi="仿宋" w:eastAsia="仿宋" w:cs="仿宋"/>
          <w:b w:val="0"/>
          <w:bCs w:val="0"/>
          <w:sz w:val="32"/>
          <w:szCs w:val="32"/>
          <w:lang w:val="en-US" w:eastAsia="zh-CN"/>
        </w:rPr>
        <w:t>10.13</w:t>
      </w:r>
      <w:r>
        <w:rPr>
          <w:rFonts w:hint="eastAsia" w:ascii="仿宋" w:hAnsi="仿宋" w:eastAsia="仿宋" w:cs="仿宋"/>
          <w:b w:val="0"/>
          <w:bCs w:val="0"/>
          <w:sz w:val="32"/>
          <w:szCs w:val="32"/>
        </w:rPr>
        <w:t>万元，占</w:t>
      </w:r>
      <w:r>
        <w:rPr>
          <w:rFonts w:hint="eastAsia" w:ascii="仿宋" w:hAnsi="仿宋" w:eastAsia="仿宋" w:cs="仿宋"/>
          <w:b w:val="0"/>
          <w:bCs w:val="0"/>
          <w:sz w:val="32"/>
          <w:szCs w:val="32"/>
          <w:lang w:val="en-US" w:eastAsia="zh-CN"/>
        </w:rPr>
        <w:t>6.08</w:t>
      </w:r>
      <w:r>
        <w:rPr>
          <w:rFonts w:hint="eastAsia" w:ascii="仿宋" w:hAnsi="仿宋" w:eastAsia="仿宋" w:cs="仿宋"/>
          <w:b w:val="0"/>
          <w:bCs w:val="0"/>
          <w:sz w:val="32"/>
          <w:szCs w:val="32"/>
        </w:rPr>
        <w:t>%；</w:t>
      </w:r>
    </w:p>
    <w:p>
      <w:pPr>
        <w:spacing w:line="600" w:lineRule="exact"/>
        <w:ind w:firstLine="640"/>
        <w:rPr>
          <w:rFonts w:ascii="仿宋" w:hAnsi="仿宋" w:eastAsia="仿宋"/>
          <w:sz w:val="32"/>
          <w:szCs w:val="32"/>
        </w:rPr>
      </w:pPr>
    </w:p>
    <w:p>
      <w:pPr>
        <w:pStyle w:val="2"/>
      </w:pPr>
      <w:r>
        <w:drawing>
          <wp:inline distT="0" distB="0" distL="114300" distR="114300">
            <wp:extent cx="4624070" cy="1770380"/>
            <wp:effectExtent l="5080" t="4445" r="19050" b="8255"/>
            <wp:docPr id="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（图6：一般公共预算财政拨款支出决算结构）</w:t>
      </w:r>
    </w:p>
    <w:p>
      <w:pPr>
        <w:pStyle w:val="2"/>
      </w:pPr>
    </w:p>
    <w:p>
      <w:pPr>
        <w:spacing w:line="600" w:lineRule="exact"/>
        <w:ind w:firstLine="643" w:firstLineChars="200"/>
        <w:outlineLvl w:val="2"/>
        <w:rPr>
          <w:rFonts w:ascii="仿宋" w:hAnsi="仿宋" w:eastAsia="仿宋"/>
          <w:b/>
          <w:sz w:val="32"/>
          <w:szCs w:val="32"/>
        </w:rPr>
      </w:pPr>
      <w:bookmarkStart w:id="28" w:name="_Toc15377212"/>
      <w:r>
        <w:rPr>
          <w:rFonts w:hint="eastAsia" w:ascii="仿宋" w:hAnsi="仿宋" w:eastAsia="仿宋"/>
          <w:b/>
          <w:sz w:val="32"/>
          <w:szCs w:val="32"/>
        </w:rPr>
        <w:t>（三）一般公共预算财政拨款支出决算具体情况</w:t>
      </w:r>
      <w:bookmarkEnd w:id="28"/>
    </w:p>
    <w:p>
      <w:pPr>
        <w:spacing w:line="600" w:lineRule="exact"/>
        <w:ind w:firstLine="640" w:firstLineChars="200"/>
        <w:outlineLvl w:val="2"/>
        <w:rPr>
          <w:rFonts w:hint="eastAsia" w:ascii="CESI仿宋-GB2312" w:hAnsi="CESI仿宋-GB2312" w:eastAsia="CESI仿宋-GB2312" w:cs="CESI仿宋-GB2312"/>
          <w:b w:val="0"/>
          <w:bCs/>
          <w:sz w:val="32"/>
          <w:szCs w:val="32"/>
        </w:rPr>
      </w:pPr>
      <w:bookmarkStart w:id="29" w:name="_Toc15377213"/>
      <w:bookmarkStart w:id="30" w:name="_Toc15378460"/>
      <w:bookmarkStart w:id="31" w:name="_Toc15377444"/>
      <w:r>
        <w:rPr>
          <w:rFonts w:hint="eastAsia" w:ascii="CESI仿宋-GB2312" w:hAnsi="CESI仿宋-GB2312" w:eastAsia="CESI仿宋-GB2312" w:cs="CESI仿宋-GB2312"/>
          <w:b w:val="0"/>
          <w:bCs/>
          <w:sz w:val="32"/>
          <w:szCs w:val="32"/>
        </w:rPr>
        <w:t>2023年度一般公共预算支出决算数为166.63</w:t>
      </w:r>
      <w:r>
        <w:rPr>
          <w:rFonts w:hint="eastAsia" w:ascii="CESI仿宋-GB2312" w:hAnsi="CESI仿宋-GB2312" w:eastAsia="CESI仿宋-GB2312" w:cs="CESI仿宋-GB2312"/>
          <w:b w:val="0"/>
          <w:bCs/>
          <w:sz w:val="32"/>
          <w:szCs w:val="32"/>
          <w:lang w:val="en-US" w:eastAsia="zh-CN"/>
        </w:rPr>
        <w:t>万元</w:t>
      </w:r>
      <w:r>
        <w:rPr>
          <w:rFonts w:hint="eastAsia" w:ascii="CESI仿宋-GB2312" w:hAnsi="CESI仿宋-GB2312" w:eastAsia="CESI仿宋-GB2312" w:cs="CESI仿宋-GB2312"/>
          <w:b w:val="0"/>
          <w:bCs/>
          <w:sz w:val="32"/>
          <w:szCs w:val="32"/>
        </w:rPr>
        <w:t>，</w:t>
      </w:r>
      <w:r>
        <w:rPr>
          <w:rStyle w:val="16"/>
          <w:rFonts w:hint="eastAsia" w:ascii="CESI仿宋-GB2312" w:hAnsi="CESI仿宋-GB2312" w:eastAsia="CESI仿宋-GB2312" w:cs="CESI仿宋-GB2312"/>
          <w:b w:val="0"/>
          <w:bCs/>
          <w:sz w:val="32"/>
          <w:szCs w:val="32"/>
        </w:rPr>
        <w:t>完成预算</w:t>
      </w:r>
      <w:r>
        <w:rPr>
          <w:rStyle w:val="16"/>
          <w:rFonts w:hint="eastAsia" w:ascii="CESI仿宋-GB2312" w:hAnsi="CESI仿宋-GB2312" w:eastAsia="CESI仿宋-GB2312" w:cs="CESI仿宋-GB2312"/>
          <w:b w:val="0"/>
          <w:bCs/>
          <w:sz w:val="32"/>
          <w:szCs w:val="32"/>
          <w:lang w:val="en-US" w:eastAsia="zh-CN"/>
        </w:rPr>
        <w:t>100</w:t>
      </w:r>
      <w:r>
        <w:rPr>
          <w:rStyle w:val="16"/>
          <w:rFonts w:hint="eastAsia" w:ascii="CESI仿宋-GB2312" w:hAnsi="CESI仿宋-GB2312" w:eastAsia="CESI仿宋-GB2312" w:cs="CESI仿宋-GB2312"/>
          <w:b w:val="0"/>
          <w:bCs/>
          <w:sz w:val="32"/>
          <w:szCs w:val="32"/>
        </w:rPr>
        <w:t>%。其中：</w:t>
      </w:r>
      <w:bookmarkEnd w:id="29"/>
      <w:bookmarkEnd w:id="30"/>
      <w:bookmarkEnd w:id="31"/>
    </w:p>
    <w:p>
      <w:pPr>
        <w:spacing w:line="600" w:lineRule="exact"/>
        <w:ind w:firstLine="640" w:firstLineChars="200"/>
        <w:rPr>
          <w:rFonts w:hint="eastAsia" w:ascii="CESI仿宋-GB2312" w:hAnsi="CESI仿宋-GB2312" w:eastAsia="CESI仿宋-GB2312" w:cs="CESI仿宋-GB2312"/>
          <w:b w:val="0"/>
          <w:bCs/>
          <w:sz w:val="32"/>
          <w:szCs w:val="32"/>
        </w:rPr>
      </w:pPr>
      <w:r>
        <w:rPr>
          <w:rStyle w:val="16"/>
          <w:rFonts w:hint="eastAsia" w:ascii="CESI仿宋-GB2312" w:hAnsi="CESI仿宋-GB2312" w:eastAsia="CESI仿宋-GB2312" w:cs="CESI仿宋-GB2312"/>
          <w:b w:val="0"/>
          <w:bCs/>
          <w:sz w:val="32"/>
          <w:szCs w:val="32"/>
        </w:rPr>
        <w:t>1.社会保障和就业（类）</w:t>
      </w:r>
      <w:r>
        <w:rPr>
          <w:rStyle w:val="16"/>
          <w:rFonts w:hint="eastAsia" w:ascii="CESI仿宋-GB2312" w:hAnsi="CESI仿宋-GB2312" w:eastAsia="CESI仿宋-GB2312" w:cs="CESI仿宋-GB2312"/>
          <w:b w:val="0"/>
          <w:bCs/>
          <w:sz w:val="32"/>
          <w:szCs w:val="32"/>
          <w:lang w:val="en-US" w:eastAsia="zh-CN"/>
        </w:rPr>
        <w:t>行政事业养老支出</w:t>
      </w:r>
      <w:r>
        <w:rPr>
          <w:rStyle w:val="16"/>
          <w:rFonts w:hint="eastAsia" w:ascii="CESI仿宋-GB2312" w:hAnsi="CESI仿宋-GB2312" w:eastAsia="CESI仿宋-GB2312" w:cs="CESI仿宋-GB2312"/>
          <w:b w:val="0"/>
          <w:bCs/>
          <w:sz w:val="32"/>
          <w:szCs w:val="32"/>
        </w:rPr>
        <w:t>（款）事业单位离退休（项）:支出决算为</w:t>
      </w:r>
      <w:r>
        <w:rPr>
          <w:rStyle w:val="16"/>
          <w:rFonts w:hint="eastAsia" w:ascii="CESI仿宋-GB2312" w:hAnsi="CESI仿宋-GB2312" w:eastAsia="CESI仿宋-GB2312" w:cs="CESI仿宋-GB2312"/>
          <w:b w:val="0"/>
          <w:bCs/>
          <w:sz w:val="32"/>
          <w:szCs w:val="32"/>
          <w:lang w:val="en-US" w:eastAsia="zh-CN"/>
        </w:rPr>
        <w:t>3.61</w:t>
      </w:r>
      <w:r>
        <w:rPr>
          <w:rStyle w:val="16"/>
          <w:rFonts w:hint="eastAsia" w:ascii="CESI仿宋-GB2312" w:hAnsi="CESI仿宋-GB2312" w:eastAsia="CESI仿宋-GB2312" w:cs="CESI仿宋-GB2312"/>
          <w:b w:val="0"/>
          <w:bCs/>
          <w:sz w:val="32"/>
          <w:szCs w:val="32"/>
        </w:rPr>
        <w:t>万元，完成预算</w:t>
      </w:r>
      <w:r>
        <w:rPr>
          <w:rStyle w:val="16"/>
          <w:rFonts w:hint="eastAsia" w:ascii="CESI仿宋-GB2312" w:hAnsi="CESI仿宋-GB2312" w:eastAsia="CESI仿宋-GB2312" w:cs="CESI仿宋-GB2312"/>
          <w:b w:val="0"/>
          <w:bCs/>
          <w:sz w:val="32"/>
          <w:szCs w:val="32"/>
          <w:lang w:val="en-US" w:eastAsia="zh-CN"/>
        </w:rPr>
        <w:t>100</w:t>
      </w:r>
      <w:r>
        <w:rPr>
          <w:rStyle w:val="16"/>
          <w:rFonts w:hint="eastAsia" w:ascii="CESI仿宋-GB2312" w:hAnsi="CESI仿宋-GB2312" w:eastAsia="CESI仿宋-GB2312" w:cs="CESI仿宋-GB2312"/>
          <w:b w:val="0"/>
          <w:bCs/>
          <w:sz w:val="32"/>
          <w:szCs w:val="32"/>
        </w:rPr>
        <w:t>%，决算数等于预算数。</w:t>
      </w:r>
    </w:p>
    <w:p>
      <w:pPr>
        <w:keepNext w:val="0"/>
        <w:keepLines w:val="0"/>
        <w:pageBreakBefore w:val="0"/>
        <w:kinsoku/>
        <w:wordWrap/>
        <w:overflowPunct/>
        <w:topLinePunct w:val="0"/>
        <w:bidi w:val="0"/>
        <w:snapToGrid/>
        <w:spacing w:line="560" w:lineRule="exact"/>
        <w:ind w:firstLine="640" w:firstLineChars="200"/>
        <w:textAlignment w:val="auto"/>
        <w:rPr>
          <w:rFonts w:hint="eastAsia" w:ascii="CESI仿宋-GB2312" w:hAnsi="CESI仿宋-GB2312" w:eastAsia="CESI仿宋-GB2312" w:cs="CESI仿宋-GB2312"/>
          <w:b w:val="0"/>
          <w:bCs/>
          <w:sz w:val="32"/>
          <w:szCs w:val="32"/>
        </w:rPr>
      </w:pPr>
      <w:r>
        <w:rPr>
          <w:rStyle w:val="16"/>
          <w:rFonts w:hint="eastAsia" w:ascii="CESI仿宋-GB2312" w:hAnsi="CESI仿宋-GB2312" w:eastAsia="CESI仿宋-GB2312" w:cs="CESI仿宋-GB2312"/>
          <w:b w:val="0"/>
          <w:bCs/>
          <w:sz w:val="32"/>
          <w:szCs w:val="32"/>
        </w:rPr>
        <w:t>2.社会保障和就业（类）</w:t>
      </w:r>
      <w:r>
        <w:rPr>
          <w:rStyle w:val="16"/>
          <w:rFonts w:hint="eastAsia" w:ascii="CESI仿宋-GB2312" w:hAnsi="CESI仿宋-GB2312" w:eastAsia="CESI仿宋-GB2312" w:cs="CESI仿宋-GB2312"/>
          <w:b w:val="0"/>
          <w:bCs/>
          <w:sz w:val="32"/>
          <w:szCs w:val="32"/>
          <w:lang w:val="en-US" w:eastAsia="zh-CN"/>
        </w:rPr>
        <w:t>行政事业养老支出</w:t>
      </w:r>
      <w:r>
        <w:rPr>
          <w:rStyle w:val="16"/>
          <w:rFonts w:hint="eastAsia" w:ascii="CESI仿宋-GB2312" w:hAnsi="CESI仿宋-GB2312" w:eastAsia="CESI仿宋-GB2312" w:cs="CESI仿宋-GB2312"/>
          <w:b w:val="0"/>
          <w:bCs/>
          <w:sz w:val="32"/>
          <w:szCs w:val="32"/>
        </w:rPr>
        <w:t>（款）机关事业单位基本养老保险缴费支出（项）:支出决算为</w:t>
      </w:r>
      <w:r>
        <w:rPr>
          <w:rStyle w:val="16"/>
          <w:rFonts w:hint="eastAsia" w:ascii="CESI仿宋-GB2312" w:hAnsi="CESI仿宋-GB2312" w:eastAsia="CESI仿宋-GB2312" w:cs="CESI仿宋-GB2312"/>
          <w:b w:val="0"/>
          <w:bCs/>
          <w:sz w:val="32"/>
          <w:szCs w:val="32"/>
          <w:lang w:val="en-US" w:eastAsia="zh-CN"/>
        </w:rPr>
        <w:t>13.34</w:t>
      </w:r>
      <w:r>
        <w:rPr>
          <w:rStyle w:val="16"/>
          <w:rFonts w:hint="eastAsia" w:ascii="CESI仿宋-GB2312" w:hAnsi="CESI仿宋-GB2312" w:eastAsia="CESI仿宋-GB2312" w:cs="CESI仿宋-GB2312"/>
          <w:b w:val="0"/>
          <w:bCs/>
          <w:sz w:val="32"/>
          <w:szCs w:val="32"/>
        </w:rPr>
        <w:t>万元，完成预算</w:t>
      </w:r>
      <w:r>
        <w:rPr>
          <w:rStyle w:val="16"/>
          <w:rFonts w:hint="eastAsia" w:ascii="CESI仿宋-GB2312" w:hAnsi="CESI仿宋-GB2312" w:eastAsia="CESI仿宋-GB2312" w:cs="CESI仿宋-GB2312"/>
          <w:b w:val="0"/>
          <w:bCs/>
          <w:sz w:val="32"/>
          <w:szCs w:val="32"/>
          <w:lang w:val="en-US" w:eastAsia="zh-CN"/>
        </w:rPr>
        <w:t>100</w:t>
      </w:r>
      <w:r>
        <w:rPr>
          <w:rStyle w:val="16"/>
          <w:rFonts w:hint="eastAsia" w:ascii="CESI仿宋-GB2312" w:hAnsi="CESI仿宋-GB2312" w:eastAsia="CESI仿宋-GB2312" w:cs="CESI仿宋-GB2312"/>
          <w:b w:val="0"/>
          <w:bCs/>
          <w:sz w:val="32"/>
          <w:szCs w:val="32"/>
        </w:rPr>
        <w:t>%，决算数等于预算数。</w:t>
      </w:r>
    </w:p>
    <w:p>
      <w:pPr>
        <w:spacing w:line="600" w:lineRule="exact"/>
        <w:ind w:firstLine="640" w:firstLineChars="200"/>
        <w:rPr>
          <w:rStyle w:val="16"/>
          <w:rFonts w:hint="eastAsia" w:ascii="CESI仿宋-GB2312" w:hAnsi="CESI仿宋-GB2312" w:eastAsia="CESI仿宋-GB2312" w:cs="CESI仿宋-GB2312"/>
          <w:b w:val="0"/>
          <w:bCs/>
          <w:sz w:val="32"/>
          <w:szCs w:val="32"/>
        </w:rPr>
      </w:pPr>
      <w:r>
        <w:rPr>
          <w:rStyle w:val="16"/>
          <w:rFonts w:hint="eastAsia" w:ascii="CESI仿宋-GB2312" w:hAnsi="CESI仿宋-GB2312" w:eastAsia="CESI仿宋-GB2312" w:cs="CESI仿宋-GB2312"/>
          <w:b w:val="0"/>
          <w:bCs/>
          <w:sz w:val="32"/>
          <w:szCs w:val="32"/>
        </w:rPr>
        <w:t>3.社会保障和就业（类）</w:t>
      </w:r>
      <w:r>
        <w:rPr>
          <w:rStyle w:val="16"/>
          <w:rFonts w:hint="eastAsia" w:ascii="CESI仿宋-GB2312" w:hAnsi="CESI仿宋-GB2312" w:eastAsia="CESI仿宋-GB2312" w:cs="CESI仿宋-GB2312"/>
          <w:b w:val="0"/>
          <w:bCs/>
          <w:sz w:val="32"/>
          <w:szCs w:val="32"/>
          <w:lang w:val="en-US" w:eastAsia="zh-CN"/>
        </w:rPr>
        <w:t>行政事业养老支出</w:t>
      </w:r>
      <w:r>
        <w:rPr>
          <w:rStyle w:val="16"/>
          <w:rFonts w:hint="eastAsia" w:ascii="CESI仿宋-GB2312" w:hAnsi="CESI仿宋-GB2312" w:eastAsia="CESI仿宋-GB2312" w:cs="CESI仿宋-GB2312"/>
          <w:b w:val="0"/>
          <w:bCs/>
          <w:sz w:val="32"/>
          <w:szCs w:val="32"/>
        </w:rPr>
        <w:t>（款）机关事业单位职业年金缴费支出（项）:支出决算为</w:t>
      </w:r>
      <w:r>
        <w:rPr>
          <w:rStyle w:val="16"/>
          <w:rFonts w:hint="eastAsia" w:ascii="CESI仿宋-GB2312" w:hAnsi="CESI仿宋-GB2312" w:eastAsia="CESI仿宋-GB2312" w:cs="CESI仿宋-GB2312"/>
          <w:b w:val="0"/>
          <w:bCs/>
          <w:sz w:val="32"/>
          <w:szCs w:val="32"/>
          <w:lang w:val="en-US" w:eastAsia="zh-CN"/>
        </w:rPr>
        <w:t>3.93</w:t>
      </w:r>
      <w:r>
        <w:rPr>
          <w:rStyle w:val="16"/>
          <w:rFonts w:hint="eastAsia" w:ascii="CESI仿宋-GB2312" w:hAnsi="CESI仿宋-GB2312" w:eastAsia="CESI仿宋-GB2312" w:cs="CESI仿宋-GB2312"/>
          <w:b w:val="0"/>
          <w:bCs/>
          <w:sz w:val="32"/>
          <w:szCs w:val="32"/>
        </w:rPr>
        <w:t>万元，完成预算</w:t>
      </w:r>
      <w:r>
        <w:rPr>
          <w:rStyle w:val="16"/>
          <w:rFonts w:hint="eastAsia" w:ascii="CESI仿宋-GB2312" w:hAnsi="CESI仿宋-GB2312" w:eastAsia="CESI仿宋-GB2312" w:cs="CESI仿宋-GB2312"/>
          <w:b w:val="0"/>
          <w:bCs/>
          <w:sz w:val="32"/>
          <w:szCs w:val="32"/>
          <w:lang w:val="en-US" w:eastAsia="zh-CN"/>
        </w:rPr>
        <w:t>100</w:t>
      </w:r>
      <w:r>
        <w:rPr>
          <w:rStyle w:val="16"/>
          <w:rFonts w:hint="eastAsia" w:ascii="CESI仿宋-GB2312" w:hAnsi="CESI仿宋-GB2312" w:eastAsia="CESI仿宋-GB2312" w:cs="CESI仿宋-GB2312"/>
          <w:b w:val="0"/>
          <w:bCs/>
          <w:sz w:val="32"/>
          <w:szCs w:val="32"/>
        </w:rPr>
        <w:t>%，决算数等于预算数。</w:t>
      </w:r>
    </w:p>
    <w:p>
      <w:pPr>
        <w:keepNext w:val="0"/>
        <w:keepLines w:val="0"/>
        <w:pageBreakBefore w:val="0"/>
        <w:kinsoku/>
        <w:wordWrap/>
        <w:overflowPunct/>
        <w:topLinePunct w:val="0"/>
        <w:bidi w:val="0"/>
        <w:snapToGrid/>
        <w:spacing w:line="560" w:lineRule="exact"/>
        <w:ind w:firstLine="640" w:firstLineChars="200"/>
        <w:textAlignment w:val="auto"/>
        <w:rPr>
          <w:rFonts w:hint="eastAsia" w:ascii="CESI仿宋-GB2312" w:hAnsi="CESI仿宋-GB2312" w:eastAsia="CESI仿宋-GB2312" w:cs="CESI仿宋-GB2312"/>
          <w:b w:val="0"/>
          <w:bCs/>
          <w:sz w:val="32"/>
          <w:szCs w:val="32"/>
        </w:rPr>
      </w:pPr>
      <w:r>
        <w:rPr>
          <w:rStyle w:val="16"/>
          <w:rFonts w:hint="eastAsia" w:ascii="CESI仿宋-GB2312" w:hAnsi="CESI仿宋-GB2312" w:eastAsia="CESI仿宋-GB2312" w:cs="CESI仿宋-GB2312"/>
          <w:b w:val="0"/>
          <w:bCs/>
          <w:sz w:val="32"/>
          <w:szCs w:val="32"/>
        </w:rPr>
        <w:t>4.</w:t>
      </w:r>
      <w:r>
        <w:rPr>
          <w:rFonts w:hint="eastAsia" w:ascii="CESI仿宋-GB2312" w:hAnsi="CESI仿宋-GB2312" w:eastAsia="CESI仿宋-GB2312" w:cs="CESI仿宋-GB2312"/>
          <w:b w:val="0"/>
          <w:bCs/>
          <w:sz w:val="32"/>
          <w:szCs w:val="32"/>
        </w:rPr>
        <w:t>卫生健康</w:t>
      </w:r>
      <w:r>
        <w:rPr>
          <w:rStyle w:val="16"/>
          <w:rFonts w:hint="eastAsia" w:ascii="CESI仿宋-GB2312" w:hAnsi="CESI仿宋-GB2312" w:eastAsia="CESI仿宋-GB2312" w:cs="CESI仿宋-GB2312"/>
          <w:b w:val="0"/>
          <w:bCs/>
          <w:sz w:val="32"/>
          <w:szCs w:val="32"/>
        </w:rPr>
        <w:t>（类）基层医疗卫生机构（款）乡镇卫生院（项）:支出决算为</w:t>
      </w:r>
      <w:r>
        <w:rPr>
          <w:rStyle w:val="16"/>
          <w:rFonts w:hint="eastAsia" w:ascii="CESI仿宋-GB2312" w:hAnsi="CESI仿宋-GB2312" w:eastAsia="CESI仿宋-GB2312" w:cs="CESI仿宋-GB2312"/>
          <w:b w:val="0"/>
          <w:bCs/>
          <w:sz w:val="32"/>
          <w:szCs w:val="32"/>
          <w:lang w:val="en-US" w:eastAsia="zh-CN"/>
        </w:rPr>
        <w:t>86.89</w:t>
      </w:r>
      <w:r>
        <w:rPr>
          <w:rStyle w:val="16"/>
          <w:rFonts w:hint="eastAsia" w:ascii="CESI仿宋-GB2312" w:hAnsi="CESI仿宋-GB2312" w:eastAsia="CESI仿宋-GB2312" w:cs="CESI仿宋-GB2312"/>
          <w:b w:val="0"/>
          <w:bCs/>
          <w:sz w:val="32"/>
          <w:szCs w:val="32"/>
        </w:rPr>
        <w:t>万元，完成预算</w:t>
      </w:r>
      <w:r>
        <w:rPr>
          <w:rStyle w:val="16"/>
          <w:rFonts w:hint="eastAsia" w:ascii="CESI仿宋-GB2312" w:hAnsi="CESI仿宋-GB2312" w:eastAsia="CESI仿宋-GB2312" w:cs="CESI仿宋-GB2312"/>
          <w:b w:val="0"/>
          <w:bCs/>
          <w:sz w:val="32"/>
          <w:szCs w:val="32"/>
          <w:lang w:val="en-US" w:eastAsia="zh-CN"/>
        </w:rPr>
        <w:t>100</w:t>
      </w:r>
      <w:r>
        <w:rPr>
          <w:rStyle w:val="16"/>
          <w:rFonts w:hint="eastAsia" w:ascii="CESI仿宋-GB2312" w:hAnsi="CESI仿宋-GB2312" w:eastAsia="CESI仿宋-GB2312" w:cs="CESI仿宋-GB2312"/>
          <w:b w:val="0"/>
          <w:bCs/>
          <w:sz w:val="32"/>
          <w:szCs w:val="32"/>
        </w:rPr>
        <w:t>%，决算数等于预算数。</w:t>
      </w:r>
    </w:p>
    <w:p>
      <w:pPr>
        <w:spacing w:line="600" w:lineRule="exact"/>
        <w:ind w:firstLine="640" w:firstLineChars="200"/>
        <w:rPr>
          <w:rFonts w:hint="eastAsia" w:ascii="CESI仿宋-GB2312" w:hAnsi="CESI仿宋-GB2312" w:eastAsia="CESI仿宋-GB2312" w:cs="CESI仿宋-GB2312"/>
          <w:b w:val="0"/>
          <w:bCs/>
          <w:sz w:val="32"/>
          <w:szCs w:val="32"/>
        </w:rPr>
      </w:pPr>
      <w:r>
        <w:rPr>
          <w:rStyle w:val="16"/>
          <w:rFonts w:hint="eastAsia" w:ascii="CESI仿宋-GB2312" w:hAnsi="CESI仿宋-GB2312" w:eastAsia="CESI仿宋-GB2312" w:cs="CESI仿宋-GB2312"/>
          <w:b w:val="0"/>
          <w:bCs/>
          <w:sz w:val="32"/>
          <w:szCs w:val="32"/>
        </w:rPr>
        <w:t>5.</w:t>
      </w:r>
      <w:r>
        <w:rPr>
          <w:rFonts w:hint="eastAsia" w:ascii="CESI仿宋-GB2312" w:hAnsi="CESI仿宋-GB2312" w:eastAsia="CESI仿宋-GB2312" w:cs="CESI仿宋-GB2312"/>
          <w:b w:val="0"/>
          <w:bCs/>
          <w:sz w:val="32"/>
          <w:szCs w:val="32"/>
        </w:rPr>
        <w:t>卫生健康</w:t>
      </w:r>
      <w:r>
        <w:rPr>
          <w:rStyle w:val="16"/>
          <w:rFonts w:hint="eastAsia" w:ascii="CESI仿宋-GB2312" w:hAnsi="CESI仿宋-GB2312" w:eastAsia="CESI仿宋-GB2312" w:cs="CESI仿宋-GB2312"/>
          <w:b w:val="0"/>
          <w:bCs/>
          <w:sz w:val="32"/>
          <w:szCs w:val="32"/>
        </w:rPr>
        <w:t>（类）基层医疗卫生机构（款）其他基层医疗卫生机构支出（项）:支出决算为</w:t>
      </w:r>
      <w:r>
        <w:rPr>
          <w:rStyle w:val="16"/>
          <w:rFonts w:hint="eastAsia" w:ascii="CESI仿宋-GB2312" w:hAnsi="CESI仿宋-GB2312" w:eastAsia="CESI仿宋-GB2312" w:cs="CESI仿宋-GB2312"/>
          <w:b w:val="0"/>
          <w:bCs/>
          <w:sz w:val="32"/>
          <w:szCs w:val="32"/>
          <w:lang w:val="en-US" w:eastAsia="zh-CN"/>
        </w:rPr>
        <w:t>2.46</w:t>
      </w:r>
      <w:r>
        <w:rPr>
          <w:rStyle w:val="16"/>
          <w:rFonts w:hint="eastAsia" w:ascii="CESI仿宋-GB2312" w:hAnsi="CESI仿宋-GB2312" w:eastAsia="CESI仿宋-GB2312" w:cs="CESI仿宋-GB2312"/>
          <w:b w:val="0"/>
          <w:bCs/>
          <w:sz w:val="32"/>
          <w:szCs w:val="32"/>
        </w:rPr>
        <w:t>万元，完成预算</w:t>
      </w:r>
      <w:r>
        <w:rPr>
          <w:rStyle w:val="16"/>
          <w:rFonts w:hint="eastAsia" w:ascii="CESI仿宋-GB2312" w:hAnsi="CESI仿宋-GB2312" w:eastAsia="CESI仿宋-GB2312" w:cs="CESI仿宋-GB2312"/>
          <w:b w:val="0"/>
          <w:bCs/>
          <w:sz w:val="32"/>
          <w:szCs w:val="32"/>
          <w:lang w:val="en-US" w:eastAsia="zh-CN"/>
        </w:rPr>
        <w:t>100</w:t>
      </w:r>
      <w:r>
        <w:rPr>
          <w:rStyle w:val="16"/>
          <w:rFonts w:hint="eastAsia" w:ascii="CESI仿宋-GB2312" w:hAnsi="CESI仿宋-GB2312" w:eastAsia="CESI仿宋-GB2312" w:cs="CESI仿宋-GB2312"/>
          <w:b w:val="0"/>
          <w:bCs/>
          <w:sz w:val="32"/>
          <w:szCs w:val="32"/>
        </w:rPr>
        <w:t>%，决算数等于预算数。</w:t>
      </w:r>
    </w:p>
    <w:p>
      <w:pPr>
        <w:keepNext w:val="0"/>
        <w:keepLines w:val="0"/>
        <w:pageBreakBefore w:val="0"/>
        <w:kinsoku/>
        <w:wordWrap/>
        <w:overflowPunct/>
        <w:topLinePunct w:val="0"/>
        <w:bidi w:val="0"/>
        <w:snapToGrid/>
        <w:spacing w:line="560" w:lineRule="exact"/>
        <w:ind w:firstLine="640" w:firstLineChars="200"/>
        <w:textAlignment w:val="auto"/>
        <w:rPr>
          <w:rStyle w:val="16"/>
          <w:rFonts w:hint="eastAsia" w:ascii="CESI仿宋-GB2312" w:hAnsi="CESI仿宋-GB2312" w:eastAsia="CESI仿宋-GB2312" w:cs="CESI仿宋-GB2312"/>
          <w:b w:val="0"/>
          <w:bCs/>
          <w:sz w:val="32"/>
          <w:szCs w:val="32"/>
        </w:rPr>
      </w:pPr>
      <w:r>
        <w:rPr>
          <w:rStyle w:val="16"/>
          <w:rFonts w:hint="eastAsia" w:ascii="CESI仿宋-GB2312" w:hAnsi="CESI仿宋-GB2312" w:eastAsia="CESI仿宋-GB2312" w:cs="CESI仿宋-GB2312"/>
          <w:b w:val="0"/>
          <w:bCs/>
          <w:sz w:val="32"/>
          <w:szCs w:val="32"/>
        </w:rPr>
        <w:t>6.</w:t>
      </w:r>
      <w:r>
        <w:rPr>
          <w:rFonts w:hint="eastAsia" w:ascii="CESI仿宋-GB2312" w:hAnsi="CESI仿宋-GB2312" w:eastAsia="CESI仿宋-GB2312" w:cs="CESI仿宋-GB2312"/>
          <w:b w:val="0"/>
          <w:bCs/>
          <w:sz w:val="32"/>
          <w:szCs w:val="32"/>
        </w:rPr>
        <w:t>卫生健康</w:t>
      </w:r>
      <w:r>
        <w:rPr>
          <w:rStyle w:val="16"/>
          <w:rFonts w:hint="eastAsia" w:ascii="CESI仿宋-GB2312" w:hAnsi="CESI仿宋-GB2312" w:eastAsia="CESI仿宋-GB2312" w:cs="CESI仿宋-GB2312"/>
          <w:b w:val="0"/>
          <w:bCs/>
          <w:sz w:val="32"/>
          <w:szCs w:val="32"/>
        </w:rPr>
        <w:t>（类）</w:t>
      </w:r>
      <w:r>
        <w:rPr>
          <w:rFonts w:hint="eastAsia" w:ascii="CESI仿宋-GB2312" w:hAnsi="CESI仿宋-GB2312" w:eastAsia="CESI仿宋-GB2312" w:cs="CESI仿宋-GB2312"/>
          <w:b w:val="0"/>
          <w:bCs/>
          <w:sz w:val="32"/>
          <w:szCs w:val="32"/>
        </w:rPr>
        <w:t>公共卫生</w:t>
      </w:r>
      <w:r>
        <w:rPr>
          <w:rStyle w:val="16"/>
          <w:rFonts w:hint="eastAsia" w:ascii="CESI仿宋-GB2312" w:hAnsi="CESI仿宋-GB2312" w:eastAsia="CESI仿宋-GB2312" w:cs="CESI仿宋-GB2312"/>
          <w:b w:val="0"/>
          <w:bCs/>
          <w:sz w:val="32"/>
          <w:szCs w:val="32"/>
        </w:rPr>
        <w:t>（款）基本公共卫生服务（项）:支出决算为</w:t>
      </w:r>
      <w:r>
        <w:rPr>
          <w:rStyle w:val="16"/>
          <w:rFonts w:hint="eastAsia" w:ascii="CESI仿宋-GB2312" w:hAnsi="CESI仿宋-GB2312" w:eastAsia="CESI仿宋-GB2312" w:cs="CESI仿宋-GB2312"/>
          <w:b w:val="0"/>
          <w:bCs/>
          <w:sz w:val="32"/>
          <w:szCs w:val="32"/>
          <w:lang w:val="en-US" w:eastAsia="zh-CN"/>
        </w:rPr>
        <w:t>29.86</w:t>
      </w:r>
      <w:r>
        <w:rPr>
          <w:rStyle w:val="16"/>
          <w:rFonts w:hint="eastAsia" w:ascii="CESI仿宋-GB2312" w:hAnsi="CESI仿宋-GB2312" w:eastAsia="CESI仿宋-GB2312" w:cs="CESI仿宋-GB2312"/>
          <w:b w:val="0"/>
          <w:bCs/>
          <w:sz w:val="32"/>
          <w:szCs w:val="32"/>
        </w:rPr>
        <w:t>万元，完成预算</w:t>
      </w:r>
      <w:r>
        <w:rPr>
          <w:rStyle w:val="16"/>
          <w:rFonts w:hint="eastAsia" w:ascii="CESI仿宋-GB2312" w:hAnsi="CESI仿宋-GB2312" w:eastAsia="CESI仿宋-GB2312" w:cs="CESI仿宋-GB2312"/>
          <w:b w:val="0"/>
          <w:bCs/>
          <w:sz w:val="32"/>
          <w:szCs w:val="32"/>
          <w:lang w:val="en-US" w:eastAsia="zh-CN"/>
        </w:rPr>
        <w:t>100</w:t>
      </w:r>
      <w:r>
        <w:rPr>
          <w:rStyle w:val="16"/>
          <w:rFonts w:hint="eastAsia" w:ascii="CESI仿宋-GB2312" w:hAnsi="CESI仿宋-GB2312" w:eastAsia="CESI仿宋-GB2312" w:cs="CESI仿宋-GB2312"/>
          <w:b w:val="0"/>
          <w:bCs/>
          <w:sz w:val="32"/>
          <w:szCs w:val="32"/>
        </w:rPr>
        <w:t>%，决算数等于预算数。</w:t>
      </w:r>
    </w:p>
    <w:p>
      <w:pPr>
        <w:pStyle w:val="2"/>
        <w:ind w:firstLine="640" w:firstLineChars="200"/>
        <w:rPr>
          <w:rStyle w:val="16"/>
          <w:rFonts w:hint="eastAsia" w:ascii="CESI仿宋-GB2312" w:hAnsi="CESI仿宋-GB2312" w:eastAsia="CESI仿宋-GB2312" w:cs="CESI仿宋-GB2312"/>
          <w:b w:val="0"/>
          <w:bCs/>
          <w:sz w:val="32"/>
          <w:szCs w:val="32"/>
        </w:rPr>
      </w:pPr>
      <w:r>
        <w:rPr>
          <w:rStyle w:val="16"/>
          <w:rFonts w:hint="eastAsia" w:ascii="CESI仿宋-GB2312" w:hAnsi="CESI仿宋-GB2312" w:eastAsia="CESI仿宋-GB2312" w:cs="CESI仿宋-GB2312"/>
          <w:b w:val="0"/>
          <w:bCs/>
          <w:sz w:val="32"/>
          <w:szCs w:val="32"/>
          <w:lang w:val="en-US" w:eastAsia="zh-CN"/>
        </w:rPr>
        <w:t>7</w:t>
      </w:r>
      <w:r>
        <w:rPr>
          <w:rStyle w:val="16"/>
          <w:rFonts w:hint="eastAsia" w:ascii="CESI仿宋-GB2312" w:hAnsi="CESI仿宋-GB2312" w:eastAsia="CESI仿宋-GB2312" w:cs="CESI仿宋-GB2312"/>
          <w:b w:val="0"/>
          <w:bCs/>
          <w:sz w:val="32"/>
          <w:szCs w:val="32"/>
        </w:rPr>
        <w:t>.</w:t>
      </w:r>
      <w:r>
        <w:rPr>
          <w:rFonts w:hint="eastAsia" w:ascii="CESI仿宋-GB2312" w:hAnsi="CESI仿宋-GB2312" w:eastAsia="CESI仿宋-GB2312" w:cs="CESI仿宋-GB2312"/>
          <w:b w:val="0"/>
          <w:bCs/>
          <w:sz w:val="32"/>
          <w:szCs w:val="32"/>
        </w:rPr>
        <w:t>卫生健康</w:t>
      </w:r>
      <w:r>
        <w:rPr>
          <w:rStyle w:val="16"/>
          <w:rFonts w:hint="eastAsia" w:ascii="CESI仿宋-GB2312" w:hAnsi="CESI仿宋-GB2312" w:eastAsia="CESI仿宋-GB2312" w:cs="CESI仿宋-GB2312"/>
          <w:b w:val="0"/>
          <w:bCs/>
          <w:sz w:val="32"/>
          <w:szCs w:val="32"/>
        </w:rPr>
        <w:t>（类）</w:t>
      </w:r>
      <w:r>
        <w:rPr>
          <w:rFonts w:hint="eastAsia" w:ascii="CESI仿宋-GB2312" w:hAnsi="CESI仿宋-GB2312" w:eastAsia="CESI仿宋-GB2312" w:cs="CESI仿宋-GB2312"/>
          <w:b w:val="0"/>
          <w:bCs/>
          <w:sz w:val="32"/>
          <w:szCs w:val="32"/>
        </w:rPr>
        <w:t>公共卫生</w:t>
      </w:r>
      <w:r>
        <w:rPr>
          <w:rStyle w:val="16"/>
          <w:rFonts w:hint="eastAsia" w:ascii="CESI仿宋-GB2312" w:hAnsi="CESI仿宋-GB2312" w:eastAsia="CESI仿宋-GB2312" w:cs="CESI仿宋-GB2312"/>
          <w:b w:val="0"/>
          <w:bCs/>
          <w:sz w:val="32"/>
          <w:szCs w:val="32"/>
        </w:rPr>
        <w:t>（款）重大公共卫生服务（项）:支出决算为</w:t>
      </w:r>
      <w:r>
        <w:rPr>
          <w:rStyle w:val="16"/>
          <w:rFonts w:hint="eastAsia" w:ascii="CESI仿宋-GB2312" w:hAnsi="CESI仿宋-GB2312" w:eastAsia="CESI仿宋-GB2312" w:cs="CESI仿宋-GB2312"/>
          <w:b w:val="0"/>
          <w:bCs/>
          <w:sz w:val="32"/>
          <w:szCs w:val="32"/>
          <w:lang w:val="en-US" w:eastAsia="zh-CN"/>
        </w:rPr>
        <w:t>4.83</w:t>
      </w:r>
      <w:r>
        <w:rPr>
          <w:rStyle w:val="16"/>
          <w:rFonts w:hint="eastAsia" w:ascii="CESI仿宋-GB2312" w:hAnsi="CESI仿宋-GB2312" w:eastAsia="CESI仿宋-GB2312" w:cs="CESI仿宋-GB2312"/>
          <w:b w:val="0"/>
          <w:bCs/>
          <w:sz w:val="32"/>
          <w:szCs w:val="32"/>
        </w:rPr>
        <w:t>万元，完成预算</w:t>
      </w:r>
      <w:r>
        <w:rPr>
          <w:rStyle w:val="16"/>
          <w:rFonts w:hint="eastAsia" w:ascii="CESI仿宋-GB2312" w:hAnsi="CESI仿宋-GB2312" w:eastAsia="CESI仿宋-GB2312" w:cs="CESI仿宋-GB2312"/>
          <w:b w:val="0"/>
          <w:bCs/>
          <w:sz w:val="32"/>
          <w:szCs w:val="32"/>
          <w:lang w:val="en-US" w:eastAsia="zh-CN"/>
        </w:rPr>
        <w:t>100</w:t>
      </w:r>
      <w:r>
        <w:rPr>
          <w:rStyle w:val="16"/>
          <w:rFonts w:hint="eastAsia" w:ascii="CESI仿宋-GB2312" w:hAnsi="CESI仿宋-GB2312" w:eastAsia="CESI仿宋-GB2312" w:cs="CESI仿宋-GB2312"/>
          <w:b w:val="0"/>
          <w:bCs/>
          <w:sz w:val="32"/>
          <w:szCs w:val="32"/>
        </w:rPr>
        <w:t>%，决算数等于预算数。</w:t>
      </w:r>
    </w:p>
    <w:p>
      <w:pPr>
        <w:keepNext w:val="0"/>
        <w:keepLines w:val="0"/>
        <w:pageBreakBefore w:val="0"/>
        <w:kinsoku/>
        <w:wordWrap/>
        <w:overflowPunct/>
        <w:topLinePunct w:val="0"/>
        <w:bidi w:val="0"/>
        <w:snapToGrid/>
        <w:spacing w:line="560" w:lineRule="exact"/>
        <w:ind w:firstLine="640" w:firstLineChars="200"/>
        <w:textAlignment w:val="auto"/>
        <w:rPr>
          <w:rStyle w:val="16"/>
          <w:rFonts w:hint="eastAsia" w:ascii="CESI仿宋-GB2312" w:hAnsi="CESI仿宋-GB2312" w:eastAsia="CESI仿宋-GB2312" w:cs="CESI仿宋-GB2312"/>
          <w:b w:val="0"/>
          <w:bCs/>
          <w:sz w:val="32"/>
          <w:szCs w:val="32"/>
        </w:rPr>
      </w:pPr>
      <w:r>
        <w:rPr>
          <w:rFonts w:hint="eastAsia" w:ascii="CESI仿宋-GB2312" w:hAnsi="CESI仿宋-GB2312" w:eastAsia="CESI仿宋-GB2312" w:cs="CESI仿宋-GB2312"/>
          <w:b w:val="0"/>
          <w:bCs/>
          <w:sz w:val="32"/>
          <w:szCs w:val="32"/>
          <w:lang w:val="en-US" w:eastAsia="zh-CN"/>
        </w:rPr>
        <w:t>8.</w:t>
      </w:r>
      <w:r>
        <w:rPr>
          <w:rFonts w:hint="eastAsia" w:ascii="CESI仿宋-GB2312" w:hAnsi="CESI仿宋-GB2312" w:eastAsia="CESI仿宋-GB2312" w:cs="CESI仿宋-GB2312"/>
          <w:b w:val="0"/>
          <w:bCs/>
          <w:sz w:val="32"/>
          <w:szCs w:val="32"/>
        </w:rPr>
        <w:t>卫生健康</w:t>
      </w:r>
      <w:r>
        <w:rPr>
          <w:rStyle w:val="16"/>
          <w:rFonts w:hint="eastAsia" w:ascii="CESI仿宋-GB2312" w:hAnsi="CESI仿宋-GB2312" w:eastAsia="CESI仿宋-GB2312" w:cs="CESI仿宋-GB2312"/>
          <w:b w:val="0"/>
          <w:bCs/>
          <w:sz w:val="32"/>
          <w:szCs w:val="32"/>
        </w:rPr>
        <w:t>（类）</w:t>
      </w:r>
      <w:r>
        <w:rPr>
          <w:rFonts w:hint="eastAsia" w:ascii="CESI仿宋-GB2312" w:hAnsi="CESI仿宋-GB2312" w:eastAsia="CESI仿宋-GB2312" w:cs="CESI仿宋-GB2312"/>
          <w:b w:val="0"/>
          <w:bCs/>
          <w:sz w:val="32"/>
          <w:szCs w:val="32"/>
        </w:rPr>
        <w:t>行政事业单位医疗</w:t>
      </w:r>
      <w:r>
        <w:rPr>
          <w:rStyle w:val="16"/>
          <w:rFonts w:hint="eastAsia" w:ascii="CESI仿宋-GB2312" w:hAnsi="CESI仿宋-GB2312" w:eastAsia="CESI仿宋-GB2312" w:cs="CESI仿宋-GB2312"/>
          <w:b w:val="0"/>
          <w:bCs/>
          <w:sz w:val="32"/>
          <w:szCs w:val="32"/>
        </w:rPr>
        <w:t>（款）事业单位医疗（项）:支出决算为</w:t>
      </w:r>
      <w:r>
        <w:rPr>
          <w:rStyle w:val="16"/>
          <w:rFonts w:hint="eastAsia" w:ascii="CESI仿宋-GB2312" w:hAnsi="CESI仿宋-GB2312" w:eastAsia="CESI仿宋-GB2312" w:cs="CESI仿宋-GB2312"/>
          <w:b w:val="0"/>
          <w:bCs/>
          <w:sz w:val="32"/>
          <w:szCs w:val="32"/>
          <w:lang w:val="en-US" w:eastAsia="zh-CN"/>
        </w:rPr>
        <w:t>7.32</w:t>
      </w:r>
      <w:r>
        <w:rPr>
          <w:rStyle w:val="16"/>
          <w:rFonts w:hint="eastAsia" w:ascii="CESI仿宋-GB2312" w:hAnsi="CESI仿宋-GB2312" w:eastAsia="CESI仿宋-GB2312" w:cs="CESI仿宋-GB2312"/>
          <w:b w:val="0"/>
          <w:bCs/>
          <w:sz w:val="32"/>
          <w:szCs w:val="32"/>
        </w:rPr>
        <w:t>万元，完成预算</w:t>
      </w:r>
      <w:r>
        <w:rPr>
          <w:rStyle w:val="16"/>
          <w:rFonts w:hint="eastAsia" w:ascii="CESI仿宋-GB2312" w:hAnsi="CESI仿宋-GB2312" w:eastAsia="CESI仿宋-GB2312" w:cs="CESI仿宋-GB2312"/>
          <w:b w:val="0"/>
          <w:bCs/>
          <w:sz w:val="32"/>
          <w:szCs w:val="32"/>
          <w:lang w:val="en-US" w:eastAsia="zh-CN"/>
        </w:rPr>
        <w:t>100</w:t>
      </w:r>
      <w:r>
        <w:rPr>
          <w:rStyle w:val="16"/>
          <w:rFonts w:hint="eastAsia" w:ascii="CESI仿宋-GB2312" w:hAnsi="CESI仿宋-GB2312" w:eastAsia="CESI仿宋-GB2312" w:cs="CESI仿宋-GB2312"/>
          <w:b w:val="0"/>
          <w:bCs/>
          <w:sz w:val="32"/>
          <w:szCs w:val="32"/>
        </w:rPr>
        <w:t>%，决算数等于预算数。</w:t>
      </w:r>
    </w:p>
    <w:p>
      <w:pPr>
        <w:keepNext w:val="0"/>
        <w:keepLines w:val="0"/>
        <w:pageBreakBefore w:val="0"/>
        <w:kinsoku/>
        <w:wordWrap/>
        <w:overflowPunct/>
        <w:topLinePunct w:val="0"/>
        <w:bidi w:val="0"/>
        <w:snapToGrid/>
        <w:spacing w:line="560" w:lineRule="exact"/>
        <w:ind w:firstLine="640" w:firstLineChars="200"/>
        <w:textAlignment w:val="auto"/>
        <w:rPr>
          <w:rStyle w:val="16"/>
          <w:rFonts w:hint="eastAsia" w:ascii="CESI仿宋-GB2312" w:hAnsi="CESI仿宋-GB2312" w:eastAsia="CESI仿宋-GB2312" w:cs="CESI仿宋-GB2312"/>
          <w:b w:val="0"/>
          <w:bCs/>
          <w:sz w:val="32"/>
          <w:szCs w:val="32"/>
        </w:rPr>
      </w:pPr>
      <w:r>
        <w:rPr>
          <w:rFonts w:hint="eastAsia" w:ascii="CESI仿宋-GB2312" w:hAnsi="CESI仿宋-GB2312" w:eastAsia="CESI仿宋-GB2312" w:cs="CESI仿宋-GB2312"/>
          <w:b w:val="0"/>
          <w:bCs/>
          <w:sz w:val="32"/>
          <w:szCs w:val="32"/>
          <w:lang w:val="en-US" w:eastAsia="zh-CN"/>
        </w:rPr>
        <w:t>9.</w:t>
      </w:r>
      <w:r>
        <w:rPr>
          <w:rFonts w:hint="eastAsia" w:ascii="CESI仿宋-GB2312" w:hAnsi="CESI仿宋-GB2312" w:eastAsia="CESI仿宋-GB2312" w:cs="CESI仿宋-GB2312"/>
          <w:b w:val="0"/>
          <w:bCs/>
          <w:sz w:val="32"/>
          <w:szCs w:val="32"/>
        </w:rPr>
        <w:t>卫生健康</w:t>
      </w:r>
      <w:r>
        <w:rPr>
          <w:rStyle w:val="16"/>
          <w:rFonts w:hint="eastAsia" w:ascii="CESI仿宋-GB2312" w:hAnsi="CESI仿宋-GB2312" w:eastAsia="CESI仿宋-GB2312" w:cs="CESI仿宋-GB2312"/>
          <w:b w:val="0"/>
          <w:bCs/>
          <w:sz w:val="32"/>
          <w:szCs w:val="32"/>
        </w:rPr>
        <w:t>（类）</w:t>
      </w:r>
      <w:r>
        <w:rPr>
          <w:rFonts w:hint="eastAsia" w:ascii="CESI仿宋-GB2312" w:hAnsi="CESI仿宋-GB2312" w:eastAsia="CESI仿宋-GB2312" w:cs="CESI仿宋-GB2312"/>
          <w:b w:val="0"/>
          <w:bCs/>
          <w:sz w:val="32"/>
          <w:szCs w:val="32"/>
        </w:rPr>
        <w:t>行政事业单位医疗</w:t>
      </w:r>
      <w:r>
        <w:rPr>
          <w:rStyle w:val="16"/>
          <w:rFonts w:hint="eastAsia" w:ascii="CESI仿宋-GB2312" w:hAnsi="CESI仿宋-GB2312" w:eastAsia="CESI仿宋-GB2312" w:cs="CESI仿宋-GB2312"/>
          <w:b w:val="0"/>
          <w:bCs/>
          <w:sz w:val="32"/>
          <w:szCs w:val="32"/>
        </w:rPr>
        <w:t>（款）其他行政事业单位医疗支出（项）:支出决算为</w:t>
      </w:r>
      <w:r>
        <w:rPr>
          <w:rStyle w:val="16"/>
          <w:rFonts w:hint="eastAsia" w:ascii="CESI仿宋-GB2312" w:hAnsi="CESI仿宋-GB2312" w:eastAsia="CESI仿宋-GB2312" w:cs="CESI仿宋-GB2312"/>
          <w:b w:val="0"/>
          <w:bCs/>
          <w:sz w:val="32"/>
          <w:szCs w:val="32"/>
          <w:lang w:val="en-US" w:eastAsia="zh-CN"/>
        </w:rPr>
        <w:t>4.25</w:t>
      </w:r>
      <w:r>
        <w:rPr>
          <w:rStyle w:val="16"/>
          <w:rFonts w:hint="eastAsia" w:ascii="CESI仿宋-GB2312" w:hAnsi="CESI仿宋-GB2312" w:eastAsia="CESI仿宋-GB2312" w:cs="CESI仿宋-GB2312"/>
          <w:b w:val="0"/>
          <w:bCs/>
          <w:sz w:val="32"/>
          <w:szCs w:val="32"/>
        </w:rPr>
        <w:t>万元，完成预算</w:t>
      </w:r>
      <w:r>
        <w:rPr>
          <w:rStyle w:val="16"/>
          <w:rFonts w:hint="eastAsia" w:ascii="CESI仿宋-GB2312" w:hAnsi="CESI仿宋-GB2312" w:eastAsia="CESI仿宋-GB2312" w:cs="CESI仿宋-GB2312"/>
          <w:b w:val="0"/>
          <w:bCs/>
          <w:sz w:val="32"/>
          <w:szCs w:val="32"/>
          <w:lang w:val="en-US" w:eastAsia="zh-CN"/>
        </w:rPr>
        <w:t>100</w:t>
      </w:r>
      <w:r>
        <w:rPr>
          <w:rStyle w:val="16"/>
          <w:rFonts w:hint="eastAsia" w:ascii="CESI仿宋-GB2312" w:hAnsi="CESI仿宋-GB2312" w:eastAsia="CESI仿宋-GB2312" w:cs="CESI仿宋-GB2312"/>
          <w:b w:val="0"/>
          <w:bCs/>
          <w:sz w:val="32"/>
          <w:szCs w:val="32"/>
        </w:rPr>
        <w:t>%，决算数等于预算数。</w:t>
      </w:r>
    </w:p>
    <w:p>
      <w:pPr>
        <w:pStyle w:val="2"/>
        <w:ind w:firstLine="640" w:firstLineChars="200"/>
        <w:rPr>
          <w:rFonts w:hint="eastAsia" w:ascii="CESI仿宋-GB2312" w:hAnsi="CESI仿宋-GB2312" w:eastAsia="CESI仿宋-GB2312" w:cs="CESI仿宋-GB2312"/>
          <w:b w:val="0"/>
          <w:bCs/>
          <w:sz w:val="32"/>
          <w:szCs w:val="32"/>
        </w:rPr>
      </w:pPr>
      <w:r>
        <w:rPr>
          <w:rFonts w:hint="eastAsia" w:ascii="CESI仿宋-GB2312" w:hAnsi="CESI仿宋-GB2312" w:eastAsia="CESI仿宋-GB2312" w:cs="CESI仿宋-GB2312"/>
          <w:b w:val="0"/>
          <w:bCs/>
          <w:sz w:val="32"/>
          <w:szCs w:val="32"/>
          <w:lang w:val="en-US" w:eastAsia="zh-CN"/>
        </w:rPr>
        <w:t>10.</w:t>
      </w:r>
      <w:r>
        <w:rPr>
          <w:rFonts w:hint="eastAsia" w:ascii="CESI仿宋-GB2312" w:hAnsi="CESI仿宋-GB2312" w:eastAsia="CESI仿宋-GB2312" w:cs="CESI仿宋-GB2312"/>
          <w:b w:val="0"/>
          <w:bCs/>
          <w:sz w:val="32"/>
          <w:szCs w:val="32"/>
        </w:rPr>
        <w:t>住房保障</w:t>
      </w:r>
      <w:r>
        <w:rPr>
          <w:rStyle w:val="16"/>
          <w:rFonts w:hint="eastAsia" w:ascii="CESI仿宋-GB2312" w:hAnsi="CESI仿宋-GB2312" w:eastAsia="CESI仿宋-GB2312" w:cs="CESI仿宋-GB2312"/>
          <w:b w:val="0"/>
          <w:bCs/>
          <w:sz w:val="32"/>
          <w:szCs w:val="32"/>
        </w:rPr>
        <w:t>（类）</w:t>
      </w:r>
      <w:r>
        <w:rPr>
          <w:rFonts w:hint="eastAsia" w:ascii="CESI仿宋-GB2312" w:hAnsi="CESI仿宋-GB2312" w:eastAsia="CESI仿宋-GB2312" w:cs="CESI仿宋-GB2312"/>
          <w:b w:val="0"/>
          <w:bCs/>
          <w:sz w:val="32"/>
          <w:szCs w:val="32"/>
        </w:rPr>
        <w:t>住房改革支出</w:t>
      </w:r>
      <w:r>
        <w:rPr>
          <w:rStyle w:val="16"/>
          <w:rFonts w:hint="eastAsia" w:ascii="CESI仿宋-GB2312" w:hAnsi="CESI仿宋-GB2312" w:eastAsia="CESI仿宋-GB2312" w:cs="CESI仿宋-GB2312"/>
          <w:b w:val="0"/>
          <w:bCs/>
          <w:sz w:val="32"/>
          <w:szCs w:val="32"/>
        </w:rPr>
        <w:t>（款） 住房公积金（项）:支出决算为</w:t>
      </w:r>
      <w:r>
        <w:rPr>
          <w:rStyle w:val="16"/>
          <w:rFonts w:hint="eastAsia" w:ascii="CESI仿宋-GB2312" w:hAnsi="CESI仿宋-GB2312" w:eastAsia="CESI仿宋-GB2312" w:cs="CESI仿宋-GB2312"/>
          <w:b w:val="0"/>
          <w:bCs/>
          <w:sz w:val="32"/>
          <w:szCs w:val="32"/>
          <w:lang w:val="en-US" w:eastAsia="zh-CN"/>
        </w:rPr>
        <w:t>10.13</w:t>
      </w:r>
      <w:r>
        <w:rPr>
          <w:rStyle w:val="16"/>
          <w:rFonts w:hint="eastAsia" w:ascii="CESI仿宋-GB2312" w:hAnsi="CESI仿宋-GB2312" w:eastAsia="CESI仿宋-GB2312" w:cs="CESI仿宋-GB2312"/>
          <w:b w:val="0"/>
          <w:bCs/>
          <w:sz w:val="32"/>
          <w:szCs w:val="32"/>
        </w:rPr>
        <w:t>万元，完成预算</w:t>
      </w:r>
      <w:r>
        <w:rPr>
          <w:rStyle w:val="16"/>
          <w:rFonts w:hint="eastAsia" w:ascii="CESI仿宋-GB2312" w:hAnsi="CESI仿宋-GB2312" w:eastAsia="CESI仿宋-GB2312" w:cs="CESI仿宋-GB2312"/>
          <w:b w:val="0"/>
          <w:bCs/>
          <w:sz w:val="32"/>
          <w:szCs w:val="32"/>
          <w:lang w:val="en-US" w:eastAsia="zh-CN"/>
        </w:rPr>
        <w:t>100</w:t>
      </w:r>
      <w:r>
        <w:rPr>
          <w:rStyle w:val="16"/>
          <w:rFonts w:hint="eastAsia" w:ascii="CESI仿宋-GB2312" w:hAnsi="CESI仿宋-GB2312" w:eastAsia="CESI仿宋-GB2312" w:cs="CESI仿宋-GB2312"/>
          <w:b w:val="0"/>
          <w:bCs/>
          <w:sz w:val="32"/>
          <w:szCs w:val="32"/>
        </w:rPr>
        <w:t>%，决算数等于预算数。</w:t>
      </w:r>
    </w:p>
    <w:p>
      <w:pPr>
        <w:tabs>
          <w:tab w:val="right" w:pos="8306"/>
        </w:tabs>
        <w:spacing w:line="600" w:lineRule="exact"/>
        <w:ind w:firstLine="640"/>
        <w:outlineLvl w:val="1"/>
        <w:rPr>
          <w:rStyle w:val="28"/>
          <w:rFonts w:hint="eastAsia" w:ascii="CESI仿宋-GB2312" w:hAnsi="CESI仿宋-GB2312" w:eastAsia="CESI仿宋-GB2312" w:cs="CESI仿宋-GB2312"/>
          <w:b w:val="0"/>
          <w:bCs/>
        </w:rPr>
      </w:pPr>
      <w:bookmarkStart w:id="32" w:name="_Toc15396608"/>
      <w:bookmarkStart w:id="33" w:name="_Toc15377214"/>
      <w:r>
        <w:rPr>
          <w:rFonts w:hint="eastAsia" w:ascii="CESI仿宋-GB2312" w:hAnsi="CESI仿宋-GB2312" w:eastAsia="CESI仿宋-GB2312" w:cs="CESI仿宋-GB2312"/>
          <w:b w:val="0"/>
          <w:bCs/>
          <w:sz w:val="32"/>
          <w:szCs w:val="32"/>
        </w:rPr>
        <w:t>六、一</w:t>
      </w:r>
      <w:r>
        <w:rPr>
          <w:rStyle w:val="28"/>
          <w:rFonts w:hint="eastAsia" w:ascii="CESI仿宋-GB2312" w:hAnsi="CESI仿宋-GB2312" w:eastAsia="CESI仿宋-GB2312" w:cs="CESI仿宋-GB2312"/>
          <w:b w:val="0"/>
          <w:bCs/>
        </w:rPr>
        <w:t>般公共预算财政拨款基本支出决算情况说明</w:t>
      </w:r>
      <w:bookmarkEnd w:id="32"/>
      <w:bookmarkEnd w:id="33"/>
      <w:r>
        <w:rPr>
          <w:rStyle w:val="28"/>
          <w:rFonts w:hint="eastAsia" w:ascii="CESI仿宋-GB2312" w:hAnsi="CESI仿宋-GB2312" w:eastAsia="CESI仿宋-GB2312" w:cs="CESI仿宋-GB2312"/>
          <w:b w:val="0"/>
          <w:bCs/>
        </w:rPr>
        <w:tab/>
      </w:r>
    </w:p>
    <w:p>
      <w:pPr>
        <w:spacing w:line="600" w:lineRule="exact"/>
        <w:ind w:firstLine="645"/>
        <w:rPr>
          <w:rFonts w:hint="eastAsia" w:ascii="CESI仿宋-GB2312" w:hAnsi="CESI仿宋-GB2312" w:eastAsia="CESI仿宋-GB2312" w:cs="CESI仿宋-GB2312"/>
          <w:b w:val="0"/>
          <w:bCs/>
          <w:sz w:val="32"/>
          <w:szCs w:val="32"/>
        </w:rPr>
      </w:pPr>
      <w:r>
        <w:rPr>
          <w:rFonts w:hint="eastAsia" w:ascii="CESI仿宋-GB2312" w:hAnsi="CESI仿宋-GB2312" w:eastAsia="CESI仿宋-GB2312" w:cs="CESI仿宋-GB2312"/>
          <w:b w:val="0"/>
          <w:bCs/>
          <w:sz w:val="32"/>
          <w:szCs w:val="32"/>
        </w:rPr>
        <w:t>2023年度一般公共预算财政拨款基本支出129.48万元，其中：</w:t>
      </w:r>
    </w:p>
    <w:p>
      <w:pPr>
        <w:spacing w:line="600" w:lineRule="exact"/>
        <w:ind w:firstLine="645"/>
        <w:rPr>
          <w:rFonts w:hint="eastAsia" w:ascii="CESI仿宋-GB2312" w:hAnsi="CESI仿宋-GB2312" w:eastAsia="CESI仿宋-GB2312" w:cs="CESI仿宋-GB2312"/>
          <w:b w:val="0"/>
          <w:bCs/>
          <w:sz w:val="32"/>
          <w:szCs w:val="32"/>
          <w:lang w:eastAsia="zh-CN"/>
        </w:rPr>
      </w:pPr>
      <w:r>
        <w:rPr>
          <w:rFonts w:hint="eastAsia" w:ascii="CESI仿宋-GB2312" w:hAnsi="CESI仿宋-GB2312" w:eastAsia="CESI仿宋-GB2312" w:cs="CESI仿宋-GB2312"/>
          <w:b w:val="0"/>
          <w:bCs/>
          <w:sz w:val="32"/>
          <w:szCs w:val="32"/>
        </w:rPr>
        <w:t>人员经费129.16万元，主要包括：基本工资、津贴补贴、绩效工资、机关事业单位基本养老保险缴费、职业年金缴费、职工基本医疗保险缴费</w:t>
      </w:r>
      <w:r>
        <w:rPr>
          <w:rFonts w:hint="eastAsia" w:ascii="CESI仿宋-GB2312" w:hAnsi="CESI仿宋-GB2312" w:eastAsia="CESI仿宋-GB2312" w:cs="CESI仿宋-GB2312"/>
          <w:b w:val="0"/>
          <w:bCs/>
          <w:sz w:val="32"/>
          <w:szCs w:val="32"/>
          <w:lang w:eastAsia="zh-CN"/>
        </w:rPr>
        <w:t>、公务员医疗补助缴费、</w:t>
      </w:r>
      <w:r>
        <w:rPr>
          <w:rFonts w:hint="eastAsia" w:ascii="CESI仿宋-GB2312" w:hAnsi="CESI仿宋-GB2312" w:eastAsia="CESI仿宋-GB2312" w:cs="CESI仿宋-GB2312"/>
          <w:b w:val="0"/>
          <w:bCs/>
          <w:sz w:val="32"/>
          <w:szCs w:val="32"/>
        </w:rPr>
        <w:t>其他社会保障缴费、住房公积金</w:t>
      </w:r>
      <w:r>
        <w:rPr>
          <w:rFonts w:hint="eastAsia" w:ascii="CESI仿宋-GB2312" w:hAnsi="CESI仿宋-GB2312" w:eastAsia="CESI仿宋-GB2312" w:cs="CESI仿宋-GB2312"/>
          <w:b w:val="0"/>
          <w:bCs/>
          <w:sz w:val="32"/>
          <w:szCs w:val="32"/>
          <w:lang w:eastAsia="zh-CN"/>
        </w:rPr>
        <w:t>、医疗费、</w:t>
      </w:r>
      <w:r>
        <w:rPr>
          <w:rFonts w:hint="eastAsia" w:ascii="CESI仿宋-GB2312" w:hAnsi="CESI仿宋-GB2312" w:eastAsia="CESI仿宋-GB2312" w:cs="CESI仿宋-GB2312"/>
          <w:b w:val="0"/>
          <w:bCs/>
          <w:sz w:val="32"/>
          <w:szCs w:val="32"/>
        </w:rPr>
        <w:t>其他工资福利支出、生活补助、医疗费补助、奖励金、其他对个人和家庭的补助支出等。</w:t>
      </w:r>
    </w:p>
    <w:p>
      <w:pPr>
        <w:spacing w:line="600" w:lineRule="exact"/>
        <w:ind w:firstLine="645"/>
        <w:rPr>
          <w:rFonts w:hint="eastAsia" w:ascii="CESI仿宋-GB2312" w:hAnsi="CESI仿宋-GB2312" w:eastAsia="CESI仿宋-GB2312" w:cs="CESI仿宋-GB2312"/>
          <w:b w:val="0"/>
          <w:bCs/>
          <w:sz w:val="32"/>
          <w:szCs w:val="32"/>
        </w:rPr>
      </w:pPr>
      <w:r>
        <w:rPr>
          <w:rFonts w:hint="eastAsia" w:ascii="CESI仿宋-GB2312" w:hAnsi="CESI仿宋-GB2312" w:eastAsia="CESI仿宋-GB2312" w:cs="CESI仿宋-GB2312"/>
          <w:b w:val="0"/>
          <w:bCs/>
          <w:sz w:val="32"/>
          <w:szCs w:val="32"/>
        </w:rPr>
        <w:t>　　公用经费0.32万元，主要包括：维修（护）费、其他商品和服务支出等。</w:t>
      </w:r>
    </w:p>
    <w:p>
      <w:pPr>
        <w:spacing w:line="600" w:lineRule="exact"/>
        <w:ind w:firstLine="640"/>
        <w:outlineLvl w:val="1"/>
        <w:rPr>
          <w:rStyle w:val="28"/>
          <w:rFonts w:ascii="黑体" w:hAnsi="黑体" w:eastAsia="黑体"/>
          <w:b w:val="0"/>
        </w:rPr>
      </w:pPr>
      <w:bookmarkStart w:id="34" w:name="_Toc15377215"/>
      <w:bookmarkStart w:id="35" w:name="_Toc15396609"/>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4"/>
      <w:bookmarkEnd w:id="35"/>
    </w:p>
    <w:p>
      <w:pPr>
        <w:spacing w:line="600" w:lineRule="exact"/>
        <w:ind w:firstLine="640"/>
        <w:outlineLvl w:val="2"/>
        <w:rPr>
          <w:rFonts w:ascii="仿宋" w:hAnsi="仿宋" w:eastAsia="仿宋"/>
          <w:b/>
          <w:sz w:val="32"/>
          <w:szCs w:val="32"/>
        </w:rPr>
      </w:pPr>
      <w:bookmarkStart w:id="36" w:name="_Toc15377216"/>
      <w:r>
        <w:rPr>
          <w:rFonts w:hint="eastAsia" w:ascii="仿宋" w:hAnsi="仿宋" w:eastAsia="仿宋"/>
          <w:b/>
          <w:sz w:val="32"/>
          <w:szCs w:val="32"/>
        </w:rPr>
        <w:t>（一）“三公”经费财政拨款支出决算总体情况说明</w:t>
      </w:r>
      <w:bookmarkEnd w:id="36"/>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0</w:t>
      </w:r>
      <w:r>
        <w:rPr>
          <w:rFonts w:hint="eastAsia" w:ascii="仿宋" w:hAnsi="仿宋" w:eastAsia="仿宋"/>
          <w:sz w:val="32"/>
          <w:szCs w:val="32"/>
        </w:rPr>
        <w:t>万元，完成预算</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r>
        <w:rPr>
          <w:rFonts w:hint="eastAsia" w:eastAsia="仿宋_GB2312" w:cs="Times New Roman"/>
          <w:sz w:val="32"/>
          <w:szCs w:val="32"/>
          <w:lang w:eastAsia="zh-CN"/>
        </w:rPr>
        <w:t>与上年持平</w:t>
      </w:r>
      <w:r>
        <w:rPr>
          <w:rFonts w:hint="default" w:ascii="Times New Roman" w:hAnsi="Times New Roman" w:eastAsia="仿宋_GB2312" w:cs="Times New Roman"/>
          <w:sz w:val="32"/>
          <w:szCs w:val="32"/>
        </w:rPr>
        <w:t>，决算数</w:t>
      </w:r>
      <w:r>
        <w:rPr>
          <w:rFonts w:hint="eastAsia" w:eastAsia="仿宋_GB2312" w:cs="Times New Roman"/>
          <w:sz w:val="32"/>
          <w:szCs w:val="32"/>
          <w:lang w:eastAsia="zh-CN"/>
        </w:rPr>
        <w:t>与</w:t>
      </w:r>
      <w:r>
        <w:rPr>
          <w:rFonts w:hint="default" w:ascii="Times New Roman" w:hAnsi="Times New Roman" w:eastAsia="仿宋_GB2312" w:cs="Times New Roman"/>
          <w:sz w:val="32"/>
          <w:szCs w:val="32"/>
        </w:rPr>
        <w:t>预算数</w:t>
      </w:r>
      <w:r>
        <w:rPr>
          <w:rFonts w:hint="eastAsia" w:eastAsia="仿宋_GB2312" w:cs="Times New Roman"/>
          <w:sz w:val="32"/>
          <w:szCs w:val="32"/>
          <w:lang w:eastAsia="zh-CN"/>
        </w:rPr>
        <w:t>持平。</w:t>
      </w:r>
    </w:p>
    <w:p>
      <w:pPr>
        <w:spacing w:line="600" w:lineRule="exact"/>
        <w:ind w:firstLine="640"/>
        <w:outlineLvl w:val="2"/>
        <w:rPr>
          <w:rFonts w:ascii="仿宋" w:hAnsi="仿宋" w:eastAsia="仿宋"/>
          <w:b/>
          <w:sz w:val="32"/>
          <w:szCs w:val="32"/>
        </w:rPr>
      </w:pPr>
      <w:bookmarkStart w:id="37" w:name="_Toc15377217"/>
      <w:r>
        <w:rPr>
          <w:rFonts w:hint="eastAsia" w:ascii="仿宋" w:hAnsi="仿宋" w:eastAsia="仿宋"/>
          <w:b/>
          <w:sz w:val="32"/>
          <w:szCs w:val="32"/>
        </w:rPr>
        <w:t>（二）“三公”经费财政拨款支出决算具体情况说明</w:t>
      </w:r>
      <w:bookmarkEnd w:id="37"/>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w:t>
      </w:r>
      <w:r>
        <w:rPr>
          <w:rFonts w:hint="eastAsia" w:ascii="仿宋" w:hAnsi="仿宋" w:eastAsia="仿宋"/>
          <w:sz w:val="32"/>
          <w:szCs w:val="32"/>
          <w:lang w:val="en-US" w:eastAsia="zh-CN"/>
        </w:rPr>
        <w:t>国</w:t>
      </w:r>
      <w:r>
        <w:rPr>
          <w:rFonts w:hint="eastAsia" w:ascii="仿宋" w:hAnsi="仿宋" w:eastAsia="仿宋"/>
          <w:sz w:val="32"/>
          <w:szCs w:val="32"/>
        </w:rPr>
        <w:t>（境）费支出决算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。具体情况如下：</w:t>
      </w:r>
    </w:p>
    <w:p>
      <w:pPr>
        <w:keepNext w:val="0"/>
        <w:keepLines w:val="0"/>
        <w:pageBreakBefore w:val="0"/>
        <w:numPr>
          <w:ilvl w:val="0"/>
          <w:numId w:val="0"/>
        </w:numPr>
        <w:kinsoku/>
        <w:wordWrap/>
        <w:overflowPunct/>
        <w:topLinePunct w:val="0"/>
        <w:bidi w:val="0"/>
        <w:snapToGrid/>
        <w:spacing w:line="560" w:lineRule="exact"/>
        <w:ind w:firstLine="643" w:firstLineChars="200"/>
        <w:textAlignment w:val="auto"/>
        <w:rPr>
          <w:rFonts w:ascii="仿宋_GB2312" w:eastAsia="仿宋_GB2312"/>
          <w:sz w:val="32"/>
          <w:szCs w:val="32"/>
        </w:rPr>
      </w:pPr>
      <w:bookmarkStart w:id="38" w:name="_Toc15396610"/>
      <w:bookmarkStart w:id="39" w:name="_Toc15377218"/>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Cs/>
          <w:sz w:val="32"/>
          <w:szCs w:val="32"/>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w:t>
      </w:r>
      <w:r>
        <w:rPr>
          <w:rFonts w:hint="default" w:ascii="Times New Roman" w:hAnsi="Times New Roman" w:eastAsia="仿宋_GB2312" w:cs="Times New Roman"/>
          <w:sz w:val="32"/>
          <w:szCs w:val="32"/>
        </w:rPr>
        <w:t>因公出国（境）支出决算</w:t>
      </w:r>
      <w:r>
        <w:rPr>
          <w:rFonts w:hint="eastAsia" w:eastAsia="仿宋_GB2312" w:cs="Times New Roman"/>
          <w:sz w:val="32"/>
          <w:szCs w:val="32"/>
          <w:lang w:eastAsia="zh-CN"/>
        </w:rPr>
        <w:t>与</w:t>
      </w:r>
      <w:r>
        <w:rPr>
          <w:rFonts w:hint="eastAsia" w:ascii="CESI仿宋-GB2312" w:hAnsi="CESI仿宋-GB2312" w:eastAsia="CESI仿宋-GB2312" w:cs="CESI仿宋-GB2312"/>
          <w:sz w:val="32"/>
          <w:szCs w:val="32"/>
        </w:rPr>
        <w:t>202</w:t>
      </w:r>
      <w:r>
        <w:rPr>
          <w:rFonts w:hint="eastAsia" w:ascii="CESI仿宋-GB2312" w:hAnsi="CESI仿宋-GB2312" w:eastAsia="CESI仿宋-GB2312" w:cs="CESI仿宋-GB2312"/>
          <w:sz w:val="32"/>
          <w:szCs w:val="32"/>
          <w:lang w:val="en-US" w:eastAsia="zh-CN"/>
        </w:rPr>
        <w:t>2</w:t>
      </w:r>
      <w:r>
        <w:rPr>
          <w:rFonts w:hint="default" w:ascii="Times New Roman" w:hAnsi="Times New Roman" w:eastAsia="仿宋_GB2312" w:cs="Times New Roman"/>
          <w:sz w:val="32"/>
          <w:szCs w:val="32"/>
        </w:rPr>
        <w:t>年</w:t>
      </w:r>
      <w:r>
        <w:rPr>
          <w:rFonts w:hint="eastAsia" w:eastAsia="仿宋_GB2312" w:cs="Times New Roman"/>
          <w:sz w:val="32"/>
          <w:szCs w:val="32"/>
          <w:lang w:eastAsia="zh-CN"/>
        </w:rPr>
        <w:t>持平。</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Cs/>
          <w:sz w:val="32"/>
          <w:szCs w:val="32"/>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default" w:ascii="Times New Roman" w:hAnsi="Times New Roman" w:eastAsia="仿宋_GB2312" w:cs="Times New Roman"/>
          <w:sz w:val="32"/>
          <w:szCs w:val="32"/>
        </w:rPr>
        <w:t>公务用车购置及运行维护费支出决算</w:t>
      </w:r>
      <w:r>
        <w:rPr>
          <w:rFonts w:hint="eastAsia" w:eastAsia="仿宋_GB2312" w:cs="Times New Roman"/>
          <w:sz w:val="32"/>
          <w:szCs w:val="32"/>
          <w:lang w:eastAsia="zh-CN"/>
        </w:rPr>
        <w:t>与</w:t>
      </w:r>
      <w:r>
        <w:rPr>
          <w:rFonts w:hint="eastAsia" w:ascii="CESI仿宋-GB2312" w:hAnsi="CESI仿宋-GB2312" w:eastAsia="CESI仿宋-GB2312" w:cs="CESI仿宋-GB2312"/>
          <w:sz w:val="32"/>
          <w:szCs w:val="32"/>
        </w:rPr>
        <w:t>202</w:t>
      </w:r>
      <w:r>
        <w:rPr>
          <w:rFonts w:hint="eastAsia" w:ascii="CESI仿宋-GB2312" w:hAnsi="CESI仿宋-GB2312" w:eastAsia="CESI仿宋-GB2312" w:cs="CESI仿宋-GB2312"/>
          <w:sz w:val="32"/>
          <w:szCs w:val="32"/>
          <w:lang w:val="en-US" w:eastAsia="zh-CN"/>
        </w:rPr>
        <w:t>2</w:t>
      </w:r>
      <w:r>
        <w:rPr>
          <w:rFonts w:hint="default" w:ascii="Times New Roman" w:hAnsi="Times New Roman" w:eastAsia="仿宋_GB2312" w:cs="Times New Roman"/>
          <w:sz w:val="32"/>
          <w:szCs w:val="32"/>
        </w:rPr>
        <w:t>年</w:t>
      </w:r>
      <w:r>
        <w:rPr>
          <w:rFonts w:hint="eastAsia" w:eastAsia="仿宋_GB2312" w:cs="Times New Roman"/>
          <w:sz w:val="32"/>
          <w:szCs w:val="32"/>
          <w:lang w:eastAsia="zh-CN"/>
        </w:rPr>
        <w:t>持平。</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万元，主要用于</w:t>
      </w:r>
      <w:r>
        <w:rPr>
          <w:rFonts w:hint="eastAsia" w:ascii="仿宋_GB2312" w:eastAsia="仿宋_GB2312"/>
          <w:sz w:val="32"/>
          <w:szCs w:val="32"/>
          <w:lang w:val="en-US" w:eastAsia="zh-CN"/>
        </w:rPr>
        <w:t>无</w:t>
      </w: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月31日，单位共有公务用车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hint="eastAsia" w:ascii="仿宋_GB2312" w:eastAsia="仿宋_GB2312"/>
          <w:sz w:val="32"/>
          <w:szCs w:val="32"/>
          <w:lang w:val="en-US" w:eastAsia="zh-CN"/>
        </w:rPr>
      </w:pPr>
      <w:r>
        <w:rPr>
          <w:rFonts w:hint="eastAsia" w:ascii="仿宋_GB2312" w:eastAsia="仿宋_GB2312"/>
          <w:b/>
          <w:sz w:val="32"/>
          <w:szCs w:val="32"/>
        </w:rPr>
        <w:t>公务用车运行维护费支出</w:t>
      </w:r>
      <w:r>
        <w:rPr>
          <w:rFonts w:ascii="仿宋" w:hAnsi="仿宋" w:eastAsia="仿宋"/>
          <w:b/>
          <w:sz w:val="32"/>
          <w:szCs w:val="32"/>
        </w:rPr>
        <w:t>0</w:t>
      </w:r>
      <w:r>
        <w:rPr>
          <w:rFonts w:hint="eastAsia" w:ascii="仿宋_GB2312" w:eastAsia="仿宋_GB2312"/>
          <w:sz w:val="32"/>
          <w:szCs w:val="32"/>
        </w:rPr>
        <w:t>万元。</w:t>
      </w:r>
    </w:p>
    <w:p>
      <w:pPr>
        <w:spacing w:line="600" w:lineRule="exact"/>
        <w:ind w:firstLine="640"/>
        <w:rPr>
          <w:rFonts w:hint="default" w:ascii="Times New Roman" w:hAnsi="Times New Roman" w:eastAsia="仿宋_GB2312" w:cs="Times New Roman"/>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 w:val="0"/>
          <w:bCs/>
          <w:sz w:val="32"/>
          <w:szCs w:val="32"/>
        </w:rPr>
        <w:t>0%</w:t>
      </w:r>
      <w:r>
        <w:rPr>
          <w:rStyle w:val="16"/>
          <w:rFonts w:hint="eastAsia" w:ascii="仿宋" w:hAnsi="仿宋" w:eastAsia="仿宋"/>
          <w:b w:val="0"/>
          <w:bCs/>
          <w:sz w:val="32"/>
          <w:szCs w:val="32"/>
        </w:rPr>
        <w:t>。</w:t>
      </w:r>
      <w:r>
        <w:rPr>
          <w:rFonts w:hint="default" w:ascii="Times New Roman" w:hAnsi="Times New Roman" w:eastAsia="仿宋_GB2312" w:cs="Times New Roman"/>
          <w:sz w:val="32"/>
          <w:szCs w:val="32"/>
        </w:rPr>
        <w:t>公务接待费支出决算</w:t>
      </w:r>
      <w:r>
        <w:rPr>
          <w:rFonts w:hint="eastAsia" w:eastAsia="仿宋_GB2312" w:cs="Times New Roman"/>
          <w:sz w:val="32"/>
          <w:szCs w:val="32"/>
          <w:lang w:eastAsia="zh-CN"/>
        </w:rPr>
        <w:t>与</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w:t>
      </w:r>
      <w:r>
        <w:rPr>
          <w:rFonts w:hint="eastAsia" w:eastAsia="仿宋_GB2312" w:cs="Times New Roman"/>
          <w:sz w:val="32"/>
          <w:szCs w:val="32"/>
          <w:lang w:eastAsia="zh-CN"/>
        </w:rPr>
        <w:t>持平。</w:t>
      </w:r>
      <w:r>
        <w:rPr>
          <w:rFonts w:hint="default" w:ascii="Times New Roman" w:hAnsi="Times New Roman" w:eastAsia="仿宋_GB2312" w:cs="Times New Roman"/>
          <w:sz w:val="32"/>
          <w:szCs w:val="32"/>
        </w:rPr>
        <w:t>其中：</w:t>
      </w:r>
    </w:p>
    <w:p>
      <w:pPr>
        <w:spacing w:line="600" w:lineRule="exact"/>
        <w:ind w:firstLine="640"/>
        <w:rPr>
          <w:rFonts w:hint="eastAsia" w:ascii="仿宋_GB2312" w:eastAsia="仿宋_GB2312"/>
          <w:sz w:val="32"/>
          <w:szCs w:val="32"/>
          <w:lang w:eastAsia="zh-CN"/>
        </w:rPr>
      </w:pPr>
      <w:r>
        <w:rPr>
          <w:rFonts w:hint="eastAsia" w:ascii="仿宋" w:hAnsi="仿宋" w:eastAsia="仿宋"/>
          <w:b/>
          <w:sz w:val="32"/>
          <w:szCs w:val="32"/>
        </w:rPr>
        <w:t>国内公务接待支出</w:t>
      </w:r>
      <w:r>
        <w:rPr>
          <w:rFonts w:ascii="仿宋" w:hAnsi="仿宋" w:eastAsia="仿宋"/>
          <w:b/>
          <w:sz w:val="32"/>
          <w:szCs w:val="32"/>
        </w:rPr>
        <w:t>0</w:t>
      </w:r>
      <w:r>
        <w:rPr>
          <w:rFonts w:hint="eastAsia" w:ascii="仿宋_GB2312" w:eastAsia="仿宋_GB2312"/>
          <w:sz w:val="32"/>
          <w:szCs w:val="32"/>
        </w:rPr>
        <w:t>万元，国内公务接待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outlineLvl w:val="1"/>
        <w:rPr>
          <w:rStyle w:val="28"/>
          <w:rFonts w:ascii="黑体" w:hAnsi="黑体" w:eastAsia="黑体"/>
        </w:rPr>
      </w:pPr>
      <w:r>
        <w:rPr>
          <w:rFonts w:hint="eastAsia" w:ascii="黑体" w:eastAsia="黑体"/>
          <w:sz w:val="32"/>
          <w:szCs w:val="32"/>
        </w:rPr>
        <w:t>八、</w:t>
      </w:r>
      <w:r>
        <w:rPr>
          <w:rStyle w:val="28"/>
          <w:rFonts w:hint="eastAsia" w:ascii="黑体" w:hAnsi="黑体" w:eastAsia="黑体"/>
          <w:b w:val="0"/>
        </w:rPr>
        <w:t>政府性基金预算支出决算情况说明</w:t>
      </w:r>
      <w:bookmarkEnd w:id="38"/>
      <w:bookmarkEnd w:id="39"/>
    </w:p>
    <w:p>
      <w:pPr>
        <w:spacing w:line="600" w:lineRule="exact"/>
        <w:ind w:firstLine="640"/>
        <w:rPr>
          <w:rFonts w:ascii="仿宋_GB2312" w:eastAsia="仿宋_GB2312"/>
          <w:sz w:val="32"/>
          <w:szCs w:val="32"/>
        </w:rPr>
      </w:pPr>
      <w:r>
        <w:rPr>
          <w:rFonts w:hint="eastAsia" w:ascii="仿宋" w:hAnsi="仿宋" w:eastAsia="仿宋" w:cs="仿宋"/>
          <w:sz w:val="32"/>
          <w:szCs w:val="32"/>
        </w:rPr>
        <w:t>2023年度政府性基金预算财政拨款支出</w:t>
      </w:r>
      <w:r>
        <w:rPr>
          <w:rFonts w:hint="eastAsia" w:ascii="仿宋" w:hAnsi="仿宋" w:eastAsia="仿宋" w:cs="仿宋"/>
          <w:b/>
          <w:sz w:val="32"/>
          <w:szCs w:val="32"/>
        </w:rPr>
        <w:t>0</w:t>
      </w:r>
      <w:r>
        <w:rPr>
          <w:rFonts w:hint="eastAsia" w:ascii="仿宋" w:hAnsi="仿宋" w:eastAsia="仿宋" w:cs="仿宋"/>
          <w:sz w:val="32"/>
          <w:szCs w:val="32"/>
        </w:rPr>
        <w:t>万元。</w:t>
      </w:r>
    </w:p>
    <w:p>
      <w:pPr>
        <w:numPr>
          <w:ilvl w:val="0"/>
          <w:numId w:val="3"/>
        </w:numPr>
        <w:spacing w:line="600" w:lineRule="exact"/>
        <w:ind w:firstLine="640"/>
        <w:outlineLvl w:val="1"/>
        <w:rPr>
          <w:rStyle w:val="28"/>
          <w:rFonts w:ascii="黑体" w:hAnsi="黑体" w:eastAsia="黑体"/>
          <w:b w:val="0"/>
        </w:rPr>
      </w:pPr>
      <w:bookmarkStart w:id="40" w:name="_Toc15377219"/>
      <w:bookmarkStart w:id="41" w:name="_Toc15396611"/>
      <w:r>
        <w:rPr>
          <w:rStyle w:val="28"/>
          <w:rFonts w:hint="eastAsia" w:ascii="黑体" w:hAnsi="黑体" w:eastAsia="黑体"/>
          <w:b w:val="0"/>
        </w:rPr>
        <w:t>国有资本经营预算支出决算情况说明</w:t>
      </w:r>
      <w:bookmarkEnd w:id="40"/>
      <w:bookmarkEnd w:id="41"/>
    </w:p>
    <w:p>
      <w:pPr>
        <w:spacing w:line="600" w:lineRule="exact"/>
        <w:ind w:firstLine="640"/>
        <w:rPr>
          <w:rFonts w:hint="eastAsia" w:ascii="仿宋" w:hAnsi="仿宋" w:eastAsia="仿宋" w:cs="仿宋"/>
          <w:sz w:val="32"/>
          <w:szCs w:val="32"/>
        </w:rPr>
      </w:pPr>
      <w:r>
        <w:rPr>
          <w:rFonts w:hint="eastAsia" w:ascii="仿宋" w:hAnsi="仿宋" w:eastAsia="仿宋" w:cs="仿宋"/>
          <w:sz w:val="32"/>
          <w:szCs w:val="32"/>
        </w:rPr>
        <w:t>2023年度国有资本经营预算财政拨款支出</w:t>
      </w:r>
      <w:r>
        <w:rPr>
          <w:rFonts w:hint="eastAsia" w:ascii="仿宋" w:hAnsi="仿宋" w:eastAsia="仿宋" w:cs="仿宋"/>
          <w:b/>
          <w:sz w:val="32"/>
          <w:szCs w:val="32"/>
        </w:rPr>
        <w:t>0</w:t>
      </w:r>
      <w:r>
        <w:rPr>
          <w:rFonts w:hint="eastAsia" w:ascii="仿宋" w:hAnsi="仿宋" w:eastAsia="仿宋" w:cs="仿宋"/>
          <w:sz w:val="32"/>
          <w:szCs w:val="32"/>
        </w:rPr>
        <w:t>万元。</w:t>
      </w:r>
    </w:p>
    <w:p>
      <w:pPr>
        <w:numPr>
          <w:ilvl w:val="0"/>
          <w:numId w:val="3"/>
        </w:numPr>
        <w:spacing w:line="600" w:lineRule="exact"/>
        <w:ind w:firstLine="640"/>
        <w:outlineLvl w:val="1"/>
        <w:rPr>
          <w:rStyle w:val="28"/>
          <w:rFonts w:ascii="黑体" w:hAnsi="黑体" w:eastAsia="黑体"/>
          <w:b w:val="0"/>
        </w:rPr>
      </w:pPr>
      <w:bookmarkStart w:id="42" w:name="_Toc15377221"/>
      <w:bookmarkStart w:id="43" w:name="_Toc15396612"/>
      <w:r>
        <w:rPr>
          <w:rStyle w:val="28"/>
          <w:rFonts w:hint="eastAsia" w:ascii="黑体" w:hAnsi="黑体" w:eastAsia="黑体"/>
          <w:b w:val="0"/>
        </w:rPr>
        <w:t>其他重要事项的情况说明</w:t>
      </w:r>
      <w:bookmarkEnd w:id="42"/>
      <w:bookmarkEnd w:id="43"/>
    </w:p>
    <w:p>
      <w:pPr>
        <w:spacing w:line="600" w:lineRule="exact"/>
        <w:ind w:firstLine="643" w:firstLineChars="200"/>
        <w:outlineLvl w:val="2"/>
        <w:rPr>
          <w:rFonts w:hint="eastAsia" w:ascii="仿宋" w:hAnsi="仿宋" w:eastAsia="仿宋" w:cs="仿宋"/>
          <w:sz w:val="32"/>
          <w:szCs w:val="32"/>
        </w:rPr>
      </w:pPr>
      <w:bookmarkStart w:id="44" w:name="_Toc15377222"/>
      <w:r>
        <w:rPr>
          <w:rFonts w:hint="eastAsia" w:ascii="仿宋" w:hAnsi="仿宋" w:eastAsia="仿宋"/>
          <w:b/>
          <w:sz w:val="32"/>
          <w:szCs w:val="32"/>
        </w:rPr>
        <w:t>（一）</w:t>
      </w:r>
      <w:r>
        <w:rPr>
          <w:rFonts w:hint="eastAsia" w:ascii="仿宋" w:hAnsi="仿宋" w:eastAsia="仿宋" w:cs="仿宋"/>
          <w:b/>
          <w:sz w:val="32"/>
          <w:szCs w:val="32"/>
        </w:rPr>
        <w:t>机关运行经费支出情况</w:t>
      </w:r>
      <w:bookmarkEnd w:id="44"/>
    </w:p>
    <w:p>
      <w:pPr>
        <w:keepNext w:val="0"/>
        <w:keepLines w:val="0"/>
        <w:pageBreakBefore w:val="0"/>
        <w:kinsoku/>
        <w:wordWrap/>
        <w:overflowPunct/>
        <w:topLinePunct w:val="0"/>
        <w:bidi w:val="0"/>
        <w:snapToGrid/>
        <w:spacing w:line="560" w:lineRule="exact"/>
        <w:ind w:firstLine="640" w:firstLineChars="200"/>
        <w:textAlignment w:val="auto"/>
        <w:rPr>
          <w:rFonts w:hint="eastAsia" w:ascii="仿宋" w:hAnsi="仿宋" w:eastAsia="仿宋" w:cs="仿宋"/>
          <w:b/>
          <w:sz w:val="32"/>
          <w:szCs w:val="32"/>
        </w:rPr>
      </w:pPr>
      <w:r>
        <w:rPr>
          <w:rFonts w:hint="eastAsia" w:ascii="仿宋" w:hAnsi="仿宋" w:eastAsia="仿宋" w:cs="仿宋"/>
          <w:sz w:val="32"/>
          <w:szCs w:val="32"/>
        </w:rPr>
        <w:t>2023年度，</w:t>
      </w:r>
      <w:r>
        <w:rPr>
          <w:rFonts w:hint="eastAsia" w:ascii="仿宋" w:hAnsi="仿宋" w:eastAsia="仿宋" w:cs="仿宋"/>
          <w:b w:val="0"/>
          <w:bCs/>
          <w:sz w:val="32"/>
          <w:szCs w:val="32"/>
        </w:rPr>
        <w:t>盐边县红宝苗族彝族乡卫生院</w:t>
      </w:r>
      <w:r>
        <w:rPr>
          <w:rFonts w:hint="eastAsia" w:ascii="仿宋" w:hAnsi="仿宋" w:eastAsia="仿宋" w:cs="仿宋"/>
          <w:sz w:val="32"/>
          <w:szCs w:val="32"/>
        </w:rPr>
        <w:t>机关运行经费支出</w:t>
      </w:r>
      <w:r>
        <w:rPr>
          <w:rFonts w:hint="eastAsia" w:ascii="仿宋" w:hAnsi="仿宋" w:eastAsia="仿宋" w:cs="仿宋"/>
          <w:b/>
          <w:sz w:val="32"/>
          <w:szCs w:val="32"/>
        </w:rPr>
        <w:t>0</w:t>
      </w:r>
      <w:r>
        <w:rPr>
          <w:rFonts w:hint="eastAsia" w:ascii="仿宋" w:hAnsi="仿宋" w:eastAsia="仿宋" w:cs="仿宋"/>
          <w:sz w:val="32"/>
          <w:szCs w:val="32"/>
        </w:rPr>
        <w:t>万元，与202</w:t>
      </w:r>
      <w:r>
        <w:rPr>
          <w:rFonts w:hint="eastAsia" w:ascii="仿宋" w:hAnsi="仿宋" w:eastAsia="仿宋" w:cs="仿宋"/>
          <w:sz w:val="32"/>
          <w:szCs w:val="32"/>
          <w:lang w:val="en-US" w:eastAsia="zh-CN"/>
        </w:rPr>
        <w:t>2</w:t>
      </w:r>
      <w:r>
        <w:rPr>
          <w:rFonts w:hint="eastAsia" w:ascii="仿宋" w:hAnsi="仿宋" w:eastAsia="仿宋" w:cs="仿宋"/>
          <w:sz w:val="32"/>
          <w:szCs w:val="32"/>
        </w:rPr>
        <w:t>年决算数持平）。</w:t>
      </w:r>
    </w:p>
    <w:p>
      <w:pPr>
        <w:autoSpaceDE w:val="0"/>
        <w:autoSpaceDN w:val="0"/>
        <w:adjustRightInd w:val="0"/>
        <w:spacing w:line="600" w:lineRule="exact"/>
        <w:ind w:firstLine="643" w:firstLineChars="200"/>
        <w:jc w:val="left"/>
        <w:outlineLvl w:val="2"/>
        <w:rPr>
          <w:rFonts w:hint="eastAsia" w:ascii="仿宋" w:hAnsi="仿宋" w:eastAsia="仿宋" w:cs="仿宋"/>
          <w:b/>
          <w:sz w:val="32"/>
          <w:szCs w:val="32"/>
        </w:rPr>
      </w:pPr>
      <w:bookmarkStart w:id="45" w:name="_Toc15377223"/>
      <w:r>
        <w:rPr>
          <w:rFonts w:hint="eastAsia" w:ascii="仿宋" w:hAnsi="仿宋" w:eastAsia="仿宋" w:cs="仿宋"/>
          <w:b/>
          <w:sz w:val="32"/>
          <w:szCs w:val="32"/>
        </w:rPr>
        <w:t>（二）政府采购支出情况</w:t>
      </w:r>
      <w:bookmarkEnd w:id="45"/>
    </w:p>
    <w:p>
      <w:pPr>
        <w:spacing w:line="60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rPr>
        <w:t>2023年度，盐边县红宝苗族彝族乡卫生院政府采购支出总额0万元，其中：政府采购货物支出0万元、政府采购工程支出0万元、政府采购服务支出0万元。主要用于</w:t>
      </w:r>
      <w:r>
        <w:rPr>
          <w:rFonts w:hint="eastAsia" w:ascii="仿宋" w:hAnsi="仿宋" w:eastAsia="仿宋" w:cs="仿宋"/>
          <w:b w:val="0"/>
          <w:bCs w:val="0"/>
          <w:sz w:val="32"/>
          <w:szCs w:val="32"/>
          <w:lang w:val="en-US" w:eastAsia="zh-CN"/>
        </w:rPr>
        <w:t>无</w:t>
      </w:r>
      <w:r>
        <w:rPr>
          <w:rFonts w:hint="eastAsia" w:ascii="仿宋" w:hAnsi="仿宋" w:eastAsia="仿宋" w:cs="仿宋"/>
          <w:b w:val="0"/>
          <w:bCs w:val="0"/>
          <w:sz w:val="32"/>
          <w:szCs w:val="32"/>
        </w:rPr>
        <w:t>。授予中小企业合同金额0万元，占政府采购支出总额的0%，其中：授予小微企业合同金额0万元，占政府采购支出总额的0%。</w:t>
      </w:r>
    </w:p>
    <w:p>
      <w:pPr>
        <w:autoSpaceDE w:val="0"/>
        <w:autoSpaceDN w:val="0"/>
        <w:adjustRightInd w:val="0"/>
        <w:spacing w:line="600" w:lineRule="exact"/>
        <w:ind w:firstLine="643" w:firstLineChars="200"/>
        <w:jc w:val="left"/>
        <w:outlineLvl w:val="2"/>
        <w:rPr>
          <w:rFonts w:hint="eastAsia" w:ascii="仿宋" w:hAnsi="仿宋" w:eastAsia="仿宋" w:cs="仿宋"/>
          <w:b/>
          <w:sz w:val="32"/>
          <w:szCs w:val="32"/>
        </w:rPr>
      </w:pPr>
      <w:bookmarkStart w:id="46" w:name="_Toc15377224"/>
      <w:r>
        <w:rPr>
          <w:rFonts w:hint="eastAsia" w:ascii="仿宋" w:hAnsi="仿宋" w:eastAsia="仿宋" w:cs="仿宋"/>
          <w:b/>
          <w:sz w:val="32"/>
          <w:szCs w:val="32"/>
        </w:rPr>
        <w:t>（三）国有资产占有使用情况</w:t>
      </w:r>
      <w:bookmarkEnd w:id="46"/>
    </w:p>
    <w:p>
      <w:pPr>
        <w:autoSpaceDE w:val="0"/>
        <w:autoSpaceDN w:val="0"/>
        <w:adjustRightInd w:val="0"/>
        <w:spacing w:line="600" w:lineRule="exact"/>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截至2023年12月31日，盐边县红宝苗族彝族乡卫生院共有车辆0辆，其中：主要领导干部用车</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辆、机要通信用车</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辆、应急保障用车</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辆、其他用车</w:t>
      </w:r>
      <w:r>
        <w:rPr>
          <w:rFonts w:hint="eastAsia" w:ascii="仿宋" w:hAnsi="仿宋" w:eastAsia="仿宋" w:cs="仿宋"/>
          <w:b w:val="0"/>
          <w:bCs w:val="0"/>
          <w:sz w:val="32"/>
          <w:szCs w:val="32"/>
          <w:lang w:val="en-US" w:eastAsia="zh-CN"/>
        </w:rPr>
        <w:t>0</w:t>
      </w:r>
      <w:r>
        <w:rPr>
          <w:rFonts w:hint="eastAsia" w:ascii="仿宋" w:hAnsi="仿宋" w:eastAsia="仿宋" w:cs="仿宋"/>
          <w:b w:val="0"/>
          <w:bCs w:val="0"/>
          <w:sz w:val="32"/>
          <w:szCs w:val="32"/>
        </w:rPr>
        <w:t>辆，其他用车主要是用于</w:t>
      </w:r>
      <w:r>
        <w:rPr>
          <w:rFonts w:hint="eastAsia" w:ascii="仿宋" w:hAnsi="仿宋" w:eastAsia="仿宋" w:cs="仿宋"/>
          <w:b w:val="0"/>
          <w:bCs w:val="0"/>
          <w:sz w:val="32"/>
          <w:szCs w:val="32"/>
          <w:lang w:val="en-US" w:eastAsia="zh-CN"/>
        </w:rPr>
        <w:t>无</w:t>
      </w:r>
      <w:r>
        <w:rPr>
          <w:rFonts w:hint="eastAsia" w:ascii="仿宋" w:hAnsi="仿宋" w:eastAsia="仿宋" w:cs="仿宋"/>
          <w:b w:val="0"/>
          <w:bCs w:val="0"/>
          <w:sz w:val="32"/>
          <w:szCs w:val="32"/>
        </w:rPr>
        <w:t>。单价100万元以上设备（不含车辆）0台（</w:t>
      </w:r>
      <w:bookmarkStart w:id="65" w:name="_GoBack"/>
      <w:bookmarkEnd w:id="65"/>
      <w:r>
        <w:rPr>
          <w:rFonts w:hint="eastAsia" w:ascii="仿宋" w:hAnsi="仿宋" w:eastAsia="仿宋" w:cs="仿宋"/>
          <w:b w:val="0"/>
          <w:bCs w:val="0"/>
          <w:sz w:val="32"/>
          <w:szCs w:val="32"/>
        </w:rPr>
        <w:t>套）。</w:t>
      </w:r>
    </w:p>
    <w:p>
      <w:pPr>
        <w:autoSpaceDE w:val="0"/>
        <w:autoSpaceDN w:val="0"/>
        <w:adjustRightInd w:val="0"/>
        <w:spacing w:line="600" w:lineRule="exact"/>
        <w:ind w:firstLine="643" w:firstLineChars="200"/>
        <w:jc w:val="left"/>
        <w:outlineLvl w:val="2"/>
        <w:rPr>
          <w:rFonts w:hint="eastAsia" w:ascii="仿宋" w:hAnsi="仿宋" w:eastAsia="仿宋" w:cs="仿宋"/>
          <w:b/>
          <w:sz w:val="32"/>
          <w:szCs w:val="32"/>
        </w:rPr>
      </w:pPr>
      <w:r>
        <w:rPr>
          <w:rFonts w:hint="eastAsia" w:ascii="仿宋" w:hAnsi="仿宋" w:eastAsia="仿宋" w:cs="仿宋"/>
          <w:b/>
          <w:sz w:val="32"/>
          <w:szCs w:val="32"/>
        </w:rPr>
        <w:t>（四）预算绩效管理情况</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根据预算绩效管理要求，本单位在2023年度预算编制阶段，组织对</w:t>
      </w:r>
      <w:r>
        <w:rPr>
          <w:rFonts w:hint="eastAsia" w:ascii="仿宋" w:hAnsi="仿宋" w:eastAsia="仿宋" w:cs="仿宋"/>
          <w:sz w:val="32"/>
          <w:szCs w:val="32"/>
          <w:lang w:val="en-US" w:eastAsia="zh-CN"/>
        </w:rPr>
        <w:t>17</w:t>
      </w:r>
      <w:r>
        <w:rPr>
          <w:rFonts w:hint="eastAsia" w:ascii="仿宋" w:hAnsi="仿宋" w:eastAsia="仿宋" w:cs="仿宋"/>
          <w:sz w:val="32"/>
          <w:szCs w:val="32"/>
        </w:rPr>
        <w:t>项目（项目名称）等</w:t>
      </w:r>
      <w:r>
        <w:rPr>
          <w:rFonts w:hint="eastAsia" w:ascii="仿宋" w:hAnsi="仿宋" w:eastAsia="仿宋" w:cs="仿宋"/>
          <w:sz w:val="32"/>
          <w:szCs w:val="32"/>
          <w:lang w:val="en-US" w:eastAsia="zh-CN"/>
        </w:rPr>
        <w:t>17</w:t>
      </w:r>
      <w:r>
        <w:rPr>
          <w:rFonts w:hint="eastAsia" w:ascii="仿宋" w:hAnsi="仿宋" w:eastAsia="仿宋" w:cs="仿宋"/>
          <w:sz w:val="32"/>
          <w:szCs w:val="32"/>
        </w:rPr>
        <w:t>个项目开展了预算事前绩效评估，对</w:t>
      </w:r>
      <w:r>
        <w:rPr>
          <w:rFonts w:hint="eastAsia" w:ascii="仿宋" w:hAnsi="仿宋" w:eastAsia="仿宋" w:cs="仿宋"/>
          <w:sz w:val="32"/>
          <w:szCs w:val="32"/>
          <w:lang w:val="en-US" w:eastAsia="zh-CN"/>
        </w:rPr>
        <w:t>17</w:t>
      </w:r>
      <w:r>
        <w:rPr>
          <w:rFonts w:hint="eastAsia" w:ascii="仿宋" w:hAnsi="仿宋" w:eastAsia="仿宋" w:cs="仿宋"/>
          <w:sz w:val="32"/>
          <w:szCs w:val="32"/>
        </w:rPr>
        <w:t>个项目编制了绩效目标，预算执行过程中，选取</w:t>
      </w:r>
      <w:r>
        <w:rPr>
          <w:rFonts w:hint="eastAsia" w:ascii="仿宋" w:hAnsi="仿宋" w:eastAsia="仿宋" w:cs="仿宋"/>
          <w:sz w:val="32"/>
          <w:szCs w:val="32"/>
          <w:lang w:val="en-US" w:eastAsia="zh-CN"/>
        </w:rPr>
        <w:t>17</w:t>
      </w:r>
      <w:r>
        <w:rPr>
          <w:rFonts w:hint="eastAsia" w:ascii="仿宋" w:hAnsi="仿宋" w:eastAsia="仿宋" w:cs="仿宋"/>
          <w:sz w:val="32"/>
          <w:szCs w:val="32"/>
        </w:rPr>
        <w:t>个项目开展绩效监控，组织对</w:t>
      </w:r>
      <w:r>
        <w:rPr>
          <w:rFonts w:hint="eastAsia" w:ascii="仿宋" w:hAnsi="仿宋" w:eastAsia="仿宋" w:cs="仿宋"/>
          <w:sz w:val="32"/>
          <w:szCs w:val="32"/>
          <w:lang w:val="en-US" w:eastAsia="zh-CN"/>
        </w:rPr>
        <w:t>17</w:t>
      </w:r>
      <w:r>
        <w:rPr>
          <w:rFonts w:hint="eastAsia" w:ascii="仿宋" w:hAnsi="仿宋" w:eastAsia="仿宋" w:cs="仿宋"/>
          <w:sz w:val="32"/>
          <w:szCs w:val="32"/>
        </w:rPr>
        <w:t>个项目开展绩效自评，绩效自评表详见第四部分附件。</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br w:type="page"/>
      </w:r>
    </w:p>
    <w:p>
      <w:pPr>
        <w:numPr>
          <w:ilvl w:val="0"/>
          <w:numId w:val="4"/>
        </w:numPr>
        <w:spacing w:line="600" w:lineRule="exact"/>
        <w:ind w:firstLine="660" w:firstLineChars="150"/>
        <w:jc w:val="center"/>
        <w:outlineLvl w:val="0"/>
        <w:rPr>
          <w:rStyle w:val="27"/>
          <w:rFonts w:ascii="黑体" w:hAnsi="黑体" w:eastAsia="黑体"/>
          <w:b w:val="0"/>
        </w:rPr>
      </w:pPr>
      <w:bookmarkStart w:id="47" w:name="_Toc15396613"/>
      <w:bookmarkStart w:id="48" w:name="_Toc15377225"/>
      <w:r>
        <w:rPr>
          <w:rFonts w:hint="eastAsia" w:ascii="黑体" w:hAnsi="黑体" w:eastAsia="黑体"/>
          <w:sz w:val="44"/>
          <w:szCs w:val="44"/>
        </w:rPr>
        <w:t>名</w:t>
      </w:r>
      <w:r>
        <w:rPr>
          <w:rStyle w:val="27"/>
          <w:rFonts w:hint="eastAsia" w:ascii="黑体" w:hAnsi="黑体" w:eastAsia="黑体"/>
          <w:b w:val="0"/>
        </w:rPr>
        <w:t>词解释</w:t>
      </w:r>
      <w:bookmarkEnd w:id="47"/>
      <w:bookmarkEnd w:id="48"/>
    </w:p>
    <w:p>
      <w:pPr>
        <w:spacing w:line="600" w:lineRule="exact"/>
        <w:jc w:val="left"/>
        <w:rPr>
          <w:rFonts w:ascii="宋体"/>
          <w:b/>
          <w:sz w:val="44"/>
          <w:szCs w:val="44"/>
        </w:rPr>
      </w:pP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1.财政拨款收入：指单位从同级财政部门取得的财政预算资金。</w:t>
      </w: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2.事业收入：指事业单位开展专业业务活动及辅助活动取得的收入。</w:t>
      </w: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.其他收入：指单位取得的除上述收入以外的各项收入。</w:t>
      </w: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.使用非财政拨款结余：指事业单位使用以前年度积累的非财政拨款结余弥补当年收支差额的金额。</w:t>
      </w: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.年初结转和结余：指以前年度尚未完成、结转到本年按有关规定继续使用的资金。</w:t>
      </w: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.结余分配：指事业单位按照会计制度规定缴纳的所得税、提取的专用结余以及转入非财政拨款结余的金额等。</w:t>
      </w: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年末结转和结余：指单位按有关规定结转到下年或以后年度继续使用的资金。</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.社会保障和就业支出（类）行政事业单位养老支出（款）机关事业单位基本养老保险缴费支出（项）：指</w:t>
      </w:r>
      <w:r>
        <w:rPr>
          <w:rFonts w:hint="default" w:ascii="Times New Roman" w:hAnsi="Times New Roman" w:eastAsia="仿宋_GB2312" w:cs="Times New Roman"/>
          <w:sz w:val="32"/>
          <w:szCs w:val="32"/>
          <w:lang w:val="en-US" w:eastAsia="zh-CN"/>
        </w:rPr>
        <w:t>机关事业单位实施养老保险制度由单位缴纳的基本养老保险费支出</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.社会保障和就业支出（类）行政事业单位养老支出（款）</w:t>
      </w:r>
      <w:r>
        <w:rPr>
          <w:rFonts w:hint="default" w:ascii="Times New Roman" w:hAnsi="Times New Roman" w:eastAsia="仿宋_GB2312" w:cs="Times New Roman"/>
          <w:sz w:val="32"/>
          <w:szCs w:val="32"/>
          <w:lang w:val="en-US" w:eastAsia="zh-CN"/>
        </w:rPr>
        <w:t>事业单位离退休</w:t>
      </w:r>
      <w:r>
        <w:rPr>
          <w:rFonts w:hint="default" w:ascii="Times New Roman" w:hAnsi="Times New Roman" w:eastAsia="仿宋_GB2312" w:cs="Times New Roman"/>
          <w:sz w:val="32"/>
          <w:szCs w:val="32"/>
        </w:rPr>
        <w:t>（项）：指</w:t>
      </w:r>
      <w:r>
        <w:rPr>
          <w:rFonts w:hint="default" w:ascii="Times New Roman" w:hAnsi="Times New Roman" w:eastAsia="仿宋_GB2312" w:cs="Times New Roman"/>
          <w:sz w:val="32"/>
          <w:szCs w:val="32"/>
          <w:lang w:val="en-US" w:eastAsia="zh-CN"/>
        </w:rPr>
        <w:t>机关事业开支单位离退休经费支出</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.社会保障和就业支出（类）</w:t>
      </w:r>
      <w:r>
        <w:rPr>
          <w:rFonts w:hint="default" w:ascii="Times New Roman" w:hAnsi="Times New Roman" w:eastAsia="仿宋_GB2312" w:cs="Times New Roman"/>
          <w:sz w:val="32"/>
          <w:szCs w:val="32"/>
          <w:lang w:val="en-US" w:eastAsia="zh-CN"/>
        </w:rPr>
        <w:t>残疾人事业</w:t>
      </w:r>
      <w:r>
        <w:rPr>
          <w:rFonts w:hint="default" w:ascii="Times New Roman" w:hAnsi="Times New Roman" w:eastAsia="仿宋_GB2312" w:cs="Times New Roman"/>
          <w:sz w:val="32"/>
          <w:szCs w:val="32"/>
        </w:rPr>
        <w:t>（款）</w:t>
      </w:r>
      <w:r>
        <w:rPr>
          <w:rFonts w:hint="default" w:ascii="Times New Roman" w:hAnsi="Times New Roman" w:eastAsia="仿宋_GB2312" w:cs="Times New Roman"/>
          <w:sz w:val="32"/>
          <w:szCs w:val="32"/>
          <w:lang w:val="en-US" w:eastAsia="zh-CN"/>
        </w:rPr>
        <w:t>其他残疾人事业支出</w:t>
      </w:r>
      <w:r>
        <w:rPr>
          <w:rFonts w:hint="default" w:ascii="Times New Roman" w:hAnsi="Times New Roman" w:eastAsia="仿宋_GB2312" w:cs="Times New Roman"/>
          <w:sz w:val="32"/>
          <w:szCs w:val="32"/>
        </w:rPr>
        <w:t>（项）：指</w:t>
      </w:r>
      <w:r>
        <w:rPr>
          <w:rFonts w:hint="default" w:ascii="Times New Roman" w:hAnsi="Times New Roman" w:eastAsia="仿宋_GB2312" w:cs="Times New Roman"/>
          <w:sz w:val="32"/>
          <w:szCs w:val="32"/>
          <w:lang w:val="en-US" w:eastAsia="zh-CN"/>
        </w:rPr>
        <w:t>机关事业单位其他用于残疾人事业方面的支出</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.卫生健康支出（类）基层医疗卫生机构（款）乡镇卫生院（项）：指</w:t>
      </w:r>
      <w:r>
        <w:rPr>
          <w:rFonts w:hint="default" w:ascii="Times New Roman" w:hAnsi="Times New Roman" w:eastAsia="仿宋_GB2312" w:cs="Times New Roman"/>
          <w:sz w:val="32"/>
          <w:szCs w:val="32"/>
          <w:lang w:val="en-US" w:eastAsia="zh-CN"/>
        </w:rPr>
        <w:t>用于乡镇卫生院的支出</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.卫生健康支出（类）基层医疗卫生机构（款）其他基层医疗卫生机构支出（项）：指</w:t>
      </w:r>
      <w:r>
        <w:rPr>
          <w:rFonts w:hint="default" w:ascii="Times New Roman" w:hAnsi="Times New Roman" w:eastAsia="仿宋_GB2312" w:cs="Times New Roman"/>
          <w:sz w:val="32"/>
          <w:szCs w:val="32"/>
          <w:lang w:val="en-US" w:eastAsia="zh-CN"/>
        </w:rPr>
        <w:t>除上述项目以外的其他用于基层医疗卫生机构的支出</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13</w:t>
      </w:r>
      <w:r>
        <w:rPr>
          <w:rFonts w:hint="default" w:ascii="Times New Roman" w:hAnsi="Times New Roman" w:eastAsia="仿宋_GB2312" w:cs="Times New Roman"/>
          <w:sz w:val="32"/>
          <w:szCs w:val="32"/>
        </w:rPr>
        <w:t>.卫生健康支出（类）公共卫生（款）基本公共卫生服务（项）：指</w:t>
      </w:r>
      <w:r>
        <w:rPr>
          <w:rFonts w:hint="default" w:ascii="Times New Roman" w:hAnsi="Times New Roman" w:eastAsia="仿宋_GB2312" w:cs="Times New Roman"/>
          <w:sz w:val="32"/>
          <w:szCs w:val="32"/>
          <w:lang w:val="en-US" w:eastAsia="zh-CN"/>
        </w:rPr>
        <w:t>基本公共卫生服务支出</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14</w:t>
      </w:r>
      <w:r>
        <w:rPr>
          <w:rFonts w:hint="default" w:ascii="Times New Roman" w:hAnsi="Times New Roman" w:eastAsia="仿宋_GB2312" w:cs="Times New Roman"/>
          <w:sz w:val="32"/>
          <w:szCs w:val="32"/>
        </w:rPr>
        <w:t>.卫生健康支出（类）公共卫生（款）重大公共卫生服务（项）：指</w:t>
      </w:r>
      <w:r>
        <w:rPr>
          <w:rFonts w:hint="default" w:ascii="Times New Roman" w:hAnsi="Times New Roman" w:eastAsia="仿宋_GB2312" w:cs="Times New Roman"/>
          <w:sz w:val="32"/>
          <w:szCs w:val="32"/>
          <w:lang w:val="en-US" w:eastAsia="zh-CN"/>
        </w:rPr>
        <w:t>重大疾病、重大传染病预防控制等重大公共卫生服务项目支出</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.卫生健康支出（类）公共卫生（款）其他公共卫生支出（项）：指</w:t>
      </w:r>
      <w:r>
        <w:rPr>
          <w:rFonts w:hint="default" w:ascii="Times New Roman" w:hAnsi="Times New Roman" w:eastAsia="仿宋_GB2312" w:cs="Times New Roman"/>
          <w:sz w:val="32"/>
          <w:szCs w:val="32"/>
          <w:lang w:val="en-US" w:eastAsia="zh-CN"/>
        </w:rPr>
        <w:t>除上述项目以外的其他用于公共卫生方面的支出</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16</w:t>
      </w:r>
      <w:r>
        <w:rPr>
          <w:rFonts w:hint="default" w:ascii="Times New Roman" w:hAnsi="Times New Roman" w:eastAsia="仿宋_GB2312" w:cs="Times New Roman"/>
          <w:sz w:val="32"/>
          <w:szCs w:val="32"/>
        </w:rPr>
        <w:t>.卫生健康支出（类）行政事业单位医疗（款）事业单位医疗（项）：指</w:t>
      </w:r>
      <w:r>
        <w:rPr>
          <w:rFonts w:hint="default" w:ascii="Times New Roman" w:hAnsi="Times New Roman" w:eastAsia="仿宋_GB2312" w:cs="Times New Roman"/>
          <w:sz w:val="32"/>
          <w:szCs w:val="32"/>
          <w:lang w:val="en-US" w:eastAsia="zh-CN"/>
        </w:rPr>
        <w:t>财政部门安排的事业单位基本医疗保险缴费经费，未参加医疗保险的事业单位的公费医疗经费，按国家规定享受离休人员待遇的医疗经费</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17</w:t>
      </w:r>
      <w:r>
        <w:rPr>
          <w:rFonts w:hint="default" w:ascii="Times New Roman" w:hAnsi="Times New Roman" w:eastAsia="仿宋_GB2312" w:cs="Times New Roman"/>
          <w:sz w:val="32"/>
          <w:szCs w:val="32"/>
        </w:rPr>
        <w:t>.卫生健康支出（类）其他卫生健康支出（款）其他卫生健康支出（项）：指</w:t>
      </w:r>
      <w:r>
        <w:rPr>
          <w:rFonts w:hint="default" w:ascii="Times New Roman" w:hAnsi="Times New Roman" w:eastAsia="仿宋_GB2312" w:cs="Times New Roman"/>
          <w:sz w:val="32"/>
          <w:szCs w:val="32"/>
          <w:lang w:val="en-US" w:eastAsia="zh-CN"/>
        </w:rPr>
        <w:t>除上述项目以外其他用于卫生健康方面的支出</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18</w:t>
      </w:r>
      <w:r>
        <w:rPr>
          <w:rFonts w:hint="default" w:ascii="Times New Roman" w:hAnsi="Times New Roman" w:eastAsia="仿宋_GB2312" w:cs="Times New Roman"/>
          <w:sz w:val="32"/>
          <w:szCs w:val="32"/>
        </w:rPr>
        <w:t>.住房保障支出（类）住房改革支出（款）住房公积金（项）：指</w:t>
      </w:r>
      <w:r>
        <w:rPr>
          <w:rFonts w:hint="default" w:ascii="Times New Roman" w:hAnsi="Times New Roman" w:eastAsia="仿宋_GB2312" w:cs="Times New Roman"/>
          <w:sz w:val="32"/>
          <w:szCs w:val="32"/>
          <w:lang w:val="en-US" w:eastAsia="zh-CN"/>
        </w:rPr>
        <w:t>行政事业单位按人力资源和社会保障部、财政部规定的基本工资和津贴补贴以及规定比例为职工缴纳的住房公积金</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19</w:t>
      </w:r>
      <w:r>
        <w:rPr>
          <w:rFonts w:hint="default" w:ascii="Times New Roman" w:hAnsi="Times New Roman" w:eastAsia="仿宋_GB2312" w:cs="Times New Roman"/>
          <w:sz w:val="32"/>
          <w:szCs w:val="32"/>
        </w:rPr>
        <w:t>.基本支出：指为保障机构正常运转、完成日常工作任务而发生的人员支出和公用支出。</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.项目支出：指在基本支出之外为完成特定行政任务和事业发展目标所发生的支出。</w:t>
      </w: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21</w:t>
      </w:r>
      <w:r>
        <w:rPr>
          <w:rFonts w:hint="default" w:ascii="Times New Roman" w:hAnsi="Times New Roman" w:eastAsia="仿宋_GB2312" w:cs="Times New Roman"/>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牌照费</w:t>
      </w:r>
      <w:r>
        <w:rPr>
          <w:rFonts w:hint="default" w:ascii="Times New Roman" w:hAnsi="Times New Roman" w:eastAsia="仿宋_GB2312" w:cs="Times New Roman"/>
          <w:color w:val="auto"/>
          <w:sz w:val="32"/>
          <w:szCs w:val="32"/>
        </w:rPr>
        <w:t>）燃料费、维修费、过路过桥费、保险费</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安全奖励费用</w:t>
      </w:r>
      <w:r>
        <w:rPr>
          <w:rFonts w:hint="default" w:ascii="Times New Roman" w:hAnsi="Times New Roman" w:eastAsia="仿宋_GB2312" w:cs="Times New Roman"/>
          <w:color w:val="auto"/>
          <w:sz w:val="32"/>
          <w:szCs w:val="32"/>
        </w:rPr>
        <w:t>等支出；公务接待费反映单位按规定开支的各类公务接待（含外宾接待）支出。</w:t>
      </w: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p>
    <w:p>
      <w:pPr>
        <w:spacing w:line="600" w:lineRule="exact"/>
        <w:jc w:val="center"/>
        <w:outlineLvl w:val="0"/>
        <w:rPr>
          <w:rFonts w:hint="eastAsia" w:ascii="方正小标宋简体" w:hAnsi="方正小标宋简体" w:eastAsia="方正小标宋简体" w:cs="方正小标宋简体"/>
          <w:color w:val="000000"/>
          <w:sz w:val="44"/>
          <w:szCs w:val="44"/>
        </w:rPr>
      </w:pPr>
    </w:p>
    <w:p>
      <w:pPr>
        <w:spacing w:line="600" w:lineRule="exact"/>
        <w:jc w:val="center"/>
        <w:outlineLvl w:val="0"/>
        <w:rPr>
          <w:rFonts w:hint="eastAsia" w:ascii="方正小标宋简体" w:hAnsi="方正小标宋简体" w:eastAsia="方正小标宋简体" w:cs="方正小标宋简体"/>
          <w:color w:val="000000"/>
          <w:sz w:val="44"/>
          <w:szCs w:val="44"/>
        </w:rPr>
      </w:pPr>
    </w:p>
    <w:p>
      <w:pPr>
        <w:pStyle w:val="2"/>
        <w:rPr>
          <w:rFonts w:hint="eastAsia" w:ascii="方正小标宋简体" w:hAnsi="方正小标宋简体" w:eastAsia="方正小标宋简体" w:cs="方正小标宋简体"/>
          <w:color w:val="000000"/>
          <w:sz w:val="44"/>
          <w:szCs w:val="44"/>
        </w:rPr>
      </w:pPr>
    </w:p>
    <w:p>
      <w:pPr>
        <w:numPr>
          <w:ilvl w:val="0"/>
          <w:numId w:val="4"/>
        </w:numPr>
        <w:spacing w:line="600" w:lineRule="exact"/>
        <w:ind w:left="0" w:leftChars="0" w:firstLine="660" w:firstLineChars="150"/>
        <w:jc w:val="center"/>
        <w:outlineLvl w:val="0"/>
        <w:rPr>
          <w:rStyle w:val="27"/>
          <w:rFonts w:hint="eastAsia" w:ascii="黑体" w:hAnsi="黑体" w:eastAsia="黑体"/>
          <w:b w:val="0"/>
        </w:rPr>
      </w:pPr>
      <w:bookmarkStart w:id="49" w:name="_Toc15396614"/>
      <w:bookmarkStart w:id="50" w:name="_Toc15377226"/>
      <w:r>
        <w:rPr>
          <w:rStyle w:val="27"/>
          <w:rFonts w:hint="eastAsia" w:ascii="黑体" w:hAnsi="黑体" w:eastAsia="黑体"/>
          <w:b w:val="0"/>
        </w:rPr>
        <w:t>附件</w:t>
      </w:r>
      <w:bookmarkEnd w:id="49"/>
    </w:p>
    <w:p>
      <w:pPr>
        <w:pStyle w:val="2"/>
        <w:numPr>
          <w:ilvl w:val="0"/>
          <w:numId w:val="0"/>
        </w:numPr>
        <w:ind w:leftChars="150"/>
      </w:pPr>
    </w:p>
    <w:p>
      <w:pPr>
        <w:spacing w:line="600" w:lineRule="exact"/>
        <w:jc w:val="center"/>
        <w:outlineLvl w:val="0"/>
        <w:rPr>
          <w:rFonts w:hint="eastAsia" w:ascii="CESI仿宋-GB2312" w:hAnsi="CESI仿宋-GB2312" w:eastAsia="CESI仿宋-GB2312" w:cs="CESI仿宋-GB2312"/>
          <w:color w:val="FF0000"/>
          <w:sz w:val="32"/>
          <w:szCs w:val="32"/>
        </w:rPr>
      </w:pPr>
      <w:bookmarkStart w:id="51" w:name="_Toc15396618"/>
      <w:r>
        <w:rPr>
          <w:rFonts w:hint="eastAsia" w:ascii="CESI仿宋-GB2312" w:hAnsi="CESI仿宋-GB2312" w:eastAsia="CESI仿宋-GB2312" w:cs="CESI仿宋-GB2312"/>
          <w:sz w:val="32"/>
          <w:szCs w:val="32"/>
        </w:rPr>
        <w:t>部门预算项目支出绩效自评表（2023年度）</w:t>
      </w: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both"/>
        <w:outlineLvl w:val="0"/>
        <w:rPr>
          <w:rFonts w:hint="eastAsia"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7"/>
          <w:rFonts w:hint="eastAsia" w:ascii="黑体" w:hAnsi="黑体" w:eastAsia="黑体"/>
          <w:b w:val="0"/>
        </w:rPr>
        <w:t>五部分 附表</w:t>
      </w:r>
      <w:bookmarkEnd w:id="50"/>
      <w:bookmarkEnd w:id="51"/>
      <w:bookmarkStart w:id="52" w:name="_Toc15396619"/>
    </w:p>
    <w:p>
      <w:pPr>
        <w:pStyle w:val="4"/>
        <w:rPr>
          <w:rFonts w:hint="eastAsia" w:ascii="CESI仿宋-GB2312" w:hAnsi="CESI仿宋-GB2312" w:eastAsia="CESI仿宋-GB2312" w:cs="CESI仿宋-GB2312"/>
        </w:rPr>
      </w:pPr>
      <w:r>
        <w:rPr>
          <w:rFonts w:hint="eastAsia" w:ascii="CESI仿宋-GB2312" w:hAnsi="CESI仿宋-GB2312" w:eastAsia="CESI仿宋-GB2312" w:cs="CESI仿宋-GB2312"/>
          <w:b w:val="0"/>
        </w:rPr>
        <w:t>一、收</w:t>
      </w:r>
      <w:r>
        <w:rPr>
          <w:rStyle w:val="28"/>
          <w:rFonts w:hint="eastAsia" w:ascii="CESI仿宋-GB2312" w:hAnsi="CESI仿宋-GB2312" w:eastAsia="CESI仿宋-GB2312" w:cs="CESI仿宋-GB2312"/>
          <w:b w:val="0"/>
          <w:bCs w:val="0"/>
        </w:rPr>
        <w:t>入支出决算总表</w:t>
      </w:r>
      <w:bookmarkEnd w:id="52"/>
    </w:p>
    <w:p>
      <w:pPr>
        <w:pStyle w:val="4"/>
        <w:rPr>
          <w:rFonts w:hint="eastAsia" w:ascii="CESI仿宋-GB2312" w:hAnsi="CESI仿宋-GB2312" w:eastAsia="CESI仿宋-GB2312" w:cs="CESI仿宋-GB2312"/>
        </w:rPr>
      </w:pPr>
      <w:bookmarkStart w:id="53" w:name="_Toc15396620"/>
      <w:r>
        <w:rPr>
          <w:rFonts w:hint="eastAsia" w:ascii="CESI仿宋-GB2312" w:hAnsi="CESI仿宋-GB2312" w:eastAsia="CESI仿宋-GB2312" w:cs="CESI仿宋-GB2312"/>
          <w:b w:val="0"/>
        </w:rPr>
        <w:t>二、收</w:t>
      </w:r>
      <w:r>
        <w:rPr>
          <w:rStyle w:val="28"/>
          <w:rFonts w:hint="eastAsia" w:ascii="CESI仿宋-GB2312" w:hAnsi="CESI仿宋-GB2312" w:eastAsia="CESI仿宋-GB2312" w:cs="CESI仿宋-GB2312"/>
          <w:b w:val="0"/>
          <w:bCs w:val="0"/>
        </w:rPr>
        <w:t>入决算表</w:t>
      </w:r>
      <w:bookmarkEnd w:id="53"/>
    </w:p>
    <w:p>
      <w:pPr>
        <w:pStyle w:val="4"/>
        <w:rPr>
          <w:rFonts w:hint="eastAsia" w:ascii="CESI仿宋-GB2312" w:hAnsi="CESI仿宋-GB2312" w:eastAsia="CESI仿宋-GB2312" w:cs="CESI仿宋-GB2312"/>
        </w:rPr>
      </w:pPr>
      <w:bookmarkStart w:id="54" w:name="_Toc15396621"/>
      <w:r>
        <w:rPr>
          <w:rStyle w:val="28"/>
          <w:rFonts w:hint="eastAsia" w:ascii="CESI仿宋-GB2312" w:hAnsi="CESI仿宋-GB2312" w:eastAsia="CESI仿宋-GB2312" w:cs="CESI仿宋-GB2312"/>
          <w:b w:val="0"/>
          <w:bCs w:val="0"/>
        </w:rPr>
        <w:t>三、</w:t>
      </w:r>
      <w:r>
        <w:rPr>
          <w:rFonts w:hint="eastAsia" w:ascii="CESI仿宋-GB2312" w:hAnsi="CESI仿宋-GB2312" w:eastAsia="CESI仿宋-GB2312" w:cs="CESI仿宋-GB2312"/>
          <w:b w:val="0"/>
        </w:rPr>
        <w:t>支</w:t>
      </w:r>
      <w:r>
        <w:rPr>
          <w:rStyle w:val="28"/>
          <w:rFonts w:hint="eastAsia" w:ascii="CESI仿宋-GB2312" w:hAnsi="CESI仿宋-GB2312" w:eastAsia="CESI仿宋-GB2312" w:cs="CESI仿宋-GB2312"/>
          <w:b w:val="0"/>
          <w:bCs w:val="0"/>
        </w:rPr>
        <w:t>出决算表</w:t>
      </w:r>
      <w:bookmarkEnd w:id="54"/>
    </w:p>
    <w:p>
      <w:pPr>
        <w:pStyle w:val="4"/>
        <w:rPr>
          <w:rFonts w:hint="eastAsia" w:ascii="CESI仿宋-GB2312" w:hAnsi="CESI仿宋-GB2312" w:eastAsia="CESI仿宋-GB2312" w:cs="CESI仿宋-GB2312"/>
          <w:b w:val="0"/>
        </w:rPr>
      </w:pPr>
      <w:bookmarkStart w:id="55" w:name="_Toc15396622"/>
      <w:r>
        <w:rPr>
          <w:rStyle w:val="28"/>
          <w:rFonts w:hint="eastAsia" w:ascii="CESI仿宋-GB2312" w:hAnsi="CESI仿宋-GB2312" w:eastAsia="CESI仿宋-GB2312" w:cs="CESI仿宋-GB2312"/>
          <w:b w:val="0"/>
          <w:bCs w:val="0"/>
        </w:rPr>
        <w:t>四、</w:t>
      </w:r>
      <w:r>
        <w:rPr>
          <w:rFonts w:hint="eastAsia" w:ascii="CESI仿宋-GB2312" w:hAnsi="CESI仿宋-GB2312" w:eastAsia="CESI仿宋-GB2312" w:cs="CESI仿宋-GB2312"/>
          <w:b w:val="0"/>
        </w:rPr>
        <w:t>财</w:t>
      </w:r>
      <w:r>
        <w:rPr>
          <w:rStyle w:val="28"/>
          <w:rFonts w:hint="eastAsia" w:ascii="CESI仿宋-GB2312" w:hAnsi="CESI仿宋-GB2312" w:eastAsia="CESI仿宋-GB2312" w:cs="CESI仿宋-GB2312"/>
          <w:b w:val="0"/>
          <w:bCs w:val="0"/>
        </w:rPr>
        <w:t>政拨款收入支出决算总表</w:t>
      </w:r>
      <w:bookmarkEnd w:id="55"/>
    </w:p>
    <w:p>
      <w:pPr>
        <w:pStyle w:val="4"/>
        <w:rPr>
          <w:rStyle w:val="28"/>
          <w:rFonts w:hint="eastAsia" w:ascii="CESI仿宋-GB2312" w:hAnsi="CESI仿宋-GB2312" w:eastAsia="CESI仿宋-GB2312" w:cs="CESI仿宋-GB2312"/>
          <w:b w:val="0"/>
          <w:bCs w:val="0"/>
        </w:rPr>
      </w:pPr>
      <w:bookmarkStart w:id="56" w:name="_Toc15396623"/>
      <w:r>
        <w:rPr>
          <w:rStyle w:val="28"/>
          <w:rFonts w:hint="eastAsia" w:ascii="CESI仿宋-GB2312" w:hAnsi="CESI仿宋-GB2312" w:eastAsia="CESI仿宋-GB2312" w:cs="CESI仿宋-GB2312"/>
          <w:b w:val="0"/>
          <w:bCs w:val="0"/>
        </w:rPr>
        <w:t>五、</w:t>
      </w:r>
      <w:r>
        <w:rPr>
          <w:rFonts w:hint="eastAsia" w:ascii="CESI仿宋-GB2312" w:hAnsi="CESI仿宋-GB2312" w:eastAsia="CESI仿宋-GB2312" w:cs="CESI仿宋-GB2312"/>
          <w:b w:val="0"/>
        </w:rPr>
        <w:t>财</w:t>
      </w:r>
      <w:r>
        <w:rPr>
          <w:rStyle w:val="28"/>
          <w:rFonts w:hint="eastAsia" w:ascii="CESI仿宋-GB2312" w:hAnsi="CESI仿宋-GB2312" w:eastAsia="CESI仿宋-GB2312" w:cs="CESI仿宋-GB2312"/>
          <w:b w:val="0"/>
          <w:bCs w:val="0"/>
        </w:rPr>
        <w:t>政拨款支出决算明细表</w:t>
      </w:r>
      <w:bookmarkEnd w:id="56"/>
      <w:bookmarkStart w:id="57" w:name="_Toc15396624"/>
    </w:p>
    <w:p>
      <w:pPr>
        <w:pStyle w:val="4"/>
        <w:rPr>
          <w:rFonts w:hint="eastAsia" w:ascii="CESI仿宋-GB2312" w:hAnsi="CESI仿宋-GB2312" w:eastAsia="CESI仿宋-GB2312" w:cs="CESI仿宋-GB2312"/>
        </w:rPr>
      </w:pPr>
      <w:r>
        <w:rPr>
          <w:rStyle w:val="28"/>
          <w:rFonts w:hint="eastAsia" w:ascii="CESI仿宋-GB2312" w:hAnsi="CESI仿宋-GB2312" w:eastAsia="CESI仿宋-GB2312" w:cs="CESI仿宋-GB2312"/>
          <w:b w:val="0"/>
          <w:bCs w:val="0"/>
        </w:rPr>
        <w:t>六、</w:t>
      </w:r>
      <w:r>
        <w:rPr>
          <w:rFonts w:hint="eastAsia" w:ascii="CESI仿宋-GB2312" w:hAnsi="CESI仿宋-GB2312" w:eastAsia="CESI仿宋-GB2312" w:cs="CESI仿宋-GB2312"/>
          <w:b w:val="0"/>
        </w:rPr>
        <w:t>一</w:t>
      </w:r>
      <w:r>
        <w:rPr>
          <w:rStyle w:val="28"/>
          <w:rFonts w:hint="eastAsia" w:ascii="CESI仿宋-GB2312" w:hAnsi="CESI仿宋-GB2312" w:eastAsia="CESI仿宋-GB2312" w:cs="CESI仿宋-GB2312"/>
          <w:b w:val="0"/>
          <w:bCs w:val="0"/>
        </w:rPr>
        <w:t>般公共预算财政拨款支出决算表</w:t>
      </w:r>
      <w:bookmarkEnd w:id="57"/>
    </w:p>
    <w:p>
      <w:pPr>
        <w:pStyle w:val="4"/>
        <w:rPr>
          <w:rFonts w:hint="eastAsia" w:ascii="CESI仿宋-GB2312" w:hAnsi="CESI仿宋-GB2312" w:eastAsia="CESI仿宋-GB2312" w:cs="CESI仿宋-GB2312"/>
        </w:rPr>
      </w:pPr>
      <w:bookmarkStart w:id="58" w:name="_Toc15396625"/>
      <w:r>
        <w:rPr>
          <w:rStyle w:val="28"/>
          <w:rFonts w:hint="eastAsia" w:ascii="CESI仿宋-GB2312" w:hAnsi="CESI仿宋-GB2312" w:eastAsia="CESI仿宋-GB2312" w:cs="CESI仿宋-GB2312"/>
          <w:b w:val="0"/>
          <w:bCs w:val="0"/>
        </w:rPr>
        <w:t>七、</w:t>
      </w:r>
      <w:r>
        <w:rPr>
          <w:rFonts w:hint="eastAsia" w:ascii="CESI仿宋-GB2312" w:hAnsi="CESI仿宋-GB2312" w:eastAsia="CESI仿宋-GB2312" w:cs="CESI仿宋-GB2312"/>
          <w:b w:val="0"/>
        </w:rPr>
        <w:t>一</w:t>
      </w:r>
      <w:r>
        <w:rPr>
          <w:rStyle w:val="28"/>
          <w:rFonts w:hint="eastAsia" w:ascii="CESI仿宋-GB2312" w:hAnsi="CESI仿宋-GB2312" w:eastAsia="CESI仿宋-GB2312" w:cs="CESI仿宋-GB2312"/>
          <w:b w:val="0"/>
          <w:bCs w:val="0"/>
        </w:rPr>
        <w:t>般公共预算财政拨款支出决算明细表</w:t>
      </w:r>
      <w:bookmarkEnd w:id="58"/>
    </w:p>
    <w:p>
      <w:pPr>
        <w:pStyle w:val="4"/>
        <w:rPr>
          <w:rFonts w:hint="eastAsia" w:ascii="CESI仿宋-GB2312" w:hAnsi="CESI仿宋-GB2312" w:eastAsia="CESI仿宋-GB2312" w:cs="CESI仿宋-GB2312"/>
        </w:rPr>
      </w:pPr>
      <w:bookmarkStart w:id="59" w:name="_Toc15396626"/>
      <w:r>
        <w:rPr>
          <w:rStyle w:val="28"/>
          <w:rFonts w:hint="eastAsia" w:ascii="CESI仿宋-GB2312" w:hAnsi="CESI仿宋-GB2312" w:eastAsia="CESI仿宋-GB2312" w:cs="CESI仿宋-GB2312"/>
          <w:b w:val="0"/>
          <w:bCs w:val="0"/>
        </w:rPr>
        <w:t>八、</w:t>
      </w:r>
      <w:r>
        <w:rPr>
          <w:rFonts w:hint="eastAsia" w:ascii="CESI仿宋-GB2312" w:hAnsi="CESI仿宋-GB2312" w:eastAsia="CESI仿宋-GB2312" w:cs="CESI仿宋-GB2312"/>
          <w:b w:val="0"/>
        </w:rPr>
        <w:t>一</w:t>
      </w:r>
      <w:r>
        <w:rPr>
          <w:rStyle w:val="28"/>
          <w:rFonts w:hint="eastAsia" w:ascii="CESI仿宋-GB2312" w:hAnsi="CESI仿宋-GB2312" w:eastAsia="CESI仿宋-GB2312" w:cs="CESI仿宋-GB2312"/>
          <w:b w:val="0"/>
          <w:bCs w:val="0"/>
        </w:rPr>
        <w:t>般公共预算财政拨款基本支出决算表</w:t>
      </w:r>
      <w:bookmarkEnd w:id="59"/>
    </w:p>
    <w:p>
      <w:pPr>
        <w:pStyle w:val="4"/>
        <w:rPr>
          <w:rFonts w:hint="eastAsia" w:ascii="CESI仿宋-GB2312" w:hAnsi="CESI仿宋-GB2312" w:eastAsia="CESI仿宋-GB2312" w:cs="CESI仿宋-GB2312"/>
        </w:rPr>
      </w:pPr>
      <w:bookmarkStart w:id="60" w:name="_Toc15396627"/>
      <w:r>
        <w:rPr>
          <w:rStyle w:val="28"/>
          <w:rFonts w:hint="eastAsia" w:ascii="CESI仿宋-GB2312" w:hAnsi="CESI仿宋-GB2312" w:eastAsia="CESI仿宋-GB2312" w:cs="CESI仿宋-GB2312"/>
          <w:b w:val="0"/>
          <w:bCs w:val="0"/>
        </w:rPr>
        <w:t>九、</w:t>
      </w:r>
      <w:r>
        <w:rPr>
          <w:rFonts w:hint="eastAsia" w:ascii="CESI仿宋-GB2312" w:hAnsi="CESI仿宋-GB2312" w:eastAsia="CESI仿宋-GB2312" w:cs="CESI仿宋-GB2312"/>
          <w:b w:val="0"/>
        </w:rPr>
        <w:t>一</w:t>
      </w:r>
      <w:r>
        <w:rPr>
          <w:rStyle w:val="28"/>
          <w:rFonts w:hint="eastAsia" w:ascii="CESI仿宋-GB2312" w:hAnsi="CESI仿宋-GB2312" w:eastAsia="CESI仿宋-GB2312" w:cs="CESI仿宋-GB2312"/>
          <w:b w:val="0"/>
          <w:bCs w:val="0"/>
        </w:rPr>
        <w:t>般公共预算财政拨款项目支出决算表</w:t>
      </w:r>
      <w:bookmarkEnd w:id="60"/>
    </w:p>
    <w:p>
      <w:pPr>
        <w:pStyle w:val="4"/>
        <w:rPr>
          <w:rFonts w:hint="eastAsia" w:ascii="CESI仿宋-GB2312" w:hAnsi="CESI仿宋-GB2312" w:eastAsia="CESI仿宋-GB2312" w:cs="CESI仿宋-GB2312"/>
        </w:rPr>
      </w:pPr>
      <w:bookmarkStart w:id="61" w:name="_Toc15396628"/>
      <w:r>
        <w:rPr>
          <w:rStyle w:val="28"/>
          <w:rFonts w:hint="eastAsia" w:ascii="CESI仿宋-GB2312" w:hAnsi="CESI仿宋-GB2312" w:eastAsia="CESI仿宋-GB2312" w:cs="CESI仿宋-GB2312"/>
          <w:b w:val="0"/>
          <w:bCs w:val="0"/>
        </w:rPr>
        <w:t>十、</w:t>
      </w:r>
      <w:bookmarkEnd w:id="61"/>
      <w:r>
        <w:rPr>
          <w:rFonts w:hint="eastAsia" w:ascii="CESI仿宋-GB2312" w:hAnsi="CESI仿宋-GB2312" w:eastAsia="CESI仿宋-GB2312" w:cs="CESI仿宋-GB2312"/>
          <w:b w:val="0"/>
        </w:rPr>
        <w:t>政</w:t>
      </w:r>
      <w:r>
        <w:rPr>
          <w:rStyle w:val="28"/>
          <w:rFonts w:hint="eastAsia" w:ascii="CESI仿宋-GB2312" w:hAnsi="CESI仿宋-GB2312" w:eastAsia="CESI仿宋-GB2312" w:cs="CESI仿宋-GB2312"/>
          <w:b w:val="0"/>
          <w:bCs w:val="0"/>
        </w:rPr>
        <w:t>府性基金预算财政拨款收入支出决算表</w:t>
      </w:r>
    </w:p>
    <w:p>
      <w:pPr>
        <w:pStyle w:val="4"/>
        <w:rPr>
          <w:rFonts w:hint="eastAsia" w:ascii="CESI仿宋-GB2312" w:hAnsi="CESI仿宋-GB2312" w:eastAsia="CESI仿宋-GB2312" w:cs="CESI仿宋-GB2312"/>
        </w:rPr>
      </w:pPr>
      <w:bookmarkStart w:id="62" w:name="_Toc15396629"/>
      <w:r>
        <w:rPr>
          <w:rStyle w:val="28"/>
          <w:rFonts w:hint="eastAsia" w:ascii="CESI仿宋-GB2312" w:hAnsi="CESI仿宋-GB2312" w:eastAsia="CESI仿宋-GB2312" w:cs="CESI仿宋-GB2312"/>
          <w:b w:val="0"/>
          <w:bCs w:val="0"/>
        </w:rPr>
        <w:t>十一、</w:t>
      </w:r>
      <w:bookmarkEnd w:id="62"/>
      <w:r>
        <w:rPr>
          <w:rFonts w:hint="eastAsia" w:ascii="CESI仿宋-GB2312" w:hAnsi="CESI仿宋-GB2312" w:eastAsia="CESI仿宋-GB2312" w:cs="CESI仿宋-GB2312"/>
          <w:b w:val="0"/>
        </w:rPr>
        <w:t>国</w:t>
      </w:r>
      <w:r>
        <w:rPr>
          <w:rStyle w:val="28"/>
          <w:rFonts w:hint="eastAsia" w:ascii="CESI仿宋-GB2312" w:hAnsi="CESI仿宋-GB2312" w:eastAsia="CESI仿宋-GB2312" w:cs="CESI仿宋-GB2312"/>
          <w:b w:val="0"/>
          <w:bCs w:val="0"/>
        </w:rPr>
        <w:t>有资本经营预算财政拨款收入支出决算表</w:t>
      </w:r>
    </w:p>
    <w:p>
      <w:pPr>
        <w:pStyle w:val="4"/>
        <w:rPr>
          <w:rFonts w:hint="eastAsia" w:ascii="CESI仿宋-GB2312" w:hAnsi="CESI仿宋-GB2312" w:eastAsia="CESI仿宋-GB2312" w:cs="CESI仿宋-GB2312"/>
        </w:rPr>
      </w:pPr>
      <w:bookmarkStart w:id="63" w:name="_Toc15396630"/>
      <w:r>
        <w:rPr>
          <w:rStyle w:val="28"/>
          <w:rFonts w:hint="eastAsia" w:ascii="CESI仿宋-GB2312" w:hAnsi="CESI仿宋-GB2312" w:eastAsia="CESI仿宋-GB2312" w:cs="CESI仿宋-GB2312"/>
          <w:b w:val="0"/>
          <w:bCs w:val="0"/>
        </w:rPr>
        <w:t>十二、</w:t>
      </w:r>
      <w:bookmarkEnd w:id="63"/>
      <w:r>
        <w:rPr>
          <w:rStyle w:val="28"/>
          <w:rFonts w:hint="eastAsia" w:ascii="CESI仿宋-GB2312" w:hAnsi="CESI仿宋-GB2312" w:eastAsia="CESI仿宋-GB2312" w:cs="CESI仿宋-GB2312"/>
          <w:b w:val="0"/>
          <w:bCs w:val="0"/>
        </w:rPr>
        <w:t>国有资本经营预算财政拨款支出决算表</w:t>
      </w:r>
    </w:p>
    <w:p>
      <w:pPr>
        <w:pStyle w:val="2"/>
        <w:rPr>
          <w:rStyle w:val="28"/>
          <w:rFonts w:hint="eastAsia" w:ascii="CESI仿宋-GB2312" w:hAnsi="CESI仿宋-GB2312" w:eastAsia="CESI仿宋-GB2312" w:cs="CESI仿宋-GB2312"/>
          <w:b w:val="0"/>
          <w:bCs w:val="0"/>
          <w:lang w:eastAsia="zh-CN"/>
        </w:rPr>
      </w:pPr>
      <w:bookmarkStart w:id="64" w:name="_Toc15396631"/>
      <w:r>
        <w:rPr>
          <w:rStyle w:val="28"/>
          <w:rFonts w:hint="eastAsia" w:ascii="CESI仿宋-GB2312" w:hAnsi="CESI仿宋-GB2312" w:eastAsia="CESI仿宋-GB2312" w:cs="CESI仿宋-GB2312"/>
          <w:b w:val="0"/>
          <w:bCs w:val="0"/>
        </w:rPr>
        <w:t>十三、</w:t>
      </w:r>
      <w:bookmarkEnd w:id="64"/>
      <w:r>
        <w:rPr>
          <w:rStyle w:val="28"/>
          <w:rFonts w:hint="eastAsia" w:ascii="CESI仿宋-GB2312" w:hAnsi="CESI仿宋-GB2312" w:eastAsia="CESI仿宋-GB2312" w:cs="CESI仿宋-GB2312"/>
          <w:b w:val="0"/>
          <w:bCs w:val="0"/>
        </w:rPr>
        <w:t>财政拨款“三公”经费支出决算表</w:t>
      </w:r>
    </w:p>
    <w:sectPr>
      <w:footerReference r:id="rId11" w:type="first"/>
      <w:footerReference r:id="rId10" w:type="default"/>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2000000000000000000"/>
    <w:charset w:val="86"/>
    <w:family w:val="script"/>
    <w:pitch w:val="default"/>
    <w:sig w:usb0="00000000" w:usb1="00000000" w:usb2="00000012"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eastAsia="宋体"/>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pPr>
                      <w:pStyle w:val="9"/>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eastAsia="宋体"/>
        <w:lang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eastAsia="宋体"/>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 w:val="18"/>
        <w:lang w:val="en-US" w:eastAsia="zh-CN"/>
      </w:rPr>
      <w:t>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default"/>
        <w:lang w:val="en-US"/>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lang w:eastAsia="zh-CN"/>
      </w:rPr>
      <w:tab/>
    </w:r>
    <w:r>
      <w:rPr>
        <w:rFonts w:hint="eastAsia"/>
        <w:lang w:val="en-US" w:eastAsia="zh-CN"/>
      </w:rPr>
      <w:t>2</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22BA3391"/>
    <w:multiLevelType w:val="singleLevel"/>
    <w:tmpl w:val="22BA3391"/>
    <w:lvl w:ilvl="0" w:tentative="0">
      <w:start w:val="1"/>
      <w:numFmt w:val="chineseCounting"/>
      <w:suff w:val="space"/>
      <w:lvlText w:val="第%1部分"/>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yYzU4YTIzZGYzZTZjOTI2ZDgyODI2MDhhMjk4NWMifQ=="/>
    <w:docVar w:name="KSO_WPS_MARK_KEY" w:val="dc8985c5-7fc6-4783-8aa0-7706c1233726"/>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1252A1"/>
    <w:rsid w:val="03DC2831"/>
    <w:rsid w:val="081B5E94"/>
    <w:rsid w:val="0A2032A3"/>
    <w:rsid w:val="0B8A37D8"/>
    <w:rsid w:val="0F5FFB2F"/>
    <w:rsid w:val="0FFFCF60"/>
    <w:rsid w:val="10C055FF"/>
    <w:rsid w:val="118107EC"/>
    <w:rsid w:val="11DD6519"/>
    <w:rsid w:val="125402F4"/>
    <w:rsid w:val="16BB723D"/>
    <w:rsid w:val="18015F3F"/>
    <w:rsid w:val="1B155DAE"/>
    <w:rsid w:val="1BE8440E"/>
    <w:rsid w:val="1D155CEE"/>
    <w:rsid w:val="1FDBBF84"/>
    <w:rsid w:val="20F57F95"/>
    <w:rsid w:val="2193312F"/>
    <w:rsid w:val="22941CAE"/>
    <w:rsid w:val="240371BF"/>
    <w:rsid w:val="25711CC6"/>
    <w:rsid w:val="25C741E6"/>
    <w:rsid w:val="276F80C0"/>
    <w:rsid w:val="27842671"/>
    <w:rsid w:val="29FD04D3"/>
    <w:rsid w:val="2ABE7A3E"/>
    <w:rsid w:val="2AFF09B6"/>
    <w:rsid w:val="2B0231C1"/>
    <w:rsid w:val="2CA234A8"/>
    <w:rsid w:val="2D6662AC"/>
    <w:rsid w:val="2EFA178C"/>
    <w:rsid w:val="2EFDF86C"/>
    <w:rsid w:val="2F9D17E1"/>
    <w:rsid w:val="309D05CD"/>
    <w:rsid w:val="30B46D73"/>
    <w:rsid w:val="319F7F4E"/>
    <w:rsid w:val="32221084"/>
    <w:rsid w:val="356A28F1"/>
    <w:rsid w:val="357C035A"/>
    <w:rsid w:val="368E000D"/>
    <w:rsid w:val="383D272C"/>
    <w:rsid w:val="39AE70AB"/>
    <w:rsid w:val="3A1B1F34"/>
    <w:rsid w:val="3A4DCE41"/>
    <w:rsid w:val="3BCB56FA"/>
    <w:rsid w:val="3C0C0783"/>
    <w:rsid w:val="3C5C17B8"/>
    <w:rsid w:val="3EE7C2F4"/>
    <w:rsid w:val="3F371B56"/>
    <w:rsid w:val="3F792ED8"/>
    <w:rsid w:val="3F9F3A96"/>
    <w:rsid w:val="3FECA4B2"/>
    <w:rsid w:val="3FF58C48"/>
    <w:rsid w:val="3FFA719D"/>
    <w:rsid w:val="422C5607"/>
    <w:rsid w:val="42FF6694"/>
    <w:rsid w:val="45BB0C1B"/>
    <w:rsid w:val="47BE4F54"/>
    <w:rsid w:val="485765F8"/>
    <w:rsid w:val="48BF60AB"/>
    <w:rsid w:val="493C27E9"/>
    <w:rsid w:val="496F39ED"/>
    <w:rsid w:val="49FF41D3"/>
    <w:rsid w:val="4BE068DB"/>
    <w:rsid w:val="4BF6002B"/>
    <w:rsid w:val="4BFFC6BE"/>
    <w:rsid w:val="4C6F4AE2"/>
    <w:rsid w:val="4ECE2238"/>
    <w:rsid w:val="510A3141"/>
    <w:rsid w:val="51DB4B86"/>
    <w:rsid w:val="51F64DB0"/>
    <w:rsid w:val="55333C3E"/>
    <w:rsid w:val="5F1351E1"/>
    <w:rsid w:val="5F67802D"/>
    <w:rsid w:val="5F7DC4F2"/>
    <w:rsid w:val="5FB36814"/>
    <w:rsid w:val="5FBB8E56"/>
    <w:rsid w:val="5FFB5535"/>
    <w:rsid w:val="62CE0929"/>
    <w:rsid w:val="64CA39A1"/>
    <w:rsid w:val="65C97819"/>
    <w:rsid w:val="69630ADE"/>
    <w:rsid w:val="69BD5F13"/>
    <w:rsid w:val="69C935B8"/>
    <w:rsid w:val="69FB0B4B"/>
    <w:rsid w:val="6BFFE1FB"/>
    <w:rsid w:val="6C4A05C8"/>
    <w:rsid w:val="6D3B1A89"/>
    <w:rsid w:val="6D9D7236"/>
    <w:rsid w:val="6DB7D8A3"/>
    <w:rsid w:val="6EC78701"/>
    <w:rsid w:val="6EFC1333"/>
    <w:rsid w:val="6F7A5481"/>
    <w:rsid w:val="6FFE07A9"/>
    <w:rsid w:val="71BF4EC2"/>
    <w:rsid w:val="72734D90"/>
    <w:rsid w:val="73E75B71"/>
    <w:rsid w:val="7412278C"/>
    <w:rsid w:val="75DDCDA9"/>
    <w:rsid w:val="75FF44B1"/>
    <w:rsid w:val="764F12E9"/>
    <w:rsid w:val="77670518"/>
    <w:rsid w:val="777FA627"/>
    <w:rsid w:val="77DF1B5F"/>
    <w:rsid w:val="77EF2D9D"/>
    <w:rsid w:val="79984D55"/>
    <w:rsid w:val="79E7B28D"/>
    <w:rsid w:val="7ACFF0C2"/>
    <w:rsid w:val="7AFB9108"/>
    <w:rsid w:val="7BD5340C"/>
    <w:rsid w:val="7BFB19D2"/>
    <w:rsid w:val="7BFD1750"/>
    <w:rsid w:val="7BFDAA1B"/>
    <w:rsid w:val="7C0F4956"/>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EF92ED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字符"/>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字符"/>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字符"/>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字符"/>
    <w:basedOn w:val="15"/>
    <w:link w:val="3"/>
    <w:qFormat/>
    <w:uiPriority w:val="9"/>
    <w:rPr>
      <w:rFonts w:ascii="Times New Roman" w:hAnsi="Times New Roman"/>
      <w:b/>
      <w:bCs/>
      <w:kern w:val="44"/>
      <w:sz w:val="44"/>
      <w:szCs w:val="44"/>
    </w:rPr>
  </w:style>
  <w:style w:type="character" w:customStyle="1" w:styleId="28">
    <w:name w:val="标题 2 字符"/>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字符"/>
    <w:basedOn w:val="15"/>
    <w:link w:val="8"/>
    <w:semiHidden/>
    <w:qFormat/>
    <w:uiPriority w:val="99"/>
    <w:rPr>
      <w:rFonts w:ascii="Times New Roman" w:hAnsi="Times New Roman"/>
      <w:kern w:val="2"/>
      <w:sz w:val="18"/>
      <w:szCs w:val="18"/>
    </w:rPr>
  </w:style>
  <w:style w:type="character" w:customStyle="1" w:styleId="31">
    <w:name w:val="标题 3 字符"/>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标题 2 Char"/>
    <w:basedOn w:val="15"/>
    <w:link w:val="4"/>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chart" Target="charts/chart6.xml"/><Relationship Id="rId17" Type="http://schemas.openxmlformats.org/officeDocument/2006/relationships/chart" Target="charts/chart5.xml"/><Relationship Id="rId16" Type="http://schemas.openxmlformats.org/officeDocument/2006/relationships/chart" Target="charts/chart4.xml"/><Relationship Id="rId15" Type="http://schemas.openxmlformats.org/officeDocument/2006/relationships/chart" Target="charts/chart3.xml"/><Relationship Id="rId14" Type="http://schemas.openxmlformats.org/officeDocument/2006/relationships/chart" Target="charts/chart2.xml"/><Relationship Id="rId13" Type="http://schemas.openxmlformats.org/officeDocument/2006/relationships/chart" Target="charts/chart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22270;&#34920;%20&#22312;%202022&#24180;&#24230;&#30416;&#36793;&#21439;&#32418;&#23453;&#33495;&#26063;&#24413;&#26063;&#20065;&#21355;&#29983;&#38498;&#21333;&#20301;&#20915;&#31639;&#20844;&#24320;.doc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2270;&#34920;%20&#22312;%202022&#24180;&#24230;&#30416;&#36793;&#21439;&#32418;&#23453;&#33495;&#26063;&#24413;&#26063;&#20065;&#21355;&#29983;&#38498;&#21333;&#20301;&#20915;&#31639;&#20844;&#24320;.doc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22270;&#34920;%20&#22312;%202022&#24180;&#24230;&#30416;&#36793;&#21439;&#32418;&#23453;&#33495;&#26063;&#24413;&#26063;&#20065;&#21355;&#29983;&#38498;&#21333;&#20301;&#20915;&#31639;&#20844;&#24320;.doc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22270;&#34920;%20&#22312;%202022&#24180;&#24230;&#30416;&#36793;&#21439;&#32418;&#23453;&#33495;&#26063;&#24413;&#26063;&#20065;&#21355;&#29983;&#38498;&#21333;&#20301;&#20915;&#31639;&#20844;&#24320;.docx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22270;&#34920;%20&#22312;%202022&#24180;&#24230;&#30416;&#36793;&#21439;&#32418;&#23453;&#33495;&#26063;&#24413;&#26063;&#20065;&#21355;&#29983;&#38498;&#21333;&#20301;&#20915;&#31639;&#20844;&#24320;.doc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22270;&#34920;%20&#22312;%202022&#24180;&#24230;&#30416;&#36793;&#21439;&#32418;&#23453;&#33495;&#26063;&#24413;&#26063;&#20065;&#21355;&#29983;&#38498;&#21333;&#20301;&#20915;&#31639;&#20844;&#24320;.doc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'[图表 在 2022年度盐边县红宝苗族彝族乡卫生院单位决算公开.docx]Sheet1'!$B$3</c:f>
              <c:strCache>
                <c:ptCount val="1"/>
                <c:pt idx="0">
                  <c:v>2022年</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1"/>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2022年度盐边县红宝苗族彝族乡卫生院单位决算公开.docx]Sheet1'!$C$2:$D$2</c:f>
              <c:strCache>
                <c:ptCount val="2"/>
                <c:pt idx="0">
                  <c:v>总收入</c:v>
                </c:pt>
                <c:pt idx="1">
                  <c:v>总支出</c:v>
                </c:pt>
              </c:strCache>
            </c:strRef>
          </c:cat>
          <c:val>
            <c:numRef>
              <c:f>[00a3a7331]Sheet1!$C$3:$D$3</c:f>
              <c:numCache>
                <c:formatCode>General</c:formatCode>
                <c:ptCount val="2"/>
                <c:pt idx="0">
                  <c:v>171.27</c:v>
                </c:pt>
                <c:pt idx="1">
                  <c:v>171.27</c:v>
                </c:pt>
              </c:numCache>
            </c:numRef>
          </c:val>
        </c:ser>
        <c:ser>
          <c:idx val="1"/>
          <c:order val="1"/>
          <c:tx>
            <c:strRef>
              <c:f>'[图表 在 2022年度盐边县红宝苗族彝族乡卫生院单位决算公开.docx]Sheet1'!$B$4</c:f>
              <c:strCache>
                <c:ptCount val="1"/>
                <c:pt idx="0">
                  <c:v>2023年</c:v>
                </c:pt>
              </c:strCache>
            </c:strRef>
          </c:tx>
          <c:spPr>
            <a:solidFill>
              <a:srgbClr val="993366">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1"/>
              <c:layout>
                <c:manualLayout>
                  <c:x val="0.0112935208161015"/>
                  <c:y val="0.00973506466984348"/>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2022年度盐边县红宝苗族彝族乡卫生院单位决算公开.docx]Sheet1'!$C$2:$D$2</c:f>
              <c:strCache>
                <c:ptCount val="2"/>
                <c:pt idx="0">
                  <c:v>总收入</c:v>
                </c:pt>
                <c:pt idx="1">
                  <c:v>总支出</c:v>
                </c:pt>
              </c:strCache>
            </c:strRef>
          </c:cat>
          <c:val>
            <c:numRef>
              <c:f>'[图表 在 2022年度盐边县红宝苗族彝族乡卫生院单位决算公开.docx]Sheet1'!$C$4:$D$4</c:f>
              <c:numCache>
                <c:formatCode>General</c:formatCode>
                <c:ptCount val="2"/>
                <c:pt idx="0">
                  <c:v>171.87</c:v>
                </c:pt>
                <c:pt idx="1">
                  <c:v>171.87</c:v>
                </c:pt>
              </c:numCache>
            </c:numRef>
          </c:val>
        </c:ser>
        <c:dLbls>
          <c:showLegendKey val="0"/>
          <c:showVal val="0"/>
          <c:showCatName val="0"/>
          <c:showSerName val="0"/>
          <c:showPercent val="0"/>
          <c:showBubbleSize val="0"/>
        </c:dLbls>
        <c:gapWidth val="150"/>
        <c:overlap val="0"/>
        <c:axId val="193337349"/>
        <c:axId val="761909900"/>
      </c:barChart>
      <c:catAx>
        <c:axId val="193337349"/>
        <c:scaling>
          <c:orientation val="minMax"/>
        </c:scaling>
        <c:delete val="0"/>
        <c:axPos val="b"/>
        <c:majorTickMark val="in"/>
        <c:minorTickMark val="none"/>
        <c:tickLblPos val="nextTo"/>
        <c:spPr>
          <a:ln w="12700"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61909900"/>
        <c:crosses val="autoZero"/>
        <c:auto val="1"/>
        <c:lblAlgn val="ctr"/>
        <c:lblOffset val="100"/>
        <c:tickLblSkip val="1"/>
        <c:noMultiLvlLbl val="0"/>
      </c:catAx>
      <c:valAx>
        <c:axId val="761909900"/>
        <c:scaling>
          <c:orientation val="minMax"/>
        </c:scaling>
        <c:delete val="0"/>
        <c:axPos val="l"/>
        <c:numFmt formatCode="General" sourceLinked="1"/>
        <c:majorTickMark val="in"/>
        <c:minorTickMark val="none"/>
        <c:tickLblPos val="nextTo"/>
        <c:spPr>
          <a:ln w="12700"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93337349"/>
        <c:crosses val="autoZero"/>
        <c:crossBetween val="between"/>
      </c:valAx>
      <c:spPr>
        <a:noFill/>
        <a:ln w="3175">
          <a:noFill/>
        </a:ln>
      </c:spPr>
    </c:plotArea>
    <c:legend>
      <c:legendPos val="r"/>
      <c:layout>
        <c:manualLayout>
          <c:xMode val="edge"/>
          <c:yMode val="edge"/>
          <c:x val="0.827"/>
          <c:y val="0.38525"/>
          <c:w val="0.16425"/>
          <c:h val="0.162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44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title>
    <c:autoTitleDeleted val="0"/>
    <c:plotArea>
      <c:layout/>
      <c:pieChart>
        <c:varyColors val="1"/>
        <c:ser>
          <c:idx val="0"/>
          <c:order val="0"/>
          <c:tx>
            <c:strRef>
              <c:f>'[图表 在 2022年度盐边县红宝苗族彝族乡卫生院单位决算公开.docx]Sheet1'!$B$3</c:f>
              <c:strCache>
                <c:ptCount val="1"/>
                <c:pt idx="0">
                  <c:v>2023年</c:v>
                </c:pt>
              </c:strCache>
            </c:strRef>
          </c:tx>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3175">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Lbls>
            <c:dLbl>
              <c:idx val="0"/>
              <c:layout>
                <c:manualLayout>
                  <c:x val="-0.836642496550663"/>
                  <c:y val="-0.356800454206973"/>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302517482850038"/>
                  <c:y val="0.161083549616135"/>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showLeaderLines val="0"/>
            <c:extLst>
              <c:ext xmlns:c15="http://schemas.microsoft.com/office/drawing/2012/chart" uri="{CE6537A1-D6FC-4f65-9D91-7224C49458BB}">
                <c15:layout/>
                <c15:showLeaderLines val="0"/>
                <c15:leaderLines/>
              </c:ext>
            </c:extLst>
          </c:dLbls>
          <c:cat>
            <c:strRef>
              <c:f>'[图表 在 2022年度盐边县红宝苗族彝族乡卫生院单位决算公开.docx]Sheet1'!$C$2:$D$2</c:f>
              <c:strCache>
                <c:ptCount val="2"/>
                <c:pt idx="0">
                  <c:v>一般公共预算财政拨款</c:v>
                </c:pt>
                <c:pt idx="1">
                  <c:v>事业收入</c:v>
                </c:pt>
              </c:strCache>
            </c:strRef>
          </c:cat>
          <c:val>
            <c:numRef>
              <c:f>'[图表 在 2022年度盐边县红宝苗族彝族乡卫生院单位决算公开.docx]Sheet1'!$C$3:$D$3</c:f>
              <c:numCache>
                <c:formatCode>General</c:formatCode>
                <c:ptCount val="2"/>
                <c:pt idx="0">
                  <c:v>166.66</c:v>
                </c:pt>
                <c:pt idx="1">
                  <c:v>0.04</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658"/>
          <c:y val="0.34725"/>
          <c:w val="0.33325"/>
          <c:h val="0.3055"/>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1" i="0" u="none" strike="noStrike" kern="1200" baseline="0">
                <a:solidFill>
                  <a:srgbClr val="993300">
                    <a:alpha val="100000"/>
                  </a:srgbClr>
                </a:solidFill>
                <a:latin typeface="宋体" panose="02010600030101010101" charset="-122"/>
                <a:ea typeface="宋体" panose="02010600030101010101" charset="-122"/>
                <a:cs typeface="宋体" panose="02010600030101010101" charset="-122"/>
              </a:defRPr>
            </a:pPr>
            <a:r>
              <a:t>202</a:t>
            </a:r>
            <a:r>
              <a:rPr lang="en-US" altLang="zh-CN"/>
              <a:t>3</a:t>
            </a:r>
            <a:r>
              <a:t>年总支出</a:t>
            </a:r>
            <a:endParaRPr sz="1200" b="1" i="0" u="none" strike="noStrike" baseline="0">
              <a:solidFill>
                <a:srgbClr val="9933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tx>
            <c:strRef>
              <c:f>'[图表 在 2022年度盐边县红宝苗族彝族乡卫生院单位决算公开.docx]Sheet1'!$B$3</c:f>
              <c:strCache>
                <c:ptCount val="1"/>
                <c:pt idx="0">
                  <c:v>2023年总支出</c:v>
                </c:pt>
              </c:strCache>
            </c:strRef>
          </c:tx>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panose="02010600030101010101" charset="-122"/>
                      <a:ea typeface="宋体" panose="02010600030101010101" charset="-122"/>
                      <a:cs typeface="宋体" panose="02010600030101010101" charset="-122"/>
                    </a:defRPr>
                  </a:pPr>
                </a:p>
              </c:txPr>
              <c:dLblPos val="bestFit"/>
              <c:showLegendKey val="0"/>
              <c:showVal val="1"/>
              <c:showCatName val="1"/>
              <c:showSerName val="0"/>
              <c:showPercent val="0"/>
              <c:showBubbleSize val="0"/>
              <c:extLst>
                <c:ext xmlns:c15="http://schemas.microsoft.com/office/drawing/2012/chart" uri="{CE6537A1-D6FC-4f65-9D91-7224C49458BB}"/>
              </c:extLst>
            </c:dLbl>
            <c:dLbl>
              <c:idx val="1"/>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panose="02010600030101010101" charset="-122"/>
                      <a:ea typeface="宋体" panose="02010600030101010101" charset="-122"/>
                      <a:cs typeface="宋体" panose="02010600030101010101" charset="-122"/>
                    </a:defRPr>
                  </a:pPr>
                </a:p>
              </c:txPr>
              <c:dLblPos val="bestFit"/>
              <c:showLegendKey val="0"/>
              <c:showVal val="1"/>
              <c:showCatName val="1"/>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panose="02010600030101010101" charset="-122"/>
                    <a:ea typeface="宋体" panose="02010600030101010101" charset="-122"/>
                    <a:cs typeface="宋体" panose="02010600030101010101" charset="-122"/>
                  </a:defRPr>
                </a:pPr>
              </a:p>
            </c:txPr>
            <c:dLblPos val="bestFit"/>
            <c:showLegendKey val="0"/>
            <c:showVal val="1"/>
            <c:showCatName val="1"/>
            <c:showSerName val="0"/>
            <c:showPercent val="0"/>
            <c:showBubbleSize val="0"/>
            <c:showLeaderLines val="0"/>
            <c:extLst>
              <c:ext xmlns:c15="http://schemas.microsoft.com/office/drawing/2012/chart" uri="{CE6537A1-D6FC-4f65-9D91-7224C49458BB}">
                <c15:layout/>
                <c15:showLeaderLines val="0"/>
                <c15:leaderLines/>
              </c:ext>
            </c:extLst>
          </c:dLbls>
          <c:cat>
            <c:strRef>
              <c:f>'[图表 在 2022年度盐边县红宝苗族彝族乡卫生院单位决算公开.docx]Sheet1'!$C$2:$D$2</c:f>
              <c:strCache>
                <c:ptCount val="2"/>
                <c:pt idx="0">
                  <c:v>基本支出</c:v>
                </c:pt>
                <c:pt idx="1">
                  <c:v>项目支出</c:v>
                </c:pt>
              </c:strCache>
            </c:strRef>
          </c:cat>
          <c:val>
            <c:numRef>
              <c:f>'[图表 在 2022年度盐边县红宝苗族彝族乡卫生院单位决算公开.docx]Sheet1'!$C$3:$D$3</c:f>
              <c:numCache>
                <c:formatCode>General</c:formatCode>
                <c:ptCount val="2"/>
                <c:pt idx="0">
                  <c:v>134.69</c:v>
                </c:pt>
                <c:pt idx="1">
                  <c:v>37.19</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793"/>
          <c:y val="0.476"/>
          <c:w val="0.19825"/>
          <c:h val="0.16275"/>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9933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'[图表 在 2022年度盐边县红宝苗族彝族乡卫生院单位决算公开.docx1]Sheet1'!$B$3</c:f>
              <c:strCache>
                <c:ptCount val="1"/>
                <c:pt idx="0">
                  <c:v>2022年</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1"/>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2022年度盐边县红宝苗族彝族乡卫生院单位决算公开.docx1]Sheet1'!$C$2:$D$2</c:f>
              <c:strCache>
                <c:ptCount val="2"/>
                <c:pt idx="0">
                  <c:v>财政拨款总收入</c:v>
                </c:pt>
                <c:pt idx="1">
                  <c:v>财政拨款总支出</c:v>
                </c:pt>
              </c:strCache>
            </c:strRef>
          </c:cat>
          <c:val>
            <c:numRef>
              <c:f>[00ab23861]Sheet1!$C$3:$D$3</c:f>
              <c:numCache>
                <c:formatCode>General</c:formatCode>
                <c:ptCount val="2"/>
                <c:pt idx="0">
                  <c:v>166.44</c:v>
                </c:pt>
                <c:pt idx="1">
                  <c:v>166.44</c:v>
                </c:pt>
              </c:numCache>
            </c:numRef>
          </c:val>
        </c:ser>
        <c:ser>
          <c:idx val="1"/>
          <c:order val="1"/>
          <c:tx>
            <c:strRef>
              <c:f>'[图表 在 2022年度盐边县红宝苗族彝族乡卫生院单位决算公开.docx1]Sheet1'!$B$4</c:f>
              <c:strCache>
                <c:ptCount val="1"/>
                <c:pt idx="0">
                  <c:v>2023年</c:v>
                </c:pt>
              </c:strCache>
            </c:strRef>
          </c:tx>
          <c:spPr>
            <a:solidFill>
              <a:srgbClr val="993366">
                <a:alpha val="100000"/>
              </a:srgbClr>
            </a:solidFill>
            <a:ln w="12700">
              <a:solidFill>
                <a:srgbClr val="000000">
                  <a:alpha val="100000"/>
                </a:srgbClr>
              </a:solidFill>
              <a:prstDash val="solid"/>
            </a:ln>
          </c:spPr>
          <c:invertIfNegative val="0"/>
          <c:dLbls>
            <c:dLbl>
              <c:idx val="0"/>
              <c:layout>
                <c:manualLayout>
                  <c:x val="0.0169402812241522"/>
                  <c:y val="0"/>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82338020402537"/>
                  <c:y val="-0.00645191740412978"/>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2022年度盐边县红宝苗族彝族乡卫生院单位决算公开.docx1]Sheet1'!$C$2:$D$2</c:f>
              <c:strCache>
                <c:ptCount val="2"/>
                <c:pt idx="0">
                  <c:v>财政拨款总收入</c:v>
                </c:pt>
                <c:pt idx="1">
                  <c:v>财政拨款总支出</c:v>
                </c:pt>
              </c:strCache>
            </c:strRef>
          </c:cat>
          <c:val>
            <c:numRef>
              <c:f>'[图表 在 2022年度盐边县红宝苗族彝族乡卫生院单位决算公开.docx1]Sheet1'!$C$4:$D$4</c:f>
              <c:numCache>
                <c:formatCode>General</c:formatCode>
                <c:ptCount val="2"/>
                <c:pt idx="0">
                  <c:v>166.63</c:v>
                </c:pt>
                <c:pt idx="1">
                  <c:v>166.63</c:v>
                </c:pt>
              </c:numCache>
            </c:numRef>
          </c:val>
        </c:ser>
        <c:dLbls>
          <c:showLegendKey val="0"/>
          <c:showVal val="0"/>
          <c:showCatName val="0"/>
          <c:showSerName val="0"/>
          <c:showPercent val="0"/>
          <c:showBubbleSize val="0"/>
        </c:dLbls>
        <c:gapWidth val="150"/>
        <c:overlap val="0"/>
        <c:axId val="825121714"/>
        <c:axId val="397229124"/>
      </c:barChart>
      <c:catAx>
        <c:axId val="825121714"/>
        <c:scaling>
          <c:orientation val="minMax"/>
        </c:scaling>
        <c:delete val="0"/>
        <c:axPos val="b"/>
        <c:majorTickMark val="in"/>
        <c:minorTickMark val="none"/>
        <c:tickLblPos val="nextTo"/>
        <c:spPr>
          <a:ln w="12700" cap="flat" cmpd="sng" algn="ctr">
            <a:solidFill>
              <a:srgbClr val="8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397229124"/>
        <c:crosses val="autoZero"/>
        <c:auto val="1"/>
        <c:lblAlgn val="ctr"/>
        <c:lblOffset val="100"/>
        <c:tickLblSkip val="1"/>
        <c:noMultiLvlLbl val="0"/>
      </c:catAx>
      <c:valAx>
        <c:axId val="397229124"/>
        <c:scaling>
          <c:orientation val="minMax"/>
        </c:scaling>
        <c:delete val="0"/>
        <c:axPos val="l"/>
        <c:numFmt formatCode="General" sourceLinked="1"/>
        <c:majorTickMark val="in"/>
        <c:minorTickMark val="none"/>
        <c:tickLblPos val="nextTo"/>
        <c:spPr>
          <a:ln w="12700" cap="flat" cmpd="sng" algn="ctr">
            <a:solidFill>
              <a:srgbClr val="8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825121714"/>
        <c:crosses val="autoZero"/>
        <c:crossBetween val="between"/>
      </c:valAx>
      <c:spPr>
        <a:noFill/>
        <a:ln w="3175">
          <a:noFill/>
        </a:ln>
      </c:spPr>
    </c:plotArea>
    <c:legend>
      <c:legendPos val="r"/>
      <c:layout>
        <c:manualLayout>
          <c:xMode val="edge"/>
          <c:yMode val="edge"/>
          <c:x val="0.827"/>
          <c:y val="0.38525"/>
          <c:w val="0.16425"/>
          <c:h val="0.16275"/>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4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一般公共预算财政拨款支出决算变动情况</a:t>
            </a:r>
          </a:p>
        </c:rich>
      </c:tx>
      <c:layout>
        <c:manualLayout>
          <c:xMode val="edge"/>
          <c:yMode val="edge"/>
          <c:x val="0.148997528151607"/>
          <c:y val="0.0368678629690049"/>
        </c:manualLayout>
      </c:layout>
      <c:overlay val="0"/>
    </c:title>
    <c:autoTitleDeleted val="0"/>
    <c:plotArea>
      <c:layout/>
      <c:barChart>
        <c:barDir val="col"/>
        <c:grouping val="clustered"/>
        <c:varyColors val="0"/>
        <c:ser>
          <c:idx val="0"/>
          <c:order val="0"/>
          <c:tx>
            <c:strRef>
              <c:f>'[图表 在 2022年度盐边县红宝苗族彝族乡卫生院单位决算公开.docx]Sheet1'!$B$3</c:f>
              <c:strCache>
                <c:ptCount val="1"/>
                <c:pt idx="0">
                  <c:v>2022年</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[00b07c1d1]Sheet1!$C$2</c:f>
              <c:strCache>
                <c:ptCount val="1"/>
                <c:pt idx="0">
                  <c:v>一般公共预算财政拨款支出</c:v>
                </c:pt>
              </c:strCache>
            </c:strRef>
          </c:cat>
          <c:val>
            <c:numRef>
              <c:f>[00b07c1d1]Sheet1!$C$3</c:f>
              <c:numCache>
                <c:formatCode>General</c:formatCode>
                <c:ptCount val="1"/>
                <c:pt idx="0">
                  <c:v>166.44</c:v>
                </c:pt>
              </c:numCache>
            </c:numRef>
          </c:val>
        </c:ser>
        <c:ser>
          <c:idx val="1"/>
          <c:order val="1"/>
          <c:tx>
            <c:strRef>
              <c:f>'[图表 在 2022年度盐边县红宝苗族彝族乡卫生院单位决算公开.docx]Sheet1'!$B$4</c:f>
              <c:strCache>
                <c:ptCount val="1"/>
                <c:pt idx="0">
                  <c:v>2023年</c:v>
                </c:pt>
              </c:strCache>
            </c:strRef>
          </c:tx>
          <c:spPr>
            <a:solidFill>
              <a:srgbClr val="993366">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[00b07c1d1]Sheet1!$C$2</c:f>
              <c:strCache>
                <c:ptCount val="1"/>
                <c:pt idx="0">
                  <c:v>一般公共预算财政拨款支出</c:v>
                </c:pt>
              </c:strCache>
            </c:strRef>
          </c:cat>
          <c:val>
            <c:numRef>
              <c:f>'[图表 在 2022年度盐边县红宝苗族彝族乡卫生院单位决算公开.docx]Sheet1'!$C$4</c:f>
              <c:numCache>
                <c:formatCode>General</c:formatCode>
                <c:ptCount val="1"/>
                <c:pt idx="0">
                  <c:v>166.63</c:v>
                </c:pt>
              </c:numCache>
            </c:numRef>
          </c:val>
        </c:ser>
        <c:dLbls>
          <c:showLegendKey val="0"/>
          <c:showVal val="0"/>
          <c:showCatName val="0"/>
          <c:showSerName val="0"/>
          <c:showPercent val="0"/>
          <c:showBubbleSize val="0"/>
        </c:dLbls>
        <c:gapWidth val="150"/>
        <c:overlap val="0"/>
        <c:axId val="687333287"/>
        <c:axId val="326206170"/>
      </c:barChart>
      <c:catAx>
        <c:axId val="687333287"/>
        <c:scaling>
          <c:orientation val="minMax"/>
        </c:scaling>
        <c:delete val="0"/>
        <c:axPos val="b"/>
        <c:majorTickMark val="in"/>
        <c:minorTickMark val="none"/>
        <c:tickLblPos val="nextTo"/>
        <c:spPr>
          <a:ln w="12700" cap="flat" cmpd="sng" algn="ctr">
            <a:solidFill>
              <a:srgbClr val="8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326206170"/>
        <c:crosses val="autoZero"/>
        <c:auto val="1"/>
        <c:lblAlgn val="ctr"/>
        <c:lblOffset val="100"/>
        <c:tickLblSkip val="1"/>
        <c:noMultiLvlLbl val="0"/>
      </c:catAx>
      <c:valAx>
        <c:axId val="326206170"/>
        <c:scaling>
          <c:orientation val="minMax"/>
        </c:scaling>
        <c:delete val="0"/>
        <c:axPos val="l"/>
        <c:numFmt formatCode="General" sourceLinked="1"/>
        <c:majorTickMark val="in"/>
        <c:minorTickMark val="none"/>
        <c:tickLblPos val="nextTo"/>
        <c:spPr>
          <a:ln w="12700" cap="flat" cmpd="sng" algn="ctr">
            <a:solidFill>
              <a:srgbClr val="8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687333287"/>
        <c:crosses val="autoZero"/>
        <c:crossBetween val="between"/>
      </c:valAx>
      <c:spPr>
        <a:noFill/>
        <a:ln w="3175">
          <a:noFill/>
        </a:ln>
      </c:spPr>
    </c:plotArea>
    <c:legend>
      <c:legendPos val="r"/>
      <c:layout>
        <c:manualLayout>
          <c:xMode val="edge"/>
          <c:yMode val="edge"/>
          <c:x val="0.827"/>
          <c:y val="0.38525"/>
          <c:w val="0.16425"/>
          <c:h val="0.16275"/>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44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title>
    <c:autoTitleDeleted val="0"/>
    <c:plotArea>
      <c:layout/>
      <c:pieChart>
        <c:varyColors val="1"/>
        <c:ser>
          <c:idx val="0"/>
          <c:order val="0"/>
          <c:tx>
            <c:strRef>
              <c:f>'[图表 在 2022年度盐边县红宝苗族彝族乡卫生院单位决算公开.docx]Sheet1'!$B$3</c:f>
              <c:strCache>
                <c:ptCount val="1"/>
                <c:pt idx="0">
                  <c:v>一般公共预算财政拨款支出</c:v>
                </c:pt>
              </c:strCache>
            </c:strRef>
          </c:tx>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Lbl>
              <c:idx val="0"/>
              <c:layout>
                <c:manualLayout>
                  <c:x val="0.0375388352544252"/>
                  <c:y val="0.181806929407604"/>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860448550928214"/>
                  <c:y val="-0.0989956958393113"/>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606521479637352"/>
                  <c:y val="0.105690420582148"/>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0"/>
              <c:showVal val="1"/>
              <c:showCatName val="1"/>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showLeaderLines val="0"/>
            <c:extLst>
              <c:ext xmlns:c15="http://schemas.microsoft.com/office/drawing/2012/chart" uri="{CE6537A1-D6FC-4f65-9D91-7224C49458BB}">
                <c15:layout/>
                <c15:showLeaderLines val="0"/>
                <c15:leaderLines/>
              </c:ext>
            </c:extLst>
          </c:dLbls>
          <c:cat>
            <c:strRef>
              <c:f>'[图表 在 2022年度盐边县红宝苗族彝族乡卫生院单位决算公开.docx]Sheet1'!$C$2:$E$2</c:f>
              <c:strCache>
                <c:ptCount val="3"/>
                <c:pt idx="0">
                  <c:v>社会保障和就业</c:v>
                </c:pt>
                <c:pt idx="1">
                  <c:v>卫生健康</c:v>
                </c:pt>
                <c:pt idx="2">
                  <c:v>住房保障</c:v>
                </c:pt>
              </c:strCache>
            </c:strRef>
          </c:cat>
          <c:val>
            <c:numRef>
              <c:f>'[图表 在 2022年度盐边县红宝苗族彝族乡卫生院单位决算公开.docx]Sheet1'!$C$3:$E$3</c:f>
              <c:numCache>
                <c:formatCode>General</c:formatCode>
                <c:ptCount val="3"/>
                <c:pt idx="0">
                  <c:v>20.88</c:v>
                </c:pt>
                <c:pt idx="1">
                  <c:v>135.61</c:v>
                </c:pt>
                <c:pt idx="2">
                  <c:v>10.13</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69075"/>
          <c:y val="0.38075"/>
          <c:w val="0.3005"/>
          <c:h val="0.238"/>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18</Pages>
  <Words>4926</Words>
  <Characters>5785</Characters>
  <Lines>54</Lines>
  <Paragraphs>15</Paragraphs>
  <TotalTime>4</TotalTime>
  <ScaleCrop>false</ScaleCrop>
  <LinksUpToDate>false</LinksUpToDate>
  <CharactersWithSpaces>5811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2020-08-08T09:49:00Z</dcterms:created>
  <dc:creator>曹颖</dc:creator>
  <cp:lastModifiedBy>Administrator</cp:lastModifiedBy>
  <cp:lastPrinted>2023-08-03T10:35:00Z</cp:lastPrinted>
  <dcterms:modified xsi:type="dcterms:W3CDTF">2024-10-27T02:17:12Z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0CC6C622CEB64DD485CF2F65A2AC8A92_12</vt:lpwstr>
  </property>
</Properties>
</file>