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1" w:name="_Toc15377193"/>
      <w:bookmarkStart w:id="2" w:name="_Toc15378441"/>
      <w:bookmarkStart w:id="3" w:name="_Toc15396597"/>
      <w:bookmarkStart w:id="4" w:name="_Toc15377425"/>
      <w:bookmarkStart w:id="5" w:name="_Toc15396475"/>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6" w:name="_Toc15377426"/>
      <w:bookmarkStart w:id="7" w:name="_Toc15396598"/>
      <w:bookmarkStart w:id="8" w:name="_Toc15306268"/>
      <w:bookmarkStart w:id="9" w:name="_Toc15378442"/>
      <w:bookmarkStart w:id="10" w:name="_Toc15377194"/>
      <w:bookmarkStart w:id="11" w:name="_Toc15396476"/>
      <w:r>
        <w:rPr>
          <w:rFonts w:hint="eastAsia" w:ascii="方正小标宋简体" w:hAnsi="方正小标宋简体" w:eastAsia="方正小标宋简体" w:cs="方正小标宋简体"/>
          <w:sz w:val="44"/>
          <w:szCs w:val="44"/>
          <w:lang w:eastAsia="zh-CN"/>
        </w:rPr>
        <w:t>盐边县文化馆</w:t>
      </w: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pPr>
        <w:widowControl/>
        <w:jc w:val="center"/>
        <w:rPr>
          <w:rFonts w:hint="eastAsia" w:ascii="黑体" w:hAnsi="黑体" w:eastAsia="黑体"/>
          <w:sz w:val="48"/>
          <w:szCs w:val="48"/>
        </w:rPr>
        <w:sectPr>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月</w:t>
      </w:r>
      <w:r>
        <w:rPr>
          <w:rFonts w:hint="eastAsia"/>
          <w:lang w:val="en-US" w:eastAsia="zh-CN"/>
        </w:rPr>
        <w:t>28</w:t>
      </w:r>
      <w:r>
        <w:rPr>
          <w:rFonts w:hint="eastAsia"/>
        </w:rPr>
        <w:t>日</w:t>
      </w:r>
    </w:p>
    <w:p/>
    <w:p>
      <w:pPr>
        <w:pStyle w:val="13"/>
        <w:adjustRightInd w:val="0"/>
        <w:snapToGrid w:val="0"/>
        <w:spacing w:before="0" w:line="440" w:lineRule="exact"/>
        <w:ind w:firstLine="480" w:firstLineChars="200"/>
        <w:jc w:val="left"/>
        <w:rPr>
          <w:rFonts w:hint="default" w:eastAsia="仿宋" w:cstheme="minorBidi"/>
          <w:sz w:val="24"/>
          <w:szCs w:val="24"/>
          <w:lang w:val="en-US" w:eastAsia="zh-CN"/>
        </w:rPr>
      </w:pPr>
      <w:r>
        <w:rPr>
          <w:rFonts w:hint="eastAsia"/>
          <w:sz w:val="24"/>
        </w:rPr>
        <w:t>第一部分</w:t>
      </w:r>
      <w:r>
        <w:rPr>
          <w:sz w:val="24"/>
        </w:rPr>
        <w:t xml:space="preserve"> </w:t>
      </w:r>
      <w:r>
        <w:rPr>
          <w:rFonts w:hint="eastAsia"/>
          <w:sz w:val="24"/>
        </w:rPr>
        <w:t>单位概况</w:t>
      </w:r>
      <w:r>
        <w:rPr>
          <w:rFonts w:hint="eastAsia"/>
          <w:sz w:val="24"/>
          <w:lang w:val="en-US" w:eastAsia="zh-CN"/>
        </w:rPr>
        <w:t>..............................................1</w:t>
      </w:r>
    </w:p>
    <w:p>
      <w:pPr>
        <w:pStyle w:val="14"/>
        <w:adjustRightInd w:val="0"/>
        <w:snapToGrid w:val="0"/>
        <w:spacing w:line="440" w:lineRule="exact"/>
        <w:jc w:val="left"/>
        <w:rPr>
          <w:rFonts w:hint="default" w:eastAsia="宋体"/>
          <w:sz w:val="24"/>
          <w:lang w:val="en-US" w:eastAsia="zh-CN"/>
        </w:rPr>
      </w:pPr>
      <w:r>
        <w:rPr>
          <w:rFonts w:hint="eastAsia"/>
          <w:sz w:val="24"/>
        </w:rPr>
        <w:t>一、主要职责</w:t>
      </w:r>
      <w:r>
        <w:rPr>
          <w:rFonts w:hint="eastAsia" w:ascii="仿宋" w:hAnsi="仿宋" w:eastAsia="仿宋" w:cs="仿宋"/>
          <w:sz w:val="24"/>
          <w:lang w:val="en-US" w:eastAsia="zh-CN"/>
        </w:rPr>
        <w:t>....................................................1</w:t>
      </w:r>
    </w:p>
    <w:p>
      <w:pPr>
        <w:pStyle w:val="14"/>
        <w:adjustRightInd w:val="0"/>
        <w:snapToGrid w:val="0"/>
        <w:spacing w:line="440" w:lineRule="exact"/>
        <w:jc w:val="left"/>
        <w:rPr>
          <w:rFonts w:hint="default" w:ascii="仿宋" w:hAnsi="仿宋" w:eastAsia="宋体" w:cs="仿宋"/>
          <w:lang w:val="en-US" w:eastAsia="zh-CN"/>
        </w:rPr>
      </w:pPr>
      <w:r>
        <w:rPr>
          <w:rFonts w:hint="eastAsia"/>
          <w:sz w:val="24"/>
        </w:rPr>
        <w:t>二、机构设置</w:t>
      </w:r>
      <w:r>
        <w:rPr>
          <w:rFonts w:hint="eastAsia" w:ascii="仿宋" w:hAnsi="仿宋" w:eastAsia="仿宋" w:cs="仿宋"/>
          <w:sz w:val="24"/>
          <w:lang w:val="en-US" w:eastAsia="zh-CN"/>
        </w:rPr>
        <w:t>....................................................1</w:t>
      </w:r>
    </w:p>
    <w:p>
      <w:pPr>
        <w:pStyle w:val="13"/>
        <w:adjustRightInd w:val="0"/>
        <w:snapToGrid w:val="0"/>
        <w:spacing w:before="0" w:line="440" w:lineRule="exact"/>
        <w:ind w:firstLine="480" w:firstLineChars="200"/>
        <w:jc w:val="left"/>
        <w:rPr>
          <w:rFonts w:hint="default" w:eastAsia="仿宋"/>
          <w:sz w:val="24"/>
          <w:szCs w:val="24"/>
          <w:lang w:val="en-US" w:eastAsia="zh-CN"/>
        </w:rPr>
      </w:pPr>
      <w:r>
        <w:rPr>
          <w:rFonts w:hint="eastAsia"/>
          <w:sz w:val="24"/>
        </w:rPr>
        <w:t>第二部分 2023年度单位决算情况说明</w:t>
      </w:r>
      <w:r>
        <w:rPr>
          <w:rFonts w:hint="eastAsia"/>
          <w:sz w:val="24"/>
          <w:lang w:val="en-US" w:eastAsia="zh-CN"/>
        </w:rPr>
        <w:t>..............................2</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ascii="仿宋" w:hAnsi="仿宋" w:eastAsia="仿宋" w:cs="仿宋"/>
          <w:sz w:val="24"/>
          <w:lang w:val="en-US" w:eastAsia="zh-CN"/>
        </w:rPr>
        <w:t>....................................2</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ascii="仿宋" w:hAnsi="仿宋" w:eastAsia="仿宋" w:cs="仿宋"/>
          <w:sz w:val="24"/>
          <w:lang w:val="en-US" w:eastAsia="zh-CN"/>
        </w:rPr>
        <w:t>............................................2</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ascii="仿宋" w:hAnsi="仿宋" w:eastAsia="仿宋" w:cs="仿宋"/>
          <w:sz w:val="24"/>
          <w:lang w:val="en-US" w:eastAsia="zh-CN"/>
        </w:rPr>
        <w:t>............................................3</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ascii="仿宋" w:hAnsi="仿宋" w:eastAsia="仿宋" w:cs="仿宋"/>
          <w:sz w:val="24"/>
          <w:lang w:val="en-US" w:eastAsia="zh-CN"/>
        </w:rPr>
        <w:t>............................4</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ascii="仿宋" w:hAnsi="仿宋" w:eastAsia="仿宋" w:cs="仿宋"/>
          <w:sz w:val="24"/>
          <w:lang w:val="en-US" w:eastAsia="zh-CN"/>
        </w:rPr>
        <w:t>........................5</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ascii="仿宋" w:hAnsi="仿宋" w:eastAsia="仿宋" w:cs="仿宋"/>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rPr>
          <w:rFonts w:hint="eastAsia" w:ascii="仿宋" w:hAnsi="仿宋" w:eastAsia="仿宋" w:cs="仿宋"/>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ascii="仿宋" w:hAnsi="仿宋" w:eastAsia="仿宋" w:cs="仿宋"/>
          <w:sz w:val="24"/>
          <w:lang w:val="en-US" w:eastAsia="zh-CN"/>
        </w:rPr>
        <w:t>..............................9</w:t>
      </w:r>
    </w:p>
    <w:p>
      <w:pPr>
        <w:pStyle w:val="14"/>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ascii="仿宋" w:hAnsi="仿宋" w:eastAsia="仿宋" w:cs="仿宋"/>
          <w:sz w:val="24"/>
          <w:lang w:val="en-US" w:eastAsia="zh-CN"/>
        </w:rPr>
        <w:t>............................9</w:t>
      </w:r>
    </w:p>
    <w:p>
      <w:pPr>
        <w:pStyle w:val="14"/>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ascii="仿宋" w:hAnsi="仿宋" w:eastAsia="仿宋" w:cs="仿宋"/>
          <w:sz w:val="24"/>
          <w:lang w:val="en-US" w:eastAsia="zh-CN"/>
        </w:rPr>
        <w:t>......................................9</w:t>
      </w:r>
    </w:p>
    <w:p>
      <w:pPr>
        <w:pStyle w:val="13"/>
        <w:adjustRightInd w:val="0"/>
        <w:snapToGrid w:val="0"/>
        <w:spacing w:before="0" w:line="440" w:lineRule="exact"/>
        <w:ind w:firstLine="480" w:firstLineChars="200"/>
        <w:jc w:val="left"/>
        <w:rPr>
          <w:rFonts w:hint="default" w:eastAsia="仿宋" w:cstheme="minorBidi"/>
          <w:sz w:val="24"/>
          <w:szCs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..............................................11</w:t>
      </w:r>
    </w:p>
    <w:p>
      <w:pPr>
        <w:pStyle w:val="13"/>
        <w:adjustRightInd w:val="0"/>
        <w:snapToGrid w:val="0"/>
        <w:spacing w:before="0" w:line="440" w:lineRule="exact"/>
        <w:ind w:firstLine="480" w:firstLineChars="200"/>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rPr>
          <w:rFonts w:hint="eastAsia"/>
          <w:sz w:val="24"/>
          <w:lang w:val="en-US" w:eastAsia="zh-CN"/>
        </w:rPr>
        <w:t>..................................................14</w:t>
      </w:r>
    </w:p>
    <w:p>
      <w:pPr>
        <w:pStyle w:val="13"/>
        <w:adjustRightInd w:val="0"/>
        <w:snapToGrid w:val="0"/>
        <w:spacing w:before="0" w:line="440" w:lineRule="exact"/>
        <w:ind w:firstLine="480" w:firstLineChars="200"/>
        <w:jc w:val="left"/>
        <w:rPr>
          <w:rFonts w:hint="default" w:eastAsia="仿宋" w:cstheme="minorBidi"/>
          <w:sz w:val="24"/>
          <w:szCs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ascii="仿宋" w:hAnsi="仿宋" w:eastAsia="仿宋" w:cs="仿宋"/>
          <w:sz w:val="24"/>
          <w:lang w:val="en-US" w:eastAsia="zh-CN"/>
        </w:rPr>
      </w:pPr>
      <w:r>
        <w:rPr>
          <w:rFonts w:hint="eastAsia"/>
          <w:sz w:val="24"/>
        </w:rPr>
        <w:t>三、支出决算表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五、财政拨款支出决算明细表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九、一般公共预算财政拨款项目支出决算表</w:t>
      </w:r>
      <w:r>
        <w:rPr>
          <w:rFonts w:hint="eastAsia" w:ascii="仿宋" w:hAnsi="仿宋" w:eastAsia="仿宋" w:cs="仿宋"/>
          <w:sz w:val="24"/>
          <w:lang w:val="en-US" w:eastAsia="zh-CN"/>
        </w:rPr>
        <w:t>..........................15</w:t>
      </w:r>
    </w:p>
    <w:p>
      <w:pPr>
        <w:pStyle w:val="14"/>
        <w:adjustRightInd w:val="0"/>
        <w:snapToGrid w:val="0"/>
        <w:spacing w:line="440" w:lineRule="exact"/>
        <w:ind w:left="0" w:leftChars="0" w:firstLine="0" w:firstLineChars="0"/>
        <w:jc w:val="left"/>
        <w:rPr>
          <w:rFonts w:hint="eastAsia"/>
          <w:sz w:val="24"/>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p>
    <w:p>
      <w:pPr>
        <w:pStyle w:val="14"/>
        <w:adjustRightInd w:val="0"/>
        <w:snapToGrid w:val="0"/>
        <w:spacing w:line="440" w:lineRule="exact"/>
        <w:jc w:val="left"/>
        <w:rPr>
          <w:rFonts w:hint="default" w:eastAsia="宋体"/>
          <w:sz w:val="24"/>
          <w:lang w:val="en-US" w:eastAsia="zh-CN"/>
        </w:rPr>
      </w:pPr>
      <w:r>
        <w:rPr>
          <w:rFonts w:hint="eastAsia"/>
          <w:sz w:val="24"/>
        </w:rPr>
        <w:t>十、政府性基金预算财政拨款收入支出决算表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十一、国有资本经营预算财政拨款收入支出决算表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十二、国有资本经营预算财政拨款支出决算表</w:t>
      </w:r>
      <w:r>
        <w:rPr>
          <w:rFonts w:hint="eastAsia" w:ascii="仿宋" w:hAnsi="仿宋" w:eastAsia="仿宋" w:cs="仿宋"/>
          <w:sz w:val="24"/>
          <w:lang w:val="en-US" w:eastAsia="zh-CN"/>
        </w:rPr>
        <w:t>........................15</w:t>
      </w:r>
    </w:p>
    <w:p>
      <w:pPr>
        <w:pStyle w:val="14"/>
        <w:adjustRightInd w:val="0"/>
        <w:snapToGrid w:val="0"/>
        <w:spacing w:line="440" w:lineRule="exact"/>
        <w:jc w:val="left"/>
        <w:rPr>
          <w:rFonts w:hint="default" w:eastAsia="宋体"/>
          <w:sz w:val="24"/>
          <w:lang w:val="en-US" w:eastAsia="zh-CN"/>
        </w:rPr>
      </w:pPr>
      <w:r>
        <w:rPr>
          <w:rFonts w:hint="eastAsia"/>
          <w:sz w:val="24"/>
        </w:rPr>
        <w:t>十三、财政拨款“三公”经费支出决算表</w:t>
      </w:r>
      <w:r>
        <w:rPr>
          <w:rFonts w:hint="eastAsia" w:ascii="仿宋" w:hAnsi="仿宋" w:eastAsia="仿宋" w:cs="仿宋"/>
          <w:sz w:val="24"/>
          <w:lang w:val="en-US" w:eastAsia="zh-CN"/>
        </w:rPr>
        <w:t>............................15</w:t>
      </w:r>
    </w:p>
    <w:p>
      <w:pPr>
        <w:pStyle w:val="3"/>
        <w:jc w:val="center"/>
        <w:rPr>
          <w:rFonts w:hint="eastAsia" w:ascii="黑体" w:hAnsi="黑体" w:eastAsia="黑体"/>
          <w:b w:val="0"/>
        </w:rPr>
        <w:sectPr>
          <w:footerReference r:id="rId8" w:type="first"/>
          <w:footerReference r:id="rId7" w:type="default"/>
          <w:pgSz w:w="11906" w:h="16838"/>
          <w:pgMar w:top="1440" w:right="1800" w:bottom="1440" w:left="1800" w:header="851" w:footer="992" w:gutter="0"/>
          <w:pgNumType w:fmt="decimal" w:start="1"/>
          <w:cols w:space="425" w:num="1"/>
          <w:docGrid w:type="lines" w:linePitch="312" w:charSpace="0"/>
        </w:sectPr>
      </w:pPr>
      <w:bookmarkStart w:id="12" w:name="_Toc15396599"/>
      <w:bookmarkStart w:id="13" w:name="_Toc15377196"/>
    </w:p>
    <w:p>
      <w:pPr>
        <w:pStyle w:val="3"/>
        <w:jc w:val="center"/>
        <w:rPr>
          <w:rFonts w:ascii="黑体" w:eastAsia="黑体"/>
          <w:sz w:val="32"/>
          <w:szCs w:val="32"/>
        </w:rPr>
      </w:pPr>
      <w:r>
        <w:rPr>
          <w:rFonts w:hint="eastAsia" w:ascii="黑体" w:hAnsi="黑体" w:eastAsia="黑体"/>
          <w:b w:val="0"/>
        </w:rPr>
        <w:t>第一部分 单位</w:t>
      </w:r>
      <w:r>
        <w:rPr>
          <w:rStyle w:val="27"/>
          <w:rFonts w:hint="eastAsia" w:ascii="黑体" w:hAnsi="黑体" w:eastAsia="黑体"/>
          <w:b w:val="0"/>
          <w:bCs w:val="0"/>
        </w:rPr>
        <w:t>概况</w:t>
      </w:r>
      <w:bookmarkEnd w:id="12"/>
      <w:bookmarkEnd w:id="13"/>
    </w:p>
    <w:p>
      <w:pPr>
        <w:pStyle w:val="4"/>
        <w:ind w:firstLine="640" w:firstLineChars="200"/>
        <w:rPr>
          <w:rStyle w:val="33"/>
          <w:rFonts w:ascii="黑体" w:hAnsi="黑体" w:eastAsia="黑体"/>
          <w:b w:val="0"/>
          <w:bCs w:val="0"/>
        </w:rPr>
      </w:pPr>
      <w:bookmarkStart w:id="14" w:name="_Toc15396600"/>
      <w:bookmarkStart w:id="15" w:name="_Toc15377197"/>
      <w:r>
        <w:rPr>
          <w:rStyle w:val="33"/>
          <w:rFonts w:hint="eastAsia" w:ascii="黑体" w:hAnsi="黑体" w:eastAsia="黑体"/>
          <w:b w:val="0"/>
          <w:bCs w:val="0"/>
        </w:rPr>
        <w:t>一、主要职责</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开展公益性文化艺术活动和社会公益培训，实行免费开放；组织指导和推广群众性文艺创作；对基层群众文化组织进行业务指导；组织开展群众文化理论研究和交流活动；收集、整理、研究非物质文化遗产，开展非物质文化遗产的普查、展示、宣传活动，指导传承人开展传习活动。</w:t>
      </w:r>
    </w:p>
    <w:p>
      <w:pPr>
        <w:ind w:firstLine="640" w:firstLineChars="200"/>
        <w:rPr>
          <w:rFonts w:ascii="黑体" w:hAnsi="黑体" w:eastAsia="黑体"/>
          <w:sz w:val="32"/>
          <w:szCs w:val="32"/>
        </w:rPr>
      </w:pPr>
      <w:r>
        <w:rPr>
          <w:rFonts w:hint="eastAsia" w:ascii="黑体" w:hAnsi="黑体" w:eastAsia="黑体"/>
          <w:sz w:val="32"/>
          <w:szCs w:val="32"/>
        </w:rPr>
        <w:t>二、机构设置</w:t>
      </w:r>
    </w:p>
    <w:p>
      <w:pPr>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kern w:val="0"/>
          <w:sz w:val="32"/>
          <w:szCs w:val="32"/>
        </w:rPr>
        <w:t>盐边县文化馆是盐边县文化广播电视和旅游局下属公益一类事业单位，</w:t>
      </w:r>
      <w:r>
        <w:rPr>
          <w:rFonts w:hint="eastAsia" w:eastAsia="方正仿宋_GB2312" w:cs="Times New Roman"/>
          <w:kern w:val="0"/>
          <w:sz w:val="32"/>
          <w:szCs w:val="32"/>
          <w:lang w:eastAsia="zh-CN"/>
        </w:rPr>
        <w:t>内设</w:t>
      </w:r>
      <w:r>
        <w:rPr>
          <w:rFonts w:hint="default" w:ascii="Times New Roman" w:hAnsi="Times New Roman" w:eastAsia="方正仿宋_GB2312" w:cs="Times New Roman"/>
          <w:color w:val="auto"/>
          <w:kern w:val="2"/>
          <w:sz w:val="32"/>
          <w:szCs w:val="32"/>
          <w:lang w:val="en-US" w:eastAsia="zh-CN" w:bidi="ar-SA"/>
        </w:rPr>
        <w:t>办公室、图书馆综合业务室、文化馆综合业务室、书法美术室、文化遗产保护室、财务</w:t>
      </w:r>
      <w:r>
        <w:rPr>
          <w:rFonts w:hint="eastAsia" w:eastAsia="方正仿宋_GB2312" w:cs="Times New Roman"/>
          <w:color w:val="auto"/>
          <w:kern w:val="2"/>
          <w:sz w:val="32"/>
          <w:szCs w:val="32"/>
          <w:lang w:val="en-US" w:eastAsia="zh-CN" w:bidi="ar-SA"/>
        </w:rPr>
        <w:t>室</w:t>
      </w:r>
      <w:r>
        <w:rPr>
          <w:rFonts w:hint="default" w:ascii="Times New Roman" w:hAnsi="Times New Roman" w:eastAsia="方正仿宋_GB2312" w:cs="Times New Roman"/>
          <w:kern w:val="0"/>
          <w:sz w:val="32"/>
          <w:szCs w:val="32"/>
        </w:rPr>
        <w:t>，属于一级预算单位，无</w:t>
      </w:r>
      <w:r>
        <w:rPr>
          <w:rFonts w:hint="default" w:ascii="Times New Roman" w:hAnsi="Times New Roman" w:eastAsia="方正仿宋_GB2312" w:cs="Times New Roman"/>
          <w:color w:val="000000"/>
          <w:sz w:val="32"/>
          <w:szCs w:val="32"/>
        </w:rPr>
        <w:t>纳入202</w:t>
      </w:r>
      <w:r>
        <w:rPr>
          <w:rFonts w:hint="default" w:ascii="Times New Roman" w:hAnsi="Times New Roman" w:eastAsia="方正仿宋_GB2312" w:cs="Times New Roman"/>
          <w:color w:val="000000"/>
          <w:sz w:val="32"/>
          <w:szCs w:val="32"/>
          <w:lang w:val="en-US" w:eastAsia="zh-CN"/>
        </w:rPr>
        <w:t>3</w:t>
      </w:r>
      <w:r>
        <w:rPr>
          <w:rFonts w:hint="default" w:ascii="Times New Roman" w:hAnsi="Times New Roman" w:eastAsia="方正仿宋_GB2312" w:cs="Times New Roman"/>
          <w:color w:val="000000"/>
          <w:sz w:val="32"/>
          <w:szCs w:val="32"/>
        </w:rPr>
        <w:t>年度部门决算编制范围的二级预算单位</w:t>
      </w:r>
      <w:r>
        <w:rPr>
          <w:rFonts w:hint="default" w:ascii="Times New Roman" w:hAnsi="Times New Roman" w:eastAsia="方正仿宋_GB2312" w:cs="Times New Roman"/>
          <w:kern w:val="0"/>
          <w:sz w:val="32"/>
          <w:szCs w:val="32"/>
        </w:rPr>
        <w:t>。</w:t>
      </w:r>
    </w:p>
    <w:p>
      <w:pPr>
        <w:pStyle w:val="4"/>
        <w:rPr>
          <w:rFonts w:ascii="黑体" w:hAnsi="黑体" w:eastAsia="黑体"/>
          <w:b w:val="0"/>
        </w:rPr>
      </w:pPr>
    </w:p>
    <w:bookmarkEnd w:id="14"/>
    <w:bookmarkEnd w:id="15"/>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7"/>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16"/>
      <w:bookmarkEnd w:id="17"/>
    </w:p>
    <w:p/>
    <w:p>
      <w:pPr>
        <w:pStyle w:val="26"/>
        <w:numPr>
          <w:ilvl w:val="0"/>
          <w:numId w:val="1"/>
        </w:numPr>
        <w:spacing w:line="600" w:lineRule="exact"/>
        <w:ind w:firstLineChars="0"/>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2023年度收、支总计均为</w:t>
      </w:r>
      <w:r>
        <w:rPr>
          <w:rFonts w:hint="default" w:ascii="Times New Roman" w:hAnsi="Times New Roman" w:eastAsia="方正仿宋_GB2312" w:cs="Times New Roman"/>
          <w:b w:val="0"/>
          <w:bCs/>
          <w:sz w:val="32"/>
          <w:szCs w:val="32"/>
        </w:rPr>
        <w:t>280.19</w:t>
      </w:r>
      <w:r>
        <w:rPr>
          <w:rFonts w:hint="default" w:ascii="Times New Roman" w:hAnsi="Times New Roman" w:eastAsia="方正仿宋_GB2312" w:cs="Times New Roman"/>
          <w:sz w:val="32"/>
          <w:szCs w:val="32"/>
        </w:rPr>
        <w:t>万元。与2022年度相比，收、支总计各增加</w:t>
      </w:r>
      <w:r>
        <w:rPr>
          <w:rFonts w:hint="default" w:ascii="Times New Roman" w:hAnsi="Times New Roman" w:eastAsia="方正仿宋_GB2312" w:cs="Times New Roman"/>
          <w:sz w:val="32"/>
          <w:szCs w:val="32"/>
          <w:lang w:val="en-US" w:eastAsia="zh-CN"/>
        </w:rPr>
        <w:t>86.55</w:t>
      </w:r>
      <w:r>
        <w:rPr>
          <w:rFonts w:hint="default" w:ascii="Times New Roman" w:hAnsi="Times New Roman" w:eastAsia="方正仿宋_GB2312" w:cs="Times New Roman"/>
          <w:sz w:val="32"/>
          <w:szCs w:val="32"/>
        </w:rPr>
        <w:t>万元，增长</w:t>
      </w:r>
      <w:r>
        <w:rPr>
          <w:rFonts w:hint="default" w:ascii="Times New Roman" w:hAnsi="Times New Roman" w:eastAsia="方正仿宋_GB2312" w:cs="Times New Roman"/>
          <w:sz w:val="32"/>
          <w:szCs w:val="32"/>
          <w:lang w:val="en-US" w:eastAsia="zh-CN"/>
        </w:rPr>
        <w:t>44.70</w:t>
      </w:r>
      <w:r>
        <w:rPr>
          <w:rFonts w:hint="default" w:ascii="Times New Roman" w:hAnsi="Times New Roman" w:eastAsia="方正仿宋_GB2312" w:cs="Times New Roman"/>
          <w:sz w:val="32"/>
          <w:szCs w:val="32"/>
        </w:rPr>
        <w:t>%。主要变动原因是</w:t>
      </w:r>
      <w:r>
        <w:rPr>
          <w:rFonts w:hint="default" w:ascii="Times New Roman" w:hAnsi="Times New Roman" w:eastAsia="方正仿宋_GB2312" w:cs="Times New Roman"/>
          <w:sz w:val="32"/>
          <w:szCs w:val="32"/>
          <w:lang w:eastAsia="zh-CN"/>
        </w:rPr>
        <w:t>项目增加</w:t>
      </w:r>
      <w:r>
        <w:rPr>
          <w:rFonts w:hint="default" w:ascii="Times New Roman" w:hAnsi="Times New Roman" w:eastAsia="方正仿宋_GB2312" w:cs="Times New Roman"/>
          <w:sz w:val="32"/>
          <w:szCs w:val="32"/>
        </w:rPr>
        <w:t>。</w:t>
      </w:r>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（图1：收、支决算总计变动情况图）（柱状图）</w:t>
      </w:r>
    </w:p>
    <w:p>
      <w:pPr>
        <w:pStyle w:val="2"/>
      </w:pPr>
      <w:r>
        <w:rPr>
          <w:sz w:val="32"/>
          <w:szCs w:val="32"/>
        </w:rPr>
        <w:drawing>
          <wp:inline distT="0" distB="0" distL="0" distR="0">
            <wp:extent cx="5274310" cy="3076575"/>
            <wp:effectExtent l="5080" t="4445" r="16510" b="508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jc w:val="left"/>
        <w:rPr>
          <w:rFonts w:ascii="仿宋_GB2312" w:eastAsia="仿宋_GB2312"/>
          <w:sz w:val="32"/>
          <w:szCs w:val="32"/>
        </w:rPr>
      </w:pPr>
    </w:p>
    <w:p>
      <w:pPr>
        <w:pStyle w:val="26"/>
        <w:numPr>
          <w:ilvl w:val="0"/>
          <w:numId w:val="1"/>
        </w:numPr>
        <w:spacing w:line="600" w:lineRule="exact"/>
        <w:ind w:firstLineChars="0"/>
        <w:outlineLvl w:val="1"/>
        <w:rPr>
          <w:rStyle w:val="28"/>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pPr>
        <w:spacing w:line="600" w:lineRule="exact"/>
        <w:ind w:firstLine="640" w:firstLineChars="200"/>
        <w:outlineLvl w:val="1"/>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rPr>
        <w:t>2023年度本年收入合计</w:t>
      </w:r>
      <w:r>
        <w:rPr>
          <w:rFonts w:hint="default" w:ascii="Times New Roman" w:hAnsi="Times New Roman" w:eastAsia="方正仿宋_GB2312" w:cs="Times New Roman"/>
          <w:b w:val="0"/>
          <w:bCs/>
          <w:sz w:val="32"/>
          <w:szCs w:val="32"/>
        </w:rPr>
        <w:t>280.19</w:t>
      </w:r>
      <w:r>
        <w:rPr>
          <w:rFonts w:hint="default" w:ascii="Times New Roman" w:hAnsi="Times New Roman" w:eastAsia="方正仿宋_GB2312" w:cs="Times New Roman"/>
          <w:sz w:val="32"/>
          <w:szCs w:val="32"/>
        </w:rPr>
        <w:t>万元，其中：一般公共预算财政拨款收入</w:t>
      </w:r>
      <w:r>
        <w:rPr>
          <w:rFonts w:hint="default" w:ascii="Times New Roman" w:hAnsi="Times New Roman" w:eastAsia="方正仿宋_GB2312" w:cs="Times New Roman"/>
          <w:b w:val="0"/>
          <w:bCs/>
          <w:sz w:val="32"/>
          <w:szCs w:val="32"/>
        </w:rPr>
        <w:t>280.19</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100%；</w:t>
      </w:r>
      <w:r>
        <w:rPr>
          <w:rFonts w:hint="default" w:ascii="Times New Roman" w:hAnsi="Times New Roman" w:eastAsia="方正仿宋_GB2312" w:cs="Times New Roman"/>
          <w:sz w:val="32"/>
          <w:szCs w:val="32"/>
        </w:rPr>
        <w:t>政府性基金预算财政拨款收入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；国有资本经营预算财政拨款收入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；上级补助收入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万元，占0%；事业收入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%；经营收入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%；附属单位上缴收入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%；其他收入</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w:t>
      </w:r>
      <w:r>
        <w:rPr>
          <w:rFonts w:hint="default" w:ascii="Times New Roman" w:hAnsi="Times New Roman" w:eastAsia="方正仿宋_GB2312" w:cs="Times New Roman"/>
          <w:sz w:val="32"/>
          <w:szCs w:val="32"/>
          <w:lang w:eastAsia="zh-CN"/>
        </w:rPr>
        <w:t>。</w:t>
      </w:r>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（图2：收入决算结构图）（饼状图）</w:t>
      </w:r>
    </w:p>
    <w:p>
      <w:pPr>
        <w:pStyle w:val="2"/>
      </w:pPr>
      <w:r>
        <w:rPr>
          <w:rFonts w:hint="eastAsia"/>
          <w:sz w:val="32"/>
          <w:szCs w:val="32"/>
        </w:rPr>
        <w:drawing>
          <wp:inline distT="0" distB="0" distL="0" distR="0">
            <wp:extent cx="5274310" cy="3076575"/>
            <wp:effectExtent l="5080" t="4445" r="16510" b="508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outlineLvl w:val="1"/>
        <w:rPr>
          <w:rFonts w:ascii="仿宋" w:hAnsi="仿宋" w:eastAsia="仿宋"/>
          <w:sz w:val="32"/>
          <w:szCs w:val="32"/>
        </w:rPr>
      </w:pPr>
    </w:p>
    <w:p>
      <w:pPr>
        <w:pStyle w:val="26"/>
        <w:numPr>
          <w:ilvl w:val="0"/>
          <w:numId w:val="1"/>
        </w:numPr>
        <w:spacing w:line="600" w:lineRule="exact"/>
        <w:ind w:firstLineChars="0"/>
        <w:outlineLvl w:val="1"/>
        <w:rPr>
          <w:rStyle w:val="28"/>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pPr>
        <w:spacing w:line="600" w:lineRule="exact"/>
        <w:ind w:firstLine="640" w:firstLineChars="200"/>
        <w:outlineLvl w:val="1"/>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2023年度本年支出合计</w:t>
      </w:r>
      <w:r>
        <w:rPr>
          <w:rFonts w:hint="default" w:ascii="Times New Roman" w:hAnsi="Times New Roman" w:eastAsia="方正仿宋_GB2312" w:cs="Times New Roman"/>
          <w:b w:val="0"/>
          <w:bCs/>
          <w:sz w:val="32"/>
          <w:szCs w:val="32"/>
        </w:rPr>
        <w:t>280.19</w:t>
      </w:r>
      <w:r>
        <w:rPr>
          <w:rFonts w:hint="default" w:ascii="Times New Roman" w:hAnsi="Times New Roman" w:eastAsia="方正仿宋_GB2312" w:cs="Times New Roman"/>
          <w:sz w:val="32"/>
          <w:szCs w:val="32"/>
        </w:rPr>
        <w:t>万元，其中：基本支出</w:t>
      </w:r>
      <w:r>
        <w:rPr>
          <w:rFonts w:hint="default" w:ascii="Times New Roman" w:hAnsi="Times New Roman" w:eastAsia="方正仿宋_GB2312" w:cs="Times New Roman"/>
          <w:b w:val="0"/>
          <w:bCs/>
          <w:sz w:val="32"/>
          <w:szCs w:val="32"/>
        </w:rPr>
        <w:t>124.04</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44.26</w:t>
      </w:r>
      <w:r>
        <w:rPr>
          <w:rFonts w:hint="default" w:ascii="Times New Roman" w:hAnsi="Times New Roman" w:eastAsia="方正仿宋_GB2312" w:cs="Times New Roman"/>
          <w:sz w:val="32"/>
          <w:szCs w:val="32"/>
        </w:rPr>
        <w:t>%；项目支出</w:t>
      </w:r>
      <w:r>
        <w:rPr>
          <w:rFonts w:hint="default" w:ascii="Times New Roman" w:hAnsi="Times New Roman" w:eastAsia="方正仿宋_GB2312" w:cs="Times New Roman"/>
          <w:b w:val="0"/>
          <w:bCs/>
          <w:sz w:val="32"/>
          <w:szCs w:val="32"/>
        </w:rPr>
        <w:t>156.15</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55.73</w:t>
      </w:r>
      <w:r>
        <w:rPr>
          <w:rFonts w:hint="default" w:ascii="Times New Roman" w:hAnsi="Times New Roman" w:eastAsia="方正仿宋_GB2312" w:cs="Times New Roman"/>
          <w:sz w:val="32"/>
          <w:szCs w:val="32"/>
        </w:rPr>
        <w:t>%；上缴上级支出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%；经营支出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%；对附属单位补助支出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w:t>
      </w:r>
    </w:p>
    <w:p>
      <w:pPr>
        <w:spacing w:line="600" w:lineRule="exact"/>
        <w:ind w:firstLine="64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（图3：支出决算结构图）（饼状图）</w:t>
      </w:r>
    </w:p>
    <w:p>
      <w:pPr>
        <w:spacing w:line="600" w:lineRule="exact"/>
        <w:ind w:firstLine="640" w:firstLineChars="200"/>
        <w:outlineLvl w:val="1"/>
        <w:rPr>
          <w:rStyle w:val="28"/>
          <w:rFonts w:ascii="黑体" w:hAnsi="黑体" w:eastAsia="黑体"/>
          <w:b w:val="0"/>
        </w:rPr>
      </w:pPr>
      <w:bookmarkStart w:id="24" w:name="_Toc15377208"/>
      <w:bookmarkStart w:id="25" w:name="_Toc15396606"/>
      <w:r>
        <w:rPr>
          <w:rFonts w:hint="eastAsia" w:ascii="仿宋_GB2312" w:hAnsi="仿宋_GB2312" w:eastAsia="仿宋_GB2312" w:cs="仿宋_GB2312"/>
          <w:sz w:val="32"/>
          <w:szCs w:val="32"/>
        </w:rPr>
        <w:drawing>
          <wp:anchor distT="0" distB="0" distL="114300" distR="114300" simplePos="0" relativeHeight="251661312" behindDoc="0" locked="0" layoutInCell="1" allowOverlap="1">
            <wp:simplePos x="0" y="0"/>
            <wp:positionH relativeFrom="column">
              <wp:posOffset>-186055</wp:posOffset>
            </wp:positionH>
            <wp:positionV relativeFrom="paragraph">
              <wp:posOffset>-836295</wp:posOffset>
            </wp:positionV>
            <wp:extent cx="5389245" cy="2845435"/>
            <wp:effectExtent l="4445" t="4445" r="16510" b="762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2023年度财政拨款收、支总计均为</w:t>
      </w:r>
      <w:r>
        <w:rPr>
          <w:rFonts w:hint="default" w:ascii="Times New Roman" w:hAnsi="Times New Roman" w:eastAsia="方正仿宋_GB2312" w:cs="Times New Roman"/>
          <w:b w:val="0"/>
          <w:bCs/>
          <w:sz w:val="32"/>
          <w:szCs w:val="32"/>
        </w:rPr>
        <w:t>280.19</w:t>
      </w:r>
      <w:r>
        <w:rPr>
          <w:rFonts w:hint="default" w:ascii="Times New Roman" w:hAnsi="Times New Roman" w:eastAsia="方正仿宋_GB2312" w:cs="Times New Roman"/>
          <w:sz w:val="32"/>
          <w:szCs w:val="32"/>
        </w:rPr>
        <w:t>万元。与2022年度相比，财政拨款收、支总计各增加</w:t>
      </w:r>
      <w:r>
        <w:rPr>
          <w:rFonts w:hint="default" w:ascii="Times New Roman" w:hAnsi="Times New Roman" w:eastAsia="方正仿宋_GB2312" w:cs="Times New Roman"/>
          <w:sz w:val="32"/>
          <w:szCs w:val="32"/>
          <w:lang w:val="en-US" w:eastAsia="zh-CN"/>
        </w:rPr>
        <w:t>86.55</w:t>
      </w:r>
      <w:r>
        <w:rPr>
          <w:rFonts w:hint="default" w:ascii="Times New Roman" w:hAnsi="Times New Roman" w:eastAsia="方正仿宋_GB2312" w:cs="Times New Roman"/>
          <w:sz w:val="32"/>
          <w:szCs w:val="32"/>
        </w:rPr>
        <w:t>万元，增长</w:t>
      </w:r>
      <w:r>
        <w:rPr>
          <w:rFonts w:hint="default" w:ascii="Times New Roman" w:hAnsi="Times New Roman" w:eastAsia="方正仿宋_GB2312" w:cs="Times New Roman"/>
          <w:sz w:val="32"/>
          <w:szCs w:val="32"/>
          <w:lang w:val="en-US" w:eastAsia="zh-CN"/>
        </w:rPr>
        <w:t>44.70</w:t>
      </w:r>
      <w:r>
        <w:rPr>
          <w:rFonts w:hint="default" w:ascii="Times New Roman" w:hAnsi="Times New Roman" w:eastAsia="方正仿宋_GB2312" w:cs="Times New Roman"/>
          <w:sz w:val="32"/>
          <w:szCs w:val="32"/>
        </w:rPr>
        <w:t>%。主要变动原因是</w:t>
      </w:r>
      <w:r>
        <w:rPr>
          <w:rFonts w:hint="default" w:ascii="Times New Roman" w:hAnsi="Times New Roman" w:eastAsia="方正仿宋_GB2312" w:cs="Times New Roman"/>
          <w:sz w:val="32"/>
          <w:szCs w:val="32"/>
          <w:lang w:eastAsia="zh-CN"/>
        </w:rPr>
        <w:t>项目增加</w:t>
      </w:r>
      <w:r>
        <w:rPr>
          <w:rFonts w:hint="default" w:ascii="Times New Roman" w:hAnsi="Times New Roman" w:eastAsia="方正仿宋_GB2312" w:cs="Times New Roman"/>
          <w:sz w:val="32"/>
          <w:szCs w:val="32"/>
        </w:rPr>
        <w:t>。</w:t>
      </w:r>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（图4：财政拨款收、支决算总计变动情况）（柱状图）</w:t>
      </w:r>
    </w:p>
    <w:p>
      <w:pPr>
        <w:spacing w:line="600" w:lineRule="exact"/>
        <w:ind w:firstLine="640"/>
        <w:rPr>
          <w:rFonts w:ascii="仿宋" w:hAnsi="仿宋" w:eastAsia="仿宋"/>
          <w:b/>
          <w:sz w:val="32"/>
          <w:szCs w:val="32"/>
        </w:rPr>
      </w:pPr>
    </w:p>
    <w:p>
      <w:pPr>
        <w:pStyle w:val="2"/>
      </w:pPr>
      <w:r>
        <w:rPr>
          <w:sz w:val="32"/>
          <w:szCs w:val="32"/>
        </w:rPr>
        <w:drawing>
          <wp:inline distT="0" distB="0" distL="0" distR="0">
            <wp:extent cx="5327015" cy="3467735"/>
            <wp:effectExtent l="4445" t="4445" r="21590" b="1397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rPr>
          <w:rFonts w:ascii="仿宋" w:hAnsi="仿宋" w:eastAsia="仿宋"/>
          <w:b/>
          <w:sz w:val="32"/>
          <w:szCs w:val="32"/>
        </w:rPr>
      </w:pPr>
    </w:p>
    <w:p>
      <w:pPr>
        <w:spacing w:line="600" w:lineRule="exact"/>
        <w:ind w:firstLine="640" w:firstLineChars="200"/>
        <w:outlineLvl w:val="1"/>
        <w:rPr>
          <w:rStyle w:val="28"/>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方正楷体_GB2312" w:hAnsi="方正楷体_GB2312" w:eastAsia="方正楷体_GB2312" w:cs="方正楷体_GB2312"/>
          <w:b/>
          <w:sz w:val="32"/>
          <w:szCs w:val="32"/>
        </w:rPr>
        <w:t>（一）一般公共预算财政拨款支出决算总体情况</w:t>
      </w:r>
      <w:bookmarkEnd w:id="28"/>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2023年度一般公共预算财政拨款支出</w:t>
      </w:r>
      <w:r>
        <w:rPr>
          <w:rFonts w:hint="default" w:ascii="Times New Roman" w:hAnsi="Times New Roman" w:eastAsia="方正仿宋_GB2312" w:cs="Times New Roman"/>
          <w:b w:val="0"/>
          <w:bCs/>
          <w:sz w:val="32"/>
          <w:szCs w:val="32"/>
        </w:rPr>
        <w:t>280.19</w:t>
      </w:r>
      <w:r>
        <w:rPr>
          <w:rFonts w:hint="default" w:ascii="Times New Roman" w:hAnsi="Times New Roman" w:eastAsia="方正仿宋_GB2312" w:cs="Times New Roman"/>
          <w:sz w:val="32"/>
          <w:szCs w:val="32"/>
        </w:rPr>
        <w:t>万元，占本年支出合计的</w:t>
      </w:r>
      <w:r>
        <w:rPr>
          <w:rFonts w:hint="default" w:ascii="Times New Roman" w:hAnsi="Times New Roman" w:eastAsia="方正仿宋_GB2312" w:cs="Times New Roman"/>
          <w:b w:val="0"/>
          <w:bCs/>
          <w:sz w:val="32"/>
          <w:szCs w:val="32"/>
        </w:rPr>
        <w:t>100</w:t>
      </w:r>
      <w:r>
        <w:rPr>
          <w:rFonts w:hint="default" w:ascii="Times New Roman" w:hAnsi="Times New Roman" w:eastAsia="方正仿宋_GB2312" w:cs="Times New Roman"/>
          <w:sz w:val="32"/>
          <w:szCs w:val="32"/>
        </w:rPr>
        <w:t>%。与202</w:t>
      </w:r>
      <w:r>
        <w:rPr>
          <w:rFonts w:hint="default" w:ascii="Times New Roman" w:hAnsi="Times New Roman" w:eastAsia="方正仿宋_GB2312" w:cs="Times New Roman"/>
          <w:sz w:val="32"/>
          <w:szCs w:val="32"/>
          <w:lang w:val="en-US" w:eastAsia="zh-CN"/>
        </w:rPr>
        <w:t>2</w:t>
      </w:r>
      <w:r>
        <w:rPr>
          <w:rFonts w:hint="default" w:ascii="Times New Roman" w:hAnsi="Times New Roman" w:eastAsia="方正仿宋_GB2312" w:cs="Times New Roman"/>
          <w:sz w:val="32"/>
          <w:szCs w:val="32"/>
        </w:rPr>
        <w:t>年度相比，一般公共</w:t>
      </w:r>
      <w:r>
        <w:rPr>
          <w:rFonts w:hint="default" w:ascii="Times New Roman" w:hAnsi="Times New Roman" w:eastAsia="方正仿宋_GB2312" w:cs="Times New Roman"/>
          <w:sz w:val="32"/>
          <w:szCs w:val="32"/>
          <w:lang w:eastAsia="zh-CN"/>
        </w:rPr>
        <w:t>预算</w:t>
      </w:r>
      <w:r>
        <w:rPr>
          <w:rFonts w:hint="default" w:ascii="Times New Roman" w:hAnsi="Times New Roman" w:eastAsia="方正仿宋_GB2312" w:cs="Times New Roman"/>
          <w:sz w:val="32"/>
          <w:szCs w:val="32"/>
        </w:rPr>
        <w:t>财政拨款</w:t>
      </w:r>
      <w:r>
        <w:rPr>
          <w:rFonts w:hint="default" w:ascii="Times New Roman" w:hAnsi="Times New Roman" w:eastAsia="方正仿宋_GB2312" w:cs="Times New Roman"/>
          <w:sz w:val="32"/>
          <w:szCs w:val="32"/>
          <w:lang w:eastAsia="zh-CN"/>
        </w:rPr>
        <w:t>支出</w:t>
      </w:r>
      <w:r>
        <w:rPr>
          <w:rFonts w:hint="default" w:ascii="Times New Roman" w:hAnsi="Times New Roman" w:eastAsia="方正仿宋_GB2312" w:cs="Times New Roman"/>
          <w:sz w:val="32"/>
          <w:szCs w:val="32"/>
        </w:rPr>
        <w:t>增加</w:t>
      </w:r>
      <w:r>
        <w:rPr>
          <w:rFonts w:hint="default" w:ascii="Times New Roman" w:hAnsi="Times New Roman" w:eastAsia="方正仿宋_GB2312" w:cs="Times New Roman"/>
          <w:sz w:val="32"/>
          <w:szCs w:val="32"/>
          <w:lang w:val="en-US" w:eastAsia="zh-CN"/>
        </w:rPr>
        <w:t>86.55</w:t>
      </w:r>
      <w:r>
        <w:rPr>
          <w:rFonts w:hint="default" w:ascii="Times New Roman" w:hAnsi="Times New Roman" w:eastAsia="方正仿宋_GB2312" w:cs="Times New Roman"/>
          <w:sz w:val="32"/>
          <w:szCs w:val="32"/>
        </w:rPr>
        <w:t>万元，增长</w:t>
      </w:r>
      <w:r>
        <w:rPr>
          <w:rFonts w:hint="default" w:ascii="Times New Roman" w:hAnsi="Times New Roman" w:eastAsia="方正仿宋_GB2312" w:cs="Times New Roman"/>
          <w:sz w:val="32"/>
          <w:szCs w:val="32"/>
          <w:lang w:val="en-US" w:eastAsia="zh-CN"/>
        </w:rPr>
        <w:t>44.70</w:t>
      </w:r>
      <w:r>
        <w:rPr>
          <w:rFonts w:hint="default" w:ascii="Times New Roman" w:hAnsi="Times New Roman" w:eastAsia="方正仿宋_GB2312" w:cs="Times New Roman"/>
          <w:sz w:val="32"/>
          <w:szCs w:val="32"/>
        </w:rPr>
        <w:t>%。主要变动原因是</w:t>
      </w:r>
      <w:r>
        <w:rPr>
          <w:rFonts w:hint="default" w:ascii="Times New Roman" w:hAnsi="Times New Roman" w:eastAsia="方正仿宋_GB2312" w:cs="Times New Roman"/>
          <w:sz w:val="32"/>
          <w:szCs w:val="32"/>
          <w:lang w:eastAsia="zh-CN"/>
        </w:rPr>
        <w:t>项目增加</w:t>
      </w:r>
      <w:r>
        <w:rPr>
          <w:rFonts w:hint="default" w:ascii="Times New Roman" w:hAnsi="Times New Roman" w:eastAsia="方正仿宋_GB2312" w:cs="Times New Roman"/>
          <w:sz w:val="32"/>
          <w:szCs w:val="32"/>
        </w:rPr>
        <w:t>。</w:t>
      </w:r>
    </w:p>
    <w:p>
      <w:pPr>
        <w:spacing w:line="600" w:lineRule="exact"/>
        <w:ind w:firstLine="640" w:firstLineChars="200"/>
        <w:rPr>
          <w:rFonts w:hint="default" w:ascii="Times New Roman" w:hAnsi="Times New Roman" w:eastAsia="方正仿宋_GB2312" w:cs="Times New Roman"/>
        </w:rPr>
      </w:pPr>
      <w:r>
        <w:rPr>
          <w:rFonts w:hint="default" w:ascii="Times New Roman" w:hAnsi="Times New Roman" w:eastAsia="方正仿宋_GB2312" w:cs="Times New Roman"/>
          <w:sz w:val="32"/>
          <w:szCs w:val="32"/>
        </w:rPr>
        <w:t>（图5：一般公共预算财政拨款支出决算变动情况）（柱状图）</w:t>
      </w:r>
    </w:p>
    <w:p/>
    <w:p/>
    <w:p>
      <w:r>
        <w:rPr>
          <w:rFonts w:ascii="仿宋" w:hAnsi="仿宋" w:eastAsia="仿宋"/>
          <w:b/>
          <w:sz w:val="32"/>
          <w:szCs w:val="32"/>
        </w:rPr>
        <w:drawing>
          <wp:anchor distT="0" distB="0" distL="114300" distR="114300" simplePos="0" relativeHeight="251660288" behindDoc="0" locked="0" layoutInCell="1" allowOverlap="1">
            <wp:simplePos x="0" y="0"/>
            <wp:positionH relativeFrom="column">
              <wp:posOffset>-163830</wp:posOffset>
            </wp:positionH>
            <wp:positionV relativeFrom="paragraph">
              <wp:posOffset>-94615</wp:posOffset>
            </wp:positionV>
            <wp:extent cx="5274310" cy="3076575"/>
            <wp:effectExtent l="5080" t="4445" r="16510" b="5080"/>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spacing w:line="600" w:lineRule="exact"/>
        <w:ind w:firstLine="643" w:firstLineChars="200"/>
        <w:outlineLvl w:val="2"/>
        <w:rPr>
          <w:rFonts w:hint="eastAsia" w:ascii="方正楷体_GB2312" w:hAnsi="方正楷体_GB2312" w:eastAsia="方正楷体_GB2312" w:cs="方正楷体_GB2312"/>
          <w:b/>
          <w:sz w:val="32"/>
          <w:szCs w:val="32"/>
        </w:rPr>
      </w:pPr>
      <w:bookmarkStart w:id="29" w:name="_Toc15377211"/>
      <w:r>
        <w:rPr>
          <w:rFonts w:hint="eastAsia" w:ascii="方正楷体_GB2312" w:hAnsi="方正楷体_GB2312" w:eastAsia="方正楷体_GB2312" w:cs="方正楷体_GB2312"/>
          <w:b/>
          <w:sz w:val="32"/>
          <w:szCs w:val="32"/>
        </w:rPr>
        <w:t>（二）一般公共预算财政拨款支出决算结构情况</w:t>
      </w:r>
      <w:bookmarkEnd w:id="29"/>
    </w:p>
    <w:p>
      <w:pPr>
        <w:spacing w:line="600" w:lineRule="exact"/>
        <w:ind w:firstLine="640"/>
        <w:rPr>
          <w:rFonts w:hint="default" w:ascii="Times New Roman" w:hAnsi="Times New Roman" w:eastAsia="方正仿宋_GB2312" w:cs="Times New Roman"/>
          <w:b w:val="0"/>
          <w:bCs w:val="0"/>
          <w:color w:val="auto"/>
          <w:sz w:val="32"/>
          <w:szCs w:val="32"/>
        </w:rPr>
      </w:pPr>
      <w:r>
        <w:rPr>
          <w:rFonts w:hint="default" w:ascii="Times New Roman" w:hAnsi="Times New Roman" w:eastAsia="方正仿宋_GB2312" w:cs="Times New Roman"/>
          <w:b w:val="0"/>
          <w:bCs w:val="0"/>
          <w:color w:val="auto"/>
          <w:sz w:val="32"/>
          <w:szCs w:val="32"/>
        </w:rPr>
        <w:t>2023年度一般公共预算财政拨款支出280.19万元，主要用于以下方面:一般公共服务支出</w:t>
      </w:r>
      <w:r>
        <w:rPr>
          <w:rFonts w:hint="default" w:ascii="Times New Roman" w:hAnsi="Times New Roman" w:eastAsia="方正仿宋_GB2312" w:cs="Times New Roman"/>
          <w:b w:val="0"/>
          <w:bCs w:val="0"/>
          <w:color w:val="auto"/>
          <w:sz w:val="32"/>
          <w:szCs w:val="32"/>
          <w:lang w:val="en-US" w:eastAsia="zh-CN"/>
        </w:rPr>
        <w:t>0</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0</w:t>
      </w:r>
      <w:r>
        <w:rPr>
          <w:rFonts w:hint="default" w:ascii="Times New Roman" w:hAnsi="Times New Roman" w:eastAsia="方正仿宋_GB2312" w:cs="Times New Roman"/>
          <w:b w:val="0"/>
          <w:bCs w:val="0"/>
          <w:color w:val="auto"/>
          <w:sz w:val="32"/>
          <w:szCs w:val="32"/>
        </w:rPr>
        <w:t>%；教育支出</w:t>
      </w:r>
      <w:r>
        <w:rPr>
          <w:rFonts w:hint="default" w:ascii="Times New Roman" w:hAnsi="Times New Roman" w:eastAsia="方正仿宋_GB2312" w:cs="Times New Roman"/>
          <w:b w:val="0"/>
          <w:bCs w:val="0"/>
          <w:color w:val="auto"/>
          <w:sz w:val="32"/>
          <w:szCs w:val="32"/>
          <w:lang w:val="en-US" w:eastAsia="zh-CN"/>
        </w:rPr>
        <w:t>0</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0</w:t>
      </w:r>
      <w:r>
        <w:rPr>
          <w:rFonts w:hint="default" w:ascii="Times New Roman" w:hAnsi="Times New Roman" w:eastAsia="方正仿宋_GB2312" w:cs="Times New Roman"/>
          <w:b w:val="0"/>
          <w:bCs w:val="0"/>
          <w:color w:val="auto"/>
          <w:sz w:val="32"/>
          <w:szCs w:val="32"/>
        </w:rPr>
        <w:t>%；科学技术支出</w:t>
      </w:r>
      <w:r>
        <w:rPr>
          <w:rFonts w:hint="default" w:ascii="Times New Roman" w:hAnsi="Times New Roman" w:eastAsia="方正仿宋_GB2312" w:cs="Times New Roman"/>
          <w:b w:val="0"/>
          <w:bCs w:val="0"/>
          <w:color w:val="auto"/>
          <w:sz w:val="32"/>
          <w:szCs w:val="32"/>
          <w:lang w:val="en-US" w:eastAsia="zh-CN"/>
        </w:rPr>
        <w:t>0</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0</w:t>
      </w:r>
      <w:r>
        <w:rPr>
          <w:rFonts w:hint="default" w:ascii="Times New Roman" w:hAnsi="Times New Roman" w:eastAsia="方正仿宋_GB2312" w:cs="Times New Roman"/>
          <w:b w:val="0"/>
          <w:bCs w:val="0"/>
          <w:color w:val="auto"/>
          <w:sz w:val="32"/>
          <w:szCs w:val="32"/>
        </w:rPr>
        <w:t>%；文化旅游体育与传媒支出</w:t>
      </w:r>
      <w:r>
        <w:rPr>
          <w:rFonts w:hint="default" w:ascii="Times New Roman" w:hAnsi="Times New Roman" w:eastAsia="方正仿宋_GB2312" w:cs="Times New Roman"/>
          <w:b w:val="0"/>
          <w:bCs w:val="0"/>
          <w:color w:val="auto"/>
          <w:sz w:val="32"/>
          <w:szCs w:val="32"/>
          <w:lang w:val="en-US" w:eastAsia="zh-CN"/>
        </w:rPr>
        <w:t>237.72</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84.84</w:t>
      </w:r>
      <w:r>
        <w:rPr>
          <w:rFonts w:hint="default" w:ascii="Times New Roman" w:hAnsi="Times New Roman" w:eastAsia="方正仿宋_GB2312" w:cs="Times New Roman"/>
          <w:b w:val="0"/>
          <w:bCs w:val="0"/>
          <w:color w:val="auto"/>
          <w:sz w:val="32"/>
          <w:szCs w:val="32"/>
        </w:rPr>
        <w:t>%；社会保障和就业支出</w:t>
      </w:r>
      <w:r>
        <w:rPr>
          <w:rFonts w:hint="default" w:ascii="Times New Roman" w:hAnsi="Times New Roman" w:eastAsia="方正仿宋_GB2312" w:cs="Times New Roman"/>
          <w:b w:val="0"/>
          <w:bCs w:val="0"/>
          <w:color w:val="auto"/>
          <w:sz w:val="32"/>
          <w:szCs w:val="32"/>
          <w:lang w:val="en-US" w:eastAsia="zh-CN"/>
        </w:rPr>
        <w:t>27.05</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9.65</w:t>
      </w:r>
      <w:r>
        <w:rPr>
          <w:rFonts w:hint="default" w:ascii="Times New Roman" w:hAnsi="Times New Roman" w:eastAsia="方正仿宋_GB2312" w:cs="Times New Roman"/>
          <w:b w:val="0"/>
          <w:bCs w:val="0"/>
          <w:color w:val="auto"/>
          <w:sz w:val="32"/>
          <w:szCs w:val="32"/>
        </w:rPr>
        <w:t>%；卫生健康支出</w:t>
      </w:r>
      <w:r>
        <w:rPr>
          <w:rFonts w:hint="default" w:ascii="Times New Roman" w:hAnsi="Times New Roman" w:eastAsia="方正仿宋_GB2312" w:cs="Times New Roman"/>
          <w:b w:val="0"/>
          <w:bCs w:val="0"/>
          <w:color w:val="auto"/>
          <w:sz w:val="32"/>
          <w:szCs w:val="32"/>
          <w:lang w:val="en-US" w:eastAsia="zh-CN"/>
        </w:rPr>
        <w:t>8.48</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3.03</w:t>
      </w:r>
      <w:r>
        <w:rPr>
          <w:rFonts w:hint="default" w:ascii="Times New Roman" w:hAnsi="Times New Roman" w:eastAsia="方正仿宋_GB2312" w:cs="Times New Roman"/>
          <w:b w:val="0"/>
          <w:bCs w:val="0"/>
          <w:color w:val="auto"/>
          <w:sz w:val="32"/>
          <w:szCs w:val="32"/>
        </w:rPr>
        <w:t>%；住房保障支出</w:t>
      </w:r>
      <w:r>
        <w:rPr>
          <w:rFonts w:hint="default" w:ascii="Times New Roman" w:hAnsi="Times New Roman" w:eastAsia="方正仿宋_GB2312" w:cs="Times New Roman"/>
          <w:b w:val="0"/>
          <w:bCs w:val="0"/>
          <w:color w:val="auto"/>
          <w:sz w:val="32"/>
          <w:szCs w:val="32"/>
          <w:lang w:val="en-US" w:eastAsia="zh-CN"/>
        </w:rPr>
        <w:t>6.94</w:t>
      </w:r>
      <w:r>
        <w:rPr>
          <w:rFonts w:hint="default" w:ascii="Times New Roman" w:hAnsi="Times New Roman" w:eastAsia="方正仿宋_GB2312" w:cs="Times New Roman"/>
          <w:b w:val="0"/>
          <w:bCs w:val="0"/>
          <w:color w:val="auto"/>
          <w:sz w:val="32"/>
          <w:szCs w:val="32"/>
        </w:rPr>
        <w:t>万元，占</w:t>
      </w:r>
      <w:r>
        <w:rPr>
          <w:rFonts w:hint="default" w:ascii="Times New Roman" w:hAnsi="Times New Roman" w:eastAsia="方正仿宋_GB2312" w:cs="Times New Roman"/>
          <w:b w:val="0"/>
          <w:bCs w:val="0"/>
          <w:color w:val="auto"/>
          <w:sz w:val="32"/>
          <w:szCs w:val="32"/>
          <w:lang w:val="en-US" w:eastAsia="zh-CN"/>
        </w:rPr>
        <w:t>2.48</w:t>
      </w:r>
      <w:r>
        <w:rPr>
          <w:rFonts w:hint="default" w:ascii="Times New Roman" w:hAnsi="Times New Roman" w:eastAsia="方正仿宋_GB2312" w:cs="Times New Roman"/>
          <w:b w:val="0"/>
          <w:bCs w:val="0"/>
          <w:color w:val="auto"/>
          <w:sz w:val="32"/>
          <w:szCs w:val="32"/>
        </w:rPr>
        <w:t>%。</w:t>
      </w:r>
    </w:p>
    <w:p>
      <w:pPr>
        <w:spacing w:line="600" w:lineRule="exact"/>
        <w:ind w:firstLine="640"/>
        <w:rPr>
          <w:rFonts w:hint="default" w:ascii="Times New Roman" w:hAnsi="Times New Roman" w:eastAsia="方正仿宋_GB2312" w:cs="Times New Roman"/>
          <w:b w:val="0"/>
          <w:bCs w:val="0"/>
          <w:sz w:val="32"/>
          <w:szCs w:val="32"/>
        </w:rPr>
      </w:pPr>
      <w:r>
        <w:rPr>
          <w:rFonts w:hint="default" w:ascii="Times New Roman" w:hAnsi="Times New Roman" w:eastAsia="方正仿宋_GB2312" w:cs="Times New Roman"/>
          <w:b w:val="0"/>
          <w:bCs w:val="0"/>
          <w:sz w:val="32"/>
          <w:szCs w:val="32"/>
        </w:rPr>
        <w:t>（图6：一般公共预算财政拨款支出决算结构）（饼状图）</w:t>
      </w:r>
    </w:p>
    <w:p>
      <w:pPr>
        <w:spacing w:line="600" w:lineRule="exact"/>
        <w:ind w:firstLine="640" w:firstLineChars="200"/>
        <w:rPr>
          <w:rFonts w:ascii="仿宋" w:hAnsi="仿宋" w:eastAsia="仿宋"/>
          <w:sz w:val="32"/>
          <w:szCs w:val="32"/>
        </w:rPr>
      </w:pPr>
      <w:r>
        <w:rPr>
          <w:rFonts w:hint="eastAsia" w:ascii="仿宋_GB2312" w:hAnsi="仿宋_GB2312" w:eastAsia="仿宋_GB2312" w:cs="仿宋_GB2312"/>
          <w:sz w:val="32"/>
          <w:szCs w:val="32"/>
        </w:rPr>
        <w:drawing>
          <wp:anchor distT="0" distB="0" distL="114300" distR="114300" simplePos="0" relativeHeight="251662336" behindDoc="0" locked="0" layoutInCell="1" allowOverlap="1">
            <wp:simplePos x="0" y="0"/>
            <wp:positionH relativeFrom="margin">
              <wp:posOffset>279400</wp:posOffset>
            </wp:positionH>
            <wp:positionV relativeFrom="paragraph">
              <wp:posOffset>360045</wp:posOffset>
            </wp:positionV>
            <wp:extent cx="5013960" cy="1921510"/>
            <wp:effectExtent l="4445" t="4445" r="10795" b="1714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spacing w:line="600" w:lineRule="exact"/>
        <w:ind w:firstLine="643" w:firstLineChars="200"/>
        <w:outlineLvl w:val="2"/>
        <w:rPr>
          <w:rFonts w:ascii="仿宋" w:hAnsi="仿宋" w:eastAsia="仿宋"/>
          <w:b/>
          <w:sz w:val="32"/>
          <w:szCs w:val="32"/>
        </w:rPr>
      </w:pPr>
      <w:bookmarkStart w:id="30" w:name="_Toc15377212"/>
      <w:r>
        <w:rPr>
          <w:rFonts w:hint="eastAsia" w:ascii="方正楷体_GB2312" w:hAnsi="方正楷体_GB2312" w:eastAsia="方正楷体_GB2312" w:cs="方正楷体_GB2312"/>
          <w:b/>
          <w:sz w:val="32"/>
          <w:szCs w:val="32"/>
        </w:rPr>
        <w:t>（三）一般公共预算财政拨款支出决算具体情况</w:t>
      </w:r>
      <w:bookmarkEnd w:id="30"/>
    </w:p>
    <w:p>
      <w:pPr>
        <w:spacing w:line="600" w:lineRule="exact"/>
        <w:ind w:firstLine="640" w:firstLineChars="200"/>
        <w:outlineLvl w:val="2"/>
        <w:rPr>
          <w:rFonts w:hint="default" w:ascii="Times New Roman" w:hAnsi="Times New Roman" w:eastAsia="方正仿宋_GB2312" w:cs="Times New Roman"/>
          <w:b w:val="0"/>
          <w:bCs/>
          <w:sz w:val="32"/>
          <w:szCs w:val="32"/>
        </w:rPr>
      </w:pPr>
      <w:bookmarkStart w:id="31" w:name="_Toc15377444"/>
      <w:bookmarkStart w:id="32" w:name="_Toc15377213"/>
      <w:bookmarkStart w:id="33" w:name="_Toc15378460"/>
      <w:r>
        <w:rPr>
          <w:rFonts w:hint="default" w:ascii="Times New Roman" w:hAnsi="Times New Roman" w:eastAsia="方正仿宋_GB2312" w:cs="Times New Roman"/>
          <w:b w:val="0"/>
          <w:bCs/>
          <w:sz w:val="32"/>
          <w:szCs w:val="32"/>
        </w:rPr>
        <w:t>2023年度一般公共预算支出决算数为280.19</w:t>
      </w:r>
      <w:r>
        <w:rPr>
          <w:rFonts w:hint="default" w:ascii="Times New Roman" w:hAnsi="Times New Roman" w:eastAsia="方正仿宋_GB2312" w:cs="Times New Roman"/>
          <w:b w:val="0"/>
          <w:bCs/>
          <w:sz w:val="32"/>
          <w:szCs w:val="32"/>
          <w:lang w:eastAsia="zh-CN"/>
        </w:rPr>
        <w:t>万元</w:t>
      </w:r>
      <w:r>
        <w:rPr>
          <w:rFonts w:hint="default" w:ascii="Times New Roman" w:hAnsi="Times New Roman" w:eastAsia="方正仿宋_GB2312" w:cs="Times New Roman"/>
          <w:b w:val="0"/>
          <w:bCs/>
          <w:sz w:val="32"/>
          <w:szCs w:val="32"/>
        </w:rPr>
        <w:t>，</w:t>
      </w:r>
      <w:r>
        <w:rPr>
          <w:rStyle w:val="16"/>
          <w:rFonts w:hint="default" w:ascii="Times New Roman" w:hAnsi="Times New Roman" w:eastAsia="方正仿宋_GB2312" w:cs="Times New Roman"/>
          <w:b w:val="0"/>
          <w:bCs/>
          <w:sz w:val="32"/>
          <w:szCs w:val="32"/>
        </w:rPr>
        <w:t>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%。其中：</w:t>
      </w:r>
      <w:bookmarkEnd w:id="31"/>
      <w:bookmarkEnd w:id="32"/>
      <w:bookmarkEnd w:id="33"/>
    </w:p>
    <w:p>
      <w:pPr>
        <w:spacing w:line="600" w:lineRule="exact"/>
        <w:ind w:firstLine="643" w:firstLineChars="200"/>
        <w:rPr>
          <w:rFonts w:hint="default" w:ascii="Times New Roman" w:hAnsi="Times New Roman" w:eastAsia="方正仿宋_GB2312" w:cs="Times New Roman"/>
          <w:b w:val="0"/>
          <w:bCs/>
          <w:sz w:val="32"/>
          <w:szCs w:val="32"/>
        </w:rPr>
      </w:pPr>
      <w:r>
        <w:rPr>
          <w:rStyle w:val="16"/>
          <w:rFonts w:hint="default" w:ascii="Times New Roman" w:hAnsi="Times New Roman" w:eastAsia="方正仿宋_GB2312" w:cs="Times New Roman"/>
          <w:b/>
          <w:bCs w:val="0"/>
          <w:sz w:val="32"/>
          <w:szCs w:val="32"/>
        </w:rPr>
        <w:t>1.文化旅游体育与传媒（类）</w:t>
      </w:r>
      <w:r>
        <w:rPr>
          <w:rStyle w:val="16"/>
          <w:rFonts w:hint="default" w:ascii="Times New Roman" w:hAnsi="Times New Roman" w:eastAsia="方正仿宋_GB2312" w:cs="Times New Roman"/>
          <w:b/>
          <w:bCs w:val="0"/>
          <w:sz w:val="32"/>
          <w:szCs w:val="32"/>
          <w:lang w:eastAsia="zh-CN"/>
        </w:rPr>
        <w:t>文化和旅游</w:t>
      </w:r>
      <w:r>
        <w:rPr>
          <w:rStyle w:val="16"/>
          <w:rFonts w:hint="default" w:ascii="Times New Roman" w:hAnsi="Times New Roman" w:eastAsia="方正仿宋_GB2312" w:cs="Times New Roman"/>
          <w:b/>
          <w:bCs w:val="0"/>
          <w:sz w:val="32"/>
          <w:szCs w:val="32"/>
        </w:rPr>
        <w:t>（款）</w:t>
      </w:r>
      <w:r>
        <w:rPr>
          <w:rStyle w:val="16"/>
          <w:rFonts w:hint="default" w:ascii="Times New Roman" w:hAnsi="Times New Roman" w:eastAsia="方正仿宋_GB2312" w:cs="Times New Roman"/>
          <w:b/>
          <w:bCs w:val="0"/>
          <w:sz w:val="32"/>
          <w:szCs w:val="32"/>
          <w:lang w:eastAsia="zh-CN"/>
        </w:rPr>
        <w:t>文化活动</w:t>
      </w:r>
      <w:r>
        <w:rPr>
          <w:rStyle w:val="16"/>
          <w:rFonts w:hint="default" w:ascii="Times New Roman" w:hAnsi="Times New Roman" w:eastAsia="方正仿宋_GB2312" w:cs="Times New Roman"/>
          <w:b/>
          <w:bCs w:val="0"/>
          <w:sz w:val="32"/>
          <w:szCs w:val="32"/>
        </w:rPr>
        <w:t>（项）:</w:t>
      </w:r>
      <w:r>
        <w:rPr>
          <w:rStyle w:val="16"/>
          <w:rFonts w:hint="default" w:ascii="Times New Roman" w:hAnsi="Times New Roman" w:eastAsia="方正仿宋_GB2312" w:cs="Times New Roman"/>
          <w:b w:val="0"/>
          <w:bCs/>
          <w:sz w:val="32"/>
          <w:szCs w:val="32"/>
        </w:rPr>
        <w:t xml:space="preserve"> 支出决算为</w:t>
      </w:r>
      <w:r>
        <w:rPr>
          <w:rStyle w:val="16"/>
          <w:rFonts w:hint="default" w:ascii="Times New Roman" w:hAnsi="Times New Roman" w:eastAsia="方正仿宋_GB2312" w:cs="Times New Roman"/>
          <w:b w:val="0"/>
          <w:bCs/>
          <w:sz w:val="32"/>
          <w:szCs w:val="32"/>
          <w:lang w:val="en-US" w:eastAsia="zh-CN"/>
        </w:rPr>
        <w:t>11.51</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Fonts w:hint="default" w:ascii="Times New Roman" w:hAnsi="Times New Roman" w:eastAsia="方正仿宋_GB2312" w:cs="Times New Roman"/>
          <w:b w:val="0"/>
          <w:bCs/>
          <w:sz w:val="32"/>
          <w:szCs w:val="32"/>
        </w:rPr>
      </w:pPr>
      <w:r>
        <w:rPr>
          <w:rStyle w:val="16"/>
          <w:rFonts w:hint="default" w:ascii="Times New Roman" w:hAnsi="Times New Roman" w:eastAsia="方正仿宋_GB2312" w:cs="Times New Roman"/>
          <w:b/>
          <w:bCs w:val="0"/>
          <w:sz w:val="32"/>
          <w:szCs w:val="32"/>
        </w:rPr>
        <w:t>2.文化旅游体育与传媒（类）</w:t>
      </w:r>
      <w:r>
        <w:rPr>
          <w:rStyle w:val="16"/>
          <w:rFonts w:hint="default" w:ascii="Times New Roman" w:hAnsi="Times New Roman" w:eastAsia="方正仿宋_GB2312" w:cs="Times New Roman"/>
          <w:b/>
          <w:bCs w:val="0"/>
          <w:sz w:val="32"/>
          <w:szCs w:val="32"/>
          <w:lang w:eastAsia="zh-CN"/>
        </w:rPr>
        <w:t>文化和旅游</w:t>
      </w:r>
      <w:r>
        <w:rPr>
          <w:rStyle w:val="16"/>
          <w:rFonts w:hint="default" w:ascii="Times New Roman" w:hAnsi="Times New Roman" w:eastAsia="方正仿宋_GB2312" w:cs="Times New Roman"/>
          <w:b/>
          <w:bCs w:val="0"/>
          <w:sz w:val="32"/>
          <w:szCs w:val="32"/>
        </w:rPr>
        <w:t>（款）</w:t>
      </w:r>
      <w:r>
        <w:rPr>
          <w:rStyle w:val="16"/>
          <w:rFonts w:hint="default" w:ascii="Times New Roman" w:hAnsi="Times New Roman" w:eastAsia="方正仿宋_GB2312" w:cs="Times New Roman"/>
          <w:b/>
          <w:bCs w:val="0"/>
          <w:sz w:val="32"/>
          <w:szCs w:val="32"/>
          <w:lang w:eastAsia="zh-CN"/>
        </w:rPr>
        <w:t>群众文化</w:t>
      </w:r>
      <w:r>
        <w:rPr>
          <w:rStyle w:val="16"/>
          <w:rFonts w:hint="default" w:ascii="Times New Roman" w:hAnsi="Times New Roman" w:eastAsia="方正仿宋_GB2312" w:cs="Times New Roman"/>
          <w:b/>
          <w:bCs w:val="0"/>
          <w:sz w:val="32"/>
          <w:szCs w:val="32"/>
        </w:rPr>
        <w:t xml:space="preserve">（项）: </w:t>
      </w:r>
      <w:r>
        <w:rPr>
          <w:rStyle w:val="16"/>
          <w:rFonts w:hint="default" w:ascii="Times New Roman" w:hAnsi="Times New Roman" w:eastAsia="方正仿宋_GB2312" w:cs="Times New Roman"/>
          <w:b w:val="0"/>
          <w:bCs/>
          <w:sz w:val="32"/>
          <w:szCs w:val="32"/>
        </w:rPr>
        <w:t>支出决算为</w:t>
      </w:r>
      <w:r>
        <w:rPr>
          <w:rStyle w:val="16"/>
          <w:rFonts w:hint="default" w:ascii="Times New Roman" w:hAnsi="Times New Roman" w:eastAsia="方正仿宋_GB2312" w:cs="Times New Roman"/>
          <w:b w:val="0"/>
          <w:bCs/>
          <w:sz w:val="32"/>
          <w:szCs w:val="32"/>
          <w:lang w:val="en-US" w:eastAsia="zh-CN"/>
        </w:rPr>
        <w:t>118.96</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Style w:val="16"/>
          <w:rFonts w:hint="default" w:ascii="Times New Roman" w:hAnsi="Times New Roman" w:eastAsia="方正仿宋_GB2312" w:cs="Times New Roman"/>
          <w:b w:val="0"/>
          <w:bCs/>
          <w:sz w:val="32"/>
          <w:szCs w:val="32"/>
        </w:rPr>
      </w:pPr>
      <w:r>
        <w:rPr>
          <w:rStyle w:val="16"/>
          <w:rFonts w:hint="default" w:ascii="Times New Roman" w:hAnsi="Times New Roman" w:eastAsia="方正仿宋_GB2312" w:cs="Times New Roman"/>
          <w:b/>
          <w:bCs w:val="0"/>
          <w:sz w:val="32"/>
          <w:szCs w:val="32"/>
        </w:rPr>
        <w:t>3.文化旅游体育与传媒（类）</w:t>
      </w:r>
      <w:r>
        <w:rPr>
          <w:rStyle w:val="16"/>
          <w:rFonts w:hint="default" w:ascii="Times New Roman" w:hAnsi="Times New Roman" w:eastAsia="方正仿宋_GB2312" w:cs="Times New Roman"/>
          <w:b/>
          <w:bCs w:val="0"/>
          <w:sz w:val="32"/>
          <w:szCs w:val="32"/>
          <w:lang w:eastAsia="zh-CN"/>
        </w:rPr>
        <w:t>文化和旅游</w:t>
      </w:r>
      <w:r>
        <w:rPr>
          <w:rStyle w:val="16"/>
          <w:rFonts w:hint="default" w:ascii="Times New Roman" w:hAnsi="Times New Roman" w:eastAsia="方正仿宋_GB2312" w:cs="Times New Roman"/>
          <w:b/>
          <w:bCs w:val="0"/>
          <w:sz w:val="32"/>
          <w:szCs w:val="32"/>
        </w:rPr>
        <w:t>（款）</w:t>
      </w:r>
      <w:r>
        <w:rPr>
          <w:rStyle w:val="16"/>
          <w:rFonts w:hint="default" w:ascii="Times New Roman" w:hAnsi="Times New Roman" w:eastAsia="方正仿宋_GB2312" w:cs="Times New Roman"/>
          <w:b/>
          <w:bCs w:val="0"/>
          <w:sz w:val="32"/>
          <w:szCs w:val="32"/>
          <w:lang w:eastAsia="zh-CN"/>
        </w:rPr>
        <w:t>其他文化和旅游支出</w:t>
      </w:r>
      <w:r>
        <w:rPr>
          <w:rStyle w:val="16"/>
          <w:rFonts w:hint="default" w:ascii="Times New Roman" w:hAnsi="Times New Roman" w:eastAsia="方正仿宋_GB2312" w:cs="Times New Roman"/>
          <w:b/>
          <w:bCs w:val="0"/>
          <w:sz w:val="32"/>
          <w:szCs w:val="32"/>
        </w:rPr>
        <w:t>（项）:</w:t>
      </w:r>
      <w:r>
        <w:rPr>
          <w:rStyle w:val="16"/>
          <w:rFonts w:hint="default" w:ascii="Times New Roman" w:hAnsi="Times New Roman" w:eastAsia="方正仿宋_GB2312" w:cs="Times New Roman"/>
          <w:b w:val="0"/>
          <w:bCs/>
          <w:sz w:val="32"/>
          <w:szCs w:val="32"/>
        </w:rPr>
        <w:t xml:space="preserve"> 支出决算为</w:t>
      </w:r>
      <w:r>
        <w:rPr>
          <w:rStyle w:val="16"/>
          <w:rFonts w:hint="default" w:ascii="Times New Roman" w:hAnsi="Times New Roman" w:eastAsia="方正仿宋_GB2312" w:cs="Times New Roman"/>
          <w:b w:val="0"/>
          <w:bCs/>
          <w:sz w:val="32"/>
          <w:szCs w:val="32"/>
          <w:lang w:val="en-US" w:eastAsia="zh-CN"/>
        </w:rPr>
        <w:t>107.25</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Style w:val="16"/>
          <w:rFonts w:hint="default" w:ascii="Times New Roman" w:hAnsi="Times New Roman" w:eastAsia="方正仿宋_GB2312" w:cs="Times New Roman"/>
          <w:b w:val="0"/>
          <w:bCs/>
          <w:sz w:val="32"/>
          <w:szCs w:val="32"/>
        </w:rPr>
      </w:pPr>
      <w:r>
        <w:rPr>
          <w:rStyle w:val="16"/>
          <w:rFonts w:hint="default" w:ascii="Times New Roman" w:hAnsi="Times New Roman" w:eastAsia="方正仿宋_GB2312" w:cs="Times New Roman"/>
          <w:bCs/>
          <w:sz w:val="32"/>
          <w:szCs w:val="32"/>
        </w:rPr>
        <w:t>4.社会保障和就业（类）</w:t>
      </w:r>
      <w:r>
        <w:rPr>
          <w:rStyle w:val="16"/>
          <w:rFonts w:hint="default" w:ascii="Times New Roman" w:hAnsi="Times New Roman" w:eastAsia="方正仿宋_GB2312" w:cs="Times New Roman"/>
          <w:bCs/>
          <w:sz w:val="32"/>
          <w:szCs w:val="32"/>
          <w:lang w:eastAsia="zh-CN"/>
        </w:rPr>
        <w:t>行政事业单位养老支出</w:t>
      </w:r>
      <w:r>
        <w:rPr>
          <w:rStyle w:val="16"/>
          <w:rFonts w:hint="default" w:ascii="Times New Roman" w:hAnsi="Times New Roman" w:eastAsia="方正仿宋_GB2312" w:cs="Times New Roman"/>
          <w:bCs/>
          <w:sz w:val="32"/>
          <w:szCs w:val="32"/>
        </w:rPr>
        <w:t>（款）</w:t>
      </w:r>
      <w:r>
        <w:rPr>
          <w:rStyle w:val="16"/>
          <w:rFonts w:hint="default" w:ascii="Times New Roman" w:hAnsi="Times New Roman" w:eastAsia="方正仿宋_GB2312" w:cs="Times New Roman"/>
          <w:bCs/>
          <w:sz w:val="32"/>
          <w:szCs w:val="32"/>
          <w:lang w:eastAsia="zh-CN"/>
        </w:rPr>
        <w:t>事业单位离退休</w:t>
      </w:r>
      <w:r>
        <w:rPr>
          <w:rStyle w:val="16"/>
          <w:rFonts w:hint="default" w:ascii="Times New Roman" w:hAnsi="Times New Roman" w:eastAsia="方正仿宋_GB2312" w:cs="Times New Roman"/>
          <w:bCs/>
          <w:sz w:val="32"/>
          <w:szCs w:val="32"/>
        </w:rPr>
        <w:t>（项）:</w:t>
      </w:r>
      <w:r>
        <w:rPr>
          <w:rStyle w:val="16"/>
          <w:rFonts w:hint="default" w:ascii="Times New Roman" w:hAnsi="Times New Roman" w:eastAsia="方正仿宋_GB2312" w:cs="Times New Roman"/>
          <w:b w:val="0"/>
          <w:bCs/>
          <w:sz w:val="32"/>
          <w:szCs w:val="32"/>
        </w:rPr>
        <w:t xml:space="preserve"> 支出决算为</w:t>
      </w:r>
      <w:r>
        <w:rPr>
          <w:rStyle w:val="16"/>
          <w:rFonts w:hint="default" w:ascii="Times New Roman" w:hAnsi="Times New Roman" w:eastAsia="方正仿宋_GB2312" w:cs="Times New Roman"/>
          <w:b w:val="0"/>
          <w:bCs/>
          <w:sz w:val="32"/>
          <w:szCs w:val="32"/>
          <w:lang w:val="en-US" w:eastAsia="zh-CN"/>
        </w:rPr>
        <w:t>16.8</w:t>
      </w:r>
      <w:r>
        <w:rPr>
          <w:rStyle w:val="16"/>
          <w:rFonts w:hint="eastAsia" w:eastAsia="方正仿宋_GB2312" w:cs="Times New Roman"/>
          <w:b w:val="0"/>
          <w:bCs/>
          <w:sz w:val="32"/>
          <w:szCs w:val="32"/>
          <w:lang w:val="en-US" w:eastAsia="zh-CN"/>
        </w:rPr>
        <w:t>3</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Style w:val="16"/>
          <w:rFonts w:hint="default" w:ascii="Times New Roman" w:hAnsi="Times New Roman" w:eastAsia="方正仿宋_GB2312" w:cs="Times New Roman"/>
          <w:b w:val="0"/>
          <w:bCs/>
          <w:sz w:val="32"/>
          <w:szCs w:val="32"/>
        </w:rPr>
      </w:pPr>
      <w:r>
        <w:rPr>
          <w:rStyle w:val="16"/>
          <w:rFonts w:hint="default" w:ascii="Times New Roman" w:hAnsi="Times New Roman" w:eastAsia="方正仿宋_GB2312" w:cs="Times New Roman"/>
          <w:bCs/>
          <w:sz w:val="32"/>
          <w:szCs w:val="32"/>
          <w:lang w:val="en-US" w:eastAsia="zh-CN"/>
        </w:rPr>
        <w:t>5</w:t>
      </w:r>
      <w:r>
        <w:rPr>
          <w:rStyle w:val="16"/>
          <w:rFonts w:hint="default" w:ascii="Times New Roman" w:hAnsi="Times New Roman" w:eastAsia="方正仿宋_GB2312" w:cs="Times New Roman"/>
          <w:bCs/>
          <w:sz w:val="32"/>
          <w:szCs w:val="32"/>
        </w:rPr>
        <w:t>.社会保障和就业（类）</w:t>
      </w:r>
      <w:r>
        <w:rPr>
          <w:rStyle w:val="16"/>
          <w:rFonts w:hint="default" w:ascii="Times New Roman" w:hAnsi="Times New Roman" w:eastAsia="方正仿宋_GB2312" w:cs="Times New Roman"/>
          <w:bCs/>
          <w:sz w:val="32"/>
          <w:szCs w:val="32"/>
          <w:lang w:eastAsia="zh-CN"/>
        </w:rPr>
        <w:t>行政事业单位养老支出</w:t>
      </w:r>
      <w:r>
        <w:rPr>
          <w:rStyle w:val="16"/>
          <w:rFonts w:hint="default" w:ascii="Times New Roman" w:hAnsi="Times New Roman" w:eastAsia="方正仿宋_GB2312" w:cs="Times New Roman"/>
          <w:bCs/>
          <w:sz w:val="32"/>
          <w:szCs w:val="32"/>
        </w:rPr>
        <w:t>（款）</w:t>
      </w:r>
      <w:r>
        <w:rPr>
          <w:rStyle w:val="16"/>
          <w:rFonts w:hint="default" w:ascii="Times New Roman" w:hAnsi="Times New Roman" w:eastAsia="方正仿宋_GB2312" w:cs="Times New Roman"/>
          <w:bCs/>
          <w:sz w:val="32"/>
          <w:szCs w:val="32"/>
          <w:lang w:eastAsia="zh-CN"/>
        </w:rPr>
        <w:t>机关事业单位基本养老保险缴费支出</w:t>
      </w:r>
      <w:r>
        <w:rPr>
          <w:rStyle w:val="16"/>
          <w:rFonts w:hint="default" w:ascii="Times New Roman" w:hAnsi="Times New Roman" w:eastAsia="方正仿宋_GB2312" w:cs="Times New Roman"/>
          <w:bCs/>
          <w:sz w:val="32"/>
          <w:szCs w:val="32"/>
        </w:rPr>
        <w:t>（项）:</w:t>
      </w:r>
      <w:r>
        <w:rPr>
          <w:rStyle w:val="16"/>
          <w:rFonts w:hint="default" w:ascii="Times New Roman" w:hAnsi="Times New Roman" w:eastAsia="方正仿宋_GB2312" w:cs="Times New Roman"/>
          <w:b w:val="0"/>
          <w:bCs/>
          <w:sz w:val="32"/>
          <w:szCs w:val="32"/>
        </w:rPr>
        <w:t xml:space="preserve"> 支出决算为</w:t>
      </w:r>
      <w:r>
        <w:rPr>
          <w:rStyle w:val="16"/>
          <w:rFonts w:hint="default" w:ascii="Times New Roman" w:hAnsi="Times New Roman" w:eastAsia="方正仿宋_GB2312" w:cs="Times New Roman"/>
          <w:b w:val="0"/>
          <w:bCs/>
          <w:sz w:val="32"/>
          <w:szCs w:val="32"/>
          <w:lang w:val="en-US" w:eastAsia="zh-CN"/>
        </w:rPr>
        <w:t>10.17</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Fonts w:hint="default" w:ascii="Times New Roman" w:hAnsi="Times New Roman" w:eastAsia="方正仿宋_GB2312" w:cs="Times New Roman"/>
          <w:b/>
          <w:sz w:val="32"/>
          <w:szCs w:val="32"/>
        </w:rPr>
      </w:pPr>
      <w:r>
        <w:rPr>
          <w:rStyle w:val="16"/>
          <w:rFonts w:hint="default" w:ascii="Times New Roman" w:hAnsi="Times New Roman" w:eastAsia="方正仿宋_GB2312" w:cs="Times New Roman"/>
          <w:bCs/>
          <w:sz w:val="32"/>
          <w:szCs w:val="32"/>
          <w:lang w:val="en-US" w:eastAsia="zh-CN"/>
        </w:rPr>
        <w:t>6</w:t>
      </w:r>
      <w:r>
        <w:rPr>
          <w:rStyle w:val="16"/>
          <w:rFonts w:hint="default" w:ascii="Times New Roman" w:hAnsi="Times New Roman" w:eastAsia="方正仿宋_GB2312" w:cs="Times New Roman"/>
          <w:bCs/>
          <w:sz w:val="32"/>
          <w:szCs w:val="32"/>
        </w:rPr>
        <w:t>.社会保障和就业（类）</w:t>
      </w:r>
      <w:r>
        <w:rPr>
          <w:rStyle w:val="16"/>
          <w:rFonts w:hint="default" w:ascii="Times New Roman" w:hAnsi="Times New Roman" w:eastAsia="方正仿宋_GB2312" w:cs="Times New Roman"/>
          <w:bCs/>
          <w:sz w:val="32"/>
          <w:szCs w:val="32"/>
          <w:lang w:eastAsia="zh-CN"/>
        </w:rPr>
        <w:t>行政事业单位养老支出</w:t>
      </w:r>
      <w:r>
        <w:rPr>
          <w:rStyle w:val="16"/>
          <w:rFonts w:hint="default" w:ascii="Times New Roman" w:hAnsi="Times New Roman" w:eastAsia="方正仿宋_GB2312" w:cs="Times New Roman"/>
          <w:bCs/>
          <w:sz w:val="32"/>
          <w:szCs w:val="32"/>
        </w:rPr>
        <w:t>（款）</w:t>
      </w:r>
      <w:r>
        <w:rPr>
          <w:rStyle w:val="16"/>
          <w:rFonts w:hint="default" w:ascii="Times New Roman" w:hAnsi="Times New Roman" w:eastAsia="方正仿宋_GB2312" w:cs="Times New Roman"/>
          <w:bCs/>
          <w:sz w:val="32"/>
          <w:szCs w:val="32"/>
          <w:lang w:eastAsia="zh-CN"/>
        </w:rPr>
        <w:t>机关事业单位职业年金缴费支出</w:t>
      </w:r>
      <w:r>
        <w:rPr>
          <w:rStyle w:val="16"/>
          <w:rFonts w:hint="default" w:ascii="Times New Roman" w:hAnsi="Times New Roman" w:eastAsia="方正仿宋_GB2312" w:cs="Times New Roman"/>
          <w:bCs/>
          <w:sz w:val="32"/>
          <w:szCs w:val="32"/>
        </w:rPr>
        <w:t>（项）:</w:t>
      </w:r>
      <w:r>
        <w:rPr>
          <w:rStyle w:val="16"/>
          <w:rFonts w:hint="default" w:ascii="Times New Roman" w:hAnsi="Times New Roman" w:eastAsia="方正仿宋_GB2312" w:cs="Times New Roman"/>
          <w:b w:val="0"/>
          <w:bCs/>
          <w:sz w:val="32"/>
          <w:szCs w:val="32"/>
        </w:rPr>
        <w:t xml:space="preserve"> 支出决算为</w:t>
      </w:r>
      <w:r>
        <w:rPr>
          <w:rStyle w:val="16"/>
          <w:rFonts w:hint="default" w:ascii="Times New Roman" w:hAnsi="Times New Roman" w:eastAsia="方正仿宋_GB2312" w:cs="Times New Roman"/>
          <w:b w:val="0"/>
          <w:bCs/>
          <w:sz w:val="32"/>
          <w:szCs w:val="32"/>
          <w:lang w:val="en-US" w:eastAsia="zh-CN"/>
        </w:rPr>
        <w:t>0.05</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Fonts w:hint="default" w:ascii="Times New Roman" w:hAnsi="Times New Roman" w:eastAsia="方正仿宋_GB2312" w:cs="Times New Roman"/>
          <w:b/>
          <w:sz w:val="32"/>
          <w:szCs w:val="32"/>
        </w:rPr>
      </w:pPr>
      <w:r>
        <w:rPr>
          <w:rStyle w:val="16"/>
          <w:rFonts w:hint="default" w:ascii="Times New Roman" w:hAnsi="Times New Roman" w:eastAsia="方正仿宋_GB2312" w:cs="Times New Roman"/>
          <w:bCs/>
          <w:sz w:val="32"/>
          <w:szCs w:val="32"/>
          <w:lang w:val="en-US" w:eastAsia="zh-CN"/>
        </w:rPr>
        <w:t>7</w:t>
      </w:r>
      <w:r>
        <w:rPr>
          <w:rStyle w:val="16"/>
          <w:rFonts w:hint="default" w:ascii="Times New Roman" w:hAnsi="Times New Roman" w:eastAsia="方正仿宋_GB2312" w:cs="Times New Roman"/>
          <w:bCs/>
          <w:sz w:val="32"/>
          <w:szCs w:val="32"/>
        </w:rPr>
        <w:t>.</w:t>
      </w:r>
      <w:r>
        <w:rPr>
          <w:rFonts w:hint="default" w:ascii="Times New Roman" w:hAnsi="Times New Roman" w:eastAsia="方正仿宋_GB2312" w:cs="Times New Roman"/>
          <w:b/>
          <w:bCs/>
          <w:sz w:val="32"/>
          <w:szCs w:val="32"/>
        </w:rPr>
        <w:t>卫生健康</w:t>
      </w:r>
      <w:r>
        <w:rPr>
          <w:rStyle w:val="16"/>
          <w:rFonts w:hint="default" w:ascii="Times New Roman" w:hAnsi="Times New Roman" w:eastAsia="方正仿宋_GB2312" w:cs="Times New Roman"/>
          <w:bCs/>
          <w:sz w:val="32"/>
          <w:szCs w:val="32"/>
        </w:rPr>
        <w:t>（类）</w:t>
      </w:r>
      <w:r>
        <w:rPr>
          <w:rStyle w:val="16"/>
          <w:rFonts w:hint="default" w:ascii="Times New Roman" w:hAnsi="Times New Roman" w:eastAsia="方正仿宋_GB2312" w:cs="Times New Roman"/>
          <w:bCs/>
          <w:sz w:val="32"/>
          <w:szCs w:val="32"/>
          <w:lang w:eastAsia="zh-CN"/>
        </w:rPr>
        <w:t>行政事业单位医疗</w:t>
      </w:r>
      <w:r>
        <w:rPr>
          <w:rStyle w:val="16"/>
          <w:rFonts w:hint="default" w:ascii="Times New Roman" w:hAnsi="Times New Roman" w:eastAsia="方正仿宋_GB2312" w:cs="Times New Roman"/>
          <w:bCs/>
          <w:sz w:val="32"/>
          <w:szCs w:val="32"/>
        </w:rPr>
        <w:t>（款）</w:t>
      </w:r>
      <w:r>
        <w:rPr>
          <w:rStyle w:val="16"/>
          <w:rFonts w:hint="default" w:ascii="Times New Roman" w:hAnsi="Times New Roman" w:eastAsia="方正仿宋_GB2312" w:cs="Times New Roman"/>
          <w:bCs/>
          <w:sz w:val="32"/>
          <w:szCs w:val="32"/>
          <w:lang w:eastAsia="zh-CN"/>
        </w:rPr>
        <w:t>事业单位医疗</w:t>
      </w:r>
      <w:r>
        <w:rPr>
          <w:rStyle w:val="16"/>
          <w:rFonts w:hint="default" w:ascii="Times New Roman" w:hAnsi="Times New Roman" w:eastAsia="方正仿宋_GB2312" w:cs="Times New Roman"/>
          <w:bCs/>
          <w:sz w:val="32"/>
          <w:szCs w:val="32"/>
        </w:rPr>
        <w:t>（项）:</w:t>
      </w:r>
      <w:r>
        <w:rPr>
          <w:rStyle w:val="16"/>
          <w:rFonts w:hint="default" w:ascii="Times New Roman" w:hAnsi="Times New Roman" w:eastAsia="方正仿宋_GB2312" w:cs="Times New Roman"/>
          <w:b w:val="0"/>
          <w:bCs/>
          <w:sz w:val="32"/>
          <w:szCs w:val="32"/>
        </w:rPr>
        <w:t>支出决算为</w:t>
      </w:r>
      <w:r>
        <w:rPr>
          <w:rStyle w:val="16"/>
          <w:rFonts w:hint="default" w:ascii="Times New Roman" w:hAnsi="Times New Roman" w:eastAsia="方正仿宋_GB2312" w:cs="Times New Roman"/>
          <w:b w:val="0"/>
          <w:bCs/>
          <w:sz w:val="32"/>
          <w:szCs w:val="32"/>
          <w:lang w:val="en-US" w:eastAsia="zh-CN"/>
        </w:rPr>
        <w:t>5.28</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Style w:val="16"/>
          <w:rFonts w:hint="default" w:ascii="Times New Roman" w:hAnsi="Times New Roman" w:eastAsia="方正仿宋_GB2312" w:cs="Times New Roman"/>
          <w:b w:val="0"/>
          <w:bCs/>
          <w:sz w:val="32"/>
          <w:szCs w:val="32"/>
        </w:rPr>
      </w:pPr>
      <w:r>
        <w:rPr>
          <w:rStyle w:val="16"/>
          <w:rFonts w:hint="default" w:ascii="Times New Roman" w:hAnsi="Times New Roman" w:eastAsia="方正仿宋_GB2312" w:cs="Times New Roman"/>
          <w:bCs/>
          <w:sz w:val="32"/>
          <w:szCs w:val="32"/>
          <w:lang w:val="en-US" w:eastAsia="zh-CN"/>
        </w:rPr>
        <w:t>8</w:t>
      </w:r>
      <w:r>
        <w:rPr>
          <w:rStyle w:val="16"/>
          <w:rFonts w:hint="default" w:ascii="Times New Roman" w:hAnsi="Times New Roman" w:eastAsia="方正仿宋_GB2312" w:cs="Times New Roman"/>
          <w:bCs/>
          <w:sz w:val="32"/>
          <w:szCs w:val="32"/>
        </w:rPr>
        <w:t>.</w:t>
      </w:r>
      <w:r>
        <w:rPr>
          <w:rFonts w:hint="default" w:ascii="Times New Roman" w:hAnsi="Times New Roman" w:eastAsia="方正仿宋_GB2312" w:cs="Times New Roman"/>
          <w:b/>
          <w:bCs/>
          <w:sz w:val="32"/>
          <w:szCs w:val="32"/>
        </w:rPr>
        <w:t>卫生健康</w:t>
      </w:r>
      <w:r>
        <w:rPr>
          <w:rStyle w:val="16"/>
          <w:rFonts w:hint="default" w:ascii="Times New Roman" w:hAnsi="Times New Roman" w:eastAsia="方正仿宋_GB2312" w:cs="Times New Roman"/>
          <w:bCs/>
          <w:sz w:val="32"/>
          <w:szCs w:val="32"/>
        </w:rPr>
        <w:t>（类）</w:t>
      </w:r>
      <w:r>
        <w:rPr>
          <w:rStyle w:val="16"/>
          <w:rFonts w:hint="default" w:ascii="Times New Roman" w:hAnsi="Times New Roman" w:eastAsia="方正仿宋_GB2312" w:cs="Times New Roman"/>
          <w:bCs/>
          <w:sz w:val="32"/>
          <w:szCs w:val="32"/>
          <w:lang w:eastAsia="zh-CN"/>
        </w:rPr>
        <w:t>行政事业单位医疗</w:t>
      </w:r>
      <w:r>
        <w:rPr>
          <w:rStyle w:val="16"/>
          <w:rFonts w:hint="default" w:ascii="Times New Roman" w:hAnsi="Times New Roman" w:eastAsia="方正仿宋_GB2312" w:cs="Times New Roman"/>
          <w:bCs/>
          <w:sz w:val="32"/>
          <w:szCs w:val="32"/>
        </w:rPr>
        <w:t>（款）</w:t>
      </w:r>
      <w:r>
        <w:rPr>
          <w:rStyle w:val="16"/>
          <w:rFonts w:hint="default" w:ascii="Times New Roman" w:hAnsi="Times New Roman" w:eastAsia="方正仿宋_GB2312" w:cs="Times New Roman"/>
          <w:bCs/>
          <w:sz w:val="32"/>
          <w:szCs w:val="32"/>
          <w:lang w:eastAsia="zh-CN"/>
        </w:rPr>
        <w:t>其他行政事业单位医疗支出</w:t>
      </w:r>
      <w:r>
        <w:rPr>
          <w:rStyle w:val="16"/>
          <w:rFonts w:hint="default" w:ascii="Times New Roman" w:hAnsi="Times New Roman" w:eastAsia="方正仿宋_GB2312" w:cs="Times New Roman"/>
          <w:bCs/>
          <w:sz w:val="32"/>
          <w:szCs w:val="32"/>
        </w:rPr>
        <w:t>（项）:</w:t>
      </w:r>
      <w:r>
        <w:rPr>
          <w:rStyle w:val="16"/>
          <w:rFonts w:hint="default" w:ascii="Times New Roman" w:hAnsi="Times New Roman" w:eastAsia="方正仿宋_GB2312" w:cs="Times New Roman"/>
          <w:b w:val="0"/>
          <w:bCs/>
          <w:sz w:val="32"/>
          <w:szCs w:val="32"/>
        </w:rPr>
        <w:t>支出决算为</w:t>
      </w:r>
      <w:r>
        <w:rPr>
          <w:rStyle w:val="16"/>
          <w:rFonts w:hint="default" w:ascii="Times New Roman" w:hAnsi="Times New Roman" w:eastAsia="方正仿宋_GB2312" w:cs="Times New Roman"/>
          <w:b w:val="0"/>
          <w:bCs/>
          <w:sz w:val="32"/>
          <w:szCs w:val="32"/>
          <w:lang w:val="en-US" w:eastAsia="zh-CN"/>
        </w:rPr>
        <w:t>3.2</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spacing w:line="600" w:lineRule="exact"/>
        <w:ind w:firstLine="643" w:firstLineChars="200"/>
        <w:rPr>
          <w:rFonts w:hint="default" w:ascii="Times New Roman" w:hAnsi="Times New Roman" w:eastAsia="方正仿宋_GB2312" w:cs="Times New Roman"/>
          <w:b/>
          <w:sz w:val="32"/>
          <w:szCs w:val="32"/>
        </w:rPr>
      </w:pPr>
      <w:r>
        <w:rPr>
          <w:rStyle w:val="16"/>
          <w:rFonts w:hint="default" w:ascii="Times New Roman" w:hAnsi="Times New Roman" w:eastAsia="方正仿宋_GB2312" w:cs="Times New Roman"/>
          <w:bCs/>
          <w:sz w:val="32"/>
          <w:szCs w:val="32"/>
          <w:lang w:val="en-US" w:eastAsia="zh-CN"/>
        </w:rPr>
        <w:t>9</w:t>
      </w:r>
      <w:r>
        <w:rPr>
          <w:rStyle w:val="16"/>
          <w:rFonts w:hint="default" w:ascii="Times New Roman" w:hAnsi="Times New Roman" w:eastAsia="方正仿宋_GB2312" w:cs="Times New Roman"/>
          <w:bCs/>
          <w:sz w:val="32"/>
          <w:szCs w:val="32"/>
        </w:rPr>
        <w:t>.</w:t>
      </w:r>
      <w:r>
        <w:rPr>
          <w:rFonts w:hint="default" w:ascii="Times New Roman" w:hAnsi="Times New Roman" w:eastAsia="方正仿宋_GB2312" w:cs="Times New Roman"/>
          <w:b/>
          <w:bCs/>
          <w:sz w:val="32"/>
          <w:szCs w:val="32"/>
          <w:lang w:eastAsia="zh-CN"/>
        </w:rPr>
        <w:t>住房保障支出</w:t>
      </w:r>
      <w:r>
        <w:rPr>
          <w:rStyle w:val="16"/>
          <w:rFonts w:hint="default" w:ascii="Times New Roman" w:hAnsi="Times New Roman" w:eastAsia="方正仿宋_GB2312" w:cs="Times New Roman"/>
          <w:bCs/>
          <w:sz w:val="32"/>
          <w:szCs w:val="32"/>
        </w:rPr>
        <w:t>（类）</w:t>
      </w:r>
      <w:r>
        <w:rPr>
          <w:rStyle w:val="16"/>
          <w:rFonts w:hint="default" w:ascii="Times New Roman" w:hAnsi="Times New Roman" w:eastAsia="方正仿宋_GB2312" w:cs="Times New Roman"/>
          <w:bCs/>
          <w:sz w:val="32"/>
          <w:szCs w:val="32"/>
          <w:lang w:eastAsia="zh-CN"/>
        </w:rPr>
        <w:t>住房改革支出</w:t>
      </w:r>
      <w:r>
        <w:rPr>
          <w:rStyle w:val="16"/>
          <w:rFonts w:hint="default" w:ascii="Times New Roman" w:hAnsi="Times New Roman" w:eastAsia="方正仿宋_GB2312" w:cs="Times New Roman"/>
          <w:bCs/>
          <w:sz w:val="32"/>
          <w:szCs w:val="32"/>
        </w:rPr>
        <w:t>（款）</w:t>
      </w:r>
      <w:r>
        <w:rPr>
          <w:rStyle w:val="16"/>
          <w:rFonts w:hint="default" w:ascii="Times New Roman" w:hAnsi="Times New Roman" w:eastAsia="方正仿宋_GB2312" w:cs="Times New Roman"/>
          <w:bCs/>
          <w:sz w:val="32"/>
          <w:szCs w:val="32"/>
          <w:lang w:eastAsia="zh-CN"/>
        </w:rPr>
        <w:t>住房公积金</w:t>
      </w:r>
      <w:r>
        <w:rPr>
          <w:rStyle w:val="16"/>
          <w:rFonts w:hint="default" w:ascii="Times New Roman" w:hAnsi="Times New Roman" w:eastAsia="方正仿宋_GB2312" w:cs="Times New Roman"/>
          <w:bCs/>
          <w:sz w:val="32"/>
          <w:szCs w:val="32"/>
        </w:rPr>
        <w:t>（项）:</w:t>
      </w:r>
      <w:r>
        <w:rPr>
          <w:rStyle w:val="16"/>
          <w:rFonts w:hint="default" w:ascii="Times New Roman" w:hAnsi="Times New Roman" w:eastAsia="方正仿宋_GB2312" w:cs="Times New Roman"/>
          <w:b w:val="0"/>
          <w:bCs/>
          <w:sz w:val="32"/>
          <w:szCs w:val="32"/>
        </w:rPr>
        <w:t>支出决算为</w:t>
      </w:r>
      <w:r>
        <w:rPr>
          <w:rStyle w:val="16"/>
          <w:rFonts w:hint="default" w:ascii="Times New Roman" w:hAnsi="Times New Roman" w:eastAsia="方正仿宋_GB2312" w:cs="Times New Roman"/>
          <w:b w:val="0"/>
          <w:bCs/>
          <w:sz w:val="32"/>
          <w:szCs w:val="32"/>
          <w:lang w:val="en-US" w:eastAsia="zh-CN"/>
        </w:rPr>
        <w:t>6.94</w:t>
      </w:r>
      <w:r>
        <w:rPr>
          <w:rStyle w:val="16"/>
          <w:rFonts w:hint="default" w:ascii="Times New Roman" w:hAnsi="Times New Roman" w:eastAsia="方正仿宋_GB2312" w:cs="Times New Roman"/>
          <w:b w:val="0"/>
          <w:bCs/>
          <w:sz w:val="32"/>
          <w:szCs w:val="32"/>
        </w:rPr>
        <w:t>万元，完成预算</w:t>
      </w:r>
      <w:r>
        <w:rPr>
          <w:rStyle w:val="16"/>
          <w:rFonts w:hint="default" w:ascii="Times New Roman" w:hAnsi="Times New Roman" w:eastAsia="方正仿宋_GB2312" w:cs="Times New Roman"/>
          <w:b w:val="0"/>
          <w:bCs/>
          <w:sz w:val="32"/>
          <w:szCs w:val="32"/>
          <w:lang w:val="en-US" w:eastAsia="zh-CN"/>
        </w:rPr>
        <w:t>100</w:t>
      </w:r>
      <w:r>
        <w:rPr>
          <w:rStyle w:val="16"/>
          <w:rFonts w:hint="default" w:ascii="Times New Roman" w:hAnsi="Times New Roman" w:eastAsia="方正仿宋_GB2312" w:cs="Times New Roman"/>
          <w:b w:val="0"/>
          <w:bCs/>
          <w:sz w:val="32"/>
          <w:szCs w:val="32"/>
        </w:rPr>
        <w:t>%，决算数等于预算数。</w:t>
      </w:r>
    </w:p>
    <w:p>
      <w:pPr>
        <w:tabs>
          <w:tab w:val="right" w:pos="8306"/>
        </w:tabs>
        <w:spacing w:line="600" w:lineRule="exact"/>
        <w:ind w:firstLine="640"/>
        <w:outlineLvl w:val="1"/>
        <w:rPr>
          <w:rStyle w:val="28"/>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pPr>
        <w:spacing w:line="600" w:lineRule="exact"/>
        <w:ind w:firstLine="645"/>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2023年度一般公共预算财政拨款基本支出</w:t>
      </w:r>
      <w:r>
        <w:rPr>
          <w:rFonts w:hint="default" w:ascii="Times New Roman" w:hAnsi="Times New Roman" w:eastAsia="方正仿宋_GB2312" w:cs="Times New Roman"/>
          <w:b w:val="0"/>
          <w:bCs/>
          <w:sz w:val="32"/>
          <w:szCs w:val="32"/>
        </w:rPr>
        <w:t>124.04</w:t>
      </w:r>
      <w:r>
        <w:rPr>
          <w:rFonts w:hint="default" w:ascii="Times New Roman" w:hAnsi="Times New Roman" w:eastAsia="方正仿宋_GB2312" w:cs="Times New Roman"/>
          <w:sz w:val="32"/>
          <w:szCs w:val="32"/>
        </w:rPr>
        <w:t>万元，其中：</w:t>
      </w:r>
    </w:p>
    <w:p>
      <w:pPr>
        <w:spacing w:line="600" w:lineRule="exact"/>
        <w:ind w:firstLine="645"/>
        <w:rPr>
          <w:rFonts w:hint="default" w:ascii="Times New Roman" w:hAnsi="Times New Roman" w:eastAsia="方正仿宋_GB2312" w:cs="Times New Roman"/>
          <w:b/>
          <w:sz w:val="32"/>
          <w:szCs w:val="32"/>
        </w:rPr>
      </w:pPr>
      <w:r>
        <w:rPr>
          <w:rFonts w:hint="default" w:ascii="Times New Roman" w:hAnsi="Times New Roman" w:eastAsia="方正仿宋_GB2312" w:cs="Times New Roman"/>
          <w:sz w:val="32"/>
          <w:szCs w:val="32"/>
        </w:rPr>
        <w:t>人员经费</w:t>
      </w:r>
      <w:r>
        <w:rPr>
          <w:rFonts w:hint="default" w:ascii="Times New Roman" w:hAnsi="Times New Roman" w:eastAsia="方正仿宋_GB2312" w:cs="Times New Roman"/>
          <w:b w:val="0"/>
          <w:bCs/>
          <w:sz w:val="32"/>
          <w:szCs w:val="32"/>
        </w:rPr>
        <w:t>116.</w:t>
      </w:r>
      <w:r>
        <w:rPr>
          <w:rFonts w:hint="eastAsia" w:eastAsia="方正仿宋_GB2312" w:cs="Times New Roman"/>
          <w:b w:val="0"/>
          <w:bCs/>
          <w:sz w:val="32"/>
          <w:szCs w:val="32"/>
          <w:lang w:val="en-US" w:eastAsia="zh-CN"/>
        </w:rPr>
        <w:t>90</w:t>
      </w:r>
      <w:r>
        <w:rPr>
          <w:rFonts w:hint="default" w:ascii="Times New Roman" w:hAnsi="Times New Roman" w:eastAsia="方正仿宋_GB2312" w:cs="Times New Roman"/>
          <w:sz w:val="32"/>
          <w:szCs w:val="32"/>
        </w:rPr>
        <w:t>万元，主要包括：基本工资、津贴补贴、绩效工资、机关事业单位基本养老保险缴费、职业年金缴费、</w:t>
      </w:r>
      <w:r>
        <w:rPr>
          <w:rFonts w:hint="default" w:ascii="Times New Roman" w:hAnsi="Times New Roman" w:eastAsia="方正仿宋_GB2312" w:cs="Times New Roman"/>
          <w:sz w:val="32"/>
          <w:szCs w:val="32"/>
          <w:lang w:eastAsia="zh-CN"/>
        </w:rPr>
        <w:t>职工基本医疗保险缴费、</w:t>
      </w:r>
      <w:r>
        <w:rPr>
          <w:rFonts w:hint="default" w:ascii="Times New Roman" w:hAnsi="Times New Roman" w:eastAsia="方正仿宋_GB2312" w:cs="Times New Roman"/>
          <w:sz w:val="32"/>
          <w:szCs w:val="32"/>
        </w:rPr>
        <w:t>其他社会保障缴费、其他工资福利支出、退休费、生活补助、医疗费补助、住房公积金、其他对个人和家庭的补助支出等。</w:t>
      </w:r>
      <w:r>
        <w:rPr>
          <w:rFonts w:hint="default" w:ascii="Times New Roman" w:hAnsi="Times New Roman" w:eastAsia="方正仿宋_GB2312" w:cs="Times New Roman"/>
          <w:sz w:val="32"/>
          <w:szCs w:val="32"/>
        </w:rPr>
        <w:br w:type="textWrapping"/>
      </w:r>
      <w:r>
        <w:rPr>
          <w:rFonts w:hint="default" w:ascii="Times New Roman" w:hAnsi="Times New Roman" w:eastAsia="方正仿宋_GB2312" w:cs="Times New Roman"/>
          <w:sz w:val="32"/>
          <w:szCs w:val="32"/>
        </w:rPr>
        <w:t>　　公用经费</w:t>
      </w:r>
      <w:r>
        <w:rPr>
          <w:rFonts w:hint="default" w:ascii="Times New Roman" w:hAnsi="Times New Roman" w:eastAsia="方正仿宋_GB2312" w:cs="Times New Roman"/>
          <w:b w:val="0"/>
          <w:bCs/>
          <w:sz w:val="32"/>
          <w:szCs w:val="32"/>
        </w:rPr>
        <w:t>7.1</w:t>
      </w:r>
      <w:r>
        <w:rPr>
          <w:rFonts w:hint="eastAsia" w:eastAsia="方正仿宋_GB2312" w:cs="Times New Roman"/>
          <w:b w:val="0"/>
          <w:bCs/>
          <w:sz w:val="32"/>
          <w:szCs w:val="32"/>
          <w:lang w:val="en-US" w:eastAsia="zh-CN"/>
        </w:rPr>
        <w:t>4</w:t>
      </w:r>
      <w:r>
        <w:rPr>
          <w:rFonts w:hint="default" w:ascii="Times New Roman" w:hAnsi="Times New Roman" w:eastAsia="方正仿宋_GB2312" w:cs="Times New Roman"/>
          <w:sz w:val="32"/>
          <w:szCs w:val="32"/>
        </w:rPr>
        <w:t>万元，主要包括：办公费</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rPr>
        <w:t>水费、电费、邮电费、差旅费、维修（护）费、工会经费、福利费、公务用车运行维护费、其他商品和服务支出等。</w:t>
      </w:r>
    </w:p>
    <w:p>
      <w:pPr>
        <w:spacing w:line="600" w:lineRule="exact"/>
        <w:ind w:firstLine="640"/>
        <w:outlineLvl w:val="1"/>
        <w:rPr>
          <w:rStyle w:val="28"/>
          <w:rFonts w:ascii="黑体" w:hAnsi="黑体" w:eastAsia="黑体"/>
          <w:b w:val="0"/>
        </w:rPr>
      </w:pPr>
      <w:bookmarkStart w:id="36" w:name="_Toc15396609"/>
      <w:bookmarkStart w:id="37" w:name="_Toc15377215"/>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pPr>
        <w:spacing w:line="600" w:lineRule="exact"/>
        <w:ind w:firstLine="640"/>
        <w:outlineLvl w:val="2"/>
        <w:rPr>
          <w:rFonts w:hint="eastAsia" w:ascii="方正楷体_GB2312" w:hAnsi="方正楷体_GB2312" w:eastAsia="方正楷体_GB2312" w:cs="方正楷体_GB2312"/>
          <w:b/>
          <w:sz w:val="32"/>
          <w:szCs w:val="32"/>
        </w:rPr>
      </w:pPr>
      <w:bookmarkStart w:id="38" w:name="_Toc15377216"/>
      <w:r>
        <w:rPr>
          <w:rFonts w:hint="eastAsia" w:ascii="方正楷体_GB2312" w:hAnsi="方正楷体_GB2312" w:eastAsia="方正楷体_GB2312" w:cs="方正楷体_GB2312"/>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hint="default" w:ascii="Times New Roman" w:hAnsi="Times New Roman" w:eastAsia="方正仿宋_GB2312" w:cs="Times New Roman"/>
          <w:sz w:val="32"/>
          <w:szCs w:val="32"/>
        </w:rPr>
        <w:t>2023年度“三公”经费财政拨款支出决算为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万元，完成预算</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%，较上年度</w:t>
      </w:r>
      <w:r>
        <w:rPr>
          <w:rFonts w:hint="default" w:ascii="Times New Roman" w:hAnsi="Times New Roman" w:eastAsia="方正仿宋_GB2312" w:cs="Times New Roman"/>
          <w:sz w:val="32"/>
          <w:szCs w:val="32"/>
          <w:lang w:eastAsia="zh-CN"/>
        </w:rPr>
        <w:t>持平</w:t>
      </w:r>
      <w:r>
        <w:rPr>
          <w:rFonts w:hint="default" w:ascii="Times New Roman" w:hAnsi="Times New Roman" w:eastAsia="方正仿宋_GB2312" w:cs="Times New Roman"/>
          <w:sz w:val="32"/>
          <w:szCs w:val="32"/>
        </w:rPr>
        <w:t>。决算数</w:t>
      </w:r>
      <w:r>
        <w:rPr>
          <w:rFonts w:hint="default" w:ascii="Times New Roman" w:hAnsi="Times New Roman" w:eastAsia="方正仿宋_GB2312" w:cs="Times New Roman"/>
          <w:sz w:val="32"/>
          <w:szCs w:val="32"/>
          <w:lang w:eastAsia="zh-CN"/>
        </w:rPr>
        <w:t>等于</w:t>
      </w:r>
      <w:r>
        <w:rPr>
          <w:rFonts w:hint="default" w:ascii="Times New Roman" w:hAnsi="Times New Roman" w:eastAsia="方正仿宋_GB2312" w:cs="Times New Roman"/>
          <w:sz w:val="32"/>
          <w:szCs w:val="32"/>
        </w:rPr>
        <w:t>预算数。</w:t>
      </w:r>
    </w:p>
    <w:p>
      <w:pPr>
        <w:spacing w:line="600" w:lineRule="exact"/>
        <w:ind w:firstLine="640"/>
        <w:outlineLvl w:val="2"/>
        <w:rPr>
          <w:rFonts w:ascii="仿宋" w:hAnsi="仿宋" w:eastAsia="仿宋"/>
          <w:b/>
          <w:sz w:val="32"/>
          <w:szCs w:val="32"/>
        </w:rPr>
      </w:pPr>
      <w:bookmarkStart w:id="39" w:name="_Toc15377217"/>
      <w:r>
        <w:rPr>
          <w:rFonts w:hint="eastAsia" w:ascii="方正楷体_GB2312" w:hAnsi="方正楷体_GB2312" w:eastAsia="方正楷体_GB2312" w:cs="方正楷体_GB2312"/>
          <w:b/>
          <w:sz w:val="32"/>
          <w:szCs w:val="32"/>
        </w:rPr>
        <w:t>（二）“三公”经费财政拨款支出决算具体情况说明</w:t>
      </w:r>
      <w:bookmarkEnd w:id="39"/>
    </w:p>
    <w:p>
      <w:pPr>
        <w:spacing w:line="600" w:lineRule="exact"/>
        <w:ind w:firstLine="64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2023年度“三公”经费财政拨款支出决算中，因公出国（境）费支出决算</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%；公务用车购置及运行维护费支出决算</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%；公务接待费支出决算</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%。具体情况如下：</w:t>
      </w:r>
    </w:p>
    <w:p>
      <w:pPr>
        <w:spacing w:line="600" w:lineRule="exact"/>
        <w:ind w:firstLine="640"/>
        <w:rPr>
          <w:rFonts w:hint="default" w:ascii="Times New Roman" w:hAnsi="Times New Roman" w:eastAsia="方正仿宋_GB2312" w:cs="Times New Roman"/>
          <w:b/>
          <w:sz w:val="32"/>
          <w:szCs w:val="32"/>
        </w:rPr>
      </w:pPr>
      <w:bookmarkStart w:id="40" w:name="_Toc15396610"/>
      <w:bookmarkStart w:id="41" w:name="_Toc15377218"/>
      <w:r>
        <w:rPr>
          <w:rFonts w:hint="default" w:ascii="Times New Roman" w:hAnsi="Times New Roman" w:eastAsia="方正仿宋_GB2312" w:cs="Times New Roman"/>
          <w:b/>
          <w:sz w:val="32"/>
          <w:szCs w:val="32"/>
        </w:rPr>
        <w:t>1.因公出国（境）经费支出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w:t>
      </w:r>
      <w:r>
        <w:rPr>
          <w:rStyle w:val="16"/>
          <w:rFonts w:hint="default" w:ascii="Times New Roman" w:hAnsi="Times New Roman" w:eastAsia="方正仿宋_GB2312" w:cs="Times New Roman"/>
          <w:b w:val="0"/>
          <w:bCs/>
          <w:sz w:val="32"/>
          <w:szCs w:val="32"/>
        </w:rPr>
        <w:t>完成预算</w:t>
      </w:r>
      <w:r>
        <w:rPr>
          <w:rStyle w:val="16"/>
          <w:rFonts w:hint="default" w:ascii="Times New Roman" w:hAnsi="Times New Roman" w:eastAsia="方正仿宋_GB2312" w:cs="Times New Roman"/>
          <w:bCs/>
          <w:sz w:val="32"/>
          <w:szCs w:val="32"/>
        </w:rPr>
        <w:t>0</w:t>
      </w:r>
      <w:r>
        <w:rPr>
          <w:rStyle w:val="16"/>
          <w:rFonts w:hint="default" w:ascii="Times New Roman" w:hAnsi="Times New Roman" w:eastAsia="方正仿宋_GB2312" w:cs="Times New Roman"/>
          <w:b w:val="0"/>
          <w:bCs/>
          <w:sz w:val="32"/>
          <w:szCs w:val="32"/>
        </w:rPr>
        <w:t>%。</w:t>
      </w:r>
      <w:r>
        <w:rPr>
          <w:rFonts w:hint="default" w:ascii="Times New Roman" w:hAnsi="Times New Roman" w:eastAsia="方正仿宋_GB2312" w:cs="Times New Roman"/>
          <w:sz w:val="32"/>
          <w:szCs w:val="32"/>
        </w:rPr>
        <w:t>全年安排因公出国（境）团组</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次，出国（境）</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人。因公出国（境）支出决算</w:t>
      </w:r>
      <w:r>
        <w:rPr>
          <w:rFonts w:hint="default" w:ascii="Times New Roman" w:hAnsi="Times New Roman" w:eastAsia="方正仿宋_GB2312" w:cs="Times New Roman"/>
          <w:sz w:val="32"/>
          <w:szCs w:val="32"/>
          <w:lang w:eastAsia="zh-CN"/>
        </w:rPr>
        <w:t>与</w:t>
      </w:r>
      <w:r>
        <w:rPr>
          <w:rFonts w:hint="default" w:ascii="Times New Roman" w:hAnsi="Times New Roman" w:eastAsia="方正仿宋_GB2312" w:cs="Times New Roman"/>
          <w:sz w:val="32"/>
          <w:szCs w:val="32"/>
        </w:rPr>
        <w:t>2022年</w:t>
      </w:r>
      <w:r>
        <w:rPr>
          <w:rFonts w:hint="default" w:ascii="Times New Roman" w:hAnsi="Times New Roman" w:eastAsia="方正仿宋_GB2312" w:cs="Times New Roman"/>
          <w:sz w:val="32"/>
          <w:szCs w:val="32"/>
          <w:lang w:eastAsia="zh-CN"/>
        </w:rPr>
        <w:t>持平，均为</w:t>
      </w:r>
      <w:r>
        <w:rPr>
          <w:rFonts w:hint="default" w:ascii="Times New Roman" w:hAnsi="Times New Roman" w:eastAsia="方正仿宋_GB2312" w:cs="Times New Roman"/>
          <w:sz w:val="32"/>
          <w:szCs w:val="32"/>
          <w:lang w:val="en-US" w:eastAsia="zh-CN"/>
        </w:rPr>
        <w:t>0元</w:t>
      </w:r>
      <w:r>
        <w:rPr>
          <w:rFonts w:hint="default" w:ascii="Times New Roman" w:hAnsi="Times New Roman" w:eastAsia="方正仿宋_GB2312" w:cs="Times New Roman"/>
          <w:sz w:val="32"/>
          <w:szCs w:val="32"/>
        </w:rPr>
        <w:t>，主要原因是</w:t>
      </w:r>
      <w:r>
        <w:rPr>
          <w:rFonts w:hint="default" w:ascii="Times New Roman" w:hAnsi="Times New Roman" w:eastAsia="方正仿宋_GB2312" w:cs="Times New Roman"/>
          <w:sz w:val="32"/>
          <w:szCs w:val="32"/>
          <w:lang w:eastAsia="zh-CN"/>
        </w:rPr>
        <w:t>未安排因公出国（境）经费</w:t>
      </w:r>
      <w:r>
        <w:rPr>
          <w:rFonts w:hint="default" w:ascii="Times New Roman" w:hAnsi="Times New Roman" w:eastAsia="方正仿宋_GB2312" w:cs="Times New Roman"/>
          <w:sz w:val="32"/>
          <w:szCs w:val="32"/>
        </w:rPr>
        <w:t>。</w:t>
      </w:r>
    </w:p>
    <w:p>
      <w:pPr>
        <w:spacing w:line="600" w:lineRule="exact"/>
        <w:ind w:firstLine="640"/>
        <w:rPr>
          <w:rFonts w:hint="default" w:ascii="Times New Roman" w:hAnsi="Times New Roman" w:eastAsia="方正仿宋_GB2312" w:cs="Times New Roman"/>
          <w:b/>
          <w:color w:val="auto"/>
          <w:sz w:val="32"/>
          <w:szCs w:val="32"/>
        </w:rPr>
      </w:pPr>
      <w:r>
        <w:rPr>
          <w:rFonts w:hint="default" w:ascii="Times New Roman" w:hAnsi="Times New Roman" w:eastAsia="方正仿宋_GB2312" w:cs="Times New Roman"/>
          <w:b/>
          <w:color w:val="auto"/>
          <w:sz w:val="32"/>
          <w:szCs w:val="32"/>
        </w:rPr>
        <w:t>2.公务用车购置及运行维护费支出</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万元,</w:t>
      </w:r>
      <w:r>
        <w:rPr>
          <w:rStyle w:val="16"/>
          <w:rFonts w:hint="default" w:ascii="Times New Roman" w:hAnsi="Times New Roman" w:eastAsia="方正仿宋_GB2312" w:cs="Times New Roman"/>
          <w:b w:val="0"/>
          <w:bCs/>
          <w:color w:val="auto"/>
          <w:sz w:val="32"/>
          <w:szCs w:val="32"/>
        </w:rPr>
        <w:t>完成预算</w:t>
      </w:r>
      <w:r>
        <w:rPr>
          <w:rStyle w:val="16"/>
          <w:rFonts w:hint="default" w:ascii="Times New Roman" w:hAnsi="Times New Roman" w:eastAsia="方正仿宋_GB2312" w:cs="Times New Roman"/>
          <w:b w:val="0"/>
          <w:bCs w:val="0"/>
          <w:color w:val="auto"/>
          <w:sz w:val="32"/>
          <w:szCs w:val="32"/>
        </w:rPr>
        <w:t>0</w:t>
      </w:r>
      <w:r>
        <w:rPr>
          <w:rStyle w:val="16"/>
          <w:rFonts w:hint="default" w:ascii="Times New Roman" w:hAnsi="Times New Roman" w:eastAsia="方正仿宋_GB2312" w:cs="Times New Roman"/>
          <w:b w:val="0"/>
          <w:bCs/>
          <w:color w:val="auto"/>
          <w:sz w:val="32"/>
          <w:szCs w:val="32"/>
        </w:rPr>
        <w:t>%。</w:t>
      </w:r>
      <w:r>
        <w:rPr>
          <w:rFonts w:hint="default" w:ascii="Times New Roman" w:hAnsi="Times New Roman" w:eastAsia="方正仿宋_GB2312" w:cs="Times New Roman"/>
          <w:color w:val="auto"/>
          <w:sz w:val="32"/>
          <w:szCs w:val="32"/>
        </w:rPr>
        <w:t>公务用车购置及运行维护费支出决算</w:t>
      </w:r>
      <w:r>
        <w:rPr>
          <w:rFonts w:hint="default" w:ascii="Times New Roman" w:hAnsi="Times New Roman" w:eastAsia="方正仿宋_GB2312" w:cs="Times New Roman"/>
          <w:color w:val="auto"/>
          <w:sz w:val="32"/>
          <w:szCs w:val="32"/>
          <w:lang w:eastAsia="zh-CN"/>
        </w:rPr>
        <w:t>与</w:t>
      </w:r>
      <w:r>
        <w:rPr>
          <w:rFonts w:hint="default" w:ascii="Times New Roman" w:hAnsi="Times New Roman" w:eastAsia="方正仿宋_GB2312" w:cs="Times New Roman"/>
          <w:color w:val="auto"/>
          <w:sz w:val="32"/>
          <w:szCs w:val="32"/>
        </w:rPr>
        <w:t>2022年</w:t>
      </w:r>
      <w:r>
        <w:rPr>
          <w:rFonts w:hint="default" w:ascii="Times New Roman" w:hAnsi="Times New Roman" w:eastAsia="方正仿宋_GB2312" w:cs="Times New Roman"/>
          <w:color w:val="auto"/>
          <w:sz w:val="32"/>
          <w:szCs w:val="32"/>
          <w:lang w:eastAsia="zh-CN"/>
        </w:rPr>
        <w:t>持平</w:t>
      </w:r>
      <w:r>
        <w:rPr>
          <w:rFonts w:hint="default" w:ascii="Times New Roman" w:hAnsi="Times New Roman" w:eastAsia="方正仿宋_GB2312" w:cs="Times New Roman"/>
          <w:color w:val="auto"/>
          <w:sz w:val="32"/>
          <w:szCs w:val="32"/>
        </w:rPr>
        <w:t>，主要原因是</w:t>
      </w:r>
      <w:r>
        <w:rPr>
          <w:rFonts w:hint="default" w:ascii="Times New Roman" w:hAnsi="Times New Roman" w:eastAsia="方正仿宋_GB2312" w:cs="Times New Roman"/>
          <w:color w:val="auto"/>
          <w:sz w:val="32"/>
          <w:szCs w:val="32"/>
          <w:lang w:val="en-US" w:eastAsia="zh-CN"/>
        </w:rPr>
        <w:t>2023年新购置1辆公务用车，经费由县文化广旅游局补助（由县文广旅局支出），无公务用车运行维护费</w:t>
      </w:r>
      <w:r>
        <w:rPr>
          <w:rFonts w:hint="default" w:ascii="Times New Roman" w:hAnsi="Times New Roman" w:eastAsia="方正仿宋_GB2312" w:cs="Times New Roman"/>
          <w:color w:val="auto"/>
          <w:sz w:val="32"/>
          <w:szCs w:val="32"/>
        </w:rPr>
        <w:t>。</w:t>
      </w:r>
    </w:p>
    <w:p>
      <w:pPr>
        <w:spacing w:line="600" w:lineRule="exact"/>
        <w:ind w:firstLine="640" w:firstLineChars="200"/>
        <w:rPr>
          <w:rFonts w:hint="default" w:ascii="Times New Roman" w:hAnsi="Times New Roman" w:eastAsia="方正仿宋_GB2312" w:cs="Times New Roman"/>
          <w:b/>
          <w:color w:val="auto"/>
          <w:sz w:val="32"/>
          <w:szCs w:val="32"/>
        </w:rPr>
      </w:pPr>
      <w:r>
        <w:rPr>
          <w:rFonts w:hint="default" w:ascii="Times New Roman" w:hAnsi="Times New Roman" w:eastAsia="方正仿宋_GB2312" w:cs="Times New Roman"/>
          <w:color w:val="auto"/>
          <w:sz w:val="32"/>
          <w:szCs w:val="32"/>
        </w:rPr>
        <w:t>其中：</w:t>
      </w:r>
      <w:r>
        <w:rPr>
          <w:rFonts w:hint="default" w:ascii="Times New Roman" w:hAnsi="Times New Roman" w:eastAsia="方正仿宋_GB2312" w:cs="Times New Roman"/>
          <w:b w:val="0"/>
          <w:bCs/>
          <w:color w:val="auto"/>
          <w:sz w:val="32"/>
          <w:szCs w:val="32"/>
        </w:rPr>
        <w:t>公务用车购置支出0万元。</w:t>
      </w:r>
      <w:r>
        <w:rPr>
          <w:rFonts w:hint="default" w:ascii="Times New Roman" w:hAnsi="Times New Roman" w:eastAsia="方正仿宋_GB2312" w:cs="Times New Roman"/>
          <w:color w:val="auto"/>
          <w:sz w:val="32"/>
          <w:szCs w:val="32"/>
        </w:rPr>
        <w:t>全年按规定更新购置公务用车</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辆，其中：轿车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辆、金额</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万元，越野车</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辆、金额</w:t>
      </w:r>
      <w:r>
        <w:rPr>
          <w:rFonts w:hint="default" w:ascii="Times New Roman" w:hAnsi="Times New Roman" w:eastAsia="方正仿宋_GB2312" w:cs="Times New Roman"/>
          <w:color w:val="auto"/>
          <w:sz w:val="32"/>
          <w:szCs w:val="32"/>
          <w:lang w:val="en-US" w:eastAsia="zh-CN"/>
        </w:rPr>
        <w:t>26.90</w:t>
      </w:r>
      <w:r>
        <w:rPr>
          <w:rFonts w:hint="default" w:ascii="Times New Roman" w:hAnsi="Times New Roman" w:eastAsia="方正仿宋_GB2312" w:cs="Times New Roman"/>
          <w:color w:val="auto"/>
          <w:sz w:val="32"/>
          <w:szCs w:val="32"/>
        </w:rPr>
        <w:t>万元</w:t>
      </w:r>
      <w:r>
        <w:rPr>
          <w:rFonts w:hint="default" w:ascii="Times New Roman" w:hAnsi="Times New Roman" w:eastAsia="方正仿宋_GB2312" w:cs="Times New Roman"/>
          <w:color w:val="auto"/>
          <w:sz w:val="32"/>
          <w:szCs w:val="32"/>
          <w:lang w:val="en-US" w:eastAsia="zh-CN"/>
        </w:rPr>
        <w:t>（由县文广旅局支出）</w:t>
      </w:r>
      <w:r>
        <w:rPr>
          <w:rFonts w:hint="default" w:ascii="Times New Roman" w:hAnsi="Times New Roman" w:eastAsia="方正仿宋_GB2312" w:cs="Times New Roman"/>
          <w:color w:val="auto"/>
          <w:sz w:val="32"/>
          <w:szCs w:val="32"/>
        </w:rPr>
        <w:t>，载客汽车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辆、金额</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万元。截至2023年12月31日，单位共有公务用车</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辆，其中：轿车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辆、越野车</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辆、载客汽车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w:t>
      </w:r>
    </w:p>
    <w:p>
      <w:pPr>
        <w:spacing w:line="600" w:lineRule="exact"/>
        <w:ind w:firstLine="640"/>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val="0"/>
          <w:bCs/>
          <w:color w:val="auto"/>
          <w:sz w:val="32"/>
          <w:szCs w:val="32"/>
        </w:rPr>
        <w:t>公务用车运行维护费支出0万元。</w:t>
      </w:r>
    </w:p>
    <w:p>
      <w:pPr>
        <w:spacing w:line="600" w:lineRule="exact"/>
        <w:ind w:firstLine="640"/>
        <w:rPr>
          <w:rFonts w:hint="default" w:ascii="Times New Roman" w:hAnsi="Times New Roman" w:eastAsia="方正仿宋_GB2312" w:cs="Times New Roman"/>
          <w:sz w:val="32"/>
          <w:szCs w:val="32"/>
        </w:rPr>
      </w:pPr>
      <w:r>
        <w:rPr>
          <w:rFonts w:hint="default" w:ascii="Times New Roman" w:hAnsi="Times New Roman" w:eastAsia="方正仿宋_GB2312" w:cs="Times New Roman"/>
          <w:b/>
          <w:sz w:val="32"/>
          <w:szCs w:val="32"/>
        </w:rPr>
        <w:t>3.公务接待费支出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w:t>
      </w:r>
      <w:r>
        <w:rPr>
          <w:rStyle w:val="16"/>
          <w:rFonts w:hint="default" w:ascii="Times New Roman" w:hAnsi="Times New Roman" w:eastAsia="方正仿宋_GB2312" w:cs="Times New Roman"/>
          <w:b w:val="0"/>
          <w:bCs/>
          <w:sz w:val="32"/>
          <w:szCs w:val="32"/>
        </w:rPr>
        <w:t>完成预算0%。</w:t>
      </w:r>
      <w:r>
        <w:rPr>
          <w:rFonts w:hint="default" w:ascii="Times New Roman" w:hAnsi="Times New Roman" w:eastAsia="方正仿宋_GB2312" w:cs="Times New Roman"/>
          <w:sz w:val="32"/>
          <w:szCs w:val="32"/>
        </w:rPr>
        <w:t>公务接待费支出决算</w:t>
      </w:r>
      <w:r>
        <w:rPr>
          <w:rFonts w:hint="default" w:ascii="Times New Roman" w:hAnsi="Times New Roman" w:eastAsia="方正仿宋_GB2312" w:cs="Times New Roman"/>
          <w:sz w:val="32"/>
          <w:szCs w:val="32"/>
          <w:lang w:eastAsia="zh-CN"/>
        </w:rPr>
        <w:t>与</w:t>
      </w:r>
      <w:r>
        <w:rPr>
          <w:rFonts w:hint="default" w:ascii="Times New Roman" w:hAnsi="Times New Roman" w:eastAsia="方正仿宋_GB2312" w:cs="Times New Roman"/>
          <w:sz w:val="32"/>
          <w:szCs w:val="32"/>
        </w:rPr>
        <w:t>2022年度</w:t>
      </w:r>
      <w:r>
        <w:rPr>
          <w:rFonts w:hint="default" w:ascii="Times New Roman" w:hAnsi="Times New Roman" w:eastAsia="方正仿宋_GB2312" w:cs="Times New Roman"/>
          <w:sz w:val="32"/>
          <w:szCs w:val="32"/>
          <w:lang w:eastAsia="zh-CN"/>
        </w:rPr>
        <w:t>持平</w:t>
      </w:r>
      <w:r>
        <w:rPr>
          <w:rFonts w:hint="default" w:ascii="Times New Roman" w:hAnsi="Times New Roman" w:eastAsia="方正仿宋_GB2312" w:cs="Times New Roman"/>
          <w:sz w:val="32"/>
          <w:szCs w:val="32"/>
        </w:rPr>
        <w:t>。主要原因是</w:t>
      </w:r>
      <w:r>
        <w:rPr>
          <w:rFonts w:hint="default" w:ascii="Times New Roman" w:hAnsi="Times New Roman" w:eastAsia="方正仿宋_GB2312" w:cs="Times New Roman"/>
          <w:sz w:val="32"/>
          <w:szCs w:val="32"/>
          <w:lang w:eastAsia="zh-CN"/>
        </w:rPr>
        <w:t>未发生公务接待费支出</w:t>
      </w:r>
      <w:r>
        <w:rPr>
          <w:rFonts w:hint="default" w:ascii="Times New Roman" w:hAnsi="Times New Roman" w:eastAsia="方正仿宋_GB2312" w:cs="Times New Roman"/>
          <w:sz w:val="32"/>
          <w:szCs w:val="32"/>
        </w:rPr>
        <w:t>。其中：</w:t>
      </w:r>
    </w:p>
    <w:p>
      <w:pPr>
        <w:spacing w:line="600" w:lineRule="exact"/>
        <w:ind w:firstLine="640"/>
        <w:rPr>
          <w:rFonts w:hint="default" w:ascii="Times New Roman" w:hAnsi="Times New Roman" w:eastAsia="方正仿宋_GB2312" w:cs="Times New Roman"/>
          <w:b w:val="0"/>
          <w:bCs/>
          <w:sz w:val="32"/>
          <w:szCs w:val="32"/>
        </w:rPr>
      </w:pPr>
      <w:r>
        <w:rPr>
          <w:rFonts w:hint="default" w:ascii="Times New Roman" w:hAnsi="Times New Roman" w:eastAsia="方正仿宋_GB2312" w:cs="Times New Roman"/>
          <w:b w:val="0"/>
          <w:bCs/>
          <w:sz w:val="32"/>
          <w:szCs w:val="32"/>
        </w:rPr>
        <w:t>国内公务接待支出0万元。</w:t>
      </w:r>
    </w:p>
    <w:p>
      <w:pPr>
        <w:spacing w:line="600" w:lineRule="exact"/>
        <w:ind w:firstLine="640" w:firstLineChars="200"/>
        <w:rPr>
          <w:rFonts w:hint="default" w:ascii="Times New Roman" w:hAnsi="Times New Roman" w:eastAsia="方正仿宋_GB2312" w:cs="Times New Roman"/>
          <w:b w:val="0"/>
          <w:bCs/>
          <w:sz w:val="32"/>
          <w:szCs w:val="32"/>
        </w:rPr>
      </w:pPr>
      <w:r>
        <w:rPr>
          <w:rFonts w:hint="default" w:ascii="Times New Roman" w:hAnsi="Times New Roman" w:eastAsia="方正仿宋_GB2312" w:cs="Times New Roman"/>
          <w:b w:val="0"/>
          <w:bCs/>
          <w:sz w:val="32"/>
          <w:szCs w:val="32"/>
        </w:rPr>
        <w:t>外事接待支出0万元。</w:t>
      </w:r>
    </w:p>
    <w:p>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hint="default" w:ascii="Times New Roman" w:hAnsi="Times New Roman" w:eastAsia="方正仿宋_GB2312" w:cs="Times New Roman"/>
          <w:sz w:val="32"/>
          <w:szCs w:val="32"/>
        </w:rPr>
        <w:t>2023年度政府性基金预算财政拨款支出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w:t>
      </w:r>
    </w:p>
    <w:p>
      <w:pPr>
        <w:numPr>
          <w:ilvl w:val="0"/>
          <w:numId w:val="2"/>
        </w:numPr>
        <w:spacing w:line="600" w:lineRule="exact"/>
        <w:ind w:firstLine="640"/>
        <w:outlineLvl w:val="1"/>
        <w:rPr>
          <w:rStyle w:val="28"/>
          <w:rFonts w:ascii="黑体" w:hAnsi="黑体" w:eastAsia="黑体"/>
          <w:b w:val="0"/>
        </w:rPr>
      </w:pPr>
      <w:bookmarkStart w:id="42" w:name="_Toc15377219"/>
      <w:bookmarkStart w:id="43" w:name="_Toc15396611"/>
      <w:r>
        <w:rPr>
          <w:rStyle w:val="28"/>
          <w:rFonts w:hint="eastAsia" w:ascii="黑体" w:hAnsi="黑体" w:eastAsia="黑体"/>
          <w:b w:val="0"/>
        </w:rPr>
        <w:t>国有资本经营预算支出决算情况说明</w:t>
      </w:r>
      <w:bookmarkEnd w:id="42"/>
      <w:bookmarkEnd w:id="43"/>
    </w:p>
    <w:p>
      <w:pPr>
        <w:spacing w:line="600" w:lineRule="exact"/>
        <w:ind w:firstLine="640"/>
        <w:rPr>
          <w:rFonts w:hint="default" w:ascii="Times New Roman" w:hAnsi="Times New Roman" w:eastAsia="方正仿宋_GB2312" w:cs="Times New Roman"/>
          <w:sz w:val="44"/>
          <w:szCs w:val="44"/>
        </w:rPr>
      </w:pPr>
      <w:r>
        <w:rPr>
          <w:rFonts w:hint="default" w:ascii="Times New Roman" w:hAnsi="Times New Roman" w:eastAsia="方正仿宋_GB2312" w:cs="Times New Roman"/>
          <w:sz w:val="32"/>
          <w:szCs w:val="32"/>
        </w:rPr>
        <w:t>2023年度国有资本经营预算财政拨款支出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w:t>
      </w:r>
    </w:p>
    <w:p>
      <w:pPr>
        <w:numPr>
          <w:ilvl w:val="0"/>
          <w:numId w:val="2"/>
        </w:numPr>
        <w:spacing w:line="600" w:lineRule="exact"/>
        <w:ind w:firstLine="640"/>
        <w:outlineLvl w:val="1"/>
        <w:rPr>
          <w:rStyle w:val="28"/>
          <w:rFonts w:ascii="黑体" w:hAnsi="黑体" w:eastAsia="黑体"/>
          <w:b w:val="0"/>
        </w:rPr>
      </w:pPr>
      <w:bookmarkStart w:id="44" w:name="_Toc15396612"/>
      <w:bookmarkStart w:id="45" w:name="_Toc15377221"/>
      <w:r>
        <w:rPr>
          <w:rStyle w:val="28"/>
          <w:rFonts w:hint="eastAsia" w:ascii="黑体" w:hAnsi="黑体" w:eastAsia="黑体"/>
          <w:b w:val="0"/>
        </w:rPr>
        <w:t>其他重要事项的情况说明</w:t>
      </w:r>
      <w:bookmarkEnd w:id="44"/>
      <w:bookmarkEnd w:id="45"/>
    </w:p>
    <w:p>
      <w:pPr>
        <w:spacing w:line="600" w:lineRule="exact"/>
        <w:ind w:firstLine="643" w:firstLineChars="200"/>
        <w:outlineLvl w:val="2"/>
        <w:rPr>
          <w:rFonts w:hint="eastAsia" w:ascii="方正楷体_GB2312" w:hAnsi="方正楷体_GB2312" w:eastAsia="方正楷体_GB2312" w:cs="方正楷体_GB2312"/>
          <w:b/>
          <w:bCs w:val="0"/>
          <w:sz w:val="32"/>
          <w:szCs w:val="32"/>
        </w:rPr>
      </w:pPr>
      <w:bookmarkStart w:id="46" w:name="_Toc15377222"/>
      <w:r>
        <w:rPr>
          <w:rFonts w:hint="eastAsia" w:ascii="方正楷体_GB2312" w:hAnsi="方正楷体_GB2312" w:eastAsia="方正楷体_GB2312" w:cs="方正楷体_GB2312"/>
          <w:b/>
          <w:bCs w:val="0"/>
          <w:sz w:val="32"/>
          <w:szCs w:val="32"/>
        </w:rPr>
        <w:t>（一）机关运行经费支出情况</w:t>
      </w:r>
      <w:bookmarkEnd w:id="46"/>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w:t>
      </w:r>
      <w:r>
        <w:rPr>
          <w:rFonts w:hint="default" w:ascii="Times New Roman" w:hAnsi="Times New Roman" w:eastAsia="方正仿宋_GB2312" w:cs="Times New Roman"/>
          <w:b w:val="0"/>
          <w:bCs/>
          <w:sz w:val="32"/>
          <w:szCs w:val="32"/>
        </w:rPr>
        <w:t>盐边县文化馆</w:t>
      </w:r>
      <w:r>
        <w:rPr>
          <w:rFonts w:hint="default" w:ascii="Times New Roman" w:hAnsi="Times New Roman" w:eastAsia="方正仿宋_GB2312" w:cs="Times New Roman"/>
          <w:sz w:val="32"/>
          <w:szCs w:val="32"/>
        </w:rPr>
        <w:t>机关运行经费支出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w:t>
      </w:r>
      <w:r>
        <w:rPr>
          <w:rFonts w:hint="default" w:ascii="Times New Roman" w:hAnsi="Times New Roman" w:eastAsia="方正仿宋_GB2312" w:cs="Times New Roman"/>
          <w:sz w:val="32"/>
          <w:szCs w:val="32"/>
          <w:lang w:eastAsia="zh-CN"/>
        </w:rPr>
        <w:t>与</w:t>
      </w:r>
      <w:r>
        <w:rPr>
          <w:rFonts w:hint="default" w:ascii="Times New Roman" w:hAnsi="Times New Roman" w:eastAsia="方正仿宋_GB2312" w:cs="Times New Roman"/>
          <w:sz w:val="32"/>
          <w:szCs w:val="32"/>
        </w:rPr>
        <w:t>2022年度</w:t>
      </w:r>
      <w:r>
        <w:rPr>
          <w:rFonts w:hint="default" w:ascii="Times New Roman" w:hAnsi="Times New Roman" w:eastAsia="方正仿宋_GB2312" w:cs="Times New Roman"/>
          <w:sz w:val="32"/>
          <w:szCs w:val="32"/>
          <w:lang w:eastAsia="zh-CN"/>
        </w:rPr>
        <w:t>决算数持平</w:t>
      </w:r>
      <w:r>
        <w:rPr>
          <w:rFonts w:hint="default" w:ascii="Times New Roman" w:hAnsi="Times New Roman" w:eastAsia="方正仿宋_GB2312" w:cs="Times New Roman"/>
          <w:sz w:val="32"/>
          <w:szCs w:val="32"/>
        </w:rPr>
        <w:t>，</w:t>
      </w:r>
      <w:r>
        <w:rPr>
          <w:rFonts w:hint="default" w:ascii="Times New Roman" w:hAnsi="Times New Roman" w:eastAsia="方正仿宋_GB2312" w:cs="Times New Roman"/>
          <w:sz w:val="32"/>
          <w:szCs w:val="32"/>
          <w:lang w:eastAsia="zh-CN"/>
        </w:rPr>
        <w:t>主要原因是本单位属于事业单位，无机关运行经费</w:t>
      </w:r>
      <w:r>
        <w:rPr>
          <w:rFonts w:hint="default" w:ascii="Times New Roman" w:hAnsi="Times New Roman" w:eastAsia="方正仿宋_GB2312" w:cs="Times New Roman"/>
          <w:sz w:val="32"/>
          <w:szCs w:val="32"/>
        </w:rPr>
        <w:t>。</w:t>
      </w:r>
    </w:p>
    <w:p>
      <w:pPr>
        <w:autoSpaceDE w:val="0"/>
        <w:autoSpaceDN w:val="0"/>
        <w:adjustRightInd w:val="0"/>
        <w:spacing w:line="600" w:lineRule="exact"/>
        <w:ind w:firstLine="643" w:firstLineChars="200"/>
        <w:jc w:val="left"/>
        <w:outlineLvl w:val="2"/>
        <w:rPr>
          <w:rFonts w:hint="eastAsia" w:ascii="方正楷体_GB2312" w:hAnsi="方正楷体_GB2312" w:eastAsia="方正楷体_GB2312" w:cs="方正楷体_GB2312"/>
          <w:b/>
          <w:sz w:val="32"/>
          <w:szCs w:val="32"/>
        </w:rPr>
      </w:pPr>
      <w:bookmarkStart w:id="47" w:name="_Toc15377223"/>
      <w:r>
        <w:rPr>
          <w:rFonts w:hint="eastAsia" w:ascii="方正楷体_GB2312" w:hAnsi="方正楷体_GB2312" w:eastAsia="方正楷体_GB2312" w:cs="方正楷体_GB2312"/>
          <w:b/>
          <w:sz w:val="32"/>
          <w:szCs w:val="32"/>
        </w:rPr>
        <w:t>（二）政府采购支出情况</w:t>
      </w:r>
      <w:bookmarkEnd w:id="47"/>
    </w:p>
    <w:p>
      <w:pPr>
        <w:spacing w:line="60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2023年度，</w:t>
      </w:r>
      <w:r>
        <w:rPr>
          <w:rFonts w:hint="default" w:ascii="Times New Roman" w:hAnsi="Times New Roman" w:eastAsia="方正仿宋_GB2312" w:cs="Times New Roman"/>
          <w:b w:val="0"/>
          <w:bCs/>
          <w:sz w:val="32"/>
          <w:szCs w:val="32"/>
        </w:rPr>
        <w:t>盐边县文化馆政</w:t>
      </w:r>
      <w:r>
        <w:rPr>
          <w:rFonts w:hint="default" w:ascii="Times New Roman" w:hAnsi="Times New Roman" w:eastAsia="方正仿宋_GB2312" w:cs="Times New Roman"/>
          <w:sz w:val="32"/>
          <w:szCs w:val="32"/>
        </w:rPr>
        <w:t>府采购支出总额</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万元，其中：政府采购货物支出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万元、政府采购工程支出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万元、政府采购服务支出</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万元。授予中小企业合同金额</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万元，占政府采购支出总额的0%，其中：授予小微企业合同金额</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万元，占政府采购支出总额的</w:t>
      </w:r>
      <w:r>
        <w:rPr>
          <w:rFonts w:hint="default" w:ascii="Times New Roman" w:hAnsi="Times New Roman" w:eastAsia="方正仿宋_GB2312" w:cs="Times New Roman"/>
          <w:b w:val="0"/>
          <w:bCs/>
          <w:sz w:val="32"/>
          <w:szCs w:val="32"/>
        </w:rPr>
        <w:t>0</w:t>
      </w:r>
      <w:r>
        <w:rPr>
          <w:rFonts w:hint="default" w:ascii="Times New Roman" w:hAnsi="Times New Roman" w:eastAsia="方正仿宋_GB2312" w:cs="Times New Roman"/>
          <w:sz w:val="32"/>
          <w:szCs w:val="32"/>
        </w:rPr>
        <w:t>%。</w:t>
      </w:r>
    </w:p>
    <w:p>
      <w:pPr>
        <w:autoSpaceDE w:val="0"/>
        <w:autoSpaceDN w:val="0"/>
        <w:adjustRightInd w:val="0"/>
        <w:spacing w:line="600" w:lineRule="exact"/>
        <w:ind w:firstLine="643" w:firstLineChars="200"/>
        <w:jc w:val="left"/>
        <w:outlineLvl w:val="2"/>
        <w:rPr>
          <w:rFonts w:hint="eastAsia" w:ascii="方正楷体_GB2312" w:hAnsi="方正楷体_GB2312" w:eastAsia="方正楷体_GB2312" w:cs="方正楷体_GB2312"/>
          <w:b/>
          <w:sz w:val="32"/>
          <w:szCs w:val="32"/>
        </w:rPr>
      </w:pPr>
      <w:bookmarkStart w:id="48" w:name="_Toc15377224"/>
      <w:r>
        <w:rPr>
          <w:rFonts w:hint="eastAsia" w:ascii="方正楷体_GB2312" w:hAnsi="方正楷体_GB2312" w:eastAsia="方正楷体_GB2312" w:cs="方正楷体_GB2312"/>
          <w:b/>
          <w:sz w:val="32"/>
          <w:szCs w:val="32"/>
        </w:rPr>
        <w:t>（三）国有资产占有使用情况</w:t>
      </w:r>
      <w:bookmarkEnd w:id="48"/>
    </w:p>
    <w:p>
      <w:pPr>
        <w:autoSpaceDE w:val="0"/>
        <w:autoSpaceDN w:val="0"/>
        <w:adjustRightInd w:val="0"/>
        <w:spacing w:line="600" w:lineRule="exact"/>
        <w:ind w:firstLine="640" w:firstLineChars="200"/>
        <w:jc w:val="left"/>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截至2023年12月31日，</w:t>
      </w:r>
      <w:r>
        <w:rPr>
          <w:rFonts w:hint="default" w:ascii="Times New Roman" w:hAnsi="Times New Roman" w:eastAsia="方正仿宋_GB2312" w:cs="Times New Roman"/>
          <w:b w:val="0"/>
          <w:bCs/>
          <w:color w:val="auto"/>
          <w:sz w:val="32"/>
          <w:szCs w:val="32"/>
        </w:rPr>
        <w:t>盐边县文化馆共有车辆1辆</w:t>
      </w:r>
      <w:r>
        <w:rPr>
          <w:rFonts w:hint="default" w:ascii="Times New Roman" w:hAnsi="Times New Roman" w:eastAsia="方正仿宋_GB2312" w:cs="Times New Roman"/>
          <w:color w:val="auto"/>
          <w:sz w:val="32"/>
          <w:szCs w:val="32"/>
        </w:rPr>
        <w:t>，其中：主要领导干部用车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辆、机要通信用车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辆、应急保障用车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辆、其他用车</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辆，其他用车主要是用于</w:t>
      </w:r>
      <w:r>
        <w:rPr>
          <w:rFonts w:hint="default" w:ascii="Times New Roman" w:hAnsi="Times New Roman" w:eastAsia="方正仿宋_GB2312" w:cs="Times New Roman"/>
          <w:color w:val="auto"/>
          <w:sz w:val="32"/>
          <w:szCs w:val="32"/>
          <w:lang w:eastAsia="zh-CN"/>
        </w:rPr>
        <w:t>开展送文化下乡、流动服务、文化遗产保护等工作</w:t>
      </w:r>
      <w:r>
        <w:rPr>
          <w:rFonts w:hint="default" w:ascii="Times New Roman" w:hAnsi="Times New Roman" w:eastAsia="方正仿宋_GB2312" w:cs="Times New Roman"/>
          <w:color w:val="auto"/>
          <w:sz w:val="32"/>
          <w:szCs w:val="32"/>
        </w:rPr>
        <w:t>。单价100万元以上设备（不含车辆）</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台（套）。</w:t>
      </w:r>
    </w:p>
    <w:p>
      <w:pPr>
        <w:autoSpaceDE w:val="0"/>
        <w:autoSpaceDN w:val="0"/>
        <w:adjustRightInd w:val="0"/>
        <w:spacing w:line="600" w:lineRule="exact"/>
        <w:ind w:firstLine="643" w:firstLineChars="200"/>
        <w:jc w:val="left"/>
        <w:outlineLvl w:val="2"/>
        <w:rPr>
          <w:rFonts w:hint="eastAsia" w:ascii="方正楷体_GB2312" w:hAnsi="方正楷体_GB2312" w:eastAsia="方正楷体_GB2312" w:cs="方正楷体_GB2312"/>
          <w:b/>
          <w:sz w:val="32"/>
          <w:szCs w:val="32"/>
        </w:rPr>
      </w:pPr>
      <w:r>
        <w:rPr>
          <w:rFonts w:hint="eastAsia" w:ascii="方正楷体_GB2312" w:hAnsi="方正楷体_GB2312" w:eastAsia="方正楷体_GB2312" w:cs="方正楷体_GB2312"/>
          <w:b/>
          <w:sz w:val="32"/>
          <w:szCs w:val="32"/>
        </w:rPr>
        <w:t>（四）预算绩效管理情况</w:t>
      </w:r>
    </w:p>
    <w:p>
      <w:pPr>
        <w:spacing w:line="600" w:lineRule="exact"/>
        <w:ind w:firstLine="640" w:firstLineChars="200"/>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根据预算绩效管理要求，本单位在2023年度预算编制阶段，组织对</w:t>
      </w:r>
      <w:r>
        <w:rPr>
          <w:rFonts w:hint="default" w:ascii="Times New Roman" w:hAnsi="Times New Roman" w:eastAsia="方正仿宋_GB2312" w:cs="Times New Roman"/>
          <w:color w:val="auto"/>
          <w:sz w:val="32"/>
          <w:szCs w:val="32"/>
          <w:lang w:val="en-US" w:eastAsia="zh-CN"/>
        </w:rPr>
        <w:t>公共图书馆、文化馆免费开放项目、公共文化服务体系建设等6个</w:t>
      </w:r>
      <w:r>
        <w:rPr>
          <w:rFonts w:hint="default" w:ascii="Times New Roman" w:hAnsi="Times New Roman" w:eastAsia="方正仿宋_GB2312" w:cs="Times New Roman"/>
          <w:color w:val="auto"/>
          <w:sz w:val="32"/>
          <w:szCs w:val="32"/>
        </w:rPr>
        <w:t>项目开展了预算事前绩效评估，对</w:t>
      </w:r>
      <w:r>
        <w:rPr>
          <w:rFonts w:hint="default" w:ascii="Times New Roman" w:hAnsi="Times New Roman"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rPr>
        <w:t>个项目编制了绩效目标，预算执行过程中，选取</w:t>
      </w:r>
      <w:r>
        <w:rPr>
          <w:rFonts w:hint="default" w:ascii="Times New Roman" w:hAnsi="Times New Roman"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rPr>
        <w:t>个项目开展绩效监控，组织对</w:t>
      </w:r>
      <w:r>
        <w:rPr>
          <w:rFonts w:hint="default" w:ascii="Times New Roman" w:hAnsi="Times New Roman"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rPr>
        <w:t>个项目开展绩效自评，绩效自评表详见第四部分附件。</w:t>
      </w:r>
    </w:p>
    <w:p>
      <w:pPr>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br w:type="page"/>
      </w:r>
    </w:p>
    <w:p>
      <w:pPr>
        <w:numPr>
          <w:ilvl w:val="0"/>
          <w:numId w:val="3"/>
        </w:numPr>
        <w:spacing w:line="600" w:lineRule="exact"/>
        <w:ind w:firstLine="660" w:firstLineChars="150"/>
        <w:jc w:val="center"/>
        <w:outlineLvl w:val="0"/>
        <w:rPr>
          <w:rStyle w:val="27"/>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7"/>
          <w:rFonts w:hint="eastAsia" w:ascii="黑体" w:hAnsi="黑体" w:eastAsia="黑体"/>
          <w:b w:val="0"/>
        </w:rPr>
        <w:t>词解释</w:t>
      </w:r>
      <w:bookmarkEnd w:id="49"/>
      <w:bookmarkEnd w:id="50"/>
    </w:p>
    <w:p>
      <w:pPr>
        <w:spacing w:line="600" w:lineRule="exact"/>
        <w:jc w:val="left"/>
        <w:rPr>
          <w:rFonts w:ascii="宋体"/>
          <w:b/>
          <w:sz w:val="44"/>
          <w:szCs w:val="44"/>
        </w:rPr>
      </w:pPr>
    </w:p>
    <w:p>
      <w:pPr>
        <w:pStyle w:val="25"/>
        <w:spacing w:line="560" w:lineRule="exact"/>
        <w:ind w:firstLine="640" w:firstLineChars="200"/>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1.财政拨款收入：指单位从同级财政部门取得的财政预算资金。</w:t>
      </w:r>
    </w:p>
    <w:p>
      <w:pPr>
        <w:pStyle w:val="25"/>
        <w:spacing w:line="560" w:lineRule="exact"/>
        <w:ind w:firstLine="640" w:firstLineChars="200"/>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2.年初结转和结余：指以前年度尚未完成、结转到本年按有关规定继续使用的资金。</w:t>
      </w:r>
    </w:p>
    <w:p>
      <w:pPr>
        <w:pStyle w:val="25"/>
        <w:spacing w:line="560" w:lineRule="exact"/>
        <w:ind w:firstLine="640" w:firstLineChars="200"/>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3.结余分配：指事业单位按照会计制度规定缴纳的所得税、提取的专用结余以及转入非财政拨款结余的金额等。</w:t>
      </w:r>
    </w:p>
    <w:p>
      <w:pPr>
        <w:pStyle w:val="25"/>
        <w:spacing w:line="560" w:lineRule="exact"/>
        <w:ind w:firstLine="640" w:firstLineChars="200"/>
        <w:rPr>
          <w:rFonts w:hint="default" w:ascii="Times New Roman" w:hAnsi="Times New Roman" w:eastAsia="方正仿宋_GB2312" w:cs="Times New Roman"/>
          <w:color w:val="auto"/>
          <w:sz w:val="32"/>
          <w:szCs w:val="32"/>
          <w:shd w:val="clear" w:color="auto" w:fill="auto"/>
        </w:rPr>
      </w:pPr>
      <w:r>
        <w:rPr>
          <w:rFonts w:hint="default" w:ascii="Times New Roman" w:hAnsi="Times New Roman" w:eastAsia="方正仿宋_GB2312" w:cs="Times New Roman"/>
          <w:color w:val="auto"/>
          <w:sz w:val="32"/>
          <w:szCs w:val="32"/>
        </w:rPr>
        <w:t>4.年末结转和结余：指单位按有关规定结转到下年或以</w:t>
      </w:r>
      <w:r>
        <w:rPr>
          <w:rFonts w:hint="default" w:ascii="Times New Roman" w:hAnsi="Times New Roman" w:eastAsia="方正仿宋_GB2312" w:cs="Times New Roman"/>
          <w:color w:val="auto"/>
          <w:sz w:val="32"/>
          <w:szCs w:val="32"/>
          <w:shd w:val="clear" w:color="auto" w:fill="auto"/>
        </w:rPr>
        <w:t>后年度继续使用的资金。</w:t>
      </w:r>
    </w:p>
    <w:p>
      <w:pPr>
        <w:widowControl/>
        <w:shd w:val="clear" w:color="auto" w:fill="FFFFFF"/>
        <w:spacing w:line="600" w:lineRule="atLeast"/>
        <w:ind w:firstLine="643"/>
        <w:jc w:val="left"/>
        <w:rPr>
          <w:rFonts w:hint="default" w:ascii="Times New Roman" w:hAnsi="Times New Roman" w:eastAsia="方正仿宋_GB2312" w:cs="Times New Roman"/>
          <w:kern w:val="0"/>
          <w:sz w:val="32"/>
          <w:szCs w:val="32"/>
          <w:shd w:val="clear" w:color="auto" w:fill="auto"/>
        </w:rPr>
      </w:pPr>
      <w:r>
        <w:rPr>
          <w:rFonts w:hint="default" w:ascii="Times New Roman" w:hAnsi="Times New Roman" w:eastAsia="方正仿宋_GB2312" w:cs="Times New Roman"/>
          <w:kern w:val="0"/>
          <w:sz w:val="32"/>
          <w:szCs w:val="32"/>
          <w:shd w:val="clear" w:color="auto" w:fill="auto"/>
          <w:lang w:val="en-US" w:eastAsia="zh-CN"/>
        </w:rPr>
        <w:t>5</w:t>
      </w:r>
      <w:r>
        <w:rPr>
          <w:rFonts w:hint="default" w:ascii="Times New Roman" w:hAnsi="Times New Roman" w:eastAsia="方正仿宋_GB2312" w:cs="Times New Roman"/>
          <w:kern w:val="0"/>
          <w:sz w:val="32"/>
          <w:szCs w:val="32"/>
          <w:shd w:val="clear" w:color="auto" w:fill="auto"/>
        </w:rPr>
        <w:t>.文化旅游体育与传媒</w:t>
      </w:r>
      <w:r>
        <w:rPr>
          <w:rFonts w:hint="default" w:ascii="Times New Roman" w:hAnsi="Times New Roman" w:eastAsia="方正仿宋_GB2312" w:cs="Times New Roman"/>
          <w:kern w:val="0"/>
          <w:sz w:val="32"/>
          <w:szCs w:val="32"/>
          <w:shd w:val="clear" w:color="auto" w:fill="auto"/>
          <w:lang w:eastAsia="zh-CN"/>
        </w:rPr>
        <w:t>支出（类）</w:t>
      </w:r>
      <w:r>
        <w:rPr>
          <w:rFonts w:hint="default" w:ascii="Times New Roman" w:hAnsi="Times New Roman" w:eastAsia="方正仿宋_GB2312" w:cs="Times New Roman"/>
          <w:kern w:val="0"/>
          <w:sz w:val="32"/>
          <w:szCs w:val="32"/>
          <w:shd w:val="clear" w:color="auto" w:fill="auto"/>
        </w:rPr>
        <w:t>—文化和旅游</w:t>
      </w:r>
      <w:r>
        <w:rPr>
          <w:rFonts w:hint="default" w:ascii="Times New Roman" w:hAnsi="Times New Roman" w:eastAsia="方正仿宋_GB2312" w:cs="Times New Roman"/>
          <w:kern w:val="0"/>
          <w:sz w:val="32"/>
          <w:szCs w:val="32"/>
          <w:shd w:val="clear" w:color="auto" w:fill="auto"/>
          <w:lang w:eastAsia="zh-CN"/>
        </w:rPr>
        <w:t>（款）</w:t>
      </w:r>
      <w:r>
        <w:rPr>
          <w:rFonts w:hint="default" w:ascii="Times New Roman" w:hAnsi="Times New Roman" w:eastAsia="方正仿宋_GB2312" w:cs="Times New Roman"/>
          <w:kern w:val="0"/>
          <w:sz w:val="32"/>
          <w:szCs w:val="32"/>
          <w:shd w:val="clear" w:color="auto" w:fill="auto"/>
        </w:rPr>
        <w:t>—群众文化</w:t>
      </w:r>
      <w:r>
        <w:rPr>
          <w:rFonts w:hint="default" w:ascii="Times New Roman" w:hAnsi="Times New Roman" w:eastAsia="方正仿宋_GB2312" w:cs="Times New Roman"/>
          <w:kern w:val="0"/>
          <w:sz w:val="32"/>
          <w:szCs w:val="32"/>
          <w:shd w:val="clear" w:color="auto" w:fill="auto"/>
          <w:lang w:eastAsia="zh-CN"/>
        </w:rPr>
        <w:t>（项）</w:t>
      </w:r>
      <w:r>
        <w:rPr>
          <w:rFonts w:hint="default" w:ascii="Times New Roman" w:hAnsi="Times New Roman" w:eastAsia="方正仿宋_GB2312" w:cs="Times New Roman"/>
          <w:kern w:val="0"/>
          <w:sz w:val="32"/>
          <w:szCs w:val="32"/>
          <w:shd w:val="clear" w:color="auto" w:fill="auto"/>
        </w:rPr>
        <w:t>：反映群众文化方面的支出，包括基层文化馆（站）、群众艺术馆支出等。</w:t>
      </w:r>
    </w:p>
    <w:p>
      <w:pPr>
        <w:spacing w:line="600" w:lineRule="exact"/>
        <w:ind w:firstLine="640" w:firstLineChars="200"/>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shd w:val="clear" w:color="auto" w:fill="auto"/>
          <w:lang w:val="en-US" w:eastAsia="zh-CN"/>
        </w:rPr>
        <w:t>6</w:t>
      </w:r>
      <w:r>
        <w:rPr>
          <w:rFonts w:hint="default" w:ascii="Times New Roman" w:hAnsi="Times New Roman" w:eastAsia="方正仿宋_GB2312" w:cs="Times New Roman"/>
          <w:kern w:val="0"/>
          <w:sz w:val="32"/>
          <w:szCs w:val="32"/>
          <w:shd w:val="clear" w:color="auto" w:fill="auto"/>
        </w:rPr>
        <w:t>.文化旅游体育与传媒</w:t>
      </w:r>
      <w:r>
        <w:rPr>
          <w:rFonts w:hint="default" w:ascii="Times New Roman" w:hAnsi="Times New Roman" w:eastAsia="方正仿宋_GB2312" w:cs="Times New Roman"/>
          <w:kern w:val="0"/>
          <w:sz w:val="32"/>
          <w:szCs w:val="32"/>
          <w:shd w:val="clear" w:color="auto" w:fill="auto"/>
          <w:lang w:eastAsia="zh-CN"/>
        </w:rPr>
        <w:t>支出（类）</w:t>
      </w:r>
      <w:r>
        <w:rPr>
          <w:rFonts w:hint="default" w:ascii="Times New Roman" w:hAnsi="Times New Roman" w:eastAsia="方正仿宋_GB2312" w:cs="Times New Roman"/>
          <w:kern w:val="0"/>
          <w:sz w:val="32"/>
          <w:szCs w:val="32"/>
          <w:shd w:val="clear" w:color="auto" w:fill="auto"/>
        </w:rPr>
        <w:t>—文化和旅游</w:t>
      </w:r>
      <w:r>
        <w:rPr>
          <w:rFonts w:hint="default" w:ascii="Times New Roman" w:hAnsi="Times New Roman" w:eastAsia="方正仿宋_GB2312" w:cs="Times New Roman"/>
          <w:kern w:val="0"/>
          <w:sz w:val="32"/>
          <w:szCs w:val="32"/>
          <w:shd w:val="clear" w:color="auto" w:fill="auto"/>
          <w:lang w:eastAsia="zh-CN"/>
        </w:rPr>
        <w:t>（款）</w:t>
      </w:r>
      <w:r>
        <w:rPr>
          <w:rFonts w:hint="default" w:ascii="Times New Roman" w:hAnsi="Times New Roman" w:eastAsia="方正仿宋_GB2312" w:cs="Times New Roman"/>
          <w:kern w:val="0"/>
          <w:sz w:val="32"/>
          <w:szCs w:val="32"/>
        </w:rPr>
        <w:t>—文化创作与保护</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kern w:val="0"/>
          <w:sz w:val="32"/>
          <w:szCs w:val="32"/>
        </w:rPr>
        <w:t>：反映鼓励文学、艺术创作和优秀传统文化保护方面的支出。</w:t>
      </w:r>
    </w:p>
    <w:p>
      <w:pPr>
        <w:pStyle w:val="6"/>
        <w:spacing w:before="93"/>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lang w:val="en-US" w:eastAsia="zh-CN"/>
        </w:rPr>
        <w:t>7</w:t>
      </w:r>
      <w:r>
        <w:rPr>
          <w:rFonts w:hint="default" w:ascii="Times New Roman" w:hAnsi="Times New Roman" w:eastAsia="方正仿宋_GB2312" w:cs="Times New Roman"/>
          <w:sz w:val="32"/>
          <w:szCs w:val="32"/>
        </w:rPr>
        <w:t>.文化旅游体育与传媒</w:t>
      </w:r>
      <w:r>
        <w:rPr>
          <w:rFonts w:hint="default" w:ascii="Times New Roman" w:hAnsi="Times New Roman" w:eastAsia="方正仿宋_GB2312" w:cs="Times New Roman"/>
          <w:sz w:val="32"/>
          <w:szCs w:val="32"/>
          <w:lang w:eastAsia="zh-CN"/>
        </w:rPr>
        <w:t>支出</w:t>
      </w:r>
      <w:r>
        <w:rPr>
          <w:rFonts w:hint="default" w:ascii="Times New Roman" w:hAnsi="Times New Roman" w:eastAsia="方正仿宋_GB2312" w:cs="Times New Roman"/>
          <w:kern w:val="0"/>
          <w:sz w:val="32"/>
          <w:szCs w:val="32"/>
          <w:lang w:eastAsia="zh-CN"/>
        </w:rPr>
        <w:t>（类）</w:t>
      </w:r>
      <w:r>
        <w:rPr>
          <w:rFonts w:hint="default" w:ascii="Times New Roman" w:hAnsi="Times New Roman" w:eastAsia="方正仿宋_GB2312" w:cs="Times New Roman"/>
          <w:sz w:val="32"/>
          <w:szCs w:val="32"/>
        </w:rPr>
        <w:t>—文化和旅游</w:t>
      </w:r>
      <w:bookmarkStart w:id="67" w:name="_GoBack"/>
      <w:bookmarkEnd w:id="67"/>
      <w:r>
        <w:rPr>
          <w:rFonts w:hint="default" w:ascii="Times New Roman" w:hAnsi="Times New Roman" w:eastAsia="方正仿宋_GB2312" w:cs="Times New Roman"/>
          <w:kern w:val="0"/>
          <w:sz w:val="32"/>
          <w:szCs w:val="32"/>
          <w:lang w:eastAsia="zh-CN"/>
        </w:rPr>
        <w:t>（款）</w:t>
      </w:r>
      <w:r>
        <w:rPr>
          <w:rFonts w:hint="default" w:ascii="Times New Roman" w:hAnsi="Times New Roman" w:eastAsia="方正仿宋_GB2312" w:cs="Times New Roman"/>
          <w:sz w:val="32"/>
          <w:szCs w:val="32"/>
        </w:rPr>
        <w:t>—其他文化和旅游支出</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sz w:val="32"/>
          <w:szCs w:val="32"/>
        </w:rPr>
        <w:t>：反映其他用于文化和旅游方面的支出。</w:t>
      </w:r>
    </w:p>
    <w:p>
      <w:pPr>
        <w:spacing w:line="600" w:lineRule="exact"/>
        <w:ind w:firstLine="640" w:firstLineChars="200"/>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lang w:val="en-US" w:eastAsia="zh-CN"/>
        </w:rPr>
        <w:t>8</w:t>
      </w:r>
      <w:r>
        <w:rPr>
          <w:rFonts w:hint="default" w:ascii="Times New Roman" w:hAnsi="Times New Roman" w:eastAsia="方正仿宋_GB2312" w:cs="Times New Roman"/>
          <w:kern w:val="0"/>
          <w:sz w:val="32"/>
          <w:szCs w:val="32"/>
        </w:rPr>
        <w:t>.社会保障和就业支出</w:t>
      </w:r>
      <w:r>
        <w:rPr>
          <w:rFonts w:hint="default" w:ascii="Times New Roman" w:hAnsi="Times New Roman" w:eastAsia="方正仿宋_GB2312" w:cs="Times New Roman"/>
          <w:kern w:val="0"/>
          <w:sz w:val="32"/>
          <w:szCs w:val="32"/>
          <w:lang w:eastAsia="zh-CN"/>
        </w:rPr>
        <w:t>（类）</w:t>
      </w:r>
      <w:r>
        <w:rPr>
          <w:rFonts w:hint="default" w:ascii="Times New Roman" w:hAnsi="Times New Roman" w:eastAsia="方正仿宋_GB2312" w:cs="Times New Roman"/>
          <w:kern w:val="0"/>
          <w:sz w:val="32"/>
          <w:szCs w:val="32"/>
        </w:rPr>
        <w:t>—行政事业单位养老支出</w:t>
      </w:r>
      <w:r>
        <w:rPr>
          <w:rFonts w:hint="default" w:ascii="Times New Roman" w:hAnsi="Times New Roman" w:eastAsia="方正仿宋_GB2312" w:cs="Times New Roman"/>
          <w:kern w:val="0"/>
          <w:sz w:val="32"/>
          <w:szCs w:val="32"/>
          <w:lang w:eastAsia="zh-CN"/>
        </w:rPr>
        <w:t>（款）</w:t>
      </w:r>
      <w:r>
        <w:rPr>
          <w:rFonts w:hint="default" w:ascii="Times New Roman" w:hAnsi="Times New Roman" w:eastAsia="方正仿宋_GB2312" w:cs="Times New Roman"/>
          <w:kern w:val="0"/>
          <w:sz w:val="32"/>
          <w:szCs w:val="32"/>
        </w:rPr>
        <w:t>—事业单位离退休</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kern w:val="0"/>
          <w:sz w:val="32"/>
          <w:szCs w:val="32"/>
        </w:rPr>
        <w:t>:反映事业单位开支的离退休经费。</w:t>
      </w:r>
    </w:p>
    <w:p>
      <w:pPr>
        <w:spacing w:line="600" w:lineRule="exact"/>
        <w:ind w:firstLine="640" w:firstLineChars="200"/>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lang w:val="en-US" w:eastAsia="zh-CN"/>
        </w:rPr>
        <w:t>9</w:t>
      </w:r>
      <w:r>
        <w:rPr>
          <w:rFonts w:hint="default" w:ascii="Times New Roman" w:hAnsi="Times New Roman" w:eastAsia="方正仿宋_GB2312" w:cs="Times New Roman"/>
          <w:kern w:val="0"/>
          <w:sz w:val="32"/>
          <w:szCs w:val="32"/>
        </w:rPr>
        <w:t>.社会保障和就业支出</w:t>
      </w:r>
      <w:r>
        <w:rPr>
          <w:rFonts w:hint="default" w:ascii="Times New Roman" w:hAnsi="Times New Roman" w:eastAsia="方正仿宋_GB2312" w:cs="Times New Roman"/>
          <w:kern w:val="0"/>
          <w:sz w:val="32"/>
          <w:szCs w:val="32"/>
          <w:lang w:eastAsia="zh-CN"/>
        </w:rPr>
        <w:t>（类）</w:t>
      </w:r>
      <w:r>
        <w:rPr>
          <w:rFonts w:hint="default" w:ascii="Times New Roman" w:hAnsi="Times New Roman" w:eastAsia="方正仿宋_GB2312" w:cs="Times New Roman"/>
          <w:kern w:val="0"/>
          <w:sz w:val="32"/>
          <w:szCs w:val="32"/>
        </w:rPr>
        <w:t>—行政事业单位养老支出</w:t>
      </w:r>
      <w:r>
        <w:rPr>
          <w:rFonts w:hint="default" w:ascii="Times New Roman" w:hAnsi="Times New Roman" w:eastAsia="方正仿宋_GB2312" w:cs="Times New Roman"/>
          <w:kern w:val="0"/>
          <w:sz w:val="32"/>
          <w:szCs w:val="32"/>
          <w:lang w:eastAsia="zh-CN"/>
        </w:rPr>
        <w:t>（款）</w:t>
      </w:r>
      <w:r>
        <w:rPr>
          <w:rFonts w:hint="default" w:ascii="Times New Roman" w:hAnsi="Times New Roman" w:eastAsia="方正仿宋_GB2312" w:cs="Times New Roman"/>
          <w:kern w:val="0"/>
          <w:sz w:val="32"/>
          <w:szCs w:val="32"/>
        </w:rPr>
        <w:t>—机关事业单位基本养老保险缴费支出</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kern w:val="0"/>
          <w:sz w:val="32"/>
          <w:szCs w:val="32"/>
        </w:rPr>
        <w:t>：反映机关事业单位实施养老保险制度由单位缴纳的基本养老保险费支出。</w:t>
      </w:r>
    </w:p>
    <w:p>
      <w:pPr>
        <w:widowControl/>
        <w:shd w:val="clear" w:color="auto" w:fill="FFFFFF"/>
        <w:spacing w:line="600" w:lineRule="atLeast"/>
        <w:ind w:firstLine="640" w:firstLineChars="200"/>
        <w:jc w:val="left"/>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lang w:val="en-US" w:eastAsia="zh-CN"/>
        </w:rPr>
        <w:t>10</w:t>
      </w:r>
      <w:r>
        <w:rPr>
          <w:rFonts w:hint="default" w:ascii="Times New Roman" w:hAnsi="Times New Roman" w:eastAsia="方正仿宋_GB2312" w:cs="Times New Roman"/>
          <w:kern w:val="0"/>
          <w:sz w:val="32"/>
          <w:szCs w:val="32"/>
        </w:rPr>
        <w:t>.卫生健康支出</w:t>
      </w:r>
      <w:r>
        <w:rPr>
          <w:rFonts w:hint="default" w:ascii="Times New Roman" w:hAnsi="Times New Roman" w:eastAsia="方正仿宋_GB2312" w:cs="Times New Roman"/>
          <w:kern w:val="0"/>
          <w:sz w:val="32"/>
          <w:szCs w:val="32"/>
          <w:lang w:eastAsia="zh-CN"/>
        </w:rPr>
        <w:t>（类）</w:t>
      </w:r>
      <w:r>
        <w:rPr>
          <w:rFonts w:hint="default" w:ascii="Times New Roman" w:hAnsi="Times New Roman" w:eastAsia="方正仿宋_GB2312" w:cs="Times New Roman"/>
          <w:kern w:val="0"/>
          <w:sz w:val="32"/>
          <w:szCs w:val="32"/>
        </w:rPr>
        <w:t>—行政事业单位医疗</w:t>
      </w:r>
      <w:r>
        <w:rPr>
          <w:rFonts w:hint="default" w:ascii="Times New Roman" w:hAnsi="Times New Roman" w:eastAsia="方正仿宋_GB2312" w:cs="Times New Roman"/>
          <w:kern w:val="0"/>
          <w:sz w:val="32"/>
          <w:szCs w:val="32"/>
          <w:lang w:eastAsia="zh-CN"/>
        </w:rPr>
        <w:t>（款）</w:t>
      </w:r>
      <w:r>
        <w:rPr>
          <w:rFonts w:hint="default" w:ascii="Times New Roman" w:hAnsi="Times New Roman" w:eastAsia="方正仿宋_GB2312" w:cs="Times New Roman"/>
          <w:kern w:val="0"/>
          <w:sz w:val="32"/>
          <w:szCs w:val="32"/>
        </w:rPr>
        <w:t>—事业单位医疗</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kern w:val="0"/>
          <w:sz w:val="32"/>
          <w:szCs w:val="32"/>
        </w:rPr>
        <w:t>：反映财政部门安排的事业单位基本医疗保险缴费经费。</w:t>
      </w:r>
    </w:p>
    <w:p>
      <w:pPr>
        <w:pStyle w:val="6"/>
        <w:spacing w:before="93"/>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 xml:space="preserve">    1</w:t>
      </w:r>
      <w:r>
        <w:rPr>
          <w:rFonts w:hint="default" w:ascii="Times New Roman" w:hAnsi="Times New Roman" w:eastAsia="方正仿宋_GB2312" w:cs="Times New Roman"/>
          <w:sz w:val="32"/>
          <w:szCs w:val="32"/>
          <w:lang w:val="en-US" w:eastAsia="zh-CN"/>
        </w:rPr>
        <w:t>1</w:t>
      </w:r>
      <w:r>
        <w:rPr>
          <w:rFonts w:hint="default" w:ascii="Times New Roman" w:hAnsi="Times New Roman" w:eastAsia="方正仿宋_GB2312" w:cs="Times New Roman"/>
          <w:sz w:val="32"/>
          <w:szCs w:val="32"/>
        </w:rPr>
        <w:t>.卫生健康支出</w:t>
      </w:r>
      <w:r>
        <w:rPr>
          <w:rFonts w:hint="default" w:ascii="Times New Roman" w:hAnsi="Times New Roman" w:eastAsia="方正仿宋_GB2312" w:cs="Times New Roman"/>
          <w:kern w:val="0"/>
          <w:sz w:val="32"/>
          <w:szCs w:val="32"/>
          <w:lang w:eastAsia="zh-CN"/>
        </w:rPr>
        <w:t>（类）</w:t>
      </w:r>
      <w:r>
        <w:rPr>
          <w:rFonts w:hint="default" w:ascii="Times New Roman" w:hAnsi="Times New Roman" w:eastAsia="方正仿宋_GB2312" w:cs="Times New Roman"/>
          <w:sz w:val="32"/>
          <w:szCs w:val="32"/>
        </w:rPr>
        <w:t>—行政事业单位医疗</w:t>
      </w:r>
      <w:r>
        <w:rPr>
          <w:rFonts w:hint="default" w:ascii="Times New Roman" w:hAnsi="Times New Roman" w:eastAsia="方正仿宋_GB2312" w:cs="Times New Roman"/>
          <w:kern w:val="0"/>
          <w:sz w:val="32"/>
          <w:szCs w:val="32"/>
          <w:lang w:eastAsia="zh-CN"/>
        </w:rPr>
        <w:t>（款）</w:t>
      </w:r>
      <w:r>
        <w:rPr>
          <w:rFonts w:hint="default" w:ascii="Times New Roman" w:hAnsi="Times New Roman" w:eastAsia="方正仿宋_GB2312" w:cs="Times New Roman"/>
          <w:sz w:val="32"/>
          <w:szCs w:val="32"/>
        </w:rPr>
        <w:t>—其他行政事业单位医疗支出</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sz w:val="32"/>
          <w:szCs w:val="32"/>
        </w:rPr>
        <w:t>：反映其他用于行政事业单位医疗方面的支出。</w:t>
      </w:r>
    </w:p>
    <w:p>
      <w:pPr>
        <w:widowControl/>
        <w:shd w:val="clear" w:color="auto" w:fill="FFFFFF"/>
        <w:spacing w:line="600" w:lineRule="atLeast"/>
        <w:ind w:firstLine="640" w:firstLineChars="200"/>
        <w:jc w:val="left"/>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1</w:t>
      </w:r>
      <w:r>
        <w:rPr>
          <w:rFonts w:hint="eastAsia" w:eastAsia="方正仿宋_GB2312" w:cs="Times New Roman"/>
          <w:kern w:val="0"/>
          <w:sz w:val="32"/>
          <w:szCs w:val="32"/>
          <w:lang w:val="en-US" w:eastAsia="zh-CN"/>
        </w:rPr>
        <w:t>2</w:t>
      </w:r>
      <w:r>
        <w:rPr>
          <w:rFonts w:hint="default" w:ascii="Times New Roman" w:hAnsi="Times New Roman" w:eastAsia="方正仿宋_GB2312" w:cs="Times New Roman"/>
          <w:kern w:val="0"/>
          <w:sz w:val="32"/>
          <w:szCs w:val="32"/>
        </w:rPr>
        <w:t>.住房保障支出</w:t>
      </w:r>
      <w:r>
        <w:rPr>
          <w:rFonts w:hint="default" w:ascii="Times New Roman" w:hAnsi="Times New Roman" w:eastAsia="方正仿宋_GB2312" w:cs="Times New Roman"/>
          <w:kern w:val="0"/>
          <w:sz w:val="32"/>
          <w:szCs w:val="32"/>
          <w:lang w:eastAsia="zh-CN"/>
        </w:rPr>
        <w:t>（类）</w:t>
      </w:r>
      <w:r>
        <w:rPr>
          <w:rFonts w:hint="default" w:ascii="Times New Roman" w:hAnsi="Times New Roman" w:eastAsia="方正仿宋_GB2312" w:cs="Times New Roman"/>
          <w:kern w:val="0"/>
          <w:sz w:val="32"/>
          <w:szCs w:val="32"/>
        </w:rPr>
        <w:t>—住房改革支出</w:t>
      </w:r>
      <w:r>
        <w:rPr>
          <w:rFonts w:hint="default" w:ascii="Times New Roman" w:hAnsi="Times New Roman" w:eastAsia="方正仿宋_GB2312" w:cs="Times New Roman"/>
          <w:kern w:val="0"/>
          <w:sz w:val="32"/>
          <w:szCs w:val="32"/>
          <w:lang w:eastAsia="zh-CN"/>
        </w:rPr>
        <w:t>（款）</w:t>
      </w:r>
      <w:r>
        <w:rPr>
          <w:rFonts w:hint="default" w:ascii="Times New Roman" w:hAnsi="Times New Roman" w:eastAsia="方正仿宋_GB2312" w:cs="Times New Roman"/>
          <w:kern w:val="0"/>
          <w:sz w:val="32"/>
          <w:szCs w:val="32"/>
        </w:rPr>
        <w:t>—住房公积金</w:t>
      </w:r>
      <w:r>
        <w:rPr>
          <w:rFonts w:hint="default" w:ascii="Times New Roman" w:hAnsi="Times New Roman" w:eastAsia="方正仿宋_GB2312" w:cs="Times New Roman"/>
          <w:kern w:val="0"/>
          <w:sz w:val="32"/>
          <w:szCs w:val="32"/>
          <w:lang w:eastAsia="zh-CN"/>
        </w:rPr>
        <w:t>（项）</w:t>
      </w:r>
      <w:r>
        <w:rPr>
          <w:rFonts w:hint="default" w:ascii="Times New Roman" w:hAnsi="Times New Roman" w:eastAsia="方正仿宋_GB2312" w:cs="Times New Roman"/>
          <w:kern w:val="0"/>
          <w:sz w:val="32"/>
          <w:szCs w:val="32"/>
        </w:rPr>
        <w:t>:反映行政事业单位按人力资源和社会保障部、财政部规定的基本工资和津贴补贴以及规定比例为职工缴纳的住房公积金。</w:t>
      </w:r>
    </w:p>
    <w:p>
      <w:pPr>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w:t>
      </w:r>
      <w:r>
        <w:rPr>
          <w:rFonts w:hint="eastAsia" w:eastAsia="方正仿宋_GB2312" w:cs="Times New Roman"/>
          <w:sz w:val="32"/>
          <w:szCs w:val="32"/>
          <w:lang w:val="en-US" w:eastAsia="zh-CN"/>
        </w:rPr>
        <w:t>3</w:t>
      </w:r>
      <w:r>
        <w:rPr>
          <w:rFonts w:hint="default" w:ascii="Times New Roman" w:hAnsi="Times New Roman" w:eastAsia="方正仿宋_GB2312" w:cs="Times New Roman"/>
          <w:sz w:val="32"/>
          <w:szCs w:val="32"/>
        </w:rPr>
        <w:t>.基本支出：指为保障机构正常运转、完成日常工作任务而发生的人员支出和公用支出。</w:t>
      </w:r>
    </w:p>
    <w:p>
      <w:pPr>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w:t>
      </w:r>
      <w:r>
        <w:rPr>
          <w:rFonts w:hint="eastAsia" w:eastAsia="方正仿宋_GB2312" w:cs="Times New Roman"/>
          <w:sz w:val="32"/>
          <w:szCs w:val="32"/>
          <w:lang w:val="en-US" w:eastAsia="zh-CN"/>
        </w:rPr>
        <w:t>4</w:t>
      </w:r>
      <w:r>
        <w:rPr>
          <w:rFonts w:hint="default" w:ascii="Times New Roman" w:hAnsi="Times New Roman" w:eastAsia="方正仿宋_GB2312" w:cs="Times New Roman"/>
          <w:sz w:val="32"/>
          <w:szCs w:val="32"/>
        </w:rPr>
        <w:t>.项目支出：指在基本支出之外为完成特定行政任务和事业发展目标所发生的支出。</w:t>
      </w:r>
    </w:p>
    <w:p>
      <w:pPr>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w:t>
      </w:r>
      <w:r>
        <w:rPr>
          <w:rFonts w:hint="eastAsia" w:eastAsia="方正仿宋_GB2312" w:cs="Times New Roman"/>
          <w:sz w:val="32"/>
          <w:szCs w:val="32"/>
          <w:lang w:val="en-US" w:eastAsia="zh-CN"/>
        </w:rPr>
        <w:t>5</w:t>
      </w:r>
      <w:r>
        <w:rPr>
          <w:rFonts w:hint="default" w:ascii="Times New Roman" w:hAnsi="Times New Roman" w:eastAsia="方正仿宋_GB2312" w:cs="Times New Roman"/>
          <w:sz w:val="32"/>
          <w:szCs w:val="32"/>
        </w:rPr>
        <w:t>.经营支出：指事业单位在专业业务活动及其辅助活动之外开展非独立核算经营活动发生的支出。</w:t>
      </w:r>
    </w:p>
    <w:p>
      <w:pPr>
        <w:pStyle w:val="25"/>
        <w:spacing w:line="560" w:lineRule="exact"/>
        <w:ind w:firstLine="640" w:firstLineChars="200"/>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1</w:t>
      </w:r>
      <w:r>
        <w:rPr>
          <w:rFonts w:hint="eastAsia" w:ascii="Times New Roman" w:hAnsi="Times New Roman"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ascii="Times New Roman" w:hAnsi="Times New Roman" w:eastAsia="方正仿宋_GB2312" w:cs="Times New Roman"/>
          <w:color w:val="auto"/>
          <w:sz w:val="32"/>
          <w:szCs w:val="32"/>
          <w:lang w:eastAsia="zh-CN"/>
        </w:rPr>
        <w:t>、牌照费</w:t>
      </w:r>
      <w:r>
        <w:rPr>
          <w:rFonts w:hint="default" w:ascii="Times New Roman" w:hAnsi="Times New Roman" w:eastAsia="方正仿宋_GB2312" w:cs="Times New Roman"/>
          <w:color w:val="auto"/>
          <w:sz w:val="32"/>
          <w:szCs w:val="32"/>
        </w:rPr>
        <w:t>）、燃料费、维修费、过路过桥费、保险费</w:t>
      </w:r>
      <w:r>
        <w:rPr>
          <w:rFonts w:hint="eastAsia" w:ascii="Times New Roman" w:hAnsi="Times New Roman" w:eastAsia="方正仿宋_GB2312" w:cs="Times New Roman"/>
          <w:color w:val="auto"/>
          <w:sz w:val="32"/>
          <w:szCs w:val="32"/>
          <w:lang w:eastAsia="zh-CN"/>
        </w:rPr>
        <w:t>、安全奖励费用</w:t>
      </w:r>
      <w:r>
        <w:rPr>
          <w:rFonts w:hint="default" w:ascii="Times New Roman" w:hAnsi="Times New Roman" w:eastAsia="方正仿宋_GB2312" w:cs="Times New Roman"/>
          <w:color w:val="auto"/>
          <w:sz w:val="32"/>
          <w:szCs w:val="32"/>
        </w:rPr>
        <w:t>等支出；公务接待费反映单位按规定开支的各类公务接待（含外宾接待）支出。</w:t>
      </w:r>
    </w:p>
    <w:p>
      <w:pPr>
        <w:pStyle w:val="25"/>
        <w:spacing w:line="560" w:lineRule="exact"/>
        <w:ind w:firstLine="640" w:firstLineChars="200"/>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1</w:t>
      </w:r>
      <w:r>
        <w:rPr>
          <w:rFonts w:hint="eastAsia" w:ascii="Times New Roman" w:hAnsi="Times New Roman" w:eastAsia="方正仿宋_GB2312" w:cs="Times New Roman"/>
          <w:color w:val="auto"/>
          <w:sz w:val="32"/>
          <w:szCs w:val="32"/>
          <w:lang w:val="en-US" w:eastAsia="zh-CN"/>
        </w:rPr>
        <w:t>7</w:t>
      </w:r>
      <w:r>
        <w:rPr>
          <w:rFonts w:hint="default" w:ascii="Times New Roman" w:hAnsi="Times New Roman" w:eastAsia="方正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7"/>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7"/>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int="default" w:ascii="Times New Roman" w:hAnsi="Times New Roman" w:eastAsia="方正仿宋_GB2312" w:cs="Times New Roman"/>
          <w:color w:val="FF0000"/>
          <w:sz w:val="32"/>
          <w:szCs w:val="32"/>
        </w:rPr>
      </w:pPr>
      <w:bookmarkStart w:id="53" w:name="_Toc15396618"/>
      <w:r>
        <w:rPr>
          <w:rFonts w:hint="default" w:ascii="Times New Roman" w:hAnsi="Times New Roman" w:eastAsia="方正仿宋_GB2312" w:cs="Times New Roman"/>
          <w:sz w:val="32"/>
          <w:szCs w:val="32"/>
        </w:rPr>
        <w:t>部门预算项目支出绩效自评表（2023年度）</w:t>
      </w:r>
    </w:p>
    <w:p>
      <w:pPr>
        <w:pStyle w:val="11"/>
        <w:spacing w:line="560" w:lineRule="exact"/>
        <w:ind w:left="0" w:leftChars="0" w:firstLine="640"/>
        <w:rPr>
          <w:rFonts w:hint="default" w:ascii="Times New Roman" w:hAnsi="Times New Roman" w:eastAsia="方正仿宋_GB2312" w:cs="Times New Roman"/>
          <w:sz w:val="32"/>
          <w:szCs w:val="32"/>
        </w:rPr>
      </w:pPr>
    </w:p>
    <w:tbl>
      <w:tblPr>
        <w:tblStyle w:val="18"/>
        <w:tblW w:w="8336" w:type="dxa"/>
        <w:tblInd w:w="0" w:type="dxa"/>
        <w:shd w:val="clear" w:color="auto" w:fill="auto"/>
        <w:tblLayout w:type="fixed"/>
        <w:tblCellMar>
          <w:top w:w="0" w:type="dxa"/>
          <w:left w:w="0" w:type="dxa"/>
          <w:bottom w:w="0" w:type="dxa"/>
          <w:right w:w="0" w:type="dxa"/>
        </w:tblCellMar>
      </w:tblPr>
      <w:tblGrid>
        <w:gridCol w:w="404"/>
        <w:gridCol w:w="1199"/>
        <w:gridCol w:w="1040"/>
        <w:gridCol w:w="1324"/>
        <w:gridCol w:w="306"/>
        <w:gridCol w:w="985"/>
        <w:gridCol w:w="307"/>
        <w:gridCol w:w="660"/>
        <w:gridCol w:w="300"/>
        <w:gridCol w:w="269"/>
        <w:gridCol w:w="1542"/>
      </w:tblGrid>
      <w:tr>
        <w:tblPrEx>
          <w:shd w:val="clear" w:color="auto" w:fill="auto"/>
          <w:tblLayout w:type="fixed"/>
          <w:tblCellMar>
            <w:top w:w="0" w:type="dxa"/>
            <w:left w:w="0" w:type="dxa"/>
            <w:bottom w:w="0" w:type="dxa"/>
            <w:right w:w="0" w:type="dxa"/>
          </w:tblCellMar>
        </w:tblPrEx>
        <w:trPr>
          <w:trHeight w:val="286" w:hRule="atLeast"/>
        </w:trPr>
        <w:tc>
          <w:tcPr>
            <w:tcW w:w="404"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99"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40"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324"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06"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85"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07"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660"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00"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69"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542"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6" w:hRule="atLeast"/>
        </w:trPr>
        <w:tc>
          <w:tcPr>
            <w:tcW w:w="404"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99"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40"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324"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06"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85"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07"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660"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00"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69"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542"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r>
    </w:tbl>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1"/>
      <w:bookmarkEnd w:id="53"/>
      <w:bookmarkStart w:id="54" w:name="_Toc15396619"/>
    </w:p>
    <w:p>
      <w:pPr>
        <w:pStyle w:val="4"/>
        <w:ind w:firstLine="640" w:firstLineChars="200"/>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val="0"/>
        </w:rPr>
        <w:t>一、收</w:t>
      </w:r>
      <w:r>
        <w:rPr>
          <w:rStyle w:val="28"/>
          <w:rFonts w:hint="eastAsia" w:ascii="方正仿宋_GB2312" w:hAnsi="方正仿宋_GB2312" w:eastAsia="方正仿宋_GB2312" w:cs="方正仿宋_GB2312"/>
          <w:b w:val="0"/>
          <w:bCs w:val="0"/>
        </w:rPr>
        <w:t>入支出决算总表</w:t>
      </w:r>
      <w:bookmarkEnd w:id="54"/>
    </w:p>
    <w:p>
      <w:pPr>
        <w:pStyle w:val="4"/>
        <w:ind w:firstLine="640" w:firstLineChars="200"/>
        <w:rPr>
          <w:rFonts w:hint="eastAsia" w:ascii="方正仿宋_GB2312" w:hAnsi="方正仿宋_GB2312" w:eastAsia="方正仿宋_GB2312" w:cs="方正仿宋_GB2312"/>
        </w:rPr>
      </w:pPr>
      <w:bookmarkStart w:id="55" w:name="_Toc15396620"/>
      <w:r>
        <w:rPr>
          <w:rFonts w:hint="eastAsia" w:ascii="方正仿宋_GB2312" w:hAnsi="方正仿宋_GB2312" w:eastAsia="方正仿宋_GB2312" w:cs="方正仿宋_GB2312"/>
          <w:b w:val="0"/>
        </w:rPr>
        <w:t>二、收</w:t>
      </w:r>
      <w:r>
        <w:rPr>
          <w:rStyle w:val="28"/>
          <w:rFonts w:hint="eastAsia" w:ascii="方正仿宋_GB2312" w:hAnsi="方正仿宋_GB2312" w:eastAsia="方正仿宋_GB2312" w:cs="方正仿宋_GB2312"/>
          <w:b w:val="0"/>
          <w:bCs w:val="0"/>
        </w:rPr>
        <w:t>入决算表</w:t>
      </w:r>
      <w:bookmarkEnd w:id="55"/>
    </w:p>
    <w:p>
      <w:pPr>
        <w:pStyle w:val="4"/>
        <w:ind w:firstLine="640" w:firstLineChars="200"/>
        <w:rPr>
          <w:rFonts w:hint="eastAsia" w:ascii="方正仿宋_GB2312" w:hAnsi="方正仿宋_GB2312" w:eastAsia="方正仿宋_GB2312" w:cs="方正仿宋_GB2312"/>
        </w:rPr>
      </w:pPr>
      <w:bookmarkStart w:id="56" w:name="_Toc15396621"/>
      <w:r>
        <w:rPr>
          <w:rStyle w:val="28"/>
          <w:rFonts w:hint="eastAsia" w:ascii="方正仿宋_GB2312" w:hAnsi="方正仿宋_GB2312" w:eastAsia="方正仿宋_GB2312" w:cs="方正仿宋_GB2312"/>
          <w:b w:val="0"/>
          <w:bCs w:val="0"/>
        </w:rPr>
        <w:t>三、</w:t>
      </w:r>
      <w:r>
        <w:rPr>
          <w:rFonts w:hint="eastAsia" w:ascii="方正仿宋_GB2312" w:hAnsi="方正仿宋_GB2312" w:eastAsia="方正仿宋_GB2312" w:cs="方正仿宋_GB2312"/>
          <w:b w:val="0"/>
        </w:rPr>
        <w:t>支</w:t>
      </w:r>
      <w:r>
        <w:rPr>
          <w:rStyle w:val="28"/>
          <w:rFonts w:hint="eastAsia" w:ascii="方正仿宋_GB2312" w:hAnsi="方正仿宋_GB2312" w:eastAsia="方正仿宋_GB2312" w:cs="方正仿宋_GB2312"/>
          <w:b w:val="0"/>
          <w:bCs w:val="0"/>
        </w:rPr>
        <w:t>出决算表</w:t>
      </w:r>
      <w:bookmarkEnd w:id="56"/>
    </w:p>
    <w:p>
      <w:pPr>
        <w:pStyle w:val="4"/>
        <w:ind w:firstLine="640" w:firstLineChars="200"/>
        <w:rPr>
          <w:rFonts w:hint="eastAsia" w:ascii="方正仿宋_GB2312" w:hAnsi="方正仿宋_GB2312" w:eastAsia="方正仿宋_GB2312" w:cs="方正仿宋_GB2312"/>
          <w:b w:val="0"/>
        </w:rPr>
      </w:pPr>
      <w:bookmarkStart w:id="57" w:name="_Toc15396622"/>
      <w:r>
        <w:rPr>
          <w:rStyle w:val="28"/>
          <w:rFonts w:hint="eastAsia" w:ascii="方正仿宋_GB2312" w:hAnsi="方正仿宋_GB2312" w:eastAsia="方正仿宋_GB2312" w:cs="方正仿宋_GB2312"/>
          <w:b w:val="0"/>
          <w:bCs w:val="0"/>
        </w:rPr>
        <w:t>四、</w:t>
      </w:r>
      <w:r>
        <w:rPr>
          <w:rFonts w:hint="eastAsia" w:ascii="方正仿宋_GB2312" w:hAnsi="方正仿宋_GB2312" w:eastAsia="方正仿宋_GB2312" w:cs="方正仿宋_GB2312"/>
          <w:b w:val="0"/>
        </w:rPr>
        <w:t>财</w:t>
      </w:r>
      <w:r>
        <w:rPr>
          <w:rStyle w:val="28"/>
          <w:rFonts w:hint="eastAsia" w:ascii="方正仿宋_GB2312" w:hAnsi="方正仿宋_GB2312" w:eastAsia="方正仿宋_GB2312" w:cs="方正仿宋_GB2312"/>
          <w:b w:val="0"/>
          <w:bCs w:val="0"/>
        </w:rPr>
        <w:t>政拨款收入支出决算总表</w:t>
      </w:r>
      <w:bookmarkEnd w:id="57"/>
    </w:p>
    <w:p>
      <w:pPr>
        <w:pStyle w:val="4"/>
        <w:ind w:firstLine="640" w:firstLineChars="200"/>
        <w:rPr>
          <w:rStyle w:val="28"/>
          <w:rFonts w:hint="eastAsia" w:ascii="方正仿宋_GB2312" w:hAnsi="方正仿宋_GB2312" w:eastAsia="方正仿宋_GB2312" w:cs="方正仿宋_GB2312"/>
          <w:b w:val="0"/>
          <w:bCs w:val="0"/>
        </w:rPr>
      </w:pPr>
      <w:bookmarkStart w:id="58" w:name="_Toc15396623"/>
      <w:r>
        <w:rPr>
          <w:rStyle w:val="28"/>
          <w:rFonts w:hint="eastAsia" w:ascii="方正仿宋_GB2312" w:hAnsi="方正仿宋_GB2312" w:eastAsia="方正仿宋_GB2312" w:cs="方正仿宋_GB2312"/>
          <w:b w:val="0"/>
          <w:bCs w:val="0"/>
        </w:rPr>
        <w:t>五、</w:t>
      </w:r>
      <w:r>
        <w:rPr>
          <w:rFonts w:hint="eastAsia" w:ascii="方正仿宋_GB2312" w:hAnsi="方正仿宋_GB2312" w:eastAsia="方正仿宋_GB2312" w:cs="方正仿宋_GB2312"/>
          <w:b w:val="0"/>
        </w:rPr>
        <w:t>财</w:t>
      </w:r>
      <w:r>
        <w:rPr>
          <w:rStyle w:val="28"/>
          <w:rFonts w:hint="eastAsia" w:ascii="方正仿宋_GB2312" w:hAnsi="方正仿宋_GB2312" w:eastAsia="方正仿宋_GB2312" w:cs="方正仿宋_GB2312"/>
          <w:b w:val="0"/>
          <w:bCs w:val="0"/>
        </w:rPr>
        <w:t>政拨款支出决算明细表</w:t>
      </w:r>
      <w:bookmarkEnd w:id="58"/>
      <w:bookmarkStart w:id="59" w:name="_Toc15396624"/>
    </w:p>
    <w:p>
      <w:pPr>
        <w:pStyle w:val="4"/>
        <w:ind w:firstLine="640" w:firstLineChars="200"/>
        <w:rPr>
          <w:rFonts w:hint="eastAsia" w:ascii="方正仿宋_GB2312" w:hAnsi="方正仿宋_GB2312" w:eastAsia="方正仿宋_GB2312" w:cs="方正仿宋_GB2312"/>
        </w:rPr>
      </w:pPr>
      <w:r>
        <w:rPr>
          <w:rStyle w:val="28"/>
          <w:rFonts w:hint="eastAsia" w:ascii="方正仿宋_GB2312" w:hAnsi="方正仿宋_GB2312" w:eastAsia="方正仿宋_GB2312" w:cs="方正仿宋_GB2312"/>
          <w:b w:val="0"/>
          <w:bCs w:val="0"/>
        </w:rPr>
        <w:t>六、</w:t>
      </w:r>
      <w:r>
        <w:rPr>
          <w:rFonts w:hint="eastAsia" w:ascii="方正仿宋_GB2312" w:hAnsi="方正仿宋_GB2312" w:eastAsia="方正仿宋_GB2312" w:cs="方正仿宋_GB2312"/>
          <w:b w:val="0"/>
        </w:rPr>
        <w:t>一</w:t>
      </w:r>
      <w:r>
        <w:rPr>
          <w:rStyle w:val="28"/>
          <w:rFonts w:hint="eastAsia" w:ascii="方正仿宋_GB2312" w:hAnsi="方正仿宋_GB2312" w:eastAsia="方正仿宋_GB2312" w:cs="方正仿宋_GB2312"/>
          <w:b w:val="0"/>
          <w:bCs w:val="0"/>
        </w:rPr>
        <w:t>般公共预算财政拨款支出决算表</w:t>
      </w:r>
      <w:bookmarkEnd w:id="59"/>
    </w:p>
    <w:p>
      <w:pPr>
        <w:pStyle w:val="4"/>
        <w:ind w:firstLine="640" w:firstLineChars="200"/>
        <w:rPr>
          <w:rFonts w:hint="eastAsia" w:ascii="方正仿宋_GB2312" w:hAnsi="方正仿宋_GB2312" w:eastAsia="方正仿宋_GB2312" w:cs="方正仿宋_GB2312"/>
        </w:rPr>
      </w:pPr>
      <w:bookmarkStart w:id="60" w:name="_Toc15396625"/>
      <w:r>
        <w:rPr>
          <w:rStyle w:val="28"/>
          <w:rFonts w:hint="eastAsia" w:ascii="方正仿宋_GB2312" w:hAnsi="方正仿宋_GB2312" w:eastAsia="方正仿宋_GB2312" w:cs="方正仿宋_GB2312"/>
          <w:b w:val="0"/>
          <w:bCs w:val="0"/>
        </w:rPr>
        <w:t>七、</w:t>
      </w:r>
      <w:r>
        <w:rPr>
          <w:rFonts w:hint="eastAsia" w:ascii="方正仿宋_GB2312" w:hAnsi="方正仿宋_GB2312" w:eastAsia="方正仿宋_GB2312" w:cs="方正仿宋_GB2312"/>
          <w:b w:val="0"/>
        </w:rPr>
        <w:t>一</w:t>
      </w:r>
      <w:r>
        <w:rPr>
          <w:rStyle w:val="28"/>
          <w:rFonts w:hint="eastAsia" w:ascii="方正仿宋_GB2312" w:hAnsi="方正仿宋_GB2312" w:eastAsia="方正仿宋_GB2312" w:cs="方正仿宋_GB2312"/>
          <w:b w:val="0"/>
          <w:bCs w:val="0"/>
        </w:rPr>
        <w:t>般公共预算财政拨款支出决算明细表</w:t>
      </w:r>
      <w:bookmarkEnd w:id="60"/>
    </w:p>
    <w:p>
      <w:pPr>
        <w:pStyle w:val="4"/>
        <w:ind w:firstLine="640" w:firstLineChars="200"/>
        <w:rPr>
          <w:rFonts w:hint="eastAsia" w:ascii="方正仿宋_GB2312" w:hAnsi="方正仿宋_GB2312" w:eastAsia="方正仿宋_GB2312" w:cs="方正仿宋_GB2312"/>
        </w:rPr>
      </w:pPr>
      <w:bookmarkStart w:id="61" w:name="_Toc15396626"/>
      <w:r>
        <w:rPr>
          <w:rStyle w:val="28"/>
          <w:rFonts w:hint="eastAsia" w:ascii="方正仿宋_GB2312" w:hAnsi="方正仿宋_GB2312" w:eastAsia="方正仿宋_GB2312" w:cs="方正仿宋_GB2312"/>
          <w:b w:val="0"/>
          <w:bCs w:val="0"/>
        </w:rPr>
        <w:t>八、</w:t>
      </w:r>
      <w:r>
        <w:rPr>
          <w:rFonts w:hint="eastAsia" w:ascii="方正仿宋_GB2312" w:hAnsi="方正仿宋_GB2312" w:eastAsia="方正仿宋_GB2312" w:cs="方正仿宋_GB2312"/>
          <w:b w:val="0"/>
        </w:rPr>
        <w:t>一</w:t>
      </w:r>
      <w:r>
        <w:rPr>
          <w:rStyle w:val="28"/>
          <w:rFonts w:hint="eastAsia" w:ascii="方正仿宋_GB2312" w:hAnsi="方正仿宋_GB2312" w:eastAsia="方正仿宋_GB2312" w:cs="方正仿宋_GB2312"/>
          <w:b w:val="0"/>
          <w:bCs w:val="0"/>
        </w:rPr>
        <w:t>般公共预算财政拨款基本支出决算表</w:t>
      </w:r>
      <w:bookmarkEnd w:id="61"/>
    </w:p>
    <w:p>
      <w:pPr>
        <w:pStyle w:val="4"/>
        <w:ind w:firstLine="640" w:firstLineChars="200"/>
        <w:rPr>
          <w:rFonts w:hint="eastAsia" w:ascii="方正仿宋_GB2312" w:hAnsi="方正仿宋_GB2312" w:eastAsia="方正仿宋_GB2312" w:cs="方正仿宋_GB2312"/>
        </w:rPr>
      </w:pPr>
      <w:bookmarkStart w:id="62" w:name="_Toc15396627"/>
      <w:r>
        <w:rPr>
          <w:rStyle w:val="28"/>
          <w:rFonts w:hint="eastAsia" w:ascii="方正仿宋_GB2312" w:hAnsi="方正仿宋_GB2312" w:eastAsia="方正仿宋_GB2312" w:cs="方正仿宋_GB2312"/>
          <w:b w:val="0"/>
          <w:bCs w:val="0"/>
        </w:rPr>
        <w:t>九、</w:t>
      </w:r>
      <w:r>
        <w:rPr>
          <w:rFonts w:hint="eastAsia" w:ascii="方正仿宋_GB2312" w:hAnsi="方正仿宋_GB2312" w:eastAsia="方正仿宋_GB2312" w:cs="方正仿宋_GB2312"/>
          <w:b w:val="0"/>
        </w:rPr>
        <w:t>一</w:t>
      </w:r>
      <w:r>
        <w:rPr>
          <w:rStyle w:val="28"/>
          <w:rFonts w:hint="eastAsia" w:ascii="方正仿宋_GB2312" w:hAnsi="方正仿宋_GB2312" w:eastAsia="方正仿宋_GB2312" w:cs="方正仿宋_GB2312"/>
          <w:b w:val="0"/>
          <w:bCs w:val="0"/>
        </w:rPr>
        <w:t>般公共预算财政拨款项目支出决算表</w:t>
      </w:r>
      <w:bookmarkEnd w:id="62"/>
    </w:p>
    <w:p>
      <w:pPr>
        <w:pStyle w:val="4"/>
        <w:ind w:firstLine="640" w:firstLineChars="200"/>
        <w:rPr>
          <w:rFonts w:hint="eastAsia" w:ascii="方正仿宋_GB2312" w:hAnsi="方正仿宋_GB2312" w:eastAsia="方正仿宋_GB2312" w:cs="方正仿宋_GB2312"/>
        </w:rPr>
      </w:pPr>
      <w:bookmarkStart w:id="63" w:name="_Toc15396628"/>
      <w:r>
        <w:rPr>
          <w:rStyle w:val="28"/>
          <w:rFonts w:hint="eastAsia" w:ascii="方正仿宋_GB2312" w:hAnsi="方正仿宋_GB2312" w:eastAsia="方正仿宋_GB2312" w:cs="方正仿宋_GB2312"/>
          <w:b w:val="0"/>
          <w:bCs w:val="0"/>
        </w:rPr>
        <w:t>十、</w:t>
      </w:r>
      <w:bookmarkEnd w:id="63"/>
      <w:r>
        <w:rPr>
          <w:rFonts w:hint="eastAsia" w:ascii="方正仿宋_GB2312" w:hAnsi="方正仿宋_GB2312" w:eastAsia="方正仿宋_GB2312" w:cs="方正仿宋_GB2312"/>
          <w:b w:val="0"/>
        </w:rPr>
        <w:t>政</w:t>
      </w:r>
      <w:r>
        <w:rPr>
          <w:rStyle w:val="28"/>
          <w:rFonts w:hint="eastAsia" w:ascii="方正仿宋_GB2312" w:hAnsi="方正仿宋_GB2312" w:eastAsia="方正仿宋_GB2312" w:cs="方正仿宋_GB2312"/>
          <w:b w:val="0"/>
          <w:bCs w:val="0"/>
        </w:rPr>
        <w:t>府性基金预算财政拨款收入支出决算表</w:t>
      </w:r>
    </w:p>
    <w:p>
      <w:pPr>
        <w:pStyle w:val="4"/>
        <w:ind w:firstLine="640" w:firstLineChars="200"/>
        <w:rPr>
          <w:rFonts w:hint="eastAsia" w:ascii="方正仿宋_GB2312" w:hAnsi="方正仿宋_GB2312" w:eastAsia="方正仿宋_GB2312" w:cs="方正仿宋_GB2312"/>
        </w:rPr>
      </w:pPr>
      <w:bookmarkStart w:id="64" w:name="_Toc15396629"/>
      <w:r>
        <w:rPr>
          <w:rStyle w:val="28"/>
          <w:rFonts w:hint="eastAsia" w:ascii="方正仿宋_GB2312" w:hAnsi="方正仿宋_GB2312" w:eastAsia="方正仿宋_GB2312" w:cs="方正仿宋_GB2312"/>
          <w:b w:val="0"/>
          <w:bCs w:val="0"/>
        </w:rPr>
        <w:t>十一、</w:t>
      </w:r>
      <w:bookmarkEnd w:id="64"/>
      <w:r>
        <w:rPr>
          <w:rFonts w:hint="eastAsia" w:ascii="方正仿宋_GB2312" w:hAnsi="方正仿宋_GB2312" w:eastAsia="方正仿宋_GB2312" w:cs="方正仿宋_GB2312"/>
          <w:b w:val="0"/>
        </w:rPr>
        <w:t>国</w:t>
      </w:r>
      <w:r>
        <w:rPr>
          <w:rStyle w:val="28"/>
          <w:rFonts w:hint="eastAsia" w:ascii="方正仿宋_GB2312" w:hAnsi="方正仿宋_GB2312" w:eastAsia="方正仿宋_GB2312" w:cs="方正仿宋_GB2312"/>
          <w:b w:val="0"/>
          <w:bCs w:val="0"/>
        </w:rPr>
        <w:t>有资本经营预算财政拨款收入支出决算表</w:t>
      </w:r>
    </w:p>
    <w:p>
      <w:pPr>
        <w:pStyle w:val="4"/>
        <w:ind w:firstLine="640" w:firstLineChars="200"/>
        <w:rPr>
          <w:rFonts w:hint="eastAsia" w:ascii="方正仿宋_GB2312" w:hAnsi="方正仿宋_GB2312" w:eastAsia="方正仿宋_GB2312" w:cs="方正仿宋_GB2312"/>
        </w:rPr>
      </w:pPr>
      <w:bookmarkStart w:id="65" w:name="_Toc15396630"/>
      <w:r>
        <w:rPr>
          <w:rStyle w:val="28"/>
          <w:rFonts w:hint="eastAsia" w:ascii="方正仿宋_GB2312" w:hAnsi="方正仿宋_GB2312" w:eastAsia="方正仿宋_GB2312" w:cs="方正仿宋_GB2312"/>
          <w:b w:val="0"/>
          <w:bCs w:val="0"/>
        </w:rPr>
        <w:t>十二、</w:t>
      </w:r>
      <w:bookmarkEnd w:id="65"/>
      <w:r>
        <w:rPr>
          <w:rStyle w:val="28"/>
          <w:rFonts w:hint="eastAsia" w:ascii="方正仿宋_GB2312" w:hAnsi="方正仿宋_GB2312" w:eastAsia="方正仿宋_GB2312" w:cs="方正仿宋_GB2312"/>
          <w:b w:val="0"/>
          <w:bCs w:val="0"/>
        </w:rPr>
        <w:t>国有资本经营预算财政拨款支出决算表</w:t>
      </w:r>
    </w:p>
    <w:p>
      <w:pPr>
        <w:pStyle w:val="4"/>
        <w:ind w:firstLine="640" w:firstLineChars="200"/>
        <w:rPr>
          <w:rStyle w:val="28"/>
          <w:rFonts w:hint="eastAsia" w:ascii="方正仿宋_GB2312" w:hAnsi="方正仿宋_GB2312" w:eastAsia="方正仿宋_GB2312" w:cs="方正仿宋_GB2312"/>
          <w:b w:val="0"/>
          <w:bCs w:val="0"/>
        </w:rPr>
      </w:pPr>
      <w:bookmarkStart w:id="66" w:name="_Toc15396631"/>
      <w:r>
        <w:rPr>
          <w:rStyle w:val="28"/>
          <w:rFonts w:hint="eastAsia" w:ascii="方正仿宋_GB2312" w:hAnsi="方正仿宋_GB2312" w:eastAsia="方正仿宋_GB2312" w:cs="方正仿宋_GB2312"/>
          <w:b w:val="0"/>
          <w:bCs w:val="0"/>
        </w:rPr>
        <w:t>十三、</w:t>
      </w:r>
      <w:bookmarkEnd w:id="66"/>
      <w:r>
        <w:rPr>
          <w:rStyle w:val="28"/>
          <w:rFonts w:hint="eastAsia" w:ascii="方正仿宋_GB2312" w:hAnsi="方正仿宋_GB2312" w:eastAsia="方正仿宋_GB2312" w:cs="方正仿宋_GB2312"/>
          <w:b w:val="0"/>
          <w:bCs w:val="0"/>
        </w:rPr>
        <w:t>财政拨款“三公”经费支出决算表</w:t>
      </w:r>
    </w:p>
    <w:p>
      <w:pPr>
        <w:rPr>
          <w:rFonts w:hint="eastAsia"/>
          <w:lang w:val="en-US" w:eastAsia="zh-CN"/>
        </w:rPr>
      </w:pPr>
    </w:p>
    <w:sectPr>
      <w:footerReference r:id="rId9"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239978-F64C-4DBE-81D8-E72E4B34A2C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79AC502-5A06-44EB-8962-3DDDDAC55120}"/>
  </w:font>
  <w:font w:name="Cambria">
    <w:panose1 w:val="02040503050406030204"/>
    <w:charset w:val="00"/>
    <w:family w:val="roman"/>
    <w:pitch w:val="default"/>
    <w:sig w:usb0="E00002FF" w:usb1="400004FF" w:usb2="00000000" w:usb3="00000000" w:csb0="2000019F" w:csb1="00000000"/>
    <w:embedRegular r:id="rId3" w:fontKey="{07920925-6C95-498F-B10B-1792065B71FD}"/>
  </w:font>
  <w:font w:name="仿宋_GB2312">
    <w:panose1 w:val="02010609030101010101"/>
    <w:charset w:val="86"/>
    <w:family w:val="auto"/>
    <w:pitch w:val="default"/>
    <w:sig w:usb0="00000001" w:usb1="080E0000" w:usb2="00000000" w:usb3="00000000" w:csb0="00040000" w:csb1="00000000"/>
    <w:embedRegular r:id="rId4" w:fontKey="{F64B9BBB-A644-4E6A-A07B-24E453E8FD2F}"/>
  </w:font>
  <w:font w:name="仿宋">
    <w:panose1 w:val="02010609060101010101"/>
    <w:charset w:val="86"/>
    <w:family w:val="modern"/>
    <w:pitch w:val="default"/>
    <w:sig w:usb0="800002BF" w:usb1="38CF7CFA" w:usb2="00000016" w:usb3="00000000" w:csb0="00040001" w:csb1="00000000"/>
    <w:embedRegular r:id="rId5" w:fontKey="{EB8A1F1D-3AF6-4947-BA12-9BF9430E5350}"/>
  </w:font>
  <w:font w:name="方正小标宋简体">
    <w:panose1 w:val="02010601030101010101"/>
    <w:charset w:val="86"/>
    <w:family w:val="script"/>
    <w:pitch w:val="default"/>
    <w:sig w:usb0="00000001" w:usb1="080E0000" w:usb2="00000000" w:usb3="00000000" w:csb0="00040000" w:csb1="00000000"/>
    <w:embedRegular r:id="rId6" w:fontKey="{3F62800C-73FA-4A95-A615-6106767428E2}"/>
  </w:font>
  <w:font w:name="方正仿宋_GB2312">
    <w:panose1 w:val="02000000000000000000"/>
    <w:charset w:val="86"/>
    <w:family w:val="auto"/>
    <w:pitch w:val="default"/>
    <w:sig w:usb0="00000000" w:usb1="00000000" w:usb2="00000000" w:usb3="00000000" w:csb0="00000000" w:csb1="00000000"/>
    <w:embedRegular r:id="rId7" w:fontKey="{82F9FFE8-ECE1-4008-9C1A-41C7C110FD9B}"/>
  </w:font>
  <w:font w:name="方正楷体_GB2312">
    <w:panose1 w:val="02000000000000000000"/>
    <w:charset w:val="86"/>
    <w:family w:val="auto"/>
    <w:pitch w:val="default"/>
    <w:sig w:usb0="00000000" w:usb1="00000000" w:usb2="00000000" w:usb3="00000000" w:csb0="00000000" w:csb1="00000000"/>
    <w:embedRegular r:id="rId8" w:fontKey="{D5D6430E-85D9-4F69-9A5E-7101FDFF4A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MGQ0ZTdmOGEwODA0MTQ0NDFlYWVlZmY1NWY4MG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974F4"/>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56D504E"/>
    <w:rsid w:val="081B5E94"/>
    <w:rsid w:val="08B2684F"/>
    <w:rsid w:val="0A2032A3"/>
    <w:rsid w:val="0B8A37D8"/>
    <w:rsid w:val="0F5FFB2F"/>
    <w:rsid w:val="0FFFCF60"/>
    <w:rsid w:val="10C055FF"/>
    <w:rsid w:val="118107EC"/>
    <w:rsid w:val="11DD6519"/>
    <w:rsid w:val="145A27AF"/>
    <w:rsid w:val="159151AF"/>
    <w:rsid w:val="16BB723D"/>
    <w:rsid w:val="18015F3F"/>
    <w:rsid w:val="1BE8440E"/>
    <w:rsid w:val="1CCF6A0D"/>
    <w:rsid w:val="1D155CEE"/>
    <w:rsid w:val="1EAF4AB6"/>
    <w:rsid w:val="1FDBBF84"/>
    <w:rsid w:val="20F57F95"/>
    <w:rsid w:val="240371BF"/>
    <w:rsid w:val="25711CC6"/>
    <w:rsid w:val="25C741E6"/>
    <w:rsid w:val="276F80C0"/>
    <w:rsid w:val="27842671"/>
    <w:rsid w:val="28A53EAC"/>
    <w:rsid w:val="29FD04D3"/>
    <w:rsid w:val="2ABE7A3E"/>
    <w:rsid w:val="2AFF09B6"/>
    <w:rsid w:val="2CA234A8"/>
    <w:rsid w:val="2DFC4A97"/>
    <w:rsid w:val="2EFA178C"/>
    <w:rsid w:val="2EFDF86C"/>
    <w:rsid w:val="2F9D17E1"/>
    <w:rsid w:val="30B266DB"/>
    <w:rsid w:val="30B46D73"/>
    <w:rsid w:val="319F7F4E"/>
    <w:rsid w:val="356A28F1"/>
    <w:rsid w:val="357C035A"/>
    <w:rsid w:val="368E000D"/>
    <w:rsid w:val="378247FA"/>
    <w:rsid w:val="383D272C"/>
    <w:rsid w:val="39AE70AB"/>
    <w:rsid w:val="3A4DCE41"/>
    <w:rsid w:val="3BCB56FA"/>
    <w:rsid w:val="3C0C0783"/>
    <w:rsid w:val="3D716573"/>
    <w:rsid w:val="3EE7C2F4"/>
    <w:rsid w:val="3F371B56"/>
    <w:rsid w:val="3F792ED8"/>
    <w:rsid w:val="3F9F3A96"/>
    <w:rsid w:val="3FECA4B2"/>
    <w:rsid w:val="3FF58C48"/>
    <w:rsid w:val="42FF6694"/>
    <w:rsid w:val="48BF60AB"/>
    <w:rsid w:val="493C27E9"/>
    <w:rsid w:val="496F39ED"/>
    <w:rsid w:val="49C202E7"/>
    <w:rsid w:val="49FF41D3"/>
    <w:rsid w:val="4BE068DB"/>
    <w:rsid w:val="4BF6002B"/>
    <w:rsid w:val="4BFFC6BE"/>
    <w:rsid w:val="4ECE2238"/>
    <w:rsid w:val="51DB4B86"/>
    <w:rsid w:val="51F64DB0"/>
    <w:rsid w:val="52E55A59"/>
    <w:rsid w:val="55333C3E"/>
    <w:rsid w:val="55DF49BC"/>
    <w:rsid w:val="573E66B1"/>
    <w:rsid w:val="577616A4"/>
    <w:rsid w:val="5E3F3835"/>
    <w:rsid w:val="5F67802D"/>
    <w:rsid w:val="5F7DC4F2"/>
    <w:rsid w:val="5FB36814"/>
    <w:rsid w:val="5FBB8E56"/>
    <w:rsid w:val="5FFB5535"/>
    <w:rsid w:val="64CA39A1"/>
    <w:rsid w:val="65457513"/>
    <w:rsid w:val="67745F88"/>
    <w:rsid w:val="678D2A06"/>
    <w:rsid w:val="69630ADE"/>
    <w:rsid w:val="69BD5F13"/>
    <w:rsid w:val="69FB0B4B"/>
    <w:rsid w:val="6AD00E18"/>
    <w:rsid w:val="6BFFE1FB"/>
    <w:rsid w:val="6C4A05C8"/>
    <w:rsid w:val="6D3B1A89"/>
    <w:rsid w:val="6DB7D8A3"/>
    <w:rsid w:val="6E5A5127"/>
    <w:rsid w:val="6EC78701"/>
    <w:rsid w:val="6F7A5481"/>
    <w:rsid w:val="6FFE07A9"/>
    <w:rsid w:val="71BE6ED3"/>
    <w:rsid w:val="71BF4EC2"/>
    <w:rsid w:val="72734D90"/>
    <w:rsid w:val="73E75B71"/>
    <w:rsid w:val="7412278C"/>
    <w:rsid w:val="75DDCDA9"/>
    <w:rsid w:val="75FF44B1"/>
    <w:rsid w:val="769A0074"/>
    <w:rsid w:val="77670518"/>
    <w:rsid w:val="777FA627"/>
    <w:rsid w:val="77DF1B5F"/>
    <w:rsid w:val="77EF2D9D"/>
    <w:rsid w:val="78A76C9A"/>
    <w:rsid w:val="79E7B28D"/>
    <w:rsid w:val="7ACFF0C2"/>
    <w:rsid w:val="7AFB9108"/>
    <w:rsid w:val="7BC9030F"/>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Body Text First Indent 2"/>
    <w:basedOn w:val="7"/>
    <w:unhideWhenUsed/>
    <w:qFormat/>
    <w:uiPriority w:val="99"/>
    <w:pPr>
      <w:ind w:firstLine="420" w:firstLineChars="200"/>
    </w:pPr>
  </w:style>
  <w:style w:type="paragraph" w:styleId="12">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2"/>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10"/>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3"/>
    <w:qFormat/>
    <w:uiPriority w:val="9"/>
    <w:rPr>
      <w:rFonts w:ascii="Times New Roman" w:hAnsi="Times New Roman"/>
      <w:b/>
      <w:bCs/>
      <w:kern w:val="44"/>
      <w:sz w:val="44"/>
      <w:szCs w:val="44"/>
    </w:rPr>
  </w:style>
  <w:style w:type="character" w:customStyle="1" w:styleId="28">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9"/>
    <w:semiHidden/>
    <w:qFormat/>
    <w:uiPriority w:val="99"/>
    <w:rPr>
      <w:rFonts w:ascii="Times New Roman" w:hAnsi="Times New Roman"/>
      <w:kern w:val="2"/>
      <w:sz w:val="18"/>
      <w:szCs w:val="18"/>
    </w:rPr>
  </w:style>
  <w:style w:type="character" w:customStyle="1" w:styleId="31">
    <w:name w:val="标题 3 字符"/>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标题 2 Char"/>
    <w:basedOn w:val="15"/>
    <w:link w:val="4"/>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r>
              <a:rPr lang="zh-CN" altLang="zh-CN" sz="1400" b="0" i="0" u="none" strike="noStrike" cap="none" baseline="0">
                <a:effectLst/>
              </a:rPr>
              <a:t>收、支决算总计变动情况图</a:t>
            </a:r>
            <a:endParaRPr lang="zh-CN"/>
          </a:p>
        </c:rich>
      </c:tx>
      <c:layout/>
      <c:overlay val="0"/>
      <c:spPr>
        <a:noFill/>
        <a:ln>
          <a:noFill/>
        </a:ln>
        <a:effectLst/>
      </c:spPr>
    </c:title>
    <c:autoTitleDeleted val="0"/>
    <c:plotArea>
      <c:layout>
        <c:manualLayout>
          <c:layoutTarget val="inner"/>
          <c:xMode val="edge"/>
          <c:yMode val="edge"/>
          <c:x val="0.0564170479171683"/>
          <c:y val="0.104437564499484"/>
          <c:w val="0.926777910285895"/>
          <c:h val="0.649170912459472"/>
        </c:manualLayout>
      </c:layout>
      <c:barChart>
        <c:barDir val="col"/>
        <c:grouping val="clustered"/>
        <c:varyColors val="0"/>
        <c:ser>
          <c:idx val="0"/>
          <c:order val="0"/>
          <c:tx>
            <c:strRef>
              <c:f>Sheet1!$B$1</c:f>
              <c:strCache>
                <c:ptCount val="1"/>
                <c:pt idx="0">
                  <c:v>收入</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Sheet1!$B$2:$B$5</c:f>
              <c:numCache>
                <c:formatCode>General</c:formatCode>
                <c:ptCount val="4"/>
                <c:pt idx="0">
                  <c:v>193.64</c:v>
                </c:pt>
                <c:pt idx="1">
                  <c:v>280.19</c:v>
                </c:pt>
              </c:numCache>
            </c:numRef>
          </c:val>
        </c:ser>
        <c:ser>
          <c:idx val="1"/>
          <c:order val="1"/>
          <c:tx>
            <c:strRef>
              <c:f>Sheet1!$C$1</c:f>
              <c:strCache>
                <c:ptCount val="1"/>
                <c:pt idx="0">
                  <c:v>支出</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Sheet1!$C$2:$C$5</c:f>
              <c:numCache>
                <c:formatCode>General</c:formatCode>
                <c:ptCount val="4"/>
                <c:pt idx="0">
                  <c:v>193.64</c:v>
                </c:pt>
                <c:pt idx="1">
                  <c:v>280.19</c:v>
                </c:pt>
              </c:numCache>
            </c:numRef>
          </c:val>
        </c:ser>
        <c:dLbls>
          <c:showLegendKey val="0"/>
          <c:showVal val="1"/>
          <c:showCatName val="0"/>
          <c:showSerName val="0"/>
          <c:showPercent val="0"/>
          <c:showBubbleSize val="0"/>
        </c:dLbls>
        <c:gapWidth val="100"/>
        <c:overlap val="-24"/>
        <c:axId val="301277264"/>
        <c:axId val="303464960"/>
      </c:barChart>
      <c:catAx>
        <c:axId val="30127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4960"/>
        <c:crosses val="autoZero"/>
        <c:auto val="1"/>
        <c:lblAlgn val="ctr"/>
        <c:lblOffset val="100"/>
        <c:noMultiLvlLbl val="0"/>
      </c:catAx>
      <c:valAx>
        <c:axId val="3034649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1277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Pt>
            <c:idx val="5"/>
            <c:bubble3D val="0"/>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chemeClr>
                </a:solidFill>
                <a:round/>
              </a:ln>
              <a:effectLst>
                <a:outerShdw blurRad="40000" dist="20000" dir="5400000" rotWithShape="0">
                  <a:srgbClr val="000000">
                    <a:alpha val="38000"/>
                  </a:srgbClr>
                </a:outerShdw>
              </a:effectLst>
            </c:spPr>
          </c:dPt>
          <c:dPt>
            <c:idx val="6"/>
            <c:bubble3D val="0"/>
            <c:spPr>
              <a:gradFill rotWithShape="1">
                <a:gsLst>
                  <a:gs pos="0">
                    <a:schemeClr val="accent1">
                      <a:lumMod val="60000"/>
                      <a:tint val="50000"/>
                      <a:satMod val="300000"/>
                    </a:schemeClr>
                  </a:gs>
                  <a:gs pos="35000">
                    <a:schemeClr val="accent1">
                      <a:lumMod val="60000"/>
                      <a:tint val="37000"/>
                      <a:satMod val="300000"/>
                    </a:schemeClr>
                  </a:gs>
                  <a:gs pos="100000">
                    <a:schemeClr val="accent1">
                      <a:lumMod val="60000"/>
                      <a:tint val="15000"/>
                      <a:satMod val="350000"/>
                    </a:schemeClr>
                  </a:gs>
                </a:gsLst>
                <a:lin ang="16200000" scaled="1"/>
              </a:gradFill>
              <a:ln w="9525" cap="flat" cmpd="sng" algn="ctr">
                <a:solidFill>
                  <a:schemeClr val="accent1">
                    <a:lumMod val="60000"/>
                    <a:shade val="95000"/>
                  </a:schemeClr>
                </a:solidFill>
                <a:round/>
              </a:ln>
              <a:effectLst>
                <a:outerShdw blurRad="40000" dist="20000" dir="5400000" rotWithShape="0">
                  <a:srgbClr val="000000">
                    <a:alpha val="38000"/>
                  </a:srgbClr>
                </a:outerShdw>
              </a:effectLst>
            </c:spPr>
          </c:dPt>
          <c:dPt>
            <c:idx val="7"/>
            <c:bubble3D val="0"/>
            <c:spPr>
              <a:gradFill rotWithShape="1">
                <a:gsLst>
                  <a:gs pos="0">
                    <a:schemeClr val="accent2">
                      <a:lumMod val="60000"/>
                      <a:tint val="50000"/>
                      <a:satMod val="300000"/>
                    </a:schemeClr>
                  </a:gs>
                  <a:gs pos="35000">
                    <a:schemeClr val="accent2">
                      <a:lumMod val="60000"/>
                      <a:tint val="37000"/>
                      <a:satMod val="300000"/>
                    </a:schemeClr>
                  </a:gs>
                  <a:gs pos="100000">
                    <a:schemeClr val="accent2">
                      <a:lumMod val="60000"/>
                      <a:tint val="15000"/>
                      <a:satMod val="350000"/>
                    </a:schemeClr>
                  </a:gs>
                </a:gsLst>
                <a:lin ang="16200000" scaled="1"/>
              </a:gradFill>
              <a:ln w="9525" cap="flat" cmpd="sng" algn="ctr">
                <a:solidFill>
                  <a:schemeClr val="accent2">
                    <a:lumMod val="60000"/>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65000"/>
                        <a:lumOff val="35000"/>
                      </a:schemeClr>
                    </a:solidFill>
                    <a:latin typeface="+mn-lt"/>
                    <a:ea typeface="+mn-ea"/>
                    <a:cs typeface="+mn-cs"/>
                  </a:defRPr>
                </a:pPr>
              </a:p>
            </c:txPr>
            <c:dLblPos val="in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0%</c:formatCode>
                <c:ptCount val="8"/>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65000"/>
                        <a:lumOff val="3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0.00%</c:formatCode>
                <c:ptCount val="5"/>
                <c:pt idx="0">
                  <c:v>0.4426</c:v>
                </c:pt>
                <c:pt idx="1">
                  <c:v>0.5574</c:v>
                </c:pt>
                <c:pt idx="2" c:formatCode="General">
                  <c:v>0</c:v>
                </c:pt>
                <c:pt idx="3" c:formatCode="General">
                  <c:v>0</c:v>
                </c:pt>
                <c:pt idx="4" c:formatCode="General">
                  <c:v>0</c:v>
                </c:pt>
              </c:numCache>
            </c:numRef>
          </c:val>
        </c:ser>
        <c:ser>
          <c:idx val="1"/>
          <c:order val="1"/>
          <c:tx>
            <c:strRef>
              <c:f>Sheet1!$C$1</c:f>
              <c:strCache>
                <c:ptCount val="1"/>
                <c:pt idx="0">
                  <c:v>列1</c:v>
                </c:pt>
              </c:strCache>
            </c:strRef>
          </c:tx>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delete val="1"/>
          </c:dLbls>
          <c:cat>
            <c:strRef>
              <c:f>Sheet1!$A$2:$A$6</c:f>
              <c:strCache>
                <c:ptCount val="5"/>
                <c:pt idx="0">
                  <c:v>基本支出</c:v>
                </c:pt>
                <c:pt idx="1">
                  <c:v>项目支出</c:v>
                </c:pt>
                <c:pt idx="2">
                  <c:v>上缴上级支出</c:v>
                </c:pt>
                <c:pt idx="3">
                  <c:v>经营支出</c:v>
                </c:pt>
                <c:pt idx="4">
                  <c:v>对附属单位补助支出</c:v>
                </c:pt>
              </c:strCache>
            </c:strRef>
          </c:cat>
          <c:val>
            <c:numRef>
              <c:f>Sheet1!$C$2:$C$6</c:f>
              <c:numCache>
                <c:formatCode>General</c:formatCode>
                <c:ptCount val="5"/>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r>
              <a:rPr lang="zh-CN" altLang="zh-CN" sz="1400" b="0" i="0" u="none" strike="noStrike" cap="none" baseline="0">
                <a:effectLst/>
              </a:rPr>
              <a:t>财政拨款收、支决算总计变动情况图</a:t>
            </a:r>
            <a:endParaRPr lang="zh-CN"/>
          </a:p>
        </c:rich>
      </c:tx>
      <c:layout/>
      <c:overlay val="0"/>
      <c:spPr>
        <a:noFill/>
        <a:ln>
          <a:noFill/>
        </a:ln>
        <a:effectLst/>
      </c:spPr>
    </c:title>
    <c:autoTitleDeleted val="0"/>
    <c:plotArea>
      <c:layout>
        <c:manualLayout>
          <c:layoutTarget val="inner"/>
          <c:xMode val="edge"/>
          <c:yMode val="edge"/>
          <c:x val="0.0558588627965193"/>
          <c:y val="0.0866141732283465"/>
          <c:w val="0.926777910285895"/>
          <c:h val="0.649170912459472"/>
        </c:manualLayout>
      </c:layout>
      <c:barChart>
        <c:barDir val="col"/>
        <c:grouping val="clustered"/>
        <c:varyColors val="0"/>
        <c:ser>
          <c:idx val="0"/>
          <c:order val="0"/>
          <c:tx>
            <c:strRef>
              <c:f>Sheet1!$B$1</c:f>
              <c:strCache>
                <c:ptCount val="1"/>
                <c:pt idx="0">
                  <c:v>收入</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Sheet1!$B$2:$B$5</c:f>
              <c:numCache>
                <c:formatCode>General</c:formatCode>
                <c:ptCount val="4"/>
                <c:pt idx="0">
                  <c:v>193.64</c:v>
                </c:pt>
                <c:pt idx="1">
                  <c:v>280.19</c:v>
                </c:pt>
              </c:numCache>
            </c:numRef>
          </c:val>
        </c:ser>
        <c:ser>
          <c:idx val="1"/>
          <c:order val="1"/>
          <c:tx>
            <c:strRef>
              <c:f>Sheet1!$C$1</c:f>
              <c:strCache>
                <c:ptCount val="1"/>
                <c:pt idx="0">
                  <c:v>支出</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Sheet1!$C$2:$C$5</c:f>
              <c:numCache>
                <c:formatCode>General</c:formatCode>
                <c:ptCount val="4"/>
                <c:pt idx="0">
                  <c:v>193.64</c:v>
                </c:pt>
                <c:pt idx="1">
                  <c:v>280.19</c:v>
                </c:pt>
              </c:numCache>
            </c:numRef>
          </c:val>
        </c:ser>
        <c:dLbls>
          <c:showLegendKey val="0"/>
          <c:showVal val="1"/>
          <c:showCatName val="0"/>
          <c:showSerName val="0"/>
          <c:showPercent val="0"/>
          <c:showBubbleSize val="0"/>
        </c:dLbls>
        <c:gapWidth val="100"/>
        <c:overlap val="-24"/>
        <c:axId val="301277264"/>
        <c:axId val="303464960"/>
      </c:barChart>
      <c:catAx>
        <c:axId val="30127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4960"/>
        <c:crosses val="autoZero"/>
        <c:auto val="1"/>
        <c:lblAlgn val="ctr"/>
        <c:lblOffset val="100"/>
        <c:noMultiLvlLbl val="0"/>
      </c:catAx>
      <c:valAx>
        <c:axId val="3034649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1277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一般公共预算财政拨款支出决算变动情况</a:t>
            </a:r>
            <a:endParaRPr lang="zh-CN" altLang="en-US"/>
          </a:p>
        </c:rich>
      </c:tx>
      <c:layout/>
      <c:overlay val="0"/>
      <c:spPr>
        <a:noFill/>
        <a:ln>
          <a:noFill/>
        </a:ln>
        <a:effectLst/>
      </c:spPr>
    </c:title>
    <c:autoTitleDeleted val="0"/>
    <c:plotArea>
      <c:layout>
        <c:manualLayout>
          <c:layoutTarget val="inner"/>
          <c:xMode val="edge"/>
          <c:yMode val="edge"/>
          <c:x val="0.087719720683843"/>
          <c:y val="0.157275541795666"/>
          <c:w val="0.908668432458464"/>
          <c:h val="0.341259029927761"/>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c:spPr>
          <c:invertIfNegative val="0"/>
          <c:dLbls>
            <c:delete val="1"/>
          </c:dLbls>
          <c:cat>
            <c:strRef>
              <c:f>Sheet1!$A$2:$A$5</c:f>
              <c:strCache>
                <c:ptCount val="4"/>
                <c:pt idx="0">
                  <c:v>一般公共预算财政拨款支出</c:v>
                </c:pt>
              </c:strCache>
            </c:strRef>
          </c:cat>
          <c:val>
            <c:numRef>
              <c:f>Sheet1!$B$2:$B$5</c:f>
              <c:numCache>
                <c:formatCode>General</c:formatCode>
                <c:ptCount val="4"/>
                <c:pt idx="0">
                  <c:v>193.64</c:v>
                </c:pt>
              </c:numCache>
            </c:numRef>
          </c:val>
        </c:ser>
        <c:ser>
          <c:idx val="1"/>
          <c:order val="1"/>
          <c:tx>
            <c:strRef>
              <c:f>Sheet1!$C$1</c:f>
              <c:strCache>
                <c:ptCount val="1"/>
                <c:pt idx="0">
                  <c:v>2023年</c:v>
                </c:pt>
              </c:strCache>
            </c:strRef>
          </c:tx>
          <c:spPr>
            <a:solidFill>
              <a:schemeClr val="accent2"/>
            </a:solidFill>
            <a:ln>
              <a:noFill/>
            </a:ln>
            <a:effectLst/>
          </c:spPr>
          <c:invertIfNegative val="0"/>
          <c:dLbls>
            <c:delete val="1"/>
          </c:dLbls>
          <c:cat>
            <c:strRef>
              <c:f>Sheet1!$A$2:$A$5</c:f>
              <c:strCache>
                <c:ptCount val="4"/>
                <c:pt idx="0">
                  <c:v>一般公共预算财政拨款支出</c:v>
                </c:pt>
              </c:strCache>
            </c:strRef>
          </c:cat>
          <c:val>
            <c:numRef>
              <c:f>Sheet1!$C$2:$C$5</c:f>
              <c:numCache>
                <c:formatCode>General</c:formatCode>
                <c:ptCount val="4"/>
                <c:pt idx="0">
                  <c:v>280.19</c:v>
                </c:pt>
              </c:numCache>
            </c:numRef>
          </c:val>
        </c:ser>
        <c:dLbls>
          <c:showLegendKey val="0"/>
          <c:showVal val="0"/>
          <c:showCatName val="0"/>
          <c:showSerName val="0"/>
          <c:showPercent val="0"/>
          <c:showBubbleSize val="0"/>
        </c:dLbls>
        <c:gapWidth val="86"/>
        <c:overlap val="-100"/>
        <c:axId val="303464568"/>
        <c:axId val="303465744"/>
      </c:barChart>
      <c:catAx>
        <c:axId val="303464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3465744"/>
        <c:crosses val="autoZero"/>
        <c:auto val="1"/>
        <c:lblAlgn val="ctr"/>
        <c:lblOffset val="100"/>
        <c:noMultiLvlLbl val="0"/>
      </c:catAx>
      <c:valAx>
        <c:axId val="3034657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34645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40860215053763"/>
          <c:y val="0.0157728706624606"/>
        </c:manualLayout>
      </c:layout>
      <c:overlay val="0"/>
      <c:spPr>
        <a:noFill/>
        <a:ln>
          <a:noFill/>
        </a:ln>
        <a:effectLst/>
      </c:spPr>
      <c:txPr>
        <a:bodyPr rot="0" spcFirstLastPara="1"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spPr/>
          <c:explosion val="0"/>
          <c:dPt>
            <c:idx val="0"/>
            <c:bubble3D val="0"/>
            <c:spPr>
              <a:solidFill>
                <a:schemeClr val="accent2"/>
              </a:solidFill>
              <a:ln>
                <a:noFill/>
              </a:ln>
              <a:effectLst>
                <a:outerShdw blurRad="63500" sx="102000" sy="102000" algn="ctr" rotWithShape="0">
                  <a:prstClr val="black">
                    <a:alpha val="20000"/>
                  </a:prstClr>
                </a:outerShdw>
              </a:effectLst>
            </c:spPr>
          </c:dPt>
          <c:dPt>
            <c:idx val="1"/>
            <c:bubble3D val="0"/>
            <c:spPr>
              <a:solidFill>
                <a:schemeClr val="accent4"/>
              </a:solidFill>
              <a:ln>
                <a:noFill/>
              </a:ln>
              <a:effectLst>
                <a:outerShdw blurRad="63500" sx="102000" sy="102000" algn="ctr" rotWithShape="0">
                  <a:prstClr val="black">
                    <a:alpha val="20000"/>
                  </a:prstClr>
                </a:outerShdw>
              </a:effectLst>
            </c:spPr>
          </c:dPt>
          <c:dPt>
            <c:idx val="2"/>
            <c:bubble3D val="0"/>
            <c:spPr>
              <a:solidFill>
                <a:schemeClr val="accent6"/>
              </a:solidFill>
              <a:ln>
                <a:noFill/>
              </a:ln>
              <a:effectLst>
                <a:outerShdw blurRad="63500" sx="102000" sy="102000" algn="ctr" rotWithShape="0">
                  <a:prstClr val="black">
                    <a:alpha val="20000"/>
                  </a:prstClr>
                </a:outerShdw>
              </a:effectLst>
            </c:spPr>
          </c:dPt>
          <c:dPt>
            <c:idx val="3"/>
            <c:bubble3D val="0"/>
            <c:spPr>
              <a:solidFill>
                <a:schemeClr val="accent2">
                  <a:lumMod val="60000"/>
                </a:schemeClr>
              </a:solidFill>
              <a:ln>
                <a:noFill/>
              </a:ln>
              <a:effectLst>
                <a:outerShdw blurRad="63500" sx="102000" sy="102000" algn="ctr" rotWithShape="0">
                  <a:prstClr val="black">
                    <a:alpha val="20000"/>
                  </a:prstClr>
                </a:outerShdw>
              </a:effectLst>
            </c:spPr>
          </c:dPt>
          <c:dPt>
            <c:idx val="4"/>
            <c:bubble3D val="0"/>
            <c:spPr>
              <a:solidFill>
                <a:schemeClr val="accent4">
                  <a:lumMod val="60000"/>
                </a:schemeClr>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6"/>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lumMod val="60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4"/>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lumMod val="60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一般公共文化服务支出</c:v>
                </c:pt>
                <c:pt idx="1">
                  <c:v>文化旅游体育与传媒支出</c:v>
                </c:pt>
                <c:pt idx="2">
                  <c:v>社会保障和就业</c:v>
                </c:pt>
                <c:pt idx="3">
                  <c:v>卫生健康支出</c:v>
                </c:pt>
                <c:pt idx="4">
                  <c:v>住房保障支出</c:v>
                </c:pt>
              </c:strCache>
            </c:strRef>
          </c:cat>
          <c:val>
            <c:numRef>
              <c:f>Sheet1!$B$2:$B$6</c:f>
              <c:numCache>
                <c:formatCode>0.00%</c:formatCode>
                <c:ptCount val="5"/>
                <c:pt idx="0">
                  <c:v>0</c:v>
                </c:pt>
                <c:pt idx="1">
                  <c:v>0.8484</c:v>
                </c:pt>
                <c:pt idx="2">
                  <c:v>0.0965</c:v>
                </c:pt>
                <c:pt idx="3">
                  <c:v>0.0848</c:v>
                </c:pt>
                <c:pt idx="4">
                  <c:v>0.0248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4788</Words>
  <Characters>6230</Characters>
  <Lines>54</Lines>
  <Paragraphs>15</Paragraphs>
  <TotalTime>3</TotalTime>
  <ScaleCrop>false</ScaleCrop>
  <LinksUpToDate>false</LinksUpToDate>
  <CharactersWithSpaces>6252</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2024-10-28T08:16:25Z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2EF2F0011F294406841F2E66C74726BF_13</vt:lpwstr>
  </property>
</Properties>
</file>