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Override PartName="/word/theme/themeOverride5.xml" ContentType="application/vnd.openxmlformats-officedocument.themeOverride+xml"/>
  <Override PartName="/word/theme/themeOverride6.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6E556D">
      <w:pPr>
        <w:pStyle w:val="2"/>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2023年度</w:t>
      </w:r>
    </w:p>
    <w:p w14:paraId="4D5C49E6">
      <w:pPr>
        <w:pStyle w:val="2"/>
        <w:jc w:val="center"/>
        <w:rPr>
          <w:rFonts w:hint="eastAsia" w:ascii="方正小标宋简体" w:hAnsi="宋体" w:eastAsia="方正小标宋简体"/>
          <w:sz w:val="44"/>
          <w:szCs w:val="44"/>
        </w:rPr>
      </w:pPr>
      <w:r>
        <w:rPr>
          <w:rFonts w:hint="eastAsia" w:ascii="方正小标宋简体" w:hAnsi="宋体" w:eastAsia="方正小标宋简体"/>
          <w:sz w:val="44"/>
          <w:szCs w:val="44"/>
        </w:rPr>
        <w:t>盐边县</w:t>
      </w:r>
      <w:r>
        <w:rPr>
          <w:rFonts w:hint="eastAsia" w:ascii="方正小标宋简体" w:hAnsi="宋体" w:eastAsia="方正小标宋简体"/>
          <w:sz w:val="44"/>
          <w:szCs w:val="44"/>
          <w:lang w:eastAsia="zh-CN"/>
        </w:rPr>
        <w:t>良种场</w:t>
      </w:r>
      <w:r>
        <w:rPr>
          <w:rFonts w:hint="eastAsia" w:ascii="方正小标宋简体" w:hAnsi="宋体" w:eastAsia="方正小标宋简体"/>
          <w:sz w:val="44"/>
          <w:szCs w:val="44"/>
        </w:rPr>
        <w:t>单位决算</w:t>
      </w:r>
    </w:p>
    <w:p w14:paraId="34C07280">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14:paraId="4654F6EE">
      <w:pPr>
        <w:widowControl/>
        <w:jc w:val="center"/>
        <w:rPr>
          <w:rFonts w:ascii="黑体" w:hAnsi="黑体" w:eastAsia="黑体"/>
          <w:sz w:val="28"/>
          <w:szCs w:val="28"/>
        </w:rPr>
      </w:pPr>
    </w:p>
    <w:p w14:paraId="23144127">
      <w:pPr>
        <w:pStyle w:val="11"/>
      </w:pPr>
      <w:r>
        <w:rPr>
          <w:rFonts w:hint="eastAsia"/>
        </w:rPr>
        <w:t xml:space="preserve">公开时间：2024年10月 </w:t>
      </w:r>
      <w:r>
        <w:rPr>
          <w:rFonts w:hint="eastAsia"/>
          <w:lang w:val="en-US" w:eastAsia="zh-CN"/>
        </w:rPr>
        <w:t>28</w:t>
      </w:r>
      <w:r>
        <w:rPr>
          <w:rFonts w:hint="eastAsia"/>
        </w:rPr>
        <w:t>日</w:t>
      </w:r>
    </w:p>
    <w:p w14:paraId="50057F9B"/>
    <w:p w14:paraId="56F45A8A">
      <w:pPr>
        <w:pStyle w:val="11"/>
        <w:keepNext w:val="0"/>
        <w:keepLines w:val="0"/>
        <w:pageBreakBefore w:val="0"/>
        <w:widowControl w:val="0"/>
        <w:kinsoku/>
        <w:wordWrap/>
        <w:overflowPunct/>
        <w:topLinePunct w:val="0"/>
        <w:autoSpaceDE/>
        <w:autoSpaceDN/>
        <w:bidi w:val="0"/>
        <w:adjustRightInd w:val="0"/>
        <w:snapToGrid w:val="0"/>
        <w:spacing w:before="0" w:line="440" w:lineRule="exact"/>
        <w:jc w:val="left"/>
        <w:textAlignment w:val="auto"/>
        <w:rPr>
          <w:rFonts w:hint="default" w:eastAsia="仿宋"/>
          <w:sz w:val="24"/>
          <w:szCs w:val="24"/>
          <w:lang w:val="en-US" w:eastAsia="zh-CN"/>
        </w:rPr>
      </w:pPr>
      <w:r>
        <w:rPr>
          <w:rFonts w:hint="eastAsia"/>
          <w:color w:val="auto"/>
          <w:sz w:val="24"/>
          <w:u w:val="none"/>
        </w:rPr>
        <w:t>第一部分</w:t>
      </w:r>
      <w:r>
        <w:rPr>
          <w:color w:val="auto"/>
          <w:sz w:val="24"/>
          <w:u w:val="none"/>
        </w:rPr>
        <w:t xml:space="preserve"> </w:t>
      </w:r>
      <w:r>
        <w:rPr>
          <w:rFonts w:hint="eastAsia"/>
          <w:color w:val="auto"/>
          <w:sz w:val="24"/>
          <w:u w:val="none"/>
        </w:rPr>
        <w:t>单位概况</w:t>
      </w:r>
      <w:r>
        <w:rPr>
          <w:rFonts w:hint="eastAsia"/>
          <w:color w:val="auto"/>
          <w:sz w:val="24"/>
          <w:u w:val="none"/>
          <w:lang w:val="en-US" w:eastAsia="zh-CN"/>
        </w:rPr>
        <w:tab/>
      </w:r>
      <w:r>
        <w:rPr>
          <w:rFonts w:hint="eastAsia"/>
          <w:color w:val="auto"/>
          <w:sz w:val="24"/>
          <w:u w:val="none"/>
          <w:lang w:val="en-US" w:eastAsia="zh-CN"/>
        </w:rPr>
        <w:t>4</w:t>
      </w:r>
    </w:p>
    <w:p w14:paraId="15EFC02C">
      <w:pPr>
        <w:pStyle w:val="14"/>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eastAsia="宋体"/>
          <w:sz w:val="24"/>
          <w:lang w:val="en-US" w:eastAsia="zh-CN"/>
        </w:rPr>
      </w:pPr>
      <w:r>
        <w:rPr>
          <w:rFonts w:hint="eastAsia"/>
          <w:sz w:val="24"/>
        </w:rPr>
        <w:t>一、主要职责</w:t>
      </w:r>
      <w:r>
        <w:rPr>
          <w:rFonts w:hint="eastAsia"/>
          <w:sz w:val="24"/>
          <w:lang w:val="en-US" w:eastAsia="zh-CN"/>
        </w:rPr>
        <w:tab/>
      </w:r>
      <w:r>
        <w:rPr>
          <w:rFonts w:hint="eastAsia"/>
          <w:sz w:val="24"/>
          <w:lang w:val="en-US" w:eastAsia="zh-CN"/>
        </w:rPr>
        <w:t>4</w:t>
      </w:r>
    </w:p>
    <w:p w14:paraId="3BB83C9D">
      <w:pPr>
        <w:pStyle w:val="14"/>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eastAsia="宋体"/>
          <w:lang w:val="en-US" w:eastAsia="zh-CN"/>
        </w:rPr>
      </w:pPr>
      <w:r>
        <w:rPr>
          <w:rFonts w:hint="eastAsia"/>
          <w:sz w:val="24"/>
        </w:rPr>
        <w:t>二、机构设置</w:t>
      </w:r>
      <w:r>
        <w:rPr>
          <w:rFonts w:hint="eastAsia"/>
          <w:sz w:val="24"/>
          <w:lang w:val="en-US" w:eastAsia="zh-CN"/>
        </w:rPr>
        <w:tab/>
      </w:r>
      <w:r>
        <w:rPr>
          <w:rFonts w:hint="eastAsia"/>
          <w:sz w:val="24"/>
          <w:lang w:val="en-US" w:eastAsia="zh-CN"/>
        </w:rPr>
        <w:t>4</w:t>
      </w:r>
    </w:p>
    <w:p w14:paraId="188284DD">
      <w:pPr>
        <w:pStyle w:val="11"/>
        <w:keepNext w:val="0"/>
        <w:keepLines w:val="0"/>
        <w:pageBreakBefore w:val="0"/>
        <w:widowControl w:val="0"/>
        <w:kinsoku/>
        <w:wordWrap/>
        <w:overflowPunct/>
        <w:topLinePunct w:val="0"/>
        <w:autoSpaceDE/>
        <w:autoSpaceDN/>
        <w:bidi w:val="0"/>
        <w:adjustRightInd w:val="0"/>
        <w:snapToGrid w:val="0"/>
        <w:spacing w:before="0" w:line="440" w:lineRule="exact"/>
        <w:jc w:val="left"/>
        <w:textAlignment w:val="auto"/>
        <w:rPr>
          <w:rFonts w:hint="default" w:eastAsia="仿宋"/>
          <w:sz w:val="24"/>
          <w:szCs w:val="24"/>
          <w:lang w:val="en-US" w:eastAsia="zh-CN"/>
        </w:rPr>
      </w:pPr>
      <w:r>
        <w:rPr>
          <w:rFonts w:hint="eastAsia"/>
          <w:sz w:val="24"/>
        </w:rPr>
        <w:t>第二部分 2023年度单位决算情况说明</w:t>
      </w:r>
      <w:r>
        <w:rPr>
          <w:rFonts w:hint="eastAsia"/>
          <w:sz w:val="24"/>
          <w:lang w:val="en-US" w:eastAsia="zh-CN"/>
        </w:rPr>
        <w:tab/>
      </w:r>
      <w:r>
        <w:rPr>
          <w:rFonts w:hint="eastAsia"/>
          <w:sz w:val="24"/>
          <w:lang w:val="en-US" w:eastAsia="zh-CN"/>
        </w:rPr>
        <w:t>5</w:t>
      </w:r>
    </w:p>
    <w:p w14:paraId="7DAC3C5F">
      <w:pPr>
        <w:pStyle w:val="14"/>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仿宋" w:hAnsi="仿宋" w:eastAsia="宋体"/>
          <w:sz w:val="24"/>
          <w:lang w:val="en-US" w:eastAsia="zh-CN"/>
        </w:rPr>
      </w:pPr>
      <w:r>
        <w:rPr>
          <w:rFonts w:hint="eastAsia"/>
          <w:sz w:val="24"/>
        </w:rPr>
        <w:t>一、收入支出决算总体情况说明</w:t>
      </w:r>
      <w:r>
        <w:rPr>
          <w:rFonts w:hint="eastAsia"/>
          <w:sz w:val="24"/>
          <w:lang w:val="en-US" w:eastAsia="zh-CN"/>
        </w:rPr>
        <w:tab/>
      </w:r>
      <w:r>
        <w:rPr>
          <w:rFonts w:hint="eastAsia"/>
          <w:sz w:val="24"/>
          <w:lang w:val="en-US" w:eastAsia="zh-CN"/>
        </w:rPr>
        <w:t>5</w:t>
      </w:r>
    </w:p>
    <w:p w14:paraId="5F8E53FD">
      <w:pPr>
        <w:pStyle w:val="14"/>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eastAsia" w:ascii="仿宋" w:hAnsi="仿宋" w:eastAsia="宋体"/>
          <w:sz w:val="24"/>
          <w:lang w:val="en-US" w:eastAsia="zh-CN"/>
        </w:rPr>
      </w:pPr>
      <w:r>
        <w:rPr>
          <w:rFonts w:hint="eastAsia"/>
          <w:sz w:val="24"/>
        </w:rPr>
        <w:t>二、收入决算情况说明</w:t>
      </w:r>
      <w:r>
        <w:rPr>
          <w:rFonts w:hint="eastAsia"/>
          <w:sz w:val="24"/>
          <w:lang w:val="en-US" w:eastAsia="zh-CN"/>
        </w:rPr>
        <w:tab/>
      </w:r>
      <w:r>
        <w:rPr>
          <w:rFonts w:hint="eastAsia"/>
          <w:sz w:val="24"/>
          <w:lang w:val="en-US" w:eastAsia="zh-CN"/>
        </w:rPr>
        <w:t>5</w:t>
      </w:r>
    </w:p>
    <w:p w14:paraId="35A5CF83">
      <w:pPr>
        <w:pStyle w:val="14"/>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仿宋" w:hAnsi="仿宋" w:eastAsia="宋体"/>
          <w:sz w:val="24"/>
          <w:lang w:val="en-US" w:eastAsia="zh-CN"/>
        </w:rPr>
      </w:pPr>
      <w:r>
        <w:rPr>
          <w:rFonts w:hint="eastAsia"/>
          <w:sz w:val="24"/>
        </w:rPr>
        <w:t>三、支出决算情况说明</w:t>
      </w:r>
      <w:r>
        <w:rPr>
          <w:rFonts w:hint="eastAsia"/>
          <w:sz w:val="24"/>
          <w:lang w:val="en-US" w:eastAsia="zh-CN"/>
        </w:rPr>
        <w:tab/>
      </w:r>
      <w:r>
        <w:rPr>
          <w:rFonts w:hint="eastAsia"/>
          <w:sz w:val="24"/>
          <w:lang w:val="en-US" w:eastAsia="zh-CN"/>
        </w:rPr>
        <w:t>6</w:t>
      </w:r>
    </w:p>
    <w:p w14:paraId="7CAFB0B8">
      <w:pPr>
        <w:pStyle w:val="14"/>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仿宋" w:hAnsi="仿宋" w:eastAsia="宋体"/>
          <w:sz w:val="24"/>
          <w:lang w:val="en-US" w:eastAsia="zh-CN"/>
        </w:rPr>
      </w:pPr>
      <w:r>
        <w:rPr>
          <w:rFonts w:hint="eastAsia"/>
          <w:sz w:val="24"/>
        </w:rPr>
        <w:t>四、财政拨款收入支出决算总体情况说明</w:t>
      </w:r>
      <w:r>
        <w:rPr>
          <w:rFonts w:hint="eastAsia"/>
          <w:sz w:val="24"/>
          <w:lang w:val="en-US" w:eastAsia="zh-CN"/>
        </w:rPr>
        <w:tab/>
      </w:r>
      <w:r>
        <w:rPr>
          <w:rFonts w:hint="eastAsia"/>
          <w:sz w:val="24"/>
          <w:lang w:val="en-US" w:eastAsia="zh-CN"/>
        </w:rPr>
        <w:t>6</w:t>
      </w:r>
    </w:p>
    <w:p w14:paraId="796D1B7B">
      <w:pPr>
        <w:pStyle w:val="14"/>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仿宋" w:hAnsi="仿宋" w:eastAsia="宋体"/>
          <w:sz w:val="24"/>
          <w:lang w:val="en-US" w:eastAsia="zh-CN"/>
        </w:rPr>
      </w:pPr>
      <w:r>
        <w:rPr>
          <w:rFonts w:hint="eastAsia"/>
          <w:sz w:val="24"/>
        </w:rPr>
        <w:t>五、一般公共预算财政拨款支出决算情况说明</w:t>
      </w:r>
      <w:r>
        <w:rPr>
          <w:rFonts w:hint="eastAsia"/>
          <w:sz w:val="24"/>
          <w:lang w:val="en-US" w:eastAsia="zh-CN"/>
        </w:rPr>
        <w:tab/>
      </w:r>
      <w:r>
        <w:rPr>
          <w:rFonts w:hint="eastAsia"/>
          <w:sz w:val="24"/>
          <w:lang w:val="en-US" w:eastAsia="zh-CN"/>
        </w:rPr>
        <w:t>7</w:t>
      </w:r>
    </w:p>
    <w:p w14:paraId="755C6201">
      <w:pPr>
        <w:pStyle w:val="14"/>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仿宋" w:hAnsi="仿宋" w:eastAsia="宋体"/>
          <w:sz w:val="24"/>
          <w:lang w:val="en-US" w:eastAsia="zh-CN"/>
        </w:rPr>
      </w:pPr>
      <w:r>
        <w:rPr>
          <w:rFonts w:hint="eastAsia"/>
          <w:sz w:val="24"/>
        </w:rPr>
        <w:t>六、一般公共预算财政拨款基本支出决算情况说明</w:t>
      </w:r>
      <w:r>
        <w:rPr>
          <w:rFonts w:hint="eastAsia"/>
          <w:sz w:val="24"/>
          <w:lang w:val="en-US" w:eastAsia="zh-CN"/>
        </w:rPr>
        <w:tab/>
      </w:r>
      <w:r>
        <w:rPr>
          <w:rFonts w:hint="eastAsia"/>
          <w:sz w:val="24"/>
          <w:lang w:val="en-US" w:eastAsia="zh-CN"/>
        </w:rPr>
        <w:t>9</w:t>
      </w:r>
    </w:p>
    <w:p w14:paraId="78B19A5A">
      <w:pPr>
        <w:pStyle w:val="14"/>
        <w:keepNext w:val="0"/>
        <w:keepLines w:val="0"/>
        <w:pageBreakBefore w:val="0"/>
        <w:widowControl w:val="0"/>
        <w:kinsoku/>
        <w:wordWrap/>
        <w:overflowPunct/>
        <w:topLinePunct w:val="0"/>
        <w:autoSpaceDE/>
        <w:autoSpaceDN/>
        <w:bidi w:val="0"/>
        <w:adjustRightInd w:val="0"/>
        <w:snapToGrid w:val="0"/>
        <w:spacing w:line="440" w:lineRule="exact"/>
        <w:jc w:val="left"/>
        <w:textAlignment w:val="auto"/>
        <w:rPr>
          <w:rFonts w:hint="default" w:ascii="仿宋" w:hAnsi="仿宋" w:eastAsia="宋体"/>
          <w:sz w:val="24"/>
          <w:lang w:val="en-US" w:eastAsia="zh-CN"/>
        </w:rPr>
      </w:pPr>
      <w:r>
        <w:rPr>
          <w:rFonts w:hint="eastAsia"/>
          <w:sz w:val="24"/>
        </w:rPr>
        <w:t>七、财政拨款“三公”经费支出决算情况说明</w:t>
      </w:r>
      <w:r>
        <w:rPr>
          <w:rFonts w:hint="eastAsia"/>
          <w:sz w:val="24"/>
          <w:lang w:val="en-US" w:eastAsia="zh-CN"/>
        </w:rPr>
        <w:tab/>
      </w:r>
      <w:r>
        <w:rPr>
          <w:rFonts w:hint="eastAsia"/>
          <w:sz w:val="24"/>
          <w:lang w:val="en-US" w:eastAsia="zh-CN"/>
        </w:rPr>
        <w:t>9</w:t>
      </w:r>
    </w:p>
    <w:p w14:paraId="003B046C">
      <w:pPr>
        <w:pStyle w:val="14"/>
        <w:adjustRightInd w:val="0"/>
        <w:snapToGrid w:val="0"/>
        <w:spacing w:line="440" w:lineRule="exact"/>
        <w:jc w:val="left"/>
        <w:rPr>
          <w:rFonts w:hint="default" w:ascii="仿宋" w:hAnsi="仿宋" w:eastAsia="宋体"/>
          <w:sz w:val="24"/>
          <w:lang w:val="en-US" w:eastAsia="zh-CN"/>
        </w:rPr>
      </w:pPr>
      <w:r>
        <w:rPr>
          <w:rFonts w:hint="eastAsia"/>
          <w:color w:val="auto"/>
          <w:sz w:val="24"/>
          <w:u w:val="none"/>
        </w:rPr>
        <w:t>八、政府性基金预算支出决算情况说明</w:t>
      </w:r>
      <w:r>
        <w:rPr>
          <w:rFonts w:hint="eastAsia"/>
          <w:color w:val="auto"/>
          <w:sz w:val="24"/>
          <w:u w:val="none"/>
          <w:lang w:val="en-US" w:eastAsia="zh-CN"/>
        </w:rPr>
        <w:tab/>
      </w:r>
      <w:r>
        <w:rPr>
          <w:rFonts w:hint="eastAsia"/>
          <w:color w:val="auto"/>
          <w:sz w:val="24"/>
          <w:u w:val="none"/>
          <w:lang w:val="en-US" w:eastAsia="zh-CN"/>
        </w:rPr>
        <w:t>10</w:t>
      </w:r>
    </w:p>
    <w:p w14:paraId="54301FB1">
      <w:pPr>
        <w:pStyle w:val="14"/>
        <w:adjustRightInd w:val="0"/>
        <w:snapToGrid w:val="0"/>
        <w:spacing w:line="440" w:lineRule="exact"/>
        <w:jc w:val="left"/>
        <w:rPr>
          <w:rFonts w:hint="default" w:eastAsia="宋体"/>
          <w:sz w:val="24"/>
          <w:lang w:val="en-US" w:eastAsia="zh-CN"/>
        </w:rPr>
      </w:pPr>
      <w:r>
        <w:rPr>
          <w:rFonts w:hint="eastAsia"/>
          <w:sz w:val="24"/>
        </w:rPr>
        <w:t>九、国有资本经营预算支出决算情况说明</w:t>
      </w:r>
      <w:r>
        <w:rPr>
          <w:rFonts w:hint="eastAsia"/>
          <w:sz w:val="24"/>
          <w:lang w:val="en-US" w:eastAsia="zh-CN"/>
        </w:rPr>
        <w:tab/>
      </w:r>
      <w:r>
        <w:rPr>
          <w:rFonts w:hint="eastAsia"/>
          <w:sz w:val="24"/>
          <w:lang w:val="en-US" w:eastAsia="zh-CN"/>
        </w:rPr>
        <w:t>10</w:t>
      </w:r>
    </w:p>
    <w:p w14:paraId="0B855C25">
      <w:pPr>
        <w:pStyle w:val="14"/>
        <w:adjustRightInd w:val="0"/>
        <w:snapToGrid w:val="0"/>
        <w:spacing w:line="440" w:lineRule="exact"/>
        <w:jc w:val="left"/>
        <w:rPr>
          <w:rFonts w:hint="default" w:eastAsia="宋体"/>
          <w:sz w:val="24"/>
          <w:lang w:val="en-US" w:eastAsia="zh-CN"/>
        </w:rPr>
      </w:pPr>
      <w:r>
        <w:rPr>
          <w:rFonts w:hint="eastAsia"/>
          <w:sz w:val="24"/>
        </w:rPr>
        <w:t>十、其他重要事项的情况说明</w:t>
      </w:r>
      <w:r>
        <w:rPr>
          <w:rFonts w:hint="eastAsia"/>
          <w:sz w:val="24"/>
          <w:lang w:val="en-US" w:eastAsia="zh-CN"/>
        </w:rPr>
        <w:tab/>
      </w:r>
      <w:r>
        <w:rPr>
          <w:rFonts w:hint="eastAsia"/>
          <w:sz w:val="24"/>
          <w:lang w:val="en-US" w:eastAsia="zh-CN"/>
        </w:rPr>
        <w:t>10</w:t>
      </w:r>
      <w:bookmarkStart w:id="2" w:name="_GoBack"/>
      <w:bookmarkEnd w:id="2"/>
    </w:p>
    <w:p w14:paraId="48753714">
      <w:pPr>
        <w:pStyle w:val="11"/>
        <w:adjustRightInd w:val="0"/>
        <w:snapToGrid w:val="0"/>
        <w:spacing w:before="0" w:line="440" w:lineRule="exact"/>
        <w:jc w:val="left"/>
        <w:rPr>
          <w:rFonts w:hint="default" w:eastAsia="仿宋"/>
          <w:sz w:val="24"/>
          <w:szCs w:val="24"/>
          <w:lang w:val="en-US" w:eastAsia="zh-CN"/>
        </w:rPr>
      </w:pPr>
      <w:r>
        <w:rPr>
          <w:rFonts w:hint="eastAsia"/>
          <w:sz w:val="24"/>
        </w:rPr>
        <w:t>第三部分</w:t>
      </w:r>
      <w:r>
        <w:rPr>
          <w:sz w:val="24"/>
        </w:rPr>
        <w:t xml:space="preserve"> </w:t>
      </w:r>
      <w:r>
        <w:rPr>
          <w:rFonts w:hint="eastAsia"/>
          <w:sz w:val="24"/>
        </w:rPr>
        <w:t>名词解释</w:t>
      </w:r>
      <w:r>
        <w:rPr>
          <w:rFonts w:hint="eastAsia"/>
          <w:sz w:val="24"/>
          <w:lang w:val="en-US" w:eastAsia="zh-CN"/>
        </w:rPr>
        <w:tab/>
      </w:r>
      <w:r>
        <w:rPr>
          <w:rFonts w:hint="eastAsia"/>
          <w:sz w:val="24"/>
          <w:lang w:val="en-US" w:eastAsia="zh-CN"/>
        </w:rPr>
        <w:t>12</w:t>
      </w:r>
    </w:p>
    <w:p w14:paraId="6EB353D7">
      <w:pPr>
        <w:pStyle w:val="11"/>
        <w:adjustRightInd w:val="0"/>
        <w:snapToGrid w:val="0"/>
        <w:spacing w:before="0" w:line="440" w:lineRule="exact"/>
        <w:jc w:val="left"/>
        <w:rPr>
          <w:rFonts w:hint="default" w:eastAsia="仿宋"/>
          <w:sz w:val="24"/>
          <w:szCs w:val="24"/>
          <w:lang w:val="en-US" w:eastAsia="zh-CN"/>
        </w:rPr>
      </w:pPr>
      <w:r>
        <w:rPr>
          <w:rFonts w:hint="eastAsia"/>
          <w:sz w:val="24"/>
        </w:rPr>
        <w:t>第四部分</w:t>
      </w:r>
      <w:r>
        <w:rPr>
          <w:sz w:val="24"/>
        </w:rPr>
        <w:t xml:space="preserve"> </w:t>
      </w:r>
      <w:r>
        <w:rPr>
          <w:rFonts w:hint="eastAsia"/>
          <w:sz w:val="24"/>
        </w:rPr>
        <w:t>附件</w:t>
      </w:r>
      <w:r>
        <w:rPr>
          <w:rFonts w:hint="eastAsia"/>
          <w:sz w:val="24"/>
          <w:lang w:val="en-US" w:eastAsia="zh-CN"/>
        </w:rPr>
        <w:tab/>
      </w:r>
      <w:r>
        <w:rPr>
          <w:rFonts w:hint="eastAsia"/>
          <w:sz w:val="24"/>
          <w:lang w:val="en-US" w:eastAsia="zh-CN"/>
        </w:rPr>
        <w:t>15</w:t>
      </w:r>
    </w:p>
    <w:p w14:paraId="3744D5DF">
      <w:pPr>
        <w:pStyle w:val="11"/>
        <w:adjustRightInd w:val="0"/>
        <w:snapToGrid w:val="0"/>
        <w:spacing w:before="0" w:line="440" w:lineRule="exact"/>
        <w:jc w:val="left"/>
        <w:rPr>
          <w:rFonts w:hint="default" w:eastAsia="仿宋"/>
          <w:sz w:val="24"/>
          <w:szCs w:val="24"/>
          <w:lang w:val="en-US" w:eastAsia="zh-CN"/>
        </w:rPr>
      </w:pPr>
      <w:r>
        <w:rPr>
          <w:rFonts w:hint="eastAsia"/>
          <w:sz w:val="24"/>
        </w:rPr>
        <w:t>第五部分</w:t>
      </w:r>
      <w:r>
        <w:rPr>
          <w:sz w:val="24"/>
        </w:rPr>
        <w:t xml:space="preserve"> </w:t>
      </w:r>
      <w:r>
        <w:rPr>
          <w:rFonts w:hint="eastAsia"/>
          <w:sz w:val="24"/>
        </w:rPr>
        <w:t>附表</w:t>
      </w:r>
      <w:r>
        <w:rPr>
          <w:rFonts w:hint="eastAsia"/>
          <w:sz w:val="24"/>
          <w:lang w:val="en-US" w:eastAsia="zh-CN"/>
        </w:rPr>
        <w:tab/>
      </w:r>
      <w:r>
        <w:rPr>
          <w:rFonts w:hint="eastAsia"/>
          <w:sz w:val="24"/>
          <w:lang w:val="en-US" w:eastAsia="zh-CN"/>
        </w:rPr>
        <w:t>16</w:t>
      </w:r>
    </w:p>
    <w:p w14:paraId="7A5DC575">
      <w:pPr>
        <w:pStyle w:val="14"/>
        <w:adjustRightInd w:val="0"/>
        <w:snapToGrid w:val="0"/>
        <w:spacing w:line="440" w:lineRule="exact"/>
        <w:jc w:val="left"/>
        <w:rPr>
          <w:rFonts w:hint="eastAsia"/>
          <w:sz w:val="24"/>
        </w:rPr>
      </w:pPr>
      <w:r>
        <w:rPr>
          <w:rFonts w:hint="eastAsia"/>
          <w:sz w:val="24"/>
        </w:rPr>
        <w:t>一、收入支出决算总表</w:t>
      </w:r>
    </w:p>
    <w:p w14:paraId="73E7E373">
      <w:pPr>
        <w:pStyle w:val="14"/>
        <w:adjustRightInd w:val="0"/>
        <w:snapToGrid w:val="0"/>
        <w:spacing w:line="440" w:lineRule="exact"/>
        <w:jc w:val="left"/>
        <w:rPr>
          <w:rFonts w:hint="eastAsia"/>
          <w:sz w:val="24"/>
        </w:rPr>
      </w:pPr>
      <w:r>
        <w:rPr>
          <w:rFonts w:hint="eastAsia"/>
          <w:sz w:val="24"/>
        </w:rPr>
        <w:t>二、收入决算表</w:t>
      </w:r>
    </w:p>
    <w:p w14:paraId="3D828794">
      <w:pPr>
        <w:pStyle w:val="14"/>
        <w:adjustRightInd w:val="0"/>
        <w:snapToGrid w:val="0"/>
        <w:spacing w:line="440" w:lineRule="exact"/>
        <w:jc w:val="left"/>
        <w:rPr>
          <w:rFonts w:hint="eastAsia"/>
          <w:sz w:val="24"/>
        </w:rPr>
      </w:pPr>
      <w:r>
        <w:rPr>
          <w:rFonts w:hint="eastAsia"/>
          <w:sz w:val="24"/>
        </w:rPr>
        <w:t>三、支出决算表</w:t>
      </w:r>
    </w:p>
    <w:p w14:paraId="2BD8C885">
      <w:pPr>
        <w:pStyle w:val="14"/>
        <w:adjustRightInd w:val="0"/>
        <w:snapToGrid w:val="0"/>
        <w:spacing w:line="440" w:lineRule="exact"/>
        <w:jc w:val="left"/>
        <w:rPr>
          <w:rFonts w:hint="eastAsia"/>
          <w:sz w:val="24"/>
        </w:rPr>
      </w:pPr>
      <w:r>
        <w:rPr>
          <w:rFonts w:hint="eastAsia"/>
          <w:sz w:val="24"/>
        </w:rPr>
        <w:t>四、财政拨款收入支出决算总表</w:t>
      </w:r>
    </w:p>
    <w:p w14:paraId="3DD9BC11">
      <w:pPr>
        <w:pStyle w:val="14"/>
        <w:adjustRightInd w:val="0"/>
        <w:snapToGrid w:val="0"/>
        <w:spacing w:line="440" w:lineRule="exact"/>
        <w:jc w:val="left"/>
        <w:rPr>
          <w:rFonts w:hint="eastAsia"/>
          <w:sz w:val="24"/>
        </w:rPr>
      </w:pPr>
      <w:r>
        <w:rPr>
          <w:rFonts w:hint="eastAsia"/>
          <w:sz w:val="24"/>
        </w:rPr>
        <w:t>五、财政拨款支出决算明细表</w:t>
      </w:r>
    </w:p>
    <w:p w14:paraId="3700464E">
      <w:pPr>
        <w:pStyle w:val="14"/>
        <w:adjustRightInd w:val="0"/>
        <w:snapToGrid w:val="0"/>
        <w:spacing w:line="440" w:lineRule="exact"/>
        <w:jc w:val="left"/>
        <w:rPr>
          <w:rFonts w:hint="eastAsia"/>
          <w:sz w:val="24"/>
        </w:rPr>
      </w:pPr>
      <w:r>
        <w:rPr>
          <w:rFonts w:hint="eastAsia"/>
          <w:sz w:val="24"/>
        </w:rPr>
        <w:t>六、一般公共预算财政拨款支出决算表</w:t>
      </w:r>
    </w:p>
    <w:p w14:paraId="05DF30A0">
      <w:pPr>
        <w:pStyle w:val="14"/>
        <w:adjustRightInd w:val="0"/>
        <w:snapToGrid w:val="0"/>
        <w:spacing w:line="440" w:lineRule="exact"/>
        <w:jc w:val="left"/>
        <w:rPr>
          <w:rFonts w:hint="eastAsia"/>
          <w:sz w:val="24"/>
        </w:rPr>
      </w:pPr>
      <w:r>
        <w:rPr>
          <w:rFonts w:hint="eastAsia"/>
          <w:sz w:val="24"/>
        </w:rPr>
        <w:t>七、一般公共预算财政拨款支出决算明细表</w:t>
      </w:r>
    </w:p>
    <w:p w14:paraId="4EA969A7">
      <w:pPr>
        <w:pStyle w:val="14"/>
        <w:adjustRightInd w:val="0"/>
        <w:snapToGrid w:val="0"/>
        <w:spacing w:line="440" w:lineRule="exact"/>
        <w:jc w:val="left"/>
        <w:rPr>
          <w:rFonts w:hint="eastAsia"/>
          <w:sz w:val="24"/>
        </w:rPr>
      </w:pPr>
      <w:r>
        <w:rPr>
          <w:rFonts w:hint="eastAsia"/>
          <w:sz w:val="24"/>
        </w:rPr>
        <w:t>八、一般公共预算财政拨款基本支出决算明细表</w:t>
      </w:r>
    </w:p>
    <w:p w14:paraId="7B90AE8B">
      <w:pPr>
        <w:pStyle w:val="14"/>
        <w:adjustRightInd w:val="0"/>
        <w:snapToGrid w:val="0"/>
        <w:spacing w:line="440" w:lineRule="exact"/>
        <w:jc w:val="left"/>
        <w:rPr>
          <w:rFonts w:hint="eastAsia"/>
          <w:sz w:val="24"/>
        </w:rPr>
      </w:pPr>
      <w:r>
        <w:rPr>
          <w:rFonts w:hint="eastAsia"/>
          <w:sz w:val="24"/>
        </w:rPr>
        <w:t>九、一般公共预算财政拨款项目支出决算表</w:t>
      </w:r>
    </w:p>
    <w:p w14:paraId="1BF06BBA">
      <w:pPr>
        <w:pStyle w:val="14"/>
        <w:adjustRightInd w:val="0"/>
        <w:snapToGrid w:val="0"/>
        <w:spacing w:line="440" w:lineRule="exact"/>
        <w:jc w:val="left"/>
        <w:rPr>
          <w:rFonts w:hint="eastAsia"/>
          <w:sz w:val="24"/>
        </w:rPr>
      </w:pPr>
      <w:r>
        <w:rPr>
          <w:rFonts w:hint="eastAsia"/>
          <w:sz w:val="24"/>
        </w:rPr>
        <w:t>十、政府性基金预算财政拨款收入支出决算表</w:t>
      </w:r>
    </w:p>
    <w:p w14:paraId="2883502A">
      <w:pPr>
        <w:pStyle w:val="14"/>
        <w:adjustRightInd w:val="0"/>
        <w:snapToGrid w:val="0"/>
        <w:spacing w:line="440" w:lineRule="exact"/>
        <w:jc w:val="left"/>
        <w:rPr>
          <w:rFonts w:hint="eastAsia"/>
          <w:sz w:val="24"/>
        </w:rPr>
      </w:pPr>
      <w:r>
        <w:rPr>
          <w:rFonts w:hint="eastAsia"/>
          <w:sz w:val="24"/>
        </w:rPr>
        <w:t>十一、国有资本经营预算财政拨款收入支出决算表</w:t>
      </w:r>
    </w:p>
    <w:p w14:paraId="7CB8F4BD">
      <w:pPr>
        <w:pStyle w:val="14"/>
        <w:adjustRightInd w:val="0"/>
        <w:snapToGrid w:val="0"/>
        <w:spacing w:line="440" w:lineRule="exact"/>
        <w:jc w:val="left"/>
        <w:rPr>
          <w:rFonts w:hint="eastAsia"/>
          <w:sz w:val="24"/>
        </w:rPr>
      </w:pPr>
      <w:r>
        <w:rPr>
          <w:rFonts w:hint="eastAsia"/>
          <w:sz w:val="24"/>
        </w:rPr>
        <w:t>十二、国有资本经营预算财政拨款支出决算表</w:t>
      </w:r>
    </w:p>
    <w:p w14:paraId="1047676C">
      <w:pPr>
        <w:pStyle w:val="14"/>
        <w:adjustRightInd w:val="0"/>
        <w:snapToGrid w:val="0"/>
        <w:spacing w:line="440" w:lineRule="exact"/>
        <w:jc w:val="left"/>
        <w:rPr>
          <w:rFonts w:hint="eastAsia"/>
          <w:sz w:val="24"/>
        </w:rPr>
      </w:pPr>
      <w:r>
        <w:rPr>
          <w:rFonts w:hint="eastAsia"/>
          <w:sz w:val="24"/>
        </w:rPr>
        <w:t>十三、财政拨款“三公”经费支出决算表</w:t>
      </w:r>
    </w:p>
    <w:p w14:paraId="0668E684">
      <w:pPr>
        <w:widowControl/>
        <w:spacing w:line="440" w:lineRule="exact"/>
        <w:jc w:val="left"/>
        <w:rPr>
          <w:rFonts w:ascii="仿宋" w:hAnsi="仿宋" w:eastAsia="仿宋"/>
          <w:bCs/>
          <w:kern w:val="44"/>
          <w:sz w:val="24"/>
        </w:rPr>
      </w:pPr>
      <w:r>
        <w:rPr>
          <w:rFonts w:ascii="仿宋" w:hAnsi="仿宋" w:eastAsia="仿宋"/>
          <w:b/>
          <w:sz w:val="24"/>
        </w:rPr>
        <w:br w:type="page"/>
      </w:r>
    </w:p>
    <w:p w14:paraId="164E6CC6">
      <w:pPr>
        <w:pStyle w:val="3"/>
        <w:jc w:val="center"/>
        <w:rPr>
          <w:rStyle w:val="20"/>
          <w:rFonts w:ascii="黑体" w:hAnsi="黑体" w:eastAsia="黑体"/>
          <w:b/>
          <w:bCs w:val="0"/>
        </w:rPr>
      </w:pPr>
      <w:bookmarkStart w:id="0" w:name="_第一部分 单位概况"/>
      <w:r>
        <w:rPr>
          <w:rFonts w:hint="eastAsia" w:ascii="黑体" w:hAnsi="黑体" w:eastAsia="黑体"/>
          <w:b w:val="0"/>
        </w:rPr>
        <w:t>第一部分 单位</w:t>
      </w:r>
      <w:r>
        <w:rPr>
          <w:rStyle w:val="20"/>
          <w:rFonts w:hint="eastAsia" w:ascii="黑体" w:hAnsi="黑体" w:eastAsia="黑体"/>
          <w:b w:val="0"/>
          <w:bCs w:val="0"/>
        </w:rPr>
        <w:t>概况</w:t>
      </w:r>
    </w:p>
    <w:bookmarkEnd w:id="0"/>
    <w:p w14:paraId="3F3D7B06">
      <w:pPr>
        <w:pStyle w:val="4"/>
        <w:numPr>
          <w:ilvl w:val="0"/>
          <w:numId w:val="1"/>
        </w:numPr>
        <w:rPr>
          <w:rStyle w:val="21"/>
          <w:rFonts w:hint="eastAsia" w:ascii="黑体" w:hAnsi="黑体" w:eastAsia="黑体"/>
          <w:b w:val="0"/>
          <w:bCs w:val="0"/>
        </w:rPr>
      </w:pPr>
      <w:r>
        <w:rPr>
          <w:rStyle w:val="21"/>
          <w:rFonts w:hint="eastAsia" w:ascii="黑体" w:hAnsi="黑体" w:eastAsia="黑体"/>
          <w:b w:val="0"/>
          <w:bCs w:val="0"/>
        </w:rPr>
        <w:t>主要职责</w:t>
      </w:r>
    </w:p>
    <w:p w14:paraId="21889147">
      <w:pPr>
        <w:autoSpaceDE w:val="0"/>
        <w:autoSpaceDN w:val="0"/>
        <w:adjustRightInd w:val="0"/>
        <w:ind w:firstLine="640" w:firstLineChars="200"/>
        <w:jc w:val="left"/>
        <w:rPr>
          <w:rFonts w:ascii="方正小标宋简体" w:hAnsi="Calibri" w:eastAsia="方正小标宋简体"/>
          <w:kern w:val="0"/>
          <w:sz w:val="32"/>
          <w:szCs w:val="32"/>
          <w:lang w:val="zh-CN"/>
        </w:rPr>
      </w:pPr>
      <w:r>
        <w:rPr>
          <w:rFonts w:hint="eastAsia" w:ascii="仿宋_GB2312" w:hAnsi="Calibri" w:eastAsia="仿宋_GB2312"/>
          <w:kern w:val="0"/>
          <w:sz w:val="32"/>
          <w:szCs w:val="32"/>
        </w:rPr>
        <w:t>推广种植业技术，促进农业发展。种植业技术试验示范种植业技术推广体系管理种植业技术培训种植业技术服务。</w:t>
      </w:r>
    </w:p>
    <w:p w14:paraId="24A2A52A">
      <w:pPr>
        <w:pStyle w:val="4"/>
        <w:numPr>
          <w:ilvl w:val="0"/>
          <w:numId w:val="1"/>
        </w:numPr>
        <w:ind w:left="0" w:leftChars="0" w:firstLine="0" w:firstLineChars="0"/>
        <w:rPr>
          <w:rFonts w:hint="eastAsia" w:ascii="黑体" w:hAnsi="黑体" w:eastAsia="黑体"/>
          <w:b w:val="0"/>
        </w:rPr>
      </w:pPr>
      <w:r>
        <w:rPr>
          <w:rFonts w:hint="eastAsia" w:ascii="黑体" w:hAnsi="黑体" w:eastAsia="黑体"/>
          <w:b w:val="0"/>
        </w:rPr>
        <w:t>机构设置</w:t>
      </w:r>
    </w:p>
    <w:p w14:paraId="76CDD281">
      <w:pPr>
        <w:widowControl/>
        <w:adjustRightInd w:val="0"/>
        <w:snapToGrid/>
        <w:spacing w:line="360" w:lineRule="auto"/>
        <w:ind w:firstLine="640" w:firstLineChars="200"/>
        <w:contextualSpacing/>
        <w:jc w:val="left"/>
        <w:rPr>
          <w:rFonts w:hint="eastAsia" w:ascii="楷体_GB2312" w:hAnsi="楷体_GB2312" w:eastAsia="仿宋_GB2312" w:cs="楷体_GB2312"/>
          <w:b/>
          <w:bCs/>
          <w:kern w:val="0"/>
          <w:sz w:val="32"/>
          <w:szCs w:val="32"/>
          <w:shd w:val="clear" w:color="auto" w:fill="FFFFFF"/>
          <w:lang w:val="zh-CN" w:eastAsia="zh-CN"/>
        </w:rPr>
      </w:pPr>
      <w:r>
        <w:rPr>
          <w:rFonts w:hint="eastAsia" w:ascii="仿宋_GB2312" w:hAnsi="宋体" w:eastAsia="仿宋_GB2312" w:cs="宋体"/>
          <w:kern w:val="0"/>
          <w:sz w:val="32"/>
          <w:szCs w:val="32"/>
          <w:shd w:val="clear" w:color="auto" w:fill="FFFFFF"/>
          <w:lang w:val="zh-CN"/>
        </w:rPr>
        <w:t>盐边县良种场是盐边县农业农村局下属的一家独立核算的定额拨款的事业单位。</w:t>
      </w:r>
    </w:p>
    <w:p w14:paraId="286F7919">
      <w:pPr>
        <w:widowControl/>
        <w:jc w:val="left"/>
        <w:rPr>
          <w:rFonts w:ascii="仿宋" w:hAnsi="仿宋" w:eastAsia="仿宋"/>
          <w:kern w:val="0"/>
          <w:sz w:val="32"/>
          <w:szCs w:val="32"/>
        </w:rPr>
      </w:pPr>
      <w:r>
        <w:rPr>
          <w:rFonts w:ascii="仿宋" w:hAnsi="仿宋" w:eastAsia="仿宋"/>
          <w:sz w:val="32"/>
          <w:szCs w:val="32"/>
        </w:rPr>
        <w:br w:type="page"/>
      </w:r>
    </w:p>
    <w:p w14:paraId="148975E0">
      <w:pPr>
        <w:pStyle w:val="3"/>
        <w:ind w:right="440"/>
        <w:jc w:val="center"/>
        <w:rPr>
          <w:rStyle w:val="20"/>
          <w:rFonts w:ascii="黑体" w:hAnsi="黑体" w:eastAsia="黑体"/>
          <w:b w:val="0"/>
          <w:bCs/>
        </w:rPr>
      </w:pPr>
      <w:r>
        <w:rPr>
          <w:rFonts w:hint="eastAsia" w:ascii="黑体" w:hAnsi="黑体" w:eastAsia="黑体"/>
          <w:b w:val="0"/>
        </w:rPr>
        <w:t>第二部分 2023年度</w:t>
      </w:r>
      <w:r>
        <w:rPr>
          <w:rStyle w:val="20"/>
          <w:rFonts w:hint="eastAsia" w:ascii="黑体" w:hAnsi="黑体" w:eastAsia="黑体"/>
          <w:b w:val="0"/>
          <w:bCs/>
        </w:rPr>
        <w:t>单位决算情况说明</w:t>
      </w:r>
    </w:p>
    <w:p w14:paraId="52DFFBB8">
      <w:pPr>
        <w:pStyle w:val="28"/>
        <w:spacing w:line="600" w:lineRule="exact"/>
        <w:ind w:left="640" w:firstLine="0" w:firstLineChars="0"/>
        <w:outlineLvl w:val="1"/>
        <w:rPr>
          <w:rStyle w:val="21"/>
          <w:rFonts w:ascii="黑体" w:hAnsi="黑体" w:eastAsia="黑体"/>
          <w:b w:val="0"/>
        </w:rPr>
      </w:pPr>
      <w:r>
        <w:rPr>
          <w:rFonts w:hint="eastAsia" w:ascii="黑体" w:hAnsi="黑体" w:eastAsia="黑体"/>
          <w:sz w:val="32"/>
          <w:szCs w:val="32"/>
        </w:rPr>
        <w:t>一、收</w:t>
      </w:r>
      <w:r>
        <w:rPr>
          <w:rStyle w:val="21"/>
          <w:rFonts w:hint="eastAsia" w:ascii="黑体" w:hAnsi="黑体" w:eastAsia="黑体"/>
          <w:b w:val="0"/>
        </w:rPr>
        <w:t>入支出决算总体情况说明</w:t>
      </w:r>
    </w:p>
    <w:p w14:paraId="315AF017">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2023年度收、支总计均为</w:t>
      </w:r>
      <w:r>
        <w:rPr>
          <w:rFonts w:hint="eastAsia" w:ascii="仿宋" w:hAnsi="仿宋" w:eastAsia="仿宋"/>
          <w:sz w:val="32"/>
          <w:szCs w:val="32"/>
          <w:lang w:val="en-US" w:eastAsia="zh-CN"/>
        </w:rPr>
        <w:t>46.86</w:t>
      </w:r>
      <w:r>
        <w:rPr>
          <w:rFonts w:hint="eastAsia" w:ascii="仿宋" w:hAnsi="仿宋" w:eastAsia="仿宋"/>
          <w:sz w:val="32"/>
          <w:szCs w:val="32"/>
        </w:rPr>
        <w:t>万元。与2022年度相比，收、支总计各增加</w:t>
      </w:r>
      <w:r>
        <w:rPr>
          <w:rFonts w:hint="eastAsia" w:ascii="仿宋" w:hAnsi="仿宋" w:eastAsia="仿宋"/>
          <w:sz w:val="32"/>
          <w:szCs w:val="32"/>
          <w:lang w:val="en-US" w:eastAsia="zh-CN"/>
        </w:rPr>
        <w:t>0.54</w:t>
      </w:r>
      <w:r>
        <w:rPr>
          <w:rFonts w:hint="eastAsia" w:ascii="仿宋" w:hAnsi="仿宋" w:eastAsia="仿宋"/>
          <w:sz w:val="32"/>
          <w:szCs w:val="32"/>
        </w:rPr>
        <w:t>万元，增长</w:t>
      </w:r>
      <w:r>
        <w:rPr>
          <w:rFonts w:hint="eastAsia" w:ascii="仿宋" w:hAnsi="仿宋" w:eastAsia="仿宋"/>
          <w:sz w:val="32"/>
          <w:szCs w:val="32"/>
          <w:lang w:val="en-US" w:eastAsia="zh-CN"/>
        </w:rPr>
        <w:t>1.16</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社保缴费基数增加</w:t>
      </w:r>
      <w:r>
        <w:rPr>
          <w:rFonts w:hint="eastAsia" w:ascii="仿宋" w:hAnsi="仿宋" w:eastAsia="仿宋"/>
          <w:sz w:val="32"/>
          <w:szCs w:val="32"/>
        </w:rPr>
        <w:t>。</w:t>
      </w:r>
    </w:p>
    <w:p w14:paraId="0AFB2C99">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14:paraId="08CC4302">
      <w:pPr>
        <w:pStyle w:val="2"/>
        <w:jc w:val="center"/>
        <w:rPr>
          <w:rFonts w:hint="eastAsia" w:eastAsia="仿宋"/>
          <w:lang w:eastAsia="zh-CN"/>
        </w:rPr>
      </w:pPr>
      <w:r>
        <w:rPr>
          <w:rFonts w:hint="eastAsia" w:eastAsia="仿宋"/>
          <w:lang w:eastAsia="zh-CN"/>
        </w:rPr>
        <w:drawing>
          <wp:inline distT="0" distB="0" distL="114300" distR="114300">
            <wp:extent cx="3877310" cy="2893695"/>
            <wp:effectExtent l="4445" t="4445" r="23495" b="1651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032FCAFE">
      <w:pPr>
        <w:pStyle w:val="28"/>
        <w:spacing w:line="600" w:lineRule="exact"/>
        <w:ind w:left="640" w:firstLine="0" w:firstLineChars="0"/>
        <w:outlineLvl w:val="1"/>
        <w:rPr>
          <w:rStyle w:val="21"/>
          <w:rFonts w:ascii="黑体" w:hAnsi="黑体" w:eastAsia="黑体"/>
          <w:b w:val="0"/>
        </w:rPr>
      </w:pPr>
      <w:r>
        <w:rPr>
          <w:rFonts w:hint="eastAsia" w:ascii="黑体" w:hAnsi="黑体" w:eastAsia="黑体"/>
          <w:sz w:val="32"/>
          <w:szCs w:val="32"/>
        </w:rPr>
        <w:t>二、收</w:t>
      </w:r>
      <w:r>
        <w:rPr>
          <w:rStyle w:val="21"/>
          <w:rFonts w:hint="eastAsia" w:ascii="黑体" w:hAnsi="黑体" w:eastAsia="黑体"/>
          <w:b w:val="0"/>
        </w:rPr>
        <w:t>入决算情况说明</w:t>
      </w:r>
    </w:p>
    <w:p w14:paraId="45812925">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2023年度本年收入合计</w:t>
      </w:r>
      <w:r>
        <w:rPr>
          <w:rFonts w:hint="eastAsia" w:ascii="仿宋" w:hAnsi="仿宋" w:eastAsia="仿宋"/>
          <w:sz w:val="32"/>
          <w:szCs w:val="32"/>
          <w:lang w:val="en-US" w:eastAsia="zh-CN"/>
        </w:rPr>
        <w:t>46.86</w:t>
      </w:r>
      <w:r>
        <w:rPr>
          <w:rFonts w:hint="eastAsia" w:ascii="仿宋" w:hAnsi="仿宋" w:eastAsia="仿宋"/>
          <w:sz w:val="32"/>
          <w:szCs w:val="32"/>
        </w:rPr>
        <w:t>万元，其中：一般公共预算财政拨款收入</w:t>
      </w:r>
      <w:r>
        <w:rPr>
          <w:rFonts w:hint="eastAsia" w:ascii="仿宋" w:hAnsi="仿宋" w:eastAsia="仿宋"/>
          <w:sz w:val="32"/>
          <w:szCs w:val="32"/>
          <w:lang w:val="en-US" w:eastAsia="zh-CN"/>
        </w:rPr>
        <w:t>46.86</w:t>
      </w:r>
      <w:r>
        <w:rPr>
          <w:rFonts w:hint="eastAsia" w:ascii="仿宋" w:hAnsi="仿宋" w:eastAsia="仿宋"/>
          <w:sz w:val="32"/>
          <w:szCs w:val="32"/>
        </w:rPr>
        <w:t>万元，占</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；政府性基金预算财政拨款收入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；国有资本经营预算财政拨款收入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；上级补助收入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；事业收入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；附属单位上缴收入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；其他收入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p>
    <w:p w14:paraId="566352AE">
      <w:pPr>
        <w:spacing w:line="600" w:lineRule="exact"/>
        <w:ind w:firstLine="640" w:firstLineChars="200"/>
        <w:rPr>
          <w:rFonts w:hint="eastAsia" w:ascii="仿宋" w:hAnsi="仿宋" w:eastAsia="仿宋"/>
          <w:sz w:val="32"/>
          <w:szCs w:val="32"/>
        </w:rPr>
      </w:pPr>
      <w:r>
        <w:rPr>
          <w:rFonts w:hint="eastAsia" w:ascii="仿宋" w:hAnsi="仿宋" w:eastAsia="仿宋"/>
          <w:sz w:val="32"/>
          <w:szCs w:val="32"/>
        </w:rPr>
        <w:t>（图2：收入决算结构图）（饼状图）</w:t>
      </w:r>
    </w:p>
    <w:p w14:paraId="242BBCF2">
      <w:pPr>
        <w:spacing w:line="240" w:lineRule="auto"/>
        <w:ind w:firstLine="0" w:firstLineChars="0"/>
        <w:jc w:val="center"/>
        <w:rPr>
          <w:rFonts w:hint="eastAsia" w:ascii="仿宋" w:eastAsia="仿宋" w:cs="仿宋"/>
          <w:sz w:val="32"/>
          <w:szCs w:val="32"/>
        </w:rPr>
      </w:pPr>
      <w:r>
        <w:rPr>
          <w:rFonts w:hint="eastAsia" w:ascii="仿宋" w:eastAsia="仿宋" w:cs="仿宋"/>
          <w:sz w:val="32"/>
          <w:szCs w:val="32"/>
        </w:rPr>
        <w:drawing>
          <wp:inline distT="0" distB="0" distL="114300" distR="114300">
            <wp:extent cx="4041140" cy="2954655"/>
            <wp:effectExtent l="4445" t="4445" r="12065" b="1270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7379AB13">
      <w:pPr>
        <w:pStyle w:val="28"/>
        <w:spacing w:line="600" w:lineRule="exact"/>
        <w:ind w:left="640" w:firstLine="0" w:firstLineChars="0"/>
        <w:outlineLvl w:val="1"/>
        <w:rPr>
          <w:rStyle w:val="21"/>
          <w:rFonts w:ascii="黑体" w:hAnsi="黑体" w:eastAsia="黑体"/>
          <w:b w:val="0"/>
        </w:rPr>
      </w:pPr>
      <w:r>
        <w:rPr>
          <w:rFonts w:hint="eastAsia" w:ascii="黑体" w:hAnsi="黑体" w:eastAsia="黑体"/>
          <w:sz w:val="32"/>
          <w:szCs w:val="32"/>
        </w:rPr>
        <w:t>三、支</w:t>
      </w:r>
      <w:r>
        <w:rPr>
          <w:rStyle w:val="21"/>
          <w:rFonts w:hint="eastAsia" w:ascii="黑体" w:hAnsi="黑体" w:eastAsia="黑体"/>
          <w:b w:val="0"/>
        </w:rPr>
        <w:t>出决算情况说明</w:t>
      </w:r>
    </w:p>
    <w:p w14:paraId="6E16DB11">
      <w:pPr>
        <w:spacing w:line="600" w:lineRule="exact"/>
        <w:ind w:firstLine="640" w:firstLineChars="200"/>
        <w:outlineLvl w:val="1"/>
        <w:rPr>
          <w:rFonts w:ascii="仿宋" w:hAnsi="仿宋" w:eastAsia="仿宋"/>
          <w:sz w:val="32"/>
          <w:szCs w:val="32"/>
        </w:rPr>
      </w:pPr>
      <w:r>
        <w:rPr>
          <w:rFonts w:hint="eastAsia" w:ascii="仿宋" w:hAnsi="仿宋" w:eastAsia="仿宋"/>
          <w:sz w:val="32"/>
          <w:szCs w:val="32"/>
        </w:rPr>
        <w:t>2023年度本年支出合计</w:t>
      </w:r>
      <w:r>
        <w:rPr>
          <w:rFonts w:hint="eastAsia" w:ascii="仿宋" w:hAnsi="仿宋" w:eastAsia="仿宋"/>
          <w:sz w:val="32"/>
          <w:szCs w:val="32"/>
          <w:lang w:val="en-US" w:eastAsia="zh-CN"/>
        </w:rPr>
        <w:t>46.86</w:t>
      </w:r>
      <w:r>
        <w:rPr>
          <w:rFonts w:hint="eastAsia" w:ascii="仿宋" w:hAnsi="仿宋" w:eastAsia="仿宋"/>
          <w:sz w:val="32"/>
          <w:szCs w:val="32"/>
        </w:rPr>
        <w:t>万元，其中：基本支出</w:t>
      </w:r>
      <w:r>
        <w:rPr>
          <w:rFonts w:hint="eastAsia" w:ascii="仿宋" w:hAnsi="仿宋" w:eastAsia="仿宋"/>
          <w:sz w:val="32"/>
          <w:szCs w:val="32"/>
          <w:lang w:val="en-US" w:eastAsia="zh-CN"/>
        </w:rPr>
        <w:t>46.86</w:t>
      </w:r>
      <w:r>
        <w:rPr>
          <w:rFonts w:hint="eastAsia" w:ascii="仿宋" w:hAnsi="仿宋" w:eastAsia="仿宋"/>
          <w:sz w:val="32"/>
          <w:szCs w:val="32"/>
        </w:rPr>
        <w:t>万元，占</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；项目支出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；上缴上级支出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；对附属单位补助支出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p>
    <w:p w14:paraId="7CC3A1AD">
      <w:pPr>
        <w:spacing w:line="600" w:lineRule="exact"/>
        <w:ind w:firstLine="640" w:firstLineChars="200"/>
        <w:rPr>
          <w:rFonts w:ascii="仿宋" w:hAnsi="仿宋" w:eastAsia="仿宋"/>
          <w:sz w:val="32"/>
          <w:szCs w:val="32"/>
        </w:rPr>
      </w:pPr>
      <w:r>
        <w:rPr>
          <w:rFonts w:hint="eastAsia" w:ascii="仿宋" w:hAnsi="仿宋" w:eastAsia="仿宋"/>
          <w:sz w:val="32"/>
          <w:szCs w:val="32"/>
        </w:rPr>
        <w:t>（图3：支出决算结构图）（饼状图）</w:t>
      </w:r>
    </w:p>
    <w:p w14:paraId="3676FC74">
      <w:pPr>
        <w:spacing w:line="240" w:lineRule="auto"/>
        <w:ind w:firstLine="0" w:firstLineChars="0"/>
        <w:jc w:val="center"/>
        <w:rPr>
          <w:rFonts w:hint="eastAsia" w:ascii="仿宋" w:eastAsia="仿宋" w:cs="仿宋"/>
          <w:sz w:val="32"/>
          <w:szCs w:val="32"/>
        </w:rPr>
      </w:pPr>
      <w:r>
        <w:rPr>
          <w:rFonts w:hint="eastAsia" w:ascii="仿宋" w:eastAsia="仿宋" w:cs="仿宋"/>
          <w:sz w:val="32"/>
          <w:szCs w:val="32"/>
        </w:rPr>
        <w:drawing>
          <wp:inline distT="0" distB="0" distL="114300" distR="114300">
            <wp:extent cx="3765550" cy="2590800"/>
            <wp:effectExtent l="4445" t="4445" r="20955" b="1460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46F51ECD">
      <w:pPr>
        <w:spacing w:line="600" w:lineRule="exact"/>
        <w:ind w:firstLine="640" w:firstLineChars="200"/>
        <w:outlineLvl w:val="1"/>
        <w:rPr>
          <w:rStyle w:val="21"/>
          <w:rFonts w:ascii="黑体" w:hAnsi="黑体" w:eastAsia="黑体"/>
          <w:b w:val="0"/>
        </w:rPr>
      </w:pPr>
      <w:r>
        <w:rPr>
          <w:rFonts w:hint="eastAsia" w:ascii="黑体" w:hAnsi="黑体" w:eastAsia="黑体"/>
          <w:sz w:val="32"/>
          <w:szCs w:val="32"/>
        </w:rPr>
        <w:t>四、财</w:t>
      </w:r>
      <w:r>
        <w:rPr>
          <w:rStyle w:val="21"/>
          <w:rFonts w:hint="eastAsia" w:ascii="黑体" w:hAnsi="黑体" w:eastAsia="黑体"/>
          <w:b w:val="0"/>
        </w:rPr>
        <w:t>政拨款收入支出决算总体情况说明</w:t>
      </w:r>
    </w:p>
    <w:p w14:paraId="19CFA9B6">
      <w:pPr>
        <w:spacing w:line="600" w:lineRule="exact"/>
        <w:ind w:firstLine="640"/>
        <w:rPr>
          <w:rFonts w:ascii="仿宋" w:hAnsi="仿宋" w:eastAsia="仿宋"/>
          <w:sz w:val="32"/>
          <w:szCs w:val="32"/>
        </w:rPr>
      </w:pPr>
      <w:r>
        <w:rPr>
          <w:rFonts w:hint="eastAsia" w:ascii="仿宋" w:hAnsi="仿宋" w:eastAsia="仿宋"/>
          <w:sz w:val="32"/>
          <w:szCs w:val="32"/>
        </w:rPr>
        <w:t>2023年度财政拨款收、支总计均为</w:t>
      </w:r>
      <w:r>
        <w:rPr>
          <w:rFonts w:hint="eastAsia" w:ascii="仿宋" w:hAnsi="仿宋" w:eastAsia="仿宋"/>
          <w:sz w:val="32"/>
          <w:szCs w:val="32"/>
          <w:lang w:val="en-US" w:eastAsia="zh-CN"/>
        </w:rPr>
        <w:t>46.86</w:t>
      </w:r>
      <w:r>
        <w:rPr>
          <w:rFonts w:hint="eastAsia" w:ascii="仿宋" w:hAnsi="仿宋" w:eastAsia="仿宋"/>
          <w:sz w:val="32"/>
          <w:szCs w:val="32"/>
        </w:rPr>
        <w:t>万元。与2022年度相比，财政拨款收、支总计各增加</w:t>
      </w:r>
      <w:r>
        <w:rPr>
          <w:rFonts w:hint="eastAsia" w:ascii="仿宋" w:hAnsi="仿宋" w:eastAsia="仿宋"/>
          <w:sz w:val="32"/>
          <w:szCs w:val="32"/>
          <w:lang w:val="en-US" w:eastAsia="zh-CN"/>
        </w:rPr>
        <w:t>0.54</w:t>
      </w:r>
      <w:r>
        <w:rPr>
          <w:rFonts w:hint="eastAsia" w:ascii="仿宋" w:hAnsi="仿宋" w:eastAsia="仿宋"/>
          <w:sz w:val="32"/>
          <w:szCs w:val="32"/>
        </w:rPr>
        <w:t>万元，增长</w:t>
      </w:r>
      <w:r>
        <w:rPr>
          <w:rFonts w:hint="eastAsia" w:ascii="仿宋" w:hAnsi="仿宋" w:eastAsia="仿宋"/>
          <w:sz w:val="32"/>
          <w:szCs w:val="32"/>
          <w:lang w:val="en-US" w:eastAsia="zh-CN"/>
        </w:rPr>
        <w:t>1.16</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社保缴费基数增加。</w:t>
      </w:r>
    </w:p>
    <w:p w14:paraId="2DBEFDA8">
      <w:pPr>
        <w:spacing w:line="600" w:lineRule="exact"/>
        <w:ind w:firstLine="640" w:firstLineChars="200"/>
        <w:rPr>
          <w:rFonts w:ascii="仿宋" w:hAnsi="仿宋" w:eastAsia="仿宋"/>
          <w:sz w:val="32"/>
          <w:szCs w:val="32"/>
        </w:rPr>
      </w:pPr>
      <w:r>
        <w:rPr>
          <w:rFonts w:hint="eastAsia" w:ascii="仿宋" w:hAnsi="仿宋" w:eastAsia="仿宋"/>
          <w:sz w:val="32"/>
          <w:szCs w:val="32"/>
        </w:rPr>
        <w:t>（图4：财政拨款收、支决算总计变动情况）（柱状图）</w:t>
      </w:r>
    </w:p>
    <w:p w14:paraId="73736B20">
      <w:pPr>
        <w:spacing w:line="240" w:lineRule="auto"/>
        <w:ind w:firstLine="0"/>
        <w:jc w:val="center"/>
        <w:rPr>
          <w:rFonts w:hint="eastAsia" w:ascii="仿宋" w:eastAsia="仿宋" w:cs="仿宋"/>
          <w:sz w:val="32"/>
          <w:szCs w:val="32"/>
        </w:rPr>
      </w:pPr>
      <w:r>
        <w:rPr>
          <w:rFonts w:hint="eastAsia" w:ascii="仿宋" w:eastAsia="仿宋" w:cs="仿宋"/>
          <w:sz w:val="32"/>
          <w:szCs w:val="32"/>
        </w:rPr>
        <w:drawing>
          <wp:inline distT="0" distB="0" distL="114300" distR="114300">
            <wp:extent cx="3793490" cy="2829560"/>
            <wp:effectExtent l="4445" t="5080" r="12065" b="2286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28F639AE">
      <w:pPr>
        <w:spacing w:line="600" w:lineRule="exact"/>
        <w:ind w:firstLine="640" w:firstLineChars="200"/>
        <w:outlineLvl w:val="1"/>
        <w:rPr>
          <w:rStyle w:val="21"/>
          <w:rFonts w:ascii="黑体" w:hAnsi="黑体" w:eastAsia="黑体"/>
          <w:b w:val="0"/>
        </w:rPr>
      </w:pPr>
      <w:r>
        <w:rPr>
          <w:rFonts w:hint="eastAsia" w:ascii="黑体" w:hAnsi="黑体" w:eastAsia="黑体"/>
          <w:sz w:val="32"/>
          <w:szCs w:val="32"/>
        </w:rPr>
        <w:t>五、</w:t>
      </w:r>
      <w:r>
        <w:rPr>
          <w:rFonts w:hint="eastAsia" w:ascii="黑体" w:hAnsi="黑体" w:eastAsia="黑体"/>
          <w:b/>
          <w:sz w:val="32"/>
          <w:szCs w:val="32"/>
        </w:rPr>
        <w:t>一</w:t>
      </w:r>
      <w:r>
        <w:rPr>
          <w:rStyle w:val="21"/>
          <w:rFonts w:hint="eastAsia" w:ascii="黑体" w:hAnsi="黑体" w:eastAsia="黑体"/>
          <w:b w:val="0"/>
        </w:rPr>
        <w:t>般公共预算财政拨款支出决算情况说明</w:t>
      </w:r>
    </w:p>
    <w:p w14:paraId="160A18C9">
      <w:pPr>
        <w:spacing w:line="600" w:lineRule="exact"/>
        <w:ind w:firstLine="643" w:firstLineChars="200"/>
        <w:outlineLvl w:val="2"/>
        <w:rPr>
          <w:rFonts w:ascii="仿宋" w:hAnsi="仿宋" w:eastAsia="仿宋"/>
          <w:b/>
          <w:sz w:val="32"/>
          <w:szCs w:val="32"/>
        </w:rPr>
      </w:pPr>
      <w:r>
        <w:rPr>
          <w:rFonts w:hint="eastAsia" w:ascii="仿宋" w:hAnsi="仿宋" w:eastAsia="仿宋"/>
          <w:b/>
          <w:sz w:val="32"/>
          <w:szCs w:val="32"/>
        </w:rPr>
        <w:t>（一）一般公共预算财政拨款支出决算总体情况</w:t>
      </w:r>
    </w:p>
    <w:p w14:paraId="4DCBB79C">
      <w:pPr>
        <w:spacing w:line="600" w:lineRule="exact"/>
        <w:ind w:firstLine="640" w:firstLineChars="200"/>
        <w:rPr>
          <w:rFonts w:hint="eastAsia" w:ascii="仿宋" w:hAnsi="仿宋" w:eastAsia="仿宋"/>
          <w:sz w:val="32"/>
          <w:szCs w:val="32"/>
          <w:lang w:eastAsia="zh-CN"/>
        </w:rPr>
      </w:pPr>
      <w:r>
        <w:rPr>
          <w:rFonts w:hint="eastAsia" w:ascii="仿宋" w:hAnsi="仿宋" w:eastAsia="仿宋"/>
          <w:sz w:val="32"/>
          <w:szCs w:val="32"/>
        </w:rPr>
        <w:t>2023年度一般公共预算财政拨款支出</w:t>
      </w:r>
      <w:r>
        <w:rPr>
          <w:rFonts w:hint="eastAsia" w:ascii="仿宋" w:hAnsi="仿宋" w:eastAsia="仿宋"/>
          <w:sz w:val="32"/>
          <w:szCs w:val="32"/>
          <w:lang w:val="en-US" w:eastAsia="zh-CN"/>
        </w:rPr>
        <w:t>46.86</w:t>
      </w:r>
      <w:r>
        <w:rPr>
          <w:rFonts w:hint="eastAsia" w:ascii="仿宋" w:hAnsi="仿宋" w:eastAsia="仿宋"/>
          <w:sz w:val="32"/>
          <w:szCs w:val="32"/>
        </w:rPr>
        <w:t>万元，占本年支出合计的</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。与2022年度相比，一般公共预算财政拨款支出增加</w:t>
      </w:r>
      <w:r>
        <w:rPr>
          <w:rFonts w:hint="eastAsia" w:ascii="仿宋" w:hAnsi="仿宋" w:eastAsia="仿宋"/>
          <w:sz w:val="32"/>
          <w:szCs w:val="32"/>
          <w:lang w:val="en-US" w:eastAsia="zh-CN"/>
        </w:rPr>
        <w:t>0.54</w:t>
      </w:r>
      <w:r>
        <w:rPr>
          <w:rFonts w:hint="eastAsia" w:ascii="仿宋" w:hAnsi="仿宋" w:eastAsia="仿宋"/>
          <w:sz w:val="32"/>
          <w:szCs w:val="32"/>
        </w:rPr>
        <w:t>万元，增长</w:t>
      </w:r>
      <w:r>
        <w:rPr>
          <w:rFonts w:hint="eastAsia" w:ascii="仿宋" w:hAnsi="仿宋" w:eastAsia="仿宋"/>
          <w:sz w:val="32"/>
          <w:szCs w:val="32"/>
          <w:lang w:val="en-US" w:eastAsia="zh-CN"/>
        </w:rPr>
        <w:t>1.16</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社保缴费基数增加。</w:t>
      </w:r>
    </w:p>
    <w:p w14:paraId="1AA78CA6">
      <w:pPr>
        <w:spacing w:line="60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（图5：一般公共预算财政拨款支出决算变动情况）（柱状图）</w:t>
      </w:r>
    </w:p>
    <w:p w14:paraId="6CBF58BB">
      <w:pPr>
        <w:spacing w:line="240" w:lineRule="auto"/>
        <w:ind w:firstLine="0" w:firstLineChars="0"/>
        <w:jc w:val="center"/>
        <w:rPr>
          <w:rFonts w:hint="eastAsia" w:ascii="仿宋" w:eastAsia="仿宋" w:cs="仿宋"/>
          <w:sz w:val="32"/>
          <w:szCs w:val="32"/>
        </w:rPr>
      </w:pPr>
      <w:r>
        <w:rPr>
          <w:rFonts w:hint="eastAsia" w:ascii="仿宋" w:eastAsia="仿宋" w:cs="仿宋"/>
          <w:sz w:val="32"/>
          <w:szCs w:val="32"/>
        </w:rPr>
        <w:drawing>
          <wp:inline distT="0" distB="0" distL="114300" distR="114300">
            <wp:extent cx="3556000" cy="2716530"/>
            <wp:effectExtent l="4445" t="4445" r="20955" b="2222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A1170DA">
      <w:pPr>
        <w:spacing w:line="600" w:lineRule="exact"/>
        <w:ind w:firstLine="643" w:firstLineChars="200"/>
        <w:outlineLvl w:val="2"/>
        <w:rPr>
          <w:rFonts w:ascii="仿宋" w:hAnsi="仿宋" w:eastAsia="仿宋"/>
          <w:b/>
          <w:sz w:val="32"/>
          <w:szCs w:val="32"/>
        </w:rPr>
      </w:pPr>
      <w:r>
        <w:rPr>
          <w:rFonts w:hint="eastAsia" w:ascii="仿宋" w:hAnsi="仿宋" w:eastAsia="仿宋"/>
          <w:b/>
          <w:sz w:val="32"/>
          <w:szCs w:val="32"/>
        </w:rPr>
        <w:t>（二）一般公共预算财政拨款支出决算结构情况</w:t>
      </w:r>
    </w:p>
    <w:p w14:paraId="784907CC">
      <w:pPr>
        <w:spacing w:line="600" w:lineRule="exact"/>
        <w:ind w:firstLine="640"/>
        <w:rPr>
          <w:rFonts w:hint="eastAsia" w:ascii="仿宋" w:hAnsi="仿宋" w:eastAsia="仿宋"/>
          <w:b/>
          <w:sz w:val="32"/>
          <w:szCs w:val="32"/>
        </w:rPr>
      </w:pPr>
      <w:r>
        <w:rPr>
          <w:rFonts w:hint="eastAsia" w:ascii="仿宋" w:hAnsi="仿宋" w:eastAsia="仿宋"/>
          <w:sz w:val="32"/>
          <w:szCs w:val="32"/>
        </w:rPr>
        <w:t>2023年度一般公共预算财政拨款支出</w:t>
      </w:r>
      <w:r>
        <w:rPr>
          <w:rFonts w:hint="eastAsia" w:ascii="仿宋" w:hAnsi="仿宋" w:eastAsia="仿宋"/>
          <w:sz w:val="32"/>
          <w:szCs w:val="32"/>
          <w:lang w:val="en-US" w:eastAsia="zh-CN"/>
        </w:rPr>
        <w:t>46.86</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仿宋" w:hAnsi="仿宋" w:eastAsia="仿宋"/>
          <w:sz w:val="32"/>
          <w:szCs w:val="32"/>
          <w:lang w:val="en-US" w:eastAsia="zh-CN"/>
        </w:rPr>
        <w:t>3.56</w:t>
      </w:r>
      <w:r>
        <w:rPr>
          <w:rFonts w:hint="eastAsia" w:ascii="仿宋" w:hAnsi="仿宋" w:eastAsia="仿宋"/>
          <w:sz w:val="32"/>
          <w:szCs w:val="32"/>
        </w:rPr>
        <w:t>万元，占</w:t>
      </w:r>
      <w:r>
        <w:rPr>
          <w:rFonts w:hint="eastAsia" w:ascii="仿宋" w:hAnsi="仿宋" w:eastAsia="仿宋"/>
          <w:sz w:val="32"/>
          <w:szCs w:val="32"/>
          <w:lang w:val="en-US" w:eastAsia="zh-CN"/>
        </w:rPr>
        <w:t>7.60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sz w:val="32"/>
          <w:szCs w:val="32"/>
          <w:lang w:val="en-US" w:eastAsia="zh-CN"/>
        </w:rPr>
        <w:t>5.03</w:t>
      </w:r>
      <w:r>
        <w:rPr>
          <w:rFonts w:hint="eastAsia" w:ascii="仿宋" w:hAnsi="仿宋" w:eastAsia="仿宋"/>
          <w:sz w:val="32"/>
          <w:szCs w:val="32"/>
        </w:rPr>
        <w:t>万元，占</w:t>
      </w:r>
      <w:r>
        <w:rPr>
          <w:rFonts w:hint="eastAsia" w:ascii="仿宋" w:hAnsi="仿宋" w:eastAsia="仿宋"/>
          <w:sz w:val="32"/>
          <w:szCs w:val="32"/>
          <w:lang w:val="en-US" w:eastAsia="zh-CN"/>
        </w:rPr>
        <w:t>10.73</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lang w:eastAsia="zh-CN"/>
        </w:rPr>
        <w:t>农林水</w:t>
      </w:r>
      <w:r>
        <w:rPr>
          <w:rFonts w:hint="eastAsia" w:ascii="仿宋" w:hAnsi="仿宋" w:eastAsia="仿宋"/>
          <w:b/>
          <w:bCs/>
          <w:sz w:val="32"/>
          <w:szCs w:val="32"/>
        </w:rPr>
        <w:t>支出</w:t>
      </w:r>
      <w:r>
        <w:rPr>
          <w:rFonts w:hint="eastAsia" w:ascii="仿宋" w:hAnsi="仿宋" w:eastAsia="仿宋"/>
          <w:sz w:val="32"/>
          <w:szCs w:val="32"/>
          <w:lang w:val="en-US" w:eastAsia="zh-CN"/>
        </w:rPr>
        <w:t>38.27</w:t>
      </w:r>
      <w:r>
        <w:rPr>
          <w:rFonts w:hint="eastAsia" w:ascii="仿宋" w:hAnsi="仿宋" w:eastAsia="仿宋"/>
          <w:sz w:val="32"/>
          <w:szCs w:val="32"/>
        </w:rPr>
        <w:t>万元，占</w:t>
      </w:r>
      <w:r>
        <w:rPr>
          <w:rFonts w:hint="eastAsia" w:ascii="仿宋" w:hAnsi="仿宋" w:eastAsia="仿宋"/>
          <w:sz w:val="32"/>
          <w:szCs w:val="32"/>
          <w:lang w:val="en-US" w:eastAsia="zh-CN"/>
        </w:rPr>
        <w:t>81.67</w:t>
      </w:r>
      <w:r>
        <w:rPr>
          <w:rFonts w:ascii="仿宋" w:hAnsi="仿宋" w:eastAsia="仿宋"/>
          <w:sz w:val="32"/>
          <w:szCs w:val="32"/>
        </w:rPr>
        <w:t>%</w:t>
      </w:r>
      <w:r>
        <w:rPr>
          <w:rFonts w:hint="eastAsia" w:ascii="仿宋" w:hAnsi="仿宋" w:eastAsia="仿宋"/>
          <w:sz w:val="32"/>
          <w:szCs w:val="32"/>
        </w:rPr>
        <w:t>。</w:t>
      </w:r>
    </w:p>
    <w:p w14:paraId="264F42A1">
      <w:pPr>
        <w:spacing w:line="60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（图6：一般公共预算财政拨款支出决算结构）（饼状图）</w:t>
      </w:r>
    </w:p>
    <w:p w14:paraId="2D0E73C2">
      <w:pPr>
        <w:spacing w:line="240" w:lineRule="auto"/>
        <w:ind w:firstLine="0" w:firstLineChars="0"/>
        <w:jc w:val="center"/>
        <w:rPr>
          <w:rFonts w:hint="eastAsia" w:ascii="仿宋" w:eastAsia="仿宋" w:cs="仿宋"/>
          <w:kern w:val="2"/>
          <w:sz w:val="32"/>
          <w:szCs w:val="32"/>
        </w:rPr>
      </w:pPr>
      <w:r>
        <w:rPr>
          <w:rFonts w:hint="eastAsia" w:ascii="仿宋" w:eastAsia="仿宋" w:cs="仿宋"/>
          <w:kern w:val="2"/>
          <w:sz w:val="32"/>
          <w:szCs w:val="32"/>
        </w:rPr>
        <w:drawing>
          <wp:inline distT="0" distB="0" distL="114300" distR="114300">
            <wp:extent cx="3729355" cy="2686685"/>
            <wp:effectExtent l="4445" t="4445" r="19050" b="1397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48045900">
      <w:pPr>
        <w:spacing w:line="600" w:lineRule="exact"/>
        <w:ind w:firstLine="643" w:firstLineChars="200"/>
        <w:outlineLvl w:val="2"/>
        <w:rPr>
          <w:rFonts w:ascii="仿宋" w:hAnsi="仿宋" w:eastAsia="仿宋"/>
          <w:b/>
          <w:sz w:val="32"/>
          <w:szCs w:val="32"/>
        </w:rPr>
      </w:pPr>
      <w:r>
        <w:rPr>
          <w:rFonts w:hint="eastAsia" w:ascii="仿宋" w:hAnsi="仿宋" w:eastAsia="仿宋"/>
          <w:b/>
          <w:sz w:val="32"/>
          <w:szCs w:val="32"/>
        </w:rPr>
        <w:t>（三）一般公共预算财政拨款支出决算具体情况</w:t>
      </w:r>
    </w:p>
    <w:p w14:paraId="502B11D0">
      <w:pPr>
        <w:spacing w:line="600" w:lineRule="exact"/>
        <w:ind w:firstLine="643" w:firstLineChars="200"/>
        <w:outlineLvl w:val="2"/>
        <w:rPr>
          <w:rFonts w:ascii="仿宋" w:hAnsi="仿宋" w:eastAsia="仿宋"/>
          <w:sz w:val="32"/>
          <w:szCs w:val="32"/>
        </w:rPr>
      </w:pPr>
      <w:r>
        <w:rPr>
          <w:rFonts w:hint="eastAsia" w:ascii="仿宋" w:hAnsi="仿宋" w:eastAsia="仿宋"/>
          <w:b/>
          <w:sz w:val="32"/>
          <w:szCs w:val="32"/>
        </w:rPr>
        <w:t>2023年度一般公共预算支出决算数为</w:t>
      </w:r>
      <w:r>
        <w:rPr>
          <w:rFonts w:hint="eastAsia" w:ascii="仿宋" w:hAnsi="仿宋" w:eastAsia="仿宋"/>
          <w:b/>
          <w:sz w:val="32"/>
          <w:szCs w:val="32"/>
          <w:lang w:val="en-US" w:eastAsia="zh-CN"/>
        </w:rPr>
        <w:t>46.86万元</w:t>
      </w:r>
      <w:r>
        <w:rPr>
          <w:rFonts w:hint="eastAsia" w:ascii="仿宋" w:hAnsi="仿宋" w:eastAsia="仿宋"/>
          <w:sz w:val="32"/>
          <w:szCs w:val="32"/>
        </w:rPr>
        <w:t>，</w:t>
      </w:r>
      <w:r>
        <w:rPr>
          <w:rStyle w:val="17"/>
          <w:rFonts w:hint="eastAsia" w:ascii="仿宋" w:hAnsi="仿宋" w:eastAsia="仿宋"/>
          <w:bCs/>
          <w:sz w:val="32"/>
          <w:szCs w:val="32"/>
        </w:rPr>
        <w:t>完成预算</w:t>
      </w:r>
      <w:r>
        <w:rPr>
          <w:rStyle w:val="17"/>
          <w:rFonts w:hint="eastAsia" w:ascii="仿宋" w:hAnsi="仿宋" w:eastAsia="仿宋"/>
          <w:bCs/>
          <w:sz w:val="32"/>
          <w:szCs w:val="32"/>
          <w:lang w:val="en-US" w:eastAsia="zh-CN"/>
        </w:rPr>
        <w:t>100</w:t>
      </w:r>
      <w:r>
        <w:rPr>
          <w:rStyle w:val="17"/>
          <w:rFonts w:ascii="仿宋" w:hAnsi="仿宋" w:eastAsia="仿宋"/>
          <w:bCs/>
          <w:sz w:val="32"/>
          <w:szCs w:val="32"/>
        </w:rPr>
        <w:t>%</w:t>
      </w:r>
      <w:r>
        <w:rPr>
          <w:rStyle w:val="17"/>
          <w:rFonts w:hint="eastAsia" w:ascii="仿宋" w:hAnsi="仿宋" w:eastAsia="仿宋"/>
          <w:bCs/>
          <w:sz w:val="32"/>
          <w:szCs w:val="32"/>
        </w:rPr>
        <w:t>。其中：</w:t>
      </w:r>
    </w:p>
    <w:p w14:paraId="49054822">
      <w:pPr>
        <w:spacing w:line="600" w:lineRule="exact"/>
        <w:ind w:firstLine="643" w:firstLineChars="200"/>
        <w:rPr>
          <w:rFonts w:ascii="仿宋" w:hAnsi="仿宋" w:eastAsia="仿宋"/>
          <w:b/>
          <w:sz w:val="32"/>
          <w:szCs w:val="32"/>
        </w:rPr>
      </w:pPr>
      <w:r>
        <w:rPr>
          <w:rStyle w:val="17"/>
          <w:rFonts w:ascii="仿宋" w:hAnsi="仿宋" w:eastAsia="仿宋"/>
          <w:bCs/>
          <w:sz w:val="32"/>
          <w:szCs w:val="32"/>
        </w:rPr>
        <w:t>1.</w:t>
      </w:r>
      <w:r>
        <w:rPr>
          <w:rFonts w:hint="eastAsia" w:ascii="仿宋_GB2312" w:eastAsia="仿宋_GB2312" w:cs="仿宋_GB2312"/>
          <w:b/>
          <w:bCs/>
          <w:color w:val="000000"/>
          <w:sz w:val="32"/>
          <w:szCs w:val="32"/>
        </w:rPr>
        <w:t>社会保障和就业支出（类）行政事业单位养老支出（款）机关事业单位基本养老保险缴费支出（项）</w:t>
      </w:r>
      <w:r>
        <w:rPr>
          <w:rStyle w:val="17"/>
          <w:rFonts w:ascii="仿宋" w:hAnsi="仿宋" w:eastAsia="仿宋"/>
          <w:bCs/>
          <w:sz w:val="32"/>
          <w:szCs w:val="32"/>
        </w:rPr>
        <w:t>:</w:t>
      </w:r>
      <w:r>
        <w:rPr>
          <w:rStyle w:val="17"/>
          <w:rFonts w:ascii="仿宋" w:hAnsi="仿宋" w:eastAsia="仿宋"/>
          <w:b w:val="0"/>
          <w:bCs/>
          <w:sz w:val="32"/>
          <w:szCs w:val="32"/>
        </w:rPr>
        <w:t xml:space="preserve"> </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3.56</w:t>
      </w:r>
      <w:r>
        <w:rPr>
          <w:rStyle w:val="17"/>
          <w:rFonts w:hint="eastAsia" w:ascii="仿宋" w:hAnsi="仿宋" w:eastAsia="仿宋"/>
          <w:b w:val="0"/>
          <w:bCs/>
          <w:sz w:val="32"/>
          <w:szCs w:val="32"/>
        </w:rPr>
        <w:t>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 w:hAnsi="仿宋" w:eastAsia="仿宋" w:cs="仿宋"/>
          <w:sz w:val="32"/>
          <w:szCs w:val="32"/>
        </w:rPr>
        <w:t>决算数等于预算数</w:t>
      </w:r>
      <w:r>
        <w:rPr>
          <w:rStyle w:val="17"/>
          <w:rFonts w:hint="eastAsia" w:ascii="仿宋" w:hAnsi="仿宋" w:eastAsia="仿宋"/>
          <w:b w:val="0"/>
          <w:bCs/>
          <w:sz w:val="32"/>
          <w:szCs w:val="32"/>
        </w:rPr>
        <w:t>。</w:t>
      </w:r>
    </w:p>
    <w:p w14:paraId="04E305DC">
      <w:pPr>
        <w:spacing w:line="600" w:lineRule="exact"/>
        <w:ind w:firstLine="643" w:firstLineChars="200"/>
        <w:rPr>
          <w:rFonts w:ascii="仿宋" w:hAnsi="仿宋" w:eastAsia="仿宋"/>
          <w:b/>
          <w:sz w:val="32"/>
          <w:szCs w:val="32"/>
        </w:rPr>
      </w:pPr>
      <w:r>
        <w:rPr>
          <w:rStyle w:val="17"/>
          <w:rFonts w:ascii="仿宋" w:hAnsi="仿宋" w:eastAsia="仿宋"/>
          <w:bCs/>
          <w:sz w:val="32"/>
          <w:szCs w:val="32"/>
        </w:rPr>
        <w:t>2.</w:t>
      </w:r>
      <w:r>
        <w:rPr>
          <w:rFonts w:hint="eastAsia" w:ascii="仿宋_GB2312" w:eastAsia="仿宋_GB2312" w:cs="仿宋_GB2312"/>
          <w:b/>
          <w:bCs/>
          <w:color w:val="000000"/>
          <w:sz w:val="32"/>
          <w:szCs w:val="32"/>
        </w:rPr>
        <w:t>卫生健康支出（类）行政事业单位医疗（款）事业单位医疗（项）</w:t>
      </w:r>
      <w:r>
        <w:rPr>
          <w:rStyle w:val="17"/>
          <w:rFonts w:ascii="仿宋" w:hAnsi="仿宋" w:eastAsia="仿宋"/>
          <w:bCs/>
          <w:sz w:val="32"/>
          <w:szCs w:val="32"/>
        </w:rPr>
        <w:t>:</w:t>
      </w:r>
      <w:r>
        <w:rPr>
          <w:rStyle w:val="17"/>
          <w:rFonts w:ascii="仿宋" w:hAnsi="仿宋" w:eastAsia="仿宋"/>
          <w:b w:val="0"/>
          <w:bCs/>
          <w:sz w:val="32"/>
          <w:szCs w:val="32"/>
        </w:rPr>
        <w:t xml:space="preserve"> </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2.62</w:t>
      </w:r>
      <w:r>
        <w:rPr>
          <w:rStyle w:val="17"/>
          <w:rFonts w:hint="eastAsia" w:ascii="仿宋" w:hAnsi="仿宋" w:eastAsia="仿宋"/>
          <w:b w:val="0"/>
          <w:bCs/>
          <w:sz w:val="32"/>
          <w:szCs w:val="32"/>
        </w:rPr>
        <w:t>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 w:hAnsi="仿宋" w:eastAsia="仿宋" w:cs="仿宋"/>
          <w:sz w:val="32"/>
          <w:szCs w:val="32"/>
        </w:rPr>
        <w:t>决算数等于预算数</w:t>
      </w:r>
      <w:r>
        <w:rPr>
          <w:rStyle w:val="17"/>
          <w:rFonts w:hint="eastAsia" w:ascii="仿宋" w:hAnsi="仿宋" w:eastAsia="仿宋"/>
          <w:b w:val="0"/>
          <w:bCs/>
          <w:sz w:val="32"/>
          <w:szCs w:val="32"/>
        </w:rPr>
        <w:t>。</w:t>
      </w:r>
    </w:p>
    <w:p w14:paraId="3177BC52">
      <w:pPr>
        <w:spacing w:line="600" w:lineRule="exact"/>
        <w:ind w:firstLine="643" w:firstLineChars="200"/>
        <w:rPr>
          <w:rFonts w:ascii="仿宋" w:hAnsi="仿宋" w:eastAsia="仿宋"/>
          <w:b/>
          <w:sz w:val="32"/>
          <w:szCs w:val="32"/>
        </w:rPr>
      </w:pPr>
      <w:r>
        <w:rPr>
          <w:rStyle w:val="17"/>
          <w:rFonts w:ascii="仿宋" w:hAnsi="仿宋" w:eastAsia="仿宋"/>
          <w:bCs/>
          <w:sz w:val="32"/>
          <w:szCs w:val="32"/>
        </w:rPr>
        <w:t>3.</w:t>
      </w:r>
      <w:r>
        <w:rPr>
          <w:rFonts w:hint="eastAsia" w:ascii="仿宋_GB2312" w:eastAsia="仿宋_GB2312" w:cs="仿宋_GB2312"/>
          <w:b/>
          <w:bCs/>
          <w:color w:val="000000"/>
          <w:sz w:val="32"/>
          <w:szCs w:val="32"/>
        </w:rPr>
        <w:t>卫生健康支出（类）行政事业单位医疗（款）其他行政事业单位医疗支出（项）</w:t>
      </w:r>
      <w:r>
        <w:rPr>
          <w:rStyle w:val="17"/>
          <w:rFonts w:ascii="仿宋" w:hAnsi="仿宋" w:eastAsia="仿宋"/>
          <w:bCs/>
          <w:sz w:val="32"/>
          <w:szCs w:val="32"/>
        </w:rPr>
        <w:t>:</w:t>
      </w:r>
      <w:r>
        <w:rPr>
          <w:rStyle w:val="17"/>
          <w:rFonts w:ascii="仿宋" w:hAnsi="仿宋" w:eastAsia="仿宋"/>
          <w:b w:val="0"/>
          <w:bCs/>
          <w:sz w:val="32"/>
          <w:szCs w:val="32"/>
        </w:rPr>
        <w:t xml:space="preserve"> </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2.41</w:t>
      </w:r>
      <w:r>
        <w:rPr>
          <w:rStyle w:val="17"/>
          <w:rFonts w:hint="eastAsia" w:ascii="仿宋" w:hAnsi="仿宋" w:eastAsia="仿宋"/>
          <w:b w:val="0"/>
          <w:bCs/>
          <w:sz w:val="32"/>
          <w:szCs w:val="32"/>
        </w:rPr>
        <w:t>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 w:hAnsi="仿宋" w:eastAsia="仿宋" w:cs="仿宋"/>
          <w:sz w:val="32"/>
          <w:szCs w:val="32"/>
        </w:rPr>
        <w:t>决算数等于预算数</w:t>
      </w:r>
      <w:r>
        <w:rPr>
          <w:rStyle w:val="17"/>
          <w:rFonts w:hint="eastAsia" w:ascii="仿宋" w:hAnsi="仿宋" w:eastAsia="仿宋"/>
          <w:b w:val="0"/>
          <w:bCs/>
          <w:sz w:val="32"/>
          <w:szCs w:val="32"/>
        </w:rPr>
        <w:t>。</w:t>
      </w:r>
    </w:p>
    <w:p w14:paraId="3423AE79">
      <w:pPr>
        <w:spacing w:line="600" w:lineRule="exact"/>
        <w:ind w:firstLine="643" w:firstLineChars="200"/>
        <w:rPr>
          <w:rStyle w:val="17"/>
          <w:rFonts w:hint="eastAsia" w:ascii="仿宋" w:hAnsi="仿宋" w:eastAsia="仿宋"/>
          <w:b w:val="0"/>
          <w:bCs/>
          <w:sz w:val="32"/>
          <w:szCs w:val="32"/>
        </w:rPr>
      </w:pPr>
      <w:r>
        <w:rPr>
          <w:rStyle w:val="17"/>
          <w:rFonts w:ascii="仿宋" w:hAnsi="仿宋" w:eastAsia="仿宋"/>
          <w:bCs/>
          <w:sz w:val="32"/>
          <w:szCs w:val="32"/>
        </w:rPr>
        <w:t>4.</w:t>
      </w:r>
      <w:r>
        <w:rPr>
          <w:rFonts w:hint="eastAsia" w:ascii="仿宋_GB2312" w:hAnsi="仿宋_GB2312" w:eastAsia="仿宋_GB2312" w:cs="仿宋_GB2312"/>
          <w:b/>
          <w:bCs/>
          <w:sz w:val="32"/>
          <w:szCs w:val="32"/>
        </w:rPr>
        <w:t>农林水支出（类）农业农村（款）事业运行（项）</w:t>
      </w:r>
      <w:r>
        <w:rPr>
          <w:rStyle w:val="17"/>
          <w:rFonts w:ascii="仿宋" w:hAnsi="仿宋" w:eastAsia="仿宋"/>
          <w:bCs/>
          <w:sz w:val="32"/>
          <w:szCs w:val="32"/>
        </w:rPr>
        <w:t>:</w:t>
      </w:r>
      <w:r>
        <w:rPr>
          <w:rStyle w:val="17"/>
          <w:rFonts w:ascii="仿宋" w:hAnsi="仿宋" w:eastAsia="仿宋"/>
          <w:b w:val="0"/>
          <w:bCs/>
          <w:sz w:val="32"/>
          <w:szCs w:val="32"/>
        </w:rPr>
        <w:t xml:space="preserve"> </w:t>
      </w:r>
      <w:r>
        <w:rPr>
          <w:rStyle w:val="17"/>
          <w:rFonts w:hint="eastAsia" w:ascii="仿宋" w:hAnsi="仿宋" w:eastAsia="仿宋"/>
          <w:b w:val="0"/>
          <w:bCs/>
          <w:sz w:val="32"/>
          <w:szCs w:val="32"/>
        </w:rPr>
        <w:t>支出决算为</w:t>
      </w:r>
      <w:r>
        <w:rPr>
          <w:rStyle w:val="17"/>
          <w:rFonts w:hint="eastAsia" w:ascii="仿宋" w:hAnsi="仿宋" w:eastAsia="仿宋"/>
          <w:b w:val="0"/>
          <w:bCs/>
          <w:sz w:val="32"/>
          <w:szCs w:val="32"/>
          <w:lang w:val="en-US" w:eastAsia="zh-CN"/>
        </w:rPr>
        <w:t>38.28</w:t>
      </w:r>
      <w:r>
        <w:rPr>
          <w:rStyle w:val="17"/>
          <w:rFonts w:hint="eastAsia" w:ascii="仿宋" w:hAnsi="仿宋" w:eastAsia="仿宋"/>
          <w:b w:val="0"/>
          <w:bCs/>
          <w:sz w:val="32"/>
          <w:szCs w:val="32"/>
        </w:rPr>
        <w:t>万元，完成预算</w:t>
      </w:r>
      <w:r>
        <w:rPr>
          <w:rStyle w:val="17"/>
          <w:rFonts w:hint="eastAsia" w:ascii="仿宋" w:hAnsi="仿宋" w:eastAsia="仿宋"/>
          <w:b w:val="0"/>
          <w:bCs/>
          <w:sz w:val="32"/>
          <w:szCs w:val="32"/>
          <w:lang w:val="en-US" w:eastAsia="zh-CN"/>
        </w:rPr>
        <w:t>100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 w:hAnsi="仿宋" w:eastAsia="仿宋" w:cs="仿宋"/>
          <w:sz w:val="32"/>
          <w:szCs w:val="32"/>
        </w:rPr>
        <w:t>决算数等于预算数</w:t>
      </w:r>
      <w:r>
        <w:rPr>
          <w:rStyle w:val="17"/>
          <w:rFonts w:hint="eastAsia" w:ascii="仿宋" w:hAnsi="仿宋" w:eastAsia="仿宋"/>
          <w:b w:val="0"/>
          <w:bCs/>
          <w:sz w:val="32"/>
          <w:szCs w:val="32"/>
        </w:rPr>
        <w:t>。</w:t>
      </w:r>
    </w:p>
    <w:p w14:paraId="267CA3F9">
      <w:pPr>
        <w:tabs>
          <w:tab w:val="right" w:pos="8306"/>
        </w:tabs>
        <w:spacing w:line="600" w:lineRule="exact"/>
        <w:ind w:firstLine="640"/>
        <w:outlineLvl w:val="1"/>
        <w:rPr>
          <w:rStyle w:val="21"/>
        </w:rPr>
      </w:pPr>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1"/>
          <w:rFonts w:hint="eastAsia" w:ascii="黑体" w:hAnsi="黑体" w:eastAsia="黑体"/>
          <w:b w:val="0"/>
        </w:rPr>
        <w:t>般公共预算财政拨款基本支出决算情况说明</w:t>
      </w:r>
    </w:p>
    <w:p w14:paraId="54051600">
      <w:pPr>
        <w:spacing w:line="600" w:lineRule="exact"/>
        <w:ind w:firstLine="645"/>
        <w:rPr>
          <w:rFonts w:ascii="仿宋" w:hAnsi="仿宋" w:eastAsia="仿宋"/>
          <w:sz w:val="32"/>
          <w:szCs w:val="32"/>
        </w:rPr>
      </w:pPr>
      <w:r>
        <w:rPr>
          <w:rFonts w:hint="eastAsia" w:ascii="仿宋" w:hAnsi="仿宋" w:eastAsia="仿宋"/>
          <w:sz w:val="32"/>
          <w:szCs w:val="32"/>
        </w:rPr>
        <w:t>2023年度一般公共预算财政拨款基本支出</w:t>
      </w:r>
      <w:r>
        <w:rPr>
          <w:rFonts w:hint="eastAsia" w:ascii="仿宋" w:hAnsi="仿宋" w:eastAsia="仿宋"/>
          <w:sz w:val="32"/>
          <w:szCs w:val="32"/>
          <w:lang w:val="en-US" w:eastAsia="zh-CN"/>
        </w:rPr>
        <w:t>46.86</w:t>
      </w:r>
      <w:r>
        <w:rPr>
          <w:rFonts w:hint="eastAsia" w:ascii="仿宋" w:hAnsi="仿宋" w:eastAsia="仿宋"/>
          <w:sz w:val="32"/>
          <w:szCs w:val="32"/>
        </w:rPr>
        <w:t>万元，其中：</w:t>
      </w:r>
    </w:p>
    <w:p w14:paraId="5F041888">
      <w:pPr>
        <w:spacing w:line="600" w:lineRule="exact"/>
        <w:ind w:firstLine="645"/>
        <w:rPr>
          <w:rFonts w:hint="eastAsia" w:ascii="仿宋" w:hAnsi="仿宋" w:eastAsia="仿宋"/>
          <w:sz w:val="32"/>
          <w:szCs w:val="32"/>
        </w:rPr>
      </w:pPr>
      <w:r>
        <w:rPr>
          <w:rFonts w:hint="eastAsia" w:ascii="仿宋" w:hAnsi="仿宋" w:eastAsia="仿宋"/>
          <w:sz w:val="32"/>
          <w:szCs w:val="32"/>
        </w:rPr>
        <w:t>人员经费</w:t>
      </w:r>
      <w:r>
        <w:rPr>
          <w:rFonts w:hint="eastAsia" w:ascii="仿宋" w:hAnsi="仿宋" w:eastAsia="仿宋"/>
          <w:sz w:val="32"/>
          <w:szCs w:val="32"/>
          <w:lang w:val="en-US" w:eastAsia="zh-CN"/>
        </w:rPr>
        <w:t>26.26</w:t>
      </w:r>
      <w:r>
        <w:rPr>
          <w:rFonts w:hint="eastAsia" w:ascii="仿宋" w:hAnsi="仿宋" w:eastAsia="仿宋"/>
          <w:sz w:val="32"/>
          <w:szCs w:val="32"/>
        </w:rPr>
        <w:t>万元，主要包括：基本工资</w:t>
      </w:r>
      <w:r>
        <w:rPr>
          <w:rFonts w:hint="eastAsia" w:ascii="仿宋" w:hAnsi="仿宋" w:eastAsia="仿宋"/>
          <w:sz w:val="32"/>
          <w:szCs w:val="32"/>
          <w:lang w:val="en-US" w:eastAsia="zh-CN"/>
        </w:rPr>
        <w:t>17.29万元</w:t>
      </w:r>
      <w:r>
        <w:rPr>
          <w:rFonts w:hint="eastAsia" w:ascii="仿宋" w:hAnsi="仿宋" w:eastAsia="仿宋"/>
          <w:sz w:val="32"/>
          <w:szCs w:val="32"/>
        </w:rPr>
        <w:t>、机关事业单位基本养老保险缴费</w:t>
      </w:r>
      <w:r>
        <w:rPr>
          <w:rFonts w:hint="eastAsia" w:ascii="仿宋" w:hAnsi="仿宋" w:eastAsia="仿宋"/>
          <w:sz w:val="32"/>
          <w:szCs w:val="32"/>
          <w:lang w:val="en-US" w:eastAsia="zh-CN"/>
        </w:rPr>
        <w:t>3.56万元</w:t>
      </w:r>
      <w:r>
        <w:rPr>
          <w:rFonts w:hint="eastAsia" w:ascii="仿宋" w:hAnsi="仿宋" w:eastAsia="仿宋"/>
          <w:sz w:val="32"/>
          <w:szCs w:val="32"/>
        </w:rPr>
        <w:t>、职业</w:t>
      </w:r>
      <w:r>
        <w:rPr>
          <w:rFonts w:hint="eastAsia" w:ascii="仿宋" w:hAnsi="仿宋" w:eastAsia="仿宋"/>
          <w:sz w:val="32"/>
          <w:szCs w:val="32"/>
          <w:lang w:eastAsia="zh-CN"/>
        </w:rPr>
        <w:t>基本医疗保险缴费</w:t>
      </w:r>
      <w:r>
        <w:rPr>
          <w:rFonts w:hint="eastAsia" w:ascii="仿宋" w:hAnsi="仿宋" w:eastAsia="仿宋"/>
          <w:sz w:val="32"/>
          <w:szCs w:val="32"/>
          <w:lang w:val="en-US" w:eastAsia="zh-CN"/>
        </w:rPr>
        <w:t>2.62万元</w:t>
      </w:r>
      <w:r>
        <w:rPr>
          <w:rFonts w:hint="eastAsia" w:ascii="仿宋" w:hAnsi="仿宋" w:eastAsia="仿宋"/>
          <w:sz w:val="32"/>
          <w:szCs w:val="32"/>
        </w:rPr>
        <w:t>、其他社会保障缴费</w:t>
      </w:r>
      <w:r>
        <w:rPr>
          <w:rFonts w:hint="eastAsia" w:ascii="仿宋" w:hAnsi="仿宋" w:eastAsia="仿宋"/>
          <w:sz w:val="32"/>
          <w:szCs w:val="32"/>
          <w:lang w:val="en-US" w:eastAsia="zh-CN"/>
        </w:rPr>
        <w:t>0.38万元</w:t>
      </w:r>
      <w:r>
        <w:rPr>
          <w:rFonts w:hint="eastAsia" w:ascii="仿宋" w:hAnsi="仿宋" w:eastAsia="仿宋"/>
          <w:sz w:val="32"/>
          <w:szCs w:val="32"/>
        </w:rPr>
        <w:t>、医疗费</w:t>
      </w:r>
      <w:r>
        <w:rPr>
          <w:rFonts w:hint="eastAsia" w:ascii="仿宋" w:hAnsi="仿宋" w:eastAsia="仿宋"/>
          <w:sz w:val="32"/>
          <w:szCs w:val="32"/>
          <w:lang w:val="en-US" w:eastAsia="zh-CN"/>
        </w:rPr>
        <w:t>2.41万元</w:t>
      </w:r>
      <w:r>
        <w:rPr>
          <w:rFonts w:hint="eastAsia" w:ascii="仿宋" w:hAnsi="仿宋" w:eastAsia="仿宋"/>
          <w:sz w:val="32"/>
          <w:szCs w:val="32"/>
        </w:rPr>
        <w:t>。</w:t>
      </w:r>
    </w:p>
    <w:p w14:paraId="436C43EA">
      <w:pPr>
        <w:spacing w:line="600" w:lineRule="exact"/>
        <w:ind w:firstLine="645"/>
        <w:rPr>
          <w:rFonts w:hint="eastAsia" w:ascii="仿宋" w:hAnsi="仿宋" w:eastAsia="仿宋"/>
          <w:sz w:val="32"/>
          <w:szCs w:val="32"/>
        </w:rPr>
      </w:pPr>
      <w:r>
        <w:rPr>
          <w:rFonts w:hint="eastAsia" w:ascii="仿宋" w:hAnsi="仿宋" w:eastAsia="仿宋"/>
          <w:sz w:val="32"/>
          <w:szCs w:val="32"/>
        </w:rPr>
        <w:t>公用经费</w:t>
      </w:r>
      <w:r>
        <w:rPr>
          <w:rFonts w:hint="eastAsia" w:ascii="仿宋" w:hAnsi="仿宋" w:eastAsia="仿宋"/>
          <w:sz w:val="32"/>
          <w:szCs w:val="32"/>
          <w:lang w:val="en-US" w:eastAsia="zh-CN"/>
        </w:rPr>
        <w:t>20.60</w:t>
      </w:r>
      <w:r>
        <w:rPr>
          <w:rFonts w:hint="eastAsia" w:ascii="仿宋" w:hAnsi="仿宋" w:eastAsia="仿宋"/>
          <w:sz w:val="32"/>
          <w:szCs w:val="32"/>
        </w:rPr>
        <w:t>万元，主要包括：办公费</w:t>
      </w:r>
      <w:r>
        <w:rPr>
          <w:rFonts w:hint="eastAsia" w:ascii="仿宋" w:hAnsi="仿宋" w:eastAsia="仿宋"/>
          <w:sz w:val="32"/>
          <w:szCs w:val="32"/>
          <w:lang w:val="en-US" w:eastAsia="zh-CN"/>
        </w:rPr>
        <w:t>0.18万元</w:t>
      </w:r>
      <w:r>
        <w:rPr>
          <w:rFonts w:hint="eastAsia" w:ascii="仿宋" w:hAnsi="仿宋" w:eastAsia="仿宋"/>
          <w:sz w:val="32"/>
          <w:szCs w:val="32"/>
        </w:rPr>
        <w:t>、差旅费</w:t>
      </w:r>
      <w:r>
        <w:rPr>
          <w:rFonts w:hint="eastAsia" w:ascii="仿宋" w:hAnsi="仿宋" w:eastAsia="仿宋"/>
          <w:sz w:val="32"/>
          <w:szCs w:val="32"/>
          <w:lang w:val="en-US" w:eastAsia="zh-CN"/>
        </w:rPr>
        <w:t>0.37万元</w:t>
      </w:r>
      <w:r>
        <w:rPr>
          <w:rFonts w:hint="eastAsia" w:ascii="仿宋" w:hAnsi="仿宋" w:eastAsia="仿宋"/>
          <w:sz w:val="32"/>
          <w:szCs w:val="32"/>
        </w:rPr>
        <w:t>、维修（护）费</w:t>
      </w:r>
      <w:r>
        <w:rPr>
          <w:rFonts w:hint="eastAsia" w:ascii="仿宋" w:hAnsi="仿宋" w:eastAsia="仿宋"/>
          <w:sz w:val="32"/>
          <w:szCs w:val="32"/>
          <w:lang w:val="en-US" w:eastAsia="zh-CN"/>
        </w:rPr>
        <w:t>20.05万元</w:t>
      </w:r>
      <w:r>
        <w:rPr>
          <w:rFonts w:hint="eastAsia" w:ascii="仿宋" w:hAnsi="仿宋" w:eastAsia="仿宋"/>
          <w:sz w:val="32"/>
          <w:szCs w:val="32"/>
        </w:rPr>
        <w:t>。</w:t>
      </w:r>
    </w:p>
    <w:p w14:paraId="350D94AB">
      <w:pPr>
        <w:spacing w:line="600" w:lineRule="exact"/>
        <w:ind w:firstLine="640"/>
        <w:outlineLvl w:val="1"/>
        <w:rPr>
          <w:rStyle w:val="21"/>
          <w:rFonts w:ascii="黑体" w:hAnsi="黑体" w:eastAsia="黑体"/>
          <w:b w:val="0"/>
        </w:rPr>
      </w:pPr>
      <w:r>
        <w:rPr>
          <w:rFonts w:hint="eastAsia" w:ascii="黑体" w:eastAsia="黑体"/>
          <w:sz w:val="32"/>
          <w:szCs w:val="32"/>
        </w:rPr>
        <w:t>七、</w:t>
      </w:r>
      <w:r>
        <w:rPr>
          <w:rStyle w:val="21"/>
          <w:rFonts w:hint="eastAsia" w:ascii="黑体" w:hAnsi="黑体" w:eastAsia="黑体"/>
          <w:b w:val="0"/>
        </w:rPr>
        <w:t>财政拨款</w:t>
      </w:r>
      <w:r>
        <w:rPr>
          <w:rStyle w:val="21"/>
          <w:rFonts w:hint="eastAsia" w:ascii="黑体" w:hAnsi="黑体" w:eastAsia="黑体"/>
        </w:rPr>
        <w:t>“</w:t>
      </w:r>
      <w:r>
        <w:rPr>
          <w:rStyle w:val="21"/>
          <w:rFonts w:hint="eastAsia" w:ascii="黑体" w:hAnsi="黑体" w:eastAsia="黑体"/>
          <w:b w:val="0"/>
        </w:rPr>
        <w:t>三公”经费支出决算情况说明</w:t>
      </w:r>
    </w:p>
    <w:p w14:paraId="11F077A8">
      <w:pPr>
        <w:spacing w:line="600" w:lineRule="exact"/>
        <w:ind w:firstLine="640"/>
        <w:outlineLvl w:val="2"/>
        <w:rPr>
          <w:rFonts w:ascii="仿宋" w:hAnsi="仿宋" w:eastAsia="仿宋"/>
          <w:b/>
          <w:sz w:val="32"/>
          <w:szCs w:val="32"/>
        </w:rPr>
      </w:pPr>
      <w:r>
        <w:rPr>
          <w:rFonts w:hint="eastAsia" w:ascii="仿宋" w:hAnsi="仿宋" w:eastAsia="仿宋"/>
          <w:b/>
          <w:sz w:val="32"/>
          <w:szCs w:val="32"/>
        </w:rPr>
        <w:t>（一）“三公”经费财政拨款支出决算总体情况说明</w:t>
      </w:r>
    </w:p>
    <w:p w14:paraId="7B24F5A6">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2023年度“三公”经费财政拨款支出决算为</w:t>
      </w:r>
      <w:r>
        <w:rPr>
          <w:rFonts w:hint="eastAsia" w:ascii="仿宋" w:hAnsi="仿宋" w:eastAsia="仿宋"/>
          <w:sz w:val="32"/>
          <w:szCs w:val="32"/>
          <w:lang w:val="en-US" w:eastAsia="zh-CN"/>
        </w:rPr>
        <w:t>0</w:t>
      </w:r>
      <w:r>
        <w:rPr>
          <w:rFonts w:hint="eastAsia" w:ascii="仿宋" w:hAnsi="仿宋" w:eastAsia="仿宋"/>
          <w:sz w:val="32"/>
          <w:szCs w:val="32"/>
        </w:rPr>
        <w:t>万元，完成预算</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sz w:val="32"/>
          <w:szCs w:val="32"/>
          <w:lang w:eastAsia="zh-CN"/>
        </w:rPr>
        <w:t>与</w:t>
      </w:r>
      <w:r>
        <w:rPr>
          <w:rFonts w:hint="eastAsia" w:ascii="仿宋" w:hAnsi="仿宋" w:eastAsia="仿宋"/>
          <w:sz w:val="32"/>
          <w:szCs w:val="32"/>
        </w:rPr>
        <w:t>上年</w:t>
      </w:r>
      <w:r>
        <w:rPr>
          <w:rFonts w:hint="eastAsia" w:ascii="仿宋" w:hAnsi="仿宋" w:eastAsia="仿宋"/>
          <w:sz w:val="32"/>
          <w:szCs w:val="32"/>
          <w:lang w:eastAsia="zh-CN"/>
        </w:rPr>
        <w:t>持平</w:t>
      </w:r>
      <w:r>
        <w:rPr>
          <w:rFonts w:hint="eastAsia" w:ascii="仿宋" w:hAnsi="仿宋" w:eastAsia="仿宋"/>
          <w:sz w:val="32"/>
          <w:szCs w:val="32"/>
        </w:rPr>
        <w:t>。决算数与预算数持平的主要原因是本年无“三公”经费支出。</w:t>
      </w:r>
    </w:p>
    <w:p w14:paraId="389BDF88">
      <w:pPr>
        <w:spacing w:line="600" w:lineRule="exact"/>
        <w:ind w:firstLine="640"/>
        <w:outlineLvl w:val="2"/>
        <w:rPr>
          <w:rFonts w:ascii="仿宋" w:hAnsi="仿宋" w:eastAsia="仿宋"/>
          <w:b/>
          <w:sz w:val="32"/>
          <w:szCs w:val="32"/>
        </w:rPr>
      </w:pPr>
      <w:r>
        <w:rPr>
          <w:rFonts w:hint="eastAsia" w:ascii="仿宋" w:hAnsi="仿宋" w:eastAsia="仿宋"/>
          <w:b/>
          <w:sz w:val="32"/>
          <w:szCs w:val="32"/>
        </w:rPr>
        <w:t>（二）“三公”经费财政拨款支出决算具体情况说明</w:t>
      </w:r>
    </w:p>
    <w:p w14:paraId="0A4A0D63">
      <w:pPr>
        <w:spacing w:line="600" w:lineRule="exact"/>
        <w:ind w:firstLine="640"/>
        <w:rPr>
          <w:rFonts w:ascii="仿宋" w:hAnsi="仿宋" w:eastAsia="仿宋"/>
          <w:sz w:val="32"/>
          <w:szCs w:val="32"/>
        </w:rPr>
      </w:pPr>
      <w:r>
        <w:rPr>
          <w:rFonts w:hint="eastAsia" w:ascii="仿宋" w:hAnsi="仿宋" w:eastAsia="仿宋"/>
          <w:sz w:val="32"/>
          <w:szCs w:val="32"/>
        </w:rPr>
        <w:t>2023年度“三公”经费财政拨款支出决算中，因公出国（境）费支出决算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；公务接待费支出决算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。具体情况如下：</w:t>
      </w:r>
    </w:p>
    <w:p w14:paraId="7207E928">
      <w:pPr>
        <w:spacing w:line="600" w:lineRule="exact"/>
        <w:ind w:firstLine="640"/>
        <w:rPr>
          <w:rFonts w:hint="eastAsia" w:ascii="仿宋" w:hAnsi="仿宋" w:eastAsia="仿宋"/>
          <w:sz w:val="32"/>
          <w:szCs w:val="32"/>
        </w:rPr>
      </w:pPr>
      <w:r>
        <w:rPr>
          <w:rFonts w:hint="eastAsia" w:ascii="仿宋" w:hAnsi="仿宋" w:eastAsia="仿宋"/>
          <w:sz w:val="32"/>
          <w:szCs w:val="32"/>
        </w:rPr>
        <w:t>（图7：“三公”经费财政拨款支出结构）（饼状图）</w:t>
      </w:r>
    </w:p>
    <w:p w14:paraId="54D89685">
      <w:pPr>
        <w:pStyle w:val="2"/>
        <w:spacing w:after="0" w:line="240" w:lineRule="auto"/>
        <w:jc w:val="center"/>
      </w:pPr>
      <w:r>
        <w:rPr>
          <w:rFonts w:hint="eastAsia" w:ascii="仿宋" w:hAnsi="Cambria" w:eastAsia="仿宋" w:cs="仿宋"/>
          <w:sz w:val="32"/>
          <w:szCs w:val="32"/>
        </w:rPr>
        <w:drawing>
          <wp:inline distT="0" distB="0" distL="114300" distR="114300">
            <wp:extent cx="2908935" cy="2145030"/>
            <wp:effectExtent l="4445" t="4445" r="20320" b="22225"/>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6C6A20D1">
      <w:pPr>
        <w:spacing w:line="600" w:lineRule="exact"/>
        <w:ind w:firstLine="640"/>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sz w:val="32"/>
          <w:szCs w:val="32"/>
          <w:lang w:val="en-US" w:eastAsia="zh-CN"/>
        </w:rPr>
        <w:t>0</w:t>
      </w:r>
      <w:r>
        <w:rPr>
          <w:rFonts w:hint="eastAsia" w:ascii="仿宋_GB2312" w:eastAsia="仿宋_GB2312"/>
          <w:sz w:val="32"/>
          <w:szCs w:val="32"/>
        </w:rPr>
        <w:t>万元。</w:t>
      </w:r>
    </w:p>
    <w:p w14:paraId="50A6248A">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sz w:val="32"/>
          <w:szCs w:val="32"/>
          <w:lang w:val="en-US" w:eastAsia="zh-CN"/>
        </w:rPr>
        <w:t>0</w:t>
      </w:r>
      <w:r>
        <w:rPr>
          <w:rFonts w:hint="eastAsia" w:ascii="仿宋_GB2312" w:eastAsia="仿宋_GB2312"/>
          <w:sz w:val="32"/>
          <w:szCs w:val="32"/>
        </w:rPr>
        <w:t>万元。</w:t>
      </w:r>
    </w:p>
    <w:p w14:paraId="3F877048">
      <w:pPr>
        <w:spacing w:line="600" w:lineRule="exact"/>
        <w:ind w:firstLine="643" w:firstLineChars="200"/>
        <w:rPr>
          <w:rFonts w:hint="eastAsia"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sz w:val="32"/>
          <w:szCs w:val="32"/>
          <w:lang w:val="en-US" w:eastAsia="zh-CN"/>
        </w:rPr>
        <w:t>0</w:t>
      </w:r>
      <w:r>
        <w:rPr>
          <w:rFonts w:hint="eastAsia" w:ascii="仿宋_GB2312" w:eastAsia="仿宋_GB2312"/>
          <w:sz w:val="32"/>
          <w:szCs w:val="32"/>
        </w:rPr>
        <w:t>万元。</w:t>
      </w:r>
    </w:p>
    <w:p w14:paraId="17C28DFD">
      <w:pPr>
        <w:spacing w:line="600" w:lineRule="exact"/>
        <w:ind w:firstLine="640"/>
        <w:outlineLvl w:val="1"/>
        <w:rPr>
          <w:rStyle w:val="21"/>
          <w:rFonts w:ascii="黑体" w:hAnsi="黑体" w:eastAsia="黑体"/>
        </w:rPr>
      </w:pPr>
      <w:r>
        <w:rPr>
          <w:rFonts w:hint="eastAsia" w:ascii="黑体" w:eastAsia="黑体"/>
          <w:sz w:val="32"/>
          <w:szCs w:val="32"/>
        </w:rPr>
        <w:t>八、</w:t>
      </w:r>
      <w:r>
        <w:rPr>
          <w:rStyle w:val="21"/>
          <w:rFonts w:hint="eastAsia" w:ascii="黑体" w:hAnsi="黑体" w:eastAsia="黑体"/>
          <w:b w:val="0"/>
        </w:rPr>
        <w:t>政府性基金预算支出决算情况说明</w:t>
      </w:r>
    </w:p>
    <w:p w14:paraId="451F6EF5">
      <w:pPr>
        <w:spacing w:line="600" w:lineRule="exact"/>
        <w:ind w:firstLine="640"/>
        <w:rPr>
          <w:rFonts w:ascii="仿宋_GB2312" w:eastAsia="仿宋_GB2312"/>
          <w:sz w:val="32"/>
          <w:szCs w:val="32"/>
        </w:rPr>
      </w:pPr>
      <w:r>
        <w:rPr>
          <w:rFonts w:hint="eastAsia" w:ascii="仿宋_GB2312" w:eastAsia="仿宋_GB2312"/>
          <w:sz w:val="32"/>
          <w:szCs w:val="32"/>
        </w:rPr>
        <w:t>2023年度政府性基金预算财政拨款支出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14:paraId="67C04F27">
      <w:pPr>
        <w:spacing w:line="600" w:lineRule="exact"/>
        <w:ind w:firstLine="640" w:firstLineChars="200"/>
        <w:outlineLvl w:val="1"/>
        <w:rPr>
          <w:rStyle w:val="21"/>
          <w:rFonts w:ascii="黑体" w:hAnsi="黑体" w:eastAsia="黑体"/>
          <w:b w:val="0"/>
        </w:rPr>
      </w:pPr>
      <w:r>
        <w:rPr>
          <w:rStyle w:val="21"/>
          <w:rFonts w:hint="eastAsia" w:ascii="黑体" w:hAnsi="黑体" w:eastAsia="黑体"/>
          <w:b w:val="0"/>
        </w:rPr>
        <w:t>九、国有资本经营预算支出决算情况说明</w:t>
      </w:r>
    </w:p>
    <w:p w14:paraId="7610D16C">
      <w:pPr>
        <w:spacing w:line="600" w:lineRule="exact"/>
        <w:ind w:firstLine="640"/>
        <w:rPr>
          <w:rFonts w:ascii="仿宋_GB2312" w:eastAsia="仿宋_GB2312"/>
          <w:sz w:val="32"/>
          <w:szCs w:val="32"/>
        </w:rPr>
      </w:pPr>
      <w:r>
        <w:rPr>
          <w:rFonts w:hint="eastAsia" w:ascii="仿宋_GB2312" w:eastAsia="仿宋_GB2312"/>
          <w:sz w:val="32"/>
          <w:szCs w:val="32"/>
        </w:rPr>
        <w:t>2023年度国有资本经营预算财政拨款支出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14:paraId="63E987DA">
      <w:pPr>
        <w:spacing w:line="600" w:lineRule="exact"/>
        <w:ind w:firstLine="640" w:firstLineChars="200"/>
        <w:outlineLvl w:val="1"/>
        <w:rPr>
          <w:rStyle w:val="21"/>
          <w:rFonts w:hint="eastAsia" w:ascii="黑体" w:hAnsi="黑体" w:eastAsia="黑体"/>
          <w:b w:val="0"/>
        </w:rPr>
      </w:pPr>
      <w:r>
        <w:rPr>
          <w:rStyle w:val="21"/>
          <w:rFonts w:hint="eastAsia" w:ascii="黑体" w:hAnsi="黑体" w:eastAsia="黑体"/>
          <w:b w:val="0"/>
        </w:rPr>
        <w:t>十、其他重要事项的情况说明</w:t>
      </w:r>
    </w:p>
    <w:p w14:paraId="045716DD">
      <w:pPr>
        <w:spacing w:line="600" w:lineRule="exact"/>
        <w:ind w:firstLine="643" w:firstLineChars="200"/>
        <w:outlineLvl w:val="2"/>
        <w:rPr>
          <w:rFonts w:ascii="仿宋" w:hAnsi="仿宋" w:eastAsia="仿宋"/>
          <w:sz w:val="32"/>
          <w:szCs w:val="32"/>
        </w:rPr>
      </w:pPr>
      <w:r>
        <w:rPr>
          <w:rFonts w:hint="eastAsia" w:ascii="仿宋" w:hAnsi="仿宋" w:eastAsia="仿宋"/>
          <w:b/>
          <w:sz w:val="32"/>
          <w:szCs w:val="32"/>
        </w:rPr>
        <w:t>（一）机关运行经费支出情况</w:t>
      </w:r>
    </w:p>
    <w:p w14:paraId="2B68FD10">
      <w:pPr>
        <w:spacing w:line="60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2023年度，</w:t>
      </w:r>
      <w:r>
        <w:rPr>
          <w:rFonts w:hint="eastAsia" w:ascii="仿宋_GB2312" w:hAnsi="Cambria" w:eastAsia="仿宋_GB2312" w:cs="仿宋_GB2312"/>
          <w:color w:val="000000"/>
          <w:sz w:val="32"/>
          <w:szCs w:val="32"/>
          <w:lang w:val="zh-CN"/>
        </w:rPr>
        <w:t>盐边县良种场机关运行经费支出</w:t>
      </w:r>
      <w:r>
        <w:rPr>
          <w:rFonts w:ascii="仿宋_GB2312" w:hAnsi="Cambria" w:eastAsia="仿宋_GB2312" w:cs="仿宋_GB2312"/>
          <w:color w:val="000000"/>
          <w:sz w:val="32"/>
          <w:szCs w:val="32"/>
          <w:lang w:val="zh-CN"/>
        </w:rPr>
        <w:t>0</w:t>
      </w:r>
      <w:r>
        <w:rPr>
          <w:rFonts w:hint="eastAsia" w:ascii="仿宋_GB2312" w:hAnsi="Cambria" w:eastAsia="仿宋_GB2312" w:cs="仿宋_GB2312"/>
          <w:color w:val="000000"/>
          <w:sz w:val="32"/>
          <w:szCs w:val="32"/>
          <w:lang w:val="zh-CN"/>
        </w:rPr>
        <w:t>万元，</w:t>
      </w:r>
      <w:r>
        <w:rPr>
          <w:rFonts w:hint="eastAsia" w:ascii="仿宋_GB2312" w:hAnsi="Cambria" w:eastAsia="仿宋_GB2312" w:cs="仿宋_GB2312"/>
          <w:sz w:val="32"/>
          <w:szCs w:val="32"/>
        </w:rPr>
        <w:t>与</w:t>
      </w:r>
      <w:r>
        <w:rPr>
          <w:rFonts w:ascii="仿宋_GB2312" w:hAnsi="Cambria" w:eastAsia="仿宋_GB2312" w:cs="仿宋_GB2312"/>
          <w:sz w:val="32"/>
          <w:szCs w:val="32"/>
        </w:rPr>
        <w:t>202</w:t>
      </w:r>
      <w:r>
        <w:rPr>
          <w:rFonts w:hint="eastAsia" w:ascii="仿宋_GB2312" w:hAnsi="Cambria" w:eastAsia="仿宋_GB2312" w:cs="仿宋_GB2312"/>
          <w:sz w:val="32"/>
          <w:szCs w:val="32"/>
          <w:lang w:val="en-US" w:eastAsia="zh-CN"/>
        </w:rPr>
        <w:t>2</w:t>
      </w:r>
      <w:r>
        <w:rPr>
          <w:rFonts w:hint="eastAsia" w:ascii="仿宋_GB2312" w:hAnsi="Cambria" w:eastAsia="仿宋_GB2312" w:cs="仿宋_GB2312"/>
          <w:sz w:val="32"/>
          <w:szCs w:val="32"/>
        </w:rPr>
        <w:t>年决算数持平</w:t>
      </w:r>
      <w:r>
        <w:rPr>
          <w:rFonts w:hint="eastAsia" w:ascii="仿宋_GB2312" w:hAnsi="Cambria" w:eastAsia="仿宋_GB2312" w:cs="仿宋_GB2312"/>
          <w:sz w:val="32"/>
          <w:szCs w:val="32"/>
          <w:lang w:eastAsia="zh-CN"/>
        </w:rPr>
        <w:t>。</w:t>
      </w:r>
    </w:p>
    <w:p w14:paraId="08F6054A">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（二）政府采购支出情况</w:t>
      </w:r>
    </w:p>
    <w:p w14:paraId="5CD8AA18">
      <w:pPr>
        <w:spacing w:line="600" w:lineRule="exact"/>
        <w:ind w:firstLine="640" w:firstLineChars="200"/>
        <w:rPr>
          <w:rFonts w:ascii="仿宋_GB2312" w:eastAsia="仿宋_GB2312"/>
          <w:sz w:val="32"/>
          <w:szCs w:val="32"/>
        </w:rPr>
      </w:pPr>
      <w:r>
        <w:rPr>
          <w:rFonts w:hint="eastAsia" w:ascii="仿宋_GB2312" w:eastAsia="仿宋_GB2312"/>
          <w:sz w:val="32"/>
          <w:szCs w:val="32"/>
        </w:rPr>
        <w:t>2023年度，</w:t>
      </w:r>
      <w:r>
        <w:rPr>
          <w:rFonts w:hint="eastAsia" w:ascii="仿宋_GB2312" w:hAnsi="Cambria" w:eastAsia="仿宋_GB2312" w:cs="仿宋_GB2312"/>
          <w:color w:val="000000"/>
          <w:sz w:val="32"/>
          <w:szCs w:val="32"/>
          <w:lang w:val="zh-CN"/>
        </w:rPr>
        <w:t>盐边县良种场政府采购支出总额</w:t>
      </w:r>
      <w:r>
        <w:rPr>
          <w:rFonts w:ascii="仿宋_GB2312" w:hAnsi="Cambria" w:eastAsia="仿宋_GB2312" w:cs="仿宋_GB2312"/>
          <w:color w:val="000000"/>
          <w:sz w:val="32"/>
          <w:szCs w:val="32"/>
          <w:lang w:val="zh-CN"/>
        </w:rPr>
        <w:t>0</w:t>
      </w:r>
      <w:r>
        <w:rPr>
          <w:rFonts w:hint="eastAsia" w:ascii="仿宋_GB2312" w:hAnsi="Cambria" w:eastAsia="仿宋_GB2312" w:cs="仿宋_GB2312"/>
          <w:color w:val="000000"/>
          <w:sz w:val="32"/>
          <w:szCs w:val="32"/>
          <w:lang w:val="zh-CN"/>
        </w:rPr>
        <w:t>万元。</w:t>
      </w:r>
    </w:p>
    <w:p w14:paraId="3BFC24E1">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（三）国有资产占有使用情况</w:t>
      </w:r>
    </w:p>
    <w:p w14:paraId="1564E8F0">
      <w:pPr>
        <w:autoSpaceDE w:val="0"/>
        <w:autoSpaceDN w:val="0"/>
        <w:adjustRightInd w:val="0"/>
        <w:spacing w:line="600" w:lineRule="exact"/>
        <w:ind w:firstLine="640" w:firstLineChars="200"/>
        <w:jc w:val="left"/>
        <w:rPr>
          <w:rFonts w:hint="eastAsia" w:ascii="仿宋_GB2312" w:eastAsia="仿宋_GB2312"/>
          <w:sz w:val="32"/>
          <w:szCs w:val="32"/>
        </w:rPr>
      </w:pP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_GB2312" w:hAnsi="Cambria" w:eastAsia="仿宋_GB2312" w:cs="仿宋_GB2312"/>
          <w:color w:val="000000"/>
          <w:sz w:val="32"/>
          <w:szCs w:val="32"/>
          <w:lang w:val="zh-CN"/>
        </w:rPr>
        <w:t>盐边县良种场共有车辆</w:t>
      </w:r>
      <w:r>
        <w:rPr>
          <w:rFonts w:ascii="仿宋_GB2312" w:hAnsi="Cambria" w:eastAsia="仿宋_GB2312" w:cs="仿宋_GB2312"/>
          <w:color w:val="000000"/>
          <w:sz w:val="32"/>
          <w:szCs w:val="32"/>
          <w:lang w:val="zh-CN"/>
        </w:rPr>
        <w:t>0</w:t>
      </w:r>
      <w:r>
        <w:rPr>
          <w:rFonts w:hint="eastAsia" w:ascii="仿宋_GB2312" w:hAnsi="Cambria" w:eastAsia="仿宋_GB2312" w:cs="仿宋_GB2312"/>
          <w:color w:val="000000"/>
          <w:sz w:val="32"/>
          <w:szCs w:val="32"/>
          <w:lang w:val="zh-CN"/>
        </w:rPr>
        <w:t>辆，单价</w:t>
      </w:r>
      <w:r>
        <w:rPr>
          <w:rFonts w:ascii="仿宋_GB2312" w:hAnsi="Cambria" w:eastAsia="仿宋_GB2312" w:cs="仿宋_GB2312"/>
          <w:color w:val="000000"/>
          <w:sz w:val="32"/>
          <w:szCs w:val="32"/>
          <w:lang w:val="zh-CN"/>
        </w:rPr>
        <w:t>100</w:t>
      </w:r>
      <w:r>
        <w:rPr>
          <w:rFonts w:hint="eastAsia" w:ascii="仿宋_GB2312" w:hAnsi="Cambria" w:eastAsia="仿宋_GB2312" w:cs="仿宋_GB2312"/>
          <w:color w:val="000000"/>
          <w:sz w:val="32"/>
          <w:szCs w:val="32"/>
          <w:lang w:val="zh-CN"/>
        </w:rPr>
        <w:t>万元（含）以上设备</w:t>
      </w:r>
      <w:r>
        <w:rPr>
          <w:rFonts w:ascii="仿宋_GB2312" w:hAnsi="Cambria" w:eastAsia="仿宋_GB2312" w:cs="仿宋_GB2312"/>
          <w:color w:val="000000"/>
          <w:sz w:val="32"/>
          <w:szCs w:val="32"/>
          <w:lang w:val="zh-CN"/>
        </w:rPr>
        <w:t>0</w:t>
      </w:r>
      <w:r>
        <w:rPr>
          <w:rFonts w:hint="eastAsia" w:ascii="仿宋_GB2312" w:hAnsi="Cambria" w:eastAsia="仿宋_GB2312" w:cs="仿宋_GB2312"/>
          <w:color w:val="000000"/>
          <w:sz w:val="32"/>
          <w:szCs w:val="32"/>
          <w:lang w:val="zh-CN"/>
        </w:rPr>
        <w:t>台（套</w:t>
      </w:r>
      <w:r>
        <w:rPr>
          <w:rFonts w:ascii="仿宋_GB2312" w:hAnsi="Cambria" w:eastAsia="仿宋_GB2312" w:cs="仿宋_GB2312"/>
          <w:color w:val="000000"/>
          <w:sz w:val="32"/>
          <w:szCs w:val="32"/>
          <w:lang w:val="zh-CN"/>
        </w:rPr>
        <w:t>)</w:t>
      </w:r>
      <w:r>
        <w:rPr>
          <w:rFonts w:hint="eastAsia" w:ascii="仿宋_GB2312" w:hAnsi="Cambria" w:eastAsia="仿宋_GB2312" w:cs="仿宋_GB2312"/>
          <w:color w:val="000000"/>
          <w:sz w:val="32"/>
          <w:szCs w:val="32"/>
          <w:lang w:val="zh-CN"/>
        </w:rPr>
        <w:t>。</w:t>
      </w:r>
    </w:p>
    <w:p w14:paraId="2D2738FA">
      <w:pPr>
        <w:autoSpaceDE w:val="0"/>
        <w:autoSpaceDN w:val="0"/>
        <w:adjustRightInd w:val="0"/>
        <w:spacing w:line="600" w:lineRule="exact"/>
        <w:ind w:firstLine="643" w:firstLineChars="200"/>
        <w:jc w:val="left"/>
        <w:outlineLvl w:val="2"/>
        <w:rPr>
          <w:rFonts w:hint="eastAsia" w:ascii="仿宋" w:hAnsi="仿宋" w:eastAsia="仿宋"/>
          <w:b/>
          <w:sz w:val="32"/>
          <w:szCs w:val="32"/>
        </w:rPr>
      </w:pPr>
      <w:r>
        <w:rPr>
          <w:rFonts w:hint="eastAsia" w:ascii="仿宋" w:hAnsi="仿宋" w:eastAsia="仿宋"/>
          <w:b/>
          <w:sz w:val="32"/>
          <w:szCs w:val="32"/>
        </w:rPr>
        <w:t>（四）预算绩效管理情况</w:t>
      </w:r>
    </w:p>
    <w:p w14:paraId="1E8FEFE1">
      <w:pPr>
        <w:spacing w:line="600" w:lineRule="exact"/>
        <w:ind w:firstLine="640" w:firstLineChars="200"/>
        <w:rPr>
          <w:rFonts w:hint="eastAsia" w:ascii="仿宋_GB2312" w:hAnsi="Times New Roman" w:eastAsia="仿宋_GB2312"/>
          <w:sz w:val="32"/>
          <w:szCs w:val="32"/>
        </w:rPr>
      </w:pPr>
      <w:r>
        <w:rPr>
          <w:rFonts w:hint="eastAsia" w:ascii="仿宋_GB2312" w:hAnsi="Times New Roman" w:eastAsia="仿宋_GB2312"/>
          <w:sz w:val="32"/>
          <w:szCs w:val="32"/>
        </w:rPr>
        <w:t>根据预算绩效管理要求，本单位在2023年度预算编制阶段，</w:t>
      </w:r>
      <w:r>
        <w:rPr>
          <w:rFonts w:hint="eastAsia" w:ascii="仿宋_GB2312" w:hAnsi="Cambria" w:eastAsia="仿宋_GB2312" w:cs="仿宋_GB2312"/>
          <w:sz w:val="32"/>
          <w:szCs w:val="32"/>
        </w:rPr>
        <w:t>对</w:t>
      </w:r>
      <w:r>
        <w:rPr>
          <w:rFonts w:ascii="仿宋_GB2312" w:hAnsi="Cambria" w:eastAsia="仿宋_GB2312" w:cs="仿宋_GB2312"/>
          <w:sz w:val="32"/>
          <w:szCs w:val="32"/>
        </w:rPr>
        <w:t>202</w:t>
      </w:r>
      <w:r>
        <w:rPr>
          <w:rFonts w:hint="eastAsia" w:ascii="仿宋_GB2312" w:hAnsi="Cambria" w:eastAsia="仿宋_GB2312" w:cs="仿宋_GB2312"/>
          <w:sz w:val="32"/>
          <w:szCs w:val="32"/>
          <w:lang w:val="en-US" w:eastAsia="zh-CN"/>
        </w:rPr>
        <w:t>3</w:t>
      </w:r>
      <w:r>
        <w:rPr>
          <w:rFonts w:hint="eastAsia" w:ascii="仿宋_GB2312" w:hAnsi="Cambria" w:eastAsia="仿宋_GB2312" w:cs="仿宋_GB2312"/>
          <w:sz w:val="32"/>
          <w:szCs w:val="32"/>
        </w:rPr>
        <w:t>年度一般公共预算等全面开展绩效自评，绩效自评报告详见第四部分附件。</w:t>
      </w:r>
    </w:p>
    <w:p w14:paraId="6EF662F8">
      <w:pPr>
        <w:spacing w:line="600" w:lineRule="exact"/>
        <w:ind w:firstLine="640" w:firstLineChars="200"/>
        <w:rPr>
          <w:rFonts w:hint="eastAsia" w:ascii="仿宋_GB2312" w:hAnsi="Times New Roman" w:eastAsia="仿宋_GB2312"/>
          <w:sz w:val="32"/>
          <w:szCs w:val="32"/>
        </w:rPr>
      </w:pPr>
      <w:r>
        <w:rPr>
          <w:rFonts w:hint="eastAsia" w:ascii="仿宋_GB2312" w:hAnsi="Times New Roman" w:eastAsia="仿宋_GB2312"/>
          <w:sz w:val="32"/>
          <w:szCs w:val="32"/>
        </w:rPr>
        <w:br w:type="page"/>
      </w:r>
    </w:p>
    <w:p w14:paraId="6937E605">
      <w:pPr>
        <w:spacing w:line="600" w:lineRule="exact"/>
        <w:jc w:val="center"/>
        <w:outlineLvl w:val="0"/>
        <w:rPr>
          <w:rStyle w:val="20"/>
          <w:rFonts w:ascii="黑体" w:hAnsi="黑体" w:eastAsia="黑体"/>
          <w:b w:val="0"/>
        </w:rPr>
      </w:pPr>
      <w:r>
        <w:rPr>
          <w:rFonts w:hint="eastAsia" w:ascii="黑体" w:hAnsi="黑体" w:eastAsia="黑体"/>
          <w:sz w:val="44"/>
          <w:szCs w:val="44"/>
        </w:rPr>
        <w:t>第三部分  名</w:t>
      </w:r>
      <w:r>
        <w:rPr>
          <w:rStyle w:val="20"/>
          <w:rFonts w:hint="eastAsia" w:ascii="黑体" w:hAnsi="黑体" w:eastAsia="黑体"/>
          <w:b w:val="0"/>
        </w:rPr>
        <w:t>词解释</w:t>
      </w:r>
    </w:p>
    <w:p w14:paraId="6170459A">
      <w:pPr>
        <w:pStyle w:val="29"/>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14:paraId="7EE8258A">
      <w:pPr>
        <w:pStyle w:val="29"/>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14:paraId="433EF699">
      <w:pPr>
        <w:pStyle w:val="29"/>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w:t>
      </w:r>
    </w:p>
    <w:p w14:paraId="0E49EED8">
      <w:pPr>
        <w:pStyle w:val="29"/>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w:t>
      </w:r>
    </w:p>
    <w:p w14:paraId="19829DBF">
      <w:pPr>
        <w:pStyle w:val="29"/>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hAnsi="华文中宋" w:eastAsia="仿宋_GB2312"/>
          <w:sz w:val="32"/>
          <w:szCs w:val="32"/>
        </w:rPr>
        <w:t>使用非财政拨款结余（含专用结余）</w:t>
      </w:r>
      <w:r>
        <w:rPr>
          <w:rFonts w:hint="eastAsia" w:ascii="仿宋_GB2312" w:eastAsia="仿宋_GB2312"/>
          <w:color w:val="auto"/>
          <w:sz w:val="32"/>
          <w:szCs w:val="32"/>
        </w:rPr>
        <w:t>：指事业单位使用以前年度积累的非财政拨款结余弥补当年收支差额的金额。</w:t>
      </w:r>
      <w:r>
        <w:rPr>
          <w:rFonts w:ascii="仿宋_GB2312" w:eastAsia="仿宋_GB2312"/>
          <w:color w:val="auto"/>
          <w:sz w:val="32"/>
          <w:szCs w:val="32"/>
        </w:rPr>
        <w:t xml:space="preserve"> </w:t>
      </w:r>
    </w:p>
    <w:p w14:paraId="4653E1B0">
      <w:pPr>
        <w:pStyle w:val="29"/>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p>
    <w:p w14:paraId="3D0230F0">
      <w:pPr>
        <w:pStyle w:val="29"/>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14:paraId="1C543D42">
      <w:pPr>
        <w:pStyle w:val="29"/>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14:paraId="1460CEFB">
      <w:pPr>
        <w:autoSpaceDE w:val="0"/>
        <w:autoSpaceDN w:val="0"/>
        <w:adjustRightInd w:val="0"/>
        <w:spacing w:line="576" w:lineRule="exact"/>
        <w:ind w:firstLine="641"/>
        <w:jc w:val="left"/>
        <w:rPr>
          <w:rFonts w:ascii="方正小标宋简体" w:hAnsi="Calibri" w:eastAsia="仿宋_GB2312"/>
          <w:kern w:val="0"/>
          <w:sz w:val="32"/>
          <w:szCs w:val="32"/>
        </w:rPr>
      </w:pPr>
      <w:r>
        <w:rPr>
          <w:rFonts w:ascii="仿宋_GB2312" w:hAnsi="Calibri" w:eastAsia="仿宋_GB2312"/>
          <w:kern w:val="0"/>
          <w:sz w:val="32"/>
          <w:szCs w:val="32"/>
        </w:rPr>
        <w:t>9.</w:t>
      </w:r>
      <w:r>
        <w:rPr>
          <w:rFonts w:hint="eastAsia" w:ascii="仿宋" w:hAnsi="仿宋" w:eastAsia="仿宋"/>
          <w:bCs/>
          <w:color w:val="000000"/>
          <w:kern w:val="0"/>
          <w:sz w:val="32"/>
          <w:szCs w:val="32"/>
        </w:rPr>
        <w:t>社会保障和就业（类）行政事业单位养老支出（款）机关事业单位基本养老保险缴费支出（项）</w:t>
      </w:r>
      <w:r>
        <w:rPr>
          <w:rFonts w:hint="eastAsia" w:ascii="仿宋_GB2312" w:hAnsi="Calibri" w:eastAsia="仿宋_GB2312"/>
          <w:kern w:val="0"/>
          <w:sz w:val="32"/>
          <w:szCs w:val="32"/>
        </w:rPr>
        <w:t>：</w:t>
      </w:r>
      <w:r>
        <w:rPr>
          <w:rFonts w:hint="eastAsia" w:ascii="方正小标宋简体" w:hAnsi="Calibri" w:eastAsia="仿宋_GB2312"/>
          <w:kern w:val="0"/>
          <w:sz w:val="32"/>
          <w:szCs w:val="32"/>
        </w:rPr>
        <w:t>反映机关事业单位实施养老保险制度由单位缴纳的基本养老保险费支出。</w:t>
      </w:r>
    </w:p>
    <w:p w14:paraId="6A0A5F9D">
      <w:pPr>
        <w:autoSpaceDE w:val="0"/>
        <w:autoSpaceDN w:val="0"/>
        <w:adjustRightInd w:val="0"/>
        <w:spacing w:line="576" w:lineRule="exact"/>
        <w:ind w:firstLine="641"/>
        <w:jc w:val="left"/>
        <w:rPr>
          <w:rFonts w:ascii="方正小标宋简体" w:hAnsi="Calibri" w:eastAsia="仿宋_GB2312"/>
          <w:kern w:val="0"/>
          <w:sz w:val="32"/>
          <w:szCs w:val="32"/>
        </w:rPr>
      </w:pPr>
      <w:r>
        <w:rPr>
          <w:rFonts w:hint="eastAsia" w:ascii="仿宋_GB2312" w:hAnsi="仿宋_GB2312" w:eastAsia="仿宋_GB2312" w:cs="仿宋_GB2312"/>
          <w:kern w:val="0"/>
          <w:sz w:val="32"/>
          <w:szCs w:val="32"/>
        </w:rPr>
        <w:t>10.</w:t>
      </w:r>
      <w:r>
        <w:rPr>
          <w:rFonts w:hint="eastAsia" w:ascii="方正小标宋简体" w:hAnsi="Calibri" w:eastAsia="仿宋_GB2312"/>
          <w:kern w:val="0"/>
          <w:sz w:val="32"/>
          <w:szCs w:val="32"/>
        </w:rPr>
        <w:t>卫生健康（类）行政事业单位医疗（款）事业单位医疗（项）：反映财政部门安排的事业单位基本医疗保险缴费经费，未参加医疗保险的事业单位的公费医疗经费，按国家规定享受离休人员待遇的医疗经费。</w:t>
      </w:r>
    </w:p>
    <w:p w14:paraId="6EE8AF64">
      <w:pPr>
        <w:autoSpaceDE w:val="0"/>
        <w:autoSpaceDN w:val="0"/>
        <w:adjustRightInd w:val="0"/>
        <w:spacing w:line="576" w:lineRule="exact"/>
        <w:ind w:firstLine="641"/>
        <w:jc w:val="left"/>
        <w:rPr>
          <w:rFonts w:ascii="方正小标宋简体" w:hAnsi="Calibri" w:eastAsia="仿宋_GB2312"/>
          <w:kern w:val="0"/>
          <w:sz w:val="32"/>
          <w:szCs w:val="32"/>
        </w:rPr>
      </w:pPr>
      <w:r>
        <w:rPr>
          <w:rFonts w:hint="eastAsia" w:ascii="仿宋_GB2312" w:hAnsi="仿宋_GB2312" w:eastAsia="仿宋_GB2312" w:cs="仿宋_GB2312"/>
          <w:kern w:val="0"/>
          <w:sz w:val="32"/>
          <w:szCs w:val="32"/>
        </w:rPr>
        <w:t>11.</w:t>
      </w:r>
      <w:r>
        <w:rPr>
          <w:rFonts w:hint="eastAsia" w:ascii="方正小标宋简体" w:hAnsi="Calibri" w:eastAsia="仿宋_GB2312"/>
          <w:kern w:val="0"/>
          <w:sz w:val="32"/>
          <w:szCs w:val="32"/>
        </w:rPr>
        <w:t>卫生健康（类）行政事业单位医疗（款）公务员医疗补助（项）：反映财政部门安排的公务员医疗补助经费。</w:t>
      </w:r>
    </w:p>
    <w:p w14:paraId="734F0A95">
      <w:pPr>
        <w:autoSpaceDE w:val="0"/>
        <w:autoSpaceDN w:val="0"/>
        <w:adjustRightInd w:val="0"/>
        <w:spacing w:line="576" w:lineRule="exact"/>
        <w:ind w:firstLine="641"/>
        <w:jc w:val="left"/>
        <w:rPr>
          <w:rFonts w:ascii="方正小标宋简体" w:hAnsi="Calibri" w:eastAsia="仿宋_GB2312"/>
          <w:kern w:val="0"/>
          <w:sz w:val="32"/>
          <w:szCs w:val="32"/>
        </w:rPr>
      </w:pPr>
      <w:r>
        <w:rPr>
          <w:rFonts w:hint="eastAsia" w:ascii="仿宋_GB2312" w:hAnsi="仿宋_GB2312" w:eastAsia="仿宋_GB2312" w:cs="仿宋_GB2312"/>
          <w:kern w:val="0"/>
          <w:sz w:val="32"/>
          <w:szCs w:val="32"/>
        </w:rPr>
        <w:t>12.</w:t>
      </w:r>
      <w:r>
        <w:rPr>
          <w:rFonts w:hint="eastAsia" w:ascii="方正小标宋简体" w:hAnsi="Calibri" w:eastAsia="仿宋_GB2312"/>
          <w:kern w:val="0"/>
          <w:sz w:val="32"/>
          <w:szCs w:val="32"/>
        </w:rPr>
        <w:t>农林水（类）农业农村（款）事业运行（项）：反映用于农业事业单位基本支出，事业单位设施、系统运行与资产维护等方面的支出。</w:t>
      </w:r>
    </w:p>
    <w:p w14:paraId="74407745">
      <w:pPr>
        <w:autoSpaceDE w:val="0"/>
        <w:autoSpaceDN w:val="0"/>
        <w:adjustRightInd w:val="0"/>
        <w:spacing w:line="576" w:lineRule="exact"/>
        <w:ind w:firstLine="641"/>
        <w:jc w:val="left"/>
        <w:rPr>
          <w:rFonts w:ascii="方正小标宋简体" w:hAnsi="Calibri" w:eastAsia="仿宋_GB2312"/>
          <w:kern w:val="0"/>
          <w:sz w:val="32"/>
          <w:szCs w:val="32"/>
        </w:rPr>
      </w:pPr>
      <w:r>
        <w:rPr>
          <w:rFonts w:hint="eastAsia" w:ascii="仿宋_GB2312" w:hAnsi="仿宋_GB2312" w:eastAsia="仿宋_GB2312" w:cs="仿宋_GB2312"/>
          <w:kern w:val="0"/>
          <w:sz w:val="32"/>
          <w:szCs w:val="32"/>
        </w:rPr>
        <w:t>13.</w:t>
      </w:r>
      <w:r>
        <w:rPr>
          <w:rFonts w:hint="eastAsia" w:ascii="方正小标宋简体" w:hAnsi="Calibri" w:eastAsia="仿宋_GB2312"/>
          <w:kern w:val="0"/>
          <w:sz w:val="32"/>
          <w:szCs w:val="32"/>
        </w:rPr>
        <w:t>基本支出：指为保障机构正常运转、完成日常工作任务而发生的人员支出和公用支出。</w:t>
      </w:r>
    </w:p>
    <w:p w14:paraId="3A6DAD4D">
      <w:pPr>
        <w:autoSpaceDE w:val="0"/>
        <w:autoSpaceDN w:val="0"/>
        <w:adjustRightInd w:val="0"/>
        <w:spacing w:line="576" w:lineRule="exact"/>
        <w:ind w:firstLine="641"/>
        <w:jc w:val="left"/>
        <w:rPr>
          <w:rFonts w:ascii="方正小标宋简体" w:hAnsi="Calibri" w:eastAsia="仿宋_GB2312"/>
          <w:kern w:val="0"/>
          <w:sz w:val="32"/>
          <w:szCs w:val="32"/>
        </w:rPr>
      </w:pPr>
      <w:r>
        <w:rPr>
          <w:rFonts w:hint="eastAsia" w:ascii="仿宋_GB2312" w:hAnsi="仿宋_GB2312" w:eastAsia="仿宋_GB2312" w:cs="仿宋_GB2312"/>
          <w:kern w:val="0"/>
          <w:sz w:val="32"/>
          <w:szCs w:val="32"/>
        </w:rPr>
        <w:t>14.</w:t>
      </w:r>
      <w:r>
        <w:rPr>
          <w:rFonts w:hint="eastAsia" w:ascii="方正小标宋简体" w:hAnsi="Calibri" w:eastAsia="仿宋_GB2312"/>
          <w:kern w:val="0"/>
          <w:sz w:val="32"/>
          <w:szCs w:val="32"/>
        </w:rPr>
        <w:t>项目支出：指在基本支出之外为完成特定行政任务和事业发展目标所发生的支出。</w:t>
      </w:r>
    </w:p>
    <w:p w14:paraId="7665C754">
      <w:pPr>
        <w:autoSpaceDE w:val="0"/>
        <w:autoSpaceDN w:val="0"/>
        <w:adjustRightInd w:val="0"/>
        <w:spacing w:line="576" w:lineRule="exact"/>
        <w:ind w:firstLine="641"/>
        <w:jc w:val="left"/>
        <w:rPr>
          <w:rFonts w:ascii="方正小标宋简体" w:hAnsi="Calibri" w:eastAsia="仿宋_GB2312"/>
          <w:kern w:val="0"/>
          <w:sz w:val="32"/>
          <w:szCs w:val="32"/>
        </w:rPr>
      </w:pPr>
      <w:r>
        <w:rPr>
          <w:rFonts w:hint="eastAsia" w:ascii="仿宋_GB2312" w:hAnsi="仿宋_GB2312" w:eastAsia="仿宋_GB2312" w:cs="仿宋_GB2312"/>
          <w:kern w:val="0"/>
          <w:sz w:val="32"/>
          <w:szCs w:val="32"/>
        </w:rPr>
        <w:t>15.</w:t>
      </w:r>
      <w:r>
        <w:rPr>
          <w:rFonts w:hint="eastAsia" w:ascii="方正小标宋简体" w:hAnsi="Calibri" w:eastAsia="仿宋_GB2312"/>
          <w:kern w:val="0"/>
          <w:sz w:val="32"/>
          <w:szCs w:val="32"/>
        </w:rPr>
        <w:t>经营支出：指事业单位在专业业务活动及其辅助活动之外开展非独立核算经营活动发生的支出。</w:t>
      </w:r>
    </w:p>
    <w:p w14:paraId="0E758A39">
      <w:pPr>
        <w:autoSpaceDE w:val="0"/>
        <w:autoSpaceDN w:val="0"/>
        <w:adjustRightInd w:val="0"/>
        <w:spacing w:line="576" w:lineRule="exact"/>
        <w:ind w:firstLine="641"/>
        <w:jc w:val="left"/>
        <w:rPr>
          <w:rFonts w:ascii="方正小标宋简体" w:hAnsi="Calibri" w:eastAsia="仿宋_GB2312"/>
          <w:kern w:val="0"/>
          <w:sz w:val="32"/>
          <w:szCs w:val="32"/>
        </w:rPr>
      </w:pPr>
      <w:r>
        <w:rPr>
          <w:rFonts w:hint="eastAsia" w:ascii="仿宋_GB2312" w:hAnsi="仿宋_GB2312" w:eastAsia="仿宋_GB2312" w:cs="仿宋_GB2312"/>
          <w:kern w:val="0"/>
          <w:sz w:val="32"/>
          <w:szCs w:val="32"/>
        </w:rPr>
        <w:t>16.</w:t>
      </w:r>
      <w:r>
        <w:rPr>
          <w:rFonts w:hint="eastAsia" w:ascii="方正小标宋简体" w:hAnsi="Calibri" w:eastAsia="仿宋_GB2312"/>
          <w:kern w:val="0"/>
          <w:sz w:val="32"/>
          <w:szCs w:val="32"/>
        </w:rPr>
        <w:t>“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56B9FFFA">
      <w:pPr>
        <w:autoSpaceDE w:val="0"/>
        <w:autoSpaceDN w:val="0"/>
        <w:adjustRightInd w:val="0"/>
        <w:spacing w:line="576" w:lineRule="exact"/>
        <w:ind w:firstLine="641"/>
        <w:jc w:val="left"/>
        <w:rPr>
          <w:rStyle w:val="20"/>
          <w:rFonts w:ascii="黑体" w:hAnsi="黑体" w:eastAsia="黑体"/>
          <w:b w:val="0"/>
        </w:rPr>
      </w:pPr>
      <w:r>
        <w:rPr>
          <w:rFonts w:hint="eastAsia" w:ascii="仿宋_GB2312" w:hAnsi="仿宋_GB2312" w:eastAsia="仿宋_GB2312" w:cs="仿宋_GB2312"/>
          <w:kern w:val="0"/>
          <w:sz w:val="32"/>
          <w:szCs w:val="32"/>
        </w:rPr>
        <w:t>17.</w:t>
      </w:r>
      <w:r>
        <w:rPr>
          <w:rFonts w:hint="eastAsia" w:ascii="方正小标宋简体" w:hAnsi="Calibri" w:eastAsia="仿宋_GB2312"/>
          <w:kern w:val="0"/>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r>
        <w:rPr>
          <w:rFonts w:ascii="宋体"/>
          <w:b/>
          <w:sz w:val="44"/>
          <w:szCs w:val="44"/>
        </w:rPr>
        <w:br w:type="page"/>
      </w:r>
      <w:r>
        <w:rPr>
          <w:rFonts w:hint="eastAsia" w:ascii="黑体" w:hAnsi="黑体" w:eastAsia="黑体"/>
          <w:sz w:val="44"/>
          <w:szCs w:val="44"/>
        </w:rPr>
        <w:t>第</w:t>
      </w:r>
      <w:r>
        <w:rPr>
          <w:rStyle w:val="20"/>
          <w:rFonts w:hint="eastAsia" w:ascii="黑体" w:hAnsi="黑体" w:eastAsia="黑体"/>
          <w:b w:val="0"/>
        </w:rPr>
        <w:t>四部分 附件</w:t>
      </w:r>
    </w:p>
    <w:p w14:paraId="47E1D1F1">
      <w:pPr>
        <w:spacing w:line="600" w:lineRule="exact"/>
        <w:jc w:val="center"/>
        <w:outlineLvl w:val="0"/>
        <w:rPr>
          <w:rFonts w:hint="default" w:ascii="仿宋_GB2312" w:hAnsi="仿宋_GB2312" w:eastAsia="仿宋_GB2312" w:cs="仿宋_GB2312"/>
          <w:color w:val="FF0000"/>
          <w:sz w:val="32"/>
          <w:szCs w:val="32"/>
          <w:lang w:val="en-US" w:eastAsia="zh-CN"/>
        </w:rPr>
      </w:pP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预算项目支出绩效自评表（2023年度）</w:t>
      </w:r>
      <w:r>
        <w:rPr>
          <w:rFonts w:hint="eastAsia" w:ascii="仿宋_GB2312" w:hAnsi="仿宋_GB2312" w:eastAsia="仿宋_GB2312" w:cs="仿宋_GB2312"/>
          <w:sz w:val="32"/>
          <w:szCs w:val="32"/>
          <w:lang w:val="en-US" w:eastAsia="zh-CN"/>
        </w:rPr>
        <w:t>见附件。</w:t>
      </w:r>
    </w:p>
    <w:p w14:paraId="155994C8">
      <w:pPr>
        <w:pStyle w:val="2"/>
        <w:rPr>
          <w:rFonts w:hint="eastAsia" w:ascii="仿宋_GB2312" w:eastAsia="仿宋_GB2312" w:cs="仿宋"/>
          <w:kern w:val="0"/>
          <w:sz w:val="32"/>
          <w:szCs w:val="32"/>
        </w:rPr>
      </w:pPr>
    </w:p>
    <w:p w14:paraId="694007AD">
      <w:pPr>
        <w:pStyle w:val="2"/>
        <w:rPr>
          <w:rFonts w:hint="eastAsia" w:ascii="仿宋_GB2312" w:eastAsia="仿宋_GB2312" w:cs="仿宋"/>
          <w:kern w:val="0"/>
          <w:sz w:val="32"/>
          <w:szCs w:val="32"/>
        </w:rPr>
      </w:pPr>
    </w:p>
    <w:p w14:paraId="41657606">
      <w:pPr>
        <w:pStyle w:val="2"/>
        <w:rPr>
          <w:rFonts w:hint="eastAsia" w:ascii="仿宋_GB2312" w:eastAsia="仿宋_GB2312" w:cs="仿宋"/>
          <w:kern w:val="0"/>
          <w:sz w:val="32"/>
          <w:szCs w:val="32"/>
        </w:rPr>
      </w:pPr>
    </w:p>
    <w:p w14:paraId="6FD9685B">
      <w:pPr>
        <w:pStyle w:val="2"/>
        <w:rPr>
          <w:rFonts w:hint="eastAsia" w:ascii="仿宋_GB2312" w:eastAsia="仿宋_GB2312" w:cs="仿宋"/>
          <w:kern w:val="0"/>
          <w:sz w:val="32"/>
          <w:szCs w:val="32"/>
        </w:rPr>
      </w:pPr>
    </w:p>
    <w:p w14:paraId="71ED0971">
      <w:pPr>
        <w:pStyle w:val="2"/>
        <w:rPr>
          <w:rFonts w:hint="eastAsia" w:ascii="仿宋_GB2312" w:eastAsia="仿宋_GB2312" w:cs="仿宋"/>
          <w:kern w:val="0"/>
          <w:sz w:val="32"/>
          <w:szCs w:val="32"/>
        </w:rPr>
      </w:pPr>
    </w:p>
    <w:p w14:paraId="5D822E05">
      <w:pPr>
        <w:pStyle w:val="2"/>
        <w:rPr>
          <w:rFonts w:hint="eastAsia" w:ascii="仿宋_GB2312" w:eastAsia="仿宋_GB2312" w:cs="仿宋"/>
          <w:kern w:val="0"/>
          <w:sz w:val="32"/>
          <w:szCs w:val="32"/>
        </w:rPr>
      </w:pPr>
    </w:p>
    <w:p w14:paraId="56454E47">
      <w:pPr>
        <w:pStyle w:val="2"/>
        <w:rPr>
          <w:rFonts w:hint="eastAsia" w:ascii="仿宋_GB2312" w:eastAsia="仿宋_GB2312" w:cs="仿宋"/>
          <w:kern w:val="0"/>
          <w:sz w:val="32"/>
          <w:szCs w:val="32"/>
        </w:rPr>
      </w:pPr>
    </w:p>
    <w:p w14:paraId="52F8F7E2">
      <w:pPr>
        <w:pStyle w:val="2"/>
        <w:rPr>
          <w:rFonts w:hint="eastAsia" w:ascii="仿宋_GB2312" w:eastAsia="仿宋_GB2312" w:cs="仿宋"/>
          <w:kern w:val="0"/>
          <w:sz w:val="32"/>
          <w:szCs w:val="32"/>
        </w:rPr>
      </w:pPr>
    </w:p>
    <w:p w14:paraId="51DA59CE">
      <w:pPr>
        <w:pStyle w:val="2"/>
        <w:rPr>
          <w:rFonts w:hint="eastAsia" w:ascii="仿宋_GB2312" w:eastAsia="仿宋_GB2312" w:cs="仿宋"/>
          <w:kern w:val="0"/>
          <w:sz w:val="32"/>
          <w:szCs w:val="32"/>
        </w:rPr>
      </w:pPr>
    </w:p>
    <w:p w14:paraId="043171FD">
      <w:pPr>
        <w:pStyle w:val="2"/>
        <w:rPr>
          <w:rFonts w:hint="eastAsia" w:ascii="仿宋_GB2312" w:eastAsia="仿宋_GB2312" w:cs="仿宋"/>
          <w:kern w:val="0"/>
          <w:sz w:val="32"/>
          <w:szCs w:val="32"/>
        </w:rPr>
      </w:pPr>
    </w:p>
    <w:p w14:paraId="7A2C02B7">
      <w:pPr>
        <w:rPr>
          <w:rFonts w:hint="eastAsia" w:ascii="黑体" w:hAnsi="黑体" w:eastAsia="黑体"/>
          <w:sz w:val="44"/>
          <w:szCs w:val="44"/>
        </w:rPr>
      </w:pPr>
      <w:r>
        <w:rPr>
          <w:rFonts w:hint="eastAsia" w:ascii="黑体" w:hAnsi="黑体" w:eastAsia="黑体"/>
          <w:sz w:val="44"/>
          <w:szCs w:val="44"/>
        </w:rPr>
        <w:br w:type="page"/>
      </w:r>
    </w:p>
    <w:p w14:paraId="3EC7197C">
      <w:pPr>
        <w:spacing w:line="600" w:lineRule="exact"/>
        <w:jc w:val="center"/>
        <w:outlineLvl w:val="0"/>
        <w:rPr>
          <w:rFonts w:hint="eastAsia" w:ascii="仿宋" w:hAnsi="仿宋" w:eastAsia="仿宋"/>
        </w:rPr>
      </w:pPr>
      <w:r>
        <w:rPr>
          <w:rFonts w:hint="eastAsia" w:ascii="黑体" w:hAnsi="黑体" w:eastAsia="黑体"/>
          <w:sz w:val="44"/>
          <w:szCs w:val="44"/>
        </w:rPr>
        <w:t>第</w:t>
      </w:r>
      <w:r>
        <w:rPr>
          <w:rStyle w:val="20"/>
          <w:rFonts w:hint="eastAsia" w:ascii="黑体" w:hAnsi="黑体" w:eastAsia="黑体"/>
          <w:b w:val="0"/>
        </w:rPr>
        <w:t>五部分 附表</w:t>
      </w:r>
    </w:p>
    <w:p w14:paraId="50A9E986">
      <w:pPr>
        <w:pStyle w:val="4"/>
        <w:rPr>
          <w:rFonts w:ascii="仿宋" w:hAnsi="仿宋" w:eastAsia="仿宋"/>
        </w:rPr>
      </w:pPr>
      <w:r>
        <w:rPr>
          <w:rFonts w:hint="eastAsia" w:ascii="仿宋" w:hAnsi="仿宋" w:eastAsia="仿宋"/>
          <w:b w:val="0"/>
        </w:rPr>
        <w:t>一、收</w:t>
      </w:r>
      <w:r>
        <w:rPr>
          <w:rStyle w:val="21"/>
          <w:rFonts w:hint="eastAsia" w:ascii="仿宋" w:hAnsi="仿宋" w:eastAsia="仿宋"/>
          <w:b w:val="0"/>
          <w:bCs w:val="0"/>
        </w:rPr>
        <w:t>入支出决算总表</w:t>
      </w:r>
    </w:p>
    <w:p w14:paraId="7FB6AD3E">
      <w:pPr>
        <w:pStyle w:val="4"/>
        <w:rPr>
          <w:rFonts w:ascii="仿宋" w:hAnsi="仿宋" w:eastAsia="仿宋"/>
        </w:rPr>
      </w:pPr>
      <w:r>
        <w:rPr>
          <w:rFonts w:hint="eastAsia" w:ascii="仿宋" w:hAnsi="仿宋" w:eastAsia="仿宋"/>
          <w:b w:val="0"/>
        </w:rPr>
        <w:t>二、收</w:t>
      </w:r>
      <w:r>
        <w:rPr>
          <w:rStyle w:val="21"/>
          <w:rFonts w:hint="eastAsia" w:ascii="仿宋" w:hAnsi="仿宋" w:eastAsia="仿宋"/>
          <w:b w:val="0"/>
          <w:bCs w:val="0"/>
        </w:rPr>
        <w:t>入决算表</w:t>
      </w:r>
    </w:p>
    <w:p w14:paraId="02B43376">
      <w:pPr>
        <w:pStyle w:val="4"/>
        <w:rPr>
          <w:rFonts w:ascii="仿宋" w:hAnsi="仿宋" w:eastAsia="仿宋"/>
        </w:rPr>
      </w:pPr>
      <w:r>
        <w:rPr>
          <w:rStyle w:val="21"/>
          <w:rFonts w:hint="eastAsia" w:ascii="仿宋" w:hAnsi="仿宋" w:eastAsia="仿宋"/>
          <w:b w:val="0"/>
          <w:bCs w:val="0"/>
        </w:rPr>
        <w:t>三、</w:t>
      </w:r>
      <w:r>
        <w:rPr>
          <w:rFonts w:hint="eastAsia" w:ascii="仿宋" w:hAnsi="仿宋" w:eastAsia="仿宋"/>
          <w:b w:val="0"/>
        </w:rPr>
        <w:t>支</w:t>
      </w:r>
      <w:r>
        <w:rPr>
          <w:rStyle w:val="21"/>
          <w:rFonts w:hint="eastAsia" w:ascii="仿宋" w:hAnsi="仿宋" w:eastAsia="仿宋"/>
          <w:b w:val="0"/>
          <w:bCs w:val="0"/>
        </w:rPr>
        <w:t>出决算表</w:t>
      </w:r>
    </w:p>
    <w:p w14:paraId="23E89281">
      <w:pPr>
        <w:pStyle w:val="4"/>
        <w:rPr>
          <w:rFonts w:ascii="仿宋" w:hAnsi="仿宋" w:eastAsia="仿宋"/>
          <w:b w:val="0"/>
        </w:rPr>
      </w:pPr>
      <w:r>
        <w:rPr>
          <w:rStyle w:val="21"/>
          <w:rFonts w:hint="eastAsia" w:ascii="仿宋" w:hAnsi="仿宋" w:eastAsia="仿宋"/>
          <w:b w:val="0"/>
          <w:bCs w:val="0"/>
        </w:rPr>
        <w:t>四、</w:t>
      </w:r>
      <w:r>
        <w:rPr>
          <w:rFonts w:hint="eastAsia" w:ascii="仿宋" w:hAnsi="仿宋" w:eastAsia="仿宋"/>
          <w:b w:val="0"/>
        </w:rPr>
        <w:t>财</w:t>
      </w:r>
      <w:r>
        <w:rPr>
          <w:rStyle w:val="21"/>
          <w:rFonts w:hint="eastAsia" w:ascii="仿宋" w:hAnsi="仿宋" w:eastAsia="仿宋"/>
          <w:b w:val="0"/>
          <w:bCs w:val="0"/>
        </w:rPr>
        <w:t>政拨款收入支出决算总表</w:t>
      </w:r>
    </w:p>
    <w:p w14:paraId="30EF9765">
      <w:pPr>
        <w:pStyle w:val="4"/>
        <w:rPr>
          <w:rStyle w:val="21"/>
          <w:rFonts w:ascii="仿宋" w:hAnsi="仿宋" w:eastAsia="仿宋"/>
          <w:b w:val="0"/>
          <w:bCs w:val="0"/>
        </w:rPr>
      </w:pPr>
      <w:r>
        <w:rPr>
          <w:rStyle w:val="21"/>
          <w:rFonts w:hint="eastAsia" w:ascii="仿宋" w:hAnsi="仿宋" w:eastAsia="仿宋"/>
          <w:b w:val="0"/>
          <w:bCs w:val="0"/>
        </w:rPr>
        <w:t>五、</w:t>
      </w:r>
      <w:r>
        <w:rPr>
          <w:rFonts w:hint="eastAsia" w:ascii="仿宋" w:hAnsi="仿宋" w:eastAsia="仿宋"/>
          <w:b w:val="0"/>
        </w:rPr>
        <w:t>财</w:t>
      </w:r>
      <w:r>
        <w:rPr>
          <w:rStyle w:val="21"/>
          <w:rFonts w:hint="eastAsia" w:ascii="仿宋" w:hAnsi="仿宋" w:eastAsia="仿宋"/>
          <w:b w:val="0"/>
          <w:bCs w:val="0"/>
        </w:rPr>
        <w:t>政拨款支出决算明细表</w:t>
      </w:r>
    </w:p>
    <w:p w14:paraId="29B9EE2C">
      <w:pPr>
        <w:pStyle w:val="4"/>
        <w:rPr>
          <w:rFonts w:ascii="仿宋" w:hAnsi="仿宋" w:eastAsia="仿宋"/>
        </w:rPr>
      </w:pPr>
      <w:r>
        <w:rPr>
          <w:rStyle w:val="21"/>
          <w:rFonts w:hint="eastAsia" w:ascii="仿宋" w:hAnsi="仿宋" w:eastAsia="仿宋"/>
          <w:b w:val="0"/>
          <w:bCs w:val="0"/>
        </w:rPr>
        <w:t>六、</w:t>
      </w:r>
      <w:r>
        <w:rPr>
          <w:rFonts w:hint="eastAsia" w:ascii="仿宋" w:hAnsi="仿宋" w:eastAsia="仿宋"/>
          <w:b w:val="0"/>
        </w:rPr>
        <w:t>一</w:t>
      </w:r>
      <w:r>
        <w:rPr>
          <w:rStyle w:val="21"/>
          <w:rFonts w:hint="eastAsia" w:ascii="仿宋" w:hAnsi="仿宋" w:eastAsia="仿宋"/>
          <w:b w:val="0"/>
          <w:bCs w:val="0"/>
        </w:rPr>
        <w:t>般公共预算财政拨款支出决算表</w:t>
      </w:r>
    </w:p>
    <w:p w14:paraId="1718FCC5">
      <w:pPr>
        <w:pStyle w:val="4"/>
        <w:rPr>
          <w:rFonts w:ascii="仿宋" w:hAnsi="仿宋" w:eastAsia="仿宋"/>
        </w:rPr>
      </w:pPr>
      <w:r>
        <w:rPr>
          <w:rStyle w:val="21"/>
          <w:rFonts w:hint="eastAsia" w:ascii="仿宋" w:hAnsi="仿宋" w:eastAsia="仿宋"/>
          <w:b w:val="0"/>
          <w:bCs w:val="0"/>
        </w:rPr>
        <w:t>七、</w:t>
      </w:r>
      <w:r>
        <w:rPr>
          <w:rFonts w:hint="eastAsia" w:ascii="仿宋" w:hAnsi="仿宋" w:eastAsia="仿宋"/>
          <w:b w:val="0"/>
        </w:rPr>
        <w:t>一</w:t>
      </w:r>
      <w:r>
        <w:rPr>
          <w:rStyle w:val="21"/>
          <w:rFonts w:hint="eastAsia" w:ascii="仿宋" w:hAnsi="仿宋" w:eastAsia="仿宋"/>
          <w:b w:val="0"/>
          <w:bCs w:val="0"/>
        </w:rPr>
        <w:t>般公共预算财政拨款支出决算明细表</w:t>
      </w:r>
    </w:p>
    <w:p w14:paraId="1026EE73">
      <w:pPr>
        <w:pStyle w:val="4"/>
        <w:rPr>
          <w:rFonts w:ascii="仿宋" w:hAnsi="仿宋" w:eastAsia="仿宋"/>
        </w:rPr>
      </w:pPr>
      <w:bookmarkStart w:id="1" w:name="_八、一般公共预算财政拨款基本支出决算表"/>
      <w:r>
        <w:rPr>
          <w:rStyle w:val="21"/>
          <w:rFonts w:hint="eastAsia" w:ascii="仿宋" w:hAnsi="仿宋" w:eastAsia="仿宋"/>
          <w:b w:val="0"/>
          <w:bCs w:val="0"/>
        </w:rPr>
        <w:t>八、</w:t>
      </w:r>
      <w:r>
        <w:rPr>
          <w:rFonts w:hint="eastAsia" w:ascii="仿宋" w:hAnsi="仿宋" w:eastAsia="仿宋"/>
          <w:b w:val="0"/>
        </w:rPr>
        <w:t>一</w:t>
      </w:r>
      <w:r>
        <w:rPr>
          <w:rStyle w:val="21"/>
          <w:rFonts w:hint="eastAsia" w:ascii="仿宋" w:hAnsi="仿宋" w:eastAsia="仿宋"/>
          <w:b w:val="0"/>
          <w:bCs w:val="0"/>
        </w:rPr>
        <w:t>般公共预算财政拨款基本支出决算表</w:t>
      </w:r>
    </w:p>
    <w:bookmarkEnd w:id="1"/>
    <w:p w14:paraId="3B0929B4">
      <w:pPr>
        <w:pStyle w:val="4"/>
        <w:rPr>
          <w:rFonts w:ascii="仿宋" w:hAnsi="仿宋" w:eastAsia="仿宋"/>
        </w:rPr>
      </w:pPr>
      <w:r>
        <w:rPr>
          <w:rStyle w:val="21"/>
          <w:rFonts w:hint="eastAsia" w:ascii="仿宋" w:hAnsi="仿宋" w:eastAsia="仿宋"/>
          <w:b w:val="0"/>
          <w:bCs w:val="0"/>
        </w:rPr>
        <w:t>九、</w:t>
      </w:r>
      <w:r>
        <w:rPr>
          <w:rFonts w:hint="eastAsia" w:ascii="仿宋" w:hAnsi="仿宋" w:eastAsia="仿宋"/>
          <w:b w:val="0"/>
        </w:rPr>
        <w:t>一</w:t>
      </w:r>
      <w:r>
        <w:rPr>
          <w:rStyle w:val="21"/>
          <w:rFonts w:hint="eastAsia" w:ascii="仿宋" w:hAnsi="仿宋" w:eastAsia="仿宋"/>
          <w:b w:val="0"/>
          <w:bCs w:val="0"/>
        </w:rPr>
        <w:t>般公共预算财政拨款项目支出决算表</w:t>
      </w:r>
    </w:p>
    <w:p w14:paraId="45372980">
      <w:pPr>
        <w:pStyle w:val="4"/>
        <w:rPr>
          <w:rFonts w:ascii="仿宋" w:hAnsi="仿宋" w:eastAsia="仿宋"/>
        </w:rPr>
      </w:pPr>
      <w:r>
        <w:rPr>
          <w:rStyle w:val="21"/>
          <w:rFonts w:hint="eastAsia" w:ascii="仿宋" w:hAnsi="仿宋" w:eastAsia="仿宋"/>
          <w:b w:val="0"/>
          <w:bCs w:val="0"/>
        </w:rPr>
        <w:t>十、</w:t>
      </w:r>
      <w:r>
        <w:rPr>
          <w:rFonts w:hint="eastAsia" w:ascii="仿宋" w:hAnsi="仿宋" w:eastAsia="仿宋"/>
          <w:b w:val="0"/>
        </w:rPr>
        <w:t>政</w:t>
      </w:r>
      <w:r>
        <w:rPr>
          <w:rStyle w:val="21"/>
          <w:rFonts w:hint="eastAsia" w:ascii="仿宋" w:hAnsi="仿宋" w:eastAsia="仿宋"/>
          <w:b w:val="0"/>
          <w:bCs w:val="0"/>
        </w:rPr>
        <w:t>府性基金预算财政拨款收入支出决算表</w:t>
      </w:r>
    </w:p>
    <w:p w14:paraId="7F58B976">
      <w:pPr>
        <w:pStyle w:val="4"/>
        <w:rPr>
          <w:rFonts w:ascii="仿宋" w:hAnsi="仿宋" w:eastAsia="仿宋"/>
        </w:rPr>
      </w:pPr>
      <w:r>
        <w:rPr>
          <w:rStyle w:val="21"/>
          <w:rFonts w:hint="eastAsia" w:ascii="仿宋" w:hAnsi="仿宋" w:eastAsia="仿宋"/>
          <w:b w:val="0"/>
          <w:bCs w:val="0"/>
        </w:rPr>
        <w:t>十一、</w:t>
      </w:r>
      <w:r>
        <w:rPr>
          <w:rFonts w:hint="eastAsia" w:ascii="仿宋" w:hAnsi="仿宋" w:eastAsia="仿宋"/>
          <w:b w:val="0"/>
        </w:rPr>
        <w:t>国</w:t>
      </w:r>
      <w:r>
        <w:rPr>
          <w:rStyle w:val="21"/>
          <w:rFonts w:hint="eastAsia" w:ascii="仿宋" w:hAnsi="仿宋" w:eastAsia="仿宋"/>
          <w:b w:val="0"/>
          <w:bCs w:val="0"/>
        </w:rPr>
        <w:t>有资本经营预算财政拨款收入支出决算表</w:t>
      </w:r>
    </w:p>
    <w:p w14:paraId="3E118E1E">
      <w:pPr>
        <w:pStyle w:val="4"/>
        <w:rPr>
          <w:rFonts w:ascii="仿宋" w:hAnsi="仿宋" w:eastAsia="仿宋"/>
        </w:rPr>
      </w:pPr>
      <w:r>
        <w:rPr>
          <w:rStyle w:val="21"/>
          <w:rFonts w:hint="eastAsia" w:ascii="仿宋" w:hAnsi="仿宋" w:eastAsia="仿宋"/>
          <w:b w:val="0"/>
          <w:bCs w:val="0"/>
        </w:rPr>
        <w:t>十二、国有资本经营预算财政拨款支出决算表</w:t>
      </w:r>
    </w:p>
    <w:p w14:paraId="4A32801A">
      <w:pPr>
        <w:pStyle w:val="4"/>
        <w:rPr>
          <w:rFonts w:hint="eastAsia" w:eastAsia="仿宋"/>
        </w:rPr>
      </w:pPr>
      <w:r>
        <w:rPr>
          <w:rStyle w:val="21"/>
          <w:rFonts w:hint="eastAsia" w:ascii="仿宋" w:hAnsi="仿宋" w:eastAsia="仿宋"/>
          <w:b w:val="0"/>
          <w:bCs w:val="0"/>
        </w:rPr>
        <w:t>十三、财政拨款“三公”经费支出决算表</w:t>
      </w:r>
    </w:p>
    <w:p w14:paraId="2211C471"/>
    <w:sectPr>
      <w:footerReference r:id="rId3" w:type="default"/>
      <w:pgSz w:w="11906" w:h="16838"/>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Liberation Sans">
    <w:altName w:val="Arial Unicode MS"/>
    <w:panose1 w:val="00000000000000000000"/>
    <w:charset w:val="00"/>
    <w:family w:val="swiss"/>
    <w:pitch w:val="default"/>
    <w:sig w:usb0="00000000" w:usb1="00000000" w:usb2="00000000" w:usb3="00000000" w:csb0="00040001" w:csb1="00000000"/>
  </w:font>
  <w:font w:name="Noto Sans CJK SC Regular">
    <w:altName w:val="宋体"/>
    <w:panose1 w:val="020B0500000000000000"/>
    <w:charset w:val="86"/>
    <w:family w:val="auto"/>
    <w:pitch w:val="default"/>
    <w:sig w:usb0="00000000" w:usb1="00000000" w:usb2="00000016" w:usb3="00000000" w:csb0="602E0107"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12C9E6">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22EC196">
                          <w:pPr>
                            <w:pStyle w:val="9"/>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pci88sBAACcAwAADgAAAGRycy9lMm9Eb2MueG1srVPNjtMwEL4j8Q6W&#10;79RpJ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rFTaDEcYsDv3z/dvnx6/LzK1lW&#10;q9dZoT5AjYkPAVPTcOeHnD35AZ2Z+KCizV+kRDCO+p6v+sohEZEfrVfrdYUhgbH5gjjs8XmIkN5K&#10;b0k2GhpxgEVXfnoPaUydU3I15++1MejntXF/ORAze1jufewxW2nYD1Pje9+ekU+Ps2+ow1WnxLxz&#10;KG1ek9mIs7GfjWOI+tCVPcr1INweEzZRessVRtipMA6tsJsWLG/Fn/eS9fhTbX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EqXIvPLAQAAnAMAAA4AAAAAAAAAAQAgAAAAHgEAAGRycy9lMm9E&#10;b2MueG1sUEsFBgAAAAAGAAYAWQEAAFsFAAAAAA==&#10;">
              <v:fill on="f" focussize="0,0"/>
              <v:stroke on="f"/>
              <v:imagedata o:title=""/>
              <o:lock v:ext="edit" aspectratio="f"/>
              <v:textbox inset="0mm,0mm,0mm,0mm" style="mso-fit-shape-to-text:t;">
                <w:txbxContent>
                  <w:p w14:paraId="022EC196">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18A09A"/>
    <w:multiLevelType w:val="singleLevel"/>
    <w:tmpl w:val="3818A09A"/>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
  <w:drawingGridVerticalSpacing w:val="1"/>
  <w:displayHorizontalDrawingGridEvery w:val="0"/>
  <w:displayVerticalDrawingGridEvery w:val="0"/>
  <w:doNotUseMarginsForDrawingGridOrigin w:val="1"/>
  <w:drawingGridHorizontalOrigin w:val="0"/>
  <w:drawingGridVerticalOrigin w:val="0"/>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97D6C"/>
    <w:rsid w:val="000E5570"/>
    <w:rsid w:val="00145B2C"/>
    <w:rsid w:val="00331777"/>
    <w:rsid w:val="00351F21"/>
    <w:rsid w:val="00392253"/>
    <w:rsid w:val="006602E1"/>
    <w:rsid w:val="007F4BCA"/>
    <w:rsid w:val="00A97D6C"/>
    <w:rsid w:val="227951EA"/>
    <w:rsid w:val="34C75BF9"/>
    <w:rsid w:val="3630055E"/>
    <w:rsid w:val="39F85D28"/>
    <w:rsid w:val="40281EAF"/>
    <w:rsid w:val="42691D62"/>
    <w:rsid w:val="470C20C0"/>
    <w:rsid w:val="4FE111A8"/>
    <w:rsid w:val="61B76B16"/>
    <w:rsid w:val="72E152B2"/>
    <w:rsid w:val="72EE7AF2"/>
    <w:rsid w:val="7BFFE41D"/>
    <w:rsid w:val="7D9A72C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99"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jc w:val="both"/>
    </w:pPr>
    <w:rPr>
      <w:rFonts w:ascii="Calibri" w:hAnsi="Calibri" w:eastAsia="宋体" w:cs="Times New Roman"/>
      <w:kern w:val="2"/>
      <w:sz w:val="21"/>
      <w:szCs w:val="24"/>
      <w:lang w:val="en-US" w:eastAsia="zh-CN" w:bidi="ar-SA"/>
    </w:rPr>
  </w:style>
  <w:style w:type="paragraph" w:styleId="3">
    <w:name w:val="heading 1"/>
    <w:basedOn w:val="1"/>
    <w:next w:val="1"/>
    <w:link w:val="20"/>
    <w:qFormat/>
    <w:uiPriority w:val="9"/>
    <w:pPr>
      <w:keepNext/>
      <w:keepLines/>
      <w:spacing w:before="340" w:after="330" w:line="578" w:lineRule="auto"/>
      <w:outlineLvl w:val="0"/>
    </w:pPr>
    <w:rPr>
      <w:rFonts w:ascii="Times New Roman" w:hAnsi="Times New Roman"/>
      <w:b/>
      <w:bCs/>
      <w:kern w:val="44"/>
      <w:sz w:val="44"/>
      <w:szCs w:val="44"/>
    </w:rPr>
  </w:style>
  <w:style w:type="paragraph" w:styleId="4">
    <w:name w:val="heading 2"/>
    <w:basedOn w:val="1"/>
    <w:next w:val="1"/>
    <w:link w:val="21"/>
    <w:qFormat/>
    <w:uiPriority w:val="9"/>
    <w:pPr>
      <w:keepNext/>
      <w:keepLines/>
      <w:spacing w:before="260" w:after="260" w:line="416" w:lineRule="auto"/>
      <w:outlineLvl w:val="1"/>
    </w:pPr>
    <w:rPr>
      <w:rFonts w:ascii="Cambria" w:hAnsi="Cambria"/>
      <w:b/>
      <w:bCs/>
      <w:kern w:val="0"/>
      <w:sz w:val="32"/>
      <w:szCs w:val="32"/>
    </w:rPr>
  </w:style>
  <w:style w:type="character" w:default="1" w:styleId="16">
    <w:name w:val="Default Paragraph Font"/>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before="0" w:after="140" w:line="276" w:lineRule="auto"/>
    </w:pPr>
  </w:style>
  <w:style w:type="paragraph" w:styleId="5">
    <w:name w:val="caption"/>
    <w:basedOn w:val="1"/>
    <w:qFormat/>
    <w:uiPriority w:val="0"/>
    <w:pPr>
      <w:widowControl w:val="0"/>
      <w:suppressLineNumbers/>
      <w:suppressAutoHyphens/>
      <w:spacing w:before="120" w:after="120"/>
    </w:pPr>
    <w:rPr>
      <w:i/>
      <w:iCs/>
      <w:sz w:val="24"/>
      <w:szCs w:val="24"/>
    </w:rPr>
  </w:style>
  <w:style w:type="paragraph" w:styleId="6">
    <w:name w:val="Body Text Indent"/>
    <w:basedOn w:val="1"/>
    <w:next w:val="7"/>
    <w:qFormat/>
    <w:uiPriority w:val="0"/>
    <w:pPr>
      <w:spacing w:after="120"/>
      <w:ind w:leftChars="200"/>
    </w:pPr>
    <w:rPr>
      <w:rFonts w:ascii="仿宋_GB2312"/>
      <w:szCs w:val="32"/>
    </w:rPr>
  </w:style>
  <w:style w:type="paragraph" w:styleId="7">
    <w:name w:val="Body Text First Indent 2"/>
    <w:basedOn w:val="6"/>
    <w:unhideWhenUsed/>
    <w:qFormat/>
    <w:uiPriority w:val="99"/>
    <w:pPr>
      <w:ind w:firstLine="420" w:firstLineChars="200"/>
    </w:pPr>
  </w:style>
  <w:style w:type="paragraph" w:styleId="8">
    <w:name w:val="Balloon Text"/>
    <w:basedOn w:val="1"/>
    <w:link w:val="22"/>
    <w:qFormat/>
    <w:uiPriority w:val="0"/>
    <w:rPr>
      <w:sz w:val="18"/>
      <w:szCs w:val="18"/>
    </w:rPr>
  </w:style>
  <w:style w:type="paragraph" w:styleId="9">
    <w:name w:val="footer"/>
    <w:basedOn w:val="1"/>
    <w:link w:val="23"/>
    <w:qFormat/>
    <w:uiPriority w:val="0"/>
    <w:pPr>
      <w:tabs>
        <w:tab w:val="center" w:pos="4153"/>
        <w:tab w:val="right" w:pos="8306"/>
      </w:tabs>
      <w:snapToGrid w:val="0"/>
      <w:jc w:val="left"/>
    </w:pPr>
    <w:rPr>
      <w:sz w:val="18"/>
      <w:szCs w:val="18"/>
    </w:rPr>
  </w:style>
  <w:style w:type="paragraph" w:styleId="10">
    <w:name w:val="header"/>
    <w:basedOn w:val="1"/>
    <w:link w:val="24"/>
    <w:qFormat/>
    <w:uiPriority w:val="0"/>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List"/>
    <w:basedOn w:val="2"/>
    <w:qFormat/>
    <w:uiPriority w:val="0"/>
  </w:style>
  <w:style w:type="paragraph" w:styleId="13">
    <w:name w:val="footnote text"/>
    <w:basedOn w:val="1"/>
    <w:next w:val="7"/>
    <w:semiHidden/>
    <w:qFormat/>
    <w:uiPriority w:val="0"/>
    <w:pPr>
      <w:snapToGrid w:val="0"/>
      <w:jc w:val="left"/>
    </w:pPr>
    <w:rPr>
      <w:sz w:val="18"/>
      <w:szCs w:val="18"/>
    </w:rPr>
  </w:style>
  <w:style w:type="paragraph" w:styleId="14">
    <w:name w:val="toc 2"/>
    <w:basedOn w:val="1"/>
    <w:next w:val="1"/>
    <w:unhideWhenUsed/>
    <w:qFormat/>
    <w:uiPriority w:val="39"/>
    <w:pPr>
      <w:tabs>
        <w:tab w:val="right" w:leader="dot" w:pos="8296"/>
      </w:tabs>
      <w:ind w:left="420" w:leftChars="200"/>
    </w:pPr>
  </w:style>
  <w:style w:type="character" w:styleId="17">
    <w:name w:val="Strong"/>
    <w:qFormat/>
    <w:uiPriority w:val="99"/>
    <w:rPr>
      <w:b/>
    </w:rPr>
  </w:style>
  <w:style w:type="character" w:styleId="18">
    <w:name w:val="FollowedHyperlink"/>
    <w:basedOn w:val="16"/>
    <w:uiPriority w:val="0"/>
    <w:rPr>
      <w:color w:val="800080"/>
      <w:u w:val="single"/>
    </w:rPr>
  </w:style>
  <w:style w:type="character" w:styleId="19">
    <w:name w:val="Hyperlink"/>
    <w:basedOn w:val="16"/>
    <w:qFormat/>
    <w:uiPriority w:val="0"/>
    <w:rPr>
      <w:color w:val="0000FF"/>
      <w:u w:val="single"/>
    </w:rPr>
  </w:style>
  <w:style w:type="character" w:customStyle="1" w:styleId="20">
    <w:name w:val="标题 1 Char"/>
    <w:link w:val="3"/>
    <w:qFormat/>
    <w:uiPriority w:val="9"/>
    <w:rPr>
      <w:b/>
      <w:bCs/>
      <w:kern w:val="44"/>
      <w:sz w:val="44"/>
      <w:szCs w:val="44"/>
    </w:rPr>
  </w:style>
  <w:style w:type="character" w:customStyle="1" w:styleId="21">
    <w:name w:val="标题 2 Char"/>
    <w:link w:val="4"/>
    <w:qFormat/>
    <w:uiPriority w:val="9"/>
    <w:rPr>
      <w:rFonts w:ascii="Cambria" w:hAnsi="Cambria" w:eastAsia="宋体" w:cs="Times New Roman"/>
      <w:b/>
      <w:bCs/>
      <w:sz w:val="32"/>
      <w:szCs w:val="32"/>
    </w:rPr>
  </w:style>
  <w:style w:type="character" w:customStyle="1" w:styleId="22">
    <w:name w:val="批注框文本 Char"/>
    <w:link w:val="8"/>
    <w:qFormat/>
    <w:uiPriority w:val="0"/>
    <w:rPr>
      <w:rFonts w:ascii="Calibri" w:hAnsi="Calibri"/>
      <w:kern w:val="2"/>
      <w:sz w:val="18"/>
      <w:szCs w:val="18"/>
    </w:rPr>
  </w:style>
  <w:style w:type="character" w:customStyle="1" w:styleId="23">
    <w:name w:val="页脚 Char"/>
    <w:link w:val="9"/>
    <w:qFormat/>
    <w:uiPriority w:val="0"/>
    <w:rPr>
      <w:rFonts w:ascii="Calibri" w:hAnsi="Calibri"/>
      <w:kern w:val="2"/>
      <w:sz w:val="18"/>
      <w:szCs w:val="18"/>
    </w:rPr>
  </w:style>
  <w:style w:type="character" w:customStyle="1" w:styleId="24">
    <w:name w:val="页眉 Char"/>
    <w:link w:val="10"/>
    <w:qFormat/>
    <w:uiPriority w:val="0"/>
    <w:rPr>
      <w:rFonts w:ascii="Calibri" w:hAnsi="Calibri"/>
      <w:kern w:val="2"/>
      <w:sz w:val="18"/>
      <w:szCs w:val="18"/>
    </w:rPr>
  </w:style>
  <w:style w:type="character" w:customStyle="1" w:styleId="25">
    <w:name w:val="默认段落字体1"/>
    <w:qFormat/>
    <w:uiPriority w:val="0"/>
  </w:style>
  <w:style w:type="paragraph" w:customStyle="1" w:styleId="26">
    <w:name w:val="Heading"/>
    <w:basedOn w:val="1"/>
    <w:next w:val="2"/>
    <w:qFormat/>
    <w:uiPriority w:val="0"/>
    <w:pPr>
      <w:keepNext/>
      <w:widowControl w:val="0"/>
      <w:suppressAutoHyphens/>
      <w:spacing w:before="240" w:after="120"/>
    </w:pPr>
    <w:rPr>
      <w:rFonts w:ascii="Liberation Sans" w:hAnsi="Liberation Sans" w:eastAsia="Noto Sans CJK SC Regular" w:cs="Noto Sans CJK SC Regular"/>
      <w:sz w:val="28"/>
      <w:szCs w:val="28"/>
      <w:lang w:bidi="ar-SA"/>
    </w:rPr>
  </w:style>
  <w:style w:type="paragraph" w:customStyle="1" w:styleId="27">
    <w:name w:val="Index"/>
    <w:basedOn w:val="1"/>
    <w:qFormat/>
    <w:uiPriority w:val="0"/>
    <w:pPr>
      <w:widowControl w:val="0"/>
      <w:suppressLineNumbers/>
      <w:suppressAutoHyphens/>
    </w:pPr>
  </w:style>
  <w:style w:type="paragraph" w:styleId="28">
    <w:name w:val="List Paragraph"/>
    <w:basedOn w:val="1"/>
    <w:qFormat/>
    <w:uiPriority w:val="34"/>
    <w:pPr>
      <w:ind w:firstLine="420" w:firstLineChars="200"/>
    </w:pPr>
  </w:style>
  <w:style w:type="paragraph" w:customStyle="1" w:styleId="29">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hart" Target="charts/chart5.xml"/><Relationship Id="rId8" Type="http://schemas.openxmlformats.org/officeDocument/2006/relationships/chart" Target="charts/chart4.xml"/><Relationship Id="rId7" Type="http://schemas.openxmlformats.org/officeDocument/2006/relationships/chart" Target="charts/chart3.xml"/><Relationship Id="rId6" Type="http://schemas.openxmlformats.org/officeDocument/2006/relationships/chart" Target="charts/chart2.xml"/><Relationship Id="rId5" Type="http://schemas.openxmlformats.org/officeDocument/2006/relationships/chart" Target="charts/chart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chart" Target="charts/chart7.xml"/><Relationship Id="rId10" Type="http://schemas.openxmlformats.org/officeDocument/2006/relationships/chart" Target="charts/chart6.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5.xlsx"/></Relationships>
</file>

<file path=word/charts/_rels/chart2.xml.rels><?xml version="1.0" encoding="UTF-8" standalone="yes"?>
<Relationships xmlns="http://schemas.openxmlformats.org/package/2006/relationships"><Relationship Id="rId2" Type="http://schemas.openxmlformats.org/officeDocument/2006/relationships/themeOverride" Target="../theme/themeOverride2.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2" Type="http://schemas.openxmlformats.org/officeDocument/2006/relationships/themeOverride" Target="../theme/themeOverride4.xml"/><Relationship Id="rId1" Type="http://schemas.openxmlformats.org/officeDocument/2006/relationships/package" Target="../embeddings/Workbook4.xlsx"/></Relationships>
</file>

<file path=word/charts/_rels/chart4.xml.rels><?xml version="1.0" encoding="UTF-8" standalone="yes"?>
<Relationships xmlns="http://schemas.openxmlformats.org/package/2006/relationships"><Relationship Id="rId2" Type="http://schemas.openxmlformats.org/officeDocument/2006/relationships/themeOverride" Target="../theme/themeOverride6.xml"/><Relationship Id="rId1" Type="http://schemas.openxmlformats.org/officeDocument/2006/relationships/package" Target="../embeddings/Workbook7.xlsx"/></Relationships>
</file>

<file path=word/charts/_rels/chart5.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package" Target="../embeddings/Workbook1.xlsx"/></Relationships>
</file>

<file path=word/charts/_rels/chart6.xml.rels><?xml version="1.0" encoding="UTF-8" standalone="yes"?>
<Relationships xmlns="http://schemas.openxmlformats.org/package/2006/relationships"><Relationship Id="rId2" Type="http://schemas.openxmlformats.org/officeDocument/2006/relationships/themeOverride" Target="../theme/themeOverride3.xml"/><Relationship Id="rId1" Type="http://schemas.openxmlformats.org/officeDocument/2006/relationships/package" Target="../embeddings/Workbook3.xlsx"/></Relationships>
</file>

<file path=word/charts/_rels/chart7.xml.rels><?xml version="1.0" encoding="UTF-8" standalone="yes"?>
<Relationships xmlns="http://schemas.openxmlformats.org/package/2006/relationships"><Relationship Id="rId2" Type="http://schemas.openxmlformats.org/officeDocument/2006/relationships/themeOverride" Target="../theme/themeOverride5.xml"/><Relationship Id="rId1" Type="http://schemas.openxmlformats.org/officeDocument/2006/relationships/package" Target="../embeddings/Workbook6.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a:solidFill>
                  <a:srgbClr val="0070C0"/>
                </a:solidFill>
              </a:rPr>
              <a:t>收、支决算总计变动情况</a:t>
            </a:r>
            <a:endParaRPr>
              <a:solidFill>
                <a:srgbClr val="0070C0"/>
              </a:solidFill>
            </a:endParaRPr>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收入</c:v>
                </c:pt>
              </c:strCache>
            </c:strRef>
          </c:tx>
          <c:spPr>
            <a:gradFill>
              <a:gsLst>
                <a:gs pos="0">
                  <a:schemeClr val="accent1">
                    <a:lumMod val="40000"/>
                    <a:lumOff val="60000"/>
                  </a:schemeClr>
                </a:gs>
                <a:gs pos="90000">
                  <a:schemeClr val="accent1"/>
                </a:gs>
              </a:gsLst>
              <a:lin ang="5400000" scaled="0"/>
            </a:gradFill>
            <a:ln>
              <a:gradFill>
                <a:gsLst>
                  <a:gs pos="0">
                    <a:schemeClr val="accent1"/>
                  </a:gs>
                  <a:gs pos="100000">
                    <a:schemeClr val="accent1">
                      <a:lumMod val="75000"/>
                    </a:schemeClr>
                  </a:gs>
                </a:gsLst>
                <a:lin ang="5400000" scaled="1"/>
              </a:gradFill>
            </a:ln>
            <a:effectLst>
              <a:outerShdw blurRad="76200" dist="25400" dir="2700000" algn="tl" rotWithShape="0">
                <a:schemeClr val="accent1">
                  <a:lumMod val="50000"/>
                  <a:alpha val="30000"/>
                </a:schemeClr>
              </a:outerShdw>
            </a:effectLst>
          </c:spPr>
          <c:invertIfNegative val="0"/>
          <c:dLbls>
            <c:delete val="1"/>
          </c:dLbls>
          <c:cat>
            <c:strRef>
              <c:f>Sheet1!$A$2:$A$3</c:f>
              <c:strCache>
                <c:ptCount val="2"/>
                <c:pt idx="0">
                  <c:v>2022年</c:v>
                </c:pt>
                <c:pt idx="1">
                  <c:v>2023年</c:v>
                </c:pt>
              </c:strCache>
            </c:strRef>
          </c:cat>
          <c:val>
            <c:numRef>
              <c:f>Sheet1!$B$2:$B$3</c:f>
              <c:numCache>
                <c:formatCode>General</c:formatCode>
                <c:ptCount val="2"/>
                <c:pt idx="0">
                  <c:v>46.32</c:v>
                </c:pt>
                <c:pt idx="1">
                  <c:v>46.86</c:v>
                </c:pt>
              </c:numCache>
            </c:numRef>
          </c:val>
        </c:ser>
        <c:ser>
          <c:idx val="1"/>
          <c:order val="1"/>
          <c:tx>
            <c:strRef>
              <c:f>Sheet1!$C$1</c:f>
              <c:strCache>
                <c:ptCount val="1"/>
                <c:pt idx="0">
                  <c:v>支出</c:v>
                </c:pt>
              </c:strCache>
            </c:strRef>
          </c:tx>
          <c:spPr>
            <a:gradFill>
              <a:gsLst>
                <a:gs pos="0">
                  <a:schemeClr val="accent2">
                    <a:lumMod val="40000"/>
                    <a:lumOff val="60000"/>
                  </a:schemeClr>
                </a:gs>
                <a:gs pos="90000">
                  <a:schemeClr val="accent2"/>
                </a:gs>
              </a:gsLst>
              <a:lin ang="5400000" scaled="0"/>
            </a:gradFill>
            <a:ln>
              <a:gradFill>
                <a:gsLst>
                  <a:gs pos="0">
                    <a:schemeClr val="accent2"/>
                  </a:gs>
                  <a:gs pos="100000">
                    <a:schemeClr val="accent2">
                      <a:lumMod val="75000"/>
                    </a:schemeClr>
                  </a:gs>
                </a:gsLst>
                <a:lin ang="5400000" scaled="1"/>
              </a:gradFill>
            </a:ln>
            <a:effectLst>
              <a:outerShdw blurRad="76200" dist="25400" dir="2700000" algn="tl" rotWithShape="0">
                <a:schemeClr val="accent2">
                  <a:lumMod val="50000"/>
                  <a:alpha val="30000"/>
                </a:schemeClr>
              </a:outerShdw>
            </a:effectLst>
          </c:spPr>
          <c:invertIfNegative val="0"/>
          <c:dLbls>
            <c:delete val="1"/>
          </c:dLbls>
          <c:cat>
            <c:strRef>
              <c:f>Sheet1!$A$2:$A$3</c:f>
              <c:strCache>
                <c:ptCount val="2"/>
                <c:pt idx="0">
                  <c:v>2022年</c:v>
                </c:pt>
                <c:pt idx="1">
                  <c:v>2023年</c:v>
                </c:pt>
              </c:strCache>
            </c:strRef>
          </c:cat>
          <c:val>
            <c:numRef>
              <c:f>Sheet1!$C$2:$C$3</c:f>
              <c:numCache>
                <c:formatCode>General</c:formatCode>
                <c:ptCount val="2"/>
                <c:pt idx="0">
                  <c:v>46.32</c:v>
                </c:pt>
                <c:pt idx="1">
                  <c:v>46.86</c:v>
                </c:pt>
              </c:numCache>
            </c:numRef>
          </c:val>
        </c:ser>
        <c:dLbls>
          <c:showLegendKey val="0"/>
          <c:showVal val="0"/>
          <c:showCatName val="0"/>
          <c:showSerName val="0"/>
          <c:showPercent val="0"/>
          <c:showBubbleSize val="0"/>
        </c:dLbls>
        <c:gapWidth val="246"/>
        <c:overlap val="-28"/>
        <c:axId val="21044405"/>
        <c:axId val="823041328"/>
      </c:barChart>
      <c:catAx>
        <c:axId val="2104440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23041328"/>
        <c:crosses val="autoZero"/>
        <c:auto val="1"/>
        <c:lblAlgn val="ctr"/>
        <c:lblOffset val="100"/>
        <c:noMultiLvlLbl val="0"/>
      </c:catAx>
      <c:valAx>
        <c:axId val="823041328"/>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44405"/>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dTable>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defTabSz="914400">
              <a:defRPr lang="zh-CN" sz="1800" b="1" i="0" u="none" strike="noStrike" kern="1200" baseline="0">
                <a:solidFill>
                  <a:sysClr val="windowText" lastClr="000000">
                    <a:lumMod val="75000"/>
                    <a:lumOff val="25000"/>
                  </a:sysClr>
                </a:solidFill>
                <a:latin typeface="+mn-lt"/>
                <a:ea typeface="+mn-ea"/>
                <a:cs typeface="+mn-cs"/>
              </a:defRPr>
            </a:pPr>
            <a:r>
              <a:rPr lang="en-US" altLang="zh-CN"/>
              <a:t>2023</a:t>
            </a:r>
            <a:r>
              <a:rPr lang="zh-CN" altLang="en-US"/>
              <a:t>年收入</a:t>
            </a:r>
            <a:endParaRPr lang="zh-CN" altLang="en-US"/>
          </a:p>
        </c:rich>
      </c:tx>
      <c:layout/>
      <c:overlay val="0"/>
      <c:spPr>
        <a:noFill/>
        <a:ln>
          <a:noFill/>
        </a:ln>
        <a:effectLst/>
      </c:spPr>
    </c:title>
    <c:autoTitleDeleted val="0"/>
    <c:plotArea>
      <c:layout/>
      <c:pieChart>
        <c:varyColors val="1"/>
        <c:ser>
          <c:idx val="0"/>
          <c:order val="0"/>
          <c:explosion val="0"/>
          <c:dPt>
            <c:idx val="0"/>
            <c:bubble3D val="0"/>
            <c:spPr>
              <a:solidFill>
                <a:srgbClr val="4F81BD"/>
              </a:solidFill>
              <a:ln>
                <a:noFill/>
              </a:ln>
              <a:effectLst>
                <a:outerShdw blurRad="254000" sx="102000" sy="102000" algn="ctr" rotWithShape="0">
                  <a:prstClr val="black">
                    <a:alpha val="20000"/>
                  </a:prstClr>
                </a:outerShdw>
              </a:effectLst>
            </c:spPr>
          </c:dPt>
          <c:dPt>
            <c:idx val="1"/>
            <c:bubble3D val="0"/>
            <c:spPr>
              <a:solidFill>
                <a:srgbClr val="C0504D"/>
              </a:solidFill>
              <a:ln>
                <a:noFill/>
              </a:ln>
              <a:effectLst>
                <a:outerShdw blurRad="254000" sx="102000" sy="102000" algn="ctr" rotWithShape="0">
                  <a:prstClr val="black">
                    <a:alpha val="20000"/>
                  </a:prstClr>
                </a:outerShdw>
              </a:effectLst>
            </c:spPr>
          </c:dPt>
          <c:dPt>
            <c:idx val="2"/>
            <c:bubble3D val="0"/>
            <c:spPr>
              <a:solidFill>
                <a:srgbClr val="9BBB59"/>
              </a:solidFill>
              <a:ln>
                <a:noFill/>
              </a:ln>
              <a:effectLst>
                <a:outerShdw blurRad="254000" sx="102000" sy="102000" algn="ctr" rotWithShape="0">
                  <a:prstClr val="black">
                    <a:alpha val="20000"/>
                  </a:prstClr>
                </a:outerShdw>
              </a:effectLst>
            </c:spPr>
          </c:dPt>
          <c:dPt>
            <c:idx val="3"/>
            <c:bubble3D val="0"/>
            <c:spPr>
              <a:solidFill>
                <a:srgbClr val="8064A2"/>
              </a:solidFill>
              <a:ln>
                <a:noFill/>
              </a:ln>
              <a:effectLst>
                <a:outerShdw blurRad="254000" sx="102000" sy="102000" algn="ctr" rotWithShape="0">
                  <a:prstClr val="black">
                    <a:alpha val="20000"/>
                  </a:prstClr>
                </a:outerShdw>
              </a:effectLst>
            </c:spPr>
          </c:dPt>
          <c:dPt>
            <c:idx val="4"/>
            <c:bubble3D val="0"/>
            <c:spPr>
              <a:solidFill>
                <a:srgbClr val="4BACC6"/>
              </a:solidFill>
              <a:ln>
                <a:noFill/>
              </a:ln>
              <a:effectLst>
                <a:outerShdw blurRad="254000" sx="102000" sy="102000" algn="ctr" rotWithShape="0">
                  <a:prstClr val="black">
                    <a:alpha val="20000"/>
                  </a:prstClr>
                </a:outerShdw>
              </a:effectLst>
            </c:spPr>
          </c:dPt>
          <c:dPt>
            <c:idx val="5"/>
            <c:bubble3D val="0"/>
            <c:spPr>
              <a:solidFill>
                <a:srgbClr val="F79646"/>
              </a:solidFill>
              <a:ln>
                <a:noFill/>
              </a:ln>
              <a:effectLst>
                <a:outerShdw blurRad="254000" sx="102000" sy="102000" algn="ctr" rotWithShape="0">
                  <a:prstClr val="black">
                    <a:alpha val="20000"/>
                  </a:prstClr>
                </a:outerShdw>
              </a:effectLst>
            </c:spPr>
          </c:dPt>
          <c:dPt>
            <c:idx val="6"/>
            <c:bubble3D val="0"/>
            <c:spPr>
              <a:solidFill>
                <a:srgbClr val="4F81BD">
                  <a:lumMod val="60000"/>
                </a:srgbClr>
              </a:solidFill>
              <a:ln>
                <a:noFill/>
              </a:ln>
              <a:effectLst>
                <a:outerShdw blurRad="254000" sx="102000" sy="102000" algn="ctr" rotWithShape="0">
                  <a:prstClr val="black">
                    <a:alpha val="20000"/>
                  </a:prstClr>
                </a:outerShdw>
              </a:effectLst>
            </c:spPr>
          </c:dPt>
          <c:dPt>
            <c:idx val="7"/>
            <c:bubble3D val="0"/>
            <c:spPr>
              <a:solidFill>
                <a:srgbClr val="C0504D">
                  <a:lumMod val="60000"/>
                </a:srgbClr>
              </a:solidFill>
              <a:ln>
                <a:noFill/>
              </a:ln>
              <a:effectLst>
                <a:outerShdw blurRad="254000" sx="102000" sy="102000" algn="ctr" rotWithShape="0">
                  <a:prstClr val="black">
                    <a:alpha val="20000"/>
                  </a:prstClr>
                </a:outerShdw>
              </a:effectLst>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strRef>
              <c:f>Sheet1!$A$2:$A$9</c:f>
              <c:strCache>
                <c:ptCount val="8"/>
                <c:pt idx="0">
                  <c:v>一般公共预算财政拨款收入</c:v>
                </c:pt>
                <c:pt idx="1">
                  <c:v>政府性基金预算财政拨款收入</c:v>
                </c:pt>
                <c:pt idx="2">
                  <c:v>国有资本经营预算财政拨款收入</c:v>
                </c:pt>
                <c:pt idx="3">
                  <c:v>上级补助收入</c:v>
                </c:pt>
                <c:pt idx="4">
                  <c:v>事业收入</c:v>
                </c:pt>
                <c:pt idx="5">
                  <c:v>经营收入</c:v>
                </c:pt>
                <c:pt idx="6">
                  <c:v>附属单位上缴收入</c:v>
                </c:pt>
                <c:pt idx="7">
                  <c:v>其他收入</c:v>
                </c:pt>
              </c:strCache>
            </c:strRef>
          </c:cat>
          <c:val>
            <c:numRef>
              <c:f>Sheet1!$B$2:$B$9</c:f>
              <c:numCache>
                <c:formatCode>General</c:formatCode>
                <c:ptCount val="8"/>
                <c:pt idx="0">
                  <c:v>46.86</c:v>
                </c:pt>
                <c:pt idx="1">
                  <c:v>0</c:v>
                </c:pt>
                <c:pt idx="2">
                  <c:v>0</c:v>
                </c:pt>
                <c:pt idx="3">
                  <c:v>0</c:v>
                </c:pt>
                <c:pt idx="4">
                  <c:v>0</c:v>
                </c:pt>
                <c:pt idx="5">
                  <c:v>0</c:v>
                </c:pt>
                <c:pt idx="6">
                  <c:v>0</c:v>
                </c:pt>
                <c:pt idx="7">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t"/>
      <c:layout/>
      <c:overlay val="0"/>
      <c:spPr>
        <a:solidFill>
          <a:sysClr val="window" lastClr="FFFFFF">
            <a:lumMod val="95000"/>
            <a:alpha val="39000"/>
          </a:sysClr>
        </a:solidFill>
        <a:ln>
          <a:noFill/>
        </a:ln>
        <a:effectLst/>
      </c:spPr>
      <c:txPr>
        <a:bodyPr rot="0" spcFirstLastPara="0" vertOverflow="ellipsis" vert="horz" wrap="square" anchor="ctr" anchorCtr="1"/>
        <a:lstStyle/>
        <a:p>
          <a:pPr>
            <a:defRPr lang="zh-CN" sz="900" b="0" i="0" u="none" strike="noStrike" kern="1200" baseline="0">
              <a:solidFill>
                <a:sysClr val="windowText" lastClr="000000">
                  <a:lumMod val="75000"/>
                  <a:lumOff val="25000"/>
                </a:sysClr>
              </a:solidFill>
              <a:latin typeface="+mn-lt"/>
              <a:ea typeface="+mn-ea"/>
              <a:cs typeface="+mn-cs"/>
            </a:defRPr>
          </a:pPr>
        </a:p>
      </c:txPr>
    </c:legend>
    <c:plotVisOnly val="0"/>
    <c:dispBlanksAs val="gap"/>
    <c:showDLblsOverMax val="0"/>
  </c:chart>
  <c:spPr>
    <a:gradFill flip="none" rotWithShape="1">
      <a:gsLst>
        <a:gs pos="0">
          <a:sysClr val="window" lastClr="FFFFFF"/>
        </a:gs>
        <a:gs pos="39000">
          <a:sysClr val="window" lastClr="FFFFFF"/>
        </a:gs>
        <a:gs pos="100000">
          <a:sysClr val="window" lastClr="FFFFFF">
            <a:lumMod val="75000"/>
          </a:sysClr>
        </a:gs>
      </a:gsLst>
      <a:path path="circle">
        <a:fillToRect l="50000" t="-80000" r="50000" b="180000"/>
      </a:path>
    </a:gradFill>
    <a:ln w="9525" cap="flat" cmpd="sng" algn="ctr">
      <a:solidFill>
        <a:sysClr val="windowText" lastClr="000000">
          <a:lumMod val="25000"/>
          <a:lumOff val="75000"/>
        </a:sys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overlay val="0"/>
      <c:spPr>
        <a:noFill/>
        <a:ln>
          <a:noFill/>
        </a:ln>
        <a:effectLst/>
      </c:spPr>
      <c:txPr>
        <a:bodyPr rot="0" spcFirstLastPara="0" vertOverflow="ellipsis" vert="horz" wrap="square" anchor="ctr" anchorCtr="1"/>
        <a:lstStyle/>
        <a:p>
          <a:pPr>
            <a:defRPr lang="zh-CN" sz="1800" b="1" i="0" u="none" strike="noStrike" kern="1200" baseline="0">
              <a:solidFill>
                <a:sysClr val="windowText" lastClr="000000">
                  <a:lumMod val="75000"/>
                  <a:lumOff val="25000"/>
                </a:sysClr>
              </a:solidFill>
              <a:latin typeface="+mn-lt"/>
              <a:ea typeface="+mn-ea"/>
              <a:cs typeface="+mn-cs"/>
            </a:defRPr>
          </a:pPr>
        </a:p>
      </c:txPr>
    </c:title>
    <c:autoTitleDeleted val="0"/>
    <c:plotArea>
      <c:layout/>
      <c:pieChart>
        <c:varyColors val="1"/>
        <c:ser>
          <c:idx val="0"/>
          <c:order val="0"/>
          <c:tx>
            <c:strRef>
              <c:f>Sheet1!$B$1</c:f>
              <c:strCache>
                <c:ptCount val="1"/>
                <c:pt idx="0">
                  <c:v>2023年支出</c:v>
                </c:pt>
              </c:strCache>
            </c:strRef>
          </c:tx>
          <c:explosion val="0"/>
          <c:dPt>
            <c:idx val="0"/>
            <c:bubble3D val="0"/>
            <c:spPr>
              <a:solidFill>
                <a:srgbClr val="4F81BD"/>
              </a:solidFill>
              <a:ln>
                <a:noFill/>
              </a:ln>
              <a:effectLst>
                <a:outerShdw blurRad="254000" sx="102000" sy="102000" algn="ctr" rotWithShape="0">
                  <a:prstClr val="black">
                    <a:alpha val="20000"/>
                  </a:prstClr>
                </a:outerShdw>
              </a:effectLst>
            </c:spPr>
          </c:dPt>
          <c:dPt>
            <c:idx val="1"/>
            <c:bubble3D val="0"/>
            <c:spPr>
              <a:solidFill>
                <a:srgbClr val="C0504D"/>
              </a:solidFill>
              <a:ln>
                <a:noFill/>
              </a:ln>
              <a:effectLst>
                <a:outerShdw blurRad="254000" sx="102000" sy="102000" algn="ctr" rotWithShape="0">
                  <a:prstClr val="black">
                    <a:alpha val="20000"/>
                  </a:prstClr>
                </a:outerShdw>
              </a:effectLst>
            </c:spPr>
          </c:dPt>
          <c:dPt>
            <c:idx val="2"/>
            <c:bubble3D val="0"/>
            <c:spPr>
              <a:solidFill>
                <a:srgbClr val="9BBB59"/>
              </a:solidFill>
              <a:ln>
                <a:noFill/>
              </a:ln>
              <a:effectLst>
                <a:outerShdw blurRad="254000" sx="102000" sy="102000" algn="ctr" rotWithShape="0">
                  <a:prstClr val="black">
                    <a:alpha val="20000"/>
                  </a:prstClr>
                </a:outerShdw>
              </a:effectLst>
            </c:spPr>
          </c:dPt>
          <c:dPt>
            <c:idx val="3"/>
            <c:bubble3D val="0"/>
            <c:spPr>
              <a:solidFill>
                <a:srgbClr val="8064A2"/>
              </a:solidFill>
              <a:ln>
                <a:noFill/>
              </a:ln>
              <a:effectLst>
                <a:outerShdw blurRad="254000" sx="102000" sy="102000" algn="ctr" rotWithShape="0">
                  <a:prstClr val="black">
                    <a:alpha val="20000"/>
                  </a:prstClr>
                </a:outerShdw>
              </a:effectLst>
            </c:spPr>
          </c:dPt>
          <c:dPt>
            <c:idx val="4"/>
            <c:bubble3D val="0"/>
            <c:spPr>
              <a:solidFill>
                <a:srgbClr val="4BACC6"/>
              </a:solidFill>
              <a:ln>
                <a:noFill/>
              </a:ln>
              <a:effectLst>
                <a:outerShdw blurRad="254000" sx="102000" sy="102000" algn="ctr" rotWithShape="0">
                  <a:prstClr val="black">
                    <a:alpha val="20000"/>
                  </a:prstClr>
                </a:outerShdw>
              </a:effectLst>
            </c:spPr>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0" vertOverflow="ellipsis" vert="horz" wrap="square" lIns="38100" tIns="19050" rIns="38100" bIns="19050" anchor="ctr" anchorCtr="1"/>
              <a:lstStyle/>
              <a:p>
                <a:pPr>
                  <a:defRPr lang="zh-CN" sz="1000" b="1" i="0" u="none" strike="noStrike" kern="1200" baseline="0">
                    <a:solidFill>
                      <a:sysClr val="window" lastClr="FFFFFF"/>
                    </a:solidFill>
                    <a:latin typeface="+mn-lt"/>
                    <a:ea typeface="+mn-ea"/>
                    <a:cs typeface="+mn-cs"/>
                  </a:defRPr>
                </a:pPr>
              </a:p>
            </c:txPr>
            <c:dLblPos val="inEnd"/>
            <c:showLegendKey val="0"/>
            <c:showVal val="0"/>
            <c:showCatName val="0"/>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ysClr val="windowText" lastClr="000000">
                          <a:lumMod val="50000"/>
                          <a:lumOff val="50000"/>
                        </a:sysClr>
                      </a:solidFill>
                      <a:prstDash val="solid"/>
                      <a:round/>
                    </a:ln>
                    <a:effectLst/>
                  </c:spPr>
                </c15:leaderLines>
              </c:ext>
            </c:extLst>
          </c:dLbls>
          <c:cat>
            <c:strRef>
              <c:f>Sheet1!$A$2:$A$6</c:f>
              <c:strCache>
                <c:ptCount val="5"/>
                <c:pt idx="0">
                  <c:v>基本支出</c:v>
                </c:pt>
                <c:pt idx="1">
                  <c:v>项目支出</c:v>
                </c:pt>
                <c:pt idx="2">
                  <c:v>上缴上级支出</c:v>
                </c:pt>
                <c:pt idx="3">
                  <c:v>经营支出</c:v>
                </c:pt>
                <c:pt idx="4">
                  <c:v>对附属单位补助支出</c:v>
                </c:pt>
              </c:strCache>
            </c:strRef>
          </c:cat>
          <c:val>
            <c:numRef>
              <c:f>Sheet1!$B$2:$B$6</c:f>
              <c:numCache>
                <c:formatCode>General</c:formatCode>
                <c:ptCount val="5"/>
                <c:pt idx="0">
                  <c:v>46.68</c:v>
                </c:pt>
                <c:pt idx="1">
                  <c:v>0</c:v>
                </c:pt>
                <c:pt idx="2">
                  <c:v>0</c:v>
                </c:pt>
                <c:pt idx="3">
                  <c:v>0</c:v>
                </c:pt>
                <c:pt idx="4">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overlay val="0"/>
      <c:spPr>
        <a:solidFill>
          <a:sysClr val="window" lastClr="FFFFFF">
            <a:lumMod val="95000"/>
            <a:alpha val="39000"/>
          </a:sysClr>
        </a:solidFill>
        <a:ln>
          <a:noFill/>
        </a:ln>
        <a:effectLst/>
      </c:spPr>
      <c:txPr>
        <a:bodyPr rot="0" spcFirstLastPara="0" vertOverflow="ellipsis" vert="horz" wrap="square" anchor="ctr" anchorCtr="1"/>
        <a:lstStyle/>
        <a:p>
          <a:pPr>
            <a:defRPr lang="zh-CN" sz="900" b="0" i="0" u="none" strike="noStrike" kern="1200" baseline="0">
              <a:solidFill>
                <a:sysClr val="windowText" lastClr="000000">
                  <a:lumMod val="75000"/>
                  <a:lumOff val="25000"/>
                </a:sysClr>
              </a:solidFill>
              <a:latin typeface="+mn-lt"/>
              <a:ea typeface="+mn-ea"/>
              <a:cs typeface="+mn-cs"/>
            </a:defRPr>
          </a:pPr>
        </a:p>
      </c:txPr>
    </c:legend>
    <c:plotVisOnly val="1"/>
    <c:dispBlanksAs val="gap"/>
    <c:showDLblsOverMax val="0"/>
  </c:chart>
  <c:spPr>
    <a:gradFill flip="none" rotWithShape="1">
      <a:gsLst>
        <a:gs pos="0">
          <a:sysClr val="window" lastClr="FFFFFF"/>
        </a:gs>
        <a:gs pos="39000">
          <a:sysClr val="window" lastClr="FFFFFF"/>
        </a:gs>
        <a:gs pos="100000">
          <a:sysClr val="window" lastClr="FFFFFF">
            <a:lumMod val="75000"/>
          </a:sysClr>
        </a:gs>
      </a:gsLst>
      <a:path path="circle">
        <a:fillToRect l="50000" t="-80000" r="50000" b="180000"/>
      </a:path>
    </a:gradFill>
    <a:ln w="9525" cap="flat" cmpd="sng" algn="ctr">
      <a:solidFill>
        <a:sysClr val="windowText" lastClr="000000">
          <a:lumMod val="25000"/>
          <a:lumOff val="75000"/>
        </a:sysClr>
      </a:solid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defTabSz="914400">
              <a:defRPr lang="zh-CN" sz="1400" b="0" i="0" u="none" strike="noStrike" kern="1200" spc="0" baseline="0">
                <a:solidFill>
                  <a:sysClr val="windowText" lastClr="000000">
                    <a:lumMod val="65000"/>
                    <a:lumOff val="35000"/>
                  </a:sysClr>
                </a:solidFill>
                <a:latin typeface="+mn-lt"/>
                <a:ea typeface="+mn-ea"/>
                <a:cs typeface="+mn-cs"/>
              </a:defRPr>
            </a:pPr>
            <a:r>
              <a:rPr lang="zh-CN" altLang="en-US"/>
              <a:t>财政拨款收、支决算总计变动情况</a:t>
            </a:r>
            <a:endParaRPr lang="zh-CN" altLang="en-US"/>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收入</c:v>
                </c:pt>
              </c:strCache>
            </c:strRef>
          </c:tx>
          <c:spPr>
            <a:solidFill>
              <a:srgbClr val="4F81BD"/>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lumMod val="75000"/>
                        <a:lumOff val="25000"/>
                      </a:sys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ysClr val="windowText" lastClr="000000">
                          <a:lumMod val="35000"/>
                          <a:lumOff val="65000"/>
                        </a:sysClr>
                      </a:solidFill>
                      <a:prstDash val="solid"/>
                      <a:round/>
                    </a:ln>
                    <a:effectLst/>
                  </c:spPr>
                </c15:leaderLines>
              </c:ext>
            </c:extLst>
          </c:dLbls>
          <c:cat>
            <c:strRef>
              <c:f>Sheet1!$A$2:$A$3</c:f>
              <c:strCache>
                <c:ptCount val="2"/>
                <c:pt idx="0">
                  <c:v>2022年</c:v>
                </c:pt>
                <c:pt idx="1">
                  <c:v>2023年</c:v>
                </c:pt>
              </c:strCache>
            </c:strRef>
          </c:cat>
          <c:val>
            <c:numRef>
              <c:f>Sheet1!$B$2:$B$3</c:f>
              <c:numCache>
                <c:formatCode>General</c:formatCode>
                <c:ptCount val="2"/>
                <c:pt idx="0">
                  <c:v>46.32</c:v>
                </c:pt>
                <c:pt idx="1">
                  <c:v>46.86</c:v>
                </c:pt>
              </c:numCache>
            </c:numRef>
          </c:val>
        </c:ser>
        <c:ser>
          <c:idx val="1"/>
          <c:order val="1"/>
          <c:tx>
            <c:strRef>
              <c:f>Sheet1!$C$1</c:f>
              <c:strCache>
                <c:ptCount val="1"/>
                <c:pt idx="0">
                  <c:v>支出</c:v>
                </c:pt>
              </c:strCache>
            </c:strRef>
          </c:tx>
          <c:spPr>
            <a:solidFill>
              <a:srgbClr val="C0504D"/>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lumMod val="75000"/>
                        <a:lumOff val="25000"/>
                      </a:sys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ysClr val="windowText" lastClr="000000">
                          <a:lumMod val="35000"/>
                          <a:lumOff val="65000"/>
                        </a:sysClr>
                      </a:solidFill>
                      <a:prstDash val="solid"/>
                      <a:round/>
                    </a:ln>
                    <a:effectLst/>
                  </c:spPr>
                </c15:leaderLines>
              </c:ext>
            </c:extLst>
          </c:dLbls>
          <c:cat>
            <c:strRef>
              <c:f>Sheet1!$A$2:$A$3</c:f>
              <c:strCache>
                <c:ptCount val="2"/>
                <c:pt idx="0">
                  <c:v>2022年</c:v>
                </c:pt>
                <c:pt idx="1">
                  <c:v>2023年</c:v>
                </c:pt>
              </c:strCache>
            </c:strRef>
          </c:cat>
          <c:val>
            <c:numRef>
              <c:f>Sheet1!$C$2:$C$3</c:f>
              <c:numCache>
                <c:formatCode>General</c:formatCode>
                <c:ptCount val="2"/>
                <c:pt idx="0">
                  <c:v>46.32</c:v>
                </c:pt>
                <c:pt idx="1">
                  <c:v>46.86</c:v>
                </c:pt>
              </c:numCache>
            </c:numRef>
          </c:val>
        </c:ser>
        <c:dLbls>
          <c:showLegendKey val="0"/>
          <c:showVal val="1"/>
          <c:showCatName val="0"/>
          <c:showSerName val="0"/>
          <c:showPercent val="0"/>
          <c:showBubbleSize val="0"/>
        </c:dLbls>
        <c:gapWidth val="150"/>
        <c:axId val="309740032"/>
        <c:axId val="273828672"/>
      </c:barChart>
      <c:catAx>
        <c:axId val="309740032"/>
        <c:scaling>
          <c:orientation val="minMax"/>
        </c:scaling>
        <c:delete val="0"/>
        <c:axPos val="b"/>
        <c:majorTickMark val="out"/>
        <c:minorTickMark val="none"/>
        <c:tickLblPos val="nextTo"/>
        <c:spPr>
          <a:noFill/>
          <a:ln w="9525" cap="flat" cmpd="sng" algn="ctr">
            <a:solidFill>
              <a:sysClr val="windowText" lastClr="000000">
                <a:lumMod val="15000"/>
                <a:lumOff val="85000"/>
              </a:sysClr>
            </a:solidFill>
            <a:prstDash val="solid"/>
            <a:round/>
          </a:ln>
          <a:effectLst/>
        </c:spPr>
        <c:txPr>
          <a:bodyPr rot="-60000000" spcFirstLastPara="0"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p>
        </c:txPr>
        <c:crossAx val="273828672"/>
        <c:crosses val="autoZero"/>
        <c:auto val="1"/>
        <c:lblAlgn val="ctr"/>
        <c:lblOffset val="100"/>
        <c:noMultiLvlLbl val="0"/>
      </c:catAx>
      <c:valAx>
        <c:axId val="273828672"/>
        <c:scaling>
          <c:orientation val="minMax"/>
        </c:scaling>
        <c:delete val="0"/>
        <c:axPos val="l"/>
        <c:majorGridlines>
          <c:spPr>
            <a:ln w="9525" cap="flat" cmpd="sng" algn="ctr">
              <a:solidFill>
                <a:sysClr val="windowText" lastClr="000000">
                  <a:lumMod val="15000"/>
                  <a:lumOff val="85000"/>
                </a:sysClr>
              </a:solidFill>
              <a:prstDash val="solid"/>
              <a:round/>
            </a:ln>
            <a:effectLst/>
          </c:spPr>
        </c:majorGridlines>
        <c:numFmt formatCode="General" sourceLinked="1"/>
        <c:majorTickMark val="out"/>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p>
        </c:txPr>
        <c:crossAx val="309740032"/>
        <c:crosses val="autoZero"/>
        <c:crossBetween val="between"/>
      </c:valAx>
      <c:dTable>
        <c:showHorzBorder val="1"/>
        <c:showVertBorder val="1"/>
        <c:showOutline val="1"/>
        <c:showKeys val="1"/>
        <c:spPr>
          <a:noFill/>
          <a:ln w="9525" cap="flat" cmpd="sng" algn="ctr">
            <a:solidFill>
              <a:sysClr val="windowText" lastClr="000000">
                <a:lumMod val="15000"/>
                <a:lumOff val="85000"/>
              </a:sysClr>
            </a:solidFill>
            <a:prstDash val="solid"/>
            <a:round/>
          </a:ln>
          <a:effectLst/>
        </c:spPr>
        <c:txPr>
          <a:bodyPr rot="0" spcFirstLastPara="0"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p>
        </c:txPr>
      </c:dTable>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p>
      </c:txPr>
    </c:legend>
    <c:plotVisOnly val="1"/>
    <c:dispBlanksAs val="gap"/>
    <c:showDLblsOverMax val="0"/>
  </c:chart>
  <c:spPr>
    <a:solidFill>
      <a:sysClr val="window" lastClr="FFFFFF"/>
    </a:solidFill>
    <a:ln w="9525" cap="flat" cmpd="sng" algn="ctr">
      <a:solidFill>
        <a:sysClr val="windowText" lastClr="000000">
          <a:lumMod val="15000"/>
          <a:lumOff val="85000"/>
        </a:sysClr>
      </a:solidFill>
      <a:prstDash val="solid"/>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Sheet1!$B$1</c:f>
              <c:strCache>
                <c:ptCount val="1"/>
                <c:pt idx="0">
                  <c:v>2022年</c:v>
                </c:pt>
              </c:strCache>
            </c:strRef>
          </c:tx>
          <c:spPr>
            <a:solidFill>
              <a:srgbClr val="4F81BD"/>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lumMod val="75000"/>
                        <a:lumOff val="25000"/>
                      </a:sys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ysClr val="windowText" lastClr="000000">
                          <a:lumMod val="35000"/>
                          <a:lumOff val="65000"/>
                        </a:sysClr>
                      </a:solidFill>
                      <a:prstDash val="solid"/>
                      <a:round/>
                    </a:ln>
                    <a:effectLst/>
                  </c:spPr>
                </c15:leaderLines>
              </c:ext>
            </c:extLst>
          </c:dLbls>
          <c:cat>
            <c:strRef>
              <c:f>Sheet1!$A$2</c:f>
              <c:strCache>
                <c:ptCount val="1"/>
                <c:pt idx="0">
                  <c:v>一般公共预算财政拨款支出</c:v>
                </c:pt>
              </c:strCache>
            </c:strRef>
          </c:cat>
          <c:val>
            <c:numRef>
              <c:f>Sheet1!$B$2</c:f>
              <c:numCache>
                <c:formatCode>General</c:formatCode>
                <c:ptCount val="1"/>
                <c:pt idx="0">
                  <c:v>46.32</c:v>
                </c:pt>
              </c:numCache>
            </c:numRef>
          </c:val>
        </c:ser>
        <c:ser>
          <c:idx val="1"/>
          <c:order val="1"/>
          <c:tx>
            <c:strRef>
              <c:f>Sheet1!$C$1</c:f>
              <c:strCache>
                <c:ptCount val="1"/>
                <c:pt idx="0">
                  <c:v>2023年</c:v>
                </c:pt>
              </c:strCache>
            </c:strRef>
          </c:tx>
          <c:spPr>
            <a:solidFill>
              <a:srgbClr val="C0504D"/>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lumMod val="75000"/>
                        <a:lumOff val="25000"/>
                      </a:sys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ysClr val="windowText" lastClr="000000">
                          <a:lumMod val="35000"/>
                          <a:lumOff val="65000"/>
                        </a:sysClr>
                      </a:solidFill>
                      <a:prstDash val="solid"/>
                      <a:round/>
                    </a:ln>
                    <a:effectLst/>
                  </c:spPr>
                </c15:leaderLines>
              </c:ext>
            </c:extLst>
          </c:dLbls>
          <c:cat>
            <c:strRef>
              <c:f>Sheet1!$A$2</c:f>
              <c:strCache>
                <c:ptCount val="1"/>
                <c:pt idx="0">
                  <c:v>一般公共预算财政拨款支出</c:v>
                </c:pt>
              </c:strCache>
            </c:strRef>
          </c:cat>
          <c:val>
            <c:numRef>
              <c:f>Sheet1!$C$2</c:f>
              <c:numCache>
                <c:formatCode>General</c:formatCode>
                <c:ptCount val="1"/>
                <c:pt idx="0">
                  <c:v>46.86</c:v>
                </c:pt>
              </c:numCache>
            </c:numRef>
          </c:val>
        </c:ser>
        <c:dLbls>
          <c:showLegendKey val="0"/>
          <c:showVal val="1"/>
          <c:showCatName val="0"/>
          <c:showSerName val="0"/>
          <c:showPercent val="0"/>
          <c:showBubbleSize val="0"/>
        </c:dLbls>
        <c:gapWidth val="150"/>
        <c:axId val="179825152"/>
        <c:axId val="275011200"/>
      </c:barChart>
      <c:catAx>
        <c:axId val="179825152"/>
        <c:scaling>
          <c:orientation val="minMax"/>
        </c:scaling>
        <c:delete val="0"/>
        <c:axPos val="b"/>
        <c:majorTickMark val="none"/>
        <c:minorTickMark val="none"/>
        <c:tickLblPos val="nextTo"/>
        <c:spPr>
          <a:noFill/>
          <a:ln w="9525" cap="flat" cmpd="sng" algn="ctr">
            <a:solidFill>
              <a:sysClr val="windowText" lastClr="000000">
                <a:lumMod val="15000"/>
                <a:lumOff val="85000"/>
              </a:sysClr>
            </a:solidFill>
            <a:prstDash val="solid"/>
            <a:round/>
          </a:ln>
          <a:effectLst/>
        </c:spPr>
        <c:txPr>
          <a:bodyPr rot="-60000000" spcFirstLastPara="0"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p>
        </c:txPr>
        <c:crossAx val="275011200"/>
        <c:crosses val="autoZero"/>
        <c:auto val="1"/>
        <c:lblAlgn val="ctr"/>
        <c:lblOffset val="100"/>
        <c:noMultiLvlLbl val="0"/>
      </c:catAx>
      <c:valAx>
        <c:axId val="275011200"/>
        <c:scaling>
          <c:orientation val="minMax"/>
        </c:scaling>
        <c:delete val="0"/>
        <c:axPos val="l"/>
        <c:majorGridlines>
          <c:spPr>
            <a:ln w="9525" cap="flat" cmpd="sng" algn="ctr">
              <a:solidFill>
                <a:sysClr val="windowText" lastClr="000000">
                  <a:lumMod val="15000"/>
                  <a:lumOff val="85000"/>
                </a:sys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p>
        </c:txPr>
        <c:crossAx val="179825152"/>
        <c:crosses val="autoZero"/>
        <c:crossBetween val="between"/>
      </c:valAx>
      <c:dTable>
        <c:showHorzBorder val="1"/>
        <c:showVertBorder val="1"/>
        <c:showOutline val="1"/>
        <c:showKeys val="1"/>
        <c:spPr>
          <a:noFill/>
          <a:ln w="9525" cap="flat" cmpd="sng" algn="ctr">
            <a:solidFill>
              <a:sysClr val="windowText" lastClr="000000">
                <a:lumMod val="15000"/>
                <a:lumOff val="85000"/>
              </a:sysClr>
            </a:solidFill>
            <a:prstDash val="solid"/>
            <a:round/>
          </a:ln>
          <a:effectLst/>
        </c:spPr>
        <c:txPr>
          <a:bodyPr rot="0" spcFirstLastPara="0"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p>
        </c:txPr>
      </c:dTable>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p>
      </c:txPr>
    </c:legend>
    <c:plotVisOnly val="1"/>
    <c:dispBlanksAs val="gap"/>
    <c:showDLblsOverMax val="0"/>
  </c:chart>
  <c:spPr>
    <a:solidFill>
      <a:sysClr val="window" lastClr="FFFFFF"/>
    </a:solidFill>
    <a:ln w="9525" cap="flat" cmpd="sng" algn="ctr">
      <a:solidFill>
        <a:sysClr val="windowText" lastClr="000000">
          <a:lumMod val="15000"/>
          <a:lumOff val="85000"/>
        </a:sysClr>
      </a:solidFill>
      <a:prstDash val="solid"/>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0" vertOverflow="ellipsis" vert="horz" wrap="square" anchor="ctr" anchorCtr="1"/>
          <a:lstStyle/>
          <a:p>
            <a:pPr defTabSz="914400">
              <a:defRPr lang="zh-CN" sz="1400" b="0" i="0" u="none" strike="noStrike" kern="1200" spc="0" baseline="0">
                <a:solidFill>
                  <a:sysClr val="windowText" lastClr="000000">
                    <a:lumMod val="65000"/>
                    <a:lumOff val="35000"/>
                  </a:sysClr>
                </a:solidFill>
                <a:latin typeface="+mn-lt"/>
                <a:ea typeface="+mn-ea"/>
                <a:cs typeface="+mn-cs"/>
              </a:defRPr>
            </a:pPr>
            <a:r>
              <a:rPr lang="zh-CN" altLang="en-US"/>
              <a:t>一般公共预算财政拨款支出决算结构情况</a:t>
            </a:r>
            <a:endParaRPr lang="zh-CN" altLang="en-US"/>
          </a:p>
        </c:rich>
      </c:tx>
      <c:layout/>
      <c:overlay val="0"/>
      <c:spPr>
        <a:noFill/>
        <a:ln>
          <a:noFill/>
        </a:ln>
        <a:effectLst/>
      </c:spPr>
    </c:title>
    <c:autoTitleDeleted val="0"/>
    <c:plotArea>
      <c:layout/>
      <c:pieChart>
        <c:varyColors val="1"/>
        <c:ser>
          <c:idx val="0"/>
          <c:order val="0"/>
          <c:tx>
            <c:strRef>
              <c:f>Sheet1!$B$1</c:f>
              <c:strCache>
                <c:ptCount val="1"/>
                <c:pt idx="0">
                  <c:v>一般公共预算财政拨款支出决算</c:v>
                </c:pt>
              </c:strCache>
            </c:strRef>
          </c:tx>
          <c:explosion val="0"/>
          <c:dPt>
            <c:idx val="0"/>
            <c:bubble3D val="0"/>
            <c:spPr>
              <a:solidFill>
                <a:srgbClr val="4F81BD"/>
              </a:solidFill>
              <a:ln w="19050">
                <a:solidFill>
                  <a:sysClr val="window" lastClr="FFFFFF"/>
                </a:solidFill>
              </a:ln>
              <a:effectLst/>
            </c:spPr>
          </c:dPt>
          <c:dPt>
            <c:idx val="1"/>
            <c:bubble3D val="0"/>
            <c:spPr>
              <a:solidFill>
                <a:srgbClr val="C0504D"/>
              </a:solidFill>
              <a:ln w="19050">
                <a:solidFill>
                  <a:sysClr val="window" lastClr="FFFFFF"/>
                </a:solidFill>
              </a:ln>
              <a:effectLst/>
            </c:spPr>
          </c:dPt>
          <c:dPt>
            <c:idx val="2"/>
            <c:bubble3D val="0"/>
            <c:spPr>
              <a:solidFill>
                <a:srgbClr val="9BBB59"/>
              </a:solidFill>
              <a:ln w="19050">
                <a:solidFill>
                  <a:sysClr val="window" lastClr="FFFFFF"/>
                </a:solidFill>
              </a:ln>
              <a:effectLst/>
            </c:spPr>
          </c:dPt>
          <c:dLbls>
            <c:dLbl>
              <c:idx val="0"/>
              <c:layout>
                <c:manualLayout>
                  <c:x val="-0.276255240626624"/>
                  <c:y val="0.0364998100492654"/>
                </c:manualLayout>
              </c:layout>
              <c:dLblPos val="bestFit"/>
              <c:showLegendKey val="1"/>
              <c:showVal val="1"/>
              <c:showCatName val="1"/>
              <c:showSerName val="0"/>
              <c:showPercent val="1"/>
              <c:showBubbleSize val="0"/>
              <c:separator>
</c:separator>
              <c:extLst>
                <c:ext xmlns:c15="http://schemas.microsoft.com/office/drawing/2012/chart" uri="{CE6537A1-D6FC-4f65-9D91-7224C49458BB}">
                  <c15:layout/>
                </c:ext>
              </c:extLst>
            </c:dLbl>
            <c:dLbl>
              <c:idx val="1"/>
              <c:layout>
                <c:manualLayout>
                  <c:x val="0.0796990077393863"/>
                  <c:y val="-0.00543379628719051"/>
                </c:manualLayout>
              </c:layout>
              <c:dLblPos val="bestFit"/>
              <c:showLegendKey val="1"/>
              <c:showVal val="1"/>
              <c:showCatName val="1"/>
              <c:showSerName val="0"/>
              <c:showPercent val="1"/>
              <c:showBubbleSize val="0"/>
              <c:separator>
</c:separator>
              <c:extLst>
                <c:ext xmlns:c15="http://schemas.microsoft.com/office/drawing/2012/chart" uri="{CE6537A1-D6FC-4f65-9D91-7224C49458BB}">
                  <c15:layout/>
                </c:ext>
              </c:extLst>
            </c:dLbl>
            <c:dLbl>
              <c:idx val="2"/>
              <c:layout>
                <c:manualLayout>
                  <c:x val="0.571879281518736"/>
                  <c:y val="-0.0492417153649344"/>
                </c:manualLayout>
              </c:layout>
              <c:dLblPos val="bestFit"/>
              <c:showLegendKey val="1"/>
              <c:showVal val="1"/>
              <c:showCatName val="1"/>
              <c:showSerName val="0"/>
              <c:showPercent val="1"/>
              <c:showBubbleSize val="0"/>
              <c:separator>
</c:separator>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ysClr val="windowText" lastClr="000000">
                        <a:lumMod val="75000"/>
                        <a:lumOff val="25000"/>
                      </a:sysClr>
                    </a:solidFill>
                    <a:latin typeface="+mn-lt"/>
                    <a:ea typeface="+mn-ea"/>
                    <a:cs typeface="+mn-cs"/>
                  </a:defRPr>
                </a:pPr>
              </a:p>
            </c:txPr>
            <c:dLblPos val="bestFit"/>
            <c:showLegendKey val="1"/>
            <c:showVal val="1"/>
            <c:showCatName val="1"/>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ysClr val="windowText" lastClr="000000">
                          <a:lumMod val="35000"/>
                          <a:lumOff val="65000"/>
                        </a:sysClr>
                      </a:solidFill>
                      <a:prstDash val="solid"/>
                      <a:round/>
                    </a:ln>
                    <a:effectLst/>
                  </c:spPr>
                </c15:leaderLines>
              </c:ext>
            </c:extLst>
          </c:dLbls>
          <c:cat>
            <c:strRef>
              <c:f>Sheet1!$A$2:$A$4</c:f>
              <c:strCache>
                <c:ptCount val="3"/>
                <c:pt idx="0">
                  <c:v>社会保障和就业</c:v>
                </c:pt>
                <c:pt idx="1">
                  <c:v>卫生健康</c:v>
                </c:pt>
                <c:pt idx="2">
                  <c:v>农林水</c:v>
                </c:pt>
              </c:strCache>
            </c:strRef>
          </c:cat>
          <c:val>
            <c:numRef>
              <c:f>Sheet1!$B$2:$B$4</c:f>
              <c:numCache>
                <c:formatCode>General</c:formatCode>
                <c:ptCount val="3"/>
                <c:pt idx="0">
                  <c:v>3.56</c:v>
                </c:pt>
                <c:pt idx="1">
                  <c:v>5.03</c:v>
                </c:pt>
                <c:pt idx="2">
                  <c:v>38.28</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ysClr val="windowText" lastClr="000000">
                  <a:lumMod val="65000"/>
                  <a:lumOff val="35000"/>
                </a:sysClr>
              </a:solidFill>
              <a:latin typeface="+mn-lt"/>
              <a:ea typeface="+mn-ea"/>
              <a:cs typeface="+mn-cs"/>
            </a:defRPr>
          </a:pPr>
        </a:p>
      </c:txPr>
    </c:legend>
    <c:plotVisOnly val="1"/>
    <c:dispBlanksAs val="gap"/>
    <c:showDLblsOverMax val="0"/>
  </c:chart>
  <c:spPr>
    <a:solidFill>
      <a:sysClr val="window" lastClr="FFFFFF"/>
    </a:solidFill>
    <a:ln w="9525" cap="flat" cmpd="sng" algn="ctr">
      <a:solidFill>
        <a:sysClr val="windowText" lastClr="000000">
          <a:lumMod val="15000"/>
          <a:lumOff val="85000"/>
        </a:sysClr>
      </a:solidFill>
      <a:prstDash val="solid"/>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layout/>
      <c:overlay val="0"/>
      <c:spPr>
        <a:noFill/>
        <a:ln>
          <a:noFill/>
        </a:ln>
        <a:effectLst/>
      </c:spPr>
      <c:txPr>
        <a:bodyPr rot="0" spcFirstLastPara="0" vertOverflow="ellipsis" vert="horz" wrap="square" anchor="ctr" anchorCtr="1"/>
        <a:lstStyle/>
        <a:p>
          <a:pPr>
            <a:defRPr lang="zh-CN" sz="1600" b="1" i="0" u="none" strike="noStrike" kern="1200" baseline="0">
              <a:solidFill>
                <a:srgbClr val="1F497D"/>
              </a:solidFill>
              <a:latin typeface="+mn-lt"/>
              <a:ea typeface="+mn-ea"/>
              <a:cs typeface="+mn-cs"/>
            </a:defRPr>
          </a:pPr>
        </a:p>
      </c:txPr>
    </c:title>
    <c:autoTitleDeleted val="0"/>
    <c:plotArea>
      <c:layout/>
      <c:pieChart>
        <c:varyColors val="1"/>
        <c:ser>
          <c:idx val="0"/>
          <c:order val="0"/>
          <c:tx>
            <c:strRef>
              <c:f>Sheet1!$B$1</c:f>
              <c:strCache>
                <c:ptCount val="1"/>
                <c:pt idx="0">
                  <c:v>“三公”经费财政拨款支出结构</c:v>
                </c:pt>
              </c:strCache>
            </c:strRef>
          </c:tx>
          <c:explosion val="0"/>
          <c:dPt>
            <c:idx val="0"/>
            <c:bubble3D val="0"/>
            <c:spPr>
              <a:gradFill rotWithShape="1">
                <a:gsLst>
                  <a:gs pos="0">
                    <a:srgbClr val="4F81BD">
                      <a:shade val="51000"/>
                      <a:satMod val="130000"/>
                    </a:srgbClr>
                  </a:gs>
                  <a:gs pos="80000">
                    <a:srgbClr val="4F81BD">
                      <a:shade val="93000"/>
                      <a:satMod val="130000"/>
                    </a:srgbClr>
                  </a:gs>
                  <a:gs pos="100000">
                    <a:srgbClr val="4F81BD">
                      <a:shade val="94000"/>
                      <a:satMod val="135000"/>
                    </a:srgbClr>
                  </a:gs>
                </a:gsLst>
                <a:lin ang="16200000" scaled="0"/>
              </a:gradFill>
              <a:ln>
                <a:noFill/>
              </a:ln>
              <a:effectLst>
                <a:outerShdw blurRad="40000" dist="23000" dir="5400000" rotWithShape="0">
                  <a:srgbClr val="000000">
                    <a:alpha val="35000"/>
                  </a:srgbClr>
                </a:outerShdw>
              </a:effectLst>
            </c:spPr>
          </c:dPt>
          <c:dPt>
            <c:idx val="1"/>
            <c:bubble3D val="0"/>
            <c:spPr>
              <a:gradFill rotWithShape="1">
                <a:gsLst>
                  <a:gs pos="0">
                    <a:srgbClr val="C0504D">
                      <a:shade val="51000"/>
                      <a:satMod val="130000"/>
                    </a:srgbClr>
                  </a:gs>
                  <a:gs pos="80000">
                    <a:srgbClr val="C0504D">
                      <a:shade val="93000"/>
                      <a:satMod val="130000"/>
                    </a:srgbClr>
                  </a:gs>
                  <a:gs pos="100000">
                    <a:srgbClr val="C0504D">
                      <a:shade val="94000"/>
                      <a:satMod val="135000"/>
                    </a:srgbClr>
                  </a:gs>
                </a:gsLst>
                <a:lin ang="16200000" scaled="0"/>
              </a:gradFill>
              <a:ln>
                <a:noFill/>
              </a:ln>
              <a:effectLst>
                <a:outerShdw blurRad="40000" dist="23000" dir="5400000" rotWithShape="0">
                  <a:srgbClr val="000000">
                    <a:alpha val="35000"/>
                  </a:srgbClr>
                </a:outerShdw>
              </a:effectLst>
            </c:spPr>
          </c:dPt>
          <c:dPt>
            <c:idx val="2"/>
            <c:bubble3D val="0"/>
            <c:spPr>
              <a:gradFill rotWithShape="1">
                <a:gsLst>
                  <a:gs pos="0">
                    <a:srgbClr val="9BBB59">
                      <a:shade val="51000"/>
                      <a:satMod val="130000"/>
                    </a:srgbClr>
                  </a:gs>
                  <a:gs pos="80000">
                    <a:srgbClr val="9BBB59">
                      <a:shade val="93000"/>
                      <a:satMod val="130000"/>
                    </a:srgbClr>
                  </a:gs>
                  <a:gs pos="100000">
                    <a:srgbClr val="9BBB59">
                      <a:shade val="94000"/>
                      <a:satMod val="135000"/>
                    </a:srgbClr>
                  </a:gs>
                </a:gsLst>
                <a:lin ang="16200000" scaled="0"/>
              </a:gradFill>
              <a:ln>
                <a:noFill/>
              </a:ln>
              <a:effectLst>
                <a:outerShdw blurRad="40000" dist="23000" dir="5400000" rotWithShape="0">
                  <a:srgbClr val="000000">
                    <a:alpha val="35000"/>
                  </a:srgbClr>
                </a:outerShdw>
              </a:effectLst>
            </c:spPr>
          </c:dPt>
          <c:dLbls>
            <c:delete val="1"/>
          </c:dLbls>
          <c:cat>
            <c:strRef>
              <c:f>Sheet1!$A$2:$A$4</c:f>
              <c:strCache>
                <c:ptCount val="3"/>
                <c:pt idx="0">
                  <c:v>因公出国（境）费支出决算</c:v>
                </c:pt>
                <c:pt idx="1">
                  <c:v>公务用车购置及运行维护费支出决算</c:v>
                </c:pt>
                <c:pt idx="2">
                  <c:v>公务接待费支出决算</c:v>
                </c:pt>
              </c:strCache>
            </c:strRef>
          </c:cat>
          <c:val>
            <c:numRef>
              <c:f>Sheet1!$B$2:$B$4</c:f>
              <c:numCache>
                <c:formatCode>General</c:formatCode>
                <c:ptCount val="3"/>
                <c:pt idx="0">
                  <c:v>0</c:v>
                </c:pt>
                <c:pt idx="1">
                  <c:v>0</c:v>
                </c:pt>
                <c:pt idx="2">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rgbClr val="1F497D"/>
              </a:solidFill>
              <a:latin typeface="+mn-lt"/>
              <a:ea typeface="+mn-ea"/>
              <a:cs typeface="+mn-cs"/>
            </a:defRPr>
          </a:pPr>
        </a:p>
      </c:txPr>
    </c:legend>
    <c:plotVisOnly val="1"/>
    <c:dispBlanksAs val="gap"/>
    <c:showDLblsOverMax val="0"/>
  </c:chart>
  <c:spPr>
    <a:solidFill>
      <a:sysClr val="window" lastClr="FFFFFF"/>
    </a:solidFill>
    <a:ln w="9525" cap="flat" cmpd="sng" algn="ctr">
      <a:solidFill>
        <a:srgbClr val="1F497D">
          <a:lumMod val="15000"/>
          <a:lumOff val="85000"/>
        </a:srgbClr>
      </a:solidFill>
      <a:prstDash val="solid"/>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04">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styleClr val="auto"/>
    </cs:effectRef>
    <cs:fontRef idx="minor">
      <a:schemeClr val="dk1"/>
    </cs:fontRef>
    <cs:spPr>
      <a:gradFill>
        <a:gsLst>
          <a:gs pos="0">
            <a:schemeClr val="phClr">
              <a:lumMod val="40000"/>
              <a:lumOff val="60000"/>
            </a:schemeClr>
          </a:gs>
          <a:gs pos="90000">
            <a:schemeClr val="phClr"/>
          </a:gs>
        </a:gsLst>
        <a:lin ang="5400000" scaled="0"/>
      </a:gradFill>
      <a:ln>
        <a:gradFill>
          <a:gsLst>
            <a:gs pos="0">
              <a:schemeClr val="phClr"/>
            </a:gs>
            <a:gs pos="100000">
              <a:schemeClr val="phClr">
                <a:lumMod val="75000"/>
              </a:schemeClr>
            </a:gs>
          </a:gsLst>
          <a:lin ang="5400000" scaled="1"/>
        </a:gradFill>
      </a:ln>
      <a:effectLst>
        <a:outerShdw blurRad="76200" dist="25400" dir="2700000" algn="tl" rotWithShape="0">
          <a:schemeClr val="phClr">
            <a:lumMod val="50000"/>
            <a:alpha val="30000"/>
          </a:schemeClr>
        </a:outerShdw>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891</Words>
  <Characters>5081</Characters>
  <Lines>42</Lines>
  <Paragraphs>11</Paragraphs>
  <TotalTime>26</TotalTime>
  <ScaleCrop>false</ScaleCrop>
  <LinksUpToDate>false</LinksUpToDate>
  <CharactersWithSpaces>5961</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2018-11-27T01:47:00Z</dcterms:created>
  <dc:creator>user</dc:creator>
  <cp:lastModifiedBy>心如死灰</cp:lastModifiedBy>
  <cp:lastPrinted>2024-10-09T10:04:00Z</cp:lastPrinted>
  <dcterms:modified xsi:type="dcterms:W3CDTF">2024-10-27T18:13:27Z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A5E0E62173144A4797C5F3D2154DF4D2</vt:lpwstr>
  </property>
</Properties>
</file>