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docProps/custom.xml" ContentType="application/vnd.openxmlformats-officedocument.custom-properties+xml"/>
  <Override PartName="/word/charts/colors5.xml" ContentType="application/vnd.ms-office.chartcolorstyle+xml"/>
  <Override PartName="/word/charts/colors6.xml" ContentType="application/vnd.ms-office.chartcolorstyle+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Override PartName="/word/charts/style6.xml" ContentType="application/vnd.ms-office.chartstyle+xml"/>
  <Override PartName="/word/charts/colors3.xml" ContentType="application/vnd.ms-office.chartcolorstyle+xml"/>
  <Override PartName="/word/charts/colors4.xml" ContentType="application/vnd.ms-office.chartcolorstyl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charts/style5.xml" ContentType="application/vnd.ms-office.chartstyle+xml"/>
  <Override PartName="/word/charts/style3.xml" ContentType="application/vnd.ms-office.chartstyle+xml"/>
  <Override PartName="/word/charts/style4.xml" ContentType="application/vnd.ms-office.chartstyle+xml"/>
  <Override PartName="/word/charts/colors1.xml" ContentType="application/vnd.ms-office.chartcolorstyle+xml"/>
  <Override PartName="/word/charts/colors2.xml" ContentType="application/vnd.ms-office.chartcolorsty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Override PartName="/word/charts/style1.xml" ContentType="application/vnd.ms-office.chartstyle+xml"/>
  <Override PartName="/word/charts/style2.xml" ContentType="application/vnd.ms-office.chartsty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021A" w:rsidRDefault="0071021A">
      <w:pPr>
        <w:spacing w:line="600" w:lineRule="exact"/>
        <w:jc w:val="left"/>
        <w:outlineLvl w:val="0"/>
        <w:rPr>
          <w:rFonts w:ascii="方正小标宋简体" w:eastAsia="方正小标宋简体" w:hAnsi="宋体"/>
          <w:szCs w:val="21"/>
        </w:rPr>
      </w:pPr>
      <w:bookmarkStart w:id="0" w:name="_Toc15306267"/>
    </w:p>
    <w:p w:rsidR="0071021A" w:rsidRDefault="0071021A">
      <w:pPr>
        <w:pStyle w:val="a3"/>
        <w:spacing w:before="93"/>
      </w:pPr>
    </w:p>
    <w:p w:rsidR="0071021A" w:rsidRDefault="0071021A">
      <w:pPr>
        <w:spacing w:line="600" w:lineRule="exact"/>
        <w:jc w:val="center"/>
        <w:outlineLvl w:val="0"/>
        <w:rPr>
          <w:rFonts w:ascii="方正小标宋简体" w:eastAsia="方正小标宋简体" w:hAnsi="宋体"/>
          <w:sz w:val="72"/>
          <w:szCs w:val="72"/>
        </w:rPr>
      </w:pPr>
    </w:p>
    <w:p w:rsidR="0071021A" w:rsidRDefault="0071021A">
      <w:pPr>
        <w:spacing w:line="600" w:lineRule="exact"/>
        <w:jc w:val="center"/>
        <w:outlineLvl w:val="0"/>
        <w:rPr>
          <w:rFonts w:ascii="方正小标宋简体" w:eastAsia="方正小标宋简体" w:hAnsi="宋体"/>
          <w:sz w:val="72"/>
          <w:szCs w:val="72"/>
        </w:rPr>
      </w:pPr>
    </w:p>
    <w:p w:rsidR="0071021A" w:rsidRDefault="0046049C">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1" w:name="_Toc15377193"/>
      <w:bookmarkStart w:id="2" w:name="_Toc15378441"/>
      <w:bookmarkStart w:id="3" w:name="_Toc15377425"/>
      <w:bookmarkStart w:id="4" w:name="_Toc15396475"/>
      <w:bookmarkStart w:id="5" w:name="_Toc15396597"/>
      <w:r>
        <w:rPr>
          <w:rFonts w:ascii="方正小标宋简体" w:eastAsia="方正小标宋简体" w:hAnsi="方正小标宋简体" w:cs="方正小标宋简体" w:hint="eastAsia"/>
          <w:sz w:val="72"/>
          <w:szCs w:val="72"/>
        </w:rPr>
        <w:t>2023年度</w:t>
      </w:r>
      <w:bookmarkEnd w:id="1"/>
      <w:bookmarkEnd w:id="2"/>
      <w:bookmarkEnd w:id="3"/>
      <w:bookmarkEnd w:id="4"/>
      <w:bookmarkEnd w:id="5"/>
    </w:p>
    <w:p w:rsidR="0071021A" w:rsidRDefault="0046049C">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6" w:name="_Toc15396476"/>
      <w:bookmarkStart w:id="7" w:name="_Toc15378442"/>
      <w:bookmarkStart w:id="8" w:name="_Toc15396598"/>
      <w:bookmarkStart w:id="9" w:name="_Toc15377426"/>
      <w:bookmarkStart w:id="10" w:name="_Toc15377194"/>
      <w:r>
        <w:rPr>
          <w:rFonts w:ascii="方正小标宋简体" w:eastAsia="方正小标宋简体" w:hAnsi="方正小标宋简体" w:cs="方正小标宋简体" w:hint="eastAsia"/>
          <w:sz w:val="72"/>
          <w:szCs w:val="72"/>
        </w:rPr>
        <w:t>四川省</w:t>
      </w:r>
      <w:bookmarkStart w:id="11" w:name="_Toc15306268"/>
      <w:bookmarkEnd w:id="0"/>
      <w:r w:rsidR="0074109F">
        <w:rPr>
          <w:rFonts w:ascii="方正小标宋简体" w:eastAsia="方正小标宋简体" w:hAnsi="方正小标宋简体" w:cs="方正小标宋简体" w:hint="eastAsia"/>
          <w:sz w:val="72"/>
          <w:szCs w:val="72"/>
        </w:rPr>
        <w:t>攀枝花市</w:t>
      </w:r>
      <w:r w:rsidR="0074109F" w:rsidRPr="0074109F">
        <w:rPr>
          <w:rFonts w:ascii="方正小标宋简体" w:eastAsia="方正小标宋简体" w:hAnsi="方正小标宋简体" w:cs="方正小标宋简体" w:hint="eastAsia"/>
          <w:sz w:val="72"/>
          <w:szCs w:val="72"/>
        </w:rPr>
        <w:t>盐边县亚热带作物示范繁殖场</w:t>
      </w:r>
      <w:r>
        <w:rPr>
          <w:rFonts w:ascii="方正小标宋简体" w:eastAsia="方正小标宋简体" w:hAnsi="方正小标宋简体" w:cs="方正小标宋简体" w:hint="eastAsia"/>
          <w:sz w:val="72"/>
          <w:szCs w:val="72"/>
        </w:rPr>
        <w:t>单位决算</w:t>
      </w:r>
      <w:bookmarkEnd w:id="6"/>
      <w:bookmarkEnd w:id="7"/>
      <w:bookmarkEnd w:id="8"/>
      <w:bookmarkEnd w:id="9"/>
      <w:bookmarkEnd w:id="10"/>
      <w:bookmarkEnd w:id="11"/>
    </w:p>
    <w:p w:rsidR="0071021A" w:rsidRDefault="0046049C">
      <w:pPr>
        <w:widowControl/>
        <w:jc w:val="center"/>
        <w:rPr>
          <w:rFonts w:ascii="黑体" w:eastAsia="黑体" w:hAnsi="黑体"/>
          <w:sz w:val="48"/>
          <w:szCs w:val="48"/>
        </w:rPr>
      </w:pPr>
      <w:r>
        <w:rPr>
          <w:rFonts w:ascii="方正小标宋简体" w:eastAsia="方正小标宋简体" w:hAnsi="宋体"/>
          <w:sz w:val="36"/>
          <w:szCs w:val="36"/>
        </w:rPr>
        <w:br w:type="page"/>
      </w:r>
      <w:r>
        <w:rPr>
          <w:rFonts w:ascii="黑体" w:eastAsia="黑体" w:hAnsi="黑体" w:hint="eastAsia"/>
          <w:sz w:val="48"/>
          <w:szCs w:val="48"/>
        </w:rPr>
        <w:lastRenderedPageBreak/>
        <w:t>目录</w:t>
      </w:r>
    </w:p>
    <w:p w:rsidR="0071021A" w:rsidRDefault="0071021A">
      <w:pPr>
        <w:widowControl/>
        <w:jc w:val="center"/>
        <w:rPr>
          <w:rFonts w:ascii="黑体" w:eastAsia="黑体" w:hAnsi="黑体" w:cstheme="minorBidi"/>
          <w:sz w:val="28"/>
          <w:szCs w:val="28"/>
        </w:rPr>
      </w:pPr>
    </w:p>
    <w:p w:rsidR="0071021A" w:rsidRDefault="0046049C">
      <w:pPr>
        <w:pStyle w:val="10"/>
      </w:pPr>
      <w:r>
        <w:rPr>
          <w:rFonts w:hint="eastAsia"/>
        </w:rPr>
        <w:t>公开时间：2023年</w:t>
      </w:r>
      <w:r w:rsidR="0074109F">
        <w:t>10</w:t>
      </w:r>
      <w:r>
        <w:rPr>
          <w:rFonts w:hint="eastAsia"/>
        </w:rPr>
        <w:t>月</w:t>
      </w:r>
      <w:r w:rsidR="0074109F">
        <w:t>23</w:t>
      </w:r>
      <w:r>
        <w:rPr>
          <w:rFonts w:hint="eastAsia"/>
        </w:rPr>
        <w:t>日</w:t>
      </w:r>
    </w:p>
    <w:p w:rsidR="0071021A" w:rsidRDefault="0071021A"/>
    <w:p w:rsidR="0071021A" w:rsidRDefault="0046049C">
      <w:pPr>
        <w:pStyle w:val="10"/>
        <w:adjustRightInd w:val="0"/>
        <w:snapToGrid w:val="0"/>
        <w:spacing w:before="0" w:line="440" w:lineRule="exact"/>
        <w:jc w:val="left"/>
        <w:rPr>
          <w:rFonts w:cstheme="minorBidi"/>
          <w:sz w:val="24"/>
          <w:szCs w:val="24"/>
        </w:rPr>
      </w:pPr>
      <w:r>
        <w:rPr>
          <w:rFonts w:hint="eastAsia"/>
          <w:sz w:val="24"/>
        </w:rPr>
        <w:t>第一部分单位概况</w:t>
      </w:r>
      <w:r w:rsidR="0074109F">
        <w:rPr>
          <w:b/>
          <w:bCs/>
          <w:sz w:val="24"/>
        </w:rPr>
        <w:tab/>
      </w:r>
      <w:r w:rsidR="000B3036">
        <w:rPr>
          <w:rFonts w:hint="eastAsia"/>
          <w:b/>
          <w:bCs/>
          <w:sz w:val="24"/>
        </w:rPr>
        <w:t>4</w:t>
      </w:r>
    </w:p>
    <w:p w:rsidR="0071021A" w:rsidRDefault="0046049C">
      <w:pPr>
        <w:pStyle w:val="20"/>
        <w:adjustRightInd w:val="0"/>
        <w:snapToGrid w:val="0"/>
        <w:spacing w:line="440" w:lineRule="exact"/>
        <w:jc w:val="left"/>
        <w:rPr>
          <w:sz w:val="24"/>
        </w:rPr>
      </w:pPr>
      <w:r>
        <w:rPr>
          <w:rFonts w:hint="eastAsia"/>
          <w:sz w:val="24"/>
        </w:rPr>
        <w:t>一、主要职责</w:t>
      </w:r>
      <w:r w:rsidR="0074109F">
        <w:rPr>
          <w:b/>
          <w:bCs/>
          <w:sz w:val="24"/>
        </w:rPr>
        <w:tab/>
      </w:r>
      <w:r w:rsidR="000B3036">
        <w:rPr>
          <w:rFonts w:hint="eastAsia"/>
          <w:b/>
          <w:bCs/>
          <w:sz w:val="24"/>
        </w:rPr>
        <w:t>4</w:t>
      </w:r>
    </w:p>
    <w:p w:rsidR="0071021A" w:rsidRDefault="0046049C">
      <w:pPr>
        <w:pStyle w:val="20"/>
        <w:adjustRightInd w:val="0"/>
        <w:snapToGrid w:val="0"/>
        <w:spacing w:line="440" w:lineRule="exact"/>
        <w:jc w:val="left"/>
      </w:pPr>
      <w:r>
        <w:rPr>
          <w:rFonts w:hint="eastAsia"/>
          <w:sz w:val="24"/>
        </w:rPr>
        <w:t>二、机构设置</w:t>
      </w:r>
      <w:r w:rsidR="0074109F">
        <w:rPr>
          <w:b/>
          <w:bCs/>
          <w:sz w:val="24"/>
        </w:rPr>
        <w:tab/>
      </w:r>
      <w:r w:rsidR="000B3036">
        <w:rPr>
          <w:rFonts w:hint="eastAsia"/>
          <w:b/>
          <w:bCs/>
          <w:sz w:val="24"/>
        </w:rPr>
        <w:t>4</w:t>
      </w:r>
    </w:p>
    <w:p w:rsidR="0071021A" w:rsidRDefault="0046049C">
      <w:pPr>
        <w:pStyle w:val="10"/>
        <w:adjustRightInd w:val="0"/>
        <w:snapToGrid w:val="0"/>
        <w:spacing w:before="0" w:line="440" w:lineRule="exact"/>
        <w:jc w:val="left"/>
        <w:rPr>
          <w:sz w:val="24"/>
          <w:szCs w:val="24"/>
        </w:rPr>
      </w:pPr>
      <w:r>
        <w:rPr>
          <w:rFonts w:hint="eastAsia"/>
          <w:sz w:val="24"/>
        </w:rPr>
        <w:t>第二部分 2023年度单位决算情况说明</w:t>
      </w:r>
      <w:r w:rsidR="0074109F">
        <w:rPr>
          <w:b/>
          <w:bCs/>
          <w:sz w:val="24"/>
        </w:rPr>
        <w:tab/>
      </w:r>
      <w:r w:rsidR="00134B23">
        <w:rPr>
          <w:rFonts w:hint="eastAsia"/>
          <w:b/>
          <w:bCs/>
          <w:sz w:val="24"/>
        </w:rPr>
        <w:t>5</w:t>
      </w:r>
    </w:p>
    <w:p w:rsidR="0071021A" w:rsidRDefault="0046049C">
      <w:pPr>
        <w:pStyle w:val="20"/>
        <w:adjustRightInd w:val="0"/>
        <w:snapToGrid w:val="0"/>
        <w:spacing w:line="440" w:lineRule="exact"/>
        <w:jc w:val="left"/>
        <w:rPr>
          <w:rFonts w:ascii="仿宋" w:eastAsia="仿宋" w:hAnsi="仿宋" w:cstheme="minorBidi"/>
          <w:sz w:val="24"/>
        </w:rPr>
      </w:pPr>
      <w:r>
        <w:rPr>
          <w:rFonts w:hint="eastAsia"/>
          <w:sz w:val="24"/>
        </w:rPr>
        <w:t>一、收入支出决算总体情况说明</w:t>
      </w:r>
      <w:r w:rsidR="0074109F">
        <w:rPr>
          <w:b/>
          <w:bCs/>
          <w:sz w:val="24"/>
        </w:rPr>
        <w:tab/>
      </w:r>
      <w:r w:rsidR="00134B23">
        <w:rPr>
          <w:rFonts w:hint="eastAsia"/>
          <w:b/>
          <w:bCs/>
          <w:sz w:val="24"/>
        </w:rPr>
        <w:t>5</w:t>
      </w:r>
    </w:p>
    <w:p w:rsidR="0071021A" w:rsidRDefault="0046049C">
      <w:pPr>
        <w:pStyle w:val="20"/>
        <w:adjustRightInd w:val="0"/>
        <w:snapToGrid w:val="0"/>
        <w:spacing w:line="440" w:lineRule="exact"/>
        <w:jc w:val="left"/>
        <w:rPr>
          <w:rFonts w:ascii="仿宋" w:eastAsia="仿宋" w:hAnsi="仿宋" w:cstheme="minorBidi"/>
          <w:sz w:val="24"/>
        </w:rPr>
      </w:pPr>
      <w:r>
        <w:rPr>
          <w:rFonts w:hint="eastAsia"/>
          <w:sz w:val="24"/>
        </w:rPr>
        <w:t>二、收入决算情况说明</w:t>
      </w:r>
      <w:r w:rsidR="0074109F">
        <w:rPr>
          <w:b/>
          <w:bCs/>
          <w:sz w:val="24"/>
        </w:rPr>
        <w:tab/>
      </w:r>
      <w:r w:rsidR="00134B23">
        <w:rPr>
          <w:rFonts w:hint="eastAsia"/>
          <w:b/>
          <w:bCs/>
          <w:sz w:val="24"/>
        </w:rPr>
        <w:t>5</w:t>
      </w:r>
    </w:p>
    <w:p w:rsidR="0071021A" w:rsidRDefault="0046049C">
      <w:pPr>
        <w:pStyle w:val="20"/>
        <w:adjustRightInd w:val="0"/>
        <w:snapToGrid w:val="0"/>
        <w:spacing w:line="440" w:lineRule="exact"/>
        <w:jc w:val="left"/>
        <w:rPr>
          <w:rFonts w:ascii="仿宋" w:eastAsia="仿宋" w:hAnsi="仿宋" w:cstheme="minorBidi"/>
          <w:sz w:val="24"/>
        </w:rPr>
      </w:pPr>
      <w:r>
        <w:rPr>
          <w:rFonts w:hint="eastAsia"/>
          <w:sz w:val="24"/>
        </w:rPr>
        <w:t>三、支出决算情况说明</w:t>
      </w:r>
      <w:r w:rsidR="0074109F">
        <w:rPr>
          <w:b/>
          <w:bCs/>
          <w:sz w:val="24"/>
        </w:rPr>
        <w:tab/>
      </w:r>
      <w:r w:rsidR="00134B23">
        <w:rPr>
          <w:rFonts w:hint="eastAsia"/>
          <w:b/>
          <w:bCs/>
          <w:sz w:val="24"/>
        </w:rPr>
        <w:t>6</w:t>
      </w:r>
    </w:p>
    <w:p w:rsidR="0071021A" w:rsidRDefault="0046049C">
      <w:pPr>
        <w:pStyle w:val="20"/>
        <w:adjustRightInd w:val="0"/>
        <w:snapToGrid w:val="0"/>
        <w:spacing w:line="440" w:lineRule="exact"/>
        <w:jc w:val="left"/>
        <w:rPr>
          <w:rFonts w:ascii="仿宋" w:eastAsia="仿宋" w:hAnsi="仿宋" w:cstheme="minorBidi"/>
          <w:sz w:val="24"/>
        </w:rPr>
      </w:pPr>
      <w:r>
        <w:rPr>
          <w:rFonts w:hint="eastAsia"/>
          <w:sz w:val="24"/>
        </w:rPr>
        <w:t>四、财政拨款收入支出决算总体情况说明</w:t>
      </w:r>
      <w:r w:rsidR="0074109F">
        <w:rPr>
          <w:b/>
          <w:bCs/>
          <w:sz w:val="24"/>
        </w:rPr>
        <w:tab/>
      </w:r>
      <w:r w:rsidR="00134B23">
        <w:rPr>
          <w:rFonts w:hint="eastAsia"/>
          <w:b/>
          <w:bCs/>
          <w:sz w:val="24"/>
        </w:rPr>
        <w:t>7</w:t>
      </w:r>
    </w:p>
    <w:p w:rsidR="0071021A" w:rsidRDefault="0046049C">
      <w:pPr>
        <w:pStyle w:val="20"/>
        <w:adjustRightInd w:val="0"/>
        <w:snapToGrid w:val="0"/>
        <w:spacing w:line="440" w:lineRule="exact"/>
        <w:jc w:val="left"/>
        <w:rPr>
          <w:rFonts w:ascii="仿宋" w:eastAsia="仿宋" w:hAnsi="仿宋" w:cstheme="minorBidi"/>
          <w:sz w:val="24"/>
        </w:rPr>
      </w:pPr>
      <w:r>
        <w:rPr>
          <w:rFonts w:hint="eastAsia"/>
          <w:sz w:val="24"/>
        </w:rPr>
        <w:t>五、一般公共预算财政拨款支出决算情况说明</w:t>
      </w:r>
      <w:r w:rsidR="0074109F">
        <w:rPr>
          <w:b/>
          <w:bCs/>
          <w:sz w:val="24"/>
        </w:rPr>
        <w:tab/>
      </w:r>
      <w:r w:rsidR="00134B23">
        <w:rPr>
          <w:rFonts w:hint="eastAsia"/>
          <w:b/>
          <w:bCs/>
          <w:sz w:val="24"/>
        </w:rPr>
        <w:t>7</w:t>
      </w:r>
    </w:p>
    <w:p w:rsidR="0071021A" w:rsidRDefault="0046049C">
      <w:pPr>
        <w:pStyle w:val="20"/>
        <w:adjustRightInd w:val="0"/>
        <w:snapToGrid w:val="0"/>
        <w:spacing w:line="440" w:lineRule="exact"/>
        <w:jc w:val="left"/>
        <w:rPr>
          <w:rFonts w:ascii="仿宋" w:eastAsia="仿宋" w:hAnsi="仿宋" w:cstheme="minorBidi"/>
          <w:sz w:val="24"/>
        </w:rPr>
      </w:pPr>
      <w:r>
        <w:rPr>
          <w:rFonts w:hint="eastAsia"/>
          <w:sz w:val="24"/>
        </w:rPr>
        <w:t>六、一般公共预算财政拨款基本支出决算情况说明</w:t>
      </w:r>
      <w:r w:rsidR="0074109F">
        <w:rPr>
          <w:b/>
          <w:bCs/>
          <w:sz w:val="24"/>
        </w:rPr>
        <w:tab/>
      </w:r>
      <w:r w:rsidR="00134B23">
        <w:rPr>
          <w:rFonts w:hint="eastAsia"/>
          <w:b/>
          <w:bCs/>
          <w:sz w:val="24"/>
        </w:rPr>
        <w:t>10</w:t>
      </w:r>
    </w:p>
    <w:p w:rsidR="0071021A" w:rsidRDefault="0046049C">
      <w:pPr>
        <w:pStyle w:val="20"/>
        <w:adjustRightInd w:val="0"/>
        <w:snapToGrid w:val="0"/>
        <w:spacing w:line="440" w:lineRule="exact"/>
        <w:jc w:val="left"/>
        <w:rPr>
          <w:rFonts w:ascii="仿宋" w:eastAsia="仿宋" w:hAnsi="仿宋" w:cstheme="minorBidi"/>
          <w:sz w:val="24"/>
        </w:rPr>
      </w:pPr>
      <w:r>
        <w:rPr>
          <w:rFonts w:hint="eastAsia"/>
          <w:sz w:val="24"/>
        </w:rPr>
        <w:t>七、财政拨款“三公”经费支出决算情况说明</w:t>
      </w:r>
      <w:r w:rsidR="0074109F">
        <w:rPr>
          <w:b/>
          <w:bCs/>
          <w:sz w:val="24"/>
        </w:rPr>
        <w:tab/>
      </w:r>
      <w:r w:rsidR="00134B23">
        <w:rPr>
          <w:rFonts w:hint="eastAsia"/>
          <w:b/>
          <w:bCs/>
          <w:sz w:val="24"/>
        </w:rPr>
        <w:t>11</w:t>
      </w:r>
    </w:p>
    <w:p w:rsidR="0071021A" w:rsidRDefault="0046049C">
      <w:pPr>
        <w:pStyle w:val="20"/>
        <w:adjustRightInd w:val="0"/>
        <w:snapToGrid w:val="0"/>
        <w:spacing w:line="440" w:lineRule="exact"/>
        <w:jc w:val="left"/>
        <w:rPr>
          <w:rFonts w:ascii="仿宋" w:eastAsia="仿宋" w:hAnsi="仿宋" w:cstheme="minorBidi"/>
          <w:sz w:val="24"/>
        </w:rPr>
      </w:pPr>
      <w:r>
        <w:rPr>
          <w:rFonts w:hint="eastAsia"/>
          <w:sz w:val="24"/>
        </w:rPr>
        <w:t>八、政府性基金预算支出决算情况说明</w:t>
      </w:r>
      <w:r w:rsidR="0074109F">
        <w:rPr>
          <w:b/>
          <w:bCs/>
          <w:sz w:val="24"/>
        </w:rPr>
        <w:tab/>
      </w:r>
      <w:r w:rsidR="00134B23">
        <w:rPr>
          <w:rFonts w:hint="eastAsia"/>
          <w:b/>
          <w:bCs/>
          <w:sz w:val="24"/>
        </w:rPr>
        <w:t>12</w:t>
      </w:r>
    </w:p>
    <w:p w:rsidR="0071021A" w:rsidRDefault="0046049C">
      <w:pPr>
        <w:pStyle w:val="20"/>
        <w:adjustRightInd w:val="0"/>
        <w:snapToGrid w:val="0"/>
        <w:spacing w:line="440" w:lineRule="exact"/>
        <w:jc w:val="left"/>
        <w:rPr>
          <w:sz w:val="24"/>
        </w:rPr>
      </w:pPr>
      <w:r>
        <w:rPr>
          <w:rFonts w:hint="eastAsia"/>
          <w:sz w:val="24"/>
        </w:rPr>
        <w:t>九、国有资本经营预算支出决算情况说明</w:t>
      </w:r>
      <w:r w:rsidR="0074109F">
        <w:rPr>
          <w:b/>
          <w:bCs/>
          <w:sz w:val="24"/>
        </w:rPr>
        <w:tab/>
      </w:r>
      <w:r w:rsidR="00134B23">
        <w:rPr>
          <w:rFonts w:hint="eastAsia"/>
          <w:b/>
          <w:bCs/>
          <w:sz w:val="24"/>
        </w:rPr>
        <w:t>13</w:t>
      </w:r>
    </w:p>
    <w:p w:rsidR="0071021A" w:rsidRDefault="0046049C">
      <w:pPr>
        <w:pStyle w:val="20"/>
        <w:adjustRightInd w:val="0"/>
        <w:snapToGrid w:val="0"/>
        <w:spacing w:line="440" w:lineRule="exact"/>
        <w:jc w:val="left"/>
        <w:rPr>
          <w:sz w:val="24"/>
        </w:rPr>
      </w:pPr>
      <w:r>
        <w:rPr>
          <w:rFonts w:hint="eastAsia"/>
          <w:sz w:val="24"/>
        </w:rPr>
        <w:t>十、其他重要事项的情况说明</w:t>
      </w:r>
      <w:r w:rsidR="0074109F">
        <w:rPr>
          <w:b/>
          <w:bCs/>
          <w:sz w:val="24"/>
        </w:rPr>
        <w:tab/>
      </w:r>
      <w:r w:rsidR="00134B23">
        <w:rPr>
          <w:rFonts w:hint="eastAsia"/>
          <w:b/>
          <w:bCs/>
          <w:sz w:val="24"/>
        </w:rPr>
        <w:t>13</w:t>
      </w:r>
    </w:p>
    <w:p w:rsidR="0071021A" w:rsidRDefault="0046049C">
      <w:pPr>
        <w:pStyle w:val="10"/>
        <w:adjustRightInd w:val="0"/>
        <w:snapToGrid w:val="0"/>
        <w:spacing w:before="0" w:line="440" w:lineRule="exact"/>
        <w:jc w:val="left"/>
        <w:rPr>
          <w:rFonts w:cstheme="minorBidi"/>
          <w:sz w:val="24"/>
          <w:szCs w:val="24"/>
        </w:rPr>
      </w:pPr>
      <w:r>
        <w:rPr>
          <w:rFonts w:hint="eastAsia"/>
          <w:sz w:val="24"/>
        </w:rPr>
        <w:t>第三部分名词解释</w:t>
      </w:r>
      <w:r w:rsidR="0074109F">
        <w:rPr>
          <w:b/>
          <w:bCs/>
          <w:sz w:val="24"/>
        </w:rPr>
        <w:tab/>
      </w:r>
      <w:r w:rsidR="002B1884">
        <w:rPr>
          <w:b/>
          <w:bCs/>
          <w:sz w:val="24"/>
        </w:rPr>
        <w:t>15</w:t>
      </w:r>
    </w:p>
    <w:p w:rsidR="0071021A" w:rsidRDefault="0046049C">
      <w:pPr>
        <w:pStyle w:val="10"/>
        <w:adjustRightInd w:val="0"/>
        <w:snapToGrid w:val="0"/>
        <w:spacing w:before="0" w:line="440" w:lineRule="exact"/>
        <w:jc w:val="left"/>
        <w:rPr>
          <w:rFonts w:cstheme="minorBidi"/>
          <w:sz w:val="24"/>
          <w:szCs w:val="24"/>
        </w:rPr>
      </w:pPr>
      <w:r>
        <w:rPr>
          <w:rFonts w:hint="eastAsia"/>
          <w:sz w:val="24"/>
        </w:rPr>
        <w:t>第四部分附件</w:t>
      </w:r>
      <w:r w:rsidR="0074109F">
        <w:rPr>
          <w:b/>
          <w:bCs/>
          <w:sz w:val="24"/>
        </w:rPr>
        <w:tab/>
      </w:r>
      <w:r w:rsidR="002B1884">
        <w:rPr>
          <w:b/>
          <w:bCs/>
          <w:sz w:val="24"/>
        </w:rPr>
        <w:t>18</w:t>
      </w:r>
    </w:p>
    <w:p w:rsidR="0071021A" w:rsidRDefault="0046049C">
      <w:pPr>
        <w:pStyle w:val="10"/>
        <w:adjustRightInd w:val="0"/>
        <w:snapToGrid w:val="0"/>
        <w:spacing w:before="0" w:line="440" w:lineRule="exact"/>
        <w:jc w:val="left"/>
        <w:rPr>
          <w:rFonts w:cstheme="minorBidi"/>
          <w:sz w:val="24"/>
          <w:szCs w:val="24"/>
        </w:rPr>
      </w:pPr>
      <w:r>
        <w:rPr>
          <w:rFonts w:hint="eastAsia"/>
          <w:sz w:val="24"/>
        </w:rPr>
        <w:t>第五部分附表</w:t>
      </w:r>
      <w:r w:rsidR="0074109F">
        <w:rPr>
          <w:b/>
          <w:bCs/>
          <w:sz w:val="24"/>
        </w:rPr>
        <w:tab/>
      </w:r>
      <w:r w:rsidR="007B6A95">
        <w:rPr>
          <w:rFonts w:hint="eastAsia"/>
          <w:b/>
          <w:bCs/>
          <w:sz w:val="24"/>
        </w:rPr>
        <w:t>19</w:t>
      </w:r>
    </w:p>
    <w:p w:rsidR="0071021A" w:rsidRDefault="0046049C">
      <w:pPr>
        <w:pStyle w:val="20"/>
        <w:adjustRightInd w:val="0"/>
        <w:snapToGrid w:val="0"/>
        <w:spacing w:line="440" w:lineRule="exact"/>
        <w:jc w:val="left"/>
        <w:rPr>
          <w:sz w:val="24"/>
        </w:rPr>
      </w:pPr>
      <w:r>
        <w:rPr>
          <w:rFonts w:hint="eastAsia"/>
          <w:sz w:val="24"/>
        </w:rPr>
        <w:t>一、收入支出决算总表</w:t>
      </w:r>
      <w:r w:rsidR="0074109F">
        <w:rPr>
          <w:b/>
          <w:bCs/>
          <w:sz w:val="24"/>
        </w:rPr>
        <w:tab/>
      </w:r>
      <w:r w:rsidR="007B6A95">
        <w:rPr>
          <w:rFonts w:hint="eastAsia"/>
          <w:b/>
          <w:bCs/>
          <w:sz w:val="24"/>
        </w:rPr>
        <w:t>19</w:t>
      </w:r>
    </w:p>
    <w:p w:rsidR="0071021A" w:rsidRDefault="0046049C">
      <w:pPr>
        <w:pStyle w:val="20"/>
        <w:adjustRightInd w:val="0"/>
        <w:snapToGrid w:val="0"/>
        <w:spacing w:line="440" w:lineRule="exact"/>
        <w:jc w:val="left"/>
        <w:rPr>
          <w:sz w:val="24"/>
        </w:rPr>
      </w:pPr>
      <w:r>
        <w:rPr>
          <w:rFonts w:hint="eastAsia"/>
          <w:sz w:val="24"/>
        </w:rPr>
        <w:t>二、收入决算表</w:t>
      </w:r>
      <w:r w:rsidR="0074109F">
        <w:rPr>
          <w:b/>
          <w:bCs/>
          <w:sz w:val="24"/>
        </w:rPr>
        <w:tab/>
      </w:r>
      <w:r w:rsidR="007B6A95">
        <w:rPr>
          <w:rFonts w:hint="eastAsia"/>
          <w:b/>
          <w:bCs/>
          <w:sz w:val="24"/>
        </w:rPr>
        <w:t>19</w:t>
      </w:r>
    </w:p>
    <w:p w:rsidR="0071021A" w:rsidRDefault="0046049C">
      <w:pPr>
        <w:pStyle w:val="20"/>
        <w:adjustRightInd w:val="0"/>
        <w:snapToGrid w:val="0"/>
        <w:spacing w:line="440" w:lineRule="exact"/>
        <w:jc w:val="left"/>
        <w:rPr>
          <w:sz w:val="24"/>
        </w:rPr>
      </w:pPr>
      <w:r>
        <w:rPr>
          <w:rFonts w:hint="eastAsia"/>
          <w:sz w:val="24"/>
        </w:rPr>
        <w:t>三、支出决算表</w:t>
      </w:r>
      <w:r w:rsidR="0074109F">
        <w:rPr>
          <w:b/>
          <w:bCs/>
          <w:sz w:val="24"/>
        </w:rPr>
        <w:tab/>
      </w:r>
      <w:r w:rsidR="007B6A95">
        <w:rPr>
          <w:rFonts w:hint="eastAsia"/>
          <w:b/>
          <w:bCs/>
          <w:sz w:val="24"/>
        </w:rPr>
        <w:t>19</w:t>
      </w:r>
    </w:p>
    <w:p w:rsidR="0071021A" w:rsidRDefault="0046049C">
      <w:pPr>
        <w:pStyle w:val="20"/>
        <w:adjustRightInd w:val="0"/>
        <w:snapToGrid w:val="0"/>
        <w:spacing w:line="440" w:lineRule="exact"/>
        <w:jc w:val="left"/>
        <w:rPr>
          <w:sz w:val="24"/>
        </w:rPr>
      </w:pPr>
      <w:r>
        <w:rPr>
          <w:rFonts w:hint="eastAsia"/>
          <w:sz w:val="24"/>
        </w:rPr>
        <w:t>四、财政拨款收入支出决算总表</w:t>
      </w:r>
      <w:r w:rsidR="0074109F">
        <w:rPr>
          <w:b/>
          <w:bCs/>
          <w:sz w:val="24"/>
        </w:rPr>
        <w:tab/>
      </w:r>
      <w:r w:rsidR="007B6A95">
        <w:rPr>
          <w:rFonts w:hint="eastAsia"/>
          <w:b/>
          <w:bCs/>
          <w:sz w:val="24"/>
        </w:rPr>
        <w:t>19</w:t>
      </w:r>
    </w:p>
    <w:p w:rsidR="0071021A" w:rsidRDefault="0046049C">
      <w:pPr>
        <w:pStyle w:val="20"/>
        <w:adjustRightInd w:val="0"/>
        <w:snapToGrid w:val="0"/>
        <w:spacing w:line="440" w:lineRule="exact"/>
        <w:jc w:val="left"/>
        <w:rPr>
          <w:sz w:val="24"/>
        </w:rPr>
      </w:pPr>
      <w:r>
        <w:rPr>
          <w:rFonts w:hint="eastAsia"/>
          <w:sz w:val="24"/>
        </w:rPr>
        <w:t>五、财政拨款支出决算明细表</w:t>
      </w:r>
      <w:r w:rsidR="0074109F">
        <w:rPr>
          <w:b/>
          <w:bCs/>
          <w:sz w:val="24"/>
        </w:rPr>
        <w:tab/>
      </w:r>
      <w:r w:rsidR="007B6A95">
        <w:rPr>
          <w:rFonts w:hint="eastAsia"/>
          <w:b/>
          <w:bCs/>
          <w:sz w:val="24"/>
        </w:rPr>
        <w:t>19</w:t>
      </w:r>
    </w:p>
    <w:p w:rsidR="0071021A" w:rsidRDefault="0046049C">
      <w:pPr>
        <w:pStyle w:val="20"/>
        <w:adjustRightInd w:val="0"/>
        <w:snapToGrid w:val="0"/>
        <w:spacing w:line="440" w:lineRule="exact"/>
        <w:jc w:val="left"/>
        <w:rPr>
          <w:sz w:val="24"/>
        </w:rPr>
      </w:pPr>
      <w:r>
        <w:rPr>
          <w:rFonts w:hint="eastAsia"/>
          <w:sz w:val="24"/>
        </w:rPr>
        <w:t>六、一般公共预算财政拨款支出决算表</w:t>
      </w:r>
      <w:r w:rsidR="0074109F">
        <w:rPr>
          <w:b/>
          <w:bCs/>
          <w:sz w:val="24"/>
        </w:rPr>
        <w:tab/>
      </w:r>
      <w:r w:rsidR="007B6A95">
        <w:rPr>
          <w:rFonts w:hint="eastAsia"/>
          <w:b/>
          <w:bCs/>
          <w:sz w:val="24"/>
        </w:rPr>
        <w:t>19</w:t>
      </w:r>
    </w:p>
    <w:p w:rsidR="0071021A" w:rsidRDefault="0046049C">
      <w:pPr>
        <w:pStyle w:val="20"/>
        <w:adjustRightInd w:val="0"/>
        <w:snapToGrid w:val="0"/>
        <w:spacing w:line="440" w:lineRule="exact"/>
        <w:jc w:val="left"/>
        <w:rPr>
          <w:sz w:val="24"/>
        </w:rPr>
      </w:pPr>
      <w:r>
        <w:rPr>
          <w:rFonts w:hint="eastAsia"/>
          <w:sz w:val="24"/>
        </w:rPr>
        <w:t>七、一般公共预算财政拨款支出决算明细表</w:t>
      </w:r>
      <w:r w:rsidR="0074109F">
        <w:rPr>
          <w:b/>
          <w:bCs/>
          <w:sz w:val="24"/>
        </w:rPr>
        <w:tab/>
      </w:r>
      <w:r w:rsidR="007B6A95">
        <w:rPr>
          <w:rFonts w:hint="eastAsia"/>
          <w:b/>
          <w:bCs/>
          <w:sz w:val="24"/>
        </w:rPr>
        <w:t>19</w:t>
      </w:r>
    </w:p>
    <w:p w:rsidR="0071021A" w:rsidRDefault="0046049C">
      <w:pPr>
        <w:pStyle w:val="20"/>
        <w:adjustRightInd w:val="0"/>
        <w:snapToGrid w:val="0"/>
        <w:spacing w:line="440" w:lineRule="exact"/>
        <w:jc w:val="left"/>
        <w:rPr>
          <w:sz w:val="24"/>
        </w:rPr>
      </w:pPr>
      <w:r>
        <w:rPr>
          <w:rFonts w:hint="eastAsia"/>
          <w:sz w:val="24"/>
        </w:rPr>
        <w:t>八、一般公共预算财政拨款基本支出决算明细表</w:t>
      </w:r>
      <w:r w:rsidR="0074109F">
        <w:rPr>
          <w:b/>
          <w:bCs/>
          <w:sz w:val="24"/>
        </w:rPr>
        <w:tab/>
      </w:r>
      <w:r w:rsidR="007B6A95">
        <w:rPr>
          <w:rFonts w:hint="eastAsia"/>
          <w:b/>
          <w:bCs/>
          <w:sz w:val="24"/>
        </w:rPr>
        <w:t>19</w:t>
      </w:r>
    </w:p>
    <w:p w:rsidR="0071021A" w:rsidRDefault="0046049C">
      <w:pPr>
        <w:pStyle w:val="20"/>
        <w:adjustRightInd w:val="0"/>
        <w:snapToGrid w:val="0"/>
        <w:spacing w:line="440" w:lineRule="exact"/>
        <w:jc w:val="left"/>
        <w:rPr>
          <w:sz w:val="24"/>
        </w:rPr>
      </w:pPr>
      <w:r>
        <w:rPr>
          <w:rFonts w:hint="eastAsia"/>
          <w:sz w:val="24"/>
        </w:rPr>
        <w:t>九、一般公共预算财政拨款项目支出决算表</w:t>
      </w:r>
      <w:r w:rsidR="0074109F">
        <w:rPr>
          <w:b/>
          <w:bCs/>
          <w:sz w:val="24"/>
        </w:rPr>
        <w:tab/>
      </w:r>
      <w:r w:rsidR="007B6A95">
        <w:rPr>
          <w:rFonts w:hint="eastAsia"/>
          <w:b/>
          <w:bCs/>
          <w:sz w:val="24"/>
        </w:rPr>
        <w:t>19</w:t>
      </w:r>
    </w:p>
    <w:p w:rsidR="0071021A" w:rsidRDefault="0046049C">
      <w:pPr>
        <w:pStyle w:val="20"/>
        <w:adjustRightInd w:val="0"/>
        <w:snapToGrid w:val="0"/>
        <w:spacing w:line="440" w:lineRule="exact"/>
        <w:jc w:val="left"/>
        <w:rPr>
          <w:sz w:val="24"/>
        </w:rPr>
      </w:pPr>
      <w:r>
        <w:rPr>
          <w:rFonts w:hint="eastAsia"/>
          <w:sz w:val="24"/>
        </w:rPr>
        <w:lastRenderedPageBreak/>
        <w:t>十、政府性基金预算财政拨款收入支出决算表</w:t>
      </w:r>
      <w:r w:rsidR="0074109F">
        <w:rPr>
          <w:b/>
          <w:bCs/>
          <w:sz w:val="24"/>
        </w:rPr>
        <w:tab/>
      </w:r>
      <w:r w:rsidR="007B6A95">
        <w:rPr>
          <w:rFonts w:hint="eastAsia"/>
          <w:b/>
          <w:bCs/>
          <w:sz w:val="24"/>
        </w:rPr>
        <w:t>19</w:t>
      </w:r>
    </w:p>
    <w:p w:rsidR="0071021A" w:rsidRDefault="0046049C">
      <w:pPr>
        <w:pStyle w:val="20"/>
        <w:adjustRightInd w:val="0"/>
        <w:snapToGrid w:val="0"/>
        <w:spacing w:line="440" w:lineRule="exact"/>
        <w:jc w:val="left"/>
        <w:rPr>
          <w:sz w:val="24"/>
        </w:rPr>
      </w:pPr>
      <w:r>
        <w:rPr>
          <w:rFonts w:hint="eastAsia"/>
          <w:sz w:val="24"/>
        </w:rPr>
        <w:t>十一、国有资本经营预算财政拨款收入支出决算表</w:t>
      </w:r>
      <w:r w:rsidR="0074109F">
        <w:rPr>
          <w:b/>
          <w:bCs/>
          <w:sz w:val="24"/>
        </w:rPr>
        <w:tab/>
      </w:r>
      <w:r w:rsidR="007B6A95">
        <w:rPr>
          <w:rFonts w:hint="eastAsia"/>
          <w:b/>
          <w:bCs/>
          <w:sz w:val="24"/>
        </w:rPr>
        <w:t>19</w:t>
      </w:r>
    </w:p>
    <w:p w:rsidR="0071021A" w:rsidRDefault="0046049C">
      <w:pPr>
        <w:pStyle w:val="20"/>
        <w:adjustRightInd w:val="0"/>
        <w:snapToGrid w:val="0"/>
        <w:spacing w:line="440" w:lineRule="exact"/>
        <w:jc w:val="left"/>
        <w:rPr>
          <w:sz w:val="24"/>
        </w:rPr>
      </w:pPr>
      <w:r>
        <w:rPr>
          <w:rFonts w:hint="eastAsia"/>
          <w:sz w:val="24"/>
        </w:rPr>
        <w:t>十二、国有资本经营预算财政拨款支出决算表</w:t>
      </w:r>
      <w:r w:rsidR="0074109F">
        <w:rPr>
          <w:b/>
          <w:bCs/>
          <w:sz w:val="24"/>
        </w:rPr>
        <w:tab/>
      </w:r>
      <w:r w:rsidR="007B6A95">
        <w:rPr>
          <w:rFonts w:hint="eastAsia"/>
          <w:b/>
          <w:bCs/>
          <w:sz w:val="24"/>
        </w:rPr>
        <w:t>19</w:t>
      </w:r>
    </w:p>
    <w:p w:rsidR="0071021A" w:rsidRDefault="0046049C">
      <w:pPr>
        <w:pStyle w:val="20"/>
        <w:adjustRightInd w:val="0"/>
        <w:snapToGrid w:val="0"/>
        <w:spacing w:line="440" w:lineRule="exact"/>
        <w:jc w:val="left"/>
        <w:rPr>
          <w:sz w:val="24"/>
        </w:rPr>
      </w:pPr>
      <w:r>
        <w:rPr>
          <w:rFonts w:hint="eastAsia"/>
          <w:sz w:val="24"/>
        </w:rPr>
        <w:t>十三、财政拨款“三公”经费支出决算表</w:t>
      </w:r>
      <w:r w:rsidR="0074109F">
        <w:rPr>
          <w:b/>
          <w:bCs/>
          <w:sz w:val="24"/>
        </w:rPr>
        <w:tab/>
      </w:r>
      <w:r w:rsidR="007B6A95">
        <w:rPr>
          <w:rFonts w:hint="eastAsia"/>
          <w:b/>
          <w:bCs/>
          <w:sz w:val="24"/>
        </w:rPr>
        <w:t>19</w:t>
      </w:r>
    </w:p>
    <w:p w:rsidR="0071021A" w:rsidRDefault="0071021A">
      <w:pPr>
        <w:widowControl/>
        <w:adjustRightInd w:val="0"/>
        <w:snapToGrid w:val="0"/>
        <w:spacing w:line="440" w:lineRule="exact"/>
        <w:ind w:firstLineChars="550" w:firstLine="1320"/>
        <w:jc w:val="left"/>
        <w:rPr>
          <w:rFonts w:ascii="仿宋" w:eastAsia="仿宋" w:hAnsi="仿宋"/>
          <w:sz w:val="24"/>
        </w:rPr>
      </w:pPr>
      <w:bookmarkStart w:id="12" w:name="_GoBack"/>
      <w:bookmarkEnd w:id="12"/>
    </w:p>
    <w:p w:rsidR="0071021A" w:rsidRDefault="0046049C">
      <w:pPr>
        <w:widowControl/>
        <w:spacing w:line="440" w:lineRule="exact"/>
        <w:jc w:val="left"/>
        <w:rPr>
          <w:rFonts w:ascii="仿宋" w:eastAsia="仿宋" w:hAnsi="仿宋"/>
          <w:bCs/>
          <w:kern w:val="44"/>
          <w:sz w:val="24"/>
        </w:rPr>
      </w:pPr>
      <w:bookmarkStart w:id="13" w:name="_Toc15396599"/>
      <w:bookmarkStart w:id="14" w:name="_Toc15377196"/>
      <w:r>
        <w:rPr>
          <w:rFonts w:ascii="仿宋" w:eastAsia="仿宋" w:hAnsi="仿宋"/>
          <w:b/>
          <w:sz w:val="24"/>
        </w:rPr>
        <w:br w:type="page"/>
      </w:r>
    </w:p>
    <w:p w:rsidR="0071021A" w:rsidRDefault="0046049C">
      <w:pPr>
        <w:pStyle w:val="1"/>
        <w:jc w:val="center"/>
        <w:rPr>
          <w:rStyle w:val="1Char"/>
          <w:rFonts w:ascii="黑体" w:eastAsia="黑体" w:hAnsi="黑体"/>
          <w:b/>
        </w:rPr>
      </w:pPr>
      <w:r>
        <w:rPr>
          <w:rFonts w:ascii="黑体" w:eastAsia="黑体" w:hAnsi="黑体" w:hint="eastAsia"/>
          <w:b w:val="0"/>
        </w:rPr>
        <w:t>第一部分 单位</w:t>
      </w:r>
      <w:r>
        <w:rPr>
          <w:rStyle w:val="1Char"/>
          <w:rFonts w:ascii="黑体" w:eastAsia="黑体" w:hAnsi="黑体" w:hint="eastAsia"/>
        </w:rPr>
        <w:t>概况</w:t>
      </w:r>
      <w:bookmarkEnd w:id="13"/>
      <w:bookmarkEnd w:id="14"/>
    </w:p>
    <w:p w:rsidR="0071021A" w:rsidRDefault="0071021A">
      <w:pPr>
        <w:widowControl/>
        <w:jc w:val="left"/>
        <w:rPr>
          <w:rFonts w:ascii="黑体" w:eastAsia="黑体"/>
          <w:sz w:val="32"/>
          <w:szCs w:val="32"/>
        </w:rPr>
      </w:pPr>
    </w:p>
    <w:p w:rsidR="0071021A" w:rsidRPr="000B3036" w:rsidRDefault="0046049C">
      <w:pPr>
        <w:pStyle w:val="2"/>
        <w:numPr>
          <w:ilvl w:val="0"/>
          <w:numId w:val="1"/>
        </w:numPr>
        <w:rPr>
          <w:rStyle w:val="2Char"/>
          <w:rFonts w:ascii="黑体" w:eastAsia="黑体" w:hAnsi="黑体"/>
        </w:rPr>
      </w:pPr>
      <w:bookmarkStart w:id="15" w:name="_Toc15396600"/>
      <w:bookmarkStart w:id="16" w:name="_Toc15377197"/>
      <w:r w:rsidRPr="000B3036">
        <w:rPr>
          <w:rStyle w:val="2Char"/>
          <w:rFonts w:ascii="黑体" w:eastAsia="黑体" w:hAnsi="黑体" w:hint="eastAsia"/>
        </w:rPr>
        <w:t>主要职责</w:t>
      </w:r>
    </w:p>
    <w:p w:rsidR="000B3036" w:rsidRPr="00A23B4E" w:rsidRDefault="0023180A" w:rsidP="00A23B4E">
      <w:pPr>
        <w:ind w:firstLineChars="200" w:firstLine="640"/>
        <w:rPr>
          <w:rFonts w:ascii="仿宋" w:eastAsia="仿宋" w:hAnsi="仿宋"/>
        </w:rPr>
      </w:pPr>
      <w:r>
        <w:rPr>
          <w:rFonts w:ascii="仿宋" w:eastAsia="仿宋" w:hAnsi="仿宋" w:hint="eastAsia"/>
          <w:sz w:val="32"/>
          <w:szCs w:val="32"/>
        </w:rPr>
        <w:t>2023</w:t>
      </w:r>
      <w:r w:rsidR="000B3036" w:rsidRPr="00A23B4E">
        <w:rPr>
          <w:rFonts w:ascii="仿宋" w:eastAsia="仿宋" w:hAnsi="仿宋" w:hint="eastAsia"/>
          <w:sz w:val="32"/>
          <w:szCs w:val="32"/>
        </w:rPr>
        <w:t>年我场在上级党委、政府的正确领导下，按照主管部门的部署，主要做了以下工作，完成了盐边县新民园艺</w:t>
      </w:r>
      <w:proofErr w:type="gramStart"/>
      <w:r w:rsidR="000B3036" w:rsidRPr="00A23B4E">
        <w:rPr>
          <w:rFonts w:ascii="仿宋" w:eastAsia="仿宋" w:hAnsi="仿宋" w:hint="eastAsia"/>
          <w:sz w:val="32"/>
          <w:szCs w:val="32"/>
        </w:rPr>
        <w:t>场资产</w:t>
      </w:r>
      <w:proofErr w:type="gramEnd"/>
      <w:r w:rsidR="000B3036" w:rsidRPr="00A23B4E">
        <w:rPr>
          <w:rFonts w:ascii="仿宋" w:eastAsia="仿宋" w:hAnsi="仿宋" w:hint="eastAsia"/>
          <w:sz w:val="32"/>
          <w:szCs w:val="32"/>
        </w:rPr>
        <w:t>及人员的并入，继续完成征地拆迁后续工作，处理征地拆迁中的部分矛盾。</w:t>
      </w:r>
    </w:p>
    <w:p w:rsidR="0071021A" w:rsidRDefault="0046049C">
      <w:pPr>
        <w:pStyle w:val="2"/>
        <w:rPr>
          <w:rFonts w:ascii="黑体" w:eastAsia="黑体" w:hAnsi="黑体"/>
          <w:b w:val="0"/>
        </w:rPr>
      </w:pPr>
      <w:r w:rsidRPr="000B3036">
        <w:rPr>
          <w:rFonts w:ascii="黑体" w:eastAsia="黑体" w:hAnsi="黑体" w:hint="eastAsia"/>
          <w:b w:val="0"/>
        </w:rPr>
        <w:t>二、机构设置</w:t>
      </w:r>
    </w:p>
    <w:p w:rsidR="000B3036" w:rsidRPr="000B3036" w:rsidRDefault="000B3036" w:rsidP="000B3036">
      <w:r w:rsidRPr="000B3036">
        <w:rPr>
          <w:rFonts w:ascii="仿宋" w:eastAsia="仿宋" w:hAnsi="仿宋" w:hint="eastAsia"/>
          <w:sz w:val="32"/>
          <w:szCs w:val="32"/>
        </w:rPr>
        <w:t>我场属改革机构，无正式编制</w:t>
      </w:r>
    </w:p>
    <w:bookmarkEnd w:id="15"/>
    <w:bookmarkEnd w:id="16"/>
    <w:p w:rsidR="0071021A" w:rsidRPr="002F5B56" w:rsidRDefault="0046049C" w:rsidP="000B3036">
      <w:pPr>
        <w:widowControl/>
        <w:jc w:val="left"/>
        <w:rPr>
          <w:rStyle w:val="1Char"/>
          <w:rFonts w:ascii="黑体" w:eastAsia="黑体" w:hAnsi="黑体"/>
        </w:rPr>
      </w:pPr>
      <w:r>
        <w:rPr>
          <w:rFonts w:ascii="仿宋" w:eastAsia="仿宋" w:hAnsi="仿宋"/>
          <w:sz w:val="32"/>
          <w:szCs w:val="32"/>
        </w:rPr>
        <w:br w:type="page"/>
      </w:r>
      <w:bookmarkStart w:id="17" w:name="_Toc15396602"/>
      <w:bookmarkStart w:id="18" w:name="_Toc15377204"/>
      <w:r w:rsidRPr="002F5B56">
        <w:rPr>
          <w:rStyle w:val="1Char"/>
          <w:rFonts w:ascii="黑体" w:eastAsia="黑体" w:hAnsi="黑体" w:hint="eastAsia"/>
        </w:rPr>
        <w:t>第二部分 2023年度</w:t>
      </w:r>
      <w:r>
        <w:rPr>
          <w:rStyle w:val="1Char"/>
          <w:rFonts w:ascii="黑体" w:eastAsia="黑体" w:hAnsi="黑体" w:hint="eastAsia"/>
        </w:rPr>
        <w:t>单位决算情况说明</w:t>
      </w:r>
      <w:bookmarkEnd w:id="17"/>
      <w:bookmarkEnd w:id="18"/>
    </w:p>
    <w:p w:rsidR="0071021A" w:rsidRDefault="0071021A"/>
    <w:p w:rsidR="0071021A" w:rsidRDefault="0046049C">
      <w:pPr>
        <w:pStyle w:val="aa"/>
        <w:numPr>
          <w:ilvl w:val="0"/>
          <w:numId w:val="2"/>
        </w:numPr>
        <w:spacing w:line="600" w:lineRule="exact"/>
        <w:ind w:firstLineChars="0"/>
        <w:outlineLvl w:val="1"/>
        <w:rPr>
          <w:rStyle w:val="2Char"/>
          <w:rFonts w:ascii="黑体" w:eastAsia="黑体" w:hAnsi="黑体"/>
          <w:b w:val="0"/>
        </w:rPr>
      </w:pPr>
      <w:bookmarkStart w:id="19" w:name="_Toc15377205"/>
      <w:bookmarkStart w:id="20" w:name="_Toc15396603"/>
      <w:r>
        <w:rPr>
          <w:rFonts w:ascii="黑体" w:eastAsia="黑体" w:hAnsi="黑体" w:hint="eastAsia"/>
          <w:sz w:val="32"/>
          <w:szCs w:val="32"/>
        </w:rPr>
        <w:t>收</w:t>
      </w:r>
      <w:r>
        <w:rPr>
          <w:rStyle w:val="2Char"/>
          <w:rFonts w:ascii="黑体" w:eastAsia="黑体" w:hAnsi="黑体" w:hint="eastAsia"/>
          <w:b w:val="0"/>
        </w:rPr>
        <w:t>入支出决算总体情况说明</w:t>
      </w:r>
      <w:bookmarkEnd w:id="19"/>
      <w:bookmarkEnd w:id="20"/>
    </w:p>
    <w:p w:rsidR="0074109F" w:rsidRPr="001F15AE" w:rsidRDefault="0046049C" w:rsidP="001F15AE">
      <w:pPr>
        <w:spacing w:line="600" w:lineRule="exact"/>
        <w:ind w:firstLineChars="200" w:firstLine="640"/>
        <w:rPr>
          <w:rFonts w:ascii="仿宋" w:eastAsia="仿宋" w:hAnsi="仿宋"/>
          <w:sz w:val="32"/>
          <w:szCs w:val="32"/>
        </w:rPr>
      </w:pPr>
      <w:r>
        <w:rPr>
          <w:rFonts w:ascii="仿宋" w:eastAsia="仿宋" w:hAnsi="仿宋" w:hint="eastAsia"/>
          <w:sz w:val="32"/>
          <w:szCs w:val="32"/>
        </w:rPr>
        <w:t>2023年度收、支总计均为</w:t>
      </w:r>
      <w:r w:rsidR="005533CF" w:rsidRPr="005533CF">
        <w:rPr>
          <w:rFonts w:ascii="仿宋" w:eastAsia="仿宋" w:hAnsi="仿宋" w:hint="eastAsia"/>
          <w:b/>
          <w:sz w:val="32"/>
          <w:szCs w:val="32"/>
        </w:rPr>
        <w:t>84.13</w:t>
      </w:r>
      <w:r>
        <w:rPr>
          <w:rFonts w:ascii="仿宋" w:eastAsia="仿宋" w:hAnsi="仿宋" w:hint="eastAsia"/>
          <w:sz w:val="32"/>
          <w:szCs w:val="32"/>
        </w:rPr>
        <w:t>万元。与2022年度相比，收、支总计各减少</w:t>
      </w:r>
      <w:r w:rsidR="001F15AE">
        <w:rPr>
          <w:rFonts w:ascii="仿宋" w:eastAsia="仿宋" w:hAnsi="仿宋"/>
          <w:sz w:val="32"/>
          <w:szCs w:val="32"/>
        </w:rPr>
        <w:t>1.74</w:t>
      </w:r>
      <w:r>
        <w:rPr>
          <w:rFonts w:ascii="仿宋" w:eastAsia="仿宋" w:hAnsi="仿宋" w:hint="eastAsia"/>
          <w:sz w:val="32"/>
          <w:szCs w:val="32"/>
        </w:rPr>
        <w:t>万元，下降</w:t>
      </w:r>
      <w:r w:rsidR="001F15AE">
        <w:rPr>
          <w:rFonts w:ascii="仿宋" w:eastAsia="仿宋" w:hAnsi="仿宋"/>
          <w:sz w:val="32"/>
          <w:szCs w:val="32"/>
        </w:rPr>
        <w:t>2</w:t>
      </w:r>
      <w:r>
        <w:rPr>
          <w:rFonts w:ascii="仿宋" w:eastAsia="仿宋" w:hAnsi="仿宋"/>
          <w:sz w:val="32"/>
          <w:szCs w:val="32"/>
        </w:rPr>
        <w:t>%</w:t>
      </w:r>
      <w:r>
        <w:rPr>
          <w:rFonts w:ascii="仿宋" w:eastAsia="仿宋" w:hAnsi="仿宋" w:hint="eastAsia"/>
          <w:sz w:val="32"/>
          <w:szCs w:val="32"/>
        </w:rPr>
        <w:t>。主要变动原因是</w:t>
      </w:r>
      <w:r w:rsidR="001F15AE" w:rsidRPr="001F15AE">
        <w:rPr>
          <w:rFonts w:ascii="仿宋" w:eastAsia="仿宋" w:hAnsi="仿宋" w:hint="eastAsia"/>
          <w:sz w:val="32"/>
          <w:szCs w:val="32"/>
        </w:rPr>
        <w:t>2023年去世3人，相应的</w:t>
      </w:r>
      <w:r w:rsidR="001F15AE">
        <w:rPr>
          <w:rFonts w:ascii="仿宋" w:eastAsia="仿宋" w:hAnsi="仿宋" w:hint="eastAsia"/>
          <w:sz w:val="32"/>
          <w:szCs w:val="32"/>
        </w:rPr>
        <w:t>工资</w:t>
      </w:r>
      <w:r w:rsidR="001F15AE">
        <w:rPr>
          <w:rFonts w:ascii="仿宋" w:eastAsia="仿宋" w:hAnsi="仿宋"/>
          <w:sz w:val="32"/>
          <w:szCs w:val="32"/>
        </w:rPr>
        <w:t>社保等</w:t>
      </w:r>
      <w:r w:rsidR="001F15AE" w:rsidRPr="001F15AE">
        <w:rPr>
          <w:rFonts w:ascii="仿宋" w:eastAsia="仿宋" w:hAnsi="仿宋" w:hint="eastAsia"/>
          <w:sz w:val="32"/>
          <w:szCs w:val="32"/>
        </w:rPr>
        <w:t>金额减少</w:t>
      </w:r>
      <w:r w:rsidRPr="001F15AE">
        <w:rPr>
          <w:rFonts w:ascii="仿宋" w:eastAsia="仿宋" w:hAnsi="仿宋" w:hint="eastAsia"/>
          <w:sz w:val="32"/>
          <w:szCs w:val="32"/>
        </w:rPr>
        <w:t>。</w:t>
      </w:r>
    </w:p>
    <w:p w:rsidR="0074109F" w:rsidRPr="0074109F" w:rsidRDefault="0074109F" w:rsidP="0074109F">
      <w:pPr>
        <w:pStyle w:val="5"/>
      </w:pPr>
      <w:r>
        <w:rPr>
          <w:rFonts w:hint="eastAsia"/>
          <w:noProof/>
        </w:rPr>
        <w:drawing>
          <wp:inline distT="0" distB="0" distL="0" distR="0">
            <wp:extent cx="5274310" cy="3076575"/>
            <wp:effectExtent l="19050" t="0" r="2159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71021A" w:rsidRDefault="0046049C">
      <w:pPr>
        <w:spacing w:line="600" w:lineRule="exact"/>
        <w:ind w:firstLineChars="200" w:firstLine="640"/>
        <w:rPr>
          <w:rFonts w:ascii="仿宋" w:eastAsia="仿宋" w:hAnsi="仿宋"/>
          <w:sz w:val="32"/>
          <w:szCs w:val="32"/>
        </w:rPr>
      </w:pPr>
      <w:r>
        <w:rPr>
          <w:rFonts w:ascii="仿宋" w:eastAsia="仿宋" w:hAnsi="仿宋" w:hint="eastAsia"/>
          <w:sz w:val="32"/>
          <w:szCs w:val="32"/>
        </w:rPr>
        <w:t>（图</w:t>
      </w:r>
      <w:r>
        <w:rPr>
          <w:rFonts w:ascii="仿宋" w:eastAsia="仿宋" w:hAnsi="仿宋"/>
          <w:sz w:val="32"/>
          <w:szCs w:val="32"/>
        </w:rPr>
        <w:t>1</w:t>
      </w:r>
      <w:r>
        <w:rPr>
          <w:rFonts w:ascii="仿宋" w:eastAsia="仿宋" w:hAnsi="仿宋" w:hint="eastAsia"/>
          <w:sz w:val="32"/>
          <w:szCs w:val="32"/>
        </w:rPr>
        <w:t>：收、支决算总计变动情况图）</w:t>
      </w:r>
    </w:p>
    <w:p w:rsidR="0071021A" w:rsidRDefault="0071021A">
      <w:pPr>
        <w:spacing w:line="600" w:lineRule="exact"/>
        <w:ind w:firstLineChars="200" w:firstLine="640"/>
        <w:jc w:val="left"/>
        <w:rPr>
          <w:rFonts w:ascii="仿宋_GB2312" w:eastAsia="仿宋_GB2312"/>
          <w:sz w:val="32"/>
          <w:szCs w:val="32"/>
        </w:rPr>
      </w:pPr>
    </w:p>
    <w:p w:rsidR="0071021A" w:rsidRDefault="0046049C">
      <w:pPr>
        <w:pStyle w:val="aa"/>
        <w:numPr>
          <w:ilvl w:val="0"/>
          <w:numId w:val="2"/>
        </w:numPr>
        <w:spacing w:line="600" w:lineRule="exact"/>
        <w:ind w:firstLineChars="0"/>
        <w:outlineLvl w:val="1"/>
        <w:rPr>
          <w:rStyle w:val="2Char"/>
          <w:rFonts w:ascii="黑体" w:eastAsia="黑体" w:hAnsi="黑体"/>
          <w:b w:val="0"/>
        </w:rPr>
      </w:pPr>
      <w:bookmarkStart w:id="21" w:name="_Toc15396604"/>
      <w:bookmarkStart w:id="22" w:name="_Toc15377206"/>
      <w:r>
        <w:rPr>
          <w:rFonts w:ascii="黑体" w:eastAsia="黑体" w:hAnsi="黑体" w:hint="eastAsia"/>
          <w:sz w:val="32"/>
          <w:szCs w:val="32"/>
        </w:rPr>
        <w:t>收</w:t>
      </w:r>
      <w:r>
        <w:rPr>
          <w:rStyle w:val="2Char"/>
          <w:rFonts w:ascii="黑体" w:eastAsia="黑体" w:hAnsi="黑体" w:hint="eastAsia"/>
          <w:b w:val="0"/>
        </w:rPr>
        <w:t>入决算情况说明</w:t>
      </w:r>
      <w:bookmarkEnd w:id="21"/>
      <w:bookmarkEnd w:id="22"/>
    </w:p>
    <w:p w:rsidR="001F15AE" w:rsidRPr="001F15AE" w:rsidRDefault="0046049C" w:rsidP="001F15AE">
      <w:pPr>
        <w:spacing w:line="600" w:lineRule="exact"/>
        <w:ind w:firstLineChars="200" w:firstLine="640"/>
        <w:outlineLvl w:val="1"/>
        <w:rPr>
          <w:rFonts w:ascii="仿宋" w:eastAsia="仿宋" w:hAnsi="仿宋"/>
          <w:sz w:val="32"/>
          <w:szCs w:val="32"/>
        </w:rPr>
      </w:pPr>
      <w:r>
        <w:rPr>
          <w:rFonts w:ascii="仿宋" w:eastAsia="仿宋" w:hAnsi="仿宋" w:hint="eastAsia"/>
          <w:sz w:val="32"/>
          <w:szCs w:val="32"/>
        </w:rPr>
        <w:t>2023年度本年收入合计</w:t>
      </w:r>
      <w:r w:rsidR="005533CF" w:rsidRPr="005533CF">
        <w:rPr>
          <w:rFonts w:ascii="仿宋" w:eastAsia="仿宋" w:hAnsi="仿宋"/>
          <w:b/>
          <w:sz w:val="32"/>
          <w:szCs w:val="32"/>
        </w:rPr>
        <w:t>84.13</w:t>
      </w:r>
      <w:r>
        <w:rPr>
          <w:rFonts w:ascii="仿宋" w:eastAsia="仿宋" w:hAnsi="仿宋" w:hint="eastAsia"/>
          <w:sz w:val="32"/>
          <w:szCs w:val="32"/>
        </w:rPr>
        <w:t>万元，其中：一般公共预算财政拨款收入</w:t>
      </w:r>
      <w:r w:rsidR="005533CF" w:rsidRPr="005533CF">
        <w:rPr>
          <w:rFonts w:ascii="仿宋" w:eastAsia="仿宋" w:hAnsi="仿宋"/>
          <w:b/>
          <w:sz w:val="32"/>
          <w:szCs w:val="32"/>
        </w:rPr>
        <w:t>84.13</w:t>
      </w:r>
      <w:r>
        <w:rPr>
          <w:rFonts w:ascii="仿宋" w:eastAsia="仿宋" w:hAnsi="仿宋" w:hint="eastAsia"/>
          <w:sz w:val="32"/>
          <w:szCs w:val="32"/>
        </w:rPr>
        <w:t>万元，占</w:t>
      </w:r>
      <w:r w:rsidR="005533CF" w:rsidRPr="005533CF">
        <w:rPr>
          <w:rFonts w:ascii="仿宋" w:eastAsia="仿宋" w:hAnsi="仿宋"/>
          <w:b/>
          <w:sz w:val="32"/>
          <w:szCs w:val="32"/>
        </w:rPr>
        <w:t>100</w:t>
      </w:r>
      <w:r w:rsidRPr="005533CF">
        <w:rPr>
          <w:rFonts w:ascii="仿宋" w:eastAsia="仿宋" w:hAnsi="仿宋"/>
          <w:b/>
          <w:sz w:val="32"/>
          <w:szCs w:val="32"/>
        </w:rPr>
        <w:t>%</w:t>
      </w:r>
      <w:r>
        <w:rPr>
          <w:rFonts w:ascii="仿宋" w:eastAsia="仿宋" w:hAnsi="仿宋" w:hint="eastAsia"/>
          <w:sz w:val="32"/>
          <w:szCs w:val="32"/>
        </w:rPr>
        <w:t>；政府性基金预算财政拨款收入</w:t>
      </w:r>
      <w:r w:rsidR="005533CF" w:rsidRPr="005533CF">
        <w:rPr>
          <w:rFonts w:ascii="仿宋" w:eastAsia="仿宋" w:hAnsi="仿宋"/>
          <w:b/>
          <w:sz w:val="32"/>
          <w:szCs w:val="32"/>
        </w:rPr>
        <w:t>0</w:t>
      </w:r>
      <w:r>
        <w:rPr>
          <w:rFonts w:ascii="仿宋" w:eastAsia="仿宋" w:hAnsi="仿宋" w:hint="eastAsia"/>
          <w:sz w:val="32"/>
          <w:szCs w:val="32"/>
        </w:rPr>
        <w:t>万元，占</w:t>
      </w:r>
      <w:r w:rsidR="005533CF" w:rsidRPr="005533CF">
        <w:rPr>
          <w:rFonts w:ascii="仿宋" w:eastAsia="仿宋" w:hAnsi="仿宋"/>
          <w:b/>
          <w:sz w:val="32"/>
          <w:szCs w:val="32"/>
        </w:rPr>
        <w:t>0</w:t>
      </w:r>
      <w:r>
        <w:rPr>
          <w:rFonts w:ascii="仿宋" w:eastAsia="仿宋" w:hAnsi="仿宋"/>
          <w:sz w:val="32"/>
          <w:szCs w:val="32"/>
        </w:rPr>
        <w:t>%</w:t>
      </w:r>
      <w:r>
        <w:rPr>
          <w:rFonts w:ascii="仿宋" w:eastAsia="仿宋" w:hAnsi="仿宋" w:hint="eastAsia"/>
          <w:sz w:val="32"/>
          <w:szCs w:val="32"/>
        </w:rPr>
        <w:t>；国有资本经营预算财政拨款收入</w:t>
      </w:r>
      <w:r w:rsidR="005533CF" w:rsidRPr="005533CF">
        <w:rPr>
          <w:rFonts w:ascii="仿宋" w:eastAsia="仿宋" w:hAnsi="仿宋"/>
          <w:b/>
          <w:sz w:val="32"/>
          <w:szCs w:val="32"/>
        </w:rPr>
        <w:t>0</w:t>
      </w:r>
      <w:r>
        <w:rPr>
          <w:rFonts w:ascii="仿宋" w:eastAsia="仿宋" w:hAnsi="仿宋" w:hint="eastAsia"/>
          <w:sz w:val="32"/>
          <w:szCs w:val="32"/>
        </w:rPr>
        <w:t>万元，占</w:t>
      </w:r>
      <w:r w:rsidR="005533CF" w:rsidRPr="005533CF">
        <w:rPr>
          <w:rFonts w:ascii="仿宋" w:eastAsia="仿宋" w:hAnsi="仿宋"/>
          <w:b/>
          <w:sz w:val="32"/>
          <w:szCs w:val="32"/>
        </w:rPr>
        <w:t>0</w:t>
      </w:r>
      <w:r w:rsidR="005533CF">
        <w:rPr>
          <w:rFonts w:ascii="仿宋" w:eastAsia="仿宋" w:hAnsi="仿宋"/>
          <w:sz w:val="32"/>
          <w:szCs w:val="32"/>
        </w:rPr>
        <w:t>%</w:t>
      </w:r>
      <w:r>
        <w:rPr>
          <w:rFonts w:ascii="仿宋" w:eastAsia="仿宋" w:hAnsi="仿宋" w:hint="eastAsia"/>
          <w:sz w:val="32"/>
          <w:szCs w:val="32"/>
        </w:rPr>
        <w:t>；上级补助收入</w:t>
      </w:r>
      <w:r w:rsidR="005533CF" w:rsidRPr="005533CF">
        <w:rPr>
          <w:rFonts w:ascii="仿宋" w:eastAsia="仿宋" w:hAnsi="仿宋"/>
          <w:b/>
          <w:sz w:val="32"/>
          <w:szCs w:val="32"/>
        </w:rPr>
        <w:t>0</w:t>
      </w:r>
      <w:r>
        <w:rPr>
          <w:rFonts w:ascii="仿宋" w:eastAsia="仿宋" w:hAnsi="仿宋" w:hint="eastAsia"/>
          <w:sz w:val="32"/>
          <w:szCs w:val="32"/>
        </w:rPr>
        <w:t>万元，占</w:t>
      </w:r>
      <w:r w:rsidR="005533CF">
        <w:rPr>
          <w:rFonts w:ascii="仿宋" w:eastAsia="仿宋" w:hAnsi="仿宋"/>
          <w:sz w:val="32"/>
          <w:szCs w:val="32"/>
        </w:rPr>
        <w:t>0</w:t>
      </w:r>
      <w:r>
        <w:rPr>
          <w:rFonts w:ascii="仿宋" w:eastAsia="仿宋" w:hAnsi="仿宋"/>
          <w:sz w:val="32"/>
          <w:szCs w:val="32"/>
        </w:rPr>
        <w:t>%</w:t>
      </w:r>
      <w:r>
        <w:rPr>
          <w:rFonts w:ascii="仿宋" w:eastAsia="仿宋" w:hAnsi="仿宋" w:hint="eastAsia"/>
          <w:sz w:val="32"/>
          <w:szCs w:val="32"/>
        </w:rPr>
        <w:t>；事业收入</w:t>
      </w:r>
      <w:r w:rsidR="005533CF" w:rsidRPr="005533CF">
        <w:rPr>
          <w:rFonts w:ascii="仿宋" w:eastAsia="仿宋" w:hAnsi="仿宋"/>
          <w:b/>
          <w:sz w:val="32"/>
          <w:szCs w:val="32"/>
        </w:rPr>
        <w:t>0</w:t>
      </w:r>
      <w:r>
        <w:rPr>
          <w:rFonts w:ascii="仿宋" w:eastAsia="仿宋" w:hAnsi="仿宋" w:hint="eastAsia"/>
          <w:sz w:val="32"/>
          <w:szCs w:val="32"/>
        </w:rPr>
        <w:t>万元，占</w:t>
      </w:r>
      <w:r w:rsidR="005533CF" w:rsidRPr="005533CF">
        <w:rPr>
          <w:rFonts w:ascii="仿宋" w:eastAsia="仿宋" w:hAnsi="仿宋"/>
          <w:b/>
          <w:sz w:val="32"/>
          <w:szCs w:val="32"/>
        </w:rPr>
        <w:t>0</w:t>
      </w:r>
      <w:r>
        <w:rPr>
          <w:rFonts w:ascii="仿宋" w:eastAsia="仿宋" w:hAnsi="仿宋"/>
          <w:sz w:val="32"/>
          <w:szCs w:val="32"/>
        </w:rPr>
        <w:t>%</w:t>
      </w:r>
      <w:r>
        <w:rPr>
          <w:rFonts w:ascii="仿宋" w:eastAsia="仿宋" w:hAnsi="仿宋" w:hint="eastAsia"/>
          <w:sz w:val="32"/>
          <w:szCs w:val="32"/>
        </w:rPr>
        <w:t>；经营收入</w:t>
      </w:r>
      <w:r w:rsidR="00813102" w:rsidRPr="005533CF">
        <w:rPr>
          <w:rFonts w:ascii="仿宋" w:eastAsia="仿宋" w:hAnsi="仿宋"/>
          <w:b/>
          <w:sz w:val="32"/>
          <w:szCs w:val="32"/>
        </w:rPr>
        <w:t>0</w:t>
      </w:r>
      <w:r>
        <w:rPr>
          <w:rFonts w:ascii="仿宋" w:eastAsia="仿宋" w:hAnsi="仿宋" w:hint="eastAsia"/>
          <w:sz w:val="32"/>
          <w:szCs w:val="32"/>
        </w:rPr>
        <w:t>万元，占</w:t>
      </w:r>
      <w:r w:rsidR="00813102" w:rsidRPr="00813102">
        <w:rPr>
          <w:rFonts w:ascii="仿宋" w:eastAsia="仿宋" w:hAnsi="仿宋"/>
          <w:b/>
          <w:sz w:val="32"/>
          <w:szCs w:val="32"/>
        </w:rPr>
        <w:t>0</w:t>
      </w:r>
      <w:r>
        <w:rPr>
          <w:rFonts w:ascii="仿宋" w:eastAsia="仿宋" w:hAnsi="仿宋"/>
          <w:sz w:val="32"/>
          <w:szCs w:val="32"/>
        </w:rPr>
        <w:t>%</w:t>
      </w:r>
      <w:r>
        <w:rPr>
          <w:rFonts w:ascii="仿宋" w:eastAsia="仿宋" w:hAnsi="仿宋" w:hint="eastAsia"/>
          <w:sz w:val="32"/>
          <w:szCs w:val="32"/>
        </w:rPr>
        <w:t>；附属单位上缴收入</w:t>
      </w:r>
      <w:r w:rsidR="00813102" w:rsidRPr="005533CF">
        <w:rPr>
          <w:rFonts w:ascii="仿宋" w:eastAsia="仿宋" w:hAnsi="仿宋"/>
          <w:b/>
          <w:sz w:val="32"/>
          <w:szCs w:val="32"/>
        </w:rPr>
        <w:t>0</w:t>
      </w:r>
      <w:r>
        <w:rPr>
          <w:rFonts w:ascii="仿宋" w:eastAsia="仿宋" w:hAnsi="仿宋" w:hint="eastAsia"/>
          <w:sz w:val="32"/>
          <w:szCs w:val="32"/>
        </w:rPr>
        <w:t>万元，占</w:t>
      </w:r>
      <w:r w:rsidR="00813102" w:rsidRPr="00813102">
        <w:rPr>
          <w:rFonts w:ascii="仿宋" w:eastAsia="仿宋" w:hAnsi="仿宋"/>
          <w:b/>
          <w:sz w:val="32"/>
          <w:szCs w:val="32"/>
        </w:rPr>
        <w:t>0</w:t>
      </w:r>
      <w:r>
        <w:rPr>
          <w:rFonts w:ascii="仿宋" w:eastAsia="仿宋" w:hAnsi="仿宋"/>
          <w:sz w:val="32"/>
          <w:szCs w:val="32"/>
        </w:rPr>
        <w:t>%</w:t>
      </w:r>
      <w:r>
        <w:rPr>
          <w:rFonts w:ascii="仿宋" w:eastAsia="仿宋" w:hAnsi="仿宋" w:hint="eastAsia"/>
          <w:sz w:val="32"/>
          <w:szCs w:val="32"/>
        </w:rPr>
        <w:t>；其他收入</w:t>
      </w:r>
      <w:r w:rsidR="00813102" w:rsidRPr="005533CF">
        <w:rPr>
          <w:rFonts w:ascii="仿宋" w:eastAsia="仿宋" w:hAnsi="仿宋"/>
          <w:b/>
          <w:sz w:val="32"/>
          <w:szCs w:val="32"/>
        </w:rPr>
        <w:t>0</w:t>
      </w:r>
      <w:r>
        <w:rPr>
          <w:rFonts w:ascii="仿宋" w:eastAsia="仿宋" w:hAnsi="仿宋" w:hint="eastAsia"/>
          <w:sz w:val="32"/>
          <w:szCs w:val="32"/>
        </w:rPr>
        <w:t>万元，占</w:t>
      </w:r>
      <w:r w:rsidR="00813102" w:rsidRPr="00813102">
        <w:rPr>
          <w:rFonts w:ascii="仿宋" w:eastAsia="仿宋" w:hAnsi="仿宋"/>
          <w:b/>
          <w:sz w:val="32"/>
          <w:szCs w:val="32"/>
        </w:rPr>
        <w:t>0</w:t>
      </w:r>
      <w:r>
        <w:rPr>
          <w:rFonts w:ascii="仿宋" w:eastAsia="仿宋" w:hAnsi="仿宋"/>
          <w:sz w:val="32"/>
          <w:szCs w:val="32"/>
        </w:rPr>
        <w:t>%</w:t>
      </w:r>
      <w:r w:rsidR="00B80E5C">
        <w:rPr>
          <w:rFonts w:ascii="仿宋" w:eastAsia="仿宋" w:hAnsi="仿宋" w:hint="eastAsia"/>
          <w:sz w:val="32"/>
          <w:szCs w:val="32"/>
        </w:rPr>
        <w:t>。</w:t>
      </w:r>
    </w:p>
    <w:p w:rsidR="001F15AE" w:rsidRPr="001F15AE" w:rsidRDefault="001F15AE" w:rsidP="001F15AE">
      <w:r>
        <w:rPr>
          <w:rFonts w:hint="eastAsia"/>
          <w:noProof/>
        </w:rPr>
        <w:drawing>
          <wp:inline distT="0" distB="0" distL="0" distR="0">
            <wp:extent cx="5274310" cy="3076575"/>
            <wp:effectExtent l="0" t="0" r="2540" b="952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71021A" w:rsidRDefault="0046049C">
      <w:pPr>
        <w:spacing w:line="600" w:lineRule="exact"/>
        <w:ind w:firstLineChars="200" w:firstLine="640"/>
        <w:rPr>
          <w:rFonts w:ascii="仿宋" w:eastAsia="仿宋" w:hAnsi="仿宋"/>
          <w:sz w:val="32"/>
          <w:szCs w:val="32"/>
        </w:rPr>
      </w:pPr>
      <w:r>
        <w:rPr>
          <w:rFonts w:ascii="仿宋" w:eastAsia="仿宋" w:hAnsi="仿宋" w:hint="eastAsia"/>
          <w:sz w:val="32"/>
          <w:szCs w:val="32"/>
        </w:rPr>
        <w:t>（图2：收入决算结构图）</w:t>
      </w:r>
    </w:p>
    <w:p w:rsidR="0071021A" w:rsidRDefault="0071021A">
      <w:pPr>
        <w:spacing w:line="600" w:lineRule="exact"/>
        <w:ind w:firstLineChars="200" w:firstLine="640"/>
        <w:rPr>
          <w:rFonts w:ascii="仿宋_GB2312" w:eastAsia="仿宋_GB2312"/>
          <w:sz w:val="32"/>
          <w:szCs w:val="32"/>
        </w:rPr>
      </w:pPr>
    </w:p>
    <w:p w:rsidR="0071021A" w:rsidRDefault="0046049C">
      <w:pPr>
        <w:pStyle w:val="aa"/>
        <w:numPr>
          <w:ilvl w:val="0"/>
          <w:numId w:val="2"/>
        </w:numPr>
        <w:spacing w:line="600" w:lineRule="exact"/>
        <w:ind w:firstLineChars="0"/>
        <w:outlineLvl w:val="1"/>
        <w:rPr>
          <w:rStyle w:val="2Char"/>
          <w:rFonts w:ascii="黑体" w:eastAsia="黑体" w:hAnsi="黑体"/>
          <w:b w:val="0"/>
        </w:rPr>
      </w:pPr>
      <w:bookmarkStart w:id="23" w:name="_Toc15396605"/>
      <w:bookmarkStart w:id="24" w:name="_Toc15377207"/>
      <w:r>
        <w:rPr>
          <w:rFonts w:ascii="黑体" w:eastAsia="黑体" w:hAnsi="黑体" w:hint="eastAsia"/>
          <w:sz w:val="32"/>
          <w:szCs w:val="32"/>
        </w:rPr>
        <w:t>支</w:t>
      </w:r>
      <w:r>
        <w:rPr>
          <w:rStyle w:val="2Char"/>
          <w:rFonts w:ascii="黑体" w:eastAsia="黑体" w:hAnsi="黑体" w:hint="eastAsia"/>
          <w:b w:val="0"/>
        </w:rPr>
        <w:t>出决算情况说明</w:t>
      </w:r>
      <w:bookmarkEnd w:id="23"/>
      <w:bookmarkEnd w:id="24"/>
    </w:p>
    <w:p w:rsidR="00B80E5C" w:rsidRDefault="0046049C" w:rsidP="00B80E5C">
      <w:pPr>
        <w:spacing w:line="600" w:lineRule="exact"/>
        <w:ind w:firstLineChars="200" w:firstLine="640"/>
        <w:outlineLvl w:val="1"/>
        <w:rPr>
          <w:rFonts w:ascii="仿宋" w:eastAsia="仿宋" w:hAnsi="仿宋"/>
          <w:sz w:val="32"/>
          <w:szCs w:val="32"/>
        </w:rPr>
      </w:pPr>
      <w:r>
        <w:rPr>
          <w:rFonts w:ascii="仿宋" w:eastAsia="仿宋" w:hAnsi="仿宋" w:hint="eastAsia"/>
          <w:sz w:val="32"/>
          <w:szCs w:val="32"/>
        </w:rPr>
        <w:t>2023年度本年支出合计</w:t>
      </w:r>
      <w:r w:rsidRPr="005533CF">
        <w:rPr>
          <w:rFonts w:ascii="仿宋" w:eastAsia="仿宋" w:hAnsi="仿宋"/>
          <w:b/>
          <w:sz w:val="32"/>
          <w:szCs w:val="32"/>
        </w:rPr>
        <w:t>84.13</w:t>
      </w:r>
      <w:r>
        <w:rPr>
          <w:rFonts w:ascii="仿宋" w:eastAsia="仿宋" w:hAnsi="仿宋" w:hint="eastAsia"/>
          <w:sz w:val="32"/>
          <w:szCs w:val="32"/>
        </w:rPr>
        <w:t>万元，其中：基本支出</w:t>
      </w:r>
      <w:r w:rsidRPr="005533CF">
        <w:rPr>
          <w:rFonts w:ascii="仿宋" w:eastAsia="仿宋" w:hAnsi="仿宋"/>
          <w:b/>
          <w:sz w:val="32"/>
          <w:szCs w:val="32"/>
        </w:rPr>
        <w:t>84.13</w:t>
      </w:r>
      <w:r>
        <w:rPr>
          <w:rFonts w:ascii="仿宋" w:eastAsia="仿宋" w:hAnsi="仿宋" w:hint="eastAsia"/>
          <w:sz w:val="32"/>
          <w:szCs w:val="32"/>
        </w:rPr>
        <w:t>万元，占</w:t>
      </w:r>
      <w:r w:rsidRPr="0046049C">
        <w:rPr>
          <w:rFonts w:ascii="仿宋" w:eastAsia="仿宋" w:hAnsi="仿宋"/>
          <w:b/>
          <w:sz w:val="32"/>
          <w:szCs w:val="32"/>
        </w:rPr>
        <w:t>100</w:t>
      </w:r>
      <w:r>
        <w:rPr>
          <w:rFonts w:ascii="仿宋" w:eastAsia="仿宋" w:hAnsi="仿宋"/>
          <w:sz w:val="32"/>
          <w:szCs w:val="32"/>
        </w:rPr>
        <w:t>%</w:t>
      </w:r>
      <w:r>
        <w:rPr>
          <w:rFonts w:ascii="仿宋" w:eastAsia="仿宋" w:hAnsi="仿宋" w:hint="eastAsia"/>
          <w:sz w:val="32"/>
          <w:szCs w:val="32"/>
        </w:rPr>
        <w:t>；项目支出</w:t>
      </w:r>
      <w:r w:rsidRPr="005533CF">
        <w:rPr>
          <w:rFonts w:ascii="仿宋" w:eastAsia="仿宋" w:hAnsi="仿宋"/>
          <w:b/>
          <w:sz w:val="32"/>
          <w:szCs w:val="32"/>
        </w:rPr>
        <w:t>0</w:t>
      </w:r>
      <w:r>
        <w:rPr>
          <w:rFonts w:ascii="仿宋" w:eastAsia="仿宋" w:hAnsi="仿宋" w:hint="eastAsia"/>
          <w:sz w:val="32"/>
          <w:szCs w:val="32"/>
        </w:rPr>
        <w:t>万元，占</w:t>
      </w:r>
      <w:r w:rsidRPr="0046049C">
        <w:rPr>
          <w:rFonts w:ascii="仿宋" w:eastAsia="仿宋" w:hAnsi="仿宋"/>
          <w:b/>
          <w:sz w:val="32"/>
          <w:szCs w:val="32"/>
        </w:rPr>
        <w:t>0</w:t>
      </w:r>
      <w:r>
        <w:rPr>
          <w:rFonts w:ascii="仿宋" w:eastAsia="仿宋" w:hAnsi="仿宋"/>
          <w:sz w:val="32"/>
          <w:szCs w:val="32"/>
        </w:rPr>
        <w:t>%</w:t>
      </w:r>
      <w:r>
        <w:rPr>
          <w:rFonts w:ascii="仿宋" w:eastAsia="仿宋" w:hAnsi="仿宋" w:hint="eastAsia"/>
          <w:sz w:val="32"/>
          <w:szCs w:val="32"/>
        </w:rPr>
        <w:t>；上缴上级支出</w:t>
      </w:r>
      <w:r w:rsidRPr="005533CF">
        <w:rPr>
          <w:rFonts w:ascii="仿宋" w:eastAsia="仿宋" w:hAnsi="仿宋"/>
          <w:b/>
          <w:sz w:val="32"/>
          <w:szCs w:val="32"/>
        </w:rPr>
        <w:t>0</w:t>
      </w:r>
      <w:r>
        <w:rPr>
          <w:rFonts w:ascii="仿宋" w:eastAsia="仿宋" w:hAnsi="仿宋" w:hint="eastAsia"/>
          <w:sz w:val="32"/>
          <w:szCs w:val="32"/>
        </w:rPr>
        <w:t>万元，占</w:t>
      </w:r>
      <w:r w:rsidRPr="0046049C">
        <w:rPr>
          <w:rFonts w:ascii="仿宋" w:eastAsia="仿宋" w:hAnsi="仿宋" w:hint="eastAsia"/>
          <w:b/>
          <w:sz w:val="32"/>
          <w:szCs w:val="32"/>
        </w:rPr>
        <w:t>0</w:t>
      </w:r>
      <w:r>
        <w:rPr>
          <w:rFonts w:ascii="仿宋" w:eastAsia="仿宋" w:hAnsi="仿宋"/>
          <w:sz w:val="32"/>
          <w:szCs w:val="32"/>
        </w:rPr>
        <w:t>%</w:t>
      </w:r>
      <w:r>
        <w:rPr>
          <w:rFonts w:ascii="仿宋" w:eastAsia="仿宋" w:hAnsi="仿宋" w:hint="eastAsia"/>
          <w:sz w:val="32"/>
          <w:szCs w:val="32"/>
        </w:rPr>
        <w:t>；经营支出</w:t>
      </w:r>
      <w:r w:rsidRPr="005533CF">
        <w:rPr>
          <w:rFonts w:ascii="仿宋" w:eastAsia="仿宋" w:hAnsi="仿宋"/>
          <w:b/>
          <w:sz w:val="32"/>
          <w:szCs w:val="32"/>
        </w:rPr>
        <w:t>0</w:t>
      </w:r>
      <w:r>
        <w:rPr>
          <w:rFonts w:ascii="仿宋" w:eastAsia="仿宋" w:hAnsi="仿宋" w:hint="eastAsia"/>
          <w:sz w:val="32"/>
          <w:szCs w:val="32"/>
        </w:rPr>
        <w:t>万元，占</w:t>
      </w:r>
      <w:r w:rsidRPr="0046049C">
        <w:rPr>
          <w:rFonts w:ascii="仿宋" w:eastAsia="仿宋" w:hAnsi="仿宋"/>
          <w:b/>
          <w:sz w:val="32"/>
          <w:szCs w:val="32"/>
        </w:rPr>
        <w:t>0</w:t>
      </w:r>
      <w:r>
        <w:rPr>
          <w:rFonts w:ascii="仿宋" w:eastAsia="仿宋" w:hAnsi="仿宋"/>
          <w:sz w:val="32"/>
          <w:szCs w:val="32"/>
        </w:rPr>
        <w:t>%</w:t>
      </w:r>
      <w:r>
        <w:rPr>
          <w:rFonts w:ascii="仿宋" w:eastAsia="仿宋" w:hAnsi="仿宋" w:hint="eastAsia"/>
          <w:sz w:val="32"/>
          <w:szCs w:val="32"/>
        </w:rPr>
        <w:t>；对附属单位补助支出</w:t>
      </w:r>
      <w:r w:rsidRPr="005533CF">
        <w:rPr>
          <w:rFonts w:ascii="仿宋" w:eastAsia="仿宋" w:hAnsi="仿宋"/>
          <w:b/>
          <w:sz w:val="32"/>
          <w:szCs w:val="32"/>
        </w:rPr>
        <w:t>0</w:t>
      </w:r>
      <w:r>
        <w:rPr>
          <w:rFonts w:ascii="仿宋" w:eastAsia="仿宋" w:hAnsi="仿宋" w:hint="eastAsia"/>
          <w:sz w:val="32"/>
          <w:szCs w:val="32"/>
        </w:rPr>
        <w:t>万元，占</w:t>
      </w:r>
      <w:r w:rsidRPr="0043177C">
        <w:rPr>
          <w:rFonts w:ascii="仿宋" w:eastAsia="仿宋" w:hAnsi="仿宋"/>
          <w:b/>
          <w:sz w:val="32"/>
          <w:szCs w:val="32"/>
        </w:rPr>
        <w:t>0</w:t>
      </w:r>
      <w:r>
        <w:rPr>
          <w:rFonts w:ascii="仿宋" w:eastAsia="仿宋" w:hAnsi="仿宋"/>
          <w:sz w:val="32"/>
          <w:szCs w:val="32"/>
        </w:rPr>
        <w:t>%</w:t>
      </w:r>
    </w:p>
    <w:p w:rsidR="00B80E5C" w:rsidRPr="00B80E5C" w:rsidRDefault="00B80E5C" w:rsidP="00B80E5C">
      <w:r>
        <w:rPr>
          <w:rFonts w:hint="eastAsia"/>
          <w:noProof/>
        </w:rPr>
        <w:drawing>
          <wp:inline distT="0" distB="0" distL="0" distR="0">
            <wp:extent cx="4468274" cy="1741170"/>
            <wp:effectExtent l="0" t="0" r="8890" b="1143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71021A" w:rsidRDefault="0046049C">
      <w:pPr>
        <w:spacing w:line="600" w:lineRule="exact"/>
        <w:ind w:firstLineChars="200" w:firstLine="640"/>
        <w:rPr>
          <w:rFonts w:ascii="仿宋" w:eastAsia="仿宋" w:hAnsi="仿宋"/>
          <w:sz w:val="32"/>
          <w:szCs w:val="32"/>
        </w:rPr>
      </w:pPr>
      <w:r>
        <w:rPr>
          <w:rFonts w:ascii="仿宋" w:eastAsia="仿宋" w:hAnsi="仿宋" w:hint="eastAsia"/>
          <w:sz w:val="32"/>
          <w:szCs w:val="32"/>
        </w:rPr>
        <w:t>（图3：支出决算结构图）</w:t>
      </w:r>
    </w:p>
    <w:p w:rsidR="0071021A" w:rsidRDefault="0071021A">
      <w:pPr>
        <w:spacing w:line="600" w:lineRule="exact"/>
        <w:ind w:firstLineChars="200" w:firstLine="640"/>
        <w:rPr>
          <w:rFonts w:ascii="仿宋_GB2312" w:eastAsia="仿宋_GB2312"/>
          <w:sz w:val="32"/>
          <w:szCs w:val="32"/>
        </w:rPr>
      </w:pPr>
    </w:p>
    <w:p w:rsidR="0071021A" w:rsidRDefault="0046049C">
      <w:pPr>
        <w:spacing w:line="600" w:lineRule="exact"/>
        <w:ind w:firstLineChars="200" w:firstLine="640"/>
        <w:outlineLvl w:val="1"/>
        <w:rPr>
          <w:rStyle w:val="2Char"/>
          <w:rFonts w:ascii="黑体" w:eastAsia="黑体" w:hAnsi="黑体"/>
          <w:b w:val="0"/>
        </w:rPr>
      </w:pPr>
      <w:bookmarkStart w:id="25" w:name="_Toc15377208"/>
      <w:bookmarkStart w:id="26" w:name="_Toc15396606"/>
      <w:r>
        <w:rPr>
          <w:rFonts w:ascii="黑体" w:eastAsia="黑体" w:hAnsi="黑体" w:hint="eastAsia"/>
          <w:sz w:val="32"/>
          <w:szCs w:val="32"/>
        </w:rPr>
        <w:t>四、财</w:t>
      </w:r>
      <w:r>
        <w:rPr>
          <w:rStyle w:val="2Char"/>
          <w:rFonts w:ascii="黑体" w:eastAsia="黑体" w:hAnsi="黑体" w:hint="eastAsia"/>
          <w:b w:val="0"/>
        </w:rPr>
        <w:t>政拨款收入支出决算总体情况说明</w:t>
      </w:r>
      <w:bookmarkEnd w:id="25"/>
      <w:bookmarkEnd w:id="26"/>
    </w:p>
    <w:p w:rsidR="0071021A" w:rsidRDefault="0046049C">
      <w:pPr>
        <w:spacing w:line="600" w:lineRule="exact"/>
        <w:ind w:firstLine="640"/>
        <w:rPr>
          <w:rFonts w:ascii="仿宋" w:eastAsia="仿宋" w:hAnsi="仿宋"/>
          <w:sz w:val="32"/>
          <w:szCs w:val="32"/>
        </w:rPr>
      </w:pPr>
      <w:r>
        <w:rPr>
          <w:rFonts w:ascii="仿宋" w:eastAsia="仿宋" w:hAnsi="仿宋" w:hint="eastAsia"/>
          <w:sz w:val="32"/>
          <w:szCs w:val="32"/>
        </w:rPr>
        <w:t>2023年度财政拨款收、支总计均为</w:t>
      </w:r>
      <w:r w:rsidR="0043177C" w:rsidRPr="005533CF">
        <w:rPr>
          <w:rFonts w:ascii="仿宋" w:eastAsia="仿宋" w:hAnsi="仿宋"/>
          <w:b/>
          <w:sz w:val="32"/>
          <w:szCs w:val="32"/>
        </w:rPr>
        <w:t>84.13</w:t>
      </w:r>
      <w:r w:rsidR="00D31E6F">
        <w:rPr>
          <w:rFonts w:ascii="仿宋" w:eastAsia="仿宋" w:hAnsi="仿宋" w:hint="eastAsia"/>
          <w:sz w:val="32"/>
          <w:szCs w:val="32"/>
        </w:rPr>
        <w:t>万元</w:t>
      </w:r>
      <w:r>
        <w:rPr>
          <w:rFonts w:ascii="仿宋" w:eastAsia="仿宋" w:hAnsi="仿宋" w:hint="eastAsia"/>
          <w:sz w:val="32"/>
          <w:szCs w:val="32"/>
        </w:rPr>
        <w:t>。与2022年度相比，财政拨款收、支总计各减少</w:t>
      </w:r>
      <w:r w:rsidR="00B80E5C">
        <w:rPr>
          <w:rFonts w:ascii="仿宋" w:eastAsia="仿宋" w:hAnsi="仿宋"/>
          <w:sz w:val="32"/>
          <w:szCs w:val="32"/>
        </w:rPr>
        <w:t>1.74</w:t>
      </w:r>
      <w:r>
        <w:rPr>
          <w:rFonts w:ascii="仿宋" w:eastAsia="仿宋" w:hAnsi="仿宋" w:hint="eastAsia"/>
          <w:sz w:val="32"/>
          <w:szCs w:val="32"/>
        </w:rPr>
        <w:t>万元，下降</w:t>
      </w:r>
      <w:r w:rsidR="00B80E5C">
        <w:rPr>
          <w:rFonts w:ascii="仿宋" w:eastAsia="仿宋" w:hAnsi="仿宋"/>
          <w:sz w:val="32"/>
          <w:szCs w:val="32"/>
        </w:rPr>
        <w:t>2</w:t>
      </w:r>
      <w:r>
        <w:rPr>
          <w:rFonts w:ascii="仿宋" w:eastAsia="仿宋" w:hAnsi="仿宋"/>
          <w:sz w:val="32"/>
          <w:szCs w:val="32"/>
        </w:rPr>
        <w:t>%</w:t>
      </w:r>
      <w:r>
        <w:rPr>
          <w:rFonts w:ascii="仿宋" w:eastAsia="仿宋" w:hAnsi="仿宋" w:hint="eastAsia"/>
          <w:sz w:val="32"/>
          <w:szCs w:val="32"/>
        </w:rPr>
        <w:t>。</w:t>
      </w:r>
      <w:r w:rsidR="00B80E5C">
        <w:rPr>
          <w:rFonts w:ascii="仿宋" w:eastAsia="仿宋" w:hAnsi="仿宋" w:hint="eastAsia"/>
          <w:sz w:val="32"/>
          <w:szCs w:val="32"/>
        </w:rPr>
        <w:t>主要变动原因是</w:t>
      </w:r>
      <w:r w:rsidR="00B80E5C" w:rsidRPr="001F15AE">
        <w:rPr>
          <w:rFonts w:ascii="仿宋" w:eastAsia="仿宋" w:hAnsi="仿宋" w:hint="eastAsia"/>
          <w:sz w:val="32"/>
          <w:szCs w:val="32"/>
        </w:rPr>
        <w:t>2023年去世3人，相应的</w:t>
      </w:r>
      <w:r w:rsidR="00B80E5C">
        <w:rPr>
          <w:rFonts w:ascii="仿宋" w:eastAsia="仿宋" w:hAnsi="仿宋" w:hint="eastAsia"/>
          <w:sz w:val="32"/>
          <w:szCs w:val="32"/>
        </w:rPr>
        <w:t>工资</w:t>
      </w:r>
      <w:r w:rsidR="00B80E5C">
        <w:rPr>
          <w:rFonts w:ascii="仿宋" w:eastAsia="仿宋" w:hAnsi="仿宋"/>
          <w:sz w:val="32"/>
          <w:szCs w:val="32"/>
        </w:rPr>
        <w:t>社保等</w:t>
      </w:r>
      <w:r w:rsidR="00B80E5C" w:rsidRPr="001F15AE">
        <w:rPr>
          <w:rFonts w:ascii="仿宋" w:eastAsia="仿宋" w:hAnsi="仿宋" w:hint="eastAsia"/>
          <w:sz w:val="32"/>
          <w:szCs w:val="32"/>
        </w:rPr>
        <w:t>金额减少</w:t>
      </w:r>
      <w:r w:rsidR="00B80E5C">
        <w:rPr>
          <w:rFonts w:ascii="仿宋" w:eastAsia="仿宋" w:hAnsi="仿宋" w:hint="eastAsia"/>
          <w:sz w:val="32"/>
          <w:szCs w:val="32"/>
        </w:rPr>
        <w:t>。</w:t>
      </w:r>
    </w:p>
    <w:p w:rsidR="00B80E5C" w:rsidRPr="00B80E5C" w:rsidRDefault="00B80E5C" w:rsidP="00B80E5C">
      <w:r>
        <w:rPr>
          <w:rFonts w:hint="eastAsia"/>
          <w:noProof/>
        </w:rPr>
        <w:drawing>
          <wp:inline distT="0" distB="0" distL="0" distR="0">
            <wp:extent cx="5274310" cy="3076575"/>
            <wp:effectExtent l="19050" t="0" r="21590" b="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71021A" w:rsidRDefault="0046049C">
      <w:pPr>
        <w:spacing w:line="600" w:lineRule="exact"/>
        <w:ind w:firstLineChars="200" w:firstLine="640"/>
        <w:rPr>
          <w:rFonts w:ascii="仿宋" w:eastAsia="仿宋" w:hAnsi="仿宋"/>
          <w:sz w:val="32"/>
          <w:szCs w:val="32"/>
        </w:rPr>
      </w:pPr>
      <w:r>
        <w:rPr>
          <w:rFonts w:ascii="仿宋" w:eastAsia="仿宋" w:hAnsi="仿宋" w:hint="eastAsia"/>
          <w:sz w:val="32"/>
          <w:szCs w:val="32"/>
        </w:rPr>
        <w:t>（图4：财政拨款收、支决算总计变动情况）</w:t>
      </w:r>
    </w:p>
    <w:p w:rsidR="0071021A" w:rsidRDefault="0071021A">
      <w:pPr>
        <w:spacing w:line="600" w:lineRule="exact"/>
        <w:ind w:firstLine="640"/>
        <w:rPr>
          <w:rFonts w:ascii="仿宋" w:eastAsia="仿宋" w:hAnsi="仿宋"/>
          <w:b/>
          <w:sz w:val="32"/>
          <w:szCs w:val="32"/>
        </w:rPr>
      </w:pPr>
    </w:p>
    <w:p w:rsidR="0071021A" w:rsidRDefault="0046049C">
      <w:pPr>
        <w:spacing w:line="600" w:lineRule="exact"/>
        <w:ind w:firstLineChars="200" w:firstLine="640"/>
        <w:outlineLvl w:val="1"/>
        <w:rPr>
          <w:rStyle w:val="2Char"/>
          <w:rFonts w:ascii="黑体" w:eastAsia="黑体" w:hAnsi="黑体"/>
          <w:b w:val="0"/>
        </w:rPr>
      </w:pPr>
      <w:bookmarkStart w:id="27" w:name="_Toc15396607"/>
      <w:bookmarkStart w:id="28" w:name="_Toc15377209"/>
      <w:r>
        <w:rPr>
          <w:rFonts w:ascii="黑体" w:eastAsia="黑体" w:hAnsi="黑体" w:hint="eastAsia"/>
          <w:sz w:val="32"/>
          <w:szCs w:val="32"/>
        </w:rPr>
        <w:t>五、</w:t>
      </w:r>
      <w:r>
        <w:rPr>
          <w:rFonts w:ascii="黑体" w:eastAsia="黑体" w:hAnsi="黑体" w:hint="eastAsia"/>
          <w:b/>
          <w:sz w:val="32"/>
          <w:szCs w:val="32"/>
        </w:rPr>
        <w:t>一</w:t>
      </w:r>
      <w:r>
        <w:rPr>
          <w:rStyle w:val="2Char"/>
          <w:rFonts w:ascii="黑体" w:eastAsia="黑体" w:hAnsi="黑体" w:hint="eastAsia"/>
          <w:b w:val="0"/>
        </w:rPr>
        <w:t>般公共预算财政拨款支出决算情况说明</w:t>
      </w:r>
      <w:bookmarkEnd w:id="27"/>
      <w:bookmarkEnd w:id="28"/>
    </w:p>
    <w:p w:rsidR="0071021A" w:rsidRDefault="0046049C">
      <w:pPr>
        <w:spacing w:line="600" w:lineRule="exact"/>
        <w:ind w:firstLineChars="200" w:firstLine="643"/>
        <w:outlineLvl w:val="2"/>
        <w:rPr>
          <w:rFonts w:ascii="仿宋" w:eastAsia="仿宋" w:hAnsi="仿宋"/>
          <w:b/>
          <w:sz w:val="32"/>
          <w:szCs w:val="32"/>
        </w:rPr>
      </w:pPr>
      <w:bookmarkStart w:id="29" w:name="_Toc15377210"/>
      <w:r>
        <w:rPr>
          <w:rFonts w:ascii="仿宋" w:eastAsia="仿宋" w:hAnsi="仿宋" w:hint="eastAsia"/>
          <w:b/>
          <w:sz w:val="32"/>
          <w:szCs w:val="32"/>
        </w:rPr>
        <w:t>（一）一般公共预算财政拨款支出决算总体情况</w:t>
      </w:r>
      <w:bookmarkEnd w:id="29"/>
    </w:p>
    <w:p w:rsidR="0071021A" w:rsidRDefault="0046049C">
      <w:pPr>
        <w:spacing w:line="600" w:lineRule="exact"/>
        <w:ind w:firstLineChars="200" w:firstLine="640"/>
        <w:rPr>
          <w:rFonts w:ascii="仿宋" w:eastAsia="仿宋" w:hAnsi="仿宋"/>
          <w:sz w:val="32"/>
          <w:szCs w:val="32"/>
        </w:rPr>
      </w:pPr>
      <w:r>
        <w:rPr>
          <w:rFonts w:ascii="仿宋" w:eastAsia="仿宋" w:hAnsi="仿宋" w:hint="eastAsia"/>
          <w:sz w:val="32"/>
          <w:szCs w:val="32"/>
        </w:rPr>
        <w:t>2023年度一般公共预算财政拨款支出</w:t>
      </w:r>
      <w:r w:rsidR="0043177C" w:rsidRPr="005533CF">
        <w:rPr>
          <w:rFonts w:ascii="仿宋" w:eastAsia="仿宋" w:hAnsi="仿宋"/>
          <w:b/>
          <w:sz w:val="32"/>
          <w:szCs w:val="32"/>
        </w:rPr>
        <w:t>84.13</w:t>
      </w:r>
      <w:r>
        <w:rPr>
          <w:rFonts w:ascii="仿宋" w:eastAsia="仿宋" w:hAnsi="仿宋" w:hint="eastAsia"/>
          <w:sz w:val="32"/>
          <w:szCs w:val="32"/>
        </w:rPr>
        <w:t>万元，占本年支出合计的</w:t>
      </w:r>
      <w:r w:rsidR="0043177C" w:rsidRPr="0043177C">
        <w:rPr>
          <w:rFonts w:ascii="仿宋" w:eastAsia="仿宋" w:hAnsi="仿宋"/>
          <w:b/>
          <w:sz w:val="32"/>
          <w:szCs w:val="32"/>
        </w:rPr>
        <w:t>100</w:t>
      </w:r>
      <w:r>
        <w:rPr>
          <w:rFonts w:ascii="仿宋" w:eastAsia="仿宋" w:hAnsi="仿宋"/>
          <w:sz w:val="32"/>
          <w:szCs w:val="32"/>
        </w:rPr>
        <w:t>%</w:t>
      </w:r>
      <w:r>
        <w:rPr>
          <w:rFonts w:ascii="仿宋" w:eastAsia="仿宋" w:hAnsi="仿宋" w:hint="eastAsia"/>
          <w:sz w:val="32"/>
          <w:szCs w:val="32"/>
        </w:rPr>
        <w:t>。与2022年度相比，一般公共预算财政拨款支出减少</w:t>
      </w:r>
      <w:r w:rsidR="00B80E5C">
        <w:rPr>
          <w:rFonts w:ascii="仿宋" w:eastAsia="仿宋" w:hAnsi="仿宋"/>
          <w:sz w:val="32"/>
          <w:szCs w:val="32"/>
        </w:rPr>
        <w:t>1.74</w:t>
      </w:r>
      <w:r>
        <w:rPr>
          <w:rFonts w:ascii="仿宋" w:eastAsia="仿宋" w:hAnsi="仿宋" w:hint="eastAsia"/>
          <w:sz w:val="32"/>
          <w:szCs w:val="32"/>
        </w:rPr>
        <w:t>万元，下降</w:t>
      </w:r>
      <w:r w:rsidR="00B80E5C">
        <w:rPr>
          <w:rFonts w:ascii="仿宋" w:eastAsia="仿宋" w:hAnsi="仿宋"/>
          <w:sz w:val="32"/>
          <w:szCs w:val="32"/>
        </w:rPr>
        <w:t>2</w:t>
      </w:r>
      <w:r>
        <w:rPr>
          <w:rFonts w:ascii="仿宋" w:eastAsia="仿宋" w:hAnsi="仿宋"/>
          <w:sz w:val="32"/>
          <w:szCs w:val="32"/>
        </w:rPr>
        <w:t>%</w:t>
      </w:r>
      <w:r>
        <w:rPr>
          <w:rFonts w:ascii="仿宋" w:eastAsia="仿宋" w:hAnsi="仿宋" w:hint="eastAsia"/>
          <w:sz w:val="32"/>
          <w:szCs w:val="32"/>
        </w:rPr>
        <w:t>。</w:t>
      </w:r>
      <w:r w:rsidR="00B80E5C">
        <w:rPr>
          <w:rFonts w:ascii="仿宋" w:eastAsia="仿宋" w:hAnsi="仿宋" w:hint="eastAsia"/>
          <w:sz w:val="32"/>
          <w:szCs w:val="32"/>
        </w:rPr>
        <w:t>主要变动原因是</w:t>
      </w:r>
      <w:r w:rsidR="00B80E5C" w:rsidRPr="001F15AE">
        <w:rPr>
          <w:rFonts w:ascii="仿宋" w:eastAsia="仿宋" w:hAnsi="仿宋" w:hint="eastAsia"/>
          <w:sz w:val="32"/>
          <w:szCs w:val="32"/>
        </w:rPr>
        <w:t>2023年去世3人，相应的</w:t>
      </w:r>
      <w:r w:rsidR="00B80E5C">
        <w:rPr>
          <w:rFonts w:ascii="仿宋" w:eastAsia="仿宋" w:hAnsi="仿宋" w:hint="eastAsia"/>
          <w:sz w:val="32"/>
          <w:szCs w:val="32"/>
        </w:rPr>
        <w:t>工资</w:t>
      </w:r>
      <w:r w:rsidR="00B80E5C">
        <w:rPr>
          <w:rFonts w:ascii="仿宋" w:eastAsia="仿宋" w:hAnsi="仿宋"/>
          <w:sz w:val="32"/>
          <w:szCs w:val="32"/>
        </w:rPr>
        <w:t>社保等</w:t>
      </w:r>
      <w:r w:rsidR="00B80E5C" w:rsidRPr="001F15AE">
        <w:rPr>
          <w:rFonts w:ascii="仿宋" w:eastAsia="仿宋" w:hAnsi="仿宋" w:hint="eastAsia"/>
          <w:sz w:val="32"/>
          <w:szCs w:val="32"/>
        </w:rPr>
        <w:t>金额减少</w:t>
      </w:r>
      <w:r w:rsidR="00B80E5C">
        <w:rPr>
          <w:rFonts w:ascii="仿宋" w:eastAsia="仿宋" w:hAnsi="仿宋" w:hint="eastAsia"/>
          <w:sz w:val="32"/>
          <w:szCs w:val="32"/>
        </w:rPr>
        <w:t>。</w:t>
      </w:r>
    </w:p>
    <w:p w:rsidR="00B80E5C" w:rsidRPr="00B80E5C" w:rsidRDefault="00B80E5C" w:rsidP="00B80E5C">
      <w:r>
        <w:rPr>
          <w:rFonts w:hint="eastAsia"/>
          <w:noProof/>
        </w:rPr>
        <w:drawing>
          <wp:inline distT="0" distB="0" distL="0" distR="0">
            <wp:extent cx="5343276" cy="2719346"/>
            <wp:effectExtent l="19050" t="0" r="9774" b="4804"/>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71021A" w:rsidRDefault="0046049C">
      <w:pPr>
        <w:spacing w:line="600" w:lineRule="exact"/>
        <w:ind w:firstLineChars="200" w:firstLine="640"/>
        <w:rPr>
          <w:rFonts w:ascii="仿宋" w:eastAsia="仿宋" w:hAnsi="仿宋"/>
          <w:sz w:val="32"/>
          <w:szCs w:val="32"/>
        </w:rPr>
      </w:pPr>
      <w:r>
        <w:rPr>
          <w:rFonts w:ascii="仿宋" w:eastAsia="仿宋" w:hAnsi="仿宋" w:hint="eastAsia"/>
          <w:sz w:val="32"/>
          <w:szCs w:val="32"/>
        </w:rPr>
        <w:t>（图5：一般公共预算财政拨款支出决算变动情况）</w:t>
      </w:r>
    </w:p>
    <w:p w:rsidR="0071021A" w:rsidRDefault="0071021A">
      <w:pPr>
        <w:spacing w:line="600" w:lineRule="exact"/>
        <w:ind w:firstLineChars="200" w:firstLine="640"/>
        <w:rPr>
          <w:rFonts w:ascii="仿宋" w:eastAsia="仿宋" w:hAnsi="仿宋"/>
          <w:sz w:val="32"/>
          <w:szCs w:val="32"/>
        </w:rPr>
      </w:pPr>
    </w:p>
    <w:p w:rsidR="0071021A" w:rsidRDefault="0046049C">
      <w:pPr>
        <w:spacing w:line="600" w:lineRule="exact"/>
        <w:ind w:firstLineChars="200" w:firstLine="643"/>
        <w:outlineLvl w:val="2"/>
        <w:rPr>
          <w:rFonts w:ascii="仿宋" w:eastAsia="仿宋" w:hAnsi="仿宋"/>
          <w:b/>
          <w:sz w:val="32"/>
          <w:szCs w:val="32"/>
        </w:rPr>
      </w:pPr>
      <w:bookmarkStart w:id="30" w:name="_Toc15377211"/>
      <w:r>
        <w:rPr>
          <w:rFonts w:ascii="仿宋" w:eastAsia="仿宋" w:hAnsi="仿宋" w:hint="eastAsia"/>
          <w:b/>
          <w:sz w:val="32"/>
          <w:szCs w:val="32"/>
        </w:rPr>
        <w:t>（二）一般公共预算财政拨款支出决算结构情况</w:t>
      </w:r>
      <w:bookmarkEnd w:id="30"/>
    </w:p>
    <w:p w:rsidR="00A73515" w:rsidRPr="00A73515" w:rsidRDefault="0046049C" w:rsidP="00A73515">
      <w:pPr>
        <w:spacing w:line="600" w:lineRule="exact"/>
        <w:ind w:firstLine="640"/>
        <w:rPr>
          <w:rFonts w:ascii="仿宋" w:eastAsia="仿宋" w:hAnsi="仿宋"/>
          <w:sz w:val="32"/>
          <w:szCs w:val="32"/>
        </w:rPr>
      </w:pPr>
      <w:r>
        <w:rPr>
          <w:rFonts w:ascii="仿宋" w:eastAsia="仿宋" w:hAnsi="仿宋" w:hint="eastAsia"/>
          <w:sz w:val="32"/>
          <w:szCs w:val="32"/>
        </w:rPr>
        <w:t>2023年度一般公共预算财政拨款支出</w:t>
      </w:r>
      <w:r w:rsidR="0043177C" w:rsidRPr="005533CF">
        <w:rPr>
          <w:rFonts w:ascii="仿宋" w:eastAsia="仿宋" w:hAnsi="仿宋"/>
          <w:b/>
          <w:sz w:val="32"/>
          <w:szCs w:val="32"/>
        </w:rPr>
        <w:t>84.13</w:t>
      </w:r>
      <w:r>
        <w:rPr>
          <w:rFonts w:ascii="仿宋" w:eastAsia="仿宋" w:hAnsi="仿宋" w:hint="eastAsia"/>
          <w:sz w:val="32"/>
          <w:szCs w:val="32"/>
        </w:rPr>
        <w:t>万元，主要用于以下方面</w:t>
      </w:r>
      <w:r>
        <w:rPr>
          <w:rFonts w:ascii="仿宋" w:eastAsia="仿宋" w:hAnsi="仿宋"/>
          <w:sz w:val="32"/>
          <w:szCs w:val="32"/>
        </w:rPr>
        <w:t>:</w:t>
      </w:r>
      <w:r>
        <w:rPr>
          <w:rFonts w:ascii="仿宋" w:eastAsia="仿宋" w:hAnsi="仿宋" w:hint="eastAsia"/>
          <w:b/>
          <w:sz w:val="32"/>
          <w:szCs w:val="32"/>
        </w:rPr>
        <w:t>一般公共服务</w:t>
      </w:r>
      <w:r>
        <w:rPr>
          <w:rFonts w:ascii="仿宋" w:eastAsia="仿宋" w:hAnsi="仿宋" w:hint="eastAsia"/>
          <w:b/>
          <w:bCs/>
          <w:sz w:val="32"/>
          <w:szCs w:val="32"/>
        </w:rPr>
        <w:t>支出</w:t>
      </w:r>
      <w:r w:rsidR="00A73515">
        <w:rPr>
          <w:rFonts w:ascii="仿宋" w:eastAsia="仿宋" w:hAnsi="仿宋"/>
          <w:sz w:val="32"/>
          <w:szCs w:val="32"/>
        </w:rPr>
        <w:t>0</w:t>
      </w:r>
      <w:r>
        <w:rPr>
          <w:rFonts w:ascii="仿宋" w:eastAsia="仿宋" w:hAnsi="仿宋" w:hint="eastAsia"/>
          <w:sz w:val="32"/>
          <w:szCs w:val="32"/>
        </w:rPr>
        <w:t>万元，占</w:t>
      </w:r>
      <w:r w:rsidR="00A73515">
        <w:rPr>
          <w:rFonts w:ascii="仿宋" w:eastAsia="仿宋" w:hAnsi="仿宋"/>
          <w:sz w:val="32"/>
          <w:szCs w:val="32"/>
        </w:rPr>
        <w:t>0</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sz w:val="32"/>
          <w:szCs w:val="32"/>
        </w:rPr>
        <w:t>教育支出</w:t>
      </w:r>
      <w:r w:rsidR="00A73515">
        <w:rPr>
          <w:rFonts w:ascii="仿宋" w:eastAsia="仿宋" w:hAnsi="仿宋"/>
          <w:sz w:val="32"/>
          <w:szCs w:val="32"/>
        </w:rPr>
        <w:t>0</w:t>
      </w:r>
      <w:r>
        <w:rPr>
          <w:rFonts w:ascii="仿宋" w:eastAsia="仿宋" w:hAnsi="仿宋" w:hint="eastAsia"/>
          <w:sz w:val="32"/>
          <w:szCs w:val="32"/>
        </w:rPr>
        <w:t>万元，占</w:t>
      </w:r>
      <w:r w:rsidR="00A73515">
        <w:rPr>
          <w:rFonts w:ascii="仿宋" w:eastAsia="仿宋" w:hAnsi="仿宋"/>
          <w:sz w:val="32"/>
          <w:szCs w:val="32"/>
        </w:rPr>
        <w:t>0</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sz w:val="32"/>
          <w:szCs w:val="32"/>
        </w:rPr>
        <w:t>科学技术</w:t>
      </w:r>
      <w:r>
        <w:rPr>
          <w:rFonts w:ascii="仿宋" w:eastAsia="仿宋" w:hAnsi="仿宋" w:hint="eastAsia"/>
          <w:b/>
          <w:bCs/>
          <w:sz w:val="32"/>
          <w:szCs w:val="32"/>
        </w:rPr>
        <w:t>支出</w:t>
      </w:r>
      <w:r w:rsidR="00A73515">
        <w:rPr>
          <w:rFonts w:ascii="仿宋" w:eastAsia="仿宋" w:hAnsi="仿宋"/>
          <w:sz w:val="32"/>
          <w:szCs w:val="32"/>
        </w:rPr>
        <w:t>0</w:t>
      </w:r>
      <w:r>
        <w:rPr>
          <w:rFonts w:ascii="仿宋" w:eastAsia="仿宋" w:hAnsi="仿宋" w:hint="eastAsia"/>
          <w:sz w:val="32"/>
          <w:szCs w:val="32"/>
        </w:rPr>
        <w:t>万元，占</w:t>
      </w:r>
      <w:r w:rsidR="00A73515">
        <w:rPr>
          <w:rFonts w:ascii="仿宋" w:eastAsia="仿宋" w:hAnsi="仿宋"/>
          <w:sz w:val="32"/>
          <w:szCs w:val="32"/>
        </w:rPr>
        <w:t>0</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bCs/>
          <w:sz w:val="32"/>
          <w:szCs w:val="32"/>
        </w:rPr>
        <w:t>文化旅游体育与传媒支出</w:t>
      </w:r>
      <w:r w:rsidR="00A73515" w:rsidRPr="002F5B56">
        <w:rPr>
          <w:rFonts w:ascii="仿宋" w:eastAsia="仿宋" w:hAnsi="仿宋"/>
          <w:sz w:val="32"/>
          <w:szCs w:val="32"/>
        </w:rPr>
        <w:t>0</w:t>
      </w:r>
      <w:r w:rsidR="00A73515" w:rsidRPr="002F5B56">
        <w:rPr>
          <w:rFonts w:ascii="仿宋" w:eastAsia="仿宋" w:hAnsi="仿宋" w:hint="eastAsia"/>
          <w:sz w:val="32"/>
          <w:szCs w:val="32"/>
        </w:rPr>
        <w:t>万</w:t>
      </w:r>
      <w:r w:rsidRPr="002F5B56">
        <w:rPr>
          <w:rFonts w:ascii="仿宋" w:eastAsia="仿宋" w:hAnsi="仿宋" w:hint="eastAsia"/>
          <w:sz w:val="32"/>
          <w:szCs w:val="32"/>
        </w:rPr>
        <w:t>元，占</w:t>
      </w:r>
      <w:r w:rsidR="00A73515" w:rsidRPr="002F5B56">
        <w:rPr>
          <w:rFonts w:ascii="仿宋" w:eastAsia="仿宋" w:hAnsi="仿宋"/>
          <w:sz w:val="32"/>
          <w:szCs w:val="32"/>
        </w:rPr>
        <w:t>0</w:t>
      </w:r>
      <w:r w:rsidRPr="002F5B56">
        <w:rPr>
          <w:rFonts w:ascii="仿宋" w:eastAsia="仿宋" w:hAnsi="仿宋"/>
          <w:sz w:val="32"/>
          <w:szCs w:val="32"/>
        </w:rPr>
        <w:t>%</w:t>
      </w:r>
      <w:r>
        <w:rPr>
          <w:rFonts w:ascii="仿宋" w:eastAsia="仿宋" w:hAnsi="仿宋" w:hint="eastAsia"/>
          <w:sz w:val="32"/>
          <w:szCs w:val="32"/>
        </w:rPr>
        <w:t>；</w:t>
      </w:r>
      <w:r>
        <w:rPr>
          <w:rFonts w:ascii="仿宋" w:eastAsia="仿宋" w:hAnsi="仿宋" w:hint="eastAsia"/>
          <w:b/>
          <w:sz w:val="32"/>
          <w:szCs w:val="32"/>
        </w:rPr>
        <w:t>社会保障和就业</w:t>
      </w:r>
      <w:r>
        <w:rPr>
          <w:rFonts w:ascii="仿宋" w:eastAsia="仿宋" w:hAnsi="仿宋" w:hint="eastAsia"/>
          <w:b/>
          <w:bCs/>
          <w:sz w:val="32"/>
          <w:szCs w:val="32"/>
        </w:rPr>
        <w:t>支出</w:t>
      </w:r>
      <w:r w:rsidR="00A73515" w:rsidRPr="00A73515">
        <w:rPr>
          <w:rFonts w:ascii="仿宋" w:eastAsia="仿宋" w:hAnsi="仿宋"/>
          <w:sz w:val="32"/>
          <w:szCs w:val="32"/>
        </w:rPr>
        <w:t>77.99</w:t>
      </w:r>
      <w:r>
        <w:rPr>
          <w:rFonts w:ascii="仿宋" w:eastAsia="仿宋" w:hAnsi="仿宋" w:hint="eastAsia"/>
          <w:sz w:val="32"/>
          <w:szCs w:val="32"/>
        </w:rPr>
        <w:t>万元，占</w:t>
      </w:r>
      <w:r w:rsidR="00A73515">
        <w:rPr>
          <w:rFonts w:ascii="仿宋" w:eastAsia="仿宋" w:hAnsi="仿宋"/>
          <w:sz w:val="32"/>
          <w:szCs w:val="32"/>
        </w:rPr>
        <w:t>92.70</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bCs/>
          <w:sz w:val="32"/>
          <w:szCs w:val="32"/>
        </w:rPr>
        <w:t>卫生健康支出</w:t>
      </w:r>
      <w:r w:rsidR="00A73515">
        <w:rPr>
          <w:rFonts w:ascii="仿宋" w:eastAsia="仿宋" w:hAnsi="仿宋"/>
          <w:sz w:val="32"/>
          <w:szCs w:val="32"/>
        </w:rPr>
        <w:t>0.09</w:t>
      </w:r>
      <w:r>
        <w:rPr>
          <w:rFonts w:ascii="仿宋" w:eastAsia="仿宋" w:hAnsi="仿宋" w:hint="eastAsia"/>
          <w:sz w:val="32"/>
          <w:szCs w:val="32"/>
        </w:rPr>
        <w:t>万元，占</w:t>
      </w:r>
      <w:r w:rsidR="00A73515">
        <w:rPr>
          <w:rFonts w:ascii="仿宋" w:eastAsia="仿宋" w:hAnsi="仿宋"/>
          <w:sz w:val="32"/>
          <w:szCs w:val="32"/>
        </w:rPr>
        <w:t>1.07</w:t>
      </w:r>
      <w:r>
        <w:rPr>
          <w:rFonts w:ascii="仿宋" w:eastAsia="仿宋" w:hAnsi="仿宋"/>
          <w:sz w:val="32"/>
          <w:szCs w:val="32"/>
        </w:rPr>
        <w:t>%</w:t>
      </w:r>
      <w:r>
        <w:rPr>
          <w:rFonts w:ascii="仿宋" w:eastAsia="仿宋" w:hAnsi="仿宋" w:hint="eastAsia"/>
          <w:sz w:val="32"/>
          <w:szCs w:val="32"/>
        </w:rPr>
        <w:t>；</w:t>
      </w:r>
      <w:r w:rsidR="00A73515" w:rsidRPr="00A73515">
        <w:rPr>
          <w:rFonts w:ascii="仿宋" w:eastAsia="仿宋" w:hAnsi="仿宋" w:hint="eastAsia"/>
          <w:b/>
          <w:bCs/>
          <w:sz w:val="32"/>
          <w:szCs w:val="32"/>
        </w:rPr>
        <w:t>农林水支出</w:t>
      </w:r>
      <w:r w:rsidR="00A73515">
        <w:rPr>
          <w:rFonts w:ascii="仿宋" w:eastAsia="仿宋" w:hAnsi="仿宋"/>
          <w:sz w:val="32"/>
          <w:szCs w:val="32"/>
        </w:rPr>
        <w:t>3.49</w:t>
      </w:r>
      <w:r w:rsidR="00A73515">
        <w:rPr>
          <w:rFonts w:ascii="仿宋" w:eastAsia="仿宋" w:hAnsi="仿宋" w:hint="eastAsia"/>
          <w:sz w:val="32"/>
          <w:szCs w:val="32"/>
        </w:rPr>
        <w:t>万元，占</w:t>
      </w:r>
      <w:r w:rsidR="00A73515">
        <w:rPr>
          <w:rFonts w:ascii="仿宋" w:eastAsia="仿宋" w:hAnsi="仿宋"/>
          <w:sz w:val="32"/>
          <w:szCs w:val="32"/>
        </w:rPr>
        <w:t>4.15%</w:t>
      </w:r>
      <w:r w:rsidR="00A73515">
        <w:rPr>
          <w:rFonts w:ascii="仿宋" w:eastAsia="仿宋" w:hAnsi="仿宋" w:hint="eastAsia"/>
          <w:sz w:val="32"/>
          <w:szCs w:val="32"/>
        </w:rPr>
        <w:t>；</w:t>
      </w:r>
      <w:r>
        <w:rPr>
          <w:rFonts w:ascii="仿宋" w:eastAsia="仿宋" w:hAnsi="仿宋" w:hint="eastAsia"/>
          <w:b/>
          <w:bCs/>
          <w:sz w:val="32"/>
          <w:szCs w:val="32"/>
        </w:rPr>
        <w:t>住房保障支出</w:t>
      </w:r>
      <w:r w:rsidR="00A73515">
        <w:rPr>
          <w:rFonts w:ascii="仿宋" w:eastAsia="仿宋" w:hAnsi="仿宋"/>
          <w:sz w:val="32"/>
          <w:szCs w:val="32"/>
        </w:rPr>
        <w:t>1.75</w:t>
      </w:r>
      <w:r>
        <w:rPr>
          <w:rFonts w:ascii="仿宋" w:eastAsia="仿宋" w:hAnsi="仿宋" w:hint="eastAsia"/>
          <w:sz w:val="32"/>
          <w:szCs w:val="32"/>
        </w:rPr>
        <w:t>万元，占</w:t>
      </w:r>
      <w:r w:rsidR="00A73515">
        <w:rPr>
          <w:rFonts w:ascii="仿宋" w:eastAsia="仿宋" w:hAnsi="仿宋"/>
          <w:sz w:val="32"/>
          <w:szCs w:val="32"/>
        </w:rPr>
        <w:t>2.08</w:t>
      </w:r>
      <w:r>
        <w:rPr>
          <w:rFonts w:ascii="仿宋" w:eastAsia="仿宋" w:hAnsi="仿宋"/>
          <w:sz w:val="32"/>
          <w:szCs w:val="32"/>
        </w:rPr>
        <w:t>%</w:t>
      </w:r>
      <w:r>
        <w:rPr>
          <w:rFonts w:ascii="仿宋" w:eastAsia="仿宋" w:hAnsi="仿宋" w:hint="eastAsia"/>
          <w:sz w:val="32"/>
          <w:szCs w:val="32"/>
        </w:rPr>
        <w:t>。</w:t>
      </w:r>
    </w:p>
    <w:p w:rsidR="00A73515" w:rsidRDefault="00A73515" w:rsidP="00A73515">
      <w:r>
        <w:rPr>
          <w:noProof/>
        </w:rPr>
        <w:drawing>
          <wp:inline distT="0" distB="0" distL="0" distR="0">
            <wp:extent cx="4638675" cy="2095500"/>
            <wp:effectExtent l="19050" t="0" r="9525" b="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71021A" w:rsidRDefault="0046049C">
      <w:pPr>
        <w:spacing w:line="600" w:lineRule="exact"/>
        <w:ind w:firstLineChars="200" w:firstLine="640"/>
        <w:rPr>
          <w:rFonts w:ascii="仿宋" w:eastAsia="仿宋" w:hAnsi="仿宋"/>
          <w:sz w:val="32"/>
          <w:szCs w:val="32"/>
        </w:rPr>
      </w:pPr>
      <w:r>
        <w:rPr>
          <w:rFonts w:ascii="仿宋" w:eastAsia="仿宋" w:hAnsi="仿宋" w:hint="eastAsia"/>
          <w:sz w:val="32"/>
          <w:szCs w:val="32"/>
        </w:rPr>
        <w:t>（图6：一般公共预算财政拨款支出决算结构）</w:t>
      </w:r>
    </w:p>
    <w:p w:rsidR="0071021A" w:rsidRDefault="0071021A">
      <w:pPr>
        <w:spacing w:line="600" w:lineRule="exact"/>
        <w:ind w:firstLineChars="200" w:firstLine="640"/>
        <w:rPr>
          <w:rFonts w:ascii="仿宋" w:eastAsia="仿宋" w:hAnsi="仿宋"/>
          <w:sz w:val="32"/>
          <w:szCs w:val="32"/>
        </w:rPr>
      </w:pPr>
    </w:p>
    <w:p w:rsidR="0071021A" w:rsidRDefault="0046049C">
      <w:pPr>
        <w:spacing w:line="600" w:lineRule="exact"/>
        <w:ind w:firstLineChars="200" w:firstLine="643"/>
        <w:outlineLvl w:val="2"/>
        <w:rPr>
          <w:rFonts w:ascii="仿宋" w:eastAsia="仿宋" w:hAnsi="仿宋"/>
          <w:b/>
          <w:sz w:val="32"/>
          <w:szCs w:val="32"/>
        </w:rPr>
      </w:pPr>
      <w:bookmarkStart w:id="31" w:name="_Toc15377212"/>
      <w:r>
        <w:rPr>
          <w:rFonts w:ascii="仿宋" w:eastAsia="仿宋" w:hAnsi="仿宋" w:hint="eastAsia"/>
          <w:b/>
          <w:sz w:val="32"/>
          <w:szCs w:val="32"/>
        </w:rPr>
        <w:t>（三）一般公共预算财政拨款支出决算具体情况</w:t>
      </w:r>
      <w:bookmarkEnd w:id="31"/>
    </w:p>
    <w:p w:rsidR="0071021A" w:rsidRDefault="0046049C">
      <w:pPr>
        <w:spacing w:line="600" w:lineRule="exact"/>
        <w:ind w:firstLineChars="200" w:firstLine="643"/>
        <w:outlineLvl w:val="2"/>
        <w:rPr>
          <w:rFonts w:ascii="仿宋" w:eastAsia="仿宋" w:hAnsi="仿宋"/>
          <w:sz w:val="32"/>
          <w:szCs w:val="32"/>
        </w:rPr>
      </w:pPr>
      <w:bookmarkStart w:id="32" w:name="_Toc15377444"/>
      <w:bookmarkStart w:id="33" w:name="_Toc15378460"/>
      <w:bookmarkStart w:id="34" w:name="_Toc15377213"/>
      <w:r>
        <w:rPr>
          <w:rFonts w:ascii="仿宋" w:eastAsia="仿宋" w:hAnsi="仿宋" w:hint="eastAsia"/>
          <w:b/>
          <w:sz w:val="32"/>
          <w:szCs w:val="32"/>
        </w:rPr>
        <w:t>2023年度一般公共预算支出决算数为</w:t>
      </w:r>
      <w:r w:rsidR="0043177C" w:rsidRPr="005533CF">
        <w:rPr>
          <w:rFonts w:ascii="仿宋" w:eastAsia="仿宋" w:hAnsi="仿宋"/>
          <w:b/>
          <w:sz w:val="32"/>
          <w:szCs w:val="32"/>
        </w:rPr>
        <w:t>84.13</w:t>
      </w:r>
      <w:r w:rsidR="00B70EC7">
        <w:rPr>
          <w:rFonts w:ascii="仿宋" w:eastAsia="仿宋" w:hAnsi="仿宋"/>
          <w:b/>
          <w:sz w:val="32"/>
          <w:szCs w:val="32"/>
        </w:rPr>
        <w:t>万元</w:t>
      </w:r>
      <w:r>
        <w:rPr>
          <w:rFonts w:ascii="仿宋" w:eastAsia="仿宋" w:hAnsi="仿宋" w:hint="eastAsia"/>
          <w:sz w:val="32"/>
          <w:szCs w:val="32"/>
        </w:rPr>
        <w:t>，</w:t>
      </w:r>
      <w:r>
        <w:rPr>
          <w:rStyle w:val="a8"/>
          <w:rFonts w:ascii="仿宋" w:eastAsia="仿宋" w:hAnsi="仿宋" w:hint="eastAsia"/>
          <w:bCs/>
          <w:sz w:val="32"/>
          <w:szCs w:val="32"/>
        </w:rPr>
        <w:t>完成预算</w:t>
      </w:r>
      <w:r w:rsidR="002F5B56">
        <w:rPr>
          <w:rStyle w:val="a8"/>
          <w:rFonts w:ascii="仿宋" w:eastAsia="仿宋" w:hAnsi="仿宋" w:hint="eastAsia"/>
          <w:bCs/>
          <w:sz w:val="32"/>
          <w:szCs w:val="32"/>
        </w:rPr>
        <w:t>100</w:t>
      </w:r>
      <w:r>
        <w:rPr>
          <w:rStyle w:val="a8"/>
          <w:rFonts w:ascii="仿宋" w:eastAsia="仿宋" w:hAnsi="仿宋"/>
          <w:bCs/>
          <w:sz w:val="32"/>
          <w:szCs w:val="32"/>
        </w:rPr>
        <w:t>%</w:t>
      </w:r>
      <w:r>
        <w:rPr>
          <w:rStyle w:val="a8"/>
          <w:rFonts w:ascii="仿宋" w:eastAsia="仿宋" w:hAnsi="仿宋" w:hint="eastAsia"/>
          <w:bCs/>
          <w:sz w:val="32"/>
          <w:szCs w:val="32"/>
        </w:rPr>
        <w:t>。其中：</w:t>
      </w:r>
      <w:bookmarkEnd w:id="32"/>
      <w:bookmarkEnd w:id="33"/>
      <w:bookmarkEnd w:id="34"/>
    </w:p>
    <w:p w:rsidR="0071021A" w:rsidRDefault="0046049C">
      <w:pPr>
        <w:spacing w:line="600" w:lineRule="exact"/>
        <w:ind w:firstLineChars="200" w:firstLine="643"/>
        <w:rPr>
          <w:rFonts w:ascii="仿宋" w:eastAsia="仿宋" w:hAnsi="仿宋"/>
          <w:b/>
          <w:sz w:val="32"/>
          <w:szCs w:val="32"/>
        </w:rPr>
      </w:pPr>
      <w:r>
        <w:rPr>
          <w:rStyle w:val="a8"/>
          <w:rFonts w:ascii="仿宋" w:eastAsia="仿宋" w:hAnsi="仿宋"/>
          <w:bCs/>
          <w:sz w:val="32"/>
          <w:szCs w:val="32"/>
        </w:rPr>
        <w:t>1.</w:t>
      </w:r>
      <w:r w:rsidR="00A73515" w:rsidRPr="00A73515">
        <w:rPr>
          <w:rStyle w:val="a8"/>
          <w:rFonts w:ascii="仿宋" w:eastAsia="仿宋" w:hAnsi="仿宋" w:hint="eastAsia"/>
          <w:bCs/>
          <w:sz w:val="32"/>
          <w:szCs w:val="32"/>
        </w:rPr>
        <w:t>社会保障和就业支出</w:t>
      </w:r>
      <w:r>
        <w:rPr>
          <w:rStyle w:val="a8"/>
          <w:rFonts w:ascii="仿宋" w:eastAsia="仿宋" w:hAnsi="仿宋" w:hint="eastAsia"/>
          <w:bCs/>
          <w:sz w:val="32"/>
          <w:szCs w:val="32"/>
        </w:rPr>
        <w:t>（类）</w:t>
      </w:r>
      <w:r w:rsidR="00A73515" w:rsidRPr="00A73515">
        <w:rPr>
          <w:rStyle w:val="a8"/>
          <w:rFonts w:ascii="仿宋" w:eastAsia="仿宋" w:hAnsi="仿宋" w:hint="eastAsia"/>
          <w:bCs/>
          <w:sz w:val="32"/>
          <w:szCs w:val="32"/>
        </w:rPr>
        <w:t>行政事业单位养老支出</w:t>
      </w:r>
      <w:r>
        <w:rPr>
          <w:rStyle w:val="a8"/>
          <w:rFonts w:ascii="仿宋" w:eastAsia="仿宋" w:hAnsi="仿宋" w:hint="eastAsia"/>
          <w:bCs/>
          <w:sz w:val="32"/>
          <w:szCs w:val="32"/>
        </w:rPr>
        <w:t>（款）</w:t>
      </w:r>
      <w:r w:rsidR="00A73515" w:rsidRPr="00A73515">
        <w:rPr>
          <w:rStyle w:val="a8"/>
          <w:rFonts w:ascii="仿宋" w:eastAsia="仿宋" w:hAnsi="仿宋" w:hint="eastAsia"/>
          <w:bCs/>
          <w:sz w:val="32"/>
          <w:szCs w:val="32"/>
        </w:rPr>
        <w:t>事业单位离退休</w:t>
      </w:r>
      <w:r>
        <w:rPr>
          <w:rStyle w:val="a8"/>
          <w:rFonts w:ascii="仿宋" w:eastAsia="仿宋" w:hAnsi="仿宋" w:hint="eastAsia"/>
          <w:bCs/>
          <w:sz w:val="32"/>
          <w:szCs w:val="32"/>
        </w:rPr>
        <w:t>（项）</w:t>
      </w:r>
      <w:r>
        <w:rPr>
          <w:rStyle w:val="a8"/>
          <w:rFonts w:ascii="仿宋" w:eastAsia="仿宋" w:hAnsi="仿宋"/>
          <w:bCs/>
          <w:sz w:val="32"/>
          <w:szCs w:val="32"/>
        </w:rPr>
        <w:t>:</w:t>
      </w:r>
      <w:r>
        <w:rPr>
          <w:rStyle w:val="a8"/>
          <w:rFonts w:ascii="仿宋" w:eastAsia="仿宋" w:hAnsi="仿宋" w:hint="eastAsia"/>
          <w:b w:val="0"/>
          <w:bCs/>
          <w:sz w:val="32"/>
          <w:szCs w:val="32"/>
        </w:rPr>
        <w:t>支出决算为</w:t>
      </w:r>
      <w:r w:rsidR="00A73515">
        <w:rPr>
          <w:rStyle w:val="a8"/>
          <w:rFonts w:ascii="仿宋" w:eastAsia="仿宋" w:hAnsi="仿宋"/>
          <w:b w:val="0"/>
          <w:bCs/>
          <w:sz w:val="32"/>
          <w:szCs w:val="32"/>
        </w:rPr>
        <w:t>65.08</w:t>
      </w:r>
      <w:r>
        <w:rPr>
          <w:rStyle w:val="a8"/>
          <w:rFonts w:ascii="仿宋" w:eastAsia="仿宋" w:hAnsi="仿宋" w:hint="eastAsia"/>
          <w:b w:val="0"/>
          <w:bCs/>
          <w:sz w:val="32"/>
          <w:szCs w:val="32"/>
        </w:rPr>
        <w:t>万元，完成预算</w:t>
      </w:r>
      <w:r w:rsidR="00A73515">
        <w:rPr>
          <w:rStyle w:val="a8"/>
          <w:rFonts w:ascii="仿宋" w:eastAsia="仿宋" w:hAnsi="仿宋"/>
          <w:b w:val="0"/>
          <w:bCs/>
          <w:sz w:val="32"/>
          <w:szCs w:val="32"/>
        </w:rPr>
        <w:t>100</w:t>
      </w:r>
      <w:r>
        <w:rPr>
          <w:rStyle w:val="a8"/>
          <w:rFonts w:ascii="仿宋" w:eastAsia="仿宋" w:hAnsi="仿宋"/>
          <w:b w:val="0"/>
          <w:bCs/>
          <w:sz w:val="32"/>
          <w:szCs w:val="32"/>
        </w:rPr>
        <w:t>%</w:t>
      </w:r>
      <w:r>
        <w:rPr>
          <w:rStyle w:val="a8"/>
          <w:rFonts w:ascii="仿宋" w:eastAsia="仿宋" w:hAnsi="仿宋" w:hint="eastAsia"/>
          <w:b w:val="0"/>
          <w:bCs/>
          <w:sz w:val="32"/>
          <w:szCs w:val="32"/>
        </w:rPr>
        <w:t>，决算数</w:t>
      </w:r>
      <w:r w:rsidR="00A73515">
        <w:rPr>
          <w:rStyle w:val="a8"/>
          <w:rFonts w:ascii="仿宋" w:eastAsia="仿宋" w:hAnsi="仿宋" w:hint="eastAsia"/>
          <w:b w:val="0"/>
          <w:bCs/>
          <w:sz w:val="32"/>
          <w:szCs w:val="32"/>
        </w:rPr>
        <w:t>与</w:t>
      </w:r>
      <w:r>
        <w:rPr>
          <w:rStyle w:val="a8"/>
          <w:rFonts w:ascii="仿宋" w:eastAsia="仿宋" w:hAnsi="仿宋" w:hint="eastAsia"/>
          <w:b w:val="0"/>
          <w:bCs/>
          <w:sz w:val="32"/>
          <w:szCs w:val="32"/>
        </w:rPr>
        <w:t>预算数</w:t>
      </w:r>
      <w:r w:rsidR="00A73515">
        <w:rPr>
          <w:rStyle w:val="a8"/>
          <w:rFonts w:ascii="仿宋" w:eastAsia="仿宋" w:hAnsi="仿宋" w:hint="eastAsia"/>
          <w:b w:val="0"/>
          <w:bCs/>
          <w:sz w:val="32"/>
          <w:szCs w:val="32"/>
        </w:rPr>
        <w:t>基本持平</w:t>
      </w:r>
      <w:r>
        <w:rPr>
          <w:rStyle w:val="a8"/>
          <w:rFonts w:ascii="仿宋" w:eastAsia="仿宋" w:hAnsi="仿宋" w:hint="eastAsia"/>
          <w:b w:val="0"/>
          <w:bCs/>
          <w:sz w:val="32"/>
          <w:szCs w:val="32"/>
        </w:rPr>
        <w:t>。</w:t>
      </w:r>
    </w:p>
    <w:p w:rsidR="0071021A" w:rsidRDefault="0046049C">
      <w:pPr>
        <w:spacing w:line="600" w:lineRule="exact"/>
        <w:ind w:firstLineChars="200" w:firstLine="643"/>
        <w:rPr>
          <w:rFonts w:ascii="仿宋" w:eastAsia="仿宋" w:hAnsi="仿宋"/>
          <w:b/>
          <w:sz w:val="32"/>
          <w:szCs w:val="32"/>
        </w:rPr>
      </w:pPr>
      <w:r>
        <w:rPr>
          <w:rStyle w:val="a8"/>
          <w:rFonts w:ascii="仿宋" w:eastAsia="仿宋" w:hAnsi="仿宋"/>
          <w:bCs/>
          <w:sz w:val="32"/>
          <w:szCs w:val="32"/>
        </w:rPr>
        <w:t>2.</w:t>
      </w:r>
      <w:r w:rsidR="00A73515" w:rsidRPr="00A73515">
        <w:rPr>
          <w:rStyle w:val="a8"/>
          <w:rFonts w:ascii="仿宋" w:eastAsia="仿宋" w:hAnsi="仿宋" w:hint="eastAsia"/>
          <w:bCs/>
          <w:sz w:val="32"/>
          <w:szCs w:val="32"/>
        </w:rPr>
        <w:t xml:space="preserve"> 社会保障和就业支出</w:t>
      </w:r>
      <w:r w:rsidR="00A73515">
        <w:rPr>
          <w:rStyle w:val="a8"/>
          <w:rFonts w:ascii="仿宋" w:eastAsia="仿宋" w:hAnsi="仿宋" w:hint="eastAsia"/>
          <w:bCs/>
          <w:sz w:val="32"/>
          <w:szCs w:val="32"/>
        </w:rPr>
        <w:t>（类）</w:t>
      </w:r>
      <w:r w:rsidR="00A73515" w:rsidRPr="00A73515">
        <w:rPr>
          <w:rStyle w:val="a8"/>
          <w:rFonts w:ascii="仿宋" w:eastAsia="仿宋" w:hAnsi="仿宋" w:hint="eastAsia"/>
          <w:bCs/>
          <w:sz w:val="32"/>
          <w:szCs w:val="32"/>
        </w:rPr>
        <w:t>行政事业单位养老支出</w:t>
      </w:r>
      <w:r w:rsidR="00A73515">
        <w:rPr>
          <w:rStyle w:val="a8"/>
          <w:rFonts w:ascii="仿宋" w:eastAsia="仿宋" w:hAnsi="仿宋" w:hint="eastAsia"/>
          <w:bCs/>
          <w:sz w:val="32"/>
          <w:szCs w:val="32"/>
        </w:rPr>
        <w:t>（款）</w:t>
      </w:r>
      <w:r w:rsidR="00A73515" w:rsidRPr="00A73515">
        <w:rPr>
          <w:rStyle w:val="a8"/>
          <w:rFonts w:ascii="仿宋" w:eastAsia="仿宋" w:hAnsi="仿宋" w:hint="eastAsia"/>
          <w:bCs/>
          <w:sz w:val="32"/>
          <w:szCs w:val="32"/>
        </w:rPr>
        <w:t>机关事业单位基本养老保险缴费支出</w:t>
      </w:r>
      <w:r w:rsidR="00A73515">
        <w:rPr>
          <w:rStyle w:val="a8"/>
          <w:rFonts w:ascii="仿宋" w:eastAsia="仿宋" w:hAnsi="仿宋" w:hint="eastAsia"/>
          <w:bCs/>
          <w:sz w:val="32"/>
          <w:szCs w:val="32"/>
        </w:rPr>
        <w:t>（项）</w:t>
      </w:r>
      <w:r w:rsidR="00A73515">
        <w:rPr>
          <w:rStyle w:val="a8"/>
          <w:rFonts w:ascii="仿宋" w:eastAsia="仿宋" w:hAnsi="仿宋"/>
          <w:bCs/>
          <w:sz w:val="32"/>
          <w:szCs w:val="32"/>
        </w:rPr>
        <w:t>:</w:t>
      </w:r>
      <w:r w:rsidR="00A73515">
        <w:rPr>
          <w:rStyle w:val="a8"/>
          <w:rFonts w:ascii="仿宋" w:eastAsia="仿宋" w:hAnsi="仿宋" w:hint="eastAsia"/>
          <w:b w:val="0"/>
          <w:bCs/>
          <w:sz w:val="32"/>
          <w:szCs w:val="32"/>
        </w:rPr>
        <w:t>支出决算为</w:t>
      </w:r>
      <w:r w:rsidR="00A73515">
        <w:rPr>
          <w:rStyle w:val="a8"/>
          <w:rFonts w:ascii="仿宋" w:eastAsia="仿宋" w:hAnsi="仿宋"/>
          <w:b w:val="0"/>
          <w:bCs/>
          <w:sz w:val="32"/>
          <w:szCs w:val="32"/>
        </w:rPr>
        <w:t>1.68</w:t>
      </w:r>
      <w:r w:rsidR="00A73515">
        <w:rPr>
          <w:rStyle w:val="a8"/>
          <w:rFonts w:ascii="仿宋" w:eastAsia="仿宋" w:hAnsi="仿宋" w:hint="eastAsia"/>
          <w:b w:val="0"/>
          <w:bCs/>
          <w:sz w:val="32"/>
          <w:szCs w:val="32"/>
        </w:rPr>
        <w:t>万元，完成预算</w:t>
      </w:r>
      <w:r w:rsidR="00A73515">
        <w:rPr>
          <w:rStyle w:val="a8"/>
          <w:rFonts w:ascii="仿宋" w:eastAsia="仿宋" w:hAnsi="仿宋"/>
          <w:b w:val="0"/>
          <w:bCs/>
          <w:sz w:val="32"/>
          <w:szCs w:val="32"/>
        </w:rPr>
        <w:t>100%</w:t>
      </w:r>
      <w:r w:rsidR="00A73515">
        <w:rPr>
          <w:rStyle w:val="a8"/>
          <w:rFonts w:ascii="仿宋" w:eastAsia="仿宋" w:hAnsi="仿宋" w:hint="eastAsia"/>
          <w:b w:val="0"/>
          <w:bCs/>
          <w:sz w:val="32"/>
          <w:szCs w:val="32"/>
        </w:rPr>
        <w:t>，决算数与预算数基本持平</w:t>
      </w:r>
      <w:r>
        <w:rPr>
          <w:rStyle w:val="a8"/>
          <w:rFonts w:ascii="仿宋" w:eastAsia="仿宋" w:hAnsi="仿宋" w:hint="eastAsia"/>
          <w:b w:val="0"/>
          <w:bCs/>
          <w:sz w:val="32"/>
          <w:szCs w:val="32"/>
        </w:rPr>
        <w:t>。</w:t>
      </w:r>
    </w:p>
    <w:p w:rsidR="0071021A" w:rsidRDefault="0046049C">
      <w:pPr>
        <w:spacing w:line="600" w:lineRule="exact"/>
        <w:ind w:firstLineChars="200" w:firstLine="643"/>
        <w:rPr>
          <w:rFonts w:ascii="仿宋" w:eastAsia="仿宋" w:hAnsi="仿宋"/>
          <w:b/>
          <w:sz w:val="32"/>
          <w:szCs w:val="32"/>
        </w:rPr>
      </w:pPr>
      <w:r>
        <w:rPr>
          <w:rStyle w:val="a8"/>
          <w:rFonts w:ascii="仿宋" w:eastAsia="仿宋" w:hAnsi="仿宋"/>
          <w:bCs/>
          <w:sz w:val="32"/>
          <w:szCs w:val="32"/>
        </w:rPr>
        <w:t>3.</w:t>
      </w:r>
      <w:r w:rsidR="00A73515" w:rsidRPr="00A73515">
        <w:rPr>
          <w:rStyle w:val="a8"/>
          <w:rFonts w:ascii="仿宋" w:eastAsia="仿宋" w:hAnsi="仿宋" w:hint="eastAsia"/>
          <w:bCs/>
          <w:sz w:val="32"/>
          <w:szCs w:val="32"/>
        </w:rPr>
        <w:t xml:space="preserve"> 社会保障和就业支出</w:t>
      </w:r>
      <w:r w:rsidR="00A73515">
        <w:rPr>
          <w:rStyle w:val="a8"/>
          <w:rFonts w:ascii="仿宋" w:eastAsia="仿宋" w:hAnsi="仿宋" w:hint="eastAsia"/>
          <w:bCs/>
          <w:sz w:val="32"/>
          <w:szCs w:val="32"/>
        </w:rPr>
        <w:t>（类）</w:t>
      </w:r>
      <w:r w:rsidR="00A73515" w:rsidRPr="00A73515">
        <w:rPr>
          <w:rStyle w:val="a8"/>
          <w:rFonts w:ascii="仿宋" w:eastAsia="仿宋" w:hAnsi="仿宋" w:hint="eastAsia"/>
          <w:bCs/>
          <w:sz w:val="32"/>
          <w:szCs w:val="32"/>
        </w:rPr>
        <w:t>抚恤</w:t>
      </w:r>
      <w:r w:rsidR="00A73515">
        <w:rPr>
          <w:rStyle w:val="a8"/>
          <w:rFonts w:ascii="仿宋" w:eastAsia="仿宋" w:hAnsi="仿宋" w:hint="eastAsia"/>
          <w:bCs/>
          <w:sz w:val="32"/>
          <w:szCs w:val="32"/>
        </w:rPr>
        <w:t>（款）</w:t>
      </w:r>
      <w:r w:rsidR="00A73515" w:rsidRPr="00A73515">
        <w:rPr>
          <w:rStyle w:val="a8"/>
          <w:rFonts w:ascii="仿宋" w:eastAsia="仿宋" w:hAnsi="仿宋" w:hint="eastAsia"/>
          <w:bCs/>
          <w:sz w:val="32"/>
          <w:szCs w:val="32"/>
        </w:rPr>
        <w:t>死亡抚恤</w:t>
      </w:r>
      <w:r w:rsidR="00A73515">
        <w:rPr>
          <w:rStyle w:val="a8"/>
          <w:rFonts w:ascii="仿宋" w:eastAsia="仿宋" w:hAnsi="仿宋" w:hint="eastAsia"/>
          <w:bCs/>
          <w:sz w:val="32"/>
          <w:szCs w:val="32"/>
        </w:rPr>
        <w:t>（项）</w:t>
      </w:r>
      <w:r w:rsidR="00A73515">
        <w:rPr>
          <w:rStyle w:val="a8"/>
          <w:rFonts w:ascii="仿宋" w:eastAsia="仿宋" w:hAnsi="仿宋"/>
          <w:bCs/>
          <w:sz w:val="32"/>
          <w:szCs w:val="32"/>
        </w:rPr>
        <w:t>:</w:t>
      </w:r>
      <w:r w:rsidR="00A73515">
        <w:rPr>
          <w:rStyle w:val="a8"/>
          <w:rFonts w:ascii="仿宋" w:eastAsia="仿宋" w:hAnsi="仿宋" w:hint="eastAsia"/>
          <w:b w:val="0"/>
          <w:bCs/>
          <w:sz w:val="32"/>
          <w:szCs w:val="32"/>
        </w:rPr>
        <w:t>支出决算为</w:t>
      </w:r>
      <w:r w:rsidR="00A73515">
        <w:rPr>
          <w:rStyle w:val="a8"/>
          <w:rFonts w:ascii="仿宋" w:eastAsia="仿宋" w:hAnsi="仿宋"/>
          <w:b w:val="0"/>
          <w:bCs/>
          <w:sz w:val="32"/>
          <w:szCs w:val="32"/>
        </w:rPr>
        <w:t>11.23</w:t>
      </w:r>
      <w:r w:rsidR="00A73515">
        <w:rPr>
          <w:rStyle w:val="a8"/>
          <w:rFonts w:ascii="仿宋" w:eastAsia="仿宋" w:hAnsi="仿宋" w:hint="eastAsia"/>
          <w:b w:val="0"/>
          <w:bCs/>
          <w:sz w:val="32"/>
          <w:szCs w:val="32"/>
        </w:rPr>
        <w:t>万元，完成预算</w:t>
      </w:r>
      <w:r w:rsidR="00A73515">
        <w:rPr>
          <w:rStyle w:val="a8"/>
          <w:rFonts w:ascii="仿宋" w:eastAsia="仿宋" w:hAnsi="仿宋"/>
          <w:b w:val="0"/>
          <w:bCs/>
          <w:sz w:val="32"/>
          <w:szCs w:val="32"/>
        </w:rPr>
        <w:t>100%</w:t>
      </w:r>
      <w:r w:rsidR="00A73515">
        <w:rPr>
          <w:rStyle w:val="a8"/>
          <w:rFonts w:ascii="仿宋" w:eastAsia="仿宋" w:hAnsi="仿宋" w:hint="eastAsia"/>
          <w:b w:val="0"/>
          <w:bCs/>
          <w:sz w:val="32"/>
          <w:szCs w:val="32"/>
        </w:rPr>
        <w:t>，决算数与预算数基本持平。</w:t>
      </w:r>
    </w:p>
    <w:p w:rsidR="0071021A" w:rsidRDefault="0046049C">
      <w:pPr>
        <w:spacing w:line="600" w:lineRule="exact"/>
        <w:ind w:firstLineChars="200" w:firstLine="643"/>
        <w:rPr>
          <w:rFonts w:ascii="仿宋" w:eastAsia="仿宋" w:hAnsi="仿宋"/>
          <w:b/>
          <w:sz w:val="32"/>
          <w:szCs w:val="32"/>
        </w:rPr>
      </w:pPr>
      <w:r>
        <w:rPr>
          <w:rStyle w:val="a8"/>
          <w:rFonts w:ascii="仿宋" w:eastAsia="仿宋" w:hAnsi="仿宋"/>
          <w:bCs/>
          <w:sz w:val="32"/>
          <w:szCs w:val="32"/>
        </w:rPr>
        <w:t>4.</w:t>
      </w:r>
      <w:r w:rsidR="00590028" w:rsidRPr="00590028">
        <w:rPr>
          <w:rStyle w:val="a8"/>
          <w:rFonts w:ascii="仿宋" w:eastAsia="仿宋" w:hAnsi="仿宋" w:hint="eastAsia"/>
          <w:bCs/>
          <w:sz w:val="32"/>
          <w:szCs w:val="32"/>
        </w:rPr>
        <w:t>卫生健康支出</w:t>
      </w:r>
      <w:r>
        <w:rPr>
          <w:rStyle w:val="a8"/>
          <w:rFonts w:ascii="仿宋" w:eastAsia="仿宋" w:hAnsi="仿宋" w:hint="eastAsia"/>
          <w:bCs/>
          <w:sz w:val="32"/>
          <w:szCs w:val="32"/>
        </w:rPr>
        <w:t>（类）</w:t>
      </w:r>
      <w:r w:rsidR="00590028" w:rsidRPr="00590028">
        <w:rPr>
          <w:rStyle w:val="a8"/>
          <w:rFonts w:ascii="仿宋" w:eastAsia="仿宋" w:hAnsi="仿宋" w:hint="eastAsia"/>
          <w:bCs/>
          <w:sz w:val="32"/>
          <w:szCs w:val="32"/>
        </w:rPr>
        <w:t>行政事业单位医疗</w:t>
      </w:r>
      <w:r>
        <w:rPr>
          <w:rStyle w:val="a8"/>
          <w:rFonts w:ascii="仿宋" w:eastAsia="仿宋" w:hAnsi="仿宋" w:hint="eastAsia"/>
          <w:bCs/>
          <w:sz w:val="32"/>
          <w:szCs w:val="32"/>
        </w:rPr>
        <w:t>（款）</w:t>
      </w:r>
      <w:r w:rsidR="00590028" w:rsidRPr="00590028">
        <w:rPr>
          <w:rStyle w:val="a8"/>
          <w:rFonts w:ascii="仿宋" w:eastAsia="仿宋" w:hAnsi="仿宋" w:hint="eastAsia"/>
          <w:bCs/>
          <w:sz w:val="32"/>
          <w:szCs w:val="32"/>
        </w:rPr>
        <w:t>事业单位医疗</w:t>
      </w:r>
      <w:r>
        <w:rPr>
          <w:rStyle w:val="a8"/>
          <w:rFonts w:ascii="仿宋" w:eastAsia="仿宋" w:hAnsi="仿宋" w:hint="eastAsia"/>
          <w:bCs/>
          <w:sz w:val="32"/>
          <w:szCs w:val="32"/>
        </w:rPr>
        <w:t>（项）</w:t>
      </w:r>
      <w:r>
        <w:rPr>
          <w:rStyle w:val="a8"/>
          <w:rFonts w:ascii="仿宋" w:eastAsia="仿宋" w:hAnsi="仿宋"/>
          <w:bCs/>
          <w:sz w:val="32"/>
          <w:szCs w:val="32"/>
        </w:rPr>
        <w:t>:</w:t>
      </w:r>
      <w:r>
        <w:rPr>
          <w:rStyle w:val="a8"/>
          <w:rFonts w:ascii="仿宋" w:eastAsia="仿宋" w:hAnsi="仿宋" w:hint="eastAsia"/>
          <w:b w:val="0"/>
          <w:bCs/>
          <w:sz w:val="32"/>
          <w:szCs w:val="32"/>
        </w:rPr>
        <w:t>支出决算为</w:t>
      </w:r>
      <w:r w:rsidR="00590028">
        <w:rPr>
          <w:rStyle w:val="a8"/>
          <w:rFonts w:ascii="仿宋" w:eastAsia="仿宋" w:hAnsi="仿宋"/>
          <w:b w:val="0"/>
          <w:bCs/>
          <w:sz w:val="32"/>
          <w:szCs w:val="32"/>
        </w:rPr>
        <w:t>0.82</w:t>
      </w:r>
      <w:r>
        <w:rPr>
          <w:rStyle w:val="a8"/>
          <w:rFonts w:ascii="仿宋" w:eastAsia="仿宋" w:hAnsi="仿宋" w:hint="eastAsia"/>
          <w:b w:val="0"/>
          <w:bCs/>
          <w:sz w:val="32"/>
          <w:szCs w:val="32"/>
        </w:rPr>
        <w:t>万元，</w:t>
      </w:r>
      <w:r w:rsidR="00590028">
        <w:rPr>
          <w:rStyle w:val="a8"/>
          <w:rFonts w:ascii="仿宋" w:eastAsia="仿宋" w:hAnsi="仿宋" w:hint="eastAsia"/>
          <w:b w:val="0"/>
          <w:bCs/>
          <w:sz w:val="32"/>
          <w:szCs w:val="32"/>
        </w:rPr>
        <w:t>完成预算</w:t>
      </w:r>
      <w:r w:rsidR="00590028">
        <w:rPr>
          <w:rStyle w:val="a8"/>
          <w:rFonts w:ascii="仿宋" w:eastAsia="仿宋" w:hAnsi="仿宋"/>
          <w:b w:val="0"/>
          <w:bCs/>
          <w:sz w:val="32"/>
          <w:szCs w:val="32"/>
        </w:rPr>
        <w:t>100%</w:t>
      </w:r>
      <w:r w:rsidR="00590028">
        <w:rPr>
          <w:rStyle w:val="a8"/>
          <w:rFonts w:ascii="仿宋" w:eastAsia="仿宋" w:hAnsi="仿宋" w:hint="eastAsia"/>
          <w:b w:val="0"/>
          <w:bCs/>
          <w:sz w:val="32"/>
          <w:szCs w:val="32"/>
        </w:rPr>
        <w:t>，决算数与预算数基本持平</w:t>
      </w:r>
      <w:r>
        <w:rPr>
          <w:rStyle w:val="a8"/>
          <w:rFonts w:ascii="仿宋" w:eastAsia="仿宋" w:hAnsi="仿宋" w:hint="eastAsia"/>
          <w:b w:val="0"/>
          <w:bCs/>
          <w:sz w:val="32"/>
          <w:szCs w:val="32"/>
        </w:rPr>
        <w:t>。</w:t>
      </w:r>
    </w:p>
    <w:p w:rsidR="0071021A" w:rsidRPr="00590028" w:rsidRDefault="0046049C" w:rsidP="00590028">
      <w:pPr>
        <w:spacing w:line="600" w:lineRule="exact"/>
        <w:ind w:firstLineChars="200" w:firstLine="643"/>
        <w:rPr>
          <w:rFonts w:ascii="仿宋" w:eastAsia="仿宋" w:hAnsi="仿宋"/>
          <w:bCs/>
          <w:sz w:val="32"/>
          <w:szCs w:val="32"/>
        </w:rPr>
      </w:pPr>
      <w:r>
        <w:rPr>
          <w:rStyle w:val="a8"/>
          <w:rFonts w:ascii="仿宋" w:eastAsia="仿宋" w:hAnsi="仿宋"/>
          <w:bCs/>
          <w:sz w:val="32"/>
          <w:szCs w:val="32"/>
        </w:rPr>
        <w:t>5.</w:t>
      </w:r>
      <w:r w:rsidR="00590028" w:rsidRPr="00590028">
        <w:rPr>
          <w:rStyle w:val="a8"/>
          <w:rFonts w:ascii="仿宋" w:eastAsia="仿宋" w:hAnsi="仿宋" w:hint="eastAsia"/>
          <w:bCs/>
          <w:sz w:val="32"/>
          <w:szCs w:val="32"/>
        </w:rPr>
        <w:t xml:space="preserve"> 卫生健康支出</w:t>
      </w:r>
      <w:r w:rsidR="00590028">
        <w:rPr>
          <w:rStyle w:val="a8"/>
          <w:rFonts w:ascii="仿宋" w:eastAsia="仿宋" w:hAnsi="仿宋" w:hint="eastAsia"/>
          <w:bCs/>
          <w:sz w:val="32"/>
          <w:szCs w:val="32"/>
        </w:rPr>
        <w:t>（类）</w:t>
      </w:r>
      <w:r w:rsidR="00590028" w:rsidRPr="00590028">
        <w:rPr>
          <w:rStyle w:val="a8"/>
          <w:rFonts w:ascii="仿宋" w:eastAsia="仿宋" w:hAnsi="仿宋" w:hint="eastAsia"/>
          <w:bCs/>
          <w:sz w:val="32"/>
          <w:szCs w:val="32"/>
        </w:rPr>
        <w:t>行政事业单位医疗</w:t>
      </w:r>
      <w:r w:rsidR="00590028">
        <w:rPr>
          <w:rStyle w:val="a8"/>
          <w:rFonts w:ascii="仿宋" w:eastAsia="仿宋" w:hAnsi="仿宋" w:hint="eastAsia"/>
          <w:bCs/>
          <w:sz w:val="32"/>
          <w:szCs w:val="32"/>
        </w:rPr>
        <w:t>（款）</w:t>
      </w:r>
      <w:r w:rsidR="00590028" w:rsidRPr="00590028">
        <w:rPr>
          <w:rStyle w:val="a8"/>
          <w:rFonts w:ascii="仿宋" w:eastAsia="仿宋" w:hAnsi="仿宋" w:hint="eastAsia"/>
          <w:bCs/>
          <w:sz w:val="32"/>
          <w:szCs w:val="32"/>
        </w:rPr>
        <w:t>其他行政事业单位医疗支出</w:t>
      </w:r>
      <w:r w:rsidR="00590028">
        <w:rPr>
          <w:rStyle w:val="a8"/>
          <w:rFonts w:ascii="仿宋" w:eastAsia="仿宋" w:hAnsi="仿宋" w:hint="eastAsia"/>
          <w:bCs/>
          <w:sz w:val="32"/>
          <w:szCs w:val="32"/>
        </w:rPr>
        <w:t>（项）</w:t>
      </w:r>
      <w:r w:rsidR="00590028">
        <w:rPr>
          <w:rStyle w:val="a8"/>
          <w:rFonts w:ascii="仿宋" w:eastAsia="仿宋" w:hAnsi="仿宋"/>
          <w:bCs/>
          <w:sz w:val="32"/>
          <w:szCs w:val="32"/>
        </w:rPr>
        <w:t>:</w:t>
      </w:r>
      <w:r w:rsidR="00590028">
        <w:rPr>
          <w:rStyle w:val="a8"/>
          <w:rFonts w:ascii="仿宋" w:eastAsia="仿宋" w:hAnsi="仿宋" w:hint="eastAsia"/>
          <w:b w:val="0"/>
          <w:bCs/>
          <w:sz w:val="32"/>
          <w:szCs w:val="32"/>
        </w:rPr>
        <w:t>支出决算为</w:t>
      </w:r>
      <w:r w:rsidR="00590028">
        <w:rPr>
          <w:rStyle w:val="a8"/>
          <w:rFonts w:ascii="仿宋" w:eastAsia="仿宋" w:hAnsi="仿宋"/>
          <w:b w:val="0"/>
          <w:bCs/>
          <w:sz w:val="32"/>
          <w:szCs w:val="32"/>
        </w:rPr>
        <w:t>0</w:t>
      </w:r>
      <w:r w:rsidR="00590028">
        <w:rPr>
          <w:rStyle w:val="a8"/>
          <w:rFonts w:ascii="仿宋" w:eastAsia="仿宋" w:hAnsi="仿宋" w:hint="eastAsia"/>
          <w:b w:val="0"/>
          <w:bCs/>
          <w:sz w:val="32"/>
          <w:szCs w:val="32"/>
        </w:rPr>
        <w:t>.08万元，完成预算</w:t>
      </w:r>
      <w:r w:rsidR="00590028">
        <w:rPr>
          <w:rStyle w:val="a8"/>
          <w:rFonts w:ascii="仿宋" w:eastAsia="仿宋" w:hAnsi="仿宋"/>
          <w:b w:val="0"/>
          <w:bCs/>
          <w:sz w:val="32"/>
          <w:szCs w:val="32"/>
        </w:rPr>
        <w:t>100%</w:t>
      </w:r>
      <w:r w:rsidR="00590028">
        <w:rPr>
          <w:rStyle w:val="a8"/>
          <w:rFonts w:ascii="仿宋" w:eastAsia="仿宋" w:hAnsi="仿宋" w:hint="eastAsia"/>
          <w:b w:val="0"/>
          <w:bCs/>
          <w:sz w:val="32"/>
          <w:szCs w:val="32"/>
        </w:rPr>
        <w:t>，决算数与预算数基本持平</w:t>
      </w:r>
      <w:r>
        <w:rPr>
          <w:rStyle w:val="a8"/>
          <w:rFonts w:ascii="仿宋" w:eastAsia="仿宋" w:hAnsi="仿宋" w:hint="eastAsia"/>
          <w:b w:val="0"/>
          <w:bCs/>
          <w:sz w:val="32"/>
          <w:szCs w:val="32"/>
        </w:rPr>
        <w:t>。</w:t>
      </w:r>
    </w:p>
    <w:p w:rsidR="0071021A" w:rsidRDefault="0046049C">
      <w:pPr>
        <w:spacing w:line="600" w:lineRule="exact"/>
        <w:ind w:firstLineChars="200" w:firstLine="643"/>
        <w:rPr>
          <w:rFonts w:ascii="仿宋" w:eastAsia="仿宋" w:hAnsi="仿宋"/>
          <w:b/>
          <w:sz w:val="32"/>
          <w:szCs w:val="32"/>
        </w:rPr>
      </w:pPr>
      <w:r>
        <w:rPr>
          <w:rStyle w:val="a8"/>
          <w:rFonts w:ascii="仿宋" w:eastAsia="仿宋" w:hAnsi="仿宋"/>
          <w:bCs/>
          <w:sz w:val="32"/>
          <w:szCs w:val="32"/>
        </w:rPr>
        <w:t>6.</w:t>
      </w:r>
      <w:r w:rsidR="00590028" w:rsidRPr="00590028">
        <w:rPr>
          <w:rFonts w:ascii="仿宋" w:eastAsia="仿宋" w:hAnsi="仿宋" w:hint="eastAsia"/>
          <w:b/>
          <w:bCs/>
          <w:sz w:val="32"/>
          <w:szCs w:val="32"/>
        </w:rPr>
        <w:t>农林水支出</w:t>
      </w:r>
      <w:r>
        <w:rPr>
          <w:rStyle w:val="a8"/>
          <w:rFonts w:ascii="仿宋" w:eastAsia="仿宋" w:hAnsi="仿宋" w:hint="eastAsia"/>
          <w:bCs/>
          <w:sz w:val="32"/>
          <w:szCs w:val="32"/>
        </w:rPr>
        <w:t>（类）</w:t>
      </w:r>
      <w:r w:rsidR="00590028" w:rsidRPr="00590028">
        <w:rPr>
          <w:rStyle w:val="a8"/>
          <w:rFonts w:ascii="仿宋" w:eastAsia="仿宋" w:hAnsi="仿宋" w:hint="eastAsia"/>
          <w:bCs/>
          <w:sz w:val="32"/>
          <w:szCs w:val="32"/>
        </w:rPr>
        <w:t>农业农村</w:t>
      </w:r>
      <w:r>
        <w:rPr>
          <w:rStyle w:val="a8"/>
          <w:rFonts w:ascii="仿宋" w:eastAsia="仿宋" w:hAnsi="仿宋" w:hint="eastAsia"/>
          <w:bCs/>
          <w:sz w:val="32"/>
          <w:szCs w:val="32"/>
        </w:rPr>
        <w:t>（款）</w:t>
      </w:r>
      <w:r w:rsidR="00590028" w:rsidRPr="00590028">
        <w:rPr>
          <w:rStyle w:val="a8"/>
          <w:rFonts w:ascii="仿宋" w:eastAsia="仿宋" w:hAnsi="仿宋" w:hint="eastAsia"/>
          <w:bCs/>
          <w:sz w:val="32"/>
          <w:szCs w:val="32"/>
        </w:rPr>
        <w:t>事业运行</w:t>
      </w:r>
      <w:r>
        <w:rPr>
          <w:rStyle w:val="a8"/>
          <w:rFonts w:ascii="仿宋" w:eastAsia="仿宋" w:hAnsi="仿宋" w:hint="eastAsia"/>
          <w:bCs/>
          <w:sz w:val="32"/>
          <w:szCs w:val="32"/>
        </w:rPr>
        <w:t>（项）</w:t>
      </w:r>
      <w:r>
        <w:rPr>
          <w:rStyle w:val="a8"/>
          <w:rFonts w:ascii="仿宋" w:eastAsia="仿宋" w:hAnsi="仿宋"/>
          <w:bCs/>
          <w:sz w:val="32"/>
          <w:szCs w:val="32"/>
        </w:rPr>
        <w:t>:</w:t>
      </w:r>
      <w:r>
        <w:rPr>
          <w:rStyle w:val="a8"/>
          <w:rFonts w:ascii="仿宋" w:eastAsia="仿宋" w:hAnsi="仿宋" w:hint="eastAsia"/>
          <w:b w:val="0"/>
          <w:bCs/>
          <w:sz w:val="32"/>
          <w:szCs w:val="32"/>
        </w:rPr>
        <w:t>支出决算为</w:t>
      </w:r>
      <w:r w:rsidR="00590028">
        <w:rPr>
          <w:rStyle w:val="a8"/>
          <w:rFonts w:ascii="仿宋" w:eastAsia="仿宋" w:hAnsi="仿宋"/>
          <w:b w:val="0"/>
          <w:bCs/>
          <w:sz w:val="32"/>
          <w:szCs w:val="32"/>
        </w:rPr>
        <w:t>3.49</w:t>
      </w:r>
      <w:r>
        <w:rPr>
          <w:rStyle w:val="a8"/>
          <w:rFonts w:ascii="仿宋" w:eastAsia="仿宋" w:hAnsi="仿宋" w:hint="eastAsia"/>
          <w:b w:val="0"/>
          <w:bCs/>
          <w:sz w:val="32"/>
          <w:szCs w:val="32"/>
        </w:rPr>
        <w:t>万元，</w:t>
      </w:r>
      <w:r w:rsidR="00590028">
        <w:rPr>
          <w:rStyle w:val="a8"/>
          <w:rFonts w:ascii="仿宋" w:eastAsia="仿宋" w:hAnsi="仿宋" w:hint="eastAsia"/>
          <w:b w:val="0"/>
          <w:bCs/>
          <w:sz w:val="32"/>
          <w:szCs w:val="32"/>
        </w:rPr>
        <w:t>完成预算</w:t>
      </w:r>
      <w:r w:rsidR="00590028">
        <w:rPr>
          <w:rStyle w:val="a8"/>
          <w:rFonts w:ascii="仿宋" w:eastAsia="仿宋" w:hAnsi="仿宋"/>
          <w:b w:val="0"/>
          <w:bCs/>
          <w:sz w:val="32"/>
          <w:szCs w:val="32"/>
        </w:rPr>
        <w:t>100%</w:t>
      </w:r>
      <w:r w:rsidR="00590028">
        <w:rPr>
          <w:rStyle w:val="a8"/>
          <w:rFonts w:ascii="仿宋" w:eastAsia="仿宋" w:hAnsi="仿宋" w:hint="eastAsia"/>
          <w:b w:val="0"/>
          <w:bCs/>
          <w:sz w:val="32"/>
          <w:szCs w:val="32"/>
        </w:rPr>
        <w:t>，决算数与预算数基本持平。</w:t>
      </w:r>
    </w:p>
    <w:p w:rsidR="0071021A" w:rsidRDefault="00590028">
      <w:pPr>
        <w:spacing w:line="600" w:lineRule="exact"/>
        <w:ind w:firstLineChars="200" w:firstLine="643"/>
        <w:rPr>
          <w:rFonts w:ascii="仿宋" w:eastAsia="仿宋" w:hAnsi="仿宋"/>
          <w:sz w:val="32"/>
          <w:szCs w:val="32"/>
        </w:rPr>
      </w:pPr>
      <w:r>
        <w:rPr>
          <w:rStyle w:val="a8"/>
          <w:rFonts w:ascii="仿宋" w:eastAsia="仿宋" w:hAnsi="仿宋"/>
          <w:bCs/>
          <w:sz w:val="32"/>
          <w:szCs w:val="32"/>
        </w:rPr>
        <w:t>7.</w:t>
      </w:r>
      <w:r w:rsidRPr="00590028">
        <w:rPr>
          <w:rFonts w:ascii="仿宋" w:eastAsia="仿宋" w:hAnsi="仿宋" w:hint="eastAsia"/>
          <w:b/>
          <w:bCs/>
          <w:sz w:val="32"/>
          <w:szCs w:val="32"/>
        </w:rPr>
        <w:t>住房保障支出</w:t>
      </w:r>
      <w:r>
        <w:rPr>
          <w:rStyle w:val="a8"/>
          <w:rFonts w:ascii="仿宋" w:eastAsia="仿宋" w:hAnsi="仿宋" w:hint="eastAsia"/>
          <w:bCs/>
          <w:sz w:val="32"/>
          <w:szCs w:val="32"/>
        </w:rPr>
        <w:t>（类）</w:t>
      </w:r>
      <w:r w:rsidRPr="00590028">
        <w:rPr>
          <w:rStyle w:val="a8"/>
          <w:rFonts w:ascii="仿宋" w:eastAsia="仿宋" w:hAnsi="仿宋" w:hint="eastAsia"/>
          <w:bCs/>
          <w:sz w:val="32"/>
          <w:szCs w:val="32"/>
        </w:rPr>
        <w:t>住房改革支出</w:t>
      </w:r>
      <w:r>
        <w:rPr>
          <w:rStyle w:val="a8"/>
          <w:rFonts w:ascii="仿宋" w:eastAsia="仿宋" w:hAnsi="仿宋" w:hint="eastAsia"/>
          <w:bCs/>
          <w:sz w:val="32"/>
          <w:szCs w:val="32"/>
        </w:rPr>
        <w:t>（款）</w:t>
      </w:r>
      <w:r w:rsidRPr="00590028">
        <w:rPr>
          <w:rStyle w:val="a8"/>
          <w:rFonts w:ascii="仿宋" w:eastAsia="仿宋" w:hAnsi="仿宋" w:hint="eastAsia"/>
          <w:bCs/>
          <w:sz w:val="32"/>
          <w:szCs w:val="32"/>
        </w:rPr>
        <w:t>住房公积金</w:t>
      </w:r>
      <w:r>
        <w:rPr>
          <w:rStyle w:val="a8"/>
          <w:rFonts w:ascii="仿宋" w:eastAsia="仿宋" w:hAnsi="仿宋" w:hint="eastAsia"/>
          <w:bCs/>
          <w:sz w:val="32"/>
          <w:szCs w:val="32"/>
        </w:rPr>
        <w:t>（项）</w:t>
      </w:r>
      <w:r>
        <w:rPr>
          <w:rStyle w:val="a8"/>
          <w:rFonts w:ascii="仿宋" w:eastAsia="仿宋" w:hAnsi="仿宋"/>
          <w:bCs/>
          <w:sz w:val="32"/>
          <w:szCs w:val="32"/>
        </w:rPr>
        <w:t>:</w:t>
      </w:r>
      <w:r>
        <w:rPr>
          <w:rStyle w:val="a8"/>
          <w:rFonts w:ascii="仿宋" w:eastAsia="仿宋" w:hAnsi="仿宋" w:hint="eastAsia"/>
          <w:b w:val="0"/>
          <w:bCs/>
          <w:sz w:val="32"/>
          <w:szCs w:val="32"/>
        </w:rPr>
        <w:t>支出决算为</w:t>
      </w:r>
      <w:r>
        <w:rPr>
          <w:rStyle w:val="a8"/>
          <w:rFonts w:ascii="仿宋" w:eastAsia="仿宋" w:hAnsi="仿宋"/>
          <w:b w:val="0"/>
          <w:bCs/>
          <w:sz w:val="32"/>
          <w:szCs w:val="32"/>
        </w:rPr>
        <w:t>1.75</w:t>
      </w:r>
      <w:r>
        <w:rPr>
          <w:rStyle w:val="a8"/>
          <w:rFonts w:ascii="仿宋" w:eastAsia="仿宋" w:hAnsi="仿宋" w:hint="eastAsia"/>
          <w:b w:val="0"/>
          <w:bCs/>
          <w:sz w:val="32"/>
          <w:szCs w:val="32"/>
        </w:rPr>
        <w:t>万元，完成预算</w:t>
      </w:r>
      <w:r>
        <w:rPr>
          <w:rStyle w:val="a8"/>
          <w:rFonts w:ascii="仿宋" w:eastAsia="仿宋" w:hAnsi="仿宋"/>
          <w:b w:val="0"/>
          <w:bCs/>
          <w:sz w:val="32"/>
          <w:szCs w:val="32"/>
        </w:rPr>
        <w:t>100%</w:t>
      </w:r>
      <w:r>
        <w:rPr>
          <w:rStyle w:val="a8"/>
          <w:rFonts w:ascii="仿宋" w:eastAsia="仿宋" w:hAnsi="仿宋" w:hint="eastAsia"/>
          <w:b w:val="0"/>
          <w:bCs/>
          <w:sz w:val="32"/>
          <w:szCs w:val="32"/>
        </w:rPr>
        <w:t>，决算数与预算数基本持平。</w:t>
      </w:r>
    </w:p>
    <w:p w:rsidR="0071021A" w:rsidRDefault="0071021A">
      <w:pPr>
        <w:spacing w:line="600" w:lineRule="exact"/>
        <w:ind w:firstLine="640"/>
        <w:rPr>
          <w:rFonts w:ascii="仿宋" w:eastAsia="仿宋" w:hAnsi="仿宋"/>
          <w:b/>
          <w:sz w:val="32"/>
          <w:szCs w:val="32"/>
        </w:rPr>
      </w:pPr>
    </w:p>
    <w:p w:rsidR="0071021A" w:rsidRDefault="0046049C">
      <w:pPr>
        <w:tabs>
          <w:tab w:val="right" w:pos="8306"/>
        </w:tabs>
        <w:spacing w:line="600" w:lineRule="exact"/>
        <w:ind w:firstLine="640"/>
        <w:outlineLvl w:val="1"/>
        <w:rPr>
          <w:rStyle w:val="2Char"/>
        </w:rPr>
      </w:pPr>
      <w:bookmarkStart w:id="35" w:name="_Toc15377214"/>
      <w:bookmarkStart w:id="36" w:name="_Toc15396608"/>
      <w:r>
        <w:rPr>
          <w:rFonts w:ascii="黑体" w:eastAsia="黑体" w:hint="eastAsia"/>
          <w:sz w:val="32"/>
          <w:szCs w:val="32"/>
        </w:rPr>
        <w:t>六</w:t>
      </w:r>
      <w:r>
        <w:rPr>
          <w:rFonts w:ascii="黑体" w:eastAsia="黑体" w:hint="eastAsia"/>
          <w:b/>
          <w:sz w:val="32"/>
          <w:szCs w:val="32"/>
        </w:rPr>
        <w:t>、</w:t>
      </w:r>
      <w:r>
        <w:rPr>
          <w:rFonts w:ascii="黑体" w:eastAsia="黑体" w:hAnsi="黑体" w:hint="eastAsia"/>
          <w:b/>
          <w:sz w:val="32"/>
          <w:szCs w:val="32"/>
        </w:rPr>
        <w:t>一</w:t>
      </w:r>
      <w:r>
        <w:rPr>
          <w:rStyle w:val="2Char"/>
          <w:rFonts w:ascii="黑体" w:eastAsia="黑体" w:hAnsi="黑体" w:hint="eastAsia"/>
          <w:b w:val="0"/>
        </w:rPr>
        <w:t>般公共预算财政拨款基本支出决算情况说明</w:t>
      </w:r>
      <w:bookmarkEnd w:id="35"/>
      <w:bookmarkEnd w:id="36"/>
      <w:r>
        <w:rPr>
          <w:rStyle w:val="2Char"/>
          <w:rFonts w:ascii="黑体" w:eastAsia="黑体" w:hAnsi="黑体"/>
          <w:b w:val="0"/>
        </w:rPr>
        <w:tab/>
      </w:r>
    </w:p>
    <w:p w:rsidR="0071021A" w:rsidRDefault="0046049C">
      <w:pPr>
        <w:spacing w:line="600" w:lineRule="exact"/>
        <w:ind w:firstLine="645"/>
        <w:rPr>
          <w:rFonts w:ascii="仿宋" w:eastAsia="仿宋" w:hAnsi="仿宋"/>
          <w:sz w:val="32"/>
          <w:szCs w:val="32"/>
        </w:rPr>
      </w:pPr>
      <w:r>
        <w:rPr>
          <w:rFonts w:ascii="仿宋" w:eastAsia="仿宋" w:hAnsi="仿宋" w:hint="eastAsia"/>
          <w:sz w:val="32"/>
          <w:szCs w:val="32"/>
        </w:rPr>
        <w:t>2023年度一般公共预算财政拨款基本支出</w:t>
      </w:r>
      <w:r w:rsidR="0043177C" w:rsidRPr="005533CF">
        <w:rPr>
          <w:rFonts w:ascii="仿宋" w:eastAsia="仿宋" w:hAnsi="仿宋"/>
          <w:b/>
          <w:sz w:val="32"/>
          <w:szCs w:val="32"/>
        </w:rPr>
        <w:t>84.13</w:t>
      </w:r>
      <w:r>
        <w:rPr>
          <w:rFonts w:ascii="仿宋" w:eastAsia="仿宋" w:hAnsi="仿宋" w:hint="eastAsia"/>
          <w:sz w:val="32"/>
          <w:szCs w:val="32"/>
        </w:rPr>
        <w:t>万元，其中：</w:t>
      </w:r>
    </w:p>
    <w:p w:rsidR="0071021A" w:rsidRPr="000352C6" w:rsidRDefault="0046049C" w:rsidP="000352C6">
      <w:pPr>
        <w:spacing w:line="600" w:lineRule="exact"/>
        <w:ind w:firstLine="645"/>
        <w:rPr>
          <w:rFonts w:ascii="仿宋" w:eastAsia="仿宋" w:hAnsi="仿宋"/>
          <w:sz w:val="32"/>
          <w:szCs w:val="32"/>
        </w:rPr>
      </w:pPr>
      <w:r>
        <w:rPr>
          <w:rFonts w:ascii="仿宋" w:eastAsia="仿宋" w:hAnsi="仿宋" w:hint="eastAsia"/>
          <w:sz w:val="32"/>
          <w:szCs w:val="32"/>
        </w:rPr>
        <w:t>人员经费</w:t>
      </w:r>
      <w:r w:rsidR="0043177C" w:rsidRPr="005533CF">
        <w:rPr>
          <w:rFonts w:ascii="仿宋" w:eastAsia="仿宋" w:hAnsi="仿宋"/>
          <w:b/>
          <w:sz w:val="32"/>
          <w:szCs w:val="32"/>
        </w:rPr>
        <w:t>81.45</w:t>
      </w:r>
      <w:r>
        <w:rPr>
          <w:rFonts w:ascii="仿宋" w:eastAsia="仿宋" w:hAnsi="仿宋" w:hint="eastAsia"/>
          <w:sz w:val="32"/>
          <w:szCs w:val="32"/>
        </w:rPr>
        <w:t>万元，主要包括：基本工资</w:t>
      </w:r>
      <w:r w:rsidR="00590028">
        <w:rPr>
          <w:rFonts w:ascii="仿宋" w:eastAsia="仿宋" w:hAnsi="仿宋" w:hint="eastAsia"/>
          <w:sz w:val="32"/>
          <w:szCs w:val="32"/>
        </w:rPr>
        <w:t>1.57万元</w:t>
      </w:r>
      <w:r>
        <w:rPr>
          <w:rFonts w:ascii="仿宋" w:eastAsia="仿宋" w:hAnsi="仿宋" w:hint="eastAsia"/>
          <w:sz w:val="32"/>
          <w:szCs w:val="32"/>
        </w:rPr>
        <w:t>、津贴补贴</w:t>
      </w:r>
      <w:r w:rsidR="00590028">
        <w:rPr>
          <w:rFonts w:ascii="仿宋" w:eastAsia="仿宋" w:hAnsi="仿宋" w:hint="eastAsia"/>
          <w:sz w:val="32"/>
          <w:szCs w:val="32"/>
        </w:rPr>
        <w:t>0.59万元</w:t>
      </w:r>
      <w:r>
        <w:rPr>
          <w:rFonts w:ascii="仿宋" w:eastAsia="仿宋" w:hAnsi="仿宋" w:hint="eastAsia"/>
          <w:sz w:val="32"/>
          <w:szCs w:val="32"/>
        </w:rPr>
        <w:t>、奖金</w:t>
      </w:r>
      <w:r w:rsidR="00590028">
        <w:rPr>
          <w:rFonts w:ascii="仿宋" w:eastAsia="仿宋" w:hAnsi="仿宋" w:hint="eastAsia"/>
          <w:sz w:val="32"/>
          <w:szCs w:val="32"/>
        </w:rPr>
        <w:t>0万元</w:t>
      </w:r>
      <w:r>
        <w:rPr>
          <w:rFonts w:ascii="仿宋" w:eastAsia="仿宋" w:hAnsi="仿宋" w:hint="eastAsia"/>
          <w:sz w:val="32"/>
          <w:szCs w:val="32"/>
        </w:rPr>
        <w:t>、伙食补助费</w:t>
      </w:r>
      <w:r w:rsidR="00590028">
        <w:rPr>
          <w:rFonts w:ascii="仿宋" w:eastAsia="仿宋" w:hAnsi="仿宋" w:hint="eastAsia"/>
          <w:sz w:val="32"/>
          <w:szCs w:val="32"/>
        </w:rPr>
        <w:t>0万元</w:t>
      </w:r>
      <w:r>
        <w:rPr>
          <w:rFonts w:ascii="仿宋" w:eastAsia="仿宋" w:hAnsi="仿宋" w:hint="eastAsia"/>
          <w:sz w:val="32"/>
          <w:szCs w:val="32"/>
        </w:rPr>
        <w:t>、绩效工资</w:t>
      </w:r>
      <w:r w:rsidR="00590028">
        <w:rPr>
          <w:rFonts w:ascii="仿宋" w:eastAsia="仿宋" w:hAnsi="仿宋" w:hint="eastAsia"/>
          <w:sz w:val="32"/>
          <w:szCs w:val="32"/>
        </w:rPr>
        <w:t>0.2万元</w:t>
      </w:r>
      <w:r>
        <w:rPr>
          <w:rFonts w:ascii="仿宋" w:eastAsia="仿宋" w:hAnsi="仿宋" w:hint="eastAsia"/>
          <w:sz w:val="32"/>
          <w:szCs w:val="32"/>
        </w:rPr>
        <w:t>、机关事业单位基本养老保险缴费</w:t>
      </w:r>
      <w:r w:rsidR="00590028">
        <w:rPr>
          <w:rFonts w:ascii="仿宋" w:eastAsia="仿宋" w:hAnsi="仿宋" w:hint="eastAsia"/>
          <w:sz w:val="32"/>
          <w:szCs w:val="32"/>
        </w:rPr>
        <w:t>1.68万元</w:t>
      </w:r>
      <w:r>
        <w:rPr>
          <w:rFonts w:ascii="仿宋" w:eastAsia="仿宋" w:hAnsi="仿宋" w:hint="eastAsia"/>
          <w:sz w:val="32"/>
          <w:szCs w:val="32"/>
        </w:rPr>
        <w:t>、职业年金缴费</w:t>
      </w:r>
      <w:r w:rsidR="00590028">
        <w:rPr>
          <w:rFonts w:ascii="仿宋" w:eastAsia="仿宋" w:hAnsi="仿宋" w:hint="eastAsia"/>
          <w:sz w:val="32"/>
          <w:szCs w:val="32"/>
        </w:rPr>
        <w:t>0万元</w:t>
      </w:r>
      <w:r>
        <w:rPr>
          <w:rFonts w:ascii="仿宋" w:eastAsia="仿宋" w:hAnsi="仿宋" w:hint="eastAsia"/>
          <w:sz w:val="32"/>
          <w:szCs w:val="32"/>
        </w:rPr>
        <w:t>、</w:t>
      </w:r>
      <w:r w:rsidR="00590028" w:rsidRPr="00590028">
        <w:rPr>
          <w:rFonts w:ascii="仿宋" w:eastAsia="仿宋" w:hAnsi="仿宋" w:hint="eastAsia"/>
          <w:sz w:val="32"/>
          <w:szCs w:val="32"/>
        </w:rPr>
        <w:t>职工基本医疗保险缴费</w:t>
      </w:r>
      <w:r w:rsidR="00590028">
        <w:rPr>
          <w:rFonts w:ascii="仿宋" w:eastAsia="仿宋" w:hAnsi="仿宋" w:hint="eastAsia"/>
          <w:sz w:val="32"/>
          <w:szCs w:val="32"/>
        </w:rPr>
        <w:t>0</w:t>
      </w:r>
      <w:r w:rsidR="00590028">
        <w:rPr>
          <w:rFonts w:ascii="仿宋" w:eastAsia="仿宋" w:hAnsi="仿宋"/>
          <w:sz w:val="32"/>
          <w:szCs w:val="32"/>
        </w:rPr>
        <w:t>.82</w:t>
      </w:r>
      <w:r w:rsidR="00590028">
        <w:rPr>
          <w:rFonts w:ascii="仿宋" w:eastAsia="仿宋" w:hAnsi="仿宋" w:hint="eastAsia"/>
          <w:sz w:val="32"/>
          <w:szCs w:val="32"/>
        </w:rPr>
        <w:t>万元</w:t>
      </w:r>
      <w:r w:rsidR="00590028">
        <w:rPr>
          <w:rFonts w:ascii="仿宋" w:eastAsia="仿宋" w:hAnsi="仿宋"/>
          <w:sz w:val="32"/>
          <w:szCs w:val="32"/>
        </w:rPr>
        <w:t>、</w:t>
      </w:r>
      <w:r w:rsidR="00590028" w:rsidRPr="00590028">
        <w:rPr>
          <w:rFonts w:ascii="仿宋" w:eastAsia="仿宋" w:hAnsi="仿宋" w:hint="eastAsia"/>
          <w:sz w:val="32"/>
          <w:szCs w:val="32"/>
        </w:rPr>
        <w:t>住房公积金</w:t>
      </w:r>
      <w:r w:rsidR="00590028">
        <w:rPr>
          <w:rFonts w:ascii="仿宋" w:eastAsia="仿宋" w:hAnsi="仿宋"/>
          <w:sz w:val="32"/>
          <w:szCs w:val="32"/>
        </w:rPr>
        <w:t>1.75</w:t>
      </w:r>
      <w:r w:rsidR="00590028">
        <w:rPr>
          <w:rFonts w:ascii="仿宋" w:eastAsia="仿宋" w:hAnsi="仿宋" w:hint="eastAsia"/>
          <w:sz w:val="32"/>
          <w:szCs w:val="32"/>
        </w:rPr>
        <w:t>万元</w:t>
      </w:r>
      <w:r w:rsidR="00590028">
        <w:rPr>
          <w:rFonts w:ascii="仿宋" w:eastAsia="仿宋" w:hAnsi="仿宋"/>
          <w:sz w:val="32"/>
          <w:szCs w:val="32"/>
        </w:rPr>
        <w:t>、</w:t>
      </w:r>
      <w:r w:rsidR="00590028" w:rsidRPr="00590028">
        <w:rPr>
          <w:rFonts w:ascii="仿宋" w:eastAsia="仿宋" w:hAnsi="仿宋" w:hint="eastAsia"/>
          <w:sz w:val="32"/>
          <w:szCs w:val="32"/>
        </w:rPr>
        <w:t>医疗费</w:t>
      </w:r>
      <w:r w:rsidR="00590028">
        <w:rPr>
          <w:rFonts w:ascii="仿宋" w:eastAsia="仿宋" w:hAnsi="仿宋" w:hint="eastAsia"/>
          <w:sz w:val="32"/>
          <w:szCs w:val="32"/>
        </w:rPr>
        <w:t>0.08万元</w:t>
      </w:r>
      <w:r w:rsidR="00590028">
        <w:rPr>
          <w:rFonts w:ascii="仿宋" w:eastAsia="仿宋" w:hAnsi="仿宋"/>
          <w:sz w:val="32"/>
          <w:szCs w:val="32"/>
        </w:rPr>
        <w:t>、</w:t>
      </w:r>
      <w:r>
        <w:rPr>
          <w:rFonts w:ascii="仿宋" w:eastAsia="仿宋" w:hAnsi="仿宋" w:hint="eastAsia"/>
          <w:sz w:val="32"/>
          <w:szCs w:val="32"/>
        </w:rPr>
        <w:t>其他社会保障缴费</w:t>
      </w:r>
      <w:r w:rsidR="00590028">
        <w:rPr>
          <w:rFonts w:ascii="仿宋" w:eastAsia="仿宋" w:hAnsi="仿宋" w:hint="eastAsia"/>
          <w:sz w:val="32"/>
          <w:szCs w:val="32"/>
        </w:rPr>
        <w:t>0.15万元</w:t>
      </w:r>
      <w:r>
        <w:rPr>
          <w:rFonts w:ascii="仿宋" w:eastAsia="仿宋" w:hAnsi="仿宋" w:hint="eastAsia"/>
          <w:sz w:val="32"/>
          <w:szCs w:val="32"/>
        </w:rPr>
        <w:t>、其他工资福利支出</w:t>
      </w:r>
      <w:r w:rsidR="00590028">
        <w:rPr>
          <w:rFonts w:ascii="仿宋" w:eastAsia="仿宋" w:hAnsi="仿宋" w:hint="eastAsia"/>
          <w:sz w:val="32"/>
          <w:szCs w:val="32"/>
        </w:rPr>
        <w:t>0万元</w:t>
      </w:r>
      <w:r>
        <w:rPr>
          <w:rFonts w:ascii="仿宋" w:eastAsia="仿宋" w:hAnsi="仿宋" w:hint="eastAsia"/>
          <w:sz w:val="32"/>
          <w:szCs w:val="32"/>
        </w:rPr>
        <w:t>、离休费</w:t>
      </w:r>
      <w:r w:rsidR="00590028">
        <w:rPr>
          <w:rFonts w:ascii="仿宋" w:eastAsia="仿宋" w:hAnsi="仿宋" w:hint="eastAsia"/>
          <w:sz w:val="32"/>
          <w:szCs w:val="32"/>
        </w:rPr>
        <w:t>0万元</w:t>
      </w:r>
      <w:r>
        <w:rPr>
          <w:rFonts w:ascii="仿宋" w:eastAsia="仿宋" w:hAnsi="仿宋" w:hint="eastAsia"/>
          <w:sz w:val="32"/>
          <w:szCs w:val="32"/>
        </w:rPr>
        <w:t>、退休费</w:t>
      </w:r>
      <w:r w:rsidR="00590028">
        <w:rPr>
          <w:rFonts w:ascii="仿宋" w:eastAsia="仿宋" w:hAnsi="仿宋" w:hint="eastAsia"/>
          <w:sz w:val="32"/>
          <w:szCs w:val="32"/>
        </w:rPr>
        <w:t>0万元</w:t>
      </w:r>
      <w:r>
        <w:rPr>
          <w:rFonts w:ascii="仿宋" w:eastAsia="仿宋" w:hAnsi="仿宋" w:hint="eastAsia"/>
          <w:sz w:val="32"/>
          <w:szCs w:val="32"/>
        </w:rPr>
        <w:t>、抚恤金</w:t>
      </w:r>
      <w:r w:rsidR="00590028">
        <w:rPr>
          <w:rFonts w:ascii="仿宋" w:eastAsia="仿宋" w:hAnsi="仿宋" w:hint="eastAsia"/>
          <w:sz w:val="32"/>
          <w:szCs w:val="32"/>
        </w:rPr>
        <w:t>11.23万元</w:t>
      </w:r>
      <w:r>
        <w:rPr>
          <w:rFonts w:ascii="仿宋" w:eastAsia="仿宋" w:hAnsi="仿宋" w:hint="eastAsia"/>
          <w:sz w:val="32"/>
          <w:szCs w:val="32"/>
        </w:rPr>
        <w:t>、生活补助</w:t>
      </w:r>
      <w:r w:rsidR="00590028">
        <w:rPr>
          <w:rFonts w:ascii="仿宋" w:eastAsia="仿宋" w:hAnsi="仿宋" w:hint="eastAsia"/>
          <w:sz w:val="32"/>
          <w:szCs w:val="32"/>
        </w:rPr>
        <w:t>47.5万元</w:t>
      </w:r>
      <w:r>
        <w:rPr>
          <w:rFonts w:ascii="仿宋" w:eastAsia="仿宋" w:hAnsi="仿宋" w:hint="eastAsia"/>
          <w:sz w:val="32"/>
          <w:szCs w:val="32"/>
        </w:rPr>
        <w:t>、医疗费补助</w:t>
      </w:r>
      <w:r w:rsidR="00590028">
        <w:rPr>
          <w:rFonts w:ascii="仿宋" w:eastAsia="仿宋" w:hAnsi="仿宋" w:hint="eastAsia"/>
          <w:sz w:val="32"/>
          <w:szCs w:val="32"/>
        </w:rPr>
        <w:t>15.88万元</w:t>
      </w:r>
      <w:r>
        <w:rPr>
          <w:rFonts w:ascii="仿宋" w:eastAsia="仿宋" w:hAnsi="仿宋" w:hint="eastAsia"/>
          <w:sz w:val="32"/>
          <w:szCs w:val="32"/>
        </w:rPr>
        <w:t>、奖励金</w:t>
      </w:r>
      <w:r w:rsidR="00590028">
        <w:rPr>
          <w:rFonts w:ascii="仿宋" w:eastAsia="仿宋" w:hAnsi="仿宋" w:hint="eastAsia"/>
          <w:sz w:val="32"/>
          <w:szCs w:val="32"/>
        </w:rPr>
        <w:t>0万元</w:t>
      </w:r>
      <w:r>
        <w:rPr>
          <w:rFonts w:ascii="仿宋" w:eastAsia="仿宋" w:hAnsi="仿宋" w:hint="eastAsia"/>
          <w:sz w:val="32"/>
          <w:szCs w:val="32"/>
        </w:rPr>
        <w:t>、其他对个人和家庭的补助支出</w:t>
      </w:r>
      <w:r w:rsidR="00590028">
        <w:rPr>
          <w:rFonts w:ascii="仿宋" w:eastAsia="仿宋" w:hAnsi="仿宋" w:hint="eastAsia"/>
          <w:sz w:val="32"/>
          <w:szCs w:val="32"/>
        </w:rPr>
        <w:t>0万元</w:t>
      </w:r>
      <w:r>
        <w:rPr>
          <w:rFonts w:ascii="仿宋" w:eastAsia="仿宋" w:hAnsi="仿宋" w:hint="eastAsia"/>
          <w:sz w:val="32"/>
          <w:szCs w:val="32"/>
        </w:rPr>
        <w:t>。</w:t>
      </w:r>
      <w:r>
        <w:rPr>
          <w:rFonts w:ascii="仿宋" w:eastAsia="仿宋" w:hAnsi="仿宋"/>
          <w:sz w:val="32"/>
          <w:szCs w:val="32"/>
        </w:rPr>
        <w:br/>
      </w:r>
      <w:r>
        <w:rPr>
          <w:rFonts w:ascii="仿宋" w:eastAsia="仿宋" w:hAnsi="仿宋" w:hint="eastAsia"/>
          <w:sz w:val="32"/>
          <w:szCs w:val="32"/>
        </w:rPr>
        <w:t xml:space="preserve">　　公用经费</w:t>
      </w:r>
      <w:r w:rsidR="0043177C" w:rsidRPr="005533CF">
        <w:rPr>
          <w:rFonts w:ascii="仿宋" w:eastAsia="仿宋" w:hAnsi="仿宋"/>
          <w:b/>
          <w:sz w:val="32"/>
          <w:szCs w:val="32"/>
        </w:rPr>
        <w:t>2.68</w:t>
      </w:r>
      <w:r>
        <w:rPr>
          <w:rFonts w:ascii="仿宋" w:eastAsia="仿宋" w:hAnsi="仿宋" w:hint="eastAsia"/>
          <w:sz w:val="32"/>
          <w:szCs w:val="32"/>
        </w:rPr>
        <w:t>万元，主要包括：办公费</w:t>
      </w:r>
      <w:r w:rsidR="00590028">
        <w:rPr>
          <w:rFonts w:ascii="仿宋" w:eastAsia="仿宋" w:hAnsi="仿宋" w:hint="eastAsia"/>
          <w:sz w:val="32"/>
          <w:szCs w:val="32"/>
        </w:rPr>
        <w:t>0.09万元</w:t>
      </w:r>
      <w:r>
        <w:rPr>
          <w:rFonts w:ascii="仿宋" w:eastAsia="仿宋" w:hAnsi="仿宋" w:hint="eastAsia"/>
          <w:sz w:val="32"/>
          <w:szCs w:val="32"/>
        </w:rPr>
        <w:t>、印刷费</w:t>
      </w:r>
      <w:r w:rsidR="00590028">
        <w:rPr>
          <w:rFonts w:ascii="仿宋" w:eastAsia="仿宋" w:hAnsi="仿宋" w:hint="eastAsia"/>
          <w:sz w:val="32"/>
          <w:szCs w:val="32"/>
        </w:rPr>
        <w:t>0万元</w:t>
      </w:r>
      <w:r>
        <w:rPr>
          <w:rFonts w:ascii="仿宋" w:eastAsia="仿宋" w:hAnsi="仿宋" w:hint="eastAsia"/>
          <w:sz w:val="32"/>
          <w:szCs w:val="32"/>
        </w:rPr>
        <w:t>、咨询费</w:t>
      </w:r>
      <w:r w:rsidR="00590028">
        <w:rPr>
          <w:rFonts w:ascii="仿宋" w:eastAsia="仿宋" w:hAnsi="仿宋" w:hint="eastAsia"/>
          <w:sz w:val="32"/>
          <w:szCs w:val="32"/>
        </w:rPr>
        <w:t>0万元</w:t>
      </w:r>
      <w:r>
        <w:rPr>
          <w:rFonts w:ascii="仿宋" w:eastAsia="仿宋" w:hAnsi="仿宋" w:hint="eastAsia"/>
          <w:sz w:val="32"/>
          <w:szCs w:val="32"/>
        </w:rPr>
        <w:t>、手续费</w:t>
      </w:r>
      <w:r w:rsidR="00590028">
        <w:rPr>
          <w:rFonts w:ascii="仿宋" w:eastAsia="仿宋" w:hAnsi="仿宋" w:hint="eastAsia"/>
          <w:sz w:val="32"/>
          <w:szCs w:val="32"/>
        </w:rPr>
        <w:t>0万元</w:t>
      </w:r>
      <w:r>
        <w:rPr>
          <w:rFonts w:ascii="仿宋" w:eastAsia="仿宋" w:hAnsi="仿宋" w:hint="eastAsia"/>
          <w:sz w:val="32"/>
          <w:szCs w:val="32"/>
        </w:rPr>
        <w:t>、水费</w:t>
      </w:r>
      <w:r w:rsidR="00590028">
        <w:rPr>
          <w:rFonts w:ascii="仿宋" w:eastAsia="仿宋" w:hAnsi="仿宋" w:hint="eastAsia"/>
          <w:sz w:val="32"/>
          <w:szCs w:val="32"/>
        </w:rPr>
        <w:t>0.</w:t>
      </w:r>
      <w:r w:rsidR="00590028">
        <w:rPr>
          <w:rFonts w:ascii="仿宋" w:eastAsia="仿宋" w:hAnsi="仿宋"/>
          <w:sz w:val="32"/>
          <w:szCs w:val="32"/>
        </w:rPr>
        <w:t>0</w:t>
      </w:r>
      <w:r w:rsidR="00590028">
        <w:rPr>
          <w:rFonts w:ascii="仿宋" w:eastAsia="仿宋" w:hAnsi="仿宋" w:hint="eastAsia"/>
          <w:sz w:val="32"/>
          <w:szCs w:val="32"/>
        </w:rPr>
        <w:t>3万元</w:t>
      </w:r>
      <w:r>
        <w:rPr>
          <w:rFonts w:ascii="仿宋" w:eastAsia="仿宋" w:hAnsi="仿宋" w:hint="eastAsia"/>
          <w:sz w:val="32"/>
          <w:szCs w:val="32"/>
        </w:rPr>
        <w:t>、电费</w:t>
      </w:r>
      <w:r w:rsidR="00590028">
        <w:rPr>
          <w:rFonts w:ascii="仿宋" w:eastAsia="仿宋" w:hAnsi="仿宋" w:hint="eastAsia"/>
          <w:sz w:val="32"/>
          <w:szCs w:val="32"/>
        </w:rPr>
        <w:t>0.05万元</w:t>
      </w:r>
      <w:r>
        <w:rPr>
          <w:rFonts w:ascii="仿宋" w:eastAsia="仿宋" w:hAnsi="仿宋" w:hint="eastAsia"/>
          <w:sz w:val="32"/>
          <w:szCs w:val="32"/>
        </w:rPr>
        <w:t>、邮电费</w:t>
      </w:r>
      <w:r w:rsidR="00590028">
        <w:rPr>
          <w:rFonts w:ascii="仿宋" w:eastAsia="仿宋" w:hAnsi="仿宋" w:hint="eastAsia"/>
          <w:sz w:val="32"/>
          <w:szCs w:val="32"/>
        </w:rPr>
        <w:t>0.</w:t>
      </w:r>
      <w:r w:rsidR="00590028">
        <w:rPr>
          <w:rFonts w:ascii="仿宋" w:eastAsia="仿宋" w:hAnsi="仿宋"/>
          <w:sz w:val="32"/>
          <w:szCs w:val="32"/>
        </w:rPr>
        <w:t>1</w:t>
      </w:r>
      <w:r w:rsidR="00590028">
        <w:rPr>
          <w:rFonts w:ascii="仿宋" w:eastAsia="仿宋" w:hAnsi="仿宋" w:hint="eastAsia"/>
          <w:sz w:val="32"/>
          <w:szCs w:val="32"/>
        </w:rPr>
        <w:t>万元</w:t>
      </w:r>
      <w:r>
        <w:rPr>
          <w:rFonts w:ascii="仿宋" w:eastAsia="仿宋" w:hAnsi="仿宋" w:hint="eastAsia"/>
          <w:sz w:val="32"/>
          <w:szCs w:val="32"/>
        </w:rPr>
        <w:t>、取暖费</w:t>
      </w:r>
      <w:r w:rsidR="00590028">
        <w:rPr>
          <w:rFonts w:ascii="仿宋" w:eastAsia="仿宋" w:hAnsi="仿宋" w:hint="eastAsia"/>
          <w:sz w:val="32"/>
          <w:szCs w:val="32"/>
        </w:rPr>
        <w:t>0万元</w:t>
      </w:r>
      <w:r>
        <w:rPr>
          <w:rFonts w:ascii="仿宋" w:eastAsia="仿宋" w:hAnsi="仿宋" w:hint="eastAsia"/>
          <w:sz w:val="32"/>
          <w:szCs w:val="32"/>
        </w:rPr>
        <w:t>、物业管理费</w:t>
      </w:r>
      <w:r w:rsidR="00590028">
        <w:rPr>
          <w:rFonts w:ascii="仿宋" w:eastAsia="仿宋" w:hAnsi="仿宋" w:hint="eastAsia"/>
          <w:sz w:val="32"/>
          <w:szCs w:val="32"/>
        </w:rPr>
        <w:t>0万元</w:t>
      </w:r>
      <w:r>
        <w:rPr>
          <w:rFonts w:ascii="仿宋" w:eastAsia="仿宋" w:hAnsi="仿宋" w:hint="eastAsia"/>
          <w:sz w:val="32"/>
          <w:szCs w:val="32"/>
        </w:rPr>
        <w:t>、差旅费</w:t>
      </w:r>
      <w:r w:rsidR="00590028">
        <w:rPr>
          <w:rFonts w:ascii="仿宋" w:eastAsia="仿宋" w:hAnsi="仿宋" w:hint="eastAsia"/>
          <w:sz w:val="32"/>
          <w:szCs w:val="32"/>
        </w:rPr>
        <w:t>0.23万元</w:t>
      </w:r>
      <w:r>
        <w:rPr>
          <w:rFonts w:ascii="仿宋" w:eastAsia="仿宋" w:hAnsi="仿宋" w:hint="eastAsia"/>
          <w:sz w:val="32"/>
          <w:szCs w:val="32"/>
        </w:rPr>
        <w:t>、因公出国（境）费用</w:t>
      </w:r>
      <w:r w:rsidR="00590028">
        <w:rPr>
          <w:rFonts w:ascii="仿宋" w:eastAsia="仿宋" w:hAnsi="仿宋" w:hint="eastAsia"/>
          <w:sz w:val="32"/>
          <w:szCs w:val="32"/>
        </w:rPr>
        <w:t>0万元</w:t>
      </w:r>
      <w:r>
        <w:rPr>
          <w:rFonts w:ascii="仿宋" w:eastAsia="仿宋" w:hAnsi="仿宋" w:hint="eastAsia"/>
          <w:sz w:val="32"/>
          <w:szCs w:val="32"/>
        </w:rPr>
        <w:t>、维修（护）费</w:t>
      </w:r>
      <w:r w:rsidR="00590028">
        <w:rPr>
          <w:rFonts w:ascii="仿宋" w:eastAsia="仿宋" w:hAnsi="仿宋"/>
          <w:sz w:val="32"/>
          <w:szCs w:val="32"/>
        </w:rPr>
        <w:t>0.22</w:t>
      </w:r>
      <w:r w:rsidR="00590028">
        <w:rPr>
          <w:rFonts w:ascii="仿宋" w:eastAsia="仿宋" w:hAnsi="仿宋" w:hint="eastAsia"/>
          <w:sz w:val="32"/>
          <w:szCs w:val="32"/>
        </w:rPr>
        <w:t>万元</w:t>
      </w:r>
      <w:r>
        <w:rPr>
          <w:rFonts w:ascii="仿宋" w:eastAsia="仿宋" w:hAnsi="仿宋" w:hint="eastAsia"/>
          <w:sz w:val="32"/>
          <w:szCs w:val="32"/>
        </w:rPr>
        <w:t>、租赁费</w:t>
      </w:r>
      <w:r w:rsidR="00590028">
        <w:rPr>
          <w:rFonts w:ascii="仿宋" w:eastAsia="仿宋" w:hAnsi="仿宋" w:hint="eastAsia"/>
          <w:sz w:val="32"/>
          <w:szCs w:val="32"/>
        </w:rPr>
        <w:t>0万元</w:t>
      </w:r>
      <w:r>
        <w:rPr>
          <w:rFonts w:ascii="仿宋" w:eastAsia="仿宋" w:hAnsi="仿宋" w:hint="eastAsia"/>
          <w:sz w:val="32"/>
          <w:szCs w:val="32"/>
        </w:rPr>
        <w:t>、会议费</w:t>
      </w:r>
      <w:r w:rsidR="00590028">
        <w:rPr>
          <w:rFonts w:ascii="仿宋" w:eastAsia="仿宋" w:hAnsi="仿宋" w:hint="eastAsia"/>
          <w:sz w:val="32"/>
          <w:szCs w:val="32"/>
        </w:rPr>
        <w:t>0万元</w:t>
      </w:r>
      <w:r>
        <w:rPr>
          <w:rFonts w:ascii="仿宋" w:eastAsia="仿宋" w:hAnsi="仿宋" w:hint="eastAsia"/>
          <w:sz w:val="32"/>
          <w:szCs w:val="32"/>
        </w:rPr>
        <w:t>、培训费</w:t>
      </w:r>
      <w:r w:rsidR="00590028">
        <w:rPr>
          <w:rFonts w:ascii="仿宋" w:eastAsia="仿宋" w:hAnsi="仿宋" w:hint="eastAsia"/>
          <w:sz w:val="32"/>
          <w:szCs w:val="32"/>
        </w:rPr>
        <w:t>0万元</w:t>
      </w:r>
      <w:r>
        <w:rPr>
          <w:rFonts w:ascii="仿宋" w:eastAsia="仿宋" w:hAnsi="仿宋" w:hint="eastAsia"/>
          <w:sz w:val="32"/>
          <w:szCs w:val="32"/>
        </w:rPr>
        <w:t>、公务接待费</w:t>
      </w:r>
      <w:r w:rsidR="00590028">
        <w:rPr>
          <w:rFonts w:ascii="仿宋" w:eastAsia="仿宋" w:hAnsi="仿宋" w:hint="eastAsia"/>
          <w:sz w:val="32"/>
          <w:szCs w:val="32"/>
        </w:rPr>
        <w:t>0万元</w:t>
      </w:r>
      <w:r>
        <w:rPr>
          <w:rFonts w:ascii="仿宋" w:eastAsia="仿宋" w:hAnsi="仿宋" w:hint="eastAsia"/>
          <w:sz w:val="32"/>
          <w:szCs w:val="32"/>
        </w:rPr>
        <w:t>、劳务费</w:t>
      </w:r>
      <w:r w:rsidR="00590028">
        <w:rPr>
          <w:rFonts w:ascii="仿宋" w:eastAsia="仿宋" w:hAnsi="仿宋" w:hint="eastAsia"/>
          <w:sz w:val="32"/>
          <w:szCs w:val="32"/>
        </w:rPr>
        <w:t>0万元</w:t>
      </w:r>
      <w:r>
        <w:rPr>
          <w:rFonts w:ascii="仿宋" w:eastAsia="仿宋" w:hAnsi="仿宋" w:hint="eastAsia"/>
          <w:sz w:val="32"/>
          <w:szCs w:val="32"/>
        </w:rPr>
        <w:t>、委托业务费</w:t>
      </w:r>
      <w:r w:rsidR="00590028">
        <w:rPr>
          <w:rFonts w:ascii="仿宋" w:eastAsia="仿宋" w:hAnsi="仿宋" w:hint="eastAsia"/>
          <w:sz w:val="32"/>
          <w:szCs w:val="32"/>
        </w:rPr>
        <w:t>0万元</w:t>
      </w:r>
      <w:r>
        <w:rPr>
          <w:rFonts w:ascii="仿宋" w:eastAsia="仿宋" w:hAnsi="仿宋" w:hint="eastAsia"/>
          <w:sz w:val="32"/>
          <w:szCs w:val="32"/>
        </w:rPr>
        <w:t>、工会经费</w:t>
      </w:r>
      <w:r w:rsidR="00590028">
        <w:rPr>
          <w:rFonts w:ascii="仿宋" w:eastAsia="仿宋" w:hAnsi="仿宋" w:hint="eastAsia"/>
          <w:sz w:val="32"/>
          <w:szCs w:val="32"/>
        </w:rPr>
        <w:t>0.16</w:t>
      </w:r>
      <w:r w:rsidR="00BF5AC7">
        <w:rPr>
          <w:rFonts w:ascii="仿宋" w:eastAsia="仿宋" w:hAnsi="仿宋" w:hint="eastAsia"/>
          <w:sz w:val="32"/>
          <w:szCs w:val="32"/>
        </w:rPr>
        <w:t>万元</w:t>
      </w:r>
      <w:r>
        <w:rPr>
          <w:rFonts w:ascii="仿宋" w:eastAsia="仿宋" w:hAnsi="仿宋" w:hint="eastAsia"/>
          <w:sz w:val="32"/>
          <w:szCs w:val="32"/>
        </w:rPr>
        <w:t>、福利费</w:t>
      </w:r>
      <w:r w:rsidR="00590028">
        <w:rPr>
          <w:rFonts w:ascii="仿宋" w:eastAsia="仿宋" w:hAnsi="仿宋" w:hint="eastAsia"/>
          <w:sz w:val="32"/>
          <w:szCs w:val="32"/>
        </w:rPr>
        <w:t>0.1万元</w:t>
      </w:r>
      <w:r>
        <w:rPr>
          <w:rFonts w:ascii="仿宋" w:eastAsia="仿宋" w:hAnsi="仿宋" w:hint="eastAsia"/>
          <w:sz w:val="32"/>
          <w:szCs w:val="32"/>
        </w:rPr>
        <w:t>、公务用车运行维护费</w:t>
      </w:r>
      <w:r w:rsidR="000352C6">
        <w:rPr>
          <w:rFonts w:ascii="仿宋" w:eastAsia="仿宋" w:hAnsi="仿宋" w:hint="eastAsia"/>
          <w:sz w:val="32"/>
          <w:szCs w:val="32"/>
        </w:rPr>
        <w:t>0万元</w:t>
      </w:r>
      <w:r>
        <w:rPr>
          <w:rFonts w:ascii="仿宋" w:eastAsia="仿宋" w:hAnsi="仿宋" w:hint="eastAsia"/>
          <w:sz w:val="32"/>
          <w:szCs w:val="32"/>
        </w:rPr>
        <w:t>、其他交通费</w:t>
      </w:r>
      <w:r w:rsidR="000352C6">
        <w:rPr>
          <w:rFonts w:ascii="仿宋" w:eastAsia="仿宋" w:hAnsi="仿宋" w:hint="eastAsia"/>
          <w:sz w:val="32"/>
          <w:szCs w:val="32"/>
        </w:rPr>
        <w:t>0万元</w:t>
      </w:r>
      <w:r>
        <w:rPr>
          <w:rFonts w:ascii="仿宋" w:eastAsia="仿宋" w:hAnsi="仿宋" w:hint="eastAsia"/>
          <w:sz w:val="32"/>
          <w:szCs w:val="32"/>
        </w:rPr>
        <w:t>、税金及附加费用</w:t>
      </w:r>
      <w:r w:rsidR="000352C6">
        <w:rPr>
          <w:rFonts w:ascii="仿宋" w:eastAsia="仿宋" w:hAnsi="仿宋" w:hint="eastAsia"/>
          <w:sz w:val="32"/>
          <w:szCs w:val="32"/>
        </w:rPr>
        <w:t>0万元</w:t>
      </w:r>
      <w:r>
        <w:rPr>
          <w:rFonts w:ascii="仿宋" w:eastAsia="仿宋" w:hAnsi="仿宋" w:hint="eastAsia"/>
          <w:sz w:val="32"/>
          <w:szCs w:val="32"/>
        </w:rPr>
        <w:t>、其他商品和服务支出</w:t>
      </w:r>
      <w:r w:rsidR="000352C6">
        <w:rPr>
          <w:rFonts w:ascii="仿宋" w:eastAsia="仿宋" w:hAnsi="仿宋" w:hint="eastAsia"/>
          <w:sz w:val="32"/>
          <w:szCs w:val="32"/>
        </w:rPr>
        <w:t>0万元</w:t>
      </w:r>
      <w:r>
        <w:rPr>
          <w:rFonts w:ascii="仿宋" w:eastAsia="仿宋" w:hAnsi="仿宋" w:hint="eastAsia"/>
          <w:sz w:val="32"/>
          <w:szCs w:val="32"/>
        </w:rPr>
        <w:t>、办公设备购置</w:t>
      </w:r>
      <w:r w:rsidR="000352C6">
        <w:rPr>
          <w:rFonts w:ascii="仿宋" w:eastAsia="仿宋" w:hAnsi="仿宋" w:hint="eastAsia"/>
          <w:sz w:val="32"/>
          <w:szCs w:val="32"/>
        </w:rPr>
        <w:t>0万元</w:t>
      </w:r>
      <w:r>
        <w:rPr>
          <w:rFonts w:ascii="仿宋" w:eastAsia="仿宋" w:hAnsi="仿宋" w:hint="eastAsia"/>
          <w:sz w:val="32"/>
          <w:szCs w:val="32"/>
        </w:rPr>
        <w:t>、专用设备购置</w:t>
      </w:r>
      <w:r w:rsidR="000352C6">
        <w:rPr>
          <w:rFonts w:ascii="仿宋" w:eastAsia="仿宋" w:hAnsi="仿宋" w:hint="eastAsia"/>
          <w:sz w:val="32"/>
          <w:szCs w:val="32"/>
        </w:rPr>
        <w:t>0万元</w:t>
      </w:r>
      <w:r>
        <w:rPr>
          <w:rFonts w:ascii="仿宋" w:eastAsia="仿宋" w:hAnsi="仿宋" w:hint="eastAsia"/>
          <w:sz w:val="32"/>
          <w:szCs w:val="32"/>
        </w:rPr>
        <w:t>、信息网络及软件购置更新</w:t>
      </w:r>
      <w:r w:rsidR="000352C6">
        <w:rPr>
          <w:rFonts w:ascii="仿宋" w:eastAsia="仿宋" w:hAnsi="仿宋" w:hint="eastAsia"/>
          <w:sz w:val="32"/>
          <w:szCs w:val="32"/>
        </w:rPr>
        <w:t>0万元</w:t>
      </w:r>
      <w:r>
        <w:rPr>
          <w:rFonts w:ascii="仿宋" w:eastAsia="仿宋" w:hAnsi="仿宋" w:hint="eastAsia"/>
          <w:sz w:val="32"/>
          <w:szCs w:val="32"/>
        </w:rPr>
        <w:t>、其他资本性支出等</w:t>
      </w:r>
      <w:r w:rsidR="000352C6">
        <w:rPr>
          <w:rFonts w:ascii="仿宋" w:eastAsia="仿宋" w:hAnsi="仿宋" w:hint="eastAsia"/>
          <w:sz w:val="32"/>
          <w:szCs w:val="32"/>
        </w:rPr>
        <w:t>0万元</w:t>
      </w:r>
      <w:r>
        <w:rPr>
          <w:rFonts w:ascii="仿宋" w:eastAsia="仿宋" w:hAnsi="仿宋" w:hint="eastAsia"/>
          <w:sz w:val="32"/>
          <w:szCs w:val="32"/>
        </w:rPr>
        <w:t>。</w:t>
      </w:r>
    </w:p>
    <w:p w:rsidR="0071021A" w:rsidRDefault="0071021A">
      <w:pPr>
        <w:spacing w:line="600" w:lineRule="exact"/>
        <w:ind w:firstLine="640"/>
        <w:rPr>
          <w:rFonts w:ascii="仿宋" w:eastAsia="仿宋" w:hAnsi="仿宋"/>
          <w:b/>
          <w:sz w:val="32"/>
          <w:szCs w:val="32"/>
        </w:rPr>
      </w:pPr>
    </w:p>
    <w:p w:rsidR="0071021A" w:rsidRDefault="0046049C">
      <w:pPr>
        <w:spacing w:line="600" w:lineRule="exact"/>
        <w:ind w:firstLine="640"/>
        <w:outlineLvl w:val="1"/>
        <w:rPr>
          <w:rStyle w:val="2Char"/>
          <w:rFonts w:ascii="黑体" w:eastAsia="黑体" w:hAnsi="黑体"/>
          <w:b w:val="0"/>
        </w:rPr>
      </w:pPr>
      <w:bookmarkStart w:id="37" w:name="_Toc15377215"/>
      <w:bookmarkStart w:id="38" w:name="_Toc15396609"/>
      <w:r>
        <w:rPr>
          <w:rFonts w:ascii="黑体" w:eastAsia="黑体" w:hint="eastAsia"/>
          <w:sz w:val="32"/>
          <w:szCs w:val="32"/>
        </w:rPr>
        <w:t>七、</w:t>
      </w:r>
      <w:r>
        <w:rPr>
          <w:rStyle w:val="2Char"/>
          <w:rFonts w:ascii="黑体" w:eastAsia="黑体" w:hAnsi="黑体" w:hint="eastAsia"/>
          <w:b w:val="0"/>
        </w:rPr>
        <w:t>财政拨款</w:t>
      </w:r>
      <w:r>
        <w:rPr>
          <w:rStyle w:val="2Char"/>
          <w:rFonts w:ascii="黑体" w:eastAsia="黑体" w:hAnsi="黑体" w:hint="eastAsia"/>
        </w:rPr>
        <w:t>“</w:t>
      </w:r>
      <w:r>
        <w:rPr>
          <w:rStyle w:val="2Char"/>
          <w:rFonts w:ascii="黑体" w:eastAsia="黑体" w:hAnsi="黑体" w:hint="eastAsia"/>
          <w:b w:val="0"/>
        </w:rPr>
        <w:t>三公”经费支出决算情况说明</w:t>
      </w:r>
      <w:bookmarkEnd w:id="37"/>
      <w:bookmarkEnd w:id="38"/>
    </w:p>
    <w:p w:rsidR="0071021A" w:rsidRDefault="0046049C">
      <w:pPr>
        <w:spacing w:line="600" w:lineRule="exact"/>
        <w:ind w:firstLine="640"/>
        <w:outlineLvl w:val="2"/>
        <w:rPr>
          <w:rFonts w:ascii="仿宋" w:eastAsia="仿宋" w:hAnsi="仿宋"/>
          <w:b/>
          <w:sz w:val="32"/>
          <w:szCs w:val="32"/>
        </w:rPr>
      </w:pPr>
      <w:bookmarkStart w:id="39" w:name="_Toc15377216"/>
      <w:r>
        <w:rPr>
          <w:rFonts w:ascii="仿宋" w:eastAsia="仿宋" w:hAnsi="仿宋" w:hint="eastAsia"/>
          <w:b/>
          <w:sz w:val="32"/>
          <w:szCs w:val="32"/>
        </w:rPr>
        <w:t>（一）“三公”经费财政拨款支出决算总体情况说明</w:t>
      </w:r>
      <w:bookmarkEnd w:id="39"/>
    </w:p>
    <w:p w:rsidR="0071021A" w:rsidRDefault="0046049C">
      <w:pPr>
        <w:spacing w:line="600" w:lineRule="exact"/>
        <w:ind w:firstLine="640"/>
        <w:rPr>
          <w:rFonts w:ascii="仿宋" w:eastAsia="仿宋" w:hAnsi="仿宋"/>
          <w:sz w:val="32"/>
          <w:szCs w:val="32"/>
        </w:rPr>
      </w:pPr>
      <w:r>
        <w:rPr>
          <w:rFonts w:ascii="仿宋" w:eastAsia="仿宋" w:hAnsi="仿宋" w:hint="eastAsia"/>
          <w:sz w:val="32"/>
          <w:szCs w:val="32"/>
        </w:rPr>
        <w:t>2023年度“三公”经费财政拨款支出决算为</w:t>
      </w:r>
      <w:r w:rsidR="0043177C" w:rsidRPr="005533CF">
        <w:rPr>
          <w:rFonts w:ascii="仿宋" w:eastAsia="仿宋" w:hAnsi="仿宋"/>
          <w:b/>
          <w:sz w:val="32"/>
          <w:szCs w:val="32"/>
        </w:rPr>
        <w:t>0</w:t>
      </w:r>
      <w:r>
        <w:rPr>
          <w:rFonts w:ascii="仿宋" w:eastAsia="仿宋" w:hAnsi="仿宋" w:hint="eastAsia"/>
          <w:sz w:val="32"/>
          <w:szCs w:val="32"/>
        </w:rPr>
        <w:t>万元，完成预算</w:t>
      </w:r>
      <w:r w:rsidR="0043177C" w:rsidRPr="0043177C">
        <w:rPr>
          <w:rFonts w:ascii="仿宋" w:eastAsia="仿宋" w:hAnsi="仿宋"/>
          <w:b/>
          <w:sz w:val="32"/>
          <w:szCs w:val="32"/>
        </w:rPr>
        <w:t>0</w:t>
      </w:r>
      <w:r>
        <w:rPr>
          <w:rFonts w:ascii="仿宋" w:eastAsia="仿宋" w:hAnsi="仿宋"/>
          <w:sz w:val="32"/>
          <w:szCs w:val="32"/>
        </w:rPr>
        <w:t>%</w:t>
      </w:r>
      <w:r>
        <w:rPr>
          <w:rFonts w:ascii="仿宋" w:eastAsia="仿宋" w:hAnsi="仿宋" w:hint="eastAsia"/>
          <w:sz w:val="32"/>
          <w:szCs w:val="32"/>
        </w:rPr>
        <w:t>，较上年度增加/减少</w:t>
      </w:r>
      <w:r w:rsidR="000352C6">
        <w:rPr>
          <w:rFonts w:ascii="仿宋" w:eastAsia="仿宋" w:hAnsi="仿宋"/>
          <w:sz w:val="32"/>
          <w:szCs w:val="32"/>
        </w:rPr>
        <w:t>0</w:t>
      </w:r>
      <w:r w:rsidR="00BF5AC7">
        <w:rPr>
          <w:rFonts w:ascii="仿宋" w:eastAsia="仿宋" w:hAnsi="仿宋" w:hint="eastAsia"/>
          <w:sz w:val="32"/>
          <w:szCs w:val="32"/>
        </w:rPr>
        <w:t>万元</w:t>
      </w:r>
      <w:r>
        <w:rPr>
          <w:rFonts w:ascii="仿宋" w:eastAsia="仿宋" w:hAnsi="仿宋" w:hint="eastAsia"/>
          <w:sz w:val="32"/>
          <w:szCs w:val="32"/>
        </w:rPr>
        <w:t>。决算数</w:t>
      </w:r>
      <w:r w:rsidR="000352C6">
        <w:rPr>
          <w:rFonts w:ascii="仿宋" w:eastAsia="仿宋" w:hAnsi="仿宋" w:hint="eastAsia"/>
          <w:sz w:val="32"/>
          <w:szCs w:val="32"/>
        </w:rPr>
        <w:t>与</w:t>
      </w:r>
      <w:r>
        <w:rPr>
          <w:rFonts w:ascii="仿宋" w:eastAsia="仿宋" w:hAnsi="仿宋" w:hint="eastAsia"/>
          <w:sz w:val="32"/>
          <w:szCs w:val="32"/>
        </w:rPr>
        <w:t>预算数持平。</w:t>
      </w:r>
    </w:p>
    <w:p w:rsidR="0071021A" w:rsidRDefault="0046049C">
      <w:pPr>
        <w:spacing w:line="600" w:lineRule="exact"/>
        <w:ind w:firstLine="640"/>
        <w:outlineLvl w:val="2"/>
        <w:rPr>
          <w:rFonts w:ascii="仿宋" w:eastAsia="仿宋" w:hAnsi="仿宋"/>
          <w:b/>
          <w:sz w:val="32"/>
          <w:szCs w:val="32"/>
        </w:rPr>
      </w:pPr>
      <w:bookmarkStart w:id="40" w:name="_Toc15377217"/>
      <w:r>
        <w:rPr>
          <w:rFonts w:ascii="仿宋" w:eastAsia="仿宋" w:hAnsi="仿宋" w:hint="eastAsia"/>
          <w:b/>
          <w:sz w:val="32"/>
          <w:szCs w:val="32"/>
        </w:rPr>
        <w:t>（二）“三公”经费财政拨款支出决算具体情况说明</w:t>
      </w:r>
      <w:bookmarkEnd w:id="40"/>
    </w:p>
    <w:p w:rsidR="000352C6" w:rsidRPr="000352C6" w:rsidRDefault="0046049C" w:rsidP="000352C6">
      <w:pPr>
        <w:spacing w:line="600" w:lineRule="exact"/>
        <w:ind w:firstLine="640"/>
        <w:rPr>
          <w:rFonts w:ascii="仿宋" w:eastAsia="仿宋" w:hAnsi="仿宋"/>
          <w:sz w:val="32"/>
          <w:szCs w:val="32"/>
        </w:rPr>
      </w:pPr>
      <w:r>
        <w:rPr>
          <w:rFonts w:ascii="仿宋" w:eastAsia="仿宋" w:hAnsi="仿宋" w:hint="eastAsia"/>
          <w:sz w:val="32"/>
          <w:szCs w:val="32"/>
        </w:rPr>
        <w:t>2023年度“三公”经费财政拨款支出决算中，因公出国（境）费支出决算</w:t>
      </w:r>
      <w:r w:rsidR="0043177C" w:rsidRPr="005533CF">
        <w:rPr>
          <w:rFonts w:ascii="仿宋" w:eastAsia="仿宋" w:hAnsi="仿宋"/>
          <w:b/>
          <w:sz w:val="32"/>
          <w:szCs w:val="32"/>
        </w:rPr>
        <w:t>0</w:t>
      </w:r>
      <w:r>
        <w:rPr>
          <w:rFonts w:ascii="仿宋" w:eastAsia="仿宋" w:hAnsi="仿宋" w:hint="eastAsia"/>
          <w:sz w:val="32"/>
          <w:szCs w:val="32"/>
        </w:rPr>
        <w:t>万元，占</w:t>
      </w:r>
      <w:r w:rsidR="0043177C" w:rsidRPr="0043177C">
        <w:rPr>
          <w:rFonts w:ascii="仿宋" w:eastAsia="仿宋" w:hAnsi="仿宋"/>
          <w:b/>
          <w:sz w:val="32"/>
          <w:szCs w:val="32"/>
        </w:rPr>
        <w:t>0</w:t>
      </w:r>
      <w:r>
        <w:rPr>
          <w:rFonts w:ascii="仿宋" w:eastAsia="仿宋" w:hAnsi="仿宋"/>
          <w:sz w:val="32"/>
          <w:szCs w:val="32"/>
        </w:rPr>
        <w:t>%</w:t>
      </w:r>
      <w:r>
        <w:rPr>
          <w:rFonts w:ascii="仿宋" w:eastAsia="仿宋" w:hAnsi="仿宋" w:hint="eastAsia"/>
          <w:sz w:val="32"/>
          <w:szCs w:val="32"/>
        </w:rPr>
        <w:t>；公务用车购置及运行维护费支出决算</w:t>
      </w:r>
      <w:r w:rsidR="0043177C" w:rsidRPr="005533CF">
        <w:rPr>
          <w:rFonts w:ascii="仿宋" w:eastAsia="仿宋" w:hAnsi="仿宋"/>
          <w:b/>
          <w:sz w:val="32"/>
          <w:szCs w:val="32"/>
        </w:rPr>
        <w:t>0</w:t>
      </w:r>
      <w:r>
        <w:rPr>
          <w:rFonts w:ascii="仿宋" w:eastAsia="仿宋" w:hAnsi="仿宋" w:hint="eastAsia"/>
          <w:sz w:val="32"/>
          <w:szCs w:val="32"/>
        </w:rPr>
        <w:t>万元，占</w:t>
      </w:r>
      <w:r w:rsidR="0043177C" w:rsidRPr="0043177C">
        <w:rPr>
          <w:rFonts w:ascii="仿宋" w:eastAsia="仿宋" w:hAnsi="仿宋"/>
          <w:b/>
          <w:sz w:val="32"/>
          <w:szCs w:val="32"/>
        </w:rPr>
        <w:t>0</w:t>
      </w:r>
      <w:r>
        <w:rPr>
          <w:rFonts w:ascii="仿宋" w:eastAsia="仿宋" w:hAnsi="仿宋"/>
          <w:sz w:val="32"/>
          <w:szCs w:val="32"/>
        </w:rPr>
        <w:t>%</w:t>
      </w:r>
      <w:r>
        <w:rPr>
          <w:rFonts w:ascii="仿宋" w:eastAsia="仿宋" w:hAnsi="仿宋" w:hint="eastAsia"/>
          <w:sz w:val="32"/>
          <w:szCs w:val="32"/>
        </w:rPr>
        <w:t>；公务接待费支出决算</w:t>
      </w:r>
      <w:r w:rsidR="0043177C" w:rsidRPr="005533CF">
        <w:rPr>
          <w:rFonts w:ascii="仿宋" w:eastAsia="仿宋" w:hAnsi="仿宋"/>
          <w:b/>
          <w:sz w:val="32"/>
          <w:szCs w:val="32"/>
        </w:rPr>
        <w:t>0</w:t>
      </w:r>
      <w:r>
        <w:rPr>
          <w:rFonts w:ascii="仿宋" w:eastAsia="仿宋" w:hAnsi="仿宋" w:hint="eastAsia"/>
          <w:sz w:val="32"/>
          <w:szCs w:val="32"/>
        </w:rPr>
        <w:t>万元，占</w:t>
      </w:r>
      <w:r w:rsidR="0043177C" w:rsidRPr="0043177C">
        <w:rPr>
          <w:rFonts w:ascii="仿宋" w:eastAsia="仿宋" w:hAnsi="仿宋"/>
          <w:b/>
          <w:sz w:val="32"/>
          <w:szCs w:val="32"/>
        </w:rPr>
        <w:t>0</w:t>
      </w:r>
      <w:r>
        <w:rPr>
          <w:rFonts w:ascii="仿宋" w:eastAsia="仿宋" w:hAnsi="仿宋"/>
          <w:sz w:val="32"/>
          <w:szCs w:val="32"/>
        </w:rPr>
        <w:t>%</w:t>
      </w:r>
      <w:r>
        <w:rPr>
          <w:rFonts w:ascii="仿宋" w:eastAsia="仿宋" w:hAnsi="仿宋" w:hint="eastAsia"/>
          <w:sz w:val="32"/>
          <w:szCs w:val="32"/>
        </w:rPr>
        <w:t>。具体情况如下：</w:t>
      </w:r>
    </w:p>
    <w:p w:rsidR="000352C6" w:rsidRPr="000352C6" w:rsidRDefault="000352C6" w:rsidP="000352C6"/>
    <w:p w:rsidR="0071021A" w:rsidRDefault="0046049C">
      <w:pPr>
        <w:spacing w:line="600" w:lineRule="exact"/>
        <w:ind w:firstLine="640"/>
        <w:rPr>
          <w:rFonts w:ascii="仿宋_GB2312" w:eastAsia="仿宋_GB2312"/>
          <w:b/>
          <w:sz w:val="32"/>
          <w:szCs w:val="32"/>
        </w:rPr>
      </w:pPr>
      <w:bookmarkStart w:id="41" w:name="_Toc15377218"/>
      <w:bookmarkStart w:id="42" w:name="_Toc15396610"/>
      <w:r>
        <w:rPr>
          <w:rFonts w:ascii="仿宋_GB2312" w:eastAsia="仿宋_GB2312"/>
          <w:b/>
          <w:sz w:val="32"/>
          <w:szCs w:val="32"/>
        </w:rPr>
        <w:t>1.</w:t>
      </w:r>
      <w:r>
        <w:rPr>
          <w:rFonts w:ascii="仿宋_GB2312" w:eastAsia="仿宋_GB2312" w:hint="eastAsia"/>
          <w:b/>
          <w:sz w:val="32"/>
          <w:szCs w:val="32"/>
        </w:rPr>
        <w:t>因公出国（境）经费支出</w:t>
      </w:r>
      <w:r w:rsidR="0043177C" w:rsidRPr="005533CF">
        <w:rPr>
          <w:rFonts w:ascii="仿宋" w:eastAsia="仿宋" w:hAnsi="仿宋"/>
          <w:b/>
          <w:sz w:val="32"/>
          <w:szCs w:val="32"/>
        </w:rPr>
        <w:t>0</w:t>
      </w:r>
      <w:r>
        <w:rPr>
          <w:rFonts w:ascii="仿宋_GB2312" w:eastAsia="仿宋_GB2312" w:hint="eastAsia"/>
          <w:sz w:val="32"/>
          <w:szCs w:val="32"/>
        </w:rPr>
        <w:t>万元，</w:t>
      </w:r>
      <w:r>
        <w:rPr>
          <w:rStyle w:val="a8"/>
          <w:rFonts w:ascii="仿宋" w:eastAsia="仿宋" w:hAnsi="仿宋" w:hint="eastAsia"/>
          <w:b w:val="0"/>
          <w:bCs/>
          <w:sz w:val="32"/>
          <w:szCs w:val="32"/>
        </w:rPr>
        <w:t>完成预算</w:t>
      </w:r>
      <w:r w:rsidR="0043177C" w:rsidRPr="0043177C">
        <w:rPr>
          <w:rStyle w:val="a8"/>
          <w:rFonts w:ascii="仿宋" w:eastAsia="仿宋" w:hAnsi="仿宋"/>
          <w:bCs/>
          <w:sz w:val="32"/>
          <w:szCs w:val="32"/>
        </w:rPr>
        <w:t>0</w:t>
      </w:r>
      <w:r>
        <w:rPr>
          <w:rStyle w:val="a8"/>
          <w:rFonts w:ascii="仿宋" w:eastAsia="仿宋" w:hAnsi="仿宋"/>
          <w:b w:val="0"/>
          <w:bCs/>
          <w:sz w:val="32"/>
          <w:szCs w:val="32"/>
        </w:rPr>
        <w:t>%</w:t>
      </w:r>
      <w:r>
        <w:rPr>
          <w:rStyle w:val="a8"/>
          <w:rFonts w:ascii="仿宋" w:eastAsia="仿宋" w:hAnsi="仿宋" w:hint="eastAsia"/>
          <w:b w:val="0"/>
          <w:bCs/>
          <w:sz w:val="32"/>
          <w:szCs w:val="32"/>
        </w:rPr>
        <w:t>。</w:t>
      </w:r>
      <w:r>
        <w:rPr>
          <w:rFonts w:ascii="仿宋_GB2312" w:eastAsia="仿宋_GB2312" w:hint="eastAsia"/>
          <w:sz w:val="32"/>
          <w:szCs w:val="32"/>
        </w:rPr>
        <w:t>全年安排因公出国（境）团组</w:t>
      </w:r>
      <w:r w:rsidR="008C7FD8" w:rsidRPr="008C7FD8">
        <w:rPr>
          <w:rFonts w:ascii="仿宋_GB2312" w:eastAsia="仿宋_GB2312"/>
          <w:b/>
          <w:sz w:val="32"/>
          <w:szCs w:val="32"/>
        </w:rPr>
        <w:t>0</w:t>
      </w:r>
      <w:r>
        <w:rPr>
          <w:rFonts w:ascii="仿宋_GB2312" w:eastAsia="仿宋_GB2312" w:hint="eastAsia"/>
          <w:sz w:val="32"/>
          <w:szCs w:val="32"/>
        </w:rPr>
        <w:t>次，出国（境）</w:t>
      </w:r>
      <w:r w:rsidR="008C7FD8" w:rsidRPr="008C7FD8">
        <w:rPr>
          <w:rFonts w:ascii="仿宋_GB2312" w:eastAsia="仿宋_GB2312"/>
          <w:b/>
          <w:sz w:val="32"/>
          <w:szCs w:val="32"/>
        </w:rPr>
        <w:t>0</w:t>
      </w:r>
      <w:r>
        <w:rPr>
          <w:rFonts w:ascii="仿宋_GB2312" w:eastAsia="仿宋_GB2312" w:hint="eastAsia"/>
          <w:sz w:val="32"/>
          <w:szCs w:val="32"/>
        </w:rPr>
        <w:t>人。因公出国（境）支出决算比2022年增加</w:t>
      </w:r>
      <w:r>
        <w:rPr>
          <w:rFonts w:ascii="仿宋_GB2312" w:eastAsia="仿宋_GB2312"/>
          <w:sz w:val="32"/>
          <w:szCs w:val="32"/>
        </w:rPr>
        <w:t>/</w:t>
      </w:r>
      <w:r>
        <w:rPr>
          <w:rFonts w:ascii="仿宋_GB2312" w:eastAsia="仿宋_GB2312" w:hint="eastAsia"/>
          <w:sz w:val="32"/>
          <w:szCs w:val="32"/>
        </w:rPr>
        <w:t>减少</w:t>
      </w:r>
      <w:r w:rsidR="000352C6">
        <w:rPr>
          <w:rFonts w:ascii="仿宋_GB2312" w:eastAsia="仿宋_GB2312"/>
          <w:sz w:val="32"/>
          <w:szCs w:val="32"/>
        </w:rPr>
        <w:t>0</w:t>
      </w:r>
      <w:r>
        <w:rPr>
          <w:rFonts w:ascii="仿宋_GB2312" w:eastAsia="仿宋_GB2312" w:hint="eastAsia"/>
          <w:sz w:val="32"/>
          <w:szCs w:val="32"/>
        </w:rPr>
        <w:t>万元，</w:t>
      </w:r>
      <w:r w:rsidR="00BF5AC7">
        <w:rPr>
          <w:rFonts w:ascii="仿宋" w:eastAsia="仿宋" w:hAnsi="仿宋" w:hint="eastAsia"/>
          <w:sz w:val="32"/>
          <w:szCs w:val="32"/>
        </w:rPr>
        <w:t>决算数与预算数持平</w:t>
      </w:r>
      <w:r>
        <w:rPr>
          <w:rFonts w:ascii="仿宋_GB2312" w:eastAsia="仿宋_GB2312" w:hint="eastAsia"/>
          <w:sz w:val="32"/>
          <w:szCs w:val="32"/>
        </w:rPr>
        <w:t>。</w:t>
      </w:r>
    </w:p>
    <w:p w:rsidR="0071021A" w:rsidRDefault="0046049C">
      <w:pPr>
        <w:spacing w:line="600" w:lineRule="exact"/>
        <w:ind w:firstLine="640"/>
        <w:rPr>
          <w:rFonts w:ascii="仿宋_GB2312" w:eastAsia="仿宋_GB2312"/>
          <w:b/>
          <w:sz w:val="32"/>
          <w:szCs w:val="32"/>
        </w:rPr>
      </w:pPr>
      <w:r>
        <w:rPr>
          <w:rFonts w:ascii="仿宋_GB2312" w:eastAsia="仿宋_GB2312"/>
          <w:b/>
          <w:sz w:val="32"/>
          <w:szCs w:val="32"/>
        </w:rPr>
        <w:t>2.</w:t>
      </w:r>
      <w:r>
        <w:rPr>
          <w:rFonts w:ascii="仿宋_GB2312" w:eastAsia="仿宋_GB2312" w:hint="eastAsia"/>
          <w:b/>
          <w:sz w:val="32"/>
          <w:szCs w:val="32"/>
        </w:rPr>
        <w:t>公务用车购置及运行维护费支出</w:t>
      </w:r>
      <w:r w:rsidR="008C7FD8" w:rsidRPr="005533CF">
        <w:rPr>
          <w:rFonts w:ascii="仿宋" w:eastAsia="仿宋" w:hAnsi="仿宋"/>
          <w:b/>
          <w:sz w:val="32"/>
          <w:szCs w:val="32"/>
        </w:rPr>
        <w:t>0</w:t>
      </w:r>
      <w:r>
        <w:rPr>
          <w:rFonts w:ascii="仿宋_GB2312" w:eastAsia="仿宋_GB2312" w:hint="eastAsia"/>
          <w:sz w:val="32"/>
          <w:szCs w:val="32"/>
        </w:rPr>
        <w:t>万元,</w:t>
      </w:r>
      <w:r>
        <w:rPr>
          <w:rStyle w:val="a8"/>
          <w:rFonts w:ascii="仿宋" w:eastAsia="仿宋" w:hAnsi="仿宋" w:hint="eastAsia"/>
          <w:b w:val="0"/>
          <w:bCs/>
          <w:sz w:val="32"/>
          <w:szCs w:val="32"/>
        </w:rPr>
        <w:t>完成预算</w:t>
      </w:r>
      <w:r w:rsidR="008C7FD8" w:rsidRPr="008C7FD8">
        <w:rPr>
          <w:rStyle w:val="a8"/>
          <w:rFonts w:ascii="仿宋" w:eastAsia="仿宋" w:hAnsi="仿宋"/>
          <w:bCs/>
          <w:sz w:val="32"/>
          <w:szCs w:val="32"/>
        </w:rPr>
        <w:t>0</w:t>
      </w:r>
      <w:r>
        <w:rPr>
          <w:rStyle w:val="a8"/>
          <w:rFonts w:ascii="仿宋" w:eastAsia="仿宋" w:hAnsi="仿宋"/>
          <w:b w:val="0"/>
          <w:bCs/>
          <w:sz w:val="32"/>
          <w:szCs w:val="32"/>
        </w:rPr>
        <w:t>%</w:t>
      </w:r>
      <w:r>
        <w:rPr>
          <w:rStyle w:val="a8"/>
          <w:rFonts w:ascii="仿宋" w:eastAsia="仿宋" w:hAnsi="仿宋" w:hint="eastAsia"/>
          <w:b w:val="0"/>
          <w:bCs/>
          <w:sz w:val="32"/>
          <w:szCs w:val="32"/>
        </w:rPr>
        <w:t>。</w:t>
      </w:r>
      <w:r>
        <w:rPr>
          <w:rFonts w:ascii="仿宋_GB2312" w:eastAsia="仿宋_GB2312" w:hint="eastAsia"/>
          <w:sz w:val="32"/>
          <w:szCs w:val="32"/>
        </w:rPr>
        <w:t>公务用车购置及运行维护费支出决算比2022年度增加</w:t>
      </w:r>
      <w:r>
        <w:rPr>
          <w:rFonts w:ascii="仿宋_GB2312" w:eastAsia="仿宋_GB2312"/>
          <w:sz w:val="32"/>
          <w:szCs w:val="32"/>
        </w:rPr>
        <w:t>/</w:t>
      </w:r>
      <w:r>
        <w:rPr>
          <w:rFonts w:ascii="仿宋_GB2312" w:eastAsia="仿宋_GB2312" w:hint="eastAsia"/>
          <w:sz w:val="32"/>
          <w:szCs w:val="32"/>
        </w:rPr>
        <w:t>减少万元，</w:t>
      </w:r>
      <w:r w:rsidR="00BF5AC7">
        <w:rPr>
          <w:rFonts w:ascii="仿宋" w:eastAsia="仿宋" w:hAnsi="仿宋" w:hint="eastAsia"/>
          <w:sz w:val="32"/>
          <w:szCs w:val="32"/>
        </w:rPr>
        <w:t>决算数与预算数持平</w:t>
      </w:r>
      <w:r>
        <w:rPr>
          <w:rFonts w:ascii="仿宋_GB2312" w:eastAsia="仿宋_GB2312" w:hint="eastAsia"/>
          <w:sz w:val="32"/>
          <w:szCs w:val="32"/>
        </w:rPr>
        <w:t>。</w:t>
      </w:r>
    </w:p>
    <w:p w:rsidR="0071021A" w:rsidRDefault="0046049C">
      <w:pPr>
        <w:spacing w:line="600" w:lineRule="exact"/>
        <w:ind w:firstLineChars="200" w:firstLine="640"/>
        <w:rPr>
          <w:rFonts w:ascii="仿宋_GB2312" w:eastAsia="仿宋_GB2312"/>
          <w:b/>
          <w:sz w:val="32"/>
          <w:szCs w:val="32"/>
        </w:rPr>
      </w:pPr>
      <w:r>
        <w:rPr>
          <w:rFonts w:ascii="仿宋_GB2312" w:eastAsia="仿宋_GB2312" w:hint="eastAsia"/>
          <w:sz w:val="32"/>
          <w:szCs w:val="32"/>
        </w:rPr>
        <w:t>其中：</w:t>
      </w:r>
      <w:r>
        <w:rPr>
          <w:rFonts w:ascii="仿宋_GB2312" w:eastAsia="仿宋_GB2312" w:hint="eastAsia"/>
          <w:b/>
          <w:sz w:val="32"/>
          <w:szCs w:val="32"/>
        </w:rPr>
        <w:t>公务用车购置支出</w:t>
      </w:r>
      <w:r w:rsidR="008C7FD8" w:rsidRPr="005533CF">
        <w:rPr>
          <w:rFonts w:ascii="仿宋" w:eastAsia="仿宋" w:hAnsi="仿宋"/>
          <w:b/>
          <w:sz w:val="32"/>
          <w:szCs w:val="32"/>
        </w:rPr>
        <w:t>0</w:t>
      </w:r>
      <w:r>
        <w:rPr>
          <w:rFonts w:ascii="仿宋_GB2312" w:eastAsia="仿宋_GB2312" w:hint="eastAsia"/>
          <w:sz w:val="32"/>
          <w:szCs w:val="32"/>
        </w:rPr>
        <w:t>万元。全年按规定更新购置公务用车辆，其中：轿车辆、金额万元，越野车辆、金额</w:t>
      </w:r>
      <w:r>
        <w:rPr>
          <w:rFonts w:ascii="仿宋_GB2312" w:eastAsia="仿宋_GB2312"/>
          <w:sz w:val="32"/>
          <w:szCs w:val="32"/>
        </w:rPr>
        <w:t>**</w:t>
      </w:r>
      <w:r>
        <w:rPr>
          <w:rFonts w:ascii="仿宋_GB2312" w:eastAsia="仿宋_GB2312" w:hint="eastAsia"/>
          <w:sz w:val="32"/>
          <w:szCs w:val="32"/>
        </w:rPr>
        <w:t>万元，载客汽车辆、金额</w:t>
      </w:r>
      <w:r w:rsidR="000352C6">
        <w:rPr>
          <w:rFonts w:ascii="仿宋_GB2312" w:eastAsia="仿宋_GB2312" w:hint="eastAsia"/>
          <w:sz w:val="32"/>
          <w:szCs w:val="32"/>
        </w:rPr>
        <w:t>万元。</w:t>
      </w:r>
      <w:r>
        <w:rPr>
          <w:rFonts w:ascii="仿宋_GB2312" w:eastAsia="仿宋_GB2312" w:hint="eastAsia"/>
          <w:sz w:val="32"/>
          <w:szCs w:val="32"/>
        </w:rPr>
        <w:t>截至2023年</w:t>
      </w:r>
      <w:r>
        <w:rPr>
          <w:rFonts w:ascii="仿宋_GB2312" w:eastAsia="仿宋_GB2312"/>
          <w:sz w:val="32"/>
          <w:szCs w:val="32"/>
        </w:rPr>
        <w:t>12</w:t>
      </w:r>
      <w:r>
        <w:rPr>
          <w:rFonts w:ascii="仿宋_GB2312" w:eastAsia="仿宋_GB2312" w:hint="eastAsia"/>
          <w:sz w:val="32"/>
          <w:szCs w:val="32"/>
        </w:rPr>
        <w:t>月31日，单位共有公务用车</w:t>
      </w:r>
      <w:r w:rsidR="000352C6">
        <w:rPr>
          <w:rFonts w:ascii="仿宋_GB2312" w:eastAsia="仿宋_GB2312"/>
          <w:sz w:val="32"/>
          <w:szCs w:val="32"/>
        </w:rPr>
        <w:t>0</w:t>
      </w:r>
      <w:r>
        <w:rPr>
          <w:rFonts w:ascii="仿宋_GB2312" w:eastAsia="仿宋_GB2312" w:hint="eastAsia"/>
          <w:sz w:val="32"/>
          <w:szCs w:val="32"/>
        </w:rPr>
        <w:t>辆，其中：轿车</w:t>
      </w:r>
      <w:r w:rsidR="000352C6">
        <w:rPr>
          <w:rFonts w:ascii="仿宋_GB2312" w:eastAsia="仿宋_GB2312"/>
          <w:sz w:val="32"/>
          <w:szCs w:val="32"/>
        </w:rPr>
        <w:t>0</w:t>
      </w:r>
      <w:r>
        <w:rPr>
          <w:rFonts w:ascii="仿宋_GB2312" w:eastAsia="仿宋_GB2312" w:hint="eastAsia"/>
          <w:sz w:val="32"/>
          <w:szCs w:val="32"/>
        </w:rPr>
        <w:t>辆、越野车</w:t>
      </w:r>
      <w:r w:rsidR="000352C6">
        <w:rPr>
          <w:rFonts w:ascii="仿宋_GB2312" w:eastAsia="仿宋_GB2312"/>
          <w:sz w:val="32"/>
          <w:szCs w:val="32"/>
        </w:rPr>
        <w:t>0</w:t>
      </w:r>
      <w:r>
        <w:rPr>
          <w:rFonts w:ascii="仿宋_GB2312" w:eastAsia="仿宋_GB2312" w:hint="eastAsia"/>
          <w:sz w:val="32"/>
          <w:szCs w:val="32"/>
        </w:rPr>
        <w:t>辆、载客汽车</w:t>
      </w:r>
      <w:r w:rsidR="000352C6">
        <w:rPr>
          <w:rFonts w:ascii="仿宋_GB2312" w:eastAsia="仿宋_GB2312"/>
          <w:sz w:val="32"/>
          <w:szCs w:val="32"/>
        </w:rPr>
        <w:t>0</w:t>
      </w:r>
      <w:r>
        <w:rPr>
          <w:rFonts w:ascii="仿宋_GB2312" w:eastAsia="仿宋_GB2312" w:hint="eastAsia"/>
          <w:sz w:val="32"/>
          <w:szCs w:val="32"/>
        </w:rPr>
        <w:t>辆。</w:t>
      </w:r>
    </w:p>
    <w:p w:rsidR="0071021A" w:rsidRDefault="0046049C">
      <w:pPr>
        <w:spacing w:line="600" w:lineRule="exact"/>
        <w:ind w:firstLine="640"/>
        <w:rPr>
          <w:rFonts w:ascii="仿宋_GB2312" w:eastAsia="仿宋_GB2312"/>
          <w:sz w:val="32"/>
          <w:szCs w:val="32"/>
        </w:rPr>
      </w:pPr>
      <w:r>
        <w:rPr>
          <w:rFonts w:ascii="仿宋_GB2312" w:eastAsia="仿宋_GB2312" w:hint="eastAsia"/>
          <w:b/>
          <w:sz w:val="32"/>
          <w:szCs w:val="32"/>
        </w:rPr>
        <w:t>公务用车运行维护费支出</w:t>
      </w:r>
      <w:r w:rsidR="008C7FD8" w:rsidRPr="005533CF">
        <w:rPr>
          <w:rFonts w:ascii="仿宋" w:eastAsia="仿宋" w:hAnsi="仿宋"/>
          <w:b/>
          <w:sz w:val="32"/>
          <w:szCs w:val="32"/>
        </w:rPr>
        <w:t>0</w:t>
      </w:r>
      <w:r>
        <w:rPr>
          <w:rFonts w:ascii="仿宋_GB2312" w:eastAsia="仿宋_GB2312" w:hint="eastAsia"/>
          <w:sz w:val="32"/>
          <w:szCs w:val="32"/>
        </w:rPr>
        <w:t>万元。主要用于工作所需的公务用车燃料费、维修费、过路过桥费、保险费等支出。</w:t>
      </w:r>
    </w:p>
    <w:p w:rsidR="0071021A" w:rsidRDefault="0046049C">
      <w:pPr>
        <w:spacing w:line="600" w:lineRule="exact"/>
        <w:ind w:firstLine="640"/>
        <w:rPr>
          <w:rFonts w:ascii="仿宋_GB2312" w:eastAsia="仿宋_GB2312"/>
          <w:sz w:val="32"/>
          <w:szCs w:val="32"/>
        </w:rPr>
      </w:pPr>
      <w:r>
        <w:rPr>
          <w:rFonts w:ascii="仿宋_GB2312" w:eastAsia="仿宋_GB2312"/>
          <w:b/>
          <w:sz w:val="32"/>
          <w:szCs w:val="32"/>
        </w:rPr>
        <w:t>3.</w:t>
      </w:r>
      <w:r>
        <w:rPr>
          <w:rFonts w:ascii="仿宋_GB2312" w:eastAsia="仿宋_GB2312" w:hint="eastAsia"/>
          <w:b/>
          <w:sz w:val="32"/>
          <w:szCs w:val="32"/>
        </w:rPr>
        <w:t>公务接待费支出</w:t>
      </w:r>
      <w:r w:rsidR="008C7FD8" w:rsidRPr="005533CF">
        <w:rPr>
          <w:rFonts w:ascii="仿宋" w:eastAsia="仿宋" w:hAnsi="仿宋"/>
          <w:b/>
          <w:sz w:val="32"/>
          <w:szCs w:val="32"/>
        </w:rPr>
        <w:t>0</w:t>
      </w:r>
      <w:r>
        <w:rPr>
          <w:rFonts w:ascii="仿宋_GB2312" w:eastAsia="仿宋_GB2312" w:hint="eastAsia"/>
          <w:sz w:val="32"/>
          <w:szCs w:val="32"/>
        </w:rPr>
        <w:t>万元，</w:t>
      </w:r>
      <w:r>
        <w:rPr>
          <w:rStyle w:val="a8"/>
          <w:rFonts w:ascii="仿宋" w:eastAsia="仿宋" w:hAnsi="仿宋" w:hint="eastAsia"/>
          <w:b w:val="0"/>
          <w:bCs/>
          <w:sz w:val="32"/>
          <w:szCs w:val="32"/>
        </w:rPr>
        <w:t>完成预算</w:t>
      </w:r>
      <w:r w:rsidR="008C7FD8">
        <w:rPr>
          <w:rStyle w:val="a8"/>
          <w:rFonts w:ascii="仿宋" w:eastAsia="仿宋" w:hAnsi="仿宋"/>
          <w:b w:val="0"/>
          <w:bCs/>
          <w:sz w:val="32"/>
          <w:szCs w:val="32"/>
        </w:rPr>
        <w:t>0</w:t>
      </w:r>
      <w:r>
        <w:rPr>
          <w:rStyle w:val="a8"/>
          <w:rFonts w:ascii="仿宋" w:eastAsia="仿宋" w:hAnsi="仿宋"/>
          <w:b w:val="0"/>
          <w:bCs/>
          <w:sz w:val="32"/>
          <w:szCs w:val="32"/>
        </w:rPr>
        <w:t>%</w:t>
      </w:r>
      <w:r>
        <w:rPr>
          <w:rStyle w:val="a8"/>
          <w:rFonts w:ascii="仿宋" w:eastAsia="仿宋" w:hAnsi="仿宋" w:hint="eastAsia"/>
          <w:b w:val="0"/>
          <w:bCs/>
          <w:sz w:val="32"/>
          <w:szCs w:val="32"/>
        </w:rPr>
        <w:t>。</w:t>
      </w:r>
      <w:r>
        <w:rPr>
          <w:rFonts w:ascii="仿宋_GB2312" w:eastAsia="仿宋_GB2312" w:hint="eastAsia"/>
          <w:sz w:val="32"/>
          <w:szCs w:val="32"/>
        </w:rPr>
        <w:t>公务接待费支出决算比2022年度增加</w:t>
      </w:r>
      <w:r>
        <w:rPr>
          <w:rFonts w:ascii="仿宋_GB2312" w:eastAsia="仿宋_GB2312"/>
          <w:sz w:val="32"/>
          <w:szCs w:val="32"/>
        </w:rPr>
        <w:t>/</w:t>
      </w:r>
      <w:r>
        <w:rPr>
          <w:rFonts w:ascii="仿宋_GB2312" w:eastAsia="仿宋_GB2312" w:hint="eastAsia"/>
          <w:sz w:val="32"/>
          <w:szCs w:val="32"/>
        </w:rPr>
        <w:t>减少</w:t>
      </w:r>
      <w:r w:rsidR="000352C6">
        <w:rPr>
          <w:rFonts w:ascii="仿宋_GB2312" w:eastAsia="仿宋_GB2312"/>
          <w:sz w:val="32"/>
          <w:szCs w:val="32"/>
        </w:rPr>
        <w:t>0</w:t>
      </w:r>
      <w:r>
        <w:rPr>
          <w:rFonts w:ascii="仿宋_GB2312" w:eastAsia="仿宋_GB2312" w:hint="eastAsia"/>
          <w:sz w:val="32"/>
          <w:szCs w:val="32"/>
        </w:rPr>
        <w:t>万元，</w:t>
      </w:r>
      <w:r w:rsidR="00BF5AC7">
        <w:rPr>
          <w:rFonts w:ascii="仿宋" w:eastAsia="仿宋" w:hAnsi="仿宋" w:hint="eastAsia"/>
          <w:sz w:val="32"/>
          <w:szCs w:val="32"/>
        </w:rPr>
        <w:t>决算数与</w:t>
      </w:r>
      <w:r w:rsidR="00DB0B3F">
        <w:rPr>
          <w:rFonts w:ascii="仿宋" w:eastAsia="仿宋" w:hAnsi="仿宋" w:hint="eastAsia"/>
          <w:sz w:val="32"/>
          <w:szCs w:val="32"/>
        </w:rPr>
        <w:t>预算数持平</w:t>
      </w:r>
      <w:r>
        <w:rPr>
          <w:rFonts w:ascii="仿宋_GB2312" w:eastAsia="仿宋_GB2312" w:hint="eastAsia"/>
          <w:sz w:val="32"/>
          <w:szCs w:val="32"/>
        </w:rPr>
        <w:t>。其中：</w:t>
      </w:r>
    </w:p>
    <w:p w:rsidR="0071021A" w:rsidRDefault="0046049C">
      <w:pPr>
        <w:spacing w:line="600" w:lineRule="exact"/>
        <w:ind w:firstLine="640"/>
        <w:rPr>
          <w:rFonts w:ascii="仿宋_GB2312" w:eastAsia="仿宋_GB2312"/>
          <w:sz w:val="32"/>
          <w:szCs w:val="32"/>
        </w:rPr>
      </w:pPr>
      <w:r>
        <w:rPr>
          <w:rFonts w:ascii="仿宋" w:eastAsia="仿宋" w:hAnsi="仿宋" w:hint="eastAsia"/>
          <w:b/>
          <w:sz w:val="32"/>
          <w:szCs w:val="32"/>
        </w:rPr>
        <w:t>国内公务接待支出</w:t>
      </w:r>
      <w:r w:rsidR="008C7FD8" w:rsidRPr="005533CF">
        <w:rPr>
          <w:rFonts w:ascii="仿宋" w:eastAsia="仿宋" w:hAnsi="仿宋"/>
          <w:b/>
          <w:sz w:val="32"/>
          <w:szCs w:val="32"/>
        </w:rPr>
        <w:t>0</w:t>
      </w:r>
      <w:r>
        <w:rPr>
          <w:rFonts w:ascii="仿宋_GB2312" w:eastAsia="仿宋_GB2312" w:hint="eastAsia"/>
          <w:sz w:val="32"/>
          <w:szCs w:val="32"/>
        </w:rPr>
        <w:t>万元，执行公务、开展业务活动开支的交通费、住宿费、用餐费等。国内公务接待</w:t>
      </w:r>
      <w:r w:rsidR="000352C6">
        <w:rPr>
          <w:rFonts w:ascii="仿宋_GB2312" w:eastAsia="仿宋_GB2312"/>
          <w:sz w:val="32"/>
          <w:szCs w:val="32"/>
        </w:rPr>
        <w:t>0</w:t>
      </w:r>
      <w:r>
        <w:rPr>
          <w:rFonts w:ascii="仿宋_GB2312" w:eastAsia="仿宋_GB2312" w:hint="eastAsia"/>
          <w:sz w:val="32"/>
          <w:szCs w:val="32"/>
        </w:rPr>
        <w:t>批次，</w:t>
      </w:r>
      <w:r w:rsidR="000352C6">
        <w:rPr>
          <w:rFonts w:ascii="仿宋_GB2312" w:eastAsia="仿宋_GB2312"/>
          <w:sz w:val="32"/>
          <w:szCs w:val="32"/>
        </w:rPr>
        <w:t>0</w:t>
      </w:r>
      <w:r>
        <w:rPr>
          <w:rFonts w:ascii="仿宋_GB2312" w:eastAsia="仿宋_GB2312" w:hint="eastAsia"/>
          <w:sz w:val="32"/>
          <w:szCs w:val="32"/>
        </w:rPr>
        <w:t>人次（不包括陪同人员），共计支出</w:t>
      </w:r>
      <w:r w:rsidR="000352C6">
        <w:rPr>
          <w:rFonts w:ascii="仿宋_GB2312" w:eastAsia="仿宋_GB2312"/>
          <w:sz w:val="32"/>
          <w:szCs w:val="32"/>
        </w:rPr>
        <w:t>0</w:t>
      </w:r>
      <w:r>
        <w:rPr>
          <w:rFonts w:ascii="仿宋_GB2312" w:eastAsia="仿宋_GB2312" w:hint="eastAsia"/>
          <w:sz w:val="32"/>
          <w:szCs w:val="32"/>
        </w:rPr>
        <w:t>万元</w:t>
      </w:r>
      <w:r w:rsidR="000352C6">
        <w:rPr>
          <w:rFonts w:ascii="仿宋_GB2312" w:eastAsia="仿宋_GB2312" w:hint="eastAsia"/>
          <w:sz w:val="32"/>
          <w:szCs w:val="32"/>
        </w:rPr>
        <w:t>。</w:t>
      </w:r>
    </w:p>
    <w:p w:rsidR="00BF5AC7" w:rsidRPr="00BF5AC7" w:rsidRDefault="0046049C" w:rsidP="00BF5AC7">
      <w:pPr>
        <w:spacing w:line="600" w:lineRule="exact"/>
        <w:ind w:firstLineChars="200" w:firstLine="643"/>
        <w:rPr>
          <w:rFonts w:ascii="仿宋_GB2312" w:eastAsia="仿宋_GB2312"/>
          <w:sz w:val="32"/>
          <w:szCs w:val="32"/>
        </w:rPr>
      </w:pPr>
      <w:r>
        <w:rPr>
          <w:rFonts w:ascii="仿宋" w:eastAsia="仿宋" w:hAnsi="仿宋" w:hint="eastAsia"/>
          <w:b/>
          <w:sz w:val="32"/>
          <w:szCs w:val="32"/>
        </w:rPr>
        <w:t>外事接待支出</w:t>
      </w:r>
      <w:r w:rsidR="008C7FD8" w:rsidRPr="005533CF">
        <w:rPr>
          <w:rFonts w:ascii="仿宋" w:eastAsia="仿宋" w:hAnsi="仿宋"/>
          <w:b/>
          <w:sz w:val="32"/>
          <w:szCs w:val="32"/>
        </w:rPr>
        <w:t>0</w:t>
      </w:r>
      <w:r>
        <w:rPr>
          <w:rFonts w:ascii="仿宋_GB2312" w:eastAsia="仿宋_GB2312" w:hint="eastAsia"/>
          <w:sz w:val="32"/>
          <w:szCs w:val="32"/>
        </w:rPr>
        <w:t>万元，主要用于接待</w:t>
      </w:r>
      <w:r>
        <w:rPr>
          <w:rFonts w:ascii="仿宋_GB2312" w:eastAsia="仿宋_GB2312"/>
          <w:sz w:val="32"/>
          <w:szCs w:val="32"/>
        </w:rPr>
        <w:t>…</w:t>
      </w:r>
      <w:r>
        <w:rPr>
          <w:rFonts w:ascii="仿宋_GB2312" w:eastAsia="仿宋_GB2312" w:hint="eastAsia"/>
          <w:sz w:val="32"/>
          <w:szCs w:val="32"/>
        </w:rPr>
        <w:t>（具体项目）。外事接待</w:t>
      </w:r>
      <w:r w:rsidR="000352C6">
        <w:rPr>
          <w:rFonts w:ascii="仿宋_GB2312" w:eastAsia="仿宋_GB2312"/>
          <w:sz w:val="32"/>
          <w:szCs w:val="32"/>
        </w:rPr>
        <w:t>0</w:t>
      </w:r>
      <w:r>
        <w:rPr>
          <w:rFonts w:ascii="仿宋_GB2312" w:eastAsia="仿宋_GB2312" w:hint="eastAsia"/>
          <w:sz w:val="32"/>
          <w:szCs w:val="32"/>
        </w:rPr>
        <w:t>批次，</w:t>
      </w:r>
      <w:r w:rsidR="000352C6">
        <w:rPr>
          <w:rFonts w:ascii="仿宋_GB2312" w:eastAsia="仿宋_GB2312"/>
          <w:sz w:val="32"/>
          <w:szCs w:val="32"/>
        </w:rPr>
        <w:t>0</w:t>
      </w:r>
      <w:r>
        <w:rPr>
          <w:rFonts w:ascii="仿宋_GB2312" w:eastAsia="仿宋_GB2312" w:hint="eastAsia"/>
          <w:sz w:val="32"/>
          <w:szCs w:val="32"/>
        </w:rPr>
        <w:t>人次（不包括陪同人员），共计支出</w:t>
      </w:r>
      <w:r w:rsidR="000352C6">
        <w:rPr>
          <w:rFonts w:ascii="仿宋_GB2312" w:eastAsia="仿宋_GB2312"/>
          <w:sz w:val="32"/>
          <w:szCs w:val="32"/>
        </w:rPr>
        <w:t>0</w:t>
      </w:r>
      <w:r>
        <w:rPr>
          <w:rFonts w:ascii="仿宋_GB2312" w:eastAsia="仿宋_GB2312" w:hint="eastAsia"/>
          <w:sz w:val="32"/>
          <w:szCs w:val="32"/>
        </w:rPr>
        <w:t>万元。</w:t>
      </w:r>
    </w:p>
    <w:p w:rsidR="0071021A" w:rsidRDefault="0046049C">
      <w:pPr>
        <w:spacing w:line="600" w:lineRule="exact"/>
        <w:ind w:firstLine="640"/>
        <w:outlineLvl w:val="1"/>
        <w:rPr>
          <w:rStyle w:val="2Char"/>
          <w:rFonts w:ascii="黑体" w:eastAsia="黑体" w:hAnsi="黑体"/>
        </w:rPr>
      </w:pPr>
      <w:r>
        <w:rPr>
          <w:rFonts w:ascii="黑体" w:eastAsia="黑体" w:hint="eastAsia"/>
          <w:sz w:val="32"/>
          <w:szCs w:val="32"/>
        </w:rPr>
        <w:t>八、</w:t>
      </w:r>
      <w:r>
        <w:rPr>
          <w:rStyle w:val="2Char"/>
          <w:rFonts w:ascii="黑体" w:eastAsia="黑体" w:hAnsi="黑体" w:hint="eastAsia"/>
          <w:b w:val="0"/>
        </w:rPr>
        <w:t>政府性基金预算支出决算情况说明</w:t>
      </w:r>
      <w:bookmarkEnd w:id="41"/>
      <w:bookmarkEnd w:id="42"/>
    </w:p>
    <w:p w:rsidR="0071021A" w:rsidRDefault="0046049C" w:rsidP="0023180A">
      <w:pPr>
        <w:spacing w:line="600" w:lineRule="exact"/>
        <w:ind w:firstLine="640"/>
        <w:rPr>
          <w:rFonts w:ascii="仿宋_GB2312" w:eastAsia="仿宋_GB2312"/>
          <w:sz w:val="32"/>
          <w:szCs w:val="32"/>
        </w:rPr>
      </w:pPr>
      <w:r>
        <w:rPr>
          <w:rFonts w:ascii="仿宋_GB2312" w:eastAsia="仿宋_GB2312" w:hint="eastAsia"/>
          <w:sz w:val="32"/>
          <w:szCs w:val="32"/>
        </w:rPr>
        <w:t>2023年度政府性基金预算财政拨款支出</w:t>
      </w:r>
      <w:r w:rsidR="008C7FD8" w:rsidRPr="005533CF">
        <w:rPr>
          <w:rFonts w:ascii="仿宋" w:eastAsia="仿宋" w:hAnsi="仿宋"/>
          <w:b/>
          <w:sz w:val="32"/>
          <w:szCs w:val="32"/>
        </w:rPr>
        <w:t>0</w:t>
      </w:r>
      <w:r>
        <w:rPr>
          <w:rFonts w:ascii="仿宋_GB2312" w:eastAsia="仿宋_GB2312" w:hint="eastAsia"/>
          <w:sz w:val="32"/>
          <w:szCs w:val="32"/>
        </w:rPr>
        <w:t>万元。</w:t>
      </w:r>
    </w:p>
    <w:p w:rsidR="0071021A" w:rsidRDefault="0046049C">
      <w:pPr>
        <w:numPr>
          <w:ilvl w:val="0"/>
          <w:numId w:val="3"/>
        </w:numPr>
        <w:spacing w:line="600" w:lineRule="exact"/>
        <w:ind w:firstLine="640"/>
        <w:outlineLvl w:val="1"/>
        <w:rPr>
          <w:rStyle w:val="2Char"/>
          <w:rFonts w:ascii="黑体" w:eastAsia="黑体" w:hAnsi="黑体"/>
          <w:b w:val="0"/>
        </w:rPr>
      </w:pPr>
      <w:bookmarkStart w:id="43" w:name="_Toc15396611"/>
      <w:bookmarkStart w:id="44" w:name="_Toc15377219"/>
      <w:r>
        <w:rPr>
          <w:rStyle w:val="2Char"/>
          <w:rFonts w:ascii="黑体" w:eastAsia="黑体" w:hAnsi="黑体" w:hint="eastAsia"/>
          <w:b w:val="0"/>
        </w:rPr>
        <w:t>国有资本经营预算支出决算情况说明</w:t>
      </w:r>
      <w:bookmarkEnd w:id="43"/>
      <w:bookmarkEnd w:id="44"/>
    </w:p>
    <w:p w:rsidR="0071021A" w:rsidRPr="0023180A" w:rsidRDefault="0046049C" w:rsidP="0023180A">
      <w:pPr>
        <w:spacing w:line="600" w:lineRule="exact"/>
        <w:ind w:firstLine="640"/>
        <w:rPr>
          <w:rFonts w:ascii="仿宋_GB2312" w:eastAsia="仿宋_GB2312"/>
          <w:sz w:val="32"/>
          <w:szCs w:val="32"/>
        </w:rPr>
      </w:pPr>
      <w:r>
        <w:rPr>
          <w:rFonts w:ascii="仿宋_GB2312" w:eastAsia="仿宋_GB2312" w:hint="eastAsia"/>
          <w:sz w:val="32"/>
          <w:szCs w:val="32"/>
        </w:rPr>
        <w:t>2023年度国有资本经营预算财政拨款支出</w:t>
      </w:r>
      <w:r w:rsidR="008C7FD8" w:rsidRPr="005533CF">
        <w:rPr>
          <w:rFonts w:ascii="仿宋" w:eastAsia="仿宋" w:hAnsi="仿宋"/>
          <w:b/>
          <w:sz w:val="32"/>
          <w:szCs w:val="32"/>
        </w:rPr>
        <w:t>0</w:t>
      </w:r>
      <w:r>
        <w:rPr>
          <w:rFonts w:ascii="仿宋_GB2312" w:eastAsia="仿宋_GB2312" w:hint="eastAsia"/>
          <w:sz w:val="32"/>
          <w:szCs w:val="32"/>
        </w:rPr>
        <w:t>万元。</w:t>
      </w:r>
    </w:p>
    <w:p w:rsidR="0071021A" w:rsidRDefault="0046049C">
      <w:pPr>
        <w:numPr>
          <w:ilvl w:val="0"/>
          <w:numId w:val="3"/>
        </w:numPr>
        <w:spacing w:line="600" w:lineRule="exact"/>
        <w:ind w:firstLine="640"/>
        <w:outlineLvl w:val="1"/>
        <w:rPr>
          <w:rStyle w:val="2Char"/>
          <w:rFonts w:ascii="黑体" w:eastAsia="黑体" w:hAnsi="黑体"/>
          <w:b w:val="0"/>
        </w:rPr>
      </w:pPr>
      <w:bookmarkStart w:id="45" w:name="_Toc15377221"/>
      <w:bookmarkStart w:id="46" w:name="_Toc15396612"/>
      <w:r>
        <w:rPr>
          <w:rStyle w:val="2Char"/>
          <w:rFonts w:ascii="黑体" w:eastAsia="黑体" w:hAnsi="黑体" w:hint="eastAsia"/>
          <w:b w:val="0"/>
        </w:rPr>
        <w:t>其他重要事项的情况说明</w:t>
      </w:r>
      <w:bookmarkEnd w:id="45"/>
      <w:bookmarkEnd w:id="46"/>
    </w:p>
    <w:p w:rsidR="0071021A" w:rsidRDefault="0046049C">
      <w:pPr>
        <w:spacing w:line="600" w:lineRule="exact"/>
        <w:ind w:firstLineChars="200" w:firstLine="643"/>
        <w:outlineLvl w:val="2"/>
        <w:rPr>
          <w:rFonts w:ascii="仿宋" w:eastAsia="仿宋" w:hAnsi="仿宋"/>
          <w:sz w:val="32"/>
          <w:szCs w:val="32"/>
        </w:rPr>
      </w:pPr>
      <w:bookmarkStart w:id="47" w:name="_Toc15377222"/>
      <w:r>
        <w:rPr>
          <w:rFonts w:ascii="仿宋" w:eastAsia="仿宋" w:hAnsi="仿宋" w:hint="eastAsia"/>
          <w:b/>
          <w:sz w:val="32"/>
          <w:szCs w:val="32"/>
        </w:rPr>
        <w:t>（一）机关运行经费支出情况</w:t>
      </w:r>
      <w:bookmarkEnd w:id="47"/>
    </w:p>
    <w:p w:rsidR="0071021A" w:rsidRDefault="0046049C">
      <w:pPr>
        <w:spacing w:line="600" w:lineRule="exact"/>
        <w:ind w:firstLineChars="200" w:firstLine="640"/>
        <w:rPr>
          <w:rFonts w:ascii="仿宋_GB2312" w:eastAsia="仿宋_GB2312"/>
          <w:sz w:val="32"/>
          <w:szCs w:val="32"/>
        </w:rPr>
      </w:pPr>
      <w:r>
        <w:rPr>
          <w:rFonts w:ascii="仿宋_GB2312" w:eastAsia="仿宋_GB2312" w:hint="eastAsia"/>
          <w:sz w:val="32"/>
          <w:szCs w:val="32"/>
        </w:rPr>
        <w:t>2023年度，</w:t>
      </w:r>
      <w:r w:rsidR="008C7FD8" w:rsidRPr="008C7FD8">
        <w:rPr>
          <w:rFonts w:ascii="仿宋_GB2312" w:eastAsia="仿宋_GB2312"/>
          <w:b/>
          <w:sz w:val="32"/>
          <w:szCs w:val="32"/>
        </w:rPr>
        <w:t>盐边县亚热带作物示范繁殖场</w:t>
      </w:r>
      <w:r>
        <w:rPr>
          <w:rFonts w:ascii="仿宋_GB2312" w:eastAsia="仿宋_GB2312" w:hint="eastAsia"/>
          <w:sz w:val="32"/>
          <w:szCs w:val="32"/>
        </w:rPr>
        <w:t>机关运行经费支出</w:t>
      </w:r>
      <w:r w:rsidR="008C7FD8" w:rsidRPr="005533CF">
        <w:rPr>
          <w:rFonts w:ascii="仿宋" w:eastAsia="仿宋" w:hAnsi="仿宋"/>
          <w:b/>
          <w:sz w:val="32"/>
          <w:szCs w:val="32"/>
        </w:rPr>
        <w:t>0</w:t>
      </w:r>
      <w:r>
        <w:rPr>
          <w:rFonts w:ascii="仿宋_GB2312" w:eastAsia="仿宋_GB2312" w:hint="eastAsia"/>
          <w:sz w:val="32"/>
          <w:szCs w:val="32"/>
        </w:rPr>
        <w:t>万元，比2022年度增加</w:t>
      </w:r>
      <w:r>
        <w:rPr>
          <w:rFonts w:ascii="仿宋_GB2312" w:eastAsia="仿宋_GB2312"/>
          <w:sz w:val="32"/>
          <w:szCs w:val="32"/>
        </w:rPr>
        <w:t>/</w:t>
      </w:r>
      <w:r>
        <w:rPr>
          <w:rFonts w:ascii="仿宋_GB2312" w:eastAsia="仿宋_GB2312" w:hint="eastAsia"/>
          <w:sz w:val="32"/>
          <w:szCs w:val="32"/>
        </w:rPr>
        <w:t>减少</w:t>
      </w:r>
      <w:r w:rsidR="000352C6">
        <w:rPr>
          <w:rFonts w:ascii="仿宋_GB2312" w:eastAsia="仿宋_GB2312"/>
          <w:sz w:val="32"/>
          <w:szCs w:val="32"/>
        </w:rPr>
        <w:t>0</w:t>
      </w:r>
      <w:r w:rsidR="000352C6">
        <w:rPr>
          <w:rFonts w:ascii="仿宋_GB2312" w:eastAsia="仿宋_GB2312" w:hint="eastAsia"/>
          <w:sz w:val="32"/>
          <w:szCs w:val="32"/>
        </w:rPr>
        <w:t>万元，</w:t>
      </w:r>
      <w:r w:rsidR="000352C6">
        <w:rPr>
          <w:rFonts w:ascii="仿宋_GB2312" w:eastAsia="仿宋_GB2312"/>
          <w:sz w:val="32"/>
          <w:szCs w:val="32"/>
        </w:rPr>
        <w:t>与</w:t>
      </w:r>
      <w:r>
        <w:rPr>
          <w:rFonts w:ascii="仿宋_GB2312" w:eastAsia="仿宋_GB2312" w:hint="eastAsia"/>
          <w:sz w:val="32"/>
          <w:szCs w:val="32"/>
        </w:rPr>
        <w:t>2022年度决算数持平。</w:t>
      </w:r>
    </w:p>
    <w:p w:rsidR="0071021A" w:rsidRDefault="0046049C">
      <w:pPr>
        <w:autoSpaceDE w:val="0"/>
        <w:autoSpaceDN w:val="0"/>
        <w:adjustRightInd w:val="0"/>
        <w:spacing w:line="600" w:lineRule="exact"/>
        <w:ind w:firstLineChars="200" w:firstLine="643"/>
        <w:jc w:val="left"/>
        <w:outlineLvl w:val="2"/>
        <w:rPr>
          <w:rFonts w:ascii="仿宋" w:eastAsia="仿宋" w:hAnsi="仿宋"/>
          <w:b/>
          <w:sz w:val="32"/>
          <w:szCs w:val="32"/>
        </w:rPr>
      </w:pPr>
      <w:bookmarkStart w:id="48" w:name="_Toc15377223"/>
      <w:r>
        <w:rPr>
          <w:rFonts w:ascii="仿宋" w:eastAsia="仿宋" w:hAnsi="仿宋" w:hint="eastAsia"/>
          <w:b/>
          <w:sz w:val="32"/>
          <w:szCs w:val="32"/>
        </w:rPr>
        <w:t>（二）政府采购支出情况</w:t>
      </w:r>
      <w:bookmarkEnd w:id="48"/>
    </w:p>
    <w:p w:rsidR="0071021A" w:rsidRDefault="0046049C">
      <w:pPr>
        <w:spacing w:line="600" w:lineRule="exact"/>
        <w:ind w:firstLineChars="200" w:firstLine="640"/>
        <w:rPr>
          <w:rFonts w:ascii="仿宋_GB2312" w:eastAsia="仿宋_GB2312"/>
          <w:sz w:val="32"/>
          <w:szCs w:val="32"/>
        </w:rPr>
      </w:pPr>
      <w:r>
        <w:rPr>
          <w:rFonts w:ascii="仿宋_GB2312" w:eastAsia="仿宋_GB2312" w:hint="eastAsia"/>
          <w:sz w:val="32"/>
          <w:szCs w:val="32"/>
        </w:rPr>
        <w:t>2023年度，</w:t>
      </w:r>
      <w:r w:rsidR="008C7FD8" w:rsidRPr="008C7FD8">
        <w:rPr>
          <w:rFonts w:ascii="仿宋_GB2312" w:eastAsia="仿宋_GB2312"/>
          <w:b/>
          <w:sz w:val="32"/>
          <w:szCs w:val="32"/>
        </w:rPr>
        <w:t>盐边县亚热带作物示范繁殖场</w:t>
      </w:r>
      <w:r>
        <w:rPr>
          <w:rFonts w:ascii="仿宋_GB2312" w:eastAsia="仿宋_GB2312" w:hint="eastAsia"/>
          <w:sz w:val="32"/>
          <w:szCs w:val="32"/>
        </w:rPr>
        <w:t>政府采购支出总额</w:t>
      </w:r>
      <w:r w:rsidR="008C7FD8" w:rsidRPr="005533CF">
        <w:rPr>
          <w:rFonts w:ascii="仿宋" w:eastAsia="仿宋" w:hAnsi="仿宋"/>
          <w:b/>
          <w:sz w:val="32"/>
          <w:szCs w:val="32"/>
        </w:rPr>
        <w:t>0</w:t>
      </w:r>
      <w:r>
        <w:rPr>
          <w:rFonts w:ascii="仿宋_GB2312" w:eastAsia="仿宋_GB2312" w:hint="eastAsia"/>
          <w:sz w:val="32"/>
          <w:szCs w:val="32"/>
        </w:rPr>
        <w:t>万元，其中：政府采购货物支出</w:t>
      </w:r>
      <w:r w:rsidR="001A1DAD" w:rsidRPr="005533CF">
        <w:rPr>
          <w:rFonts w:ascii="仿宋" w:eastAsia="仿宋" w:hAnsi="仿宋"/>
          <w:b/>
          <w:sz w:val="32"/>
          <w:szCs w:val="32"/>
        </w:rPr>
        <w:t>0</w:t>
      </w:r>
      <w:r>
        <w:rPr>
          <w:rFonts w:ascii="仿宋_GB2312" w:eastAsia="仿宋_GB2312" w:hint="eastAsia"/>
          <w:sz w:val="32"/>
          <w:szCs w:val="32"/>
        </w:rPr>
        <w:t>万元、政府采购工程支出</w:t>
      </w:r>
      <w:r w:rsidR="001A1DAD" w:rsidRPr="005533CF">
        <w:rPr>
          <w:rFonts w:ascii="仿宋" w:eastAsia="仿宋" w:hAnsi="仿宋"/>
          <w:b/>
          <w:sz w:val="32"/>
          <w:szCs w:val="32"/>
        </w:rPr>
        <w:t>0</w:t>
      </w:r>
      <w:r>
        <w:rPr>
          <w:rFonts w:ascii="仿宋_GB2312" w:eastAsia="仿宋_GB2312" w:hint="eastAsia"/>
          <w:sz w:val="32"/>
          <w:szCs w:val="32"/>
        </w:rPr>
        <w:t>万元、政府采购服务支出</w:t>
      </w:r>
      <w:r w:rsidR="001A1DAD" w:rsidRPr="005533CF">
        <w:rPr>
          <w:rFonts w:ascii="仿宋" w:eastAsia="仿宋" w:hAnsi="仿宋"/>
          <w:b/>
          <w:sz w:val="32"/>
          <w:szCs w:val="32"/>
        </w:rPr>
        <w:t>0</w:t>
      </w:r>
      <w:r>
        <w:rPr>
          <w:rFonts w:ascii="仿宋_GB2312" w:eastAsia="仿宋_GB2312" w:hint="eastAsia"/>
          <w:sz w:val="32"/>
          <w:szCs w:val="32"/>
        </w:rPr>
        <w:t>万元。主要用于</w:t>
      </w:r>
      <w:r>
        <w:rPr>
          <w:rFonts w:ascii="仿宋_GB2312" w:eastAsia="仿宋_GB2312"/>
          <w:sz w:val="32"/>
          <w:szCs w:val="32"/>
        </w:rPr>
        <w:t>…</w:t>
      </w:r>
      <w:r>
        <w:rPr>
          <w:rFonts w:ascii="仿宋_GB2312" w:eastAsia="仿宋_GB2312" w:hint="eastAsia"/>
          <w:sz w:val="32"/>
          <w:szCs w:val="32"/>
        </w:rPr>
        <w:t>（具体工作）。授予中小企业合同金额</w:t>
      </w:r>
      <w:r w:rsidR="001A1DAD" w:rsidRPr="005533CF">
        <w:rPr>
          <w:rFonts w:ascii="仿宋" w:eastAsia="仿宋" w:hAnsi="仿宋"/>
          <w:b/>
          <w:sz w:val="32"/>
          <w:szCs w:val="32"/>
        </w:rPr>
        <w:t>0</w:t>
      </w:r>
      <w:r>
        <w:rPr>
          <w:rFonts w:ascii="仿宋_GB2312" w:eastAsia="仿宋_GB2312" w:hint="eastAsia"/>
          <w:sz w:val="32"/>
          <w:szCs w:val="32"/>
        </w:rPr>
        <w:t>万元，占政府采购支出总额的</w:t>
      </w:r>
      <w:r w:rsidR="001A1DAD">
        <w:rPr>
          <w:rFonts w:ascii="仿宋_GB2312" w:eastAsia="仿宋_GB2312"/>
          <w:sz w:val="32"/>
          <w:szCs w:val="32"/>
        </w:rPr>
        <w:t>0</w:t>
      </w:r>
      <w:r>
        <w:rPr>
          <w:rFonts w:ascii="仿宋_GB2312" w:eastAsia="仿宋_GB2312"/>
          <w:sz w:val="32"/>
          <w:szCs w:val="32"/>
        </w:rPr>
        <w:t>%</w:t>
      </w:r>
      <w:r>
        <w:rPr>
          <w:rFonts w:ascii="仿宋_GB2312" w:eastAsia="仿宋_GB2312" w:hint="eastAsia"/>
          <w:sz w:val="32"/>
          <w:szCs w:val="32"/>
        </w:rPr>
        <w:t>，其中：授予小</w:t>
      </w:r>
      <w:proofErr w:type="gramStart"/>
      <w:r>
        <w:rPr>
          <w:rFonts w:ascii="仿宋_GB2312" w:eastAsia="仿宋_GB2312" w:hint="eastAsia"/>
          <w:sz w:val="32"/>
          <w:szCs w:val="32"/>
        </w:rPr>
        <w:t>微企业</w:t>
      </w:r>
      <w:proofErr w:type="gramEnd"/>
      <w:r>
        <w:rPr>
          <w:rFonts w:ascii="仿宋_GB2312" w:eastAsia="仿宋_GB2312" w:hint="eastAsia"/>
          <w:sz w:val="32"/>
          <w:szCs w:val="32"/>
        </w:rPr>
        <w:t>合同金额</w:t>
      </w:r>
      <w:r w:rsidR="001A1DAD" w:rsidRPr="005533CF">
        <w:rPr>
          <w:rFonts w:ascii="仿宋" w:eastAsia="仿宋" w:hAnsi="仿宋"/>
          <w:b/>
          <w:sz w:val="32"/>
          <w:szCs w:val="32"/>
        </w:rPr>
        <w:t>0</w:t>
      </w:r>
      <w:r>
        <w:rPr>
          <w:rFonts w:ascii="仿宋_GB2312" w:eastAsia="仿宋_GB2312" w:hint="eastAsia"/>
          <w:sz w:val="32"/>
          <w:szCs w:val="32"/>
        </w:rPr>
        <w:t>万元，占政府采购支出总额的</w:t>
      </w:r>
      <w:r w:rsidR="001A1DAD" w:rsidRPr="001A1DAD">
        <w:rPr>
          <w:rFonts w:ascii="仿宋_GB2312" w:eastAsia="仿宋_GB2312"/>
          <w:b/>
          <w:sz w:val="32"/>
          <w:szCs w:val="32"/>
        </w:rPr>
        <w:t>0</w:t>
      </w:r>
      <w:r>
        <w:rPr>
          <w:rFonts w:ascii="仿宋_GB2312" w:eastAsia="仿宋_GB2312"/>
          <w:sz w:val="32"/>
          <w:szCs w:val="32"/>
        </w:rPr>
        <w:t>%</w:t>
      </w:r>
      <w:r>
        <w:rPr>
          <w:rFonts w:ascii="仿宋_GB2312" w:eastAsia="仿宋_GB2312" w:hint="eastAsia"/>
          <w:sz w:val="32"/>
          <w:szCs w:val="32"/>
        </w:rPr>
        <w:t>。</w:t>
      </w:r>
    </w:p>
    <w:p w:rsidR="0071021A" w:rsidRDefault="0046049C">
      <w:pPr>
        <w:autoSpaceDE w:val="0"/>
        <w:autoSpaceDN w:val="0"/>
        <w:adjustRightInd w:val="0"/>
        <w:spacing w:line="600" w:lineRule="exact"/>
        <w:ind w:firstLineChars="200" w:firstLine="643"/>
        <w:jc w:val="left"/>
        <w:outlineLvl w:val="2"/>
        <w:rPr>
          <w:rFonts w:ascii="仿宋" w:eastAsia="仿宋" w:hAnsi="仿宋"/>
          <w:b/>
          <w:sz w:val="32"/>
          <w:szCs w:val="32"/>
        </w:rPr>
      </w:pPr>
      <w:bookmarkStart w:id="49" w:name="_Toc15377224"/>
      <w:r>
        <w:rPr>
          <w:rFonts w:ascii="仿宋" w:eastAsia="仿宋" w:hAnsi="仿宋" w:hint="eastAsia"/>
          <w:b/>
          <w:sz w:val="32"/>
          <w:szCs w:val="32"/>
        </w:rPr>
        <w:t>（三）国有资产占有使用情况</w:t>
      </w:r>
      <w:bookmarkEnd w:id="49"/>
    </w:p>
    <w:p w:rsidR="0071021A" w:rsidRDefault="0046049C">
      <w:pPr>
        <w:autoSpaceDE w:val="0"/>
        <w:autoSpaceDN w:val="0"/>
        <w:adjustRightInd w:val="0"/>
        <w:spacing w:line="600" w:lineRule="exact"/>
        <w:ind w:firstLineChars="200" w:firstLine="640"/>
        <w:jc w:val="left"/>
        <w:rPr>
          <w:rFonts w:ascii="仿宋_GB2312" w:eastAsia="仿宋_GB2312"/>
          <w:sz w:val="32"/>
          <w:szCs w:val="32"/>
        </w:rPr>
      </w:pPr>
      <w:r>
        <w:rPr>
          <w:rFonts w:ascii="仿宋_GB2312" w:eastAsia="仿宋_GB2312" w:hint="eastAsia"/>
          <w:sz w:val="32"/>
          <w:szCs w:val="32"/>
        </w:rPr>
        <w:t>截至2023年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w:t>
      </w:r>
      <w:r w:rsidR="00425C50" w:rsidRPr="008C7FD8">
        <w:rPr>
          <w:rFonts w:ascii="仿宋_GB2312" w:eastAsia="仿宋_GB2312"/>
          <w:b/>
          <w:sz w:val="32"/>
          <w:szCs w:val="32"/>
        </w:rPr>
        <w:t>盐边县亚热带作物示范繁殖场</w:t>
      </w:r>
      <w:r>
        <w:rPr>
          <w:rFonts w:ascii="仿宋_GB2312" w:eastAsia="仿宋_GB2312" w:hint="eastAsia"/>
          <w:sz w:val="32"/>
          <w:szCs w:val="32"/>
        </w:rPr>
        <w:t>共有车辆</w:t>
      </w:r>
      <w:r w:rsidR="001A1DAD" w:rsidRPr="001A1DAD">
        <w:rPr>
          <w:rFonts w:ascii="仿宋_GB2312" w:eastAsia="仿宋_GB2312" w:hint="eastAsia"/>
          <w:b/>
          <w:sz w:val="32"/>
          <w:szCs w:val="32"/>
        </w:rPr>
        <w:t>0</w:t>
      </w:r>
      <w:r>
        <w:rPr>
          <w:rFonts w:ascii="仿宋_GB2312" w:eastAsia="仿宋_GB2312" w:hint="eastAsia"/>
          <w:sz w:val="32"/>
          <w:szCs w:val="32"/>
        </w:rPr>
        <w:t>辆，其中：主要领导干部用车</w:t>
      </w:r>
      <w:r w:rsidR="000352C6">
        <w:rPr>
          <w:rFonts w:ascii="仿宋_GB2312" w:eastAsia="仿宋_GB2312"/>
          <w:sz w:val="32"/>
          <w:szCs w:val="32"/>
        </w:rPr>
        <w:t>0</w:t>
      </w:r>
      <w:r>
        <w:rPr>
          <w:rFonts w:ascii="仿宋_GB2312" w:eastAsia="仿宋_GB2312" w:hint="eastAsia"/>
          <w:sz w:val="32"/>
          <w:szCs w:val="32"/>
        </w:rPr>
        <w:t>辆、机要通信用车</w:t>
      </w:r>
      <w:r w:rsidR="000352C6">
        <w:rPr>
          <w:rFonts w:ascii="仿宋_GB2312" w:eastAsia="仿宋_GB2312"/>
          <w:sz w:val="32"/>
          <w:szCs w:val="32"/>
        </w:rPr>
        <w:t>0</w:t>
      </w:r>
      <w:r>
        <w:rPr>
          <w:rFonts w:ascii="仿宋_GB2312" w:eastAsia="仿宋_GB2312" w:hint="eastAsia"/>
          <w:sz w:val="32"/>
          <w:szCs w:val="32"/>
        </w:rPr>
        <w:t>辆、应急保障用车</w:t>
      </w:r>
      <w:r w:rsidR="000352C6">
        <w:rPr>
          <w:rFonts w:ascii="仿宋_GB2312" w:eastAsia="仿宋_GB2312"/>
          <w:sz w:val="32"/>
          <w:szCs w:val="32"/>
        </w:rPr>
        <w:t>0</w:t>
      </w:r>
      <w:r>
        <w:rPr>
          <w:rFonts w:ascii="仿宋_GB2312" w:eastAsia="仿宋_GB2312" w:hint="eastAsia"/>
          <w:sz w:val="32"/>
          <w:szCs w:val="32"/>
        </w:rPr>
        <w:t>辆、其他用车</w:t>
      </w:r>
      <w:r w:rsidR="000352C6">
        <w:rPr>
          <w:rFonts w:ascii="仿宋_GB2312" w:eastAsia="仿宋_GB2312"/>
          <w:sz w:val="32"/>
          <w:szCs w:val="32"/>
        </w:rPr>
        <w:t>0</w:t>
      </w:r>
      <w:r w:rsidR="000352C6">
        <w:rPr>
          <w:rFonts w:ascii="仿宋_GB2312" w:eastAsia="仿宋_GB2312" w:hint="eastAsia"/>
          <w:sz w:val="32"/>
          <w:szCs w:val="32"/>
        </w:rPr>
        <w:t>辆</w:t>
      </w:r>
      <w:r>
        <w:rPr>
          <w:rFonts w:ascii="仿宋_GB2312" w:eastAsia="仿宋_GB2312" w:hint="eastAsia"/>
          <w:sz w:val="32"/>
          <w:szCs w:val="32"/>
        </w:rPr>
        <w:t>。单价</w:t>
      </w:r>
      <w:r>
        <w:rPr>
          <w:rFonts w:ascii="仿宋_GB2312" w:eastAsia="仿宋_GB2312"/>
          <w:sz w:val="32"/>
          <w:szCs w:val="32"/>
        </w:rPr>
        <w:t>100</w:t>
      </w:r>
      <w:r>
        <w:rPr>
          <w:rFonts w:ascii="仿宋_GB2312" w:eastAsia="仿宋_GB2312" w:hint="eastAsia"/>
          <w:sz w:val="32"/>
          <w:szCs w:val="32"/>
        </w:rPr>
        <w:t>万元以上设备（不含车辆）</w:t>
      </w:r>
      <w:r w:rsidR="001A1DAD" w:rsidRPr="001A1DAD">
        <w:rPr>
          <w:rFonts w:ascii="仿宋_GB2312" w:eastAsia="仿宋_GB2312"/>
          <w:b/>
          <w:sz w:val="32"/>
          <w:szCs w:val="32"/>
        </w:rPr>
        <w:t>0</w:t>
      </w:r>
      <w:r>
        <w:rPr>
          <w:rFonts w:ascii="仿宋_GB2312" w:eastAsia="仿宋_GB2312" w:hint="eastAsia"/>
          <w:sz w:val="32"/>
          <w:szCs w:val="32"/>
        </w:rPr>
        <w:t>台（套）。</w:t>
      </w:r>
    </w:p>
    <w:p w:rsidR="0071021A" w:rsidRDefault="0046049C">
      <w:pPr>
        <w:autoSpaceDE w:val="0"/>
        <w:autoSpaceDN w:val="0"/>
        <w:adjustRightInd w:val="0"/>
        <w:spacing w:line="600" w:lineRule="exact"/>
        <w:ind w:firstLineChars="200" w:firstLine="643"/>
        <w:jc w:val="left"/>
        <w:outlineLvl w:val="2"/>
        <w:rPr>
          <w:rFonts w:ascii="仿宋" w:eastAsia="仿宋" w:hAnsi="仿宋"/>
          <w:b/>
          <w:sz w:val="32"/>
          <w:szCs w:val="32"/>
        </w:rPr>
      </w:pPr>
      <w:r>
        <w:rPr>
          <w:rFonts w:ascii="仿宋" w:eastAsia="仿宋" w:hAnsi="仿宋" w:hint="eastAsia"/>
          <w:b/>
          <w:sz w:val="32"/>
          <w:szCs w:val="32"/>
        </w:rPr>
        <w:t>（四）预算绩效管理情况</w:t>
      </w:r>
    </w:p>
    <w:p w:rsidR="0071021A" w:rsidRDefault="0046049C">
      <w:pPr>
        <w:spacing w:line="600" w:lineRule="exact"/>
        <w:ind w:firstLineChars="200" w:firstLine="640"/>
        <w:rPr>
          <w:rFonts w:ascii="仿宋_GB2312" w:eastAsia="仿宋_GB2312"/>
          <w:sz w:val="32"/>
          <w:szCs w:val="32"/>
        </w:rPr>
      </w:pPr>
      <w:r>
        <w:rPr>
          <w:rFonts w:ascii="仿宋_GB2312" w:eastAsia="仿宋_GB2312" w:hint="eastAsia"/>
          <w:sz w:val="32"/>
          <w:szCs w:val="32"/>
        </w:rPr>
        <w:t>根据预算绩效管理要求，本单位在2023年度预算编制阶段，组织对</w:t>
      </w:r>
      <w:r w:rsidR="0064121A" w:rsidRPr="0064121A">
        <w:rPr>
          <w:rFonts w:ascii="仿宋_GB2312" w:eastAsia="仿宋_GB2312" w:hint="eastAsia"/>
          <w:sz w:val="32"/>
          <w:szCs w:val="32"/>
        </w:rPr>
        <w:t>工资性支出</w:t>
      </w:r>
      <w:r w:rsidR="0064121A">
        <w:rPr>
          <w:rFonts w:ascii="仿宋_GB2312" w:eastAsia="仿宋_GB2312" w:hint="eastAsia"/>
          <w:sz w:val="32"/>
          <w:szCs w:val="32"/>
        </w:rPr>
        <w:t>、</w:t>
      </w:r>
      <w:r w:rsidR="0064121A" w:rsidRPr="0064121A">
        <w:rPr>
          <w:rFonts w:ascii="仿宋_GB2312" w:eastAsia="仿宋_GB2312" w:hint="eastAsia"/>
          <w:sz w:val="32"/>
          <w:szCs w:val="32"/>
        </w:rPr>
        <w:t>其他社会保障缴费（其他事业单位）</w:t>
      </w:r>
      <w:r w:rsidR="0064121A">
        <w:rPr>
          <w:rFonts w:ascii="仿宋_GB2312" w:eastAsia="仿宋_GB2312" w:hint="eastAsia"/>
          <w:sz w:val="32"/>
          <w:szCs w:val="32"/>
        </w:rPr>
        <w:t>、</w:t>
      </w:r>
      <w:r w:rsidR="0064121A" w:rsidRPr="0064121A">
        <w:rPr>
          <w:rFonts w:ascii="仿宋_GB2312" w:eastAsia="仿宋_GB2312" w:hint="eastAsia"/>
          <w:sz w:val="32"/>
          <w:szCs w:val="32"/>
        </w:rPr>
        <w:t>公务员医疗补助缴费（事业退休）</w:t>
      </w:r>
      <w:r w:rsidR="0064121A">
        <w:rPr>
          <w:rFonts w:ascii="仿宋_GB2312" w:eastAsia="仿宋_GB2312" w:hint="eastAsia"/>
          <w:sz w:val="32"/>
          <w:szCs w:val="32"/>
        </w:rPr>
        <w:t>、</w:t>
      </w:r>
      <w:r w:rsidR="0064121A" w:rsidRPr="0064121A">
        <w:rPr>
          <w:rFonts w:ascii="仿宋_GB2312" w:eastAsia="仿宋_GB2312" w:hint="eastAsia"/>
          <w:sz w:val="32"/>
          <w:szCs w:val="32"/>
        </w:rPr>
        <w:t>公用经费-离退休人员（事业）</w:t>
      </w:r>
      <w:r w:rsidR="0064121A">
        <w:rPr>
          <w:rFonts w:ascii="仿宋_GB2312" w:eastAsia="仿宋_GB2312" w:hint="eastAsia"/>
          <w:sz w:val="32"/>
          <w:szCs w:val="32"/>
        </w:rPr>
        <w:t>、</w:t>
      </w:r>
      <w:r w:rsidR="0064121A" w:rsidRPr="0064121A">
        <w:rPr>
          <w:rFonts w:ascii="仿宋_GB2312" w:eastAsia="仿宋_GB2312" w:hint="eastAsia"/>
          <w:sz w:val="32"/>
          <w:szCs w:val="32"/>
        </w:rPr>
        <w:t>死亡抚恤金及丧葬费</w:t>
      </w:r>
      <w:r w:rsidR="0064121A">
        <w:rPr>
          <w:rFonts w:ascii="仿宋_GB2312" w:eastAsia="仿宋_GB2312" w:hint="eastAsia"/>
          <w:sz w:val="32"/>
          <w:szCs w:val="32"/>
        </w:rPr>
        <w:t>、</w:t>
      </w:r>
      <w:r w:rsidR="0064121A" w:rsidRPr="0064121A">
        <w:rPr>
          <w:rFonts w:ascii="仿宋_GB2312" w:eastAsia="仿宋_GB2312" w:hint="eastAsia"/>
          <w:sz w:val="32"/>
          <w:szCs w:val="32"/>
        </w:rPr>
        <w:t>公用经费-事业单位</w:t>
      </w:r>
      <w:r w:rsidR="0064121A">
        <w:rPr>
          <w:rFonts w:ascii="仿宋_GB2312" w:eastAsia="仿宋_GB2312" w:hint="eastAsia"/>
          <w:sz w:val="32"/>
          <w:szCs w:val="32"/>
        </w:rPr>
        <w:t>、</w:t>
      </w:r>
      <w:r w:rsidR="0064121A" w:rsidRPr="0064121A">
        <w:rPr>
          <w:rFonts w:ascii="仿宋_GB2312" w:eastAsia="仿宋_GB2312" w:hint="eastAsia"/>
          <w:sz w:val="32"/>
          <w:szCs w:val="32"/>
        </w:rPr>
        <w:t>退休人员个人医疗账户补充（事业）</w:t>
      </w:r>
      <w:r w:rsidR="0064121A">
        <w:rPr>
          <w:rFonts w:ascii="仿宋_GB2312" w:eastAsia="仿宋_GB2312" w:hint="eastAsia"/>
          <w:sz w:val="32"/>
          <w:szCs w:val="32"/>
        </w:rPr>
        <w:t>、</w:t>
      </w:r>
      <w:r w:rsidR="0064121A" w:rsidRPr="0064121A">
        <w:rPr>
          <w:rFonts w:ascii="仿宋_GB2312" w:eastAsia="仿宋_GB2312" w:hint="eastAsia"/>
          <w:sz w:val="32"/>
          <w:szCs w:val="32"/>
        </w:rPr>
        <w:t>2023年1月预发目标绩效奖</w:t>
      </w:r>
      <w:r w:rsidR="0064121A">
        <w:rPr>
          <w:rFonts w:ascii="仿宋_GB2312" w:eastAsia="仿宋_GB2312" w:hint="eastAsia"/>
          <w:sz w:val="32"/>
          <w:szCs w:val="32"/>
        </w:rPr>
        <w:t>、</w:t>
      </w:r>
      <w:r w:rsidR="0064121A" w:rsidRPr="0064121A">
        <w:rPr>
          <w:rFonts w:ascii="仿宋_GB2312" w:eastAsia="仿宋_GB2312" w:hint="eastAsia"/>
          <w:sz w:val="32"/>
          <w:szCs w:val="32"/>
        </w:rPr>
        <w:t>2023年9月发放2022年目标</w:t>
      </w:r>
      <w:proofErr w:type="gramStart"/>
      <w:r w:rsidR="0064121A" w:rsidRPr="0064121A">
        <w:rPr>
          <w:rFonts w:ascii="仿宋_GB2312" w:eastAsia="仿宋_GB2312" w:hint="eastAsia"/>
          <w:sz w:val="32"/>
          <w:szCs w:val="32"/>
        </w:rPr>
        <w:t>绩效奖</w:t>
      </w:r>
      <w:proofErr w:type="gramEnd"/>
      <w:r>
        <w:rPr>
          <w:rFonts w:ascii="仿宋_GB2312" w:eastAsia="仿宋_GB2312" w:hint="eastAsia"/>
          <w:sz w:val="32"/>
          <w:szCs w:val="32"/>
        </w:rPr>
        <w:t>等</w:t>
      </w:r>
      <w:r w:rsidR="0064121A">
        <w:rPr>
          <w:rFonts w:ascii="仿宋_GB2312" w:eastAsia="仿宋_GB2312" w:hint="eastAsia"/>
          <w:sz w:val="32"/>
          <w:szCs w:val="32"/>
        </w:rPr>
        <w:t>9</w:t>
      </w:r>
      <w:r>
        <w:rPr>
          <w:rFonts w:ascii="仿宋_GB2312" w:eastAsia="仿宋_GB2312" w:hint="eastAsia"/>
          <w:sz w:val="32"/>
          <w:szCs w:val="32"/>
        </w:rPr>
        <w:t>个项目开展了预算事前绩效评估，对</w:t>
      </w:r>
      <w:r w:rsidR="0064121A">
        <w:rPr>
          <w:rFonts w:ascii="仿宋_GB2312" w:eastAsia="仿宋_GB2312" w:hint="eastAsia"/>
          <w:sz w:val="32"/>
          <w:szCs w:val="32"/>
        </w:rPr>
        <w:t>9</w:t>
      </w:r>
      <w:r>
        <w:rPr>
          <w:rFonts w:ascii="仿宋_GB2312" w:eastAsia="仿宋_GB2312" w:hint="eastAsia"/>
          <w:sz w:val="32"/>
          <w:szCs w:val="32"/>
        </w:rPr>
        <w:t>个项目编制了绩效目标，预算执行过程中，选取</w:t>
      </w:r>
      <w:r w:rsidR="0064121A">
        <w:rPr>
          <w:rFonts w:ascii="仿宋_GB2312" w:eastAsia="仿宋_GB2312" w:hint="eastAsia"/>
          <w:sz w:val="32"/>
          <w:szCs w:val="32"/>
        </w:rPr>
        <w:t>9</w:t>
      </w:r>
      <w:r>
        <w:rPr>
          <w:rFonts w:ascii="仿宋_GB2312" w:eastAsia="仿宋_GB2312" w:hint="eastAsia"/>
          <w:sz w:val="32"/>
          <w:szCs w:val="32"/>
        </w:rPr>
        <w:t>个项目开展绩效监控，组织对</w:t>
      </w:r>
      <w:r w:rsidR="0064121A">
        <w:rPr>
          <w:rFonts w:ascii="仿宋_GB2312" w:eastAsia="仿宋_GB2312" w:hint="eastAsia"/>
          <w:sz w:val="32"/>
          <w:szCs w:val="32"/>
        </w:rPr>
        <w:t>9</w:t>
      </w:r>
      <w:r>
        <w:rPr>
          <w:rFonts w:ascii="仿宋_GB2312" w:eastAsia="仿宋_GB2312" w:hint="eastAsia"/>
          <w:sz w:val="32"/>
          <w:szCs w:val="32"/>
        </w:rPr>
        <w:t>个项目开展绩效自评，绩效自评表详见第四部分附件。</w:t>
      </w:r>
    </w:p>
    <w:p w:rsidR="0071021A" w:rsidRDefault="0046049C">
      <w:pPr>
        <w:spacing w:line="600" w:lineRule="exact"/>
        <w:ind w:firstLineChars="200" w:firstLine="640"/>
        <w:rPr>
          <w:rFonts w:ascii="仿宋_GB2312" w:eastAsia="仿宋_GB2312"/>
          <w:sz w:val="32"/>
          <w:szCs w:val="32"/>
        </w:rPr>
      </w:pPr>
      <w:r>
        <w:rPr>
          <w:rFonts w:ascii="仿宋_GB2312" w:eastAsia="仿宋_GB2312" w:hint="eastAsia"/>
          <w:sz w:val="32"/>
          <w:szCs w:val="32"/>
        </w:rPr>
        <w:br w:type="page"/>
      </w:r>
    </w:p>
    <w:p w:rsidR="0071021A" w:rsidRDefault="0046049C">
      <w:pPr>
        <w:numPr>
          <w:ilvl w:val="0"/>
          <w:numId w:val="4"/>
        </w:numPr>
        <w:spacing w:line="600" w:lineRule="exact"/>
        <w:ind w:firstLineChars="150" w:firstLine="660"/>
        <w:jc w:val="center"/>
        <w:outlineLvl w:val="0"/>
        <w:rPr>
          <w:rStyle w:val="1Char"/>
          <w:rFonts w:ascii="黑体" w:eastAsia="黑体" w:hAnsi="黑体"/>
          <w:b w:val="0"/>
        </w:rPr>
      </w:pPr>
      <w:bookmarkStart w:id="50" w:name="_Toc15377225"/>
      <w:bookmarkStart w:id="51" w:name="_Toc15396613"/>
      <w:r>
        <w:rPr>
          <w:rFonts w:ascii="黑体" w:eastAsia="黑体" w:hAnsi="黑体" w:hint="eastAsia"/>
          <w:sz w:val="44"/>
          <w:szCs w:val="44"/>
        </w:rPr>
        <w:t>名</w:t>
      </w:r>
      <w:r>
        <w:rPr>
          <w:rStyle w:val="1Char"/>
          <w:rFonts w:ascii="黑体" w:eastAsia="黑体" w:hAnsi="黑体" w:hint="eastAsia"/>
          <w:b w:val="0"/>
        </w:rPr>
        <w:t>词解释</w:t>
      </w:r>
      <w:bookmarkEnd w:id="50"/>
      <w:bookmarkEnd w:id="51"/>
    </w:p>
    <w:p w:rsidR="0071021A" w:rsidRDefault="0071021A">
      <w:pPr>
        <w:spacing w:line="600" w:lineRule="exact"/>
        <w:jc w:val="left"/>
        <w:rPr>
          <w:rFonts w:ascii="宋体"/>
          <w:b/>
          <w:sz w:val="44"/>
          <w:szCs w:val="44"/>
        </w:rPr>
      </w:pPr>
    </w:p>
    <w:p w:rsidR="0071021A" w:rsidRDefault="0046049C">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1.</w:t>
      </w:r>
      <w:r>
        <w:rPr>
          <w:rFonts w:ascii="仿宋_GB2312" w:eastAsia="仿宋_GB2312" w:hint="eastAsia"/>
          <w:color w:val="auto"/>
          <w:sz w:val="32"/>
          <w:szCs w:val="32"/>
        </w:rPr>
        <w:t>财政拨款收入：指单位从同级财政部门取得的财政预算资金。</w:t>
      </w:r>
    </w:p>
    <w:p w:rsidR="0071021A" w:rsidRDefault="0046049C">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2.</w:t>
      </w:r>
      <w:r w:rsidR="00DB0B3F">
        <w:rPr>
          <w:rFonts w:ascii="仿宋_GB2312" w:eastAsia="仿宋_GB2312" w:hint="eastAsia"/>
          <w:color w:val="auto"/>
          <w:sz w:val="32"/>
          <w:szCs w:val="32"/>
        </w:rPr>
        <w:t>事业收入：指事业单位开展专业业务活动及辅助活动取得的收入</w:t>
      </w:r>
      <w:r>
        <w:rPr>
          <w:rFonts w:ascii="仿宋_GB2312" w:eastAsia="仿宋_GB2312" w:hint="eastAsia"/>
          <w:color w:val="auto"/>
          <w:sz w:val="32"/>
          <w:szCs w:val="32"/>
        </w:rPr>
        <w:t>。</w:t>
      </w:r>
    </w:p>
    <w:p w:rsidR="0071021A" w:rsidRDefault="0046049C">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3.</w:t>
      </w:r>
      <w:r>
        <w:rPr>
          <w:rFonts w:ascii="仿宋_GB2312" w:eastAsia="仿宋_GB2312" w:hint="eastAsia"/>
          <w:color w:val="auto"/>
          <w:sz w:val="32"/>
          <w:szCs w:val="32"/>
        </w:rPr>
        <w:t>经营收入：指事业单位在专业业务活动及其辅助活动之外开展非独立核算经营活动取得的收入。</w:t>
      </w:r>
    </w:p>
    <w:p w:rsidR="0071021A" w:rsidRDefault="0046049C">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4.</w:t>
      </w:r>
      <w:r>
        <w:rPr>
          <w:rFonts w:ascii="仿宋_GB2312" w:eastAsia="仿宋_GB2312" w:hint="eastAsia"/>
          <w:color w:val="auto"/>
          <w:sz w:val="32"/>
          <w:szCs w:val="32"/>
        </w:rPr>
        <w:t>其他收入：指单位取得的除上述收入以外的各项收入。</w:t>
      </w:r>
    </w:p>
    <w:p w:rsidR="0071021A" w:rsidRDefault="0046049C">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5.</w:t>
      </w:r>
      <w:r>
        <w:rPr>
          <w:rFonts w:ascii="仿宋_GB2312" w:eastAsia="仿宋_GB2312" w:hAnsi="华文中宋" w:hint="eastAsia"/>
          <w:sz w:val="32"/>
          <w:szCs w:val="32"/>
        </w:rPr>
        <w:t>使用非财政拨款结余（含专用结余）</w:t>
      </w:r>
      <w:r>
        <w:rPr>
          <w:rFonts w:ascii="仿宋_GB2312" w:eastAsia="仿宋_GB2312" w:hint="eastAsia"/>
          <w:color w:val="auto"/>
          <w:sz w:val="32"/>
          <w:szCs w:val="32"/>
        </w:rPr>
        <w:t>：指事业单位使用以前年度积累的非财政拨款结余弥补当年收支差额的金额。</w:t>
      </w:r>
    </w:p>
    <w:p w:rsidR="0071021A" w:rsidRDefault="0046049C">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6.</w:t>
      </w:r>
      <w:r>
        <w:rPr>
          <w:rFonts w:ascii="仿宋_GB2312" w:eastAsia="仿宋_GB2312" w:hint="eastAsia"/>
          <w:color w:val="auto"/>
          <w:sz w:val="32"/>
          <w:szCs w:val="32"/>
        </w:rPr>
        <w:t>年初结转和结余：指以前年度尚未完成、结转到本年按有关规定继续使用的资金。</w:t>
      </w:r>
    </w:p>
    <w:p w:rsidR="0071021A" w:rsidRDefault="0046049C">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7.</w:t>
      </w:r>
      <w:r>
        <w:rPr>
          <w:rFonts w:ascii="仿宋_GB2312" w:eastAsia="仿宋_GB2312" w:hint="eastAsia"/>
          <w:color w:val="auto"/>
          <w:sz w:val="32"/>
          <w:szCs w:val="32"/>
        </w:rPr>
        <w:t>结余分配：指事业单位按照会计制度规定缴纳的所得税、提取的专用结余以及转入非财政拨款结余的金额等。</w:t>
      </w:r>
    </w:p>
    <w:p w:rsidR="0071021A" w:rsidRDefault="0046049C">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8</w:t>
      </w:r>
      <w:r>
        <w:rPr>
          <w:rFonts w:ascii="仿宋_GB2312" w:eastAsia="仿宋_GB2312" w:hint="eastAsia"/>
          <w:color w:val="auto"/>
          <w:sz w:val="32"/>
          <w:szCs w:val="32"/>
        </w:rPr>
        <w:t>.年末结转和结余：指单位按有关规定结转到下年或以后年度继续使用的资金。</w:t>
      </w:r>
    </w:p>
    <w:p w:rsidR="00081B0F" w:rsidRPr="00081B0F" w:rsidRDefault="00081B0F" w:rsidP="00081B0F">
      <w:pPr>
        <w:pStyle w:val="Default"/>
        <w:spacing w:line="560" w:lineRule="exact"/>
        <w:ind w:firstLineChars="200" w:firstLine="640"/>
        <w:rPr>
          <w:rFonts w:ascii="仿宋_GB2312" w:eastAsia="仿宋_GB2312"/>
          <w:color w:val="auto"/>
          <w:sz w:val="32"/>
          <w:szCs w:val="32"/>
        </w:rPr>
      </w:pPr>
      <w:r w:rsidRPr="00081B0F">
        <w:rPr>
          <w:rFonts w:ascii="仿宋_GB2312" w:eastAsia="仿宋_GB2312"/>
          <w:sz w:val="32"/>
          <w:szCs w:val="32"/>
        </w:rPr>
        <w:t>9.</w:t>
      </w:r>
      <w:r w:rsidRPr="00081B0F">
        <w:rPr>
          <w:rFonts w:ascii="仿宋_GB2312" w:eastAsia="仿宋_GB2312" w:hint="eastAsia"/>
          <w:sz w:val="32"/>
          <w:szCs w:val="32"/>
        </w:rPr>
        <w:t xml:space="preserve"> 社会保障和就业支出（类）行政事业单位养老支出（款）事业单</w:t>
      </w:r>
      <w:r w:rsidRPr="00081B0F">
        <w:rPr>
          <w:rFonts w:ascii="仿宋_GB2312" w:eastAsia="仿宋_GB2312" w:hint="eastAsia"/>
          <w:color w:val="auto"/>
          <w:sz w:val="32"/>
          <w:szCs w:val="32"/>
        </w:rPr>
        <w:t>位离退休（项）</w:t>
      </w:r>
      <w:r w:rsidRPr="00081B0F">
        <w:rPr>
          <w:rFonts w:ascii="仿宋_GB2312" w:eastAsia="仿宋_GB2312"/>
          <w:color w:val="auto"/>
          <w:sz w:val="32"/>
          <w:szCs w:val="32"/>
        </w:rPr>
        <w:t>:</w:t>
      </w:r>
      <w:r w:rsidRPr="00081B0F">
        <w:rPr>
          <w:rFonts w:ascii="仿宋_GB2312" w:eastAsia="仿宋_GB2312" w:hint="eastAsia"/>
          <w:color w:val="auto"/>
          <w:sz w:val="32"/>
          <w:szCs w:val="32"/>
        </w:rPr>
        <w:t xml:space="preserve"> 指事业单位开支的离退休经费。</w:t>
      </w:r>
    </w:p>
    <w:p w:rsidR="00081B0F" w:rsidRPr="00081B0F" w:rsidRDefault="00081B0F" w:rsidP="00081B0F">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10</w:t>
      </w:r>
      <w:r w:rsidRPr="00081B0F">
        <w:rPr>
          <w:rFonts w:ascii="仿宋_GB2312" w:eastAsia="仿宋_GB2312"/>
          <w:color w:val="auto"/>
          <w:sz w:val="32"/>
          <w:szCs w:val="32"/>
        </w:rPr>
        <w:t>.</w:t>
      </w:r>
      <w:r w:rsidRPr="00081B0F">
        <w:rPr>
          <w:rFonts w:ascii="仿宋_GB2312" w:eastAsia="仿宋_GB2312" w:hint="eastAsia"/>
          <w:color w:val="auto"/>
          <w:sz w:val="32"/>
          <w:szCs w:val="32"/>
        </w:rPr>
        <w:t xml:space="preserve"> 社会保障和就业支出（类）行政事业单位养老支出（款）机关事业单位基本养老保险缴费支出（项）</w:t>
      </w:r>
      <w:r w:rsidRPr="00081B0F">
        <w:rPr>
          <w:rFonts w:ascii="仿宋_GB2312" w:eastAsia="仿宋_GB2312"/>
          <w:color w:val="auto"/>
          <w:sz w:val="32"/>
          <w:szCs w:val="32"/>
        </w:rPr>
        <w:t>:</w:t>
      </w:r>
      <w:r w:rsidRPr="00081B0F">
        <w:rPr>
          <w:rFonts w:ascii="仿宋_GB2312" w:eastAsia="仿宋_GB2312" w:hint="eastAsia"/>
          <w:color w:val="auto"/>
          <w:sz w:val="32"/>
          <w:szCs w:val="32"/>
        </w:rPr>
        <w:t xml:space="preserve"> 指机关事业单位实施养老保险制度由单位缴纳的基本养老保险费支出。</w:t>
      </w:r>
    </w:p>
    <w:p w:rsidR="00081B0F" w:rsidRPr="00081B0F" w:rsidRDefault="00081B0F" w:rsidP="00081B0F">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11</w:t>
      </w:r>
      <w:r w:rsidRPr="00081B0F">
        <w:rPr>
          <w:rFonts w:ascii="仿宋_GB2312" w:eastAsia="仿宋_GB2312"/>
          <w:color w:val="auto"/>
          <w:sz w:val="32"/>
          <w:szCs w:val="32"/>
        </w:rPr>
        <w:t>.</w:t>
      </w:r>
      <w:r w:rsidRPr="00081B0F">
        <w:rPr>
          <w:rFonts w:ascii="仿宋_GB2312" w:eastAsia="仿宋_GB2312" w:hint="eastAsia"/>
          <w:color w:val="auto"/>
          <w:sz w:val="32"/>
          <w:szCs w:val="32"/>
        </w:rPr>
        <w:t xml:space="preserve"> 社会保障和就业支出（类）抚恤（款）死亡抚恤（项）</w:t>
      </w:r>
      <w:r w:rsidRPr="00081B0F">
        <w:rPr>
          <w:rFonts w:ascii="仿宋_GB2312" w:eastAsia="仿宋_GB2312"/>
          <w:color w:val="auto"/>
          <w:sz w:val="32"/>
          <w:szCs w:val="32"/>
        </w:rPr>
        <w:t xml:space="preserve">: </w:t>
      </w:r>
      <w:r w:rsidRPr="00081B0F">
        <w:rPr>
          <w:rFonts w:ascii="仿宋_GB2312" w:eastAsia="仿宋_GB2312" w:hint="eastAsia"/>
          <w:color w:val="auto"/>
          <w:sz w:val="32"/>
          <w:szCs w:val="32"/>
        </w:rPr>
        <w:t>指按规定用于烈士和牺牲、病故人员家属的一次性和定期抚恤金、丧葬补助费以及烈士扬金。</w:t>
      </w:r>
    </w:p>
    <w:p w:rsidR="00081B0F" w:rsidRPr="00081B0F" w:rsidRDefault="00081B0F" w:rsidP="00081B0F">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12</w:t>
      </w:r>
      <w:r w:rsidRPr="00081B0F">
        <w:rPr>
          <w:rFonts w:ascii="仿宋_GB2312" w:eastAsia="仿宋_GB2312"/>
          <w:color w:val="auto"/>
          <w:sz w:val="32"/>
          <w:szCs w:val="32"/>
        </w:rPr>
        <w:t>.</w:t>
      </w:r>
      <w:r w:rsidRPr="00081B0F">
        <w:rPr>
          <w:rFonts w:ascii="仿宋_GB2312" w:eastAsia="仿宋_GB2312" w:hint="eastAsia"/>
          <w:color w:val="auto"/>
          <w:sz w:val="32"/>
          <w:szCs w:val="32"/>
        </w:rPr>
        <w:t xml:space="preserve"> 卫生健康支出（类）行政事业单位医疗（款）事业单位医疗（项）</w:t>
      </w:r>
      <w:r w:rsidRPr="00081B0F">
        <w:rPr>
          <w:rFonts w:ascii="仿宋_GB2312" w:eastAsia="仿宋_GB2312"/>
          <w:color w:val="auto"/>
          <w:sz w:val="32"/>
          <w:szCs w:val="32"/>
        </w:rPr>
        <w:t xml:space="preserve">: </w:t>
      </w:r>
      <w:r w:rsidRPr="00081B0F">
        <w:rPr>
          <w:rFonts w:ascii="仿宋_GB2312" w:eastAsia="仿宋_GB2312" w:hint="eastAsia"/>
          <w:color w:val="auto"/>
          <w:sz w:val="32"/>
          <w:szCs w:val="32"/>
        </w:rPr>
        <w:t>财政部门安排的事业单位基本医疗保险缴费经费，未参加医疗保险的事业单位的公费医疗经费，按国家规定享受离休人员待遇的医疗经费。</w:t>
      </w:r>
    </w:p>
    <w:p w:rsidR="00081B0F" w:rsidRPr="00081B0F" w:rsidRDefault="00081B0F" w:rsidP="00081B0F">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13</w:t>
      </w:r>
      <w:r w:rsidRPr="00081B0F">
        <w:rPr>
          <w:rFonts w:ascii="仿宋_GB2312" w:eastAsia="仿宋_GB2312"/>
          <w:color w:val="auto"/>
          <w:sz w:val="32"/>
          <w:szCs w:val="32"/>
        </w:rPr>
        <w:t>.</w:t>
      </w:r>
      <w:r w:rsidRPr="00081B0F">
        <w:rPr>
          <w:rFonts w:ascii="仿宋_GB2312" w:eastAsia="仿宋_GB2312" w:hint="eastAsia"/>
          <w:color w:val="auto"/>
          <w:sz w:val="32"/>
          <w:szCs w:val="32"/>
        </w:rPr>
        <w:t xml:space="preserve"> 卫生健康支出（类）行政事业单位医疗（款）其他行政事业单位医疗支出（项）</w:t>
      </w:r>
      <w:r w:rsidRPr="00081B0F">
        <w:rPr>
          <w:rFonts w:ascii="仿宋_GB2312" w:eastAsia="仿宋_GB2312"/>
          <w:color w:val="auto"/>
          <w:sz w:val="32"/>
          <w:szCs w:val="32"/>
        </w:rPr>
        <w:t>:</w:t>
      </w:r>
      <w:r w:rsidRPr="00081B0F">
        <w:rPr>
          <w:rFonts w:ascii="仿宋_GB2312" w:eastAsia="仿宋_GB2312" w:hint="eastAsia"/>
          <w:color w:val="auto"/>
          <w:sz w:val="32"/>
          <w:szCs w:val="32"/>
        </w:rPr>
        <w:t xml:space="preserve"> 反映除上述项目以外其他不能划分到具体功能科目中的支出项目。</w:t>
      </w:r>
    </w:p>
    <w:p w:rsidR="00081B0F" w:rsidRPr="00081B0F" w:rsidRDefault="00081B0F" w:rsidP="00081B0F">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14</w:t>
      </w:r>
      <w:r w:rsidRPr="00081B0F">
        <w:rPr>
          <w:rFonts w:ascii="仿宋_GB2312" w:eastAsia="仿宋_GB2312"/>
          <w:color w:val="auto"/>
          <w:sz w:val="32"/>
          <w:szCs w:val="32"/>
        </w:rPr>
        <w:t>.</w:t>
      </w:r>
      <w:r w:rsidRPr="00081B0F">
        <w:rPr>
          <w:rFonts w:ascii="仿宋_GB2312" w:eastAsia="仿宋_GB2312" w:hint="eastAsia"/>
          <w:color w:val="auto"/>
          <w:sz w:val="32"/>
          <w:szCs w:val="32"/>
        </w:rPr>
        <w:t xml:space="preserve"> 农林水支出（类）农业农村（款）事业运行（项）</w:t>
      </w:r>
      <w:r w:rsidRPr="00081B0F">
        <w:rPr>
          <w:rFonts w:ascii="仿宋_GB2312" w:eastAsia="仿宋_GB2312"/>
          <w:color w:val="auto"/>
          <w:sz w:val="32"/>
          <w:szCs w:val="32"/>
        </w:rPr>
        <w:t>:</w:t>
      </w:r>
      <w:r w:rsidR="00A375D3" w:rsidRPr="00A375D3">
        <w:rPr>
          <w:rFonts w:ascii="仿宋_GB2312" w:eastAsia="仿宋_GB2312" w:hint="eastAsia"/>
          <w:color w:val="auto"/>
          <w:sz w:val="32"/>
          <w:szCs w:val="32"/>
        </w:rPr>
        <w:t>反映用于农业事业单位基本支出，事业单位设施、系统运行与资产维护等方面的支出</w:t>
      </w:r>
      <w:r w:rsidRPr="00081B0F">
        <w:rPr>
          <w:rFonts w:ascii="仿宋_GB2312" w:eastAsia="仿宋_GB2312" w:hint="eastAsia"/>
          <w:color w:val="auto"/>
          <w:sz w:val="32"/>
          <w:szCs w:val="32"/>
        </w:rPr>
        <w:t>。</w:t>
      </w:r>
    </w:p>
    <w:p w:rsidR="0071021A" w:rsidRPr="00081B0F" w:rsidRDefault="00081B0F" w:rsidP="00081B0F">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15</w:t>
      </w:r>
      <w:r w:rsidRPr="00081B0F">
        <w:rPr>
          <w:rFonts w:ascii="仿宋_GB2312" w:eastAsia="仿宋_GB2312"/>
          <w:color w:val="auto"/>
          <w:sz w:val="32"/>
          <w:szCs w:val="32"/>
        </w:rPr>
        <w:t>.</w:t>
      </w:r>
      <w:r w:rsidRPr="00081B0F">
        <w:rPr>
          <w:rFonts w:ascii="仿宋_GB2312" w:eastAsia="仿宋_GB2312" w:hint="eastAsia"/>
          <w:color w:val="auto"/>
          <w:sz w:val="32"/>
          <w:szCs w:val="32"/>
        </w:rPr>
        <w:t xml:space="preserve"> 住房保障支出（类）住房改革支出（款）住房公积金（项）</w:t>
      </w:r>
      <w:r w:rsidRPr="00081B0F">
        <w:rPr>
          <w:rFonts w:ascii="仿宋_GB2312" w:eastAsia="仿宋_GB2312"/>
          <w:color w:val="auto"/>
          <w:sz w:val="32"/>
          <w:szCs w:val="32"/>
        </w:rPr>
        <w:t>:</w:t>
      </w:r>
      <w:r w:rsidRPr="00081B0F">
        <w:rPr>
          <w:rFonts w:ascii="仿宋_GB2312" w:eastAsia="仿宋_GB2312" w:hint="eastAsia"/>
          <w:color w:val="auto"/>
          <w:sz w:val="32"/>
          <w:szCs w:val="32"/>
        </w:rPr>
        <w:t xml:space="preserve"> 指行政事业单位按人力资源和社会保障部、财政部规定的基本工资和津贴补贴以及规定比例为职工缴纳的住房公积金。</w:t>
      </w:r>
    </w:p>
    <w:p w:rsidR="0071021A" w:rsidRPr="00081B0F" w:rsidRDefault="00081B0F" w:rsidP="00081B0F">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16</w:t>
      </w:r>
      <w:r w:rsidR="0046049C" w:rsidRPr="00081B0F">
        <w:rPr>
          <w:rFonts w:ascii="仿宋_GB2312" w:eastAsia="仿宋_GB2312"/>
          <w:color w:val="auto"/>
          <w:sz w:val="32"/>
          <w:szCs w:val="32"/>
        </w:rPr>
        <w:t>.</w:t>
      </w:r>
      <w:r w:rsidR="0046049C" w:rsidRPr="00081B0F">
        <w:rPr>
          <w:rFonts w:ascii="仿宋_GB2312" w:eastAsia="仿宋_GB2312" w:hint="eastAsia"/>
          <w:color w:val="auto"/>
          <w:sz w:val="32"/>
          <w:szCs w:val="32"/>
        </w:rPr>
        <w:t>基本支出：指为保障机构正常运转、完成日常工作任务而发生的人员支出和公用支出。</w:t>
      </w:r>
    </w:p>
    <w:p w:rsidR="0071021A" w:rsidRPr="00081B0F" w:rsidRDefault="00081B0F" w:rsidP="00081B0F">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17</w:t>
      </w:r>
      <w:r w:rsidR="0046049C" w:rsidRPr="00081B0F">
        <w:rPr>
          <w:rFonts w:ascii="仿宋_GB2312" w:eastAsia="仿宋_GB2312"/>
          <w:color w:val="auto"/>
          <w:sz w:val="32"/>
          <w:szCs w:val="32"/>
        </w:rPr>
        <w:t>.</w:t>
      </w:r>
      <w:r w:rsidR="0046049C" w:rsidRPr="00081B0F">
        <w:rPr>
          <w:rFonts w:ascii="仿宋_GB2312" w:eastAsia="仿宋_GB2312" w:hint="eastAsia"/>
          <w:color w:val="auto"/>
          <w:sz w:val="32"/>
          <w:szCs w:val="32"/>
        </w:rPr>
        <w:t>项目支出：指在基本支出之外为完成特定行政任务和事业发展目标所发生的支出。</w:t>
      </w:r>
    </w:p>
    <w:p w:rsidR="0071021A" w:rsidRPr="00081B0F" w:rsidRDefault="00081B0F" w:rsidP="00081B0F">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18</w:t>
      </w:r>
      <w:r w:rsidR="0046049C" w:rsidRPr="00081B0F">
        <w:rPr>
          <w:rFonts w:ascii="仿宋_GB2312" w:eastAsia="仿宋_GB2312"/>
          <w:color w:val="auto"/>
          <w:sz w:val="32"/>
          <w:szCs w:val="32"/>
        </w:rPr>
        <w:t>.</w:t>
      </w:r>
      <w:r w:rsidR="0046049C" w:rsidRPr="00081B0F">
        <w:rPr>
          <w:rFonts w:ascii="仿宋_GB2312" w:eastAsia="仿宋_GB2312" w:hint="eastAsia"/>
          <w:color w:val="auto"/>
          <w:sz w:val="32"/>
          <w:szCs w:val="32"/>
        </w:rPr>
        <w:t>经营支出：指事业单位在专业业务活动及其辅助活动之外开展非独立核算经营活动发生的支出。</w:t>
      </w:r>
    </w:p>
    <w:p w:rsidR="0071021A" w:rsidRDefault="00081B0F">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19</w:t>
      </w:r>
      <w:r w:rsidR="0046049C" w:rsidRPr="00081B0F">
        <w:rPr>
          <w:rFonts w:ascii="仿宋_GB2312" w:eastAsia="仿宋_GB2312"/>
          <w:color w:val="auto"/>
          <w:sz w:val="32"/>
          <w:szCs w:val="32"/>
        </w:rPr>
        <w:t>.</w:t>
      </w:r>
      <w:r w:rsidR="0046049C" w:rsidRPr="00081B0F">
        <w:rPr>
          <w:rFonts w:ascii="仿宋_GB2312" w:eastAsia="仿宋_GB2312" w:hint="eastAsia"/>
          <w:color w:val="auto"/>
          <w:sz w:val="32"/>
          <w:szCs w:val="32"/>
        </w:rPr>
        <w:t>“三公”经费：指单位用财政拨款安排的因公出国（境）费、公务用车购置及运行费和公务接待</w:t>
      </w:r>
      <w:r w:rsidR="0046049C">
        <w:rPr>
          <w:rFonts w:ascii="仿宋_GB2312" w:eastAsia="仿宋_GB2312" w:hint="eastAsia"/>
          <w:color w:val="auto"/>
          <w:sz w:val="32"/>
          <w:szCs w:val="32"/>
        </w:rPr>
        <w:t>费。其中，因公出国（境）</w:t>
      </w:r>
      <w:proofErr w:type="gramStart"/>
      <w:r w:rsidR="0046049C">
        <w:rPr>
          <w:rFonts w:ascii="仿宋_GB2312" w:eastAsia="仿宋_GB2312" w:hint="eastAsia"/>
          <w:color w:val="auto"/>
          <w:sz w:val="32"/>
          <w:szCs w:val="32"/>
        </w:rPr>
        <w:t>费反映</w:t>
      </w:r>
      <w:proofErr w:type="gramEnd"/>
      <w:r w:rsidR="0046049C">
        <w:rPr>
          <w:rFonts w:ascii="仿宋_GB2312" w:eastAsia="仿宋_GB2312" w:hint="eastAsia"/>
          <w:color w:val="auto"/>
          <w:sz w:val="32"/>
          <w:szCs w:val="32"/>
        </w:rPr>
        <w:t>单位公务出国（境）的国际旅费、国外城市间交通费、住宿费、伙食费、培训费、公杂费等支出；公务用车购置及运行</w:t>
      </w:r>
      <w:proofErr w:type="gramStart"/>
      <w:r w:rsidR="0046049C">
        <w:rPr>
          <w:rFonts w:ascii="仿宋_GB2312" w:eastAsia="仿宋_GB2312" w:hint="eastAsia"/>
          <w:color w:val="auto"/>
          <w:sz w:val="32"/>
          <w:szCs w:val="32"/>
        </w:rPr>
        <w:t>费反映</w:t>
      </w:r>
      <w:proofErr w:type="gramEnd"/>
      <w:r w:rsidR="0046049C">
        <w:rPr>
          <w:rFonts w:ascii="仿宋_GB2312" w:eastAsia="仿宋_GB2312" w:hint="eastAsia"/>
          <w:color w:val="auto"/>
          <w:sz w:val="32"/>
          <w:szCs w:val="32"/>
        </w:rPr>
        <w:t>单位公务用车车辆购置支出（</w:t>
      </w:r>
      <w:proofErr w:type="gramStart"/>
      <w:r w:rsidR="0046049C">
        <w:rPr>
          <w:rFonts w:ascii="仿宋_GB2312" w:eastAsia="仿宋_GB2312" w:hint="eastAsia"/>
          <w:color w:val="auto"/>
          <w:sz w:val="32"/>
          <w:szCs w:val="32"/>
        </w:rPr>
        <w:t>含车辆</w:t>
      </w:r>
      <w:proofErr w:type="gramEnd"/>
      <w:r w:rsidR="0046049C">
        <w:rPr>
          <w:rFonts w:ascii="仿宋_GB2312" w:eastAsia="仿宋_GB2312" w:hint="eastAsia"/>
          <w:color w:val="auto"/>
          <w:sz w:val="32"/>
          <w:szCs w:val="32"/>
        </w:rPr>
        <w:t>购置税）及租用费、燃料费、维修费、过路过桥费、保险费等支出；公务接待</w:t>
      </w:r>
      <w:proofErr w:type="gramStart"/>
      <w:r w:rsidR="0046049C">
        <w:rPr>
          <w:rFonts w:ascii="仿宋_GB2312" w:eastAsia="仿宋_GB2312" w:hint="eastAsia"/>
          <w:color w:val="auto"/>
          <w:sz w:val="32"/>
          <w:szCs w:val="32"/>
        </w:rPr>
        <w:t>费反映</w:t>
      </w:r>
      <w:proofErr w:type="gramEnd"/>
      <w:r w:rsidR="0046049C">
        <w:rPr>
          <w:rFonts w:ascii="仿宋_GB2312" w:eastAsia="仿宋_GB2312" w:hint="eastAsia"/>
          <w:color w:val="auto"/>
          <w:sz w:val="32"/>
          <w:szCs w:val="32"/>
        </w:rPr>
        <w:t>单位按规定开支的各类公务接待（含外宾接待）支出。</w:t>
      </w:r>
    </w:p>
    <w:p w:rsidR="0071021A" w:rsidRDefault="00081B0F">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20</w:t>
      </w:r>
      <w:r w:rsidR="0046049C">
        <w:rPr>
          <w:rFonts w:ascii="仿宋_GB2312" w:eastAsia="仿宋_GB2312"/>
          <w:color w:val="auto"/>
          <w:sz w:val="32"/>
          <w:szCs w:val="32"/>
        </w:rPr>
        <w:t>.</w:t>
      </w:r>
      <w:r w:rsidR="0046049C">
        <w:rPr>
          <w:rFonts w:ascii="仿宋_GB2312" w:eastAsia="仿宋_GB2312" w:hint="eastAsia"/>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71021A" w:rsidRDefault="0071021A">
      <w:pPr>
        <w:ind w:firstLineChars="200" w:firstLine="643"/>
        <w:rPr>
          <w:rFonts w:ascii="仿宋" w:eastAsia="仿宋" w:hAnsi="仿宋"/>
          <w:b/>
          <w:sz w:val="32"/>
          <w:szCs w:val="32"/>
        </w:rPr>
      </w:pPr>
    </w:p>
    <w:p w:rsidR="0071021A" w:rsidRDefault="0046049C">
      <w:pPr>
        <w:spacing w:line="600" w:lineRule="exact"/>
        <w:jc w:val="center"/>
        <w:outlineLvl w:val="0"/>
        <w:rPr>
          <w:rStyle w:val="1Char"/>
          <w:rFonts w:ascii="黑体" w:eastAsia="黑体" w:hAnsi="黑体"/>
          <w:b w:val="0"/>
        </w:rPr>
      </w:pPr>
      <w:bookmarkStart w:id="52" w:name="_Toc15377226"/>
      <w:r>
        <w:rPr>
          <w:rFonts w:ascii="宋体"/>
          <w:b/>
          <w:sz w:val="44"/>
          <w:szCs w:val="44"/>
        </w:rPr>
        <w:br w:type="page"/>
      </w:r>
      <w:bookmarkStart w:id="53" w:name="_Toc15396614"/>
      <w:r>
        <w:rPr>
          <w:rFonts w:ascii="黑体" w:eastAsia="黑体" w:hAnsi="黑体" w:hint="eastAsia"/>
          <w:sz w:val="44"/>
          <w:szCs w:val="44"/>
        </w:rPr>
        <w:t>第</w:t>
      </w:r>
      <w:r>
        <w:rPr>
          <w:rStyle w:val="1Char"/>
          <w:rFonts w:ascii="黑体" w:eastAsia="黑体" w:hAnsi="黑体" w:hint="eastAsia"/>
          <w:b w:val="0"/>
        </w:rPr>
        <w:t>四部分 附件</w:t>
      </w:r>
      <w:bookmarkEnd w:id="53"/>
    </w:p>
    <w:tbl>
      <w:tblPr>
        <w:tblW w:w="10020" w:type="dxa"/>
        <w:tblInd w:w="93" w:type="dxa"/>
        <w:tblLook w:val="04A0"/>
      </w:tblPr>
      <w:tblGrid>
        <w:gridCol w:w="576"/>
        <w:gridCol w:w="573"/>
        <w:gridCol w:w="392"/>
        <w:gridCol w:w="754"/>
        <w:gridCol w:w="3519"/>
        <w:gridCol w:w="458"/>
        <w:gridCol w:w="538"/>
        <w:gridCol w:w="477"/>
        <w:gridCol w:w="846"/>
        <w:gridCol w:w="519"/>
        <w:gridCol w:w="486"/>
        <w:gridCol w:w="882"/>
      </w:tblGrid>
      <w:tr w:rsidR="007B6A95" w:rsidRPr="007B6A95" w:rsidTr="007B6A95">
        <w:trPr>
          <w:trHeight w:val="570"/>
        </w:trPr>
        <w:tc>
          <w:tcPr>
            <w:tcW w:w="10020" w:type="dxa"/>
            <w:gridSpan w:val="1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黑体" w:eastAsia="黑体" w:hAnsi="黑体" w:cs="宋体"/>
                <w:b/>
                <w:bCs/>
                <w:color w:val="000000"/>
                <w:kern w:val="0"/>
                <w:sz w:val="30"/>
                <w:szCs w:val="30"/>
              </w:rPr>
            </w:pPr>
            <w:bookmarkStart w:id="54" w:name="_Toc15396618"/>
            <w:r w:rsidRPr="007B6A95">
              <w:rPr>
                <w:rFonts w:ascii="黑体" w:eastAsia="黑体" w:hAnsi="黑体" w:cs="宋体" w:hint="eastAsia"/>
                <w:b/>
                <w:bCs/>
                <w:color w:val="000000"/>
                <w:kern w:val="0"/>
                <w:sz w:val="30"/>
                <w:szCs w:val="30"/>
              </w:rPr>
              <w:t>部门预算项目支出绩效自评表（2023年度）</w:t>
            </w:r>
          </w:p>
        </w:tc>
      </w:tr>
      <w:tr w:rsidR="007B6A95" w:rsidRPr="007B6A95" w:rsidTr="007B6A95">
        <w:trPr>
          <w:trHeight w:val="285"/>
        </w:trPr>
        <w:tc>
          <w:tcPr>
            <w:tcW w:w="1541"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7B6A95" w:rsidRPr="007B6A95" w:rsidRDefault="007B6A95" w:rsidP="007B6A95">
            <w:pPr>
              <w:widowControl/>
              <w:jc w:val="left"/>
              <w:rPr>
                <w:rFonts w:ascii="宋体" w:hAnsi="宋体" w:cs="宋体"/>
                <w:color w:val="000000"/>
                <w:kern w:val="0"/>
                <w:sz w:val="18"/>
                <w:szCs w:val="18"/>
              </w:rPr>
            </w:pPr>
            <w:r w:rsidRPr="007B6A95">
              <w:rPr>
                <w:rFonts w:ascii="宋体" w:hAnsi="宋体" w:cs="宋体" w:hint="eastAsia"/>
                <w:color w:val="000000"/>
                <w:kern w:val="0"/>
                <w:sz w:val="18"/>
                <w:szCs w:val="18"/>
              </w:rPr>
              <w:t>项目名称</w:t>
            </w:r>
          </w:p>
        </w:tc>
        <w:tc>
          <w:tcPr>
            <w:tcW w:w="8479" w:type="dxa"/>
            <w:gridSpan w:val="9"/>
            <w:tcBorders>
              <w:top w:val="single" w:sz="4" w:space="0" w:color="000000"/>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left"/>
              <w:rPr>
                <w:rFonts w:ascii="宋体" w:hAnsi="宋体" w:cs="宋体"/>
                <w:color w:val="000000"/>
                <w:kern w:val="0"/>
                <w:sz w:val="18"/>
                <w:szCs w:val="18"/>
              </w:rPr>
            </w:pPr>
            <w:r w:rsidRPr="007B6A95">
              <w:rPr>
                <w:rFonts w:ascii="宋体" w:hAnsi="宋体" w:cs="宋体" w:hint="eastAsia"/>
                <w:color w:val="000000"/>
                <w:kern w:val="0"/>
                <w:sz w:val="18"/>
                <w:szCs w:val="18"/>
              </w:rPr>
              <w:t>51042222Y000000305879-公用经费-事业单位</w:t>
            </w:r>
          </w:p>
        </w:tc>
      </w:tr>
      <w:tr w:rsidR="007B6A95" w:rsidRPr="007B6A95" w:rsidTr="007B6A95">
        <w:trPr>
          <w:trHeight w:val="514"/>
        </w:trPr>
        <w:tc>
          <w:tcPr>
            <w:tcW w:w="1541"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7B6A95" w:rsidRPr="007B6A95" w:rsidRDefault="007B6A95" w:rsidP="007B6A95">
            <w:pPr>
              <w:widowControl/>
              <w:jc w:val="left"/>
              <w:rPr>
                <w:rFonts w:ascii="宋体" w:hAnsi="宋体" w:cs="宋体"/>
                <w:color w:val="000000"/>
                <w:kern w:val="0"/>
                <w:sz w:val="18"/>
                <w:szCs w:val="18"/>
              </w:rPr>
            </w:pPr>
            <w:r w:rsidRPr="007B6A95">
              <w:rPr>
                <w:rFonts w:ascii="宋体" w:hAnsi="宋体" w:cs="宋体" w:hint="eastAsia"/>
                <w:color w:val="000000"/>
                <w:kern w:val="0"/>
                <w:sz w:val="18"/>
                <w:szCs w:val="18"/>
              </w:rPr>
              <w:t>主管部门</w:t>
            </w:r>
          </w:p>
        </w:tc>
        <w:tc>
          <w:tcPr>
            <w:tcW w:w="5746" w:type="dxa"/>
            <w:gridSpan w:val="5"/>
            <w:tcBorders>
              <w:top w:val="single" w:sz="4" w:space="0" w:color="000000"/>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left"/>
              <w:rPr>
                <w:rFonts w:ascii="宋体" w:hAnsi="宋体" w:cs="宋体"/>
                <w:color w:val="000000"/>
                <w:kern w:val="0"/>
                <w:sz w:val="18"/>
                <w:szCs w:val="18"/>
              </w:rPr>
            </w:pPr>
            <w:r w:rsidRPr="007B6A95">
              <w:rPr>
                <w:rFonts w:ascii="宋体" w:hAnsi="宋体" w:cs="宋体" w:hint="eastAsia"/>
                <w:color w:val="000000"/>
                <w:kern w:val="0"/>
                <w:sz w:val="18"/>
                <w:szCs w:val="18"/>
              </w:rPr>
              <w:t>盐边县亚热带作物示范繁殖场（部门）</w:t>
            </w:r>
          </w:p>
        </w:tc>
        <w:tc>
          <w:tcPr>
            <w:tcW w:w="846" w:type="dxa"/>
            <w:tcBorders>
              <w:top w:val="nil"/>
              <w:left w:val="nil"/>
              <w:bottom w:val="nil"/>
              <w:right w:val="nil"/>
            </w:tcBorders>
            <w:shd w:val="clear" w:color="auto" w:fill="auto"/>
            <w:vAlign w:val="center"/>
            <w:hideMark/>
          </w:tcPr>
          <w:p w:rsidR="007B6A95" w:rsidRPr="007B6A95" w:rsidRDefault="007B6A95" w:rsidP="007B6A95">
            <w:pPr>
              <w:widowControl/>
              <w:jc w:val="left"/>
              <w:rPr>
                <w:rFonts w:ascii="Courier New" w:eastAsia="等线" w:hAnsi="Courier New" w:cs="Courier New"/>
                <w:color w:val="000000"/>
                <w:kern w:val="0"/>
                <w:sz w:val="18"/>
                <w:szCs w:val="18"/>
              </w:rPr>
            </w:pPr>
            <w:r w:rsidRPr="007B6A95">
              <w:rPr>
                <w:rFonts w:ascii="Courier New" w:eastAsia="等线" w:hAnsi="Courier New" w:cs="Courier New"/>
                <w:color w:val="000000"/>
                <w:kern w:val="0"/>
                <w:sz w:val="18"/>
                <w:szCs w:val="18"/>
              </w:rPr>
              <w:t>实施单位</w:t>
            </w:r>
            <w:r w:rsidRPr="007B6A95">
              <w:rPr>
                <w:rFonts w:ascii="Courier New" w:eastAsia="等线" w:hAnsi="Courier New" w:cs="Courier New"/>
                <w:color w:val="000000"/>
                <w:kern w:val="0"/>
                <w:sz w:val="18"/>
                <w:szCs w:val="18"/>
              </w:rPr>
              <w:t xml:space="preserve"> </w:t>
            </w:r>
            <w:r w:rsidRPr="007B6A95">
              <w:rPr>
                <w:rFonts w:ascii="Courier New" w:eastAsia="等线" w:hAnsi="Courier New" w:cs="Courier New"/>
                <w:color w:val="000000"/>
                <w:kern w:val="0"/>
                <w:sz w:val="18"/>
                <w:szCs w:val="18"/>
              </w:rPr>
              <w:t>（盖章）</w:t>
            </w:r>
          </w:p>
        </w:tc>
        <w:tc>
          <w:tcPr>
            <w:tcW w:w="1887"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盐边县亚热带作物示范繁殖场</w:t>
            </w:r>
          </w:p>
        </w:tc>
      </w:tr>
      <w:tr w:rsidR="007B6A95" w:rsidRPr="007B6A95" w:rsidTr="007B6A95">
        <w:trPr>
          <w:trHeight w:val="285"/>
        </w:trPr>
        <w:tc>
          <w:tcPr>
            <w:tcW w:w="576" w:type="dxa"/>
            <w:vMerge w:val="restart"/>
            <w:tcBorders>
              <w:top w:val="nil"/>
              <w:left w:val="single" w:sz="4" w:space="0" w:color="000000"/>
              <w:bottom w:val="single" w:sz="4" w:space="0" w:color="000000"/>
              <w:right w:val="single" w:sz="4" w:space="0" w:color="000000"/>
            </w:tcBorders>
            <w:shd w:val="clear" w:color="auto" w:fill="auto"/>
            <w:vAlign w:val="center"/>
            <w:hideMark/>
          </w:tcPr>
          <w:p w:rsidR="007B6A95" w:rsidRPr="007B6A95" w:rsidRDefault="007B6A95" w:rsidP="007B6A95">
            <w:pPr>
              <w:widowControl/>
              <w:jc w:val="left"/>
              <w:rPr>
                <w:rFonts w:ascii="宋体" w:hAnsi="宋体" w:cs="宋体"/>
                <w:color w:val="000000"/>
                <w:kern w:val="0"/>
                <w:sz w:val="18"/>
                <w:szCs w:val="18"/>
              </w:rPr>
            </w:pPr>
            <w:r w:rsidRPr="007B6A95">
              <w:rPr>
                <w:rFonts w:ascii="宋体" w:hAnsi="宋体" w:cs="宋体" w:hint="eastAsia"/>
                <w:color w:val="000000"/>
                <w:kern w:val="0"/>
                <w:sz w:val="18"/>
                <w:szCs w:val="18"/>
              </w:rPr>
              <w:t>项目基本情况</w:t>
            </w:r>
          </w:p>
        </w:tc>
        <w:tc>
          <w:tcPr>
            <w:tcW w:w="965" w:type="dxa"/>
            <w:gridSpan w:val="2"/>
            <w:vMerge w:val="restart"/>
            <w:tcBorders>
              <w:top w:val="nil"/>
              <w:left w:val="single" w:sz="4" w:space="0" w:color="000000"/>
              <w:bottom w:val="single" w:sz="4" w:space="0" w:color="000000"/>
              <w:right w:val="single" w:sz="4" w:space="0" w:color="000000"/>
            </w:tcBorders>
            <w:shd w:val="clear" w:color="auto" w:fill="auto"/>
            <w:vAlign w:val="center"/>
            <w:hideMark/>
          </w:tcPr>
          <w:p w:rsidR="007B6A95" w:rsidRPr="007B6A95" w:rsidRDefault="007B6A95" w:rsidP="007B6A95">
            <w:pPr>
              <w:widowControl/>
              <w:jc w:val="left"/>
              <w:rPr>
                <w:rFonts w:ascii="宋体" w:hAnsi="宋体" w:cs="宋体"/>
                <w:color w:val="000000"/>
                <w:kern w:val="0"/>
                <w:sz w:val="18"/>
                <w:szCs w:val="18"/>
              </w:rPr>
            </w:pPr>
            <w:r w:rsidRPr="007B6A95">
              <w:rPr>
                <w:rFonts w:ascii="宋体" w:hAnsi="宋体" w:cs="宋体" w:hint="eastAsia"/>
                <w:color w:val="000000"/>
                <w:kern w:val="0"/>
                <w:sz w:val="18"/>
                <w:szCs w:val="18"/>
              </w:rPr>
              <w:t>1.项目年度目标完成情况</w:t>
            </w:r>
          </w:p>
        </w:tc>
        <w:tc>
          <w:tcPr>
            <w:tcW w:w="5746" w:type="dxa"/>
            <w:gridSpan w:val="5"/>
            <w:tcBorders>
              <w:top w:val="single" w:sz="4" w:space="0" w:color="000000"/>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项目年度目标</w:t>
            </w:r>
          </w:p>
        </w:tc>
        <w:tc>
          <w:tcPr>
            <w:tcW w:w="2733" w:type="dxa"/>
            <w:gridSpan w:val="4"/>
            <w:tcBorders>
              <w:top w:val="single" w:sz="4" w:space="0" w:color="000000"/>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Courier New" w:eastAsia="等线" w:hAnsi="Courier New" w:cs="Courier New"/>
                <w:color w:val="000000"/>
                <w:kern w:val="0"/>
                <w:sz w:val="18"/>
                <w:szCs w:val="18"/>
              </w:rPr>
            </w:pPr>
            <w:r w:rsidRPr="007B6A95">
              <w:rPr>
                <w:rFonts w:ascii="Courier New" w:eastAsia="等线" w:hAnsi="Courier New" w:cs="Courier New"/>
                <w:color w:val="000000"/>
                <w:kern w:val="0"/>
                <w:sz w:val="18"/>
                <w:szCs w:val="18"/>
              </w:rPr>
              <w:t>年度目标完成情况</w:t>
            </w:r>
          </w:p>
        </w:tc>
      </w:tr>
      <w:tr w:rsidR="007B6A95" w:rsidRPr="007B6A95" w:rsidTr="007B6A95">
        <w:trPr>
          <w:trHeight w:val="709"/>
        </w:trPr>
        <w:tc>
          <w:tcPr>
            <w:tcW w:w="576" w:type="dxa"/>
            <w:vMerge/>
            <w:tcBorders>
              <w:top w:val="nil"/>
              <w:left w:val="single" w:sz="4" w:space="0" w:color="000000"/>
              <w:bottom w:val="single" w:sz="4" w:space="0" w:color="000000"/>
              <w:right w:val="single" w:sz="4" w:space="0" w:color="000000"/>
            </w:tcBorders>
            <w:vAlign w:val="center"/>
            <w:hideMark/>
          </w:tcPr>
          <w:p w:rsidR="007B6A95" w:rsidRPr="007B6A95" w:rsidRDefault="007B6A95" w:rsidP="007B6A95">
            <w:pPr>
              <w:widowControl/>
              <w:jc w:val="left"/>
              <w:rPr>
                <w:rFonts w:ascii="宋体" w:hAnsi="宋体" w:cs="宋体"/>
                <w:color w:val="000000"/>
                <w:kern w:val="0"/>
                <w:sz w:val="18"/>
                <w:szCs w:val="18"/>
              </w:rPr>
            </w:pPr>
          </w:p>
        </w:tc>
        <w:tc>
          <w:tcPr>
            <w:tcW w:w="965" w:type="dxa"/>
            <w:gridSpan w:val="2"/>
            <w:vMerge/>
            <w:tcBorders>
              <w:top w:val="nil"/>
              <w:left w:val="single" w:sz="4" w:space="0" w:color="000000"/>
              <w:bottom w:val="single" w:sz="4" w:space="0" w:color="000000"/>
              <w:right w:val="single" w:sz="4" w:space="0" w:color="000000"/>
            </w:tcBorders>
            <w:vAlign w:val="center"/>
            <w:hideMark/>
          </w:tcPr>
          <w:p w:rsidR="007B6A95" w:rsidRPr="007B6A95" w:rsidRDefault="007B6A95" w:rsidP="007B6A95">
            <w:pPr>
              <w:widowControl/>
              <w:jc w:val="left"/>
              <w:rPr>
                <w:rFonts w:ascii="宋体" w:hAnsi="宋体" w:cs="宋体"/>
                <w:color w:val="000000"/>
                <w:kern w:val="0"/>
                <w:sz w:val="18"/>
                <w:szCs w:val="18"/>
              </w:rPr>
            </w:pPr>
          </w:p>
        </w:tc>
        <w:tc>
          <w:tcPr>
            <w:tcW w:w="5746" w:type="dxa"/>
            <w:gridSpan w:val="5"/>
            <w:tcBorders>
              <w:top w:val="single" w:sz="4" w:space="0" w:color="000000"/>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left"/>
              <w:rPr>
                <w:rFonts w:ascii="宋体" w:hAnsi="宋体" w:cs="宋体"/>
                <w:color w:val="000000"/>
                <w:kern w:val="0"/>
                <w:sz w:val="18"/>
                <w:szCs w:val="18"/>
              </w:rPr>
            </w:pPr>
            <w:r w:rsidRPr="007B6A95">
              <w:rPr>
                <w:rFonts w:ascii="宋体" w:hAnsi="宋体" w:cs="宋体" w:hint="eastAsia"/>
                <w:color w:val="000000"/>
                <w:kern w:val="0"/>
                <w:sz w:val="18"/>
                <w:szCs w:val="18"/>
              </w:rPr>
              <w:t>提高预算编制质量，严格执行预算，保障单位日常运转。</w:t>
            </w:r>
          </w:p>
        </w:tc>
        <w:tc>
          <w:tcPr>
            <w:tcW w:w="2733" w:type="dxa"/>
            <w:gridSpan w:val="4"/>
            <w:tcBorders>
              <w:top w:val="single" w:sz="4" w:space="0" w:color="000000"/>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left"/>
              <w:rPr>
                <w:rFonts w:ascii="Courier New" w:eastAsia="等线" w:hAnsi="Courier New" w:cs="Courier New"/>
                <w:color w:val="000000"/>
                <w:kern w:val="0"/>
                <w:sz w:val="18"/>
                <w:szCs w:val="18"/>
              </w:rPr>
            </w:pPr>
            <w:r w:rsidRPr="007B6A95">
              <w:rPr>
                <w:rFonts w:ascii="Courier New" w:eastAsia="等线" w:hAnsi="Courier New" w:cs="Courier New"/>
                <w:color w:val="000000"/>
                <w:kern w:val="0"/>
                <w:sz w:val="18"/>
                <w:szCs w:val="18"/>
              </w:rPr>
              <w:t>完成</w:t>
            </w:r>
          </w:p>
        </w:tc>
      </w:tr>
      <w:tr w:rsidR="007B6A95" w:rsidRPr="007B6A95" w:rsidTr="007B6A95">
        <w:trPr>
          <w:trHeight w:val="694"/>
        </w:trPr>
        <w:tc>
          <w:tcPr>
            <w:tcW w:w="576" w:type="dxa"/>
            <w:vMerge/>
            <w:tcBorders>
              <w:top w:val="nil"/>
              <w:left w:val="single" w:sz="4" w:space="0" w:color="000000"/>
              <w:bottom w:val="single" w:sz="4" w:space="0" w:color="000000"/>
              <w:right w:val="single" w:sz="4" w:space="0" w:color="000000"/>
            </w:tcBorders>
            <w:vAlign w:val="center"/>
            <w:hideMark/>
          </w:tcPr>
          <w:p w:rsidR="007B6A95" w:rsidRPr="007B6A95" w:rsidRDefault="007B6A95" w:rsidP="007B6A95">
            <w:pPr>
              <w:widowControl/>
              <w:jc w:val="left"/>
              <w:rPr>
                <w:rFonts w:ascii="宋体" w:hAnsi="宋体" w:cs="宋体"/>
                <w:color w:val="000000"/>
                <w:kern w:val="0"/>
                <w:sz w:val="18"/>
                <w:szCs w:val="18"/>
              </w:rPr>
            </w:pPr>
          </w:p>
        </w:tc>
        <w:tc>
          <w:tcPr>
            <w:tcW w:w="965" w:type="dxa"/>
            <w:gridSpan w:val="2"/>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left"/>
              <w:rPr>
                <w:rFonts w:ascii="宋体" w:hAnsi="宋体" w:cs="宋体"/>
                <w:color w:val="000000"/>
                <w:kern w:val="0"/>
                <w:sz w:val="18"/>
                <w:szCs w:val="18"/>
              </w:rPr>
            </w:pPr>
            <w:r w:rsidRPr="007B6A95">
              <w:rPr>
                <w:rFonts w:ascii="宋体" w:hAnsi="宋体" w:cs="宋体" w:hint="eastAsia"/>
                <w:color w:val="000000"/>
                <w:kern w:val="0"/>
                <w:sz w:val="18"/>
                <w:szCs w:val="18"/>
              </w:rPr>
              <w:t>2.项目实施内容及过程概述</w:t>
            </w:r>
          </w:p>
        </w:tc>
        <w:tc>
          <w:tcPr>
            <w:tcW w:w="8479" w:type="dxa"/>
            <w:gridSpan w:val="9"/>
            <w:tcBorders>
              <w:top w:val="single" w:sz="4" w:space="0" w:color="000000"/>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left"/>
              <w:rPr>
                <w:rFonts w:ascii="宋体" w:hAnsi="宋体" w:cs="宋体"/>
                <w:color w:val="000000"/>
                <w:kern w:val="0"/>
                <w:sz w:val="18"/>
                <w:szCs w:val="18"/>
              </w:rPr>
            </w:pPr>
            <w:r w:rsidRPr="007B6A95">
              <w:rPr>
                <w:rFonts w:ascii="宋体" w:hAnsi="宋体" w:cs="宋体" w:hint="eastAsia"/>
                <w:color w:val="000000"/>
                <w:kern w:val="0"/>
                <w:sz w:val="18"/>
                <w:szCs w:val="18"/>
              </w:rPr>
              <w:t xml:space="preserve">　</w:t>
            </w:r>
          </w:p>
        </w:tc>
      </w:tr>
      <w:tr w:rsidR="007B6A95" w:rsidRPr="007B6A95" w:rsidTr="007B6A95">
        <w:trPr>
          <w:trHeight w:val="360"/>
        </w:trPr>
        <w:tc>
          <w:tcPr>
            <w:tcW w:w="576" w:type="dxa"/>
            <w:vMerge w:val="restart"/>
            <w:tcBorders>
              <w:top w:val="nil"/>
              <w:left w:val="single" w:sz="4" w:space="0" w:color="000000"/>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预算执行情况（10分）</w:t>
            </w:r>
          </w:p>
        </w:tc>
        <w:tc>
          <w:tcPr>
            <w:tcW w:w="965" w:type="dxa"/>
            <w:gridSpan w:val="2"/>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年度预算数（万元）</w:t>
            </w:r>
          </w:p>
        </w:tc>
        <w:tc>
          <w:tcPr>
            <w:tcW w:w="754"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年初预算</w:t>
            </w:r>
          </w:p>
        </w:tc>
        <w:tc>
          <w:tcPr>
            <w:tcW w:w="3519"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调整</w:t>
            </w:r>
            <w:proofErr w:type="gramStart"/>
            <w:r w:rsidRPr="007B6A95">
              <w:rPr>
                <w:rFonts w:ascii="宋体" w:hAnsi="宋体" w:cs="宋体" w:hint="eastAsia"/>
                <w:color w:val="000000"/>
                <w:kern w:val="0"/>
                <w:sz w:val="18"/>
                <w:szCs w:val="18"/>
              </w:rPr>
              <w:t>后预算</w:t>
            </w:r>
            <w:proofErr w:type="gramEnd"/>
            <w:r w:rsidRPr="007B6A95">
              <w:rPr>
                <w:rFonts w:ascii="宋体" w:hAnsi="宋体" w:cs="宋体" w:hint="eastAsia"/>
                <w:color w:val="000000"/>
                <w:kern w:val="0"/>
                <w:sz w:val="18"/>
                <w:szCs w:val="18"/>
              </w:rPr>
              <w:t>数</w:t>
            </w:r>
          </w:p>
        </w:tc>
        <w:tc>
          <w:tcPr>
            <w:tcW w:w="1473" w:type="dxa"/>
            <w:gridSpan w:val="3"/>
            <w:tcBorders>
              <w:top w:val="single" w:sz="4" w:space="0" w:color="000000"/>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预算执行数</w:t>
            </w:r>
          </w:p>
        </w:tc>
        <w:tc>
          <w:tcPr>
            <w:tcW w:w="846"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预算执行率</w:t>
            </w:r>
          </w:p>
        </w:tc>
        <w:tc>
          <w:tcPr>
            <w:tcW w:w="519"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权重</w:t>
            </w:r>
          </w:p>
        </w:tc>
        <w:tc>
          <w:tcPr>
            <w:tcW w:w="486"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得分</w:t>
            </w:r>
          </w:p>
        </w:tc>
        <w:tc>
          <w:tcPr>
            <w:tcW w:w="882"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原因</w:t>
            </w:r>
          </w:p>
        </w:tc>
      </w:tr>
      <w:tr w:rsidR="007B6A95" w:rsidRPr="007B6A95" w:rsidTr="007B6A95">
        <w:trPr>
          <w:trHeight w:val="345"/>
        </w:trPr>
        <w:tc>
          <w:tcPr>
            <w:tcW w:w="576" w:type="dxa"/>
            <w:vMerge/>
            <w:tcBorders>
              <w:top w:val="nil"/>
              <w:left w:val="single" w:sz="4" w:space="0" w:color="000000"/>
              <w:bottom w:val="single" w:sz="4" w:space="0" w:color="000000"/>
              <w:right w:val="single" w:sz="4" w:space="0" w:color="000000"/>
            </w:tcBorders>
            <w:vAlign w:val="center"/>
            <w:hideMark/>
          </w:tcPr>
          <w:p w:rsidR="007B6A95" w:rsidRPr="007B6A95" w:rsidRDefault="007B6A95" w:rsidP="007B6A95">
            <w:pPr>
              <w:widowControl/>
              <w:jc w:val="left"/>
              <w:rPr>
                <w:rFonts w:ascii="宋体" w:hAnsi="宋体" w:cs="宋体"/>
                <w:color w:val="000000"/>
                <w:kern w:val="0"/>
                <w:sz w:val="18"/>
                <w:szCs w:val="18"/>
              </w:rPr>
            </w:pPr>
          </w:p>
        </w:tc>
        <w:tc>
          <w:tcPr>
            <w:tcW w:w="965" w:type="dxa"/>
            <w:gridSpan w:val="2"/>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总额</w:t>
            </w:r>
          </w:p>
        </w:tc>
        <w:tc>
          <w:tcPr>
            <w:tcW w:w="754"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0.99</w:t>
            </w:r>
          </w:p>
        </w:tc>
        <w:tc>
          <w:tcPr>
            <w:tcW w:w="3519"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0.98</w:t>
            </w:r>
          </w:p>
        </w:tc>
        <w:tc>
          <w:tcPr>
            <w:tcW w:w="1473" w:type="dxa"/>
            <w:gridSpan w:val="3"/>
            <w:tcBorders>
              <w:top w:val="single" w:sz="4" w:space="0" w:color="000000"/>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0.98</w:t>
            </w:r>
          </w:p>
        </w:tc>
        <w:tc>
          <w:tcPr>
            <w:tcW w:w="846"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100.00%</w:t>
            </w:r>
          </w:p>
        </w:tc>
        <w:tc>
          <w:tcPr>
            <w:tcW w:w="519"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10</w:t>
            </w:r>
          </w:p>
        </w:tc>
        <w:tc>
          <w:tcPr>
            <w:tcW w:w="486"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10</w:t>
            </w:r>
          </w:p>
        </w:tc>
        <w:tc>
          <w:tcPr>
            <w:tcW w:w="882" w:type="dxa"/>
            <w:vMerge w:val="restart"/>
            <w:tcBorders>
              <w:top w:val="nil"/>
              <w:left w:val="single" w:sz="4" w:space="0" w:color="000000"/>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完成</w:t>
            </w:r>
          </w:p>
        </w:tc>
      </w:tr>
      <w:tr w:rsidR="007B6A95" w:rsidRPr="007B6A95" w:rsidTr="007B6A95">
        <w:trPr>
          <w:trHeight w:val="390"/>
        </w:trPr>
        <w:tc>
          <w:tcPr>
            <w:tcW w:w="576" w:type="dxa"/>
            <w:vMerge/>
            <w:tcBorders>
              <w:top w:val="nil"/>
              <w:left w:val="single" w:sz="4" w:space="0" w:color="000000"/>
              <w:bottom w:val="single" w:sz="4" w:space="0" w:color="000000"/>
              <w:right w:val="single" w:sz="4" w:space="0" w:color="000000"/>
            </w:tcBorders>
            <w:vAlign w:val="center"/>
            <w:hideMark/>
          </w:tcPr>
          <w:p w:rsidR="007B6A95" w:rsidRPr="007B6A95" w:rsidRDefault="007B6A95" w:rsidP="007B6A95">
            <w:pPr>
              <w:widowControl/>
              <w:jc w:val="left"/>
              <w:rPr>
                <w:rFonts w:ascii="宋体" w:hAnsi="宋体" w:cs="宋体"/>
                <w:color w:val="000000"/>
                <w:kern w:val="0"/>
                <w:sz w:val="18"/>
                <w:szCs w:val="18"/>
              </w:rPr>
            </w:pPr>
          </w:p>
        </w:tc>
        <w:tc>
          <w:tcPr>
            <w:tcW w:w="965" w:type="dxa"/>
            <w:gridSpan w:val="2"/>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其中：财政资金</w:t>
            </w:r>
          </w:p>
        </w:tc>
        <w:tc>
          <w:tcPr>
            <w:tcW w:w="754"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0.99</w:t>
            </w:r>
          </w:p>
        </w:tc>
        <w:tc>
          <w:tcPr>
            <w:tcW w:w="3519"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0.98</w:t>
            </w:r>
          </w:p>
        </w:tc>
        <w:tc>
          <w:tcPr>
            <w:tcW w:w="1473" w:type="dxa"/>
            <w:gridSpan w:val="3"/>
            <w:tcBorders>
              <w:top w:val="single" w:sz="4" w:space="0" w:color="000000"/>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0.98</w:t>
            </w:r>
          </w:p>
        </w:tc>
        <w:tc>
          <w:tcPr>
            <w:tcW w:w="846"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100.00%</w:t>
            </w:r>
          </w:p>
        </w:tc>
        <w:tc>
          <w:tcPr>
            <w:tcW w:w="519"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w:t>
            </w:r>
          </w:p>
        </w:tc>
        <w:tc>
          <w:tcPr>
            <w:tcW w:w="486"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w:t>
            </w:r>
          </w:p>
        </w:tc>
        <w:tc>
          <w:tcPr>
            <w:tcW w:w="882" w:type="dxa"/>
            <w:vMerge/>
            <w:tcBorders>
              <w:top w:val="nil"/>
              <w:left w:val="single" w:sz="4" w:space="0" w:color="000000"/>
              <w:bottom w:val="single" w:sz="4" w:space="0" w:color="000000"/>
              <w:right w:val="single" w:sz="4" w:space="0" w:color="000000"/>
            </w:tcBorders>
            <w:vAlign w:val="center"/>
            <w:hideMark/>
          </w:tcPr>
          <w:p w:rsidR="007B6A95" w:rsidRPr="007B6A95" w:rsidRDefault="007B6A95" w:rsidP="007B6A95">
            <w:pPr>
              <w:widowControl/>
              <w:jc w:val="left"/>
              <w:rPr>
                <w:rFonts w:ascii="宋体" w:hAnsi="宋体" w:cs="宋体"/>
                <w:color w:val="000000"/>
                <w:kern w:val="0"/>
                <w:sz w:val="18"/>
                <w:szCs w:val="18"/>
              </w:rPr>
            </w:pPr>
          </w:p>
        </w:tc>
      </w:tr>
      <w:tr w:rsidR="007B6A95" w:rsidRPr="007B6A95" w:rsidTr="007B6A95">
        <w:trPr>
          <w:trHeight w:val="409"/>
        </w:trPr>
        <w:tc>
          <w:tcPr>
            <w:tcW w:w="576" w:type="dxa"/>
            <w:vMerge/>
            <w:tcBorders>
              <w:top w:val="nil"/>
              <w:left w:val="single" w:sz="4" w:space="0" w:color="000000"/>
              <w:bottom w:val="single" w:sz="4" w:space="0" w:color="000000"/>
              <w:right w:val="single" w:sz="4" w:space="0" w:color="000000"/>
            </w:tcBorders>
            <w:vAlign w:val="center"/>
            <w:hideMark/>
          </w:tcPr>
          <w:p w:rsidR="007B6A95" w:rsidRPr="007B6A95" w:rsidRDefault="007B6A95" w:rsidP="007B6A95">
            <w:pPr>
              <w:widowControl/>
              <w:jc w:val="left"/>
              <w:rPr>
                <w:rFonts w:ascii="宋体" w:hAnsi="宋体" w:cs="宋体"/>
                <w:color w:val="000000"/>
                <w:kern w:val="0"/>
                <w:sz w:val="18"/>
                <w:szCs w:val="18"/>
              </w:rPr>
            </w:pPr>
          </w:p>
        </w:tc>
        <w:tc>
          <w:tcPr>
            <w:tcW w:w="965" w:type="dxa"/>
            <w:gridSpan w:val="2"/>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财政专户管理资金</w:t>
            </w:r>
          </w:p>
        </w:tc>
        <w:tc>
          <w:tcPr>
            <w:tcW w:w="754"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0.00</w:t>
            </w:r>
          </w:p>
        </w:tc>
        <w:tc>
          <w:tcPr>
            <w:tcW w:w="3519"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0.00</w:t>
            </w:r>
          </w:p>
        </w:tc>
        <w:tc>
          <w:tcPr>
            <w:tcW w:w="1473" w:type="dxa"/>
            <w:gridSpan w:val="3"/>
            <w:tcBorders>
              <w:top w:val="single" w:sz="4" w:space="0" w:color="000000"/>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0.00</w:t>
            </w:r>
          </w:p>
        </w:tc>
        <w:tc>
          <w:tcPr>
            <w:tcW w:w="846"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0.00%</w:t>
            </w:r>
          </w:p>
        </w:tc>
        <w:tc>
          <w:tcPr>
            <w:tcW w:w="519"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w:t>
            </w:r>
          </w:p>
        </w:tc>
        <w:tc>
          <w:tcPr>
            <w:tcW w:w="486"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w:t>
            </w:r>
          </w:p>
        </w:tc>
        <w:tc>
          <w:tcPr>
            <w:tcW w:w="882" w:type="dxa"/>
            <w:vMerge/>
            <w:tcBorders>
              <w:top w:val="nil"/>
              <w:left w:val="single" w:sz="4" w:space="0" w:color="000000"/>
              <w:bottom w:val="single" w:sz="4" w:space="0" w:color="000000"/>
              <w:right w:val="single" w:sz="4" w:space="0" w:color="000000"/>
            </w:tcBorders>
            <w:vAlign w:val="center"/>
            <w:hideMark/>
          </w:tcPr>
          <w:p w:rsidR="007B6A95" w:rsidRPr="007B6A95" w:rsidRDefault="007B6A95" w:rsidP="007B6A95">
            <w:pPr>
              <w:widowControl/>
              <w:jc w:val="left"/>
              <w:rPr>
                <w:rFonts w:ascii="宋体" w:hAnsi="宋体" w:cs="宋体"/>
                <w:color w:val="000000"/>
                <w:kern w:val="0"/>
                <w:sz w:val="18"/>
                <w:szCs w:val="18"/>
              </w:rPr>
            </w:pPr>
          </w:p>
        </w:tc>
      </w:tr>
      <w:tr w:rsidR="007B6A95" w:rsidRPr="007B6A95" w:rsidTr="007B6A95">
        <w:trPr>
          <w:trHeight w:val="360"/>
        </w:trPr>
        <w:tc>
          <w:tcPr>
            <w:tcW w:w="576" w:type="dxa"/>
            <w:vMerge/>
            <w:tcBorders>
              <w:top w:val="nil"/>
              <w:left w:val="single" w:sz="4" w:space="0" w:color="000000"/>
              <w:bottom w:val="single" w:sz="4" w:space="0" w:color="000000"/>
              <w:right w:val="single" w:sz="4" w:space="0" w:color="000000"/>
            </w:tcBorders>
            <w:vAlign w:val="center"/>
            <w:hideMark/>
          </w:tcPr>
          <w:p w:rsidR="007B6A95" w:rsidRPr="007B6A95" w:rsidRDefault="007B6A95" w:rsidP="007B6A95">
            <w:pPr>
              <w:widowControl/>
              <w:jc w:val="left"/>
              <w:rPr>
                <w:rFonts w:ascii="宋体" w:hAnsi="宋体" w:cs="宋体"/>
                <w:color w:val="000000"/>
                <w:kern w:val="0"/>
                <w:sz w:val="18"/>
                <w:szCs w:val="18"/>
              </w:rPr>
            </w:pPr>
          </w:p>
        </w:tc>
        <w:tc>
          <w:tcPr>
            <w:tcW w:w="965" w:type="dxa"/>
            <w:gridSpan w:val="2"/>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单位资金</w:t>
            </w:r>
          </w:p>
        </w:tc>
        <w:tc>
          <w:tcPr>
            <w:tcW w:w="754"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0.00</w:t>
            </w:r>
          </w:p>
        </w:tc>
        <w:tc>
          <w:tcPr>
            <w:tcW w:w="3519"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0.00</w:t>
            </w:r>
          </w:p>
        </w:tc>
        <w:tc>
          <w:tcPr>
            <w:tcW w:w="1473" w:type="dxa"/>
            <w:gridSpan w:val="3"/>
            <w:tcBorders>
              <w:top w:val="single" w:sz="4" w:space="0" w:color="000000"/>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0.00</w:t>
            </w:r>
          </w:p>
        </w:tc>
        <w:tc>
          <w:tcPr>
            <w:tcW w:w="846"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0.00%</w:t>
            </w:r>
          </w:p>
        </w:tc>
        <w:tc>
          <w:tcPr>
            <w:tcW w:w="519"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w:t>
            </w:r>
          </w:p>
        </w:tc>
        <w:tc>
          <w:tcPr>
            <w:tcW w:w="486"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w:t>
            </w:r>
          </w:p>
        </w:tc>
        <w:tc>
          <w:tcPr>
            <w:tcW w:w="882" w:type="dxa"/>
            <w:vMerge/>
            <w:tcBorders>
              <w:top w:val="nil"/>
              <w:left w:val="single" w:sz="4" w:space="0" w:color="000000"/>
              <w:bottom w:val="single" w:sz="4" w:space="0" w:color="000000"/>
              <w:right w:val="single" w:sz="4" w:space="0" w:color="000000"/>
            </w:tcBorders>
            <w:vAlign w:val="center"/>
            <w:hideMark/>
          </w:tcPr>
          <w:p w:rsidR="007B6A95" w:rsidRPr="007B6A95" w:rsidRDefault="007B6A95" w:rsidP="007B6A95">
            <w:pPr>
              <w:widowControl/>
              <w:jc w:val="left"/>
              <w:rPr>
                <w:rFonts w:ascii="宋体" w:hAnsi="宋体" w:cs="宋体"/>
                <w:color w:val="000000"/>
                <w:kern w:val="0"/>
                <w:sz w:val="18"/>
                <w:szCs w:val="18"/>
              </w:rPr>
            </w:pPr>
          </w:p>
        </w:tc>
      </w:tr>
      <w:tr w:rsidR="007B6A95" w:rsidRPr="007B6A95" w:rsidTr="007B6A95">
        <w:trPr>
          <w:trHeight w:val="338"/>
        </w:trPr>
        <w:tc>
          <w:tcPr>
            <w:tcW w:w="576" w:type="dxa"/>
            <w:vMerge/>
            <w:tcBorders>
              <w:top w:val="nil"/>
              <w:left w:val="single" w:sz="4" w:space="0" w:color="000000"/>
              <w:bottom w:val="single" w:sz="4" w:space="0" w:color="000000"/>
              <w:right w:val="single" w:sz="4" w:space="0" w:color="000000"/>
            </w:tcBorders>
            <w:vAlign w:val="center"/>
            <w:hideMark/>
          </w:tcPr>
          <w:p w:rsidR="007B6A95" w:rsidRPr="007B6A95" w:rsidRDefault="007B6A95" w:rsidP="007B6A95">
            <w:pPr>
              <w:widowControl/>
              <w:jc w:val="left"/>
              <w:rPr>
                <w:rFonts w:ascii="宋体" w:hAnsi="宋体" w:cs="宋体"/>
                <w:color w:val="000000"/>
                <w:kern w:val="0"/>
                <w:sz w:val="18"/>
                <w:szCs w:val="18"/>
              </w:rPr>
            </w:pPr>
          </w:p>
        </w:tc>
        <w:tc>
          <w:tcPr>
            <w:tcW w:w="965" w:type="dxa"/>
            <w:gridSpan w:val="2"/>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其他资金</w:t>
            </w:r>
          </w:p>
        </w:tc>
        <w:tc>
          <w:tcPr>
            <w:tcW w:w="754"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微软雅黑" w:eastAsia="微软雅黑" w:hAnsi="微软雅黑" w:cs="宋体"/>
                <w:i/>
                <w:iCs/>
                <w:color w:val="000000"/>
                <w:kern w:val="0"/>
                <w:sz w:val="16"/>
                <w:szCs w:val="16"/>
              </w:rPr>
            </w:pPr>
            <w:r w:rsidRPr="007B6A95">
              <w:rPr>
                <w:rFonts w:ascii="微软雅黑" w:eastAsia="微软雅黑" w:hAnsi="微软雅黑" w:cs="宋体" w:hint="eastAsia"/>
                <w:i/>
                <w:iCs/>
                <w:color w:val="000000"/>
                <w:kern w:val="0"/>
                <w:sz w:val="16"/>
                <w:szCs w:val="16"/>
              </w:rPr>
              <w:t xml:space="preserve">　</w:t>
            </w:r>
          </w:p>
        </w:tc>
        <w:tc>
          <w:tcPr>
            <w:tcW w:w="3519"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微软雅黑" w:eastAsia="微软雅黑" w:hAnsi="微软雅黑" w:cs="宋体"/>
                <w:i/>
                <w:iCs/>
                <w:color w:val="000000"/>
                <w:kern w:val="0"/>
                <w:sz w:val="16"/>
                <w:szCs w:val="16"/>
              </w:rPr>
            </w:pPr>
            <w:r w:rsidRPr="007B6A95">
              <w:rPr>
                <w:rFonts w:ascii="微软雅黑" w:eastAsia="微软雅黑" w:hAnsi="微软雅黑" w:cs="宋体" w:hint="eastAsia"/>
                <w:i/>
                <w:iCs/>
                <w:color w:val="000000"/>
                <w:kern w:val="0"/>
                <w:sz w:val="16"/>
                <w:szCs w:val="16"/>
              </w:rPr>
              <w:t xml:space="preserve">　</w:t>
            </w:r>
          </w:p>
        </w:tc>
        <w:tc>
          <w:tcPr>
            <w:tcW w:w="1473" w:type="dxa"/>
            <w:gridSpan w:val="3"/>
            <w:tcBorders>
              <w:top w:val="single" w:sz="4" w:space="0" w:color="000000"/>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微软雅黑" w:eastAsia="微软雅黑" w:hAnsi="微软雅黑" w:cs="宋体"/>
                <w:i/>
                <w:iCs/>
                <w:color w:val="000000"/>
                <w:kern w:val="0"/>
                <w:sz w:val="16"/>
                <w:szCs w:val="16"/>
              </w:rPr>
            </w:pPr>
            <w:r w:rsidRPr="007B6A95">
              <w:rPr>
                <w:rFonts w:ascii="微软雅黑" w:eastAsia="微软雅黑" w:hAnsi="微软雅黑" w:cs="宋体" w:hint="eastAsia"/>
                <w:i/>
                <w:iCs/>
                <w:color w:val="000000"/>
                <w:kern w:val="0"/>
                <w:sz w:val="16"/>
                <w:szCs w:val="16"/>
              </w:rPr>
              <w:t xml:space="preserve">　</w:t>
            </w:r>
          </w:p>
        </w:tc>
        <w:tc>
          <w:tcPr>
            <w:tcW w:w="846"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微软雅黑" w:eastAsia="微软雅黑" w:hAnsi="微软雅黑" w:cs="宋体"/>
                <w:i/>
                <w:iCs/>
                <w:color w:val="000000"/>
                <w:kern w:val="0"/>
                <w:sz w:val="16"/>
                <w:szCs w:val="16"/>
              </w:rPr>
            </w:pPr>
            <w:r w:rsidRPr="007B6A95">
              <w:rPr>
                <w:rFonts w:ascii="微软雅黑" w:eastAsia="微软雅黑" w:hAnsi="微软雅黑" w:cs="宋体" w:hint="eastAsia"/>
                <w:i/>
                <w:iCs/>
                <w:color w:val="000000"/>
                <w:kern w:val="0"/>
                <w:sz w:val="16"/>
                <w:szCs w:val="16"/>
              </w:rPr>
              <w:t xml:space="preserve">　</w:t>
            </w:r>
          </w:p>
        </w:tc>
        <w:tc>
          <w:tcPr>
            <w:tcW w:w="519"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w:t>
            </w:r>
          </w:p>
        </w:tc>
        <w:tc>
          <w:tcPr>
            <w:tcW w:w="486"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w:t>
            </w:r>
          </w:p>
        </w:tc>
        <w:tc>
          <w:tcPr>
            <w:tcW w:w="882" w:type="dxa"/>
            <w:vMerge/>
            <w:tcBorders>
              <w:top w:val="nil"/>
              <w:left w:val="single" w:sz="4" w:space="0" w:color="000000"/>
              <w:bottom w:val="single" w:sz="4" w:space="0" w:color="000000"/>
              <w:right w:val="single" w:sz="4" w:space="0" w:color="000000"/>
            </w:tcBorders>
            <w:vAlign w:val="center"/>
            <w:hideMark/>
          </w:tcPr>
          <w:p w:rsidR="007B6A95" w:rsidRPr="007B6A95" w:rsidRDefault="007B6A95" w:rsidP="007B6A95">
            <w:pPr>
              <w:widowControl/>
              <w:jc w:val="left"/>
              <w:rPr>
                <w:rFonts w:ascii="宋体" w:hAnsi="宋体" w:cs="宋体"/>
                <w:color w:val="000000"/>
                <w:kern w:val="0"/>
                <w:sz w:val="18"/>
                <w:szCs w:val="18"/>
              </w:rPr>
            </w:pPr>
          </w:p>
        </w:tc>
      </w:tr>
      <w:tr w:rsidR="007B6A95" w:rsidRPr="007B6A95" w:rsidTr="007B6A95">
        <w:trPr>
          <w:trHeight w:val="454"/>
        </w:trPr>
        <w:tc>
          <w:tcPr>
            <w:tcW w:w="576" w:type="dxa"/>
            <w:vMerge w:val="restart"/>
            <w:tcBorders>
              <w:top w:val="nil"/>
              <w:left w:val="single" w:sz="4" w:space="0" w:color="000000"/>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绩效指标（90分）</w:t>
            </w:r>
          </w:p>
        </w:tc>
        <w:tc>
          <w:tcPr>
            <w:tcW w:w="965" w:type="dxa"/>
            <w:gridSpan w:val="2"/>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一级指标</w:t>
            </w:r>
          </w:p>
        </w:tc>
        <w:tc>
          <w:tcPr>
            <w:tcW w:w="754"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二级指标</w:t>
            </w:r>
          </w:p>
        </w:tc>
        <w:tc>
          <w:tcPr>
            <w:tcW w:w="3519"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三级指标</w:t>
            </w:r>
          </w:p>
        </w:tc>
        <w:tc>
          <w:tcPr>
            <w:tcW w:w="458"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指标性质</w:t>
            </w:r>
          </w:p>
        </w:tc>
        <w:tc>
          <w:tcPr>
            <w:tcW w:w="538"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指标值</w:t>
            </w:r>
          </w:p>
        </w:tc>
        <w:tc>
          <w:tcPr>
            <w:tcW w:w="477"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度量单位</w:t>
            </w:r>
          </w:p>
        </w:tc>
        <w:tc>
          <w:tcPr>
            <w:tcW w:w="846"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完成值</w:t>
            </w:r>
          </w:p>
        </w:tc>
        <w:tc>
          <w:tcPr>
            <w:tcW w:w="519"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权重</w:t>
            </w:r>
          </w:p>
        </w:tc>
        <w:tc>
          <w:tcPr>
            <w:tcW w:w="486"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得分</w:t>
            </w:r>
          </w:p>
        </w:tc>
        <w:tc>
          <w:tcPr>
            <w:tcW w:w="882"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未完成原因分析</w:t>
            </w:r>
          </w:p>
        </w:tc>
      </w:tr>
      <w:tr w:rsidR="007B6A95" w:rsidRPr="007B6A95" w:rsidTr="007B6A95">
        <w:trPr>
          <w:trHeight w:val="338"/>
        </w:trPr>
        <w:tc>
          <w:tcPr>
            <w:tcW w:w="576" w:type="dxa"/>
            <w:vMerge/>
            <w:tcBorders>
              <w:top w:val="nil"/>
              <w:left w:val="single" w:sz="4" w:space="0" w:color="000000"/>
              <w:bottom w:val="single" w:sz="4" w:space="0" w:color="000000"/>
              <w:right w:val="single" w:sz="4" w:space="0" w:color="000000"/>
            </w:tcBorders>
            <w:vAlign w:val="center"/>
            <w:hideMark/>
          </w:tcPr>
          <w:p w:rsidR="007B6A95" w:rsidRPr="007B6A95" w:rsidRDefault="007B6A95" w:rsidP="007B6A95">
            <w:pPr>
              <w:widowControl/>
              <w:jc w:val="left"/>
              <w:rPr>
                <w:rFonts w:ascii="宋体" w:hAnsi="宋体" w:cs="宋体"/>
                <w:color w:val="000000"/>
                <w:kern w:val="0"/>
                <w:sz w:val="18"/>
                <w:szCs w:val="18"/>
              </w:rPr>
            </w:pPr>
          </w:p>
        </w:tc>
        <w:tc>
          <w:tcPr>
            <w:tcW w:w="965" w:type="dxa"/>
            <w:gridSpan w:val="2"/>
            <w:vMerge w:val="restart"/>
            <w:tcBorders>
              <w:top w:val="nil"/>
              <w:left w:val="single" w:sz="4" w:space="0" w:color="000000"/>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产出指标</w:t>
            </w:r>
          </w:p>
        </w:tc>
        <w:tc>
          <w:tcPr>
            <w:tcW w:w="754"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数量指标</w:t>
            </w:r>
          </w:p>
        </w:tc>
        <w:tc>
          <w:tcPr>
            <w:tcW w:w="3519"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科目调整次数</w:t>
            </w:r>
          </w:p>
        </w:tc>
        <w:tc>
          <w:tcPr>
            <w:tcW w:w="458"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w:t>
            </w:r>
          </w:p>
        </w:tc>
        <w:tc>
          <w:tcPr>
            <w:tcW w:w="538"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5</w:t>
            </w:r>
          </w:p>
        </w:tc>
        <w:tc>
          <w:tcPr>
            <w:tcW w:w="477"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次</w:t>
            </w:r>
          </w:p>
        </w:tc>
        <w:tc>
          <w:tcPr>
            <w:tcW w:w="846"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100</w:t>
            </w:r>
          </w:p>
        </w:tc>
        <w:tc>
          <w:tcPr>
            <w:tcW w:w="519"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20</w:t>
            </w:r>
          </w:p>
        </w:tc>
        <w:tc>
          <w:tcPr>
            <w:tcW w:w="486"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25</w:t>
            </w:r>
          </w:p>
        </w:tc>
        <w:tc>
          <w:tcPr>
            <w:tcW w:w="882"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完成</w:t>
            </w:r>
          </w:p>
        </w:tc>
      </w:tr>
      <w:tr w:rsidR="007B6A95" w:rsidRPr="007B6A95" w:rsidTr="007B6A95">
        <w:trPr>
          <w:trHeight w:val="679"/>
        </w:trPr>
        <w:tc>
          <w:tcPr>
            <w:tcW w:w="576" w:type="dxa"/>
            <w:vMerge/>
            <w:tcBorders>
              <w:top w:val="nil"/>
              <w:left w:val="single" w:sz="4" w:space="0" w:color="000000"/>
              <w:bottom w:val="single" w:sz="4" w:space="0" w:color="000000"/>
              <w:right w:val="single" w:sz="4" w:space="0" w:color="000000"/>
            </w:tcBorders>
            <w:vAlign w:val="center"/>
            <w:hideMark/>
          </w:tcPr>
          <w:p w:rsidR="007B6A95" w:rsidRPr="007B6A95" w:rsidRDefault="007B6A95" w:rsidP="007B6A95">
            <w:pPr>
              <w:widowControl/>
              <w:jc w:val="left"/>
              <w:rPr>
                <w:rFonts w:ascii="宋体" w:hAnsi="宋体" w:cs="宋体"/>
                <w:color w:val="000000"/>
                <w:kern w:val="0"/>
                <w:sz w:val="18"/>
                <w:szCs w:val="18"/>
              </w:rPr>
            </w:pPr>
          </w:p>
        </w:tc>
        <w:tc>
          <w:tcPr>
            <w:tcW w:w="965" w:type="dxa"/>
            <w:gridSpan w:val="2"/>
            <w:vMerge/>
            <w:tcBorders>
              <w:top w:val="nil"/>
              <w:left w:val="single" w:sz="4" w:space="0" w:color="000000"/>
              <w:bottom w:val="single" w:sz="4" w:space="0" w:color="000000"/>
              <w:right w:val="single" w:sz="4" w:space="0" w:color="000000"/>
            </w:tcBorders>
            <w:vAlign w:val="center"/>
            <w:hideMark/>
          </w:tcPr>
          <w:p w:rsidR="007B6A95" w:rsidRPr="007B6A95" w:rsidRDefault="007B6A95" w:rsidP="007B6A95">
            <w:pPr>
              <w:widowControl/>
              <w:jc w:val="left"/>
              <w:rPr>
                <w:rFonts w:ascii="宋体" w:hAnsi="宋体" w:cs="宋体"/>
                <w:color w:val="000000"/>
                <w:kern w:val="0"/>
                <w:sz w:val="18"/>
                <w:szCs w:val="18"/>
              </w:rPr>
            </w:pPr>
          </w:p>
        </w:tc>
        <w:tc>
          <w:tcPr>
            <w:tcW w:w="754"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质量指标</w:t>
            </w:r>
          </w:p>
        </w:tc>
        <w:tc>
          <w:tcPr>
            <w:tcW w:w="3519"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预算编制准确率（计算方法为：∣（执行数-预算数）/预算数∣）</w:t>
            </w:r>
          </w:p>
        </w:tc>
        <w:tc>
          <w:tcPr>
            <w:tcW w:w="458"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w:t>
            </w:r>
          </w:p>
        </w:tc>
        <w:tc>
          <w:tcPr>
            <w:tcW w:w="538"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5</w:t>
            </w:r>
          </w:p>
        </w:tc>
        <w:tc>
          <w:tcPr>
            <w:tcW w:w="477"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w:t>
            </w:r>
          </w:p>
        </w:tc>
        <w:tc>
          <w:tcPr>
            <w:tcW w:w="846"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100</w:t>
            </w:r>
          </w:p>
        </w:tc>
        <w:tc>
          <w:tcPr>
            <w:tcW w:w="519"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30</w:t>
            </w:r>
          </w:p>
        </w:tc>
        <w:tc>
          <w:tcPr>
            <w:tcW w:w="486"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35</w:t>
            </w:r>
          </w:p>
        </w:tc>
        <w:tc>
          <w:tcPr>
            <w:tcW w:w="882"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完成</w:t>
            </w:r>
          </w:p>
        </w:tc>
      </w:tr>
      <w:tr w:rsidR="007B6A95" w:rsidRPr="007B6A95" w:rsidTr="007B6A95">
        <w:trPr>
          <w:trHeight w:val="904"/>
        </w:trPr>
        <w:tc>
          <w:tcPr>
            <w:tcW w:w="576" w:type="dxa"/>
            <w:vMerge/>
            <w:tcBorders>
              <w:top w:val="nil"/>
              <w:left w:val="single" w:sz="4" w:space="0" w:color="000000"/>
              <w:bottom w:val="single" w:sz="4" w:space="0" w:color="000000"/>
              <w:right w:val="single" w:sz="4" w:space="0" w:color="000000"/>
            </w:tcBorders>
            <w:vAlign w:val="center"/>
            <w:hideMark/>
          </w:tcPr>
          <w:p w:rsidR="007B6A95" w:rsidRPr="007B6A95" w:rsidRDefault="007B6A95" w:rsidP="007B6A95">
            <w:pPr>
              <w:widowControl/>
              <w:jc w:val="left"/>
              <w:rPr>
                <w:rFonts w:ascii="宋体" w:hAnsi="宋体" w:cs="宋体"/>
                <w:color w:val="000000"/>
                <w:kern w:val="0"/>
                <w:sz w:val="18"/>
                <w:szCs w:val="18"/>
              </w:rPr>
            </w:pPr>
          </w:p>
        </w:tc>
        <w:tc>
          <w:tcPr>
            <w:tcW w:w="965" w:type="dxa"/>
            <w:gridSpan w:val="2"/>
            <w:vMerge w:val="restart"/>
            <w:tcBorders>
              <w:top w:val="nil"/>
              <w:left w:val="single" w:sz="4" w:space="0" w:color="000000"/>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效益指标</w:t>
            </w:r>
          </w:p>
        </w:tc>
        <w:tc>
          <w:tcPr>
            <w:tcW w:w="754"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经济效益指标</w:t>
            </w:r>
          </w:p>
        </w:tc>
        <w:tc>
          <w:tcPr>
            <w:tcW w:w="3519"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“三公经费”控制率[计算方法为：（三</w:t>
            </w:r>
            <w:proofErr w:type="gramStart"/>
            <w:r w:rsidRPr="007B6A95">
              <w:rPr>
                <w:rFonts w:ascii="宋体" w:hAnsi="宋体" w:cs="宋体" w:hint="eastAsia"/>
                <w:color w:val="000000"/>
                <w:kern w:val="0"/>
                <w:sz w:val="18"/>
                <w:szCs w:val="18"/>
              </w:rPr>
              <w:t>公经费</w:t>
            </w:r>
            <w:proofErr w:type="gramEnd"/>
            <w:r w:rsidRPr="007B6A95">
              <w:rPr>
                <w:rFonts w:ascii="宋体" w:hAnsi="宋体" w:cs="宋体" w:hint="eastAsia"/>
                <w:color w:val="000000"/>
                <w:kern w:val="0"/>
                <w:sz w:val="18"/>
                <w:szCs w:val="18"/>
              </w:rPr>
              <w:t>实际支出数/预算安排数]×100%）</w:t>
            </w:r>
          </w:p>
        </w:tc>
        <w:tc>
          <w:tcPr>
            <w:tcW w:w="458"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w:t>
            </w:r>
          </w:p>
        </w:tc>
        <w:tc>
          <w:tcPr>
            <w:tcW w:w="538"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100</w:t>
            </w:r>
          </w:p>
        </w:tc>
        <w:tc>
          <w:tcPr>
            <w:tcW w:w="477"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w:t>
            </w:r>
          </w:p>
        </w:tc>
        <w:tc>
          <w:tcPr>
            <w:tcW w:w="846"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100</w:t>
            </w:r>
          </w:p>
        </w:tc>
        <w:tc>
          <w:tcPr>
            <w:tcW w:w="519"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20</w:t>
            </w:r>
          </w:p>
        </w:tc>
        <w:tc>
          <w:tcPr>
            <w:tcW w:w="486"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20</w:t>
            </w:r>
          </w:p>
        </w:tc>
        <w:tc>
          <w:tcPr>
            <w:tcW w:w="882"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完成</w:t>
            </w:r>
          </w:p>
        </w:tc>
      </w:tr>
      <w:tr w:rsidR="007B6A95" w:rsidRPr="007B6A95" w:rsidTr="007B6A95">
        <w:trPr>
          <w:trHeight w:val="338"/>
        </w:trPr>
        <w:tc>
          <w:tcPr>
            <w:tcW w:w="576" w:type="dxa"/>
            <w:vMerge/>
            <w:tcBorders>
              <w:top w:val="nil"/>
              <w:left w:val="single" w:sz="4" w:space="0" w:color="000000"/>
              <w:bottom w:val="single" w:sz="4" w:space="0" w:color="000000"/>
              <w:right w:val="single" w:sz="4" w:space="0" w:color="000000"/>
            </w:tcBorders>
            <w:vAlign w:val="center"/>
            <w:hideMark/>
          </w:tcPr>
          <w:p w:rsidR="007B6A95" w:rsidRPr="007B6A95" w:rsidRDefault="007B6A95" w:rsidP="007B6A95">
            <w:pPr>
              <w:widowControl/>
              <w:jc w:val="left"/>
              <w:rPr>
                <w:rFonts w:ascii="宋体" w:hAnsi="宋体" w:cs="宋体"/>
                <w:color w:val="000000"/>
                <w:kern w:val="0"/>
                <w:sz w:val="18"/>
                <w:szCs w:val="18"/>
              </w:rPr>
            </w:pPr>
          </w:p>
        </w:tc>
        <w:tc>
          <w:tcPr>
            <w:tcW w:w="965" w:type="dxa"/>
            <w:gridSpan w:val="2"/>
            <w:vMerge/>
            <w:tcBorders>
              <w:top w:val="nil"/>
              <w:left w:val="single" w:sz="4" w:space="0" w:color="000000"/>
              <w:bottom w:val="single" w:sz="4" w:space="0" w:color="000000"/>
              <w:right w:val="single" w:sz="4" w:space="0" w:color="000000"/>
            </w:tcBorders>
            <w:vAlign w:val="center"/>
            <w:hideMark/>
          </w:tcPr>
          <w:p w:rsidR="007B6A95" w:rsidRPr="007B6A95" w:rsidRDefault="007B6A95" w:rsidP="007B6A95">
            <w:pPr>
              <w:widowControl/>
              <w:jc w:val="left"/>
              <w:rPr>
                <w:rFonts w:ascii="宋体" w:hAnsi="宋体" w:cs="宋体"/>
                <w:color w:val="000000"/>
                <w:kern w:val="0"/>
                <w:sz w:val="18"/>
                <w:szCs w:val="18"/>
              </w:rPr>
            </w:pPr>
          </w:p>
        </w:tc>
        <w:tc>
          <w:tcPr>
            <w:tcW w:w="754"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社会效益指标</w:t>
            </w:r>
          </w:p>
        </w:tc>
        <w:tc>
          <w:tcPr>
            <w:tcW w:w="3519"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运转保障率</w:t>
            </w:r>
          </w:p>
        </w:tc>
        <w:tc>
          <w:tcPr>
            <w:tcW w:w="458"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w:t>
            </w:r>
          </w:p>
        </w:tc>
        <w:tc>
          <w:tcPr>
            <w:tcW w:w="538"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100</w:t>
            </w:r>
          </w:p>
        </w:tc>
        <w:tc>
          <w:tcPr>
            <w:tcW w:w="477"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w:t>
            </w:r>
          </w:p>
        </w:tc>
        <w:tc>
          <w:tcPr>
            <w:tcW w:w="846"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100</w:t>
            </w:r>
          </w:p>
        </w:tc>
        <w:tc>
          <w:tcPr>
            <w:tcW w:w="519"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20</w:t>
            </w:r>
          </w:p>
        </w:tc>
        <w:tc>
          <w:tcPr>
            <w:tcW w:w="486"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20</w:t>
            </w:r>
          </w:p>
        </w:tc>
        <w:tc>
          <w:tcPr>
            <w:tcW w:w="882"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完成</w:t>
            </w:r>
          </w:p>
        </w:tc>
      </w:tr>
      <w:tr w:rsidR="007B6A95" w:rsidRPr="007B6A95" w:rsidTr="007B6A95">
        <w:trPr>
          <w:trHeight w:val="285"/>
        </w:trPr>
        <w:tc>
          <w:tcPr>
            <w:tcW w:w="8133" w:type="dxa"/>
            <w:gridSpan w:val="9"/>
            <w:tcBorders>
              <w:top w:val="single" w:sz="4" w:space="0" w:color="000000"/>
              <w:left w:val="single" w:sz="4" w:space="0" w:color="000000"/>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合计</w:t>
            </w:r>
          </w:p>
        </w:tc>
        <w:tc>
          <w:tcPr>
            <w:tcW w:w="519"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100</w:t>
            </w:r>
          </w:p>
        </w:tc>
        <w:tc>
          <w:tcPr>
            <w:tcW w:w="486"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right"/>
              <w:rPr>
                <w:rFonts w:ascii="宋体" w:hAnsi="宋体" w:cs="宋体"/>
                <w:color w:val="000000"/>
                <w:kern w:val="0"/>
                <w:sz w:val="18"/>
                <w:szCs w:val="18"/>
              </w:rPr>
            </w:pPr>
            <w:r w:rsidRPr="007B6A95">
              <w:rPr>
                <w:rFonts w:ascii="宋体" w:hAnsi="宋体" w:cs="宋体" w:hint="eastAsia"/>
                <w:color w:val="000000"/>
                <w:kern w:val="0"/>
                <w:sz w:val="18"/>
                <w:szCs w:val="18"/>
              </w:rPr>
              <w:t>100</w:t>
            </w:r>
          </w:p>
        </w:tc>
        <w:tc>
          <w:tcPr>
            <w:tcW w:w="882" w:type="dxa"/>
            <w:tcBorders>
              <w:top w:val="nil"/>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left"/>
              <w:rPr>
                <w:rFonts w:ascii="宋体" w:hAnsi="宋体" w:cs="宋体"/>
                <w:color w:val="000000"/>
                <w:kern w:val="0"/>
                <w:sz w:val="18"/>
                <w:szCs w:val="18"/>
              </w:rPr>
            </w:pPr>
            <w:r w:rsidRPr="007B6A95">
              <w:rPr>
                <w:rFonts w:ascii="宋体" w:hAnsi="宋体" w:cs="宋体" w:hint="eastAsia"/>
                <w:color w:val="000000"/>
                <w:kern w:val="0"/>
                <w:sz w:val="18"/>
                <w:szCs w:val="18"/>
              </w:rPr>
              <w:t xml:space="preserve">　</w:t>
            </w:r>
          </w:p>
        </w:tc>
      </w:tr>
      <w:tr w:rsidR="007B6A95" w:rsidRPr="007B6A95" w:rsidTr="007B6A95">
        <w:trPr>
          <w:trHeight w:val="349"/>
        </w:trPr>
        <w:tc>
          <w:tcPr>
            <w:tcW w:w="1149" w:type="dxa"/>
            <w:gridSpan w:val="2"/>
            <w:tcBorders>
              <w:top w:val="nil"/>
              <w:left w:val="single" w:sz="4" w:space="0" w:color="000000"/>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评价结论</w:t>
            </w:r>
          </w:p>
        </w:tc>
        <w:tc>
          <w:tcPr>
            <w:tcW w:w="8871" w:type="dxa"/>
            <w:gridSpan w:val="10"/>
            <w:tcBorders>
              <w:top w:val="single" w:sz="4" w:space="0" w:color="000000"/>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left"/>
              <w:rPr>
                <w:rFonts w:ascii="微软雅黑" w:eastAsia="微软雅黑" w:hAnsi="微软雅黑" w:cs="宋体"/>
                <w:i/>
                <w:iCs/>
                <w:color w:val="000000"/>
                <w:kern w:val="0"/>
                <w:sz w:val="16"/>
                <w:szCs w:val="16"/>
              </w:rPr>
            </w:pPr>
            <w:r w:rsidRPr="007B6A95">
              <w:rPr>
                <w:rFonts w:ascii="微软雅黑" w:eastAsia="微软雅黑" w:hAnsi="微软雅黑" w:cs="宋体" w:hint="eastAsia"/>
                <w:i/>
                <w:iCs/>
                <w:color w:val="000000"/>
                <w:kern w:val="0"/>
                <w:sz w:val="16"/>
                <w:szCs w:val="16"/>
              </w:rPr>
              <w:t>无</w:t>
            </w:r>
          </w:p>
        </w:tc>
      </w:tr>
      <w:tr w:rsidR="007B6A95" w:rsidRPr="007B6A95" w:rsidTr="007B6A95">
        <w:trPr>
          <w:trHeight w:val="410"/>
        </w:trPr>
        <w:tc>
          <w:tcPr>
            <w:tcW w:w="1149" w:type="dxa"/>
            <w:gridSpan w:val="2"/>
            <w:tcBorders>
              <w:top w:val="nil"/>
              <w:left w:val="single" w:sz="4" w:space="0" w:color="000000"/>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存在问题</w:t>
            </w:r>
          </w:p>
        </w:tc>
        <w:tc>
          <w:tcPr>
            <w:tcW w:w="8871" w:type="dxa"/>
            <w:gridSpan w:val="10"/>
            <w:tcBorders>
              <w:top w:val="single" w:sz="4" w:space="0" w:color="000000"/>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left"/>
              <w:rPr>
                <w:rFonts w:ascii="微软雅黑" w:eastAsia="微软雅黑" w:hAnsi="微软雅黑" w:cs="宋体"/>
                <w:i/>
                <w:iCs/>
                <w:color w:val="000000"/>
                <w:kern w:val="0"/>
                <w:sz w:val="16"/>
                <w:szCs w:val="16"/>
              </w:rPr>
            </w:pPr>
            <w:r w:rsidRPr="007B6A95">
              <w:rPr>
                <w:rFonts w:ascii="微软雅黑" w:eastAsia="微软雅黑" w:hAnsi="微软雅黑" w:cs="宋体" w:hint="eastAsia"/>
                <w:i/>
                <w:iCs/>
                <w:color w:val="000000"/>
                <w:kern w:val="0"/>
                <w:sz w:val="16"/>
                <w:szCs w:val="16"/>
              </w:rPr>
              <w:t>无</w:t>
            </w:r>
          </w:p>
        </w:tc>
      </w:tr>
      <w:tr w:rsidR="007B6A95" w:rsidRPr="007B6A95" w:rsidTr="007B6A95">
        <w:trPr>
          <w:trHeight w:val="275"/>
        </w:trPr>
        <w:tc>
          <w:tcPr>
            <w:tcW w:w="1149" w:type="dxa"/>
            <w:gridSpan w:val="2"/>
            <w:tcBorders>
              <w:top w:val="nil"/>
              <w:left w:val="single" w:sz="4" w:space="0" w:color="000000"/>
              <w:bottom w:val="single" w:sz="4" w:space="0" w:color="000000"/>
              <w:right w:val="single" w:sz="4" w:space="0" w:color="000000"/>
            </w:tcBorders>
            <w:shd w:val="clear" w:color="auto" w:fill="auto"/>
            <w:vAlign w:val="center"/>
            <w:hideMark/>
          </w:tcPr>
          <w:p w:rsidR="007B6A95" w:rsidRPr="007B6A95" w:rsidRDefault="007B6A95" w:rsidP="007B6A95">
            <w:pPr>
              <w:widowControl/>
              <w:jc w:val="center"/>
              <w:rPr>
                <w:rFonts w:ascii="宋体" w:hAnsi="宋体" w:cs="宋体"/>
                <w:color w:val="000000"/>
                <w:kern w:val="0"/>
                <w:sz w:val="18"/>
                <w:szCs w:val="18"/>
              </w:rPr>
            </w:pPr>
            <w:r w:rsidRPr="007B6A95">
              <w:rPr>
                <w:rFonts w:ascii="宋体" w:hAnsi="宋体" w:cs="宋体" w:hint="eastAsia"/>
                <w:color w:val="000000"/>
                <w:kern w:val="0"/>
                <w:sz w:val="18"/>
                <w:szCs w:val="18"/>
              </w:rPr>
              <w:t>改进措施</w:t>
            </w:r>
          </w:p>
        </w:tc>
        <w:tc>
          <w:tcPr>
            <w:tcW w:w="8871" w:type="dxa"/>
            <w:gridSpan w:val="10"/>
            <w:tcBorders>
              <w:top w:val="single" w:sz="4" w:space="0" w:color="000000"/>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left"/>
              <w:rPr>
                <w:rFonts w:ascii="微软雅黑" w:eastAsia="微软雅黑" w:hAnsi="微软雅黑" w:cs="宋体"/>
                <w:i/>
                <w:iCs/>
                <w:color w:val="000000"/>
                <w:kern w:val="0"/>
                <w:sz w:val="16"/>
                <w:szCs w:val="16"/>
              </w:rPr>
            </w:pPr>
            <w:r w:rsidRPr="007B6A95">
              <w:rPr>
                <w:rFonts w:ascii="微软雅黑" w:eastAsia="微软雅黑" w:hAnsi="微软雅黑" w:cs="宋体" w:hint="eastAsia"/>
                <w:i/>
                <w:iCs/>
                <w:color w:val="000000"/>
                <w:kern w:val="0"/>
                <w:sz w:val="16"/>
                <w:szCs w:val="16"/>
              </w:rPr>
              <w:t>无</w:t>
            </w:r>
          </w:p>
        </w:tc>
      </w:tr>
      <w:tr w:rsidR="007B6A95" w:rsidRPr="007B6A95" w:rsidTr="007B6A95">
        <w:trPr>
          <w:trHeight w:val="285"/>
        </w:trPr>
        <w:tc>
          <w:tcPr>
            <w:tcW w:w="6272" w:type="dxa"/>
            <w:gridSpan w:val="6"/>
            <w:tcBorders>
              <w:top w:val="single" w:sz="4" w:space="0" w:color="000000"/>
              <w:left w:val="single" w:sz="4" w:space="0" w:color="000000"/>
              <w:bottom w:val="single" w:sz="4" w:space="0" w:color="000000"/>
              <w:right w:val="single" w:sz="4" w:space="0" w:color="000000"/>
            </w:tcBorders>
            <w:shd w:val="clear" w:color="auto" w:fill="auto"/>
            <w:vAlign w:val="center"/>
            <w:hideMark/>
          </w:tcPr>
          <w:p w:rsidR="007B6A95" w:rsidRPr="007B6A95" w:rsidRDefault="007B6A95" w:rsidP="007B6A95">
            <w:pPr>
              <w:widowControl/>
              <w:jc w:val="left"/>
              <w:rPr>
                <w:rFonts w:ascii="Courier New" w:eastAsia="等线" w:hAnsi="Courier New" w:cs="Courier New"/>
                <w:color w:val="000000"/>
                <w:kern w:val="0"/>
                <w:sz w:val="18"/>
                <w:szCs w:val="18"/>
              </w:rPr>
            </w:pPr>
            <w:r w:rsidRPr="007B6A95">
              <w:rPr>
                <w:rFonts w:ascii="Courier New" w:eastAsia="等线" w:hAnsi="Courier New" w:cs="Courier New"/>
                <w:color w:val="000000"/>
                <w:kern w:val="0"/>
                <w:sz w:val="18"/>
                <w:szCs w:val="18"/>
              </w:rPr>
              <w:t>项目负责人：陈</w:t>
            </w:r>
            <w:proofErr w:type="gramStart"/>
            <w:r w:rsidRPr="007B6A95">
              <w:rPr>
                <w:rFonts w:ascii="Courier New" w:eastAsia="等线" w:hAnsi="Courier New" w:cs="Courier New"/>
                <w:color w:val="000000"/>
                <w:kern w:val="0"/>
                <w:sz w:val="18"/>
                <w:szCs w:val="18"/>
              </w:rPr>
              <w:t>世</w:t>
            </w:r>
            <w:proofErr w:type="gramEnd"/>
            <w:r w:rsidRPr="007B6A95">
              <w:rPr>
                <w:rFonts w:ascii="Courier New" w:eastAsia="等线" w:hAnsi="Courier New" w:cs="Courier New"/>
                <w:color w:val="000000"/>
                <w:kern w:val="0"/>
                <w:sz w:val="18"/>
                <w:szCs w:val="18"/>
              </w:rPr>
              <w:t>云</w:t>
            </w:r>
          </w:p>
        </w:tc>
        <w:tc>
          <w:tcPr>
            <w:tcW w:w="3748" w:type="dxa"/>
            <w:gridSpan w:val="6"/>
            <w:tcBorders>
              <w:top w:val="single" w:sz="4" w:space="0" w:color="000000"/>
              <w:left w:val="nil"/>
              <w:bottom w:val="single" w:sz="4" w:space="0" w:color="000000"/>
              <w:right w:val="single" w:sz="4" w:space="0" w:color="000000"/>
            </w:tcBorders>
            <w:shd w:val="clear" w:color="auto" w:fill="auto"/>
            <w:vAlign w:val="center"/>
            <w:hideMark/>
          </w:tcPr>
          <w:p w:rsidR="007B6A95" w:rsidRPr="007B6A95" w:rsidRDefault="007B6A95" w:rsidP="007B6A95">
            <w:pPr>
              <w:widowControl/>
              <w:jc w:val="left"/>
              <w:rPr>
                <w:rFonts w:ascii="Courier New" w:eastAsia="等线" w:hAnsi="Courier New" w:cs="Courier New"/>
                <w:color w:val="000000"/>
                <w:kern w:val="0"/>
                <w:sz w:val="18"/>
                <w:szCs w:val="18"/>
              </w:rPr>
            </w:pPr>
            <w:r w:rsidRPr="007B6A95">
              <w:rPr>
                <w:rFonts w:ascii="Courier New" w:eastAsia="等线" w:hAnsi="Courier New" w:cs="Courier New"/>
                <w:color w:val="000000"/>
                <w:kern w:val="0"/>
                <w:sz w:val="18"/>
                <w:szCs w:val="18"/>
              </w:rPr>
              <w:t>财务负责人：陈</w:t>
            </w:r>
            <w:proofErr w:type="gramStart"/>
            <w:r w:rsidRPr="007B6A95">
              <w:rPr>
                <w:rFonts w:ascii="Courier New" w:eastAsia="等线" w:hAnsi="Courier New" w:cs="Courier New"/>
                <w:color w:val="000000"/>
                <w:kern w:val="0"/>
                <w:sz w:val="18"/>
                <w:szCs w:val="18"/>
              </w:rPr>
              <w:t>世</w:t>
            </w:r>
            <w:proofErr w:type="gramEnd"/>
            <w:r w:rsidRPr="007B6A95">
              <w:rPr>
                <w:rFonts w:ascii="Courier New" w:eastAsia="等线" w:hAnsi="Courier New" w:cs="Courier New"/>
                <w:color w:val="000000"/>
                <w:kern w:val="0"/>
                <w:sz w:val="18"/>
                <w:szCs w:val="18"/>
              </w:rPr>
              <w:t>云</w:t>
            </w:r>
          </w:p>
        </w:tc>
      </w:tr>
    </w:tbl>
    <w:p w:rsidR="0071021A" w:rsidRDefault="0046049C">
      <w:pPr>
        <w:spacing w:line="600" w:lineRule="exact"/>
        <w:jc w:val="center"/>
        <w:outlineLvl w:val="0"/>
        <w:rPr>
          <w:rFonts w:ascii="仿宋" w:eastAsia="仿宋" w:hAnsi="仿宋"/>
        </w:rPr>
      </w:pPr>
      <w:r>
        <w:rPr>
          <w:rFonts w:ascii="黑体" w:eastAsia="黑体" w:hAnsi="黑体" w:hint="eastAsia"/>
          <w:sz w:val="44"/>
          <w:szCs w:val="44"/>
        </w:rPr>
        <w:t>第</w:t>
      </w:r>
      <w:r>
        <w:rPr>
          <w:rStyle w:val="1Char"/>
          <w:rFonts w:ascii="黑体" w:eastAsia="黑体" w:hAnsi="黑体" w:hint="eastAsia"/>
          <w:b w:val="0"/>
        </w:rPr>
        <w:t>五部分 附表</w:t>
      </w:r>
      <w:bookmarkStart w:id="55" w:name="_Toc15396619"/>
      <w:bookmarkEnd w:id="52"/>
      <w:bookmarkEnd w:id="54"/>
    </w:p>
    <w:p w:rsidR="0071021A" w:rsidRDefault="0046049C">
      <w:pPr>
        <w:pStyle w:val="2"/>
        <w:rPr>
          <w:rFonts w:ascii="仿宋" w:eastAsia="仿宋" w:hAnsi="仿宋"/>
        </w:rPr>
      </w:pPr>
      <w:r>
        <w:rPr>
          <w:rFonts w:ascii="仿宋" w:eastAsia="仿宋" w:hAnsi="仿宋" w:hint="eastAsia"/>
          <w:b w:val="0"/>
        </w:rPr>
        <w:t>一、收</w:t>
      </w:r>
      <w:r>
        <w:rPr>
          <w:rStyle w:val="2Char"/>
          <w:rFonts w:ascii="仿宋" w:eastAsia="仿宋" w:hAnsi="仿宋" w:hint="eastAsia"/>
        </w:rPr>
        <w:t>入支出决算总表</w:t>
      </w:r>
      <w:bookmarkEnd w:id="55"/>
    </w:p>
    <w:p w:rsidR="0071021A" w:rsidRDefault="0046049C">
      <w:pPr>
        <w:pStyle w:val="2"/>
        <w:rPr>
          <w:rFonts w:ascii="仿宋" w:eastAsia="仿宋" w:hAnsi="仿宋"/>
        </w:rPr>
      </w:pPr>
      <w:bookmarkStart w:id="56" w:name="_Toc15396620"/>
      <w:r>
        <w:rPr>
          <w:rFonts w:ascii="仿宋" w:eastAsia="仿宋" w:hAnsi="仿宋" w:hint="eastAsia"/>
          <w:b w:val="0"/>
        </w:rPr>
        <w:t>二、收</w:t>
      </w:r>
      <w:r>
        <w:rPr>
          <w:rStyle w:val="2Char"/>
          <w:rFonts w:ascii="仿宋" w:eastAsia="仿宋" w:hAnsi="仿宋" w:hint="eastAsia"/>
        </w:rPr>
        <w:t>入决算表</w:t>
      </w:r>
      <w:bookmarkEnd w:id="56"/>
    </w:p>
    <w:p w:rsidR="0071021A" w:rsidRDefault="0046049C">
      <w:pPr>
        <w:pStyle w:val="2"/>
        <w:rPr>
          <w:rFonts w:ascii="仿宋" w:eastAsia="仿宋" w:hAnsi="仿宋"/>
        </w:rPr>
      </w:pPr>
      <w:bookmarkStart w:id="57" w:name="_Toc15396621"/>
      <w:r>
        <w:rPr>
          <w:rStyle w:val="2Char"/>
          <w:rFonts w:ascii="仿宋" w:eastAsia="仿宋" w:hAnsi="仿宋" w:hint="eastAsia"/>
        </w:rPr>
        <w:t>三、</w:t>
      </w:r>
      <w:r>
        <w:rPr>
          <w:rFonts w:ascii="仿宋" w:eastAsia="仿宋" w:hAnsi="仿宋" w:hint="eastAsia"/>
          <w:b w:val="0"/>
        </w:rPr>
        <w:t>支</w:t>
      </w:r>
      <w:r>
        <w:rPr>
          <w:rStyle w:val="2Char"/>
          <w:rFonts w:ascii="仿宋" w:eastAsia="仿宋" w:hAnsi="仿宋" w:hint="eastAsia"/>
        </w:rPr>
        <w:t>出决算表</w:t>
      </w:r>
      <w:bookmarkEnd w:id="57"/>
    </w:p>
    <w:p w:rsidR="0071021A" w:rsidRDefault="0046049C">
      <w:pPr>
        <w:pStyle w:val="2"/>
        <w:rPr>
          <w:rFonts w:ascii="仿宋" w:eastAsia="仿宋" w:hAnsi="仿宋"/>
          <w:b w:val="0"/>
        </w:rPr>
      </w:pPr>
      <w:bookmarkStart w:id="58" w:name="_Toc15396622"/>
      <w:r>
        <w:rPr>
          <w:rStyle w:val="2Char"/>
          <w:rFonts w:ascii="仿宋" w:eastAsia="仿宋" w:hAnsi="仿宋" w:hint="eastAsia"/>
        </w:rPr>
        <w:t>四、</w:t>
      </w:r>
      <w:r>
        <w:rPr>
          <w:rFonts w:ascii="仿宋" w:eastAsia="仿宋" w:hAnsi="仿宋" w:hint="eastAsia"/>
          <w:b w:val="0"/>
        </w:rPr>
        <w:t>财</w:t>
      </w:r>
      <w:r>
        <w:rPr>
          <w:rStyle w:val="2Char"/>
          <w:rFonts w:ascii="仿宋" w:eastAsia="仿宋" w:hAnsi="仿宋" w:hint="eastAsia"/>
        </w:rPr>
        <w:t>政拨款收入支出决算总表</w:t>
      </w:r>
      <w:bookmarkEnd w:id="58"/>
    </w:p>
    <w:p w:rsidR="0071021A" w:rsidRDefault="0046049C">
      <w:pPr>
        <w:pStyle w:val="2"/>
        <w:rPr>
          <w:rStyle w:val="2Char"/>
          <w:rFonts w:ascii="仿宋" w:eastAsia="仿宋" w:hAnsi="仿宋"/>
        </w:rPr>
      </w:pPr>
      <w:bookmarkStart w:id="59" w:name="_Toc15396623"/>
      <w:r>
        <w:rPr>
          <w:rStyle w:val="2Char"/>
          <w:rFonts w:ascii="仿宋" w:eastAsia="仿宋" w:hAnsi="仿宋" w:hint="eastAsia"/>
        </w:rPr>
        <w:t>五、</w:t>
      </w:r>
      <w:r>
        <w:rPr>
          <w:rFonts w:ascii="仿宋" w:eastAsia="仿宋" w:hAnsi="仿宋" w:hint="eastAsia"/>
          <w:b w:val="0"/>
        </w:rPr>
        <w:t>财</w:t>
      </w:r>
      <w:r>
        <w:rPr>
          <w:rStyle w:val="2Char"/>
          <w:rFonts w:ascii="仿宋" w:eastAsia="仿宋" w:hAnsi="仿宋" w:hint="eastAsia"/>
        </w:rPr>
        <w:t>政拨款支出决算明细表</w:t>
      </w:r>
      <w:bookmarkStart w:id="60" w:name="_Toc15396624"/>
      <w:bookmarkEnd w:id="59"/>
    </w:p>
    <w:p w:rsidR="0071021A" w:rsidRDefault="0046049C">
      <w:pPr>
        <w:pStyle w:val="2"/>
        <w:rPr>
          <w:rFonts w:ascii="仿宋" w:eastAsia="仿宋" w:hAnsi="仿宋"/>
        </w:rPr>
      </w:pPr>
      <w:r>
        <w:rPr>
          <w:rStyle w:val="2Char"/>
          <w:rFonts w:ascii="仿宋" w:eastAsia="仿宋" w:hAnsi="仿宋" w:hint="eastAsia"/>
        </w:rPr>
        <w:t>六、</w:t>
      </w:r>
      <w:r>
        <w:rPr>
          <w:rFonts w:ascii="仿宋" w:eastAsia="仿宋" w:hAnsi="仿宋" w:hint="eastAsia"/>
          <w:b w:val="0"/>
        </w:rPr>
        <w:t>一</w:t>
      </w:r>
      <w:r>
        <w:rPr>
          <w:rStyle w:val="2Char"/>
          <w:rFonts w:ascii="仿宋" w:eastAsia="仿宋" w:hAnsi="仿宋" w:hint="eastAsia"/>
        </w:rPr>
        <w:t>般公共预算财政拨款支出决算表</w:t>
      </w:r>
      <w:bookmarkEnd w:id="60"/>
    </w:p>
    <w:p w:rsidR="0071021A" w:rsidRDefault="0046049C">
      <w:pPr>
        <w:pStyle w:val="2"/>
        <w:rPr>
          <w:rFonts w:ascii="仿宋" w:eastAsia="仿宋" w:hAnsi="仿宋"/>
        </w:rPr>
      </w:pPr>
      <w:bookmarkStart w:id="61" w:name="_Toc15396625"/>
      <w:r>
        <w:rPr>
          <w:rStyle w:val="2Char"/>
          <w:rFonts w:ascii="仿宋" w:eastAsia="仿宋" w:hAnsi="仿宋" w:hint="eastAsia"/>
        </w:rPr>
        <w:t>七、</w:t>
      </w:r>
      <w:r>
        <w:rPr>
          <w:rFonts w:ascii="仿宋" w:eastAsia="仿宋" w:hAnsi="仿宋" w:hint="eastAsia"/>
          <w:b w:val="0"/>
        </w:rPr>
        <w:t>一</w:t>
      </w:r>
      <w:r>
        <w:rPr>
          <w:rStyle w:val="2Char"/>
          <w:rFonts w:ascii="仿宋" w:eastAsia="仿宋" w:hAnsi="仿宋" w:hint="eastAsia"/>
        </w:rPr>
        <w:t>般公共预算财政拨款支出决算明细表</w:t>
      </w:r>
      <w:bookmarkEnd w:id="61"/>
    </w:p>
    <w:p w:rsidR="0071021A" w:rsidRDefault="0046049C">
      <w:pPr>
        <w:pStyle w:val="2"/>
        <w:rPr>
          <w:rFonts w:ascii="仿宋" w:eastAsia="仿宋" w:hAnsi="仿宋"/>
        </w:rPr>
      </w:pPr>
      <w:bookmarkStart w:id="62" w:name="_Toc15396626"/>
      <w:r>
        <w:rPr>
          <w:rStyle w:val="2Char"/>
          <w:rFonts w:ascii="仿宋" w:eastAsia="仿宋" w:hAnsi="仿宋" w:hint="eastAsia"/>
        </w:rPr>
        <w:t>八、</w:t>
      </w:r>
      <w:r>
        <w:rPr>
          <w:rFonts w:ascii="仿宋" w:eastAsia="仿宋" w:hAnsi="仿宋" w:hint="eastAsia"/>
          <w:b w:val="0"/>
        </w:rPr>
        <w:t>一</w:t>
      </w:r>
      <w:r>
        <w:rPr>
          <w:rStyle w:val="2Char"/>
          <w:rFonts w:ascii="仿宋" w:eastAsia="仿宋" w:hAnsi="仿宋" w:hint="eastAsia"/>
        </w:rPr>
        <w:t>般公共预算财政拨款基本支出决算表</w:t>
      </w:r>
      <w:bookmarkEnd w:id="62"/>
    </w:p>
    <w:p w:rsidR="0071021A" w:rsidRDefault="0046049C">
      <w:pPr>
        <w:pStyle w:val="2"/>
        <w:rPr>
          <w:rFonts w:ascii="仿宋" w:eastAsia="仿宋" w:hAnsi="仿宋"/>
        </w:rPr>
      </w:pPr>
      <w:bookmarkStart w:id="63" w:name="_Toc15396627"/>
      <w:r>
        <w:rPr>
          <w:rStyle w:val="2Char"/>
          <w:rFonts w:ascii="仿宋" w:eastAsia="仿宋" w:hAnsi="仿宋" w:hint="eastAsia"/>
        </w:rPr>
        <w:t>九、</w:t>
      </w:r>
      <w:r>
        <w:rPr>
          <w:rFonts w:ascii="仿宋" w:eastAsia="仿宋" w:hAnsi="仿宋" w:hint="eastAsia"/>
          <w:b w:val="0"/>
        </w:rPr>
        <w:t>一</w:t>
      </w:r>
      <w:r>
        <w:rPr>
          <w:rStyle w:val="2Char"/>
          <w:rFonts w:ascii="仿宋" w:eastAsia="仿宋" w:hAnsi="仿宋" w:hint="eastAsia"/>
        </w:rPr>
        <w:t>般公共预算财政拨款项目支出决算表</w:t>
      </w:r>
      <w:bookmarkEnd w:id="63"/>
    </w:p>
    <w:p w:rsidR="0071021A" w:rsidRDefault="0046049C">
      <w:pPr>
        <w:pStyle w:val="2"/>
        <w:rPr>
          <w:rFonts w:ascii="仿宋" w:eastAsia="仿宋" w:hAnsi="仿宋"/>
        </w:rPr>
      </w:pPr>
      <w:bookmarkStart w:id="64" w:name="_Toc15396628"/>
      <w:r>
        <w:rPr>
          <w:rStyle w:val="2Char"/>
          <w:rFonts w:ascii="仿宋" w:eastAsia="仿宋" w:hAnsi="仿宋" w:hint="eastAsia"/>
        </w:rPr>
        <w:t>十、</w:t>
      </w:r>
      <w:bookmarkEnd w:id="64"/>
      <w:r>
        <w:rPr>
          <w:rFonts w:ascii="仿宋" w:eastAsia="仿宋" w:hAnsi="仿宋" w:hint="eastAsia"/>
          <w:b w:val="0"/>
        </w:rPr>
        <w:t>政</w:t>
      </w:r>
      <w:r>
        <w:rPr>
          <w:rStyle w:val="2Char"/>
          <w:rFonts w:ascii="仿宋" w:eastAsia="仿宋" w:hAnsi="仿宋" w:hint="eastAsia"/>
        </w:rPr>
        <w:t>府性基金预算财政拨款收入支出决算表</w:t>
      </w:r>
    </w:p>
    <w:p w:rsidR="0071021A" w:rsidRDefault="0046049C">
      <w:pPr>
        <w:pStyle w:val="2"/>
        <w:rPr>
          <w:rFonts w:ascii="仿宋" w:eastAsia="仿宋" w:hAnsi="仿宋"/>
        </w:rPr>
      </w:pPr>
      <w:bookmarkStart w:id="65" w:name="_Toc15396629"/>
      <w:r>
        <w:rPr>
          <w:rStyle w:val="2Char"/>
          <w:rFonts w:ascii="仿宋" w:eastAsia="仿宋" w:hAnsi="仿宋" w:hint="eastAsia"/>
        </w:rPr>
        <w:t>十一、</w:t>
      </w:r>
      <w:bookmarkEnd w:id="65"/>
      <w:r>
        <w:rPr>
          <w:rFonts w:ascii="仿宋" w:eastAsia="仿宋" w:hAnsi="仿宋" w:hint="eastAsia"/>
          <w:b w:val="0"/>
        </w:rPr>
        <w:t>国</w:t>
      </w:r>
      <w:r>
        <w:rPr>
          <w:rStyle w:val="2Char"/>
          <w:rFonts w:ascii="仿宋" w:eastAsia="仿宋" w:hAnsi="仿宋" w:hint="eastAsia"/>
        </w:rPr>
        <w:t>有资本经营预算财政拨款收入支出决算表</w:t>
      </w:r>
    </w:p>
    <w:p w:rsidR="0071021A" w:rsidRDefault="0046049C">
      <w:pPr>
        <w:pStyle w:val="2"/>
        <w:rPr>
          <w:rFonts w:ascii="仿宋" w:eastAsia="仿宋" w:hAnsi="仿宋"/>
        </w:rPr>
      </w:pPr>
      <w:bookmarkStart w:id="66" w:name="_Toc15396630"/>
      <w:r>
        <w:rPr>
          <w:rStyle w:val="2Char"/>
          <w:rFonts w:ascii="仿宋" w:eastAsia="仿宋" w:hAnsi="仿宋" w:hint="eastAsia"/>
        </w:rPr>
        <w:t>十二、</w:t>
      </w:r>
      <w:bookmarkEnd w:id="66"/>
      <w:r>
        <w:rPr>
          <w:rStyle w:val="2Char"/>
          <w:rFonts w:ascii="仿宋" w:eastAsia="仿宋" w:hAnsi="仿宋" w:hint="eastAsia"/>
        </w:rPr>
        <w:t>国有资本经营预算财政拨款支出决算表</w:t>
      </w:r>
    </w:p>
    <w:p w:rsidR="0071021A" w:rsidRDefault="0046049C">
      <w:pPr>
        <w:pStyle w:val="2"/>
        <w:rPr>
          <w:rFonts w:eastAsia="仿宋"/>
        </w:rPr>
      </w:pPr>
      <w:bookmarkStart w:id="67" w:name="_Toc15396631"/>
      <w:r>
        <w:rPr>
          <w:rStyle w:val="2Char"/>
          <w:rFonts w:ascii="仿宋" w:eastAsia="仿宋" w:hAnsi="仿宋" w:hint="eastAsia"/>
        </w:rPr>
        <w:t>十三、</w:t>
      </w:r>
      <w:bookmarkEnd w:id="67"/>
      <w:r>
        <w:rPr>
          <w:rStyle w:val="2Char"/>
          <w:rFonts w:ascii="仿宋" w:eastAsia="仿宋" w:hAnsi="仿宋" w:hint="eastAsia"/>
        </w:rPr>
        <w:t>财政拨款“三公”经费支出决算表</w:t>
      </w:r>
    </w:p>
    <w:sectPr w:rsidR="0071021A" w:rsidSect="00F32278">
      <w:headerReference w:type="default" r:id="rId14"/>
      <w:footerReference w:type="default" r:id="rId15"/>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23B4E" w:rsidRDefault="00A23B4E">
      <w:r>
        <w:separator/>
      </w:r>
    </w:p>
  </w:endnote>
  <w:endnote w:type="continuationSeparator" w:id="1">
    <w:p w:rsidR="00A23B4E" w:rsidRDefault="00A23B4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 w:name="方正小标宋简体">
    <w:altName w:val="Microsoft YaHei UI"/>
    <w:charset w:val="86"/>
    <w:family w:val="script"/>
    <w:pitch w:val="default"/>
    <w:sig w:usb0="00000000" w:usb1="00000000" w:usb2="00000012" w:usb3="00000000" w:csb0="00040001"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94781956"/>
    </w:sdtPr>
    <w:sdtContent>
      <w:p w:rsidR="00A23B4E" w:rsidRDefault="00A23B4E">
        <w:pPr>
          <w:pStyle w:val="a6"/>
          <w:jc w:val="center"/>
        </w:pPr>
        <w:fldSimple w:instr="PAGE   \* MERGEFORMAT">
          <w:r w:rsidR="0042017A" w:rsidRPr="0042017A">
            <w:rPr>
              <w:noProof/>
              <w:lang w:val="zh-CN"/>
            </w:rPr>
            <w:t>18</w:t>
          </w:r>
        </w:fldSimple>
      </w:p>
    </w:sdtContent>
  </w:sdt>
  <w:p w:rsidR="00A23B4E" w:rsidRDefault="00A23B4E">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23B4E" w:rsidRDefault="00A23B4E">
      <w:r>
        <w:separator/>
      </w:r>
    </w:p>
  </w:footnote>
  <w:footnote w:type="continuationSeparator" w:id="1">
    <w:p w:rsidR="00A23B4E" w:rsidRDefault="00A23B4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3B4E" w:rsidRDefault="00A23B4E">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E2FA047D"/>
    <w:multiLevelType w:val="singleLevel"/>
    <w:tmpl w:val="E2FA047D"/>
    <w:lvl w:ilvl="0">
      <w:start w:val="3"/>
      <w:numFmt w:val="chineseCounting"/>
      <w:suff w:val="space"/>
      <w:lvlText w:val="第%1部分"/>
      <w:lvlJc w:val="left"/>
      <w:rPr>
        <w:rFonts w:ascii="黑体" w:eastAsia="黑体" w:hAnsi="黑体" w:cs="黑体" w:hint="eastAsia"/>
        <w:sz w:val="44"/>
        <w:szCs w:val="44"/>
      </w:rPr>
    </w:lvl>
  </w:abstractNum>
  <w:abstractNum w:abstractNumId="2">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3">
    <w:nsid w:val="3818A09A"/>
    <w:multiLevelType w:val="singleLevel"/>
    <w:tmpl w:val="3818A09A"/>
    <w:lvl w:ilvl="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6385"/>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361C"/>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 w:val="000222C6"/>
    <w:rsid w:val="00022D95"/>
    <w:rsid w:val="0002549F"/>
    <w:rsid w:val="000352C6"/>
    <w:rsid w:val="000468DB"/>
    <w:rsid w:val="0006487A"/>
    <w:rsid w:val="00065F8F"/>
    <w:rsid w:val="00070A43"/>
    <w:rsid w:val="000768F2"/>
    <w:rsid w:val="00081B0F"/>
    <w:rsid w:val="0009184B"/>
    <w:rsid w:val="00094236"/>
    <w:rsid w:val="0009593C"/>
    <w:rsid w:val="00097322"/>
    <w:rsid w:val="000A6A92"/>
    <w:rsid w:val="000B047F"/>
    <w:rsid w:val="000B3036"/>
    <w:rsid w:val="000B5923"/>
    <w:rsid w:val="000B5A48"/>
    <w:rsid w:val="000B6FF3"/>
    <w:rsid w:val="000C3467"/>
    <w:rsid w:val="000C3CA6"/>
    <w:rsid w:val="000D1267"/>
    <w:rsid w:val="000D1D50"/>
    <w:rsid w:val="000D5782"/>
    <w:rsid w:val="000E6613"/>
    <w:rsid w:val="000E7119"/>
    <w:rsid w:val="00114E9B"/>
    <w:rsid w:val="00134B23"/>
    <w:rsid w:val="00142216"/>
    <w:rsid w:val="00144D6A"/>
    <w:rsid w:val="0014729F"/>
    <w:rsid w:val="00157BAB"/>
    <w:rsid w:val="001654D1"/>
    <w:rsid w:val="00174518"/>
    <w:rsid w:val="0018106D"/>
    <w:rsid w:val="001877A7"/>
    <w:rsid w:val="00191536"/>
    <w:rsid w:val="00196687"/>
    <w:rsid w:val="001A1DAD"/>
    <w:rsid w:val="001C0962"/>
    <w:rsid w:val="001D047F"/>
    <w:rsid w:val="001D7531"/>
    <w:rsid w:val="001E737D"/>
    <w:rsid w:val="001F0592"/>
    <w:rsid w:val="001F15AE"/>
    <w:rsid w:val="001F7506"/>
    <w:rsid w:val="002006CD"/>
    <w:rsid w:val="00202B36"/>
    <w:rsid w:val="00204B7A"/>
    <w:rsid w:val="00204CDE"/>
    <w:rsid w:val="00206907"/>
    <w:rsid w:val="0021101A"/>
    <w:rsid w:val="00212B4A"/>
    <w:rsid w:val="00220536"/>
    <w:rsid w:val="0023180A"/>
    <w:rsid w:val="00235629"/>
    <w:rsid w:val="00260C38"/>
    <w:rsid w:val="002616C0"/>
    <w:rsid w:val="00263D52"/>
    <w:rsid w:val="00265372"/>
    <w:rsid w:val="002662AA"/>
    <w:rsid w:val="00280496"/>
    <w:rsid w:val="00294DC9"/>
    <w:rsid w:val="00295495"/>
    <w:rsid w:val="002A31DE"/>
    <w:rsid w:val="002B1884"/>
    <w:rsid w:val="002B2613"/>
    <w:rsid w:val="002C5004"/>
    <w:rsid w:val="002C6DBC"/>
    <w:rsid w:val="002D6D05"/>
    <w:rsid w:val="002F1818"/>
    <w:rsid w:val="002F567B"/>
    <w:rsid w:val="002F5B56"/>
    <w:rsid w:val="003216A9"/>
    <w:rsid w:val="00335A74"/>
    <w:rsid w:val="0036561B"/>
    <w:rsid w:val="0037013F"/>
    <w:rsid w:val="00377D3A"/>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11655"/>
    <w:rsid w:val="0042017A"/>
    <w:rsid w:val="004223DE"/>
    <w:rsid w:val="00425C50"/>
    <w:rsid w:val="0043177C"/>
    <w:rsid w:val="00434489"/>
    <w:rsid w:val="00437085"/>
    <w:rsid w:val="00443880"/>
    <w:rsid w:val="004464F4"/>
    <w:rsid w:val="0046049C"/>
    <w:rsid w:val="00471401"/>
    <w:rsid w:val="00473F31"/>
    <w:rsid w:val="0048263A"/>
    <w:rsid w:val="00487E5D"/>
    <w:rsid w:val="004A711F"/>
    <w:rsid w:val="004B199D"/>
    <w:rsid w:val="004B4690"/>
    <w:rsid w:val="004B536F"/>
    <w:rsid w:val="004E0A2D"/>
    <w:rsid w:val="004E206B"/>
    <w:rsid w:val="004E6DF7"/>
    <w:rsid w:val="004F0FBD"/>
    <w:rsid w:val="00505A47"/>
    <w:rsid w:val="00512FDA"/>
    <w:rsid w:val="00520DA0"/>
    <w:rsid w:val="00526995"/>
    <w:rsid w:val="005533CF"/>
    <w:rsid w:val="005664BB"/>
    <w:rsid w:val="00566FFA"/>
    <w:rsid w:val="0057481D"/>
    <w:rsid w:val="0058486E"/>
    <w:rsid w:val="00585B33"/>
    <w:rsid w:val="00590028"/>
    <w:rsid w:val="0059014D"/>
    <w:rsid w:val="005B5C64"/>
    <w:rsid w:val="005B6E8A"/>
    <w:rsid w:val="005C345F"/>
    <w:rsid w:val="005C5337"/>
    <w:rsid w:val="005C6BD0"/>
    <w:rsid w:val="005D1C8B"/>
    <w:rsid w:val="005D468D"/>
    <w:rsid w:val="005D5CED"/>
    <w:rsid w:val="005F10BC"/>
    <w:rsid w:val="005F1A4C"/>
    <w:rsid w:val="00605688"/>
    <w:rsid w:val="006070AF"/>
    <w:rsid w:val="00607E6C"/>
    <w:rsid w:val="006101B1"/>
    <w:rsid w:val="00614E44"/>
    <w:rsid w:val="0062270A"/>
    <w:rsid w:val="00622830"/>
    <w:rsid w:val="00623DA0"/>
    <w:rsid w:val="00630AEF"/>
    <w:rsid w:val="006325F8"/>
    <w:rsid w:val="00633463"/>
    <w:rsid w:val="00634C9A"/>
    <w:rsid w:val="0064121A"/>
    <w:rsid w:val="006440E4"/>
    <w:rsid w:val="00655FC5"/>
    <w:rsid w:val="0066343B"/>
    <w:rsid w:val="00664777"/>
    <w:rsid w:val="006748A4"/>
    <w:rsid w:val="00681A31"/>
    <w:rsid w:val="00683E73"/>
    <w:rsid w:val="006A3141"/>
    <w:rsid w:val="006A5E34"/>
    <w:rsid w:val="006B2422"/>
    <w:rsid w:val="006B2B9A"/>
    <w:rsid w:val="006C1937"/>
    <w:rsid w:val="006F020C"/>
    <w:rsid w:val="0071021A"/>
    <w:rsid w:val="007127B7"/>
    <w:rsid w:val="0071798E"/>
    <w:rsid w:val="0074109F"/>
    <w:rsid w:val="007416B6"/>
    <w:rsid w:val="00746F48"/>
    <w:rsid w:val="0075404D"/>
    <w:rsid w:val="0076182A"/>
    <w:rsid w:val="00767B7E"/>
    <w:rsid w:val="007770C3"/>
    <w:rsid w:val="00784D24"/>
    <w:rsid w:val="00785FBA"/>
    <w:rsid w:val="00786E4A"/>
    <w:rsid w:val="007875EB"/>
    <w:rsid w:val="0079426B"/>
    <w:rsid w:val="007B6A95"/>
    <w:rsid w:val="007D1682"/>
    <w:rsid w:val="007D312A"/>
    <w:rsid w:val="007D3F19"/>
    <w:rsid w:val="007E23B0"/>
    <w:rsid w:val="007E23E5"/>
    <w:rsid w:val="007F1991"/>
    <w:rsid w:val="007F2C2F"/>
    <w:rsid w:val="007F55FC"/>
    <w:rsid w:val="007F5665"/>
    <w:rsid w:val="00800112"/>
    <w:rsid w:val="0081310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C7FD8"/>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4FC9"/>
    <w:rsid w:val="009B7573"/>
    <w:rsid w:val="009C22F4"/>
    <w:rsid w:val="009C2A4B"/>
    <w:rsid w:val="009C2E98"/>
    <w:rsid w:val="009D3447"/>
    <w:rsid w:val="009D4711"/>
    <w:rsid w:val="009F1185"/>
    <w:rsid w:val="009F18CD"/>
    <w:rsid w:val="009F2A13"/>
    <w:rsid w:val="009F5467"/>
    <w:rsid w:val="009F7527"/>
    <w:rsid w:val="00A04EB0"/>
    <w:rsid w:val="00A13CC1"/>
    <w:rsid w:val="00A16847"/>
    <w:rsid w:val="00A237D8"/>
    <w:rsid w:val="00A23B4E"/>
    <w:rsid w:val="00A268C4"/>
    <w:rsid w:val="00A307CD"/>
    <w:rsid w:val="00A331C8"/>
    <w:rsid w:val="00A375D3"/>
    <w:rsid w:val="00A40A00"/>
    <w:rsid w:val="00A4142F"/>
    <w:rsid w:val="00A422EB"/>
    <w:rsid w:val="00A45BB7"/>
    <w:rsid w:val="00A56DF2"/>
    <w:rsid w:val="00A56E6E"/>
    <w:rsid w:val="00A67AB5"/>
    <w:rsid w:val="00A733B2"/>
    <w:rsid w:val="00A73515"/>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0EC7"/>
    <w:rsid w:val="00B77EA6"/>
    <w:rsid w:val="00B80E5C"/>
    <w:rsid w:val="00B81598"/>
    <w:rsid w:val="00B841F1"/>
    <w:rsid w:val="00B944D6"/>
    <w:rsid w:val="00BB4DF0"/>
    <w:rsid w:val="00BC289F"/>
    <w:rsid w:val="00BC2D50"/>
    <w:rsid w:val="00BC5361"/>
    <w:rsid w:val="00BC5460"/>
    <w:rsid w:val="00BC6B50"/>
    <w:rsid w:val="00BD0E25"/>
    <w:rsid w:val="00BF5AC7"/>
    <w:rsid w:val="00BF5BD6"/>
    <w:rsid w:val="00C03E31"/>
    <w:rsid w:val="00C33E72"/>
    <w:rsid w:val="00C354B2"/>
    <w:rsid w:val="00C35554"/>
    <w:rsid w:val="00C42709"/>
    <w:rsid w:val="00C533CC"/>
    <w:rsid w:val="00C5751C"/>
    <w:rsid w:val="00C61BFC"/>
    <w:rsid w:val="00C62B85"/>
    <w:rsid w:val="00C65438"/>
    <w:rsid w:val="00C754EB"/>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1E6F"/>
    <w:rsid w:val="00D34E7C"/>
    <w:rsid w:val="00D35489"/>
    <w:rsid w:val="00D36AFE"/>
    <w:rsid w:val="00D51276"/>
    <w:rsid w:val="00D7035F"/>
    <w:rsid w:val="00DA634F"/>
    <w:rsid w:val="00DA65AC"/>
    <w:rsid w:val="00DB0B3F"/>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2278"/>
    <w:rsid w:val="00F36D8F"/>
    <w:rsid w:val="00F417B1"/>
    <w:rsid w:val="00F45853"/>
    <w:rsid w:val="00F602DF"/>
    <w:rsid w:val="00F754A1"/>
    <w:rsid w:val="00F81FD9"/>
    <w:rsid w:val="00F841AA"/>
    <w:rsid w:val="00F84A94"/>
    <w:rsid w:val="00F87E96"/>
    <w:rsid w:val="00FA23E8"/>
    <w:rsid w:val="00FD3CC1"/>
    <w:rsid w:val="00FF1E02"/>
    <w:rsid w:val="00FF30B4"/>
    <w:rsid w:val="03DC2831"/>
    <w:rsid w:val="081B5E94"/>
    <w:rsid w:val="0A2032A3"/>
    <w:rsid w:val="0B8A37D8"/>
    <w:rsid w:val="0F5FFB2F"/>
    <w:rsid w:val="0FFFCF60"/>
    <w:rsid w:val="10C055FF"/>
    <w:rsid w:val="118107EC"/>
    <w:rsid w:val="11DD6519"/>
    <w:rsid w:val="16BB723D"/>
    <w:rsid w:val="18015F3F"/>
    <w:rsid w:val="1BE8440E"/>
    <w:rsid w:val="1D155CEE"/>
    <w:rsid w:val="1FDBBF84"/>
    <w:rsid w:val="20F57F95"/>
    <w:rsid w:val="240371BF"/>
    <w:rsid w:val="25711CC6"/>
    <w:rsid w:val="25C741E6"/>
    <w:rsid w:val="276F80C0"/>
    <w:rsid w:val="27842671"/>
    <w:rsid w:val="29FD04D3"/>
    <w:rsid w:val="2ABE7A3E"/>
    <w:rsid w:val="2AFF09B6"/>
    <w:rsid w:val="2CA234A8"/>
    <w:rsid w:val="2EFA178C"/>
    <w:rsid w:val="2EFDF86C"/>
    <w:rsid w:val="2F9D17E1"/>
    <w:rsid w:val="30B46D73"/>
    <w:rsid w:val="319F7F4E"/>
    <w:rsid w:val="356A28F1"/>
    <w:rsid w:val="357C035A"/>
    <w:rsid w:val="368E000D"/>
    <w:rsid w:val="383D272C"/>
    <w:rsid w:val="39AE70AB"/>
    <w:rsid w:val="3A4DCE41"/>
    <w:rsid w:val="3BCB56FA"/>
    <w:rsid w:val="3C0C0783"/>
    <w:rsid w:val="3EE7C2F4"/>
    <w:rsid w:val="3F371B56"/>
    <w:rsid w:val="3F792ED8"/>
    <w:rsid w:val="3F9F3A96"/>
    <w:rsid w:val="3FECA4B2"/>
    <w:rsid w:val="3FF58C48"/>
    <w:rsid w:val="42FF6694"/>
    <w:rsid w:val="48BF60AB"/>
    <w:rsid w:val="493C27E9"/>
    <w:rsid w:val="496F39ED"/>
    <w:rsid w:val="49FF41D3"/>
    <w:rsid w:val="4BE068DB"/>
    <w:rsid w:val="4BF6002B"/>
    <w:rsid w:val="4BFFC6BE"/>
    <w:rsid w:val="4ECE2238"/>
    <w:rsid w:val="51DB4B86"/>
    <w:rsid w:val="51F64DB0"/>
    <w:rsid w:val="55333C3E"/>
    <w:rsid w:val="5F67802D"/>
    <w:rsid w:val="5F7DC4F2"/>
    <w:rsid w:val="5FB36814"/>
    <w:rsid w:val="5FBB8E56"/>
    <w:rsid w:val="5FFB5535"/>
    <w:rsid w:val="64CA39A1"/>
    <w:rsid w:val="69630ADE"/>
    <w:rsid w:val="69BD5F13"/>
    <w:rsid w:val="69FB0B4B"/>
    <w:rsid w:val="6BFFE1FB"/>
    <w:rsid w:val="6C4A05C8"/>
    <w:rsid w:val="6D3B1A89"/>
    <w:rsid w:val="6DB7D8A3"/>
    <w:rsid w:val="6EC78701"/>
    <w:rsid w:val="6F7A5481"/>
    <w:rsid w:val="6FFE07A9"/>
    <w:rsid w:val="71BF4EC2"/>
    <w:rsid w:val="72734D90"/>
    <w:rsid w:val="73E75B71"/>
    <w:rsid w:val="7412278C"/>
    <w:rsid w:val="75DDCDA9"/>
    <w:rsid w:val="75FF44B1"/>
    <w:rsid w:val="77670518"/>
    <w:rsid w:val="777FA627"/>
    <w:rsid w:val="77DF1B5F"/>
    <w:rsid w:val="77EF2D9D"/>
    <w:rsid w:val="79E7B28D"/>
    <w:rsid w:val="7ACFF0C2"/>
    <w:rsid w:val="7AFB9108"/>
    <w:rsid w:val="7BD5340C"/>
    <w:rsid w:val="7BFB19D2"/>
    <w:rsid w:val="7BFD1750"/>
    <w:rsid w:val="7BFDAA1B"/>
    <w:rsid w:val="7CDF9A82"/>
    <w:rsid w:val="7CFFA1BD"/>
    <w:rsid w:val="7D2E3F7A"/>
    <w:rsid w:val="7DED9490"/>
    <w:rsid w:val="7DFF4872"/>
    <w:rsid w:val="7E7487E6"/>
    <w:rsid w:val="7E7C2A54"/>
    <w:rsid w:val="7EEEFD72"/>
    <w:rsid w:val="7F1D517C"/>
    <w:rsid w:val="7F5DA057"/>
    <w:rsid w:val="7F6C2237"/>
    <w:rsid w:val="7F7F319B"/>
    <w:rsid w:val="7F9F20EE"/>
    <w:rsid w:val="7FBBE890"/>
    <w:rsid w:val="7FBC2ABD"/>
    <w:rsid w:val="7FBF5D48"/>
    <w:rsid w:val="7FCCFC01"/>
    <w:rsid w:val="7FDD1748"/>
    <w:rsid w:val="7FE769C6"/>
    <w:rsid w:val="7FFD083E"/>
    <w:rsid w:val="7FFF937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638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qFormat="1"/>
    <w:lsdException w:name="Body Text" w:semiHidden="0" w:unhideWhenUsed="0" w:qFormat="1"/>
    <w:lsdException w:name="Body Text Indent" w:semiHidden="0" w:uiPriority="0" w:unhideWhenUsed="0" w:qFormat="1"/>
    <w:lsdException w:name="Subtitle" w:semiHidden="0" w:uiPriority="11" w:unhideWhenUsed="0" w:qFormat="1"/>
    <w:lsdException w:name="Body Text First Indent 2" w:semiHidden="0" w:qFormat="1"/>
    <w:lsdException w:name="Hyperlink" w:semiHidden="0" w:qFormat="1"/>
    <w:lsdException w:name="Strong" w:semiHidden="0"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5"/>
    <w:qFormat/>
    <w:rsid w:val="00F32278"/>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F32278"/>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F3227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F32278"/>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
    <w:name w:val="标题 5（有编号）（绿盟科技）"/>
    <w:next w:val="a"/>
    <w:uiPriority w:val="99"/>
    <w:qFormat/>
    <w:rsid w:val="00F32278"/>
    <w:pPr>
      <w:keepNext/>
      <w:keepLines/>
      <w:widowControl w:val="0"/>
      <w:spacing w:before="280" w:after="156" w:line="377" w:lineRule="auto"/>
      <w:outlineLvl w:val="4"/>
    </w:pPr>
    <w:rPr>
      <w:rFonts w:ascii="Arial" w:eastAsia="黑体" w:hAnsi="Arial" w:cs="Times New Roman"/>
      <w:b/>
      <w:kern w:val="2"/>
      <w:sz w:val="24"/>
      <w:szCs w:val="28"/>
    </w:rPr>
  </w:style>
  <w:style w:type="paragraph" w:styleId="a3">
    <w:name w:val="Body Text"/>
    <w:basedOn w:val="a"/>
    <w:link w:val="Char"/>
    <w:uiPriority w:val="99"/>
    <w:qFormat/>
    <w:rsid w:val="00F32278"/>
    <w:pPr>
      <w:spacing w:beforeLines="30"/>
    </w:pPr>
    <w:rPr>
      <w:rFonts w:ascii="仿宋_GB2312" w:eastAsia="仿宋_GB2312"/>
      <w:kern w:val="0"/>
      <w:sz w:val="30"/>
    </w:rPr>
  </w:style>
  <w:style w:type="paragraph" w:styleId="a4">
    <w:name w:val="Body Text Indent"/>
    <w:basedOn w:val="a"/>
    <w:qFormat/>
    <w:rsid w:val="00F32278"/>
    <w:pPr>
      <w:spacing w:after="120"/>
      <w:ind w:leftChars="200" w:left="200"/>
    </w:pPr>
    <w:rPr>
      <w:rFonts w:ascii="仿宋_GB2312"/>
      <w:szCs w:val="32"/>
    </w:rPr>
  </w:style>
  <w:style w:type="paragraph" w:styleId="30">
    <w:name w:val="toc 3"/>
    <w:basedOn w:val="a"/>
    <w:next w:val="a"/>
    <w:uiPriority w:val="39"/>
    <w:unhideWhenUsed/>
    <w:qFormat/>
    <w:rsid w:val="00F32278"/>
    <w:pPr>
      <w:tabs>
        <w:tab w:val="right" w:leader="dot" w:pos="8296"/>
      </w:tabs>
      <w:ind w:leftChars="400" w:left="840"/>
    </w:pPr>
  </w:style>
  <w:style w:type="paragraph" w:styleId="a5">
    <w:name w:val="Balloon Text"/>
    <w:basedOn w:val="a"/>
    <w:link w:val="Char0"/>
    <w:uiPriority w:val="99"/>
    <w:semiHidden/>
    <w:unhideWhenUsed/>
    <w:qFormat/>
    <w:rsid w:val="00F32278"/>
    <w:rPr>
      <w:sz w:val="18"/>
      <w:szCs w:val="18"/>
    </w:rPr>
  </w:style>
  <w:style w:type="paragraph" w:styleId="a6">
    <w:name w:val="footer"/>
    <w:basedOn w:val="a"/>
    <w:link w:val="Char1"/>
    <w:uiPriority w:val="99"/>
    <w:qFormat/>
    <w:rsid w:val="00F32278"/>
    <w:pPr>
      <w:tabs>
        <w:tab w:val="center" w:pos="4153"/>
        <w:tab w:val="right" w:pos="8306"/>
      </w:tabs>
      <w:snapToGrid w:val="0"/>
      <w:jc w:val="left"/>
    </w:pPr>
    <w:rPr>
      <w:rFonts w:ascii="Calibri" w:hAnsi="Calibri"/>
      <w:kern w:val="0"/>
      <w:sz w:val="18"/>
      <w:szCs w:val="18"/>
    </w:rPr>
  </w:style>
  <w:style w:type="paragraph" w:styleId="a7">
    <w:name w:val="header"/>
    <w:basedOn w:val="a"/>
    <w:link w:val="Char2"/>
    <w:uiPriority w:val="99"/>
    <w:semiHidden/>
    <w:qFormat/>
    <w:rsid w:val="00F32278"/>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F32278"/>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F32278"/>
    <w:pPr>
      <w:tabs>
        <w:tab w:val="right" w:leader="dot" w:pos="8296"/>
      </w:tabs>
      <w:ind w:leftChars="200" w:left="420"/>
    </w:pPr>
  </w:style>
  <w:style w:type="paragraph" w:styleId="21">
    <w:name w:val="Body Text First Indent 2"/>
    <w:basedOn w:val="a4"/>
    <w:uiPriority w:val="99"/>
    <w:unhideWhenUsed/>
    <w:qFormat/>
    <w:rsid w:val="00F32278"/>
    <w:pPr>
      <w:ind w:firstLineChars="200" w:firstLine="420"/>
    </w:pPr>
  </w:style>
  <w:style w:type="character" w:styleId="a8">
    <w:name w:val="Strong"/>
    <w:basedOn w:val="a0"/>
    <w:uiPriority w:val="99"/>
    <w:qFormat/>
    <w:rsid w:val="00F32278"/>
    <w:rPr>
      <w:b/>
    </w:rPr>
  </w:style>
  <w:style w:type="character" w:styleId="a9">
    <w:name w:val="Hyperlink"/>
    <w:basedOn w:val="a0"/>
    <w:uiPriority w:val="99"/>
    <w:unhideWhenUsed/>
    <w:qFormat/>
    <w:rsid w:val="00F32278"/>
    <w:rPr>
      <w:color w:val="0000FF" w:themeColor="hyperlink"/>
      <w:u w:val="single"/>
    </w:rPr>
  </w:style>
  <w:style w:type="character" w:customStyle="1" w:styleId="HeaderChar">
    <w:name w:val="Header Char"/>
    <w:basedOn w:val="a0"/>
    <w:uiPriority w:val="99"/>
    <w:semiHidden/>
    <w:qFormat/>
    <w:rsid w:val="00F32278"/>
    <w:rPr>
      <w:rFonts w:ascii="Times New Roman" w:hAnsi="Times New Roman"/>
      <w:sz w:val="18"/>
      <w:szCs w:val="18"/>
    </w:rPr>
  </w:style>
  <w:style w:type="character" w:customStyle="1" w:styleId="Char2">
    <w:name w:val="页眉 Char"/>
    <w:link w:val="a7"/>
    <w:uiPriority w:val="99"/>
    <w:semiHidden/>
    <w:qFormat/>
    <w:locked/>
    <w:rsid w:val="00F32278"/>
    <w:rPr>
      <w:sz w:val="18"/>
    </w:rPr>
  </w:style>
  <w:style w:type="character" w:customStyle="1" w:styleId="FooterChar">
    <w:name w:val="Footer Char"/>
    <w:basedOn w:val="a0"/>
    <w:uiPriority w:val="99"/>
    <w:semiHidden/>
    <w:qFormat/>
    <w:rsid w:val="00F32278"/>
    <w:rPr>
      <w:rFonts w:ascii="Times New Roman" w:hAnsi="Times New Roman"/>
      <w:sz w:val="18"/>
      <w:szCs w:val="18"/>
    </w:rPr>
  </w:style>
  <w:style w:type="character" w:customStyle="1" w:styleId="Char1">
    <w:name w:val="页脚 Char"/>
    <w:link w:val="a6"/>
    <w:uiPriority w:val="99"/>
    <w:qFormat/>
    <w:locked/>
    <w:rsid w:val="00F32278"/>
    <w:rPr>
      <w:sz w:val="18"/>
    </w:rPr>
  </w:style>
  <w:style w:type="character" w:customStyle="1" w:styleId="BodyTextChar">
    <w:name w:val="Body Text Char"/>
    <w:basedOn w:val="a0"/>
    <w:uiPriority w:val="99"/>
    <w:semiHidden/>
    <w:qFormat/>
    <w:rsid w:val="00F32278"/>
    <w:rPr>
      <w:rFonts w:ascii="Times New Roman" w:hAnsi="Times New Roman"/>
      <w:szCs w:val="24"/>
    </w:rPr>
  </w:style>
  <w:style w:type="character" w:customStyle="1" w:styleId="Char">
    <w:name w:val="正文文本 Char"/>
    <w:link w:val="a3"/>
    <w:uiPriority w:val="99"/>
    <w:qFormat/>
    <w:locked/>
    <w:rsid w:val="00F32278"/>
    <w:rPr>
      <w:rFonts w:ascii="仿宋_GB2312" w:eastAsia="仿宋_GB2312" w:hAnsi="Times New Roman"/>
      <w:sz w:val="24"/>
    </w:rPr>
  </w:style>
  <w:style w:type="paragraph" w:customStyle="1" w:styleId="Default">
    <w:name w:val="Default"/>
    <w:uiPriority w:val="99"/>
    <w:qFormat/>
    <w:rsid w:val="00F32278"/>
    <w:pPr>
      <w:widowControl w:val="0"/>
      <w:autoSpaceDE w:val="0"/>
      <w:autoSpaceDN w:val="0"/>
      <w:adjustRightInd w:val="0"/>
    </w:pPr>
    <w:rPr>
      <w:rFonts w:ascii="仿宋" w:eastAsia="仿宋" w:hAnsi="Calibri" w:cs="仿宋"/>
      <w:color w:val="000000"/>
      <w:sz w:val="24"/>
      <w:szCs w:val="24"/>
    </w:rPr>
  </w:style>
  <w:style w:type="paragraph" w:styleId="aa">
    <w:name w:val="List Paragraph"/>
    <w:basedOn w:val="a"/>
    <w:uiPriority w:val="34"/>
    <w:qFormat/>
    <w:rsid w:val="00F32278"/>
    <w:pPr>
      <w:ind w:firstLineChars="200" w:firstLine="420"/>
    </w:pPr>
  </w:style>
  <w:style w:type="character" w:customStyle="1" w:styleId="1Char">
    <w:name w:val="标题 1 Char"/>
    <w:basedOn w:val="a0"/>
    <w:link w:val="1"/>
    <w:uiPriority w:val="9"/>
    <w:qFormat/>
    <w:rsid w:val="00F32278"/>
    <w:rPr>
      <w:rFonts w:ascii="Times New Roman" w:hAnsi="Times New Roman"/>
      <w:b/>
      <w:bCs/>
      <w:kern w:val="44"/>
      <w:sz w:val="44"/>
      <w:szCs w:val="44"/>
    </w:rPr>
  </w:style>
  <w:style w:type="character" w:customStyle="1" w:styleId="2Char">
    <w:name w:val="标题 2 Char"/>
    <w:basedOn w:val="a0"/>
    <w:link w:val="2"/>
    <w:uiPriority w:val="9"/>
    <w:qFormat/>
    <w:rsid w:val="00F32278"/>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F32278"/>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0"/>
    <w:link w:val="a5"/>
    <w:uiPriority w:val="99"/>
    <w:semiHidden/>
    <w:qFormat/>
    <w:rsid w:val="00F32278"/>
    <w:rPr>
      <w:rFonts w:ascii="Times New Roman" w:hAnsi="Times New Roman"/>
      <w:kern w:val="2"/>
      <w:sz w:val="18"/>
      <w:szCs w:val="18"/>
    </w:rPr>
  </w:style>
  <w:style w:type="character" w:customStyle="1" w:styleId="3Char">
    <w:name w:val="标题 3 Char"/>
    <w:basedOn w:val="a0"/>
    <w:link w:val="3"/>
    <w:uiPriority w:val="9"/>
    <w:qFormat/>
    <w:rsid w:val="00F32278"/>
    <w:rPr>
      <w:rFonts w:ascii="Times New Roman" w:hAnsi="Times New Roman"/>
      <w:b/>
      <w:bCs/>
      <w:kern w:val="2"/>
      <w:sz w:val="32"/>
      <w:szCs w:val="32"/>
    </w:rPr>
  </w:style>
  <w:style w:type="paragraph" w:customStyle="1" w:styleId="TOC2">
    <w:name w:val="TOC 标题2"/>
    <w:basedOn w:val="1"/>
    <w:next w:val="a"/>
    <w:uiPriority w:val="39"/>
    <w:unhideWhenUsed/>
    <w:qFormat/>
    <w:rsid w:val="00F32278"/>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styleId="ab">
    <w:name w:val="FollowedHyperlink"/>
    <w:basedOn w:val="a0"/>
    <w:uiPriority w:val="99"/>
    <w:semiHidden/>
    <w:unhideWhenUsed/>
    <w:rsid w:val="00022D95"/>
    <w:rPr>
      <w:color w:val="954F72"/>
      <w:u w:val="single"/>
    </w:rPr>
  </w:style>
  <w:style w:type="paragraph" w:customStyle="1" w:styleId="msonormal0">
    <w:name w:val="msonormal"/>
    <w:basedOn w:val="a"/>
    <w:rsid w:val="00022D95"/>
    <w:pPr>
      <w:widowControl/>
      <w:spacing w:before="100" w:beforeAutospacing="1" w:after="100" w:afterAutospacing="1"/>
      <w:jc w:val="left"/>
    </w:pPr>
    <w:rPr>
      <w:rFonts w:ascii="宋体" w:hAnsi="宋体" w:cs="宋体"/>
      <w:kern w:val="0"/>
      <w:sz w:val="24"/>
    </w:rPr>
  </w:style>
  <w:style w:type="paragraph" w:customStyle="1" w:styleId="xl65">
    <w:name w:val="xl65"/>
    <w:basedOn w:val="a"/>
    <w:rsid w:val="00022D95"/>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hAnsi="宋体" w:cs="宋体"/>
      <w:color w:val="000000"/>
      <w:kern w:val="0"/>
      <w:sz w:val="18"/>
      <w:szCs w:val="18"/>
    </w:rPr>
  </w:style>
  <w:style w:type="paragraph" w:customStyle="1" w:styleId="xl66">
    <w:name w:val="xl66"/>
    <w:basedOn w:val="a"/>
    <w:rsid w:val="00022D95"/>
    <w:pPr>
      <w:widowControl/>
      <w:spacing w:before="100" w:beforeAutospacing="1" w:after="100" w:afterAutospacing="1"/>
      <w:jc w:val="left"/>
    </w:pPr>
    <w:rPr>
      <w:rFonts w:ascii="Courier New" w:hAnsi="Courier New" w:cs="Courier New"/>
      <w:color w:val="000000"/>
      <w:kern w:val="0"/>
      <w:sz w:val="18"/>
      <w:szCs w:val="18"/>
    </w:rPr>
  </w:style>
  <w:style w:type="paragraph" w:customStyle="1" w:styleId="xl67">
    <w:name w:val="xl67"/>
    <w:basedOn w:val="a"/>
    <w:rsid w:val="00022D95"/>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8">
    <w:name w:val="xl68"/>
    <w:basedOn w:val="a"/>
    <w:rsid w:val="00022D95"/>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9">
    <w:name w:val="xl69"/>
    <w:basedOn w:val="a"/>
    <w:rsid w:val="00022D95"/>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70">
    <w:name w:val="xl70"/>
    <w:basedOn w:val="a"/>
    <w:rsid w:val="00022D95"/>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微软雅黑" w:eastAsia="微软雅黑" w:hAnsi="微软雅黑" w:cs="宋体"/>
      <w:i/>
      <w:iCs/>
      <w:color w:val="000000"/>
      <w:kern w:val="0"/>
      <w:sz w:val="16"/>
      <w:szCs w:val="16"/>
    </w:rPr>
  </w:style>
  <w:style w:type="paragraph" w:customStyle="1" w:styleId="xl71">
    <w:name w:val="xl71"/>
    <w:basedOn w:val="a"/>
    <w:rsid w:val="00022D95"/>
    <w:pPr>
      <w:widowControl/>
      <w:spacing w:before="100" w:beforeAutospacing="1" w:after="100" w:afterAutospacing="1"/>
      <w:jc w:val="left"/>
    </w:pPr>
    <w:rPr>
      <w:rFonts w:ascii="宋体" w:hAnsi="宋体" w:cs="宋体"/>
      <w:kern w:val="0"/>
      <w:sz w:val="18"/>
      <w:szCs w:val="18"/>
    </w:rPr>
  </w:style>
  <w:style w:type="paragraph" w:customStyle="1" w:styleId="xl72">
    <w:name w:val="xl72"/>
    <w:basedOn w:val="a"/>
    <w:rsid w:val="00022D95"/>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黑体" w:eastAsia="黑体" w:hAnsi="黑体" w:cs="宋体"/>
      <w:b/>
      <w:bCs/>
      <w:color w:val="000000"/>
      <w:kern w:val="0"/>
      <w:sz w:val="30"/>
      <w:szCs w:val="30"/>
    </w:rPr>
  </w:style>
  <w:style w:type="paragraph" w:customStyle="1" w:styleId="xl73">
    <w:name w:val="xl73"/>
    <w:basedOn w:val="a"/>
    <w:rsid w:val="00022D95"/>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Courier New" w:hAnsi="Courier New" w:cs="Courier New"/>
      <w:color w:val="000000"/>
      <w:kern w:val="0"/>
      <w:sz w:val="18"/>
      <w:szCs w:val="18"/>
    </w:rPr>
  </w:style>
  <w:style w:type="paragraph" w:customStyle="1" w:styleId="xl74">
    <w:name w:val="xl74"/>
    <w:basedOn w:val="a"/>
    <w:rsid w:val="00022D95"/>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color w:val="000000"/>
      <w:kern w:val="0"/>
      <w:sz w:val="18"/>
      <w:szCs w:val="18"/>
    </w:rPr>
  </w:style>
  <w:style w:type="paragraph" w:customStyle="1" w:styleId="xl75">
    <w:name w:val="xl75"/>
    <w:basedOn w:val="a"/>
    <w:rsid w:val="00022D95"/>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i/>
      <w:iCs/>
      <w:color w:val="000000"/>
      <w:kern w:val="0"/>
      <w:sz w:val="18"/>
      <w:szCs w:val="18"/>
    </w:rPr>
  </w:style>
  <w:style w:type="paragraph" w:customStyle="1" w:styleId="xl76">
    <w:name w:val="xl76"/>
    <w:basedOn w:val="a"/>
    <w:rsid w:val="00022D95"/>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微软雅黑" w:eastAsia="微软雅黑" w:hAnsi="微软雅黑" w:cs="宋体"/>
      <w:i/>
      <w:iCs/>
      <w:color w:val="000000"/>
      <w:kern w:val="0"/>
      <w:sz w:val="16"/>
      <w:szCs w:val="16"/>
    </w:rPr>
  </w:style>
  <w:style w:type="paragraph" w:customStyle="1" w:styleId="font5">
    <w:name w:val="font5"/>
    <w:basedOn w:val="a"/>
    <w:rsid w:val="002B1884"/>
    <w:pPr>
      <w:widowControl/>
      <w:spacing w:before="100" w:beforeAutospacing="1" w:after="100" w:afterAutospacing="1"/>
      <w:jc w:val="left"/>
    </w:pPr>
    <w:rPr>
      <w:rFonts w:ascii="等线" w:eastAsia="等线" w:hAnsi="等线" w:cs="宋体"/>
      <w:kern w:val="0"/>
      <w:sz w:val="18"/>
      <w:szCs w:val="18"/>
    </w:rPr>
  </w:style>
  <w:style w:type="paragraph" w:customStyle="1" w:styleId="xl63">
    <w:name w:val="xl63"/>
    <w:basedOn w:val="a"/>
    <w:rsid w:val="002B1884"/>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hAnsi="宋体" w:cs="宋体"/>
      <w:color w:val="000000"/>
      <w:kern w:val="0"/>
      <w:sz w:val="18"/>
      <w:szCs w:val="18"/>
    </w:rPr>
  </w:style>
  <w:style w:type="paragraph" w:customStyle="1" w:styleId="xl64">
    <w:name w:val="xl64"/>
    <w:basedOn w:val="a"/>
    <w:rsid w:val="002B1884"/>
    <w:pPr>
      <w:widowControl/>
      <w:spacing w:before="100" w:beforeAutospacing="1" w:after="100" w:afterAutospacing="1"/>
      <w:jc w:val="left"/>
    </w:pPr>
    <w:rPr>
      <w:rFonts w:ascii="Courier New" w:hAnsi="Courier New" w:cs="Courier New"/>
      <w:color w:val="000000"/>
      <w:kern w:val="0"/>
      <w:sz w:val="18"/>
      <w:szCs w:val="18"/>
    </w:rPr>
  </w:style>
</w:styles>
</file>

<file path=word/webSettings.xml><?xml version="1.0" encoding="utf-8"?>
<w:webSettings xmlns:r="http://schemas.openxmlformats.org/officeDocument/2006/relationships" xmlns:w="http://schemas.openxmlformats.org/wordprocessingml/2006/main">
  <w:divs>
    <w:div w:id="66995225">
      <w:bodyDiv w:val="1"/>
      <w:marLeft w:val="0"/>
      <w:marRight w:val="0"/>
      <w:marTop w:val="0"/>
      <w:marBottom w:val="0"/>
      <w:divBdr>
        <w:top w:val="none" w:sz="0" w:space="0" w:color="auto"/>
        <w:left w:val="none" w:sz="0" w:space="0" w:color="auto"/>
        <w:bottom w:val="none" w:sz="0" w:space="0" w:color="auto"/>
        <w:right w:val="none" w:sz="0" w:space="0" w:color="auto"/>
      </w:divBdr>
    </w:div>
    <w:div w:id="166603128">
      <w:bodyDiv w:val="1"/>
      <w:marLeft w:val="0"/>
      <w:marRight w:val="0"/>
      <w:marTop w:val="0"/>
      <w:marBottom w:val="0"/>
      <w:divBdr>
        <w:top w:val="none" w:sz="0" w:space="0" w:color="auto"/>
        <w:left w:val="none" w:sz="0" w:space="0" w:color="auto"/>
        <w:bottom w:val="none" w:sz="0" w:space="0" w:color="auto"/>
        <w:right w:val="none" w:sz="0" w:space="0" w:color="auto"/>
      </w:divBdr>
    </w:div>
    <w:div w:id="409423950">
      <w:bodyDiv w:val="1"/>
      <w:marLeft w:val="0"/>
      <w:marRight w:val="0"/>
      <w:marTop w:val="0"/>
      <w:marBottom w:val="0"/>
      <w:divBdr>
        <w:top w:val="none" w:sz="0" w:space="0" w:color="auto"/>
        <w:left w:val="none" w:sz="0" w:space="0" w:color="auto"/>
        <w:bottom w:val="none" w:sz="0" w:space="0" w:color="auto"/>
        <w:right w:val="none" w:sz="0" w:space="0" w:color="auto"/>
      </w:divBdr>
    </w:div>
    <w:div w:id="539590103">
      <w:bodyDiv w:val="1"/>
      <w:marLeft w:val="0"/>
      <w:marRight w:val="0"/>
      <w:marTop w:val="0"/>
      <w:marBottom w:val="0"/>
      <w:divBdr>
        <w:top w:val="none" w:sz="0" w:space="0" w:color="auto"/>
        <w:left w:val="none" w:sz="0" w:space="0" w:color="auto"/>
        <w:bottom w:val="none" w:sz="0" w:space="0" w:color="auto"/>
        <w:right w:val="none" w:sz="0" w:space="0" w:color="auto"/>
      </w:divBdr>
    </w:div>
    <w:div w:id="656301218">
      <w:bodyDiv w:val="1"/>
      <w:marLeft w:val="0"/>
      <w:marRight w:val="0"/>
      <w:marTop w:val="0"/>
      <w:marBottom w:val="0"/>
      <w:divBdr>
        <w:top w:val="none" w:sz="0" w:space="0" w:color="auto"/>
        <w:left w:val="none" w:sz="0" w:space="0" w:color="auto"/>
        <w:bottom w:val="none" w:sz="0" w:space="0" w:color="auto"/>
        <w:right w:val="none" w:sz="0" w:space="0" w:color="auto"/>
      </w:divBdr>
    </w:div>
    <w:div w:id="686099826">
      <w:bodyDiv w:val="1"/>
      <w:marLeft w:val="0"/>
      <w:marRight w:val="0"/>
      <w:marTop w:val="0"/>
      <w:marBottom w:val="0"/>
      <w:divBdr>
        <w:top w:val="none" w:sz="0" w:space="0" w:color="auto"/>
        <w:left w:val="none" w:sz="0" w:space="0" w:color="auto"/>
        <w:bottom w:val="none" w:sz="0" w:space="0" w:color="auto"/>
        <w:right w:val="none" w:sz="0" w:space="0" w:color="auto"/>
      </w:divBdr>
    </w:div>
    <w:div w:id="840117503">
      <w:bodyDiv w:val="1"/>
      <w:marLeft w:val="0"/>
      <w:marRight w:val="0"/>
      <w:marTop w:val="0"/>
      <w:marBottom w:val="0"/>
      <w:divBdr>
        <w:top w:val="none" w:sz="0" w:space="0" w:color="auto"/>
        <w:left w:val="none" w:sz="0" w:space="0" w:color="auto"/>
        <w:bottom w:val="none" w:sz="0" w:space="0" w:color="auto"/>
        <w:right w:val="none" w:sz="0" w:space="0" w:color="auto"/>
      </w:divBdr>
    </w:div>
    <w:div w:id="1071731989">
      <w:bodyDiv w:val="1"/>
      <w:marLeft w:val="0"/>
      <w:marRight w:val="0"/>
      <w:marTop w:val="0"/>
      <w:marBottom w:val="0"/>
      <w:divBdr>
        <w:top w:val="none" w:sz="0" w:space="0" w:color="auto"/>
        <w:left w:val="none" w:sz="0" w:space="0" w:color="auto"/>
        <w:bottom w:val="none" w:sz="0" w:space="0" w:color="auto"/>
        <w:right w:val="none" w:sz="0" w:space="0" w:color="auto"/>
      </w:divBdr>
    </w:div>
    <w:div w:id="1094939908">
      <w:bodyDiv w:val="1"/>
      <w:marLeft w:val="0"/>
      <w:marRight w:val="0"/>
      <w:marTop w:val="0"/>
      <w:marBottom w:val="0"/>
      <w:divBdr>
        <w:top w:val="none" w:sz="0" w:space="0" w:color="auto"/>
        <w:left w:val="none" w:sz="0" w:space="0" w:color="auto"/>
        <w:bottom w:val="none" w:sz="0" w:space="0" w:color="auto"/>
        <w:right w:val="none" w:sz="0" w:space="0" w:color="auto"/>
      </w:divBdr>
    </w:div>
    <w:div w:id="1303577186">
      <w:bodyDiv w:val="1"/>
      <w:marLeft w:val="0"/>
      <w:marRight w:val="0"/>
      <w:marTop w:val="0"/>
      <w:marBottom w:val="0"/>
      <w:divBdr>
        <w:top w:val="none" w:sz="0" w:space="0" w:color="auto"/>
        <w:left w:val="none" w:sz="0" w:space="0" w:color="auto"/>
        <w:bottom w:val="none" w:sz="0" w:space="0" w:color="auto"/>
        <w:right w:val="none" w:sz="0" w:space="0" w:color="auto"/>
      </w:divBdr>
    </w:div>
    <w:div w:id="1813719051">
      <w:bodyDiv w:val="1"/>
      <w:marLeft w:val="0"/>
      <w:marRight w:val="0"/>
      <w:marTop w:val="0"/>
      <w:marBottom w:val="0"/>
      <w:divBdr>
        <w:top w:val="none" w:sz="0" w:space="0" w:color="auto"/>
        <w:left w:val="none" w:sz="0" w:space="0" w:color="auto"/>
        <w:bottom w:val="none" w:sz="0" w:space="0" w:color="auto"/>
        <w:right w:val="none" w:sz="0" w:space="0" w:color="auto"/>
      </w:divBdr>
    </w:div>
    <w:div w:id="1974017445">
      <w:bodyDiv w:val="1"/>
      <w:marLeft w:val="0"/>
      <w:marRight w:val="0"/>
      <w:marTop w:val="0"/>
      <w:marBottom w:val="0"/>
      <w:divBdr>
        <w:top w:val="none" w:sz="0" w:space="0" w:color="auto"/>
        <w:left w:val="none" w:sz="0" w:space="0" w:color="auto"/>
        <w:bottom w:val="none" w:sz="0" w:space="0" w:color="auto"/>
        <w:right w:val="none" w:sz="0" w:space="0" w:color="auto"/>
      </w:divBdr>
    </w:div>
    <w:div w:id="21138958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header" Target="header1.xml"/></Relationships>
</file>

<file path=word/charts/_rels/chart1.xml.rels><?xml version="1.0" encoding="UTF-8" standalone="yes"?>
<Relationships xmlns="http://schemas.openxmlformats.org/package/2006/relationships"><Relationship Id="rId3" Type="http://schemas.microsoft.com/office/2011/relationships/chartStyle" Target="style1.xml"/><Relationship Id="rId2" Type="http://schemas.microsoft.com/office/2011/relationships/chartColorStyle" Target="colors1.xml"/><Relationship Id="rId1" Type="http://schemas.openxmlformats.org/officeDocument/2006/relationships/package" Target="../embeddings/Microsoft_Office_Excel____1.xlsx"/></Relationships>
</file>

<file path=word/charts/_rels/chart2.xml.rels><?xml version="1.0" encoding="UTF-8" standalone="yes"?>
<Relationships xmlns="http://schemas.openxmlformats.org/package/2006/relationships"><Relationship Id="rId3" Type="http://schemas.microsoft.com/office/2011/relationships/chartStyle" Target="style2.xml"/><Relationship Id="rId2" Type="http://schemas.microsoft.com/office/2011/relationships/chartColorStyle" Target="colors2.xml"/><Relationship Id="rId1" Type="http://schemas.openxmlformats.org/officeDocument/2006/relationships/package" Target="../embeddings/Microsoft_Office_Excel____2.xlsx"/></Relationships>
</file>

<file path=word/charts/_rels/chart3.xml.rels><?xml version="1.0" encoding="UTF-8" standalone="yes"?>
<Relationships xmlns="http://schemas.openxmlformats.org/package/2006/relationships"><Relationship Id="rId3" Type="http://schemas.microsoft.com/office/2011/relationships/chartStyle" Target="style3.xml"/><Relationship Id="rId2" Type="http://schemas.microsoft.com/office/2011/relationships/chartColorStyle" Target="colors3.xml"/><Relationship Id="rId1" Type="http://schemas.openxmlformats.org/officeDocument/2006/relationships/package" Target="../embeddings/Microsoft_Office_Excel____3.xlsx"/></Relationships>
</file>

<file path=word/charts/_rels/chart4.xml.rels><?xml version="1.0" encoding="UTF-8" standalone="yes"?>
<Relationships xmlns="http://schemas.openxmlformats.org/package/2006/relationships"><Relationship Id="rId3" Type="http://schemas.microsoft.com/office/2011/relationships/chartStyle" Target="style4.xml"/><Relationship Id="rId2" Type="http://schemas.microsoft.com/office/2011/relationships/chartColorStyle" Target="colors4.xml"/><Relationship Id="rId1" Type="http://schemas.openxmlformats.org/officeDocument/2006/relationships/package" Target="../embeddings/Microsoft_Office_Excel____4.xlsx"/></Relationships>
</file>

<file path=word/charts/_rels/chart5.xml.rels><?xml version="1.0" encoding="UTF-8" standalone="yes"?>
<Relationships xmlns="http://schemas.openxmlformats.org/package/2006/relationships"><Relationship Id="rId3" Type="http://schemas.microsoft.com/office/2011/relationships/chartStyle" Target="style5.xml"/><Relationship Id="rId2" Type="http://schemas.microsoft.com/office/2011/relationships/chartColorStyle" Target="colors5.xml"/><Relationship Id="rId1" Type="http://schemas.openxmlformats.org/officeDocument/2006/relationships/package" Target="../embeddings/Microsoft_Office_Excel____5.xlsx"/></Relationships>
</file>

<file path=word/charts/_rels/chart6.xml.rels><?xml version="1.0" encoding="UTF-8" standalone="yes"?>
<Relationships xmlns="http://schemas.openxmlformats.org/package/2006/relationships"><Relationship Id="rId3" Type="http://schemas.microsoft.com/office/2011/relationships/chartStyle" Target="style6.xml"/><Relationship Id="rId2" Type="http://schemas.microsoft.com/office/2011/relationships/chartColorStyle" Target="colors6.xml"/><Relationship Id="rId1" Type="http://schemas.openxmlformats.org/officeDocument/2006/relationships/package" Target="../embeddings/Microsoft_Office_Excel____6.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layout/>
      <c:spPr>
        <a:noFill/>
        <a:ln>
          <a:noFill/>
        </a:ln>
        <a:effectLst/>
      </c:spPr>
      <c:txPr>
        <a:bodyPr rot="0" spcFirstLastPara="1" vertOverflow="ellipsis" vert="horz" wrap="square" anchor="ctr" anchorCtr="1"/>
        <a:lstStyle/>
        <a:p>
          <a:pPr>
            <a:defRPr b="0" i="0" u="none" strike="noStrike" kern="1200" baseline="0">
              <a:solidFill>
                <a:schemeClr val="dk1">
                  <a:lumMod val="65000"/>
                  <a:lumOff val="35000"/>
                </a:schemeClr>
              </a:solidFill>
              <a:effectLst/>
              <a:latin typeface="+mn-lt"/>
              <a:ea typeface="+mn-ea"/>
              <a:cs typeface="+mn-cs"/>
            </a:defRPr>
          </a:pPr>
          <a:endParaRPr lang="zh-CN"/>
        </a:p>
      </c:txPr>
    </c:title>
    <c:plotArea>
      <c:layout/>
      <c:barChart>
        <c:barDir val="col"/>
        <c:grouping val="clustered"/>
        <c:ser>
          <c:idx val="0"/>
          <c:order val="0"/>
          <c:tx>
            <c:strRef>
              <c:f>Sheet1!$B$1</c:f>
              <c:strCache>
                <c:ptCount val="1"/>
                <c:pt idx="0">
                  <c:v>收、支</c:v>
                </c:pt>
              </c:strCache>
            </c:strRef>
          </c:tx>
          <c:spPr>
            <a:gradFill>
              <a:gsLst>
                <a:gs pos="0">
                  <a:schemeClr val="accent1"/>
                </a:gs>
                <a:gs pos="100000">
                  <a:schemeClr val="accent1">
                    <a:lumMod val="84000"/>
                  </a:schemeClr>
                </a:gs>
              </a:gsLst>
              <a:lin ang="5400000" scaled="1"/>
            </a:gradFill>
            <a:ln>
              <a:noFill/>
            </a:ln>
            <a:effectLst>
              <a:outerShdw blurRad="76200" dir="18900000" sy="23000" kx="-1200000" algn="bl" rotWithShape="0">
                <a:prstClr val="black">
                  <a:alpha val="20000"/>
                </a:prstClr>
              </a:outerShdw>
            </a:effectLst>
          </c:spPr>
          <c:dLbls>
            <c:dLbl>
              <c:idx val="0"/>
              <c:layout/>
              <c:tx>
                <c:rich>
                  <a:bodyPr/>
                  <a:lstStyle/>
                  <a:p>
                    <a:r>
                      <a:rPr lang="en-US" altLang="en-US"/>
                      <a:t>84.13</a:t>
                    </a:r>
                    <a:r>
                      <a:rPr lang="zh-CN" altLang="en-US" sz="1000" b="1" i="0" u="none" strike="noStrike" baseline="0"/>
                      <a:t>万元</a:t>
                    </a:r>
                    <a:endParaRPr lang="en-US" altLang="en-US"/>
                  </a:p>
                </c:rich>
              </c:tx>
              <c:dLblPos val="inEnd"/>
              <c:showVal val="1"/>
            </c:dLbl>
            <c:dLbl>
              <c:idx val="1"/>
              <c:layout/>
              <c:tx>
                <c:rich>
                  <a:bodyPr/>
                  <a:lstStyle/>
                  <a:p>
                    <a:r>
                      <a:rPr lang="en-US" altLang="en-US"/>
                      <a:t>85.87</a:t>
                    </a:r>
                    <a:r>
                      <a:rPr lang="zh-CN" altLang="en-US" sz="1000" b="1" i="0" u="none" strike="noStrike" baseline="0"/>
                      <a:t>万元</a:t>
                    </a:r>
                    <a:endParaRPr lang="en-US" altLang="en-US"/>
                  </a:p>
                </c:rich>
              </c:tx>
              <c:dLblPos val="inEnd"/>
              <c:showVal val="1"/>
            </c:dLbl>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zh-CN"/>
              </a:p>
            </c:txPr>
            <c:dLblPos val="inEnd"/>
            <c:showVal val="1"/>
            <c:extLst xmlns:c16r2="http://schemas.microsoft.com/office/drawing/2015/06/char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numRef>
              <c:f>Sheet1!$A$2:$A$3</c:f>
              <c:numCache>
                <c:formatCode>General</c:formatCode>
                <c:ptCount val="2"/>
                <c:pt idx="0">
                  <c:v>2023</c:v>
                </c:pt>
                <c:pt idx="1">
                  <c:v>2022</c:v>
                </c:pt>
              </c:numCache>
            </c:numRef>
          </c:cat>
          <c:val>
            <c:numRef>
              <c:f>Sheet1!$B$2:$B$3</c:f>
              <c:numCache>
                <c:formatCode>General</c:formatCode>
                <c:ptCount val="2"/>
                <c:pt idx="0">
                  <c:v>84.13</c:v>
                </c:pt>
                <c:pt idx="1">
                  <c:v>85.86999999999999</c:v>
                </c:pt>
              </c:numCache>
            </c:numRef>
          </c:val>
          <c:extLst xmlns:c16r2="http://schemas.microsoft.com/office/drawing/2015/06/chart">
            <c:ext xmlns:c16="http://schemas.microsoft.com/office/drawing/2014/chart" uri="{C3380CC4-5D6E-409C-BE32-E72D297353CC}">
              <c16:uniqueId val="{00000000-A2F5-4B57-8ECC-10D0489A13E7}"/>
            </c:ext>
          </c:extLst>
        </c:ser>
        <c:dLbls>
          <c:showVal val="1"/>
        </c:dLbls>
        <c:gapWidth val="41"/>
        <c:axId val="305801088"/>
        <c:axId val="305802624"/>
      </c:barChart>
      <c:catAx>
        <c:axId val="305801088"/>
        <c:scaling>
          <c:orientation val="minMax"/>
        </c:scaling>
        <c:axPos val="b"/>
        <c:numFmt formatCode="General"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lumMod val="65000"/>
                    <a:lumOff val="35000"/>
                  </a:schemeClr>
                </a:solidFill>
                <a:effectLst/>
                <a:latin typeface="+mn-lt"/>
                <a:ea typeface="+mn-ea"/>
                <a:cs typeface="+mn-cs"/>
              </a:defRPr>
            </a:pPr>
            <a:endParaRPr lang="zh-CN"/>
          </a:p>
        </c:txPr>
        <c:crossAx val="305802624"/>
        <c:crosses val="autoZero"/>
        <c:auto val="1"/>
        <c:lblAlgn val="ctr"/>
        <c:lblOffset val="100"/>
      </c:catAx>
      <c:valAx>
        <c:axId val="305802624"/>
        <c:scaling>
          <c:orientation val="minMax"/>
        </c:scaling>
        <c:delete val="1"/>
        <c:axPos val="l"/>
        <c:numFmt formatCode="General" sourceLinked="1"/>
        <c:majorTickMark val="none"/>
        <c:tickLblPos val="nextTo"/>
        <c:crossAx val="305801088"/>
        <c:crosses val="autoZero"/>
        <c:crossBetween val="between"/>
      </c:valAx>
      <c:spPr>
        <a:noFill/>
        <a:ln>
          <a:noFill/>
        </a:ln>
        <a:effectLst/>
      </c:spPr>
    </c:plotArea>
    <c:legend>
      <c:legendPos val="t"/>
      <c:layout/>
      <c:spPr>
        <a:noFill/>
        <a:ln>
          <a:noFill/>
        </a:ln>
        <a:effectLst/>
      </c:spPr>
      <c:txPr>
        <a:bodyPr rot="0" spcFirstLastPara="1" vertOverflow="ellipsis" vert="horz" wrap="square" anchor="ctr" anchorCtr="1"/>
        <a:lstStyle/>
        <a:p>
          <a:pPr>
            <a:defRPr sz="900" b="0" i="0" u="none" strike="noStrike" kern="1200" baseline="0">
              <a:solidFill>
                <a:schemeClr val="dk1">
                  <a:lumMod val="65000"/>
                  <a:lumOff val="35000"/>
                </a:schemeClr>
              </a:solidFill>
              <a:latin typeface="+mn-lt"/>
              <a:ea typeface="+mn-ea"/>
              <a:cs typeface="+mn-cs"/>
            </a:defRPr>
          </a:pPr>
          <a:endParaRPr lang="zh-CN"/>
        </a:p>
      </c:txPr>
    </c:legend>
    <c:plotVisOnly val="1"/>
    <c:dispBlanksAs val="gap"/>
  </c:chart>
  <c:spPr>
    <a:gradFill flip="none" rotWithShape="1">
      <a:gsLst>
        <a:gs pos="0">
          <a:schemeClr val="lt1"/>
        </a:gs>
        <a:gs pos="68000">
          <a:schemeClr val="lt1">
            <a:lumMod val="85000"/>
          </a:schemeClr>
        </a:gs>
        <a:gs pos="100000">
          <a:schemeClr val="lt1"/>
        </a:gs>
      </a:gsLst>
      <a:lin ang="5400000" scaled="1"/>
      <a:tileRect/>
    </a:gradFill>
    <a:ln w="9525" cap="flat" cmpd="sng" algn="ctr">
      <a:solidFill>
        <a:schemeClr val="dk1">
          <a:lumMod val="15000"/>
          <a:lumOff val="85000"/>
        </a:schemeClr>
      </a:solidFill>
      <a:round/>
    </a:ln>
    <a:effectLst/>
  </c:spPr>
  <c:txPr>
    <a:bodyPr/>
    <a:lstStyle/>
    <a:p>
      <a:pPr>
        <a:defRPr/>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layout/>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zh-CN"/>
        </a:p>
      </c:txPr>
    </c:title>
    <c:plotArea>
      <c:layout/>
      <c:pieChart>
        <c:varyColors val="1"/>
        <c:ser>
          <c:idx val="0"/>
          <c:order val="0"/>
          <c:tx>
            <c:strRef>
              <c:f>Sheet1!$B$1</c:f>
              <c:strCache>
                <c:ptCount val="1"/>
                <c:pt idx="0">
                  <c:v>收入</c:v>
                </c:pt>
              </c:strCache>
            </c:strRef>
          </c:tx>
          <c:dPt>
            <c:idx val="0"/>
            <c:spPr>
              <a:solidFill>
                <a:schemeClr val="accent1"/>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0-D9E6-4EBC-9DC2-2EAA3AD7713B}"/>
              </c:ext>
            </c:extLst>
          </c:dPt>
          <c:dLbls>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zh-CN"/>
              </a:p>
            </c:txPr>
            <c:dLblPos val="ctr"/>
            <c:showPercent val="1"/>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Sheet1!$A$2</c:f>
              <c:strCache>
                <c:ptCount val="1"/>
                <c:pt idx="0">
                  <c:v>一般公共预算财政拨款收入</c:v>
                </c:pt>
              </c:strCache>
            </c:strRef>
          </c:cat>
          <c:val>
            <c:numRef>
              <c:f>Sheet1!$B$2</c:f>
              <c:numCache>
                <c:formatCode>General</c:formatCode>
                <c:ptCount val="1"/>
                <c:pt idx="0">
                  <c:v>84.13</c:v>
                </c:pt>
              </c:numCache>
            </c:numRef>
          </c:val>
          <c:extLst xmlns:c16r2="http://schemas.microsoft.com/office/drawing/2015/06/chart">
            <c:ext xmlns:c16="http://schemas.microsoft.com/office/drawing/2014/chart" uri="{C3380CC4-5D6E-409C-BE32-E72D297353CC}">
              <c16:uniqueId val="{00000000-A838-42C7-8990-0B214A5421AC}"/>
            </c:ext>
          </c:extLst>
        </c:ser>
        <c:dLbls>
          <c:showPercent val="1"/>
        </c:dLbls>
        <c:firstSliceAng val="0"/>
      </c:pieChart>
      <c:spPr>
        <a:noFill/>
        <a:ln>
          <a:noFill/>
        </a:ln>
        <a:effectLst/>
      </c:spPr>
    </c:plotArea>
    <c:legend>
      <c:legendPos val="r"/>
      <c:layout/>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zh-CN"/>
        </a:p>
      </c:txPr>
    </c:legend>
    <c:plotVisOnly val="1"/>
    <c:dispBlanksAs val="zero"/>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zh-CN"/>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title>
      <c:layout/>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zh-CN"/>
        </a:p>
      </c:txPr>
    </c:title>
    <c:plotArea>
      <c:layout/>
      <c:pieChart>
        <c:varyColors val="1"/>
        <c:ser>
          <c:idx val="0"/>
          <c:order val="0"/>
          <c:tx>
            <c:strRef>
              <c:f>Sheet1!$B$1</c:f>
              <c:strCache>
                <c:ptCount val="1"/>
                <c:pt idx="0">
                  <c:v>支出</c:v>
                </c:pt>
              </c:strCache>
            </c:strRef>
          </c:tx>
          <c:dPt>
            <c:idx val="0"/>
            <c:spPr>
              <a:solidFill>
                <a:schemeClr val="accent1"/>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0-F6DE-4EEF-8DFD-508E40C6EAB7}"/>
              </c:ext>
            </c:extLst>
          </c:dPt>
          <c:dLbls>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zh-CN"/>
              </a:p>
            </c:txPr>
            <c:dLblPos val="ctr"/>
            <c:showPercent val="1"/>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Sheet1!$A$2</c:f>
              <c:strCache>
                <c:ptCount val="1"/>
                <c:pt idx="0">
                  <c:v>基本支出</c:v>
                </c:pt>
              </c:strCache>
            </c:strRef>
          </c:cat>
          <c:val>
            <c:numRef>
              <c:f>Sheet1!$B$2</c:f>
              <c:numCache>
                <c:formatCode>General</c:formatCode>
                <c:ptCount val="1"/>
                <c:pt idx="0">
                  <c:v>8.2000000000000011</c:v>
                </c:pt>
              </c:numCache>
            </c:numRef>
          </c:val>
          <c:extLst xmlns:c16r2="http://schemas.microsoft.com/office/drawing/2015/06/chart">
            <c:ext xmlns:c16="http://schemas.microsoft.com/office/drawing/2014/chart" uri="{C3380CC4-5D6E-409C-BE32-E72D297353CC}">
              <c16:uniqueId val="{00000000-FA09-4A40-A8F2-CA0E15799AAB}"/>
            </c:ext>
          </c:extLst>
        </c:ser>
        <c:dLbls>
          <c:showPercent val="1"/>
        </c:dLbls>
        <c:firstSliceAng val="0"/>
      </c:pieChart>
      <c:spPr>
        <a:noFill/>
        <a:ln>
          <a:noFill/>
        </a:ln>
        <a:effectLst/>
      </c:spPr>
    </c:plotArea>
    <c:legend>
      <c:legendPos val="r"/>
      <c:layout/>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zh-CN"/>
        </a:p>
      </c:txPr>
    </c:legend>
    <c:plotVisOnly val="1"/>
    <c:dispBlanksAs val="zero"/>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zh-CN"/>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title>
      <c:layout/>
      <c:spPr>
        <a:noFill/>
        <a:ln>
          <a:noFill/>
        </a:ln>
        <a:effectLst/>
      </c:spPr>
      <c:txPr>
        <a:bodyPr rot="0" spcFirstLastPara="1" vertOverflow="ellipsis" vert="horz" wrap="square" anchor="ctr" anchorCtr="1"/>
        <a:lstStyle/>
        <a:p>
          <a:pPr>
            <a:defRPr b="0" i="0" u="none" strike="noStrike" kern="1200" baseline="0">
              <a:solidFill>
                <a:schemeClr val="dk1">
                  <a:lumMod val="65000"/>
                  <a:lumOff val="35000"/>
                </a:schemeClr>
              </a:solidFill>
              <a:effectLst/>
              <a:latin typeface="+mn-lt"/>
              <a:ea typeface="+mn-ea"/>
              <a:cs typeface="+mn-cs"/>
            </a:defRPr>
          </a:pPr>
          <a:endParaRPr lang="zh-CN"/>
        </a:p>
      </c:txPr>
    </c:title>
    <c:plotArea>
      <c:layout/>
      <c:barChart>
        <c:barDir val="col"/>
        <c:grouping val="clustered"/>
        <c:ser>
          <c:idx val="0"/>
          <c:order val="0"/>
          <c:tx>
            <c:strRef>
              <c:f>Sheet1!$B$1</c:f>
              <c:strCache>
                <c:ptCount val="1"/>
                <c:pt idx="0">
                  <c:v>收、支</c:v>
                </c:pt>
              </c:strCache>
            </c:strRef>
          </c:tx>
          <c:spPr>
            <a:gradFill>
              <a:gsLst>
                <a:gs pos="0">
                  <a:schemeClr val="accent1"/>
                </a:gs>
                <a:gs pos="100000">
                  <a:schemeClr val="accent1">
                    <a:lumMod val="84000"/>
                  </a:schemeClr>
                </a:gs>
              </a:gsLst>
              <a:lin ang="5400000" scaled="1"/>
            </a:gradFill>
            <a:ln>
              <a:noFill/>
            </a:ln>
            <a:effectLst>
              <a:outerShdw blurRad="76200" dir="18900000" sy="23000" kx="-1200000" algn="bl" rotWithShape="0">
                <a:prstClr val="black">
                  <a:alpha val="20000"/>
                </a:prstClr>
              </a:outerShdw>
            </a:effectLst>
          </c:spPr>
          <c:dLbls>
            <c:dLbl>
              <c:idx val="0"/>
              <c:layout/>
              <c:tx>
                <c:rich>
                  <a:bodyPr/>
                  <a:lstStyle/>
                  <a:p>
                    <a:r>
                      <a:rPr lang="en-US" altLang="en-US"/>
                      <a:t>84.13</a:t>
                    </a:r>
                    <a:r>
                      <a:rPr lang="zh-CN" altLang="en-US" sz="1000" b="1" i="0" u="none" strike="noStrike" baseline="0"/>
                      <a:t>万元</a:t>
                    </a:r>
                    <a:endParaRPr lang="en-US" altLang="en-US"/>
                  </a:p>
                </c:rich>
              </c:tx>
              <c:dLblPos val="inEnd"/>
              <c:showVal val="1"/>
            </c:dLbl>
            <c:dLbl>
              <c:idx val="1"/>
              <c:layout/>
              <c:tx>
                <c:rich>
                  <a:bodyPr/>
                  <a:lstStyle/>
                  <a:p>
                    <a:r>
                      <a:rPr lang="en-US" altLang="en-US"/>
                      <a:t>85.87</a:t>
                    </a:r>
                    <a:r>
                      <a:rPr lang="zh-CN" altLang="en-US" sz="1000" b="1" i="0" u="none" strike="noStrike" baseline="0"/>
                      <a:t>万元</a:t>
                    </a:r>
                    <a:endParaRPr lang="en-US" altLang="en-US"/>
                  </a:p>
                </c:rich>
              </c:tx>
              <c:dLblPos val="inEnd"/>
              <c:showVal val="1"/>
            </c:dLbl>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zh-CN"/>
              </a:p>
            </c:txPr>
            <c:dLblPos val="inEnd"/>
            <c:showVal val="1"/>
            <c:extLst xmlns:c16r2="http://schemas.microsoft.com/office/drawing/2015/06/char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numRef>
              <c:f>Sheet1!$A$2:$A$3</c:f>
              <c:numCache>
                <c:formatCode>General</c:formatCode>
                <c:ptCount val="2"/>
                <c:pt idx="0">
                  <c:v>2023</c:v>
                </c:pt>
                <c:pt idx="1">
                  <c:v>2022</c:v>
                </c:pt>
              </c:numCache>
            </c:numRef>
          </c:cat>
          <c:val>
            <c:numRef>
              <c:f>Sheet1!$B$2:$B$3</c:f>
              <c:numCache>
                <c:formatCode>General</c:formatCode>
                <c:ptCount val="2"/>
                <c:pt idx="0">
                  <c:v>84.13</c:v>
                </c:pt>
                <c:pt idx="1">
                  <c:v>85.86999999999999</c:v>
                </c:pt>
              </c:numCache>
            </c:numRef>
          </c:val>
          <c:extLst xmlns:c16r2="http://schemas.microsoft.com/office/drawing/2015/06/chart">
            <c:ext xmlns:c16="http://schemas.microsoft.com/office/drawing/2014/chart" uri="{C3380CC4-5D6E-409C-BE32-E72D297353CC}">
              <c16:uniqueId val="{00000000-EEE0-4047-91F4-5B967CBCC7EE}"/>
            </c:ext>
          </c:extLst>
        </c:ser>
        <c:dLbls>
          <c:showVal val="1"/>
        </c:dLbls>
        <c:gapWidth val="41"/>
        <c:axId val="307988352"/>
        <c:axId val="307989888"/>
      </c:barChart>
      <c:catAx>
        <c:axId val="307988352"/>
        <c:scaling>
          <c:orientation val="minMax"/>
        </c:scaling>
        <c:axPos val="b"/>
        <c:numFmt formatCode="General"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lumMod val="65000"/>
                    <a:lumOff val="35000"/>
                  </a:schemeClr>
                </a:solidFill>
                <a:effectLst/>
                <a:latin typeface="+mn-lt"/>
                <a:ea typeface="+mn-ea"/>
                <a:cs typeface="+mn-cs"/>
              </a:defRPr>
            </a:pPr>
            <a:endParaRPr lang="zh-CN"/>
          </a:p>
        </c:txPr>
        <c:crossAx val="307989888"/>
        <c:crosses val="autoZero"/>
        <c:auto val="1"/>
        <c:lblAlgn val="ctr"/>
        <c:lblOffset val="100"/>
      </c:catAx>
      <c:valAx>
        <c:axId val="307989888"/>
        <c:scaling>
          <c:orientation val="minMax"/>
        </c:scaling>
        <c:delete val="1"/>
        <c:axPos val="l"/>
        <c:numFmt formatCode="General" sourceLinked="1"/>
        <c:majorTickMark val="none"/>
        <c:tickLblPos val="nextTo"/>
        <c:crossAx val="307988352"/>
        <c:crosses val="autoZero"/>
        <c:crossBetween val="between"/>
      </c:valAx>
      <c:spPr>
        <a:noFill/>
        <a:ln>
          <a:noFill/>
        </a:ln>
        <a:effectLst/>
      </c:spPr>
    </c:plotArea>
    <c:legend>
      <c:legendPos val="t"/>
      <c:layout/>
      <c:spPr>
        <a:noFill/>
        <a:ln>
          <a:noFill/>
        </a:ln>
        <a:effectLst/>
      </c:spPr>
      <c:txPr>
        <a:bodyPr rot="0" spcFirstLastPara="1" vertOverflow="ellipsis" vert="horz" wrap="square" anchor="ctr" anchorCtr="1"/>
        <a:lstStyle/>
        <a:p>
          <a:pPr>
            <a:defRPr sz="900" b="0" i="0" u="none" strike="noStrike" kern="1200" baseline="0">
              <a:solidFill>
                <a:schemeClr val="dk1">
                  <a:lumMod val="65000"/>
                  <a:lumOff val="35000"/>
                </a:schemeClr>
              </a:solidFill>
              <a:latin typeface="+mn-lt"/>
              <a:ea typeface="+mn-ea"/>
              <a:cs typeface="+mn-cs"/>
            </a:defRPr>
          </a:pPr>
          <a:endParaRPr lang="zh-CN"/>
        </a:p>
      </c:txPr>
    </c:legend>
    <c:plotVisOnly val="1"/>
    <c:dispBlanksAs val="gap"/>
  </c:chart>
  <c:spPr>
    <a:gradFill flip="none" rotWithShape="1">
      <a:gsLst>
        <a:gs pos="0">
          <a:schemeClr val="lt1"/>
        </a:gs>
        <a:gs pos="68000">
          <a:schemeClr val="lt1">
            <a:lumMod val="85000"/>
          </a:schemeClr>
        </a:gs>
        <a:gs pos="100000">
          <a:schemeClr val="lt1"/>
        </a:gs>
      </a:gsLst>
      <a:lin ang="5400000" scaled="1"/>
      <a:tileRect/>
    </a:gradFill>
    <a:ln w="9525" cap="flat" cmpd="sng" algn="ctr">
      <a:solidFill>
        <a:schemeClr val="dk1">
          <a:lumMod val="15000"/>
          <a:lumOff val="85000"/>
        </a:schemeClr>
      </a:solidFill>
      <a:round/>
    </a:ln>
    <a:effectLst/>
  </c:spPr>
  <c:txPr>
    <a:bodyPr/>
    <a:lstStyle/>
    <a:p>
      <a:pPr>
        <a:defRPr/>
      </a:pPr>
      <a:endParaRPr lang="zh-CN"/>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hart>
    <c:title>
      <c:layout/>
      <c:spPr>
        <a:noFill/>
        <a:ln>
          <a:noFill/>
        </a:ln>
        <a:effectLst/>
      </c:spPr>
      <c:txPr>
        <a:bodyPr rot="0" spcFirstLastPara="1" vertOverflow="ellipsis" vert="horz" wrap="square" anchor="ctr" anchorCtr="1"/>
        <a:lstStyle/>
        <a:p>
          <a:pPr>
            <a:defRPr b="0" i="0" u="none" strike="noStrike" kern="1200" baseline="0">
              <a:solidFill>
                <a:schemeClr val="dk1">
                  <a:lumMod val="65000"/>
                  <a:lumOff val="35000"/>
                </a:schemeClr>
              </a:solidFill>
              <a:effectLst/>
              <a:latin typeface="+mn-lt"/>
              <a:ea typeface="+mn-ea"/>
              <a:cs typeface="+mn-cs"/>
            </a:defRPr>
          </a:pPr>
          <a:endParaRPr lang="zh-CN"/>
        </a:p>
      </c:txPr>
    </c:title>
    <c:plotArea>
      <c:layout/>
      <c:barChart>
        <c:barDir val="col"/>
        <c:grouping val="clustered"/>
        <c:ser>
          <c:idx val="0"/>
          <c:order val="0"/>
          <c:tx>
            <c:strRef>
              <c:f>Sheet1!$B$1</c:f>
              <c:strCache>
                <c:ptCount val="1"/>
                <c:pt idx="0">
                  <c:v>支出</c:v>
                </c:pt>
              </c:strCache>
            </c:strRef>
          </c:tx>
          <c:spPr>
            <a:gradFill>
              <a:gsLst>
                <a:gs pos="0">
                  <a:schemeClr val="accent1"/>
                </a:gs>
                <a:gs pos="100000">
                  <a:schemeClr val="accent1">
                    <a:lumMod val="84000"/>
                  </a:schemeClr>
                </a:gs>
              </a:gsLst>
              <a:lin ang="5400000" scaled="1"/>
            </a:gradFill>
            <a:ln>
              <a:noFill/>
            </a:ln>
            <a:effectLst>
              <a:outerShdw blurRad="76200" dir="18900000" sy="23000" kx="-1200000" algn="bl" rotWithShape="0">
                <a:prstClr val="black">
                  <a:alpha val="20000"/>
                </a:prstClr>
              </a:outerShdw>
            </a:effectLst>
          </c:spPr>
          <c:dLbls>
            <c:dLbl>
              <c:idx val="0"/>
              <c:layout/>
              <c:tx>
                <c:rich>
                  <a:bodyPr/>
                  <a:lstStyle/>
                  <a:p>
                    <a:r>
                      <a:rPr lang="en-US" altLang="en-US"/>
                      <a:t>84.13</a:t>
                    </a:r>
                    <a:r>
                      <a:rPr lang="zh-CN" altLang="en-US" sz="1000" b="1" i="0" u="none" strike="noStrike" baseline="0"/>
                      <a:t>万元</a:t>
                    </a:r>
                    <a:endParaRPr lang="en-US" altLang="en-US"/>
                  </a:p>
                </c:rich>
              </c:tx>
              <c:dLblPos val="inEnd"/>
              <c:showVal val="1"/>
            </c:dLbl>
            <c:dLbl>
              <c:idx val="1"/>
              <c:layout/>
              <c:tx>
                <c:rich>
                  <a:bodyPr/>
                  <a:lstStyle/>
                  <a:p>
                    <a:r>
                      <a:rPr lang="en-US" altLang="en-US"/>
                      <a:t>85.87</a:t>
                    </a:r>
                    <a:r>
                      <a:rPr lang="zh-CN" altLang="en-US" sz="1000" b="1" i="0" u="none" strike="noStrike" baseline="0"/>
                      <a:t>万元</a:t>
                    </a:r>
                    <a:endParaRPr lang="en-US" altLang="en-US"/>
                  </a:p>
                </c:rich>
              </c:tx>
              <c:dLblPos val="inEnd"/>
              <c:showVal val="1"/>
            </c:dLbl>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zh-CN"/>
              </a:p>
            </c:txPr>
            <c:dLblPos val="inEnd"/>
            <c:showVal val="1"/>
            <c:extLst xmlns:c16r2="http://schemas.microsoft.com/office/drawing/2015/06/char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numRef>
              <c:f>Sheet1!$A$2:$A$3</c:f>
              <c:numCache>
                <c:formatCode>General</c:formatCode>
                <c:ptCount val="2"/>
                <c:pt idx="0">
                  <c:v>2023</c:v>
                </c:pt>
                <c:pt idx="1">
                  <c:v>2022</c:v>
                </c:pt>
              </c:numCache>
            </c:numRef>
          </c:cat>
          <c:val>
            <c:numRef>
              <c:f>Sheet1!$B$2:$B$3</c:f>
              <c:numCache>
                <c:formatCode>General</c:formatCode>
                <c:ptCount val="2"/>
                <c:pt idx="0">
                  <c:v>84.13</c:v>
                </c:pt>
                <c:pt idx="1">
                  <c:v>85.86999999999999</c:v>
                </c:pt>
              </c:numCache>
            </c:numRef>
          </c:val>
          <c:extLst xmlns:c16r2="http://schemas.microsoft.com/office/drawing/2015/06/chart">
            <c:ext xmlns:c16="http://schemas.microsoft.com/office/drawing/2014/chart" uri="{C3380CC4-5D6E-409C-BE32-E72D297353CC}">
              <c16:uniqueId val="{00000000-9FF4-43F9-8372-ED512601C7C3}"/>
            </c:ext>
          </c:extLst>
        </c:ser>
        <c:dLbls>
          <c:showVal val="1"/>
        </c:dLbls>
        <c:gapWidth val="41"/>
        <c:axId val="308051328"/>
        <c:axId val="308061312"/>
      </c:barChart>
      <c:catAx>
        <c:axId val="308051328"/>
        <c:scaling>
          <c:orientation val="minMax"/>
        </c:scaling>
        <c:axPos val="b"/>
        <c:numFmt formatCode="General"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lumMod val="65000"/>
                    <a:lumOff val="35000"/>
                  </a:schemeClr>
                </a:solidFill>
                <a:effectLst/>
                <a:latin typeface="+mn-lt"/>
                <a:ea typeface="+mn-ea"/>
                <a:cs typeface="+mn-cs"/>
              </a:defRPr>
            </a:pPr>
            <a:endParaRPr lang="zh-CN"/>
          </a:p>
        </c:txPr>
        <c:crossAx val="308061312"/>
        <c:crosses val="autoZero"/>
        <c:auto val="1"/>
        <c:lblAlgn val="ctr"/>
        <c:lblOffset val="100"/>
      </c:catAx>
      <c:valAx>
        <c:axId val="308061312"/>
        <c:scaling>
          <c:orientation val="minMax"/>
        </c:scaling>
        <c:delete val="1"/>
        <c:axPos val="l"/>
        <c:numFmt formatCode="General" sourceLinked="1"/>
        <c:majorTickMark val="none"/>
        <c:tickLblPos val="nextTo"/>
        <c:crossAx val="308051328"/>
        <c:crosses val="autoZero"/>
        <c:crossBetween val="between"/>
      </c:valAx>
      <c:spPr>
        <a:noFill/>
        <a:ln>
          <a:noFill/>
        </a:ln>
        <a:effectLst/>
      </c:spPr>
    </c:plotArea>
    <c:legend>
      <c:legendPos val="t"/>
      <c:layout/>
      <c:spPr>
        <a:noFill/>
        <a:ln>
          <a:noFill/>
        </a:ln>
        <a:effectLst/>
      </c:spPr>
      <c:txPr>
        <a:bodyPr rot="0" spcFirstLastPara="1" vertOverflow="ellipsis" vert="horz" wrap="square" anchor="ctr" anchorCtr="1"/>
        <a:lstStyle/>
        <a:p>
          <a:pPr>
            <a:defRPr sz="900" b="0" i="0" u="none" strike="noStrike" kern="1200" baseline="0">
              <a:solidFill>
                <a:schemeClr val="dk1">
                  <a:lumMod val="65000"/>
                  <a:lumOff val="35000"/>
                </a:schemeClr>
              </a:solidFill>
              <a:latin typeface="+mn-lt"/>
              <a:ea typeface="+mn-ea"/>
              <a:cs typeface="+mn-cs"/>
            </a:defRPr>
          </a:pPr>
          <a:endParaRPr lang="zh-CN"/>
        </a:p>
      </c:txPr>
    </c:legend>
    <c:plotVisOnly val="1"/>
    <c:dispBlanksAs val="gap"/>
  </c:chart>
  <c:spPr>
    <a:gradFill flip="none" rotWithShape="1">
      <a:gsLst>
        <a:gs pos="0">
          <a:schemeClr val="lt1"/>
        </a:gs>
        <a:gs pos="68000">
          <a:schemeClr val="lt1">
            <a:lumMod val="85000"/>
          </a:schemeClr>
        </a:gs>
        <a:gs pos="100000">
          <a:schemeClr val="lt1"/>
        </a:gs>
      </a:gsLst>
      <a:lin ang="5400000" scaled="1"/>
      <a:tileRect/>
    </a:gradFill>
    <a:ln w="9525" cap="flat" cmpd="sng" algn="ctr">
      <a:solidFill>
        <a:schemeClr val="dk1">
          <a:lumMod val="15000"/>
          <a:lumOff val="85000"/>
        </a:schemeClr>
      </a:solidFill>
      <a:round/>
    </a:ln>
    <a:effectLst/>
  </c:spPr>
  <c:txPr>
    <a:bodyPr/>
    <a:lstStyle/>
    <a:p>
      <a:pPr>
        <a:defRPr/>
      </a:pPr>
      <a:endParaRPr lang="zh-CN"/>
    </a:p>
  </c:tx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title>
      <c:layout/>
      <c:txPr>
        <a:bodyPr rot="0" vert="horz"/>
        <a:lstStyle/>
        <a:p>
          <a:pPr>
            <a:defRPr/>
          </a:pPr>
          <a:endParaRPr lang="zh-CN"/>
        </a:p>
      </c:txPr>
    </c:title>
    <c:plotArea>
      <c:layout>
        <c:manualLayout>
          <c:layoutTarget val="inner"/>
          <c:xMode val="edge"/>
          <c:yMode val="edge"/>
          <c:x val="0.38633943392211118"/>
          <c:y val="0.45041939377830936"/>
          <c:w val="0.22732113215577784"/>
          <c:h val="0.47318604161821542"/>
        </c:manualLayout>
      </c:layout>
      <c:pieChart>
        <c:varyColors val="1"/>
        <c:ser>
          <c:idx val="0"/>
          <c:order val="0"/>
          <c:tx>
            <c:strRef>
              <c:f>Sheet1!$B$1</c:f>
              <c:strCache>
                <c:ptCount val="1"/>
                <c:pt idx="0">
                  <c:v>一般公共预算财政拨款支出决算</c:v>
                </c:pt>
              </c:strCache>
            </c:strRef>
          </c:tx>
          <c:explosion val="13"/>
          <c:dPt>
            <c:idx val="0"/>
            <c:explosion val="7"/>
            <c:extLst xmlns:c16r2="http://schemas.microsoft.com/office/drawing/2015/06/chart">
              <c:ext xmlns:c16="http://schemas.microsoft.com/office/drawing/2014/chart" uri="{C3380CC4-5D6E-409C-BE32-E72D297353CC}">
                <c16:uniqueId val="{00000001-2465-4BF6-AE91-AA80E096E476}"/>
              </c:ext>
            </c:extLst>
          </c:dPt>
          <c:dLbls>
            <c:dLbl>
              <c:idx val="0"/>
              <c:layout/>
              <c:tx>
                <c:rich>
                  <a:bodyPr rot="0" vert="horz"/>
                  <a:lstStyle/>
                  <a:p>
                    <a:pPr>
                      <a:defRPr/>
                    </a:pPr>
                    <a:r>
                      <a:rPr lang="zh-CN" altLang="en-US" sz="1000" b="0" i="0" u="none" strike="noStrike" baseline="0"/>
                      <a:t>社会保障和就业支出</a:t>
                    </a:r>
                    <a:r>
                      <a:rPr lang="zh-CN"/>
                      <a:t>
</a:t>
                    </a:r>
                    <a:r>
                      <a:rPr lang="en-US"/>
                      <a:t>92.70%</a:t>
                    </a:r>
                  </a:p>
                </c:rich>
              </c:tx>
              <c:spPr/>
              <c:showPercent val="1"/>
            </c:dLbl>
            <c:dLbl>
              <c:idx val="1"/>
              <c:layout>
                <c:manualLayout>
                  <c:x val="-0.11176143860395828"/>
                  <c:y val="0.2001935833970121"/>
                </c:manualLayout>
              </c:layout>
              <c:tx>
                <c:rich>
                  <a:bodyPr rot="0" vert="horz"/>
                  <a:lstStyle/>
                  <a:p>
                    <a:pPr>
                      <a:defRPr/>
                    </a:pPr>
                    <a:r>
                      <a:rPr lang="zh-CN" altLang="en-US" sz="1000" b="0" i="0" u="none" strike="noStrike" baseline="0"/>
                      <a:t>卫生健康支出</a:t>
                    </a:r>
                    <a:r>
                      <a:rPr lang="zh-CN"/>
                      <a:t>
</a:t>
                    </a:r>
                    <a:r>
                      <a:rPr lang="en-US"/>
                      <a:t>1.07%</a:t>
                    </a:r>
                  </a:p>
                </c:rich>
              </c:tx>
              <c:spPr/>
              <c:showPercent val="1"/>
              <c:extLst xmlns:c16r2="http://schemas.microsoft.com/office/drawing/2015/06/chart">
                <c:ext xmlns:c15="http://schemas.microsoft.com/office/drawing/2012/chart" uri="{CE6537A1-D6FC-4f65-9D91-7224C49458BB}">
                  <c15:layout/>
                  <c15:dlblFieldTable/>
                  <c15:showDataLabelsRange val="0"/>
                </c:ext>
                <c:ext xmlns:c16="http://schemas.microsoft.com/office/drawing/2014/chart" uri="{C3380CC4-5D6E-409C-BE32-E72D297353CC}">
                  <c16:uniqueId val="{00000002-2465-4BF6-AE91-AA80E096E476}"/>
                </c:ext>
              </c:extLst>
            </c:dLbl>
            <c:dLbl>
              <c:idx val="2"/>
              <c:layout/>
              <c:tx>
                <c:rich>
                  <a:bodyPr rot="0" vert="horz"/>
                  <a:lstStyle/>
                  <a:p>
                    <a:pPr>
                      <a:defRPr/>
                    </a:pPr>
                    <a:r>
                      <a:rPr lang="zh-CN" altLang="en-US" sz="1000" b="0" i="0" u="none" strike="noStrike" baseline="0"/>
                      <a:t>农林水支</a:t>
                    </a:r>
                    <a:r>
                      <a:rPr lang="zh-CN"/>
                      <a:t>
</a:t>
                    </a:r>
                    <a:r>
                      <a:rPr lang="en-US"/>
                      <a:t>4.15%</a:t>
                    </a:r>
                  </a:p>
                </c:rich>
              </c:tx>
              <c:spPr/>
              <c:showPercent val="1"/>
              <c:extLst xmlns:c16r2="http://schemas.microsoft.com/office/drawing/2015/06/chart">
                <c:ext xmlns:c15="http://schemas.microsoft.com/office/drawing/2012/chart" uri="{CE6537A1-D6FC-4f65-9D91-7224C49458BB}">
                  <c15:layout/>
                  <c15:dlblFieldTable/>
                  <c15:showDataLabelsRange val="0"/>
                </c:ext>
                <c:ext xmlns:c16="http://schemas.microsoft.com/office/drawing/2014/chart" uri="{C3380CC4-5D6E-409C-BE32-E72D297353CC}">
                  <c16:uniqueId val="{00000003-2465-4BF6-AE91-AA80E096E476}"/>
                </c:ext>
              </c:extLst>
            </c:dLbl>
            <c:dLbl>
              <c:idx val="3"/>
              <c:layout>
                <c:manualLayout>
                  <c:x val="0.16481102362204725"/>
                  <c:y val="1.9588690654174557E-2"/>
                </c:manualLayout>
              </c:layout>
              <c:tx>
                <c:rich>
                  <a:bodyPr rot="0" vert="horz"/>
                  <a:lstStyle/>
                  <a:p>
                    <a:pPr>
                      <a:defRPr/>
                    </a:pPr>
                    <a:r>
                      <a:rPr lang="zh-CN" altLang="en-US" sz="1000" b="0" i="0" u="none" strike="noStrike" baseline="0"/>
                      <a:t>住房保障支出</a:t>
                    </a:r>
                    <a:r>
                      <a:rPr lang="zh-CN"/>
                      <a:t>
</a:t>
                    </a:r>
                    <a:r>
                      <a:rPr lang="en-US"/>
                      <a:t>2.08%</a:t>
                    </a:r>
                  </a:p>
                </c:rich>
              </c:tx>
              <c:spPr/>
              <c:showPercent val="1"/>
              <c:extLst xmlns:c16r2="http://schemas.microsoft.com/office/drawing/2015/06/chart">
                <c:ext xmlns:c15="http://schemas.microsoft.com/office/drawing/2012/chart" uri="{CE6537A1-D6FC-4f65-9D91-7224C49458BB}">
                  <c15:layout/>
                  <c15:dlblFieldTable/>
                  <c15:showDataLabelsRange val="0"/>
                </c:ext>
                <c:ext xmlns:c16="http://schemas.microsoft.com/office/drawing/2014/chart" uri="{C3380CC4-5D6E-409C-BE32-E72D297353CC}">
                  <c16:uniqueId val="{00000004-2465-4BF6-AE91-AA80E096E476}"/>
                </c:ext>
              </c:extLst>
            </c:dLbl>
            <c:showPercent val="1"/>
            <c:showLeaderLines val="1"/>
            <c:extLst xmlns:c16r2="http://schemas.microsoft.com/office/drawing/2015/06/chart">
              <c:ext xmlns:c15="http://schemas.microsoft.com/office/drawing/2012/chart" uri="{CE6537A1-D6FC-4f65-9D91-7224C49458BB}"/>
            </c:extLst>
          </c:dLbls>
          <c:cat>
            <c:strRef>
              <c:f>Sheet1!$A$2:$A$5</c:f>
              <c:strCache>
                <c:ptCount val="4"/>
                <c:pt idx="0">
                  <c:v>社会保障和就业支出</c:v>
                </c:pt>
                <c:pt idx="1">
                  <c:v>卫生健康支出</c:v>
                </c:pt>
                <c:pt idx="2">
                  <c:v>农林水支出</c:v>
                </c:pt>
                <c:pt idx="3">
                  <c:v>住房保障支出</c:v>
                </c:pt>
              </c:strCache>
            </c:strRef>
          </c:cat>
          <c:val>
            <c:numRef>
              <c:f>Sheet1!$B$2:$B$5</c:f>
              <c:numCache>
                <c:formatCode>General</c:formatCode>
                <c:ptCount val="4"/>
                <c:pt idx="0">
                  <c:v>77.989999999999995</c:v>
                </c:pt>
                <c:pt idx="1">
                  <c:v>0.9</c:v>
                </c:pt>
                <c:pt idx="2">
                  <c:v>3.4899999999999998</c:v>
                </c:pt>
                <c:pt idx="3">
                  <c:v>1.75</c:v>
                </c:pt>
              </c:numCache>
            </c:numRef>
          </c:val>
          <c:extLst xmlns:c16r2="http://schemas.microsoft.com/office/drawing/2015/06/chart">
            <c:ext xmlns:c16="http://schemas.microsoft.com/office/drawing/2014/chart" uri="{C3380CC4-5D6E-409C-BE32-E72D297353CC}">
              <c16:uniqueId val="{00000000-2465-4BF6-AE91-AA80E096E476}"/>
            </c:ext>
          </c:extLst>
        </c:ser>
        <c:dLbls>
          <c:showPercent val="1"/>
        </c:dLbls>
        <c:firstSliceAng val="0"/>
      </c:pieChart>
    </c:plotArea>
    <c:legend>
      <c:legendPos val="t"/>
      <c:layout>
        <c:manualLayout>
          <c:xMode val="edge"/>
          <c:yMode val="edge"/>
          <c:x val="5.8108108108108104E-2"/>
          <c:y val="0.19095936335740979"/>
          <c:w val="0.89999989221059917"/>
          <c:h val="0.10959341445955621"/>
        </c:manualLayout>
      </c:layout>
    </c:legend>
    <c:plotVisOnly val="1"/>
    <c:dispBlanksAs val="zero"/>
  </c:chart>
  <c:externalData r:id="rId1"/>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4">
  <cs:axisTitle>
    <cs:lnRef idx="0"/>
    <cs:fillRef idx="0"/>
    <cs:effectRef idx="0"/>
    <cs:fontRef idx="minor">
      <a:schemeClr val="dk1">
        <a:lumMod val="65000"/>
        <a:lumOff val="35000"/>
      </a:schemeClr>
    </cs:fontRef>
    <cs:defRPr sz="900" b="1" kern="1200"/>
  </cs:axisTitle>
  <cs:categoryAxis>
    <cs:lnRef idx="0"/>
    <cs:fillRef idx="0"/>
    <cs:effectRef idx="0"/>
    <cs:fontRef idx="minor">
      <a:schemeClr val="dk1">
        <a:lumMod val="65000"/>
        <a:lumOff val="35000"/>
      </a:schemeClr>
    </cs:fontRef>
    <cs:defRPr sz="900" kern="1200">
      <a:effectLst/>
    </cs:defRPr>
  </cs:categoryAxis>
  <cs:chartArea>
    <cs:lnRef idx="0"/>
    <cs:fillRef idx="0"/>
    <cs:effectRef idx="0"/>
    <cs:fontRef idx="minor">
      <a:schemeClr val="dk1"/>
    </cs:fontRef>
    <cs:spPr>
      <a:gradFill flip="none" rotWithShape="1">
        <a:gsLst>
          <a:gs pos="0">
            <a:schemeClr val="lt1"/>
          </a:gs>
          <a:gs pos="68000">
            <a:schemeClr val="lt1">
              <a:lumMod val="85000"/>
            </a:schemeClr>
          </a:gs>
          <a:gs pos="100000">
            <a:schemeClr val="lt1"/>
          </a:gs>
        </a:gsLst>
        <a:lin ang="5400000" scaled="1"/>
        <a:tileRect/>
      </a:gradFill>
      <a:ln w="9525" cap="flat" cmpd="sng" algn="ctr">
        <a:solidFill>
          <a:schemeClr val="dk1">
            <a:lumMod val="15000"/>
            <a:lumOff val="85000"/>
          </a:schemeClr>
        </a:solidFill>
        <a:round/>
      </a:ln>
    </cs:spPr>
    <cs:defRPr sz="1000" kern="1200"/>
  </cs:chartArea>
  <cs:dataLabel>
    <cs:lnRef idx="0"/>
    <cs:fillRef idx="0"/>
    <cs:effectRef idx="0"/>
    <cs:fontRef idx="minor">
      <a:schemeClr val="lt1"/>
    </cs:fontRef>
    <cs:spPr/>
    <cs:defRPr sz="10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1000" b="1"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fontRef idx="minor">
      <a:schemeClr val="dk1"/>
    </cs:fontRef>
    <cs:spPr>
      <a:gradFill>
        <a:gsLst>
          <a:gs pos="0">
            <a:schemeClr val="phClr"/>
          </a:gs>
          <a:gs pos="100000">
            <a:schemeClr val="phClr">
              <a:lumMod val="84000"/>
            </a:schemeClr>
          </a:gs>
        </a:gsLst>
        <a:lin ang="5400000" scaled="1"/>
      </a:gradFill>
      <a:effectLst>
        <a:outerShdw blurRad="76200" dir="18900000" sy="23000" kx="-1200000" algn="bl" rotWithShape="0">
          <a:prstClr val="black">
            <a:alpha val="20000"/>
          </a:prstClr>
        </a:outerShdw>
      </a:effectLst>
    </cs:spPr>
  </cs:dataPoint>
  <cs:dataPoint3D>
    <cs:lnRef idx="0"/>
    <cs:fillRef idx="0">
      <cs:styleClr val="auto"/>
    </cs:fillRef>
    <cs:effectRef idx="0"/>
    <cs:fontRef idx="minor">
      <a:schemeClr val="dk1"/>
    </cs:fontRef>
    <cs:spPr>
      <a:gradFill>
        <a:gsLst>
          <a:gs pos="0">
            <a:schemeClr val="phClr"/>
          </a:gs>
          <a:gs pos="100000">
            <a:schemeClr val="phClr">
              <a:lumMod val="84000"/>
            </a:schemeClr>
          </a:gs>
        </a:gsLst>
        <a:lin ang="5400000" scaled="1"/>
      </a:gradFill>
      <a:effectLst>
        <a:outerShdw blurRad="76200" dir="18900000" sy="23000" kx="-1200000" algn="bl" rotWithShape="0">
          <a:prstClr val="black">
            <a:alpha val="20000"/>
          </a:prstClr>
        </a:outerShdw>
      </a:effectLst>
    </cs:spPr>
  </cs:dataPoint3D>
  <cs:dataPointLine>
    <cs:lnRef idx="0">
      <cs:styleClr val="auto"/>
    </cs:lnRef>
    <cs:fillRef idx="0"/>
    <cs:effectRef idx="0"/>
    <cs:fontRef idx="minor">
      <a:schemeClr val="dk1"/>
    </cs:fontRef>
    <cs:spPr>
      <a:ln w="28575" cap="rnd">
        <a:gradFill>
          <a:gsLst>
            <a:gs pos="0">
              <a:schemeClr val="phClr"/>
            </a:gs>
            <a:gs pos="100000">
              <a:schemeClr val="phClr">
                <a:lumMod val="84000"/>
              </a:schemeClr>
            </a:gs>
          </a:gsLst>
          <a:lin ang="5400000" scaled="1"/>
        </a:gradFill>
        <a:round/>
      </a:ln>
    </cs:spPr>
  </cs:dataPointLine>
  <cs:dataPointMarker>
    <cs:lnRef idx="0"/>
    <cs:fillRef idx="0">
      <cs:styleClr val="auto"/>
    </cs:fillRef>
    <cs:effectRef idx="0"/>
    <cs:fontRef idx="minor">
      <a:schemeClr val="dk1"/>
    </cs:fontRef>
    <cs:spPr>
      <a:gradFill>
        <a:gsLst>
          <a:gs pos="0">
            <a:schemeClr val="phClr"/>
          </a:gs>
          <a:gs pos="100000">
            <a:schemeClr val="phClr">
              <a:lumMod val="84000"/>
            </a:schemeClr>
          </a:gs>
        </a:gsLst>
        <a:lin ang="5400000" scaled="1"/>
      </a:gradFill>
      <a:effectLst>
        <a:outerShdw blurRad="76200" dir="18900000" sy="23000" kx="-1200000" algn="bl" rotWithShape="0">
          <a:prstClr val="black">
            <a:alpha val="20000"/>
          </a:prstClr>
        </a:outerShdw>
      </a:effectLst>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ln w="9525">
        <a:solidFill>
          <a:schemeClr val="dk1">
            <a:lumMod val="15000"/>
            <a:lumOff val="85000"/>
          </a:schemeClr>
        </a:solidFill>
      </a:ln>
    </cs:spPr>
    <cs:defRPr sz="900" kern="1200"/>
  </cs:dataTable>
  <cs:downBar>
    <cs:lnRef idx="0"/>
    <cs:fillRef idx="0"/>
    <cs:effectRef idx="0"/>
    <cs:fontRef idx="minor">
      <a:schemeClr val="dk1"/>
    </cs:fontRef>
    <cs:spPr>
      <a:solidFill>
        <a:schemeClr val="dk1">
          <a:lumMod val="35000"/>
          <a:lumOff val="65000"/>
        </a:schemeClr>
      </a:solidFill>
      <a:ln w="9525">
        <a:solidFill>
          <a:schemeClr val="dk1">
            <a:lumMod val="50000"/>
            <a:lumOff val="50000"/>
          </a:schemeClr>
        </a:solidFill>
      </a:ln>
    </cs:spPr>
  </cs:downBar>
  <cs:dropLine>
    <cs:lnRef idx="0"/>
    <cs:fillRef idx="0"/>
    <cs:effectRef idx="0"/>
    <cs:fontRef idx="minor">
      <a:schemeClr val="dk1"/>
    </cs:fontRef>
    <cs:spPr>
      <a:ln w="9525">
        <a:solidFill>
          <a:schemeClr val="dk1">
            <a:lumMod val="50000"/>
            <a:lumOff val="50000"/>
          </a:schemeClr>
        </a:solidFill>
        <a:round/>
      </a:ln>
    </cs:spPr>
  </cs:dropLine>
  <cs:errorBar>
    <cs:lnRef idx="0"/>
    <cs:fillRef idx="0"/>
    <cs:effectRef idx="0"/>
    <cs:fontRef idx="minor">
      <a:schemeClr val="dk1"/>
    </cs:fontRef>
    <cs:spPr>
      <a:ln w="9525">
        <a:solidFill>
          <a:schemeClr val="dk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a:solidFill>
          <a:schemeClr val="dk1">
            <a:lumMod val="5000"/>
            <a:lumOff val="95000"/>
          </a:schemeClr>
        </a:solidFill>
      </a:ln>
    </cs:spPr>
  </cs:gridlineMinor>
  <cs:hiLoLine>
    <cs:lnRef idx="0"/>
    <cs:fillRef idx="0"/>
    <cs:effectRef idx="0"/>
    <cs:fontRef idx="minor">
      <a:schemeClr val="dk1"/>
    </cs:fontRef>
    <cs:spPr>
      <a:ln w="9525">
        <a:solidFill>
          <a:schemeClr val="dk1">
            <a:lumMod val="50000"/>
            <a:lumOff val="50000"/>
          </a:schemeClr>
        </a:solidFill>
        <a:round/>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65000"/>
        <a:lumOff val="35000"/>
      </a:schemeClr>
    </cs:fontRef>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65000"/>
        <a:lumOff val="35000"/>
      </a:schemeClr>
    </cs:fontRef>
    <cs:defRPr kern="1200">
      <a:effectLst/>
    </cs:defRPr>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lumMod val="95000"/>
        </a:schemeClr>
      </a:solidFill>
      <a:ln w="9525">
        <a:solidFill>
          <a:schemeClr val="dk1">
            <a:lumMod val="15000"/>
            <a:lumOff val="85000"/>
          </a:schemeClr>
        </a:solidFill>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04">
  <cs:axisTitle>
    <cs:lnRef idx="0"/>
    <cs:fillRef idx="0"/>
    <cs:effectRef idx="0"/>
    <cs:fontRef idx="minor">
      <a:schemeClr val="dk1">
        <a:lumMod val="65000"/>
        <a:lumOff val="35000"/>
      </a:schemeClr>
    </cs:fontRef>
    <cs:defRPr sz="900" b="1" kern="1200"/>
  </cs:axisTitle>
  <cs:categoryAxis>
    <cs:lnRef idx="0"/>
    <cs:fillRef idx="0"/>
    <cs:effectRef idx="0"/>
    <cs:fontRef idx="minor">
      <a:schemeClr val="dk1">
        <a:lumMod val="65000"/>
        <a:lumOff val="35000"/>
      </a:schemeClr>
    </cs:fontRef>
    <cs:defRPr sz="900" kern="1200">
      <a:effectLst/>
    </cs:defRPr>
  </cs:categoryAxis>
  <cs:chartArea>
    <cs:lnRef idx="0"/>
    <cs:fillRef idx="0"/>
    <cs:effectRef idx="0"/>
    <cs:fontRef idx="minor">
      <a:schemeClr val="dk1"/>
    </cs:fontRef>
    <cs:spPr>
      <a:gradFill flip="none" rotWithShape="1">
        <a:gsLst>
          <a:gs pos="0">
            <a:schemeClr val="lt1"/>
          </a:gs>
          <a:gs pos="68000">
            <a:schemeClr val="lt1">
              <a:lumMod val="85000"/>
            </a:schemeClr>
          </a:gs>
          <a:gs pos="100000">
            <a:schemeClr val="lt1"/>
          </a:gs>
        </a:gsLst>
        <a:lin ang="5400000" scaled="1"/>
        <a:tileRect/>
      </a:gradFill>
      <a:ln w="9525" cap="flat" cmpd="sng" algn="ctr">
        <a:solidFill>
          <a:schemeClr val="dk1">
            <a:lumMod val="15000"/>
            <a:lumOff val="85000"/>
          </a:schemeClr>
        </a:solidFill>
        <a:round/>
      </a:ln>
    </cs:spPr>
    <cs:defRPr sz="1000" kern="1200"/>
  </cs:chartArea>
  <cs:dataLabel>
    <cs:lnRef idx="0"/>
    <cs:fillRef idx="0"/>
    <cs:effectRef idx="0"/>
    <cs:fontRef idx="minor">
      <a:schemeClr val="lt1"/>
    </cs:fontRef>
    <cs:spPr/>
    <cs:defRPr sz="10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1000" b="1"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fontRef idx="minor">
      <a:schemeClr val="dk1"/>
    </cs:fontRef>
    <cs:spPr>
      <a:gradFill>
        <a:gsLst>
          <a:gs pos="0">
            <a:schemeClr val="phClr"/>
          </a:gs>
          <a:gs pos="100000">
            <a:schemeClr val="phClr">
              <a:lumMod val="84000"/>
            </a:schemeClr>
          </a:gs>
        </a:gsLst>
        <a:lin ang="5400000" scaled="1"/>
      </a:gradFill>
      <a:effectLst>
        <a:outerShdw blurRad="76200" dir="18900000" sy="23000" kx="-1200000" algn="bl" rotWithShape="0">
          <a:prstClr val="black">
            <a:alpha val="20000"/>
          </a:prstClr>
        </a:outerShdw>
      </a:effectLst>
    </cs:spPr>
  </cs:dataPoint>
  <cs:dataPoint3D>
    <cs:lnRef idx="0"/>
    <cs:fillRef idx="0">
      <cs:styleClr val="auto"/>
    </cs:fillRef>
    <cs:effectRef idx="0"/>
    <cs:fontRef idx="minor">
      <a:schemeClr val="dk1"/>
    </cs:fontRef>
    <cs:spPr>
      <a:gradFill>
        <a:gsLst>
          <a:gs pos="0">
            <a:schemeClr val="phClr"/>
          </a:gs>
          <a:gs pos="100000">
            <a:schemeClr val="phClr">
              <a:lumMod val="84000"/>
            </a:schemeClr>
          </a:gs>
        </a:gsLst>
        <a:lin ang="5400000" scaled="1"/>
      </a:gradFill>
      <a:effectLst>
        <a:outerShdw blurRad="76200" dir="18900000" sy="23000" kx="-1200000" algn="bl" rotWithShape="0">
          <a:prstClr val="black">
            <a:alpha val="20000"/>
          </a:prstClr>
        </a:outerShdw>
      </a:effectLst>
    </cs:spPr>
  </cs:dataPoint3D>
  <cs:dataPointLine>
    <cs:lnRef idx="0">
      <cs:styleClr val="auto"/>
    </cs:lnRef>
    <cs:fillRef idx="0"/>
    <cs:effectRef idx="0"/>
    <cs:fontRef idx="minor">
      <a:schemeClr val="dk1"/>
    </cs:fontRef>
    <cs:spPr>
      <a:ln w="28575" cap="rnd">
        <a:gradFill>
          <a:gsLst>
            <a:gs pos="0">
              <a:schemeClr val="phClr"/>
            </a:gs>
            <a:gs pos="100000">
              <a:schemeClr val="phClr">
                <a:lumMod val="84000"/>
              </a:schemeClr>
            </a:gs>
          </a:gsLst>
          <a:lin ang="5400000" scaled="1"/>
        </a:gradFill>
        <a:round/>
      </a:ln>
    </cs:spPr>
  </cs:dataPointLine>
  <cs:dataPointMarker>
    <cs:lnRef idx="0"/>
    <cs:fillRef idx="0">
      <cs:styleClr val="auto"/>
    </cs:fillRef>
    <cs:effectRef idx="0"/>
    <cs:fontRef idx="minor">
      <a:schemeClr val="dk1"/>
    </cs:fontRef>
    <cs:spPr>
      <a:gradFill>
        <a:gsLst>
          <a:gs pos="0">
            <a:schemeClr val="phClr"/>
          </a:gs>
          <a:gs pos="100000">
            <a:schemeClr val="phClr">
              <a:lumMod val="84000"/>
            </a:schemeClr>
          </a:gs>
        </a:gsLst>
        <a:lin ang="5400000" scaled="1"/>
      </a:gradFill>
      <a:effectLst>
        <a:outerShdw blurRad="76200" dir="18900000" sy="23000" kx="-1200000" algn="bl" rotWithShape="0">
          <a:prstClr val="black">
            <a:alpha val="20000"/>
          </a:prstClr>
        </a:outerShdw>
      </a:effectLst>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ln w="9525">
        <a:solidFill>
          <a:schemeClr val="dk1">
            <a:lumMod val="15000"/>
            <a:lumOff val="85000"/>
          </a:schemeClr>
        </a:solidFill>
      </a:ln>
    </cs:spPr>
    <cs:defRPr sz="900" kern="1200"/>
  </cs:dataTable>
  <cs:downBar>
    <cs:lnRef idx="0"/>
    <cs:fillRef idx="0"/>
    <cs:effectRef idx="0"/>
    <cs:fontRef idx="minor">
      <a:schemeClr val="dk1"/>
    </cs:fontRef>
    <cs:spPr>
      <a:solidFill>
        <a:schemeClr val="dk1">
          <a:lumMod val="35000"/>
          <a:lumOff val="65000"/>
        </a:schemeClr>
      </a:solidFill>
      <a:ln w="9525">
        <a:solidFill>
          <a:schemeClr val="dk1">
            <a:lumMod val="50000"/>
            <a:lumOff val="50000"/>
          </a:schemeClr>
        </a:solidFill>
      </a:ln>
    </cs:spPr>
  </cs:downBar>
  <cs:dropLine>
    <cs:lnRef idx="0"/>
    <cs:fillRef idx="0"/>
    <cs:effectRef idx="0"/>
    <cs:fontRef idx="minor">
      <a:schemeClr val="dk1"/>
    </cs:fontRef>
    <cs:spPr>
      <a:ln w="9525">
        <a:solidFill>
          <a:schemeClr val="dk1">
            <a:lumMod val="50000"/>
            <a:lumOff val="50000"/>
          </a:schemeClr>
        </a:solidFill>
        <a:round/>
      </a:ln>
    </cs:spPr>
  </cs:dropLine>
  <cs:errorBar>
    <cs:lnRef idx="0"/>
    <cs:fillRef idx="0"/>
    <cs:effectRef idx="0"/>
    <cs:fontRef idx="minor">
      <a:schemeClr val="dk1"/>
    </cs:fontRef>
    <cs:spPr>
      <a:ln w="9525">
        <a:solidFill>
          <a:schemeClr val="dk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a:solidFill>
          <a:schemeClr val="dk1">
            <a:lumMod val="5000"/>
            <a:lumOff val="95000"/>
          </a:schemeClr>
        </a:solidFill>
      </a:ln>
    </cs:spPr>
  </cs:gridlineMinor>
  <cs:hiLoLine>
    <cs:lnRef idx="0"/>
    <cs:fillRef idx="0"/>
    <cs:effectRef idx="0"/>
    <cs:fontRef idx="minor">
      <a:schemeClr val="dk1"/>
    </cs:fontRef>
    <cs:spPr>
      <a:ln w="9525">
        <a:solidFill>
          <a:schemeClr val="dk1">
            <a:lumMod val="50000"/>
            <a:lumOff val="50000"/>
          </a:schemeClr>
        </a:solidFill>
        <a:round/>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65000"/>
        <a:lumOff val="35000"/>
      </a:schemeClr>
    </cs:fontRef>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65000"/>
        <a:lumOff val="35000"/>
      </a:schemeClr>
    </cs:fontRef>
    <cs:defRPr kern="1200">
      <a:effectLst/>
    </cs:defRPr>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lumMod val="95000"/>
        </a:schemeClr>
      </a:solidFill>
      <a:ln w="9525">
        <a:solidFill>
          <a:schemeClr val="dk1">
            <a:lumMod val="15000"/>
            <a:lumOff val="85000"/>
          </a:schemeClr>
        </a:solidFill>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04">
  <cs:axisTitle>
    <cs:lnRef idx="0"/>
    <cs:fillRef idx="0"/>
    <cs:effectRef idx="0"/>
    <cs:fontRef idx="minor">
      <a:schemeClr val="dk1">
        <a:lumMod val="65000"/>
        <a:lumOff val="35000"/>
      </a:schemeClr>
    </cs:fontRef>
    <cs:defRPr sz="900" b="1" kern="1200"/>
  </cs:axisTitle>
  <cs:categoryAxis>
    <cs:lnRef idx="0"/>
    <cs:fillRef idx="0"/>
    <cs:effectRef idx="0"/>
    <cs:fontRef idx="minor">
      <a:schemeClr val="dk1">
        <a:lumMod val="65000"/>
        <a:lumOff val="35000"/>
      </a:schemeClr>
    </cs:fontRef>
    <cs:defRPr sz="900" kern="1200">
      <a:effectLst/>
    </cs:defRPr>
  </cs:categoryAxis>
  <cs:chartArea>
    <cs:lnRef idx="0"/>
    <cs:fillRef idx="0"/>
    <cs:effectRef idx="0"/>
    <cs:fontRef idx="minor">
      <a:schemeClr val="dk1"/>
    </cs:fontRef>
    <cs:spPr>
      <a:gradFill flip="none" rotWithShape="1">
        <a:gsLst>
          <a:gs pos="0">
            <a:schemeClr val="lt1"/>
          </a:gs>
          <a:gs pos="68000">
            <a:schemeClr val="lt1">
              <a:lumMod val="85000"/>
            </a:schemeClr>
          </a:gs>
          <a:gs pos="100000">
            <a:schemeClr val="lt1"/>
          </a:gs>
        </a:gsLst>
        <a:lin ang="5400000" scaled="1"/>
        <a:tileRect/>
      </a:gradFill>
      <a:ln w="9525" cap="flat" cmpd="sng" algn="ctr">
        <a:solidFill>
          <a:schemeClr val="dk1">
            <a:lumMod val="15000"/>
            <a:lumOff val="85000"/>
          </a:schemeClr>
        </a:solidFill>
        <a:round/>
      </a:ln>
    </cs:spPr>
    <cs:defRPr sz="1000" kern="1200"/>
  </cs:chartArea>
  <cs:dataLabel>
    <cs:lnRef idx="0"/>
    <cs:fillRef idx="0"/>
    <cs:effectRef idx="0"/>
    <cs:fontRef idx="minor">
      <a:schemeClr val="lt1"/>
    </cs:fontRef>
    <cs:spPr/>
    <cs:defRPr sz="10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1000" b="1"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fontRef idx="minor">
      <a:schemeClr val="dk1"/>
    </cs:fontRef>
    <cs:spPr>
      <a:gradFill>
        <a:gsLst>
          <a:gs pos="0">
            <a:schemeClr val="phClr"/>
          </a:gs>
          <a:gs pos="100000">
            <a:schemeClr val="phClr">
              <a:lumMod val="84000"/>
            </a:schemeClr>
          </a:gs>
        </a:gsLst>
        <a:lin ang="5400000" scaled="1"/>
      </a:gradFill>
      <a:effectLst>
        <a:outerShdw blurRad="76200" dir="18900000" sy="23000" kx="-1200000" algn="bl" rotWithShape="0">
          <a:prstClr val="black">
            <a:alpha val="20000"/>
          </a:prstClr>
        </a:outerShdw>
      </a:effectLst>
    </cs:spPr>
  </cs:dataPoint>
  <cs:dataPoint3D>
    <cs:lnRef idx="0"/>
    <cs:fillRef idx="0">
      <cs:styleClr val="auto"/>
    </cs:fillRef>
    <cs:effectRef idx="0"/>
    <cs:fontRef idx="minor">
      <a:schemeClr val="dk1"/>
    </cs:fontRef>
    <cs:spPr>
      <a:gradFill>
        <a:gsLst>
          <a:gs pos="0">
            <a:schemeClr val="phClr"/>
          </a:gs>
          <a:gs pos="100000">
            <a:schemeClr val="phClr">
              <a:lumMod val="84000"/>
            </a:schemeClr>
          </a:gs>
        </a:gsLst>
        <a:lin ang="5400000" scaled="1"/>
      </a:gradFill>
      <a:effectLst>
        <a:outerShdw blurRad="76200" dir="18900000" sy="23000" kx="-1200000" algn="bl" rotWithShape="0">
          <a:prstClr val="black">
            <a:alpha val="20000"/>
          </a:prstClr>
        </a:outerShdw>
      </a:effectLst>
    </cs:spPr>
  </cs:dataPoint3D>
  <cs:dataPointLine>
    <cs:lnRef idx="0">
      <cs:styleClr val="auto"/>
    </cs:lnRef>
    <cs:fillRef idx="0"/>
    <cs:effectRef idx="0"/>
    <cs:fontRef idx="minor">
      <a:schemeClr val="dk1"/>
    </cs:fontRef>
    <cs:spPr>
      <a:ln w="28575" cap="rnd">
        <a:gradFill>
          <a:gsLst>
            <a:gs pos="0">
              <a:schemeClr val="phClr"/>
            </a:gs>
            <a:gs pos="100000">
              <a:schemeClr val="phClr">
                <a:lumMod val="84000"/>
              </a:schemeClr>
            </a:gs>
          </a:gsLst>
          <a:lin ang="5400000" scaled="1"/>
        </a:gradFill>
        <a:round/>
      </a:ln>
    </cs:spPr>
  </cs:dataPointLine>
  <cs:dataPointMarker>
    <cs:lnRef idx="0"/>
    <cs:fillRef idx="0">
      <cs:styleClr val="auto"/>
    </cs:fillRef>
    <cs:effectRef idx="0"/>
    <cs:fontRef idx="minor">
      <a:schemeClr val="dk1"/>
    </cs:fontRef>
    <cs:spPr>
      <a:gradFill>
        <a:gsLst>
          <a:gs pos="0">
            <a:schemeClr val="phClr"/>
          </a:gs>
          <a:gs pos="100000">
            <a:schemeClr val="phClr">
              <a:lumMod val="84000"/>
            </a:schemeClr>
          </a:gs>
        </a:gsLst>
        <a:lin ang="5400000" scaled="1"/>
      </a:gradFill>
      <a:effectLst>
        <a:outerShdw blurRad="76200" dir="18900000" sy="23000" kx="-1200000" algn="bl" rotWithShape="0">
          <a:prstClr val="black">
            <a:alpha val="20000"/>
          </a:prstClr>
        </a:outerShdw>
      </a:effectLst>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ln w="9525">
        <a:solidFill>
          <a:schemeClr val="dk1">
            <a:lumMod val="15000"/>
            <a:lumOff val="85000"/>
          </a:schemeClr>
        </a:solidFill>
      </a:ln>
    </cs:spPr>
    <cs:defRPr sz="900" kern="1200"/>
  </cs:dataTable>
  <cs:downBar>
    <cs:lnRef idx="0"/>
    <cs:fillRef idx="0"/>
    <cs:effectRef idx="0"/>
    <cs:fontRef idx="minor">
      <a:schemeClr val="dk1"/>
    </cs:fontRef>
    <cs:spPr>
      <a:solidFill>
        <a:schemeClr val="dk1">
          <a:lumMod val="35000"/>
          <a:lumOff val="65000"/>
        </a:schemeClr>
      </a:solidFill>
      <a:ln w="9525">
        <a:solidFill>
          <a:schemeClr val="dk1">
            <a:lumMod val="50000"/>
            <a:lumOff val="50000"/>
          </a:schemeClr>
        </a:solidFill>
      </a:ln>
    </cs:spPr>
  </cs:downBar>
  <cs:dropLine>
    <cs:lnRef idx="0"/>
    <cs:fillRef idx="0"/>
    <cs:effectRef idx="0"/>
    <cs:fontRef idx="minor">
      <a:schemeClr val="dk1"/>
    </cs:fontRef>
    <cs:spPr>
      <a:ln w="9525">
        <a:solidFill>
          <a:schemeClr val="dk1">
            <a:lumMod val="50000"/>
            <a:lumOff val="50000"/>
          </a:schemeClr>
        </a:solidFill>
        <a:round/>
      </a:ln>
    </cs:spPr>
  </cs:dropLine>
  <cs:errorBar>
    <cs:lnRef idx="0"/>
    <cs:fillRef idx="0"/>
    <cs:effectRef idx="0"/>
    <cs:fontRef idx="minor">
      <a:schemeClr val="dk1"/>
    </cs:fontRef>
    <cs:spPr>
      <a:ln w="9525">
        <a:solidFill>
          <a:schemeClr val="dk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a:solidFill>
          <a:schemeClr val="dk1">
            <a:lumMod val="5000"/>
            <a:lumOff val="95000"/>
          </a:schemeClr>
        </a:solidFill>
      </a:ln>
    </cs:spPr>
  </cs:gridlineMinor>
  <cs:hiLoLine>
    <cs:lnRef idx="0"/>
    <cs:fillRef idx="0"/>
    <cs:effectRef idx="0"/>
    <cs:fontRef idx="minor">
      <a:schemeClr val="dk1"/>
    </cs:fontRef>
    <cs:spPr>
      <a:ln w="9525">
        <a:solidFill>
          <a:schemeClr val="dk1">
            <a:lumMod val="50000"/>
            <a:lumOff val="50000"/>
          </a:schemeClr>
        </a:solidFill>
        <a:round/>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65000"/>
        <a:lumOff val="35000"/>
      </a:schemeClr>
    </cs:fontRef>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65000"/>
        <a:lumOff val="35000"/>
      </a:schemeClr>
    </cs:fontRef>
    <cs:defRPr kern="1200">
      <a:effectLst/>
    </cs:defRPr>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lumMod val="95000"/>
        </a:schemeClr>
      </a:solidFill>
      <a:ln w="9525">
        <a:solidFill>
          <a:schemeClr val="dk1">
            <a:lumMod val="15000"/>
            <a:lumOff val="85000"/>
          </a:schemeClr>
        </a:solidFill>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59">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cs:styleClr val="auto"/>
    </cs:fontRef>
    <cs:defRPr sz="1000" b="1" i="0" u="none" strike="noStrike" kern="1200" spc="0" baseline="0"/>
  </cs:dataLabel>
  <cs:dataLabelCallout>
    <cs:lnRef idx="0">
      <cs:styleClr val="auto"/>
    </cs:lnRef>
    <cs:fillRef idx="0"/>
    <cs:effectRef idx="0"/>
    <cs:fontRef idx="minor">
      <cs:styleClr val="auto"/>
    </cs:fontRef>
    <cs:spPr>
      <a:solidFill>
        <a:schemeClr val="lt1"/>
      </a:solidFill>
      <a:ln>
        <a:solidFill>
          <a:schemeClr val="phClr"/>
        </a:solidFill>
      </a:ln>
    </cs:spPr>
    <cs:defRPr sz="10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635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10000"/>
          </a:prstClr>
        </a:outerShdw>
      </a:effectLst>
      <a:scene3d>
        <a:camera prst="orthographicFront"/>
        <a:lightRig rig="threePt" dir="t"/>
      </a:scene3d>
      <a:sp3d>
        <a:bevelT w="127000" h="127000"/>
        <a:bevelB w="127000" h="127000"/>
      </a:sp3d>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CEEACA"/>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19</Pages>
  <Words>5621</Words>
  <Characters>893</Characters>
  <Application>Microsoft Office Word</Application>
  <DocSecurity>0</DocSecurity>
  <Lines>7</Lines>
  <Paragraphs>13</Paragraphs>
  <ScaleCrop>false</ScaleCrop>
  <Company>四川省财政厅</Company>
  <LinksUpToDate>false</LinksUpToDate>
  <CharactersWithSpaces>6501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zhang_ling</cp:lastModifiedBy>
  <cp:revision>3</cp:revision>
  <cp:lastPrinted>2023-08-03T02:35:00Z</cp:lastPrinted>
  <dcterms:created xsi:type="dcterms:W3CDTF">2024-10-25T09:55:00Z</dcterms:created>
  <dcterms:modified xsi:type="dcterms:W3CDTF">2024-10-25T09:58:00Z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