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bookmarkEnd w:id="0"/>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盐边县交通运输局</w:t>
      </w: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val="en-US" w:eastAsia="zh-CN"/>
        </w:rPr>
      </w:pPr>
      <w:r>
        <w:rPr>
          <w:rFonts w:hint="eastAsia" w:ascii="方正小标宋简体" w:hAnsi="方正小标宋简体" w:eastAsia="方正小标宋简体" w:cs="方正小标宋简体"/>
          <w:sz w:val="72"/>
          <w:szCs w:val="72"/>
        </w:rPr>
        <w:t>2023年度</w:t>
      </w:r>
      <w:bookmarkStart w:id="1" w:name="_Toc15306268"/>
      <w:bookmarkStart w:id="2" w:name="_Toc15377194"/>
      <w:bookmarkStart w:id="3" w:name="_Toc15396598"/>
      <w:bookmarkStart w:id="4" w:name="_Toc15378442"/>
      <w:bookmarkStart w:id="5" w:name="_Toc15377426"/>
      <w:bookmarkStart w:id="6" w:name="_Toc15396476"/>
      <w:r>
        <w:rPr>
          <w:rFonts w:hint="eastAsia" w:ascii="方正小标宋简体" w:hAnsi="方正小标宋简体" w:eastAsia="方正小标宋简体" w:cs="方正小标宋简体"/>
          <w:sz w:val="72"/>
          <w:szCs w:val="72"/>
          <w:lang w:eastAsia="zh-CN"/>
        </w:rPr>
        <w:t>单位</w:t>
      </w:r>
      <w:r>
        <w:rPr>
          <w:rFonts w:hint="eastAsia" w:ascii="方正小标宋简体" w:hAnsi="方正小标宋简体" w:eastAsia="方正小标宋简体" w:cs="方正小标宋简体"/>
          <w:sz w:val="72"/>
          <w:szCs w:val="72"/>
        </w:rPr>
        <w:t>决算</w:t>
      </w:r>
      <w:bookmarkEnd w:id="1"/>
      <w:bookmarkEnd w:id="2"/>
      <w:bookmarkEnd w:id="3"/>
      <w:bookmarkEnd w:id="4"/>
      <w:bookmarkEnd w:id="5"/>
      <w:bookmarkEnd w:id="6"/>
      <w:r>
        <w:rPr>
          <w:rFonts w:hint="eastAsia" w:ascii="方正小标宋简体" w:hAnsi="方正小标宋简体" w:eastAsia="方正小标宋简体" w:cs="方正小标宋简体"/>
          <w:sz w:val="72"/>
          <w:szCs w:val="72"/>
          <w:lang w:val="en-US" w:eastAsia="zh-CN"/>
        </w:rPr>
        <w:t>公开</w:t>
      </w: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val="en-US" w:eastAsia="zh-CN"/>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r>
        <w:rPr>
          <w:rFonts w:hint="eastAsia" w:ascii="方正小标宋简体" w:hAnsi="方正小标宋简体" w:eastAsia="方正小标宋简体" w:cs="方正小标宋简体"/>
          <w:sz w:val="72"/>
          <w:szCs w:val="72"/>
          <w:lang w:val="en-US" w:eastAsia="zh-CN"/>
        </w:rPr>
        <w:t>编制说明</w:t>
      </w:r>
    </w:p>
    <w:p>
      <w:pPr>
        <w:widowControl/>
        <w:jc w:val="center"/>
        <w:rPr>
          <w:rFonts w:ascii="方正小标宋简体" w:hAnsi="宋体" w:eastAsia="方正小标宋简体"/>
          <w:sz w:val="52"/>
          <w:szCs w:val="52"/>
        </w:rPr>
      </w:pPr>
    </w:p>
    <w:p>
      <w:pPr>
        <w:widowControl/>
        <w:jc w:val="both"/>
        <w:rPr>
          <w:rFonts w:ascii="黑体" w:hAnsi="黑体" w:eastAsia="黑体"/>
          <w:sz w:val="48"/>
          <w:szCs w:val="48"/>
        </w:rPr>
      </w:pPr>
      <w:r>
        <w:rPr>
          <w:rFonts w:hint="eastAsia" w:ascii="黑体" w:hAnsi="黑体" w:eastAsia="黑体"/>
          <w:sz w:val="48"/>
          <w:szCs w:val="48"/>
          <w:lang w:eastAsia="zh-CN"/>
        </w:rPr>
        <w:t>　　　　　　　　</w:t>
      </w:r>
      <w:bookmarkStart w:id="62" w:name="_GoBack"/>
      <w:bookmarkEnd w:id="62"/>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公开时间：2024年10月</w:t>
      </w:r>
      <w:r>
        <w:rPr>
          <w:rFonts w:hint="eastAsia"/>
          <w:lang w:val="en-US" w:eastAsia="zh-CN"/>
        </w:rPr>
        <w:t>28</w:t>
      </w:r>
      <w:r>
        <w:rPr>
          <w:rFonts w:hint="eastAsia"/>
        </w:rPr>
        <w:t xml:space="preserve"> 日</w:t>
      </w:r>
    </w:p>
    <w:p>
      <w:pP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firstLine="0" w:firstLineChars="0"/>
        <w:jc w:val="left"/>
        <w:textAlignment w:val="auto"/>
        <w:outlineLvl w:val="9"/>
        <w:rPr>
          <w:rFonts w:cstheme="minorBidi"/>
          <w:sz w:val="24"/>
          <w:szCs w:val="24"/>
        </w:rPr>
      </w:pPr>
      <w:r>
        <w:rPr>
          <w:rFonts w:hint="eastAsia"/>
          <w:sz w:val="24"/>
        </w:rPr>
        <w:t>第一部分</w:t>
      </w:r>
      <w:r>
        <w:rPr>
          <w:sz w:val="24"/>
        </w:rPr>
        <w:t xml:space="preserve"> </w:t>
      </w:r>
      <w:r>
        <w:rPr>
          <w:rFonts w:hint="eastAsia"/>
          <w:sz w:val="24"/>
        </w:rPr>
        <w:t>单位概况</w:t>
      </w:r>
      <w:r>
        <w:rPr>
          <w:rFonts w:hint="eastAsia"/>
          <w:sz w:val="24"/>
          <w:lang w:val="en-US" w:eastAsia="zh-CN"/>
        </w:rPr>
        <w:tab/>
      </w:r>
      <w:r>
        <w:rPr>
          <w:rFonts w:hint="eastAsia"/>
          <w:sz w:val="24"/>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一、主要职责</w:t>
      </w:r>
      <w:r>
        <w:rPr>
          <w:rFonts w:hint="eastAsia"/>
          <w:sz w:val="24"/>
          <w:lang w:val="en-US" w:eastAsia="zh-CN"/>
        </w:rPr>
        <w:tab/>
      </w:r>
      <w:r>
        <w:rPr>
          <w:rFonts w:hint="eastAsia"/>
          <w:sz w:val="24"/>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pPr>
      <w:r>
        <w:rPr>
          <w:rFonts w:hint="eastAsia"/>
          <w:sz w:val="24"/>
        </w:rPr>
        <w:t>二、机构设置</w:t>
      </w:r>
      <w:r>
        <w:rPr>
          <w:rFonts w:hint="eastAsia"/>
          <w:sz w:val="24"/>
          <w:lang w:val="en-US" w:eastAsia="zh-CN"/>
        </w:rPr>
        <w:tab/>
      </w:r>
      <w:r>
        <w:rPr>
          <w:rFonts w:hint="eastAsia"/>
          <w:sz w:val="24"/>
        </w:rPr>
        <w:t>1</w:t>
      </w: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firstLine="0" w:firstLineChars="0"/>
        <w:jc w:val="left"/>
        <w:textAlignment w:val="auto"/>
        <w:outlineLvl w:val="9"/>
        <w:rPr>
          <w:sz w:val="24"/>
          <w:szCs w:val="24"/>
        </w:rPr>
      </w:pPr>
      <w:r>
        <w:rPr>
          <w:rFonts w:hint="eastAsia"/>
          <w:sz w:val="24"/>
        </w:rPr>
        <w:t>第二部分 2023年度单位决算情况说明</w:t>
      </w:r>
      <w:r>
        <w:rPr>
          <w:rFonts w:hint="eastAsia"/>
          <w:sz w:val="24"/>
          <w:lang w:val="en-US" w:eastAsia="zh-CN"/>
        </w:rPr>
        <w:tab/>
      </w:r>
      <w:r>
        <w:rPr>
          <w:rFonts w:hint="eastAsia"/>
          <w:sz w:val="24"/>
        </w:rPr>
        <w:t>5</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rFonts w:ascii="仿宋" w:hAnsi="仿宋" w:eastAsia="仿宋" w:cstheme="minorBidi"/>
          <w:sz w:val="24"/>
        </w:rPr>
      </w:pPr>
      <w:r>
        <w:rPr>
          <w:rFonts w:hint="eastAsia"/>
          <w:sz w:val="24"/>
        </w:rPr>
        <w:t>一、收入支出决算总体情况说明</w:t>
      </w:r>
      <w:r>
        <w:rPr>
          <w:rFonts w:hint="eastAsia"/>
          <w:sz w:val="24"/>
          <w:lang w:val="en-US" w:eastAsia="zh-CN"/>
        </w:rPr>
        <w:tab/>
      </w:r>
      <w:r>
        <w:rPr>
          <w:rFonts w:hint="eastAsia"/>
          <w:sz w:val="24"/>
        </w:rPr>
        <w:t>5</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rFonts w:ascii="仿宋" w:hAnsi="仿宋" w:eastAsia="仿宋" w:cstheme="minorBidi"/>
          <w:sz w:val="24"/>
        </w:rPr>
      </w:pPr>
      <w:r>
        <w:rPr>
          <w:rFonts w:hint="eastAsia"/>
          <w:sz w:val="24"/>
        </w:rPr>
        <w:t>二、收入决算情况说明</w:t>
      </w:r>
      <w:r>
        <w:rPr>
          <w:rFonts w:hint="eastAsia"/>
          <w:sz w:val="24"/>
          <w:lang w:val="en-US" w:eastAsia="zh-CN"/>
        </w:rPr>
        <w:tab/>
      </w:r>
      <w:r>
        <w:rPr>
          <w:rFonts w:hint="eastAsia"/>
          <w:sz w:val="24"/>
        </w:rPr>
        <w:t>5</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rFonts w:ascii="仿宋" w:hAnsi="仿宋" w:eastAsia="仿宋" w:cstheme="minorBidi"/>
          <w:sz w:val="24"/>
        </w:rPr>
      </w:pPr>
      <w:r>
        <w:rPr>
          <w:rFonts w:hint="eastAsia"/>
          <w:sz w:val="24"/>
        </w:rPr>
        <w:t>三、支出决算情况说明</w:t>
      </w:r>
      <w:r>
        <w:rPr>
          <w:rFonts w:hint="eastAsia"/>
          <w:sz w:val="24"/>
          <w:lang w:val="en-US" w:eastAsia="zh-CN"/>
        </w:rPr>
        <w:tab/>
      </w:r>
      <w:r>
        <w:rPr>
          <w:rFonts w:hint="eastAsia"/>
          <w:sz w:val="24"/>
        </w:rPr>
        <w:t>6</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rFonts w:ascii="仿宋" w:hAnsi="仿宋" w:eastAsia="仿宋" w:cstheme="minorBidi"/>
          <w:sz w:val="24"/>
        </w:rPr>
      </w:pPr>
      <w:r>
        <w:rPr>
          <w:rFonts w:hint="eastAsia"/>
          <w:sz w:val="24"/>
        </w:rPr>
        <w:t>四、财政拨款收入支出决算总体情况说明</w:t>
      </w:r>
      <w:r>
        <w:rPr>
          <w:rFonts w:hint="eastAsia"/>
          <w:sz w:val="24"/>
          <w:lang w:val="en-US" w:eastAsia="zh-CN"/>
        </w:rPr>
        <w:tab/>
      </w:r>
      <w:r>
        <w:rPr>
          <w:rFonts w:hint="eastAsia"/>
          <w:sz w:val="24"/>
        </w:rPr>
        <w:t>7</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rFonts w:ascii="仿宋" w:hAnsi="仿宋" w:eastAsia="仿宋" w:cstheme="minorBidi"/>
          <w:sz w:val="24"/>
        </w:rPr>
      </w:pPr>
      <w:r>
        <w:rPr>
          <w:rFonts w:hint="eastAsia"/>
          <w:sz w:val="24"/>
        </w:rPr>
        <w:t>五、一般公共预算财政拨款支出决算情况说明</w:t>
      </w:r>
      <w:r>
        <w:rPr>
          <w:rFonts w:hint="eastAsia"/>
          <w:sz w:val="24"/>
          <w:lang w:val="en-US" w:eastAsia="zh-CN"/>
        </w:rPr>
        <w:tab/>
      </w:r>
      <w:r>
        <w:rPr>
          <w:rFonts w:hint="eastAsia"/>
          <w:sz w:val="24"/>
        </w:rPr>
        <w:t>7</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rFonts w:ascii="仿宋" w:hAnsi="仿宋" w:eastAsia="仿宋" w:cstheme="minorBidi"/>
          <w:sz w:val="24"/>
        </w:rPr>
      </w:pPr>
      <w:r>
        <w:rPr>
          <w:rFonts w:hint="eastAsia"/>
          <w:sz w:val="24"/>
        </w:rPr>
        <w:t>六、一般公共预算财政拨款基本支出决算情况说明</w:t>
      </w:r>
      <w:r>
        <w:rPr>
          <w:rFonts w:hint="eastAsia"/>
          <w:sz w:val="24"/>
          <w:lang w:val="en-US" w:eastAsia="zh-CN"/>
        </w:rPr>
        <w:tab/>
      </w:r>
      <w:r>
        <w:rPr>
          <w:rFonts w:hint="eastAsia"/>
          <w:sz w:val="24"/>
        </w:rPr>
        <w:t>11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rFonts w:ascii="仿宋" w:hAnsi="仿宋" w:eastAsia="仿宋" w:cstheme="minorBidi"/>
          <w:sz w:val="24"/>
        </w:rPr>
      </w:pPr>
      <w:r>
        <w:rPr>
          <w:rFonts w:hint="eastAsia"/>
          <w:sz w:val="24"/>
        </w:rPr>
        <w:t>七、财政拨款“三公”经费支出决算情况说明</w:t>
      </w:r>
      <w:r>
        <w:rPr>
          <w:rFonts w:hint="eastAsia"/>
          <w:sz w:val="24"/>
          <w:lang w:val="en-US" w:eastAsia="zh-CN"/>
        </w:rPr>
        <w:tab/>
      </w:r>
      <w:r>
        <w:rPr>
          <w:rFonts w:hint="eastAsia"/>
          <w:sz w:val="24"/>
        </w:rPr>
        <w:t>12</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rFonts w:ascii="仿宋" w:hAnsi="仿宋" w:eastAsia="仿宋" w:cstheme="minorBidi"/>
          <w:sz w:val="24"/>
        </w:rPr>
      </w:pPr>
      <w:r>
        <w:rPr>
          <w:rFonts w:hint="eastAsia"/>
          <w:sz w:val="24"/>
        </w:rPr>
        <w:t>八、政府性基金预算支出决算情况说明</w:t>
      </w:r>
      <w:r>
        <w:rPr>
          <w:rFonts w:hint="eastAsia"/>
          <w:sz w:val="24"/>
          <w:lang w:val="en-US" w:eastAsia="zh-CN"/>
        </w:rPr>
        <w:tab/>
      </w:r>
      <w:r>
        <w:rPr>
          <w:rFonts w:hint="eastAsia"/>
          <w:sz w:val="24"/>
        </w:rPr>
        <w:t>13</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九、国有资本经营预算支出决算情况说明</w:t>
      </w:r>
      <w:r>
        <w:rPr>
          <w:rFonts w:hint="eastAsia"/>
          <w:sz w:val="24"/>
          <w:lang w:val="en-US" w:eastAsia="zh-CN"/>
        </w:rPr>
        <w:tab/>
      </w:r>
      <w:r>
        <w:rPr>
          <w:rFonts w:hint="eastAsia"/>
          <w:sz w:val="24"/>
        </w:rPr>
        <w:t>13</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十、其他重要事项的情况说明</w:t>
      </w:r>
      <w:r>
        <w:rPr>
          <w:rFonts w:hint="eastAsia"/>
          <w:sz w:val="24"/>
          <w:lang w:val="en-US" w:eastAsia="zh-CN"/>
        </w:rPr>
        <w:tab/>
      </w:r>
      <w:r>
        <w:rPr>
          <w:rFonts w:hint="eastAsia"/>
          <w:sz w:val="24"/>
        </w:rPr>
        <w:t>13</w:t>
      </w: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firstLine="0" w:firstLineChars="0"/>
        <w:jc w:val="left"/>
        <w:textAlignment w:val="auto"/>
        <w:outlineLvl w:val="9"/>
        <w:rPr>
          <w:rFonts w:cstheme="minorBidi"/>
          <w:sz w:val="24"/>
          <w:szCs w:val="24"/>
        </w:rPr>
      </w:pPr>
      <w:r>
        <w:rPr>
          <w:rFonts w:hint="eastAsia"/>
          <w:sz w:val="24"/>
        </w:rPr>
        <w:t>第三部分</w:t>
      </w:r>
      <w:r>
        <w:rPr>
          <w:sz w:val="24"/>
        </w:rPr>
        <w:t xml:space="preserve"> </w:t>
      </w:r>
      <w:r>
        <w:rPr>
          <w:rFonts w:hint="eastAsia"/>
          <w:sz w:val="24"/>
        </w:rPr>
        <w:t>名词解释</w:t>
      </w:r>
      <w:r>
        <w:rPr>
          <w:rFonts w:hint="eastAsia"/>
          <w:sz w:val="24"/>
          <w:lang w:val="en-US" w:eastAsia="zh-CN"/>
        </w:rPr>
        <w:tab/>
      </w:r>
      <w:r>
        <w:rPr>
          <w:rFonts w:hint="eastAsia"/>
          <w:sz w:val="24"/>
        </w:rPr>
        <w:t>15</w:t>
      </w: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firstLine="0" w:firstLineChars="0"/>
        <w:jc w:val="left"/>
        <w:textAlignment w:val="auto"/>
        <w:outlineLvl w:val="9"/>
        <w:rPr>
          <w:rFonts w:cstheme="minorBidi"/>
          <w:sz w:val="24"/>
          <w:szCs w:val="24"/>
        </w:rPr>
      </w:pPr>
      <w:r>
        <w:rPr>
          <w:rFonts w:hint="eastAsia"/>
          <w:sz w:val="24"/>
        </w:rPr>
        <w:t>第四部分</w:t>
      </w:r>
      <w:r>
        <w:rPr>
          <w:sz w:val="24"/>
        </w:rPr>
        <w:t xml:space="preserve"> </w:t>
      </w:r>
      <w:r>
        <w:rPr>
          <w:rFonts w:hint="eastAsia"/>
          <w:sz w:val="24"/>
        </w:rPr>
        <w:t>附件</w:t>
      </w:r>
      <w:r>
        <w:rPr>
          <w:rFonts w:hint="eastAsia"/>
          <w:sz w:val="24"/>
          <w:lang w:val="en-US" w:eastAsia="zh-CN"/>
        </w:rPr>
        <w:tab/>
      </w:r>
      <w:r>
        <w:rPr>
          <w:rFonts w:hint="eastAsia"/>
          <w:sz w:val="24"/>
        </w:rPr>
        <w:t>20</w:t>
      </w: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firstLine="0" w:firstLineChars="0"/>
        <w:jc w:val="left"/>
        <w:textAlignment w:val="auto"/>
        <w:outlineLvl w:val="9"/>
        <w:rPr>
          <w:rFonts w:cstheme="minorBidi"/>
          <w:sz w:val="24"/>
          <w:szCs w:val="24"/>
        </w:rPr>
      </w:pPr>
      <w:r>
        <w:rPr>
          <w:rFonts w:hint="eastAsia"/>
          <w:sz w:val="24"/>
        </w:rPr>
        <w:t>第五部分</w:t>
      </w:r>
      <w:r>
        <w:rPr>
          <w:sz w:val="24"/>
        </w:rPr>
        <w:t xml:space="preserve"> </w:t>
      </w:r>
      <w:r>
        <w:rPr>
          <w:rFonts w:hint="eastAsia"/>
          <w:sz w:val="24"/>
        </w:rPr>
        <w:t>附表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一、收入支出决算总表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二、收入决算表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三、支出决算表</w:t>
      </w:r>
      <w:r>
        <w:rPr>
          <w:rFonts w:hint="eastAsia"/>
          <w:sz w:val="24"/>
          <w:lang w:val="en-US" w:eastAsia="zh-CN"/>
        </w:rPr>
        <w:tab/>
      </w:r>
      <w:r>
        <w:rPr>
          <w:rFonts w:hint="eastAsia"/>
          <w:sz w:val="24"/>
          <w:lang w:val="en-US" w:eastAsia="zh-CN"/>
        </w:rPr>
        <w:t>2</w:t>
      </w:r>
      <w:r>
        <w:rPr>
          <w:rFonts w:hint="eastAsia"/>
          <w:sz w:val="24"/>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四、财政拨款收入支出决算总表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五、财政拨款支出决算明细表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六、一般公共预算财政拨款支出决算表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七、一般公共预算财政拨款支出决算明细表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八、一般公共预算财政拨款基本支出决算明细表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九、一般公共预算财政拨款项目支出决算表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十、政府性基金预算财政拨款收入支出决算表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十一、国有资本经营预算财政拨款收入支出决算表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十二、国有资本经营预算财政拨款支出决算表</w:t>
      </w:r>
      <w:r>
        <w:rPr>
          <w:rFonts w:hint="eastAsia"/>
          <w:sz w:val="24"/>
          <w:lang w:val="en-US" w:eastAsia="zh-CN"/>
        </w:rPr>
        <w:tab/>
      </w:r>
      <w:r>
        <w:rPr>
          <w:rFonts w:hint="eastAsia"/>
          <w:sz w:val="24"/>
        </w:rPr>
        <w:t>21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firstLine="0" w:firstLineChars="0"/>
        <w:jc w:val="left"/>
        <w:textAlignment w:val="auto"/>
        <w:outlineLvl w:val="9"/>
        <w:rPr>
          <w:sz w:val="24"/>
        </w:rPr>
      </w:pPr>
      <w:r>
        <w:rPr>
          <w:rFonts w:hint="eastAsia"/>
          <w:sz w:val="24"/>
        </w:rPr>
        <w:t>十三、财政拨款“三公”经费支出决算表</w:t>
      </w:r>
      <w:r>
        <w:rPr>
          <w:rFonts w:hint="eastAsia"/>
          <w:sz w:val="24"/>
          <w:lang w:val="en-US" w:eastAsia="zh-CN"/>
        </w:rPr>
        <w:tab/>
      </w:r>
      <w:r>
        <w:rPr>
          <w:rFonts w:hint="eastAsia"/>
          <w:sz w:val="24"/>
        </w:rPr>
        <w:t>21</w:t>
      </w:r>
    </w:p>
    <w:p>
      <w:pPr>
        <w:pStyle w:val="3"/>
        <w:jc w:val="center"/>
        <w:rPr>
          <w:rFonts w:ascii="仿宋" w:hAnsi="仿宋" w:eastAsia="仿宋"/>
          <w:sz w:val="24"/>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bookmarkStart w:id="7" w:name="_Toc15377196"/>
      <w:bookmarkStart w:id="8" w:name="_Toc15396599"/>
      <w:r>
        <w:rPr>
          <w:rFonts w:hint="eastAsia" w:ascii="仿宋" w:hAnsi="仿宋" w:eastAsia="仿宋"/>
          <w:sz w:val="24"/>
        </w:rPr>
        <w:t xml:space="preserve"> </w:t>
      </w:r>
    </w:p>
    <w:p>
      <w:pPr>
        <w:pStyle w:val="3"/>
        <w:jc w:val="center"/>
        <w:rPr>
          <w:rFonts w:ascii="黑体" w:hAnsi="黑体" w:eastAsia="黑体"/>
          <w:bCs w:val="0"/>
        </w:rPr>
      </w:pPr>
      <w:r>
        <w:rPr>
          <w:rFonts w:hint="eastAsia" w:ascii="黑体" w:hAnsi="黑体" w:eastAsia="黑体"/>
          <w:b w:val="0"/>
        </w:rPr>
        <w:t>第一部分 单位</w:t>
      </w:r>
      <w:r>
        <w:rPr>
          <w:rStyle w:val="27"/>
          <w:rFonts w:hint="eastAsia" w:ascii="黑体" w:hAnsi="黑体" w:eastAsia="黑体"/>
          <w:b w:val="0"/>
          <w:bCs w:val="0"/>
        </w:rPr>
        <w:t>概况</w:t>
      </w:r>
      <w:bookmarkEnd w:id="7"/>
      <w:bookmarkEnd w:id="8"/>
    </w:p>
    <w:p>
      <w:pPr>
        <w:pStyle w:val="4"/>
        <w:numPr>
          <w:ilvl w:val="0"/>
          <w:numId w:val="1"/>
        </w:numPr>
        <w:rPr>
          <w:rStyle w:val="28"/>
          <w:rFonts w:ascii="黑体" w:hAnsi="黑体" w:eastAsia="黑体"/>
          <w:b w:val="0"/>
          <w:bCs w:val="0"/>
        </w:rPr>
      </w:pPr>
      <w:bookmarkStart w:id="9" w:name="_Toc15396600"/>
      <w:bookmarkStart w:id="10" w:name="_Toc15377197"/>
      <w:r>
        <w:rPr>
          <w:rStyle w:val="28"/>
          <w:rFonts w:hint="eastAsia" w:ascii="黑体" w:hAnsi="黑体" w:eastAsia="黑体"/>
          <w:b w:val="0"/>
          <w:bCs w:val="0"/>
        </w:rPr>
        <w:t>主要职责</w:t>
      </w:r>
    </w:p>
    <w:p>
      <w:pPr>
        <w:pStyle w:val="6"/>
        <w:adjustRightInd w:val="0"/>
        <w:spacing w:before="93" w:line="400" w:lineRule="exact"/>
        <w:ind w:left="420" w:firstLine="640" w:firstLineChars="200"/>
        <w:outlineLvl w:val="2"/>
        <w:rPr>
          <w:rFonts w:hAnsi="仿宋"/>
          <w:kern w:val="2"/>
          <w:sz w:val="32"/>
          <w:szCs w:val="32"/>
        </w:rPr>
      </w:pPr>
      <w:r>
        <w:rPr>
          <w:rFonts w:hint="eastAsia" w:hAnsi="仿宋"/>
          <w:kern w:val="2"/>
          <w:sz w:val="32"/>
          <w:szCs w:val="32"/>
        </w:rPr>
        <w:t>负责交通运输领域综合行政执法工作。</w:t>
      </w:r>
    </w:p>
    <w:p>
      <w:pPr>
        <w:pStyle w:val="6"/>
        <w:adjustRightInd w:val="0"/>
        <w:spacing w:before="93" w:line="400" w:lineRule="exact"/>
        <w:ind w:left="420" w:firstLine="640" w:firstLineChars="200"/>
        <w:outlineLvl w:val="2"/>
        <w:rPr>
          <w:rFonts w:hAnsi="仿宋"/>
          <w:kern w:val="2"/>
          <w:sz w:val="32"/>
          <w:szCs w:val="32"/>
        </w:rPr>
      </w:pPr>
      <w:r>
        <w:rPr>
          <w:rFonts w:hint="eastAsia" w:hAnsi="仿宋"/>
          <w:kern w:val="2"/>
          <w:sz w:val="32"/>
          <w:szCs w:val="32"/>
        </w:rPr>
        <w:t>负责职责范围内的安全生产和职业健康、生态环境保护、审批服务便民化等工作。</w:t>
      </w:r>
    </w:p>
    <w:p>
      <w:pPr>
        <w:pStyle w:val="6"/>
        <w:adjustRightInd w:val="0"/>
        <w:spacing w:before="93" w:line="400" w:lineRule="exact"/>
        <w:ind w:left="420" w:firstLine="640" w:firstLineChars="200"/>
        <w:outlineLvl w:val="2"/>
        <w:rPr>
          <w:rFonts w:hAnsi="仿宋"/>
          <w:kern w:val="2"/>
          <w:sz w:val="32"/>
          <w:szCs w:val="32"/>
        </w:rPr>
      </w:pPr>
      <w:r>
        <w:rPr>
          <w:rFonts w:hint="eastAsia" w:hAnsi="仿宋"/>
          <w:kern w:val="2"/>
          <w:sz w:val="32"/>
          <w:szCs w:val="32"/>
        </w:rPr>
        <w:t>渔船检验监督管理和行业指导等职责。</w:t>
      </w:r>
    </w:p>
    <w:p>
      <w:pPr>
        <w:pStyle w:val="6"/>
        <w:adjustRightInd w:val="0"/>
        <w:spacing w:before="93" w:line="400" w:lineRule="exact"/>
        <w:ind w:left="420" w:firstLine="640" w:firstLineChars="200"/>
        <w:outlineLvl w:val="2"/>
        <w:rPr>
          <w:rFonts w:hAnsi="仿宋"/>
          <w:kern w:val="2"/>
          <w:sz w:val="32"/>
          <w:szCs w:val="32"/>
        </w:rPr>
      </w:pPr>
      <w:r>
        <w:rPr>
          <w:rFonts w:hint="eastAsia" w:hAnsi="仿宋"/>
          <w:kern w:val="2"/>
          <w:sz w:val="32"/>
          <w:szCs w:val="32"/>
        </w:rPr>
        <w:t>承担水路运输及水上安全监督管理、船舶监督管理以及港口、航道建设、养护监督管理等职责。</w:t>
      </w:r>
    </w:p>
    <w:p>
      <w:pPr>
        <w:pStyle w:val="6"/>
        <w:adjustRightInd w:val="0"/>
        <w:spacing w:before="93" w:line="400" w:lineRule="exact"/>
        <w:ind w:left="420" w:firstLine="640" w:firstLineChars="200"/>
        <w:outlineLvl w:val="2"/>
        <w:rPr>
          <w:rFonts w:hAnsi="仿宋"/>
          <w:kern w:val="2"/>
          <w:sz w:val="32"/>
          <w:szCs w:val="32"/>
        </w:rPr>
      </w:pPr>
      <w:r>
        <w:rPr>
          <w:rFonts w:hint="eastAsia" w:hAnsi="仿宋"/>
          <w:kern w:val="2"/>
          <w:sz w:val="32"/>
          <w:szCs w:val="32"/>
        </w:rPr>
        <w:t>承担道路运输行业监督管理及全县公路行政审批等职责。</w:t>
      </w:r>
    </w:p>
    <w:p>
      <w:pPr>
        <w:tabs>
          <w:tab w:val="left" w:pos="7545"/>
        </w:tabs>
        <w:rPr>
          <w:rFonts w:ascii="仿宋_GB2312" w:hAnsi="仿宋" w:eastAsia="仿宋_GB2312"/>
          <w:sz w:val="32"/>
          <w:szCs w:val="32"/>
        </w:rPr>
      </w:pPr>
      <w:r>
        <w:rPr>
          <w:rFonts w:hint="eastAsia" w:ascii="仿宋_GB2312" w:hAnsi="仿宋" w:eastAsia="仿宋_GB2312"/>
          <w:sz w:val="32"/>
          <w:szCs w:val="32"/>
        </w:rPr>
        <w:t>主要工作：</w:t>
      </w:r>
      <w:r>
        <w:rPr>
          <w:rFonts w:ascii="仿宋_GB2312" w:hAnsi="仿宋" w:eastAsia="仿宋_GB2312"/>
          <w:sz w:val="32"/>
          <w:szCs w:val="32"/>
        </w:rPr>
        <w:tab/>
      </w:r>
    </w:p>
    <w:p>
      <w:pPr>
        <w:spacing w:line="560" w:lineRule="exact"/>
        <w:ind w:firstLine="643" w:firstLineChars="200"/>
        <w:rPr>
          <w:rFonts w:ascii="仿宋_GB2312" w:hAnsi="仿宋" w:eastAsia="仿宋_GB2312"/>
          <w:sz w:val="32"/>
          <w:szCs w:val="32"/>
        </w:rPr>
      </w:pPr>
      <w:r>
        <w:rPr>
          <w:rFonts w:hint="eastAsia" w:eastAsia="仿宋_GB2312"/>
          <w:b/>
          <w:bCs/>
          <w:sz w:val="32"/>
          <w:szCs w:val="32"/>
        </w:rPr>
        <w:t>办公室。</w:t>
      </w:r>
      <w:r>
        <w:rPr>
          <w:rFonts w:hint="eastAsia" w:ascii="仿宋_GB2312" w:hAnsi="仿宋" w:eastAsia="仿宋_GB2312"/>
          <w:sz w:val="32"/>
          <w:szCs w:val="32"/>
        </w:rPr>
        <w:t>负责文电、会务、档案、保密、网络安全等机关日常运转工作。负责局机关会计核算、财务管理、审计、劳动保障和后勤管理工作。负责局机关意识形态、新闻宣传、党务信息、政务信息、精神文明建设、史志年鉴、教育体育和卫生健康工作。负责局机关干部职工学习教育培训、干部人事管理和专业技术职称评审工作。负责局机关信访、平安建设、维护稳定工作。负责重要文稿起草工作。承担全局年度综合目标考核、督察督办和绩效管理工作。承担局党组履行党风廉政建设主体责任的具体事务性工作。组织办理人大代表建议、政协提案。</w:t>
      </w:r>
    </w:p>
    <w:p>
      <w:pPr>
        <w:spacing w:line="560" w:lineRule="exact"/>
        <w:ind w:firstLine="643" w:firstLineChars="200"/>
        <w:rPr>
          <w:rFonts w:ascii="仿宋_GB2312" w:hAnsi="仿宋" w:eastAsia="仿宋_GB2312"/>
          <w:sz w:val="32"/>
          <w:szCs w:val="32"/>
        </w:rPr>
      </w:pPr>
      <w:r>
        <w:rPr>
          <w:rFonts w:hint="eastAsia" w:eastAsia="仿宋_GB2312"/>
          <w:b/>
          <w:bCs/>
          <w:sz w:val="32"/>
          <w:szCs w:val="32"/>
        </w:rPr>
        <w:t>规划建设股。</w:t>
      </w:r>
      <w:r>
        <w:rPr>
          <w:rFonts w:hint="eastAsia" w:ascii="仿宋_GB2312" w:hAnsi="仿宋" w:eastAsia="仿宋_GB2312"/>
          <w:sz w:val="32"/>
          <w:szCs w:val="32"/>
        </w:rPr>
        <w:t>贯彻执行国家有关交通运输工程项目建设质量、安全生产的法律、法规、规范及标准。参与组织编制综合运输体系规划，组织研究公路和水路运输行业、物流业的发展战略及发展政策、投融资政策。组织编制公路和水路运输、交通枢纽、站场、物流等行业的发展规划。承担交通项目审查工作并审核专用公路规划。编制交通建设年度实施计划，并监督实施。负责全县交通工程建设行业项目质量、安全生产、生态环境保护等监督管理工作。参与拟订全县农村公路建设管理办法及技术标准并组织实施。负责组织公路、水路项目建设。负责交通建设项目设计文件审查、施工许可审查、竣工验收。监督、指导交通建设项目的建设程序管理和招投标工作。负责组织实施“四好农村路”建设。负责公路、水路建设从业单位和从业人员的信用评价和资质管理。负责公路行业普查、预测工作。负责高速公路和铁路运输等事项的协调联系。负责交通行业综合性的统计上报工作。负责交通运输招商引资工作。承担交通建设攻坚协调服务工作。</w:t>
      </w:r>
    </w:p>
    <w:p>
      <w:pPr>
        <w:spacing w:line="560" w:lineRule="exact"/>
        <w:ind w:firstLine="643" w:firstLineChars="200"/>
        <w:rPr>
          <w:rFonts w:ascii="仿宋_GB2312" w:hAnsi="仿宋" w:eastAsia="仿宋_GB2312"/>
          <w:sz w:val="32"/>
          <w:szCs w:val="32"/>
        </w:rPr>
      </w:pPr>
      <w:r>
        <w:rPr>
          <w:rFonts w:hint="eastAsia" w:eastAsia="仿宋_GB2312"/>
          <w:b/>
          <w:bCs/>
          <w:sz w:val="32"/>
          <w:szCs w:val="32"/>
        </w:rPr>
        <w:t>法规安全股。</w:t>
      </w:r>
      <w:r>
        <w:rPr>
          <w:rFonts w:hint="eastAsia" w:ascii="仿宋_GB2312" w:hAnsi="仿宋" w:eastAsia="仿宋_GB2312"/>
          <w:sz w:val="32"/>
          <w:szCs w:val="32"/>
        </w:rPr>
        <w:t>负责全县交通运输行业的安全监督管理、应急管理、反恐维稳和职业健康工作。督促贯彻落实公路、水路安全生产相关政策和制度。指导交通运输行业应急处置体系建设，组织实施安全管理目标责任考核、监督检查和宣传教育工作。依法组织或参与有关事故调查处理工作。牵头负责全县交通运输行业生态环境保护监督管理工作。承担本系统、本部门推进依法行政工作的组织协调和督促指导。承担行政执法监督、行政复议、行政应诉、行政调解和规范性文件审核备案工作。负责机关并指导交通运输行业法制宣传教育工作。组织实施并监督交通运输行政执法装备标准规范，督导交通运输文明执法工作。管理交通运输执法证件。牵头负责交通运输信用体系建设。推进“放管服”改革，承担审批服务便民化有关工作。承担县本级交通运输行业有关行政审批事项的受理、审批等工作。负责一体化政务服务平台建设工作，负责组织、协调、管理政务服务窗口交通运输相关业务工作。</w:t>
      </w:r>
    </w:p>
    <w:p>
      <w:pPr>
        <w:spacing w:line="560" w:lineRule="exact"/>
        <w:ind w:firstLine="643" w:firstLineChars="200"/>
        <w:rPr>
          <w:rFonts w:eastAsia="仿宋_GB2312"/>
          <w:sz w:val="32"/>
          <w:szCs w:val="32"/>
        </w:rPr>
      </w:pPr>
      <w:r>
        <w:rPr>
          <w:rFonts w:hint="eastAsia" w:eastAsia="仿宋_GB2312"/>
          <w:b/>
          <w:bCs/>
          <w:sz w:val="32"/>
          <w:szCs w:val="32"/>
        </w:rPr>
        <w:t>运输管理股。</w:t>
      </w:r>
      <w:r>
        <w:rPr>
          <w:rFonts w:hint="eastAsia" w:ascii="仿宋_GB2312" w:hAnsi="仿宋" w:eastAsia="仿宋_GB2312"/>
          <w:sz w:val="32"/>
          <w:szCs w:val="32"/>
        </w:rPr>
        <w:t>贯彻执行国家、省、市、县有关公路及水路运输管理法律、法规、规章及方针政策。参与拟订综合交通运输发展战略，承担综合交通运输体系建设有关协调工作。拟订公路、水路运输行业发展政策、发展规划、年度计划及有关标准规范并监督实施。协调重点运输、紧急客货运输和公路、水路联合运输，参与运输价格管理。协调联系铁路运输。依法承担职责范围内公路水路旅客运输、货物运输、站（场）营运、城市公共交通、出租汽车、机动车维修与综合性能检测、机动车驾驶员培训、汽车租赁等道路水路运输行业监督管理工作。负责道路、水路运输许可项目的实质审查工作。依法承担职责范围内道路、水路运输行业安全监督管理、船舶监督管理等工作。负责全县航道发展、水路运输发展、港航管理等规划编制和相关计划的组织实施。负责全县交通运输行业信息化建设、技术应用和节能减排工作。负责渔船检验监督管理和行业指导工作。负责道路、水路运输统计和运输企业资质核查工作。指导乡（镇）船舶安全管理站开展乡（镇）自用船舶登记检丈和自用船舶、船员管理等工作。负责河（湖）长制职责范围内工作。协调处理水资源综合利用中与航运相关的事宜。负责交通运输市场、运输企业及新型运输方式的培育和促进。组织实施交通运输科技信息交流和科技成果推广应用工作，负责交通运输行业12328 工作。承担交通战备具体事务性工作。</w:t>
      </w:r>
    </w:p>
    <w:p>
      <w:pPr>
        <w:spacing w:line="560" w:lineRule="exact"/>
        <w:ind w:firstLine="643" w:firstLineChars="200"/>
        <w:rPr>
          <w:rFonts w:ascii="仿宋_GB2312" w:hAnsi="仿宋" w:eastAsia="仿宋_GB2312"/>
          <w:sz w:val="32"/>
          <w:szCs w:val="32"/>
        </w:rPr>
      </w:pPr>
      <w:r>
        <w:rPr>
          <w:rFonts w:hint="eastAsia" w:eastAsia="仿宋_GB2312"/>
          <w:b/>
          <w:bCs/>
          <w:sz w:val="32"/>
          <w:szCs w:val="32"/>
        </w:rPr>
        <w:t>公路水路管理股。</w:t>
      </w:r>
      <w:r>
        <w:rPr>
          <w:rFonts w:hint="eastAsia" w:ascii="仿宋_GB2312" w:hAnsi="仿宋" w:eastAsia="仿宋_GB2312"/>
          <w:sz w:val="32"/>
          <w:szCs w:val="32"/>
        </w:rPr>
        <w:t>贯彻执行国家有关公路水路管理的法律、法规、规章和方针政策、技术规范、标准。负责县乡公路的行政管理工作。负责超限运输许可和涉路施工许可项目的实质审查工作。负责水上水下活动许可项目的实质审查工作。负责县道养护管理工作，指导乡村公路养护管理工作。组织实施所属航道、港口、码头的养护管理工作。负责公路、水路养护工程管理。</w:t>
      </w:r>
    </w:p>
    <w:p>
      <w:pPr>
        <w:spacing w:line="560" w:lineRule="exact"/>
        <w:ind w:firstLine="420" w:firstLineChars="200"/>
        <w:rPr>
          <w:rFonts w:ascii="仿宋_GB2312" w:hAnsi="仿宋" w:eastAsia="仿宋_GB2312"/>
          <w:sz w:val="32"/>
          <w:szCs w:val="32"/>
        </w:rPr>
      </w:pPr>
      <w:r>
        <w:rPr>
          <w:rFonts w:hint="eastAsia"/>
        </w:rPr>
        <w:t xml:space="preserve">   </w:t>
      </w:r>
      <w:r>
        <w:rPr>
          <w:rFonts w:hint="eastAsia" w:eastAsia="仿宋_GB2312"/>
          <w:b/>
          <w:bCs/>
          <w:sz w:val="32"/>
          <w:szCs w:val="32"/>
        </w:rPr>
        <w:t>机关党总支</w:t>
      </w:r>
      <w:r>
        <w:rPr>
          <w:rFonts w:hint="eastAsia" w:ascii="仿宋_GB2312" w:hAnsi="仿宋" w:eastAsia="仿宋_GB2312"/>
          <w:sz w:val="32"/>
          <w:szCs w:val="32"/>
        </w:rPr>
        <w:t>。负责机关和所属事业单位的党群工作。</w:t>
      </w:r>
    </w:p>
    <w:p>
      <w:pPr>
        <w:pStyle w:val="4"/>
        <w:rPr>
          <w:rFonts w:ascii="黑体" w:hAnsi="黑体" w:eastAsia="黑体"/>
          <w:b w:val="0"/>
        </w:rPr>
      </w:pPr>
      <w:r>
        <w:rPr>
          <w:rFonts w:hint="eastAsia" w:ascii="黑体" w:hAnsi="黑体" w:eastAsia="黑体"/>
          <w:b w:val="0"/>
        </w:rPr>
        <w:t>二、机构设置</w:t>
      </w:r>
    </w:p>
    <w:bookmarkEnd w:id="9"/>
    <w:bookmarkEnd w:id="10"/>
    <w:p>
      <w:pPr>
        <w:ind w:firstLine="640" w:firstLineChars="200"/>
        <w:rPr>
          <w:rFonts w:ascii="仿宋_GB2312" w:hAnsi="仿宋" w:eastAsia="仿宋_GB2312"/>
          <w:sz w:val="32"/>
          <w:szCs w:val="32"/>
        </w:rPr>
      </w:pPr>
      <w:r>
        <w:rPr>
          <w:rFonts w:hint="eastAsia" w:ascii="仿宋" w:hAnsi="仿宋" w:eastAsia="仿宋"/>
          <w:sz w:val="32"/>
          <w:szCs w:val="32"/>
        </w:rPr>
        <w:t xml:space="preserve"> </w:t>
      </w:r>
      <w:r>
        <w:rPr>
          <w:rFonts w:hint="eastAsia" w:ascii="仿宋_GB2312" w:hAnsi="仿宋" w:eastAsia="仿宋_GB2312"/>
          <w:sz w:val="32"/>
          <w:szCs w:val="32"/>
        </w:rPr>
        <w:t>盐边县交通运输局为行政单位，下属单位包括参照公务员法管理的事业单位2个，其他事业单位1个。主要包括：   盐边县航务海事中心、盐边县交通运输服务中心、盐边县养路队。</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7"/>
          <w:rFonts w:ascii="黑体" w:hAnsi="黑体" w:eastAsia="黑体"/>
          <w:b w:val="0"/>
          <w:bCs/>
        </w:rPr>
      </w:pPr>
      <w:bookmarkStart w:id="11" w:name="_Toc15396602"/>
      <w:bookmarkStart w:id="12" w:name="_Toc15377204"/>
      <w:r>
        <w:rPr>
          <w:rFonts w:hint="eastAsia" w:ascii="黑体" w:hAnsi="黑体" w:eastAsia="黑体"/>
          <w:b w:val="0"/>
        </w:rPr>
        <w:t>第二部分 2023年度</w:t>
      </w:r>
      <w:r>
        <w:rPr>
          <w:rStyle w:val="27"/>
          <w:rFonts w:hint="eastAsia" w:ascii="黑体" w:hAnsi="黑体" w:eastAsia="黑体"/>
          <w:b w:val="0"/>
          <w:bCs/>
        </w:rPr>
        <w:t>单位决算情况说明</w:t>
      </w:r>
      <w:bookmarkEnd w:id="11"/>
      <w:bookmarkEnd w:id="12"/>
    </w:p>
    <w:p>
      <w:pPr/>
    </w:p>
    <w:p>
      <w:pPr>
        <w:pStyle w:val="26"/>
        <w:numPr>
          <w:ilvl w:val="0"/>
          <w:numId w:val="2"/>
        </w:numPr>
        <w:spacing w:line="600" w:lineRule="exact"/>
        <w:ind w:firstLineChars="0"/>
        <w:outlineLvl w:val="1"/>
        <w:rPr>
          <w:rStyle w:val="28"/>
          <w:rFonts w:ascii="黑体" w:hAnsi="黑体" w:eastAsia="黑体"/>
          <w:b w:val="0"/>
        </w:rPr>
      </w:pPr>
      <w:bookmarkStart w:id="13" w:name="_Toc15396603"/>
      <w:bookmarkStart w:id="14"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13"/>
      <w:bookmarkEnd w:id="14"/>
    </w:p>
    <w:p>
      <w:pPr>
        <w:spacing w:line="600" w:lineRule="exact"/>
        <w:ind w:firstLine="640" w:firstLineChars="200"/>
        <w:rPr>
          <w:rFonts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6324.8</w:t>
      </w:r>
      <w:r>
        <w:rPr>
          <w:rFonts w:hint="eastAsia" w:ascii="仿宋" w:hAnsi="仿宋" w:eastAsia="仿宋"/>
          <w:sz w:val="32"/>
          <w:szCs w:val="32"/>
        </w:rPr>
        <w:t>万元。与2022年度相比，收、支总计各减少6262.44万元，下降了49.8</w:t>
      </w:r>
      <w:r>
        <w:rPr>
          <w:rFonts w:ascii="仿宋" w:hAnsi="仿宋" w:eastAsia="仿宋"/>
          <w:sz w:val="32"/>
          <w:szCs w:val="32"/>
        </w:rPr>
        <w:t>%</w:t>
      </w:r>
      <w:r>
        <w:rPr>
          <w:rFonts w:hint="eastAsia" w:ascii="仿宋" w:hAnsi="仿宋" w:eastAsia="仿宋"/>
          <w:sz w:val="32"/>
          <w:szCs w:val="32"/>
        </w:rPr>
        <w:t>。主要变动原因是2022年</w:t>
      </w:r>
      <w:r>
        <w:rPr>
          <w:rFonts w:eastAsia="仿宋_GB2312"/>
          <w:sz w:val="32"/>
          <w:szCs w:val="32"/>
        </w:rPr>
        <w:t>增加了公路建设资金投入</w:t>
      </w:r>
      <w:r>
        <w:rPr>
          <w:rFonts w:hint="eastAsia" w:ascii="仿宋" w:hAnsi="仿宋" w:eastAsia="仿宋"/>
          <w:sz w:val="32"/>
          <w:szCs w:val="32"/>
        </w:rPr>
        <w:t>。</w:t>
      </w:r>
    </w:p>
    <w:p>
      <w:pPr>
        <w:pStyle w:val="2"/>
      </w:pPr>
      <w:r>
        <w:drawing>
          <wp:inline distT="0" distB="0" distL="0" distR="0">
            <wp:extent cx="5791200" cy="3352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90584" cy="3352443"/>
                    </a:xfrm>
                    <a:prstGeom prst="rect">
                      <a:avLst/>
                    </a:prstGeom>
                    <a:noFill/>
                  </pic:spPr>
                </pic:pic>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6"/>
        <w:numPr>
          <w:ilvl w:val="0"/>
          <w:numId w:val="2"/>
        </w:numPr>
        <w:spacing w:line="600" w:lineRule="exact"/>
        <w:ind w:firstLineChars="0"/>
        <w:outlineLvl w:val="1"/>
        <w:rPr>
          <w:rStyle w:val="28"/>
          <w:rFonts w:ascii="黑体" w:hAnsi="黑体" w:eastAsia="黑体"/>
          <w:b w:val="0"/>
        </w:rPr>
      </w:pPr>
      <w:bookmarkStart w:id="15" w:name="_Toc15377206"/>
      <w:bookmarkStart w:id="16" w:name="_Toc15396604"/>
      <w:r>
        <w:rPr>
          <w:rFonts w:hint="eastAsia" w:ascii="黑体" w:hAnsi="黑体" w:eastAsia="黑体"/>
          <w:sz w:val="32"/>
          <w:szCs w:val="32"/>
        </w:rPr>
        <w:t>收</w:t>
      </w:r>
      <w:r>
        <w:rPr>
          <w:rStyle w:val="28"/>
          <w:rFonts w:hint="eastAsia" w:ascii="黑体" w:hAnsi="黑体" w:eastAsia="黑体"/>
          <w:b w:val="0"/>
        </w:rPr>
        <w:t>入决算情况说明</w:t>
      </w:r>
      <w:bookmarkEnd w:id="15"/>
      <w:bookmarkEnd w:id="16"/>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6324.8</w:t>
      </w:r>
      <w:r>
        <w:rPr>
          <w:rFonts w:hint="eastAsia" w:ascii="仿宋" w:hAnsi="仿宋" w:eastAsia="仿宋"/>
          <w:sz w:val="32"/>
          <w:szCs w:val="32"/>
        </w:rPr>
        <w:t>万元，其中：一般公共预算财政拨款收入</w:t>
      </w:r>
      <w:r>
        <w:rPr>
          <w:rFonts w:ascii="仿宋" w:hAnsi="仿宋" w:eastAsia="仿宋"/>
          <w:b/>
          <w:sz w:val="32"/>
          <w:szCs w:val="32"/>
        </w:rPr>
        <w:t>6324.8</w:t>
      </w:r>
      <w:r>
        <w:rPr>
          <w:rFonts w:hint="eastAsia" w:ascii="仿宋" w:hAnsi="仿宋" w:eastAsia="仿宋"/>
          <w:sz w:val="32"/>
          <w:szCs w:val="32"/>
        </w:rPr>
        <w:t>万元，占</w:t>
      </w:r>
      <w:r>
        <w:rPr>
          <w:rFonts w:ascii="仿宋" w:hAnsi="仿宋" w:eastAsia="仿宋"/>
          <w:b/>
          <w:sz w:val="32"/>
          <w:szCs w:val="32"/>
        </w:rPr>
        <w:t>100%</w:t>
      </w:r>
      <w:r>
        <w:rPr>
          <w:rFonts w:hint="eastAsia" w:ascii="仿宋" w:hAnsi="仿宋" w:eastAsia="仿宋"/>
          <w:sz w:val="32"/>
          <w:szCs w:val="32"/>
        </w:rPr>
        <w:t>。</w:t>
      </w:r>
    </w:p>
    <w:p>
      <w:pPr>
        <w:pStyle w:val="2"/>
      </w:pPr>
    </w:p>
    <w:p>
      <w:pPr/>
    </w:p>
    <w:p>
      <w:pPr>
        <w:pStyle w:val="2"/>
      </w:pPr>
      <w:r>
        <w:drawing>
          <wp:inline distT="0" distB="0" distL="0" distR="0">
            <wp:extent cx="5676900" cy="344551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674249" cy="3444240"/>
                    </a:xfrm>
                    <a:prstGeom prst="rect">
                      <a:avLst/>
                    </a:prstGeom>
                    <a:noFill/>
                  </pic:spPr>
                </pic:pic>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pStyle w:val="26"/>
        <w:numPr>
          <w:ilvl w:val="0"/>
          <w:numId w:val="2"/>
        </w:numPr>
        <w:spacing w:line="600" w:lineRule="exact"/>
        <w:ind w:firstLineChars="0"/>
        <w:outlineLvl w:val="1"/>
        <w:rPr>
          <w:rStyle w:val="28"/>
          <w:rFonts w:ascii="黑体" w:hAnsi="黑体" w:eastAsia="黑体"/>
          <w:b w:val="0"/>
        </w:rPr>
      </w:pPr>
      <w:bookmarkStart w:id="17" w:name="_Toc15377207"/>
      <w:bookmarkStart w:id="18" w:name="_Toc15396605"/>
      <w:r>
        <w:rPr>
          <w:rFonts w:hint="eastAsia" w:ascii="黑体" w:hAnsi="黑体" w:eastAsia="黑体"/>
          <w:sz w:val="32"/>
          <w:szCs w:val="32"/>
        </w:rPr>
        <w:t>支</w:t>
      </w:r>
      <w:r>
        <w:rPr>
          <w:rStyle w:val="28"/>
          <w:rFonts w:hint="eastAsia" w:ascii="黑体" w:hAnsi="黑体" w:eastAsia="黑体"/>
          <w:b w:val="0"/>
        </w:rPr>
        <w:t>出决算情况说明</w:t>
      </w:r>
      <w:bookmarkEnd w:id="17"/>
      <w:bookmarkEnd w:id="18"/>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6324.8</w:t>
      </w:r>
      <w:r>
        <w:rPr>
          <w:rFonts w:hint="eastAsia" w:ascii="仿宋" w:hAnsi="仿宋" w:eastAsia="仿宋"/>
          <w:sz w:val="32"/>
          <w:szCs w:val="32"/>
        </w:rPr>
        <w:t>万元，其中：基本支出</w:t>
      </w:r>
      <w:r>
        <w:rPr>
          <w:rFonts w:ascii="仿宋" w:hAnsi="仿宋" w:eastAsia="仿宋"/>
          <w:b/>
          <w:sz w:val="32"/>
          <w:szCs w:val="32"/>
        </w:rPr>
        <w:t>483.82</w:t>
      </w:r>
      <w:r>
        <w:rPr>
          <w:rFonts w:hint="eastAsia" w:ascii="仿宋" w:hAnsi="仿宋" w:eastAsia="仿宋"/>
          <w:sz w:val="32"/>
          <w:szCs w:val="32"/>
        </w:rPr>
        <w:t>万元，占</w:t>
      </w:r>
      <w:r>
        <w:rPr>
          <w:rFonts w:ascii="仿宋" w:hAnsi="仿宋" w:eastAsia="仿宋"/>
          <w:b/>
          <w:sz w:val="32"/>
          <w:szCs w:val="32"/>
        </w:rPr>
        <w:t>7.64</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5840.98</w:t>
      </w:r>
      <w:r>
        <w:rPr>
          <w:rFonts w:hint="eastAsia" w:ascii="仿宋" w:hAnsi="仿宋" w:eastAsia="仿宋"/>
          <w:sz w:val="32"/>
          <w:szCs w:val="32"/>
        </w:rPr>
        <w:t>万元，占</w:t>
      </w:r>
      <w:r>
        <w:rPr>
          <w:rFonts w:ascii="仿宋" w:hAnsi="仿宋" w:eastAsia="仿宋"/>
          <w:b/>
          <w:sz w:val="32"/>
          <w:szCs w:val="32"/>
        </w:rPr>
        <w:t>92.35</w:t>
      </w:r>
      <w:r>
        <w:rPr>
          <w:rFonts w:ascii="仿宋" w:hAnsi="仿宋" w:eastAsia="仿宋"/>
          <w:sz w:val="32"/>
          <w:szCs w:val="32"/>
        </w:rPr>
        <w:t>%</w:t>
      </w:r>
      <w:r>
        <w:rPr>
          <w:rFonts w:hint="eastAsia" w:ascii="仿宋" w:hAnsi="仿宋" w:eastAsia="仿宋"/>
          <w:sz w:val="32"/>
          <w:szCs w:val="32"/>
        </w:rPr>
        <w:t>。</w:t>
      </w:r>
    </w:p>
    <w:p>
      <w:pPr>
        <w:ind w:left="320" w:hanging="320" w:hangingChars="100"/>
      </w:pPr>
      <w:r>
        <w:rPr>
          <w:rFonts w:ascii="仿宋" w:hAnsi="仿宋" w:eastAsia="仿宋"/>
          <w:sz w:val="32"/>
          <w:szCs w:val="32"/>
          <w:shd w:val="pct10" w:color="auto" w:fill="FFFFFF"/>
        </w:rPr>
        <w:drawing>
          <wp:inline distT="0" distB="0" distL="0" distR="0">
            <wp:extent cx="5267325" cy="338137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74310" cy="3385859"/>
                    </a:xfrm>
                    <a:prstGeom prst="rect">
                      <a:avLst/>
                    </a:prstGeom>
                    <a:noFill/>
                  </pic:spPr>
                </pic:pic>
              </a:graphicData>
            </a:graphic>
          </wp:inline>
        </w:drawing>
      </w:r>
      <w:r>
        <w:rPr>
          <w:rFonts w:hint="eastAsia" w:ascii="仿宋" w:hAnsi="仿宋" w:eastAsia="仿宋"/>
          <w:sz w:val="32"/>
          <w:szCs w:val="32"/>
        </w:rPr>
        <w:t>（图3：支出决算结构图）（饼状图）</w:t>
      </w:r>
    </w:p>
    <w:p>
      <w:pPr>
        <w:spacing w:line="600" w:lineRule="exact"/>
        <w:ind w:firstLine="640" w:firstLineChars="200"/>
        <w:outlineLvl w:val="1"/>
        <w:rPr>
          <w:rStyle w:val="28"/>
          <w:rFonts w:ascii="黑体" w:hAnsi="黑体" w:eastAsia="黑体"/>
          <w:b w:val="0"/>
        </w:rPr>
      </w:pPr>
      <w:bookmarkStart w:id="19" w:name="_Toc15377208"/>
      <w:bookmarkStart w:id="20" w:name="_Toc15396606"/>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19"/>
      <w:bookmarkEnd w:id="20"/>
    </w:p>
    <w:p>
      <w:pPr>
        <w:spacing w:line="600" w:lineRule="exact"/>
        <w:ind w:firstLine="640"/>
        <w:rPr>
          <w:rFonts w:eastAsia="仿宋_GB2312"/>
          <w:sz w:val="32"/>
          <w:szCs w:val="32"/>
        </w:rPr>
      </w:pPr>
      <w:r>
        <w:rPr>
          <w:rFonts w:hint="eastAsia" w:ascii="仿宋" w:hAnsi="仿宋" w:eastAsia="仿宋"/>
          <w:sz w:val="32"/>
          <w:szCs w:val="32"/>
        </w:rPr>
        <w:t>2023年度财政拨款收、支总计均为</w:t>
      </w:r>
      <w:r>
        <w:rPr>
          <w:rFonts w:ascii="仿宋" w:hAnsi="仿宋" w:eastAsia="仿宋"/>
          <w:b/>
          <w:sz w:val="32"/>
          <w:szCs w:val="32"/>
        </w:rPr>
        <w:t>6324.8</w:t>
      </w:r>
      <w:r>
        <w:rPr>
          <w:rFonts w:hint="eastAsia" w:ascii="仿宋" w:hAnsi="仿宋" w:eastAsia="仿宋"/>
          <w:sz w:val="32"/>
          <w:szCs w:val="32"/>
        </w:rPr>
        <w:t>万元。与2022年度相比，财政拨款收、支总计各减少6262.44万元，下降了49.8</w:t>
      </w:r>
      <w:r>
        <w:rPr>
          <w:rFonts w:ascii="仿宋" w:hAnsi="仿宋" w:eastAsia="仿宋"/>
          <w:sz w:val="32"/>
          <w:szCs w:val="32"/>
        </w:rPr>
        <w:t>%</w:t>
      </w:r>
      <w:r>
        <w:rPr>
          <w:rFonts w:hint="eastAsia" w:ascii="仿宋" w:hAnsi="仿宋" w:eastAsia="仿宋"/>
          <w:sz w:val="32"/>
          <w:szCs w:val="32"/>
        </w:rPr>
        <w:t>。主要变动原因是2022年</w:t>
      </w:r>
      <w:r>
        <w:rPr>
          <w:rFonts w:eastAsia="仿宋_GB2312"/>
          <w:sz w:val="32"/>
          <w:szCs w:val="32"/>
        </w:rPr>
        <w:t>增加了公路建设资金投入</w:t>
      </w:r>
      <w:r>
        <w:rPr>
          <w:rFonts w:hint="eastAsia" w:ascii="仿宋" w:hAnsi="仿宋" w:eastAsia="仿宋"/>
          <w:sz w:val="32"/>
          <w:szCs w:val="32"/>
        </w:rPr>
        <w:t>。</w:t>
      </w:r>
    </w:p>
    <w:p>
      <w:pPr/>
      <w:r>
        <w:drawing>
          <wp:inline distT="0" distB="0" distL="0" distR="0">
            <wp:extent cx="5715000" cy="345757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713950" cy="3456940"/>
                    </a:xfrm>
                    <a:prstGeom prst="rect">
                      <a:avLst/>
                    </a:prstGeom>
                    <a:noFill/>
                  </pic:spPr>
                </pic:pic>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firstLineChars="200"/>
        <w:outlineLvl w:val="1"/>
        <w:rPr>
          <w:rStyle w:val="28"/>
          <w:rFonts w:ascii="黑体" w:hAnsi="黑体" w:eastAsia="黑体"/>
          <w:b w:val="0"/>
        </w:rPr>
      </w:pPr>
      <w:bookmarkStart w:id="21" w:name="_Toc15377209"/>
      <w:bookmarkStart w:id="22" w:name="_Toc15396607"/>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1"/>
      <w:bookmarkEnd w:id="22"/>
    </w:p>
    <w:p>
      <w:pPr>
        <w:spacing w:line="600" w:lineRule="exact"/>
        <w:ind w:firstLine="643" w:firstLineChars="200"/>
        <w:outlineLvl w:val="2"/>
        <w:rPr>
          <w:rFonts w:ascii="仿宋" w:hAnsi="仿宋" w:eastAsia="仿宋"/>
          <w:b/>
          <w:sz w:val="32"/>
          <w:szCs w:val="32"/>
        </w:rPr>
      </w:pPr>
      <w:bookmarkStart w:id="23" w:name="_Toc15377210"/>
      <w:r>
        <w:rPr>
          <w:rFonts w:hint="eastAsia" w:ascii="仿宋" w:hAnsi="仿宋" w:eastAsia="仿宋"/>
          <w:b/>
          <w:sz w:val="32"/>
          <w:szCs w:val="32"/>
        </w:rPr>
        <w:t>（一）一般公共预算财政拨款支出决算总体情况</w:t>
      </w:r>
      <w:bookmarkEnd w:id="23"/>
    </w:p>
    <w:p>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6324.8</w:t>
      </w:r>
      <w:r>
        <w:rPr>
          <w:rFonts w:hint="eastAsia" w:ascii="仿宋" w:hAnsi="仿宋" w:eastAsia="仿宋"/>
          <w:sz w:val="32"/>
          <w:szCs w:val="32"/>
        </w:rPr>
        <w:t>万元，占本年支出合计的</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。与2022年度相比，一般公共预算财政拨款支出减少6262.44万元，下降了49.8</w:t>
      </w:r>
      <w:r>
        <w:rPr>
          <w:rFonts w:ascii="仿宋" w:hAnsi="仿宋" w:eastAsia="仿宋"/>
          <w:sz w:val="32"/>
          <w:szCs w:val="32"/>
        </w:rPr>
        <w:t>%</w:t>
      </w:r>
      <w:r>
        <w:rPr>
          <w:rFonts w:hint="eastAsia" w:ascii="仿宋" w:hAnsi="仿宋" w:eastAsia="仿宋"/>
          <w:sz w:val="32"/>
          <w:szCs w:val="32"/>
        </w:rPr>
        <w:t>。主要变动原因是2022年</w:t>
      </w:r>
      <w:r>
        <w:rPr>
          <w:rFonts w:eastAsia="仿宋_GB2312"/>
          <w:sz w:val="32"/>
          <w:szCs w:val="32"/>
        </w:rPr>
        <w:t>增加了公路建设资金投入</w:t>
      </w:r>
      <w:r>
        <w:rPr>
          <w:rFonts w:hint="eastAsia" w:ascii="仿宋" w:hAnsi="仿宋" w:eastAsia="仿宋"/>
          <w:sz w:val="32"/>
          <w:szCs w:val="32"/>
        </w:rPr>
        <w:t>。</w:t>
      </w:r>
    </w:p>
    <w:p>
      <w:pPr>
        <w:pStyle w:val="2"/>
      </w:pPr>
      <w:r>
        <w:drawing>
          <wp:inline distT="0" distB="0" distL="0" distR="0">
            <wp:extent cx="5715000" cy="3444240"/>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715000" cy="3444240"/>
                    </a:xfrm>
                    <a:prstGeom prst="rect">
                      <a:avLst/>
                    </a:prstGeom>
                    <a:noFill/>
                  </pic:spPr>
                </pic:pic>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3" w:firstLineChars="200"/>
        <w:outlineLvl w:val="2"/>
        <w:rPr>
          <w:rFonts w:ascii="仿宋" w:hAnsi="仿宋" w:eastAsia="仿宋"/>
          <w:b/>
          <w:sz w:val="32"/>
          <w:szCs w:val="32"/>
        </w:rPr>
      </w:pPr>
      <w:bookmarkStart w:id="24" w:name="_Toc15377211"/>
      <w:r>
        <w:rPr>
          <w:rFonts w:hint="eastAsia" w:ascii="仿宋" w:hAnsi="仿宋" w:eastAsia="仿宋"/>
          <w:b/>
          <w:sz w:val="32"/>
          <w:szCs w:val="32"/>
        </w:rPr>
        <w:t>（二）一般公共预算财政拨款支出决算结构情况</w:t>
      </w:r>
      <w:bookmarkEnd w:id="24"/>
    </w:p>
    <w:p>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6324.8</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111.77万元，占1.8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110.82万元，占1.8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节能环保支出</w:t>
      </w:r>
      <w:r>
        <w:rPr>
          <w:rFonts w:hint="eastAsia" w:ascii="仿宋" w:hAnsi="仿宋" w:eastAsia="仿宋"/>
          <w:sz w:val="32"/>
          <w:szCs w:val="32"/>
        </w:rPr>
        <w:t>67.70</w:t>
      </w:r>
      <w:r>
        <w:rPr>
          <w:rFonts w:hint="eastAsia" w:eastAsia="仿宋_GB2312"/>
          <w:sz w:val="32"/>
          <w:szCs w:val="32"/>
        </w:rPr>
        <w:t>万元，占</w:t>
      </w:r>
      <w:r>
        <w:rPr>
          <w:rFonts w:hint="eastAsia" w:ascii="仿宋" w:hAnsi="仿宋" w:eastAsia="仿宋"/>
          <w:sz w:val="32"/>
          <w:szCs w:val="32"/>
        </w:rPr>
        <w:t>1</w:t>
      </w:r>
      <w:r>
        <w:rPr>
          <w:rFonts w:ascii="仿宋" w:hAnsi="仿宋" w:eastAsia="仿宋"/>
          <w:sz w:val="32"/>
          <w:szCs w:val="32"/>
        </w:rPr>
        <w:t>%</w:t>
      </w:r>
      <w:r>
        <w:rPr>
          <w:rFonts w:hint="eastAsia" w:eastAsia="仿宋_GB2312"/>
          <w:sz w:val="32"/>
          <w:szCs w:val="32"/>
        </w:rPr>
        <w:t>；</w:t>
      </w:r>
      <w:r>
        <w:rPr>
          <w:rFonts w:hint="eastAsia" w:ascii="仿宋" w:hAnsi="仿宋" w:eastAsia="仿宋"/>
          <w:b/>
          <w:bCs/>
          <w:sz w:val="32"/>
          <w:szCs w:val="32"/>
        </w:rPr>
        <w:t>农林水支出</w:t>
      </w:r>
      <w:r>
        <w:rPr>
          <w:rFonts w:hint="eastAsia" w:ascii="仿宋" w:hAnsi="仿宋" w:eastAsia="仿宋"/>
          <w:sz w:val="32"/>
          <w:szCs w:val="32"/>
        </w:rPr>
        <w:t>462.00</w:t>
      </w:r>
      <w:r>
        <w:rPr>
          <w:rFonts w:hint="eastAsia" w:eastAsia="仿宋_GB2312"/>
          <w:sz w:val="32"/>
          <w:szCs w:val="32"/>
        </w:rPr>
        <w:t>万元，占</w:t>
      </w:r>
      <w:r>
        <w:rPr>
          <w:rFonts w:hint="eastAsia" w:ascii="仿宋" w:hAnsi="仿宋" w:eastAsia="仿宋"/>
          <w:sz w:val="32"/>
          <w:szCs w:val="32"/>
        </w:rPr>
        <w:t>7.3</w:t>
      </w:r>
      <w:r>
        <w:rPr>
          <w:rFonts w:ascii="仿宋" w:hAnsi="仿宋" w:eastAsia="仿宋"/>
          <w:sz w:val="32"/>
          <w:szCs w:val="32"/>
        </w:rPr>
        <w:t>%</w:t>
      </w:r>
      <w:r>
        <w:rPr>
          <w:rFonts w:hint="eastAsia" w:eastAsia="仿宋_GB2312"/>
          <w:sz w:val="32"/>
          <w:szCs w:val="32"/>
        </w:rPr>
        <w:t>；</w:t>
      </w:r>
      <w:r>
        <w:rPr>
          <w:rFonts w:hint="eastAsia" w:ascii="仿宋" w:hAnsi="仿宋" w:eastAsia="仿宋"/>
          <w:b/>
          <w:bCs/>
          <w:sz w:val="32"/>
          <w:szCs w:val="32"/>
        </w:rPr>
        <w:t>交通运输支出</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w:t>
      </w:r>
      <w:r>
        <w:rPr>
          <w:rFonts w:hint="eastAsia" w:ascii="仿宋" w:hAnsi="仿宋" w:eastAsia="仿宋"/>
          <w:b/>
          <w:bCs/>
          <w:sz w:val="32"/>
          <w:szCs w:val="32"/>
        </w:rPr>
        <w:t>交通运输支出等支出</w:t>
      </w:r>
      <w:r>
        <w:rPr>
          <w:rFonts w:hint="eastAsia" w:ascii="仿宋" w:hAnsi="仿宋" w:eastAsia="仿宋"/>
          <w:sz w:val="32"/>
          <w:szCs w:val="32"/>
        </w:rPr>
        <w:t>5542.91</w:t>
      </w:r>
      <w:r>
        <w:rPr>
          <w:rFonts w:hint="eastAsia" w:eastAsia="仿宋_GB2312"/>
          <w:sz w:val="32"/>
          <w:szCs w:val="32"/>
        </w:rPr>
        <w:t>万元，占</w:t>
      </w:r>
      <w:r>
        <w:rPr>
          <w:rFonts w:hint="eastAsia" w:ascii="仿宋" w:hAnsi="仿宋" w:eastAsia="仿宋"/>
          <w:sz w:val="32"/>
          <w:szCs w:val="32"/>
        </w:rPr>
        <w:t>87.6</w:t>
      </w:r>
      <w:r>
        <w:rPr>
          <w:rFonts w:ascii="仿宋" w:hAnsi="仿宋" w:eastAsia="仿宋"/>
          <w:sz w:val="32"/>
          <w:szCs w:val="32"/>
        </w:rPr>
        <w:t>%</w:t>
      </w:r>
      <w:r>
        <w:rPr>
          <w:rFonts w:hint="eastAsia" w:eastAsia="仿宋_GB2312"/>
          <w:sz w:val="32"/>
          <w:szCs w:val="32"/>
        </w:rPr>
        <w:t>；</w:t>
      </w:r>
      <w:r>
        <w:rPr>
          <w:rFonts w:hint="eastAsia" w:ascii="仿宋" w:hAnsi="仿宋" w:eastAsia="仿宋"/>
          <w:b/>
          <w:bCs/>
          <w:sz w:val="32"/>
          <w:szCs w:val="32"/>
        </w:rPr>
        <w:t>住房保障支出</w:t>
      </w:r>
      <w:r>
        <w:rPr>
          <w:rFonts w:hint="eastAsia" w:ascii="仿宋" w:hAnsi="仿宋" w:eastAsia="仿宋"/>
          <w:sz w:val="32"/>
          <w:szCs w:val="32"/>
        </w:rPr>
        <w:t>29.6万元，占0.5</w:t>
      </w:r>
      <w:r>
        <w:rPr>
          <w:rFonts w:ascii="仿宋" w:hAnsi="仿宋" w:eastAsia="仿宋"/>
          <w:sz w:val="32"/>
          <w:szCs w:val="32"/>
        </w:rPr>
        <w:t>%</w:t>
      </w:r>
      <w:r>
        <w:rPr>
          <w:rFonts w:hint="eastAsia" w:ascii="仿宋" w:hAnsi="仿宋" w:eastAsia="仿宋"/>
          <w:sz w:val="32"/>
          <w:szCs w:val="32"/>
        </w:rPr>
        <w:t>。</w:t>
      </w: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pStyle w:val="2"/>
      </w:pPr>
    </w:p>
    <w:p>
      <w:pPr/>
    </w:p>
    <w:p>
      <w:pPr>
        <w:pStyle w:val="2"/>
        <w:rPr>
          <w:rFonts w:ascii="仿宋" w:hAnsi="仿宋" w:eastAsia="仿宋"/>
          <w:sz w:val="32"/>
          <w:szCs w:val="32"/>
        </w:rPr>
      </w:pPr>
      <w:r>
        <w:rPr>
          <w:rFonts w:hint="eastAsia" w:ascii="仿宋" w:hAnsi="仿宋" w:eastAsia="仿宋"/>
          <w:sz w:val="32"/>
          <w:szCs w:val="32"/>
        </w:rPr>
        <w:drawing>
          <wp:anchor distT="0" distB="0" distL="114300" distR="114300" simplePos="0" relativeHeight="251659264" behindDoc="0" locked="0" layoutInCell="1" allowOverlap="1">
            <wp:simplePos x="0" y="0"/>
            <wp:positionH relativeFrom="column">
              <wp:posOffset>-95250</wp:posOffset>
            </wp:positionH>
            <wp:positionV relativeFrom="paragraph">
              <wp:posOffset>47625</wp:posOffset>
            </wp:positionV>
            <wp:extent cx="5695950" cy="373380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695950" cy="3733800"/>
                    </a:xfrm>
                    <a:prstGeom prst="rect">
                      <a:avLst/>
                    </a:prstGeom>
                    <a:noFill/>
                  </pic:spPr>
                </pic:pic>
              </a:graphicData>
            </a:graphic>
          </wp:anchor>
        </w:drawing>
      </w:r>
    </w:p>
    <w:p>
      <w:pPr/>
    </w:p>
    <w:p>
      <w:pPr>
        <w:pStyle w:val="2"/>
      </w:pPr>
    </w:p>
    <w:p>
      <w:pPr/>
    </w:p>
    <w:p>
      <w:pPr>
        <w:pStyle w:val="2"/>
      </w:pPr>
    </w:p>
    <w:p>
      <w:pPr/>
    </w:p>
    <w:p>
      <w:pPr>
        <w:pStyle w:val="2"/>
      </w:pPr>
    </w:p>
    <w:p>
      <w:pPr/>
    </w:p>
    <w:p>
      <w:pPr>
        <w:pStyle w:val="2"/>
      </w:pPr>
    </w:p>
    <w:p>
      <w:pPr/>
    </w:p>
    <w:p>
      <w:pPr>
        <w:spacing w:line="600" w:lineRule="exact"/>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25" w:name="_Toc15377212"/>
      <w:r>
        <w:rPr>
          <w:rFonts w:hint="eastAsia" w:ascii="仿宋" w:hAnsi="仿宋" w:eastAsia="仿宋"/>
          <w:b/>
          <w:sz w:val="32"/>
          <w:szCs w:val="32"/>
        </w:rPr>
        <w:t>（三）一般公共预算财政拨款支出决算具体情况</w:t>
      </w:r>
      <w:bookmarkEnd w:id="25"/>
    </w:p>
    <w:p>
      <w:pPr>
        <w:spacing w:line="600" w:lineRule="exact"/>
        <w:ind w:firstLine="643" w:firstLineChars="200"/>
        <w:outlineLvl w:val="2"/>
        <w:rPr>
          <w:rFonts w:ascii="仿宋" w:hAnsi="仿宋" w:eastAsia="仿宋"/>
          <w:sz w:val="32"/>
          <w:szCs w:val="32"/>
        </w:rPr>
      </w:pPr>
      <w:bookmarkStart w:id="26" w:name="_Toc15377213"/>
      <w:bookmarkStart w:id="27" w:name="_Toc15378460"/>
      <w:bookmarkStart w:id="28" w:name="_Toc15377444"/>
      <w:r>
        <w:rPr>
          <w:rFonts w:hint="eastAsia" w:ascii="仿宋" w:hAnsi="仿宋" w:eastAsia="仿宋"/>
          <w:b/>
          <w:sz w:val="32"/>
          <w:szCs w:val="32"/>
        </w:rPr>
        <w:t>2023年度一般公共预算支出决算数为</w:t>
      </w:r>
      <w:r>
        <w:rPr>
          <w:rFonts w:ascii="仿宋" w:hAnsi="仿宋" w:eastAsia="仿宋"/>
          <w:b/>
          <w:sz w:val="32"/>
          <w:szCs w:val="32"/>
        </w:rPr>
        <w:t>6324.8</w:t>
      </w:r>
      <w:r>
        <w:rPr>
          <w:rFonts w:hint="eastAsia" w:ascii="仿宋" w:hAnsi="仿宋" w:eastAsia="仿宋"/>
          <w:sz w:val="32"/>
          <w:szCs w:val="32"/>
        </w:rPr>
        <w:t>，</w:t>
      </w:r>
      <w:r>
        <w:rPr>
          <w:rStyle w:val="16"/>
          <w:rFonts w:hint="eastAsia" w:ascii="仿宋" w:hAnsi="仿宋" w:eastAsia="仿宋"/>
          <w:bCs/>
          <w:sz w:val="32"/>
          <w:szCs w:val="32"/>
        </w:rPr>
        <w:t>完成预算100</w:t>
      </w:r>
      <w:r>
        <w:rPr>
          <w:rStyle w:val="16"/>
          <w:rFonts w:ascii="仿宋" w:hAnsi="仿宋" w:eastAsia="仿宋"/>
          <w:bCs/>
          <w:sz w:val="32"/>
          <w:szCs w:val="32"/>
        </w:rPr>
        <w:t>%</w:t>
      </w:r>
      <w:r>
        <w:rPr>
          <w:rStyle w:val="16"/>
          <w:rFonts w:hint="eastAsia" w:ascii="仿宋" w:hAnsi="仿宋" w:eastAsia="仿宋"/>
          <w:bCs/>
          <w:sz w:val="32"/>
          <w:szCs w:val="32"/>
        </w:rPr>
        <w:t>。其中：</w:t>
      </w:r>
      <w:bookmarkEnd w:id="26"/>
      <w:bookmarkEnd w:id="27"/>
      <w:bookmarkEnd w:id="28"/>
    </w:p>
    <w:p>
      <w:pPr>
        <w:spacing w:line="600" w:lineRule="exact"/>
        <w:ind w:firstLine="640"/>
        <w:rPr>
          <w:rFonts w:ascii="仿宋_GB2312" w:eastAsia="仿宋_GB2312" w:cs="仿宋_GB2312"/>
          <w:b/>
          <w:bCs/>
          <w:color w:val="000000"/>
          <w:sz w:val="32"/>
          <w:szCs w:val="32"/>
        </w:rPr>
      </w:pP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 xml:space="preserve"> 社会保障和就业支出（208类）行政事业单位养老支出（05款）行政单位离退休（01项）</w:t>
      </w:r>
      <w:r>
        <w:rPr>
          <w:rFonts w:ascii="仿宋_GB2312" w:eastAsia="仿宋_GB2312" w:cs="仿宋_GB2312"/>
          <w:b/>
          <w:bCs/>
          <w:color w:val="000000"/>
          <w:sz w:val="32"/>
          <w:szCs w:val="32"/>
        </w:rPr>
        <w:t>:</w:t>
      </w:r>
      <w:r>
        <w:rPr>
          <w:rFonts w:hint="eastAsia" w:ascii="仿宋" w:eastAsia="仿宋" w:cs="仿宋"/>
          <w:sz w:val="32"/>
          <w:szCs w:val="32"/>
        </w:rPr>
        <w:t>支出决算为27.32万元，完成预算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2</w:t>
      </w:r>
      <w:r>
        <w:rPr>
          <w:rFonts w:ascii="仿宋_GB2312" w:eastAsia="仿宋_GB2312" w:cs="仿宋_GB2312"/>
          <w:b/>
          <w:bCs/>
          <w:color w:val="000000"/>
          <w:sz w:val="32"/>
          <w:szCs w:val="32"/>
        </w:rPr>
        <w:t>.</w:t>
      </w:r>
      <w:r>
        <w:rPr>
          <w:rFonts w:hint="eastAsia" w:ascii="仿宋_GB2312" w:eastAsia="仿宋_GB2312" w:cs="仿宋_GB2312"/>
          <w:b/>
          <w:bCs/>
          <w:color w:val="000000"/>
          <w:sz w:val="32"/>
          <w:szCs w:val="32"/>
        </w:rPr>
        <w:t>社会保障和就业支出（类208）行政事业单位养老支出（05款）机关事业单位基本养老保险缴费（05项）</w:t>
      </w:r>
      <w:r>
        <w:rPr>
          <w:rFonts w:ascii="仿宋_GB2312" w:eastAsia="仿宋_GB2312" w:cs="仿宋_GB2312"/>
          <w:b/>
          <w:bCs/>
          <w:color w:val="000000"/>
          <w:sz w:val="32"/>
          <w:szCs w:val="32"/>
        </w:rPr>
        <w:t>:</w:t>
      </w:r>
      <w:r>
        <w:rPr>
          <w:rFonts w:hint="eastAsia" w:ascii="仿宋" w:eastAsia="仿宋" w:cs="仿宋"/>
          <w:sz w:val="32"/>
          <w:szCs w:val="32"/>
        </w:rPr>
        <w:t>支出决算为41.47万元，完成预算</w:t>
      </w:r>
      <w:r>
        <w:rPr>
          <w:rFonts w:ascii="仿宋" w:eastAsia="仿宋" w:cs="仿宋"/>
          <w:sz w:val="32"/>
          <w:szCs w:val="32"/>
        </w:rPr>
        <w:t>100%</w:t>
      </w:r>
    </w:p>
    <w:p>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3.社会保障和就业支出（208类）行政事业单位养老支出（05款）机关事业单位职业年金缴费（06项）</w:t>
      </w:r>
      <w:r>
        <w:rPr>
          <w:rFonts w:ascii="仿宋_GB2312" w:eastAsia="仿宋_GB2312" w:cs="仿宋_GB2312"/>
          <w:b/>
          <w:bCs/>
          <w:color w:val="000000"/>
          <w:sz w:val="32"/>
          <w:szCs w:val="32"/>
        </w:rPr>
        <w:t>:</w:t>
      </w:r>
      <w:r>
        <w:rPr>
          <w:rFonts w:hint="eastAsia" w:ascii="仿宋" w:eastAsia="仿宋" w:cs="仿宋"/>
          <w:sz w:val="32"/>
          <w:szCs w:val="32"/>
        </w:rPr>
        <w:t>支出决算为21.16万元，完成预算</w:t>
      </w:r>
      <w:r>
        <w:rPr>
          <w:rFonts w:ascii="仿宋" w:eastAsia="仿宋" w:cs="仿宋"/>
          <w:sz w:val="32"/>
          <w:szCs w:val="32"/>
        </w:rPr>
        <w:t>100%</w:t>
      </w:r>
    </w:p>
    <w:p>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4.社会保障和就业支出（208类）抚恤（08款）死亡抚恤（01项）</w:t>
      </w:r>
      <w:r>
        <w:rPr>
          <w:rFonts w:ascii="仿宋_GB2312" w:eastAsia="仿宋_GB2312" w:cs="仿宋_GB2312"/>
          <w:b/>
          <w:bCs/>
          <w:color w:val="000000"/>
          <w:sz w:val="32"/>
          <w:szCs w:val="32"/>
        </w:rPr>
        <w:t>:</w:t>
      </w:r>
      <w:r>
        <w:rPr>
          <w:rFonts w:hint="eastAsia" w:ascii="仿宋" w:eastAsia="仿宋" w:cs="仿宋"/>
          <w:sz w:val="32"/>
          <w:szCs w:val="32"/>
        </w:rPr>
        <w:t>支出决算为21.82万元，完成预算</w:t>
      </w:r>
      <w:r>
        <w:rPr>
          <w:rFonts w:ascii="仿宋" w:eastAsia="仿宋" w:cs="仿宋"/>
          <w:sz w:val="32"/>
          <w:szCs w:val="32"/>
        </w:rPr>
        <w:t>100%。</w:t>
      </w:r>
    </w:p>
    <w:p>
      <w:pPr>
        <w:pStyle w:val="2"/>
      </w:pPr>
      <w:r>
        <w:rPr>
          <w:rFonts w:hint="eastAsia"/>
        </w:rPr>
        <w:t xml:space="preserve">    </w:t>
      </w:r>
      <w:r>
        <w:rPr>
          <w:rFonts w:hint="eastAsia" w:ascii="仿宋_GB2312" w:hAnsi="Times New Roman" w:eastAsia="仿宋_GB2312" w:cs="仿宋_GB2312"/>
          <w:bCs/>
          <w:color w:val="000000"/>
          <w:sz w:val="32"/>
          <w:szCs w:val="32"/>
        </w:rPr>
        <w:t xml:space="preserve"> 5</w:t>
      </w:r>
      <w:r>
        <w:rPr>
          <w:rFonts w:hint="eastAsia" w:ascii="仿宋_GB2312" w:eastAsia="仿宋_GB2312" w:cs="仿宋_GB2312"/>
          <w:bCs/>
          <w:color w:val="000000"/>
          <w:sz w:val="32"/>
          <w:szCs w:val="32"/>
        </w:rPr>
        <w:t>.卫生健康支出（210类）公共卫生（04款）重大公共卫生服务（09项）</w:t>
      </w:r>
      <w:r>
        <w:rPr>
          <w:rFonts w:ascii="仿宋_GB2312" w:eastAsia="仿宋_GB2312" w:cs="仿宋_GB2312"/>
          <w:bCs/>
          <w:color w:val="000000"/>
          <w:sz w:val="32"/>
          <w:szCs w:val="32"/>
        </w:rPr>
        <w:t>:</w:t>
      </w:r>
      <w:r>
        <w:rPr>
          <w:rFonts w:hint="eastAsia" w:ascii="仿宋" w:hAnsi="Times New Roman" w:eastAsia="仿宋" w:cs="仿宋"/>
          <w:b w:val="0"/>
          <w:sz w:val="32"/>
          <w:szCs w:val="32"/>
        </w:rPr>
        <w:t>支出决算为78.19万元，完成预算</w:t>
      </w:r>
      <w:r>
        <w:rPr>
          <w:rFonts w:ascii="仿宋" w:hAnsi="Times New Roman" w:eastAsia="仿宋" w:cs="仿宋"/>
          <w:b w:val="0"/>
          <w:sz w:val="32"/>
          <w:szCs w:val="32"/>
        </w:rPr>
        <w:t>100%</w:t>
      </w:r>
      <w:r>
        <w:rPr>
          <w:rFonts w:hint="eastAsia" w:ascii="仿宋" w:eastAsia="仿宋" w:cs="仿宋"/>
          <w:sz w:val="32"/>
          <w:szCs w:val="32"/>
        </w:rPr>
        <w:t>。</w:t>
      </w:r>
    </w:p>
    <w:p>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6.卫生健康支出（210类）行政事业单位医疗（11款）行政单位医疗（01项）</w:t>
      </w:r>
      <w:r>
        <w:rPr>
          <w:rFonts w:ascii="仿宋_GB2312" w:eastAsia="仿宋_GB2312" w:cs="仿宋_GB2312"/>
          <w:b/>
          <w:bCs/>
          <w:color w:val="000000"/>
          <w:sz w:val="32"/>
          <w:szCs w:val="32"/>
        </w:rPr>
        <w:t>:</w:t>
      </w:r>
      <w:r>
        <w:rPr>
          <w:rFonts w:hint="eastAsia" w:ascii="仿宋" w:eastAsia="仿宋" w:cs="仿宋"/>
          <w:sz w:val="32"/>
          <w:szCs w:val="32"/>
        </w:rPr>
        <w:t>支出决算为19.60万元，完成预算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7.卫生健康支出（210类）行政事业单位医疗（11款）公务员医疗补助（03项）</w:t>
      </w:r>
      <w:r>
        <w:rPr>
          <w:rFonts w:ascii="仿宋_GB2312" w:eastAsia="仿宋_GB2312" w:cs="仿宋_GB2312"/>
          <w:b/>
          <w:bCs/>
          <w:color w:val="000000"/>
          <w:sz w:val="32"/>
          <w:szCs w:val="32"/>
        </w:rPr>
        <w:t>:</w:t>
      </w:r>
      <w:r>
        <w:rPr>
          <w:rFonts w:hint="eastAsia" w:ascii="仿宋" w:eastAsia="仿宋" w:cs="仿宋"/>
          <w:sz w:val="32"/>
          <w:szCs w:val="32"/>
        </w:rPr>
        <w:t>支出决算为2.18万元，完成预算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8.卫生健康支出（210类）行政事业单位医疗（11款）其他行政事业单位医疗支出（99项）</w:t>
      </w:r>
      <w:r>
        <w:rPr>
          <w:rFonts w:ascii="仿宋_GB2312" w:eastAsia="仿宋_GB2312" w:cs="仿宋_GB2312"/>
          <w:b/>
          <w:bCs/>
          <w:color w:val="000000"/>
          <w:sz w:val="32"/>
          <w:szCs w:val="32"/>
        </w:rPr>
        <w:t>:</w:t>
      </w:r>
      <w:r>
        <w:rPr>
          <w:rFonts w:hint="eastAsia" w:ascii="仿宋" w:eastAsia="仿宋" w:cs="仿宋"/>
          <w:sz w:val="32"/>
          <w:szCs w:val="32"/>
        </w:rPr>
        <w:t>支出决算为10.84万元，完成预算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9.节能环保支出（211类）污染防治（03款）水体（02项）</w:t>
      </w:r>
      <w:r>
        <w:rPr>
          <w:rFonts w:ascii="仿宋_GB2312" w:eastAsia="仿宋_GB2312" w:cs="仿宋_GB2312"/>
          <w:b/>
          <w:bCs/>
          <w:color w:val="000000"/>
          <w:sz w:val="32"/>
          <w:szCs w:val="32"/>
        </w:rPr>
        <w:t>:</w:t>
      </w:r>
      <w:r>
        <w:rPr>
          <w:rFonts w:hint="eastAsia" w:ascii="仿宋" w:eastAsia="仿宋" w:cs="仿宋"/>
          <w:sz w:val="32"/>
          <w:szCs w:val="32"/>
        </w:rPr>
        <w:t>支出决算为67.70万元，完成预算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3" w:firstLineChars="200"/>
        <w:rPr>
          <w:rFonts w:ascii="仿宋" w:eastAsia="仿宋" w:cs="仿宋"/>
          <w:sz w:val="32"/>
          <w:szCs w:val="32"/>
        </w:rPr>
      </w:pPr>
      <w:r>
        <w:rPr>
          <w:rFonts w:hint="eastAsia" w:ascii="仿宋_GB2312" w:eastAsia="仿宋_GB2312" w:cs="仿宋_GB2312"/>
          <w:b/>
          <w:bCs/>
          <w:color w:val="000000"/>
          <w:sz w:val="32"/>
          <w:szCs w:val="32"/>
        </w:rPr>
        <w:t>10.农林水支出（213类）农业农村（01款）其他农业农村支出（99项）</w:t>
      </w:r>
      <w:r>
        <w:rPr>
          <w:rFonts w:ascii="仿宋_GB2312" w:eastAsia="仿宋_GB2312" w:cs="仿宋_GB2312"/>
          <w:b/>
          <w:bCs/>
          <w:color w:val="000000"/>
          <w:sz w:val="32"/>
          <w:szCs w:val="32"/>
        </w:rPr>
        <w:t>:</w:t>
      </w:r>
      <w:r>
        <w:rPr>
          <w:rFonts w:ascii="仿宋_GB2312" w:eastAsia="仿宋_GB2312" w:cs="仿宋_GB2312"/>
          <w:color w:val="000000"/>
          <w:sz w:val="32"/>
          <w:szCs w:val="32"/>
        </w:rPr>
        <w:t xml:space="preserve"> </w:t>
      </w:r>
      <w:r>
        <w:rPr>
          <w:rFonts w:hint="eastAsia" w:ascii="仿宋" w:eastAsia="仿宋" w:cs="仿宋"/>
          <w:sz w:val="32"/>
          <w:szCs w:val="32"/>
        </w:rPr>
        <w:t>支出决算为2.00万元，完成预算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3" w:firstLineChars="200"/>
        <w:rPr>
          <w:rFonts w:ascii="仿宋" w:eastAsia="仿宋" w:cs="仿宋"/>
          <w:sz w:val="32"/>
          <w:szCs w:val="32"/>
        </w:rPr>
      </w:pPr>
      <w:r>
        <w:rPr>
          <w:rFonts w:hint="eastAsia" w:ascii="仿宋_GB2312" w:eastAsia="仿宋_GB2312" w:cs="仿宋_GB2312"/>
          <w:b/>
          <w:bCs/>
          <w:color w:val="000000"/>
          <w:sz w:val="32"/>
          <w:szCs w:val="32"/>
        </w:rPr>
        <w:t>11.农林水支出（213类）其他农林水支出（99款）其其他农林水支出（99项）</w:t>
      </w:r>
      <w:r>
        <w:rPr>
          <w:rFonts w:ascii="仿宋_GB2312" w:eastAsia="仿宋_GB2312" w:cs="仿宋_GB2312"/>
          <w:b/>
          <w:bCs/>
          <w:color w:val="000000"/>
          <w:sz w:val="32"/>
          <w:szCs w:val="32"/>
        </w:rPr>
        <w:t>:</w:t>
      </w:r>
      <w:r>
        <w:rPr>
          <w:rFonts w:ascii="仿宋_GB2312" w:eastAsia="仿宋_GB2312" w:cs="仿宋_GB2312"/>
          <w:color w:val="000000"/>
          <w:sz w:val="32"/>
          <w:szCs w:val="32"/>
        </w:rPr>
        <w:t xml:space="preserve"> </w:t>
      </w:r>
      <w:r>
        <w:rPr>
          <w:rFonts w:hint="eastAsia" w:ascii="仿宋" w:eastAsia="仿宋" w:cs="仿宋"/>
          <w:sz w:val="32"/>
          <w:szCs w:val="32"/>
        </w:rPr>
        <w:t>支出决算为460.00万元，完成预算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firstLineChars="200"/>
        <w:rPr>
          <w:rFonts w:ascii="仿宋" w:eastAsia="仿宋" w:cs="仿宋"/>
          <w:sz w:val="32"/>
          <w:szCs w:val="32"/>
        </w:rPr>
      </w:pPr>
    </w:p>
    <w:p>
      <w:pPr>
        <w:spacing w:line="600" w:lineRule="exact"/>
        <w:ind w:firstLine="640" w:firstLineChars="200"/>
        <w:rPr>
          <w:rFonts w:ascii="仿宋" w:eastAsia="仿宋" w:cs="仿宋"/>
          <w:sz w:val="32"/>
          <w:szCs w:val="32"/>
        </w:rPr>
      </w:pPr>
    </w:p>
    <w:p>
      <w:pPr>
        <w:spacing w:line="600" w:lineRule="exact"/>
        <w:ind w:firstLine="643" w:firstLineChars="200"/>
        <w:rPr>
          <w:rStyle w:val="16"/>
          <w:rFonts w:ascii="仿宋" w:hAnsi="仿宋" w:eastAsia="仿宋"/>
          <w:b w:val="0"/>
          <w:bCs/>
          <w:sz w:val="32"/>
          <w:szCs w:val="32"/>
        </w:rPr>
      </w:pPr>
      <w:r>
        <w:rPr>
          <w:rStyle w:val="16"/>
          <w:rFonts w:hint="eastAsia" w:ascii="仿宋" w:hAnsi="仿宋" w:eastAsia="仿宋"/>
          <w:bCs/>
          <w:sz w:val="32"/>
          <w:szCs w:val="32"/>
        </w:rPr>
        <w:t>1</w:t>
      </w:r>
      <w:r>
        <w:rPr>
          <w:rStyle w:val="16"/>
          <w:rFonts w:ascii="仿宋" w:hAnsi="仿宋" w:eastAsia="仿宋"/>
          <w:bCs/>
          <w:sz w:val="32"/>
          <w:szCs w:val="32"/>
        </w:rPr>
        <w:t>2.</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行政运行</w:t>
      </w:r>
      <w:r>
        <w:rPr>
          <w:rStyle w:val="16"/>
          <w:rFonts w:hint="eastAsia" w:ascii="仿宋" w:hAnsi="仿宋" w:eastAsia="仿宋"/>
          <w:bCs/>
          <w:sz w:val="32"/>
          <w:szCs w:val="32"/>
        </w:rPr>
        <w:t>（01项）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支出决算为309.82万元，完成预算100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Style w:val="16"/>
          <w:rFonts w:ascii="仿宋" w:hAnsi="仿宋" w:eastAsia="仿宋"/>
          <w:b w:val="0"/>
          <w:bCs/>
          <w:sz w:val="32"/>
          <w:szCs w:val="32"/>
        </w:rPr>
      </w:pPr>
      <w:r>
        <w:rPr>
          <w:rFonts w:hint="eastAsia"/>
        </w:rPr>
        <w:t xml:space="preserve">  </w:t>
      </w:r>
      <w:r>
        <w:rPr>
          <w:rStyle w:val="16"/>
          <w:rFonts w:hint="eastAsia" w:ascii="仿宋" w:hAnsi="仿宋" w:eastAsia="仿宋"/>
          <w:bCs/>
          <w:sz w:val="32"/>
          <w:szCs w:val="32"/>
        </w:rPr>
        <w:t>13</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公路建设</w:t>
      </w:r>
      <w:r>
        <w:rPr>
          <w:rStyle w:val="16"/>
          <w:rFonts w:hint="eastAsia" w:ascii="仿宋" w:hAnsi="仿宋" w:eastAsia="仿宋"/>
          <w:bCs/>
          <w:sz w:val="32"/>
          <w:szCs w:val="32"/>
        </w:rPr>
        <w:t>（04项）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支出决算为929.67万元，完成预算100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Style w:val="16"/>
          <w:rFonts w:ascii="仿宋" w:hAnsi="仿宋" w:eastAsia="仿宋"/>
          <w:b w:val="0"/>
          <w:bCs/>
          <w:sz w:val="32"/>
          <w:szCs w:val="32"/>
        </w:rPr>
      </w:pPr>
      <w:r>
        <w:rPr>
          <w:rFonts w:hint="eastAsia"/>
        </w:rPr>
        <w:t xml:space="preserve">  </w:t>
      </w:r>
      <w:r>
        <w:rPr>
          <w:rStyle w:val="16"/>
          <w:rFonts w:hint="eastAsia" w:ascii="仿宋" w:hAnsi="仿宋" w:eastAsia="仿宋"/>
          <w:bCs/>
          <w:sz w:val="32"/>
          <w:szCs w:val="32"/>
        </w:rPr>
        <w:t>14</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公路养护</w:t>
      </w:r>
      <w:r>
        <w:rPr>
          <w:rStyle w:val="16"/>
          <w:rFonts w:hint="eastAsia" w:ascii="仿宋" w:hAnsi="仿宋" w:eastAsia="仿宋"/>
          <w:bCs/>
          <w:sz w:val="32"/>
          <w:szCs w:val="32"/>
        </w:rPr>
        <w:t>（06项）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支出决算为85.54万元，完成预算100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Style w:val="16"/>
          <w:rFonts w:ascii="仿宋" w:hAnsi="仿宋" w:eastAsia="仿宋"/>
          <w:b w:val="0"/>
          <w:bCs/>
          <w:sz w:val="32"/>
          <w:szCs w:val="32"/>
        </w:rPr>
      </w:pPr>
      <w:r>
        <w:rPr>
          <w:rFonts w:hint="eastAsia"/>
        </w:rPr>
        <w:t xml:space="preserve">  </w:t>
      </w:r>
      <w:r>
        <w:rPr>
          <w:rStyle w:val="16"/>
          <w:rFonts w:hint="eastAsia" w:ascii="仿宋" w:hAnsi="仿宋" w:eastAsia="仿宋"/>
          <w:bCs/>
          <w:sz w:val="32"/>
          <w:szCs w:val="32"/>
        </w:rPr>
        <w:t>15</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公路和运输安全</w:t>
      </w:r>
      <w:r>
        <w:rPr>
          <w:rStyle w:val="16"/>
          <w:rFonts w:hint="eastAsia" w:ascii="仿宋" w:hAnsi="仿宋" w:eastAsia="仿宋"/>
          <w:bCs/>
          <w:sz w:val="32"/>
          <w:szCs w:val="32"/>
        </w:rPr>
        <w:t>（10项）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支出决算为3652.03万元，完成预算100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Style w:val="16"/>
          <w:rFonts w:ascii="仿宋" w:hAnsi="仿宋" w:eastAsia="仿宋"/>
          <w:b w:val="0"/>
          <w:bCs/>
          <w:sz w:val="32"/>
          <w:szCs w:val="32"/>
        </w:rPr>
      </w:pPr>
      <w:r>
        <w:rPr>
          <w:rFonts w:hint="eastAsia"/>
        </w:rPr>
        <w:t xml:space="preserve">  </w:t>
      </w:r>
      <w:r>
        <w:rPr>
          <w:rStyle w:val="16"/>
          <w:rFonts w:hint="eastAsia" w:ascii="仿宋" w:hAnsi="仿宋" w:eastAsia="仿宋"/>
          <w:bCs/>
          <w:sz w:val="32"/>
          <w:szCs w:val="32"/>
        </w:rPr>
        <w:t>16</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公路运输管理</w:t>
      </w:r>
      <w:r>
        <w:rPr>
          <w:rStyle w:val="16"/>
          <w:rFonts w:hint="eastAsia" w:ascii="仿宋" w:hAnsi="仿宋" w:eastAsia="仿宋"/>
          <w:bCs/>
          <w:sz w:val="32"/>
          <w:szCs w:val="32"/>
        </w:rPr>
        <w:t>（12项）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支出决算为13.74万元，完成预算100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Fonts w:ascii="仿宋" w:hAnsi="仿宋" w:eastAsia="仿宋"/>
          <w:bCs/>
          <w:sz w:val="32"/>
          <w:szCs w:val="32"/>
        </w:rPr>
      </w:pPr>
      <w:r>
        <w:rPr>
          <w:rFonts w:hint="eastAsia"/>
        </w:rPr>
        <w:t xml:space="preserve">  </w:t>
      </w:r>
      <w:r>
        <w:rPr>
          <w:rStyle w:val="16"/>
          <w:rFonts w:hint="eastAsia" w:ascii="仿宋" w:hAnsi="仿宋" w:eastAsia="仿宋"/>
          <w:bCs/>
          <w:sz w:val="32"/>
          <w:szCs w:val="32"/>
        </w:rPr>
        <w:t>17</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其他公路水路运输支出</w:t>
      </w:r>
      <w:r>
        <w:rPr>
          <w:rStyle w:val="16"/>
          <w:rFonts w:hint="eastAsia" w:ascii="仿宋" w:hAnsi="仿宋" w:eastAsia="仿宋"/>
          <w:bCs/>
          <w:sz w:val="32"/>
          <w:szCs w:val="32"/>
        </w:rPr>
        <w:t>（01项）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支出决算为194.40万元，完成预算100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rPr>
        <w:t>18</w:t>
      </w:r>
      <w:r>
        <w:rPr>
          <w:rStyle w:val="16"/>
          <w:rFonts w:ascii="仿宋" w:hAnsi="仿宋" w:eastAsia="仿宋"/>
          <w:bCs/>
          <w:sz w:val="32"/>
          <w:szCs w:val="32"/>
        </w:rPr>
        <w:t>.</w:t>
      </w:r>
      <w:r>
        <w:rPr>
          <w:rStyle w:val="16"/>
          <w:rFonts w:hint="eastAsia" w:ascii="仿宋" w:hAnsi="仿宋" w:eastAsia="仿宋"/>
          <w:bCs/>
          <w:sz w:val="32"/>
          <w:szCs w:val="32"/>
        </w:rPr>
        <w:t>交通运输支出（214类）其他交通运输支出（99款）</w:t>
      </w:r>
      <w:r>
        <w:rPr>
          <w:rStyle w:val="16"/>
          <w:rFonts w:ascii="仿宋" w:hAnsi="仿宋" w:eastAsia="仿宋"/>
          <w:bCs/>
          <w:sz w:val="32"/>
          <w:szCs w:val="32"/>
        </w:rPr>
        <w:t>公共交通运营补助</w:t>
      </w:r>
      <w:r>
        <w:rPr>
          <w:rStyle w:val="16"/>
          <w:rFonts w:hint="eastAsia" w:ascii="仿宋" w:hAnsi="仿宋" w:eastAsia="仿宋"/>
          <w:bCs/>
          <w:sz w:val="32"/>
          <w:szCs w:val="32"/>
        </w:rPr>
        <w:t>（01项）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支出决算为357.71万元，完成预算100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rPr>
        <w:t>19</w:t>
      </w:r>
      <w:r>
        <w:rPr>
          <w:rStyle w:val="16"/>
          <w:rFonts w:ascii="仿宋" w:hAnsi="仿宋" w:eastAsia="仿宋"/>
          <w:bCs/>
          <w:sz w:val="32"/>
          <w:szCs w:val="32"/>
        </w:rPr>
        <w:t>.</w:t>
      </w:r>
      <w:r>
        <w:rPr>
          <w:rStyle w:val="16"/>
          <w:rFonts w:hint="eastAsia" w:ascii="仿宋" w:hAnsi="仿宋" w:eastAsia="仿宋"/>
          <w:bCs/>
          <w:sz w:val="32"/>
          <w:szCs w:val="32"/>
        </w:rPr>
        <w:t>住房保障支出（221类）</w:t>
      </w:r>
      <w:r>
        <w:rPr>
          <w:rStyle w:val="16"/>
          <w:rFonts w:ascii="仿宋" w:hAnsi="仿宋" w:eastAsia="仿宋"/>
          <w:bCs/>
          <w:sz w:val="32"/>
          <w:szCs w:val="32"/>
        </w:rPr>
        <w:t>住房改革支出</w:t>
      </w:r>
      <w:r>
        <w:rPr>
          <w:rStyle w:val="16"/>
          <w:rFonts w:hint="eastAsia" w:ascii="仿宋" w:hAnsi="仿宋" w:eastAsia="仿宋"/>
          <w:bCs/>
          <w:sz w:val="32"/>
          <w:szCs w:val="32"/>
        </w:rPr>
        <w:t>（02款）</w:t>
      </w:r>
      <w:r>
        <w:rPr>
          <w:rStyle w:val="16"/>
          <w:rFonts w:ascii="仿宋" w:hAnsi="仿宋" w:eastAsia="仿宋"/>
          <w:bCs/>
          <w:sz w:val="32"/>
          <w:szCs w:val="32"/>
        </w:rPr>
        <w:t>住房公积金</w:t>
      </w:r>
      <w:r>
        <w:rPr>
          <w:rStyle w:val="16"/>
          <w:rFonts w:hint="eastAsia" w:ascii="仿宋" w:hAnsi="仿宋" w:eastAsia="仿宋"/>
          <w:bCs/>
          <w:sz w:val="32"/>
          <w:szCs w:val="32"/>
        </w:rPr>
        <w:t>（01项）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支出决算为29.60万元，完成预算100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tabs>
          <w:tab w:val="right" w:pos="8306"/>
        </w:tabs>
        <w:spacing w:line="600" w:lineRule="exact"/>
        <w:ind w:firstLine="640"/>
        <w:outlineLvl w:val="1"/>
        <w:rPr>
          <w:rStyle w:val="28"/>
        </w:rPr>
      </w:pPr>
      <w:bookmarkStart w:id="29" w:name="_Toc15377214"/>
      <w:bookmarkStart w:id="30"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29"/>
      <w:bookmarkEnd w:id="30"/>
      <w:r>
        <w:rPr>
          <w:rStyle w:val="28"/>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483.82</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442.46</w:t>
      </w:r>
      <w:r>
        <w:rPr>
          <w:rFonts w:hint="eastAsia" w:ascii="仿宋" w:hAnsi="仿宋" w:eastAsia="仿宋"/>
          <w:sz w:val="32"/>
          <w:szCs w:val="32"/>
        </w:rPr>
        <w:t>万元，主要包括：基本工资、津贴补贴、奖金、机关事业单位基本养老保险缴费、职业年金缴费、职工基本医疗保险缴费、公务员医疗补助缴费、其他社会保障缴费、其他工资福利支出、抚恤金、生活补助、医疗费补助、奖励金、住房公积金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41.36</w:t>
      </w:r>
      <w:r>
        <w:rPr>
          <w:rFonts w:hint="eastAsia" w:ascii="仿宋" w:hAnsi="仿宋" w:eastAsia="仿宋"/>
          <w:sz w:val="32"/>
          <w:szCs w:val="32"/>
        </w:rPr>
        <w:t>万元，主要包括：办公费、印刷费、水费、电费、邮电费、差旅费、因公出国（境）费用、维修（护）费、工会经费、福利费、其他交通费、其他商品和服务支出等。</w:t>
      </w:r>
    </w:p>
    <w:p>
      <w:pPr>
        <w:spacing w:line="600" w:lineRule="exact"/>
        <w:ind w:firstLine="640"/>
        <w:outlineLvl w:val="1"/>
        <w:rPr>
          <w:rStyle w:val="28"/>
          <w:rFonts w:ascii="黑体" w:hAnsi="黑体" w:eastAsia="黑体"/>
          <w:b w:val="0"/>
        </w:rPr>
      </w:pPr>
      <w:bookmarkStart w:id="31" w:name="_Toc15396609"/>
      <w:bookmarkStart w:id="32" w:name="_Toc15377215"/>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1"/>
      <w:bookmarkEnd w:id="32"/>
    </w:p>
    <w:p>
      <w:pPr>
        <w:spacing w:line="600" w:lineRule="exact"/>
        <w:ind w:firstLine="640"/>
        <w:outlineLvl w:val="2"/>
        <w:rPr>
          <w:rFonts w:ascii="仿宋" w:hAnsi="仿宋" w:eastAsia="仿宋"/>
          <w:b/>
          <w:sz w:val="32"/>
          <w:szCs w:val="32"/>
        </w:rPr>
      </w:pPr>
      <w:bookmarkStart w:id="33" w:name="_Toc15377216"/>
      <w:r>
        <w:rPr>
          <w:rFonts w:hint="eastAsia" w:ascii="仿宋" w:hAnsi="仿宋" w:eastAsia="仿宋"/>
          <w:b/>
          <w:sz w:val="32"/>
          <w:szCs w:val="32"/>
        </w:rPr>
        <w:t>（一）“三公”经费财政拨款支出决算总体情况说明</w:t>
      </w:r>
      <w:bookmarkEnd w:id="33"/>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w:t>
      </w:r>
      <w:r>
        <w:rPr>
          <w:rFonts w:hint="eastAsia" w:ascii="仿宋" w:hAnsi="仿宋" w:eastAsia="仿宋"/>
          <w:sz w:val="32"/>
          <w:szCs w:val="32"/>
        </w:rPr>
        <w:t>万元，完成预算</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34" w:name="_Toc15377217"/>
      <w:r>
        <w:rPr>
          <w:rFonts w:hint="eastAsia" w:ascii="仿宋" w:hAnsi="仿宋" w:eastAsia="仿宋"/>
          <w:b/>
          <w:sz w:val="32"/>
          <w:szCs w:val="32"/>
        </w:rPr>
        <w:t>（二）“三公”经费财政拨款支出决算具体情况说明</w:t>
      </w:r>
      <w:bookmarkEnd w:id="34"/>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b/>
          <w:sz w:val="32"/>
          <w:szCs w:val="32"/>
        </w:rPr>
      </w:pPr>
      <w:bookmarkStart w:id="35" w:name="_Toc15377218"/>
      <w:bookmarkStart w:id="36" w:name="_Toc15396610"/>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人。因公出国（境）支出决算与2022年持平。</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万元。全年按规定更新购置公务用车0辆。截至2023年</w:t>
      </w:r>
      <w:r>
        <w:rPr>
          <w:rFonts w:ascii="仿宋_GB2312" w:eastAsia="仿宋_GB2312"/>
          <w:sz w:val="32"/>
          <w:szCs w:val="32"/>
        </w:rPr>
        <w:t>12</w:t>
      </w:r>
      <w:r>
        <w:rPr>
          <w:rFonts w:hint="eastAsia" w:ascii="仿宋_GB2312" w:eastAsia="仿宋_GB2312"/>
          <w:sz w:val="32"/>
          <w:szCs w:val="32"/>
        </w:rPr>
        <w:t>月31日，单位共有公务用车0辆。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bCs/>
          <w:sz w:val="32"/>
          <w:szCs w:val="32"/>
        </w:rPr>
        <w:t>0%</w:t>
      </w:r>
      <w:r>
        <w:rPr>
          <w:rStyle w:val="16"/>
          <w:rFonts w:hint="eastAsia" w:ascii="仿宋" w:hAnsi="仿宋" w:eastAsia="仿宋"/>
          <w:b w:val="0"/>
          <w:bCs/>
          <w:sz w:val="32"/>
          <w:szCs w:val="32"/>
        </w:rPr>
        <w:t>。</w:t>
      </w:r>
      <w:r>
        <w:rPr>
          <w:rFonts w:hint="eastAsia" w:ascii="仿宋_GB2312" w:eastAsia="仿宋_GB2312"/>
          <w:sz w:val="32"/>
          <w:szCs w:val="32"/>
        </w:rPr>
        <w:t>公务接待费支出决算比2022年度持平。其中：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sz w:val="32"/>
          <w:szCs w:val="32"/>
        </w:rPr>
        <w:t>0</w:t>
      </w:r>
      <w:r>
        <w:rPr>
          <w:rFonts w:hint="eastAsia" w:ascii="仿宋_GB2312" w:eastAsia="仿宋_GB2312"/>
          <w:sz w:val="32"/>
          <w:szCs w:val="32"/>
        </w:rPr>
        <w:t>万元，。国内公务接待0批次，0人次（不包括陪同人员）。</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万元。外事接待0批次，0人次（不包括陪同人员）。</w:t>
      </w:r>
    </w:p>
    <w:p>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35"/>
      <w:bookmarkEnd w:id="36"/>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8"/>
          <w:rFonts w:ascii="黑体" w:hAnsi="黑体" w:eastAsia="黑体"/>
          <w:b w:val="0"/>
        </w:rPr>
      </w:pPr>
      <w:bookmarkStart w:id="37" w:name="_Toc15396611"/>
      <w:bookmarkStart w:id="38" w:name="_Toc15377219"/>
      <w:r>
        <w:rPr>
          <w:rStyle w:val="28"/>
          <w:rFonts w:hint="eastAsia" w:ascii="黑体" w:hAnsi="黑体" w:eastAsia="黑体"/>
          <w:b w:val="0"/>
        </w:rPr>
        <w:t>国有资本经营预算支出决算情况说明</w:t>
      </w:r>
      <w:bookmarkEnd w:id="37"/>
      <w:bookmarkEnd w:id="38"/>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8"/>
          <w:rFonts w:ascii="黑体" w:hAnsi="黑体" w:eastAsia="黑体"/>
          <w:b w:val="0"/>
        </w:rPr>
      </w:pPr>
      <w:bookmarkStart w:id="39" w:name="_Toc15396612"/>
      <w:bookmarkStart w:id="40" w:name="_Toc15377221"/>
      <w:r>
        <w:rPr>
          <w:rStyle w:val="28"/>
          <w:rFonts w:hint="eastAsia" w:ascii="黑体" w:hAnsi="黑体" w:eastAsia="黑体"/>
          <w:b w:val="0"/>
        </w:rPr>
        <w:t>其他重要事项的情况说明</w:t>
      </w:r>
      <w:bookmarkEnd w:id="39"/>
      <w:bookmarkEnd w:id="40"/>
    </w:p>
    <w:p>
      <w:pPr>
        <w:spacing w:line="600" w:lineRule="exact"/>
        <w:ind w:firstLine="643" w:firstLineChars="200"/>
        <w:outlineLvl w:val="2"/>
        <w:rPr>
          <w:rFonts w:ascii="仿宋" w:hAnsi="仿宋" w:eastAsia="仿宋"/>
          <w:sz w:val="32"/>
          <w:szCs w:val="32"/>
        </w:rPr>
      </w:pPr>
      <w:bookmarkStart w:id="41" w:name="_Toc15377222"/>
      <w:r>
        <w:rPr>
          <w:rFonts w:hint="eastAsia" w:ascii="仿宋" w:hAnsi="仿宋" w:eastAsia="仿宋"/>
          <w:b/>
          <w:sz w:val="32"/>
          <w:szCs w:val="32"/>
        </w:rPr>
        <w:t>（一）机关运行经费支出情况</w:t>
      </w:r>
      <w:bookmarkEnd w:id="41"/>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盐边县交通运输局</w:t>
      </w:r>
      <w:r>
        <w:rPr>
          <w:rFonts w:hint="eastAsia" w:ascii="仿宋_GB2312" w:eastAsia="仿宋_GB2312"/>
          <w:sz w:val="32"/>
          <w:szCs w:val="32"/>
        </w:rPr>
        <w:t>机关运行经费支出</w:t>
      </w:r>
      <w:r>
        <w:rPr>
          <w:rFonts w:ascii="仿宋" w:hAnsi="仿宋" w:eastAsia="仿宋"/>
          <w:b/>
          <w:sz w:val="32"/>
          <w:szCs w:val="32"/>
        </w:rPr>
        <w:t>41.36</w:t>
      </w:r>
      <w:r>
        <w:rPr>
          <w:rFonts w:hint="eastAsia" w:ascii="仿宋_GB2312" w:eastAsia="仿宋_GB2312"/>
          <w:sz w:val="32"/>
          <w:szCs w:val="32"/>
        </w:rPr>
        <w:t>万元，比2022年度增加10.21万元，增长32.78</w:t>
      </w:r>
      <w:r>
        <w:rPr>
          <w:rFonts w:ascii="仿宋_GB2312" w:eastAsia="仿宋_GB2312"/>
          <w:sz w:val="32"/>
          <w:szCs w:val="32"/>
        </w:rPr>
        <w:t>%</w:t>
      </w:r>
      <w:r>
        <w:rPr>
          <w:rFonts w:hint="eastAsia" w:ascii="仿宋_GB2312" w:eastAsia="仿宋_GB2312"/>
          <w:sz w:val="32"/>
          <w:szCs w:val="32"/>
        </w:rPr>
        <w:t>。主要原因是正常增长。</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2" w:name="_Toc15377223"/>
      <w:r>
        <w:rPr>
          <w:rFonts w:hint="eastAsia" w:ascii="仿宋" w:hAnsi="仿宋" w:eastAsia="仿宋"/>
          <w:b/>
          <w:sz w:val="32"/>
          <w:szCs w:val="32"/>
        </w:rPr>
        <w:t>（二）政府采购支出情况</w:t>
      </w:r>
      <w:bookmarkEnd w:id="42"/>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盐边县交通运输局</w:t>
      </w:r>
      <w:r>
        <w:rPr>
          <w:rFonts w:hint="eastAsia" w:ascii="仿宋_GB2312" w:eastAsia="仿宋_GB2312"/>
          <w:sz w:val="32"/>
          <w:szCs w:val="32"/>
        </w:rPr>
        <w:t>政府采购支出总额</w:t>
      </w:r>
      <w:r>
        <w:rPr>
          <w:rFonts w:ascii="仿宋" w:hAnsi="仿宋" w:eastAsia="仿宋"/>
          <w:b/>
          <w:sz w:val="32"/>
          <w:szCs w:val="32"/>
        </w:rPr>
        <w:t>210.05</w:t>
      </w:r>
      <w:r>
        <w:rPr>
          <w:rFonts w:hint="eastAsia" w:ascii="仿宋_GB2312" w:eastAsia="仿宋_GB2312"/>
          <w:sz w:val="32"/>
          <w:szCs w:val="32"/>
        </w:rPr>
        <w:t>万元，其中：政府采购货物支出</w:t>
      </w:r>
      <w:r>
        <w:rPr>
          <w:rFonts w:ascii="仿宋" w:hAnsi="仿宋" w:eastAsia="仿宋"/>
          <w:b/>
          <w:sz w:val="32"/>
          <w:szCs w:val="32"/>
        </w:rPr>
        <w:t>1.25</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208.8</w:t>
      </w:r>
      <w:r>
        <w:rPr>
          <w:rFonts w:hint="eastAsia" w:ascii="仿宋_GB2312" w:eastAsia="仿宋_GB2312"/>
          <w:sz w:val="32"/>
          <w:szCs w:val="32"/>
        </w:rPr>
        <w:t>万元。主要用于</w:t>
      </w:r>
      <w:r>
        <w:rPr>
          <w:rFonts w:ascii="仿宋_GB2312" w:eastAsia="仿宋_GB2312"/>
          <w:sz w:val="32"/>
          <w:szCs w:val="32"/>
        </w:rPr>
        <w:t>…</w:t>
      </w:r>
      <w:r>
        <w:rPr>
          <w:rFonts w:hint="eastAsia" w:ascii="仿宋_GB2312" w:eastAsia="仿宋_GB2312"/>
          <w:sz w:val="32"/>
          <w:szCs w:val="32"/>
        </w:rPr>
        <w:t>（具体工作）。授予中小企业合同金额</w:t>
      </w:r>
      <w:r>
        <w:rPr>
          <w:rFonts w:ascii="仿宋" w:hAnsi="仿宋" w:eastAsia="仿宋"/>
          <w:b/>
          <w:sz w:val="32"/>
          <w:szCs w:val="32"/>
        </w:rPr>
        <w:t>1.25</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1.25</w:t>
      </w:r>
      <w:r>
        <w:rPr>
          <w:rFonts w:hint="eastAsia" w:ascii="仿宋_GB2312" w:eastAsia="仿宋_GB2312"/>
          <w:sz w:val="32"/>
          <w:szCs w:val="32"/>
        </w:rPr>
        <w:t>万元，占政府采购支出总额的</w:t>
      </w:r>
      <w:r>
        <w:rPr>
          <w:rFonts w:ascii="仿宋_GB2312" w:eastAsia="仿宋_GB2312"/>
          <w:b/>
          <w:sz w:val="32"/>
          <w:szCs w:val="32"/>
        </w:rPr>
        <w:t>0.59</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3" w:name="_Toc15377224"/>
      <w:r>
        <w:rPr>
          <w:rFonts w:hint="eastAsia" w:ascii="仿宋" w:hAnsi="仿宋" w:eastAsia="仿宋"/>
          <w:b/>
          <w:sz w:val="32"/>
          <w:szCs w:val="32"/>
        </w:rPr>
        <w:t>（三）国有资产占有使用情况</w:t>
      </w:r>
      <w:bookmarkEnd w:id="43"/>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盐边县交通运输局</w:t>
      </w:r>
      <w:r>
        <w:rPr>
          <w:rFonts w:hint="eastAsia" w:ascii="仿宋_GB2312" w:eastAsia="仿宋_GB2312"/>
          <w:sz w:val="32"/>
          <w:szCs w:val="32"/>
        </w:rPr>
        <w:t>共有车辆</w:t>
      </w:r>
      <w:r>
        <w:rPr>
          <w:rFonts w:hint="eastAsia" w:ascii="仿宋_GB2312" w:eastAsia="仿宋_GB2312"/>
          <w:b/>
          <w:sz w:val="32"/>
          <w:szCs w:val="32"/>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tabs>
          <w:tab w:val="left" w:pos="1440"/>
        </w:tabs>
        <w:spacing w:line="560" w:lineRule="exact"/>
        <w:ind w:firstLine="640" w:firstLineChars="200"/>
        <w:rPr>
          <w:rFonts w:ascii="宋体" w:hAnsi="宋体"/>
          <w:sz w:val="30"/>
          <w:szCs w:val="30"/>
        </w:rPr>
      </w:pPr>
      <w:r>
        <w:rPr>
          <w:rFonts w:hint="eastAsia" w:ascii="仿宋_GB2312" w:eastAsia="仿宋_GB2312"/>
          <w:sz w:val="32"/>
          <w:szCs w:val="32"/>
        </w:rPr>
        <w:t>据预算绩效管理要求，本单位在2023年度预算编制阶段，组织对</w:t>
      </w:r>
      <w:r>
        <w:rPr>
          <w:rFonts w:hint="eastAsia" w:ascii="仿宋_GB2312" w:hAnsi="??" w:eastAsia="仿宋_GB2312"/>
          <w:sz w:val="32"/>
          <w:szCs w:val="32"/>
          <w:lang w:val="zh-CN"/>
        </w:rPr>
        <w:t>四好农村路路域环境整治、疫情防控交通运输组相关资金、鳡鱼大桥结构健康监测系统建设专项资金、湾滩汽车修理店关停补偿款</w:t>
      </w:r>
      <w:r>
        <w:rPr>
          <w:rFonts w:hint="eastAsia" w:ascii="仿宋_GB2312" w:eastAsia="仿宋_GB2312"/>
          <w:sz w:val="32"/>
          <w:szCs w:val="32"/>
        </w:rPr>
        <w:t>、</w:t>
      </w:r>
      <w:r>
        <w:rPr>
          <w:rFonts w:hint="eastAsia" w:ascii="仿宋_GB2312" w:hAnsi="??" w:eastAsia="仿宋_GB2312"/>
          <w:sz w:val="32"/>
          <w:szCs w:val="32"/>
          <w:lang w:val="zh-CN"/>
        </w:rPr>
        <w:t>安全隐患整治</w:t>
      </w:r>
      <w:r>
        <w:rPr>
          <w:rFonts w:hint="eastAsia" w:ascii="仿宋_GB2312" w:eastAsia="仿宋_GB2312"/>
          <w:sz w:val="32"/>
          <w:szCs w:val="32"/>
        </w:rPr>
        <w:t>、</w:t>
      </w:r>
      <w:r>
        <w:rPr>
          <w:rFonts w:hint="eastAsia" w:ascii="仿宋_GB2312" w:hAnsi="??" w:eastAsia="仿宋_GB2312"/>
          <w:sz w:val="32"/>
          <w:szCs w:val="32"/>
          <w:lang w:val="zh-CN"/>
        </w:rPr>
        <w:t>撤并建制村畅通工程及30户以上自然村组通硬化路</w:t>
      </w:r>
      <w:r>
        <w:rPr>
          <w:rFonts w:hint="eastAsia" w:ascii="仿宋_GB2312" w:eastAsia="仿宋_GB2312"/>
          <w:sz w:val="32"/>
          <w:szCs w:val="32"/>
        </w:rPr>
        <w:t>、</w:t>
      </w:r>
      <w:r>
        <w:rPr>
          <w:rFonts w:hint="eastAsia" w:ascii="仿宋_GB2312" w:hAnsi="??" w:eastAsia="仿宋_GB2312"/>
          <w:sz w:val="32"/>
          <w:szCs w:val="32"/>
          <w:lang w:val="zh-CN"/>
        </w:rPr>
        <w:t>2021、2022年度中央财政农村客运补贴和城市交通发展奖励资金、普通省道和农村公路“以奖代补”资金、年度农村客运保险补贴</w:t>
      </w:r>
      <w:r>
        <w:rPr>
          <w:rFonts w:hint="eastAsia" w:ascii="仿宋_GB2312" w:eastAsia="仿宋_GB2312"/>
          <w:sz w:val="32"/>
          <w:szCs w:val="32"/>
        </w:rPr>
        <w:t>、</w:t>
      </w:r>
      <w:r>
        <w:rPr>
          <w:rFonts w:hint="eastAsia" w:ascii="仿宋_GB2312" w:hAnsi="??" w:eastAsia="仿宋_GB2312"/>
          <w:sz w:val="32"/>
          <w:szCs w:val="32"/>
          <w:lang w:val="zh-CN"/>
        </w:rPr>
        <w:t>桑园大桥拆除重建项目、交通综合行政执法专项经费、中央财政2020年度农村客运出租车成品油价格补助资金</w:t>
      </w:r>
      <w:r>
        <w:rPr>
          <w:rFonts w:hint="eastAsia" w:ascii="仿宋_GB2312" w:eastAsia="仿宋_GB2312"/>
          <w:sz w:val="32"/>
          <w:szCs w:val="32"/>
        </w:rPr>
        <w:t>等13个项目开展了预算事前绩效评估，对13个项目编制了绩效目标，预算执行过程中，选取13个项目开展绩效监控，组织对13个项目开展绩效自评，绩效自评表详见第四部分附件。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numPr>
          <w:ilvl w:val="0"/>
          <w:numId w:val="4"/>
        </w:numPr>
        <w:spacing w:line="600" w:lineRule="exact"/>
        <w:ind w:firstLine="660" w:firstLineChars="150"/>
        <w:jc w:val="center"/>
        <w:outlineLvl w:val="0"/>
        <w:rPr>
          <w:rStyle w:val="27"/>
          <w:rFonts w:ascii="黑体" w:hAnsi="黑体" w:eastAsia="黑体"/>
          <w:b w:val="0"/>
        </w:rPr>
      </w:pPr>
      <w:bookmarkStart w:id="44" w:name="_Toc15377225"/>
      <w:bookmarkStart w:id="45" w:name="_Toc15396613"/>
      <w:r>
        <w:rPr>
          <w:rFonts w:hint="eastAsia" w:ascii="黑体" w:hAnsi="黑体" w:eastAsia="黑体"/>
          <w:sz w:val="44"/>
          <w:szCs w:val="44"/>
        </w:rPr>
        <w:t>名</w:t>
      </w:r>
      <w:r>
        <w:rPr>
          <w:rStyle w:val="27"/>
          <w:rFonts w:hint="eastAsia" w:ascii="黑体" w:hAnsi="黑体" w:eastAsia="黑体"/>
          <w:b w:val="0"/>
        </w:rPr>
        <w:t>词解释</w:t>
      </w:r>
      <w:bookmarkEnd w:id="44"/>
      <w:bookmarkEnd w:id="45"/>
    </w:p>
    <w:p>
      <w:pPr>
        <w:spacing w:line="600" w:lineRule="exact"/>
        <w:jc w:val="left"/>
        <w:rPr>
          <w:rFonts w:ascii="宋体"/>
          <w:b/>
          <w:sz w:val="44"/>
          <w:szCs w:val="44"/>
        </w:rPr>
      </w:pP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r>
        <w:rPr>
          <w:rFonts w:ascii="仿宋_GB2312" w:eastAsia="仿宋_GB2312"/>
          <w:color w:val="auto"/>
          <w:sz w:val="32"/>
          <w:szCs w:val="32"/>
        </w:rPr>
        <w:t xml:space="preserve"> </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r>
        <w:rPr>
          <w:rFonts w:ascii="仿宋_GB2312" w:eastAsia="仿宋_GB2312"/>
          <w:color w:val="auto"/>
          <w:sz w:val="32"/>
          <w:szCs w:val="32"/>
        </w:rPr>
        <w:t xml:space="preserve"> </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rPr>
        <w:t>9</w:t>
      </w:r>
      <w:r>
        <w:rPr>
          <w:rFonts w:ascii="仿宋_GB2312" w:eastAsia="仿宋_GB2312"/>
          <w:sz w:val="32"/>
          <w:szCs w:val="32"/>
        </w:rPr>
        <w:t>.</w:t>
      </w:r>
      <w:r>
        <w:rPr>
          <w:rFonts w:hint="eastAsia" w:ascii="仿宋_GB2312" w:eastAsia="仿宋_GB2312"/>
          <w:sz w:val="32"/>
          <w:szCs w:val="32"/>
        </w:rPr>
        <w:t>社会保障和就业（208类）</w:t>
      </w:r>
      <w:r>
        <w:rPr>
          <w:rFonts w:hint="eastAsia" w:ascii="仿宋_GB2312" w:hAnsi="Cambria" w:eastAsia="仿宋_GB2312" w:cs="仿宋_GB2312"/>
          <w:color w:val="000000"/>
          <w:sz w:val="32"/>
          <w:szCs w:val="32"/>
        </w:rPr>
        <w:t>行政事业单位养老支出</w:t>
      </w:r>
      <w:r>
        <w:rPr>
          <w:rFonts w:hint="eastAsia" w:ascii="仿宋_GB2312" w:eastAsia="仿宋_GB2312"/>
          <w:sz w:val="32"/>
          <w:szCs w:val="32"/>
        </w:rPr>
        <w:t>（05款）</w:t>
      </w:r>
      <w:r>
        <w:rPr>
          <w:rFonts w:hint="eastAsia" w:ascii="仿宋_GB2312" w:hAnsi="Cambria" w:eastAsia="仿宋_GB2312" w:cs="仿宋_GB2312"/>
          <w:color w:val="000000"/>
          <w:sz w:val="32"/>
          <w:szCs w:val="32"/>
        </w:rPr>
        <w:t>行政单位离退休</w:t>
      </w:r>
      <w:r>
        <w:rPr>
          <w:rFonts w:hint="eastAsia" w:ascii="仿宋_GB2312" w:eastAsia="仿宋_GB2312"/>
          <w:sz w:val="32"/>
          <w:szCs w:val="32"/>
        </w:rPr>
        <w:t>（01项）：</w:t>
      </w:r>
      <w:r>
        <w:rPr>
          <w:rFonts w:hint="eastAsia" w:ascii="仿宋_GB2312" w:hAnsi="Cambria" w:eastAsia="仿宋_GB2312" w:cs="仿宋_GB2312"/>
          <w:color w:val="000000"/>
          <w:sz w:val="32"/>
          <w:szCs w:val="32"/>
        </w:rPr>
        <w:t>指行政单位（包括实行公务员管理的事业单位）开支的离退休经费</w:t>
      </w:r>
      <w:r>
        <w:rPr>
          <w:rFonts w:hint="eastAsia" w:ascii="仿宋_GB2312" w:eastAsia="仿宋_GB2312"/>
          <w:sz w:val="32"/>
          <w:szCs w:val="32"/>
        </w:rPr>
        <w:t>。</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10</w:t>
      </w:r>
      <w:r>
        <w:rPr>
          <w:rFonts w:ascii="仿宋_GB2312" w:hAnsi="Cambria" w:eastAsia="仿宋_GB2312" w:cs="仿宋_GB2312"/>
          <w:color w:val="000000"/>
          <w:sz w:val="32"/>
          <w:szCs w:val="32"/>
        </w:rPr>
        <w:t>.</w:t>
      </w:r>
      <w:r>
        <w:rPr>
          <w:rFonts w:hint="eastAsia" w:ascii="仿宋_GB2312" w:hAnsi="Cambria" w:eastAsia="仿宋_GB2312" w:cs="仿宋_GB2312"/>
          <w:color w:val="000000"/>
          <w:sz w:val="32"/>
          <w:szCs w:val="32"/>
        </w:rPr>
        <w:t>社会保障和就业（208类）行政事业单位养老支出（05款）机关事业单位基本养老保险缴费支出（05项）：指机关事业单位实施养老保险制度由单位缴纳的基本养老保险费支出。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11. 社会保障和就业（208类）行政事业单位养老支出（05款）机关事业单位职业年金缴费支出（06项）：指机关事业单位实施养老保险制度由单位缴纳的职业年金支出。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12.社会保障和就业支出（208类）抚恤（08款）死亡抚恤（01项）</w:t>
      </w:r>
      <w:r>
        <w:rPr>
          <w:rFonts w:ascii="仿宋_GB2312" w:hAnsi="Cambria" w:eastAsia="仿宋_GB2312" w:cs="仿宋_GB2312"/>
          <w:color w:val="000000"/>
          <w:sz w:val="32"/>
          <w:szCs w:val="32"/>
        </w:rPr>
        <w:t>:</w:t>
      </w:r>
      <w:r>
        <w:rPr>
          <w:rFonts w:hint="eastAsia" w:ascii="仿宋_GB2312" w:hAnsi="Cambria" w:eastAsia="仿宋_GB2312" w:cs="仿宋_GB2312"/>
          <w:color w:val="000000"/>
          <w:sz w:val="32"/>
          <w:szCs w:val="32"/>
        </w:rPr>
        <w:t>指按规定用于烈士和牺牲、病故人员家属的一次性和定期抚恤金、丧葬补助费以及烈士褒扬金。</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13.卫生健康（210类）行政事业单位医疗（11款）行政单位医疗（01项）：指财政部门安排的行政单位（包括实行公务员管理的事业单位）基本医疗保险缴费经费，未参加医疗保险的行政单位的公费医疗经费，按国家规定享受离休人员、红军老战士待遇人员的医疗经费。</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14.卫生健康（210类）公共卫生（04款）重大公共卫生服务（09项）：指反映重大疾病、重大传染病预防控制等重大公共卫生服务项目支出。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15.卫生健康（210类）行政事业单位医疗（11款）公务员医疗补助（03项）：指财政部门安排的公务员医疗补助经费。</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16.卫生健康（210类）行政事业单位医疗（11款）其他行政事业单位医疗支出（99项）：其他用于行政事业单位医疗方面的支出。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17.节能环保支出（211类）污染防治（03款）水体（02项）</w:t>
      </w:r>
      <w:r>
        <w:rPr>
          <w:rFonts w:ascii="仿宋_GB2312" w:hAnsi="Cambria" w:eastAsia="仿宋_GB2312" w:cs="仿宋_GB2312"/>
          <w:color w:val="000000"/>
          <w:sz w:val="32"/>
          <w:szCs w:val="32"/>
        </w:rPr>
        <w:t>:</w:t>
      </w:r>
      <w:r>
        <w:rPr>
          <w:rFonts w:hint="eastAsia" w:ascii="仿宋_GB2312" w:hAnsi="Cambria" w:eastAsia="仿宋_GB2312" w:cs="仿宋_GB2312"/>
          <w:color w:val="000000"/>
          <w:sz w:val="32"/>
          <w:szCs w:val="32"/>
        </w:rPr>
        <w:t>指反映政府在排水、污水处理、水污染防治、湖库生态环境保护、水源地保护、国土江河综合整治、河流治理与保护、地下水修复与保护等方面的支出。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18.农林水支出（213类）农业农村（01款）其他农业农村支出（99项）</w:t>
      </w:r>
      <w:r>
        <w:rPr>
          <w:rFonts w:ascii="仿宋_GB2312" w:hAnsi="Cambria" w:eastAsia="仿宋_GB2312" w:cs="仿宋_GB2312"/>
          <w:color w:val="000000"/>
          <w:sz w:val="32"/>
          <w:szCs w:val="32"/>
        </w:rPr>
        <w:t xml:space="preserve">: </w:t>
      </w:r>
      <w:r>
        <w:rPr>
          <w:rFonts w:hint="eastAsia" w:ascii="仿宋_GB2312" w:hAnsi="Cambria" w:eastAsia="仿宋_GB2312" w:cs="仿宋_GB2312"/>
          <w:color w:val="000000"/>
          <w:sz w:val="32"/>
          <w:szCs w:val="32"/>
        </w:rPr>
        <w:t>指其他用于农业农村反面的支出。</w:t>
      </w:r>
    </w:p>
    <w:p>
      <w:pPr>
        <w:spacing w:line="600" w:lineRule="exact"/>
        <w:ind w:firstLine="640"/>
        <w:rPr>
          <w:rFonts w:ascii="仿宋_GB2312" w:hAnsi="Cambria" w:eastAsia="仿宋_GB2312" w:cs="仿宋_GB2312"/>
          <w:color w:val="000000"/>
          <w:sz w:val="32"/>
          <w:szCs w:val="32"/>
        </w:rPr>
      </w:pPr>
      <w:r>
        <w:rPr>
          <w:rFonts w:hint="eastAsia" w:ascii="仿宋_GB2312" w:eastAsia="仿宋_GB2312"/>
          <w:sz w:val="32"/>
          <w:szCs w:val="32"/>
        </w:rPr>
        <w:t>19</w:t>
      </w:r>
      <w:r>
        <w:rPr>
          <w:rFonts w:hint="eastAsia" w:ascii="仿宋_GB2312" w:hAnsi="Cambria" w:eastAsia="仿宋_GB2312" w:cs="仿宋_GB2312"/>
          <w:color w:val="000000"/>
          <w:sz w:val="32"/>
          <w:szCs w:val="32"/>
        </w:rPr>
        <w:t>.农林水支出（213类）其他农林水支出（99款）其他农林水支出（99项）</w:t>
      </w:r>
      <w:r>
        <w:rPr>
          <w:rFonts w:ascii="仿宋_GB2312" w:hAnsi="Cambria" w:eastAsia="仿宋_GB2312" w:cs="仿宋_GB2312"/>
          <w:color w:val="000000"/>
          <w:sz w:val="32"/>
          <w:szCs w:val="32"/>
        </w:rPr>
        <w:t xml:space="preserve">: </w:t>
      </w:r>
      <w:r>
        <w:rPr>
          <w:rFonts w:hint="eastAsia" w:ascii="仿宋_GB2312" w:hAnsi="Cambria" w:eastAsia="仿宋_GB2312" w:cs="仿宋_GB2312"/>
          <w:color w:val="000000"/>
          <w:sz w:val="32"/>
          <w:szCs w:val="32"/>
        </w:rPr>
        <w:t>指反映除化解债务支出以外其他用于农林水方面的支出。</w:t>
      </w:r>
    </w:p>
    <w:p>
      <w:pPr>
        <w:ind w:firstLine="640" w:firstLineChars="200"/>
        <w:rPr>
          <w:rFonts w:ascii="仿宋_GB2312" w:eastAsia="仿宋_GB2312"/>
          <w:sz w:val="32"/>
          <w:szCs w:val="32"/>
        </w:rPr>
      </w:pPr>
      <w:r>
        <w:rPr>
          <w:rFonts w:hint="eastAsia" w:ascii="仿宋_GB2312" w:eastAsia="仿宋_GB2312"/>
          <w:sz w:val="32"/>
          <w:szCs w:val="32"/>
        </w:rPr>
        <w:t>20</w:t>
      </w:r>
      <w:r>
        <w:rPr>
          <w:rFonts w:ascii="仿宋_GB2312" w:eastAsia="仿宋_GB2312"/>
          <w:sz w:val="32"/>
          <w:szCs w:val="32"/>
        </w:rPr>
        <w:t>.</w:t>
      </w:r>
      <w:r>
        <w:rPr>
          <w:rFonts w:hint="eastAsia" w:ascii="仿宋_GB2312" w:eastAsia="仿宋_GB2312"/>
          <w:sz w:val="32"/>
          <w:szCs w:val="32"/>
        </w:rPr>
        <w:t>交通运输支出（214类）公路水路运输（01款）行政运行（01项）：指反映行政单位（包括实行公务员管理的事业单位）的基本支出。</w:t>
      </w:r>
    </w:p>
    <w:p>
      <w:pPr>
        <w:ind w:firstLine="420" w:firstLineChars="200"/>
        <w:rPr>
          <w:rFonts w:ascii="仿宋_GB2312" w:eastAsia="仿宋_GB2312"/>
          <w:sz w:val="32"/>
          <w:szCs w:val="32"/>
        </w:rPr>
      </w:pPr>
      <w:r>
        <w:rPr>
          <w:rFonts w:hint="eastAsia"/>
        </w:rPr>
        <w:t xml:space="preserve">  </w:t>
      </w:r>
      <w:r>
        <w:rPr>
          <w:rFonts w:hint="eastAsia" w:ascii="仿宋_GB2312" w:eastAsia="仿宋_GB2312"/>
          <w:sz w:val="32"/>
          <w:szCs w:val="32"/>
        </w:rPr>
        <w:t>21</w:t>
      </w:r>
      <w:r>
        <w:rPr>
          <w:rFonts w:ascii="仿宋_GB2312" w:eastAsia="仿宋_GB2312"/>
          <w:sz w:val="32"/>
          <w:szCs w:val="32"/>
        </w:rPr>
        <w:t>.</w:t>
      </w:r>
      <w:r>
        <w:rPr>
          <w:rFonts w:hint="eastAsia" w:ascii="仿宋_GB2312" w:eastAsia="仿宋_GB2312"/>
          <w:sz w:val="32"/>
          <w:szCs w:val="32"/>
        </w:rPr>
        <w:t>交通运输支出（214类）公路水路运输（01款）公路建设（04项）：指反映新建公路支出，公路改建支出，特大型桥建设支出，公路客货运站（场）建设支出。</w:t>
      </w:r>
    </w:p>
    <w:p>
      <w:pPr>
        <w:ind w:firstLine="420" w:firstLineChars="200"/>
        <w:rPr>
          <w:rFonts w:ascii="仿宋_GB2312" w:eastAsia="仿宋_GB2312"/>
          <w:sz w:val="32"/>
          <w:szCs w:val="32"/>
        </w:rPr>
      </w:pPr>
      <w:r>
        <w:rPr>
          <w:rFonts w:hint="eastAsia"/>
        </w:rPr>
        <w:t xml:space="preserve"> </w:t>
      </w:r>
      <w:r>
        <w:rPr>
          <w:rFonts w:hint="eastAsia" w:ascii="仿宋_GB2312" w:eastAsia="仿宋_GB2312"/>
          <w:sz w:val="32"/>
          <w:szCs w:val="32"/>
        </w:rPr>
        <w:t>2</w:t>
      </w:r>
      <w:r>
        <w:rPr>
          <w:rFonts w:ascii="仿宋_GB2312" w:eastAsia="仿宋_GB2312"/>
          <w:sz w:val="32"/>
          <w:szCs w:val="32"/>
        </w:rPr>
        <w:t>2.</w:t>
      </w:r>
      <w:r>
        <w:rPr>
          <w:rFonts w:hint="eastAsia" w:ascii="仿宋_GB2312" w:eastAsia="仿宋_GB2312"/>
          <w:sz w:val="32"/>
          <w:szCs w:val="32"/>
        </w:rPr>
        <w:t>交通运输支出（214类）公路水路运输（01款）公路养护（06项）：指反映公路养护支出。</w:t>
      </w:r>
    </w:p>
    <w:p>
      <w:pPr>
        <w:ind w:firstLine="420" w:firstLineChars="200"/>
        <w:rPr>
          <w:rFonts w:ascii="仿宋_GB2312" w:eastAsia="仿宋_GB2312"/>
          <w:sz w:val="32"/>
          <w:szCs w:val="32"/>
        </w:rPr>
      </w:pPr>
      <w:r>
        <w:rPr>
          <w:rFonts w:hint="eastAsia"/>
        </w:rPr>
        <w:t xml:space="preserve"> </w:t>
      </w:r>
      <w:r>
        <w:rPr>
          <w:rFonts w:hint="eastAsia" w:ascii="仿宋_GB2312" w:eastAsia="仿宋_GB2312"/>
          <w:sz w:val="32"/>
          <w:szCs w:val="32"/>
        </w:rPr>
        <w:t>23</w:t>
      </w:r>
      <w:r>
        <w:rPr>
          <w:rFonts w:ascii="仿宋_GB2312" w:eastAsia="仿宋_GB2312"/>
          <w:sz w:val="32"/>
          <w:szCs w:val="32"/>
        </w:rPr>
        <w:t>.</w:t>
      </w:r>
      <w:r>
        <w:rPr>
          <w:rFonts w:hint="eastAsia" w:ascii="仿宋_GB2312" w:eastAsia="仿宋_GB2312"/>
          <w:sz w:val="32"/>
          <w:szCs w:val="32"/>
        </w:rPr>
        <w:t>交通运输支出（214类）公路水路运输（01款）公路和运输安全（10项）：指反映公路和运输安全支出。</w:t>
      </w:r>
    </w:p>
    <w:p>
      <w:pPr>
        <w:ind w:firstLine="422" w:firstLineChars="200"/>
        <w:rPr>
          <w:rFonts w:ascii="仿宋_GB2312" w:eastAsia="仿宋_GB2312"/>
          <w:sz w:val="32"/>
          <w:szCs w:val="32"/>
        </w:rPr>
      </w:pPr>
      <w:r>
        <w:rPr>
          <w:rFonts w:hint="eastAsia"/>
          <w:b/>
        </w:rPr>
        <w:t xml:space="preserve"> </w:t>
      </w:r>
      <w:r>
        <w:rPr>
          <w:rFonts w:hint="eastAsia" w:ascii="仿宋_GB2312" w:eastAsia="仿宋_GB2312"/>
          <w:sz w:val="32"/>
          <w:szCs w:val="32"/>
        </w:rPr>
        <w:t>24</w:t>
      </w:r>
      <w:r>
        <w:rPr>
          <w:rFonts w:ascii="仿宋_GB2312" w:eastAsia="仿宋_GB2312"/>
          <w:sz w:val="32"/>
          <w:szCs w:val="32"/>
        </w:rPr>
        <w:t>.</w:t>
      </w:r>
      <w:r>
        <w:rPr>
          <w:rFonts w:hint="eastAsia" w:ascii="仿宋_GB2312" w:eastAsia="仿宋_GB2312"/>
          <w:sz w:val="32"/>
          <w:szCs w:val="32"/>
        </w:rPr>
        <w:t>交通运输支出（214类）公路水路运输（01款）公路运输管理（12项）：指反映公路运输管理支出和公路路政管理支出。</w:t>
      </w:r>
    </w:p>
    <w:p>
      <w:pPr>
        <w:ind w:firstLine="420" w:firstLineChars="199"/>
        <w:rPr>
          <w:rFonts w:ascii="仿宋_GB2312" w:eastAsia="仿宋_GB2312"/>
          <w:sz w:val="32"/>
          <w:szCs w:val="32"/>
        </w:rPr>
      </w:pPr>
      <w:r>
        <w:rPr>
          <w:rFonts w:hint="eastAsia"/>
          <w:b/>
        </w:rPr>
        <w:t xml:space="preserve"> </w:t>
      </w:r>
      <w:r>
        <w:rPr>
          <w:rFonts w:hint="eastAsia" w:ascii="仿宋_GB2312" w:eastAsia="仿宋_GB2312"/>
          <w:sz w:val="32"/>
          <w:szCs w:val="32"/>
        </w:rPr>
        <w:t>25</w:t>
      </w:r>
      <w:r>
        <w:rPr>
          <w:rFonts w:ascii="仿宋_GB2312" w:eastAsia="仿宋_GB2312"/>
          <w:sz w:val="32"/>
          <w:szCs w:val="32"/>
        </w:rPr>
        <w:t>.</w:t>
      </w:r>
      <w:r>
        <w:rPr>
          <w:rFonts w:hint="eastAsia" w:ascii="仿宋_GB2312" w:eastAsia="仿宋_GB2312"/>
          <w:sz w:val="32"/>
          <w:szCs w:val="32"/>
        </w:rPr>
        <w:t>交通运输支出（214类）公路水路运输（01款）其他公路水路运输支出（99项）：指反映除上述项目以外其他用于公路水路运输的支出。</w:t>
      </w:r>
    </w:p>
    <w:p>
      <w:pPr>
        <w:ind w:firstLine="640" w:firstLineChars="200"/>
        <w:rPr>
          <w:rFonts w:ascii="仿宋_GB2312" w:eastAsia="仿宋_GB2312"/>
          <w:sz w:val="32"/>
          <w:szCs w:val="32"/>
        </w:rPr>
      </w:pPr>
      <w:r>
        <w:rPr>
          <w:rFonts w:hint="eastAsia" w:ascii="仿宋_GB2312" w:eastAsia="仿宋_GB2312"/>
          <w:sz w:val="32"/>
          <w:szCs w:val="32"/>
        </w:rPr>
        <w:t>26</w:t>
      </w:r>
      <w:r>
        <w:rPr>
          <w:rFonts w:ascii="仿宋_GB2312" w:eastAsia="仿宋_GB2312"/>
          <w:sz w:val="32"/>
          <w:szCs w:val="32"/>
        </w:rPr>
        <w:t>.</w:t>
      </w:r>
      <w:r>
        <w:rPr>
          <w:rFonts w:hint="eastAsia" w:ascii="仿宋_GB2312" w:eastAsia="仿宋_GB2312"/>
          <w:sz w:val="32"/>
          <w:szCs w:val="32"/>
        </w:rPr>
        <w:t xml:space="preserve"> 交通运输支出（214类）其他交通运输支出（99款）公共交通运营补助（01项）：指反映对公共交通运输企业的补助支出。</w:t>
      </w:r>
    </w:p>
    <w:p>
      <w:pPr>
        <w:ind w:firstLine="640" w:firstLineChars="200"/>
        <w:rPr>
          <w:rFonts w:ascii="仿宋_GB2312" w:eastAsia="仿宋_GB2312"/>
          <w:sz w:val="32"/>
          <w:szCs w:val="32"/>
        </w:rPr>
      </w:pPr>
      <w:r>
        <w:rPr>
          <w:rFonts w:hint="eastAsia" w:ascii="仿宋_GB2312" w:eastAsia="仿宋_GB2312"/>
          <w:sz w:val="32"/>
          <w:szCs w:val="32"/>
        </w:rPr>
        <w:t>27</w:t>
      </w:r>
      <w:r>
        <w:rPr>
          <w:rFonts w:ascii="仿宋_GB2312" w:eastAsia="仿宋_GB2312"/>
          <w:sz w:val="32"/>
          <w:szCs w:val="32"/>
        </w:rPr>
        <w:t>.</w:t>
      </w:r>
      <w:r>
        <w:rPr>
          <w:rFonts w:hint="eastAsia" w:ascii="仿宋_GB2312" w:eastAsia="仿宋_GB2312"/>
          <w:sz w:val="32"/>
          <w:szCs w:val="32"/>
        </w:rPr>
        <w:t>住房保障支出（221类）住房改革支出（02款）住房公积金（01项）：指反映行政事业单位按人力资源和社会保障部、财政部规定的基本工资和津贴补贴以及规定比例为职工缴纳的住房公积金。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30</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1</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2</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7"/>
          <w:rFonts w:ascii="黑体" w:hAnsi="黑体" w:eastAsia="黑体"/>
          <w:b w:val="0"/>
        </w:rPr>
      </w:pPr>
      <w:bookmarkStart w:id="46" w:name="_Toc15377226"/>
      <w:r>
        <w:rPr>
          <w:rFonts w:ascii="宋体"/>
          <w:b/>
          <w:sz w:val="44"/>
          <w:szCs w:val="44"/>
        </w:rPr>
        <w:br w:type="page"/>
      </w:r>
      <w:bookmarkStart w:id="47" w:name="_Toc15396614"/>
      <w:r>
        <w:rPr>
          <w:rFonts w:hint="eastAsia" w:ascii="黑体" w:hAnsi="黑体" w:eastAsia="黑体"/>
          <w:sz w:val="44"/>
          <w:szCs w:val="44"/>
        </w:rPr>
        <w:t>第</w:t>
      </w:r>
      <w:r>
        <w:rPr>
          <w:rStyle w:val="27"/>
          <w:rFonts w:hint="eastAsia" w:ascii="黑体" w:hAnsi="黑体" w:eastAsia="黑体"/>
          <w:b w:val="0"/>
        </w:rPr>
        <w:t>四部分 附件</w:t>
      </w:r>
      <w:bookmarkEnd w:id="47"/>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ascii="黑体" w:hAnsi="黑体" w:eastAsia="黑体"/>
          <w:color w:val="FF0000"/>
          <w:sz w:val="44"/>
          <w:szCs w:val="44"/>
        </w:rPr>
      </w:pPr>
      <w:bookmarkStart w:id="48" w:name="_Toc15396618"/>
      <w:r>
        <w:rPr>
          <w:rFonts w:hint="eastAsia"/>
          <w:sz w:val="32"/>
          <w:szCs w:val="32"/>
        </w:rPr>
        <w:t>部门预算项目支出绩效自评表（2023年度）</w:t>
      </w:r>
    </w:p>
    <w:p>
      <w:pPr>
        <w:pStyle w:val="11"/>
        <w:spacing w:line="560" w:lineRule="exact"/>
        <w:ind w:left="0" w:leftChars="0" w:firstLine="640"/>
        <w:rPr>
          <w:sz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spacing w:line="600" w:lineRule="exact"/>
        <w:jc w:val="center"/>
        <w:outlineLvl w:val="0"/>
        <w:rPr>
          <w:rFonts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46"/>
      <w:bookmarkEnd w:id="48"/>
      <w:bookmarkStart w:id="49" w:name="_Toc15396619"/>
    </w:p>
    <w:p>
      <w:pPr>
        <w:pStyle w:val="4"/>
        <w:rPr>
          <w:rFonts w:ascii="仿宋" w:hAnsi="仿宋" w:eastAsia="仿宋"/>
        </w:rPr>
      </w:pPr>
      <w:r>
        <w:rPr>
          <w:rFonts w:hint="eastAsia" w:ascii="仿宋" w:hAnsi="仿宋" w:eastAsia="仿宋"/>
          <w:b w:val="0"/>
        </w:rPr>
        <w:t>一、收</w:t>
      </w:r>
      <w:r>
        <w:rPr>
          <w:rStyle w:val="28"/>
          <w:rFonts w:hint="eastAsia" w:ascii="仿宋" w:hAnsi="仿宋" w:eastAsia="仿宋"/>
          <w:b w:val="0"/>
          <w:bCs w:val="0"/>
        </w:rPr>
        <w:t>入支出决算总表</w:t>
      </w:r>
      <w:bookmarkEnd w:id="49"/>
    </w:p>
    <w:p>
      <w:pPr>
        <w:pStyle w:val="4"/>
        <w:rPr>
          <w:rFonts w:ascii="仿宋" w:hAnsi="仿宋" w:eastAsia="仿宋"/>
        </w:rPr>
      </w:pPr>
      <w:bookmarkStart w:id="50" w:name="_Toc15396620"/>
      <w:r>
        <w:rPr>
          <w:rFonts w:hint="eastAsia" w:ascii="仿宋" w:hAnsi="仿宋" w:eastAsia="仿宋"/>
          <w:b w:val="0"/>
        </w:rPr>
        <w:t>二、收</w:t>
      </w:r>
      <w:r>
        <w:rPr>
          <w:rStyle w:val="28"/>
          <w:rFonts w:hint="eastAsia" w:ascii="仿宋" w:hAnsi="仿宋" w:eastAsia="仿宋"/>
          <w:b w:val="0"/>
          <w:bCs w:val="0"/>
        </w:rPr>
        <w:t>入决算表</w:t>
      </w:r>
      <w:bookmarkEnd w:id="50"/>
    </w:p>
    <w:p>
      <w:pPr>
        <w:pStyle w:val="4"/>
        <w:rPr>
          <w:rFonts w:ascii="仿宋" w:hAnsi="仿宋" w:eastAsia="仿宋"/>
        </w:rPr>
      </w:pPr>
      <w:bookmarkStart w:id="51"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51"/>
    </w:p>
    <w:p>
      <w:pPr>
        <w:pStyle w:val="4"/>
        <w:rPr>
          <w:rFonts w:ascii="仿宋" w:hAnsi="仿宋" w:eastAsia="仿宋"/>
          <w:b w:val="0"/>
        </w:rPr>
      </w:pPr>
      <w:bookmarkStart w:id="52" w:name="_Toc1539662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52"/>
    </w:p>
    <w:p>
      <w:pPr>
        <w:pStyle w:val="4"/>
        <w:rPr>
          <w:rStyle w:val="28"/>
          <w:rFonts w:ascii="仿宋" w:hAnsi="仿宋" w:eastAsia="仿宋"/>
          <w:b w:val="0"/>
          <w:bCs w:val="0"/>
        </w:rPr>
      </w:pPr>
      <w:bookmarkStart w:id="53"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53"/>
      <w:bookmarkStart w:id="54" w:name="_Toc15396624"/>
    </w:p>
    <w:p>
      <w:pPr>
        <w:pStyle w:val="4"/>
        <w:rPr>
          <w:rFonts w:ascii="仿宋" w:hAnsi="仿宋" w:eastAsia="仿宋"/>
        </w:rPr>
      </w:pPr>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54"/>
    </w:p>
    <w:p>
      <w:pPr>
        <w:pStyle w:val="4"/>
        <w:rPr>
          <w:rFonts w:ascii="仿宋" w:hAnsi="仿宋" w:eastAsia="仿宋"/>
        </w:rPr>
      </w:pPr>
      <w:bookmarkStart w:id="55"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55"/>
    </w:p>
    <w:p>
      <w:pPr>
        <w:pStyle w:val="4"/>
        <w:rPr>
          <w:rFonts w:ascii="仿宋" w:hAnsi="仿宋" w:eastAsia="仿宋"/>
        </w:rPr>
      </w:pPr>
      <w:bookmarkStart w:id="56"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56"/>
    </w:p>
    <w:p>
      <w:pPr>
        <w:pStyle w:val="4"/>
        <w:rPr>
          <w:rFonts w:ascii="仿宋" w:hAnsi="仿宋" w:eastAsia="仿宋"/>
        </w:rPr>
      </w:pPr>
      <w:bookmarkStart w:id="57"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57"/>
    </w:p>
    <w:p>
      <w:pPr>
        <w:pStyle w:val="4"/>
        <w:rPr>
          <w:rFonts w:ascii="仿宋" w:hAnsi="仿宋" w:eastAsia="仿宋"/>
        </w:rPr>
      </w:pPr>
      <w:bookmarkStart w:id="58" w:name="_Toc15396628"/>
      <w:r>
        <w:rPr>
          <w:rStyle w:val="28"/>
          <w:rFonts w:hint="eastAsia" w:ascii="仿宋" w:hAnsi="仿宋" w:eastAsia="仿宋"/>
          <w:b w:val="0"/>
          <w:bCs w:val="0"/>
        </w:rPr>
        <w:t>十、</w:t>
      </w:r>
      <w:bookmarkEnd w:id="58"/>
      <w:r>
        <w:rPr>
          <w:rFonts w:hint="eastAsia" w:ascii="仿宋" w:hAnsi="仿宋" w:eastAsia="仿宋"/>
          <w:b w:val="0"/>
        </w:rPr>
        <w:t>政</w:t>
      </w:r>
      <w:r>
        <w:rPr>
          <w:rStyle w:val="28"/>
          <w:rFonts w:hint="eastAsia" w:ascii="仿宋" w:hAnsi="仿宋" w:eastAsia="仿宋"/>
          <w:b w:val="0"/>
          <w:bCs w:val="0"/>
        </w:rPr>
        <w:t>府性基金预算财政拨款收入支出决算表</w:t>
      </w:r>
    </w:p>
    <w:p>
      <w:pPr>
        <w:pStyle w:val="4"/>
        <w:rPr>
          <w:rFonts w:ascii="仿宋" w:hAnsi="仿宋" w:eastAsia="仿宋"/>
        </w:rPr>
      </w:pPr>
      <w:bookmarkStart w:id="59" w:name="_Toc15396629"/>
      <w:r>
        <w:rPr>
          <w:rStyle w:val="28"/>
          <w:rFonts w:hint="eastAsia" w:ascii="仿宋" w:hAnsi="仿宋" w:eastAsia="仿宋"/>
          <w:b w:val="0"/>
          <w:bCs w:val="0"/>
        </w:rPr>
        <w:t>十一、</w:t>
      </w:r>
      <w:bookmarkEnd w:id="59"/>
      <w:r>
        <w:rPr>
          <w:rFonts w:hint="eastAsia" w:ascii="仿宋" w:hAnsi="仿宋" w:eastAsia="仿宋"/>
          <w:b w:val="0"/>
        </w:rPr>
        <w:t>国</w:t>
      </w:r>
      <w:r>
        <w:rPr>
          <w:rStyle w:val="28"/>
          <w:rFonts w:hint="eastAsia" w:ascii="仿宋" w:hAnsi="仿宋" w:eastAsia="仿宋"/>
          <w:b w:val="0"/>
          <w:bCs w:val="0"/>
        </w:rPr>
        <w:t>有资本经营预算财政拨款收入支出决算表</w:t>
      </w:r>
    </w:p>
    <w:p>
      <w:pPr>
        <w:pStyle w:val="4"/>
        <w:rPr>
          <w:rFonts w:ascii="仿宋" w:hAnsi="仿宋" w:eastAsia="仿宋"/>
        </w:rPr>
      </w:pPr>
      <w:bookmarkStart w:id="60" w:name="_Toc15396630"/>
      <w:r>
        <w:rPr>
          <w:rStyle w:val="28"/>
          <w:rFonts w:hint="eastAsia" w:ascii="仿宋" w:hAnsi="仿宋" w:eastAsia="仿宋"/>
          <w:b w:val="0"/>
          <w:bCs w:val="0"/>
        </w:rPr>
        <w:t>十二、</w:t>
      </w:r>
      <w:bookmarkEnd w:id="60"/>
      <w:r>
        <w:rPr>
          <w:rStyle w:val="28"/>
          <w:rFonts w:hint="eastAsia" w:ascii="仿宋" w:hAnsi="仿宋" w:eastAsia="仿宋"/>
          <w:b w:val="0"/>
          <w:bCs w:val="0"/>
        </w:rPr>
        <w:t>国有资本经营预算财政拨款支出决算表</w:t>
      </w:r>
    </w:p>
    <w:p>
      <w:pPr>
        <w:pStyle w:val="4"/>
        <w:rPr>
          <w:rFonts w:eastAsia="仿宋"/>
        </w:rPr>
      </w:pPr>
      <w:bookmarkStart w:id="61" w:name="_Toc15396631"/>
      <w:r>
        <w:rPr>
          <w:rStyle w:val="28"/>
          <w:rFonts w:hint="eastAsia" w:ascii="仿宋" w:hAnsi="仿宋" w:eastAsia="仿宋"/>
          <w:b w:val="0"/>
          <w:bCs w:val="0"/>
        </w:rPr>
        <w:t>十三、</w:t>
      </w:r>
      <w:bookmarkEnd w:id="61"/>
      <w:r>
        <w:rPr>
          <w:rStyle w:val="28"/>
          <w:rFonts w:hint="eastAsia" w:ascii="仿宋" w:hAnsi="仿宋" w:eastAsia="仿宋"/>
          <w:b w:val="0"/>
          <w:bCs w:val="0"/>
        </w:rPr>
        <w:t>财政拨款“三公”经费支出决算表</w:t>
      </w:r>
    </w:p>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黑体">
    <w:panose1 w:val="02010609060101010101"/>
    <w:charset w:val="86"/>
    <w:family w:val="decorative"/>
    <w:pitch w:val="default"/>
    <w:sig w:usb0="800002BF" w:usb1="38CF7CFA" w:usb2="00000016" w:usb3="00000000" w:csb0="00040001" w:csb1="00000000"/>
  </w:font>
  <w:font w:name="Arial">
    <w:panose1 w:val="020B0604020202020204"/>
    <w:charset w:val="00"/>
    <w:family w:val="roman"/>
    <w:pitch w:val="default"/>
    <w:sig w:usb0="E0002AFF" w:usb1="C0007843" w:usb2="00000009" w:usb3="00000000" w:csb0="400001FF" w:csb1="FFFF0000"/>
  </w:font>
  <w:font w:name="仿宋_GB2312">
    <w:altName w:val="仿宋"/>
    <w:panose1 w:val="00000000000000000000"/>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
    <w:altName w:val="Times New Roman"/>
    <w:panose1 w:val="00000000000000000000"/>
    <w:charset w:val="00"/>
    <w:family w:val="swiss"/>
    <w:pitch w:val="default"/>
    <w:sig w:usb0="00000000" w:usb1="00000000" w:usb2="00000000" w:usb3="00000000" w:csb0="00000000" w:csb1="00000000"/>
  </w:font>
  <w:font w:name="方正小标宋简体">
    <w:altName w:val="微软雅黑"/>
    <w:panose1 w:val="00000000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roman"/>
    <w:pitch w:val="default"/>
    <w:sig w:usb0="800002BF" w:usb1="38CF7CFA" w:usb2="00000016" w:usb3="00000000" w:csb0="00040001" w:csb1="00000000"/>
  </w:font>
  <w:font w:name="Arial">
    <w:panose1 w:val="020B0604020202020204"/>
    <w:charset w:val="00"/>
    <w:family w:val="modern"/>
    <w:pitch w:val="default"/>
    <w:sig w:usb0="E0002AFF" w:usb1="C0007843" w:usb2="00000009" w:usb3="00000000" w:csb0="400001FF" w:csb1="FFFF0000"/>
  </w:font>
  <w:font w:name="黑体">
    <w:panose1 w:val="02010609060101010101"/>
    <w:charset w:val="86"/>
    <w:family w:val="roman"/>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
    <w:altName w:val="Times New Roman"/>
    <w:panose1 w:val="00000000000000000000"/>
    <w:charset w:val="00"/>
    <w:family w:val="decorative"/>
    <w:pitch w:val="default"/>
    <w:sig w:usb0="00000000" w:usb1="00000000" w:usb2="00000000" w:usb3="00000000" w:csb0="00000000" w:csb1="00000000"/>
  </w:font>
  <w:font w:name="楷体_GB2312">
    <w:altName w:val="楷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
    <w:altName w:val="Times New Roman"/>
    <w:panose1 w:val="00000000000000000000"/>
    <w:charset w:val="00"/>
    <w:family w:val="modern"/>
    <w:pitch w:val="default"/>
    <w:sig w:usb0="00000000" w:usb1="00000000" w:usb2="00000000" w:usb3="00000000" w:csb0="00000000"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decorative"/>
    <w:pitch w:val="default"/>
    <w:sig w:usb0="00000000" w:usb1="00000000" w:usb2="00000000" w:usb3="00000000" w:csb0="00040000" w:csb1="00000000"/>
  </w:font>
  <w:font w:name="楷体">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E0002AFF" w:usb1="C0007843" w:usb2="00000009" w:usb3="00000000" w:csb0="400001FF" w:csb1="FFFF0000"/>
  </w:font>
  <w:font w:name="黑体">
    <w:panose1 w:val="02010609060101010101"/>
    <w:charset w:val="86"/>
    <w:family w:val="swiss"/>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Content>
      <w:p>
        <w:pPr>
          <w:pStyle w:val="10"/>
          <w:jc w:val="center"/>
        </w:pPr>
        <w:r>
          <w:fldChar w:fldCharType="begin"/>
        </w:r>
        <w:r>
          <w:instrText xml:space="preserve">PAGE   \* MERGEFORMAT</w:instrText>
        </w:r>
        <w:r>
          <w:fldChar w:fldCharType="separate"/>
        </w:r>
        <w:r>
          <w:rPr>
            <w:lang w:val="zh-CN"/>
          </w:rPr>
          <w:t>62</w:t>
        </w:r>
        <w:r>
          <w:fldChar w:fldCharType="end"/>
        </w:r>
      </w:p>
    </w:sdtContent>
  </w:sdt>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09482763">
    <w:nsid w:val="1272550B"/>
    <w:multiLevelType w:val="multilevel"/>
    <w:tmpl w:val="1272550B"/>
    <w:lvl w:ilvl="0" w:tentative="1">
      <w:start w:val="1"/>
      <w:numFmt w:val="japaneseCounting"/>
      <w:lvlText w:val="%1、"/>
      <w:lvlJc w:val="left"/>
      <w:pPr>
        <w:ind w:left="1360" w:hanging="720"/>
      </w:pPr>
      <w:rPr>
        <w:rFonts w:hint="default"/>
        <w:b w:val="0"/>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941138074">
    <w:nsid w:val="3818A09A"/>
    <w:multiLevelType w:val="singleLevel"/>
    <w:tmpl w:val="3818A09A"/>
    <w:lvl w:ilvl="0" w:tentative="1">
      <w:start w:val="1"/>
      <w:numFmt w:val="chineseCounting"/>
      <w:suff w:val="nothing"/>
      <w:lvlText w:val="%1、"/>
      <w:lvlJc w:val="left"/>
      <w:rPr>
        <w:rFonts w:hint="eastAsia"/>
      </w:rPr>
    </w:lvl>
  </w:abstractNum>
  <w:abstractNum w:abstractNumId="3479514348">
    <w:nsid w:val="CF652CEC"/>
    <w:multiLevelType w:val="singleLevel"/>
    <w:tmpl w:val="CF652CEC"/>
    <w:lvl w:ilvl="0" w:tentative="1">
      <w:start w:val="9"/>
      <w:numFmt w:val="chineseCounting"/>
      <w:suff w:val="nothing"/>
      <w:lvlText w:val="%1、"/>
      <w:lvlJc w:val="left"/>
      <w:rPr>
        <w:rFonts w:hint="eastAsia"/>
      </w:rPr>
    </w:lvl>
  </w:abstractNum>
  <w:abstractNum w:abstractNumId="3808035965">
    <w:nsid w:val="E2FA047D"/>
    <w:multiLevelType w:val="singleLevel"/>
    <w:tmpl w:val="E2FA047D"/>
    <w:lvl w:ilvl="0" w:tentative="1">
      <w:start w:val="3"/>
      <w:numFmt w:val="chineseCounting"/>
      <w:suff w:val="space"/>
      <w:lvlText w:val="第%1部分"/>
      <w:lvlJc w:val="left"/>
      <w:rPr>
        <w:rFonts w:hint="eastAsia" w:ascii="黑体" w:hAnsi="黑体" w:eastAsia="黑体" w:cs="黑体"/>
        <w:sz w:val="44"/>
        <w:szCs w:val="44"/>
      </w:rPr>
    </w:lvl>
  </w:abstractNum>
  <w:num w:numId="1">
    <w:abstractNumId w:val="941138074"/>
  </w:num>
  <w:num w:numId="2">
    <w:abstractNumId w:val="309482763"/>
  </w:num>
  <w:num w:numId="3">
    <w:abstractNumId w:val="3479514348"/>
  </w:num>
  <w:num w:numId="4">
    <w:abstractNumId w:val="38080359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xNDM1MjUwZDQyN2VmMTZmNGQ5MTMyYzhiZjY0Zm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577E3"/>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274C"/>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A71A5"/>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A35C6"/>
    <w:rsid w:val="005B2263"/>
    <w:rsid w:val="005B5C64"/>
    <w:rsid w:val="005B6E8A"/>
    <w:rsid w:val="005C25F1"/>
    <w:rsid w:val="005C5337"/>
    <w:rsid w:val="005C6BD0"/>
    <w:rsid w:val="005C6E44"/>
    <w:rsid w:val="005D1C8B"/>
    <w:rsid w:val="005D468D"/>
    <w:rsid w:val="005D5CED"/>
    <w:rsid w:val="005F10BC"/>
    <w:rsid w:val="005F1A4C"/>
    <w:rsid w:val="00605688"/>
    <w:rsid w:val="006070AF"/>
    <w:rsid w:val="00607440"/>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191C"/>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1384"/>
    <w:rsid w:val="008253BB"/>
    <w:rsid w:val="0083706E"/>
    <w:rsid w:val="008408F6"/>
    <w:rsid w:val="008423A5"/>
    <w:rsid w:val="00850625"/>
    <w:rsid w:val="00853718"/>
    <w:rsid w:val="008544A4"/>
    <w:rsid w:val="00855221"/>
    <w:rsid w:val="00860645"/>
    <w:rsid w:val="00871F71"/>
    <w:rsid w:val="00872FD8"/>
    <w:rsid w:val="00885AF4"/>
    <w:rsid w:val="008939CD"/>
    <w:rsid w:val="008B0D32"/>
    <w:rsid w:val="008B768C"/>
    <w:rsid w:val="008C4DB1"/>
    <w:rsid w:val="008C4EAF"/>
    <w:rsid w:val="008C5176"/>
    <w:rsid w:val="008C7FD0"/>
    <w:rsid w:val="008C7FD8"/>
    <w:rsid w:val="008E1DE7"/>
    <w:rsid w:val="008E51A8"/>
    <w:rsid w:val="008E707C"/>
    <w:rsid w:val="00900B08"/>
    <w:rsid w:val="0090195D"/>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E7367"/>
    <w:rsid w:val="00BF5BD6"/>
    <w:rsid w:val="00C03E31"/>
    <w:rsid w:val="00C33E72"/>
    <w:rsid w:val="00C354B2"/>
    <w:rsid w:val="00C35554"/>
    <w:rsid w:val="00C42709"/>
    <w:rsid w:val="00C533CC"/>
    <w:rsid w:val="00C5751C"/>
    <w:rsid w:val="00C61BFC"/>
    <w:rsid w:val="00C62B85"/>
    <w:rsid w:val="00C65438"/>
    <w:rsid w:val="00C86A96"/>
    <w:rsid w:val="00C87FD8"/>
    <w:rsid w:val="00C91381"/>
    <w:rsid w:val="00C91CBB"/>
    <w:rsid w:val="00C97B6C"/>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6C47"/>
    <w:rsid w:val="00EF77C6"/>
    <w:rsid w:val="00F05438"/>
    <w:rsid w:val="00F1361C"/>
    <w:rsid w:val="00F156F0"/>
    <w:rsid w:val="00F160C7"/>
    <w:rsid w:val="00F2408F"/>
    <w:rsid w:val="00F240E9"/>
    <w:rsid w:val="00F36D8F"/>
    <w:rsid w:val="00F417B1"/>
    <w:rsid w:val="00F45853"/>
    <w:rsid w:val="00F602DF"/>
    <w:rsid w:val="00F754A1"/>
    <w:rsid w:val="00F77740"/>
    <w:rsid w:val="00F81FD9"/>
    <w:rsid w:val="00F841AA"/>
    <w:rsid w:val="00F84A94"/>
    <w:rsid w:val="00F87E96"/>
    <w:rsid w:val="00FA23E8"/>
    <w:rsid w:val="00FD3CC1"/>
    <w:rsid w:val="00FF1E02"/>
    <w:rsid w:val="00FF30B4"/>
    <w:rsid w:val="03DC2831"/>
    <w:rsid w:val="07225C29"/>
    <w:rsid w:val="081B5E94"/>
    <w:rsid w:val="08C0216A"/>
    <w:rsid w:val="08FB2682"/>
    <w:rsid w:val="0A2032A3"/>
    <w:rsid w:val="0B8A37D8"/>
    <w:rsid w:val="0F5FFB2F"/>
    <w:rsid w:val="0FFFCF60"/>
    <w:rsid w:val="10C055FF"/>
    <w:rsid w:val="118107EC"/>
    <w:rsid w:val="11DD651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2186CC0"/>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666086E"/>
    <w:rsid w:val="48BF60AB"/>
    <w:rsid w:val="493C27E9"/>
    <w:rsid w:val="496F39ED"/>
    <w:rsid w:val="49FF41D3"/>
    <w:rsid w:val="4BE068DB"/>
    <w:rsid w:val="4BF6002B"/>
    <w:rsid w:val="4BFFC6BE"/>
    <w:rsid w:val="4ECE2238"/>
    <w:rsid w:val="51DB4B86"/>
    <w:rsid w:val="51F64DB0"/>
    <w:rsid w:val="55333C3E"/>
    <w:rsid w:val="5F67802D"/>
    <w:rsid w:val="5F7DC4F2"/>
    <w:rsid w:val="5FB36814"/>
    <w:rsid w:val="5FBB8E56"/>
    <w:rsid w:val="5FFB5535"/>
    <w:rsid w:val="61E448CA"/>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uiPriority w:val="1"/>
  </w:style>
  <w:style w:type="table" w:default="1" w:styleId="18">
    <w:name w:val="Normal Table"/>
    <w:unhideWhenUsed/>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Body Text First Indent 2"/>
    <w:basedOn w:val="7"/>
    <w:unhideWhenUsed/>
    <w:qFormat/>
    <w:uiPriority w:val="99"/>
    <w:pPr>
      <w:ind w:firstLine="420" w:firstLineChars="200"/>
    </w:pPr>
  </w:style>
  <w:style w:type="paragraph" w:styleId="12">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2"/>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9"/>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24</Pages>
  <Words>7796</Words>
  <Characters>1026</Characters>
  <Lines>8</Lines>
  <Paragraphs>17</Paragraphs>
  <ScaleCrop>false</ScaleCrop>
  <LinksUpToDate>false</LinksUpToDate>
  <CharactersWithSpaces>8805</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2023-08-03T02:35:00Z</cp:lastPrinted>
  <dcterms:modified xsi:type="dcterms:W3CDTF">2024-10-28T10:22:05Z</dcterms:modified>
  <dc:title>四川省***</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F71B5DA8010E4E71A587F48A4A7E94C2_12</vt:lpwstr>
  </property>
</Properties>
</file>