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77B4F8">
      <w:pPr>
        <w:pStyle w:val="2"/>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2023年度</w:t>
      </w:r>
    </w:p>
    <w:p w14:paraId="0583A2B0">
      <w:pPr>
        <w:pStyle w:val="2"/>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盐边县</w:t>
      </w:r>
      <w:r>
        <w:rPr>
          <w:rFonts w:hint="eastAsia" w:ascii="方正小标宋简体" w:hAnsi="宋体" w:eastAsia="方正小标宋简体"/>
          <w:sz w:val="44"/>
          <w:szCs w:val="44"/>
          <w:lang w:eastAsia="zh-CN"/>
        </w:rPr>
        <w:t>自然资源和规划</w:t>
      </w:r>
      <w:r>
        <w:rPr>
          <w:rFonts w:hint="eastAsia" w:ascii="方正小标宋简体" w:hAnsi="宋体" w:eastAsia="方正小标宋简体"/>
          <w:sz w:val="44"/>
          <w:szCs w:val="44"/>
        </w:rPr>
        <w:t>局单位决算</w:t>
      </w:r>
    </w:p>
    <w:p w14:paraId="1E9E40E5">
      <w:pPr>
        <w:adjustRightInd w:val="0"/>
        <w:snapToGrid w:val="0"/>
        <w:spacing w:line="360" w:lineRule="auto"/>
        <w:jc w:val="center"/>
        <w:outlineLvl w:val="0"/>
        <w:rPr>
          <w:rFonts w:ascii="方正小标宋简体" w:hAnsi="宋体" w:eastAsia="方正小标宋简体"/>
          <w:sz w:val="52"/>
          <w:szCs w:val="52"/>
        </w:rPr>
      </w:pPr>
    </w:p>
    <w:p w14:paraId="5085B301">
      <w:pPr>
        <w:widowControl/>
        <w:jc w:val="center"/>
        <w:rPr>
          <w:rFonts w:hint="eastAsia" w:ascii="黑体" w:hAnsi="黑体" w:eastAsia="黑体"/>
          <w:sz w:val="48"/>
          <w:szCs w:val="48"/>
        </w:rPr>
        <w:sectPr>
          <w:footerReference r:id="rId3" w:type="default"/>
          <w:pgSz w:w="11906" w:h="16838"/>
          <w:pgMar w:top="1440" w:right="1800" w:bottom="1440" w:left="1800" w:header="851" w:footer="992" w:gutter="0"/>
          <w:pgNumType w:fmt="decimal" w:start="1"/>
          <w:cols w:space="425" w:num="1"/>
          <w:titlePg/>
          <w:docGrid w:type="lines" w:linePitch="312" w:charSpace="0"/>
        </w:sectPr>
      </w:pPr>
    </w:p>
    <w:p w14:paraId="65CD72B3">
      <w:pPr>
        <w:widowControl/>
        <w:jc w:val="center"/>
        <w:rPr>
          <w:rFonts w:ascii="黑体" w:hAnsi="黑体" w:eastAsia="黑体"/>
          <w:sz w:val="48"/>
          <w:szCs w:val="48"/>
        </w:rPr>
      </w:pPr>
      <w:r>
        <w:rPr>
          <w:rFonts w:hint="eastAsia" w:ascii="黑体" w:hAnsi="黑体" w:eastAsia="黑体"/>
          <w:sz w:val="48"/>
          <w:szCs w:val="48"/>
        </w:rPr>
        <w:t>目录</w:t>
      </w:r>
    </w:p>
    <w:p w14:paraId="0C91747E">
      <w:pPr>
        <w:widowControl/>
        <w:jc w:val="center"/>
        <w:rPr>
          <w:rFonts w:ascii="黑体" w:hAnsi="黑体" w:eastAsia="黑体" w:cstheme="minorBidi"/>
          <w:sz w:val="28"/>
          <w:szCs w:val="28"/>
        </w:rPr>
      </w:pPr>
    </w:p>
    <w:p w14:paraId="769578BA">
      <w:pPr>
        <w:pStyle w:val="11"/>
      </w:pPr>
      <w:r>
        <w:rPr>
          <w:rFonts w:hint="eastAsia"/>
        </w:rPr>
        <w:t>公开时间：202</w:t>
      </w:r>
      <w:r>
        <w:rPr>
          <w:rFonts w:hint="eastAsia"/>
          <w:lang w:val="en-US" w:eastAsia="zh-CN"/>
        </w:rPr>
        <w:t>4</w:t>
      </w:r>
      <w:r>
        <w:rPr>
          <w:rFonts w:hint="eastAsia"/>
        </w:rPr>
        <w:t>年10月2</w:t>
      </w:r>
      <w:r>
        <w:rPr>
          <w:rFonts w:hint="eastAsia"/>
          <w:lang w:val="en-US" w:eastAsia="zh-CN"/>
        </w:rPr>
        <w:t>8</w:t>
      </w:r>
      <w:bookmarkStart w:id="59" w:name="_GoBack"/>
      <w:bookmarkEnd w:id="59"/>
      <w:r>
        <w:rPr>
          <w:rFonts w:hint="eastAsia"/>
        </w:rPr>
        <w:t>日</w:t>
      </w:r>
    </w:p>
    <w:p w14:paraId="0ECBF101"/>
    <w:p w14:paraId="78A93CC7">
      <w:pPr>
        <w:pStyle w:val="11"/>
        <w:adjustRightInd w:val="0"/>
        <w:snapToGrid w:val="0"/>
        <w:spacing w:before="0" w:line="440" w:lineRule="exact"/>
        <w:jc w:val="left"/>
        <w:rPr>
          <w:rFonts w:cstheme="minorBidi"/>
          <w:sz w:val="24"/>
          <w:szCs w:val="24"/>
        </w:rPr>
      </w:pPr>
      <w:r>
        <w:rPr>
          <w:rFonts w:hint="eastAsia"/>
          <w:sz w:val="24"/>
        </w:rPr>
        <w:t>第一部分部门概况</w:t>
      </w:r>
      <w:r>
        <w:ptab w:relativeTo="margin" w:alignment="right" w:leader="dot"/>
      </w:r>
      <w:r>
        <w:rPr>
          <w:sz w:val="24"/>
          <w:szCs w:val="24"/>
        </w:rPr>
        <w:t>1</w:t>
      </w:r>
    </w:p>
    <w:p w14:paraId="45463F01">
      <w:pPr>
        <w:pStyle w:val="12"/>
        <w:adjustRightInd w:val="0"/>
        <w:snapToGrid w:val="0"/>
        <w:spacing w:line="440" w:lineRule="exact"/>
        <w:jc w:val="left"/>
        <w:rPr>
          <w:sz w:val="24"/>
        </w:rPr>
      </w:pPr>
      <w:r>
        <w:rPr>
          <w:rFonts w:hint="eastAsia"/>
          <w:sz w:val="24"/>
        </w:rPr>
        <w:t>一、</w:t>
      </w:r>
      <w:r>
        <w:rPr>
          <w:rFonts w:hint="eastAsia"/>
          <w:sz w:val="24"/>
          <w:lang w:eastAsia="zh-CN"/>
        </w:rPr>
        <w:t>主要</w:t>
      </w:r>
      <w:r>
        <w:rPr>
          <w:rFonts w:hint="eastAsia"/>
          <w:sz w:val="24"/>
        </w:rPr>
        <w:t>职责</w:t>
      </w:r>
      <w:r>
        <w:ptab w:relativeTo="margin" w:alignment="right" w:leader="dot"/>
      </w:r>
      <w:r>
        <w:rPr>
          <w:rFonts w:ascii="仿宋" w:hAnsi="仿宋" w:eastAsia="仿宋" w:cs="Times New Roman"/>
          <w:kern w:val="2"/>
          <w:sz w:val="24"/>
          <w:szCs w:val="24"/>
          <w:lang w:val="en-US" w:eastAsia="zh-CN" w:bidi="ar-SA"/>
        </w:rPr>
        <w:t>1</w:t>
      </w:r>
    </w:p>
    <w:p w14:paraId="240FF986">
      <w:pPr>
        <w:pStyle w:val="12"/>
        <w:adjustRightInd w:val="0"/>
        <w:snapToGrid w:val="0"/>
        <w:spacing w:line="440" w:lineRule="exact"/>
        <w:jc w:val="left"/>
        <w:rPr>
          <w:rFonts w:ascii="仿宋" w:hAnsi="仿宋" w:eastAsia="仿宋" w:cstheme="minorBidi"/>
          <w:sz w:val="24"/>
        </w:rPr>
      </w:pPr>
      <w:r>
        <w:rPr>
          <w:rFonts w:hint="eastAsia"/>
          <w:sz w:val="24"/>
        </w:rPr>
        <w:t>二、机构设置</w:t>
      </w:r>
      <w:r>
        <w:ptab w:relativeTo="margin" w:alignment="right" w:leader="dot"/>
      </w:r>
      <w:r>
        <w:rPr>
          <w:rFonts w:ascii="仿宋" w:hAnsi="仿宋" w:eastAsia="仿宋" w:cs="Times New Roman"/>
          <w:kern w:val="2"/>
          <w:sz w:val="24"/>
          <w:szCs w:val="24"/>
          <w:lang w:val="en-US" w:eastAsia="zh-CN" w:bidi="ar-SA"/>
        </w:rPr>
        <w:t>1</w:t>
      </w:r>
    </w:p>
    <w:p w14:paraId="6C06983E">
      <w:pPr>
        <w:pStyle w:val="11"/>
        <w:adjustRightInd w:val="0"/>
        <w:snapToGrid w:val="0"/>
        <w:spacing w:before="0" w:line="440" w:lineRule="exact"/>
        <w:jc w:val="left"/>
        <w:rPr>
          <w:rFonts w:hint="eastAsia" w:eastAsia="仿宋"/>
          <w:sz w:val="24"/>
          <w:szCs w:val="24"/>
          <w:lang w:eastAsia="zh-CN"/>
        </w:rPr>
      </w:pPr>
      <w:r>
        <w:rPr>
          <w:rFonts w:hint="eastAsia"/>
          <w:sz w:val="24"/>
        </w:rPr>
        <w:t>第二部分 2022年度部门决算情况说明</w:t>
      </w:r>
      <w:r>
        <w:ptab w:relativeTo="margin" w:alignment="right" w:leader="dot"/>
      </w:r>
      <w:r>
        <w:rPr>
          <w:rFonts w:hint="eastAsia" w:ascii="仿宋" w:hAnsi="仿宋" w:eastAsia="仿宋" w:cs="Times New Roman"/>
          <w:kern w:val="2"/>
          <w:sz w:val="24"/>
          <w:szCs w:val="24"/>
          <w:lang w:val="en-US" w:eastAsia="zh-CN" w:bidi="ar-SA"/>
        </w:rPr>
        <w:t>3</w:t>
      </w:r>
    </w:p>
    <w:p w14:paraId="2DF094D8">
      <w:pPr>
        <w:pStyle w:val="12"/>
        <w:adjustRightInd w:val="0"/>
        <w:snapToGrid w:val="0"/>
        <w:spacing w:line="440" w:lineRule="exact"/>
        <w:jc w:val="left"/>
        <w:rPr>
          <w:rFonts w:hint="eastAsia" w:ascii="仿宋" w:hAnsi="仿宋" w:eastAsia="宋体" w:cstheme="minorBidi"/>
          <w:sz w:val="24"/>
          <w:lang w:val="en-US" w:eastAsia="zh-CN"/>
        </w:rPr>
      </w:pPr>
      <w:r>
        <w:rPr>
          <w:rFonts w:hint="eastAsia"/>
          <w:sz w:val="24"/>
        </w:rPr>
        <w:t>一、收入支出决算总体情况说明</w:t>
      </w:r>
      <w:r>
        <w:ptab w:relativeTo="margin" w:alignment="right" w:leader="dot"/>
      </w:r>
      <w:r>
        <w:rPr>
          <w:rFonts w:hint="eastAsia" w:ascii="仿宋" w:hAnsi="仿宋" w:eastAsia="仿宋" w:cs="Times New Roman"/>
          <w:kern w:val="2"/>
          <w:sz w:val="24"/>
          <w:szCs w:val="24"/>
          <w:lang w:val="en-US" w:eastAsia="zh-CN" w:bidi="ar-SA"/>
        </w:rPr>
        <w:t>3</w:t>
      </w:r>
    </w:p>
    <w:p w14:paraId="1071B84B">
      <w:pPr>
        <w:pStyle w:val="12"/>
        <w:adjustRightInd w:val="0"/>
        <w:snapToGrid w:val="0"/>
        <w:spacing w:line="440" w:lineRule="exact"/>
        <w:jc w:val="left"/>
        <w:rPr>
          <w:rFonts w:hint="eastAsia" w:ascii="仿宋" w:hAnsi="仿宋" w:eastAsia="宋体" w:cstheme="minorBidi"/>
          <w:sz w:val="24"/>
          <w:lang w:val="en-US" w:eastAsia="zh-CN"/>
        </w:rPr>
      </w:pPr>
      <w:r>
        <w:rPr>
          <w:rFonts w:hint="eastAsia"/>
          <w:sz w:val="24"/>
        </w:rPr>
        <w:t>二、收入决算情况说明</w:t>
      </w:r>
      <w:r>
        <w:ptab w:relativeTo="margin" w:alignment="right" w:leader="dot"/>
      </w:r>
      <w:r>
        <w:rPr>
          <w:rFonts w:hint="eastAsia" w:ascii="仿宋" w:hAnsi="仿宋" w:eastAsia="仿宋" w:cs="Times New Roman"/>
          <w:kern w:val="2"/>
          <w:sz w:val="24"/>
          <w:szCs w:val="24"/>
          <w:lang w:val="en-US" w:eastAsia="zh-CN" w:bidi="ar-SA"/>
        </w:rPr>
        <w:t>3</w:t>
      </w:r>
    </w:p>
    <w:p w14:paraId="636847B3">
      <w:pPr>
        <w:pStyle w:val="12"/>
        <w:adjustRightInd w:val="0"/>
        <w:snapToGrid w:val="0"/>
        <w:spacing w:line="440" w:lineRule="exact"/>
        <w:jc w:val="left"/>
        <w:rPr>
          <w:rFonts w:hint="eastAsia" w:ascii="仿宋" w:hAnsi="仿宋" w:eastAsia="宋体" w:cstheme="minorBidi"/>
          <w:sz w:val="24"/>
          <w:lang w:val="en-US" w:eastAsia="zh-CN"/>
        </w:rPr>
      </w:pPr>
      <w:r>
        <w:rPr>
          <w:rFonts w:hint="eastAsia"/>
          <w:sz w:val="24"/>
        </w:rPr>
        <w:t>三、支出决算情况说明</w:t>
      </w:r>
      <w:r>
        <w:ptab w:relativeTo="margin" w:alignment="right" w:leader="dot"/>
      </w:r>
      <w:r>
        <w:rPr>
          <w:rFonts w:hint="eastAsia" w:ascii="仿宋" w:hAnsi="仿宋" w:eastAsia="仿宋" w:cs="Times New Roman"/>
          <w:kern w:val="2"/>
          <w:sz w:val="24"/>
          <w:szCs w:val="24"/>
          <w:lang w:val="en-US" w:eastAsia="zh-CN" w:bidi="ar-SA"/>
        </w:rPr>
        <w:t>4</w:t>
      </w:r>
    </w:p>
    <w:p w14:paraId="06F0A03A">
      <w:pPr>
        <w:pStyle w:val="12"/>
        <w:adjustRightInd w:val="0"/>
        <w:snapToGrid w:val="0"/>
        <w:spacing w:line="440" w:lineRule="exact"/>
        <w:jc w:val="left"/>
        <w:rPr>
          <w:rFonts w:hint="eastAsia" w:ascii="仿宋" w:hAnsi="仿宋" w:eastAsia="宋体" w:cstheme="minorBidi"/>
          <w:sz w:val="24"/>
          <w:lang w:val="en-US" w:eastAsia="zh-CN"/>
        </w:rPr>
      </w:pPr>
      <w:r>
        <w:rPr>
          <w:rFonts w:hint="eastAsia"/>
          <w:sz w:val="24"/>
        </w:rPr>
        <w:t>四、财政拨款收入支出决算总体情况说明</w:t>
      </w:r>
      <w:r>
        <w:ptab w:relativeTo="margin" w:alignment="right" w:leader="dot"/>
      </w:r>
      <w:r>
        <w:rPr>
          <w:rFonts w:hint="eastAsia" w:ascii="仿宋" w:hAnsi="仿宋" w:eastAsia="仿宋" w:cs="Times New Roman"/>
          <w:kern w:val="2"/>
          <w:sz w:val="24"/>
          <w:szCs w:val="24"/>
          <w:lang w:val="en-US" w:eastAsia="zh-CN" w:bidi="ar-SA"/>
        </w:rPr>
        <w:t>5</w:t>
      </w:r>
    </w:p>
    <w:p w14:paraId="1A46C969">
      <w:pPr>
        <w:pStyle w:val="12"/>
        <w:adjustRightInd w:val="0"/>
        <w:snapToGrid w:val="0"/>
        <w:spacing w:line="440" w:lineRule="exact"/>
        <w:jc w:val="left"/>
        <w:rPr>
          <w:rFonts w:hint="eastAsia" w:ascii="仿宋" w:hAnsi="仿宋" w:eastAsia="宋体" w:cstheme="minorBidi"/>
          <w:sz w:val="24"/>
          <w:lang w:val="en-US" w:eastAsia="zh-CN"/>
        </w:rPr>
      </w:pPr>
      <w:r>
        <w:rPr>
          <w:rFonts w:hint="eastAsia"/>
          <w:sz w:val="24"/>
        </w:rPr>
        <w:t>五、一般公共预算财政拨款支出决算情况说明</w:t>
      </w:r>
      <w:r>
        <w:ptab w:relativeTo="margin" w:alignment="right" w:leader="dot"/>
      </w:r>
      <w:r>
        <w:rPr>
          <w:rFonts w:hint="eastAsia" w:ascii="仿宋" w:hAnsi="仿宋" w:eastAsia="仿宋" w:cs="Times New Roman"/>
          <w:kern w:val="2"/>
          <w:sz w:val="24"/>
          <w:szCs w:val="24"/>
          <w:lang w:val="en-US" w:eastAsia="zh-CN" w:bidi="ar-SA"/>
        </w:rPr>
        <w:t>5</w:t>
      </w:r>
    </w:p>
    <w:p w14:paraId="0B379631">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ptab w:relativeTo="margin" w:alignment="right" w:leader="dot"/>
      </w:r>
      <w:r>
        <w:rPr>
          <w:rFonts w:hint="eastAsia"/>
          <w:lang w:val="en-US" w:eastAsia="zh-CN"/>
        </w:rPr>
        <w:t>10</w:t>
      </w:r>
    </w:p>
    <w:p w14:paraId="6F46EBB8">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七、财政拨款“三公”经费支出决算情况说明</w:t>
      </w:r>
      <w:r>
        <w:ptab w:relativeTo="margin" w:alignment="right" w:leader="dot"/>
      </w:r>
      <w:r>
        <w:rPr>
          <w:rFonts w:hint="eastAsia" w:ascii="仿宋" w:hAnsi="仿宋" w:eastAsia="仿宋" w:cs="Times New Roman"/>
          <w:kern w:val="2"/>
          <w:sz w:val="24"/>
          <w:szCs w:val="24"/>
          <w:lang w:val="en-US" w:eastAsia="zh-CN" w:bidi="ar-SA"/>
        </w:rPr>
        <w:t>10</w:t>
      </w:r>
    </w:p>
    <w:p w14:paraId="67793F90">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ptab w:relativeTo="margin" w:alignment="right" w:leader="dot"/>
      </w:r>
      <w:r>
        <w:rPr>
          <w:rFonts w:hint="eastAsia" w:ascii="仿宋" w:hAnsi="仿宋" w:eastAsia="仿宋" w:cs="Times New Roman"/>
          <w:kern w:val="2"/>
          <w:sz w:val="24"/>
          <w:szCs w:val="24"/>
          <w:lang w:val="en-US" w:eastAsia="zh-CN" w:bidi="ar-SA"/>
        </w:rPr>
        <w:t>12</w:t>
      </w:r>
    </w:p>
    <w:p w14:paraId="230FBD57">
      <w:pPr>
        <w:pStyle w:val="12"/>
        <w:adjustRightInd w:val="0"/>
        <w:snapToGrid w:val="0"/>
        <w:spacing w:line="440" w:lineRule="exact"/>
        <w:ind w:leftChars="0"/>
        <w:jc w:val="left"/>
        <w:rPr>
          <w:rFonts w:hint="default" w:eastAsia="宋体" w:asciiTheme="minorEastAsia" w:hAnsiTheme="minorEastAsia" w:cstheme="minorEastAsia"/>
          <w:sz w:val="24"/>
          <w:lang w:val="en-US" w:eastAsia="zh-CN"/>
        </w:rPr>
      </w:pPr>
      <w:r>
        <w:rPr>
          <w:rFonts w:hint="eastAsia" w:asciiTheme="minorEastAsia" w:hAnsiTheme="minorEastAsia" w:eastAsiaTheme="minorEastAsia" w:cstheme="minorEastAsia"/>
          <w:sz w:val="24"/>
        </w:rPr>
        <w:t>九、国有资本经营预算支出决算情况说明</w:t>
      </w:r>
      <w:r>
        <w:ptab w:relativeTo="margin" w:alignment="right" w:leader="dot"/>
      </w:r>
      <w:r>
        <w:rPr>
          <w:rFonts w:hint="eastAsia" w:ascii="仿宋" w:hAnsi="仿宋" w:eastAsia="仿宋" w:cs="Times New Roman"/>
          <w:kern w:val="2"/>
          <w:sz w:val="24"/>
          <w:szCs w:val="24"/>
          <w:lang w:val="en-US" w:eastAsia="zh-CN" w:bidi="ar-SA"/>
        </w:rPr>
        <w:t>12</w:t>
      </w:r>
    </w:p>
    <w:p w14:paraId="4035AE2C">
      <w:pPr>
        <w:adjustRightInd w:val="0"/>
        <w:snapToGrid w:val="0"/>
        <w:spacing w:line="440" w:lineRule="exact"/>
        <w:ind w:firstLine="420" w:firstLineChars="175"/>
        <w:jc w:val="left"/>
        <w:rPr>
          <w:rFonts w:hint="default" w:eastAsia="宋体" w:asciiTheme="minorEastAsia" w:hAnsiTheme="minorEastAsia" w:cstheme="minorEastAsia"/>
          <w:sz w:val="24"/>
          <w:lang w:val="en-US" w:eastAsia="zh-CN"/>
        </w:rPr>
      </w:pPr>
      <w:r>
        <w:rPr>
          <w:rStyle w:val="17"/>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rPr>
        <w:tab/>
      </w:r>
      <w:r>
        <w:ptab w:relativeTo="margin" w:alignment="right" w:leader="dot"/>
      </w:r>
      <w:r>
        <w:rPr>
          <w:rFonts w:hint="eastAsia" w:ascii="仿宋" w:hAnsi="仿宋" w:eastAsia="仿宋" w:cs="Times New Roman"/>
          <w:kern w:val="2"/>
          <w:sz w:val="24"/>
          <w:szCs w:val="24"/>
          <w:lang w:val="en-US" w:eastAsia="zh-CN" w:bidi="ar-SA"/>
        </w:rPr>
        <w:t>12</w:t>
      </w:r>
    </w:p>
    <w:p w14:paraId="28ED944B">
      <w:pPr>
        <w:pStyle w:val="11"/>
        <w:adjustRightInd w:val="0"/>
        <w:snapToGrid w:val="0"/>
        <w:spacing w:before="0" w:line="440" w:lineRule="exact"/>
        <w:jc w:val="left"/>
        <w:rPr>
          <w:rFonts w:hint="eastAsia" w:eastAsia="仿宋" w:cstheme="minorBidi"/>
          <w:sz w:val="24"/>
          <w:szCs w:val="24"/>
          <w:lang w:val="en-US" w:eastAsia="zh-CN"/>
        </w:rPr>
      </w:pPr>
      <w:r>
        <w:rPr>
          <w:rFonts w:hint="eastAsia"/>
          <w:sz w:val="24"/>
        </w:rPr>
        <w:t>第三部分名词解释</w:t>
      </w:r>
      <w:r>
        <w:ptab w:relativeTo="margin" w:alignment="right" w:leader="dot"/>
      </w:r>
      <w:r>
        <w:rPr>
          <w:rFonts w:ascii="仿宋" w:hAnsi="仿宋" w:eastAsia="仿宋" w:cs="Times New Roman"/>
          <w:kern w:val="2"/>
          <w:sz w:val="24"/>
          <w:szCs w:val="24"/>
          <w:lang w:val="en-US" w:eastAsia="zh-CN" w:bidi="ar-SA"/>
        </w:rPr>
        <w:t>1</w:t>
      </w:r>
      <w:r>
        <w:rPr>
          <w:rFonts w:hint="eastAsia" w:ascii="仿宋" w:hAnsi="仿宋" w:eastAsia="仿宋" w:cs="Times New Roman"/>
          <w:kern w:val="2"/>
          <w:sz w:val="24"/>
          <w:szCs w:val="24"/>
          <w:lang w:val="en-US" w:eastAsia="zh-CN" w:bidi="ar-SA"/>
        </w:rPr>
        <w:t>5</w:t>
      </w:r>
    </w:p>
    <w:p w14:paraId="7819A322">
      <w:pPr>
        <w:pStyle w:val="11"/>
        <w:adjustRightInd w:val="0"/>
        <w:snapToGrid w:val="0"/>
        <w:spacing w:before="0" w:line="440" w:lineRule="exact"/>
        <w:jc w:val="left"/>
        <w:rPr>
          <w:rFonts w:hint="default" w:eastAsia="仿宋" w:cstheme="minorBidi"/>
          <w:sz w:val="24"/>
          <w:szCs w:val="24"/>
          <w:lang w:val="en-US" w:eastAsia="zh-CN"/>
        </w:rPr>
      </w:pPr>
      <w:r>
        <w:rPr>
          <w:rFonts w:hint="eastAsia"/>
          <w:sz w:val="24"/>
        </w:rPr>
        <w:t>第四部分附件</w:t>
      </w:r>
      <w:r>
        <w:ptab w:relativeTo="margin" w:alignment="right" w:leader="dot"/>
      </w:r>
      <w:r>
        <w:rPr>
          <w:rFonts w:hint="eastAsia" w:eastAsia="仿宋" w:cstheme="minorBidi"/>
          <w:sz w:val="24"/>
          <w:szCs w:val="24"/>
          <w:lang w:val="en-US" w:eastAsia="zh-CN"/>
        </w:rPr>
        <w:t>21</w:t>
      </w:r>
    </w:p>
    <w:p w14:paraId="5FE2F0BF">
      <w:pPr>
        <w:pStyle w:val="11"/>
        <w:adjustRightInd w:val="0"/>
        <w:snapToGrid w:val="0"/>
        <w:spacing w:before="0" w:line="440" w:lineRule="exact"/>
        <w:jc w:val="left"/>
        <w:rPr>
          <w:rFonts w:hint="default" w:eastAsia="仿宋" w:cstheme="minorBidi"/>
          <w:sz w:val="24"/>
          <w:szCs w:val="24"/>
          <w:lang w:val="en-US" w:eastAsia="zh-CN"/>
        </w:rPr>
      </w:pPr>
      <w:r>
        <w:rPr>
          <w:rFonts w:hint="eastAsia"/>
          <w:sz w:val="24"/>
        </w:rPr>
        <w:t>第五部分附表</w:t>
      </w:r>
      <w:r>
        <w:ptab w:relativeTo="margin" w:alignment="right" w:leader="dot"/>
      </w:r>
      <w:r>
        <w:rPr>
          <w:rFonts w:hint="eastAsia" w:eastAsia="仿宋" w:cstheme="minorBidi"/>
          <w:sz w:val="24"/>
          <w:szCs w:val="24"/>
          <w:lang w:val="en-US" w:eastAsia="zh-CN"/>
        </w:rPr>
        <w:t>22</w:t>
      </w:r>
    </w:p>
    <w:p w14:paraId="0E44951D">
      <w:pPr>
        <w:pStyle w:val="11"/>
        <w:adjustRightInd w:val="0"/>
        <w:snapToGrid w:val="0"/>
        <w:spacing w:before="0" w:line="440" w:lineRule="exact"/>
        <w:ind w:firstLine="480" w:firstLineChars="200"/>
        <w:jc w:val="left"/>
        <w:rPr>
          <w:rFonts w:hint="default" w:eastAsia="宋体"/>
          <w:sz w:val="24"/>
          <w:lang w:val="en-US" w:eastAsia="zh-CN"/>
        </w:rPr>
      </w:pPr>
      <w:r>
        <w:rPr>
          <w:rFonts w:hint="eastAsia" w:ascii="Times New Roman" w:hAnsi="Times New Roman" w:eastAsia="宋体" w:cs="Times New Roman"/>
          <w:kern w:val="2"/>
          <w:sz w:val="24"/>
          <w:szCs w:val="24"/>
          <w:lang w:val="en-US" w:eastAsia="zh-CN" w:bidi="ar-SA"/>
        </w:rPr>
        <w:t>一、收入支出决算总表</w:t>
      </w:r>
      <w:r>
        <w:ptab w:relativeTo="margin" w:alignment="right" w:leader="dot"/>
      </w:r>
      <w:r>
        <w:rPr>
          <w:rFonts w:hint="eastAsia" w:eastAsia="仿宋" w:cstheme="minorBidi"/>
          <w:sz w:val="24"/>
          <w:szCs w:val="24"/>
          <w:lang w:val="en-US" w:eastAsia="zh-CN"/>
        </w:rPr>
        <w:t>22</w:t>
      </w:r>
    </w:p>
    <w:p w14:paraId="1EABD8E7">
      <w:pPr>
        <w:pStyle w:val="12"/>
        <w:adjustRightInd w:val="0"/>
        <w:snapToGrid w:val="0"/>
        <w:spacing w:line="440" w:lineRule="exact"/>
        <w:jc w:val="left"/>
        <w:rPr>
          <w:rFonts w:hint="default" w:eastAsia="宋体"/>
          <w:sz w:val="24"/>
          <w:lang w:val="en-US" w:eastAsia="zh-CN"/>
        </w:rPr>
      </w:pPr>
      <w:r>
        <w:rPr>
          <w:rFonts w:hint="eastAsia"/>
          <w:sz w:val="24"/>
        </w:rPr>
        <w:t>二、收入决算表</w:t>
      </w:r>
      <w:r>
        <w:ptab w:relativeTo="margin" w:alignment="right" w:leader="dot"/>
      </w:r>
      <w:r>
        <w:rPr>
          <w:rFonts w:hint="eastAsia" w:ascii="仿宋" w:hAnsi="仿宋" w:eastAsia="宋体" w:cs="Times New Roman"/>
          <w:kern w:val="2"/>
          <w:sz w:val="24"/>
          <w:szCs w:val="28"/>
          <w:lang w:val="en-US" w:eastAsia="zh-CN" w:bidi="ar-SA"/>
        </w:rPr>
        <w:t>22</w:t>
      </w:r>
    </w:p>
    <w:p w14:paraId="2EF2EAE3">
      <w:pPr>
        <w:pStyle w:val="12"/>
        <w:adjustRightInd w:val="0"/>
        <w:snapToGrid w:val="0"/>
        <w:spacing w:line="440" w:lineRule="exact"/>
        <w:jc w:val="left"/>
        <w:rPr>
          <w:rFonts w:hint="default" w:eastAsia="宋体"/>
          <w:sz w:val="24"/>
          <w:lang w:val="en-US" w:eastAsia="zh-CN"/>
        </w:rPr>
      </w:pPr>
      <w:r>
        <w:rPr>
          <w:rFonts w:hint="eastAsia"/>
          <w:sz w:val="24"/>
        </w:rPr>
        <w:t>三、支出决算表</w:t>
      </w:r>
      <w:r>
        <w:ptab w:relativeTo="margin" w:alignment="right" w:leader="dot"/>
      </w:r>
      <w:r>
        <w:rPr>
          <w:rFonts w:hint="eastAsia" w:ascii="仿宋" w:hAnsi="仿宋" w:eastAsia="宋体" w:cs="Times New Roman"/>
          <w:kern w:val="2"/>
          <w:sz w:val="24"/>
          <w:szCs w:val="28"/>
          <w:lang w:val="en-US" w:eastAsia="zh-CN" w:bidi="ar-SA"/>
        </w:rPr>
        <w:t>22</w:t>
      </w:r>
    </w:p>
    <w:p w14:paraId="1AC675C1">
      <w:pPr>
        <w:pStyle w:val="12"/>
        <w:adjustRightInd w:val="0"/>
        <w:snapToGrid w:val="0"/>
        <w:spacing w:line="440" w:lineRule="exact"/>
        <w:jc w:val="left"/>
        <w:rPr>
          <w:rFonts w:hint="default" w:eastAsia="宋体"/>
          <w:sz w:val="24"/>
          <w:lang w:val="en-US" w:eastAsia="zh-CN"/>
        </w:rPr>
      </w:pPr>
      <w:r>
        <w:rPr>
          <w:rFonts w:hint="eastAsia"/>
          <w:sz w:val="24"/>
        </w:rPr>
        <w:t>四、财政拨款收入支出决算总表</w:t>
      </w:r>
      <w:r>
        <w:ptab w:relativeTo="margin" w:alignment="right" w:leader="dot"/>
      </w:r>
      <w:r>
        <w:rPr>
          <w:rFonts w:hint="eastAsia" w:ascii="仿宋" w:hAnsi="仿宋" w:eastAsia="宋体" w:cs="Times New Roman"/>
          <w:kern w:val="2"/>
          <w:sz w:val="24"/>
          <w:szCs w:val="28"/>
          <w:lang w:val="en-US" w:eastAsia="zh-CN" w:bidi="ar-SA"/>
        </w:rPr>
        <w:t>22</w:t>
      </w:r>
    </w:p>
    <w:p w14:paraId="602913C7">
      <w:pPr>
        <w:pStyle w:val="12"/>
        <w:adjustRightInd w:val="0"/>
        <w:snapToGrid w:val="0"/>
        <w:spacing w:line="440" w:lineRule="exact"/>
        <w:jc w:val="left"/>
        <w:rPr>
          <w:rFonts w:hint="default" w:eastAsia="宋体"/>
          <w:sz w:val="24"/>
          <w:lang w:val="en-US" w:eastAsia="zh-CN"/>
        </w:rPr>
      </w:pPr>
      <w:r>
        <w:rPr>
          <w:rFonts w:hint="eastAsia"/>
          <w:sz w:val="24"/>
        </w:rPr>
        <w:t>五、财政拨款支出决算明细表</w:t>
      </w:r>
      <w:r>
        <w:ptab w:relativeTo="margin" w:alignment="right" w:leader="dot"/>
      </w:r>
      <w:r>
        <w:rPr>
          <w:rFonts w:hint="eastAsia" w:ascii="仿宋" w:hAnsi="仿宋" w:eastAsia="宋体" w:cs="Times New Roman"/>
          <w:kern w:val="2"/>
          <w:sz w:val="24"/>
          <w:szCs w:val="28"/>
          <w:lang w:val="en-US" w:eastAsia="zh-CN" w:bidi="ar-SA"/>
        </w:rPr>
        <w:t>22</w:t>
      </w:r>
    </w:p>
    <w:p w14:paraId="4704554B">
      <w:pPr>
        <w:pStyle w:val="12"/>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ptab w:relativeTo="margin" w:alignment="right" w:leader="dot"/>
      </w:r>
      <w:r>
        <w:rPr>
          <w:rFonts w:hint="eastAsia" w:ascii="仿宋" w:hAnsi="仿宋" w:eastAsia="宋体" w:cs="Times New Roman"/>
          <w:kern w:val="2"/>
          <w:sz w:val="24"/>
          <w:szCs w:val="28"/>
          <w:lang w:val="en-US" w:eastAsia="zh-CN" w:bidi="ar-SA"/>
        </w:rPr>
        <w:t>22</w:t>
      </w:r>
    </w:p>
    <w:p w14:paraId="5F6C4BBD">
      <w:pPr>
        <w:pStyle w:val="12"/>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ptab w:relativeTo="margin" w:alignment="right" w:leader="dot"/>
      </w:r>
      <w:r>
        <w:rPr>
          <w:rFonts w:hint="eastAsia" w:ascii="仿宋" w:hAnsi="仿宋" w:eastAsia="宋体" w:cs="Times New Roman"/>
          <w:kern w:val="2"/>
          <w:sz w:val="24"/>
          <w:szCs w:val="28"/>
          <w:lang w:val="en-US" w:eastAsia="zh-CN" w:bidi="ar-SA"/>
        </w:rPr>
        <w:t>22</w:t>
      </w:r>
    </w:p>
    <w:p w14:paraId="26512CAA">
      <w:pPr>
        <w:pStyle w:val="12"/>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ptab w:relativeTo="margin" w:alignment="right" w:leader="dot"/>
      </w:r>
      <w:r>
        <w:rPr>
          <w:rFonts w:hint="eastAsia" w:ascii="仿宋" w:hAnsi="仿宋" w:eastAsia="宋体" w:cs="Times New Roman"/>
          <w:kern w:val="2"/>
          <w:sz w:val="24"/>
          <w:szCs w:val="28"/>
          <w:lang w:val="en-US" w:eastAsia="zh-CN" w:bidi="ar-SA"/>
        </w:rPr>
        <w:t>22</w:t>
      </w:r>
    </w:p>
    <w:p w14:paraId="44035532">
      <w:pPr>
        <w:pStyle w:val="12"/>
        <w:adjustRightInd w:val="0"/>
        <w:snapToGrid w:val="0"/>
        <w:spacing w:line="440" w:lineRule="exact"/>
        <w:jc w:val="left"/>
        <w:rPr>
          <w:rFonts w:hint="eastAsia"/>
          <w:sz w:val="24"/>
        </w:rPr>
        <w:sectPr>
          <w:footerReference r:id="rId5" w:type="first"/>
          <w:footerReference r:id="rId4" w:type="default"/>
          <w:pgSz w:w="11906" w:h="16838"/>
          <w:pgMar w:top="1440" w:right="1800" w:bottom="1440" w:left="1800" w:header="851" w:footer="992" w:gutter="0"/>
          <w:pgNumType w:fmt="decimal" w:start="1"/>
          <w:cols w:space="425" w:num="1"/>
          <w:titlePg/>
          <w:docGrid w:type="lines" w:linePitch="312" w:charSpace="0"/>
        </w:sectPr>
      </w:pPr>
      <w:r>
        <w:rPr>
          <w:rFonts w:hint="eastAsia"/>
          <w:sz w:val="24"/>
        </w:rPr>
        <w:t>九、一般公共预算财政拨款项目支出决算表</w:t>
      </w:r>
      <w:r>
        <w:ptab w:relativeTo="margin" w:alignment="right" w:leader="dot"/>
      </w:r>
      <w:r>
        <w:rPr>
          <w:rFonts w:hint="eastAsia" w:ascii="仿宋" w:hAnsi="仿宋" w:eastAsia="宋体" w:cs="Times New Roman"/>
          <w:kern w:val="2"/>
          <w:sz w:val="24"/>
          <w:szCs w:val="28"/>
          <w:lang w:val="en-US" w:eastAsia="zh-CN" w:bidi="ar-SA"/>
        </w:rPr>
        <w:t>22</w:t>
      </w:r>
    </w:p>
    <w:p w14:paraId="7D5AE6DC">
      <w:pPr>
        <w:pStyle w:val="12"/>
        <w:adjustRightInd w:val="0"/>
        <w:snapToGrid w:val="0"/>
        <w:spacing w:line="440" w:lineRule="exact"/>
        <w:jc w:val="left"/>
        <w:rPr>
          <w:rFonts w:hint="default"/>
          <w:sz w:val="24"/>
          <w:lang w:val="en-US"/>
        </w:rPr>
      </w:pPr>
      <w:r>
        <w:rPr>
          <w:rFonts w:hint="eastAsia"/>
          <w:sz w:val="24"/>
        </w:rPr>
        <w:t>十、政府性基金预算财政拨款收入支出决算表</w:t>
      </w:r>
      <w:r>
        <w:ptab w:relativeTo="margin" w:alignment="right" w:leader="dot"/>
      </w:r>
      <w:r>
        <w:rPr>
          <w:rFonts w:hint="eastAsia" w:ascii="仿宋" w:hAnsi="仿宋" w:eastAsia="仿宋" w:cs="Times New Roman"/>
          <w:kern w:val="2"/>
          <w:sz w:val="24"/>
          <w:szCs w:val="24"/>
          <w:lang w:val="en-US" w:eastAsia="zh-CN" w:bidi="ar-SA"/>
        </w:rPr>
        <w:t>22</w:t>
      </w:r>
    </w:p>
    <w:p w14:paraId="6C41E611">
      <w:pPr>
        <w:pStyle w:val="12"/>
        <w:adjustRightInd w:val="0"/>
        <w:snapToGrid w:val="0"/>
        <w:spacing w:line="440" w:lineRule="exact"/>
        <w:jc w:val="left"/>
        <w:rPr>
          <w:rFonts w:hint="default"/>
          <w:sz w:val="24"/>
          <w:lang w:val="en-US"/>
        </w:rPr>
      </w:pPr>
      <w:r>
        <w:rPr>
          <w:rFonts w:hint="eastAsia"/>
          <w:sz w:val="24"/>
        </w:rPr>
        <w:t>十一、国有资本经营预算财政拨款收入支出决算表</w:t>
      </w:r>
      <w:r>
        <w:ptab w:relativeTo="margin" w:alignment="right" w:leader="dot"/>
      </w:r>
      <w:r>
        <w:rPr>
          <w:rFonts w:hint="eastAsia" w:ascii="仿宋" w:hAnsi="仿宋" w:eastAsia="仿宋" w:cs="Times New Roman"/>
          <w:kern w:val="2"/>
          <w:sz w:val="24"/>
          <w:szCs w:val="24"/>
          <w:lang w:val="en-US" w:eastAsia="zh-CN" w:bidi="ar-SA"/>
        </w:rPr>
        <w:t>22</w:t>
      </w:r>
    </w:p>
    <w:p w14:paraId="6A916FCB">
      <w:pPr>
        <w:pStyle w:val="12"/>
        <w:adjustRightInd w:val="0"/>
        <w:snapToGrid w:val="0"/>
        <w:spacing w:line="440" w:lineRule="exact"/>
        <w:jc w:val="left"/>
        <w:rPr>
          <w:rFonts w:hint="default"/>
          <w:sz w:val="24"/>
          <w:lang w:val="en-US"/>
        </w:rPr>
      </w:pPr>
      <w:r>
        <w:rPr>
          <w:rFonts w:hint="eastAsia"/>
          <w:sz w:val="24"/>
        </w:rPr>
        <w:t>十二、国有资本经营预算财政拨款支出决算表</w:t>
      </w:r>
      <w:r>
        <w:ptab w:relativeTo="margin" w:alignment="right" w:leader="dot"/>
      </w:r>
      <w:r>
        <w:rPr>
          <w:rFonts w:hint="eastAsia" w:ascii="仿宋" w:hAnsi="仿宋" w:eastAsia="仿宋" w:cs="Times New Roman"/>
          <w:kern w:val="2"/>
          <w:sz w:val="24"/>
          <w:szCs w:val="24"/>
          <w:lang w:val="en-US" w:eastAsia="zh-CN" w:bidi="ar-SA"/>
        </w:rPr>
        <w:t>22</w:t>
      </w:r>
    </w:p>
    <w:p w14:paraId="488A759F">
      <w:pPr>
        <w:pStyle w:val="12"/>
        <w:adjustRightInd w:val="0"/>
        <w:snapToGrid w:val="0"/>
        <w:spacing w:line="440" w:lineRule="exact"/>
        <w:jc w:val="left"/>
        <w:rPr>
          <w:rFonts w:hint="default" w:ascii="仿宋" w:hAnsi="仿宋" w:eastAsia="仿宋" w:cs="Times New Roman"/>
          <w:kern w:val="2"/>
          <w:sz w:val="24"/>
          <w:szCs w:val="24"/>
          <w:lang w:val="en-US" w:eastAsia="zh-CN" w:bidi="ar-SA"/>
        </w:rPr>
      </w:pPr>
      <w:r>
        <w:rPr>
          <w:rFonts w:hint="eastAsia"/>
          <w:sz w:val="24"/>
        </w:rPr>
        <w:t>十三、财政拨款“三公”经费支出决算表</w:t>
      </w:r>
      <w:r>
        <w:ptab w:relativeTo="margin" w:alignment="right" w:leader="dot"/>
      </w:r>
      <w:r>
        <w:rPr>
          <w:rFonts w:hint="eastAsia" w:ascii="仿宋" w:hAnsi="仿宋" w:eastAsia="仿宋" w:cs="Times New Roman"/>
          <w:kern w:val="2"/>
          <w:sz w:val="24"/>
          <w:szCs w:val="24"/>
          <w:lang w:val="en-US" w:eastAsia="zh-CN" w:bidi="ar-SA"/>
        </w:rPr>
        <w:t>22</w:t>
      </w:r>
    </w:p>
    <w:p w14:paraId="1776784F">
      <w:pPr>
        <w:widowControl/>
        <w:adjustRightInd w:val="0"/>
        <w:snapToGrid w:val="0"/>
        <w:spacing w:line="440" w:lineRule="exact"/>
        <w:ind w:firstLine="1320" w:firstLineChars="550"/>
        <w:jc w:val="left"/>
        <w:rPr>
          <w:rFonts w:ascii="仿宋" w:hAnsi="仿宋" w:eastAsia="仿宋"/>
          <w:sz w:val="24"/>
        </w:rPr>
      </w:pPr>
    </w:p>
    <w:p w14:paraId="621A9661">
      <w:pPr>
        <w:pStyle w:val="3"/>
        <w:jc w:val="center"/>
        <w:rPr>
          <w:rFonts w:hint="eastAsia" w:ascii="黑体" w:hAnsi="黑体" w:eastAsia="黑体"/>
          <w:b w:val="0"/>
        </w:rPr>
        <w:sectPr>
          <w:footerReference r:id="rId7" w:type="first"/>
          <w:footerReference r:id="rId6" w:type="default"/>
          <w:pgSz w:w="11906" w:h="16838"/>
          <w:pgMar w:top="1440" w:right="1800" w:bottom="1440" w:left="1800" w:header="851" w:footer="992" w:gutter="0"/>
          <w:pgNumType w:fmt="decimal"/>
          <w:cols w:space="425" w:num="1"/>
          <w:titlePg/>
          <w:docGrid w:type="lines" w:linePitch="312" w:charSpace="0"/>
        </w:sectPr>
      </w:pPr>
      <w:bookmarkStart w:id="0" w:name="_Toc15377196"/>
      <w:bookmarkStart w:id="1" w:name="_Toc15396599"/>
    </w:p>
    <w:p w14:paraId="24F30F13">
      <w:pPr>
        <w:pStyle w:val="3"/>
        <w:jc w:val="center"/>
        <w:rPr>
          <w:rStyle w:val="27"/>
          <w:rFonts w:ascii="黑体" w:hAnsi="黑体" w:eastAsia="黑体"/>
          <w:b/>
          <w:bCs w:val="0"/>
        </w:rPr>
      </w:pPr>
      <w:r>
        <w:rPr>
          <w:rFonts w:hint="eastAsia" w:ascii="黑体" w:hAnsi="黑体" w:eastAsia="黑体"/>
          <w:b w:val="0"/>
        </w:rPr>
        <w:t>第一部分 单位</w:t>
      </w:r>
      <w:r>
        <w:rPr>
          <w:rStyle w:val="27"/>
          <w:rFonts w:hint="eastAsia" w:ascii="黑体" w:hAnsi="黑体" w:eastAsia="黑体"/>
          <w:b w:val="0"/>
          <w:bCs w:val="0"/>
        </w:rPr>
        <w:t>概况</w:t>
      </w:r>
      <w:bookmarkEnd w:id="0"/>
      <w:bookmarkEnd w:id="1"/>
    </w:p>
    <w:p w14:paraId="6DD68BC4">
      <w:pPr>
        <w:widowControl/>
        <w:jc w:val="left"/>
        <w:rPr>
          <w:rFonts w:ascii="黑体" w:eastAsia="黑体"/>
          <w:sz w:val="32"/>
          <w:szCs w:val="32"/>
        </w:rPr>
      </w:pPr>
    </w:p>
    <w:p w14:paraId="4060C9C3">
      <w:pPr>
        <w:pStyle w:val="4"/>
        <w:numPr>
          <w:ilvl w:val="0"/>
          <w:numId w:val="1"/>
        </w:numPr>
        <w:rPr>
          <w:rStyle w:val="28"/>
          <w:rFonts w:ascii="黑体" w:hAnsi="黑体" w:eastAsia="黑体"/>
          <w:b w:val="0"/>
          <w:bCs w:val="0"/>
        </w:rPr>
      </w:pPr>
      <w:bookmarkStart w:id="2" w:name="_Toc15396600"/>
      <w:bookmarkStart w:id="3" w:name="_Toc15377197"/>
      <w:r>
        <w:rPr>
          <w:rStyle w:val="28"/>
          <w:rFonts w:hint="eastAsia" w:ascii="黑体" w:hAnsi="黑体" w:eastAsia="黑体"/>
          <w:b w:val="0"/>
          <w:bCs w:val="0"/>
        </w:rPr>
        <w:t>主要职责</w:t>
      </w:r>
    </w:p>
    <w:p w14:paraId="16CEE400">
      <w:pPr>
        <w:ind w:firstLine="640" w:firstLineChars="200"/>
        <w:rPr>
          <w:rFonts w:hint="eastAsia" w:ascii="仿宋" w:hAnsi="仿宋" w:eastAsia="仿宋"/>
          <w:sz w:val="32"/>
          <w:szCs w:val="32"/>
        </w:rPr>
      </w:pPr>
      <w:r>
        <w:rPr>
          <w:rFonts w:hint="eastAsia" w:ascii="仿宋" w:hAnsi="仿宋" w:eastAsia="仿宋"/>
          <w:sz w:val="32"/>
          <w:szCs w:val="32"/>
          <w:lang w:val="en-US" w:eastAsia="zh-CN"/>
        </w:rPr>
        <w:t>盐边县自然资源和规划局主要职责是按照规定权限，履行全民所有土地、矿产、湿地、水等自然资源资产所有者职责和所有国土空间用途管制职责。贯彻执行国家、省、市有关自然资源和国土空间规划及测绘等方面的法律、法规、规章，制定有关政策措施并组织实施等各种涉及自然资源的工作。负责县政府机关的上情下达，下情上报及上级机关交办的其他工作。</w:t>
      </w:r>
    </w:p>
    <w:p w14:paraId="72948A34">
      <w:pPr>
        <w:pStyle w:val="4"/>
        <w:rPr>
          <w:rFonts w:ascii="黑体" w:hAnsi="黑体" w:eastAsia="黑体"/>
          <w:b w:val="0"/>
        </w:rPr>
      </w:pPr>
      <w:r>
        <w:rPr>
          <w:rFonts w:hint="eastAsia" w:ascii="黑体" w:hAnsi="黑体" w:eastAsia="黑体"/>
          <w:b w:val="0"/>
        </w:rPr>
        <w:t>二、机构设置</w:t>
      </w:r>
    </w:p>
    <w:bookmarkEnd w:id="2"/>
    <w:bookmarkEnd w:id="3"/>
    <w:p w14:paraId="65F978FA">
      <w:pPr>
        <w:ind w:firstLine="640" w:firstLineChars="200"/>
        <w:rPr>
          <w:rFonts w:ascii="仿宋" w:hAnsi="仿宋" w:eastAsia="仿宋"/>
          <w:sz w:val="32"/>
          <w:szCs w:val="32"/>
        </w:rPr>
      </w:pPr>
      <w:r>
        <w:rPr>
          <w:rFonts w:hint="eastAsia" w:ascii="仿宋" w:hAnsi="仿宋" w:eastAsia="仿宋"/>
          <w:sz w:val="32"/>
          <w:szCs w:val="32"/>
        </w:rPr>
        <w:t>盐边县自然资源和规划局下属二级预算单位</w:t>
      </w:r>
      <w:r>
        <w:rPr>
          <w:rFonts w:hint="eastAsia" w:ascii="仿宋" w:hAnsi="仿宋" w:eastAsia="仿宋"/>
          <w:sz w:val="32"/>
          <w:szCs w:val="32"/>
          <w:lang w:val="en-US" w:eastAsia="zh-CN"/>
        </w:rPr>
        <w:t>15</w:t>
      </w:r>
      <w:r>
        <w:rPr>
          <w:rFonts w:hint="eastAsia" w:ascii="仿宋" w:hAnsi="仿宋" w:eastAsia="仿宋"/>
          <w:sz w:val="32"/>
          <w:szCs w:val="32"/>
        </w:rPr>
        <w:t>个，其中参照公务员法管理的事业单位</w:t>
      </w:r>
      <w:r>
        <w:rPr>
          <w:rFonts w:hint="eastAsia" w:ascii="仿宋" w:hAnsi="仿宋" w:eastAsia="仿宋"/>
          <w:bCs/>
          <w:sz w:val="32"/>
          <w:szCs w:val="32"/>
          <w:lang w:val="en-US" w:eastAsia="zh-CN"/>
        </w:rPr>
        <w:t>1</w:t>
      </w:r>
      <w:r>
        <w:rPr>
          <w:rFonts w:hint="eastAsia" w:ascii="仿宋" w:hAnsi="仿宋" w:eastAsia="仿宋"/>
          <w:sz w:val="32"/>
          <w:szCs w:val="32"/>
        </w:rPr>
        <w:t>个，其他事业单位</w:t>
      </w:r>
      <w:r>
        <w:rPr>
          <w:rFonts w:hint="eastAsia" w:ascii="仿宋" w:hAnsi="仿宋" w:eastAsia="仿宋"/>
          <w:sz w:val="32"/>
          <w:szCs w:val="32"/>
          <w:lang w:val="en-US" w:eastAsia="zh-CN"/>
        </w:rPr>
        <w:t>14</w:t>
      </w:r>
      <w:r>
        <w:rPr>
          <w:rFonts w:hint="eastAsia" w:ascii="仿宋" w:hAnsi="仿宋" w:eastAsia="仿宋"/>
          <w:sz w:val="32"/>
          <w:szCs w:val="32"/>
        </w:rPr>
        <w:t>个。</w:t>
      </w:r>
    </w:p>
    <w:p w14:paraId="3F214571">
      <w:pPr>
        <w:pStyle w:val="2"/>
        <w:adjustRightInd w:val="0"/>
        <w:snapToGrid w:val="0"/>
        <w:spacing w:before="93" w:line="600" w:lineRule="exact"/>
        <w:ind w:firstLine="672" w:firstLineChars="210"/>
        <w:rPr>
          <w:rFonts w:ascii="仿宋" w:hAnsi="仿宋" w:eastAsia="仿宋"/>
          <w:sz w:val="32"/>
          <w:szCs w:val="32"/>
        </w:rPr>
      </w:pPr>
      <w:r>
        <w:rPr>
          <w:rFonts w:hint="eastAsia" w:ascii="仿宋" w:hAnsi="仿宋" w:eastAsia="仿宋"/>
          <w:sz w:val="32"/>
          <w:szCs w:val="32"/>
        </w:rPr>
        <w:t>纳入盐边县自然资源和规划局202</w:t>
      </w:r>
      <w:r>
        <w:rPr>
          <w:rFonts w:hint="eastAsia" w:ascii="仿宋" w:hAnsi="仿宋" w:eastAsia="仿宋"/>
          <w:sz w:val="32"/>
          <w:szCs w:val="32"/>
          <w:lang w:val="en-US" w:eastAsia="zh-CN"/>
        </w:rPr>
        <w:t>3</w:t>
      </w:r>
      <w:r>
        <w:rPr>
          <w:rFonts w:hint="eastAsia" w:ascii="仿宋" w:hAnsi="仿宋" w:eastAsia="仿宋"/>
          <w:sz w:val="32"/>
          <w:szCs w:val="32"/>
        </w:rPr>
        <w:t>年度部门决算编制范围的二级预算单位包括：</w:t>
      </w:r>
    </w:p>
    <w:p w14:paraId="5D37502F">
      <w:pPr>
        <w:pStyle w:val="2"/>
        <w:numPr>
          <w:ilvl w:val="0"/>
          <w:numId w:val="2"/>
        </w:numPr>
        <w:adjustRightInd w:val="0"/>
        <w:snapToGrid w:val="0"/>
        <w:spacing w:before="93" w:line="600" w:lineRule="exact"/>
        <w:outlineLvl w:val="2"/>
        <w:rPr>
          <w:rFonts w:ascii="仿宋" w:hAnsi="仿宋" w:eastAsia="仿宋"/>
          <w:sz w:val="32"/>
          <w:szCs w:val="32"/>
        </w:rPr>
      </w:pPr>
      <w:bookmarkStart w:id="4" w:name="_Toc15306276"/>
      <w:bookmarkStart w:id="5" w:name="_Toc15377202"/>
      <w:bookmarkStart w:id="6" w:name="_Toc15378449"/>
      <w:bookmarkStart w:id="7" w:name="_Toc15377433"/>
      <w:r>
        <w:rPr>
          <w:rFonts w:hint="eastAsia" w:ascii="仿宋" w:hAnsi="仿宋" w:eastAsia="仿宋"/>
          <w:sz w:val="32"/>
          <w:szCs w:val="32"/>
          <w:lang w:eastAsia="zh-CN"/>
        </w:rPr>
        <w:t>盐边县国土资源综合执法大队</w:t>
      </w:r>
      <w:bookmarkEnd w:id="4"/>
      <w:bookmarkEnd w:id="5"/>
      <w:bookmarkEnd w:id="6"/>
      <w:bookmarkEnd w:id="7"/>
    </w:p>
    <w:p w14:paraId="0516C938">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lang w:eastAsia="zh-CN"/>
        </w:rPr>
        <w:t>盐边县土地矿产储备开发中心</w:t>
      </w:r>
    </w:p>
    <w:p w14:paraId="014EF988">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lang w:eastAsia="zh-CN"/>
        </w:rPr>
        <w:t>盐边县不动产登记开发中心</w:t>
      </w:r>
    </w:p>
    <w:p w14:paraId="149B6F06">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盐边县红格镇自然资源所</w:t>
      </w:r>
    </w:p>
    <w:p w14:paraId="1A82E7F0">
      <w:pPr>
        <w:pStyle w:val="2"/>
        <w:numPr>
          <w:ilvl w:val="0"/>
          <w:numId w:val="2"/>
        </w:numPr>
        <w:adjustRightInd w:val="0"/>
        <w:snapToGrid w:val="0"/>
        <w:spacing w:before="93" w:line="600" w:lineRule="exact"/>
        <w:outlineLvl w:val="2"/>
        <w:rPr>
          <w:rFonts w:ascii="仿宋" w:hAnsi="仿宋" w:eastAsia="仿宋"/>
          <w:sz w:val="32"/>
          <w:szCs w:val="32"/>
        </w:rPr>
        <w:sectPr>
          <w:footerReference r:id="rId9" w:type="first"/>
          <w:footerReference r:id="rId8" w:type="default"/>
          <w:pgSz w:w="11906" w:h="16838"/>
          <w:pgMar w:top="1440" w:right="1800" w:bottom="1440" w:left="1800" w:header="851" w:footer="992" w:gutter="0"/>
          <w:pgNumType w:fmt="decimal" w:start="1"/>
          <w:cols w:space="425" w:num="1"/>
          <w:titlePg/>
          <w:docGrid w:type="lines" w:linePitch="312" w:charSpace="0"/>
        </w:sectPr>
      </w:pPr>
    </w:p>
    <w:p w14:paraId="1DD8018B">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盐边县新九镇自然资源所</w:t>
      </w:r>
    </w:p>
    <w:p w14:paraId="7346DD1D">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盐边县桐子林镇自然资源所</w:t>
      </w:r>
    </w:p>
    <w:p w14:paraId="0428201B">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盐边县惠民镇自然资源所</w:t>
      </w:r>
    </w:p>
    <w:p w14:paraId="739BC7AD">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盐边县红宝苗族彝族乡自然资源所</w:t>
      </w:r>
    </w:p>
    <w:p w14:paraId="2AE2021D">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盐边县共和乡自然资源所</w:t>
      </w:r>
    </w:p>
    <w:p w14:paraId="704D950E">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盐边县红果彝族乡自然资源所</w:t>
      </w:r>
    </w:p>
    <w:p w14:paraId="0923A565">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盐边县永兴镇自然资源所</w:t>
      </w:r>
    </w:p>
    <w:p w14:paraId="41883342">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盐边县渔门镇自然资源所</w:t>
      </w:r>
    </w:p>
    <w:p w14:paraId="2B33DAF0">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盐边县温泉彝族乡自然资源所</w:t>
      </w:r>
    </w:p>
    <w:p w14:paraId="68A00EAE">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盐边县格萨拉彝族自然资源所</w:t>
      </w:r>
    </w:p>
    <w:p w14:paraId="4AA2377D">
      <w:pPr>
        <w:pStyle w:val="2"/>
        <w:numPr>
          <w:ilvl w:val="0"/>
          <w:numId w:val="2"/>
        </w:numPr>
        <w:adjustRightInd w:val="0"/>
        <w:snapToGrid w:val="0"/>
        <w:spacing w:before="93" w:line="600" w:lineRule="exact"/>
        <w:outlineLvl w:val="2"/>
        <w:rPr>
          <w:rFonts w:ascii="仿宋" w:hAnsi="仿宋" w:eastAsia="仿宋"/>
          <w:sz w:val="32"/>
          <w:szCs w:val="32"/>
        </w:rPr>
      </w:pPr>
      <w:r>
        <w:rPr>
          <w:rFonts w:hint="eastAsia" w:ascii="仿宋" w:hAnsi="仿宋" w:eastAsia="仿宋"/>
          <w:sz w:val="32"/>
          <w:szCs w:val="32"/>
        </w:rPr>
        <w:t>盐边县国胜乡自然资源所</w:t>
      </w:r>
    </w:p>
    <w:p w14:paraId="6B07C855">
      <w:pPr>
        <w:widowControl/>
        <w:jc w:val="left"/>
        <w:rPr>
          <w:rFonts w:ascii="仿宋" w:hAnsi="仿宋" w:eastAsia="仿宋"/>
          <w:kern w:val="0"/>
          <w:sz w:val="32"/>
          <w:szCs w:val="32"/>
        </w:rPr>
      </w:pPr>
      <w:r>
        <w:rPr>
          <w:rFonts w:ascii="仿宋" w:hAnsi="仿宋" w:eastAsia="仿宋"/>
          <w:sz w:val="32"/>
          <w:szCs w:val="32"/>
        </w:rPr>
        <w:br w:type="page"/>
      </w:r>
    </w:p>
    <w:p w14:paraId="5A41D5F9">
      <w:pPr>
        <w:pStyle w:val="3"/>
        <w:ind w:right="440"/>
        <w:jc w:val="center"/>
        <w:rPr>
          <w:rStyle w:val="27"/>
          <w:rFonts w:ascii="黑体" w:hAnsi="黑体" w:eastAsia="黑体"/>
          <w:b w:val="0"/>
          <w:bCs/>
        </w:rPr>
      </w:pPr>
      <w:bookmarkStart w:id="8" w:name="_Toc15377204"/>
      <w:bookmarkStart w:id="9" w:name="_Toc15396602"/>
      <w:r>
        <w:rPr>
          <w:rFonts w:hint="eastAsia" w:ascii="黑体" w:hAnsi="黑体" w:eastAsia="黑体"/>
          <w:b w:val="0"/>
        </w:rPr>
        <w:t>第二部分 2023年度</w:t>
      </w:r>
      <w:r>
        <w:rPr>
          <w:rStyle w:val="27"/>
          <w:rFonts w:hint="eastAsia" w:ascii="黑体" w:hAnsi="黑体" w:eastAsia="黑体"/>
          <w:b w:val="0"/>
          <w:bCs/>
        </w:rPr>
        <w:t>单位决算情况说明</w:t>
      </w:r>
      <w:bookmarkEnd w:id="8"/>
      <w:bookmarkEnd w:id="9"/>
    </w:p>
    <w:p w14:paraId="406B3306"/>
    <w:p w14:paraId="66F9174A">
      <w:pPr>
        <w:pStyle w:val="26"/>
        <w:numPr>
          <w:ilvl w:val="0"/>
          <w:numId w:val="3"/>
        </w:numPr>
        <w:spacing w:line="600" w:lineRule="exact"/>
        <w:ind w:firstLineChars="0"/>
        <w:outlineLvl w:val="1"/>
        <w:rPr>
          <w:rStyle w:val="28"/>
          <w:rFonts w:ascii="黑体" w:hAnsi="黑体" w:eastAsia="黑体"/>
          <w:b w:val="0"/>
        </w:rPr>
      </w:pPr>
      <w:bookmarkStart w:id="10" w:name="_Toc15396603"/>
      <w:bookmarkStart w:id="11" w:name="_Toc15377205"/>
      <w:r>
        <w:rPr>
          <w:rFonts w:hint="eastAsia" w:ascii="黑体" w:hAnsi="黑体" w:eastAsia="黑体"/>
          <w:sz w:val="32"/>
          <w:szCs w:val="32"/>
        </w:rPr>
        <w:t>收</w:t>
      </w:r>
      <w:r>
        <w:rPr>
          <w:rStyle w:val="28"/>
          <w:rFonts w:hint="eastAsia" w:ascii="黑体" w:hAnsi="黑体" w:eastAsia="黑体"/>
          <w:b w:val="0"/>
        </w:rPr>
        <w:t>入支出决算总体情况说明</w:t>
      </w:r>
      <w:bookmarkEnd w:id="10"/>
      <w:bookmarkEnd w:id="11"/>
    </w:p>
    <w:p w14:paraId="07F9FE7B">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sz w:val="32"/>
          <w:szCs w:val="32"/>
        </w:rPr>
        <w:t>14945.21</w:t>
      </w:r>
      <w:r>
        <w:rPr>
          <w:rFonts w:hint="eastAsia" w:ascii="仿宋" w:hAnsi="仿宋" w:eastAsia="仿宋"/>
          <w:sz w:val="32"/>
          <w:szCs w:val="32"/>
        </w:rPr>
        <w:t>万元。与2022年度相比，收、支总计各减少</w:t>
      </w:r>
      <w:r>
        <w:rPr>
          <w:rFonts w:hint="eastAsia" w:ascii="仿宋" w:hAnsi="仿宋" w:eastAsia="仿宋"/>
          <w:sz w:val="32"/>
          <w:szCs w:val="32"/>
          <w:lang w:val="en-US" w:eastAsia="zh-CN"/>
        </w:rPr>
        <w:t>2018.08</w:t>
      </w:r>
      <w:r>
        <w:rPr>
          <w:rFonts w:hint="eastAsia" w:ascii="仿宋" w:hAnsi="仿宋" w:eastAsia="仿宋"/>
          <w:sz w:val="32"/>
          <w:szCs w:val="32"/>
        </w:rPr>
        <w:t>万元，下降</w:t>
      </w:r>
      <w:r>
        <w:rPr>
          <w:rFonts w:hint="eastAsia" w:ascii="仿宋" w:hAnsi="仿宋" w:eastAsia="仿宋"/>
          <w:sz w:val="32"/>
          <w:szCs w:val="32"/>
          <w:lang w:val="en-US" w:eastAsia="zh-CN"/>
        </w:rPr>
        <w:t>11.89</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2022年集中缴纳了以前年度报批土地的耕地占用税，2023年度各项工作均基本恢复稳定状态</w:t>
      </w:r>
      <w:r>
        <w:rPr>
          <w:rFonts w:hint="eastAsia" w:ascii="仿宋" w:hAnsi="仿宋" w:eastAsia="仿宋"/>
          <w:sz w:val="32"/>
          <w:szCs w:val="32"/>
        </w:rPr>
        <w:t>。</w:t>
      </w:r>
    </w:p>
    <w:p w14:paraId="6DA8DE3D">
      <w:pPr>
        <w:pStyle w:val="18"/>
        <w:rPr>
          <w:rFonts w:ascii="仿宋" w:hAnsi="仿宋" w:eastAsia="仿宋"/>
          <w:sz w:val="32"/>
          <w:szCs w:val="32"/>
        </w:rPr>
      </w:pPr>
      <w:r>
        <w:rPr>
          <w:rFonts w:hint="default"/>
          <w:sz w:val="24"/>
          <w:szCs w:val="24"/>
        </w:rPr>
        <w:pict>
          <v:shape id="Object 2" o:spid="_x0000_s1026" o:spt="75" type="#_x0000_t75" style="position:absolute;left:0pt;margin-left:33.05pt;margin-top:21.75pt;height:226.75pt;width:323.45pt;mso-wrap-distance-bottom:0pt;mso-wrap-distance-top:0pt;z-index:251660288;mso-width-relative:page;mso-height-relative:page;" o:ole="t" filled="f" o:preferrelative="t" stroked="f" coordsize="21600,21600">
            <v:path/>
            <v:fill on="f" focussize="0,0"/>
            <v:stroke on="f"/>
            <v:imagedata r:id="rId14" o:title=""/>
            <o:lock v:ext="edit" aspectratio="t"/>
            <w10:wrap type="topAndBottom"/>
          </v:shape>
          <o:OLEObject Type="Embed" ProgID="Excel.Chart.8" ShapeID="Object 2" DrawAspect="Content" ObjectID="_1468075725" r:id="rId13">
            <o:LockedField>false</o:LockedField>
          </o:OLEObject>
        </w:pict>
      </w:r>
      <w:r>
        <w:rPr>
          <w:rFonts w:hint="eastAsia"/>
          <w:sz w:val="24"/>
          <w:szCs w:val="24"/>
          <w:lang w:val="en-US" w:eastAsia="zh-CN"/>
        </w:rPr>
        <w:t xml:space="preserve">    </w:t>
      </w:r>
      <w:r>
        <w:rPr>
          <w:rFonts w:hint="eastAsia" w:ascii="仿宋" w:hAnsi="仿宋" w:eastAsia="仿宋" w:cs="Times New Roman"/>
          <w:b w:val="0"/>
          <w:kern w:val="2"/>
          <w:sz w:val="32"/>
          <w:szCs w:val="32"/>
          <w:lang w:val="en-US" w:eastAsia="zh-CN" w:bidi="ar-SA"/>
        </w:rPr>
        <w:t>（图1：收、支决算总计变动情况图）（柱状图）</w:t>
      </w:r>
    </w:p>
    <w:p w14:paraId="5A416504">
      <w:pPr>
        <w:spacing w:line="600" w:lineRule="exact"/>
        <w:ind w:firstLine="640" w:firstLineChars="200"/>
        <w:jc w:val="left"/>
        <w:rPr>
          <w:rFonts w:ascii="仿宋_GB2312" w:eastAsia="仿宋_GB2312"/>
          <w:sz w:val="32"/>
          <w:szCs w:val="32"/>
        </w:rPr>
      </w:pPr>
    </w:p>
    <w:p w14:paraId="74E80D3D">
      <w:pPr>
        <w:pStyle w:val="26"/>
        <w:numPr>
          <w:ilvl w:val="0"/>
          <w:numId w:val="3"/>
        </w:numPr>
        <w:spacing w:line="600" w:lineRule="exact"/>
        <w:ind w:firstLineChars="0"/>
        <w:outlineLvl w:val="1"/>
        <w:rPr>
          <w:rStyle w:val="28"/>
          <w:rFonts w:ascii="黑体" w:hAnsi="黑体" w:eastAsia="黑体"/>
          <w:b w:val="0"/>
        </w:rPr>
      </w:pPr>
      <w:bookmarkStart w:id="12" w:name="_Toc15396604"/>
      <w:bookmarkStart w:id="13" w:name="_Toc15377206"/>
      <w:r>
        <w:rPr>
          <w:rFonts w:hint="eastAsia" w:ascii="黑体" w:hAnsi="黑体" w:eastAsia="黑体"/>
          <w:sz w:val="32"/>
          <w:szCs w:val="32"/>
        </w:rPr>
        <w:t>收</w:t>
      </w:r>
      <w:r>
        <w:rPr>
          <w:rStyle w:val="28"/>
          <w:rFonts w:hint="eastAsia" w:ascii="黑体" w:hAnsi="黑体" w:eastAsia="黑体"/>
          <w:b w:val="0"/>
        </w:rPr>
        <w:t>入决算情况说明</w:t>
      </w:r>
      <w:bookmarkEnd w:id="12"/>
      <w:bookmarkEnd w:id="13"/>
    </w:p>
    <w:p w14:paraId="490B5E41">
      <w:pPr>
        <w:spacing w:line="600" w:lineRule="exact"/>
        <w:ind w:firstLine="640" w:firstLineChars="200"/>
        <w:outlineLvl w:val="1"/>
        <w:rPr>
          <w:rFonts w:hint="eastAsia"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14945.21</w:t>
      </w:r>
      <w:r>
        <w:rPr>
          <w:rFonts w:hint="eastAsia" w:ascii="仿宋" w:hAnsi="仿宋" w:eastAsia="仿宋"/>
          <w:sz w:val="32"/>
          <w:szCs w:val="32"/>
        </w:rPr>
        <w:t>万元，其中：一般公共预算财政拨款收入</w:t>
      </w:r>
      <w:r>
        <w:rPr>
          <w:rFonts w:ascii="仿宋" w:hAnsi="仿宋" w:eastAsia="仿宋"/>
          <w:b/>
          <w:sz w:val="32"/>
          <w:szCs w:val="32"/>
        </w:rPr>
        <w:t>6902.85</w:t>
      </w:r>
      <w:r>
        <w:rPr>
          <w:rFonts w:hint="eastAsia" w:ascii="仿宋" w:hAnsi="仿宋" w:eastAsia="仿宋"/>
          <w:sz w:val="32"/>
          <w:szCs w:val="32"/>
        </w:rPr>
        <w:t>万元，占</w:t>
      </w:r>
      <w:r>
        <w:rPr>
          <w:rFonts w:ascii="仿宋" w:hAnsi="仿宋" w:eastAsia="仿宋"/>
          <w:b/>
          <w:sz w:val="32"/>
          <w:szCs w:val="32"/>
        </w:rPr>
        <w:t>46.18%</w:t>
      </w:r>
      <w:r>
        <w:rPr>
          <w:rFonts w:hint="eastAsia" w:ascii="仿宋" w:hAnsi="仿宋" w:eastAsia="仿宋"/>
          <w:sz w:val="32"/>
          <w:szCs w:val="32"/>
        </w:rPr>
        <w:t>；政府性基金预算财政拨款收入</w:t>
      </w:r>
      <w:r>
        <w:rPr>
          <w:rFonts w:ascii="仿宋" w:hAnsi="仿宋" w:eastAsia="仿宋"/>
          <w:b/>
          <w:sz w:val="32"/>
          <w:szCs w:val="32"/>
        </w:rPr>
        <w:t>8042.36</w:t>
      </w:r>
      <w:r>
        <w:rPr>
          <w:rFonts w:hint="eastAsia" w:ascii="仿宋" w:hAnsi="仿宋" w:eastAsia="仿宋"/>
          <w:sz w:val="32"/>
          <w:szCs w:val="32"/>
        </w:rPr>
        <w:t>万元，占</w:t>
      </w:r>
      <w:r>
        <w:rPr>
          <w:rFonts w:ascii="仿宋" w:hAnsi="仿宋" w:eastAsia="仿宋"/>
          <w:b/>
          <w:sz w:val="32"/>
          <w:szCs w:val="32"/>
        </w:rPr>
        <w:t>53.81</w:t>
      </w:r>
      <w:r>
        <w:rPr>
          <w:rFonts w:ascii="仿宋" w:hAnsi="仿宋" w:eastAsia="仿宋"/>
          <w:sz w:val="32"/>
          <w:szCs w:val="32"/>
        </w:rPr>
        <w:t>%</w:t>
      </w:r>
      <w:r>
        <w:rPr>
          <w:rFonts w:hint="eastAsia" w:ascii="仿宋" w:hAnsi="仿宋" w:eastAsia="仿宋"/>
          <w:sz w:val="32"/>
          <w:szCs w:val="32"/>
        </w:rPr>
        <w:t>；</w:t>
      </w:r>
    </w:p>
    <w:p w14:paraId="206DF139">
      <w:pPr>
        <w:pStyle w:val="18"/>
        <w:ind w:firstLine="600" w:firstLineChars="200"/>
        <w:rPr>
          <w:rFonts w:ascii="仿宋" w:hAnsi="仿宋" w:eastAsia="仿宋"/>
          <w:b w:val="0"/>
          <w:bCs/>
          <w:sz w:val="32"/>
          <w:szCs w:val="32"/>
        </w:rPr>
      </w:pPr>
      <w:r>
        <w:rPr>
          <w:rFonts w:hint="default"/>
          <w:b w:val="0"/>
          <w:bCs/>
          <w:sz w:val="30"/>
          <w:szCs w:val="24"/>
        </w:rPr>
        <w:pict>
          <v:shape id="Object 3" o:spid="_x0000_s1027" o:spt="75" type="#_x0000_t75" style="position:absolute;left:0pt;margin-left:34.85pt;margin-top:24.05pt;height:226.75pt;width:339.2pt;mso-wrap-distance-bottom:0pt;mso-wrap-distance-top:0pt;z-index:251664384;mso-width-relative:page;mso-height-relative:page;" o:ole="t" filled="f" o:preferrelative="t" stroked="f" coordsize="21600,21600">
            <v:path/>
            <v:fill on="f" focussize="0,0"/>
            <v:stroke on="f"/>
            <v:imagedata r:id="rId16" o:title=""/>
            <o:lock v:ext="edit" aspectratio="f"/>
            <w10:wrap type="topAndBottom"/>
          </v:shape>
          <o:OLEObject Type="Embed" ProgID="Excel.Chart.8" ShapeID="Object 3" DrawAspect="Content" ObjectID="_1468075726" r:id="rId15">
            <o:LockedField>false</o:LockedField>
          </o:OLEObject>
        </w:pict>
      </w:r>
      <w:r>
        <w:rPr>
          <w:rFonts w:hint="eastAsia" w:ascii="仿宋" w:hAnsi="仿宋" w:eastAsia="仿宋"/>
          <w:b w:val="0"/>
          <w:bCs/>
          <w:sz w:val="32"/>
          <w:szCs w:val="32"/>
        </w:rPr>
        <w:t>（图2：收入决算结构图）（饼状图）</w:t>
      </w:r>
    </w:p>
    <w:p w14:paraId="1DEF8AF0">
      <w:pPr>
        <w:spacing w:line="600" w:lineRule="exact"/>
        <w:ind w:firstLine="640" w:firstLineChars="200"/>
        <w:rPr>
          <w:rFonts w:ascii="仿宋_GB2312" w:eastAsia="仿宋_GB2312"/>
          <w:sz w:val="32"/>
          <w:szCs w:val="32"/>
        </w:rPr>
      </w:pPr>
    </w:p>
    <w:p w14:paraId="0287DFFC">
      <w:pPr>
        <w:pStyle w:val="26"/>
        <w:numPr>
          <w:ilvl w:val="0"/>
          <w:numId w:val="3"/>
        </w:numPr>
        <w:spacing w:line="600" w:lineRule="exact"/>
        <w:ind w:firstLineChars="0"/>
        <w:outlineLvl w:val="1"/>
        <w:rPr>
          <w:rStyle w:val="28"/>
          <w:rFonts w:ascii="黑体" w:hAnsi="黑体" w:eastAsia="黑体"/>
          <w:b w:val="0"/>
        </w:rPr>
      </w:pPr>
      <w:bookmarkStart w:id="14" w:name="_Toc15396605"/>
      <w:bookmarkStart w:id="15" w:name="_Toc15377207"/>
      <w:r>
        <w:rPr>
          <w:rFonts w:hint="eastAsia" w:ascii="黑体" w:hAnsi="黑体" w:eastAsia="黑体"/>
          <w:sz w:val="32"/>
          <w:szCs w:val="32"/>
        </w:rPr>
        <w:t>支</w:t>
      </w:r>
      <w:r>
        <w:rPr>
          <w:rStyle w:val="28"/>
          <w:rFonts w:hint="eastAsia" w:ascii="黑体" w:hAnsi="黑体" w:eastAsia="黑体"/>
          <w:b w:val="0"/>
        </w:rPr>
        <w:t>出决算情况说明</w:t>
      </w:r>
      <w:bookmarkEnd w:id="14"/>
      <w:bookmarkEnd w:id="15"/>
    </w:p>
    <w:p w14:paraId="629E63F8">
      <w:pPr>
        <w:spacing w:line="600" w:lineRule="exact"/>
        <w:ind w:firstLine="640" w:firstLineChars="200"/>
        <w:outlineLvl w:val="1"/>
        <w:rPr>
          <w:rFonts w:ascii="仿宋" w:hAnsi="仿宋" w:eastAsia="仿宋"/>
          <w:b/>
          <w:sz w:val="32"/>
          <w:szCs w:val="32"/>
        </w:rPr>
      </w:pPr>
      <w:r>
        <w:rPr>
          <w:rFonts w:hint="eastAsia" w:ascii="仿宋" w:hAnsi="仿宋" w:eastAsia="仿宋"/>
          <w:sz w:val="32"/>
          <w:szCs w:val="32"/>
        </w:rPr>
        <w:t>2023年度本年支出合计</w:t>
      </w:r>
      <w:r>
        <w:rPr>
          <w:rFonts w:ascii="仿宋" w:hAnsi="仿宋" w:eastAsia="仿宋"/>
          <w:b/>
          <w:sz w:val="32"/>
          <w:szCs w:val="32"/>
        </w:rPr>
        <w:t>14945.21</w:t>
      </w:r>
      <w:r>
        <w:rPr>
          <w:rFonts w:hint="eastAsia" w:ascii="仿宋" w:hAnsi="仿宋" w:eastAsia="仿宋"/>
          <w:sz w:val="32"/>
          <w:szCs w:val="32"/>
        </w:rPr>
        <w:t>万元，其中：基本支出</w:t>
      </w:r>
      <w:r>
        <w:rPr>
          <w:rFonts w:ascii="仿宋" w:hAnsi="仿宋" w:eastAsia="仿宋"/>
          <w:b/>
          <w:sz w:val="32"/>
          <w:szCs w:val="32"/>
        </w:rPr>
        <w:t>1134.75</w:t>
      </w:r>
      <w:r>
        <w:rPr>
          <w:rFonts w:hint="eastAsia" w:ascii="仿宋" w:hAnsi="仿宋" w:eastAsia="仿宋"/>
          <w:sz w:val="32"/>
          <w:szCs w:val="32"/>
        </w:rPr>
        <w:t>万元，占</w:t>
      </w:r>
      <w:r>
        <w:rPr>
          <w:rFonts w:ascii="仿宋" w:hAnsi="仿宋" w:eastAsia="仿宋"/>
          <w:b/>
          <w:sz w:val="32"/>
          <w:szCs w:val="32"/>
        </w:rPr>
        <w:t>7.59</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13810.46</w:t>
      </w:r>
      <w:r>
        <w:rPr>
          <w:rFonts w:hint="eastAsia" w:ascii="仿宋" w:hAnsi="仿宋" w:eastAsia="仿宋"/>
          <w:sz w:val="32"/>
          <w:szCs w:val="32"/>
        </w:rPr>
        <w:t>万元，占</w:t>
      </w:r>
      <w:r>
        <w:rPr>
          <w:rFonts w:ascii="仿宋" w:hAnsi="仿宋" w:eastAsia="仿宋"/>
          <w:b/>
          <w:sz w:val="32"/>
          <w:szCs w:val="32"/>
        </w:rPr>
        <w:t>92.4</w:t>
      </w:r>
      <w:r>
        <w:rPr>
          <w:rFonts w:ascii="仿宋" w:hAnsi="仿宋" w:eastAsia="仿宋"/>
          <w:sz w:val="32"/>
          <w:szCs w:val="32"/>
        </w:rPr>
        <w:t>%</w:t>
      </w:r>
      <w:r>
        <w:rPr>
          <w:rFonts w:hint="eastAsia" w:ascii="仿宋" w:hAnsi="仿宋" w:eastAsia="仿宋"/>
          <w:sz w:val="32"/>
          <w:szCs w:val="32"/>
        </w:rPr>
        <w:t>；</w:t>
      </w:r>
    </w:p>
    <w:p w14:paraId="7E4EC33C">
      <w:pPr>
        <w:spacing w:line="600" w:lineRule="exact"/>
        <w:ind w:firstLine="640"/>
        <w:rPr>
          <w:rFonts w:ascii="仿宋" w:hAnsi="仿宋" w:eastAsia="仿宋"/>
          <w:sz w:val="32"/>
          <w:szCs w:val="32"/>
          <w:shd w:val="pct10" w:color="auto" w:fill="FFFFFF"/>
        </w:rPr>
      </w:pPr>
      <w:r>
        <w:rPr>
          <w:rFonts w:hint="default"/>
          <w:sz w:val="30"/>
          <w:szCs w:val="24"/>
        </w:rPr>
        <w:pict>
          <v:shape id="Object 7" o:spid="_x0000_s1028" o:spt="75" type="#_x0000_t75" style="position:absolute;left:0pt;margin-left:25.7pt;margin-top:1.15pt;height:208.95pt;width:355.1pt;mso-wrap-distance-bottom:0pt;mso-wrap-distance-top:0pt;z-index:251665408;mso-width-relative:page;mso-height-relative:page;" o:ole="t" filled="f" o:preferrelative="t" stroked="f" coordsize="21600,21600">
            <v:path/>
            <v:fill on="f" focussize="0,0"/>
            <v:stroke on="f"/>
            <v:imagedata r:id="rId18" o:title=""/>
            <o:lock v:ext="edit" aspectratio="f"/>
            <w10:wrap type="topAndBottom"/>
          </v:shape>
          <o:OLEObject Type="Embed" ProgID="Excel.Chart.8" ShapeID="Object 7" DrawAspect="Content" ObjectID="_1468075727" r:id="rId17">
            <o:LockedField>false</o:LockedField>
          </o:OLEObject>
        </w:pict>
      </w:r>
    </w:p>
    <w:p w14:paraId="2E5D943E">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14:paraId="685DC85C">
      <w:pPr>
        <w:spacing w:line="600" w:lineRule="exact"/>
        <w:ind w:firstLine="640" w:firstLineChars="200"/>
        <w:rPr>
          <w:rFonts w:ascii="仿宋_GB2312" w:eastAsia="仿宋_GB2312"/>
          <w:sz w:val="32"/>
          <w:szCs w:val="32"/>
        </w:rPr>
      </w:pPr>
    </w:p>
    <w:p w14:paraId="20CCAB12">
      <w:pPr>
        <w:spacing w:line="600" w:lineRule="exact"/>
        <w:ind w:firstLine="640" w:firstLineChars="200"/>
        <w:outlineLvl w:val="1"/>
        <w:rPr>
          <w:rStyle w:val="28"/>
          <w:rFonts w:ascii="黑体" w:hAnsi="黑体" w:eastAsia="黑体"/>
          <w:b w:val="0"/>
        </w:rPr>
      </w:pPr>
      <w:bookmarkStart w:id="16" w:name="_Toc15396606"/>
      <w:bookmarkStart w:id="17" w:name="_Toc15377208"/>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16"/>
      <w:bookmarkEnd w:id="17"/>
    </w:p>
    <w:p w14:paraId="2A8BFB56">
      <w:pPr>
        <w:spacing w:line="600" w:lineRule="exact"/>
        <w:ind w:firstLine="640"/>
        <w:rPr>
          <w:rFonts w:ascii="仿宋" w:hAnsi="仿宋" w:eastAsia="仿宋"/>
          <w:b/>
          <w:sz w:val="32"/>
          <w:szCs w:val="32"/>
        </w:rPr>
      </w:pPr>
      <w:r>
        <w:rPr>
          <w:rFonts w:hint="eastAsia" w:ascii="仿宋" w:hAnsi="仿宋" w:eastAsia="仿宋"/>
          <w:sz w:val="32"/>
          <w:szCs w:val="32"/>
        </w:rPr>
        <w:t>2023年度财政拨款收、支总计均为</w:t>
      </w:r>
      <w:r>
        <w:rPr>
          <w:rFonts w:ascii="仿宋" w:hAnsi="仿宋" w:eastAsia="仿宋"/>
          <w:b/>
          <w:sz w:val="32"/>
          <w:szCs w:val="32"/>
        </w:rPr>
        <w:t>14945.21</w:t>
      </w:r>
      <w:r>
        <w:rPr>
          <w:rFonts w:hint="eastAsia" w:ascii="仿宋" w:hAnsi="仿宋" w:eastAsia="仿宋"/>
          <w:sz w:val="32"/>
          <w:szCs w:val="32"/>
        </w:rPr>
        <w:t>万元。与2022年度相比，财政拨款收、支总计</w:t>
      </w:r>
      <w:r>
        <w:rPr>
          <w:rFonts w:hint="eastAsia" w:ascii="仿宋" w:hAnsi="仿宋" w:eastAsia="仿宋"/>
          <w:sz w:val="32"/>
          <w:szCs w:val="32"/>
          <w:lang w:eastAsia="zh-CN"/>
        </w:rPr>
        <w:t>各</w:t>
      </w:r>
      <w:r>
        <w:rPr>
          <w:rFonts w:hint="eastAsia" w:ascii="仿宋" w:hAnsi="仿宋" w:eastAsia="仿宋"/>
          <w:sz w:val="32"/>
          <w:szCs w:val="32"/>
        </w:rPr>
        <w:t>减少</w:t>
      </w:r>
      <w:r>
        <w:rPr>
          <w:rFonts w:hint="eastAsia" w:ascii="仿宋" w:hAnsi="仿宋" w:eastAsia="仿宋"/>
          <w:sz w:val="32"/>
          <w:szCs w:val="32"/>
          <w:lang w:val="en-US" w:eastAsia="zh-CN"/>
        </w:rPr>
        <w:t>2018.08</w:t>
      </w:r>
      <w:r>
        <w:rPr>
          <w:rFonts w:hint="eastAsia" w:ascii="仿宋" w:hAnsi="仿宋" w:eastAsia="仿宋"/>
          <w:sz w:val="32"/>
          <w:szCs w:val="32"/>
        </w:rPr>
        <w:t>万元，下降</w:t>
      </w:r>
      <w:r>
        <w:rPr>
          <w:rFonts w:hint="eastAsia" w:ascii="仿宋" w:hAnsi="仿宋" w:eastAsia="仿宋"/>
          <w:sz w:val="32"/>
          <w:szCs w:val="32"/>
          <w:lang w:val="en-US" w:eastAsia="zh-CN"/>
        </w:rPr>
        <w:t>11.89</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2022年集中缴纳了以前年度报批土地的耕地占用税，2023年度各项工作均基本恢复稳定状态</w:t>
      </w:r>
      <w:r>
        <w:rPr>
          <w:rFonts w:hint="eastAsia" w:ascii="仿宋" w:hAnsi="仿宋" w:eastAsia="仿宋"/>
          <w:sz w:val="32"/>
          <w:szCs w:val="32"/>
        </w:rPr>
        <w:t>。</w:t>
      </w:r>
    </w:p>
    <w:p w14:paraId="7DB30B74">
      <w:pPr>
        <w:spacing w:line="600" w:lineRule="exact"/>
        <w:rPr>
          <w:rFonts w:ascii="仿宋" w:hAnsi="仿宋" w:eastAsia="仿宋"/>
          <w:sz w:val="32"/>
          <w:szCs w:val="32"/>
        </w:rPr>
      </w:pPr>
      <w:r>
        <w:rPr>
          <w:rFonts w:hint="default"/>
          <w:sz w:val="24"/>
          <w:szCs w:val="24"/>
        </w:rPr>
        <w:pict>
          <v:shape id="Object 8" o:spid="_x0000_s1029" o:spt="75" type="#_x0000_t75" style="position:absolute;left:0pt;margin-left:12.35pt;margin-top:21.45pt;height:198.4pt;width:394.85pt;mso-wrap-distance-bottom:0pt;mso-wrap-distance-top:0pt;z-index:251666432;mso-width-relative:page;mso-height-relative:page;" o:ole="t" filled="f" o:preferrelative="t" stroked="f" coordsize="21600,21600">
            <v:path/>
            <v:fill on="f" focussize="0,0"/>
            <v:stroke on="f"/>
            <v:imagedata r:id="rId20" o:title=""/>
            <o:lock v:ext="edit" aspectratio="t"/>
            <w10:wrap type="topAndBottom"/>
          </v:shape>
          <o:OLEObject Type="Embed" ProgID="Excel.Chart.8" ShapeID="Object 8" DrawAspect="Content" ObjectID="_1468075728" r:id="rId19">
            <o:LockedField>false</o:LockedField>
          </o:OLEObject>
        </w:pict>
      </w:r>
    </w:p>
    <w:p w14:paraId="45C11C08">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14:paraId="5A32E43A">
      <w:pPr>
        <w:spacing w:line="600" w:lineRule="exact"/>
        <w:ind w:firstLine="640"/>
        <w:rPr>
          <w:rFonts w:ascii="仿宋" w:hAnsi="仿宋" w:eastAsia="仿宋"/>
          <w:b/>
          <w:sz w:val="32"/>
          <w:szCs w:val="32"/>
        </w:rPr>
      </w:pPr>
    </w:p>
    <w:p w14:paraId="5BCB6759">
      <w:pPr>
        <w:spacing w:line="600" w:lineRule="exact"/>
        <w:ind w:firstLine="640" w:firstLineChars="200"/>
        <w:outlineLvl w:val="1"/>
        <w:rPr>
          <w:rStyle w:val="28"/>
          <w:rFonts w:ascii="黑体" w:hAnsi="黑体" w:eastAsia="黑体"/>
          <w:b w:val="0"/>
        </w:rPr>
      </w:pPr>
      <w:bookmarkStart w:id="18" w:name="_Toc15396607"/>
      <w:bookmarkStart w:id="19" w:name="_Toc15377209"/>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18"/>
      <w:bookmarkEnd w:id="19"/>
    </w:p>
    <w:p w14:paraId="5B2518D1">
      <w:pPr>
        <w:spacing w:line="600" w:lineRule="exact"/>
        <w:ind w:firstLine="643" w:firstLineChars="200"/>
        <w:outlineLvl w:val="2"/>
        <w:rPr>
          <w:rFonts w:ascii="仿宋" w:hAnsi="仿宋" w:eastAsia="仿宋"/>
          <w:b/>
          <w:sz w:val="32"/>
          <w:szCs w:val="32"/>
        </w:rPr>
      </w:pPr>
      <w:bookmarkStart w:id="20" w:name="_Toc15377210"/>
      <w:r>
        <w:rPr>
          <w:rFonts w:hint="eastAsia" w:ascii="仿宋" w:hAnsi="仿宋" w:eastAsia="仿宋"/>
          <w:b/>
          <w:sz w:val="32"/>
          <w:szCs w:val="32"/>
        </w:rPr>
        <w:t>（一）一般公共预算财政拨款支出决算总体情况</w:t>
      </w:r>
      <w:bookmarkEnd w:id="20"/>
    </w:p>
    <w:p w14:paraId="56DE97BF">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6902.85</w:t>
      </w:r>
      <w:r>
        <w:rPr>
          <w:rFonts w:hint="eastAsia" w:ascii="仿宋" w:hAnsi="仿宋" w:eastAsia="仿宋"/>
          <w:sz w:val="32"/>
          <w:szCs w:val="32"/>
        </w:rPr>
        <w:t>万元，占本年支出合计的</w:t>
      </w:r>
      <w:r>
        <w:rPr>
          <w:rFonts w:ascii="仿宋" w:hAnsi="仿宋" w:eastAsia="仿宋"/>
          <w:b/>
          <w:sz w:val="32"/>
          <w:szCs w:val="32"/>
        </w:rPr>
        <w:t>46.18</w:t>
      </w:r>
      <w:r>
        <w:rPr>
          <w:rFonts w:ascii="仿宋" w:hAnsi="仿宋" w:eastAsia="仿宋"/>
          <w:sz w:val="32"/>
          <w:szCs w:val="32"/>
        </w:rPr>
        <w:t>%</w:t>
      </w:r>
      <w:r>
        <w:rPr>
          <w:rFonts w:hint="eastAsia" w:ascii="仿宋" w:hAnsi="仿宋" w:eastAsia="仿宋"/>
          <w:sz w:val="32"/>
          <w:szCs w:val="32"/>
        </w:rPr>
        <w:t>。与2022年度相比，一般公共预算财政拨款支出减少</w:t>
      </w:r>
      <w:r>
        <w:rPr>
          <w:rFonts w:hint="eastAsia" w:ascii="仿宋" w:hAnsi="仿宋" w:eastAsia="仿宋"/>
          <w:sz w:val="32"/>
          <w:szCs w:val="32"/>
          <w:lang w:val="en-US" w:eastAsia="zh-CN"/>
        </w:rPr>
        <w:t>6022.10</w:t>
      </w:r>
      <w:r>
        <w:rPr>
          <w:rFonts w:hint="eastAsia" w:ascii="仿宋" w:hAnsi="仿宋" w:eastAsia="仿宋"/>
          <w:sz w:val="32"/>
          <w:szCs w:val="32"/>
        </w:rPr>
        <w:t>万元，下降</w:t>
      </w:r>
      <w:r>
        <w:rPr>
          <w:rFonts w:hint="eastAsia" w:ascii="仿宋" w:hAnsi="仿宋" w:eastAsia="仿宋"/>
          <w:sz w:val="32"/>
          <w:szCs w:val="32"/>
          <w:lang w:val="en-US" w:eastAsia="zh-CN"/>
        </w:rPr>
        <w:t>46.59</w:t>
      </w:r>
      <w:r>
        <w:rPr>
          <w:rFonts w:ascii="仿宋" w:hAnsi="仿宋" w:eastAsia="仿宋"/>
          <w:sz w:val="32"/>
          <w:szCs w:val="32"/>
        </w:rPr>
        <w:t>%</w:t>
      </w:r>
      <w:r>
        <w:rPr>
          <w:rFonts w:hint="eastAsia" w:ascii="仿宋" w:hAnsi="仿宋" w:eastAsia="仿宋"/>
          <w:sz w:val="32"/>
          <w:szCs w:val="32"/>
        </w:rPr>
        <w:t>。主要变动原因是是</w:t>
      </w:r>
      <w:r>
        <w:rPr>
          <w:rFonts w:hint="eastAsia" w:ascii="仿宋" w:hAnsi="仿宋" w:eastAsia="仿宋"/>
          <w:sz w:val="32"/>
          <w:szCs w:val="32"/>
          <w:lang w:val="en-US" w:eastAsia="zh-CN"/>
        </w:rPr>
        <w:t>2022年集中缴纳了以前年度报批土地的耕地占用税，2023年度各项</w:t>
      </w:r>
      <w:r>
        <w:rPr>
          <w:rFonts w:hint="eastAsia" w:ascii="仿宋" w:hAnsi="仿宋" w:eastAsia="仿宋"/>
          <w:sz w:val="32"/>
          <w:szCs w:val="32"/>
        </w:rPr>
        <w:t>一般公共预算财政拨款</w:t>
      </w:r>
      <w:r>
        <w:rPr>
          <w:rFonts w:hint="eastAsia" w:ascii="仿宋" w:hAnsi="仿宋" w:eastAsia="仿宋"/>
          <w:sz w:val="32"/>
          <w:szCs w:val="32"/>
          <w:lang w:eastAsia="zh-CN"/>
        </w:rPr>
        <w:t>涉及的</w:t>
      </w:r>
      <w:r>
        <w:rPr>
          <w:rFonts w:hint="eastAsia" w:ascii="仿宋" w:hAnsi="仿宋" w:eastAsia="仿宋"/>
          <w:sz w:val="32"/>
          <w:szCs w:val="32"/>
          <w:lang w:val="en-US" w:eastAsia="zh-CN"/>
        </w:rPr>
        <w:t>工作均基本恢复稳定状态。</w:t>
      </w:r>
    </w:p>
    <w:p w14:paraId="0E48FB1D">
      <w:pPr>
        <w:spacing w:line="600" w:lineRule="exact"/>
        <w:ind w:firstLine="600" w:firstLineChars="200"/>
        <w:rPr>
          <w:rFonts w:ascii="仿宋" w:hAnsi="仿宋" w:eastAsia="仿宋"/>
          <w:sz w:val="32"/>
          <w:szCs w:val="32"/>
        </w:rPr>
      </w:pPr>
      <w:r>
        <w:rPr>
          <w:rFonts w:hint="default"/>
          <w:sz w:val="30"/>
          <w:szCs w:val="24"/>
        </w:rPr>
        <w:pict>
          <v:shape id="Object 6" o:spid="_x0000_s1030" o:spt="75" type="#_x0000_t75" style="position:absolute;left:0pt;margin-left:31.95pt;margin-top:11.4pt;height:226.75pt;width:340.15pt;mso-wrap-distance-bottom:0pt;mso-wrap-distance-left:9pt;mso-wrap-distance-right:9pt;mso-wrap-distance-top:0pt;z-index:251667456;mso-width-relative:page;mso-height-relative:page;" o:ole="t" filled="f" o:preferrelative="t" stroked="f" coordsize="21600,21600">
            <v:path/>
            <v:fill on="f" focussize="0,0"/>
            <v:stroke on="f"/>
            <v:imagedata r:id="rId22" o:title=""/>
            <o:lock v:ext="edit" aspectratio="f"/>
            <w10:wrap type="square"/>
          </v:shape>
          <o:OLEObject Type="Embed" ProgID="Excel.Chart.8" ShapeID="Object 6" DrawAspect="Content" ObjectID="_1468075729" r:id="rId21">
            <o:LockedField>false</o:LockedField>
          </o:OLEObject>
        </w:pict>
      </w:r>
    </w:p>
    <w:p w14:paraId="5946EFA3">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4490A0BE">
      <w:pPr>
        <w:spacing w:line="600" w:lineRule="exact"/>
        <w:ind w:firstLine="640" w:firstLineChars="200"/>
        <w:rPr>
          <w:rFonts w:ascii="仿宋" w:hAnsi="仿宋" w:eastAsia="仿宋"/>
          <w:sz w:val="32"/>
          <w:szCs w:val="32"/>
        </w:rPr>
      </w:pPr>
    </w:p>
    <w:p w14:paraId="2490472B">
      <w:pPr>
        <w:spacing w:line="600" w:lineRule="exact"/>
        <w:ind w:firstLine="643" w:firstLineChars="200"/>
        <w:outlineLvl w:val="2"/>
        <w:rPr>
          <w:rFonts w:ascii="仿宋" w:hAnsi="仿宋" w:eastAsia="仿宋"/>
          <w:b/>
          <w:sz w:val="32"/>
          <w:szCs w:val="32"/>
        </w:rPr>
      </w:pPr>
      <w:bookmarkStart w:id="21" w:name="_Toc15377211"/>
      <w:r>
        <w:rPr>
          <w:rFonts w:hint="eastAsia" w:ascii="仿宋" w:hAnsi="仿宋" w:eastAsia="仿宋"/>
          <w:b/>
          <w:sz w:val="32"/>
          <w:szCs w:val="32"/>
        </w:rPr>
        <w:t>（二）一般公共预算财政拨款支出决算结构情况</w:t>
      </w:r>
      <w:bookmarkEnd w:id="21"/>
    </w:p>
    <w:p w14:paraId="43FDF736">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6902.85</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169.18</w:t>
      </w:r>
      <w:r>
        <w:rPr>
          <w:rFonts w:hint="eastAsia" w:ascii="仿宋" w:hAnsi="仿宋" w:eastAsia="仿宋"/>
          <w:sz w:val="32"/>
          <w:szCs w:val="32"/>
        </w:rPr>
        <w:t>万元，占</w:t>
      </w:r>
      <w:r>
        <w:rPr>
          <w:rFonts w:hint="eastAsia" w:ascii="仿宋" w:hAnsi="仿宋" w:eastAsia="仿宋"/>
          <w:sz w:val="32"/>
          <w:szCs w:val="32"/>
          <w:lang w:val="en-US" w:eastAsia="zh-CN"/>
        </w:rPr>
        <w:t>2.45</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83.86</w:t>
      </w:r>
      <w:r>
        <w:rPr>
          <w:rFonts w:hint="eastAsia" w:ascii="仿宋" w:hAnsi="仿宋" w:eastAsia="仿宋"/>
          <w:sz w:val="32"/>
          <w:szCs w:val="32"/>
        </w:rPr>
        <w:t>万元，占</w:t>
      </w:r>
      <w:r>
        <w:rPr>
          <w:rFonts w:hint="eastAsia" w:ascii="仿宋" w:hAnsi="仿宋" w:eastAsia="仿宋"/>
          <w:sz w:val="32"/>
          <w:szCs w:val="32"/>
          <w:lang w:val="en-US" w:eastAsia="zh-CN"/>
        </w:rPr>
        <w:t>1.21</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农林水支出</w:t>
      </w:r>
      <w:r>
        <w:rPr>
          <w:rFonts w:hint="eastAsia" w:ascii="仿宋" w:hAnsi="仿宋" w:eastAsia="仿宋"/>
          <w:sz w:val="32"/>
          <w:szCs w:val="32"/>
          <w:lang w:val="en-US" w:eastAsia="zh-CN"/>
        </w:rPr>
        <w:t>129.26</w:t>
      </w:r>
      <w:r>
        <w:rPr>
          <w:rFonts w:hint="eastAsia" w:ascii="仿宋" w:hAnsi="仿宋" w:eastAsia="仿宋"/>
          <w:sz w:val="32"/>
          <w:szCs w:val="32"/>
        </w:rPr>
        <w:t>万元，占</w:t>
      </w:r>
      <w:r>
        <w:rPr>
          <w:rFonts w:hint="eastAsia" w:ascii="仿宋" w:hAnsi="仿宋" w:eastAsia="仿宋"/>
          <w:sz w:val="32"/>
          <w:szCs w:val="32"/>
          <w:lang w:val="en-US" w:eastAsia="zh-CN"/>
        </w:rPr>
        <w:t>1.87</w:t>
      </w:r>
      <w:r>
        <w:rPr>
          <w:rFonts w:hint="eastAsia" w:ascii="仿宋" w:hAnsi="仿宋" w:eastAsia="仿宋"/>
          <w:sz w:val="32"/>
          <w:szCs w:val="32"/>
        </w:rPr>
        <w:t>%；</w:t>
      </w:r>
      <w:r>
        <w:rPr>
          <w:rFonts w:hint="eastAsia" w:ascii="仿宋" w:hAnsi="仿宋" w:eastAsia="仿宋"/>
          <w:b/>
          <w:bCs/>
          <w:sz w:val="32"/>
          <w:szCs w:val="32"/>
        </w:rPr>
        <w:t>自然资源海洋气象等支出</w:t>
      </w:r>
      <w:r>
        <w:rPr>
          <w:rFonts w:hint="eastAsia" w:ascii="仿宋" w:hAnsi="仿宋" w:eastAsia="仿宋"/>
          <w:sz w:val="32"/>
          <w:szCs w:val="32"/>
          <w:lang w:val="en-US" w:eastAsia="zh-CN"/>
        </w:rPr>
        <w:t>3709.68</w:t>
      </w:r>
      <w:r>
        <w:rPr>
          <w:rFonts w:hint="eastAsia" w:ascii="仿宋" w:hAnsi="仿宋" w:eastAsia="仿宋"/>
          <w:sz w:val="32"/>
          <w:szCs w:val="32"/>
        </w:rPr>
        <w:t>万元，占</w:t>
      </w:r>
      <w:r>
        <w:rPr>
          <w:rFonts w:hint="eastAsia" w:ascii="仿宋" w:hAnsi="仿宋" w:eastAsia="仿宋"/>
          <w:sz w:val="32"/>
          <w:szCs w:val="32"/>
          <w:lang w:val="en-US" w:eastAsia="zh-CN"/>
        </w:rPr>
        <w:t>65.42</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75.24</w:t>
      </w:r>
      <w:r>
        <w:rPr>
          <w:rFonts w:hint="eastAsia" w:ascii="仿宋" w:hAnsi="仿宋" w:eastAsia="仿宋"/>
          <w:sz w:val="32"/>
          <w:szCs w:val="32"/>
        </w:rPr>
        <w:t>万元，占</w:t>
      </w:r>
      <w:r>
        <w:rPr>
          <w:rFonts w:hint="eastAsia" w:ascii="仿宋" w:hAnsi="仿宋" w:eastAsia="仿宋"/>
          <w:sz w:val="32"/>
          <w:szCs w:val="32"/>
          <w:lang w:val="en-US" w:eastAsia="zh-CN"/>
        </w:rPr>
        <w:t>1.09</w:t>
      </w:r>
      <w:r>
        <w:rPr>
          <w:rFonts w:hint="eastAsia" w:ascii="仿宋" w:hAnsi="仿宋" w:eastAsia="仿宋"/>
          <w:sz w:val="32"/>
          <w:szCs w:val="32"/>
        </w:rPr>
        <w:t>%；</w:t>
      </w:r>
      <w:r>
        <w:rPr>
          <w:rFonts w:hint="eastAsia" w:ascii="仿宋" w:hAnsi="仿宋" w:eastAsia="仿宋"/>
          <w:b/>
          <w:bCs/>
          <w:sz w:val="32"/>
          <w:szCs w:val="32"/>
        </w:rPr>
        <w:t>灾害防治及应急管理支出</w:t>
      </w:r>
      <w:r>
        <w:rPr>
          <w:rFonts w:hint="eastAsia" w:ascii="仿宋" w:hAnsi="仿宋" w:eastAsia="仿宋"/>
          <w:sz w:val="32"/>
          <w:szCs w:val="32"/>
          <w:lang w:val="en-US" w:eastAsia="zh-CN"/>
        </w:rPr>
        <w:t>1929.16</w:t>
      </w:r>
      <w:r>
        <w:rPr>
          <w:rFonts w:hint="eastAsia" w:ascii="仿宋" w:hAnsi="仿宋" w:eastAsia="仿宋"/>
          <w:sz w:val="32"/>
          <w:szCs w:val="32"/>
        </w:rPr>
        <w:t>万元，占</w:t>
      </w:r>
      <w:r>
        <w:rPr>
          <w:rFonts w:hint="eastAsia" w:ascii="仿宋" w:hAnsi="仿宋" w:eastAsia="仿宋"/>
          <w:sz w:val="32"/>
          <w:szCs w:val="32"/>
          <w:lang w:val="en-US" w:eastAsia="zh-CN"/>
        </w:rPr>
        <w:t>27.95</w:t>
      </w:r>
      <w:r>
        <w:rPr>
          <w:rFonts w:hint="eastAsia" w:ascii="仿宋" w:hAnsi="仿宋" w:eastAsia="仿宋"/>
          <w:sz w:val="32"/>
          <w:szCs w:val="32"/>
        </w:rPr>
        <w:t>%。</w:t>
      </w:r>
    </w:p>
    <w:p w14:paraId="3663D7E7">
      <w:pPr>
        <w:spacing w:line="600" w:lineRule="exact"/>
        <w:ind w:firstLine="640"/>
        <w:rPr>
          <w:rFonts w:ascii="仿宋" w:hAnsi="仿宋" w:eastAsia="仿宋"/>
          <w:sz w:val="32"/>
          <w:szCs w:val="32"/>
        </w:rPr>
      </w:pPr>
    </w:p>
    <w:p w14:paraId="23B35585">
      <w:pPr>
        <w:pStyle w:val="18"/>
      </w:pPr>
      <w:r>
        <w:rPr>
          <w:rFonts w:hint="default"/>
          <w:sz w:val="30"/>
          <w:szCs w:val="24"/>
        </w:rPr>
        <w:pict>
          <v:shape id="_x0000_s1031" o:spid="_x0000_s1031" o:spt="75" type="#_x0000_t75" style="position:absolute;left:0pt;margin-left:38.5pt;margin-top:9.6pt;height:226.75pt;width:340.15pt;mso-wrap-distance-bottom:0pt;mso-wrap-distance-left:9pt;mso-wrap-distance-right:9pt;mso-wrap-distance-top:0pt;z-index:251668480;mso-width-relative:page;mso-height-relative:page;" o:ole="t" filled="f" o:preferrelative="t" stroked="f" coordsize="21600,21600">
            <v:path/>
            <v:fill on="f" focussize="0,0"/>
            <v:stroke on="f"/>
            <v:imagedata r:id="rId24" o:title=""/>
            <o:lock v:ext="edit" aspectratio="f"/>
            <w10:wrap type="square"/>
          </v:shape>
          <o:OLEObject Type="Embed" ProgID="Excel.Chart.8" ShapeID="_x0000_s1031" DrawAspect="Content" ObjectID="_1468075730" r:id="rId23">
            <o:LockedField>false</o:LockedField>
          </o:OLEObject>
        </w:pict>
      </w:r>
    </w:p>
    <w:p w14:paraId="316F2AAC">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3A478251">
      <w:pPr>
        <w:spacing w:line="600" w:lineRule="exact"/>
        <w:ind w:firstLine="640" w:firstLineChars="200"/>
        <w:rPr>
          <w:rFonts w:ascii="仿宋" w:hAnsi="仿宋" w:eastAsia="仿宋"/>
          <w:sz w:val="32"/>
          <w:szCs w:val="32"/>
        </w:rPr>
      </w:pPr>
    </w:p>
    <w:p w14:paraId="688AF61D">
      <w:pPr>
        <w:spacing w:line="600" w:lineRule="exact"/>
        <w:ind w:firstLine="643" w:firstLineChars="200"/>
        <w:outlineLvl w:val="2"/>
        <w:rPr>
          <w:rFonts w:ascii="仿宋" w:hAnsi="仿宋" w:eastAsia="仿宋"/>
          <w:b/>
          <w:sz w:val="32"/>
          <w:szCs w:val="32"/>
        </w:rPr>
      </w:pPr>
      <w:bookmarkStart w:id="22" w:name="_Toc15377212"/>
      <w:r>
        <w:rPr>
          <w:rFonts w:hint="eastAsia" w:ascii="仿宋" w:hAnsi="仿宋" w:eastAsia="仿宋"/>
          <w:b/>
          <w:sz w:val="32"/>
          <w:szCs w:val="32"/>
        </w:rPr>
        <w:t>（三）一般公共预算财政拨款支出决算具体情况</w:t>
      </w:r>
      <w:bookmarkEnd w:id="22"/>
    </w:p>
    <w:p w14:paraId="4B873051">
      <w:pPr>
        <w:spacing w:line="600" w:lineRule="exact"/>
        <w:ind w:firstLine="643" w:firstLineChars="200"/>
        <w:outlineLvl w:val="2"/>
        <w:rPr>
          <w:rFonts w:ascii="仿宋" w:hAnsi="仿宋" w:eastAsia="仿宋"/>
          <w:sz w:val="32"/>
          <w:szCs w:val="32"/>
        </w:rPr>
      </w:pPr>
      <w:bookmarkStart w:id="23" w:name="_Toc15377213"/>
      <w:bookmarkStart w:id="24" w:name="_Toc15378460"/>
      <w:bookmarkStart w:id="25" w:name="_Toc15377444"/>
      <w:r>
        <w:rPr>
          <w:rFonts w:hint="eastAsia" w:ascii="仿宋" w:hAnsi="仿宋" w:eastAsia="仿宋"/>
          <w:b/>
          <w:sz w:val="32"/>
          <w:szCs w:val="32"/>
        </w:rPr>
        <w:t>2023年度一般公共预算支出决算数为</w:t>
      </w:r>
      <w:r>
        <w:rPr>
          <w:rFonts w:ascii="仿宋" w:hAnsi="仿宋" w:eastAsia="仿宋"/>
          <w:b/>
          <w:sz w:val="32"/>
          <w:szCs w:val="32"/>
        </w:rPr>
        <w:t>6902.85</w:t>
      </w:r>
      <w:r>
        <w:rPr>
          <w:rFonts w:hint="eastAsia" w:ascii="仿宋" w:hAnsi="仿宋" w:eastAsia="仿宋"/>
          <w:sz w:val="32"/>
          <w:szCs w:val="32"/>
        </w:rPr>
        <w:t>，</w:t>
      </w:r>
      <w:r>
        <w:rPr>
          <w:rStyle w:val="16"/>
          <w:rFonts w:hint="eastAsia" w:ascii="仿宋" w:hAnsi="仿宋" w:eastAsia="仿宋"/>
          <w:bCs/>
          <w:sz w:val="32"/>
          <w:szCs w:val="32"/>
        </w:rPr>
        <w:t>完成预算</w:t>
      </w:r>
      <w:r>
        <w:rPr>
          <w:rStyle w:val="16"/>
          <w:rFonts w:hint="eastAsia" w:ascii="仿宋" w:hAnsi="仿宋" w:eastAsia="仿宋"/>
          <w:bCs/>
          <w:sz w:val="32"/>
          <w:szCs w:val="32"/>
          <w:lang w:val="en-US" w:eastAsia="zh-CN"/>
        </w:rPr>
        <w:t>100</w:t>
      </w:r>
      <w:r>
        <w:rPr>
          <w:rStyle w:val="16"/>
          <w:rFonts w:ascii="仿宋" w:hAnsi="仿宋" w:eastAsia="仿宋"/>
          <w:bCs/>
          <w:sz w:val="32"/>
          <w:szCs w:val="32"/>
        </w:rPr>
        <w:t>%</w:t>
      </w:r>
      <w:r>
        <w:rPr>
          <w:rStyle w:val="16"/>
          <w:rFonts w:hint="eastAsia" w:ascii="仿宋" w:hAnsi="仿宋" w:eastAsia="仿宋"/>
          <w:bCs/>
          <w:sz w:val="32"/>
          <w:szCs w:val="32"/>
        </w:rPr>
        <w:t>。其中：</w:t>
      </w:r>
      <w:bookmarkEnd w:id="23"/>
      <w:bookmarkEnd w:id="24"/>
      <w:bookmarkEnd w:id="25"/>
    </w:p>
    <w:p w14:paraId="729A0B19">
      <w:pPr>
        <w:topLinePunct/>
        <w:spacing w:line="576" w:lineRule="exact"/>
        <w:ind w:firstLine="643" w:firstLineChars="200"/>
        <w:rPr>
          <w:rFonts w:hint="eastAsia" w:ascii="仿宋" w:hAnsi="仿宋" w:eastAsia="仿宋"/>
          <w:b/>
          <w:sz w:val="32"/>
          <w:szCs w:val="24"/>
        </w:rPr>
      </w:pPr>
      <w:r>
        <w:rPr>
          <w:rFonts w:hint="eastAsia" w:ascii="仿宋_GB2312" w:hAnsi="仿宋_GB2312" w:eastAsia="仿宋_GB2312"/>
          <w:b/>
          <w:color w:val="000000"/>
          <w:kern w:val="2"/>
          <w:sz w:val="32"/>
          <w:szCs w:val="24"/>
        </w:rPr>
        <w:t>1</w:t>
      </w:r>
      <w:r>
        <w:rPr>
          <w:rStyle w:val="16"/>
          <w:rFonts w:hint="eastAsia" w:ascii="仿宋" w:hAnsi="仿宋" w:eastAsia="仿宋"/>
          <w:sz w:val="32"/>
          <w:szCs w:val="24"/>
        </w:rPr>
        <w:t>.社会保障和就业（类）行政事业单位养老支出（款）行政单位离退休（项）: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28.50</w:t>
      </w:r>
      <w:r>
        <w:rPr>
          <w:rStyle w:val="16"/>
          <w:rFonts w:hint="eastAsia" w:ascii="仿宋" w:hAnsi="仿宋" w:eastAsia="仿宋"/>
          <w:b w:val="0"/>
          <w:sz w:val="32"/>
          <w:szCs w:val="24"/>
        </w:rPr>
        <w:t>万元，完成预算100%。</w:t>
      </w:r>
    </w:p>
    <w:p w14:paraId="37B02CBB">
      <w:pPr>
        <w:topLinePunct/>
        <w:spacing w:line="576" w:lineRule="exact"/>
        <w:ind w:firstLine="643" w:firstLineChars="200"/>
        <w:rPr>
          <w:rFonts w:hint="eastAsia" w:ascii="仿宋" w:hAnsi="仿宋" w:eastAsia="仿宋"/>
          <w:b/>
          <w:sz w:val="32"/>
          <w:szCs w:val="24"/>
        </w:rPr>
      </w:pPr>
      <w:r>
        <w:rPr>
          <w:rStyle w:val="16"/>
          <w:rFonts w:hint="eastAsia" w:ascii="仿宋" w:hAnsi="仿宋" w:eastAsia="仿宋"/>
          <w:sz w:val="32"/>
          <w:szCs w:val="24"/>
        </w:rPr>
        <w:t>2.社会保障和就业（类）行政事业单位养老支出（款）事业单位离退休（项）: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24.74</w:t>
      </w:r>
      <w:r>
        <w:rPr>
          <w:rStyle w:val="16"/>
          <w:rFonts w:hint="eastAsia" w:ascii="仿宋" w:hAnsi="仿宋" w:eastAsia="仿宋"/>
          <w:b w:val="0"/>
          <w:sz w:val="32"/>
          <w:szCs w:val="24"/>
        </w:rPr>
        <w:t>万元，完成预算100%。</w:t>
      </w:r>
    </w:p>
    <w:p w14:paraId="5CFAAAF5">
      <w:pPr>
        <w:topLinePunct/>
        <w:spacing w:line="576" w:lineRule="exact"/>
        <w:ind w:firstLine="643" w:firstLineChars="200"/>
        <w:rPr>
          <w:rFonts w:hint="eastAsia" w:ascii="仿宋" w:hAnsi="仿宋" w:eastAsia="仿宋"/>
          <w:b/>
          <w:sz w:val="32"/>
          <w:szCs w:val="24"/>
        </w:rPr>
      </w:pPr>
      <w:r>
        <w:rPr>
          <w:rStyle w:val="16"/>
          <w:rFonts w:hint="eastAsia" w:ascii="仿宋" w:hAnsi="仿宋" w:eastAsia="仿宋"/>
          <w:sz w:val="32"/>
          <w:szCs w:val="24"/>
        </w:rPr>
        <w:t>3.社会保障和就业（类）行政事业单位养老支出（款）机关事业单位基本养老保险缴费支出（项）: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102.69</w:t>
      </w:r>
      <w:r>
        <w:rPr>
          <w:rStyle w:val="16"/>
          <w:rFonts w:hint="eastAsia" w:ascii="仿宋" w:hAnsi="仿宋" w:eastAsia="仿宋"/>
          <w:b w:val="0"/>
          <w:sz w:val="32"/>
          <w:szCs w:val="24"/>
        </w:rPr>
        <w:t>万元，完成预算100%。</w:t>
      </w:r>
    </w:p>
    <w:p w14:paraId="1179CE74">
      <w:pPr>
        <w:topLinePunct/>
        <w:spacing w:line="576" w:lineRule="exact"/>
        <w:ind w:firstLine="643" w:firstLineChars="200"/>
        <w:rPr>
          <w:rFonts w:hint="eastAsia" w:ascii="仿宋" w:hAnsi="仿宋" w:eastAsia="仿宋"/>
          <w:b/>
          <w:sz w:val="32"/>
          <w:szCs w:val="24"/>
        </w:rPr>
      </w:pPr>
      <w:r>
        <w:rPr>
          <w:rStyle w:val="16"/>
          <w:rFonts w:hint="eastAsia" w:ascii="仿宋" w:hAnsi="仿宋" w:eastAsia="仿宋"/>
          <w:sz w:val="32"/>
          <w:szCs w:val="24"/>
        </w:rPr>
        <w:t>4.社会保障和就业（类）行政事业单位养老支出（款）机关事业单位职业年金缴费支出（项）: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13.24</w:t>
      </w:r>
      <w:r>
        <w:rPr>
          <w:rStyle w:val="16"/>
          <w:rFonts w:hint="eastAsia" w:ascii="仿宋" w:hAnsi="仿宋" w:eastAsia="仿宋"/>
          <w:b w:val="0"/>
          <w:sz w:val="32"/>
          <w:szCs w:val="24"/>
        </w:rPr>
        <w:t>万元，完成预算100%。</w:t>
      </w:r>
    </w:p>
    <w:p w14:paraId="35C5F856">
      <w:pPr>
        <w:topLinePunct/>
        <w:spacing w:line="576" w:lineRule="exact"/>
        <w:ind w:firstLine="643" w:firstLineChars="200"/>
        <w:rPr>
          <w:rStyle w:val="16"/>
          <w:rFonts w:hint="eastAsia" w:ascii="仿宋" w:hAnsi="仿宋" w:eastAsia="仿宋"/>
          <w:b w:val="0"/>
          <w:sz w:val="32"/>
          <w:szCs w:val="24"/>
        </w:rPr>
      </w:pPr>
      <w:r>
        <w:rPr>
          <w:rStyle w:val="16"/>
          <w:rFonts w:hint="eastAsia" w:ascii="仿宋" w:hAnsi="仿宋" w:eastAsia="仿宋"/>
          <w:sz w:val="32"/>
          <w:szCs w:val="24"/>
          <w:lang w:val="en-US" w:eastAsia="zh-CN"/>
        </w:rPr>
        <w:t>5</w:t>
      </w:r>
      <w:r>
        <w:rPr>
          <w:rStyle w:val="16"/>
          <w:rFonts w:hint="eastAsia" w:ascii="仿宋" w:hAnsi="仿宋" w:eastAsia="仿宋"/>
          <w:sz w:val="32"/>
          <w:szCs w:val="24"/>
        </w:rPr>
        <w:t>.</w:t>
      </w:r>
      <w:r>
        <w:rPr>
          <w:rFonts w:hint="eastAsia" w:ascii="仿宋" w:hAnsi="仿宋" w:eastAsia="仿宋"/>
          <w:b/>
          <w:sz w:val="32"/>
          <w:szCs w:val="24"/>
        </w:rPr>
        <w:t>卫生健康</w:t>
      </w:r>
      <w:r>
        <w:rPr>
          <w:rStyle w:val="16"/>
          <w:rFonts w:hint="eastAsia" w:ascii="仿宋" w:hAnsi="仿宋" w:eastAsia="仿宋"/>
          <w:sz w:val="32"/>
          <w:szCs w:val="24"/>
        </w:rPr>
        <w:t>（类）行政事业单位医疗（款）行政单位医疗（项）: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23.21</w:t>
      </w:r>
      <w:r>
        <w:rPr>
          <w:rStyle w:val="16"/>
          <w:rFonts w:hint="eastAsia" w:ascii="仿宋" w:hAnsi="仿宋" w:eastAsia="仿宋"/>
          <w:b w:val="0"/>
          <w:sz w:val="32"/>
          <w:szCs w:val="24"/>
        </w:rPr>
        <w:t>万元，完成预算100%。</w:t>
      </w:r>
    </w:p>
    <w:p w14:paraId="14378803">
      <w:pPr>
        <w:pStyle w:val="2"/>
        <w:topLinePunct/>
        <w:spacing w:before="72" w:line="576" w:lineRule="exact"/>
        <w:rPr>
          <w:rFonts w:hint="eastAsia"/>
          <w:sz w:val="30"/>
          <w:szCs w:val="24"/>
        </w:rPr>
      </w:pPr>
      <w:r>
        <w:rPr>
          <w:rFonts w:hint="eastAsia"/>
          <w:sz w:val="30"/>
          <w:szCs w:val="24"/>
        </w:rPr>
        <w:t xml:space="preserve">    </w:t>
      </w:r>
      <w:r>
        <w:rPr>
          <w:rStyle w:val="16"/>
          <w:rFonts w:hint="eastAsia" w:ascii="仿宋" w:hAnsi="仿宋" w:eastAsia="仿宋"/>
          <w:sz w:val="32"/>
          <w:szCs w:val="24"/>
          <w:lang w:val="en-US" w:eastAsia="zh-CN"/>
        </w:rPr>
        <w:t>6</w:t>
      </w:r>
      <w:r>
        <w:rPr>
          <w:rStyle w:val="16"/>
          <w:rFonts w:hint="eastAsia" w:ascii="仿宋" w:hAnsi="仿宋" w:eastAsia="仿宋"/>
          <w:sz w:val="32"/>
          <w:szCs w:val="24"/>
        </w:rPr>
        <w:t>.</w:t>
      </w:r>
      <w:r>
        <w:rPr>
          <w:rFonts w:hint="eastAsia" w:ascii="仿宋" w:hAnsi="仿宋" w:eastAsia="仿宋"/>
          <w:b/>
          <w:sz w:val="32"/>
          <w:szCs w:val="24"/>
        </w:rPr>
        <w:t>卫生健康</w:t>
      </w:r>
      <w:r>
        <w:rPr>
          <w:rStyle w:val="16"/>
          <w:rFonts w:hint="eastAsia" w:ascii="仿宋" w:hAnsi="仿宋" w:eastAsia="仿宋"/>
          <w:sz w:val="32"/>
          <w:szCs w:val="24"/>
        </w:rPr>
        <w:t>（类）行政事业单位医疗（款）事业单位医疗（项）: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26.69</w:t>
      </w:r>
      <w:r>
        <w:rPr>
          <w:rStyle w:val="16"/>
          <w:rFonts w:hint="eastAsia" w:ascii="仿宋" w:hAnsi="仿宋" w:eastAsia="仿宋"/>
          <w:b w:val="0"/>
          <w:sz w:val="32"/>
          <w:szCs w:val="24"/>
        </w:rPr>
        <w:t>万元，完成预算100%。</w:t>
      </w:r>
    </w:p>
    <w:p w14:paraId="0D84D916">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lang w:val="en-US" w:eastAsia="zh-CN"/>
        </w:rPr>
        <w:t>7</w:t>
      </w:r>
      <w:r>
        <w:rPr>
          <w:rStyle w:val="16"/>
          <w:rFonts w:hint="eastAsia" w:ascii="仿宋" w:hAnsi="仿宋" w:eastAsia="仿宋"/>
          <w:sz w:val="32"/>
          <w:szCs w:val="24"/>
        </w:rPr>
        <w:t>.</w:t>
      </w:r>
      <w:r>
        <w:rPr>
          <w:rFonts w:hint="eastAsia" w:ascii="仿宋" w:hAnsi="仿宋" w:eastAsia="仿宋"/>
          <w:b/>
          <w:sz w:val="32"/>
          <w:szCs w:val="24"/>
        </w:rPr>
        <w:t>卫生健康</w:t>
      </w:r>
      <w:r>
        <w:rPr>
          <w:rStyle w:val="16"/>
          <w:rFonts w:hint="eastAsia" w:ascii="仿宋" w:hAnsi="仿宋" w:eastAsia="仿宋"/>
          <w:sz w:val="32"/>
          <w:szCs w:val="24"/>
        </w:rPr>
        <w:t>（类）行政事业单位医疗（款）公务员医疗补助（项）: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4.16</w:t>
      </w:r>
      <w:r>
        <w:rPr>
          <w:rStyle w:val="16"/>
          <w:rFonts w:hint="eastAsia" w:ascii="仿宋" w:hAnsi="仿宋" w:eastAsia="仿宋"/>
          <w:b w:val="0"/>
          <w:sz w:val="32"/>
          <w:szCs w:val="24"/>
        </w:rPr>
        <w:t>万元，完成预算100%。</w:t>
      </w:r>
    </w:p>
    <w:p w14:paraId="6B3B5F69">
      <w:pPr>
        <w:pStyle w:val="2"/>
        <w:topLinePunct/>
        <w:spacing w:before="72" w:line="576" w:lineRule="exact"/>
        <w:ind w:firstLine="630" w:firstLineChars="196"/>
        <w:rPr>
          <w:rStyle w:val="16"/>
          <w:rFonts w:hint="eastAsia" w:ascii="仿宋" w:hAnsi="仿宋" w:eastAsia="仿宋"/>
          <w:sz w:val="32"/>
          <w:szCs w:val="24"/>
        </w:rPr>
      </w:pPr>
      <w:r>
        <w:rPr>
          <w:rStyle w:val="16"/>
          <w:rFonts w:hint="eastAsia" w:ascii="仿宋" w:hAnsi="仿宋" w:eastAsia="仿宋"/>
          <w:sz w:val="32"/>
          <w:szCs w:val="24"/>
          <w:lang w:val="en-US" w:eastAsia="zh-CN"/>
        </w:rPr>
        <w:t>8</w:t>
      </w:r>
      <w:r>
        <w:rPr>
          <w:rStyle w:val="16"/>
          <w:rFonts w:hint="eastAsia" w:ascii="仿宋" w:hAnsi="仿宋" w:eastAsia="仿宋"/>
          <w:sz w:val="32"/>
          <w:szCs w:val="24"/>
        </w:rPr>
        <w:t>.</w:t>
      </w:r>
      <w:r>
        <w:rPr>
          <w:rFonts w:hint="eastAsia" w:ascii="仿宋" w:hAnsi="仿宋" w:eastAsia="仿宋"/>
          <w:b/>
          <w:sz w:val="32"/>
          <w:szCs w:val="24"/>
        </w:rPr>
        <w:t>卫生健康</w:t>
      </w:r>
      <w:r>
        <w:rPr>
          <w:rStyle w:val="16"/>
          <w:rFonts w:hint="eastAsia" w:ascii="仿宋" w:hAnsi="仿宋" w:eastAsia="仿宋"/>
          <w:sz w:val="32"/>
          <w:szCs w:val="24"/>
        </w:rPr>
        <w:t>（类）行政事业单位医疗（款）其他行政事业单位医疗补助（项）: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29.80</w:t>
      </w:r>
      <w:r>
        <w:rPr>
          <w:rStyle w:val="16"/>
          <w:rFonts w:hint="eastAsia" w:ascii="仿宋" w:hAnsi="仿宋" w:eastAsia="仿宋"/>
          <w:b w:val="0"/>
          <w:sz w:val="32"/>
          <w:szCs w:val="24"/>
        </w:rPr>
        <w:t>万元，完成预算100%。</w:t>
      </w:r>
    </w:p>
    <w:p w14:paraId="19C44767">
      <w:pPr>
        <w:pStyle w:val="2"/>
        <w:topLinePunct/>
        <w:spacing w:before="72" w:line="576" w:lineRule="exact"/>
        <w:ind w:firstLine="630" w:firstLineChars="196"/>
        <w:rPr>
          <w:rStyle w:val="16"/>
          <w:rFonts w:hint="eastAsia" w:ascii="仿宋" w:hAnsi="仿宋" w:eastAsia="仿宋"/>
          <w:sz w:val="32"/>
          <w:szCs w:val="24"/>
        </w:rPr>
      </w:pPr>
      <w:r>
        <w:rPr>
          <w:rStyle w:val="16"/>
          <w:rFonts w:hint="eastAsia" w:ascii="仿宋" w:hAnsi="仿宋" w:eastAsia="仿宋"/>
          <w:sz w:val="32"/>
          <w:szCs w:val="24"/>
          <w:lang w:val="en-US" w:eastAsia="zh-CN"/>
        </w:rPr>
        <w:t>9</w:t>
      </w:r>
      <w:r>
        <w:rPr>
          <w:rStyle w:val="16"/>
          <w:rFonts w:hint="eastAsia" w:ascii="仿宋" w:hAnsi="仿宋" w:eastAsia="仿宋"/>
          <w:sz w:val="32"/>
          <w:szCs w:val="24"/>
        </w:rPr>
        <w:t>.</w:t>
      </w:r>
      <w:r>
        <w:rPr>
          <w:rFonts w:hint="eastAsia" w:ascii="仿宋" w:hAnsi="仿宋" w:eastAsia="仿宋"/>
          <w:b/>
          <w:sz w:val="32"/>
          <w:szCs w:val="24"/>
        </w:rPr>
        <w:t>农林水</w:t>
      </w:r>
      <w:r>
        <w:rPr>
          <w:rStyle w:val="16"/>
          <w:rFonts w:hint="eastAsia" w:ascii="仿宋" w:hAnsi="仿宋" w:eastAsia="仿宋"/>
          <w:sz w:val="32"/>
          <w:szCs w:val="24"/>
        </w:rPr>
        <w:t>（类）</w:t>
      </w:r>
      <w:r>
        <w:rPr>
          <w:rStyle w:val="16"/>
          <w:rFonts w:hint="eastAsia" w:ascii="仿宋" w:hAnsi="仿宋" w:eastAsia="仿宋"/>
          <w:sz w:val="32"/>
          <w:szCs w:val="24"/>
          <w:lang w:eastAsia="zh-CN"/>
        </w:rPr>
        <w:t>农业农村</w:t>
      </w:r>
      <w:r>
        <w:rPr>
          <w:rStyle w:val="16"/>
          <w:rFonts w:hint="eastAsia" w:ascii="仿宋" w:hAnsi="仿宋" w:eastAsia="仿宋"/>
          <w:sz w:val="32"/>
          <w:szCs w:val="24"/>
        </w:rPr>
        <w:t>（款）其他</w:t>
      </w:r>
      <w:r>
        <w:rPr>
          <w:rFonts w:hint="eastAsia" w:ascii="仿宋" w:hAnsi="仿宋" w:eastAsia="仿宋"/>
          <w:b/>
          <w:sz w:val="32"/>
          <w:szCs w:val="24"/>
          <w:lang w:eastAsia="zh-CN"/>
        </w:rPr>
        <w:t>农业农村支出</w:t>
      </w:r>
      <w:r>
        <w:rPr>
          <w:rStyle w:val="16"/>
          <w:rFonts w:hint="eastAsia" w:ascii="仿宋" w:hAnsi="仿宋" w:eastAsia="仿宋"/>
          <w:sz w:val="32"/>
          <w:szCs w:val="24"/>
        </w:rPr>
        <w:t>（项）: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w:t>
      </w:r>
      <w:r>
        <w:rPr>
          <w:rStyle w:val="16"/>
          <w:rFonts w:hint="eastAsia" w:ascii="仿宋" w:hAnsi="仿宋" w:eastAsia="仿宋"/>
          <w:b w:val="0"/>
          <w:sz w:val="32"/>
          <w:szCs w:val="24"/>
        </w:rPr>
        <w:t>万元，完成预算100%。</w:t>
      </w:r>
    </w:p>
    <w:p w14:paraId="25BD89D1">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0</w:t>
      </w:r>
      <w:r>
        <w:rPr>
          <w:rStyle w:val="16"/>
          <w:rFonts w:hint="eastAsia" w:ascii="仿宋" w:hAnsi="仿宋" w:eastAsia="仿宋"/>
          <w:sz w:val="32"/>
          <w:szCs w:val="24"/>
        </w:rPr>
        <w:t>.</w:t>
      </w:r>
      <w:r>
        <w:rPr>
          <w:rFonts w:hint="eastAsia" w:ascii="仿宋" w:hAnsi="仿宋" w:eastAsia="仿宋"/>
          <w:b/>
          <w:sz w:val="32"/>
          <w:szCs w:val="24"/>
        </w:rPr>
        <w:t>农林水</w:t>
      </w:r>
      <w:r>
        <w:rPr>
          <w:rStyle w:val="16"/>
          <w:rFonts w:hint="eastAsia" w:ascii="仿宋" w:hAnsi="仿宋" w:eastAsia="仿宋"/>
          <w:sz w:val="32"/>
          <w:szCs w:val="24"/>
        </w:rPr>
        <w:t>（类）其他</w:t>
      </w:r>
      <w:r>
        <w:rPr>
          <w:rFonts w:hint="eastAsia" w:ascii="仿宋" w:hAnsi="仿宋" w:eastAsia="仿宋"/>
          <w:b/>
          <w:sz w:val="32"/>
          <w:szCs w:val="24"/>
        </w:rPr>
        <w:t>农林水</w:t>
      </w:r>
      <w:r>
        <w:rPr>
          <w:rStyle w:val="16"/>
          <w:rFonts w:hint="eastAsia" w:ascii="仿宋" w:hAnsi="仿宋" w:eastAsia="仿宋"/>
          <w:sz w:val="32"/>
          <w:szCs w:val="24"/>
        </w:rPr>
        <w:t>（款）其他</w:t>
      </w:r>
      <w:r>
        <w:rPr>
          <w:rFonts w:hint="eastAsia" w:ascii="仿宋" w:hAnsi="仿宋" w:eastAsia="仿宋"/>
          <w:b/>
          <w:sz w:val="32"/>
          <w:szCs w:val="24"/>
        </w:rPr>
        <w:t>农林水</w:t>
      </w:r>
      <w:r>
        <w:rPr>
          <w:rStyle w:val="16"/>
          <w:rFonts w:hint="eastAsia" w:ascii="仿宋" w:hAnsi="仿宋" w:eastAsia="仿宋"/>
          <w:sz w:val="32"/>
          <w:szCs w:val="24"/>
        </w:rPr>
        <w:t>（项）: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127.26</w:t>
      </w:r>
      <w:r>
        <w:rPr>
          <w:rStyle w:val="16"/>
          <w:rFonts w:hint="eastAsia" w:ascii="仿宋" w:hAnsi="仿宋" w:eastAsia="仿宋"/>
          <w:b w:val="0"/>
          <w:sz w:val="32"/>
          <w:szCs w:val="24"/>
        </w:rPr>
        <w:t>万元，完成预算100%。</w:t>
      </w:r>
    </w:p>
    <w:p w14:paraId="7014C731">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1</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（类）自然资源事务（款）行政运行（项）: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362.99</w:t>
      </w:r>
      <w:r>
        <w:rPr>
          <w:rStyle w:val="16"/>
          <w:rFonts w:hint="eastAsia" w:ascii="仿宋" w:hAnsi="仿宋" w:eastAsia="仿宋"/>
          <w:b w:val="0"/>
          <w:sz w:val="32"/>
          <w:szCs w:val="24"/>
        </w:rPr>
        <w:t>万元，完成预算100%。</w:t>
      </w:r>
    </w:p>
    <w:p w14:paraId="69EE9F50">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2</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（类）自然资源事务（款）一般行政管理事务（项）: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38.64</w:t>
      </w:r>
      <w:r>
        <w:rPr>
          <w:rStyle w:val="16"/>
          <w:rFonts w:hint="eastAsia" w:ascii="仿宋" w:hAnsi="仿宋" w:eastAsia="仿宋"/>
          <w:b w:val="0"/>
          <w:sz w:val="32"/>
          <w:szCs w:val="24"/>
        </w:rPr>
        <w:t>万元，完成预算100%。</w:t>
      </w:r>
    </w:p>
    <w:p w14:paraId="44A9EFC1">
      <w:pPr>
        <w:pStyle w:val="2"/>
        <w:topLinePunct/>
        <w:spacing w:before="72" w:line="576" w:lineRule="exact"/>
        <w:ind w:firstLine="630" w:firstLineChars="196"/>
        <w:rPr>
          <w:rStyle w:val="16"/>
          <w:rFonts w:hint="eastAsia" w:ascii="仿宋" w:hAnsi="仿宋" w:eastAsia="仿宋"/>
          <w:sz w:val="32"/>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3</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（类）自然资源事务（款）自然资源规划及管理（项）: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781.55</w:t>
      </w:r>
      <w:r>
        <w:rPr>
          <w:rStyle w:val="16"/>
          <w:rFonts w:hint="eastAsia" w:ascii="仿宋" w:hAnsi="仿宋" w:eastAsia="仿宋"/>
          <w:b w:val="0"/>
          <w:sz w:val="32"/>
          <w:szCs w:val="24"/>
        </w:rPr>
        <w:t>万元，完成预算100%。</w:t>
      </w:r>
    </w:p>
    <w:p w14:paraId="50A53B41">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4</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（类）自然资源事务（款）自然资源利用与保护（项）: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292.82</w:t>
      </w:r>
      <w:r>
        <w:rPr>
          <w:rStyle w:val="16"/>
          <w:rFonts w:hint="eastAsia" w:ascii="仿宋" w:hAnsi="仿宋" w:eastAsia="仿宋"/>
          <w:b w:val="0"/>
          <w:sz w:val="32"/>
          <w:szCs w:val="24"/>
        </w:rPr>
        <w:t>万元，完成预算100%。</w:t>
      </w:r>
    </w:p>
    <w:p w14:paraId="09356F1E">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rPr>
        <w:t>15.</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（类）自然资源事务（款）自然资源调查与确权登记（项）: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99</w:t>
      </w:r>
      <w:r>
        <w:rPr>
          <w:rStyle w:val="16"/>
          <w:rFonts w:hint="eastAsia" w:ascii="仿宋" w:hAnsi="仿宋" w:eastAsia="仿宋"/>
          <w:b w:val="0"/>
          <w:sz w:val="32"/>
          <w:szCs w:val="24"/>
        </w:rPr>
        <w:t>万元，完成预算100%。</w:t>
      </w:r>
    </w:p>
    <w:p w14:paraId="61A0219B">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rPr>
        <w:t>16.</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（类）自然资源事务（款）地质勘查与矿产资源管理（项）: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325.52</w:t>
      </w:r>
      <w:r>
        <w:rPr>
          <w:rStyle w:val="16"/>
          <w:rFonts w:hint="eastAsia" w:ascii="仿宋" w:hAnsi="仿宋" w:eastAsia="仿宋"/>
          <w:b w:val="0"/>
          <w:sz w:val="32"/>
          <w:szCs w:val="24"/>
        </w:rPr>
        <w:t>万元，完成预算100%。</w:t>
      </w:r>
    </w:p>
    <w:p w14:paraId="15DD3C56">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7</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（类）自然资源事务（款）事业运行（项）:</w:t>
      </w:r>
      <w:r>
        <w:rPr>
          <w:rStyle w:val="16"/>
          <w:rFonts w:hint="eastAsia" w:ascii="仿宋" w:hAnsi="仿宋" w:eastAsia="仿宋"/>
          <w:b w:val="0"/>
          <w:sz w:val="32"/>
          <w:szCs w:val="24"/>
        </w:rPr>
        <w:t>支出决算为4</w:t>
      </w:r>
      <w:r>
        <w:rPr>
          <w:rStyle w:val="16"/>
          <w:rFonts w:hint="eastAsia" w:ascii="仿宋" w:hAnsi="仿宋" w:eastAsia="仿宋"/>
          <w:b w:val="0"/>
          <w:sz w:val="32"/>
          <w:szCs w:val="24"/>
          <w:lang w:val="en-US" w:eastAsia="zh-CN"/>
        </w:rPr>
        <w:t>43.49</w:t>
      </w:r>
      <w:r>
        <w:rPr>
          <w:rStyle w:val="16"/>
          <w:rFonts w:hint="eastAsia" w:ascii="仿宋" w:hAnsi="仿宋" w:eastAsia="仿宋"/>
          <w:b w:val="0"/>
          <w:sz w:val="32"/>
          <w:szCs w:val="24"/>
        </w:rPr>
        <w:t>万元，完成预算100%。</w:t>
      </w:r>
    </w:p>
    <w:p w14:paraId="253BE978">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8</w:t>
      </w:r>
      <w:r>
        <w:rPr>
          <w:rStyle w:val="16"/>
          <w:rFonts w:hint="eastAsia" w:ascii="仿宋" w:hAnsi="仿宋" w:eastAsia="仿宋"/>
          <w:sz w:val="32"/>
          <w:szCs w:val="24"/>
        </w:rPr>
        <w:t>.</w:t>
      </w:r>
      <w:r>
        <w:rPr>
          <w:rFonts w:hint="eastAsia" w:ascii="仿宋" w:hAnsi="仿宋" w:eastAsia="仿宋"/>
          <w:b/>
          <w:sz w:val="32"/>
          <w:szCs w:val="24"/>
        </w:rPr>
        <w:t>自然资源海洋气象等</w:t>
      </w:r>
      <w:r>
        <w:rPr>
          <w:rStyle w:val="16"/>
          <w:rFonts w:hint="eastAsia" w:ascii="仿宋" w:hAnsi="仿宋" w:eastAsia="仿宋"/>
          <w:sz w:val="32"/>
          <w:szCs w:val="24"/>
        </w:rPr>
        <w:t>（类）自然资源事务（款）其他自然资源事务支出（项）: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2172.14</w:t>
      </w:r>
      <w:r>
        <w:rPr>
          <w:rStyle w:val="16"/>
          <w:rFonts w:hint="eastAsia" w:ascii="仿宋" w:hAnsi="仿宋" w:eastAsia="仿宋"/>
          <w:b w:val="0"/>
          <w:sz w:val="32"/>
          <w:szCs w:val="24"/>
        </w:rPr>
        <w:t>万元，完成预算100%。</w:t>
      </w:r>
    </w:p>
    <w:p w14:paraId="1C069DFD">
      <w:pPr>
        <w:pStyle w:val="2"/>
        <w:topLinePunct/>
        <w:spacing w:before="72" w:line="576" w:lineRule="exact"/>
        <w:ind w:firstLine="630" w:firstLineChars="196"/>
        <w:rPr>
          <w:rFonts w:hint="eastAsia"/>
          <w:sz w:val="30"/>
          <w:szCs w:val="24"/>
        </w:rPr>
      </w:pPr>
      <w:r>
        <w:rPr>
          <w:rStyle w:val="16"/>
          <w:rFonts w:hint="eastAsia" w:ascii="仿宋" w:hAnsi="仿宋" w:eastAsia="仿宋"/>
          <w:sz w:val="32"/>
          <w:szCs w:val="24"/>
        </w:rPr>
        <w:t>1</w:t>
      </w:r>
      <w:r>
        <w:rPr>
          <w:rStyle w:val="16"/>
          <w:rFonts w:hint="eastAsia" w:ascii="仿宋" w:hAnsi="仿宋" w:eastAsia="仿宋"/>
          <w:sz w:val="32"/>
          <w:szCs w:val="24"/>
          <w:lang w:val="en-US" w:eastAsia="zh-CN"/>
        </w:rPr>
        <w:t>9</w:t>
      </w:r>
      <w:r>
        <w:rPr>
          <w:rStyle w:val="16"/>
          <w:rFonts w:hint="eastAsia" w:ascii="仿宋" w:hAnsi="仿宋" w:eastAsia="仿宋"/>
          <w:sz w:val="32"/>
          <w:szCs w:val="24"/>
        </w:rPr>
        <w:t>.</w:t>
      </w:r>
      <w:r>
        <w:rPr>
          <w:rFonts w:hint="eastAsia" w:ascii="仿宋" w:hAnsi="仿宋" w:eastAsia="仿宋"/>
          <w:b/>
          <w:sz w:val="32"/>
          <w:szCs w:val="24"/>
        </w:rPr>
        <w:t>住房保障</w:t>
      </w:r>
      <w:r>
        <w:rPr>
          <w:rStyle w:val="16"/>
          <w:rFonts w:hint="eastAsia" w:ascii="仿宋" w:hAnsi="仿宋" w:eastAsia="仿宋"/>
          <w:sz w:val="32"/>
          <w:szCs w:val="24"/>
        </w:rPr>
        <w:t>（类）住房改革（款）住房公积金（项）:</w:t>
      </w:r>
      <w:r>
        <w:rPr>
          <w:rStyle w:val="16"/>
          <w:rFonts w:hint="eastAsia" w:ascii="仿宋" w:hAnsi="仿宋" w:eastAsia="仿宋"/>
          <w:b w:val="0"/>
          <w:sz w:val="32"/>
          <w:szCs w:val="24"/>
        </w:rPr>
        <w:t>支出决算为7</w:t>
      </w:r>
      <w:r>
        <w:rPr>
          <w:rStyle w:val="16"/>
          <w:rFonts w:hint="eastAsia" w:ascii="仿宋" w:hAnsi="仿宋" w:eastAsia="仿宋"/>
          <w:b w:val="0"/>
          <w:sz w:val="32"/>
          <w:szCs w:val="24"/>
          <w:lang w:val="en-US" w:eastAsia="zh-CN"/>
        </w:rPr>
        <w:t>5.24</w:t>
      </w:r>
      <w:r>
        <w:rPr>
          <w:rStyle w:val="16"/>
          <w:rFonts w:hint="eastAsia" w:ascii="仿宋" w:hAnsi="仿宋" w:eastAsia="仿宋"/>
          <w:b w:val="0"/>
          <w:sz w:val="32"/>
          <w:szCs w:val="24"/>
        </w:rPr>
        <w:t>万元，完成预算100%。</w:t>
      </w:r>
    </w:p>
    <w:p w14:paraId="068D2B29">
      <w:pPr>
        <w:pStyle w:val="2"/>
        <w:topLinePunct/>
        <w:spacing w:before="72" w:line="576" w:lineRule="exact"/>
        <w:ind w:firstLine="630" w:firstLineChars="196"/>
        <w:rPr>
          <w:rStyle w:val="16"/>
          <w:rFonts w:hint="eastAsia" w:ascii="仿宋" w:hAnsi="仿宋" w:eastAsia="仿宋"/>
          <w:b w:val="0"/>
          <w:sz w:val="32"/>
          <w:szCs w:val="24"/>
        </w:rPr>
      </w:pPr>
      <w:r>
        <w:rPr>
          <w:rStyle w:val="16"/>
          <w:rFonts w:hint="eastAsia" w:ascii="仿宋" w:hAnsi="仿宋" w:eastAsia="仿宋"/>
          <w:sz w:val="32"/>
          <w:szCs w:val="24"/>
          <w:lang w:val="en-US" w:eastAsia="zh-CN"/>
        </w:rPr>
        <w:t>20</w:t>
      </w:r>
      <w:r>
        <w:rPr>
          <w:rStyle w:val="16"/>
          <w:rFonts w:hint="eastAsia" w:ascii="仿宋" w:hAnsi="仿宋" w:eastAsia="仿宋"/>
          <w:sz w:val="32"/>
          <w:szCs w:val="24"/>
        </w:rPr>
        <w:t>.</w:t>
      </w:r>
      <w:r>
        <w:rPr>
          <w:rFonts w:hint="eastAsia" w:ascii="仿宋" w:hAnsi="仿宋" w:eastAsia="仿宋"/>
          <w:b/>
          <w:sz w:val="32"/>
          <w:szCs w:val="24"/>
        </w:rPr>
        <w:t>灾害防治及应急管理</w:t>
      </w:r>
      <w:r>
        <w:rPr>
          <w:rStyle w:val="16"/>
          <w:rFonts w:hint="eastAsia" w:ascii="仿宋" w:hAnsi="仿宋" w:eastAsia="仿宋"/>
          <w:sz w:val="32"/>
          <w:szCs w:val="24"/>
        </w:rPr>
        <w:t>（类）自然灾害防治（款）地质灾害防治（项）: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1451.12</w:t>
      </w:r>
      <w:r>
        <w:rPr>
          <w:rStyle w:val="16"/>
          <w:rFonts w:hint="eastAsia" w:ascii="仿宋" w:hAnsi="仿宋" w:eastAsia="仿宋"/>
          <w:b w:val="0"/>
          <w:sz w:val="32"/>
          <w:szCs w:val="24"/>
        </w:rPr>
        <w:t>万元，完成预算100%。</w:t>
      </w:r>
    </w:p>
    <w:p w14:paraId="22AA480A">
      <w:pPr>
        <w:spacing w:line="600" w:lineRule="exact"/>
        <w:ind w:firstLine="640"/>
        <w:rPr>
          <w:rFonts w:ascii="仿宋" w:hAnsi="仿宋" w:eastAsia="仿宋"/>
          <w:b/>
          <w:sz w:val="32"/>
          <w:szCs w:val="32"/>
        </w:rPr>
      </w:pPr>
      <w:r>
        <w:rPr>
          <w:rStyle w:val="16"/>
          <w:rFonts w:hint="eastAsia" w:ascii="仿宋" w:hAnsi="仿宋" w:eastAsia="仿宋"/>
          <w:sz w:val="32"/>
          <w:szCs w:val="24"/>
        </w:rPr>
        <w:t>2</w:t>
      </w:r>
      <w:r>
        <w:rPr>
          <w:rStyle w:val="16"/>
          <w:rFonts w:hint="eastAsia" w:ascii="仿宋" w:hAnsi="仿宋" w:eastAsia="仿宋"/>
          <w:sz w:val="32"/>
          <w:szCs w:val="24"/>
          <w:lang w:val="en-US" w:eastAsia="zh-CN"/>
        </w:rPr>
        <w:t>1</w:t>
      </w:r>
      <w:r>
        <w:rPr>
          <w:rStyle w:val="16"/>
          <w:rFonts w:hint="eastAsia" w:ascii="仿宋" w:hAnsi="仿宋" w:eastAsia="仿宋"/>
          <w:sz w:val="32"/>
          <w:szCs w:val="24"/>
        </w:rPr>
        <w:t>.</w:t>
      </w:r>
      <w:r>
        <w:rPr>
          <w:rFonts w:hint="eastAsia" w:ascii="仿宋" w:hAnsi="仿宋" w:eastAsia="仿宋"/>
          <w:b/>
          <w:sz w:val="32"/>
          <w:szCs w:val="24"/>
        </w:rPr>
        <w:t>灾害防治及应急管理</w:t>
      </w:r>
      <w:r>
        <w:rPr>
          <w:rStyle w:val="16"/>
          <w:rFonts w:hint="eastAsia" w:ascii="仿宋" w:hAnsi="仿宋" w:eastAsia="仿宋"/>
          <w:sz w:val="32"/>
          <w:szCs w:val="24"/>
        </w:rPr>
        <w:t>（类）自然灾害防治（款）其他自然灾害防治支出（项）:</w:t>
      </w:r>
      <w:r>
        <w:rPr>
          <w:rStyle w:val="16"/>
          <w:rFonts w:hint="eastAsia" w:ascii="仿宋" w:hAnsi="仿宋" w:eastAsia="仿宋"/>
          <w:b w:val="0"/>
          <w:sz w:val="32"/>
          <w:szCs w:val="24"/>
        </w:rPr>
        <w:t>支出决算为</w:t>
      </w:r>
      <w:r>
        <w:rPr>
          <w:rStyle w:val="16"/>
          <w:rFonts w:hint="eastAsia" w:ascii="仿宋" w:hAnsi="仿宋" w:eastAsia="仿宋"/>
          <w:b w:val="0"/>
          <w:sz w:val="32"/>
          <w:szCs w:val="24"/>
          <w:lang w:val="en-US" w:eastAsia="zh-CN"/>
        </w:rPr>
        <w:t>478.04</w:t>
      </w:r>
      <w:r>
        <w:rPr>
          <w:rStyle w:val="16"/>
          <w:rFonts w:hint="eastAsia" w:ascii="仿宋" w:hAnsi="仿宋" w:eastAsia="仿宋"/>
          <w:b w:val="0"/>
          <w:sz w:val="32"/>
          <w:szCs w:val="24"/>
        </w:rPr>
        <w:t>万元，完成预算100%。</w:t>
      </w:r>
    </w:p>
    <w:p w14:paraId="455D0F5B">
      <w:pPr>
        <w:tabs>
          <w:tab w:val="right" w:pos="8306"/>
        </w:tabs>
        <w:spacing w:line="600" w:lineRule="exact"/>
        <w:ind w:firstLine="640"/>
        <w:outlineLvl w:val="1"/>
        <w:rPr>
          <w:rStyle w:val="28"/>
        </w:rPr>
      </w:pPr>
      <w:bookmarkStart w:id="26" w:name="_Toc15377214"/>
      <w:bookmarkStart w:id="27"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26"/>
      <w:bookmarkEnd w:id="27"/>
      <w:r>
        <w:rPr>
          <w:rStyle w:val="28"/>
          <w:rFonts w:ascii="黑体" w:hAnsi="黑体" w:eastAsia="黑体"/>
          <w:b w:val="0"/>
        </w:rPr>
        <w:tab/>
      </w:r>
    </w:p>
    <w:p w14:paraId="6F8E2909">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1134.75</w:t>
      </w:r>
      <w:r>
        <w:rPr>
          <w:rFonts w:hint="eastAsia" w:ascii="仿宋" w:hAnsi="仿宋" w:eastAsia="仿宋"/>
          <w:sz w:val="32"/>
          <w:szCs w:val="32"/>
        </w:rPr>
        <w:t>万元，其中：</w:t>
      </w:r>
    </w:p>
    <w:p w14:paraId="52592EC5">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1059.31</w:t>
      </w:r>
      <w:r>
        <w:rPr>
          <w:rFonts w:hint="eastAsia" w:ascii="仿宋" w:hAnsi="仿宋" w:eastAsia="仿宋"/>
          <w:sz w:val="32"/>
          <w:szCs w:val="32"/>
        </w:rPr>
        <w:t>万元，主要包括：基本工资、津贴补贴、奖金、绩效工资、机关事业单位基本养老保险缴费、职业年金缴费、其他社会保障缴费、其他工资福利支出、生活补助、医疗费补助、奖励金等。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75.44</w:t>
      </w:r>
      <w:r>
        <w:rPr>
          <w:rFonts w:hint="eastAsia" w:ascii="仿宋" w:hAnsi="仿宋" w:eastAsia="仿宋"/>
          <w:sz w:val="32"/>
          <w:szCs w:val="32"/>
        </w:rPr>
        <w:t>万元，主要包括：办公费、水费、电费、邮电费、差旅费、维修（护）费、会议费、公务接待费、劳务费、工会经费、福利费、公务用车运行维护费、其他交通费、其他商品和服务支出等。</w:t>
      </w:r>
    </w:p>
    <w:p w14:paraId="200BEBF0">
      <w:pPr>
        <w:spacing w:line="600" w:lineRule="exact"/>
        <w:ind w:firstLine="640"/>
        <w:outlineLvl w:val="1"/>
        <w:rPr>
          <w:rStyle w:val="28"/>
          <w:rFonts w:ascii="黑体" w:hAnsi="黑体" w:eastAsia="黑体"/>
          <w:b w:val="0"/>
        </w:rPr>
      </w:pPr>
      <w:bookmarkStart w:id="28" w:name="_Toc15396609"/>
      <w:bookmarkStart w:id="29" w:name="_Toc15377215"/>
      <w:r>
        <w:rPr>
          <w:rFonts w:hint="eastAsia" w:ascii="黑体" w:eastAsia="黑体"/>
          <w:sz w:val="32"/>
          <w:szCs w:val="32"/>
        </w:rPr>
        <w:t>七、</w:t>
      </w:r>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28"/>
      <w:bookmarkEnd w:id="29"/>
    </w:p>
    <w:p w14:paraId="7BDDA3E1">
      <w:pPr>
        <w:spacing w:line="600" w:lineRule="exact"/>
        <w:ind w:firstLine="640"/>
        <w:outlineLvl w:val="2"/>
        <w:rPr>
          <w:rFonts w:ascii="仿宋" w:hAnsi="仿宋" w:eastAsia="仿宋"/>
          <w:b/>
          <w:sz w:val="32"/>
          <w:szCs w:val="32"/>
        </w:rPr>
      </w:pPr>
      <w:bookmarkStart w:id="30" w:name="_Toc15377216"/>
      <w:r>
        <w:rPr>
          <w:rFonts w:hint="eastAsia" w:ascii="仿宋" w:hAnsi="仿宋" w:eastAsia="仿宋"/>
          <w:b/>
          <w:sz w:val="32"/>
          <w:szCs w:val="32"/>
        </w:rPr>
        <w:t>（一）“三公”经费财政拨款支出决算总体情况说明</w:t>
      </w:r>
      <w:bookmarkEnd w:id="30"/>
    </w:p>
    <w:p w14:paraId="3F93B957">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1.44</w:t>
      </w:r>
      <w:r>
        <w:rPr>
          <w:rFonts w:hint="eastAsia" w:ascii="仿宋" w:hAnsi="仿宋" w:eastAsia="仿宋"/>
          <w:sz w:val="32"/>
          <w:szCs w:val="32"/>
        </w:rPr>
        <w:t>万元，完成预算</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，较上年度增加</w:t>
      </w:r>
      <w:r>
        <w:rPr>
          <w:rFonts w:hint="eastAsia" w:ascii="仿宋" w:hAnsi="仿宋" w:eastAsia="仿宋"/>
          <w:sz w:val="32"/>
          <w:szCs w:val="32"/>
          <w:lang w:val="en-US" w:eastAsia="zh-CN"/>
        </w:rPr>
        <w:t>0.54</w:t>
      </w:r>
      <w:r>
        <w:rPr>
          <w:rFonts w:hint="eastAsia" w:ascii="仿宋" w:hAnsi="仿宋" w:eastAsia="仿宋"/>
          <w:sz w:val="32"/>
          <w:szCs w:val="32"/>
        </w:rPr>
        <w:t>万元，增长</w:t>
      </w:r>
      <w:r>
        <w:rPr>
          <w:rFonts w:hint="eastAsia" w:ascii="仿宋" w:hAnsi="仿宋" w:eastAsia="仿宋"/>
          <w:sz w:val="32"/>
          <w:szCs w:val="32"/>
          <w:lang w:val="en-US" w:eastAsia="zh-CN"/>
        </w:rPr>
        <w:t>60</w:t>
      </w:r>
      <w:r>
        <w:rPr>
          <w:rFonts w:hint="eastAsia" w:ascii="仿宋" w:hAnsi="仿宋" w:eastAsia="仿宋"/>
          <w:sz w:val="32"/>
          <w:szCs w:val="32"/>
        </w:rPr>
        <w:t>%。决算数与预算数持平。</w:t>
      </w:r>
    </w:p>
    <w:p w14:paraId="4D00FDC3">
      <w:pPr>
        <w:spacing w:line="600" w:lineRule="exact"/>
        <w:ind w:firstLine="640"/>
        <w:outlineLvl w:val="2"/>
        <w:rPr>
          <w:rFonts w:ascii="仿宋" w:hAnsi="仿宋" w:eastAsia="仿宋"/>
          <w:b/>
          <w:sz w:val="32"/>
          <w:szCs w:val="32"/>
        </w:rPr>
      </w:pPr>
      <w:bookmarkStart w:id="31" w:name="_Toc15377217"/>
      <w:r>
        <w:rPr>
          <w:rFonts w:hint="eastAsia" w:ascii="仿宋" w:hAnsi="仿宋" w:eastAsia="仿宋"/>
          <w:b/>
          <w:sz w:val="32"/>
          <w:szCs w:val="32"/>
        </w:rPr>
        <w:t>（二）“三公”经费财政拨款支出决算具体情况说明</w:t>
      </w:r>
      <w:bookmarkEnd w:id="31"/>
    </w:p>
    <w:p w14:paraId="02B910B8">
      <w:pPr>
        <w:spacing w:line="600" w:lineRule="exact"/>
        <w:ind w:firstLine="640"/>
        <w:rPr>
          <w:rFonts w:hint="eastAsia"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0.8</w:t>
      </w:r>
      <w:r>
        <w:rPr>
          <w:rFonts w:hint="eastAsia" w:ascii="仿宋" w:hAnsi="仿宋" w:eastAsia="仿宋"/>
          <w:sz w:val="32"/>
          <w:szCs w:val="32"/>
        </w:rPr>
        <w:t>万元，占</w:t>
      </w:r>
      <w:r>
        <w:rPr>
          <w:rFonts w:ascii="仿宋" w:hAnsi="仿宋" w:eastAsia="仿宋"/>
          <w:b/>
          <w:sz w:val="32"/>
          <w:szCs w:val="32"/>
        </w:rPr>
        <w:t>55.45</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0.64</w:t>
      </w:r>
      <w:r>
        <w:rPr>
          <w:rFonts w:hint="eastAsia" w:ascii="仿宋" w:hAnsi="仿宋" w:eastAsia="仿宋"/>
          <w:sz w:val="32"/>
          <w:szCs w:val="32"/>
        </w:rPr>
        <w:t>万元，占</w:t>
      </w:r>
      <w:r>
        <w:rPr>
          <w:rFonts w:ascii="仿宋" w:hAnsi="仿宋" w:eastAsia="仿宋"/>
          <w:b/>
          <w:sz w:val="32"/>
          <w:szCs w:val="32"/>
        </w:rPr>
        <w:t>44.54</w:t>
      </w:r>
      <w:r>
        <w:rPr>
          <w:rFonts w:ascii="仿宋" w:hAnsi="仿宋" w:eastAsia="仿宋"/>
          <w:sz w:val="32"/>
          <w:szCs w:val="32"/>
        </w:rPr>
        <w:t>%</w:t>
      </w:r>
      <w:r>
        <w:rPr>
          <w:rFonts w:hint="eastAsia" w:ascii="仿宋" w:hAnsi="仿宋" w:eastAsia="仿宋"/>
          <w:sz w:val="32"/>
          <w:szCs w:val="32"/>
        </w:rPr>
        <w:t>。具体情况如下：</w:t>
      </w:r>
    </w:p>
    <w:p w14:paraId="4EF0BFA2">
      <w:pPr>
        <w:pStyle w:val="18"/>
      </w:pPr>
    </w:p>
    <w:p w14:paraId="206606FD">
      <w:pPr>
        <w:spacing w:line="600" w:lineRule="exact"/>
        <w:rPr>
          <w:rFonts w:hint="eastAsia" w:ascii="仿宋" w:hAnsi="仿宋" w:eastAsia="仿宋"/>
          <w:sz w:val="32"/>
          <w:szCs w:val="32"/>
        </w:rPr>
      </w:pPr>
      <w:r>
        <w:rPr>
          <w:rFonts w:hint="default"/>
          <w:sz w:val="30"/>
          <w:szCs w:val="24"/>
        </w:rPr>
        <w:pict>
          <v:shape id="_x0000_s1033" o:spid="_x0000_s1033" o:spt="75" type="#_x0000_t75" style="position:absolute;left:0pt;margin-left:41.1pt;margin-top:16.65pt;height:222.75pt;width:326.85pt;mso-wrap-distance-bottom:0pt;mso-wrap-distance-left:9pt;mso-wrap-distance-right:9pt;mso-wrap-distance-top:0pt;z-index:251669504;mso-width-relative:page;mso-height-relative:page;" o:ole="t" filled="f" o:preferrelative="t" stroked="f" coordsize="21600,21600">
            <v:path/>
            <v:fill on="f" focussize="0,0"/>
            <v:stroke on="f"/>
            <v:imagedata r:id="rId26" o:title=""/>
            <o:lock v:ext="edit" aspectratio="t"/>
            <w10:wrap type="square"/>
          </v:shape>
          <o:OLEObject Type="Embed" ProgID="Excel.Chart.8" ShapeID="_x0000_s1033" DrawAspect="Content" ObjectID="_1468075731" r:id="rId25">
            <o:LockedField>false</o:LockedField>
          </o:OLEObject>
        </w:pict>
      </w:r>
    </w:p>
    <w:p w14:paraId="324F2EB8">
      <w:pPr>
        <w:spacing w:line="600" w:lineRule="exact"/>
        <w:ind w:firstLine="640"/>
        <w:rPr>
          <w:rFonts w:hint="eastAsia" w:ascii="仿宋" w:hAnsi="仿宋" w:eastAsia="仿宋"/>
          <w:sz w:val="32"/>
          <w:szCs w:val="32"/>
        </w:rPr>
      </w:pPr>
    </w:p>
    <w:p w14:paraId="124D4147">
      <w:pPr>
        <w:spacing w:line="600" w:lineRule="exact"/>
        <w:ind w:firstLine="640"/>
        <w:rPr>
          <w:rFonts w:hint="eastAsia" w:ascii="仿宋" w:hAnsi="仿宋" w:eastAsia="仿宋"/>
          <w:sz w:val="32"/>
          <w:szCs w:val="32"/>
        </w:rPr>
      </w:pPr>
    </w:p>
    <w:p w14:paraId="25315A60">
      <w:pPr>
        <w:spacing w:line="600" w:lineRule="exact"/>
        <w:ind w:firstLine="640"/>
        <w:rPr>
          <w:rFonts w:hint="eastAsia" w:ascii="仿宋" w:hAnsi="仿宋" w:eastAsia="仿宋"/>
          <w:sz w:val="32"/>
          <w:szCs w:val="32"/>
        </w:rPr>
      </w:pPr>
    </w:p>
    <w:p w14:paraId="6732087C">
      <w:pPr>
        <w:spacing w:line="600" w:lineRule="exact"/>
        <w:ind w:firstLine="640"/>
        <w:rPr>
          <w:rFonts w:hint="eastAsia" w:ascii="仿宋" w:hAnsi="仿宋" w:eastAsia="仿宋"/>
          <w:sz w:val="32"/>
          <w:szCs w:val="32"/>
        </w:rPr>
      </w:pPr>
    </w:p>
    <w:p w14:paraId="2F2E9CA1">
      <w:pPr>
        <w:spacing w:line="600" w:lineRule="exact"/>
        <w:ind w:firstLine="640"/>
        <w:rPr>
          <w:rFonts w:hint="eastAsia" w:ascii="仿宋" w:hAnsi="仿宋" w:eastAsia="仿宋"/>
          <w:sz w:val="32"/>
          <w:szCs w:val="32"/>
        </w:rPr>
      </w:pPr>
    </w:p>
    <w:p w14:paraId="52861011">
      <w:pPr>
        <w:spacing w:line="600" w:lineRule="exact"/>
        <w:ind w:firstLine="640"/>
        <w:rPr>
          <w:rFonts w:hint="eastAsia" w:ascii="仿宋" w:hAnsi="仿宋" w:eastAsia="仿宋"/>
          <w:sz w:val="32"/>
          <w:szCs w:val="32"/>
        </w:rPr>
      </w:pPr>
    </w:p>
    <w:p w14:paraId="374DFB3B">
      <w:pPr>
        <w:spacing w:line="600" w:lineRule="exact"/>
        <w:ind w:firstLine="640"/>
        <w:rPr>
          <w:rFonts w:hint="eastAsia" w:ascii="仿宋" w:hAnsi="仿宋" w:eastAsia="仿宋"/>
          <w:sz w:val="32"/>
          <w:szCs w:val="32"/>
        </w:rPr>
      </w:pPr>
    </w:p>
    <w:p w14:paraId="6050C00F">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14:paraId="1CD464D4">
      <w:pPr>
        <w:spacing w:line="600" w:lineRule="exact"/>
        <w:ind w:firstLine="640"/>
        <w:rPr>
          <w:rFonts w:ascii="仿宋_GB2312" w:eastAsia="仿宋_GB2312"/>
          <w:b/>
          <w:sz w:val="32"/>
          <w:szCs w:val="32"/>
        </w:rPr>
      </w:pPr>
      <w:bookmarkStart w:id="32" w:name="_Toc15396610"/>
      <w:bookmarkStart w:id="33"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Cs/>
          <w:sz w:val="32"/>
          <w:szCs w:val="32"/>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人。因公出国（境）支出决算与上年持平。</w:t>
      </w:r>
    </w:p>
    <w:p w14:paraId="33B07A9B">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0.8</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Cs/>
          <w:sz w:val="32"/>
          <w:szCs w:val="32"/>
        </w:rPr>
        <w:t>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w:t>
      </w:r>
      <w:r>
        <w:rPr>
          <w:rFonts w:hint="eastAsia" w:ascii="仿宋_GB2312" w:eastAsia="仿宋_GB2312"/>
          <w:sz w:val="32"/>
          <w:szCs w:val="32"/>
          <w:lang w:eastAsia="zh-CN"/>
        </w:rPr>
        <w:t>与</w:t>
      </w:r>
      <w:r>
        <w:rPr>
          <w:rFonts w:hint="eastAsia" w:ascii="仿宋_GB2312" w:eastAsia="仿宋_GB2312"/>
          <w:sz w:val="32"/>
          <w:szCs w:val="32"/>
        </w:rPr>
        <w:t>2022年度增</w:t>
      </w:r>
      <w:r>
        <w:rPr>
          <w:rFonts w:hint="eastAsia" w:ascii="仿宋_GB2312" w:eastAsia="仿宋_GB2312"/>
          <w:sz w:val="32"/>
          <w:szCs w:val="32"/>
          <w:lang w:eastAsia="zh-CN"/>
        </w:rPr>
        <w:t>持平</w:t>
      </w:r>
      <w:r>
        <w:rPr>
          <w:rFonts w:hint="eastAsia" w:ascii="仿宋_GB2312" w:eastAsia="仿宋_GB2312"/>
          <w:sz w:val="32"/>
          <w:szCs w:val="32"/>
        </w:rPr>
        <w:t>。</w:t>
      </w:r>
    </w:p>
    <w:p w14:paraId="18C77BA0">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辆，截至202</w:t>
      </w:r>
      <w:r>
        <w:rPr>
          <w:rFonts w:hint="eastAsia" w:ascii="仿宋_GB2312" w:eastAsia="仿宋_GB2312"/>
          <w:sz w:val="32"/>
          <w:szCs w:val="32"/>
          <w:lang w:val="en-US" w:eastAsia="zh-CN"/>
        </w:rPr>
        <w:t>3</w:t>
      </w:r>
      <w:r>
        <w:rPr>
          <w:rFonts w:hint="eastAsia" w:ascii="仿宋_GB2312" w:eastAsia="仿宋_GB2312"/>
          <w:sz w:val="32"/>
          <w:szCs w:val="32"/>
        </w:rPr>
        <w:t>年12月底，本部门共有公务用车2辆，均为越野车。</w:t>
      </w:r>
    </w:p>
    <w:p w14:paraId="5DC982E3">
      <w:pPr>
        <w:spacing w:line="600" w:lineRule="exact"/>
        <w:ind w:firstLine="640"/>
        <w:rPr>
          <w:rFonts w:hint="eastAsia"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0.8</w:t>
      </w:r>
      <w:r>
        <w:rPr>
          <w:rFonts w:hint="eastAsia" w:ascii="仿宋_GB2312" w:eastAsia="仿宋_GB2312"/>
          <w:sz w:val="32"/>
          <w:szCs w:val="32"/>
        </w:rPr>
        <w:t>万元。主要用于地质灾害应急反应、项目工程督查、耕地保护、自然资源违法巡查处置等所需的公务用车燃料费、维修费、过路过桥费、保险费等支出。</w:t>
      </w:r>
    </w:p>
    <w:p w14:paraId="04B6706B">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0.64</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ascii="仿宋" w:hAnsi="仿宋" w:eastAsia="仿宋"/>
          <w:b w:val="0"/>
          <w:bCs/>
          <w:sz w:val="32"/>
          <w:szCs w:val="32"/>
        </w:rPr>
        <w:t>100%</w:t>
      </w:r>
      <w:r>
        <w:rPr>
          <w:rStyle w:val="16"/>
          <w:rFonts w:hint="eastAsia" w:ascii="仿宋" w:hAnsi="仿宋" w:eastAsia="仿宋"/>
          <w:b w:val="0"/>
          <w:bCs/>
          <w:sz w:val="32"/>
          <w:szCs w:val="32"/>
        </w:rPr>
        <w:t>。</w:t>
      </w:r>
      <w:r>
        <w:rPr>
          <w:rFonts w:hint="eastAsia" w:ascii="仿宋_GB2312" w:eastAsia="仿宋_GB2312"/>
          <w:sz w:val="32"/>
          <w:szCs w:val="32"/>
        </w:rPr>
        <w:t>公务接待费支出决算比2022年度增加</w:t>
      </w:r>
      <w:r>
        <w:rPr>
          <w:rFonts w:hint="eastAsia" w:ascii="仿宋_GB2312" w:eastAsia="仿宋_GB2312"/>
          <w:sz w:val="32"/>
          <w:szCs w:val="32"/>
          <w:lang w:val="en-US" w:eastAsia="zh-CN"/>
        </w:rPr>
        <w:t>0.54</w:t>
      </w:r>
      <w:r>
        <w:rPr>
          <w:rFonts w:hint="eastAsia" w:ascii="仿宋_GB2312" w:eastAsia="仿宋_GB2312"/>
          <w:sz w:val="32"/>
          <w:szCs w:val="32"/>
        </w:rPr>
        <w:t>万元，增长</w:t>
      </w:r>
      <w:r>
        <w:rPr>
          <w:rFonts w:hint="eastAsia" w:ascii="仿宋_GB2312" w:eastAsia="仿宋_GB2312"/>
          <w:sz w:val="32"/>
          <w:szCs w:val="32"/>
          <w:lang w:val="en-US" w:eastAsia="zh-CN"/>
        </w:rPr>
        <w:t>540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进一步提高了公务接待管理制度，提高已发生公务接待事项事后账务处理效率，做到及时办结及时报账</w:t>
      </w:r>
      <w:r>
        <w:rPr>
          <w:rFonts w:hint="eastAsia" w:ascii="仿宋_GB2312" w:eastAsia="仿宋_GB2312"/>
          <w:sz w:val="32"/>
          <w:szCs w:val="32"/>
        </w:rPr>
        <w:t>。其中：</w:t>
      </w:r>
    </w:p>
    <w:p w14:paraId="5AF8923F">
      <w:pPr>
        <w:spacing w:line="600" w:lineRule="exact"/>
        <w:ind w:firstLine="643" w:firstLineChars="20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b/>
          <w:sz w:val="32"/>
          <w:szCs w:val="32"/>
          <w:lang w:val="en-US" w:eastAsia="zh-CN"/>
        </w:rPr>
        <w:t>0.64</w:t>
      </w:r>
      <w:r>
        <w:rPr>
          <w:rFonts w:hint="eastAsia" w:ascii="仿宋" w:hAnsi="仿宋" w:eastAsia="仿宋"/>
          <w:b/>
          <w:sz w:val="32"/>
          <w:szCs w:val="32"/>
        </w:rPr>
        <w:t>万元</w:t>
      </w:r>
      <w:r>
        <w:rPr>
          <w:rFonts w:hint="eastAsia" w:ascii="仿宋_GB2312" w:eastAsia="仿宋_GB2312"/>
          <w:sz w:val="32"/>
          <w:szCs w:val="32"/>
          <w:lang w:eastAsia="zh-CN"/>
        </w:rPr>
        <w:t>。</w:t>
      </w:r>
      <w:r>
        <w:rPr>
          <w:rFonts w:hint="eastAsia" w:ascii="仿宋" w:hAnsi="仿宋" w:eastAsia="仿宋"/>
          <w:sz w:val="32"/>
          <w:szCs w:val="32"/>
        </w:rPr>
        <w:t>主要用于自然资源综合管理、保护，地质灾害综合防治等执行公务、开展业务活动开支的住宿费、用餐费等。</w:t>
      </w:r>
      <w:r>
        <w:rPr>
          <w:rFonts w:hint="eastAsia" w:ascii="仿宋_GB2312" w:eastAsia="仿宋_GB2312"/>
          <w:sz w:val="32"/>
          <w:szCs w:val="32"/>
        </w:rPr>
        <w:t>国内公务接待</w:t>
      </w:r>
      <w:r>
        <w:rPr>
          <w:rFonts w:hint="eastAsia" w:ascii="仿宋_GB2312" w:eastAsia="仿宋_GB2312"/>
          <w:sz w:val="32"/>
          <w:szCs w:val="32"/>
          <w:lang w:val="en-US" w:eastAsia="zh-CN"/>
        </w:rPr>
        <w:t>4</w:t>
      </w:r>
      <w:r>
        <w:rPr>
          <w:rFonts w:hint="eastAsia" w:ascii="仿宋_GB2312" w:eastAsia="仿宋_GB2312"/>
          <w:sz w:val="32"/>
          <w:szCs w:val="32"/>
        </w:rPr>
        <w:t>批次，</w:t>
      </w:r>
      <w:r>
        <w:rPr>
          <w:rFonts w:hint="eastAsia" w:ascii="仿宋_GB2312" w:eastAsia="仿宋_GB2312"/>
          <w:sz w:val="32"/>
          <w:szCs w:val="32"/>
          <w:lang w:val="en-US" w:eastAsia="zh-CN"/>
        </w:rPr>
        <w:t>45</w:t>
      </w:r>
      <w:r>
        <w:rPr>
          <w:rFonts w:hint="eastAsia" w:ascii="仿宋_GB2312" w:eastAsia="仿宋_GB2312"/>
          <w:sz w:val="32"/>
          <w:szCs w:val="32"/>
        </w:rPr>
        <w:t>人次，共计支出</w:t>
      </w:r>
      <w:r>
        <w:rPr>
          <w:rFonts w:hint="eastAsia" w:ascii="仿宋_GB2312" w:eastAsia="仿宋_GB2312"/>
          <w:sz w:val="32"/>
          <w:szCs w:val="32"/>
          <w:lang w:val="en-US" w:eastAsia="zh-CN"/>
        </w:rPr>
        <w:t>0.64</w:t>
      </w:r>
      <w:r>
        <w:rPr>
          <w:rFonts w:hint="eastAsia" w:ascii="仿宋_GB2312" w:eastAsia="仿宋_GB2312"/>
          <w:sz w:val="32"/>
          <w:szCs w:val="32"/>
        </w:rPr>
        <w:t>万元，具体内容包括：</w:t>
      </w:r>
      <w:r>
        <w:rPr>
          <w:rFonts w:hint="eastAsia" w:ascii="仿宋_GB2312" w:eastAsia="仿宋_GB2312"/>
          <w:sz w:val="32"/>
          <w:szCs w:val="32"/>
          <w:lang w:eastAsia="zh-CN"/>
        </w:rPr>
        <w:t>乡村振兴国土空间规划及红格南矿开发建设考察学习</w:t>
      </w:r>
      <w:r>
        <w:rPr>
          <w:rFonts w:hint="eastAsia" w:ascii="仿宋_GB2312" w:eastAsia="仿宋_GB2312"/>
          <w:sz w:val="32"/>
          <w:szCs w:val="32"/>
          <w:lang w:val="en-US" w:eastAsia="zh-CN"/>
        </w:rPr>
        <w:t>0.1万元、不动产登记交叉检查0.12万元、自然资源督察反馈问题整改情况督察督导0.18万元、广元市自然资源和规划局前来考察学习0.24万元</w:t>
      </w:r>
      <w:r>
        <w:rPr>
          <w:rFonts w:hint="eastAsia" w:ascii="仿宋_GB2312" w:eastAsia="仿宋_GB2312"/>
          <w:sz w:val="32"/>
          <w:szCs w:val="32"/>
        </w:rPr>
        <w:t>。</w:t>
      </w:r>
    </w:p>
    <w:p w14:paraId="546D3B97">
      <w:pPr>
        <w:spacing w:line="600" w:lineRule="exact"/>
        <w:ind w:firstLine="640"/>
        <w:outlineLvl w:val="1"/>
        <w:rPr>
          <w:rFonts w:hint="eastAsia" w:ascii="仿宋" w:hAnsi="仿宋" w:eastAsia="仿宋"/>
          <w:b/>
          <w:sz w:val="32"/>
          <w:szCs w:val="32"/>
        </w:rPr>
      </w:pPr>
      <w:r>
        <w:rPr>
          <w:rFonts w:hint="eastAsia" w:ascii="仿宋" w:hAnsi="仿宋" w:eastAsia="仿宋"/>
          <w:b/>
          <w:sz w:val="32"/>
          <w:szCs w:val="32"/>
        </w:rPr>
        <w:t>外事接待支出</w:t>
      </w:r>
      <w:r>
        <w:rPr>
          <w:rFonts w:hint="eastAsia" w:ascii="仿宋" w:hAnsi="仿宋" w:eastAsia="仿宋"/>
          <w:b/>
          <w:sz w:val="32"/>
          <w:szCs w:val="32"/>
          <w:lang w:val="en-US" w:eastAsia="zh-CN"/>
        </w:rPr>
        <w:t>0</w:t>
      </w:r>
      <w:r>
        <w:rPr>
          <w:rFonts w:hint="eastAsia" w:ascii="仿宋" w:hAnsi="仿宋" w:eastAsia="仿宋"/>
          <w:b/>
          <w:sz w:val="32"/>
          <w:szCs w:val="32"/>
        </w:rPr>
        <w:t>万元。</w:t>
      </w:r>
    </w:p>
    <w:p w14:paraId="296CC3FD">
      <w:pPr>
        <w:pStyle w:val="18"/>
      </w:pPr>
    </w:p>
    <w:p w14:paraId="0BD71F6E">
      <w:pPr>
        <w:spacing w:line="600" w:lineRule="exact"/>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32"/>
      <w:bookmarkEnd w:id="33"/>
    </w:p>
    <w:p w14:paraId="52ED2BB5">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8042.36</w:t>
      </w:r>
      <w:r>
        <w:rPr>
          <w:rFonts w:hint="eastAsia" w:ascii="仿宋_GB2312" w:eastAsia="仿宋_GB2312"/>
          <w:sz w:val="32"/>
          <w:szCs w:val="32"/>
        </w:rPr>
        <w:t>万元。</w:t>
      </w:r>
    </w:p>
    <w:p w14:paraId="4B9C2624">
      <w:pPr>
        <w:spacing w:line="600" w:lineRule="exact"/>
        <w:ind w:firstLine="640"/>
        <w:rPr>
          <w:rFonts w:ascii="仿宋_GB2312" w:eastAsia="仿宋_GB2312"/>
          <w:sz w:val="32"/>
          <w:szCs w:val="32"/>
        </w:rPr>
      </w:pPr>
    </w:p>
    <w:p w14:paraId="2D026311">
      <w:pPr>
        <w:numPr>
          <w:ilvl w:val="0"/>
          <w:numId w:val="4"/>
        </w:numPr>
        <w:spacing w:line="600" w:lineRule="exact"/>
        <w:ind w:firstLine="640"/>
        <w:outlineLvl w:val="1"/>
        <w:rPr>
          <w:rStyle w:val="28"/>
          <w:rFonts w:ascii="黑体" w:hAnsi="黑体" w:eastAsia="黑体"/>
          <w:b w:val="0"/>
        </w:rPr>
      </w:pPr>
      <w:bookmarkStart w:id="34" w:name="_Toc15396611"/>
      <w:bookmarkStart w:id="35" w:name="_Toc15377219"/>
      <w:r>
        <w:rPr>
          <w:rStyle w:val="28"/>
          <w:rFonts w:hint="eastAsia" w:ascii="黑体" w:hAnsi="黑体" w:eastAsia="黑体"/>
          <w:b w:val="0"/>
        </w:rPr>
        <w:t>国有资本经营预算支出决算情况说明</w:t>
      </w:r>
      <w:bookmarkEnd w:id="34"/>
      <w:bookmarkEnd w:id="35"/>
    </w:p>
    <w:p w14:paraId="4E440A23">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14:paraId="20759574">
      <w:pPr>
        <w:spacing w:line="580" w:lineRule="exact"/>
        <w:jc w:val="center"/>
        <w:rPr>
          <w:rFonts w:ascii="方正小标宋简体" w:hAnsi="方正小标宋简体" w:eastAsia="方正小标宋简体" w:cs="方正小标宋简体"/>
          <w:sz w:val="44"/>
          <w:szCs w:val="44"/>
        </w:rPr>
      </w:pPr>
    </w:p>
    <w:p w14:paraId="6EC29B69">
      <w:pPr>
        <w:numPr>
          <w:ilvl w:val="0"/>
          <w:numId w:val="4"/>
        </w:numPr>
        <w:spacing w:line="600" w:lineRule="exact"/>
        <w:ind w:firstLine="640"/>
        <w:outlineLvl w:val="1"/>
        <w:rPr>
          <w:rStyle w:val="28"/>
          <w:rFonts w:ascii="黑体" w:hAnsi="黑体" w:eastAsia="黑体"/>
          <w:b w:val="0"/>
        </w:rPr>
      </w:pPr>
      <w:bookmarkStart w:id="36" w:name="_Toc15377221"/>
      <w:bookmarkStart w:id="37" w:name="_Toc15396612"/>
      <w:r>
        <w:rPr>
          <w:rStyle w:val="28"/>
          <w:rFonts w:hint="eastAsia" w:ascii="黑体" w:hAnsi="黑体" w:eastAsia="黑体"/>
          <w:b w:val="0"/>
        </w:rPr>
        <w:t>其他重要事项的情况说明</w:t>
      </w:r>
      <w:bookmarkEnd w:id="36"/>
      <w:bookmarkEnd w:id="37"/>
    </w:p>
    <w:p w14:paraId="3DA14EA7">
      <w:pPr>
        <w:spacing w:line="600" w:lineRule="exact"/>
        <w:ind w:firstLine="643" w:firstLineChars="200"/>
        <w:outlineLvl w:val="2"/>
        <w:rPr>
          <w:rFonts w:ascii="仿宋" w:hAnsi="仿宋" w:eastAsia="仿宋"/>
          <w:sz w:val="32"/>
          <w:szCs w:val="32"/>
        </w:rPr>
      </w:pPr>
      <w:bookmarkStart w:id="38" w:name="_Toc15377222"/>
      <w:r>
        <w:rPr>
          <w:rFonts w:hint="eastAsia" w:ascii="仿宋" w:hAnsi="仿宋" w:eastAsia="仿宋"/>
          <w:b/>
          <w:sz w:val="32"/>
          <w:szCs w:val="32"/>
        </w:rPr>
        <w:t>（一）机关运行经费支出情况</w:t>
      </w:r>
      <w:bookmarkEnd w:id="38"/>
    </w:p>
    <w:p w14:paraId="5D178F40">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盐边县自然资源和规划局</w:t>
      </w:r>
      <w:r>
        <w:rPr>
          <w:rFonts w:hint="eastAsia" w:ascii="仿宋_GB2312" w:eastAsia="仿宋_GB2312"/>
          <w:sz w:val="32"/>
          <w:szCs w:val="32"/>
        </w:rPr>
        <w:t>机关运行经费支出</w:t>
      </w:r>
      <w:r>
        <w:rPr>
          <w:rFonts w:ascii="仿宋" w:hAnsi="仿宋" w:eastAsia="仿宋"/>
          <w:b/>
          <w:sz w:val="32"/>
          <w:szCs w:val="32"/>
        </w:rPr>
        <w:t>75.44</w:t>
      </w:r>
      <w:r>
        <w:rPr>
          <w:rFonts w:hint="eastAsia" w:ascii="仿宋_GB2312" w:eastAsia="仿宋_GB2312"/>
          <w:sz w:val="32"/>
          <w:szCs w:val="32"/>
        </w:rPr>
        <w:t>万元，比2022年度减少</w:t>
      </w:r>
      <w:r>
        <w:rPr>
          <w:rFonts w:hint="eastAsia" w:ascii="仿宋_GB2312" w:eastAsia="仿宋_GB2312"/>
          <w:sz w:val="32"/>
          <w:szCs w:val="32"/>
          <w:lang w:val="en-US" w:eastAsia="zh-CN"/>
        </w:rPr>
        <w:t>1.27</w:t>
      </w:r>
      <w:r>
        <w:rPr>
          <w:rFonts w:hint="eastAsia" w:ascii="仿宋_GB2312" w:eastAsia="仿宋_GB2312"/>
          <w:sz w:val="32"/>
          <w:szCs w:val="32"/>
        </w:rPr>
        <w:t>万元，下降</w:t>
      </w:r>
      <w:r>
        <w:rPr>
          <w:rFonts w:hint="eastAsia" w:ascii="仿宋_GB2312" w:eastAsia="仿宋_GB2312"/>
          <w:sz w:val="32"/>
          <w:szCs w:val="32"/>
          <w:lang w:val="en-US" w:eastAsia="zh-CN"/>
        </w:rPr>
        <w:t>1.65</w:t>
      </w:r>
      <w:r>
        <w:rPr>
          <w:rFonts w:hint="eastAsia" w:ascii="仿宋_GB2312" w:eastAsia="仿宋_GB2312"/>
          <w:sz w:val="32"/>
          <w:szCs w:val="32"/>
        </w:rPr>
        <w:t>%。主要原因是切实落实节约集约型机关建设，节能减排。</w:t>
      </w:r>
    </w:p>
    <w:p w14:paraId="3B90E43A">
      <w:pPr>
        <w:autoSpaceDE w:val="0"/>
        <w:autoSpaceDN w:val="0"/>
        <w:adjustRightInd w:val="0"/>
        <w:spacing w:line="600" w:lineRule="exact"/>
        <w:ind w:firstLine="643" w:firstLineChars="200"/>
        <w:jc w:val="left"/>
        <w:outlineLvl w:val="2"/>
        <w:rPr>
          <w:rFonts w:ascii="仿宋" w:hAnsi="仿宋" w:eastAsia="仿宋"/>
          <w:b/>
          <w:sz w:val="32"/>
          <w:szCs w:val="32"/>
        </w:rPr>
      </w:pPr>
      <w:bookmarkStart w:id="39" w:name="_Toc15377223"/>
      <w:r>
        <w:rPr>
          <w:rFonts w:hint="eastAsia" w:ascii="仿宋" w:hAnsi="仿宋" w:eastAsia="仿宋"/>
          <w:b/>
          <w:sz w:val="32"/>
          <w:szCs w:val="32"/>
        </w:rPr>
        <w:t>（二）政府采购支出情况</w:t>
      </w:r>
      <w:bookmarkEnd w:id="39"/>
    </w:p>
    <w:p w14:paraId="34235209">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盐边县自然资源和规划局</w:t>
      </w:r>
      <w:r>
        <w:rPr>
          <w:rFonts w:hint="eastAsia" w:ascii="仿宋_GB2312" w:eastAsia="仿宋_GB2312"/>
          <w:sz w:val="32"/>
          <w:szCs w:val="32"/>
        </w:rPr>
        <w:t>政府采购支出总额</w:t>
      </w:r>
      <w:r>
        <w:rPr>
          <w:rFonts w:ascii="仿宋" w:hAnsi="仿宋" w:eastAsia="仿宋"/>
          <w:b/>
          <w:sz w:val="32"/>
          <w:szCs w:val="32"/>
        </w:rPr>
        <w:t>1048.76</w:t>
      </w:r>
      <w:r>
        <w:rPr>
          <w:rFonts w:hint="eastAsia" w:ascii="仿宋_GB2312" w:eastAsia="仿宋_GB2312"/>
          <w:sz w:val="32"/>
          <w:szCs w:val="32"/>
        </w:rPr>
        <w:t>万元，其中：政府采购货物支出</w:t>
      </w:r>
      <w:r>
        <w:rPr>
          <w:rFonts w:ascii="仿宋" w:hAnsi="仿宋" w:eastAsia="仿宋"/>
          <w:b/>
          <w:sz w:val="32"/>
          <w:szCs w:val="32"/>
        </w:rPr>
        <w:t>530.43</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518.33</w:t>
      </w:r>
      <w:r>
        <w:rPr>
          <w:rFonts w:hint="eastAsia" w:ascii="仿宋_GB2312" w:eastAsia="仿宋_GB2312"/>
          <w:sz w:val="32"/>
          <w:szCs w:val="32"/>
        </w:rPr>
        <w:t>万元。主要用于</w:t>
      </w:r>
      <w:r>
        <w:rPr>
          <w:rFonts w:hint="eastAsia" w:ascii="仿宋_GB2312" w:eastAsia="仿宋_GB2312"/>
          <w:sz w:val="32"/>
          <w:szCs w:val="32"/>
          <w:lang w:eastAsia="zh-CN"/>
        </w:rPr>
        <w:t>地质灾害综合治理能力提升、农村集体经营性建设用地入市试点、国土变更调查及耕地资源质量分类更新、集体土地所有权确权登记、国土空间规划、农村乱占耕地建房问题核查等</w:t>
      </w:r>
      <w:r>
        <w:rPr>
          <w:rFonts w:hint="eastAsia" w:ascii="仿宋_GB2312" w:eastAsia="仿宋_GB2312"/>
          <w:sz w:val="32"/>
          <w:szCs w:val="32"/>
        </w:rPr>
        <w:t>。授予中小企业合同金额</w:t>
      </w:r>
      <w:r>
        <w:rPr>
          <w:rFonts w:ascii="仿宋" w:hAnsi="仿宋" w:eastAsia="仿宋"/>
          <w:b/>
          <w:sz w:val="32"/>
          <w:szCs w:val="32"/>
        </w:rPr>
        <w:t>1048.76</w:t>
      </w:r>
      <w:r>
        <w:rPr>
          <w:rFonts w:hint="eastAsia" w:ascii="仿宋_GB2312" w:eastAsia="仿宋_GB2312"/>
          <w:sz w:val="32"/>
          <w:szCs w:val="32"/>
        </w:rPr>
        <w:t>万元，占政府采购支出总额的</w:t>
      </w:r>
      <w:r>
        <w:rPr>
          <w:rFonts w:ascii="仿宋_GB2312" w:eastAsia="仿宋_GB2312"/>
          <w:sz w:val="32"/>
          <w:szCs w:val="32"/>
        </w:rPr>
        <w:t>1%</w:t>
      </w:r>
      <w:r>
        <w:rPr>
          <w:rFonts w:hint="eastAsia" w:ascii="仿宋_GB2312" w:eastAsia="仿宋_GB2312"/>
          <w:sz w:val="32"/>
          <w:szCs w:val="32"/>
        </w:rPr>
        <w:t>，其中：授予小微企业合同金额</w:t>
      </w:r>
      <w:r>
        <w:rPr>
          <w:rFonts w:ascii="仿宋" w:hAnsi="仿宋" w:eastAsia="仿宋"/>
          <w:b/>
          <w:sz w:val="32"/>
          <w:szCs w:val="32"/>
        </w:rPr>
        <w:t>819.91</w:t>
      </w:r>
      <w:r>
        <w:rPr>
          <w:rFonts w:hint="eastAsia" w:ascii="仿宋_GB2312" w:eastAsia="仿宋_GB2312"/>
          <w:sz w:val="32"/>
          <w:szCs w:val="32"/>
        </w:rPr>
        <w:t>万元，占政府采购支出总额的</w:t>
      </w:r>
      <w:r>
        <w:rPr>
          <w:rFonts w:ascii="仿宋_GB2312" w:eastAsia="仿宋_GB2312"/>
          <w:b/>
          <w:sz w:val="32"/>
          <w:szCs w:val="32"/>
        </w:rPr>
        <w:t>78.17</w:t>
      </w:r>
      <w:r>
        <w:rPr>
          <w:rFonts w:ascii="仿宋_GB2312" w:eastAsia="仿宋_GB2312"/>
          <w:sz w:val="32"/>
          <w:szCs w:val="32"/>
        </w:rPr>
        <w:t>%</w:t>
      </w:r>
      <w:r>
        <w:rPr>
          <w:rFonts w:hint="eastAsia" w:ascii="仿宋_GB2312" w:eastAsia="仿宋_GB2312"/>
          <w:sz w:val="32"/>
          <w:szCs w:val="32"/>
        </w:rPr>
        <w:t>。</w:t>
      </w:r>
    </w:p>
    <w:p w14:paraId="25AD80D3">
      <w:pPr>
        <w:autoSpaceDE w:val="0"/>
        <w:autoSpaceDN w:val="0"/>
        <w:adjustRightInd w:val="0"/>
        <w:spacing w:line="600" w:lineRule="exact"/>
        <w:ind w:firstLine="643" w:firstLineChars="200"/>
        <w:jc w:val="left"/>
        <w:outlineLvl w:val="2"/>
        <w:rPr>
          <w:rFonts w:ascii="仿宋" w:hAnsi="仿宋" w:eastAsia="仿宋"/>
          <w:b/>
          <w:sz w:val="32"/>
          <w:szCs w:val="32"/>
        </w:rPr>
      </w:pPr>
      <w:bookmarkStart w:id="40" w:name="_Toc15377224"/>
      <w:r>
        <w:rPr>
          <w:rFonts w:hint="eastAsia" w:ascii="仿宋" w:hAnsi="仿宋" w:eastAsia="仿宋"/>
          <w:b/>
          <w:sz w:val="32"/>
          <w:szCs w:val="32"/>
        </w:rPr>
        <w:t>（三）国有资产占有使用情况</w:t>
      </w:r>
      <w:bookmarkEnd w:id="40"/>
    </w:p>
    <w:p w14:paraId="2512D874">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盐边县自然资源和规划局</w:t>
      </w:r>
      <w:r>
        <w:rPr>
          <w:rFonts w:hint="eastAsia" w:ascii="仿宋_GB2312" w:eastAsia="仿宋_GB2312"/>
          <w:sz w:val="32"/>
          <w:szCs w:val="32"/>
        </w:rPr>
        <w:t>共有车辆</w:t>
      </w:r>
      <w:r>
        <w:rPr>
          <w:rFonts w:hint="eastAsia" w:ascii="仿宋_GB2312" w:eastAsia="仿宋_GB2312"/>
          <w:b/>
          <w:sz w:val="32"/>
          <w:szCs w:val="32"/>
        </w:rPr>
        <w:t>18</w:t>
      </w:r>
      <w:r>
        <w:rPr>
          <w:rFonts w:hint="eastAsia" w:ascii="仿宋_GB2312" w:eastAsia="仿宋_GB2312"/>
          <w:sz w:val="32"/>
          <w:szCs w:val="32"/>
        </w:rPr>
        <w:t>辆，其中：应急保障用车</w:t>
      </w:r>
      <w:r>
        <w:rPr>
          <w:rFonts w:hint="eastAsia" w:ascii="仿宋_GB2312" w:eastAsia="仿宋_GB2312"/>
          <w:sz w:val="32"/>
          <w:szCs w:val="32"/>
          <w:lang w:val="en-US" w:eastAsia="zh-CN"/>
        </w:rPr>
        <w:t>1</w:t>
      </w:r>
      <w:r>
        <w:rPr>
          <w:rFonts w:hint="eastAsia" w:ascii="仿宋_GB2312" w:eastAsia="仿宋_GB2312"/>
          <w:sz w:val="32"/>
          <w:szCs w:val="32"/>
        </w:rPr>
        <w:t>辆、其他用车</w:t>
      </w:r>
      <w:r>
        <w:rPr>
          <w:rFonts w:hint="eastAsia" w:ascii="仿宋_GB2312" w:eastAsia="仿宋_GB2312"/>
          <w:sz w:val="32"/>
          <w:szCs w:val="32"/>
          <w:lang w:val="en-US" w:eastAsia="zh-CN"/>
        </w:rPr>
        <w:t>1</w:t>
      </w:r>
      <w:r>
        <w:rPr>
          <w:rFonts w:hint="eastAsia" w:ascii="仿宋_GB2312" w:eastAsia="仿宋_GB2312"/>
          <w:sz w:val="32"/>
          <w:szCs w:val="32"/>
        </w:rPr>
        <w:t>辆</w:t>
      </w:r>
      <w:r>
        <w:rPr>
          <w:rFonts w:hint="eastAsia" w:ascii="仿宋_GB2312" w:eastAsia="仿宋_GB2312"/>
          <w:sz w:val="32"/>
          <w:szCs w:val="32"/>
          <w:lang w:eastAsia="zh-CN"/>
        </w:rPr>
        <w:t>、特种用车</w:t>
      </w:r>
      <w:r>
        <w:rPr>
          <w:rFonts w:hint="eastAsia" w:ascii="仿宋_GB2312" w:eastAsia="仿宋_GB2312"/>
          <w:sz w:val="32"/>
          <w:szCs w:val="32"/>
          <w:lang w:val="en-US" w:eastAsia="zh-CN"/>
        </w:rPr>
        <w:t>16台</w:t>
      </w:r>
      <w:r>
        <w:rPr>
          <w:rFonts w:hint="eastAsia" w:ascii="仿宋_GB2312" w:eastAsia="仿宋_GB2312"/>
          <w:sz w:val="32"/>
          <w:szCs w:val="32"/>
        </w:rPr>
        <w:t>，其他用车主要是用于自然资源监管日常业务需求</w:t>
      </w:r>
      <w:r>
        <w:rPr>
          <w:rFonts w:hint="eastAsia" w:ascii="仿宋_GB2312" w:eastAsia="仿宋_GB2312"/>
          <w:sz w:val="32"/>
          <w:szCs w:val="32"/>
          <w:lang w:eastAsia="zh-CN"/>
        </w:rPr>
        <w:t>及地质灾害综合防治</w:t>
      </w:r>
      <w:r>
        <w:rPr>
          <w:rFonts w:hint="eastAsia" w:ascii="仿宋_GB2312" w:eastAsia="仿宋_GB2312"/>
          <w:sz w:val="32"/>
          <w:szCs w:val="32"/>
        </w:rPr>
        <w:t>。单价100万元以上设备（不含车辆）0台（套）。</w:t>
      </w:r>
    </w:p>
    <w:p w14:paraId="4A6F6FFA">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3765A94D">
      <w:pPr>
        <w:spacing w:line="600" w:lineRule="exact"/>
        <w:ind w:firstLine="640" w:firstLineChars="200"/>
        <w:rPr>
          <w:rFonts w:ascii="仿宋_GB2312" w:eastAsia="仿宋_GB2312"/>
          <w:sz w:val="32"/>
          <w:szCs w:val="32"/>
        </w:rPr>
      </w:pPr>
      <w:r>
        <w:rPr>
          <w:rFonts w:hint="eastAsia" w:ascii="仿宋_GB2312" w:eastAsia="仿宋_GB2312"/>
          <w:sz w:val="32"/>
          <w:szCs w:val="32"/>
        </w:rPr>
        <w:t>根据预算绩效管理要求，本部门在2023年度预算编制阶段，组织对以前年度地质灾害综合治理项目、国土空间规划工作、自然资源出让前期工作、自然资源执法、房地一体和建设用地确权登记颁证、生态修复规划编制、盐边县林权不动产统一登记数据整合、红格南矿区钒钛磁铁矿出让前期工作、矿业权出让收益市场基准价制定工作等18个项目开展了预算事前绩效评估，对18个项目编制了绩效目标，预算执行过程中，选取51个项目开展绩效监控。组织对</w:t>
      </w:r>
      <w:r>
        <w:rPr>
          <w:rFonts w:hint="eastAsia" w:ascii="仿宋_GB2312" w:eastAsia="仿宋_GB2312"/>
          <w:sz w:val="32"/>
          <w:szCs w:val="32"/>
          <w:lang w:val="en-US" w:eastAsia="zh-CN"/>
        </w:rPr>
        <w:t>54</w:t>
      </w:r>
      <w:r>
        <w:rPr>
          <w:rFonts w:hint="eastAsia" w:ascii="仿宋_GB2312" w:eastAsia="仿宋_GB2312"/>
          <w:sz w:val="32"/>
          <w:szCs w:val="32"/>
        </w:rPr>
        <w:t>个项目开展绩效自评，绩效自评表详见第四部分附件。</w:t>
      </w:r>
    </w:p>
    <w:p w14:paraId="175C2FE1">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14:paraId="1A0CBF5D">
      <w:pPr>
        <w:numPr>
          <w:ilvl w:val="0"/>
          <w:numId w:val="5"/>
        </w:numPr>
        <w:spacing w:line="600" w:lineRule="exact"/>
        <w:ind w:firstLine="660" w:firstLineChars="150"/>
        <w:jc w:val="center"/>
        <w:outlineLvl w:val="0"/>
        <w:rPr>
          <w:rStyle w:val="27"/>
          <w:rFonts w:ascii="黑体" w:hAnsi="黑体" w:eastAsia="黑体"/>
          <w:b w:val="0"/>
        </w:rPr>
      </w:pPr>
      <w:bookmarkStart w:id="41" w:name="_Toc15377225"/>
      <w:bookmarkStart w:id="42" w:name="_Toc15396613"/>
      <w:r>
        <w:rPr>
          <w:rFonts w:hint="eastAsia" w:ascii="黑体" w:hAnsi="黑体" w:eastAsia="黑体"/>
          <w:sz w:val="44"/>
          <w:szCs w:val="44"/>
        </w:rPr>
        <w:t>名</w:t>
      </w:r>
      <w:r>
        <w:rPr>
          <w:rStyle w:val="27"/>
          <w:rFonts w:hint="eastAsia" w:ascii="黑体" w:hAnsi="黑体" w:eastAsia="黑体"/>
          <w:b w:val="0"/>
        </w:rPr>
        <w:t>词解释</w:t>
      </w:r>
      <w:bookmarkEnd w:id="41"/>
      <w:bookmarkEnd w:id="42"/>
    </w:p>
    <w:p w14:paraId="4F61529F">
      <w:pPr>
        <w:spacing w:line="600" w:lineRule="exact"/>
        <w:jc w:val="left"/>
        <w:rPr>
          <w:rFonts w:ascii="宋体"/>
          <w:b/>
          <w:sz w:val="44"/>
          <w:szCs w:val="44"/>
        </w:rPr>
      </w:pPr>
    </w:p>
    <w:p w14:paraId="0E19D7AF">
      <w:pPr>
        <w:ind w:firstLine="640" w:firstLineChars="200"/>
        <w:rPr>
          <w:rFonts w:hint="eastAsia" w:ascii="仿宋_GB2312" w:eastAsia="仿宋_GB2312"/>
          <w:sz w:val="32"/>
          <w:szCs w:val="32"/>
        </w:rPr>
      </w:pPr>
      <w:bookmarkStart w:id="43" w:name="_Toc15377226"/>
      <w:r>
        <w:rPr>
          <w:rFonts w:hint="eastAsia" w:ascii="仿宋_GB2312" w:eastAsia="仿宋_GB2312"/>
          <w:sz w:val="32"/>
          <w:szCs w:val="32"/>
        </w:rPr>
        <w:t>1.财政拨款收入：指单位从同级财政部门取得的财政预算资金。</w:t>
      </w:r>
    </w:p>
    <w:p w14:paraId="645560C9">
      <w:pPr>
        <w:ind w:firstLine="640" w:firstLineChars="200"/>
        <w:rPr>
          <w:rFonts w:hint="eastAsia" w:ascii="仿宋_GB2312" w:eastAsia="仿宋_GB2312"/>
          <w:sz w:val="32"/>
          <w:szCs w:val="32"/>
        </w:rPr>
      </w:pPr>
      <w:r>
        <w:rPr>
          <w:rFonts w:hint="eastAsia" w:ascii="仿宋_GB2312" w:eastAsia="仿宋_GB2312"/>
          <w:sz w:val="32"/>
          <w:szCs w:val="32"/>
        </w:rPr>
        <w:t>2.事业收入：指事业单位开展专业业务活动及辅助活动取得的收入。</w:t>
      </w:r>
    </w:p>
    <w:p w14:paraId="287C74C2">
      <w:pPr>
        <w:ind w:firstLine="640" w:firstLineChars="200"/>
        <w:rPr>
          <w:rFonts w:hint="eastAsia" w:ascii="仿宋_GB2312" w:eastAsia="仿宋_GB2312"/>
          <w:sz w:val="32"/>
          <w:szCs w:val="32"/>
        </w:rPr>
      </w:pPr>
      <w:r>
        <w:rPr>
          <w:rFonts w:hint="eastAsia" w:ascii="仿宋_GB2312" w:eastAsia="仿宋_GB2312"/>
          <w:sz w:val="32"/>
          <w:szCs w:val="32"/>
        </w:rPr>
        <w:t>3.经营收入：指事业单位在专业业务活动及其辅助活动之外开展非独立核算经营活动取得的收入。</w:t>
      </w:r>
    </w:p>
    <w:p w14:paraId="411A374A">
      <w:pPr>
        <w:ind w:firstLine="640" w:firstLineChars="200"/>
        <w:rPr>
          <w:rFonts w:hint="eastAsia" w:ascii="仿宋_GB2312" w:eastAsia="仿宋_GB2312"/>
          <w:sz w:val="32"/>
          <w:szCs w:val="32"/>
        </w:rPr>
      </w:pPr>
      <w:r>
        <w:rPr>
          <w:rFonts w:hint="eastAsia" w:ascii="仿宋_GB2312" w:eastAsia="仿宋_GB2312"/>
          <w:sz w:val="32"/>
          <w:szCs w:val="32"/>
        </w:rPr>
        <w:t xml:space="preserve">4.其他收入：指单位取得的除上述收入以外的各项收入。 </w:t>
      </w:r>
    </w:p>
    <w:p w14:paraId="55B542F4">
      <w:pPr>
        <w:ind w:firstLine="640" w:firstLineChars="200"/>
        <w:rPr>
          <w:rFonts w:hint="eastAsia" w:ascii="仿宋_GB2312" w:eastAsia="仿宋_GB2312"/>
          <w:sz w:val="32"/>
          <w:szCs w:val="32"/>
        </w:rPr>
      </w:pPr>
      <w:r>
        <w:rPr>
          <w:rFonts w:hint="eastAsia" w:ascii="仿宋_GB2312" w:eastAsia="仿宋_GB2312"/>
          <w:sz w:val="32"/>
          <w:szCs w:val="32"/>
        </w:rPr>
        <w:t xml:space="preserve">5.使用非财政拨款结余（含专用结余）：指事业单位使用以前年度积累的非财政拨款结余弥补当年收支差额的金额。 </w:t>
      </w:r>
    </w:p>
    <w:p w14:paraId="414A97DA">
      <w:pPr>
        <w:ind w:firstLine="640" w:firstLineChars="200"/>
        <w:rPr>
          <w:rFonts w:hint="eastAsia" w:ascii="仿宋_GB2312" w:eastAsia="仿宋_GB2312"/>
          <w:sz w:val="32"/>
          <w:szCs w:val="32"/>
        </w:rPr>
      </w:pPr>
      <w:r>
        <w:rPr>
          <w:rFonts w:hint="eastAsia" w:ascii="仿宋_GB2312" w:eastAsia="仿宋_GB2312"/>
          <w:sz w:val="32"/>
          <w:szCs w:val="32"/>
        </w:rPr>
        <w:t xml:space="preserve">6.年初结转和结余：指以前年度尚未完成、结转到本年按有关规定继续使用的资金。 </w:t>
      </w:r>
    </w:p>
    <w:p w14:paraId="6722254B">
      <w:pPr>
        <w:ind w:firstLine="640" w:firstLineChars="200"/>
        <w:rPr>
          <w:rFonts w:hint="eastAsia" w:ascii="仿宋_GB2312" w:eastAsia="仿宋_GB2312"/>
          <w:sz w:val="32"/>
          <w:szCs w:val="32"/>
        </w:rPr>
      </w:pPr>
      <w:r>
        <w:rPr>
          <w:rFonts w:hint="eastAsia" w:ascii="仿宋_GB2312" w:eastAsia="仿宋_GB2312"/>
          <w:sz w:val="32"/>
          <w:szCs w:val="32"/>
        </w:rPr>
        <w:t>7.结余分配：指事业单位按照会计制度规定缴纳的所得税、提取的专用结余以及转入非财政拨款结余的金额等。</w:t>
      </w:r>
    </w:p>
    <w:p w14:paraId="7C11A511">
      <w:pPr>
        <w:ind w:firstLine="640" w:firstLineChars="200"/>
        <w:rPr>
          <w:rFonts w:hint="eastAsia" w:ascii="仿宋_GB2312" w:eastAsia="仿宋_GB2312"/>
          <w:sz w:val="32"/>
          <w:szCs w:val="32"/>
        </w:rPr>
      </w:pPr>
      <w:r>
        <w:rPr>
          <w:rFonts w:hint="eastAsia" w:ascii="仿宋_GB2312" w:eastAsia="仿宋_GB2312"/>
          <w:sz w:val="32"/>
          <w:szCs w:val="32"/>
        </w:rPr>
        <w:t>8.年末结转和结余：指单位按有关规定结转到下年或以后年度继续使用的资金。</w:t>
      </w:r>
    </w:p>
    <w:p w14:paraId="79E940B2">
      <w:pPr>
        <w:ind w:firstLine="640" w:firstLineChars="200"/>
        <w:rPr>
          <w:rFonts w:hint="eastAsia" w:ascii="仿宋_GB2312" w:eastAsia="仿宋_GB2312"/>
          <w:sz w:val="32"/>
          <w:szCs w:val="32"/>
        </w:rPr>
      </w:pPr>
      <w:r>
        <w:rPr>
          <w:rFonts w:ascii="仿宋_GB2312" w:eastAsia="仿宋_GB2312"/>
          <w:sz w:val="32"/>
          <w:szCs w:val="32"/>
        </w:rPr>
        <w:t>9.</w:t>
      </w:r>
      <w:r>
        <w:rPr>
          <w:rFonts w:hint="eastAsia" w:ascii="仿宋_GB2312" w:eastAsia="仿宋_GB2312"/>
          <w:sz w:val="32"/>
          <w:szCs w:val="32"/>
        </w:rPr>
        <w:t>社会保障和就业（类）行政事业单位养老支出（款）行政单位离退休（项）：指行政单位（包括实行公务员管理的事业单位）开支的离退休经费。</w:t>
      </w:r>
    </w:p>
    <w:p w14:paraId="1CA48EBA">
      <w:pPr>
        <w:ind w:firstLine="640" w:firstLineChars="200"/>
        <w:rPr>
          <w:rFonts w:hint="eastAsia" w:ascii="仿宋_GB2312" w:eastAsia="仿宋_GB2312"/>
          <w:sz w:val="32"/>
          <w:szCs w:val="32"/>
        </w:rPr>
      </w:pPr>
      <w:r>
        <w:rPr>
          <w:rFonts w:hint="eastAsia" w:ascii="仿宋_GB2312" w:eastAsia="仿宋_GB2312"/>
          <w:sz w:val="32"/>
          <w:szCs w:val="32"/>
        </w:rPr>
        <w:t>10.社会保障和就业（类）行政事业单位养老支出（款）事业单位离退休（项）：指事业单位开支的离退休经费。</w:t>
      </w:r>
    </w:p>
    <w:p w14:paraId="33BA12A8">
      <w:pPr>
        <w:ind w:firstLine="640" w:firstLineChars="200"/>
        <w:rPr>
          <w:rFonts w:hint="eastAsia" w:ascii="仿宋_GB2312" w:eastAsia="仿宋_GB2312"/>
          <w:sz w:val="32"/>
          <w:szCs w:val="32"/>
        </w:rPr>
      </w:pPr>
      <w:r>
        <w:rPr>
          <w:rFonts w:hint="eastAsia" w:ascii="仿宋_GB2312" w:eastAsia="仿宋_GB2312"/>
          <w:sz w:val="32"/>
          <w:szCs w:val="32"/>
        </w:rPr>
        <w:t>11.社会保障和就业（类）行政事业单位养老支出（款）机关事业单位基本养老保险缴费支出（项）：指机关事业单位实施养老保险制度由单位缴纳的基本养老保险费支出。</w:t>
      </w:r>
    </w:p>
    <w:p w14:paraId="60FC001D">
      <w:pPr>
        <w:ind w:firstLine="640" w:firstLineChars="200"/>
        <w:rPr>
          <w:rFonts w:hint="eastAsia" w:ascii="仿宋_GB2312" w:eastAsia="仿宋_GB2312"/>
          <w:sz w:val="32"/>
          <w:szCs w:val="32"/>
        </w:rPr>
      </w:pPr>
      <w:r>
        <w:rPr>
          <w:rFonts w:hint="eastAsia" w:ascii="仿宋_GB2312" w:eastAsia="仿宋_GB2312"/>
          <w:sz w:val="32"/>
          <w:szCs w:val="32"/>
        </w:rPr>
        <w:t>12.社会保障和就业（类）行政事业单位养老支出（款）机关事业单位职业年金缴费支出（项）：指机关事业单位实施养老保险制度由单位缴纳的职业年金支出。</w:t>
      </w:r>
    </w:p>
    <w:p w14:paraId="2B764D7C">
      <w:pPr>
        <w:ind w:firstLine="640" w:firstLineChars="200"/>
        <w:rPr>
          <w:rFonts w:hint="eastAsia" w:ascii="仿宋_GB2312" w:eastAsia="仿宋_GB2312"/>
          <w:sz w:val="32"/>
          <w:szCs w:val="32"/>
        </w:rPr>
      </w:pPr>
      <w:r>
        <w:rPr>
          <w:rFonts w:hint="eastAsia" w:ascii="仿宋_GB2312" w:eastAsia="仿宋_GB2312"/>
          <w:sz w:val="32"/>
          <w:szCs w:val="32"/>
        </w:rPr>
        <w:t>13.卫生健康（类）行政事业单位医疗（款）行政单位医疗（项）：指财政部门安排的行政单位（包括实行公务员管理的事业单位）基本医疗保险缴费经费，未参加医疗保险的行政单位的公费医疗经费，按国家规定享受离休人员、红军老战士待遇人员的医疗经费。</w:t>
      </w:r>
    </w:p>
    <w:p w14:paraId="2EF1DE8B">
      <w:pPr>
        <w:ind w:firstLine="640" w:firstLineChars="200"/>
        <w:rPr>
          <w:rFonts w:hint="eastAsia" w:ascii="仿宋_GB2312" w:eastAsia="仿宋_GB2312"/>
          <w:sz w:val="32"/>
          <w:szCs w:val="32"/>
        </w:rPr>
      </w:pPr>
      <w:r>
        <w:rPr>
          <w:rFonts w:hint="eastAsia" w:ascii="仿宋_GB2312" w:eastAsia="仿宋_GB2312"/>
          <w:sz w:val="32"/>
          <w:szCs w:val="32"/>
        </w:rPr>
        <w:t>15.卫生健康（类）行政事业单位医疗（款）事业单位医疗（项）：指财政部门安排的事业单位基本医疗保险缴费经费，未参加医疗保险的事业单位的公费医疗经费，按国家规定享受离休人员待遇人员的医疗经费。</w:t>
      </w:r>
    </w:p>
    <w:p w14:paraId="79640E4B">
      <w:pPr>
        <w:ind w:firstLine="640" w:firstLineChars="200"/>
        <w:rPr>
          <w:rFonts w:hint="eastAsia" w:ascii="仿宋_GB2312" w:eastAsia="仿宋_GB2312"/>
          <w:sz w:val="32"/>
          <w:szCs w:val="32"/>
        </w:rPr>
      </w:pPr>
      <w:r>
        <w:rPr>
          <w:rFonts w:hint="eastAsia" w:ascii="仿宋_GB2312" w:eastAsia="仿宋_GB2312"/>
          <w:sz w:val="32"/>
          <w:szCs w:val="32"/>
        </w:rPr>
        <w:t>16.卫生健康（类）行政事业单位医疗（款）公务员医疗补助（项）：指财政部门安排的公务员医疗补助经费。</w:t>
      </w:r>
    </w:p>
    <w:p w14:paraId="50EC4FE8">
      <w:pPr>
        <w:ind w:firstLine="640" w:firstLineChars="200"/>
        <w:rPr>
          <w:rFonts w:hint="eastAsia" w:ascii="仿宋_GB2312" w:eastAsia="仿宋_GB2312"/>
          <w:sz w:val="32"/>
          <w:szCs w:val="32"/>
        </w:rPr>
      </w:pPr>
      <w:r>
        <w:rPr>
          <w:rFonts w:hint="eastAsia" w:ascii="仿宋_GB2312" w:eastAsia="仿宋_GB2312"/>
          <w:sz w:val="32"/>
          <w:szCs w:val="32"/>
        </w:rPr>
        <w:t>17.卫生健康（类）行政事业单位医疗（款）其他行政事业单位医疗支出（项）：其他用于行政事业单位医疗方面的支出。</w:t>
      </w:r>
    </w:p>
    <w:p w14:paraId="62FD5B40">
      <w:pPr>
        <w:ind w:firstLine="640" w:firstLineChars="200"/>
        <w:rPr>
          <w:rFonts w:hint="eastAsia" w:ascii="仿宋_GB2312" w:eastAsia="仿宋_GB2312"/>
          <w:sz w:val="32"/>
          <w:szCs w:val="32"/>
        </w:rPr>
      </w:pPr>
      <w:r>
        <w:rPr>
          <w:rFonts w:hint="eastAsia" w:ascii="仿宋_GB2312" w:eastAsia="仿宋_GB2312"/>
          <w:sz w:val="32"/>
          <w:szCs w:val="32"/>
        </w:rPr>
        <w:t>18.城乡社区支出（类）国有土地使用权出让收入安排的支出（款）土地开发支出（项）：指</w:t>
      </w:r>
      <w:r>
        <w:rPr>
          <w:rFonts w:hint="eastAsia" w:ascii="仿宋_GB2312" w:eastAsia="仿宋_GB2312"/>
          <w:sz w:val="32"/>
          <w:szCs w:val="32"/>
          <w:lang w:eastAsia="zh-CN"/>
        </w:rPr>
        <w:t>用于土地开发性支出以及前期土地开发相关的费用</w:t>
      </w:r>
      <w:r>
        <w:rPr>
          <w:rFonts w:hint="eastAsia" w:ascii="仿宋_GB2312" w:eastAsia="仿宋_GB2312"/>
          <w:sz w:val="32"/>
          <w:szCs w:val="32"/>
        </w:rPr>
        <w:t>的支出。</w:t>
      </w:r>
    </w:p>
    <w:p w14:paraId="6C06504A">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19.</w:t>
      </w:r>
      <w:r>
        <w:rPr>
          <w:rFonts w:hint="eastAsia" w:ascii="仿宋_GB2312" w:eastAsia="仿宋_GB2312"/>
          <w:sz w:val="32"/>
          <w:szCs w:val="32"/>
        </w:rPr>
        <w:t>城乡社区支出（类）国有土地使用权出让收入安排的支出（款）农村基础设施建设支出（项）：指</w:t>
      </w:r>
      <w:r>
        <w:rPr>
          <w:rFonts w:hint="eastAsia" w:ascii="仿宋_GB2312" w:eastAsia="仿宋_GB2312"/>
          <w:sz w:val="32"/>
          <w:szCs w:val="32"/>
          <w:lang w:eastAsia="zh-CN"/>
        </w:rPr>
        <w:t>用于农村供水保障、村庄公共设施建设和管护以及农业农村直接相关的以工代赈等方面</w:t>
      </w:r>
      <w:r>
        <w:rPr>
          <w:rFonts w:hint="eastAsia" w:ascii="仿宋_GB2312" w:eastAsia="仿宋_GB2312"/>
          <w:sz w:val="32"/>
          <w:szCs w:val="32"/>
        </w:rPr>
        <w:t>的支出。</w:t>
      </w:r>
    </w:p>
    <w:p w14:paraId="047CC5A4">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20.</w:t>
      </w:r>
      <w:r>
        <w:rPr>
          <w:rFonts w:hint="eastAsia" w:ascii="仿宋_GB2312" w:eastAsia="仿宋_GB2312"/>
          <w:sz w:val="32"/>
          <w:szCs w:val="32"/>
        </w:rPr>
        <w:t>城乡社区支出（类）国有土地使用权出让收入安排的支出（款）补助被征地农民支出（项）：指</w:t>
      </w:r>
      <w:r>
        <w:rPr>
          <w:rFonts w:hint="eastAsia" w:ascii="仿宋_GB2312" w:eastAsia="仿宋_GB2312"/>
          <w:sz w:val="32"/>
          <w:szCs w:val="32"/>
          <w:lang w:eastAsia="zh-CN"/>
        </w:rPr>
        <w:t>用于补助被征地农民社会保障支出以及保持被征地农民原有生活水平</w:t>
      </w:r>
      <w:r>
        <w:rPr>
          <w:rFonts w:hint="eastAsia" w:ascii="仿宋_GB2312" w:eastAsia="仿宋_GB2312"/>
          <w:sz w:val="32"/>
          <w:szCs w:val="32"/>
        </w:rPr>
        <w:t>支出。</w:t>
      </w:r>
    </w:p>
    <w:p w14:paraId="4444A11B">
      <w:pPr>
        <w:ind w:firstLine="640" w:firstLineChars="200"/>
        <w:rPr>
          <w:rFonts w:hint="default"/>
          <w:lang w:val="en-US" w:eastAsia="zh-CN"/>
        </w:rPr>
      </w:pPr>
      <w:r>
        <w:rPr>
          <w:rFonts w:hint="eastAsia" w:ascii="仿宋_GB2312" w:eastAsia="仿宋_GB2312"/>
          <w:sz w:val="32"/>
          <w:szCs w:val="32"/>
          <w:lang w:val="en-US" w:eastAsia="zh-CN"/>
        </w:rPr>
        <w:t>21.</w:t>
      </w:r>
      <w:r>
        <w:rPr>
          <w:rFonts w:hint="eastAsia" w:ascii="仿宋_GB2312" w:eastAsia="仿宋_GB2312"/>
          <w:sz w:val="32"/>
          <w:szCs w:val="32"/>
          <w:lang w:eastAsia="zh-CN"/>
        </w:rPr>
        <w:t>城乡社区支出（类）国有土地使用权出让收入安排的支出（款）其他国有土地使用权出让收入安排的支出（项）：指用于其他方面的支出。不包括市县级政府当年按规定用土地出让收入向中央和省级政府缴纳的新增建设用地土地有偿使用费的支出。</w:t>
      </w:r>
    </w:p>
    <w:p w14:paraId="27230AE3">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22.</w:t>
      </w:r>
      <w:r>
        <w:rPr>
          <w:rFonts w:hint="eastAsia" w:ascii="仿宋_GB2312" w:eastAsia="仿宋_GB2312"/>
          <w:sz w:val="32"/>
          <w:szCs w:val="32"/>
        </w:rPr>
        <w:t>农林水（类）其他农林水（款）其他农林水（项）：指除化解债务支出以外其他用于农林水方面的支出。</w:t>
      </w:r>
    </w:p>
    <w:p w14:paraId="7BF34287">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23</w:t>
      </w:r>
      <w:r>
        <w:rPr>
          <w:rFonts w:hint="eastAsia" w:ascii="仿宋_GB2312" w:eastAsia="仿宋_GB2312"/>
          <w:sz w:val="32"/>
          <w:szCs w:val="32"/>
        </w:rPr>
        <w:t>.自然资源海洋气象等（类）自然资源事务（款）行政运行（项）：指行政单位（包括实行公务员管理的事业单位）的基本支出。</w:t>
      </w:r>
    </w:p>
    <w:p w14:paraId="7E3A1752">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4</w:t>
      </w:r>
      <w:r>
        <w:rPr>
          <w:rFonts w:hint="eastAsia" w:ascii="仿宋_GB2312" w:eastAsia="仿宋_GB2312"/>
          <w:sz w:val="32"/>
          <w:szCs w:val="32"/>
        </w:rPr>
        <w:t>.自然资源海洋气象等（类）自然资源事务（款）一般行政管理事务（项）：指行政单位（包括实行公务员管理的事业单位）未单独设置项科目的其他项目支出。</w:t>
      </w:r>
    </w:p>
    <w:p w14:paraId="286AF52B">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5</w:t>
      </w:r>
      <w:r>
        <w:rPr>
          <w:rFonts w:hint="eastAsia" w:ascii="仿宋_GB2312" w:eastAsia="仿宋_GB2312"/>
          <w:sz w:val="32"/>
          <w:szCs w:val="32"/>
        </w:rPr>
        <w:t>.自然资源海洋气象等（类）自然资源事务（款）自然资源规划及管理（项）：指用于</w:t>
      </w:r>
      <w:r>
        <w:rPr>
          <w:rFonts w:hint="eastAsia" w:ascii="仿宋_GB2312" w:eastAsia="仿宋_GB2312"/>
          <w:sz w:val="32"/>
          <w:szCs w:val="32"/>
          <w:lang w:eastAsia="zh-CN"/>
        </w:rPr>
        <w:t>国土空间规划、国土空间开发适宜性评价等方面</w:t>
      </w:r>
      <w:r>
        <w:rPr>
          <w:rFonts w:hint="eastAsia" w:ascii="仿宋_GB2312" w:eastAsia="仿宋_GB2312"/>
          <w:sz w:val="32"/>
          <w:szCs w:val="32"/>
        </w:rPr>
        <w:t>的支出。</w:t>
      </w:r>
    </w:p>
    <w:p w14:paraId="69054AD7">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6</w:t>
      </w:r>
      <w:r>
        <w:rPr>
          <w:rFonts w:hint="eastAsia" w:ascii="仿宋_GB2312" w:eastAsia="仿宋_GB2312"/>
          <w:sz w:val="32"/>
          <w:szCs w:val="32"/>
        </w:rPr>
        <w:t>.自然资源海洋气象等（类）自然资源事务（款）自然资源利用与保护（项）：指用于自然资源有偿使用与合理开发利用，国土空间生态修复，国土整治，耕地保护等方面的支出。</w:t>
      </w:r>
    </w:p>
    <w:p w14:paraId="3266CBC3">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7</w:t>
      </w:r>
      <w:r>
        <w:rPr>
          <w:rFonts w:hint="eastAsia" w:ascii="仿宋_GB2312" w:eastAsia="仿宋_GB2312"/>
          <w:sz w:val="32"/>
          <w:szCs w:val="32"/>
        </w:rPr>
        <w:t>.自然资源海洋气象等（类）自然资源事务（款）自然资源调查与确权登记（项）：指自然资源部门用于自然资源调查监测评价，自然资源统一确权登记等方面的支出。</w:t>
      </w:r>
    </w:p>
    <w:p w14:paraId="5E4188D5">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8</w:t>
      </w:r>
      <w:r>
        <w:rPr>
          <w:rFonts w:hint="eastAsia" w:ascii="仿宋_GB2312" w:eastAsia="仿宋_GB2312"/>
          <w:sz w:val="32"/>
          <w:szCs w:val="32"/>
        </w:rPr>
        <w:t>.自然资源海洋气象等（类）自然资源事务（款）地质勘查与矿产资源管理（项）：指用于</w:t>
      </w:r>
      <w:r>
        <w:rPr>
          <w:rFonts w:hint="eastAsia" w:ascii="仿宋_GB2312" w:eastAsia="仿宋_GB2312"/>
          <w:sz w:val="32"/>
          <w:szCs w:val="32"/>
          <w:lang w:eastAsia="zh-CN"/>
        </w:rPr>
        <w:t>地质勘查行业和地质工作管理，矿业权管理，矿产资源合理利用和保护等方面</w:t>
      </w:r>
      <w:r>
        <w:rPr>
          <w:rFonts w:hint="eastAsia" w:ascii="仿宋_GB2312" w:eastAsia="仿宋_GB2312"/>
          <w:sz w:val="32"/>
          <w:szCs w:val="32"/>
        </w:rPr>
        <w:t>的支出。</w:t>
      </w:r>
    </w:p>
    <w:p w14:paraId="737D175E">
      <w:pPr>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9</w:t>
      </w:r>
      <w:r>
        <w:rPr>
          <w:rFonts w:hint="eastAsia" w:ascii="仿宋_GB2312" w:eastAsia="仿宋_GB2312"/>
          <w:sz w:val="32"/>
          <w:szCs w:val="32"/>
        </w:rPr>
        <w:t>.自然资源海洋气象等（类）自然资源事务（款）事业运行（项）：指事业单位的基本支出。</w:t>
      </w:r>
    </w:p>
    <w:p w14:paraId="3C013E45">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30</w:t>
      </w:r>
      <w:r>
        <w:rPr>
          <w:rFonts w:hint="eastAsia" w:ascii="仿宋_GB2312" w:eastAsia="仿宋_GB2312"/>
          <w:sz w:val="32"/>
          <w:szCs w:val="32"/>
        </w:rPr>
        <w:t>.自然资源海洋气象等（类）自然资源事务（款）其他自然资源事务支出（项）：指其他用于自然资源海洋气象等方面的支出。</w:t>
      </w:r>
    </w:p>
    <w:p w14:paraId="059ABCCB">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31</w:t>
      </w:r>
      <w:r>
        <w:rPr>
          <w:rFonts w:hint="eastAsia" w:ascii="仿宋_GB2312" w:eastAsia="仿宋_GB2312"/>
          <w:sz w:val="32"/>
          <w:szCs w:val="32"/>
        </w:rPr>
        <w:t>.住房保障（类）住房改革（款）住房公积金（项）：指行政事业单位按人力资源和社会保障部、财政部规定的基本工资和津贴补贴以及规定比例为职工缴纳的住房公积金。</w:t>
      </w:r>
    </w:p>
    <w:p w14:paraId="10A75AD2">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32</w:t>
      </w:r>
      <w:r>
        <w:rPr>
          <w:rFonts w:hint="eastAsia" w:ascii="仿宋_GB2312" w:eastAsia="仿宋_GB2312"/>
          <w:sz w:val="32"/>
          <w:szCs w:val="32"/>
        </w:rPr>
        <w:t>.灾害防治及应急管理（类）自然灾害防治（款）地质灾害防治（项）：指防治地质灾害方面的支出。</w:t>
      </w:r>
    </w:p>
    <w:p w14:paraId="4180ACC4">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33</w:t>
      </w:r>
      <w:r>
        <w:rPr>
          <w:rFonts w:hint="eastAsia" w:ascii="仿宋_GB2312" w:eastAsia="仿宋_GB2312"/>
          <w:sz w:val="32"/>
          <w:szCs w:val="32"/>
        </w:rPr>
        <w:t>.灾害防治及应急管理（类）自然灾害防治（款）其他自然灾害防治支出（项）：指其他用于自然灾害防治的支出。</w:t>
      </w:r>
    </w:p>
    <w:p w14:paraId="21EBA91E">
      <w:pPr>
        <w:ind w:firstLine="643" w:firstLineChars="200"/>
        <w:rPr>
          <w:rFonts w:ascii="仿宋" w:hAnsi="仿宋" w:eastAsia="仿宋"/>
          <w:b/>
          <w:sz w:val="32"/>
          <w:szCs w:val="32"/>
        </w:rPr>
      </w:pPr>
    </w:p>
    <w:p w14:paraId="2EDB3FE1">
      <w:pPr>
        <w:ind w:firstLine="640" w:firstLineChars="200"/>
        <w:rPr>
          <w:rFonts w:ascii="仿宋_GB2312" w:eastAsia="仿宋_GB2312"/>
          <w:sz w:val="32"/>
          <w:szCs w:val="32"/>
        </w:rPr>
      </w:pPr>
      <w:r>
        <w:rPr>
          <w:rFonts w:hint="eastAsia" w:ascii="仿宋_GB2312" w:eastAsia="仿宋_GB2312"/>
          <w:sz w:val="32"/>
          <w:szCs w:val="32"/>
          <w:lang w:val="en-US" w:eastAsia="zh-CN"/>
        </w:rPr>
        <w:t>34</w:t>
      </w:r>
      <w:r>
        <w:rPr>
          <w:rFonts w:hint="eastAsia" w:ascii="仿宋_GB2312" w:eastAsia="仿宋_GB2312"/>
          <w:sz w:val="32"/>
          <w:szCs w:val="32"/>
        </w:rPr>
        <w:t>.基本支出：指为保障机构正常运转、完成日常工作任务而发生的人员支出和公用支出。</w:t>
      </w:r>
    </w:p>
    <w:p w14:paraId="660B29E8">
      <w:pPr>
        <w:ind w:firstLine="640" w:firstLineChars="200"/>
        <w:rPr>
          <w:rFonts w:ascii="仿宋_GB2312" w:eastAsia="仿宋_GB2312"/>
          <w:sz w:val="32"/>
          <w:szCs w:val="32"/>
        </w:rPr>
      </w:pPr>
      <w:r>
        <w:rPr>
          <w:rFonts w:hint="eastAsia" w:ascii="仿宋_GB2312" w:eastAsia="仿宋_GB2312"/>
          <w:sz w:val="32"/>
          <w:szCs w:val="32"/>
          <w:lang w:val="en-US" w:eastAsia="zh-CN"/>
        </w:rPr>
        <w:t>35</w:t>
      </w:r>
      <w:r>
        <w:rPr>
          <w:rFonts w:hint="eastAsia" w:ascii="仿宋_GB2312" w:eastAsia="仿宋_GB2312"/>
          <w:sz w:val="32"/>
          <w:szCs w:val="32"/>
        </w:rPr>
        <w:t xml:space="preserve">.项目支出：指在基本支出之外为完成特定行政任务和事业发展目标所发生的支出。 </w:t>
      </w:r>
    </w:p>
    <w:p w14:paraId="2B2FA568">
      <w:pPr>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6</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w:t>
      </w:r>
      <w:r>
        <w:rPr>
          <w:rFonts w:hint="eastAsia" w:ascii="仿宋_GB2312" w:eastAsia="仿宋_GB2312"/>
          <w:color w:val="auto"/>
          <w:sz w:val="32"/>
          <w:szCs w:val="32"/>
        </w:rPr>
        <w:t>公务用车购置及运行费反映</w:t>
      </w:r>
      <w:r>
        <w:rPr>
          <w:rFonts w:hint="eastAsia" w:ascii="仿宋_GB2312" w:eastAsia="仿宋_GB2312"/>
          <w:color w:val="auto"/>
          <w:sz w:val="32"/>
          <w:szCs w:val="32"/>
          <w:lang w:eastAsia="zh-CN"/>
        </w:rPr>
        <w:t>按规定保留的</w:t>
      </w:r>
      <w:r>
        <w:rPr>
          <w:rFonts w:hint="eastAsia" w:ascii="仿宋_GB2312" w:eastAsia="仿宋_GB2312"/>
          <w:color w:val="auto"/>
          <w:sz w:val="32"/>
          <w:szCs w:val="32"/>
        </w:rPr>
        <w:t>公务用车车辆购置支出（含车辆购置税</w:t>
      </w:r>
      <w:r>
        <w:rPr>
          <w:rFonts w:hint="eastAsia" w:ascii="仿宋_GB2312" w:eastAsia="仿宋_GB2312"/>
          <w:color w:val="auto"/>
          <w:sz w:val="32"/>
          <w:szCs w:val="32"/>
          <w:lang w:eastAsia="zh-CN"/>
        </w:rPr>
        <w:t>、牌照费</w:t>
      </w:r>
      <w:r>
        <w:rPr>
          <w:rFonts w:hint="eastAsia" w:ascii="仿宋_GB2312" w:eastAsia="仿宋_GB2312"/>
          <w:color w:val="auto"/>
          <w:sz w:val="32"/>
          <w:szCs w:val="32"/>
        </w:rPr>
        <w:t>）及燃料费、维修费、过路过桥费、保险费</w:t>
      </w:r>
      <w:r>
        <w:rPr>
          <w:rFonts w:hint="eastAsia" w:ascii="仿宋_GB2312" w:hAnsi="仿宋_GB2312" w:eastAsia="仿宋_GB2312"/>
          <w:color w:val="000000"/>
          <w:sz w:val="32"/>
          <w:szCs w:val="24"/>
          <w:lang w:eastAsia="zh-CN"/>
        </w:rPr>
        <w:t>、安全奖励费用</w:t>
      </w:r>
      <w:r>
        <w:rPr>
          <w:rFonts w:hint="eastAsia" w:ascii="仿宋_GB2312" w:eastAsia="仿宋_GB2312"/>
          <w:color w:val="auto"/>
          <w:sz w:val="32"/>
          <w:szCs w:val="32"/>
        </w:rPr>
        <w:t>等支出；</w:t>
      </w:r>
      <w:r>
        <w:rPr>
          <w:rFonts w:hint="eastAsia" w:ascii="仿宋_GB2312" w:eastAsia="仿宋_GB2312"/>
          <w:sz w:val="32"/>
          <w:szCs w:val="32"/>
        </w:rPr>
        <w:t>公务接待费反映单位按规定开支的各类公务接待（含外宾接待）支出。</w:t>
      </w:r>
    </w:p>
    <w:p w14:paraId="14437095">
      <w:pPr>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7</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4072F9F">
      <w:pPr>
        <w:spacing w:line="600" w:lineRule="exact"/>
        <w:jc w:val="center"/>
        <w:outlineLvl w:val="0"/>
        <w:rPr>
          <w:rStyle w:val="27"/>
          <w:rFonts w:ascii="黑体" w:hAnsi="黑体" w:eastAsia="黑体"/>
          <w:b w:val="0"/>
        </w:rPr>
      </w:pPr>
      <w:r>
        <w:rPr>
          <w:rFonts w:ascii="宋体"/>
          <w:b/>
          <w:sz w:val="44"/>
          <w:szCs w:val="44"/>
        </w:rPr>
        <w:br w:type="page"/>
      </w:r>
      <w:bookmarkStart w:id="44" w:name="_Toc15396614"/>
      <w:r>
        <w:rPr>
          <w:rFonts w:hint="eastAsia" w:ascii="黑体" w:hAnsi="黑体" w:eastAsia="黑体"/>
          <w:sz w:val="44"/>
          <w:szCs w:val="44"/>
        </w:rPr>
        <w:t>第</w:t>
      </w:r>
      <w:r>
        <w:rPr>
          <w:rStyle w:val="27"/>
          <w:rFonts w:hint="eastAsia" w:ascii="黑体" w:hAnsi="黑体" w:eastAsia="黑体"/>
          <w:b w:val="0"/>
        </w:rPr>
        <w:t>四部分 附件</w:t>
      </w:r>
      <w:bookmarkEnd w:id="44"/>
    </w:p>
    <w:p w14:paraId="5299E422">
      <w:pPr>
        <w:spacing w:line="572" w:lineRule="exact"/>
        <w:jc w:val="left"/>
        <w:outlineLvl w:val="0"/>
        <w:rPr>
          <w:rFonts w:ascii="仿宋_GB2312" w:hAnsi="仿宋_GB2312" w:eastAsia="仿宋_GB2312" w:cs="仿宋_GB2312"/>
          <w:sz w:val="32"/>
          <w:szCs w:val="32"/>
        </w:rPr>
      </w:pPr>
    </w:p>
    <w:p w14:paraId="677CE668">
      <w:pPr>
        <w:spacing w:line="600" w:lineRule="exact"/>
        <w:jc w:val="center"/>
        <w:outlineLvl w:val="0"/>
        <w:rPr>
          <w:rFonts w:ascii="黑体" w:hAnsi="黑体" w:eastAsia="黑体"/>
          <w:color w:val="FF0000"/>
          <w:sz w:val="44"/>
          <w:szCs w:val="44"/>
        </w:rPr>
      </w:pPr>
      <w:bookmarkStart w:id="45" w:name="_Toc15396618"/>
      <w:r>
        <w:rPr>
          <w:rFonts w:hint="eastAsia"/>
          <w:sz w:val="32"/>
          <w:szCs w:val="32"/>
          <w:lang w:eastAsia="zh-CN"/>
        </w:rPr>
        <w:t>附表：</w:t>
      </w:r>
      <w:r>
        <w:rPr>
          <w:rFonts w:hint="eastAsia"/>
          <w:sz w:val="32"/>
          <w:szCs w:val="32"/>
        </w:rPr>
        <w:t>部门预算项目支出绩效自评表（2023年度）</w:t>
      </w:r>
    </w:p>
    <w:p w14:paraId="65D5B526">
      <w:pPr>
        <w:pStyle w:val="13"/>
        <w:spacing w:line="560" w:lineRule="exact"/>
        <w:ind w:left="0" w:leftChars="0" w:firstLine="640"/>
        <w:rPr>
          <w:sz w:val="32"/>
        </w:rPr>
      </w:pPr>
    </w:p>
    <w:p w14:paraId="79193AF4">
      <w:pPr>
        <w:pStyle w:val="2"/>
        <w:spacing w:before="93"/>
        <w:rPr>
          <w:rFonts w:hAnsi="Calibri" w:cs="仿宋"/>
          <w:sz w:val="32"/>
          <w:szCs w:val="32"/>
        </w:rPr>
      </w:pPr>
    </w:p>
    <w:p w14:paraId="5865C090">
      <w:pPr>
        <w:pStyle w:val="2"/>
        <w:spacing w:before="93"/>
        <w:rPr>
          <w:rFonts w:hAnsi="Calibri" w:cs="仿宋"/>
          <w:sz w:val="32"/>
          <w:szCs w:val="32"/>
        </w:rPr>
      </w:pPr>
    </w:p>
    <w:p w14:paraId="7FCE39A9">
      <w:pPr>
        <w:pStyle w:val="2"/>
        <w:spacing w:before="93"/>
        <w:rPr>
          <w:rFonts w:hAnsi="Calibri" w:cs="仿宋"/>
          <w:sz w:val="32"/>
          <w:szCs w:val="32"/>
        </w:rPr>
      </w:pPr>
    </w:p>
    <w:p w14:paraId="02900952">
      <w:pPr>
        <w:pStyle w:val="2"/>
        <w:spacing w:before="93"/>
        <w:rPr>
          <w:rFonts w:hAnsi="Calibri" w:cs="仿宋"/>
          <w:sz w:val="32"/>
          <w:szCs w:val="32"/>
        </w:rPr>
      </w:pPr>
    </w:p>
    <w:p w14:paraId="358F40E1">
      <w:pPr>
        <w:pStyle w:val="2"/>
        <w:spacing w:before="93"/>
        <w:rPr>
          <w:rFonts w:hAnsi="Calibri" w:cs="仿宋"/>
          <w:sz w:val="32"/>
          <w:szCs w:val="32"/>
        </w:rPr>
      </w:pPr>
    </w:p>
    <w:p w14:paraId="4AD2EE9E">
      <w:pPr>
        <w:pStyle w:val="2"/>
        <w:spacing w:before="93"/>
        <w:rPr>
          <w:rFonts w:hAnsi="Calibri" w:cs="仿宋"/>
          <w:sz w:val="32"/>
          <w:szCs w:val="32"/>
        </w:rPr>
      </w:pPr>
    </w:p>
    <w:p w14:paraId="409B5BAD">
      <w:pPr>
        <w:pStyle w:val="2"/>
        <w:spacing w:before="93"/>
        <w:rPr>
          <w:rFonts w:hAnsi="Calibri" w:cs="仿宋"/>
          <w:sz w:val="32"/>
          <w:szCs w:val="32"/>
        </w:rPr>
      </w:pPr>
    </w:p>
    <w:p w14:paraId="00C274FF">
      <w:pPr>
        <w:pStyle w:val="2"/>
        <w:spacing w:before="93"/>
        <w:rPr>
          <w:rFonts w:hAnsi="Calibri" w:cs="仿宋"/>
          <w:sz w:val="32"/>
          <w:szCs w:val="32"/>
        </w:rPr>
      </w:pPr>
    </w:p>
    <w:p w14:paraId="0FA820D0">
      <w:pPr>
        <w:pStyle w:val="2"/>
        <w:spacing w:before="93"/>
        <w:rPr>
          <w:rFonts w:hAnsi="Calibri" w:cs="仿宋"/>
          <w:sz w:val="32"/>
          <w:szCs w:val="32"/>
        </w:rPr>
      </w:pPr>
    </w:p>
    <w:p w14:paraId="6D4F354C">
      <w:pPr>
        <w:pStyle w:val="2"/>
        <w:spacing w:before="93"/>
        <w:rPr>
          <w:rFonts w:hAnsi="Calibri" w:cs="仿宋"/>
          <w:sz w:val="32"/>
          <w:szCs w:val="32"/>
        </w:rPr>
      </w:pPr>
    </w:p>
    <w:p w14:paraId="70A5A612">
      <w:pPr>
        <w:pStyle w:val="2"/>
        <w:spacing w:before="93"/>
        <w:rPr>
          <w:rFonts w:hAnsi="Calibri" w:cs="仿宋"/>
          <w:sz w:val="32"/>
          <w:szCs w:val="32"/>
        </w:rPr>
      </w:pPr>
    </w:p>
    <w:p w14:paraId="487E4EFA">
      <w:pPr>
        <w:pStyle w:val="2"/>
        <w:spacing w:before="93"/>
        <w:rPr>
          <w:rFonts w:hAnsi="Calibri" w:cs="仿宋"/>
          <w:sz w:val="32"/>
          <w:szCs w:val="32"/>
        </w:rPr>
      </w:pPr>
    </w:p>
    <w:p w14:paraId="2C5F6509">
      <w:pPr>
        <w:pStyle w:val="2"/>
        <w:spacing w:before="93"/>
        <w:rPr>
          <w:rFonts w:hAnsi="Calibri" w:cs="仿宋"/>
          <w:sz w:val="32"/>
          <w:szCs w:val="32"/>
        </w:rPr>
      </w:pPr>
    </w:p>
    <w:p w14:paraId="7BC1B7DE">
      <w:pPr>
        <w:pStyle w:val="2"/>
        <w:spacing w:before="93"/>
        <w:rPr>
          <w:rFonts w:hAnsi="Calibri" w:cs="仿宋"/>
          <w:sz w:val="32"/>
          <w:szCs w:val="32"/>
        </w:rPr>
      </w:pPr>
    </w:p>
    <w:p w14:paraId="4EAF3987">
      <w:pPr>
        <w:pStyle w:val="2"/>
        <w:spacing w:before="93"/>
        <w:rPr>
          <w:rFonts w:hAnsi="Calibri" w:cs="仿宋"/>
          <w:sz w:val="32"/>
          <w:szCs w:val="32"/>
        </w:rPr>
      </w:pPr>
    </w:p>
    <w:p w14:paraId="6C1D628D">
      <w:pPr>
        <w:pStyle w:val="2"/>
        <w:spacing w:before="93"/>
        <w:rPr>
          <w:rFonts w:hAnsi="Calibri" w:cs="仿宋"/>
          <w:sz w:val="32"/>
          <w:szCs w:val="32"/>
        </w:rPr>
      </w:pPr>
    </w:p>
    <w:p w14:paraId="0EDE0BAC">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43"/>
      <w:bookmarkEnd w:id="45"/>
      <w:bookmarkStart w:id="46" w:name="_Toc15396619"/>
    </w:p>
    <w:p w14:paraId="3B8DBA99">
      <w:pPr>
        <w:pStyle w:val="4"/>
        <w:rPr>
          <w:rFonts w:hint="eastAsia" w:ascii="仿宋" w:hAnsi="仿宋" w:eastAsia="仿宋"/>
          <w:b w:val="0"/>
        </w:rPr>
      </w:pPr>
    </w:p>
    <w:p w14:paraId="36667B2A">
      <w:pPr>
        <w:pStyle w:val="4"/>
        <w:rPr>
          <w:rFonts w:ascii="仿宋" w:hAnsi="仿宋" w:eastAsia="仿宋"/>
        </w:rPr>
      </w:pPr>
      <w:r>
        <w:rPr>
          <w:rFonts w:hint="eastAsia" w:ascii="仿宋" w:hAnsi="仿宋" w:eastAsia="仿宋"/>
          <w:b w:val="0"/>
        </w:rPr>
        <w:t>一、收</w:t>
      </w:r>
      <w:r>
        <w:rPr>
          <w:rStyle w:val="28"/>
          <w:rFonts w:hint="eastAsia" w:ascii="仿宋" w:hAnsi="仿宋" w:eastAsia="仿宋"/>
          <w:b w:val="0"/>
          <w:bCs w:val="0"/>
        </w:rPr>
        <w:t>入支出决算总表</w:t>
      </w:r>
      <w:bookmarkEnd w:id="46"/>
    </w:p>
    <w:p w14:paraId="0D04DA0B">
      <w:pPr>
        <w:pStyle w:val="4"/>
        <w:rPr>
          <w:rFonts w:ascii="仿宋" w:hAnsi="仿宋" w:eastAsia="仿宋"/>
        </w:rPr>
      </w:pPr>
      <w:bookmarkStart w:id="47" w:name="_Toc15396620"/>
      <w:r>
        <w:rPr>
          <w:rFonts w:hint="eastAsia" w:ascii="仿宋" w:hAnsi="仿宋" w:eastAsia="仿宋"/>
          <w:b w:val="0"/>
        </w:rPr>
        <w:t>二、收</w:t>
      </w:r>
      <w:r>
        <w:rPr>
          <w:rStyle w:val="28"/>
          <w:rFonts w:hint="eastAsia" w:ascii="仿宋" w:hAnsi="仿宋" w:eastAsia="仿宋"/>
          <w:b w:val="0"/>
          <w:bCs w:val="0"/>
        </w:rPr>
        <w:t>入决算表</w:t>
      </w:r>
      <w:bookmarkEnd w:id="47"/>
    </w:p>
    <w:p w14:paraId="02CC97B6">
      <w:pPr>
        <w:pStyle w:val="4"/>
        <w:rPr>
          <w:rFonts w:ascii="仿宋" w:hAnsi="仿宋" w:eastAsia="仿宋"/>
        </w:rPr>
      </w:pPr>
      <w:bookmarkStart w:id="48"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48"/>
    </w:p>
    <w:p w14:paraId="6C1320E6">
      <w:pPr>
        <w:pStyle w:val="4"/>
        <w:rPr>
          <w:rFonts w:ascii="仿宋" w:hAnsi="仿宋" w:eastAsia="仿宋"/>
          <w:b w:val="0"/>
        </w:rPr>
      </w:pPr>
      <w:bookmarkStart w:id="49" w:name="_Toc15396622"/>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49"/>
    </w:p>
    <w:p w14:paraId="778ED796">
      <w:pPr>
        <w:pStyle w:val="4"/>
        <w:rPr>
          <w:rStyle w:val="28"/>
          <w:rFonts w:ascii="仿宋" w:hAnsi="仿宋" w:eastAsia="仿宋"/>
          <w:b w:val="0"/>
          <w:bCs w:val="0"/>
        </w:rPr>
      </w:pPr>
      <w:bookmarkStart w:id="50" w:name="_Toc15396623"/>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50"/>
      <w:bookmarkStart w:id="51" w:name="_Toc15396624"/>
    </w:p>
    <w:p w14:paraId="3EA1EBA1">
      <w:pPr>
        <w:pStyle w:val="4"/>
        <w:rPr>
          <w:rFonts w:ascii="仿宋" w:hAnsi="仿宋" w:eastAsia="仿宋"/>
        </w:rPr>
      </w:pPr>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51"/>
    </w:p>
    <w:p w14:paraId="20501083">
      <w:pPr>
        <w:pStyle w:val="4"/>
        <w:rPr>
          <w:rFonts w:ascii="仿宋" w:hAnsi="仿宋" w:eastAsia="仿宋"/>
        </w:rPr>
      </w:pPr>
      <w:bookmarkStart w:id="52" w:name="_Toc15396625"/>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52"/>
    </w:p>
    <w:p w14:paraId="6995D107">
      <w:pPr>
        <w:pStyle w:val="4"/>
        <w:rPr>
          <w:rFonts w:ascii="仿宋" w:hAnsi="仿宋" w:eastAsia="仿宋"/>
        </w:rPr>
      </w:pPr>
      <w:bookmarkStart w:id="53"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53"/>
    </w:p>
    <w:p w14:paraId="6D2BD576">
      <w:pPr>
        <w:pStyle w:val="4"/>
        <w:rPr>
          <w:rFonts w:ascii="仿宋" w:hAnsi="仿宋" w:eastAsia="仿宋"/>
        </w:rPr>
      </w:pPr>
      <w:bookmarkStart w:id="54" w:name="_Toc15396627"/>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54"/>
    </w:p>
    <w:p w14:paraId="6C93D425">
      <w:pPr>
        <w:pStyle w:val="4"/>
        <w:rPr>
          <w:rFonts w:ascii="仿宋" w:hAnsi="仿宋" w:eastAsia="仿宋"/>
        </w:rPr>
      </w:pPr>
      <w:bookmarkStart w:id="55" w:name="_Toc15396628"/>
      <w:r>
        <w:rPr>
          <w:rStyle w:val="28"/>
          <w:rFonts w:hint="eastAsia" w:ascii="仿宋" w:hAnsi="仿宋" w:eastAsia="仿宋"/>
          <w:b w:val="0"/>
          <w:bCs w:val="0"/>
        </w:rPr>
        <w:t>十、</w:t>
      </w:r>
      <w:bookmarkEnd w:id="55"/>
      <w:r>
        <w:rPr>
          <w:rFonts w:hint="eastAsia" w:ascii="仿宋" w:hAnsi="仿宋" w:eastAsia="仿宋"/>
          <w:b w:val="0"/>
        </w:rPr>
        <w:t>政</w:t>
      </w:r>
      <w:r>
        <w:rPr>
          <w:rStyle w:val="28"/>
          <w:rFonts w:hint="eastAsia" w:ascii="仿宋" w:hAnsi="仿宋" w:eastAsia="仿宋"/>
          <w:b w:val="0"/>
          <w:bCs w:val="0"/>
        </w:rPr>
        <w:t>府性基金预算财政拨款收入支出决算表</w:t>
      </w:r>
    </w:p>
    <w:p w14:paraId="2BEB74E4">
      <w:pPr>
        <w:pStyle w:val="4"/>
        <w:rPr>
          <w:rFonts w:ascii="仿宋" w:hAnsi="仿宋" w:eastAsia="仿宋"/>
        </w:rPr>
      </w:pPr>
      <w:bookmarkStart w:id="56" w:name="_Toc15396629"/>
      <w:r>
        <w:rPr>
          <w:rStyle w:val="28"/>
          <w:rFonts w:hint="eastAsia" w:ascii="仿宋" w:hAnsi="仿宋" w:eastAsia="仿宋"/>
          <w:b w:val="0"/>
          <w:bCs w:val="0"/>
        </w:rPr>
        <w:t>十一、</w:t>
      </w:r>
      <w:bookmarkEnd w:id="56"/>
      <w:r>
        <w:rPr>
          <w:rFonts w:hint="eastAsia" w:ascii="仿宋" w:hAnsi="仿宋" w:eastAsia="仿宋"/>
          <w:b w:val="0"/>
        </w:rPr>
        <w:t>国</w:t>
      </w:r>
      <w:r>
        <w:rPr>
          <w:rStyle w:val="28"/>
          <w:rFonts w:hint="eastAsia" w:ascii="仿宋" w:hAnsi="仿宋" w:eastAsia="仿宋"/>
          <w:b w:val="0"/>
          <w:bCs w:val="0"/>
        </w:rPr>
        <w:t>有资本经营预算财政拨款收入支出决算表</w:t>
      </w:r>
    </w:p>
    <w:p w14:paraId="269060B7">
      <w:pPr>
        <w:pStyle w:val="4"/>
        <w:rPr>
          <w:rFonts w:ascii="仿宋" w:hAnsi="仿宋" w:eastAsia="仿宋"/>
        </w:rPr>
      </w:pPr>
      <w:bookmarkStart w:id="57" w:name="_Toc15396630"/>
      <w:r>
        <w:rPr>
          <w:rStyle w:val="28"/>
          <w:rFonts w:hint="eastAsia" w:ascii="仿宋" w:hAnsi="仿宋" w:eastAsia="仿宋"/>
          <w:b w:val="0"/>
          <w:bCs w:val="0"/>
        </w:rPr>
        <w:t>十二、</w:t>
      </w:r>
      <w:bookmarkEnd w:id="57"/>
      <w:r>
        <w:rPr>
          <w:rStyle w:val="28"/>
          <w:rFonts w:hint="eastAsia" w:ascii="仿宋" w:hAnsi="仿宋" w:eastAsia="仿宋"/>
          <w:b w:val="0"/>
          <w:bCs w:val="0"/>
        </w:rPr>
        <w:t>国有资本经营预算财政拨款支出决算表</w:t>
      </w:r>
    </w:p>
    <w:p w14:paraId="3A5B7324">
      <w:pPr>
        <w:pStyle w:val="4"/>
        <w:rPr>
          <w:rFonts w:eastAsia="仿宋"/>
        </w:rPr>
      </w:pPr>
      <w:bookmarkStart w:id="58" w:name="_Toc15396631"/>
      <w:r>
        <w:rPr>
          <w:rStyle w:val="28"/>
          <w:rFonts w:hint="eastAsia" w:ascii="仿宋" w:hAnsi="仿宋" w:eastAsia="仿宋"/>
          <w:b w:val="0"/>
          <w:bCs w:val="0"/>
        </w:rPr>
        <w:t>十三、</w:t>
      </w:r>
      <w:bookmarkEnd w:id="58"/>
      <w:r>
        <w:rPr>
          <w:rStyle w:val="28"/>
          <w:rFonts w:hint="eastAsia" w:ascii="仿宋" w:hAnsi="仿宋" w:eastAsia="仿宋"/>
          <w:b w:val="0"/>
          <w:bCs w:val="0"/>
        </w:rPr>
        <w:t>财政拨款“三公”经费支出决算表</w:t>
      </w:r>
    </w:p>
    <w:sectPr>
      <w:headerReference r:id="rId10" w:type="default"/>
      <w:footerReference r:id="rId11" w:type="defaul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B2410">
    <w:pPr>
      <w:pStyle w:val="9"/>
      <w:jc w:val="center"/>
    </w:pPr>
    <w:sdt>
      <w:sdtPr>
        <w:id w:val="147452266"/>
      </w:sdtPr>
      <w:sdtContent>
        <w:r>
          <w:rPr>
            <w:rFonts w:hint="eastAsia"/>
            <w:lang w:val="en-US" w:eastAsia="zh-CN"/>
          </w:rPr>
          <w:t>1</w:t>
        </w:r>
      </w:sdtContent>
    </w:sdt>
  </w:p>
  <w:p w14:paraId="5269689F">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D411C4">
    <w:pPr>
      <w:pStyle w:val="9"/>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344F7F">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344F7F">
                    <w:pPr>
                      <w:pStyle w:val="9"/>
                    </w:pPr>
                    <w:r>
                      <w:fldChar w:fldCharType="begin"/>
                    </w:r>
                    <w:r>
                      <w:instrText xml:space="preserve"> PAGE  \* MERGEFORMAT </w:instrText>
                    </w:r>
                    <w:r>
                      <w:fldChar w:fldCharType="separate"/>
                    </w:r>
                    <w:r>
                      <w:t>1</w:t>
                    </w:r>
                    <w:r>
                      <w:fldChar w:fldCharType="end"/>
                    </w:r>
                  </w:p>
                </w:txbxContent>
              </v:textbox>
            </v:shape>
          </w:pict>
        </mc:Fallback>
      </mc:AlternateContent>
    </w:r>
    <w:sdt>
      <w:sdtPr>
        <w:id w:val="147479697"/>
      </w:sdtPr>
      <w:sdtContent>
        <w:r>
          <w:rPr>
            <w:rFonts w:hint="eastAsia"/>
            <w:lang w:val="en-US" w:eastAsia="zh-CN"/>
          </w:rPr>
          <w:t>1</w:t>
        </w:r>
      </w:sdtContent>
    </w:sdt>
  </w:p>
  <w:p w14:paraId="6C6F6A69">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DC5FE">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0AB176">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C0AB176">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A82DA">
    <w:pPr>
      <w:pStyle w:val="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31492A">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E31492A">
                    <w:pPr>
                      <w:pStyle w:val="9"/>
                    </w:pPr>
                    <w:r>
                      <w:fldChar w:fldCharType="begin"/>
                    </w:r>
                    <w:r>
                      <w:instrText xml:space="preserve"> PAGE  \* MERGEFORMAT </w:instrText>
                    </w:r>
                    <w:r>
                      <w:fldChar w:fldCharType="separate"/>
                    </w:r>
                    <w:r>
                      <w:t>2</w:t>
                    </w:r>
                    <w:r>
                      <w:fldChar w:fldCharType="end"/>
                    </w:r>
                  </w:p>
                </w:txbxContent>
              </v:textbox>
            </v:shape>
          </w:pict>
        </mc:Fallback>
      </mc:AlternateContent>
    </w:r>
    <w:sdt>
      <w:sdtPr>
        <w:id w:val="147463638"/>
      </w:sdtPr>
      <w:sdtContent>
        <w:r>
          <w:rPr>
            <w:rFonts w:hint="eastAsia"/>
            <w:lang w:val="en-US" w:eastAsia="zh-CN"/>
          </w:rPr>
          <w:t>1</w:t>
        </w:r>
      </w:sdtContent>
    </w:sdt>
  </w:p>
  <w:p w14:paraId="3A872300">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A9328">
    <w:pPr>
      <w:pStyle w:val="9"/>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EE66C9">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EEE66C9">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24192">
    <w:pPr>
      <w:pStyle w:val="9"/>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A278D5">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6A278D5">
                    <w:pPr>
                      <w:pStyle w:val="9"/>
                    </w:pPr>
                    <w:r>
                      <w:fldChar w:fldCharType="begin"/>
                    </w:r>
                    <w:r>
                      <w:instrText xml:space="preserve"> PAGE  \* MERGEFORMAT </w:instrText>
                    </w:r>
                    <w:r>
                      <w:fldChar w:fldCharType="separate"/>
                    </w:r>
                    <w:r>
                      <w:t>2</w:t>
                    </w:r>
                    <w:r>
                      <w:fldChar w:fldCharType="end"/>
                    </w:r>
                  </w:p>
                </w:txbxContent>
              </v:textbox>
            </v:shape>
          </w:pict>
        </mc:Fallback>
      </mc:AlternateContent>
    </w:r>
    <w:sdt>
      <w:sdtPr>
        <w:id w:val="147451621"/>
      </w:sdtPr>
      <w:sdtContent>
        <w:r>
          <w:rPr>
            <w:rFonts w:hint="eastAsia"/>
            <w:lang w:val="en-US" w:eastAsia="zh-CN"/>
          </w:rPr>
          <w:t>1</w:t>
        </w:r>
      </w:sdtContent>
    </w:sdt>
  </w:p>
  <w:p w14:paraId="1B1F7ED2">
    <w:pPr>
      <w:pStyle w:val="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20F5A">
    <w:pPr>
      <w:pStyle w:val="9"/>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A2EB28">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8A2EB28">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0BF1A0">
    <w:pPr>
      <w:pStyle w:val="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9C4709">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29C4709">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D05B2">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abstractNum w:abstractNumId="4">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xNDM1MjUwZDQyN2VmMTZmNGQ5MTMyYzhiZjY0ZmE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54852D1"/>
    <w:rsid w:val="081B5E94"/>
    <w:rsid w:val="0A2032A3"/>
    <w:rsid w:val="0B8A37D8"/>
    <w:rsid w:val="0F5FFB2F"/>
    <w:rsid w:val="0FFFCF60"/>
    <w:rsid w:val="10C055FF"/>
    <w:rsid w:val="118107EC"/>
    <w:rsid w:val="11DD6519"/>
    <w:rsid w:val="16BB723D"/>
    <w:rsid w:val="18015F3F"/>
    <w:rsid w:val="1BE8440E"/>
    <w:rsid w:val="1D155CEE"/>
    <w:rsid w:val="1FDBBF84"/>
    <w:rsid w:val="20F57F95"/>
    <w:rsid w:val="222A3956"/>
    <w:rsid w:val="240371BF"/>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8933A9"/>
    <w:rsid w:val="3EE7C2F4"/>
    <w:rsid w:val="3F371B56"/>
    <w:rsid w:val="3F792ED8"/>
    <w:rsid w:val="3F9F3A96"/>
    <w:rsid w:val="3FECA4B2"/>
    <w:rsid w:val="3FF58C48"/>
    <w:rsid w:val="42FF6694"/>
    <w:rsid w:val="48BF60AB"/>
    <w:rsid w:val="493C27E9"/>
    <w:rsid w:val="496F39ED"/>
    <w:rsid w:val="49FF41D3"/>
    <w:rsid w:val="4BE068DB"/>
    <w:rsid w:val="4BF6002B"/>
    <w:rsid w:val="4BFFC6BE"/>
    <w:rsid w:val="4ECE2238"/>
    <w:rsid w:val="51DB4B86"/>
    <w:rsid w:val="51F64DB0"/>
    <w:rsid w:val="5306323C"/>
    <w:rsid w:val="542165F1"/>
    <w:rsid w:val="55333C3E"/>
    <w:rsid w:val="5BA63493"/>
    <w:rsid w:val="5F67802D"/>
    <w:rsid w:val="5F7DC4F2"/>
    <w:rsid w:val="5FB36814"/>
    <w:rsid w:val="5FBB8E56"/>
    <w:rsid w:val="5FFB5535"/>
    <w:rsid w:val="61EF498D"/>
    <w:rsid w:val="64CA39A1"/>
    <w:rsid w:val="69630ADE"/>
    <w:rsid w:val="69BD5F13"/>
    <w:rsid w:val="69FB0B4B"/>
    <w:rsid w:val="6BFFE1FB"/>
    <w:rsid w:val="6C4A05C8"/>
    <w:rsid w:val="6D3B1A89"/>
    <w:rsid w:val="6DB7D8A3"/>
    <w:rsid w:val="6EC78701"/>
    <w:rsid w:val="6F7A5481"/>
    <w:rsid w:val="6FFE07A9"/>
    <w:rsid w:val="71BF4EC2"/>
    <w:rsid w:val="71D62DBC"/>
    <w:rsid w:val="72734D90"/>
    <w:rsid w:val="73E75B71"/>
    <w:rsid w:val="7412278C"/>
    <w:rsid w:val="74654538"/>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字符"/>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字符"/>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字符"/>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字符"/>
    <w:basedOn w:val="15"/>
    <w:link w:val="3"/>
    <w:qFormat/>
    <w:uiPriority w:val="9"/>
    <w:rPr>
      <w:rFonts w:ascii="Times New Roman" w:hAnsi="Times New Roman"/>
      <w:b/>
      <w:bCs/>
      <w:kern w:val="44"/>
      <w:sz w:val="44"/>
      <w:szCs w:val="44"/>
    </w:rPr>
  </w:style>
  <w:style w:type="character" w:customStyle="1" w:styleId="28">
    <w:name w:val="标题 2 字符"/>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字符"/>
    <w:basedOn w:val="15"/>
    <w:link w:val="8"/>
    <w:semiHidden/>
    <w:qFormat/>
    <w:uiPriority w:val="99"/>
    <w:rPr>
      <w:rFonts w:ascii="Times New Roman" w:hAnsi="Times New Roman"/>
      <w:kern w:val="2"/>
      <w:sz w:val="18"/>
      <w:szCs w:val="18"/>
    </w:rPr>
  </w:style>
  <w:style w:type="character" w:customStyle="1" w:styleId="31">
    <w:name w:val="标题 3 字符"/>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7.emf"/><Relationship Id="rId25" Type="http://schemas.openxmlformats.org/officeDocument/2006/relationships/oleObject" Target="embeddings/oleObject7.bin"/><Relationship Id="rId24" Type="http://schemas.openxmlformats.org/officeDocument/2006/relationships/image" Target="media/image6.emf"/><Relationship Id="rId23" Type="http://schemas.openxmlformats.org/officeDocument/2006/relationships/oleObject" Target="embeddings/oleObject6.bin"/><Relationship Id="rId22" Type="http://schemas.openxmlformats.org/officeDocument/2006/relationships/image" Target="media/image5.emf"/><Relationship Id="rId21" Type="http://schemas.openxmlformats.org/officeDocument/2006/relationships/oleObject" Target="embeddings/oleObject5.bin"/><Relationship Id="rId20" Type="http://schemas.openxmlformats.org/officeDocument/2006/relationships/image" Target="media/image4.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3.emf"/><Relationship Id="rId17" Type="http://schemas.openxmlformats.org/officeDocument/2006/relationships/oleObject" Target="embeddings/oleObject3.bin"/><Relationship Id="rId16" Type="http://schemas.openxmlformats.org/officeDocument/2006/relationships/image" Target="media/image2.emf"/><Relationship Id="rId15" Type="http://schemas.openxmlformats.org/officeDocument/2006/relationships/oleObject" Target="embeddings/oleObject2.bin"/><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header" Target="header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27"/>
    <customShpInfo spid="_x0000_s1028"/>
    <customShpInfo spid="_x0000_s1029"/>
    <customShpInfo spid="_x0000_s1030"/>
    <customShpInfo spid="_x0000_s1031"/>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25</Pages>
  <Words>7044</Words>
  <Characters>7752</Characters>
  <Lines>54</Lines>
  <Paragraphs>15</Paragraphs>
  <TotalTime>2</TotalTime>
  <ScaleCrop>false</ScaleCrop>
  <LinksUpToDate>false</LinksUpToDate>
  <CharactersWithSpaces>7803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2020-08-08T01:49:00Z</dcterms:created>
  <dc:creator>曹颖</dc:creator>
  <cp:lastModifiedBy>Administrator</cp:lastModifiedBy>
  <cp:lastPrinted>2023-08-03T02:35:00Z</cp:lastPrinted>
  <dcterms:modified xsi:type="dcterms:W3CDTF">2024-10-28T09:18:03Z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DA48FD57DCA44EFC90A3F4384113B7CB</vt:lpwstr>
  </property>
</Properties>
</file>