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ascii="方正小标宋简体" w:hAnsi="宋体" w:eastAsia="方正小标宋简体"/>
          <w:sz w:val="72"/>
          <w:szCs w:val="72"/>
        </w:rPr>
      </w:pPr>
      <w:bookmarkStart w:id="0" w:name="_Toc15396475"/>
      <w:bookmarkStart w:id="1" w:name="_Toc15377193"/>
      <w:bookmarkStart w:id="2" w:name="_Toc15396597"/>
      <w:bookmarkStart w:id="3" w:name="_Toc15378441"/>
      <w:bookmarkStart w:id="4" w:name="_Toc15377425"/>
      <w:bookmarkStart w:id="5" w:name="_Toc15306267"/>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ascii="方正小标宋简体" w:hAnsi="宋体" w:eastAsia="方正小标宋简体"/>
          <w:sz w:val="72"/>
          <w:szCs w:val="72"/>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年度</w:t>
      </w:r>
      <w:bookmarkEnd w:id="0"/>
      <w:bookmarkEnd w:id="1"/>
      <w:bookmarkEnd w:id="2"/>
      <w:bookmarkEnd w:id="3"/>
      <w:bookmarkEnd w:id="4"/>
    </w:p>
    <w:bookmarkEnd w:id="5"/>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ascii="方正小标宋简体" w:hAnsi="方正小标宋简体" w:eastAsia="方正小标宋简体" w:cs="方正小标宋简体"/>
          <w:sz w:val="44"/>
          <w:szCs w:val="44"/>
        </w:rPr>
        <w:sectPr>
          <w:footerReference r:id="rId7" w:type="first"/>
          <w:headerReference r:id="rId3" w:type="default"/>
          <w:footerReference r:id="rId5" w:type="default"/>
          <w:headerReference r:id="rId4" w:type="even"/>
          <w:footerReference r:id="rId6" w:type="even"/>
          <w:pgSz w:w="11906" w:h="16838"/>
          <w:pgMar w:top="1440" w:right="1800" w:bottom="1440" w:left="1800" w:header="851" w:footer="992" w:gutter="0"/>
          <w:pgNumType w:start="4"/>
          <w:cols w:space="425" w:num="1"/>
          <w:titlePg/>
          <w:docGrid w:type="lines" w:linePitch="312" w:charSpace="0"/>
        </w:sectPr>
      </w:pPr>
      <w:bookmarkStart w:id="6" w:name="_Toc15377194"/>
      <w:bookmarkStart w:id="7" w:name="_Toc15396598"/>
      <w:bookmarkStart w:id="8" w:name="_Toc15378442"/>
      <w:bookmarkStart w:id="9" w:name="_Toc15306268"/>
      <w:bookmarkStart w:id="10" w:name="_Toc15396476"/>
      <w:bookmarkStart w:id="11" w:name="_Toc15377426"/>
      <w:r>
        <w:rPr>
          <w:rFonts w:hint="eastAsia" w:ascii="方正小标宋简体" w:hAnsi="方正小标宋简体" w:eastAsia="方正小标宋简体" w:cs="方正小标宋简体"/>
          <w:sz w:val="44"/>
          <w:szCs w:val="44"/>
        </w:rPr>
        <w:t>盐边县红格国际运动康养·温泉度假区管理委员会部门决算</w:t>
      </w:r>
      <w:bookmarkEnd w:id="6"/>
      <w:bookmarkEnd w:id="7"/>
      <w:bookmarkEnd w:id="8"/>
      <w:bookmarkEnd w:id="9"/>
      <w:bookmarkEnd w:id="10"/>
      <w:bookmarkEnd w:id="11"/>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eastAsia" w:ascii="黑体" w:hAnsi="黑体" w:eastAsia="黑体"/>
          <w:sz w:val="48"/>
          <w:szCs w:val="48"/>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eastAsia" w:ascii="黑体" w:hAnsi="黑体" w:eastAsia="黑体"/>
          <w:sz w:val="48"/>
          <w:szCs w:val="48"/>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eastAsia" w:ascii="黑体" w:hAnsi="黑体" w:eastAsia="黑体"/>
          <w:sz w:val="48"/>
          <w:szCs w:val="48"/>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eastAsia" w:ascii="黑体" w:hAnsi="黑体" w:eastAsia="黑体"/>
          <w:sz w:val="48"/>
          <w:szCs w:val="48"/>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eastAsia" w:ascii="黑体" w:hAnsi="黑体" w:eastAsia="黑体"/>
          <w:sz w:val="48"/>
          <w:szCs w:val="48"/>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eastAsia" w:ascii="黑体" w:hAnsi="黑体" w:eastAsia="黑体"/>
          <w:sz w:val="48"/>
          <w:szCs w:val="48"/>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eastAsia" w:ascii="黑体" w:hAnsi="黑体" w:eastAsia="黑体"/>
          <w:sz w:val="48"/>
          <w:szCs w:val="48"/>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eastAsia" w:ascii="黑体" w:hAnsi="黑体" w:eastAsia="黑体"/>
          <w:sz w:val="48"/>
          <w:szCs w:val="48"/>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eastAsia" w:ascii="黑体" w:hAnsi="黑体" w:eastAsia="黑体"/>
          <w:sz w:val="48"/>
          <w:szCs w:val="48"/>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eastAsia" w:ascii="黑体" w:hAnsi="黑体" w:eastAsia="黑体"/>
          <w:sz w:val="48"/>
          <w:szCs w:val="48"/>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eastAsia" w:ascii="黑体" w:hAnsi="黑体" w:eastAsia="黑体"/>
          <w:sz w:val="48"/>
          <w:szCs w:val="48"/>
        </w:rPr>
        <w:sectPr>
          <w:footerReference r:id="rId8" w:type="default"/>
          <w:type w:val="continuous"/>
          <w:pgSz w:w="11906" w:h="16838"/>
          <w:pgMar w:top="1440" w:right="1800" w:bottom="1440" w:left="1800" w:header="851" w:footer="992" w:gutter="0"/>
          <w:pgNumType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ascii="黑体" w:hAnsi="黑体" w:eastAsia="黑体"/>
          <w:sz w:val="48"/>
          <w:szCs w:val="48"/>
        </w:rPr>
      </w:pPr>
      <w:r>
        <w:rPr>
          <w:rFonts w:hint="eastAsia" w:ascii="黑体" w:hAnsi="黑体" w:eastAsia="黑体"/>
          <w:sz w:val="48"/>
          <w:szCs w:val="48"/>
        </w:rPr>
        <w:t>目录</w:t>
      </w:r>
    </w:p>
    <w:p>
      <w:pPr>
        <w:pStyle w:val="2"/>
        <w:spacing w:before="93"/>
      </w:pPr>
    </w:p>
    <w:p>
      <w:pPr>
        <w:pStyle w:val="12"/>
      </w:pPr>
      <w:r>
        <w:rPr>
          <w:rFonts w:hint="eastAsia"/>
        </w:rPr>
        <w:t>公开时间：202</w:t>
      </w:r>
      <w:r>
        <w:rPr>
          <w:rFonts w:hint="eastAsia"/>
          <w:lang w:val="en-US" w:eastAsia="zh-CN"/>
        </w:rPr>
        <w:t>4</w:t>
      </w:r>
      <w:r>
        <w:rPr>
          <w:rFonts w:hint="eastAsia"/>
        </w:rPr>
        <w:t>年10月2</w:t>
      </w:r>
      <w:r>
        <w:rPr>
          <w:rFonts w:hint="eastAsia"/>
          <w:lang w:val="en-US" w:eastAsia="zh-CN"/>
        </w:rPr>
        <w:t>8</w:t>
      </w:r>
      <w:r>
        <w:rPr>
          <w:rFonts w:hint="eastAsia"/>
        </w:rPr>
        <w:t>日</w:t>
      </w:r>
    </w:p>
    <w:p/>
    <w:p>
      <w:pPr>
        <w:pStyle w:val="12"/>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pPr>
      <w:bookmarkStart w:id="12" w:name="_Toc15377196"/>
      <w:bookmarkStart w:id="13" w:name="_Toc15396599"/>
      <w:r>
        <w:rPr>
          <w:rFonts w:hint="eastAsia" w:ascii="方正小标宋简体" w:hAnsi="黑体" w:eastAsia="方正小标宋简体"/>
          <w:b w:val="0"/>
        </w:rPr>
        <w:fldChar w:fldCharType="begin"/>
      </w:r>
      <w:r>
        <w:rPr>
          <w:rFonts w:hint="eastAsia" w:ascii="方正小标宋简体" w:hAnsi="黑体" w:eastAsia="方正小标宋简体"/>
          <w:b w:val="0"/>
        </w:rPr>
        <w:instrText xml:space="preserve">TOC \o "1-3" \h \u </w:instrText>
      </w:r>
      <w:r>
        <w:rPr>
          <w:rFonts w:hint="eastAsia" w:ascii="方正小标宋简体" w:hAnsi="黑体" w:eastAsia="方正小标宋简体"/>
          <w:b w:val="0"/>
        </w:rPr>
        <w:fldChar w:fldCharType="separate"/>
      </w:r>
      <w:r>
        <w:rPr>
          <w:rFonts w:hint="eastAsia" w:ascii="Times New Roman" w:hAnsi="Times New Roman" w:eastAsia="仿宋"/>
          <w:sz w:val="24"/>
        </w:rPr>
        <w:fldChar w:fldCharType="begin"/>
      </w:r>
      <w:r>
        <w:rPr>
          <w:rFonts w:hint="eastAsia" w:ascii="Times New Roman" w:hAnsi="Times New Roman" w:eastAsia="仿宋"/>
          <w:sz w:val="24"/>
        </w:rPr>
        <w:instrText xml:space="preserve"> HYPERLINK \l _Toc30711 </w:instrText>
      </w:r>
      <w:r>
        <w:rPr>
          <w:rFonts w:hint="eastAsia" w:ascii="Times New Roman" w:hAnsi="Times New Roman" w:eastAsia="仿宋"/>
          <w:sz w:val="24"/>
        </w:rPr>
        <w:fldChar w:fldCharType="separate"/>
      </w:r>
      <w:r>
        <w:rPr>
          <w:rFonts w:hint="eastAsia" w:ascii="Times New Roman" w:hAnsi="Times New Roman" w:eastAsia="仿宋"/>
          <w:sz w:val="24"/>
        </w:rPr>
        <w:t xml:space="preserve">第一部分 </w:t>
      </w:r>
      <w:r>
        <w:rPr>
          <w:rFonts w:hint="eastAsia" w:ascii="Times New Roman" w:hAnsi="Times New Roman" w:eastAsia="仿宋"/>
          <w:bCs w:val="0"/>
          <w:sz w:val="24"/>
        </w:rPr>
        <w:t>部门概况</w:t>
      </w:r>
      <w:r>
        <w:rPr>
          <w:rFonts w:ascii="Times New Roman" w:hAnsi="Times New Roman" w:eastAsia="仿宋"/>
          <w:sz w:val="24"/>
        </w:rPr>
        <w:tab/>
      </w:r>
      <w:r>
        <w:rPr>
          <w:rFonts w:ascii="Times New Roman" w:hAnsi="Times New Roman" w:eastAsia="仿宋"/>
          <w:sz w:val="24"/>
        </w:rPr>
        <w:fldChar w:fldCharType="begin"/>
      </w:r>
      <w:r>
        <w:rPr>
          <w:rFonts w:ascii="Times New Roman" w:hAnsi="Times New Roman" w:eastAsia="仿宋"/>
          <w:sz w:val="24"/>
        </w:rPr>
        <w:instrText xml:space="preserve"> PAGEREF _Toc30711 \h </w:instrText>
      </w:r>
      <w:r>
        <w:rPr>
          <w:rFonts w:ascii="Times New Roman" w:hAnsi="Times New Roman" w:eastAsia="仿宋"/>
          <w:sz w:val="24"/>
        </w:rPr>
        <w:fldChar w:fldCharType="separate"/>
      </w:r>
      <w:r>
        <w:rPr>
          <w:rFonts w:ascii="Times New Roman" w:hAnsi="Times New Roman" w:eastAsia="仿宋"/>
          <w:sz w:val="24"/>
        </w:rPr>
        <w:t>1</w:t>
      </w:r>
      <w:r>
        <w:rPr>
          <w:rFonts w:ascii="Times New Roman" w:hAnsi="Times New Roman" w:eastAsia="仿宋"/>
          <w:sz w:val="24"/>
        </w:rPr>
        <w:fldChar w:fldCharType="end"/>
      </w:r>
      <w:r>
        <w:rPr>
          <w:rFonts w:hint="eastAsia" w:ascii="Times New Roman" w:hAnsi="Times New Roman" w:eastAsia="仿宋"/>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_Toc14058 </w:instrText>
      </w:r>
      <w:r>
        <w:rPr>
          <w:rFonts w:hint="eastAsia" w:ascii="Times New Roman" w:hAnsi="Times New Roman" w:eastAsia="宋体"/>
          <w:sz w:val="24"/>
        </w:rPr>
        <w:fldChar w:fldCharType="separate"/>
      </w:r>
      <w:r>
        <w:rPr>
          <w:rFonts w:hint="eastAsia" w:ascii="Times New Roman" w:hAnsi="Times New Roman" w:eastAsia="宋体"/>
          <w:sz w:val="24"/>
        </w:rPr>
        <w:t>一、部门职责</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_Toc14058 \h </w:instrText>
      </w:r>
      <w:r>
        <w:rPr>
          <w:rFonts w:ascii="Times New Roman" w:hAnsi="Times New Roman" w:eastAsia="宋体"/>
          <w:sz w:val="24"/>
        </w:rPr>
        <w:fldChar w:fldCharType="separate"/>
      </w:r>
      <w:r>
        <w:rPr>
          <w:rFonts w:ascii="Times New Roman" w:hAnsi="Times New Roman" w:eastAsia="宋体"/>
          <w:sz w:val="24"/>
        </w:rPr>
        <w:t>1</w:t>
      </w:r>
      <w:r>
        <w:rPr>
          <w:rFonts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_Toc15226 </w:instrText>
      </w:r>
      <w:r>
        <w:rPr>
          <w:rFonts w:hint="eastAsia" w:ascii="Times New Roman" w:hAnsi="Times New Roman" w:eastAsia="宋体"/>
          <w:sz w:val="24"/>
        </w:rPr>
        <w:fldChar w:fldCharType="separate"/>
      </w:r>
      <w:r>
        <w:rPr>
          <w:rFonts w:hint="eastAsia" w:ascii="Times New Roman" w:hAnsi="Times New Roman" w:eastAsia="宋体"/>
          <w:sz w:val="24"/>
        </w:rPr>
        <w:t>二、机构设置</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_Toc15226 \h </w:instrText>
      </w:r>
      <w:r>
        <w:rPr>
          <w:rFonts w:hint="eastAsia" w:ascii="Times New Roman" w:hAnsi="Times New Roman" w:eastAsia="宋体"/>
          <w:sz w:val="24"/>
        </w:rPr>
        <w:fldChar w:fldCharType="separate"/>
      </w:r>
      <w:r>
        <w:rPr>
          <w:rFonts w:hint="eastAsia" w:ascii="Times New Roman" w:hAnsi="Times New Roman" w:eastAsia="宋体"/>
          <w:sz w:val="24"/>
        </w:rPr>
        <w:t>1</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2"/>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仿宋"/>
          <w:sz w:val="24"/>
        </w:rPr>
      </w:pPr>
      <w:r>
        <w:rPr>
          <w:rFonts w:hint="eastAsia" w:ascii="Times New Roman" w:hAnsi="Times New Roman" w:eastAsia="仿宋"/>
          <w:sz w:val="24"/>
        </w:rPr>
        <w:fldChar w:fldCharType="begin"/>
      </w:r>
      <w:r>
        <w:rPr>
          <w:rFonts w:hint="eastAsia" w:ascii="Times New Roman" w:hAnsi="Times New Roman" w:eastAsia="仿宋"/>
          <w:sz w:val="24"/>
        </w:rPr>
        <w:instrText xml:space="preserve"> HYPERLINK \l _Toc23871 </w:instrText>
      </w:r>
      <w:r>
        <w:rPr>
          <w:rFonts w:hint="eastAsia" w:ascii="Times New Roman" w:hAnsi="Times New Roman" w:eastAsia="仿宋"/>
          <w:sz w:val="24"/>
        </w:rPr>
        <w:fldChar w:fldCharType="separate"/>
      </w:r>
      <w:r>
        <w:rPr>
          <w:rFonts w:hint="eastAsia" w:ascii="Times New Roman" w:hAnsi="Times New Roman" w:eastAsia="仿宋"/>
          <w:sz w:val="24"/>
        </w:rPr>
        <w:t>第二部分 202</w:t>
      </w:r>
      <w:r>
        <w:rPr>
          <w:rFonts w:hint="eastAsia" w:ascii="Times New Roman" w:hAnsi="Times New Roman" w:eastAsia="仿宋"/>
          <w:sz w:val="24"/>
          <w:lang w:val="en-US" w:eastAsia="zh-CN"/>
        </w:rPr>
        <w:t>3</w:t>
      </w:r>
      <w:r>
        <w:rPr>
          <w:rFonts w:hint="eastAsia" w:ascii="Times New Roman" w:hAnsi="Times New Roman" w:eastAsia="仿宋"/>
          <w:sz w:val="24"/>
        </w:rPr>
        <w:t>年度部门决算情况说明</w:t>
      </w:r>
      <w:r>
        <w:rPr>
          <w:rFonts w:hint="eastAsia" w:ascii="Times New Roman" w:hAnsi="Times New Roman" w:eastAsia="仿宋"/>
          <w:sz w:val="24"/>
        </w:rPr>
        <w:tab/>
      </w:r>
      <w:r>
        <w:rPr>
          <w:rFonts w:hint="eastAsia" w:ascii="Times New Roman" w:hAnsi="Times New Roman" w:eastAsia="仿宋"/>
          <w:sz w:val="24"/>
        </w:rPr>
        <w:fldChar w:fldCharType="begin"/>
      </w:r>
      <w:r>
        <w:rPr>
          <w:rFonts w:hint="eastAsia" w:ascii="Times New Roman" w:hAnsi="Times New Roman" w:eastAsia="仿宋"/>
          <w:sz w:val="24"/>
        </w:rPr>
        <w:instrText xml:space="preserve"> PAGEREF _Toc23871 \h </w:instrText>
      </w:r>
      <w:r>
        <w:rPr>
          <w:rFonts w:hint="eastAsia" w:ascii="Times New Roman" w:hAnsi="Times New Roman" w:eastAsia="仿宋"/>
          <w:sz w:val="24"/>
        </w:rPr>
        <w:fldChar w:fldCharType="separate"/>
      </w:r>
      <w:r>
        <w:rPr>
          <w:rFonts w:hint="eastAsia" w:ascii="Times New Roman" w:hAnsi="Times New Roman" w:eastAsia="仿宋"/>
          <w:sz w:val="24"/>
        </w:rPr>
        <w:t>2</w:t>
      </w:r>
      <w:r>
        <w:rPr>
          <w:rFonts w:hint="eastAsia" w:ascii="Times New Roman" w:hAnsi="Times New Roman" w:eastAsia="仿宋"/>
          <w:sz w:val="24"/>
        </w:rPr>
        <w:fldChar w:fldCharType="end"/>
      </w:r>
      <w:r>
        <w:rPr>
          <w:rFonts w:hint="eastAsia" w:ascii="Times New Roman" w:hAnsi="Times New Roman" w:eastAsia="仿宋"/>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_Toc20100 </w:instrText>
      </w:r>
      <w:r>
        <w:rPr>
          <w:rFonts w:hint="eastAsia" w:ascii="Times New Roman" w:hAnsi="Times New Roman" w:eastAsia="宋体"/>
          <w:sz w:val="24"/>
        </w:rPr>
        <w:fldChar w:fldCharType="separate"/>
      </w:r>
      <w:r>
        <w:rPr>
          <w:rFonts w:hint="default" w:ascii="Times New Roman" w:hAnsi="Times New Roman" w:eastAsia="宋体"/>
          <w:sz w:val="24"/>
        </w:rPr>
        <w:t xml:space="preserve">一、 </w:t>
      </w:r>
      <w:r>
        <w:rPr>
          <w:rFonts w:hint="eastAsia" w:ascii="Times New Roman" w:hAnsi="Times New Roman" w:eastAsia="宋体"/>
          <w:sz w:val="24"/>
        </w:rPr>
        <w:t>收入支出决算总体情况说明</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_Toc20100 \h </w:instrText>
      </w:r>
      <w:r>
        <w:rPr>
          <w:rFonts w:hint="eastAsia" w:ascii="Times New Roman" w:hAnsi="Times New Roman" w:eastAsia="宋体"/>
          <w:sz w:val="24"/>
        </w:rPr>
        <w:fldChar w:fldCharType="separate"/>
      </w:r>
      <w:r>
        <w:rPr>
          <w:rFonts w:hint="eastAsia" w:ascii="Times New Roman" w:hAnsi="Times New Roman" w:eastAsia="宋体"/>
          <w:sz w:val="24"/>
        </w:rPr>
        <w:t>2</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_Toc2093 </w:instrText>
      </w:r>
      <w:r>
        <w:rPr>
          <w:rFonts w:hint="eastAsia" w:ascii="Times New Roman" w:hAnsi="Times New Roman" w:eastAsia="宋体"/>
          <w:sz w:val="24"/>
        </w:rPr>
        <w:fldChar w:fldCharType="separate"/>
      </w:r>
      <w:r>
        <w:rPr>
          <w:rFonts w:hint="default" w:ascii="Times New Roman" w:hAnsi="Times New Roman" w:eastAsia="宋体"/>
          <w:sz w:val="24"/>
        </w:rPr>
        <w:t xml:space="preserve">二、 </w:t>
      </w:r>
      <w:r>
        <w:rPr>
          <w:rFonts w:hint="eastAsia" w:ascii="Times New Roman" w:hAnsi="Times New Roman" w:eastAsia="宋体"/>
          <w:sz w:val="24"/>
        </w:rPr>
        <w:t>收入决算情况说明</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_Toc2093 \h </w:instrText>
      </w:r>
      <w:r>
        <w:rPr>
          <w:rFonts w:hint="eastAsia" w:ascii="Times New Roman" w:hAnsi="Times New Roman" w:eastAsia="宋体"/>
          <w:sz w:val="24"/>
        </w:rPr>
        <w:fldChar w:fldCharType="separate"/>
      </w:r>
      <w:r>
        <w:rPr>
          <w:rFonts w:hint="eastAsia" w:ascii="Times New Roman" w:hAnsi="Times New Roman" w:eastAsia="宋体"/>
          <w:sz w:val="24"/>
        </w:rPr>
        <w:t>2</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_Toc16183 </w:instrText>
      </w:r>
      <w:r>
        <w:rPr>
          <w:rFonts w:hint="eastAsia" w:ascii="Times New Roman" w:hAnsi="Times New Roman" w:eastAsia="宋体"/>
          <w:sz w:val="24"/>
        </w:rPr>
        <w:fldChar w:fldCharType="separate"/>
      </w:r>
      <w:r>
        <w:rPr>
          <w:rFonts w:hint="default" w:ascii="Times New Roman" w:hAnsi="Times New Roman" w:eastAsia="宋体"/>
          <w:sz w:val="24"/>
        </w:rPr>
        <w:t xml:space="preserve">三、 </w:t>
      </w:r>
      <w:r>
        <w:rPr>
          <w:rFonts w:hint="eastAsia" w:ascii="Times New Roman" w:hAnsi="Times New Roman" w:eastAsia="宋体"/>
          <w:sz w:val="24"/>
        </w:rPr>
        <w:t>支出决算情况说明</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_Toc16183 \h </w:instrText>
      </w:r>
      <w:r>
        <w:rPr>
          <w:rFonts w:hint="eastAsia" w:ascii="Times New Roman" w:hAnsi="Times New Roman" w:eastAsia="宋体"/>
          <w:sz w:val="24"/>
        </w:rPr>
        <w:fldChar w:fldCharType="separate"/>
      </w:r>
      <w:r>
        <w:rPr>
          <w:rFonts w:hint="eastAsia" w:ascii="Times New Roman" w:hAnsi="Times New Roman" w:eastAsia="宋体"/>
          <w:sz w:val="24"/>
        </w:rPr>
        <w:t>3</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_Toc2228 </w:instrText>
      </w:r>
      <w:r>
        <w:rPr>
          <w:rFonts w:hint="eastAsia" w:ascii="Times New Roman" w:hAnsi="Times New Roman" w:eastAsia="宋体"/>
          <w:sz w:val="24"/>
        </w:rPr>
        <w:fldChar w:fldCharType="separate"/>
      </w:r>
      <w:r>
        <w:rPr>
          <w:rFonts w:hint="eastAsia" w:ascii="Times New Roman" w:hAnsi="Times New Roman" w:eastAsia="宋体"/>
          <w:sz w:val="24"/>
        </w:rPr>
        <w:t>四、财政拨款收入支出决算总体情况说明</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_Toc2228 \h </w:instrText>
      </w:r>
      <w:r>
        <w:rPr>
          <w:rFonts w:hint="eastAsia" w:ascii="Times New Roman" w:hAnsi="Times New Roman" w:eastAsia="宋体"/>
          <w:sz w:val="24"/>
        </w:rPr>
        <w:fldChar w:fldCharType="separate"/>
      </w:r>
      <w:r>
        <w:rPr>
          <w:rFonts w:hint="eastAsia" w:ascii="Times New Roman" w:hAnsi="Times New Roman" w:eastAsia="宋体"/>
          <w:sz w:val="24"/>
        </w:rPr>
        <w:t>3</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_Toc20572 </w:instrText>
      </w:r>
      <w:r>
        <w:rPr>
          <w:rFonts w:hint="eastAsia" w:ascii="Times New Roman" w:hAnsi="Times New Roman" w:eastAsia="宋体"/>
          <w:sz w:val="24"/>
        </w:rPr>
        <w:fldChar w:fldCharType="separate"/>
      </w:r>
      <w:r>
        <w:rPr>
          <w:rFonts w:hint="eastAsia" w:ascii="Times New Roman" w:hAnsi="Times New Roman" w:eastAsia="宋体"/>
          <w:sz w:val="24"/>
        </w:rPr>
        <w:t>五、一般公共预算财政拨款支出决算情况说明</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_Toc20572 \h </w:instrText>
      </w:r>
      <w:r>
        <w:rPr>
          <w:rFonts w:hint="eastAsia" w:ascii="Times New Roman" w:hAnsi="Times New Roman" w:eastAsia="宋体"/>
          <w:sz w:val="24"/>
        </w:rPr>
        <w:fldChar w:fldCharType="separate"/>
      </w:r>
      <w:r>
        <w:rPr>
          <w:rFonts w:hint="eastAsia" w:ascii="Times New Roman" w:hAnsi="Times New Roman" w:eastAsia="宋体"/>
          <w:sz w:val="24"/>
        </w:rPr>
        <w:t>4</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_Toc6173 </w:instrText>
      </w:r>
      <w:r>
        <w:rPr>
          <w:rFonts w:hint="eastAsia" w:ascii="Times New Roman" w:hAnsi="Times New Roman" w:eastAsia="宋体"/>
          <w:sz w:val="24"/>
        </w:rPr>
        <w:fldChar w:fldCharType="separate"/>
      </w:r>
      <w:r>
        <w:rPr>
          <w:rFonts w:hint="eastAsia" w:ascii="Times New Roman" w:hAnsi="Times New Roman" w:eastAsia="宋体"/>
          <w:sz w:val="24"/>
        </w:rPr>
        <w:t>六、一般公共预算财政拨款基本支出决算情况说明</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_Toc6173 \h </w:instrText>
      </w:r>
      <w:r>
        <w:rPr>
          <w:rFonts w:hint="eastAsia" w:ascii="Times New Roman" w:hAnsi="Times New Roman" w:eastAsia="宋体"/>
          <w:sz w:val="24"/>
        </w:rPr>
        <w:fldChar w:fldCharType="separate"/>
      </w:r>
      <w:r>
        <w:rPr>
          <w:rFonts w:hint="eastAsia" w:ascii="Times New Roman" w:hAnsi="Times New Roman" w:eastAsia="宋体"/>
          <w:sz w:val="24"/>
        </w:rPr>
        <w:t>7</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_Toc7240 </w:instrText>
      </w:r>
      <w:r>
        <w:rPr>
          <w:rFonts w:hint="eastAsia" w:ascii="Times New Roman" w:hAnsi="Times New Roman" w:eastAsia="宋体"/>
          <w:sz w:val="24"/>
        </w:rPr>
        <w:fldChar w:fldCharType="separate"/>
      </w:r>
      <w:r>
        <w:rPr>
          <w:rFonts w:hint="eastAsia" w:ascii="Times New Roman" w:hAnsi="Times New Roman" w:eastAsia="宋体"/>
          <w:sz w:val="24"/>
        </w:rPr>
        <w:t>七、财政拨款“三公”经费支出决算情况说明</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_Toc7240 \h </w:instrText>
      </w:r>
      <w:r>
        <w:rPr>
          <w:rFonts w:hint="eastAsia" w:ascii="Times New Roman" w:hAnsi="Times New Roman" w:eastAsia="宋体"/>
          <w:sz w:val="24"/>
        </w:rPr>
        <w:fldChar w:fldCharType="separate"/>
      </w:r>
      <w:r>
        <w:rPr>
          <w:rFonts w:hint="eastAsia" w:ascii="Times New Roman" w:hAnsi="Times New Roman" w:eastAsia="宋体"/>
          <w:sz w:val="24"/>
        </w:rPr>
        <w:t>8</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_Toc17181 </w:instrText>
      </w:r>
      <w:r>
        <w:rPr>
          <w:rFonts w:hint="eastAsia" w:ascii="Times New Roman" w:hAnsi="Times New Roman" w:eastAsia="宋体"/>
          <w:sz w:val="24"/>
        </w:rPr>
        <w:fldChar w:fldCharType="separate"/>
      </w:r>
      <w:r>
        <w:rPr>
          <w:rFonts w:hint="eastAsia" w:ascii="Times New Roman" w:hAnsi="Times New Roman" w:eastAsia="宋体"/>
          <w:sz w:val="24"/>
        </w:rPr>
        <w:t>八、政府性基金预算支出决算情况说明</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_Toc17181 \h </w:instrText>
      </w:r>
      <w:r>
        <w:rPr>
          <w:rFonts w:hint="eastAsia" w:ascii="Times New Roman" w:hAnsi="Times New Roman" w:eastAsia="宋体"/>
          <w:sz w:val="24"/>
        </w:rPr>
        <w:fldChar w:fldCharType="separate"/>
      </w:r>
      <w:r>
        <w:rPr>
          <w:rFonts w:hint="eastAsia" w:ascii="Times New Roman" w:hAnsi="Times New Roman" w:eastAsia="宋体"/>
          <w:sz w:val="24"/>
        </w:rPr>
        <w:t>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_Toc18538 </w:instrText>
      </w:r>
      <w:r>
        <w:rPr>
          <w:rFonts w:hint="eastAsia" w:ascii="Times New Roman" w:hAnsi="Times New Roman" w:eastAsia="宋体"/>
          <w:sz w:val="24"/>
        </w:rPr>
        <w:fldChar w:fldCharType="separate"/>
      </w:r>
      <w:r>
        <w:rPr>
          <w:rFonts w:hint="eastAsia" w:ascii="Times New Roman" w:hAnsi="Times New Roman" w:eastAsia="宋体"/>
          <w:sz w:val="24"/>
        </w:rPr>
        <w:t>九、国有资本经营预算支出决算情况说明</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_Toc18538 \h </w:instrText>
      </w:r>
      <w:r>
        <w:rPr>
          <w:rFonts w:hint="eastAsia" w:ascii="Times New Roman" w:hAnsi="Times New Roman" w:eastAsia="宋体"/>
          <w:sz w:val="24"/>
        </w:rPr>
        <w:fldChar w:fldCharType="separate"/>
      </w:r>
      <w:r>
        <w:rPr>
          <w:rFonts w:hint="eastAsia" w:ascii="Times New Roman" w:hAnsi="Times New Roman" w:eastAsia="宋体"/>
          <w:sz w:val="24"/>
        </w:rPr>
        <w:t>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_Toc16170 </w:instrText>
      </w:r>
      <w:r>
        <w:rPr>
          <w:rFonts w:hint="eastAsia" w:ascii="Times New Roman" w:hAnsi="Times New Roman" w:eastAsia="宋体"/>
          <w:sz w:val="24"/>
        </w:rPr>
        <w:fldChar w:fldCharType="separate"/>
      </w:r>
      <w:r>
        <w:rPr>
          <w:rFonts w:hint="eastAsia" w:ascii="Times New Roman" w:hAnsi="Times New Roman" w:eastAsia="宋体"/>
          <w:sz w:val="24"/>
        </w:rPr>
        <w:t>十、其他重要事项的情况说明</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_Toc16170 \h </w:instrText>
      </w:r>
      <w:r>
        <w:rPr>
          <w:rFonts w:hint="eastAsia" w:ascii="Times New Roman" w:hAnsi="Times New Roman" w:eastAsia="宋体"/>
          <w:sz w:val="24"/>
        </w:rPr>
        <w:fldChar w:fldCharType="separate"/>
      </w:r>
      <w:r>
        <w:rPr>
          <w:rFonts w:hint="eastAsia" w:ascii="Times New Roman" w:hAnsi="Times New Roman" w:eastAsia="宋体"/>
          <w:sz w:val="24"/>
        </w:rPr>
        <w:t>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2"/>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eastAsia="仿宋"/>
          <w:lang w:val="en-US" w:eastAsia="zh-CN"/>
        </w:rPr>
      </w:pPr>
      <w:r>
        <w:rPr>
          <w:rFonts w:hint="eastAsia" w:ascii="Times New Roman" w:hAnsi="Times New Roman" w:eastAsia="仿宋"/>
          <w:sz w:val="24"/>
        </w:rPr>
        <w:fldChar w:fldCharType="begin"/>
      </w:r>
      <w:r>
        <w:rPr>
          <w:rFonts w:hint="eastAsia" w:ascii="Times New Roman" w:hAnsi="Times New Roman" w:eastAsia="仿宋"/>
          <w:sz w:val="24"/>
        </w:rPr>
        <w:instrText xml:space="preserve"> HYPERLINK \l _Toc21356 </w:instrText>
      </w:r>
      <w:r>
        <w:rPr>
          <w:rFonts w:hint="eastAsia" w:ascii="Times New Roman" w:hAnsi="Times New Roman" w:eastAsia="仿宋"/>
          <w:sz w:val="24"/>
        </w:rPr>
        <w:fldChar w:fldCharType="separate"/>
      </w:r>
      <w:r>
        <w:rPr>
          <w:rFonts w:hint="eastAsia" w:ascii="Times New Roman" w:hAnsi="Times New Roman" w:eastAsia="仿宋"/>
          <w:sz w:val="24"/>
        </w:rPr>
        <w:t>第三部分 名词解释</w:t>
      </w:r>
      <w:r>
        <w:rPr>
          <w:rFonts w:hint="eastAsia" w:ascii="Times New Roman" w:hAnsi="Times New Roman" w:eastAsia="仿宋"/>
          <w:sz w:val="24"/>
        </w:rPr>
        <w:tab/>
      </w:r>
      <w:r>
        <w:rPr>
          <w:rFonts w:hint="eastAsia" w:ascii="Times New Roman" w:hAnsi="Times New Roman" w:eastAsia="仿宋"/>
          <w:sz w:val="24"/>
        </w:rPr>
        <w:fldChar w:fldCharType="end"/>
      </w:r>
      <w:r>
        <w:rPr>
          <w:rFonts w:hint="eastAsia" w:ascii="Times New Roman" w:hAnsi="Times New Roman"/>
          <w:sz w:val="24"/>
          <w:lang w:val="en-US" w:eastAsia="zh-CN"/>
        </w:rPr>
        <w:t>12</w:t>
      </w:r>
    </w:p>
    <w:p>
      <w:pPr>
        <w:pStyle w:val="12"/>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pPr>
      <w:r>
        <w:rPr>
          <w:rFonts w:hint="eastAsia" w:ascii="Times New Roman" w:hAnsi="Times New Roman" w:eastAsia="仿宋"/>
          <w:sz w:val="24"/>
        </w:rPr>
        <w:fldChar w:fldCharType="begin"/>
      </w:r>
      <w:r>
        <w:rPr>
          <w:rFonts w:hint="eastAsia" w:ascii="Times New Roman" w:hAnsi="Times New Roman" w:eastAsia="仿宋"/>
          <w:sz w:val="24"/>
        </w:rPr>
        <w:instrText xml:space="preserve"> HYPERLINK \l _Toc25795 </w:instrText>
      </w:r>
      <w:r>
        <w:rPr>
          <w:rFonts w:hint="eastAsia" w:ascii="Times New Roman" w:hAnsi="Times New Roman" w:eastAsia="仿宋"/>
          <w:sz w:val="24"/>
        </w:rPr>
        <w:fldChar w:fldCharType="separate"/>
      </w:r>
      <w:r>
        <w:rPr>
          <w:rFonts w:hint="eastAsia" w:ascii="Times New Roman" w:hAnsi="Times New Roman" w:eastAsia="仿宋"/>
          <w:sz w:val="24"/>
        </w:rPr>
        <w:t>第四部分 附件</w:t>
      </w:r>
      <w:r>
        <w:rPr>
          <w:rFonts w:hint="eastAsia" w:ascii="Times New Roman" w:hAnsi="Times New Roman" w:eastAsia="仿宋"/>
          <w:sz w:val="24"/>
        </w:rPr>
        <w:tab/>
      </w:r>
      <w:r>
        <w:rPr>
          <w:rFonts w:hint="eastAsia" w:ascii="Times New Roman" w:hAnsi="Times New Roman" w:eastAsia="仿宋"/>
          <w:sz w:val="24"/>
        </w:rPr>
        <w:fldChar w:fldCharType="begin"/>
      </w:r>
      <w:r>
        <w:rPr>
          <w:rFonts w:hint="eastAsia" w:ascii="Times New Roman" w:hAnsi="Times New Roman" w:eastAsia="仿宋"/>
          <w:sz w:val="24"/>
        </w:rPr>
        <w:instrText xml:space="preserve"> PAGEREF _Toc25795 \h </w:instrText>
      </w:r>
      <w:r>
        <w:rPr>
          <w:rFonts w:hint="eastAsia" w:ascii="Times New Roman" w:hAnsi="Times New Roman" w:eastAsia="仿宋"/>
          <w:sz w:val="24"/>
        </w:rPr>
        <w:fldChar w:fldCharType="separate"/>
      </w:r>
      <w:r>
        <w:rPr>
          <w:rFonts w:hint="eastAsia" w:ascii="Times New Roman" w:hAnsi="Times New Roman" w:eastAsia="仿宋"/>
          <w:sz w:val="24"/>
        </w:rPr>
        <w:t>15</w:t>
      </w:r>
      <w:r>
        <w:rPr>
          <w:rFonts w:hint="eastAsia" w:ascii="Times New Roman" w:hAnsi="Times New Roman" w:eastAsia="仿宋"/>
          <w:sz w:val="24"/>
        </w:rPr>
        <w:fldChar w:fldCharType="end"/>
      </w:r>
      <w:r>
        <w:rPr>
          <w:rFonts w:hint="eastAsia" w:ascii="Times New Roman" w:hAnsi="Times New Roman" w:eastAsia="仿宋"/>
          <w:sz w:val="24"/>
        </w:rPr>
        <w:fldChar w:fldCharType="end"/>
      </w:r>
    </w:p>
    <w:p>
      <w:pPr>
        <w:pStyle w:val="12"/>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pPr>
      <w:r>
        <w:rPr>
          <w:rFonts w:hint="eastAsia" w:ascii="Times New Roman" w:hAnsi="Times New Roman" w:eastAsia="仿宋"/>
          <w:sz w:val="24"/>
        </w:rPr>
        <w:fldChar w:fldCharType="begin"/>
      </w:r>
      <w:r>
        <w:rPr>
          <w:rFonts w:hint="eastAsia" w:ascii="Times New Roman" w:hAnsi="Times New Roman" w:eastAsia="仿宋"/>
          <w:sz w:val="24"/>
        </w:rPr>
        <w:instrText xml:space="preserve"> HYPERLINK \l _Toc3799 </w:instrText>
      </w:r>
      <w:r>
        <w:rPr>
          <w:rFonts w:hint="eastAsia" w:ascii="Times New Roman" w:hAnsi="Times New Roman" w:eastAsia="仿宋"/>
          <w:sz w:val="24"/>
        </w:rPr>
        <w:fldChar w:fldCharType="separate"/>
      </w:r>
      <w:r>
        <w:rPr>
          <w:rFonts w:hint="eastAsia" w:ascii="Times New Roman" w:hAnsi="Times New Roman" w:eastAsia="仿宋"/>
          <w:sz w:val="24"/>
        </w:rPr>
        <w:t>第五部分 附表</w:t>
      </w:r>
      <w:r>
        <w:rPr>
          <w:rFonts w:hint="eastAsia" w:ascii="Times New Roman" w:hAnsi="Times New Roman" w:eastAsia="仿宋"/>
          <w:sz w:val="24"/>
        </w:rPr>
        <w:tab/>
      </w:r>
      <w:r>
        <w:rPr>
          <w:rFonts w:hint="eastAsia" w:ascii="Times New Roman" w:hAnsi="Times New Roman" w:eastAsia="仿宋"/>
          <w:sz w:val="24"/>
        </w:rPr>
        <w:fldChar w:fldCharType="begin"/>
      </w:r>
      <w:r>
        <w:rPr>
          <w:rFonts w:hint="eastAsia" w:ascii="Times New Roman" w:hAnsi="Times New Roman" w:eastAsia="仿宋"/>
          <w:sz w:val="24"/>
        </w:rPr>
        <w:instrText xml:space="preserve"> PAGEREF _Toc3799 \h </w:instrText>
      </w:r>
      <w:r>
        <w:rPr>
          <w:rFonts w:hint="eastAsia" w:ascii="Times New Roman" w:hAnsi="Times New Roman" w:eastAsia="仿宋"/>
          <w:sz w:val="24"/>
        </w:rPr>
        <w:fldChar w:fldCharType="separate"/>
      </w:r>
      <w:r>
        <w:rPr>
          <w:rFonts w:hint="eastAsia" w:ascii="Times New Roman" w:hAnsi="Times New Roman" w:eastAsia="仿宋"/>
          <w:sz w:val="24"/>
        </w:rPr>
        <w:t>59</w:t>
      </w:r>
      <w:r>
        <w:rPr>
          <w:rFonts w:hint="eastAsia" w:ascii="Times New Roman" w:hAnsi="Times New Roman" w:eastAsia="仿宋"/>
          <w:sz w:val="24"/>
        </w:rPr>
        <w:fldChar w:fldCharType="end"/>
      </w:r>
      <w:r>
        <w:rPr>
          <w:rFonts w:hint="eastAsia" w:ascii="Times New Roman" w:hAnsi="Times New Roman" w:eastAsia="仿宋"/>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_Toc18848 </w:instrText>
      </w:r>
      <w:r>
        <w:rPr>
          <w:rFonts w:hint="eastAsia" w:ascii="Times New Roman" w:hAnsi="Times New Roman" w:eastAsia="宋体"/>
          <w:sz w:val="24"/>
        </w:rPr>
        <w:fldChar w:fldCharType="separate"/>
      </w:r>
      <w:r>
        <w:rPr>
          <w:rFonts w:hint="eastAsia" w:ascii="Times New Roman" w:hAnsi="Times New Roman" w:eastAsia="宋体"/>
          <w:sz w:val="24"/>
        </w:rPr>
        <w:t>一、收入支出决算总表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_Toc18848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_Toc3757 </w:instrText>
      </w:r>
      <w:r>
        <w:rPr>
          <w:rFonts w:hint="eastAsia" w:ascii="Times New Roman" w:hAnsi="Times New Roman" w:eastAsia="宋体"/>
          <w:sz w:val="24"/>
        </w:rPr>
        <w:fldChar w:fldCharType="separate"/>
      </w:r>
      <w:r>
        <w:rPr>
          <w:rFonts w:hint="eastAsia" w:ascii="Times New Roman" w:hAnsi="Times New Roman" w:eastAsia="宋体"/>
          <w:sz w:val="24"/>
        </w:rPr>
        <w:t>二、收入决算表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_Toc3757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_Toc19899 </w:instrText>
      </w:r>
      <w:r>
        <w:rPr>
          <w:rFonts w:hint="eastAsia" w:ascii="Times New Roman" w:hAnsi="Times New Roman" w:eastAsia="宋体"/>
          <w:sz w:val="24"/>
        </w:rPr>
        <w:fldChar w:fldCharType="separate"/>
      </w:r>
      <w:r>
        <w:rPr>
          <w:rFonts w:hint="eastAsia" w:ascii="Times New Roman" w:hAnsi="Times New Roman" w:eastAsia="宋体"/>
          <w:sz w:val="24"/>
        </w:rPr>
        <w:t>三、支出决算表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_Toc19899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_Toc23202 </w:instrText>
      </w:r>
      <w:r>
        <w:rPr>
          <w:rFonts w:hint="eastAsia" w:ascii="Times New Roman" w:hAnsi="Times New Roman" w:eastAsia="宋体"/>
          <w:sz w:val="24"/>
        </w:rPr>
        <w:fldChar w:fldCharType="separate"/>
      </w:r>
      <w:r>
        <w:rPr>
          <w:rFonts w:hint="eastAsia" w:ascii="Times New Roman" w:hAnsi="Times New Roman" w:eastAsia="宋体"/>
          <w:sz w:val="24"/>
        </w:rPr>
        <w:t>四、财政拨款收入支出决算总表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_Toc23202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_Toc14252 </w:instrText>
      </w:r>
      <w:r>
        <w:rPr>
          <w:rFonts w:hint="eastAsia" w:ascii="Times New Roman" w:hAnsi="Times New Roman" w:eastAsia="宋体"/>
          <w:sz w:val="24"/>
        </w:rPr>
        <w:fldChar w:fldCharType="separate"/>
      </w:r>
      <w:r>
        <w:rPr>
          <w:rFonts w:hint="eastAsia" w:ascii="Times New Roman" w:hAnsi="Times New Roman" w:eastAsia="宋体"/>
          <w:sz w:val="24"/>
        </w:rPr>
        <w:t>五、财政拨款支出决算明细表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_Toc14252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_Toc12155 </w:instrText>
      </w:r>
      <w:r>
        <w:rPr>
          <w:rFonts w:hint="eastAsia" w:ascii="Times New Roman" w:hAnsi="Times New Roman" w:eastAsia="宋体"/>
          <w:sz w:val="24"/>
        </w:rPr>
        <w:fldChar w:fldCharType="separate"/>
      </w:r>
      <w:r>
        <w:rPr>
          <w:rFonts w:hint="eastAsia" w:ascii="Times New Roman" w:hAnsi="Times New Roman" w:eastAsia="宋体"/>
          <w:sz w:val="24"/>
        </w:rPr>
        <w:t>六、一般公共预算财政拨款支出决算表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_Toc12155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_Toc3254 </w:instrText>
      </w:r>
      <w:r>
        <w:rPr>
          <w:rFonts w:hint="eastAsia" w:ascii="Times New Roman" w:hAnsi="Times New Roman" w:eastAsia="宋体"/>
          <w:sz w:val="24"/>
        </w:rPr>
        <w:fldChar w:fldCharType="separate"/>
      </w:r>
      <w:r>
        <w:rPr>
          <w:rFonts w:hint="eastAsia" w:ascii="Times New Roman" w:hAnsi="Times New Roman" w:eastAsia="宋体"/>
          <w:sz w:val="24"/>
        </w:rPr>
        <w:t>七、一般公共预算财政拨款支出决算明细表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_Toc3254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_Toc4800 </w:instrText>
      </w:r>
      <w:r>
        <w:rPr>
          <w:rFonts w:hint="eastAsia" w:ascii="Times New Roman" w:hAnsi="Times New Roman" w:eastAsia="宋体"/>
          <w:sz w:val="24"/>
        </w:rPr>
        <w:fldChar w:fldCharType="separate"/>
      </w:r>
      <w:r>
        <w:rPr>
          <w:rFonts w:hint="eastAsia" w:ascii="Times New Roman" w:hAnsi="Times New Roman" w:eastAsia="宋体"/>
          <w:sz w:val="24"/>
        </w:rPr>
        <w:t>八、一般公共预算财政拨款基本支出决算表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_Toc4800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_Toc9314 </w:instrText>
      </w:r>
      <w:r>
        <w:rPr>
          <w:rFonts w:hint="eastAsia" w:ascii="Times New Roman" w:hAnsi="Times New Roman" w:eastAsia="宋体"/>
          <w:sz w:val="24"/>
        </w:rPr>
        <w:fldChar w:fldCharType="separate"/>
      </w:r>
      <w:r>
        <w:rPr>
          <w:rFonts w:hint="eastAsia" w:ascii="Times New Roman" w:hAnsi="Times New Roman" w:eastAsia="宋体"/>
          <w:sz w:val="24"/>
        </w:rPr>
        <w:t>九、一般公共预算财政拨款项目支出决算表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_Toc9314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_Toc19817 </w:instrText>
      </w:r>
      <w:r>
        <w:rPr>
          <w:rFonts w:hint="eastAsia" w:ascii="Times New Roman" w:hAnsi="Times New Roman" w:eastAsia="宋体"/>
          <w:sz w:val="24"/>
        </w:rPr>
        <w:fldChar w:fldCharType="separate"/>
      </w:r>
      <w:r>
        <w:rPr>
          <w:rFonts w:hint="eastAsia" w:ascii="Times New Roman" w:hAnsi="Times New Roman" w:eastAsia="宋体"/>
          <w:sz w:val="24"/>
        </w:rPr>
        <w:t>十、政府性基金预算财政拨款收入支出决算表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_Toc19817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_Toc7418 </w:instrText>
      </w:r>
      <w:r>
        <w:rPr>
          <w:rFonts w:hint="eastAsia" w:ascii="Times New Roman" w:hAnsi="Times New Roman" w:eastAsia="宋体"/>
          <w:sz w:val="24"/>
        </w:rPr>
        <w:fldChar w:fldCharType="separate"/>
      </w:r>
      <w:r>
        <w:rPr>
          <w:rFonts w:hint="eastAsia" w:ascii="Times New Roman" w:hAnsi="Times New Roman" w:eastAsia="宋体"/>
          <w:sz w:val="24"/>
        </w:rPr>
        <w:t>十一、国有资本经营预算财政拨款收入支出决算表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_Toc7418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_Toc24841 </w:instrText>
      </w:r>
      <w:r>
        <w:rPr>
          <w:rFonts w:hint="eastAsia" w:ascii="Times New Roman" w:hAnsi="Times New Roman" w:eastAsia="宋体"/>
          <w:sz w:val="24"/>
        </w:rPr>
        <w:fldChar w:fldCharType="separate"/>
      </w:r>
      <w:r>
        <w:rPr>
          <w:rFonts w:hint="eastAsia" w:ascii="Times New Roman" w:hAnsi="Times New Roman" w:eastAsia="宋体"/>
          <w:sz w:val="24"/>
        </w:rPr>
        <w:t>十二、国有资本经营预算财政拨款支出决算表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_Toc24841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pStyle w:val="13"/>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eastAsia" w:ascii="Times New Roman" w:hAnsi="Times New Roman" w:eastAsia="宋体"/>
          <w:sz w:val="24"/>
        </w:rPr>
      </w:pPr>
      <w:r>
        <w:rPr>
          <w:rFonts w:hint="eastAsia" w:ascii="Times New Roman" w:hAnsi="Times New Roman" w:eastAsia="宋体"/>
          <w:sz w:val="24"/>
        </w:rPr>
        <w:fldChar w:fldCharType="begin"/>
      </w:r>
      <w:r>
        <w:rPr>
          <w:rFonts w:hint="eastAsia" w:ascii="Times New Roman" w:hAnsi="Times New Roman" w:eastAsia="宋体"/>
          <w:sz w:val="24"/>
        </w:rPr>
        <w:instrText xml:space="preserve"> HYPERLINK \l _Toc1161 </w:instrText>
      </w:r>
      <w:r>
        <w:rPr>
          <w:rFonts w:hint="eastAsia" w:ascii="Times New Roman" w:hAnsi="Times New Roman" w:eastAsia="宋体"/>
          <w:sz w:val="24"/>
        </w:rPr>
        <w:fldChar w:fldCharType="separate"/>
      </w:r>
      <w:r>
        <w:rPr>
          <w:rFonts w:hint="eastAsia" w:ascii="Times New Roman" w:hAnsi="Times New Roman" w:eastAsia="宋体"/>
          <w:sz w:val="24"/>
        </w:rPr>
        <w:t>十三、财政拨款“三公”经费支出决算表</w:t>
      </w:r>
      <w:r>
        <w:rPr>
          <w:rFonts w:hint="eastAsia" w:ascii="Times New Roman" w:hAnsi="Times New Roman" w:eastAsia="宋体"/>
          <w:sz w:val="24"/>
        </w:rPr>
        <w:tab/>
      </w:r>
      <w:r>
        <w:rPr>
          <w:rFonts w:hint="eastAsia" w:ascii="Times New Roman" w:hAnsi="Times New Roman" w:eastAsia="宋体"/>
          <w:sz w:val="24"/>
        </w:rPr>
        <w:fldChar w:fldCharType="begin"/>
      </w:r>
      <w:r>
        <w:rPr>
          <w:rFonts w:hint="eastAsia" w:ascii="Times New Roman" w:hAnsi="Times New Roman" w:eastAsia="宋体"/>
          <w:sz w:val="24"/>
        </w:rPr>
        <w:instrText xml:space="preserve"> PAGEREF _Toc1161 \h </w:instrText>
      </w:r>
      <w:r>
        <w:rPr>
          <w:rFonts w:hint="eastAsia" w:ascii="Times New Roman" w:hAnsi="Times New Roman" w:eastAsia="宋体"/>
          <w:sz w:val="24"/>
        </w:rPr>
        <w:fldChar w:fldCharType="separate"/>
      </w:r>
      <w:r>
        <w:rPr>
          <w:rFonts w:hint="eastAsia" w:ascii="Times New Roman" w:hAnsi="Times New Roman" w:eastAsia="宋体"/>
          <w:sz w:val="24"/>
        </w:rPr>
        <w:t>59</w:t>
      </w:r>
      <w:r>
        <w:rPr>
          <w:rFonts w:hint="eastAsia" w:ascii="Times New Roman" w:hAnsi="Times New Roman" w:eastAsia="宋体"/>
          <w:sz w:val="24"/>
        </w:rPr>
        <w:fldChar w:fldCharType="end"/>
      </w:r>
      <w:r>
        <w:rPr>
          <w:rFonts w:hint="eastAsia" w:ascii="Times New Roman" w:hAnsi="Times New Roman" w:eastAsia="宋体"/>
          <w:sz w:val="24"/>
        </w:rPr>
        <w:fldChar w:fldCharType="end"/>
      </w:r>
    </w:p>
    <w:p>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黑体" w:eastAsia="方正小标宋简体"/>
          <w:b w:val="0"/>
        </w:rPr>
      </w:pPr>
      <w:r>
        <w:rPr>
          <w:rFonts w:hint="eastAsia" w:ascii="方正小标宋简体" w:hAnsi="黑体" w:eastAsia="方正小标宋简体"/>
        </w:rPr>
        <w:fldChar w:fldCharType="end"/>
      </w:r>
    </w:p>
    <w:p>
      <w:pPr>
        <w:keepNext/>
        <w:keepLines/>
        <w:pageBreakBefore w:val="0"/>
        <w:widowControl w:val="0"/>
        <w:kinsoku/>
        <w:wordWrap/>
        <w:overflowPunct/>
        <w:topLinePunct w:val="0"/>
        <w:autoSpaceDE/>
        <w:autoSpaceDN/>
        <w:bidi w:val="0"/>
        <w:adjustRightInd/>
        <w:snapToGrid/>
        <w:spacing w:line="720" w:lineRule="exact"/>
        <w:jc w:val="center"/>
        <w:textAlignment w:val="auto"/>
        <w:outlineLvl w:val="9"/>
        <w:rPr>
          <w:rFonts w:hint="default" w:ascii="方正小标宋简体" w:hAnsi="黑体" w:eastAsia="方正小标宋简体"/>
          <w:b w:val="0"/>
          <w:lang w:val="en-US" w:eastAsia="zh-CN"/>
        </w:rPr>
        <w:sectPr>
          <w:footerReference r:id="rId9" w:type="default"/>
          <w:pgSz w:w="11906" w:h="16838"/>
          <w:pgMar w:top="1440" w:right="1800" w:bottom="1440" w:left="1800" w:header="851" w:footer="992" w:gutter="0"/>
          <w:pgNumType w:start="1"/>
          <w:cols w:space="425" w:num="1"/>
          <w:docGrid w:type="lines" w:linePitch="312" w:charSpace="0"/>
        </w:sectPr>
      </w:pPr>
    </w:p>
    <w:p>
      <w:pPr>
        <w:rPr>
          <w:rFonts w:hint="eastAsia"/>
        </w:rPr>
      </w:pPr>
    </w:p>
    <w:p>
      <w:pPr>
        <w:pStyle w:val="3"/>
        <w:spacing w:line="720" w:lineRule="exact"/>
        <w:jc w:val="center"/>
        <w:rPr>
          <w:rFonts w:hint="eastAsia" w:ascii="方正小标宋简体" w:hAnsi="黑体" w:eastAsia="方正小标宋简体"/>
          <w:b w:val="0"/>
        </w:rPr>
        <w:sectPr>
          <w:footerReference r:id="rId10" w:type="default"/>
          <w:type w:val="continuous"/>
          <w:pgSz w:w="11906" w:h="16838"/>
          <w:pgMar w:top="1440" w:right="1800" w:bottom="1440" w:left="1800" w:header="851" w:footer="992" w:gutter="0"/>
          <w:pgNumType w:start="1"/>
          <w:cols w:space="425" w:num="1"/>
          <w:docGrid w:type="lines" w:linePitch="312" w:charSpace="0"/>
        </w:sectPr>
      </w:pPr>
      <w:bookmarkStart w:id="14" w:name="_Toc30711"/>
    </w:p>
    <w:p>
      <w:pPr>
        <w:pStyle w:val="3"/>
        <w:spacing w:line="720" w:lineRule="exact"/>
        <w:jc w:val="center"/>
        <w:rPr>
          <w:rStyle w:val="30"/>
          <w:rFonts w:ascii="方正小标宋简体" w:hAnsi="黑体" w:eastAsia="方正小标宋简体"/>
          <w:b/>
          <w:bCs w:val="0"/>
        </w:rPr>
      </w:pPr>
      <w:r>
        <w:rPr>
          <w:rFonts w:hint="eastAsia" w:ascii="方正小标宋简体" w:hAnsi="黑体" w:eastAsia="方正小标宋简体"/>
          <w:b w:val="0"/>
        </w:rPr>
        <w:t xml:space="preserve">第一部分 </w:t>
      </w:r>
      <w:r>
        <w:rPr>
          <w:rStyle w:val="30"/>
          <w:rFonts w:hint="eastAsia" w:ascii="方正小标宋简体" w:hAnsi="黑体" w:eastAsia="方正小标宋简体"/>
          <w:b w:val="0"/>
          <w:bCs w:val="0"/>
        </w:rPr>
        <w:t>部门概况</w:t>
      </w:r>
      <w:bookmarkEnd w:id="12"/>
      <w:bookmarkEnd w:id="13"/>
      <w:bookmarkEnd w:id="14"/>
    </w:p>
    <w:p>
      <w:pPr>
        <w:widowControl/>
        <w:spacing w:line="720" w:lineRule="exact"/>
        <w:jc w:val="left"/>
        <w:rPr>
          <w:rFonts w:ascii="黑体" w:eastAsia="黑体"/>
          <w:sz w:val="32"/>
          <w:szCs w:val="32"/>
        </w:rPr>
      </w:pPr>
    </w:p>
    <w:p>
      <w:pPr>
        <w:pStyle w:val="4"/>
        <w:rPr>
          <w:rFonts w:ascii="黑体" w:hAnsi="黑体" w:eastAsia="黑体"/>
          <w:b w:val="0"/>
        </w:rPr>
      </w:pPr>
      <w:bookmarkStart w:id="15" w:name="_Toc15396600"/>
      <w:bookmarkStart w:id="16" w:name="_Toc15377197"/>
      <w:bookmarkStart w:id="17" w:name="_Toc14058"/>
      <w:r>
        <w:rPr>
          <w:rFonts w:hint="eastAsia" w:ascii="黑体" w:hAnsi="黑体" w:eastAsia="黑体"/>
          <w:b w:val="0"/>
        </w:rPr>
        <w:t>一、</w:t>
      </w:r>
      <w:bookmarkEnd w:id="15"/>
      <w:bookmarkEnd w:id="16"/>
      <w:r>
        <w:rPr>
          <w:rFonts w:hint="eastAsia" w:ascii="黑体" w:hAnsi="黑体" w:eastAsia="黑体"/>
          <w:b w:val="0"/>
        </w:rPr>
        <w:t>部门职责</w:t>
      </w:r>
      <w:bookmarkEnd w:id="17"/>
    </w:p>
    <w:p>
      <w:pPr>
        <w:ind w:firstLine="640" w:firstLineChars="200"/>
        <w:rPr>
          <w:rFonts w:ascii="仿宋_GB2312" w:hAnsi="仿宋" w:eastAsia="仿宋_GB2312"/>
          <w:sz w:val="32"/>
          <w:szCs w:val="32"/>
        </w:rPr>
      </w:pPr>
      <w:r>
        <w:rPr>
          <w:rFonts w:hint="eastAsia" w:ascii="仿宋_GB2312" w:hAnsi="仿宋" w:eastAsia="仿宋_GB2312"/>
          <w:sz w:val="32"/>
          <w:szCs w:val="32"/>
        </w:rPr>
        <w:t>（一）负责红格国际运动康养·温泉度假区管理委员会的运行管理和服务等工作。</w:t>
      </w:r>
    </w:p>
    <w:p>
      <w:pPr>
        <w:ind w:firstLine="640" w:firstLineChars="200"/>
        <w:rPr>
          <w:rFonts w:ascii="仿宋_GB2312" w:hAnsi="仿宋" w:eastAsia="仿宋_GB2312"/>
          <w:sz w:val="32"/>
          <w:szCs w:val="32"/>
        </w:rPr>
      </w:pPr>
      <w:r>
        <w:rPr>
          <w:rFonts w:hint="eastAsia" w:ascii="仿宋_GB2312" w:hAnsi="仿宋" w:eastAsia="仿宋_GB2312"/>
          <w:sz w:val="32"/>
          <w:szCs w:val="32"/>
        </w:rPr>
        <w:t>（二）负责红格度假区范围内基础设施的运行维护等；负责政府投资建设项目管理、运营、维护。</w:t>
      </w:r>
    </w:p>
    <w:p>
      <w:pPr>
        <w:ind w:firstLine="640" w:firstLineChars="200"/>
        <w:rPr>
          <w:rFonts w:ascii="仿宋_GB2312" w:hAnsi="仿宋" w:eastAsia="仿宋_GB2312"/>
          <w:sz w:val="32"/>
          <w:szCs w:val="32"/>
        </w:rPr>
      </w:pPr>
      <w:r>
        <w:rPr>
          <w:rFonts w:hint="eastAsia" w:ascii="仿宋_GB2312" w:hAnsi="仿宋" w:eastAsia="仿宋_GB2312"/>
          <w:sz w:val="32"/>
          <w:szCs w:val="32"/>
        </w:rPr>
        <w:t>（三）负责度假区范围内企业管理，协调解决企业在建设项目时遇到的困难等职责。</w:t>
      </w:r>
    </w:p>
    <w:p>
      <w:pPr>
        <w:ind w:firstLine="640" w:firstLineChars="200"/>
        <w:rPr>
          <w:rFonts w:ascii="仿宋_GB2312" w:eastAsia="仿宋_GB2312"/>
        </w:rPr>
      </w:pPr>
      <w:r>
        <w:rPr>
          <w:rFonts w:hint="eastAsia" w:ascii="仿宋_GB2312" w:hAnsi="仿宋" w:eastAsia="仿宋_GB2312"/>
          <w:sz w:val="32"/>
          <w:szCs w:val="32"/>
        </w:rPr>
        <w:t>（四）承担县委、县政府交办的其他事项。</w:t>
      </w:r>
    </w:p>
    <w:p>
      <w:pPr>
        <w:pStyle w:val="4"/>
        <w:rPr>
          <w:rStyle w:val="31"/>
          <w:b w:val="0"/>
          <w:bCs w:val="0"/>
        </w:rPr>
      </w:pPr>
      <w:bookmarkStart w:id="18" w:name="_Toc15396601"/>
      <w:bookmarkStart w:id="19" w:name="_Toc15226"/>
      <w:bookmarkStart w:id="20" w:name="_Toc15377200"/>
      <w:r>
        <w:rPr>
          <w:rFonts w:hint="eastAsia" w:ascii="黑体" w:eastAsia="黑体"/>
          <w:b w:val="0"/>
        </w:rPr>
        <w:t>二、</w:t>
      </w:r>
      <w:r>
        <w:rPr>
          <w:rFonts w:hint="eastAsia" w:ascii="黑体" w:hAnsi="黑体" w:eastAsia="黑体"/>
          <w:b w:val="0"/>
        </w:rPr>
        <w:t>机</w:t>
      </w:r>
      <w:r>
        <w:rPr>
          <w:rStyle w:val="31"/>
          <w:rFonts w:hint="eastAsia" w:ascii="黑体" w:hAnsi="黑体" w:eastAsia="黑体"/>
          <w:b w:val="0"/>
          <w:bCs w:val="0"/>
        </w:rPr>
        <w:t>构设置</w:t>
      </w:r>
      <w:bookmarkEnd w:id="18"/>
      <w:bookmarkEnd w:id="19"/>
      <w:bookmarkEnd w:id="20"/>
    </w:p>
    <w:p>
      <w:pPr>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盐边县红格国际运动康养·温泉度假区管理委员会下属二级预算单位0个，其中行政单位0个，参照公务员法管理的事业单位</w:t>
      </w:r>
      <w:r>
        <w:rPr>
          <w:rFonts w:hint="eastAsia" w:ascii="Times New Roman" w:hAnsi="Times New Roman" w:eastAsia="仿宋_GB2312"/>
          <w:bCs/>
          <w:sz w:val="32"/>
          <w:szCs w:val="32"/>
        </w:rPr>
        <w:t>0</w:t>
      </w:r>
      <w:r>
        <w:rPr>
          <w:rFonts w:hint="eastAsia" w:ascii="Times New Roman" w:hAnsi="Times New Roman" w:eastAsia="仿宋_GB2312"/>
          <w:sz w:val="32"/>
          <w:szCs w:val="32"/>
        </w:rPr>
        <w:t>个，其他事业单位</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个。</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30"/>
          <w:rFonts w:ascii="方正小标宋简体" w:hAnsi="黑体" w:eastAsia="方正小标宋简体"/>
          <w:b w:val="0"/>
          <w:bCs/>
        </w:rPr>
      </w:pPr>
      <w:bookmarkStart w:id="21" w:name="_Toc23871"/>
      <w:bookmarkStart w:id="22" w:name="_Toc15396602"/>
      <w:bookmarkStart w:id="23" w:name="_Toc15377204"/>
      <w:r>
        <w:rPr>
          <w:rFonts w:hint="eastAsia" w:ascii="方正小标宋简体" w:hAnsi="黑体" w:eastAsia="方正小标宋简体"/>
          <w:b w:val="0"/>
        </w:rPr>
        <w:t>第二部分 202</w:t>
      </w:r>
      <w:r>
        <w:rPr>
          <w:rFonts w:hint="eastAsia" w:ascii="方正小标宋简体" w:hAnsi="黑体" w:eastAsia="方正小标宋简体"/>
          <w:b w:val="0"/>
          <w:lang w:val="en-US" w:eastAsia="zh-CN"/>
        </w:rPr>
        <w:t>3</w:t>
      </w:r>
      <w:r>
        <w:rPr>
          <w:rFonts w:hint="eastAsia" w:ascii="方正小标宋简体" w:hAnsi="黑体" w:eastAsia="方正小标宋简体"/>
          <w:b w:val="0"/>
        </w:rPr>
        <w:t>年度</w:t>
      </w:r>
      <w:r>
        <w:rPr>
          <w:rStyle w:val="30"/>
          <w:rFonts w:hint="eastAsia" w:ascii="方正小标宋简体" w:hAnsi="黑体" w:eastAsia="方正小标宋简体"/>
          <w:b w:val="0"/>
          <w:bCs/>
        </w:rPr>
        <w:t>部门决算情况说明</w:t>
      </w:r>
      <w:bookmarkEnd w:id="21"/>
      <w:bookmarkEnd w:id="22"/>
      <w:bookmarkEnd w:id="23"/>
    </w:p>
    <w:p/>
    <w:p>
      <w:pPr>
        <w:pStyle w:val="29"/>
        <w:numPr>
          <w:ilvl w:val="0"/>
          <w:numId w:val="1"/>
        </w:numPr>
        <w:spacing w:line="600" w:lineRule="exact"/>
        <w:ind w:firstLineChars="0"/>
        <w:outlineLvl w:val="1"/>
        <w:rPr>
          <w:rStyle w:val="31"/>
          <w:rFonts w:ascii="黑体" w:hAnsi="黑体" w:eastAsia="黑体"/>
          <w:b w:val="0"/>
        </w:rPr>
      </w:pPr>
      <w:bookmarkStart w:id="24" w:name="_Toc15377205"/>
      <w:bookmarkStart w:id="25" w:name="_Toc20100"/>
      <w:bookmarkStart w:id="26" w:name="_Toc15396603"/>
      <w:r>
        <w:rPr>
          <w:rFonts w:hint="eastAsia" w:ascii="黑体" w:hAnsi="黑体" w:eastAsia="黑体"/>
          <w:sz w:val="32"/>
          <w:szCs w:val="32"/>
        </w:rPr>
        <w:t>收</w:t>
      </w:r>
      <w:r>
        <w:rPr>
          <w:rStyle w:val="31"/>
          <w:rFonts w:hint="eastAsia" w:ascii="黑体" w:hAnsi="黑体" w:eastAsia="黑体"/>
          <w:b w:val="0"/>
        </w:rPr>
        <w:t>入支出决算总体情况说明</w:t>
      </w:r>
      <w:bookmarkEnd w:id="24"/>
      <w:bookmarkEnd w:id="25"/>
      <w:bookmarkEnd w:id="26"/>
    </w:p>
    <w:p>
      <w:pPr>
        <w:spacing w:line="600" w:lineRule="exact"/>
        <w:ind w:firstLine="640" w:firstLineChars="200"/>
        <w:rPr>
          <w:rFonts w:hint="eastAsia" w:ascii="仿宋_GB2312" w:hAnsi="仿宋" w:eastAsia="仿宋_GB2312"/>
          <w:color w:val="FF0000"/>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eastAsia="zh-CN"/>
        </w:rPr>
        <w:t>均为</w:t>
      </w:r>
      <w:r>
        <w:rPr>
          <w:rFonts w:hint="eastAsia" w:ascii="Times New Roman" w:hAnsi="Times New Roman" w:eastAsia="仿宋_GB2312"/>
          <w:sz w:val="32"/>
          <w:szCs w:val="32"/>
          <w:lang w:val="en-US" w:eastAsia="zh-CN"/>
        </w:rPr>
        <w:t>3482</w:t>
      </w:r>
      <w:r>
        <w:rPr>
          <w:rFonts w:hint="eastAsia" w:ascii="Times New Roman" w:hAnsi="Times New Roman" w:eastAsia="仿宋_GB2312" w:cs="仿宋_GB2312"/>
          <w:color w:val="000000"/>
          <w:sz w:val="32"/>
          <w:szCs w:val="32"/>
          <w:lang w:val="zh-CN"/>
        </w:rPr>
        <w:t>.</w:t>
      </w:r>
      <w:r>
        <w:rPr>
          <w:rFonts w:hint="eastAsia" w:ascii="Times New Roman" w:hAnsi="Times New Roman" w:eastAsia="仿宋_GB2312" w:cs="仿宋_GB2312"/>
          <w:color w:val="000000"/>
          <w:sz w:val="32"/>
          <w:szCs w:val="32"/>
          <w:lang w:val="en-US" w:eastAsia="zh-CN"/>
        </w:rPr>
        <w:t>9</w:t>
      </w:r>
      <w:r>
        <w:rPr>
          <w:rFonts w:hint="eastAsia" w:ascii="Times New Roman" w:hAnsi="Times New Roman" w:eastAsia="仿宋_GB2312" w:cs="仿宋_GB2312"/>
          <w:color w:val="000000"/>
          <w:sz w:val="32"/>
          <w:szCs w:val="32"/>
          <w:lang w:val="zh-CN"/>
        </w:rPr>
        <w:t>5</w:t>
      </w:r>
      <w:r>
        <w:rPr>
          <w:rFonts w:hint="eastAsia" w:ascii="Times New Roman" w:hAnsi="Times New Roman" w:eastAsia="仿宋_GB2312"/>
          <w:sz w:val="32"/>
          <w:szCs w:val="32"/>
        </w:rPr>
        <w:t>万元。与202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w:t>
      </w:r>
      <w:r>
        <w:rPr>
          <w:rFonts w:hint="eastAsia" w:ascii="Times New Roman" w:hAnsi="Times New Roman" w:eastAsia="仿宋_GB2312"/>
          <w:sz w:val="32"/>
          <w:szCs w:val="32"/>
          <w:lang w:eastAsia="zh-CN"/>
        </w:rPr>
        <w:t>度</w:t>
      </w:r>
      <w:r>
        <w:rPr>
          <w:rFonts w:hint="eastAsia" w:ascii="Times New Roman" w:hAnsi="Times New Roman" w:eastAsia="仿宋_GB2312"/>
          <w:sz w:val="32"/>
          <w:szCs w:val="32"/>
        </w:rPr>
        <w:t>相比，收、支总计各增加</w:t>
      </w:r>
      <w:r>
        <w:rPr>
          <w:rFonts w:hint="eastAsia" w:ascii="Times New Roman" w:hAnsi="Times New Roman" w:eastAsia="仿宋_GB2312"/>
          <w:sz w:val="32"/>
          <w:szCs w:val="32"/>
          <w:lang w:val="en-US" w:eastAsia="zh-CN"/>
        </w:rPr>
        <w:t>3397</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，增长</w:t>
      </w:r>
      <w:r>
        <w:rPr>
          <w:rFonts w:hint="eastAsia" w:ascii="Times New Roman" w:hAnsi="Times New Roman" w:eastAsia="仿宋_GB2312"/>
          <w:sz w:val="32"/>
          <w:szCs w:val="32"/>
          <w:lang w:val="en-US" w:eastAsia="zh-CN"/>
        </w:rPr>
        <w:t>3985.57%</w:t>
      </w:r>
      <w:r>
        <w:rPr>
          <w:rFonts w:hint="eastAsia" w:ascii="Times New Roman" w:hAnsi="Times New Roman" w:eastAsia="仿宋_GB2312"/>
          <w:color w:val="auto"/>
          <w:sz w:val="32"/>
          <w:szCs w:val="32"/>
          <w:lang w:val="en-US" w:eastAsia="zh-CN"/>
        </w:rPr>
        <w:t>。</w:t>
      </w:r>
      <w:r>
        <w:rPr>
          <w:rFonts w:hint="eastAsia" w:ascii="Times New Roman" w:hAnsi="Times New Roman" w:eastAsia="仿宋_GB2312"/>
          <w:color w:val="auto"/>
          <w:sz w:val="32"/>
          <w:szCs w:val="32"/>
        </w:rPr>
        <w:t>主要变动原因是</w:t>
      </w:r>
      <w:r>
        <w:rPr>
          <w:rFonts w:hint="eastAsia" w:ascii="Times New Roman" w:hAnsi="Times New Roman" w:eastAsia="仿宋_GB2312"/>
          <w:sz w:val="32"/>
          <w:szCs w:val="32"/>
        </w:rPr>
        <w:t>盐边县红格国际运动康养·温泉度假区管理委员会为2021年新成立单位，于2022年财务</w:t>
      </w:r>
      <w:r>
        <w:rPr>
          <w:rFonts w:hint="eastAsia" w:ascii="Times New Roman" w:hAnsi="Times New Roman" w:eastAsia="仿宋_GB2312"/>
          <w:sz w:val="32"/>
          <w:szCs w:val="32"/>
          <w:lang w:eastAsia="zh-CN"/>
        </w:rPr>
        <w:t>机构健全</w:t>
      </w:r>
      <w:r>
        <w:rPr>
          <w:rFonts w:hint="eastAsia" w:ascii="Times New Roman" w:hAnsi="Times New Roman" w:eastAsia="仿宋_GB2312"/>
          <w:sz w:val="32"/>
          <w:szCs w:val="32"/>
        </w:rPr>
        <w:t>后追加预算，</w:t>
      </w:r>
      <w:r>
        <w:rPr>
          <w:rFonts w:hint="eastAsia" w:ascii="Times New Roman" w:hAnsi="Times New Roman" w:eastAsia="仿宋_GB2312"/>
          <w:sz w:val="32"/>
          <w:szCs w:val="32"/>
          <w:lang w:eastAsia="zh-CN"/>
        </w:rPr>
        <w:t>主要用于保障</w:t>
      </w:r>
      <w:r>
        <w:rPr>
          <w:rFonts w:hint="eastAsia" w:ascii="Times New Roman" w:hAnsi="Times New Roman" w:eastAsia="仿宋_GB2312"/>
          <w:color w:val="auto"/>
          <w:sz w:val="32"/>
          <w:szCs w:val="32"/>
        </w:rPr>
        <w:t>基本</w:t>
      </w:r>
      <w:r>
        <w:rPr>
          <w:rFonts w:hint="eastAsia" w:ascii="Times New Roman" w:hAnsi="Times New Roman" w:eastAsia="仿宋_GB2312"/>
          <w:sz w:val="32"/>
          <w:szCs w:val="32"/>
        </w:rPr>
        <w:t>用于工资发放和</w:t>
      </w:r>
      <w:r>
        <w:rPr>
          <w:rFonts w:hint="eastAsia" w:ascii="Times New Roman" w:hAnsi="Times New Roman" w:eastAsia="仿宋_GB2312"/>
          <w:sz w:val="32"/>
          <w:szCs w:val="32"/>
          <w:lang w:eastAsia="zh-CN"/>
        </w:rPr>
        <w:t>单位基本运行</w:t>
      </w:r>
      <w:r>
        <w:rPr>
          <w:rFonts w:hint="eastAsia" w:ascii="Times New Roman" w:hAnsi="Times New Roman" w:eastAsia="仿宋_GB2312"/>
          <w:sz w:val="32"/>
          <w:szCs w:val="32"/>
        </w:rPr>
        <w:t>。2023年</w:t>
      </w:r>
      <w:r>
        <w:rPr>
          <w:rFonts w:hint="eastAsia" w:ascii="Times New Roman" w:hAnsi="Times New Roman" w:eastAsia="仿宋_GB2312"/>
          <w:sz w:val="32"/>
          <w:szCs w:val="32"/>
          <w:lang w:eastAsia="zh-CN"/>
        </w:rPr>
        <w:t>除基本支出外，还</w:t>
      </w:r>
      <w:r>
        <w:rPr>
          <w:rFonts w:hint="eastAsia" w:ascii="Times New Roman" w:hAnsi="Times New Roman" w:eastAsia="仿宋_GB2312"/>
          <w:sz w:val="32"/>
          <w:szCs w:val="32"/>
        </w:rPr>
        <w:t>新增</w:t>
      </w:r>
      <w:r>
        <w:rPr>
          <w:rFonts w:hint="eastAsia" w:ascii="Times New Roman" w:hAnsi="Times New Roman" w:eastAsia="仿宋_GB2312"/>
          <w:sz w:val="32"/>
          <w:szCs w:val="32"/>
          <w:lang w:eastAsia="zh-CN"/>
        </w:rPr>
        <w:t>了</w:t>
      </w:r>
      <w:r>
        <w:rPr>
          <w:rFonts w:hint="eastAsia" w:ascii="Times New Roman" w:hAnsi="Times New Roman" w:eastAsia="仿宋_GB2312"/>
          <w:sz w:val="32"/>
          <w:szCs w:val="32"/>
        </w:rPr>
        <w:t>度假区奖补资金、基础设施建设等项目支出</w:t>
      </w:r>
      <w:r>
        <w:rPr>
          <w:rFonts w:hint="eastAsia" w:ascii="Times New Roman" w:hAnsi="Times New Roman" w:eastAsia="仿宋_GB2312"/>
          <w:sz w:val="32"/>
          <w:szCs w:val="32"/>
          <w:lang w:eastAsia="zh-CN"/>
        </w:rPr>
        <w:t>，故</w:t>
      </w:r>
      <w:r>
        <w:rPr>
          <w:rFonts w:hint="eastAsia" w:ascii="Times New Roman" w:hAnsi="Times New Roman" w:eastAsia="仿宋_GB2312"/>
          <w:sz w:val="32"/>
          <w:szCs w:val="32"/>
        </w:rPr>
        <w:t>导致增长率</w:t>
      </w:r>
      <w:r>
        <w:rPr>
          <w:rFonts w:hint="eastAsia" w:ascii="Times New Roman" w:hAnsi="Times New Roman" w:eastAsia="仿宋_GB2312"/>
          <w:sz w:val="32"/>
          <w:szCs w:val="32"/>
          <w:lang w:eastAsia="zh-CN"/>
        </w:rPr>
        <w:t>较</w:t>
      </w:r>
      <w:r>
        <w:rPr>
          <w:rFonts w:hint="eastAsia" w:ascii="Times New Roman" w:hAnsi="Times New Roman" w:eastAsia="仿宋_GB2312"/>
          <w:sz w:val="32"/>
          <w:szCs w:val="32"/>
        </w:rPr>
        <w:t>高。</w:t>
      </w:r>
    </w:p>
    <w:p>
      <w:pPr>
        <w:pStyle w:val="2"/>
        <w:spacing w:before="93"/>
        <w:jc w:val="center"/>
      </w:pPr>
      <w:r>
        <w:drawing>
          <wp:inline distT="0" distB="0" distL="0" distR="0">
            <wp:extent cx="3949700" cy="2179320"/>
            <wp:effectExtent l="0" t="0" r="12700" b="1143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640" w:firstLineChars="200"/>
        <w:jc w:val="center"/>
        <w:rPr>
          <w:rFonts w:ascii="仿宋_GB2312" w:hAnsi="仿宋" w:eastAsia="仿宋_GB2312"/>
          <w:sz w:val="32"/>
          <w:szCs w:val="32"/>
        </w:rPr>
      </w:pPr>
      <w:r>
        <w:rPr>
          <w:rFonts w:hint="eastAsia" w:ascii="仿宋_GB2312" w:hAnsi="仿宋" w:eastAsia="仿宋_GB2312"/>
          <w:sz w:val="32"/>
          <w:szCs w:val="32"/>
        </w:rPr>
        <w:t>（图1：收、支决算总计变动情况图）</w:t>
      </w:r>
    </w:p>
    <w:p>
      <w:pPr>
        <w:spacing w:line="600" w:lineRule="exact"/>
        <w:ind w:firstLine="640" w:firstLineChars="200"/>
        <w:jc w:val="left"/>
        <w:rPr>
          <w:rFonts w:ascii="仿宋_GB2312" w:eastAsia="仿宋_GB2312"/>
          <w:sz w:val="32"/>
          <w:szCs w:val="32"/>
        </w:rPr>
      </w:pPr>
    </w:p>
    <w:p>
      <w:pPr>
        <w:pStyle w:val="29"/>
        <w:numPr>
          <w:ilvl w:val="0"/>
          <w:numId w:val="1"/>
        </w:numPr>
        <w:spacing w:line="600" w:lineRule="exact"/>
        <w:ind w:firstLineChars="0"/>
        <w:outlineLvl w:val="1"/>
        <w:rPr>
          <w:rStyle w:val="31"/>
          <w:rFonts w:ascii="黑体" w:hAnsi="黑体" w:eastAsia="黑体"/>
          <w:b w:val="0"/>
        </w:rPr>
      </w:pPr>
      <w:bookmarkStart w:id="27" w:name="_Toc15377206"/>
      <w:bookmarkStart w:id="28" w:name="_Toc2093"/>
      <w:bookmarkStart w:id="29" w:name="_Toc15396604"/>
      <w:r>
        <w:rPr>
          <w:rFonts w:hint="eastAsia" w:ascii="黑体" w:hAnsi="黑体" w:eastAsia="黑体"/>
          <w:sz w:val="32"/>
          <w:szCs w:val="32"/>
        </w:rPr>
        <w:t>收</w:t>
      </w:r>
      <w:r>
        <w:rPr>
          <w:rStyle w:val="31"/>
          <w:rFonts w:hint="eastAsia" w:ascii="黑体" w:hAnsi="黑体" w:eastAsia="黑体"/>
          <w:b w:val="0"/>
        </w:rPr>
        <w:t>入决算情况说明</w:t>
      </w:r>
      <w:bookmarkEnd w:id="27"/>
      <w:bookmarkEnd w:id="28"/>
      <w:bookmarkEnd w:id="29"/>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sz w:val="32"/>
          <w:szCs w:val="32"/>
          <w:lang w:eastAsia="zh-CN"/>
        </w:rPr>
        <w:t>度</w:t>
      </w:r>
      <w:r>
        <w:rPr>
          <w:rFonts w:hint="eastAsia" w:ascii="Times New Roman" w:hAnsi="Times New Roman" w:eastAsia="仿宋_GB2312"/>
          <w:sz w:val="32"/>
          <w:szCs w:val="32"/>
        </w:rPr>
        <w:t>本年收入合计</w:t>
      </w:r>
      <w:r>
        <w:rPr>
          <w:rFonts w:hint="eastAsia" w:ascii="Times New Roman" w:hAnsi="Times New Roman" w:eastAsia="仿宋_GB2312"/>
          <w:sz w:val="32"/>
          <w:szCs w:val="32"/>
          <w:lang w:val="en-US" w:eastAsia="zh-CN"/>
        </w:rPr>
        <w:t>3482</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5万元，其中：一般公共预算财政拨款收入</w:t>
      </w:r>
      <w:r>
        <w:rPr>
          <w:rFonts w:hint="eastAsia" w:ascii="Times New Roman" w:hAnsi="Times New Roman" w:eastAsia="仿宋_GB2312"/>
          <w:sz w:val="32"/>
          <w:szCs w:val="32"/>
          <w:lang w:val="en-US" w:eastAsia="zh-CN"/>
        </w:rPr>
        <w:t>1714</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5万元，占</w:t>
      </w:r>
      <w:r>
        <w:rPr>
          <w:rFonts w:hint="eastAsia" w:ascii="Times New Roman" w:hAnsi="Times New Roman" w:eastAsia="仿宋_GB2312"/>
          <w:sz w:val="32"/>
          <w:szCs w:val="32"/>
          <w:lang w:val="en-US" w:eastAsia="zh-CN"/>
        </w:rPr>
        <w:t>49.23</w:t>
      </w:r>
      <w:r>
        <w:rPr>
          <w:rFonts w:hint="eastAsia" w:ascii="Times New Roman" w:hAnsi="Times New Roman" w:eastAsia="仿宋_GB2312"/>
          <w:sz w:val="32"/>
          <w:szCs w:val="32"/>
        </w:rPr>
        <w:t>%；政府性基金预算财政拨款收入</w:t>
      </w:r>
      <w:r>
        <w:rPr>
          <w:rFonts w:hint="eastAsia" w:ascii="Times New Roman" w:hAnsi="Times New Roman" w:eastAsia="仿宋_GB2312"/>
          <w:sz w:val="32"/>
          <w:szCs w:val="32"/>
          <w:lang w:val="en-US" w:eastAsia="zh-CN"/>
        </w:rPr>
        <w:t>1768.2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50.77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2"/>
        <w:spacing w:before="93"/>
        <w:jc w:val="center"/>
      </w:pPr>
      <w:r>
        <w:rPr>
          <w:rFonts w:hint="eastAsia"/>
        </w:rPr>
        <w:drawing>
          <wp:inline distT="0" distB="0" distL="0" distR="0">
            <wp:extent cx="4044950" cy="2062480"/>
            <wp:effectExtent l="0" t="0" r="12700" b="1397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600" w:lineRule="exact"/>
        <w:ind w:firstLine="640" w:firstLineChars="200"/>
        <w:jc w:val="center"/>
        <w:rPr>
          <w:rFonts w:ascii="仿宋_GB2312" w:hAnsi="仿宋" w:eastAsia="仿宋_GB2312"/>
          <w:sz w:val="32"/>
          <w:szCs w:val="32"/>
        </w:rPr>
      </w:pPr>
      <w:r>
        <w:rPr>
          <w:rFonts w:hint="eastAsia" w:ascii="仿宋_GB2312" w:hAnsi="仿宋" w:eastAsia="仿宋_GB2312"/>
          <w:sz w:val="32"/>
          <w:szCs w:val="32"/>
        </w:rPr>
        <w:t>（图2：收入决算结构图）</w:t>
      </w:r>
    </w:p>
    <w:p>
      <w:pPr>
        <w:spacing w:line="600" w:lineRule="exact"/>
        <w:ind w:firstLine="640" w:firstLineChars="200"/>
        <w:rPr>
          <w:rFonts w:ascii="仿宋_GB2312" w:eastAsia="仿宋_GB2312"/>
          <w:sz w:val="32"/>
          <w:szCs w:val="32"/>
        </w:rPr>
      </w:pPr>
    </w:p>
    <w:p>
      <w:pPr>
        <w:pStyle w:val="29"/>
        <w:numPr>
          <w:ilvl w:val="0"/>
          <w:numId w:val="1"/>
        </w:numPr>
        <w:spacing w:line="600" w:lineRule="exact"/>
        <w:ind w:firstLineChars="0"/>
        <w:outlineLvl w:val="1"/>
        <w:rPr>
          <w:rStyle w:val="31"/>
          <w:rFonts w:ascii="黑体" w:hAnsi="黑体" w:eastAsia="黑体"/>
          <w:b w:val="0"/>
        </w:rPr>
      </w:pPr>
      <w:bookmarkStart w:id="30" w:name="_Toc15396605"/>
      <w:bookmarkStart w:id="31" w:name="_Toc16183"/>
      <w:bookmarkStart w:id="32" w:name="_Toc15377207"/>
      <w:r>
        <w:rPr>
          <w:rFonts w:hint="eastAsia" w:ascii="黑体" w:hAnsi="黑体" w:eastAsia="黑体"/>
          <w:sz w:val="32"/>
          <w:szCs w:val="32"/>
        </w:rPr>
        <w:t>支</w:t>
      </w:r>
      <w:r>
        <w:rPr>
          <w:rStyle w:val="31"/>
          <w:rFonts w:hint="eastAsia" w:ascii="黑体" w:hAnsi="黑体" w:eastAsia="黑体"/>
          <w:b w:val="0"/>
        </w:rPr>
        <w:t>出决算情况说明</w:t>
      </w:r>
      <w:bookmarkEnd w:id="30"/>
      <w:bookmarkEnd w:id="31"/>
      <w:bookmarkEnd w:id="32"/>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sz w:val="32"/>
          <w:szCs w:val="32"/>
          <w:lang w:eastAsia="zh-CN"/>
        </w:rPr>
        <w:t>度</w:t>
      </w:r>
      <w:r>
        <w:rPr>
          <w:rFonts w:hint="eastAsia" w:ascii="Times New Roman" w:hAnsi="Times New Roman" w:eastAsia="仿宋_GB2312"/>
          <w:sz w:val="32"/>
          <w:szCs w:val="32"/>
        </w:rPr>
        <w:t>本年支出合计</w:t>
      </w:r>
      <w:r>
        <w:rPr>
          <w:rFonts w:hint="eastAsia" w:ascii="Times New Roman" w:hAnsi="Times New Roman" w:eastAsia="仿宋_GB2312"/>
          <w:sz w:val="32"/>
          <w:szCs w:val="32"/>
          <w:lang w:val="en-US" w:eastAsia="zh-CN"/>
        </w:rPr>
        <w:t>3482</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5万元，其中：基本支出</w:t>
      </w:r>
      <w:r>
        <w:rPr>
          <w:rFonts w:hint="eastAsia" w:ascii="Times New Roman" w:hAnsi="Times New Roman" w:eastAsia="仿宋_GB2312"/>
          <w:sz w:val="32"/>
          <w:szCs w:val="32"/>
          <w:lang w:val="en-US" w:eastAsia="zh-CN"/>
        </w:rPr>
        <w:t>146</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82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22</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3336</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95</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78</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2"/>
        <w:spacing w:before="93"/>
        <w:jc w:val="center"/>
      </w:pPr>
      <w:r>
        <w:rPr>
          <w:sz w:val="32"/>
        </w:rPr>
        <w:drawing>
          <wp:inline distT="0" distB="0" distL="0" distR="0">
            <wp:extent cx="4244340" cy="2012950"/>
            <wp:effectExtent l="4445" t="4445" r="18415" b="2095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spacing w:line="600" w:lineRule="exact"/>
        <w:ind w:firstLine="640" w:firstLineChars="200"/>
        <w:jc w:val="center"/>
      </w:pPr>
      <w:r>
        <w:rPr>
          <w:rFonts w:hint="eastAsia" w:ascii="仿宋_GB2312" w:hAnsi="仿宋" w:eastAsia="仿宋_GB2312"/>
          <w:sz w:val="32"/>
          <w:szCs w:val="32"/>
        </w:rPr>
        <w:t>（图3：支出决算结构图）</w:t>
      </w:r>
    </w:p>
    <w:p>
      <w:pPr>
        <w:spacing w:line="600" w:lineRule="exact"/>
        <w:ind w:firstLine="640" w:firstLineChars="200"/>
        <w:outlineLvl w:val="1"/>
        <w:rPr>
          <w:rStyle w:val="31"/>
          <w:rFonts w:ascii="黑体" w:hAnsi="黑体" w:eastAsia="黑体"/>
          <w:b w:val="0"/>
        </w:rPr>
      </w:pPr>
      <w:bookmarkStart w:id="33" w:name="_Toc15377208"/>
      <w:bookmarkStart w:id="34" w:name="_Toc15396606"/>
      <w:bookmarkStart w:id="35" w:name="_Toc2228"/>
      <w:r>
        <w:rPr>
          <w:rFonts w:hint="eastAsia" w:ascii="黑体" w:hAnsi="黑体" w:eastAsia="黑体"/>
          <w:sz w:val="32"/>
          <w:szCs w:val="32"/>
        </w:rPr>
        <w:t>四、财</w:t>
      </w:r>
      <w:r>
        <w:rPr>
          <w:rStyle w:val="31"/>
          <w:rFonts w:hint="eastAsia" w:ascii="黑体" w:hAnsi="黑体" w:eastAsia="黑体"/>
          <w:b w:val="0"/>
        </w:rPr>
        <w:t>政拨款收入支出决算总体情况说明</w:t>
      </w:r>
      <w:bookmarkEnd w:id="33"/>
      <w:bookmarkEnd w:id="34"/>
      <w:bookmarkEnd w:id="35"/>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ascii="Times New Roman" w:hAnsi="Times New Roman" w:eastAsia="仿宋_GB2312"/>
          <w:sz w:val="32"/>
          <w:szCs w:val="32"/>
        </w:rPr>
        <w:t>年</w:t>
      </w:r>
      <w:r>
        <w:rPr>
          <w:rFonts w:hint="eastAsia" w:ascii="Times New Roman" w:hAnsi="Times New Roman" w:eastAsia="仿宋_GB2312"/>
          <w:sz w:val="32"/>
          <w:szCs w:val="32"/>
          <w:lang w:eastAsia="zh-CN"/>
        </w:rPr>
        <w:t>度</w:t>
      </w:r>
      <w:r>
        <w:rPr>
          <w:rFonts w:ascii="Times New Roman" w:hAnsi="Times New Roman" w:eastAsia="仿宋_GB2312"/>
          <w:sz w:val="32"/>
          <w:szCs w:val="32"/>
        </w:rPr>
        <w:t>财政拨款收、支总计</w:t>
      </w:r>
      <w:r>
        <w:rPr>
          <w:rFonts w:hint="eastAsia" w:ascii="Times New Roman" w:hAnsi="Times New Roman" w:eastAsia="仿宋_GB2312"/>
          <w:sz w:val="32"/>
          <w:szCs w:val="32"/>
          <w:lang w:eastAsia="zh-CN"/>
        </w:rPr>
        <w:t>均为</w:t>
      </w:r>
      <w:r>
        <w:rPr>
          <w:rFonts w:hint="eastAsia" w:ascii="Times New Roman" w:hAnsi="Times New Roman" w:eastAsia="仿宋_GB2312"/>
          <w:sz w:val="32"/>
          <w:szCs w:val="32"/>
          <w:lang w:val="en-US" w:eastAsia="zh-CN"/>
        </w:rPr>
        <w:t>3482</w:t>
      </w:r>
      <w:r>
        <w:rPr>
          <w:rFonts w:ascii="Times New Roman" w:hAnsi="Times New Roman" w:eastAsia="仿宋_GB2312"/>
          <w:sz w:val="32"/>
          <w:szCs w:val="32"/>
        </w:rPr>
        <w:t>.</w:t>
      </w:r>
      <w:r>
        <w:rPr>
          <w:rFonts w:hint="eastAsia" w:ascii="Times New Roman" w:hAnsi="Times New Roman" w:eastAsia="仿宋_GB2312"/>
          <w:sz w:val="32"/>
          <w:szCs w:val="32"/>
          <w:lang w:val="en-US" w:eastAsia="zh-CN"/>
        </w:rPr>
        <w:t>9</w:t>
      </w:r>
      <w:r>
        <w:rPr>
          <w:rFonts w:ascii="Times New Roman" w:hAnsi="Times New Roman" w:eastAsia="仿宋_GB2312"/>
          <w:sz w:val="32"/>
          <w:szCs w:val="32"/>
        </w:rPr>
        <w:t>5万元。与202</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年</w:t>
      </w:r>
      <w:r>
        <w:rPr>
          <w:rFonts w:hint="eastAsia" w:ascii="Times New Roman" w:hAnsi="Times New Roman" w:eastAsia="仿宋_GB2312"/>
          <w:sz w:val="32"/>
          <w:szCs w:val="32"/>
          <w:lang w:eastAsia="zh-CN"/>
        </w:rPr>
        <w:t>度</w:t>
      </w:r>
      <w:r>
        <w:rPr>
          <w:rFonts w:ascii="Times New Roman" w:hAnsi="Times New Roman" w:eastAsia="仿宋_GB2312"/>
          <w:sz w:val="32"/>
          <w:szCs w:val="32"/>
        </w:rPr>
        <w:t>相比，财政拨款收、支总计</w:t>
      </w:r>
      <w:r>
        <w:rPr>
          <w:rFonts w:hint="eastAsia" w:ascii="Times New Roman" w:hAnsi="Times New Roman" w:eastAsia="仿宋_GB2312"/>
          <w:sz w:val="32"/>
          <w:szCs w:val="32"/>
          <w:lang w:eastAsia="zh-CN"/>
        </w:rPr>
        <w:t>各</w:t>
      </w:r>
      <w:r>
        <w:rPr>
          <w:rFonts w:ascii="Times New Roman" w:hAnsi="Times New Roman" w:eastAsia="仿宋_GB2312"/>
          <w:sz w:val="32"/>
          <w:szCs w:val="32"/>
        </w:rPr>
        <w:t>增加</w:t>
      </w:r>
      <w:r>
        <w:rPr>
          <w:rFonts w:hint="eastAsia" w:ascii="Times New Roman" w:hAnsi="Times New Roman" w:eastAsia="仿宋_GB2312"/>
          <w:sz w:val="32"/>
          <w:szCs w:val="32"/>
          <w:lang w:val="en-US" w:eastAsia="zh-CN"/>
        </w:rPr>
        <w:t>3397</w:t>
      </w:r>
      <w:r>
        <w:rPr>
          <w:rFonts w:ascii="Times New Roman" w:hAnsi="Times New Roman" w:eastAsia="仿宋_GB2312"/>
          <w:sz w:val="32"/>
          <w:szCs w:val="32"/>
        </w:rPr>
        <w:t>.</w:t>
      </w:r>
      <w:r>
        <w:rPr>
          <w:rFonts w:hint="eastAsia" w:ascii="Times New Roman" w:hAnsi="Times New Roman" w:eastAsia="仿宋_GB2312"/>
          <w:sz w:val="32"/>
          <w:szCs w:val="32"/>
          <w:lang w:val="en-US" w:eastAsia="zh-CN"/>
        </w:rPr>
        <w:t>7</w:t>
      </w:r>
      <w:r>
        <w:rPr>
          <w:rFonts w:ascii="Times New Roman" w:hAnsi="Times New Roman" w:eastAsia="仿宋_GB2312"/>
          <w:sz w:val="32"/>
          <w:szCs w:val="32"/>
        </w:rPr>
        <w:t>万元</w:t>
      </w:r>
      <w:r>
        <w:rPr>
          <w:rFonts w:hint="eastAsia" w:ascii="Times New Roman" w:hAnsi="Times New Roman" w:eastAsia="仿宋_GB2312"/>
          <w:sz w:val="32"/>
          <w:szCs w:val="32"/>
          <w:lang w:eastAsia="zh-CN"/>
        </w:rPr>
        <w:t>，增长</w:t>
      </w:r>
      <w:r>
        <w:rPr>
          <w:rFonts w:hint="eastAsia" w:ascii="Times New Roman" w:hAnsi="Times New Roman" w:eastAsia="仿宋_GB2312"/>
          <w:sz w:val="32"/>
          <w:szCs w:val="32"/>
          <w:lang w:val="en-US" w:eastAsia="zh-CN"/>
        </w:rPr>
        <w:t>3985.57%。</w:t>
      </w:r>
      <w:r>
        <w:rPr>
          <w:rFonts w:hint="eastAsia" w:ascii="Times New Roman" w:hAnsi="Times New Roman" w:eastAsia="仿宋_GB2312"/>
          <w:color w:val="auto"/>
          <w:sz w:val="32"/>
          <w:szCs w:val="32"/>
        </w:rPr>
        <w:t>主要变动原因是</w:t>
      </w:r>
      <w:r>
        <w:rPr>
          <w:rFonts w:hint="eastAsia" w:ascii="Times New Roman" w:hAnsi="Times New Roman" w:eastAsia="仿宋_GB2312"/>
          <w:sz w:val="32"/>
          <w:szCs w:val="32"/>
        </w:rPr>
        <w:t>盐边县红格国际运动康养·温泉度假区管理委员会为2021年新成立单位，于2022年财务</w:t>
      </w:r>
      <w:r>
        <w:rPr>
          <w:rFonts w:hint="eastAsia" w:ascii="Times New Roman" w:hAnsi="Times New Roman" w:eastAsia="仿宋_GB2312"/>
          <w:sz w:val="32"/>
          <w:szCs w:val="32"/>
          <w:lang w:eastAsia="zh-CN"/>
        </w:rPr>
        <w:t>机构健全</w:t>
      </w:r>
      <w:r>
        <w:rPr>
          <w:rFonts w:hint="eastAsia" w:ascii="Times New Roman" w:hAnsi="Times New Roman" w:eastAsia="仿宋_GB2312"/>
          <w:sz w:val="32"/>
          <w:szCs w:val="32"/>
        </w:rPr>
        <w:t>后追加预算，</w:t>
      </w:r>
      <w:r>
        <w:rPr>
          <w:rFonts w:hint="eastAsia" w:ascii="Times New Roman" w:hAnsi="Times New Roman" w:eastAsia="仿宋_GB2312"/>
          <w:sz w:val="32"/>
          <w:szCs w:val="32"/>
          <w:lang w:eastAsia="zh-CN"/>
        </w:rPr>
        <w:t>主要用于保障</w:t>
      </w:r>
      <w:r>
        <w:rPr>
          <w:rFonts w:hint="eastAsia" w:ascii="Times New Roman" w:hAnsi="Times New Roman" w:eastAsia="仿宋_GB2312"/>
          <w:color w:val="auto"/>
          <w:sz w:val="32"/>
          <w:szCs w:val="32"/>
        </w:rPr>
        <w:t>基本</w:t>
      </w:r>
      <w:r>
        <w:rPr>
          <w:rFonts w:hint="eastAsia" w:ascii="Times New Roman" w:hAnsi="Times New Roman" w:eastAsia="仿宋_GB2312"/>
          <w:sz w:val="32"/>
          <w:szCs w:val="32"/>
        </w:rPr>
        <w:t>用于工资发放和</w:t>
      </w:r>
      <w:r>
        <w:rPr>
          <w:rFonts w:hint="eastAsia" w:ascii="Times New Roman" w:hAnsi="Times New Roman" w:eastAsia="仿宋_GB2312"/>
          <w:sz w:val="32"/>
          <w:szCs w:val="32"/>
          <w:lang w:eastAsia="zh-CN"/>
        </w:rPr>
        <w:t>单位基本运行</w:t>
      </w:r>
      <w:r>
        <w:rPr>
          <w:rFonts w:hint="eastAsia" w:ascii="Times New Roman" w:hAnsi="Times New Roman" w:eastAsia="仿宋_GB2312"/>
          <w:sz w:val="32"/>
          <w:szCs w:val="32"/>
        </w:rPr>
        <w:t>。2023年</w:t>
      </w:r>
      <w:r>
        <w:rPr>
          <w:rFonts w:hint="eastAsia" w:ascii="Times New Roman" w:hAnsi="Times New Roman" w:eastAsia="仿宋_GB2312"/>
          <w:sz w:val="32"/>
          <w:szCs w:val="32"/>
          <w:lang w:eastAsia="zh-CN"/>
        </w:rPr>
        <w:t>除基本支出外，还</w:t>
      </w:r>
      <w:r>
        <w:rPr>
          <w:rFonts w:hint="eastAsia" w:ascii="Times New Roman" w:hAnsi="Times New Roman" w:eastAsia="仿宋_GB2312"/>
          <w:sz w:val="32"/>
          <w:szCs w:val="32"/>
        </w:rPr>
        <w:t>新增</w:t>
      </w:r>
      <w:r>
        <w:rPr>
          <w:rFonts w:hint="eastAsia" w:ascii="Times New Roman" w:hAnsi="Times New Roman" w:eastAsia="仿宋_GB2312"/>
          <w:sz w:val="32"/>
          <w:szCs w:val="32"/>
          <w:lang w:eastAsia="zh-CN"/>
        </w:rPr>
        <w:t>了</w:t>
      </w:r>
      <w:r>
        <w:rPr>
          <w:rFonts w:hint="eastAsia" w:ascii="Times New Roman" w:hAnsi="Times New Roman" w:eastAsia="仿宋_GB2312"/>
          <w:sz w:val="32"/>
          <w:szCs w:val="32"/>
        </w:rPr>
        <w:t>度假区奖补资金、基础设施建设等项目支出</w:t>
      </w:r>
      <w:r>
        <w:rPr>
          <w:rFonts w:hint="eastAsia" w:ascii="Times New Roman" w:hAnsi="Times New Roman" w:eastAsia="仿宋_GB2312"/>
          <w:sz w:val="32"/>
          <w:szCs w:val="32"/>
          <w:lang w:eastAsia="zh-CN"/>
        </w:rPr>
        <w:t>，故</w:t>
      </w:r>
      <w:r>
        <w:rPr>
          <w:rFonts w:hint="eastAsia" w:ascii="Times New Roman" w:hAnsi="Times New Roman" w:eastAsia="仿宋_GB2312"/>
          <w:sz w:val="32"/>
          <w:szCs w:val="32"/>
        </w:rPr>
        <w:t>导致增长率</w:t>
      </w:r>
      <w:r>
        <w:rPr>
          <w:rFonts w:hint="eastAsia" w:ascii="Times New Roman" w:hAnsi="Times New Roman" w:eastAsia="仿宋_GB2312"/>
          <w:sz w:val="32"/>
          <w:szCs w:val="32"/>
          <w:lang w:eastAsia="zh-CN"/>
        </w:rPr>
        <w:t>较</w:t>
      </w:r>
      <w:r>
        <w:rPr>
          <w:rFonts w:hint="eastAsia" w:ascii="Times New Roman" w:hAnsi="Times New Roman" w:eastAsia="仿宋_GB2312"/>
          <w:sz w:val="32"/>
          <w:szCs w:val="32"/>
        </w:rPr>
        <w:t>高。</w:t>
      </w:r>
    </w:p>
    <w:p>
      <w:pPr>
        <w:pStyle w:val="2"/>
        <w:spacing w:before="93"/>
        <w:jc w:val="both"/>
        <w:rPr>
          <w:rFonts w:ascii="Times New Roman"/>
        </w:rPr>
      </w:pPr>
      <w:r>
        <w:rPr>
          <w:rFonts w:hint="eastAsia" w:ascii="Times New Roman"/>
          <w:sz w:val="32"/>
          <w:szCs w:val="32"/>
          <w:lang w:val="en-US" w:eastAsia="zh-CN"/>
        </w:rPr>
        <w:t xml:space="preserve">     </w:t>
      </w:r>
      <w:r>
        <w:rPr>
          <w:rFonts w:ascii="Times New Roman"/>
          <w:sz w:val="32"/>
          <w:szCs w:val="32"/>
        </w:rPr>
        <w:drawing>
          <wp:inline distT="0" distB="0" distL="0" distR="0">
            <wp:extent cx="4189095" cy="2073275"/>
            <wp:effectExtent l="0" t="0" r="20955" b="2222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spacing w:line="600" w:lineRule="exact"/>
        <w:ind w:firstLine="640" w:firstLineChars="200"/>
        <w:jc w:val="center"/>
        <w:rPr>
          <w:rFonts w:eastAsia="仿宋_GB2312"/>
          <w:sz w:val="32"/>
          <w:szCs w:val="32"/>
        </w:rPr>
      </w:pPr>
      <w:r>
        <w:rPr>
          <w:rFonts w:eastAsia="仿宋_GB2312"/>
          <w:sz w:val="32"/>
          <w:szCs w:val="32"/>
        </w:rPr>
        <w:t>（图4：财政拨款收、支决算总计变动情况）</w:t>
      </w:r>
    </w:p>
    <w:p>
      <w:pPr>
        <w:spacing w:line="600" w:lineRule="exact"/>
        <w:ind w:firstLine="640"/>
        <w:rPr>
          <w:rFonts w:eastAsia="仿宋_GB2312"/>
          <w:b/>
          <w:sz w:val="32"/>
          <w:szCs w:val="32"/>
        </w:rPr>
      </w:pPr>
    </w:p>
    <w:p>
      <w:pPr>
        <w:spacing w:line="600" w:lineRule="exact"/>
        <w:ind w:firstLine="640" w:firstLineChars="200"/>
        <w:outlineLvl w:val="1"/>
        <w:rPr>
          <w:rStyle w:val="31"/>
          <w:rFonts w:ascii="黑体" w:hAnsi="黑体" w:eastAsia="黑体"/>
          <w:b w:val="0"/>
        </w:rPr>
      </w:pPr>
      <w:bookmarkStart w:id="36" w:name="_Toc15377209"/>
      <w:bookmarkStart w:id="37" w:name="_Toc20572"/>
      <w:bookmarkStart w:id="38" w:name="_Toc15396607"/>
      <w:r>
        <w:rPr>
          <w:rFonts w:hint="eastAsia" w:ascii="黑体" w:hAnsi="黑体" w:eastAsia="黑体"/>
          <w:sz w:val="32"/>
          <w:szCs w:val="32"/>
        </w:rPr>
        <w:t>五、</w:t>
      </w:r>
      <w:r>
        <w:rPr>
          <w:rFonts w:hint="eastAsia" w:ascii="黑体" w:hAnsi="黑体" w:eastAsia="黑体"/>
          <w:b/>
          <w:sz w:val="32"/>
          <w:szCs w:val="32"/>
        </w:rPr>
        <w:t>一</w:t>
      </w:r>
      <w:r>
        <w:rPr>
          <w:rStyle w:val="31"/>
          <w:rFonts w:hint="eastAsia" w:ascii="黑体" w:hAnsi="黑体" w:eastAsia="黑体"/>
          <w:b w:val="0"/>
        </w:rPr>
        <w:t>般公共预算财政拨款支出决算情况说明</w:t>
      </w:r>
      <w:bookmarkEnd w:id="36"/>
      <w:bookmarkEnd w:id="37"/>
      <w:bookmarkEnd w:id="38"/>
    </w:p>
    <w:p>
      <w:pPr>
        <w:spacing w:line="600" w:lineRule="exact"/>
        <w:ind w:firstLine="643" w:firstLineChars="200"/>
        <w:outlineLvl w:val="2"/>
        <w:rPr>
          <w:rFonts w:hint="eastAsia" w:ascii="仿宋" w:hAnsi="仿宋" w:eastAsia="仿宋" w:cs="仿宋"/>
          <w:b/>
          <w:bCs/>
          <w:sz w:val="32"/>
          <w:szCs w:val="32"/>
        </w:rPr>
      </w:pPr>
      <w:bookmarkStart w:id="39" w:name="_Toc15377210"/>
      <w:bookmarkStart w:id="40" w:name="_Toc32059"/>
      <w:r>
        <w:rPr>
          <w:rFonts w:hint="eastAsia" w:ascii="仿宋" w:hAnsi="仿宋" w:eastAsia="仿宋" w:cs="仿宋"/>
          <w:b/>
          <w:bCs/>
          <w:sz w:val="32"/>
          <w:szCs w:val="32"/>
        </w:rPr>
        <w:t>（一）一般公共预算财政拨款支出决算总体情况</w:t>
      </w:r>
      <w:bookmarkEnd w:id="39"/>
      <w:bookmarkEnd w:id="40"/>
    </w:p>
    <w:p>
      <w:pPr>
        <w:spacing w:line="600" w:lineRule="exact"/>
        <w:ind w:firstLine="640" w:firstLineChars="200"/>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sz w:val="32"/>
          <w:szCs w:val="32"/>
          <w:lang w:eastAsia="zh-CN"/>
        </w:rPr>
        <w:t>度</w:t>
      </w:r>
      <w:r>
        <w:rPr>
          <w:rFonts w:hint="eastAsia" w:ascii="Times New Roman" w:hAnsi="Times New Roman" w:eastAsia="仿宋_GB2312"/>
          <w:sz w:val="32"/>
          <w:szCs w:val="32"/>
        </w:rPr>
        <w:t>一般公共预算财政拨款支出</w:t>
      </w:r>
      <w:r>
        <w:rPr>
          <w:rFonts w:hint="eastAsia" w:ascii="Times New Roman" w:hAnsi="Times New Roman" w:eastAsia="仿宋_GB2312"/>
          <w:sz w:val="32"/>
          <w:szCs w:val="32"/>
          <w:lang w:val="en-US" w:eastAsia="zh-CN"/>
        </w:rPr>
        <w:t>1714</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5万元，占本年支出合计的</w:t>
      </w:r>
      <w:r>
        <w:rPr>
          <w:rFonts w:hint="eastAsia" w:ascii="Times New Roman" w:hAnsi="Times New Roman" w:eastAsia="仿宋_GB2312"/>
          <w:sz w:val="32"/>
          <w:szCs w:val="32"/>
          <w:lang w:val="en-US" w:eastAsia="zh-CN"/>
        </w:rPr>
        <w:t>49.23</w:t>
      </w:r>
      <w:r>
        <w:rPr>
          <w:rFonts w:hint="eastAsia" w:ascii="Times New Roman" w:hAnsi="Times New Roman" w:eastAsia="仿宋_GB2312"/>
          <w:sz w:val="32"/>
          <w:szCs w:val="32"/>
        </w:rPr>
        <w:t>%。与202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w:t>
      </w:r>
      <w:r>
        <w:rPr>
          <w:rFonts w:hint="eastAsia" w:ascii="Times New Roman" w:hAnsi="Times New Roman" w:eastAsia="仿宋_GB2312"/>
          <w:sz w:val="32"/>
          <w:szCs w:val="32"/>
          <w:lang w:eastAsia="zh-CN"/>
        </w:rPr>
        <w:t>度</w:t>
      </w:r>
      <w:r>
        <w:rPr>
          <w:rFonts w:hint="eastAsia" w:ascii="Times New Roman" w:hAnsi="Times New Roman" w:eastAsia="仿宋_GB2312"/>
          <w:sz w:val="32"/>
          <w:szCs w:val="32"/>
        </w:rPr>
        <w:t>相比，一般公共预算财政拨款支出增加</w:t>
      </w:r>
      <w:r>
        <w:rPr>
          <w:rFonts w:hint="eastAsia" w:ascii="Times New Roman" w:hAnsi="Times New Roman" w:eastAsia="仿宋_GB2312"/>
          <w:sz w:val="32"/>
          <w:szCs w:val="32"/>
          <w:lang w:val="en-US" w:eastAsia="zh-CN"/>
        </w:rPr>
        <w:t>1629.5</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，增长</w:t>
      </w:r>
      <w:r>
        <w:rPr>
          <w:rFonts w:hint="eastAsia" w:ascii="Times New Roman" w:hAnsi="Times New Roman" w:eastAsia="仿宋_GB2312"/>
          <w:sz w:val="32"/>
          <w:szCs w:val="32"/>
          <w:lang w:val="en-US" w:eastAsia="zh-CN"/>
        </w:rPr>
        <w:t>1911.46%。</w:t>
      </w:r>
      <w:r>
        <w:rPr>
          <w:rFonts w:hint="eastAsia" w:ascii="Times New Roman" w:hAnsi="Times New Roman" w:eastAsia="仿宋_GB2312"/>
          <w:sz w:val="32"/>
          <w:szCs w:val="32"/>
        </w:rPr>
        <w:t>主要变动原因是盐边县红格国际运动康养·温泉度假区管理委员会为2021年新成立单位</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于2022年8月</w:t>
      </w:r>
      <w:r>
        <w:rPr>
          <w:rFonts w:hint="eastAsia" w:ascii="Times New Roman" w:hAnsi="Times New Roman" w:eastAsia="仿宋_GB2312"/>
          <w:sz w:val="32"/>
          <w:szCs w:val="32"/>
          <w:lang w:eastAsia="zh-CN"/>
        </w:rPr>
        <w:t>正式建立</w:t>
      </w:r>
      <w:r>
        <w:rPr>
          <w:rFonts w:hint="eastAsia" w:ascii="Times New Roman" w:hAnsi="Times New Roman" w:eastAsia="仿宋_GB2312"/>
          <w:sz w:val="32"/>
          <w:szCs w:val="32"/>
        </w:rPr>
        <w:t>财务系统，当年全年预算仅包含人员工资及单位运转所需公用经费等收入，2023</w:t>
      </w:r>
      <w:r>
        <w:rPr>
          <w:rFonts w:hint="eastAsia" w:ascii="Times New Roman" w:hAnsi="Times New Roman" w:eastAsia="仿宋_GB2312"/>
          <w:sz w:val="32"/>
          <w:szCs w:val="32"/>
          <w:lang w:eastAsia="zh-CN"/>
        </w:rPr>
        <w:t>年作为正式预算单位，增加了</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eastAsia="zh-CN"/>
        </w:rPr>
        <w:t>故</w:t>
      </w:r>
      <w:r>
        <w:rPr>
          <w:rFonts w:hint="eastAsia" w:ascii="Times New Roman" w:hAnsi="Times New Roman" w:eastAsia="仿宋_GB2312"/>
          <w:sz w:val="32"/>
          <w:szCs w:val="32"/>
        </w:rPr>
        <w:t>导致增</w:t>
      </w:r>
      <w:r>
        <w:rPr>
          <w:rFonts w:hint="eastAsia" w:ascii="Times New Roman" w:hAnsi="Times New Roman" w:eastAsia="仿宋_GB2312"/>
          <w:sz w:val="32"/>
          <w:szCs w:val="32"/>
          <w:lang w:eastAsia="zh-CN"/>
        </w:rPr>
        <w:t>长较多</w:t>
      </w:r>
      <w:r>
        <w:rPr>
          <w:rFonts w:hint="eastAsia" w:ascii="Times New Roman" w:hAnsi="Times New Roman" w:eastAsia="仿宋_GB2312"/>
          <w:sz w:val="32"/>
          <w:szCs w:val="32"/>
        </w:rPr>
        <w:t>。</w:t>
      </w:r>
    </w:p>
    <w:p>
      <w:pPr>
        <w:pStyle w:val="2"/>
        <w:spacing w:before="93"/>
        <w:jc w:val="center"/>
        <w:rPr>
          <w:rFonts w:ascii="Times New Roman"/>
        </w:rPr>
      </w:pPr>
      <w:r>
        <w:rPr>
          <w:rFonts w:ascii="Times New Roman"/>
          <w:sz w:val="32"/>
          <w:szCs w:val="32"/>
        </w:rPr>
        <w:drawing>
          <wp:inline distT="0" distB="0" distL="0" distR="0">
            <wp:extent cx="4539615" cy="2136775"/>
            <wp:effectExtent l="0" t="0" r="13335" b="1587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spacing w:line="600" w:lineRule="exact"/>
        <w:jc w:val="center"/>
        <w:rPr>
          <w:rFonts w:eastAsia="仿宋_GB2312"/>
          <w:sz w:val="32"/>
          <w:szCs w:val="32"/>
        </w:rPr>
      </w:pPr>
      <w:r>
        <w:rPr>
          <w:rFonts w:eastAsia="仿宋_GB2312"/>
          <w:sz w:val="32"/>
          <w:szCs w:val="32"/>
        </w:rPr>
        <w:t>（图5：一般公共预算财政拨款支出决算变动情况）</w:t>
      </w:r>
    </w:p>
    <w:p>
      <w:pPr>
        <w:pStyle w:val="2"/>
      </w:pPr>
    </w:p>
    <w:p>
      <w:pPr>
        <w:spacing w:line="600" w:lineRule="exact"/>
        <w:ind w:firstLine="643" w:firstLineChars="200"/>
        <w:outlineLvl w:val="2"/>
        <w:rPr>
          <w:rFonts w:hint="eastAsia" w:ascii="仿宋" w:hAnsi="仿宋" w:eastAsia="仿宋" w:cs="仿宋"/>
          <w:b/>
          <w:bCs/>
          <w:sz w:val="32"/>
          <w:szCs w:val="32"/>
        </w:rPr>
      </w:pPr>
      <w:bookmarkStart w:id="41" w:name="_Toc15377211"/>
      <w:bookmarkStart w:id="42" w:name="_Toc23182"/>
      <w:r>
        <w:rPr>
          <w:rFonts w:hint="eastAsia" w:ascii="仿宋" w:hAnsi="仿宋" w:eastAsia="仿宋" w:cs="仿宋"/>
          <w:b/>
          <w:bCs/>
          <w:sz w:val="32"/>
          <w:szCs w:val="32"/>
        </w:rPr>
        <w:t>（二）一般公共预算财政拨款支出决算结构情况</w:t>
      </w:r>
      <w:bookmarkEnd w:id="41"/>
      <w:bookmarkEnd w:id="42"/>
    </w:p>
    <w:p>
      <w:pPr>
        <w:spacing w:line="600" w:lineRule="exact"/>
        <w:ind w:firstLine="640"/>
        <w:rPr>
          <w:rFonts w:eastAsia="仿宋_GB2312"/>
          <w:color w:val="auto"/>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w:t>
      </w:r>
      <w:r>
        <w:rPr>
          <w:rFonts w:hint="eastAsia" w:eastAsia="仿宋_GB2312"/>
          <w:sz w:val="32"/>
          <w:szCs w:val="32"/>
          <w:lang w:eastAsia="zh-CN"/>
        </w:rPr>
        <w:t>度</w:t>
      </w:r>
      <w:r>
        <w:rPr>
          <w:rFonts w:eastAsia="仿宋_GB2312"/>
          <w:sz w:val="32"/>
          <w:szCs w:val="32"/>
        </w:rPr>
        <w:t>一般公共预算财政拨款支出</w:t>
      </w:r>
      <w:r>
        <w:rPr>
          <w:rFonts w:hint="eastAsia" w:eastAsia="仿宋_GB2312"/>
          <w:sz w:val="32"/>
          <w:szCs w:val="32"/>
          <w:lang w:val="en-US" w:eastAsia="zh-CN"/>
        </w:rPr>
        <w:t>1714</w:t>
      </w:r>
      <w:r>
        <w:rPr>
          <w:rFonts w:eastAsia="仿宋_GB2312"/>
          <w:sz w:val="32"/>
          <w:szCs w:val="32"/>
        </w:rPr>
        <w:t>.</w:t>
      </w:r>
      <w:r>
        <w:rPr>
          <w:rFonts w:hint="eastAsia" w:eastAsia="仿宋_GB2312"/>
          <w:sz w:val="32"/>
          <w:szCs w:val="32"/>
          <w:lang w:val="en-US" w:eastAsia="zh-CN"/>
        </w:rPr>
        <w:t>7</w:t>
      </w:r>
      <w:r>
        <w:rPr>
          <w:rFonts w:eastAsia="仿宋_GB2312"/>
          <w:sz w:val="32"/>
          <w:szCs w:val="32"/>
        </w:rPr>
        <w:t>5万元，主要用于以下方面:一般公共服务</w:t>
      </w:r>
      <w:r>
        <w:rPr>
          <w:rFonts w:eastAsia="仿宋_GB2312"/>
          <w:bCs/>
          <w:sz w:val="32"/>
          <w:szCs w:val="32"/>
        </w:rPr>
        <w:t>支出</w:t>
      </w:r>
      <w:r>
        <w:rPr>
          <w:rFonts w:hint="eastAsia" w:eastAsia="仿宋_GB2312"/>
          <w:bCs/>
          <w:sz w:val="32"/>
          <w:szCs w:val="32"/>
          <w:lang w:val="en-US" w:eastAsia="zh-CN"/>
        </w:rPr>
        <w:t>144</w:t>
      </w:r>
      <w:r>
        <w:rPr>
          <w:rFonts w:eastAsia="仿宋_GB2312"/>
          <w:sz w:val="32"/>
          <w:szCs w:val="32"/>
        </w:rPr>
        <w:t>.</w:t>
      </w:r>
      <w:r>
        <w:rPr>
          <w:rFonts w:hint="eastAsia" w:eastAsia="仿宋_GB2312"/>
          <w:sz w:val="32"/>
          <w:szCs w:val="32"/>
          <w:lang w:val="en-US" w:eastAsia="zh-CN"/>
        </w:rPr>
        <w:t>67</w:t>
      </w:r>
      <w:r>
        <w:rPr>
          <w:rFonts w:eastAsia="仿宋_GB2312"/>
          <w:sz w:val="32"/>
          <w:szCs w:val="32"/>
        </w:rPr>
        <w:t>万元，占8.</w:t>
      </w:r>
      <w:r>
        <w:rPr>
          <w:rFonts w:hint="eastAsia" w:eastAsia="仿宋_GB2312"/>
          <w:sz w:val="32"/>
          <w:szCs w:val="32"/>
          <w:lang w:val="en-US" w:eastAsia="zh-CN"/>
        </w:rPr>
        <w:t>44</w:t>
      </w:r>
      <w:r>
        <w:rPr>
          <w:rFonts w:eastAsia="仿宋_GB2312"/>
          <w:sz w:val="32"/>
          <w:szCs w:val="32"/>
        </w:rPr>
        <w:t>%；</w:t>
      </w:r>
      <w:r>
        <w:rPr>
          <w:rFonts w:eastAsia="仿宋_GB2312"/>
          <w:bCs/>
          <w:sz w:val="32"/>
          <w:szCs w:val="32"/>
        </w:rPr>
        <w:t>文化旅游体育与传媒支出1</w:t>
      </w:r>
      <w:r>
        <w:rPr>
          <w:rFonts w:hint="eastAsia" w:eastAsia="仿宋_GB2312"/>
          <w:bCs/>
          <w:sz w:val="32"/>
          <w:szCs w:val="32"/>
          <w:lang w:val="en-US" w:eastAsia="zh-CN"/>
        </w:rPr>
        <w:t>6</w:t>
      </w:r>
      <w:r>
        <w:rPr>
          <w:rFonts w:eastAsia="仿宋_GB2312"/>
          <w:bCs/>
          <w:sz w:val="32"/>
          <w:szCs w:val="32"/>
        </w:rPr>
        <w:t>.</w:t>
      </w:r>
      <w:r>
        <w:rPr>
          <w:rFonts w:hint="eastAsia" w:eastAsia="仿宋_GB2312"/>
          <w:bCs/>
          <w:sz w:val="32"/>
          <w:szCs w:val="32"/>
          <w:lang w:val="en-US" w:eastAsia="zh-CN"/>
        </w:rPr>
        <w:t>96</w:t>
      </w:r>
      <w:r>
        <w:rPr>
          <w:rFonts w:eastAsia="仿宋_GB2312"/>
          <w:bCs/>
          <w:sz w:val="32"/>
          <w:szCs w:val="32"/>
        </w:rPr>
        <w:t>万元，占</w:t>
      </w:r>
      <w:r>
        <w:rPr>
          <w:rFonts w:hint="eastAsia" w:eastAsia="仿宋_GB2312"/>
          <w:bCs/>
          <w:sz w:val="32"/>
          <w:szCs w:val="32"/>
          <w:lang w:val="en-US" w:eastAsia="zh-CN"/>
        </w:rPr>
        <w:t>0</w:t>
      </w:r>
      <w:r>
        <w:rPr>
          <w:rFonts w:eastAsia="仿宋_GB2312"/>
          <w:bCs/>
          <w:sz w:val="32"/>
          <w:szCs w:val="32"/>
        </w:rPr>
        <w:t>.9</w:t>
      </w:r>
      <w:r>
        <w:rPr>
          <w:rFonts w:hint="eastAsia" w:eastAsia="仿宋_GB2312"/>
          <w:bCs/>
          <w:sz w:val="32"/>
          <w:szCs w:val="32"/>
          <w:lang w:val="en-US" w:eastAsia="zh-CN"/>
        </w:rPr>
        <w:t>9</w:t>
      </w:r>
      <w:r>
        <w:rPr>
          <w:rFonts w:eastAsia="仿宋_GB2312"/>
          <w:bCs/>
          <w:sz w:val="32"/>
          <w:szCs w:val="32"/>
        </w:rPr>
        <w:t>%</w:t>
      </w:r>
      <w:r>
        <w:rPr>
          <w:rFonts w:eastAsia="仿宋_GB2312"/>
          <w:sz w:val="32"/>
          <w:szCs w:val="32"/>
        </w:rPr>
        <w:t>；社会保障和就业</w:t>
      </w:r>
      <w:r>
        <w:rPr>
          <w:rFonts w:eastAsia="仿宋_GB2312"/>
          <w:bCs/>
          <w:sz w:val="32"/>
          <w:szCs w:val="32"/>
        </w:rPr>
        <w:t>支出</w:t>
      </w:r>
      <w:r>
        <w:rPr>
          <w:rFonts w:hint="eastAsia" w:eastAsia="仿宋_GB2312"/>
          <w:bCs/>
          <w:sz w:val="32"/>
          <w:szCs w:val="32"/>
          <w:lang w:val="en-US" w:eastAsia="zh-CN"/>
        </w:rPr>
        <w:t>13</w:t>
      </w:r>
      <w:r>
        <w:rPr>
          <w:rFonts w:eastAsia="仿宋_GB2312"/>
          <w:sz w:val="32"/>
          <w:szCs w:val="32"/>
        </w:rPr>
        <w:t>.</w:t>
      </w:r>
      <w:r>
        <w:rPr>
          <w:rFonts w:hint="eastAsia" w:eastAsia="仿宋_GB2312"/>
          <w:sz w:val="32"/>
          <w:szCs w:val="32"/>
          <w:lang w:val="en-US" w:eastAsia="zh-CN"/>
        </w:rPr>
        <w:t>4</w:t>
      </w:r>
      <w:r>
        <w:rPr>
          <w:rFonts w:eastAsia="仿宋_GB2312"/>
          <w:sz w:val="32"/>
          <w:szCs w:val="32"/>
        </w:rPr>
        <w:t>万元，占</w:t>
      </w:r>
      <w:r>
        <w:rPr>
          <w:rFonts w:hint="eastAsia" w:eastAsia="仿宋_GB2312"/>
          <w:sz w:val="32"/>
          <w:szCs w:val="32"/>
          <w:lang w:val="en-US" w:eastAsia="zh-CN"/>
        </w:rPr>
        <w:t>0</w:t>
      </w:r>
      <w:r>
        <w:rPr>
          <w:rFonts w:eastAsia="仿宋_GB2312"/>
          <w:sz w:val="32"/>
          <w:szCs w:val="32"/>
        </w:rPr>
        <w:t>.</w:t>
      </w:r>
      <w:r>
        <w:rPr>
          <w:rFonts w:hint="eastAsia" w:eastAsia="仿宋_GB2312"/>
          <w:sz w:val="32"/>
          <w:szCs w:val="32"/>
          <w:lang w:val="en-US" w:eastAsia="zh-CN"/>
        </w:rPr>
        <w:t>78</w:t>
      </w:r>
      <w:r>
        <w:rPr>
          <w:rFonts w:eastAsia="仿宋_GB2312"/>
          <w:sz w:val="32"/>
          <w:szCs w:val="32"/>
        </w:rPr>
        <w:t>%；</w:t>
      </w:r>
      <w:r>
        <w:rPr>
          <w:rFonts w:eastAsia="仿宋_GB2312"/>
          <w:bCs/>
          <w:sz w:val="32"/>
          <w:szCs w:val="32"/>
        </w:rPr>
        <w:t>卫生健康支出</w:t>
      </w:r>
      <w:r>
        <w:rPr>
          <w:rFonts w:hint="eastAsia" w:eastAsia="仿宋_GB2312"/>
          <w:bCs/>
          <w:sz w:val="32"/>
          <w:szCs w:val="32"/>
          <w:lang w:val="en-US" w:eastAsia="zh-CN"/>
        </w:rPr>
        <w:t>1</w:t>
      </w:r>
      <w:r>
        <w:rPr>
          <w:rFonts w:eastAsia="仿宋_GB2312"/>
          <w:sz w:val="32"/>
          <w:szCs w:val="32"/>
        </w:rPr>
        <w:t>1.</w:t>
      </w:r>
      <w:r>
        <w:rPr>
          <w:rFonts w:hint="eastAsia" w:eastAsia="仿宋_GB2312"/>
          <w:sz w:val="32"/>
          <w:szCs w:val="32"/>
          <w:lang w:val="en-US" w:eastAsia="zh-CN"/>
        </w:rPr>
        <w:t>27</w:t>
      </w:r>
      <w:r>
        <w:rPr>
          <w:rFonts w:eastAsia="仿宋_GB2312"/>
          <w:sz w:val="32"/>
          <w:szCs w:val="32"/>
        </w:rPr>
        <w:t>万元，占</w:t>
      </w:r>
      <w:r>
        <w:rPr>
          <w:rFonts w:hint="eastAsia" w:eastAsia="仿宋_GB2312"/>
          <w:sz w:val="32"/>
          <w:szCs w:val="32"/>
          <w:lang w:val="en-US" w:eastAsia="zh-CN"/>
        </w:rPr>
        <w:t>0</w:t>
      </w:r>
      <w:r>
        <w:rPr>
          <w:rFonts w:eastAsia="仿宋_GB2312"/>
          <w:sz w:val="32"/>
          <w:szCs w:val="32"/>
        </w:rPr>
        <w:t>.</w:t>
      </w:r>
      <w:r>
        <w:rPr>
          <w:rFonts w:hint="eastAsia" w:eastAsia="仿宋_GB2312"/>
          <w:sz w:val="32"/>
          <w:szCs w:val="32"/>
          <w:lang w:val="en-US" w:eastAsia="zh-CN"/>
        </w:rPr>
        <w:t>66</w:t>
      </w:r>
      <w:r>
        <w:rPr>
          <w:rFonts w:eastAsia="仿宋_GB2312"/>
          <w:sz w:val="32"/>
          <w:szCs w:val="32"/>
        </w:rPr>
        <w:t>%；</w:t>
      </w:r>
      <w:r>
        <w:rPr>
          <w:rFonts w:hint="eastAsia" w:eastAsia="仿宋_GB2312"/>
          <w:sz w:val="32"/>
          <w:szCs w:val="32"/>
          <w:lang w:eastAsia="zh-CN"/>
        </w:rPr>
        <w:t>城乡社区支出</w:t>
      </w:r>
      <w:r>
        <w:rPr>
          <w:rFonts w:hint="eastAsia" w:eastAsia="仿宋_GB2312"/>
          <w:sz w:val="32"/>
          <w:szCs w:val="32"/>
          <w:lang w:val="en-US" w:eastAsia="zh-CN"/>
        </w:rPr>
        <w:t>781.17万元，占45.55%；农林水支出736.96万元，占42.98%；</w:t>
      </w:r>
      <w:r>
        <w:rPr>
          <w:rFonts w:eastAsia="仿宋_GB2312"/>
          <w:bCs/>
          <w:color w:val="auto"/>
          <w:sz w:val="32"/>
          <w:szCs w:val="32"/>
        </w:rPr>
        <w:t>住房保障支出</w:t>
      </w:r>
      <w:r>
        <w:rPr>
          <w:rFonts w:hint="eastAsia" w:eastAsia="仿宋_GB2312"/>
          <w:bCs/>
          <w:color w:val="auto"/>
          <w:sz w:val="32"/>
          <w:szCs w:val="32"/>
          <w:lang w:val="en-US" w:eastAsia="zh-CN"/>
        </w:rPr>
        <w:t>10.31</w:t>
      </w:r>
      <w:r>
        <w:rPr>
          <w:rFonts w:eastAsia="仿宋_GB2312"/>
          <w:color w:val="auto"/>
          <w:sz w:val="32"/>
          <w:szCs w:val="32"/>
        </w:rPr>
        <w:t>万元，占</w:t>
      </w:r>
      <w:r>
        <w:rPr>
          <w:rFonts w:hint="eastAsia" w:eastAsia="仿宋_GB2312"/>
          <w:color w:val="auto"/>
          <w:sz w:val="32"/>
          <w:szCs w:val="32"/>
          <w:lang w:val="en-US" w:eastAsia="zh-CN"/>
        </w:rPr>
        <w:t>0.6</w:t>
      </w:r>
      <w:r>
        <w:rPr>
          <w:rFonts w:eastAsia="仿宋_GB2312"/>
          <w:color w:val="auto"/>
          <w:sz w:val="32"/>
          <w:szCs w:val="32"/>
        </w:rPr>
        <w:t>%。</w:t>
      </w:r>
    </w:p>
    <w:p>
      <w:pPr>
        <w:pStyle w:val="2"/>
        <w:spacing w:before="93"/>
        <w:jc w:val="center"/>
        <w:rPr>
          <w:rFonts w:ascii="Times New Roman"/>
        </w:rPr>
      </w:pPr>
      <w:r>
        <w:rPr>
          <w:rFonts w:ascii="Times New Roman"/>
        </w:rPr>
        <w:drawing>
          <wp:inline distT="0" distB="0" distL="0" distR="0">
            <wp:extent cx="4464050" cy="2042795"/>
            <wp:effectExtent l="4445" t="5080" r="8255" b="952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pPr>
        <w:spacing w:line="600" w:lineRule="exact"/>
        <w:ind w:firstLine="960" w:firstLineChars="300"/>
        <w:jc w:val="both"/>
        <w:rPr>
          <w:rFonts w:eastAsia="仿宋_GB2312"/>
          <w:sz w:val="32"/>
          <w:szCs w:val="32"/>
        </w:rPr>
      </w:pPr>
      <w:r>
        <w:rPr>
          <w:rFonts w:eastAsia="仿宋_GB2312"/>
          <w:sz w:val="32"/>
          <w:szCs w:val="32"/>
        </w:rPr>
        <w:t>（图6：一般公共预算财政拨款支出决算结构）</w:t>
      </w:r>
      <w:bookmarkStart w:id="43" w:name="_Toc15377212"/>
    </w:p>
    <w:p>
      <w:pPr>
        <w:pStyle w:val="2"/>
      </w:pPr>
    </w:p>
    <w:p>
      <w:pPr>
        <w:spacing w:line="600" w:lineRule="exact"/>
        <w:ind w:firstLine="643" w:firstLineChars="200"/>
        <w:outlineLvl w:val="2"/>
        <w:rPr>
          <w:rFonts w:hint="eastAsia" w:ascii="仿宋" w:hAnsi="仿宋" w:eastAsia="仿宋" w:cs="仿宋"/>
          <w:b/>
          <w:bCs/>
          <w:sz w:val="32"/>
          <w:szCs w:val="32"/>
        </w:rPr>
      </w:pPr>
      <w:bookmarkStart w:id="44" w:name="_Toc2162"/>
      <w:r>
        <w:rPr>
          <w:rFonts w:hint="eastAsia" w:ascii="仿宋" w:hAnsi="仿宋" w:eastAsia="仿宋" w:cs="仿宋"/>
          <w:b/>
          <w:bCs/>
          <w:sz w:val="32"/>
          <w:szCs w:val="32"/>
        </w:rPr>
        <w:t>（三）一般公共预算财政拨款支出决算具体情况</w:t>
      </w:r>
      <w:bookmarkEnd w:id="43"/>
      <w:bookmarkEnd w:id="44"/>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eastAsia="仿宋_GB2312"/>
          <w:sz w:val="32"/>
          <w:szCs w:val="32"/>
        </w:rPr>
      </w:pPr>
      <w:bookmarkStart w:id="45" w:name="_Toc15378460"/>
      <w:bookmarkStart w:id="46" w:name="_Toc15377213"/>
      <w:bookmarkStart w:id="47" w:name="_Toc15377444"/>
      <w:r>
        <w:rPr>
          <w:rFonts w:eastAsia="仿宋_GB2312"/>
          <w:sz w:val="32"/>
          <w:szCs w:val="32"/>
        </w:rPr>
        <w:t>202</w:t>
      </w:r>
      <w:r>
        <w:rPr>
          <w:rFonts w:hint="eastAsia" w:eastAsia="仿宋_GB2312"/>
          <w:sz w:val="32"/>
          <w:szCs w:val="32"/>
          <w:lang w:val="en-US" w:eastAsia="zh-CN"/>
        </w:rPr>
        <w:t>3</w:t>
      </w:r>
      <w:r>
        <w:rPr>
          <w:rFonts w:eastAsia="仿宋_GB2312"/>
          <w:sz w:val="32"/>
          <w:szCs w:val="32"/>
        </w:rPr>
        <w:t>年</w:t>
      </w:r>
      <w:r>
        <w:rPr>
          <w:rFonts w:hint="eastAsia" w:eastAsia="仿宋_GB2312"/>
          <w:sz w:val="32"/>
          <w:szCs w:val="32"/>
          <w:lang w:eastAsia="zh-CN"/>
        </w:rPr>
        <w:t>度</w:t>
      </w:r>
      <w:r>
        <w:rPr>
          <w:rFonts w:eastAsia="仿宋_GB2312"/>
          <w:sz w:val="32"/>
          <w:szCs w:val="32"/>
        </w:rPr>
        <w:t>一般公共预算支出决算数为</w:t>
      </w:r>
      <w:r>
        <w:rPr>
          <w:rFonts w:hint="eastAsia" w:eastAsia="仿宋_GB2312"/>
          <w:sz w:val="32"/>
          <w:szCs w:val="32"/>
          <w:lang w:val="en-US" w:eastAsia="zh-CN"/>
        </w:rPr>
        <w:t>1714</w:t>
      </w:r>
      <w:r>
        <w:rPr>
          <w:rFonts w:eastAsia="仿宋_GB2312"/>
          <w:sz w:val="32"/>
          <w:szCs w:val="32"/>
        </w:rPr>
        <w:t>.</w:t>
      </w:r>
      <w:r>
        <w:rPr>
          <w:rFonts w:hint="eastAsia" w:eastAsia="仿宋_GB2312"/>
          <w:sz w:val="32"/>
          <w:szCs w:val="32"/>
          <w:lang w:val="en-US" w:eastAsia="zh-CN"/>
        </w:rPr>
        <w:t>7</w:t>
      </w:r>
      <w:r>
        <w:rPr>
          <w:rFonts w:eastAsia="仿宋_GB2312"/>
          <w:sz w:val="32"/>
          <w:szCs w:val="32"/>
        </w:rPr>
        <w:t>5万元，</w:t>
      </w:r>
      <w:r>
        <w:rPr>
          <w:rStyle w:val="19"/>
          <w:rFonts w:eastAsia="仿宋_GB2312"/>
          <w:b w:val="0"/>
          <w:bCs/>
          <w:sz w:val="32"/>
          <w:szCs w:val="32"/>
        </w:rPr>
        <w:t>完成预算100%。其中：</w:t>
      </w:r>
      <w:bookmarkEnd w:id="45"/>
      <w:bookmarkEnd w:id="46"/>
      <w:bookmarkEnd w:id="47"/>
    </w:p>
    <w:p>
      <w:pPr>
        <w:spacing w:line="600" w:lineRule="exact"/>
        <w:ind w:firstLine="643" w:firstLineChars="200"/>
        <w:rPr>
          <w:rStyle w:val="19"/>
          <w:rFonts w:eastAsia="仿宋_GB2312"/>
          <w:b w:val="0"/>
          <w:bCs/>
          <w:sz w:val="32"/>
          <w:szCs w:val="32"/>
        </w:rPr>
      </w:pPr>
      <w:r>
        <w:rPr>
          <w:rStyle w:val="19"/>
          <w:rFonts w:eastAsia="仿宋_GB2312"/>
          <w:bCs/>
          <w:sz w:val="32"/>
          <w:szCs w:val="32"/>
        </w:rPr>
        <w:t>1.一般公共服务（类）</w:t>
      </w:r>
      <w:r>
        <w:rPr>
          <w:rFonts w:eastAsia="仿宋_GB2312"/>
          <w:b/>
          <w:sz w:val="32"/>
          <w:szCs w:val="32"/>
        </w:rPr>
        <w:t>政府办公厅（室）及相关机构事务</w:t>
      </w:r>
      <w:r>
        <w:rPr>
          <w:rFonts w:eastAsia="仿宋_GB2312"/>
          <w:sz w:val="32"/>
          <w:szCs w:val="32"/>
        </w:rPr>
        <w:t>（</w:t>
      </w:r>
      <w:r>
        <w:rPr>
          <w:rStyle w:val="19"/>
          <w:rFonts w:eastAsia="仿宋_GB2312"/>
          <w:bCs/>
          <w:sz w:val="32"/>
          <w:szCs w:val="32"/>
        </w:rPr>
        <w:t>款）</w:t>
      </w:r>
      <w:r>
        <w:rPr>
          <w:rFonts w:eastAsia="仿宋_GB2312"/>
          <w:b/>
          <w:sz w:val="32"/>
          <w:szCs w:val="32"/>
        </w:rPr>
        <w:t>行政运行</w:t>
      </w:r>
      <w:r>
        <w:rPr>
          <w:rStyle w:val="19"/>
          <w:rFonts w:eastAsia="仿宋_GB2312"/>
          <w:bCs/>
          <w:sz w:val="32"/>
          <w:szCs w:val="32"/>
        </w:rPr>
        <w:t>（项）：</w:t>
      </w:r>
      <w:r>
        <w:rPr>
          <w:rStyle w:val="19"/>
          <w:rFonts w:eastAsia="仿宋_GB2312"/>
          <w:b w:val="0"/>
          <w:bCs/>
          <w:sz w:val="32"/>
          <w:szCs w:val="32"/>
        </w:rPr>
        <w:t>支出决算为</w:t>
      </w:r>
      <w:r>
        <w:rPr>
          <w:rStyle w:val="19"/>
          <w:rFonts w:hint="eastAsia" w:eastAsia="仿宋_GB2312"/>
          <w:b w:val="0"/>
          <w:bCs/>
          <w:sz w:val="32"/>
          <w:szCs w:val="32"/>
          <w:lang w:val="en-US" w:eastAsia="zh-CN"/>
        </w:rPr>
        <w:t>65</w:t>
      </w:r>
      <w:r>
        <w:rPr>
          <w:rStyle w:val="19"/>
          <w:rFonts w:eastAsia="仿宋_GB2312"/>
          <w:b w:val="0"/>
          <w:bCs/>
          <w:sz w:val="32"/>
          <w:szCs w:val="32"/>
        </w:rPr>
        <w:t>.</w:t>
      </w:r>
      <w:r>
        <w:rPr>
          <w:rStyle w:val="19"/>
          <w:rFonts w:hint="eastAsia" w:eastAsia="仿宋_GB2312"/>
          <w:b w:val="0"/>
          <w:bCs/>
          <w:sz w:val="32"/>
          <w:szCs w:val="32"/>
          <w:lang w:val="en-US" w:eastAsia="zh-CN"/>
        </w:rPr>
        <w:t>49</w:t>
      </w:r>
      <w:r>
        <w:rPr>
          <w:rStyle w:val="19"/>
          <w:rFonts w:eastAsia="仿宋_GB2312"/>
          <w:b w:val="0"/>
          <w:bCs/>
          <w:sz w:val="32"/>
          <w:szCs w:val="32"/>
        </w:rPr>
        <w:t>万元，完成预算100%。</w:t>
      </w:r>
    </w:p>
    <w:p>
      <w:pPr>
        <w:spacing w:line="600" w:lineRule="exact"/>
        <w:ind w:firstLine="643" w:firstLineChars="200"/>
      </w:pPr>
      <w:r>
        <w:rPr>
          <w:rStyle w:val="19"/>
          <w:rFonts w:hint="eastAsia" w:eastAsia="仿宋_GB2312"/>
          <w:bCs/>
          <w:sz w:val="32"/>
          <w:szCs w:val="32"/>
          <w:lang w:val="en-US" w:eastAsia="zh-CN"/>
        </w:rPr>
        <w:t>2</w:t>
      </w:r>
      <w:r>
        <w:rPr>
          <w:rStyle w:val="19"/>
          <w:rFonts w:eastAsia="仿宋_GB2312"/>
          <w:bCs/>
          <w:sz w:val="32"/>
          <w:szCs w:val="32"/>
        </w:rPr>
        <w:t>. 一般公共服务（类）</w:t>
      </w:r>
      <w:r>
        <w:rPr>
          <w:rFonts w:eastAsia="仿宋_GB2312"/>
          <w:b/>
          <w:sz w:val="32"/>
          <w:szCs w:val="32"/>
        </w:rPr>
        <w:t>政府办公厅（室）及相关机构事务</w:t>
      </w:r>
      <w:r>
        <w:rPr>
          <w:rFonts w:eastAsia="仿宋_GB2312"/>
          <w:sz w:val="32"/>
          <w:szCs w:val="32"/>
        </w:rPr>
        <w:t>（</w:t>
      </w:r>
      <w:r>
        <w:rPr>
          <w:rStyle w:val="19"/>
          <w:rFonts w:eastAsia="仿宋_GB2312"/>
          <w:bCs/>
          <w:sz w:val="32"/>
          <w:szCs w:val="32"/>
        </w:rPr>
        <w:t>款）</w:t>
      </w:r>
      <w:r>
        <w:rPr>
          <w:rStyle w:val="19"/>
          <w:rFonts w:hint="eastAsia" w:eastAsia="仿宋_GB2312"/>
          <w:bCs/>
          <w:sz w:val="32"/>
          <w:szCs w:val="32"/>
          <w:lang w:eastAsia="zh-CN"/>
        </w:rPr>
        <w:t>一般行政管理事务</w:t>
      </w:r>
      <w:r>
        <w:rPr>
          <w:rStyle w:val="19"/>
          <w:rFonts w:eastAsia="仿宋_GB2312"/>
          <w:bCs/>
          <w:sz w:val="32"/>
          <w:szCs w:val="32"/>
        </w:rPr>
        <w:t>（项）:</w:t>
      </w:r>
      <w:r>
        <w:rPr>
          <w:rStyle w:val="19"/>
          <w:rFonts w:eastAsia="仿宋_GB2312"/>
          <w:b w:val="0"/>
          <w:bCs/>
          <w:sz w:val="32"/>
          <w:szCs w:val="32"/>
        </w:rPr>
        <w:t>支出决算为</w:t>
      </w:r>
      <w:r>
        <w:rPr>
          <w:rStyle w:val="19"/>
          <w:rFonts w:hint="eastAsia" w:eastAsia="仿宋_GB2312"/>
          <w:b w:val="0"/>
          <w:bCs/>
          <w:sz w:val="32"/>
          <w:szCs w:val="32"/>
          <w:lang w:val="en-US" w:eastAsia="zh-CN"/>
        </w:rPr>
        <w:t>32</w:t>
      </w:r>
      <w:r>
        <w:rPr>
          <w:rStyle w:val="19"/>
          <w:rFonts w:eastAsia="仿宋_GB2312"/>
          <w:b w:val="0"/>
          <w:bCs/>
          <w:sz w:val="32"/>
          <w:szCs w:val="32"/>
        </w:rPr>
        <w:t>.</w:t>
      </w:r>
      <w:r>
        <w:rPr>
          <w:rStyle w:val="19"/>
          <w:rFonts w:hint="eastAsia" w:eastAsia="仿宋_GB2312"/>
          <w:b w:val="0"/>
          <w:bCs/>
          <w:sz w:val="32"/>
          <w:szCs w:val="32"/>
          <w:lang w:val="en-US" w:eastAsia="zh-CN"/>
        </w:rPr>
        <w:t>8</w:t>
      </w:r>
      <w:r>
        <w:rPr>
          <w:rStyle w:val="19"/>
          <w:rFonts w:eastAsia="仿宋_GB2312"/>
          <w:b w:val="0"/>
          <w:bCs/>
          <w:sz w:val="32"/>
          <w:szCs w:val="32"/>
        </w:rPr>
        <w:t>3万元，完成预算100%。</w:t>
      </w:r>
    </w:p>
    <w:p>
      <w:pPr>
        <w:spacing w:line="600" w:lineRule="exact"/>
        <w:ind w:firstLine="643" w:firstLineChars="200"/>
        <w:rPr>
          <w:rFonts w:eastAsia="仿宋_GB2312"/>
          <w:sz w:val="32"/>
          <w:szCs w:val="32"/>
        </w:rPr>
      </w:pPr>
      <w:r>
        <w:rPr>
          <w:rStyle w:val="19"/>
          <w:rFonts w:hint="eastAsia" w:eastAsia="仿宋_GB2312"/>
          <w:bCs/>
          <w:sz w:val="32"/>
          <w:szCs w:val="32"/>
          <w:lang w:val="en-US" w:eastAsia="zh-CN"/>
        </w:rPr>
        <w:t>3</w:t>
      </w:r>
      <w:r>
        <w:rPr>
          <w:rStyle w:val="19"/>
          <w:rFonts w:eastAsia="仿宋_GB2312"/>
          <w:bCs/>
          <w:sz w:val="32"/>
          <w:szCs w:val="32"/>
        </w:rPr>
        <w:t>. 一般公共服务（类）</w:t>
      </w:r>
      <w:r>
        <w:rPr>
          <w:rFonts w:eastAsia="仿宋_GB2312"/>
          <w:b/>
          <w:sz w:val="32"/>
          <w:szCs w:val="32"/>
        </w:rPr>
        <w:t>政府办公厅（室）及相关机构事务</w:t>
      </w:r>
      <w:r>
        <w:rPr>
          <w:rFonts w:eastAsia="仿宋_GB2312"/>
          <w:sz w:val="32"/>
          <w:szCs w:val="32"/>
        </w:rPr>
        <w:t>（</w:t>
      </w:r>
      <w:r>
        <w:rPr>
          <w:rStyle w:val="19"/>
          <w:rFonts w:eastAsia="仿宋_GB2312"/>
          <w:bCs/>
          <w:sz w:val="32"/>
          <w:szCs w:val="32"/>
        </w:rPr>
        <w:t>款）</w:t>
      </w:r>
      <w:r>
        <w:rPr>
          <w:rFonts w:eastAsia="仿宋_GB2312"/>
          <w:b/>
          <w:sz w:val="32"/>
          <w:szCs w:val="32"/>
        </w:rPr>
        <w:t>事业运行</w:t>
      </w:r>
      <w:r>
        <w:rPr>
          <w:rStyle w:val="19"/>
          <w:rFonts w:eastAsia="仿宋_GB2312"/>
          <w:bCs/>
          <w:sz w:val="32"/>
          <w:szCs w:val="32"/>
        </w:rPr>
        <w:t>（项）:</w:t>
      </w:r>
      <w:r>
        <w:rPr>
          <w:rStyle w:val="19"/>
          <w:rFonts w:eastAsia="仿宋_GB2312"/>
          <w:b w:val="0"/>
          <w:bCs/>
          <w:sz w:val="32"/>
          <w:szCs w:val="32"/>
        </w:rPr>
        <w:t>支出决算为</w:t>
      </w:r>
      <w:r>
        <w:rPr>
          <w:rStyle w:val="19"/>
          <w:rFonts w:hint="eastAsia" w:eastAsia="仿宋_GB2312"/>
          <w:b w:val="0"/>
          <w:bCs/>
          <w:sz w:val="32"/>
          <w:szCs w:val="32"/>
          <w:lang w:val="en-US" w:eastAsia="zh-CN"/>
        </w:rPr>
        <w:t>46</w:t>
      </w:r>
      <w:r>
        <w:rPr>
          <w:rStyle w:val="19"/>
          <w:rFonts w:eastAsia="仿宋_GB2312"/>
          <w:b w:val="0"/>
          <w:bCs/>
          <w:sz w:val="32"/>
          <w:szCs w:val="32"/>
        </w:rPr>
        <w:t>.3</w:t>
      </w:r>
      <w:r>
        <w:rPr>
          <w:rStyle w:val="19"/>
          <w:rFonts w:hint="eastAsia" w:eastAsia="仿宋_GB2312"/>
          <w:b w:val="0"/>
          <w:bCs/>
          <w:sz w:val="32"/>
          <w:szCs w:val="32"/>
          <w:lang w:val="en-US" w:eastAsia="zh-CN"/>
        </w:rPr>
        <w:t>5</w:t>
      </w:r>
      <w:r>
        <w:rPr>
          <w:rStyle w:val="19"/>
          <w:rFonts w:eastAsia="仿宋_GB2312"/>
          <w:b w:val="0"/>
          <w:bCs/>
          <w:sz w:val="32"/>
          <w:szCs w:val="32"/>
        </w:rPr>
        <w:t>万元，完成预算100%。</w:t>
      </w:r>
    </w:p>
    <w:p>
      <w:pPr>
        <w:spacing w:line="600" w:lineRule="exact"/>
        <w:ind w:firstLine="643" w:firstLineChars="200"/>
        <w:rPr>
          <w:rFonts w:eastAsia="仿宋_GB2312"/>
          <w:sz w:val="32"/>
          <w:szCs w:val="32"/>
        </w:rPr>
      </w:pPr>
      <w:r>
        <w:rPr>
          <w:rStyle w:val="19"/>
          <w:rFonts w:hint="eastAsia" w:eastAsia="仿宋_GB2312"/>
          <w:bCs/>
          <w:sz w:val="32"/>
          <w:szCs w:val="32"/>
          <w:lang w:val="en-US" w:eastAsia="zh-CN"/>
        </w:rPr>
        <w:t>4</w:t>
      </w:r>
      <w:r>
        <w:rPr>
          <w:rStyle w:val="19"/>
          <w:rFonts w:eastAsia="仿宋_GB2312"/>
          <w:bCs/>
          <w:sz w:val="32"/>
          <w:szCs w:val="32"/>
        </w:rPr>
        <w:t>.文化旅游体育与传媒（类）文化和旅游（款）</w:t>
      </w:r>
      <w:r>
        <w:rPr>
          <w:rStyle w:val="19"/>
          <w:rFonts w:hint="eastAsia" w:eastAsia="仿宋_GB2312"/>
          <w:bCs/>
          <w:sz w:val="32"/>
          <w:szCs w:val="32"/>
          <w:lang w:eastAsia="zh-CN"/>
        </w:rPr>
        <w:t>其他文化和旅游支出</w:t>
      </w:r>
      <w:r>
        <w:rPr>
          <w:rStyle w:val="19"/>
          <w:rFonts w:eastAsia="仿宋_GB2312"/>
          <w:bCs/>
          <w:sz w:val="32"/>
          <w:szCs w:val="32"/>
        </w:rPr>
        <w:t>（项）:</w:t>
      </w:r>
      <w:r>
        <w:rPr>
          <w:rStyle w:val="19"/>
          <w:rFonts w:eastAsia="仿宋_GB2312"/>
          <w:b w:val="0"/>
          <w:bCs/>
          <w:sz w:val="32"/>
          <w:szCs w:val="32"/>
        </w:rPr>
        <w:t>支出决算为1</w:t>
      </w:r>
      <w:r>
        <w:rPr>
          <w:rStyle w:val="19"/>
          <w:rFonts w:hint="eastAsia" w:eastAsia="仿宋_GB2312"/>
          <w:b w:val="0"/>
          <w:bCs/>
          <w:sz w:val="32"/>
          <w:szCs w:val="32"/>
          <w:lang w:val="en-US" w:eastAsia="zh-CN"/>
        </w:rPr>
        <w:t>6</w:t>
      </w:r>
      <w:r>
        <w:rPr>
          <w:rStyle w:val="19"/>
          <w:rFonts w:eastAsia="仿宋_GB2312"/>
          <w:b w:val="0"/>
          <w:bCs/>
          <w:sz w:val="32"/>
          <w:szCs w:val="32"/>
        </w:rPr>
        <w:t>.</w:t>
      </w:r>
      <w:r>
        <w:rPr>
          <w:rStyle w:val="19"/>
          <w:rFonts w:hint="eastAsia" w:eastAsia="仿宋_GB2312"/>
          <w:b w:val="0"/>
          <w:bCs/>
          <w:sz w:val="32"/>
          <w:szCs w:val="32"/>
          <w:lang w:val="en-US" w:eastAsia="zh-CN"/>
        </w:rPr>
        <w:t>96</w:t>
      </w:r>
      <w:r>
        <w:rPr>
          <w:rStyle w:val="19"/>
          <w:rFonts w:eastAsia="仿宋_GB2312"/>
          <w:b w:val="0"/>
          <w:bCs/>
          <w:sz w:val="32"/>
          <w:szCs w:val="32"/>
        </w:rPr>
        <w:t>万元，完成预算</w:t>
      </w:r>
      <w:r>
        <w:rPr>
          <w:rStyle w:val="19"/>
          <w:rFonts w:hint="eastAsia" w:eastAsia="仿宋_GB2312"/>
          <w:b w:val="0"/>
          <w:bCs/>
          <w:sz w:val="32"/>
          <w:szCs w:val="32"/>
          <w:lang w:val="en-US" w:eastAsia="zh-CN"/>
        </w:rPr>
        <w:t>100</w:t>
      </w:r>
      <w:r>
        <w:rPr>
          <w:rStyle w:val="19"/>
          <w:rFonts w:eastAsia="仿宋_GB2312"/>
          <w:b w:val="0"/>
          <w:bCs/>
          <w:sz w:val="32"/>
          <w:szCs w:val="32"/>
        </w:rPr>
        <w:t>%</w:t>
      </w:r>
      <w:r>
        <w:rPr>
          <w:rStyle w:val="19"/>
          <w:rFonts w:hint="eastAsia" w:eastAsia="仿宋_GB2312"/>
          <w:b w:val="0"/>
          <w:bCs/>
          <w:sz w:val="32"/>
          <w:szCs w:val="32"/>
          <w:lang w:eastAsia="zh-CN"/>
        </w:rPr>
        <w:t>。</w:t>
      </w:r>
    </w:p>
    <w:p>
      <w:pPr>
        <w:spacing w:line="600" w:lineRule="exact"/>
        <w:ind w:firstLine="643" w:firstLineChars="200"/>
        <w:rPr>
          <w:rFonts w:eastAsia="仿宋_GB2312"/>
          <w:sz w:val="32"/>
          <w:szCs w:val="32"/>
        </w:rPr>
      </w:pPr>
      <w:r>
        <w:rPr>
          <w:rStyle w:val="19"/>
          <w:rFonts w:hint="eastAsia" w:eastAsia="仿宋_GB2312"/>
          <w:bCs/>
          <w:sz w:val="32"/>
          <w:szCs w:val="32"/>
          <w:lang w:val="en-US" w:eastAsia="zh-CN"/>
        </w:rPr>
        <w:t>5</w:t>
      </w:r>
      <w:r>
        <w:rPr>
          <w:rStyle w:val="19"/>
          <w:rFonts w:eastAsia="仿宋_GB2312"/>
          <w:bCs/>
          <w:sz w:val="32"/>
          <w:szCs w:val="32"/>
        </w:rPr>
        <w:t>.社会保障和就业（类）行政事业单位养老支出（款）机关事业单位基本养老保险缴费支出（项）:</w:t>
      </w:r>
      <w:r>
        <w:rPr>
          <w:rStyle w:val="19"/>
          <w:rFonts w:eastAsia="仿宋_GB2312"/>
          <w:b w:val="0"/>
          <w:bCs/>
          <w:sz w:val="32"/>
          <w:szCs w:val="32"/>
        </w:rPr>
        <w:t>支出决算为</w:t>
      </w:r>
      <w:r>
        <w:rPr>
          <w:rStyle w:val="19"/>
          <w:rFonts w:hint="eastAsia" w:eastAsia="仿宋_GB2312"/>
          <w:b w:val="0"/>
          <w:bCs/>
          <w:sz w:val="32"/>
          <w:szCs w:val="32"/>
          <w:lang w:val="en-US" w:eastAsia="zh-CN"/>
        </w:rPr>
        <w:t>13</w:t>
      </w:r>
      <w:r>
        <w:rPr>
          <w:rStyle w:val="19"/>
          <w:rFonts w:eastAsia="仿宋_GB2312"/>
          <w:b w:val="0"/>
          <w:bCs/>
          <w:sz w:val="32"/>
          <w:szCs w:val="32"/>
        </w:rPr>
        <w:t>.</w:t>
      </w:r>
      <w:r>
        <w:rPr>
          <w:rStyle w:val="19"/>
          <w:rFonts w:hint="eastAsia" w:eastAsia="仿宋_GB2312"/>
          <w:b w:val="0"/>
          <w:bCs/>
          <w:sz w:val="32"/>
          <w:szCs w:val="32"/>
          <w:lang w:val="en-US" w:eastAsia="zh-CN"/>
        </w:rPr>
        <w:t>4</w:t>
      </w:r>
      <w:r>
        <w:rPr>
          <w:rStyle w:val="19"/>
          <w:rFonts w:eastAsia="仿宋_GB2312"/>
          <w:b w:val="0"/>
          <w:bCs/>
          <w:sz w:val="32"/>
          <w:szCs w:val="32"/>
        </w:rPr>
        <w:t>万元，完成预算100%。</w:t>
      </w:r>
    </w:p>
    <w:p>
      <w:pPr>
        <w:spacing w:line="600" w:lineRule="exact"/>
        <w:ind w:firstLine="643" w:firstLineChars="200"/>
        <w:rPr>
          <w:rStyle w:val="19"/>
          <w:rFonts w:eastAsia="仿宋_GB2312"/>
          <w:b w:val="0"/>
          <w:bCs/>
          <w:sz w:val="32"/>
          <w:szCs w:val="32"/>
        </w:rPr>
      </w:pPr>
      <w:r>
        <w:rPr>
          <w:rStyle w:val="19"/>
          <w:rFonts w:hint="eastAsia" w:eastAsia="仿宋_GB2312"/>
          <w:bCs/>
          <w:sz w:val="32"/>
          <w:szCs w:val="32"/>
          <w:lang w:val="en-US" w:eastAsia="zh-CN"/>
        </w:rPr>
        <w:t>6</w:t>
      </w:r>
      <w:r>
        <w:rPr>
          <w:rStyle w:val="19"/>
          <w:rFonts w:eastAsia="仿宋_GB2312"/>
          <w:bCs/>
          <w:sz w:val="32"/>
          <w:szCs w:val="32"/>
        </w:rPr>
        <w:t>.</w:t>
      </w:r>
      <w:r>
        <w:rPr>
          <w:rFonts w:eastAsia="仿宋_GB2312"/>
          <w:b/>
          <w:bCs/>
          <w:sz w:val="32"/>
          <w:szCs w:val="32"/>
        </w:rPr>
        <w:t>卫生健康</w:t>
      </w:r>
      <w:r>
        <w:rPr>
          <w:rStyle w:val="19"/>
          <w:rFonts w:eastAsia="仿宋_GB2312"/>
          <w:bCs/>
          <w:sz w:val="32"/>
          <w:szCs w:val="32"/>
        </w:rPr>
        <w:t>（类）行政事业单位医疗（款）行政单位医疗（项）:</w:t>
      </w:r>
      <w:r>
        <w:rPr>
          <w:rStyle w:val="19"/>
          <w:rFonts w:eastAsia="仿宋_GB2312"/>
          <w:b w:val="0"/>
          <w:bCs/>
          <w:sz w:val="32"/>
          <w:szCs w:val="32"/>
        </w:rPr>
        <w:t>支出决算为</w:t>
      </w:r>
      <w:r>
        <w:rPr>
          <w:rStyle w:val="19"/>
          <w:rFonts w:hint="eastAsia" w:eastAsia="仿宋_GB2312"/>
          <w:b w:val="0"/>
          <w:bCs/>
          <w:sz w:val="32"/>
          <w:szCs w:val="32"/>
          <w:lang w:val="en-US" w:eastAsia="zh-CN"/>
        </w:rPr>
        <w:t>3</w:t>
      </w:r>
      <w:r>
        <w:rPr>
          <w:rStyle w:val="19"/>
          <w:rFonts w:eastAsia="仿宋_GB2312"/>
          <w:b w:val="0"/>
          <w:bCs/>
          <w:sz w:val="32"/>
          <w:szCs w:val="32"/>
        </w:rPr>
        <w:t>.</w:t>
      </w:r>
      <w:r>
        <w:rPr>
          <w:rStyle w:val="19"/>
          <w:rFonts w:hint="eastAsia" w:eastAsia="仿宋_GB2312"/>
          <w:b w:val="0"/>
          <w:bCs/>
          <w:sz w:val="32"/>
          <w:szCs w:val="32"/>
          <w:lang w:val="en-US" w:eastAsia="zh-CN"/>
        </w:rPr>
        <w:t>94</w:t>
      </w:r>
      <w:r>
        <w:rPr>
          <w:rStyle w:val="19"/>
          <w:rFonts w:eastAsia="仿宋_GB2312"/>
          <w:b w:val="0"/>
          <w:bCs/>
          <w:sz w:val="32"/>
          <w:szCs w:val="32"/>
        </w:rPr>
        <w:t>万元，完成预算100%。</w:t>
      </w:r>
    </w:p>
    <w:p>
      <w:pPr>
        <w:pStyle w:val="2"/>
        <w:spacing w:before="93"/>
        <w:ind w:firstLine="643" w:firstLineChars="200"/>
        <w:rPr>
          <w:rStyle w:val="19"/>
          <w:rFonts w:ascii="Times New Roman"/>
          <w:b w:val="0"/>
          <w:bCs/>
          <w:sz w:val="32"/>
          <w:szCs w:val="32"/>
        </w:rPr>
      </w:pPr>
      <w:r>
        <w:rPr>
          <w:rStyle w:val="19"/>
          <w:rFonts w:hint="eastAsia" w:ascii="Times New Roman"/>
          <w:bCs/>
          <w:sz w:val="32"/>
          <w:szCs w:val="32"/>
          <w:lang w:val="en-US" w:eastAsia="zh-CN"/>
        </w:rPr>
        <w:t>7</w:t>
      </w:r>
      <w:r>
        <w:rPr>
          <w:rStyle w:val="19"/>
          <w:rFonts w:ascii="Times New Roman"/>
          <w:bCs/>
          <w:sz w:val="32"/>
          <w:szCs w:val="32"/>
        </w:rPr>
        <w:t>.</w:t>
      </w:r>
      <w:r>
        <w:rPr>
          <w:rFonts w:ascii="Times New Roman"/>
          <w:b/>
          <w:bCs/>
          <w:sz w:val="32"/>
          <w:szCs w:val="32"/>
        </w:rPr>
        <w:t>卫生健康</w:t>
      </w:r>
      <w:r>
        <w:rPr>
          <w:rStyle w:val="19"/>
          <w:rFonts w:ascii="Times New Roman"/>
          <w:bCs/>
          <w:sz w:val="32"/>
          <w:szCs w:val="32"/>
        </w:rPr>
        <w:t>（类）行政事业单位医疗（款）</w:t>
      </w:r>
      <w:r>
        <w:rPr>
          <w:rStyle w:val="19"/>
          <w:rFonts w:hint="eastAsia" w:ascii="Times New Roman"/>
          <w:bCs/>
          <w:sz w:val="32"/>
          <w:szCs w:val="32"/>
          <w:lang w:eastAsia="zh-CN"/>
        </w:rPr>
        <w:t>事业单位医疗</w:t>
      </w:r>
      <w:r>
        <w:rPr>
          <w:rStyle w:val="19"/>
          <w:rFonts w:ascii="Times New Roman"/>
          <w:bCs/>
          <w:sz w:val="32"/>
          <w:szCs w:val="32"/>
        </w:rPr>
        <w:t>（项）:</w:t>
      </w:r>
      <w:r>
        <w:rPr>
          <w:rStyle w:val="19"/>
          <w:rFonts w:ascii="Times New Roman"/>
          <w:b w:val="0"/>
          <w:bCs/>
          <w:sz w:val="32"/>
          <w:szCs w:val="32"/>
        </w:rPr>
        <w:t>支出决算为</w:t>
      </w:r>
      <w:r>
        <w:rPr>
          <w:rStyle w:val="19"/>
          <w:rFonts w:hint="eastAsia" w:ascii="Times New Roman"/>
          <w:b w:val="0"/>
          <w:bCs/>
          <w:sz w:val="32"/>
          <w:szCs w:val="32"/>
          <w:lang w:val="en-US" w:eastAsia="zh-CN"/>
        </w:rPr>
        <w:t>2</w:t>
      </w:r>
      <w:r>
        <w:rPr>
          <w:rStyle w:val="19"/>
          <w:rFonts w:ascii="Times New Roman"/>
          <w:b w:val="0"/>
          <w:bCs/>
          <w:sz w:val="32"/>
          <w:szCs w:val="32"/>
        </w:rPr>
        <w:t>.</w:t>
      </w:r>
      <w:r>
        <w:rPr>
          <w:rStyle w:val="19"/>
          <w:rFonts w:hint="eastAsia" w:ascii="Times New Roman"/>
          <w:b w:val="0"/>
          <w:bCs/>
          <w:sz w:val="32"/>
          <w:szCs w:val="32"/>
          <w:lang w:val="en-US" w:eastAsia="zh-CN"/>
        </w:rPr>
        <w:t>94</w:t>
      </w:r>
      <w:r>
        <w:rPr>
          <w:rStyle w:val="19"/>
          <w:rFonts w:ascii="Times New Roman"/>
          <w:b w:val="0"/>
          <w:bCs/>
          <w:sz w:val="32"/>
          <w:szCs w:val="32"/>
        </w:rPr>
        <w:t>万元，完成预算100%。</w:t>
      </w:r>
    </w:p>
    <w:p>
      <w:pPr>
        <w:pStyle w:val="2"/>
        <w:spacing w:before="93"/>
        <w:ind w:firstLine="643" w:firstLineChars="200"/>
      </w:pPr>
      <w:r>
        <w:rPr>
          <w:rStyle w:val="19"/>
          <w:rFonts w:hint="eastAsia" w:ascii="Times New Roman"/>
          <w:bCs/>
          <w:sz w:val="32"/>
          <w:szCs w:val="32"/>
          <w:lang w:val="en-US" w:eastAsia="zh-CN"/>
        </w:rPr>
        <w:t>8</w:t>
      </w:r>
      <w:r>
        <w:rPr>
          <w:rStyle w:val="19"/>
          <w:rFonts w:ascii="Times New Roman"/>
          <w:bCs/>
          <w:sz w:val="32"/>
          <w:szCs w:val="32"/>
        </w:rPr>
        <w:t>.</w:t>
      </w:r>
      <w:r>
        <w:rPr>
          <w:rFonts w:ascii="Times New Roman"/>
          <w:b/>
          <w:bCs/>
          <w:sz w:val="32"/>
          <w:szCs w:val="32"/>
        </w:rPr>
        <w:t>卫生健康</w:t>
      </w:r>
      <w:r>
        <w:rPr>
          <w:rStyle w:val="19"/>
          <w:rFonts w:ascii="Times New Roman"/>
          <w:bCs/>
          <w:sz w:val="32"/>
          <w:szCs w:val="32"/>
        </w:rPr>
        <w:t>（类）行政事业单位医疗（款）</w:t>
      </w:r>
      <w:r>
        <w:rPr>
          <w:rStyle w:val="19"/>
          <w:rFonts w:hint="eastAsia" w:ascii="Times New Roman"/>
          <w:bCs/>
          <w:sz w:val="32"/>
          <w:szCs w:val="32"/>
          <w:lang w:eastAsia="zh-CN"/>
        </w:rPr>
        <w:t>公务员医疗补助</w:t>
      </w:r>
      <w:r>
        <w:rPr>
          <w:rStyle w:val="19"/>
          <w:rFonts w:ascii="Times New Roman"/>
          <w:bCs/>
          <w:sz w:val="32"/>
          <w:szCs w:val="32"/>
        </w:rPr>
        <w:t>（项）:</w:t>
      </w:r>
      <w:r>
        <w:rPr>
          <w:rStyle w:val="19"/>
          <w:rFonts w:ascii="Times New Roman"/>
          <w:b w:val="0"/>
          <w:bCs/>
          <w:sz w:val="32"/>
          <w:szCs w:val="32"/>
        </w:rPr>
        <w:t>支出决算为</w:t>
      </w:r>
      <w:r>
        <w:rPr>
          <w:rStyle w:val="19"/>
          <w:rFonts w:hint="eastAsia" w:ascii="Times New Roman"/>
          <w:b w:val="0"/>
          <w:bCs/>
          <w:sz w:val="32"/>
          <w:szCs w:val="32"/>
          <w:lang w:val="en-US" w:eastAsia="zh-CN"/>
        </w:rPr>
        <w:t>0</w:t>
      </w:r>
      <w:r>
        <w:rPr>
          <w:rStyle w:val="19"/>
          <w:rFonts w:ascii="Times New Roman"/>
          <w:b w:val="0"/>
          <w:bCs/>
          <w:sz w:val="32"/>
          <w:szCs w:val="32"/>
        </w:rPr>
        <w:t>.</w:t>
      </w:r>
      <w:r>
        <w:rPr>
          <w:rStyle w:val="19"/>
          <w:rFonts w:hint="eastAsia" w:ascii="Times New Roman"/>
          <w:b w:val="0"/>
          <w:bCs/>
          <w:sz w:val="32"/>
          <w:szCs w:val="32"/>
          <w:lang w:val="en-US" w:eastAsia="zh-CN"/>
        </w:rPr>
        <w:t>39</w:t>
      </w:r>
      <w:r>
        <w:rPr>
          <w:rStyle w:val="19"/>
          <w:rFonts w:ascii="Times New Roman"/>
          <w:b w:val="0"/>
          <w:bCs/>
          <w:sz w:val="32"/>
          <w:szCs w:val="32"/>
        </w:rPr>
        <w:t>万元，完成预算100%。</w:t>
      </w:r>
    </w:p>
    <w:p>
      <w:pPr>
        <w:pStyle w:val="2"/>
        <w:spacing w:before="93"/>
        <w:ind w:firstLine="643" w:firstLineChars="200"/>
        <w:rPr>
          <w:rStyle w:val="19"/>
          <w:rFonts w:ascii="Times New Roman"/>
          <w:b w:val="0"/>
          <w:bCs/>
          <w:sz w:val="32"/>
          <w:szCs w:val="32"/>
        </w:rPr>
      </w:pPr>
      <w:r>
        <w:rPr>
          <w:rStyle w:val="19"/>
          <w:rFonts w:hint="eastAsia" w:ascii="Times New Roman"/>
          <w:bCs/>
          <w:sz w:val="32"/>
          <w:szCs w:val="32"/>
          <w:lang w:val="en-US" w:eastAsia="zh-CN"/>
        </w:rPr>
        <w:t>9</w:t>
      </w:r>
      <w:r>
        <w:rPr>
          <w:rStyle w:val="19"/>
          <w:rFonts w:ascii="Times New Roman"/>
          <w:bCs/>
          <w:sz w:val="32"/>
          <w:szCs w:val="32"/>
        </w:rPr>
        <w:t>.</w:t>
      </w:r>
      <w:r>
        <w:rPr>
          <w:rFonts w:ascii="Times New Roman"/>
          <w:b/>
          <w:bCs/>
          <w:sz w:val="32"/>
          <w:szCs w:val="32"/>
        </w:rPr>
        <w:t>卫生健康</w:t>
      </w:r>
      <w:r>
        <w:rPr>
          <w:rStyle w:val="19"/>
          <w:rFonts w:ascii="Times New Roman"/>
          <w:bCs/>
          <w:sz w:val="32"/>
          <w:szCs w:val="32"/>
        </w:rPr>
        <w:t>（类）行政事业单位医疗（款）其他行政事业单位医疗支出（项）:</w:t>
      </w:r>
      <w:r>
        <w:rPr>
          <w:rStyle w:val="19"/>
          <w:rFonts w:ascii="Times New Roman"/>
          <w:b w:val="0"/>
          <w:bCs/>
          <w:sz w:val="32"/>
          <w:szCs w:val="32"/>
        </w:rPr>
        <w:t>支出决算为</w:t>
      </w:r>
      <w:r>
        <w:rPr>
          <w:rStyle w:val="19"/>
          <w:rFonts w:hint="eastAsia" w:ascii="Times New Roman"/>
          <w:b w:val="0"/>
          <w:bCs/>
          <w:sz w:val="32"/>
          <w:szCs w:val="32"/>
          <w:lang w:val="en-US" w:eastAsia="zh-CN"/>
        </w:rPr>
        <w:t>4</w:t>
      </w:r>
      <w:r>
        <w:rPr>
          <w:rStyle w:val="19"/>
          <w:rFonts w:ascii="Times New Roman"/>
          <w:b w:val="0"/>
          <w:bCs/>
          <w:sz w:val="32"/>
          <w:szCs w:val="32"/>
        </w:rPr>
        <w:t>万元，完成预算100%。</w:t>
      </w:r>
    </w:p>
    <w:p>
      <w:pPr>
        <w:pStyle w:val="2"/>
        <w:spacing w:before="93"/>
        <w:ind w:firstLine="643" w:firstLineChars="200"/>
        <w:rPr>
          <w:rStyle w:val="19"/>
          <w:rFonts w:ascii="Times New Roman"/>
          <w:b w:val="0"/>
          <w:bCs/>
          <w:sz w:val="32"/>
          <w:szCs w:val="32"/>
        </w:rPr>
      </w:pPr>
      <w:r>
        <w:rPr>
          <w:rStyle w:val="19"/>
          <w:rFonts w:hint="eastAsia" w:ascii="Times New Roman"/>
          <w:bCs/>
          <w:sz w:val="32"/>
          <w:szCs w:val="32"/>
          <w:lang w:val="en-US" w:eastAsia="zh-CN"/>
        </w:rPr>
        <w:t>10</w:t>
      </w:r>
      <w:r>
        <w:rPr>
          <w:rStyle w:val="19"/>
          <w:rFonts w:ascii="Times New Roman"/>
          <w:bCs/>
          <w:sz w:val="32"/>
          <w:szCs w:val="32"/>
        </w:rPr>
        <w:t>.</w:t>
      </w:r>
      <w:r>
        <w:rPr>
          <w:rStyle w:val="19"/>
          <w:rFonts w:hint="eastAsia" w:ascii="Times New Roman"/>
          <w:bCs/>
          <w:sz w:val="32"/>
          <w:szCs w:val="32"/>
          <w:lang w:eastAsia="zh-CN"/>
        </w:rPr>
        <w:t>城乡社区</w:t>
      </w:r>
      <w:r>
        <w:rPr>
          <w:rStyle w:val="19"/>
          <w:rFonts w:ascii="Times New Roman"/>
          <w:bCs/>
          <w:sz w:val="32"/>
          <w:szCs w:val="32"/>
        </w:rPr>
        <w:t>（类）</w:t>
      </w:r>
      <w:r>
        <w:rPr>
          <w:rStyle w:val="19"/>
          <w:rFonts w:hint="eastAsia" w:ascii="Times New Roman"/>
          <w:bCs/>
          <w:sz w:val="32"/>
          <w:szCs w:val="32"/>
          <w:lang w:eastAsia="zh-CN"/>
        </w:rPr>
        <w:t>城乡社区公共设施</w:t>
      </w:r>
      <w:r>
        <w:rPr>
          <w:rStyle w:val="19"/>
          <w:rFonts w:ascii="Times New Roman"/>
          <w:bCs/>
          <w:sz w:val="32"/>
          <w:szCs w:val="32"/>
        </w:rPr>
        <w:t>（款）其他</w:t>
      </w:r>
      <w:r>
        <w:rPr>
          <w:rStyle w:val="19"/>
          <w:rFonts w:hint="eastAsia" w:ascii="Times New Roman"/>
          <w:bCs/>
          <w:sz w:val="32"/>
          <w:szCs w:val="32"/>
          <w:lang w:eastAsia="zh-CN"/>
        </w:rPr>
        <w:t>城乡社区公共设施</w:t>
      </w:r>
      <w:r>
        <w:rPr>
          <w:rStyle w:val="19"/>
          <w:rFonts w:ascii="Times New Roman"/>
          <w:bCs/>
          <w:sz w:val="32"/>
          <w:szCs w:val="32"/>
        </w:rPr>
        <w:t>支出（项）:</w:t>
      </w:r>
      <w:r>
        <w:rPr>
          <w:rStyle w:val="19"/>
          <w:rFonts w:ascii="Times New Roman"/>
          <w:b w:val="0"/>
          <w:bCs/>
          <w:sz w:val="32"/>
          <w:szCs w:val="32"/>
        </w:rPr>
        <w:t>支出决算为</w:t>
      </w:r>
      <w:r>
        <w:rPr>
          <w:rStyle w:val="19"/>
          <w:rFonts w:hint="eastAsia" w:ascii="Times New Roman"/>
          <w:b w:val="0"/>
          <w:bCs/>
          <w:sz w:val="32"/>
          <w:szCs w:val="32"/>
          <w:lang w:val="en-US" w:eastAsia="zh-CN"/>
        </w:rPr>
        <w:t>781.17</w:t>
      </w:r>
      <w:r>
        <w:rPr>
          <w:rStyle w:val="19"/>
          <w:rFonts w:ascii="Times New Roman"/>
          <w:b w:val="0"/>
          <w:bCs/>
          <w:sz w:val="32"/>
          <w:szCs w:val="32"/>
        </w:rPr>
        <w:t>万元，完成预算100%。</w:t>
      </w:r>
    </w:p>
    <w:p>
      <w:pPr>
        <w:pStyle w:val="2"/>
        <w:spacing w:before="93"/>
        <w:ind w:firstLine="643" w:firstLineChars="200"/>
        <w:rPr>
          <w:rStyle w:val="19"/>
          <w:rFonts w:ascii="Times New Roman"/>
          <w:b w:val="0"/>
          <w:bCs/>
          <w:sz w:val="32"/>
          <w:szCs w:val="32"/>
        </w:rPr>
      </w:pPr>
      <w:r>
        <w:rPr>
          <w:rStyle w:val="19"/>
          <w:rFonts w:hint="eastAsia" w:ascii="Times New Roman"/>
          <w:bCs/>
          <w:sz w:val="32"/>
          <w:szCs w:val="32"/>
          <w:lang w:val="en-US" w:eastAsia="zh-CN"/>
        </w:rPr>
        <w:t>11</w:t>
      </w:r>
      <w:r>
        <w:rPr>
          <w:rStyle w:val="19"/>
          <w:rFonts w:ascii="Times New Roman"/>
          <w:bCs/>
          <w:sz w:val="32"/>
          <w:szCs w:val="32"/>
        </w:rPr>
        <w:t>.</w:t>
      </w:r>
      <w:r>
        <w:rPr>
          <w:rStyle w:val="19"/>
          <w:rFonts w:hint="eastAsia" w:ascii="Times New Roman"/>
          <w:bCs/>
          <w:sz w:val="32"/>
          <w:szCs w:val="32"/>
          <w:lang w:eastAsia="zh-CN"/>
        </w:rPr>
        <w:t>农林水</w:t>
      </w:r>
      <w:r>
        <w:rPr>
          <w:rStyle w:val="19"/>
          <w:rFonts w:ascii="Times New Roman"/>
          <w:bCs/>
          <w:sz w:val="32"/>
          <w:szCs w:val="32"/>
        </w:rPr>
        <w:t>（类）</w:t>
      </w:r>
      <w:r>
        <w:rPr>
          <w:rStyle w:val="19"/>
          <w:rFonts w:hint="eastAsia" w:ascii="Times New Roman"/>
          <w:bCs/>
          <w:sz w:val="32"/>
          <w:szCs w:val="32"/>
          <w:lang w:eastAsia="zh-CN"/>
        </w:rPr>
        <w:t>其他农林水支出</w:t>
      </w:r>
      <w:r>
        <w:rPr>
          <w:rStyle w:val="19"/>
          <w:rFonts w:ascii="Times New Roman"/>
          <w:bCs/>
          <w:sz w:val="32"/>
          <w:szCs w:val="32"/>
        </w:rPr>
        <w:t>（款）其他</w:t>
      </w:r>
      <w:r>
        <w:rPr>
          <w:rStyle w:val="19"/>
          <w:rFonts w:hint="eastAsia" w:ascii="Times New Roman"/>
          <w:bCs/>
          <w:sz w:val="32"/>
          <w:szCs w:val="32"/>
          <w:lang w:eastAsia="zh-CN"/>
        </w:rPr>
        <w:t>农林水</w:t>
      </w:r>
      <w:r>
        <w:rPr>
          <w:rStyle w:val="19"/>
          <w:rFonts w:ascii="Times New Roman"/>
          <w:bCs/>
          <w:sz w:val="32"/>
          <w:szCs w:val="32"/>
        </w:rPr>
        <w:t>支出（项）:</w:t>
      </w:r>
      <w:r>
        <w:rPr>
          <w:rStyle w:val="19"/>
          <w:rFonts w:ascii="Times New Roman"/>
          <w:b w:val="0"/>
          <w:bCs/>
          <w:sz w:val="32"/>
          <w:szCs w:val="32"/>
        </w:rPr>
        <w:t>支出决算为</w:t>
      </w:r>
      <w:r>
        <w:rPr>
          <w:rStyle w:val="19"/>
          <w:rFonts w:hint="eastAsia" w:ascii="Times New Roman"/>
          <w:b w:val="0"/>
          <w:bCs/>
          <w:sz w:val="32"/>
          <w:szCs w:val="32"/>
          <w:lang w:val="en-US" w:eastAsia="zh-CN"/>
        </w:rPr>
        <w:t>736.96</w:t>
      </w:r>
      <w:r>
        <w:rPr>
          <w:rStyle w:val="19"/>
          <w:rFonts w:ascii="Times New Roman"/>
          <w:b w:val="0"/>
          <w:bCs/>
          <w:sz w:val="32"/>
          <w:szCs w:val="32"/>
        </w:rPr>
        <w:t>万元，完成预算100%。</w:t>
      </w:r>
    </w:p>
    <w:p>
      <w:pPr>
        <w:pStyle w:val="2"/>
        <w:spacing w:before="93"/>
        <w:ind w:firstLine="643" w:firstLineChars="200"/>
        <w:rPr>
          <w:rStyle w:val="19"/>
          <w:rFonts w:ascii="Times New Roman"/>
          <w:b w:val="0"/>
          <w:bCs/>
          <w:sz w:val="32"/>
          <w:szCs w:val="32"/>
        </w:rPr>
      </w:pPr>
      <w:r>
        <w:rPr>
          <w:rFonts w:hint="eastAsia" w:ascii="Times New Roman"/>
          <w:b/>
          <w:sz w:val="32"/>
          <w:szCs w:val="32"/>
          <w:lang w:val="en-US" w:eastAsia="zh-CN"/>
        </w:rPr>
        <w:t>12</w:t>
      </w:r>
      <w:r>
        <w:rPr>
          <w:rFonts w:ascii="Times New Roman"/>
          <w:b/>
          <w:sz w:val="32"/>
          <w:szCs w:val="32"/>
        </w:rPr>
        <w:t>.住房保障（类）住房改革支出</w:t>
      </w:r>
      <w:r>
        <w:rPr>
          <w:rStyle w:val="19"/>
          <w:rFonts w:ascii="Times New Roman"/>
          <w:bCs/>
          <w:sz w:val="32"/>
          <w:szCs w:val="32"/>
        </w:rPr>
        <w:t>（款）</w:t>
      </w:r>
      <w:r>
        <w:rPr>
          <w:rFonts w:ascii="Times New Roman"/>
          <w:b/>
          <w:sz w:val="32"/>
          <w:szCs w:val="32"/>
        </w:rPr>
        <w:t>住房公积金</w:t>
      </w:r>
      <w:r>
        <w:rPr>
          <w:rStyle w:val="19"/>
          <w:rFonts w:ascii="Times New Roman"/>
          <w:bCs/>
          <w:sz w:val="32"/>
          <w:szCs w:val="32"/>
        </w:rPr>
        <w:t>（项）：</w:t>
      </w:r>
      <w:r>
        <w:rPr>
          <w:rStyle w:val="19"/>
          <w:rFonts w:ascii="Times New Roman"/>
          <w:b w:val="0"/>
          <w:bCs/>
          <w:sz w:val="32"/>
          <w:szCs w:val="32"/>
        </w:rPr>
        <w:t>支出决算为</w:t>
      </w:r>
      <w:r>
        <w:rPr>
          <w:rStyle w:val="19"/>
          <w:rFonts w:hint="eastAsia" w:ascii="Times New Roman"/>
          <w:b w:val="0"/>
          <w:bCs/>
          <w:sz w:val="32"/>
          <w:szCs w:val="32"/>
          <w:lang w:val="en-US" w:eastAsia="zh-CN"/>
        </w:rPr>
        <w:t>10.31</w:t>
      </w:r>
      <w:r>
        <w:rPr>
          <w:rStyle w:val="19"/>
          <w:rFonts w:ascii="Times New Roman"/>
          <w:b w:val="0"/>
          <w:bCs/>
          <w:sz w:val="32"/>
          <w:szCs w:val="32"/>
        </w:rPr>
        <w:t>万元，完成预算100%。</w:t>
      </w:r>
    </w:p>
    <w:p>
      <w:pPr>
        <w:pStyle w:val="2"/>
        <w:spacing w:before="93"/>
        <w:ind w:firstLine="640" w:firstLineChars="200"/>
        <w:rPr>
          <w:rStyle w:val="19"/>
          <w:rFonts w:ascii="Times New Roman"/>
          <w:b w:val="0"/>
          <w:bCs/>
          <w:sz w:val="32"/>
          <w:szCs w:val="32"/>
        </w:rPr>
      </w:pPr>
    </w:p>
    <w:p>
      <w:pPr>
        <w:tabs>
          <w:tab w:val="right" w:pos="8306"/>
        </w:tabs>
        <w:spacing w:line="600" w:lineRule="exact"/>
        <w:ind w:firstLine="640"/>
        <w:outlineLvl w:val="1"/>
        <w:rPr>
          <w:rStyle w:val="31"/>
        </w:rPr>
      </w:pPr>
      <w:bookmarkStart w:id="48" w:name="_Toc6173"/>
      <w:bookmarkStart w:id="49" w:name="_Toc15396608"/>
      <w:bookmarkStart w:id="50"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1"/>
          <w:rFonts w:hint="eastAsia" w:ascii="黑体" w:hAnsi="黑体" w:eastAsia="黑体"/>
          <w:b w:val="0"/>
        </w:rPr>
        <w:t>般公共预算财政拨款基本支出决算情况说明</w:t>
      </w:r>
      <w:bookmarkEnd w:id="48"/>
      <w:bookmarkEnd w:id="49"/>
      <w:bookmarkEnd w:id="50"/>
      <w:r>
        <w:rPr>
          <w:rStyle w:val="31"/>
          <w:rFonts w:ascii="黑体" w:hAnsi="黑体" w:eastAsia="黑体"/>
          <w:b w:val="0"/>
        </w:rPr>
        <w:tab/>
      </w:r>
    </w:p>
    <w:p>
      <w:pPr>
        <w:spacing w:line="600" w:lineRule="exact"/>
        <w:ind w:firstLine="645"/>
        <w:rPr>
          <w:rFonts w:eastAsia="仿宋_GB2312"/>
          <w:color w:val="9BBB59" w:themeColor="accent3"/>
          <w:sz w:val="32"/>
          <w:szCs w:val="32"/>
          <w14:textFill>
            <w14:solidFill>
              <w14:schemeClr w14:val="accent3"/>
            </w14:solidFill>
          </w14:textFill>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w:t>
      </w:r>
      <w:r>
        <w:rPr>
          <w:rFonts w:hint="eastAsia" w:eastAsia="仿宋_GB2312"/>
          <w:sz w:val="32"/>
          <w:szCs w:val="32"/>
          <w:lang w:eastAsia="zh-CN"/>
        </w:rPr>
        <w:t>度</w:t>
      </w:r>
      <w:r>
        <w:rPr>
          <w:rFonts w:eastAsia="仿宋_GB2312"/>
          <w:sz w:val="32"/>
          <w:szCs w:val="32"/>
        </w:rPr>
        <w:t>一般公共预算财政拨款基本支</w:t>
      </w:r>
      <w:r>
        <w:rPr>
          <w:rFonts w:eastAsia="仿宋_GB2312"/>
          <w:color w:val="auto"/>
          <w:sz w:val="32"/>
          <w:szCs w:val="32"/>
        </w:rPr>
        <w:t>出</w:t>
      </w:r>
      <w:r>
        <w:rPr>
          <w:rFonts w:hint="eastAsia" w:eastAsia="仿宋_GB2312"/>
          <w:color w:val="auto"/>
          <w:sz w:val="32"/>
          <w:szCs w:val="32"/>
          <w:lang w:val="en-US" w:eastAsia="zh-CN"/>
        </w:rPr>
        <w:t>146</w:t>
      </w:r>
      <w:r>
        <w:rPr>
          <w:rFonts w:eastAsia="仿宋_GB2312"/>
          <w:color w:val="auto"/>
          <w:sz w:val="32"/>
          <w:szCs w:val="32"/>
        </w:rPr>
        <w:t>.</w:t>
      </w:r>
      <w:r>
        <w:rPr>
          <w:rFonts w:hint="eastAsia" w:eastAsia="仿宋_GB2312"/>
          <w:color w:val="auto"/>
          <w:sz w:val="32"/>
          <w:szCs w:val="32"/>
          <w:lang w:val="en-US" w:eastAsia="zh-CN"/>
        </w:rPr>
        <w:t>82</w:t>
      </w:r>
      <w:r>
        <w:rPr>
          <w:rFonts w:eastAsia="仿宋_GB2312"/>
          <w:color w:val="auto"/>
          <w:sz w:val="32"/>
          <w:szCs w:val="32"/>
        </w:rPr>
        <w:t>万元，其中：</w:t>
      </w:r>
    </w:p>
    <w:p>
      <w:pPr>
        <w:spacing w:line="600" w:lineRule="exact"/>
        <w:ind w:firstLine="645"/>
        <w:rPr>
          <w:rFonts w:eastAsia="仿宋_GB2312"/>
          <w:sz w:val="32"/>
          <w:szCs w:val="32"/>
        </w:rPr>
      </w:pPr>
      <w:r>
        <w:rPr>
          <w:rFonts w:eastAsia="仿宋_GB2312"/>
          <w:color w:val="auto"/>
          <w:sz w:val="32"/>
          <w:szCs w:val="32"/>
        </w:rPr>
        <w:t>人员经费</w:t>
      </w:r>
      <w:r>
        <w:rPr>
          <w:rFonts w:hint="eastAsia" w:eastAsia="仿宋_GB2312"/>
          <w:color w:val="auto"/>
          <w:sz w:val="32"/>
          <w:szCs w:val="32"/>
          <w:lang w:val="en-US" w:eastAsia="zh-CN"/>
        </w:rPr>
        <w:t>1</w:t>
      </w:r>
      <w:r>
        <w:rPr>
          <w:rFonts w:eastAsia="仿宋_GB2312"/>
          <w:color w:val="auto"/>
          <w:sz w:val="32"/>
          <w:szCs w:val="32"/>
        </w:rPr>
        <w:t>36.</w:t>
      </w:r>
      <w:r>
        <w:rPr>
          <w:rFonts w:hint="eastAsia" w:eastAsia="仿宋_GB2312"/>
          <w:color w:val="auto"/>
          <w:sz w:val="32"/>
          <w:szCs w:val="32"/>
          <w:lang w:val="en-US" w:eastAsia="zh-CN"/>
        </w:rPr>
        <w:t>23</w:t>
      </w:r>
      <w:r>
        <w:rPr>
          <w:rFonts w:eastAsia="仿宋_GB2312"/>
          <w:color w:val="auto"/>
          <w:sz w:val="32"/>
          <w:szCs w:val="32"/>
        </w:rPr>
        <w:t>万元，主要包括：基本工资、津贴补贴、奖金、绩效工资、机关事业单位基本养老保险缴费、</w:t>
      </w:r>
      <w:r>
        <w:rPr>
          <w:rFonts w:hint="eastAsia" w:eastAsia="仿宋_GB2312"/>
          <w:color w:val="auto"/>
          <w:sz w:val="32"/>
          <w:szCs w:val="32"/>
          <w:lang w:eastAsia="zh-CN"/>
        </w:rPr>
        <w:t>职工基本医疗保险</w:t>
      </w:r>
      <w:r>
        <w:rPr>
          <w:rFonts w:eastAsia="仿宋_GB2312"/>
          <w:color w:val="auto"/>
          <w:sz w:val="32"/>
          <w:szCs w:val="32"/>
        </w:rPr>
        <w:t>缴费、</w:t>
      </w:r>
      <w:r>
        <w:rPr>
          <w:rFonts w:hint="eastAsia" w:eastAsia="仿宋_GB2312"/>
          <w:color w:val="auto"/>
          <w:sz w:val="32"/>
          <w:szCs w:val="32"/>
          <w:lang w:eastAsia="zh-CN"/>
        </w:rPr>
        <w:t>公务员医疗补助缴费、</w:t>
      </w:r>
      <w:r>
        <w:rPr>
          <w:rFonts w:eastAsia="仿宋_GB2312"/>
          <w:color w:val="auto"/>
          <w:sz w:val="32"/>
          <w:szCs w:val="32"/>
        </w:rPr>
        <w:t>其他社会保障缴费、其他工资福利支出、医疗费、住房公积金、</w:t>
      </w:r>
      <w:r>
        <w:rPr>
          <w:rFonts w:hint="eastAsia" w:eastAsia="仿宋_GB2312"/>
          <w:color w:val="auto"/>
          <w:sz w:val="32"/>
          <w:szCs w:val="32"/>
          <w:lang w:eastAsia="zh-CN"/>
        </w:rPr>
        <w:t>生活补助</w:t>
      </w:r>
      <w:r>
        <w:rPr>
          <w:rFonts w:eastAsia="仿宋_GB2312"/>
          <w:color w:val="auto"/>
          <w:sz w:val="32"/>
          <w:szCs w:val="32"/>
        </w:rPr>
        <w:t>等。</w:t>
      </w:r>
      <w:r>
        <w:rPr>
          <w:rFonts w:eastAsia="仿宋_GB2312"/>
          <w:color w:val="auto"/>
          <w:sz w:val="32"/>
          <w:szCs w:val="32"/>
        </w:rPr>
        <w:br w:type="textWrapping"/>
      </w:r>
      <w:r>
        <w:rPr>
          <w:rFonts w:eastAsia="仿宋_GB2312"/>
          <w:color w:val="9BBB59" w:themeColor="accent3"/>
          <w:sz w:val="32"/>
          <w:szCs w:val="32"/>
          <w14:textFill>
            <w14:solidFill>
              <w14:schemeClr w14:val="accent3"/>
            </w14:solidFill>
          </w14:textFill>
        </w:rPr>
        <w:t>　　</w:t>
      </w:r>
      <w:r>
        <w:rPr>
          <w:rFonts w:eastAsia="仿宋_GB2312"/>
          <w:color w:val="auto"/>
          <w:sz w:val="32"/>
          <w:szCs w:val="32"/>
        </w:rPr>
        <w:t>公用经费</w:t>
      </w:r>
      <w:r>
        <w:rPr>
          <w:rFonts w:hint="eastAsia" w:eastAsia="仿宋_GB2312"/>
          <w:color w:val="auto"/>
          <w:sz w:val="32"/>
          <w:szCs w:val="32"/>
          <w:lang w:val="en-US" w:eastAsia="zh-CN"/>
        </w:rPr>
        <w:t>10</w:t>
      </w:r>
      <w:r>
        <w:rPr>
          <w:rFonts w:eastAsia="仿宋_GB2312"/>
          <w:color w:val="auto"/>
          <w:sz w:val="32"/>
          <w:szCs w:val="32"/>
        </w:rPr>
        <w:t>.</w:t>
      </w:r>
      <w:r>
        <w:rPr>
          <w:rFonts w:hint="eastAsia" w:eastAsia="仿宋_GB2312"/>
          <w:color w:val="auto"/>
          <w:sz w:val="32"/>
          <w:szCs w:val="32"/>
          <w:lang w:val="en-US" w:eastAsia="zh-CN"/>
        </w:rPr>
        <w:t>59</w:t>
      </w:r>
      <w:r>
        <w:rPr>
          <w:rFonts w:eastAsia="仿宋_GB2312"/>
          <w:color w:val="auto"/>
          <w:sz w:val="32"/>
          <w:szCs w:val="32"/>
        </w:rPr>
        <w:t>万元，主要包括：办</w:t>
      </w:r>
      <w:r>
        <w:rPr>
          <w:rFonts w:eastAsia="仿宋_GB2312"/>
          <w:sz w:val="32"/>
          <w:szCs w:val="32"/>
        </w:rPr>
        <w:t>公费、印刷费、电费、邮电费、差旅费、维修（护）费、会议费、工会经费、福利费、</w:t>
      </w:r>
      <w:r>
        <w:rPr>
          <w:rFonts w:hint="eastAsia" w:eastAsia="仿宋_GB2312"/>
          <w:sz w:val="32"/>
          <w:szCs w:val="32"/>
          <w:lang w:eastAsia="zh-CN"/>
        </w:rPr>
        <w:t>其他交通费用</w:t>
      </w:r>
      <w:r>
        <w:rPr>
          <w:rFonts w:eastAsia="仿宋_GB2312"/>
          <w:sz w:val="32"/>
          <w:szCs w:val="32"/>
        </w:rPr>
        <w:t>、其他商品和服务支出等。</w:t>
      </w:r>
    </w:p>
    <w:p>
      <w:pPr>
        <w:spacing w:line="600" w:lineRule="exact"/>
        <w:ind w:firstLine="640"/>
        <w:rPr>
          <w:rFonts w:eastAsia="仿宋_GB2312"/>
          <w:b/>
          <w:sz w:val="32"/>
          <w:szCs w:val="32"/>
        </w:rPr>
      </w:pPr>
    </w:p>
    <w:p>
      <w:pPr>
        <w:spacing w:line="600" w:lineRule="exact"/>
        <w:ind w:firstLine="640"/>
        <w:outlineLvl w:val="1"/>
        <w:rPr>
          <w:rStyle w:val="31"/>
          <w:rFonts w:ascii="黑体" w:hAnsi="黑体" w:eastAsia="黑体"/>
          <w:b w:val="0"/>
        </w:rPr>
      </w:pPr>
      <w:bookmarkStart w:id="51" w:name="_Toc15396609"/>
      <w:bookmarkStart w:id="52" w:name="_Toc15377215"/>
      <w:bookmarkStart w:id="53" w:name="_Toc7240"/>
      <w:r>
        <w:rPr>
          <w:rFonts w:hint="eastAsia" w:ascii="黑体" w:eastAsia="黑体"/>
          <w:sz w:val="32"/>
          <w:szCs w:val="32"/>
        </w:rPr>
        <w:t>七、</w:t>
      </w:r>
      <w:r>
        <w:rPr>
          <w:rStyle w:val="31"/>
          <w:rFonts w:hint="eastAsia" w:ascii="黑体" w:hAnsi="黑体" w:eastAsia="黑体"/>
          <w:b w:val="0"/>
        </w:rPr>
        <w:t>财政拨款</w:t>
      </w:r>
      <w:r>
        <w:rPr>
          <w:rStyle w:val="31"/>
          <w:rFonts w:hint="eastAsia" w:ascii="黑体" w:hAnsi="黑体" w:eastAsia="黑体"/>
        </w:rPr>
        <w:t>“</w:t>
      </w:r>
      <w:r>
        <w:rPr>
          <w:rStyle w:val="31"/>
          <w:rFonts w:hint="eastAsia" w:ascii="黑体" w:hAnsi="黑体" w:eastAsia="黑体"/>
          <w:b w:val="0"/>
        </w:rPr>
        <w:t>三公”经费支出决算情况说明</w:t>
      </w:r>
      <w:bookmarkEnd w:id="51"/>
      <w:bookmarkEnd w:id="52"/>
      <w:bookmarkEnd w:id="53"/>
    </w:p>
    <w:p>
      <w:pPr>
        <w:spacing w:line="600" w:lineRule="exact"/>
        <w:ind w:firstLine="643" w:firstLineChars="200"/>
        <w:outlineLvl w:val="2"/>
        <w:rPr>
          <w:rFonts w:hint="eastAsia" w:ascii="仿宋" w:hAnsi="仿宋" w:eastAsia="仿宋" w:cs="仿宋"/>
          <w:b/>
          <w:bCs/>
          <w:sz w:val="32"/>
          <w:szCs w:val="32"/>
        </w:rPr>
      </w:pPr>
      <w:bookmarkStart w:id="54" w:name="_Toc15377216"/>
      <w:bookmarkStart w:id="55" w:name="_Toc14511"/>
      <w:r>
        <w:rPr>
          <w:rFonts w:hint="eastAsia" w:ascii="仿宋" w:hAnsi="仿宋" w:eastAsia="仿宋" w:cs="仿宋"/>
          <w:b/>
          <w:bCs/>
          <w:sz w:val="32"/>
          <w:szCs w:val="32"/>
        </w:rPr>
        <w:t>（一）“三公”经费财政拨款支出决算总体情况说明</w:t>
      </w:r>
      <w:bookmarkEnd w:id="54"/>
      <w:bookmarkEnd w:id="55"/>
    </w:p>
    <w:p>
      <w:pPr>
        <w:spacing w:line="600" w:lineRule="exact"/>
        <w:ind w:firstLine="645"/>
        <w:rPr>
          <w:rFonts w:hint="eastAsia" w:eastAsia="仿宋_GB2312"/>
          <w:color w:val="auto"/>
          <w:sz w:val="32"/>
          <w:szCs w:val="32"/>
          <w:lang w:eastAsia="zh-CN"/>
        </w:rPr>
      </w:pPr>
      <w:r>
        <w:rPr>
          <w:rFonts w:eastAsia="仿宋_GB2312"/>
          <w:color w:val="auto"/>
          <w:sz w:val="32"/>
          <w:szCs w:val="32"/>
        </w:rPr>
        <w:t>202</w:t>
      </w:r>
      <w:r>
        <w:rPr>
          <w:rFonts w:hint="eastAsia" w:eastAsia="仿宋_GB2312"/>
          <w:color w:val="auto"/>
          <w:sz w:val="32"/>
          <w:szCs w:val="32"/>
          <w:lang w:val="en-US" w:eastAsia="zh-CN"/>
        </w:rPr>
        <w:t>3</w:t>
      </w:r>
      <w:r>
        <w:rPr>
          <w:rFonts w:eastAsia="仿宋_GB2312"/>
          <w:color w:val="auto"/>
          <w:sz w:val="32"/>
          <w:szCs w:val="32"/>
        </w:rPr>
        <w:t>年</w:t>
      </w:r>
      <w:r>
        <w:rPr>
          <w:rFonts w:hint="eastAsia" w:eastAsia="仿宋_GB2312"/>
          <w:color w:val="auto"/>
          <w:sz w:val="32"/>
          <w:szCs w:val="32"/>
          <w:lang w:eastAsia="zh-CN"/>
        </w:rPr>
        <w:t>度</w:t>
      </w:r>
      <w:r>
        <w:rPr>
          <w:rFonts w:eastAsia="仿宋_GB2312"/>
          <w:color w:val="auto"/>
          <w:sz w:val="32"/>
          <w:szCs w:val="32"/>
        </w:rPr>
        <w:t>“三公”经费财政拨款支出决算为</w:t>
      </w:r>
      <w:r>
        <w:rPr>
          <w:rFonts w:hint="eastAsia" w:eastAsia="仿宋_GB2312"/>
          <w:color w:val="auto"/>
          <w:sz w:val="32"/>
          <w:szCs w:val="32"/>
          <w:lang w:val="en-US" w:eastAsia="zh-CN"/>
        </w:rPr>
        <w:t>0</w:t>
      </w:r>
      <w:r>
        <w:rPr>
          <w:rFonts w:eastAsia="仿宋_GB2312"/>
          <w:color w:val="auto"/>
          <w:sz w:val="32"/>
          <w:szCs w:val="32"/>
        </w:rPr>
        <w:t>万元，完成预算</w:t>
      </w:r>
      <w:r>
        <w:rPr>
          <w:rFonts w:hint="eastAsia" w:eastAsia="仿宋_GB2312"/>
          <w:color w:val="auto"/>
          <w:sz w:val="32"/>
          <w:szCs w:val="32"/>
          <w:lang w:val="en-US" w:eastAsia="zh-CN"/>
        </w:rPr>
        <w:t>0</w:t>
      </w:r>
      <w:r>
        <w:rPr>
          <w:rFonts w:eastAsia="仿宋_GB2312"/>
          <w:color w:val="auto"/>
          <w:sz w:val="32"/>
          <w:szCs w:val="32"/>
        </w:rPr>
        <w:t>%，较上年</w:t>
      </w:r>
      <w:r>
        <w:rPr>
          <w:rFonts w:hint="eastAsia" w:eastAsia="仿宋_GB2312"/>
          <w:color w:val="auto"/>
          <w:sz w:val="32"/>
          <w:szCs w:val="32"/>
          <w:lang w:eastAsia="zh-CN"/>
        </w:rPr>
        <w:t>度减少</w:t>
      </w:r>
      <w:r>
        <w:rPr>
          <w:rFonts w:eastAsia="仿宋_GB2312"/>
          <w:color w:val="auto"/>
          <w:sz w:val="32"/>
          <w:szCs w:val="32"/>
        </w:rPr>
        <w:t>5.04万元</w:t>
      </w:r>
      <w:r>
        <w:rPr>
          <w:rFonts w:hint="eastAsia" w:eastAsia="仿宋_GB2312"/>
          <w:color w:val="auto"/>
          <w:sz w:val="32"/>
          <w:szCs w:val="32"/>
          <w:lang w:eastAsia="zh-CN"/>
        </w:rPr>
        <w:t>，下降</w:t>
      </w:r>
      <w:r>
        <w:rPr>
          <w:rFonts w:hint="eastAsia" w:eastAsia="仿宋_GB2312"/>
          <w:color w:val="auto"/>
          <w:sz w:val="32"/>
          <w:szCs w:val="32"/>
          <w:lang w:val="en-US" w:eastAsia="zh-CN"/>
        </w:rPr>
        <w:t>100%。</w:t>
      </w:r>
      <w:r>
        <w:rPr>
          <w:rFonts w:hint="eastAsia" w:eastAsia="仿宋_GB2312"/>
          <w:color w:val="auto"/>
          <w:sz w:val="32"/>
          <w:szCs w:val="32"/>
          <w:lang w:eastAsia="zh-CN"/>
        </w:rPr>
        <w:t>决算数小于预算数的</w:t>
      </w:r>
      <w:r>
        <w:rPr>
          <w:rFonts w:eastAsia="仿宋_GB2312"/>
          <w:color w:val="auto"/>
          <w:sz w:val="32"/>
          <w:szCs w:val="32"/>
        </w:rPr>
        <w:t>主要原因是盐边县红格国际运动康养·温泉度假区管理委员会</w:t>
      </w:r>
      <w:r>
        <w:rPr>
          <w:rFonts w:hint="eastAsia" w:eastAsia="仿宋_GB2312"/>
          <w:color w:val="auto"/>
          <w:sz w:val="32"/>
          <w:szCs w:val="32"/>
          <w:lang w:eastAsia="zh-CN"/>
        </w:rPr>
        <w:t>单位无公务用车编制，</w:t>
      </w:r>
      <w:r>
        <w:rPr>
          <w:rFonts w:hint="eastAsia" w:eastAsia="仿宋_GB2312"/>
          <w:color w:val="auto"/>
          <w:sz w:val="32"/>
          <w:szCs w:val="32"/>
        </w:rPr>
        <w:t>当年无公务用车购置</w:t>
      </w:r>
      <w:r>
        <w:rPr>
          <w:rFonts w:hint="eastAsia" w:eastAsia="仿宋_GB2312"/>
          <w:color w:val="auto"/>
          <w:sz w:val="32"/>
          <w:szCs w:val="32"/>
          <w:lang w:eastAsia="zh-CN"/>
        </w:rPr>
        <w:t>，并且</w:t>
      </w:r>
      <w:r>
        <w:rPr>
          <w:rFonts w:hint="eastAsia" w:eastAsia="仿宋_GB2312"/>
          <w:color w:val="auto"/>
          <w:sz w:val="32"/>
          <w:szCs w:val="32"/>
        </w:rPr>
        <w:t>按财政要求压缩三公经费</w:t>
      </w:r>
      <w:r>
        <w:rPr>
          <w:rFonts w:hint="eastAsia" w:eastAsia="仿宋_GB2312"/>
          <w:color w:val="auto"/>
          <w:sz w:val="32"/>
          <w:szCs w:val="32"/>
          <w:lang w:eastAsia="zh-CN"/>
        </w:rPr>
        <w:t>，</w:t>
      </w:r>
      <w:r>
        <w:rPr>
          <w:rFonts w:hint="eastAsia" w:eastAsia="仿宋_GB2312"/>
          <w:color w:val="auto"/>
          <w:sz w:val="32"/>
          <w:szCs w:val="32"/>
        </w:rPr>
        <w:t>严控资金用途。</w:t>
      </w:r>
    </w:p>
    <w:p>
      <w:pPr>
        <w:spacing w:line="600" w:lineRule="exact"/>
        <w:ind w:firstLine="643" w:firstLineChars="200"/>
        <w:outlineLvl w:val="2"/>
        <w:rPr>
          <w:rFonts w:hint="eastAsia" w:ascii="仿宋" w:hAnsi="仿宋" w:eastAsia="仿宋" w:cs="仿宋"/>
          <w:b/>
          <w:bCs/>
          <w:sz w:val="32"/>
          <w:szCs w:val="32"/>
        </w:rPr>
      </w:pPr>
      <w:bookmarkStart w:id="56" w:name="_Toc15377217"/>
      <w:bookmarkStart w:id="57" w:name="_Toc24950"/>
      <w:r>
        <w:rPr>
          <w:rFonts w:hint="eastAsia" w:ascii="仿宋" w:hAnsi="仿宋" w:eastAsia="仿宋" w:cs="仿宋"/>
          <w:b/>
          <w:bCs/>
          <w:sz w:val="32"/>
          <w:szCs w:val="32"/>
        </w:rPr>
        <w:t>（二）“三公”经费财政拨款支出决算具体情况说明</w:t>
      </w:r>
      <w:bookmarkEnd w:id="56"/>
      <w:bookmarkEnd w:id="57"/>
    </w:p>
    <w:p>
      <w:pPr>
        <w:spacing w:line="600" w:lineRule="exact"/>
        <w:ind w:firstLine="645"/>
        <w:rPr>
          <w:rFonts w:eastAsia="仿宋_GB2312"/>
          <w:color w:val="auto"/>
          <w:sz w:val="32"/>
          <w:szCs w:val="32"/>
        </w:rPr>
      </w:pPr>
      <w:r>
        <w:rPr>
          <w:rFonts w:eastAsia="仿宋_GB2312"/>
          <w:color w:val="auto"/>
          <w:sz w:val="32"/>
          <w:szCs w:val="32"/>
        </w:rPr>
        <w:t>202</w:t>
      </w:r>
      <w:r>
        <w:rPr>
          <w:rFonts w:hint="eastAsia" w:eastAsia="仿宋_GB2312"/>
          <w:color w:val="auto"/>
          <w:sz w:val="32"/>
          <w:szCs w:val="32"/>
          <w:lang w:val="en-US" w:eastAsia="zh-CN"/>
        </w:rPr>
        <w:t>3</w:t>
      </w:r>
      <w:r>
        <w:rPr>
          <w:rFonts w:eastAsia="仿宋_GB2312"/>
          <w:color w:val="auto"/>
          <w:sz w:val="32"/>
          <w:szCs w:val="32"/>
        </w:rPr>
        <w:t>年</w:t>
      </w:r>
      <w:r>
        <w:rPr>
          <w:rFonts w:hint="eastAsia" w:eastAsia="仿宋_GB2312"/>
          <w:color w:val="auto"/>
          <w:sz w:val="32"/>
          <w:szCs w:val="32"/>
          <w:lang w:eastAsia="zh-CN"/>
        </w:rPr>
        <w:t>度</w:t>
      </w:r>
      <w:r>
        <w:rPr>
          <w:rFonts w:eastAsia="仿宋_GB2312"/>
          <w:color w:val="auto"/>
          <w:sz w:val="32"/>
          <w:szCs w:val="32"/>
        </w:rPr>
        <w:t>“三公”经费财政拨款支出决算中，因公出国（境）费支出决算0万元，占0%；公务用车购置及运行维护费支出决算</w:t>
      </w:r>
      <w:r>
        <w:rPr>
          <w:rFonts w:hint="eastAsia" w:eastAsia="仿宋_GB2312"/>
          <w:color w:val="auto"/>
          <w:sz w:val="32"/>
          <w:szCs w:val="32"/>
          <w:lang w:val="en-US" w:eastAsia="zh-CN"/>
        </w:rPr>
        <w:t>0</w:t>
      </w:r>
      <w:r>
        <w:rPr>
          <w:rFonts w:eastAsia="仿宋_GB2312"/>
          <w:color w:val="auto"/>
          <w:sz w:val="32"/>
          <w:szCs w:val="32"/>
        </w:rPr>
        <w:t>万元，占</w:t>
      </w:r>
      <w:r>
        <w:rPr>
          <w:rFonts w:hint="eastAsia" w:eastAsia="仿宋_GB2312"/>
          <w:color w:val="auto"/>
          <w:sz w:val="32"/>
          <w:szCs w:val="32"/>
          <w:lang w:val="en-US" w:eastAsia="zh-CN"/>
        </w:rPr>
        <w:t>0</w:t>
      </w:r>
      <w:r>
        <w:rPr>
          <w:rFonts w:eastAsia="仿宋_GB2312"/>
          <w:color w:val="auto"/>
          <w:sz w:val="32"/>
          <w:szCs w:val="32"/>
        </w:rPr>
        <w:t>%，公务接待费支出决算0万元，占</w:t>
      </w:r>
      <w:r>
        <w:rPr>
          <w:rFonts w:hint="eastAsia" w:eastAsia="仿宋_GB2312"/>
          <w:color w:val="auto"/>
          <w:sz w:val="32"/>
          <w:szCs w:val="32"/>
          <w:lang w:val="en-US" w:eastAsia="zh-CN"/>
        </w:rPr>
        <w:t>0</w:t>
      </w:r>
      <w:r>
        <w:rPr>
          <w:rFonts w:eastAsia="仿宋_GB2312"/>
          <w:color w:val="auto"/>
          <w:sz w:val="32"/>
          <w:szCs w:val="32"/>
        </w:rPr>
        <w:t>%。具体情况如下：</w:t>
      </w:r>
    </w:p>
    <w:p>
      <w:pPr>
        <w:pStyle w:val="2"/>
        <w:spacing w:before="93"/>
        <w:jc w:val="center"/>
      </w:pPr>
      <w:r>
        <w:rPr>
          <w:rFonts w:hint="eastAsia"/>
        </w:rPr>
        <w:drawing>
          <wp:inline distT="0" distB="0" distL="0" distR="0">
            <wp:extent cx="4624705" cy="2615565"/>
            <wp:effectExtent l="4445" t="4445" r="19050" b="889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pPr>
        <w:spacing w:line="600" w:lineRule="exact"/>
        <w:ind w:firstLine="640"/>
        <w:jc w:val="center"/>
        <w:rPr>
          <w:rFonts w:eastAsia="仿宋_GB2312"/>
          <w:sz w:val="32"/>
          <w:szCs w:val="32"/>
        </w:rPr>
      </w:pPr>
      <w:r>
        <w:rPr>
          <w:rFonts w:eastAsia="仿宋_GB2312"/>
          <w:sz w:val="32"/>
          <w:szCs w:val="32"/>
        </w:rPr>
        <w:t>（图7：“三公”经费财政拨款支出结构）</w:t>
      </w:r>
    </w:p>
    <w:p>
      <w:pPr>
        <w:spacing w:line="600" w:lineRule="exact"/>
        <w:ind w:firstLine="640"/>
        <w:rPr>
          <w:rFonts w:hint="eastAsia" w:eastAsia="仿宋_GB2312"/>
          <w:color w:val="auto"/>
          <w:sz w:val="32"/>
          <w:szCs w:val="32"/>
          <w:lang w:eastAsia="zh-CN"/>
        </w:rPr>
      </w:pPr>
      <w:r>
        <w:rPr>
          <w:rFonts w:eastAsia="仿宋_GB2312"/>
          <w:b/>
          <w:sz w:val="32"/>
          <w:szCs w:val="32"/>
        </w:rPr>
        <w:t>1.因公出国（境）经费支出</w:t>
      </w:r>
      <w:r>
        <w:rPr>
          <w:rFonts w:eastAsia="仿宋_GB2312"/>
          <w:color w:val="auto"/>
          <w:sz w:val="32"/>
          <w:szCs w:val="32"/>
        </w:rPr>
        <w:t>0万元，完成预算0%。全年安排因公出国（境）团组0次，出国（境）0人。因公出国（境）支出决算</w:t>
      </w:r>
      <w:r>
        <w:rPr>
          <w:rFonts w:hint="eastAsia" w:eastAsia="仿宋_GB2312"/>
          <w:color w:val="auto"/>
          <w:sz w:val="32"/>
          <w:szCs w:val="32"/>
        </w:rPr>
        <w:t>与2022年度决算数持平</w:t>
      </w:r>
      <w:r>
        <w:rPr>
          <w:rFonts w:hint="eastAsia" w:eastAsia="仿宋_GB2312"/>
          <w:color w:val="auto"/>
          <w:sz w:val="32"/>
          <w:szCs w:val="32"/>
          <w:lang w:eastAsia="zh-CN"/>
        </w:rPr>
        <w:t>。主要原因是</w:t>
      </w:r>
      <w:r>
        <w:rPr>
          <w:rFonts w:hint="eastAsia" w:eastAsia="仿宋_GB2312"/>
          <w:color w:val="auto"/>
          <w:sz w:val="32"/>
          <w:szCs w:val="32"/>
          <w:lang w:val="en-US" w:eastAsia="zh-CN"/>
        </w:rPr>
        <w:t>2022年和</w:t>
      </w:r>
      <w:r>
        <w:rPr>
          <w:rFonts w:eastAsia="仿宋_GB2312"/>
          <w:color w:val="auto"/>
          <w:sz w:val="32"/>
          <w:szCs w:val="32"/>
        </w:rPr>
        <w:t>202</w:t>
      </w:r>
      <w:r>
        <w:rPr>
          <w:rFonts w:hint="eastAsia" w:eastAsia="仿宋_GB2312"/>
          <w:color w:val="auto"/>
          <w:sz w:val="32"/>
          <w:szCs w:val="32"/>
          <w:lang w:val="en-US" w:eastAsia="zh-CN"/>
        </w:rPr>
        <w:t>3</w:t>
      </w:r>
      <w:r>
        <w:rPr>
          <w:rFonts w:eastAsia="仿宋_GB2312"/>
          <w:color w:val="auto"/>
          <w:sz w:val="32"/>
          <w:szCs w:val="32"/>
        </w:rPr>
        <w:t>年</w:t>
      </w:r>
      <w:r>
        <w:rPr>
          <w:rFonts w:hint="eastAsia" w:eastAsia="仿宋_GB2312"/>
          <w:color w:val="auto"/>
          <w:sz w:val="32"/>
          <w:szCs w:val="32"/>
          <w:lang w:eastAsia="zh-CN"/>
        </w:rPr>
        <w:t>均</w:t>
      </w:r>
      <w:r>
        <w:rPr>
          <w:rFonts w:eastAsia="仿宋_GB2312"/>
          <w:color w:val="auto"/>
          <w:sz w:val="32"/>
          <w:szCs w:val="32"/>
        </w:rPr>
        <w:t>无因公出国（境）经费支出</w:t>
      </w:r>
      <w:r>
        <w:rPr>
          <w:rFonts w:hint="eastAsia" w:eastAsia="仿宋_GB2312"/>
          <w:color w:val="auto"/>
          <w:sz w:val="32"/>
          <w:szCs w:val="32"/>
          <w:lang w:eastAsia="zh-CN"/>
        </w:rPr>
        <w:t>。</w:t>
      </w:r>
    </w:p>
    <w:p>
      <w:pPr>
        <w:spacing w:line="600" w:lineRule="exact"/>
        <w:ind w:firstLine="640"/>
        <w:rPr>
          <w:rFonts w:eastAsia="仿宋_GB2312"/>
          <w:color w:val="auto"/>
          <w:sz w:val="32"/>
          <w:szCs w:val="32"/>
        </w:rPr>
      </w:pPr>
      <w:r>
        <w:rPr>
          <w:rFonts w:eastAsia="仿宋_GB2312"/>
          <w:b/>
          <w:sz w:val="32"/>
          <w:szCs w:val="32"/>
        </w:rPr>
        <w:t>2.公务用车购置及运行维护费支出</w:t>
      </w:r>
      <w:r>
        <w:rPr>
          <w:rFonts w:hint="eastAsia" w:eastAsia="仿宋_GB2312"/>
          <w:color w:val="auto"/>
          <w:sz w:val="32"/>
          <w:szCs w:val="32"/>
          <w:lang w:val="en-US" w:eastAsia="zh-CN"/>
        </w:rPr>
        <w:t>0</w:t>
      </w:r>
      <w:r>
        <w:rPr>
          <w:rFonts w:eastAsia="仿宋_GB2312"/>
          <w:color w:val="auto"/>
          <w:sz w:val="32"/>
          <w:szCs w:val="32"/>
        </w:rPr>
        <w:t>万元,完成预算</w:t>
      </w:r>
      <w:r>
        <w:rPr>
          <w:rFonts w:hint="eastAsia" w:eastAsia="仿宋_GB2312"/>
          <w:color w:val="auto"/>
          <w:sz w:val="32"/>
          <w:szCs w:val="32"/>
          <w:lang w:val="en-US" w:eastAsia="zh-CN"/>
        </w:rPr>
        <w:t>0</w:t>
      </w:r>
      <w:r>
        <w:rPr>
          <w:rFonts w:eastAsia="仿宋_GB2312"/>
          <w:color w:val="auto"/>
          <w:sz w:val="32"/>
          <w:szCs w:val="32"/>
        </w:rPr>
        <w:t>%。公务用车购置及运行维护费支出决算比202</w:t>
      </w:r>
      <w:r>
        <w:rPr>
          <w:rFonts w:hint="eastAsia" w:eastAsia="仿宋_GB2312"/>
          <w:color w:val="auto"/>
          <w:sz w:val="32"/>
          <w:szCs w:val="32"/>
          <w:lang w:val="en-US" w:eastAsia="zh-CN"/>
        </w:rPr>
        <w:t>2</w:t>
      </w:r>
      <w:r>
        <w:rPr>
          <w:rFonts w:eastAsia="仿宋_GB2312"/>
          <w:color w:val="auto"/>
          <w:sz w:val="32"/>
          <w:szCs w:val="32"/>
        </w:rPr>
        <w:t>年</w:t>
      </w:r>
      <w:r>
        <w:rPr>
          <w:rFonts w:hint="eastAsia" w:eastAsia="仿宋_GB2312"/>
          <w:color w:val="auto"/>
          <w:sz w:val="32"/>
          <w:szCs w:val="32"/>
          <w:lang w:eastAsia="zh-CN"/>
        </w:rPr>
        <w:t>度减少</w:t>
      </w:r>
      <w:r>
        <w:rPr>
          <w:rFonts w:eastAsia="仿宋_GB2312"/>
          <w:color w:val="auto"/>
          <w:sz w:val="32"/>
          <w:szCs w:val="32"/>
        </w:rPr>
        <w:t>4.45万元，</w:t>
      </w:r>
      <w:r>
        <w:rPr>
          <w:rFonts w:hint="eastAsia" w:eastAsia="仿宋_GB2312"/>
          <w:color w:val="auto"/>
          <w:sz w:val="32"/>
          <w:szCs w:val="32"/>
          <w:lang w:eastAsia="zh-CN"/>
        </w:rPr>
        <w:t>下降</w:t>
      </w:r>
      <w:r>
        <w:rPr>
          <w:rFonts w:eastAsia="仿宋_GB2312"/>
          <w:color w:val="auto"/>
          <w:sz w:val="32"/>
          <w:szCs w:val="32"/>
        </w:rPr>
        <w:t>100%。主要原因是盐边县红格国际运动康养·温泉度假区管理委员会</w:t>
      </w:r>
      <w:r>
        <w:rPr>
          <w:rFonts w:hint="eastAsia" w:eastAsia="仿宋_GB2312"/>
          <w:color w:val="auto"/>
          <w:sz w:val="32"/>
          <w:szCs w:val="32"/>
          <w:lang w:eastAsia="zh-CN"/>
        </w:rPr>
        <w:t>单位无公务用车编制，</w:t>
      </w:r>
      <w:r>
        <w:rPr>
          <w:rFonts w:hint="eastAsia" w:eastAsia="仿宋_GB2312"/>
          <w:color w:val="auto"/>
          <w:sz w:val="32"/>
          <w:szCs w:val="32"/>
        </w:rPr>
        <w:t>当年无公务用车购置</w:t>
      </w:r>
      <w:r>
        <w:rPr>
          <w:rFonts w:eastAsia="仿宋_GB2312"/>
          <w:color w:val="auto"/>
          <w:sz w:val="32"/>
          <w:szCs w:val="32"/>
        </w:rPr>
        <w:t>，故</w:t>
      </w:r>
      <w:r>
        <w:rPr>
          <w:rFonts w:hint="eastAsia" w:eastAsia="仿宋_GB2312"/>
          <w:color w:val="auto"/>
          <w:sz w:val="32"/>
          <w:szCs w:val="32"/>
          <w:lang w:eastAsia="zh-CN"/>
        </w:rPr>
        <w:t>下降</w:t>
      </w:r>
      <w:r>
        <w:rPr>
          <w:rFonts w:eastAsia="仿宋_GB2312"/>
          <w:color w:val="auto"/>
          <w:sz w:val="32"/>
          <w:szCs w:val="32"/>
        </w:rPr>
        <w:t>4.45万元。</w:t>
      </w:r>
    </w:p>
    <w:p>
      <w:pPr>
        <w:spacing w:line="600" w:lineRule="exact"/>
        <w:ind w:firstLine="643" w:firstLineChars="200"/>
        <w:rPr>
          <w:rFonts w:eastAsia="仿宋_GB2312"/>
          <w:color w:val="auto"/>
          <w:sz w:val="32"/>
          <w:szCs w:val="32"/>
        </w:rPr>
      </w:pPr>
      <w:r>
        <w:rPr>
          <w:rFonts w:eastAsia="仿宋_GB2312"/>
          <w:b/>
          <w:sz w:val="32"/>
          <w:szCs w:val="32"/>
        </w:rPr>
        <w:t>3.公务接待费支出</w:t>
      </w:r>
      <w:r>
        <w:rPr>
          <w:rFonts w:hint="eastAsia" w:eastAsia="仿宋_GB2312"/>
          <w:color w:val="auto"/>
          <w:sz w:val="32"/>
          <w:szCs w:val="32"/>
          <w:lang w:val="en-US" w:eastAsia="zh-CN"/>
        </w:rPr>
        <w:t>0</w:t>
      </w:r>
      <w:r>
        <w:rPr>
          <w:rFonts w:eastAsia="仿宋_GB2312"/>
          <w:color w:val="auto"/>
          <w:sz w:val="32"/>
          <w:szCs w:val="32"/>
        </w:rPr>
        <w:t>万元，完成预算0%。公务接待费支出决算比202</w:t>
      </w:r>
      <w:r>
        <w:rPr>
          <w:rFonts w:hint="eastAsia" w:eastAsia="仿宋_GB2312"/>
          <w:color w:val="auto"/>
          <w:sz w:val="32"/>
          <w:szCs w:val="32"/>
          <w:lang w:val="en-US" w:eastAsia="zh-CN"/>
        </w:rPr>
        <w:t>2</w:t>
      </w:r>
      <w:r>
        <w:rPr>
          <w:rFonts w:eastAsia="仿宋_GB2312"/>
          <w:color w:val="auto"/>
          <w:sz w:val="32"/>
          <w:szCs w:val="32"/>
        </w:rPr>
        <w:t>年</w:t>
      </w:r>
      <w:r>
        <w:rPr>
          <w:rFonts w:hint="eastAsia" w:eastAsia="仿宋_GB2312"/>
          <w:color w:val="auto"/>
          <w:sz w:val="32"/>
          <w:szCs w:val="32"/>
          <w:lang w:eastAsia="zh-CN"/>
        </w:rPr>
        <w:t>度减少</w:t>
      </w:r>
      <w:r>
        <w:rPr>
          <w:rFonts w:eastAsia="仿宋_GB2312"/>
          <w:color w:val="auto"/>
          <w:sz w:val="32"/>
          <w:szCs w:val="32"/>
        </w:rPr>
        <w:t>0.6万元，</w:t>
      </w:r>
      <w:r>
        <w:rPr>
          <w:rFonts w:hint="eastAsia" w:eastAsia="仿宋_GB2312"/>
          <w:color w:val="auto"/>
          <w:sz w:val="32"/>
          <w:szCs w:val="32"/>
          <w:lang w:eastAsia="zh-CN"/>
        </w:rPr>
        <w:t>下降</w:t>
      </w:r>
      <w:r>
        <w:rPr>
          <w:rFonts w:eastAsia="仿宋_GB2312"/>
          <w:color w:val="auto"/>
          <w:sz w:val="32"/>
          <w:szCs w:val="32"/>
        </w:rPr>
        <w:t>100%。主要原因是盐边县红格国际运动康养·温泉度假区管理委员会为2021年新成立单位，于2022年财务人员配备齐全后开始追加当年预算</w:t>
      </w:r>
      <w:r>
        <w:rPr>
          <w:rFonts w:hint="eastAsia" w:eastAsia="仿宋_GB2312"/>
          <w:color w:val="auto"/>
          <w:sz w:val="32"/>
          <w:szCs w:val="32"/>
          <w:lang w:eastAsia="zh-CN"/>
        </w:rPr>
        <w:t>，接待费支付主要用于专项项目支出</w:t>
      </w:r>
      <w:r>
        <w:rPr>
          <w:rFonts w:eastAsia="仿宋_GB2312"/>
          <w:color w:val="auto"/>
          <w:sz w:val="32"/>
          <w:szCs w:val="32"/>
        </w:rPr>
        <w:t>，202</w:t>
      </w:r>
      <w:r>
        <w:rPr>
          <w:rFonts w:hint="eastAsia" w:eastAsia="仿宋_GB2312"/>
          <w:color w:val="auto"/>
          <w:sz w:val="32"/>
          <w:szCs w:val="32"/>
          <w:lang w:val="en-US" w:eastAsia="zh-CN"/>
        </w:rPr>
        <w:t>3</w:t>
      </w:r>
      <w:r>
        <w:rPr>
          <w:rFonts w:eastAsia="仿宋_GB2312"/>
          <w:color w:val="auto"/>
          <w:sz w:val="32"/>
          <w:szCs w:val="32"/>
        </w:rPr>
        <w:t>年</w:t>
      </w:r>
      <w:r>
        <w:rPr>
          <w:rFonts w:hint="eastAsia" w:eastAsia="仿宋_GB2312"/>
          <w:color w:val="auto"/>
          <w:sz w:val="32"/>
          <w:szCs w:val="32"/>
          <w:lang w:eastAsia="zh-CN"/>
        </w:rPr>
        <w:t>单位</w:t>
      </w:r>
      <w:r>
        <w:rPr>
          <w:rFonts w:eastAsia="仿宋_GB2312"/>
          <w:color w:val="auto"/>
          <w:sz w:val="32"/>
          <w:szCs w:val="32"/>
        </w:rPr>
        <w:t>无公务接待费支出情况，故</w:t>
      </w:r>
      <w:r>
        <w:rPr>
          <w:rFonts w:hint="eastAsia" w:eastAsia="仿宋_GB2312"/>
          <w:color w:val="auto"/>
          <w:sz w:val="32"/>
          <w:szCs w:val="32"/>
          <w:lang w:eastAsia="zh-CN"/>
        </w:rPr>
        <w:t>下降</w:t>
      </w:r>
      <w:r>
        <w:rPr>
          <w:rFonts w:eastAsia="仿宋_GB2312"/>
          <w:color w:val="auto"/>
          <w:sz w:val="32"/>
          <w:szCs w:val="32"/>
        </w:rPr>
        <w:t>0.6万元。</w:t>
      </w:r>
      <w:bookmarkStart w:id="58" w:name="_Toc15396610"/>
      <w:bookmarkStart w:id="59" w:name="_Toc15377218"/>
    </w:p>
    <w:p>
      <w:pPr>
        <w:spacing w:line="600" w:lineRule="exact"/>
        <w:ind w:firstLine="640"/>
        <w:outlineLvl w:val="1"/>
        <w:rPr>
          <w:rStyle w:val="31"/>
          <w:rFonts w:ascii="黑体" w:hAnsi="黑体" w:eastAsia="黑体"/>
        </w:rPr>
      </w:pPr>
      <w:bookmarkStart w:id="60" w:name="_Toc17181"/>
      <w:r>
        <w:rPr>
          <w:rFonts w:hint="eastAsia" w:ascii="黑体" w:eastAsia="黑体"/>
          <w:sz w:val="32"/>
          <w:szCs w:val="32"/>
        </w:rPr>
        <w:t>八、</w:t>
      </w:r>
      <w:r>
        <w:rPr>
          <w:rStyle w:val="31"/>
          <w:rFonts w:hint="eastAsia" w:ascii="黑体" w:hAnsi="黑体" w:eastAsia="黑体"/>
          <w:b w:val="0"/>
        </w:rPr>
        <w:t>政府性基金预算支出决算情况说明</w:t>
      </w:r>
      <w:bookmarkEnd w:id="58"/>
      <w:bookmarkEnd w:id="59"/>
      <w:bookmarkEnd w:id="60"/>
    </w:p>
    <w:p>
      <w:pPr>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2023年度政府性基金预算财政拨款支出1768.2万元。</w:t>
      </w:r>
    </w:p>
    <w:p>
      <w:pPr>
        <w:numPr>
          <w:ilvl w:val="0"/>
          <w:numId w:val="2"/>
        </w:numPr>
        <w:spacing w:line="600" w:lineRule="exact"/>
        <w:ind w:firstLine="640"/>
        <w:outlineLvl w:val="1"/>
        <w:rPr>
          <w:rStyle w:val="31"/>
          <w:rFonts w:ascii="黑体" w:hAnsi="黑体" w:eastAsia="黑体"/>
          <w:b w:val="0"/>
        </w:rPr>
      </w:pPr>
      <w:bookmarkStart w:id="61" w:name="_Toc15377219"/>
      <w:bookmarkStart w:id="62" w:name="_Toc18538"/>
      <w:bookmarkStart w:id="63" w:name="_Toc15396611"/>
      <w:r>
        <w:rPr>
          <w:rStyle w:val="31"/>
          <w:rFonts w:hint="eastAsia" w:ascii="黑体" w:hAnsi="黑体" w:eastAsia="黑体"/>
          <w:b w:val="0"/>
        </w:rPr>
        <w:t>国有资本经营预算支出决算情况说明</w:t>
      </w:r>
      <w:bookmarkEnd w:id="61"/>
      <w:bookmarkEnd w:id="62"/>
      <w:bookmarkEnd w:id="63"/>
    </w:p>
    <w:p>
      <w:pPr>
        <w:spacing w:line="600" w:lineRule="exact"/>
        <w:ind w:firstLine="640"/>
        <w:rPr>
          <w:rFonts w:ascii="方正小标宋简体" w:hAnsi="方正小标宋简体" w:eastAsia="方正小标宋简体" w:cs="方正小标宋简体"/>
          <w:sz w:val="44"/>
          <w:szCs w:val="44"/>
        </w:rPr>
      </w:pPr>
      <w:r>
        <w:rPr>
          <w:rFonts w:hint="eastAsia" w:eastAsia="仿宋_GB2312"/>
          <w:color w:val="auto"/>
          <w:sz w:val="32"/>
          <w:szCs w:val="32"/>
          <w:lang w:val="en-US" w:eastAsia="zh-CN"/>
        </w:rPr>
        <w:t>2023年度国有资本经营预算财政拨款支出0万元。</w:t>
      </w:r>
    </w:p>
    <w:p>
      <w:pPr>
        <w:numPr>
          <w:ilvl w:val="0"/>
          <w:numId w:val="2"/>
        </w:numPr>
        <w:spacing w:line="600" w:lineRule="exact"/>
        <w:ind w:firstLine="640"/>
        <w:outlineLvl w:val="1"/>
        <w:rPr>
          <w:rStyle w:val="31"/>
          <w:rFonts w:ascii="黑体" w:hAnsi="黑体" w:eastAsia="黑体"/>
          <w:b w:val="0"/>
        </w:rPr>
      </w:pPr>
      <w:bookmarkStart w:id="64" w:name="_Toc15396612"/>
      <w:bookmarkStart w:id="65" w:name="_Toc16170"/>
      <w:bookmarkStart w:id="66" w:name="_Toc15377221"/>
      <w:r>
        <w:rPr>
          <w:rStyle w:val="31"/>
          <w:rFonts w:hint="eastAsia" w:ascii="黑体" w:hAnsi="黑体" w:eastAsia="黑体"/>
          <w:b w:val="0"/>
        </w:rPr>
        <w:t>其他重要事项的情况说明</w:t>
      </w:r>
      <w:bookmarkEnd w:id="64"/>
      <w:bookmarkEnd w:id="65"/>
      <w:bookmarkEnd w:id="66"/>
    </w:p>
    <w:p>
      <w:pPr>
        <w:spacing w:line="600" w:lineRule="exact"/>
        <w:ind w:firstLine="643" w:firstLineChars="200"/>
        <w:outlineLvl w:val="2"/>
        <w:rPr>
          <w:rFonts w:hint="eastAsia" w:ascii="仿宋" w:hAnsi="仿宋" w:eastAsia="仿宋" w:cs="仿宋"/>
          <w:b/>
          <w:bCs/>
          <w:sz w:val="32"/>
          <w:szCs w:val="32"/>
        </w:rPr>
      </w:pPr>
      <w:bookmarkStart w:id="67" w:name="_Toc15377222"/>
      <w:bookmarkStart w:id="68" w:name="_Toc30369"/>
      <w:r>
        <w:rPr>
          <w:rFonts w:hint="eastAsia" w:ascii="仿宋" w:hAnsi="仿宋" w:eastAsia="仿宋" w:cs="仿宋"/>
          <w:b/>
          <w:bCs/>
          <w:sz w:val="32"/>
          <w:szCs w:val="32"/>
        </w:rPr>
        <w:t>（一）机关运行经费支出情况</w:t>
      </w:r>
      <w:bookmarkEnd w:id="67"/>
      <w:bookmarkEnd w:id="68"/>
    </w:p>
    <w:p>
      <w:pPr>
        <w:spacing w:line="600" w:lineRule="exact"/>
        <w:ind w:firstLine="640"/>
        <w:rPr>
          <w:rFonts w:hint="eastAsia" w:eastAsia="仿宋_GB2312"/>
          <w:color w:val="auto"/>
          <w:sz w:val="32"/>
          <w:szCs w:val="32"/>
          <w:lang w:val="en-US" w:eastAsia="zh-CN"/>
        </w:rPr>
      </w:pPr>
      <w:r>
        <w:rPr>
          <w:rFonts w:hint="eastAsia" w:eastAsia="仿宋_GB2312"/>
          <w:color w:val="auto"/>
          <w:sz w:val="32"/>
          <w:szCs w:val="32"/>
          <w:lang w:val="en-US" w:eastAsia="zh-CN"/>
        </w:rPr>
        <w:t>2023年度，</w:t>
      </w:r>
      <w:r>
        <w:rPr>
          <w:rFonts w:hint="eastAsia" w:eastAsia="仿宋_GB2312"/>
          <w:color w:val="auto"/>
          <w:sz w:val="32"/>
          <w:szCs w:val="32"/>
          <w:lang w:val="zh-CN" w:eastAsia="zh-CN"/>
        </w:rPr>
        <w:t>盐边县红格国际运动康养·温泉度假区管理委员会</w:t>
      </w:r>
      <w:r>
        <w:rPr>
          <w:rFonts w:hint="eastAsia" w:eastAsia="仿宋_GB2312"/>
          <w:color w:val="auto"/>
          <w:sz w:val="32"/>
          <w:szCs w:val="32"/>
          <w:lang w:val="en-US" w:eastAsia="zh-CN"/>
        </w:rPr>
        <w:t>机关运行经费支出10.59万元，比2022年度减少18.42万元，下降63.5%。主要原因是严控公用经费支出。</w:t>
      </w:r>
    </w:p>
    <w:p>
      <w:pPr>
        <w:spacing w:line="600" w:lineRule="exact"/>
        <w:ind w:firstLine="643" w:firstLineChars="200"/>
        <w:outlineLvl w:val="2"/>
        <w:rPr>
          <w:rFonts w:hint="eastAsia" w:ascii="仿宋" w:hAnsi="仿宋" w:eastAsia="仿宋" w:cs="仿宋"/>
          <w:b/>
          <w:bCs/>
          <w:sz w:val="32"/>
          <w:szCs w:val="32"/>
        </w:rPr>
      </w:pPr>
      <w:bookmarkStart w:id="69" w:name="_Toc15377223"/>
      <w:bookmarkStart w:id="70" w:name="_Toc11782"/>
      <w:r>
        <w:rPr>
          <w:rFonts w:hint="eastAsia" w:ascii="仿宋" w:hAnsi="仿宋" w:eastAsia="仿宋" w:cs="仿宋"/>
          <w:b/>
          <w:bCs/>
          <w:sz w:val="32"/>
          <w:szCs w:val="32"/>
        </w:rPr>
        <w:t>（二）政府采购支出情况</w:t>
      </w:r>
      <w:bookmarkEnd w:id="69"/>
      <w:bookmarkEnd w:id="70"/>
    </w:p>
    <w:p>
      <w:pPr>
        <w:spacing w:line="600" w:lineRule="exact"/>
        <w:ind w:firstLine="640"/>
        <w:rPr>
          <w:rFonts w:hint="eastAsia" w:eastAsia="仿宋_GB2312"/>
          <w:color w:val="auto"/>
          <w:sz w:val="32"/>
          <w:szCs w:val="32"/>
          <w:lang w:val="en-US" w:eastAsia="zh-CN"/>
        </w:rPr>
      </w:pPr>
      <w:r>
        <w:rPr>
          <w:rFonts w:hint="eastAsia" w:eastAsia="仿宋_GB2312"/>
          <w:color w:val="auto"/>
          <w:sz w:val="32"/>
          <w:szCs w:val="32"/>
          <w:lang w:val="en-US" w:eastAsia="zh-CN"/>
        </w:rPr>
        <w:t>2023年度，</w:t>
      </w:r>
      <w:r>
        <w:rPr>
          <w:rFonts w:hint="eastAsia" w:eastAsia="仿宋_GB2312"/>
          <w:color w:val="auto"/>
          <w:sz w:val="32"/>
          <w:szCs w:val="32"/>
          <w:lang w:val="zh-CN" w:eastAsia="zh-CN"/>
        </w:rPr>
        <w:t>盐边县红格国际运动康养·温泉度假区管理委员会</w:t>
      </w:r>
      <w:r>
        <w:rPr>
          <w:rFonts w:hint="eastAsia" w:eastAsia="仿宋_GB2312"/>
          <w:color w:val="auto"/>
          <w:sz w:val="32"/>
          <w:szCs w:val="32"/>
          <w:lang w:val="en-US" w:eastAsia="zh-CN"/>
        </w:rPr>
        <w:t>政府采购支出总额0万元。</w:t>
      </w:r>
    </w:p>
    <w:p>
      <w:pPr>
        <w:spacing w:line="600" w:lineRule="exact"/>
        <w:ind w:firstLine="643" w:firstLineChars="200"/>
        <w:outlineLvl w:val="2"/>
        <w:rPr>
          <w:rFonts w:hint="eastAsia" w:ascii="仿宋" w:hAnsi="仿宋" w:eastAsia="仿宋" w:cs="仿宋"/>
          <w:b/>
          <w:bCs/>
          <w:sz w:val="32"/>
          <w:szCs w:val="32"/>
        </w:rPr>
      </w:pPr>
      <w:bookmarkStart w:id="71" w:name="_Toc15377224"/>
      <w:bookmarkStart w:id="72" w:name="_Toc7083"/>
      <w:r>
        <w:rPr>
          <w:rFonts w:hint="eastAsia" w:ascii="仿宋" w:hAnsi="仿宋" w:eastAsia="仿宋" w:cs="仿宋"/>
          <w:b/>
          <w:bCs/>
          <w:sz w:val="32"/>
          <w:szCs w:val="32"/>
        </w:rPr>
        <w:t>（三）国有资产占有使用情况</w:t>
      </w:r>
      <w:bookmarkEnd w:id="71"/>
      <w:bookmarkEnd w:id="72"/>
    </w:p>
    <w:p>
      <w:pPr>
        <w:autoSpaceDE w:val="0"/>
        <w:autoSpaceDN w:val="0"/>
        <w:adjustRightInd w:val="0"/>
        <w:spacing w:line="600" w:lineRule="exact"/>
        <w:ind w:firstLine="640" w:firstLineChars="200"/>
        <w:jc w:val="left"/>
        <w:rPr>
          <w:rFonts w:ascii="Times New Roman" w:hAnsi="Times New Roman" w:eastAsia="仿宋_GB2312"/>
          <w:sz w:val="32"/>
          <w:szCs w:val="32"/>
        </w:rPr>
      </w:pPr>
      <w:r>
        <w:rPr>
          <w:rFonts w:hint="eastAsia" w:eastAsia="仿宋_GB2312"/>
          <w:color w:val="auto"/>
          <w:sz w:val="32"/>
          <w:szCs w:val="32"/>
          <w:lang w:val="en-US" w:eastAsia="zh-CN"/>
        </w:rPr>
        <w:t>截至2023年12月31日，</w:t>
      </w:r>
      <w:r>
        <w:rPr>
          <w:rFonts w:hint="eastAsia" w:eastAsia="仿宋_GB2312"/>
          <w:color w:val="auto"/>
          <w:sz w:val="32"/>
          <w:szCs w:val="32"/>
          <w:lang w:val="zh-CN" w:eastAsia="zh-CN"/>
        </w:rPr>
        <w:t>盐边县红格国际运动康养·温泉度假区管理委员会</w:t>
      </w:r>
      <w:r>
        <w:rPr>
          <w:rFonts w:hint="eastAsia" w:eastAsia="仿宋_GB2312"/>
          <w:color w:val="auto"/>
          <w:sz w:val="32"/>
          <w:szCs w:val="32"/>
          <w:lang w:val="en-US" w:eastAsia="zh-CN"/>
        </w:rPr>
        <w:t>共有车辆2辆，其中：主要领导干部用车0辆、机要通信用车0辆、应急保障用车0辆、其他用车2辆（借用），其他用车主要是用于到项目现场使用。单价100万元以上设备（不含车辆）0台（套）。</w:t>
      </w:r>
    </w:p>
    <w:p>
      <w:pPr>
        <w:spacing w:line="600" w:lineRule="exact"/>
        <w:ind w:firstLine="643" w:firstLineChars="200"/>
        <w:outlineLvl w:val="2"/>
        <w:rPr>
          <w:rFonts w:hint="eastAsia" w:ascii="仿宋" w:hAnsi="仿宋" w:eastAsia="仿宋" w:cs="仿宋"/>
          <w:b/>
          <w:bCs/>
          <w:color w:val="auto"/>
          <w:sz w:val="32"/>
          <w:szCs w:val="32"/>
        </w:rPr>
      </w:pPr>
      <w:bookmarkStart w:id="73" w:name="_Toc20402"/>
      <w:r>
        <w:rPr>
          <w:rFonts w:hint="eastAsia" w:ascii="仿宋" w:hAnsi="仿宋" w:eastAsia="仿宋" w:cs="仿宋"/>
          <w:b/>
          <w:bCs/>
          <w:color w:val="auto"/>
          <w:sz w:val="32"/>
          <w:szCs w:val="32"/>
        </w:rPr>
        <w:t>（四）预算绩效管理情况</w:t>
      </w:r>
      <w:bookmarkEnd w:id="73"/>
    </w:p>
    <w:p>
      <w:pPr>
        <w:autoSpaceDE w:val="0"/>
        <w:autoSpaceDN w:val="0"/>
        <w:adjustRightInd w:val="0"/>
        <w:spacing w:line="600" w:lineRule="exact"/>
        <w:ind w:firstLine="640" w:firstLineChars="200"/>
        <w:jc w:val="left"/>
        <w:rPr>
          <w:rFonts w:hint="eastAsia" w:eastAsia="仿宋_GB2312"/>
          <w:color w:val="auto"/>
          <w:sz w:val="32"/>
          <w:szCs w:val="32"/>
          <w:lang w:val="en-US" w:eastAsia="zh-CN"/>
        </w:rPr>
      </w:pPr>
      <w:r>
        <w:rPr>
          <w:rFonts w:hint="eastAsia" w:eastAsia="仿宋_GB2312"/>
          <w:color w:val="auto"/>
          <w:sz w:val="32"/>
          <w:szCs w:val="32"/>
          <w:lang w:val="en-US" w:eastAsia="zh-CN"/>
        </w:rPr>
        <w:t>根据预算绩效管理要求，本部门在2023年度预算编制阶段，组织对红格度假区基础设施项目奖补资金等9个项目开展了预算事前绩效评估，对9个项目编制了绩效目标，预算执行过程中，选取9个项目开展绩效监控。</w:t>
      </w:r>
    </w:p>
    <w:p>
      <w:pPr>
        <w:autoSpaceDE w:val="0"/>
        <w:autoSpaceDN w:val="0"/>
        <w:adjustRightInd w:val="0"/>
        <w:spacing w:line="600" w:lineRule="exact"/>
        <w:ind w:firstLine="640" w:firstLineChars="200"/>
        <w:jc w:val="left"/>
        <w:rPr>
          <w:rFonts w:hint="eastAsia" w:ascii="Times New Roman" w:hAnsi="Times New Roman" w:eastAsia="仿宋_GB2312"/>
          <w:sz w:val="32"/>
          <w:szCs w:val="32"/>
          <w:lang w:val="en-US" w:eastAsia="zh-CN"/>
        </w:rPr>
      </w:pPr>
      <w:r>
        <w:rPr>
          <w:rFonts w:hint="eastAsia" w:eastAsia="仿宋_GB2312"/>
          <w:color w:val="auto"/>
          <w:sz w:val="32"/>
          <w:szCs w:val="32"/>
          <w:lang w:val="en-US" w:eastAsia="zh-CN"/>
        </w:rPr>
        <w:t>组织对2023年度部门所有预算资金全面开展绩效自评，形成盐边县红格国际运动康养·温泉度假区管理委员会部门整体绩效自评报告、红格度假区基础设施项目奖补资金等专项预算项目绩效自评报告，其中，昔格达大道北段提升改造工程专项预算项目绩效自评得分为91分，红格训练基地道路改造专项预算项目绩效自评得分为93分，京东（盐边）乡村振兴示范园装修工程专项预算项目绩效自评得分为93分，红格度假区基础设施项目奖补资金专项预算项目绩效自评得分为93分，红格度假区环保整改专项预算项目绩效自评得分为89分，红格度假区基础设施项目清算专项预算项目绩效自评得分为93分，天府旅游名县创建专项预算项目绩效自评得分为93分，省级体育旅游示范基地创建专项预算项目绩效自评得分为89分，盐边县红格国际运动康养·温泉度假区基础设施项目管理、运营、维护等专项预算项目绩效自评得分为85分，绩效自评综述：投入经济和立项必要性，筹资合规，绩效目标合理，实施方案可行、可持续。绩效自评报告详见附件。</w:t>
      </w:r>
      <w:r>
        <w:rPr>
          <w:rFonts w:hint="eastAsia" w:ascii="Times New Roman" w:hAnsi="Times New Roman" w:eastAsia="仿宋_GB2312"/>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outlineLvl w:val="0"/>
        <w:rPr>
          <w:rStyle w:val="30"/>
          <w:rFonts w:ascii="方正小标宋简体" w:hAnsi="黑体" w:eastAsia="方正小标宋简体"/>
          <w:b w:val="0"/>
        </w:rPr>
      </w:pPr>
      <w:r>
        <w:rPr>
          <w:rStyle w:val="30"/>
          <w:rFonts w:hint="eastAsia" w:ascii="方正小标宋简体" w:hAnsi="黑体" w:eastAsia="方正小标宋简体"/>
          <w:b w:val="0"/>
          <w:bCs/>
          <w:lang w:eastAsia="zh-CN"/>
        </w:rPr>
        <w:t>第三部分</w:t>
      </w:r>
      <w:r>
        <w:rPr>
          <w:rStyle w:val="30"/>
          <w:rFonts w:hint="eastAsia" w:ascii="方正小标宋简体" w:hAnsi="黑体" w:eastAsia="方正小标宋简体"/>
          <w:b w:val="0"/>
          <w:bCs/>
          <w:lang w:val="en-US" w:eastAsia="zh-CN"/>
        </w:rPr>
        <w:t xml:space="preserve"> 名词解释</w:t>
      </w:r>
    </w:p>
    <w:p>
      <w:pPr>
        <w:spacing w:line="600" w:lineRule="exact"/>
        <w:jc w:val="left"/>
        <w:rPr>
          <w:rFonts w:ascii="宋体"/>
          <w:b/>
          <w:sz w:val="44"/>
          <w:szCs w:val="44"/>
        </w:rPr>
      </w:pPr>
    </w:p>
    <w:p>
      <w:pPr>
        <w:pStyle w:val="28"/>
        <w:keepNext w:val="0"/>
        <w:keepLines w:val="0"/>
        <w:pageBreakBefore w:val="0"/>
        <w:widowControl w:val="0"/>
        <w:kinsoku/>
        <w:wordWrap/>
        <w:overflowPunct/>
        <w:topLinePunct w:val="0"/>
        <w:bidi w:val="0"/>
        <w:snapToGrid/>
        <w:spacing w:line="56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1.财政拨款收入：指单位从同级财政部门取得的财政预算资金。</w:t>
      </w:r>
    </w:p>
    <w:p>
      <w:pPr>
        <w:keepNext w:val="0"/>
        <w:keepLines w:val="0"/>
        <w:pageBreakBefore w:val="0"/>
        <w:widowControl w:val="0"/>
        <w:kinsoku/>
        <w:wordWrap/>
        <w:overflowPunct/>
        <w:topLinePunct w:val="0"/>
        <w:bidi w:val="0"/>
        <w:snapToGrid/>
        <w:ind w:firstLine="640" w:firstLineChars="200"/>
        <w:textAlignment w:val="auto"/>
        <w:rPr>
          <w:rFonts w:eastAsia="仿宋_GB2312"/>
          <w:sz w:val="32"/>
          <w:szCs w:val="32"/>
        </w:rPr>
      </w:pPr>
      <w:r>
        <w:rPr>
          <w:rFonts w:eastAsia="仿宋_GB2312"/>
          <w:sz w:val="32"/>
          <w:szCs w:val="32"/>
        </w:rPr>
        <w:t>2.</w:t>
      </w:r>
      <w:r>
        <w:rPr>
          <w:rStyle w:val="19"/>
          <w:rFonts w:eastAsia="仿宋_GB2312"/>
          <w:b w:val="0"/>
          <w:bCs/>
          <w:sz w:val="32"/>
          <w:szCs w:val="32"/>
        </w:rPr>
        <w:t>一般公共服务（类）</w:t>
      </w:r>
      <w:r>
        <w:rPr>
          <w:rFonts w:eastAsia="仿宋_GB2312"/>
          <w:sz w:val="32"/>
          <w:szCs w:val="32"/>
        </w:rPr>
        <w:t>政府办公厅（室）及相关机构事务（</w:t>
      </w:r>
      <w:r>
        <w:rPr>
          <w:rStyle w:val="19"/>
          <w:rFonts w:eastAsia="仿宋_GB2312"/>
          <w:b w:val="0"/>
          <w:bCs/>
          <w:sz w:val="32"/>
          <w:szCs w:val="32"/>
        </w:rPr>
        <w:t>款）</w:t>
      </w:r>
      <w:r>
        <w:rPr>
          <w:rFonts w:eastAsia="仿宋_GB2312"/>
          <w:sz w:val="32"/>
          <w:szCs w:val="32"/>
        </w:rPr>
        <w:t>行政运行</w:t>
      </w:r>
      <w:r>
        <w:rPr>
          <w:rStyle w:val="19"/>
          <w:rFonts w:eastAsia="仿宋_GB2312"/>
          <w:b w:val="0"/>
          <w:bCs/>
          <w:sz w:val="32"/>
          <w:szCs w:val="32"/>
        </w:rPr>
        <w:t>（项）：</w:t>
      </w:r>
      <w:r>
        <w:rPr>
          <w:rFonts w:eastAsia="仿宋_GB2312"/>
          <w:sz w:val="32"/>
          <w:szCs w:val="32"/>
        </w:rPr>
        <w:t>反映行政单位（包括实行公务员管理的事业单位）的基本支出。</w:t>
      </w:r>
    </w:p>
    <w:p>
      <w:pPr>
        <w:keepNext w:val="0"/>
        <w:keepLines w:val="0"/>
        <w:pageBreakBefore w:val="0"/>
        <w:widowControl w:val="0"/>
        <w:kinsoku/>
        <w:wordWrap/>
        <w:overflowPunct/>
        <w:topLinePunct w:val="0"/>
        <w:bidi w:val="0"/>
        <w:snapToGrid/>
        <w:ind w:firstLine="640" w:firstLineChars="200"/>
        <w:textAlignment w:val="auto"/>
      </w:pPr>
      <w:r>
        <w:rPr>
          <w:rFonts w:hint="eastAsia" w:eastAsia="仿宋_GB2312"/>
          <w:sz w:val="32"/>
          <w:szCs w:val="32"/>
          <w:lang w:val="en-US" w:eastAsia="zh-CN"/>
        </w:rPr>
        <w:t>3</w:t>
      </w:r>
      <w:r>
        <w:rPr>
          <w:rFonts w:eastAsia="仿宋_GB2312"/>
          <w:sz w:val="32"/>
          <w:szCs w:val="32"/>
        </w:rPr>
        <w:t>.一般公共服务（类）政府办公厅（室）及相关机构事务（款）</w:t>
      </w:r>
      <w:r>
        <w:rPr>
          <w:rFonts w:hint="eastAsia" w:eastAsia="仿宋_GB2312"/>
          <w:sz w:val="32"/>
          <w:szCs w:val="32"/>
          <w:lang w:eastAsia="zh-CN"/>
        </w:rPr>
        <w:t>一般行政管理事务</w:t>
      </w:r>
      <w:r>
        <w:rPr>
          <w:rFonts w:eastAsia="仿宋_GB2312"/>
          <w:sz w:val="32"/>
          <w:szCs w:val="32"/>
        </w:rPr>
        <w:t>（项）：</w:t>
      </w:r>
      <w:r>
        <w:rPr>
          <w:rFonts w:hint="eastAsia" w:eastAsia="仿宋_GB2312"/>
          <w:sz w:val="32"/>
          <w:szCs w:val="32"/>
          <w:lang w:eastAsia="zh-CN"/>
        </w:rPr>
        <w:t>反映</w:t>
      </w:r>
      <w:r>
        <w:rPr>
          <w:rFonts w:eastAsia="仿宋_GB2312"/>
          <w:sz w:val="32"/>
          <w:szCs w:val="32"/>
        </w:rPr>
        <w:t>行政单位（包括实行公务员管理的事业单位）</w:t>
      </w:r>
      <w:r>
        <w:rPr>
          <w:rFonts w:hint="eastAsia" w:eastAsia="仿宋_GB2312"/>
          <w:sz w:val="32"/>
          <w:szCs w:val="32"/>
          <w:lang w:eastAsia="zh-CN"/>
        </w:rPr>
        <w:t>未单独设置项级科目的其他项目支出。</w:t>
      </w:r>
    </w:p>
    <w:p>
      <w:pPr>
        <w:keepNext w:val="0"/>
        <w:keepLines w:val="0"/>
        <w:pageBreakBefore w:val="0"/>
        <w:widowControl w:val="0"/>
        <w:kinsoku/>
        <w:wordWrap/>
        <w:overflowPunct/>
        <w:topLinePunct w:val="0"/>
        <w:bidi w:val="0"/>
        <w:snapToGrid/>
        <w:ind w:firstLine="640" w:firstLineChars="200"/>
        <w:textAlignment w:val="auto"/>
        <w:rPr>
          <w:rFonts w:eastAsia="仿宋_GB2312"/>
          <w:sz w:val="32"/>
          <w:szCs w:val="32"/>
        </w:rPr>
      </w:pPr>
      <w:r>
        <w:rPr>
          <w:rFonts w:hint="eastAsia" w:eastAsia="仿宋_GB2312"/>
          <w:sz w:val="32"/>
          <w:szCs w:val="32"/>
          <w:lang w:val="en-US" w:eastAsia="zh-CN"/>
        </w:rPr>
        <w:t>4</w:t>
      </w:r>
      <w:r>
        <w:rPr>
          <w:rFonts w:eastAsia="仿宋_GB2312"/>
          <w:sz w:val="32"/>
          <w:szCs w:val="32"/>
        </w:rPr>
        <w:t>.</w:t>
      </w:r>
      <w:r>
        <w:rPr>
          <w:rStyle w:val="19"/>
          <w:rFonts w:eastAsia="仿宋_GB2312"/>
          <w:b w:val="0"/>
          <w:bCs/>
          <w:sz w:val="32"/>
          <w:szCs w:val="32"/>
        </w:rPr>
        <w:t>一般公共服务（类）</w:t>
      </w:r>
      <w:r>
        <w:rPr>
          <w:rFonts w:eastAsia="仿宋_GB2312"/>
          <w:sz w:val="32"/>
          <w:szCs w:val="32"/>
        </w:rPr>
        <w:t>政府办公厅（室）及相关机构事务（</w:t>
      </w:r>
      <w:r>
        <w:rPr>
          <w:rStyle w:val="19"/>
          <w:rFonts w:eastAsia="仿宋_GB2312"/>
          <w:b w:val="0"/>
          <w:bCs/>
          <w:sz w:val="32"/>
          <w:szCs w:val="32"/>
        </w:rPr>
        <w:t>款）</w:t>
      </w:r>
      <w:r>
        <w:rPr>
          <w:rFonts w:eastAsia="仿宋_GB2312"/>
          <w:sz w:val="32"/>
          <w:szCs w:val="32"/>
        </w:rPr>
        <w:t>事业运行</w:t>
      </w:r>
      <w:r>
        <w:rPr>
          <w:rStyle w:val="19"/>
          <w:rFonts w:eastAsia="仿宋_GB2312"/>
          <w:b w:val="0"/>
          <w:bCs/>
          <w:sz w:val="32"/>
          <w:szCs w:val="32"/>
        </w:rPr>
        <w:t>（项）</w:t>
      </w:r>
      <w:r>
        <w:rPr>
          <w:rStyle w:val="19"/>
          <w:rFonts w:hint="eastAsia" w:eastAsia="仿宋_GB2312"/>
          <w:b w:val="0"/>
          <w:bCs/>
          <w:sz w:val="32"/>
          <w:szCs w:val="32"/>
          <w:lang w:eastAsia="zh-CN"/>
        </w:rPr>
        <w:t>：</w:t>
      </w:r>
      <w:r>
        <w:rPr>
          <w:rStyle w:val="19"/>
          <w:rFonts w:eastAsia="仿宋_GB2312"/>
          <w:b w:val="0"/>
          <w:bCs/>
          <w:sz w:val="32"/>
          <w:szCs w:val="32"/>
        </w:rPr>
        <w:t>反映事业单位的基本支出，不包括行政单位（包括实行公务员管理的事业单位）后勤服务中心、医务室等附属事业单位。</w:t>
      </w:r>
    </w:p>
    <w:p>
      <w:pPr>
        <w:keepNext w:val="0"/>
        <w:keepLines w:val="0"/>
        <w:pageBreakBefore w:val="0"/>
        <w:widowControl w:val="0"/>
        <w:kinsoku/>
        <w:wordWrap/>
        <w:overflowPunct/>
        <w:topLinePunct w:val="0"/>
        <w:bidi w:val="0"/>
        <w:snapToGrid/>
        <w:ind w:firstLine="640" w:firstLineChars="200"/>
        <w:textAlignment w:val="auto"/>
        <w:rPr>
          <w:rFonts w:eastAsia="仿宋_GB2312"/>
          <w:sz w:val="32"/>
          <w:szCs w:val="32"/>
        </w:rPr>
      </w:pPr>
      <w:r>
        <w:rPr>
          <w:rFonts w:hint="eastAsia" w:eastAsia="仿宋_GB2312"/>
          <w:sz w:val="32"/>
          <w:szCs w:val="32"/>
          <w:lang w:val="en-US" w:eastAsia="zh-CN"/>
        </w:rPr>
        <w:t>5</w:t>
      </w:r>
      <w:r>
        <w:rPr>
          <w:rFonts w:eastAsia="仿宋_GB2312"/>
          <w:sz w:val="32"/>
          <w:szCs w:val="32"/>
        </w:rPr>
        <w:t>.</w:t>
      </w:r>
      <w:r>
        <w:rPr>
          <w:rStyle w:val="19"/>
          <w:rFonts w:eastAsia="仿宋_GB2312"/>
          <w:bCs/>
          <w:sz w:val="32"/>
          <w:szCs w:val="32"/>
        </w:rPr>
        <w:t xml:space="preserve"> </w:t>
      </w:r>
      <w:r>
        <w:rPr>
          <w:rStyle w:val="19"/>
          <w:rFonts w:eastAsia="仿宋_GB2312"/>
          <w:b w:val="0"/>
          <w:bCs/>
          <w:sz w:val="32"/>
          <w:szCs w:val="32"/>
        </w:rPr>
        <w:t>文化旅游体育与传媒（类）文化和旅游（款）</w:t>
      </w:r>
      <w:r>
        <w:rPr>
          <w:rStyle w:val="19"/>
          <w:rFonts w:hint="eastAsia" w:eastAsia="仿宋_GB2312"/>
          <w:b w:val="0"/>
          <w:bCs/>
          <w:sz w:val="32"/>
          <w:szCs w:val="32"/>
          <w:lang w:eastAsia="zh-CN"/>
        </w:rPr>
        <w:t>其他文化和旅游支出</w:t>
      </w:r>
      <w:r>
        <w:rPr>
          <w:rStyle w:val="19"/>
          <w:rFonts w:eastAsia="仿宋_GB2312"/>
          <w:b w:val="0"/>
          <w:bCs/>
          <w:sz w:val="32"/>
          <w:szCs w:val="32"/>
        </w:rPr>
        <w:t>（项）:反映</w:t>
      </w:r>
      <w:r>
        <w:rPr>
          <w:rStyle w:val="19"/>
          <w:rFonts w:hint="eastAsia" w:eastAsia="仿宋_GB2312"/>
          <w:b w:val="0"/>
          <w:bCs/>
          <w:sz w:val="32"/>
          <w:szCs w:val="32"/>
          <w:lang w:eastAsia="zh-CN"/>
        </w:rPr>
        <w:t>其他用于</w:t>
      </w:r>
      <w:r>
        <w:rPr>
          <w:rStyle w:val="19"/>
          <w:rFonts w:eastAsia="仿宋_GB2312"/>
          <w:b w:val="0"/>
          <w:bCs/>
          <w:sz w:val="32"/>
          <w:szCs w:val="32"/>
        </w:rPr>
        <w:t>文化和旅游</w:t>
      </w:r>
      <w:r>
        <w:rPr>
          <w:rStyle w:val="19"/>
          <w:rFonts w:hint="eastAsia" w:eastAsia="仿宋_GB2312"/>
          <w:b w:val="0"/>
          <w:bCs/>
          <w:sz w:val="32"/>
          <w:szCs w:val="32"/>
          <w:lang w:eastAsia="zh-CN"/>
        </w:rPr>
        <w:t>方面的</w:t>
      </w:r>
      <w:r>
        <w:rPr>
          <w:rStyle w:val="19"/>
          <w:rFonts w:eastAsia="仿宋_GB2312"/>
          <w:b w:val="0"/>
          <w:bCs/>
          <w:sz w:val="32"/>
          <w:szCs w:val="32"/>
        </w:rPr>
        <w:t>支出</w:t>
      </w:r>
      <w:r>
        <w:rPr>
          <w:rFonts w:eastAsia="仿宋_GB2312"/>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eastAsia="仿宋_GB2312"/>
          <w:bCs/>
          <w:sz w:val="32"/>
          <w:szCs w:val="32"/>
        </w:rPr>
      </w:pPr>
      <w:r>
        <w:rPr>
          <w:rFonts w:hint="eastAsia" w:eastAsia="仿宋_GB2312"/>
          <w:bCs/>
          <w:sz w:val="32"/>
          <w:szCs w:val="32"/>
          <w:lang w:val="en-US" w:eastAsia="zh-CN"/>
        </w:rPr>
        <w:t>6</w:t>
      </w:r>
      <w:r>
        <w:rPr>
          <w:rFonts w:eastAsia="仿宋_GB2312"/>
          <w:bCs/>
          <w:sz w:val="32"/>
          <w:szCs w:val="32"/>
        </w:rPr>
        <w:t>.社会保障和就业（类）行政事业单位养老支出（款） 机关事业单位基本养老保险缴费支出（项）:反映机关事业单位实施养老保险制度由单位缴纳的基本养老保险费支出。</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eastAsia="仿宋_GB2312"/>
          <w:bCs/>
          <w:sz w:val="32"/>
          <w:szCs w:val="32"/>
          <w:lang w:eastAsia="zh-CN"/>
        </w:rPr>
      </w:pPr>
      <w:r>
        <w:rPr>
          <w:rFonts w:hint="eastAsia" w:eastAsia="仿宋_GB2312"/>
          <w:bCs/>
          <w:sz w:val="32"/>
          <w:szCs w:val="32"/>
          <w:lang w:val="en-US" w:eastAsia="zh-CN"/>
        </w:rPr>
        <w:t>7</w:t>
      </w:r>
      <w:r>
        <w:rPr>
          <w:rFonts w:eastAsia="仿宋_GB2312"/>
          <w:bCs/>
          <w:sz w:val="32"/>
          <w:szCs w:val="32"/>
        </w:rPr>
        <w:t xml:space="preserve">.卫生健康支出（类）行政事业单位医疗（款）行政单位医疗（项）: </w:t>
      </w:r>
      <w:r>
        <w:rPr>
          <w:rFonts w:hint="eastAsia" w:eastAsia="仿宋_GB2312"/>
          <w:bCs/>
          <w:sz w:val="32"/>
          <w:szCs w:val="32"/>
          <w:lang w:eastAsia="zh-CN"/>
        </w:rPr>
        <w:t>反映财政部门安排的行政单位（</w:t>
      </w:r>
      <w:r>
        <w:rPr>
          <w:rStyle w:val="19"/>
          <w:rFonts w:eastAsia="仿宋_GB2312"/>
          <w:b w:val="0"/>
          <w:bCs/>
          <w:sz w:val="32"/>
          <w:szCs w:val="32"/>
        </w:rPr>
        <w:t>包括实行公务员管理的事业单位</w:t>
      </w:r>
      <w:r>
        <w:rPr>
          <w:rStyle w:val="19"/>
          <w:rFonts w:hint="eastAsia" w:eastAsia="仿宋_GB2312"/>
          <w:b w:val="0"/>
          <w:bCs/>
          <w:sz w:val="32"/>
          <w:szCs w:val="32"/>
          <w:lang w:eastAsia="zh-CN"/>
        </w:rPr>
        <w:t>，下同）基本医疗保险缴费经费，未参加医疗保险的行政单位的公费医疗经费，按国家规定享受离休人员、红军老战士待遇人员的医疗经费。</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eastAsia="仿宋_GB2312"/>
          <w:bCs/>
          <w:sz w:val="32"/>
          <w:szCs w:val="32"/>
          <w:lang w:eastAsia="zh-CN"/>
        </w:rPr>
      </w:pPr>
      <w:r>
        <w:rPr>
          <w:rFonts w:hint="eastAsia" w:eastAsia="仿宋_GB2312"/>
          <w:bCs/>
          <w:sz w:val="32"/>
          <w:szCs w:val="32"/>
          <w:lang w:val="en-US" w:eastAsia="zh-CN"/>
        </w:rPr>
        <w:t>8</w:t>
      </w:r>
      <w:r>
        <w:rPr>
          <w:rFonts w:eastAsia="仿宋_GB2312"/>
          <w:bCs/>
          <w:sz w:val="32"/>
          <w:szCs w:val="32"/>
        </w:rPr>
        <w:t>.卫生健康支出（类）行政事业单位医疗（款）事业单位医疗（项）</w:t>
      </w:r>
      <w:r>
        <w:rPr>
          <w:rFonts w:hint="eastAsia" w:ascii="仿宋_GB2312" w:eastAsia="仿宋_GB2312"/>
          <w:sz w:val="32"/>
          <w:szCs w:val="32"/>
        </w:rPr>
        <w:t>：</w:t>
      </w:r>
      <w:r>
        <w:rPr>
          <w:rFonts w:hint="eastAsia" w:eastAsia="仿宋_GB2312"/>
          <w:bCs/>
          <w:sz w:val="32"/>
          <w:szCs w:val="32"/>
          <w:lang w:eastAsia="zh-CN"/>
        </w:rPr>
        <w:t>反映财政部门安排的事业单位</w:t>
      </w:r>
      <w:r>
        <w:rPr>
          <w:rStyle w:val="19"/>
          <w:rFonts w:hint="eastAsia" w:eastAsia="仿宋_GB2312"/>
          <w:b w:val="0"/>
          <w:bCs/>
          <w:sz w:val="32"/>
          <w:szCs w:val="32"/>
          <w:lang w:eastAsia="zh-CN"/>
        </w:rPr>
        <w:t>基本医疗保险缴费经费，未参加医疗保险的事业单位的公费医疗经费，按国家规定享受离休人员待遇的医疗经费。</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eastAsia="仿宋_GB2312"/>
          <w:sz w:val="32"/>
          <w:szCs w:val="32"/>
          <w:lang w:eastAsia="zh-CN"/>
        </w:rPr>
      </w:pPr>
      <w:r>
        <w:rPr>
          <w:rFonts w:hint="eastAsia" w:eastAsia="仿宋_GB2312"/>
          <w:bCs/>
          <w:sz w:val="32"/>
          <w:szCs w:val="32"/>
          <w:lang w:val="en-US" w:eastAsia="zh-CN"/>
        </w:rPr>
        <w:t>9</w:t>
      </w:r>
      <w:r>
        <w:rPr>
          <w:rFonts w:eastAsia="仿宋_GB2312"/>
          <w:bCs/>
          <w:sz w:val="32"/>
          <w:szCs w:val="32"/>
        </w:rPr>
        <w:t>.卫生健康支出（类）行政事业单位医疗（款）</w:t>
      </w:r>
      <w:r>
        <w:rPr>
          <w:rFonts w:hint="eastAsia" w:eastAsia="仿宋_GB2312"/>
          <w:bCs/>
          <w:sz w:val="32"/>
          <w:szCs w:val="32"/>
          <w:lang w:eastAsia="zh-CN"/>
        </w:rPr>
        <w:t>公务员医疗补助</w:t>
      </w:r>
      <w:r>
        <w:rPr>
          <w:rFonts w:eastAsia="仿宋_GB2312"/>
          <w:bCs/>
          <w:sz w:val="32"/>
          <w:szCs w:val="32"/>
        </w:rPr>
        <w:t>（项</w:t>
      </w:r>
      <w:r>
        <w:rPr>
          <w:rFonts w:hint="eastAsia" w:eastAsia="仿宋_GB2312"/>
          <w:bCs/>
          <w:sz w:val="32"/>
          <w:szCs w:val="32"/>
          <w:lang w:eastAsia="zh-CN"/>
        </w:rPr>
        <w:t>）</w:t>
      </w:r>
      <w:r>
        <w:rPr>
          <w:rFonts w:hint="eastAsia" w:ascii="仿宋_GB2312" w:eastAsia="仿宋_GB2312"/>
          <w:sz w:val="32"/>
          <w:szCs w:val="32"/>
        </w:rPr>
        <w:t>：</w:t>
      </w:r>
      <w:r>
        <w:rPr>
          <w:rFonts w:hint="eastAsia" w:ascii="仿宋_GB2312" w:eastAsia="仿宋_GB2312"/>
          <w:sz w:val="32"/>
          <w:szCs w:val="32"/>
          <w:lang w:eastAsia="zh-CN"/>
        </w:rPr>
        <w:t>反映财政部门安排的公务员医疗补助经费。</w:t>
      </w:r>
    </w:p>
    <w:p>
      <w:pPr>
        <w:pStyle w:val="2"/>
        <w:keepNext w:val="0"/>
        <w:keepLines w:val="0"/>
        <w:pageBreakBefore w:val="0"/>
        <w:widowControl w:val="0"/>
        <w:kinsoku/>
        <w:wordWrap/>
        <w:overflowPunct/>
        <w:topLinePunct w:val="0"/>
        <w:bidi w:val="0"/>
        <w:snapToGrid/>
        <w:ind w:firstLine="640" w:firstLineChars="200"/>
        <w:textAlignment w:val="auto"/>
        <w:rPr>
          <w:rFonts w:hint="eastAsia" w:ascii="Times New Roman" w:cs="Times New Roman"/>
          <w:bCs/>
          <w:kern w:val="2"/>
          <w:sz w:val="32"/>
          <w:szCs w:val="32"/>
          <w:lang w:val="en-US" w:eastAsia="zh-CN" w:bidi="ar-SA"/>
        </w:rPr>
      </w:pPr>
      <w:r>
        <w:rPr>
          <w:rFonts w:hint="eastAsia" w:ascii="Times New Roman" w:cs="Times New Roman"/>
          <w:bCs/>
          <w:kern w:val="2"/>
          <w:sz w:val="32"/>
          <w:szCs w:val="32"/>
          <w:lang w:val="en-US" w:eastAsia="zh-CN" w:bidi="ar-SA"/>
        </w:rPr>
        <w:t>10</w:t>
      </w:r>
      <w:r>
        <w:rPr>
          <w:rFonts w:hint="eastAsia" w:ascii="Times New Roman" w:hAnsi="Times New Roman" w:eastAsia="仿宋_GB2312" w:cs="Times New Roman"/>
          <w:bCs/>
          <w:kern w:val="2"/>
          <w:sz w:val="32"/>
          <w:szCs w:val="32"/>
          <w:lang w:val="en-US" w:eastAsia="zh-CN" w:bidi="ar-SA"/>
        </w:rPr>
        <w:t>.卫生健康支出（类）行政事业单位医疗（款）</w:t>
      </w:r>
      <w:r>
        <w:rPr>
          <w:rFonts w:hint="eastAsia" w:ascii="Times New Roman" w:cs="Times New Roman"/>
          <w:bCs/>
          <w:kern w:val="2"/>
          <w:sz w:val="32"/>
          <w:szCs w:val="32"/>
          <w:lang w:val="en-US" w:eastAsia="zh-CN" w:bidi="ar-SA"/>
        </w:rPr>
        <w:t>其他行政事业单位医疗支出</w:t>
      </w:r>
      <w:r>
        <w:rPr>
          <w:rFonts w:hint="eastAsia" w:ascii="Times New Roman" w:hAnsi="Times New Roman" w:eastAsia="仿宋_GB2312" w:cs="Times New Roman"/>
          <w:bCs/>
          <w:kern w:val="2"/>
          <w:sz w:val="32"/>
          <w:szCs w:val="32"/>
          <w:lang w:val="en-US" w:eastAsia="zh-CN" w:bidi="ar-SA"/>
        </w:rPr>
        <w:t>（项）：</w:t>
      </w:r>
      <w:r>
        <w:rPr>
          <w:rFonts w:hint="eastAsia" w:ascii="Times New Roman" w:cs="Times New Roman"/>
          <w:bCs/>
          <w:kern w:val="2"/>
          <w:sz w:val="32"/>
          <w:szCs w:val="32"/>
          <w:lang w:val="en-US" w:eastAsia="zh-CN" w:bidi="ar-SA"/>
        </w:rPr>
        <w:t>反映其他用于行政事业单位医疗方面的支出。</w:t>
      </w:r>
    </w:p>
    <w:p>
      <w:pPr>
        <w:pStyle w:val="2"/>
        <w:keepNext w:val="0"/>
        <w:keepLines w:val="0"/>
        <w:pageBreakBefore w:val="0"/>
        <w:widowControl w:val="0"/>
        <w:kinsoku/>
        <w:wordWrap/>
        <w:overflowPunct/>
        <w:topLinePunct w:val="0"/>
        <w:bidi w:val="0"/>
        <w:snapToGrid/>
        <w:ind w:firstLine="640" w:firstLineChars="200"/>
        <w:textAlignment w:val="auto"/>
        <w:rPr>
          <w:rFonts w:hint="eastAsia" w:ascii="Times New Roman" w:hAnsi="Times New Roman" w:eastAsia="仿宋_GB2312" w:cs="Times New Roman"/>
          <w:bCs/>
          <w:kern w:val="2"/>
          <w:sz w:val="32"/>
          <w:szCs w:val="32"/>
          <w:lang w:val="en-US" w:eastAsia="zh-CN" w:bidi="ar-SA"/>
        </w:rPr>
      </w:pPr>
      <w:r>
        <w:rPr>
          <w:rFonts w:hint="eastAsia" w:ascii="Times New Roman" w:cs="Times New Roman"/>
          <w:bCs/>
          <w:kern w:val="2"/>
          <w:sz w:val="32"/>
          <w:szCs w:val="32"/>
          <w:lang w:val="en-US" w:eastAsia="zh-CN" w:bidi="ar-SA"/>
        </w:rPr>
        <w:t>11</w:t>
      </w:r>
      <w:r>
        <w:rPr>
          <w:rFonts w:hint="eastAsia" w:ascii="Times New Roman" w:hAnsi="Times New Roman" w:eastAsia="仿宋_GB2312" w:cs="Times New Roman"/>
          <w:bCs/>
          <w:kern w:val="2"/>
          <w:sz w:val="32"/>
          <w:szCs w:val="32"/>
          <w:lang w:val="en-US" w:eastAsia="zh-CN" w:bidi="ar-SA"/>
        </w:rPr>
        <w:t>.</w:t>
      </w:r>
      <w:r>
        <w:rPr>
          <w:rFonts w:hint="eastAsia" w:ascii="Times New Roman" w:cs="Times New Roman"/>
          <w:bCs/>
          <w:kern w:val="2"/>
          <w:sz w:val="32"/>
          <w:szCs w:val="32"/>
          <w:lang w:val="en-US" w:eastAsia="zh-CN" w:bidi="ar-SA"/>
        </w:rPr>
        <w:t>城乡社区</w:t>
      </w:r>
      <w:r>
        <w:rPr>
          <w:rFonts w:hint="eastAsia" w:ascii="Times New Roman" w:hAnsi="Times New Roman" w:eastAsia="仿宋_GB2312" w:cs="Times New Roman"/>
          <w:bCs/>
          <w:kern w:val="2"/>
          <w:sz w:val="32"/>
          <w:szCs w:val="32"/>
          <w:lang w:val="en-US" w:eastAsia="zh-CN" w:bidi="ar-SA"/>
        </w:rPr>
        <w:t>（类）</w:t>
      </w:r>
      <w:r>
        <w:rPr>
          <w:rFonts w:hint="eastAsia" w:ascii="Times New Roman" w:cs="Times New Roman"/>
          <w:bCs/>
          <w:kern w:val="2"/>
          <w:sz w:val="32"/>
          <w:szCs w:val="32"/>
          <w:lang w:val="en-US" w:eastAsia="zh-CN" w:bidi="ar-SA"/>
        </w:rPr>
        <w:t>城乡社区公共设施</w:t>
      </w:r>
      <w:r>
        <w:rPr>
          <w:rFonts w:hint="eastAsia" w:ascii="Times New Roman" w:hAnsi="Times New Roman" w:eastAsia="仿宋_GB2312" w:cs="Times New Roman"/>
          <w:bCs/>
          <w:kern w:val="2"/>
          <w:sz w:val="32"/>
          <w:szCs w:val="32"/>
          <w:lang w:val="en-US" w:eastAsia="zh-CN" w:bidi="ar-SA"/>
        </w:rPr>
        <w:t>（款）</w:t>
      </w:r>
      <w:r>
        <w:rPr>
          <w:rFonts w:hint="eastAsia" w:ascii="Times New Roman" w:cs="Times New Roman"/>
          <w:bCs/>
          <w:kern w:val="2"/>
          <w:sz w:val="32"/>
          <w:szCs w:val="32"/>
          <w:lang w:val="en-US" w:eastAsia="zh-CN" w:bidi="ar-SA"/>
        </w:rPr>
        <w:t>其他城乡社区公共设施支出</w:t>
      </w:r>
      <w:r>
        <w:rPr>
          <w:rFonts w:hint="eastAsia" w:ascii="Times New Roman" w:hAnsi="Times New Roman" w:eastAsia="仿宋_GB2312" w:cs="Times New Roman"/>
          <w:bCs/>
          <w:kern w:val="2"/>
          <w:sz w:val="32"/>
          <w:szCs w:val="32"/>
          <w:lang w:val="en-US" w:eastAsia="zh-CN" w:bidi="ar-SA"/>
        </w:rPr>
        <w:t>（项）：</w:t>
      </w:r>
      <w:r>
        <w:rPr>
          <w:rFonts w:hint="eastAsia" w:ascii="Times New Roman" w:cs="Times New Roman"/>
          <w:bCs/>
          <w:kern w:val="2"/>
          <w:sz w:val="32"/>
          <w:szCs w:val="32"/>
          <w:lang w:val="en-US" w:eastAsia="zh-CN" w:bidi="ar-SA"/>
        </w:rPr>
        <w:t>反映其他用于城乡社区公共设施方面的支出。</w:t>
      </w:r>
    </w:p>
    <w:p>
      <w:pPr>
        <w:pStyle w:val="2"/>
        <w:keepNext w:val="0"/>
        <w:keepLines w:val="0"/>
        <w:pageBreakBefore w:val="0"/>
        <w:widowControl w:val="0"/>
        <w:kinsoku/>
        <w:wordWrap/>
        <w:overflowPunct/>
        <w:topLinePunct w:val="0"/>
        <w:bidi w:val="0"/>
        <w:snapToGrid/>
        <w:ind w:firstLine="640" w:firstLineChars="200"/>
        <w:textAlignment w:val="auto"/>
        <w:rPr>
          <w:rFonts w:hint="default" w:ascii="Times New Roman" w:hAnsi="Times New Roman" w:eastAsia="仿宋_GB2312" w:cs="Times New Roman"/>
          <w:bCs/>
          <w:kern w:val="2"/>
          <w:sz w:val="32"/>
          <w:szCs w:val="32"/>
          <w:lang w:val="en-US" w:eastAsia="zh-CN" w:bidi="ar-SA"/>
        </w:rPr>
      </w:pPr>
      <w:r>
        <w:rPr>
          <w:rFonts w:hint="eastAsia" w:ascii="Times New Roman" w:cs="Times New Roman"/>
          <w:bCs/>
          <w:kern w:val="2"/>
          <w:sz w:val="32"/>
          <w:szCs w:val="32"/>
          <w:lang w:val="en-US" w:eastAsia="zh-CN" w:bidi="ar-SA"/>
        </w:rPr>
        <w:t>12</w:t>
      </w:r>
      <w:r>
        <w:rPr>
          <w:rFonts w:hint="eastAsia" w:ascii="Times New Roman" w:hAnsi="Times New Roman" w:eastAsia="仿宋_GB2312" w:cs="Times New Roman"/>
          <w:bCs/>
          <w:kern w:val="2"/>
          <w:sz w:val="32"/>
          <w:szCs w:val="32"/>
          <w:lang w:val="en-US" w:eastAsia="zh-CN" w:bidi="ar-SA"/>
        </w:rPr>
        <w:t>.</w:t>
      </w:r>
      <w:r>
        <w:rPr>
          <w:rFonts w:hint="eastAsia" w:ascii="Times New Roman" w:cs="Times New Roman"/>
          <w:bCs/>
          <w:kern w:val="2"/>
          <w:sz w:val="32"/>
          <w:szCs w:val="32"/>
          <w:lang w:val="en-US" w:eastAsia="zh-CN" w:bidi="ar-SA"/>
        </w:rPr>
        <w:t>农林水</w:t>
      </w:r>
      <w:r>
        <w:rPr>
          <w:rFonts w:hint="eastAsia" w:ascii="Times New Roman" w:hAnsi="Times New Roman" w:eastAsia="仿宋_GB2312" w:cs="Times New Roman"/>
          <w:bCs/>
          <w:kern w:val="2"/>
          <w:sz w:val="32"/>
          <w:szCs w:val="32"/>
          <w:lang w:val="en-US" w:eastAsia="zh-CN" w:bidi="ar-SA"/>
        </w:rPr>
        <w:t>（类）</w:t>
      </w:r>
      <w:r>
        <w:rPr>
          <w:rFonts w:hint="eastAsia" w:ascii="Times New Roman" w:cs="Times New Roman"/>
          <w:bCs/>
          <w:kern w:val="2"/>
          <w:sz w:val="32"/>
          <w:szCs w:val="32"/>
          <w:lang w:val="en-US" w:eastAsia="zh-CN" w:bidi="ar-SA"/>
        </w:rPr>
        <w:t>其他农林水支出</w:t>
      </w:r>
      <w:r>
        <w:rPr>
          <w:rFonts w:hint="eastAsia" w:ascii="Times New Roman" w:hAnsi="Times New Roman" w:eastAsia="仿宋_GB2312" w:cs="Times New Roman"/>
          <w:bCs/>
          <w:kern w:val="2"/>
          <w:sz w:val="32"/>
          <w:szCs w:val="32"/>
          <w:lang w:val="en-US" w:eastAsia="zh-CN" w:bidi="ar-SA"/>
        </w:rPr>
        <w:t>（款）</w:t>
      </w:r>
      <w:r>
        <w:rPr>
          <w:rFonts w:hint="eastAsia" w:ascii="Times New Roman" w:cs="Times New Roman"/>
          <w:bCs/>
          <w:kern w:val="2"/>
          <w:sz w:val="32"/>
          <w:szCs w:val="32"/>
          <w:lang w:val="en-US" w:eastAsia="zh-CN" w:bidi="ar-SA"/>
        </w:rPr>
        <w:t>其他农林水支出</w:t>
      </w:r>
      <w:r>
        <w:rPr>
          <w:rFonts w:hint="eastAsia" w:ascii="Times New Roman" w:hAnsi="Times New Roman" w:eastAsia="仿宋_GB2312" w:cs="Times New Roman"/>
          <w:bCs/>
          <w:kern w:val="2"/>
          <w:sz w:val="32"/>
          <w:szCs w:val="32"/>
          <w:lang w:val="en-US" w:eastAsia="zh-CN" w:bidi="ar-SA"/>
        </w:rPr>
        <w:t>（项）：</w:t>
      </w:r>
      <w:r>
        <w:rPr>
          <w:rFonts w:hint="eastAsia" w:ascii="Times New Roman" w:cs="Times New Roman"/>
          <w:bCs/>
          <w:kern w:val="2"/>
          <w:sz w:val="32"/>
          <w:szCs w:val="32"/>
          <w:lang w:val="en-US" w:eastAsia="zh-CN" w:bidi="ar-SA"/>
        </w:rPr>
        <w:t>反映除化解债务支出以外其他用于农林水方面的支出。</w:t>
      </w:r>
    </w:p>
    <w:p>
      <w:pPr>
        <w:pStyle w:val="2"/>
        <w:keepNext w:val="0"/>
        <w:keepLines w:val="0"/>
        <w:pageBreakBefore w:val="0"/>
        <w:widowControl w:val="0"/>
        <w:kinsoku/>
        <w:wordWrap/>
        <w:overflowPunct/>
        <w:topLinePunct w:val="0"/>
        <w:bidi w:val="0"/>
        <w:snapToGrid/>
        <w:spacing w:before="93"/>
        <w:ind w:firstLine="640" w:firstLineChars="200"/>
        <w:textAlignment w:val="auto"/>
        <w:rPr>
          <w:rFonts w:ascii="Times New Roman"/>
          <w:sz w:val="32"/>
          <w:szCs w:val="32"/>
        </w:rPr>
      </w:pPr>
      <w:r>
        <w:rPr>
          <w:rFonts w:hint="eastAsia" w:ascii="Times New Roman"/>
          <w:sz w:val="32"/>
          <w:szCs w:val="32"/>
          <w:lang w:val="en-US" w:eastAsia="zh-CN"/>
        </w:rPr>
        <w:t>13</w:t>
      </w:r>
      <w:r>
        <w:rPr>
          <w:rFonts w:ascii="Times New Roman"/>
          <w:sz w:val="32"/>
          <w:szCs w:val="32"/>
        </w:rPr>
        <w:t>.住房保障支出（类）住房改革支出</w:t>
      </w:r>
      <w:r>
        <w:rPr>
          <w:rStyle w:val="19"/>
          <w:rFonts w:ascii="Times New Roman"/>
          <w:b w:val="0"/>
          <w:bCs/>
          <w:sz w:val="32"/>
          <w:szCs w:val="32"/>
        </w:rPr>
        <w:t>（款）</w:t>
      </w:r>
      <w:r>
        <w:rPr>
          <w:rFonts w:ascii="Times New Roman"/>
          <w:sz w:val="32"/>
          <w:szCs w:val="32"/>
        </w:rPr>
        <w:t>住房公积金</w:t>
      </w:r>
      <w:r>
        <w:rPr>
          <w:rStyle w:val="19"/>
          <w:rFonts w:ascii="Times New Roman"/>
          <w:b w:val="0"/>
          <w:bCs/>
          <w:sz w:val="32"/>
          <w:szCs w:val="32"/>
        </w:rPr>
        <w:t>（项）</w:t>
      </w:r>
      <w:r>
        <w:rPr>
          <w:rStyle w:val="19"/>
          <w:rFonts w:ascii="Times New Roman"/>
          <w:bCs/>
          <w:sz w:val="32"/>
          <w:szCs w:val="32"/>
        </w:rPr>
        <w:t>：</w:t>
      </w:r>
      <w:r>
        <w:rPr>
          <w:rStyle w:val="19"/>
          <w:rFonts w:ascii="Times New Roman"/>
          <w:b w:val="0"/>
          <w:bCs/>
          <w:sz w:val="32"/>
          <w:szCs w:val="32"/>
        </w:rPr>
        <w:t>反映行政事业单位按人力资源和社会保障部、财政部规定的基本工资和津贴补贴以及规定比例为职工缴纳的住房公积金。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bidi w:val="0"/>
        <w:snapToGrid/>
        <w:ind w:firstLine="640" w:firstLineChars="200"/>
        <w:textAlignment w:val="auto"/>
        <w:rPr>
          <w:rFonts w:eastAsia="仿宋_GB2312"/>
          <w:sz w:val="32"/>
          <w:szCs w:val="32"/>
        </w:rPr>
      </w:pPr>
      <w:r>
        <w:rPr>
          <w:rFonts w:hint="eastAsia" w:eastAsia="仿宋_GB2312"/>
          <w:sz w:val="32"/>
          <w:szCs w:val="32"/>
          <w:lang w:val="en-US" w:eastAsia="zh-CN"/>
        </w:rPr>
        <w:t>14</w:t>
      </w:r>
      <w:r>
        <w:rPr>
          <w:rFonts w:eastAsia="仿宋_GB2312"/>
          <w:sz w:val="32"/>
          <w:szCs w:val="32"/>
        </w:rPr>
        <w:t>.基本支出：指为保障机构正常运转、完成日常工作任务而发生的人员支出和公用支出。</w:t>
      </w:r>
    </w:p>
    <w:p>
      <w:pPr>
        <w:keepNext w:val="0"/>
        <w:keepLines w:val="0"/>
        <w:pageBreakBefore w:val="0"/>
        <w:widowControl w:val="0"/>
        <w:kinsoku/>
        <w:wordWrap/>
        <w:overflowPunct/>
        <w:topLinePunct w:val="0"/>
        <w:bidi w:val="0"/>
        <w:snapToGrid/>
        <w:ind w:firstLine="640" w:firstLineChars="200"/>
        <w:textAlignment w:val="auto"/>
        <w:rPr>
          <w:rFonts w:eastAsia="仿宋_GB2312"/>
          <w:sz w:val="32"/>
          <w:szCs w:val="32"/>
        </w:rPr>
      </w:pPr>
      <w:r>
        <w:rPr>
          <w:rFonts w:eastAsia="仿宋_GB2312"/>
          <w:sz w:val="32"/>
          <w:szCs w:val="32"/>
        </w:rPr>
        <w:t>1</w:t>
      </w:r>
      <w:r>
        <w:rPr>
          <w:rFonts w:hint="eastAsia" w:eastAsia="仿宋_GB2312"/>
          <w:sz w:val="32"/>
          <w:szCs w:val="32"/>
          <w:lang w:val="en-US" w:eastAsia="zh-CN"/>
        </w:rPr>
        <w:t>5</w:t>
      </w:r>
      <w:r>
        <w:rPr>
          <w:rFonts w:eastAsia="仿宋_GB2312"/>
          <w:sz w:val="32"/>
          <w:szCs w:val="32"/>
        </w:rPr>
        <w:t>.项目支出：指在基本支出之外为完成特定行政任务和事业发展目标所发生的支出。</w:t>
      </w:r>
    </w:p>
    <w:p>
      <w:pPr>
        <w:pStyle w:val="28"/>
        <w:keepNext w:val="0"/>
        <w:keepLines w:val="0"/>
        <w:pageBreakBefore w:val="0"/>
        <w:widowControl w:val="0"/>
        <w:kinsoku/>
        <w:wordWrap/>
        <w:overflowPunct/>
        <w:topLinePunct w:val="0"/>
        <w:bidi w:val="0"/>
        <w:snapToGrid/>
        <w:spacing w:line="56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6</w:t>
      </w:r>
      <w:r>
        <w:rPr>
          <w:rFonts w:ascii="Times New Roman" w:hAnsi="Times New Roman" w:eastAsia="仿宋_GB2312" w:cs="Times New Roman"/>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8"/>
        <w:keepNext w:val="0"/>
        <w:keepLines w:val="0"/>
        <w:pageBreakBefore w:val="0"/>
        <w:widowControl w:val="0"/>
        <w:kinsoku/>
        <w:wordWrap/>
        <w:overflowPunct/>
        <w:topLinePunct w:val="0"/>
        <w:bidi w:val="0"/>
        <w:snapToGrid/>
        <w:spacing w:line="56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7</w:t>
      </w:r>
      <w:r>
        <w:rPr>
          <w:rFonts w:ascii="Times New Roman" w:hAnsi="Times New Roman" w:eastAsia="仿宋_GB2312"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30"/>
          <w:rFonts w:ascii="方正小标宋简体" w:hAnsi="黑体" w:eastAsia="方正小标宋简体"/>
          <w:b w:val="0"/>
        </w:rPr>
      </w:pPr>
      <w:bookmarkStart w:id="74" w:name="_Toc15377226"/>
      <w:r>
        <w:rPr>
          <w:rFonts w:ascii="宋体"/>
          <w:b/>
          <w:sz w:val="44"/>
          <w:szCs w:val="44"/>
        </w:rPr>
        <w:br w:type="page"/>
      </w:r>
      <w:bookmarkStart w:id="107" w:name="_GoBack"/>
      <w:bookmarkEnd w:id="107"/>
      <w:bookmarkStart w:id="75" w:name="_Toc15396614"/>
      <w:bookmarkStart w:id="76" w:name="_Toc25795"/>
      <w:r>
        <w:rPr>
          <w:rFonts w:hint="eastAsia" w:ascii="方正小标宋简体" w:hAnsi="黑体" w:eastAsia="方正小标宋简体"/>
          <w:sz w:val="44"/>
          <w:szCs w:val="44"/>
        </w:rPr>
        <w:t>第</w:t>
      </w:r>
      <w:r>
        <w:rPr>
          <w:rStyle w:val="30"/>
          <w:rFonts w:hint="eastAsia" w:ascii="方正小标宋简体" w:hAnsi="黑体" w:eastAsia="方正小标宋简体"/>
          <w:b w:val="0"/>
        </w:rPr>
        <w:t>四部分 附件</w:t>
      </w:r>
      <w:bookmarkEnd w:id="75"/>
      <w:bookmarkEnd w:id="76"/>
    </w:p>
    <w:p>
      <w:pPr>
        <w:widowControl/>
        <w:spacing w:line="560" w:lineRule="exact"/>
        <w:contextualSpacing/>
        <w:jc w:val="center"/>
        <w:rPr>
          <w:rFonts w:ascii="宋体" w:hAnsi="宋体"/>
          <w:b/>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72" w:lineRule="exact"/>
        <w:jc w:val="left"/>
        <w:textAlignment w:val="auto"/>
        <w:outlineLvl w:val="1"/>
        <w:rPr>
          <w:rFonts w:hint="eastAsia" w:ascii="方正小标宋简体" w:hAnsi="方正小标宋简体" w:eastAsia="黑体" w:cs="方正小标宋简体"/>
          <w:sz w:val="44"/>
          <w:szCs w:val="44"/>
        </w:rPr>
      </w:pPr>
      <w:bookmarkStart w:id="77" w:name="_Toc10077"/>
      <w:r>
        <w:rPr>
          <w:rFonts w:hint="eastAsia" w:ascii="黑体" w:hAnsi="黑体" w:eastAsia="黑体" w:cs="黑体"/>
          <w:sz w:val="32"/>
          <w:szCs w:val="32"/>
        </w:rPr>
        <w:t>附件1</w:t>
      </w:r>
      <w:bookmarkEnd w:id="77"/>
    </w:p>
    <w:p>
      <w:pPr>
        <w:widowControl/>
        <w:spacing w:line="560" w:lineRule="exact"/>
        <w:contextualSpacing/>
        <w:jc w:val="center"/>
        <w:rPr>
          <w:rFonts w:ascii="方正小标宋简体" w:hAnsi="宋体" w:eastAsia="方正小标宋简体"/>
          <w:b w:val="0"/>
          <w:bCs/>
          <w:color w:val="000000" w:themeColor="text1"/>
          <w:sz w:val="32"/>
          <w:szCs w:val="32"/>
          <w:shd w:val="clear" w:color="auto" w:fill="FFFFFF"/>
          <w14:textFill>
            <w14:solidFill>
              <w14:schemeClr w14:val="tx1"/>
            </w14:solidFill>
          </w14:textFill>
        </w:rPr>
      </w:pPr>
      <w:r>
        <w:rPr>
          <w:rFonts w:hint="eastAsia" w:ascii="方正小标宋简体" w:hAnsi="宋体" w:eastAsia="方正小标宋简体"/>
          <w:b w:val="0"/>
          <w:bCs/>
          <w:color w:val="000000" w:themeColor="text1"/>
          <w:sz w:val="32"/>
          <w:szCs w:val="32"/>
          <w:shd w:val="clear" w:color="auto" w:fill="FFFFFF"/>
          <w14:textFill>
            <w14:solidFill>
              <w14:schemeClr w14:val="tx1"/>
            </w14:solidFill>
          </w14:textFill>
        </w:rPr>
        <w:t>盐边县红格国际运动康养·温泉度假区管理委员会</w:t>
      </w:r>
    </w:p>
    <w:p>
      <w:pPr>
        <w:widowControl/>
        <w:spacing w:line="560" w:lineRule="exact"/>
        <w:contextualSpacing/>
        <w:jc w:val="center"/>
        <w:rPr>
          <w:rFonts w:ascii="方正小标宋简体" w:hAnsi="宋体" w:eastAsia="方正小标宋简体"/>
          <w:b w:val="0"/>
          <w:bCs/>
          <w:color w:val="000000" w:themeColor="text1"/>
          <w:sz w:val="32"/>
          <w:szCs w:val="32"/>
          <w:shd w:val="clear" w:color="auto" w:fill="FFFFFF"/>
          <w14:textFill>
            <w14:solidFill>
              <w14:schemeClr w14:val="tx1"/>
            </w14:solidFill>
          </w14:textFill>
        </w:rPr>
      </w:pPr>
      <w:r>
        <w:rPr>
          <w:rFonts w:hint="eastAsia" w:ascii="方正小标宋简体" w:hAnsi="宋体" w:eastAsia="方正小标宋简体"/>
          <w:b w:val="0"/>
          <w:bCs/>
          <w:color w:val="000000" w:themeColor="text1"/>
          <w:sz w:val="32"/>
          <w:szCs w:val="32"/>
          <w:shd w:val="clear" w:color="auto" w:fill="FFFFFF"/>
          <w:lang w:eastAsia="zh-CN"/>
          <w14:textFill>
            <w14:solidFill>
              <w14:schemeClr w14:val="tx1"/>
            </w14:solidFill>
          </w14:textFill>
        </w:rPr>
        <w:t>部门整体</w:t>
      </w:r>
      <w:r>
        <w:rPr>
          <w:rFonts w:hint="eastAsia" w:ascii="方正小标宋简体" w:hAnsi="宋体" w:eastAsia="方正小标宋简体"/>
          <w:b w:val="0"/>
          <w:bCs/>
          <w:color w:val="000000" w:themeColor="text1"/>
          <w:sz w:val="32"/>
          <w:szCs w:val="32"/>
          <w:shd w:val="clear" w:color="auto" w:fill="FFFFFF"/>
          <w14:textFill>
            <w14:solidFill>
              <w14:schemeClr w14:val="tx1"/>
            </w14:solidFill>
          </w14:textFill>
        </w:rPr>
        <w:t>绩效评价报告</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p>
    <w:p>
      <w:pPr>
        <w:widowControl/>
        <w:numPr>
          <w:ilvl w:val="0"/>
          <w:numId w:val="3"/>
        </w:numPr>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lang w:val="zh-CN"/>
        </w:rPr>
        <w:t>部门概况</w:t>
      </w:r>
    </w:p>
    <w:p>
      <w:pPr>
        <w:widowControl/>
        <w:adjustRightInd w:val="0"/>
        <w:snapToGrid w:val="0"/>
        <w:spacing w:line="560" w:lineRule="exact"/>
        <w:ind w:firstLine="640" w:firstLineChars="200"/>
        <w:contextualSpacing/>
        <w:jc w:val="left"/>
        <w:rPr>
          <w:rFonts w:ascii="楷体_GB2312" w:hAnsi="楷体_GB2312" w:eastAsia="楷体_GB2312" w:cs="楷体_GB2312"/>
          <w:bCs/>
          <w:kern w:val="0"/>
          <w:sz w:val="32"/>
          <w:szCs w:val="32"/>
          <w:shd w:val="clear" w:color="auto" w:fill="FFFFFF"/>
          <w:lang w:val="zh-CN"/>
        </w:rPr>
      </w:pPr>
      <w:r>
        <w:rPr>
          <w:rFonts w:hint="eastAsia" w:ascii="楷体_GB2312" w:hAnsi="楷体_GB2312" w:eastAsia="楷体_GB2312" w:cs="楷体_GB2312"/>
          <w:bCs/>
          <w:kern w:val="0"/>
          <w:sz w:val="32"/>
          <w:szCs w:val="32"/>
          <w:shd w:val="clear" w:color="auto" w:fill="FFFFFF"/>
          <w:lang w:val="zh-CN"/>
        </w:rPr>
        <w:t>（一）机构组成</w:t>
      </w:r>
    </w:p>
    <w:p>
      <w:pPr>
        <w:pStyle w:val="2"/>
        <w:spacing w:before="93"/>
        <w:ind w:firstLine="640" w:firstLineChars="200"/>
        <w:rPr>
          <w:rFonts w:ascii="Times New Roman"/>
          <w:sz w:val="32"/>
          <w:szCs w:val="32"/>
          <w:lang w:val="zh-CN"/>
        </w:rPr>
      </w:pPr>
      <w:r>
        <w:rPr>
          <w:rFonts w:ascii="Times New Roman"/>
          <w:sz w:val="32"/>
          <w:szCs w:val="32"/>
          <w:lang w:val="zh-CN"/>
        </w:rPr>
        <w:t>我单位2023年</w:t>
      </w:r>
      <w:r>
        <w:rPr>
          <w:rFonts w:hint="eastAsia" w:ascii="Times New Roman"/>
          <w:sz w:val="32"/>
          <w:szCs w:val="32"/>
          <w:lang w:val="zh-CN"/>
        </w:rPr>
        <w:t>内</w:t>
      </w:r>
      <w:r>
        <w:rPr>
          <w:rFonts w:ascii="Times New Roman"/>
          <w:sz w:val="32"/>
          <w:szCs w:val="32"/>
          <w:lang w:val="zh-CN"/>
        </w:rPr>
        <w:t>设机构如下：</w:t>
      </w:r>
      <w:r>
        <w:rPr>
          <w:rFonts w:ascii="Times New Roman"/>
          <w:sz w:val="32"/>
          <w:szCs w:val="32"/>
        </w:rPr>
        <w:t>综合办公室（党政群工作部）、规划建设局、发展和招商局（政策法规股）、运营管理局（综合执法局）、</w:t>
      </w:r>
      <w:r>
        <w:rPr>
          <w:rFonts w:ascii="Times New Roman"/>
          <w:color w:val="000000"/>
          <w:sz w:val="32"/>
          <w:szCs w:val="32"/>
        </w:rPr>
        <w:t>度假区服务中心</w:t>
      </w:r>
      <w:r>
        <w:rPr>
          <w:rFonts w:ascii="Times New Roman"/>
          <w:sz w:val="32"/>
          <w:szCs w:val="32"/>
        </w:rPr>
        <w:t>4个科室。</w:t>
      </w:r>
    </w:p>
    <w:p>
      <w:pPr>
        <w:widowControl/>
        <w:adjustRightInd w:val="0"/>
        <w:snapToGrid w:val="0"/>
        <w:spacing w:line="560" w:lineRule="exact"/>
        <w:ind w:firstLine="640" w:firstLineChars="200"/>
        <w:contextualSpacing/>
        <w:jc w:val="left"/>
        <w:rPr>
          <w:rFonts w:ascii="楷体_GB2312" w:hAnsi="楷体_GB2312" w:eastAsia="楷体_GB2312" w:cs="楷体_GB2312"/>
          <w:bCs/>
          <w:kern w:val="0"/>
          <w:sz w:val="32"/>
          <w:szCs w:val="32"/>
          <w:shd w:val="clear" w:color="auto" w:fill="FFFFFF"/>
          <w:lang w:val="zh-CN"/>
        </w:rPr>
      </w:pPr>
      <w:r>
        <w:rPr>
          <w:rFonts w:hint="eastAsia" w:ascii="楷体_GB2312" w:hAnsi="楷体_GB2312" w:eastAsia="楷体_GB2312" w:cs="楷体_GB2312"/>
          <w:bCs/>
          <w:kern w:val="0"/>
          <w:sz w:val="32"/>
          <w:szCs w:val="32"/>
          <w:shd w:val="clear" w:color="auto" w:fill="FFFFFF"/>
          <w:lang w:val="zh-CN"/>
        </w:rPr>
        <w:t>（二）机构职能和人员概况</w:t>
      </w:r>
    </w:p>
    <w:p>
      <w:pPr>
        <w:pStyle w:val="2"/>
        <w:spacing w:before="93"/>
        <w:ind w:firstLine="600"/>
        <w:rPr>
          <w:rFonts w:ascii="Times New Roman"/>
          <w:b/>
          <w:sz w:val="32"/>
          <w:szCs w:val="32"/>
          <w:lang w:val="zh-CN"/>
        </w:rPr>
      </w:pPr>
      <w:r>
        <w:rPr>
          <w:rFonts w:ascii="Times New Roman"/>
          <w:b/>
          <w:sz w:val="32"/>
          <w:szCs w:val="32"/>
          <w:lang w:val="zh-CN"/>
        </w:rPr>
        <w:t>1.机构职能</w:t>
      </w:r>
    </w:p>
    <w:p>
      <w:pPr>
        <w:ind w:firstLine="640" w:firstLineChars="200"/>
        <w:rPr>
          <w:rFonts w:eastAsia="仿宋_GB2312"/>
          <w:color w:val="000000"/>
          <w:sz w:val="32"/>
          <w:szCs w:val="32"/>
        </w:rPr>
      </w:pPr>
      <w:r>
        <w:rPr>
          <w:rFonts w:eastAsia="仿宋_GB2312"/>
          <w:color w:val="000000"/>
          <w:sz w:val="32"/>
          <w:szCs w:val="32"/>
        </w:rPr>
        <w:t>（1）综合办公室（党政群工作部）</w:t>
      </w:r>
    </w:p>
    <w:p>
      <w:pPr>
        <w:ind w:firstLine="640" w:firstLineChars="200"/>
        <w:rPr>
          <w:rFonts w:eastAsia="仿宋_GB2312"/>
          <w:sz w:val="32"/>
          <w:szCs w:val="32"/>
        </w:rPr>
      </w:pPr>
      <w:r>
        <w:rPr>
          <w:rFonts w:eastAsia="仿宋_GB2312"/>
          <w:sz w:val="32"/>
          <w:szCs w:val="32"/>
        </w:rPr>
        <w:t>负责文电、会务、信息、机要、保密、档案、信访、安全、综治、维稳、接待、车辆管理、目标管理、干部人事和离退休管理等工作；负责项目纪检监察工作；组织办理人大代表建议、政协委员提案；负责党建、意识形态、群团等相关工作；负责机关和所属事业单位财政预算、决算的编制和管理工作；承担度假区建设融资工作；负责财务支付、财务管理、合同管理等工作；负责项目审计工作；统筹普法宣传、新闻宣传等工作；负责机关疫情防控工作；完成领导交办的其他工作。</w:t>
      </w:r>
    </w:p>
    <w:p>
      <w:pPr>
        <w:ind w:firstLine="640" w:firstLineChars="200"/>
        <w:rPr>
          <w:rFonts w:eastAsia="仿宋_GB2312"/>
          <w:color w:val="000000"/>
          <w:sz w:val="32"/>
          <w:szCs w:val="32"/>
        </w:rPr>
      </w:pPr>
      <w:r>
        <w:rPr>
          <w:rFonts w:eastAsia="仿宋_GB2312"/>
          <w:color w:val="000000"/>
          <w:sz w:val="32"/>
          <w:szCs w:val="32"/>
        </w:rPr>
        <w:t>（2）规划建设局</w:t>
      </w:r>
    </w:p>
    <w:p>
      <w:pPr>
        <w:ind w:firstLine="640" w:firstLineChars="200"/>
        <w:rPr>
          <w:rFonts w:eastAsia="仿宋_GB2312"/>
          <w:sz w:val="32"/>
          <w:szCs w:val="32"/>
        </w:rPr>
      </w:pPr>
      <w:r>
        <w:rPr>
          <w:rFonts w:eastAsia="仿宋_GB2312"/>
          <w:sz w:val="32"/>
          <w:szCs w:val="32"/>
        </w:rPr>
        <w:t>负责红格国际运动康养·温泉度假区国土空间规划编制、审查、调整工作，按权限报批；负责组织编制红格国际运动康养·温泉度假区发展规划和年度工作计划并组织实施；负责制定建设规划，审查建设方案，按权限报批；负责项目建设的方案、初步设计、施工图、概算、预决算管理等；统筹企业及项目工地疫情防控工作；配合县自然资源和规划局开展区域范围内的土地征收、补偿安置等相关工作；拟订土地利用（征地搬迁）年度计划；配合县自然资源和规划局开展区域范围内土地储备、土地供应和征地补偿安置方案审查；协助县自然资源和规划局、县林业局开展区域范围内土地（林地）报批、土地供应、供后监测、对征地补偿方案的实施进行监督等基础工作；协调红格镇开展征地搬迁安置工作；完成领导交办的其他工作。</w:t>
      </w:r>
    </w:p>
    <w:p>
      <w:pPr>
        <w:ind w:firstLine="640" w:firstLineChars="200"/>
        <w:rPr>
          <w:rFonts w:eastAsia="仿宋_GB2312"/>
          <w:color w:val="000000"/>
          <w:sz w:val="32"/>
          <w:szCs w:val="32"/>
        </w:rPr>
      </w:pPr>
      <w:r>
        <w:rPr>
          <w:rFonts w:eastAsia="仿宋_GB2312"/>
          <w:color w:val="000000"/>
          <w:sz w:val="32"/>
          <w:szCs w:val="32"/>
        </w:rPr>
        <w:t>（3）发展和招商局（政策法规股）</w:t>
      </w:r>
    </w:p>
    <w:p>
      <w:pPr>
        <w:ind w:firstLine="640" w:firstLineChars="200"/>
        <w:rPr>
          <w:rFonts w:eastAsia="仿宋_GB2312"/>
          <w:color w:val="000000"/>
          <w:sz w:val="32"/>
          <w:szCs w:val="32"/>
        </w:rPr>
      </w:pPr>
      <w:r>
        <w:rPr>
          <w:rFonts w:eastAsia="仿宋_GB2312"/>
          <w:sz w:val="32"/>
          <w:szCs w:val="32"/>
        </w:rPr>
        <w:t>负责拟定产业发展战略及规划、招商引资规划并组织实施；负责新引进项目的政策咨询、项目论证工作；负责建成项目的资产重组、招商引资工作；负责项目包装、推介、收集整理工作；负责对外招商引资和项目洽谈工作；负责宣传推介工作，组织策划重大营销宣传活动；负责招商引资项目合同的起草、督促执行工作；负责建成投运项目跟踪、协调、行政审批手续办理工作；研究制定招商引资专案；负责企业经济运行生产要素的综合协调服务工作；负责度假区统计工作；负责经济运行分析、调研和预测工作；承担县政府授权的行政审批事项；负责行政审批的服务事项及审批服务便民化工作；负责行政审批清单制度改革、动态调整等工作；负责行政应诉、行政调解、规范性文件合法性审查及备案；完成领导交办的其他工作。</w:t>
      </w:r>
    </w:p>
    <w:p>
      <w:pPr>
        <w:ind w:firstLine="640" w:firstLineChars="200"/>
        <w:rPr>
          <w:rFonts w:eastAsia="仿宋_GB2312"/>
          <w:color w:val="000000"/>
          <w:sz w:val="32"/>
          <w:szCs w:val="32"/>
        </w:rPr>
      </w:pPr>
      <w:r>
        <w:rPr>
          <w:rFonts w:eastAsia="仿宋_GB2312"/>
          <w:color w:val="000000"/>
          <w:sz w:val="32"/>
          <w:szCs w:val="32"/>
        </w:rPr>
        <w:t>（4）运营管理局（综合执法局）、度假区服务中心</w:t>
      </w:r>
    </w:p>
    <w:p>
      <w:pPr>
        <w:ind w:firstLine="640" w:firstLineChars="200"/>
        <w:rPr>
          <w:rFonts w:eastAsia="仿宋_GB2312"/>
          <w:sz w:val="32"/>
          <w:szCs w:val="32"/>
        </w:rPr>
      </w:pPr>
      <w:r>
        <w:rPr>
          <w:rFonts w:eastAsia="仿宋_GB2312"/>
          <w:sz w:val="32"/>
          <w:szCs w:val="32"/>
        </w:rPr>
        <w:t>负责项目安全管理、环境保护、应急管理及运行维护等；负责园林绿化、市政基础设施管护；负责权限范围内的安全生产、职业健康、生态环境保护、地质灾害防治等工作；负责红格度假区基础设施项目管理、运营、维护等工作；承担权限范围内行政执法工作；负责执法清单制度建设、动态调整等工作；完成领导交办的其他工作。</w:t>
      </w:r>
    </w:p>
    <w:p>
      <w:pPr>
        <w:pStyle w:val="2"/>
        <w:spacing w:before="93"/>
        <w:ind w:firstLine="600"/>
        <w:rPr>
          <w:b/>
          <w:sz w:val="32"/>
          <w:lang w:val="zh-CN"/>
        </w:rPr>
      </w:pPr>
      <w:r>
        <w:rPr>
          <w:rFonts w:hint="eastAsia"/>
          <w:b/>
          <w:sz w:val="32"/>
          <w:lang w:val="zh-CN"/>
        </w:rPr>
        <w:t>2.人员概况</w:t>
      </w:r>
    </w:p>
    <w:p>
      <w:pPr>
        <w:pStyle w:val="2"/>
        <w:spacing w:before="93"/>
        <w:ind w:firstLine="600"/>
        <w:rPr>
          <w:rFonts w:hint="eastAsia" w:ascii="Times New Roman" w:hAnsi="Times New Roman" w:eastAsia="仿宋_GB2312"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截止202</w:t>
      </w:r>
      <w:r>
        <w:rPr>
          <w:rFonts w:hint="eastAsia" w:ascii="Times New Roman" w:hAnsi="Times New Roman" w:eastAsia="仿宋_GB2312" w:cs="Times New Roman"/>
          <w:kern w:val="2"/>
          <w:sz w:val="32"/>
          <w:szCs w:val="32"/>
          <w:lang w:val="en-US" w:eastAsia="zh-CN" w:bidi="ar-SA"/>
        </w:rPr>
        <w:t>3</w:t>
      </w:r>
      <w:r>
        <w:rPr>
          <w:rFonts w:ascii="Times New Roman" w:hAnsi="Times New Roman" w:eastAsia="仿宋_GB2312" w:cs="Times New Roman"/>
          <w:kern w:val="2"/>
          <w:sz w:val="32"/>
          <w:szCs w:val="32"/>
          <w:lang w:val="en-US" w:eastAsia="zh-CN" w:bidi="ar-SA"/>
        </w:rPr>
        <w:t>年底，我单位实有人员</w:t>
      </w:r>
      <w:r>
        <w:rPr>
          <w:rFonts w:hint="eastAsia" w:ascii="Times New Roman" w:hAnsi="Times New Roman" w:eastAsia="仿宋_GB2312" w:cs="Times New Roman"/>
          <w:kern w:val="2"/>
          <w:sz w:val="32"/>
          <w:szCs w:val="32"/>
          <w:lang w:val="en-US" w:eastAsia="zh-CN" w:bidi="ar-SA"/>
        </w:rPr>
        <w:t>9</w:t>
      </w:r>
      <w:r>
        <w:rPr>
          <w:rFonts w:ascii="Times New Roman" w:hAnsi="Times New Roman" w:eastAsia="仿宋_GB2312" w:cs="Times New Roman"/>
          <w:kern w:val="2"/>
          <w:sz w:val="32"/>
          <w:szCs w:val="32"/>
          <w:lang w:val="en-US" w:eastAsia="zh-CN" w:bidi="ar-SA"/>
        </w:rPr>
        <w:t>人，其中行政编制人员</w:t>
      </w:r>
      <w:r>
        <w:rPr>
          <w:rFonts w:hint="eastAsia" w:ascii="Times New Roman" w:hAnsi="Times New Roman" w:eastAsia="仿宋_GB2312" w:cs="Times New Roman"/>
          <w:kern w:val="2"/>
          <w:sz w:val="32"/>
          <w:szCs w:val="32"/>
          <w:lang w:val="en-US" w:eastAsia="zh-CN" w:bidi="ar-SA"/>
        </w:rPr>
        <w:t>5</w:t>
      </w:r>
      <w:r>
        <w:rPr>
          <w:rFonts w:ascii="Times New Roman" w:hAnsi="Times New Roman" w:eastAsia="仿宋_GB2312" w:cs="Times New Roman"/>
          <w:kern w:val="2"/>
          <w:sz w:val="32"/>
          <w:szCs w:val="32"/>
          <w:lang w:val="en-US" w:eastAsia="zh-CN" w:bidi="ar-SA"/>
        </w:rPr>
        <w:t>人，事业编制人员</w:t>
      </w:r>
      <w:r>
        <w:rPr>
          <w:rFonts w:hint="eastAsia" w:ascii="Times New Roman" w:hAnsi="Times New Roman" w:eastAsia="仿宋_GB2312" w:cs="Times New Roman"/>
          <w:kern w:val="2"/>
          <w:sz w:val="32"/>
          <w:szCs w:val="32"/>
          <w:lang w:val="en-US" w:eastAsia="zh-CN" w:bidi="ar-SA"/>
        </w:rPr>
        <w:t>4</w:t>
      </w:r>
      <w:r>
        <w:rPr>
          <w:rFonts w:ascii="Times New Roman" w:hAnsi="Times New Roman" w:eastAsia="仿宋_GB2312" w:cs="Times New Roman"/>
          <w:kern w:val="2"/>
          <w:sz w:val="32"/>
          <w:szCs w:val="32"/>
          <w:lang w:val="en-US" w:eastAsia="zh-CN" w:bidi="ar-SA"/>
        </w:rPr>
        <w:t>人。</w:t>
      </w:r>
      <w:r>
        <w:rPr>
          <w:rFonts w:hint="eastAsia" w:ascii="Times New Roman" w:hAnsi="Times New Roman" w:eastAsia="仿宋_GB2312" w:cs="Times New Roman"/>
          <w:kern w:val="2"/>
          <w:sz w:val="32"/>
          <w:szCs w:val="32"/>
          <w:lang w:val="en-US" w:eastAsia="zh-CN" w:bidi="ar-SA"/>
        </w:rPr>
        <w:t>在编人员相比2022年增加3人，主要原因为人员调动（调出行政人员2人，调入行政人员3人）及新进事业单位人员2人。</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二、部门</w:t>
      </w:r>
      <w:r>
        <w:rPr>
          <w:rFonts w:hint="eastAsia" w:ascii="黑体" w:hAnsi="宋体" w:eastAsia="黑体" w:cs="宋体"/>
          <w:kern w:val="0"/>
          <w:sz w:val="32"/>
          <w:szCs w:val="32"/>
          <w:shd w:val="clear" w:color="auto" w:fill="FFFFFF"/>
          <w:lang w:eastAsia="zh-CN"/>
        </w:rPr>
        <w:t>财政</w:t>
      </w:r>
      <w:r>
        <w:rPr>
          <w:rFonts w:hint="eastAsia" w:ascii="黑体" w:hAnsi="宋体" w:eastAsia="黑体" w:cs="宋体"/>
          <w:kern w:val="0"/>
          <w:sz w:val="32"/>
          <w:szCs w:val="32"/>
          <w:shd w:val="clear" w:color="auto" w:fill="FFFFFF"/>
        </w:rPr>
        <w:t>资金收支情况</w:t>
      </w:r>
    </w:p>
    <w:p>
      <w:pPr>
        <w:widowControl/>
        <w:adjustRightInd w:val="0"/>
        <w:snapToGrid w:val="0"/>
        <w:spacing w:line="560" w:lineRule="exact"/>
        <w:ind w:firstLine="640" w:firstLineChars="200"/>
        <w:contextualSpacing/>
        <w:jc w:val="left"/>
        <w:rPr>
          <w:rFonts w:ascii="楷体_GB2312" w:hAnsi="楷体_GB2312" w:eastAsia="楷体_GB2312" w:cs="楷体_GB2312"/>
          <w:bCs/>
          <w:kern w:val="0"/>
          <w:sz w:val="32"/>
          <w:szCs w:val="32"/>
          <w:shd w:val="clear" w:color="auto" w:fill="FFFFFF"/>
          <w:lang w:val="zh-CN"/>
        </w:rPr>
      </w:pPr>
      <w:r>
        <w:rPr>
          <w:rFonts w:hint="eastAsia" w:ascii="楷体_GB2312" w:hAnsi="楷体_GB2312" w:eastAsia="楷体_GB2312" w:cs="楷体_GB2312"/>
          <w:bCs/>
          <w:kern w:val="0"/>
          <w:sz w:val="32"/>
          <w:szCs w:val="32"/>
          <w:shd w:val="clear" w:color="auto" w:fill="FFFFFF"/>
          <w:lang w:val="zh-CN"/>
        </w:rPr>
        <w:t>（一）部门总体收支情况</w:t>
      </w:r>
    </w:p>
    <w:p>
      <w:pPr>
        <w:widowControl/>
        <w:adjustRightInd w:val="0"/>
        <w:snapToGrid w:val="0"/>
        <w:spacing w:line="560" w:lineRule="exact"/>
        <w:ind w:firstLine="643" w:firstLineChars="200"/>
        <w:contextualSpacing/>
        <w:jc w:val="left"/>
        <w:rPr>
          <w:rFonts w:eastAsia="仿宋_GB2312"/>
          <w:b/>
          <w:kern w:val="0"/>
          <w:sz w:val="32"/>
          <w:szCs w:val="32"/>
          <w:shd w:val="clear" w:color="auto" w:fill="FFFFFF"/>
        </w:rPr>
      </w:pPr>
      <w:r>
        <w:rPr>
          <w:rFonts w:eastAsia="仿宋_GB2312"/>
          <w:b/>
          <w:kern w:val="0"/>
          <w:sz w:val="32"/>
          <w:szCs w:val="32"/>
          <w:shd w:val="clear" w:color="auto" w:fill="FFFFFF"/>
        </w:rPr>
        <w:t>1. 部门总体收入情况</w:t>
      </w:r>
    </w:p>
    <w:p>
      <w:pPr>
        <w:widowControl/>
        <w:adjustRightInd w:val="0"/>
        <w:snapToGrid w:val="0"/>
        <w:spacing w:line="560" w:lineRule="exact"/>
        <w:ind w:firstLine="640" w:firstLineChars="200"/>
        <w:contextualSpacing/>
        <w:jc w:val="left"/>
        <w:rPr>
          <w:rFonts w:eastAsia="仿宋_GB2312"/>
        </w:rPr>
      </w:pPr>
      <w:r>
        <w:rPr>
          <w:rFonts w:eastAsia="仿宋_GB2312"/>
          <w:sz w:val="32"/>
          <w:szCs w:val="32"/>
        </w:rPr>
        <w:t>截止202</w:t>
      </w:r>
      <w:r>
        <w:rPr>
          <w:rFonts w:hint="eastAsia" w:eastAsia="仿宋_GB2312"/>
          <w:sz w:val="32"/>
          <w:szCs w:val="32"/>
          <w:lang w:val="en-US" w:eastAsia="zh-CN"/>
        </w:rPr>
        <w:t>3</w:t>
      </w:r>
      <w:r>
        <w:rPr>
          <w:rFonts w:eastAsia="仿宋_GB2312"/>
          <w:sz w:val="32"/>
          <w:szCs w:val="32"/>
        </w:rPr>
        <w:t>年底，盐边县红格国际运动康养·温泉度假区管理委员会全年收入</w:t>
      </w:r>
      <w:r>
        <w:rPr>
          <w:rFonts w:hint="eastAsia" w:eastAsia="仿宋_GB2312"/>
          <w:sz w:val="32"/>
          <w:szCs w:val="32"/>
          <w:lang w:val="en-US" w:eastAsia="zh-CN"/>
        </w:rPr>
        <w:t>3482</w:t>
      </w:r>
      <w:r>
        <w:rPr>
          <w:rFonts w:eastAsia="仿宋_GB2312"/>
          <w:color w:val="000000"/>
          <w:sz w:val="32"/>
          <w:szCs w:val="32"/>
          <w:lang w:val="zh-CN"/>
        </w:rPr>
        <w:t>.</w:t>
      </w:r>
      <w:r>
        <w:rPr>
          <w:rFonts w:hint="eastAsia" w:eastAsia="仿宋_GB2312"/>
          <w:color w:val="000000"/>
          <w:sz w:val="32"/>
          <w:szCs w:val="32"/>
          <w:lang w:val="en-US" w:eastAsia="zh-CN"/>
        </w:rPr>
        <w:t>9</w:t>
      </w:r>
      <w:r>
        <w:rPr>
          <w:rFonts w:eastAsia="仿宋_GB2312"/>
          <w:color w:val="000000"/>
          <w:sz w:val="32"/>
          <w:szCs w:val="32"/>
          <w:lang w:val="zh-CN"/>
        </w:rPr>
        <w:t>5万元，全部来自于财政拨款。</w:t>
      </w:r>
    </w:p>
    <w:p>
      <w:pPr>
        <w:widowControl/>
        <w:adjustRightInd w:val="0"/>
        <w:snapToGrid w:val="0"/>
        <w:spacing w:line="560" w:lineRule="exact"/>
        <w:ind w:firstLine="643" w:firstLineChars="200"/>
        <w:contextualSpacing/>
        <w:jc w:val="left"/>
        <w:rPr>
          <w:rFonts w:eastAsia="仿宋_GB2312"/>
          <w:b/>
          <w:kern w:val="0"/>
          <w:sz w:val="32"/>
          <w:szCs w:val="32"/>
          <w:shd w:val="clear" w:color="auto" w:fill="FFFFFF"/>
        </w:rPr>
      </w:pPr>
      <w:r>
        <w:rPr>
          <w:rFonts w:eastAsia="仿宋_GB2312"/>
          <w:b/>
          <w:kern w:val="0"/>
          <w:sz w:val="32"/>
          <w:szCs w:val="32"/>
          <w:shd w:val="clear" w:color="auto" w:fill="FFFFFF"/>
        </w:rPr>
        <w:t>2.部门总体支出情况</w:t>
      </w:r>
    </w:p>
    <w:p>
      <w:pPr>
        <w:pStyle w:val="2"/>
        <w:spacing w:before="93"/>
        <w:rPr>
          <w:rFonts w:ascii="Times New Roman"/>
        </w:rPr>
      </w:pPr>
      <w:r>
        <w:rPr>
          <w:rFonts w:ascii="Times New Roman"/>
        </w:rPr>
        <w:t xml:space="preserve">    </w:t>
      </w:r>
      <w:r>
        <w:rPr>
          <w:rFonts w:ascii="Times New Roman"/>
          <w:sz w:val="32"/>
          <w:szCs w:val="32"/>
        </w:rPr>
        <w:t>截止202</w:t>
      </w:r>
      <w:r>
        <w:rPr>
          <w:rFonts w:hint="eastAsia" w:ascii="Times New Roman"/>
          <w:sz w:val="32"/>
          <w:szCs w:val="32"/>
          <w:lang w:val="en-US" w:eastAsia="zh-CN"/>
        </w:rPr>
        <w:t>3</w:t>
      </w:r>
      <w:r>
        <w:rPr>
          <w:rFonts w:ascii="Times New Roman"/>
          <w:sz w:val="32"/>
          <w:szCs w:val="32"/>
        </w:rPr>
        <w:t>年底，盐边县红格国际运动康养·温泉度假区管理委员会全年支出</w:t>
      </w:r>
      <w:r>
        <w:rPr>
          <w:rFonts w:hint="eastAsia" w:ascii="Times New Roman"/>
          <w:sz w:val="32"/>
          <w:szCs w:val="32"/>
          <w:lang w:val="en-US" w:eastAsia="zh-CN"/>
        </w:rPr>
        <w:t>3482</w:t>
      </w:r>
      <w:r>
        <w:rPr>
          <w:rFonts w:ascii="Times New Roman"/>
          <w:color w:val="000000"/>
          <w:sz w:val="32"/>
          <w:szCs w:val="32"/>
          <w:lang w:val="zh-CN"/>
        </w:rPr>
        <w:t>.</w:t>
      </w:r>
      <w:r>
        <w:rPr>
          <w:rFonts w:hint="eastAsia" w:ascii="Times New Roman"/>
          <w:color w:val="000000"/>
          <w:sz w:val="32"/>
          <w:szCs w:val="32"/>
          <w:lang w:val="en-US" w:eastAsia="zh-CN"/>
        </w:rPr>
        <w:t>9</w:t>
      </w:r>
      <w:r>
        <w:rPr>
          <w:rFonts w:ascii="Times New Roman"/>
          <w:color w:val="000000"/>
          <w:sz w:val="32"/>
          <w:szCs w:val="32"/>
          <w:lang w:val="zh-CN"/>
        </w:rPr>
        <w:t>5万元，主要用于机关运行</w:t>
      </w:r>
      <w:r>
        <w:rPr>
          <w:rFonts w:hint="eastAsia" w:ascii="Times New Roman"/>
          <w:color w:val="000000"/>
          <w:sz w:val="32"/>
          <w:szCs w:val="32"/>
          <w:lang w:val="zh-CN"/>
        </w:rPr>
        <w:t>、</w:t>
      </w:r>
      <w:r>
        <w:rPr>
          <w:rFonts w:ascii="Times New Roman"/>
          <w:color w:val="000000"/>
          <w:sz w:val="32"/>
          <w:szCs w:val="32"/>
          <w:lang w:val="zh-CN"/>
        </w:rPr>
        <w:t>工资发放</w:t>
      </w:r>
      <w:r>
        <w:rPr>
          <w:rFonts w:hint="eastAsia" w:ascii="Times New Roman"/>
          <w:color w:val="000000"/>
          <w:sz w:val="32"/>
          <w:szCs w:val="32"/>
          <w:lang w:val="zh-CN"/>
        </w:rPr>
        <w:t>及项目支出</w:t>
      </w:r>
      <w:r>
        <w:rPr>
          <w:rFonts w:ascii="Times New Roman"/>
          <w:color w:val="000000"/>
          <w:sz w:val="32"/>
          <w:szCs w:val="32"/>
          <w:lang w:val="zh-CN"/>
        </w:rPr>
        <w:t>等。</w:t>
      </w:r>
    </w:p>
    <w:p>
      <w:pPr>
        <w:widowControl/>
        <w:adjustRightInd w:val="0"/>
        <w:snapToGrid w:val="0"/>
        <w:spacing w:line="560" w:lineRule="exact"/>
        <w:ind w:firstLine="643" w:firstLineChars="200"/>
        <w:contextualSpacing/>
        <w:jc w:val="left"/>
        <w:rPr>
          <w:rFonts w:eastAsia="仿宋_GB2312"/>
          <w:b/>
          <w:kern w:val="0"/>
          <w:sz w:val="32"/>
          <w:szCs w:val="32"/>
          <w:shd w:val="clear" w:color="auto" w:fill="FFFFFF"/>
        </w:rPr>
      </w:pPr>
      <w:r>
        <w:rPr>
          <w:rFonts w:eastAsia="仿宋_GB2312"/>
          <w:b/>
          <w:kern w:val="0"/>
          <w:sz w:val="32"/>
          <w:szCs w:val="32"/>
          <w:shd w:val="clear" w:color="auto" w:fill="FFFFFF"/>
        </w:rPr>
        <w:t>3.部门总体结转结余情况</w:t>
      </w:r>
    </w:p>
    <w:p>
      <w:pPr>
        <w:pStyle w:val="2"/>
        <w:spacing w:before="93"/>
        <w:rPr>
          <w:rFonts w:ascii="Times New Roman"/>
        </w:rPr>
      </w:pPr>
      <w:r>
        <w:rPr>
          <w:rFonts w:ascii="Times New Roman"/>
        </w:rPr>
        <w:t xml:space="preserve">    </w:t>
      </w:r>
      <w:r>
        <w:rPr>
          <w:rFonts w:ascii="Times New Roman"/>
          <w:sz w:val="32"/>
          <w:szCs w:val="32"/>
        </w:rPr>
        <w:t>截止202</w:t>
      </w:r>
      <w:r>
        <w:rPr>
          <w:rFonts w:hint="eastAsia" w:ascii="Times New Roman"/>
          <w:sz w:val="32"/>
          <w:szCs w:val="32"/>
          <w:lang w:val="en-US" w:eastAsia="zh-CN"/>
        </w:rPr>
        <w:t>3</w:t>
      </w:r>
      <w:r>
        <w:rPr>
          <w:rFonts w:ascii="Times New Roman"/>
          <w:sz w:val="32"/>
          <w:szCs w:val="32"/>
        </w:rPr>
        <w:t>年底，盐边县红格国际运动康养·温泉度假区管理委员会无结转结余。</w:t>
      </w:r>
    </w:p>
    <w:p>
      <w:pPr>
        <w:widowControl/>
        <w:adjustRightInd w:val="0"/>
        <w:snapToGrid w:val="0"/>
        <w:spacing w:line="560" w:lineRule="exact"/>
        <w:ind w:firstLine="640" w:firstLineChars="200"/>
        <w:contextualSpacing/>
        <w:jc w:val="left"/>
        <w:rPr>
          <w:rFonts w:ascii="楷体_GB2312" w:hAnsi="楷体_GB2312" w:eastAsia="楷体_GB2312" w:cs="楷体_GB2312"/>
          <w:bCs/>
          <w:kern w:val="0"/>
          <w:sz w:val="32"/>
          <w:szCs w:val="32"/>
          <w:shd w:val="clear" w:color="auto" w:fill="FFFFFF"/>
          <w:lang w:val="zh-CN"/>
        </w:rPr>
      </w:pPr>
      <w:r>
        <w:rPr>
          <w:rFonts w:hint="eastAsia" w:ascii="楷体_GB2312" w:hAnsi="楷体_GB2312" w:eastAsia="楷体_GB2312" w:cs="楷体_GB2312"/>
          <w:bCs/>
          <w:kern w:val="0"/>
          <w:sz w:val="32"/>
          <w:szCs w:val="32"/>
          <w:shd w:val="clear" w:color="auto" w:fill="FFFFFF"/>
          <w:lang w:val="zh-CN"/>
        </w:rPr>
        <w:t>（二）部门财政拨款收支情况</w:t>
      </w:r>
    </w:p>
    <w:p>
      <w:pPr>
        <w:widowControl/>
        <w:adjustRightInd w:val="0"/>
        <w:snapToGrid w:val="0"/>
        <w:spacing w:line="560" w:lineRule="exact"/>
        <w:ind w:firstLine="643" w:firstLineChars="200"/>
        <w:contextualSpacing/>
        <w:jc w:val="left"/>
        <w:rPr>
          <w:rFonts w:eastAsia="仿宋_GB2312"/>
          <w:b/>
          <w:kern w:val="0"/>
          <w:sz w:val="32"/>
          <w:szCs w:val="32"/>
          <w:shd w:val="clear" w:color="auto" w:fill="FFFFFF"/>
        </w:rPr>
      </w:pPr>
      <w:r>
        <w:rPr>
          <w:rFonts w:eastAsia="仿宋_GB2312"/>
          <w:b/>
          <w:kern w:val="0"/>
          <w:sz w:val="32"/>
          <w:szCs w:val="32"/>
          <w:shd w:val="clear" w:color="auto" w:fill="FFFFFF"/>
        </w:rPr>
        <w:t>1.部门财政拨款收入情况</w:t>
      </w:r>
    </w:p>
    <w:p>
      <w:pPr>
        <w:widowControl/>
        <w:adjustRightInd w:val="0"/>
        <w:snapToGrid w:val="0"/>
        <w:spacing w:line="560" w:lineRule="exact"/>
        <w:ind w:firstLine="420" w:firstLineChars="200"/>
        <w:contextualSpacing/>
        <w:jc w:val="left"/>
        <w:rPr>
          <w:rFonts w:eastAsia="仿宋_GB2312"/>
        </w:rPr>
      </w:pPr>
      <w:r>
        <w:rPr>
          <w:rFonts w:eastAsia="仿宋_GB2312"/>
        </w:rPr>
        <w:t xml:space="preserve">    </w:t>
      </w:r>
      <w:r>
        <w:rPr>
          <w:rFonts w:eastAsia="仿宋_GB2312"/>
          <w:sz w:val="32"/>
          <w:szCs w:val="32"/>
        </w:rPr>
        <w:t>截止202</w:t>
      </w:r>
      <w:r>
        <w:rPr>
          <w:rFonts w:hint="eastAsia" w:eastAsia="仿宋_GB2312"/>
          <w:sz w:val="32"/>
          <w:szCs w:val="32"/>
          <w:lang w:val="en-US" w:eastAsia="zh-CN"/>
        </w:rPr>
        <w:t>3</w:t>
      </w:r>
      <w:r>
        <w:rPr>
          <w:rFonts w:eastAsia="仿宋_GB2312"/>
          <w:sz w:val="32"/>
          <w:szCs w:val="32"/>
        </w:rPr>
        <w:t>年底，盐边县红格国际运动康养·温泉度假区管理委员会</w:t>
      </w:r>
      <w:r>
        <w:rPr>
          <w:rFonts w:eastAsia="仿宋_GB2312"/>
          <w:color w:val="000000"/>
          <w:sz w:val="32"/>
          <w:szCs w:val="32"/>
          <w:lang w:val="zh-CN"/>
        </w:rPr>
        <w:t>财政拨款</w:t>
      </w:r>
      <w:r>
        <w:rPr>
          <w:rFonts w:eastAsia="仿宋_GB2312"/>
          <w:sz w:val="32"/>
          <w:szCs w:val="32"/>
        </w:rPr>
        <w:t>收入</w:t>
      </w:r>
      <w:r>
        <w:rPr>
          <w:rFonts w:hint="eastAsia" w:eastAsia="仿宋_GB2312"/>
          <w:sz w:val="32"/>
          <w:szCs w:val="32"/>
          <w:lang w:val="en-US" w:eastAsia="zh-CN"/>
        </w:rPr>
        <w:t>3482</w:t>
      </w:r>
      <w:r>
        <w:rPr>
          <w:rFonts w:eastAsia="仿宋_GB2312"/>
          <w:color w:val="000000"/>
          <w:sz w:val="32"/>
          <w:szCs w:val="32"/>
          <w:lang w:val="zh-CN"/>
        </w:rPr>
        <w:t>.</w:t>
      </w:r>
      <w:r>
        <w:rPr>
          <w:rFonts w:hint="eastAsia" w:eastAsia="仿宋_GB2312"/>
          <w:color w:val="000000"/>
          <w:sz w:val="32"/>
          <w:szCs w:val="32"/>
          <w:lang w:val="en-US" w:eastAsia="zh-CN"/>
        </w:rPr>
        <w:t>9</w:t>
      </w:r>
      <w:r>
        <w:rPr>
          <w:rFonts w:eastAsia="仿宋_GB2312"/>
          <w:color w:val="000000"/>
          <w:sz w:val="32"/>
          <w:szCs w:val="32"/>
          <w:lang w:val="zh-CN"/>
        </w:rPr>
        <w:t>5万元。</w:t>
      </w:r>
    </w:p>
    <w:p>
      <w:pPr>
        <w:widowControl/>
        <w:adjustRightInd w:val="0"/>
        <w:snapToGrid w:val="0"/>
        <w:spacing w:line="560" w:lineRule="exact"/>
        <w:ind w:firstLine="643" w:firstLineChars="200"/>
        <w:contextualSpacing/>
        <w:jc w:val="left"/>
        <w:rPr>
          <w:rFonts w:eastAsia="仿宋_GB2312"/>
          <w:b/>
          <w:kern w:val="0"/>
          <w:sz w:val="32"/>
          <w:szCs w:val="32"/>
          <w:shd w:val="clear" w:color="auto" w:fill="FFFFFF"/>
        </w:rPr>
      </w:pPr>
      <w:r>
        <w:rPr>
          <w:rFonts w:eastAsia="仿宋_GB2312"/>
          <w:b/>
          <w:kern w:val="0"/>
          <w:sz w:val="32"/>
          <w:szCs w:val="32"/>
          <w:shd w:val="clear" w:color="auto" w:fill="FFFFFF"/>
        </w:rPr>
        <w:t>2.部门财政拨款支出情况</w:t>
      </w:r>
    </w:p>
    <w:p>
      <w:pPr>
        <w:pStyle w:val="2"/>
        <w:spacing w:before="93"/>
        <w:rPr>
          <w:rFonts w:ascii="Times New Roman"/>
        </w:rPr>
      </w:pPr>
      <w:r>
        <w:rPr>
          <w:rFonts w:ascii="Times New Roman"/>
        </w:rPr>
        <w:t xml:space="preserve">    </w:t>
      </w:r>
      <w:r>
        <w:rPr>
          <w:rFonts w:ascii="Times New Roman"/>
          <w:sz w:val="32"/>
          <w:szCs w:val="32"/>
        </w:rPr>
        <w:t>截止202</w:t>
      </w:r>
      <w:r>
        <w:rPr>
          <w:rFonts w:hint="eastAsia" w:ascii="Times New Roman"/>
          <w:sz w:val="32"/>
          <w:szCs w:val="32"/>
          <w:lang w:val="en-US" w:eastAsia="zh-CN"/>
        </w:rPr>
        <w:t>3</w:t>
      </w:r>
      <w:r>
        <w:rPr>
          <w:rFonts w:ascii="Times New Roman"/>
          <w:sz w:val="32"/>
          <w:szCs w:val="32"/>
        </w:rPr>
        <w:t>年底，盐边县红格国际运动康养·温泉度假区管理委员会全年财政拨款支出</w:t>
      </w:r>
      <w:r>
        <w:rPr>
          <w:rFonts w:hint="eastAsia" w:ascii="Times New Roman"/>
          <w:sz w:val="32"/>
          <w:szCs w:val="32"/>
          <w:lang w:val="en-US" w:eastAsia="zh-CN"/>
        </w:rPr>
        <w:t>3482</w:t>
      </w:r>
      <w:r>
        <w:rPr>
          <w:rFonts w:ascii="Times New Roman"/>
          <w:color w:val="000000"/>
          <w:sz w:val="32"/>
          <w:szCs w:val="32"/>
          <w:lang w:val="zh-CN"/>
        </w:rPr>
        <w:t>.</w:t>
      </w:r>
      <w:r>
        <w:rPr>
          <w:rFonts w:hint="eastAsia" w:ascii="Times New Roman"/>
          <w:color w:val="000000"/>
          <w:sz w:val="32"/>
          <w:szCs w:val="32"/>
          <w:lang w:val="en-US" w:eastAsia="zh-CN"/>
        </w:rPr>
        <w:t>9</w:t>
      </w:r>
      <w:r>
        <w:rPr>
          <w:rFonts w:ascii="Times New Roman"/>
          <w:color w:val="000000"/>
          <w:sz w:val="32"/>
          <w:szCs w:val="32"/>
          <w:lang w:val="zh-CN"/>
        </w:rPr>
        <w:t>5万元，主要用于机关运行</w:t>
      </w:r>
      <w:r>
        <w:rPr>
          <w:rFonts w:hint="eastAsia" w:ascii="Times New Roman"/>
          <w:color w:val="000000"/>
          <w:sz w:val="32"/>
          <w:szCs w:val="32"/>
          <w:lang w:val="zh-CN"/>
        </w:rPr>
        <w:t>、</w:t>
      </w:r>
      <w:r>
        <w:rPr>
          <w:rFonts w:ascii="Times New Roman"/>
          <w:color w:val="000000"/>
          <w:sz w:val="32"/>
          <w:szCs w:val="32"/>
          <w:lang w:val="zh-CN"/>
        </w:rPr>
        <w:t>工资发放</w:t>
      </w:r>
      <w:r>
        <w:rPr>
          <w:rFonts w:hint="eastAsia" w:ascii="Times New Roman"/>
          <w:color w:val="000000"/>
          <w:sz w:val="32"/>
          <w:szCs w:val="32"/>
          <w:lang w:val="zh-CN"/>
        </w:rPr>
        <w:t>及项目支出</w:t>
      </w:r>
      <w:r>
        <w:rPr>
          <w:rFonts w:ascii="Times New Roman"/>
          <w:color w:val="000000"/>
          <w:sz w:val="32"/>
          <w:szCs w:val="32"/>
          <w:lang w:val="zh-CN"/>
        </w:rPr>
        <w:t>等。</w:t>
      </w:r>
    </w:p>
    <w:p>
      <w:pPr>
        <w:widowControl/>
        <w:adjustRightInd w:val="0"/>
        <w:snapToGrid w:val="0"/>
        <w:spacing w:line="560" w:lineRule="exact"/>
        <w:ind w:firstLine="643" w:firstLineChars="200"/>
        <w:contextualSpacing/>
        <w:jc w:val="left"/>
        <w:rPr>
          <w:rFonts w:eastAsia="仿宋_GB2312"/>
          <w:kern w:val="0"/>
          <w:sz w:val="32"/>
          <w:szCs w:val="32"/>
          <w:shd w:val="clear" w:color="auto" w:fill="FFFFFF"/>
        </w:rPr>
      </w:pPr>
      <w:r>
        <w:rPr>
          <w:rFonts w:eastAsia="仿宋_GB2312"/>
          <w:b/>
          <w:kern w:val="0"/>
          <w:sz w:val="32"/>
          <w:szCs w:val="32"/>
          <w:shd w:val="clear" w:color="auto" w:fill="FFFFFF"/>
        </w:rPr>
        <w:t>3.部门财政拨款结转结余情况</w:t>
      </w:r>
      <w:r>
        <w:rPr>
          <w:rFonts w:eastAsia="仿宋_GB2312"/>
          <w:kern w:val="0"/>
          <w:sz w:val="32"/>
          <w:szCs w:val="32"/>
          <w:shd w:val="clear" w:color="auto" w:fill="FFFFFF"/>
        </w:rPr>
        <w:br w:type="textWrapping"/>
      </w:r>
      <w:r>
        <w:rPr>
          <w:rFonts w:eastAsia="仿宋_GB2312"/>
          <w:kern w:val="0"/>
          <w:sz w:val="32"/>
          <w:szCs w:val="32"/>
          <w:shd w:val="clear" w:color="auto" w:fill="FFFFFF"/>
        </w:rPr>
        <w:t xml:space="preserve">    </w:t>
      </w:r>
      <w:r>
        <w:rPr>
          <w:rFonts w:eastAsia="仿宋_GB2312"/>
          <w:sz w:val="32"/>
          <w:szCs w:val="32"/>
        </w:rPr>
        <w:t>截止202</w:t>
      </w:r>
      <w:r>
        <w:rPr>
          <w:rFonts w:hint="eastAsia" w:eastAsia="仿宋_GB2312"/>
          <w:sz w:val="32"/>
          <w:szCs w:val="32"/>
          <w:lang w:val="en-US" w:eastAsia="zh-CN"/>
        </w:rPr>
        <w:t>3</w:t>
      </w:r>
      <w:r>
        <w:rPr>
          <w:rFonts w:eastAsia="仿宋_GB2312"/>
          <w:sz w:val="32"/>
          <w:szCs w:val="32"/>
        </w:rPr>
        <w:t>年底，盐边县红格国际运动康养·温泉度假区管理委员会无结转结余。</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三、部门整体</w:t>
      </w:r>
      <w:r>
        <w:rPr>
          <w:rFonts w:eastAsia="黑体"/>
          <w:kern w:val="0"/>
          <w:sz w:val="32"/>
          <w:szCs w:val="32"/>
          <w:shd w:val="clear" w:color="auto" w:fill="FFFFFF"/>
        </w:rPr>
        <w:t>预算绩效管理情况</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楷体_GB2312" w:hAnsi="楷体_GB2312" w:eastAsia="楷体_GB2312" w:cs="楷体_GB2312"/>
          <w:bCs/>
          <w:kern w:val="0"/>
          <w:sz w:val="32"/>
          <w:szCs w:val="32"/>
          <w:shd w:val="clear" w:color="auto" w:fill="FFFFFF"/>
          <w:lang w:val="zh-CN"/>
        </w:rPr>
        <w:t>（一）部门预算项目绩效分析</w:t>
      </w:r>
    </w:p>
    <w:p>
      <w:pPr>
        <w:widowControl/>
        <w:adjustRightInd w:val="0"/>
        <w:snapToGrid w:val="0"/>
        <w:spacing w:line="560" w:lineRule="exact"/>
        <w:ind w:firstLine="643" w:firstLineChars="200"/>
        <w:contextualSpacing/>
        <w:jc w:val="left"/>
        <w:rPr>
          <w:rFonts w:eastAsia="仿宋_GB2312"/>
          <w:b/>
          <w:kern w:val="0"/>
          <w:sz w:val="32"/>
          <w:szCs w:val="32"/>
          <w:shd w:val="clear" w:color="auto" w:fill="FFFFFF"/>
        </w:rPr>
      </w:pPr>
      <w:r>
        <w:rPr>
          <w:rFonts w:eastAsia="仿宋_GB2312"/>
          <w:b/>
          <w:kern w:val="0"/>
          <w:sz w:val="32"/>
          <w:szCs w:val="32"/>
          <w:shd w:val="clear" w:color="auto" w:fill="FFFFFF"/>
        </w:rPr>
        <w:t>1.人员类项目绩效分析</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eastAsia="zh-CN"/>
        </w:rPr>
      </w:pPr>
      <w:r>
        <w:rPr>
          <w:rFonts w:hint="eastAsia" w:ascii="Times New Roman" w:hAnsi="Times New Roman" w:eastAsia="仿宋_GB2312" w:cs="Times New Roman"/>
          <w:kern w:val="0"/>
          <w:sz w:val="32"/>
          <w:szCs w:val="32"/>
          <w:shd w:val="clear" w:color="auto" w:fill="FFFFFF"/>
        </w:rPr>
        <w:t>202</w:t>
      </w:r>
      <w:r>
        <w:rPr>
          <w:rFonts w:hint="eastAsia" w:ascii="Times New Roman" w:hAnsi="Times New Roman"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rPr>
        <w:t>年度人员经</w:t>
      </w:r>
      <w:r>
        <w:rPr>
          <w:rFonts w:hint="eastAsia" w:ascii="Times New Roman" w:hAnsi="Times New Roman" w:eastAsia="仿宋_GB2312" w:cs="Times New Roman"/>
          <w:kern w:val="0"/>
          <w:sz w:val="32"/>
          <w:szCs w:val="32"/>
          <w:shd w:val="clear" w:color="auto" w:fill="FFFFFF"/>
          <w:lang w:eastAsia="zh-CN"/>
        </w:rPr>
        <w:t>费支出</w:t>
      </w:r>
      <w:r>
        <w:rPr>
          <w:rFonts w:hint="eastAsia" w:ascii="Times New Roman" w:hAnsi="Times New Roman" w:eastAsia="仿宋_GB2312" w:cs="Times New Roman"/>
          <w:kern w:val="0"/>
          <w:sz w:val="32"/>
          <w:szCs w:val="32"/>
          <w:shd w:val="clear" w:color="auto" w:fill="FFFFFF"/>
          <w:lang w:val="en-US" w:eastAsia="zh-CN"/>
        </w:rPr>
        <w:t>136.2</w:t>
      </w:r>
      <w:r>
        <w:rPr>
          <w:rFonts w:hint="eastAsia"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rPr>
        <w:t>万元，主要用于</w:t>
      </w:r>
      <w:r>
        <w:rPr>
          <w:rFonts w:eastAsia="仿宋_GB2312"/>
          <w:color w:val="auto"/>
          <w:sz w:val="32"/>
          <w:szCs w:val="32"/>
        </w:rPr>
        <w:t>基本工资、津贴补贴、奖金、绩效工资、机关事业单位基本养老保险缴费、</w:t>
      </w:r>
      <w:r>
        <w:rPr>
          <w:rFonts w:hint="eastAsia" w:eastAsia="仿宋_GB2312"/>
          <w:color w:val="auto"/>
          <w:sz w:val="32"/>
          <w:szCs w:val="32"/>
          <w:lang w:eastAsia="zh-CN"/>
        </w:rPr>
        <w:t>职工基本医疗保险</w:t>
      </w:r>
      <w:r>
        <w:rPr>
          <w:rFonts w:eastAsia="仿宋_GB2312"/>
          <w:color w:val="auto"/>
          <w:sz w:val="32"/>
          <w:szCs w:val="32"/>
        </w:rPr>
        <w:t>缴费、</w:t>
      </w:r>
      <w:r>
        <w:rPr>
          <w:rFonts w:hint="eastAsia" w:eastAsia="仿宋_GB2312"/>
          <w:color w:val="auto"/>
          <w:sz w:val="32"/>
          <w:szCs w:val="32"/>
          <w:lang w:eastAsia="zh-CN"/>
        </w:rPr>
        <w:t>公务员医疗补助缴费、</w:t>
      </w:r>
      <w:r>
        <w:rPr>
          <w:rFonts w:eastAsia="仿宋_GB2312"/>
          <w:color w:val="auto"/>
          <w:sz w:val="32"/>
          <w:szCs w:val="32"/>
        </w:rPr>
        <w:t>其他社会保障缴费、其他工资福利支出、医疗费、住房公积金、</w:t>
      </w:r>
      <w:r>
        <w:rPr>
          <w:rFonts w:hint="eastAsia" w:eastAsia="仿宋_GB2312"/>
          <w:color w:val="auto"/>
          <w:sz w:val="32"/>
          <w:szCs w:val="32"/>
          <w:lang w:eastAsia="zh-CN"/>
        </w:rPr>
        <w:t>生活补助</w:t>
      </w:r>
      <w:r>
        <w:rPr>
          <w:rFonts w:hint="eastAsia" w:eastAsia="方正仿宋_GBK"/>
          <w:sz w:val="32"/>
          <w:szCs w:val="32"/>
          <w:shd w:val="clear" w:color="auto" w:fill="FFFFFF"/>
          <w:lang w:eastAsia="zh-CN" w:bidi="ar"/>
        </w:rPr>
        <w:t>等</w:t>
      </w:r>
      <w:r>
        <w:rPr>
          <w:rFonts w:eastAsia="方正仿宋_GBK"/>
          <w:sz w:val="32"/>
          <w:szCs w:val="32"/>
          <w:shd w:val="clear" w:color="auto" w:fill="FFFFFF"/>
          <w:lang w:bidi="ar"/>
        </w:rPr>
        <w:t>，</w:t>
      </w:r>
      <w:r>
        <w:rPr>
          <w:rFonts w:hint="eastAsia" w:ascii="仿宋_GB2312" w:hAnsi="仿宋_GB2312" w:eastAsia="仿宋_GB2312"/>
          <w:color w:val="auto"/>
          <w:sz w:val="32"/>
          <w:szCs w:val="24"/>
        </w:rPr>
        <w:t>均</w:t>
      </w:r>
      <w:r>
        <w:rPr>
          <w:rFonts w:hint="eastAsia" w:ascii="仿宋_GB2312" w:hAnsi="仿宋_GB2312" w:eastAsia="仿宋_GB2312"/>
          <w:color w:val="auto"/>
          <w:sz w:val="32"/>
          <w:szCs w:val="24"/>
          <w:lang w:eastAsia="zh-CN"/>
        </w:rPr>
        <w:t>及时足额支</w:t>
      </w:r>
      <w:r>
        <w:rPr>
          <w:rFonts w:hint="eastAsia" w:ascii="仿宋_GB2312" w:hAnsi="仿宋_GB2312" w:eastAsia="仿宋_GB2312"/>
          <w:color w:val="auto"/>
          <w:sz w:val="32"/>
          <w:szCs w:val="24"/>
        </w:rPr>
        <w:t>付，</w:t>
      </w:r>
      <w:r>
        <w:rPr>
          <w:rFonts w:hint="eastAsia" w:ascii="仿宋_GB2312" w:hAnsi="仿宋_GB2312" w:eastAsia="仿宋_GB2312"/>
          <w:color w:val="auto"/>
          <w:sz w:val="32"/>
          <w:szCs w:val="24"/>
          <w:lang w:eastAsia="zh-CN"/>
        </w:rPr>
        <w:t>预算编制科学</w:t>
      </w:r>
      <w:r>
        <w:rPr>
          <w:rFonts w:hint="eastAsia" w:ascii="Times New Roman" w:hAnsi="Times New Roman" w:eastAsia="仿宋_GB2312" w:cs="Times New Roman"/>
          <w:kern w:val="0"/>
          <w:sz w:val="32"/>
          <w:szCs w:val="32"/>
          <w:shd w:val="clear" w:color="auto" w:fill="FFFFFF"/>
          <w:lang w:eastAsia="zh-CN"/>
        </w:rPr>
        <w:t>合理</w:t>
      </w:r>
      <w:r>
        <w:rPr>
          <w:rFonts w:hint="eastAsia" w:ascii="Times New Roman" w:hAnsi="Times New Roman" w:eastAsia="仿宋_GB2312" w:cs="Times New Roman"/>
          <w:kern w:val="0"/>
          <w:sz w:val="32"/>
          <w:szCs w:val="32"/>
          <w:shd w:val="clear" w:color="auto" w:fill="FFFFFF"/>
        </w:rPr>
        <w:t>，预算执行率100%</w:t>
      </w:r>
      <w:r>
        <w:rPr>
          <w:rFonts w:hint="eastAsia" w:ascii="Times New Roman" w:hAnsi="Times New Roman" w:eastAsia="仿宋_GB2312" w:cs="Times New Roman"/>
          <w:kern w:val="0"/>
          <w:sz w:val="32"/>
          <w:szCs w:val="32"/>
          <w:shd w:val="clear" w:color="auto" w:fill="FFFFFF"/>
          <w:lang w:eastAsia="zh-CN"/>
        </w:rPr>
        <w:t>。</w:t>
      </w:r>
    </w:p>
    <w:p>
      <w:pPr>
        <w:widowControl/>
        <w:adjustRightInd w:val="0"/>
        <w:snapToGrid w:val="0"/>
        <w:spacing w:line="560" w:lineRule="exact"/>
        <w:ind w:firstLine="643" w:firstLineChars="200"/>
        <w:contextualSpacing/>
        <w:jc w:val="left"/>
        <w:rPr>
          <w:rFonts w:eastAsia="仿宋_GB2312"/>
          <w:b/>
          <w:color w:val="000000" w:themeColor="text1"/>
          <w:kern w:val="0"/>
          <w:sz w:val="32"/>
          <w:szCs w:val="32"/>
          <w:shd w:val="clear" w:color="auto" w:fill="FFFFFF"/>
          <w14:textFill>
            <w14:solidFill>
              <w14:schemeClr w14:val="tx1"/>
            </w14:solidFill>
          </w14:textFill>
        </w:rPr>
      </w:pPr>
      <w:r>
        <w:rPr>
          <w:rFonts w:eastAsia="仿宋_GB2312"/>
          <w:b/>
          <w:color w:val="000000" w:themeColor="text1"/>
          <w:kern w:val="0"/>
          <w:sz w:val="32"/>
          <w:szCs w:val="32"/>
          <w:shd w:val="clear" w:color="auto" w:fill="FFFFFF"/>
          <w14:textFill>
            <w14:solidFill>
              <w14:schemeClr w14:val="tx1"/>
            </w14:solidFill>
          </w14:textFill>
        </w:rPr>
        <w:t>2.运转类项目绩效分析</w:t>
      </w:r>
      <w:r>
        <w:rPr>
          <w:rFonts w:hint="eastAsia" w:eastAsia="仿宋_GB2312"/>
          <w:b/>
          <w:color w:val="000000" w:themeColor="text1"/>
          <w:kern w:val="0"/>
          <w:sz w:val="32"/>
          <w:szCs w:val="32"/>
          <w:shd w:val="clear" w:color="auto" w:fill="FFFFFF"/>
          <w14:textFill>
            <w14:solidFill>
              <w14:schemeClr w14:val="tx1"/>
            </w14:solidFill>
          </w14:textFill>
        </w:rPr>
        <w:t>。</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rPr>
        <w:t>202</w:t>
      </w:r>
      <w:r>
        <w:rPr>
          <w:rFonts w:hint="eastAsia" w:ascii="Times New Roman" w:hAnsi="Times New Roman"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rPr>
        <w:t>年度</w:t>
      </w:r>
      <w:r>
        <w:rPr>
          <w:rFonts w:eastAsia="方正仿宋_GBK"/>
          <w:sz w:val="32"/>
          <w:szCs w:val="32"/>
          <w:shd w:val="clear" w:color="auto" w:fill="FFFFFF"/>
          <w:lang w:bidi="ar"/>
        </w:rPr>
        <w:t>公用经费支出</w:t>
      </w:r>
      <w:r>
        <w:rPr>
          <w:rFonts w:hint="eastAsia" w:eastAsia="方正仿宋_GBK"/>
          <w:sz w:val="32"/>
          <w:szCs w:val="32"/>
          <w:shd w:val="clear" w:color="auto" w:fill="FFFFFF"/>
          <w:lang w:val="en-US" w:eastAsia="zh-CN" w:bidi="ar"/>
        </w:rPr>
        <w:t>10.59</w:t>
      </w:r>
      <w:r>
        <w:rPr>
          <w:rFonts w:hint="eastAsia" w:ascii="Times New Roman" w:hAnsi="Times New Roman" w:eastAsia="仿宋_GB2312" w:cs="Times New Roman"/>
          <w:kern w:val="0"/>
          <w:sz w:val="32"/>
          <w:szCs w:val="32"/>
          <w:shd w:val="clear" w:color="auto" w:fill="FFFFFF"/>
        </w:rPr>
        <w:t>万元</w:t>
      </w:r>
      <w:r>
        <w:rPr>
          <w:rFonts w:hint="eastAsia" w:ascii="Times New Roman" w:hAnsi="Times New Roman" w:eastAsia="仿宋_GB2312" w:cs="Times New Roman"/>
          <w:kern w:val="0"/>
          <w:sz w:val="32"/>
          <w:szCs w:val="32"/>
          <w:shd w:val="clear" w:color="auto" w:fill="FFFFFF"/>
          <w:lang w:eastAsia="zh-CN"/>
        </w:rPr>
        <w:t>，</w:t>
      </w:r>
      <w:r>
        <w:rPr>
          <w:rFonts w:hint="eastAsia" w:ascii="Times New Roman" w:hAnsi="Times New Roman" w:eastAsia="仿宋_GB2312" w:cs="Times New Roman"/>
          <w:kern w:val="0"/>
          <w:sz w:val="32"/>
          <w:szCs w:val="32"/>
          <w:shd w:val="clear" w:color="auto" w:fill="FFFFFF"/>
        </w:rPr>
        <w:t>主要用于办公费、</w:t>
      </w:r>
      <w:r>
        <w:rPr>
          <w:rFonts w:hint="eastAsia" w:ascii="Times New Roman" w:hAnsi="Times New Roman" w:eastAsia="仿宋_GB2312" w:cs="Times New Roman"/>
          <w:kern w:val="0"/>
          <w:sz w:val="32"/>
          <w:szCs w:val="32"/>
          <w:shd w:val="clear" w:color="auto" w:fill="FFFFFF"/>
          <w:lang w:eastAsia="zh-CN"/>
        </w:rPr>
        <w:t>印刷费、</w:t>
      </w:r>
      <w:r>
        <w:rPr>
          <w:rFonts w:hint="eastAsia" w:ascii="Times New Roman" w:hAnsi="Times New Roman" w:eastAsia="仿宋_GB2312" w:cs="Times New Roman"/>
          <w:kern w:val="0"/>
          <w:sz w:val="32"/>
          <w:szCs w:val="32"/>
          <w:shd w:val="clear" w:color="auto" w:fill="FFFFFF"/>
        </w:rPr>
        <w:t>水电费、</w:t>
      </w:r>
      <w:r>
        <w:rPr>
          <w:rFonts w:hint="eastAsia" w:ascii="仿宋_GB2312" w:hAnsi="仿宋_GB2312" w:eastAsia="仿宋_GB2312"/>
          <w:color w:val="auto"/>
          <w:kern w:val="2"/>
          <w:sz w:val="32"/>
          <w:szCs w:val="24"/>
          <w:lang w:val="en-US" w:eastAsia="zh-CN"/>
        </w:rPr>
        <w:t>邮电费、差旅费、维修（护）费、会议费、工会经费、福利费、其他交通费用、其他商品和服务支出</w:t>
      </w:r>
      <w:r>
        <w:rPr>
          <w:rFonts w:hint="eastAsia" w:ascii="Times New Roman" w:hAnsi="Times New Roman" w:eastAsia="仿宋_GB2312" w:cs="Times New Roman"/>
          <w:kern w:val="0"/>
          <w:sz w:val="32"/>
          <w:szCs w:val="32"/>
          <w:shd w:val="clear" w:color="auto" w:fill="FFFFFF"/>
        </w:rPr>
        <w:t>等，均</w:t>
      </w:r>
      <w:r>
        <w:rPr>
          <w:rFonts w:hint="eastAsia" w:ascii="Times New Roman" w:hAnsi="Times New Roman" w:eastAsia="仿宋_GB2312" w:cs="Times New Roman"/>
          <w:kern w:val="0"/>
          <w:sz w:val="32"/>
          <w:szCs w:val="32"/>
          <w:shd w:val="clear" w:color="auto" w:fill="FFFFFF"/>
          <w:lang w:eastAsia="zh-CN"/>
        </w:rPr>
        <w:t>及时足额</w:t>
      </w:r>
      <w:r>
        <w:rPr>
          <w:rFonts w:hint="eastAsia" w:ascii="Times New Roman" w:hAnsi="Times New Roman" w:eastAsia="仿宋_GB2312" w:cs="Times New Roman"/>
          <w:kern w:val="0"/>
          <w:sz w:val="32"/>
          <w:szCs w:val="32"/>
          <w:shd w:val="clear" w:color="auto" w:fill="FFFFFF"/>
        </w:rPr>
        <w:t>支付，严格执行预算，保障单位日常运转</w:t>
      </w:r>
      <w:r>
        <w:rPr>
          <w:rFonts w:hint="eastAsia" w:ascii="Times New Roman" w:hAnsi="Times New Roman" w:eastAsia="仿宋_GB2312" w:cs="Times New Roman"/>
          <w:kern w:val="0"/>
          <w:sz w:val="32"/>
          <w:szCs w:val="32"/>
          <w:shd w:val="clear" w:color="auto" w:fill="FFFFFF"/>
          <w:lang w:eastAsia="zh-CN"/>
        </w:rPr>
        <w:t>，</w:t>
      </w:r>
      <w:r>
        <w:rPr>
          <w:rFonts w:hint="eastAsia" w:ascii="Times New Roman" w:hAnsi="Times New Roman" w:eastAsia="仿宋_GB2312" w:cs="Times New Roman"/>
          <w:kern w:val="0"/>
          <w:sz w:val="32"/>
          <w:szCs w:val="32"/>
          <w:shd w:val="clear" w:color="auto" w:fill="FFFFFF"/>
        </w:rPr>
        <w:t>预算执行率100%</w:t>
      </w:r>
      <w:r>
        <w:rPr>
          <w:rFonts w:hint="eastAsia" w:ascii="Times New Roman" w:hAnsi="Times New Roman" w:eastAsia="仿宋_GB2312" w:cs="Times New Roman"/>
          <w:kern w:val="0"/>
          <w:sz w:val="32"/>
          <w:szCs w:val="32"/>
          <w:shd w:val="clear" w:color="auto" w:fill="FFFFFF"/>
          <w:lang w:eastAsia="zh-CN"/>
        </w:rPr>
        <w:t>。</w:t>
      </w:r>
    </w:p>
    <w:p>
      <w:pPr>
        <w:widowControl/>
        <w:adjustRightInd w:val="0"/>
        <w:snapToGrid w:val="0"/>
        <w:spacing w:line="560" w:lineRule="exact"/>
        <w:ind w:firstLine="643" w:firstLineChars="200"/>
        <w:contextualSpacing/>
        <w:jc w:val="left"/>
        <w:rPr>
          <w:rFonts w:ascii="Times New Roman" w:hAnsi="Times New Roman" w:eastAsia="仿宋_GB2312" w:cs="Times New Roman"/>
          <w:b/>
          <w:color w:val="000000" w:themeColor="text1"/>
          <w:kern w:val="0"/>
          <w:sz w:val="32"/>
          <w:szCs w:val="32"/>
          <w:shd w:val="clear" w:color="auto" w:fill="FFFFFF"/>
          <w14:textFill>
            <w14:solidFill>
              <w14:schemeClr w14:val="tx1"/>
            </w14:solidFill>
          </w14:textFill>
        </w:rPr>
      </w:pPr>
      <w:r>
        <w:rPr>
          <w:rFonts w:ascii="Times New Roman" w:hAnsi="Times New Roman" w:eastAsia="仿宋_GB2312" w:cs="Times New Roman"/>
          <w:b/>
          <w:color w:val="000000" w:themeColor="text1"/>
          <w:kern w:val="0"/>
          <w:sz w:val="32"/>
          <w:szCs w:val="32"/>
          <w:shd w:val="clear" w:color="auto" w:fill="FFFFFF"/>
          <w14:textFill>
            <w14:solidFill>
              <w14:schemeClr w14:val="tx1"/>
            </w14:solidFill>
          </w14:textFill>
        </w:rPr>
        <w:t>3.特定目标类项目绩效分析</w:t>
      </w:r>
      <w:r>
        <w:rPr>
          <w:rFonts w:hint="eastAsia" w:ascii="Times New Roman" w:hAnsi="Times New Roman" w:eastAsia="仿宋_GB2312" w:cs="Times New Roman"/>
          <w:b/>
          <w:color w:val="000000" w:themeColor="text1"/>
          <w:kern w:val="0"/>
          <w:sz w:val="32"/>
          <w:szCs w:val="32"/>
          <w:shd w:val="clear" w:color="auto" w:fill="FFFFFF"/>
          <w14:textFill>
            <w14:solidFill>
              <w14:schemeClr w14:val="tx1"/>
            </w14:solidFill>
          </w14:textFill>
        </w:rPr>
        <w:t>。</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rPr>
      </w:pPr>
      <w:r>
        <w:rPr>
          <w:rFonts w:hint="eastAsia" w:ascii="Times New Roman" w:hAnsi="Times New Roman" w:eastAsia="仿宋_GB2312" w:cs="Times New Roman"/>
          <w:kern w:val="0"/>
          <w:sz w:val="32"/>
          <w:szCs w:val="32"/>
          <w:shd w:val="clear" w:color="auto" w:fill="FFFFFF"/>
        </w:rPr>
        <w:t>202</w:t>
      </w:r>
      <w:r>
        <w:rPr>
          <w:rFonts w:hint="eastAsia" w:ascii="Times New Roman" w:hAnsi="Times New Roman"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rPr>
        <w:t>年，盐边县红格国际运动康养·温泉度假区管理委员会有</w:t>
      </w:r>
      <w:r>
        <w:rPr>
          <w:rFonts w:hint="eastAsia" w:ascii="Times New Roman" w:hAnsi="Times New Roman" w:eastAsia="仿宋_GB2312" w:cs="Times New Roman"/>
          <w:kern w:val="0"/>
          <w:sz w:val="32"/>
          <w:szCs w:val="32"/>
          <w:shd w:val="clear" w:color="auto" w:fill="FFFFFF"/>
          <w:lang w:eastAsia="zh-CN"/>
        </w:rPr>
        <w:t>特定目标</w:t>
      </w:r>
      <w:r>
        <w:rPr>
          <w:rFonts w:hint="eastAsia" w:ascii="Times New Roman" w:hAnsi="Times New Roman" w:eastAsia="仿宋_GB2312" w:cs="Times New Roman"/>
          <w:kern w:val="0"/>
          <w:sz w:val="32"/>
          <w:szCs w:val="32"/>
          <w:shd w:val="clear" w:color="auto" w:fill="FFFFFF"/>
        </w:rPr>
        <w:t>类项目</w:t>
      </w:r>
      <w:r>
        <w:rPr>
          <w:rFonts w:hint="eastAsia" w:ascii="Times New Roman" w:hAnsi="Times New Roman" w:eastAsia="仿宋_GB2312" w:cs="Times New Roman"/>
          <w:kern w:val="0"/>
          <w:sz w:val="32"/>
          <w:szCs w:val="32"/>
          <w:shd w:val="clear" w:color="auto" w:fill="FFFFFF"/>
          <w:lang w:eastAsia="zh-CN"/>
        </w:rPr>
        <w:t>九</w:t>
      </w:r>
      <w:r>
        <w:rPr>
          <w:rFonts w:hint="eastAsia" w:ascii="Times New Roman" w:hAnsi="Times New Roman" w:eastAsia="仿宋_GB2312" w:cs="Times New Roman"/>
          <w:kern w:val="0"/>
          <w:sz w:val="32"/>
          <w:szCs w:val="32"/>
          <w:shd w:val="clear" w:color="auto" w:fill="FFFFFF"/>
        </w:rPr>
        <w:t>个，</w:t>
      </w:r>
      <w:r>
        <w:rPr>
          <w:rFonts w:hint="eastAsia" w:ascii="Times New Roman" w:hAnsi="Times New Roman" w:eastAsia="仿宋_GB2312" w:cs="Times New Roman"/>
          <w:kern w:val="0"/>
          <w:sz w:val="32"/>
          <w:szCs w:val="32"/>
          <w:shd w:val="clear" w:color="auto" w:fill="FFFFFF"/>
          <w:lang w:eastAsia="zh-CN"/>
        </w:rPr>
        <w:t>分别</w:t>
      </w:r>
      <w:r>
        <w:rPr>
          <w:rFonts w:hint="eastAsia" w:ascii="Times New Roman" w:hAnsi="Times New Roman" w:eastAsia="仿宋_GB2312" w:cs="Times New Roman"/>
          <w:kern w:val="0"/>
          <w:sz w:val="32"/>
          <w:szCs w:val="32"/>
          <w:shd w:val="clear" w:color="auto" w:fill="FFFFFF"/>
        </w:rPr>
        <w:t>为昔格达大道北段提升改造工程、</w:t>
      </w:r>
      <w:r>
        <w:rPr>
          <w:rFonts w:hint="eastAsia" w:ascii="Times New Roman" w:hAnsi="Times New Roman" w:eastAsia="仿宋_GB2312" w:cs="Times New Roman"/>
          <w:kern w:val="0"/>
          <w:sz w:val="32"/>
          <w:szCs w:val="32"/>
          <w:shd w:val="clear" w:color="auto" w:fill="FFFFFF"/>
          <w:lang w:eastAsia="zh-CN"/>
        </w:rPr>
        <w:t>红格</w:t>
      </w:r>
      <w:r>
        <w:rPr>
          <w:rFonts w:hint="eastAsia" w:ascii="Times New Roman" w:hAnsi="Times New Roman" w:eastAsia="仿宋_GB2312" w:cs="Times New Roman"/>
          <w:kern w:val="0"/>
          <w:sz w:val="32"/>
          <w:szCs w:val="32"/>
          <w:shd w:val="clear" w:color="auto" w:fill="FFFFFF"/>
        </w:rPr>
        <w:t>训练基地道路改造、京东（盐边）乡村振兴示范园装修工程、红格度假区基础设施项目奖补资金、红格度假区环保整改、红格度假区基础设施项目清算</w:t>
      </w:r>
      <w:r>
        <w:rPr>
          <w:rFonts w:hint="eastAsia" w:ascii="Times New Roman" w:hAnsi="Times New Roman" w:eastAsia="仿宋_GB2312" w:cs="Times New Roman"/>
          <w:kern w:val="0"/>
          <w:sz w:val="32"/>
          <w:szCs w:val="32"/>
          <w:shd w:val="clear" w:color="auto" w:fill="FFFFFF"/>
          <w:lang w:eastAsia="zh-CN"/>
        </w:rPr>
        <w:t>、</w:t>
      </w:r>
      <w:r>
        <w:rPr>
          <w:rFonts w:hint="eastAsia" w:ascii="Times New Roman" w:hAnsi="Times New Roman" w:eastAsia="仿宋_GB2312" w:cs="Times New Roman"/>
          <w:kern w:val="0"/>
          <w:sz w:val="32"/>
          <w:szCs w:val="32"/>
          <w:shd w:val="clear" w:color="auto" w:fill="FFFFFF"/>
        </w:rPr>
        <w:t>天府旅游名县创建、省级体育旅游示范基地创建</w:t>
      </w:r>
      <w:r>
        <w:rPr>
          <w:rFonts w:hint="eastAsia" w:ascii="Times New Roman" w:hAnsi="Times New Roman" w:eastAsia="仿宋_GB2312" w:cs="Times New Roman"/>
          <w:kern w:val="0"/>
          <w:sz w:val="32"/>
          <w:szCs w:val="32"/>
          <w:shd w:val="clear" w:color="auto" w:fill="FFFFFF"/>
          <w:lang w:eastAsia="zh-CN"/>
        </w:rPr>
        <w:t>、</w:t>
      </w:r>
      <w:r>
        <w:rPr>
          <w:rFonts w:hint="eastAsia" w:ascii="Times New Roman" w:hAnsi="Times New Roman" w:eastAsia="仿宋_GB2312" w:cs="Times New Roman"/>
          <w:kern w:val="0"/>
          <w:sz w:val="32"/>
          <w:szCs w:val="32"/>
          <w:shd w:val="clear" w:color="auto" w:fill="FFFFFF"/>
        </w:rPr>
        <w:t>盐边县红格国际运动康养·温泉度假区基础设施项目管理、运营、维护</w:t>
      </w:r>
      <w:r>
        <w:rPr>
          <w:rFonts w:hint="eastAsia" w:ascii="Times New Roman" w:hAnsi="Times New Roman" w:eastAsia="仿宋_GB2312" w:cs="Times New Roman"/>
          <w:kern w:val="0"/>
          <w:sz w:val="32"/>
          <w:szCs w:val="32"/>
          <w:shd w:val="clear" w:color="auto" w:fill="FFFFFF"/>
          <w:lang w:val="en-US" w:eastAsia="zh-CN"/>
        </w:rPr>
        <w:t>9</w:t>
      </w:r>
      <w:r>
        <w:rPr>
          <w:rFonts w:hint="eastAsia" w:ascii="Times New Roman" w:hAnsi="Times New Roman" w:eastAsia="仿宋_GB2312" w:cs="Times New Roman"/>
          <w:kern w:val="0"/>
          <w:sz w:val="32"/>
          <w:szCs w:val="32"/>
          <w:shd w:val="clear" w:color="auto" w:fill="FFFFFF"/>
        </w:rPr>
        <w:t>个项目</w:t>
      </w:r>
      <w:r>
        <w:rPr>
          <w:rFonts w:hint="eastAsia" w:ascii="Times New Roman" w:hAnsi="Times New Roman" w:eastAsia="仿宋_GB2312" w:cs="Times New Roman"/>
          <w:kern w:val="0"/>
          <w:sz w:val="32"/>
          <w:szCs w:val="32"/>
          <w:shd w:val="clear" w:color="auto" w:fill="FFFFFF"/>
          <w:lang w:eastAsia="zh-CN"/>
        </w:rPr>
        <w:t>。组织</w:t>
      </w:r>
      <w:r>
        <w:rPr>
          <w:rFonts w:hint="eastAsia" w:ascii="Times New Roman" w:hAnsi="Times New Roman" w:eastAsia="仿宋_GB2312" w:cs="Times New Roman"/>
          <w:kern w:val="0"/>
          <w:sz w:val="32"/>
          <w:szCs w:val="32"/>
          <w:shd w:val="clear" w:color="auto" w:fill="FFFFFF"/>
        </w:rPr>
        <w:t>开展预算事前绩效评估，编制绩效目标，预算执行过程</w:t>
      </w:r>
      <w:r>
        <w:rPr>
          <w:rFonts w:hint="eastAsia" w:ascii="Times New Roman" w:hAnsi="Times New Roman" w:eastAsia="仿宋_GB2312" w:cs="Times New Roman"/>
          <w:kern w:val="0"/>
          <w:sz w:val="32"/>
          <w:szCs w:val="32"/>
          <w:shd w:val="clear" w:color="auto" w:fill="FFFFFF"/>
          <w:lang w:eastAsia="zh-CN"/>
        </w:rPr>
        <w:t>中</w:t>
      </w:r>
      <w:r>
        <w:rPr>
          <w:rFonts w:hint="eastAsia" w:ascii="Times New Roman" w:hAnsi="Times New Roman" w:eastAsia="仿宋_GB2312" w:cs="Times New Roman"/>
          <w:kern w:val="0"/>
          <w:sz w:val="32"/>
          <w:szCs w:val="32"/>
          <w:shd w:val="clear" w:color="auto" w:fill="FFFFFF"/>
        </w:rPr>
        <w:t>开展绩效监控</w:t>
      </w:r>
      <w:r>
        <w:rPr>
          <w:rFonts w:hint="eastAsia" w:ascii="Times New Roman" w:hAnsi="Times New Roman" w:eastAsia="仿宋_GB2312" w:cs="Times New Roman"/>
          <w:kern w:val="0"/>
          <w:sz w:val="32"/>
          <w:szCs w:val="32"/>
          <w:shd w:val="clear" w:color="auto" w:fill="FFFFFF"/>
          <w:lang w:eastAsia="zh-CN"/>
        </w:rPr>
        <w:t>，</w:t>
      </w:r>
      <w:r>
        <w:rPr>
          <w:rFonts w:hint="eastAsia" w:ascii="Times New Roman" w:hAnsi="Times New Roman" w:eastAsia="仿宋_GB2312" w:cs="Times New Roman"/>
          <w:kern w:val="0"/>
          <w:sz w:val="32"/>
          <w:szCs w:val="32"/>
          <w:shd w:val="clear" w:color="auto" w:fill="FFFFFF"/>
        </w:rPr>
        <w:t>预算执行率</w:t>
      </w:r>
      <w:r>
        <w:rPr>
          <w:rFonts w:hint="eastAsia" w:ascii="Times New Roman" w:hAnsi="Times New Roman" w:eastAsia="仿宋_GB2312" w:cs="Times New Roman"/>
          <w:kern w:val="0"/>
          <w:sz w:val="32"/>
          <w:szCs w:val="32"/>
          <w:shd w:val="clear" w:color="auto" w:fill="FFFFFF"/>
          <w:lang w:val="en-US" w:eastAsia="zh-CN"/>
        </w:rPr>
        <w:t>100</w:t>
      </w:r>
      <w:r>
        <w:rPr>
          <w:rFonts w:hint="eastAsia" w:ascii="Times New Roman" w:hAnsi="Times New Roman" w:eastAsia="仿宋_GB2312" w:cs="Times New Roman"/>
          <w:kern w:val="0"/>
          <w:sz w:val="32"/>
          <w:szCs w:val="32"/>
          <w:shd w:val="clear" w:color="auto" w:fill="FFFFFF"/>
        </w:rPr>
        <w:t>%</w:t>
      </w:r>
      <w:r>
        <w:rPr>
          <w:rFonts w:hint="eastAsia" w:ascii="Times New Roman" w:hAnsi="Times New Roman" w:eastAsia="仿宋_GB2312" w:cs="Times New Roman"/>
          <w:kern w:val="0"/>
          <w:sz w:val="32"/>
          <w:szCs w:val="32"/>
          <w:shd w:val="clear" w:color="auto" w:fill="FFFFFF"/>
          <w:lang w:eastAsia="zh-CN"/>
        </w:rPr>
        <w:t>。项目</w:t>
      </w:r>
      <w:r>
        <w:rPr>
          <w:rFonts w:hint="eastAsia" w:ascii="Times New Roman" w:hAnsi="Times New Roman" w:eastAsia="仿宋_GB2312" w:cs="Times New Roman"/>
          <w:kern w:val="0"/>
          <w:sz w:val="32"/>
          <w:szCs w:val="32"/>
          <w:shd w:val="clear" w:color="auto" w:fill="FFFFFF"/>
        </w:rPr>
        <w:t>主要用于</w:t>
      </w:r>
      <w:r>
        <w:rPr>
          <w:rFonts w:hint="eastAsia" w:ascii="Times New Roman" w:hAnsi="Times New Roman" w:eastAsia="仿宋_GB2312" w:cs="Times New Roman"/>
          <w:kern w:val="0"/>
          <w:sz w:val="32"/>
          <w:szCs w:val="32"/>
          <w:shd w:val="clear" w:color="auto" w:fill="FFFFFF"/>
          <w:lang w:eastAsia="zh-CN"/>
        </w:rPr>
        <w:t>基础设施建设，</w:t>
      </w:r>
      <w:r>
        <w:rPr>
          <w:rFonts w:hint="eastAsia" w:ascii="Times New Roman" w:hAnsi="Times New Roman" w:eastAsia="仿宋_GB2312" w:cs="Times New Roman"/>
          <w:kern w:val="0"/>
          <w:sz w:val="32"/>
          <w:szCs w:val="32"/>
          <w:shd w:val="clear" w:color="auto" w:fill="FFFFFF"/>
        </w:rPr>
        <w:t>项目开展中未发现其他问题。</w:t>
      </w:r>
    </w:p>
    <w:p>
      <w:pPr>
        <w:widowControl/>
        <w:adjustRightInd w:val="0"/>
        <w:snapToGrid w:val="0"/>
        <w:spacing w:line="560" w:lineRule="exact"/>
        <w:ind w:firstLine="640" w:firstLineChars="200"/>
        <w:contextualSpacing/>
        <w:jc w:val="left"/>
        <w:rPr>
          <w:rFonts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t>（二）部门整体履职绩效分析</w:t>
      </w:r>
    </w:p>
    <w:p>
      <w:pPr>
        <w:widowControl/>
        <w:adjustRightInd w:val="0"/>
        <w:snapToGrid w:val="0"/>
        <w:spacing w:line="560" w:lineRule="exact"/>
        <w:ind w:firstLine="643" w:firstLineChars="200"/>
        <w:contextualSpacing/>
        <w:jc w:val="left"/>
        <w:rPr>
          <w:rFonts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pPr>
      <w:r>
        <w:rPr>
          <w:rFonts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1.目标完成情况</w:t>
      </w:r>
      <w:r>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本单位按照有关规定和要求制定了基本支出、项目支出和整体支出的绩效目标管理体系，对重点项目目标进行了量化，并严格按照绩效目标管理实施项目、使用资金，实现了部门整体绩效目标编制完整、合理，项目绩效目标编制明确、量化。</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预算编制准确，基本支出预算实行定员定额管理，人员支出预算按照工资福利标准和编制内实有人员核定；项目支出预算根据相关项目性质编制预算，做到不漏编，不多编，做到专款专用、规范管理、绩效引导，在保证项目工作按质按量按时完成的前提下严格将经费控制在预算内。</w:t>
      </w:r>
    </w:p>
    <w:p>
      <w:pPr>
        <w:widowControl/>
        <w:adjustRightInd w:val="0"/>
        <w:snapToGrid w:val="0"/>
        <w:spacing w:line="560" w:lineRule="exact"/>
        <w:ind w:firstLine="643" w:firstLineChars="200"/>
        <w:contextualSpacing/>
        <w:jc w:val="left"/>
        <w:rPr>
          <w:rFonts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pPr>
      <w:r>
        <w:rPr>
          <w:rFonts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2.部门履职情况</w:t>
      </w:r>
      <w:r>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本单位严格按照“三定”方案等相关规定，厘清单位、各科室及各岗位职责，严格按照要求及时将整改反馈情况向财政部门反馈，并根据绩效管理结果完善管理、整改问题，在开展专项项目工作中，加强监督、总结失误、及时整改。</w:t>
      </w:r>
    </w:p>
    <w:p>
      <w:pPr>
        <w:widowControl/>
        <w:adjustRightInd w:val="0"/>
        <w:snapToGrid w:val="0"/>
        <w:spacing w:line="560" w:lineRule="exact"/>
        <w:ind w:firstLine="640" w:firstLineChars="200"/>
        <w:contextualSpacing/>
        <w:jc w:val="left"/>
        <w:rPr>
          <w:rFonts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t>（三）结果应用情况</w:t>
      </w:r>
    </w:p>
    <w:p>
      <w:pPr>
        <w:widowControl/>
        <w:adjustRightInd w:val="0"/>
        <w:snapToGrid w:val="0"/>
        <w:spacing w:line="560" w:lineRule="exact"/>
        <w:ind w:firstLine="643" w:firstLineChars="200"/>
        <w:contextualSpacing/>
        <w:jc w:val="left"/>
        <w:rPr>
          <w:rFonts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pPr>
      <w:r>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1.内部应用。</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本单位为2021年新成立单位，成立财务系统后第一时间制定《红格度假区管委会办公室财务管理办法》，明确财务各岗位人员职责，同步开展预算制定、绩效目标管理、事前绩效评估、预算绩效运行跟踪监控管理、绩效评价、结果反馈和应用管理等绩效工作。</w:t>
      </w:r>
    </w:p>
    <w:p>
      <w:pPr>
        <w:widowControl/>
        <w:adjustRightInd w:val="0"/>
        <w:snapToGrid w:val="0"/>
        <w:spacing w:line="560" w:lineRule="exact"/>
        <w:ind w:firstLine="643" w:firstLineChars="200"/>
        <w:contextualSpacing/>
        <w:jc w:val="left"/>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pPr>
      <w:r>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2.自评公开。</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本单位已按要求将相关绩效信息随同决算进行信息公开。</w:t>
      </w:r>
    </w:p>
    <w:p>
      <w:pPr>
        <w:widowControl/>
        <w:adjustRightInd w:val="0"/>
        <w:snapToGrid w:val="0"/>
        <w:spacing w:line="560" w:lineRule="exact"/>
        <w:ind w:firstLine="643" w:firstLineChars="200"/>
        <w:contextualSpacing/>
        <w:jc w:val="left"/>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pPr>
      <w:r>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3.问题整改与应用反馈。</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本单位均按照要求根据绩效管理结果整改问题，完善绩效管理资料，以问题为导向将整改结果应用到实际工作中，提高绩效管理质量。</w:t>
      </w:r>
    </w:p>
    <w:p>
      <w:pPr>
        <w:widowControl/>
        <w:numPr>
          <w:ilvl w:val="0"/>
          <w:numId w:val="4"/>
        </w:numPr>
        <w:adjustRightInd w:val="0"/>
        <w:snapToGrid w:val="0"/>
        <w:spacing w:line="560" w:lineRule="exact"/>
        <w:ind w:firstLine="640" w:firstLineChars="200"/>
        <w:contextualSpacing/>
        <w:jc w:val="left"/>
        <w:rPr>
          <w:rFonts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t>自评质量</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我单位在</w:t>
      </w:r>
      <w:r>
        <w:rPr>
          <w:rFonts w:hint="eastAsia" w:ascii="Times New Roman" w:hAnsi="Times New Roman" w:eastAsia="仿宋_GB2312" w:cs="Times New Roman"/>
          <w:kern w:val="0"/>
          <w:sz w:val="32"/>
          <w:szCs w:val="32"/>
          <w:shd w:val="clear" w:color="auto" w:fill="FFFFFF"/>
          <w:lang w:val="en-US" w:eastAsia="zh-CN"/>
        </w:rPr>
        <w:t>2</w:t>
      </w:r>
      <w:r>
        <w:rPr>
          <w:rFonts w:hint="eastAsia" w:ascii="Times New Roman" w:hAnsi="Times New Roman" w:eastAsia="仿宋_GB2312" w:cs="Times New Roman"/>
          <w:kern w:val="0"/>
          <w:sz w:val="32"/>
          <w:szCs w:val="32"/>
          <w:shd w:val="clear" w:color="auto" w:fill="FFFFFF"/>
          <w:lang w:val="zh-CN" w:eastAsia="zh-CN"/>
        </w:rPr>
        <w:t>02</w:t>
      </w:r>
      <w:r>
        <w:rPr>
          <w:rFonts w:hint="eastAsia" w:ascii="Times New Roman" w:hAnsi="Times New Roman"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lang w:val="zh-CN" w:eastAsia="zh-CN"/>
        </w:rPr>
        <w:t>年预、决算工作中严格按照预算编制相关文件的要求，认真贯彻执行《中华人民共和国预算法》，结合县委、县政府安排部署和度假区202</w:t>
      </w:r>
      <w:r>
        <w:rPr>
          <w:rFonts w:hint="eastAsia" w:ascii="Times New Roman" w:hAnsi="Times New Roman"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lang w:val="zh-CN" w:eastAsia="zh-CN"/>
        </w:rPr>
        <w:t xml:space="preserve"> 年工作重点，抓好机关支出预算结构的优化和调整。严格控制一般性支出、“三公”经费支出，细化“三公”经费预算管理，部门收支情况。在预算执行过程中，严格按照追加预算安排以及县财政局有关规定和程序开展预算支出和公务卡管理等，在资金管理、政策执行上认真严谨，有效发挥财政资金的使用效率。</w:t>
      </w:r>
    </w:p>
    <w:p>
      <w:pPr>
        <w:widowControl/>
        <w:adjustRightInd w:val="0"/>
        <w:snapToGrid w:val="0"/>
        <w:spacing w:line="560" w:lineRule="exact"/>
        <w:ind w:firstLine="640" w:firstLineChars="200"/>
        <w:contextualSpacing/>
        <w:jc w:val="left"/>
        <w:rPr>
          <w:rFonts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宋体" w:eastAsia="黑体" w:cs="宋体"/>
          <w:color w:val="000000" w:themeColor="text1"/>
          <w:kern w:val="0"/>
          <w:sz w:val="32"/>
          <w:szCs w:val="32"/>
          <w:shd w:val="clear" w:color="auto" w:fill="FFFFFF"/>
          <w14:textFill>
            <w14:solidFill>
              <w14:schemeClr w14:val="tx1"/>
            </w14:solidFill>
          </w14:textFill>
        </w:rPr>
        <w:t>四、评价结论及建议</w:t>
      </w:r>
    </w:p>
    <w:p>
      <w:pPr>
        <w:widowControl/>
        <w:adjustRightInd w:val="0"/>
        <w:snapToGrid w:val="0"/>
        <w:spacing w:line="560" w:lineRule="exact"/>
        <w:ind w:firstLine="640" w:firstLineChars="200"/>
        <w:contextualSpacing/>
        <w:jc w:val="left"/>
        <w:rPr>
          <w:rFonts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t>（一）评价结论。</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本年度财政资金的使用都用于保人员工资、机关运行等，资金使用合理，符合“三保”要求。</w:t>
      </w:r>
    </w:p>
    <w:p>
      <w:pPr>
        <w:widowControl/>
        <w:adjustRightInd w:val="0"/>
        <w:snapToGrid w:val="0"/>
        <w:spacing w:line="560" w:lineRule="exact"/>
        <w:ind w:firstLine="640" w:firstLineChars="200"/>
        <w:contextualSpacing/>
        <w:jc w:val="left"/>
        <w:rPr>
          <w:rFonts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t>（二）存在问题。</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1.财务人员相关经验不足，对功能科目分类把握不精准，执行预算时混淆支出功能科目分类、部门经济科目等；2.在开展预算执行和绩效管理过程中，与财政局沟通不够，绩效管理不严格；</w:t>
      </w:r>
      <w:r>
        <w:rPr>
          <w:rFonts w:hint="eastAsia" w:ascii="Times New Roman" w:hAnsi="Times New Roman"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lang w:val="zh-CN" w:eastAsia="zh-CN"/>
        </w:rPr>
        <w:t>年初预算不准确。</w:t>
      </w:r>
    </w:p>
    <w:p>
      <w:pPr>
        <w:widowControl/>
        <w:adjustRightInd w:val="0"/>
        <w:snapToGrid w:val="0"/>
        <w:spacing w:line="560" w:lineRule="exact"/>
        <w:ind w:firstLine="640" w:firstLineChars="200"/>
        <w:contextualSpacing/>
        <w:jc w:val="left"/>
        <w:rPr>
          <w:rFonts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t>（三）改进建议。</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1.主动向有关单位经验丰富的财务人员学习预算工作经验，积极参加有关培训会议。</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2.工作中，加强与临近单位、财政局沟通，了解最新工作要求，虚心向有经验的老同志学习绩效管理相关知识，提升业务能力。</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3.年初预算时及时向单位领导汇报，与各股室对接预算需求。</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附表：部门预算项目支出绩效自评表（202</w:t>
      </w:r>
      <w:r>
        <w:rPr>
          <w:rFonts w:hint="eastAsia" w:ascii="Times New Roman" w:hAnsi="Times New Roman"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lang w:val="zh-CN" w:eastAsia="zh-CN"/>
        </w:rPr>
        <w:t>年度）</w:t>
      </w:r>
    </w:p>
    <w:p>
      <w:pPr>
        <w:pStyle w:val="16"/>
        <w:spacing w:line="560" w:lineRule="exact"/>
        <w:ind w:left="0" w:leftChars="0" w:firstLine="640"/>
        <w:rPr>
          <w:rFonts w:ascii="Times New Roman" w:eastAsia="仿宋_GB2312"/>
          <w:color w:val="000000" w:themeColor="text1"/>
          <w:sz w:val="32"/>
          <w14:textFill>
            <w14:solidFill>
              <w14:schemeClr w14:val="tx1"/>
            </w14:solidFill>
          </w14:textFill>
        </w:rPr>
      </w:pPr>
    </w:p>
    <w:p>
      <w:pPr>
        <w:pStyle w:val="16"/>
        <w:spacing w:line="560" w:lineRule="exact"/>
        <w:ind w:left="0" w:leftChars="0" w:firstLine="640"/>
        <w:rPr>
          <w:rFonts w:ascii="Times New Roman" w:eastAsia="仿宋_GB2312"/>
          <w:color w:val="000000" w:themeColor="text1"/>
          <w:sz w:val="32"/>
          <w14:textFill>
            <w14:solidFill>
              <w14:schemeClr w14:val="tx1"/>
            </w14:solidFill>
          </w14:textFill>
        </w:rPr>
      </w:pPr>
    </w:p>
    <w:p>
      <w:pPr>
        <w:pStyle w:val="16"/>
        <w:spacing w:line="560" w:lineRule="exact"/>
        <w:ind w:left="0" w:leftChars="0" w:firstLine="640"/>
        <w:rPr>
          <w:rFonts w:ascii="Times New Roman" w:eastAsia="仿宋_GB2312"/>
          <w:color w:val="000000" w:themeColor="text1"/>
          <w:sz w:val="32"/>
          <w14:textFill>
            <w14:solidFill>
              <w14:schemeClr w14:val="tx1"/>
            </w14:solidFill>
          </w14:textFill>
        </w:rPr>
      </w:pPr>
    </w:p>
    <w:p>
      <w:pPr>
        <w:pStyle w:val="16"/>
        <w:spacing w:line="560" w:lineRule="exact"/>
        <w:ind w:left="0" w:leftChars="0" w:firstLine="640"/>
        <w:rPr>
          <w:rFonts w:ascii="Times New Roman" w:eastAsia="仿宋_GB2312"/>
          <w:color w:val="000000" w:themeColor="text1"/>
          <w:sz w:val="32"/>
          <w14:textFill>
            <w14:solidFill>
              <w14:schemeClr w14:val="tx1"/>
            </w14:solidFill>
          </w14:textFill>
        </w:rPr>
      </w:pPr>
    </w:p>
    <w:p>
      <w:pPr>
        <w:pStyle w:val="16"/>
        <w:spacing w:line="560" w:lineRule="exact"/>
        <w:ind w:left="0" w:leftChars="0" w:firstLine="640"/>
        <w:rPr>
          <w:rFonts w:ascii="Times New Roman" w:eastAsia="仿宋_GB2312"/>
          <w:color w:val="000000" w:themeColor="text1"/>
          <w:sz w:val="32"/>
          <w14:textFill>
            <w14:solidFill>
              <w14:schemeClr w14:val="tx1"/>
            </w14:solidFill>
          </w14:textFill>
        </w:rPr>
      </w:pPr>
    </w:p>
    <w:p>
      <w:pPr>
        <w:pStyle w:val="16"/>
        <w:spacing w:line="560" w:lineRule="exact"/>
        <w:ind w:left="0" w:leftChars="0" w:firstLine="640"/>
        <w:rPr>
          <w:rFonts w:ascii="Times New Roman" w:eastAsia="仿宋_GB2312"/>
          <w:color w:val="000000" w:themeColor="text1"/>
          <w:sz w:val="32"/>
          <w14:textFill>
            <w14:solidFill>
              <w14:schemeClr w14:val="tx1"/>
            </w14:solidFill>
          </w14:textFill>
        </w:rPr>
      </w:pPr>
    </w:p>
    <w:p>
      <w:pPr>
        <w:pStyle w:val="16"/>
        <w:spacing w:line="560" w:lineRule="exact"/>
        <w:rPr>
          <w:rFonts w:ascii="Times New Roman" w:eastAsia="仿宋_GB2312"/>
          <w:color w:val="000000" w:themeColor="text1"/>
          <w:sz w:val="32"/>
          <w:lang w:val="zh-CN"/>
          <w14:textFill>
            <w14:solidFill>
              <w14:schemeClr w14:val="tx1"/>
            </w14:solidFill>
          </w14:textFill>
        </w:rPr>
      </w:pPr>
    </w:p>
    <w:p>
      <w:pPr>
        <w:rPr>
          <w:rFonts w:ascii="Times New Roman" w:eastAsia="仿宋_GB2312"/>
          <w:color w:val="000000" w:themeColor="text1"/>
          <w:sz w:val="32"/>
          <w:lang w:val="zh-CN"/>
          <w14:textFill>
            <w14:solidFill>
              <w14:schemeClr w14:val="tx1"/>
            </w14:solidFill>
          </w14:textFill>
        </w:rPr>
      </w:pPr>
    </w:p>
    <w:p>
      <w:pPr>
        <w:pStyle w:val="2"/>
        <w:rPr>
          <w:rFonts w:ascii="Times New Roman" w:eastAsia="仿宋_GB2312"/>
          <w:color w:val="000000" w:themeColor="text1"/>
          <w:sz w:val="32"/>
          <w:lang w:val="zh-CN"/>
          <w14:textFill>
            <w14:solidFill>
              <w14:schemeClr w14:val="tx1"/>
            </w14:solidFill>
          </w14:textFill>
        </w:rPr>
      </w:pPr>
    </w:p>
    <w:p>
      <w:pPr>
        <w:pStyle w:val="2"/>
        <w:rPr>
          <w:rFonts w:ascii="Times New Roman" w:eastAsia="仿宋_GB2312"/>
          <w:color w:val="000000" w:themeColor="text1"/>
          <w:sz w:val="32"/>
          <w:lang w:val="zh-CN"/>
          <w14:textFill>
            <w14:solidFill>
              <w14:schemeClr w14:val="tx1"/>
            </w14:solidFill>
          </w14:textFill>
        </w:rPr>
      </w:pPr>
    </w:p>
    <w:p>
      <w:pPr>
        <w:pStyle w:val="2"/>
        <w:rPr>
          <w:rFonts w:ascii="Times New Roman" w:eastAsia="仿宋_GB2312"/>
          <w:color w:val="000000" w:themeColor="text1"/>
          <w:sz w:val="32"/>
          <w:lang w:val="zh-CN"/>
          <w14:textFill>
            <w14:solidFill>
              <w14:schemeClr w14:val="tx1"/>
            </w14:solidFill>
          </w14:textFill>
        </w:rPr>
      </w:pPr>
    </w:p>
    <w:p>
      <w:pPr>
        <w:pStyle w:val="16"/>
        <w:spacing w:line="560" w:lineRule="exact"/>
        <w:rPr>
          <w:rFonts w:ascii="Times New Roman" w:eastAsia="仿宋_GB2312"/>
          <w:color w:val="000000" w:themeColor="text1"/>
          <w:sz w:val="32"/>
          <w:lang w:val="zh-CN"/>
          <w14:textFill>
            <w14:solidFill>
              <w14:schemeClr w14:val="tx1"/>
            </w14:solidFill>
          </w14:textFill>
        </w:rPr>
      </w:pPr>
    </w:p>
    <w:p>
      <w:pPr>
        <w:pStyle w:val="16"/>
        <w:spacing w:line="560" w:lineRule="exact"/>
        <w:ind w:left="0" w:leftChars="0" w:firstLine="0" w:firstLineChars="0"/>
        <w:rPr>
          <w:rFonts w:ascii="Times New Roman" w:eastAsia="仿宋_GB2312"/>
          <w:color w:val="000000" w:themeColor="text1"/>
          <w:sz w:val="32"/>
          <w:lang w:val="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2" w:lineRule="exact"/>
        <w:jc w:val="left"/>
        <w:textAlignment w:val="auto"/>
        <w:outlineLvl w:val="1"/>
        <w:rPr>
          <w:rFonts w:hint="eastAsia" w:ascii="黑体" w:hAnsi="黑体" w:eastAsia="黑体" w:cs="黑体"/>
          <w:sz w:val="32"/>
          <w:szCs w:val="32"/>
        </w:rPr>
      </w:pPr>
      <w:bookmarkStart w:id="78" w:name="_Toc22304"/>
      <w:r>
        <w:rPr>
          <w:rFonts w:hint="eastAsia" w:ascii="黑体" w:hAnsi="黑体" w:eastAsia="黑体" w:cs="黑体"/>
          <w:sz w:val="32"/>
          <w:szCs w:val="32"/>
          <w:lang w:val="zh-CN"/>
        </w:rPr>
        <w:t>附件</w:t>
      </w:r>
      <w:r>
        <w:rPr>
          <w:rFonts w:hint="eastAsia" w:ascii="黑体" w:hAnsi="黑体" w:eastAsia="黑体" w:cs="黑体"/>
          <w:sz w:val="32"/>
          <w:szCs w:val="32"/>
        </w:rPr>
        <w:t>2</w:t>
      </w:r>
      <w:bookmarkEnd w:id="78"/>
    </w:p>
    <w:p>
      <w:pPr>
        <w:pStyle w:val="2"/>
        <w:rPr>
          <w:rFonts w:hint="eastAsia"/>
        </w:rPr>
      </w:pPr>
    </w:p>
    <w:p>
      <w:pPr>
        <w:pStyle w:val="36"/>
        <w:spacing w:line="578" w:lineRule="exact"/>
        <w:jc w:val="center"/>
        <w:rPr>
          <w:rFonts w:hint="eastAsia" w:ascii="方正小标宋简体" w:hAnsi="方正小标宋简体" w:eastAsia="方正小标宋简体" w:cs="方正小标宋简体"/>
          <w:color w:val="auto"/>
          <w:kern w:val="2"/>
          <w:sz w:val="32"/>
          <w:szCs w:val="32"/>
          <w:lang w:val="en-US" w:eastAsia="zh-CN"/>
        </w:rPr>
      </w:pPr>
      <w:r>
        <w:rPr>
          <w:rFonts w:hint="eastAsia" w:ascii="方正小标宋简体" w:hAnsi="方正小标宋简体" w:eastAsia="方正小标宋简体" w:cs="方正小标宋简体"/>
          <w:color w:val="auto"/>
          <w:kern w:val="2"/>
          <w:sz w:val="32"/>
          <w:szCs w:val="32"/>
          <w:lang w:val="en-US"/>
        </w:rPr>
        <w:t>专项预算</w:t>
      </w:r>
      <w:r>
        <w:rPr>
          <w:rFonts w:hint="eastAsia" w:ascii="方正小标宋简体" w:hAnsi="方正小标宋简体" w:eastAsia="方正小标宋简体" w:cs="方正小标宋简体"/>
          <w:color w:val="auto"/>
          <w:kern w:val="2"/>
          <w:sz w:val="32"/>
          <w:szCs w:val="32"/>
          <w:lang w:val="en-US" w:eastAsia="zh-CN"/>
        </w:rPr>
        <w:t>红格度假区基础设施项目奖补资金项目</w:t>
      </w:r>
    </w:p>
    <w:p>
      <w:pPr>
        <w:pStyle w:val="36"/>
        <w:spacing w:line="578" w:lineRule="exact"/>
        <w:jc w:val="center"/>
        <w:rPr>
          <w:rFonts w:hint="eastAsia"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绩效评价报告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1．在红格度假区基础设施项目奖补资金项目中，盐边县红格国际运动康养·温泉度假区管理委员会主要职能职责：统筹项目建设，做好项目建设总体规划、建设方案及协调管理工作等。</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2．项目立项、资金申报的依据：《红格度假区管委会关于解决红格国际运动康养·温泉度假区基础设施项目奖补资金的请示》（红管委〔2023〕4号）。</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w:t>
      </w:r>
      <w:r>
        <w:rPr>
          <w:rFonts w:hint="eastAsia" w:ascii="Times New Roman" w:hAnsi="Times New Roman" w:eastAsia="仿宋_GB2312" w:cs="Times New Roman"/>
          <w:kern w:val="0"/>
          <w:sz w:val="32"/>
          <w:szCs w:val="32"/>
          <w:shd w:val="clear" w:color="auto" w:fill="FFFFFF"/>
          <w:lang w:val="en-US" w:eastAsia="zh-CN" w:bidi="ar-SA"/>
        </w:rPr>
        <w:t xml:space="preserve"> </w:t>
      </w:r>
      <w:r>
        <w:rPr>
          <w:rFonts w:hint="eastAsia" w:ascii="Times New Roman" w:hAnsi="Times New Roman" w:eastAsia="仿宋_GB2312" w:cs="Times New Roman"/>
          <w:kern w:val="0"/>
          <w:sz w:val="32"/>
          <w:szCs w:val="32"/>
          <w:shd w:val="clear" w:color="auto" w:fill="FFFFFF"/>
          <w:lang w:val="zh-CN" w:eastAsia="zh-CN" w:bidi="ar-SA"/>
        </w:rPr>
        <w:t>该项目资金以项目奖补形式用于红格度假区基础设施项目建设，通过财政统筹支付，专款专用。</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4．项目资金主要用于红格度假区基础设施项目项目建设相关费用支付，以维护春节期间社会稳定，同时推动基础设施建设项目收尾、清算、移交等工作。</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1．该项目的实施，使红格度假区基础设施层级和功能服务水平全面提档升级，维护了春节期间社会稳定。</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en-US" w:eastAsia="zh-CN" w:bidi="ar-SA"/>
        </w:rPr>
        <w:t>2</w:t>
      </w:r>
      <w:r>
        <w:rPr>
          <w:rFonts w:hint="eastAsia" w:ascii="Times New Roman" w:hAnsi="Times New Roman" w:eastAsia="仿宋_GB2312" w:cs="Times New Roman"/>
          <w:kern w:val="0"/>
          <w:sz w:val="32"/>
          <w:szCs w:val="32"/>
          <w:shd w:val="clear" w:color="auto" w:fill="FFFFFF"/>
          <w:lang w:val="zh-CN" w:eastAsia="zh-CN" w:bidi="ar-SA"/>
        </w:rPr>
        <w:t>．该项目申报内容与实际相符，申报目标合理可行。</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Times New Roman" w:hAnsi="Times New Roman" w:eastAsia="仿宋_GB2312" w:cs="Times New Roman"/>
          <w:kern w:val="0"/>
          <w:sz w:val="32"/>
          <w:szCs w:val="32"/>
          <w:shd w:val="clear" w:color="auto" w:fill="FFFFFF"/>
          <w:lang w:val="zh-CN" w:eastAsia="zh-CN"/>
        </w:rPr>
        <w:t>项目自评步骤主要有收集资料、识别指标、数据分析、结果评价四个步骤；主要采用内部评审的方法进行自评。</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hint="eastAsia" w:ascii="楷体_GB2312" w:hAnsi="宋体" w:eastAsia="楷体_GB2312"/>
          <w:b/>
          <w:sz w:val="32"/>
          <w:szCs w:val="32"/>
          <w:lang w:val="zh-CN"/>
        </w:rPr>
        <w:t>（一）项目资金申报及批复情况。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该项目资金申报严格按照</w:t>
      </w:r>
      <w:r>
        <w:rPr>
          <w:rFonts w:hint="eastAsia" w:ascii="Times New Roman" w:hAnsi="Times New Roman" w:eastAsia="仿宋_GB2312" w:cs="Times New Roman"/>
          <w:kern w:val="0"/>
          <w:sz w:val="32"/>
          <w:szCs w:val="32"/>
          <w:shd w:val="clear" w:color="auto" w:fill="FFFFFF"/>
          <w:lang w:val="en-US" w:eastAsia="zh-CN" w:bidi="ar-SA"/>
        </w:rPr>
        <w:t>《中共盐边县委办公室 盐边县人民政府办公室关于印发〈盐边县重大经济事项决策实施细则（试行）》的通知相关要求审批申报</w:t>
      </w:r>
      <w:r>
        <w:rPr>
          <w:rFonts w:hint="eastAsia" w:ascii="Times New Roman" w:hAnsi="Times New Roman" w:eastAsia="仿宋_GB2312" w:cs="Times New Roman"/>
          <w:kern w:val="0"/>
          <w:sz w:val="32"/>
          <w:szCs w:val="32"/>
          <w:shd w:val="clear" w:color="auto" w:fill="FFFFFF"/>
          <w:lang w:val="zh-CN" w:eastAsia="zh-CN" w:bidi="ar-SA"/>
        </w:rPr>
        <w:t>，撰写了事前绩效评估表，获得批复后下达项目资金，无预算调整。</w:t>
      </w:r>
    </w:p>
    <w:p>
      <w:pPr>
        <w:widowControl/>
        <w:adjustRightInd w:val="0"/>
        <w:snapToGrid w:val="0"/>
        <w:spacing w:line="578" w:lineRule="exact"/>
        <w:ind w:firstLine="643" w:firstLineChars="200"/>
        <w:contextualSpacing/>
        <w:jc w:val="left"/>
        <w:rPr>
          <w:rFonts w:ascii="仿宋_GB2312" w:hAnsi="宋体"/>
          <w:sz w:val="32"/>
          <w:szCs w:val="32"/>
          <w:lang w:val="zh-CN"/>
        </w:rPr>
      </w:pPr>
      <w:r>
        <w:rPr>
          <w:rFonts w:hint="eastAsia" w:ascii="楷体_GB2312" w:hAnsi="宋体" w:eastAsia="楷体_GB2312"/>
          <w:b/>
          <w:sz w:val="32"/>
          <w:szCs w:val="32"/>
          <w:lang w:val="zh-CN"/>
        </w:rPr>
        <w:t>（二）资金计划、到位及使用情况。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1．资金计划。该项目资金计划为</w:t>
      </w:r>
      <w:r>
        <w:rPr>
          <w:rFonts w:hint="eastAsia" w:ascii="Times New Roman" w:hAnsi="Times New Roman" w:eastAsia="仿宋_GB2312" w:cs="Times New Roman"/>
          <w:kern w:val="0"/>
          <w:sz w:val="32"/>
          <w:szCs w:val="32"/>
          <w:shd w:val="clear" w:color="auto" w:fill="FFFFFF"/>
          <w:lang w:val="en-US" w:eastAsia="zh-CN" w:bidi="ar-SA"/>
        </w:rPr>
        <w:t>2500万元，全部为县财政资金</w:t>
      </w:r>
      <w:r>
        <w:rPr>
          <w:rFonts w:hint="eastAsia" w:ascii="Times New Roman" w:hAnsi="Times New Roman" w:eastAsia="仿宋_GB2312" w:cs="Times New Roman"/>
          <w:kern w:val="0"/>
          <w:sz w:val="32"/>
          <w:szCs w:val="32"/>
          <w:shd w:val="clear" w:color="auto" w:fill="FFFFFF"/>
          <w:lang w:val="zh-CN" w:eastAsia="zh-CN" w:bidi="ar-SA"/>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2．资金到位。截止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项目资金到位</w:t>
      </w:r>
      <w:r>
        <w:rPr>
          <w:rFonts w:hint="eastAsia" w:ascii="Times New Roman" w:hAnsi="Times New Roman" w:eastAsia="仿宋_GB2312" w:cs="Times New Roman"/>
          <w:kern w:val="0"/>
          <w:sz w:val="32"/>
          <w:szCs w:val="32"/>
          <w:shd w:val="clear" w:color="auto" w:fill="FFFFFF"/>
          <w:lang w:val="en-US" w:eastAsia="zh-CN" w:bidi="ar-SA"/>
        </w:rPr>
        <w:t>2500万元，全部来源于县财政资金，</w:t>
      </w:r>
      <w:r>
        <w:rPr>
          <w:rFonts w:hint="eastAsia" w:ascii="Times New Roman" w:hAnsi="Times New Roman" w:eastAsia="仿宋_GB2312" w:cs="Times New Roman"/>
          <w:kern w:val="0"/>
          <w:sz w:val="32"/>
          <w:szCs w:val="32"/>
          <w:shd w:val="clear" w:color="auto" w:fill="FFFFFF"/>
          <w:lang w:val="zh-CN" w:eastAsia="zh-CN" w:bidi="ar-SA"/>
        </w:rPr>
        <w:t>资金到位率</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，到位及时。</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3．资金使用。截止</w:t>
      </w:r>
      <w:r>
        <w:rPr>
          <w:rFonts w:hint="eastAsia" w:ascii="Times New Roman" w:hAnsi="Times New Roman" w:eastAsia="仿宋_GB2312" w:cs="Times New Roman"/>
          <w:kern w:val="0"/>
          <w:sz w:val="32"/>
          <w:szCs w:val="32"/>
          <w:shd w:val="clear" w:color="auto" w:fill="FFFFFF"/>
          <w:lang w:val="en-US" w:eastAsia="zh-CN" w:bidi="ar-SA"/>
        </w:rPr>
        <w:t>2023年底，项目支出2500万元，主要用于红格度假区基础设施建设等相关费用支付，维护了</w:t>
      </w:r>
      <w:r>
        <w:rPr>
          <w:rFonts w:hint="eastAsia" w:ascii="Times New Roman" w:hAnsi="Times New Roman" w:eastAsia="仿宋_GB2312" w:cs="Times New Roman"/>
          <w:kern w:val="0"/>
          <w:sz w:val="32"/>
          <w:szCs w:val="32"/>
          <w:shd w:val="clear" w:color="auto" w:fill="FFFFFF"/>
          <w:lang w:val="zh-CN" w:eastAsia="zh-CN" w:bidi="ar-SA"/>
        </w:rPr>
        <w:t>红格度假区维护春节期间社会稳定，同时推动基础设施建设项目收尾、清算、移交等工作开展，资金使用中严格按照会计相关准则进行支付和报销，支付票据、原始凭证完整，资金使用的安全、规范。</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红格度假区基础设施项目奖补资金项目实施单位为盐边县红格国际运动康养·温泉度假区管理委员会，单位财务管理制度健全，工作开展中严格执行财务管理制度，账务处理及时，会计核算规范。</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pStyle w:val="2"/>
        <w:spacing w:before="93"/>
        <w:ind w:firstLine="643" w:firstLineChars="200"/>
        <w:rPr>
          <w:rFonts w:hint="eastAsia"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pPr>
        <w:pStyle w:val="2"/>
        <w:spacing w:before="93"/>
        <w:ind w:firstLine="640" w:firstLineChars="20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该项目由盐边县红格国际运动康养·温泉度假区管理委员会牵头负责，项目资金以项目奖补项目形式拨付给攀枝花太阳谷投资管理有限公司后再支付给项目施工方。</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（二）项目管理情况。</w:t>
      </w:r>
    </w:p>
    <w:p>
      <w:pPr>
        <w:pStyle w:val="2"/>
        <w:spacing w:before="93"/>
        <w:ind w:firstLine="640" w:firstLineChars="20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本单位对该项目实行科学动态管理，以厉行节约、实事求是为原则，通过财评、监理等，合理控制建设成本需求，同时严格执行项目建设的相关规定。</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（三）项目监管情况。</w:t>
      </w:r>
    </w:p>
    <w:p>
      <w:pPr>
        <w:adjustRightInd w:val="0"/>
        <w:snapToGrid w:val="0"/>
        <w:spacing w:line="578" w:lineRule="exact"/>
        <w:ind w:firstLine="720"/>
        <w:rPr>
          <w:rFonts w:eastAsia="仿宋_GB2312"/>
          <w:sz w:val="32"/>
          <w:szCs w:val="32"/>
        </w:rPr>
      </w:pPr>
      <w:r>
        <w:rPr>
          <w:rFonts w:hint="eastAsia" w:ascii="Times New Roman" w:hAnsi="Times New Roman" w:eastAsia="仿宋_GB2312" w:cs="Times New Roman"/>
          <w:kern w:val="0"/>
          <w:sz w:val="32"/>
          <w:szCs w:val="32"/>
          <w:shd w:val="clear" w:color="auto" w:fill="FFFFFF"/>
          <w:lang w:val="zh-CN" w:eastAsia="zh-CN" w:bidi="ar-SA"/>
        </w:rPr>
        <w:t>项目支出均严格落实审批制，各个环节从财务审批到领导审签做到严格把关，同时自觉接受财政局及相关部门监督。</w:t>
      </w:r>
    </w:p>
    <w:p>
      <w:pPr>
        <w:adjustRightInd w:val="0"/>
        <w:snapToGrid w:val="0"/>
        <w:spacing w:line="578" w:lineRule="exact"/>
        <w:ind w:firstLine="720"/>
        <w:rPr>
          <w:rFonts w:ascii="仿宋_GB2312" w:hAnsi="宋体"/>
          <w:sz w:val="32"/>
          <w:szCs w:val="32"/>
          <w:lang w:val="zh-CN"/>
        </w:rPr>
      </w:pPr>
      <w:r>
        <w:rPr>
          <w:rFonts w:hint="eastAsia" w:ascii="黑体" w:hAnsi="宋体" w:eastAsia="黑体"/>
          <w:sz w:val="32"/>
          <w:szCs w:val="32"/>
        </w:rPr>
        <w:t>四、项目绩效情况</w:t>
      </w:r>
      <w:r>
        <w:rPr>
          <w:rFonts w:hint="eastAsia" w:ascii="仿宋_GB2312" w:hAnsi="宋体"/>
          <w:sz w:val="32"/>
          <w:szCs w:val="32"/>
          <w:lang w:val="zh-CN"/>
        </w:rPr>
        <w:tab/>
      </w:r>
    </w:p>
    <w:p>
      <w:pPr>
        <w:adjustRightInd w:val="0"/>
        <w:snapToGrid w:val="0"/>
        <w:spacing w:line="578" w:lineRule="exact"/>
        <w:ind w:firstLine="720"/>
        <w:rPr>
          <w:rFonts w:hint="eastAsia" w:ascii="仿宋_GB2312" w:hAnsi="仿宋_GB2312" w:eastAsia="仿宋_GB2312" w:cs="仿宋_GB2312"/>
          <w:color w:val="C00000"/>
          <w:kern w:val="0"/>
          <w:sz w:val="32"/>
          <w:szCs w:val="32"/>
          <w:shd w:val="clear" w:color="auto" w:fill="FFFFFF"/>
        </w:rPr>
      </w:pPr>
      <w:r>
        <w:rPr>
          <w:rFonts w:hint="eastAsia" w:ascii="楷体_GB2312" w:hAnsi="宋体" w:eastAsia="楷体_GB2312"/>
          <w:b/>
          <w:sz w:val="32"/>
          <w:szCs w:val="32"/>
          <w:lang w:val="zh-CN"/>
        </w:rPr>
        <w:t>（一）项目完成情况。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en-US" w:eastAsia="zh-CN" w:bidi="ar-SA"/>
        </w:rPr>
        <w:t>该项目实施维护了</w:t>
      </w:r>
      <w:r>
        <w:rPr>
          <w:rFonts w:hint="eastAsia" w:ascii="Times New Roman" w:hAnsi="Times New Roman" w:eastAsia="仿宋_GB2312" w:cs="Times New Roman"/>
          <w:kern w:val="0"/>
          <w:sz w:val="32"/>
          <w:szCs w:val="32"/>
          <w:shd w:val="clear" w:color="auto" w:fill="FFFFFF"/>
          <w:lang w:val="zh-CN" w:eastAsia="zh-CN" w:bidi="ar-SA"/>
        </w:rPr>
        <w:t>红格度假区维护春节期间社会稳定，同时推动基础设施建设项目收尾、清算、移交等工作开展，项目完成质量高，无资金结余，项目资金使用中无违规情况发生。项目进度控制良好，成本控制较好，资金使用效率高。</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en-US" w:eastAsia="zh-CN" w:bidi="ar-SA"/>
        </w:rPr>
      </w:pPr>
      <w:r>
        <w:rPr>
          <w:rFonts w:hint="eastAsia" w:ascii="Times New Roman" w:hAnsi="Times New Roman" w:eastAsia="仿宋_GB2312" w:cs="Times New Roman"/>
          <w:kern w:val="0"/>
          <w:sz w:val="32"/>
          <w:szCs w:val="32"/>
          <w:shd w:val="clear" w:color="auto" w:fill="FFFFFF"/>
          <w:lang w:val="en-US" w:eastAsia="zh-CN" w:bidi="ar-SA"/>
        </w:rPr>
        <w:t>通过项目合作，红格度假区基础设施层级和功能服务水平全面提档升级，相关配套产业明显聚集发展，促进度假区发展、政府财税增收、群众扩大就业、企业发展壮大，社会效益和经济效益显著提升，提升了广大游客、群众对度假区满意度。</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该项目实施，促进了</w:t>
      </w:r>
      <w:r>
        <w:rPr>
          <w:rFonts w:hint="eastAsia" w:ascii="Times New Roman" w:hAnsi="Times New Roman" w:eastAsia="仿宋_GB2312" w:cs="Times New Roman"/>
          <w:kern w:val="0"/>
          <w:sz w:val="32"/>
          <w:szCs w:val="32"/>
          <w:shd w:val="clear" w:color="auto" w:fill="FFFFFF"/>
          <w:lang w:val="en-US" w:eastAsia="zh-CN" w:bidi="ar-SA"/>
        </w:rPr>
        <w:t>红格度假区基础设施层级和功能服务水平全面提档升级，相关配套产业明显聚集发展，促进度假区发展、</w:t>
      </w:r>
      <w:r>
        <w:rPr>
          <w:rFonts w:hint="eastAsia" w:ascii="Times New Roman" w:hAnsi="Times New Roman" w:eastAsia="仿宋_GB2312" w:cs="Times New Roman"/>
          <w:kern w:val="0"/>
          <w:sz w:val="32"/>
          <w:szCs w:val="32"/>
          <w:shd w:val="clear" w:color="auto" w:fill="FFFFFF"/>
          <w:lang w:val="zh-CN" w:eastAsia="zh-CN" w:bidi="ar-SA"/>
        </w:rPr>
        <w:t>同时推动基础设施建设项目收尾、清算、移交等工作开展，</w:t>
      </w:r>
      <w:r>
        <w:rPr>
          <w:rFonts w:hint="eastAsia" w:ascii="Times New Roman" w:hAnsi="Times New Roman" w:eastAsia="仿宋_GB2312" w:cs="Times New Roman"/>
          <w:kern w:val="0"/>
          <w:sz w:val="32"/>
          <w:szCs w:val="32"/>
          <w:shd w:val="clear" w:color="auto" w:fill="FFFFFF"/>
          <w:lang w:val="en-US" w:eastAsia="zh-CN" w:bidi="ar-SA"/>
        </w:rPr>
        <w:t>项目绩效自</w:t>
      </w:r>
      <w:r>
        <w:rPr>
          <w:rFonts w:hint="eastAsia" w:ascii="Times New Roman" w:hAnsi="Times New Roman" w:eastAsia="仿宋_GB2312" w:cs="Times New Roman"/>
          <w:kern w:val="0"/>
          <w:sz w:val="32"/>
          <w:szCs w:val="32"/>
          <w:shd w:val="clear" w:color="auto" w:fill="FFFFFF"/>
          <w:lang w:val="zh-CN" w:eastAsia="zh-CN" w:bidi="ar-SA"/>
        </w:rPr>
        <w:t>评得分为9</w:t>
      </w:r>
      <w:r>
        <w:rPr>
          <w:rFonts w:hint="eastAsia" w:ascii="Times New Roman" w:hAnsi="Times New Roman" w:eastAsia="仿宋_GB2312" w:cs="Times New Roman"/>
          <w:kern w:val="0"/>
          <w:sz w:val="32"/>
          <w:szCs w:val="32"/>
          <w:shd w:val="clear" w:color="auto" w:fill="FFFFFF"/>
          <w:lang w:val="en-US" w:eastAsia="zh-CN" w:bidi="ar-SA"/>
        </w:rPr>
        <w:t>3</w:t>
      </w:r>
      <w:r>
        <w:rPr>
          <w:rFonts w:hint="eastAsia" w:ascii="Times New Roman" w:hAnsi="Times New Roman" w:eastAsia="仿宋_GB2312" w:cs="Times New Roman"/>
          <w:kern w:val="0"/>
          <w:sz w:val="32"/>
          <w:szCs w:val="32"/>
          <w:shd w:val="clear" w:color="auto" w:fill="FFFFFF"/>
          <w:lang w:val="zh-CN" w:eastAsia="zh-CN" w:bidi="ar-SA"/>
        </w:rPr>
        <w:t>分，评价结</w:t>
      </w:r>
      <w:r>
        <w:rPr>
          <w:rFonts w:hint="eastAsia" w:ascii="Times New Roman" w:hAnsi="Times New Roman" w:eastAsia="仿宋_GB2312" w:cs="Times New Roman"/>
          <w:kern w:val="0"/>
          <w:sz w:val="32"/>
          <w:szCs w:val="32"/>
          <w:shd w:val="clear" w:color="auto" w:fill="FFFFFF"/>
          <w:lang w:val="en-US" w:eastAsia="zh-CN" w:bidi="ar-SA"/>
        </w:rPr>
        <w:t>论良好。</w:t>
      </w:r>
    </w:p>
    <w:p>
      <w:pPr>
        <w:widowControl/>
        <w:adjustRightInd w:val="0"/>
        <w:snapToGrid w:val="0"/>
        <w:spacing w:line="578" w:lineRule="exact"/>
        <w:ind w:firstLine="643" w:firstLineChars="200"/>
        <w:contextualSpacing/>
        <w:jc w:val="left"/>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val="zh-CN"/>
        </w:rPr>
        <w:t>无</w:t>
      </w:r>
      <w:r>
        <w:rPr>
          <w:rFonts w:hint="eastAsia" w:ascii="仿宋_GB2312" w:hAnsi="仿宋_GB2312" w:eastAsia="仿宋_GB2312" w:cs="仿宋_GB2312"/>
          <w:kern w:val="0"/>
          <w:sz w:val="32"/>
          <w:szCs w:val="32"/>
          <w:shd w:val="clear" w:color="auto" w:fill="FFFFFF"/>
        </w:rPr>
        <w:t>。</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pStyle w:val="2"/>
        <w:tabs>
          <w:tab w:val="left" w:pos="2160"/>
        </w:tabs>
        <w:spacing w:line="600" w:lineRule="exact"/>
        <w:ind w:firstLine="640" w:firstLineChars="200"/>
        <w:rPr>
          <w:rFonts w:ascii="仿宋" w:hAnsi="仿宋" w:eastAsia="仿宋"/>
          <w:b/>
          <w:color w:val="FF0000"/>
          <w:sz w:val="32"/>
          <w:szCs w:val="32"/>
        </w:rPr>
      </w:pPr>
      <w:r>
        <w:rPr>
          <w:rFonts w:hint="eastAsia" w:ascii="仿宋_GB2312" w:hAnsi="仿宋_GB2312" w:eastAsia="仿宋_GB2312" w:cs="仿宋_GB2312"/>
          <w:kern w:val="0"/>
          <w:sz w:val="32"/>
          <w:szCs w:val="32"/>
          <w:shd w:val="clear" w:color="auto" w:fill="FFFFFF"/>
          <w:lang w:val="zh-CN"/>
        </w:rPr>
        <w:t>无。</w:t>
      </w:r>
    </w:p>
    <w:p/>
    <w:p>
      <w:pPr>
        <w:pStyle w:val="2"/>
      </w:pPr>
    </w:p>
    <w:p>
      <w:pPr>
        <w:pStyle w:val="2"/>
      </w:pPr>
    </w:p>
    <w:p>
      <w:pPr>
        <w:pStyle w:val="2"/>
      </w:pPr>
    </w:p>
    <w:p>
      <w:pPr>
        <w:pStyle w:val="2"/>
      </w:pPr>
    </w:p>
    <w:p>
      <w:pPr>
        <w:pStyle w:val="2"/>
      </w:pPr>
    </w:p>
    <w:p>
      <w:pPr>
        <w:pStyle w:val="2"/>
      </w:pPr>
    </w:p>
    <w:p>
      <w:pPr>
        <w:pStyle w:val="2"/>
      </w:pPr>
    </w:p>
    <w:p>
      <w:pPr>
        <w:pStyle w:val="2"/>
      </w:pPr>
    </w:p>
    <w:p>
      <w:pPr>
        <w:pStyle w:val="36"/>
        <w:spacing w:line="578" w:lineRule="exact"/>
        <w:jc w:val="center"/>
        <w:rPr>
          <w:rFonts w:hint="eastAsia" w:ascii="方正小标宋简体" w:hAnsi="方正小标宋简体" w:eastAsia="方正小标宋简体" w:cs="方正小标宋简体"/>
          <w:color w:val="auto"/>
          <w:kern w:val="2"/>
          <w:sz w:val="32"/>
          <w:szCs w:val="32"/>
          <w:lang w:val="en-US" w:eastAsia="zh-CN"/>
        </w:rPr>
      </w:pPr>
      <w:r>
        <w:rPr>
          <w:rFonts w:hint="eastAsia" w:ascii="方正小标宋简体" w:hAnsi="方正小标宋简体" w:eastAsia="方正小标宋简体" w:cs="方正小标宋简体"/>
          <w:color w:val="auto"/>
          <w:kern w:val="2"/>
          <w:sz w:val="32"/>
          <w:szCs w:val="32"/>
          <w:lang w:val="en-US"/>
        </w:rPr>
        <w:t>专项预算</w:t>
      </w:r>
      <w:r>
        <w:rPr>
          <w:rFonts w:hint="eastAsia" w:ascii="方正小标宋简体" w:hAnsi="方正小标宋简体" w:eastAsia="方正小标宋简体" w:cs="方正小标宋简体"/>
          <w:color w:val="auto"/>
          <w:kern w:val="2"/>
          <w:sz w:val="32"/>
          <w:szCs w:val="32"/>
          <w:lang w:val="en-US" w:eastAsia="zh-CN"/>
        </w:rPr>
        <w:t>天府旅游名县创建项目</w:t>
      </w:r>
    </w:p>
    <w:p>
      <w:pPr>
        <w:pStyle w:val="36"/>
        <w:spacing w:line="578" w:lineRule="exact"/>
        <w:jc w:val="center"/>
        <w:rPr>
          <w:rFonts w:hint="eastAsia"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绩效评价报告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w:t>
      </w:r>
      <w:r>
        <w:rPr>
          <w:rFonts w:hint="eastAsia" w:ascii="Times New Roman" w:hAnsi="Times New Roman" w:eastAsia="仿宋_GB2312" w:cs="Times New Roman"/>
          <w:kern w:val="0"/>
          <w:sz w:val="32"/>
          <w:szCs w:val="32"/>
          <w:shd w:val="clear" w:color="auto" w:fill="FFFFFF"/>
          <w:lang w:val="en-US" w:eastAsia="zh-CN" w:bidi="ar-SA"/>
        </w:rPr>
        <w:t xml:space="preserve"> </w:t>
      </w:r>
      <w:r>
        <w:rPr>
          <w:rFonts w:hint="eastAsia" w:ascii="Times New Roman" w:hAnsi="Times New Roman" w:eastAsia="仿宋_GB2312" w:cs="Times New Roman"/>
          <w:kern w:val="0"/>
          <w:sz w:val="32"/>
          <w:szCs w:val="32"/>
          <w:shd w:val="clear" w:color="auto" w:fill="FFFFFF"/>
          <w:lang w:val="zh-CN" w:eastAsia="zh-CN" w:bidi="ar-SA"/>
        </w:rPr>
        <w:t>在天府旅游名县创建项目中，盐边县红格国际运动康养·温泉度假区管理委员会主要职能职责：做好天府旅游名县创建期间红格度假区内围挡维护、卫生清洁维护、卫生设施配备及修缮、电费维护、环保整治等工作。</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w:t>
      </w:r>
      <w:r>
        <w:rPr>
          <w:rFonts w:hint="eastAsia" w:ascii="Times New Roman" w:hAnsi="Times New Roman" w:eastAsia="仿宋_GB2312" w:cs="Times New Roman"/>
          <w:kern w:val="0"/>
          <w:sz w:val="32"/>
          <w:szCs w:val="32"/>
          <w:shd w:val="clear" w:color="auto" w:fill="FFFFFF"/>
          <w:lang w:val="en-US" w:eastAsia="zh-CN" w:bidi="ar-SA"/>
        </w:rPr>
        <w:t xml:space="preserve">. </w:t>
      </w:r>
      <w:r>
        <w:rPr>
          <w:rFonts w:hint="eastAsia" w:ascii="Times New Roman" w:hAnsi="Times New Roman" w:eastAsia="仿宋_GB2312" w:cs="Times New Roman"/>
          <w:kern w:val="0"/>
          <w:sz w:val="32"/>
          <w:szCs w:val="32"/>
          <w:shd w:val="clear" w:color="auto" w:fill="FFFFFF"/>
          <w:lang w:val="zh-CN" w:eastAsia="zh-CN" w:bidi="ar-SA"/>
        </w:rPr>
        <w:t>项目立项、资金申报的依据：《红格度假区管委会关于解决天府旅游名县创建专项经费的请示》（红管委〔2023〕</w:t>
      </w:r>
      <w:r>
        <w:rPr>
          <w:rFonts w:hint="eastAsia" w:ascii="Times New Roman" w:hAnsi="Times New Roman" w:eastAsia="仿宋_GB2312" w:cs="Times New Roman"/>
          <w:kern w:val="0"/>
          <w:sz w:val="32"/>
          <w:szCs w:val="32"/>
          <w:shd w:val="clear" w:color="auto" w:fill="FFFFFF"/>
          <w:lang w:val="en-US" w:eastAsia="zh-CN" w:bidi="ar-SA"/>
        </w:rPr>
        <w:t>18</w:t>
      </w:r>
      <w:r>
        <w:rPr>
          <w:rFonts w:hint="eastAsia" w:ascii="Times New Roman" w:hAnsi="Times New Roman" w:eastAsia="仿宋_GB2312" w:cs="Times New Roman"/>
          <w:kern w:val="0"/>
          <w:sz w:val="32"/>
          <w:szCs w:val="32"/>
          <w:shd w:val="clear" w:color="auto" w:fill="FFFFFF"/>
          <w:lang w:val="zh-CN" w:eastAsia="zh-CN" w:bidi="ar-SA"/>
        </w:rPr>
        <w:t>号）。</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w:t>
      </w:r>
      <w:r>
        <w:rPr>
          <w:rFonts w:hint="eastAsia" w:ascii="Times New Roman" w:hAnsi="Times New Roman" w:eastAsia="仿宋_GB2312" w:cs="Times New Roman"/>
          <w:kern w:val="0"/>
          <w:sz w:val="32"/>
          <w:szCs w:val="32"/>
          <w:shd w:val="clear" w:color="auto" w:fill="FFFFFF"/>
          <w:lang w:val="en-US" w:eastAsia="zh-CN" w:bidi="ar-SA"/>
        </w:rPr>
        <w:t xml:space="preserve"> </w:t>
      </w:r>
      <w:r>
        <w:rPr>
          <w:rFonts w:hint="eastAsia" w:ascii="Times New Roman" w:hAnsi="Times New Roman" w:eastAsia="仿宋_GB2312" w:cs="Times New Roman"/>
          <w:kern w:val="0"/>
          <w:sz w:val="32"/>
          <w:szCs w:val="32"/>
          <w:shd w:val="clear" w:color="auto" w:fill="FFFFFF"/>
          <w:lang w:val="zh-CN" w:eastAsia="zh-CN" w:bidi="ar-SA"/>
        </w:rPr>
        <w:t>该项目资金专项用于天府旅游名县创建项目支出，通过财政统筹支付，专款专用。</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4</w:t>
      </w:r>
      <w:r>
        <w:rPr>
          <w:rFonts w:hint="eastAsia" w:ascii="Times New Roman" w:hAnsi="Times New Roman" w:eastAsia="仿宋_GB2312" w:cs="Times New Roman"/>
          <w:kern w:val="0"/>
          <w:sz w:val="32"/>
          <w:szCs w:val="32"/>
          <w:shd w:val="clear" w:color="auto" w:fill="FFFFFF"/>
          <w:lang w:val="en-US" w:eastAsia="zh-CN" w:bidi="ar-SA"/>
        </w:rPr>
        <w:t xml:space="preserve">. </w:t>
      </w:r>
      <w:r>
        <w:rPr>
          <w:rFonts w:hint="eastAsia" w:ascii="Times New Roman" w:hAnsi="Times New Roman" w:eastAsia="仿宋_GB2312" w:cs="Times New Roman"/>
          <w:kern w:val="0"/>
          <w:sz w:val="32"/>
          <w:szCs w:val="32"/>
          <w:shd w:val="clear" w:color="auto" w:fill="FFFFFF"/>
          <w:lang w:val="zh-CN" w:eastAsia="zh-CN" w:bidi="ar-SA"/>
        </w:rPr>
        <w:t>项目资金主要用于红格度假区内围挡维护、卫生清洁维护、卫生设施配备及修缮、电费维护、环保整治等工作。</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w:t>
      </w:r>
      <w:r>
        <w:rPr>
          <w:rFonts w:hint="eastAsia" w:ascii="Times New Roman" w:hAnsi="Times New Roman" w:eastAsia="仿宋_GB2312" w:cs="Times New Roman"/>
          <w:kern w:val="0"/>
          <w:sz w:val="32"/>
          <w:szCs w:val="32"/>
          <w:shd w:val="clear" w:color="auto" w:fill="FFFFFF"/>
          <w:lang w:val="en-US" w:eastAsia="zh-CN" w:bidi="ar-SA"/>
        </w:rPr>
        <w:t xml:space="preserve">. </w:t>
      </w:r>
      <w:r>
        <w:rPr>
          <w:rFonts w:hint="eastAsia" w:ascii="Times New Roman" w:hAnsi="Times New Roman" w:eastAsia="仿宋_GB2312" w:cs="Times New Roman"/>
          <w:kern w:val="0"/>
          <w:sz w:val="32"/>
          <w:szCs w:val="32"/>
          <w:shd w:val="clear" w:color="auto" w:fill="FFFFFF"/>
          <w:lang w:val="zh-CN" w:eastAsia="zh-CN" w:bidi="ar-SA"/>
        </w:rPr>
        <w:t>项目主要内容。红格度假区内围挡维护、卫生清洁维护、卫生设施配备及修缮、电费维护、环保整治等。</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en-US" w:eastAsia="zh-CN" w:bidi="ar-SA"/>
        </w:rPr>
        <w:t xml:space="preserve">2. </w:t>
      </w:r>
      <w:r>
        <w:rPr>
          <w:rFonts w:hint="eastAsia" w:ascii="Times New Roman" w:hAnsi="Times New Roman" w:eastAsia="仿宋_GB2312" w:cs="Times New Roman"/>
          <w:kern w:val="0"/>
          <w:sz w:val="32"/>
          <w:szCs w:val="32"/>
          <w:shd w:val="clear" w:color="auto" w:fill="FFFFFF"/>
          <w:lang w:val="zh-CN" w:eastAsia="zh-CN" w:bidi="ar-SA"/>
        </w:rPr>
        <w:t>项目应实现的具体绩效目标。根据《盐边县</w:t>
      </w:r>
      <w:r>
        <w:rPr>
          <w:rFonts w:hint="eastAsia" w:ascii="Times New Roman" w:hAnsi="Times New Roman" w:eastAsia="仿宋_GB2312" w:cs="Times New Roman"/>
          <w:kern w:val="0"/>
          <w:sz w:val="32"/>
          <w:szCs w:val="32"/>
          <w:shd w:val="clear" w:color="auto" w:fill="FFFFFF"/>
          <w:lang w:val="en-US" w:eastAsia="zh-CN" w:bidi="ar-SA"/>
        </w:rPr>
        <w:t>2023年创建天府旅游名县迎检方案</w:t>
      </w:r>
      <w:r>
        <w:rPr>
          <w:rFonts w:hint="eastAsia" w:ascii="Times New Roman" w:hAnsi="Times New Roman" w:eastAsia="仿宋_GB2312" w:cs="Times New Roman"/>
          <w:kern w:val="0"/>
          <w:sz w:val="32"/>
          <w:szCs w:val="32"/>
          <w:shd w:val="clear" w:color="auto" w:fill="FFFFFF"/>
          <w:lang w:val="zh-CN" w:eastAsia="zh-CN" w:bidi="ar-SA"/>
        </w:rPr>
        <w:t>》，组织开展相关设施改造及维护工作，包括度假区太阳湖厕所烘干机、纸巾筒、置物架、旅游宣传画等设施配备，游客服务中心导览标识牌、医务室指示牌制作安装，游客服务中心设施维修、第三卫生间婴儿床配备，度假区范围内破旧围挡重置，文创旅游展品布展，天府旅游名县创建氛围营造等系列工作。</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w:t>
      </w:r>
      <w:r>
        <w:rPr>
          <w:rFonts w:hint="eastAsia" w:ascii="Times New Roman" w:hAnsi="Times New Roman" w:eastAsia="仿宋_GB2312" w:cs="Times New Roman"/>
          <w:kern w:val="0"/>
          <w:sz w:val="32"/>
          <w:szCs w:val="32"/>
          <w:shd w:val="clear" w:color="auto" w:fill="FFFFFF"/>
          <w:lang w:val="en-US" w:eastAsia="zh-CN" w:bidi="ar-SA"/>
        </w:rPr>
        <w:t>. 该项目</w:t>
      </w:r>
      <w:r>
        <w:rPr>
          <w:rFonts w:hint="eastAsia" w:ascii="Times New Roman" w:hAnsi="Times New Roman" w:eastAsia="仿宋_GB2312" w:cs="Times New Roman"/>
          <w:kern w:val="0"/>
          <w:sz w:val="32"/>
          <w:szCs w:val="32"/>
          <w:shd w:val="clear" w:color="auto" w:fill="FFFFFF"/>
          <w:lang w:val="zh-CN" w:eastAsia="zh-CN" w:bidi="ar-SA"/>
        </w:rPr>
        <w:t>申报内容与实际相符，申报目标合理可行。</w:t>
      </w:r>
    </w:p>
    <w:p>
      <w:pPr>
        <w:widowControl/>
        <w:adjustRightInd w:val="0"/>
        <w:snapToGrid w:val="0"/>
        <w:spacing w:line="578" w:lineRule="exact"/>
        <w:ind w:firstLine="643"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楷体_GB2312" w:hAnsi="宋体" w:eastAsia="楷体_GB2312"/>
          <w:b/>
          <w:sz w:val="32"/>
          <w:szCs w:val="32"/>
          <w:lang w:val="zh-CN"/>
        </w:rPr>
        <w:t>（三）项目自评步骤及方法。</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项目自评步骤主要有收集资料、识别指标、数据分析、结果评价四个步骤；主要采用内部评审的方法进行自评。</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该项目严格按照资金申报有关要求撰写事前绩效评估表、获得批复，无预算调整。</w:t>
      </w:r>
    </w:p>
    <w:p>
      <w:pPr>
        <w:widowControl/>
        <w:adjustRightInd w:val="0"/>
        <w:snapToGrid w:val="0"/>
        <w:spacing w:line="578" w:lineRule="exact"/>
        <w:ind w:firstLine="643" w:firstLineChars="200"/>
        <w:contextualSpacing/>
        <w:jc w:val="left"/>
        <w:rPr>
          <w:rFonts w:ascii="仿宋_GB2312" w:hAnsi="宋体"/>
          <w:sz w:val="32"/>
          <w:szCs w:val="32"/>
          <w:lang w:val="zh-CN"/>
        </w:rPr>
      </w:pPr>
      <w:r>
        <w:rPr>
          <w:rFonts w:hint="eastAsia" w:ascii="楷体_GB2312" w:hAnsi="宋体" w:eastAsia="楷体_GB2312"/>
          <w:b/>
          <w:sz w:val="32"/>
          <w:szCs w:val="32"/>
          <w:lang w:val="zh-CN"/>
        </w:rPr>
        <w:t>（二）资金计划、到位及使用情况。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w:t>
      </w:r>
      <w:r>
        <w:rPr>
          <w:rFonts w:hint="eastAsia" w:ascii="Times New Roman" w:hAnsi="Times New Roman" w:eastAsia="仿宋_GB2312" w:cs="Times New Roman"/>
          <w:kern w:val="0"/>
          <w:sz w:val="32"/>
          <w:szCs w:val="32"/>
          <w:shd w:val="clear" w:color="auto" w:fill="FFFFFF"/>
          <w:lang w:val="en-US" w:eastAsia="zh-CN" w:bidi="ar-SA"/>
        </w:rPr>
        <w:t xml:space="preserve">. </w:t>
      </w:r>
      <w:r>
        <w:rPr>
          <w:rFonts w:hint="eastAsia" w:ascii="Times New Roman" w:hAnsi="Times New Roman" w:eastAsia="仿宋_GB2312" w:cs="Times New Roman"/>
          <w:kern w:val="0"/>
          <w:sz w:val="32"/>
          <w:szCs w:val="32"/>
          <w:shd w:val="clear" w:color="auto" w:fill="FFFFFF"/>
          <w:lang w:val="zh-CN" w:eastAsia="zh-CN" w:bidi="ar-SA"/>
        </w:rPr>
        <w:t>资金计划。该项目资金计划为</w:t>
      </w:r>
      <w:r>
        <w:rPr>
          <w:rFonts w:hint="eastAsia" w:ascii="Times New Roman" w:hAnsi="Times New Roman" w:eastAsia="仿宋_GB2312" w:cs="Times New Roman"/>
          <w:kern w:val="0"/>
          <w:sz w:val="32"/>
          <w:szCs w:val="32"/>
          <w:shd w:val="clear" w:color="auto" w:fill="FFFFFF"/>
          <w:lang w:val="en-US" w:eastAsia="zh-CN" w:bidi="ar-SA"/>
        </w:rPr>
        <w:t>9.05万元，全部为县财政资金</w:t>
      </w:r>
      <w:r>
        <w:rPr>
          <w:rFonts w:hint="eastAsia" w:ascii="Times New Roman" w:hAnsi="Times New Roman" w:eastAsia="仿宋_GB2312" w:cs="Times New Roman"/>
          <w:kern w:val="0"/>
          <w:sz w:val="32"/>
          <w:szCs w:val="32"/>
          <w:shd w:val="clear" w:color="auto" w:fill="FFFFFF"/>
          <w:lang w:val="zh-CN" w:eastAsia="zh-CN" w:bidi="ar-SA"/>
        </w:rPr>
        <w:t>。</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w:t>
      </w:r>
      <w:r>
        <w:rPr>
          <w:rFonts w:hint="eastAsia" w:ascii="Times New Roman" w:hAnsi="Times New Roman" w:eastAsia="仿宋_GB2312" w:cs="Times New Roman"/>
          <w:kern w:val="0"/>
          <w:sz w:val="32"/>
          <w:szCs w:val="32"/>
          <w:shd w:val="clear" w:color="auto" w:fill="FFFFFF"/>
          <w:lang w:val="en-US" w:eastAsia="zh-CN" w:bidi="ar-SA"/>
        </w:rPr>
        <w:t xml:space="preserve">. </w:t>
      </w:r>
      <w:r>
        <w:rPr>
          <w:rFonts w:hint="eastAsia" w:ascii="Times New Roman" w:hAnsi="Times New Roman" w:eastAsia="仿宋_GB2312" w:cs="Times New Roman"/>
          <w:kern w:val="0"/>
          <w:sz w:val="32"/>
          <w:szCs w:val="32"/>
          <w:shd w:val="clear" w:color="auto" w:fill="FFFFFF"/>
          <w:lang w:val="zh-CN" w:eastAsia="zh-CN" w:bidi="ar-SA"/>
        </w:rPr>
        <w:t>资金到位。截止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项目资金到位</w:t>
      </w:r>
      <w:r>
        <w:rPr>
          <w:rFonts w:hint="eastAsia" w:ascii="Times New Roman" w:hAnsi="Times New Roman" w:eastAsia="仿宋_GB2312" w:cs="Times New Roman"/>
          <w:kern w:val="0"/>
          <w:sz w:val="32"/>
          <w:szCs w:val="32"/>
          <w:shd w:val="clear" w:color="auto" w:fill="FFFFFF"/>
          <w:lang w:val="en-US" w:eastAsia="zh-CN" w:bidi="ar-SA"/>
        </w:rPr>
        <w:t>9.05万元，全部来源于县财政资金，</w:t>
      </w:r>
      <w:r>
        <w:rPr>
          <w:rFonts w:hint="eastAsia" w:ascii="Times New Roman" w:hAnsi="Times New Roman" w:eastAsia="仿宋_GB2312" w:cs="Times New Roman"/>
          <w:kern w:val="0"/>
          <w:sz w:val="32"/>
          <w:szCs w:val="32"/>
          <w:shd w:val="clear" w:color="auto" w:fill="FFFFFF"/>
          <w:lang w:val="zh-CN" w:eastAsia="zh-CN" w:bidi="ar-SA"/>
        </w:rPr>
        <w:t>资金到位率</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，到位及时。</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w:t>
      </w:r>
      <w:r>
        <w:rPr>
          <w:rFonts w:hint="eastAsia" w:ascii="Times New Roman" w:hAnsi="Times New Roman" w:eastAsia="仿宋_GB2312" w:cs="Times New Roman"/>
          <w:kern w:val="0"/>
          <w:sz w:val="32"/>
          <w:szCs w:val="32"/>
          <w:shd w:val="clear" w:color="auto" w:fill="FFFFFF"/>
          <w:lang w:val="en-US" w:eastAsia="zh-CN" w:bidi="ar-SA"/>
        </w:rPr>
        <w:t xml:space="preserve">. </w:t>
      </w:r>
      <w:r>
        <w:rPr>
          <w:rFonts w:hint="eastAsia" w:ascii="Times New Roman" w:hAnsi="Times New Roman" w:eastAsia="仿宋_GB2312" w:cs="Times New Roman"/>
          <w:kern w:val="0"/>
          <w:sz w:val="32"/>
          <w:szCs w:val="32"/>
          <w:shd w:val="clear" w:color="auto" w:fill="FFFFFF"/>
          <w:lang w:val="zh-CN" w:eastAsia="zh-CN" w:bidi="ar-SA"/>
        </w:rPr>
        <w:t>资金使用。截止</w:t>
      </w:r>
      <w:r>
        <w:rPr>
          <w:rFonts w:hint="eastAsia" w:ascii="Times New Roman" w:hAnsi="Times New Roman" w:eastAsia="仿宋_GB2312" w:cs="Times New Roman"/>
          <w:kern w:val="0"/>
          <w:sz w:val="32"/>
          <w:szCs w:val="32"/>
          <w:shd w:val="clear" w:color="auto" w:fill="FFFFFF"/>
          <w:lang w:val="en-US" w:eastAsia="zh-CN" w:bidi="ar-SA"/>
        </w:rPr>
        <w:t>2023年底，项目支出7.93万元，主要用于天府旅游名县创建期间红格度假区设施设备维护、围挡及环境卫生整治。</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天府旅游名县创建项目实施单位为盐边县红格国际运动康养·温泉度假区管理委员会，单位财务管理制度健全，工作开展中严格执行财务管理制度，账务处理及时，会计核算规范。</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pStyle w:val="2"/>
        <w:keepNext w:val="0"/>
        <w:keepLines w:val="0"/>
        <w:pageBreakBefore w:val="0"/>
        <w:widowControl w:val="0"/>
        <w:kinsoku/>
        <w:wordWrap/>
        <w:overflowPunct/>
        <w:topLinePunct w:val="0"/>
        <w:autoSpaceDE/>
        <w:autoSpaceDN/>
        <w:bidi w:val="0"/>
        <w:adjustRightInd/>
        <w:snapToGrid/>
        <w:spacing w:before="93"/>
        <w:ind w:firstLine="643" w:firstLineChars="200"/>
        <w:textAlignment w:val="auto"/>
        <w:rPr>
          <w:rFonts w:hint="eastAsia" w:ascii="楷体_GB2312" w:hAnsi="宋体" w:eastAsia="楷体_GB2312" w:cs="Times New Roman"/>
          <w:b/>
          <w:bCs/>
          <w:kern w:val="2"/>
          <w:sz w:val="32"/>
          <w:szCs w:val="32"/>
          <w:lang w:val="zh-CN" w:eastAsia="zh-CN" w:bidi="ar-SA"/>
        </w:rPr>
      </w:pPr>
      <w:r>
        <w:rPr>
          <w:rFonts w:hint="eastAsia" w:ascii="楷体_GB2312" w:hAnsi="宋体" w:eastAsia="楷体_GB2312" w:cs="Times New Roman"/>
          <w:b/>
          <w:bCs/>
          <w:kern w:val="2"/>
          <w:sz w:val="32"/>
          <w:szCs w:val="32"/>
          <w:lang w:val="zh-CN" w:eastAsia="zh-CN" w:bidi="ar-SA"/>
        </w:rPr>
        <w:t>（一）项目组织架构及实施流程。</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该项目由盐边县红格国际运动康养·温泉度假区管理委员会负责该项工作的具体实施，均按需按时正常支付相关运行费用，</w:t>
      </w:r>
      <w:r>
        <w:rPr>
          <w:rFonts w:hint="eastAsia" w:ascii="Times New Roman" w:hAnsi="Times New Roman" w:eastAsia="仿宋_GB2312" w:cs="Times New Roman"/>
          <w:kern w:val="0"/>
          <w:sz w:val="32"/>
          <w:szCs w:val="32"/>
          <w:shd w:val="clear" w:color="auto" w:fill="FFFFFF"/>
          <w:lang w:val="en-US" w:eastAsia="zh-CN" w:bidi="ar-SA"/>
        </w:rPr>
        <w:t>保障工作有序推进。</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（二）项目管理情况。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本单位对该项目实行科学动态管理，以厉行节约、实事求是为原则，合理控制运行需求，并严格执行政府采购的相关规定。</w:t>
      </w:r>
    </w:p>
    <w:p>
      <w:pPr>
        <w:adjustRightInd w:val="0"/>
        <w:snapToGrid w:val="0"/>
        <w:spacing w:line="578"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（三）项目监管情况。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项目支出均严格落实审批制，各个环节从财务审批到领导审签做到严格把关，同时自觉接受财政局及相关部门监督。</w:t>
      </w:r>
    </w:p>
    <w:p>
      <w:pPr>
        <w:adjustRightInd w:val="0"/>
        <w:snapToGrid w:val="0"/>
        <w:spacing w:line="578" w:lineRule="exact"/>
        <w:ind w:firstLine="720"/>
        <w:rPr>
          <w:rFonts w:ascii="仿宋_GB2312" w:hAnsi="宋体"/>
          <w:sz w:val="32"/>
          <w:szCs w:val="32"/>
          <w:lang w:val="zh-CN"/>
        </w:rPr>
      </w:pPr>
      <w:r>
        <w:rPr>
          <w:rFonts w:hint="eastAsia" w:ascii="黑体" w:hAnsi="宋体" w:eastAsia="黑体"/>
          <w:sz w:val="32"/>
          <w:szCs w:val="32"/>
        </w:rPr>
        <w:t>四、项目绩效情况</w:t>
      </w:r>
      <w:r>
        <w:rPr>
          <w:rFonts w:hint="eastAsia" w:ascii="仿宋_GB2312" w:hAnsi="宋体"/>
          <w:sz w:val="32"/>
          <w:szCs w:val="32"/>
          <w:lang w:val="zh-CN"/>
        </w:rPr>
        <w:tab/>
      </w:r>
    </w:p>
    <w:p>
      <w:pPr>
        <w:adjustRightInd w:val="0"/>
        <w:snapToGrid w:val="0"/>
        <w:spacing w:line="578" w:lineRule="exact"/>
        <w:ind w:firstLine="720"/>
        <w:rPr>
          <w:rFonts w:hint="eastAsia" w:ascii="仿宋_GB2312" w:hAnsi="仿宋_GB2312" w:eastAsia="仿宋_GB2312" w:cs="仿宋_GB2312"/>
          <w:color w:val="C00000"/>
          <w:kern w:val="0"/>
          <w:sz w:val="32"/>
          <w:szCs w:val="32"/>
          <w:shd w:val="clear" w:color="auto" w:fill="FFFFFF"/>
        </w:rPr>
      </w:pPr>
      <w:r>
        <w:rPr>
          <w:rFonts w:hint="eastAsia" w:ascii="楷体_GB2312" w:hAnsi="宋体" w:eastAsia="楷体_GB2312"/>
          <w:b/>
          <w:sz w:val="32"/>
          <w:szCs w:val="32"/>
          <w:lang w:val="zh-CN"/>
        </w:rPr>
        <w:t>（一）项目完成情况。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完成了度假区太阳湖厕所烘干机、纸巾筒、置物架、旅游宣传画等设施配备，游客服务中心导览标识牌、医务室指示牌制作安装、游客服务中心设施维修、第三卫生间婴儿床配备，度假区范围内破旧围挡重置，文创旅游展品布展，天府旅游名县创建氛围营造等系列工作，项目完成质量高，资金结余</w:t>
      </w:r>
      <w:r>
        <w:rPr>
          <w:rFonts w:hint="eastAsia" w:ascii="Times New Roman" w:hAnsi="Times New Roman" w:eastAsia="仿宋_GB2312" w:cs="Times New Roman"/>
          <w:kern w:val="0"/>
          <w:sz w:val="32"/>
          <w:szCs w:val="32"/>
          <w:shd w:val="clear" w:color="auto" w:fill="FFFFFF"/>
          <w:lang w:val="en-US" w:eastAsia="zh-CN" w:bidi="ar-SA"/>
        </w:rPr>
        <w:t>1.12万元</w:t>
      </w:r>
      <w:r>
        <w:rPr>
          <w:rFonts w:hint="eastAsia" w:ascii="Times New Roman" w:hAnsi="Times New Roman" w:eastAsia="仿宋_GB2312" w:cs="Times New Roman"/>
          <w:kern w:val="0"/>
          <w:sz w:val="32"/>
          <w:szCs w:val="32"/>
          <w:shd w:val="clear" w:color="auto" w:fill="FFFFFF"/>
          <w:lang w:val="zh-CN" w:eastAsia="zh-CN" w:bidi="ar-SA"/>
        </w:rPr>
        <w:t>，全部上缴回财政局，项目资金使用中无违规情况发生。项目进度控制良好，成本控制较好，资金使用效率高。</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有利地促进了我县旅游产业发展，提升了红格度假区基础设施服务水平，群众满意度</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widowControl/>
        <w:adjustRightInd w:val="0"/>
        <w:snapToGrid w:val="0"/>
        <w:spacing w:line="578" w:lineRule="exact"/>
        <w:ind w:firstLine="640" w:firstLineChars="200"/>
        <w:contextualSpacing/>
        <w:jc w:val="left"/>
        <w:rPr>
          <w:rFonts w:hint="default" w:ascii="仿宋_GB2312" w:hAnsi="仿宋_GB2312" w:eastAsia="仿宋_GB2312" w:cs="仿宋_GB2312"/>
          <w:kern w:val="0"/>
          <w:sz w:val="32"/>
          <w:szCs w:val="32"/>
          <w:shd w:val="clear" w:color="auto" w:fill="FFFFFF"/>
          <w:lang w:val="en-US" w:eastAsia="zh-CN"/>
        </w:rPr>
      </w:pPr>
      <w:r>
        <w:rPr>
          <w:rFonts w:hint="eastAsia" w:ascii="Times New Roman" w:hAnsi="Times New Roman" w:eastAsia="仿宋_GB2312" w:cs="Times New Roman"/>
          <w:kern w:val="0"/>
          <w:sz w:val="32"/>
          <w:szCs w:val="32"/>
          <w:shd w:val="clear" w:color="auto" w:fill="FFFFFF"/>
          <w:lang w:val="zh-CN" w:eastAsia="zh-CN" w:bidi="ar-SA"/>
        </w:rPr>
        <w:t>该项目实施符合县委县政府统筹推进我县农、商、文、旅、康、体产业高质量融合发展定位，有助于推动我县旅游产业发展，提升红格度假区基础设施服务水平，提升广大游客、群众对度假区旅游满意度。项目绩效自评得分为9</w:t>
      </w:r>
      <w:r>
        <w:rPr>
          <w:rFonts w:hint="eastAsia" w:ascii="Times New Roman" w:hAnsi="Times New Roman" w:eastAsia="仿宋_GB2312" w:cs="Times New Roman"/>
          <w:kern w:val="0"/>
          <w:sz w:val="32"/>
          <w:szCs w:val="32"/>
          <w:shd w:val="clear" w:color="auto" w:fill="FFFFFF"/>
          <w:lang w:val="en-US" w:eastAsia="zh-CN" w:bidi="ar-SA"/>
        </w:rPr>
        <w:t>3</w:t>
      </w:r>
      <w:r>
        <w:rPr>
          <w:rFonts w:hint="eastAsia" w:ascii="Times New Roman" w:hAnsi="Times New Roman" w:eastAsia="仿宋_GB2312" w:cs="Times New Roman"/>
          <w:kern w:val="0"/>
          <w:sz w:val="32"/>
          <w:szCs w:val="32"/>
          <w:shd w:val="clear" w:color="auto" w:fill="FFFFFF"/>
          <w:lang w:val="zh-CN" w:eastAsia="zh-CN" w:bidi="ar-SA"/>
        </w:rPr>
        <w:t>分，评价结论良好。</w:t>
      </w:r>
    </w:p>
    <w:p>
      <w:pPr>
        <w:widowControl/>
        <w:adjustRightInd w:val="0"/>
        <w:snapToGrid w:val="0"/>
        <w:spacing w:line="578" w:lineRule="exact"/>
        <w:ind w:firstLine="643" w:firstLineChars="200"/>
        <w:contextualSpacing/>
        <w:jc w:val="left"/>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val="zh-CN"/>
        </w:rPr>
        <w:t>无</w:t>
      </w:r>
      <w:r>
        <w:rPr>
          <w:rFonts w:hint="eastAsia" w:ascii="仿宋_GB2312" w:hAnsi="仿宋_GB2312" w:eastAsia="仿宋_GB2312" w:cs="仿宋_GB2312"/>
          <w:kern w:val="0"/>
          <w:sz w:val="32"/>
          <w:szCs w:val="32"/>
          <w:shd w:val="clear" w:color="auto" w:fill="FFFFFF"/>
        </w:rPr>
        <w:t>。</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pStyle w:val="2"/>
        <w:tabs>
          <w:tab w:val="left" w:pos="2160"/>
        </w:tabs>
        <w:spacing w:line="600" w:lineRule="exact"/>
        <w:ind w:firstLine="640" w:firstLineChars="200"/>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无。</w:t>
      </w:r>
    </w:p>
    <w:p>
      <w:pPr>
        <w:pStyle w:val="2"/>
        <w:tabs>
          <w:tab w:val="left" w:pos="2160"/>
        </w:tabs>
        <w:spacing w:line="600" w:lineRule="exact"/>
        <w:ind w:firstLine="640" w:firstLineChars="200"/>
        <w:rPr>
          <w:rFonts w:hint="eastAsia" w:ascii="仿宋_GB2312" w:hAnsi="仿宋_GB2312" w:eastAsia="仿宋_GB2312" w:cs="仿宋_GB2312"/>
          <w:kern w:val="0"/>
          <w:sz w:val="32"/>
          <w:szCs w:val="32"/>
          <w:shd w:val="clear" w:color="auto" w:fill="FFFFFF"/>
          <w:lang w:val="zh-CN"/>
        </w:rPr>
      </w:pPr>
    </w:p>
    <w:p>
      <w:pPr>
        <w:pStyle w:val="2"/>
        <w:tabs>
          <w:tab w:val="left" w:pos="2160"/>
        </w:tabs>
        <w:spacing w:line="600" w:lineRule="exact"/>
        <w:ind w:firstLine="640" w:firstLineChars="200"/>
        <w:rPr>
          <w:rFonts w:hint="eastAsia" w:ascii="仿宋_GB2312" w:hAnsi="仿宋_GB2312" w:eastAsia="仿宋_GB2312" w:cs="仿宋_GB2312"/>
          <w:kern w:val="0"/>
          <w:sz w:val="32"/>
          <w:szCs w:val="32"/>
          <w:shd w:val="clear" w:color="auto" w:fill="FFFFFF"/>
          <w:lang w:val="zh-CN"/>
        </w:rPr>
      </w:pPr>
    </w:p>
    <w:p>
      <w:pPr>
        <w:pStyle w:val="2"/>
        <w:tabs>
          <w:tab w:val="left" w:pos="2160"/>
        </w:tabs>
        <w:spacing w:line="600" w:lineRule="exact"/>
        <w:ind w:firstLine="640" w:firstLineChars="200"/>
        <w:rPr>
          <w:rFonts w:hint="eastAsia" w:ascii="仿宋_GB2312" w:hAnsi="仿宋_GB2312" w:eastAsia="仿宋_GB2312" w:cs="仿宋_GB2312"/>
          <w:kern w:val="0"/>
          <w:sz w:val="32"/>
          <w:szCs w:val="32"/>
          <w:shd w:val="clear" w:color="auto" w:fill="FFFFFF"/>
          <w:lang w:val="zh-CN"/>
        </w:rPr>
      </w:pPr>
    </w:p>
    <w:p>
      <w:pPr>
        <w:pStyle w:val="2"/>
        <w:tabs>
          <w:tab w:val="left" w:pos="2160"/>
        </w:tabs>
        <w:spacing w:line="600" w:lineRule="exact"/>
        <w:ind w:firstLine="640" w:firstLineChars="200"/>
        <w:rPr>
          <w:rFonts w:hint="eastAsia" w:ascii="仿宋_GB2312" w:hAnsi="仿宋_GB2312" w:eastAsia="仿宋_GB2312" w:cs="仿宋_GB2312"/>
          <w:kern w:val="0"/>
          <w:sz w:val="32"/>
          <w:szCs w:val="32"/>
          <w:shd w:val="clear" w:color="auto" w:fill="FFFFFF"/>
          <w:lang w:val="zh-CN"/>
        </w:rPr>
      </w:pPr>
    </w:p>
    <w:p>
      <w:pPr>
        <w:pStyle w:val="2"/>
        <w:tabs>
          <w:tab w:val="left" w:pos="2160"/>
        </w:tabs>
        <w:spacing w:line="600" w:lineRule="exact"/>
        <w:ind w:firstLine="640" w:firstLineChars="200"/>
        <w:rPr>
          <w:rFonts w:hint="eastAsia" w:ascii="仿宋_GB2312" w:hAnsi="仿宋_GB2312" w:eastAsia="仿宋_GB2312" w:cs="仿宋_GB2312"/>
          <w:kern w:val="0"/>
          <w:sz w:val="32"/>
          <w:szCs w:val="32"/>
          <w:shd w:val="clear" w:color="auto" w:fill="FFFFFF"/>
          <w:lang w:val="zh-CN"/>
        </w:rPr>
      </w:pPr>
    </w:p>
    <w:p>
      <w:pPr>
        <w:pStyle w:val="2"/>
        <w:tabs>
          <w:tab w:val="left" w:pos="2160"/>
        </w:tabs>
        <w:spacing w:line="600" w:lineRule="exact"/>
        <w:ind w:firstLine="640" w:firstLineChars="200"/>
        <w:rPr>
          <w:rFonts w:hint="eastAsia" w:ascii="仿宋_GB2312" w:hAnsi="仿宋_GB2312" w:eastAsia="仿宋_GB2312" w:cs="仿宋_GB2312"/>
          <w:kern w:val="0"/>
          <w:sz w:val="32"/>
          <w:szCs w:val="32"/>
          <w:shd w:val="clear" w:color="auto" w:fill="FFFFFF"/>
          <w:lang w:val="zh-CN"/>
        </w:rPr>
      </w:pPr>
    </w:p>
    <w:p>
      <w:pPr>
        <w:pStyle w:val="2"/>
        <w:tabs>
          <w:tab w:val="left" w:pos="2160"/>
        </w:tabs>
        <w:spacing w:line="600" w:lineRule="exact"/>
        <w:ind w:firstLine="640" w:firstLineChars="200"/>
        <w:rPr>
          <w:rFonts w:hint="eastAsia" w:ascii="仿宋_GB2312" w:hAnsi="仿宋_GB2312" w:eastAsia="仿宋_GB2312" w:cs="仿宋_GB2312"/>
          <w:kern w:val="0"/>
          <w:sz w:val="32"/>
          <w:szCs w:val="32"/>
          <w:shd w:val="clear" w:color="auto" w:fill="FFFFFF"/>
          <w:lang w:val="zh-CN"/>
        </w:rPr>
      </w:pPr>
    </w:p>
    <w:p>
      <w:pPr>
        <w:pStyle w:val="2"/>
        <w:tabs>
          <w:tab w:val="left" w:pos="2160"/>
        </w:tabs>
        <w:spacing w:line="600" w:lineRule="exact"/>
        <w:ind w:firstLine="640" w:firstLineChars="200"/>
        <w:rPr>
          <w:rFonts w:hint="eastAsia" w:ascii="仿宋_GB2312" w:hAnsi="仿宋_GB2312" w:eastAsia="仿宋_GB2312" w:cs="仿宋_GB2312"/>
          <w:kern w:val="0"/>
          <w:sz w:val="32"/>
          <w:szCs w:val="32"/>
          <w:shd w:val="clear" w:color="auto" w:fill="FFFFFF"/>
          <w:lang w:val="zh-CN"/>
        </w:rPr>
      </w:pPr>
    </w:p>
    <w:p>
      <w:pPr>
        <w:pStyle w:val="2"/>
        <w:tabs>
          <w:tab w:val="left" w:pos="2160"/>
        </w:tabs>
        <w:spacing w:line="600" w:lineRule="exact"/>
        <w:ind w:firstLine="640" w:firstLineChars="200"/>
        <w:rPr>
          <w:rFonts w:hint="eastAsia" w:ascii="仿宋_GB2312" w:hAnsi="仿宋_GB2312" w:eastAsia="仿宋_GB2312" w:cs="仿宋_GB2312"/>
          <w:kern w:val="0"/>
          <w:sz w:val="32"/>
          <w:szCs w:val="32"/>
          <w:shd w:val="clear" w:color="auto" w:fill="FFFFFF"/>
          <w:lang w:val="zh-CN"/>
        </w:rPr>
      </w:pPr>
    </w:p>
    <w:p>
      <w:pPr>
        <w:pStyle w:val="36"/>
        <w:spacing w:line="578" w:lineRule="exact"/>
        <w:jc w:val="both"/>
        <w:rPr>
          <w:rFonts w:hint="eastAsia" w:ascii="方正小标宋简体" w:hAnsi="方正小标宋简体" w:eastAsia="方正小标宋简体" w:cs="方正小标宋简体"/>
          <w:color w:val="auto"/>
          <w:kern w:val="2"/>
          <w:sz w:val="32"/>
          <w:szCs w:val="32"/>
          <w:lang w:val="en-US"/>
        </w:rPr>
      </w:pPr>
    </w:p>
    <w:p>
      <w:pPr>
        <w:pStyle w:val="36"/>
        <w:spacing w:line="578" w:lineRule="exact"/>
        <w:jc w:val="center"/>
        <w:rPr>
          <w:rFonts w:hint="eastAsia" w:ascii="方正小标宋简体" w:hAnsi="方正小标宋简体" w:eastAsia="方正小标宋简体" w:cs="方正小标宋简体"/>
          <w:color w:val="auto"/>
          <w:kern w:val="2"/>
          <w:sz w:val="32"/>
          <w:szCs w:val="32"/>
          <w:lang w:val="en-US"/>
        </w:rPr>
      </w:pPr>
    </w:p>
    <w:p>
      <w:pPr>
        <w:pStyle w:val="36"/>
        <w:spacing w:line="578" w:lineRule="exact"/>
        <w:jc w:val="center"/>
        <w:rPr>
          <w:rFonts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专项预算昔格达大道北段提升改造工程项目</w:t>
      </w:r>
    </w:p>
    <w:p>
      <w:pPr>
        <w:pStyle w:val="36"/>
        <w:spacing w:line="578" w:lineRule="exact"/>
        <w:jc w:val="center"/>
        <w:rPr>
          <w:rFonts w:ascii="方正小标宋简体" w:hAnsi="方正小标宋简体" w:eastAsia="方正小标宋简体" w:cs="方正小标宋简体"/>
          <w:color w:val="FF0000"/>
          <w:kern w:val="2"/>
          <w:sz w:val="32"/>
          <w:szCs w:val="32"/>
          <w:lang w:val="en-US"/>
        </w:rPr>
      </w:pPr>
      <w:r>
        <w:rPr>
          <w:rFonts w:hint="eastAsia" w:ascii="方正小标宋简体" w:hAnsi="方正小标宋简体" w:eastAsia="方正小标宋简体" w:cs="方正小标宋简体"/>
          <w:color w:val="auto"/>
          <w:kern w:val="2"/>
          <w:sz w:val="32"/>
          <w:szCs w:val="32"/>
          <w:lang w:val="en-US"/>
        </w:rPr>
        <w:t>绩效评价报告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（一）项目基本情况。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1．在昔格达大道北段提升改造工程项目中，盐边县红格国际运动康养·温泉度假区管理委员会主要职能职责：统筹项目建设，做好项目建设总体规划、建设方案及协调管理工作等。</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2．项目立项、资金申报的依据：《盐边县发展和改革局关于昔格达大道北段提升改造工程项目可行性研究报告的批复》（盐边发改〔2022〕218号）。</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3．该项目资金专项用于昔格达大道北段提升改造工程项目支出，通过财政统筹支付，专款专用。</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4．项目资金主要用于建筑安装工程费、土地使用费、勘查设计费、工程监理费、初步设计费、杆线迁改费、技术咨询费等，该项目主要目标是构建红格国际康养、运动、度假区建设、打造红格特色康养圣地中交通路网环节，完善片区路网系统和红格片区快速路网骨架体系，改善区城交通环境，提开整体形象。</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（二）项目绩效目标。</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项目主要内容。构建红格国际康养、运动、度假区建设、打造红格特色康养圣地中交通路网环节，完善片区路网系统和红格片区快速路网骨架体系，改善区城交通环境，提开整体形象，加快落实国家级康养度假目的地、攀西地区运动休闲胜地发展目标。</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2．项目应实现的具体绩效目标。项目位于盐边县红格镇红山西侧，项目起点位于合盛·康悦北侧，与已建成的昔格达大道相接，终点位于昔格达村G353与S218相接的平面交叉口处，路线长度为2.673 公里。K0+000～K1+668、K2+390～K2+673 按照城市次干路设计，设计速度40km/h，路基宽度8.5m；K1+668～K2+140为房屋密集路段，采用路面改造方案，维持原路线型与横断面，路基宽度7.0m；K2+140～K2+390为昔格达大坝坝顶路段，采用路面改造方案，维持原路线型与横断面，路基宽度5.5m。</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3．该项目申报内容与实际相符，申报目标合理可行。</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（三）项目自评步骤及方法。</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Times New Roman" w:hAnsi="Times New Roman" w:eastAsia="仿宋_GB2312" w:cs="Times New Roman"/>
          <w:kern w:val="0"/>
          <w:sz w:val="32"/>
          <w:szCs w:val="32"/>
          <w:shd w:val="clear" w:color="auto" w:fill="FFFFFF"/>
          <w:lang w:val="zh-CN" w:eastAsia="zh-CN" w:bidi="ar-SA"/>
        </w:rPr>
        <w:t>项目自评步骤主要有收集资料、识别指标、数据分析、结果评价四个步骤；主要采用内部评审的方法进行自评。</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（一）项目资金申报及批复情况。</w:t>
      </w:r>
    </w:p>
    <w:p>
      <w:pPr>
        <w:widowControl/>
        <w:adjustRightInd w:val="0"/>
        <w:snapToGrid w:val="0"/>
        <w:spacing w:line="578"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该项目严格按照资金申报有关要求撰写事前绩效评估表，获得批复后下达项目资金。</w:t>
      </w:r>
    </w:p>
    <w:p>
      <w:pPr>
        <w:adjustRightInd w:val="0"/>
        <w:snapToGrid w:val="0"/>
        <w:spacing w:line="578" w:lineRule="exact"/>
        <w:ind w:firstLine="720"/>
        <w:rPr>
          <w:rFonts w:ascii="仿宋_GB2312" w:hAnsi="宋体"/>
          <w:b/>
          <w:bCs/>
          <w:sz w:val="32"/>
          <w:szCs w:val="32"/>
          <w:lang w:val="zh-CN"/>
        </w:rPr>
      </w:pPr>
      <w:r>
        <w:rPr>
          <w:rFonts w:hint="eastAsia" w:ascii="楷体_GB2312" w:hAnsi="宋体" w:eastAsia="楷体_GB2312"/>
          <w:b/>
          <w:bCs/>
          <w:sz w:val="32"/>
          <w:szCs w:val="32"/>
          <w:lang w:val="zh-CN"/>
        </w:rPr>
        <w:t>（二）资金计划、到位及使用情况。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1．资金计划。该项目资金计划为</w:t>
      </w:r>
      <w:r>
        <w:rPr>
          <w:rFonts w:hint="eastAsia" w:ascii="Times New Roman" w:hAnsi="Times New Roman" w:eastAsia="仿宋_GB2312" w:cs="Times New Roman"/>
          <w:kern w:val="0"/>
          <w:sz w:val="32"/>
          <w:szCs w:val="32"/>
          <w:shd w:val="clear" w:color="auto" w:fill="FFFFFF"/>
          <w:lang w:val="en-US" w:eastAsia="zh-CN" w:bidi="ar-SA"/>
        </w:rPr>
        <w:t>66.4</w:t>
      </w:r>
      <w:r>
        <w:rPr>
          <w:rFonts w:hint="eastAsia" w:ascii="Times New Roman" w:hAnsi="Times New Roman" w:eastAsia="仿宋_GB2312" w:cs="Times New Roman"/>
          <w:kern w:val="0"/>
          <w:sz w:val="32"/>
          <w:szCs w:val="32"/>
          <w:shd w:val="clear" w:color="auto" w:fill="FFFFFF"/>
          <w:lang w:val="zh-CN" w:eastAsia="zh-CN" w:bidi="ar-SA"/>
        </w:rPr>
        <w:t>万元，全部为县财政资金。</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2．资金到位。截止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项目资金到位</w:t>
      </w:r>
      <w:r>
        <w:rPr>
          <w:rFonts w:hint="eastAsia" w:ascii="Times New Roman" w:hAnsi="Times New Roman" w:eastAsia="仿宋_GB2312" w:cs="Times New Roman"/>
          <w:kern w:val="0"/>
          <w:sz w:val="32"/>
          <w:szCs w:val="32"/>
          <w:shd w:val="clear" w:color="auto" w:fill="FFFFFF"/>
          <w:lang w:val="en-US" w:eastAsia="zh-CN" w:bidi="ar-SA"/>
        </w:rPr>
        <w:t>66.4万元，全部来源于县财政资金，</w:t>
      </w:r>
      <w:r>
        <w:rPr>
          <w:rFonts w:hint="eastAsia" w:ascii="Times New Roman" w:hAnsi="Times New Roman" w:eastAsia="仿宋_GB2312" w:cs="Times New Roman"/>
          <w:kern w:val="0"/>
          <w:sz w:val="32"/>
          <w:szCs w:val="32"/>
          <w:shd w:val="clear" w:color="auto" w:fill="FFFFFF"/>
          <w:lang w:val="zh-CN" w:eastAsia="zh-CN" w:bidi="ar-SA"/>
        </w:rPr>
        <w:t>资金到位率</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，到位及时。</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3．资金使用。截止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项目支出</w:t>
      </w:r>
      <w:r>
        <w:rPr>
          <w:rFonts w:hint="eastAsia" w:ascii="Times New Roman" w:hAnsi="Times New Roman" w:eastAsia="仿宋_GB2312" w:cs="Times New Roman"/>
          <w:kern w:val="0"/>
          <w:sz w:val="32"/>
          <w:szCs w:val="32"/>
          <w:shd w:val="clear" w:color="auto" w:fill="FFFFFF"/>
          <w:lang w:val="en-US" w:eastAsia="zh-CN" w:bidi="ar-SA"/>
        </w:rPr>
        <w:t>36.3</w:t>
      </w:r>
      <w:r>
        <w:rPr>
          <w:rFonts w:hint="eastAsia" w:ascii="Times New Roman" w:hAnsi="Times New Roman" w:eastAsia="仿宋_GB2312" w:cs="Times New Roman"/>
          <w:kern w:val="0"/>
          <w:sz w:val="32"/>
          <w:szCs w:val="32"/>
          <w:shd w:val="clear" w:color="auto" w:fill="FFFFFF"/>
          <w:lang w:val="zh-CN" w:eastAsia="zh-CN" w:bidi="ar-SA"/>
        </w:rPr>
        <w:t>万元，均用于昔格达大道北段提升改造工程项目支出，主要涉及建筑安装工程费、土地使用费、勘查设计费、工程监理费、初步设计费、杆线迁改费、技术咨询费等。该笔资金使用中严格按照会计相关准则进行支付和报销，支付票据、原始凭证完整。</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（三）项目财务管理情况。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eastAsia="仿宋_GB2312"/>
          <w:kern w:val="0"/>
          <w:sz w:val="32"/>
          <w:szCs w:val="32"/>
          <w:shd w:val="clear" w:color="auto" w:fill="FFFFFF"/>
          <w:lang w:val="zh-CN"/>
        </w:rPr>
      </w:pPr>
      <w:r>
        <w:rPr>
          <w:rFonts w:hint="eastAsia" w:ascii="Times New Roman" w:hAnsi="Times New Roman" w:eastAsia="仿宋_GB2312" w:cs="Times New Roman"/>
          <w:kern w:val="0"/>
          <w:sz w:val="32"/>
          <w:szCs w:val="32"/>
          <w:shd w:val="clear" w:color="auto" w:fill="FFFFFF"/>
          <w:lang w:val="zh-CN" w:eastAsia="zh-CN" w:bidi="ar-SA"/>
        </w:rPr>
        <w:t>昔格达大道北段提升改造工程项目实施单位为盐边县红格国际运动康养·温泉度假区管理委员会，单位财务管理制度健全，工作开展中严格执行财务管理制度，账务处理及时，会计核算规范。</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78" w:lineRule="exact"/>
        <w:ind w:firstLine="643" w:firstLineChars="200"/>
        <w:rPr>
          <w:rFonts w:ascii="黑体" w:hAnsi="宋体" w:eastAsia="黑体"/>
          <w:b/>
          <w:bCs/>
          <w:sz w:val="32"/>
          <w:szCs w:val="32"/>
        </w:rPr>
      </w:pPr>
      <w:r>
        <w:rPr>
          <w:rFonts w:hint="eastAsia" w:ascii="楷体_GB2312" w:hAnsi="宋体" w:eastAsia="楷体_GB2312"/>
          <w:b/>
          <w:bCs/>
          <w:sz w:val="32"/>
          <w:szCs w:val="32"/>
          <w:lang w:val="zh-CN"/>
        </w:rPr>
        <w:t>（一）项目组织架构及实施流程。</w:t>
      </w:r>
    </w:p>
    <w:p>
      <w:pPr>
        <w:pStyle w:val="2"/>
        <w:spacing w:before="93"/>
        <w:rPr>
          <w:rFonts w:hint="default" w:ascii="Times New Roman" w:hAnsi="Times New Roman" w:eastAsia="仿宋_GB2312" w:cs="Times New Roman"/>
          <w:kern w:val="0"/>
          <w:sz w:val="32"/>
          <w:szCs w:val="32"/>
          <w:shd w:val="clear" w:color="auto" w:fill="FFFFFF"/>
          <w:lang w:val="en-US" w:eastAsia="zh-CN" w:bidi="ar-SA"/>
        </w:rPr>
      </w:pPr>
      <w:r>
        <w:rPr>
          <w:rFonts w:hint="eastAsia"/>
          <w:lang w:val="zh-CN"/>
        </w:rPr>
        <w:t xml:space="preserve">   </w:t>
      </w:r>
      <w:r>
        <w:rPr>
          <w:rFonts w:hint="eastAsia" w:ascii="Times New Roman" w:hAnsi="Times New Roman" w:eastAsia="仿宋_GB2312" w:cs="Times New Roman"/>
          <w:kern w:val="0"/>
          <w:sz w:val="32"/>
          <w:szCs w:val="32"/>
          <w:shd w:val="clear" w:color="auto" w:fill="FFFFFF"/>
          <w:lang w:val="zh-CN" w:eastAsia="zh-CN" w:bidi="ar-SA"/>
        </w:rPr>
        <w:t xml:space="preserve"> 该项目由盐边县红格国际运动康养·温泉度假区管理委员会负责该项工作的具体实施，均按需按时正常支付相关运行费用，</w:t>
      </w:r>
      <w:r>
        <w:rPr>
          <w:rFonts w:hint="eastAsia" w:ascii="Times New Roman" w:hAnsi="Times New Roman" w:eastAsia="仿宋_GB2312" w:cs="Times New Roman"/>
          <w:kern w:val="0"/>
          <w:sz w:val="32"/>
          <w:szCs w:val="32"/>
          <w:shd w:val="clear" w:color="auto" w:fill="FFFFFF"/>
          <w:lang w:val="en-US" w:eastAsia="zh-CN" w:bidi="ar-SA"/>
        </w:rPr>
        <w:t>保障工作有序推进。</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（二）项目管理情况。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本单位对该项目实行科学动态管理，以厉行节约、实事求是为原则，合理控制运行需求，并严格执行政府采购的相关规定。</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（三）项目监管情况。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项目支出均严格落实审批制，各个环节从财务审批到领导审签做到严格把关，同时自觉接受财政局及相关部门监督。</w:t>
      </w:r>
    </w:p>
    <w:p>
      <w:pPr>
        <w:adjustRightInd w:val="0"/>
        <w:snapToGrid w:val="0"/>
        <w:spacing w:line="578" w:lineRule="exact"/>
        <w:ind w:firstLine="640" w:firstLineChars="200"/>
        <w:rPr>
          <w:rFonts w:ascii="仿宋_GB2312" w:hAnsi="宋体"/>
          <w:sz w:val="32"/>
          <w:szCs w:val="32"/>
          <w:lang w:val="zh-CN"/>
        </w:rPr>
      </w:pPr>
      <w:r>
        <w:rPr>
          <w:rFonts w:hint="eastAsia" w:ascii="黑体" w:hAnsi="宋体" w:eastAsia="黑体"/>
          <w:sz w:val="32"/>
          <w:szCs w:val="32"/>
        </w:rPr>
        <w:t>四、项目绩效情况</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（一）项目完成情况。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昔格达大道北段提升改造工程项目完成质量高，资金结余</w:t>
      </w:r>
      <w:r>
        <w:rPr>
          <w:rFonts w:hint="eastAsia" w:ascii="Times New Roman" w:hAnsi="Times New Roman" w:eastAsia="仿宋_GB2312" w:cs="Times New Roman"/>
          <w:kern w:val="0"/>
          <w:sz w:val="32"/>
          <w:szCs w:val="32"/>
          <w:shd w:val="clear" w:color="auto" w:fill="FFFFFF"/>
          <w:lang w:val="en-US" w:eastAsia="zh-CN" w:bidi="ar-SA"/>
        </w:rPr>
        <w:t>30.1万元</w:t>
      </w:r>
      <w:r>
        <w:rPr>
          <w:rFonts w:hint="eastAsia" w:ascii="Times New Roman" w:hAnsi="Times New Roman" w:eastAsia="仿宋_GB2312" w:cs="Times New Roman"/>
          <w:kern w:val="0"/>
          <w:sz w:val="32"/>
          <w:szCs w:val="32"/>
          <w:shd w:val="clear" w:color="auto" w:fill="FFFFFF"/>
          <w:lang w:val="zh-CN" w:eastAsia="zh-CN" w:bidi="ar-SA"/>
        </w:rPr>
        <w:t>，全部上缴回财政局，项目资金使用中无违规情况发生。项目进度控制良好，成本控制较好，资金使用效率高。</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（二）项目效益情况。</w:t>
      </w:r>
    </w:p>
    <w:p>
      <w:pPr>
        <w:adjustRightInd w:val="0"/>
        <w:snapToGrid w:val="0"/>
        <w:spacing w:line="578" w:lineRule="exact"/>
        <w:ind w:firstLine="720"/>
        <w:rPr>
          <w:rFonts w:eastAsia="仿宋_GB2312"/>
          <w:kern w:val="0"/>
          <w:sz w:val="32"/>
          <w:szCs w:val="32"/>
          <w:shd w:val="clear" w:color="auto" w:fill="FFFFFF"/>
          <w:lang w:val="zh-CN"/>
        </w:rPr>
      </w:pPr>
      <w:r>
        <w:rPr>
          <w:rFonts w:hint="eastAsia" w:ascii="Times New Roman" w:hAnsi="Times New Roman" w:eastAsia="仿宋_GB2312" w:cs="Times New Roman"/>
          <w:kern w:val="0"/>
          <w:sz w:val="32"/>
          <w:szCs w:val="32"/>
          <w:shd w:val="clear" w:color="auto" w:fill="FFFFFF"/>
          <w:lang w:val="zh-CN" w:eastAsia="zh-CN" w:bidi="ar-SA"/>
        </w:rPr>
        <w:t>通过昔格达大道北段提升改造工程项目，有利于完善片区路网系统和红格片区快速路网骨架体系，改善区城交通环境，具备一定经济效益、社会效益、生态效益和可持续效益，提升了群众满意度。</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（一）评价结论。</w:t>
      </w:r>
    </w:p>
    <w:p>
      <w:pPr>
        <w:adjustRightInd w:val="0"/>
        <w:snapToGrid w:val="0"/>
        <w:spacing w:line="578" w:lineRule="exact"/>
        <w:ind w:firstLine="720"/>
        <w:rPr>
          <w:rFonts w:hint="eastAsia" w:eastAsia="仿宋_GB2312"/>
          <w:sz w:val="32"/>
          <w:szCs w:val="32"/>
          <w:lang w:eastAsia="zh-CN"/>
        </w:rPr>
      </w:pPr>
      <w:r>
        <w:rPr>
          <w:rFonts w:hint="eastAsia" w:ascii="Times New Roman" w:hAnsi="Times New Roman" w:eastAsia="仿宋_GB2312" w:cs="Times New Roman"/>
          <w:kern w:val="0"/>
          <w:sz w:val="32"/>
          <w:szCs w:val="32"/>
          <w:shd w:val="clear" w:color="auto" w:fill="FFFFFF"/>
          <w:lang w:val="zh-CN" w:eastAsia="zh-CN" w:bidi="ar-SA"/>
        </w:rPr>
        <w:t>昔格达大道北段提升改造工程项目绩效自评得分为9</w:t>
      </w:r>
      <w:r>
        <w:rPr>
          <w:rFonts w:hint="eastAsia" w:ascii="Times New Roman" w:hAnsi="Times New Roman" w:eastAsia="仿宋_GB2312" w:cs="Times New Roman"/>
          <w:kern w:val="0"/>
          <w:sz w:val="32"/>
          <w:szCs w:val="32"/>
          <w:shd w:val="clear" w:color="auto" w:fill="FFFFFF"/>
          <w:lang w:val="en-US" w:eastAsia="zh-CN" w:bidi="ar-SA"/>
        </w:rPr>
        <w:t>1</w:t>
      </w:r>
      <w:r>
        <w:rPr>
          <w:rFonts w:hint="eastAsia" w:ascii="Times New Roman" w:hAnsi="Times New Roman" w:eastAsia="仿宋_GB2312" w:cs="Times New Roman"/>
          <w:kern w:val="0"/>
          <w:sz w:val="32"/>
          <w:szCs w:val="32"/>
          <w:shd w:val="clear" w:color="auto" w:fill="FFFFFF"/>
          <w:lang w:val="zh-CN" w:eastAsia="zh-CN" w:bidi="ar-SA"/>
        </w:rPr>
        <w:t>分，评价结论良好。</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（二）存在的问题。</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val="zh-CN"/>
        </w:rPr>
        <w:t>无。</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（三）相关建议。</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无。</w:t>
      </w:r>
    </w:p>
    <w:p>
      <w:pPr>
        <w:pStyle w:val="2"/>
        <w:rPr>
          <w:rFonts w:hint="eastAsia" w:ascii="仿宋_GB2312" w:hAnsi="仿宋_GB2312" w:eastAsia="仿宋_GB2312" w:cs="仿宋_GB2312"/>
          <w:kern w:val="0"/>
          <w:sz w:val="32"/>
          <w:szCs w:val="32"/>
          <w:shd w:val="clear" w:color="auto" w:fill="FFFFFF"/>
          <w:lang w:val="zh-CN"/>
        </w:rPr>
      </w:pPr>
    </w:p>
    <w:p>
      <w:pPr>
        <w:pStyle w:val="2"/>
        <w:rPr>
          <w:rFonts w:hint="eastAsia" w:ascii="仿宋_GB2312" w:hAnsi="仿宋_GB2312" w:eastAsia="仿宋_GB2312" w:cs="仿宋_GB2312"/>
          <w:kern w:val="0"/>
          <w:sz w:val="32"/>
          <w:szCs w:val="32"/>
          <w:shd w:val="clear" w:color="auto" w:fill="FFFFFF"/>
          <w:lang w:val="zh-CN"/>
        </w:rPr>
      </w:pPr>
    </w:p>
    <w:p>
      <w:pPr>
        <w:pStyle w:val="2"/>
        <w:rPr>
          <w:rFonts w:hint="eastAsia" w:ascii="仿宋_GB2312" w:hAnsi="仿宋_GB2312" w:eastAsia="仿宋_GB2312" w:cs="仿宋_GB2312"/>
          <w:kern w:val="0"/>
          <w:sz w:val="32"/>
          <w:szCs w:val="32"/>
          <w:shd w:val="clear" w:color="auto" w:fill="FFFFFF"/>
          <w:lang w:val="zh-CN"/>
        </w:rPr>
      </w:pPr>
    </w:p>
    <w:p>
      <w:pPr>
        <w:pStyle w:val="2"/>
        <w:rPr>
          <w:rFonts w:hint="eastAsia" w:ascii="仿宋_GB2312" w:hAnsi="仿宋_GB2312" w:eastAsia="仿宋_GB2312" w:cs="仿宋_GB2312"/>
          <w:kern w:val="0"/>
          <w:sz w:val="32"/>
          <w:szCs w:val="32"/>
          <w:shd w:val="clear" w:color="auto" w:fill="FFFFFF"/>
          <w:lang w:val="zh-CN"/>
        </w:rPr>
      </w:pPr>
    </w:p>
    <w:p>
      <w:pPr>
        <w:pStyle w:val="36"/>
        <w:spacing w:line="578" w:lineRule="exact"/>
        <w:jc w:val="center"/>
        <w:rPr>
          <w:rFonts w:hint="eastAsia" w:ascii="方正小标宋简体" w:hAnsi="方正小标宋简体" w:eastAsia="方正小标宋简体" w:cs="方正小标宋简体"/>
          <w:color w:val="auto"/>
          <w:kern w:val="2"/>
          <w:sz w:val="32"/>
          <w:szCs w:val="32"/>
          <w:lang w:val="en-US" w:eastAsia="zh-CN"/>
        </w:rPr>
      </w:pPr>
      <w:r>
        <w:rPr>
          <w:rFonts w:hint="eastAsia" w:ascii="方正小标宋简体" w:hAnsi="方正小标宋简体" w:eastAsia="方正小标宋简体" w:cs="方正小标宋简体"/>
          <w:color w:val="auto"/>
          <w:kern w:val="2"/>
          <w:sz w:val="32"/>
          <w:szCs w:val="32"/>
          <w:lang w:val="en-US"/>
        </w:rPr>
        <w:t>专项预算红格度假区基础设施项目清算</w:t>
      </w:r>
      <w:r>
        <w:rPr>
          <w:rFonts w:hint="eastAsia" w:ascii="方正小标宋简体" w:hAnsi="方正小标宋简体" w:eastAsia="方正小标宋简体" w:cs="方正小标宋简体"/>
          <w:color w:val="auto"/>
          <w:kern w:val="2"/>
          <w:sz w:val="32"/>
          <w:szCs w:val="32"/>
          <w:lang w:val="en-US" w:eastAsia="zh-CN"/>
        </w:rPr>
        <w:t>项目</w:t>
      </w:r>
    </w:p>
    <w:p>
      <w:pPr>
        <w:pStyle w:val="36"/>
        <w:spacing w:line="578" w:lineRule="exact"/>
        <w:jc w:val="center"/>
        <w:rPr>
          <w:rFonts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绩效评价报告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（一）项目基本情况。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en-US" w:eastAsia="zh-CN" w:bidi="ar-SA"/>
        </w:rPr>
      </w:pPr>
      <w:r>
        <w:rPr>
          <w:rFonts w:hint="eastAsia" w:ascii="Times New Roman" w:hAnsi="Times New Roman" w:eastAsia="仿宋_GB2312" w:cs="Times New Roman"/>
          <w:kern w:val="0"/>
          <w:sz w:val="32"/>
          <w:szCs w:val="32"/>
          <w:shd w:val="clear" w:color="auto" w:fill="FFFFFF"/>
          <w:lang w:val="zh-CN" w:eastAsia="zh-CN" w:bidi="ar-SA"/>
        </w:rPr>
        <w:t>1．在</w:t>
      </w:r>
      <w:r>
        <w:rPr>
          <w:rFonts w:hint="eastAsia" w:ascii="Times New Roman" w:hAnsi="Times New Roman" w:eastAsia="仿宋_GB2312" w:cs="Times New Roman"/>
          <w:kern w:val="0"/>
          <w:sz w:val="32"/>
          <w:szCs w:val="32"/>
          <w:shd w:val="clear" w:color="auto" w:fill="FFFFFF"/>
          <w:lang w:val="en-US" w:eastAsia="zh-CN" w:bidi="ar-SA"/>
        </w:rPr>
        <w:t>红格度假区基础设施项目清算项目</w:t>
      </w:r>
      <w:r>
        <w:rPr>
          <w:rFonts w:hint="eastAsia" w:ascii="Times New Roman" w:hAnsi="Times New Roman" w:eastAsia="仿宋_GB2312" w:cs="Times New Roman"/>
          <w:kern w:val="0"/>
          <w:sz w:val="32"/>
          <w:szCs w:val="32"/>
          <w:shd w:val="clear" w:color="auto" w:fill="FFFFFF"/>
          <w:lang w:val="zh-CN" w:eastAsia="zh-CN" w:bidi="ar-SA"/>
        </w:rPr>
        <w:t>中，盐边县红格国际运动康养·温泉度假区管理委员会主要职能职责：统筹项目建设，做好项目建设总体规划、建设方案及协调管理工作等。</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2．项目立项、资金申报的依据：《红格度假区管委会关于解决</w:t>
      </w:r>
      <w:r>
        <w:rPr>
          <w:rFonts w:hint="eastAsia" w:ascii="Times New Roman" w:hAnsi="Times New Roman" w:eastAsia="仿宋_GB2312" w:cs="Times New Roman"/>
          <w:kern w:val="0"/>
          <w:sz w:val="32"/>
          <w:szCs w:val="32"/>
          <w:shd w:val="clear" w:color="auto" w:fill="FFFFFF"/>
          <w:lang w:val="en-US" w:eastAsia="zh-CN" w:bidi="ar-SA"/>
        </w:rPr>
        <w:t>红格度假区基础设施项目清算</w:t>
      </w:r>
      <w:r>
        <w:rPr>
          <w:rFonts w:hint="eastAsia" w:ascii="Times New Roman" w:hAnsi="Times New Roman" w:eastAsia="仿宋_GB2312" w:cs="Times New Roman"/>
          <w:kern w:val="0"/>
          <w:sz w:val="32"/>
          <w:szCs w:val="32"/>
          <w:shd w:val="clear" w:color="auto" w:fill="FFFFFF"/>
          <w:lang w:val="zh-CN" w:eastAsia="zh-CN" w:bidi="ar-SA"/>
        </w:rPr>
        <w:t>专项经费的请示》（红管委〔2023〕</w:t>
      </w:r>
      <w:r>
        <w:rPr>
          <w:rFonts w:hint="eastAsia" w:ascii="Times New Roman" w:hAnsi="Times New Roman" w:eastAsia="仿宋_GB2312" w:cs="Times New Roman"/>
          <w:kern w:val="0"/>
          <w:sz w:val="32"/>
          <w:szCs w:val="32"/>
          <w:shd w:val="clear" w:color="auto" w:fill="FFFFFF"/>
          <w:lang w:val="en-US" w:eastAsia="zh-CN" w:bidi="ar-SA"/>
        </w:rPr>
        <w:t>36</w:t>
      </w:r>
      <w:r>
        <w:rPr>
          <w:rFonts w:hint="eastAsia" w:ascii="Times New Roman" w:hAnsi="Times New Roman" w:eastAsia="仿宋_GB2312" w:cs="Times New Roman"/>
          <w:kern w:val="0"/>
          <w:sz w:val="32"/>
          <w:szCs w:val="32"/>
          <w:shd w:val="clear" w:color="auto" w:fill="FFFFFF"/>
          <w:lang w:val="zh-CN" w:eastAsia="zh-CN" w:bidi="ar-SA"/>
        </w:rPr>
        <w:t>号）。</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3．该项目资金专项用于</w:t>
      </w:r>
      <w:r>
        <w:rPr>
          <w:rFonts w:hint="eastAsia" w:ascii="Times New Roman" w:hAnsi="Times New Roman" w:eastAsia="仿宋_GB2312" w:cs="Times New Roman"/>
          <w:kern w:val="0"/>
          <w:sz w:val="32"/>
          <w:szCs w:val="32"/>
          <w:shd w:val="clear" w:color="auto" w:fill="FFFFFF"/>
          <w:lang w:val="en-US" w:eastAsia="zh-CN" w:bidi="ar-SA"/>
        </w:rPr>
        <w:t>红格度假区基础设施项目清算项目</w:t>
      </w:r>
      <w:r>
        <w:rPr>
          <w:rFonts w:hint="eastAsia" w:ascii="Times New Roman" w:hAnsi="Times New Roman" w:eastAsia="仿宋_GB2312" w:cs="Times New Roman"/>
          <w:kern w:val="0"/>
          <w:sz w:val="32"/>
          <w:szCs w:val="32"/>
          <w:shd w:val="clear" w:color="auto" w:fill="FFFFFF"/>
          <w:lang w:val="zh-CN" w:eastAsia="zh-CN" w:bidi="ar-SA"/>
        </w:rPr>
        <w:t>支出，通过财政统筹支付，专款专用。</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4．项目资金主要用于项目建设收尾、清算等，该项目主要目标是使红格度假区基础设施功能不断完善，社会效益和经济效益显著提升，历史遗留问题也得到妥善解决，有利于后续度假区开发建设。</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（二）项目绩效目标。</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1．项目主要内容。通过项目收尾清算，使红格度假区基础设施功能不断完善，社会效益和经济效益显著提升，历史遗留问题也得到妥善解决，有利于后续度假区开发建设。</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2．项目应实现的具体绩效目标。推动太阳湖公园建设工程、南部片区道路新建工程、金乌大道改造及S310道路改扩建工程收尾清算，推进红格度假区基础设施建设遗留问题处置。</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3．该项目申报内容与实际相符，申报目标合理可行。</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（三）项目自评步骤及方法。</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项目自评步骤主要有收集资料、识别指标、数据分析、结果评价四个步骤；主要采用内部评审的方法进行自评。</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（一）项目资金申报及批复情况。</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Times New Roman" w:hAnsi="Times New Roman" w:eastAsia="仿宋_GB2312" w:cs="Times New Roman"/>
          <w:kern w:val="0"/>
          <w:sz w:val="32"/>
          <w:szCs w:val="32"/>
          <w:shd w:val="clear" w:color="auto" w:fill="FFFFFF"/>
          <w:lang w:val="zh-CN" w:eastAsia="zh-CN" w:bidi="ar-SA"/>
        </w:rPr>
        <w:t>该项目严格按照资金申报有关要求撰写事前绩效评估表，获得批复后下达项目资金。</w:t>
      </w:r>
    </w:p>
    <w:p>
      <w:pPr>
        <w:adjustRightInd w:val="0"/>
        <w:snapToGrid w:val="0"/>
        <w:spacing w:line="578" w:lineRule="exact"/>
        <w:ind w:firstLine="720"/>
        <w:rPr>
          <w:rFonts w:ascii="仿宋_GB2312" w:hAnsi="宋体"/>
          <w:b/>
          <w:bCs/>
          <w:sz w:val="32"/>
          <w:szCs w:val="32"/>
          <w:lang w:val="zh-CN"/>
        </w:rPr>
      </w:pPr>
      <w:r>
        <w:rPr>
          <w:rFonts w:hint="eastAsia" w:ascii="楷体_GB2312" w:hAnsi="宋体" w:eastAsia="楷体_GB2312"/>
          <w:b/>
          <w:bCs/>
          <w:sz w:val="32"/>
          <w:szCs w:val="32"/>
          <w:lang w:val="zh-CN"/>
        </w:rPr>
        <w:t>（二）资金计划、到位及使用情况。</w:t>
      </w:r>
    </w:p>
    <w:p>
      <w:pPr>
        <w:widowControl/>
        <w:adjustRightInd w:val="0"/>
        <w:snapToGrid w:val="0"/>
        <w:spacing w:line="578"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1．资金计划。该项目资金计划为</w:t>
      </w:r>
      <w:r>
        <w:rPr>
          <w:rFonts w:hint="eastAsia" w:ascii="Times New Roman" w:hAnsi="Times New Roman" w:eastAsia="仿宋_GB2312" w:cs="Times New Roman"/>
          <w:kern w:val="0"/>
          <w:sz w:val="32"/>
          <w:szCs w:val="32"/>
          <w:shd w:val="clear" w:color="auto" w:fill="FFFFFF"/>
          <w:lang w:val="en-US" w:eastAsia="zh-CN" w:bidi="ar-SA"/>
        </w:rPr>
        <w:t>300</w:t>
      </w:r>
      <w:r>
        <w:rPr>
          <w:rFonts w:hint="eastAsia" w:ascii="Times New Roman" w:hAnsi="Times New Roman" w:eastAsia="仿宋_GB2312" w:cs="Times New Roman"/>
          <w:kern w:val="0"/>
          <w:sz w:val="32"/>
          <w:szCs w:val="32"/>
          <w:shd w:val="clear" w:color="auto" w:fill="FFFFFF"/>
          <w:lang w:val="zh-CN" w:eastAsia="zh-CN" w:bidi="ar-SA"/>
        </w:rPr>
        <w:t>万元，全部为县财政资金。</w:t>
      </w:r>
    </w:p>
    <w:p>
      <w:pPr>
        <w:widowControl/>
        <w:adjustRightInd w:val="0"/>
        <w:snapToGrid w:val="0"/>
        <w:spacing w:line="578"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2．资金到位。截止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项目资金到位</w:t>
      </w:r>
      <w:r>
        <w:rPr>
          <w:rFonts w:hint="eastAsia" w:ascii="Times New Roman" w:hAnsi="Times New Roman" w:eastAsia="仿宋_GB2312" w:cs="Times New Roman"/>
          <w:kern w:val="0"/>
          <w:sz w:val="32"/>
          <w:szCs w:val="32"/>
          <w:shd w:val="clear" w:color="auto" w:fill="FFFFFF"/>
          <w:lang w:val="en-US" w:eastAsia="zh-CN" w:bidi="ar-SA"/>
        </w:rPr>
        <w:t>300万元，全部来源于县财政资金，</w:t>
      </w:r>
      <w:r>
        <w:rPr>
          <w:rFonts w:hint="eastAsia" w:ascii="Times New Roman" w:hAnsi="Times New Roman" w:eastAsia="仿宋_GB2312" w:cs="Times New Roman"/>
          <w:kern w:val="0"/>
          <w:sz w:val="32"/>
          <w:szCs w:val="32"/>
          <w:shd w:val="clear" w:color="auto" w:fill="FFFFFF"/>
          <w:lang w:val="zh-CN" w:eastAsia="zh-CN" w:bidi="ar-SA"/>
        </w:rPr>
        <w:t>资金到位率</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，到位及时。</w:t>
      </w:r>
    </w:p>
    <w:p>
      <w:pPr>
        <w:widowControl/>
        <w:adjustRightInd w:val="0"/>
        <w:snapToGrid w:val="0"/>
        <w:spacing w:line="578"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3．资金使用。截止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项目支出</w:t>
      </w:r>
      <w:r>
        <w:rPr>
          <w:rFonts w:hint="eastAsia" w:ascii="Times New Roman" w:hAnsi="Times New Roman" w:eastAsia="仿宋_GB2312" w:cs="Times New Roman"/>
          <w:kern w:val="0"/>
          <w:sz w:val="32"/>
          <w:szCs w:val="32"/>
          <w:shd w:val="clear" w:color="auto" w:fill="FFFFFF"/>
          <w:lang w:val="en-US" w:eastAsia="zh-CN" w:bidi="ar-SA"/>
        </w:rPr>
        <w:t>300</w:t>
      </w:r>
      <w:r>
        <w:rPr>
          <w:rFonts w:hint="eastAsia" w:ascii="Times New Roman" w:hAnsi="Times New Roman" w:eastAsia="仿宋_GB2312" w:cs="Times New Roman"/>
          <w:kern w:val="0"/>
          <w:sz w:val="32"/>
          <w:szCs w:val="32"/>
          <w:shd w:val="clear" w:color="auto" w:fill="FFFFFF"/>
          <w:lang w:val="zh-CN" w:eastAsia="zh-CN" w:bidi="ar-SA"/>
        </w:rPr>
        <w:t>万元，均用于</w:t>
      </w:r>
      <w:r>
        <w:rPr>
          <w:rFonts w:hint="eastAsia" w:ascii="Times New Roman" w:hAnsi="Times New Roman" w:eastAsia="仿宋_GB2312" w:cs="Times New Roman"/>
          <w:kern w:val="0"/>
          <w:sz w:val="32"/>
          <w:szCs w:val="32"/>
          <w:shd w:val="clear" w:color="auto" w:fill="FFFFFF"/>
          <w:lang w:val="en-US" w:eastAsia="zh-CN" w:bidi="ar-SA"/>
        </w:rPr>
        <w:t>红格度假区基础设施项目清算项目</w:t>
      </w:r>
      <w:r>
        <w:rPr>
          <w:rFonts w:hint="eastAsia" w:ascii="Times New Roman" w:hAnsi="Times New Roman" w:eastAsia="仿宋_GB2312" w:cs="Times New Roman"/>
          <w:kern w:val="0"/>
          <w:sz w:val="32"/>
          <w:szCs w:val="32"/>
          <w:shd w:val="clear" w:color="auto" w:fill="FFFFFF"/>
          <w:lang w:val="zh-CN" w:eastAsia="zh-CN" w:bidi="ar-SA"/>
        </w:rPr>
        <w:t>支出，主要涉及当前已具备收尾清算条件的项目支出等。该笔资金使用中严格按照会计相关准则进行支付和报销，支付票据、原始凭证完整。</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（三）项目财务管理情况。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en-US" w:eastAsia="zh-CN" w:bidi="ar-SA"/>
        </w:rPr>
        <w:t>红格度假区基础设施项目清算项目</w:t>
      </w:r>
      <w:r>
        <w:rPr>
          <w:rFonts w:hint="eastAsia" w:ascii="Times New Roman" w:hAnsi="Times New Roman" w:eastAsia="仿宋_GB2312" w:cs="Times New Roman"/>
          <w:kern w:val="0"/>
          <w:sz w:val="32"/>
          <w:szCs w:val="32"/>
          <w:shd w:val="clear" w:color="auto" w:fill="FFFFFF"/>
          <w:lang w:val="zh-CN" w:eastAsia="zh-CN" w:bidi="ar-SA"/>
        </w:rPr>
        <w:t>实施单位为盐边县红格国际运动康养·温泉度假区管理委员会，单位财务管理制度健全，工作开展中严格执行财务管理制度，账务处理及时，会计核算规范。</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78" w:lineRule="exact"/>
        <w:ind w:firstLine="643" w:firstLineChars="200"/>
        <w:rPr>
          <w:rFonts w:ascii="黑体" w:hAnsi="宋体" w:eastAsia="黑体"/>
          <w:b/>
          <w:bCs/>
          <w:sz w:val="32"/>
          <w:szCs w:val="32"/>
        </w:rPr>
      </w:pPr>
      <w:r>
        <w:rPr>
          <w:rFonts w:hint="eastAsia" w:ascii="楷体_GB2312" w:hAnsi="宋体" w:eastAsia="楷体_GB2312"/>
          <w:b/>
          <w:bCs/>
          <w:sz w:val="32"/>
          <w:szCs w:val="32"/>
          <w:lang w:val="zh-CN"/>
        </w:rPr>
        <w:t>（一）项目组织架构及实施流程。</w:t>
      </w:r>
    </w:p>
    <w:p>
      <w:pPr>
        <w:pStyle w:val="2"/>
        <w:spacing w:before="93"/>
        <w:rPr>
          <w:rFonts w:hint="default" w:ascii="Times New Roman" w:hAnsi="Times New Roman" w:eastAsia="仿宋_GB2312" w:cs="Times New Roman"/>
          <w:kern w:val="0"/>
          <w:sz w:val="32"/>
          <w:szCs w:val="32"/>
          <w:shd w:val="clear" w:color="auto" w:fill="FFFFFF"/>
          <w:lang w:val="en-US" w:eastAsia="zh-CN" w:bidi="ar-SA"/>
        </w:rPr>
      </w:pPr>
      <w:r>
        <w:rPr>
          <w:rFonts w:hint="eastAsia"/>
          <w:lang w:val="zh-CN"/>
        </w:rPr>
        <w:t xml:space="preserve">   </w:t>
      </w:r>
      <w:r>
        <w:rPr>
          <w:rFonts w:hint="eastAsia" w:ascii="Times New Roman" w:hAnsi="Times New Roman" w:eastAsia="仿宋_GB2312" w:cs="Times New Roman"/>
          <w:kern w:val="0"/>
          <w:sz w:val="32"/>
          <w:szCs w:val="32"/>
          <w:shd w:val="clear" w:color="auto" w:fill="FFFFFF"/>
          <w:lang w:val="zh-CN" w:eastAsia="zh-CN" w:bidi="ar-SA"/>
        </w:rPr>
        <w:t xml:space="preserve"> 该项目由盐边县红格国际运动康养·温泉度假区管理委员会负责该项工作的具体实施，均按需按时正常支付相关运行费用，</w:t>
      </w:r>
      <w:r>
        <w:rPr>
          <w:rFonts w:hint="eastAsia" w:ascii="Times New Roman" w:hAnsi="Times New Roman" w:eastAsia="仿宋_GB2312" w:cs="Times New Roman"/>
          <w:kern w:val="0"/>
          <w:sz w:val="32"/>
          <w:szCs w:val="32"/>
          <w:shd w:val="clear" w:color="auto" w:fill="FFFFFF"/>
          <w:lang w:val="en-US" w:eastAsia="zh-CN" w:bidi="ar-SA"/>
        </w:rPr>
        <w:t>保障工作有序推进。</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（二）项目管理情况。</w:t>
      </w:r>
    </w:p>
    <w:p>
      <w:pPr>
        <w:adjustRightInd w:val="0"/>
        <w:snapToGrid w:val="0"/>
        <w:spacing w:line="578" w:lineRule="exact"/>
        <w:ind w:firstLine="720"/>
        <w:rPr>
          <w:rFonts w:eastAsia="仿宋_GB2312"/>
          <w:kern w:val="0"/>
          <w:sz w:val="32"/>
          <w:szCs w:val="32"/>
          <w:shd w:val="clear" w:color="auto" w:fill="FFFFFF"/>
        </w:rPr>
      </w:pPr>
      <w:r>
        <w:rPr>
          <w:rFonts w:hint="eastAsia" w:ascii="Times New Roman" w:hAnsi="Times New Roman" w:eastAsia="仿宋_GB2312" w:cs="Times New Roman"/>
          <w:kern w:val="0"/>
          <w:sz w:val="32"/>
          <w:szCs w:val="32"/>
          <w:shd w:val="clear" w:color="auto" w:fill="FFFFFF"/>
          <w:lang w:val="zh-CN" w:eastAsia="zh-CN" w:bidi="ar-SA"/>
        </w:rPr>
        <w:t>本单位对该项目实行科学动态管理，以厉行节约、实事求是为原则，合理控制运行需求，并严格执行政府采购的相关规定。</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（三）项目监管情况。</w:t>
      </w:r>
    </w:p>
    <w:p>
      <w:pPr>
        <w:adjustRightInd w:val="0"/>
        <w:snapToGrid w:val="0"/>
        <w:spacing w:line="578" w:lineRule="exact"/>
        <w:ind w:firstLine="720"/>
        <w:rPr>
          <w:rFonts w:eastAsia="仿宋_GB2312"/>
          <w:sz w:val="32"/>
          <w:szCs w:val="32"/>
        </w:rPr>
      </w:pPr>
      <w:r>
        <w:rPr>
          <w:rFonts w:hint="eastAsia" w:ascii="Times New Roman" w:hAnsi="Times New Roman" w:eastAsia="仿宋_GB2312" w:cs="Times New Roman"/>
          <w:kern w:val="0"/>
          <w:sz w:val="32"/>
          <w:szCs w:val="32"/>
          <w:shd w:val="clear" w:color="auto" w:fill="FFFFFF"/>
          <w:lang w:val="zh-CN" w:eastAsia="zh-CN" w:bidi="ar-SA"/>
        </w:rPr>
        <w:t>项目支出均严格落实审批制，各个环节从财务审批到领导审签做到严格把关，同时自觉接受财政局及相关部门监督。</w:t>
      </w:r>
    </w:p>
    <w:p>
      <w:pPr>
        <w:adjustRightInd w:val="0"/>
        <w:snapToGrid w:val="0"/>
        <w:spacing w:line="578" w:lineRule="exact"/>
        <w:ind w:firstLine="640" w:firstLineChars="200"/>
        <w:rPr>
          <w:rFonts w:ascii="仿宋_GB2312" w:hAnsi="宋体"/>
          <w:sz w:val="32"/>
          <w:szCs w:val="32"/>
          <w:lang w:val="zh-CN"/>
        </w:rPr>
      </w:pPr>
      <w:r>
        <w:rPr>
          <w:rFonts w:hint="eastAsia" w:ascii="黑体" w:hAnsi="宋体" w:eastAsia="黑体"/>
          <w:sz w:val="32"/>
          <w:szCs w:val="32"/>
        </w:rPr>
        <w:t>四、项目绩效情况</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（一）项目完成情况。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en-US" w:eastAsia="zh-CN" w:bidi="ar-SA"/>
        </w:rPr>
        <w:t>红格度假区基础设施项目清算项目</w:t>
      </w:r>
      <w:r>
        <w:rPr>
          <w:rFonts w:hint="eastAsia" w:ascii="Times New Roman" w:hAnsi="Times New Roman" w:eastAsia="仿宋_GB2312" w:cs="Times New Roman"/>
          <w:kern w:val="0"/>
          <w:sz w:val="32"/>
          <w:szCs w:val="32"/>
          <w:shd w:val="clear" w:color="auto" w:fill="FFFFFF"/>
          <w:lang w:val="zh-CN" w:eastAsia="zh-CN" w:bidi="ar-SA"/>
        </w:rPr>
        <w:t>完成质量高，无资金结余，项目资金使用中无违规情况发生。项目进度控制良好，成本控制较好，资金使用效率高。</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（二）项目效益情况。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通过</w:t>
      </w:r>
      <w:r>
        <w:rPr>
          <w:rFonts w:hint="eastAsia" w:ascii="Times New Roman" w:hAnsi="Times New Roman" w:eastAsia="仿宋_GB2312" w:cs="Times New Roman"/>
          <w:kern w:val="0"/>
          <w:sz w:val="32"/>
          <w:szCs w:val="32"/>
          <w:shd w:val="clear" w:color="auto" w:fill="FFFFFF"/>
          <w:lang w:val="en-US" w:eastAsia="zh-CN" w:bidi="ar-SA"/>
        </w:rPr>
        <w:t>红格度假区基础设施项目清算项目，有利于推进红格度假区基础设施的完善，</w:t>
      </w:r>
      <w:r>
        <w:rPr>
          <w:rFonts w:hint="eastAsia" w:ascii="Times New Roman" w:hAnsi="Times New Roman" w:eastAsia="仿宋_GB2312" w:cs="Times New Roman"/>
          <w:kern w:val="0"/>
          <w:sz w:val="32"/>
          <w:szCs w:val="32"/>
          <w:shd w:val="clear" w:color="auto" w:fill="FFFFFF"/>
          <w:lang w:val="zh-CN" w:eastAsia="zh-CN" w:bidi="ar-SA"/>
        </w:rPr>
        <w:t>具备一定经济效益、社会效益、生态效益和可持续效益，</w:t>
      </w:r>
      <w:r>
        <w:rPr>
          <w:rFonts w:hint="eastAsia" w:ascii="Times New Roman" w:hAnsi="Times New Roman" w:eastAsia="仿宋_GB2312" w:cs="Times New Roman"/>
          <w:kern w:val="0"/>
          <w:sz w:val="32"/>
          <w:szCs w:val="32"/>
          <w:shd w:val="clear" w:color="auto" w:fill="FFFFFF"/>
          <w:lang w:val="en-US" w:eastAsia="zh-CN" w:bidi="ar-SA"/>
        </w:rPr>
        <w:t>群众</w:t>
      </w:r>
      <w:r>
        <w:rPr>
          <w:rFonts w:hint="eastAsia" w:ascii="Times New Roman" w:hAnsi="Times New Roman" w:eastAsia="仿宋_GB2312" w:cs="Times New Roman"/>
          <w:kern w:val="0"/>
          <w:sz w:val="32"/>
          <w:szCs w:val="32"/>
          <w:shd w:val="clear" w:color="auto" w:fill="FFFFFF"/>
          <w:lang w:val="zh-CN" w:eastAsia="zh-CN" w:bidi="ar-SA"/>
        </w:rPr>
        <w:t>满意度</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（一）评价结论。</w:t>
      </w:r>
    </w:p>
    <w:p>
      <w:pPr>
        <w:adjustRightInd w:val="0"/>
        <w:snapToGrid w:val="0"/>
        <w:spacing w:line="578" w:lineRule="exact"/>
        <w:ind w:firstLine="720"/>
        <w:rPr>
          <w:rFonts w:hint="eastAsia" w:eastAsia="仿宋_GB2312"/>
          <w:sz w:val="32"/>
          <w:szCs w:val="32"/>
          <w:lang w:eastAsia="zh-CN"/>
        </w:rPr>
      </w:pPr>
      <w:r>
        <w:rPr>
          <w:rFonts w:hint="eastAsia" w:ascii="Times New Roman" w:hAnsi="Times New Roman" w:eastAsia="仿宋_GB2312" w:cs="Times New Roman"/>
          <w:kern w:val="0"/>
          <w:sz w:val="32"/>
          <w:szCs w:val="32"/>
          <w:shd w:val="clear" w:color="auto" w:fill="FFFFFF"/>
          <w:lang w:val="en-US"/>
        </w:rPr>
        <w:t>红格度假区基础设施项目</w:t>
      </w:r>
      <w:r>
        <w:rPr>
          <w:rFonts w:hint="eastAsia" w:ascii="Times New Roman" w:hAnsi="Times New Roman" w:eastAsia="仿宋_GB2312" w:cs="Times New Roman"/>
          <w:kern w:val="0"/>
          <w:sz w:val="32"/>
          <w:szCs w:val="32"/>
          <w:shd w:val="clear" w:color="auto" w:fill="FFFFFF"/>
          <w:lang w:val="en-US" w:eastAsia="zh-CN"/>
        </w:rPr>
        <w:t>清算项目</w:t>
      </w:r>
      <w:r>
        <w:rPr>
          <w:rFonts w:eastAsia="仿宋_GB2312"/>
          <w:sz w:val="32"/>
          <w:szCs w:val="32"/>
        </w:rPr>
        <w:t>绩效自评得分为9</w:t>
      </w:r>
      <w:r>
        <w:rPr>
          <w:rFonts w:hint="eastAsia" w:eastAsia="仿宋_GB2312"/>
          <w:sz w:val="32"/>
          <w:szCs w:val="32"/>
          <w:lang w:val="en-US" w:eastAsia="zh-CN"/>
        </w:rPr>
        <w:t>3</w:t>
      </w:r>
      <w:r>
        <w:rPr>
          <w:rFonts w:eastAsia="仿宋_GB2312"/>
          <w:sz w:val="32"/>
          <w:szCs w:val="32"/>
        </w:rPr>
        <w:t>分</w:t>
      </w:r>
      <w:r>
        <w:rPr>
          <w:rFonts w:hint="eastAsia" w:eastAsia="仿宋_GB2312"/>
          <w:sz w:val="32"/>
          <w:szCs w:val="32"/>
          <w:lang w:eastAsia="zh-CN"/>
        </w:rPr>
        <w:t>，评价结论良好。</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（二）存在的问题。</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val="zh-CN"/>
        </w:rPr>
        <w:t>无。</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（三）相关建议。</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无。</w:t>
      </w:r>
    </w:p>
    <w:p>
      <w:pPr>
        <w:spacing w:line="580" w:lineRule="exact"/>
        <w:rPr>
          <w:rStyle w:val="30"/>
          <w:rFonts w:ascii="黑体" w:hAnsi="黑体" w:eastAsia="黑体"/>
          <w:b w:val="0"/>
        </w:rPr>
        <w:sectPr>
          <w:footerReference r:id="rId11" w:type="default"/>
          <w:pgSz w:w="11906" w:h="16838"/>
          <w:pgMar w:top="1440" w:right="1800" w:bottom="1440" w:left="1800" w:header="851" w:footer="992" w:gutter="0"/>
          <w:pgNumType w:fmt="decimal" w:start="1"/>
          <w:cols w:space="425" w:num="1"/>
          <w:docGrid w:type="lines" w:linePitch="312" w:charSpace="0"/>
        </w:sectPr>
      </w:pPr>
    </w:p>
    <w:p>
      <w:pPr>
        <w:pStyle w:val="36"/>
        <w:spacing w:line="578" w:lineRule="exact"/>
        <w:jc w:val="center"/>
        <w:rPr>
          <w:rFonts w:hint="eastAsia"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专项预算红格度假区环保整改项目</w:t>
      </w:r>
    </w:p>
    <w:p>
      <w:pPr>
        <w:pStyle w:val="36"/>
        <w:spacing w:line="578" w:lineRule="exact"/>
        <w:jc w:val="center"/>
        <w:rPr>
          <w:rFonts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绩效评价报告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（一）项目基本情况。</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1．在红格度假区环保整改</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中，盐边县红格国际运动康养·温泉度假区管理委员会主要职能职责：做好环保整改期间各工作组调查、会议召开等后勤保障，环保整改围挡制作安装，卫生清洁等工作。</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2．项目立项、资金申报的依据：《红格度假区管委会关于解决红格度假区环保整改专项经费的请示》（红管委〔2023〕</w:t>
      </w:r>
      <w:r>
        <w:rPr>
          <w:rFonts w:hint="eastAsia" w:ascii="Times New Roman" w:hAnsi="Times New Roman" w:eastAsia="仿宋_GB2312" w:cs="Times New Roman"/>
          <w:kern w:val="0"/>
          <w:sz w:val="32"/>
          <w:szCs w:val="32"/>
          <w:shd w:val="clear" w:color="auto" w:fill="FFFFFF"/>
          <w:lang w:val="en-US" w:eastAsia="zh-CN" w:bidi="ar-SA"/>
        </w:rPr>
        <w:t>21</w:t>
      </w:r>
      <w:r>
        <w:rPr>
          <w:rFonts w:hint="eastAsia" w:ascii="Times New Roman" w:hAnsi="Times New Roman" w:eastAsia="仿宋_GB2312" w:cs="Times New Roman"/>
          <w:kern w:val="0"/>
          <w:sz w:val="32"/>
          <w:szCs w:val="32"/>
          <w:shd w:val="clear" w:color="auto" w:fill="FFFFFF"/>
          <w:lang w:val="zh-CN" w:eastAsia="zh-CN" w:bidi="ar-SA"/>
        </w:rPr>
        <w:t>号）。</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3．该项目资金专项用于红格度假区环保整改</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支出，通过财政统筹支付，专款专用。</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4．项目资金主要用于环保整改费等，该项目主要目标是认真贯彻落实国家、省、市关于环保工作系列文件精神和相关要求，做好红格度假区环保整改工作。</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（二）项目绩效目标。</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1．项目主要内容。按照相关要求，切实做好环保整改期间各工作组调查、会议召开等后勤保障，环保整改围挡制作安装，卫生清洁等工作。</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应实现的具体绩效目标。为认真贯彻落实国家、省、市关于环保工作系列文件精神和相关要求，做好红格度假区环保整改工作，经红格温泉运动康养产业高质量发展指挥部研究，由红格度假区管委会负责做好环保整改期间各工作组调查、会议召开等后勤保障，环保整改围挡制作安装，卫生清洁等工作。</w:t>
      </w:r>
    </w:p>
    <w:p>
      <w:pPr>
        <w:adjustRightInd w:val="0"/>
        <w:snapToGrid w:val="0"/>
        <w:spacing w:line="578" w:lineRule="exact"/>
        <w:ind w:firstLine="720"/>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3．该项目申报内容与实际相符，申报目标合理可行。</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（三）项目自评步骤及方法。</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Times New Roman" w:hAnsi="Times New Roman" w:eastAsia="仿宋_GB2312" w:cs="Times New Roman"/>
          <w:kern w:val="0"/>
          <w:sz w:val="32"/>
          <w:szCs w:val="32"/>
          <w:shd w:val="clear" w:color="auto" w:fill="FFFFFF"/>
          <w:lang w:val="zh-CN" w:eastAsia="zh-CN" w:bidi="ar-SA"/>
        </w:rPr>
        <w:t>项目自评步骤主要有收集资料、识别指标、数据分析、结果评价四个步骤；主要采用内部评审的方法进行自评。</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（一）项目资金申报及批复情况。</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Times New Roman" w:hAnsi="Times New Roman" w:eastAsia="仿宋_GB2312" w:cs="Times New Roman"/>
          <w:kern w:val="0"/>
          <w:sz w:val="32"/>
          <w:szCs w:val="32"/>
          <w:shd w:val="clear" w:color="auto" w:fill="FFFFFF"/>
          <w:lang w:val="zh-CN" w:eastAsia="zh-CN" w:bidi="ar-SA"/>
        </w:rPr>
        <w:t>该项目严格按照资金申报有关要求撰写事前绩效评估表，获得批复后下达项目资金。</w:t>
      </w:r>
    </w:p>
    <w:p>
      <w:pPr>
        <w:adjustRightInd w:val="0"/>
        <w:snapToGrid w:val="0"/>
        <w:spacing w:line="578" w:lineRule="exact"/>
        <w:ind w:firstLine="720"/>
        <w:rPr>
          <w:rFonts w:ascii="仿宋_GB2312" w:hAnsi="宋体"/>
          <w:b/>
          <w:bCs/>
          <w:sz w:val="32"/>
          <w:szCs w:val="32"/>
          <w:lang w:val="zh-CN"/>
        </w:rPr>
      </w:pPr>
      <w:r>
        <w:rPr>
          <w:rFonts w:hint="eastAsia" w:ascii="楷体_GB2312" w:hAnsi="宋体" w:eastAsia="楷体_GB2312"/>
          <w:b/>
          <w:bCs/>
          <w:sz w:val="32"/>
          <w:szCs w:val="32"/>
          <w:lang w:val="zh-CN"/>
        </w:rPr>
        <w:t>（二）资金计划、到位及使用情况。</w:t>
      </w:r>
    </w:p>
    <w:p>
      <w:pPr>
        <w:widowControl/>
        <w:adjustRightInd w:val="0"/>
        <w:snapToGrid w:val="0"/>
        <w:spacing w:line="578"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1．资金计划。该项目资金计划为</w:t>
      </w:r>
      <w:r>
        <w:rPr>
          <w:rFonts w:hint="eastAsia" w:ascii="Times New Roman" w:hAnsi="Times New Roman" w:eastAsia="仿宋_GB2312" w:cs="Times New Roman"/>
          <w:kern w:val="0"/>
          <w:sz w:val="32"/>
          <w:szCs w:val="32"/>
          <w:shd w:val="clear" w:color="auto" w:fill="FFFFFF"/>
          <w:lang w:val="en-US" w:eastAsia="zh-CN" w:bidi="ar-SA"/>
        </w:rPr>
        <w:t>5.46</w:t>
      </w:r>
      <w:r>
        <w:rPr>
          <w:rFonts w:hint="eastAsia" w:ascii="Times New Roman" w:hAnsi="Times New Roman" w:eastAsia="仿宋_GB2312" w:cs="Times New Roman"/>
          <w:kern w:val="0"/>
          <w:sz w:val="32"/>
          <w:szCs w:val="32"/>
          <w:shd w:val="clear" w:color="auto" w:fill="FFFFFF"/>
          <w:lang w:val="zh-CN" w:eastAsia="zh-CN" w:bidi="ar-SA"/>
        </w:rPr>
        <w:t>万元，全部为县财政资金。</w:t>
      </w:r>
    </w:p>
    <w:p>
      <w:pPr>
        <w:widowControl/>
        <w:adjustRightInd w:val="0"/>
        <w:snapToGrid w:val="0"/>
        <w:spacing w:line="578"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2．资金到位。截止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项目资金到位</w:t>
      </w:r>
      <w:r>
        <w:rPr>
          <w:rFonts w:hint="eastAsia" w:ascii="Times New Roman" w:hAnsi="Times New Roman" w:eastAsia="仿宋_GB2312" w:cs="Times New Roman"/>
          <w:kern w:val="0"/>
          <w:sz w:val="32"/>
          <w:szCs w:val="32"/>
          <w:shd w:val="clear" w:color="auto" w:fill="FFFFFF"/>
          <w:lang w:val="en-US" w:eastAsia="zh-CN" w:bidi="ar-SA"/>
        </w:rPr>
        <w:t>5.46万元，全部来源于县财政资金，</w:t>
      </w:r>
      <w:r>
        <w:rPr>
          <w:rFonts w:hint="eastAsia" w:ascii="Times New Roman" w:hAnsi="Times New Roman" w:eastAsia="仿宋_GB2312" w:cs="Times New Roman"/>
          <w:kern w:val="0"/>
          <w:sz w:val="32"/>
          <w:szCs w:val="32"/>
          <w:shd w:val="clear" w:color="auto" w:fill="FFFFFF"/>
          <w:lang w:val="zh-CN" w:eastAsia="zh-CN" w:bidi="ar-SA"/>
        </w:rPr>
        <w:t>资金到位率</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，到位及时。</w:t>
      </w:r>
    </w:p>
    <w:p>
      <w:pPr>
        <w:widowControl/>
        <w:adjustRightInd w:val="0"/>
        <w:snapToGrid w:val="0"/>
        <w:spacing w:line="578"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3．资金使用。截止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项目支出</w:t>
      </w:r>
      <w:r>
        <w:rPr>
          <w:rFonts w:hint="eastAsia" w:ascii="Times New Roman" w:hAnsi="Times New Roman" w:eastAsia="仿宋_GB2312" w:cs="Times New Roman"/>
          <w:kern w:val="0"/>
          <w:sz w:val="32"/>
          <w:szCs w:val="32"/>
          <w:shd w:val="clear" w:color="auto" w:fill="FFFFFF"/>
          <w:lang w:val="en-US" w:eastAsia="zh-CN" w:bidi="ar-SA"/>
        </w:rPr>
        <w:t>5.46</w:t>
      </w:r>
      <w:r>
        <w:rPr>
          <w:rFonts w:hint="eastAsia" w:ascii="Times New Roman" w:hAnsi="Times New Roman" w:eastAsia="仿宋_GB2312" w:cs="Times New Roman"/>
          <w:kern w:val="0"/>
          <w:sz w:val="32"/>
          <w:szCs w:val="32"/>
          <w:shd w:val="clear" w:color="auto" w:fill="FFFFFF"/>
          <w:lang w:val="zh-CN" w:eastAsia="zh-CN" w:bidi="ar-SA"/>
        </w:rPr>
        <w:t>万元，均用于红格度假区环保整改</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支出，主要涉及环保整改围挡制作安装费、卫生清洁费等。该笔资金使用中严格按照会计相关准则进行支付和报销，支付票据、原始凭证完整。</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（三）项目财务管理情况。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eastAsia="仿宋_GB2312"/>
          <w:kern w:val="0"/>
          <w:sz w:val="32"/>
          <w:szCs w:val="32"/>
          <w:shd w:val="clear" w:color="auto" w:fill="FFFFFF"/>
          <w:lang w:val="zh-CN"/>
        </w:rPr>
      </w:pPr>
      <w:r>
        <w:rPr>
          <w:rFonts w:hint="eastAsia" w:ascii="Times New Roman" w:hAnsi="Times New Roman" w:eastAsia="仿宋_GB2312" w:cs="Times New Roman"/>
          <w:kern w:val="0"/>
          <w:sz w:val="32"/>
          <w:szCs w:val="32"/>
          <w:shd w:val="clear" w:color="auto" w:fill="FFFFFF"/>
          <w:lang w:val="zh-CN" w:eastAsia="zh-CN" w:bidi="ar-SA"/>
        </w:rPr>
        <w:t>红格度假区环保整改</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实施单位为盐边县红格国际运动康养·温泉度假区管理委员会，单位财务管理制度健全，工作开展中严格执行财务管理制度，账务处理及时，会计核算规范。</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78" w:lineRule="exact"/>
        <w:ind w:firstLine="643" w:firstLineChars="200"/>
        <w:rPr>
          <w:rFonts w:ascii="黑体" w:hAnsi="宋体" w:eastAsia="黑体"/>
          <w:b/>
          <w:bCs/>
          <w:sz w:val="32"/>
          <w:szCs w:val="32"/>
        </w:rPr>
      </w:pPr>
      <w:r>
        <w:rPr>
          <w:rFonts w:hint="eastAsia" w:ascii="楷体_GB2312" w:hAnsi="宋体" w:eastAsia="楷体_GB2312"/>
          <w:b/>
          <w:bCs/>
          <w:sz w:val="32"/>
          <w:szCs w:val="32"/>
          <w:lang w:val="zh-CN"/>
        </w:rPr>
        <w:t>（一）项目组织架构及实施流程。</w:t>
      </w:r>
    </w:p>
    <w:p>
      <w:pPr>
        <w:pStyle w:val="2"/>
        <w:spacing w:before="93"/>
        <w:rPr>
          <w:rFonts w:hint="default" w:ascii="Times New Roman" w:hAnsi="Times New Roman" w:eastAsia="仿宋_GB2312" w:cs="Times New Roman"/>
          <w:kern w:val="0"/>
          <w:sz w:val="32"/>
          <w:szCs w:val="32"/>
          <w:shd w:val="clear" w:color="auto" w:fill="FFFFFF"/>
          <w:lang w:val="en-US" w:eastAsia="zh-CN" w:bidi="ar-SA"/>
        </w:rPr>
      </w:pPr>
      <w:r>
        <w:rPr>
          <w:rFonts w:hint="eastAsia"/>
          <w:lang w:val="zh-CN"/>
        </w:rPr>
        <w:t xml:space="preserve">    </w:t>
      </w:r>
      <w:r>
        <w:rPr>
          <w:rFonts w:hint="eastAsia" w:ascii="Times New Roman" w:hAnsi="Times New Roman" w:eastAsia="仿宋_GB2312" w:cs="Times New Roman"/>
          <w:kern w:val="0"/>
          <w:sz w:val="32"/>
          <w:szCs w:val="32"/>
          <w:shd w:val="clear" w:color="auto" w:fill="FFFFFF"/>
          <w:lang w:val="zh-CN" w:eastAsia="zh-CN" w:bidi="ar-SA"/>
        </w:rPr>
        <w:t>该项目由盐边县红格国际运动康养·温泉度假区管理委员会负责该项工作的具体实施，均按需按时正常支付相关运行费用，</w:t>
      </w:r>
      <w:r>
        <w:rPr>
          <w:rFonts w:hint="eastAsia" w:ascii="Times New Roman" w:hAnsi="Times New Roman" w:eastAsia="仿宋_GB2312" w:cs="Times New Roman"/>
          <w:kern w:val="0"/>
          <w:sz w:val="32"/>
          <w:szCs w:val="32"/>
          <w:shd w:val="clear" w:color="auto" w:fill="FFFFFF"/>
          <w:lang w:val="en-US" w:eastAsia="zh-CN" w:bidi="ar-SA"/>
        </w:rPr>
        <w:t>保障工作有序推进。</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（二）项目管理情况。</w:t>
      </w:r>
    </w:p>
    <w:p>
      <w:pPr>
        <w:adjustRightInd w:val="0"/>
        <w:snapToGrid w:val="0"/>
        <w:spacing w:line="578" w:lineRule="exact"/>
        <w:ind w:firstLine="720"/>
        <w:rPr>
          <w:rFonts w:eastAsia="仿宋_GB2312"/>
          <w:kern w:val="0"/>
          <w:sz w:val="32"/>
          <w:szCs w:val="32"/>
          <w:shd w:val="clear" w:color="auto" w:fill="FFFFFF"/>
        </w:rPr>
      </w:pPr>
      <w:r>
        <w:rPr>
          <w:rFonts w:hint="eastAsia" w:ascii="Times New Roman" w:hAnsi="Times New Roman" w:eastAsia="仿宋_GB2312" w:cs="Times New Roman"/>
          <w:kern w:val="0"/>
          <w:sz w:val="32"/>
          <w:szCs w:val="32"/>
          <w:shd w:val="clear" w:color="auto" w:fill="FFFFFF"/>
          <w:lang w:val="zh-CN" w:eastAsia="zh-CN" w:bidi="ar-SA"/>
        </w:rPr>
        <w:t>本单位对该项目实行科学动态管理，以厉行节约、实事求是为原则，合理控制运行需求，并严格执行政府采购的相关规定。</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（三）项目监管情况。</w:t>
      </w:r>
    </w:p>
    <w:p>
      <w:pPr>
        <w:adjustRightInd w:val="0"/>
        <w:snapToGrid w:val="0"/>
        <w:spacing w:line="578" w:lineRule="exact"/>
        <w:ind w:firstLine="720"/>
        <w:rPr>
          <w:rFonts w:eastAsia="仿宋_GB2312"/>
          <w:sz w:val="32"/>
          <w:szCs w:val="32"/>
        </w:rPr>
      </w:pPr>
      <w:r>
        <w:rPr>
          <w:rFonts w:eastAsia="仿宋_GB2312"/>
          <w:sz w:val="32"/>
          <w:szCs w:val="32"/>
        </w:rPr>
        <w:t>项目支出均严格落实审批制，各个环节从财务审批到领导审签做到严格把关</w:t>
      </w:r>
      <w:r>
        <w:rPr>
          <w:rFonts w:hint="eastAsia" w:eastAsia="仿宋_GB2312"/>
          <w:sz w:val="32"/>
          <w:szCs w:val="32"/>
          <w:lang w:eastAsia="zh-CN"/>
        </w:rPr>
        <w:t>，同时</w:t>
      </w:r>
      <w:r>
        <w:rPr>
          <w:rFonts w:eastAsia="仿宋_GB2312"/>
          <w:sz w:val="32"/>
          <w:szCs w:val="32"/>
        </w:rPr>
        <w:t>自觉接受财政局及相关部门监督。</w:t>
      </w:r>
    </w:p>
    <w:p>
      <w:pPr>
        <w:adjustRightInd w:val="0"/>
        <w:snapToGrid w:val="0"/>
        <w:spacing w:line="578" w:lineRule="exact"/>
        <w:ind w:firstLine="640" w:firstLineChars="200"/>
        <w:rPr>
          <w:rFonts w:ascii="仿宋_GB2312" w:hAnsi="宋体"/>
          <w:sz w:val="32"/>
          <w:szCs w:val="32"/>
          <w:lang w:val="zh-CN"/>
        </w:rPr>
      </w:pPr>
      <w:r>
        <w:rPr>
          <w:rFonts w:hint="eastAsia" w:ascii="黑体" w:hAnsi="宋体" w:eastAsia="黑体"/>
          <w:sz w:val="32"/>
          <w:szCs w:val="32"/>
        </w:rPr>
        <w:t>四、项目绩效情况</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（一）项目完成情况。</w:t>
      </w:r>
    </w:p>
    <w:p>
      <w:pPr>
        <w:widowControl/>
        <w:adjustRightInd w:val="0"/>
        <w:snapToGrid w:val="0"/>
        <w:spacing w:line="578" w:lineRule="exact"/>
        <w:ind w:firstLine="640" w:firstLineChars="200"/>
        <w:contextualSpacing/>
        <w:rPr>
          <w:rFonts w:eastAsia="仿宋_GB2312"/>
          <w:kern w:val="0"/>
          <w:sz w:val="32"/>
          <w:szCs w:val="32"/>
          <w:shd w:val="clear" w:color="auto" w:fill="FFFFFF"/>
          <w:lang w:val="zh-CN"/>
        </w:rPr>
      </w:pPr>
      <w:r>
        <w:rPr>
          <w:rFonts w:hint="eastAsia" w:ascii="Times New Roman" w:hAnsi="Times New Roman" w:eastAsia="仿宋_GB2312" w:cs="Times New Roman"/>
          <w:kern w:val="0"/>
          <w:sz w:val="32"/>
          <w:szCs w:val="32"/>
          <w:shd w:val="clear" w:color="auto" w:fill="FFFFFF"/>
          <w:lang w:val="zh-CN" w:eastAsia="zh-CN" w:bidi="ar-SA"/>
        </w:rPr>
        <w:t>红格度假区环保整改</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质量完成率为</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完成质量高，项目无资金结余，项目资金使用中无违规情况发生。项目进度控制良好，成本控制较好，资金使用效率高。</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（二）项目效益情况。</w:t>
      </w:r>
    </w:p>
    <w:p>
      <w:pPr>
        <w:widowControl/>
        <w:adjustRightInd w:val="0"/>
        <w:snapToGrid w:val="0"/>
        <w:spacing w:line="578" w:lineRule="exact"/>
        <w:ind w:firstLine="640" w:firstLineChars="200"/>
        <w:contextualSpacing/>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通过红格度假区环保整改</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，有利于促进度假区生态环境保护，具备一定经济效益、社会效益、生态效益和可持续效益，群众满意度</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（一）评价结论。</w:t>
      </w:r>
    </w:p>
    <w:p>
      <w:pPr>
        <w:adjustRightInd w:val="0"/>
        <w:snapToGrid w:val="0"/>
        <w:spacing w:line="578" w:lineRule="exact"/>
        <w:ind w:firstLine="720"/>
        <w:rPr>
          <w:rFonts w:hint="eastAsia" w:eastAsia="仿宋_GB2312"/>
          <w:sz w:val="32"/>
          <w:szCs w:val="32"/>
          <w:lang w:eastAsia="zh-CN"/>
        </w:rPr>
      </w:pPr>
      <w:r>
        <w:rPr>
          <w:rFonts w:hint="eastAsia" w:ascii="Times New Roman" w:hAnsi="Times New Roman" w:eastAsia="仿宋_GB2312" w:cs="Times New Roman"/>
          <w:kern w:val="0"/>
          <w:sz w:val="32"/>
          <w:szCs w:val="32"/>
          <w:shd w:val="clear" w:color="auto" w:fill="FFFFFF"/>
          <w:lang w:val="zh-CN"/>
        </w:rPr>
        <w:t>红格度假区环保整改</w:t>
      </w:r>
      <w:r>
        <w:rPr>
          <w:rFonts w:hint="eastAsia" w:ascii="Times New Roman" w:hAnsi="Times New Roman" w:eastAsia="仿宋_GB2312" w:cs="Times New Roman"/>
          <w:kern w:val="0"/>
          <w:sz w:val="32"/>
          <w:szCs w:val="32"/>
          <w:shd w:val="clear" w:color="auto" w:fill="FFFFFF"/>
          <w:lang w:val="en-US" w:eastAsia="zh-CN"/>
        </w:rPr>
        <w:t>项目</w:t>
      </w:r>
      <w:r>
        <w:rPr>
          <w:rFonts w:eastAsia="仿宋_GB2312"/>
          <w:sz w:val="32"/>
          <w:szCs w:val="32"/>
        </w:rPr>
        <w:t>绩效自评得分为</w:t>
      </w:r>
      <w:r>
        <w:rPr>
          <w:rFonts w:hint="eastAsia" w:eastAsia="仿宋_GB2312"/>
          <w:sz w:val="32"/>
          <w:szCs w:val="32"/>
          <w:lang w:val="en-US" w:eastAsia="zh-CN"/>
        </w:rPr>
        <w:t>89</w:t>
      </w:r>
      <w:r>
        <w:rPr>
          <w:rFonts w:eastAsia="仿宋_GB2312"/>
          <w:sz w:val="32"/>
          <w:szCs w:val="32"/>
        </w:rPr>
        <w:t>分</w:t>
      </w:r>
      <w:r>
        <w:rPr>
          <w:rFonts w:hint="eastAsia" w:eastAsia="仿宋_GB2312"/>
          <w:sz w:val="32"/>
          <w:szCs w:val="32"/>
          <w:lang w:eastAsia="zh-CN"/>
        </w:rPr>
        <w:t>，评价结论良好。</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（二）存在的问题。</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val="zh-CN"/>
        </w:rPr>
        <w:t>无。</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（三）相关建议。</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无。</w:t>
      </w:r>
    </w:p>
    <w:p>
      <w:pPr>
        <w:pStyle w:val="2"/>
        <w:sectPr>
          <w:pgSz w:w="11906" w:h="16838"/>
          <w:pgMar w:top="1440" w:right="1800" w:bottom="1440" w:left="1800" w:header="851" w:footer="992" w:gutter="0"/>
          <w:pgNumType w:fmt="decimal"/>
          <w:cols w:space="425" w:num="1"/>
          <w:docGrid w:type="lines" w:linePitch="312" w:charSpace="0"/>
        </w:sectPr>
      </w:pPr>
    </w:p>
    <w:p>
      <w:pPr>
        <w:pStyle w:val="36"/>
        <w:spacing w:line="578" w:lineRule="exact"/>
        <w:jc w:val="center"/>
        <w:rPr>
          <w:rFonts w:hint="eastAsia"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专项预算省级体育旅游示范基地创建项目</w:t>
      </w:r>
    </w:p>
    <w:p>
      <w:pPr>
        <w:pStyle w:val="36"/>
        <w:spacing w:line="578" w:lineRule="exact"/>
        <w:jc w:val="center"/>
        <w:rPr>
          <w:rFonts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绩效评价报告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（一）项目基本情况。</w:t>
      </w:r>
    </w:p>
    <w:p>
      <w:pPr>
        <w:widowControl/>
        <w:adjustRightInd w:val="0"/>
        <w:snapToGrid w:val="0"/>
        <w:spacing w:line="578" w:lineRule="exact"/>
        <w:ind w:firstLine="640" w:firstLineChars="200"/>
        <w:contextualSpacing/>
        <w:rPr>
          <w:rFonts w:hint="eastAsia" w:ascii="Times New Roman" w:hAnsi="Times New Roman" w:eastAsia="仿宋_GB2312" w:cs="Times New Roman"/>
          <w:kern w:val="0"/>
          <w:sz w:val="32"/>
          <w:szCs w:val="32"/>
          <w:shd w:val="clear" w:color="auto" w:fill="FFFFFF"/>
          <w:lang w:val="en-US" w:eastAsia="zh-CN" w:bidi="ar-SA"/>
        </w:rPr>
      </w:pPr>
      <w:r>
        <w:rPr>
          <w:rFonts w:hint="eastAsia" w:ascii="Times New Roman" w:hAnsi="Times New Roman" w:eastAsia="仿宋_GB2312" w:cs="Times New Roman"/>
          <w:kern w:val="0"/>
          <w:sz w:val="32"/>
          <w:szCs w:val="32"/>
          <w:shd w:val="clear" w:color="auto" w:fill="FFFFFF"/>
          <w:lang w:val="zh-CN" w:eastAsia="zh-CN" w:bidi="ar-SA"/>
        </w:rPr>
        <w:t>1．在省级体育旅游示范基地创建</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中，盐边县红格国际运动康养·温泉度假区管理委员会主要职能职责：统筹项目建设，做好项目建设总体规划、建设方案及协调管理工作等。</w:t>
      </w:r>
    </w:p>
    <w:p>
      <w:pPr>
        <w:widowControl/>
        <w:adjustRightInd w:val="0"/>
        <w:snapToGrid w:val="0"/>
        <w:spacing w:line="578" w:lineRule="exact"/>
        <w:ind w:firstLine="640" w:firstLineChars="200"/>
        <w:contextualSpacing/>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2．项目立项、资金申报的依据：《红格度假区管委会关于解决创建省级体育旅游示范基地专项经费的请示》（红管委〔2023〕</w:t>
      </w:r>
      <w:r>
        <w:rPr>
          <w:rFonts w:hint="eastAsia" w:ascii="Times New Roman" w:hAnsi="Times New Roman" w:eastAsia="仿宋_GB2312" w:cs="Times New Roman"/>
          <w:kern w:val="0"/>
          <w:sz w:val="32"/>
          <w:szCs w:val="32"/>
          <w:shd w:val="clear" w:color="auto" w:fill="FFFFFF"/>
          <w:lang w:val="en-US" w:eastAsia="zh-CN" w:bidi="ar-SA"/>
        </w:rPr>
        <w:t>15</w:t>
      </w:r>
      <w:r>
        <w:rPr>
          <w:rFonts w:hint="eastAsia" w:ascii="Times New Roman" w:hAnsi="Times New Roman" w:eastAsia="仿宋_GB2312" w:cs="Times New Roman"/>
          <w:kern w:val="0"/>
          <w:sz w:val="32"/>
          <w:szCs w:val="32"/>
          <w:shd w:val="clear" w:color="auto" w:fill="FFFFFF"/>
          <w:lang w:val="zh-CN" w:eastAsia="zh-CN" w:bidi="ar-SA"/>
        </w:rPr>
        <w:t>号）。</w:t>
      </w:r>
    </w:p>
    <w:p>
      <w:pPr>
        <w:widowControl/>
        <w:adjustRightInd w:val="0"/>
        <w:snapToGrid w:val="0"/>
        <w:spacing w:line="578" w:lineRule="exact"/>
        <w:ind w:firstLine="640" w:firstLineChars="200"/>
        <w:contextualSpacing/>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3．该项目资金专项用于省级体育旅游示范基地创建</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支出，通过财政统筹支付，专款专用。</w:t>
      </w:r>
    </w:p>
    <w:p>
      <w:pPr>
        <w:widowControl/>
        <w:adjustRightInd w:val="0"/>
        <w:snapToGrid w:val="0"/>
        <w:spacing w:line="578" w:lineRule="exact"/>
        <w:ind w:firstLine="640" w:firstLineChars="200"/>
        <w:contextualSpacing/>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4．项目资金主要用于宣传推介片拍摄费、体育旅游景观小品制作费、体育旅游全景导览图编制及印刷费、聘请第三方公司对创建工作进行指导费等。该项目主要目标是充分挖掘和发挥我县体育旅游资源优势，促进我县体育旅游产业高质量发展。</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（二）项目绩效目标。</w:t>
      </w:r>
    </w:p>
    <w:p>
      <w:pPr>
        <w:widowControl/>
        <w:adjustRightInd w:val="0"/>
        <w:snapToGrid w:val="0"/>
        <w:spacing w:line="578" w:lineRule="exact"/>
        <w:ind w:firstLine="640" w:firstLineChars="200"/>
        <w:contextualSpacing/>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项目主要内容。为充分挖掘和发挥我县体育旅游资源优势，促进我县体育旅游产业高质量发展，结合市教育和体育局、市文化广播电视和旅游局对我县申报体育旅游示范基地工作要求，经县政府研究由盐边县红格国际运动康养·温泉度假区管理委员会作为创建体育旅游示范基地工作牵头单位及时推进创建省级体育旅游示范基地，充分挖掘和发挥我县体育旅游资源优势，促进我县体育旅游产业高质量发展。</w:t>
      </w:r>
    </w:p>
    <w:p>
      <w:pPr>
        <w:widowControl/>
        <w:adjustRightInd w:val="0"/>
        <w:snapToGrid w:val="0"/>
        <w:spacing w:line="578" w:lineRule="exact"/>
        <w:ind w:firstLine="640" w:firstLineChars="200"/>
        <w:contextualSpacing/>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应实现的具体绩效目标。及时推进省级体育旅游示范基地创建工作，充分挖掘和发挥我县体育旅游资源优势，促进我县体育旅游产业高质量发展，提升红格度假区知名度，推进农、商、文、旅、康、体产业高质量融合发展。</w:t>
      </w:r>
    </w:p>
    <w:p>
      <w:pPr>
        <w:widowControl/>
        <w:adjustRightInd w:val="0"/>
        <w:snapToGrid w:val="0"/>
        <w:spacing w:line="578" w:lineRule="exact"/>
        <w:ind w:firstLine="640" w:firstLineChars="200"/>
        <w:contextualSpacing/>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3．该项目申报内容与实际相符，申报目标合理可行。</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（三）项目自评步骤及方法。</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项目自评步骤主要有收集资料、识别指标、数据分析、结果评价四个步骤；主要采用内部评审的方法进行自评。</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（一）项目资金申报及批复情况。</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该项目严格按照资金申报有关要求撰写事前绩效评估表，获得批复后下达项目资金。</w:t>
      </w:r>
    </w:p>
    <w:p>
      <w:pPr>
        <w:adjustRightInd w:val="0"/>
        <w:snapToGrid w:val="0"/>
        <w:spacing w:line="578" w:lineRule="exact"/>
        <w:ind w:firstLine="720"/>
        <w:rPr>
          <w:rFonts w:ascii="仿宋_GB2312" w:hAnsi="宋体"/>
          <w:b/>
          <w:bCs/>
          <w:sz w:val="32"/>
          <w:szCs w:val="32"/>
          <w:lang w:val="zh-CN"/>
        </w:rPr>
      </w:pPr>
      <w:r>
        <w:rPr>
          <w:rFonts w:hint="eastAsia" w:ascii="楷体_GB2312" w:hAnsi="宋体" w:eastAsia="楷体_GB2312"/>
          <w:b/>
          <w:bCs/>
          <w:sz w:val="32"/>
          <w:szCs w:val="32"/>
          <w:lang w:val="zh-CN"/>
        </w:rPr>
        <w:t>（二）资金计划、到位及使用情况。</w:t>
      </w:r>
    </w:p>
    <w:p>
      <w:pPr>
        <w:widowControl/>
        <w:adjustRightInd w:val="0"/>
        <w:snapToGrid w:val="0"/>
        <w:spacing w:line="578" w:lineRule="exact"/>
        <w:ind w:firstLine="640" w:firstLineChars="200"/>
        <w:contextualSpacing/>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1．资金计划。该项目资金计划为</w:t>
      </w:r>
      <w:r>
        <w:rPr>
          <w:rFonts w:hint="eastAsia" w:ascii="Times New Roman" w:hAnsi="Times New Roman" w:eastAsia="仿宋_GB2312" w:cs="Times New Roman"/>
          <w:kern w:val="0"/>
          <w:sz w:val="32"/>
          <w:szCs w:val="32"/>
          <w:shd w:val="clear" w:color="auto" w:fill="FFFFFF"/>
          <w:lang w:val="en-US" w:eastAsia="zh-CN" w:bidi="ar-SA"/>
        </w:rPr>
        <w:t>18</w:t>
      </w:r>
      <w:r>
        <w:rPr>
          <w:rFonts w:hint="eastAsia" w:ascii="Times New Roman" w:hAnsi="Times New Roman" w:eastAsia="仿宋_GB2312" w:cs="Times New Roman"/>
          <w:kern w:val="0"/>
          <w:sz w:val="32"/>
          <w:szCs w:val="32"/>
          <w:shd w:val="clear" w:color="auto" w:fill="FFFFFF"/>
          <w:lang w:val="zh-CN" w:eastAsia="zh-CN" w:bidi="ar-SA"/>
        </w:rPr>
        <w:t>万元，全部为县财政资金。</w:t>
      </w:r>
    </w:p>
    <w:p>
      <w:pPr>
        <w:widowControl/>
        <w:adjustRightInd w:val="0"/>
        <w:snapToGrid w:val="0"/>
        <w:spacing w:line="578" w:lineRule="exact"/>
        <w:ind w:firstLine="640" w:firstLineChars="200"/>
        <w:contextualSpacing/>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2．资金到位。截止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项目资金到位</w:t>
      </w:r>
      <w:r>
        <w:rPr>
          <w:rFonts w:hint="eastAsia" w:ascii="Times New Roman" w:hAnsi="Times New Roman" w:eastAsia="仿宋_GB2312" w:cs="Times New Roman"/>
          <w:kern w:val="0"/>
          <w:sz w:val="32"/>
          <w:szCs w:val="32"/>
          <w:shd w:val="clear" w:color="auto" w:fill="FFFFFF"/>
          <w:lang w:val="en-US" w:eastAsia="zh-CN" w:bidi="ar-SA"/>
        </w:rPr>
        <w:t>18万元，全部来源于县财政资金，</w:t>
      </w:r>
      <w:r>
        <w:rPr>
          <w:rFonts w:hint="eastAsia" w:ascii="Times New Roman" w:hAnsi="Times New Roman" w:eastAsia="仿宋_GB2312" w:cs="Times New Roman"/>
          <w:kern w:val="0"/>
          <w:sz w:val="32"/>
          <w:szCs w:val="32"/>
          <w:shd w:val="clear" w:color="auto" w:fill="FFFFFF"/>
          <w:lang w:val="zh-CN" w:eastAsia="zh-CN" w:bidi="ar-SA"/>
        </w:rPr>
        <w:t>资金到位率</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，到位及时。</w:t>
      </w:r>
    </w:p>
    <w:p>
      <w:pPr>
        <w:widowControl/>
        <w:adjustRightInd w:val="0"/>
        <w:snapToGrid w:val="0"/>
        <w:spacing w:line="578" w:lineRule="exact"/>
        <w:ind w:firstLine="640" w:firstLineChars="200"/>
        <w:contextualSpacing/>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3．资金使用。截止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项目支出</w:t>
      </w:r>
      <w:r>
        <w:rPr>
          <w:rFonts w:hint="eastAsia" w:ascii="Times New Roman" w:hAnsi="Times New Roman" w:eastAsia="仿宋_GB2312" w:cs="Times New Roman"/>
          <w:kern w:val="0"/>
          <w:sz w:val="32"/>
          <w:szCs w:val="32"/>
          <w:shd w:val="clear" w:color="auto" w:fill="FFFFFF"/>
          <w:lang w:val="en-US" w:eastAsia="zh-CN" w:bidi="ar-SA"/>
        </w:rPr>
        <w:t>9.03</w:t>
      </w:r>
      <w:r>
        <w:rPr>
          <w:rFonts w:hint="eastAsia" w:ascii="Times New Roman" w:hAnsi="Times New Roman" w:eastAsia="仿宋_GB2312" w:cs="Times New Roman"/>
          <w:kern w:val="0"/>
          <w:sz w:val="32"/>
          <w:szCs w:val="32"/>
          <w:shd w:val="clear" w:color="auto" w:fill="FFFFFF"/>
          <w:lang w:val="zh-CN" w:eastAsia="zh-CN" w:bidi="ar-SA"/>
        </w:rPr>
        <w:t>万元，均用于省级体育旅游示范基地创建</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支出，主要涉及宣传拍摄费、视频制作费、编制印刷费、聘请指导费等。该笔资金使用中严格按照会计相关准则进行支付和报销，支付票据、原始凭证完整。</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（三）项目财务管理情况。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eastAsia="仿宋_GB2312"/>
          <w:kern w:val="0"/>
          <w:sz w:val="32"/>
          <w:szCs w:val="32"/>
          <w:shd w:val="clear" w:color="auto" w:fill="FFFFFF"/>
          <w:lang w:val="zh-CN"/>
        </w:rPr>
      </w:pPr>
      <w:r>
        <w:rPr>
          <w:rFonts w:hint="eastAsia" w:ascii="Times New Roman" w:hAnsi="Times New Roman" w:eastAsia="仿宋_GB2312" w:cs="Times New Roman"/>
          <w:kern w:val="0"/>
          <w:sz w:val="32"/>
          <w:szCs w:val="32"/>
          <w:shd w:val="clear" w:color="auto" w:fill="FFFFFF"/>
          <w:lang w:val="zh-CN" w:eastAsia="zh-CN" w:bidi="ar-SA"/>
        </w:rPr>
        <w:t>省级体育旅游示范基地创建</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实施单位为盐边县红格国际运动康养·温泉度假区管理委员会，单位财务管理制度健全，工作开展中严格执行财务管理制度，账务处理及时，会计核算规范。</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78" w:lineRule="exact"/>
        <w:ind w:firstLine="643" w:firstLineChars="200"/>
        <w:rPr>
          <w:rFonts w:ascii="黑体" w:hAnsi="宋体" w:eastAsia="黑体"/>
          <w:b/>
          <w:bCs/>
          <w:sz w:val="32"/>
          <w:szCs w:val="32"/>
        </w:rPr>
      </w:pPr>
      <w:r>
        <w:rPr>
          <w:rFonts w:hint="eastAsia" w:ascii="楷体_GB2312" w:hAnsi="宋体" w:eastAsia="楷体_GB2312"/>
          <w:b/>
          <w:bCs/>
          <w:sz w:val="32"/>
          <w:szCs w:val="32"/>
          <w:lang w:val="zh-CN"/>
        </w:rPr>
        <w:t>（一）项目组织架构及实施流程。</w:t>
      </w:r>
    </w:p>
    <w:p>
      <w:pPr>
        <w:pStyle w:val="2"/>
        <w:spacing w:before="93"/>
        <w:rPr>
          <w:rFonts w:hint="default" w:ascii="Times New Roman" w:hAnsi="Times New Roman" w:eastAsia="仿宋_GB2312" w:cs="Times New Roman"/>
          <w:kern w:val="0"/>
          <w:sz w:val="32"/>
          <w:szCs w:val="32"/>
          <w:shd w:val="clear" w:color="auto" w:fill="FFFFFF"/>
          <w:lang w:val="en-US" w:eastAsia="zh-CN" w:bidi="ar-SA"/>
        </w:rPr>
      </w:pPr>
      <w:r>
        <w:rPr>
          <w:rFonts w:hint="eastAsia"/>
          <w:lang w:val="zh-CN"/>
        </w:rPr>
        <w:t xml:space="preserve">    </w:t>
      </w:r>
      <w:r>
        <w:rPr>
          <w:rFonts w:hint="eastAsia" w:ascii="Times New Roman" w:hAnsi="Times New Roman" w:eastAsia="仿宋_GB2312" w:cs="Times New Roman"/>
          <w:kern w:val="0"/>
          <w:sz w:val="32"/>
          <w:szCs w:val="32"/>
          <w:shd w:val="clear" w:color="auto" w:fill="FFFFFF"/>
          <w:lang w:val="zh-CN" w:eastAsia="zh-CN" w:bidi="ar-SA"/>
        </w:rPr>
        <w:t>该项目</w:t>
      </w:r>
      <w:r>
        <w:rPr>
          <w:rFonts w:ascii="Times New Roman" w:hAnsi="Times New Roman" w:eastAsia="仿宋_GB2312" w:cs="Times New Roman"/>
          <w:kern w:val="0"/>
          <w:sz w:val="32"/>
          <w:szCs w:val="32"/>
          <w:shd w:val="clear" w:color="auto" w:fill="FFFFFF"/>
          <w:lang w:val="zh-CN" w:eastAsia="zh-CN" w:bidi="ar-SA"/>
        </w:rPr>
        <w:t>由盐边县红格国际运动康养·温泉度假区管理委员会负责该项工作的具体实施，均按需按时正常支付相关运行费用</w:t>
      </w:r>
      <w:r>
        <w:rPr>
          <w:rFonts w:hint="eastAsia" w:ascii="Times New Roman" w:cs="Times New Roman"/>
          <w:kern w:val="0"/>
          <w:sz w:val="32"/>
          <w:szCs w:val="32"/>
          <w:shd w:val="clear" w:color="auto" w:fill="FFFFFF"/>
          <w:lang w:val="zh-CN" w:eastAsia="zh-CN" w:bidi="ar-SA"/>
        </w:rPr>
        <w:t>，</w:t>
      </w:r>
      <w:r>
        <w:rPr>
          <w:rFonts w:hint="eastAsia" w:hAnsi="仿宋_GB2312" w:eastAsia="仿宋_GB2312" w:cs="仿宋_GB2312"/>
          <w:color w:val="auto"/>
          <w:sz w:val="32"/>
          <w:lang w:val="en-US" w:eastAsia="zh-CN"/>
        </w:rPr>
        <w:t>保障工作有序推进。</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（二）项目管理情况。</w:t>
      </w:r>
    </w:p>
    <w:p>
      <w:pPr>
        <w:adjustRightInd w:val="0"/>
        <w:snapToGrid w:val="0"/>
        <w:spacing w:line="578" w:lineRule="exact"/>
        <w:ind w:firstLine="720"/>
        <w:rPr>
          <w:rFonts w:eastAsia="仿宋_GB2312"/>
          <w:kern w:val="0"/>
          <w:sz w:val="32"/>
          <w:szCs w:val="32"/>
          <w:shd w:val="clear" w:color="auto" w:fill="FFFFFF"/>
        </w:rPr>
      </w:pPr>
      <w:r>
        <w:rPr>
          <w:rFonts w:eastAsia="仿宋_GB2312"/>
          <w:sz w:val="32"/>
          <w:szCs w:val="32"/>
          <w:lang w:val="zh-CN"/>
        </w:rPr>
        <w:t>本单位对该项目</w:t>
      </w:r>
      <w:r>
        <w:rPr>
          <w:rFonts w:eastAsia="仿宋_GB2312"/>
          <w:kern w:val="0"/>
          <w:sz w:val="32"/>
          <w:szCs w:val="32"/>
          <w:shd w:val="clear" w:color="auto" w:fill="FFFFFF"/>
        </w:rPr>
        <w:t>实行科学动态管理，以厉行节约、实事求是为原则，合理控制运行需求，并严格执行政府采购的相关规定。</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（三）项目监管情况。</w:t>
      </w:r>
    </w:p>
    <w:p>
      <w:pPr>
        <w:adjustRightInd w:val="0"/>
        <w:snapToGrid w:val="0"/>
        <w:spacing w:line="578" w:lineRule="exact"/>
        <w:ind w:firstLine="720"/>
        <w:rPr>
          <w:rFonts w:eastAsia="仿宋_GB2312"/>
          <w:sz w:val="32"/>
          <w:szCs w:val="32"/>
        </w:rPr>
      </w:pPr>
      <w:r>
        <w:rPr>
          <w:rFonts w:eastAsia="仿宋_GB2312"/>
          <w:sz w:val="32"/>
          <w:szCs w:val="32"/>
        </w:rPr>
        <w:t>项目支出均严格落实审批制，各个环节从财务审批到领导审签做到严格把关</w:t>
      </w:r>
      <w:r>
        <w:rPr>
          <w:rFonts w:hint="eastAsia" w:eastAsia="仿宋_GB2312"/>
          <w:sz w:val="32"/>
          <w:szCs w:val="32"/>
          <w:lang w:eastAsia="zh-CN"/>
        </w:rPr>
        <w:t>，同时</w:t>
      </w:r>
      <w:r>
        <w:rPr>
          <w:rFonts w:eastAsia="仿宋_GB2312"/>
          <w:sz w:val="32"/>
          <w:szCs w:val="32"/>
        </w:rPr>
        <w:t>自觉接受财政局及相关部门监督。</w:t>
      </w:r>
    </w:p>
    <w:p>
      <w:pPr>
        <w:adjustRightInd w:val="0"/>
        <w:snapToGrid w:val="0"/>
        <w:spacing w:line="578" w:lineRule="exact"/>
        <w:ind w:firstLine="640" w:firstLineChars="200"/>
        <w:rPr>
          <w:rFonts w:ascii="仿宋_GB2312" w:hAnsi="宋体"/>
          <w:sz w:val="32"/>
          <w:szCs w:val="32"/>
          <w:lang w:val="zh-CN"/>
        </w:rPr>
      </w:pPr>
      <w:r>
        <w:rPr>
          <w:rFonts w:hint="eastAsia" w:ascii="黑体" w:hAnsi="宋体" w:eastAsia="黑体"/>
          <w:sz w:val="32"/>
          <w:szCs w:val="32"/>
        </w:rPr>
        <w:t>四、项目绩效情况</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（一）项目完成情况。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省级体育旅游示范基地创建</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完成质量高，资金结余</w:t>
      </w:r>
      <w:r>
        <w:rPr>
          <w:rFonts w:hint="eastAsia" w:ascii="Times New Roman" w:hAnsi="Times New Roman" w:eastAsia="仿宋_GB2312" w:cs="Times New Roman"/>
          <w:kern w:val="0"/>
          <w:sz w:val="32"/>
          <w:szCs w:val="32"/>
          <w:shd w:val="clear" w:color="auto" w:fill="FFFFFF"/>
          <w:lang w:val="en-US" w:eastAsia="zh-CN" w:bidi="ar-SA"/>
        </w:rPr>
        <w:t>8.97万元</w:t>
      </w:r>
      <w:r>
        <w:rPr>
          <w:rFonts w:hint="eastAsia" w:ascii="Times New Roman" w:hAnsi="Times New Roman" w:eastAsia="仿宋_GB2312" w:cs="Times New Roman"/>
          <w:kern w:val="0"/>
          <w:sz w:val="32"/>
          <w:szCs w:val="32"/>
          <w:shd w:val="clear" w:color="auto" w:fill="FFFFFF"/>
          <w:lang w:val="zh-CN" w:eastAsia="zh-CN" w:bidi="ar-SA"/>
        </w:rPr>
        <w:t>，全部上缴回财政局，项目资金使用中无违规情况发生。项目进度控制良好，成本控制较好，资金使用效率高。</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（二）项目效益情况。</w:t>
      </w:r>
    </w:p>
    <w:p>
      <w:pPr>
        <w:widowControl/>
        <w:adjustRightInd w:val="0"/>
        <w:snapToGrid w:val="0"/>
        <w:spacing w:line="578" w:lineRule="exact"/>
        <w:ind w:firstLine="640" w:firstLineChars="200"/>
        <w:contextualSpacing/>
        <w:rPr>
          <w:rFonts w:eastAsia="仿宋_GB2312"/>
          <w:kern w:val="0"/>
          <w:sz w:val="32"/>
          <w:szCs w:val="32"/>
          <w:shd w:val="clear" w:color="auto" w:fill="FFFFFF"/>
          <w:lang w:val="zh-CN"/>
        </w:rPr>
      </w:pPr>
      <w:r>
        <w:rPr>
          <w:rFonts w:hint="eastAsia" w:eastAsia="仿宋_GB2312"/>
          <w:kern w:val="0"/>
          <w:sz w:val="32"/>
          <w:szCs w:val="32"/>
          <w:shd w:val="clear" w:color="auto" w:fill="FFFFFF"/>
          <w:lang w:val="zh-CN"/>
        </w:rPr>
        <w:t>通过省级体育旅游示范基地创建</w:t>
      </w:r>
      <w:r>
        <w:rPr>
          <w:rFonts w:hint="eastAsia" w:ascii="Times New Roman" w:hAnsi="Times New Roman" w:eastAsia="仿宋_GB2312" w:cs="Times New Roman"/>
          <w:kern w:val="0"/>
          <w:sz w:val="32"/>
          <w:szCs w:val="32"/>
          <w:shd w:val="clear" w:color="auto" w:fill="FFFFFF"/>
          <w:lang w:val="en-US" w:eastAsia="zh-CN"/>
        </w:rPr>
        <w:t>项目</w:t>
      </w:r>
      <w:r>
        <w:rPr>
          <w:rFonts w:hint="eastAsia" w:eastAsia="仿宋_GB2312"/>
          <w:sz w:val="32"/>
          <w:szCs w:val="32"/>
          <w:lang w:eastAsia="zh-CN"/>
        </w:rPr>
        <w:t>，有利于促进我县体育旅游产业高质量发展，</w:t>
      </w:r>
      <w:r>
        <w:rPr>
          <w:rFonts w:eastAsia="仿宋_GB2312"/>
          <w:kern w:val="0"/>
          <w:sz w:val="32"/>
          <w:szCs w:val="32"/>
          <w:shd w:val="clear" w:color="auto" w:fill="FFFFFF"/>
          <w:lang w:val="zh-CN"/>
        </w:rPr>
        <w:t>具备一定经济效益</w:t>
      </w:r>
      <w:r>
        <w:rPr>
          <w:rFonts w:hint="eastAsia" w:eastAsia="仿宋_GB2312"/>
          <w:kern w:val="0"/>
          <w:sz w:val="32"/>
          <w:szCs w:val="32"/>
          <w:shd w:val="clear" w:color="auto" w:fill="FFFFFF"/>
          <w:lang w:val="zh-CN"/>
        </w:rPr>
        <w:t>、</w:t>
      </w:r>
      <w:r>
        <w:rPr>
          <w:rFonts w:eastAsia="仿宋_GB2312"/>
          <w:kern w:val="0"/>
          <w:sz w:val="32"/>
          <w:szCs w:val="32"/>
          <w:shd w:val="clear" w:color="auto" w:fill="FFFFFF"/>
          <w:lang w:val="zh-CN"/>
        </w:rPr>
        <w:t>社会效益</w:t>
      </w:r>
      <w:r>
        <w:rPr>
          <w:rFonts w:hint="eastAsia" w:eastAsia="仿宋_GB2312"/>
          <w:kern w:val="0"/>
          <w:sz w:val="32"/>
          <w:szCs w:val="32"/>
          <w:shd w:val="clear" w:color="auto" w:fill="FFFFFF"/>
          <w:lang w:val="zh-CN"/>
        </w:rPr>
        <w:t>、</w:t>
      </w:r>
      <w:r>
        <w:rPr>
          <w:rFonts w:eastAsia="仿宋_GB2312"/>
          <w:kern w:val="0"/>
          <w:sz w:val="32"/>
          <w:szCs w:val="32"/>
          <w:shd w:val="clear" w:color="auto" w:fill="FFFFFF"/>
          <w:lang w:val="zh-CN"/>
        </w:rPr>
        <w:t>生态效益和可持续效益</w:t>
      </w:r>
      <w:r>
        <w:rPr>
          <w:rFonts w:hint="eastAsia" w:eastAsia="仿宋_GB2312"/>
          <w:kern w:val="0"/>
          <w:sz w:val="32"/>
          <w:szCs w:val="32"/>
          <w:shd w:val="clear" w:color="auto" w:fill="FFFFFF"/>
          <w:lang w:val="zh-CN"/>
        </w:rPr>
        <w:t>，</w:t>
      </w:r>
      <w:r>
        <w:rPr>
          <w:rFonts w:hint="eastAsia" w:eastAsia="仿宋_GB2312"/>
          <w:sz w:val="32"/>
          <w:szCs w:val="32"/>
          <w:lang w:eastAsia="zh-CN"/>
        </w:rPr>
        <w:t>群众</w:t>
      </w:r>
      <w:r>
        <w:rPr>
          <w:rFonts w:eastAsia="仿宋_GB2312"/>
          <w:kern w:val="0"/>
          <w:sz w:val="32"/>
          <w:szCs w:val="32"/>
          <w:shd w:val="clear" w:color="auto" w:fill="FFFFFF"/>
          <w:lang w:val="zh-CN"/>
        </w:rPr>
        <w:t>满意度</w:t>
      </w:r>
      <w:r>
        <w:rPr>
          <w:rFonts w:hint="eastAsia" w:eastAsia="仿宋_GB2312"/>
          <w:kern w:val="0"/>
          <w:sz w:val="32"/>
          <w:szCs w:val="32"/>
          <w:shd w:val="clear" w:color="auto" w:fill="FFFFFF"/>
          <w:lang w:val="en-US" w:eastAsia="zh-CN"/>
        </w:rPr>
        <w:t>100</w:t>
      </w:r>
      <w:r>
        <w:rPr>
          <w:rFonts w:eastAsia="仿宋_GB2312"/>
          <w:kern w:val="0"/>
          <w:sz w:val="32"/>
          <w:szCs w:val="32"/>
          <w:shd w:val="clear" w:color="auto" w:fill="FFFFFF"/>
          <w:lang w:val="zh-CN"/>
        </w:rPr>
        <w:t>%</w:t>
      </w:r>
      <w:r>
        <w:rPr>
          <w:rFonts w:hint="eastAsia" w:eastAsia="仿宋_GB2312"/>
          <w:kern w:val="0"/>
          <w:sz w:val="32"/>
          <w:szCs w:val="32"/>
          <w:shd w:val="clear" w:color="auto" w:fill="FFFFFF"/>
          <w:lang w:val="zh-CN"/>
        </w:rPr>
        <w:t>。</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（一）评价结论。</w:t>
      </w:r>
    </w:p>
    <w:p>
      <w:pPr>
        <w:adjustRightInd w:val="0"/>
        <w:snapToGrid w:val="0"/>
        <w:spacing w:line="578" w:lineRule="exact"/>
        <w:ind w:firstLine="720"/>
        <w:rPr>
          <w:rFonts w:hint="eastAsia" w:eastAsia="仿宋_GB2312"/>
          <w:sz w:val="32"/>
          <w:szCs w:val="32"/>
          <w:lang w:eastAsia="zh-CN"/>
        </w:rPr>
      </w:pPr>
      <w:r>
        <w:rPr>
          <w:rFonts w:hint="eastAsia" w:eastAsia="仿宋_GB2312"/>
          <w:kern w:val="0"/>
          <w:sz w:val="32"/>
          <w:szCs w:val="32"/>
          <w:shd w:val="clear" w:color="auto" w:fill="FFFFFF"/>
          <w:lang w:val="zh-CN"/>
        </w:rPr>
        <w:t>省级体育旅游示范基地创建</w:t>
      </w:r>
      <w:r>
        <w:rPr>
          <w:rFonts w:hint="eastAsia" w:ascii="Times New Roman" w:hAnsi="Times New Roman" w:eastAsia="仿宋_GB2312" w:cs="Times New Roman"/>
          <w:kern w:val="0"/>
          <w:sz w:val="32"/>
          <w:szCs w:val="32"/>
          <w:shd w:val="clear" w:color="auto" w:fill="FFFFFF"/>
          <w:lang w:val="en-US" w:eastAsia="zh-CN"/>
        </w:rPr>
        <w:t>项目</w:t>
      </w:r>
      <w:r>
        <w:rPr>
          <w:rFonts w:eastAsia="仿宋_GB2312"/>
          <w:sz w:val="32"/>
          <w:szCs w:val="32"/>
        </w:rPr>
        <w:t>绩效自评得分为</w:t>
      </w:r>
      <w:r>
        <w:rPr>
          <w:rFonts w:hint="eastAsia" w:eastAsia="仿宋_GB2312"/>
          <w:sz w:val="32"/>
          <w:szCs w:val="32"/>
          <w:lang w:val="en-US" w:eastAsia="zh-CN"/>
        </w:rPr>
        <w:t>89</w:t>
      </w:r>
      <w:r>
        <w:rPr>
          <w:rFonts w:eastAsia="仿宋_GB2312"/>
          <w:sz w:val="32"/>
          <w:szCs w:val="32"/>
        </w:rPr>
        <w:t>分</w:t>
      </w:r>
      <w:r>
        <w:rPr>
          <w:rFonts w:hint="eastAsia" w:eastAsia="仿宋_GB2312"/>
          <w:sz w:val="32"/>
          <w:szCs w:val="32"/>
          <w:lang w:eastAsia="zh-CN"/>
        </w:rPr>
        <w:t>，评价结论良好。</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（二）存在的问题。</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val="zh-CN"/>
        </w:rPr>
        <w:t>无。</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（三）相关建议。</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无。</w:t>
      </w:r>
    </w:p>
    <w:p>
      <w:pPr>
        <w:pStyle w:val="2"/>
        <w:sectPr>
          <w:pgSz w:w="11906" w:h="16838"/>
          <w:pgMar w:top="1440" w:right="1800" w:bottom="1440" w:left="1800" w:header="851" w:footer="992" w:gutter="0"/>
          <w:pgNumType w:fmt="decimal"/>
          <w:cols w:space="425" w:num="1"/>
          <w:docGrid w:type="lines" w:linePitch="312" w:charSpace="0"/>
        </w:sectPr>
      </w:pPr>
    </w:p>
    <w:p>
      <w:pPr>
        <w:pStyle w:val="36"/>
        <w:spacing w:line="578" w:lineRule="exact"/>
        <w:jc w:val="center"/>
        <w:rPr>
          <w:rFonts w:hint="eastAsia"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专项预算红格训练基地道路改造项目</w:t>
      </w:r>
    </w:p>
    <w:p>
      <w:pPr>
        <w:pStyle w:val="36"/>
        <w:spacing w:line="578" w:lineRule="exact"/>
        <w:jc w:val="center"/>
        <w:rPr>
          <w:rFonts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绩效评价报告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（一）项目基本情况。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en-US" w:eastAsia="zh-CN" w:bidi="ar-SA"/>
        </w:rPr>
      </w:pPr>
      <w:r>
        <w:rPr>
          <w:rFonts w:hint="eastAsia" w:ascii="Times New Roman" w:hAnsi="Times New Roman" w:eastAsia="仿宋_GB2312" w:cs="Times New Roman"/>
          <w:kern w:val="0"/>
          <w:sz w:val="32"/>
          <w:szCs w:val="32"/>
          <w:shd w:val="clear" w:color="auto" w:fill="FFFFFF"/>
          <w:lang w:val="zh-CN" w:eastAsia="zh-CN" w:bidi="ar-SA"/>
        </w:rPr>
        <w:t>1．在红格训练基地道路改造</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中，盐边县红格国际运动康养·温泉度假区管理委员会主要职能职责：统筹项目建设，做好项目建设总体规划、建设方案及协调管理工作等。</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2．项目立项、资金申报的依据：《盐边县发展和改革局关于红格训练基地道路改造项目可行性研究报告的批复》（盐边发改〔2022〕71号）。</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3．该项目资金专项用于红格训练基地道路改造</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支出，通过财政统筹支付，专款专用。</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4．项目资金主要用于前期工作费用、工程进度款、监理服务费等。该项目主要目标是完善红格度假区区域交通路网结构，消除人穿越红山大道的交通隐患。</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（二）项目绩效目标。</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项目主要内容。红格度假区管委会分别与施工单位、监理单位、设计单位、三方服务机构完成了合同签订，并由县交通运输局与盐边县住房和城乡建设局对该项目进行日常监管，统筹推进红格训练基地道路改造项目，力争2023年完成路基土石方工程、路面工程、人行道工程、 路基防护工程、桥梁工程、照明工程、绿化工程、管网工程、交通工程与沿线设施改造等工作。</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en-US" w:eastAsia="zh-CN" w:bidi="ar-SA"/>
        </w:rPr>
      </w:pPr>
      <w:r>
        <w:rPr>
          <w:rFonts w:hint="eastAsia" w:ascii="Times New Roman" w:hAnsi="Times New Roman" w:eastAsia="仿宋_GB2312" w:cs="Times New Roman"/>
          <w:kern w:val="0"/>
          <w:sz w:val="32"/>
          <w:szCs w:val="32"/>
          <w:shd w:val="clear" w:color="auto" w:fill="FFFFFF"/>
          <w:lang w:val="zh-CN" w:eastAsia="zh-CN" w:bidi="ar-SA"/>
        </w:rPr>
        <w:t>2．项目应实现的具体绩效目标。该项目位于盐边县红格镇假日酒店与训练基地之间，占地约 15 亩，概算总投资 2700 万元。改造道路主线总长 0.535km，起点位于红格法庭东侧，与温泉大道相接，终点与红山大道相接；路基宽度 17m（2.5m 人 行道+14.5m 机动车道），为城市主干道，设计速度 40Km/h。 项目建设内容包括路基土石方工程、路面工程、人行道工程、 路基防护工程、桥梁工程、照明工程、绿化工程、管网工程、 交通工程与沿线设施改造等。</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3．该项目申报内容与实际相符，申报目标合理可行。</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（三）项目自评步骤及方法。</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项目自评步骤主要有收集资料、识别指标、数据分析、结果评价四个步骤；主要采用内部评审的方法进行自评。</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（一）项目资金申报及批复情况。</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该项目严格按照资金申报有关要求撰写事前绩效评估表，获得批复后下达项目资金。</w:t>
      </w:r>
    </w:p>
    <w:p>
      <w:pPr>
        <w:adjustRightInd w:val="0"/>
        <w:snapToGrid w:val="0"/>
        <w:spacing w:line="578" w:lineRule="exact"/>
        <w:ind w:firstLine="720"/>
        <w:rPr>
          <w:rFonts w:ascii="仿宋_GB2312" w:hAnsi="宋体"/>
          <w:b/>
          <w:bCs/>
          <w:sz w:val="32"/>
          <w:szCs w:val="32"/>
          <w:lang w:val="zh-CN"/>
        </w:rPr>
      </w:pPr>
      <w:r>
        <w:rPr>
          <w:rFonts w:hint="eastAsia" w:ascii="楷体_GB2312" w:hAnsi="宋体" w:eastAsia="楷体_GB2312"/>
          <w:b/>
          <w:bCs/>
          <w:sz w:val="32"/>
          <w:szCs w:val="32"/>
          <w:lang w:val="zh-CN"/>
        </w:rPr>
        <w:t>（二）资金计划、到位及使用情况。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1．资金计划。该项目资金计划为</w:t>
      </w:r>
      <w:r>
        <w:rPr>
          <w:rFonts w:hint="eastAsia" w:ascii="Times New Roman" w:hAnsi="Times New Roman" w:eastAsia="仿宋_GB2312" w:cs="Times New Roman"/>
          <w:kern w:val="0"/>
          <w:sz w:val="32"/>
          <w:szCs w:val="32"/>
          <w:shd w:val="clear" w:color="auto" w:fill="FFFFFF"/>
          <w:lang w:val="en-US" w:eastAsia="zh-CN" w:bidi="ar-SA"/>
        </w:rPr>
        <w:t>400</w:t>
      </w:r>
      <w:r>
        <w:rPr>
          <w:rFonts w:hint="eastAsia" w:ascii="Times New Roman" w:hAnsi="Times New Roman" w:eastAsia="仿宋_GB2312" w:cs="Times New Roman"/>
          <w:kern w:val="0"/>
          <w:sz w:val="32"/>
          <w:szCs w:val="32"/>
          <w:shd w:val="clear" w:color="auto" w:fill="FFFFFF"/>
          <w:lang w:val="zh-CN" w:eastAsia="zh-CN" w:bidi="ar-SA"/>
        </w:rPr>
        <w:t>万元，全部为县财政资金。</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2．资金到位。截止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项目资金到位</w:t>
      </w:r>
      <w:r>
        <w:rPr>
          <w:rFonts w:hint="eastAsia" w:ascii="Times New Roman" w:hAnsi="Times New Roman" w:eastAsia="仿宋_GB2312" w:cs="Times New Roman"/>
          <w:kern w:val="0"/>
          <w:sz w:val="32"/>
          <w:szCs w:val="32"/>
          <w:shd w:val="clear" w:color="auto" w:fill="FFFFFF"/>
          <w:lang w:val="en-US" w:eastAsia="zh-CN" w:bidi="ar-SA"/>
        </w:rPr>
        <w:t>400万元，全部来源于县财政资金，</w:t>
      </w:r>
      <w:r>
        <w:rPr>
          <w:rFonts w:hint="eastAsia" w:ascii="Times New Roman" w:hAnsi="Times New Roman" w:eastAsia="仿宋_GB2312" w:cs="Times New Roman"/>
          <w:kern w:val="0"/>
          <w:sz w:val="32"/>
          <w:szCs w:val="32"/>
          <w:shd w:val="clear" w:color="auto" w:fill="FFFFFF"/>
          <w:lang w:val="zh-CN" w:eastAsia="zh-CN" w:bidi="ar-SA"/>
        </w:rPr>
        <w:t>资金到位率</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，到位及时。</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3．资金使用。截止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项目支出</w:t>
      </w:r>
      <w:r>
        <w:rPr>
          <w:rFonts w:hint="eastAsia" w:ascii="Times New Roman" w:hAnsi="Times New Roman" w:eastAsia="仿宋_GB2312" w:cs="Times New Roman"/>
          <w:kern w:val="0"/>
          <w:sz w:val="32"/>
          <w:szCs w:val="32"/>
          <w:shd w:val="clear" w:color="auto" w:fill="FFFFFF"/>
          <w:lang w:val="en-US" w:eastAsia="zh-CN" w:bidi="ar-SA"/>
        </w:rPr>
        <w:t>373.66</w:t>
      </w:r>
      <w:r>
        <w:rPr>
          <w:rFonts w:hint="eastAsia" w:ascii="Times New Roman" w:hAnsi="Times New Roman" w:eastAsia="仿宋_GB2312" w:cs="Times New Roman"/>
          <w:kern w:val="0"/>
          <w:sz w:val="32"/>
          <w:szCs w:val="32"/>
          <w:shd w:val="clear" w:color="auto" w:fill="FFFFFF"/>
          <w:lang w:val="zh-CN" w:eastAsia="zh-CN" w:bidi="ar-SA"/>
        </w:rPr>
        <w:t>万元，均用于红格训练基地道路改造</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支出，主要涉及前期工作费用、工程进度款、监理服务费等。该笔资金使用中严格按照会计相关准则进行支付和报销，支付票据、原始凭证完整。</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（三）项目财务管理情况。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红格训练基地道路改造</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实施单位为盐边县红格国际运动康养·温泉度假区管理委员会，单位财务管理制度健全，工作开展中严格执行财务管理制度，账务处理及时，会计核算规范。</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78" w:lineRule="exact"/>
        <w:ind w:firstLine="643" w:firstLineChars="200"/>
        <w:rPr>
          <w:rFonts w:ascii="黑体" w:hAnsi="宋体" w:eastAsia="黑体"/>
          <w:b/>
          <w:bCs/>
          <w:sz w:val="32"/>
          <w:szCs w:val="32"/>
        </w:rPr>
      </w:pPr>
      <w:r>
        <w:rPr>
          <w:rFonts w:hint="eastAsia" w:ascii="楷体_GB2312" w:hAnsi="宋体" w:eastAsia="楷体_GB2312"/>
          <w:b/>
          <w:bCs/>
          <w:sz w:val="32"/>
          <w:szCs w:val="32"/>
          <w:lang w:val="zh-CN"/>
        </w:rPr>
        <w:t>（一）项目组织架构及实施流程。</w:t>
      </w:r>
    </w:p>
    <w:p>
      <w:pPr>
        <w:pStyle w:val="2"/>
        <w:spacing w:before="93"/>
        <w:rPr>
          <w:rFonts w:hint="default" w:ascii="Times New Roman" w:hAnsi="Times New Roman" w:eastAsia="仿宋_GB2312" w:cs="Times New Roman"/>
          <w:kern w:val="0"/>
          <w:sz w:val="32"/>
          <w:szCs w:val="32"/>
          <w:shd w:val="clear" w:color="auto" w:fill="FFFFFF"/>
          <w:lang w:val="en-US" w:eastAsia="zh-CN" w:bidi="ar-SA"/>
        </w:rPr>
      </w:pPr>
      <w:r>
        <w:rPr>
          <w:rFonts w:hint="eastAsia"/>
          <w:lang w:val="zh-CN"/>
        </w:rPr>
        <w:t xml:space="preserve">    </w:t>
      </w:r>
      <w:r>
        <w:rPr>
          <w:rFonts w:hint="eastAsia" w:ascii="Times New Roman" w:hAnsi="Times New Roman" w:eastAsia="仿宋_GB2312" w:cs="Times New Roman"/>
          <w:kern w:val="0"/>
          <w:sz w:val="32"/>
          <w:szCs w:val="32"/>
          <w:shd w:val="clear" w:color="auto" w:fill="FFFFFF"/>
          <w:lang w:val="zh-CN" w:eastAsia="zh-CN" w:bidi="ar-SA"/>
        </w:rPr>
        <w:t>该项目</w:t>
      </w:r>
      <w:r>
        <w:rPr>
          <w:rFonts w:ascii="Times New Roman" w:hAnsi="Times New Roman" w:eastAsia="仿宋_GB2312" w:cs="Times New Roman"/>
          <w:kern w:val="0"/>
          <w:sz w:val="32"/>
          <w:szCs w:val="32"/>
          <w:shd w:val="clear" w:color="auto" w:fill="FFFFFF"/>
          <w:lang w:val="zh-CN" w:eastAsia="zh-CN" w:bidi="ar-SA"/>
        </w:rPr>
        <w:t>由盐边县红格国际运动康养·温泉度假区管理委员会负责该项工作的具体实施，均按需按时正常支付相关运行费用</w:t>
      </w:r>
      <w:r>
        <w:rPr>
          <w:rFonts w:hint="eastAsia" w:ascii="Times New Roman" w:cs="Times New Roman"/>
          <w:kern w:val="0"/>
          <w:sz w:val="32"/>
          <w:szCs w:val="32"/>
          <w:shd w:val="clear" w:color="auto" w:fill="FFFFFF"/>
          <w:lang w:val="zh-CN" w:eastAsia="zh-CN" w:bidi="ar-SA"/>
        </w:rPr>
        <w:t>，</w:t>
      </w:r>
      <w:r>
        <w:rPr>
          <w:rFonts w:hint="eastAsia" w:hAnsi="仿宋_GB2312" w:eastAsia="仿宋_GB2312" w:cs="仿宋_GB2312"/>
          <w:color w:val="auto"/>
          <w:sz w:val="32"/>
          <w:lang w:val="en-US" w:eastAsia="zh-CN"/>
        </w:rPr>
        <w:t>保障工作有序推进。</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（二）项目管理情况。</w:t>
      </w:r>
    </w:p>
    <w:p>
      <w:pPr>
        <w:adjustRightInd w:val="0"/>
        <w:snapToGrid w:val="0"/>
        <w:spacing w:line="578" w:lineRule="exact"/>
        <w:ind w:firstLine="720"/>
        <w:rPr>
          <w:rFonts w:eastAsia="仿宋_GB2312"/>
          <w:kern w:val="0"/>
          <w:sz w:val="32"/>
          <w:szCs w:val="32"/>
          <w:shd w:val="clear" w:color="auto" w:fill="FFFFFF"/>
        </w:rPr>
      </w:pPr>
      <w:r>
        <w:rPr>
          <w:rFonts w:eastAsia="仿宋_GB2312"/>
          <w:sz w:val="32"/>
          <w:szCs w:val="32"/>
          <w:lang w:val="zh-CN"/>
        </w:rPr>
        <w:t>本单位对该项目</w:t>
      </w:r>
      <w:r>
        <w:rPr>
          <w:rFonts w:eastAsia="仿宋_GB2312"/>
          <w:kern w:val="0"/>
          <w:sz w:val="32"/>
          <w:szCs w:val="32"/>
          <w:shd w:val="clear" w:color="auto" w:fill="FFFFFF"/>
        </w:rPr>
        <w:t>实行科学动态管理，以厉行节约、实事求是为原则，合理控制运行需求，并严格执行政府采购的相关规定。</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（三）项目监管情况。</w:t>
      </w:r>
    </w:p>
    <w:p>
      <w:pPr>
        <w:adjustRightInd w:val="0"/>
        <w:snapToGrid w:val="0"/>
        <w:spacing w:line="578" w:lineRule="exact"/>
        <w:ind w:firstLine="720"/>
        <w:rPr>
          <w:rFonts w:eastAsia="仿宋_GB2312"/>
          <w:sz w:val="32"/>
          <w:szCs w:val="32"/>
        </w:rPr>
      </w:pPr>
      <w:r>
        <w:rPr>
          <w:rFonts w:eastAsia="仿宋_GB2312"/>
          <w:sz w:val="32"/>
          <w:szCs w:val="32"/>
        </w:rPr>
        <w:t>项目支出均严格落实审批制，各个环节从财务审批到领导审签做到严格把关</w:t>
      </w:r>
      <w:r>
        <w:rPr>
          <w:rFonts w:hint="eastAsia" w:eastAsia="仿宋_GB2312"/>
          <w:sz w:val="32"/>
          <w:szCs w:val="32"/>
          <w:lang w:eastAsia="zh-CN"/>
        </w:rPr>
        <w:t>，同时</w:t>
      </w:r>
      <w:r>
        <w:rPr>
          <w:rFonts w:eastAsia="仿宋_GB2312"/>
          <w:sz w:val="32"/>
          <w:szCs w:val="32"/>
        </w:rPr>
        <w:t>自觉接受财政局及相关部门监督。</w:t>
      </w:r>
    </w:p>
    <w:p>
      <w:pPr>
        <w:adjustRightInd w:val="0"/>
        <w:snapToGrid w:val="0"/>
        <w:spacing w:line="578" w:lineRule="exact"/>
        <w:ind w:firstLine="640" w:firstLineChars="200"/>
        <w:rPr>
          <w:rFonts w:ascii="仿宋_GB2312" w:hAnsi="宋体"/>
          <w:sz w:val="32"/>
          <w:szCs w:val="32"/>
          <w:lang w:val="zh-CN"/>
        </w:rPr>
      </w:pPr>
      <w:r>
        <w:rPr>
          <w:rFonts w:hint="eastAsia" w:ascii="黑体" w:hAnsi="宋体" w:eastAsia="黑体"/>
          <w:sz w:val="32"/>
          <w:szCs w:val="32"/>
        </w:rPr>
        <w:t>四、项目绩效情况</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（一）项目完成情况。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红格训练基地道路改造</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完成质量高，资金结余</w:t>
      </w:r>
      <w:r>
        <w:rPr>
          <w:rFonts w:hint="eastAsia" w:ascii="Times New Roman" w:hAnsi="Times New Roman" w:eastAsia="仿宋_GB2312" w:cs="Times New Roman"/>
          <w:kern w:val="0"/>
          <w:sz w:val="32"/>
          <w:szCs w:val="32"/>
          <w:shd w:val="clear" w:color="auto" w:fill="FFFFFF"/>
          <w:lang w:val="en-US" w:eastAsia="zh-CN" w:bidi="ar-SA"/>
        </w:rPr>
        <w:t>26.34万元</w:t>
      </w:r>
      <w:r>
        <w:rPr>
          <w:rFonts w:hint="eastAsia" w:ascii="Times New Roman" w:hAnsi="Times New Roman" w:eastAsia="仿宋_GB2312" w:cs="Times New Roman"/>
          <w:kern w:val="0"/>
          <w:sz w:val="32"/>
          <w:szCs w:val="32"/>
          <w:shd w:val="clear" w:color="auto" w:fill="FFFFFF"/>
          <w:lang w:val="zh-CN" w:eastAsia="zh-CN" w:bidi="ar-SA"/>
        </w:rPr>
        <w:t>，全部上缴回财政局，项目资金使用中无违规情况发生。项目进度控制良好，成本控制较好，资金使用效率高。</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（二）项目效益情况。</w:t>
      </w:r>
    </w:p>
    <w:p>
      <w:pPr>
        <w:widowControl/>
        <w:adjustRightInd w:val="0"/>
        <w:snapToGrid w:val="0"/>
        <w:spacing w:line="578" w:lineRule="exact"/>
        <w:ind w:firstLine="640" w:firstLineChars="200"/>
        <w:contextualSpacing/>
        <w:rPr>
          <w:rFonts w:eastAsia="仿宋_GB2312"/>
          <w:kern w:val="0"/>
          <w:sz w:val="32"/>
          <w:szCs w:val="32"/>
          <w:shd w:val="clear" w:color="auto" w:fill="FFFFFF"/>
          <w:lang w:val="zh-CN"/>
        </w:rPr>
      </w:pPr>
      <w:r>
        <w:rPr>
          <w:rFonts w:hint="eastAsia" w:eastAsia="仿宋_GB2312"/>
          <w:kern w:val="0"/>
          <w:sz w:val="32"/>
          <w:szCs w:val="32"/>
          <w:shd w:val="clear" w:color="auto" w:fill="FFFFFF"/>
          <w:lang w:val="zh-CN"/>
        </w:rPr>
        <w:t>通过红格训练基地道路改造</w:t>
      </w:r>
      <w:r>
        <w:rPr>
          <w:rFonts w:hint="eastAsia" w:ascii="Times New Roman" w:hAnsi="Times New Roman" w:eastAsia="仿宋_GB2312" w:cs="Times New Roman"/>
          <w:kern w:val="0"/>
          <w:sz w:val="32"/>
          <w:szCs w:val="32"/>
          <w:shd w:val="clear" w:color="auto" w:fill="FFFFFF"/>
          <w:lang w:val="en-US" w:eastAsia="zh-CN"/>
        </w:rPr>
        <w:t>项目</w:t>
      </w:r>
      <w:r>
        <w:rPr>
          <w:rFonts w:hint="eastAsia" w:eastAsia="仿宋_GB2312"/>
          <w:sz w:val="32"/>
          <w:szCs w:val="32"/>
          <w:lang w:eastAsia="zh-CN"/>
        </w:rPr>
        <w:t>，有效消除隐患，</w:t>
      </w:r>
      <w:r>
        <w:rPr>
          <w:rFonts w:eastAsia="仿宋_GB2312"/>
          <w:kern w:val="0"/>
          <w:sz w:val="32"/>
          <w:szCs w:val="32"/>
          <w:shd w:val="clear" w:color="auto" w:fill="FFFFFF"/>
          <w:lang w:val="zh-CN"/>
        </w:rPr>
        <w:t>具备一定经济效益</w:t>
      </w:r>
      <w:r>
        <w:rPr>
          <w:rFonts w:hint="eastAsia" w:eastAsia="仿宋_GB2312"/>
          <w:kern w:val="0"/>
          <w:sz w:val="32"/>
          <w:szCs w:val="32"/>
          <w:shd w:val="clear" w:color="auto" w:fill="FFFFFF"/>
          <w:lang w:val="zh-CN"/>
        </w:rPr>
        <w:t>、</w:t>
      </w:r>
      <w:r>
        <w:rPr>
          <w:rFonts w:eastAsia="仿宋_GB2312"/>
          <w:kern w:val="0"/>
          <w:sz w:val="32"/>
          <w:szCs w:val="32"/>
          <w:shd w:val="clear" w:color="auto" w:fill="FFFFFF"/>
          <w:lang w:val="zh-CN"/>
        </w:rPr>
        <w:t>社会效益</w:t>
      </w:r>
      <w:r>
        <w:rPr>
          <w:rFonts w:hint="eastAsia" w:eastAsia="仿宋_GB2312"/>
          <w:kern w:val="0"/>
          <w:sz w:val="32"/>
          <w:szCs w:val="32"/>
          <w:shd w:val="clear" w:color="auto" w:fill="FFFFFF"/>
          <w:lang w:val="zh-CN"/>
        </w:rPr>
        <w:t>、</w:t>
      </w:r>
      <w:r>
        <w:rPr>
          <w:rFonts w:eastAsia="仿宋_GB2312"/>
          <w:kern w:val="0"/>
          <w:sz w:val="32"/>
          <w:szCs w:val="32"/>
          <w:shd w:val="clear" w:color="auto" w:fill="FFFFFF"/>
          <w:lang w:val="zh-CN"/>
        </w:rPr>
        <w:t>生态效益和可持续效益</w:t>
      </w:r>
      <w:r>
        <w:rPr>
          <w:rFonts w:hint="eastAsia" w:eastAsia="仿宋_GB2312"/>
          <w:kern w:val="0"/>
          <w:sz w:val="32"/>
          <w:szCs w:val="32"/>
          <w:shd w:val="clear" w:color="auto" w:fill="FFFFFF"/>
          <w:lang w:val="zh-CN"/>
        </w:rPr>
        <w:t>，提升了群众满意度。</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（一）评价结论。</w:t>
      </w:r>
    </w:p>
    <w:p>
      <w:pPr>
        <w:adjustRightInd w:val="0"/>
        <w:snapToGrid w:val="0"/>
        <w:spacing w:line="578" w:lineRule="exact"/>
        <w:ind w:firstLine="720"/>
        <w:rPr>
          <w:rFonts w:hint="eastAsia" w:eastAsia="仿宋_GB2312"/>
          <w:sz w:val="32"/>
          <w:szCs w:val="32"/>
          <w:lang w:eastAsia="zh-CN"/>
        </w:rPr>
      </w:pPr>
      <w:r>
        <w:rPr>
          <w:rFonts w:hint="eastAsia" w:eastAsia="仿宋_GB2312"/>
          <w:kern w:val="0"/>
          <w:sz w:val="32"/>
          <w:szCs w:val="32"/>
          <w:shd w:val="clear" w:color="auto" w:fill="FFFFFF"/>
          <w:lang w:val="zh-CN"/>
        </w:rPr>
        <w:t>红格训练基地道路改造</w:t>
      </w:r>
      <w:r>
        <w:rPr>
          <w:rFonts w:hint="eastAsia" w:ascii="Times New Roman" w:hAnsi="Times New Roman" w:eastAsia="仿宋_GB2312" w:cs="Times New Roman"/>
          <w:kern w:val="0"/>
          <w:sz w:val="32"/>
          <w:szCs w:val="32"/>
          <w:shd w:val="clear" w:color="auto" w:fill="FFFFFF"/>
          <w:lang w:val="en-US" w:eastAsia="zh-CN"/>
        </w:rPr>
        <w:t>项目</w:t>
      </w:r>
      <w:r>
        <w:rPr>
          <w:rFonts w:eastAsia="仿宋_GB2312"/>
          <w:sz w:val="32"/>
          <w:szCs w:val="32"/>
        </w:rPr>
        <w:t>绩效自评得分为</w:t>
      </w:r>
      <w:r>
        <w:rPr>
          <w:rFonts w:hint="eastAsia" w:eastAsia="仿宋_GB2312"/>
          <w:sz w:val="32"/>
          <w:szCs w:val="32"/>
          <w:lang w:val="en-US" w:eastAsia="zh-CN"/>
        </w:rPr>
        <w:t>93</w:t>
      </w:r>
      <w:r>
        <w:rPr>
          <w:rFonts w:eastAsia="仿宋_GB2312"/>
          <w:sz w:val="32"/>
          <w:szCs w:val="32"/>
        </w:rPr>
        <w:t>分</w:t>
      </w:r>
      <w:r>
        <w:rPr>
          <w:rFonts w:hint="eastAsia" w:eastAsia="仿宋_GB2312"/>
          <w:sz w:val="32"/>
          <w:szCs w:val="32"/>
          <w:lang w:eastAsia="zh-CN"/>
        </w:rPr>
        <w:t>，评价结论良好。</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（二）存在的问题。</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val="zh-CN"/>
        </w:rPr>
        <w:t>无。</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（三）相关建议。</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无。</w:t>
      </w:r>
    </w:p>
    <w:p>
      <w:pPr>
        <w:pStyle w:val="2"/>
        <w:sectPr>
          <w:pgSz w:w="11906" w:h="16838"/>
          <w:pgMar w:top="1440" w:right="1800" w:bottom="1440" w:left="1800" w:header="851" w:footer="992" w:gutter="0"/>
          <w:pgNumType w:fmt="decimal"/>
          <w:cols w:space="425" w:num="1"/>
          <w:docGrid w:type="lines" w:linePitch="312" w:charSpace="0"/>
        </w:sectPr>
      </w:pPr>
    </w:p>
    <w:p>
      <w:pPr>
        <w:pStyle w:val="36"/>
        <w:spacing w:line="578" w:lineRule="exact"/>
        <w:jc w:val="center"/>
        <w:rPr>
          <w:rFonts w:hint="eastAsia" w:ascii="方正小标宋简体" w:hAnsi="方正小标宋简体" w:eastAsia="方正小标宋简体" w:cs="方正小标宋简体"/>
          <w:color w:val="auto"/>
          <w:kern w:val="2"/>
          <w:sz w:val="32"/>
          <w:szCs w:val="32"/>
          <w:lang w:val="en-US" w:eastAsia="zh-CN"/>
        </w:rPr>
      </w:pPr>
      <w:r>
        <w:rPr>
          <w:rFonts w:hint="eastAsia" w:ascii="方正小标宋简体" w:hAnsi="方正小标宋简体" w:eastAsia="方正小标宋简体" w:cs="方正小标宋简体"/>
          <w:color w:val="auto"/>
          <w:kern w:val="2"/>
          <w:sz w:val="32"/>
          <w:szCs w:val="32"/>
          <w:lang w:val="en-US"/>
        </w:rPr>
        <w:t>专项预算京东（盐边）乡村振兴示范园装修工程项目</w:t>
      </w:r>
    </w:p>
    <w:p>
      <w:pPr>
        <w:pStyle w:val="36"/>
        <w:spacing w:line="578" w:lineRule="exact"/>
        <w:jc w:val="center"/>
        <w:rPr>
          <w:rFonts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绩效评价报告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（一）项目基本情况。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en-US" w:eastAsia="zh-CN" w:bidi="ar-SA"/>
        </w:rPr>
      </w:pPr>
      <w:r>
        <w:rPr>
          <w:rFonts w:hint="eastAsia" w:ascii="Times New Roman" w:hAnsi="Times New Roman" w:eastAsia="仿宋_GB2312" w:cs="Times New Roman"/>
          <w:kern w:val="0"/>
          <w:sz w:val="32"/>
          <w:szCs w:val="32"/>
          <w:shd w:val="clear" w:color="auto" w:fill="FFFFFF"/>
          <w:lang w:val="zh-CN" w:eastAsia="zh-CN" w:bidi="ar-SA"/>
        </w:rPr>
        <w:t>1．在京东（盐边）乡村振兴示范园装修工程</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中，盐边县红格国际运动康养·温泉度假区管理委员会主要职能职责：统筹项目建设，做好项目建设总体规划、建设方案及协调管理工作等。</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2．项目立项、资金申报的依据：《红格度假区管委会关于解决京东（盐边）乡村振兴示范园装修工程款的请示》（红管委〔202</w:t>
      </w:r>
      <w:r>
        <w:rPr>
          <w:rFonts w:hint="eastAsia" w:ascii="Times New Roman" w:hAnsi="Times New Roman" w:eastAsia="仿宋_GB2312" w:cs="Times New Roman"/>
          <w:kern w:val="0"/>
          <w:sz w:val="32"/>
          <w:szCs w:val="32"/>
          <w:shd w:val="clear" w:color="auto" w:fill="FFFFFF"/>
          <w:lang w:val="en-US" w:eastAsia="zh-CN" w:bidi="ar-SA"/>
        </w:rPr>
        <w:t>2</w:t>
      </w:r>
      <w:r>
        <w:rPr>
          <w:rFonts w:hint="eastAsia" w:ascii="Times New Roman" w:hAnsi="Times New Roman" w:eastAsia="仿宋_GB2312" w:cs="Times New Roman"/>
          <w:kern w:val="0"/>
          <w:sz w:val="32"/>
          <w:szCs w:val="32"/>
          <w:shd w:val="clear" w:color="auto" w:fill="FFFFFF"/>
          <w:lang w:val="zh-CN" w:eastAsia="zh-CN" w:bidi="ar-SA"/>
        </w:rPr>
        <w:t>〕</w:t>
      </w:r>
      <w:r>
        <w:rPr>
          <w:rFonts w:hint="eastAsia" w:ascii="Times New Roman" w:hAnsi="Times New Roman" w:eastAsia="仿宋_GB2312" w:cs="Times New Roman"/>
          <w:kern w:val="0"/>
          <w:sz w:val="32"/>
          <w:szCs w:val="32"/>
          <w:shd w:val="clear" w:color="auto" w:fill="FFFFFF"/>
          <w:lang w:val="en-US" w:eastAsia="zh-CN" w:bidi="ar-SA"/>
        </w:rPr>
        <w:t>54</w:t>
      </w:r>
      <w:r>
        <w:rPr>
          <w:rFonts w:hint="eastAsia" w:ascii="Times New Roman" w:hAnsi="Times New Roman" w:eastAsia="仿宋_GB2312" w:cs="Times New Roman"/>
          <w:kern w:val="0"/>
          <w:sz w:val="32"/>
          <w:szCs w:val="32"/>
          <w:shd w:val="clear" w:color="auto" w:fill="FFFFFF"/>
          <w:lang w:val="zh-CN" w:eastAsia="zh-CN" w:bidi="ar-SA"/>
        </w:rPr>
        <w:t>号）。</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3．该项目资金专项用于京东（盐边）乡村振兴示范园装修工程</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支出，通过财政统筹支付，专款专用。</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4．项目资金主要用于工程费用、消防设计费等。该项目主要目标是推动京东（盐边）乡村振兴示范园基础设施完备，助力盐边产业结构调整，将盐边资源优势、产业优势转化为竞争优势，推动高质量发展和乡村全面振兴。</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（二）项目绩效目标。</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项目主要内容。为支撑盐边县创建乡村振兴示范县，推动盐边县乡村全面振兴，盐边县政府积极响应国家《“十四五”规划及2035年远景目标规划纲要》要求，紧跟时代发展大趋势，引进京东（盐边）乡村振兴示范园项目入驻红格度假区康养展示中心，以科技动能和电商生态赋能盐边数字经济，推动传统产业转型升级。</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应实现的具体绩效目标。盐边县红格国际运动康养·温泉度假区管理委员会与盐边建工签订施工合同，主要对京东示范园一楼（不含前厅）实施强、弱电管道预埋穿线、动力线路布置、地砖铺设、消防等工程进行施工，逐步集成乡村振兴大数据中心、盐边地方特产直播间、办公区共享书吧及休闲吧、共享办公区以及公共健身区等区域，致力于打造一流的乡村振兴示范平台，为振兴乡村注入新活力。</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3．该项目申报内容与实际相符，申报目标合理可行。</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（三）项目自评步骤及方法。</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项目自评步骤主要有收集资料、识别指标、数据分析、结果评价四个步骤；主要采用内部评审的方法进行自评。</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（一）项目资金申报及批复情况。</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该项目严格按照资金申报有关要求撰写事前绩效评估表，获得批复后下达项目资金。</w:t>
      </w:r>
    </w:p>
    <w:p>
      <w:pPr>
        <w:adjustRightInd w:val="0"/>
        <w:snapToGrid w:val="0"/>
        <w:spacing w:line="578" w:lineRule="exact"/>
        <w:ind w:firstLine="720"/>
        <w:rPr>
          <w:rFonts w:ascii="仿宋_GB2312" w:hAnsi="宋体"/>
          <w:b/>
          <w:bCs/>
          <w:sz w:val="32"/>
          <w:szCs w:val="32"/>
          <w:lang w:val="zh-CN"/>
        </w:rPr>
      </w:pPr>
      <w:r>
        <w:rPr>
          <w:rFonts w:hint="eastAsia" w:ascii="楷体_GB2312" w:hAnsi="宋体" w:eastAsia="楷体_GB2312"/>
          <w:b/>
          <w:bCs/>
          <w:sz w:val="32"/>
          <w:szCs w:val="32"/>
          <w:lang w:val="zh-CN"/>
        </w:rPr>
        <w:t>（二）资金计划、到位及使用情况。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1．资金计划。该项目资金计划为</w:t>
      </w:r>
      <w:r>
        <w:rPr>
          <w:rFonts w:hint="eastAsia" w:ascii="Times New Roman" w:hAnsi="Times New Roman" w:eastAsia="仿宋_GB2312" w:cs="Times New Roman"/>
          <w:kern w:val="0"/>
          <w:sz w:val="32"/>
          <w:szCs w:val="32"/>
          <w:shd w:val="clear" w:color="auto" w:fill="FFFFFF"/>
          <w:lang w:val="en-US" w:eastAsia="zh-CN" w:bidi="ar-SA"/>
        </w:rPr>
        <w:t>27</w:t>
      </w:r>
      <w:r>
        <w:rPr>
          <w:rFonts w:hint="eastAsia" w:ascii="Times New Roman" w:hAnsi="Times New Roman" w:eastAsia="仿宋_GB2312" w:cs="Times New Roman"/>
          <w:kern w:val="0"/>
          <w:sz w:val="32"/>
          <w:szCs w:val="32"/>
          <w:shd w:val="clear" w:color="auto" w:fill="FFFFFF"/>
          <w:lang w:val="zh-CN" w:eastAsia="zh-CN" w:bidi="ar-SA"/>
        </w:rPr>
        <w:t>万元，全部为县财政资金。</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2．资金到位。截止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项目资金到位</w:t>
      </w:r>
      <w:r>
        <w:rPr>
          <w:rFonts w:hint="eastAsia" w:ascii="Times New Roman" w:hAnsi="Times New Roman" w:eastAsia="仿宋_GB2312" w:cs="Times New Roman"/>
          <w:kern w:val="0"/>
          <w:sz w:val="32"/>
          <w:szCs w:val="32"/>
          <w:shd w:val="clear" w:color="auto" w:fill="FFFFFF"/>
          <w:lang w:val="en-US" w:eastAsia="zh-CN" w:bidi="ar-SA"/>
        </w:rPr>
        <w:t>27万元，全部来源于县财政资金，</w:t>
      </w:r>
      <w:r>
        <w:rPr>
          <w:rFonts w:hint="eastAsia" w:ascii="Times New Roman" w:hAnsi="Times New Roman" w:eastAsia="仿宋_GB2312" w:cs="Times New Roman"/>
          <w:kern w:val="0"/>
          <w:sz w:val="32"/>
          <w:szCs w:val="32"/>
          <w:shd w:val="clear" w:color="auto" w:fill="FFFFFF"/>
          <w:lang w:val="zh-CN" w:eastAsia="zh-CN" w:bidi="ar-SA"/>
        </w:rPr>
        <w:t>资金到位率</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，到位及时。</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3．资金使用。截止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项目支出</w:t>
      </w:r>
      <w:r>
        <w:rPr>
          <w:rFonts w:hint="eastAsia" w:ascii="Times New Roman" w:hAnsi="Times New Roman" w:eastAsia="仿宋_GB2312" w:cs="Times New Roman"/>
          <w:kern w:val="0"/>
          <w:sz w:val="32"/>
          <w:szCs w:val="32"/>
          <w:shd w:val="clear" w:color="auto" w:fill="FFFFFF"/>
          <w:lang w:val="en-US" w:eastAsia="zh-CN" w:bidi="ar-SA"/>
        </w:rPr>
        <w:t>27</w:t>
      </w:r>
      <w:r>
        <w:rPr>
          <w:rFonts w:hint="eastAsia" w:ascii="Times New Roman" w:hAnsi="Times New Roman" w:eastAsia="仿宋_GB2312" w:cs="Times New Roman"/>
          <w:kern w:val="0"/>
          <w:sz w:val="32"/>
          <w:szCs w:val="32"/>
          <w:shd w:val="clear" w:color="auto" w:fill="FFFFFF"/>
          <w:lang w:val="zh-CN" w:eastAsia="zh-CN" w:bidi="ar-SA"/>
        </w:rPr>
        <w:t>万元，均用于京东（盐边）乡村振兴示范园装修工程</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支出，主要涉及装修工程费等。该笔资金使用中严格按照会计相关准则进行支付和报销，支付票据、原始凭证完整。</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（三）项目财务管理情况。</w:t>
      </w:r>
    </w:p>
    <w:p>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hint="eastAsia" w:ascii="Times New Roman" w:hAnsi="Times New Roman" w:eastAsia="仿宋_GB2312" w:cs="Times New Roman"/>
          <w:kern w:val="0"/>
          <w:sz w:val="32"/>
          <w:szCs w:val="32"/>
          <w:shd w:val="clear" w:color="auto" w:fill="FFFFFF"/>
          <w:lang w:val="zh-CN" w:eastAsia="zh-CN" w:bidi="ar-SA"/>
        </w:rPr>
        <w:t>京东（盐边）乡村振兴示范园装修工程</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实施单位为盐边县红格国际运动康养·温泉度假区管理委员会，单位财务管理制度健全，工作开展中严格执行财务管理制度，账务处理及时，会计核算规范。</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78" w:lineRule="exact"/>
        <w:ind w:firstLine="643" w:firstLineChars="200"/>
        <w:rPr>
          <w:rFonts w:ascii="黑体" w:hAnsi="宋体" w:eastAsia="黑体"/>
          <w:b/>
          <w:bCs/>
          <w:sz w:val="32"/>
          <w:szCs w:val="32"/>
        </w:rPr>
      </w:pPr>
      <w:r>
        <w:rPr>
          <w:rFonts w:hint="eastAsia" w:ascii="楷体_GB2312" w:hAnsi="宋体" w:eastAsia="楷体_GB2312"/>
          <w:b/>
          <w:bCs/>
          <w:sz w:val="32"/>
          <w:szCs w:val="32"/>
          <w:lang w:val="zh-CN"/>
        </w:rPr>
        <w:t>（一）项目组织架构及实施流程。</w:t>
      </w:r>
    </w:p>
    <w:p>
      <w:pPr>
        <w:pStyle w:val="2"/>
        <w:spacing w:before="93"/>
        <w:rPr>
          <w:rFonts w:hint="default" w:ascii="Times New Roman" w:hAnsi="Times New Roman" w:eastAsia="仿宋_GB2312" w:cs="Times New Roman"/>
          <w:kern w:val="0"/>
          <w:sz w:val="32"/>
          <w:szCs w:val="32"/>
          <w:shd w:val="clear" w:color="auto" w:fill="FFFFFF"/>
          <w:lang w:val="en-US" w:eastAsia="zh-CN" w:bidi="ar-SA"/>
        </w:rPr>
      </w:pPr>
      <w:r>
        <w:rPr>
          <w:rFonts w:hint="eastAsia"/>
          <w:lang w:val="zh-CN"/>
        </w:rPr>
        <w:t xml:space="preserve">    </w:t>
      </w:r>
      <w:r>
        <w:rPr>
          <w:rFonts w:hint="eastAsia" w:ascii="Times New Roman" w:hAnsi="Times New Roman" w:eastAsia="仿宋_GB2312" w:cs="Times New Roman"/>
          <w:kern w:val="0"/>
          <w:sz w:val="32"/>
          <w:szCs w:val="32"/>
          <w:shd w:val="clear" w:color="auto" w:fill="FFFFFF"/>
          <w:lang w:val="zh-CN" w:eastAsia="zh-CN" w:bidi="ar-SA"/>
        </w:rPr>
        <w:t>该项目</w:t>
      </w:r>
      <w:r>
        <w:rPr>
          <w:rFonts w:ascii="Times New Roman" w:hAnsi="Times New Roman" w:eastAsia="仿宋_GB2312" w:cs="Times New Roman"/>
          <w:kern w:val="0"/>
          <w:sz w:val="32"/>
          <w:szCs w:val="32"/>
          <w:shd w:val="clear" w:color="auto" w:fill="FFFFFF"/>
          <w:lang w:val="zh-CN" w:eastAsia="zh-CN" w:bidi="ar-SA"/>
        </w:rPr>
        <w:t>由盐边县红格国际运动康养·温泉度假区管理委员会负责该项工作的具体实施，均按需按时正常支付相关运行费用</w:t>
      </w:r>
      <w:r>
        <w:rPr>
          <w:rFonts w:hint="eastAsia" w:ascii="Times New Roman" w:cs="Times New Roman"/>
          <w:kern w:val="0"/>
          <w:sz w:val="32"/>
          <w:szCs w:val="32"/>
          <w:shd w:val="clear" w:color="auto" w:fill="FFFFFF"/>
          <w:lang w:val="zh-CN" w:eastAsia="zh-CN" w:bidi="ar-SA"/>
        </w:rPr>
        <w:t>，</w:t>
      </w:r>
      <w:r>
        <w:rPr>
          <w:rFonts w:hint="eastAsia" w:hAnsi="仿宋_GB2312" w:eastAsia="仿宋_GB2312" w:cs="仿宋_GB2312"/>
          <w:color w:val="auto"/>
          <w:sz w:val="32"/>
          <w:lang w:val="en-US" w:eastAsia="zh-CN"/>
        </w:rPr>
        <w:t>保障工作有序推进。</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（二）项目管理情况。</w:t>
      </w:r>
    </w:p>
    <w:p>
      <w:pPr>
        <w:adjustRightInd w:val="0"/>
        <w:snapToGrid w:val="0"/>
        <w:spacing w:line="578" w:lineRule="exact"/>
        <w:ind w:firstLine="720"/>
        <w:rPr>
          <w:rFonts w:eastAsia="仿宋_GB2312"/>
          <w:kern w:val="0"/>
          <w:sz w:val="32"/>
          <w:szCs w:val="32"/>
          <w:shd w:val="clear" w:color="auto" w:fill="FFFFFF"/>
        </w:rPr>
      </w:pPr>
      <w:r>
        <w:rPr>
          <w:rFonts w:eastAsia="仿宋_GB2312"/>
          <w:sz w:val="32"/>
          <w:szCs w:val="32"/>
          <w:lang w:val="zh-CN"/>
        </w:rPr>
        <w:t>本单位对该项目</w:t>
      </w:r>
      <w:r>
        <w:rPr>
          <w:rFonts w:eastAsia="仿宋_GB2312"/>
          <w:kern w:val="0"/>
          <w:sz w:val="32"/>
          <w:szCs w:val="32"/>
          <w:shd w:val="clear" w:color="auto" w:fill="FFFFFF"/>
        </w:rPr>
        <w:t>实行科学动态管理，以厉行节约、实事求是为原则，合理控制运行需求，并严格执行政府采购的相关规定。</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（三）项目监管情况。</w:t>
      </w:r>
    </w:p>
    <w:p>
      <w:pPr>
        <w:adjustRightInd w:val="0"/>
        <w:snapToGrid w:val="0"/>
        <w:spacing w:line="578" w:lineRule="exact"/>
        <w:ind w:firstLine="720"/>
        <w:rPr>
          <w:rFonts w:eastAsia="仿宋_GB2312"/>
          <w:sz w:val="32"/>
          <w:szCs w:val="32"/>
        </w:rPr>
      </w:pPr>
      <w:r>
        <w:rPr>
          <w:rFonts w:eastAsia="仿宋_GB2312"/>
          <w:sz w:val="32"/>
          <w:szCs w:val="32"/>
        </w:rPr>
        <w:t>项目支出均严格落实审批制，各个环节从财务审批到领导审签做到严格把关</w:t>
      </w:r>
      <w:r>
        <w:rPr>
          <w:rFonts w:hint="eastAsia" w:eastAsia="仿宋_GB2312"/>
          <w:sz w:val="32"/>
          <w:szCs w:val="32"/>
          <w:lang w:eastAsia="zh-CN"/>
        </w:rPr>
        <w:t>，同时</w:t>
      </w:r>
      <w:r>
        <w:rPr>
          <w:rFonts w:eastAsia="仿宋_GB2312"/>
          <w:sz w:val="32"/>
          <w:szCs w:val="32"/>
        </w:rPr>
        <w:t>自觉接受财政局及相关部门监督。</w:t>
      </w:r>
    </w:p>
    <w:p>
      <w:pPr>
        <w:adjustRightInd w:val="0"/>
        <w:snapToGrid w:val="0"/>
        <w:spacing w:line="578" w:lineRule="exact"/>
        <w:ind w:firstLine="640" w:firstLineChars="200"/>
        <w:rPr>
          <w:rFonts w:ascii="仿宋_GB2312" w:hAnsi="宋体"/>
          <w:sz w:val="32"/>
          <w:szCs w:val="32"/>
          <w:lang w:val="zh-CN"/>
        </w:rPr>
      </w:pPr>
      <w:r>
        <w:rPr>
          <w:rFonts w:hint="eastAsia" w:ascii="黑体" w:hAnsi="宋体" w:eastAsia="黑体"/>
          <w:sz w:val="32"/>
          <w:szCs w:val="32"/>
        </w:rPr>
        <w:t>四、项目绩效情况</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（一）项目完成情况。</w:t>
      </w:r>
    </w:p>
    <w:p>
      <w:pPr>
        <w:widowControl/>
        <w:adjustRightInd w:val="0"/>
        <w:snapToGrid w:val="0"/>
        <w:spacing w:line="578" w:lineRule="exact"/>
        <w:ind w:firstLine="640" w:firstLineChars="200"/>
        <w:contextualSpacing/>
        <w:rPr>
          <w:rFonts w:eastAsia="仿宋_GB2312"/>
          <w:kern w:val="0"/>
          <w:sz w:val="32"/>
          <w:szCs w:val="32"/>
          <w:shd w:val="clear" w:color="auto" w:fill="FFFFFF"/>
          <w:lang w:val="zh-CN"/>
        </w:rPr>
      </w:pPr>
      <w:r>
        <w:rPr>
          <w:rFonts w:hint="eastAsia" w:eastAsia="仿宋_GB2312"/>
          <w:kern w:val="0"/>
          <w:sz w:val="32"/>
          <w:szCs w:val="32"/>
          <w:shd w:val="clear" w:color="auto" w:fill="FFFFFF"/>
          <w:lang w:val="zh-CN"/>
        </w:rPr>
        <w:t>京东（盐边）乡村振兴示范园装修工程</w:t>
      </w:r>
      <w:r>
        <w:rPr>
          <w:rFonts w:hint="eastAsia" w:ascii="Times New Roman" w:hAnsi="Times New Roman" w:eastAsia="仿宋_GB2312" w:cs="Times New Roman"/>
          <w:kern w:val="0"/>
          <w:sz w:val="32"/>
          <w:szCs w:val="32"/>
          <w:shd w:val="clear" w:color="auto" w:fill="FFFFFF"/>
          <w:lang w:val="en-US" w:eastAsia="zh-CN"/>
        </w:rPr>
        <w:t>项目</w:t>
      </w:r>
      <w:r>
        <w:rPr>
          <w:rFonts w:eastAsia="仿宋_GB2312"/>
          <w:color w:val="auto"/>
          <w:sz w:val="32"/>
          <w:szCs w:val="32"/>
        </w:rPr>
        <w:t>完成质量高</w:t>
      </w:r>
      <w:r>
        <w:rPr>
          <w:rFonts w:hint="eastAsia" w:eastAsia="仿宋_GB2312"/>
          <w:color w:val="auto"/>
          <w:sz w:val="32"/>
          <w:szCs w:val="32"/>
          <w:lang w:eastAsia="zh-CN"/>
        </w:rPr>
        <w:t>，无资金结余，</w:t>
      </w:r>
      <w:r>
        <w:rPr>
          <w:rFonts w:eastAsia="仿宋_GB2312"/>
          <w:sz w:val="32"/>
          <w:szCs w:val="32"/>
        </w:rPr>
        <w:t>项目资金使用中无违规情况发生。项目进度控制良好，成本控制较好，资金使用效率高。</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（二）项目效益情况。</w:t>
      </w:r>
    </w:p>
    <w:p>
      <w:pPr>
        <w:widowControl/>
        <w:adjustRightInd w:val="0"/>
        <w:snapToGrid w:val="0"/>
        <w:spacing w:line="578" w:lineRule="exact"/>
        <w:ind w:firstLine="640" w:firstLineChars="200"/>
        <w:contextualSpacing/>
        <w:rPr>
          <w:rFonts w:eastAsia="仿宋_GB2312"/>
          <w:kern w:val="0"/>
          <w:sz w:val="32"/>
          <w:szCs w:val="32"/>
          <w:shd w:val="clear" w:color="auto" w:fill="FFFFFF"/>
          <w:lang w:val="zh-CN"/>
        </w:rPr>
      </w:pPr>
      <w:r>
        <w:rPr>
          <w:rFonts w:hint="eastAsia" w:eastAsia="仿宋_GB2312"/>
          <w:kern w:val="0"/>
          <w:sz w:val="32"/>
          <w:szCs w:val="32"/>
          <w:shd w:val="clear" w:color="auto" w:fill="FFFFFF"/>
          <w:lang w:val="zh-CN"/>
        </w:rPr>
        <w:t>通过京东（盐边）乡村振兴示范园装修工程</w:t>
      </w:r>
      <w:r>
        <w:rPr>
          <w:rFonts w:hint="eastAsia" w:ascii="Times New Roman" w:hAnsi="Times New Roman" w:eastAsia="仿宋_GB2312" w:cs="Times New Roman"/>
          <w:kern w:val="0"/>
          <w:sz w:val="32"/>
          <w:szCs w:val="32"/>
          <w:shd w:val="clear" w:color="auto" w:fill="FFFFFF"/>
          <w:lang w:val="en-US" w:eastAsia="zh-CN"/>
        </w:rPr>
        <w:t>项目</w:t>
      </w:r>
      <w:r>
        <w:rPr>
          <w:rFonts w:hint="eastAsia" w:eastAsia="仿宋_GB2312"/>
          <w:sz w:val="32"/>
          <w:szCs w:val="32"/>
          <w:lang w:eastAsia="zh-CN"/>
        </w:rPr>
        <w:t>，有利于将京东（盐边）乡村振兴示范园打造成全国乡村振兴标杆示范园，</w:t>
      </w:r>
      <w:r>
        <w:rPr>
          <w:rFonts w:eastAsia="仿宋_GB2312"/>
          <w:kern w:val="0"/>
          <w:sz w:val="32"/>
          <w:szCs w:val="32"/>
          <w:shd w:val="clear" w:color="auto" w:fill="FFFFFF"/>
          <w:lang w:val="zh-CN"/>
        </w:rPr>
        <w:t>具备一定经济效益</w:t>
      </w:r>
      <w:r>
        <w:rPr>
          <w:rFonts w:hint="eastAsia" w:eastAsia="仿宋_GB2312"/>
          <w:kern w:val="0"/>
          <w:sz w:val="32"/>
          <w:szCs w:val="32"/>
          <w:shd w:val="clear" w:color="auto" w:fill="FFFFFF"/>
          <w:lang w:val="zh-CN"/>
        </w:rPr>
        <w:t>、</w:t>
      </w:r>
      <w:r>
        <w:rPr>
          <w:rFonts w:eastAsia="仿宋_GB2312"/>
          <w:kern w:val="0"/>
          <w:sz w:val="32"/>
          <w:szCs w:val="32"/>
          <w:shd w:val="clear" w:color="auto" w:fill="FFFFFF"/>
          <w:lang w:val="zh-CN"/>
        </w:rPr>
        <w:t>社会效益</w:t>
      </w:r>
      <w:r>
        <w:rPr>
          <w:rFonts w:hint="eastAsia" w:eastAsia="仿宋_GB2312"/>
          <w:kern w:val="0"/>
          <w:sz w:val="32"/>
          <w:szCs w:val="32"/>
          <w:shd w:val="clear" w:color="auto" w:fill="FFFFFF"/>
          <w:lang w:val="zh-CN"/>
        </w:rPr>
        <w:t>、</w:t>
      </w:r>
      <w:r>
        <w:rPr>
          <w:rFonts w:eastAsia="仿宋_GB2312"/>
          <w:kern w:val="0"/>
          <w:sz w:val="32"/>
          <w:szCs w:val="32"/>
          <w:shd w:val="clear" w:color="auto" w:fill="FFFFFF"/>
          <w:lang w:val="zh-CN"/>
        </w:rPr>
        <w:t>生态效益和可持续效益</w:t>
      </w:r>
      <w:r>
        <w:rPr>
          <w:rFonts w:hint="eastAsia" w:eastAsia="仿宋_GB2312"/>
          <w:kern w:val="0"/>
          <w:sz w:val="32"/>
          <w:szCs w:val="32"/>
          <w:shd w:val="clear" w:color="auto" w:fill="FFFFFF"/>
          <w:lang w:val="zh-CN"/>
        </w:rPr>
        <w:t>，</w:t>
      </w:r>
      <w:r>
        <w:rPr>
          <w:rFonts w:hint="eastAsia" w:eastAsia="仿宋_GB2312"/>
          <w:sz w:val="32"/>
          <w:szCs w:val="32"/>
          <w:lang w:eastAsia="zh-CN"/>
        </w:rPr>
        <w:t>群众</w:t>
      </w:r>
      <w:r>
        <w:rPr>
          <w:rFonts w:eastAsia="仿宋_GB2312"/>
          <w:kern w:val="0"/>
          <w:sz w:val="32"/>
          <w:szCs w:val="32"/>
          <w:shd w:val="clear" w:color="auto" w:fill="FFFFFF"/>
          <w:lang w:val="zh-CN"/>
        </w:rPr>
        <w:t>满意度</w:t>
      </w:r>
      <w:r>
        <w:rPr>
          <w:rFonts w:hint="eastAsia" w:eastAsia="仿宋_GB2312"/>
          <w:kern w:val="0"/>
          <w:sz w:val="32"/>
          <w:szCs w:val="32"/>
          <w:shd w:val="clear" w:color="auto" w:fill="FFFFFF"/>
          <w:lang w:val="en-US" w:eastAsia="zh-CN"/>
        </w:rPr>
        <w:t>100</w:t>
      </w:r>
      <w:r>
        <w:rPr>
          <w:rFonts w:eastAsia="仿宋_GB2312"/>
          <w:kern w:val="0"/>
          <w:sz w:val="32"/>
          <w:szCs w:val="32"/>
          <w:shd w:val="clear" w:color="auto" w:fill="FFFFFF"/>
          <w:lang w:val="zh-CN"/>
        </w:rPr>
        <w:t>%</w:t>
      </w:r>
      <w:r>
        <w:rPr>
          <w:rFonts w:hint="eastAsia" w:eastAsia="仿宋_GB2312"/>
          <w:kern w:val="0"/>
          <w:sz w:val="32"/>
          <w:szCs w:val="32"/>
          <w:shd w:val="clear" w:color="auto" w:fill="FFFFFF"/>
          <w:lang w:val="zh-CN"/>
        </w:rPr>
        <w:t>。</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（一）评价结论。</w:t>
      </w:r>
    </w:p>
    <w:p>
      <w:pPr>
        <w:adjustRightInd w:val="0"/>
        <w:snapToGrid w:val="0"/>
        <w:spacing w:line="578" w:lineRule="exact"/>
        <w:ind w:firstLine="720"/>
        <w:rPr>
          <w:rFonts w:hint="eastAsia" w:eastAsia="仿宋_GB2312"/>
          <w:sz w:val="32"/>
          <w:szCs w:val="32"/>
          <w:lang w:eastAsia="zh-CN"/>
        </w:rPr>
      </w:pPr>
      <w:r>
        <w:rPr>
          <w:rFonts w:hint="eastAsia" w:eastAsia="仿宋_GB2312"/>
          <w:kern w:val="0"/>
          <w:sz w:val="32"/>
          <w:szCs w:val="32"/>
          <w:shd w:val="clear" w:color="auto" w:fill="FFFFFF"/>
          <w:lang w:val="zh-CN"/>
        </w:rPr>
        <w:t>京东（盐边）乡村振兴示范园装修工程</w:t>
      </w:r>
      <w:r>
        <w:rPr>
          <w:rFonts w:hint="eastAsia" w:ascii="Times New Roman" w:hAnsi="Times New Roman" w:eastAsia="仿宋_GB2312" w:cs="Times New Roman"/>
          <w:kern w:val="0"/>
          <w:sz w:val="32"/>
          <w:szCs w:val="32"/>
          <w:shd w:val="clear" w:color="auto" w:fill="FFFFFF"/>
          <w:lang w:val="en-US" w:eastAsia="zh-CN"/>
        </w:rPr>
        <w:t>项目</w:t>
      </w:r>
      <w:r>
        <w:rPr>
          <w:rFonts w:eastAsia="仿宋_GB2312"/>
          <w:sz w:val="32"/>
          <w:szCs w:val="32"/>
        </w:rPr>
        <w:t>绩效自评得分为</w:t>
      </w:r>
      <w:r>
        <w:rPr>
          <w:rFonts w:hint="eastAsia" w:eastAsia="仿宋_GB2312"/>
          <w:sz w:val="32"/>
          <w:szCs w:val="32"/>
          <w:lang w:val="en-US" w:eastAsia="zh-CN"/>
        </w:rPr>
        <w:t>93</w:t>
      </w:r>
      <w:r>
        <w:rPr>
          <w:rFonts w:eastAsia="仿宋_GB2312"/>
          <w:sz w:val="32"/>
          <w:szCs w:val="32"/>
        </w:rPr>
        <w:t>分</w:t>
      </w:r>
      <w:r>
        <w:rPr>
          <w:rFonts w:hint="eastAsia" w:eastAsia="仿宋_GB2312"/>
          <w:sz w:val="32"/>
          <w:szCs w:val="32"/>
          <w:lang w:eastAsia="zh-CN"/>
        </w:rPr>
        <w:t>，评价结论良好。</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（二）存在的问题。</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val="zh-CN"/>
        </w:rPr>
        <w:t>无。</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（三）相关建议。</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无。</w:t>
      </w:r>
    </w:p>
    <w:p>
      <w:pPr>
        <w:pStyle w:val="2"/>
      </w:pPr>
    </w:p>
    <w:p>
      <w:pPr>
        <w:pStyle w:val="2"/>
      </w:pPr>
    </w:p>
    <w:p>
      <w:pPr>
        <w:pStyle w:val="2"/>
      </w:pPr>
    </w:p>
    <w:p>
      <w:pPr>
        <w:pStyle w:val="2"/>
      </w:pPr>
    </w:p>
    <w:p>
      <w:pPr>
        <w:pStyle w:val="2"/>
      </w:pPr>
    </w:p>
    <w:p>
      <w:pPr>
        <w:pStyle w:val="2"/>
      </w:pPr>
    </w:p>
    <w:p>
      <w:pPr>
        <w:pStyle w:val="2"/>
        <w:sectPr>
          <w:pgSz w:w="11906" w:h="16838"/>
          <w:pgMar w:top="1440" w:right="1800" w:bottom="1440" w:left="1800" w:header="851" w:footer="992" w:gutter="0"/>
          <w:pgNumType w:fmt="decimal"/>
          <w:cols w:space="425" w:num="1"/>
          <w:docGrid w:type="lines" w:linePitch="312" w:charSpace="0"/>
        </w:sectPr>
      </w:pPr>
    </w:p>
    <w:p>
      <w:pPr>
        <w:pStyle w:val="36"/>
        <w:spacing w:line="578" w:lineRule="exact"/>
        <w:jc w:val="center"/>
        <w:rPr>
          <w:rFonts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专项预算</w:t>
      </w:r>
      <w:r>
        <w:rPr>
          <w:rFonts w:hint="eastAsia" w:ascii="方正小标宋简体" w:hAnsi="方正小标宋简体" w:eastAsia="方正小标宋简体" w:cs="方正小标宋简体"/>
          <w:color w:val="auto"/>
          <w:kern w:val="2"/>
          <w:sz w:val="32"/>
          <w:szCs w:val="32"/>
          <w:lang w:val="en-US" w:eastAsia="zh-CN"/>
        </w:rPr>
        <w:t>盐边县红格国际运动康养·温泉度假区基础设施项目管理、运营、维护等</w:t>
      </w:r>
      <w:r>
        <w:rPr>
          <w:rFonts w:hint="eastAsia" w:ascii="方正小标宋简体" w:hAnsi="方正小标宋简体" w:eastAsia="方正小标宋简体" w:cs="方正小标宋简体"/>
          <w:color w:val="auto"/>
          <w:kern w:val="2"/>
          <w:sz w:val="32"/>
          <w:szCs w:val="32"/>
          <w:lang w:val="en-US"/>
        </w:rPr>
        <w:t>项目绩效评价报告</w:t>
      </w:r>
    </w:p>
    <w:p>
      <w:pPr>
        <w:pStyle w:val="36"/>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（一）项目基本情况。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en-US" w:eastAsia="zh-CN" w:bidi="ar-SA"/>
        </w:rPr>
      </w:pPr>
      <w:r>
        <w:rPr>
          <w:rFonts w:hint="eastAsia" w:ascii="Times New Roman" w:hAnsi="Times New Roman" w:eastAsia="仿宋_GB2312" w:cs="Times New Roman"/>
          <w:kern w:val="0"/>
          <w:sz w:val="32"/>
          <w:szCs w:val="32"/>
          <w:shd w:val="clear" w:color="auto" w:fill="FFFFFF"/>
          <w:lang w:val="zh-CN" w:eastAsia="zh-CN" w:bidi="ar-SA"/>
        </w:rPr>
        <w:t>1．在盐边县红格国际运动康养·温泉度假区基础设施项目管理、运营、维护等</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中，盐边县红格国际运动康养·温泉度假区管理委员会主要职能职责：统筹项目建设，做好项目建设总体规划、建设方案及协调管理工作等。</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2．项目立项、资金申报的依据：《红格度假区管委会关于解决红格度假区基础设施运营管理维护专项经费的请示》（红管委〔202</w:t>
      </w:r>
      <w:r>
        <w:rPr>
          <w:rFonts w:hint="eastAsia" w:ascii="Times New Roman" w:hAnsi="Times New Roman" w:eastAsia="仿宋_GB2312" w:cs="Times New Roman"/>
          <w:kern w:val="0"/>
          <w:sz w:val="32"/>
          <w:szCs w:val="32"/>
          <w:shd w:val="clear" w:color="auto" w:fill="FFFFFF"/>
          <w:lang w:val="en-US" w:eastAsia="zh-CN" w:bidi="ar-SA"/>
        </w:rPr>
        <w:t>3</w:t>
      </w:r>
      <w:r>
        <w:rPr>
          <w:rFonts w:hint="eastAsia" w:ascii="Times New Roman" w:hAnsi="Times New Roman" w:eastAsia="仿宋_GB2312" w:cs="Times New Roman"/>
          <w:kern w:val="0"/>
          <w:sz w:val="32"/>
          <w:szCs w:val="32"/>
          <w:shd w:val="clear" w:color="auto" w:fill="FFFFFF"/>
          <w:lang w:val="zh-CN" w:eastAsia="zh-CN" w:bidi="ar-SA"/>
        </w:rPr>
        <w:t>〕</w:t>
      </w:r>
      <w:r>
        <w:rPr>
          <w:rFonts w:hint="eastAsia" w:ascii="Times New Roman" w:hAnsi="Times New Roman" w:eastAsia="仿宋_GB2312" w:cs="Times New Roman"/>
          <w:kern w:val="0"/>
          <w:sz w:val="32"/>
          <w:szCs w:val="32"/>
          <w:shd w:val="clear" w:color="auto" w:fill="FFFFFF"/>
          <w:lang w:val="en-US" w:eastAsia="zh-CN" w:bidi="ar-SA"/>
        </w:rPr>
        <w:t>35</w:t>
      </w:r>
      <w:r>
        <w:rPr>
          <w:rFonts w:hint="eastAsia" w:ascii="Times New Roman" w:hAnsi="Times New Roman" w:eastAsia="仿宋_GB2312" w:cs="Times New Roman"/>
          <w:kern w:val="0"/>
          <w:sz w:val="32"/>
          <w:szCs w:val="32"/>
          <w:shd w:val="clear" w:color="auto" w:fill="FFFFFF"/>
          <w:lang w:val="zh-CN" w:eastAsia="zh-CN" w:bidi="ar-SA"/>
        </w:rPr>
        <w:t>号）。</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3．该项目资金专项用于盐边县红格国际运动康养·温泉度假区基础设施项目管理、运营、维护等</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支出，通过财政统筹支付，专款专用。</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4．项目资金主要用于红格度假区基础设施项目管理、运营、维护、环境整治等工作。该项目主要目标是提高该地区环境卫生，美化城市，促进整个区域生活环境提升以及城市可持续发展，为广大游客提供干净整洁的休闲观光场所，提升红格国际运动康养·温泉度假区整体形象，打造国际一流的康养旅游度假区。</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（二）项目绩效目标。</w:t>
      </w:r>
    </w:p>
    <w:p>
      <w:pPr>
        <w:widowControl/>
        <w:adjustRightInd w:val="0"/>
        <w:snapToGrid w:val="0"/>
        <w:spacing w:line="578" w:lineRule="exact"/>
        <w:ind w:firstLine="640" w:firstLineChars="200"/>
        <w:contextualSpacing/>
        <w:jc w:val="left"/>
        <w:rPr>
          <w:rFonts w:hint="eastAsia" w:eastAsia="仿宋_GB2312"/>
          <w:kern w:val="0"/>
          <w:sz w:val="32"/>
          <w:szCs w:val="32"/>
          <w:shd w:val="clear" w:color="auto" w:fill="FFFFFF"/>
          <w:lang w:val="zh-CN"/>
        </w:rPr>
      </w:pPr>
      <w:r>
        <w:rPr>
          <w:rFonts w:eastAsia="仿宋_GB2312"/>
          <w:kern w:val="0"/>
          <w:sz w:val="32"/>
          <w:szCs w:val="32"/>
          <w:shd w:val="clear" w:color="auto" w:fill="FFFFFF"/>
          <w:lang w:val="zh-CN"/>
        </w:rPr>
        <w:t>1．项目主要内容。</w:t>
      </w:r>
      <w:r>
        <w:rPr>
          <w:rFonts w:hint="eastAsia" w:eastAsia="仿宋_GB2312"/>
          <w:kern w:val="0"/>
          <w:sz w:val="32"/>
          <w:szCs w:val="32"/>
          <w:shd w:val="clear" w:color="auto" w:fill="FFFFFF"/>
          <w:lang w:val="zh-CN"/>
        </w:rPr>
        <w:t>以国家5A级景区和国家旅游度假区双重标准为建设要求，立足医养结合、温泉养生、会议会展、体育赛事、休闲体验农业等业态，按照“养身、养心、养智”的目标和“避寒、避暑、避霾”的理念，推动康养运动旅游资源整合开发，开创全龄化服务、全时段开发、全产业链布局的国际康养旅游目的地、运动休闲胜地。为落实县委“红格一座城”工作要求，结合红格国际运动康养·温泉度假区实际，切实做好红格度假区基础设施项目管理、运营、维护、环境整治等工作，为广大游客提供干净整洁的休闲观光场所，以提升红格国际运动康养·温泉度假区整体形象，打造国际一流的康养旅游度假区。</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项目应实现的具体绩效目标。该项目属于盐边县红格国际运动康养·温泉度假区管理委员会部门职能职责管理，通过聘用合同，对红格度假区环境整治、基础设施维护、正常运营管理相关内容、项目实施时间、整治质量及验收、双方责任等进行了明确；权责分明，为顺利实施该项目提供了保障。</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3．该项目申报内容与实际相符，申报目标合理可行。</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（三）项目自评步骤及方法。</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项目自评步骤主要有收集资料、识别指标、数据分析、结果评价四个步骤；主要采用内部评审的方法进行自评。</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（一）项目资金申报及批复情况。</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该项目严格按照资金申报有关要求撰写事前绩效评估表，获得批复后下达项目资金。</w:t>
      </w:r>
    </w:p>
    <w:p>
      <w:pPr>
        <w:adjustRightInd w:val="0"/>
        <w:snapToGrid w:val="0"/>
        <w:spacing w:line="578" w:lineRule="exact"/>
        <w:ind w:firstLine="720"/>
        <w:rPr>
          <w:rFonts w:ascii="仿宋_GB2312" w:hAnsi="宋体"/>
          <w:b/>
          <w:bCs/>
          <w:sz w:val="32"/>
          <w:szCs w:val="32"/>
          <w:lang w:val="zh-CN"/>
        </w:rPr>
      </w:pPr>
      <w:r>
        <w:rPr>
          <w:rFonts w:hint="eastAsia" w:ascii="楷体_GB2312" w:hAnsi="宋体" w:eastAsia="楷体_GB2312"/>
          <w:b/>
          <w:bCs/>
          <w:sz w:val="32"/>
          <w:szCs w:val="32"/>
          <w:lang w:val="zh-CN"/>
        </w:rPr>
        <w:t>（二）资金计划、到位及使用情况。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1．资金计划。该项目资金计划为</w:t>
      </w:r>
      <w:r>
        <w:rPr>
          <w:rFonts w:hint="eastAsia" w:ascii="Times New Roman" w:hAnsi="Times New Roman" w:eastAsia="仿宋_GB2312" w:cs="Times New Roman"/>
          <w:kern w:val="0"/>
          <w:sz w:val="32"/>
          <w:szCs w:val="32"/>
          <w:shd w:val="clear" w:color="auto" w:fill="FFFFFF"/>
          <w:lang w:val="en-US" w:eastAsia="zh-CN" w:bidi="ar-SA"/>
        </w:rPr>
        <w:t>89.1</w:t>
      </w:r>
      <w:r>
        <w:rPr>
          <w:rFonts w:hint="eastAsia" w:ascii="Times New Roman" w:hAnsi="Times New Roman" w:eastAsia="仿宋_GB2312" w:cs="Times New Roman"/>
          <w:kern w:val="0"/>
          <w:sz w:val="32"/>
          <w:szCs w:val="32"/>
          <w:shd w:val="clear" w:color="auto" w:fill="FFFFFF"/>
          <w:lang w:val="zh-CN" w:eastAsia="zh-CN" w:bidi="ar-SA"/>
        </w:rPr>
        <w:t>万元，全部为县财政资金。</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2．资金到位。截止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项目资金到位</w:t>
      </w:r>
      <w:r>
        <w:rPr>
          <w:rFonts w:hint="eastAsia" w:ascii="Times New Roman" w:hAnsi="Times New Roman" w:eastAsia="仿宋_GB2312" w:cs="Times New Roman"/>
          <w:kern w:val="0"/>
          <w:sz w:val="32"/>
          <w:szCs w:val="32"/>
          <w:shd w:val="clear" w:color="auto" w:fill="FFFFFF"/>
          <w:lang w:val="en-US" w:eastAsia="zh-CN" w:bidi="ar-SA"/>
        </w:rPr>
        <w:t>89.1万元，全部来源于县财政资金，</w:t>
      </w:r>
      <w:r>
        <w:rPr>
          <w:rFonts w:hint="eastAsia" w:ascii="Times New Roman" w:hAnsi="Times New Roman" w:eastAsia="仿宋_GB2312" w:cs="Times New Roman"/>
          <w:kern w:val="0"/>
          <w:sz w:val="32"/>
          <w:szCs w:val="32"/>
          <w:shd w:val="clear" w:color="auto" w:fill="FFFFFF"/>
          <w:lang w:val="zh-CN" w:eastAsia="zh-CN" w:bidi="ar-SA"/>
        </w:rPr>
        <w:t>资金到位率</w:t>
      </w:r>
      <w:r>
        <w:rPr>
          <w:rFonts w:hint="eastAsia" w:ascii="Times New Roman" w:hAnsi="Times New Roman" w:eastAsia="仿宋_GB2312" w:cs="Times New Roman"/>
          <w:kern w:val="0"/>
          <w:sz w:val="32"/>
          <w:szCs w:val="32"/>
          <w:shd w:val="clear" w:color="auto" w:fill="FFFFFF"/>
          <w:lang w:val="en-US" w:eastAsia="zh-CN" w:bidi="ar-SA"/>
        </w:rPr>
        <w:t>100%</w:t>
      </w:r>
      <w:r>
        <w:rPr>
          <w:rFonts w:hint="eastAsia" w:ascii="Times New Roman" w:hAnsi="Times New Roman" w:eastAsia="仿宋_GB2312" w:cs="Times New Roman"/>
          <w:kern w:val="0"/>
          <w:sz w:val="32"/>
          <w:szCs w:val="32"/>
          <w:shd w:val="clear" w:color="auto" w:fill="FFFFFF"/>
          <w:lang w:val="zh-CN" w:eastAsia="zh-CN" w:bidi="ar-SA"/>
        </w:rPr>
        <w:t>，到位及时。</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3．资金使用。截止</w:t>
      </w:r>
      <w:r>
        <w:rPr>
          <w:rFonts w:hint="eastAsia" w:ascii="Times New Roman" w:hAnsi="Times New Roman" w:eastAsia="仿宋_GB2312" w:cs="Times New Roman"/>
          <w:kern w:val="0"/>
          <w:sz w:val="32"/>
          <w:szCs w:val="32"/>
          <w:shd w:val="clear" w:color="auto" w:fill="FFFFFF"/>
          <w:lang w:val="en-US" w:eastAsia="zh-CN" w:bidi="ar-SA"/>
        </w:rPr>
        <w:t>2023年底，</w:t>
      </w:r>
      <w:r>
        <w:rPr>
          <w:rFonts w:hint="eastAsia" w:ascii="Times New Roman" w:hAnsi="Times New Roman" w:eastAsia="仿宋_GB2312" w:cs="Times New Roman"/>
          <w:kern w:val="0"/>
          <w:sz w:val="32"/>
          <w:szCs w:val="32"/>
          <w:shd w:val="clear" w:color="auto" w:fill="FFFFFF"/>
          <w:lang w:val="zh-CN" w:eastAsia="zh-CN" w:bidi="ar-SA"/>
        </w:rPr>
        <w:t>项目支出</w:t>
      </w:r>
      <w:r>
        <w:rPr>
          <w:rFonts w:hint="eastAsia" w:ascii="Times New Roman" w:hAnsi="Times New Roman" w:eastAsia="仿宋_GB2312" w:cs="Times New Roman"/>
          <w:kern w:val="0"/>
          <w:sz w:val="32"/>
          <w:szCs w:val="32"/>
          <w:shd w:val="clear" w:color="auto" w:fill="FFFFFF"/>
          <w:lang w:val="en-US" w:eastAsia="zh-CN" w:bidi="ar-SA"/>
        </w:rPr>
        <w:t>76.73</w:t>
      </w:r>
      <w:r>
        <w:rPr>
          <w:rFonts w:hint="eastAsia" w:ascii="Times New Roman" w:hAnsi="Times New Roman" w:eastAsia="仿宋_GB2312" w:cs="Times New Roman"/>
          <w:kern w:val="0"/>
          <w:sz w:val="32"/>
          <w:szCs w:val="32"/>
          <w:shd w:val="clear" w:color="auto" w:fill="FFFFFF"/>
          <w:lang w:val="zh-CN" w:eastAsia="zh-CN" w:bidi="ar-SA"/>
        </w:rPr>
        <w:t>万元，均用于盐边县红格国际运动康养·温泉度假区基础设施项目管理、运营、维护等</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支出，主要涉及基础设施项目运营、管理、维护费等。该笔资金使用中严格按照会计相关准则进行支付和报销，支付票据、原始凭证完整。</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（三）项目财务管理情况。</w:t>
      </w:r>
    </w:p>
    <w:p>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hint="eastAsia" w:eastAsia="仿宋_GB2312"/>
          <w:kern w:val="0"/>
          <w:sz w:val="32"/>
          <w:szCs w:val="32"/>
          <w:shd w:val="clear" w:color="auto" w:fill="FFFFFF"/>
          <w:lang w:val="zh-CN"/>
        </w:rPr>
        <w:t>盐边县红格国际运动康养·温泉度假区基础设施项目管理、运营、维护等</w:t>
      </w:r>
      <w:r>
        <w:rPr>
          <w:rFonts w:hint="eastAsia" w:ascii="Times New Roman" w:hAnsi="Times New Roman" w:eastAsia="仿宋_GB2312" w:cs="Times New Roman"/>
          <w:kern w:val="0"/>
          <w:sz w:val="32"/>
          <w:szCs w:val="32"/>
          <w:shd w:val="clear" w:color="auto" w:fill="FFFFFF"/>
          <w:lang w:val="en-US" w:eastAsia="zh-CN"/>
        </w:rPr>
        <w:t>项目</w:t>
      </w:r>
      <w:r>
        <w:rPr>
          <w:rFonts w:eastAsia="仿宋_GB2312"/>
          <w:kern w:val="0"/>
          <w:sz w:val="32"/>
          <w:szCs w:val="32"/>
          <w:shd w:val="clear" w:color="auto" w:fill="FFFFFF"/>
          <w:lang w:val="zh-CN"/>
        </w:rPr>
        <w:t>实施单位为盐边县红格国际运动康养·温泉度假区管理委员会，单位财务管理制度健全，工作开展中严格执行财务管理制度，账务处理及时，会计核算规范。</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78" w:lineRule="exact"/>
        <w:ind w:firstLine="643" w:firstLineChars="200"/>
        <w:rPr>
          <w:rFonts w:ascii="黑体" w:hAnsi="宋体" w:eastAsia="黑体"/>
          <w:b/>
          <w:bCs/>
          <w:sz w:val="32"/>
          <w:szCs w:val="32"/>
        </w:rPr>
      </w:pPr>
      <w:r>
        <w:rPr>
          <w:rFonts w:hint="eastAsia" w:ascii="楷体_GB2312" w:hAnsi="宋体" w:eastAsia="楷体_GB2312"/>
          <w:b/>
          <w:bCs/>
          <w:sz w:val="32"/>
          <w:szCs w:val="32"/>
          <w:lang w:val="zh-CN"/>
        </w:rPr>
        <w:t>（一）项目组织架构及实施流程。</w:t>
      </w:r>
    </w:p>
    <w:p>
      <w:pPr>
        <w:pStyle w:val="2"/>
        <w:spacing w:before="93"/>
        <w:rPr>
          <w:rFonts w:hint="default" w:ascii="Times New Roman" w:hAnsi="Times New Roman" w:eastAsia="仿宋_GB2312" w:cs="Times New Roman"/>
          <w:kern w:val="0"/>
          <w:sz w:val="32"/>
          <w:szCs w:val="32"/>
          <w:shd w:val="clear" w:color="auto" w:fill="FFFFFF"/>
          <w:lang w:val="en-US" w:eastAsia="zh-CN" w:bidi="ar-SA"/>
        </w:rPr>
      </w:pPr>
      <w:r>
        <w:rPr>
          <w:rFonts w:hint="eastAsia"/>
          <w:lang w:val="zh-CN"/>
        </w:rPr>
        <w:t xml:space="preserve">    </w:t>
      </w:r>
      <w:r>
        <w:rPr>
          <w:rFonts w:hint="eastAsia" w:ascii="Times New Roman" w:hAnsi="Times New Roman" w:eastAsia="仿宋_GB2312" w:cs="Times New Roman"/>
          <w:kern w:val="0"/>
          <w:sz w:val="32"/>
          <w:szCs w:val="32"/>
          <w:shd w:val="clear" w:color="auto" w:fill="FFFFFF"/>
          <w:lang w:val="zh-CN" w:eastAsia="zh-CN" w:bidi="ar-SA"/>
        </w:rPr>
        <w:t>该项目</w:t>
      </w:r>
      <w:r>
        <w:rPr>
          <w:rFonts w:ascii="Times New Roman" w:hAnsi="Times New Roman" w:eastAsia="仿宋_GB2312" w:cs="Times New Roman"/>
          <w:kern w:val="0"/>
          <w:sz w:val="32"/>
          <w:szCs w:val="32"/>
          <w:shd w:val="clear" w:color="auto" w:fill="FFFFFF"/>
          <w:lang w:val="zh-CN" w:eastAsia="zh-CN" w:bidi="ar-SA"/>
        </w:rPr>
        <w:t>由盐边县红格国际运动康养·温泉度假区管理委员会负责该项工作的具体实施，均按需按时正常支付相关运行费用</w:t>
      </w:r>
      <w:r>
        <w:rPr>
          <w:rFonts w:hint="eastAsia" w:ascii="Times New Roman" w:cs="Times New Roman"/>
          <w:kern w:val="0"/>
          <w:sz w:val="32"/>
          <w:szCs w:val="32"/>
          <w:shd w:val="clear" w:color="auto" w:fill="FFFFFF"/>
          <w:lang w:val="zh-CN" w:eastAsia="zh-CN" w:bidi="ar-SA"/>
        </w:rPr>
        <w:t>，</w:t>
      </w:r>
      <w:r>
        <w:rPr>
          <w:rFonts w:hint="eastAsia" w:hAnsi="仿宋_GB2312" w:eastAsia="仿宋_GB2312" w:cs="仿宋_GB2312"/>
          <w:color w:val="auto"/>
          <w:sz w:val="32"/>
          <w:lang w:val="en-US" w:eastAsia="zh-CN"/>
        </w:rPr>
        <w:t>保障工作有序推进。</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（二）项目管理情况。</w:t>
      </w:r>
    </w:p>
    <w:p>
      <w:pPr>
        <w:adjustRightInd w:val="0"/>
        <w:snapToGrid w:val="0"/>
        <w:spacing w:line="578" w:lineRule="exact"/>
        <w:ind w:firstLine="720"/>
        <w:rPr>
          <w:rFonts w:eastAsia="仿宋_GB2312"/>
          <w:kern w:val="0"/>
          <w:sz w:val="32"/>
          <w:szCs w:val="32"/>
          <w:shd w:val="clear" w:color="auto" w:fill="FFFFFF"/>
        </w:rPr>
      </w:pPr>
      <w:r>
        <w:rPr>
          <w:rFonts w:eastAsia="仿宋_GB2312"/>
          <w:sz w:val="32"/>
          <w:szCs w:val="32"/>
          <w:lang w:val="zh-CN"/>
        </w:rPr>
        <w:t>本单位对该项目</w:t>
      </w:r>
      <w:r>
        <w:rPr>
          <w:rFonts w:eastAsia="仿宋_GB2312"/>
          <w:kern w:val="0"/>
          <w:sz w:val="32"/>
          <w:szCs w:val="32"/>
          <w:shd w:val="clear" w:color="auto" w:fill="FFFFFF"/>
        </w:rPr>
        <w:t>实行科学动态管理，以厉行节约、实事求是为原则，合理控制运行需求，并严格执行政府采购的相关规定。</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（三）项目监管情况。</w:t>
      </w:r>
    </w:p>
    <w:p>
      <w:pPr>
        <w:adjustRightInd w:val="0"/>
        <w:snapToGrid w:val="0"/>
        <w:spacing w:line="578" w:lineRule="exact"/>
        <w:ind w:firstLine="720"/>
        <w:rPr>
          <w:rFonts w:eastAsia="仿宋_GB2312"/>
          <w:sz w:val="32"/>
          <w:szCs w:val="32"/>
        </w:rPr>
      </w:pPr>
      <w:r>
        <w:rPr>
          <w:rFonts w:eastAsia="仿宋_GB2312"/>
          <w:sz w:val="32"/>
          <w:szCs w:val="32"/>
        </w:rPr>
        <w:t>项目支出均严格落实审批制，各个环节从财务审批到领导审签做到严格把关</w:t>
      </w:r>
      <w:r>
        <w:rPr>
          <w:rFonts w:hint="eastAsia" w:eastAsia="仿宋_GB2312"/>
          <w:sz w:val="32"/>
          <w:szCs w:val="32"/>
          <w:lang w:eastAsia="zh-CN"/>
        </w:rPr>
        <w:t>，同时</w:t>
      </w:r>
      <w:r>
        <w:rPr>
          <w:rFonts w:eastAsia="仿宋_GB2312"/>
          <w:sz w:val="32"/>
          <w:szCs w:val="32"/>
        </w:rPr>
        <w:t>自觉接受财政局及相关部门监督。</w:t>
      </w:r>
    </w:p>
    <w:p>
      <w:pPr>
        <w:adjustRightInd w:val="0"/>
        <w:snapToGrid w:val="0"/>
        <w:spacing w:line="578" w:lineRule="exact"/>
        <w:ind w:firstLine="640" w:firstLineChars="200"/>
        <w:rPr>
          <w:rFonts w:ascii="仿宋_GB2312" w:hAnsi="宋体"/>
          <w:sz w:val="32"/>
          <w:szCs w:val="32"/>
          <w:lang w:val="zh-CN"/>
        </w:rPr>
      </w:pPr>
      <w:r>
        <w:rPr>
          <w:rFonts w:hint="eastAsia" w:ascii="黑体" w:hAnsi="宋体" w:eastAsia="黑体"/>
          <w:sz w:val="32"/>
          <w:szCs w:val="32"/>
        </w:rPr>
        <w:t>四、项目绩效情况</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（一）项目完成情况。</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both"/>
        <w:textAlignment w:val="auto"/>
        <w:rPr>
          <w:rFonts w:hint="eastAsia" w:ascii="Times New Roman" w:hAnsi="Times New Roman" w:eastAsia="仿宋_GB2312" w:cs="Times New Roman"/>
          <w:kern w:val="0"/>
          <w:sz w:val="32"/>
          <w:szCs w:val="32"/>
          <w:shd w:val="clear" w:color="auto" w:fill="FFFFFF"/>
          <w:lang w:val="zh-CN" w:eastAsia="zh-CN" w:bidi="ar-SA"/>
        </w:rPr>
      </w:pPr>
      <w:r>
        <w:rPr>
          <w:rFonts w:hint="eastAsia" w:ascii="Times New Roman" w:hAnsi="Times New Roman" w:eastAsia="仿宋_GB2312" w:cs="Times New Roman"/>
          <w:kern w:val="0"/>
          <w:sz w:val="32"/>
          <w:szCs w:val="32"/>
          <w:shd w:val="clear" w:color="auto" w:fill="FFFFFF"/>
          <w:lang w:val="zh-CN" w:eastAsia="zh-CN" w:bidi="ar-SA"/>
        </w:rPr>
        <w:t>盐边县红格国际运动康养·温泉度假区基础设施项目管理、运营、维护等</w:t>
      </w:r>
      <w:r>
        <w:rPr>
          <w:rFonts w:hint="eastAsia" w:ascii="Times New Roman" w:hAnsi="Times New Roman" w:eastAsia="仿宋_GB2312" w:cs="Times New Roman"/>
          <w:kern w:val="0"/>
          <w:sz w:val="32"/>
          <w:szCs w:val="32"/>
          <w:shd w:val="clear" w:color="auto" w:fill="FFFFFF"/>
          <w:lang w:val="en-US" w:eastAsia="zh-CN" w:bidi="ar-SA"/>
        </w:rPr>
        <w:t>项目</w:t>
      </w:r>
      <w:r>
        <w:rPr>
          <w:rFonts w:hint="eastAsia" w:ascii="Times New Roman" w:hAnsi="Times New Roman" w:eastAsia="仿宋_GB2312" w:cs="Times New Roman"/>
          <w:kern w:val="0"/>
          <w:sz w:val="32"/>
          <w:szCs w:val="32"/>
          <w:shd w:val="clear" w:color="auto" w:fill="FFFFFF"/>
          <w:lang w:val="zh-CN" w:eastAsia="zh-CN" w:bidi="ar-SA"/>
        </w:rPr>
        <w:t>完成质量高，资金结余</w:t>
      </w:r>
      <w:r>
        <w:rPr>
          <w:rFonts w:hint="eastAsia" w:ascii="Times New Roman" w:hAnsi="Times New Roman" w:eastAsia="仿宋_GB2312" w:cs="Times New Roman"/>
          <w:kern w:val="0"/>
          <w:sz w:val="32"/>
          <w:szCs w:val="32"/>
          <w:shd w:val="clear" w:color="auto" w:fill="FFFFFF"/>
          <w:lang w:val="en-US" w:eastAsia="zh-CN" w:bidi="ar-SA"/>
        </w:rPr>
        <w:t>12.37万元</w:t>
      </w:r>
      <w:r>
        <w:rPr>
          <w:rFonts w:hint="eastAsia" w:ascii="Times New Roman" w:hAnsi="Times New Roman" w:eastAsia="仿宋_GB2312" w:cs="Times New Roman"/>
          <w:kern w:val="0"/>
          <w:sz w:val="32"/>
          <w:szCs w:val="32"/>
          <w:shd w:val="clear" w:color="auto" w:fill="FFFFFF"/>
          <w:lang w:val="zh-CN" w:eastAsia="zh-CN" w:bidi="ar-SA"/>
        </w:rPr>
        <w:t>，全部上缴回财政局，项目资金使用中无违规情况发生。项目进度控制良好，成本控制较好，资金使用效率高。</w:t>
      </w:r>
    </w:p>
    <w:p>
      <w:pPr>
        <w:adjustRightInd w:val="0"/>
        <w:snapToGrid w:val="0"/>
        <w:spacing w:line="578" w:lineRule="exact"/>
        <w:ind w:firstLine="643" w:firstLineChars="200"/>
        <w:rPr>
          <w:rFonts w:ascii="楷体_GB2312" w:hAnsi="宋体" w:eastAsia="楷体_GB2312"/>
          <w:b/>
          <w:bCs/>
          <w:sz w:val="32"/>
          <w:szCs w:val="32"/>
          <w:lang w:val="zh-CN"/>
        </w:rPr>
      </w:pPr>
      <w:r>
        <w:rPr>
          <w:rFonts w:hint="eastAsia" w:ascii="楷体_GB2312" w:hAnsi="宋体" w:eastAsia="楷体_GB2312"/>
          <w:b/>
          <w:bCs/>
          <w:sz w:val="32"/>
          <w:szCs w:val="32"/>
          <w:lang w:val="zh-CN"/>
        </w:rPr>
        <w:t>（二）项目效益情况。</w:t>
      </w:r>
    </w:p>
    <w:p>
      <w:pPr>
        <w:adjustRightInd w:val="0"/>
        <w:snapToGrid w:val="0"/>
        <w:spacing w:line="578" w:lineRule="exact"/>
        <w:ind w:firstLine="720"/>
        <w:rPr>
          <w:rFonts w:eastAsia="仿宋_GB2312"/>
          <w:kern w:val="0"/>
          <w:sz w:val="32"/>
          <w:szCs w:val="32"/>
          <w:shd w:val="clear" w:color="auto" w:fill="FFFFFF"/>
          <w:lang w:val="zh-CN"/>
        </w:rPr>
      </w:pPr>
      <w:r>
        <w:rPr>
          <w:rFonts w:hint="eastAsia" w:eastAsia="仿宋_GB2312"/>
          <w:kern w:val="0"/>
          <w:sz w:val="32"/>
          <w:szCs w:val="32"/>
          <w:shd w:val="clear" w:color="auto" w:fill="FFFFFF"/>
          <w:lang w:val="zh-CN"/>
        </w:rPr>
        <w:t>通过盐边县红格国际运动康养·温泉度假区基础设施项目管理、运营、维护等</w:t>
      </w:r>
      <w:r>
        <w:rPr>
          <w:rFonts w:hint="eastAsia" w:ascii="Times New Roman" w:hAnsi="Times New Roman" w:eastAsia="仿宋_GB2312" w:cs="Times New Roman"/>
          <w:kern w:val="0"/>
          <w:sz w:val="32"/>
          <w:szCs w:val="32"/>
          <w:shd w:val="clear" w:color="auto" w:fill="FFFFFF"/>
          <w:lang w:val="en-US" w:eastAsia="zh-CN"/>
        </w:rPr>
        <w:t>项目</w:t>
      </w:r>
      <w:r>
        <w:rPr>
          <w:rFonts w:hint="eastAsia" w:eastAsia="仿宋_GB2312"/>
          <w:sz w:val="32"/>
          <w:szCs w:val="32"/>
          <w:lang w:eastAsia="zh-CN"/>
        </w:rPr>
        <w:t>，提升度假区整体形象，为外来游客提供休闲舒适的观光体验，</w:t>
      </w:r>
      <w:r>
        <w:rPr>
          <w:rFonts w:eastAsia="仿宋_GB2312"/>
          <w:kern w:val="0"/>
          <w:sz w:val="32"/>
          <w:szCs w:val="32"/>
          <w:shd w:val="clear" w:color="auto" w:fill="FFFFFF"/>
          <w:lang w:val="zh-CN"/>
        </w:rPr>
        <w:t>具备一定经济效益</w:t>
      </w:r>
      <w:r>
        <w:rPr>
          <w:rFonts w:hint="eastAsia" w:eastAsia="仿宋_GB2312"/>
          <w:kern w:val="0"/>
          <w:sz w:val="32"/>
          <w:szCs w:val="32"/>
          <w:shd w:val="clear" w:color="auto" w:fill="FFFFFF"/>
          <w:lang w:val="zh-CN"/>
        </w:rPr>
        <w:t>、</w:t>
      </w:r>
      <w:r>
        <w:rPr>
          <w:rFonts w:eastAsia="仿宋_GB2312"/>
          <w:kern w:val="0"/>
          <w:sz w:val="32"/>
          <w:szCs w:val="32"/>
          <w:shd w:val="clear" w:color="auto" w:fill="FFFFFF"/>
          <w:lang w:val="zh-CN"/>
        </w:rPr>
        <w:t>社会效益</w:t>
      </w:r>
      <w:r>
        <w:rPr>
          <w:rFonts w:hint="eastAsia" w:eastAsia="仿宋_GB2312"/>
          <w:kern w:val="0"/>
          <w:sz w:val="32"/>
          <w:szCs w:val="32"/>
          <w:shd w:val="clear" w:color="auto" w:fill="FFFFFF"/>
          <w:lang w:val="zh-CN"/>
        </w:rPr>
        <w:t>、</w:t>
      </w:r>
      <w:r>
        <w:rPr>
          <w:rFonts w:eastAsia="仿宋_GB2312"/>
          <w:kern w:val="0"/>
          <w:sz w:val="32"/>
          <w:szCs w:val="32"/>
          <w:shd w:val="clear" w:color="auto" w:fill="FFFFFF"/>
          <w:lang w:val="zh-CN"/>
        </w:rPr>
        <w:t>生态效益和可持续效益</w:t>
      </w:r>
      <w:r>
        <w:rPr>
          <w:rFonts w:hint="eastAsia" w:eastAsia="仿宋_GB2312"/>
          <w:kern w:val="0"/>
          <w:sz w:val="32"/>
          <w:szCs w:val="32"/>
          <w:shd w:val="clear" w:color="auto" w:fill="FFFFFF"/>
          <w:lang w:val="zh-CN"/>
        </w:rPr>
        <w:t>，</w:t>
      </w:r>
      <w:r>
        <w:rPr>
          <w:rFonts w:hint="eastAsia" w:ascii="仿宋_GB2312" w:hAnsi="仿宋_GB2312" w:eastAsia="仿宋_GB2312" w:cs="仿宋_GB2312"/>
          <w:kern w:val="0"/>
          <w:sz w:val="32"/>
          <w:szCs w:val="32"/>
          <w:shd w:val="clear" w:color="auto" w:fill="FFFFFF"/>
        </w:rPr>
        <w:t>提升</w:t>
      </w:r>
      <w:r>
        <w:rPr>
          <w:rFonts w:hint="eastAsia" w:ascii="仿宋_GB2312" w:hAnsi="仿宋_GB2312" w:eastAsia="仿宋_GB2312" w:cs="仿宋_GB2312"/>
          <w:kern w:val="0"/>
          <w:sz w:val="32"/>
          <w:szCs w:val="32"/>
          <w:shd w:val="clear" w:color="auto" w:fill="FFFFFF"/>
          <w:lang w:eastAsia="zh-CN"/>
        </w:rPr>
        <w:t>了</w:t>
      </w:r>
      <w:r>
        <w:rPr>
          <w:rFonts w:hint="eastAsia" w:ascii="仿宋_GB2312" w:hAnsi="仿宋_GB2312" w:eastAsia="仿宋_GB2312" w:cs="仿宋_GB2312"/>
          <w:kern w:val="0"/>
          <w:sz w:val="32"/>
          <w:szCs w:val="32"/>
          <w:shd w:val="clear" w:color="auto" w:fill="FFFFFF"/>
        </w:rPr>
        <w:t>广大游客、群众对度假区满意度</w:t>
      </w:r>
      <w:r>
        <w:rPr>
          <w:rFonts w:hint="eastAsia" w:ascii="仿宋_GB2312" w:hAnsi="仿宋_GB2312" w:eastAsia="仿宋_GB2312" w:cs="仿宋_GB2312"/>
          <w:kern w:val="0"/>
          <w:sz w:val="32"/>
          <w:szCs w:val="32"/>
          <w:shd w:val="clear" w:color="auto" w:fill="FFFFFF"/>
          <w:lang w:eastAsia="zh-CN"/>
        </w:rPr>
        <w:t>。</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（一）评价结论。</w:t>
      </w:r>
    </w:p>
    <w:p>
      <w:pPr>
        <w:adjustRightInd w:val="0"/>
        <w:snapToGrid w:val="0"/>
        <w:spacing w:line="578" w:lineRule="exact"/>
        <w:ind w:firstLine="720"/>
        <w:rPr>
          <w:rFonts w:hint="eastAsia" w:eastAsia="仿宋_GB2312"/>
          <w:sz w:val="32"/>
          <w:szCs w:val="32"/>
          <w:lang w:eastAsia="zh-CN"/>
        </w:rPr>
      </w:pPr>
      <w:r>
        <w:rPr>
          <w:rFonts w:hint="eastAsia" w:eastAsia="仿宋_GB2312"/>
          <w:kern w:val="0"/>
          <w:sz w:val="32"/>
          <w:szCs w:val="32"/>
          <w:shd w:val="clear" w:color="auto" w:fill="FFFFFF"/>
          <w:lang w:val="zh-CN"/>
        </w:rPr>
        <w:t>盐边县红格国际运动康养·温泉度假区基础设施项目管理、运营、维护等</w:t>
      </w:r>
      <w:r>
        <w:rPr>
          <w:rFonts w:hint="eastAsia" w:ascii="Times New Roman" w:hAnsi="Times New Roman" w:eastAsia="仿宋_GB2312" w:cs="Times New Roman"/>
          <w:kern w:val="0"/>
          <w:sz w:val="32"/>
          <w:szCs w:val="32"/>
          <w:shd w:val="clear" w:color="auto" w:fill="FFFFFF"/>
          <w:lang w:val="en-US" w:eastAsia="zh-CN"/>
        </w:rPr>
        <w:t>项目</w:t>
      </w:r>
      <w:r>
        <w:rPr>
          <w:rFonts w:eastAsia="仿宋_GB2312"/>
          <w:sz w:val="32"/>
          <w:szCs w:val="32"/>
        </w:rPr>
        <w:t>绩效自评得分为</w:t>
      </w:r>
      <w:r>
        <w:rPr>
          <w:rFonts w:hint="eastAsia" w:eastAsia="仿宋_GB2312"/>
          <w:sz w:val="32"/>
          <w:szCs w:val="32"/>
          <w:lang w:val="en-US" w:eastAsia="zh-CN"/>
        </w:rPr>
        <w:t>85</w:t>
      </w:r>
      <w:r>
        <w:rPr>
          <w:rFonts w:eastAsia="仿宋_GB2312"/>
          <w:sz w:val="32"/>
          <w:szCs w:val="32"/>
        </w:rPr>
        <w:t>分</w:t>
      </w:r>
      <w:r>
        <w:rPr>
          <w:rFonts w:hint="eastAsia" w:eastAsia="仿宋_GB2312"/>
          <w:sz w:val="32"/>
          <w:szCs w:val="32"/>
          <w:lang w:eastAsia="zh-CN"/>
        </w:rPr>
        <w:t>，评价结论良好。</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（二）存在的问题。</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val="zh-CN"/>
        </w:rPr>
        <w:t>无。</w:t>
      </w:r>
    </w:p>
    <w:p>
      <w:pPr>
        <w:adjustRightInd w:val="0"/>
        <w:snapToGrid w:val="0"/>
        <w:spacing w:line="578" w:lineRule="exact"/>
        <w:ind w:firstLine="720"/>
        <w:rPr>
          <w:rFonts w:ascii="楷体_GB2312" w:hAnsi="宋体" w:eastAsia="楷体_GB2312"/>
          <w:b/>
          <w:bCs/>
          <w:sz w:val="32"/>
          <w:szCs w:val="32"/>
          <w:lang w:val="zh-CN"/>
        </w:rPr>
      </w:pPr>
      <w:r>
        <w:rPr>
          <w:rFonts w:hint="eastAsia" w:ascii="楷体_GB2312" w:hAnsi="宋体" w:eastAsia="楷体_GB2312"/>
          <w:b/>
          <w:bCs/>
          <w:sz w:val="32"/>
          <w:szCs w:val="32"/>
          <w:lang w:val="zh-CN"/>
        </w:rPr>
        <w:t>（三）相关建议。</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无。</w:t>
      </w:r>
    </w:p>
    <w:p>
      <w:pPr>
        <w:pStyle w:val="2"/>
        <w:rPr>
          <w:rFonts w:hint="default"/>
          <w:lang w:val="en-US" w:eastAsia="zh-CN"/>
        </w:rPr>
        <w:sectPr>
          <w:type w:val="continuous"/>
          <w:pgSz w:w="11906" w:h="16838"/>
          <w:pgMar w:top="1440" w:right="1800" w:bottom="1440" w:left="1800" w:header="851" w:footer="992" w:gutter="0"/>
          <w:pgNumType w:fmt="decimal"/>
          <w:cols w:space="425" w:num="1"/>
          <w:docGrid w:type="lines" w:linePitch="312" w:charSpace="0"/>
        </w:sectPr>
      </w:pPr>
    </w:p>
    <w:p>
      <w:pPr>
        <w:widowControl/>
        <w:jc w:val="left"/>
        <w:rPr>
          <w:rStyle w:val="30"/>
          <w:rFonts w:ascii="黑体" w:hAnsi="黑体" w:eastAsia="黑体"/>
          <w:b w:val="0"/>
        </w:rPr>
      </w:pPr>
      <w:r>
        <w:rPr>
          <w:rStyle w:val="30"/>
          <w:rFonts w:ascii="黑体" w:hAnsi="黑体" w:eastAsia="黑体"/>
          <w:b w:val="0"/>
        </w:rPr>
        <w:br w:type="page"/>
      </w:r>
    </w:p>
    <w:p>
      <w:pPr>
        <w:spacing w:line="600" w:lineRule="exact"/>
        <w:jc w:val="center"/>
        <w:outlineLvl w:val="0"/>
        <w:rPr>
          <w:rFonts w:ascii="方正小标宋简体" w:hAnsi="仿宋" w:eastAsia="方正小标宋简体"/>
        </w:rPr>
      </w:pPr>
      <w:bookmarkStart w:id="79" w:name="_Toc15396618"/>
      <w:bookmarkStart w:id="80" w:name="_Toc3799"/>
      <w:r>
        <w:rPr>
          <w:rFonts w:hint="eastAsia" w:ascii="方正小标宋简体" w:hAnsi="黑体" w:eastAsia="方正小标宋简体"/>
          <w:sz w:val="44"/>
          <w:szCs w:val="44"/>
        </w:rPr>
        <w:t>第</w:t>
      </w:r>
      <w:r>
        <w:rPr>
          <w:rStyle w:val="30"/>
          <w:rFonts w:hint="eastAsia" w:ascii="方正小标宋简体" w:hAnsi="黑体" w:eastAsia="方正小标宋简体"/>
          <w:b w:val="0"/>
        </w:rPr>
        <w:t>五部分 附表</w:t>
      </w:r>
      <w:bookmarkEnd w:id="74"/>
      <w:bookmarkEnd w:id="79"/>
      <w:bookmarkEnd w:id="80"/>
    </w:p>
    <w:p>
      <w:pPr>
        <w:pStyle w:val="4"/>
        <w:rPr>
          <w:rFonts w:ascii="Times New Roman" w:hAnsi="Times New Roman" w:eastAsia="仿宋_GB2312" w:cs="Times New Roman"/>
          <w:b w:val="0"/>
          <w:bCs w:val="0"/>
        </w:rPr>
      </w:pPr>
      <w:bookmarkStart w:id="81" w:name="_Toc18848"/>
      <w:bookmarkStart w:id="82" w:name="_Toc15396619"/>
      <w:r>
        <w:rPr>
          <w:rFonts w:ascii="Times New Roman" w:hAnsi="Times New Roman" w:eastAsia="仿宋_GB2312" w:cs="Times New Roman"/>
          <w:b w:val="0"/>
        </w:rPr>
        <w:t>一、收</w:t>
      </w:r>
      <w:r>
        <w:rPr>
          <w:rStyle w:val="31"/>
          <w:rFonts w:ascii="Times New Roman" w:hAnsi="Times New Roman" w:eastAsia="仿宋_GB2312" w:cs="Times New Roman"/>
          <w:b w:val="0"/>
          <w:bCs w:val="0"/>
        </w:rPr>
        <w:t>入支出决算总表</w:t>
      </w:r>
      <w:bookmarkEnd w:id="81"/>
      <w:bookmarkEnd w:id="82"/>
    </w:p>
    <w:p>
      <w:pPr>
        <w:pStyle w:val="4"/>
        <w:rPr>
          <w:rFonts w:ascii="Times New Roman" w:hAnsi="Times New Roman" w:eastAsia="仿宋_GB2312" w:cs="Times New Roman"/>
        </w:rPr>
      </w:pPr>
      <w:bookmarkStart w:id="83" w:name="_Toc3757"/>
      <w:bookmarkStart w:id="84" w:name="_Toc15396620"/>
      <w:r>
        <w:rPr>
          <w:rFonts w:ascii="Times New Roman" w:hAnsi="Times New Roman" w:eastAsia="仿宋_GB2312" w:cs="Times New Roman"/>
          <w:b w:val="0"/>
        </w:rPr>
        <w:t>二、收</w:t>
      </w:r>
      <w:r>
        <w:rPr>
          <w:rStyle w:val="31"/>
          <w:rFonts w:ascii="Times New Roman" w:hAnsi="Times New Roman" w:eastAsia="仿宋_GB2312" w:cs="Times New Roman"/>
          <w:b w:val="0"/>
          <w:bCs w:val="0"/>
        </w:rPr>
        <w:t>入决算表</w:t>
      </w:r>
      <w:bookmarkEnd w:id="83"/>
      <w:bookmarkEnd w:id="84"/>
    </w:p>
    <w:p>
      <w:pPr>
        <w:pStyle w:val="4"/>
        <w:rPr>
          <w:rFonts w:ascii="Times New Roman" w:hAnsi="Times New Roman" w:eastAsia="仿宋_GB2312" w:cs="Times New Roman"/>
        </w:rPr>
      </w:pPr>
      <w:bookmarkStart w:id="85" w:name="_Toc19899"/>
      <w:bookmarkStart w:id="86" w:name="_Toc15396621"/>
      <w:r>
        <w:rPr>
          <w:rStyle w:val="31"/>
          <w:rFonts w:ascii="Times New Roman" w:hAnsi="Times New Roman" w:eastAsia="仿宋_GB2312" w:cs="Times New Roman"/>
          <w:b w:val="0"/>
          <w:bCs w:val="0"/>
        </w:rPr>
        <w:t>三、</w:t>
      </w:r>
      <w:r>
        <w:rPr>
          <w:rFonts w:ascii="Times New Roman" w:hAnsi="Times New Roman" w:eastAsia="仿宋_GB2312" w:cs="Times New Roman"/>
          <w:b w:val="0"/>
        </w:rPr>
        <w:t>支</w:t>
      </w:r>
      <w:r>
        <w:rPr>
          <w:rStyle w:val="31"/>
          <w:rFonts w:ascii="Times New Roman" w:hAnsi="Times New Roman" w:eastAsia="仿宋_GB2312" w:cs="Times New Roman"/>
          <w:b w:val="0"/>
          <w:bCs w:val="0"/>
        </w:rPr>
        <w:t>出决算表</w:t>
      </w:r>
      <w:bookmarkEnd w:id="85"/>
      <w:bookmarkEnd w:id="86"/>
    </w:p>
    <w:p>
      <w:pPr>
        <w:pStyle w:val="4"/>
        <w:rPr>
          <w:rFonts w:ascii="Times New Roman" w:hAnsi="Times New Roman" w:eastAsia="仿宋_GB2312" w:cs="Times New Roman"/>
          <w:b w:val="0"/>
        </w:rPr>
      </w:pPr>
      <w:bookmarkStart w:id="87" w:name="_Toc15396622"/>
      <w:bookmarkStart w:id="88" w:name="_Toc23202"/>
      <w:r>
        <w:rPr>
          <w:rStyle w:val="31"/>
          <w:rFonts w:ascii="Times New Roman" w:hAnsi="Times New Roman" w:eastAsia="仿宋_GB2312" w:cs="Times New Roman"/>
          <w:b w:val="0"/>
          <w:bCs w:val="0"/>
        </w:rPr>
        <w:t>四、</w:t>
      </w:r>
      <w:r>
        <w:rPr>
          <w:rFonts w:ascii="Times New Roman" w:hAnsi="Times New Roman" w:eastAsia="仿宋_GB2312" w:cs="Times New Roman"/>
          <w:b w:val="0"/>
        </w:rPr>
        <w:t>财</w:t>
      </w:r>
      <w:r>
        <w:rPr>
          <w:rStyle w:val="31"/>
          <w:rFonts w:ascii="Times New Roman" w:hAnsi="Times New Roman" w:eastAsia="仿宋_GB2312" w:cs="Times New Roman"/>
          <w:b w:val="0"/>
          <w:bCs w:val="0"/>
        </w:rPr>
        <w:t>政拨款收入支出决算总表</w:t>
      </w:r>
      <w:bookmarkEnd w:id="87"/>
      <w:bookmarkEnd w:id="88"/>
    </w:p>
    <w:p>
      <w:pPr>
        <w:pStyle w:val="4"/>
        <w:rPr>
          <w:rStyle w:val="31"/>
          <w:rFonts w:ascii="Times New Roman" w:hAnsi="Times New Roman" w:eastAsia="仿宋_GB2312" w:cs="Times New Roman"/>
          <w:b w:val="0"/>
          <w:bCs w:val="0"/>
        </w:rPr>
      </w:pPr>
      <w:bookmarkStart w:id="89" w:name="_Toc14252"/>
      <w:bookmarkStart w:id="90" w:name="_Toc15396623"/>
      <w:r>
        <w:rPr>
          <w:rStyle w:val="31"/>
          <w:rFonts w:ascii="Times New Roman" w:hAnsi="Times New Roman" w:eastAsia="仿宋_GB2312" w:cs="Times New Roman"/>
          <w:b w:val="0"/>
          <w:bCs w:val="0"/>
        </w:rPr>
        <w:t>五、</w:t>
      </w:r>
      <w:r>
        <w:rPr>
          <w:rFonts w:ascii="Times New Roman" w:hAnsi="Times New Roman" w:eastAsia="仿宋_GB2312" w:cs="Times New Roman"/>
          <w:b w:val="0"/>
        </w:rPr>
        <w:t>财</w:t>
      </w:r>
      <w:r>
        <w:rPr>
          <w:rStyle w:val="31"/>
          <w:rFonts w:ascii="Times New Roman" w:hAnsi="Times New Roman" w:eastAsia="仿宋_GB2312" w:cs="Times New Roman"/>
          <w:b w:val="0"/>
          <w:bCs w:val="0"/>
        </w:rPr>
        <w:t>政拨款支出决算明细表</w:t>
      </w:r>
      <w:bookmarkEnd w:id="89"/>
      <w:bookmarkEnd w:id="90"/>
      <w:bookmarkStart w:id="91" w:name="_Toc15396624"/>
    </w:p>
    <w:p>
      <w:pPr>
        <w:pStyle w:val="4"/>
        <w:rPr>
          <w:rFonts w:ascii="Times New Roman" w:hAnsi="Times New Roman" w:eastAsia="仿宋_GB2312" w:cs="Times New Roman"/>
        </w:rPr>
      </w:pPr>
      <w:bookmarkStart w:id="92" w:name="_Toc12155"/>
      <w:r>
        <w:rPr>
          <w:rStyle w:val="31"/>
          <w:rFonts w:ascii="Times New Roman" w:hAnsi="Times New Roman" w:eastAsia="仿宋_GB2312" w:cs="Times New Roman"/>
          <w:b w:val="0"/>
          <w:bCs w:val="0"/>
        </w:rPr>
        <w:t>六、</w:t>
      </w:r>
      <w:r>
        <w:rPr>
          <w:rFonts w:ascii="Times New Roman" w:hAnsi="Times New Roman" w:eastAsia="仿宋_GB2312" w:cs="Times New Roman"/>
          <w:b w:val="0"/>
        </w:rPr>
        <w:t>一</w:t>
      </w:r>
      <w:r>
        <w:rPr>
          <w:rStyle w:val="31"/>
          <w:rFonts w:ascii="Times New Roman" w:hAnsi="Times New Roman" w:eastAsia="仿宋_GB2312" w:cs="Times New Roman"/>
          <w:b w:val="0"/>
          <w:bCs w:val="0"/>
        </w:rPr>
        <w:t>般公共预算财政拨款支出决算表</w:t>
      </w:r>
      <w:bookmarkEnd w:id="91"/>
      <w:bookmarkEnd w:id="92"/>
    </w:p>
    <w:p>
      <w:pPr>
        <w:pStyle w:val="4"/>
        <w:rPr>
          <w:rFonts w:ascii="Times New Roman" w:hAnsi="Times New Roman" w:eastAsia="仿宋_GB2312" w:cs="Times New Roman"/>
        </w:rPr>
      </w:pPr>
      <w:bookmarkStart w:id="93" w:name="_Toc3254"/>
      <w:bookmarkStart w:id="94" w:name="_Toc15396625"/>
      <w:r>
        <w:rPr>
          <w:rStyle w:val="31"/>
          <w:rFonts w:ascii="Times New Roman" w:hAnsi="Times New Roman" w:eastAsia="仿宋_GB2312" w:cs="Times New Roman"/>
          <w:b w:val="0"/>
          <w:bCs w:val="0"/>
        </w:rPr>
        <w:t>七、</w:t>
      </w:r>
      <w:r>
        <w:rPr>
          <w:rFonts w:ascii="Times New Roman" w:hAnsi="Times New Roman" w:eastAsia="仿宋_GB2312" w:cs="Times New Roman"/>
          <w:b w:val="0"/>
        </w:rPr>
        <w:t>一</w:t>
      </w:r>
      <w:r>
        <w:rPr>
          <w:rStyle w:val="31"/>
          <w:rFonts w:ascii="Times New Roman" w:hAnsi="Times New Roman" w:eastAsia="仿宋_GB2312" w:cs="Times New Roman"/>
          <w:b w:val="0"/>
          <w:bCs w:val="0"/>
        </w:rPr>
        <w:t>般公共预算财政拨款支出决算明细表</w:t>
      </w:r>
      <w:bookmarkEnd w:id="93"/>
      <w:bookmarkEnd w:id="94"/>
    </w:p>
    <w:p>
      <w:pPr>
        <w:pStyle w:val="4"/>
        <w:rPr>
          <w:rFonts w:ascii="Times New Roman" w:hAnsi="Times New Roman" w:eastAsia="仿宋_GB2312" w:cs="Times New Roman"/>
        </w:rPr>
      </w:pPr>
      <w:bookmarkStart w:id="95" w:name="_Toc15396626"/>
      <w:bookmarkStart w:id="96" w:name="_Toc4800"/>
      <w:r>
        <w:rPr>
          <w:rStyle w:val="31"/>
          <w:rFonts w:ascii="Times New Roman" w:hAnsi="Times New Roman" w:eastAsia="仿宋_GB2312" w:cs="Times New Roman"/>
          <w:b w:val="0"/>
          <w:bCs w:val="0"/>
        </w:rPr>
        <w:t>八、</w:t>
      </w:r>
      <w:r>
        <w:rPr>
          <w:rFonts w:ascii="Times New Roman" w:hAnsi="Times New Roman" w:eastAsia="仿宋_GB2312" w:cs="Times New Roman"/>
          <w:b w:val="0"/>
        </w:rPr>
        <w:t>一</w:t>
      </w:r>
      <w:r>
        <w:rPr>
          <w:rStyle w:val="31"/>
          <w:rFonts w:ascii="Times New Roman" w:hAnsi="Times New Roman" w:eastAsia="仿宋_GB2312" w:cs="Times New Roman"/>
          <w:b w:val="0"/>
          <w:bCs w:val="0"/>
        </w:rPr>
        <w:t>般公共预算财政拨款基本支出决算表</w:t>
      </w:r>
      <w:bookmarkEnd w:id="95"/>
      <w:bookmarkEnd w:id="96"/>
    </w:p>
    <w:p>
      <w:pPr>
        <w:pStyle w:val="4"/>
        <w:rPr>
          <w:rFonts w:ascii="Times New Roman" w:hAnsi="Times New Roman" w:eastAsia="仿宋_GB2312" w:cs="Times New Roman"/>
        </w:rPr>
      </w:pPr>
      <w:bookmarkStart w:id="97" w:name="_Toc15396627"/>
      <w:bookmarkStart w:id="98" w:name="_Toc9314"/>
      <w:r>
        <w:rPr>
          <w:rStyle w:val="31"/>
          <w:rFonts w:ascii="Times New Roman" w:hAnsi="Times New Roman" w:eastAsia="仿宋_GB2312" w:cs="Times New Roman"/>
          <w:b w:val="0"/>
          <w:bCs w:val="0"/>
        </w:rPr>
        <w:t>九、</w:t>
      </w:r>
      <w:r>
        <w:rPr>
          <w:rFonts w:ascii="Times New Roman" w:hAnsi="Times New Roman" w:eastAsia="仿宋_GB2312" w:cs="Times New Roman"/>
          <w:b w:val="0"/>
        </w:rPr>
        <w:t>一</w:t>
      </w:r>
      <w:r>
        <w:rPr>
          <w:rStyle w:val="31"/>
          <w:rFonts w:ascii="Times New Roman" w:hAnsi="Times New Roman" w:eastAsia="仿宋_GB2312" w:cs="Times New Roman"/>
          <w:b w:val="0"/>
          <w:bCs w:val="0"/>
        </w:rPr>
        <w:t>般公共预算财政拨款项目支出决算表</w:t>
      </w:r>
      <w:bookmarkEnd w:id="97"/>
      <w:bookmarkEnd w:id="98"/>
    </w:p>
    <w:p>
      <w:pPr>
        <w:pStyle w:val="4"/>
        <w:rPr>
          <w:rFonts w:ascii="Times New Roman" w:hAnsi="Times New Roman" w:eastAsia="仿宋_GB2312" w:cs="Times New Roman"/>
        </w:rPr>
      </w:pPr>
      <w:bookmarkStart w:id="99" w:name="_Toc15396628"/>
      <w:bookmarkStart w:id="100" w:name="_Toc19817"/>
      <w:r>
        <w:rPr>
          <w:rStyle w:val="31"/>
          <w:rFonts w:ascii="Times New Roman" w:hAnsi="Times New Roman" w:eastAsia="仿宋_GB2312" w:cs="Times New Roman"/>
          <w:b w:val="0"/>
          <w:bCs w:val="0"/>
        </w:rPr>
        <w:t>十、</w:t>
      </w:r>
      <w:bookmarkEnd w:id="99"/>
      <w:r>
        <w:rPr>
          <w:rFonts w:ascii="Times New Roman" w:hAnsi="Times New Roman" w:eastAsia="仿宋_GB2312" w:cs="Times New Roman"/>
          <w:b w:val="0"/>
        </w:rPr>
        <w:t>政</w:t>
      </w:r>
      <w:r>
        <w:rPr>
          <w:rStyle w:val="31"/>
          <w:rFonts w:ascii="Times New Roman" w:hAnsi="Times New Roman" w:eastAsia="仿宋_GB2312" w:cs="Times New Roman"/>
          <w:b w:val="0"/>
          <w:bCs w:val="0"/>
        </w:rPr>
        <w:t>府性基金预算财政拨款收入支出决算表</w:t>
      </w:r>
      <w:bookmarkEnd w:id="100"/>
    </w:p>
    <w:p>
      <w:pPr>
        <w:pStyle w:val="4"/>
        <w:rPr>
          <w:rFonts w:ascii="Times New Roman" w:hAnsi="Times New Roman" w:eastAsia="仿宋_GB2312" w:cs="Times New Roman"/>
        </w:rPr>
      </w:pPr>
      <w:bookmarkStart w:id="101" w:name="_Toc15396629"/>
      <w:bookmarkStart w:id="102" w:name="_Toc7418"/>
      <w:r>
        <w:rPr>
          <w:rStyle w:val="31"/>
          <w:rFonts w:ascii="Times New Roman" w:hAnsi="Times New Roman" w:eastAsia="仿宋_GB2312" w:cs="Times New Roman"/>
          <w:b w:val="0"/>
          <w:bCs w:val="0"/>
        </w:rPr>
        <w:t>十一、</w:t>
      </w:r>
      <w:bookmarkEnd w:id="101"/>
      <w:r>
        <w:rPr>
          <w:rFonts w:ascii="Times New Roman" w:hAnsi="Times New Roman" w:eastAsia="仿宋_GB2312" w:cs="Times New Roman"/>
          <w:b w:val="0"/>
        </w:rPr>
        <w:t>国</w:t>
      </w:r>
      <w:r>
        <w:rPr>
          <w:rStyle w:val="31"/>
          <w:rFonts w:ascii="Times New Roman" w:hAnsi="Times New Roman" w:eastAsia="仿宋_GB2312" w:cs="Times New Roman"/>
          <w:b w:val="0"/>
          <w:bCs w:val="0"/>
        </w:rPr>
        <w:t>有资本经营预算财政拨款收入支出决算表</w:t>
      </w:r>
      <w:bookmarkEnd w:id="102"/>
    </w:p>
    <w:p>
      <w:pPr>
        <w:pStyle w:val="4"/>
        <w:rPr>
          <w:rFonts w:ascii="Times New Roman" w:hAnsi="Times New Roman" w:eastAsia="仿宋_GB2312" w:cs="Times New Roman"/>
        </w:rPr>
      </w:pPr>
      <w:bookmarkStart w:id="103" w:name="_Toc15396630"/>
      <w:bookmarkStart w:id="104" w:name="_Toc24841"/>
      <w:r>
        <w:rPr>
          <w:rStyle w:val="31"/>
          <w:rFonts w:ascii="Times New Roman" w:hAnsi="Times New Roman" w:eastAsia="仿宋_GB2312" w:cs="Times New Roman"/>
          <w:b w:val="0"/>
          <w:bCs w:val="0"/>
        </w:rPr>
        <w:t>十二、</w:t>
      </w:r>
      <w:bookmarkEnd w:id="103"/>
      <w:r>
        <w:rPr>
          <w:rStyle w:val="31"/>
          <w:rFonts w:ascii="Times New Roman" w:hAnsi="Times New Roman" w:eastAsia="仿宋_GB2312" w:cs="Times New Roman"/>
          <w:b w:val="0"/>
          <w:bCs w:val="0"/>
        </w:rPr>
        <w:t>国有资本经营预算财政拨款支出决算表</w:t>
      </w:r>
      <w:bookmarkEnd w:id="104"/>
    </w:p>
    <w:p>
      <w:pPr>
        <w:pStyle w:val="4"/>
        <w:rPr>
          <w:rStyle w:val="31"/>
          <w:rFonts w:hint="default" w:ascii="Times New Roman" w:hAnsi="Times New Roman" w:eastAsia="仿宋_GB2312" w:cs="Times New Roman"/>
          <w:b w:val="0"/>
          <w:bCs w:val="0"/>
          <w:lang w:val="en-US" w:eastAsia="zh-CN"/>
        </w:rPr>
      </w:pPr>
      <w:bookmarkStart w:id="105" w:name="_Toc15396631"/>
      <w:bookmarkStart w:id="106" w:name="_Toc1161"/>
      <w:r>
        <w:rPr>
          <w:rStyle w:val="31"/>
          <w:rFonts w:ascii="Times New Roman" w:hAnsi="Times New Roman" w:eastAsia="仿宋_GB2312" w:cs="Times New Roman"/>
          <w:b w:val="0"/>
          <w:bCs w:val="0"/>
        </w:rPr>
        <w:t>十三、</w:t>
      </w:r>
      <w:bookmarkEnd w:id="105"/>
      <w:r>
        <w:rPr>
          <w:rStyle w:val="31"/>
          <w:rFonts w:ascii="Times New Roman" w:hAnsi="Times New Roman" w:eastAsia="仿宋_GB2312" w:cs="Times New Roman"/>
          <w:b w:val="0"/>
          <w:bCs w:val="0"/>
        </w:rPr>
        <w:t>财政拨款“三公”经费支出决算表</w:t>
      </w:r>
      <w:bookmarkEnd w:id="106"/>
    </w:p>
    <w:sectPr>
      <w:type w:val="continuous"/>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31199765"/>
      <w:docPartObj>
        <w:docPartGallery w:val="autotext"/>
      </w:docPartObj>
    </w:sdtPr>
    <w:sdtContent>
      <w:p>
        <w:pPr>
          <w:pStyle w:val="10"/>
          <w:jc w:val="center"/>
        </w:pPr>
        <w:r>
          <w:fldChar w:fldCharType="begin"/>
        </w:r>
        <w:r>
          <w:instrText xml:space="preserve">PAGE   \* MERGEFORMAT</w:instrText>
        </w:r>
        <w:r>
          <w:fldChar w:fldCharType="separate"/>
        </w:r>
        <w:r>
          <w:rPr>
            <w:lang w:val="zh-CN"/>
          </w:rPr>
          <w:t>5</w:t>
        </w:r>
        <w:r>
          <w:fldChar w:fldCharType="end"/>
        </w:r>
      </w:p>
    </w:sdtContent>
  </w:sdt>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2621223"/>
    </w:sdtPr>
    <w:sdtContent>
      <w:p>
        <w:pPr>
          <w:pStyle w:val="10"/>
          <w:jc w:val="center"/>
        </w:pPr>
        <w:r>
          <w:fldChar w:fldCharType="begin"/>
        </w:r>
        <w:r>
          <w:instrText xml:space="preserve">PAGE   \* MERGEFORMAT</w:instrText>
        </w:r>
        <w:r>
          <w:fldChar w:fldCharType="separate"/>
        </w:r>
        <w:r>
          <w:rPr>
            <w:lang w:val="zh-CN"/>
          </w:rPr>
          <w:t>13</w:t>
        </w:r>
        <w:r>
          <w:fldChar w:fldCharType="end"/>
        </w:r>
      </w:p>
    </w:sdtContent>
  </w:sdt>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2114"/>
    </w:sdtPr>
    <w:sdtContent>
      <w:p>
        <w:pPr>
          <w:pStyle w:val="10"/>
          <w:jc w:val="center"/>
        </w:pPr>
        <w:r>
          <w:fldChar w:fldCharType="begin"/>
        </w:r>
        <w:r>
          <w:instrText xml:space="preserve">PAGE   \* MERGEFORMAT</w:instrText>
        </w:r>
        <w:r>
          <w:fldChar w:fldCharType="separate"/>
        </w:r>
        <w:r>
          <w:rPr>
            <w:lang w:val="zh-CN"/>
          </w:rPr>
          <w:t>13</w:t>
        </w:r>
        <w:r>
          <w:fldChar w:fldCharType="end"/>
        </w:r>
      </w:p>
    </w:sdtContent>
  </w:sdt>
  <w:p>
    <w:pPr>
      <w:pStyle w:val="1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7683"/>
                          </w:sdtPr>
                          <w:sdtContent>
                            <w:p>
                              <w:pPr>
                                <w:pStyle w:val="10"/>
                                <w:jc w:val="center"/>
                              </w:pPr>
                              <w:r>
                                <w:fldChar w:fldCharType="begin"/>
                              </w:r>
                              <w:r>
                                <w:instrText xml:space="preserve">PAGE   \* MERGEFORMAT</w:instrText>
                              </w:r>
                              <w:r>
                                <w:fldChar w:fldCharType="separate"/>
                              </w:r>
                              <w:r>
                                <w:rPr>
                                  <w:lang w:val="zh-CN"/>
                                </w:rPr>
                                <w:t>13</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sdt>
                    <w:sdtPr>
                      <w:id w:val="147477683"/>
                    </w:sdtPr>
                    <w:sdtContent>
                      <w:p>
                        <w:pPr>
                          <w:pStyle w:val="10"/>
                          <w:jc w:val="center"/>
                        </w:pPr>
                        <w:r>
                          <w:fldChar w:fldCharType="begin"/>
                        </w:r>
                        <w:r>
                          <w:instrText xml:space="preserve">PAGE   \* MERGEFORMAT</w:instrText>
                        </w:r>
                        <w:r>
                          <w:fldChar w:fldCharType="separate"/>
                        </w:r>
                        <w:r>
                          <w:rPr>
                            <w:lang w:val="zh-CN"/>
                          </w:rPr>
                          <w:t>13</w:t>
                        </w:r>
                        <w:r>
                          <w:fldChar w:fldCharType="end"/>
                        </w:r>
                      </w:p>
                    </w:sdtContent>
                  </w:sdt>
                  <w:p>
                    <w:pPr>
                      <w:pStyle w:val="2"/>
                    </w:pPr>
                  </w:p>
                </w:txbxContent>
              </v:textbox>
            </v:shape>
          </w:pict>
        </mc:Fallback>
      </mc:AlternateContent>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DEBEF323"/>
    <w:multiLevelType w:val="singleLevel"/>
    <w:tmpl w:val="DEBEF323"/>
    <w:lvl w:ilvl="0" w:tentative="0">
      <w:start w:val="4"/>
      <w:numFmt w:val="chineseCounting"/>
      <w:suff w:val="nothing"/>
      <w:lvlText w:val="（%1）"/>
      <w:lvlJc w:val="left"/>
      <w:rPr>
        <w:rFonts w:hint="eastAsia"/>
      </w:rPr>
    </w:lvl>
  </w:abstractNum>
  <w:abstractNum w:abstractNumId="2">
    <w:nsid w:val="FFF674BC"/>
    <w:multiLevelType w:val="singleLevel"/>
    <w:tmpl w:val="FFF674BC"/>
    <w:lvl w:ilvl="0" w:tentative="0">
      <w:start w:val="1"/>
      <w:numFmt w:val="chineseCounting"/>
      <w:suff w:val="nothing"/>
      <w:lvlText w:val="%1、"/>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hODQ1MWI4ODM4ZGE4OGYzNGI0MTgwZWU3NGIyMTcifQ=="/>
  </w:docVars>
  <w:rsids>
    <w:rsidRoot w:val="00F1361C"/>
    <w:rsid w:val="000025BF"/>
    <w:rsid w:val="000118E5"/>
    <w:rsid w:val="000142FB"/>
    <w:rsid w:val="000222C6"/>
    <w:rsid w:val="0002549F"/>
    <w:rsid w:val="000468DB"/>
    <w:rsid w:val="00053B74"/>
    <w:rsid w:val="0006487A"/>
    <w:rsid w:val="00065F8F"/>
    <w:rsid w:val="00070A43"/>
    <w:rsid w:val="000768F2"/>
    <w:rsid w:val="00090E50"/>
    <w:rsid w:val="0009184B"/>
    <w:rsid w:val="00094236"/>
    <w:rsid w:val="0009593C"/>
    <w:rsid w:val="00097322"/>
    <w:rsid w:val="000A6A92"/>
    <w:rsid w:val="000B047F"/>
    <w:rsid w:val="000B1D1B"/>
    <w:rsid w:val="000B5923"/>
    <w:rsid w:val="000B5A48"/>
    <w:rsid w:val="000B6FF3"/>
    <w:rsid w:val="000B76E1"/>
    <w:rsid w:val="000B7774"/>
    <w:rsid w:val="000C3467"/>
    <w:rsid w:val="000C3CA6"/>
    <w:rsid w:val="000D1267"/>
    <w:rsid w:val="000D1D50"/>
    <w:rsid w:val="000D5782"/>
    <w:rsid w:val="000E6613"/>
    <w:rsid w:val="000E7119"/>
    <w:rsid w:val="000F3458"/>
    <w:rsid w:val="00114E9B"/>
    <w:rsid w:val="00115EF5"/>
    <w:rsid w:val="0011795C"/>
    <w:rsid w:val="00134202"/>
    <w:rsid w:val="0013661A"/>
    <w:rsid w:val="00142216"/>
    <w:rsid w:val="00142BC9"/>
    <w:rsid w:val="00144D6A"/>
    <w:rsid w:val="0014729F"/>
    <w:rsid w:val="0015385A"/>
    <w:rsid w:val="00157BAB"/>
    <w:rsid w:val="00164A9B"/>
    <w:rsid w:val="001654D1"/>
    <w:rsid w:val="00174518"/>
    <w:rsid w:val="0018106D"/>
    <w:rsid w:val="001877A7"/>
    <w:rsid w:val="00191536"/>
    <w:rsid w:val="00196687"/>
    <w:rsid w:val="00197B07"/>
    <w:rsid w:val="001B0DAC"/>
    <w:rsid w:val="001B3FEC"/>
    <w:rsid w:val="001C0962"/>
    <w:rsid w:val="001D7531"/>
    <w:rsid w:val="001E737D"/>
    <w:rsid w:val="001E7500"/>
    <w:rsid w:val="001F0592"/>
    <w:rsid w:val="001F5797"/>
    <w:rsid w:val="001F7506"/>
    <w:rsid w:val="002006CD"/>
    <w:rsid w:val="00202B36"/>
    <w:rsid w:val="00203F34"/>
    <w:rsid w:val="00204B7A"/>
    <w:rsid w:val="00204CDE"/>
    <w:rsid w:val="0021101A"/>
    <w:rsid w:val="00220536"/>
    <w:rsid w:val="00220E9F"/>
    <w:rsid w:val="00222D42"/>
    <w:rsid w:val="0022527F"/>
    <w:rsid w:val="00235629"/>
    <w:rsid w:val="00257344"/>
    <w:rsid w:val="00260C38"/>
    <w:rsid w:val="0026130D"/>
    <w:rsid w:val="002616C0"/>
    <w:rsid w:val="00264B6E"/>
    <w:rsid w:val="00265372"/>
    <w:rsid w:val="002662AA"/>
    <w:rsid w:val="00267522"/>
    <w:rsid w:val="00272AFC"/>
    <w:rsid w:val="00280496"/>
    <w:rsid w:val="00294DC9"/>
    <w:rsid w:val="00295495"/>
    <w:rsid w:val="002A31DE"/>
    <w:rsid w:val="002A66F7"/>
    <w:rsid w:val="002B2613"/>
    <w:rsid w:val="002D3475"/>
    <w:rsid w:val="002D621A"/>
    <w:rsid w:val="002D6D05"/>
    <w:rsid w:val="002E5C30"/>
    <w:rsid w:val="002F1818"/>
    <w:rsid w:val="002F5467"/>
    <w:rsid w:val="002F567B"/>
    <w:rsid w:val="00317ED5"/>
    <w:rsid w:val="003216A9"/>
    <w:rsid w:val="00335A74"/>
    <w:rsid w:val="0036561B"/>
    <w:rsid w:val="0037013F"/>
    <w:rsid w:val="00380C92"/>
    <w:rsid w:val="00393732"/>
    <w:rsid w:val="003942D9"/>
    <w:rsid w:val="00397F18"/>
    <w:rsid w:val="003A484F"/>
    <w:rsid w:val="003A4883"/>
    <w:rsid w:val="003B0BE0"/>
    <w:rsid w:val="003B0C1B"/>
    <w:rsid w:val="003B688C"/>
    <w:rsid w:val="003C0291"/>
    <w:rsid w:val="003C2C75"/>
    <w:rsid w:val="003C39AE"/>
    <w:rsid w:val="003C4B0A"/>
    <w:rsid w:val="003C6115"/>
    <w:rsid w:val="003C7B60"/>
    <w:rsid w:val="003D0C0F"/>
    <w:rsid w:val="003D1FB2"/>
    <w:rsid w:val="003D66DA"/>
    <w:rsid w:val="003E1310"/>
    <w:rsid w:val="003E6F55"/>
    <w:rsid w:val="003F5A95"/>
    <w:rsid w:val="00400C4F"/>
    <w:rsid w:val="00406254"/>
    <w:rsid w:val="004223DE"/>
    <w:rsid w:val="00424F7F"/>
    <w:rsid w:val="00427AF9"/>
    <w:rsid w:val="00427DED"/>
    <w:rsid w:val="00434489"/>
    <w:rsid w:val="00437085"/>
    <w:rsid w:val="00443880"/>
    <w:rsid w:val="004464F4"/>
    <w:rsid w:val="00457ADC"/>
    <w:rsid w:val="004634D7"/>
    <w:rsid w:val="00466665"/>
    <w:rsid w:val="00471401"/>
    <w:rsid w:val="00473F31"/>
    <w:rsid w:val="0048263A"/>
    <w:rsid w:val="00487E5D"/>
    <w:rsid w:val="00491B47"/>
    <w:rsid w:val="004A0C28"/>
    <w:rsid w:val="004A711F"/>
    <w:rsid w:val="004B199D"/>
    <w:rsid w:val="004B4690"/>
    <w:rsid w:val="004C419E"/>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0AE2"/>
    <w:rsid w:val="005D1C8B"/>
    <w:rsid w:val="005D3E3F"/>
    <w:rsid w:val="005D468D"/>
    <w:rsid w:val="005D5CED"/>
    <w:rsid w:val="005D5D06"/>
    <w:rsid w:val="005E1B97"/>
    <w:rsid w:val="005F1A4C"/>
    <w:rsid w:val="00605688"/>
    <w:rsid w:val="006070AF"/>
    <w:rsid w:val="00607E6C"/>
    <w:rsid w:val="006101B1"/>
    <w:rsid w:val="00614E44"/>
    <w:rsid w:val="00615111"/>
    <w:rsid w:val="0062270A"/>
    <w:rsid w:val="00622830"/>
    <w:rsid w:val="00623DA0"/>
    <w:rsid w:val="00630AEF"/>
    <w:rsid w:val="006325F8"/>
    <w:rsid w:val="00633463"/>
    <w:rsid w:val="00634877"/>
    <w:rsid w:val="00634C9A"/>
    <w:rsid w:val="00642FBC"/>
    <w:rsid w:val="00643548"/>
    <w:rsid w:val="006440E4"/>
    <w:rsid w:val="00651731"/>
    <w:rsid w:val="0066343B"/>
    <w:rsid w:val="00664777"/>
    <w:rsid w:val="006748A4"/>
    <w:rsid w:val="00681A31"/>
    <w:rsid w:val="00683E73"/>
    <w:rsid w:val="00683F4D"/>
    <w:rsid w:val="0068689D"/>
    <w:rsid w:val="006A3141"/>
    <w:rsid w:val="006A5E34"/>
    <w:rsid w:val="006B2422"/>
    <w:rsid w:val="006B2B9A"/>
    <w:rsid w:val="006C1937"/>
    <w:rsid w:val="006C41EC"/>
    <w:rsid w:val="006F020C"/>
    <w:rsid w:val="006F1CC4"/>
    <w:rsid w:val="00702EB1"/>
    <w:rsid w:val="007127B7"/>
    <w:rsid w:val="0071798E"/>
    <w:rsid w:val="007416B6"/>
    <w:rsid w:val="00746F48"/>
    <w:rsid w:val="0075404D"/>
    <w:rsid w:val="007540CD"/>
    <w:rsid w:val="0076182A"/>
    <w:rsid w:val="0076379C"/>
    <w:rsid w:val="00767B7E"/>
    <w:rsid w:val="007770C3"/>
    <w:rsid w:val="00784D24"/>
    <w:rsid w:val="00785FBA"/>
    <w:rsid w:val="00786E4A"/>
    <w:rsid w:val="007875EB"/>
    <w:rsid w:val="00792A25"/>
    <w:rsid w:val="0079426B"/>
    <w:rsid w:val="007A6E17"/>
    <w:rsid w:val="007D1682"/>
    <w:rsid w:val="007D312A"/>
    <w:rsid w:val="007D3F19"/>
    <w:rsid w:val="007E23B0"/>
    <w:rsid w:val="007E23E5"/>
    <w:rsid w:val="007E7E6C"/>
    <w:rsid w:val="007F0140"/>
    <w:rsid w:val="007F1991"/>
    <w:rsid w:val="007F2016"/>
    <w:rsid w:val="007F2C2F"/>
    <w:rsid w:val="007F55FC"/>
    <w:rsid w:val="007F5665"/>
    <w:rsid w:val="00800112"/>
    <w:rsid w:val="00813348"/>
    <w:rsid w:val="008253BB"/>
    <w:rsid w:val="0083706E"/>
    <w:rsid w:val="008408F6"/>
    <w:rsid w:val="008423A5"/>
    <w:rsid w:val="00850625"/>
    <w:rsid w:val="00853718"/>
    <w:rsid w:val="00855221"/>
    <w:rsid w:val="0085581D"/>
    <w:rsid w:val="00860645"/>
    <w:rsid w:val="00871F71"/>
    <w:rsid w:val="00872FD8"/>
    <w:rsid w:val="00885AF4"/>
    <w:rsid w:val="00887500"/>
    <w:rsid w:val="008939CD"/>
    <w:rsid w:val="008B65E2"/>
    <w:rsid w:val="008B768C"/>
    <w:rsid w:val="008C4DB1"/>
    <w:rsid w:val="008C4EAF"/>
    <w:rsid w:val="008C5176"/>
    <w:rsid w:val="008C7FD0"/>
    <w:rsid w:val="008E1DE7"/>
    <w:rsid w:val="008E41FF"/>
    <w:rsid w:val="008E707C"/>
    <w:rsid w:val="008F7771"/>
    <w:rsid w:val="00900B08"/>
    <w:rsid w:val="00902155"/>
    <w:rsid w:val="00902FA3"/>
    <w:rsid w:val="00923564"/>
    <w:rsid w:val="0092392E"/>
    <w:rsid w:val="009315F9"/>
    <w:rsid w:val="00933499"/>
    <w:rsid w:val="00935C98"/>
    <w:rsid w:val="0094250C"/>
    <w:rsid w:val="00946945"/>
    <w:rsid w:val="00951248"/>
    <w:rsid w:val="0095152F"/>
    <w:rsid w:val="00951F30"/>
    <w:rsid w:val="00954C49"/>
    <w:rsid w:val="00955E37"/>
    <w:rsid w:val="0097099F"/>
    <w:rsid w:val="00971997"/>
    <w:rsid w:val="00971FFC"/>
    <w:rsid w:val="0098660A"/>
    <w:rsid w:val="009931C3"/>
    <w:rsid w:val="009945F5"/>
    <w:rsid w:val="009A793F"/>
    <w:rsid w:val="009B2C43"/>
    <w:rsid w:val="009B4EAE"/>
    <w:rsid w:val="009B7573"/>
    <w:rsid w:val="009C086C"/>
    <w:rsid w:val="009C22F4"/>
    <w:rsid w:val="009C2A4B"/>
    <w:rsid w:val="009C2E98"/>
    <w:rsid w:val="009D3447"/>
    <w:rsid w:val="009D370A"/>
    <w:rsid w:val="009D4711"/>
    <w:rsid w:val="009D5A40"/>
    <w:rsid w:val="009F1185"/>
    <w:rsid w:val="009F18CD"/>
    <w:rsid w:val="009F2A13"/>
    <w:rsid w:val="009F7527"/>
    <w:rsid w:val="00A0054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256"/>
    <w:rsid w:val="00AD7C1B"/>
    <w:rsid w:val="00AE16BA"/>
    <w:rsid w:val="00AE1EBE"/>
    <w:rsid w:val="00AF39D8"/>
    <w:rsid w:val="00B03C9D"/>
    <w:rsid w:val="00B060AE"/>
    <w:rsid w:val="00B06681"/>
    <w:rsid w:val="00B10517"/>
    <w:rsid w:val="00B14E76"/>
    <w:rsid w:val="00B161B8"/>
    <w:rsid w:val="00B2048C"/>
    <w:rsid w:val="00B310B9"/>
    <w:rsid w:val="00B35F3F"/>
    <w:rsid w:val="00B36CBB"/>
    <w:rsid w:val="00B425E0"/>
    <w:rsid w:val="00B440AA"/>
    <w:rsid w:val="00B44B70"/>
    <w:rsid w:val="00B53C56"/>
    <w:rsid w:val="00B57DAF"/>
    <w:rsid w:val="00B6127B"/>
    <w:rsid w:val="00B7743C"/>
    <w:rsid w:val="00B77EA6"/>
    <w:rsid w:val="00B81598"/>
    <w:rsid w:val="00B841F1"/>
    <w:rsid w:val="00B84778"/>
    <w:rsid w:val="00B87554"/>
    <w:rsid w:val="00B90A81"/>
    <w:rsid w:val="00B944D6"/>
    <w:rsid w:val="00BA77B1"/>
    <w:rsid w:val="00BB4DF0"/>
    <w:rsid w:val="00BC289F"/>
    <w:rsid w:val="00BC2D50"/>
    <w:rsid w:val="00BC5361"/>
    <w:rsid w:val="00BC5460"/>
    <w:rsid w:val="00BC6B50"/>
    <w:rsid w:val="00BD0E25"/>
    <w:rsid w:val="00BE083A"/>
    <w:rsid w:val="00BE1F13"/>
    <w:rsid w:val="00BF5BD6"/>
    <w:rsid w:val="00C03E31"/>
    <w:rsid w:val="00C33E72"/>
    <w:rsid w:val="00C354B2"/>
    <w:rsid w:val="00C35554"/>
    <w:rsid w:val="00C42709"/>
    <w:rsid w:val="00C533CC"/>
    <w:rsid w:val="00C5751C"/>
    <w:rsid w:val="00C61BFC"/>
    <w:rsid w:val="00C62B85"/>
    <w:rsid w:val="00C65438"/>
    <w:rsid w:val="00C87FD8"/>
    <w:rsid w:val="00C90387"/>
    <w:rsid w:val="00C91381"/>
    <w:rsid w:val="00C91CBB"/>
    <w:rsid w:val="00CB4E70"/>
    <w:rsid w:val="00CC09B6"/>
    <w:rsid w:val="00CC666F"/>
    <w:rsid w:val="00CD1E3F"/>
    <w:rsid w:val="00CE44F6"/>
    <w:rsid w:val="00CE49DA"/>
    <w:rsid w:val="00CE7B61"/>
    <w:rsid w:val="00CF2FD5"/>
    <w:rsid w:val="00D00095"/>
    <w:rsid w:val="00D114F0"/>
    <w:rsid w:val="00D15816"/>
    <w:rsid w:val="00D20620"/>
    <w:rsid w:val="00D254F7"/>
    <w:rsid w:val="00D26091"/>
    <w:rsid w:val="00D2685C"/>
    <w:rsid w:val="00D34E7C"/>
    <w:rsid w:val="00D35489"/>
    <w:rsid w:val="00D36AFE"/>
    <w:rsid w:val="00D51276"/>
    <w:rsid w:val="00D7035F"/>
    <w:rsid w:val="00D7291E"/>
    <w:rsid w:val="00DA634F"/>
    <w:rsid w:val="00DA65AC"/>
    <w:rsid w:val="00DA7A1A"/>
    <w:rsid w:val="00DB1913"/>
    <w:rsid w:val="00DB78EC"/>
    <w:rsid w:val="00DC2D02"/>
    <w:rsid w:val="00DC410D"/>
    <w:rsid w:val="00DC5A81"/>
    <w:rsid w:val="00DC68CA"/>
    <w:rsid w:val="00DC7CBA"/>
    <w:rsid w:val="00DD73B7"/>
    <w:rsid w:val="00DE16CF"/>
    <w:rsid w:val="00DF28BC"/>
    <w:rsid w:val="00DF34B9"/>
    <w:rsid w:val="00DF49F1"/>
    <w:rsid w:val="00E01053"/>
    <w:rsid w:val="00E07ACF"/>
    <w:rsid w:val="00E12A45"/>
    <w:rsid w:val="00E331A1"/>
    <w:rsid w:val="00E33202"/>
    <w:rsid w:val="00E336A9"/>
    <w:rsid w:val="00E472B1"/>
    <w:rsid w:val="00E50624"/>
    <w:rsid w:val="00E5174E"/>
    <w:rsid w:val="00E568DF"/>
    <w:rsid w:val="00E64269"/>
    <w:rsid w:val="00E82267"/>
    <w:rsid w:val="00E853CE"/>
    <w:rsid w:val="00E867B6"/>
    <w:rsid w:val="00E90C2C"/>
    <w:rsid w:val="00E96C0B"/>
    <w:rsid w:val="00EA010F"/>
    <w:rsid w:val="00EC0D6B"/>
    <w:rsid w:val="00ED1B63"/>
    <w:rsid w:val="00ED3C1F"/>
    <w:rsid w:val="00ED4085"/>
    <w:rsid w:val="00ED420E"/>
    <w:rsid w:val="00ED6FBE"/>
    <w:rsid w:val="00EE2F57"/>
    <w:rsid w:val="00EF4C34"/>
    <w:rsid w:val="00EF77C6"/>
    <w:rsid w:val="00F05438"/>
    <w:rsid w:val="00F05D1B"/>
    <w:rsid w:val="00F1361C"/>
    <w:rsid w:val="00F156F0"/>
    <w:rsid w:val="00F160C7"/>
    <w:rsid w:val="00F20AE7"/>
    <w:rsid w:val="00F2408F"/>
    <w:rsid w:val="00F240E9"/>
    <w:rsid w:val="00F36D8F"/>
    <w:rsid w:val="00F417B1"/>
    <w:rsid w:val="00F45853"/>
    <w:rsid w:val="00F52A0A"/>
    <w:rsid w:val="00F602DF"/>
    <w:rsid w:val="00F643E3"/>
    <w:rsid w:val="00F666C2"/>
    <w:rsid w:val="00F72C29"/>
    <w:rsid w:val="00F754A1"/>
    <w:rsid w:val="00F81FD9"/>
    <w:rsid w:val="00F841AA"/>
    <w:rsid w:val="00F84A94"/>
    <w:rsid w:val="00F86005"/>
    <w:rsid w:val="00F87E96"/>
    <w:rsid w:val="00F907CF"/>
    <w:rsid w:val="00FA23E8"/>
    <w:rsid w:val="00FA2B23"/>
    <w:rsid w:val="00FC08AF"/>
    <w:rsid w:val="00FD3CC1"/>
    <w:rsid w:val="00FF1E02"/>
    <w:rsid w:val="00FF30B4"/>
    <w:rsid w:val="00FF4922"/>
    <w:rsid w:val="015975B8"/>
    <w:rsid w:val="02143E91"/>
    <w:rsid w:val="02712372"/>
    <w:rsid w:val="030B4515"/>
    <w:rsid w:val="052120A3"/>
    <w:rsid w:val="05FB25F0"/>
    <w:rsid w:val="065A1D10"/>
    <w:rsid w:val="066E0107"/>
    <w:rsid w:val="07996F6E"/>
    <w:rsid w:val="07A1396F"/>
    <w:rsid w:val="08800756"/>
    <w:rsid w:val="08FF6B9F"/>
    <w:rsid w:val="09B619C3"/>
    <w:rsid w:val="0A2032A3"/>
    <w:rsid w:val="0B2A34DD"/>
    <w:rsid w:val="0BDF05C2"/>
    <w:rsid w:val="0C30706F"/>
    <w:rsid w:val="0C736E48"/>
    <w:rsid w:val="0DFF319D"/>
    <w:rsid w:val="0E3231CB"/>
    <w:rsid w:val="0F98263C"/>
    <w:rsid w:val="0FFC0078"/>
    <w:rsid w:val="101860EC"/>
    <w:rsid w:val="10284C2D"/>
    <w:rsid w:val="10B4026F"/>
    <w:rsid w:val="10C055FF"/>
    <w:rsid w:val="118107EC"/>
    <w:rsid w:val="12503FC7"/>
    <w:rsid w:val="12753A2E"/>
    <w:rsid w:val="13D50BC4"/>
    <w:rsid w:val="142A141B"/>
    <w:rsid w:val="159E329B"/>
    <w:rsid w:val="16BB723D"/>
    <w:rsid w:val="17944956"/>
    <w:rsid w:val="182A0E16"/>
    <w:rsid w:val="185D2485"/>
    <w:rsid w:val="19B906A4"/>
    <w:rsid w:val="19E576EB"/>
    <w:rsid w:val="1A1104E0"/>
    <w:rsid w:val="1AA72BF2"/>
    <w:rsid w:val="1ABC2562"/>
    <w:rsid w:val="1B2B55D1"/>
    <w:rsid w:val="1BE8440E"/>
    <w:rsid w:val="1C120034"/>
    <w:rsid w:val="1C2B1DB5"/>
    <w:rsid w:val="1CE85C0B"/>
    <w:rsid w:val="1CF06AD2"/>
    <w:rsid w:val="1D036806"/>
    <w:rsid w:val="1D155CEE"/>
    <w:rsid w:val="1D295B40"/>
    <w:rsid w:val="1DA5166B"/>
    <w:rsid w:val="1FC20D55"/>
    <w:rsid w:val="1FF35744"/>
    <w:rsid w:val="20FA7F20"/>
    <w:rsid w:val="22D12F02"/>
    <w:rsid w:val="22E0094F"/>
    <w:rsid w:val="23860B96"/>
    <w:rsid w:val="240371BF"/>
    <w:rsid w:val="266C0004"/>
    <w:rsid w:val="271D04C4"/>
    <w:rsid w:val="28583A32"/>
    <w:rsid w:val="28B46C06"/>
    <w:rsid w:val="28B60BD0"/>
    <w:rsid w:val="2940493E"/>
    <w:rsid w:val="296A1E53"/>
    <w:rsid w:val="29FD04D3"/>
    <w:rsid w:val="2A9A62D0"/>
    <w:rsid w:val="2C8A61B5"/>
    <w:rsid w:val="2DF04E50"/>
    <w:rsid w:val="2EF15CB9"/>
    <w:rsid w:val="2F040D46"/>
    <w:rsid w:val="2FF7387C"/>
    <w:rsid w:val="305B205D"/>
    <w:rsid w:val="30D832DB"/>
    <w:rsid w:val="319F7F4E"/>
    <w:rsid w:val="329F764D"/>
    <w:rsid w:val="32FD73FC"/>
    <w:rsid w:val="3304709D"/>
    <w:rsid w:val="3328091C"/>
    <w:rsid w:val="33AB32FB"/>
    <w:rsid w:val="3419066A"/>
    <w:rsid w:val="351D1FD7"/>
    <w:rsid w:val="35F82ECB"/>
    <w:rsid w:val="369D1A25"/>
    <w:rsid w:val="36AA5135"/>
    <w:rsid w:val="376D39B2"/>
    <w:rsid w:val="37AA4A4E"/>
    <w:rsid w:val="37E16F03"/>
    <w:rsid w:val="37E40B8A"/>
    <w:rsid w:val="38471845"/>
    <w:rsid w:val="38D469F0"/>
    <w:rsid w:val="3B6A7F86"/>
    <w:rsid w:val="3C3F60CD"/>
    <w:rsid w:val="3C6B21D6"/>
    <w:rsid w:val="3C9927A2"/>
    <w:rsid w:val="3CE27D8E"/>
    <w:rsid w:val="3D98207C"/>
    <w:rsid w:val="3E5A1BA6"/>
    <w:rsid w:val="3E78745D"/>
    <w:rsid w:val="3FBC35CE"/>
    <w:rsid w:val="3FCC6AD3"/>
    <w:rsid w:val="43D67F21"/>
    <w:rsid w:val="43DE04B7"/>
    <w:rsid w:val="44020D16"/>
    <w:rsid w:val="445B1E9C"/>
    <w:rsid w:val="44E268DA"/>
    <w:rsid w:val="45B61DB8"/>
    <w:rsid w:val="48205C0E"/>
    <w:rsid w:val="4867383D"/>
    <w:rsid w:val="48E21116"/>
    <w:rsid w:val="49172B6D"/>
    <w:rsid w:val="49296D45"/>
    <w:rsid w:val="493A2D00"/>
    <w:rsid w:val="4A472C98"/>
    <w:rsid w:val="4A627F82"/>
    <w:rsid w:val="4B0E749A"/>
    <w:rsid w:val="4B4F25DA"/>
    <w:rsid w:val="4BE068DB"/>
    <w:rsid w:val="4C8D5D21"/>
    <w:rsid w:val="4CB15087"/>
    <w:rsid w:val="4D577224"/>
    <w:rsid w:val="4EAB630A"/>
    <w:rsid w:val="4ECE2238"/>
    <w:rsid w:val="4F5D5052"/>
    <w:rsid w:val="4FB37368"/>
    <w:rsid w:val="4FFE02AE"/>
    <w:rsid w:val="50F419E6"/>
    <w:rsid w:val="52243E2B"/>
    <w:rsid w:val="52622CD8"/>
    <w:rsid w:val="52DB10B0"/>
    <w:rsid w:val="537E6D0A"/>
    <w:rsid w:val="5454111A"/>
    <w:rsid w:val="54B03E76"/>
    <w:rsid w:val="550D751A"/>
    <w:rsid w:val="555D5DAC"/>
    <w:rsid w:val="569A239C"/>
    <w:rsid w:val="56F95FA8"/>
    <w:rsid w:val="572A7F10"/>
    <w:rsid w:val="57527466"/>
    <w:rsid w:val="586E022E"/>
    <w:rsid w:val="58AD76A1"/>
    <w:rsid w:val="59C1745A"/>
    <w:rsid w:val="5A33357F"/>
    <w:rsid w:val="5A390B86"/>
    <w:rsid w:val="5A3966BC"/>
    <w:rsid w:val="5A3D127E"/>
    <w:rsid w:val="5AF92295"/>
    <w:rsid w:val="5B721E85"/>
    <w:rsid w:val="5C2F5FC8"/>
    <w:rsid w:val="5CD71FC4"/>
    <w:rsid w:val="5CDD77D2"/>
    <w:rsid w:val="5E565A8E"/>
    <w:rsid w:val="5E5F0DE7"/>
    <w:rsid w:val="5F5C6ACA"/>
    <w:rsid w:val="5F8F3E3D"/>
    <w:rsid w:val="604A3657"/>
    <w:rsid w:val="629252C6"/>
    <w:rsid w:val="640956AE"/>
    <w:rsid w:val="64462101"/>
    <w:rsid w:val="65660CAD"/>
    <w:rsid w:val="65B77A52"/>
    <w:rsid w:val="687E00BB"/>
    <w:rsid w:val="6B064398"/>
    <w:rsid w:val="6C4A05C8"/>
    <w:rsid w:val="6E3E51AA"/>
    <w:rsid w:val="6E7E3605"/>
    <w:rsid w:val="6F550EB3"/>
    <w:rsid w:val="6FF5CC65"/>
    <w:rsid w:val="7040659E"/>
    <w:rsid w:val="71161167"/>
    <w:rsid w:val="715C0E4B"/>
    <w:rsid w:val="71DF3107"/>
    <w:rsid w:val="72734D90"/>
    <w:rsid w:val="72DC25AE"/>
    <w:rsid w:val="731F06ED"/>
    <w:rsid w:val="7370719A"/>
    <w:rsid w:val="73741471"/>
    <w:rsid w:val="73AD73D5"/>
    <w:rsid w:val="73B6EB34"/>
    <w:rsid w:val="744731E5"/>
    <w:rsid w:val="745B7503"/>
    <w:rsid w:val="75D237F5"/>
    <w:rsid w:val="761D4650"/>
    <w:rsid w:val="76D96E05"/>
    <w:rsid w:val="76E3355F"/>
    <w:rsid w:val="7762504C"/>
    <w:rsid w:val="778769C8"/>
    <w:rsid w:val="79077C59"/>
    <w:rsid w:val="793E3530"/>
    <w:rsid w:val="798C59DC"/>
    <w:rsid w:val="79EE5BA4"/>
    <w:rsid w:val="7A38303A"/>
    <w:rsid w:val="7A894339"/>
    <w:rsid w:val="7BA43E85"/>
    <w:rsid w:val="7C324FED"/>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7"/>
    <w:qFormat/>
    <w:uiPriority w:val="99"/>
    <w:pPr>
      <w:spacing w:beforeLines="30"/>
    </w:pPr>
    <w:rPr>
      <w:rFonts w:ascii="仿宋_GB2312" w:eastAsia="仿宋_GB2312"/>
      <w:kern w:val="0"/>
      <w:sz w:val="30"/>
    </w:rPr>
  </w:style>
  <w:style w:type="paragraph" w:styleId="6">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3"/>
    <w:semiHidden/>
    <w:unhideWhenUsed/>
    <w:qFormat/>
    <w:uiPriority w:val="99"/>
    <w:rPr>
      <w:sz w:val="18"/>
      <w:szCs w:val="18"/>
    </w:rPr>
  </w:style>
  <w:style w:type="paragraph" w:styleId="10">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semiHidden/>
    <w:unhideWhenUsed/>
    <w:qFormat/>
    <w:uiPriority w:val="99"/>
    <w:rPr>
      <w:sz w:val="24"/>
    </w:rPr>
  </w:style>
  <w:style w:type="paragraph" w:styleId="15">
    <w:name w:val="Title"/>
    <w:basedOn w:val="1"/>
    <w:next w:val="1"/>
    <w:qFormat/>
    <w:uiPriority w:val="0"/>
    <w:pPr>
      <w:spacing w:before="240" w:after="60"/>
      <w:jc w:val="center"/>
      <w:outlineLvl w:val="0"/>
    </w:pPr>
    <w:rPr>
      <w:rFonts w:ascii="Cambria" w:hAnsi="Cambria"/>
      <w:b/>
      <w:bCs/>
      <w:sz w:val="32"/>
      <w:szCs w:val="32"/>
    </w:rPr>
  </w:style>
  <w:style w:type="paragraph" w:styleId="16">
    <w:name w:val="Body Text First Indent 2"/>
    <w:basedOn w:val="7"/>
    <w:next w:val="1"/>
    <w:unhideWhenUsed/>
    <w:qFormat/>
    <w:uiPriority w:val="99"/>
    <w:pPr>
      <w:ind w:firstLine="420" w:firstLineChars="200"/>
    </w:pPr>
  </w:style>
  <w:style w:type="character" w:styleId="19">
    <w:name w:val="Strong"/>
    <w:basedOn w:val="18"/>
    <w:qFormat/>
    <w:uiPriority w:val="99"/>
    <w:rPr>
      <w:b/>
    </w:rPr>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2">
    <w:name w:val="Header Char"/>
    <w:basedOn w:val="18"/>
    <w:semiHidden/>
    <w:qFormat/>
    <w:uiPriority w:val="99"/>
    <w:rPr>
      <w:rFonts w:ascii="Times New Roman" w:hAnsi="Times New Roman"/>
      <w:sz w:val="18"/>
      <w:szCs w:val="18"/>
    </w:rPr>
  </w:style>
  <w:style w:type="character" w:customStyle="1" w:styleId="23">
    <w:name w:val="页眉 Char"/>
    <w:link w:val="11"/>
    <w:semiHidden/>
    <w:qFormat/>
    <w:locked/>
    <w:uiPriority w:val="99"/>
    <w:rPr>
      <w:sz w:val="18"/>
    </w:rPr>
  </w:style>
  <w:style w:type="character" w:customStyle="1" w:styleId="24">
    <w:name w:val="Footer Char"/>
    <w:basedOn w:val="18"/>
    <w:semiHidden/>
    <w:qFormat/>
    <w:uiPriority w:val="99"/>
    <w:rPr>
      <w:rFonts w:ascii="Times New Roman" w:hAnsi="Times New Roman"/>
      <w:sz w:val="18"/>
      <w:szCs w:val="18"/>
    </w:rPr>
  </w:style>
  <w:style w:type="character" w:customStyle="1" w:styleId="25">
    <w:name w:val="页脚 Char"/>
    <w:link w:val="10"/>
    <w:qFormat/>
    <w:locked/>
    <w:uiPriority w:val="99"/>
    <w:rPr>
      <w:sz w:val="18"/>
    </w:rPr>
  </w:style>
  <w:style w:type="character" w:customStyle="1" w:styleId="26">
    <w:name w:val="Body Text Char"/>
    <w:basedOn w:val="18"/>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8"/>
    <w:link w:val="3"/>
    <w:qFormat/>
    <w:uiPriority w:val="9"/>
    <w:rPr>
      <w:rFonts w:ascii="Times New Roman" w:hAnsi="Times New Roman"/>
      <w:b/>
      <w:bCs/>
      <w:kern w:val="44"/>
      <w:sz w:val="44"/>
      <w:szCs w:val="44"/>
    </w:rPr>
  </w:style>
  <w:style w:type="character" w:customStyle="1" w:styleId="31">
    <w:name w:val="标题 2 Char"/>
    <w:basedOn w:val="18"/>
    <w:link w:val="4"/>
    <w:qFormat/>
    <w:uiPriority w:val="9"/>
    <w:rPr>
      <w:rFonts w:asciiTheme="majorHAnsi" w:hAnsiTheme="majorHAnsi" w:eastAsiaTheme="majorEastAsia" w:cstheme="majorBidi"/>
      <w:b/>
      <w:bCs/>
      <w:kern w:val="2"/>
      <w:sz w:val="32"/>
      <w:szCs w:val="32"/>
    </w:rPr>
  </w:style>
  <w:style w:type="paragraph" w:customStyle="1" w:styleId="32">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批注框文本 Char"/>
    <w:basedOn w:val="18"/>
    <w:link w:val="9"/>
    <w:semiHidden/>
    <w:qFormat/>
    <w:uiPriority w:val="99"/>
    <w:rPr>
      <w:rFonts w:ascii="Times New Roman" w:hAnsi="Times New Roman"/>
      <w:kern w:val="2"/>
      <w:sz w:val="18"/>
      <w:szCs w:val="18"/>
    </w:rPr>
  </w:style>
  <w:style w:type="character" w:customStyle="1" w:styleId="34">
    <w:name w:val="标题 3 Char"/>
    <w:basedOn w:val="18"/>
    <w:link w:val="5"/>
    <w:qFormat/>
    <w:uiPriority w:val="9"/>
    <w:rPr>
      <w:rFonts w:ascii="Times New Roman" w:hAnsi="Times New Roman"/>
      <w:b/>
      <w:bCs/>
      <w:kern w:val="2"/>
      <w:sz w:val="32"/>
      <w:szCs w:val="32"/>
    </w:rPr>
  </w:style>
  <w:style w:type="paragraph" w:customStyle="1" w:styleId="35">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chart" Target="charts/chart7.xml"/><Relationship Id="rId18" Type="http://schemas.openxmlformats.org/officeDocument/2006/relationships/chart" Target="charts/chart6.xml"/><Relationship Id="rId17" Type="http://schemas.openxmlformats.org/officeDocument/2006/relationships/chart" Target="charts/chart5.xml"/><Relationship Id="rId16" Type="http://schemas.openxmlformats.org/officeDocument/2006/relationships/chart" Target="charts/chart4.xml"/><Relationship Id="rId15" Type="http://schemas.openxmlformats.org/officeDocument/2006/relationships/chart" Target="charts/chart3.xml"/><Relationship Id="rId14" Type="http://schemas.openxmlformats.org/officeDocument/2006/relationships/chart" Target="charts/chart2.xml"/><Relationship Id="rId13" Type="http://schemas.openxmlformats.org/officeDocument/2006/relationships/chart" Target="charts/chart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1" i="0" u="none" strike="noStrike" kern="1200" baseline="0">
                <a:solidFill>
                  <a:schemeClr val="tx1"/>
                </a:solidFill>
                <a:latin typeface="+mn-lt"/>
                <a:ea typeface="+mn-ea"/>
                <a:cs typeface="+mn-cs"/>
              </a:defRPr>
            </a:pPr>
            <a:r>
              <a:rPr lang="zh-CN" altLang="en-US" sz="1200"/>
              <a:t>收、支决算总计变动情况图（单位：万元）</a:t>
            </a:r>
            <a:endParaRPr lang="zh-CN" altLang="en-US" sz="1200"/>
          </a:p>
        </c:rich>
      </c:tx>
      <c:layout>
        <c:manualLayout>
          <c:xMode val="edge"/>
          <c:yMode val="edge"/>
          <c:x val="0.118506738873254"/>
          <c:y val="0.0123839009287926"/>
        </c:manualLayout>
      </c:layout>
      <c:overlay val="0"/>
    </c:title>
    <c:autoTitleDeleted val="0"/>
    <c:plotArea>
      <c:layout/>
      <c:barChart>
        <c:barDir val="col"/>
        <c:grouping val="clustered"/>
        <c:varyColors val="0"/>
        <c:ser>
          <c:idx val="0"/>
          <c:order val="0"/>
          <c:tx>
            <c:strRef>
              <c:f>Sheet1!$B$1</c:f>
              <c:strCache>
                <c:ptCount val="1"/>
                <c:pt idx="0">
                  <c:v>收、支决算总计变动情况图</c:v>
                </c:pt>
              </c:strCache>
            </c:strRef>
          </c:tx>
          <c:invertIfNegative val="0"/>
          <c:dLbls>
            <c:dLbl>
              <c:idx val="1"/>
              <c:layout>
                <c:manualLayout>
                  <c:x val="0"/>
                  <c:y val="-0.01238156673940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Sheet1!$A$2:$A$5</c:f>
              <c:numCache>
                <c:formatCode>General</c:formatCode>
                <c:ptCount val="2"/>
                <c:pt idx="0">
                  <c:v>2022</c:v>
                </c:pt>
                <c:pt idx="1">
                  <c:v>2023</c:v>
                </c:pt>
              </c:numCache>
            </c:numRef>
          </c:cat>
          <c:val>
            <c:numRef>
              <c:f>Sheet1!$B$2:$B$5</c:f>
              <c:numCache>
                <c:formatCode>General</c:formatCode>
                <c:ptCount val="2"/>
                <c:pt idx="0">
                  <c:v>85.25</c:v>
                </c:pt>
                <c:pt idx="1">
                  <c:v>3482.95</c:v>
                </c:pt>
              </c:numCache>
            </c:numRef>
          </c:val>
        </c:ser>
        <c:ser>
          <c:idx val="1"/>
          <c:order val="1"/>
          <c:tx>
            <c:strRef>
              <c:f>Sheet1!$C$1</c:f>
              <c:strCache>
                <c:ptCount val="1"/>
                <c:pt idx="0">
                  <c:v>系列 2</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Sheet1!$A$2:$A$5</c:f>
              <c:numCache>
                <c:formatCode>General</c:formatCode>
                <c:ptCount val="2"/>
                <c:pt idx="0">
                  <c:v>2022</c:v>
                </c:pt>
                <c:pt idx="1">
                  <c:v>2023</c:v>
                </c:pt>
              </c:numCache>
            </c:numRef>
          </c:cat>
          <c:val>
            <c:numRef>
              <c:f>Sheet1!$C$2:$C$5</c:f>
            </c:numRef>
          </c:val>
        </c:ser>
        <c:ser>
          <c:idx val="2"/>
          <c:order val="2"/>
          <c:tx>
            <c:strRef>
              <c:f>Sheet1!$D$1</c:f>
              <c:strCache>
                <c:ptCount val="1"/>
                <c:pt idx="0">
                  <c:v>系列 3</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Sheet1!$A$2:$A$5</c:f>
              <c:numCache>
                <c:formatCode>General</c:formatCode>
                <c:ptCount val="2"/>
                <c:pt idx="0">
                  <c:v>2022</c:v>
                </c:pt>
                <c:pt idx="1">
                  <c:v>2023</c:v>
                </c:pt>
              </c:numCache>
            </c:numRef>
          </c:cat>
          <c:val>
            <c:numRef>
              <c:f>Sheet1!$D$2:$D$5</c:f>
            </c:numRef>
          </c:val>
        </c:ser>
        <c:dLbls>
          <c:showLegendKey val="0"/>
          <c:showVal val="1"/>
          <c:showCatName val="0"/>
          <c:showSerName val="0"/>
          <c:showPercent val="0"/>
          <c:showBubbleSize val="0"/>
        </c:dLbls>
        <c:gapWidth val="150"/>
        <c:axId val="110706048"/>
        <c:axId val="113532928"/>
      </c:barChart>
      <c:catAx>
        <c:axId val="110706048"/>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3532928"/>
        <c:crosses val="autoZero"/>
        <c:auto val="1"/>
        <c:lblAlgn val="ctr"/>
        <c:lblOffset val="100"/>
        <c:noMultiLvlLbl val="0"/>
      </c:catAx>
      <c:valAx>
        <c:axId val="11353292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0706048"/>
        <c:crosses val="autoZero"/>
        <c:crossBetween val="between"/>
      </c:valAx>
    </c:plotArea>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1" i="0" u="none" strike="noStrike" kern="1200" baseline="0">
                <a:solidFill>
                  <a:schemeClr val="tx1"/>
                </a:solidFill>
                <a:latin typeface="+mn-lt"/>
                <a:ea typeface="+mn-ea"/>
                <a:cs typeface="+mn-cs"/>
              </a:defRPr>
            </a:pPr>
            <a:r>
              <a:rPr lang="zh-CN" altLang="en-US" sz="1400"/>
              <a:t>收入决算结构图（单位：万元）</a:t>
            </a:r>
            <a:endParaRPr lang="zh-CN" altLang="en-US" sz="1400"/>
          </a:p>
        </c:rich>
      </c:tx>
      <c:layout/>
      <c:overlay val="0"/>
    </c:title>
    <c:autoTitleDeleted val="0"/>
    <c:plotArea>
      <c:layout/>
      <c:pieChart>
        <c:varyColors val="1"/>
        <c:ser>
          <c:idx val="0"/>
          <c:order val="0"/>
          <c:tx>
            <c:strRef>
              <c:f>Sheet1!$B$1</c:f>
              <c:strCache>
                <c:ptCount val="1"/>
                <c:pt idx="0">
                  <c:v>收入决算结构图</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Sheet1!$A$2:$A$9</c:f>
              <c:strCache>
                <c:ptCount val="8"/>
                <c:pt idx="0">
                  <c:v>一般公共预算收入</c:v>
                </c:pt>
                <c:pt idx="1">
                  <c:v>政府性基金预算收入</c:v>
                </c:pt>
                <c:pt idx="2">
                  <c:v>国有资本经营预算收入</c:v>
                </c:pt>
                <c:pt idx="3">
                  <c:v>上级补助收入</c:v>
                </c:pt>
                <c:pt idx="4">
                  <c:v>事业收入</c:v>
                </c:pt>
                <c:pt idx="5">
                  <c:v>经营收入</c:v>
                </c:pt>
                <c:pt idx="6">
                  <c:v>附属单位上缴收入</c:v>
                </c:pt>
                <c:pt idx="7">
                  <c:v>其他收入</c:v>
                </c:pt>
              </c:strCache>
            </c:strRef>
          </c:cat>
          <c:val>
            <c:numRef>
              <c:f>Sheet1!$B$2:$B$9</c:f>
              <c:numCache>
                <c:formatCode>General</c:formatCode>
                <c:ptCount val="8"/>
                <c:pt idx="0">
                  <c:v>1714.75</c:v>
                </c:pt>
                <c:pt idx="1" c:formatCode="0.0_ ">
                  <c:v>1768.2</c:v>
                </c:pt>
                <c:pt idx="2">
                  <c:v>0</c:v>
                </c:pt>
                <c:pt idx="3">
                  <c:v>0</c:v>
                </c:pt>
                <c:pt idx="4">
                  <c:v>0</c:v>
                </c:pt>
                <c:pt idx="5">
                  <c:v>0</c:v>
                </c:pt>
                <c:pt idx="6">
                  <c:v>0</c:v>
                </c:pt>
                <c:pt idx="7">
                  <c:v>0</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7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1" i="0" u="none" strike="noStrike" kern="1200" baseline="0">
                <a:solidFill>
                  <a:schemeClr val="tx1"/>
                </a:solidFill>
                <a:latin typeface="+mn-lt"/>
                <a:ea typeface="+mn-ea"/>
                <a:cs typeface="+mn-cs"/>
              </a:defRPr>
            </a:pPr>
            <a:r>
              <a:rPr lang="zh-CN" altLang="en-US" sz="1200"/>
              <a:t>支出决算结构图（单位：万元）</a:t>
            </a:r>
            <a:endParaRPr lang="zh-CN" altLang="en-US" sz="1200"/>
          </a:p>
        </c:rich>
      </c:tx>
      <c:layout>
        <c:manualLayout>
          <c:xMode val="edge"/>
          <c:yMode val="edge"/>
          <c:x val="0.430508376125278"/>
          <c:y val="0.0359283093829715"/>
        </c:manualLayout>
      </c:layout>
      <c:overlay val="0"/>
    </c:title>
    <c:autoTitleDeleted val="0"/>
    <c:plotArea>
      <c:layout/>
      <c:pieChart>
        <c:varyColors val="1"/>
        <c:ser>
          <c:idx val="0"/>
          <c:order val="0"/>
          <c:tx>
            <c:strRef>
              <c:f>Sheet1!$B$1</c:f>
              <c:strCache>
                <c:ptCount val="1"/>
                <c:pt idx="0">
                  <c:v>支出决算结构图</c:v>
                </c:pt>
              </c:strCache>
            </c:strRef>
          </c:tx>
          <c:explosion val="0"/>
          <c:dPt>
            <c:idx val="0"/>
            <c:bubble3D val="0"/>
          </c:dPt>
          <c:dPt>
            <c:idx val="1"/>
            <c:bubble3D val="0"/>
          </c:dPt>
          <c:dPt>
            <c:idx val="2"/>
            <c:bubble3D val="0"/>
          </c:dPt>
          <c:dPt>
            <c:idx val="3"/>
            <c:bubble3D val="0"/>
          </c:dPt>
          <c:dPt>
            <c:idx val="4"/>
            <c:bubble3D val="0"/>
          </c:dPt>
          <c:dLbls>
            <c:dLbl>
              <c:idx val="0"/>
              <c:layout>
                <c:manualLayout>
                  <c:x val="0.00260061799275085"/>
                  <c:y val="0.0214287617280285"/>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15250390126259"/>
                  <c:y val="-0.0498945888966971"/>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3"/>
              <c:layout>
                <c:manualLayout>
                  <c:x val="-0.179032486877571"/>
                  <c:y val="0.0234246896228625"/>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4"/>
              <c:layout>
                <c:manualLayout>
                  <c:x val="0.194409861069168"/>
                  <c:y val="0.0832553364453459"/>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Sheet1!$A$2:$A$6</c:f>
              <c:strCache>
                <c:ptCount val="5"/>
                <c:pt idx="0">
                  <c:v>基本支出</c:v>
                </c:pt>
                <c:pt idx="1">
                  <c:v>项目支出</c:v>
                </c:pt>
                <c:pt idx="2">
                  <c:v>上缴上级支出</c:v>
                </c:pt>
                <c:pt idx="3">
                  <c:v>经营支出</c:v>
                </c:pt>
                <c:pt idx="4">
                  <c:v>附属单位补助支出</c:v>
                </c:pt>
              </c:strCache>
            </c:strRef>
          </c:cat>
          <c:val>
            <c:numRef>
              <c:f>Sheet1!$B$2:$B$6</c:f>
              <c:numCache>
                <c:formatCode>General</c:formatCode>
                <c:ptCount val="5"/>
                <c:pt idx="0">
                  <c:v>146.82</c:v>
                </c:pt>
                <c:pt idx="1">
                  <c:v>3336.13</c:v>
                </c:pt>
                <c:pt idx="2">
                  <c:v>0</c:v>
                </c:pt>
                <c:pt idx="3">
                  <c:v>0</c:v>
                </c:pt>
                <c:pt idx="4">
                  <c:v>0</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050" b="1" i="0" u="none" strike="noStrike" kern="1200" baseline="0">
                <a:solidFill>
                  <a:schemeClr val="tx1"/>
                </a:solidFill>
                <a:latin typeface="+mn-lt"/>
                <a:ea typeface="+mn-ea"/>
                <a:cs typeface="+mn-cs"/>
              </a:defRPr>
            </a:pPr>
            <a:r>
              <a:rPr lang="zh-CN" altLang="en-US" sz="1050"/>
              <a:t>财政拨款收、支决算总计变动情况</a:t>
            </a:r>
            <a:r>
              <a:rPr lang="en-US" altLang="zh-CN" sz="1050"/>
              <a:t>(</a:t>
            </a:r>
            <a:r>
              <a:rPr lang="zh-CN" altLang="en-US" sz="1050"/>
              <a:t>单位：万元）</a:t>
            </a:r>
            <a:endParaRPr lang="zh-CN" altLang="en-US" sz="1050"/>
          </a:p>
        </c:rich>
      </c:tx>
      <c:layout>
        <c:manualLayout>
          <c:xMode val="edge"/>
          <c:yMode val="edge"/>
          <c:x val="0.104633323395836"/>
          <c:y val="0.0165118679050568"/>
        </c:manualLayout>
      </c:layout>
      <c:overlay val="0"/>
    </c:title>
    <c:autoTitleDeleted val="0"/>
    <c:plotArea>
      <c:layout/>
      <c:barChart>
        <c:barDir val="col"/>
        <c:grouping val="clustered"/>
        <c:varyColors val="0"/>
        <c:ser>
          <c:idx val="0"/>
          <c:order val="0"/>
          <c:tx>
            <c:strRef>
              <c:f>Sheet1!$B$1</c:f>
              <c:strCache>
                <c:ptCount val="1"/>
                <c:pt idx="0">
                  <c:v>财政拨款收、支决算数据</c:v>
                </c:pt>
              </c:strCache>
            </c:strRef>
          </c:tx>
          <c:invertIfNegative val="0"/>
          <c:dLbls>
            <c:dLbl>
              <c:idx val="1"/>
              <c:layout>
                <c:manualLayout>
                  <c:x val="0.00481091038713434"/>
                  <c:y val="-0.020635944565678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Sheet1!$A$2:$A$5</c:f>
              <c:numCache>
                <c:formatCode>General</c:formatCode>
                <c:ptCount val="2"/>
                <c:pt idx="0">
                  <c:v>2022</c:v>
                </c:pt>
                <c:pt idx="1">
                  <c:v>2023</c:v>
                </c:pt>
              </c:numCache>
            </c:numRef>
          </c:cat>
          <c:val>
            <c:numRef>
              <c:f>Sheet1!$B$2:$B$5</c:f>
              <c:numCache>
                <c:formatCode>General</c:formatCode>
                <c:ptCount val="2"/>
                <c:pt idx="0">
                  <c:v>85.25</c:v>
                </c:pt>
                <c:pt idx="1">
                  <c:v>3482.95</c:v>
                </c:pt>
              </c:numCache>
            </c:numRef>
          </c:val>
        </c:ser>
        <c:ser>
          <c:idx val="1"/>
          <c:order val="1"/>
          <c:tx>
            <c:strRef>
              <c:f>Sheet1!$C$1</c:f>
              <c:strCache>
                <c:ptCount val="1"/>
                <c:pt idx="0">
                  <c:v>系列 2</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Sheet1!$A$2:$A$5</c:f>
              <c:numCache>
                <c:formatCode>General</c:formatCode>
                <c:ptCount val="2"/>
                <c:pt idx="0">
                  <c:v>2022</c:v>
                </c:pt>
                <c:pt idx="1">
                  <c:v>2023</c:v>
                </c:pt>
              </c:numCache>
            </c:numRef>
          </c:cat>
          <c:val>
            <c:numRef>
              <c:f>Sheet1!$C$2:$C$5</c:f>
            </c:numRef>
          </c:val>
        </c:ser>
        <c:ser>
          <c:idx val="2"/>
          <c:order val="2"/>
          <c:tx>
            <c:strRef>
              <c:f>Sheet1!$D$1</c:f>
              <c:strCache>
                <c:ptCount val="1"/>
                <c:pt idx="0">
                  <c:v>系列 3</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Sheet1!$A$2:$A$5</c:f>
              <c:numCache>
                <c:formatCode>General</c:formatCode>
                <c:ptCount val="2"/>
                <c:pt idx="0">
                  <c:v>2022</c:v>
                </c:pt>
                <c:pt idx="1">
                  <c:v>2023</c:v>
                </c:pt>
              </c:numCache>
            </c:numRef>
          </c:cat>
          <c:val>
            <c:numRef>
              <c:f>Sheet1!$D$2:$D$5</c:f>
            </c:numRef>
          </c:val>
        </c:ser>
        <c:dLbls>
          <c:showLegendKey val="0"/>
          <c:showVal val="1"/>
          <c:showCatName val="0"/>
          <c:showSerName val="0"/>
          <c:showPercent val="0"/>
          <c:showBubbleSize val="0"/>
        </c:dLbls>
        <c:gapWidth val="150"/>
        <c:axId val="113458560"/>
        <c:axId val="113468544"/>
      </c:barChart>
      <c:catAx>
        <c:axId val="11345856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3468544"/>
        <c:crosses val="autoZero"/>
        <c:auto val="1"/>
        <c:lblAlgn val="ctr"/>
        <c:lblOffset val="100"/>
        <c:noMultiLvlLbl val="0"/>
      </c:catAx>
      <c:valAx>
        <c:axId val="11346854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345856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100" b="1" i="0" u="none" strike="noStrike" kern="1200" baseline="0">
                <a:solidFill>
                  <a:schemeClr val="tx1"/>
                </a:solidFill>
                <a:latin typeface="+mn-lt"/>
                <a:ea typeface="+mn-ea"/>
                <a:cs typeface="+mn-cs"/>
              </a:defRPr>
            </a:pPr>
            <a:r>
              <a:rPr lang="zh-CN" altLang="zh-CN" sz="1100" b="1" i="0" u="none" strike="noStrike" baseline="0">
                <a:effectLst/>
              </a:rPr>
              <a:t>一般公共预算财政拨款支出决算变动情况</a:t>
            </a:r>
            <a:endParaRPr lang="en-US" altLang="zh-CN" sz="1000" b="1" i="0" u="none" strike="noStrike" baseline="0">
              <a:effectLst/>
            </a:endParaRPr>
          </a:p>
          <a:p>
            <a:pPr>
              <a:defRPr lang="zh-CN" sz="1100" b="1" i="0" u="none" strike="noStrike" kern="1200" baseline="0">
                <a:solidFill>
                  <a:schemeClr val="tx1"/>
                </a:solidFill>
                <a:latin typeface="+mn-lt"/>
                <a:ea typeface="+mn-ea"/>
                <a:cs typeface="+mn-cs"/>
              </a:defRPr>
            </a:pPr>
            <a:r>
              <a:rPr lang="en-US" altLang="zh-CN" sz="1100"/>
              <a:t>(</a:t>
            </a:r>
            <a:r>
              <a:rPr lang="zh-CN" altLang="en-US" sz="1100"/>
              <a:t>单位：万元）</a:t>
            </a:r>
            <a:endParaRPr lang="zh-CN" altLang="en-US" sz="1100"/>
          </a:p>
        </c:rich>
      </c:tx>
      <c:layout>
        <c:manualLayout>
          <c:xMode val="edge"/>
          <c:yMode val="edge"/>
          <c:x val="0.104633323395836"/>
          <c:y val="3.25036769784728e-6"/>
        </c:manualLayout>
      </c:layout>
      <c:overlay val="0"/>
    </c:title>
    <c:autoTitleDeleted val="0"/>
    <c:plotArea>
      <c:layout/>
      <c:barChart>
        <c:barDir val="col"/>
        <c:grouping val="clustered"/>
        <c:varyColors val="0"/>
        <c:ser>
          <c:idx val="0"/>
          <c:order val="0"/>
          <c:tx>
            <c:strRef>
              <c:f>Sheet1!$B$1</c:f>
              <c:strCache>
                <c:ptCount val="1"/>
                <c:pt idx="0">
                  <c:v>财政拨款收、支决算总计变动情况(单位：万元）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Sheet1!$A$2:$A$5</c:f>
              <c:numCache>
                <c:formatCode>General</c:formatCode>
                <c:ptCount val="2"/>
                <c:pt idx="0">
                  <c:v>2022</c:v>
                </c:pt>
                <c:pt idx="1">
                  <c:v>2023</c:v>
                </c:pt>
              </c:numCache>
            </c:numRef>
          </c:cat>
          <c:val>
            <c:numRef>
              <c:f>Sheet1!$B$2:$B$5</c:f>
              <c:numCache>
                <c:formatCode>General</c:formatCode>
                <c:ptCount val="2"/>
                <c:pt idx="0">
                  <c:v>85.25</c:v>
                </c:pt>
                <c:pt idx="1">
                  <c:v>1714.75</c:v>
                </c:pt>
              </c:numCache>
            </c:numRef>
          </c:val>
        </c:ser>
        <c:ser>
          <c:idx val="1"/>
          <c:order val="1"/>
          <c:tx>
            <c:strRef>
              <c:f>Sheet1!$C$1</c:f>
              <c:strCache>
                <c:ptCount val="1"/>
                <c:pt idx="0">
                  <c:v>系列 2</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Sheet1!$A$2:$A$5</c:f>
              <c:numCache>
                <c:formatCode>General</c:formatCode>
                <c:ptCount val="2"/>
                <c:pt idx="0">
                  <c:v>2022</c:v>
                </c:pt>
                <c:pt idx="1">
                  <c:v>2023</c:v>
                </c:pt>
              </c:numCache>
            </c:numRef>
          </c:cat>
          <c:val>
            <c:numRef>
              <c:f>Sheet1!$C$2:$C$5</c:f>
            </c:numRef>
          </c:val>
        </c:ser>
        <c:ser>
          <c:idx val="2"/>
          <c:order val="2"/>
          <c:tx>
            <c:strRef>
              <c:f>Sheet1!$D$1</c:f>
              <c:strCache>
                <c:ptCount val="1"/>
                <c:pt idx="0">
                  <c:v>系列 3</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Sheet1!$A$2:$A$5</c:f>
              <c:numCache>
                <c:formatCode>General</c:formatCode>
                <c:ptCount val="2"/>
                <c:pt idx="0">
                  <c:v>2022</c:v>
                </c:pt>
                <c:pt idx="1">
                  <c:v>2023</c:v>
                </c:pt>
              </c:numCache>
            </c:numRef>
          </c:cat>
          <c:val>
            <c:numRef>
              <c:f>Sheet1!$D$2:$D$5</c:f>
            </c:numRef>
          </c:val>
        </c:ser>
        <c:dLbls>
          <c:showLegendKey val="0"/>
          <c:showVal val="1"/>
          <c:showCatName val="0"/>
          <c:showSerName val="0"/>
          <c:showPercent val="0"/>
          <c:showBubbleSize val="0"/>
        </c:dLbls>
        <c:gapWidth val="150"/>
        <c:axId val="356593664"/>
        <c:axId val="356595200"/>
      </c:barChart>
      <c:catAx>
        <c:axId val="356593664"/>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56595200"/>
        <c:crosses val="autoZero"/>
        <c:auto val="1"/>
        <c:lblAlgn val="ctr"/>
        <c:lblOffset val="100"/>
        <c:noMultiLvlLbl val="0"/>
      </c:catAx>
      <c:valAx>
        <c:axId val="35659520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5659366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400"/>
              <a:t>一般公共预算财政拨款支出决算结构</a:t>
            </a:r>
            <a:endParaRPr lang="zh-CN" altLang="en-US" sz="1400"/>
          </a:p>
        </c:rich>
      </c:tx>
      <c:layout>
        <c:manualLayout>
          <c:xMode val="edge"/>
          <c:yMode val="edge"/>
          <c:x val="0.153393884935765"/>
          <c:y val="0.052140455416046"/>
        </c:manualLayout>
      </c:layout>
      <c:overlay val="0"/>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Sheet1!$B$1</c:f>
              <c:strCache>
                <c:ptCount val="1"/>
                <c:pt idx="0">
                  <c:v>一般公共预算财政拨款支出决算结构</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Lbls>
            <c:dLbl>
              <c:idx val="0"/>
              <c:layout>
                <c:manualLayout>
                  <c:x val="-0.00986712274700697"/>
                  <c:y val="0"/>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48664649388238"/>
                  <c:y val="-0.0885269121813031"/>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6445204578345"/>
                  <c:y val="-0.0238432483474976"/>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47335876858308"/>
                  <c:y val="0.038479697828139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Sheet1!$A$2:$A$8</c:f>
              <c:strCache>
                <c:ptCount val="7"/>
                <c:pt idx="0">
                  <c:v>一般公共服务支出</c:v>
                </c:pt>
                <c:pt idx="1">
                  <c:v>文化旅游体育与传媒支出</c:v>
                </c:pt>
                <c:pt idx="2">
                  <c:v>社会保障和就业支出</c:v>
                </c:pt>
                <c:pt idx="3">
                  <c:v>卫生健康支出</c:v>
                </c:pt>
                <c:pt idx="4">
                  <c:v>城乡社区支出</c:v>
                </c:pt>
                <c:pt idx="5">
                  <c:v>农林水支出</c:v>
                </c:pt>
                <c:pt idx="6">
                  <c:v>住房保障支出</c:v>
                </c:pt>
              </c:strCache>
            </c:strRef>
          </c:cat>
          <c:val>
            <c:numRef>
              <c:f>Sheet1!$B$2:$B$8</c:f>
              <c:numCache>
                <c:formatCode>General</c:formatCode>
                <c:ptCount val="7"/>
                <c:pt idx="0">
                  <c:v>144.67</c:v>
                </c:pt>
                <c:pt idx="1">
                  <c:v>16.96</c:v>
                </c:pt>
                <c:pt idx="2">
                  <c:v>13.4</c:v>
                </c:pt>
                <c:pt idx="3">
                  <c:v>11.27</c:v>
                </c:pt>
                <c:pt idx="4">
                  <c:v>781.17</c:v>
                </c:pt>
                <c:pt idx="5">
                  <c:v>736.96</c:v>
                </c:pt>
                <c:pt idx="6">
                  <c:v>10.31</c:v>
                </c:pt>
              </c:numCache>
            </c:numRef>
          </c:val>
        </c:ser>
        <c:dLbls>
          <c:showLegendKey val="0"/>
          <c:showVal val="0"/>
          <c:showCatName val="0"/>
          <c:showSerName val="0"/>
          <c:showPercent val="0"/>
          <c:showBubbleSize val="0"/>
        </c:dLbls>
      </c:pie3DChart>
    </c:plotArea>
    <c:legend>
      <c:legendPos val="r"/>
      <c:layout>
        <c:manualLayout>
          <c:xMode val="edge"/>
          <c:yMode val="edge"/>
          <c:x val="0.611914899253884"/>
          <c:y val="0.205672588204631"/>
          <c:w val="0.339228678593643"/>
          <c:h val="0.687941226972797"/>
        </c:manualLayout>
      </c:layout>
      <c:overlay val="0"/>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600" b="1" i="0" u="none" strike="noStrike" kern="1200" baseline="0">
                <a:solidFill>
                  <a:schemeClr val="tx1"/>
                </a:solidFill>
                <a:latin typeface="+mn-lt"/>
                <a:ea typeface="+mn-ea"/>
                <a:cs typeface="+mn-cs"/>
              </a:defRPr>
            </a:pPr>
            <a:r>
              <a:rPr lang="zh-CN" altLang="en-US" sz="1600"/>
              <a:t>“三公”经费财政拨款支出结构（单位：万元）</a:t>
            </a:r>
            <a:endParaRPr lang="zh-CN" altLang="en-US" sz="1600"/>
          </a:p>
        </c:rich>
      </c:tx>
      <c:layout>
        <c:manualLayout>
          <c:xMode val="edge"/>
          <c:yMode val="edge"/>
          <c:x val="0.155423279136325"/>
          <c:y val="0.0339888322408352"/>
        </c:manualLayout>
      </c:layout>
      <c:overlay val="0"/>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Sheet1!$B$1</c:f>
              <c:strCache>
                <c:ptCount val="1"/>
                <c:pt idx="0">
                  <c:v>“三公”经费财政拨款支出结构</c:v>
                </c:pt>
              </c:strCache>
            </c:strRef>
          </c:tx>
          <c:explosion val="0"/>
          <c:dPt>
            <c:idx val="0"/>
            <c:bubble3D val="0"/>
          </c:dPt>
          <c:dPt>
            <c:idx val="1"/>
            <c:bubble3D val="0"/>
          </c:dPt>
          <c:dPt>
            <c:idx val="2"/>
            <c:bubble3D val="0"/>
          </c:dPt>
          <c:dLbls>
            <c:dLbl>
              <c:idx val="0"/>
              <c:layout>
                <c:manualLayout>
                  <c:x val="0.152958945489496"/>
                  <c:y val="0.0274338431658169"/>
                </c:manualLayout>
              </c:layout>
              <c:dLblPos val="bestFit"/>
              <c:showLegendKey val="0"/>
              <c:showVal val="1"/>
              <c:showCatName val="1"/>
              <c:showSerName val="0"/>
              <c:showPercent val="0"/>
              <c:showBubbleSize val="0"/>
              <c:extLst>
                <c:ext xmlns:c15="http://schemas.microsoft.com/office/drawing/2012/chart" uri="{CE6537A1-D6FC-4f65-9D91-7224C49458BB}">
                  <c15:layout>
                    <c:manualLayout>
                      <c:w val="0.266922971303034"/>
                      <c:h val="0.131099781500364"/>
                    </c:manualLayout>
                  </c15:layout>
                </c:ext>
              </c:extLst>
            </c:dLbl>
            <c:dLbl>
              <c:idx val="1"/>
              <c:layout>
                <c:manualLayout>
                  <c:x val="-0.223259645750378"/>
                  <c:y val="-0.0483126972566157"/>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169984896333928"/>
                  <c:y val="0.0364166059723234"/>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0</c:v>
                </c:pt>
                <c:pt idx="2">
                  <c:v>0</c:v>
                </c:pt>
              </c:numCache>
            </c:numRef>
          </c:val>
        </c:ser>
        <c:dLbls>
          <c:showLegendKey val="0"/>
          <c:showVal val="1"/>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76CE80-3E22-4301-BD57-DB86AE6A6395}">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62</Pages>
  <Words>22628</Words>
  <Characters>23608</Characters>
  <Lines>83</Lines>
  <Paragraphs>23</Paragraphs>
  <TotalTime>31</TotalTime>
  <ScaleCrop>false</ScaleCrop>
  <LinksUpToDate>false</LinksUpToDate>
  <CharactersWithSpaces>23744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2023-10-26T02:59:00Z</dcterms:created>
  <dc:creator>曹颖</dc:creator>
  <cp:lastModifiedBy>风扬起的思念</cp:lastModifiedBy>
  <cp:lastPrinted>2023-10-26T00:53:00Z</cp:lastPrinted>
  <dcterms:modified xsi:type="dcterms:W3CDTF">2024-10-28T07:20:03Z</dcterms:modified>
  <dc:title>四川省***</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FC5EF45A88344AA1B77964BE67D1CB38_13</vt:lpwstr>
  </property>
</Properties>
</file>