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charts/chart6.xml" ContentType="application/vnd.openxmlformats-officedocument.drawingml.chart+xml"/>
  <Override PartName="/docProps/custom.xml" ContentType="application/vnd.openxmlformats-officedocument.custom-properties+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1518" w:rsidRDefault="00FC1518">
      <w:pPr>
        <w:spacing w:line="600" w:lineRule="exact"/>
        <w:jc w:val="left"/>
        <w:outlineLvl w:val="0"/>
        <w:rPr>
          <w:rFonts w:ascii="方正小标宋简体" w:eastAsia="方正小标宋简体" w:hAnsi="宋体"/>
          <w:szCs w:val="21"/>
        </w:rPr>
      </w:pPr>
      <w:bookmarkStart w:id="0" w:name="_Toc15306267"/>
    </w:p>
    <w:p w:rsidR="00FC1518" w:rsidRDefault="00FC1518">
      <w:pPr>
        <w:pStyle w:val="a3"/>
        <w:spacing w:before="93"/>
      </w:pPr>
    </w:p>
    <w:p w:rsidR="00FC1518" w:rsidRDefault="00FC1518">
      <w:pPr>
        <w:spacing w:line="600" w:lineRule="exact"/>
        <w:jc w:val="center"/>
        <w:outlineLvl w:val="0"/>
        <w:rPr>
          <w:rFonts w:ascii="方正小标宋简体" w:eastAsia="方正小标宋简体" w:hAnsi="宋体"/>
          <w:sz w:val="72"/>
          <w:szCs w:val="72"/>
        </w:rPr>
      </w:pPr>
    </w:p>
    <w:p w:rsidR="00FC1518" w:rsidRPr="005B0159" w:rsidRDefault="00FC1518">
      <w:pPr>
        <w:adjustRightInd w:val="0"/>
        <w:snapToGrid w:val="0"/>
        <w:spacing w:line="360" w:lineRule="auto"/>
        <w:jc w:val="center"/>
        <w:outlineLvl w:val="0"/>
        <w:rPr>
          <w:rFonts w:ascii="方正小标宋简体" w:eastAsia="方正小标宋简体" w:hAnsi="方正小标宋简体" w:cs="方正小标宋简体"/>
          <w:sz w:val="44"/>
          <w:szCs w:val="44"/>
        </w:rPr>
      </w:pPr>
      <w:bookmarkStart w:id="1" w:name="_Toc15377193"/>
      <w:bookmarkStart w:id="2" w:name="_Toc15378441"/>
      <w:bookmarkStart w:id="3" w:name="_Toc15377425"/>
      <w:bookmarkStart w:id="4" w:name="_Toc15396475"/>
      <w:bookmarkStart w:id="5" w:name="_Toc15396597"/>
      <w:r w:rsidRPr="005B0159">
        <w:rPr>
          <w:rFonts w:ascii="方正小标宋简体" w:eastAsia="方正小标宋简体" w:hAnsi="方正小标宋简体" w:cs="方正小标宋简体" w:hint="eastAsia"/>
          <w:sz w:val="44"/>
          <w:szCs w:val="44"/>
        </w:rPr>
        <w:t>2023年度</w:t>
      </w:r>
      <w:bookmarkEnd w:id="1"/>
      <w:bookmarkEnd w:id="2"/>
      <w:bookmarkEnd w:id="3"/>
      <w:bookmarkEnd w:id="4"/>
      <w:bookmarkEnd w:id="5"/>
    </w:p>
    <w:p w:rsidR="0071021A" w:rsidRPr="005B0159" w:rsidRDefault="00FC1518" w:rsidP="00FC1518">
      <w:pPr>
        <w:adjustRightInd w:val="0"/>
        <w:snapToGrid w:val="0"/>
        <w:spacing w:line="360" w:lineRule="auto"/>
        <w:jc w:val="center"/>
        <w:outlineLvl w:val="0"/>
        <w:rPr>
          <w:rFonts w:ascii="方正小标宋简体" w:eastAsia="方正小标宋简体" w:hAnsi="方正小标宋简体" w:cs="方正小标宋简体"/>
          <w:sz w:val="44"/>
          <w:szCs w:val="44"/>
        </w:rPr>
      </w:pPr>
      <w:bookmarkStart w:id="6" w:name="_Toc15396476"/>
      <w:bookmarkStart w:id="7" w:name="_Toc15378442"/>
      <w:bookmarkStart w:id="8" w:name="_Toc15396598"/>
      <w:bookmarkStart w:id="9" w:name="_Toc15377426"/>
      <w:bookmarkStart w:id="10" w:name="_Toc15377194"/>
      <w:bookmarkStart w:id="11" w:name="_Toc15306268"/>
      <w:bookmarkEnd w:id="0"/>
      <w:r w:rsidRPr="005B0159">
        <w:rPr>
          <w:rFonts w:ascii="方正小标宋简体" w:eastAsia="方正小标宋简体" w:hAnsi="方正小标宋简体" w:cs="方正小标宋简体" w:hint="eastAsia"/>
          <w:sz w:val="44"/>
          <w:szCs w:val="44"/>
        </w:rPr>
        <w:t>盐边县融媒体中心单位决算</w:t>
      </w:r>
      <w:bookmarkEnd w:id="6"/>
      <w:bookmarkEnd w:id="7"/>
      <w:bookmarkEnd w:id="8"/>
      <w:bookmarkEnd w:id="9"/>
      <w:bookmarkEnd w:id="10"/>
      <w:bookmarkEnd w:id="11"/>
    </w:p>
    <w:p w:rsidR="0071021A" w:rsidRDefault="0046049C">
      <w:pPr>
        <w:widowControl/>
        <w:jc w:val="center"/>
        <w:rPr>
          <w:rFonts w:ascii="黑体" w:eastAsia="黑体" w:hAnsi="黑体"/>
          <w:sz w:val="48"/>
          <w:szCs w:val="48"/>
        </w:rPr>
      </w:pPr>
      <w:r>
        <w:rPr>
          <w:rFonts w:ascii="方正小标宋简体" w:eastAsia="方正小标宋简体" w:hAnsi="宋体"/>
          <w:sz w:val="36"/>
          <w:szCs w:val="36"/>
        </w:rPr>
        <w:br w:type="page"/>
      </w:r>
      <w:r>
        <w:rPr>
          <w:rFonts w:ascii="黑体" w:eastAsia="黑体" w:hAnsi="黑体" w:hint="eastAsia"/>
          <w:sz w:val="48"/>
          <w:szCs w:val="48"/>
        </w:rPr>
        <w:lastRenderedPageBreak/>
        <w:t>目录</w:t>
      </w:r>
    </w:p>
    <w:p w:rsidR="0071021A" w:rsidRDefault="0071021A">
      <w:pPr>
        <w:widowControl/>
        <w:jc w:val="center"/>
        <w:rPr>
          <w:rFonts w:ascii="黑体" w:eastAsia="黑体" w:hAnsi="黑体" w:cstheme="minorBidi"/>
          <w:sz w:val="28"/>
          <w:szCs w:val="28"/>
        </w:rPr>
      </w:pPr>
    </w:p>
    <w:p w:rsidR="0071021A" w:rsidRPr="00111BD2" w:rsidRDefault="0046049C">
      <w:pPr>
        <w:pStyle w:val="10"/>
        <w:rPr>
          <w:rFonts w:asciiTheme="minorEastAsia" w:eastAsiaTheme="minorEastAsia" w:hAnsiTheme="minorEastAsia"/>
        </w:rPr>
      </w:pPr>
      <w:r w:rsidRPr="00111BD2">
        <w:rPr>
          <w:rFonts w:asciiTheme="minorEastAsia" w:eastAsiaTheme="minorEastAsia" w:hAnsiTheme="minorEastAsia" w:hint="eastAsia"/>
        </w:rPr>
        <w:t>公开时间：202</w:t>
      </w:r>
      <w:r w:rsidR="000B3112">
        <w:rPr>
          <w:rFonts w:asciiTheme="minorEastAsia" w:eastAsiaTheme="minorEastAsia" w:hAnsiTheme="minorEastAsia" w:hint="eastAsia"/>
        </w:rPr>
        <w:t>4</w:t>
      </w:r>
      <w:r w:rsidRPr="00111BD2">
        <w:rPr>
          <w:rFonts w:asciiTheme="minorEastAsia" w:eastAsiaTheme="minorEastAsia" w:hAnsiTheme="minorEastAsia" w:hint="eastAsia"/>
        </w:rPr>
        <w:t>年</w:t>
      </w:r>
      <w:r w:rsidR="004758BA">
        <w:rPr>
          <w:rFonts w:asciiTheme="minorEastAsia" w:eastAsiaTheme="minorEastAsia" w:hAnsiTheme="minorEastAsia" w:hint="eastAsia"/>
        </w:rPr>
        <w:t>10</w:t>
      </w:r>
      <w:r w:rsidRPr="00111BD2">
        <w:rPr>
          <w:rFonts w:asciiTheme="minorEastAsia" w:eastAsiaTheme="minorEastAsia" w:hAnsiTheme="minorEastAsia" w:hint="eastAsia"/>
        </w:rPr>
        <w:t>月</w:t>
      </w:r>
      <w:r w:rsidR="004758BA">
        <w:rPr>
          <w:rFonts w:asciiTheme="minorEastAsia" w:eastAsiaTheme="minorEastAsia" w:hAnsiTheme="minorEastAsia" w:hint="eastAsia"/>
        </w:rPr>
        <w:t>28</w:t>
      </w:r>
      <w:r w:rsidRPr="00111BD2">
        <w:rPr>
          <w:rFonts w:asciiTheme="minorEastAsia" w:eastAsiaTheme="minorEastAsia" w:hAnsiTheme="minorEastAsia" w:hint="eastAsia"/>
        </w:rPr>
        <w:t>日</w:t>
      </w:r>
    </w:p>
    <w:p w:rsidR="0071021A" w:rsidRPr="00347A40" w:rsidRDefault="0071021A" w:rsidP="00111BD2">
      <w:pPr>
        <w:spacing w:line="440" w:lineRule="exact"/>
        <w:ind w:leftChars="50" w:left="105"/>
        <w:jc w:val="left"/>
        <w:rPr>
          <w:rFonts w:ascii="宋体" w:hAnsi="宋体"/>
        </w:rPr>
      </w:pPr>
    </w:p>
    <w:p w:rsidR="0071021A" w:rsidRPr="00347A40" w:rsidRDefault="0046049C" w:rsidP="00111BD2">
      <w:pPr>
        <w:pStyle w:val="10"/>
        <w:adjustRightInd w:val="0"/>
        <w:snapToGrid w:val="0"/>
        <w:spacing w:before="0" w:line="440" w:lineRule="exact"/>
        <w:ind w:leftChars="50" w:left="105"/>
        <w:jc w:val="left"/>
        <w:rPr>
          <w:rFonts w:ascii="宋体" w:eastAsia="宋体" w:hAnsi="宋体" w:cstheme="minorBidi"/>
          <w:sz w:val="24"/>
          <w:szCs w:val="24"/>
        </w:rPr>
      </w:pPr>
      <w:r w:rsidRPr="00347A40">
        <w:rPr>
          <w:rFonts w:ascii="宋体" w:eastAsia="宋体" w:hAnsi="宋体" w:hint="eastAsia"/>
          <w:sz w:val="24"/>
        </w:rPr>
        <w:t>第一部分单位概况</w:t>
      </w:r>
      <w:r w:rsidR="00347A40" w:rsidRPr="00347A40">
        <w:rPr>
          <w:rFonts w:ascii="宋体" w:eastAsia="宋体" w:hAnsi="宋体" w:hint="eastAsia"/>
          <w:sz w:val="24"/>
        </w:rPr>
        <w:tab/>
      </w:r>
      <w:r w:rsidR="00201870" w:rsidRPr="00347A40">
        <w:rPr>
          <w:rFonts w:ascii="宋体" w:eastAsia="宋体" w:hAnsi="宋体" w:hint="eastAsia"/>
          <w:sz w:val="24"/>
        </w:rPr>
        <w:t>4</w:t>
      </w:r>
    </w:p>
    <w:p w:rsidR="0071021A" w:rsidRPr="00347A40" w:rsidRDefault="0046049C" w:rsidP="00420898">
      <w:pPr>
        <w:pStyle w:val="20"/>
        <w:adjustRightInd w:val="0"/>
        <w:snapToGrid w:val="0"/>
        <w:spacing w:line="440" w:lineRule="exact"/>
        <w:ind w:leftChars="50" w:left="105" w:firstLineChars="200" w:firstLine="480"/>
        <w:jc w:val="left"/>
        <w:rPr>
          <w:rFonts w:ascii="宋体" w:hAnsi="宋体"/>
          <w:sz w:val="24"/>
        </w:rPr>
      </w:pPr>
      <w:r w:rsidRPr="00347A40">
        <w:rPr>
          <w:rFonts w:ascii="宋体" w:hAnsi="宋体" w:hint="eastAsia"/>
          <w:sz w:val="24"/>
        </w:rPr>
        <w:t>一、主要职责</w:t>
      </w:r>
      <w:r w:rsidR="00347A40" w:rsidRPr="00347A40">
        <w:rPr>
          <w:rFonts w:ascii="宋体" w:hAnsi="宋体" w:hint="eastAsia"/>
          <w:sz w:val="24"/>
        </w:rPr>
        <w:tab/>
      </w:r>
      <w:r w:rsidR="00201870" w:rsidRPr="00347A40">
        <w:rPr>
          <w:rFonts w:ascii="宋体" w:hAnsi="宋体" w:hint="eastAsia"/>
          <w:sz w:val="24"/>
        </w:rPr>
        <w:t>4</w:t>
      </w:r>
    </w:p>
    <w:p w:rsidR="0071021A" w:rsidRPr="00347A40" w:rsidRDefault="0046049C" w:rsidP="00420898">
      <w:pPr>
        <w:pStyle w:val="20"/>
        <w:adjustRightInd w:val="0"/>
        <w:snapToGrid w:val="0"/>
        <w:spacing w:line="440" w:lineRule="exact"/>
        <w:ind w:leftChars="50" w:left="105" w:firstLineChars="200" w:firstLine="480"/>
        <w:jc w:val="left"/>
        <w:rPr>
          <w:rFonts w:ascii="宋体" w:hAnsi="宋体"/>
        </w:rPr>
      </w:pPr>
      <w:r w:rsidRPr="00347A40">
        <w:rPr>
          <w:rFonts w:ascii="宋体" w:hAnsi="宋体" w:hint="eastAsia"/>
          <w:sz w:val="24"/>
        </w:rPr>
        <w:t>二、机构设置</w:t>
      </w:r>
      <w:r w:rsidR="00347A40" w:rsidRPr="00347A40">
        <w:rPr>
          <w:rFonts w:ascii="宋体" w:hAnsi="宋体" w:hint="eastAsia"/>
          <w:sz w:val="24"/>
        </w:rPr>
        <w:tab/>
      </w:r>
      <w:r w:rsidR="00201870" w:rsidRPr="00347A40">
        <w:rPr>
          <w:rFonts w:ascii="宋体" w:hAnsi="宋体" w:hint="eastAsia"/>
          <w:sz w:val="24"/>
        </w:rPr>
        <w:t>4</w:t>
      </w:r>
    </w:p>
    <w:p w:rsidR="0071021A" w:rsidRPr="00347A40" w:rsidRDefault="0046049C" w:rsidP="00111BD2">
      <w:pPr>
        <w:pStyle w:val="10"/>
        <w:adjustRightInd w:val="0"/>
        <w:snapToGrid w:val="0"/>
        <w:spacing w:before="0" w:line="440" w:lineRule="exact"/>
        <w:ind w:leftChars="50" w:left="105"/>
        <w:jc w:val="left"/>
        <w:rPr>
          <w:rFonts w:ascii="宋体" w:eastAsia="宋体" w:hAnsi="宋体"/>
          <w:sz w:val="24"/>
          <w:szCs w:val="24"/>
        </w:rPr>
      </w:pPr>
      <w:r w:rsidRPr="00347A40">
        <w:rPr>
          <w:rFonts w:ascii="宋体" w:eastAsia="宋体" w:hAnsi="宋体" w:hint="eastAsia"/>
          <w:sz w:val="24"/>
        </w:rPr>
        <w:t>第二部分 2023年度单位决算情况说明</w:t>
      </w:r>
      <w:r w:rsidR="00347A40" w:rsidRPr="00347A40">
        <w:rPr>
          <w:rFonts w:ascii="宋体" w:eastAsia="宋体" w:hAnsi="宋体" w:hint="eastAsia"/>
          <w:sz w:val="24"/>
        </w:rPr>
        <w:tab/>
      </w:r>
      <w:r w:rsidR="00201870" w:rsidRPr="00347A40">
        <w:rPr>
          <w:rFonts w:ascii="宋体" w:eastAsia="宋体" w:hAnsi="宋体" w:hint="eastAsia"/>
          <w:sz w:val="24"/>
        </w:rPr>
        <w:t>5</w:t>
      </w:r>
    </w:p>
    <w:p w:rsidR="0071021A" w:rsidRPr="00347A40" w:rsidRDefault="0046049C" w:rsidP="00420898">
      <w:pPr>
        <w:pStyle w:val="20"/>
        <w:adjustRightInd w:val="0"/>
        <w:snapToGrid w:val="0"/>
        <w:spacing w:line="440" w:lineRule="exact"/>
        <w:ind w:leftChars="50" w:left="105" w:firstLineChars="200" w:firstLine="480"/>
        <w:jc w:val="left"/>
        <w:rPr>
          <w:rFonts w:ascii="宋体" w:hAnsi="宋体" w:cstheme="minorBidi"/>
          <w:sz w:val="24"/>
        </w:rPr>
      </w:pPr>
      <w:r w:rsidRPr="00347A40">
        <w:rPr>
          <w:rFonts w:ascii="宋体" w:hAnsi="宋体" w:hint="eastAsia"/>
          <w:sz w:val="24"/>
        </w:rPr>
        <w:t>一、收入支出决算总体情况说明</w:t>
      </w:r>
      <w:r w:rsidR="00347A40" w:rsidRPr="00347A40">
        <w:rPr>
          <w:rFonts w:ascii="宋体" w:hAnsi="宋体" w:hint="eastAsia"/>
          <w:sz w:val="24"/>
        </w:rPr>
        <w:tab/>
      </w:r>
      <w:r w:rsidR="00201870" w:rsidRPr="00347A40">
        <w:rPr>
          <w:rFonts w:ascii="宋体" w:hAnsi="宋体" w:hint="eastAsia"/>
          <w:sz w:val="24"/>
        </w:rPr>
        <w:t>5</w:t>
      </w:r>
    </w:p>
    <w:p w:rsidR="0071021A" w:rsidRPr="00347A40" w:rsidRDefault="0046049C" w:rsidP="00420898">
      <w:pPr>
        <w:pStyle w:val="20"/>
        <w:adjustRightInd w:val="0"/>
        <w:snapToGrid w:val="0"/>
        <w:spacing w:line="440" w:lineRule="exact"/>
        <w:ind w:leftChars="50" w:left="105" w:firstLineChars="200" w:firstLine="480"/>
        <w:jc w:val="left"/>
        <w:rPr>
          <w:rFonts w:ascii="宋体" w:hAnsi="宋体" w:cstheme="minorBidi"/>
          <w:sz w:val="24"/>
        </w:rPr>
      </w:pPr>
      <w:r w:rsidRPr="00347A40">
        <w:rPr>
          <w:rFonts w:ascii="宋体" w:hAnsi="宋体" w:hint="eastAsia"/>
          <w:sz w:val="24"/>
        </w:rPr>
        <w:t>二、收入决算情况说明</w:t>
      </w:r>
      <w:r w:rsidR="00347A40" w:rsidRPr="00347A40">
        <w:rPr>
          <w:rFonts w:ascii="宋体" w:hAnsi="宋体" w:hint="eastAsia"/>
          <w:sz w:val="24"/>
        </w:rPr>
        <w:tab/>
      </w:r>
      <w:r w:rsidR="00201870" w:rsidRPr="00347A40">
        <w:rPr>
          <w:rFonts w:ascii="宋体" w:hAnsi="宋体" w:hint="eastAsia"/>
          <w:sz w:val="24"/>
        </w:rPr>
        <w:t>5</w:t>
      </w:r>
    </w:p>
    <w:p w:rsidR="0071021A" w:rsidRPr="00347A40" w:rsidRDefault="0046049C" w:rsidP="00420898">
      <w:pPr>
        <w:pStyle w:val="20"/>
        <w:adjustRightInd w:val="0"/>
        <w:snapToGrid w:val="0"/>
        <w:spacing w:line="440" w:lineRule="exact"/>
        <w:ind w:leftChars="50" w:left="105" w:firstLineChars="200" w:firstLine="480"/>
        <w:jc w:val="left"/>
        <w:rPr>
          <w:rFonts w:ascii="宋体" w:hAnsi="宋体" w:cstheme="minorBidi"/>
          <w:sz w:val="24"/>
        </w:rPr>
      </w:pPr>
      <w:r w:rsidRPr="00347A40">
        <w:rPr>
          <w:rFonts w:ascii="宋体" w:hAnsi="宋体" w:hint="eastAsia"/>
          <w:sz w:val="24"/>
        </w:rPr>
        <w:t>三、支出决算情况说明</w:t>
      </w:r>
      <w:r w:rsidR="00347A40" w:rsidRPr="00347A40">
        <w:rPr>
          <w:rFonts w:ascii="宋体" w:hAnsi="宋体" w:hint="eastAsia"/>
          <w:sz w:val="24"/>
        </w:rPr>
        <w:tab/>
      </w:r>
      <w:r w:rsidR="00201870" w:rsidRPr="00347A40">
        <w:rPr>
          <w:rFonts w:ascii="宋体" w:hAnsi="宋体" w:hint="eastAsia"/>
          <w:sz w:val="24"/>
        </w:rPr>
        <w:t>6</w:t>
      </w:r>
    </w:p>
    <w:p w:rsidR="0071021A" w:rsidRPr="00347A40" w:rsidRDefault="0046049C" w:rsidP="00420898">
      <w:pPr>
        <w:pStyle w:val="20"/>
        <w:adjustRightInd w:val="0"/>
        <w:snapToGrid w:val="0"/>
        <w:spacing w:line="440" w:lineRule="exact"/>
        <w:ind w:leftChars="50" w:left="105" w:firstLineChars="200" w:firstLine="480"/>
        <w:jc w:val="left"/>
        <w:rPr>
          <w:rFonts w:ascii="宋体" w:hAnsi="宋体" w:cstheme="minorBidi"/>
          <w:sz w:val="24"/>
        </w:rPr>
      </w:pPr>
      <w:r w:rsidRPr="00347A40">
        <w:rPr>
          <w:rFonts w:ascii="宋体" w:hAnsi="宋体" w:hint="eastAsia"/>
          <w:sz w:val="24"/>
        </w:rPr>
        <w:t>四、财政拨款收入支出决算总体情况说明</w:t>
      </w:r>
      <w:r w:rsidR="00347A40" w:rsidRPr="00347A40">
        <w:rPr>
          <w:rFonts w:ascii="宋体" w:hAnsi="宋体" w:hint="eastAsia"/>
          <w:sz w:val="24"/>
        </w:rPr>
        <w:tab/>
      </w:r>
      <w:r w:rsidR="00201870" w:rsidRPr="00347A40">
        <w:rPr>
          <w:rFonts w:ascii="宋体" w:hAnsi="宋体" w:hint="eastAsia"/>
          <w:sz w:val="24"/>
        </w:rPr>
        <w:t>6</w:t>
      </w:r>
    </w:p>
    <w:p w:rsidR="0071021A" w:rsidRPr="00347A40" w:rsidRDefault="0046049C" w:rsidP="00420898">
      <w:pPr>
        <w:pStyle w:val="20"/>
        <w:adjustRightInd w:val="0"/>
        <w:snapToGrid w:val="0"/>
        <w:spacing w:line="440" w:lineRule="exact"/>
        <w:ind w:leftChars="50" w:left="105" w:firstLineChars="200" w:firstLine="480"/>
        <w:jc w:val="left"/>
        <w:rPr>
          <w:rFonts w:ascii="宋体" w:hAnsi="宋体" w:cstheme="minorBidi"/>
          <w:sz w:val="24"/>
        </w:rPr>
      </w:pPr>
      <w:r w:rsidRPr="00347A40">
        <w:rPr>
          <w:rFonts w:ascii="宋体" w:hAnsi="宋体" w:hint="eastAsia"/>
          <w:sz w:val="24"/>
        </w:rPr>
        <w:t>五、一般公共预算财政拨款支出决算情况说明</w:t>
      </w:r>
      <w:r w:rsidR="00347A40" w:rsidRPr="00347A40">
        <w:rPr>
          <w:rFonts w:ascii="宋体" w:hAnsi="宋体" w:hint="eastAsia"/>
          <w:sz w:val="24"/>
        </w:rPr>
        <w:tab/>
      </w:r>
      <w:r w:rsidR="00201870" w:rsidRPr="00347A40">
        <w:rPr>
          <w:rFonts w:ascii="宋体" w:hAnsi="宋体" w:hint="eastAsia"/>
          <w:sz w:val="24"/>
        </w:rPr>
        <w:t>7</w:t>
      </w:r>
    </w:p>
    <w:p w:rsidR="0071021A" w:rsidRPr="00347A40" w:rsidRDefault="0046049C" w:rsidP="00420898">
      <w:pPr>
        <w:pStyle w:val="20"/>
        <w:adjustRightInd w:val="0"/>
        <w:snapToGrid w:val="0"/>
        <w:spacing w:line="440" w:lineRule="exact"/>
        <w:ind w:leftChars="50" w:left="105" w:firstLineChars="200" w:firstLine="480"/>
        <w:jc w:val="left"/>
        <w:rPr>
          <w:rFonts w:ascii="宋体" w:hAnsi="宋体" w:cstheme="minorBidi"/>
          <w:sz w:val="24"/>
        </w:rPr>
      </w:pPr>
      <w:r w:rsidRPr="00347A40">
        <w:rPr>
          <w:rFonts w:ascii="宋体" w:hAnsi="宋体" w:hint="eastAsia"/>
          <w:sz w:val="24"/>
        </w:rPr>
        <w:t>六、一般公共预算财政拨款基本支出决算情况说明</w:t>
      </w:r>
      <w:r w:rsidR="00347A40" w:rsidRPr="00347A40">
        <w:rPr>
          <w:rFonts w:ascii="宋体" w:hAnsi="宋体" w:hint="eastAsia"/>
          <w:sz w:val="24"/>
        </w:rPr>
        <w:tab/>
      </w:r>
      <w:r w:rsidR="00201870" w:rsidRPr="00347A40">
        <w:rPr>
          <w:rFonts w:ascii="宋体" w:hAnsi="宋体" w:hint="eastAsia"/>
          <w:sz w:val="24"/>
        </w:rPr>
        <w:t>10</w:t>
      </w:r>
    </w:p>
    <w:p w:rsidR="0071021A" w:rsidRPr="00347A40" w:rsidRDefault="0046049C" w:rsidP="00420898">
      <w:pPr>
        <w:pStyle w:val="20"/>
        <w:adjustRightInd w:val="0"/>
        <w:snapToGrid w:val="0"/>
        <w:spacing w:line="440" w:lineRule="exact"/>
        <w:ind w:leftChars="50" w:left="105" w:firstLineChars="200" w:firstLine="480"/>
        <w:jc w:val="left"/>
        <w:rPr>
          <w:rFonts w:ascii="宋体" w:hAnsi="宋体" w:cstheme="minorBidi"/>
          <w:sz w:val="24"/>
        </w:rPr>
      </w:pPr>
      <w:r w:rsidRPr="00347A40">
        <w:rPr>
          <w:rFonts w:ascii="宋体" w:hAnsi="宋体" w:hint="eastAsia"/>
          <w:sz w:val="24"/>
        </w:rPr>
        <w:t>七、财政拨款“三公”经费支出决算情况说明</w:t>
      </w:r>
      <w:r w:rsidR="00347A40" w:rsidRPr="00347A40">
        <w:rPr>
          <w:rFonts w:ascii="宋体" w:hAnsi="宋体" w:hint="eastAsia"/>
          <w:sz w:val="24"/>
        </w:rPr>
        <w:tab/>
      </w:r>
      <w:r w:rsidR="00201870" w:rsidRPr="00347A40">
        <w:rPr>
          <w:rFonts w:ascii="宋体" w:hAnsi="宋体" w:hint="eastAsia"/>
          <w:sz w:val="24"/>
        </w:rPr>
        <w:t>11</w:t>
      </w:r>
    </w:p>
    <w:p w:rsidR="0071021A" w:rsidRPr="00347A40" w:rsidRDefault="0046049C" w:rsidP="00420898">
      <w:pPr>
        <w:pStyle w:val="20"/>
        <w:adjustRightInd w:val="0"/>
        <w:snapToGrid w:val="0"/>
        <w:spacing w:line="440" w:lineRule="exact"/>
        <w:ind w:leftChars="50" w:left="105" w:firstLineChars="200" w:firstLine="480"/>
        <w:jc w:val="left"/>
        <w:rPr>
          <w:rFonts w:ascii="宋体" w:hAnsi="宋体" w:cstheme="minorBidi"/>
          <w:sz w:val="24"/>
        </w:rPr>
      </w:pPr>
      <w:r w:rsidRPr="00347A40">
        <w:rPr>
          <w:rFonts w:ascii="宋体" w:hAnsi="宋体" w:hint="eastAsia"/>
          <w:sz w:val="24"/>
        </w:rPr>
        <w:t>八、政府性基金预算支出决算情况说明</w:t>
      </w:r>
      <w:r w:rsidR="00347A40" w:rsidRPr="00347A40">
        <w:rPr>
          <w:rFonts w:ascii="宋体" w:hAnsi="宋体" w:hint="eastAsia"/>
          <w:sz w:val="24"/>
        </w:rPr>
        <w:tab/>
      </w:r>
      <w:r w:rsidR="00201870" w:rsidRPr="00347A40">
        <w:rPr>
          <w:rFonts w:ascii="宋体" w:hAnsi="宋体" w:hint="eastAsia"/>
          <w:sz w:val="24"/>
        </w:rPr>
        <w:t>12</w:t>
      </w:r>
    </w:p>
    <w:p w:rsidR="0071021A" w:rsidRPr="00347A40" w:rsidRDefault="0046049C" w:rsidP="00420898">
      <w:pPr>
        <w:pStyle w:val="20"/>
        <w:adjustRightInd w:val="0"/>
        <w:snapToGrid w:val="0"/>
        <w:spacing w:line="440" w:lineRule="exact"/>
        <w:ind w:leftChars="50" w:left="105" w:firstLineChars="200" w:firstLine="480"/>
        <w:jc w:val="left"/>
        <w:rPr>
          <w:rFonts w:ascii="宋体" w:hAnsi="宋体"/>
          <w:sz w:val="24"/>
        </w:rPr>
      </w:pPr>
      <w:r w:rsidRPr="00347A40">
        <w:rPr>
          <w:rFonts w:ascii="宋体" w:hAnsi="宋体" w:hint="eastAsia"/>
          <w:sz w:val="24"/>
        </w:rPr>
        <w:t>九、国有资本经营预算支出决算情况说明</w:t>
      </w:r>
      <w:r w:rsidR="00347A40" w:rsidRPr="00347A40">
        <w:rPr>
          <w:rFonts w:ascii="宋体" w:hAnsi="宋体" w:hint="eastAsia"/>
          <w:sz w:val="24"/>
        </w:rPr>
        <w:tab/>
      </w:r>
      <w:r w:rsidR="00201870" w:rsidRPr="00347A40">
        <w:rPr>
          <w:rFonts w:ascii="宋体" w:hAnsi="宋体" w:hint="eastAsia"/>
          <w:sz w:val="24"/>
        </w:rPr>
        <w:t>12</w:t>
      </w:r>
    </w:p>
    <w:p w:rsidR="0071021A" w:rsidRPr="00347A40" w:rsidRDefault="0046049C" w:rsidP="00420898">
      <w:pPr>
        <w:pStyle w:val="20"/>
        <w:adjustRightInd w:val="0"/>
        <w:snapToGrid w:val="0"/>
        <w:spacing w:line="440" w:lineRule="exact"/>
        <w:ind w:leftChars="50" w:left="105" w:firstLineChars="200" w:firstLine="480"/>
        <w:jc w:val="left"/>
        <w:rPr>
          <w:rFonts w:ascii="宋体" w:hAnsi="宋体"/>
          <w:sz w:val="24"/>
        </w:rPr>
      </w:pPr>
      <w:r w:rsidRPr="00347A40">
        <w:rPr>
          <w:rFonts w:ascii="宋体" w:hAnsi="宋体" w:hint="eastAsia"/>
          <w:sz w:val="24"/>
        </w:rPr>
        <w:t>十、其他重要事项的情况说明</w:t>
      </w:r>
      <w:r w:rsidR="00347A40" w:rsidRPr="00347A40">
        <w:rPr>
          <w:rFonts w:ascii="宋体" w:hAnsi="宋体" w:hint="eastAsia"/>
          <w:sz w:val="24"/>
        </w:rPr>
        <w:tab/>
      </w:r>
      <w:r w:rsidR="00201870" w:rsidRPr="00347A40">
        <w:rPr>
          <w:rFonts w:ascii="宋体" w:hAnsi="宋体" w:hint="eastAsia"/>
          <w:sz w:val="24"/>
        </w:rPr>
        <w:t>12</w:t>
      </w:r>
    </w:p>
    <w:p w:rsidR="0071021A" w:rsidRPr="00347A40" w:rsidRDefault="0046049C" w:rsidP="00111BD2">
      <w:pPr>
        <w:pStyle w:val="10"/>
        <w:adjustRightInd w:val="0"/>
        <w:snapToGrid w:val="0"/>
        <w:spacing w:before="0" w:line="440" w:lineRule="exact"/>
        <w:ind w:leftChars="50" w:left="105"/>
        <w:jc w:val="left"/>
        <w:rPr>
          <w:rFonts w:ascii="宋体" w:eastAsia="宋体" w:hAnsi="宋体" w:cstheme="minorBidi"/>
          <w:sz w:val="24"/>
          <w:szCs w:val="24"/>
        </w:rPr>
      </w:pPr>
      <w:r w:rsidRPr="00347A40">
        <w:rPr>
          <w:rFonts w:ascii="宋体" w:eastAsia="宋体" w:hAnsi="宋体" w:hint="eastAsia"/>
          <w:sz w:val="24"/>
        </w:rPr>
        <w:t>第三部分名词解释</w:t>
      </w:r>
      <w:r w:rsidR="00347A40" w:rsidRPr="00347A40">
        <w:rPr>
          <w:rFonts w:ascii="宋体" w:eastAsia="宋体" w:hAnsi="宋体" w:hint="eastAsia"/>
          <w:sz w:val="24"/>
        </w:rPr>
        <w:tab/>
      </w:r>
      <w:r w:rsidR="00201870" w:rsidRPr="00347A40">
        <w:rPr>
          <w:rFonts w:ascii="宋体" w:eastAsia="宋体" w:hAnsi="宋体" w:hint="eastAsia"/>
          <w:sz w:val="24"/>
        </w:rPr>
        <w:t>14</w:t>
      </w:r>
    </w:p>
    <w:p w:rsidR="0071021A" w:rsidRPr="00347A40" w:rsidRDefault="0046049C" w:rsidP="00111BD2">
      <w:pPr>
        <w:pStyle w:val="10"/>
        <w:adjustRightInd w:val="0"/>
        <w:snapToGrid w:val="0"/>
        <w:spacing w:before="0" w:line="440" w:lineRule="exact"/>
        <w:ind w:leftChars="50" w:left="105"/>
        <w:jc w:val="left"/>
        <w:rPr>
          <w:rFonts w:ascii="宋体" w:eastAsia="宋体" w:hAnsi="宋体" w:cstheme="minorBidi"/>
          <w:sz w:val="24"/>
          <w:szCs w:val="24"/>
        </w:rPr>
      </w:pPr>
      <w:r w:rsidRPr="00347A40">
        <w:rPr>
          <w:rFonts w:ascii="宋体" w:eastAsia="宋体" w:hAnsi="宋体" w:hint="eastAsia"/>
          <w:sz w:val="24"/>
        </w:rPr>
        <w:t>第四部分附件</w:t>
      </w:r>
      <w:r w:rsidR="00347A40" w:rsidRPr="00347A40">
        <w:rPr>
          <w:rFonts w:ascii="宋体" w:eastAsia="宋体" w:hAnsi="宋体" w:hint="eastAsia"/>
          <w:sz w:val="24"/>
        </w:rPr>
        <w:tab/>
      </w:r>
      <w:r w:rsidR="00201870" w:rsidRPr="00347A40">
        <w:rPr>
          <w:rFonts w:ascii="宋体" w:eastAsia="宋体" w:hAnsi="宋体" w:hint="eastAsia"/>
          <w:sz w:val="24"/>
        </w:rPr>
        <w:t>17</w:t>
      </w:r>
    </w:p>
    <w:p w:rsidR="0071021A" w:rsidRPr="00347A40" w:rsidRDefault="0046049C" w:rsidP="00111BD2">
      <w:pPr>
        <w:pStyle w:val="10"/>
        <w:adjustRightInd w:val="0"/>
        <w:snapToGrid w:val="0"/>
        <w:spacing w:before="0" w:line="440" w:lineRule="exact"/>
        <w:ind w:leftChars="50" w:left="105"/>
        <w:jc w:val="left"/>
        <w:rPr>
          <w:rFonts w:ascii="宋体" w:eastAsia="宋体" w:hAnsi="宋体" w:cstheme="minorBidi"/>
          <w:sz w:val="24"/>
          <w:szCs w:val="24"/>
        </w:rPr>
      </w:pPr>
      <w:r w:rsidRPr="00347A40">
        <w:rPr>
          <w:rFonts w:ascii="宋体" w:eastAsia="宋体" w:hAnsi="宋体" w:hint="eastAsia"/>
          <w:sz w:val="24"/>
        </w:rPr>
        <w:t>第五部分附表</w:t>
      </w:r>
      <w:r w:rsidR="00347A40" w:rsidRPr="00347A40">
        <w:rPr>
          <w:rFonts w:ascii="宋体" w:eastAsia="宋体" w:hAnsi="宋体" w:hint="eastAsia"/>
          <w:sz w:val="24"/>
        </w:rPr>
        <w:tab/>
      </w:r>
      <w:r w:rsidR="007C0CBE" w:rsidRPr="00347A40">
        <w:rPr>
          <w:rFonts w:ascii="宋体" w:eastAsia="宋体" w:hAnsi="宋体" w:hint="eastAsia"/>
          <w:sz w:val="24"/>
        </w:rPr>
        <w:t>21</w:t>
      </w:r>
    </w:p>
    <w:p w:rsidR="0071021A" w:rsidRPr="00347A40" w:rsidRDefault="0046049C" w:rsidP="00420898">
      <w:pPr>
        <w:pStyle w:val="20"/>
        <w:adjustRightInd w:val="0"/>
        <w:snapToGrid w:val="0"/>
        <w:spacing w:line="440" w:lineRule="exact"/>
        <w:ind w:leftChars="50" w:left="105" w:firstLineChars="200" w:firstLine="480"/>
        <w:jc w:val="left"/>
        <w:rPr>
          <w:rFonts w:ascii="宋体" w:hAnsi="宋体"/>
          <w:sz w:val="24"/>
        </w:rPr>
      </w:pPr>
      <w:r w:rsidRPr="00347A40">
        <w:rPr>
          <w:rFonts w:ascii="宋体" w:hAnsi="宋体" w:hint="eastAsia"/>
          <w:sz w:val="24"/>
        </w:rPr>
        <w:t>一、收入支出决算总表</w:t>
      </w:r>
      <w:r w:rsidR="00347A40" w:rsidRPr="00347A40">
        <w:rPr>
          <w:rFonts w:ascii="宋体" w:hAnsi="宋体" w:hint="eastAsia"/>
          <w:sz w:val="24"/>
        </w:rPr>
        <w:tab/>
      </w:r>
      <w:r w:rsidR="007C0CBE" w:rsidRPr="00347A40">
        <w:rPr>
          <w:rFonts w:ascii="宋体" w:hAnsi="宋体" w:hint="eastAsia"/>
          <w:sz w:val="24"/>
        </w:rPr>
        <w:t>21</w:t>
      </w:r>
    </w:p>
    <w:p w:rsidR="0071021A" w:rsidRPr="00347A40" w:rsidRDefault="0046049C" w:rsidP="00420898">
      <w:pPr>
        <w:pStyle w:val="20"/>
        <w:adjustRightInd w:val="0"/>
        <w:snapToGrid w:val="0"/>
        <w:spacing w:line="440" w:lineRule="exact"/>
        <w:ind w:leftChars="50" w:left="105" w:firstLineChars="200" w:firstLine="480"/>
        <w:jc w:val="left"/>
        <w:rPr>
          <w:rFonts w:ascii="宋体" w:hAnsi="宋体"/>
          <w:sz w:val="24"/>
        </w:rPr>
      </w:pPr>
      <w:r w:rsidRPr="00347A40">
        <w:rPr>
          <w:rFonts w:ascii="宋体" w:hAnsi="宋体" w:hint="eastAsia"/>
          <w:sz w:val="24"/>
        </w:rPr>
        <w:t>二、收入决算表</w:t>
      </w:r>
      <w:r w:rsidR="00347A40" w:rsidRPr="00347A40">
        <w:rPr>
          <w:rFonts w:ascii="宋体" w:hAnsi="宋体" w:hint="eastAsia"/>
          <w:sz w:val="24"/>
        </w:rPr>
        <w:tab/>
      </w:r>
      <w:r w:rsidR="007C0CBE" w:rsidRPr="00347A40">
        <w:rPr>
          <w:rFonts w:ascii="宋体" w:hAnsi="宋体" w:hint="eastAsia"/>
          <w:sz w:val="24"/>
        </w:rPr>
        <w:t>21</w:t>
      </w:r>
    </w:p>
    <w:p w:rsidR="0071021A" w:rsidRPr="00347A40" w:rsidRDefault="0046049C" w:rsidP="00420898">
      <w:pPr>
        <w:pStyle w:val="20"/>
        <w:adjustRightInd w:val="0"/>
        <w:snapToGrid w:val="0"/>
        <w:spacing w:line="440" w:lineRule="exact"/>
        <w:ind w:leftChars="50" w:left="105" w:firstLineChars="200" w:firstLine="480"/>
        <w:jc w:val="left"/>
        <w:rPr>
          <w:rFonts w:ascii="宋体" w:hAnsi="宋体"/>
          <w:sz w:val="24"/>
        </w:rPr>
      </w:pPr>
      <w:r w:rsidRPr="00347A40">
        <w:rPr>
          <w:rFonts w:ascii="宋体" w:hAnsi="宋体" w:hint="eastAsia"/>
          <w:sz w:val="24"/>
        </w:rPr>
        <w:t>三、支出决算表</w:t>
      </w:r>
      <w:r w:rsidR="00347A40" w:rsidRPr="00347A40">
        <w:rPr>
          <w:rFonts w:ascii="宋体" w:hAnsi="宋体" w:hint="eastAsia"/>
          <w:sz w:val="24"/>
        </w:rPr>
        <w:tab/>
      </w:r>
      <w:r w:rsidR="007C0CBE" w:rsidRPr="00347A40">
        <w:rPr>
          <w:rFonts w:ascii="宋体" w:hAnsi="宋体" w:hint="eastAsia"/>
          <w:sz w:val="24"/>
        </w:rPr>
        <w:t>21</w:t>
      </w:r>
    </w:p>
    <w:p w:rsidR="0071021A" w:rsidRPr="00347A40" w:rsidRDefault="0046049C" w:rsidP="00420898">
      <w:pPr>
        <w:pStyle w:val="20"/>
        <w:adjustRightInd w:val="0"/>
        <w:snapToGrid w:val="0"/>
        <w:spacing w:line="440" w:lineRule="exact"/>
        <w:ind w:leftChars="50" w:left="105" w:firstLineChars="200" w:firstLine="480"/>
        <w:jc w:val="left"/>
        <w:rPr>
          <w:rFonts w:ascii="宋体" w:hAnsi="宋体"/>
          <w:sz w:val="24"/>
        </w:rPr>
      </w:pPr>
      <w:r w:rsidRPr="00347A40">
        <w:rPr>
          <w:rFonts w:ascii="宋体" w:hAnsi="宋体" w:hint="eastAsia"/>
          <w:sz w:val="24"/>
        </w:rPr>
        <w:t>四、财政拨款收入支出决算总表</w:t>
      </w:r>
      <w:r w:rsidR="00347A40" w:rsidRPr="00347A40">
        <w:rPr>
          <w:rFonts w:ascii="宋体" w:hAnsi="宋体" w:hint="eastAsia"/>
          <w:sz w:val="24"/>
        </w:rPr>
        <w:tab/>
      </w:r>
      <w:r w:rsidR="007C0CBE" w:rsidRPr="00347A40">
        <w:rPr>
          <w:rFonts w:ascii="宋体" w:hAnsi="宋体" w:hint="eastAsia"/>
          <w:sz w:val="24"/>
        </w:rPr>
        <w:t>21</w:t>
      </w:r>
    </w:p>
    <w:p w:rsidR="0071021A" w:rsidRPr="00347A40" w:rsidRDefault="0046049C" w:rsidP="00420898">
      <w:pPr>
        <w:pStyle w:val="20"/>
        <w:adjustRightInd w:val="0"/>
        <w:snapToGrid w:val="0"/>
        <w:spacing w:line="440" w:lineRule="exact"/>
        <w:ind w:leftChars="50" w:left="105" w:firstLineChars="200" w:firstLine="480"/>
        <w:jc w:val="left"/>
        <w:rPr>
          <w:rFonts w:ascii="宋体" w:hAnsi="宋体"/>
          <w:sz w:val="24"/>
        </w:rPr>
      </w:pPr>
      <w:r w:rsidRPr="00347A40">
        <w:rPr>
          <w:rFonts w:ascii="宋体" w:hAnsi="宋体" w:hint="eastAsia"/>
          <w:sz w:val="24"/>
        </w:rPr>
        <w:t>五、财政拨款支出决算明细表</w:t>
      </w:r>
      <w:r w:rsidR="00347A40" w:rsidRPr="00347A40">
        <w:rPr>
          <w:rFonts w:ascii="宋体" w:hAnsi="宋体" w:hint="eastAsia"/>
          <w:sz w:val="24"/>
        </w:rPr>
        <w:tab/>
      </w:r>
      <w:r w:rsidR="007C0CBE" w:rsidRPr="00347A40">
        <w:rPr>
          <w:rFonts w:ascii="宋体" w:hAnsi="宋体" w:hint="eastAsia"/>
          <w:sz w:val="24"/>
        </w:rPr>
        <w:t>21</w:t>
      </w:r>
    </w:p>
    <w:p w:rsidR="0071021A" w:rsidRPr="00347A40" w:rsidRDefault="0046049C" w:rsidP="00420898">
      <w:pPr>
        <w:pStyle w:val="20"/>
        <w:adjustRightInd w:val="0"/>
        <w:snapToGrid w:val="0"/>
        <w:spacing w:line="440" w:lineRule="exact"/>
        <w:ind w:leftChars="50" w:left="105" w:firstLineChars="200" w:firstLine="480"/>
        <w:jc w:val="left"/>
        <w:rPr>
          <w:rFonts w:ascii="宋体" w:hAnsi="宋体"/>
          <w:sz w:val="24"/>
        </w:rPr>
      </w:pPr>
      <w:r w:rsidRPr="00347A40">
        <w:rPr>
          <w:rFonts w:ascii="宋体" w:hAnsi="宋体" w:hint="eastAsia"/>
          <w:sz w:val="24"/>
        </w:rPr>
        <w:t>六、一般公共预算财政拨款支出决算表</w:t>
      </w:r>
      <w:r w:rsidR="00347A40" w:rsidRPr="00347A40">
        <w:rPr>
          <w:rFonts w:ascii="宋体" w:hAnsi="宋体" w:hint="eastAsia"/>
          <w:sz w:val="24"/>
        </w:rPr>
        <w:tab/>
      </w:r>
      <w:r w:rsidR="007C0CBE" w:rsidRPr="00347A40">
        <w:rPr>
          <w:rFonts w:ascii="宋体" w:hAnsi="宋体" w:hint="eastAsia"/>
          <w:sz w:val="24"/>
        </w:rPr>
        <w:t>21</w:t>
      </w:r>
    </w:p>
    <w:p w:rsidR="0071021A" w:rsidRPr="00347A40" w:rsidRDefault="0046049C" w:rsidP="00420898">
      <w:pPr>
        <w:pStyle w:val="20"/>
        <w:adjustRightInd w:val="0"/>
        <w:snapToGrid w:val="0"/>
        <w:spacing w:line="440" w:lineRule="exact"/>
        <w:ind w:leftChars="50" w:left="105" w:firstLineChars="200" w:firstLine="480"/>
        <w:jc w:val="left"/>
        <w:rPr>
          <w:rFonts w:ascii="宋体" w:hAnsi="宋体"/>
          <w:sz w:val="24"/>
        </w:rPr>
      </w:pPr>
      <w:r w:rsidRPr="00347A40">
        <w:rPr>
          <w:rFonts w:ascii="宋体" w:hAnsi="宋体" w:hint="eastAsia"/>
          <w:sz w:val="24"/>
        </w:rPr>
        <w:t>七、一般公共预算财政拨款支出决算明细表</w:t>
      </w:r>
      <w:r w:rsidR="00347A40" w:rsidRPr="00347A40">
        <w:rPr>
          <w:rFonts w:ascii="宋体" w:hAnsi="宋体" w:hint="eastAsia"/>
          <w:sz w:val="24"/>
        </w:rPr>
        <w:tab/>
      </w:r>
      <w:r w:rsidR="007C0CBE" w:rsidRPr="00347A40">
        <w:rPr>
          <w:rFonts w:ascii="宋体" w:hAnsi="宋体" w:hint="eastAsia"/>
          <w:sz w:val="24"/>
        </w:rPr>
        <w:t>21</w:t>
      </w:r>
    </w:p>
    <w:p w:rsidR="0071021A" w:rsidRPr="00347A40" w:rsidRDefault="0046049C" w:rsidP="00420898">
      <w:pPr>
        <w:pStyle w:val="20"/>
        <w:adjustRightInd w:val="0"/>
        <w:snapToGrid w:val="0"/>
        <w:spacing w:line="440" w:lineRule="exact"/>
        <w:ind w:leftChars="50" w:left="105" w:firstLineChars="200" w:firstLine="480"/>
        <w:jc w:val="left"/>
        <w:rPr>
          <w:rFonts w:ascii="宋体" w:hAnsi="宋体"/>
          <w:sz w:val="24"/>
        </w:rPr>
      </w:pPr>
      <w:r w:rsidRPr="00347A40">
        <w:rPr>
          <w:rFonts w:ascii="宋体" w:hAnsi="宋体" w:hint="eastAsia"/>
          <w:sz w:val="24"/>
        </w:rPr>
        <w:t>八、一般公共预算财政拨款基本支出决算明细表</w:t>
      </w:r>
      <w:r w:rsidR="00347A40" w:rsidRPr="00347A40">
        <w:rPr>
          <w:rFonts w:ascii="宋体" w:hAnsi="宋体" w:hint="eastAsia"/>
          <w:sz w:val="24"/>
        </w:rPr>
        <w:tab/>
      </w:r>
      <w:r w:rsidR="007C0CBE" w:rsidRPr="00347A40">
        <w:rPr>
          <w:rFonts w:ascii="宋体" w:hAnsi="宋体" w:hint="eastAsia"/>
          <w:sz w:val="24"/>
        </w:rPr>
        <w:t>21</w:t>
      </w:r>
    </w:p>
    <w:p w:rsidR="0071021A" w:rsidRPr="00347A40" w:rsidRDefault="0046049C" w:rsidP="00420898">
      <w:pPr>
        <w:pStyle w:val="20"/>
        <w:adjustRightInd w:val="0"/>
        <w:snapToGrid w:val="0"/>
        <w:spacing w:line="440" w:lineRule="exact"/>
        <w:ind w:leftChars="50" w:left="105" w:firstLineChars="200" w:firstLine="480"/>
        <w:jc w:val="left"/>
        <w:rPr>
          <w:rFonts w:ascii="宋体" w:hAnsi="宋体"/>
          <w:sz w:val="24"/>
        </w:rPr>
      </w:pPr>
      <w:r w:rsidRPr="00347A40">
        <w:rPr>
          <w:rFonts w:ascii="宋体" w:hAnsi="宋体" w:hint="eastAsia"/>
          <w:sz w:val="24"/>
        </w:rPr>
        <w:t>九、一般公共预算财政拨款项目支出决算表</w:t>
      </w:r>
      <w:r w:rsidR="00347A40" w:rsidRPr="00347A40">
        <w:rPr>
          <w:rFonts w:ascii="宋体" w:hAnsi="宋体" w:hint="eastAsia"/>
          <w:sz w:val="24"/>
        </w:rPr>
        <w:tab/>
      </w:r>
      <w:r w:rsidR="007C0CBE" w:rsidRPr="00347A40">
        <w:rPr>
          <w:rFonts w:ascii="宋体" w:hAnsi="宋体" w:hint="eastAsia"/>
          <w:sz w:val="24"/>
        </w:rPr>
        <w:t>21</w:t>
      </w:r>
    </w:p>
    <w:p w:rsidR="0071021A" w:rsidRPr="00347A40" w:rsidRDefault="0046049C" w:rsidP="00420898">
      <w:pPr>
        <w:pStyle w:val="20"/>
        <w:adjustRightInd w:val="0"/>
        <w:snapToGrid w:val="0"/>
        <w:spacing w:line="440" w:lineRule="exact"/>
        <w:ind w:leftChars="50" w:left="105" w:firstLineChars="200" w:firstLine="480"/>
        <w:jc w:val="left"/>
        <w:rPr>
          <w:rFonts w:ascii="宋体" w:hAnsi="宋体"/>
          <w:sz w:val="24"/>
        </w:rPr>
      </w:pPr>
      <w:r w:rsidRPr="00347A40">
        <w:rPr>
          <w:rFonts w:ascii="宋体" w:hAnsi="宋体" w:hint="eastAsia"/>
          <w:sz w:val="24"/>
        </w:rPr>
        <w:lastRenderedPageBreak/>
        <w:t>十、政府性基金预算财政拨款收入支出决算表</w:t>
      </w:r>
      <w:r w:rsidR="00347A40" w:rsidRPr="00347A40">
        <w:rPr>
          <w:rFonts w:ascii="宋体" w:hAnsi="宋体" w:hint="eastAsia"/>
          <w:sz w:val="24"/>
        </w:rPr>
        <w:tab/>
      </w:r>
      <w:r w:rsidR="007C0CBE" w:rsidRPr="00347A40">
        <w:rPr>
          <w:rFonts w:ascii="宋体" w:hAnsi="宋体" w:hint="eastAsia"/>
          <w:sz w:val="24"/>
        </w:rPr>
        <w:t>21</w:t>
      </w:r>
    </w:p>
    <w:p w:rsidR="0071021A" w:rsidRPr="00347A40" w:rsidRDefault="0046049C" w:rsidP="00420898">
      <w:pPr>
        <w:pStyle w:val="20"/>
        <w:adjustRightInd w:val="0"/>
        <w:snapToGrid w:val="0"/>
        <w:spacing w:line="440" w:lineRule="exact"/>
        <w:ind w:leftChars="50" w:left="105" w:firstLineChars="200" w:firstLine="480"/>
        <w:jc w:val="left"/>
        <w:rPr>
          <w:rFonts w:ascii="宋体" w:hAnsi="宋体"/>
          <w:sz w:val="24"/>
        </w:rPr>
      </w:pPr>
      <w:r w:rsidRPr="00347A40">
        <w:rPr>
          <w:rFonts w:ascii="宋体" w:hAnsi="宋体" w:hint="eastAsia"/>
          <w:sz w:val="24"/>
        </w:rPr>
        <w:t>十一、国有资本经营预算财政拨款收入支出决算表</w:t>
      </w:r>
      <w:r w:rsidR="00347A40" w:rsidRPr="00347A40">
        <w:rPr>
          <w:rFonts w:ascii="宋体" w:hAnsi="宋体" w:hint="eastAsia"/>
          <w:sz w:val="24"/>
        </w:rPr>
        <w:tab/>
      </w:r>
      <w:r w:rsidR="007C0CBE" w:rsidRPr="00347A40">
        <w:rPr>
          <w:rFonts w:ascii="宋体" w:hAnsi="宋体" w:hint="eastAsia"/>
          <w:sz w:val="24"/>
        </w:rPr>
        <w:t>21</w:t>
      </w:r>
    </w:p>
    <w:p w:rsidR="0071021A" w:rsidRPr="00347A40" w:rsidRDefault="0046049C" w:rsidP="00420898">
      <w:pPr>
        <w:pStyle w:val="20"/>
        <w:adjustRightInd w:val="0"/>
        <w:snapToGrid w:val="0"/>
        <w:spacing w:line="440" w:lineRule="exact"/>
        <w:ind w:leftChars="50" w:left="105" w:firstLineChars="200" w:firstLine="480"/>
        <w:jc w:val="left"/>
        <w:rPr>
          <w:rFonts w:ascii="宋体" w:hAnsi="宋体"/>
          <w:sz w:val="24"/>
        </w:rPr>
      </w:pPr>
      <w:r w:rsidRPr="00347A40">
        <w:rPr>
          <w:rFonts w:ascii="宋体" w:hAnsi="宋体" w:hint="eastAsia"/>
          <w:sz w:val="24"/>
        </w:rPr>
        <w:t>十二、国有资本经营预算财政拨款支出决算表</w:t>
      </w:r>
      <w:r w:rsidR="00347A40" w:rsidRPr="00347A40">
        <w:rPr>
          <w:rFonts w:ascii="宋体" w:hAnsi="宋体" w:hint="eastAsia"/>
          <w:sz w:val="24"/>
        </w:rPr>
        <w:tab/>
      </w:r>
      <w:r w:rsidR="007C0CBE" w:rsidRPr="00347A40">
        <w:rPr>
          <w:rFonts w:ascii="宋体" w:hAnsi="宋体" w:hint="eastAsia"/>
          <w:sz w:val="24"/>
        </w:rPr>
        <w:t>21</w:t>
      </w:r>
    </w:p>
    <w:p w:rsidR="0071021A" w:rsidRPr="00347A40" w:rsidRDefault="0046049C" w:rsidP="00420898">
      <w:pPr>
        <w:pStyle w:val="20"/>
        <w:adjustRightInd w:val="0"/>
        <w:snapToGrid w:val="0"/>
        <w:spacing w:line="440" w:lineRule="exact"/>
        <w:ind w:leftChars="50" w:left="105" w:firstLineChars="200" w:firstLine="480"/>
        <w:jc w:val="left"/>
        <w:rPr>
          <w:rFonts w:ascii="宋体" w:hAnsi="宋体"/>
          <w:sz w:val="24"/>
        </w:rPr>
      </w:pPr>
      <w:r w:rsidRPr="00347A40">
        <w:rPr>
          <w:rFonts w:ascii="宋体" w:hAnsi="宋体" w:hint="eastAsia"/>
          <w:sz w:val="24"/>
        </w:rPr>
        <w:t>十三、财政拨款“三公”经费支出决算表</w:t>
      </w:r>
      <w:r w:rsidR="00347A40" w:rsidRPr="00347A40">
        <w:rPr>
          <w:rFonts w:ascii="宋体" w:hAnsi="宋体" w:hint="eastAsia"/>
          <w:sz w:val="24"/>
        </w:rPr>
        <w:tab/>
      </w:r>
      <w:r w:rsidR="007C0CBE" w:rsidRPr="00347A40">
        <w:rPr>
          <w:rFonts w:ascii="宋体" w:hAnsi="宋体" w:hint="eastAsia"/>
          <w:sz w:val="24"/>
        </w:rPr>
        <w:t>21</w:t>
      </w:r>
    </w:p>
    <w:p w:rsidR="0071021A" w:rsidRPr="00347A40" w:rsidRDefault="0071021A" w:rsidP="00111BD2">
      <w:pPr>
        <w:widowControl/>
        <w:adjustRightInd w:val="0"/>
        <w:snapToGrid w:val="0"/>
        <w:spacing w:line="440" w:lineRule="exact"/>
        <w:ind w:leftChars="50" w:left="105" w:firstLineChars="550" w:firstLine="1320"/>
        <w:jc w:val="left"/>
        <w:rPr>
          <w:rFonts w:ascii="宋体" w:hAnsi="宋体"/>
          <w:sz w:val="24"/>
        </w:rPr>
      </w:pPr>
    </w:p>
    <w:p w:rsidR="0071021A" w:rsidRPr="00347A40" w:rsidRDefault="0046049C" w:rsidP="00111BD2">
      <w:pPr>
        <w:widowControl/>
        <w:spacing w:line="440" w:lineRule="exact"/>
        <w:ind w:leftChars="50" w:left="105"/>
        <w:jc w:val="left"/>
        <w:rPr>
          <w:rFonts w:ascii="宋体" w:hAnsi="宋体"/>
          <w:bCs/>
          <w:kern w:val="44"/>
          <w:sz w:val="24"/>
        </w:rPr>
      </w:pPr>
      <w:bookmarkStart w:id="12" w:name="_Toc15396599"/>
      <w:bookmarkStart w:id="13" w:name="_Toc15377196"/>
      <w:r w:rsidRPr="00347A40">
        <w:rPr>
          <w:rFonts w:ascii="宋体" w:hAnsi="宋体"/>
          <w:b/>
          <w:sz w:val="24"/>
        </w:rPr>
        <w:br w:type="page"/>
      </w:r>
    </w:p>
    <w:p w:rsidR="0071021A" w:rsidRDefault="0046049C">
      <w:pPr>
        <w:pStyle w:val="1"/>
        <w:jc w:val="center"/>
        <w:rPr>
          <w:rStyle w:val="1Char"/>
          <w:rFonts w:ascii="黑体" w:eastAsia="黑体" w:hAnsi="黑体"/>
          <w:b/>
        </w:rPr>
      </w:pPr>
      <w:r>
        <w:rPr>
          <w:rFonts w:ascii="黑体" w:eastAsia="黑体" w:hAnsi="黑体" w:hint="eastAsia"/>
          <w:b w:val="0"/>
        </w:rPr>
        <w:lastRenderedPageBreak/>
        <w:t>第一部分 单位</w:t>
      </w:r>
      <w:r>
        <w:rPr>
          <w:rStyle w:val="1Char"/>
          <w:rFonts w:ascii="黑体" w:eastAsia="黑体" w:hAnsi="黑体" w:hint="eastAsia"/>
        </w:rPr>
        <w:t>概况</w:t>
      </w:r>
      <w:bookmarkEnd w:id="12"/>
      <w:bookmarkEnd w:id="13"/>
    </w:p>
    <w:p w:rsidR="0071021A" w:rsidRDefault="0071021A">
      <w:pPr>
        <w:widowControl/>
        <w:jc w:val="left"/>
        <w:rPr>
          <w:rFonts w:ascii="黑体" w:eastAsia="黑体"/>
          <w:sz w:val="32"/>
          <w:szCs w:val="32"/>
        </w:rPr>
      </w:pPr>
    </w:p>
    <w:p w:rsidR="0071021A" w:rsidRDefault="0046049C">
      <w:pPr>
        <w:pStyle w:val="2"/>
        <w:numPr>
          <w:ilvl w:val="0"/>
          <w:numId w:val="1"/>
        </w:numPr>
        <w:rPr>
          <w:rStyle w:val="2Char"/>
          <w:rFonts w:ascii="黑体" w:eastAsia="黑体" w:hAnsi="黑体"/>
        </w:rPr>
      </w:pPr>
      <w:bookmarkStart w:id="14" w:name="_Toc15396600"/>
      <w:bookmarkStart w:id="15" w:name="_Toc15377197"/>
      <w:r>
        <w:rPr>
          <w:rStyle w:val="2Char"/>
          <w:rFonts w:ascii="黑体" w:eastAsia="黑体" w:hAnsi="黑体" w:hint="eastAsia"/>
        </w:rPr>
        <w:t>主要职责</w:t>
      </w:r>
    </w:p>
    <w:p w:rsidR="00C51A14" w:rsidRPr="00C51A14" w:rsidRDefault="00111BD2" w:rsidP="00C51A14">
      <w:r>
        <w:rPr>
          <w:rFonts w:ascii="仿宋" w:eastAsia="仿宋" w:hAnsi="仿宋" w:hint="eastAsia"/>
          <w:sz w:val="32"/>
          <w:szCs w:val="32"/>
        </w:rPr>
        <w:t>盐边县融媒体中心</w:t>
      </w:r>
      <w:r w:rsidR="00C51A14" w:rsidRPr="00535FAB">
        <w:rPr>
          <w:rFonts w:ascii="仿宋" w:eastAsia="仿宋" w:hAnsi="仿宋" w:hint="eastAsia"/>
          <w:sz w:val="32"/>
          <w:szCs w:val="32"/>
        </w:rPr>
        <w:t>负责融媒体服务相关事务性工作。</w:t>
      </w:r>
    </w:p>
    <w:p w:rsidR="0071021A" w:rsidRDefault="0046049C">
      <w:pPr>
        <w:pStyle w:val="2"/>
        <w:rPr>
          <w:rFonts w:ascii="黑体" w:eastAsia="黑体" w:hAnsi="黑体"/>
          <w:b w:val="0"/>
        </w:rPr>
      </w:pPr>
      <w:r>
        <w:rPr>
          <w:rFonts w:ascii="黑体" w:eastAsia="黑体" w:hAnsi="黑体" w:hint="eastAsia"/>
          <w:b w:val="0"/>
        </w:rPr>
        <w:t>二、机构设置</w:t>
      </w:r>
    </w:p>
    <w:p w:rsidR="00C51A14" w:rsidRPr="00C51A14" w:rsidRDefault="00C51A14" w:rsidP="00111BD2">
      <w:pPr>
        <w:ind w:firstLineChars="200" w:firstLine="640"/>
      </w:pPr>
      <w:r w:rsidRPr="007E130E">
        <w:rPr>
          <w:rFonts w:ascii="仿宋" w:eastAsia="仿宋" w:hAnsi="仿宋"/>
          <w:sz w:val="32"/>
          <w:szCs w:val="32"/>
        </w:rPr>
        <w:t>盐边县融媒体中心</w:t>
      </w:r>
      <w:r>
        <w:rPr>
          <w:rFonts w:ascii="仿宋" w:eastAsia="仿宋" w:hAnsi="仿宋" w:hint="eastAsia"/>
          <w:sz w:val="32"/>
          <w:szCs w:val="32"/>
        </w:rPr>
        <w:t>下属二级预算单位</w:t>
      </w:r>
      <w:r>
        <w:rPr>
          <w:rFonts w:hint="eastAsia"/>
          <w:sz w:val="32"/>
          <w:szCs w:val="32"/>
        </w:rPr>
        <w:t>0</w:t>
      </w:r>
      <w:r>
        <w:rPr>
          <w:rFonts w:ascii="仿宋" w:eastAsia="仿宋" w:hAnsi="仿宋" w:hint="eastAsia"/>
          <w:sz w:val="32"/>
          <w:szCs w:val="32"/>
        </w:rPr>
        <w:t>个，其中行政单位0个，参照公务员法管理的事业单位</w:t>
      </w:r>
      <w:r>
        <w:rPr>
          <w:rFonts w:ascii="仿宋" w:eastAsia="仿宋" w:hAnsi="仿宋" w:hint="eastAsia"/>
          <w:bCs/>
          <w:sz w:val="32"/>
          <w:szCs w:val="32"/>
        </w:rPr>
        <w:t>0</w:t>
      </w:r>
      <w:r>
        <w:rPr>
          <w:rFonts w:ascii="仿宋" w:eastAsia="仿宋" w:hAnsi="仿宋" w:hint="eastAsia"/>
          <w:sz w:val="32"/>
          <w:szCs w:val="32"/>
        </w:rPr>
        <w:t>个，其他事业单位0个。</w:t>
      </w:r>
      <w:r w:rsidRPr="00E860BB">
        <w:rPr>
          <w:rFonts w:ascii="仿宋" w:eastAsia="仿宋" w:hAnsi="仿宋" w:hint="eastAsia"/>
          <w:sz w:val="32"/>
          <w:szCs w:val="32"/>
        </w:rPr>
        <w:t>盐边县融媒体中心属县委直属事业单位，由县委宣传部代管，机构类别为公益一类，经费形式全额拨款。纳入预算编制范围的机构个数1个，单位内设机构4个，分别是：办公室、运维股、采编股、播发股。</w:t>
      </w:r>
    </w:p>
    <w:bookmarkEnd w:id="14"/>
    <w:bookmarkEnd w:id="15"/>
    <w:p w:rsidR="0071021A" w:rsidRDefault="0046049C">
      <w:pPr>
        <w:widowControl/>
        <w:jc w:val="left"/>
        <w:rPr>
          <w:rFonts w:ascii="仿宋" w:eastAsia="仿宋" w:hAnsi="仿宋"/>
          <w:kern w:val="0"/>
          <w:sz w:val="32"/>
          <w:szCs w:val="32"/>
        </w:rPr>
      </w:pPr>
      <w:r>
        <w:rPr>
          <w:rFonts w:ascii="仿宋" w:eastAsia="仿宋" w:hAnsi="仿宋"/>
          <w:sz w:val="32"/>
          <w:szCs w:val="32"/>
        </w:rPr>
        <w:br w:type="page"/>
      </w:r>
    </w:p>
    <w:p w:rsidR="0071021A" w:rsidRDefault="0046049C">
      <w:pPr>
        <w:pStyle w:val="1"/>
        <w:ind w:right="440"/>
        <w:jc w:val="center"/>
        <w:rPr>
          <w:rStyle w:val="1Char"/>
          <w:rFonts w:ascii="黑体" w:eastAsia="黑体" w:hAnsi="黑体"/>
          <w:bCs/>
        </w:rPr>
      </w:pPr>
      <w:bookmarkStart w:id="16" w:name="_Toc15396602"/>
      <w:bookmarkStart w:id="17" w:name="_Toc15377204"/>
      <w:r>
        <w:rPr>
          <w:rFonts w:ascii="黑体" w:eastAsia="黑体" w:hAnsi="黑体" w:hint="eastAsia"/>
          <w:b w:val="0"/>
        </w:rPr>
        <w:lastRenderedPageBreak/>
        <w:t>第二部分 2023年度</w:t>
      </w:r>
      <w:r>
        <w:rPr>
          <w:rStyle w:val="1Char"/>
          <w:rFonts w:ascii="黑体" w:eastAsia="黑体" w:hAnsi="黑体" w:hint="eastAsia"/>
          <w:bCs/>
        </w:rPr>
        <w:t>单位决算情况说明</w:t>
      </w:r>
      <w:bookmarkEnd w:id="16"/>
      <w:bookmarkEnd w:id="17"/>
    </w:p>
    <w:p w:rsidR="0071021A" w:rsidRDefault="0071021A"/>
    <w:p w:rsidR="0071021A" w:rsidRDefault="0046049C">
      <w:pPr>
        <w:pStyle w:val="aa"/>
        <w:numPr>
          <w:ilvl w:val="0"/>
          <w:numId w:val="2"/>
        </w:numPr>
        <w:spacing w:line="600" w:lineRule="exact"/>
        <w:ind w:firstLineChars="0"/>
        <w:outlineLvl w:val="1"/>
        <w:rPr>
          <w:rStyle w:val="2Char"/>
          <w:rFonts w:ascii="黑体" w:eastAsia="黑体" w:hAnsi="黑体"/>
          <w:b w:val="0"/>
        </w:rPr>
      </w:pPr>
      <w:bookmarkStart w:id="18" w:name="_Toc15377205"/>
      <w:bookmarkStart w:id="19" w:name="_Toc15396603"/>
      <w:r>
        <w:rPr>
          <w:rFonts w:ascii="黑体" w:eastAsia="黑体" w:hAnsi="黑体" w:hint="eastAsia"/>
          <w:sz w:val="32"/>
          <w:szCs w:val="32"/>
        </w:rPr>
        <w:t>收</w:t>
      </w:r>
      <w:r>
        <w:rPr>
          <w:rStyle w:val="2Char"/>
          <w:rFonts w:ascii="黑体" w:eastAsia="黑体" w:hAnsi="黑体" w:hint="eastAsia"/>
          <w:b w:val="0"/>
        </w:rPr>
        <w:t>入支出决算总体情况说明</w:t>
      </w:r>
      <w:bookmarkEnd w:id="18"/>
      <w:bookmarkEnd w:id="19"/>
    </w:p>
    <w:p w:rsidR="0071021A" w:rsidRDefault="0046049C">
      <w:pPr>
        <w:spacing w:line="600" w:lineRule="exact"/>
        <w:ind w:firstLineChars="200" w:firstLine="640"/>
        <w:rPr>
          <w:rFonts w:ascii="仿宋" w:eastAsia="仿宋" w:hAnsi="仿宋"/>
          <w:sz w:val="32"/>
          <w:szCs w:val="32"/>
        </w:rPr>
      </w:pPr>
      <w:r>
        <w:rPr>
          <w:rFonts w:ascii="仿宋" w:eastAsia="仿宋" w:hAnsi="仿宋" w:hint="eastAsia"/>
          <w:sz w:val="32"/>
          <w:szCs w:val="32"/>
        </w:rPr>
        <w:t>2023年度收、支总计均为</w:t>
      </w:r>
      <w:r w:rsidR="005533CF" w:rsidRPr="005533CF">
        <w:rPr>
          <w:rFonts w:ascii="仿宋" w:eastAsia="仿宋" w:hAnsi="仿宋" w:hint="eastAsia"/>
          <w:b/>
          <w:sz w:val="32"/>
          <w:szCs w:val="32"/>
        </w:rPr>
        <w:t>641.53</w:t>
      </w:r>
      <w:r>
        <w:rPr>
          <w:rFonts w:ascii="仿宋" w:eastAsia="仿宋" w:hAnsi="仿宋" w:hint="eastAsia"/>
          <w:sz w:val="32"/>
          <w:szCs w:val="32"/>
        </w:rPr>
        <w:t>万元。与2022年度相比，收、支总计各增加</w:t>
      </w:r>
      <w:r w:rsidR="00C51A14">
        <w:rPr>
          <w:rFonts w:ascii="仿宋" w:eastAsia="仿宋" w:hAnsi="仿宋" w:hint="eastAsia"/>
          <w:sz w:val="32"/>
          <w:szCs w:val="32"/>
        </w:rPr>
        <w:t>117.24</w:t>
      </w:r>
      <w:r>
        <w:rPr>
          <w:rFonts w:ascii="仿宋" w:eastAsia="仿宋" w:hAnsi="仿宋" w:hint="eastAsia"/>
          <w:sz w:val="32"/>
          <w:szCs w:val="32"/>
        </w:rPr>
        <w:t>万元，增长</w:t>
      </w:r>
      <w:r w:rsidR="00C51A14">
        <w:rPr>
          <w:rFonts w:ascii="仿宋" w:eastAsia="仿宋" w:hAnsi="仿宋" w:hint="eastAsia"/>
          <w:sz w:val="32"/>
          <w:szCs w:val="32"/>
        </w:rPr>
        <w:t>18.27</w:t>
      </w:r>
      <w:r>
        <w:rPr>
          <w:rFonts w:ascii="仿宋" w:eastAsia="仿宋" w:hAnsi="仿宋"/>
          <w:sz w:val="32"/>
          <w:szCs w:val="32"/>
        </w:rPr>
        <w:t>%</w:t>
      </w:r>
      <w:r>
        <w:rPr>
          <w:rFonts w:ascii="仿宋" w:eastAsia="仿宋" w:hAnsi="仿宋" w:hint="eastAsia"/>
          <w:sz w:val="32"/>
          <w:szCs w:val="32"/>
        </w:rPr>
        <w:t>。主要变动原因是</w:t>
      </w:r>
      <w:r w:rsidR="00C51A14">
        <w:rPr>
          <w:rFonts w:ascii="仿宋" w:eastAsia="仿宋" w:hAnsi="仿宋" w:hint="eastAsia"/>
          <w:sz w:val="32"/>
          <w:szCs w:val="32"/>
        </w:rPr>
        <w:t>增加项目支出。</w:t>
      </w:r>
    </w:p>
    <w:p w:rsidR="00C51A14" w:rsidRDefault="0046049C" w:rsidP="00C51A14">
      <w:pPr>
        <w:spacing w:line="600" w:lineRule="exact"/>
        <w:ind w:firstLineChars="200" w:firstLine="640"/>
        <w:rPr>
          <w:rFonts w:ascii="仿宋" w:eastAsia="仿宋" w:hAnsi="仿宋"/>
          <w:sz w:val="32"/>
          <w:szCs w:val="32"/>
        </w:rPr>
      </w:pPr>
      <w:r>
        <w:rPr>
          <w:rFonts w:ascii="仿宋" w:eastAsia="仿宋" w:hAnsi="仿宋" w:hint="eastAsia"/>
          <w:sz w:val="32"/>
          <w:szCs w:val="32"/>
        </w:rPr>
        <w:t>（图</w:t>
      </w:r>
      <w:r>
        <w:rPr>
          <w:rFonts w:ascii="仿宋" w:eastAsia="仿宋" w:hAnsi="仿宋"/>
          <w:sz w:val="32"/>
          <w:szCs w:val="32"/>
        </w:rPr>
        <w:t>1</w:t>
      </w:r>
      <w:r>
        <w:rPr>
          <w:rFonts w:ascii="仿宋" w:eastAsia="仿宋" w:hAnsi="仿宋" w:hint="eastAsia"/>
          <w:sz w:val="32"/>
          <w:szCs w:val="32"/>
        </w:rPr>
        <w:t>：收、支决算总计变动情况图）（柱状图）</w:t>
      </w:r>
    </w:p>
    <w:p w:rsidR="00C51A14" w:rsidRDefault="00C51A14" w:rsidP="00C51A14">
      <w:r w:rsidRPr="00C51A14">
        <w:rPr>
          <w:noProof/>
        </w:rPr>
        <w:drawing>
          <wp:inline distT="0" distB="0" distL="0" distR="0">
            <wp:extent cx="5229225" cy="2343150"/>
            <wp:effectExtent l="19050" t="0" r="9525" b="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71021A" w:rsidRDefault="0046049C">
      <w:pPr>
        <w:pStyle w:val="aa"/>
        <w:numPr>
          <w:ilvl w:val="0"/>
          <w:numId w:val="2"/>
        </w:numPr>
        <w:spacing w:line="600" w:lineRule="exact"/>
        <w:ind w:firstLineChars="0"/>
        <w:outlineLvl w:val="1"/>
        <w:rPr>
          <w:rStyle w:val="2Char"/>
          <w:rFonts w:ascii="黑体" w:eastAsia="黑体" w:hAnsi="黑体"/>
          <w:b w:val="0"/>
        </w:rPr>
      </w:pPr>
      <w:bookmarkStart w:id="20" w:name="_Toc15396604"/>
      <w:bookmarkStart w:id="21" w:name="_Toc15377206"/>
      <w:r>
        <w:rPr>
          <w:rFonts w:ascii="黑体" w:eastAsia="黑体" w:hAnsi="黑体" w:hint="eastAsia"/>
          <w:sz w:val="32"/>
          <w:szCs w:val="32"/>
        </w:rPr>
        <w:t>收</w:t>
      </w:r>
      <w:r>
        <w:rPr>
          <w:rStyle w:val="2Char"/>
          <w:rFonts w:ascii="黑体" w:eastAsia="黑体" w:hAnsi="黑体" w:hint="eastAsia"/>
          <w:b w:val="0"/>
        </w:rPr>
        <w:t>入决算情况说明</w:t>
      </w:r>
      <w:bookmarkEnd w:id="20"/>
      <w:bookmarkEnd w:id="21"/>
    </w:p>
    <w:p w:rsidR="0071021A" w:rsidRDefault="0046049C">
      <w:pPr>
        <w:spacing w:line="600" w:lineRule="exact"/>
        <w:ind w:firstLineChars="200" w:firstLine="640"/>
        <w:outlineLvl w:val="1"/>
        <w:rPr>
          <w:rFonts w:ascii="仿宋" w:eastAsia="仿宋" w:hAnsi="仿宋"/>
          <w:sz w:val="32"/>
          <w:szCs w:val="32"/>
        </w:rPr>
      </w:pPr>
      <w:r>
        <w:rPr>
          <w:rFonts w:ascii="仿宋" w:eastAsia="仿宋" w:hAnsi="仿宋" w:hint="eastAsia"/>
          <w:sz w:val="32"/>
          <w:szCs w:val="32"/>
        </w:rPr>
        <w:t>2023年度本年收入合计</w:t>
      </w:r>
      <w:r w:rsidR="005533CF" w:rsidRPr="001E0B1E">
        <w:rPr>
          <w:rFonts w:ascii="仿宋" w:eastAsia="仿宋" w:hAnsi="仿宋"/>
          <w:sz w:val="32"/>
          <w:szCs w:val="32"/>
        </w:rPr>
        <w:t>641.53</w:t>
      </w:r>
      <w:r>
        <w:rPr>
          <w:rFonts w:ascii="仿宋" w:eastAsia="仿宋" w:hAnsi="仿宋" w:hint="eastAsia"/>
          <w:sz w:val="32"/>
          <w:szCs w:val="32"/>
        </w:rPr>
        <w:t>万元，其中：一般公共预算财政拨款收入</w:t>
      </w:r>
      <w:r w:rsidR="005533CF" w:rsidRPr="001E0B1E">
        <w:rPr>
          <w:rFonts w:ascii="仿宋" w:eastAsia="仿宋" w:hAnsi="仿宋"/>
          <w:sz w:val="32"/>
          <w:szCs w:val="32"/>
        </w:rPr>
        <w:t>641.53</w:t>
      </w:r>
      <w:r>
        <w:rPr>
          <w:rFonts w:ascii="仿宋" w:eastAsia="仿宋" w:hAnsi="仿宋" w:hint="eastAsia"/>
          <w:sz w:val="32"/>
          <w:szCs w:val="32"/>
        </w:rPr>
        <w:t>万元，占</w:t>
      </w:r>
      <w:r w:rsidR="005533CF" w:rsidRPr="001E0B1E">
        <w:rPr>
          <w:rFonts w:ascii="仿宋" w:eastAsia="仿宋" w:hAnsi="仿宋"/>
          <w:sz w:val="32"/>
          <w:szCs w:val="32"/>
        </w:rPr>
        <w:t>100</w:t>
      </w:r>
      <w:r w:rsidRPr="001E0B1E">
        <w:rPr>
          <w:rFonts w:ascii="仿宋" w:eastAsia="仿宋" w:hAnsi="仿宋"/>
          <w:sz w:val="32"/>
          <w:szCs w:val="32"/>
        </w:rPr>
        <w:t>%</w:t>
      </w:r>
      <w:r>
        <w:rPr>
          <w:rFonts w:ascii="仿宋" w:eastAsia="仿宋" w:hAnsi="仿宋" w:hint="eastAsia"/>
          <w:sz w:val="32"/>
          <w:szCs w:val="32"/>
        </w:rPr>
        <w:t>；政府性基金预算财政拨款收入</w:t>
      </w:r>
      <w:r w:rsidR="005533CF" w:rsidRPr="001E0B1E">
        <w:rPr>
          <w:rFonts w:ascii="仿宋" w:eastAsia="仿宋" w:hAnsi="仿宋"/>
          <w:sz w:val="32"/>
          <w:szCs w:val="32"/>
        </w:rPr>
        <w:t>0</w:t>
      </w:r>
      <w:r>
        <w:rPr>
          <w:rFonts w:ascii="仿宋" w:eastAsia="仿宋" w:hAnsi="仿宋" w:hint="eastAsia"/>
          <w:sz w:val="32"/>
          <w:szCs w:val="32"/>
        </w:rPr>
        <w:t>万元，占</w:t>
      </w:r>
      <w:r w:rsidR="005533CF" w:rsidRPr="001E0B1E">
        <w:rPr>
          <w:rFonts w:ascii="仿宋" w:eastAsia="仿宋" w:hAnsi="仿宋"/>
          <w:sz w:val="32"/>
          <w:szCs w:val="32"/>
        </w:rPr>
        <w:t>0</w:t>
      </w:r>
      <w:r>
        <w:rPr>
          <w:rFonts w:ascii="仿宋" w:eastAsia="仿宋" w:hAnsi="仿宋"/>
          <w:sz w:val="32"/>
          <w:szCs w:val="32"/>
        </w:rPr>
        <w:t>%</w:t>
      </w:r>
      <w:r>
        <w:rPr>
          <w:rFonts w:ascii="仿宋" w:eastAsia="仿宋" w:hAnsi="仿宋" w:hint="eastAsia"/>
          <w:sz w:val="32"/>
          <w:szCs w:val="32"/>
        </w:rPr>
        <w:t>；国有资本经营预算财政拨款收入</w:t>
      </w:r>
      <w:r w:rsidR="005533CF" w:rsidRPr="001E0B1E">
        <w:rPr>
          <w:rFonts w:ascii="仿宋" w:eastAsia="仿宋" w:hAnsi="仿宋"/>
          <w:sz w:val="32"/>
          <w:szCs w:val="32"/>
        </w:rPr>
        <w:t>0</w:t>
      </w:r>
      <w:r>
        <w:rPr>
          <w:rFonts w:ascii="仿宋" w:eastAsia="仿宋" w:hAnsi="仿宋" w:hint="eastAsia"/>
          <w:sz w:val="32"/>
          <w:szCs w:val="32"/>
        </w:rPr>
        <w:t>万元，占</w:t>
      </w:r>
      <w:r w:rsidR="005533CF" w:rsidRPr="001E0B1E">
        <w:rPr>
          <w:rFonts w:ascii="仿宋" w:eastAsia="仿宋" w:hAnsi="仿宋"/>
          <w:sz w:val="32"/>
          <w:szCs w:val="32"/>
        </w:rPr>
        <w:t>0</w:t>
      </w:r>
      <w:r w:rsidR="005533CF">
        <w:rPr>
          <w:rFonts w:ascii="仿宋" w:eastAsia="仿宋" w:hAnsi="仿宋"/>
          <w:sz w:val="32"/>
          <w:szCs w:val="32"/>
        </w:rPr>
        <w:t>%</w:t>
      </w:r>
      <w:r>
        <w:rPr>
          <w:rFonts w:ascii="仿宋" w:eastAsia="仿宋" w:hAnsi="仿宋" w:hint="eastAsia"/>
          <w:sz w:val="32"/>
          <w:szCs w:val="32"/>
        </w:rPr>
        <w:t>；上级补助收入</w:t>
      </w:r>
      <w:r w:rsidR="005533CF" w:rsidRPr="001E0B1E">
        <w:rPr>
          <w:rFonts w:ascii="仿宋" w:eastAsia="仿宋" w:hAnsi="仿宋"/>
          <w:sz w:val="32"/>
          <w:szCs w:val="32"/>
        </w:rPr>
        <w:t>0</w:t>
      </w:r>
      <w:r>
        <w:rPr>
          <w:rFonts w:ascii="仿宋" w:eastAsia="仿宋" w:hAnsi="仿宋" w:hint="eastAsia"/>
          <w:sz w:val="32"/>
          <w:szCs w:val="32"/>
        </w:rPr>
        <w:t>万元，占</w:t>
      </w:r>
      <w:r w:rsidR="005533CF">
        <w:rPr>
          <w:rFonts w:ascii="仿宋" w:eastAsia="仿宋" w:hAnsi="仿宋"/>
          <w:sz w:val="32"/>
          <w:szCs w:val="32"/>
        </w:rPr>
        <w:t>0</w:t>
      </w:r>
      <w:r>
        <w:rPr>
          <w:rFonts w:ascii="仿宋" w:eastAsia="仿宋" w:hAnsi="仿宋"/>
          <w:sz w:val="32"/>
          <w:szCs w:val="32"/>
        </w:rPr>
        <w:t>%</w:t>
      </w:r>
      <w:r>
        <w:rPr>
          <w:rFonts w:ascii="仿宋" w:eastAsia="仿宋" w:hAnsi="仿宋" w:hint="eastAsia"/>
          <w:sz w:val="32"/>
          <w:szCs w:val="32"/>
        </w:rPr>
        <w:t>；事业收入</w:t>
      </w:r>
      <w:r w:rsidR="005533CF" w:rsidRPr="001E0B1E">
        <w:rPr>
          <w:rFonts w:ascii="仿宋" w:eastAsia="仿宋" w:hAnsi="仿宋"/>
          <w:sz w:val="32"/>
          <w:szCs w:val="32"/>
        </w:rPr>
        <w:t>0</w:t>
      </w:r>
      <w:r>
        <w:rPr>
          <w:rFonts w:ascii="仿宋" w:eastAsia="仿宋" w:hAnsi="仿宋" w:hint="eastAsia"/>
          <w:sz w:val="32"/>
          <w:szCs w:val="32"/>
        </w:rPr>
        <w:t>万元，占</w:t>
      </w:r>
      <w:r w:rsidR="005533CF" w:rsidRPr="001E0B1E">
        <w:rPr>
          <w:rFonts w:ascii="仿宋" w:eastAsia="仿宋" w:hAnsi="仿宋"/>
          <w:sz w:val="32"/>
          <w:szCs w:val="32"/>
        </w:rPr>
        <w:t>0</w:t>
      </w:r>
      <w:r>
        <w:rPr>
          <w:rFonts w:ascii="仿宋" w:eastAsia="仿宋" w:hAnsi="仿宋"/>
          <w:sz w:val="32"/>
          <w:szCs w:val="32"/>
        </w:rPr>
        <w:t>%</w:t>
      </w:r>
      <w:r>
        <w:rPr>
          <w:rFonts w:ascii="仿宋" w:eastAsia="仿宋" w:hAnsi="仿宋" w:hint="eastAsia"/>
          <w:sz w:val="32"/>
          <w:szCs w:val="32"/>
        </w:rPr>
        <w:t>；经营收入</w:t>
      </w:r>
      <w:r w:rsidR="00813102" w:rsidRPr="001E0B1E">
        <w:rPr>
          <w:rFonts w:ascii="仿宋" w:eastAsia="仿宋" w:hAnsi="仿宋"/>
          <w:sz w:val="32"/>
          <w:szCs w:val="32"/>
        </w:rPr>
        <w:t>0</w:t>
      </w:r>
      <w:r>
        <w:rPr>
          <w:rFonts w:ascii="仿宋" w:eastAsia="仿宋" w:hAnsi="仿宋" w:hint="eastAsia"/>
          <w:sz w:val="32"/>
          <w:szCs w:val="32"/>
        </w:rPr>
        <w:t>万元，占</w:t>
      </w:r>
      <w:r w:rsidR="00813102" w:rsidRPr="001E0B1E">
        <w:rPr>
          <w:rFonts w:ascii="仿宋" w:eastAsia="仿宋" w:hAnsi="仿宋"/>
          <w:sz w:val="32"/>
          <w:szCs w:val="32"/>
        </w:rPr>
        <w:t>0</w:t>
      </w:r>
      <w:r>
        <w:rPr>
          <w:rFonts w:ascii="仿宋" w:eastAsia="仿宋" w:hAnsi="仿宋"/>
          <w:sz w:val="32"/>
          <w:szCs w:val="32"/>
        </w:rPr>
        <w:t>%</w:t>
      </w:r>
      <w:r>
        <w:rPr>
          <w:rFonts w:ascii="仿宋" w:eastAsia="仿宋" w:hAnsi="仿宋" w:hint="eastAsia"/>
          <w:sz w:val="32"/>
          <w:szCs w:val="32"/>
        </w:rPr>
        <w:t>；附属单位上缴收入</w:t>
      </w:r>
      <w:r w:rsidR="00813102" w:rsidRPr="001E0B1E">
        <w:rPr>
          <w:rFonts w:ascii="仿宋" w:eastAsia="仿宋" w:hAnsi="仿宋"/>
          <w:sz w:val="32"/>
          <w:szCs w:val="32"/>
        </w:rPr>
        <w:t>0</w:t>
      </w:r>
      <w:r>
        <w:rPr>
          <w:rFonts w:ascii="仿宋" w:eastAsia="仿宋" w:hAnsi="仿宋" w:hint="eastAsia"/>
          <w:sz w:val="32"/>
          <w:szCs w:val="32"/>
        </w:rPr>
        <w:t>万元，占</w:t>
      </w:r>
      <w:r w:rsidR="00813102" w:rsidRPr="001E0B1E">
        <w:rPr>
          <w:rFonts w:ascii="仿宋" w:eastAsia="仿宋" w:hAnsi="仿宋"/>
          <w:sz w:val="32"/>
          <w:szCs w:val="32"/>
        </w:rPr>
        <w:t>0</w:t>
      </w:r>
      <w:r>
        <w:rPr>
          <w:rFonts w:ascii="仿宋" w:eastAsia="仿宋" w:hAnsi="仿宋"/>
          <w:sz w:val="32"/>
          <w:szCs w:val="32"/>
        </w:rPr>
        <w:t>%</w:t>
      </w:r>
      <w:r>
        <w:rPr>
          <w:rFonts w:ascii="仿宋" w:eastAsia="仿宋" w:hAnsi="仿宋" w:hint="eastAsia"/>
          <w:sz w:val="32"/>
          <w:szCs w:val="32"/>
        </w:rPr>
        <w:t>；其他收入</w:t>
      </w:r>
      <w:r w:rsidR="00813102" w:rsidRPr="001E0B1E">
        <w:rPr>
          <w:rFonts w:ascii="仿宋" w:eastAsia="仿宋" w:hAnsi="仿宋"/>
          <w:sz w:val="32"/>
          <w:szCs w:val="32"/>
        </w:rPr>
        <w:t>0</w:t>
      </w:r>
      <w:r>
        <w:rPr>
          <w:rFonts w:ascii="仿宋" w:eastAsia="仿宋" w:hAnsi="仿宋" w:hint="eastAsia"/>
          <w:sz w:val="32"/>
          <w:szCs w:val="32"/>
        </w:rPr>
        <w:t>万元，占</w:t>
      </w:r>
      <w:r w:rsidR="00813102" w:rsidRPr="001E0B1E">
        <w:rPr>
          <w:rFonts w:ascii="仿宋" w:eastAsia="仿宋" w:hAnsi="仿宋"/>
          <w:sz w:val="32"/>
          <w:szCs w:val="32"/>
        </w:rPr>
        <w:t>0</w:t>
      </w:r>
      <w:r>
        <w:rPr>
          <w:rFonts w:ascii="仿宋" w:eastAsia="仿宋" w:hAnsi="仿宋"/>
          <w:sz w:val="32"/>
          <w:szCs w:val="32"/>
        </w:rPr>
        <w:t>%</w:t>
      </w:r>
    </w:p>
    <w:p w:rsidR="0071021A" w:rsidRDefault="0046049C">
      <w:pPr>
        <w:spacing w:line="600" w:lineRule="exact"/>
        <w:ind w:firstLineChars="200" w:firstLine="640"/>
        <w:rPr>
          <w:rFonts w:ascii="仿宋" w:eastAsia="仿宋" w:hAnsi="仿宋"/>
          <w:sz w:val="32"/>
          <w:szCs w:val="32"/>
        </w:rPr>
      </w:pPr>
      <w:r>
        <w:rPr>
          <w:rFonts w:ascii="仿宋" w:eastAsia="仿宋" w:hAnsi="仿宋" w:hint="eastAsia"/>
          <w:sz w:val="32"/>
          <w:szCs w:val="32"/>
        </w:rPr>
        <w:t>（图2：收入决算结构图）（饼状图）</w:t>
      </w:r>
    </w:p>
    <w:p w:rsidR="00C51A14" w:rsidRDefault="00C51A14" w:rsidP="00C51A14">
      <w:r w:rsidRPr="00C51A14">
        <w:rPr>
          <w:noProof/>
        </w:rPr>
        <w:lastRenderedPageBreak/>
        <w:drawing>
          <wp:inline distT="0" distB="0" distL="0" distR="0">
            <wp:extent cx="5274310" cy="2581275"/>
            <wp:effectExtent l="19050" t="0" r="21590" b="0"/>
            <wp:docPr id="8"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71021A" w:rsidRDefault="0046049C">
      <w:pPr>
        <w:pStyle w:val="aa"/>
        <w:numPr>
          <w:ilvl w:val="0"/>
          <w:numId w:val="2"/>
        </w:numPr>
        <w:spacing w:line="600" w:lineRule="exact"/>
        <w:ind w:firstLineChars="0"/>
        <w:outlineLvl w:val="1"/>
        <w:rPr>
          <w:rStyle w:val="2Char"/>
          <w:rFonts w:ascii="黑体" w:eastAsia="黑体" w:hAnsi="黑体"/>
          <w:b w:val="0"/>
        </w:rPr>
      </w:pPr>
      <w:bookmarkStart w:id="22" w:name="_Toc15396605"/>
      <w:bookmarkStart w:id="23" w:name="_Toc15377207"/>
      <w:r>
        <w:rPr>
          <w:rFonts w:ascii="黑体" w:eastAsia="黑体" w:hAnsi="黑体" w:hint="eastAsia"/>
          <w:sz w:val="32"/>
          <w:szCs w:val="32"/>
        </w:rPr>
        <w:t>支</w:t>
      </w:r>
      <w:r>
        <w:rPr>
          <w:rStyle w:val="2Char"/>
          <w:rFonts w:ascii="黑体" w:eastAsia="黑体" w:hAnsi="黑体" w:hint="eastAsia"/>
          <w:b w:val="0"/>
        </w:rPr>
        <w:t>出决算情况说明</w:t>
      </w:r>
      <w:bookmarkEnd w:id="22"/>
      <w:bookmarkEnd w:id="23"/>
    </w:p>
    <w:p w:rsidR="0071021A" w:rsidRPr="001E0B1E" w:rsidRDefault="0046049C">
      <w:pPr>
        <w:spacing w:line="600" w:lineRule="exact"/>
        <w:ind w:firstLineChars="200" w:firstLine="640"/>
        <w:outlineLvl w:val="1"/>
        <w:rPr>
          <w:rFonts w:ascii="仿宋" w:eastAsia="仿宋" w:hAnsi="仿宋"/>
          <w:sz w:val="32"/>
          <w:szCs w:val="32"/>
        </w:rPr>
      </w:pPr>
      <w:r w:rsidRPr="001E0B1E">
        <w:rPr>
          <w:rFonts w:ascii="仿宋" w:eastAsia="仿宋" w:hAnsi="仿宋" w:hint="eastAsia"/>
          <w:sz w:val="32"/>
          <w:szCs w:val="32"/>
        </w:rPr>
        <w:t>2023年度本年支出合计</w:t>
      </w:r>
      <w:r w:rsidRPr="001E0B1E">
        <w:rPr>
          <w:rFonts w:ascii="仿宋" w:eastAsia="仿宋" w:hAnsi="仿宋"/>
          <w:sz w:val="32"/>
          <w:szCs w:val="32"/>
        </w:rPr>
        <w:t>641.53</w:t>
      </w:r>
      <w:r w:rsidRPr="001E0B1E">
        <w:rPr>
          <w:rFonts w:ascii="仿宋" w:eastAsia="仿宋" w:hAnsi="仿宋" w:hint="eastAsia"/>
          <w:sz w:val="32"/>
          <w:szCs w:val="32"/>
        </w:rPr>
        <w:t>万元，其中：基本支出</w:t>
      </w:r>
      <w:r w:rsidRPr="001E0B1E">
        <w:rPr>
          <w:rFonts w:ascii="仿宋" w:eastAsia="仿宋" w:hAnsi="仿宋"/>
          <w:sz w:val="32"/>
          <w:szCs w:val="32"/>
        </w:rPr>
        <w:t>514.3</w:t>
      </w:r>
      <w:r w:rsidR="00111BD2" w:rsidRPr="001E0B1E">
        <w:rPr>
          <w:rFonts w:ascii="仿宋" w:eastAsia="仿宋" w:hAnsi="仿宋" w:hint="eastAsia"/>
          <w:sz w:val="32"/>
          <w:szCs w:val="32"/>
        </w:rPr>
        <w:t>0</w:t>
      </w:r>
      <w:r w:rsidRPr="001E0B1E">
        <w:rPr>
          <w:rFonts w:ascii="仿宋" w:eastAsia="仿宋" w:hAnsi="仿宋" w:hint="eastAsia"/>
          <w:sz w:val="32"/>
          <w:szCs w:val="32"/>
        </w:rPr>
        <w:t>万元，占</w:t>
      </w:r>
      <w:r w:rsidRPr="001E0B1E">
        <w:rPr>
          <w:rFonts w:ascii="仿宋" w:eastAsia="仿宋" w:hAnsi="仿宋"/>
          <w:sz w:val="32"/>
          <w:szCs w:val="32"/>
        </w:rPr>
        <w:t>80.16%</w:t>
      </w:r>
      <w:r w:rsidRPr="001E0B1E">
        <w:rPr>
          <w:rFonts w:ascii="仿宋" w:eastAsia="仿宋" w:hAnsi="仿宋" w:hint="eastAsia"/>
          <w:sz w:val="32"/>
          <w:szCs w:val="32"/>
        </w:rPr>
        <w:t>；项目支出</w:t>
      </w:r>
      <w:r w:rsidRPr="001E0B1E">
        <w:rPr>
          <w:rFonts w:ascii="仿宋" w:eastAsia="仿宋" w:hAnsi="仿宋"/>
          <w:sz w:val="32"/>
          <w:szCs w:val="32"/>
        </w:rPr>
        <w:t>127.23</w:t>
      </w:r>
      <w:r w:rsidRPr="001E0B1E">
        <w:rPr>
          <w:rFonts w:ascii="仿宋" w:eastAsia="仿宋" w:hAnsi="仿宋" w:hint="eastAsia"/>
          <w:sz w:val="32"/>
          <w:szCs w:val="32"/>
        </w:rPr>
        <w:t>万元，占</w:t>
      </w:r>
      <w:r w:rsidRPr="001E0B1E">
        <w:rPr>
          <w:rFonts w:ascii="仿宋" w:eastAsia="仿宋" w:hAnsi="仿宋"/>
          <w:sz w:val="32"/>
          <w:szCs w:val="32"/>
        </w:rPr>
        <w:t>19.83%</w:t>
      </w:r>
      <w:r w:rsidRPr="001E0B1E">
        <w:rPr>
          <w:rFonts w:ascii="仿宋" w:eastAsia="仿宋" w:hAnsi="仿宋" w:hint="eastAsia"/>
          <w:sz w:val="32"/>
          <w:szCs w:val="32"/>
        </w:rPr>
        <w:t>；上缴上级支出</w:t>
      </w:r>
      <w:r w:rsidRPr="001E0B1E">
        <w:rPr>
          <w:rFonts w:ascii="仿宋" w:eastAsia="仿宋" w:hAnsi="仿宋"/>
          <w:sz w:val="32"/>
          <w:szCs w:val="32"/>
        </w:rPr>
        <w:t>0</w:t>
      </w:r>
      <w:r w:rsidRPr="001E0B1E">
        <w:rPr>
          <w:rFonts w:ascii="仿宋" w:eastAsia="仿宋" w:hAnsi="仿宋" w:hint="eastAsia"/>
          <w:sz w:val="32"/>
          <w:szCs w:val="32"/>
        </w:rPr>
        <w:t>万元，占0</w:t>
      </w:r>
      <w:r w:rsidRPr="001E0B1E">
        <w:rPr>
          <w:rFonts w:ascii="仿宋" w:eastAsia="仿宋" w:hAnsi="仿宋"/>
          <w:sz w:val="32"/>
          <w:szCs w:val="32"/>
        </w:rPr>
        <w:t>%</w:t>
      </w:r>
      <w:r w:rsidRPr="001E0B1E">
        <w:rPr>
          <w:rFonts w:ascii="仿宋" w:eastAsia="仿宋" w:hAnsi="仿宋" w:hint="eastAsia"/>
          <w:sz w:val="32"/>
          <w:szCs w:val="32"/>
        </w:rPr>
        <w:t>；经营支出</w:t>
      </w:r>
      <w:r w:rsidRPr="001E0B1E">
        <w:rPr>
          <w:rFonts w:ascii="仿宋" w:eastAsia="仿宋" w:hAnsi="仿宋"/>
          <w:sz w:val="32"/>
          <w:szCs w:val="32"/>
        </w:rPr>
        <w:t>0</w:t>
      </w:r>
      <w:r w:rsidRPr="001E0B1E">
        <w:rPr>
          <w:rFonts w:ascii="仿宋" w:eastAsia="仿宋" w:hAnsi="仿宋" w:hint="eastAsia"/>
          <w:sz w:val="32"/>
          <w:szCs w:val="32"/>
        </w:rPr>
        <w:t>万元，占</w:t>
      </w:r>
      <w:r w:rsidRPr="001E0B1E">
        <w:rPr>
          <w:rFonts w:ascii="仿宋" w:eastAsia="仿宋" w:hAnsi="仿宋"/>
          <w:sz w:val="32"/>
          <w:szCs w:val="32"/>
        </w:rPr>
        <w:t>0%</w:t>
      </w:r>
      <w:r w:rsidRPr="001E0B1E">
        <w:rPr>
          <w:rFonts w:ascii="仿宋" w:eastAsia="仿宋" w:hAnsi="仿宋" w:hint="eastAsia"/>
          <w:sz w:val="32"/>
          <w:szCs w:val="32"/>
        </w:rPr>
        <w:t>；对附属单位补助支出</w:t>
      </w:r>
      <w:r w:rsidRPr="001E0B1E">
        <w:rPr>
          <w:rFonts w:ascii="仿宋" w:eastAsia="仿宋" w:hAnsi="仿宋"/>
          <w:sz w:val="32"/>
          <w:szCs w:val="32"/>
        </w:rPr>
        <w:t>0</w:t>
      </w:r>
      <w:r w:rsidRPr="001E0B1E">
        <w:rPr>
          <w:rFonts w:ascii="仿宋" w:eastAsia="仿宋" w:hAnsi="仿宋" w:hint="eastAsia"/>
          <w:sz w:val="32"/>
          <w:szCs w:val="32"/>
        </w:rPr>
        <w:t>万元，占</w:t>
      </w:r>
      <w:r w:rsidRPr="001E0B1E">
        <w:rPr>
          <w:rFonts w:ascii="仿宋" w:eastAsia="仿宋" w:hAnsi="仿宋"/>
          <w:sz w:val="32"/>
          <w:szCs w:val="32"/>
        </w:rPr>
        <w:t>0%</w:t>
      </w:r>
      <w:r w:rsidRPr="001E0B1E">
        <w:rPr>
          <w:rFonts w:ascii="仿宋" w:eastAsia="仿宋" w:hAnsi="仿宋" w:hint="eastAsia"/>
          <w:sz w:val="32"/>
          <w:szCs w:val="32"/>
        </w:rPr>
        <w:t>。</w:t>
      </w:r>
    </w:p>
    <w:p w:rsidR="0071021A" w:rsidRPr="001E0B1E" w:rsidRDefault="0046049C">
      <w:pPr>
        <w:spacing w:line="600" w:lineRule="exact"/>
        <w:ind w:firstLineChars="200" w:firstLine="640"/>
        <w:rPr>
          <w:rFonts w:ascii="仿宋" w:eastAsia="仿宋" w:hAnsi="仿宋"/>
          <w:sz w:val="32"/>
          <w:szCs w:val="32"/>
        </w:rPr>
      </w:pPr>
      <w:r w:rsidRPr="001E0B1E">
        <w:rPr>
          <w:rFonts w:ascii="仿宋" w:eastAsia="仿宋" w:hAnsi="仿宋" w:hint="eastAsia"/>
          <w:sz w:val="32"/>
          <w:szCs w:val="32"/>
        </w:rPr>
        <w:t>（图3：支出决算结构图）（饼状图）</w:t>
      </w:r>
    </w:p>
    <w:p w:rsidR="00C51A14" w:rsidRDefault="00C51A14" w:rsidP="00C51A14">
      <w:r w:rsidRPr="00C51A14">
        <w:rPr>
          <w:noProof/>
        </w:rPr>
        <w:drawing>
          <wp:inline distT="0" distB="0" distL="0" distR="0">
            <wp:extent cx="5274310" cy="2773560"/>
            <wp:effectExtent l="19050" t="0" r="21590" b="7740"/>
            <wp:docPr id="2"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71021A" w:rsidRDefault="0046049C">
      <w:pPr>
        <w:spacing w:line="600" w:lineRule="exact"/>
        <w:ind w:firstLineChars="200" w:firstLine="640"/>
        <w:outlineLvl w:val="1"/>
        <w:rPr>
          <w:rStyle w:val="2Char"/>
          <w:rFonts w:ascii="黑体" w:eastAsia="黑体" w:hAnsi="黑体"/>
          <w:b w:val="0"/>
        </w:rPr>
      </w:pPr>
      <w:bookmarkStart w:id="24" w:name="_Toc15377208"/>
      <w:bookmarkStart w:id="25" w:name="_Toc15396606"/>
      <w:r>
        <w:rPr>
          <w:rFonts w:ascii="黑体" w:eastAsia="黑体" w:hAnsi="黑体" w:hint="eastAsia"/>
          <w:sz w:val="32"/>
          <w:szCs w:val="32"/>
        </w:rPr>
        <w:t>四、财</w:t>
      </w:r>
      <w:r>
        <w:rPr>
          <w:rStyle w:val="2Char"/>
          <w:rFonts w:ascii="黑体" w:eastAsia="黑体" w:hAnsi="黑体" w:hint="eastAsia"/>
          <w:b w:val="0"/>
        </w:rPr>
        <w:t>政拨款收入支出决算总体情况说明</w:t>
      </w:r>
      <w:bookmarkEnd w:id="24"/>
      <w:bookmarkEnd w:id="25"/>
    </w:p>
    <w:p w:rsidR="0071021A" w:rsidRDefault="0046049C">
      <w:pPr>
        <w:spacing w:line="600" w:lineRule="exact"/>
        <w:ind w:firstLine="640"/>
        <w:rPr>
          <w:rFonts w:ascii="仿宋" w:eastAsia="仿宋" w:hAnsi="仿宋"/>
          <w:sz w:val="32"/>
          <w:szCs w:val="32"/>
        </w:rPr>
      </w:pPr>
      <w:r>
        <w:rPr>
          <w:rFonts w:ascii="仿宋" w:eastAsia="仿宋" w:hAnsi="仿宋" w:hint="eastAsia"/>
          <w:sz w:val="32"/>
          <w:szCs w:val="32"/>
        </w:rPr>
        <w:t>2023年度财政拨款收、支总计均为</w:t>
      </w:r>
      <w:r w:rsidR="0043177C" w:rsidRPr="001E0B1E">
        <w:rPr>
          <w:rFonts w:ascii="仿宋" w:eastAsia="仿宋" w:hAnsi="仿宋"/>
          <w:sz w:val="32"/>
          <w:szCs w:val="32"/>
        </w:rPr>
        <w:t>641.53</w:t>
      </w:r>
      <w:r w:rsidR="00D31E6F">
        <w:rPr>
          <w:rFonts w:ascii="仿宋" w:eastAsia="仿宋" w:hAnsi="仿宋" w:hint="eastAsia"/>
          <w:sz w:val="32"/>
          <w:szCs w:val="32"/>
        </w:rPr>
        <w:t>万元</w:t>
      </w:r>
      <w:r>
        <w:rPr>
          <w:rFonts w:ascii="仿宋" w:eastAsia="仿宋" w:hAnsi="仿宋" w:hint="eastAsia"/>
          <w:sz w:val="32"/>
          <w:szCs w:val="32"/>
        </w:rPr>
        <w:t>。与2022</w:t>
      </w:r>
      <w:r>
        <w:rPr>
          <w:rFonts w:ascii="仿宋" w:eastAsia="仿宋" w:hAnsi="仿宋" w:hint="eastAsia"/>
          <w:sz w:val="32"/>
          <w:szCs w:val="32"/>
        </w:rPr>
        <w:lastRenderedPageBreak/>
        <w:t>年度相比，财政拨款收、支总计各增加</w:t>
      </w:r>
      <w:r w:rsidR="00C51A14">
        <w:rPr>
          <w:rFonts w:ascii="仿宋" w:eastAsia="仿宋" w:hAnsi="仿宋" w:hint="eastAsia"/>
          <w:sz w:val="32"/>
          <w:szCs w:val="32"/>
        </w:rPr>
        <w:t>117.24</w:t>
      </w:r>
      <w:r>
        <w:rPr>
          <w:rFonts w:ascii="仿宋" w:eastAsia="仿宋" w:hAnsi="仿宋" w:hint="eastAsia"/>
          <w:sz w:val="32"/>
          <w:szCs w:val="32"/>
        </w:rPr>
        <w:t>万元，增长</w:t>
      </w:r>
      <w:r w:rsidR="00C51A14">
        <w:rPr>
          <w:rFonts w:ascii="仿宋" w:eastAsia="仿宋" w:hAnsi="仿宋" w:hint="eastAsia"/>
          <w:sz w:val="32"/>
          <w:szCs w:val="32"/>
        </w:rPr>
        <w:t>18.27</w:t>
      </w:r>
      <w:r>
        <w:rPr>
          <w:rFonts w:ascii="仿宋" w:eastAsia="仿宋" w:hAnsi="仿宋"/>
          <w:sz w:val="32"/>
          <w:szCs w:val="32"/>
        </w:rPr>
        <w:t>%</w:t>
      </w:r>
      <w:r>
        <w:rPr>
          <w:rFonts w:ascii="仿宋" w:eastAsia="仿宋" w:hAnsi="仿宋" w:hint="eastAsia"/>
          <w:sz w:val="32"/>
          <w:szCs w:val="32"/>
        </w:rPr>
        <w:t>。主要变动原因是</w:t>
      </w:r>
      <w:r w:rsidR="00C51A14">
        <w:rPr>
          <w:rFonts w:ascii="仿宋" w:eastAsia="仿宋" w:hAnsi="仿宋" w:hint="eastAsia"/>
          <w:sz w:val="32"/>
          <w:szCs w:val="32"/>
        </w:rPr>
        <w:t>增加项目支出。</w:t>
      </w:r>
    </w:p>
    <w:p w:rsidR="0071021A" w:rsidRDefault="0046049C">
      <w:pPr>
        <w:spacing w:line="600" w:lineRule="exact"/>
        <w:ind w:firstLineChars="200" w:firstLine="640"/>
        <w:rPr>
          <w:rFonts w:ascii="仿宋" w:eastAsia="仿宋" w:hAnsi="仿宋"/>
          <w:sz w:val="32"/>
          <w:szCs w:val="32"/>
        </w:rPr>
      </w:pPr>
      <w:r>
        <w:rPr>
          <w:rFonts w:ascii="仿宋" w:eastAsia="仿宋" w:hAnsi="仿宋" w:hint="eastAsia"/>
          <w:sz w:val="32"/>
          <w:szCs w:val="32"/>
        </w:rPr>
        <w:t>（图4：财政拨款收、支决算总计变动情况）（柱状图）</w:t>
      </w:r>
    </w:p>
    <w:p w:rsidR="006F3E8C" w:rsidRDefault="006F3E8C">
      <w:pPr>
        <w:spacing w:line="600" w:lineRule="exact"/>
        <w:ind w:firstLineChars="200" w:firstLine="640"/>
        <w:outlineLvl w:val="1"/>
        <w:rPr>
          <w:rFonts w:ascii="黑体" w:eastAsia="黑体" w:hAnsi="黑体"/>
          <w:sz w:val="32"/>
          <w:szCs w:val="32"/>
        </w:rPr>
      </w:pPr>
      <w:bookmarkStart w:id="26" w:name="_Toc15396607"/>
      <w:bookmarkStart w:id="27" w:name="_Toc15377209"/>
      <w:r>
        <w:rPr>
          <w:rFonts w:ascii="黑体" w:eastAsia="黑体" w:hAnsi="黑体" w:hint="eastAsia"/>
          <w:noProof/>
          <w:sz w:val="32"/>
          <w:szCs w:val="32"/>
        </w:rPr>
        <w:drawing>
          <wp:anchor distT="0" distB="0" distL="114300" distR="114300" simplePos="0" relativeHeight="251658240" behindDoc="0" locked="0" layoutInCell="1" allowOverlap="1">
            <wp:simplePos x="0" y="0"/>
            <wp:positionH relativeFrom="column">
              <wp:posOffset>428625</wp:posOffset>
            </wp:positionH>
            <wp:positionV relativeFrom="paragraph">
              <wp:posOffset>209550</wp:posOffset>
            </wp:positionV>
            <wp:extent cx="5095875" cy="2762250"/>
            <wp:effectExtent l="19050" t="0" r="9525" b="0"/>
            <wp:wrapSquare wrapText="bothSides"/>
            <wp:docPr id="1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rsidR="006F3E8C" w:rsidRDefault="006F3E8C" w:rsidP="006F3E8C">
      <w:pPr>
        <w:spacing w:line="600" w:lineRule="exact"/>
        <w:ind w:firstLineChars="200" w:firstLine="640"/>
        <w:outlineLvl w:val="1"/>
        <w:rPr>
          <w:rFonts w:ascii="黑体" w:eastAsia="黑体" w:hAnsi="黑体"/>
          <w:sz w:val="32"/>
          <w:szCs w:val="32"/>
        </w:rPr>
      </w:pPr>
    </w:p>
    <w:p w:rsidR="006F3E8C" w:rsidRDefault="006F3E8C">
      <w:pPr>
        <w:spacing w:line="600" w:lineRule="exact"/>
        <w:ind w:firstLineChars="200" w:firstLine="640"/>
        <w:outlineLvl w:val="1"/>
        <w:rPr>
          <w:rFonts w:ascii="黑体" w:eastAsia="黑体" w:hAnsi="黑体"/>
          <w:sz w:val="32"/>
          <w:szCs w:val="32"/>
        </w:rPr>
      </w:pPr>
    </w:p>
    <w:p w:rsidR="006F3E8C" w:rsidRDefault="006F3E8C" w:rsidP="006F3E8C">
      <w:pPr>
        <w:spacing w:line="600" w:lineRule="exact"/>
        <w:ind w:firstLineChars="200" w:firstLine="640"/>
        <w:outlineLvl w:val="1"/>
        <w:rPr>
          <w:rFonts w:ascii="黑体" w:eastAsia="黑体" w:hAnsi="黑体"/>
          <w:sz w:val="32"/>
          <w:szCs w:val="32"/>
        </w:rPr>
      </w:pPr>
    </w:p>
    <w:p w:rsidR="006F3E8C" w:rsidRDefault="006F3E8C">
      <w:pPr>
        <w:spacing w:line="600" w:lineRule="exact"/>
        <w:ind w:firstLineChars="200" w:firstLine="640"/>
        <w:outlineLvl w:val="1"/>
        <w:rPr>
          <w:rFonts w:ascii="黑体" w:eastAsia="黑体" w:hAnsi="黑体"/>
          <w:sz w:val="32"/>
          <w:szCs w:val="32"/>
        </w:rPr>
      </w:pPr>
    </w:p>
    <w:p w:rsidR="006F3E8C" w:rsidRDefault="006F3E8C" w:rsidP="006F3E8C">
      <w:pPr>
        <w:spacing w:line="600" w:lineRule="exact"/>
        <w:ind w:firstLineChars="200" w:firstLine="640"/>
        <w:outlineLvl w:val="1"/>
        <w:rPr>
          <w:rFonts w:ascii="黑体" w:eastAsia="黑体" w:hAnsi="黑体"/>
          <w:sz w:val="32"/>
          <w:szCs w:val="32"/>
        </w:rPr>
      </w:pPr>
    </w:p>
    <w:p w:rsidR="006F3E8C" w:rsidRDefault="006F3E8C" w:rsidP="006F3E8C">
      <w:pPr>
        <w:spacing w:line="600" w:lineRule="exact"/>
        <w:ind w:firstLineChars="200" w:firstLine="640"/>
        <w:outlineLvl w:val="1"/>
        <w:rPr>
          <w:rFonts w:ascii="黑体" w:eastAsia="黑体" w:hAnsi="黑体"/>
          <w:sz w:val="32"/>
          <w:szCs w:val="32"/>
        </w:rPr>
      </w:pPr>
    </w:p>
    <w:p w:rsidR="006F3E8C" w:rsidRDefault="006F3E8C" w:rsidP="006F3E8C">
      <w:pPr>
        <w:spacing w:line="600" w:lineRule="exact"/>
        <w:ind w:firstLineChars="200" w:firstLine="640"/>
        <w:outlineLvl w:val="1"/>
        <w:rPr>
          <w:rFonts w:ascii="黑体" w:eastAsia="黑体" w:hAnsi="黑体"/>
          <w:sz w:val="32"/>
          <w:szCs w:val="32"/>
        </w:rPr>
      </w:pPr>
    </w:p>
    <w:p w:rsidR="0071021A" w:rsidRDefault="0046049C">
      <w:pPr>
        <w:spacing w:line="600" w:lineRule="exact"/>
        <w:ind w:firstLineChars="200" w:firstLine="640"/>
        <w:outlineLvl w:val="1"/>
        <w:rPr>
          <w:rStyle w:val="2Char"/>
          <w:rFonts w:ascii="黑体" w:eastAsia="黑体" w:hAnsi="黑体"/>
          <w:b w:val="0"/>
        </w:rPr>
      </w:pPr>
      <w:r>
        <w:rPr>
          <w:rFonts w:ascii="黑体" w:eastAsia="黑体" w:hAnsi="黑体" w:hint="eastAsia"/>
          <w:sz w:val="32"/>
          <w:szCs w:val="32"/>
        </w:rPr>
        <w:t>五、</w:t>
      </w:r>
      <w:r>
        <w:rPr>
          <w:rFonts w:ascii="黑体" w:eastAsia="黑体" w:hAnsi="黑体" w:hint="eastAsia"/>
          <w:b/>
          <w:sz w:val="32"/>
          <w:szCs w:val="32"/>
        </w:rPr>
        <w:t>一</w:t>
      </w:r>
      <w:r>
        <w:rPr>
          <w:rStyle w:val="2Char"/>
          <w:rFonts w:ascii="黑体" w:eastAsia="黑体" w:hAnsi="黑体" w:hint="eastAsia"/>
          <w:b w:val="0"/>
        </w:rPr>
        <w:t>般公共预算财政拨款支出决算情况说明</w:t>
      </w:r>
      <w:bookmarkEnd w:id="26"/>
      <w:bookmarkEnd w:id="27"/>
    </w:p>
    <w:p w:rsidR="0071021A" w:rsidRDefault="0046049C">
      <w:pPr>
        <w:spacing w:line="600" w:lineRule="exact"/>
        <w:ind w:firstLineChars="200" w:firstLine="643"/>
        <w:outlineLvl w:val="2"/>
        <w:rPr>
          <w:rFonts w:ascii="仿宋" w:eastAsia="仿宋" w:hAnsi="仿宋"/>
          <w:b/>
          <w:sz w:val="32"/>
          <w:szCs w:val="32"/>
        </w:rPr>
      </w:pPr>
      <w:bookmarkStart w:id="28" w:name="_Toc15377210"/>
      <w:r>
        <w:rPr>
          <w:rFonts w:ascii="仿宋" w:eastAsia="仿宋" w:hAnsi="仿宋" w:hint="eastAsia"/>
          <w:b/>
          <w:sz w:val="32"/>
          <w:szCs w:val="32"/>
        </w:rPr>
        <w:t>（一）一般公共预算财政拨款支出决算总体情况</w:t>
      </w:r>
      <w:bookmarkEnd w:id="28"/>
    </w:p>
    <w:p w:rsidR="0071021A" w:rsidRDefault="0046049C">
      <w:pPr>
        <w:spacing w:line="600" w:lineRule="exact"/>
        <w:ind w:firstLineChars="200" w:firstLine="640"/>
        <w:rPr>
          <w:rFonts w:ascii="仿宋" w:eastAsia="仿宋" w:hAnsi="仿宋"/>
          <w:sz w:val="32"/>
          <w:szCs w:val="32"/>
        </w:rPr>
      </w:pPr>
      <w:r>
        <w:rPr>
          <w:rFonts w:ascii="仿宋" w:eastAsia="仿宋" w:hAnsi="仿宋" w:hint="eastAsia"/>
          <w:sz w:val="32"/>
          <w:szCs w:val="32"/>
        </w:rPr>
        <w:t>2023年度一般公共预算财政拨款支出</w:t>
      </w:r>
      <w:r w:rsidR="0043177C" w:rsidRPr="001E0B1E">
        <w:rPr>
          <w:rFonts w:ascii="仿宋" w:eastAsia="仿宋" w:hAnsi="仿宋"/>
          <w:sz w:val="32"/>
          <w:szCs w:val="32"/>
        </w:rPr>
        <w:t>641.53</w:t>
      </w:r>
      <w:r>
        <w:rPr>
          <w:rFonts w:ascii="仿宋" w:eastAsia="仿宋" w:hAnsi="仿宋" w:hint="eastAsia"/>
          <w:sz w:val="32"/>
          <w:szCs w:val="32"/>
        </w:rPr>
        <w:t>万元，占本年支出合计的</w:t>
      </w:r>
      <w:r w:rsidR="0043177C" w:rsidRPr="001E0B1E">
        <w:rPr>
          <w:rFonts w:ascii="仿宋" w:eastAsia="仿宋" w:hAnsi="仿宋"/>
          <w:sz w:val="32"/>
          <w:szCs w:val="32"/>
        </w:rPr>
        <w:t>100</w:t>
      </w:r>
      <w:r>
        <w:rPr>
          <w:rFonts w:ascii="仿宋" w:eastAsia="仿宋" w:hAnsi="仿宋"/>
          <w:sz w:val="32"/>
          <w:szCs w:val="32"/>
        </w:rPr>
        <w:t>%</w:t>
      </w:r>
      <w:r>
        <w:rPr>
          <w:rFonts w:ascii="仿宋" w:eastAsia="仿宋" w:hAnsi="仿宋" w:hint="eastAsia"/>
          <w:sz w:val="32"/>
          <w:szCs w:val="32"/>
        </w:rPr>
        <w:t>。与2022年度相比，一般公共预算财政拨款支出增加</w:t>
      </w:r>
      <w:r w:rsidR="006F3E8C">
        <w:rPr>
          <w:rFonts w:ascii="仿宋" w:eastAsia="仿宋" w:hAnsi="仿宋" w:hint="eastAsia"/>
          <w:sz w:val="32"/>
          <w:szCs w:val="32"/>
        </w:rPr>
        <w:t>117.24</w:t>
      </w:r>
      <w:r>
        <w:rPr>
          <w:rFonts w:ascii="仿宋" w:eastAsia="仿宋" w:hAnsi="仿宋" w:hint="eastAsia"/>
          <w:sz w:val="32"/>
          <w:szCs w:val="32"/>
        </w:rPr>
        <w:t>万元，增长</w:t>
      </w:r>
      <w:r w:rsidR="006F3E8C">
        <w:rPr>
          <w:rFonts w:ascii="仿宋" w:eastAsia="仿宋" w:hAnsi="仿宋" w:hint="eastAsia"/>
          <w:sz w:val="32"/>
          <w:szCs w:val="32"/>
        </w:rPr>
        <w:t>18.27</w:t>
      </w:r>
      <w:r>
        <w:rPr>
          <w:rFonts w:ascii="仿宋" w:eastAsia="仿宋" w:hAnsi="仿宋"/>
          <w:sz w:val="32"/>
          <w:szCs w:val="32"/>
        </w:rPr>
        <w:t>%</w:t>
      </w:r>
      <w:r>
        <w:rPr>
          <w:rFonts w:ascii="仿宋" w:eastAsia="仿宋" w:hAnsi="仿宋" w:hint="eastAsia"/>
          <w:sz w:val="32"/>
          <w:szCs w:val="32"/>
        </w:rPr>
        <w:t>。主要变动原因是</w:t>
      </w:r>
      <w:r w:rsidR="006F3E8C">
        <w:rPr>
          <w:rFonts w:ascii="仿宋" w:eastAsia="仿宋" w:hAnsi="仿宋" w:hint="eastAsia"/>
          <w:sz w:val="32"/>
          <w:szCs w:val="32"/>
        </w:rPr>
        <w:t>增加项目支出。</w:t>
      </w:r>
    </w:p>
    <w:p w:rsidR="0071021A" w:rsidRDefault="0046049C">
      <w:pPr>
        <w:spacing w:line="600" w:lineRule="exact"/>
        <w:ind w:firstLineChars="200" w:firstLine="640"/>
        <w:rPr>
          <w:rFonts w:ascii="仿宋" w:eastAsia="仿宋" w:hAnsi="仿宋"/>
          <w:sz w:val="32"/>
          <w:szCs w:val="32"/>
        </w:rPr>
      </w:pPr>
      <w:r>
        <w:rPr>
          <w:rFonts w:ascii="仿宋" w:eastAsia="仿宋" w:hAnsi="仿宋" w:hint="eastAsia"/>
          <w:sz w:val="32"/>
          <w:szCs w:val="32"/>
        </w:rPr>
        <w:t>（图5：一般公共预算财政拨款支出决算变动情况）（柱状图）</w:t>
      </w:r>
    </w:p>
    <w:p w:rsidR="006F3E8C" w:rsidRDefault="006F3E8C" w:rsidP="006F3E8C">
      <w:r w:rsidRPr="006F3E8C">
        <w:rPr>
          <w:noProof/>
        </w:rPr>
        <w:lastRenderedPageBreak/>
        <w:drawing>
          <wp:inline distT="0" distB="0" distL="0" distR="0">
            <wp:extent cx="5274310" cy="2543175"/>
            <wp:effectExtent l="19050" t="0" r="21590" b="0"/>
            <wp:docPr id="13"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71021A" w:rsidRDefault="0046049C">
      <w:pPr>
        <w:spacing w:line="600" w:lineRule="exact"/>
        <w:ind w:firstLineChars="200" w:firstLine="643"/>
        <w:outlineLvl w:val="2"/>
        <w:rPr>
          <w:rFonts w:ascii="仿宋" w:eastAsia="仿宋" w:hAnsi="仿宋"/>
          <w:b/>
          <w:sz w:val="32"/>
          <w:szCs w:val="32"/>
        </w:rPr>
      </w:pPr>
      <w:bookmarkStart w:id="29" w:name="_Toc15377211"/>
      <w:r>
        <w:rPr>
          <w:rFonts w:ascii="仿宋" w:eastAsia="仿宋" w:hAnsi="仿宋" w:hint="eastAsia"/>
          <w:b/>
          <w:sz w:val="32"/>
          <w:szCs w:val="32"/>
        </w:rPr>
        <w:t>（二）一般公共预算财政拨款支出决算结构情况</w:t>
      </w:r>
      <w:bookmarkEnd w:id="29"/>
    </w:p>
    <w:p w:rsidR="0071021A" w:rsidRDefault="0046049C">
      <w:pPr>
        <w:spacing w:line="600" w:lineRule="exact"/>
        <w:ind w:firstLine="640"/>
        <w:rPr>
          <w:rFonts w:ascii="仿宋" w:eastAsia="仿宋" w:hAnsi="仿宋"/>
          <w:b/>
          <w:sz w:val="32"/>
          <w:szCs w:val="32"/>
        </w:rPr>
      </w:pPr>
      <w:r>
        <w:rPr>
          <w:rFonts w:ascii="仿宋" w:eastAsia="仿宋" w:hAnsi="仿宋" w:hint="eastAsia"/>
          <w:sz w:val="32"/>
          <w:szCs w:val="32"/>
        </w:rPr>
        <w:t>2023年度一般公共预算财政拨款支出</w:t>
      </w:r>
      <w:r w:rsidR="0043177C" w:rsidRPr="001E0B1E">
        <w:rPr>
          <w:rFonts w:ascii="仿宋" w:eastAsia="仿宋" w:hAnsi="仿宋"/>
          <w:sz w:val="32"/>
          <w:szCs w:val="32"/>
        </w:rPr>
        <w:t>641.53</w:t>
      </w:r>
      <w:r>
        <w:rPr>
          <w:rFonts w:ascii="仿宋" w:eastAsia="仿宋" w:hAnsi="仿宋" w:hint="eastAsia"/>
          <w:sz w:val="32"/>
          <w:szCs w:val="32"/>
        </w:rPr>
        <w:t>万元，主要用于以下方面</w:t>
      </w:r>
      <w:r>
        <w:rPr>
          <w:rFonts w:ascii="仿宋" w:eastAsia="仿宋" w:hAnsi="仿宋"/>
          <w:sz w:val="32"/>
          <w:szCs w:val="32"/>
        </w:rPr>
        <w:t>:</w:t>
      </w:r>
      <w:r w:rsidR="006F3E8C" w:rsidRPr="006F3E8C">
        <w:rPr>
          <w:rFonts w:ascii="仿宋" w:eastAsia="仿宋" w:hAnsi="仿宋" w:hint="eastAsia"/>
          <w:b/>
          <w:bCs/>
          <w:sz w:val="32"/>
          <w:szCs w:val="32"/>
        </w:rPr>
        <w:t xml:space="preserve"> </w:t>
      </w:r>
      <w:r w:rsidR="006F3E8C" w:rsidRPr="001E0B1E">
        <w:rPr>
          <w:rFonts w:ascii="仿宋" w:eastAsia="仿宋" w:hAnsi="仿宋" w:hint="eastAsia"/>
          <w:bCs/>
          <w:sz w:val="32"/>
          <w:szCs w:val="32"/>
        </w:rPr>
        <w:t>文化旅游体育与传媒支出484.45万元，占75.52</w:t>
      </w:r>
      <w:r w:rsidR="006F3E8C" w:rsidRPr="001E0B1E">
        <w:rPr>
          <w:rFonts w:ascii="仿宋" w:eastAsia="仿宋" w:hAnsi="仿宋"/>
          <w:bCs/>
          <w:sz w:val="32"/>
          <w:szCs w:val="32"/>
        </w:rPr>
        <w:t>%</w:t>
      </w:r>
      <w:r w:rsidR="006F3E8C" w:rsidRPr="001E0B1E">
        <w:rPr>
          <w:rFonts w:ascii="仿宋" w:eastAsia="仿宋" w:hAnsi="仿宋" w:hint="eastAsia"/>
          <w:sz w:val="32"/>
          <w:szCs w:val="32"/>
        </w:rPr>
        <w:t>；社会保障和就业</w:t>
      </w:r>
      <w:r w:rsidR="006F3E8C" w:rsidRPr="001E0B1E">
        <w:rPr>
          <w:rFonts w:ascii="仿宋" w:eastAsia="仿宋" w:hAnsi="仿宋" w:hint="eastAsia"/>
          <w:bCs/>
          <w:sz w:val="32"/>
          <w:szCs w:val="32"/>
        </w:rPr>
        <w:t>支出</w:t>
      </w:r>
      <w:r w:rsidR="006F3E8C">
        <w:rPr>
          <w:rFonts w:ascii="仿宋" w:eastAsia="仿宋" w:hAnsi="仿宋" w:hint="eastAsia"/>
          <w:sz w:val="32"/>
          <w:szCs w:val="32"/>
        </w:rPr>
        <w:t>89.25万元，占13.91</w:t>
      </w:r>
      <w:r w:rsidR="006F3E8C">
        <w:rPr>
          <w:rFonts w:ascii="仿宋" w:eastAsia="仿宋" w:hAnsi="仿宋"/>
          <w:sz w:val="32"/>
          <w:szCs w:val="32"/>
        </w:rPr>
        <w:t>%</w:t>
      </w:r>
      <w:r w:rsidR="006F3E8C">
        <w:rPr>
          <w:rFonts w:ascii="仿宋" w:eastAsia="仿宋" w:hAnsi="仿宋" w:hint="eastAsia"/>
          <w:sz w:val="32"/>
          <w:szCs w:val="32"/>
        </w:rPr>
        <w:t>；</w:t>
      </w:r>
      <w:r w:rsidR="006F3E8C" w:rsidRPr="001E0B1E">
        <w:rPr>
          <w:rFonts w:ascii="仿宋" w:eastAsia="仿宋" w:hAnsi="仿宋" w:hint="eastAsia"/>
          <w:bCs/>
          <w:sz w:val="32"/>
          <w:szCs w:val="32"/>
        </w:rPr>
        <w:t>卫生健康支出</w:t>
      </w:r>
      <w:r w:rsidR="006F3E8C">
        <w:rPr>
          <w:rFonts w:ascii="仿宋" w:eastAsia="仿宋" w:hAnsi="仿宋" w:hint="eastAsia"/>
          <w:sz w:val="32"/>
          <w:szCs w:val="32"/>
        </w:rPr>
        <w:t>35.53万元，占5.54</w:t>
      </w:r>
      <w:r w:rsidR="006F3E8C">
        <w:rPr>
          <w:rFonts w:ascii="仿宋" w:eastAsia="仿宋" w:hAnsi="仿宋"/>
          <w:sz w:val="32"/>
          <w:szCs w:val="32"/>
        </w:rPr>
        <w:t>%</w:t>
      </w:r>
      <w:r w:rsidR="006F3E8C">
        <w:rPr>
          <w:rFonts w:ascii="仿宋" w:eastAsia="仿宋" w:hAnsi="仿宋" w:hint="eastAsia"/>
          <w:sz w:val="32"/>
          <w:szCs w:val="32"/>
        </w:rPr>
        <w:t>；</w:t>
      </w:r>
      <w:r w:rsidR="006F3E8C" w:rsidRPr="001E0B1E">
        <w:rPr>
          <w:rFonts w:ascii="仿宋" w:eastAsia="仿宋" w:hAnsi="仿宋" w:hint="eastAsia"/>
          <w:bCs/>
          <w:sz w:val="32"/>
          <w:szCs w:val="32"/>
        </w:rPr>
        <w:t>住房保障支出</w:t>
      </w:r>
      <w:r w:rsidR="006F3E8C">
        <w:rPr>
          <w:rFonts w:ascii="仿宋" w:eastAsia="仿宋" w:hAnsi="仿宋" w:hint="eastAsia"/>
          <w:sz w:val="32"/>
          <w:szCs w:val="32"/>
        </w:rPr>
        <w:t>32.30万元，占5.03</w:t>
      </w:r>
      <w:r w:rsidR="006F3E8C">
        <w:rPr>
          <w:rFonts w:ascii="仿宋" w:eastAsia="仿宋" w:hAnsi="仿宋"/>
          <w:sz w:val="32"/>
          <w:szCs w:val="32"/>
        </w:rPr>
        <w:t>%</w:t>
      </w:r>
      <w:r w:rsidR="006F3E8C">
        <w:rPr>
          <w:rFonts w:ascii="仿宋" w:eastAsia="仿宋" w:hAnsi="仿宋" w:hint="eastAsia"/>
          <w:sz w:val="32"/>
          <w:szCs w:val="32"/>
        </w:rPr>
        <w:t>。</w:t>
      </w:r>
    </w:p>
    <w:p w:rsidR="0071021A" w:rsidRDefault="0046049C" w:rsidP="006F3E8C">
      <w:pPr>
        <w:spacing w:line="600" w:lineRule="exact"/>
        <w:ind w:firstLine="640"/>
        <w:rPr>
          <w:rFonts w:ascii="仿宋" w:eastAsia="仿宋" w:hAnsi="仿宋"/>
          <w:sz w:val="32"/>
          <w:szCs w:val="32"/>
        </w:rPr>
      </w:pPr>
      <w:r>
        <w:rPr>
          <w:rFonts w:ascii="仿宋" w:eastAsia="仿宋" w:hAnsi="仿宋" w:hint="eastAsia"/>
          <w:sz w:val="32"/>
          <w:szCs w:val="32"/>
        </w:rPr>
        <w:t>（图6：一般公共预算财政拨款支出决算结构）（饼状图）</w:t>
      </w:r>
    </w:p>
    <w:p w:rsidR="006F3E8C" w:rsidRDefault="006F3E8C" w:rsidP="006F3E8C">
      <w:r w:rsidRPr="006F3E8C">
        <w:rPr>
          <w:noProof/>
        </w:rPr>
        <w:drawing>
          <wp:inline distT="0" distB="0" distL="0" distR="0">
            <wp:extent cx="5274310" cy="2762250"/>
            <wp:effectExtent l="19050" t="0" r="21590" b="0"/>
            <wp:docPr id="14"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71021A" w:rsidRDefault="0046049C">
      <w:pPr>
        <w:spacing w:line="600" w:lineRule="exact"/>
        <w:ind w:firstLineChars="200" w:firstLine="643"/>
        <w:outlineLvl w:val="2"/>
        <w:rPr>
          <w:rFonts w:ascii="仿宋" w:eastAsia="仿宋" w:hAnsi="仿宋"/>
          <w:b/>
          <w:sz w:val="32"/>
          <w:szCs w:val="32"/>
        </w:rPr>
      </w:pPr>
      <w:bookmarkStart w:id="30" w:name="_Toc15377212"/>
      <w:r>
        <w:rPr>
          <w:rFonts w:ascii="仿宋" w:eastAsia="仿宋" w:hAnsi="仿宋" w:hint="eastAsia"/>
          <w:b/>
          <w:sz w:val="32"/>
          <w:szCs w:val="32"/>
        </w:rPr>
        <w:t>（三）一般公共预算财政拨款支出决算具体情况</w:t>
      </w:r>
      <w:bookmarkEnd w:id="30"/>
    </w:p>
    <w:p w:rsidR="0071021A" w:rsidRPr="001E0B1E" w:rsidRDefault="0046049C" w:rsidP="001E0B1E">
      <w:pPr>
        <w:spacing w:line="600" w:lineRule="exact"/>
        <w:ind w:firstLineChars="200" w:firstLine="640"/>
        <w:outlineLvl w:val="2"/>
        <w:rPr>
          <w:rFonts w:ascii="仿宋" w:eastAsia="仿宋" w:hAnsi="仿宋"/>
          <w:b/>
          <w:sz w:val="32"/>
          <w:szCs w:val="32"/>
        </w:rPr>
      </w:pPr>
      <w:bookmarkStart w:id="31" w:name="_Toc15377444"/>
      <w:bookmarkStart w:id="32" w:name="_Toc15378460"/>
      <w:bookmarkStart w:id="33" w:name="_Toc15377213"/>
      <w:r w:rsidRPr="001E0B1E">
        <w:rPr>
          <w:rFonts w:ascii="仿宋" w:eastAsia="仿宋" w:hAnsi="仿宋" w:hint="eastAsia"/>
          <w:sz w:val="32"/>
          <w:szCs w:val="32"/>
        </w:rPr>
        <w:t>2023年度一般公共预算支出决算数为</w:t>
      </w:r>
      <w:r w:rsidR="0043177C" w:rsidRPr="001E0B1E">
        <w:rPr>
          <w:rFonts w:ascii="仿宋" w:eastAsia="仿宋" w:hAnsi="仿宋"/>
          <w:sz w:val="32"/>
          <w:szCs w:val="32"/>
        </w:rPr>
        <w:t>641.53</w:t>
      </w:r>
      <w:r w:rsidRPr="001E0B1E">
        <w:rPr>
          <w:rFonts w:ascii="仿宋" w:eastAsia="仿宋" w:hAnsi="仿宋" w:hint="eastAsia"/>
          <w:sz w:val="32"/>
          <w:szCs w:val="32"/>
        </w:rPr>
        <w:t>，</w:t>
      </w:r>
      <w:r w:rsidRPr="001E0B1E">
        <w:rPr>
          <w:rStyle w:val="a8"/>
          <w:rFonts w:ascii="仿宋" w:eastAsia="仿宋" w:hAnsi="仿宋" w:hint="eastAsia"/>
          <w:b w:val="0"/>
          <w:bCs/>
          <w:sz w:val="32"/>
          <w:szCs w:val="32"/>
        </w:rPr>
        <w:t>完成预</w:t>
      </w:r>
      <w:r w:rsidRPr="001E0B1E">
        <w:rPr>
          <w:rStyle w:val="a8"/>
          <w:rFonts w:ascii="仿宋" w:eastAsia="仿宋" w:hAnsi="仿宋" w:hint="eastAsia"/>
          <w:b w:val="0"/>
          <w:bCs/>
          <w:sz w:val="32"/>
          <w:szCs w:val="32"/>
        </w:rPr>
        <w:lastRenderedPageBreak/>
        <w:t>算</w:t>
      </w:r>
      <w:r w:rsidR="006F3E8C" w:rsidRPr="001E0B1E">
        <w:rPr>
          <w:rStyle w:val="a8"/>
          <w:rFonts w:ascii="仿宋" w:eastAsia="仿宋" w:hAnsi="仿宋" w:hint="eastAsia"/>
          <w:b w:val="0"/>
          <w:bCs/>
          <w:sz w:val="32"/>
          <w:szCs w:val="32"/>
        </w:rPr>
        <w:t>100</w:t>
      </w:r>
      <w:r w:rsidRPr="001E0B1E">
        <w:rPr>
          <w:rStyle w:val="a8"/>
          <w:rFonts w:ascii="仿宋" w:eastAsia="仿宋" w:hAnsi="仿宋"/>
          <w:b w:val="0"/>
          <w:bCs/>
          <w:sz w:val="32"/>
          <w:szCs w:val="32"/>
        </w:rPr>
        <w:t>%</w:t>
      </w:r>
      <w:r w:rsidRPr="001E0B1E">
        <w:rPr>
          <w:rStyle w:val="a8"/>
          <w:rFonts w:ascii="仿宋" w:eastAsia="仿宋" w:hAnsi="仿宋" w:hint="eastAsia"/>
          <w:b w:val="0"/>
          <w:bCs/>
          <w:sz w:val="32"/>
          <w:szCs w:val="32"/>
        </w:rPr>
        <w:t>。其中：</w:t>
      </w:r>
      <w:bookmarkEnd w:id="31"/>
      <w:bookmarkEnd w:id="32"/>
      <w:bookmarkEnd w:id="33"/>
    </w:p>
    <w:p w:rsidR="006F3E8C" w:rsidRPr="001E0B1E" w:rsidRDefault="0046049C" w:rsidP="001E0B1E">
      <w:pPr>
        <w:spacing w:line="600" w:lineRule="exact"/>
        <w:ind w:firstLineChars="200" w:firstLine="640"/>
        <w:rPr>
          <w:rStyle w:val="a8"/>
        </w:rPr>
      </w:pPr>
      <w:r w:rsidRPr="001E0B1E">
        <w:rPr>
          <w:rStyle w:val="a8"/>
          <w:rFonts w:ascii="仿宋" w:eastAsia="仿宋" w:hAnsi="仿宋"/>
          <w:b w:val="0"/>
          <w:bCs/>
          <w:sz w:val="32"/>
          <w:szCs w:val="32"/>
        </w:rPr>
        <w:t>1.</w:t>
      </w:r>
      <w:r w:rsidR="006F3E8C" w:rsidRPr="001E0B1E">
        <w:rPr>
          <w:rStyle w:val="a8"/>
          <w:rFonts w:ascii="仿宋" w:eastAsia="仿宋" w:hAnsi="仿宋" w:hint="eastAsia"/>
          <w:b w:val="0"/>
          <w:bCs/>
          <w:sz w:val="32"/>
          <w:szCs w:val="32"/>
        </w:rPr>
        <w:t xml:space="preserve"> 文化旅游体育与传媒（类）广播电视（款）广播电视事务（项）</w:t>
      </w:r>
      <w:r w:rsidR="006F3E8C" w:rsidRPr="001E0B1E">
        <w:rPr>
          <w:rStyle w:val="a8"/>
          <w:rFonts w:ascii="仿宋" w:eastAsia="仿宋" w:hAnsi="仿宋"/>
          <w:b w:val="0"/>
          <w:bCs/>
          <w:sz w:val="32"/>
          <w:szCs w:val="32"/>
        </w:rPr>
        <w:t>:</w:t>
      </w:r>
      <w:r w:rsidR="006F3E8C">
        <w:rPr>
          <w:rStyle w:val="a8"/>
          <w:rFonts w:ascii="仿宋" w:eastAsia="仿宋" w:hAnsi="仿宋" w:hint="eastAsia"/>
          <w:b w:val="0"/>
          <w:bCs/>
          <w:sz w:val="32"/>
          <w:szCs w:val="32"/>
        </w:rPr>
        <w:t>支出决算为401.83万元，完成预算100</w:t>
      </w:r>
      <w:r w:rsidR="006F3E8C">
        <w:rPr>
          <w:rStyle w:val="a8"/>
          <w:rFonts w:ascii="仿宋" w:eastAsia="仿宋" w:hAnsi="仿宋"/>
          <w:b w:val="0"/>
          <w:bCs/>
          <w:sz w:val="32"/>
          <w:szCs w:val="32"/>
        </w:rPr>
        <w:t>%</w:t>
      </w:r>
      <w:r w:rsidR="006F3E8C">
        <w:rPr>
          <w:rStyle w:val="a8"/>
          <w:rFonts w:ascii="仿宋" w:eastAsia="仿宋" w:hAnsi="仿宋" w:hint="eastAsia"/>
          <w:b w:val="0"/>
          <w:bCs/>
          <w:sz w:val="32"/>
          <w:szCs w:val="32"/>
        </w:rPr>
        <w:t>，决算数等于预算数。</w:t>
      </w:r>
    </w:p>
    <w:p w:rsidR="006F3E8C" w:rsidRPr="001E0B1E" w:rsidRDefault="006F3E8C" w:rsidP="001E0B1E">
      <w:pPr>
        <w:spacing w:line="600" w:lineRule="exact"/>
        <w:ind w:firstLineChars="200" w:firstLine="640"/>
        <w:rPr>
          <w:rStyle w:val="a8"/>
          <w:rFonts w:ascii="仿宋" w:eastAsia="仿宋" w:hAnsi="仿宋"/>
          <w:b w:val="0"/>
          <w:bCs/>
          <w:sz w:val="32"/>
          <w:szCs w:val="32"/>
        </w:rPr>
      </w:pPr>
      <w:r w:rsidRPr="001E0B1E">
        <w:rPr>
          <w:rStyle w:val="a8"/>
          <w:rFonts w:ascii="仿宋" w:eastAsia="仿宋" w:hAnsi="仿宋" w:hint="eastAsia"/>
          <w:b w:val="0"/>
          <w:bCs/>
          <w:sz w:val="32"/>
          <w:szCs w:val="32"/>
        </w:rPr>
        <w:t>2.文化旅游体育与传媒（类）其他文化旅游体育与传媒支出（款）其他文化旅游体育与传媒支出（项）</w:t>
      </w:r>
      <w:r w:rsidRPr="001E0B1E">
        <w:rPr>
          <w:rStyle w:val="a8"/>
          <w:rFonts w:ascii="仿宋" w:eastAsia="仿宋" w:hAnsi="仿宋"/>
          <w:b w:val="0"/>
          <w:bCs/>
          <w:sz w:val="32"/>
          <w:szCs w:val="32"/>
        </w:rPr>
        <w:t>:</w:t>
      </w:r>
      <w:r w:rsidRPr="00DD1EFB">
        <w:rPr>
          <w:rStyle w:val="a8"/>
          <w:rFonts w:ascii="仿宋" w:eastAsia="仿宋" w:hAnsi="仿宋" w:hint="eastAsia"/>
          <w:b w:val="0"/>
          <w:bCs/>
          <w:sz w:val="32"/>
          <w:szCs w:val="32"/>
        </w:rPr>
        <w:t xml:space="preserve"> </w:t>
      </w:r>
      <w:r>
        <w:rPr>
          <w:rStyle w:val="a8"/>
          <w:rFonts w:ascii="仿宋" w:eastAsia="仿宋" w:hAnsi="仿宋" w:hint="eastAsia"/>
          <w:b w:val="0"/>
          <w:bCs/>
          <w:sz w:val="32"/>
          <w:szCs w:val="32"/>
        </w:rPr>
        <w:t>支出决算为82.62万元，完成预算100</w:t>
      </w:r>
      <w:r>
        <w:rPr>
          <w:rStyle w:val="a8"/>
          <w:rFonts w:ascii="仿宋" w:eastAsia="仿宋" w:hAnsi="仿宋"/>
          <w:b w:val="0"/>
          <w:bCs/>
          <w:sz w:val="32"/>
          <w:szCs w:val="32"/>
        </w:rPr>
        <w:t>%</w:t>
      </w:r>
      <w:r>
        <w:rPr>
          <w:rStyle w:val="a8"/>
          <w:rFonts w:ascii="仿宋" w:eastAsia="仿宋" w:hAnsi="仿宋" w:hint="eastAsia"/>
          <w:b w:val="0"/>
          <w:bCs/>
          <w:sz w:val="32"/>
          <w:szCs w:val="32"/>
        </w:rPr>
        <w:t>，决算数等于预算数。</w:t>
      </w:r>
    </w:p>
    <w:p w:rsidR="006F3E8C" w:rsidRPr="001E0B1E" w:rsidRDefault="006F3E8C" w:rsidP="001E0B1E">
      <w:pPr>
        <w:spacing w:line="600" w:lineRule="exact"/>
        <w:ind w:firstLineChars="200" w:firstLine="640"/>
        <w:rPr>
          <w:rStyle w:val="a8"/>
          <w:bCs/>
        </w:rPr>
      </w:pPr>
      <w:r w:rsidRPr="001E0B1E">
        <w:rPr>
          <w:rStyle w:val="a8"/>
          <w:rFonts w:ascii="仿宋" w:eastAsia="仿宋" w:hAnsi="仿宋" w:hint="eastAsia"/>
          <w:b w:val="0"/>
          <w:bCs/>
          <w:sz w:val="32"/>
          <w:szCs w:val="32"/>
        </w:rPr>
        <w:t>3</w:t>
      </w:r>
      <w:r w:rsidRPr="001E0B1E">
        <w:rPr>
          <w:rStyle w:val="a8"/>
          <w:rFonts w:ascii="仿宋" w:eastAsia="仿宋" w:hAnsi="仿宋"/>
          <w:b w:val="0"/>
          <w:bCs/>
          <w:sz w:val="32"/>
          <w:szCs w:val="32"/>
        </w:rPr>
        <w:t>.</w:t>
      </w:r>
      <w:r w:rsidRPr="001E0B1E">
        <w:rPr>
          <w:rStyle w:val="a8"/>
          <w:rFonts w:ascii="仿宋" w:eastAsia="仿宋" w:hAnsi="仿宋" w:hint="eastAsia"/>
          <w:b w:val="0"/>
          <w:bCs/>
          <w:sz w:val="32"/>
          <w:szCs w:val="32"/>
        </w:rPr>
        <w:t>社会保障和就业（类）行政事业单位养老支出（款）行政单位离退休（项）</w:t>
      </w:r>
      <w:r w:rsidRPr="001E0B1E">
        <w:rPr>
          <w:rStyle w:val="a8"/>
          <w:rFonts w:ascii="仿宋" w:eastAsia="仿宋" w:hAnsi="仿宋"/>
          <w:b w:val="0"/>
          <w:bCs/>
          <w:sz w:val="32"/>
          <w:szCs w:val="32"/>
        </w:rPr>
        <w:t>:</w:t>
      </w:r>
      <w:r>
        <w:rPr>
          <w:rStyle w:val="a8"/>
          <w:rFonts w:ascii="仿宋" w:eastAsia="仿宋" w:hAnsi="仿宋" w:hint="eastAsia"/>
          <w:b w:val="0"/>
          <w:bCs/>
          <w:sz w:val="32"/>
          <w:szCs w:val="32"/>
        </w:rPr>
        <w:t>支出决算为0.53万元，完成预算100</w:t>
      </w:r>
      <w:r>
        <w:rPr>
          <w:rStyle w:val="a8"/>
          <w:rFonts w:ascii="仿宋" w:eastAsia="仿宋" w:hAnsi="仿宋"/>
          <w:b w:val="0"/>
          <w:bCs/>
          <w:sz w:val="32"/>
          <w:szCs w:val="32"/>
        </w:rPr>
        <w:t>%</w:t>
      </w:r>
      <w:r>
        <w:rPr>
          <w:rStyle w:val="a8"/>
          <w:rFonts w:ascii="仿宋" w:eastAsia="仿宋" w:hAnsi="仿宋" w:hint="eastAsia"/>
          <w:b w:val="0"/>
          <w:bCs/>
          <w:sz w:val="32"/>
          <w:szCs w:val="32"/>
        </w:rPr>
        <w:t>，决算数等于预算数。</w:t>
      </w:r>
    </w:p>
    <w:p w:rsidR="006F3E8C" w:rsidRPr="001E0B1E" w:rsidRDefault="006F3E8C" w:rsidP="001E0B1E">
      <w:pPr>
        <w:spacing w:line="600" w:lineRule="exact"/>
        <w:ind w:firstLineChars="200" w:firstLine="640"/>
        <w:rPr>
          <w:rStyle w:val="a8"/>
          <w:rFonts w:ascii="仿宋" w:eastAsia="仿宋" w:hAnsi="仿宋"/>
          <w:b w:val="0"/>
          <w:bCs/>
          <w:sz w:val="32"/>
          <w:szCs w:val="32"/>
        </w:rPr>
      </w:pPr>
      <w:r w:rsidRPr="001E0B1E">
        <w:rPr>
          <w:rStyle w:val="a8"/>
          <w:rFonts w:ascii="仿宋" w:eastAsia="仿宋" w:hAnsi="仿宋" w:hint="eastAsia"/>
          <w:b w:val="0"/>
          <w:bCs/>
          <w:sz w:val="32"/>
          <w:szCs w:val="32"/>
        </w:rPr>
        <w:t>4.社会保障和就业（类）行政事业单位养老支出（款）事业单位离退休（项）</w:t>
      </w:r>
      <w:r w:rsidRPr="001E0B1E">
        <w:rPr>
          <w:rStyle w:val="a8"/>
          <w:rFonts w:ascii="仿宋" w:eastAsia="仿宋" w:hAnsi="仿宋"/>
          <w:b w:val="0"/>
          <w:bCs/>
          <w:sz w:val="32"/>
          <w:szCs w:val="32"/>
        </w:rPr>
        <w:t>:</w:t>
      </w:r>
      <w:r>
        <w:rPr>
          <w:rStyle w:val="a8"/>
          <w:rFonts w:ascii="仿宋" w:eastAsia="仿宋" w:hAnsi="仿宋" w:hint="eastAsia"/>
          <w:b w:val="0"/>
          <w:bCs/>
          <w:sz w:val="32"/>
          <w:szCs w:val="32"/>
        </w:rPr>
        <w:t>支出决算为11.91万元，完成预算100</w:t>
      </w:r>
      <w:r>
        <w:rPr>
          <w:rStyle w:val="a8"/>
          <w:rFonts w:ascii="仿宋" w:eastAsia="仿宋" w:hAnsi="仿宋"/>
          <w:b w:val="0"/>
          <w:bCs/>
          <w:sz w:val="32"/>
          <w:szCs w:val="32"/>
        </w:rPr>
        <w:t>%</w:t>
      </w:r>
      <w:r>
        <w:rPr>
          <w:rStyle w:val="a8"/>
          <w:rFonts w:ascii="仿宋" w:eastAsia="仿宋" w:hAnsi="仿宋" w:hint="eastAsia"/>
          <w:b w:val="0"/>
          <w:bCs/>
          <w:sz w:val="32"/>
          <w:szCs w:val="32"/>
        </w:rPr>
        <w:t>，决算数等于预算数。</w:t>
      </w:r>
    </w:p>
    <w:p w:rsidR="006F3E8C" w:rsidRPr="001E0B1E" w:rsidRDefault="006F3E8C" w:rsidP="001E0B1E">
      <w:pPr>
        <w:spacing w:line="600" w:lineRule="exact"/>
        <w:ind w:firstLineChars="200" w:firstLine="640"/>
        <w:rPr>
          <w:rStyle w:val="a8"/>
          <w:rFonts w:ascii="仿宋" w:eastAsia="仿宋" w:hAnsi="仿宋"/>
          <w:b w:val="0"/>
          <w:bCs/>
          <w:sz w:val="32"/>
          <w:szCs w:val="32"/>
        </w:rPr>
      </w:pPr>
      <w:r w:rsidRPr="001E0B1E">
        <w:rPr>
          <w:rStyle w:val="a8"/>
          <w:rFonts w:ascii="仿宋" w:eastAsia="仿宋" w:hAnsi="仿宋" w:hint="eastAsia"/>
          <w:b w:val="0"/>
          <w:bCs/>
          <w:sz w:val="32"/>
          <w:szCs w:val="32"/>
        </w:rPr>
        <w:t>5.社会保障和就业（类）行政事业单位养老支出（款）机关事业单位基本养老保险缴费支出（项）</w:t>
      </w:r>
      <w:r w:rsidRPr="001E0B1E">
        <w:rPr>
          <w:rStyle w:val="a8"/>
          <w:rFonts w:ascii="仿宋" w:eastAsia="仿宋" w:hAnsi="仿宋"/>
          <w:b w:val="0"/>
          <w:bCs/>
          <w:sz w:val="32"/>
          <w:szCs w:val="32"/>
        </w:rPr>
        <w:t>:</w:t>
      </w:r>
      <w:r>
        <w:rPr>
          <w:rStyle w:val="a8"/>
          <w:rFonts w:ascii="仿宋" w:eastAsia="仿宋" w:hAnsi="仿宋" w:hint="eastAsia"/>
          <w:b w:val="0"/>
          <w:bCs/>
          <w:sz w:val="32"/>
          <w:szCs w:val="32"/>
        </w:rPr>
        <w:t>支出决算为45.35万元，完成预算100</w:t>
      </w:r>
      <w:r>
        <w:rPr>
          <w:rStyle w:val="a8"/>
          <w:rFonts w:ascii="仿宋" w:eastAsia="仿宋" w:hAnsi="仿宋"/>
          <w:b w:val="0"/>
          <w:bCs/>
          <w:sz w:val="32"/>
          <w:szCs w:val="32"/>
        </w:rPr>
        <w:t>%</w:t>
      </w:r>
      <w:r>
        <w:rPr>
          <w:rStyle w:val="a8"/>
          <w:rFonts w:ascii="仿宋" w:eastAsia="仿宋" w:hAnsi="仿宋" w:hint="eastAsia"/>
          <w:b w:val="0"/>
          <w:bCs/>
          <w:sz w:val="32"/>
          <w:szCs w:val="32"/>
        </w:rPr>
        <w:t>，决算数等于预算数。</w:t>
      </w:r>
    </w:p>
    <w:p w:rsidR="006F3E8C" w:rsidRPr="001E0B1E" w:rsidRDefault="006F3E8C" w:rsidP="001E0B1E">
      <w:pPr>
        <w:spacing w:line="600" w:lineRule="exact"/>
        <w:ind w:firstLineChars="200" w:firstLine="640"/>
        <w:rPr>
          <w:rStyle w:val="a8"/>
          <w:rFonts w:ascii="仿宋" w:eastAsia="仿宋" w:hAnsi="仿宋"/>
          <w:b w:val="0"/>
          <w:bCs/>
          <w:sz w:val="32"/>
          <w:szCs w:val="32"/>
        </w:rPr>
      </w:pPr>
      <w:r w:rsidRPr="001E0B1E">
        <w:rPr>
          <w:rStyle w:val="a8"/>
          <w:rFonts w:ascii="仿宋" w:eastAsia="仿宋" w:hAnsi="仿宋" w:hint="eastAsia"/>
          <w:b w:val="0"/>
          <w:bCs/>
          <w:sz w:val="32"/>
          <w:szCs w:val="32"/>
        </w:rPr>
        <w:t>6.社会保障和就业（类）行政事业单位养老支出（款）机关事业单位职业年金缴费支出（项）</w:t>
      </w:r>
      <w:r w:rsidRPr="001E0B1E">
        <w:rPr>
          <w:rStyle w:val="a8"/>
          <w:rFonts w:ascii="仿宋" w:eastAsia="仿宋" w:hAnsi="仿宋"/>
          <w:b w:val="0"/>
          <w:bCs/>
          <w:sz w:val="32"/>
          <w:szCs w:val="32"/>
        </w:rPr>
        <w:t>:</w:t>
      </w:r>
      <w:r>
        <w:rPr>
          <w:rStyle w:val="a8"/>
          <w:rFonts w:ascii="仿宋" w:eastAsia="仿宋" w:hAnsi="仿宋" w:hint="eastAsia"/>
          <w:b w:val="0"/>
          <w:bCs/>
          <w:sz w:val="32"/>
          <w:szCs w:val="32"/>
        </w:rPr>
        <w:t>支出决算为25.65万元，完成预算100</w:t>
      </w:r>
      <w:r>
        <w:rPr>
          <w:rStyle w:val="a8"/>
          <w:rFonts w:ascii="仿宋" w:eastAsia="仿宋" w:hAnsi="仿宋"/>
          <w:b w:val="0"/>
          <w:bCs/>
          <w:sz w:val="32"/>
          <w:szCs w:val="32"/>
        </w:rPr>
        <w:t>%</w:t>
      </w:r>
      <w:r>
        <w:rPr>
          <w:rStyle w:val="a8"/>
          <w:rFonts w:ascii="仿宋" w:eastAsia="仿宋" w:hAnsi="仿宋" w:hint="eastAsia"/>
          <w:b w:val="0"/>
          <w:bCs/>
          <w:sz w:val="32"/>
          <w:szCs w:val="32"/>
        </w:rPr>
        <w:t>，决算数等于预算数。</w:t>
      </w:r>
    </w:p>
    <w:p w:rsidR="006F3E8C" w:rsidRPr="001E0B1E" w:rsidRDefault="006F3E8C" w:rsidP="001E0B1E">
      <w:pPr>
        <w:spacing w:line="600" w:lineRule="exact"/>
        <w:ind w:firstLineChars="200" w:firstLine="640"/>
        <w:rPr>
          <w:rStyle w:val="a8"/>
          <w:rFonts w:ascii="仿宋" w:eastAsia="仿宋" w:hAnsi="仿宋"/>
          <w:b w:val="0"/>
          <w:bCs/>
          <w:sz w:val="32"/>
          <w:szCs w:val="32"/>
        </w:rPr>
      </w:pPr>
      <w:r w:rsidRPr="001E0B1E">
        <w:rPr>
          <w:rStyle w:val="a8"/>
          <w:rFonts w:ascii="仿宋" w:eastAsia="仿宋" w:hAnsi="仿宋" w:hint="eastAsia"/>
          <w:b w:val="0"/>
          <w:bCs/>
          <w:sz w:val="32"/>
          <w:szCs w:val="32"/>
        </w:rPr>
        <w:t>7.社会保障和就业（类）抚恤（款）死亡抚恤（项）</w:t>
      </w:r>
      <w:r w:rsidRPr="001E0B1E">
        <w:rPr>
          <w:rStyle w:val="a8"/>
          <w:rFonts w:ascii="仿宋" w:eastAsia="仿宋" w:hAnsi="仿宋"/>
          <w:b w:val="0"/>
          <w:bCs/>
          <w:sz w:val="32"/>
          <w:szCs w:val="32"/>
        </w:rPr>
        <w:t>:</w:t>
      </w:r>
      <w:r>
        <w:rPr>
          <w:rStyle w:val="a8"/>
          <w:rFonts w:ascii="仿宋" w:eastAsia="仿宋" w:hAnsi="仿宋" w:hint="eastAsia"/>
          <w:b w:val="0"/>
          <w:bCs/>
          <w:sz w:val="32"/>
          <w:szCs w:val="32"/>
        </w:rPr>
        <w:t>支出决算为5.81万元，完成预算100</w:t>
      </w:r>
      <w:r>
        <w:rPr>
          <w:rStyle w:val="a8"/>
          <w:rFonts w:ascii="仿宋" w:eastAsia="仿宋" w:hAnsi="仿宋"/>
          <w:b w:val="0"/>
          <w:bCs/>
          <w:sz w:val="32"/>
          <w:szCs w:val="32"/>
        </w:rPr>
        <w:t>%</w:t>
      </w:r>
      <w:r>
        <w:rPr>
          <w:rStyle w:val="a8"/>
          <w:rFonts w:ascii="仿宋" w:eastAsia="仿宋" w:hAnsi="仿宋" w:hint="eastAsia"/>
          <w:b w:val="0"/>
          <w:bCs/>
          <w:sz w:val="32"/>
          <w:szCs w:val="32"/>
        </w:rPr>
        <w:t>，决算数等于预算数。</w:t>
      </w:r>
    </w:p>
    <w:p w:rsidR="006F3E8C" w:rsidRPr="001E0B1E" w:rsidRDefault="006F3E8C" w:rsidP="001E0B1E">
      <w:pPr>
        <w:spacing w:line="600" w:lineRule="exact"/>
        <w:ind w:firstLineChars="200" w:firstLine="640"/>
        <w:rPr>
          <w:rStyle w:val="a8"/>
          <w:bCs/>
        </w:rPr>
      </w:pPr>
      <w:r w:rsidRPr="001E0B1E">
        <w:rPr>
          <w:rStyle w:val="a8"/>
          <w:rFonts w:ascii="仿宋" w:eastAsia="仿宋" w:hAnsi="仿宋" w:hint="eastAsia"/>
          <w:b w:val="0"/>
          <w:bCs/>
          <w:sz w:val="32"/>
          <w:szCs w:val="32"/>
        </w:rPr>
        <w:t>8</w:t>
      </w:r>
      <w:r w:rsidRPr="001E0B1E">
        <w:rPr>
          <w:rStyle w:val="a8"/>
          <w:rFonts w:ascii="仿宋" w:eastAsia="仿宋" w:hAnsi="仿宋"/>
          <w:b w:val="0"/>
          <w:bCs/>
          <w:sz w:val="32"/>
          <w:szCs w:val="32"/>
        </w:rPr>
        <w:t>.</w:t>
      </w:r>
      <w:r w:rsidRPr="001E0B1E">
        <w:rPr>
          <w:rStyle w:val="a8"/>
          <w:rFonts w:ascii="仿宋" w:eastAsia="仿宋" w:hAnsi="仿宋" w:hint="eastAsia"/>
          <w:b w:val="0"/>
          <w:bCs/>
          <w:sz w:val="32"/>
          <w:szCs w:val="32"/>
        </w:rPr>
        <w:t>卫生健康（类）行政事业单位医疗（款）行政单位医疗（项）</w:t>
      </w:r>
      <w:r w:rsidRPr="001E0B1E">
        <w:rPr>
          <w:rStyle w:val="a8"/>
          <w:rFonts w:ascii="仿宋" w:eastAsia="仿宋" w:hAnsi="仿宋"/>
          <w:b w:val="0"/>
          <w:bCs/>
          <w:sz w:val="32"/>
          <w:szCs w:val="32"/>
        </w:rPr>
        <w:t>:</w:t>
      </w:r>
      <w:r>
        <w:rPr>
          <w:rStyle w:val="a8"/>
          <w:rFonts w:ascii="仿宋" w:eastAsia="仿宋" w:hAnsi="仿宋" w:hint="eastAsia"/>
          <w:b w:val="0"/>
          <w:bCs/>
          <w:sz w:val="32"/>
          <w:szCs w:val="32"/>
        </w:rPr>
        <w:t>支出决算为1.13万元，完成预算100</w:t>
      </w:r>
      <w:r>
        <w:rPr>
          <w:rStyle w:val="a8"/>
          <w:rFonts w:ascii="仿宋" w:eastAsia="仿宋" w:hAnsi="仿宋"/>
          <w:b w:val="0"/>
          <w:bCs/>
          <w:sz w:val="32"/>
          <w:szCs w:val="32"/>
        </w:rPr>
        <w:t>%</w:t>
      </w:r>
      <w:r>
        <w:rPr>
          <w:rStyle w:val="a8"/>
          <w:rFonts w:ascii="仿宋" w:eastAsia="仿宋" w:hAnsi="仿宋" w:hint="eastAsia"/>
          <w:b w:val="0"/>
          <w:bCs/>
          <w:sz w:val="32"/>
          <w:szCs w:val="32"/>
        </w:rPr>
        <w:t>，决算数等</w:t>
      </w:r>
      <w:r>
        <w:rPr>
          <w:rStyle w:val="a8"/>
          <w:rFonts w:ascii="仿宋" w:eastAsia="仿宋" w:hAnsi="仿宋" w:hint="eastAsia"/>
          <w:b w:val="0"/>
          <w:bCs/>
          <w:sz w:val="32"/>
          <w:szCs w:val="32"/>
        </w:rPr>
        <w:lastRenderedPageBreak/>
        <w:t>于预算数。</w:t>
      </w:r>
    </w:p>
    <w:p w:rsidR="006F3E8C" w:rsidRPr="001E0B1E" w:rsidRDefault="006F3E8C" w:rsidP="001E0B1E">
      <w:pPr>
        <w:spacing w:line="600" w:lineRule="exact"/>
        <w:ind w:firstLineChars="200" w:firstLine="640"/>
        <w:rPr>
          <w:rStyle w:val="a8"/>
          <w:bCs/>
        </w:rPr>
      </w:pPr>
      <w:r w:rsidRPr="001E0B1E">
        <w:rPr>
          <w:rStyle w:val="a8"/>
          <w:rFonts w:ascii="仿宋" w:eastAsia="仿宋" w:hAnsi="仿宋" w:hint="eastAsia"/>
          <w:b w:val="0"/>
          <w:bCs/>
          <w:sz w:val="32"/>
          <w:szCs w:val="32"/>
        </w:rPr>
        <w:t>9</w:t>
      </w:r>
      <w:r w:rsidRPr="001E0B1E">
        <w:rPr>
          <w:rStyle w:val="a8"/>
          <w:rFonts w:ascii="仿宋" w:eastAsia="仿宋" w:hAnsi="仿宋"/>
          <w:b w:val="0"/>
          <w:bCs/>
          <w:sz w:val="32"/>
          <w:szCs w:val="32"/>
        </w:rPr>
        <w:t>.</w:t>
      </w:r>
      <w:r w:rsidRPr="001E0B1E">
        <w:rPr>
          <w:rStyle w:val="a8"/>
          <w:rFonts w:ascii="仿宋" w:eastAsia="仿宋" w:hAnsi="仿宋" w:hint="eastAsia"/>
          <w:b w:val="0"/>
          <w:bCs/>
          <w:sz w:val="32"/>
          <w:szCs w:val="32"/>
        </w:rPr>
        <w:t>卫生健康（类）行政事业单位医疗（款）事业单位医疗（项）</w:t>
      </w:r>
      <w:r w:rsidRPr="001E0B1E">
        <w:rPr>
          <w:rStyle w:val="a8"/>
          <w:rFonts w:ascii="仿宋" w:eastAsia="仿宋" w:hAnsi="仿宋"/>
          <w:b w:val="0"/>
          <w:bCs/>
          <w:sz w:val="32"/>
          <w:szCs w:val="32"/>
        </w:rPr>
        <w:t>:</w:t>
      </w:r>
      <w:r>
        <w:rPr>
          <w:rStyle w:val="a8"/>
          <w:rFonts w:ascii="仿宋" w:eastAsia="仿宋" w:hAnsi="仿宋" w:hint="eastAsia"/>
          <w:b w:val="0"/>
          <w:bCs/>
          <w:sz w:val="32"/>
          <w:szCs w:val="32"/>
        </w:rPr>
        <w:t>支出决算为16.55万元，完成预算100</w:t>
      </w:r>
      <w:r>
        <w:rPr>
          <w:rStyle w:val="a8"/>
          <w:rFonts w:ascii="仿宋" w:eastAsia="仿宋" w:hAnsi="仿宋"/>
          <w:b w:val="0"/>
          <w:bCs/>
          <w:sz w:val="32"/>
          <w:szCs w:val="32"/>
        </w:rPr>
        <w:t>%</w:t>
      </w:r>
      <w:r>
        <w:rPr>
          <w:rStyle w:val="a8"/>
          <w:rFonts w:ascii="仿宋" w:eastAsia="仿宋" w:hAnsi="仿宋" w:hint="eastAsia"/>
          <w:b w:val="0"/>
          <w:bCs/>
          <w:sz w:val="32"/>
          <w:szCs w:val="32"/>
        </w:rPr>
        <w:t>，决算数等于预算数。</w:t>
      </w:r>
    </w:p>
    <w:p w:rsidR="006F3E8C" w:rsidRPr="001E0B1E" w:rsidRDefault="006F3E8C" w:rsidP="001E0B1E">
      <w:pPr>
        <w:spacing w:line="600" w:lineRule="exact"/>
        <w:ind w:firstLineChars="200" w:firstLine="640"/>
        <w:rPr>
          <w:rStyle w:val="a8"/>
          <w:bCs/>
        </w:rPr>
      </w:pPr>
      <w:r w:rsidRPr="001E0B1E">
        <w:rPr>
          <w:rStyle w:val="a8"/>
          <w:rFonts w:ascii="仿宋" w:eastAsia="仿宋" w:hAnsi="仿宋" w:hint="eastAsia"/>
          <w:b w:val="0"/>
          <w:bCs/>
          <w:sz w:val="32"/>
          <w:szCs w:val="32"/>
        </w:rPr>
        <w:t>10</w:t>
      </w:r>
      <w:r w:rsidRPr="001E0B1E">
        <w:rPr>
          <w:rStyle w:val="a8"/>
          <w:rFonts w:ascii="仿宋" w:eastAsia="仿宋" w:hAnsi="仿宋"/>
          <w:b w:val="0"/>
          <w:bCs/>
          <w:sz w:val="32"/>
          <w:szCs w:val="32"/>
        </w:rPr>
        <w:t>.</w:t>
      </w:r>
      <w:r w:rsidRPr="001E0B1E">
        <w:rPr>
          <w:rStyle w:val="a8"/>
          <w:rFonts w:ascii="仿宋" w:eastAsia="仿宋" w:hAnsi="仿宋" w:hint="eastAsia"/>
          <w:b w:val="0"/>
          <w:bCs/>
          <w:sz w:val="32"/>
          <w:szCs w:val="32"/>
        </w:rPr>
        <w:t>卫生健康（类）行政事业单位医疗（款）公务员医疗补助（项）</w:t>
      </w:r>
      <w:r w:rsidRPr="001E0B1E">
        <w:rPr>
          <w:rStyle w:val="a8"/>
          <w:rFonts w:ascii="仿宋" w:eastAsia="仿宋" w:hAnsi="仿宋"/>
          <w:b w:val="0"/>
          <w:bCs/>
          <w:sz w:val="32"/>
          <w:szCs w:val="32"/>
        </w:rPr>
        <w:t>:</w:t>
      </w:r>
      <w:r>
        <w:rPr>
          <w:rStyle w:val="a8"/>
          <w:rFonts w:ascii="仿宋" w:eastAsia="仿宋" w:hAnsi="仿宋" w:hint="eastAsia"/>
          <w:b w:val="0"/>
          <w:bCs/>
          <w:sz w:val="32"/>
          <w:szCs w:val="32"/>
        </w:rPr>
        <w:t>支出决算为0.12万元，完成预算100</w:t>
      </w:r>
      <w:r>
        <w:rPr>
          <w:rStyle w:val="a8"/>
          <w:rFonts w:ascii="仿宋" w:eastAsia="仿宋" w:hAnsi="仿宋"/>
          <w:b w:val="0"/>
          <w:bCs/>
          <w:sz w:val="32"/>
          <w:szCs w:val="32"/>
        </w:rPr>
        <w:t>%</w:t>
      </w:r>
      <w:r>
        <w:rPr>
          <w:rStyle w:val="a8"/>
          <w:rFonts w:ascii="仿宋" w:eastAsia="仿宋" w:hAnsi="仿宋" w:hint="eastAsia"/>
          <w:b w:val="0"/>
          <w:bCs/>
          <w:sz w:val="32"/>
          <w:szCs w:val="32"/>
        </w:rPr>
        <w:t>，决算数等于预算数。</w:t>
      </w:r>
    </w:p>
    <w:p w:rsidR="006F3E8C" w:rsidRPr="001E0B1E" w:rsidRDefault="006F3E8C" w:rsidP="001E0B1E">
      <w:pPr>
        <w:spacing w:line="600" w:lineRule="exact"/>
        <w:ind w:firstLineChars="200" w:firstLine="640"/>
        <w:rPr>
          <w:rStyle w:val="a8"/>
          <w:bCs/>
        </w:rPr>
      </w:pPr>
      <w:r w:rsidRPr="001E0B1E">
        <w:rPr>
          <w:rStyle w:val="a8"/>
          <w:rFonts w:ascii="仿宋" w:eastAsia="仿宋" w:hAnsi="仿宋" w:hint="eastAsia"/>
          <w:b w:val="0"/>
          <w:bCs/>
          <w:sz w:val="32"/>
          <w:szCs w:val="32"/>
        </w:rPr>
        <w:t>1</w:t>
      </w:r>
      <w:r w:rsidR="001E0B1E">
        <w:rPr>
          <w:rStyle w:val="a8"/>
          <w:rFonts w:ascii="仿宋" w:eastAsia="仿宋" w:hAnsi="仿宋" w:hint="eastAsia"/>
          <w:b w:val="0"/>
          <w:bCs/>
          <w:sz w:val="32"/>
          <w:szCs w:val="32"/>
        </w:rPr>
        <w:t>1</w:t>
      </w:r>
      <w:r w:rsidRPr="001E0B1E">
        <w:rPr>
          <w:rStyle w:val="a8"/>
          <w:rFonts w:ascii="仿宋" w:eastAsia="仿宋" w:hAnsi="仿宋"/>
          <w:b w:val="0"/>
          <w:bCs/>
          <w:sz w:val="32"/>
          <w:szCs w:val="32"/>
        </w:rPr>
        <w:t>.</w:t>
      </w:r>
      <w:r w:rsidRPr="001E0B1E">
        <w:rPr>
          <w:rStyle w:val="a8"/>
          <w:rFonts w:ascii="仿宋" w:eastAsia="仿宋" w:hAnsi="仿宋" w:hint="eastAsia"/>
          <w:b w:val="0"/>
          <w:bCs/>
          <w:sz w:val="32"/>
          <w:szCs w:val="32"/>
        </w:rPr>
        <w:t>卫生健康（类）行政事业单位医疗（款）其他行政事业单位医疗支出（项）</w:t>
      </w:r>
      <w:r w:rsidRPr="001E0B1E">
        <w:rPr>
          <w:rStyle w:val="a8"/>
          <w:rFonts w:ascii="仿宋" w:eastAsia="仿宋" w:hAnsi="仿宋"/>
          <w:b w:val="0"/>
          <w:bCs/>
          <w:sz w:val="32"/>
          <w:szCs w:val="32"/>
        </w:rPr>
        <w:t>:</w:t>
      </w:r>
      <w:r>
        <w:rPr>
          <w:rStyle w:val="a8"/>
          <w:rFonts w:ascii="仿宋" w:eastAsia="仿宋" w:hAnsi="仿宋" w:hint="eastAsia"/>
          <w:b w:val="0"/>
          <w:bCs/>
          <w:sz w:val="32"/>
          <w:szCs w:val="32"/>
        </w:rPr>
        <w:t>支出决算为17.73元，完成预算100</w:t>
      </w:r>
      <w:r>
        <w:rPr>
          <w:rStyle w:val="a8"/>
          <w:rFonts w:ascii="仿宋" w:eastAsia="仿宋" w:hAnsi="仿宋"/>
          <w:b w:val="0"/>
          <w:bCs/>
          <w:sz w:val="32"/>
          <w:szCs w:val="32"/>
        </w:rPr>
        <w:t>%</w:t>
      </w:r>
      <w:r>
        <w:rPr>
          <w:rStyle w:val="a8"/>
          <w:rFonts w:ascii="仿宋" w:eastAsia="仿宋" w:hAnsi="仿宋" w:hint="eastAsia"/>
          <w:b w:val="0"/>
          <w:bCs/>
          <w:sz w:val="32"/>
          <w:szCs w:val="32"/>
        </w:rPr>
        <w:t>，决算数等于预算数。</w:t>
      </w:r>
    </w:p>
    <w:p w:rsidR="006F3E8C" w:rsidRDefault="006F3E8C" w:rsidP="001E0B1E">
      <w:pPr>
        <w:spacing w:line="600" w:lineRule="exact"/>
        <w:ind w:firstLineChars="200" w:firstLine="640"/>
        <w:rPr>
          <w:rFonts w:ascii="仿宋" w:eastAsia="仿宋" w:hAnsi="仿宋"/>
          <w:b/>
          <w:sz w:val="32"/>
          <w:szCs w:val="32"/>
        </w:rPr>
      </w:pPr>
      <w:r w:rsidRPr="001E0B1E">
        <w:rPr>
          <w:rStyle w:val="a8"/>
          <w:rFonts w:ascii="仿宋" w:eastAsia="仿宋" w:hAnsi="仿宋" w:hint="eastAsia"/>
          <w:b w:val="0"/>
          <w:bCs/>
          <w:sz w:val="32"/>
          <w:szCs w:val="32"/>
        </w:rPr>
        <w:t>1</w:t>
      </w:r>
      <w:r w:rsidR="001E0B1E">
        <w:rPr>
          <w:rStyle w:val="a8"/>
          <w:rFonts w:ascii="仿宋" w:eastAsia="仿宋" w:hAnsi="仿宋" w:hint="eastAsia"/>
          <w:b w:val="0"/>
          <w:bCs/>
          <w:sz w:val="32"/>
          <w:szCs w:val="32"/>
        </w:rPr>
        <w:t>2</w:t>
      </w:r>
      <w:r w:rsidRPr="001E0B1E">
        <w:rPr>
          <w:rStyle w:val="a8"/>
          <w:rFonts w:ascii="仿宋" w:eastAsia="仿宋" w:hAnsi="仿宋"/>
          <w:b w:val="0"/>
          <w:bCs/>
          <w:sz w:val="32"/>
          <w:szCs w:val="32"/>
        </w:rPr>
        <w:t>.</w:t>
      </w:r>
      <w:r w:rsidRPr="001E0B1E">
        <w:rPr>
          <w:rStyle w:val="a8"/>
          <w:rFonts w:ascii="仿宋" w:eastAsia="仿宋" w:hAnsi="仿宋" w:hint="eastAsia"/>
          <w:b w:val="0"/>
          <w:bCs/>
          <w:sz w:val="32"/>
          <w:szCs w:val="32"/>
        </w:rPr>
        <w:t>住房保障支出（类）住房改革支出（款）住房公积金（项）</w:t>
      </w:r>
      <w:r w:rsidRPr="001E0B1E">
        <w:rPr>
          <w:rStyle w:val="a8"/>
          <w:rFonts w:ascii="仿宋" w:eastAsia="仿宋" w:hAnsi="仿宋"/>
          <w:b w:val="0"/>
          <w:bCs/>
          <w:sz w:val="32"/>
          <w:szCs w:val="32"/>
        </w:rPr>
        <w:t>:</w:t>
      </w:r>
      <w:r>
        <w:rPr>
          <w:rStyle w:val="a8"/>
          <w:rFonts w:ascii="仿宋" w:eastAsia="仿宋" w:hAnsi="仿宋" w:hint="eastAsia"/>
          <w:b w:val="0"/>
          <w:bCs/>
          <w:sz w:val="32"/>
          <w:szCs w:val="32"/>
        </w:rPr>
        <w:t>支出决算为32.30元，完成预算100</w:t>
      </w:r>
      <w:r>
        <w:rPr>
          <w:rStyle w:val="a8"/>
          <w:rFonts w:ascii="仿宋" w:eastAsia="仿宋" w:hAnsi="仿宋"/>
          <w:b w:val="0"/>
          <w:bCs/>
          <w:sz w:val="32"/>
          <w:szCs w:val="32"/>
        </w:rPr>
        <w:t>%</w:t>
      </w:r>
      <w:r>
        <w:rPr>
          <w:rStyle w:val="a8"/>
          <w:rFonts w:ascii="仿宋" w:eastAsia="仿宋" w:hAnsi="仿宋" w:hint="eastAsia"/>
          <w:b w:val="0"/>
          <w:bCs/>
          <w:sz w:val="32"/>
          <w:szCs w:val="32"/>
        </w:rPr>
        <w:t>，决算数等于预算数。</w:t>
      </w:r>
    </w:p>
    <w:p w:rsidR="0071021A" w:rsidRDefault="0046049C">
      <w:pPr>
        <w:tabs>
          <w:tab w:val="right" w:pos="8306"/>
        </w:tabs>
        <w:spacing w:line="600" w:lineRule="exact"/>
        <w:ind w:firstLine="640"/>
        <w:outlineLvl w:val="1"/>
        <w:rPr>
          <w:rStyle w:val="2Char"/>
        </w:rPr>
      </w:pPr>
      <w:bookmarkStart w:id="34" w:name="_Toc15377214"/>
      <w:bookmarkStart w:id="35" w:name="_Toc15396608"/>
      <w:r>
        <w:rPr>
          <w:rFonts w:ascii="黑体" w:eastAsia="黑体" w:hint="eastAsia"/>
          <w:sz w:val="32"/>
          <w:szCs w:val="32"/>
        </w:rPr>
        <w:t>六</w:t>
      </w:r>
      <w:r>
        <w:rPr>
          <w:rFonts w:ascii="黑体" w:eastAsia="黑体" w:hint="eastAsia"/>
          <w:b/>
          <w:sz w:val="32"/>
          <w:szCs w:val="32"/>
        </w:rPr>
        <w:t>、</w:t>
      </w:r>
      <w:r>
        <w:rPr>
          <w:rFonts w:ascii="黑体" w:eastAsia="黑体" w:hAnsi="黑体" w:hint="eastAsia"/>
          <w:b/>
          <w:sz w:val="32"/>
          <w:szCs w:val="32"/>
        </w:rPr>
        <w:t>一</w:t>
      </w:r>
      <w:r>
        <w:rPr>
          <w:rStyle w:val="2Char"/>
          <w:rFonts w:ascii="黑体" w:eastAsia="黑体" w:hAnsi="黑体" w:hint="eastAsia"/>
          <w:b w:val="0"/>
        </w:rPr>
        <w:t>般公共预算财政拨款基本支出决算情况说明</w:t>
      </w:r>
      <w:bookmarkEnd w:id="34"/>
      <w:bookmarkEnd w:id="35"/>
      <w:r>
        <w:rPr>
          <w:rStyle w:val="2Char"/>
          <w:rFonts w:ascii="黑体" w:eastAsia="黑体" w:hAnsi="黑体"/>
          <w:b w:val="0"/>
        </w:rPr>
        <w:tab/>
      </w:r>
    </w:p>
    <w:p w:rsidR="0071021A" w:rsidRDefault="0046049C">
      <w:pPr>
        <w:spacing w:line="600" w:lineRule="exact"/>
        <w:ind w:firstLine="645"/>
        <w:rPr>
          <w:rFonts w:ascii="仿宋" w:eastAsia="仿宋" w:hAnsi="仿宋"/>
          <w:sz w:val="32"/>
          <w:szCs w:val="32"/>
        </w:rPr>
      </w:pPr>
      <w:r>
        <w:rPr>
          <w:rFonts w:ascii="仿宋" w:eastAsia="仿宋" w:hAnsi="仿宋" w:hint="eastAsia"/>
          <w:sz w:val="32"/>
          <w:szCs w:val="32"/>
        </w:rPr>
        <w:t>2023年度一般公共预算财政拨款基本支出</w:t>
      </w:r>
      <w:r w:rsidR="0043177C" w:rsidRPr="001E0B1E">
        <w:rPr>
          <w:rFonts w:ascii="仿宋" w:eastAsia="仿宋" w:hAnsi="仿宋"/>
          <w:sz w:val="32"/>
          <w:szCs w:val="32"/>
        </w:rPr>
        <w:t>514.3</w:t>
      </w:r>
      <w:r>
        <w:rPr>
          <w:rFonts w:ascii="仿宋" w:eastAsia="仿宋" w:hAnsi="仿宋" w:hint="eastAsia"/>
          <w:sz w:val="32"/>
          <w:szCs w:val="32"/>
        </w:rPr>
        <w:t>万元，其中：</w:t>
      </w:r>
    </w:p>
    <w:p w:rsidR="0071021A" w:rsidRDefault="0046049C">
      <w:pPr>
        <w:spacing w:line="600" w:lineRule="exact"/>
        <w:ind w:firstLine="645"/>
        <w:rPr>
          <w:rFonts w:ascii="仿宋" w:eastAsia="仿宋" w:hAnsi="仿宋"/>
          <w:sz w:val="32"/>
          <w:szCs w:val="32"/>
        </w:rPr>
      </w:pPr>
      <w:r>
        <w:rPr>
          <w:rFonts w:ascii="仿宋" w:eastAsia="仿宋" w:hAnsi="仿宋" w:hint="eastAsia"/>
          <w:sz w:val="32"/>
          <w:szCs w:val="32"/>
        </w:rPr>
        <w:t>人员经费</w:t>
      </w:r>
      <w:r w:rsidR="0043177C" w:rsidRPr="001E0B1E">
        <w:rPr>
          <w:rFonts w:ascii="仿宋" w:eastAsia="仿宋" w:hAnsi="仿宋"/>
          <w:sz w:val="32"/>
          <w:szCs w:val="32"/>
        </w:rPr>
        <w:t>493.08</w:t>
      </w:r>
      <w:r>
        <w:rPr>
          <w:rFonts w:ascii="仿宋" w:eastAsia="仿宋" w:hAnsi="仿宋" w:hint="eastAsia"/>
          <w:sz w:val="32"/>
          <w:szCs w:val="32"/>
        </w:rPr>
        <w:t>万元，主要包括：</w:t>
      </w:r>
      <w:r w:rsidR="006F3E8C">
        <w:rPr>
          <w:rFonts w:ascii="仿宋" w:eastAsia="仿宋" w:hAnsi="仿宋" w:hint="eastAsia"/>
          <w:sz w:val="32"/>
          <w:szCs w:val="32"/>
        </w:rPr>
        <w:t>基本工资、津贴补贴、奖金、绩效工资、机关事业单位基本养老保险缴费、职业年金缴费、</w:t>
      </w:r>
      <w:r w:rsidR="006F3E8C" w:rsidRPr="00BF226E">
        <w:rPr>
          <w:rFonts w:ascii="仿宋" w:eastAsia="仿宋" w:hAnsi="仿宋" w:hint="eastAsia"/>
          <w:sz w:val="32"/>
          <w:szCs w:val="32"/>
        </w:rPr>
        <w:t>职工基本医疗保险缴费</w:t>
      </w:r>
      <w:r w:rsidR="006F3E8C">
        <w:rPr>
          <w:rFonts w:ascii="仿宋" w:eastAsia="仿宋" w:hAnsi="仿宋" w:hint="eastAsia"/>
          <w:sz w:val="32"/>
          <w:szCs w:val="32"/>
        </w:rPr>
        <w:t>、</w:t>
      </w:r>
      <w:r w:rsidR="006F3E8C" w:rsidRPr="00BF226E">
        <w:rPr>
          <w:rFonts w:ascii="仿宋" w:eastAsia="仿宋" w:hAnsi="仿宋" w:hint="eastAsia"/>
          <w:sz w:val="32"/>
          <w:szCs w:val="32"/>
        </w:rPr>
        <w:t>公务员医疗补助缴费</w:t>
      </w:r>
      <w:r w:rsidR="006F3E8C">
        <w:rPr>
          <w:rFonts w:ascii="仿宋" w:eastAsia="仿宋" w:hAnsi="仿宋" w:hint="eastAsia"/>
          <w:sz w:val="32"/>
          <w:szCs w:val="32"/>
        </w:rPr>
        <w:t>、其他社会保障缴费、其他工资福利支出、抚恤金、生活补助、医疗费补助、奖励金、住房公积金等。</w:t>
      </w:r>
      <w:r>
        <w:rPr>
          <w:rFonts w:ascii="仿宋" w:eastAsia="仿宋" w:hAnsi="仿宋"/>
          <w:sz w:val="32"/>
          <w:szCs w:val="32"/>
        </w:rPr>
        <w:br/>
      </w:r>
      <w:r>
        <w:rPr>
          <w:rFonts w:ascii="仿宋" w:eastAsia="仿宋" w:hAnsi="仿宋" w:hint="eastAsia"/>
          <w:sz w:val="32"/>
          <w:szCs w:val="32"/>
        </w:rPr>
        <w:t xml:space="preserve">　</w:t>
      </w:r>
      <w:r w:rsidR="00800648">
        <w:rPr>
          <w:rFonts w:ascii="仿宋" w:eastAsia="仿宋" w:hAnsi="仿宋" w:hint="eastAsia"/>
          <w:sz w:val="32"/>
          <w:szCs w:val="32"/>
        </w:rPr>
        <w:t xml:space="preserve"> </w:t>
      </w:r>
      <w:r>
        <w:rPr>
          <w:rFonts w:ascii="仿宋" w:eastAsia="仿宋" w:hAnsi="仿宋" w:hint="eastAsia"/>
          <w:sz w:val="32"/>
          <w:szCs w:val="32"/>
        </w:rPr>
        <w:t xml:space="preserve">　公用经费</w:t>
      </w:r>
      <w:r w:rsidR="0043177C" w:rsidRPr="001E0B1E">
        <w:rPr>
          <w:rFonts w:ascii="仿宋" w:eastAsia="仿宋" w:hAnsi="仿宋"/>
          <w:sz w:val="32"/>
          <w:szCs w:val="32"/>
        </w:rPr>
        <w:t>21.22</w:t>
      </w:r>
      <w:r>
        <w:rPr>
          <w:rFonts w:ascii="仿宋" w:eastAsia="仿宋" w:hAnsi="仿宋" w:hint="eastAsia"/>
          <w:sz w:val="32"/>
          <w:szCs w:val="32"/>
        </w:rPr>
        <w:t>万元，主要包括：</w:t>
      </w:r>
      <w:r w:rsidR="006F3E8C">
        <w:rPr>
          <w:rFonts w:ascii="仿宋" w:eastAsia="仿宋" w:hAnsi="仿宋" w:hint="eastAsia"/>
          <w:sz w:val="32"/>
          <w:szCs w:val="32"/>
        </w:rPr>
        <w:t>办公费、水费、电费、邮电费、差旅费、维修（护）费、培训费、委托业务费、</w:t>
      </w:r>
      <w:r w:rsidR="006F3E8C">
        <w:rPr>
          <w:rFonts w:ascii="仿宋" w:eastAsia="仿宋" w:hAnsi="仿宋" w:hint="eastAsia"/>
          <w:sz w:val="32"/>
          <w:szCs w:val="32"/>
        </w:rPr>
        <w:lastRenderedPageBreak/>
        <w:t>工会经费、福利费、其他交通费、税金及附加费用、其他商品和服务支出、专用设备购置等。</w:t>
      </w:r>
    </w:p>
    <w:p w:rsidR="0071021A" w:rsidRDefault="0046049C">
      <w:pPr>
        <w:spacing w:line="600" w:lineRule="exact"/>
        <w:ind w:firstLine="640"/>
        <w:outlineLvl w:val="1"/>
        <w:rPr>
          <w:rStyle w:val="2Char"/>
          <w:rFonts w:ascii="黑体" w:eastAsia="黑体" w:hAnsi="黑体"/>
          <w:b w:val="0"/>
        </w:rPr>
      </w:pPr>
      <w:bookmarkStart w:id="36" w:name="_Toc15377215"/>
      <w:bookmarkStart w:id="37" w:name="_Toc15396609"/>
      <w:r>
        <w:rPr>
          <w:rFonts w:ascii="黑体" w:eastAsia="黑体" w:hint="eastAsia"/>
          <w:sz w:val="32"/>
          <w:szCs w:val="32"/>
        </w:rPr>
        <w:t>七、</w:t>
      </w:r>
      <w:r>
        <w:rPr>
          <w:rStyle w:val="2Char"/>
          <w:rFonts w:ascii="黑体" w:eastAsia="黑体" w:hAnsi="黑体" w:hint="eastAsia"/>
          <w:b w:val="0"/>
        </w:rPr>
        <w:t>财政拨款</w:t>
      </w:r>
      <w:r>
        <w:rPr>
          <w:rStyle w:val="2Char"/>
          <w:rFonts w:ascii="黑体" w:eastAsia="黑体" w:hAnsi="黑体" w:hint="eastAsia"/>
        </w:rPr>
        <w:t>“</w:t>
      </w:r>
      <w:r>
        <w:rPr>
          <w:rStyle w:val="2Char"/>
          <w:rFonts w:ascii="黑体" w:eastAsia="黑体" w:hAnsi="黑体" w:hint="eastAsia"/>
          <w:b w:val="0"/>
        </w:rPr>
        <w:t>三公”经费支出决算情况说明</w:t>
      </w:r>
      <w:bookmarkEnd w:id="36"/>
      <w:bookmarkEnd w:id="37"/>
    </w:p>
    <w:p w:rsidR="0071021A" w:rsidRDefault="0046049C">
      <w:pPr>
        <w:spacing w:line="600" w:lineRule="exact"/>
        <w:ind w:firstLine="640"/>
        <w:outlineLvl w:val="2"/>
        <w:rPr>
          <w:rFonts w:ascii="仿宋" w:eastAsia="仿宋" w:hAnsi="仿宋"/>
          <w:b/>
          <w:sz w:val="32"/>
          <w:szCs w:val="32"/>
        </w:rPr>
      </w:pPr>
      <w:bookmarkStart w:id="38" w:name="_Toc15377216"/>
      <w:r>
        <w:rPr>
          <w:rFonts w:ascii="仿宋" w:eastAsia="仿宋" w:hAnsi="仿宋" w:hint="eastAsia"/>
          <w:b/>
          <w:sz w:val="32"/>
          <w:szCs w:val="32"/>
        </w:rPr>
        <w:t>（一）“三公”经费财政拨款支出决算总体情况说明</w:t>
      </w:r>
      <w:bookmarkEnd w:id="38"/>
    </w:p>
    <w:p w:rsidR="0071021A" w:rsidRDefault="0046049C">
      <w:pPr>
        <w:spacing w:line="600" w:lineRule="exact"/>
        <w:ind w:firstLine="640"/>
        <w:rPr>
          <w:rFonts w:ascii="仿宋" w:eastAsia="仿宋" w:hAnsi="仿宋"/>
          <w:sz w:val="32"/>
          <w:szCs w:val="32"/>
        </w:rPr>
      </w:pPr>
      <w:r>
        <w:rPr>
          <w:rFonts w:ascii="仿宋" w:eastAsia="仿宋" w:hAnsi="仿宋" w:hint="eastAsia"/>
          <w:sz w:val="32"/>
          <w:szCs w:val="32"/>
        </w:rPr>
        <w:t>2023年度“三公”经费财政拨款支出决算为</w:t>
      </w:r>
      <w:r w:rsidR="0043177C" w:rsidRPr="000D7C4D">
        <w:rPr>
          <w:rFonts w:ascii="仿宋" w:eastAsia="仿宋" w:hAnsi="仿宋"/>
          <w:sz w:val="32"/>
          <w:szCs w:val="32"/>
        </w:rPr>
        <w:t>0</w:t>
      </w:r>
      <w:r>
        <w:rPr>
          <w:rFonts w:ascii="仿宋" w:eastAsia="仿宋" w:hAnsi="仿宋" w:hint="eastAsia"/>
          <w:sz w:val="32"/>
          <w:szCs w:val="32"/>
        </w:rPr>
        <w:t>万元，完成预算</w:t>
      </w:r>
      <w:r w:rsidR="0043177C" w:rsidRPr="000D7C4D">
        <w:rPr>
          <w:rFonts w:ascii="仿宋" w:eastAsia="仿宋" w:hAnsi="仿宋"/>
          <w:sz w:val="32"/>
          <w:szCs w:val="32"/>
        </w:rPr>
        <w:t>0</w:t>
      </w:r>
      <w:r>
        <w:rPr>
          <w:rFonts w:ascii="仿宋" w:eastAsia="仿宋" w:hAnsi="仿宋"/>
          <w:sz w:val="32"/>
          <w:szCs w:val="32"/>
        </w:rPr>
        <w:t>%</w:t>
      </w:r>
      <w:r>
        <w:rPr>
          <w:rFonts w:ascii="仿宋" w:eastAsia="仿宋" w:hAnsi="仿宋" w:hint="eastAsia"/>
          <w:sz w:val="32"/>
          <w:szCs w:val="32"/>
        </w:rPr>
        <w:t>，决算数与预算数持平。</w:t>
      </w:r>
    </w:p>
    <w:p w:rsidR="0071021A" w:rsidRDefault="0046049C">
      <w:pPr>
        <w:spacing w:line="600" w:lineRule="exact"/>
        <w:ind w:firstLine="640"/>
        <w:outlineLvl w:val="2"/>
        <w:rPr>
          <w:rFonts w:ascii="仿宋" w:eastAsia="仿宋" w:hAnsi="仿宋"/>
          <w:b/>
          <w:sz w:val="32"/>
          <w:szCs w:val="32"/>
        </w:rPr>
      </w:pPr>
      <w:bookmarkStart w:id="39" w:name="_Toc15377217"/>
      <w:r>
        <w:rPr>
          <w:rFonts w:ascii="仿宋" w:eastAsia="仿宋" w:hAnsi="仿宋" w:hint="eastAsia"/>
          <w:b/>
          <w:sz w:val="32"/>
          <w:szCs w:val="32"/>
        </w:rPr>
        <w:t>（二）“三公”经费财政拨款支出决算具体情况说明</w:t>
      </w:r>
      <w:bookmarkEnd w:id="39"/>
    </w:p>
    <w:p w:rsidR="0071021A" w:rsidRDefault="0046049C">
      <w:pPr>
        <w:spacing w:line="600" w:lineRule="exact"/>
        <w:ind w:firstLine="640"/>
        <w:rPr>
          <w:rFonts w:ascii="仿宋" w:eastAsia="仿宋" w:hAnsi="仿宋"/>
          <w:sz w:val="32"/>
          <w:szCs w:val="32"/>
        </w:rPr>
      </w:pPr>
      <w:r>
        <w:rPr>
          <w:rFonts w:ascii="仿宋" w:eastAsia="仿宋" w:hAnsi="仿宋" w:hint="eastAsia"/>
          <w:sz w:val="32"/>
          <w:szCs w:val="32"/>
        </w:rPr>
        <w:t>2023年度“三公”经费财政拨款支出决算中，因公出国（境）费支出决算</w:t>
      </w:r>
      <w:r w:rsidR="0043177C" w:rsidRPr="000D7C4D">
        <w:rPr>
          <w:rFonts w:ascii="仿宋" w:eastAsia="仿宋" w:hAnsi="仿宋"/>
          <w:sz w:val="32"/>
          <w:szCs w:val="32"/>
        </w:rPr>
        <w:t>0</w:t>
      </w:r>
      <w:r>
        <w:rPr>
          <w:rFonts w:ascii="仿宋" w:eastAsia="仿宋" w:hAnsi="仿宋" w:hint="eastAsia"/>
          <w:sz w:val="32"/>
          <w:szCs w:val="32"/>
        </w:rPr>
        <w:t>万元，占</w:t>
      </w:r>
      <w:r w:rsidR="0043177C" w:rsidRPr="000D7C4D">
        <w:rPr>
          <w:rFonts w:ascii="仿宋" w:eastAsia="仿宋" w:hAnsi="仿宋"/>
          <w:sz w:val="32"/>
          <w:szCs w:val="32"/>
        </w:rPr>
        <w:t>0</w:t>
      </w:r>
      <w:r>
        <w:rPr>
          <w:rFonts w:ascii="仿宋" w:eastAsia="仿宋" w:hAnsi="仿宋"/>
          <w:sz w:val="32"/>
          <w:szCs w:val="32"/>
        </w:rPr>
        <w:t>%</w:t>
      </w:r>
      <w:r>
        <w:rPr>
          <w:rFonts w:ascii="仿宋" w:eastAsia="仿宋" w:hAnsi="仿宋" w:hint="eastAsia"/>
          <w:sz w:val="32"/>
          <w:szCs w:val="32"/>
        </w:rPr>
        <w:t>；公务用车购置及运行维护费支出决算</w:t>
      </w:r>
      <w:r w:rsidR="0043177C" w:rsidRPr="000D7C4D">
        <w:rPr>
          <w:rFonts w:ascii="仿宋" w:eastAsia="仿宋" w:hAnsi="仿宋"/>
          <w:sz w:val="32"/>
          <w:szCs w:val="32"/>
        </w:rPr>
        <w:t>0</w:t>
      </w:r>
      <w:r>
        <w:rPr>
          <w:rFonts w:ascii="仿宋" w:eastAsia="仿宋" w:hAnsi="仿宋" w:hint="eastAsia"/>
          <w:sz w:val="32"/>
          <w:szCs w:val="32"/>
        </w:rPr>
        <w:t>万元，占</w:t>
      </w:r>
      <w:r w:rsidR="0043177C" w:rsidRPr="000D7C4D">
        <w:rPr>
          <w:rFonts w:ascii="仿宋" w:eastAsia="仿宋" w:hAnsi="仿宋"/>
          <w:sz w:val="32"/>
          <w:szCs w:val="32"/>
        </w:rPr>
        <w:t>0</w:t>
      </w:r>
      <w:r>
        <w:rPr>
          <w:rFonts w:ascii="仿宋" w:eastAsia="仿宋" w:hAnsi="仿宋"/>
          <w:sz w:val="32"/>
          <w:szCs w:val="32"/>
        </w:rPr>
        <w:t>%</w:t>
      </w:r>
      <w:r>
        <w:rPr>
          <w:rFonts w:ascii="仿宋" w:eastAsia="仿宋" w:hAnsi="仿宋" w:hint="eastAsia"/>
          <w:sz w:val="32"/>
          <w:szCs w:val="32"/>
        </w:rPr>
        <w:t>；公务接待费支出决算</w:t>
      </w:r>
      <w:r w:rsidR="0043177C" w:rsidRPr="000D7C4D">
        <w:rPr>
          <w:rFonts w:ascii="仿宋" w:eastAsia="仿宋" w:hAnsi="仿宋"/>
          <w:sz w:val="32"/>
          <w:szCs w:val="32"/>
        </w:rPr>
        <w:t>0</w:t>
      </w:r>
      <w:r>
        <w:rPr>
          <w:rFonts w:ascii="仿宋" w:eastAsia="仿宋" w:hAnsi="仿宋" w:hint="eastAsia"/>
          <w:sz w:val="32"/>
          <w:szCs w:val="32"/>
        </w:rPr>
        <w:t>万元，占</w:t>
      </w:r>
      <w:r w:rsidR="0043177C" w:rsidRPr="000D7C4D">
        <w:rPr>
          <w:rFonts w:ascii="仿宋" w:eastAsia="仿宋" w:hAnsi="仿宋"/>
          <w:sz w:val="32"/>
          <w:szCs w:val="32"/>
        </w:rPr>
        <w:t>0</w:t>
      </w:r>
      <w:r>
        <w:rPr>
          <w:rFonts w:ascii="仿宋" w:eastAsia="仿宋" w:hAnsi="仿宋"/>
          <w:sz w:val="32"/>
          <w:szCs w:val="32"/>
        </w:rPr>
        <w:t>%</w:t>
      </w:r>
      <w:r>
        <w:rPr>
          <w:rFonts w:ascii="仿宋" w:eastAsia="仿宋" w:hAnsi="仿宋" w:hint="eastAsia"/>
          <w:sz w:val="32"/>
          <w:szCs w:val="32"/>
        </w:rPr>
        <w:t>。具体情况如下：</w:t>
      </w:r>
    </w:p>
    <w:p w:rsidR="0071021A" w:rsidRDefault="0046049C">
      <w:pPr>
        <w:spacing w:line="600" w:lineRule="exact"/>
        <w:ind w:firstLine="640"/>
        <w:rPr>
          <w:rFonts w:ascii="仿宋_GB2312" w:eastAsia="仿宋_GB2312"/>
          <w:b/>
          <w:sz w:val="32"/>
          <w:szCs w:val="32"/>
        </w:rPr>
      </w:pPr>
      <w:bookmarkStart w:id="40" w:name="_Toc15377218"/>
      <w:bookmarkStart w:id="41" w:name="_Toc15396610"/>
      <w:r w:rsidRPr="000D7C4D">
        <w:rPr>
          <w:rFonts w:ascii="仿宋_GB2312" w:eastAsia="仿宋_GB2312"/>
          <w:sz w:val="32"/>
          <w:szCs w:val="32"/>
        </w:rPr>
        <w:t>1.</w:t>
      </w:r>
      <w:r w:rsidRPr="000D7C4D">
        <w:rPr>
          <w:rFonts w:ascii="仿宋_GB2312" w:eastAsia="仿宋_GB2312" w:hint="eastAsia"/>
          <w:sz w:val="32"/>
          <w:szCs w:val="32"/>
        </w:rPr>
        <w:t>因公出国（境）经费支出</w:t>
      </w:r>
      <w:r w:rsidR="0043177C" w:rsidRPr="000D7C4D">
        <w:rPr>
          <w:rFonts w:ascii="仿宋" w:eastAsia="仿宋" w:hAnsi="仿宋"/>
          <w:sz w:val="32"/>
          <w:szCs w:val="32"/>
        </w:rPr>
        <w:t>0</w:t>
      </w:r>
      <w:r>
        <w:rPr>
          <w:rFonts w:ascii="仿宋_GB2312" w:eastAsia="仿宋_GB2312" w:hint="eastAsia"/>
          <w:sz w:val="32"/>
          <w:szCs w:val="32"/>
        </w:rPr>
        <w:t>万元，</w:t>
      </w:r>
      <w:r>
        <w:rPr>
          <w:rStyle w:val="a8"/>
          <w:rFonts w:ascii="仿宋" w:eastAsia="仿宋" w:hAnsi="仿宋" w:hint="eastAsia"/>
          <w:b w:val="0"/>
          <w:bCs/>
          <w:sz w:val="32"/>
          <w:szCs w:val="32"/>
        </w:rPr>
        <w:t>完成预算</w:t>
      </w:r>
      <w:r w:rsidR="0043177C" w:rsidRPr="000D7C4D">
        <w:rPr>
          <w:rStyle w:val="a8"/>
          <w:rFonts w:ascii="仿宋" w:eastAsia="仿宋" w:hAnsi="仿宋"/>
          <w:b w:val="0"/>
          <w:bCs/>
          <w:sz w:val="32"/>
          <w:szCs w:val="32"/>
        </w:rPr>
        <w:t>0</w:t>
      </w:r>
      <w:r>
        <w:rPr>
          <w:rStyle w:val="a8"/>
          <w:rFonts w:ascii="仿宋" w:eastAsia="仿宋" w:hAnsi="仿宋"/>
          <w:b w:val="0"/>
          <w:bCs/>
          <w:sz w:val="32"/>
          <w:szCs w:val="32"/>
        </w:rPr>
        <w:t>%</w:t>
      </w:r>
      <w:r>
        <w:rPr>
          <w:rStyle w:val="a8"/>
          <w:rFonts w:ascii="仿宋" w:eastAsia="仿宋" w:hAnsi="仿宋" w:hint="eastAsia"/>
          <w:b w:val="0"/>
          <w:bCs/>
          <w:sz w:val="32"/>
          <w:szCs w:val="32"/>
        </w:rPr>
        <w:t>。</w:t>
      </w:r>
      <w:r>
        <w:rPr>
          <w:rFonts w:ascii="仿宋_GB2312" w:eastAsia="仿宋_GB2312" w:hint="eastAsia"/>
          <w:sz w:val="32"/>
          <w:szCs w:val="32"/>
        </w:rPr>
        <w:t>全年安排因公出国（境）团组</w:t>
      </w:r>
      <w:r w:rsidR="008C7FD8" w:rsidRPr="000D7C4D">
        <w:rPr>
          <w:rFonts w:ascii="仿宋_GB2312" w:eastAsia="仿宋_GB2312"/>
          <w:sz w:val="32"/>
          <w:szCs w:val="32"/>
        </w:rPr>
        <w:t>0</w:t>
      </w:r>
      <w:r>
        <w:rPr>
          <w:rFonts w:ascii="仿宋_GB2312" w:eastAsia="仿宋_GB2312" w:hint="eastAsia"/>
          <w:sz w:val="32"/>
          <w:szCs w:val="32"/>
        </w:rPr>
        <w:t>次，出国（境）</w:t>
      </w:r>
      <w:r w:rsidR="008C7FD8" w:rsidRPr="000D7C4D">
        <w:rPr>
          <w:rFonts w:ascii="仿宋_GB2312" w:eastAsia="仿宋_GB2312"/>
          <w:sz w:val="32"/>
          <w:szCs w:val="32"/>
        </w:rPr>
        <w:t>0</w:t>
      </w:r>
      <w:r>
        <w:rPr>
          <w:rFonts w:ascii="仿宋_GB2312" w:eastAsia="仿宋_GB2312" w:hint="eastAsia"/>
          <w:sz w:val="32"/>
          <w:szCs w:val="32"/>
        </w:rPr>
        <w:t>人。因公出国（境）支出决算</w:t>
      </w:r>
      <w:r w:rsidR="006A21EE">
        <w:rPr>
          <w:rFonts w:ascii="仿宋_GB2312" w:eastAsia="仿宋_GB2312" w:hint="eastAsia"/>
          <w:sz w:val="32"/>
          <w:szCs w:val="32"/>
        </w:rPr>
        <w:t>与</w:t>
      </w:r>
      <w:r>
        <w:rPr>
          <w:rFonts w:ascii="仿宋_GB2312" w:eastAsia="仿宋_GB2312" w:hint="eastAsia"/>
          <w:sz w:val="32"/>
          <w:szCs w:val="32"/>
        </w:rPr>
        <w:t>2022年</w:t>
      </w:r>
      <w:r w:rsidR="006A21EE">
        <w:rPr>
          <w:rFonts w:ascii="仿宋_GB2312" w:eastAsia="仿宋_GB2312" w:hint="eastAsia"/>
          <w:sz w:val="32"/>
          <w:szCs w:val="32"/>
        </w:rPr>
        <w:t>持平</w:t>
      </w:r>
      <w:r>
        <w:rPr>
          <w:rFonts w:ascii="仿宋_GB2312" w:eastAsia="仿宋_GB2312" w:hint="eastAsia"/>
          <w:sz w:val="32"/>
          <w:szCs w:val="32"/>
        </w:rPr>
        <w:t>。</w:t>
      </w:r>
    </w:p>
    <w:p w:rsidR="0071021A" w:rsidRPr="000D7C4D" w:rsidRDefault="0046049C">
      <w:pPr>
        <w:spacing w:line="600" w:lineRule="exact"/>
        <w:ind w:firstLine="640"/>
        <w:rPr>
          <w:rFonts w:ascii="仿宋" w:eastAsia="仿宋" w:hAnsi="仿宋"/>
          <w:sz w:val="32"/>
          <w:szCs w:val="32"/>
        </w:rPr>
      </w:pPr>
      <w:r w:rsidRPr="000D7C4D">
        <w:rPr>
          <w:rFonts w:ascii="仿宋_GB2312" w:eastAsia="仿宋_GB2312"/>
          <w:sz w:val="32"/>
          <w:szCs w:val="32"/>
        </w:rPr>
        <w:t>2.</w:t>
      </w:r>
      <w:r w:rsidRPr="000D7C4D">
        <w:rPr>
          <w:rFonts w:ascii="仿宋_GB2312" w:eastAsia="仿宋_GB2312" w:hint="eastAsia"/>
          <w:sz w:val="32"/>
          <w:szCs w:val="32"/>
        </w:rPr>
        <w:t>公务用车购置及运行维护费支出</w:t>
      </w:r>
      <w:r w:rsidR="008C7FD8" w:rsidRPr="000D7C4D">
        <w:rPr>
          <w:rFonts w:ascii="仿宋" w:eastAsia="仿宋" w:hAnsi="仿宋"/>
          <w:sz w:val="32"/>
          <w:szCs w:val="32"/>
        </w:rPr>
        <w:t>0</w:t>
      </w:r>
      <w:r>
        <w:rPr>
          <w:rFonts w:ascii="仿宋_GB2312" w:eastAsia="仿宋_GB2312" w:hint="eastAsia"/>
          <w:sz w:val="32"/>
          <w:szCs w:val="32"/>
        </w:rPr>
        <w:t>万元,</w:t>
      </w:r>
      <w:r>
        <w:rPr>
          <w:rStyle w:val="a8"/>
          <w:rFonts w:ascii="仿宋" w:eastAsia="仿宋" w:hAnsi="仿宋" w:hint="eastAsia"/>
          <w:b w:val="0"/>
          <w:bCs/>
          <w:sz w:val="32"/>
          <w:szCs w:val="32"/>
        </w:rPr>
        <w:t>完成预算</w:t>
      </w:r>
      <w:r w:rsidR="008C7FD8" w:rsidRPr="000D7C4D">
        <w:rPr>
          <w:rStyle w:val="a8"/>
          <w:rFonts w:ascii="仿宋" w:eastAsia="仿宋" w:hAnsi="仿宋"/>
          <w:b w:val="0"/>
          <w:bCs/>
          <w:sz w:val="32"/>
          <w:szCs w:val="32"/>
        </w:rPr>
        <w:t>0</w:t>
      </w:r>
      <w:r>
        <w:rPr>
          <w:rStyle w:val="a8"/>
          <w:rFonts w:ascii="仿宋" w:eastAsia="仿宋" w:hAnsi="仿宋"/>
          <w:b w:val="0"/>
          <w:bCs/>
          <w:sz w:val="32"/>
          <w:szCs w:val="32"/>
        </w:rPr>
        <w:t>%</w:t>
      </w:r>
      <w:r>
        <w:rPr>
          <w:rStyle w:val="a8"/>
          <w:rFonts w:ascii="仿宋" w:eastAsia="仿宋" w:hAnsi="仿宋" w:hint="eastAsia"/>
          <w:b w:val="0"/>
          <w:bCs/>
          <w:sz w:val="32"/>
          <w:szCs w:val="32"/>
        </w:rPr>
        <w:t>。</w:t>
      </w:r>
      <w:r w:rsidRPr="000D7C4D">
        <w:rPr>
          <w:rFonts w:ascii="仿宋" w:eastAsia="仿宋" w:hAnsi="仿宋" w:hint="eastAsia"/>
          <w:sz w:val="32"/>
          <w:szCs w:val="32"/>
        </w:rPr>
        <w:t>公务用车购置及运行维护费支出决算</w:t>
      </w:r>
      <w:r w:rsidR="006A21EE" w:rsidRPr="000D7C4D">
        <w:rPr>
          <w:rFonts w:ascii="仿宋" w:eastAsia="仿宋" w:hAnsi="仿宋" w:hint="eastAsia"/>
          <w:sz w:val="32"/>
          <w:szCs w:val="32"/>
        </w:rPr>
        <w:t>与</w:t>
      </w:r>
      <w:r w:rsidRPr="000D7C4D">
        <w:rPr>
          <w:rFonts w:ascii="仿宋" w:eastAsia="仿宋" w:hAnsi="仿宋" w:hint="eastAsia"/>
          <w:sz w:val="32"/>
          <w:szCs w:val="32"/>
        </w:rPr>
        <w:t>2022年度</w:t>
      </w:r>
      <w:r w:rsidR="006A21EE" w:rsidRPr="000D7C4D">
        <w:rPr>
          <w:rFonts w:ascii="仿宋" w:eastAsia="仿宋" w:hAnsi="仿宋" w:hint="eastAsia"/>
          <w:sz w:val="32"/>
          <w:szCs w:val="32"/>
        </w:rPr>
        <w:t>持平</w:t>
      </w:r>
      <w:r w:rsidRPr="000D7C4D">
        <w:rPr>
          <w:rFonts w:ascii="仿宋" w:eastAsia="仿宋" w:hAnsi="仿宋" w:hint="eastAsia"/>
          <w:sz w:val="32"/>
          <w:szCs w:val="32"/>
        </w:rPr>
        <w:t>。</w:t>
      </w:r>
    </w:p>
    <w:p w:rsidR="0071021A" w:rsidRPr="000D7C4D" w:rsidRDefault="0046049C">
      <w:pPr>
        <w:spacing w:line="600" w:lineRule="exact"/>
        <w:ind w:firstLineChars="200" w:firstLine="640"/>
        <w:rPr>
          <w:rFonts w:ascii="仿宋" w:eastAsia="仿宋" w:hAnsi="仿宋"/>
          <w:sz w:val="32"/>
          <w:szCs w:val="32"/>
        </w:rPr>
      </w:pPr>
      <w:r w:rsidRPr="000D7C4D">
        <w:rPr>
          <w:rFonts w:ascii="仿宋" w:eastAsia="仿宋" w:hAnsi="仿宋" w:hint="eastAsia"/>
          <w:sz w:val="32"/>
          <w:szCs w:val="32"/>
        </w:rPr>
        <w:t>其中：公务用车购置支出</w:t>
      </w:r>
      <w:r w:rsidR="008C7FD8" w:rsidRPr="000D7C4D">
        <w:rPr>
          <w:rFonts w:ascii="仿宋" w:eastAsia="仿宋" w:hAnsi="仿宋"/>
          <w:sz w:val="32"/>
          <w:szCs w:val="32"/>
        </w:rPr>
        <w:t>0</w:t>
      </w:r>
      <w:r w:rsidRPr="000D7C4D">
        <w:rPr>
          <w:rFonts w:ascii="仿宋" w:eastAsia="仿宋" w:hAnsi="仿宋" w:hint="eastAsia"/>
          <w:sz w:val="32"/>
          <w:szCs w:val="32"/>
        </w:rPr>
        <w:t>万元。全年按规定更新购置公务用车</w:t>
      </w:r>
      <w:r w:rsidR="006A21EE" w:rsidRPr="000D7C4D">
        <w:rPr>
          <w:rFonts w:ascii="仿宋" w:eastAsia="仿宋" w:hAnsi="仿宋" w:hint="eastAsia"/>
          <w:sz w:val="32"/>
          <w:szCs w:val="32"/>
        </w:rPr>
        <w:t>0</w:t>
      </w:r>
      <w:r w:rsidRPr="000D7C4D">
        <w:rPr>
          <w:rFonts w:ascii="仿宋" w:eastAsia="仿宋" w:hAnsi="仿宋" w:hint="eastAsia"/>
          <w:sz w:val="32"/>
          <w:szCs w:val="32"/>
        </w:rPr>
        <w:t>辆，其中：轿车</w:t>
      </w:r>
      <w:r w:rsidR="006A21EE" w:rsidRPr="000D7C4D">
        <w:rPr>
          <w:rFonts w:ascii="仿宋" w:eastAsia="仿宋" w:hAnsi="仿宋" w:hint="eastAsia"/>
          <w:sz w:val="32"/>
          <w:szCs w:val="32"/>
        </w:rPr>
        <w:t>0</w:t>
      </w:r>
      <w:r w:rsidRPr="000D7C4D">
        <w:rPr>
          <w:rFonts w:ascii="仿宋" w:eastAsia="仿宋" w:hAnsi="仿宋" w:hint="eastAsia"/>
          <w:sz w:val="32"/>
          <w:szCs w:val="32"/>
        </w:rPr>
        <w:t>辆、金额</w:t>
      </w:r>
      <w:r w:rsidR="006A21EE" w:rsidRPr="000D7C4D">
        <w:rPr>
          <w:rFonts w:ascii="仿宋" w:eastAsia="仿宋" w:hAnsi="仿宋" w:hint="eastAsia"/>
          <w:sz w:val="32"/>
          <w:szCs w:val="32"/>
        </w:rPr>
        <w:t>0</w:t>
      </w:r>
      <w:r w:rsidRPr="000D7C4D">
        <w:rPr>
          <w:rFonts w:ascii="仿宋" w:eastAsia="仿宋" w:hAnsi="仿宋" w:hint="eastAsia"/>
          <w:sz w:val="32"/>
          <w:szCs w:val="32"/>
        </w:rPr>
        <w:t>万元，越野车</w:t>
      </w:r>
      <w:r w:rsidR="006A21EE" w:rsidRPr="000D7C4D">
        <w:rPr>
          <w:rFonts w:ascii="仿宋" w:eastAsia="仿宋" w:hAnsi="仿宋" w:hint="eastAsia"/>
          <w:sz w:val="32"/>
          <w:szCs w:val="32"/>
        </w:rPr>
        <w:t>0</w:t>
      </w:r>
      <w:r w:rsidRPr="000D7C4D">
        <w:rPr>
          <w:rFonts w:ascii="仿宋" w:eastAsia="仿宋" w:hAnsi="仿宋" w:hint="eastAsia"/>
          <w:sz w:val="32"/>
          <w:szCs w:val="32"/>
        </w:rPr>
        <w:t>辆、金额</w:t>
      </w:r>
      <w:r w:rsidR="006A21EE" w:rsidRPr="000D7C4D">
        <w:rPr>
          <w:rFonts w:ascii="仿宋" w:eastAsia="仿宋" w:hAnsi="仿宋" w:hint="eastAsia"/>
          <w:sz w:val="32"/>
          <w:szCs w:val="32"/>
        </w:rPr>
        <w:t>0</w:t>
      </w:r>
      <w:r w:rsidRPr="000D7C4D">
        <w:rPr>
          <w:rFonts w:ascii="仿宋" w:eastAsia="仿宋" w:hAnsi="仿宋" w:hint="eastAsia"/>
          <w:sz w:val="32"/>
          <w:szCs w:val="32"/>
        </w:rPr>
        <w:t>万元，载客汽车</w:t>
      </w:r>
      <w:r w:rsidR="006A21EE" w:rsidRPr="000D7C4D">
        <w:rPr>
          <w:rFonts w:ascii="仿宋" w:eastAsia="仿宋" w:hAnsi="仿宋" w:hint="eastAsia"/>
          <w:sz w:val="32"/>
          <w:szCs w:val="32"/>
        </w:rPr>
        <w:t>0</w:t>
      </w:r>
      <w:r w:rsidRPr="000D7C4D">
        <w:rPr>
          <w:rFonts w:ascii="仿宋" w:eastAsia="仿宋" w:hAnsi="仿宋" w:hint="eastAsia"/>
          <w:sz w:val="32"/>
          <w:szCs w:val="32"/>
        </w:rPr>
        <w:t>辆、金额</w:t>
      </w:r>
      <w:r w:rsidR="006A21EE" w:rsidRPr="000D7C4D">
        <w:rPr>
          <w:rFonts w:ascii="仿宋" w:eastAsia="仿宋" w:hAnsi="仿宋" w:hint="eastAsia"/>
          <w:sz w:val="32"/>
          <w:szCs w:val="32"/>
        </w:rPr>
        <w:t>0</w:t>
      </w:r>
      <w:r w:rsidRPr="000D7C4D">
        <w:rPr>
          <w:rFonts w:ascii="仿宋" w:eastAsia="仿宋" w:hAnsi="仿宋" w:hint="eastAsia"/>
          <w:sz w:val="32"/>
          <w:szCs w:val="32"/>
        </w:rPr>
        <w:t>万元。截至2023年</w:t>
      </w:r>
      <w:r w:rsidRPr="000D7C4D">
        <w:rPr>
          <w:rFonts w:ascii="仿宋" w:eastAsia="仿宋" w:hAnsi="仿宋"/>
          <w:sz w:val="32"/>
          <w:szCs w:val="32"/>
        </w:rPr>
        <w:t>12</w:t>
      </w:r>
      <w:r w:rsidRPr="000D7C4D">
        <w:rPr>
          <w:rFonts w:ascii="仿宋" w:eastAsia="仿宋" w:hAnsi="仿宋" w:hint="eastAsia"/>
          <w:sz w:val="32"/>
          <w:szCs w:val="32"/>
        </w:rPr>
        <w:t>月31日，单位共有公务用车</w:t>
      </w:r>
      <w:r w:rsidR="006A21EE" w:rsidRPr="000D7C4D">
        <w:rPr>
          <w:rFonts w:ascii="仿宋" w:eastAsia="仿宋" w:hAnsi="仿宋" w:hint="eastAsia"/>
          <w:sz w:val="32"/>
          <w:szCs w:val="32"/>
        </w:rPr>
        <w:t>0</w:t>
      </w:r>
      <w:r w:rsidRPr="000D7C4D">
        <w:rPr>
          <w:rFonts w:ascii="仿宋" w:eastAsia="仿宋" w:hAnsi="仿宋" w:hint="eastAsia"/>
          <w:sz w:val="32"/>
          <w:szCs w:val="32"/>
        </w:rPr>
        <w:t>辆，其中：轿车</w:t>
      </w:r>
      <w:r w:rsidR="006A21EE" w:rsidRPr="000D7C4D">
        <w:rPr>
          <w:rFonts w:ascii="仿宋" w:eastAsia="仿宋" w:hAnsi="仿宋" w:hint="eastAsia"/>
          <w:sz w:val="32"/>
          <w:szCs w:val="32"/>
        </w:rPr>
        <w:t>0</w:t>
      </w:r>
      <w:r w:rsidRPr="000D7C4D">
        <w:rPr>
          <w:rFonts w:ascii="仿宋" w:eastAsia="仿宋" w:hAnsi="仿宋" w:hint="eastAsia"/>
          <w:sz w:val="32"/>
          <w:szCs w:val="32"/>
        </w:rPr>
        <w:t>辆、越野车</w:t>
      </w:r>
      <w:r w:rsidR="006A21EE" w:rsidRPr="000D7C4D">
        <w:rPr>
          <w:rFonts w:ascii="仿宋" w:eastAsia="仿宋" w:hAnsi="仿宋" w:hint="eastAsia"/>
          <w:sz w:val="32"/>
          <w:szCs w:val="32"/>
        </w:rPr>
        <w:t>0</w:t>
      </w:r>
      <w:r w:rsidRPr="000D7C4D">
        <w:rPr>
          <w:rFonts w:ascii="仿宋" w:eastAsia="仿宋" w:hAnsi="仿宋" w:hint="eastAsia"/>
          <w:sz w:val="32"/>
          <w:szCs w:val="32"/>
        </w:rPr>
        <w:t>辆、载客汽车</w:t>
      </w:r>
      <w:r w:rsidR="006A21EE" w:rsidRPr="000D7C4D">
        <w:rPr>
          <w:rFonts w:ascii="仿宋" w:eastAsia="仿宋" w:hAnsi="仿宋" w:hint="eastAsia"/>
          <w:sz w:val="32"/>
          <w:szCs w:val="32"/>
        </w:rPr>
        <w:t>0</w:t>
      </w:r>
      <w:r w:rsidRPr="000D7C4D">
        <w:rPr>
          <w:rFonts w:ascii="仿宋" w:eastAsia="仿宋" w:hAnsi="仿宋" w:hint="eastAsia"/>
          <w:sz w:val="32"/>
          <w:szCs w:val="32"/>
        </w:rPr>
        <w:t>辆。</w:t>
      </w:r>
    </w:p>
    <w:p w:rsidR="0071021A" w:rsidRPr="000D7C4D" w:rsidRDefault="0046049C">
      <w:pPr>
        <w:spacing w:line="600" w:lineRule="exact"/>
        <w:ind w:firstLine="640"/>
        <w:rPr>
          <w:rFonts w:ascii="仿宋" w:eastAsia="仿宋" w:hAnsi="仿宋"/>
          <w:sz w:val="32"/>
          <w:szCs w:val="32"/>
        </w:rPr>
      </w:pPr>
      <w:r w:rsidRPr="000D7C4D">
        <w:rPr>
          <w:rFonts w:ascii="仿宋" w:eastAsia="仿宋" w:hAnsi="仿宋" w:hint="eastAsia"/>
          <w:sz w:val="32"/>
          <w:szCs w:val="32"/>
        </w:rPr>
        <w:t>公务用车运行维护费支出</w:t>
      </w:r>
      <w:r w:rsidR="008C7FD8" w:rsidRPr="000D7C4D">
        <w:rPr>
          <w:rFonts w:ascii="仿宋" w:eastAsia="仿宋" w:hAnsi="仿宋"/>
          <w:sz w:val="32"/>
          <w:szCs w:val="32"/>
        </w:rPr>
        <w:t>0</w:t>
      </w:r>
      <w:r w:rsidRPr="000D7C4D">
        <w:rPr>
          <w:rFonts w:ascii="仿宋" w:eastAsia="仿宋" w:hAnsi="仿宋" w:hint="eastAsia"/>
          <w:sz w:val="32"/>
          <w:szCs w:val="32"/>
        </w:rPr>
        <w:t>万元。</w:t>
      </w:r>
    </w:p>
    <w:p w:rsidR="0071021A" w:rsidRPr="000D7C4D" w:rsidRDefault="0046049C">
      <w:pPr>
        <w:spacing w:line="600" w:lineRule="exact"/>
        <w:ind w:firstLine="640"/>
        <w:rPr>
          <w:rFonts w:ascii="仿宋" w:eastAsia="仿宋" w:hAnsi="仿宋"/>
          <w:sz w:val="32"/>
          <w:szCs w:val="32"/>
        </w:rPr>
      </w:pPr>
      <w:r w:rsidRPr="000D7C4D">
        <w:rPr>
          <w:rFonts w:ascii="仿宋" w:eastAsia="仿宋" w:hAnsi="仿宋"/>
          <w:sz w:val="32"/>
          <w:szCs w:val="32"/>
        </w:rPr>
        <w:t>3.</w:t>
      </w:r>
      <w:r w:rsidRPr="000D7C4D">
        <w:rPr>
          <w:rFonts w:ascii="仿宋" w:eastAsia="仿宋" w:hAnsi="仿宋" w:hint="eastAsia"/>
          <w:sz w:val="32"/>
          <w:szCs w:val="32"/>
        </w:rPr>
        <w:t>公务接待费支出</w:t>
      </w:r>
      <w:r w:rsidR="008C7FD8" w:rsidRPr="000D7C4D">
        <w:rPr>
          <w:rFonts w:ascii="仿宋" w:eastAsia="仿宋" w:hAnsi="仿宋"/>
          <w:sz w:val="32"/>
          <w:szCs w:val="32"/>
        </w:rPr>
        <w:t>0</w:t>
      </w:r>
      <w:r w:rsidRPr="000D7C4D">
        <w:rPr>
          <w:rFonts w:ascii="仿宋" w:eastAsia="仿宋" w:hAnsi="仿宋" w:hint="eastAsia"/>
          <w:sz w:val="32"/>
          <w:szCs w:val="32"/>
        </w:rPr>
        <w:t>万元，完成预算</w:t>
      </w:r>
      <w:r w:rsidR="008C7FD8" w:rsidRPr="000D7C4D">
        <w:rPr>
          <w:rFonts w:ascii="仿宋" w:eastAsia="仿宋" w:hAnsi="仿宋"/>
          <w:sz w:val="32"/>
          <w:szCs w:val="32"/>
        </w:rPr>
        <w:t>0</w:t>
      </w:r>
      <w:r w:rsidRPr="000D7C4D">
        <w:rPr>
          <w:rFonts w:ascii="仿宋" w:eastAsia="仿宋" w:hAnsi="仿宋"/>
          <w:sz w:val="32"/>
          <w:szCs w:val="32"/>
        </w:rPr>
        <w:t>%</w:t>
      </w:r>
      <w:r w:rsidRPr="000D7C4D">
        <w:rPr>
          <w:rFonts w:ascii="仿宋" w:eastAsia="仿宋" w:hAnsi="仿宋" w:hint="eastAsia"/>
          <w:sz w:val="32"/>
          <w:szCs w:val="32"/>
        </w:rPr>
        <w:t>。公务接待费支</w:t>
      </w:r>
      <w:r w:rsidRPr="000D7C4D">
        <w:rPr>
          <w:rFonts w:ascii="仿宋" w:eastAsia="仿宋" w:hAnsi="仿宋" w:hint="eastAsia"/>
          <w:sz w:val="32"/>
          <w:szCs w:val="32"/>
        </w:rPr>
        <w:lastRenderedPageBreak/>
        <w:t>出决算</w:t>
      </w:r>
      <w:r w:rsidR="006A21EE" w:rsidRPr="000D7C4D">
        <w:rPr>
          <w:rFonts w:ascii="仿宋" w:eastAsia="仿宋" w:hAnsi="仿宋" w:hint="eastAsia"/>
          <w:sz w:val="32"/>
          <w:szCs w:val="32"/>
        </w:rPr>
        <w:t>与</w:t>
      </w:r>
      <w:r w:rsidRPr="000D7C4D">
        <w:rPr>
          <w:rFonts w:ascii="仿宋" w:eastAsia="仿宋" w:hAnsi="仿宋" w:hint="eastAsia"/>
          <w:sz w:val="32"/>
          <w:szCs w:val="32"/>
        </w:rPr>
        <w:t>2022年度</w:t>
      </w:r>
      <w:r w:rsidR="006A21EE" w:rsidRPr="000D7C4D">
        <w:rPr>
          <w:rFonts w:ascii="仿宋" w:eastAsia="仿宋" w:hAnsi="仿宋" w:hint="eastAsia"/>
          <w:sz w:val="32"/>
          <w:szCs w:val="32"/>
        </w:rPr>
        <w:t>持平</w:t>
      </w:r>
      <w:r w:rsidRPr="000D7C4D">
        <w:rPr>
          <w:rFonts w:ascii="仿宋" w:eastAsia="仿宋" w:hAnsi="仿宋" w:hint="eastAsia"/>
          <w:sz w:val="32"/>
          <w:szCs w:val="32"/>
        </w:rPr>
        <w:t>。其中：</w:t>
      </w:r>
    </w:p>
    <w:p w:rsidR="0071021A" w:rsidRPr="000D7C4D" w:rsidRDefault="0046049C">
      <w:pPr>
        <w:spacing w:line="600" w:lineRule="exact"/>
        <w:ind w:firstLine="640"/>
        <w:rPr>
          <w:rFonts w:ascii="仿宋" w:eastAsia="仿宋" w:hAnsi="仿宋"/>
          <w:sz w:val="32"/>
          <w:szCs w:val="32"/>
        </w:rPr>
      </w:pPr>
      <w:r w:rsidRPr="000D7C4D">
        <w:rPr>
          <w:rFonts w:ascii="仿宋" w:eastAsia="仿宋" w:hAnsi="仿宋" w:hint="eastAsia"/>
          <w:sz w:val="32"/>
          <w:szCs w:val="32"/>
        </w:rPr>
        <w:t>国内公务接待支出</w:t>
      </w:r>
      <w:r w:rsidR="008C7FD8" w:rsidRPr="000D7C4D">
        <w:rPr>
          <w:rFonts w:ascii="仿宋" w:eastAsia="仿宋" w:hAnsi="仿宋"/>
          <w:sz w:val="32"/>
          <w:szCs w:val="32"/>
        </w:rPr>
        <w:t>0</w:t>
      </w:r>
      <w:r w:rsidRPr="000D7C4D">
        <w:rPr>
          <w:rFonts w:ascii="仿宋" w:eastAsia="仿宋" w:hAnsi="仿宋" w:hint="eastAsia"/>
          <w:sz w:val="32"/>
          <w:szCs w:val="32"/>
        </w:rPr>
        <w:t>万元。国内公务接待</w:t>
      </w:r>
      <w:r w:rsidR="006A21EE" w:rsidRPr="000D7C4D">
        <w:rPr>
          <w:rFonts w:ascii="仿宋" w:eastAsia="仿宋" w:hAnsi="仿宋" w:hint="eastAsia"/>
          <w:sz w:val="32"/>
          <w:szCs w:val="32"/>
        </w:rPr>
        <w:t>0</w:t>
      </w:r>
      <w:r w:rsidRPr="000D7C4D">
        <w:rPr>
          <w:rFonts w:ascii="仿宋" w:eastAsia="仿宋" w:hAnsi="仿宋" w:hint="eastAsia"/>
          <w:sz w:val="32"/>
          <w:szCs w:val="32"/>
        </w:rPr>
        <w:t>批次，</w:t>
      </w:r>
      <w:r w:rsidR="006A21EE" w:rsidRPr="000D7C4D">
        <w:rPr>
          <w:rFonts w:ascii="仿宋" w:eastAsia="仿宋" w:hAnsi="仿宋" w:hint="eastAsia"/>
          <w:sz w:val="32"/>
          <w:szCs w:val="32"/>
        </w:rPr>
        <w:t>0</w:t>
      </w:r>
      <w:r w:rsidRPr="000D7C4D">
        <w:rPr>
          <w:rFonts w:ascii="仿宋" w:eastAsia="仿宋" w:hAnsi="仿宋" w:hint="eastAsia"/>
          <w:sz w:val="32"/>
          <w:szCs w:val="32"/>
        </w:rPr>
        <w:t>人次（不包括陪同人员），共计支出</w:t>
      </w:r>
      <w:r w:rsidR="006A21EE" w:rsidRPr="000D7C4D">
        <w:rPr>
          <w:rFonts w:ascii="仿宋" w:eastAsia="仿宋" w:hAnsi="仿宋" w:hint="eastAsia"/>
          <w:sz w:val="32"/>
          <w:szCs w:val="32"/>
        </w:rPr>
        <w:t>0</w:t>
      </w:r>
      <w:r w:rsidRPr="000D7C4D">
        <w:rPr>
          <w:rFonts w:ascii="仿宋" w:eastAsia="仿宋" w:hAnsi="仿宋" w:hint="eastAsia"/>
          <w:sz w:val="32"/>
          <w:szCs w:val="32"/>
        </w:rPr>
        <w:t>万元。</w:t>
      </w:r>
    </w:p>
    <w:p w:rsidR="0071021A" w:rsidRPr="000D7C4D" w:rsidRDefault="0046049C" w:rsidP="000D7C4D">
      <w:pPr>
        <w:spacing w:line="600" w:lineRule="exact"/>
        <w:ind w:firstLineChars="200" w:firstLine="640"/>
        <w:rPr>
          <w:rFonts w:ascii="仿宋" w:eastAsia="仿宋" w:hAnsi="仿宋"/>
          <w:sz w:val="32"/>
          <w:szCs w:val="32"/>
        </w:rPr>
      </w:pPr>
      <w:r w:rsidRPr="000D7C4D">
        <w:rPr>
          <w:rFonts w:ascii="仿宋" w:eastAsia="仿宋" w:hAnsi="仿宋" w:hint="eastAsia"/>
          <w:sz w:val="32"/>
          <w:szCs w:val="32"/>
        </w:rPr>
        <w:t>外事接待支出</w:t>
      </w:r>
      <w:r w:rsidR="008C7FD8" w:rsidRPr="000D7C4D">
        <w:rPr>
          <w:rFonts w:ascii="仿宋" w:eastAsia="仿宋" w:hAnsi="仿宋"/>
          <w:sz w:val="32"/>
          <w:szCs w:val="32"/>
        </w:rPr>
        <w:t>0</w:t>
      </w:r>
      <w:r w:rsidRPr="000D7C4D">
        <w:rPr>
          <w:rFonts w:ascii="仿宋" w:eastAsia="仿宋" w:hAnsi="仿宋" w:hint="eastAsia"/>
          <w:sz w:val="32"/>
          <w:szCs w:val="32"/>
        </w:rPr>
        <w:t>万元。外事接待</w:t>
      </w:r>
      <w:r w:rsidR="006A21EE" w:rsidRPr="000D7C4D">
        <w:rPr>
          <w:rFonts w:ascii="仿宋" w:eastAsia="仿宋" w:hAnsi="仿宋" w:hint="eastAsia"/>
          <w:sz w:val="32"/>
          <w:szCs w:val="32"/>
        </w:rPr>
        <w:t>0</w:t>
      </w:r>
      <w:r w:rsidRPr="000D7C4D">
        <w:rPr>
          <w:rFonts w:ascii="仿宋" w:eastAsia="仿宋" w:hAnsi="仿宋" w:hint="eastAsia"/>
          <w:sz w:val="32"/>
          <w:szCs w:val="32"/>
        </w:rPr>
        <w:t>批次，</w:t>
      </w:r>
      <w:r w:rsidR="006A21EE" w:rsidRPr="000D7C4D">
        <w:rPr>
          <w:rFonts w:ascii="仿宋" w:eastAsia="仿宋" w:hAnsi="仿宋" w:hint="eastAsia"/>
          <w:sz w:val="32"/>
          <w:szCs w:val="32"/>
        </w:rPr>
        <w:t>0</w:t>
      </w:r>
      <w:r w:rsidRPr="000D7C4D">
        <w:rPr>
          <w:rFonts w:ascii="仿宋" w:eastAsia="仿宋" w:hAnsi="仿宋" w:hint="eastAsia"/>
          <w:sz w:val="32"/>
          <w:szCs w:val="32"/>
        </w:rPr>
        <w:t>人次（不包括陪同人员），共计支出</w:t>
      </w:r>
      <w:r w:rsidR="006A21EE" w:rsidRPr="000D7C4D">
        <w:rPr>
          <w:rFonts w:ascii="仿宋" w:eastAsia="仿宋" w:hAnsi="仿宋" w:hint="eastAsia"/>
          <w:sz w:val="32"/>
          <w:szCs w:val="32"/>
        </w:rPr>
        <w:t>0</w:t>
      </w:r>
      <w:r w:rsidRPr="000D7C4D">
        <w:rPr>
          <w:rFonts w:ascii="仿宋" w:eastAsia="仿宋" w:hAnsi="仿宋" w:hint="eastAsia"/>
          <w:sz w:val="32"/>
          <w:szCs w:val="32"/>
        </w:rPr>
        <w:t>万元。</w:t>
      </w:r>
    </w:p>
    <w:p w:rsidR="0071021A" w:rsidRDefault="0046049C">
      <w:pPr>
        <w:spacing w:line="600" w:lineRule="exact"/>
        <w:ind w:firstLine="640"/>
        <w:outlineLvl w:val="1"/>
        <w:rPr>
          <w:rStyle w:val="2Char"/>
          <w:rFonts w:ascii="黑体" w:eastAsia="黑体" w:hAnsi="黑体"/>
        </w:rPr>
      </w:pPr>
      <w:r>
        <w:rPr>
          <w:rFonts w:ascii="黑体" w:eastAsia="黑体" w:hint="eastAsia"/>
          <w:sz w:val="32"/>
          <w:szCs w:val="32"/>
        </w:rPr>
        <w:t>八、</w:t>
      </w:r>
      <w:r>
        <w:rPr>
          <w:rStyle w:val="2Char"/>
          <w:rFonts w:ascii="黑体" w:eastAsia="黑体" w:hAnsi="黑体" w:hint="eastAsia"/>
          <w:b w:val="0"/>
        </w:rPr>
        <w:t>政府性基金预算支出决算情况说明</w:t>
      </w:r>
      <w:bookmarkEnd w:id="40"/>
      <w:bookmarkEnd w:id="41"/>
    </w:p>
    <w:p w:rsidR="0071021A" w:rsidRPr="000D7C4D" w:rsidRDefault="0046049C">
      <w:pPr>
        <w:spacing w:line="600" w:lineRule="exact"/>
        <w:ind w:firstLine="640"/>
        <w:rPr>
          <w:rFonts w:ascii="仿宋" w:eastAsia="仿宋" w:hAnsi="仿宋"/>
          <w:sz w:val="32"/>
          <w:szCs w:val="32"/>
        </w:rPr>
      </w:pPr>
      <w:r w:rsidRPr="000D7C4D">
        <w:rPr>
          <w:rFonts w:ascii="仿宋" w:eastAsia="仿宋" w:hAnsi="仿宋" w:hint="eastAsia"/>
          <w:sz w:val="32"/>
          <w:szCs w:val="32"/>
        </w:rPr>
        <w:t>2023年度政府性基金预算财政拨款支出</w:t>
      </w:r>
      <w:r w:rsidR="008C7FD8" w:rsidRPr="000D7C4D">
        <w:rPr>
          <w:rFonts w:ascii="仿宋" w:eastAsia="仿宋" w:hAnsi="仿宋"/>
          <w:sz w:val="32"/>
          <w:szCs w:val="32"/>
        </w:rPr>
        <w:t>0</w:t>
      </w:r>
      <w:r w:rsidRPr="000D7C4D">
        <w:rPr>
          <w:rFonts w:ascii="仿宋" w:eastAsia="仿宋" w:hAnsi="仿宋" w:hint="eastAsia"/>
          <w:sz w:val="32"/>
          <w:szCs w:val="32"/>
        </w:rPr>
        <w:t>万元。</w:t>
      </w:r>
    </w:p>
    <w:p w:rsidR="0071021A" w:rsidRDefault="0046049C">
      <w:pPr>
        <w:numPr>
          <w:ilvl w:val="0"/>
          <w:numId w:val="3"/>
        </w:numPr>
        <w:spacing w:line="600" w:lineRule="exact"/>
        <w:ind w:firstLine="640"/>
        <w:outlineLvl w:val="1"/>
        <w:rPr>
          <w:rStyle w:val="2Char"/>
          <w:rFonts w:ascii="黑体" w:eastAsia="黑体" w:hAnsi="黑体"/>
          <w:b w:val="0"/>
        </w:rPr>
      </w:pPr>
      <w:bookmarkStart w:id="42" w:name="_Toc15396611"/>
      <w:bookmarkStart w:id="43" w:name="_Toc15377219"/>
      <w:r>
        <w:rPr>
          <w:rStyle w:val="2Char"/>
          <w:rFonts w:ascii="黑体" w:eastAsia="黑体" w:hAnsi="黑体" w:hint="eastAsia"/>
          <w:b w:val="0"/>
        </w:rPr>
        <w:t>国有资本经营预算支出决算情况说明</w:t>
      </w:r>
      <w:bookmarkEnd w:id="42"/>
      <w:bookmarkEnd w:id="43"/>
    </w:p>
    <w:p w:rsidR="0071021A" w:rsidRPr="000D7C4D" w:rsidRDefault="0046049C">
      <w:pPr>
        <w:spacing w:line="600" w:lineRule="exact"/>
        <w:ind w:firstLine="640"/>
        <w:rPr>
          <w:rFonts w:ascii="仿宋" w:eastAsia="仿宋" w:hAnsi="仿宋"/>
          <w:sz w:val="32"/>
          <w:szCs w:val="32"/>
        </w:rPr>
      </w:pPr>
      <w:r w:rsidRPr="000D7C4D">
        <w:rPr>
          <w:rFonts w:ascii="仿宋" w:eastAsia="仿宋" w:hAnsi="仿宋" w:hint="eastAsia"/>
          <w:sz w:val="32"/>
          <w:szCs w:val="32"/>
        </w:rPr>
        <w:t>2023年度国有资本经营预算财政拨款支出</w:t>
      </w:r>
      <w:r w:rsidR="008C7FD8" w:rsidRPr="000D7C4D">
        <w:rPr>
          <w:rFonts w:ascii="仿宋" w:eastAsia="仿宋" w:hAnsi="仿宋"/>
          <w:sz w:val="32"/>
          <w:szCs w:val="32"/>
        </w:rPr>
        <w:t>0</w:t>
      </w:r>
      <w:r w:rsidRPr="000D7C4D">
        <w:rPr>
          <w:rFonts w:ascii="仿宋" w:eastAsia="仿宋" w:hAnsi="仿宋" w:hint="eastAsia"/>
          <w:sz w:val="32"/>
          <w:szCs w:val="32"/>
        </w:rPr>
        <w:t>万元。</w:t>
      </w:r>
    </w:p>
    <w:p w:rsidR="0071021A" w:rsidRDefault="0046049C">
      <w:pPr>
        <w:numPr>
          <w:ilvl w:val="0"/>
          <w:numId w:val="3"/>
        </w:numPr>
        <w:spacing w:line="600" w:lineRule="exact"/>
        <w:ind w:firstLine="640"/>
        <w:outlineLvl w:val="1"/>
        <w:rPr>
          <w:rStyle w:val="2Char"/>
          <w:rFonts w:ascii="黑体" w:eastAsia="黑体" w:hAnsi="黑体"/>
          <w:b w:val="0"/>
        </w:rPr>
      </w:pPr>
      <w:bookmarkStart w:id="44" w:name="_Toc15377221"/>
      <w:bookmarkStart w:id="45" w:name="_Toc15396612"/>
      <w:r>
        <w:rPr>
          <w:rStyle w:val="2Char"/>
          <w:rFonts w:ascii="黑体" w:eastAsia="黑体" w:hAnsi="黑体" w:hint="eastAsia"/>
          <w:b w:val="0"/>
        </w:rPr>
        <w:t>其他重要事项的情况说明</w:t>
      </w:r>
      <w:bookmarkEnd w:id="44"/>
      <w:bookmarkEnd w:id="45"/>
    </w:p>
    <w:p w:rsidR="0071021A" w:rsidRDefault="0046049C">
      <w:pPr>
        <w:spacing w:line="600" w:lineRule="exact"/>
        <w:ind w:firstLineChars="200" w:firstLine="643"/>
        <w:outlineLvl w:val="2"/>
        <w:rPr>
          <w:rFonts w:ascii="仿宋" w:eastAsia="仿宋" w:hAnsi="仿宋"/>
          <w:sz w:val="32"/>
          <w:szCs w:val="32"/>
        </w:rPr>
      </w:pPr>
      <w:bookmarkStart w:id="46" w:name="_Toc15377222"/>
      <w:r>
        <w:rPr>
          <w:rFonts w:ascii="仿宋" w:eastAsia="仿宋" w:hAnsi="仿宋" w:hint="eastAsia"/>
          <w:b/>
          <w:sz w:val="32"/>
          <w:szCs w:val="32"/>
        </w:rPr>
        <w:t>（一）机关运行经费支出情况</w:t>
      </w:r>
      <w:bookmarkEnd w:id="46"/>
    </w:p>
    <w:p w:rsidR="0071021A" w:rsidRPr="000D7C4D" w:rsidRDefault="0046049C">
      <w:pPr>
        <w:spacing w:line="600" w:lineRule="exact"/>
        <w:ind w:firstLineChars="200" w:firstLine="640"/>
        <w:rPr>
          <w:rFonts w:ascii="仿宋" w:eastAsia="仿宋" w:hAnsi="仿宋"/>
          <w:sz w:val="32"/>
          <w:szCs w:val="32"/>
        </w:rPr>
      </w:pPr>
      <w:r w:rsidRPr="000D7C4D">
        <w:rPr>
          <w:rFonts w:ascii="仿宋" w:eastAsia="仿宋" w:hAnsi="仿宋" w:hint="eastAsia"/>
          <w:sz w:val="32"/>
          <w:szCs w:val="32"/>
        </w:rPr>
        <w:t>2023年度，</w:t>
      </w:r>
      <w:r w:rsidR="008C7FD8" w:rsidRPr="000D7C4D">
        <w:rPr>
          <w:rFonts w:ascii="仿宋" w:eastAsia="仿宋" w:hAnsi="仿宋"/>
          <w:sz w:val="32"/>
          <w:szCs w:val="32"/>
        </w:rPr>
        <w:t>盐边县融媒体中心</w:t>
      </w:r>
      <w:r w:rsidRPr="000D7C4D">
        <w:rPr>
          <w:rFonts w:ascii="仿宋" w:eastAsia="仿宋" w:hAnsi="仿宋" w:hint="eastAsia"/>
          <w:sz w:val="32"/>
          <w:szCs w:val="32"/>
        </w:rPr>
        <w:t>机关运行经费支出</w:t>
      </w:r>
      <w:r w:rsidR="008C7FD8" w:rsidRPr="000D7C4D">
        <w:rPr>
          <w:rFonts w:ascii="仿宋" w:eastAsia="仿宋" w:hAnsi="仿宋"/>
          <w:sz w:val="32"/>
          <w:szCs w:val="32"/>
        </w:rPr>
        <w:t>0</w:t>
      </w:r>
      <w:r w:rsidRPr="000D7C4D">
        <w:rPr>
          <w:rFonts w:ascii="仿宋" w:eastAsia="仿宋" w:hAnsi="仿宋" w:hint="eastAsia"/>
          <w:sz w:val="32"/>
          <w:szCs w:val="32"/>
        </w:rPr>
        <w:t>万元，</w:t>
      </w:r>
      <w:r w:rsidR="006A21EE" w:rsidRPr="000D7C4D">
        <w:rPr>
          <w:rFonts w:ascii="仿宋" w:eastAsia="仿宋" w:hAnsi="仿宋" w:hint="eastAsia"/>
          <w:sz w:val="32"/>
          <w:szCs w:val="32"/>
        </w:rPr>
        <w:t>与</w:t>
      </w:r>
      <w:r w:rsidRPr="000D7C4D">
        <w:rPr>
          <w:rFonts w:ascii="仿宋" w:eastAsia="仿宋" w:hAnsi="仿宋" w:hint="eastAsia"/>
          <w:sz w:val="32"/>
          <w:szCs w:val="32"/>
        </w:rPr>
        <w:t>2022年度决算数持平。</w:t>
      </w:r>
    </w:p>
    <w:p w:rsidR="0071021A" w:rsidRDefault="0046049C">
      <w:pPr>
        <w:autoSpaceDE w:val="0"/>
        <w:autoSpaceDN w:val="0"/>
        <w:adjustRightInd w:val="0"/>
        <w:spacing w:line="600" w:lineRule="exact"/>
        <w:ind w:firstLineChars="200" w:firstLine="643"/>
        <w:jc w:val="left"/>
        <w:outlineLvl w:val="2"/>
        <w:rPr>
          <w:rFonts w:ascii="仿宋" w:eastAsia="仿宋" w:hAnsi="仿宋"/>
          <w:b/>
          <w:sz w:val="32"/>
          <w:szCs w:val="32"/>
        </w:rPr>
      </w:pPr>
      <w:bookmarkStart w:id="47" w:name="_Toc15377223"/>
      <w:r>
        <w:rPr>
          <w:rFonts w:ascii="仿宋" w:eastAsia="仿宋" w:hAnsi="仿宋" w:hint="eastAsia"/>
          <w:b/>
          <w:sz w:val="32"/>
          <w:szCs w:val="32"/>
        </w:rPr>
        <w:t>（二）政府采购支出情况</w:t>
      </w:r>
      <w:bookmarkEnd w:id="47"/>
    </w:p>
    <w:p w:rsidR="0071021A" w:rsidRPr="000D7C4D" w:rsidRDefault="0046049C">
      <w:pPr>
        <w:spacing w:line="600" w:lineRule="exact"/>
        <w:ind w:firstLineChars="200" w:firstLine="640"/>
        <w:rPr>
          <w:rFonts w:ascii="仿宋" w:eastAsia="仿宋" w:hAnsi="仿宋"/>
          <w:sz w:val="32"/>
          <w:szCs w:val="32"/>
        </w:rPr>
      </w:pPr>
      <w:r w:rsidRPr="000D7C4D">
        <w:rPr>
          <w:rFonts w:ascii="仿宋" w:eastAsia="仿宋" w:hAnsi="仿宋" w:hint="eastAsia"/>
          <w:sz w:val="32"/>
          <w:szCs w:val="32"/>
        </w:rPr>
        <w:t>2023年度，</w:t>
      </w:r>
      <w:r w:rsidR="008C7FD8" w:rsidRPr="000D7C4D">
        <w:rPr>
          <w:rFonts w:ascii="仿宋" w:eastAsia="仿宋" w:hAnsi="仿宋"/>
          <w:sz w:val="32"/>
          <w:szCs w:val="32"/>
        </w:rPr>
        <w:t>盐边县融媒体中心</w:t>
      </w:r>
      <w:r w:rsidRPr="000D7C4D">
        <w:rPr>
          <w:rFonts w:ascii="仿宋" w:eastAsia="仿宋" w:hAnsi="仿宋" w:hint="eastAsia"/>
          <w:sz w:val="32"/>
          <w:szCs w:val="32"/>
        </w:rPr>
        <w:t>政府采购支出总额</w:t>
      </w:r>
      <w:r w:rsidR="008C7FD8" w:rsidRPr="000D7C4D">
        <w:rPr>
          <w:rFonts w:ascii="仿宋" w:eastAsia="仿宋" w:hAnsi="仿宋"/>
          <w:sz w:val="32"/>
          <w:szCs w:val="32"/>
        </w:rPr>
        <w:t>0</w:t>
      </w:r>
      <w:r w:rsidRPr="000D7C4D">
        <w:rPr>
          <w:rFonts w:ascii="仿宋" w:eastAsia="仿宋" w:hAnsi="仿宋" w:hint="eastAsia"/>
          <w:sz w:val="32"/>
          <w:szCs w:val="32"/>
        </w:rPr>
        <w:t>万元，其中：政府采购货物支出</w:t>
      </w:r>
      <w:r w:rsidR="001A1DAD" w:rsidRPr="000D7C4D">
        <w:rPr>
          <w:rFonts w:ascii="仿宋" w:eastAsia="仿宋" w:hAnsi="仿宋"/>
          <w:sz w:val="32"/>
          <w:szCs w:val="32"/>
        </w:rPr>
        <w:t>0</w:t>
      </w:r>
      <w:r w:rsidRPr="000D7C4D">
        <w:rPr>
          <w:rFonts w:ascii="仿宋" w:eastAsia="仿宋" w:hAnsi="仿宋" w:hint="eastAsia"/>
          <w:sz w:val="32"/>
          <w:szCs w:val="32"/>
        </w:rPr>
        <w:t>万元、政府采购工程支出</w:t>
      </w:r>
      <w:r w:rsidR="001A1DAD" w:rsidRPr="000D7C4D">
        <w:rPr>
          <w:rFonts w:ascii="仿宋" w:eastAsia="仿宋" w:hAnsi="仿宋"/>
          <w:sz w:val="32"/>
          <w:szCs w:val="32"/>
        </w:rPr>
        <w:t>0</w:t>
      </w:r>
      <w:r w:rsidRPr="000D7C4D">
        <w:rPr>
          <w:rFonts w:ascii="仿宋" w:eastAsia="仿宋" w:hAnsi="仿宋" w:hint="eastAsia"/>
          <w:sz w:val="32"/>
          <w:szCs w:val="32"/>
        </w:rPr>
        <w:t>万元、政府采购服务支出</w:t>
      </w:r>
      <w:r w:rsidR="001A1DAD" w:rsidRPr="000D7C4D">
        <w:rPr>
          <w:rFonts w:ascii="仿宋" w:eastAsia="仿宋" w:hAnsi="仿宋"/>
          <w:sz w:val="32"/>
          <w:szCs w:val="32"/>
        </w:rPr>
        <w:t>0</w:t>
      </w:r>
      <w:r w:rsidRPr="000D7C4D">
        <w:rPr>
          <w:rFonts w:ascii="仿宋" w:eastAsia="仿宋" w:hAnsi="仿宋" w:hint="eastAsia"/>
          <w:sz w:val="32"/>
          <w:szCs w:val="32"/>
        </w:rPr>
        <w:t>万元。授予中小企业合同金额</w:t>
      </w:r>
      <w:r w:rsidR="001A1DAD" w:rsidRPr="000D7C4D">
        <w:rPr>
          <w:rFonts w:ascii="仿宋" w:eastAsia="仿宋" w:hAnsi="仿宋"/>
          <w:sz w:val="32"/>
          <w:szCs w:val="32"/>
        </w:rPr>
        <w:t>0</w:t>
      </w:r>
      <w:r w:rsidRPr="000D7C4D">
        <w:rPr>
          <w:rFonts w:ascii="仿宋" w:eastAsia="仿宋" w:hAnsi="仿宋" w:hint="eastAsia"/>
          <w:sz w:val="32"/>
          <w:szCs w:val="32"/>
        </w:rPr>
        <w:t>万元，占政府采购支出总额的</w:t>
      </w:r>
      <w:r w:rsidR="001A1DAD" w:rsidRPr="000D7C4D">
        <w:rPr>
          <w:rFonts w:ascii="仿宋" w:eastAsia="仿宋" w:hAnsi="仿宋"/>
          <w:sz w:val="32"/>
          <w:szCs w:val="32"/>
        </w:rPr>
        <w:t>0</w:t>
      </w:r>
      <w:r w:rsidRPr="000D7C4D">
        <w:rPr>
          <w:rFonts w:ascii="仿宋" w:eastAsia="仿宋" w:hAnsi="仿宋"/>
          <w:sz w:val="32"/>
          <w:szCs w:val="32"/>
        </w:rPr>
        <w:t>%</w:t>
      </w:r>
      <w:r w:rsidRPr="000D7C4D">
        <w:rPr>
          <w:rFonts w:ascii="仿宋" w:eastAsia="仿宋" w:hAnsi="仿宋" w:hint="eastAsia"/>
          <w:sz w:val="32"/>
          <w:szCs w:val="32"/>
        </w:rPr>
        <w:t>，其中：授予小微企业合同金额</w:t>
      </w:r>
      <w:r w:rsidR="001A1DAD" w:rsidRPr="000D7C4D">
        <w:rPr>
          <w:rFonts w:ascii="仿宋" w:eastAsia="仿宋" w:hAnsi="仿宋"/>
          <w:sz w:val="32"/>
          <w:szCs w:val="32"/>
        </w:rPr>
        <w:t>0</w:t>
      </w:r>
      <w:r w:rsidRPr="000D7C4D">
        <w:rPr>
          <w:rFonts w:ascii="仿宋" w:eastAsia="仿宋" w:hAnsi="仿宋" w:hint="eastAsia"/>
          <w:sz w:val="32"/>
          <w:szCs w:val="32"/>
        </w:rPr>
        <w:t>万元，占政府采购支出总额的</w:t>
      </w:r>
      <w:r w:rsidR="001A1DAD" w:rsidRPr="000D7C4D">
        <w:rPr>
          <w:rFonts w:ascii="仿宋" w:eastAsia="仿宋" w:hAnsi="仿宋"/>
          <w:sz w:val="32"/>
          <w:szCs w:val="32"/>
        </w:rPr>
        <w:t>0</w:t>
      </w:r>
      <w:r w:rsidRPr="000D7C4D">
        <w:rPr>
          <w:rFonts w:ascii="仿宋" w:eastAsia="仿宋" w:hAnsi="仿宋"/>
          <w:sz w:val="32"/>
          <w:szCs w:val="32"/>
        </w:rPr>
        <w:t>%</w:t>
      </w:r>
      <w:r w:rsidRPr="000D7C4D">
        <w:rPr>
          <w:rFonts w:ascii="仿宋" w:eastAsia="仿宋" w:hAnsi="仿宋" w:hint="eastAsia"/>
          <w:sz w:val="32"/>
          <w:szCs w:val="32"/>
        </w:rPr>
        <w:t>。</w:t>
      </w:r>
    </w:p>
    <w:p w:rsidR="0071021A" w:rsidRDefault="0046049C">
      <w:pPr>
        <w:autoSpaceDE w:val="0"/>
        <w:autoSpaceDN w:val="0"/>
        <w:adjustRightInd w:val="0"/>
        <w:spacing w:line="600" w:lineRule="exact"/>
        <w:ind w:firstLineChars="200" w:firstLine="643"/>
        <w:jc w:val="left"/>
        <w:outlineLvl w:val="2"/>
        <w:rPr>
          <w:rFonts w:ascii="仿宋" w:eastAsia="仿宋" w:hAnsi="仿宋"/>
          <w:b/>
          <w:sz w:val="32"/>
          <w:szCs w:val="32"/>
        </w:rPr>
      </w:pPr>
      <w:bookmarkStart w:id="48" w:name="_Toc15377224"/>
      <w:r>
        <w:rPr>
          <w:rFonts w:ascii="仿宋" w:eastAsia="仿宋" w:hAnsi="仿宋" w:hint="eastAsia"/>
          <w:b/>
          <w:sz w:val="32"/>
          <w:szCs w:val="32"/>
        </w:rPr>
        <w:t>（三）国有资产占有使用情况</w:t>
      </w:r>
      <w:bookmarkEnd w:id="48"/>
    </w:p>
    <w:p w:rsidR="0071021A" w:rsidRPr="000D7C4D" w:rsidRDefault="0046049C">
      <w:pPr>
        <w:autoSpaceDE w:val="0"/>
        <w:autoSpaceDN w:val="0"/>
        <w:adjustRightInd w:val="0"/>
        <w:spacing w:line="600" w:lineRule="exact"/>
        <w:ind w:firstLineChars="200" w:firstLine="640"/>
        <w:jc w:val="left"/>
        <w:rPr>
          <w:rFonts w:ascii="仿宋" w:eastAsia="仿宋" w:hAnsi="仿宋"/>
          <w:sz w:val="32"/>
          <w:szCs w:val="32"/>
        </w:rPr>
      </w:pPr>
      <w:r w:rsidRPr="000D7C4D">
        <w:rPr>
          <w:rFonts w:ascii="仿宋" w:eastAsia="仿宋" w:hAnsi="仿宋" w:hint="eastAsia"/>
          <w:sz w:val="32"/>
          <w:szCs w:val="32"/>
        </w:rPr>
        <w:t>截至2023年</w:t>
      </w:r>
      <w:r w:rsidRPr="000D7C4D">
        <w:rPr>
          <w:rFonts w:ascii="仿宋" w:eastAsia="仿宋" w:hAnsi="仿宋"/>
          <w:sz w:val="32"/>
          <w:szCs w:val="32"/>
        </w:rPr>
        <w:t>12</w:t>
      </w:r>
      <w:r w:rsidRPr="000D7C4D">
        <w:rPr>
          <w:rFonts w:ascii="仿宋" w:eastAsia="仿宋" w:hAnsi="仿宋" w:hint="eastAsia"/>
          <w:sz w:val="32"/>
          <w:szCs w:val="32"/>
        </w:rPr>
        <w:t>月</w:t>
      </w:r>
      <w:r w:rsidRPr="000D7C4D">
        <w:rPr>
          <w:rFonts w:ascii="仿宋" w:eastAsia="仿宋" w:hAnsi="仿宋"/>
          <w:sz w:val="32"/>
          <w:szCs w:val="32"/>
        </w:rPr>
        <w:t>31</w:t>
      </w:r>
      <w:r w:rsidRPr="000D7C4D">
        <w:rPr>
          <w:rFonts w:ascii="仿宋" w:eastAsia="仿宋" w:hAnsi="仿宋" w:hint="eastAsia"/>
          <w:sz w:val="32"/>
          <w:szCs w:val="32"/>
        </w:rPr>
        <w:t>日，</w:t>
      </w:r>
      <w:r w:rsidR="00425C50" w:rsidRPr="000D7C4D">
        <w:rPr>
          <w:rFonts w:ascii="仿宋" w:eastAsia="仿宋" w:hAnsi="仿宋"/>
          <w:sz w:val="32"/>
          <w:szCs w:val="32"/>
        </w:rPr>
        <w:t>盐边县融媒体中心</w:t>
      </w:r>
      <w:r w:rsidRPr="000D7C4D">
        <w:rPr>
          <w:rFonts w:ascii="仿宋" w:eastAsia="仿宋" w:hAnsi="仿宋" w:hint="eastAsia"/>
          <w:sz w:val="32"/>
          <w:szCs w:val="32"/>
        </w:rPr>
        <w:t>共有车辆</w:t>
      </w:r>
      <w:r w:rsidR="001A1DAD" w:rsidRPr="000D7C4D">
        <w:rPr>
          <w:rFonts w:ascii="仿宋" w:eastAsia="仿宋" w:hAnsi="仿宋" w:hint="eastAsia"/>
          <w:sz w:val="32"/>
          <w:szCs w:val="32"/>
        </w:rPr>
        <w:t>0</w:t>
      </w:r>
      <w:r w:rsidRPr="000D7C4D">
        <w:rPr>
          <w:rFonts w:ascii="仿宋" w:eastAsia="仿宋" w:hAnsi="仿宋" w:hint="eastAsia"/>
          <w:sz w:val="32"/>
          <w:szCs w:val="32"/>
        </w:rPr>
        <w:t>辆，其中：主要领导干部用车</w:t>
      </w:r>
      <w:r w:rsidR="006A21EE" w:rsidRPr="000D7C4D">
        <w:rPr>
          <w:rFonts w:ascii="仿宋" w:eastAsia="仿宋" w:hAnsi="仿宋" w:hint="eastAsia"/>
          <w:sz w:val="32"/>
          <w:szCs w:val="32"/>
        </w:rPr>
        <w:t>0</w:t>
      </w:r>
      <w:r w:rsidRPr="000D7C4D">
        <w:rPr>
          <w:rFonts w:ascii="仿宋" w:eastAsia="仿宋" w:hAnsi="仿宋" w:hint="eastAsia"/>
          <w:sz w:val="32"/>
          <w:szCs w:val="32"/>
        </w:rPr>
        <w:t>辆、机要通信用车</w:t>
      </w:r>
      <w:r w:rsidR="006A21EE" w:rsidRPr="000D7C4D">
        <w:rPr>
          <w:rFonts w:ascii="仿宋" w:eastAsia="仿宋" w:hAnsi="仿宋" w:hint="eastAsia"/>
          <w:sz w:val="32"/>
          <w:szCs w:val="32"/>
        </w:rPr>
        <w:t>0</w:t>
      </w:r>
      <w:r w:rsidRPr="000D7C4D">
        <w:rPr>
          <w:rFonts w:ascii="仿宋" w:eastAsia="仿宋" w:hAnsi="仿宋" w:hint="eastAsia"/>
          <w:sz w:val="32"/>
          <w:szCs w:val="32"/>
        </w:rPr>
        <w:t>辆、应急保障用车</w:t>
      </w:r>
      <w:r w:rsidR="006A21EE" w:rsidRPr="000D7C4D">
        <w:rPr>
          <w:rFonts w:ascii="仿宋" w:eastAsia="仿宋" w:hAnsi="仿宋" w:hint="eastAsia"/>
          <w:sz w:val="32"/>
          <w:szCs w:val="32"/>
        </w:rPr>
        <w:t>0</w:t>
      </w:r>
      <w:r w:rsidRPr="000D7C4D">
        <w:rPr>
          <w:rFonts w:ascii="仿宋" w:eastAsia="仿宋" w:hAnsi="仿宋" w:hint="eastAsia"/>
          <w:sz w:val="32"/>
          <w:szCs w:val="32"/>
        </w:rPr>
        <w:t>辆、其他用车</w:t>
      </w:r>
      <w:r w:rsidR="006A21EE" w:rsidRPr="000D7C4D">
        <w:rPr>
          <w:rFonts w:ascii="仿宋" w:eastAsia="仿宋" w:hAnsi="仿宋" w:hint="eastAsia"/>
          <w:sz w:val="32"/>
          <w:szCs w:val="32"/>
        </w:rPr>
        <w:t>0</w:t>
      </w:r>
      <w:r w:rsidRPr="000D7C4D">
        <w:rPr>
          <w:rFonts w:ascii="仿宋" w:eastAsia="仿宋" w:hAnsi="仿宋" w:hint="eastAsia"/>
          <w:sz w:val="32"/>
          <w:szCs w:val="32"/>
        </w:rPr>
        <w:t>辆。单价</w:t>
      </w:r>
      <w:r w:rsidRPr="000D7C4D">
        <w:rPr>
          <w:rFonts w:ascii="仿宋" w:eastAsia="仿宋" w:hAnsi="仿宋"/>
          <w:sz w:val="32"/>
          <w:szCs w:val="32"/>
        </w:rPr>
        <w:t>100</w:t>
      </w:r>
      <w:r w:rsidRPr="000D7C4D">
        <w:rPr>
          <w:rFonts w:ascii="仿宋" w:eastAsia="仿宋" w:hAnsi="仿宋" w:hint="eastAsia"/>
          <w:sz w:val="32"/>
          <w:szCs w:val="32"/>
        </w:rPr>
        <w:t>万元以上设备（不含车辆）</w:t>
      </w:r>
      <w:r w:rsidR="001A1DAD" w:rsidRPr="000D7C4D">
        <w:rPr>
          <w:rFonts w:ascii="仿宋" w:eastAsia="仿宋" w:hAnsi="仿宋"/>
          <w:sz w:val="32"/>
          <w:szCs w:val="32"/>
        </w:rPr>
        <w:lastRenderedPageBreak/>
        <w:t>0</w:t>
      </w:r>
      <w:r w:rsidRPr="000D7C4D">
        <w:rPr>
          <w:rFonts w:ascii="仿宋" w:eastAsia="仿宋" w:hAnsi="仿宋" w:hint="eastAsia"/>
          <w:sz w:val="32"/>
          <w:szCs w:val="32"/>
        </w:rPr>
        <w:t>台（套）</w:t>
      </w:r>
      <w:bookmarkStart w:id="49" w:name="_GoBack"/>
      <w:bookmarkEnd w:id="49"/>
      <w:r w:rsidRPr="000D7C4D">
        <w:rPr>
          <w:rFonts w:ascii="仿宋" w:eastAsia="仿宋" w:hAnsi="仿宋" w:hint="eastAsia"/>
          <w:sz w:val="32"/>
          <w:szCs w:val="32"/>
        </w:rPr>
        <w:t>。</w:t>
      </w:r>
    </w:p>
    <w:p w:rsidR="0071021A" w:rsidRDefault="0046049C">
      <w:pPr>
        <w:autoSpaceDE w:val="0"/>
        <w:autoSpaceDN w:val="0"/>
        <w:adjustRightInd w:val="0"/>
        <w:spacing w:line="600" w:lineRule="exact"/>
        <w:ind w:firstLineChars="200" w:firstLine="643"/>
        <w:jc w:val="left"/>
        <w:outlineLvl w:val="2"/>
        <w:rPr>
          <w:rFonts w:ascii="仿宋" w:eastAsia="仿宋" w:hAnsi="仿宋"/>
          <w:b/>
          <w:sz w:val="32"/>
          <w:szCs w:val="32"/>
        </w:rPr>
      </w:pPr>
      <w:r>
        <w:rPr>
          <w:rFonts w:ascii="仿宋" w:eastAsia="仿宋" w:hAnsi="仿宋" w:hint="eastAsia"/>
          <w:b/>
          <w:sz w:val="32"/>
          <w:szCs w:val="32"/>
        </w:rPr>
        <w:t>（四）预算绩效管理情况</w:t>
      </w:r>
    </w:p>
    <w:p w:rsidR="0071021A" w:rsidRPr="000D7C4D" w:rsidRDefault="0046049C">
      <w:pPr>
        <w:spacing w:line="600" w:lineRule="exact"/>
        <w:ind w:firstLineChars="200" w:firstLine="640"/>
        <w:rPr>
          <w:rFonts w:ascii="仿宋" w:eastAsia="仿宋" w:hAnsi="仿宋"/>
          <w:sz w:val="32"/>
          <w:szCs w:val="32"/>
        </w:rPr>
      </w:pPr>
      <w:r w:rsidRPr="000D7C4D">
        <w:rPr>
          <w:rFonts w:ascii="仿宋" w:eastAsia="仿宋" w:hAnsi="仿宋" w:hint="eastAsia"/>
          <w:sz w:val="32"/>
          <w:szCs w:val="32"/>
        </w:rPr>
        <w:t>根据预算绩效管理要求，本单位在2023年度预算编制阶段，组织对</w:t>
      </w:r>
      <w:r w:rsidR="006A21EE" w:rsidRPr="000D7C4D">
        <w:rPr>
          <w:rFonts w:ascii="仿宋" w:eastAsia="仿宋" w:hAnsi="仿宋" w:cs="仿宋_GB2312" w:hint="eastAsia"/>
          <w:sz w:val="32"/>
          <w:szCs w:val="32"/>
        </w:rPr>
        <w:t>盐边宣传片拍摄制作、中央补助地方公共文化服务体系建设专项、中央支持地方公共文化服务体系建设补助、2023年运行经费</w:t>
      </w:r>
      <w:r w:rsidRPr="000D7C4D">
        <w:rPr>
          <w:rFonts w:ascii="仿宋" w:eastAsia="仿宋" w:hAnsi="仿宋" w:hint="eastAsia"/>
          <w:sz w:val="32"/>
          <w:szCs w:val="32"/>
        </w:rPr>
        <w:t>项目等</w:t>
      </w:r>
      <w:r w:rsidR="006A21EE" w:rsidRPr="000D7C4D">
        <w:rPr>
          <w:rFonts w:ascii="仿宋" w:eastAsia="仿宋" w:hAnsi="仿宋" w:hint="eastAsia"/>
          <w:sz w:val="32"/>
          <w:szCs w:val="32"/>
        </w:rPr>
        <w:t>4</w:t>
      </w:r>
      <w:r w:rsidRPr="000D7C4D">
        <w:rPr>
          <w:rFonts w:ascii="仿宋" w:eastAsia="仿宋" w:hAnsi="仿宋" w:hint="eastAsia"/>
          <w:sz w:val="32"/>
          <w:szCs w:val="32"/>
        </w:rPr>
        <w:t>个项目开展了预算事前绩效评估，对</w:t>
      </w:r>
      <w:r w:rsidR="006A21EE" w:rsidRPr="000D7C4D">
        <w:rPr>
          <w:rFonts w:ascii="仿宋" w:eastAsia="仿宋" w:hAnsi="仿宋" w:hint="eastAsia"/>
          <w:sz w:val="32"/>
          <w:szCs w:val="32"/>
        </w:rPr>
        <w:t>3</w:t>
      </w:r>
      <w:r w:rsidRPr="000D7C4D">
        <w:rPr>
          <w:rFonts w:ascii="仿宋" w:eastAsia="仿宋" w:hAnsi="仿宋" w:hint="eastAsia"/>
          <w:sz w:val="32"/>
          <w:szCs w:val="32"/>
        </w:rPr>
        <w:t>个项目编制了绩效目标，预算执行过程中，选取</w:t>
      </w:r>
      <w:r w:rsidR="006A21EE" w:rsidRPr="000D7C4D">
        <w:rPr>
          <w:rFonts w:ascii="仿宋" w:eastAsia="仿宋" w:hAnsi="仿宋" w:hint="eastAsia"/>
          <w:sz w:val="32"/>
          <w:szCs w:val="32"/>
        </w:rPr>
        <w:t>3</w:t>
      </w:r>
      <w:r w:rsidRPr="000D7C4D">
        <w:rPr>
          <w:rFonts w:ascii="仿宋" w:eastAsia="仿宋" w:hAnsi="仿宋" w:hint="eastAsia"/>
          <w:sz w:val="32"/>
          <w:szCs w:val="32"/>
        </w:rPr>
        <w:t>个项目开展绩效监控，组织对</w:t>
      </w:r>
      <w:r w:rsidR="006A21EE" w:rsidRPr="000D7C4D">
        <w:rPr>
          <w:rFonts w:ascii="仿宋" w:eastAsia="仿宋" w:hAnsi="仿宋" w:hint="eastAsia"/>
          <w:sz w:val="32"/>
          <w:szCs w:val="32"/>
        </w:rPr>
        <w:t>3</w:t>
      </w:r>
      <w:r w:rsidRPr="000D7C4D">
        <w:rPr>
          <w:rFonts w:ascii="仿宋" w:eastAsia="仿宋" w:hAnsi="仿宋" w:hint="eastAsia"/>
          <w:sz w:val="32"/>
          <w:szCs w:val="32"/>
        </w:rPr>
        <w:t>个项目开展绩效自评，绩效自评表详见第四部分附件。</w:t>
      </w:r>
    </w:p>
    <w:p w:rsidR="0071021A" w:rsidRDefault="0046049C">
      <w:pPr>
        <w:spacing w:line="600" w:lineRule="exact"/>
        <w:ind w:firstLineChars="200" w:firstLine="640"/>
        <w:rPr>
          <w:rFonts w:ascii="仿宋_GB2312" w:eastAsia="仿宋_GB2312"/>
          <w:sz w:val="32"/>
          <w:szCs w:val="32"/>
        </w:rPr>
      </w:pPr>
      <w:r>
        <w:rPr>
          <w:rFonts w:ascii="仿宋_GB2312" w:eastAsia="仿宋_GB2312" w:hint="eastAsia"/>
          <w:sz w:val="32"/>
          <w:szCs w:val="32"/>
        </w:rPr>
        <w:br w:type="page"/>
      </w:r>
    </w:p>
    <w:p w:rsidR="0071021A" w:rsidRDefault="0046049C">
      <w:pPr>
        <w:numPr>
          <w:ilvl w:val="0"/>
          <w:numId w:val="4"/>
        </w:numPr>
        <w:spacing w:line="600" w:lineRule="exact"/>
        <w:ind w:firstLineChars="150" w:firstLine="660"/>
        <w:jc w:val="center"/>
        <w:outlineLvl w:val="0"/>
        <w:rPr>
          <w:rStyle w:val="1Char"/>
          <w:rFonts w:ascii="黑体" w:eastAsia="黑体" w:hAnsi="黑体"/>
          <w:b w:val="0"/>
        </w:rPr>
      </w:pPr>
      <w:bookmarkStart w:id="50" w:name="_Toc15377225"/>
      <w:bookmarkStart w:id="51" w:name="_Toc15396613"/>
      <w:r>
        <w:rPr>
          <w:rFonts w:ascii="黑体" w:eastAsia="黑体" w:hAnsi="黑体" w:hint="eastAsia"/>
          <w:sz w:val="44"/>
          <w:szCs w:val="44"/>
        </w:rPr>
        <w:lastRenderedPageBreak/>
        <w:t>名</w:t>
      </w:r>
      <w:r>
        <w:rPr>
          <w:rStyle w:val="1Char"/>
          <w:rFonts w:ascii="黑体" w:eastAsia="黑体" w:hAnsi="黑体" w:hint="eastAsia"/>
          <w:b w:val="0"/>
        </w:rPr>
        <w:t>词解释</w:t>
      </w:r>
      <w:bookmarkEnd w:id="50"/>
      <w:bookmarkEnd w:id="51"/>
    </w:p>
    <w:p w:rsidR="0071021A" w:rsidRPr="000D7C4D" w:rsidRDefault="0071021A">
      <w:pPr>
        <w:spacing w:line="600" w:lineRule="exact"/>
        <w:jc w:val="left"/>
        <w:rPr>
          <w:rFonts w:ascii="仿宋" w:eastAsia="仿宋" w:hAnsi="仿宋"/>
          <w:b/>
          <w:sz w:val="44"/>
          <w:szCs w:val="44"/>
        </w:rPr>
      </w:pPr>
    </w:p>
    <w:p w:rsidR="0071021A" w:rsidRPr="000D7C4D" w:rsidRDefault="0046049C">
      <w:pPr>
        <w:pStyle w:val="Default"/>
        <w:spacing w:line="560" w:lineRule="exact"/>
        <w:ind w:firstLineChars="200" w:firstLine="640"/>
        <w:rPr>
          <w:rFonts w:hAnsi="仿宋"/>
          <w:color w:val="auto"/>
          <w:sz w:val="32"/>
          <w:szCs w:val="32"/>
        </w:rPr>
      </w:pPr>
      <w:r w:rsidRPr="000D7C4D">
        <w:rPr>
          <w:rFonts w:hAnsi="仿宋"/>
          <w:color w:val="auto"/>
          <w:sz w:val="32"/>
          <w:szCs w:val="32"/>
        </w:rPr>
        <w:t>1.</w:t>
      </w:r>
      <w:r w:rsidRPr="000D7C4D">
        <w:rPr>
          <w:rFonts w:hAnsi="仿宋" w:hint="eastAsia"/>
          <w:color w:val="auto"/>
          <w:sz w:val="32"/>
          <w:szCs w:val="32"/>
        </w:rPr>
        <w:t>财政拨款收入：指单位从同级财政部门取得的财政预算资金。</w:t>
      </w:r>
    </w:p>
    <w:p w:rsidR="0071021A" w:rsidRPr="000D7C4D" w:rsidRDefault="0046049C">
      <w:pPr>
        <w:pStyle w:val="Default"/>
        <w:spacing w:line="560" w:lineRule="exact"/>
        <w:ind w:firstLineChars="200" w:firstLine="640"/>
        <w:rPr>
          <w:rFonts w:hAnsi="仿宋"/>
          <w:color w:val="auto"/>
          <w:sz w:val="32"/>
          <w:szCs w:val="32"/>
        </w:rPr>
      </w:pPr>
      <w:r w:rsidRPr="000D7C4D">
        <w:rPr>
          <w:rFonts w:hAnsi="仿宋"/>
          <w:color w:val="auto"/>
          <w:sz w:val="32"/>
          <w:szCs w:val="32"/>
        </w:rPr>
        <w:t>2.</w:t>
      </w:r>
      <w:r w:rsidRPr="000D7C4D">
        <w:rPr>
          <w:rFonts w:hAnsi="仿宋" w:hint="eastAsia"/>
          <w:sz w:val="32"/>
          <w:szCs w:val="32"/>
        </w:rPr>
        <w:t>使用非财政拨款结余（含专用结余）</w:t>
      </w:r>
      <w:r w:rsidRPr="000D7C4D">
        <w:rPr>
          <w:rFonts w:hAnsi="仿宋" w:hint="eastAsia"/>
          <w:color w:val="auto"/>
          <w:sz w:val="32"/>
          <w:szCs w:val="32"/>
        </w:rPr>
        <w:t>：指事业单位使用以前年度积累的非财政拨款结余弥补当年收支差额的金额。</w:t>
      </w:r>
    </w:p>
    <w:p w:rsidR="0071021A" w:rsidRPr="000D7C4D" w:rsidRDefault="006A21EE">
      <w:pPr>
        <w:pStyle w:val="Default"/>
        <w:spacing w:line="560" w:lineRule="exact"/>
        <w:ind w:firstLineChars="200" w:firstLine="640"/>
        <w:rPr>
          <w:rFonts w:hAnsi="仿宋"/>
          <w:color w:val="auto"/>
          <w:sz w:val="32"/>
          <w:szCs w:val="32"/>
        </w:rPr>
      </w:pPr>
      <w:r w:rsidRPr="000D7C4D">
        <w:rPr>
          <w:rFonts w:hAnsi="仿宋" w:hint="eastAsia"/>
          <w:color w:val="auto"/>
          <w:sz w:val="32"/>
          <w:szCs w:val="32"/>
        </w:rPr>
        <w:t>3</w:t>
      </w:r>
      <w:r w:rsidR="0046049C" w:rsidRPr="000D7C4D">
        <w:rPr>
          <w:rFonts w:hAnsi="仿宋"/>
          <w:color w:val="auto"/>
          <w:sz w:val="32"/>
          <w:szCs w:val="32"/>
        </w:rPr>
        <w:t>.</w:t>
      </w:r>
      <w:r w:rsidR="0046049C" w:rsidRPr="000D7C4D">
        <w:rPr>
          <w:rFonts w:hAnsi="仿宋" w:hint="eastAsia"/>
          <w:color w:val="auto"/>
          <w:sz w:val="32"/>
          <w:szCs w:val="32"/>
        </w:rPr>
        <w:t>年初结转和结余：指以前年度尚未完成、结转到本年按有关规定继续使用的资金。</w:t>
      </w:r>
    </w:p>
    <w:p w:rsidR="0071021A" w:rsidRPr="000D7C4D" w:rsidRDefault="006A21EE">
      <w:pPr>
        <w:pStyle w:val="Default"/>
        <w:spacing w:line="560" w:lineRule="exact"/>
        <w:ind w:firstLineChars="200" w:firstLine="640"/>
        <w:rPr>
          <w:rFonts w:hAnsi="仿宋"/>
          <w:color w:val="auto"/>
          <w:sz w:val="32"/>
          <w:szCs w:val="32"/>
        </w:rPr>
      </w:pPr>
      <w:r w:rsidRPr="000D7C4D">
        <w:rPr>
          <w:rFonts w:hAnsi="仿宋" w:hint="eastAsia"/>
          <w:color w:val="auto"/>
          <w:sz w:val="32"/>
          <w:szCs w:val="32"/>
        </w:rPr>
        <w:t>4</w:t>
      </w:r>
      <w:r w:rsidR="0046049C" w:rsidRPr="000D7C4D">
        <w:rPr>
          <w:rFonts w:hAnsi="仿宋"/>
          <w:color w:val="auto"/>
          <w:sz w:val="32"/>
          <w:szCs w:val="32"/>
        </w:rPr>
        <w:t>.</w:t>
      </w:r>
      <w:r w:rsidR="0046049C" w:rsidRPr="000D7C4D">
        <w:rPr>
          <w:rFonts w:hAnsi="仿宋" w:hint="eastAsia"/>
          <w:color w:val="auto"/>
          <w:sz w:val="32"/>
          <w:szCs w:val="32"/>
        </w:rPr>
        <w:t>结余分配：指事业单位按照会计制度规定缴纳的所得税、提取的专用结余以及转入非财政拨款结余的金额等。</w:t>
      </w:r>
    </w:p>
    <w:p w:rsidR="0071021A" w:rsidRPr="000D7C4D" w:rsidRDefault="006A21EE">
      <w:pPr>
        <w:pStyle w:val="Default"/>
        <w:spacing w:line="560" w:lineRule="exact"/>
        <w:ind w:firstLineChars="200" w:firstLine="640"/>
        <w:rPr>
          <w:rFonts w:hAnsi="仿宋"/>
          <w:color w:val="auto"/>
          <w:sz w:val="32"/>
          <w:szCs w:val="32"/>
        </w:rPr>
      </w:pPr>
      <w:r w:rsidRPr="000D7C4D">
        <w:rPr>
          <w:rFonts w:hAnsi="仿宋" w:hint="eastAsia"/>
          <w:color w:val="auto"/>
          <w:sz w:val="32"/>
          <w:szCs w:val="32"/>
        </w:rPr>
        <w:t>5</w:t>
      </w:r>
      <w:r w:rsidR="0046049C" w:rsidRPr="000D7C4D">
        <w:rPr>
          <w:rFonts w:hAnsi="仿宋" w:hint="eastAsia"/>
          <w:color w:val="auto"/>
          <w:sz w:val="32"/>
          <w:szCs w:val="32"/>
        </w:rPr>
        <w:t>.年末结转和结余：指单位按有关规定结转到下年或以后年度继续使用的资金。</w:t>
      </w:r>
    </w:p>
    <w:p w:rsidR="006A21EE" w:rsidRPr="000D7C4D" w:rsidRDefault="006A21EE" w:rsidP="006A21EE">
      <w:pPr>
        <w:ind w:firstLineChars="200" w:firstLine="640"/>
        <w:rPr>
          <w:rFonts w:ascii="仿宋" w:eastAsia="仿宋" w:hAnsi="仿宋"/>
          <w:sz w:val="32"/>
          <w:szCs w:val="32"/>
        </w:rPr>
      </w:pPr>
      <w:r w:rsidRPr="000D7C4D">
        <w:rPr>
          <w:rFonts w:ascii="仿宋" w:eastAsia="仿宋" w:hAnsi="仿宋" w:hint="eastAsia"/>
          <w:sz w:val="32"/>
          <w:szCs w:val="32"/>
        </w:rPr>
        <w:t>6</w:t>
      </w:r>
      <w:r w:rsidR="0046049C" w:rsidRPr="000D7C4D">
        <w:rPr>
          <w:rFonts w:ascii="仿宋" w:eastAsia="仿宋" w:hAnsi="仿宋" w:hint="eastAsia"/>
          <w:sz w:val="32"/>
          <w:szCs w:val="32"/>
        </w:rPr>
        <w:t>.</w:t>
      </w:r>
      <w:r w:rsidRPr="000D7C4D">
        <w:rPr>
          <w:rFonts w:ascii="仿宋" w:eastAsia="仿宋" w:hAnsi="仿宋" w:hint="eastAsia"/>
          <w:sz w:val="32"/>
          <w:szCs w:val="32"/>
        </w:rPr>
        <w:t>文化旅游体育与传媒（类）广播电视（款）广播电视事务（项）：指</w:t>
      </w:r>
      <w:r w:rsidRPr="000D7C4D">
        <w:rPr>
          <w:rFonts w:ascii="仿宋" w:eastAsia="仿宋" w:hAnsi="仿宋" w:hint="eastAsia"/>
          <w:color w:val="000000"/>
          <w:sz w:val="32"/>
          <w:szCs w:val="32"/>
        </w:rPr>
        <w:t>反映广播电视台等的支出</w:t>
      </w:r>
      <w:r w:rsidRPr="000D7C4D">
        <w:rPr>
          <w:rFonts w:ascii="仿宋" w:eastAsia="仿宋" w:hAnsi="仿宋" w:hint="eastAsia"/>
          <w:sz w:val="32"/>
          <w:szCs w:val="32"/>
        </w:rPr>
        <w:t>。</w:t>
      </w:r>
    </w:p>
    <w:p w:rsidR="006A21EE" w:rsidRPr="000D7C4D" w:rsidRDefault="006A21EE" w:rsidP="006A21EE">
      <w:pPr>
        <w:ind w:firstLineChars="200" w:firstLine="640"/>
        <w:rPr>
          <w:rFonts w:ascii="仿宋" w:eastAsia="仿宋" w:hAnsi="仿宋"/>
          <w:sz w:val="32"/>
          <w:szCs w:val="32"/>
        </w:rPr>
      </w:pPr>
      <w:r w:rsidRPr="000D7C4D">
        <w:rPr>
          <w:rFonts w:ascii="仿宋" w:eastAsia="仿宋" w:hAnsi="仿宋" w:hint="eastAsia"/>
          <w:sz w:val="32"/>
          <w:szCs w:val="32"/>
        </w:rPr>
        <w:t>7.文化旅游体育与传媒（类）其他文化旅游体育与传媒支出（款）其他文化旅游体育与传媒支出（项）：指</w:t>
      </w:r>
      <w:r w:rsidRPr="000D7C4D">
        <w:rPr>
          <w:rFonts w:ascii="仿宋" w:eastAsia="仿宋" w:hAnsi="仿宋" w:hint="eastAsia"/>
          <w:color w:val="000000"/>
          <w:sz w:val="32"/>
          <w:szCs w:val="32"/>
        </w:rPr>
        <w:t>其他用于文化旅游体育与传媒方面的支出</w:t>
      </w:r>
      <w:r w:rsidRPr="000D7C4D">
        <w:rPr>
          <w:rFonts w:ascii="仿宋" w:eastAsia="仿宋" w:hAnsi="仿宋" w:hint="eastAsia"/>
          <w:sz w:val="32"/>
          <w:szCs w:val="32"/>
        </w:rPr>
        <w:t>。</w:t>
      </w:r>
    </w:p>
    <w:p w:rsidR="006A21EE" w:rsidRPr="000D7C4D" w:rsidRDefault="006A21EE" w:rsidP="006A21EE">
      <w:pPr>
        <w:ind w:firstLineChars="200" w:firstLine="640"/>
        <w:rPr>
          <w:rFonts w:ascii="仿宋" w:eastAsia="仿宋" w:hAnsi="仿宋"/>
          <w:sz w:val="32"/>
          <w:szCs w:val="32"/>
        </w:rPr>
      </w:pPr>
      <w:r w:rsidRPr="000D7C4D">
        <w:rPr>
          <w:rFonts w:ascii="仿宋" w:eastAsia="仿宋" w:hAnsi="仿宋" w:hint="eastAsia"/>
          <w:sz w:val="32"/>
          <w:szCs w:val="32"/>
        </w:rPr>
        <w:t>8.社会保障和就业（类）行政事业单位养老支出（款）行政单位离退休（项）：指行政单位开支的离退休经费。</w:t>
      </w:r>
    </w:p>
    <w:p w:rsidR="006A21EE" w:rsidRPr="000D7C4D" w:rsidRDefault="006A21EE" w:rsidP="006A21EE">
      <w:pPr>
        <w:ind w:firstLineChars="200" w:firstLine="640"/>
        <w:rPr>
          <w:rFonts w:ascii="仿宋" w:eastAsia="仿宋" w:hAnsi="仿宋"/>
          <w:sz w:val="32"/>
          <w:szCs w:val="32"/>
        </w:rPr>
      </w:pPr>
      <w:r w:rsidRPr="000D7C4D">
        <w:rPr>
          <w:rFonts w:ascii="仿宋" w:eastAsia="仿宋" w:hAnsi="仿宋" w:hint="eastAsia"/>
          <w:sz w:val="32"/>
          <w:szCs w:val="32"/>
        </w:rPr>
        <w:t>9.社会保障和就业（类）行政事业单位养老支出（款）事业单位离退休（项）：指事业单位开支的离退休经费。</w:t>
      </w:r>
    </w:p>
    <w:p w:rsidR="006A21EE" w:rsidRPr="000D7C4D" w:rsidRDefault="006A21EE" w:rsidP="006A21EE">
      <w:pPr>
        <w:ind w:firstLineChars="200" w:firstLine="640"/>
        <w:rPr>
          <w:rFonts w:ascii="仿宋" w:eastAsia="仿宋" w:hAnsi="仿宋"/>
          <w:sz w:val="32"/>
          <w:szCs w:val="32"/>
        </w:rPr>
      </w:pPr>
      <w:r w:rsidRPr="000D7C4D">
        <w:rPr>
          <w:rFonts w:ascii="仿宋" w:eastAsia="仿宋" w:hAnsi="仿宋" w:hint="eastAsia"/>
          <w:sz w:val="32"/>
          <w:szCs w:val="32"/>
        </w:rPr>
        <w:t>10.社会保障和就业（类）行政事业单位养老支出（款）</w:t>
      </w:r>
      <w:r w:rsidRPr="000D7C4D">
        <w:rPr>
          <w:rFonts w:ascii="仿宋" w:eastAsia="仿宋" w:hAnsi="仿宋" w:hint="eastAsia"/>
          <w:sz w:val="32"/>
          <w:szCs w:val="32"/>
        </w:rPr>
        <w:lastRenderedPageBreak/>
        <w:t>机关事业单位基本养老保险缴费支出（项）：指机关事业单位实施养老保险制度由单位缴纳的基本养老保险费支出。</w:t>
      </w:r>
    </w:p>
    <w:p w:rsidR="006A21EE" w:rsidRPr="000D7C4D" w:rsidRDefault="006A21EE" w:rsidP="006A21EE">
      <w:pPr>
        <w:ind w:firstLineChars="200" w:firstLine="640"/>
        <w:rPr>
          <w:rFonts w:ascii="仿宋" w:eastAsia="仿宋" w:hAnsi="仿宋"/>
          <w:sz w:val="32"/>
          <w:szCs w:val="32"/>
        </w:rPr>
      </w:pPr>
      <w:r w:rsidRPr="000D7C4D">
        <w:rPr>
          <w:rFonts w:ascii="仿宋" w:eastAsia="仿宋" w:hAnsi="仿宋" w:hint="eastAsia"/>
          <w:sz w:val="32"/>
          <w:szCs w:val="32"/>
        </w:rPr>
        <w:t>11.社会保障和就业（类）行政事业单位养老支出（款）机关事业单位职业年金缴费支出（项）：指机关事业单位实施养老保险制度由单位实际缴纳的职业年金支出。</w:t>
      </w:r>
    </w:p>
    <w:p w:rsidR="006A21EE" w:rsidRPr="000D7C4D" w:rsidRDefault="006A21EE" w:rsidP="006A21EE">
      <w:pPr>
        <w:ind w:firstLineChars="200" w:firstLine="640"/>
        <w:rPr>
          <w:rFonts w:ascii="仿宋" w:eastAsia="仿宋" w:hAnsi="仿宋"/>
          <w:sz w:val="32"/>
          <w:szCs w:val="32"/>
        </w:rPr>
      </w:pPr>
      <w:r w:rsidRPr="000D7C4D">
        <w:rPr>
          <w:rFonts w:ascii="仿宋" w:eastAsia="仿宋" w:hAnsi="仿宋" w:hint="eastAsia"/>
          <w:sz w:val="32"/>
          <w:szCs w:val="32"/>
        </w:rPr>
        <w:t>12.社会保障和就业（类）抚恤（款）死亡抚恤（项）：指按规定用于烈士和牺牲、病故人员家属的一次性和定期抚恤金、丧葬补助费以及烈士褒扬金。</w:t>
      </w:r>
    </w:p>
    <w:p w:rsidR="006A21EE" w:rsidRPr="000D7C4D" w:rsidRDefault="006A21EE" w:rsidP="006A21EE">
      <w:pPr>
        <w:ind w:firstLineChars="200" w:firstLine="640"/>
        <w:rPr>
          <w:rFonts w:ascii="仿宋" w:eastAsia="仿宋" w:hAnsi="仿宋"/>
          <w:sz w:val="32"/>
          <w:szCs w:val="32"/>
        </w:rPr>
      </w:pPr>
      <w:r w:rsidRPr="000D7C4D">
        <w:rPr>
          <w:rFonts w:ascii="仿宋" w:eastAsia="仿宋" w:hAnsi="仿宋" w:hint="eastAsia"/>
          <w:sz w:val="32"/>
          <w:szCs w:val="32"/>
        </w:rPr>
        <w:t>13.卫生健康（类）行政事业单位医疗（款）行政单位医疗（项）：指财政部门安排的行政单位基本医疗保险缴费经费，未参加医疗保险的行政单位公费医疗经费。</w:t>
      </w:r>
    </w:p>
    <w:p w:rsidR="006A21EE" w:rsidRPr="000D7C4D" w:rsidRDefault="006A21EE" w:rsidP="006A21EE">
      <w:pPr>
        <w:ind w:firstLineChars="200" w:firstLine="640"/>
        <w:rPr>
          <w:rFonts w:ascii="仿宋" w:eastAsia="仿宋" w:hAnsi="仿宋"/>
          <w:sz w:val="32"/>
          <w:szCs w:val="32"/>
        </w:rPr>
      </w:pPr>
      <w:r w:rsidRPr="000D7C4D">
        <w:rPr>
          <w:rFonts w:ascii="仿宋" w:eastAsia="仿宋" w:hAnsi="仿宋" w:hint="eastAsia"/>
          <w:sz w:val="32"/>
          <w:szCs w:val="32"/>
        </w:rPr>
        <w:t>14.卫生健康（类）行政事业单位医疗（款）事业单位医疗（项）：指财政部门安排的事业单位基本医疗保险缴费经费，未参加医疗保险的事业单位的公费医疗经费，按国家规定享受离休人员待遇的医疗经费。</w:t>
      </w:r>
    </w:p>
    <w:p w:rsidR="006A21EE" w:rsidRPr="000D7C4D" w:rsidRDefault="006A21EE" w:rsidP="006A21EE">
      <w:pPr>
        <w:ind w:firstLineChars="200" w:firstLine="640"/>
        <w:rPr>
          <w:rFonts w:ascii="仿宋" w:eastAsia="仿宋" w:hAnsi="仿宋"/>
          <w:sz w:val="32"/>
          <w:szCs w:val="32"/>
        </w:rPr>
      </w:pPr>
      <w:r w:rsidRPr="000D7C4D">
        <w:rPr>
          <w:rFonts w:ascii="仿宋" w:eastAsia="仿宋" w:hAnsi="仿宋" w:hint="eastAsia"/>
          <w:sz w:val="32"/>
          <w:szCs w:val="32"/>
        </w:rPr>
        <w:t>15.卫生健康（类）行政事业单位医疗（款）公务员医疗（项）：指财政部门安排的公务员医疗补助经费。</w:t>
      </w:r>
    </w:p>
    <w:p w:rsidR="006A21EE" w:rsidRPr="000D7C4D" w:rsidRDefault="006A21EE" w:rsidP="006A21EE">
      <w:pPr>
        <w:ind w:firstLineChars="200" w:firstLine="640"/>
        <w:rPr>
          <w:rFonts w:ascii="仿宋" w:eastAsia="仿宋" w:hAnsi="仿宋"/>
          <w:sz w:val="32"/>
          <w:szCs w:val="32"/>
        </w:rPr>
      </w:pPr>
      <w:r w:rsidRPr="000D7C4D">
        <w:rPr>
          <w:rFonts w:ascii="仿宋" w:eastAsia="仿宋" w:hAnsi="仿宋" w:hint="eastAsia"/>
          <w:sz w:val="32"/>
          <w:szCs w:val="32"/>
        </w:rPr>
        <w:t>16.卫生健康（类）行政事业单位医疗（款）其他行政事业单位医疗支出（项）：指其他用于行政事业单位医疗方面的支出。</w:t>
      </w:r>
    </w:p>
    <w:p w:rsidR="006A21EE" w:rsidRPr="000D7C4D" w:rsidRDefault="006A21EE" w:rsidP="006A21EE">
      <w:pPr>
        <w:ind w:firstLineChars="200" w:firstLine="640"/>
        <w:rPr>
          <w:rFonts w:ascii="仿宋" w:eastAsia="仿宋" w:hAnsi="仿宋"/>
          <w:sz w:val="32"/>
          <w:szCs w:val="32"/>
        </w:rPr>
      </w:pPr>
      <w:r w:rsidRPr="000D7C4D">
        <w:rPr>
          <w:rFonts w:ascii="仿宋" w:eastAsia="仿宋" w:hAnsi="仿宋" w:hint="eastAsia"/>
          <w:sz w:val="32"/>
          <w:szCs w:val="32"/>
        </w:rPr>
        <w:t>17.住房保障（类）住房改革支出（款）住房公积金（项）：指</w:t>
      </w:r>
      <w:r w:rsidRPr="000D7C4D">
        <w:rPr>
          <w:rFonts w:ascii="仿宋" w:eastAsia="仿宋" w:hAnsi="仿宋" w:hint="eastAsia"/>
          <w:color w:val="000000"/>
          <w:sz w:val="32"/>
          <w:szCs w:val="32"/>
        </w:rPr>
        <w:t>行政事业单位按人力资源和社会保障部、财政部规定的基</w:t>
      </w:r>
      <w:r w:rsidRPr="000D7C4D">
        <w:rPr>
          <w:rFonts w:ascii="仿宋" w:eastAsia="仿宋" w:hAnsi="仿宋" w:hint="eastAsia"/>
          <w:color w:val="000000"/>
          <w:sz w:val="32"/>
          <w:szCs w:val="32"/>
        </w:rPr>
        <w:lastRenderedPageBreak/>
        <w:t>本工资和津贴补贴以及规定比例为职工缴纳的住房公积金</w:t>
      </w:r>
      <w:r w:rsidRPr="000D7C4D">
        <w:rPr>
          <w:rFonts w:ascii="仿宋" w:eastAsia="仿宋" w:hAnsi="仿宋" w:hint="eastAsia"/>
          <w:sz w:val="32"/>
          <w:szCs w:val="32"/>
        </w:rPr>
        <w:t>。</w:t>
      </w:r>
    </w:p>
    <w:p w:rsidR="006A21EE" w:rsidRPr="000D7C4D" w:rsidRDefault="006A21EE" w:rsidP="006A21EE">
      <w:pPr>
        <w:ind w:firstLineChars="200" w:firstLine="640"/>
        <w:rPr>
          <w:rFonts w:ascii="仿宋" w:eastAsia="仿宋" w:hAnsi="仿宋"/>
          <w:sz w:val="32"/>
          <w:szCs w:val="32"/>
        </w:rPr>
      </w:pPr>
      <w:r w:rsidRPr="000D7C4D">
        <w:rPr>
          <w:rFonts w:ascii="仿宋" w:eastAsia="仿宋" w:hAnsi="仿宋" w:hint="eastAsia"/>
          <w:sz w:val="32"/>
          <w:szCs w:val="32"/>
        </w:rPr>
        <w:t>18.基本支出：指为保障机构正常运转、完成日常工作任务而发生的人员支出和公用支出。</w:t>
      </w:r>
    </w:p>
    <w:p w:rsidR="006A21EE" w:rsidRPr="000D7C4D" w:rsidRDefault="006A21EE" w:rsidP="006A21EE">
      <w:pPr>
        <w:ind w:firstLineChars="200" w:firstLine="640"/>
        <w:rPr>
          <w:rFonts w:ascii="仿宋" w:eastAsia="仿宋" w:hAnsi="仿宋"/>
          <w:sz w:val="32"/>
          <w:szCs w:val="32"/>
        </w:rPr>
      </w:pPr>
      <w:r w:rsidRPr="000D7C4D">
        <w:rPr>
          <w:rFonts w:ascii="仿宋" w:eastAsia="仿宋" w:hAnsi="仿宋" w:hint="eastAsia"/>
          <w:sz w:val="32"/>
          <w:szCs w:val="32"/>
        </w:rPr>
        <w:t>19.项目支出：指在基本支出之外为完成特定行政任务和事业发展目标所发生的支出。</w:t>
      </w:r>
    </w:p>
    <w:p w:rsidR="00800648" w:rsidRPr="00800648" w:rsidRDefault="006A21EE" w:rsidP="00800648">
      <w:pPr>
        <w:ind w:firstLineChars="200" w:firstLine="640"/>
        <w:rPr>
          <w:rFonts w:ascii="仿宋" w:eastAsia="仿宋" w:hAnsi="仿宋"/>
          <w:sz w:val="32"/>
          <w:szCs w:val="32"/>
        </w:rPr>
      </w:pPr>
      <w:r w:rsidRPr="000D7C4D">
        <w:rPr>
          <w:rFonts w:ascii="仿宋" w:eastAsia="仿宋" w:hAnsi="仿宋" w:hint="eastAsia"/>
          <w:sz w:val="32"/>
          <w:szCs w:val="32"/>
        </w:rPr>
        <w:t>20.“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bookmarkStart w:id="52" w:name="_Toc15396614"/>
      <w:bookmarkStart w:id="53" w:name="_Toc15377226"/>
    </w:p>
    <w:p w:rsidR="00800648" w:rsidRDefault="00800648">
      <w:pPr>
        <w:spacing w:line="600" w:lineRule="exact"/>
        <w:jc w:val="center"/>
        <w:outlineLvl w:val="0"/>
        <w:rPr>
          <w:rFonts w:ascii="黑体" w:eastAsia="黑体" w:hAnsi="黑体" w:hint="eastAsia"/>
          <w:sz w:val="44"/>
          <w:szCs w:val="44"/>
        </w:rPr>
      </w:pPr>
    </w:p>
    <w:p w:rsidR="00800648" w:rsidRDefault="00800648">
      <w:pPr>
        <w:spacing w:line="600" w:lineRule="exact"/>
        <w:jc w:val="center"/>
        <w:outlineLvl w:val="0"/>
        <w:rPr>
          <w:rFonts w:ascii="黑体" w:eastAsia="黑体" w:hAnsi="黑体" w:hint="eastAsia"/>
          <w:sz w:val="44"/>
          <w:szCs w:val="44"/>
        </w:rPr>
      </w:pPr>
    </w:p>
    <w:p w:rsidR="00800648" w:rsidRDefault="00800648">
      <w:pPr>
        <w:spacing w:line="600" w:lineRule="exact"/>
        <w:jc w:val="center"/>
        <w:outlineLvl w:val="0"/>
        <w:rPr>
          <w:rFonts w:ascii="黑体" w:eastAsia="黑体" w:hAnsi="黑体" w:hint="eastAsia"/>
          <w:sz w:val="44"/>
          <w:szCs w:val="44"/>
        </w:rPr>
      </w:pPr>
    </w:p>
    <w:p w:rsidR="00800648" w:rsidRDefault="00800648">
      <w:pPr>
        <w:spacing w:line="600" w:lineRule="exact"/>
        <w:jc w:val="center"/>
        <w:outlineLvl w:val="0"/>
        <w:rPr>
          <w:rFonts w:ascii="黑体" w:eastAsia="黑体" w:hAnsi="黑体" w:hint="eastAsia"/>
          <w:sz w:val="44"/>
          <w:szCs w:val="44"/>
        </w:rPr>
      </w:pPr>
    </w:p>
    <w:p w:rsidR="00800648" w:rsidRDefault="00800648">
      <w:pPr>
        <w:spacing w:line="600" w:lineRule="exact"/>
        <w:jc w:val="center"/>
        <w:outlineLvl w:val="0"/>
        <w:rPr>
          <w:rFonts w:ascii="黑体" w:eastAsia="黑体" w:hAnsi="黑体" w:hint="eastAsia"/>
          <w:sz w:val="44"/>
          <w:szCs w:val="44"/>
        </w:rPr>
      </w:pPr>
    </w:p>
    <w:p w:rsidR="00800648" w:rsidRDefault="00800648">
      <w:pPr>
        <w:spacing w:line="600" w:lineRule="exact"/>
        <w:jc w:val="center"/>
        <w:outlineLvl w:val="0"/>
        <w:rPr>
          <w:rFonts w:ascii="黑体" w:eastAsia="黑体" w:hAnsi="黑体" w:hint="eastAsia"/>
          <w:sz w:val="44"/>
          <w:szCs w:val="44"/>
        </w:rPr>
      </w:pPr>
    </w:p>
    <w:p w:rsidR="00800648" w:rsidRDefault="00800648">
      <w:pPr>
        <w:spacing w:line="600" w:lineRule="exact"/>
        <w:jc w:val="center"/>
        <w:outlineLvl w:val="0"/>
        <w:rPr>
          <w:rFonts w:ascii="黑体" w:eastAsia="黑体" w:hAnsi="黑体" w:hint="eastAsia"/>
          <w:sz w:val="44"/>
          <w:szCs w:val="44"/>
        </w:rPr>
      </w:pPr>
    </w:p>
    <w:p w:rsidR="00800648" w:rsidRDefault="00800648">
      <w:pPr>
        <w:spacing w:line="600" w:lineRule="exact"/>
        <w:jc w:val="center"/>
        <w:outlineLvl w:val="0"/>
        <w:rPr>
          <w:rFonts w:ascii="黑体" w:eastAsia="黑体" w:hAnsi="黑体" w:hint="eastAsia"/>
          <w:sz w:val="44"/>
          <w:szCs w:val="44"/>
        </w:rPr>
      </w:pPr>
    </w:p>
    <w:p w:rsidR="00800648" w:rsidRDefault="00800648">
      <w:pPr>
        <w:spacing w:line="600" w:lineRule="exact"/>
        <w:jc w:val="center"/>
        <w:outlineLvl w:val="0"/>
        <w:rPr>
          <w:rFonts w:ascii="黑体" w:eastAsia="黑体" w:hAnsi="黑体" w:hint="eastAsia"/>
          <w:sz w:val="44"/>
          <w:szCs w:val="44"/>
        </w:rPr>
      </w:pPr>
    </w:p>
    <w:p w:rsidR="0071021A" w:rsidRDefault="0046049C">
      <w:pPr>
        <w:spacing w:line="600" w:lineRule="exact"/>
        <w:jc w:val="center"/>
        <w:outlineLvl w:val="0"/>
        <w:rPr>
          <w:rStyle w:val="1Char"/>
          <w:rFonts w:ascii="黑体" w:eastAsia="黑体" w:hAnsi="黑体"/>
          <w:b w:val="0"/>
        </w:rPr>
      </w:pPr>
      <w:r>
        <w:rPr>
          <w:rFonts w:ascii="黑体" w:eastAsia="黑体" w:hAnsi="黑体" w:hint="eastAsia"/>
          <w:sz w:val="44"/>
          <w:szCs w:val="44"/>
        </w:rPr>
        <w:lastRenderedPageBreak/>
        <w:t>第</w:t>
      </w:r>
      <w:r>
        <w:rPr>
          <w:rStyle w:val="1Char"/>
          <w:rFonts w:ascii="黑体" w:eastAsia="黑体" w:hAnsi="黑体" w:hint="eastAsia"/>
          <w:b w:val="0"/>
        </w:rPr>
        <w:t>四部分 附件</w:t>
      </w:r>
      <w:bookmarkEnd w:id="52"/>
    </w:p>
    <w:p w:rsidR="0071021A" w:rsidRDefault="0046049C">
      <w:pPr>
        <w:spacing w:line="600" w:lineRule="exact"/>
        <w:jc w:val="center"/>
        <w:outlineLvl w:val="0"/>
        <w:rPr>
          <w:rFonts w:ascii="黑体" w:eastAsia="黑体" w:hAnsi="黑体"/>
          <w:color w:val="FF0000"/>
          <w:sz w:val="44"/>
          <w:szCs w:val="44"/>
        </w:rPr>
      </w:pPr>
      <w:bookmarkStart w:id="54" w:name="_Toc15396618"/>
      <w:r>
        <w:rPr>
          <w:rFonts w:hint="eastAsia"/>
          <w:sz w:val="32"/>
          <w:szCs w:val="32"/>
        </w:rPr>
        <w:t>部门预算项目支出绩效自评表（</w:t>
      </w:r>
      <w:r>
        <w:rPr>
          <w:rFonts w:hint="eastAsia"/>
          <w:sz w:val="32"/>
          <w:szCs w:val="32"/>
        </w:rPr>
        <w:t>2023</w:t>
      </w:r>
      <w:r>
        <w:rPr>
          <w:rFonts w:hint="eastAsia"/>
          <w:sz w:val="32"/>
          <w:szCs w:val="32"/>
        </w:rPr>
        <w:t>年度）</w:t>
      </w:r>
    </w:p>
    <w:p w:rsidR="00A375A3" w:rsidRDefault="007855F6">
      <w:pPr>
        <w:pStyle w:val="a3"/>
        <w:spacing w:before="93"/>
        <w:rPr>
          <w:rFonts w:hAnsi="Calibri" w:cs="仿宋"/>
          <w:sz w:val="32"/>
          <w:szCs w:val="32"/>
        </w:rPr>
      </w:pPr>
      <w:r w:rsidRPr="00FE026E">
        <w:rPr>
          <w:rFonts w:ascii="宋体" w:hAnsiTheme="minorHAnsi" w:cs="宋体" w:hint="eastAsia"/>
          <w:color w:val="000000"/>
          <w:szCs w:val="30"/>
          <w:lang w:val="zh-CN"/>
        </w:rPr>
        <w:object w:dxaOrig="8055" w:dyaOrig="101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34.25pt;height:615.75pt" o:ole="">
            <v:imagedata r:id="rId15" o:title=""/>
          </v:shape>
          <o:OLEObject Type="Embed" ProgID="Picture.PicObj.1" ShapeID="_x0000_i1025" DrawAspect="Content" ObjectID="_1791637891" r:id="rId16"/>
        </w:object>
      </w:r>
      <w:r w:rsidRPr="00FE026E">
        <w:rPr>
          <w:rFonts w:ascii="宋体" w:hAnsiTheme="minorHAnsi" w:cs="宋体" w:hint="eastAsia"/>
          <w:color w:val="000000"/>
          <w:szCs w:val="30"/>
          <w:lang w:val="zh-CN"/>
        </w:rPr>
        <w:object w:dxaOrig="8055" w:dyaOrig="11055">
          <v:shape id="_x0000_i1026" type="#_x0000_t75" style="width:447.75pt;height:675.75pt" o:ole="">
            <v:imagedata r:id="rId17" o:title=""/>
          </v:shape>
          <o:OLEObject Type="Embed" ProgID="Picture.PicObj.1" ShapeID="_x0000_i1026" DrawAspect="Content" ObjectID="_1791637892" r:id="rId18"/>
        </w:object>
      </w:r>
      <w:r w:rsidR="00A375A3" w:rsidRPr="00FE026E">
        <w:rPr>
          <w:rFonts w:ascii="宋体" w:hAnsiTheme="minorHAnsi" w:cs="宋体" w:hint="eastAsia"/>
          <w:color w:val="000000"/>
          <w:szCs w:val="30"/>
          <w:lang w:val="zh-CN"/>
        </w:rPr>
        <w:object w:dxaOrig="8055" w:dyaOrig="11325">
          <v:shape id="_x0000_i1027" type="#_x0000_t75" style="width:433.5pt;height:687.75pt" o:ole="">
            <v:imagedata r:id="rId19" o:title=""/>
          </v:shape>
          <o:OLEObject Type="Embed" ProgID="Picture.PicObj.1" ShapeID="_x0000_i1027" DrawAspect="Content" ObjectID="_1791637893" r:id="rId20"/>
        </w:object>
      </w:r>
      <w:r w:rsidR="00A375A3" w:rsidRPr="00FE026E">
        <w:rPr>
          <w:rFonts w:ascii="宋体" w:hAnsiTheme="minorHAnsi" w:cs="宋体" w:hint="eastAsia"/>
          <w:color w:val="000000"/>
          <w:szCs w:val="30"/>
          <w:lang w:val="zh-CN"/>
        </w:rPr>
        <w:object w:dxaOrig="8085" w:dyaOrig="11115">
          <v:shape id="_x0000_i1028" type="#_x0000_t75" style="width:435.75pt;height:682.5pt" o:ole="">
            <v:imagedata r:id="rId21" o:title=""/>
          </v:shape>
          <o:OLEObject Type="Embed" ProgID="Picture.PicObj.1" ShapeID="_x0000_i1028" DrawAspect="Content" ObjectID="_1791637894" r:id="rId22"/>
        </w:object>
      </w:r>
    </w:p>
    <w:p w:rsidR="0071021A" w:rsidRDefault="0046049C">
      <w:pPr>
        <w:spacing w:line="600" w:lineRule="exact"/>
        <w:jc w:val="center"/>
        <w:outlineLvl w:val="0"/>
        <w:rPr>
          <w:rFonts w:ascii="仿宋" w:eastAsia="仿宋" w:hAnsi="仿宋"/>
        </w:rPr>
      </w:pPr>
      <w:r>
        <w:rPr>
          <w:rFonts w:ascii="黑体" w:eastAsia="黑体" w:hAnsi="黑体" w:hint="eastAsia"/>
          <w:sz w:val="44"/>
          <w:szCs w:val="44"/>
        </w:rPr>
        <w:t>第</w:t>
      </w:r>
      <w:r>
        <w:rPr>
          <w:rStyle w:val="1Char"/>
          <w:rFonts w:ascii="黑体" w:eastAsia="黑体" w:hAnsi="黑体" w:hint="eastAsia"/>
          <w:b w:val="0"/>
        </w:rPr>
        <w:t>五部分 附表</w:t>
      </w:r>
      <w:bookmarkStart w:id="55" w:name="_Toc15396619"/>
      <w:bookmarkEnd w:id="53"/>
      <w:bookmarkEnd w:id="54"/>
    </w:p>
    <w:p w:rsidR="0071021A" w:rsidRDefault="0046049C" w:rsidP="004758BA">
      <w:pPr>
        <w:pStyle w:val="2"/>
        <w:spacing w:before="240" w:after="240" w:line="640" w:lineRule="exact"/>
        <w:rPr>
          <w:rFonts w:ascii="仿宋" w:eastAsia="仿宋" w:hAnsi="仿宋"/>
        </w:rPr>
      </w:pPr>
      <w:r>
        <w:rPr>
          <w:rFonts w:ascii="仿宋" w:eastAsia="仿宋" w:hAnsi="仿宋" w:hint="eastAsia"/>
          <w:b w:val="0"/>
        </w:rPr>
        <w:t>一、收</w:t>
      </w:r>
      <w:r>
        <w:rPr>
          <w:rStyle w:val="2Char"/>
          <w:rFonts w:ascii="仿宋" w:eastAsia="仿宋" w:hAnsi="仿宋" w:hint="eastAsia"/>
        </w:rPr>
        <w:t>入支出决算总表</w:t>
      </w:r>
      <w:bookmarkEnd w:id="55"/>
    </w:p>
    <w:p w:rsidR="0071021A" w:rsidRDefault="0046049C" w:rsidP="004758BA">
      <w:pPr>
        <w:pStyle w:val="2"/>
        <w:spacing w:before="240" w:after="240" w:line="640" w:lineRule="exact"/>
        <w:rPr>
          <w:rFonts w:ascii="仿宋" w:eastAsia="仿宋" w:hAnsi="仿宋"/>
        </w:rPr>
      </w:pPr>
      <w:bookmarkStart w:id="56" w:name="_Toc15396620"/>
      <w:r>
        <w:rPr>
          <w:rFonts w:ascii="仿宋" w:eastAsia="仿宋" w:hAnsi="仿宋" w:hint="eastAsia"/>
          <w:b w:val="0"/>
        </w:rPr>
        <w:t>二、收</w:t>
      </w:r>
      <w:r>
        <w:rPr>
          <w:rStyle w:val="2Char"/>
          <w:rFonts w:ascii="仿宋" w:eastAsia="仿宋" w:hAnsi="仿宋" w:hint="eastAsia"/>
        </w:rPr>
        <w:t>入决算表</w:t>
      </w:r>
      <w:bookmarkEnd w:id="56"/>
    </w:p>
    <w:p w:rsidR="0071021A" w:rsidRDefault="0046049C" w:rsidP="004758BA">
      <w:pPr>
        <w:pStyle w:val="2"/>
        <w:spacing w:before="240" w:after="240" w:line="640" w:lineRule="exact"/>
        <w:rPr>
          <w:rFonts w:ascii="仿宋" w:eastAsia="仿宋" w:hAnsi="仿宋"/>
        </w:rPr>
      </w:pPr>
      <w:bookmarkStart w:id="57" w:name="_Toc15396621"/>
      <w:r>
        <w:rPr>
          <w:rStyle w:val="2Char"/>
          <w:rFonts w:ascii="仿宋" w:eastAsia="仿宋" w:hAnsi="仿宋" w:hint="eastAsia"/>
        </w:rPr>
        <w:t>三、</w:t>
      </w:r>
      <w:r>
        <w:rPr>
          <w:rFonts w:ascii="仿宋" w:eastAsia="仿宋" w:hAnsi="仿宋" w:hint="eastAsia"/>
          <w:b w:val="0"/>
        </w:rPr>
        <w:t>支</w:t>
      </w:r>
      <w:r>
        <w:rPr>
          <w:rStyle w:val="2Char"/>
          <w:rFonts w:ascii="仿宋" w:eastAsia="仿宋" w:hAnsi="仿宋" w:hint="eastAsia"/>
        </w:rPr>
        <w:t>出决算表</w:t>
      </w:r>
      <w:bookmarkEnd w:id="57"/>
    </w:p>
    <w:p w:rsidR="0071021A" w:rsidRDefault="0046049C" w:rsidP="004758BA">
      <w:pPr>
        <w:pStyle w:val="2"/>
        <w:spacing w:before="240" w:after="240" w:line="640" w:lineRule="exact"/>
        <w:rPr>
          <w:rFonts w:ascii="仿宋" w:eastAsia="仿宋" w:hAnsi="仿宋"/>
          <w:b w:val="0"/>
        </w:rPr>
      </w:pPr>
      <w:bookmarkStart w:id="58" w:name="_Toc15396622"/>
      <w:r>
        <w:rPr>
          <w:rStyle w:val="2Char"/>
          <w:rFonts w:ascii="仿宋" w:eastAsia="仿宋" w:hAnsi="仿宋" w:hint="eastAsia"/>
        </w:rPr>
        <w:t>四、</w:t>
      </w:r>
      <w:r>
        <w:rPr>
          <w:rFonts w:ascii="仿宋" w:eastAsia="仿宋" w:hAnsi="仿宋" w:hint="eastAsia"/>
          <w:b w:val="0"/>
        </w:rPr>
        <w:t>财</w:t>
      </w:r>
      <w:r>
        <w:rPr>
          <w:rStyle w:val="2Char"/>
          <w:rFonts w:ascii="仿宋" w:eastAsia="仿宋" w:hAnsi="仿宋" w:hint="eastAsia"/>
        </w:rPr>
        <w:t>政拨款收入支出决算总表</w:t>
      </w:r>
      <w:bookmarkEnd w:id="58"/>
    </w:p>
    <w:p w:rsidR="0071021A" w:rsidRDefault="0046049C" w:rsidP="004758BA">
      <w:pPr>
        <w:pStyle w:val="2"/>
        <w:spacing w:before="240" w:after="240" w:line="640" w:lineRule="exact"/>
        <w:rPr>
          <w:rStyle w:val="2Char"/>
          <w:rFonts w:ascii="仿宋" w:eastAsia="仿宋" w:hAnsi="仿宋"/>
        </w:rPr>
      </w:pPr>
      <w:bookmarkStart w:id="59" w:name="_Toc15396623"/>
      <w:r>
        <w:rPr>
          <w:rStyle w:val="2Char"/>
          <w:rFonts w:ascii="仿宋" w:eastAsia="仿宋" w:hAnsi="仿宋" w:hint="eastAsia"/>
        </w:rPr>
        <w:t>五、</w:t>
      </w:r>
      <w:r>
        <w:rPr>
          <w:rFonts w:ascii="仿宋" w:eastAsia="仿宋" w:hAnsi="仿宋" w:hint="eastAsia"/>
          <w:b w:val="0"/>
        </w:rPr>
        <w:t>财</w:t>
      </w:r>
      <w:r>
        <w:rPr>
          <w:rStyle w:val="2Char"/>
          <w:rFonts w:ascii="仿宋" w:eastAsia="仿宋" w:hAnsi="仿宋" w:hint="eastAsia"/>
        </w:rPr>
        <w:t>政拨款支出决算明细表</w:t>
      </w:r>
      <w:bookmarkStart w:id="60" w:name="_Toc15396624"/>
      <w:bookmarkEnd w:id="59"/>
    </w:p>
    <w:p w:rsidR="0071021A" w:rsidRDefault="0046049C" w:rsidP="004758BA">
      <w:pPr>
        <w:pStyle w:val="2"/>
        <w:spacing w:before="240" w:after="240" w:line="640" w:lineRule="exact"/>
        <w:rPr>
          <w:rFonts w:ascii="仿宋" w:eastAsia="仿宋" w:hAnsi="仿宋"/>
        </w:rPr>
      </w:pPr>
      <w:r>
        <w:rPr>
          <w:rStyle w:val="2Char"/>
          <w:rFonts w:ascii="仿宋" w:eastAsia="仿宋" w:hAnsi="仿宋" w:hint="eastAsia"/>
        </w:rPr>
        <w:t>六、</w:t>
      </w:r>
      <w:r>
        <w:rPr>
          <w:rFonts w:ascii="仿宋" w:eastAsia="仿宋" w:hAnsi="仿宋" w:hint="eastAsia"/>
          <w:b w:val="0"/>
        </w:rPr>
        <w:t>一</w:t>
      </w:r>
      <w:r>
        <w:rPr>
          <w:rStyle w:val="2Char"/>
          <w:rFonts w:ascii="仿宋" w:eastAsia="仿宋" w:hAnsi="仿宋" w:hint="eastAsia"/>
        </w:rPr>
        <w:t>般公共预算财政拨款支出决算表</w:t>
      </w:r>
      <w:bookmarkEnd w:id="60"/>
    </w:p>
    <w:p w:rsidR="0071021A" w:rsidRDefault="0046049C" w:rsidP="004758BA">
      <w:pPr>
        <w:pStyle w:val="2"/>
        <w:spacing w:before="240" w:after="240" w:line="640" w:lineRule="exact"/>
        <w:rPr>
          <w:rFonts w:ascii="仿宋" w:eastAsia="仿宋" w:hAnsi="仿宋"/>
        </w:rPr>
      </w:pPr>
      <w:bookmarkStart w:id="61" w:name="_Toc15396625"/>
      <w:r>
        <w:rPr>
          <w:rStyle w:val="2Char"/>
          <w:rFonts w:ascii="仿宋" w:eastAsia="仿宋" w:hAnsi="仿宋" w:hint="eastAsia"/>
        </w:rPr>
        <w:t>七、</w:t>
      </w:r>
      <w:r>
        <w:rPr>
          <w:rFonts w:ascii="仿宋" w:eastAsia="仿宋" w:hAnsi="仿宋" w:hint="eastAsia"/>
          <w:b w:val="0"/>
        </w:rPr>
        <w:t>一</w:t>
      </w:r>
      <w:r>
        <w:rPr>
          <w:rStyle w:val="2Char"/>
          <w:rFonts w:ascii="仿宋" w:eastAsia="仿宋" w:hAnsi="仿宋" w:hint="eastAsia"/>
        </w:rPr>
        <w:t>般公共预算财政拨款支出决算明细表</w:t>
      </w:r>
      <w:bookmarkEnd w:id="61"/>
    </w:p>
    <w:p w:rsidR="0071021A" w:rsidRDefault="0046049C" w:rsidP="004758BA">
      <w:pPr>
        <w:pStyle w:val="2"/>
        <w:spacing w:before="240" w:after="240" w:line="640" w:lineRule="exact"/>
        <w:rPr>
          <w:rFonts w:ascii="仿宋" w:eastAsia="仿宋" w:hAnsi="仿宋"/>
        </w:rPr>
      </w:pPr>
      <w:bookmarkStart w:id="62" w:name="_Toc15396626"/>
      <w:r>
        <w:rPr>
          <w:rStyle w:val="2Char"/>
          <w:rFonts w:ascii="仿宋" w:eastAsia="仿宋" w:hAnsi="仿宋" w:hint="eastAsia"/>
        </w:rPr>
        <w:t>八、</w:t>
      </w:r>
      <w:r>
        <w:rPr>
          <w:rFonts w:ascii="仿宋" w:eastAsia="仿宋" w:hAnsi="仿宋" w:hint="eastAsia"/>
          <w:b w:val="0"/>
        </w:rPr>
        <w:t>一</w:t>
      </w:r>
      <w:r>
        <w:rPr>
          <w:rStyle w:val="2Char"/>
          <w:rFonts w:ascii="仿宋" w:eastAsia="仿宋" w:hAnsi="仿宋" w:hint="eastAsia"/>
        </w:rPr>
        <w:t>般公共预算财政拨款基本支出决算表</w:t>
      </w:r>
      <w:bookmarkEnd w:id="62"/>
    </w:p>
    <w:p w:rsidR="0071021A" w:rsidRDefault="0046049C" w:rsidP="004758BA">
      <w:pPr>
        <w:pStyle w:val="2"/>
        <w:spacing w:before="240" w:after="240" w:line="640" w:lineRule="exact"/>
        <w:rPr>
          <w:rFonts w:ascii="仿宋" w:eastAsia="仿宋" w:hAnsi="仿宋"/>
        </w:rPr>
      </w:pPr>
      <w:bookmarkStart w:id="63" w:name="_Toc15396627"/>
      <w:r>
        <w:rPr>
          <w:rStyle w:val="2Char"/>
          <w:rFonts w:ascii="仿宋" w:eastAsia="仿宋" w:hAnsi="仿宋" w:hint="eastAsia"/>
        </w:rPr>
        <w:t>九、</w:t>
      </w:r>
      <w:r>
        <w:rPr>
          <w:rFonts w:ascii="仿宋" w:eastAsia="仿宋" w:hAnsi="仿宋" w:hint="eastAsia"/>
          <w:b w:val="0"/>
        </w:rPr>
        <w:t>一</w:t>
      </w:r>
      <w:r>
        <w:rPr>
          <w:rStyle w:val="2Char"/>
          <w:rFonts w:ascii="仿宋" w:eastAsia="仿宋" w:hAnsi="仿宋" w:hint="eastAsia"/>
        </w:rPr>
        <w:t>般公共预算财政拨款项目支出决算表</w:t>
      </w:r>
      <w:bookmarkEnd w:id="63"/>
    </w:p>
    <w:p w:rsidR="0071021A" w:rsidRDefault="0046049C" w:rsidP="004758BA">
      <w:pPr>
        <w:pStyle w:val="2"/>
        <w:spacing w:before="240" w:after="240" w:line="640" w:lineRule="exact"/>
        <w:rPr>
          <w:rFonts w:ascii="仿宋" w:eastAsia="仿宋" w:hAnsi="仿宋"/>
        </w:rPr>
      </w:pPr>
      <w:bookmarkStart w:id="64" w:name="_Toc15396628"/>
      <w:r>
        <w:rPr>
          <w:rStyle w:val="2Char"/>
          <w:rFonts w:ascii="仿宋" w:eastAsia="仿宋" w:hAnsi="仿宋" w:hint="eastAsia"/>
        </w:rPr>
        <w:t>十、</w:t>
      </w:r>
      <w:bookmarkEnd w:id="64"/>
      <w:r>
        <w:rPr>
          <w:rFonts w:ascii="仿宋" w:eastAsia="仿宋" w:hAnsi="仿宋" w:hint="eastAsia"/>
          <w:b w:val="0"/>
        </w:rPr>
        <w:t>政</w:t>
      </w:r>
      <w:r>
        <w:rPr>
          <w:rStyle w:val="2Char"/>
          <w:rFonts w:ascii="仿宋" w:eastAsia="仿宋" w:hAnsi="仿宋" w:hint="eastAsia"/>
        </w:rPr>
        <w:t>府性基金预算财政拨款收入支出决算表</w:t>
      </w:r>
    </w:p>
    <w:p w:rsidR="0071021A" w:rsidRDefault="0046049C" w:rsidP="004758BA">
      <w:pPr>
        <w:pStyle w:val="2"/>
        <w:spacing w:before="240" w:after="240" w:line="640" w:lineRule="exact"/>
        <w:rPr>
          <w:rFonts w:ascii="仿宋" w:eastAsia="仿宋" w:hAnsi="仿宋"/>
        </w:rPr>
      </w:pPr>
      <w:bookmarkStart w:id="65" w:name="_Toc15396629"/>
      <w:r>
        <w:rPr>
          <w:rStyle w:val="2Char"/>
          <w:rFonts w:ascii="仿宋" w:eastAsia="仿宋" w:hAnsi="仿宋" w:hint="eastAsia"/>
        </w:rPr>
        <w:t>十一、</w:t>
      </w:r>
      <w:bookmarkEnd w:id="65"/>
      <w:r>
        <w:rPr>
          <w:rFonts w:ascii="仿宋" w:eastAsia="仿宋" w:hAnsi="仿宋" w:hint="eastAsia"/>
          <w:b w:val="0"/>
        </w:rPr>
        <w:t>国</w:t>
      </w:r>
      <w:r>
        <w:rPr>
          <w:rStyle w:val="2Char"/>
          <w:rFonts w:ascii="仿宋" w:eastAsia="仿宋" w:hAnsi="仿宋" w:hint="eastAsia"/>
        </w:rPr>
        <w:t>有资本经营预算财政拨款收入支出决算表</w:t>
      </w:r>
    </w:p>
    <w:p w:rsidR="0071021A" w:rsidRDefault="0046049C" w:rsidP="004758BA">
      <w:pPr>
        <w:pStyle w:val="2"/>
        <w:spacing w:before="240" w:after="240" w:line="640" w:lineRule="exact"/>
        <w:rPr>
          <w:rFonts w:ascii="仿宋" w:eastAsia="仿宋" w:hAnsi="仿宋"/>
        </w:rPr>
      </w:pPr>
      <w:bookmarkStart w:id="66" w:name="_Toc15396630"/>
      <w:r>
        <w:rPr>
          <w:rStyle w:val="2Char"/>
          <w:rFonts w:ascii="仿宋" w:eastAsia="仿宋" w:hAnsi="仿宋" w:hint="eastAsia"/>
        </w:rPr>
        <w:t>十二、</w:t>
      </w:r>
      <w:bookmarkEnd w:id="66"/>
      <w:r>
        <w:rPr>
          <w:rStyle w:val="2Char"/>
          <w:rFonts w:ascii="仿宋" w:eastAsia="仿宋" w:hAnsi="仿宋" w:hint="eastAsia"/>
        </w:rPr>
        <w:t>国有资本经营预算财政拨款支出决算表</w:t>
      </w:r>
    </w:p>
    <w:p w:rsidR="0071021A" w:rsidRDefault="0046049C" w:rsidP="004758BA">
      <w:pPr>
        <w:pStyle w:val="2"/>
        <w:spacing w:before="240" w:after="240" w:line="640" w:lineRule="exact"/>
        <w:rPr>
          <w:rFonts w:eastAsia="仿宋"/>
        </w:rPr>
      </w:pPr>
      <w:bookmarkStart w:id="67" w:name="_Toc15396631"/>
      <w:r>
        <w:rPr>
          <w:rStyle w:val="2Char"/>
          <w:rFonts w:ascii="仿宋" w:eastAsia="仿宋" w:hAnsi="仿宋" w:hint="eastAsia"/>
        </w:rPr>
        <w:t>十三、</w:t>
      </w:r>
      <w:bookmarkEnd w:id="67"/>
      <w:r>
        <w:rPr>
          <w:rStyle w:val="2Char"/>
          <w:rFonts w:ascii="仿宋" w:eastAsia="仿宋" w:hAnsi="仿宋" w:hint="eastAsia"/>
        </w:rPr>
        <w:t>财政拨款“三公”经费支出决算表</w:t>
      </w:r>
    </w:p>
    <w:sectPr w:rsidR="0071021A" w:rsidSect="00185FCC">
      <w:headerReference w:type="default" r:id="rId23"/>
      <w:footerReference w:type="default" r:id="rId24"/>
      <w:pgSz w:w="11906" w:h="16838"/>
      <w:pgMar w:top="1440" w:right="1800" w:bottom="1440" w:left="1800" w:header="851" w:footer="992" w:gutter="0"/>
      <w:pgNumType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2483D" w:rsidRDefault="0062483D">
      <w:r>
        <w:separator/>
      </w:r>
    </w:p>
  </w:endnote>
  <w:endnote w:type="continuationSeparator" w:id="1">
    <w:p w:rsidR="0062483D" w:rsidRDefault="0062483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_GB2312">
    <w:altName w:val="Arial Unicode MS"/>
    <w:charset w:val="86"/>
    <w:family w:val="modern"/>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default"/>
    <w:sig w:usb0="00000000"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94781956"/>
    </w:sdtPr>
    <w:sdtContent>
      <w:p w:rsidR="0046049C" w:rsidRDefault="00476BB7">
        <w:pPr>
          <w:pStyle w:val="a6"/>
          <w:jc w:val="center"/>
        </w:pPr>
        <w:r>
          <w:fldChar w:fldCharType="begin"/>
        </w:r>
        <w:r w:rsidR="0046049C">
          <w:instrText>PAGE   \* MERGEFORMAT</w:instrText>
        </w:r>
        <w:r>
          <w:fldChar w:fldCharType="separate"/>
        </w:r>
        <w:r w:rsidR="00800648" w:rsidRPr="00800648">
          <w:rPr>
            <w:noProof/>
            <w:lang w:val="zh-CN"/>
          </w:rPr>
          <w:t>2</w:t>
        </w:r>
        <w:r>
          <w:fldChar w:fldCharType="end"/>
        </w:r>
      </w:p>
    </w:sdtContent>
  </w:sdt>
  <w:p w:rsidR="0046049C" w:rsidRDefault="0046049C">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2483D" w:rsidRDefault="0062483D">
      <w:r>
        <w:separator/>
      </w:r>
    </w:p>
  </w:footnote>
  <w:footnote w:type="continuationSeparator" w:id="1">
    <w:p w:rsidR="0062483D" w:rsidRDefault="0062483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049C" w:rsidRDefault="0046049C">
    <w:pPr>
      <w:pStyle w:val="a7"/>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F652CEC"/>
    <w:multiLevelType w:val="singleLevel"/>
    <w:tmpl w:val="CF652CEC"/>
    <w:lvl w:ilvl="0">
      <w:start w:val="9"/>
      <w:numFmt w:val="chineseCounting"/>
      <w:suff w:val="nothing"/>
      <w:lvlText w:val="%1、"/>
      <w:lvlJc w:val="left"/>
      <w:rPr>
        <w:rFonts w:hint="eastAsia"/>
      </w:rPr>
    </w:lvl>
  </w:abstractNum>
  <w:abstractNum w:abstractNumId="1">
    <w:nsid w:val="E2FA047D"/>
    <w:multiLevelType w:val="singleLevel"/>
    <w:tmpl w:val="E2FA047D"/>
    <w:lvl w:ilvl="0">
      <w:start w:val="3"/>
      <w:numFmt w:val="chineseCounting"/>
      <w:suff w:val="space"/>
      <w:lvlText w:val="第%1部分"/>
      <w:lvlJc w:val="left"/>
      <w:rPr>
        <w:rFonts w:ascii="黑体" w:eastAsia="黑体" w:hAnsi="黑体" w:cs="黑体" w:hint="eastAsia"/>
        <w:sz w:val="44"/>
        <w:szCs w:val="44"/>
      </w:rPr>
    </w:lvl>
  </w:abstractNum>
  <w:abstractNum w:abstractNumId="2">
    <w:nsid w:val="1272550B"/>
    <w:multiLevelType w:val="multilevel"/>
    <w:tmpl w:val="1272550B"/>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3">
    <w:nsid w:val="3818A09A"/>
    <w:multiLevelType w:val="singleLevel"/>
    <w:tmpl w:val="3818A09A"/>
    <w:lvl w:ilvl="0">
      <w:start w:val="1"/>
      <w:numFmt w:val="chineseCounting"/>
      <w:suff w:val="nothing"/>
      <w:lvlText w:val="%1、"/>
      <w:lvlJc w:val="left"/>
      <w:rPr>
        <w:rFonts w:hint="eastAsia"/>
      </w:rPr>
    </w:lvl>
  </w:abstractNum>
  <w:num w:numId="1">
    <w:abstractNumId w:val="3"/>
  </w:num>
  <w:num w:numId="2">
    <w:abstractNumId w:val="2"/>
  </w:num>
  <w:num w:numId="3">
    <w:abstractNumId w:val="0"/>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355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1361C"/>
    <w:rsid w:val="84BF1F3B"/>
    <w:rsid w:val="8F55B106"/>
    <w:rsid w:val="95DF317D"/>
    <w:rsid w:val="97E77C70"/>
    <w:rsid w:val="9E3A10E2"/>
    <w:rsid w:val="9FB91FBD"/>
    <w:rsid w:val="9FD54998"/>
    <w:rsid w:val="A671883B"/>
    <w:rsid w:val="A7EFD17F"/>
    <w:rsid w:val="A7FFE43F"/>
    <w:rsid w:val="BDFEA317"/>
    <w:rsid w:val="CD9BBABB"/>
    <w:rsid w:val="CF99F292"/>
    <w:rsid w:val="D5DA60B3"/>
    <w:rsid w:val="D7C6F579"/>
    <w:rsid w:val="D8FECA92"/>
    <w:rsid w:val="DAFFBE66"/>
    <w:rsid w:val="DD2C0BFE"/>
    <w:rsid w:val="DE3F332B"/>
    <w:rsid w:val="DE6F4A3D"/>
    <w:rsid w:val="DF69F8B0"/>
    <w:rsid w:val="DFC71555"/>
    <w:rsid w:val="DFFC559C"/>
    <w:rsid w:val="DFFEDFAE"/>
    <w:rsid w:val="DFFFB5EB"/>
    <w:rsid w:val="E4B33E57"/>
    <w:rsid w:val="E5BF946A"/>
    <w:rsid w:val="EB39BD45"/>
    <w:rsid w:val="EBCF1FC2"/>
    <w:rsid w:val="EBD18F66"/>
    <w:rsid w:val="ED17392C"/>
    <w:rsid w:val="ED9FFD9A"/>
    <w:rsid w:val="EDB7968B"/>
    <w:rsid w:val="EEF73F60"/>
    <w:rsid w:val="EFED9E42"/>
    <w:rsid w:val="EFFFB194"/>
    <w:rsid w:val="F2E1F9D4"/>
    <w:rsid w:val="F5FF7449"/>
    <w:rsid w:val="F7880819"/>
    <w:rsid w:val="F7AF180D"/>
    <w:rsid w:val="F7BDBFA7"/>
    <w:rsid w:val="F7FAD68F"/>
    <w:rsid w:val="F7FB14CF"/>
    <w:rsid w:val="FB3FC69C"/>
    <w:rsid w:val="FBDFF225"/>
    <w:rsid w:val="FBF7AB63"/>
    <w:rsid w:val="FC2F3373"/>
    <w:rsid w:val="FCF51535"/>
    <w:rsid w:val="FD77F6B8"/>
    <w:rsid w:val="FDD69328"/>
    <w:rsid w:val="FDDFEC0E"/>
    <w:rsid w:val="FDE58BDD"/>
    <w:rsid w:val="FDEC7001"/>
    <w:rsid w:val="FEDFE87F"/>
    <w:rsid w:val="FEF1D25B"/>
    <w:rsid w:val="FF3EF90F"/>
    <w:rsid w:val="FFAF6081"/>
    <w:rsid w:val="FFECCD8C"/>
    <w:rsid w:val="FFED60BD"/>
    <w:rsid w:val="FFEE08F0"/>
    <w:rsid w:val="FFEE7F9F"/>
    <w:rsid w:val="FFFF3197"/>
    <w:rsid w:val="000222C6"/>
    <w:rsid w:val="0002549F"/>
    <w:rsid w:val="000468DB"/>
    <w:rsid w:val="0006487A"/>
    <w:rsid w:val="00065F8F"/>
    <w:rsid w:val="00070A43"/>
    <w:rsid w:val="000768F2"/>
    <w:rsid w:val="0009184B"/>
    <w:rsid w:val="00094236"/>
    <w:rsid w:val="0009593C"/>
    <w:rsid w:val="00097322"/>
    <w:rsid w:val="000A6A92"/>
    <w:rsid w:val="000B047F"/>
    <w:rsid w:val="000B3112"/>
    <w:rsid w:val="000B5923"/>
    <w:rsid w:val="000B5A48"/>
    <w:rsid w:val="000B6FF3"/>
    <w:rsid w:val="000C3467"/>
    <w:rsid w:val="000C3CA6"/>
    <w:rsid w:val="000D1267"/>
    <w:rsid w:val="000D1D50"/>
    <w:rsid w:val="000D5782"/>
    <w:rsid w:val="000D7C4D"/>
    <w:rsid w:val="000E6613"/>
    <w:rsid w:val="000E7119"/>
    <w:rsid w:val="00111BD2"/>
    <w:rsid w:val="00114E9B"/>
    <w:rsid w:val="00135120"/>
    <w:rsid w:val="00142216"/>
    <w:rsid w:val="00144D6A"/>
    <w:rsid w:val="0014729F"/>
    <w:rsid w:val="00157BAB"/>
    <w:rsid w:val="001654D1"/>
    <w:rsid w:val="00174518"/>
    <w:rsid w:val="0018106D"/>
    <w:rsid w:val="00185FCC"/>
    <w:rsid w:val="001877A7"/>
    <w:rsid w:val="00191536"/>
    <w:rsid w:val="00196687"/>
    <w:rsid w:val="001A1DAD"/>
    <w:rsid w:val="001C0962"/>
    <w:rsid w:val="001D7531"/>
    <w:rsid w:val="001E0B1E"/>
    <w:rsid w:val="001E737D"/>
    <w:rsid w:val="001F0592"/>
    <w:rsid w:val="001F7506"/>
    <w:rsid w:val="002006CD"/>
    <w:rsid w:val="00201870"/>
    <w:rsid w:val="00202B36"/>
    <w:rsid w:val="00204B7A"/>
    <w:rsid w:val="00204CDE"/>
    <w:rsid w:val="00206907"/>
    <w:rsid w:val="0021101A"/>
    <w:rsid w:val="00212B4A"/>
    <w:rsid w:val="00220536"/>
    <w:rsid w:val="00235629"/>
    <w:rsid w:val="00260C38"/>
    <w:rsid w:val="002616C0"/>
    <w:rsid w:val="00265372"/>
    <w:rsid w:val="002662AA"/>
    <w:rsid w:val="00280496"/>
    <w:rsid w:val="00294DC9"/>
    <w:rsid w:val="00295495"/>
    <w:rsid w:val="002A31DE"/>
    <w:rsid w:val="002B2613"/>
    <w:rsid w:val="002C5004"/>
    <w:rsid w:val="002D6D05"/>
    <w:rsid w:val="002F1818"/>
    <w:rsid w:val="002F567B"/>
    <w:rsid w:val="003216A9"/>
    <w:rsid w:val="00335A74"/>
    <w:rsid w:val="00347A40"/>
    <w:rsid w:val="0036561B"/>
    <w:rsid w:val="0037013F"/>
    <w:rsid w:val="003758C3"/>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0898"/>
    <w:rsid w:val="004223DE"/>
    <w:rsid w:val="00425C50"/>
    <w:rsid w:val="0043177C"/>
    <w:rsid w:val="00434489"/>
    <w:rsid w:val="00437085"/>
    <w:rsid w:val="00443880"/>
    <w:rsid w:val="004464F4"/>
    <w:rsid w:val="0046049C"/>
    <w:rsid w:val="00471401"/>
    <w:rsid w:val="00472E55"/>
    <w:rsid w:val="00473F31"/>
    <w:rsid w:val="004758BA"/>
    <w:rsid w:val="00476BB7"/>
    <w:rsid w:val="0048263A"/>
    <w:rsid w:val="00487E5D"/>
    <w:rsid w:val="004A711F"/>
    <w:rsid w:val="004B199D"/>
    <w:rsid w:val="004B4690"/>
    <w:rsid w:val="004E0A2D"/>
    <w:rsid w:val="004E206B"/>
    <w:rsid w:val="004E6DF7"/>
    <w:rsid w:val="004F0FBD"/>
    <w:rsid w:val="00505A47"/>
    <w:rsid w:val="00512FDA"/>
    <w:rsid w:val="00520DA0"/>
    <w:rsid w:val="005533CF"/>
    <w:rsid w:val="005664BB"/>
    <w:rsid w:val="00566FFA"/>
    <w:rsid w:val="0057481D"/>
    <w:rsid w:val="0058486E"/>
    <w:rsid w:val="00585B33"/>
    <w:rsid w:val="0059014D"/>
    <w:rsid w:val="005B0159"/>
    <w:rsid w:val="005B5C64"/>
    <w:rsid w:val="005B6E8A"/>
    <w:rsid w:val="005C5337"/>
    <w:rsid w:val="005C6BD0"/>
    <w:rsid w:val="005D1C8B"/>
    <w:rsid w:val="005D468D"/>
    <w:rsid w:val="005D5CED"/>
    <w:rsid w:val="005F10BC"/>
    <w:rsid w:val="005F1A4C"/>
    <w:rsid w:val="00605688"/>
    <w:rsid w:val="006070AF"/>
    <w:rsid w:val="00607E6C"/>
    <w:rsid w:val="006101B1"/>
    <w:rsid w:val="00614E44"/>
    <w:rsid w:val="0062270A"/>
    <w:rsid w:val="00622830"/>
    <w:rsid w:val="00623DA0"/>
    <w:rsid w:val="0062483D"/>
    <w:rsid w:val="00630AEF"/>
    <w:rsid w:val="006325F8"/>
    <w:rsid w:val="00633463"/>
    <w:rsid w:val="00634C9A"/>
    <w:rsid w:val="006440E4"/>
    <w:rsid w:val="00655FC5"/>
    <w:rsid w:val="0066343B"/>
    <w:rsid w:val="00664777"/>
    <w:rsid w:val="006748A4"/>
    <w:rsid w:val="00681A31"/>
    <w:rsid w:val="00683E73"/>
    <w:rsid w:val="006A21EE"/>
    <w:rsid w:val="006A3141"/>
    <w:rsid w:val="006A5E34"/>
    <w:rsid w:val="006B1E0A"/>
    <w:rsid w:val="006B2422"/>
    <w:rsid w:val="006B2B9A"/>
    <w:rsid w:val="006C1937"/>
    <w:rsid w:val="006F020C"/>
    <w:rsid w:val="006F3E8C"/>
    <w:rsid w:val="006F7153"/>
    <w:rsid w:val="0071021A"/>
    <w:rsid w:val="007127B7"/>
    <w:rsid w:val="0071798E"/>
    <w:rsid w:val="007416B6"/>
    <w:rsid w:val="00746F48"/>
    <w:rsid w:val="0075404D"/>
    <w:rsid w:val="0076182A"/>
    <w:rsid w:val="00767B7E"/>
    <w:rsid w:val="007770C3"/>
    <w:rsid w:val="00784D24"/>
    <w:rsid w:val="007855F6"/>
    <w:rsid w:val="00785FBA"/>
    <w:rsid w:val="00786E4A"/>
    <w:rsid w:val="007875EB"/>
    <w:rsid w:val="0079426B"/>
    <w:rsid w:val="007C0CBE"/>
    <w:rsid w:val="007D1682"/>
    <w:rsid w:val="007D312A"/>
    <w:rsid w:val="007D3F19"/>
    <w:rsid w:val="007E23B0"/>
    <w:rsid w:val="007E23E5"/>
    <w:rsid w:val="007F1991"/>
    <w:rsid w:val="007F2C2F"/>
    <w:rsid w:val="007F55FC"/>
    <w:rsid w:val="007F5665"/>
    <w:rsid w:val="00800112"/>
    <w:rsid w:val="00800648"/>
    <w:rsid w:val="00813102"/>
    <w:rsid w:val="00813348"/>
    <w:rsid w:val="008253BB"/>
    <w:rsid w:val="0083706E"/>
    <w:rsid w:val="008408F6"/>
    <w:rsid w:val="008423A5"/>
    <w:rsid w:val="00850625"/>
    <w:rsid w:val="00853718"/>
    <w:rsid w:val="00855221"/>
    <w:rsid w:val="00860645"/>
    <w:rsid w:val="00871F71"/>
    <w:rsid w:val="00872FD8"/>
    <w:rsid w:val="00885AF4"/>
    <w:rsid w:val="008939CD"/>
    <w:rsid w:val="008B06A9"/>
    <w:rsid w:val="008B768C"/>
    <w:rsid w:val="008C4DB1"/>
    <w:rsid w:val="008C4EAF"/>
    <w:rsid w:val="008C5176"/>
    <w:rsid w:val="008C7FD0"/>
    <w:rsid w:val="008C7FD8"/>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375A3"/>
    <w:rsid w:val="00A40A00"/>
    <w:rsid w:val="00A4142F"/>
    <w:rsid w:val="00A422EB"/>
    <w:rsid w:val="00A45BB7"/>
    <w:rsid w:val="00A56DF2"/>
    <w:rsid w:val="00A56E6E"/>
    <w:rsid w:val="00A648A6"/>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3B8E"/>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1A14"/>
    <w:rsid w:val="00C533CC"/>
    <w:rsid w:val="00C56F6C"/>
    <w:rsid w:val="00C5751C"/>
    <w:rsid w:val="00C61BFC"/>
    <w:rsid w:val="00C62B85"/>
    <w:rsid w:val="00C65438"/>
    <w:rsid w:val="00C87FD8"/>
    <w:rsid w:val="00C91381"/>
    <w:rsid w:val="00C91CBB"/>
    <w:rsid w:val="00CA7DFA"/>
    <w:rsid w:val="00CB4E70"/>
    <w:rsid w:val="00CC09B6"/>
    <w:rsid w:val="00CC666F"/>
    <w:rsid w:val="00CD1E3F"/>
    <w:rsid w:val="00CE44F6"/>
    <w:rsid w:val="00CE49DA"/>
    <w:rsid w:val="00CE7B61"/>
    <w:rsid w:val="00D00095"/>
    <w:rsid w:val="00D114F0"/>
    <w:rsid w:val="00D20620"/>
    <w:rsid w:val="00D254F7"/>
    <w:rsid w:val="00D26091"/>
    <w:rsid w:val="00D2685C"/>
    <w:rsid w:val="00D31E6F"/>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7143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C1518"/>
    <w:rsid w:val="00FD3CC1"/>
    <w:rsid w:val="00FE026E"/>
    <w:rsid w:val="00FF1E02"/>
    <w:rsid w:val="00FF30B4"/>
    <w:rsid w:val="03DC2831"/>
    <w:rsid w:val="081B5E94"/>
    <w:rsid w:val="0A2032A3"/>
    <w:rsid w:val="0B8A37D8"/>
    <w:rsid w:val="0F5FFB2F"/>
    <w:rsid w:val="0FFFCF60"/>
    <w:rsid w:val="10C055FF"/>
    <w:rsid w:val="118107EC"/>
    <w:rsid w:val="11DD6519"/>
    <w:rsid w:val="16BB723D"/>
    <w:rsid w:val="18015F3F"/>
    <w:rsid w:val="1BE8440E"/>
    <w:rsid w:val="1D155CEE"/>
    <w:rsid w:val="1FDBBF84"/>
    <w:rsid w:val="20F57F95"/>
    <w:rsid w:val="240371BF"/>
    <w:rsid w:val="25711CC6"/>
    <w:rsid w:val="25C741E6"/>
    <w:rsid w:val="276F80C0"/>
    <w:rsid w:val="27842671"/>
    <w:rsid w:val="29FD04D3"/>
    <w:rsid w:val="2ABE7A3E"/>
    <w:rsid w:val="2AFF09B6"/>
    <w:rsid w:val="2CA234A8"/>
    <w:rsid w:val="2EFA178C"/>
    <w:rsid w:val="2EFDF86C"/>
    <w:rsid w:val="2F9D17E1"/>
    <w:rsid w:val="30B46D73"/>
    <w:rsid w:val="319F7F4E"/>
    <w:rsid w:val="356A28F1"/>
    <w:rsid w:val="357C035A"/>
    <w:rsid w:val="368E000D"/>
    <w:rsid w:val="383D272C"/>
    <w:rsid w:val="39AE70AB"/>
    <w:rsid w:val="3A4DCE41"/>
    <w:rsid w:val="3BCB56FA"/>
    <w:rsid w:val="3C0C0783"/>
    <w:rsid w:val="3EE7C2F4"/>
    <w:rsid w:val="3F371B56"/>
    <w:rsid w:val="3F792ED8"/>
    <w:rsid w:val="3F9F3A96"/>
    <w:rsid w:val="3FECA4B2"/>
    <w:rsid w:val="3FF58C48"/>
    <w:rsid w:val="42FF6694"/>
    <w:rsid w:val="48BF60AB"/>
    <w:rsid w:val="493C27E9"/>
    <w:rsid w:val="496F39ED"/>
    <w:rsid w:val="49FF41D3"/>
    <w:rsid w:val="4BE068DB"/>
    <w:rsid w:val="4BF6002B"/>
    <w:rsid w:val="4BFFC6BE"/>
    <w:rsid w:val="4ECE2238"/>
    <w:rsid w:val="51DB4B86"/>
    <w:rsid w:val="51F64DB0"/>
    <w:rsid w:val="55333C3E"/>
    <w:rsid w:val="5F67802D"/>
    <w:rsid w:val="5F7DC4F2"/>
    <w:rsid w:val="5FB36814"/>
    <w:rsid w:val="5FBB8E56"/>
    <w:rsid w:val="5FFB5535"/>
    <w:rsid w:val="64CA39A1"/>
    <w:rsid w:val="69630ADE"/>
    <w:rsid w:val="69BD5F13"/>
    <w:rsid w:val="69FB0B4B"/>
    <w:rsid w:val="6BFFE1FB"/>
    <w:rsid w:val="6C4A05C8"/>
    <w:rsid w:val="6D3B1A89"/>
    <w:rsid w:val="6DB7D8A3"/>
    <w:rsid w:val="6EC78701"/>
    <w:rsid w:val="6F7A5481"/>
    <w:rsid w:val="6FFE07A9"/>
    <w:rsid w:val="71BF4EC2"/>
    <w:rsid w:val="72734D90"/>
    <w:rsid w:val="73E75B71"/>
    <w:rsid w:val="7412278C"/>
    <w:rsid w:val="75DDCDA9"/>
    <w:rsid w:val="75FF44B1"/>
    <w:rsid w:val="77670518"/>
    <w:rsid w:val="777FA627"/>
    <w:rsid w:val="77DF1B5F"/>
    <w:rsid w:val="77EF2D9D"/>
    <w:rsid w:val="79E7B28D"/>
    <w:rsid w:val="7ACFF0C2"/>
    <w:rsid w:val="7AFB9108"/>
    <w:rsid w:val="7BD5340C"/>
    <w:rsid w:val="7BFB19D2"/>
    <w:rsid w:val="7BFD1750"/>
    <w:rsid w:val="7BFDAA1B"/>
    <w:rsid w:val="7CDF9A82"/>
    <w:rsid w:val="7CFFA1BD"/>
    <w:rsid w:val="7D2E3F7A"/>
    <w:rsid w:val="7DED9490"/>
    <w:rsid w:val="7DFF4872"/>
    <w:rsid w:val="7E7487E6"/>
    <w:rsid w:val="7E7C2A54"/>
    <w:rsid w:val="7EEEFD72"/>
    <w:rsid w:val="7F1D517C"/>
    <w:rsid w:val="7F5DA057"/>
    <w:rsid w:val="7F6C2237"/>
    <w:rsid w:val="7F7F319B"/>
    <w:rsid w:val="7F9F20EE"/>
    <w:rsid w:val="7FBBE890"/>
    <w:rsid w:val="7FBC2ABD"/>
    <w:rsid w:val="7FBF5D48"/>
    <w:rsid w:val="7FCCFC01"/>
    <w:rsid w:val="7FDD1748"/>
    <w:rsid w:val="7FE769C6"/>
    <w:rsid w:val="7FFD083E"/>
    <w:rsid w:val="7FFF937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0" w:qFormat="1"/>
    <w:lsdException w:name="footer" w:semiHidden="0" w:unhideWhenUsed="0" w:qFormat="1"/>
    <w:lsdException w:name="caption" w:uiPriority="35" w:qFormat="1"/>
    <w:lsdException w:name="Title" w:semiHidden="0" w:uiPriority="10" w:unhideWhenUsed="0" w:qFormat="1"/>
    <w:lsdException w:name="Default Paragraph Font" w:uiPriority="1" w:qFormat="1"/>
    <w:lsdException w:name="Body Text" w:semiHidden="0" w:unhideWhenUsed="0" w:qFormat="1"/>
    <w:lsdException w:name="Body Text Indent" w:semiHidden="0" w:uiPriority="0" w:unhideWhenUsed="0" w:qFormat="1"/>
    <w:lsdException w:name="Subtitle" w:semiHidden="0" w:uiPriority="11" w:unhideWhenUsed="0" w:qFormat="1"/>
    <w:lsdException w:name="Body Text First Indent 2" w:semiHidden="0" w:qFormat="1"/>
    <w:lsdException w:name="Hyperlink" w:semiHidden="0" w:qFormat="1"/>
    <w:lsdException w:name="Strong" w:semiHidden="0"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5"/>
    <w:qFormat/>
    <w:rsid w:val="00185FCC"/>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rsid w:val="00185FCC"/>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185FCC"/>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185FCC"/>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5">
    <w:name w:val="标题 5（有编号）（绿盟科技）"/>
    <w:next w:val="a"/>
    <w:uiPriority w:val="99"/>
    <w:qFormat/>
    <w:rsid w:val="00185FCC"/>
    <w:pPr>
      <w:keepNext/>
      <w:keepLines/>
      <w:widowControl w:val="0"/>
      <w:spacing w:before="280" w:after="156" w:line="377" w:lineRule="auto"/>
      <w:outlineLvl w:val="4"/>
    </w:pPr>
    <w:rPr>
      <w:rFonts w:ascii="Arial" w:eastAsia="黑体" w:hAnsi="Arial" w:cs="Times New Roman"/>
      <w:b/>
      <w:kern w:val="2"/>
      <w:sz w:val="24"/>
      <w:szCs w:val="28"/>
    </w:rPr>
  </w:style>
  <w:style w:type="paragraph" w:styleId="a3">
    <w:name w:val="Body Text"/>
    <w:basedOn w:val="a"/>
    <w:link w:val="Char"/>
    <w:uiPriority w:val="99"/>
    <w:qFormat/>
    <w:rsid w:val="00185FCC"/>
    <w:pPr>
      <w:spacing w:beforeLines="30"/>
    </w:pPr>
    <w:rPr>
      <w:rFonts w:ascii="仿宋_GB2312" w:eastAsia="仿宋_GB2312"/>
      <w:kern w:val="0"/>
      <w:sz w:val="30"/>
    </w:rPr>
  </w:style>
  <w:style w:type="paragraph" w:styleId="a4">
    <w:name w:val="Body Text Indent"/>
    <w:basedOn w:val="a"/>
    <w:qFormat/>
    <w:rsid w:val="00185FCC"/>
    <w:pPr>
      <w:spacing w:after="120"/>
      <w:ind w:leftChars="200" w:left="200"/>
    </w:pPr>
    <w:rPr>
      <w:rFonts w:ascii="仿宋_GB2312"/>
      <w:szCs w:val="32"/>
    </w:rPr>
  </w:style>
  <w:style w:type="paragraph" w:styleId="30">
    <w:name w:val="toc 3"/>
    <w:basedOn w:val="a"/>
    <w:next w:val="a"/>
    <w:uiPriority w:val="39"/>
    <w:unhideWhenUsed/>
    <w:qFormat/>
    <w:rsid w:val="00185FCC"/>
    <w:pPr>
      <w:tabs>
        <w:tab w:val="right" w:leader="dot" w:pos="8296"/>
      </w:tabs>
      <w:ind w:leftChars="400" w:left="840"/>
    </w:pPr>
  </w:style>
  <w:style w:type="paragraph" w:styleId="a5">
    <w:name w:val="Balloon Text"/>
    <w:basedOn w:val="a"/>
    <w:link w:val="Char0"/>
    <w:uiPriority w:val="99"/>
    <w:semiHidden/>
    <w:unhideWhenUsed/>
    <w:qFormat/>
    <w:rsid w:val="00185FCC"/>
    <w:rPr>
      <w:sz w:val="18"/>
      <w:szCs w:val="18"/>
    </w:rPr>
  </w:style>
  <w:style w:type="paragraph" w:styleId="a6">
    <w:name w:val="footer"/>
    <w:basedOn w:val="a"/>
    <w:link w:val="Char1"/>
    <w:uiPriority w:val="99"/>
    <w:qFormat/>
    <w:rsid w:val="00185FCC"/>
    <w:pPr>
      <w:tabs>
        <w:tab w:val="center" w:pos="4153"/>
        <w:tab w:val="right" w:pos="8306"/>
      </w:tabs>
      <w:snapToGrid w:val="0"/>
      <w:jc w:val="left"/>
    </w:pPr>
    <w:rPr>
      <w:rFonts w:ascii="Calibri" w:hAnsi="Calibri"/>
      <w:kern w:val="0"/>
      <w:sz w:val="18"/>
      <w:szCs w:val="18"/>
    </w:rPr>
  </w:style>
  <w:style w:type="paragraph" w:styleId="a7">
    <w:name w:val="header"/>
    <w:basedOn w:val="a"/>
    <w:link w:val="Char2"/>
    <w:uiPriority w:val="99"/>
    <w:semiHidden/>
    <w:qFormat/>
    <w:rsid w:val="00185FCC"/>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rsid w:val="00185FCC"/>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rsid w:val="00185FCC"/>
    <w:pPr>
      <w:tabs>
        <w:tab w:val="right" w:leader="dot" w:pos="8296"/>
      </w:tabs>
      <w:ind w:leftChars="200" w:left="420"/>
    </w:pPr>
  </w:style>
  <w:style w:type="paragraph" w:styleId="21">
    <w:name w:val="Body Text First Indent 2"/>
    <w:basedOn w:val="a4"/>
    <w:uiPriority w:val="99"/>
    <w:unhideWhenUsed/>
    <w:qFormat/>
    <w:rsid w:val="00185FCC"/>
    <w:pPr>
      <w:ind w:firstLineChars="200" w:firstLine="420"/>
    </w:pPr>
  </w:style>
  <w:style w:type="character" w:styleId="a8">
    <w:name w:val="Strong"/>
    <w:basedOn w:val="a0"/>
    <w:uiPriority w:val="99"/>
    <w:qFormat/>
    <w:rsid w:val="00185FCC"/>
    <w:rPr>
      <w:b/>
    </w:rPr>
  </w:style>
  <w:style w:type="character" w:styleId="a9">
    <w:name w:val="Hyperlink"/>
    <w:basedOn w:val="a0"/>
    <w:uiPriority w:val="99"/>
    <w:unhideWhenUsed/>
    <w:qFormat/>
    <w:rsid w:val="00185FCC"/>
    <w:rPr>
      <w:color w:val="0000FF" w:themeColor="hyperlink"/>
      <w:u w:val="single"/>
    </w:rPr>
  </w:style>
  <w:style w:type="character" w:customStyle="1" w:styleId="HeaderChar">
    <w:name w:val="Header Char"/>
    <w:basedOn w:val="a0"/>
    <w:uiPriority w:val="99"/>
    <w:semiHidden/>
    <w:qFormat/>
    <w:rsid w:val="00185FCC"/>
    <w:rPr>
      <w:rFonts w:ascii="Times New Roman" w:hAnsi="Times New Roman"/>
      <w:sz w:val="18"/>
      <w:szCs w:val="18"/>
    </w:rPr>
  </w:style>
  <w:style w:type="character" w:customStyle="1" w:styleId="Char2">
    <w:name w:val="页眉 Char"/>
    <w:link w:val="a7"/>
    <w:uiPriority w:val="99"/>
    <w:semiHidden/>
    <w:qFormat/>
    <w:locked/>
    <w:rsid w:val="00185FCC"/>
    <w:rPr>
      <w:sz w:val="18"/>
    </w:rPr>
  </w:style>
  <w:style w:type="character" w:customStyle="1" w:styleId="FooterChar">
    <w:name w:val="Footer Char"/>
    <w:basedOn w:val="a0"/>
    <w:uiPriority w:val="99"/>
    <w:semiHidden/>
    <w:qFormat/>
    <w:rsid w:val="00185FCC"/>
    <w:rPr>
      <w:rFonts w:ascii="Times New Roman" w:hAnsi="Times New Roman"/>
      <w:sz w:val="18"/>
      <w:szCs w:val="18"/>
    </w:rPr>
  </w:style>
  <w:style w:type="character" w:customStyle="1" w:styleId="Char1">
    <w:name w:val="页脚 Char"/>
    <w:link w:val="a6"/>
    <w:uiPriority w:val="99"/>
    <w:qFormat/>
    <w:locked/>
    <w:rsid w:val="00185FCC"/>
    <w:rPr>
      <w:sz w:val="18"/>
    </w:rPr>
  </w:style>
  <w:style w:type="character" w:customStyle="1" w:styleId="BodyTextChar">
    <w:name w:val="Body Text Char"/>
    <w:basedOn w:val="a0"/>
    <w:uiPriority w:val="99"/>
    <w:semiHidden/>
    <w:qFormat/>
    <w:rsid w:val="00185FCC"/>
    <w:rPr>
      <w:rFonts w:ascii="Times New Roman" w:hAnsi="Times New Roman"/>
      <w:szCs w:val="24"/>
    </w:rPr>
  </w:style>
  <w:style w:type="character" w:customStyle="1" w:styleId="Char">
    <w:name w:val="正文文本 Char"/>
    <w:link w:val="a3"/>
    <w:uiPriority w:val="99"/>
    <w:qFormat/>
    <w:locked/>
    <w:rsid w:val="00185FCC"/>
    <w:rPr>
      <w:rFonts w:ascii="仿宋_GB2312" w:eastAsia="仿宋_GB2312" w:hAnsi="Times New Roman"/>
      <w:sz w:val="24"/>
    </w:rPr>
  </w:style>
  <w:style w:type="paragraph" w:customStyle="1" w:styleId="Default">
    <w:name w:val="Default"/>
    <w:uiPriority w:val="99"/>
    <w:qFormat/>
    <w:rsid w:val="00185FCC"/>
    <w:pPr>
      <w:widowControl w:val="0"/>
      <w:autoSpaceDE w:val="0"/>
      <w:autoSpaceDN w:val="0"/>
      <w:adjustRightInd w:val="0"/>
    </w:pPr>
    <w:rPr>
      <w:rFonts w:ascii="仿宋" w:eastAsia="仿宋" w:hAnsi="Calibri" w:cs="仿宋"/>
      <w:color w:val="000000"/>
      <w:sz w:val="24"/>
      <w:szCs w:val="24"/>
    </w:rPr>
  </w:style>
  <w:style w:type="paragraph" w:styleId="aa">
    <w:name w:val="List Paragraph"/>
    <w:basedOn w:val="a"/>
    <w:uiPriority w:val="34"/>
    <w:qFormat/>
    <w:rsid w:val="00185FCC"/>
    <w:pPr>
      <w:ind w:firstLineChars="200" w:firstLine="420"/>
    </w:pPr>
  </w:style>
  <w:style w:type="character" w:customStyle="1" w:styleId="1Char">
    <w:name w:val="标题 1 Char"/>
    <w:basedOn w:val="a0"/>
    <w:link w:val="1"/>
    <w:uiPriority w:val="9"/>
    <w:qFormat/>
    <w:rsid w:val="00185FCC"/>
    <w:rPr>
      <w:rFonts w:ascii="Times New Roman" w:hAnsi="Times New Roman"/>
      <w:b/>
      <w:bCs/>
      <w:kern w:val="44"/>
      <w:sz w:val="44"/>
      <w:szCs w:val="44"/>
    </w:rPr>
  </w:style>
  <w:style w:type="character" w:customStyle="1" w:styleId="2Char">
    <w:name w:val="标题 2 Char"/>
    <w:basedOn w:val="a0"/>
    <w:link w:val="2"/>
    <w:uiPriority w:val="9"/>
    <w:qFormat/>
    <w:rsid w:val="00185FCC"/>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rsid w:val="00185FCC"/>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0"/>
    <w:link w:val="a5"/>
    <w:uiPriority w:val="99"/>
    <w:semiHidden/>
    <w:qFormat/>
    <w:rsid w:val="00185FCC"/>
    <w:rPr>
      <w:rFonts w:ascii="Times New Roman" w:hAnsi="Times New Roman"/>
      <w:kern w:val="2"/>
      <w:sz w:val="18"/>
      <w:szCs w:val="18"/>
    </w:rPr>
  </w:style>
  <w:style w:type="character" w:customStyle="1" w:styleId="3Char">
    <w:name w:val="标题 3 Char"/>
    <w:basedOn w:val="a0"/>
    <w:link w:val="3"/>
    <w:uiPriority w:val="9"/>
    <w:qFormat/>
    <w:rsid w:val="00185FCC"/>
    <w:rPr>
      <w:rFonts w:ascii="Times New Roman" w:hAnsi="Times New Roman"/>
      <w:b/>
      <w:bCs/>
      <w:kern w:val="2"/>
      <w:sz w:val="32"/>
      <w:szCs w:val="32"/>
    </w:rPr>
  </w:style>
  <w:style w:type="paragraph" w:customStyle="1" w:styleId="TOC2">
    <w:name w:val="TOC 标题2"/>
    <w:basedOn w:val="1"/>
    <w:next w:val="a"/>
    <w:uiPriority w:val="39"/>
    <w:unhideWhenUsed/>
    <w:qFormat/>
    <w:rsid w:val="00185FCC"/>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s>
</file>

<file path=word/webSettings.xml><?xml version="1.0" encoding="utf-8"?>
<w:webSettings xmlns:r="http://schemas.openxmlformats.org/officeDocument/2006/relationships" xmlns:w="http://schemas.openxmlformats.org/wordprocessingml/2006/main">
  <w:divs>
    <w:div w:id="16988535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5.xml"/><Relationship Id="rId18" Type="http://schemas.openxmlformats.org/officeDocument/2006/relationships/oleObject" Target="embeddings/oleObject2.bin"/><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image" Target="media/image4.png"/><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image" Target="media/image2.pn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oleObject" Target="embeddings/oleObject1.bin"/><Relationship Id="rId20" Type="http://schemas.openxmlformats.org/officeDocument/2006/relationships/oleObject" Target="embeddings/oleObject3.bin"/><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24"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1.png"/><Relationship Id="rId23" Type="http://schemas.openxmlformats.org/officeDocument/2006/relationships/header" Target="header1.xml"/><Relationship Id="rId10" Type="http://schemas.openxmlformats.org/officeDocument/2006/relationships/chart" Target="charts/chart2.xml"/><Relationship Id="rId19" Type="http://schemas.openxmlformats.org/officeDocument/2006/relationships/image" Target="media/image3.png"/><Relationship Id="rId4" Type="http://schemas.openxmlformats.org/officeDocument/2006/relationships/styles" Target="styles.xml"/><Relationship Id="rId9" Type="http://schemas.openxmlformats.org/officeDocument/2006/relationships/chart" Target="charts/chart1.xml"/><Relationship Id="rId14" Type="http://schemas.openxmlformats.org/officeDocument/2006/relationships/chart" Target="charts/chart6.xml"/><Relationship Id="rId22" Type="http://schemas.openxmlformats.org/officeDocument/2006/relationships/oleObject" Target="embeddings/oleObject4.bin"/></Relationships>
</file>

<file path=word/charts/_rels/chart1.xml.rels><?xml version="1.0" encoding="UTF-8" standalone="yes"?>
<Relationships xmlns="http://schemas.openxmlformats.org/package/2006/relationships"><Relationship Id="rId1" Type="http://schemas.openxmlformats.org/officeDocument/2006/relationships/oleObject" Target="file:///D:\&#25105;&#30340;&#25991;&#26723;\&#36130;&#21153;&#25991;&#20214;\&#37096;&#38376;&#39044;&#20915;&#31639;&#20449;&#24687;&#20844;&#24320;\&#20915;&#31639;&#20844;&#24320;\2023&#24180;&#20915;&#31639;&#20844;&#24320;\2023&#20915;&#31639;&#20844;&#24320;&#22270;&#34920;.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D:\&#25105;&#30340;&#25991;&#26723;\&#36130;&#21153;&#25991;&#20214;\&#37096;&#38376;&#39044;&#20915;&#31639;&#20449;&#24687;&#20844;&#24320;\&#20915;&#31639;&#20844;&#24320;\2023&#24180;&#20915;&#31639;&#20844;&#24320;\2023&#20915;&#31639;&#20844;&#24320;&#22270;&#34920;.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D:\&#25105;&#30340;&#25991;&#26723;\&#36130;&#21153;&#25991;&#20214;\&#37096;&#38376;&#39044;&#20915;&#31639;&#20449;&#24687;&#20844;&#24320;\&#20915;&#31639;&#20844;&#24320;\2023&#24180;&#20915;&#31639;&#20844;&#24320;\2023&#20915;&#31639;&#20844;&#24320;&#22270;&#34920;.xls"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D:\&#25105;&#30340;&#25991;&#26723;\&#36130;&#21153;&#25991;&#20214;\&#37096;&#38376;&#39044;&#20915;&#31639;&#20449;&#24687;&#20844;&#24320;\&#20915;&#31639;&#20844;&#24320;\2023&#24180;&#20915;&#31639;&#20844;&#24320;\2023&#20915;&#31639;&#20844;&#24320;&#22270;&#34920;.xls"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D:\&#25105;&#30340;&#25991;&#26723;\&#36130;&#21153;&#25991;&#20214;\&#37096;&#38376;&#39044;&#20915;&#31639;&#20449;&#24687;&#20844;&#24320;\&#20915;&#31639;&#20844;&#24320;\2023&#24180;&#20915;&#31639;&#20844;&#24320;\2023&#20915;&#31639;&#20844;&#24320;&#22270;&#34920;.xls"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D:\&#25105;&#30340;&#25991;&#26723;\&#36130;&#21153;&#25991;&#20214;\&#37096;&#38376;&#39044;&#20915;&#31639;&#20449;&#24687;&#20844;&#24320;\&#20915;&#31639;&#20844;&#24320;\2023&#24180;&#20915;&#31639;&#20844;&#24320;\2023&#20915;&#31639;&#20844;&#24320;&#22270;&#34920;.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sz="1400" b="0" i="0" u="none" strike="noStrike" baseline="0">
                <a:solidFill>
                  <a:srgbClr val="000000"/>
                </a:solidFill>
                <a:latin typeface="宋体"/>
                <a:ea typeface="宋体"/>
                <a:cs typeface="宋体"/>
              </a:defRPr>
            </a:pPr>
            <a:r>
              <a:rPr lang="zh-CN" altLang="en-US"/>
              <a:t>图</a:t>
            </a:r>
            <a:r>
              <a:rPr lang="en-US" altLang="zh-CN"/>
              <a:t>1   </a:t>
            </a:r>
            <a:r>
              <a:rPr lang="zh-CN" altLang="en-US"/>
              <a:t>收入、支出决算总计变动情况</a:t>
            </a:r>
          </a:p>
        </c:rich>
      </c:tx>
      <c:spPr>
        <a:noFill/>
        <a:ln w="25400">
          <a:noFill/>
        </a:ln>
      </c:spPr>
    </c:title>
    <c:plotArea>
      <c:layout/>
      <c:barChart>
        <c:barDir val="col"/>
        <c:grouping val="clustered"/>
        <c:ser>
          <c:idx val="0"/>
          <c:order val="0"/>
          <c:tx>
            <c:strRef>
              <c:f>Sheet1!$A$58</c:f>
              <c:strCache>
                <c:ptCount val="1"/>
                <c:pt idx="0">
                  <c:v>收入、支出总计</c:v>
                </c:pt>
              </c:strCache>
            </c:strRef>
          </c:tx>
          <c:spPr>
            <a:solidFill>
              <a:srgbClr val="9999FF"/>
            </a:solidFill>
            <a:ln w="12700">
              <a:solidFill>
                <a:srgbClr val="000000">
                  <a:alpha val="100000"/>
                </a:srgbClr>
              </a:solidFill>
              <a:prstDash val="solid"/>
            </a:ln>
            <a:effectLst/>
          </c:spPr>
          <c:dLbls>
            <c:txPr>
              <a:bodyPr/>
              <a:lstStyle/>
              <a:p>
                <a:pPr>
                  <a:defRPr sz="1200" b="0" i="0" u="none" strike="noStrike" baseline="0">
                    <a:solidFill>
                      <a:srgbClr val="000000"/>
                    </a:solidFill>
                    <a:latin typeface="宋体"/>
                    <a:ea typeface="宋体"/>
                    <a:cs typeface="宋体"/>
                  </a:defRPr>
                </a:pPr>
                <a:endParaRPr lang="zh-CN"/>
              </a:p>
            </c:txPr>
            <c:dLblPos val="outEnd"/>
            <c:showVal val="1"/>
          </c:dLbls>
          <c:cat>
            <c:numRef>
              <c:f>Sheet1!$B$58:$C$58</c:f>
              <c:numCache>
                <c:formatCode>General</c:formatCode>
                <c:ptCount val="2"/>
                <c:pt idx="0">
                  <c:v>2022</c:v>
                </c:pt>
                <c:pt idx="1">
                  <c:v>2023</c:v>
                </c:pt>
              </c:numCache>
            </c:numRef>
          </c:cat>
          <c:val>
            <c:numRef>
              <c:f>Sheet1!$B$59:$C$59</c:f>
              <c:numCache>
                <c:formatCode>General</c:formatCode>
                <c:ptCount val="2"/>
                <c:pt idx="0">
                  <c:v>524.29000000000053</c:v>
                </c:pt>
                <c:pt idx="1">
                  <c:v>641.53</c:v>
                </c:pt>
              </c:numCache>
            </c:numRef>
          </c:val>
        </c:ser>
        <c:axId val="282695552"/>
        <c:axId val="288222592"/>
      </c:barChart>
      <c:catAx>
        <c:axId val="282695552"/>
        <c:scaling>
          <c:orientation val="minMax"/>
        </c:scaling>
        <c:axPos val="b"/>
        <c:numFmt formatCode="General" sourceLinked="1"/>
        <c:majorTickMark val="in"/>
        <c:tickLblPos val="nextTo"/>
        <c:spPr>
          <a:noFill/>
          <a:ln w="3175" cap="flat" cmpd="sng" algn="ctr">
            <a:solidFill>
              <a:srgbClr val="000000"/>
            </a:solidFill>
            <a:prstDash val="solid"/>
            <a:round/>
          </a:ln>
          <a:effectLst/>
        </c:spPr>
        <c:txPr>
          <a:bodyPr rot="0" vert="horz"/>
          <a:lstStyle/>
          <a:p>
            <a:pPr>
              <a:defRPr sz="1200" b="0" i="0" u="none" strike="noStrike" baseline="0">
                <a:solidFill>
                  <a:srgbClr val="000000"/>
                </a:solidFill>
                <a:latin typeface="宋体"/>
                <a:ea typeface="宋体"/>
                <a:cs typeface="宋体"/>
              </a:defRPr>
            </a:pPr>
            <a:endParaRPr lang="zh-CN"/>
          </a:p>
        </c:txPr>
        <c:crossAx val="288222592"/>
        <c:crosses val="autoZero"/>
        <c:auto val="1"/>
        <c:lblAlgn val="ctr"/>
        <c:lblOffset val="100"/>
      </c:catAx>
      <c:valAx>
        <c:axId val="288222592"/>
        <c:scaling>
          <c:orientation val="minMax"/>
        </c:scaling>
        <c:axPos val="l"/>
        <c:majorGridlines>
          <c:spPr>
            <a:ln w="3175" cap="flat" cmpd="sng" algn="ctr">
              <a:solidFill>
                <a:srgbClr val="000000">
                  <a:alpha val="100000"/>
                </a:srgbClr>
              </a:solidFill>
              <a:prstDash val="solid"/>
              <a:round/>
            </a:ln>
            <a:effectLst/>
          </c:spPr>
        </c:majorGridlines>
        <c:numFmt formatCode="General" sourceLinked="1"/>
        <c:majorTickMark val="in"/>
        <c:tickLblPos val="nextTo"/>
        <c:spPr>
          <a:noFill/>
          <a:ln w="3175" cap="flat" cmpd="sng" algn="ctr">
            <a:solidFill>
              <a:srgbClr val="000000"/>
            </a:solidFill>
            <a:prstDash val="solid"/>
            <a:round/>
          </a:ln>
          <a:effectLst/>
        </c:spPr>
        <c:txPr>
          <a:bodyPr rot="0" vert="horz"/>
          <a:lstStyle/>
          <a:p>
            <a:pPr>
              <a:defRPr sz="1200" b="0" i="0" u="none" strike="noStrike" baseline="0">
                <a:solidFill>
                  <a:srgbClr val="000000"/>
                </a:solidFill>
                <a:latin typeface="宋体"/>
                <a:ea typeface="宋体"/>
                <a:cs typeface="宋体"/>
              </a:defRPr>
            </a:pPr>
            <a:endParaRPr lang="zh-CN"/>
          </a:p>
        </c:txPr>
        <c:crossAx val="282695552"/>
        <c:crosses val="autoZero"/>
        <c:crossBetween val="between"/>
      </c:valAx>
      <c:spPr>
        <a:solidFill>
          <a:srgbClr val="C0C0C0">
            <a:alpha val="100000"/>
          </a:srgbClr>
        </a:solidFill>
        <a:ln w="12700">
          <a:solidFill>
            <a:srgbClr val="808080">
              <a:alpha val="100000"/>
            </a:srgbClr>
          </a:solidFill>
          <a:prstDash val="solid"/>
        </a:ln>
        <a:effectLst/>
      </c:spPr>
    </c:plotArea>
    <c:legend>
      <c:legendPos val="r"/>
      <c:layout>
        <c:manualLayout>
          <c:xMode val="edge"/>
          <c:yMode val="edge"/>
          <c:x val="0.72425317064374584"/>
          <c:y val="0.46390596186375438"/>
          <c:w val="0.25702410290316768"/>
          <c:h val="9.1000280329453898E-2"/>
        </c:manualLayout>
      </c:layout>
      <c:spPr>
        <a:solidFill>
          <a:srgbClr val="FFFFFF"/>
        </a:solidFill>
        <a:ln>
          <a:solidFill>
            <a:srgbClr val="000000"/>
          </a:solidFill>
        </a:ln>
        <a:effectLst/>
      </c:spPr>
      <c:txPr>
        <a:bodyPr/>
        <a:lstStyle/>
        <a:p>
          <a:pPr>
            <a:defRPr sz="1100" b="0" i="0" u="none" strike="noStrike" baseline="0">
              <a:solidFill>
                <a:srgbClr val="000000"/>
              </a:solidFill>
              <a:latin typeface="宋体"/>
              <a:ea typeface="宋体"/>
              <a:cs typeface="宋体"/>
            </a:defRPr>
          </a:pPr>
          <a:endParaRPr lang="zh-CN"/>
        </a:p>
      </c:txPr>
    </c:legend>
    <c:plotVisOnly val="1"/>
    <c:dispBlanksAs val="gap"/>
  </c:chart>
  <c:spPr>
    <a:solidFill>
      <a:srgbClr val="FFFFFF"/>
    </a:solidFill>
    <a:ln w="3175" cap="flat" cmpd="sng" algn="ctr">
      <a:solidFill>
        <a:srgbClr val="000000">
          <a:alpha val="100000"/>
        </a:srgbClr>
      </a:solidFill>
      <a:prstDash val="solid"/>
      <a:round/>
    </a:ln>
    <a:effectLst/>
  </c:spPr>
  <c:txPr>
    <a:bodyPr/>
    <a:lstStyle/>
    <a:p>
      <a:pPr>
        <a:defRPr sz="1200" b="0" i="0" u="none" strike="noStrike" baseline="0">
          <a:solidFill>
            <a:srgbClr val="000000"/>
          </a:solidFill>
          <a:latin typeface="宋体"/>
          <a:ea typeface="宋体"/>
          <a:cs typeface="宋体"/>
        </a:defRPr>
      </a:pPr>
      <a:endParaRPr lang="zh-CN"/>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sz="1600" b="0" i="0" u="none" strike="noStrike" baseline="0">
                <a:solidFill>
                  <a:srgbClr val="000000"/>
                </a:solidFill>
                <a:latin typeface="宋体"/>
                <a:ea typeface="宋体"/>
                <a:cs typeface="宋体"/>
              </a:defRPr>
            </a:pPr>
            <a:r>
              <a:rPr lang="zh-CN" altLang="en-US"/>
              <a:t>图</a:t>
            </a:r>
            <a:r>
              <a:rPr lang="en-US" altLang="zh-CN"/>
              <a:t>2    </a:t>
            </a:r>
            <a:r>
              <a:rPr lang="zh-CN" altLang="en-US"/>
              <a:t>收入决算结构图</a:t>
            </a:r>
          </a:p>
        </c:rich>
      </c:tx>
      <c:layout>
        <c:manualLayout>
          <c:xMode val="edge"/>
          <c:yMode val="edge"/>
          <c:x val="0.34348663616662772"/>
          <c:y val="2.5276461295418627E-2"/>
        </c:manualLayout>
      </c:layout>
      <c:spPr>
        <a:noFill/>
        <a:ln w="25400">
          <a:noFill/>
        </a:ln>
      </c:spPr>
    </c:title>
    <c:plotArea>
      <c:layout/>
      <c:pieChart>
        <c:varyColors val="1"/>
        <c:ser>
          <c:idx val="0"/>
          <c:order val="0"/>
          <c:spPr>
            <a:solidFill>
              <a:srgbClr val="9999FF"/>
            </a:solidFill>
            <a:ln w="12700">
              <a:solidFill>
                <a:srgbClr val="000000">
                  <a:alpha val="100000"/>
                </a:srgbClr>
              </a:solidFill>
              <a:prstDash val="solid"/>
            </a:ln>
            <a:effectLst/>
          </c:spPr>
          <c:dPt>
            <c:idx val="1"/>
            <c:spPr>
              <a:solidFill>
                <a:srgbClr val="993366"/>
              </a:solidFill>
              <a:ln w="12700">
                <a:solidFill>
                  <a:srgbClr val="000000">
                    <a:alpha val="100000"/>
                  </a:srgbClr>
                </a:solidFill>
                <a:prstDash val="solid"/>
              </a:ln>
              <a:effectLst/>
            </c:spPr>
          </c:dPt>
          <c:dPt>
            <c:idx val="2"/>
            <c:spPr>
              <a:solidFill>
                <a:srgbClr val="FFFFCC"/>
              </a:solidFill>
              <a:ln w="12700">
                <a:solidFill>
                  <a:srgbClr val="000000">
                    <a:alpha val="100000"/>
                  </a:srgbClr>
                </a:solidFill>
                <a:prstDash val="solid"/>
              </a:ln>
              <a:effectLst/>
            </c:spPr>
          </c:dPt>
          <c:dPt>
            <c:idx val="3"/>
            <c:spPr>
              <a:solidFill>
                <a:srgbClr val="CCFFFF"/>
              </a:solidFill>
              <a:ln w="12700">
                <a:solidFill>
                  <a:srgbClr val="000000">
                    <a:alpha val="100000"/>
                  </a:srgbClr>
                </a:solidFill>
                <a:prstDash val="solid"/>
              </a:ln>
              <a:effectLst/>
            </c:spPr>
          </c:dPt>
          <c:dPt>
            <c:idx val="4"/>
            <c:spPr>
              <a:solidFill>
                <a:srgbClr val="660066"/>
              </a:solidFill>
              <a:ln w="12700">
                <a:solidFill>
                  <a:srgbClr val="000000">
                    <a:alpha val="100000"/>
                  </a:srgbClr>
                </a:solidFill>
                <a:prstDash val="solid"/>
              </a:ln>
              <a:effectLst/>
            </c:spPr>
          </c:dPt>
          <c:dPt>
            <c:idx val="5"/>
            <c:spPr>
              <a:solidFill>
                <a:srgbClr val="FF8080"/>
              </a:solidFill>
              <a:ln w="12700">
                <a:solidFill>
                  <a:srgbClr val="000000">
                    <a:alpha val="100000"/>
                  </a:srgbClr>
                </a:solidFill>
                <a:prstDash val="solid"/>
              </a:ln>
              <a:effectLst/>
            </c:spPr>
          </c:dPt>
          <c:dLbls>
            <c:dLbl>
              <c:idx val="0"/>
              <c:layout>
                <c:manualLayout>
                  <c:x val="-0.19074418748414326"/>
                  <c:y val="-8.0902099775814043E-2"/>
                </c:manualLayout>
              </c:layout>
              <c:tx>
                <c:rich>
                  <a:bodyPr/>
                  <a:lstStyle/>
                  <a:p>
                    <a:pPr>
                      <a:defRPr sz="1000" b="0" i="0" u="none" strike="noStrike" baseline="0">
                        <a:solidFill>
                          <a:srgbClr val="000000"/>
                        </a:solidFill>
                        <a:latin typeface="宋体"/>
                        <a:ea typeface="宋体"/>
                        <a:cs typeface="宋体"/>
                      </a:defRPr>
                    </a:pPr>
                    <a:r>
                      <a:rPr lang="en-US" altLang="zh-CN" sz="1200" b="0" i="0" strike="noStrike">
                        <a:solidFill>
                          <a:srgbClr val="FF0000"/>
                        </a:solidFill>
                        <a:latin typeface="宋体"/>
                        <a:ea typeface="宋体"/>
                      </a:rPr>
                      <a:t>641.53, 100%</a:t>
                    </a:r>
                    <a:endParaRPr lang="en-US" altLang="zh-CN"/>
                  </a:p>
                </c:rich>
              </c:tx>
              <c:numFmt formatCode="0%" sourceLinked="0"/>
              <c:spPr/>
              <c:showLegendKey val="1"/>
            </c:dLbl>
            <c:dLbl>
              <c:idx val="1"/>
              <c:layout>
                <c:manualLayout>
                  <c:x val="0.11298975600599891"/>
                  <c:y val="-2.6241743478747849E-3"/>
                </c:manualLayout>
              </c:layout>
              <c:tx>
                <c:rich>
                  <a:bodyPr/>
                  <a:lstStyle/>
                  <a:p>
                    <a:pPr>
                      <a:defRPr sz="1000" b="0" i="0" u="none" strike="noStrike" baseline="0">
                        <a:solidFill>
                          <a:srgbClr val="000000"/>
                        </a:solidFill>
                        <a:latin typeface="宋体"/>
                        <a:ea typeface="宋体"/>
                        <a:cs typeface="宋体"/>
                      </a:defRPr>
                    </a:pPr>
                    <a:r>
                      <a:rPr lang="en-US" altLang="zh-CN" sz="1200" b="0" i="0" strike="noStrike">
                        <a:solidFill>
                          <a:srgbClr val="FF0000"/>
                        </a:solidFill>
                        <a:latin typeface="宋体"/>
                        <a:ea typeface="宋体"/>
                      </a:rPr>
                      <a:t>641.53, </a:t>
                    </a:r>
                    <a:r>
                      <a:rPr lang="en-US" altLang="zh-CN" sz="1200" b="0" i="0" strike="noStrike">
                        <a:solidFill>
                          <a:srgbClr val="333333"/>
                        </a:solidFill>
                        <a:latin typeface="Arial"/>
                        <a:cs typeface="Arial"/>
                      </a:rPr>
                      <a:t>100</a:t>
                    </a:r>
                    <a:r>
                      <a:rPr lang="en-US" altLang="zh-CN" sz="1200" b="0" i="0" strike="noStrike">
                        <a:solidFill>
                          <a:srgbClr val="FF0000"/>
                        </a:solidFill>
                        <a:latin typeface="宋体"/>
                        <a:ea typeface="宋体"/>
                      </a:rPr>
                      <a:t>%</a:t>
                    </a:r>
                    <a:endParaRPr lang="en-US" altLang="zh-CN"/>
                  </a:p>
                </c:rich>
              </c:tx>
              <c:numFmt formatCode="0%" sourceLinked="0"/>
              <c:spPr/>
              <c:showLegendKey val="1"/>
            </c:dLbl>
            <c:dLbl>
              <c:idx val="2"/>
              <c:layout>
                <c:manualLayout>
                  <c:x val="-0.13983952403252747"/>
                  <c:y val="-0.11794802900822232"/>
                </c:manualLayout>
              </c:layout>
              <c:showLegendKey val="1"/>
              <c:showVal val="1"/>
              <c:showPercent val="1"/>
            </c:dLbl>
            <c:dLbl>
              <c:idx val="3"/>
              <c:layout>
                <c:manualLayout>
                  <c:x val="0.11539765391112772"/>
                  <c:y val="0.12849746862211012"/>
                </c:manualLayout>
              </c:layout>
              <c:showLegendKey val="1"/>
              <c:showVal val="1"/>
              <c:showPercent val="1"/>
            </c:dLbl>
            <c:dLbl>
              <c:idx val="4"/>
              <c:layout>
                <c:manualLayout>
                  <c:x val="-0.14465531984278521"/>
                  <c:y val="5.7407421228744919E-2"/>
                </c:manualLayout>
              </c:layout>
              <c:showLegendKey val="1"/>
              <c:showVal val="1"/>
              <c:showPercent val="1"/>
            </c:dLbl>
            <c:dLbl>
              <c:idx val="5"/>
              <c:layout>
                <c:manualLayout>
                  <c:x val="-3.4493990683141643E-2"/>
                  <c:y val="-0.11004913485340398"/>
                </c:manualLayout>
              </c:layout>
              <c:showLegendKey val="1"/>
              <c:showVal val="1"/>
              <c:showPercent val="1"/>
            </c:dLbl>
            <c:numFmt formatCode="0%" sourceLinked="0"/>
            <c:txPr>
              <a:bodyPr/>
              <a:lstStyle/>
              <a:p>
                <a:pPr>
                  <a:defRPr sz="1200" b="0" i="0" u="none" strike="noStrike" baseline="0">
                    <a:solidFill>
                      <a:srgbClr val="000000"/>
                    </a:solidFill>
                    <a:latin typeface="宋体"/>
                    <a:ea typeface="宋体"/>
                    <a:cs typeface="宋体"/>
                  </a:defRPr>
                </a:pPr>
                <a:endParaRPr lang="zh-CN"/>
              </a:p>
            </c:txPr>
            <c:showLegendKey val="1"/>
            <c:showVal val="1"/>
            <c:showPercent val="1"/>
            <c:showLeaderLines val="1"/>
            <c:leaderLines>
              <c:spPr>
                <a:ln w="3175">
                  <a:solidFill>
                    <a:srgbClr val="000000"/>
                  </a:solidFill>
                  <a:prstDash val="solid"/>
                </a:ln>
              </c:spPr>
            </c:leaderLines>
          </c:dLbls>
          <c:cat>
            <c:strRef>
              <c:f>Sheet1!$B$3:$B$8</c:f>
              <c:strCache>
                <c:ptCount val="6"/>
                <c:pt idx="0">
                  <c:v>一般公共预算财政拨款收入</c:v>
                </c:pt>
                <c:pt idx="1">
                  <c:v>政府性基金预算财政拨款收入</c:v>
                </c:pt>
                <c:pt idx="2">
                  <c:v>国有资本经营预算财政拨款收入</c:v>
                </c:pt>
                <c:pt idx="3">
                  <c:v>事业收入</c:v>
                </c:pt>
                <c:pt idx="4">
                  <c:v>附属单位上缴收入</c:v>
                </c:pt>
                <c:pt idx="5">
                  <c:v>其他收入</c:v>
                </c:pt>
              </c:strCache>
            </c:strRef>
          </c:cat>
          <c:val>
            <c:numRef>
              <c:f>Sheet1!$C$3:$C$8</c:f>
              <c:numCache>
                <c:formatCode>General</c:formatCode>
                <c:ptCount val="6"/>
                <c:pt idx="0">
                  <c:v>641.53</c:v>
                </c:pt>
                <c:pt idx="2">
                  <c:v>0</c:v>
                </c:pt>
                <c:pt idx="3">
                  <c:v>0</c:v>
                </c:pt>
                <c:pt idx="4">
                  <c:v>0</c:v>
                </c:pt>
                <c:pt idx="5">
                  <c:v>0</c:v>
                </c:pt>
              </c:numCache>
            </c:numRef>
          </c:val>
        </c:ser>
        <c:ser>
          <c:idx val="1"/>
          <c:order val="1"/>
          <c:spPr>
            <a:solidFill>
              <a:srgbClr val="993366"/>
            </a:solidFill>
            <a:ln w="12700">
              <a:solidFill>
                <a:srgbClr val="000000"/>
              </a:solidFill>
              <a:prstDash val="solid"/>
            </a:ln>
            <a:effectLst/>
          </c:spPr>
          <c:dPt>
            <c:idx val="0"/>
            <c:spPr>
              <a:solidFill>
                <a:srgbClr val="9999FF"/>
              </a:solidFill>
              <a:ln w="12700">
                <a:solidFill>
                  <a:srgbClr val="000000"/>
                </a:solidFill>
                <a:prstDash val="solid"/>
              </a:ln>
              <a:effectLst/>
            </c:spPr>
          </c:dPt>
          <c:dPt>
            <c:idx val="2"/>
            <c:spPr>
              <a:solidFill>
                <a:srgbClr val="FFFFCC"/>
              </a:solidFill>
              <a:ln w="12700">
                <a:solidFill>
                  <a:srgbClr val="000000"/>
                </a:solidFill>
                <a:prstDash val="solid"/>
              </a:ln>
              <a:effectLst/>
            </c:spPr>
          </c:dPt>
          <c:dPt>
            <c:idx val="3"/>
            <c:spPr>
              <a:solidFill>
                <a:srgbClr val="CCFFFF"/>
              </a:solidFill>
              <a:ln w="12700">
                <a:solidFill>
                  <a:srgbClr val="000000"/>
                </a:solidFill>
                <a:prstDash val="solid"/>
              </a:ln>
              <a:effectLst/>
            </c:spPr>
          </c:dPt>
          <c:dPt>
            <c:idx val="4"/>
            <c:spPr>
              <a:solidFill>
                <a:srgbClr val="660066"/>
              </a:solidFill>
              <a:ln w="12700">
                <a:solidFill>
                  <a:srgbClr val="000000"/>
                </a:solidFill>
                <a:prstDash val="solid"/>
              </a:ln>
              <a:effectLst/>
            </c:spPr>
          </c:dPt>
          <c:dPt>
            <c:idx val="5"/>
            <c:spPr>
              <a:solidFill>
                <a:srgbClr val="FF8080"/>
              </a:solidFill>
              <a:ln w="12700">
                <a:solidFill>
                  <a:srgbClr val="000000"/>
                </a:solidFill>
                <a:prstDash val="solid"/>
              </a:ln>
              <a:effectLst/>
            </c:spPr>
          </c:dPt>
          <c:cat>
            <c:strRef>
              <c:f>Sheet1!$B$3:$B$8</c:f>
              <c:strCache>
                <c:ptCount val="6"/>
                <c:pt idx="0">
                  <c:v>一般公共预算财政拨款收入</c:v>
                </c:pt>
                <c:pt idx="1">
                  <c:v>政府性基金预算财政拨款收入</c:v>
                </c:pt>
                <c:pt idx="2">
                  <c:v>国有资本经营预算财政拨款收入</c:v>
                </c:pt>
                <c:pt idx="3">
                  <c:v>事业收入</c:v>
                </c:pt>
                <c:pt idx="4">
                  <c:v>附属单位上缴收入</c:v>
                </c:pt>
                <c:pt idx="5">
                  <c:v>其他收入</c:v>
                </c:pt>
              </c:strCache>
            </c:strRef>
          </c:cat>
          <c:val>
            <c:numRef>
              <c:f>Sheet1!$D$3:$D$8</c:f>
              <c:numCache>
                <c:formatCode>General</c:formatCode>
                <c:ptCount val="6"/>
                <c:pt idx="0" formatCode="0.00%">
                  <c:v>1</c:v>
                </c:pt>
                <c:pt idx="2" formatCode="0%">
                  <c:v>0</c:v>
                </c:pt>
                <c:pt idx="3" formatCode="0%">
                  <c:v>0</c:v>
                </c:pt>
                <c:pt idx="4" formatCode="0%">
                  <c:v>0</c:v>
                </c:pt>
                <c:pt idx="5" formatCode="0%">
                  <c:v>0</c:v>
                </c:pt>
              </c:numCache>
            </c:numRef>
          </c:val>
        </c:ser>
        <c:firstSliceAng val="0"/>
      </c:pieChart>
      <c:spPr>
        <a:noFill/>
        <a:ln>
          <a:noFill/>
        </a:ln>
        <a:effectLst/>
      </c:spPr>
    </c:plotArea>
    <c:legend>
      <c:legendPos val="r"/>
      <c:layout>
        <c:manualLayout>
          <c:xMode val="edge"/>
          <c:yMode val="edge"/>
          <c:x val="0.58726297847490605"/>
          <c:y val="0.17255861974599146"/>
          <c:w val="0.39951330126595019"/>
          <c:h val="0.82272791730418127"/>
        </c:manualLayout>
      </c:layout>
      <c:spPr>
        <a:solidFill>
          <a:srgbClr val="FFFFFF"/>
        </a:solidFill>
        <a:ln>
          <a:solidFill>
            <a:srgbClr val="000000"/>
          </a:solidFill>
        </a:ln>
        <a:effectLst/>
      </c:spPr>
      <c:txPr>
        <a:bodyPr/>
        <a:lstStyle/>
        <a:p>
          <a:pPr>
            <a:defRPr sz="1100" b="0" i="0" u="none" strike="noStrike" baseline="0">
              <a:solidFill>
                <a:srgbClr val="000000"/>
              </a:solidFill>
              <a:latin typeface="宋体"/>
              <a:ea typeface="宋体"/>
              <a:cs typeface="宋体"/>
            </a:defRPr>
          </a:pPr>
          <a:endParaRPr lang="zh-CN"/>
        </a:p>
      </c:txPr>
    </c:legend>
    <c:plotVisOnly val="1"/>
    <c:dispBlanksAs val="zero"/>
  </c:chart>
  <c:spPr>
    <a:solidFill>
      <a:srgbClr val="FFFFFF"/>
    </a:solidFill>
    <a:ln w="3175" cap="flat" cmpd="sng" algn="ctr">
      <a:solidFill>
        <a:srgbClr val="000000">
          <a:alpha val="100000"/>
        </a:srgbClr>
      </a:solidFill>
      <a:prstDash val="solid"/>
      <a:round/>
    </a:ln>
    <a:effectLst/>
  </c:spPr>
  <c:txPr>
    <a:bodyPr/>
    <a:lstStyle/>
    <a:p>
      <a:pPr>
        <a:defRPr sz="1200" b="0" i="0" u="none" strike="noStrike" baseline="0">
          <a:solidFill>
            <a:srgbClr val="000000"/>
          </a:solidFill>
          <a:latin typeface="宋体"/>
          <a:ea typeface="宋体"/>
          <a:cs typeface="宋体"/>
        </a:defRPr>
      </a:pPr>
      <a:endParaRPr lang="zh-CN"/>
    </a:p>
  </c:tx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sz="1400" b="0" i="0" u="none" strike="noStrike" baseline="0">
                <a:solidFill>
                  <a:srgbClr val="000000"/>
                </a:solidFill>
                <a:latin typeface="宋体"/>
                <a:ea typeface="宋体"/>
                <a:cs typeface="宋体"/>
              </a:defRPr>
            </a:pPr>
            <a:r>
              <a:rPr lang="zh-CN" altLang="en-US"/>
              <a:t>图</a:t>
            </a:r>
            <a:r>
              <a:rPr lang="en-US" altLang="zh-CN"/>
              <a:t>3    </a:t>
            </a:r>
            <a:r>
              <a:rPr lang="zh-CN" altLang="en-US"/>
              <a:t>支出决算结构图</a:t>
            </a:r>
          </a:p>
        </c:rich>
      </c:tx>
      <c:spPr>
        <a:noFill/>
        <a:ln w="25400">
          <a:noFill/>
        </a:ln>
      </c:spPr>
    </c:title>
    <c:plotArea>
      <c:layout/>
      <c:pieChart>
        <c:varyColors val="1"/>
        <c:ser>
          <c:idx val="0"/>
          <c:order val="0"/>
          <c:spPr>
            <a:solidFill>
              <a:srgbClr val="9999FF"/>
            </a:solidFill>
            <a:ln w="12700">
              <a:solidFill>
                <a:srgbClr val="000000">
                  <a:alpha val="100000"/>
                </a:srgbClr>
              </a:solidFill>
              <a:prstDash val="solid"/>
            </a:ln>
            <a:effectLst/>
          </c:spPr>
          <c:dPt>
            <c:idx val="1"/>
            <c:spPr>
              <a:solidFill>
                <a:srgbClr val="993366"/>
              </a:solidFill>
              <a:ln w="12700">
                <a:solidFill>
                  <a:srgbClr val="000000">
                    <a:alpha val="100000"/>
                  </a:srgbClr>
                </a:solidFill>
                <a:prstDash val="solid"/>
              </a:ln>
              <a:effectLst/>
            </c:spPr>
          </c:dPt>
          <c:dPt>
            <c:idx val="2"/>
            <c:spPr>
              <a:solidFill>
                <a:srgbClr val="FFFFCC"/>
              </a:solidFill>
              <a:ln w="12700">
                <a:solidFill>
                  <a:srgbClr val="000000">
                    <a:alpha val="100000"/>
                  </a:srgbClr>
                </a:solidFill>
                <a:prstDash val="solid"/>
              </a:ln>
              <a:effectLst/>
            </c:spPr>
          </c:dPt>
          <c:dPt>
            <c:idx val="3"/>
            <c:spPr>
              <a:solidFill>
                <a:srgbClr val="CCFFFF"/>
              </a:solidFill>
              <a:ln w="12700">
                <a:solidFill>
                  <a:srgbClr val="000000">
                    <a:alpha val="100000"/>
                  </a:srgbClr>
                </a:solidFill>
                <a:prstDash val="solid"/>
              </a:ln>
              <a:effectLst/>
            </c:spPr>
          </c:dPt>
          <c:dPt>
            <c:idx val="4"/>
            <c:spPr>
              <a:solidFill>
                <a:srgbClr val="660066"/>
              </a:solidFill>
              <a:ln w="12700">
                <a:solidFill>
                  <a:srgbClr val="000000">
                    <a:alpha val="100000"/>
                  </a:srgbClr>
                </a:solidFill>
                <a:prstDash val="solid"/>
              </a:ln>
              <a:effectLst/>
            </c:spPr>
          </c:dPt>
          <c:dLbls>
            <c:dLbl>
              <c:idx val="2"/>
              <c:layout>
                <c:manualLayout>
                  <c:x val="-0.17906996108245182"/>
                  <c:y val="3.9344262295081971E-2"/>
                </c:manualLayout>
              </c:layout>
              <c:numFmt formatCode="0.00%" sourceLinked="0"/>
              <c:spPr/>
              <c:txPr>
                <a:bodyPr/>
                <a:lstStyle/>
                <a:p>
                  <a:pPr>
                    <a:defRPr sz="1200" b="0" i="0" u="none" strike="noStrike" baseline="0">
                      <a:solidFill>
                        <a:srgbClr val="000000"/>
                      </a:solidFill>
                      <a:latin typeface="宋体"/>
                      <a:ea typeface="宋体"/>
                      <a:cs typeface="宋体"/>
                    </a:defRPr>
                  </a:pPr>
                  <a:endParaRPr lang="zh-CN"/>
                </a:p>
              </c:txPr>
              <c:showLegendKey val="1"/>
              <c:showVal val="1"/>
              <c:showCatName val="1"/>
              <c:showPercent val="1"/>
            </c:dLbl>
            <c:dLbl>
              <c:idx val="3"/>
              <c:layout>
                <c:manualLayout>
                  <c:x val="-0.24810435333514344"/>
                  <c:y val="0.25792349726776165"/>
                </c:manualLayout>
              </c:layout>
              <c:showLegendKey val="1"/>
              <c:showVal val="1"/>
              <c:showCatName val="1"/>
              <c:showPercent val="1"/>
            </c:dLbl>
            <c:dLbl>
              <c:idx val="4"/>
              <c:layout>
                <c:manualLayout>
                  <c:x val="0.22430953027423295"/>
                  <c:y val="0.11394713160854854"/>
                </c:manualLayout>
              </c:layout>
              <c:numFmt formatCode="0.00%" sourceLinked="0"/>
              <c:spPr/>
              <c:txPr>
                <a:bodyPr/>
                <a:lstStyle/>
                <a:p>
                  <a:pPr>
                    <a:defRPr sz="1200" b="0" i="0" u="none" strike="noStrike" baseline="0">
                      <a:solidFill>
                        <a:srgbClr val="000000"/>
                      </a:solidFill>
                      <a:latin typeface="宋体"/>
                      <a:ea typeface="宋体"/>
                      <a:cs typeface="宋体"/>
                    </a:defRPr>
                  </a:pPr>
                  <a:endParaRPr lang="zh-CN"/>
                </a:p>
              </c:txPr>
              <c:showLegendKey val="1"/>
              <c:showVal val="1"/>
              <c:showCatName val="1"/>
              <c:showPercent val="1"/>
            </c:dLbl>
            <c:numFmt formatCode="0.00%" sourceLinked="0"/>
            <c:txPr>
              <a:bodyPr/>
              <a:lstStyle/>
              <a:p>
                <a:pPr>
                  <a:defRPr sz="1000" b="0" i="0" u="none" strike="noStrike" baseline="0">
                    <a:solidFill>
                      <a:srgbClr val="000000"/>
                    </a:solidFill>
                    <a:latin typeface="宋体"/>
                    <a:ea typeface="宋体"/>
                    <a:cs typeface="宋体"/>
                  </a:defRPr>
                </a:pPr>
                <a:endParaRPr lang="zh-CN"/>
              </a:p>
            </c:txPr>
            <c:showLegendKey val="1"/>
            <c:showVal val="1"/>
            <c:showCatName val="1"/>
            <c:showPercent val="1"/>
            <c:showLeaderLines val="1"/>
            <c:leaderLines>
              <c:spPr>
                <a:ln w="3175">
                  <a:solidFill>
                    <a:srgbClr val="000000"/>
                  </a:solidFill>
                  <a:prstDash val="solid"/>
                </a:ln>
              </c:spPr>
            </c:leaderLines>
          </c:dLbls>
          <c:cat>
            <c:strRef>
              <c:f>Sheet1!$B$34:$B$38</c:f>
              <c:strCache>
                <c:ptCount val="5"/>
                <c:pt idx="0">
                  <c:v>基本支出</c:v>
                </c:pt>
                <c:pt idx="1">
                  <c:v>项目支出</c:v>
                </c:pt>
                <c:pt idx="2">
                  <c:v>上缴上级支出</c:v>
                </c:pt>
                <c:pt idx="3">
                  <c:v>经营支出</c:v>
                </c:pt>
                <c:pt idx="4">
                  <c:v>对附属单位补助支出</c:v>
                </c:pt>
              </c:strCache>
            </c:strRef>
          </c:cat>
          <c:val>
            <c:numRef>
              <c:f>Sheet1!$C$34:$C$38</c:f>
              <c:numCache>
                <c:formatCode>General</c:formatCode>
                <c:ptCount val="5"/>
                <c:pt idx="0">
                  <c:v>514.29999999999995</c:v>
                </c:pt>
                <c:pt idx="1">
                  <c:v>127.23</c:v>
                </c:pt>
                <c:pt idx="2">
                  <c:v>0</c:v>
                </c:pt>
                <c:pt idx="3">
                  <c:v>0</c:v>
                </c:pt>
                <c:pt idx="4">
                  <c:v>0</c:v>
                </c:pt>
              </c:numCache>
            </c:numRef>
          </c:val>
        </c:ser>
        <c:ser>
          <c:idx val="1"/>
          <c:order val="1"/>
          <c:spPr>
            <a:solidFill>
              <a:srgbClr val="993366"/>
            </a:solidFill>
            <a:ln w="12700">
              <a:solidFill>
                <a:srgbClr val="000000"/>
              </a:solidFill>
              <a:prstDash val="solid"/>
            </a:ln>
            <a:effectLst/>
          </c:spPr>
          <c:dPt>
            <c:idx val="0"/>
            <c:spPr>
              <a:solidFill>
                <a:srgbClr val="9999FF"/>
              </a:solidFill>
              <a:ln w="12700">
                <a:solidFill>
                  <a:srgbClr val="000000"/>
                </a:solidFill>
                <a:prstDash val="solid"/>
              </a:ln>
              <a:effectLst/>
            </c:spPr>
          </c:dPt>
          <c:dPt>
            <c:idx val="2"/>
            <c:spPr>
              <a:solidFill>
                <a:srgbClr val="FFFFCC"/>
              </a:solidFill>
              <a:ln w="12700">
                <a:solidFill>
                  <a:srgbClr val="000000"/>
                </a:solidFill>
                <a:prstDash val="solid"/>
              </a:ln>
              <a:effectLst/>
            </c:spPr>
          </c:dPt>
          <c:dPt>
            <c:idx val="3"/>
            <c:spPr>
              <a:solidFill>
                <a:srgbClr val="CCFFFF"/>
              </a:solidFill>
              <a:ln w="12700">
                <a:solidFill>
                  <a:srgbClr val="000000"/>
                </a:solidFill>
                <a:prstDash val="solid"/>
              </a:ln>
              <a:effectLst/>
            </c:spPr>
          </c:dPt>
          <c:dPt>
            <c:idx val="4"/>
            <c:spPr>
              <a:solidFill>
                <a:srgbClr val="660066"/>
              </a:solidFill>
              <a:ln w="12700">
                <a:solidFill>
                  <a:srgbClr val="000000"/>
                </a:solidFill>
                <a:prstDash val="solid"/>
              </a:ln>
              <a:effectLst/>
            </c:spPr>
          </c:dPt>
          <c:cat>
            <c:strRef>
              <c:f>Sheet1!$B$34:$B$38</c:f>
              <c:strCache>
                <c:ptCount val="5"/>
                <c:pt idx="0">
                  <c:v>基本支出</c:v>
                </c:pt>
                <c:pt idx="1">
                  <c:v>项目支出</c:v>
                </c:pt>
                <c:pt idx="2">
                  <c:v>上缴上级支出</c:v>
                </c:pt>
                <c:pt idx="3">
                  <c:v>经营支出</c:v>
                </c:pt>
                <c:pt idx="4">
                  <c:v>对附属单位补助支出</c:v>
                </c:pt>
              </c:strCache>
            </c:strRef>
          </c:cat>
          <c:val>
            <c:numRef>
              <c:f>Sheet1!$D$34:$D$38</c:f>
              <c:numCache>
                <c:formatCode>0.00%</c:formatCode>
                <c:ptCount val="5"/>
                <c:pt idx="0">
                  <c:v>0.80159999999999998</c:v>
                </c:pt>
                <c:pt idx="1">
                  <c:v>0.1983</c:v>
                </c:pt>
                <c:pt idx="2">
                  <c:v>0</c:v>
                </c:pt>
                <c:pt idx="3">
                  <c:v>0</c:v>
                </c:pt>
                <c:pt idx="4">
                  <c:v>0</c:v>
                </c:pt>
              </c:numCache>
            </c:numRef>
          </c:val>
        </c:ser>
        <c:firstSliceAng val="0"/>
      </c:pieChart>
      <c:spPr>
        <a:noFill/>
        <a:ln>
          <a:noFill/>
        </a:ln>
        <a:effectLst/>
      </c:spPr>
    </c:plotArea>
    <c:legend>
      <c:legendPos val="r"/>
      <c:layout>
        <c:manualLayout>
          <c:xMode val="edge"/>
          <c:yMode val="edge"/>
          <c:x val="0.69263227441397668"/>
          <c:y val="0.18892875890513691"/>
          <c:w val="0.30161788397140216"/>
          <c:h val="0.78396437945256847"/>
        </c:manualLayout>
      </c:layout>
      <c:spPr>
        <a:solidFill>
          <a:srgbClr val="FFFFFF"/>
        </a:solidFill>
        <a:ln>
          <a:solidFill>
            <a:srgbClr val="000000"/>
          </a:solidFill>
        </a:ln>
        <a:effectLst/>
      </c:spPr>
      <c:txPr>
        <a:bodyPr/>
        <a:lstStyle/>
        <a:p>
          <a:pPr>
            <a:defRPr sz="1100" b="0" i="0" u="none" strike="noStrike" baseline="0">
              <a:solidFill>
                <a:srgbClr val="000000"/>
              </a:solidFill>
              <a:latin typeface="宋体"/>
              <a:ea typeface="宋体"/>
              <a:cs typeface="宋体"/>
            </a:defRPr>
          </a:pPr>
          <a:endParaRPr lang="zh-CN"/>
        </a:p>
      </c:txPr>
    </c:legend>
    <c:plotVisOnly val="1"/>
    <c:dispBlanksAs val="zero"/>
  </c:chart>
  <c:spPr>
    <a:solidFill>
      <a:srgbClr val="FFFFFF"/>
    </a:solidFill>
    <a:ln w="3175" cap="flat" cmpd="sng" algn="ctr">
      <a:solidFill>
        <a:srgbClr val="000000">
          <a:alpha val="100000"/>
        </a:srgbClr>
      </a:solidFill>
      <a:prstDash val="solid"/>
      <a:round/>
    </a:ln>
    <a:effectLst/>
  </c:spPr>
  <c:txPr>
    <a:bodyPr/>
    <a:lstStyle/>
    <a:p>
      <a:pPr>
        <a:defRPr sz="1200" b="0" i="0" u="none" strike="noStrike" baseline="0">
          <a:solidFill>
            <a:srgbClr val="000000"/>
          </a:solidFill>
          <a:latin typeface="宋体"/>
          <a:ea typeface="宋体"/>
          <a:cs typeface="宋体"/>
        </a:defRPr>
      </a:pPr>
      <a:endParaRPr lang="zh-CN"/>
    </a:p>
  </c:txPr>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sz="1200" b="0" i="0" u="none" strike="noStrike" baseline="0">
                <a:solidFill>
                  <a:srgbClr val="000000"/>
                </a:solidFill>
                <a:latin typeface="宋体"/>
                <a:ea typeface="宋体"/>
                <a:cs typeface="宋体"/>
              </a:defRPr>
            </a:pPr>
            <a:r>
              <a:rPr lang="zh-CN" altLang="en-US" sz="1400" b="0" i="0" strike="noStrike">
                <a:solidFill>
                  <a:srgbClr val="000000"/>
                </a:solidFill>
                <a:latin typeface="宋体"/>
                <a:ea typeface="宋体"/>
              </a:rPr>
              <a:t>图</a:t>
            </a:r>
            <a:r>
              <a:rPr lang="en-US" altLang="zh-CN" sz="1400" b="0" i="0" strike="noStrike">
                <a:solidFill>
                  <a:srgbClr val="000000"/>
                </a:solidFill>
                <a:latin typeface="宋体"/>
                <a:ea typeface="宋体"/>
              </a:rPr>
              <a:t>4    </a:t>
            </a:r>
            <a:r>
              <a:rPr lang="zh-CN" altLang="en-US" sz="1400" b="0" i="0" strike="noStrike">
                <a:solidFill>
                  <a:srgbClr val="000000"/>
                </a:solidFill>
                <a:latin typeface="宋体"/>
                <a:ea typeface="宋体"/>
              </a:rPr>
              <a:t>财政拨款收、支总计决算变动情况</a:t>
            </a:r>
          </a:p>
        </c:rich>
      </c:tx>
      <c:spPr>
        <a:noFill/>
        <a:ln w="25400">
          <a:noFill/>
        </a:ln>
      </c:spPr>
    </c:title>
    <c:plotArea>
      <c:layout/>
      <c:barChart>
        <c:barDir val="col"/>
        <c:grouping val="clustered"/>
        <c:ser>
          <c:idx val="0"/>
          <c:order val="0"/>
          <c:tx>
            <c:strRef>
              <c:f>Sheet1!$A$168</c:f>
              <c:strCache>
                <c:ptCount val="1"/>
                <c:pt idx="0">
                  <c:v>财政拨款收入、支出总计</c:v>
                </c:pt>
              </c:strCache>
            </c:strRef>
          </c:tx>
          <c:spPr>
            <a:solidFill>
              <a:srgbClr val="9999FF"/>
            </a:solidFill>
            <a:ln w="12700">
              <a:solidFill>
                <a:srgbClr val="000000">
                  <a:alpha val="100000"/>
                </a:srgbClr>
              </a:solidFill>
              <a:prstDash val="solid"/>
            </a:ln>
            <a:effectLst/>
          </c:spPr>
          <c:dLbls>
            <c:txPr>
              <a:bodyPr/>
              <a:lstStyle/>
              <a:p>
                <a:pPr>
                  <a:defRPr sz="1200" b="0" i="0" u="none" strike="noStrike" baseline="0">
                    <a:solidFill>
                      <a:srgbClr val="000000"/>
                    </a:solidFill>
                    <a:latin typeface="宋体"/>
                    <a:ea typeface="宋体"/>
                    <a:cs typeface="宋体"/>
                  </a:defRPr>
                </a:pPr>
                <a:endParaRPr lang="zh-CN"/>
              </a:p>
            </c:txPr>
            <c:dLblPos val="outEnd"/>
            <c:showVal val="1"/>
          </c:dLbls>
          <c:cat>
            <c:strRef>
              <c:f>Sheet1!$B$167:$C$167</c:f>
              <c:strCache>
                <c:ptCount val="2"/>
                <c:pt idx="0">
                  <c:v>2022年</c:v>
                </c:pt>
                <c:pt idx="1">
                  <c:v>2023年</c:v>
                </c:pt>
              </c:strCache>
            </c:strRef>
          </c:cat>
          <c:val>
            <c:numRef>
              <c:f>Sheet1!$B$168:$C$168</c:f>
              <c:numCache>
                <c:formatCode>General</c:formatCode>
                <c:ptCount val="2"/>
                <c:pt idx="0">
                  <c:v>524.29000000000053</c:v>
                </c:pt>
                <c:pt idx="1">
                  <c:v>641.53</c:v>
                </c:pt>
              </c:numCache>
            </c:numRef>
          </c:val>
        </c:ser>
        <c:axId val="315716736"/>
        <c:axId val="315718272"/>
      </c:barChart>
      <c:catAx>
        <c:axId val="315716736"/>
        <c:scaling>
          <c:orientation val="minMax"/>
        </c:scaling>
        <c:axPos val="b"/>
        <c:numFmt formatCode="General" sourceLinked="1"/>
        <c:majorTickMark val="in"/>
        <c:tickLblPos val="nextTo"/>
        <c:spPr>
          <a:ln w="3175">
            <a:solidFill>
              <a:srgbClr val="000000"/>
            </a:solidFill>
            <a:prstDash val="solid"/>
          </a:ln>
        </c:spPr>
        <c:txPr>
          <a:bodyPr rot="0" vert="horz"/>
          <a:lstStyle/>
          <a:p>
            <a:pPr>
              <a:defRPr sz="1200" b="0" i="0" u="none" strike="noStrike" baseline="0">
                <a:solidFill>
                  <a:srgbClr val="000000"/>
                </a:solidFill>
                <a:latin typeface="宋体"/>
                <a:ea typeface="宋体"/>
                <a:cs typeface="宋体"/>
              </a:defRPr>
            </a:pPr>
            <a:endParaRPr lang="zh-CN"/>
          </a:p>
        </c:txPr>
        <c:crossAx val="315718272"/>
        <c:crosses val="autoZero"/>
        <c:auto val="1"/>
        <c:lblAlgn val="ctr"/>
        <c:lblOffset val="100"/>
      </c:catAx>
      <c:valAx>
        <c:axId val="315718272"/>
        <c:scaling>
          <c:orientation val="minMax"/>
        </c:scaling>
        <c:axPos val="l"/>
        <c:majorGridlines>
          <c:spPr>
            <a:ln w="3175" cap="flat" cmpd="sng" algn="ctr">
              <a:solidFill>
                <a:srgbClr val="000000">
                  <a:alpha val="100000"/>
                </a:srgbClr>
              </a:solidFill>
              <a:prstDash val="solid"/>
              <a:round/>
            </a:ln>
            <a:effectLst/>
          </c:spPr>
        </c:majorGridlines>
        <c:numFmt formatCode="General" sourceLinked="1"/>
        <c:majorTickMark val="in"/>
        <c:tickLblPos val="nextTo"/>
        <c:spPr>
          <a:ln w="3175">
            <a:solidFill>
              <a:srgbClr val="000000"/>
            </a:solidFill>
            <a:prstDash val="solid"/>
          </a:ln>
        </c:spPr>
        <c:txPr>
          <a:bodyPr rot="0" vert="horz"/>
          <a:lstStyle/>
          <a:p>
            <a:pPr>
              <a:defRPr sz="1200" b="0" i="0" u="none" strike="noStrike" baseline="0">
                <a:solidFill>
                  <a:srgbClr val="000000"/>
                </a:solidFill>
                <a:latin typeface="宋体"/>
                <a:ea typeface="宋体"/>
                <a:cs typeface="宋体"/>
              </a:defRPr>
            </a:pPr>
            <a:endParaRPr lang="zh-CN"/>
          </a:p>
        </c:txPr>
        <c:crossAx val="315716736"/>
        <c:crosses val="autoZero"/>
        <c:crossBetween val="between"/>
      </c:valAx>
      <c:spPr>
        <a:solidFill>
          <a:srgbClr val="C0C0C0">
            <a:alpha val="100000"/>
          </a:srgbClr>
        </a:solidFill>
        <a:ln w="12700">
          <a:solidFill>
            <a:srgbClr val="808080">
              <a:alpha val="100000"/>
            </a:srgbClr>
          </a:solidFill>
          <a:prstDash val="solid"/>
        </a:ln>
        <a:effectLst/>
      </c:spPr>
    </c:plotArea>
    <c:legend>
      <c:legendPos val="r"/>
      <c:layout>
        <c:manualLayout>
          <c:xMode val="edge"/>
          <c:yMode val="edge"/>
          <c:x val="0.63507890131600164"/>
          <c:y val="0.31229143049725783"/>
          <c:w val="0.34372382359019471"/>
          <c:h val="0.14769733549843408"/>
        </c:manualLayout>
      </c:layout>
      <c:spPr>
        <a:solidFill>
          <a:srgbClr val="FFFFFF"/>
        </a:solidFill>
        <a:ln w="12700">
          <a:solidFill>
            <a:srgbClr val="000000"/>
          </a:solidFill>
          <a:prstDash val="solid"/>
        </a:ln>
      </c:spPr>
      <c:txPr>
        <a:bodyPr/>
        <a:lstStyle/>
        <a:p>
          <a:pPr>
            <a:defRPr sz="1100" b="0" i="0" u="none" strike="noStrike" baseline="0">
              <a:solidFill>
                <a:srgbClr val="000000"/>
              </a:solidFill>
              <a:latin typeface="宋体"/>
              <a:ea typeface="宋体"/>
              <a:cs typeface="宋体"/>
            </a:defRPr>
          </a:pPr>
          <a:endParaRPr lang="zh-CN"/>
        </a:p>
      </c:txPr>
    </c:legend>
    <c:plotVisOnly val="1"/>
    <c:dispBlanksAs val="gap"/>
  </c:chart>
  <c:spPr>
    <a:solidFill>
      <a:srgbClr val="FFFFFF"/>
    </a:solidFill>
    <a:ln w="3175" cap="flat" cmpd="sng" algn="ctr">
      <a:solidFill>
        <a:srgbClr val="000000">
          <a:alpha val="100000"/>
        </a:srgbClr>
      </a:solidFill>
      <a:prstDash val="solid"/>
      <a:round/>
    </a:ln>
    <a:effectLst/>
  </c:spPr>
  <c:txPr>
    <a:bodyPr/>
    <a:lstStyle/>
    <a:p>
      <a:pPr>
        <a:defRPr sz="1200" b="0" i="0" u="none" strike="noStrike" baseline="0">
          <a:solidFill>
            <a:srgbClr val="000000"/>
          </a:solidFill>
          <a:latin typeface="宋体"/>
          <a:ea typeface="宋体"/>
          <a:cs typeface="宋体"/>
        </a:defRPr>
      </a:pPr>
      <a:endParaRPr lang="zh-CN"/>
    </a:p>
  </c:txPr>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sz="1200" b="0" i="0" u="none" strike="noStrike" baseline="0">
                <a:solidFill>
                  <a:srgbClr val="000000"/>
                </a:solidFill>
                <a:latin typeface="宋体"/>
                <a:ea typeface="宋体"/>
                <a:cs typeface="宋体"/>
              </a:defRPr>
            </a:pPr>
            <a:r>
              <a:rPr lang="zh-CN" altLang="en-US" sz="1400" b="0" i="0" strike="noStrike">
                <a:solidFill>
                  <a:srgbClr val="000000"/>
                </a:solidFill>
                <a:latin typeface="宋体"/>
                <a:ea typeface="宋体"/>
              </a:rPr>
              <a:t>图</a:t>
            </a:r>
            <a:r>
              <a:rPr lang="en-US" altLang="zh-CN" sz="1400" b="0" i="0" strike="noStrike">
                <a:solidFill>
                  <a:srgbClr val="000000"/>
                </a:solidFill>
                <a:latin typeface="宋体"/>
                <a:ea typeface="宋体"/>
              </a:rPr>
              <a:t>5      </a:t>
            </a:r>
            <a:r>
              <a:rPr lang="zh-CN" altLang="en-US" sz="1400" b="0" i="0" strike="noStrike">
                <a:solidFill>
                  <a:srgbClr val="000000"/>
                </a:solidFill>
                <a:latin typeface="宋体"/>
                <a:ea typeface="宋体"/>
              </a:rPr>
              <a:t>一般公共预算财政拨款支出决算变动情况</a:t>
            </a:r>
          </a:p>
        </c:rich>
      </c:tx>
      <c:spPr>
        <a:noFill/>
        <a:ln w="25400">
          <a:noFill/>
        </a:ln>
      </c:spPr>
    </c:title>
    <c:plotArea>
      <c:layout/>
      <c:barChart>
        <c:barDir val="col"/>
        <c:grouping val="clustered"/>
        <c:ser>
          <c:idx val="0"/>
          <c:order val="0"/>
          <c:tx>
            <c:strRef>
              <c:f>Sheet1!$A$85</c:f>
              <c:strCache>
                <c:ptCount val="1"/>
                <c:pt idx="0">
                  <c:v>一般公共预算财政拨款支出</c:v>
                </c:pt>
              </c:strCache>
            </c:strRef>
          </c:tx>
          <c:spPr>
            <a:solidFill>
              <a:srgbClr val="9999FF"/>
            </a:solidFill>
            <a:ln w="12700">
              <a:solidFill>
                <a:srgbClr val="000000">
                  <a:alpha val="100000"/>
                </a:srgbClr>
              </a:solidFill>
              <a:prstDash val="solid"/>
            </a:ln>
            <a:effectLst/>
          </c:spPr>
          <c:dLbls>
            <c:txPr>
              <a:bodyPr/>
              <a:lstStyle/>
              <a:p>
                <a:pPr>
                  <a:defRPr sz="1200" b="0" i="0" u="none" strike="noStrike" baseline="0">
                    <a:solidFill>
                      <a:srgbClr val="000000"/>
                    </a:solidFill>
                    <a:latin typeface="宋体"/>
                    <a:ea typeface="宋体"/>
                    <a:cs typeface="宋体"/>
                  </a:defRPr>
                </a:pPr>
                <a:endParaRPr lang="zh-CN"/>
              </a:p>
            </c:txPr>
            <c:dLblPos val="outEnd"/>
            <c:showVal val="1"/>
          </c:dLbls>
          <c:cat>
            <c:strRef>
              <c:f>Sheet1!$B$84:$C$84</c:f>
              <c:strCache>
                <c:ptCount val="2"/>
                <c:pt idx="0">
                  <c:v>2022年</c:v>
                </c:pt>
                <c:pt idx="1">
                  <c:v>2023年</c:v>
                </c:pt>
              </c:strCache>
            </c:strRef>
          </c:cat>
          <c:val>
            <c:numRef>
              <c:f>Sheet1!$B$85:$C$85</c:f>
              <c:numCache>
                <c:formatCode>General</c:formatCode>
                <c:ptCount val="2"/>
                <c:pt idx="0">
                  <c:v>524.29000000000053</c:v>
                </c:pt>
                <c:pt idx="1">
                  <c:v>641.53</c:v>
                </c:pt>
              </c:numCache>
            </c:numRef>
          </c:val>
        </c:ser>
        <c:axId val="315738752"/>
        <c:axId val="315744640"/>
      </c:barChart>
      <c:catAx>
        <c:axId val="315738752"/>
        <c:scaling>
          <c:orientation val="minMax"/>
        </c:scaling>
        <c:axPos val="b"/>
        <c:numFmt formatCode="General" sourceLinked="1"/>
        <c:majorTickMark val="in"/>
        <c:tickLblPos val="nextTo"/>
        <c:spPr>
          <a:ln w="3175">
            <a:solidFill>
              <a:srgbClr val="000000"/>
            </a:solidFill>
            <a:prstDash val="solid"/>
          </a:ln>
        </c:spPr>
        <c:txPr>
          <a:bodyPr rot="0" vert="horz"/>
          <a:lstStyle/>
          <a:p>
            <a:pPr>
              <a:defRPr sz="1200" b="0" i="0" u="none" strike="noStrike" baseline="0">
                <a:solidFill>
                  <a:srgbClr val="000000"/>
                </a:solidFill>
                <a:latin typeface="宋体"/>
                <a:ea typeface="宋体"/>
                <a:cs typeface="宋体"/>
              </a:defRPr>
            </a:pPr>
            <a:endParaRPr lang="zh-CN"/>
          </a:p>
        </c:txPr>
        <c:crossAx val="315744640"/>
        <c:crosses val="autoZero"/>
        <c:auto val="1"/>
        <c:lblAlgn val="ctr"/>
        <c:lblOffset val="100"/>
      </c:catAx>
      <c:valAx>
        <c:axId val="315744640"/>
        <c:scaling>
          <c:orientation val="minMax"/>
        </c:scaling>
        <c:axPos val="l"/>
        <c:majorGridlines>
          <c:spPr>
            <a:ln w="3175" cap="flat" cmpd="sng" algn="ctr">
              <a:solidFill>
                <a:srgbClr val="000000">
                  <a:alpha val="100000"/>
                </a:srgbClr>
              </a:solidFill>
              <a:prstDash val="solid"/>
              <a:round/>
            </a:ln>
            <a:effectLst/>
          </c:spPr>
        </c:majorGridlines>
        <c:numFmt formatCode="General" sourceLinked="1"/>
        <c:majorTickMark val="in"/>
        <c:tickLblPos val="nextTo"/>
        <c:spPr>
          <a:ln w="3175">
            <a:solidFill>
              <a:srgbClr val="000000"/>
            </a:solidFill>
            <a:prstDash val="solid"/>
          </a:ln>
        </c:spPr>
        <c:txPr>
          <a:bodyPr rot="0" vert="horz"/>
          <a:lstStyle/>
          <a:p>
            <a:pPr>
              <a:defRPr sz="1200" b="0" i="0" u="none" strike="noStrike" baseline="0">
                <a:solidFill>
                  <a:srgbClr val="000000"/>
                </a:solidFill>
                <a:latin typeface="宋体"/>
                <a:ea typeface="宋体"/>
                <a:cs typeface="宋体"/>
              </a:defRPr>
            </a:pPr>
            <a:endParaRPr lang="zh-CN"/>
          </a:p>
        </c:txPr>
        <c:crossAx val="315738752"/>
        <c:crosses val="autoZero"/>
        <c:crossBetween val="between"/>
      </c:valAx>
      <c:spPr>
        <a:solidFill>
          <a:srgbClr val="C0C0C0">
            <a:alpha val="100000"/>
          </a:srgbClr>
        </a:solidFill>
        <a:ln w="12700">
          <a:solidFill>
            <a:srgbClr val="808080">
              <a:alpha val="100000"/>
            </a:srgbClr>
          </a:solidFill>
          <a:prstDash val="solid"/>
        </a:ln>
        <a:effectLst/>
      </c:spPr>
    </c:plotArea>
    <c:legend>
      <c:legendPos val="r"/>
      <c:layout>
        <c:manualLayout>
          <c:xMode val="edge"/>
          <c:yMode val="edge"/>
          <c:x val="0.69801319983087839"/>
          <c:y val="0.31837919136512605"/>
          <c:w val="0.26468410085869082"/>
          <c:h val="0.24174938806806556"/>
        </c:manualLayout>
      </c:layout>
      <c:spPr>
        <a:solidFill>
          <a:srgbClr val="FFFFFF"/>
        </a:solidFill>
        <a:ln w="12700">
          <a:solidFill>
            <a:srgbClr val="000000"/>
          </a:solidFill>
          <a:prstDash val="solid"/>
        </a:ln>
      </c:spPr>
      <c:txPr>
        <a:bodyPr/>
        <a:lstStyle/>
        <a:p>
          <a:pPr>
            <a:defRPr sz="1100" b="0" i="0" u="none" strike="noStrike" baseline="0">
              <a:solidFill>
                <a:srgbClr val="000000"/>
              </a:solidFill>
              <a:latin typeface="宋体"/>
              <a:ea typeface="宋体"/>
              <a:cs typeface="宋体"/>
            </a:defRPr>
          </a:pPr>
          <a:endParaRPr lang="zh-CN"/>
        </a:p>
      </c:txPr>
    </c:legend>
    <c:plotVisOnly val="1"/>
    <c:dispBlanksAs val="gap"/>
  </c:chart>
  <c:spPr>
    <a:solidFill>
      <a:srgbClr val="FFFFFF"/>
    </a:solidFill>
    <a:ln w="3175" cap="flat" cmpd="sng" algn="ctr">
      <a:solidFill>
        <a:srgbClr val="000000">
          <a:alpha val="100000"/>
        </a:srgbClr>
      </a:solidFill>
      <a:prstDash val="solid"/>
      <a:round/>
    </a:ln>
    <a:effectLst/>
  </c:spPr>
  <c:txPr>
    <a:bodyPr/>
    <a:lstStyle/>
    <a:p>
      <a:pPr>
        <a:defRPr sz="1200" b="0" i="0" u="none" strike="noStrike" baseline="0">
          <a:solidFill>
            <a:srgbClr val="000000"/>
          </a:solidFill>
          <a:latin typeface="宋体"/>
          <a:ea typeface="宋体"/>
          <a:cs typeface="宋体"/>
        </a:defRPr>
      </a:pPr>
      <a:endParaRPr lang="zh-CN"/>
    </a:p>
  </c:txPr>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sz="1200" b="0" i="0" u="none" strike="noStrike" baseline="0">
                <a:solidFill>
                  <a:srgbClr val="000000"/>
                </a:solidFill>
                <a:latin typeface="宋体"/>
                <a:ea typeface="宋体"/>
                <a:cs typeface="宋体"/>
              </a:defRPr>
            </a:pPr>
            <a:r>
              <a:rPr lang="zh-CN" altLang="en-US" sz="1425" b="0" i="0" strike="noStrike">
                <a:solidFill>
                  <a:srgbClr val="000000"/>
                </a:solidFill>
                <a:latin typeface="宋体"/>
                <a:ea typeface="宋体"/>
              </a:rPr>
              <a:t>图</a:t>
            </a:r>
            <a:r>
              <a:rPr lang="en-US" altLang="zh-CN" sz="1425" b="0" i="0" strike="noStrike">
                <a:solidFill>
                  <a:srgbClr val="000000"/>
                </a:solidFill>
                <a:latin typeface="宋体"/>
                <a:ea typeface="宋体"/>
              </a:rPr>
              <a:t>6 </a:t>
            </a:r>
            <a:r>
              <a:rPr lang="zh-CN" altLang="en-US" sz="1425" b="0" i="0" strike="noStrike">
                <a:solidFill>
                  <a:srgbClr val="000000"/>
                </a:solidFill>
                <a:latin typeface="宋体"/>
                <a:ea typeface="宋体"/>
              </a:rPr>
              <a:t>一般公共预算财政拨款支出决算结构</a:t>
            </a:r>
          </a:p>
        </c:rich>
      </c:tx>
      <c:layout>
        <c:manualLayout>
          <c:xMode val="edge"/>
          <c:yMode val="edge"/>
          <c:x val="0.22239951766202593"/>
          <c:y val="2.3101774069831781E-3"/>
        </c:manualLayout>
      </c:layout>
      <c:spPr>
        <a:noFill/>
        <a:ln w="25400">
          <a:noFill/>
        </a:ln>
      </c:spPr>
    </c:title>
    <c:plotArea>
      <c:layout/>
      <c:pieChart>
        <c:varyColors val="1"/>
        <c:ser>
          <c:idx val="0"/>
          <c:order val="0"/>
          <c:spPr>
            <a:solidFill>
              <a:srgbClr val="9999FF"/>
            </a:solidFill>
            <a:ln w="12700">
              <a:solidFill>
                <a:srgbClr val="000000">
                  <a:alpha val="100000"/>
                </a:srgbClr>
              </a:solidFill>
              <a:prstDash val="solid"/>
            </a:ln>
            <a:effectLst/>
          </c:spPr>
          <c:dPt>
            <c:idx val="1"/>
            <c:spPr>
              <a:solidFill>
                <a:srgbClr val="993366"/>
              </a:solidFill>
              <a:ln w="12700">
                <a:solidFill>
                  <a:srgbClr val="000000">
                    <a:alpha val="100000"/>
                  </a:srgbClr>
                </a:solidFill>
                <a:prstDash val="solid"/>
              </a:ln>
              <a:effectLst/>
            </c:spPr>
          </c:dPt>
          <c:dPt>
            <c:idx val="2"/>
            <c:spPr>
              <a:solidFill>
                <a:srgbClr val="FFFFCC"/>
              </a:solidFill>
              <a:ln w="12700">
                <a:solidFill>
                  <a:srgbClr val="000000">
                    <a:alpha val="100000"/>
                  </a:srgbClr>
                </a:solidFill>
                <a:prstDash val="solid"/>
              </a:ln>
              <a:effectLst/>
            </c:spPr>
          </c:dPt>
          <c:dPt>
            <c:idx val="3"/>
            <c:spPr>
              <a:solidFill>
                <a:srgbClr val="CCFFFF"/>
              </a:solidFill>
              <a:ln w="12700">
                <a:solidFill>
                  <a:srgbClr val="000000">
                    <a:alpha val="100000"/>
                  </a:srgbClr>
                </a:solidFill>
                <a:prstDash val="solid"/>
              </a:ln>
              <a:effectLst/>
            </c:spPr>
          </c:dPt>
          <c:dLbls>
            <c:dLbl>
              <c:idx val="0"/>
              <c:layout>
                <c:manualLayout>
                  <c:x val="8.2970094666411309E-2"/>
                  <c:y val="-0.11577011494252873"/>
                </c:manualLayout>
              </c:layout>
              <c:tx>
                <c:rich>
                  <a:bodyPr/>
                  <a:lstStyle/>
                  <a:p>
                    <a:r>
                      <a:rPr lang="zh-CN" altLang="en-US"/>
                      <a:t>文化旅游体育与传媒支出
</a:t>
                    </a:r>
                    <a:r>
                      <a:rPr lang="en-US" altLang="zh-CN"/>
                      <a:t>484.45
75.52%</a:t>
                    </a:r>
                  </a:p>
                </c:rich>
              </c:tx>
              <c:showLegendKey val="1"/>
              <c:showVal val="1"/>
              <c:showCatName val="1"/>
              <c:showPercent val="1"/>
            </c:dLbl>
            <c:dLbl>
              <c:idx val="1"/>
              <c:layout>
                <c:manualLayout>
                  <c:x val="2.4078979051288226E-3"/>
                  <c:y val="0.39437159020570556"/>
                </c:manualLayout>
              </c:layout>
              <c:tx>
                <c:rich>
                  <a:bodyPr/>
                  <a:lstStyle/>
                  <a:p>
                    <a:pPr>
                      <a:defRPr sz="1200" b="0" i="0" u="none" strike="noStrike" baseline="0">
                        <a:solidFill>
                          <a:srgbClr val="000000"/>
                        </a:solidFill>
                        <a:latin typeface="宋体"/>
                        <a:ea typeface="宋体"/>
                        <a:cs typeface="宋体"/>
                      </a:defRPr>
                    </a:pPr>
                    <a:r>
                      <a:rPr lang="zh-CN" altLang="en-US"/>
                      <a:t>社会保障和就业支出
</a:t>
                    </a:r>
                    <a:r>
                      <a:rPr lang="en-US" altLang="zh-CN"/>
                      <a:t>89.25
13.91%</a:t>
                    </a:r>
                    <a:endParaRPr lang="zh-CN" altLang="en-US"/>
                  </a:p>
                </c:rich>
              </c:tx>
              <c:numFmt formatCode="0.00%" sourceLinked="0"/>
              <c:spPr/>
              <c:dLblPos val="bestFit"/>
              <c:showLegendKey val="1"/>
              <c:showVal val="1"/>
              <c:showCatName val="1"/>
              <c:showPercent val="1"/>
            </c:dLbl>
            <c:dLbl>
              <c:idx val="2"/>
              <c:layout>
                <c:manualLayout>
                  <c:x val="-3.0210965984176281E-2"/>
                  <c:y val="0.24258178879376824"/>
                </c:manualLayout>
              </c:layout>
              <c:numFmt formatCode="0.00%" sourceLinked="0"/>
              <c:spPr/>
              <c:txPr>
                <a:bodyPr/>
                <a:lstStyle/>
                <a:p>
                  <a:pPr>
                    <a:defRPr sz="1200" b="0" i="0" u="none" strike="noStrike" baseline="0">
                      <a:solidFill>
                        <a:srgbClr val="000000"/>
                      </a:solidFill>
                      <a:latin typeface="宋体"/>
                      <a:ea typeface="宋体"/>
                      <a:cs typeface="宋体"/>
                    </a:defRPr>
                  </a:pPr>
                  <a:endParaRPr lang="zh-CN"/>
                </a:p>
              </c:txPr>
              <c:dLblPos val="bestFit"/>
              <c:showLegendKey val="1"/>
              <c:showVal val="1"/>
              <c:showCatName val="1"/>
              <c:showPercent val="1"/>
            </c:dLbl>
            <c:dLbl>
              <c:idx val="3"/>
              <c:layout>
                <c:manualLayout>
                  <c:x val="-0.10870995447745772"/>
                  <c:y val="3.7669422949188026E-3"/>
                </c:manualLayout>
              </c:layout>
              <c:numFmt formatCode="0.00%" sourceLinked="0"/>
              <c:spPr/>
              <c:txPr>
                <a:bodyPr/>
                <a:lstStyle/>
                <a:p>
                  <a:pPr>
                    <a:defRPr sz="1200" b="0" i="0" u="none" strike="noStrike" baseline="0">
                      <a:solidFill>
                        <a:srgbClr val="000000"/>
                      </a:solidFill>
                      <a:latin typeface="宋体"/>
                      <a:ea typeface="宋体"/>
                      <a:cs typeface="宋体"/>
                    </a:defRPr>
                  </a:pPr>
                  <a:endParaRPr lang="zh-CN"/>
                </a:p>
              </c:txPr>
              <c:dLblPos val="bestFit"/>
              <c:showLegendKey val="1"/>
              <c:showVal val="1"/>
              <c:showCatName val="1"/>
              <c:showPercent val="1"/>
            </c:dLbl>
            <c:dLbl>
              <c:idx val="4"/>
              <c:layout>
                <c:manualLayout>
                  <c:x val="0.16437220367536051"/>
                  <c:y val="3.1363919852724416E-2"/>
                </c:manualLayout>
              </c:layout>
              <c:spPr/>
              <c:txPr>
                <a:bodyPr/>
                <a:lstStyle/>
                <a:p>
                  <a:pPr>
                    <a:defRPr sz="1200" b="0" i="0" u="none" strike="noStrike" baseline="0">
                      <a:solidFill>
                        <a:srgbClr val="000000"/>
                      </a:solidFill>
                      <a:latin typeface="宋体"/>
                      <a:ea typeface="宋体"/>
                      <a:cs typeface="宋体"/>
                    </a:defRPr>
                  </a:pPr>
                  <a:endParaRPr lang="zh-CN"/>
                </a:p>
              </c:txPr>
              <c:dLblPos val="bestFit"/>
              <c:showLegendKey val="1"/>
              <c:showVal val="1"/>
              <c:showCatName val="1"/>
              <c:showPercent val="1"/>
            </c:dLbl>
            <c:numFmt formatCode="0.00%" sourceLinked="0"/>
            <c:txPr>
              <a:bodyPr/>
              <a:lstStyle/>
              <a:p>
                <a:pPr>
                  <a:defRPr sz="1025" b="0" i="0" u="none" strike="noStrike" baseline="0">
                    <a:solidFill>
                      <a:srgbClr val="000000"/>
                    </a:solidFill>
                    <a:latin typeface="宋体"/>
                    <a:ea typeface="宋体"/>
                    <a:cs typeface="宋体"/>
                  </a:defRPr>
                </a:pPr>
                <a:endParaRPr lang="zh-CN"/>
              </a:p>
            </c:txPr>
            <c:showLegendKey val="1"/>
            <c:showVal val="1"/>
            <c:showCatName val="1"/>
            <c:showPercent val="1"/>
            <c:showLeaderLines val="1"/>
            <c:leaderLines>
              <c:spPr>
                <a:ln w="3175">
                  <a:solidFill>
                    <a:srgbClr val="000000"/>
                  </a:solidFill>
                  <a:prstDash val="solid"/>
                </a:ln>
              </c:spPr>
            </c:leaderLines>
          </c:dLbls>
          <c:cat>
            <c:strRef>
              <c:f>Sheet1!$A$110:$A$113</c:f>
              <c:strCache>
                <c:ptCount val="4"/>
                <c:pt idx="0">
                  <c:v>文化旅游体育与传媒支出</c:v>
                </c:pt>
                <c:pt idx="1">
                  <c:v>社会保障和就业支出</c:v>
                </c:pt>
                <c:pt idx="2">
                  <c:v>住房保障支出</c:v>
                </c:pt>
                <c:pt idx="3">
                  <c:v>卫生健康支出</c:v>
                </c:pt>
              </c:strCache>
            </c:strRef>
          </c:cat>
          <c:val>
            <c:numRef>
              <c:f>Sheet1!$B$110:$B$113</c:f>
              <c:numCache>
                <c:formatCode>General</c:formatCode>
                <c:ptCount val="4"/>
                <c:pt idx="0">
                  <c:v>484.46</c:v>
                </c:pt>
                <c:pt idx="1">
                  <c:v>89.240000000000023</c:v>
                </c:pt>
                <c:pt idx="2">
                  <c:v>32.300000000000004</c:v>
                </c:pt>
                <c:pt idx="3">
                  <c:v>35.53</c:v>
                </c:pt>
              </c:numCache>
            </c:numRef>
          </c:val>
        </c:ser>
        <c:ser>
          <c:idx val="1"/>
          <c:order val="1"/>
          <c:spPr>
            <a:solidFill>
              <a:srgbClr val="993366"/>
            </a:solidFill>
            <a:ln w="12700">
              <a:solidFill>
                <a:srgbClr val="000000"/>
              </a:solidFill>
              <a:prstDash val="solid"/>
            </a:ln>
          </c:spPr>
          <c:dPt>
            <c:idx val="0"/>
            <c:spPr>
              <a:solidFill>
                <a:srgbClr val="9999FF"/>
              </a:solidFill>
              <a:ln w="12700">
                <a:solidFill>
                  <a:srgbClr val="000000"/>
                </a:solidFill>
                <a:prstDash val="solid"/>
              </a:ln>
            </c:spPr>
          </c:dPt>
          <c:dPt>
            <c:idx val="2"/>
            <c:spPr>
              <a:solidFill>
                <a:srgbClr val="FFFFCC"/>
              </a:solidFill>
              <a:ln w="12700">
                <a:solidFill>
                  <a:srgbClr val="000000"/>
                </a:solidFill>
                <a:prstDash val="solid"/>
              </a:ln>
            </c:spPr>
          </c:dPt>
          <c:dPt>
            <c:idx val="3"/>
            <c:spPr>
              <a:solidFill>
                <a:srgbClr val="CCFFFF"/>
              </a:solidFill>
              <a:ln w="12700">
                <a:solidFill>
                  <a:srgbClr val="000000"/>
                </a:solidFill>
                <a:prstDash val="solid"/>
              </a:ln>
            </c:spPr>
          </c:dPt>
          <c:cat>
            <c:strRef>
              <c:f>Sheet1!$A$110:$A$113</c:f>
              <c:strCache>
                <c:ptCount val="4"/>
                <c:pt idx="0">
                  <c:v>文化旅游体育与传媒支出</c:v>
                </c:pt>
                <c:pt idx="1">
                  <c:v>社会保障和就业支出</c:v>
                </c:pt>
                <c:pt idx="2">
                  <c:v>住房保障支出</c:v>
                </c:pt>
                <c:pt idx="3">
                  <c:v>卫生健康支出</c:v>
                </c:pt>
              </c:strCache>
            </c:strRef>
          </c:cat>
          <c:val>
            <c:numRef>
              <c:f>Sheet1!$C$110:$C$113</c:f>
              <c:numCache>
                <c:formatCode>0.00%</c:formatCode>
                <c:ptCount val="4"/>
                <c:pt idx="0">
                  <c:v>0.75520000000000065</c:v>
                </c:pt>
                <c:pt idx="1">
                  <c:v>0.1391</c:v>
                </c:pt>
                <c:pt idx="2">
                  <c:v>5.0299999999999997E-2</c:v>
                </c:pt>
                <c:pt idx="3">
                  <c:v>5.5400000000000033E-2</c:v>
                </c:pt>
              </c:numCache>
            </c:numRef>
          </c:val>
        </c:ser>
        <c:firstSliceAng val="0"/>
      </c:pieChart>
      <c:spPr>
        <a:noFill/>
        <a:ln w="25400">
          <a:noFill/>
        </a:ln>
      </c:spPr>
    </c:plotArea>
    <c:legend>
      <c:legendPos val="r"/>
      <c:layout>
        <c:manualLayout>
          <c:xMode val="edge"/>
          <c:yMode val="edge"/>
          <c:x val="0.56564934560160474"/>
          <c:y val="0.17479337496606101"/>
          <c:w val="0.38322396673688286"/>
          <c:h val="0.42219900757377904"/>
        </c:manualLayout>
      </c:layout>
      <c:spPr>
        <a:solidFill>
          <a:srgbClr val="FFFFFF"/>
        </a:solidFill>
        <a:ln w="12700">
          <a:solidFill>
            <a:srgbClr val="000000"/>
          </a:solidFill>
          <a:prstDash val="solid"/>
        </a:ln>
      </c:spPr>
      <c:txPr>
        <a:bodyPr/>
        <a:lstStyle/>
        <a:p>
          <a:pPr>
            <a:defRPr sz="1100" b="0" i="0" u="none" strike="noStrike" baseline="0">
              <a:solidFill>
                <a:srgbClr val="000000"/>
              </a:solidFill>
              <a:latin typeface="宋体"/>
              <a:ea typeface="宋体"/>
              <a:cs typeface="宋体"/>
            </a:defRPr>
          </a:pPr>
          <a:endParaRPr lang="zh-CN"/>
        </a:p>
      </c:txPr>
    </c:legend>
    <c:plotVisOnly val="1"/>
    <c:dispBlanksAs val="zero"/>
  </c:chart>
  <c:spPr>
    <a:solidFill>
      <a:srgbClr val="FFFFFF"/>
    </a:solidFill>
    <a:ln w="3175" cap="flat" cmpd="sng" algn="ctr">
      <a:solidFill>
        <a:srgbClr val="000000">
          <a:alpha val="100000"/>
        </a:srgbClr>
      </a:solidFill>
      <a:prstDash val="solid"/>
      <a:round/>
    </a:ln>
    <a:effectLst/>
  </c:spPr>
  <c:txPr>
    <a:bodyPr/>
    <a:lstStyle/>
    <a:p>
      <a:pPr>
        <a:defRPr sz="1200" b="0" i="0" u="none" strike="noStrike" baseline="0">
          <a:solidFill>
            <a:srgbClr val="000000"/>
          </a:solidFill>
          <a:latin typeface="宋体"/>
          <a:ea typeface="宋体"/>
          <a:cs typeface="宋体"/>
        </a:defRPr>
      </a:pPr>
      <a:endParaRPr lang="zh-CN"/>
    </a:p>
  </c:txPr>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3166597-A4DF-47DF-B0B6-77DD859E86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145</TotalTime>
  <Pages>21</Pages>
  <Words>851</Words>
  <Characters>4852</Characters>
  <Application>Microsoft Office Word</Application>
  <DocSecurity>0</DocSecurity>
  <Lines>40</Lines>
  <Paragraphs>11</Paragraphs>
  <ScaleCrop>false</ScaleCrop>
  <Company>四川省财政厅</Company>
  <LinksUpToDate>false</LinksUpToDate>
  <CharactersWithSpaces>5692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ASUS</cp:lastModifiedBy>
  <cp:revision>53</cp:revision>
  <cp:lastPrinted>2023-08-03T02:35:00Z</cp:lastPrinted>
  <dcterms:created xsi:type="dcterms:W3CDTF">2020-08-08T01:49:00Z</dcterms:created>
  <dcterms:modified xsi:type="dcterms:W3CDTF">2024-10-28T08:25:00Z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