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宋体" w:eastAsia="方正小标宋简体"/>
          <w:color w:val="000000"/>
          <w:sz w:val="36"/>
          <w:szCs w:val="36"/>
        </w:rPr>
      </w:pPr>
      <w:r>
        <w:rPr>
          <w:rFonts w:hint="eastAsia" w:ascii="方正小标宋简体" w:hAnsi="宋体" w:eastAsia="方正小标宋简体"/>
          <w:color w:val="000000"/>
          <w:sz w:val="36"/>
          <w:szCs w:val="36"/>
        </w:rPr>
        <w:t>盐边县桐子林镇人民政府</w:t>
      </w:r>
    </w:p>
    <w:p>
      <w:pPr>
        <w:spacing w:line="600" w:lineRule="exact"/>
        <w:jc w:val="center"/>
        <w:rPr>
          <w:rFonts w:hint="eastAsia" w:ascii="方正小标宋简体" w:hAnsi="宋体" w:eastAsia="方正小标宋简体"/>
          <w:color w:val="000000"/>
          <w:sz w:val="36"/>
          <w:szCs w:val="36"/>
        </w:rPr>
      </w:pPr>
      <w:r>
        <w:rPr>
          <w:rFonts w:hint="eastAsia" w:ascii="方正小标宋简体" w:hAnsi="宋体" w:eastAsia="方正小标宋简体"/>
          <w:color w:val="000000"/>
          <w:sz w:val="36"/>
          <w:szCs w:val="36"/>
        </w:rPr>
        <w:t>2017年部门决算编制说明</w:t>
      </w:r>
    </w:p>
    <w:p>
      <w:pPr>
        <w:spacing w:line="600" w:lineRule="exact"/>
        <w:rPr>
          <w:rFonts w:hint="eastAsia" w:ascii="方正小标宋简体" w:hAnsi="宋体" w:eastAsia="方正小标宋简体"/>
          <w:color w:val="000000"/>
          <w:sz w:val="36"/>
          <w:szCs w:val="36"/>
        </w:rPr>
      </w:pPr>
    </w:p>
    <w:p>
      <w:pPr>
        <w:spacing w:line="600" w:lineRule="exact"/>
        <w:rPr>
          <w:rFonts w:hint="eastAsia" w:ascii="方正小标宋简体" w:hAnsi="宋体" w:eastAsia="方正小标宋简体"/>
          <w:color w:val="000000"/>
          <w:sz w:val="36"/>
          <w:szCs w:val="36"/>
        </w:rPr>
      </w:pPr>
      <w:r>
        <w:rPr>
          <w:rFonts w:hint="eastAsia" w:ascii="方正小标宋简体" w:hAnsi="宋体" w:eastAsia="方正小标宋简体"/>
          <w:color w:val="000000"/>
          <w:sz w:val="36"/>
          <w:szCs w:val="36"/>
        </w:rPr>
        <w:t>盐边县桐子林镇人民政府2017年部门决算公开目录</w:t>
      </w:r>
    </w:p>
    <w:p>
      <w:pPr>
        <w:spacing w:line="600" w:lineRule="exact"/>
        <w:jc w:val="center"/>
        <w:rPr>
          <w:rFonts w:hint="eastAsia" w:ascii="方正小标宋简体" w:hAnsi="宋体" w:eastAsia="方正小标宋简体"/>
          <w:color w:val="000000"/>
          <w:sz w:val="36"/>
          <w:szCs w:val="36"/>
        </w:rPr>
      </w:pPr>
    </w:p>
    <w:p>
      <w:pPr>
        <w:spacing w:line="600" w:lineRule="exact"/>
        <w:jc w:val="center"/>
        <w:rPr>
          <w:rFonts w:hint="eastAsia" w:ascii="方正小标宋简体" w:hAnsi="宋体" w:eastAsia="方正小标宋简体"/>
          <w:color w:val="000000"/>
          <w:sz w:val="36"/>
          <w:szCs w:val="36"/>
        </w:rPr>
      </w:pPr>
      <w:r>
        <w:rPr>
          <w:rFonts w:hint="eastAsia" w:ascii="方正小标宋简体" w:hAnsi="宋体" w:eastAsia="方正小标宋简体"/>
          <w:color w:val="000000"/>
          <w:sz w:val="36"/>
          <w:szCs w:val="36"/>
        </w:rPr>
        <w:t>第一部分  盐边县桐子林镇人民政府2017年部门决算编制说明</w:t>
      </w:r>
    </w:p>
    <w:p>
      <w:pPr>
        <w:spacing w:line="600" w:lineRule="exact"/>
        <w:rPr>
          <w:rFonts w:hint="eastAsia" w:ascii="方正小标宋简体" w:hAnsi="宋体" w:eastAsia="方正小标宋简体"/>
          <w:color w:val="000000"/>
          <w:sz w:val="36"/>
          <w:szCs w:val="36"/>
        </w:rPr>
      </w:pPr>
      <w:r>
        <w:rPr>
          <w:rFonts w:hint="eastAsia" w:ascii="黑体" w:eastAsia="黑体"/>
          <w:color w:val="000000"/>
          <w:sz w:val="32"/>
          <w:szCs w:val="32"/>
        </w:rPr>
        <w:t>一、主要职责及机构设置情况</w:t>
      </w:r>
    </w:p>
    <w:p>
      <w:pPr>
        <w:spacing w:line="600" w:lineRule="exact"/>
        <w:rPr>
          <w:rFonts w:hint="eastAsia" w:ascii="黑体" w:eastAsia="黑体"/>
          <w:color w:val="000000"/>
          <w:sz w:val="32"/>
          <w:szCs w:val="32"/>
        </w:rPr>
      </w:pPr>
      <w:r>
        <w:rPr>
          <w:rFonts w:hint="eastAsia" w:ascii="黑体" w:eastAsia="黑体"/>
          <w:color w:val="000000"/>
          <w:sz w:val="32"/>
          <w:szCs w:val="32"/>
        </w:rPr>
        <w:t>二、决算收支总体情况</w:t>
      </w:r>
    </w:p>
    <w:p>
      <w:pPr>
        <w:spacing w:line="600" w:lineRule="exact"/>
        <w:rPr>
          <w:rFonts w:hint="eastAsia" w:ascii="仿宋_GB2312" w:eastAsia="仿宋_GB2312"/>
          <w:color w:val="000000"/>
          <w:sz w:val="32"/>
          <w:szCs w:val="32"/>
        </w:rPr>
      </w:pPr>
      <w:r>
        <w:rPr>
          <w:rFonts w:hint="eastAsia" w:ascii="黑体" w:eastAsia="黑体"/>
          <w:color w:val="000000"/>
          <w:sz w:val="32"/>
          <w:szCs w:val="32"/>
        </w:rPr>
        <w:t>三、财政拨款支出决算安排情况</w:t>
      </w:r>
    </w:p>
    <w:p>
      <w:pPr>
        <w:spacing w:line="600" w:lineRule="exact"/>
        <w:rPr>
          <w:rFonts w:hint="eastAsia" w:ascii="黑体" w:eastAsia="黑体"/>
          <w:color w:val="000000"/>
          <w:sz w:val="32"/>
          <w:szCs w:val="32"/>
        </w:rPr>
      </w:pPr>
      <w:r>
        <w:rPr>
          <w:rFonts w:hint="eastAsia" w:ascii="黑体" w:eastAsia="黑体"/>
          <w:color w:val="000000"/>
          <w:sz w:val="32"/>
          <w:szCs w:val="32"/>
        </w:rPr>
        <w:t>四、“三公”经费财政拨款决算安排情况</w:t>
      </w:r>
    </w:p>
    <w:p>
      <w:pPr>
        <w:spacing w:line="600" w:lineRule="exact"/>
        <w:rPr>
          <w:rFonts w:hint="eastAsia" w:ascii="黑体" w:eastAsia="黑体"/>
          <w:color w:val="000000"/>
          <w:sz w:val="32"/>
          <w:szCs w:val="32"/>
        </w:rPr>
      </w:pPr>
      <w:r>
        <w:rPr>
          <w:rFonts w:hint="eastAsia" w:ascii="黑体" w:eastAsia="黑体"/>
          <w:color w:val="000000"/>
          <w:sz w:val="32"/>
          <w:szCs w:val="32"/>
        </w:rPr>
        <w:t>（一）因公出国（境）经费</w:t>
      </w:r>
    </w:p>
    <w:p>
      <w:pPr>
        <w:spacing w:line="600" w:lineRule="exact"/>
        <w:rPr>
          <w:rFonts w:hint="eastAsia" w:ascii="黑体" w:eastAsia="黑体"/>
          <w:color w:val="000000"/>
          <w:sz w:val="32"/>
          <w:szCs w:val="32"/>
        </w:rPr>
      </w:pPr>
      <w:r>
        <w:rPr>
          <w:rFonts w:hint="eastAsia" w:ascii="黑体" w:eastAsia="黑体"/>
          <w:color w:val="000000"/>
          <w:sz w:val="32"/>
          <w:szCs w:val="32"/>
        </w:rPr>
        <w:t>（二）公务接待经费</w:t>
      </w:r>
    </w:p>
    <w:p>
      <w:pPr>
        <w:spacing w:line="600" w:lineRule="exact"/>
        <w:rPr>
          <w:rFonts w:hint="eastAsia" w:ascii="黑体" w:eastAsia="黑体"/>
          <w:color w:val="000000"/>
          <w:sz w:val="32"/>
          <w:szCs w:val="32"/>
        </w:rPr>
      </w:pPr>
      <w:r>
        <w:rPr>
          <w:rFonts w:hint="eastAsia" w:ascii="黑体" w:eastAsia="黑体"/>
          <w:color w:val="000000"/>
          <w:sz w:val="32"/>
          <w:szCs w:val="32"/>
        </w:rPr>
        <w:t>（三）公务用车购置及运行维护费</w:t>
      </w:r>
    </w:p>
    <w:tbl>
      <w:tblPr>
        <w:tblStyle w:val="3"/>
        <w:tblW w:w="5000" w:type="pct"/>
        <w:tblCellSpacing w:w="0" w:type="dxa"/>
        <w:tblInd w:w="0" w:type="dxa"/>
        <w:tblLayout w:type="autofit"/>
        <w:tblCellMar>
          <w:top w:w="0" w:type="dxa"/>
          <w:left w:w="0" w:type="dxa"/>
          <w:bottom w:w="0" w:type="dxa"/>
          <w:right w:w="0" w:type="dxa"/>
        </w:tblCellMar>
      </w:tblPr>
      <w:tblGrid>
        <w:gridCol w:w="8306"/>
      </w:tblGrid>
      <w:tr>
        <w:tblPrEx>
          <w:tblCellMar>
            <w:top w:w="0" w:type="dxa"/>
            <w:left w:w="0" w:type="dxa"/>
            <w:bottom w:w="0" w:type="dxa"/>
            <w:right w:w="0" w:type="dxa"/>
          </w:tblCellMar>
        </w:tblPrEx>
        <w:trPr>
          <w:tblCellSpacing w:w="0" w:type="dxa"/>
        </w:trPr>
        <w:tc>
          <w:tcPr>
            <w:tcW w:w="5000" w:type="pct"/>
            <w:shd w:val="clear" w:color="auto" w:fill="FFFFFF"/>
            <w:noWrap w:val="0"/>
            <w:vAlign w:val="top"/>
          </w:tcPr>
          <w:tbl>
            <w:tblPr>
              <w:tblStyle w:val="3"/>
              <w:tblW w:w="12000" w:type="dxa"/>
              <w:jc w:val="center"/>
              <w:tblCellSpacing w:w="0" w:type="dxa"/>
              <w:tblLayout w:type="autofit"/>
              <w:tblCellMar>
                <w:top w:w="0" w:type="dxa"/>
                <w:left w:w="0" w:type="dxa"/>
                <w:bottom w:w="0" w:type="dxa"/>
                <w:right w:w="0" w:type="dxa"/>
              </w:tblCellMar>
            </w:tblPr>
            <w:tblGrid>
              <w:gridCol w:w="12000"/>
            </w:tblGrid>
            <w:tr>
              <w:tblPrEx>
                <w:tblCellMar>
                  <w:top w:w="0" w:type="dxa"/>
                  <w:left w:w="0" w:type="dxa"/>
                  <w:bottom w:w="0" w:type="dxa"/>
                  <w:right w:w="0" w:type="dxa"/>
                </w:tblCellMar>
              </w:tblPrEx>
              <w:trPr>
                <w:tblCellSpacing w:w="0" w:type="dxa"/>
                <w:jc w:val="center"/>
              </w:trPr>
              <w:tc>
                <w:tcPr>
                  <w:tcW w:w="0" w:type="auto"/>
                  <w:shd w:val="clear" w:color="auto" w:fill="FFFFFF"/>
                  <w:noWrap w:val="0"/>
                  <w:vAlign w:val="top"/>
                </w:tcPr>
                <w:tbl>
                  <w:tblPr>
                    <w:tblStyle w:val="3"/>
                    <w:tblW w:w="5000" w:type="pct"/>
                    <w:tblCellSpacing w:w="0" w:type="dxa"/>
                    <w:tblInd w:w="0" w:type="dxa"/>
                    <w:tblLayout w:type="autofit"/>
                    <w:tblCellMar>
                      <w:top w:w="0" w:type="dxa"/>
                      <w:left w:w="0" w:type="dxa"/>
                      <w:bottom w:w="0" w:type="dxa"/>
                      <w:right w:w="0" w:type="dxa"/>
                    </w:tblCellMar>
                  </w:tblPr>
                  <w:tblGrid>
                    <w:gridCol w:w="12000"/>
                  </w:tblGrid>
                  <w:tr>
                    <w:tblPrEx>
                      <w:tblCellMar>
                        <w:top w:w="0" w:type="dxa"/>
                        <w:left w:w="0" w:type="dxa"/>
                        <w:bottom w:w="0" w:type="dxa"/>
                        <w:right w:w="0" w:type="dxa"/>
                      </w:tblCellMar>
                    </w:tblPrEx>
                    <w:trPr>
                      <w:tblCellSpacing w:w="0" w:type="dxa"/>
                    </w:trPr>
                    <w:tc>
                      <w:tcPr>
                        <w:tcW w:w="0" w:type="auto"/>
                        <w:noWrap w:val="0"/>
                        <w:vAlign w:val="top"/>
                      </w:tcPr>
                      <w:p>
                        <w:pPr>
                          <w:widowControl/>
                          <w:jc w:val="left"/>
                          <w:rPr>
                            <w:rFonts w:hint="eastAsia" w:ascii="黑体" w:hAnsi="宋体" w:eastAsia="黑体" w:cs="宋体"/>
                            <w:color w:val="000000"/>
                            <w:kern w:val="0"/>
                            <w:szCs w:val="21"/>
                          </w:rPr>
                        </w:pPr>
                      </w:p>
                    </w:tc>
                  </w:tr>
                </w:tbl>
                <w:p>
                  <w:pPr>
                    <w:widowControl/>
                    <w:jc w:val="left"/>
                    <w:rPr>
                      <w:rFonts w:hint="eastAsia" w:ascii="黑体" w:hAnsi="宋体" w:eastAsia="黑体" w:cs="宋体"/>
                      <w:color w:val="000000"/>
                      <w:kern w:val="0"/>
                      <w:szCs w:val="21"/>
                    </w:rPr>
                  </w:pPr>
                </w:p>
              </w:tc>
            </w:tr>
            <w:tr>
              <w:tblPrEx>
                <w:tblCellMar>
                  <w:top w:w="0" w:type="dxa"/>
                  <w:left w:w="0" w:type="dxa"/>
                  <w:bottom w:w="0" w:type="dxa"/>
                  <w:right w:w="0" w:type="dxa"/>
                </w:tblCellMar>
              </w:tblPrEx>
              <w:trPr>
                <w:trHeight w:val="75" w:hRule="atLeast"/>
                <w:tblCellSpacing w:w="0" w:type="dxa"/>
                <w:jc w:val="center"/>
              </w:trPr>
              <w:tc>
                <w:tcPr>
                  <w:tcW w:w="0" w:type="auto"/>
                  <w:noWrap w:val="0"/>
                  <w:vAlign w:val="center"/>
                </w:tcPr>
                <w:p>
                  <w:pPr>
                    <w:widowControl/>
                    <w:jc w:val="left"/>
                    <w:rPr>
                      <w:rFonts w:hint="eastAsia" w:ascii="黑体" w:hAnsi="宋体" w:eastAsia="黑体" w:cs="宋体"/>
                      <w:color w:val="000000"/>
                      <w:kern w:val="0"/>
                      <w:sz w:val="8"/>
                      <w:szCs w:val="21"/>
                    </w:rPr>
                  </w:pPr>
                </w:p>
              </w:tc>
            </w:tr>
          </w:tbl>
          <w:p>
            <w:pPr>
              <w:widowControl/>
              <w:jc w:val="center"/>
              <w:rPr>
                <w:rFonts w:hint="eastAsia" w:ascii="黑体" w:hAnsi="宋体" w:eastAsia="黑体" w:cs="宋体"/>
                <w:color w:val="000000"/>
                <w:kern w:val="0"/>
                <w:szCs w:val="21"/>
              </w:rPr>
            </w:pPr>
          </w:p>
        </w:tc>
      </w:tr>
    </w:tbl>
    <w:p>
      <w:pPr>
        <w:spacing w:line="600" w:lineRule="exact"/>
        <w:rPr>
          <w:rFonts w:hint="eastAsia" w:ascii="黑体" w:eastAsia="黑体"/>
          <w:color w:val="000000"/>
          <w:sz w:val="32"/>
          <w:szCs w:val="32"/>
        </w:rPr>
      </w:pPr>
      <w:r>
        <w:rPr>
          <w:rFonts w:hint="eastAsia" w:ascii="黑体" w:eastAsia="黑体"/>
          <w:color w:val="000000"/>
          <w:sz w:val="32"/>
          <w:szCs w:val="32"/>
        </w:rPr>
        <w:t>五、其他重要事项的情况说明</w:t>
      </w:r>
    </w:p>
    <w:p>
      <w:pPr>
        <w:spacing w:line="600" w:lineRule="exact"/>
        <w:rPr>
          <w:rFonts w:hint="eastAsia" w:ascii="黑体" w:eastAsia="黑体"/>
          <w:color w:val="000000"/>
          <w:sz w:val="32"/>
          <w:szCs w:val="32"/>
        </w:rPr>
      </w:pPr>
      <w:r>
        <w:rPr>
          <w:rFonts w:hint="eastAsia" w:ascii="黑体" w:eastAsia="黑体"/>
          <w:color w:val="000000"/>
          <w:sz w:val="32"/>
          <w:szCs w:val="32"/>
        </w:rPr>
        <w:t>（一）机关运行经费执行情况说明</w:t>
      </w:r>
    </w:p>
    <w:p>
      <w:pPr>
        <w:autoSpaceDE w:val="0"/>
        <w:autoSpaceDN w:val="0"/>
        <w:adjustRightInd w:val="0"/>
        <w:spacing w:line="600" w:lineRule="exact"/>
        <w:jc w:val="left"/>
        <w:rPr>
          <w:rFonts w:hint="eastAsia" w:ascii="黑体" w:eastAsia="黑体"/>
          <w:color w:val="000000"/>
          <w:sz w:val="32"/>
          <w:szCs w:val="32"/>
        </w:rPr>
      </w:pPr>
      <w:r>
        <w:rPr>
          <w:rFonts w:hint="eastAsia" w:ascii="黑体" w:eastAsia="黑体"/>
          <w:color w:val="000000"/>
          <w:sz w:val="32"/>
          <w:szCs w:val="32"/>
        </w:rPr>
        <w:t>（二）国有资产占有使用情况说明</w:t>
      </w:r>
    </w:p>
    <w:p>
      <w:pPr>
        <w:autoSpaceDE w:val="0"/>
        <w:autoSpaceDN w:val="0"/>
        <w:adjustRightInd w:val="0"/>
        <w:spacing w:line="600" w:lineRule="exact"/>
        <w:jc w:val="left"/>
        <w:rPr>
          <w:rFonts w:hint="eastAsia" w:ascii="黑体" w:eastAsia="黑体"/>
          <w:color w:val="000000"/>
          <w:sz w:val="32"/>
          <w:szCs w:val="32"/>
        </w:rPr>
      </w:pPr>
      <w:r>
        <w:rPr>
          <w:rFonts w:hint="eastAsia" w:ascii="黑体" w:eastAsia="黑体"/>
          <w:color w:val="000000"/>
          <w:sz w:val="32"/>
          <w:szCs w:val="32"/>
        </w:rPr>
        <w:t>（三）政府采购支出情况说明</w:t>
      </w:r>
    </w:p>
    <w:p>
      <w:pPr>
        <w:autoSpaceDE w:val="0"/>
        <w:autoSpaceDN w:val="0"/>
        <w:adjustRightInd w:val="0"/>
        <w:spacing w:line="600" w:lineRule="exact"/>
        <w:jc w:val="left"/>
        <w:rPr>
          <w:rFonts w:hint="eastAsia" w:ascii="黑体" w:eastAsia="黑体"/>
          <w:color w:val="000000"/>
          <w:sz w:val="32"/>
          <w:szCs w:val="32"/>
        </w:rPr>
      </w:pPr>
      <w:r>
        <w:rPr>
          <w:rFonts w:hint="eastAsia" w:ascii="黑体" w:eastAsia="黑体"/>
          <w:color w:val="000000"/>
          <w:sz w:val="32"/>
          <w:szCs w:val="32"/>
        </w:rPr>
        <w:t>（四）重点绩效评价结果等预算绩效情况说明</w:t>
      </w:r>
    </w:p>
    <w:p>
      <w:pPr>
        <w:autoSpaceDE w:val="0"/>
        <w:autoSpaceDN w:val="0"/>
        <w:adjustRightInd w:val="0"/>
        <w:spacing w:line="600" w:lineRule="exact"/>
        <w:ind w:firstLine="160" w:firstLineChars="50"/>
        <w:jc w:val="left"/>
        <w:rPr>
          <w:rFonts w:hint="eastAsia" w:ascii="黑体" w:eastAsia="黑体"/>
          <w:color w:val="000000"/>
          <w:sz w:val="32"/>
          <w:szCs w:val="32"/>
        </w:rPr>
      </w:pPr>
      <w:r>
        <w:rPr>
          <w:rFonts w:hint="eastAsia" w:ascii="黑体" w:eastAsia="黑体"/>
          <w:color w:val="000000"/>
          <w:sz w:val="32"/>
          <w:szCs w:val="32"/>
        </w:rPr>
        <w:t>六、名词解释</w:t>
      </w:r>
    </w:p>
    <w:p>
      <w:pPr>
        <w:spacing w:line="600" w:lineRule="exact"/>
        <w:jc w:val="center"/>
        <w:rPr>
          <w:rFonts w:hint="eastAsia" w:ascii="方正小标宋简体" w:hAnsi="宋体" w:eastAsia="方正小标宋简体"/>
          <w:color w:val="000000"/>
          <w:sz w:val="36"/>
          <w:szCs w:val="36"/>
        </w:rPr>
      </w:pPr>
    </w:p>
    <w:p>
      <w:pPr>
        <w:spacing w:line="600" w:lineRule="exact"/>
        <w:jc w:val="center"/>
        <w:rPr>
          <w:rFonts w:hint="eastAsia" w:ascii="方正小标宋简体" w:hAnsi="宋体" w:eastAsia="方正小标宋简体"/>
          <w:color w:val="000000"/>
          <w:sz w:val="36"/>
          <w:szCs w:val="36"/>
        </w:rPr>
      </w:pPr>
    </w:p>
    <w:p>
      <w:pPr>
        <w:spacing w:line="600" w:lineRule="exact"/>
        <w:jc w:val="center"/>
        <w:rPr>
          <w:rFonts w:hint="eastAsia" w:ascii="方正小标宋简体" w:hAnsi="宋体" w:eastAsia="方正小标宋简体"/>
          <w:color w:val="000000"/>
          <w:sz w:val="36"/>
          <w:szCs w:val="36"/>
        </w:rPr>
      </w:pPr>
    </w:p>
    <w:p>
      <w:pPr>
        <w:spacing w:line="600" w:lineRule="exact"/>
        <w:jc w:val="center"/>
        <w:rPr>
          <w:rFonts w:hint="eastAsia" w:ascii="黑体" w:hAnsi="宋体" w:eastAsia="黑体"/>
          <w:color w:val="000000"/>
          <w:sz w:val="36"/>
          <w:szCs w:val="36"/>
        </w:rPr>
      </w:pPr>
      <w:r>
        <w:rPr>
          <w:rFonts w:hint="eastAsia" w:ascii="黑体" w:hAnsi="宋体" w:eastAsia="黑体"/>
          <w:color w:val="000000"/>
          <w:sz w:val="36"/>
          <w:szCs w:val="36"/>
        </w:rPr>
        <w:t>第二部分  盐边县桐子林镇人民政府2017年部门决算公开表</w:t>
      </w:r>
    </w:p>
    <w:p>
      <w:pPr>
        <w:numPr>
          <w:ilvl w:val="0"/>
          <w:numId w:val="1"/>
        </w:numPr>
        <w:autoSpaceDE w:val="0"/>
        <w:autoSpaceDN w:val="0"/>
        <w:adjustRightInd w:val="0"/>
        <w:spacing w:line="600" w:lineRule="exact"/>
        <w:ind w:left="998" w:hanging="357"/>
        <w:jc w:val="left"/>
        <w:rPr>
          <w:rFonts w:hint="eastAsia" w:ascii="黑体" w:eastAsia="黑体"/>
          <w:sz w:val="32"/>
          <w:szCs w:val="32"/>
        </w:rPr>
      </w:pPr>
      <w:r>
        <w:rPr>
          <w:rFonts w:hint="eastAsia" w:ascii="黑体" w:eastAsia="黑体"/>
          <w:sz w:val="32"/>
          <w:szCs w:val="32"/>
        </w:rPr>
        <w:t>、收支决算总表</w:t>
      </w:r>
    </w:p>
    <w:p>
      <w:pPr>
        <w:numPr>
          <w:ilvl w:val="0"/>
          <w:numId w:val="1"/>
        </w:numPr>
        <w:autoSpaceDE w:val="0"/>
        <w:autoSpaceDN w:val="0"/>
        <w:adjustRightInd w:val="0"/>
        <w:spacing w:line="600" w:lineRule="exact"/>
        <w:jc w:val="left"/>
        <w:rPr>
          <w:rFonts w:hint="eastAsia" w:ascii="黑体" w:eastAsia="黑体"/>
          <w:sz w:val="32"/>
          <w:szCs w:val="32"/>
        </w:rPr>
      </w:pPr>
      <w:r>
        <w:rPr>
          <w:rFonts w:hint="eastAsia" w:ascii="黑体" w:eastAsia="黑体"/>
          <w:sz w:val="32"/>
          <w:szCs w:val="32"/>
        </w:rPr>
        <w:t>、收入决算表</w:t>
      </w:r>
    </w:p>
    <w:p>
      <w:pPr>
        <w:numPr>
          <w:ilvl w:val="0"/>
          <w:numId w:val="1"/>
        </w:numPr>
        <w:autoSpaceDE w:val="0"/>
        <w:autoSpaceDN w:val="0"/>
        <w:adjustRightInd w:val="0"/>
        <w:spacing w:line="600" w:lineRule="exact"/>
        <w:jc w:val="left"/>
        <w:rPr>
          <w:rFonts w:hint="eastAsia" w:ascii="黑体" w:eastAsia="黑体"/>
          <w:sz w:val="32"/>
          <w:szCs w:val="32"/>
        </w:rPr>
      </w:pPr>
      <w:r>
        <w:rPr>
          <w:rFonts w:hint="eastAsia" w:ascii="黑体" w:eastAsia="黑体"/>
          <w:sz w:val="32"/>
          <w:szCs w:val="32"/>
        </w:rPr>
        <w:t>、支出决算表</w:t>
      </w:r>
    </w:p>
    <w:p>
      <w:pPr>
        <w:numPr>
          <w:ilvl w:val="0"/>
          <w:numId w:val="1"/>
        </w:numPr>
        <w:autoSpaceDE w:val="0"/>
        <w:autoSpaceDN w:val="0"/>
        <w:adjustRightInd w:val="0"/>
        <w:spacing w:line="600" w:lineRule="exact"/>
        <w:jc w:val="left"/>
        <w:rPr>
          <w:rFonts w:hint="eastAsia" w:ascii="黑体" w:eastAsia="黑体"/>
          <w:sz w:val="32"/>
          <w:szCs w:val="32"/>
        </w:rPr>
      </w:pPr>
      <w:r>
        <w:rPr>
          <w:rFonts w:hint="eastAsia" w:ascii="黑体" w:eastAsia="黑体"/>
          <w:sz w:val="32"/>
          <w:szCs w:val="32"/>
        </w:rPr>
        <w:t>、财政拨款收入支出决算总表</w:t>
      </w:r>
    </w:p>
    <w:p>
      <w:pPr>
        <w:numPr>
          <w:ilvl w:val="0"/>
          <w:numId w:val="1"/>
        </w:numPr>
        <w:autoSpaceDE w:val="0"/>
        <w:autoSpaceDN w:val="0"/>
        <w:adjustRightInd w:val="0"/>
        <w:spacing w:line="600" w:lineRule="exact"/>
        <w:jc w:val="left"/>
        <w:rPr>
          <w:rFonts w:hint="eastAsia" w:ascii="黑体" w:eastAsia="黑体"/>
          <w:sz w:val="32"/>
          <w:szCs w:val="32"/>
        </w:rPr>
      </w:pPr>
      <w:r>
        <w:rPr>
          <w:rFonts w:hint="eastAsia" w:ascii="黑体" w:eastAsia="黑体"/>
          <w:sz w:val="32"/>
          <w:szCs w:val="32"/>
        </w:rPr>
        <w:t>、一般公共预算财政拨款支出决算表</w:t>
      </w:r>
    </w:p>
    <w:p>
      <w:pPr>
        <w:numPr>
          <w:ilvl w:val="0"/>
          <w:numId w:val="1"/>
        </w:numPr>
        <w:autoSpaceDE w:val="0"/>
        <w:autoSpaceDN w:val="0"/>
        <w:adjustRightInd w:val="0"/>
        <w:spacing w:line="600" w:lineRule="exact"/>
        <w:jc w:val="left"/>
        <w:rPr>
          <w:rFonts w:hint="eastAsia" w:ascii="黑体" w:eastAsia="黑体"/>
          <w:sz w:val="32"/>
          <w:szCs w:val="32"/>
        </w:rPr>
      </w:pPr>
      <w:r>
        <w:rPr>
          <w:rFonts w:hint="eastAsia" w:ascii="黑体" w:eastAsia="黑体"/>
          <w:sz w:val="32"/>
          <w:szCs w:val="32"/>
        </w:rPr>
        <w:t>、一般公共预算财政拨款基本支出决算表</w:t>
      </w:r>
    </w:p>
    <w:p>
      <w:pPr>
        <w:numPr>
          <w:ilvl w:val="0"/>
          <w:numId w:val="1"/>
        </w:numPr>
        <w:autoSpaceDE w:val="0"/>
        <w:autoSpaceDN w:val="0"/>
        <w:adjustRightInd w:val="0"/>
        <w:spacing w:line="600" w:lineRule="exact"/>
        <w:jc w:val="left"/>
        <w:rPr>
          <w:rFonts w:hint="eastAsia" w:ascii="黑体" w:eastAsia="黑体"/>
          <w:sz w:val="32"/>
          <w:szCs w:val="32"/>
        </w:rPr>
      </w:pPr>
      <w:r>
        <w:rPr>
          <w:rFonts w:hint="eastAsia" w:ascii="黑体" w:eastAsia="黑体"/>
          <w:sz w:val="32"/>
          <w:szCs w:val="32"/>
        </w:rPr>
        <w:t>、一般公共预算财政拨款“三公”经费支出决算表</w:t>
      </w:r>
    </w:p>
    <w:p>
      <w:pPr>
        <w:numPr>
          <w:ilvl w:val="0"/>
          <w:numId w:val="1"/>
        </w:numPr>
        <w:autoSpaceDE w:val="0"/>
        <w:autoSpaceDN w:val="0"/>
        <w:adjustRightInd w:val="0"/>
        <w:spacing w:line="600" w:lineRule="exact"/>
        <w:jc w:val="left"/>
        <w:rPr>
          <w:rFonts w:hint="eastAsia" w:ascii="黑体" w:eastAsia="黑体"/>
          <w:sz w:val="32"/>
          <w:szCs w:val="32"/>
        </w:rPr>
      </w:pPr>
      <w:r>
        <w:rPr>
          <w:rFonts w:hint="eastAsia" w:ascii="黑体" w:eastAsia="黑体"/>
          <w:sz w:val="32"/>
          <w:szCs w:val="32"/>
        </w:rPr>
        <w:t>、政府性基金预算财政拨款收入支出决算表</w:t>
      </w:r>
    </w:p>
    <w:p>
      <w:pPr>
        <w:pStyle w:val="2"/>
        <w:keepNext w:val="0"/>
        <w:keepLines w:val="0"/>
        <w:widowControl/>
        <w:suppressLineNumbers w:val="0"/>
        <w:spacing w:line="600" w:lineRule="atLeast"/>
        <w:ind w:left="0" w:firstLine="720"/>
        <w:jc w:val="center"/>
        <w:rPr>
          <w:rFonts w:ascii="方正小标宋简体" w:hAnsi="方正小标宋简体" w:eastAsia="方正小标宋简体" w:cs="方正小标宋简体"/>
          <w:i w:val="0"/>
          <w:caps w:val="0"/>
          <w:color w:val="000000"/>
          <w:spacing w:val="0"/>
          <w:sz w:val="36"/>
          <w:szCs w:val="36"/>
        </w:rPr>
      </w:pPr>
    </w:p>
    <w:p>
      <w:pPr>
        <w:pStyle w:val="2"/>
        <w:keepNext w:val="0"/>
        <w:keepLines w:val="0"/>
        <w:widowControl/>
        <w:suppressLineNumbers w:val="0"/>
        <w:spacing w:line="600" w:lineRule="atLeast"/>
        <w:ind w:left="0" w:firstLine="720"/>
        <w:jc w:val="center"/>
        <w:rPr>
          <w:rFonts w:ascii="方正小标宋简体" w:hAnsi="方正小标宋简体" w:eastAsia="方正小标宋简体" w:cs="方正小标宋简体"/>
          <w:i w:val="0"/>
          <w:caps w:val="0"/>
          <w:color w:val="000000"/>
          <w:spacing w:val="0"/>
          <w:sz w:val="36"/>
          <w:szCs w:val="36"/>
        </w:rPr>
      </w:pPr>
    </w:p>
    <w:p>
      <w:pPr>
        <w:pStyle w:val="2"/>
        <w:keepNext w:val="0"/>
        <w:keepLines w:val="0"/>
        <w:widowControl/>
        <w:suppressLineNumbers w:val="0"/>
        <w:spacing w:line="600" w:lineRule="atLeast"/>
        <w:ind w:left="0" w:firstLine="720"/>
        <w:jc w:val="center"/>
        <w:rPr>
          <w:rFonts w:ascii="方正小标宋简体" w:hAnsi="方正小标宋简体" w:eastAsia="方正小标宋简体" w:cs="方正小标宋简体"/>
          <w:i w:val="0"/>
          <w:caps w:val="0"/>
          <w:color w:val="000000"/>
          <w:spacing w:val="0"/>
          <w:sz w:val="36"/>
          <w:szCs w:val="36"/>
        </w:rPr>
      </w:pPr>
    </w:p>
    <w:p>
      <w:pPr>
        <w:pStyle w:val="2"/>
        <w:keepNext w:val="0"/>
        <w:keepLines w:val="0"/>
        <w:widowControl/>
        <w:suppressLineNumbers w:val="0"/>
        <w:spacing w:line="600" w:lineRule="atLeast"/>
        <w:ind w:left="0" w:firstLine="720"/>
        <w:jc w:val="center"/>
        <w:rPr>
          <w:rFonts w:ascii="方正小标宋简体" w:hAnsi="方正小标宋简体" w:eastAsia="方正小标宋简体" w:cs="方正小标宋简体"/>
          <w:i w:val="0"/>
          <w:caps w:val="0"/>
          <w:color w:val="000000"/>
          <w:spacing w:val="0"/>
          <w:sz w:val="36"/>
          <w:szCs w:val="36"/>
        </w:rPr>
      </w:pPr>
    </w:p>
    <w:p>
      <w:pPr>
        <w:pStyle w:val="2"/>
        <w:keepNext w:val="0"/>
        <w:keepLines w:val="0"/>
        <w:widowControl/>
        <w:suppressLineNumbers w:val="0"/>
        <w:spacing w:line="600" w:lineRule="atLeast"/>
        <w:ind w:left="0" w:firstLine="720"/>
        <w:jc w:val="center"/>
        <w:rPr>
          <w:rFonts w:ascii="方正小标宋简体" w:hAnsi="方正小标宋简体" w:eastAsia="方正小标宋简体" w:cs="方正小标宋简体"/>
          <w:i w:val="0"/>
          <w:caps w:val="0"/>
          <w:color w:val="000000"/>
          <w:spacing w:val="0"/>
          <w:sz w:val="36"/>
          <w:szCs w:val="36"/>
        </w:rPr>
      </w:pPr>
    </w:p>
    <w:p>
      <w:pPr>
        <w:pStyle w:val="2"/>
        <w:keepNext w:val="0"/>
        <w:keepLines w:val="0"/>
        <w:widowControl/>
        <w:suppressLineNumbers w:val="0"/>
        <w:spacing w:line="600" w:lineRule="atLeast"/>
        <w:ind w:left="0" w:firstLine="720"/>
        <w:jc w:val="center"/>
        <w:rPr>
          <w:rFonts w:ascii="方正小标宋简体" w:hAnsi="方正小标宋简体" w:eastAsia="方正小标宋简体" w:cs="方正小标宋简体"/>
          <w:i w:val="0"/>
          <w:caps w:val="0"/>
          <w:color w:val="000000"/>
          <w:spacing w:val="0"/>
          <w:sz w:val="36"/>
          <w:szCs w:val="36"/>
        </w:rPr>
      </w:pPr>
    </w:p>
    <w:p>
      <w:pPr>
        <w:pStyle w:val="2"/>
        <w:keepNext w:val="0"/>
        <w:keepLines w:val="0"/>
        <w:widowControl/>
        <w:suppressLineNumbers w:val="0"/>
        <w:spacing w:line="600" w:lineRule="atLeast"/>
        <w:ind w:left="0" w:firstLine="720"/>
        <w:jc w:val="center"/>
        <w:rPr>
          <w:rFonts w:ascii="方正小标宋简体" w:hAnsi="方正小标宋简体" w:eastAsia="方正小标宋简体" w:cs="方正小标宋简体"/>
          <w:i w:val="0"/>
          <w:caps w:val="0"/>
          <w:color w:val="000000"/>
          <w:spacing w:val="0"/>
          <w:sz w:val="36"/>
          <w:szCs w:val="36"/>
        </w:rPr>
      </w:pPr>
    </w:p>
    <w:p>
      <w:pPr>
        <w:pStyle w:val="2"/>
        <w:keepNext w:val="0"/>
        <w:keepLines w:val="0"/>
        <w:widowControl/>
        <w:suppressLineNumbers w:val="0"/>
        <w:spacing w:line="600" w:lineRule="atLeast"/>
        <w:ind w:left="0" w:firstLine="720"/>
        <w:jc w:val="center"/>
        <w:rPr>
          <w:rFonts w:ascii="Helvetica" w:hAnsi="Helvetica" w:eastAsia="Helvetica" w:cs="Helvetica"/>
          <w:i w:val="0"/>
          <w:caps w:val="0"/>
          <w:color w:val="000000"/>
          <w:spacing w:val="0"/>
          <w:sz w:val="21"/>
          <w:szCs w:val="21"/>
        </w:rPr>
      </w:pPr>
      <w:bookmarkStart w:id="0" w:name="_GoBack"/>
      <w:r>
        <w:rPr>
          <w:rFonts w:ascii="方正小标宋简体" w:hAnsi="方正小标宋简体" w:eastAsia="方正小标宋简体" w:cs="方正小标宋简体"/>
          <w:i w:val="0"/>
          <w:caps w:val="0"/>
          <w:color w:val="000000"/>
          <w:spacing w:val="0"/>
          <w:sz w:val="36"/>
          <w:szCs w:val="36"/>
        </w:rPr>
        <w:t>盐边县桐子林镇人民政府</w:t>
      </w:r>
      <w:bookmarkEnd w:id="0"/>
      <w:r>
        <w:rPr>
          <w:rFonts w:hint="eastAsia" w:ascii="方正小标宋简体" w:hAnsi="方正小标宋简体" w:eastAsia="方正小标宋简体" w:cs="方正小标宋简体"/>
          <w:i w:val="0"/>
          <w:caps w:val="0"/>
          <w:color w:val="000000"/>
          <w:spacing w:val="0"/>
          <w:sz w:val="36"/>
          <w:szCs w:val="36"/>
        </w:rPr>
        <w:t>2017年部门决算编制说明</w:t>
      </w:r>
    </w:p>
    <w:p>
      <w:pPr>
        <w:pStyle w:val="2"/>
        <w:keepNext w:val="0"/>
        <w:keepLines w:val="0"/>
        <w:widowControl/>
        <w:suppressLineNumbers w:val="0"/>
        <w:spacing w:line="600" w:lineRule="atLeast"/>
        <w:ind w:left="0" w:firstLine="883"/>
        <w:jc w:val="center"/>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sz w:val="21"/>
          <w:szCs w:val="21"/>
        </w:rPr>
        <w:t> </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ascii="黑体" w:hAnsi="宋体" w:eastAsia="黑体" w:cs="黑体"/>
          <w:i w:val="0"/>
          <w:caps w:val="0"/>
          <w:color w:val="000000"/>
          <w:spacing w:val="0"/>
          <w:sz w:val="32"/>
          <w:szCs w:val="32"/>
        </w:rPr>
        <w:t>一、基本职能及主要工作</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宋体" w:hAnsi="宋体" w:eastAsia="宋体" w:cs="宋体"/>
          <w:i w:val="0"/>
          <w:caps w:val="0"/>
          <w:color w:val="000000"/>
          <w:spacing w:val="0"/>
          <w:sz w:val="32"/>
          <w:szCs w:val="32"/>
        </w:rPr>
        <w:t>（一）主要职能。</w:t>
      </w:r>
    </w:p>
    <w:p>
      <w:pPr>
        <w:pStyle w:val="2"/>
        <w:keepNext w:val="0"/>
        <w:keepLines w:val="0"/>
        <w:widowControl/>
        <w:suppressLineNumbers w:val="0"/>
        <w:shd w:val="clear" w:fill="FFFFFF"/>
        <w:spacing w:line="435" w:lineRule="atLeast"/>
        <w:ind w:left="0" w:firstLine="640"/>
        <w:rPr>
          <w:rFonts w:hint="default" w:ascii="Helvetica" w:hAnsi="Helvetica" w:eastAsia="Helvetica" w:cs="Helvetica"/>
          <w:i w:val="0"/>
          <w:caps w:val="0"/>
          <w:color w:val="000000"/>
          <w:spacing w:val="0"/>
          <w:sz w:val="21"/>
          <w:szCs w:val="21"/>
        </w:rPr>
      </w:pPr>
      <w:r>
        <w:rPr>
          <w:rFonts w:ascii="仿宋_GB2312" w:hAnsi="仿宋_GB2312" w:eastAsia="仿宋_GB2312" w:cs="仿宋_GB2312"/>
          <w:i w:val="0"/>
          <w:caps w:val="0"/>
          <w:color w:val="000000"/>
          <w:spacing w:val="0"/>
          <w:sz w:val="32"/>
          <w:szCs w:val="32"/>
          <w:shd w:val="clear" w:fill="FFFFFF"/>
        </w:rPr>
        <w:t>1、制定和组织实施经济、科技和社会发展计划，制定资源开发技术改造和产业结构调整方案，组织指导好各业生产搞好</w:t>
      </w:r>
      <w:r>
        <w:rPr>
          <w:rFonts w:hint="eastAsia" w:ascii="仿宋_GB2312" w:hAnsi="仿宋_GB2312" w:eastAsia="仿宋_GB2312" w:cs="仿宋_GB2312"/>
          <w:i w:val="0"/>
          <w:caps w:val="0"/>
          <w:color w:val="000000"/>
          <w:spacing w:val="0"/>
          <w:sz w:val="32"/>
          <w:szCs w:val="32"/>
          <w:shd w:val="clear" w:fill="FFFFFF"/>
        </w:rPr>
        <w:t>，协调好本镇与外地区的经济交流与合作，抓好招商引资，项目开发，不断培育市场体系，组织经济运行，促进经济发展。</w:t>
      </w:r>
    </w:p>
    <w:p>
      <w:pPr>
        <w:pStyle w:val="2"/>
        <w:keepNext w:val="0"/>
        <w:keepLines w:val="0"/>
        <w:widowControl/>
        <w:suppressLineNumbers w:val="0"/>
        <w:shd w:val="clear" w:fill="FFFFFF"/>
        <w:spacing w:line="435"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shd w:val="clear" w:fill="FFFFFF"/>
        </w:rPr>
        <w:t>2、制定并组织实施村镇建设规划，部署重点工程建设，地方道路建设及公共设施，水利设施的管理，负责土地、林木、水等自然资源和生态环境的保护，做好护林防火工作。</w:t>
      </w:r>
      <w:r>
        <w:rPr>
          <w:rFonts w:hint="default" w:ascii="Helvetica" w:hAnsi="Helvetica" w:eastAsia="Helvetica" w:cs="Helvetica"/>
          <w:i w:val="0"/>
          <w:caps w:val="0"/>
          <w:color w:val="000000"/>
          <w:spacing w:val="0"/>
          <w:sz w:val="21"/>
          <w:szCs w:val="21"/>
          <w:shd w:val="clear" w:fill="FFFFFF"/>
        </w:rPr>
        <w:br w:type="textWrapping"/>
      </w:r>
      <w:r>
        <w:rPr>
          <w:rFonts w:hint="default" w:ascii="Helvetica" w:hAnsi="Helvetica" w:eastAsia="Helvetica" w:cs="Helvetica"/>
          <w:i w:val="0"/>
          <w:caps w:val="0"/>
          <w:color w:val="000000"/>
          <w:spacing w:val="0"/>
          <w:sz w:val="21"/>
          <w:szCs w:val="21"/>
          <w:shd w:val="clear" w:fill="FFFFFF"/>
        </w:rPr>
        <w:t>   </w:t>
      </w:r>
      <w:r>
        <w:rPr>
          <w:rFonts w:hint="eastAsia" w:ascii="仿宋_GB2312" w:hAnsi="仿宋_GB2312" w:eastAsia="仿宋_GB2312" w:cs="仿宋_GB2312"/>
          <w:i w:val="0"/>
          <w:caps w:val="0"/>
          <w:color w:val="000000"/>
          <w:spacing w:val="0"/>
          <w:sz w:val="32"/>
          <w:szCs w:val="32"/>
          <w:shd w:val="clear" w:fill="FFFFFF"/>
        </w:rPr>
        <w:t> 3、负责本行政区域内的民政、计划生育、、卫生、体育等社会公益事业的综合性工作，维护一切经济单位和个人的正当经济权益，取缔非法经济活动，调解和处理，打击刑事犯罪维护社会稳定。</w:t>
      </w:r>
      <w:r>
        <w:rPr>
          <w:rFonts w:hint="default" w:ascii="Helvetica" w:hAnsi="Helvetica" w:eastAsia="Helvetica" w:cs="Helvetica"/>
          <w:i w:val="0"/>
          <w:caps w:val="0"/>
          <w:color w:val="000000"/>
          <w:spacing w:val="0"/>
          <w:sz w:val="21"/>
          <w:szCs w:val="21"/>
          <w:shd w:val="clear" w:fill="FFFFFF"/>
        </w:rPr>
        <w:br w:type="textWrapping"/>
      </w:r>
      <w:r>
        <w:rPr>
          <w:rFonts w:hint="default" w:ascii="Helvetica" w:hAnsi="Helvetica" w:eastAsia="Helvetica" w:cs="Helvetica"/>
          <w:i w:val="0"/>
          <w:caps w:val="0"/>
          <w:color w:val="000000"/>
          <w:spacing w:val="0"/>
          <w:sz w:val="21"/>
          <w:szCs w:val="21"/>
          <w:shd w:val="clear" w:fill="FFFFFF"/>
        </w:rPr>
        <w:t>   </w:t>
      </w:r>
      <w:r>
        <w:rPr>
          <w:rFonts w:hint="eastAsia" w:ascii="仿宋_GB2312" w:hAnsi="仿宋_GB2312" w:eastAsia="仿宋_GB2312" w:cs="仿宋_GB2312"/>
          <w:i w:val="0"/>
          <w:caps w:val="0"/>
          <w:color w:val="000000"/>
          <w:spacing w:val="0"/>
          <w:sz w:val="32"/>
          <w:szCs w:val="32"/>
          <w:shd w:val="clear" w:fill="FFFFFF"/>
        </w:rPr>
        <w:t> 4、按计划组织本级财政收入和地方税的征收，完成国家财政计划，不断培植税源，管好财政资金，增强财政实力。</w:t>
      </w:r>
      <w:r>
        <w:rPr>
          <w:rFonts w:hint="default" w:ascii="Helvetica" w:hAnsi="Helvetica" w:eastAsia="Helvetica" w:cs="Helvetica"/>
          <w:i w:val="0"/>
          <w:caps w:val="0"/>
          <w:color w:val="000000"/>
          <w:spacing w:val="0"/>
          <w:sz w:val="21"/>
          <w:szCs w:val="21"/>
          <w:shd w:val="clear" w:fill="FFFFFF"/>
        </w:rPr>
        <w:br w:type="textWrapping"/>
      </w:r>
      <w:r>
        <w:rPr>
          <w:rFonts w:hint="default" w:ascii="Helvetica" w:hAnsi="Helvetica" w:eastAsia="Helvetica" w:cs="Helvetica"/>
          <w:i w:val="0"/>
          <w:caps w:val="0"/>
          <w:color w:val="000000"/>
          <w:spacing w:val="0"/>
          <w:sz w:val="21"/>
          <w:szCs w:val="21"/>
          <w:shd w:val="clear" w:fill="FFFFFF"/>
        </w:rPr>
        <w:t>    </w:t>
      </w:r>
      <w:r>
        <w:rPr>
          <w:rFonts w:hint="eastAsia" w:ascii="仿宋_GB2312" w:hAnsi="仿宋_GB2312" w:eastAsia="仿宋_GB2312" w:cs="仿宋_GB2312"/>
          <w:i w:val="0"/>
          <w:caps w:val="0"/>
          <w:color w:val="000000"/>
          <w:spacing w:val="0"/>
          <w:sz w:val="32"/>
          <w:szCs w:val="32"/>
          <w:shd w:val="clear" w:fill="FFFFFF"/>
        </w:rPr>
        <w:t>5、抓好精神文明建设，丰富生活，提倡移风易俗，</w:t>
      </w:r>
      <w:r>
        <w:rPr>
          <w:rFonts w:hint="eastAsia" w:ascii="仿宋_GB2312" w:hAnsi="仿宋_GB2312" w:eastAsia="仿宋_GB2312" w:cs="仿宋_GB2312"/>
          <w:i w:val="0"/>
          <w:caps w:val="0"/>
          <w:color w:val="333333"/>
          <w:spacing w:val="0"/>
          <w:sz w:val="32"/>
          <w:szCs w:val="32"/>
          <w:shd w:val="clear" w:fill="FFFFFF"/>
        </w:rPr>
        <w:t>反对封建迷信，破除陈规陋习，树立社会主义新风尚。</w:t>
      </w:r>
      <w:r>
        <w:rPr>
          <w:rFonts w:hint="default" w:ascii="Helvetica" w:hAnsi="Helvetica" w:eastAsia="Helvetica" w:cs="Helvetica"/>
          <w:i w:val="0"/>
          <w:caps w:val="0"/>
          <w:color w:val="000000"/>
          <w:spacing w:val="0"/>
          <w:sz w:val="21"/>
          <w:szCs w:val="21"/>
          <w:shd w:val="clear" w:fill="FFFFFF"/>
        </w:rPr>
        <w:br w:type="textWrapping"/>
      </w:r>
      <w:r>
        <w:rPr>
          <w:rFonts w:hint="default" w:ascii="Helvetica" w:hAnsi="Helvetica" w:eastAsia="Helvetica" w:cs="Helvetica"/>
          <w:i w:val="0"/>
          <w:caps w:val="0"/>
          <w:color w:val="000000"/>
          <w:spacing w:val="0"/>
          <w:sz w:val="21"/>
          <w:szCs w:val="21"/>
          <w:shd w:val="clear" w:fill="FFFFFF"/>
        </w:rPr>
        <w:t>   </w:t>
      </w:r>
      <w:r>
        <w:rPr>
          <w:rFonts w:hint="eastAsia" w:ascii="仿宋_GB2312" w:hAnsi="仿宋_GB2312" w:eastAsia="仿宋_GB2312" w:cs="仿宋_GB2312"/>
          <w:i w:val="0"/>
          <w:caps w:val="0"/>
          <w:color w:val="333333"/>
          <w:spacing w:val="0"/>
          <w:sz w:val="32"/>
          <w:szCs w:val="32"/>
          <w:shd w:val="clear" w:fill="FFFFFF"/>
        </w:rPr>
        <w:t> 6、完成上级政府交办的其他事项。</w:t>
      </w:r>
    </w:p>
    <w:p>
      <w:pPr>
        <w:pStyle w:val="2"/>
        <w:keepNext w:val="0"/>
        <w:keepLines w:val="0"/>
        <w:widowControl/>
        <w:suppressLineNumbers w:val="0"/>
        <w:shd w:val="clear" w:fill="FFFFFF"/>
        <w:spacing w:line="435" w:lineRule="atLeast"/>
        <w:ind w:left="0" w:firstLine="640"/>
        <w:rPr>
          <w:rFonts w:hint="default" w:ascii="Helvetica" w:hAnsi="Helvetica" w:eastAsia="Helvetica" w:cs="Helvetica"/>
          <w:i w:val="0"/>
          <w:caps w:val="0"/>
          <w:color w:val="000000"/>
          <w:spacing w:val="0"/>
          <w:sz w:val="21"/>
          <w:szCs w:val="21"/>
        </w:rPr>
      </w:pPr>
      <w:r>
        <w:rPr>
          <w:rFonts w:hint="eastAsia" w:ascii="宋体" w:hAnsi="宋体" w:eastAsia="宋体" w:cs="宋体"/>
          <w:i w:val="0"/>
          <w:caps w:val="0"/>
          <w:color w:val="000000"/>
          <w:spacing w:val="0"/>
          <w:sz w:val="32"/>
          <w:szCs w:val="32"/>
          <w:shd w:val="clear" w:fill="FFFFFF"/>
        </w:rPr>
        <w:t>（二）2017年重点工作完成情况。</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黑体" w:hAnsi="宋体" w:eastAsia="黑体" w:cs="黑体"/>
          <w:i w:val="0"/>
          <w:caps w:val="0"/>
          <w:color w:val="000000"/>
          <w:spacing w:val="0"/>
          <w:sz w:val="32"/>
          <w:szCs w:val="32"/>
        </w:rPr>
        <w:t>二、部门概况</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桐子林镇人民政府属于机关事业一级单位，其中行政单位1个，事业单位3个，包含：农业服务中心、宣文中心、社会保障和就业服务中心。</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黑体" w:hAnsi="宋体" w:eastAsia="黑体" w:cs="黑体"/>
          <w:i w:val="0"/>
          <w:caps w:val="0"/>
          <w:color w:val="000000"/>
          <w:spacing w:val="0"/>
          <w:sz w:val="32"/>
          <w:szCs w:val="32"/>
        </w:rPr>
        <w:t>三、收支决算总体情况</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桐子林镇人民政府2017年本年收入合计1226万元，其中：财政拨款收入1195万元，占97.47%；其他收入31万元，占2.53%。</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桐子林镇人民政府2016年本年支出合计1248万元，占97.35%；其中：基本支出852万元，占68.27%；项目支出396万元，占31.73%。</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黑体" w:hAnsi="宋体" w:eastAsia="黑体" w:cs="黑体"/>
          <w:i w:val="0"/>
          <w:caps w:val="0"/>
          <w:color w:val="000000"/>
          <w:spacing w:val="0"/>
          <w:sz w:val="32"/>
          <w:szCs w:val="32"/>
        </w:rPr>
        <w:t>四、财政拨款收支决算情况</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桐子林镇人民政府2017年度财政拨款收支总决算1305万元。与2016年1690万元相比，财政拨款收、支总计各减少385万元，下降22.78%。</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黑体" w:hAnsi="宋体" w:eastAsia="黑体" w:cs="黑体"/>
          <w:i w:val="0"/>
          <w:caps w:val="0"/>
          <w:color w:val="000000"/>
          <w:spacing w:val="0"/>
          <w:sz w:val="32"/>
          <w:szCs w:val="32"/>
        </w:rPr>
        <w:t>五、一般公共预算财政拨款支出决算情况</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（一）一般公共预算财政拨款支出决算总体情况</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桐子林镇人民政府2017年度一般公共预算财政拨款支出1215万元，占本年支出合计的97.35%。与2016年相比，一般公共预算财政拨款减少65万元，下降5.6%。</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（二）一般公共预算财政拨款支出决算结构情况</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桐子林镇2017年一般公共预算财政拨款支出1215万元，主要用于以下方面:一般公共服务支出542万元，占44%；文化体育与传媒支出21万元，占1.72%；社会保障和就业支出323万元，占26.58%；医疗卫生支出13万元，占1.1%；农林水支出263万元，占21.7%；住房保障支出53万元，占4..36%。</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（三）一般公共预算财政拨款支出决算具体情况</w:t>
      </w:r>
    </w:p>
    <w:tbl>
      <w:tblPr>
        <w:tblW w:w="12900"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9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2900" w:type="dxa"/>
            <w:tcBorders>
              <w:top w:val="nil"/>
              <w:left w:val="nil"/>
              <w:bottom w:val="nil"/>
              <w:right w:val="nil"/>
            </w:tcBorders>
            <w:shd w:val="clear" w:color="auto" w:fill="FFFFFF"/>
            <w:tcMar>
              <w:top w:w="0" w:type="dxa"/>
              <w:left w:w="0" w:type="dxa"/>
              <w:bottom w:w="0" w:type="dxa"/>
              <w:right w:w="0" w:type="dxa"/>
            </w:tcMar>
            <w:vAlign w:val="top"/>
          </w:tcPr>
          <w:tbl>
            <w:tblPr>
              <w:tblW w:w="120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0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0" w:type="auto"/>
                  <w:tcBorders>
                    <w:top w:val="nil"/>
                    <w:left w:val="nil"/>
                    <w:bottom w:val="nil"/>
                    <w:right w:val="nil"/>
                  </w:tcBorders>
                  <w:shd w:val="clear"/>
                  <w:tcMar>
                    <w:top w:w="0" w:type="dxa"/>
                    <w:left w:w="0" w:type="dxa"/>
                    <w:bottom w:w="0" w:type="dxa"/>
                    <w:right w:w="0" w:type="dxa"/>
                  </w:tcMar>
                  <w:vAlign w:val="top"/>
                </w:tcPr>
                <w:tbl>
                  <w:tblPr>
                    <w:tblW w:w="120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0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right w:val="nil"/>
                        </w:tcBorders>
                        <w:shd w:val="clear"/>
                        <w:tcMar>
                          <w:top w:w="0" w:type="dxa"/>
                          <w:left w:w="0" w:type="dxa"/>
                          <w:bottom w:w="0" w:type="dxa"/>
                          <w:right w:w="0" w:type="dxa"/>
                        </w:tcMar>
                        <w:vAlign w:val="top"/>
                      </w:tcPr>
                      <w:p>
                        <w:pPr>
                          <w:pStyle w:val="2"/>
                          <w:keepNext w:val="0"/>
                          <w:keepLines w:val="0"/>
                          <w:widowControl/>
                          <w:suppressLineNumbers w:val="0"/>
                          <w:ind w:left="0" w:firstLine="420"/>
                        </w:pPr>
                        <w:r>
                          <w:rPr>
                            <w:bdr w:val="none" w:color="auto" w:sz="0" w:space="0"/>
                          </w:rPr>
                          <w:t> </w:t>
                        </w:r>
                      </w:p>
                    </w:tc>
                  </w:tr>
                </w:tbl>
                <w:p>
                  <w:pPr>
                    <w:pStyle w:val="2"/>
                    <w:keepNext w:val="0"/>
                    <w:keepLines w:val="0"/>
                    <w:widowControl/>
                    <w:suppressLineNumbers w:val="0"/>
                    <w:ind w:left="0" w:firstLine="420"/>
                  </w:pPr>
                  <w:r>
                    <w:rPr>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 w:hRule="atLeast"/>
                <w:jc w:val="center"/>
              </w:trPr>
              <w:tc>
                <w:tcPr>
                  <w:tcW w:w="0" w:type="auto"/>
                  <w:tcBorders>
                    <w:top w:val="nil"/>
                    <w:left w:val="nil"/>
                    <w:bottom w:val="nil"/>
                    <w:right w:val="nil"/>
                  </w:tcBorders>
                  <w:shd w:val="clear"/>
                  <w:tcMar>
                    <w:top w:w="0" w:type="dxa"/>
                    <w:left w:w="0" w:type="dxa"/>
                    <w:bottom w:w="0" w:type="dxa"/>
                    <w:right w:w="0" w:type="dxa"/>
                  </w:tcMar>
                  <w:vAlign w:val="top"/>
                </w:tcPr>
                <w:p>
                  <w:pPr>
                    <w:pStyle w:val="2"/>
                    <w:keepNext w:val="0"/>
                    <w:keepLines w:val="0"/>
                    <w:widowControl/>
                    <w:suppressLineNumbers w:val="0"/>
                    <w:ind w:left="0" w:firstLine="160"/>
                  </w:pPr>
                  <w:r>
                    <w:rPr>
                      <w:bdr w:val="none" w:color="auto" w:sz="0" w:space="0"/>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bdr w:val="none" w:color="auto" w:sz="0" w:space="0"/>
                <w:lang w:val="en-US" w:eastAsia="zh-CN" w:bidi="ar"/>
              </w:rPr>
              <w:t> </w:t>
            </w:r>
          </w:p>
          <w:p>
            <w:pPr>
              <w:pStyle w:val="2"/>
              <w:keepNext w:val="0"/>
              <w:keepLines w:val="0"/>
              <w:widowControl/>
              <w:suppressLineNumbers w:val="0"/>
              <w:ind w:left="0" w:firstLine="420"/>
              <w:jc w:val="center"/>
            </w:pPr>
            <w:r>
              <w:rPr>
                <w:rFonts w:hint="default" w:ascii="Helvetica" w:hAnsi="Helvetica" w:eastAsia="Helvetica" w:cs="Helvetica"/>
                <w:i w:val="0"/>
                <w:caps w:val="0"/>
                <w:color w:val="000000"/>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right w:val="nil"/>
            </w:tcBorders>
            <w:shd w:val="clear" w:color="auto" w:fill="FFFFFF"/>
            <w:tcMar>
              <w:top w:w="0" w:type="dxa"/>
              <w:left w:w="0" w:type="dxa"/>
              <w:bottom w:w="0" w:type="dxa"/>
              <w:right w:w="0" w:type="dxa"/>
            </w:tcMar>
            <w:vAlign w:val="top"/>
          </w:tcPr>
          <w:p>
            <w:pPr>
              <w:pStyle w:val="2"/>
              <w:keepNext w:val="0"/>
              <w:keepLines w:val="0"/>
              <w:widowControl/>
              <w:suppressLineNumbers w:val="0"/>
              <w:ind w:left="0" w:firstLine="420"/>
            </w:pPr>
            <w:r>
              <w:rPr>
                <w:rFonts w:hint="default" w:ascii="Helvetica" w:hAnsi="Helvetica" w:eastAsia="Helvetica" w:cs="Helvetica"/>
                <w:i w:val="0"/>
                <w:caps w:val="0"/>
                <w:color w:val="000000"/>
                <w:spacing w:val="0"/>
                <w:sz w:val="21"/>
                <w:szCs w:val="21"/>
                <w:bdr w:val="none" w:color="auto" w:sz="0" w:space="0"/>
              </w:rPr>
              <w:t> </w:t>
            </w:r>
          </w:p>
        </w:tc>
      </w:tr>
    </w:tbl>
    <w:p>
      <w:pPr>
        <w:keepNext w:val="0"/>
        <w:keepLines w:val="0"/>
        <w:widowControl/>
        <w:numPr>
          <w:ilvl w:val="0"/>
          <w:numId w:val="2"/>
        </w:numPr>
        <w:suppressLineNumbers w:val="0"/>
        <w:spacing w:before="0" w:beforeAutospacing="1" w:after="0" w:afterAutospacing="1"/>
        <w:ind w:left="720" w:hanging="360"/>
      </w:pPr>
      <w:r>
        <w:rPr>
          <w:rStyle w:val="5"/>
          <w:rFonts w:hint="eastAsia" w:ascii="仿宋_GB2312" w:hAnsi="仿宋_GB2312" w:eastAsia="仿宋_GB2312" w:cs="仿宋_GB2312"/>
          <w:i w:val="0"/>
          <w:caps w:val="0"/>
          <w:color w:val="000000"/>
          <w:spacing w:val="0"/>
          <w:sz w:val="32"/>
          <w:szCs w:val="32"/>
          <w:bdr w:val="none" w:color="auto" w:sz="0" w:space="0"/>
        </w:rPr>
        <w:t>一般公共服务</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2010101人大事务行政运行:2017年决算数为13万元，完成预算100%；2010104人大会议：2017年决算数为1万元，完成预算100%；2010301政府行政运行：2017年决算数为425万元，完成预算100%；2010302政府一般行政管理事务：2017年决算数为10万元，完成预算100%；2010308信访事务：2017年决算数为9万元，完成预算100%； 2010350政府事业运行：2017年决算数为29万元，完成预算100%；2010602财务事务一般行政管理事务：2017年决算数为1万元，完成预算100%；2010650财政事务事业运行：2017年决算数为9万元，完成预算100%； 2012901群众团体事务行政运行：2017年决算数为11万元，完成预算100%；2013101党委办公厅（室）及相关机构事务行政运行：2017年决算数为32万元，完成预算100%；2013102党委办公厅（室）及相关机构事务一般行政管理事务：2017年决算数为2万元，完成预算100%。</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000000"/>
          <w:spacing w:val="0"/>
          <w:sz w:val="32"/>
          <w:szCs w:val="32"/>
        </w:rPr>
        <w:t>2.文化体育与传媒支出</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2070109群众文化：2017年决算数为21万元，完成预算100%。</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000000"/>
          <w:spacing w:val="0"/>
          <w:sz w:val="32"/>
          <w:szCs w:val="32"/>
        </w:rPr>
        <w:t>3.社会保障和就业支出</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2080109社会保险经办机构：2017年决算数为9元，完成预算100%；2080208基层政权和社区建设：2017年决算数为190万元，完成预算100%；2080504未归口管理的行政单位离退休：2017年决算数为18万元，完成预算100%；2080505机关事业单位基本养老保险缴费支出：2017年决算数为68万元，完成预算100%； 2080802伤残抚恤：2017年决算数为3万元，完成预算100%； 2082102农村五保户供养支出：2017年决算数为33万元，完成预算100%；</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000000"/>
          <w:spacing w:val="0"/>
          <w:sz w:val="32"/>
          <w:szCs w:val="32"/>
        </w:rPr>
        <w:t>4.医疗卫生与计划生育支出</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2100799其他计划生育事务支出:2017年决算数为13万元，完成预算100%。</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000000"/>
          <w:spacing w:val="0"/>
          <w:sz w:val="32"/>
          <w:szCs w:val="32"/>
        </w:rPr>
        <w:t>5.城乡社区支出</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2120501城乡社区环境卫生： 2017年决算数为0万元，完成预算100%。</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000000"/>
          <w:spacing w:val="0"/>
          <w:sz w:val="32"/>
          <w:szCs w:val="32"/>
        </w:rPr>
        <w:t>6.农林水支出</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2130104农业事业运行:2017年决算数为58万元，完成预算100%；2130142农村道路建设：2017年决算数为27万元，完成预算100%；2130204林业事业机构：2017年决算数为10万元，完成预算100%；2130314防汛：2017年决算数为13万元，完成预算100%；2130321大中型水库移民后期扶持专项支出：2017年决算数为1万元，完成预算100%；2130399其他水利支出：2017年决算数为12万元，完成预算100%；2130701对村级一事一议的补助：2017年决算数为54万元，完成预算100%；2130705对村民委员会和村党支部的补助：2017年决算数为89万元，完成预算100%。</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000000"/>
          <w:spacing w:val="0"/>
          <w:sz w:val="32"/>
          <w:szCs w:val="32"/>
        </w:rPr>
        <w:t>7.资源勘探信息等支出</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2150605安全监管监察专项：2017年决算数为1万元，完成预算100%。</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000000"/>
          <w:spacing w:val="0"/>
          <w:sz w:val="32"/>
          <w:szCs w:val="32"/>
        </w:rPr>
        <w:t>8.住房保障支出</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2210201住房公积金: 2017年决算数为53万元，完成预算100%。</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黑体" w:hAnsi="宋体" w:eastAsia="黑体" w:cs="黑体"/>
          <w:i w:val="0"/>
          <w:caps w:val="0"/>
          <w:color w:val="000000"/>
          <w:spacing w:val="0"/>
          <w:sz w:val="32"/>
          <w:szCs w:val="32"/>
        </w:rPr>
        <w:t>六、一般公共预算财政拨款基本支出决算情况</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桐子林镇2017年一般公共预算财政拨款基本支出1215万元，其中：</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人员经费864万元，主要包括：基本工资153万元、津贴补贴182万元、奖金77万元、绩效工资32万元、机关事业单位基本养老保险缴费68万元、其他社会保障缴费31万元、抚恤金3万元、生活补助262万元、救济费1万元、医疗费2万元、住房公积金53万元。</w:t>
      </w:r>
      <w:r>
        <w:rPr>
          <w:rFonts w:hint="default" w:ascii="Helvetica" w:hAnsi="Helvetica" w:eastAsia="Helvetica" w:cs="Helvetica"/>
          <w:i w:val="0"/>
          <w:caps w:val="0"/>
          <w:color w:val="000000"/>
          <w:spacing w:val="0"/>
          <w:sz w:val="21"/>
          <w:szCs w:val="21"/>
        </w:rPr>
        <w:br w:type="textWrapping"/>
      </w:r>
      <w:r>
        <w:rPr>
          <w:rFonts w:hint="eastAsia" w:ascii="仿宋_GB2312" w:hAnsi="仿宋_GB2312" w:eastAsia="仿宋_GB2312" w:cs="仿宋_GB2312"/>
          <w:i w:val="0"/>
          <w:caps w:val="0"/>
          <w:color w:val="000000"/>
          <w:spacing w:val="0"/>
          <w:sz w:val="32"/>
          <w:szCs w:val="32"/>
        </w:rPr>
        <w:t>　　公用经费229万元，主要包括：办公费63万元、咨询费3万元、水费5万元、电费4万元、邮电费6万元、差旅费38万元、维修费10万、会议费6万元、公务接待费1万元、劳务费43万元、委托业务费1万元、工会经费11万元、福利费6万元公务用车运行维护费5万元、其他交通费25万元、其他商品和服务支出2万元。</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黑体" w:hAnsi="宋体" w:eastAsia="黑体" w:cs="黑体"/>
          <w:i w:val="0"/>
          <w:caps w:val="0"/>
          <w:color w:val="000000"/>
          <w:spacing w:val="0"/>
          <w:sz w:val="32"/>
          <w:szCs w:val="32"/>
        </w:rPr>
        <w:t>七、“三公”经费财政拨款支出决算情况</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000000"/>
          <w:spacing w:val="0"/>
          <w:sz w:val="32"/>
          <w:szCs w:val="32"/>
        </w:rPr>
        <w:t>（一）“三公”经费财政拨款支出决算总体情况说明</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333333"/>
          <w:spacing w:val="0"/>
          <w:sz w:val="32"/>
          <w:szCs w:val="32"/>
        </w:rPr>
        <w:t>桐子林镇2017年度“三公”经费财政拨款支出决算为6万元，完成预算100%，其中：因公出国（境）费支出决算为0万元，完成预算0%；公务用车购置及运行维护费支出决算为5万元，完成预算100%；公务接待费支出决算为1万元，完成预算100%。2017年度“三公”经费支出决算数公务接待费小于预算数的主要原因是严格控制接待费用途。</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333333"/>
          <w:spacing w:val="0"/>
          <w:sz w:val="32"/>
          <w:szCs w:val="32"/>
        </w:rPr>
        <w:t>2017年度“三公”经费财政拨款支出决算数比2016年</w:t>
      </w:r>
      <w:r>
        <w:rPr>
          <w:rFonts w:hint="eastAsia" w:ascii="仿宋_GB2312" w:hAnsi="仿宋_GB2312" w:eastAsia="仿宋_GB2312" w:cs="仿宋_GB2312"/>
          <w:i w:val="0"/>
          <w:caps w:val="0"/>
          <w:color w:val="000000"/>
          <w:spacing w:val="0"/>
          <w:sz w:val="32"/>
          <w:szCs w:val="32"/>
        </w:rPr>
        <w:t>减少15</w:t>
      </w:r>
      <w:r>
        <w:rPr>
          <w:rFonts w:hint="eastAsia" w:ascii="仿宋_GB2312" w:hAnsi="仿宋_GB2312" w:eastAsia="仿宋_GB2312" w:cs="仿宋_GB2312"/>
          <w:i w:val="0"/>
          <w:caps w:val="0"/>
          <w:color w:val="333333"/>
          <w:spacing w:val="0"/>
          <w:sz w:val="32"/>
          <w:szCs w:val="32"/>
        </w:rPr>
        <w:t>万元，</w:t>
      </w:r>
      <w:r>
        <w:rPr>
          <w:rFonts w:hint="eastAsia" w:ascii="仿宋_GB2312" w:hAnsi="仿宋_GB2312" w:eastAsia="仿宋_GB2312" w:cs="仿宋_GB2312"/>
          <w:i w:val="0"/>
          <w:caps w:val="0"/>
          <w:color w:val="000000"/>
          <w:spacing w:val="0"/>
          <w:sz w:val="32"/>
          <w:szCs w:val="32"/>
        </w:rPr>
        <w:t>减少23%，其中：</w:t>
      </w:r>
      <w:r>
        <w:rPr>
          <w:rFonts w:hint="eastAsia" w:ascii="仿宋_GB2312" w:hAnsi="仿宋_GB2312" w:eastAsia="仿宋_GB2312" w:cs="仿宋_GB2312"/>
          <w:i w:val="0"/>
          <w:caps w:val="0"/>
          <w:color w:val="333333"/>
          <w:spacing w:val="0"/>
          <w:sz w:val="32"/>
          <w:szCs w:val="32"/>
        </w:rPr>
        <w:t>因公出国（境）费支出决算</w:t>
      </w:r>
      <w:r>
        <w:rPr>
          <w:rFonts w:hint="eastAsia" w:ascii="仿宋_GB2312" w:hAnsi="仿宋_GB2312" w:eastAsia="仿宋_GB2312" w:cs="仿宋_GB2312"/>
          <w:i w:val="0"/>
          <w:caps w:val="0"/>
          <w:color w:val="000000"/>
          <w:spacing w:val="0"/>
          <w:sz w:val="32"/>
          <w:szCs w:val="32"/>
        </w:rPr>
        <w:t>增加/减少</w:t>
      </w:r>
      <w:r>
        <w:rPr>
          <w:rFonts w:hint="eastAsia" w:ascii="仿宋_GB2312" w:hAnsi="仿宋_GB2312" w:eastAsia="仿宋_GB2312" w:cs="仿宋_GB2312"/>
          <w:i w:val="0"/>
          <w:caps w:val="0"/>
          <w:color w:val="333333"/>
          <w:spacing w:val="0"/>
          <w:sz w:val="32"/>
          <w:szCs w:val="32"/>
        </w:rPr>
        <w:t>0万元，</w:t>
      </w:r>
      <w:r>
        <w:rPr>
          <w:rFonts w:hint="eastAsia" w:ascii="仿宋_GB2312" w:hAnsi="仿宋_GB2312" w:eastAsia="仿宋_GB2312" w:cs="仿宋_GB2312"/>
          <w:i w:val="0"/>
          <w:caps w:val="0"/>
          <w:color w:val="000000"/>
          <w:spacing w:val="0"/>
          <w:sz w:val="32"/>
          <w:szCs w:val="32"/>
        </w:rPr>
        <w:t>增长/下降0%</w:t>
      </w:r>
      <w:r>
        <w:rPr>
          <w:rFonts w:hint="eastAsia" w:ascii="仿宋_GB2312" w:hAnsi="仿宋_GB2312" w:eastAsia="仿宋_GB2312" w:cs="仿宋_GB2312"/>
          <w:i w:val="0"/>
          <w:caps w:val="0"/>
          <w:color w:val="333333"/>
          <w:spacing w:val="0"/>
          <w:sz w:val="32"/>
          <w:szCs w:val="32"/>
        </w:rPr>
        <w:t>；公务用车购置及运行维护费支出决算</w:t>
      </w:r>
      <w:r>
        <w:rPr>
          <w:rFonts w:hint="eastAsia" w:ascii="仿宋_GB2312" w:hAnsi="仿宋_GB2312" w:eastAsia="仿宋_GB2312" w:cs="仿宋_GB2312"/>
          <w:i w:val="0"/>
          <w:caps w:val="0"/>
          <w:color w:val="000000"/>
          <w:spacing w:val="0"/>
          <w:sz w:val="32"/>
          <w:szCs w:val="32"/>
        </w:rPr>
        <w:t>减少15</w:t>
      </w:r>
      <w:r>
        <w:rPr>
          <w:rFonts w:hint="eastAsia" w:ascii="仿宋_GB2312" w:hAnsi="仿宋_GB2312" w:eastAsia="仿宋_GB2312" w:cs="仿宋_GB2312"/>
          <w:i w:val="0"/>
          <w:caps w:val="0"/>
          <w:color w:val="333333"/>
          <w:spacing w:val="0"/>
          <w:sz w:val="32"/>
          <w:szCs w:val="32"/>
        </w:rPr>
        <w:t>万元，</w:t>
      </w:r>
      <w:r>
        <w:rPr>
          <w:rFonts w:hint="eastAsia" w:ascii="仿宋_GB2312" w:hAnsi="仿宋_GB2312" w:eastAsia="仿宋_GB2312" w:cs="仿宋_GB2312"/>
          <w:i w:val="0"/>
          <w:caps w:val="0"/>
          <w:color w:val="000000"/>
          <w:spacing w:val="0"/>
          <w:sz w:val="32"/>
          <w:szCs w:val="32"/>
        </w:rPr>
        <w:t>减少25%</w:t>
      </w:r>
      <w:r>
        <w:rPr>
          <w:rFonts w:hint="eastAsia" w:ascii="仿宋_GB2312" w:hAnsi="仿宋_GB2312" w:eastAsia="仿宋_GB2312" w:cs="仿宋_GB2312"/>
          <w:i w:val="0"/>
          <w:caps w:val="0"/>
          <w:color w:val="333333"/>
          <w:spacing w:val="0"/>
          <w:sz w:val="32"/>
          <w:szCs w:val="32"/>
        </w:rPr>
        <w:t>；公务接待费支出决算</w:t>
      </w:r>
      <w:r>
        <w:rPr>
          <w:rFonts w:hint="eastAsia" w:ascii="仿宋_GB2312" w:hAnsi="仿宋_GB2312" w:eastAsia="仿宋_GB2312" w:cs="仿宋_GB2312"/>
          <w:i w:val="0"/>
          <w:caps w:val="0"/>
          <w:color w:val="000000"/>
          <w:spacing w:val="0"/>
          <w:sz w:val="32"/>
          <w:szCs w:val="32"/>
        </w:rPr>
        <w:t>增加0.3</w:t>
      </w:r>
      <w:r>
        <w:rPr>
          <w:rFonts w:hint="eastAsia" w:ascii="仿宋_GB2312" w:hAnsi="仿宋_GB2312" w:eastAsia="仿宋_GB2312" w:cs="仿宋_GB2312"/>
          <w:i w:val="0"/>
          <w:caps w:val="0"/>
          <w:color w:val="333333"/>
          <w:spacing w:val="0"/>
          <w:sz w:val="32"/>
          <w:szCs w:val="32"/>
        </w:rPr>
        <w:t>万元，</w:t>
      </w:r>
      <w:r>
        <w:rPr>
          <w:rFonts w:hint="eastAsia" w:ascii="仿宋_GB2312" w:hAnsi="仿宋_GB2312" w:eastAsia="仿宋_GB2312" w:cs="仿宋_GB2312"/>
          <w:i w:val="0"/>
          <w:caps w:val="0"/>
          <w:color w:val="000000"/>
          <w:spacing w:val="0"/>
          <w:sz w:val="32"/>
          <w:szCs w:val="32"/>
        </w:rPr>
        <w:t>增长7%</w:t>
      </w:r>
      <w:r>
        <w:rPr>
          <w:rFonts w:hint="eastAsia" w:ascii="仿宋_GB2312" w:hAnsi="仿宋_GB2312" w:eastAsia="仿宋_GB2312" w:cs="仿宋_GB2312"/>
          <w:i w:val="0"/>
          <w:caps w:val="0"/>
          <w:color w:val="333333"/>
          <w:spacing w:val="0"/>
          <w:sz w:val="32"/>
          <w:szCs w:val="32"/>
        </w:rPr>
        <w:t>。增减变动的主要原因经费使用正常变化。</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333333"/>
          <w:spacing w:val="0"/>
          <w:sz w:val="32"/>
          <w:szCs w:val="32"/>
        </w:rPr>
        <w:t>（二）“三公”经费财政拨款支出决算具体情况说明</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333333"/>
          <w:spacing w:val="0"/>
          <w:sz w:val="32"/>
          <w:szCs w:val="32"/>
        </w:rPr>
        <w:t>2017年度“三公”经费财政拨款支出决算中，因公出国（境）费支出决算0万元，</w:t>
      </w:r>
      <w:r>
        <w:rPr>
          <w:rFonts w:hint="eastAsia" w:ascii="仿宋_GB2312" w:hAnsi="仿宋_GB2312" w:eastAsia="仿宋_GB2312" w:cs="仿宋_GB2312"/>
          <w:i w:val="0"/>
          <w:caps w:val="0"/>
          <w:color w:val="000000"/>
          <w:spacing w:val="0"/>
          <w:sz w:val="32"/>
          <w:szCs w:val="32"/>
        </w:rPr>
        <w:t>占0%</w:t>
      </w:r>
      <w:r>
        <w:rPr>
          <w:rFonts w:hint="eastAsia" w:ascii="仿宋_GB2312" w:hAnsi="仿宋_GB2312" w:eastAsia="仿宋_GB2312" w:cs="仿宋_GB2312"/>
          <w:i w:val="0"/>
          <w:caps w:val="0"/>
          <w:color w:val="333333"/>
          <w:spacing w:val="0"/>
          <w:sz w:val="32"/>
          <w:szCs w:val="32"/>
        </w:rPr>
        <w:t>；公务用车购置及运行维护费支出决算5万元，</w:t>
      </w:r>
      <w:r>
        <w:rPr>
          <w:rFonts w:hint="eastAsia" w:ascii="仿宋_GB2312" w:hAnsi="仿宋_GB2312" w:eastAsia="仿宋_GB2312" w:cs="仿宋_GB2312"/>
          <w:i w:val="0"/>
          <w:caps w:val="0"/>
          <w:color w:val="000000"/>
          <w:spacing w:val="0"/>
          <w:sz w:val="32"/>
          <w:szCs w:val="32"/>
        </w:rPr>
        <w:t>占84%</w:t>
      </w:r>
      <w:r>
        <w:rPr>
          <w:rFonts w:hint="eastAsia" w:ascii="仿宋_GB2312" w:hAnsi="仿宋_GB2312" w:eastAsia="仿宋_GB2312" w:cs="仿宋_GB2312"/>
          <w:i w:val="0"/>
          <w:caps w:val="0"/>
          <w:color w:val="333333"/>
          <w:spacing w:val="0"/>
          <w:sz w:val="32"/>
          <w:szCs w:val="32"/>
        </w:rPr>
        <w:t>；公务接待费支出决算1万元，</w:t>
      </w:r>
      <w:r>
        <w:rPr>
          <w:rFonts w:hint="eastAsia" w:ascii="仿宋_GB2312" w:hAnsi="仿宋_GB2312" w:eastAsia="仿宋_GB2312" w:cs="仿宋_GB2312"/>
          <w:i w:val="0"/>
          <w:caps w:val="0"/>
          <w:color w:val="000000"/>
          <w:spacing w:val="0"/>
          <w:sz w:val="32"/>
          <w:szCs w:val="32"/>
        </w:rPr>
        <w:t>占16%。</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000000"/>
          <w:spacing w:val="0"/>
          <w:sz w:val="32"/>
          <w:szCs w:val="32"/>
        </w:rPr>
        <w:t>1.因公出国（境）经费</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2016年因公出国（境）费0万元。全年安排因公出国（境）团组0次，出国（境）0人。</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000000"/>
          <w:spacing w:val="0"/>
          <w:sz w:val="32"/>
          <w:szCs w:val="32"/>
        </w:rPr>
        <w:t>2.公务用车购置及运行维护费</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2016年公务用车购置及运行维护费5万元,其中：</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公务用车购置支出0万元。全年按规定更新购置公务用车0辆，其中：轿车0辆、金额0万元，越野车0辆、金额0万元，载客汽车0辆、金额0万元，00。截至2016年12月底，单位共有公务用车1辆，其中：轿车1辆、越野车0辆、载客汽车0辆。</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公务用车运行维护费支出5万元。主要用于公务用车油费，保险费、洗车费，维修费等支出。</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000000"/>
          <w:spacing w:val="0"/>
          <w:sz w:val="32"/>
          <w:szCs w:val="32"/>
        </w:rPr>
        <w:t>3.公务接待费</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2017年公务接待费1.32万元。主要用于接待其他单位到桐子林镇开展调研活动用餐费等。国内公务接待6批次，共计支出1万元，具体内容包括：支付梁知祥接待费0.2万元；支张顺树0.04万元；支郑曦接待费0.2万元；支胡燕君接待费0.14万元；支杨琼顺利安全监管费用0.35万元；支杨波安全监管费用0.39万元。</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黑体" w:hAnsi="宋体" w:eastAsia="黑体" w:cs="黑体"/>
          <w:i w:val="0"/>
          <w:caps w:val="0"/>
          <w:color w:val="000000"/>
          <w:spacing w:val="0"/>
          <w:sz w:val="32"/>
          <w:szCs w:val="32"/>
        </w:rPr>
        <w:t>八、政府性基金预算财政拨款支出决算情况</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桐子林镇2017年使用政府性基金预算财政拨款支出0万元。</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黑体" w:hAnsi="宋体" w:eastAsia="黑体" w:cs="黑体"/>
          <w:i w:val="0"/>
          <w:caps w:val="0"/>
          <w:color w:val="000000"/>
          <w:spacing w:val="0"/>
          <w:sz w:val="32"/>
          <w:szCs w:val="32"/>
        </w:rPr>
        <w:t>九、国有资本经营预算支出决算情况说明</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2017年度国有资本经营预算拨款支出0万元。</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黑体" w:hAnsi="宋体" w:eastAsia="黑体" w:cs="黑体"/>
          <w:i w:val="0"/>
          <w:caps w:val="0"/>
          <w:color w:val="000000"/>
          <w:spacing w:val="0"/>
          <w:sz w:val="32"/>
          <w:szCs w:val="32"/>
        </w:rPr>
        <w:t>十、其他重要事项的情况说明</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000000"/>
          <w:spacing w:val="0"/>
          <w:sz w:val="32"/>
          <w:szCs w:val="32"/>
        </w:rPr>
        <w:t>（一）机关运行经费支出情况</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2017年度，桐子林镇机关运行经费支出177万元，比2016年增加23万元，增加22.91%。</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000000"/>
          <w:spacing w:val="0"/>
          <w:sz w:val="32"/>
          <w:szCs w:val="32"/>
        </w:rPr>
        <w:t>（二）政府采购支出情况</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2017年度，桐子林镇政府采购支出总额0万元，其中：政府采购货物支出0万元、政府采购工程支出0万元、政府采购服务支出0万元。</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000000"/>
          <w:spacing w:val="0"/>
          <w:sz w:val="32"/>
          <w:szCs w:val="32"/>
        </w:rPr>
        <w:t>（三）国有资产占有使用情况</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截至2017年12月31日，桐子林镇公有车辆1辆，其中：省部级领导干部用车0辆、一般公务用车1辆；单价50万元以上通用设备0台（套），单价100万元以上专用设备0台（套）。</w:t>
      </w:r>
    </w:p>
    <w:p>
      <w:pPr>
        <w:pStyle w:val="2"/>
        <w:keepNext w:val="0"/>
        <w:keepLines w:val="0"/>
        <w:widowControl/>
        <w:suppressLineNumbers w:val="0"/>
        <w:spacing w:line="600" w:lineRule="atLeast"/>
        <w:ind w:left="0" w:firstLine="643"/>
        <w:rPr>
          <w:rFonts w:hint="default" w:ascii="Helvetica" w:hAnsi="Helvetica" w:eastAsia="Helvetica" w:cs="Helvetica"/>
          <w:i w:val="0"/>
          <w:caps w:val="0"/>
          <w:color w:val="000000"/>
          <w:spacing w:val="0"/>
          <w:sz w:val="21"/>
          <w:szCs w:val="21"/>
        </w:rPr>
      </w:pPr>
      <w:r>
        <w:rPr>
          <w:rStyle w:val="5"/>
          <w:rFonts w:hint="eastAsia" w:ascii="仿宋_GB2312" w:hAnsi="仿宋_GB2312" w:eastAsia="仿宋_GB2312" w:cs="仿宋_GB2312"/>
          <w:i w:val="0"/>
          <w:caps w:val="0"/>
          <w:color w:val="000000"/>
          <w:spacing w:val="0"/>
          <w:sz w:val="32"/>
          <w:szCs w:val="32"/>
        </w:rPr>
        <w:t>（四）预算绩效情况</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按照预算绩效管理要求，本部门对2017年一般公共预算项目支出开展了绩效目标管理，共编制绩效目标3个，涉及财政资金32万元，覆盖率达到100%。</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2.部门整体支出绩效自评开展情况。</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按照预算绩效管理要求，本部门对2017年整体支出开展绩效自评，自评得分96分，存在的问题：一是各项制度上还需要完善，二是还需提高相关人员业务能力。下一步改进措施：一是进一步完善各项制度，二是加强人员业务学习。</w:t>
      </w:r>
    </w:p>
    <w:p>
      <w:pPr>
        <w:pStyle w:val="2"/>
        <w:keepNext w:val="0"/>
        <w:keepLines w:val="0"/>
        <w:widowControl/>
        <w:suppressLineNumbers w:val="0"/>
        <w:ind w:left="0" w:firstLine="640"/>
        <w:jc w:val="center"/>
        <w:rPr>
          <w:rFonts w:hint="default" w:ascii="Helvetica" w:hAnsi="Helvetica" w:eastAsia="Helvetica" w:cs="Helvetica"/>
          <w:i w:val="0"/>
          <w:caps w:val="0"/>
          <w:color w:val="000000"/>
          <w:spacing w:val="0"/>
          <w:sz w:val="21"/>
          <w:szCs w:val="21"/>
        </w:rPr>
      </w:pPr>
      <w:r>
        <w:rPr>
          <w:rFonts w:hint="eastAsia" w:ascii="黑体" w:hAnsi="宋体" w:eastAsia="黑体" w:cs="黑体"/>
          <w:i w:val="0"/>
          <w:caps w:val="0"/>
          <w:color w:val="000000"/>
          <w:spacing w:val="0"/>
          <w:sz w:val="32"/>
          <w:szCs w:val="32"/>
        </w:rPr>
        <w:t>2017年部门整体支出绩效评价得分表</w:t>
      </w:r>
    </w:p>
    <w:tbl>
      <w:tblPr>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582"/>
        <w:gridCol w:w="2080"/>
        <w:gridCol w:w="3074"/>
        <w:gridCol w:w="19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40" w:hRule="atLeast"/>
        </w:trPr>
        <w:tc>
          <w:tcPr>
            <w:tcW w:w="1695"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2"/>
              <w:jc w:val="center"/>
            </w:pPr>
            <w:r>
              <w:rPr>
                <w:rStyle w:val="5"/>
                <w:rFonts w:hint="eastAsia" w:ascii="宋体" w:hAnsi="宋体" w:eastAsia="宋体" w:cs="宋体"/>
                <w:i w:val="0"/>
                <w:caps w:val="0"/>
                <w:color w:val="000000"/>
                <w:spacing w:val="0"/>
                <w:sz w:val="20"/>
                <w:szCs w:val="20"/>
                <w:bdr w:val="none" w:color="auto" w:sz="0" w:space="0"/>
              </w:rPr>
              <w:t>一级指标</w:t>
            </w:r>
          </w:p>
        </w:tc>
        <w:tc>
          <w:tcPr>
            <w:tcW w:w="226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2"/>
              <w:jc w:val="center"/>
            </w:pPr>
            <w:r>
              <w:rPr>
                <w:rStyle w:val="5"/>
                <w:rFonts w:hint="eastAsia" w:ascii="宋体" w:hAnsi="宋体" w:eastAsia="宋体" w:cs="宋体"/>
                <w:i w:val="0"/>
                <w:caps w:val="0"/>
                <w:color w:val="000000"/>
                <w:spacing w:val="0"/>
                <w:sz w:val="20"/>
                <w:szCs w:val="20"/>
                <w:bdr w:val="none" w:color="auto" w:sz="0" w:space="0"/>
              </w:rPr>
              <w:t>二级指标</w:t>
            </w:r>
          </w:p>
        </w:tc>
        <w:tc>
          <w:tcPr>
            <w:tcW w:w="340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2"/>
              <w:jc w:val="center"/>
            </w:pPr>
            <w:r>
              <w:rPr>
                <w:rStyle w:val="5"/>
                <w:rFonts w:hint="eastAsia" w:ascii="宋体" w:hAnsi="宋体" w:eastAsia="宋体" w:cs="宋体"/>
                <w:i w:val="0"/>
                <w:caps w:val="0"/>
                <w:color w:val="000000"/>
                <w:spacing w:val="0"/>
                <w:sz w:val="20"/>
                <w:szCs w:val="20"/>
                <w:bdr w:val="none" w:color="auto" w:sz="0" w:space="0"/>
              </w:rPr>
              <w:t>三级指标</w:t>
            </w:r>
          </w:p>
        </w:tc>
        <w:tc>
          <w:tcPr>
            <w:tcW w:w="213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2"/>
              <w:jc w:val="center"/>
            </w:pPr>
            <w:r>
              <w:rPr>
                <w:rStyle w:val="5"/>
                <w:rFonts w:hint="eastAsia" w:ascii="宋体" w:hAnsi="宋体" w:eastAsia="宋体" w:cs="宋体"/>
                <w:i w:val="0"/>
                <w:caps w:val="0"/>
                <w:color w:val="000000"/>
                <w:spacing w:val="0"/>
                <w:sz w:val="20"/>
                <w:szCs w:val="20"/>
                <w:bdr w:val="none" w:color="auto" w:sz="0" w:space="0"/>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1695" w:type="dxa"/>
            <w:vMerge w:val="restart"/>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部门决策（25分）</w:t>
            </w:r>
          </w:p>
        </w:tc>
        <w:tc>
          <w:tcPr>
            <w:tcW w:w="226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目标任务（15分）</w:t>
            </w: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相关性（5分）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明确性（5分）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合理性（5分）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预算编制（10分）</w:t>
            </w: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测算依据（5分）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5"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目标管理（5分）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1695" w:type="dxa"/>
            <w:vMerge w:val="restart"/>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综合管理（30分）</w:t>
            </w:r>
          </w:p>
        </w:tc>
        <w:tc>
          <w:tcPr>
            <w:tcW w:w="226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专项资金分配时限（2分）</w:t>
            </w: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省级财力专项预算分配时限（1分）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中央专款分配合规率（1分）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中期评估（2分）</w:t>
            </w: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执行中期评估（2分）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5"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绩效监控（5分）</w:t>
            </w: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预算执行进度监控（2分）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绩效目标动态监控（3分）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非税收入执收情况（2分）</w:t>
            </w: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非税收入征收情况（1分）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default" w:ascii="Helvetica" w:hAnsi="Helvetica" w:eastAsia="Helvetica" w:cs="Helvetica"/>
                <w:i w:val="0"/>
                <w:caps w:val="0"/>
                <w:color w:val="000000"/>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非税收入上缴情况（1分）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default" w:ascii="Helvetica" w:hAnsi="Helvetica" w:eastAsia="Helvetica" w:cs="Helvetica"/>
                <w:i w:val="0"/>
                <w:caps w:val="0"/>
                <w:color w:val="000000"/>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资产管理（6分）</w:t>
            </w: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资产管理信息化情况（2分）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行政事业单位资产报告情况（2分）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资产管理与预算管理相结合（2分）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内控制度管理（2分）</w:t>
            </w: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内控制度健全完整（2分）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5"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信息公开（6分）</w:t>
            </w: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预算公开（2分）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95"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决算公开（2分）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绩效信息公开（2分）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绩效评价（5分）</w:t>
            </w: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绩效评价开展（2分）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评价结果应用（3分）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5" w:hRule="atLeast"/>
        </w:trPr>
        <w:tc>
          <w:tcPr>
            <w:tcW w:w="1695" w:type="dxa"/>
            <w:vMerge w:val="restart"/>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部门绩效情况（45分）</w:t>
            </w:r>
          </w:p>
        </w:tc>
        <w:tc>
          <w:tcPr>
            <w:tcW w:w="226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履职成效（20分）</w:t>
            </w: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部门特性指标</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jc w:val="center"/>
            </w:pPr>
            <w:r>
              <w:rPr>
                <w:rFonts w:hint="default" w:ascii="Helvetica" w:hAnsi="Helvetica" w:eastAsia="Helvetica" w:cs="Helvetica"/>
                <w:i w:val="0"/>
                <w:caps w:val="0"/>
                <w:color w:val="000000"/>
                <w:spacing w:val="0"/>
                <w:sz w:val="21"/>
                <w:szCs w:val="21"/>
                <w:bdr w:val="none" w:color="auto" w:sz="0" w:space="0"/>
              </w:rPr>
              <w:t> </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jc w:val="center"/>
            </w:pPr>
            <w:r>
              <w:rPr>
                <w:rFonts w:hint="default" w:ascii="Helvetica" w:hAnsi="Helvetica" w:eastAsia="Helvetica" w:cs="Helvetica"/>
                <w:i w:val="0"/>
                <w:caps w:val="0"/>
                <w:color w:val="000000"/>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jc w:val="center"/>
            </w:pPr>
            <w:r>
              <w:rPr>
                <w:rFonts w:hint="default" w:ascii="Helvetica" w:hAnsi="Helvetica" w:eastAsia="Helvetica" w:cs="Helvetica"/>
                <w:i w:val="0"/>
                <w:caps w:val="0"/>
                <w:color w:val="000000"/>
                <w:spacing w:val="0"/>
                <w:sz w:val="21"/>
                <w:szCs w:val="21"/>
                <w:bdr w:val="none" w:color="auto" w:sz="0" w:space="0"/>
              </w:rPr>
              <w:t> </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jc w:val="center"/>
            </w:pPr>
            <w:r>
              <w:rPr>
                <w:rFonts w:hint="default" w:ascii="Helvetica" w:hAnsi="Helvetica" w:eastAsia="Helvetica" w:cs="Helvetica"/>
                <w:i w:val="0"/>
                <w:caps w:val="0"/>
                <w:color w:val="000000"/>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jc w:val="center"/>
            </w:pPr>
            <w:r>
              <w:rPr>
                <w:rFonts w:hint="default" w:ascii="Helvetica" w:hAnsi="Helvetica" w:eastAsia="Helvetica" w:cs="Helvetica"/>
                <w:i w:val="0"/>
                <w:caps w:val="0"/>
                <w:color w:val="000000"/>
                <w:spacing w:val="0"/>
                <w:sz w:val="21"/>
                <w:szCs w:val="21"/>
                <w:bdr w:val="none" w:color="auto" w:sz="0" w:space="0"/>
              </w:rPr>
              <w:t> </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jc w:val="center"/>
            </w:pPr>
            <w:r>
              <w:rPr>
                <w:rFonts w:hint="default" w:ascii="Helvetica" w:hAnsi="Helvetica" w:eastAsia="Helvetica" w:cs="Helvetica"/>
                <w:i w:val="0"/>
                <w:caps w:val="0"/>
                <w:color w:val="000000"/>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pPr>
            <w:r>
              <w:rPr>
                <w:rFonts w:hint="eastAsia" w:ascii="宋体" w:hAnsi="宋体" w:eastAsia="宋体" w:cs="宋体"/>
                <w:i w:val="0"/>
                <w:caps w:val="0"/>
                <w:color w:val="000000"/>
                <w:spacing w:val="0"/>
                <w:sz w:val="20"/>
                <w:szCs w:val="20"/>
                <w:bdr w:val="none" w:color="auto" w:sz="0" w:space="0"/>
              </w:rPr>
              <w:t>可持续发展能力（15分）</w:t>
            </w: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重点改革（重点工作）完成情况（5分）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5"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科技（制度、方法、机制等）创新（5分）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人才培养（5分）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restart"/>
            <w:tcBorders>
              <w:top w:val="nil"/>
              <w:left w:val="nil"/>
              <w:bottom w:val="nil"/>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满意度（10分）</w:t>
            </w: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协作部门满意度（3分）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管理对象满意度（3分）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1695" w:type="dxa"/>
            <w:vMerge w:val="continue"/>
            <w:tcBorders>
              <w:top w:val="nil"/>
              <w:left w:val="single" w:color="auto" w:sz="8" w:space="0"/>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265" w:type="dxa"/>
            <w:vMerge w:val="continue"/>
            <w:tcBorders>
              <w:top w:val="nil"/>
              <w:left w:val="nil"/>
              <w:bottom w:val="nil"/>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4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社会公众满意度（4分）</w:t>
            </w:r>
          </w:p>
        </w:tc>
        <w:tc>
          <w:tcPr>
            <w:tcW w:w="2130"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ind w:left="0" w:firstLine="400"/>
              <w:jc w:val="center"/>
            </w:pPr>
            <w:r>
              <w:rPr>
                <w:rFonts w:hint="eastAsia" w:ascii="宋体" w:hAnsi="宋体" w:eastAsia="宋体" w:cs="宋体"/>
                <w:i w:val="0"/>
                <w:caps w:val="0"/>
                <w:color w:val="000000"/>
                <w:spacing w:val="0"/>
                <w:sz w:val="20"/>
                <w:szCs w:val="20"/>
                <w:bdr w:val="none" w:color="auto" w:sz="0" w:space="0"/>
              </w:rPr>
              <w:t>5</w:t>
            </w:r>
          </w:p>
        </w:tc>
      </w:tr>
    </w:tbl>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3.部门自行组织绩效评价开展情况。</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本部门对下属单位开展了整体支出绩效评价，得分为100分，存在的问题：一是各项制度上还需要完善，二是还需提高相关人员业务能力。下一步改进措施：一是进一步完善各项制度，二是加强人员业务学习。</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本部门对五保户项目开展了绩效评价，得分为20分，存在的问题：一是由于一些人员外迁，核对信息是有一定难度，二是核查不及时。下一步改进措施：一是对人员信息登记进一步完整，二是及时核查人员信息。</w:t>
      </w:r>
    </w:p>
    <w:p>
      <w:pPr>
        <w:pStyle w:val="2"/>
        <w:keepNext w:val="0"/>
        <w:keepLines w:val="0"/>
        <w:widowControl/>
        <w:suppressLineNumbers w:val="0"/>
        <w:ind w:left="0" w:firstLine="640"/>
        <w:jc w:val="center"/>
        <w:rPr>
          <w:rFonts w:hint="default" w:ascii="Helvetica" w:hAnsi="Helvetica" w:eastAsia="Helvetica" w:cs="Helvetica"/>
          <w:i w:val="0"/>
          <w:caps w:val="0"/>
          <w:color w:val="000000"/>
          <w:spacing w:val="0"/>
          <w:sz w:val="21"/>
          <w:szCs w:val="21"/>
        </w:rPr>
      </w:pPr>
      <w:r>
        <w:rPr>
          <w:rFonts w:hint="eastAsia" w:ascii="黑体" w:hAnsi="宋体" w:eastAsia="黑体" w:cs="黑体"/>
          <w:i w:val="0"/>
          <w:caps w:val="0"/>
          <w:color w:val="000000"/>
          <w:spacing w:val="0"/>
          <w:sz w:val="32"/>
          <w:szCs w:val="32"/>
        </w:rPr>
        <w:t>2017年项目支出绩效评价得分表</w:t>
      </w:r>
    </w:p>
    <w:tbl>
      <w:tblPr>
        <w:tblW w:w="988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620"/>
        <w:gridCol w:w="2115"/>
        <w:gridCol w:w="3540"/>
        <w:gridCol w:w="1305"/>
        <w:gridCol w:w="130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45" w:hRule="atLeast"/>
          <w:jc w:val="center"/>
        </w:trPr>
        <w:tc>
          <w:tcPr>
            <w:tcW w:w="162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2"/>
              <w:jc w:val="center"/>
            </w:pPr>
            <w:r>
              <w:rPr>
                <w:rStyle w:val="5"/>
                <w:rFonts w:hint="eastAsia" w:ascii="宋体" w:hAnsi="宋体" w:eastAsia="宋体" w:cs="宋体"/>
                <w:i w:val="0"/>
                <w:caps w:val="0"/>
                <w:color w:val="000000"/>
                <w:spacing w:val="0"/>
                <w:sz w:val="20"/>
                <w:szCs w:val="20"/>
                <w:bdr w:val="none" w:color="auto" w:sz="0" w:space="0"/>
              </w:rPr>
              <w:t>单位名称/</w:t>
            </w:r>
          </w:p>
          <w:p>
            <w:pPr>
              <w:pStyle w:val="2"/>
              <w:keepNext w:val="0"/>
              <w:keepLines w:val="0"/>
              <w:widowControl/>
              <w:suppressLineNumbers w:val="0"/>
              <w:spacing w:line="260" w:lineRule="atLeast"/>
              <w:ind w:left="0" w:firstLine="402"/>
              <w:jc w:val="center"/>
            </w:pPr>
            <w:r>
              <w:rPr>
                <w:rStyle w:val="5"/>
                <w:rFonts w:hint="eastAsia" w:ascii="宋体" w:hAnsi="宋体" w:eastAsia="宋体" w:cs="宋体"/>
                <w:i w:val="0"/>
                <w:caps w:val="0"/>
                <w:color w:val="000000"/>
                <w:spacing w:val="0"/>
                <w:sz w:val="20"/>
                <w:szCs w:val="20"/>
                <w:bdr w:val="none" w:color="auto" w:sz="0" w:space="0"/>
              </w:rPr>
              <w:t>项目名称</w:t>
            </w:r>
          </w:p>
        </w:tc>
        <w:tc>
          <w:tcPr>
            <w:tcW w:w="8265" w:type="dxa"/>
            <w:gridSpan w:val="4"/>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361"/>
              <w:jc w:val="center"/>
            </w:pPr>
            <w:r>
              <w:rPr>
                <w:rFonts w:hint="default" w:ascii="Helvetica" w:hAnsi="Helvetica" w:eastAsia="Helvetica" w:cs="Helvetica"/>
                <w:i w:val="0"/>
                <w:caps w:val="0"/>
                <w:color w:val="000000"/>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15" w:hRule="atLeast"/>
          <w:jc w:val="center"/>
        </w:trPr>
        <w:tc>
          <w:tcPr>
            <w:tcW w:w="16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2"/>
              <w:jc w:val="center"/>
            </w:pPr>
            <w:r>
              <w:rPr>
                <w:rStyle w:val="5"/>
                <w:rFonts w:hint="eastAsia" w:ascii="宋体" w:hAnsi="宋体" w:eastAsia="宋体" w:cs="宋体"/>
                <w:i w:val="0"/>
                <w:caps w:val="0"/>
                <w:color w:val="000000"/>
                <w:spacing w:val="0"/>
                <w:sz w:val="20"/>
                <w:szCs w:val="20"/>
                <w:bdr w:val="none" w:color="auto" w:sz="0" w:space="0"/>
              </w:rPr>
              <w:t>一级</w:t>
            </w:r>
          </w:p>
          <w:p>
            <w:pPr>
              <w:pStyle w:val="2"/>
              <w:keepNext w:val="0"/>
              <w:keepLines w:val="0"/>
              <w:widowControl/>
              <w:suppressLineNumbers w:val="0"/>
              <w:spacing w:line="260" w:lineRule="atLeast"/>
              <w:ind w:left="0" w:firstLine="402"/>
              <w:jc w:val="center"/>
            </w:pPr>
            <w:r>
              <w:rPr>
                <w:rStyle w:val="5"/>
                <w:rFonts w:hint="eastAsia" w:ascii="宋体" w:hAnsi="宋体" w:eastAsia="宋体" w:cs="宋体"/>
                <w:i w:val="0"/>
                <w:caps w:val="0"/>
                <w:color w:val="000000"/>
                <w:spacing w:val="0"/>
                <w:sz w:val="20"/>
                <w:szCs w:val="20"/>
                <w:bdr w:val="none" w:color="auto" w:sz="0" w:space="0"/>
              </w:rPr>
              <w:t>指标</w:t>
            </w:r>
          </w:p>
        </w:tc>
        <w:tc>
          <w:tcPr>
            <w:tcW w:w="21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2"/>
              <w:jc w:val="center"/>
            </w:pPr>
            <w:r>
              <w:rPr>
                <w:rStyle w:val="5"/>
                <w:rFonts w:hint="eastAsia" w:ascii="宋体" w:hAnsi="宋体" w:eastAsia="宋体" w:cs="宋体"/>
                <w:i w:val="0"/>
                <w:caps w:val="0"/>
                <w:color w:val="000000"/>
                <w:spacing w:val="0"/>
                <w:sz w:val="20"/>
                <w:szCs w:val="20"/>
                <w:bdr w:val="none" w:color="auto" w:sz="0" w:space="0"/>
              </w:rPr>
              <w:t>二级</w:t>
            </w:r>
          </w:p>
          <w:p>
            <w:pPr>
              <w:pStyle w:val="2"/>
              <w:keepNext w:val="0"/>
              <w:keepLines w:val="0"/>
              <w:widowControl/>
              <w:suppressLineNumbers w:val="0"/>
              <w:spacing w:line="260" w:lineRule="atLeast"/>
              <w:ind w:left="0" w:firstLine="402"/>
              <w:jc w:val="center"/>
            </w:pPr>
            <w:r>
              <w:rPr>
                <w:rStyle w:val="5"/>
                <w:rFonts w:hint="eastAsia" w:ascii="宋体" w:hAnsi="宋体" w:eastAsia="宋体" w:cs="宋体"/>
                <w:i w:val="0"/>
                <w:caps w:val="0"/>
                <w:color w:val="000000"/>
                <w:spacing w:val="0"/>
                <w:sz w:val="20"/>
                <w:szCs w:val="20"/>
                <w:bdr w:val="none" w:color="auto" w:sz="0" w:space="0"/>
              </w:rPr>
              <w:t>指标</w:t>
            </w:r>
          </w:p>
        </w:tc>
        <w:tc>
          <w:tcPr>
            <w:tcW w:w="354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2"/>
              <w:jc w:val="center"/>
            </w:pPr>
            <w:r>
              <w:rPr>
                <w:rStyle w:val="5"/>
                <w:rFonts w:hint="eastAsia" w:ascii="宋体" w:hAnsi="宋体" w:eastAsia="宋体" w:cs="宋体"/>
                <w:i w:val="0"/>
                <w:caps w:val="0"/>
                <w:color w:val="000000"/>
                <w:spacing w:val="0"/>
                <w:sz w:val="20"/>
                <w:szCs w:val="20"/>
                <w:bdr w:val="none" w:color="auto" w:sz="0" w:space="0"/>
              </w:rPr>
              <w:t>三级指标</w:t>
            </w:r>
          </w:p>
        </w:tc>
        <w:tc>
          <w:tcPr>
            <w:tcW w:w="130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2"/>
              <w:jc w:val="center"/>
            </w:pPr>
            <w:r>
              <w:rPr>
                <w:rStyle w:val="5"/>
                <w:rFonts w:hint="eastAsia" w:ascii="宋体" w:hAnsi="宋体" w:eastAsia="宋体" w:cs="宋体"/>
                <w:i w:val="0"/>
                <w:caps w:val="0"/>
                <w:color w:val="000000"/>
                <w:spacing w:val="0"/>
                <w:sz w:val="20"/>
                <w:szCs w:val="20"/>
                <w:bdr w:val="none" w:color="auto" w:sz="0" w:space="0"/>
              </w:rPr>
              <w:t>分值</w:t>
            </w:r>
          </w:p>
        </w:tc>
        <w:tc>
          <w:tcPr>
            <w:tcW w:w="130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361"/>
              <w:jc w:val="center"/>
            </w:pPr>
            <w:r>
              <w:rPr>
                <w:rStyle w:val="5"/>
                <w:rFonts w:hint="eastAsia" w:ascii="宋体" w:hAnsi="宋体" w:eastAsia="宋体" w:cs="宋体"/>
                <w:i w:val="0"/>
                <w:caps w:val="0"/>
                <w:color w:val="000000"/>
                <w:spacing w:val="0"/>
                <w:sz w:val="18"/>
                <w:szCs w:val="18"/>
                <w:bdr w:val="none" w:color="auto" w:sz="0" w:space="0"/>
              </w:rPr>
              <w:t>得分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5" w:hRule="atLeast"/>
          <w:jc w:val="center"/>
        </w:trPr>
        <w:tc>
          <w:tcPr>
            <w:tcW w:w="1620"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（20分）</w:t>
            </w:r>
            <w:r>
              <w:rPr>
                <w:rFonts w:hint="default" w:ascii="Helvetica" w:hAnsi="Helvetica" w:eastAsia="Helvetica" w:cs="Helvetica"/>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0"/>
                <w:szCs w:val="20"/>
                <w:bdr w:val="none" w:color="auto" w:sz="0" w:space="0"/>
              </w:rPr>
              <w:t>项目决策</w:t>
            </w:r>
          </w:p>
        </w:tc>
        <w:tc>
          <w:tcPr>
            <w:tcW w:w="211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（10分）</w:t>
            </w:r>
            <w:r>
              <w:rPr>
                <w:rFonts w:hint="default" w:ascii="Helvetica" w:hAnsi="Helvetica" w:eastAsia="Helvetica" w:cs="Helvetica"/>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0"/>
                <w:szCs w:val="20"/>
                <w:bdr w:val="none" w:color="auto" w:sz="0" w:space="0"/>
              </w:rPr>
              <w:t>科学决策</w:t>
            </w: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必要性</w:t>
            </w:r>
            <w:r>
              <w:rPr>
                <w:rFonts w:hint="default" w:ascii="Helvetica" w:hAnsi="Helvetica" w:eastAsia="Helvetica" w:cs="Helvetica"/>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0"/>
                <w:szCs w:val="20"/>
                <w:bdr w:val="none" w:color="auto" w:sz="0" w:space="0"/>
              </w:rPr>
              <w:t>（政策依据)</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5</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jc w:val="center"/>
            </w:pPr>
            <w:r>
              <w:rPr>
                <w:rFonts w:hint="eastAsia" w:ascii="宋体" w:hAnsi="宋体" w:eastAsia="宋体" w:cs="宋体"/>
                <w:i w:val="0"/>
                <w:caps w:val="0"/>
                <w:color w:val="000000"/>
                <w:spacing w:val="0"/>
                <w:sz w:val="15"/>
                <w:szCs w:val="15"/>
                <w:bdr w:val="none" w:color="auto" w:sz="0" w:space="0"/>
              </w:rPr>
              <w:t>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5" w:hRule="atLeast"/>
          <w:jc w:val="center"/>
        </w:trPr>
        <w:tc>
          <w:tcPr>
            <w:tcW w:w="162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1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可行性</w:t>
            </w:r>
            <w:r>
              <w:rPr>
                <w:rFonts w:hint="default" w:ascii="Helvetica" w:hAnsi="Helvetica" w:eastAsia="Helvetica" w:cs="Helvetica"/>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0"/>
                <w:szCs w:val="20"/>
                <w:bdr w:val="none" w:color="auto" w:sz="0" w:space="0"/>
              </w:rPr>
              <w:t>（政策完善）</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5</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jc w:val="center"/>
            </w:pPr>
            <w:r>
              <w:rPr>
                <w:rFonts w:hint="eastAsia" w:ascii="宋体" w:hAnsi="宋体" w:eastAsia="宋体" w:cs="宋体"/>
                <w:i w:val="0"/>
                <w:caps w:val="0"/>
                <w:color w:val="000000"/>
                <w:spacing w:val="0"/>
                <w:sz w:val="15"/>
                <w:szCs w:val="15"/>
                <w:bdr w:val="none" w:color="auto" w:sz="0" w:space="0"/>
              </w:rPr>
              <w:t>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90" w:hRule="atLeast"/>
          <w:jc w:val="center"/>
        </w:trPr>
        <w:tc>
          <w:tcPr>
            <w:tcW w:w="162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11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（10）</w:t>
            </w:r>
            <w:r>
              <w:rPr>
                <w:rFonts w:hint="default" w:ascii="Helvetica" w:hAnsi="Helvetica" w:eastAsia="Helvetica" w:cs="Helvetica"/>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0"/>
                <w:szCs w:val="20"/>
                <w:bdr w:val="none" w:color="auto" w:sz="0" w:space="0"/>
              </w:rPr>
              <w:t>绩效目标    </w:t>
            </w: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明确性</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5</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jc w:val="center"/>
            </w:pPr>
            <w:r>
              <w:rPr>
                <w:rFonts w:hint="eastAsia" w:ascii="宋体" w:hAnsi="宋体" w:eastAsia="宋体" w:cs="宋体"/>
                <w:i w:val="0"/>
                <w:caps w:val="0"/>
                <w:color w:val="000000"/>
                <w:spacing w:val="0"/>
                <w:sz w:val="15"/>
                <w:szCs w:val="15"/>
                <w:bdr w:val="none" w:color="auto" w:sz="0" w:space="0"/>
              </w:rPr>
              <w:t>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75" w:hRule="atLeast"/>
          <w:jc w:val="center"/>
        </w:trPr>
        <w:tc>
          <w:tcPr>
            <w:tcW w:w="162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1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合理性</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5</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jc w:val="center"/>
            </w:pPr>
            <w:r>
              <w:rPr>
                <w:rFonts w:hint="eastAsia" w:ascii="宋体" w:hAnsi="宋体" w:eastAsia="宋体" w:cs="宋体"/>
                <w:i w:val="0"/>
                <w:caps w:val="0"/>
                <w:color w:val="000000"/>
                <w:spacing w:val="0"/>
                <w:sz w:val="15"/>
                <w:szCs w:val="15"/>
                <w:bdr w:val="none" w:color="auto" w:sz="0" w:space="0"/>
              </w:rPr>
              <w:t>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90" w:hRule="atLeast"/>
          <w:jc w:val="center"/>
        </w:trPr>
        <w:tc>
          <w:tcPr>
            <w:tcW w:w="1620"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（10分）</w:t>
            </w:r>
            <w:r>
              <w:rPr>
                <w:rFonts w:hint="default" w:ascii="Helvetica" w:hAnsi="Helvetica" w:eastAsia="Helvetica" w:cs="Helvetica"/>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0"/>
                <w:szCs w:val="20"/>
                <w:bdr w:val="none" w:color="auto" w:sz="0" w:space="0"/>
              </w:rPr>
              <w:t>项目管理</w:t>
            </w:r>
          </w:p>
        </w:tc>
        <w:tc>
          <w:tcPr>
            <w:tcW w:w="211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（7分）</w:t>
            </w:r>
            <w:r>
              <w:rPr>
                <w:rFonts w:hint="default" w:ascii="Helvetica" w:hAnsi="Helvetica" w:eastAsia="Helvetica" w:cs="Helvetica"/>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0"/>
                <w:szCs w:val="20"/>
                <w:bdr w:val="none" w:color="auto" w:sz="0" w:space="0"/>
              </w:rPr>
              <w:t>资金管理</w:t>
            </w: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资金分配</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3</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jc w:val="center"/>
            </w:pPr>
            <w:r>
              <w:rPr>
                <w:rFonts w:hint="eastAsia" w:ascii="宋体" w:hAnsi="宋体" w:eastAsia="宋体" w:cs="宋体"/>
                <w:i w:val="0"/>
                <w:caps w:val="0"/>
                <w:color w:val="000000"/>
                <w:spacing w:val="0"/>
                <w:sz w:val="15"/>
                <w:szCs w:val="15"/>
                <w:bdr w:val="none" w:color="auto" w:sz="0" w:space="0"/>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05" w:hRule="atLeast"/>
          <w:jc w:val="center"/>
        </w:trPr>
        <w:tc>
          <w:tcPr>
            <w:tcW w:w="162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1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资金使用</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4</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jc w:val="center"/>
            </w:pPr>
            <w:r>
              <w:rPr>
                <w:rFonts w:hint="eastAsia" w:ascii="宋体" w:hAnsi="宋体" w:eastAsia="宋体" w:cs="宋体"/>
                <w:i w:val="0"/>
                <w:caps w:val="0"/>
                <w:color w:val="000000"/>
                <w:spacing w:val="0"/>
                <w:sz w:val="15"/>
                <w:szCs w:val="15"/>
                <w:bdr w:val="none" w:color="auto" w:sz="0" w:space="0"/>
              </w:rPr>
              <w:t>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60" w:hRule="atLeast"/>
          <w:jc w:val="center"/>
        </w:trPr>
        <w:tc>
          <w:tcPr>
            <w:tcW w:w="162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1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（3分）</w:t>
            </w:r>
            <w:r>
              <w:rPr>
                <w:rFonts w:hint="default" w:ascii="Helvetica" w:hAnsi="Helvetica" w:eastAsia="Helvetica" w:cs="Helvetica"/>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0"/>
                <w:szCs w:val="20"/>
                <w:bdr w:val="none" w:color="auto" w:sz="0" w:space="0"/>
              </w:rPr>
              <w:t>项目执行</w:t>
            </w: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执行规范</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3</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jc w:val="center"/>
            </w:pPr>
            <w:r>
              <w:rPr>
                <w:rFonts w:hint="eastAsia" w:ascii="宋体" w:hAnsi="宋体" w:eastAsia="宋体" w:cs="宋体"/>
                <w:i w:val="0"/>
                <w:caps w:val="0"/>
                <w:color w:val="000000"/>
                <w:spacing w:val="0"/>
                <w:sz w:val="15"/>
                <w:szCs w:val="15"/>
                <w:bdr w:val="none" w:color="auto" w:sz="0" w:space="0"/>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15" w:hRule="atLeast"/>
          <w:jc w:val="center"/>
        </w:trPr>
        <w:tc>
          <w:tcPr>
            <w:tcW w:w="1620"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（特性指标70分）</w:t>
            </w:r>
            <w:r>
              <w:rPr>
                <w:rFonts w:hint="default" w:ascii="Helvetica" w:hAnsi="Helvetica" w:eastAsia="Helvetica" w:cs="Helvetica"/>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0"/>
                <w:szCs w:val="20"/>
                <w:bdr w:val="none" w:color="auto" w:sz="0" w:space="0"/>
              </w:rPr>
              <w:t>项目绩效  </w:t>
            </w:r>
          </w:p>
        </w:tc>
        <w:tc>
          <w:tcPr>
            <w:tcW w:w="211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（20）</w:t>
            </w:r>
            <w:r>
              <w:rPr>
                <w:rFonts w:hint="default" w:ascii="Helvetica" w:hAnsi="Helvetica" w:eastAsia="Helvetica" w:cs="Helvetica"/>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0"/>
                <w:szCs w:val="20"/>
                <w:bdr w:val="none" w:color="auto" w:sz="0" w:space="0"/>
              </w:rPr>
              <w:t>项目完成</w:t>
            </w: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完成数量</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5</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jc w:val="center"/>
            </w:pPr>
            <w:r>
              <w:rPr>
                <w:rFonts w:hint="eastAsia" w:ascii="宋体" w:hAnsi="宋体" w:eastAsia="宋体" w:cs="宋体"/>
                <w:i w:val="0"/>
                <w:caps w:val="0"/>
                <w:color w:val="000000"/>
                <w:spacing w:val="0"/>
                <w:sz w:val="15"/>
                <w:szCs w:val="15"/>
                <w:bdr w:val="none" w:color="auto" w:sz="0" w:space="0"/>
              </w:rPr>
              <w:t>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55" w:hRule="atLeast"/>
          <w:jc w:val="center"/>
        </w:trPr>
        <w:tc>
          <w:tcPr>
            <w:tcW w:w="162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1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完成质量</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5</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jc w:val="center"/>
            </w:pPr>
            <w:r>
              <w:rPr>
                <w:rFonts w:hint="eastAsia" w:ascii="宋体" w:hAnsi="宋体" w:eastAsia="宋体" w:cs="宋体"/>
                <w:i w:val="0"/>
                <w:caps w:val="0"/>
                <w:color w:val="000000"/>
                <w:spacing w:val="0"/>
                <w:sz w:val="15"/>
                <w:szCs w:val="15"/>
                <w:bdr w:val="none" w:color="auto" w:sz="0" w:space="0"/>
              </w:rPr>
              <w:t>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90" w:hRule="atLeast"/>
          <w:jc w:val="center"/>
        </w:trPr>
        <w:tc>
          <w:tcPr>
            <w:tcW w:w="162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1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完成时效</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5</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jc w:val="center"/>
            </w:pPr>
            <w:r>
              <w:rPr>
                <w:rFonts w:hint="eastAsia" w:ascii="宋体" w:hAnsi="宋体" w:eastAsia="宋体" w:cs="宋体"/>
                <w:i w:val="0"/>
                <w:caps w:val="0"/>
                <w:color w:val="000000"/>
                <w:spacing w:val="0"/>
                <w:sz w:val="15"/>
                <w:szCs w:val="15"/>
                <w:bdr w:val="none" w:color="auto" w:sz="0" w:space="0"/>
              </w:rPr>
              <w:t>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55" w:hRule="atLeast"/>
          <w:jc w:val="center"/>
        </w:trPr>
        <w:tc>
          <w:tcPr>
            <w:tcW w:w="162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1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完成成本</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5</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jc w:val="center"/>
            </w:pPr>
            <w:r>
              <w:rPr>
                <w:rFonts w:hint="eastAsia" w:ascii="宋体" w:hAnsi="宋体" w:eastAsia="宋体" w:cs="宋体"/>
                <w:i w:val="0"/>
                <w:caps w:val="0"/>
                <w:color w:val="000000"/>
                <w:spacing w:val="0"/>
                <w:sz w:val="15"/>
                <w:szCs w:val="15"/>
                <w:bdr w:val="none" w:color="auto" w:sz="0" w:space="0"/>
              </w:rPr>
              <w:t>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70" w:hRule="atLeast"/>
          <w:jc w:val="center"/>
        </w:trPr>
        <w:tc>
          <w:tcPr>
            <w:tcW w:w="162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11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（50分）</w:t>
            </w:r>
            <w:r>
              <w:rPr>
                <w:rFonts w:hint="default" w:ascii="Helvetica" w:hAnsi="Helvetica" w:eastAsia="Helvetica" w:cs="Helvetica"/>
                <w:i w:val="0"/>
                <w:caps w:val="0"/>
                <w:color w:val="000000"/>
                <w:spacing w:val="0"/>
                <w:sz w:val="21"/>
                <w:szCs w:val="21"/>
                <w:bdr w:val="none" w:color="auto" w:sz="0" w:space="0"/>
              </w:rPr>
              <w:br w:type="textWrapping"/>
            </w:r>
            <w:r>
              <w:rPr>
                <w:rFonts w:hint="eastAsia" w:ascii="宋体" w:hAnsi="宋体" w:eastAsia="宋体" w:cs="宋体"/>
                <w:i w:val="0"/>
                <w:caps w:val="0"/>
                <w:color w:val="000000"/>
                <w:spacing w:val="0"/>
                <w:sz w:val="20"/>
                <w:szCs w:val="20"/>
                <w:bdr w:val="none" w:color="auto" w:sz="0" w:space="0"/>
              </w:rPr>
              <w:t>项目效益</w:t>
            </w: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经济效益（可选项）</w:t>
            </w:r>
          </w:p>
        </w:tc>
        <w:tc>
          <w:tcPr>
            <w:tcW w:w="130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40</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jc w:val="center"/>
            </w:pPr>
            <w:r>
              <w:rPr>
                <w:rFonts w:hint="eastAsia" w:ascii="宋体" w:hAnsi="宋体" w:eastAsia="宋体" w:cs="宋体"/>
                <w:i w:val="0"/>
                <w:caps w:val="0"/>
                <w:color w:val="000000"/>
                <w:spacing w:val="0"/>
                <w:sz w:val="15"/>
                <w:szCs w:val="15"/>
                <w:bdr w:val="none" w:color="auto" w:sz="0" w:space="0"/>
              </w:rPr>
              <w:t>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90" w:hRule="atLeast"/>
          <w:jc w:val="center"/>
        </w:trPr>
        <w:tc>
          <w:tcPr>
            <w:tcW w:w="162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1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社会效益（可选项）</w:t>
            </w:r>
          </w:p>
        </w:tc>
        <w:tc>
          <w:tcPr>
            <w:tcW w:w="130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pPr>
            <w:r>
              <w:rPr>
                <w:rFonts w:hint="eastAsia" w:ascii="宋体" w:hAnsi="宋体" w:eastAsia="宋体" w:cs="宋体"/>
                <w:i w:val="0"/>
                <w:caps w:val="0"/>
                <w:color w:val="000000"/>
                <w:spacing w:val="0"/>
                <w:sz w:val="15"/>
                <w:szCs w:val="15"/>
                <w:bdr w:val="none" w:color="auto" w:sz="0" w:space="0"/>
              </w:rPr>
              <w:t>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55" w:hRule="atLeast"/>
          <w:jc w:val="center"/>
        </w:trPr>
        <w:tc>
          <w:tcPr>
            <w:tcW w:w="162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1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生态效益（可选项）</w:t>
            </w:r>
          </w:p>
        </w:tc>
        <w:tc>
          <w:tcPr>
            <w:tcW w:w="130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pPr>
            <w:r>
              <w:rPr>
                <w:rFonts w:hint="default" w:ascii="Helvetica" w:hAnsi="Helvetica" w:eastAsia="Helvetica" w:cs="Helvetica"/>
                <w:i w:val="0"/>
                <w:caps w:val="0"/>
                <w:color w:val="000000"/>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05" w:hRule="atLeast"/>
          <w:jc w:val="center"/>
        </w:trPr>
        <w:tc>
          <w:tcPr>
            <w:tcW w:w="162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1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可持续效益（可选项）</w:t>
            </w:r>
          </w:p>
        </w:tc>
        <w:tc>
          <w:tcPr>
            <w:tcW w:w="130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pPr>
            <w:r>
              <w:rPr>
                <w:rFonts w:hint="default" w:ascii="Helvetica" w:hAnsi="Helvetica" w:eastAsia="Helvetica" w:cs="Helvetica"/>
                <w:i w:val="0"/>
                <w:caps w:val="0"/>
                <w:color w:val="000000"/>
                <w:spacing w:val="0"/>
                <w:sz w:val="21"/>
                <w:szCs w:val="21"/>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90" w:hRule="atLeast"/>
          <w:jc w:val="center"/>
        </w:trPr>
        <w:tc>
          <w:tcPr>
            <w:tcW w:w="162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1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公平效率（可选项）</w:t>
            </w:r>
          </w:p>
        </w:tc>
        <w:tc>
          <w:tcPr>
            <w:tcW w:w="130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pPr>
            <w:r>
              <w:rPr>
                <w:rFonts w:hint="eastAsia" w:ascii="宋体" w:hAnsi="宋体" w:eastAsia="宋体" w:cs="宋体"/>
                <w:i w:val="0"/>
                <w:caps w:val="0"/>
                <w:color w:val="000000"/>
                <w:spacing w:val="0"/>
                <w:sz w:val="15"/>
                <w:szCs w:val="15"/>
                <w:bdr w:val="none" w:color="auto" w:sz="0" w:space="0"/>
              </w:rPr>
              <w:t>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70" w:hRule="atLeast"/>
          <w:jc w:val="center"/>
        </w:trPr>
        <w:tc>
          <w:tcPr>
            <w:tcW w:w="162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1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使用效率（可选项）</w:t>
            </w:r>
          </w:p>
        </w:tc>
        <w:tc>
          <w:tcPr>
            <w:tcW w:w="130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pPr>
            <w:r>
              <w:rPr>
                <w:rFonts w:hint="eastAsia" w:ascii="宋体" w:hAnsi="宋体" w:eastAsia="宋体" w:cs="宋体"/>
                <w:i w:val="0"/>
                <w:caps w:val="0"/>
                <w:color w:val="000000"/>
                <w:spacing w:val="0"/>
                <w:sz w:val="15"/>
                <w:szCs w:val="15"/>
                <w:bdr w:val="none" w:color="auto" w:sz="0" w:space="0"/>
              </w:rPr>
              <w:t>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95" w:hRule="atLeast"/>
          <w:jc w:val="center"/>
        </w:trPr>
        <w:tc>
          <w:tcPr>
            <w:tcW w:w="162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211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Helvetica" w:hAnsi="Helvetica" w:eastAsia="Helvetica" w:cs="Helvetica"/>
                <w:i w:val="0"/>
                <w:caps w:val="0"/>
                <w:color w:val="000000"/>
                <w:spacing w:val="0"/>
                <w:sz w:val="21"/>
                <w:szCs w:val="21"/>
              </w:rPr>
            </w:pPr>
          </w:p>
        </w:tc>
        <w:tc>
          <w:tcPr>
            <w:tcW w:w="354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服务对象满意度    </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jc w:val="center"/>
            </w:pPr>
            <w:r>
              <w:rPr>
                <w:rFonts w:hint="eastAsia" w:ascii="宋体" w:hAnsi="宋体" w:eastAsia="宋体" w:cs="宋体"/>
                <w:i w:val="0"/>
                <w:caps w:val="0"/>
                <w:color w:val="000000"/>
                <w:spacing w:val="0"/>
                <w:sz w:val="20"/>
                <w:szCs w:val="20"/>
                <w:bdr w:val="none" w:color="auto" w:sz="0" w:space="0"/>
              </w:rPr>
              <w:t>10</w:t>
            </w:r>
          </w:p>
        </w:tc>
        <w:tc>
          <w:tcPr>
            <w:tcW w:w="130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2"/>
              <w:keepNext w:val="0"/>
              <w:keepLines w:val="0"/>
              <w:widowControl/>
              <w:suppressLineNumbers w:val="0"/>
              <w:spacing w:line="260" w:lineRule="atLeast"/>
              <w:ind w:left="0" w:firstLine="300"/>
              <w:jc w:val="center"/>
            </w:pPr>
            <w:r>
              <w:rPr>
                <w:rFonts w:hint="eastAsia" w:ascii="宋体" w:hAnsi="宋体" w:eastAsia="宋体" w:cs="宋体"/>
                <w:i w:val="0"/>
                <w:caps w:val="0"/>
                <w:color w:val="000000"/>
                <w:spacing w:val="0"/>
                <w:sz w:val="15"/>
                <w:szCs w:val="15"/>
                <w:bdr w:val="none" w:color="auto" w:sz="0" w:space="0"/>
              </w:rPr>
              <w:t>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0" w:hRule="atLeast"/>
          <w:jc w:val="center"/>
        </w:trPr>
        <w:tc>
          <w:tcPr>
            <w:tcW w:w="162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400"/>
            </w:pPr>
            <w:r>
              <w:rPr>
                <w:rFonts w:hint="eastAsia" w:ascii="宋体" w:hAnsi="宋体" w:eastAsia="宋体" w:cs="宋体"/>
                <w:i w:val="0"/>
                <w:caps w:val="0"/>
                <w:color w:val="000000"/>
                <w:spacing w:val="0"/>
                <w:sz w:val="20"/>
                <w:szCs w:val="20"/>
                <w:bdr w:val="none" w:color="auto" w:sz="0" w:space="0"/>
              </w:rPr>
              <w:t>总分</w:t>
            </w:r>
          </w:p>
        </w:tc>
        <w:tc>
          <w:tcPr>
            <w:tcW w:w="8265" w:type="dxa"/>
            <w:gridSpan w:val="4"/>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2"/>
              <w:keepNext w:val="0"/>
              <w:keepLines w:val="0"/>
              <w:widowControl/>
              <w:suppressLineNumbers w:val="0"/>
              <w:spacing w:line="260" w:lineRule="atLeast"/>
              <w:ind w:left="0" w:firstLine="300"/>
              <w:jc w:val="center"/>
            </w:pPr>
            <w:r>
              <w:rPr>
                <w:rFonts w:hint="eastAsia" w:ascii="宋体" w:hAnsi="宋体" w:eastAsia="宋体" w:cs="宋体"/>
                <w:i w:val="0"/>
                <w:caps w:val="0"/>
                <w:color w:val="000000"/>
                <w:spacing w:val="0"/>
                <w:sz w:val="15"/>
                <w:szCs w:val="15"/>
                <w:bdr w:val="none" w:color="auto" w:sz="0" w:space="0"/>
              </w:rPr>
              <w:t>100</w:t>
            </w:r>
          </w:p>
        </w:tc>
      </w:tr>
    </w:tbl>
    <w:p>
      <w:pPr>
        <w:keepNext w:val="0"/>
        <w:keepLines w:val="0"/>
        <w:widowControl/>
        <w:suppressLineNumbers w:val="0"/>
        <w:ind w:left="0" w:firstLine="0"/>
        <w:jc w:val="left"/>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kern w:val="0"/>
          <w:sz w:val="21"/>
          <w:szCs w:val="21"/>
          <w:lang w:val="en-US" w:eastAsia="zh-CN" w:bidi="ar"/>
        </w:rPr>
        <w:t> </w:t>
      </w:r>
    </w:p>
    <w:p>
      <w:pPr>
        <w:pStyle w:val="2"/>
        <w:keepNext w:val="0"/>
        <w:keepLines w:val="0"/>
        <w:widowControl/>
        <w:suppressLineNumbers w:val="0"/>
        <w:ind w:left="0" w:firstLine="420"/>
        <w:rPr>
          <w:rFonts w:hint="default" w:ascii="Helvetica" w:hAnsi="Helvetica" w:eastAsia="Helvetica" w:cs="Helvetica"/>
          <w:i w:val="0"/>
          <w:caps w:val="0"/>
          <w:color w:val="000000"/>
          <w:spacing w:val="0"/>
          <w:sz w:val="21"/>
          <w:szCs w:val="21"/>
        </w:rPr>
      </w:pPr>
      <w:r>
        <w:rPr>
          <w:rFonts w:hint="default" w:ascii="Helvetica" w:hAnsi="Helvetica" w:eastAsia="Helvetica" w:cs="Helvetica"/>
          <w:i w:val="0"/>
          <w:caps w:val="0"/>
          <w:color w:val="000000"/>
          <w:spacing w:val="0"/>
          <w:sz w:val="21"/>
          <w:szCs w:val="21"/>
        </w:rPr>
        <w:t> </w:t>
      </w:r>
    </w:p>
    <w:p>
      <w:pPr>
        <w:pStyle w:val="2"/>
        <w:keepNext w:val="0"/>
        <w:keepLines w:val="0"/>
        <w:widowControl/>
        <w:suppressLineNumbers w:val="0"/>
        <w:spacing w:line="600" w:lineRule="atLeast"/>
        <w:ind w:left="0" w:firstLine="640"/>
        <w:rPr>
          <w:rFonts w:hint="default" w:ascii="Helvetica" w:hAnsi="Helvetica" w:eastAsia="Helvetica" w:cs="Helvetica"/>
          <w:i w:val="0"/>
          <w:caps w:val="0"/>
          <w:color w:val="000000"/>
          <w:spacing w:val="0"/>
          <w:sz w:val="21"/>
          <w:szCs w:val="21"/>
        </w:rPr>
      </w:pPr>
      <w:r>
        <w:rPr>
          <w:rFonts w:hint="eastAsia" w:ascii="黑体" w:hAnsi="宋体" w:eastAsia="黑体" w:cs="黑体"/>
          <w:i w:val="0"/>
          <w:caps w:val="0"/>
          <w:color w:val="000000"/>
          <w:spacing w:val="0"/>
          <w:sz w:val="32"/>
          <w:szCs w:val="32"/>
        </w:rPr>
        <w:t>十一、名词解释</w:t>
      </w:r>
    </w:p>
    <w:p>
      <w:pPr>
        <w:pStyle w:val="2"/>
        <w:keepNext w:val="0"/>
        <w:keepLines w:val="0"/>
        <w:widowControl/>
        <w:suppressLineNumbers w:val="0"/>
        <w:spacing w:line="56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1.财政拨款收入：指单位从同级财政部门取得的财政预算资金。</w:t>
      </w:r>
    </w:p>
    <w:p>
      <w:pPr>
        <w:pStyle w:val="2"/>
        <w:keepNext w:val="0"/>
        <w:keepLines w:val="0"/>
        <w:widowControl/>
        <w:suppressLineNumbers w:val="0"/>
        <w:spacing w:line="56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2.事业收入：指事业单位开展专业业务活动及辅助活动取得的收入。如…（二级预算单位事业收入情况）等。</w:t>
      </w:r>
    </w:p>
    <w:p>
      <w:pPr>
        <w:pStyle w:val="2"/>
        <w:keepNext w:val="0"/>
        <w:keepLines w:val="0"/>
        <w:widowControl/>
        <w:suppressLineNumbers w:val="0"/>
        <w:spacing w:line="56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3.经营收入：指事业单位在专业业务活动及其辅助活动之外开展非独立核算经营活动取得的收入。如…（二级预算单位经营收入情况）等。</w:t>
      </w:r>
    </w:p>
    <w:p>
      <w:pPr>
        <w:pStyle w:val="2"/>
        <w:keepNext w:val="0"/>
        <w:keepLines w:val="0"/>
        <w:widowControl/>
        <w:suppressLineNumbers w:val="0"/>
        <w:spacing w:line="56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4.其他收入：指单位取得的除上述收入以外的各项收入。主要是…（收入类型）等。</w:t>
      </w:r>
    </w:p>
    <w:p>
      <w:pPr>
        <w:pStyle w:val="2"/>
        <w:keepNext w:val="0"/>
        <w:keepLines w:val="0"/>
        <w:widowControl/>
        <w:suppressLineNumbers w:val="0"/>
        <w:spacing w:line="56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2"/>
        <w:keepNext w:val="0"/>
        <w:keepLines w:val="0"/>
        <w:widowControl/>
        <w:suppressLineNumbers w:val="0"/>
        <w:spacing w:line="56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6.年初结转和结余：指以前年度尚未完成、结转到本年按有关规定继续使用的资金。</w:t>
      </w:r>
    </w:p>
    <w:p>
      <w:pPr>
        <w:pStyle w:val="2"/>
        <w:keepNext w:val="0"/>
        <w:keepLines w:val="0"/>
        <w:widowControl/>
        <w:suppressLineNumbers w:val="0"/>
        <w:spacing w:line="56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7.结余分配：指事业单位按照事业单位会计制度的规定从非财政补助结余中分配的事业基金和职工福利基金等。</w:t>
      </w:r>
    </w:p>
    <w:p>
      <w:pPr>
        <w:pStyle w:val="2"/>
        <w:keepNext w:val="0"/>
        <w:keepLines w:val="0"/>
        <w:widowControl/>
        <w:suppressLineNumbers w:val="0"/>
        <w:spacing w:line="56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8、年末结转和结余：指单位按有关规定结转到下年或以后年度继续使用的资金。</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9.一般公共服务（类）…（款）…（项）：指……。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10.外交（类）…（款）…（项）：指……。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11.公共安全（类）…（款）…（项）：指……。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12.教育（类）…（款）…（项）：指……。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13.科学技术（类）…（款）…（项）：指……。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14.文化体育与传媒（类）…（款）…（项）：指……。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15.社会保障和就业（类）…（款）…（项）：指……。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16.医疗卫生与计划生育（类）…（款）…（项）：指……。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17.节能环保（类）…（款）…（项）：指……。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18.城乡社区（类）…（款）…（项）：指……。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19.农林水（类）…（款）…（项）：指……。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20.交通运输（类）…（款）…（项）：指……。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21.资源勘探信息等（类）…（款）…（项）：指……。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22.商业服务业（类）…（款）…（项）：指……。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23.金融（类）…（款）…（项）：指……。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24.国土海洋气象等（类）…（款）…（项）：指……。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25.住房保障（类）…（款）…（项）：指……。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26.粮油物资储备（类）…（款）…（项）：指……。</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27.基本支出：指为保障机构正常运转、完成日常工作任务而发生的人员支出和公用支出。</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28.项目支出：指在基本支出之外为完成特定行政任务和事业发展目标所发生的支出。</w:t>
      </w:r>
    </w:p>
    <w:p>
      <w:pPr>
        <w:pStyle w:val="2"/>
        <w:keepNext w:val="0"/>
        <w:keepLines w:val="0"/>
        <w:widowControl/>
        <w:suppressLineNumbers w:val="0"/>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29.经营支出：指事业单位在专业业务活动及其辅助活动之外开展非独立核算经营活动发生的支出。</w:t>
      </w:r>
    </w:p>
    <w:p>
      <w:pPr>
        <w:pStyle w:val="2"/>
        <w:keepNext w:val="0"/>
        <w:keepLines w:val="0"/>
        <w:widowControl/>
        <w:suppressLineNumbers w:val="0"/>
        <w:spacing w:line="56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30.“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
        <w:keepNext w:val="0"/>
        <w:keepLines w:val="0"/>
        <w:widowControl/>
        <w:suppressLineNumbers w:val="0"/>
        <w:spacing w:line="560" w:lineRule="atLeast"/>
        <w:ind w:left="0" w:firstLine="640"/>
        <w:rPr>
          <w:rFonts w:hint="default" w:ascii="Helvetica" w:hAnsi="Helvetica" w:eastAsia="Helvetica" w:cs="Helvetica"/>
          <w:i w:val="0"/>
          <w:caps w:val="0"/>
          <w:color w:val="000000"/>
          <w:spacing w:val="0"/>
          <w:sz w:val="21"/>
          <w:szCs w:val="21"/>
        </w:rPr>
      </w:pPr>
      <w:r>
        <w:rPr>
          <w:rFonts w:hint="eastAsia" w:ascii="仿宋_GB2312" w:hAnsi="仿宋_GB2312" w:eastAsia="仿宋_GB2312" w:cs="仿宋_GB2312"/>
          <w:i w:val="0"/>
          <w:caps w:val="0"/>
          <w:color w:val="000000"/>
          <w:spacing w:val="0"/>
          <w:sz w:val="32"/>
          <w:szCs w:val="32"/>
        </w:rPr>
        <w:t>31.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w:panose1 w:val="05000000000000000000"/>
    <w:charset w:val="00"/>
    <w:family w:val="auto"/>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E83073"/>
    <w:multiLevelType w:val="multilevel"/>
    <w:tmpl w:val="CCE83073"/>
    <w:lvl w:ilvl="0" w:tentative="0">
      <w:start w:val="1"/>
      <w:numFmt w:val="bullet"/>
      <w:lvlText w:val=""/>
      <w:lvlJc w:val="left"/>
      <w:pPr>
        <w:tabs>
          <w:tab w:val="left" w:pos="720"/>
        </w:tabs>
        <w:ind w:left="720" w:hanging="360"/>
      </w:pPr>
      <w:rPr>
        <w:rFonts w:ascii="Wingdings" w:hAnsi="Wingdings" w:cs="Wingdings"/>
        <w:sz w:val="20"/>
      </w:rPr>
    </w:lvl>
    <w:lvl w:ilvl="1" w:tentative="0">
      <w:start w:val="1"/>
      <w:numFmt w:val="bullet"/>
      <w:lvlText w:val=""/>
      <w:lvlJc w:val="left"/>
      <w:pPr>
        <w:tabs>
          <w:tab w:val="left" w:pos="1440"/>
        </w:tabs>
        <w:ind w:left="1440" w:hanging="360"/>
      </w:pPr>
      <w:rPr>
        <w:rFonts w:hint="default" w:ascii="Wingdings" w:hAnsi="Wingdings" w:cs="Wingdings"/>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5B0E7BA2"/>
    <w:multiLevelType w:val="multilevel"/>
    <w:tmpl w:val="5B0E7BA2"/>
    <w:lvl w:ilvl="0" w:tentative="0">
      <w:start w:val="1"/>
      <w:numFmt w:val="japaneseCounting"/>
      <w:lvlText w:val="%1"/>
      <w:lvlJc w:val="left"/>
      <w:pPr>
        <w:ind w:left="1000"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3C73FB"/>
    <w:rsid w:val="423C73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0</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2024-10-28T07:59:00Z</dcterms:created>
  <dc:creator>泪</dc:creator>
  <cp:lastModifiedBy>泪</cp:lastModifiedBy>
  <dcterms:modified xsi:type="dcterms:W3CDTF">2024-10-28T08:01:08Z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