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F0ECFE">
      <w:pPr>
        <w:spacing w:line="600" w:lineRule="exact"/>
        <w:jc w:val="center"/>
        <w:outlineLvl w:val="9"/>
        <w:rPr>
          <w:rFonts w:hint="default" w:ascii="Times New Roman" w:hAnsi="Times New Roman" w:eastAsia="方正小标宋简体" w:cs="Times New Roman"/>
          <w:sz w:val="72"/>
          <w:szCs w:val="72"/>
        </w:rPr>
      </w:pPr>
      <w:bookmarkStart w:id="0" w:name="_Toc15378441"/>
      <w:bookmarkStart w:id="1" w:name="_Toc15377193"/>
      <w:bookmarkStart w:id="2" w:name="_Toc15377425"/>
      <w:bookmarkStart w:id="3" w:name="_Toc15396475"/>
      <w:bookmarkStart w:id="4" w:name="_Toc15396597"/>
      <w:bookmarkStart w:id="5" w:name="_Toc15306267"/>
    </w:p>
    <w:p w14:paraId="31A900C2">
      <w:pPr>
        <w:pStyle w:val="6"/>
        <w:spacing w:before="93"/>
        <w:rPr>
          <w:rFonts w:hint="default" w:ascii="Times New Roman" w:hAnsi="Times New Roman" w:cs="Times New Roman"/>
        </w:rPr>
      </w:pPr>
    </w:p>
    <w:p w14:paraId="6FEB14D8">
      <w:pPr>
        <w:spacing w:line="600" w:lineRule="exact"/>
        <w:jc w:val="center"/>
        <w:outlineLvl w:val="9"/>
        <w:rPr>
          <w:rFonts w:hint="default" w:ascii="Times New Roman" w:hAnsi="Times New Roman" w:eastAsia="方正小标宋简体" w:cs="Times New Roman"/>
          <w:sz w:val="72"/>
          <w:szCs w:val="72"/>
        </w:rPr>
      </w:pPr>
    </w:p>
    <w:p w14:paraId="48FE16F8">
      <w:pPr>
        <w:spacing w:line="600" w:lineRule="exact"/>
        <w:jc w:val="center"/>
        <w:outlineLvl w:val="9"/>
        <w:rPr>
          <w:rFonts w:hint="default" w:ascii="Times New Roman" w:hAnsi="Times New Roman" w:eastAsia="方正小标宋简体" w:cs="Times New Roman"/>
          <w:sz w:val="72"/>
          <w:szCs w:val="72"/>
        </w:rPr>
      </w:pPr>
    </w:p>
    <w:p w14:paraId="55E7B6EC">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6" w:name="_Toc22679"/>
      <w:bookmarkStart w:id="7" w:name="_Toc20802"/>
      <w:bookmarkStart w:id="8" w:name="_Toc4951"/>
      <w:r>
        <w:rPr>
          <w:rFonts w:hint="default" w:ascii="Times New Roman" w:hAnsi="Times New Roman" w:eastAsia="方正小标宋简体" w:cs="Times New Roman"/>
          <w:sz w:val="72"/>
          <w:szCs w:val="72"/>
        </w:rPr>
        <w:t>2023年度</w:t>
      </w:r>
      <w:bookmarkEnd w:id="0"/>
      <w:bookmarkEnd w:id="1"/>
      <w:bookmarkEnd w:id="2"/>
      <w:bookmarkEnd w:id="3"/>
      <w:bookmarkEnd w:id="4"/>
      <w:bookmarkEnd w:id="6"/>
      <w:bookmarkEnd w:id="7"/>
      <w:bookmarkEnd w:id="8"/>
    </w:p>
    <w:bookmarkEnd w:id="5"/>
    <w:p w14:paraId="1A699A81">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9" w:name="_Toc21144"/>
      <w:bookmarkStart w:id="10" w:name="_Toc26523"/>
      <w:bookmarkStart w:id="11" w:name="_Toc30740"/>
      <w:bookmarkStart w:id="12" w:name="_Toc15377426"/>
      <w:bookmarkStart w:id="13" w:name="_Toc15378442"/>
      <w:bookmarkStart w:id="14" w:name="_Toc15306268"/>
      <w:bookmarkStart w:id="15" w:name="_Toc15396476"/>
      <w:bookmarkStart w:id="16" w:name="_Toc15396598"/>
      <w:bookmarkStart w:id="17" w:name="_Toc15377194"/>
      <w:r>
        <w:rPr>
          <w:rFonts w:hint="default" w:ascii="Times New Roman" w:hAnsi="Times New Roman" w:eastAsia="方正小标宋简体" w:cs="Times New Roman"/>
          <w:sz w:val="72"/>
          <w:szCs w:val="72"/>
        </w:rPr>
        <w:t>盐边县职业中学校</w:t>
      </w:r>
      <w:bookmarkEnd w:id="9"/>
      <w:bookmarkEnd w:id="10"/>
      <w:bookmarkEnd w:id="11"/>
    </w:p>
    <w:p w14:paraId="6C91E347">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18" w:name="_Toc28583"/>
      <w:bookmarkStart w:id="19" w:name="_Toc5894"/>
      <w:bookmarkStart w:id="20" w:name="_Toc11425"/>
      <w:r>
        <w:rPr>
          <w:rFonts w:hint="eastAsia" w:eastAsia="方正小标宋简体" w:cs="Times New Roman"/>
          <w:sz w:val="72"/>
          <w:szCs w:val="72"/>
          <w:lang w:val="en-US" w:eastAsia="zh-CN"/>
        </w:rPr>
        <w:t>部门</w:t>
      </w:r>
      <w:r>
        <w:rPr>
          <w:rFonts w:hint="default" w:ascii="Times New Roman" w:hAnsi="Times New Roman" w:eastAsia="方正小标宋简体" w:cs="Times New Roman"/>
          <w:sz w:val="72"/>
          <w:szCs w:val="72"/>
        </w:rPr>
        <w:t>决算</w:t>
      </w:r>
      <w:bookmarkEnd w:id="12"/>
      <w:bookmarkEnd w:id="13"/>
      <w:bookmarkEnd w:id="14"/>
      <w:bookmarkEnd w:id="15"/>
      <w:bookmarkEnd w:id="16"/>
      <w:bookmarkEnd w:id="17"/>
      <w:bookmarkEnd w:id="18"/>
      <w:bookmarkEnd w:id="19"/>
      <w:bookmarkEnd w:id="20"/>
    </w:p>
    <w:p w14:paraId="460E5D41">
      <w:pPr>
        <w:pStyle w:val="12"/>
        <w:adjustRightInd w:val="0"/>
        <w:snapToGrid w:val="0"/>
        <w:spacing w:before="0" w:line="600" w:lineRule="exact"/>
        <w:ind w:firstLine="720" w:firstLineChars="200"/>
        <w:jc w:val="left"/>
        <w:rPr>
          <w:rFonts w:hint="default" w:ascii="Times New Roman" w:hAnsi="Times New Roman" w:eastAsia="仿宋_GB2312" w:cs="Times New Roman"/>
        </w:rPr>
      </w:pPr>
      <w:r>
        <w:rPr>
          <w:rFonts w:hint="default" w:ascii="Times New Roman" w:hAnsi="Times New Roman" w:eastAsia="方正小标宋简体" w:cs="Times New Roman"/>
          <w:sz w:val="36"/>
          <w:szCs w:val="36"/>
        </w:rPr>
        <w:br w:type="page"/>
      </w:r>
      <w:bookmarkStart w:id="21" w:name="_Toc15377196"/>
      <w:bookmarkStart w:id="22" w:name="_Toc15396599"/>
    </w:p>
    <w:p w14:paraId="0D385CEF">
      <w:pPr>
        <w:keepNext w:val="0"/>
        <w:keepLines w:val="0"/>
        <w:pageBreakBefore w:val="0"/>
        <w:widowControl/>
        <w:kinsoku/>
        <w:wordWrap/>
        <w:overflowPunct/>
        <w:topLinePunct w:val="0"/>
        <w:autoSpaceDE/>
        <w:autoSpaceDN/>
        <w:bidi w:val="0"/>
        <w:adjustRightInd/>
        <w:spacing w:line="560" w:lineRule="exact"/>
        <w:jc w:val="center"/>
        <w:textAlignment w:val="auto"/>
        <w:rPr>
          <w:rFonts w:hint="default" w:ascii="Times New Roman" w:hAnsi="Times New Roman" w:eastAsia="黑体" w:cs="Times New Roman"/>
          <w:sz w:val="28"/>
          <w:szCs w:val="28"/>
        </w:rPr>
      </w:pPr>
      <w:bookmarkStart w:id="23" w:name="_Toc27515"/>
      <w:r>
        <w:rPr>
          <w:rFonts w:hint="default" w:ascii="Times New Roman" w:hAnsi="Times New Roman" w:eastAsia="黑体" w:cs="Times New Roman"/>
          <w:sz w:val="48"/>
          <w:szCs w:val="48"/>
        </w:rPr>
        <w:t>目录</w:t>
      </w:r>
    </w:p>
    <w:p w14:paraId="421F3C0A">
      <w:pPr>
        <w:jc w:val="center"/>
        <w:rPr>
          <w:rStyle w:val="27"/>
          <w:rFonts w:hint="default" w:ascii="Times New Roman" w:hAnsi="Times New Roman" w:eastAsia="黑体" w:cs="Times New Roman"/>
          <w:b w:val="0"/>
        </w:rPr>
      </w:pPr>
      <w:r>
        <w:rPr>
          <w:rFonts w:hint="default" w:ascii="Times New Roman" w:hAnsi="Times New Roman" w:cs="Times New Roman"/>
        </w:rPr>
        <w:t>公开时间：202</w:t>
      </w:r>
      <w:r>
        <w:rPr>
          <w:rFonts w:hint="default" w:ascii="Times New Roman" w:hAnsi="Times New Roman" w:cs="Times New Roman"/>
          <w:lang w:val="en-US" w:eastAsia="zh-CN"/>
        </w:rPr>
        <w:t>4</w:t>
      </w:r>
      <w:r>
        <w:rPr>
          <w:rFonts w:hint="default" w:ascii="Times New Roman" w:hAnsi="Times New Roman" w:cs="Times New Roman"/>
        </w:rPr>
        <w:t>年</w:t>
      </w:r>
      <w:r>
        <w:rPr>
          <w:rFonts w:hint="default" w:ascii="Times New Roman" w:hAnsi="Times New Roman" w:cs="Times New Roman"/>
          <w:lang w:val="en-US" w:eastAsia="zh-CN"/>
        </w:rPr>
        <w:t>10</w:t>
      </w:r>
      <w:r>
        <w:rPr>
          <w:rFonts w:hint="default" w:ascii="Times New Roman" w:hAnsi="Times New Roman" w:cs="Times New Roman"/>
        </w:rPr>
        <w:t>月</w:t>
      </w:r>
      <w:r>
        <w:rPr>
          <w:rFonts w:hint="default" w:ascii="Times New Roman" w:hAnsi="Times New Roman" w:cs="Times New Roman"/>
          <w:lang w:val="en-US" w:eastAsia="zh-CN"/>
        </w:rPr>
        <w:t>28</w:t>
      </w:r>
      <w:r>
        <w:rPr>
          <w:rFonts w:hint="default" w:ascii="Times New Roman" w:hAnsi="Times New Roman" w:cs="Times New Roman"/>
        </w:rPr>
        <w:t>日</w:t>
      </w:r>
    </w:p>
    <w:p w14:paraId="09A63179">
      <w:pPr>
        <w:pStyle w:val="13"/>
        <w:adjustRightInd w:val="0"/>
        <w:snapToGrid w:val="0"/>
        <w:spacing w:line="600" w:lineRule="exact"/>
        <w:ind w:left="0" w:leftChars="0"/>
        <w:jc w:val="center"/>
        <w:outlineLvl w:val="9"/>
        <w:rPr>
          <w:rStyle w:val="27"/>
          <w:rFonts w:hint="default" w:ascii="Times New Roman" w:hAnsi="Times New Roman" w:eastAsia="黑体" w:cs="Times New Roman"/>
          <w:b w:val="0"/>
        </w:rPr>
      </w:pPr>
    </w:p>
    <w:sdt>
      <w:sdtPr>
        <w:rPr>
          <w:rFonts w:ascii="宋体" w:hAnsi="宋体" w:eastAsia="宋体" w:cs="Times New Roman"/>
          <w:kern w:val="2"/>
          <w:sz w:val="21"/>
          <w:szCs w:val="24"/>
          <w:lang w:val="en-US" w:eastAsia="zh-CN" w:bidi="ar-SA"/>
        </w:rPr>
        <w:id w:val="147471083"/>
        <w15:color w:val="DBDBDB"/>
        <w:docPartObj>
          <w:docPartGallery w:val="Table of Contents"/>
          <w:docPartUnique/>
        </w:docPartObj>
      </w:sdtPr>
      <w:sdtEndPr>
        <w:rPr>
          <w:rFonts w:hint="default" w:ascii="Times New Roman" w:hAnsi="Times New Roman" w:eastAsia="宋体" w:cs="Times New Roman"/>
          <w:b/>
          <w:kern w:val="2"/>
          <w:sz w:val="21"/>
          <w:szCs w:val="24"/>
          <w:lang w:val="en-US" w:eastAsia="zh-CN" w:bidi="ar-SA"/>
        </w:rPr>
      </w:sdtEndPr>
      <w:sdtContent>
        <w:p w14:paraId="7AD8B061">
          <w:pPr>
            <w:spacing w:before="0" w:beforeLines="0" w:after="0" w:afterLines="0" w:line="240" w:lineRule="auto"/>
            <w:ind w:left="0" w:leftChars="0" w:right="0" w:rightChars="0" w:firstLine="0" w:firstLineChars="0"/>
            <w:jc w:val="center"/>
          </w:pPr>
          <w:r>
            <w:rPr>
              <w:rFonts w:hint="default"/>
            </w:rPr>
            <w:fldChar w:fldCharType="begin"/>
          </w:r>
          <w:r>
            <w:rPr>
              <w:rFonts w:hint="default"/>
            </w:rPr>
            <w:instrText xml:space="preserve">TOC \o "1-2" \h \u </w:instrText>
          </w:r>
          <w:r>
            <w:rPr>
              <w:rFonts w:hint="default"/>
            </w:rPr>
            <w:fldChar w:fldCharType="separate"/>
          </w:r>
        </w:p>
        <w:p w14:paraId="50FD5187">
          <w:pPr>
            <w:pStyle w:val="12"/>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_Toc8290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第一部分 部门概况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_Toc8290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09DF2A0">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_Toc9174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rPr>
            <w:t>一、部门职责</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_Toc9174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1754B8D">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_Toc1154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rPr>
            <w:t>二、机构设置</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_Toc1154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BA39689">
          <w:pPr>
            <w:pStyle w:val="12"/>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_Toc19415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第二部分 2023年度部门决算情况说明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_Toc19415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13A078A6">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_Toc31358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一、</w:t>
          </w:r>
          <w:r>
            <w:rPr>
              <w:rFonts w:hint="eastAsia" w:ascii="仿宋_GB2312" w:hAnsi="仿宋_GB2312" w:eastAsia="仿宋_GB2312" w:cs="仿宋_GB2312"/>
              <w:sz w:val="32"/>
              <w:szCs w:val="32"/>
            </w:rPr>
            <w:t>收入支出决算总体情况说明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_Toc31358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33A8BBF1">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_Toc24196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lang w:val="en-US" w:eastAsia="zh-CN" w:bidi="ar-SA"/>
            </w:rPr>
            <w:t>二、</w:t>
          </w:r>
          <w:r>
            <w:rPr>
              <w:rFonts w:hint="eastAsia" w:ascii="仿宋_GB2312" w:hAnsi="仿宋_GB2312" w:eastAsia="仿宋_GB2312" w:cs="仿宋_GB2312"/>
              <w:sz w:val="32"/>
              <w:szCs w:val="32"/>
            </w:rPr>
            <w:t>收入决算情况说明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_Toc24196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5B0A5822">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_Toc10415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三、支出决算情况说明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_Toc10415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765FBBC">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_Toc10175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四、财政拨款收入支出决算总体情况说明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_Toc10175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3A4BD4E6">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_Toc420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val="0"/>
              <w:sz w:val="32"/>
              <w:szCs w:val="32"/>
            </w:rPr>
            <w:t>五、一般公共预算财政拨款支出决算情况说明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_Toc420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7FFDAA7F">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_Toc12772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六、一般公共预算财政拨款基本支出决算情况说明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_Toc12772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3270A640">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_Toc1996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七、财政拨款“三公”经费支出决算情况说明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_Toc1996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7A947D98">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_Toc12491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八、政府性基金预算支出决算情况说明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_Toc12491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7B592401">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_Toc22934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九、 国有资本经营预算支出决算情况说明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_Toc22934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2D6C4748">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_Toc18448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十、 其他重要事项的情况说明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_Toc18448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5241260B">
          <w:pPr>
            <w:pStyle w:val="12"/>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_Toc1412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第三部分 名词解释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_Toc1412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2EB1DEF8">
          <w:pPr>
            <w:pStyle w:val="12"/>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_Toc5727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第四部分 附件</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_Toc5727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E7DF8C5">
          <w:pPr>
            <w:pStyle w:val="12"/>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_Toc14238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第五部分 附表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_Toc14238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214BD5B5">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_Toc18970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一、收入支出决算总表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_Toc18970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518F392F">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_Toc25101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二、收入决算表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_Toc25101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14448A95">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_Toc1389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三、支出决算表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_Toc1389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5CAE157B">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_Toc3411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四、财政拨款收入支出决算总表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_Toc3411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507B30AA">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_Toc17539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五、财政拨款支出决算明细表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_Toc17539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653D844E">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_Toc893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六、一般公共预算财政拨款支出决算表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_Toc893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101AA0A7">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_Toc25957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七、一般公共预算财政拨款支出决算明细表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_Toc25957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5EE7230D">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_Toc15830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八、一般公共预算财政拨款基本支出决算表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_Toc15830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020E306">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_Toc27121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九、一般公共预算财政拨款项目支出决算表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_Toc27121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5D659471">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_Toc30085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十、政府性基金预算财政拨款收入支出决算表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_Toc30085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0A6B8FA0">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_Toc21131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十一、国有资本经营预算财政拨款收入支出决算</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_Toc21131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6E94B859">
          <w:pPr>
            <w:pStyle w:val="13"/>
            <w:tabs>
              <w:tab w:val="right" w:leader="dot" w:pos="8306"/>
              <w:tab w:val="clear" w:pos="829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_Toc28136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十二、国有资本经营预算财政拨款支出决算表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_Toc28136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717A11FC">
          <w:pPr>
            <w:pStyle w:val="13"/>
            <w:tabs>
              <w:tab w:val="right" w:leader="dot" w:pos="8306"/>
              <w:tab w:val="clear" w:pos="8296"/>
            </w:tabs>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_Toc12149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十三、财政拨款“三公”经费支出决算表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_Toc12149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1D3B0F10">
          <w:pPr>
            <w:rPr>
              <w:rFonts w:hint="default" w:ascii="Times New Roman" w:hAnsi="Times New Roman" w:eastAsia="宋体" w:cs="Times New Roman"/>
              <w:b/>
              <w:kern w:val="2"/>
              <w:sz w:val="21"/>
              <w:szCs w:val="24"/>
              <w:lang w:val="en-US" w:eastAsia="zh-CN" w:bidi="ar-SA"/>
            </w:rPr>
          </w:pPr>
          <w:r>
            <w:rPr>
              <w:rFonts w:hint="default"/>
            </w:rPr>
            <w:fldChar w:fldCharType="end"/>
          </w:r>
        </w:p>
      </w:sdtContent>
    </w:sdt>
    <w:p w14:paraId="7A80A403">
      <w:pPr>
        <w:pStyle w:val="2"/>
        <w:rPr>
          <w:rFonts w:hint="default"/>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14:paraId="5BD521FF">
      <w:pPr>
        <w:pStyle w:val="13"/>
        <w:adjustRightInd w:val="0"/>
        <w:snapToGrid w:val="0"/>
        <w:spacing w:line="600" w:lineRule="exact"/>
        <w:ind w:left="0" w:leftChars="0"/>
        <w:jc w:val="center"/>
        <w:outlineLvl w:val="0"/>
        <w:rPr>
          <w:rStyle w:val="27"/>
          <w:rFonts w:hint="default" w:ascii="Times New Roman" w:hAnsi="Times New Roman" w:eastAsia="黑体" w:cs="Times New Roman"/>
          <w:b w:val="0"/>
        </w:rPr>
      </w:pPr>
      <w:bookmarkStart w:id="24" w:name="_Toc8290"/>
      <w:r>
        <w:rPr>
          <w:rStyle w:val="27"/>
          <w:rFonts w:hint="default" w:ascii="Times New Roman" w:hAnsi="Times New Roman" w:eastAsia="黑体" w:cs="Times New Roman"/>
          <w:b w:val="0"/>
        </w:rPr>
        <w:t>第一部分 部门概况</w:t>
      </w:r>
      <w:bookmarkEnd w:id="21"/>
      <w:bookmarkEnd w:id="22"/>
      <w:bookmarkEnd w:id="23"/>
      <w:bookmarkEnd w:id="24"/>
    </w:p>
    <w:p w14:paraId="4C65630B">
      <w:pPr>
        <w:widowControl/>
        <w:jc w:val="left"/>
        <w:rPr>
          <w:rFonts w:hint="default" w:ascii="Times New Roman" w:hAnsi="Times New Roman" w:eastAsia="黑体" w:cs="Times New Roman"/>
          <w:sz w:val="32"/>
          <w:szCs w:val="32"/>
        </w:rPr>
      </w:pPr>
    </w:p>
    <w:p w14:paraId="2D8FD1D9">
      <w:pPr>
        <w:pStyle w:val="13"/>
        <w:adjustRightInd w:val="0"/>
        <w:snapToGrid w:val="0"/>
        <w:spacing w:line="600" w:lineRule="exact"/>
        <w:ind w:left="0" w:leftChars="0" w:firstLine="640" w:firstLineChars="200"/>
        <w:jc w:val="left"/>
        <w:outlineLvl w:val="1"/>
        <w:rPr>
          <w:rFonts w:hint="default" w:ascii="Times New Roman" w:hAnsi="Times New Roman" w:eastAsia="黑体" w:cs="Times New Roman"/>
          <w:bCs/>
          <w:sz w:val="32"/>
          <w:szCs w:val="32"/>
        </w:rPr>
      </w:pPr>
      <w:bookmarkStart w:id="25" w:name="_Toc15396600"/>
      <w:bookmarkStart w:id="26" w:name="_Toc15377197"/>
      <w:bookmarkStart w:id="27" w:name="_Toc25192"/>
      <w:bookmarkStart w:id="28" w:name="_Toc9174"/>
      <w:r>
        <w:rPr>
          <w:rFonts w:hint="default" w:ascii="Times New Roman" w:hAnsi="Times New Roman" w:eastAsia="黑体" w:cs="Times New Roman"/>
          <w:bCs/>
          <w:sz w:val="32"/>
          <w:szCs w:val="32"/>
        </w:rPr>
        <w:t>一、</w:t>
      </w:r>
      <w:bookmarkEnd w:id="25"/>
      <w:bookmarkEnd w:id="26"/>
      <w:r>
        <w:rPr>
          <w:rFonts w:hint="default" w:ascii="Times New Roman" w:hAnsi="Times New Roman" w:eastAsia="黑体" w:cs="Times New Roman"/>
          <w:bCs/>
          <w:sz w:val="32"/>
          <w:szCs w:val="32"/>
        </w:rPr>
        <w:t>部门职责</w:t>
      </w:r>
      <w:bookmarkEnd w:id="27"/>
      <w:bookmarkEnd w:id="28"/>
    </w:p>
    <w:p w14:paraId="2D26B0C0">
      <w:pPr>
        <w:ind w:firstLine="640" w:firstLineChars="200"/>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rPr>
        <w:t>机电、水电、栽培技术等。</w:t>
      </w:r>
      <w:r>
        <w:rPr>
          <w:rFonts w:hint="eastAsia" w:eastAsia="楷体_GB2312" w:cs="Times New Roman"/>
          <w:sz w:val="32"/>
          <w:szCs w:val="32"/>
          <w:lang w:val="en-US" w:eastAsia="zh-CN"/>
        </w:rPr>
        <w:t>目前暂停招生，负责县委、县政府安排的其他工作。</w:t>
      </w:r>
    </w:p>
    <w:p w14:paraId="4A12E996">
      <w:pPr>
        <w:pStyle w:val="13"/>
        <w:adjustRightInd w:val="0"/>
        <w:snapToGrid w:val="0"/>
        <w:spacing w:line="600" w:lineRule="exact"/>
        <w:ind w:left="0" w:leftChars="0" w:firstLine="640" w:firstLineChars="200"/>
        <w:jc w:val="left"/>
        <w:outlineLvl w:val="1"/>
        <w:rPr>
          <w:rFonts w:hint="default" w:ascii="Times New Roman" w:hAnsi="Times New Roman" w:eastAsia="黑体" w:cs="Times New Roman"/>
          <w:bCs/>
          <w:sz w:val="32"/>
          <w:szCs w:val="32"/>
        </w:rPr>
      </w:pPr>
      <w:bookmarkStart w:id="29" w:name="_Toc15377200"/>
      <w:bookmarkStart w:id="30" w:name="_Toc15396601"/>
      <w:bookmarkStart w:id="31" w:name="_Toc21525"/>
      <w:bookmarkStart w:id="32" w:name="_Toc1154"/>
      <w:r>
        <w:rPr>
          <w:rFonts w:hint="default" w:ascii="Times New Roman" w:hAnsi="Times New Roman" w:eastAsia="黑体" w:cs="Times New Roman"/>
          <w:bCs/>
          <w:sz w:val="32"/>
          <w:szCs w:val="32"/>
        </w:rPr>
        <w:t>二、机构设置</w:t>
      </w:r>
      <w:bookmarkEnd w:id="29"/>
      <w:bookmarkEnd w:id="30"/>
      <w:bookmarkEnd w:id="31"/>
      <w:bookmarkEnd w:id="32"/>
    </w:p>
    <w:p w14:paraId="2EE2FD17">
      <w:pPr>
        <w:ind w:firstLine="800" w:firstLineChars="25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盐边县职业中学下属</w:t>
      </w:r>
      <w:r>
        <w:rPr>
          <w:rFonts w:hint="eastAsia" w:eastAsia="楷体_GB2312" w:cs="Times New Roman"/>
          <w:sz w:val="32"/>
          <w:szCs w:val="32"/>
          <w:lang w:val="en-US" w:eastAsia="zh-CN"/>
        </w:rPr>
        <w:t>非独立核算</w:t>
      </w:r>
      <w:r>
        <w:rPr>
          <w:rFonts w:hint="default" w:ascii="Times New Roman" w:hAnsi="Times New Roman" w:eastAsia="楷体_GB2312" w:cs="Times New Roman"/>
          <w:sz w:val="32"/>
          <w:szCs w:val="32"/>
        </w:rPr>
        <w:t>单位</w:t>
      </w:r>
      <w:r>
        <w:rPr>
          <w:rFonts w:hint="eastAsia" w:eastAsia="楷体_GB2312" w:cs="Times New Roman"/>
          <w:sz w:val="32"/>
          <w:szCs w:val="32"/>
          <w:lang w:val="en-US" w:eastAsia="zh-CN"/>
        </w:rPr>
        <w:t>0</w:t>
      </w:r>
      <w:r>
        <w:rPr>
          <w:rFonts w:hint="default" w:ascii="Times New Roman" w:hAnsi="Times New Roman" w:eastAsia="楷体_GB2312" w:cs="Times New Roman"/>
          <w:sz w:val="32"/>
          <w:szCs w:val="32"/>
        </w:rPr>
        <w:t>个，其中行政单位0个，参照公务员法管理的事业单位0个，其他事业单位0个。</w:t>
      </w:r>
    </w:p>
    <w:p w14:paraId="0EF50904">
      <w:pPr>
        <w:spacing w:line="600" w:lineRule="exact"/>
        <w:rPr>
          <w:rFonts w:hint="default" w:ascii="Times New Roman" w:hAnsi="Times New Roman" w:cs="Times New Roman"/>
        </w:rPr>
      </w:pPr>
    </w:p>
    <w:p w14:paraId="0D709E92">
      <w:pPr>
        <w:spacing w:line="600" w:lineRule="exact"/>
        <w:rPr>
          <w:rFonts w:hint="default" w:ascii="Times New Roman" w:hAnsi="Times New Roman" w:cs="Times New Roman"/>
          <w:b/>
        </w:rPr>
      </w:pPr>
    </w:p>
    <w:p w14:paraId="519B65FA">
      <w:pPr>
        <w:spacing w:line="600" w:lineRule="exact"/>
        <w:rPr>
          <w:rFonts w:hint="default" w:ascii="Times New Roman" w:hAnsi="Times New Roman" w:cs="Times New Roman"/>
        </w:rPr>
      </w:pPr>
    </w:p>
    <w:p w14:paraId="33D81B9B">
      <w:pPr>
        <w:spacing w:line="600" w:lineRule="exact"/>
        <w:rPr>
          <w:rFonts w:hint="default" w:ascii="Times New Roman" w:hAnsi="Times New Roman" w:cs="Times New Roman"/>
        </w:rPr>
      </w:pPr>
    </w:p>
    <w:p w14:paraId="4A1FFBF7">
      <w:pPr>
        <w:spacing w:line="600" w:lineRule="exact"/>
        <w:rPr>
          <w:rFonts w:hint="default" w:ascii="Times New Roman" w:hAnsi="Times New Roman" w:cs="Times New Roman"/>
        </w:rPr>
      </w:pPr>
    </w:p>
    <w:p w14:paraId="7B4243FE">
      <w:pPr>
        <w:spacing w:line="600" w:lineRule="exact"/>
        <w:rPr>
          <w:rFonts w:hint="default" w:ascii="Times New Roman" w:hAnsi="Times New Roman" w:cs="Times New Roman"/>
        </w:rPr>
      </w:pPr>
    </w:p>
    <w:p w14:paraId="156055B5">
      <w:pPr>
        <w:spacing w:line="600" w:lineRule="exact"/>
        <w:rPr>
          <w:rFonts w:hint="default" w:ascii="Times New Roman" w:hAnsi="Times New Roman" w:cs="Times New Roman"/>
        </w:rPr>
      </w:pPr>
    </w:p>
    <w:p w14:paraId="5DCC9493">
      <w:pPr>
        <w:spacing w:line="600" w:lineRule="exact"/>
        <w:rPr>
          <w:rFonts w:hint="default" w:ascii="Times New Roman" w:hAnsi="Times New Roman" w:cs="Times New Roman"/>
        </w:rPr>
      </w:pPr>
    </w:p>
    <w:p w14:paraId="374F2785">
      <w:pPr>
        <w:spacing w:line="600" w:lineRule="exact"/>
        <w:rPr>
          <w:rFonts w:hint="default" w:ascii="Times New Roman" w:hAnsi="Times New Roman" w:cs="Times New Roman"/>
        </w:rPr>
      </w:pPr>
    </w:p>
    <w:p w14:paraId="00D7F337">
      <w:pPr>
        <w:spacing w:line="600" w:lineRule="exact"/>
        <w:rPr>
          <w:rFonts w:hint="default" w:ascii="Times New Roman" w:hAnsi="Times New Roman" w:cs="Times New Roman"/>
        </w:rPr>
      </w:pPr>
    </w:p>
    <w:p w14:paraId="65CAE131">
      <w:pPr>
        <w:spacing w:line="600" w:lineRule="exact"/>
        <w:rPr>
          <w:rFonts w:hint="default" w:ascii="Times New Roman" w:hAnsi="Times New Roman" w:cs="Times New Roman"/>
        </w:rPr>
      </w:pPr>
    </w:p>
    <w:p w14:paraId="3F22B144">
      <w:pPr>
        <w:spacing w:line="600" w:lineRule="exact"/>
        <w:rPr>
          <w:rFonts w:hint="default" w:ascii="Times New Roman" w:hAnsi="Times New Roman" w:cs="Times New Roman"/>
        </w:rPr>
      </w:pPr>
    </w:p>
    <w:p w14:paraId="46538637">
      <w:pPr>
        <w:spacing w:line="600" w:lineRule="exact"/>
        <w:rPr>
          <w:rFonts w:hint="default" w:ascii="Times New Roman" w:hAnsi="Times New Roman" w:cs="Times New Roman"/>
        </w:rPr>
      </w:pPr>
    </w:p>
    <w:p w14:paraId="275F1621">
      <w:pPr>
        <w:spacing w:line="600" w:lineRule="exact"/>
        <w:rPr>
          <w:rFonts w:hint="default" w:ascii="Times New Roman" w:hAnsi="Times New Roman" w:cs="Times New Roman"/>
        </w:rPr>
      </w:pPr>
    </w:p>
    <w:p w14:paraId="5555EE9D">
      <w:pPr>
        <w:pStyle w:val="13"/>
        <w:adjustRightInd w:val="0"/>
        <w:snapToGrid w:val="0"/>
        <w:spacing w:line="600" w:lineRule="exact"/>
        <w:ind w:left="0" w:leftChars="0"/>
        <w:jc w:val="center"/>
        <w:outlineLvl w:val="9"/>
        <w:rPr>
          <w:rStyle w:val="27"/>
          <w:rFonts w:hint="default" w:ascii="Times New Roman" w:hAnsi="Times New Roman" w:eastAsia="黑体" w:cs="Times New Roman"/>
          <w:b w:val="0"/>
        </w:rPr>
      </w:pPr>
      <w:bookmarkStart w:id="33" w:name="_Toc31397"/>
      <w:bookmarkStart w:id="34" w:name="_Toc15377204"/>
      <w:bookmarkStart w:id="35" w:name="_Toc15396602"/>
    </w:p>
    <w:p w14:paraId="1D6482CD">
      <w:pPr>
        <w:pStyle w:val="13"/>
        <w:adjustRightInd w:val="0"/>
        <w:snapToGrid w:val="0"/>
        <w:spacing w:line="600" w:lineRule="exact"/>
        <w:ind w:left="0" w:leftChars="0"/>
        <w:jc w:val="center"/>
        <w:outlineLvl w:val="0"/>
        <w:rPr>
          <w:rStyle w:val="27"/>
          <w:rFonts w:hint="default" w:ascii="Times New Roman" w:hAnsi="Times New Roman" w:eastAsia="黑体" w:cs="Times New Roman"/>
          <w:b w:val="0"/>
        </w:rPr>
      </w:pPr>
      <w:bookmarkStart w:id="36" w:name="_Toc19415"/>
      <w:r>
        <w:rPr>
          <w:rStyle w:val="27"/>
          <w:rFonts w:hint="default" w:ascii="Times New Roman" w:hAnsi="Times New Roman" w:eastAsia="黑体" w:cs="Times New Roman"/>
          <w:b w:val="0"/>
        </w:rPr>
        <w:t>第二部分 2023年度部门决算情况说明</w:t>
      </w:r>
      <w:bookmarkEnd w:id="33"/>
      <w:bookmarkEnd w:id="34"/>
      <w:bookmarkEnd w:id="35"/>
      <w:bookmarkEnd w:id="36"/>
    </w:p>
    <w:p w14:paraId="6B4426B8">
      <w:pPr>
        <w:rPr>
          <w:rFonts w:hint="default" w:ascii="Times New Roman" w:hAnsi="Times New Roman" w:cs="Times New Roman"/>
        </w:rPr>
      </w:pPr>
    </w:p>
    <w:p w14:paraId="16B03B33">
      <w:pPr>
        <w:pStyle w:val="26"/>
        <w:numPr>
          <w:ilvl w:val="0"/>
          <w:numId w:val="0"/>
        </w:numPr>
        <w:spacing w:line="600" w:lineRule="exact"/>
        <w:ind w:left="1360" w:leftChars="0" w:hanging="720" w:firstLineChars="0"/>
        <w:outlineLvl w:val="1"/>
        <w:rPr>
          <w:rStyle w:val="28"/>
          <w:rFonts w:hint="default" w:ascii="Times New Roman" w:hAnsi="Times New Roman" w:eastAsia="黑体" w:cs="Times New Roman"/>
          <w:b w:val="0"/>
        </w:rPr>
      </w:pPr>
      <w:bookmarkStart w:id="37" w:name="_Toc15377205"/>
      <w:bookmarkStart w:id="38" w:name="_Toc22368"/>
      <w:bookmarkStart w:id="39" w:name="_Toc15396603"/>
      <w:bookmarkStart w:id="40" w:name="_Toc31358"/>
      <w:r>
        <w:rPr>
          <w:rFonts w:hint="default" w:ascii="Times New Roman" w:hAnsi="Times New Roman" w:eastAsia="黑体" w:cs="Times New Roman"/>
          <w:b w:val="0"/>
          <w:bCs/>
          <w:kern w:val="2"/>
          <w:sz w:val="32"/>
          <w:szCs w:val="32"/>
          <w:lang w:val="en-US" w:eastAsia="zh-CN" w:bidi="ar-SA"/>
        </w:rPr>
        <w:t>一、</w:t>
      </w:r>
      <w:r>
        <w:rPr>
          <w:rFonts w:hint="default" w:ascii="Times New Roman" w:hAnsi="Times New Roman" w:eastAsia="黑体" w:cs="Times New Roman"/>
          <w:sz w:val="32"/>
          <w:szCs w:val="32"/>
        </w:rPr>
        <w:t>收</w:t>
      </w:r>
      <w:r>
        <w:rPr>
          <w:rStyle w:val="28"/>
          <w:rFonts w:hint="default" w:ascii="Times New Roman" w:hAnsi="Times New Roman" w:eastAsia="黑体" w:cs="Times New Roman"/>
          <w:b w:val="0"/>
        </w:rPr>
        <w:t>入支出决算总体情况说明</w:t>
      </w:r>
      <w:bookmarkEnd w:id="37"/>
      <w:bookmarkEnd w:id="38"/>
      <w:bookmarkEnd w:id="39"/>
      <w:bookmarkEnd w:id="40"/>
    </w:p>
    <w:p w14:paraId="20D63F50">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2023年度收、支总计均为</w:t>
      </w:r>
      <w:r>
        <w:rPr>
          <w:rFonts w:hint="default" w:ascii="Times New Roman" w:hAnsi="Times New Roman" w:eastAsia="楷体_GB2312" w:cs="Times New Roman"/>
          <w:b/>
          <w:sz w:val="32"/>
          <w:szCs w:val="32"/>
        </w:rPr>
        <w:t>20.43</w:t>
      </w:r>
      <w:r>
        <w:rPr>
          <w:rFonts w:hint="default" w:ascii="Times New Roman" w:hAnsi="Times New Roman" w:eastAsia="楷体_GB2312" w:cs="Times New Roman"/>
          <w:sz w:val="32"/>
          <w:szCs w:val="32"/>
        </w:rPr>
        <w:t>万元。与2022年度相比，收、支总计各增加9.9万元，增长94.04%。主要变动原因是退休人员死亡生活补助增加。</w:t>
      </w:r>
    </w:p>
    <w:p w14:paraId="4D38C497">
      <w:pPr>
        <w:spacing w:before="93" w:beforeLines="30"/>
        <w:jc w:val="center"/>
        <w:rPr>
          <w:rFonts w:hint="default" w:ascii="Times New Roman" w:hAnsi="Times New Roman" w:eastAsia="仿宋_GB2312" w:cs="Times New Roman"/>
          <w:kern w:val="0"/>
          <w:sz w:val="30"/>
        </w:rPr>
      </w:pPr>
      <w:r>
        <w:rPr>
          <w:rFonts w:hint="default" w:ascii="Times New Roman" w:hAnsi="Times New Roman" w:eastAsia="仿宋_GB2312" w:cs="Times New Roman"/>
          <w:kern w:val="0"/>
          <w:sz w:val="30"/>
        </w:rPr>
        <w:drawing>
          <wp:inline distT="0" distB="0" distL="0" distR="0">
            <wp:extent cx="4743450" cy="2895600"/>
            <wp:effectExtent l="0" t="0" r="19050" b="1905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09E934AE">
      <w:pPr>
        <w:spacing w:line="600" w:lineRule="exact"/>
        <w:ind w:firstLine="640" w:firstLineChars="2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图1：收、支决算总计变动情况图（万元）</w:t>
      </w:r>
    </w:p>
    <w:p w14:paraId="2B4BF63F">
      <w:pPr>
        <w:pStyle w:val="26"/>
        <w:numPr>
          <w:ilvl w:val="0"/>
          <w:numId w:val="0"/>
        </w:numPr>
        <w:spacing w:line="600" w:lineRule="exact"/>
        <w:ind w:left="1360" w:leftChars="0" w:hanging="720" w:firstLineChars="0"/>
        <w:outlineLvl w:val="1"/>
        <w:rPr>
          <w:rStyle w:val="28"/>
          <w:rFonts w:hint="default" w:ascii="Times New Roman" w:hAnsi="Times New Roman" w:eastAsia="黑体" w:cs="Times New Roman"/>
          <w:b w:val="0"/>
        </w:rPr>
      </w:pPr>
      <w:bookmarkStart w:id="41" w:name="_Toc15396604"/>
      <w:bookmarkStart w:id="42" w:name="_Toc18015"/>
      <w:bookmarkStart w:id="43" w:name="_Toc15377206"/>
      <w:bookmarkStart w:id="44" w:name="_Toc24196"/>
      <w:r>
        <w:rPr>
          <w:rFonts w:hint="default" w:ascii="Times New Roman" w:hAnsi="Times New Roman" w:eastAsia="黑体" w:cs="Times New Roman"/>
          <w:b w:val="0"/>
          <w:bCs/>
          <w:kern w:val="2"/>
          <w:sz w:val="32"/>
          <w:szCs w:val="32"/>
          <w:lang w:val="en-US" w:eastAsia="zh-CN" w:bidi="ar-SA"/>
        </w:rPr>
        <w:t>二、</w:t>
      </w:r>
      <w:r>
        <w:rPr>
          <w:rFonts w:hint="default" w:ascii="Times New Roman" w:hAnsi="Times New Roman" w:eastAsia="黑体" w:cs="Times New Roman"/>
          <w:sz w:val="32"/>
          <w:szCs w:val="32"/>
        </w:rPr>
        <w:t>收</w:t>
      </w:r>
      <w:r>
        <w:rPr>
          <w:rStyle w:val="28"/>
          <w:rFonts w:hint="default" w:ascii="Times New Roman" w:hAnsi="Times New Roman" w:eastAsia="黑体" w:cs="Times New Roman"/>
          <w:b w:val="0"/>
        </w:rPr>
        <w:t>入决算情况说明</w:t>
      </w:r>
      <w:bookmarkEnd w:id="41"/>
      <w:bookmarkEnd w:id="42"/>
      <w:bookmarkEnd w:id="43"/>
      <w:bookmarkEnd w:id="44"/>
    </w:p>
    <w:p w14:paraId="079ACBF5">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本年收入合计20.43万元，其中：一般公共预算财政拨款收入20.43万元，占100%；政府性基金预算财政拨款收入0万元，占0%；国有资本经营预算财政拨款收入0万元，占0%；上级补助收入0万元，占0%；事业收入0万元，占0%；经营收入0万元，占0%；附属单位上缴收入0万元，占0%；其他收入0万元，占0%。</w:t>
      </w:r>
    </w:p>
    <w:p w14:paraId="241EE850">
      <w:pPr>
        <w:snapToGrid w:val="0"/>
        <w:spacing w:line="600" w:lineRule="exact"/>
        <w:ind w:firstLine="640" w:firstLineChars="200"/>
        <w:rPr>
          <w:rFonts w:hint="default" w:ascii="Times New Roman" w:hAnsi="Times New Roman" w:eastAsia="仿宋_GB2312" w:cs="Times New Roman"/>
          <w:sz w:val="32"/>
          <w:szCs w:val="32"/>
        </w:rPr>
      </w:pPr>
      <w:bookmarkStart w:id="45" w:name="_Toc15377207"/>
      <w:bookmarkStart w:id="46" w:name="_Toc15396605"/>
    </w:p>
    <w:p w14:paraId="37482C3A">
      <w:pPr>
        <w:spacing w:before="93" w:beforeLines="30"/>
        <w:jc w:val="center"/>
        <w:rPr>
          <w:rFonts w:hint="default" w:ascii="Times New Roman" w:hAnsi="Times New Roman" w:eastAsia="仿宋_GB2312" w:cs="Times New Roman"/>
          <w:kern w:val="0"/>
          <w:sz w:val="30"/>
        </w:rPr>
      </w:pPr>
      <w:r>
        <w:rPr>
          <w:rFonts w:hint="default" w:ascii="Times New Roman" w:hAnsi="Times New Roman" w:eastAsia="仿宋_GB2312" w:cs="Times New Roman"/>
          <w:kern w:val="0"/>
          <w:sz w:val="30"/>
        </w:rPr>
        <w:drawing>
          <wp:inline distT="0" distB="0" distL="0" distR="0">
            <wp:extent cx="4869180" cy="2590800"/>
            <wp:effectExtent l="0" t="0" r="26670" b="1905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6C84BAB">
      <w:pPr>
        <w:spacing w:line="600" w:lineRule="exact"/>
        <w:ind w:firstLine="640" w:firstLineChars="2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图2：收入决算结构图</w:t>
      </w:r>
    </w:p>
    <w:p w14:paraId="4D3F8755">
      <w:pPr>
        <w:pStyle w:val="26"/>
        <w:spacing w:line="600" w:lineRule="exact"/>
        <w:ind w:firstLine="640"/>
        <w:outlineLvl w:val="1"/>
        <w:rPr>
          <w:rStyle w:val="28"/>
          <w:rFonts w:hint="default" w:ascii="Times New Roman" w:hAnsi="Times New Roman" w:eastAsia="黑体" w:cs="Times New Roman"/>
          <w:b w:val="0"/>
        </w:rPr>
      </w:pPr>
      <w:bookmarkStart w:id="47" w:name="_Toc18051"/>
      <w:bookmarkStart w:id="48" w:name="_Toc10415"/>
      <w:r>
        <w:rPr>
          <w:rFonts w:hint="default" w:ascii="Times New Roman" w:hAnsi="Times New Roman" w:eastAsia="黑体" w:cs="Times New Roman"/>
          <w:sz w:val="32"/>
          <w:szCs w:val="32"/>
        </w:rPr>
        <w:t>三、支</w:t>
      </w:r>
      <w:r>
        <w:rPr>
          <w:rStyle w:val="28"/>
          <w:rFonts w:hint="default" w:ascii="Times New Roman" w:hAnsi="Times New Roman" w:eastAsia="黑体" w:cs="Times New Roman"/>
          <w:b w:val="0"/>
        </w:rPr>
        <w:t>出决算情况说明</w:t>
      </w:r>
      <w:bookmarkEnd w:id="45"/>
      <w:bookmarkEnd w:id="46"/>
      <w:bookmarkEnd w:id="47"/>
      <w:bookmarkEnd w:id="48"/>
    </w:p>
    <w:p w14:paraId="7DC51D83">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2023年度本年支出合计20.43万元，其中：基本支出20.43万元，占100%；项目支出0万元，占0%；上缴上级支出0万元，占0%；经营支出0万元，占0%；对附属单位补助支出0万元，占0%。</w:t>
      </w:r>
    </w:p>
    <w:p w14:paraId="503F61FD">
      <w:pPr>
        <w:spacing w:before="93" w:beforeLines="30"/>
        <w:jc w:val="center"/>
        <w:rPr>
          <w:rFonts w:hint="default" w:ascii="Times New Roman" w:hAnsi="Times New Roman" w:eastAsia="仿宋_GB2312" w:cs="Times New Roman"/>
          <w:kern w:val="0"/>
          <w:sz w:val="30"/>
        </w:rPr>
      </w:pPr>
      <w:r>
        <w:rPr>
          <w:rFonts w:hint="default" w:ascii="Times New Roman" w:hAnsi="Times New Roman" w:eastAsia="仿宋_GB2312" w:cs="Times New Roman"/>
          <w:kern w:val="0"/>
          <w:sz w:val="30"/>
        </w:rPr>
        <w:drawing>
          <wp:inline distT="0" distB="0" distL="0" distR="0">
            <wp:extent cx="4785360" cy="2179320"/>
            <wp:effectExtent l="0" t="0" r="15240" b="1143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E98C8BB">
      <w:pPr>
        <w:spacing w:line="600" w:lineRule="exact"/>
        <w:ind w:firstLine="640" w:firstLineChars="2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图3：支出决算结构图</w:t>
      </w:r>
    </w:p>
    <w:p w14:paraId="43C44F77">
      <w:pPr>
        <w:spacing w:line="600" w:lineRule="exact"/>
        <w:ind w:firstLine="640" w:firstLineChars="200"/>
        <w:outlineLvl w:val="1"/>
        <w:rPr>
          <w:rStyle w:val="28"/>
          <w:rFonts w:hint="default" w:ascii="Times New Roman" w:hAnsi="Times New Roman" w:eastAsia="楷体_GB2312" w:cs="Times New Roman"/>
          <w:b w:val="0"/>
        </w:rPr>
      </w:pPr>
      <w:bookmarkStart w:id="49" w:name="_Toc2208"/>
      <w:bookmarkStart w:id="50" w:name="_Toc15396606"/>
      <w:bookmarkStart w:id="51" w:name="_Toc15377208"/>
      <w:bookmarkStart w:id="52" w:name="_Toc10175"/>
      <w:r>
        <w:rPr>
          <w:rFonts w:hint="default" w:ascii="Times New Roman" w:hAnsi="Times New Roman" w:eastAsia="楷体_GB2312" w:cs="Times New Roman"/>
          <w:sz w:val="32"/>
          <w:szCs w:val="32"/>
        </w:rPr>
        <w:t>四、财</w:t>
      </w:r>
      <w:r>
        <w:rPr>
          <w:rStyle w:val="28"/>
          <w:rFonts w:hint="default" w:ascii="Times New Roman" w:hAnsi="Times New Roman" w:eastAsia="楷体_GB2312" w:cs="Times New Roman"/>
          <w:b w:val="0"/>
        </w:rPr>
        <w:t>政拨款收入支出决算总体情况说明</w:t>
      </w:r>
      <w:bookmarkEnd w:id="49"/>
      <w:bookmarkEnd w:id="50"/>
      <w:bookmarkEnd w:id="51"/>
      <w:bookmarkEnd w:id="52"/>
    </w:p>
    <w:p w14:paraId="35540DC1">
      <w:pPr>
        <w:spacing w:line="600" w:lineRule="exact"/>
        <w:ind w:firstLine="640" w:firstLineChars="200"/>
        <w:rPr>
          <w:rFonts w:hint="default" w:ascii="Times New Roman" w:hAnsi="Times New Roman" w:eastAsia="楷体_GB2312" w:cs="Times New Roman"/>
          <w:sz w:val="32"/>
          <w:szCs w:val="32"/>
        </w:rPr>
      </w:pPr>
      <w:bookmarkStart w:id="53" w:name="_Toc15377209"/>
      <w:bookmarkStart w:id="54" w:name="_Toc15396607"/>
      <w:r>
        <w:rPr>
          <w:rFonts w:hint="default" w:ascii="Times New Roman" w:hAnsi="Times New Roman" w:eastAsia="楷体_GB2312" w:cs="Times New Roman"/>
          <w:sz w:val="32"/>
          <w:szCs w:val="32"/>
        </w:rPr>
        <w:t>2023年度财政拨款收、支总计均为20.43万元。与2022年度相比，财政拨款收、支总计各增加9.9万元，增长94.04%。主要变动原因是退休人员死亡生活补助增加。</w:t>
      </w:r>
    </w:p>
    <w:p w14:paraId="0401AEC8">
      <w:pPr>
        <w:pStyle w:val="6"/>
        <w:spacing w:before="93"/>
        <w:jc w:val="center"/>
        <w:rPr>
          <w:rFonts w:hint="default" w:ascii="Times New Roman" w:hAnsi="Times New Roman" w:cs="Times New Roman"/>
        </w:rPr>
      </w:pPr>
      <w:r>
        <w:rPr>
          <w:rFonts w:hint="default" w:ascii="Times New Roman" w:hAnsi="Times New Roman" w:cs="Times New Roman"/>
        </w:rPr>
        <w:drawing>
          <wp:inline distT="0" distB="0" distL="0" distR="0">
            <wp:extent cx="4907280" cy="2583180"/>
            <wp:effectExtent l="0" t="0" r="26670" b="2667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9026DC2">
      <w:pPr>
        <w:spacing w:line="600" w:lineRule="exact"/>
        <w:ind w:firstLine="640" w:firstLineChars="2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图4：财政拨款收、支决算总计变动情况（万元）</w:t>
      </w:r>
    </w:p>
    <w:p w14:paraId="63F602D0">
      <w:pPr>
        <w:spacing w:line="600" w:lineRule="exact"/>
        <w:ind w:firstLine="640" w:firstLineChars="200"/>
        <w:outlineLvl w:val="1"/>
        <w:rPr>
          <w:rStyle w:val="28"/>
          <w:rFonts w:hint="default" w:ascii="Times New Roman" w:hAnsi="Times New Roman" w:eastAsia="黑体" w:cs="Times New Roman"/>
          <w:b w:val="0"/>
        </w:rPr>
      </w:pPr>
      <w:bookmarkStart w:id="55" w:name="_Toc15577"/>
      <w:bookmarkStart w:id="56" w:name="_Toc420"/>
      <w:r>
        <w:rPr>
          <w:rFonts w:hint="default" w:ascii="Times New Roman" w:hAnsi="Times New Roman" w:eastAsia="黑体" w:cs="Times New Roman"/>
          <w:b w:val="0"/>
          <w:bCs w:val="0"/>
          <w:sz w:val="32"/>
          <w:szCs w:val="32"/>
        </w:rPr>
        <w:t>五、一</w:t>
      </w:r>
      <w:r>
        <w:rPr>
          <w:rStyle w:val="28"/>
          <w:rFonts w:hint="default" w:ascii="Times New Roman" w:hAnsi="Times New Roman" w:eastAsia="黑体" w:cs="Times New Roman"/>
          <w:b w:val="0"/>
          <w:bCs w:val="0"/>
        </w:rPr>
        <w:t>般公共预算财政拨款支出决算情况说明</w:t>
      </w:r>
      <w:bookmarkEnd w:id="53"/>
      <w:bookmarkEnd w:id="54"/>
      <w:bookmarkEnd w:id="55"/>
      <w:bookmarkEnd w:id="56"/>
    </w:p>
    <w:p w14:paraId="1D1D0602">
      <w:pPr>
        <w:spacing w:line="600" w:lineRule="exact"/>
        <w:ind w:firstLine="640" w:firstLineChars="200"/>
        <w:outlineLvl w:val="2"/>
        <w:rPr>
          <w:rFonts w:hint="default" w:ascii="Times New Roman" w:hAnsi="Times New Roman" w:eastAsia="楷体_GB2312" w:cs="Times New Roman"/>
          <w:b w:val="0"/>
          <w:bCs/>
          <w:sz w:val="32"/>
          <w:szCs w:val="32"/>
        </w:rPr>
      </w:pPr>
      <w:bookmarkStart w:id="57" w:name="_Toc15377210"/>
      <w:r>
        <w:rPr>
          <w:rFonts w:hint="default" w:ascii="Times New Roman" w:hAnsi="Times New Roman" w:eastAsia="仿宋" w:cs="Times New Roman"/>
          <w:b w:val="0"/>
          <w:bCs/>
          <w:sz w:val="32"/>
          <w:szCs w:val="32"/>
        </w:rPr>
        <w:t>（</w:t>
      </w:r>
      <w:r>
        <w:rPr>
          <w:rFonts w:hint="default" w:ascii="Times New Roman" w:hAnsi="Times New Roman" w:eastAsia="楷体_GB2312" w:cs="Times New Roman"/>
          <w:b w:val="0"/>
          <w:bCs/>
          <w:sz w:val="32"/>
          <w:szCs w:val="32"/>
        </w:rPr>
        <w:t>一）一般公共预算财政拨款支出决算总体情况</w:t>
      </w:r>
      <w:bookmarkEnd w:id="57"/>
      <w:r>
        <w:rPr>
          <w:rFonts w:hint="default" w:ascii="Times New Roman" w:hAnsi="Times New Roman" w:eastAsia="楷体_GB2312" w:cs="Times New Roman"/>
          <w:b w:val="0"/>
          <w:bCs/>
          <w:sz w:val="32"/>
          <w:szCs w:val="32"/>
        </w:rPr>
        <w:t>。</w:t>
      </w:r>
    </w:p>
    <w:p w14:paraId="644B564B">
      <w:pPr>
        <w:spacing w:line="600" w:lineRule="exact"/>
        <w:ind w:firstLine="640" w:firstLineChars="200"/>
        <w:rPr>
          <w:rFonts w:hint="default" w:ascii="Times New Roman" w:hAnsi="Times New Roman" w:eastAsia="楷体_GB2312" w:cs="Times New Roman"/>
          <w:sz w:val="32"/>
          <w:szCs w:val="32"/>
        </w:rPr>
      </w:pPr>
      <w:bookmarkStart w:id="58" w:name="_Toc15377211"/>
      <w:r>
        <w:rPr>
          <w:rFonts w:hint="default" w:ascii="Times New Roman" w:hAnsi="Times New Roman" w:eastAsia="楷体_GB2312" w:cs="Times New Roman"/>
          <w:sz w:val="32"/>
          <w:szCs w:val="32"/>
        </w:rPr>
        <w:t>2023年度一般公共预算财政拨款支出20.43万元，占本年支出合计的100%。与2022年度相比，一般公共预算财政拨款支出增加9.9万元，增长94.04%。主要变动原因是退休人员死亡生活补助增加。</w:t>
      </w:r>
    </w:p>
    <w:p w14:paraId="47D785F5">
      <w:pPr>
        <w:spacing w:before="93" w:beforeLines="30"/>
        <w:jc w:val="center"/>
        <w:rPr>
          <w:rFonts w:hint="default" w:ascii="Times New Roman" w:hAnsi="Times New Roman" w:eastAsia="仿宋_GB2312" w:cs="Times New Roman"/>
          <w:kern w:val="0"/>
          <w:sz w:val="30"/>
        </w:rPr>
      </w:pPr>
      <w:r>
        <w:rPr>
          <w:rFonts w:hint="default" w:ascii="Times New Roman" w:hAnsi="Times New Roman" w:eastAsia="仿宋_GB2312" w:cs="Times New Roman"/>
          <w:kern w:val="0"/>
          <w:sz w:val="30"/>
        </w:rPr>
        <w:drawing>
          <wp:inline distT="0" distB="0" distL="0" distR="0">
            <wp:extent cx="4991100" cy="1968500"/>
            <wp:effectExtent l="4445" t="4445" r="14605" b="825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CD7F32A">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图5：一般公共预算财政拨款支出决算变动情况</w:t>
      </w:r>
    </w:p>
    <w:p w14:paraId="2D73F7B5">
      <w:pPr>
        <w:spacing w:line="600" w:lineRule="exact"/>
        <w:ind w:firstLine="640" w:firstLineChars="200"/>
        <w:outlineLvl w:val="2"/>
        <w:rPr>
          <w:rFonts w:hint="default" w:ascii="Times New Roman" w:hAnsi="Times New Roman" w:eastAsia="仿宋" w:cs="Times New Roman"/>
          <w:b w:val="0"/>
          <w:bCs/>
          <w:sz w:val="32"/>
          <w:szCs w:val="32"/>
          <w:lang w:val="en-US" w:eastAsia="zh-CN"/>
        </w:rPr>
      </w:pPr>
      <w:r>
        <w:rPr>
          <w:rFonts w:hint="default" w:ascii="Times New Roman" w:hAnsi="Times New Roman" w:eastAsia="仿宋" w:cs="Times New Roman"/>
          <w:b w:val="0"/>
          <w:bCs/>
          <w:sz w:val="32"/>
          <w:szCs w:val="32"/>
        </w:rPr>
        <w:t>（二）一般公共预算财政拨款支出决算结构情况</w:t>
      </w:r>
      <w:bookmarkEnd w:id="58"/>
      <w:r>
        <w:rPr>
          <w:rFonts w:hint="default" w:ascii="Times New Roman" w:hAnsi="Times New Roman" w:eastAsia="仿宋" w:cs="Times New Roman"/>
          <w:b w:val="0"/>
          <w:bCs/>
          <w:sz w:val="32"/>
          <w:szCs w:val="32"/>
          <w:lang w:eastAsia="zh-CN"/>
        </w:rPr>
        <w:t>。</w:t>
      </w:r>
    </w:p>
    <w:p w14:paraId="1A1FE6EA">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2023年度一般公共预算财政拨款支出20.43万元，主要用于以下方面:教育支出18.92万元，占92.61%；社会保障和就业支出1.51万元，占7.39%。</w:t>
      </w:r>
    </w:p>
    <w:p w14:paraId="5656AA11">
      <w:pPr>
        <w:spacing w:before="93" w:beforeLines="30"/>
        <w:jc w:val="center"/>
        <w:rPr>
          <w:rFonts w:hint="default" w:ascii="Times New Roman" w:hAnsi="Times New Roman" w:eastAsia="仿宋_GB2312" w:cs="Times New Roman"/>
          <w:kern w:val="0"/>
          <w:sz w:val="30"/>
        </w:rPr>
      </w:pPr>
      <w:r>
        <w:rPr>
          <w:rFonts w:hint="default" w:ascii="Times New Roman" w:hAnsi="Times New Roman" w:eastAsia="仿宋_GB2312" w:cs="Times New Roman"/>
          <w:kern w:val="0"/>
          <w:sz w:val="30"/>
        </w:rPr>
        <w:drawing>
          <wp:inline distT="0" distB="0" distL="0" distR="0">
            <wp:extent cx="4869180" cy="2232660"/>
            <wp:effectExtent l="0" t="0" r="26670" b="1524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B03D6FE">
      <w:pPr>
        <w:spacing w:line="60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图6：一般公共预算财政拨款支出决算结构</w:t>
      </w:r>
    </w:p>
    <w:p w14:paraId="3CD3ACDC">
      <w:pPr>
        <w:spacing w:line="600" w:lineRule="exact"/>
        <w:ind w:firstLine="640" w:firstLineChars="200"/>
        <w:outlineLvl w:val="2"/>
        <w:rPr>
          <w:rFonts w:hint="default" w:ascii="Times New Roman" w:hAnsi="Times New Roman" w:eastAsia="仿宋" w:cs="Times New Roman"/>
          <w:b w:val="0"/>
          <w:bCs/>
          <w:sz w:val="32"/>
          <w:szCs w:val="32"/>
          <w:lang w:eastAsia="zh-CN"/>
        </w:rPr>
      </w:pPr>
      <w:bookmarkStart w:id="59" w:name="_Toc15377212"/>
      <w:r>
        <w:rPr>
          <w:rFonts w:hint="default" w:ascii="Times New Roman" w:hAnsi="Times New Roman" w:eastAsia="仿宋" w:cs="Times New Roman"/>
          <w:b w:val="0"/>
          <w:bCs/>
          <w:sz w:val="32"/>
          <w:szCs w:val="32"/>
        </w:rPr>
        <w:t>（三）一般公共预算财政拨款支出决算具体情况</w:t>
      </w:r>
      <w:bookmarkEnd w:id="59"/>
      <w:r>
        <w:rPr>
          <w:rFonts w:hint="default" w:ascii="Times New Roman" w:hAnsi="Times New Roman" w:eastAsia="仿宋" w:cs="Times New Roman"/>
          <w:b w:val="0"/>
          <w:bCs/>
          <w:sz w:val="32"/>
          <w:szCs w:val="32"/>
          <w:lang w:eastAsia="zh-CN"/>
        </w:rPr>
        <w:t>。</w:t>
      </w:r>
    </w:p>
    <w:p w14:paraId="0AE30683">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2023年度一般公共预算支出决算数为20.43</w:t>
      </w:r>
      <w:r>
        <w:rPr>
          <w:rFonts w:hint="default" w:ascii="Times New Roman" w:hAnsi="Times New Roman" w:eastAsia="楷体_GB2312" w:cs="Times New Roman"/>
          <w:sz w:val="32"/>
          <w:szCs w:val="32"/>
          <w:lang w:eastAsia="zh-CN"/>
        </w:rPr>
        <w:t>万元</w:t>
      </w:r>
      <w:r>
        <w:rPr>
          <w:rFonts w:hint="default" w:ascii="Times New Roman" w:hAnsi="Times New Roman" w:eastAsia="楷体_GB2312" w:cs="Times New Roman"/>
          <w:sz w:val="32"/>
          <w:szCs w:val="32"/>
        </w:rPr>
        <w:t>，完成预算100%。其中：</w:t>
      </w:r>
    </w:p>
    <w:p w14:paraId="11FD31CE">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3" w:firstLineChars="200"/>
        <w:textAlignment w:val="auto"/>
        <w:rPr>
          <w:rFonts w:hint="default" w:ascii="Times New Roman" w:hAnsi="Times New Roman" w:eastAsia="楷体_GB2312" w:cs="Times New Roman"/>
          <w:b w:val="0"/>
          <w:bCs w:val="0"/>
          <w:color w:val="auto"/>
          <w:kern w:val="0"/>
          <w:sz w:val="32"/>
          <w:szCs w:val="24"/>
          <w:lang w:val="en-US" w:eastAsia="zh-CN" w:bidi="ar-SA"/>
        </w:rPr>
      </w:pPr>
      <w:r>
        <w:rPr>
          <w:rStyle w:val="17"/>
          <w:rFonts w:hint="default" w:ascii="Times New Roman" w:hAnsi="Times New Roman" w:eastAsia="楷体_GB2312" w:cs="Times New Roman"/>
          <w:b/>
          <w:bCs/>
          <w:sz w:val="32"/>
          <w:lang w:val="en-US" w:eastAsia="zh-CN"/>
        </w:rPr>
        <w:t>1.教育支出（205类）：</w:t>
      </w:r>
      <w:r>
        <w:rPr>
          <w:rStyle w:val="17"/>
          <w:rFonts w:hint="default" w:ascii="Times New Roman" w:hAnsi="Times New Roman" w:eastAsia="楷体_GB2312" w:cs="Times New Roman"/>
          <w:b w:val="0"/>
          <w:bCs w:val="0"/>
          <w:sz w:val="32"/>
        </w:rPr>
        <w:t>支出决算数为</w:t>
      </w:r>
      <w:r>
        <w:rPr>
          <w:rStyle w:val="17"/>
          <w:rFonts w:hint="default" w:ascii="Times New Roman" w:hAnsi="Times New Roman" w:eastAsia="楷体_GB2312" w:cs="Times New Roman"/>
          <w:b w:val="0"/>
          <w:bCs w:val="0"/>
          <w:sz w:val="32"/>
          <w:lang w:val="en-US" w:eastAsia="zh-CN"/>
        </w:rPr>
        <w:t>20.43</w:t>
      </w:r>
      <w:r>
        <w:rPr>
          <w:rStyle w:val="17"/>
          <w:rFonts w:hint="default" w:ascii="Times New Roman" w:hAnsi="Times New Roman" w:eastAsia="楷体_GB2312" w:cs="Times New Roman"/>
          <w:b w:val="0"/>
          <w:bCs w:val="0"/>
          <w:sz w:val="32"/>
        </w:rPr>
        <w:t>万元，</w:t>
      </w:r>
      <w:r>
        <w:rPr>
          <w:rFonts w:hint="default" w:ascii="Times New Roman" w:hAnsi="Times New Roman" w:eastAsia="楷体_GB2312" w:cs="Times New Roman"/>
          <w:b w:val="0"/>
          <w:bCs w:val="0"/>
          <w:color w:val="auto"/>
          <w:kern w:val="0"/>
          <w:sz w:val="32"/>
          <w:szCs w:val="24"/>
          <w:lang w:val="en-US" w:eastAsia="zh-CN" w:bidi="ar-SA"/>
        </w:rPr>
        <w:t>完成预算100%。</w:t>
      </w:r>
    </w:p>
    <w:p w14:paraId="27BE65A0">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b w:val="0"/>
          <w:bCs w:val="0"/>
          <w:color w:val="auto"/>
          <w:kern w:val="0"/>
          <w:sz w:val="32"/>
          <w:szCs w:val="24"/>
          <w:lang w:val="en-US" w:eastAsia="zh-CN" w:bidi="ar-SA"/>
        </w:rPr>
        <w:t>①</w:t>
      </w:r>
      <w:r>
        <w:rPr>
          <w:rFonts w:hint="default" w:ascii="Times New Roman" w:hAnsi="Times New Roman" w:eastAsia="楷体_GB2312" w:cs="Times New Roman"/>
          <w:sz w:val="32"/>
          <w:szCs w:val="32"/>
        </w:rPr>
        <w:t>教育支出（205类）职业教育（0</w:t>
      </w:r>
      <w:r>
        <w:rPr>
          <w:rFonts w:hint="default"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款）</w:t>
      </w:r>
      <w:r>
        <w:rPr>
          <w:rFonts w:hint="default" w:ascii="Times New Roman" w:hAnsi="Times New Roman" w:eastAsia="楷体_GB2312" w:cs="Times New Roman"/>
          <w:sz w:val="32"/>
          <w:szCs w:val="32"/>
          <w:lang w:eastAsia="zh-CN"/>
        </w:rPr>
        <w:t>其他职业教育支出</w:t>
      </w:r>
      <w:r>
        <w:rPr>
          <w:rFonts w:hint="default" w:ascii="Times New Roman" w:hAnsi="Times New Roman" w:eastAsia="楷体_GB2312" w:cs="Times New Roman"/>
          <w:sz w:val="32"/>
          <w:szCs w:val="32"/>
        </w:rPr>
        <w:t>（</w:t>
      </w:r>
      <w:r>
        <w:rPr>
          <w:rFonts w:hint="default" w:ascii="Times New Roman" w:hAnsi="Times New Roman" w:eastAsia="楷体_GB2312" w:cs="Times New Roman"/>
          <w:sz w:val="32"/>
          <w:szCs w:val="32"/>
          <w:lang w:val="en-US" w:eastAsia="zh-CN"/>
        </w:rPr>
        <w:t>99</w:t>
      </w:r>
      <w:r>
        <w:rPr>
          <w:rFonts w:hint="default" w:ascii="Times New Roman" w:hAnsi="Times New Roman" w:eastAsia="楷体_GB2312" w:cs="Times New Roman"/>
          <w:sz w:val="32"/>
          <w:szCs w:val="32"/>
        </w:rPr>
        <w:t>项）: 支出决算为18.92万元，完成预算100%。</w:t>
      </w:r>
    </w:p>
    <w:p w14:paraId="60350630">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3" w:firstLineChars="200"/>
        <w:textAlignment w:val="auto"/>
        <w:rPr>
          <w:rFonts w:hint="default" w:ascii="Times New Roman" w:hAnsi="Times New Roman" w:eastAsia="楷体_GB2312" w:cs="Times New Roman"/>
          <w:b/>
          <w:sz w:val="32"/>
          <w:szCs w:val="32"/>
          <w:lang w:eastAsia="zh-CN"/>
        </w:rPr>
      </w:pPr>
      <w:r>
        <w:rPr>
          <w:rStyle w:val="17"/>
          <w:rFonts w:hint="default" w:ascii="Times New Roman" w:hAnsi="Times New Roman" w:eastAsia="楷体_GB2312" w:cs="Times New Roman"/>
          <w:b/>
          <w:bCs/>
          <w:sz w:val="32"/>
          <w:lang w:val="en-US" w:eastAsia="zh-CN"/>
        </w:rPr>
        <w:t>2.社会保障和就业支出（208类）：</w:t>
      </w:r>
      <w:r>
        <w:rPr>
          <w:rStyle w:val="17"/>
          <w:rFonts w:hint="default" w:ascii="Times New Roman" w:hAnsi="Times New Roman" w:eastAsia="楷体_GB2312" w:cs="Times New Roman"/>
          <w:b w:val="0"/>
          <w:bCs w:val="0"/>
          <w:sz w:val="32"/>
          <w:lang w:val="en-US" w:eastAsia="zh-CN"/>
        </w:rPr>
        <w:t>支出决算数为1.51万元，完成预算100%。</w:t>
      </w:r>
    </w:p>
    <w:p w14:paraId="41CBF927">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default" w:ascii="Times New Roman" w:hAnsi="Times New Roman" w:eastAsia="楷体_GB2312" w:cs="Times New Roman"/>
          <w:b w:val="0"/>
          <w:bCs w:val="0"/>
          <w:color w:val="auto"/>
          <w:kern w:val="0"/>
          <w:sz w:val="32"/>
          <w:szCs w:val="24"/>
          <w:lang w:val="en-US" w:eastAsia="zh-CN" w:bidi="ar-SA"/>
        </w:rPr>
      </w:pPr>
      <w:r>
        <w:rPr>
          <w:rFonts w:hint="default" w:ascii="Times New Roman" w:hAnsi="Times New Roman" w:eastAsia="楷体_GB2312" w:cs="Times New Roman"/>
          <w:b w:val="0"/>
          <w:bCs w:val="0"/>
          <w:color w:val="auto"/>
          <w:kern w:val="0"/>
          <w:sz w:val="32"/>
          <w:szCs w:val="24"/>
          <w:lang w:val="en-US" w:eastAsia="zh-CN" w:bidi="ar-SA"/>
        </w:rPr>
        <w:t>①</w:t>
      </w:r>
      <w:r>
        <w:rPr>
          <w:rFonts w:hint="default" w:ascii="Times New Roman" w:hAnsi="Times New Roman" w:eastAsia="楷体_GB2312" w:cs="Times New Roman"/>
          <w:sz w:val="32"/>
          <w:szCs w:val="32"/>
        </w:rPr>
        <w:t>教育支出（20</w:t>
      </w:r>
      <w:r>
        <w:rPr>
          <w:rFonts w:hint="default" w:ascii="Times New Roman" w:hAnsi="Times New Roman" w:eastAsia="楷体_GB2312" w:cs="Times New Roman"/>
          <w:sz w:val="32"/>
          <w:szCs w:val="32"/>
          <w:lang w:val="en-US" w:eastAsia="zh-CN"/>
        </w:rPr>
        <w:t>8</w:t>
      </w:r>
      <w:r>
        <w:rPr>
          <w:rFonts w:hint="default" w:ascii="Times New Roman" w:hAnsi="Times New Roman" w:eastAsia="楷体_GB2312" w:cs="Times New Roman"/>
          <w:sz w:val="32"/>
          <w:szCs w:val="32"/>
        </w:rPr>
        <w:t>类）</w:t>
      </w:r>
      <w:r>
        <w:rPr>
          <w:rFonts w:hint="default" w:ascii="Times New Roman" w:hAnsi="Times New Roman" w:eastAsia="楷体_GB2312" w:cs="Times New Roman"/>
          <w:b w:val="0"/>
          <w:bCs w:val="0"/>
          <w:color w:val="auto"/>
          <w:kern w:val="0"/>
          <w:sz w:val="32"/>
          <w:szCs w:val="24"/>
          <w:lang w:val="en-US" w:eastAsia="zh-CN" w:bidi="ar-SA"/>
        </w:rPr>
        <w:t>行政事业单位养老支出（05款）事业单位离退休（02项）: 支出决算为1.51万元，完成预算100%。</w:t>
      </w:r>
    </w:p>
    <w:p w14:paraId="5DF6FBDE">
      <w:pPr>
        <w:tabs>
          <w:tab w:val="right" w:pos="8306"/>
        </w:tabs>
        <w:spacing w:line="600" w:lineRule="exact"/>
        <w:ind w:firstLine="640"/>
        <w:outlineLvl w:val="1"/>
        <w:rPr>
          <w:rStyle w:val="28"/>
          <w:rFonts w:hint="default" w:ascii="Times New Roman" w:hAnsi="Times New Roman" w:cs="Times New Roman"/>
        </w:rPr>
      </w:pPr>
      <w:bookmarkStart w:id="60" w:name="_Toc15377214"/>
      <w:bookmarkStart w:id="61" w:name="_Toc10735"/>
      <w:bookmarkStart w:id="62" w:name="_Toc15396608"/>
      <w:bookmarkStart w:id="63" w:name="_Toc12772"/>
      <w:r>
        <w:rPr>
          <w:rFonts w:hint="default" w:ascii="Times New Roman" w:hAnsi="Times New Roman" w:eastAsia="黑体" w:cs="Times New Roman"/>
          <w:sz w:val="32"/>
          <w:szCs w:val="32"/>
        </w:rPr>
        <w:t>六</w:t>
      </w:r>
      <w:r>
        <w:rPr>
          <w:rFonts w:hint="default" w:ascii="Times New Roman" w:hAnsi="Times New Roman" w:eastAsia="黑体" w:cs="Times New Roman"/>
          <w:b/>
          <w:sz w:val="32"/>
          <w:szCs w:val="32"/>
        </w:rPr>
        <w:t>、一</w:t>
      </w:r>
      <w:r>
        <w:rPr>
          <w:rStyle w:val="28"/>
          <w:rFonts w:hint="default" w:ascii="Times New Roman" w:hAnsi="Times New Roman" w:eastAsia="黑体" w:cs="Times New Roman"/>
          <w:b w:val="0"/>
        </w:rPr>
        <w:t>般公共预算财政拨款基本支出决算情况说明</w:t>
      </w:r>
      <w:bookmarkEnd w:id="60"/>
      <w:bookmarkEnd w:id="61"/>
      <w:bookmarkEnd w:id="62"/>
      <w:bookmarkEnd w:id="63"/>
      <w:r>
        <w:rPr>
          <w:rStyle w:val="28"/>
          <w:rFonts w:hint="default" w:ascii="Times New Roman" w:hAnsi="Times New Roman" w:eastAsia="黑体" w:cs="Times New Roman"/>
          <w:b w:val="0"/>
        </w:rPr>
        <w:tab/>
      </w:r>
    </w:p>
    <w:p w14:paraId="61EA01CD">
      <w:pPr>
        <w:spacing w:line="600" w:lineRule="exact"/>
        <w:ind w:firstLine="640" w:firstLineChars="200"/>
        <w:rPr>
          <w:rFonts w:hint="default" w:ascii="Times New Roman" w:hAnsi="Times New Roman" w:eastAsia="楷体_GB2312" w:cs="Times New Roman"/>
          <w:sz w:val="32"/>
          <w:szCs w:val="32"/>
        </w:rPr>
      </w:pPr>
      <w:bookmarkStart w:id="64" w:name="_Toc15377215"/>
      <w:bookmarkStart w:id="65" w:name="_Toc15396609"/>
      <w:r>
        <w:rPr>
          <w:rFonts w:hint="default" w:ascii="Times New Roman" w:hAnsi="Times New Roman" w:eastAsia="楷体_GB2312" w:cs="Times New Roman"/>
          <w:sz w:val="32"/>
          <w:szCs w:val="32"/>
        </w:rPr>
        <w:t>2023年度一般公共预算财政拨款基本支出20.43万元，其中：</w:t>
      </w:r>
    </w:p>
    <w:p w14:paraId="209A0F36">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人员经费</w:t>
      </w:r>
      <w:r>
        <w:rPr>
          <w:rFonts w:hint="default" w:ascii="Times New Roman" w:hAnsi="Times New Roman" w:eastAsia="楷体_GB2312" w:cs="Times New Roman"/>
          <w:sz w:val="32"/>
          <w:szCs w:val="32"/>
          <w:lang w:val="en-US" w:eastAsia="zh-CN"/>
        </w:rPr>
        <w:t>20.31</w:t>
      </w:r>
      <w:r>
        <w:rPr>
          <w:rFonts w:hint="default" w:ascii="Times New Roman" w:hAnsi="Times New Roman" w:eastAsia="楷体_GB2312" w:cs="Times New Roman"/>
          <w:sz w:val="32"/>
          <w:szCs w:val="32"/>
        </w:rPr>
        <w:t>万元，主要包括：生活补助、医疗费补助等。</w:t>
      </w:r>
    </w:p>
    <w:p w14:paraId="2C075696">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公用经费0.12万元，主要包括：维修（护）费等。</w:t>
      </w:r>
    </w:p>
    <w:p w14:paraId="693BFB40">
      <w:pPr>
        <w:spacing w:line="600" w:lineRule="exact"/>
        <w:ind w:firstLine="640"/>
        <w:outlineLvl w:val="1"/>
        <w:rPr>
          <w:rStyle w:val="28"/>
          <w:rFonts w:hint="default" w:ascii="Times New Roman" w:hAnsi="Times New Roman" w:eastAsia="黑体" w:cs="Times New Roman"/>
          <w:b w:val="0"/>
        </w:rPr>
      </w:pPr>
      <w:bookmarkStart w:id="66" w:name="_Toc6427"/>
      <w:bookmarkStart w:id="67" w:name="_Toc1996"/>
      <w:r>
        <w:rPr>
          <w:rFonts w:hint="default" w:ascii="Times New Roman" w:hAnsi="Times New Roman" w:eastAsia="黑体" w:cs="Times New Roman"/>
          <w:sz w:val="32"/>
          <w:szCs w:val="32"/>
        </w:rPr>
        <w:t>七、</w:t>
      </w:r>
      <w:r>
        <w:rPr>
          <w:rStyle w:val="28"/>
          <w:rFonts w:hint="default" w:ascii="Times New Roman" w:hAnsi="Times New Roman" w:eastAsia="黑体" w:cs="Times New Roman"/>
          <w:b w:val="0"/>
        </w:rPr>
        <w:t>财政拨款</w:t>
      </w:r>
      <w:r>
        <w:rPr>
          <w:rStyle w:val="28"/>
          <w:rFonts w:hint="default" w:ascii="Times New Roman" w:hAnsi="Times New Roman" w:eastAsia="黑体" w:cs="Times New Roman"/>
        </w:rPr>
        <w:t>“</w:t>
      </w:r>
      <w:r>
        <w:rPr>
          <w:rStyle w:val="28"/>
          <w:rFonts w:hint="default" w:ascii="Times New Roman" w:hAnsi="Times New Roman" w:eastAsia="黑体" w:cs="Times New Roman"/>
          <w:b w:val="0"/>
        </w:rPr>
        <w:t>三公”经费支出决算情况说明</w:t>
      </w:r>
      <w:bookmarkEnd w:id="64"/>
      <w:bookmarkEnd w:id="65"/>
      <w:bookmarkEnd w:id="66"/>
      <w:bookmarkEnd w:id="67"/>
    </w:p>
    <w:p w14:paraId="376C71C6">
      <w:pPr>
        <w:spacing w:line="600" w:lineRule="exact"/>
        <w:ind w:firstLine="640"/>
        <w:outlineLvl w:val="2"/>
        <w:rPr>
          <w:rFonts w:hint="default" w:ascii="Times New Roman" w:hAnsi="Times New Roman" w:eastAsia="仿宋" w:cs="Times New Roman"/>
          <w:b/>
          <w:sz w:val="32"/>
          <w:szCs w:val="32"/>
        </w:rPr>
      </w:pPr>
      <w:bookmarkStart w:id="68" w:name="_Toc15377216"/>
      <w:r>
        <w:rPr>
          <w:rFonts w:hint="default" w:ascii="Times New Roman" w:hAnsi="Times New Roman" w:eastAsia="仿宋" w:cs="Times New Roman"/>
          <w:b/>
          <w:sz w:val="32"/>
          <w:szCs w:val="32"/>
        </w:rPr>
        <w:t>（一）“三公”经费财政拨款支出决算总体情况说明</w:t>
      </w:r>
      <w:bookmarkEnd w:id="68"/>
      <w:r>
        <w:rPr>
          <w:rFonts w:hint="default" w:ascii="Times New Roman" w:hAnsi="Times New Roman" w:eastAsia="仿宋" w:cs="Times New Roman"/>
          <w:b/>
          <w:sz w:val="32"/>
          <w:szCs w:val="32"/>
        </w:rPr>
        <w:t>。</w:t>
      </w:r>
    </w:p>
    <w:p w14:paraId="6A46A738">
      <w:pPr>
        <w:pageBreakBefore w:val="0"/>
        <w:kinsoku/>
        <w:wordWrap/>
        <w:overflowPunct/>
        <w:topLinePunct w:val="0"/>
        <w:bidi w:val="0"/>
        <w:spacing w:beforeLines="0" w:afterLines="0"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rPr>
        <w:t>2023年度“三公”经费财政拨款支出决算为0万元，完成预算0%，与</w:t>
      </w:r>
      <w:r>
        <w:rPr>
          <w:rFonts w:hint="default" w:ascii="Times New Roman" w:hAnsi="Times New Roman" w:eastAsia="楷体_GB2312" w:cs="Times New Roman"/>
          <w:sz w:val="32"/>
          <w:lang w:val="en-US" w:eastAsia="zh-CN"/>
        </w:rPr>
        <w:t>2022年决算</w:t>
      </w:r>
      <w:r>
        <w:rPr>
          <w:rFonts w:hint="default" w:ascii="Times New Roman" w:hAnsi="Times New Roman" w:eastAsia="楷体_GB2312" w:cs="Times New Roman"/>
          <w:sz w:val="32"/>
        </w:rPr>
        <w:t>数持平</w:t>
      </w:r>
      <w:r>
        <w:rPr>
          <w:rFonts w:hint="default" w:ascii="Times New Roman" w:hAnsi="Times New Roman" w:eastAsia="楷体_GB2312" w:cs="Times New Roman"/>
          <w:sz w:val="32"/>
          <w:szCs w:val="32"/>
        </w:rPr>
        <w:t>。</w:t>
      </w:r>
    </w:p>
    <w:p w14:paraId="3820EBCC">
      <w:pPr>
        <w:spacing w:line="600" w:lineRule="exact"/>
        <w:ind w:firstLine="640"/>
        <w:outlineLvl w:val="2"/>
        <w:rPr>
          <w:rFonts w:hint="default" w:ascii="Times New Roman" w:hAnsi="Times New Roman" w:eastAsia="仿宋" w:cs="Times New Roman"/>
          <w:b/>
          <w:sz w:val="32"/>
          <w:szCs w:val="32"/>
        </w:rPr>
      </w:pPr>
      <w:bookmarkStart w:id="69" w:name="_Toc15377217"/>
      <w:r>
        <w:rPr>
          <w:rFonts w:hint="default" w:ascii="Times New Roman" w:hAnsi="Times New Roman" w:eastAsia="仿宋" w:cs="Times New Roman"/>
          <w:b/>
          <w:sz w:val="32"/>
          <w:szCs w:val="32"/>
        </w:rPr>
        <w:t>（二）“三公”经费财政拨款支出决算具体情况说明</w:t>
      </w:r>
      <w:bookmarkEnd w:id="69"/>
      <w:r>
        <w:rPr>
          <w:rFonts w:hint="default" w:ascii="Times New Roman" w:hAnsi="Times New Roman" w:eastAsia="仿宋" w:cs="Times New Roman"/>
          <w:b/>
          <w:sz w:val="32"/>
          <w:szCs w:val="32"/>
        </w:rPr>
        <w:t>。</w:t>
      </w:r>
    </w:p>
    <w:p w14:paraId="6FEFF8BB">
      <w:pPr>
        <w:pageBreakBefore w:val="0"/>
        <w:kinsoku/>
        <w:wordWrap/>
        <w:overflowPunct/>
        <w:topLinePunct w:val="0"/>
        <w:bidi w:val="0"/>
        <w:spacing w:beforeLines="0" w:afterLines="0"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rPr>
        <w:t>2023年度“三公”经费财政拨款支出决算中，因公出国（境）费支出决算0万元，占0%；公务用车购置及运行维护费支出决算0万元，占0%；公务接待费支出决算0万元，占0%。具体情况如下：</w:t>
      </w:r>
    </w:p>
    <w:p w14:paraId="7BA84E40">
      <w:pPr>
        <w:pageBreakBefore w:val="0"/>
        <w:kinsoku/>
        <w:wordWrap/>
        <w:overflowPunct/>
        <w:topLinePunct w:val="0"/>
        <w:bidi w:val="0"/>
        <w:spacing w:line="560" w:lineRule="exact"/>
        <w:ind w:firstLine="640"/>
        <w:textAlignment w:val="auto"/>
        <w:rPr>
          <w:rFonts w:hint="default" w:ascii="Times New Roman" w:hAnsi="Times New Roman" w:eastAsia="楷体_GB2312" w:cs="Times New Roman"/>
        </w:rPr>
      </w:pPr>
      <w:r>
        <w:rPr>
          <w:rFonts w:hint="default" w:ascii="Times New Roman" w:hAnsi="Times New Roman" w:eastAsia="楷体_GB2312" w:cs="Times New Roman"/>
          <w:b/>
          <w:sz w:val="32"/>
          <w:szCs w:val="32"/>
        </w:rPr>
        <w:t>1.因公出国（境）经费支出</w:t>
      </w:r>
      <w:r>
        <w:rPr>
          <w:rFonts w:hint="default" w:ascii="Times New Roman" w:hAnsi="Times New Roman" w:eastAsia="楷体_GB2312" w:cs="Times New Roman"/>
          <w:sz w:val="32"/>
          <w:szCs w:val="32"/>
        </w:rPr>
        <w:t>0万元，完成预算0%。</w:t>
      </w:r>
      <w:r>
        <w:rPr>
          <w:rFonts w:hint="default" w:ascii="Times New Roman" w:hAnsi="Times New Roman" w:eastAsia="楷体_GB2312" w:cs="Times New Roman"/>
          <w:b w:val="0"/>
          <w:bCs w:val="0"/>
          <w:sz w:val="32"/>
          <w:szCs w:val="32"/>
        </w:rPr>
        <w:t>全年安排因公出国（境）团组0次，出国（境）0人。因公出国（境）支出决算</w:t>
      </w:r>
      <w:r>
        <w:rPr>
          <w:rFonts w:hint="default" w:ascii="Times New Roman" w:hAnsi="Times New Roman" w:eastAsia="楷体_GB2312" w:cs="Times New Roman"/>
          <w:b w:val="0"/>
          <w:bCs w:val="0"/>
          <w:sz w:val="32"/>
          <w:szCs w:val="32"/>
          <w:lang w:val="en-US" w:eastAsia="zh-CN"/>
        </w:rPr>
        <w:t>与</w:t>
      </w:r>
      <w:r>
        <w:rPr>
          <w:rFonts w:hint="default" w:ascii="Times New Roman" w:hAnsi="Times New Roman" w:eastAsia="楷体_GB2312" w:cs="Times New Roman"/>
          <w:b w:val="0"/>
          <w:bCs w:val="0"/>
          <w:sz w:val="32"/>
          <w:szCs w:val="32"/>
        </w:rPr>
        <w:t>2022年</w:t>
      </w:r>
      <w:r>
        <w:rPr>
          <w:rFonts w:hint="default" w:ascii="Times New Roman" w:hAnsi="Times New Roman" w:eastAsia="楷体_GB2312" w:cs="Times New Roman"/>
          <w:b w:val="0"/>
          <w:bCs w:val="0"/>
          <w:sz w:val="32"/>
          <w:szCs w:val="32"/>
          <w:lang w:val="en-US" w:eastAsia="zh-CN"/>
        </w:rPr>
        <w:t>度决算数据持平</w:t>
      </w:r>
      <w:r>
        <w:rPr>
          <w:rFonts w:hint="default" w:ascii="Times New Roman" w:hAnsi="Times New Roman" w:eastAsia="楷体_GB2312" w:cs="Times New Roman"/>
          <w:b w:val="0"/>
          <w:bCs w:val="0"/>
          <w:sz w:val="32"/>
          <w:szCs w:val="32"/>
        </w:rPr>
        <w:t>。</w:t>
      </w:r>
    </w:p>
    <w:p w14:paraId="5E7EC070">
      <w:pPr>
        <w:spacing w:line="600" w:lineRule="exact"/>
        <w:ind w:firstLine="640"/>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sz w:val="32"/>
          <w:szCs w:val="32"/>
        </w:rPr>
        <w:t>2.公务用车购置及运行维护费支出</w:t>
      </w:r>
      <w:r>
        <w:rPr>
          <w:rFonts w:hint="default" w:ascii="Times New Roman" w:hAnsi="Times New Roman" w:eastAsia="楷体_GB2312" w:cs="Times New Roman"/>
          <w:sz w:val="32"/>
          <w:szCs w:val="32"/>
        </w:rPr>
        <w:t>0万元,完成预算0%。</w:t>
      </w:r>
      <w:r>
        <w:rPr>
          <w:rFonts w:hint="default" w:ascii="Times New Roman" w:hAnsi="Times New Roman" w:eastAsia="楷体_GB2312" w:cs="Times New Roman"/>
          <w:b w:val="0"/>
          <w:bCs w:val="0"/>
          <w:sz w:val="32"/>
          <w:szCs w:val="32"/>
        </w:rPr>
        <w:t>公务用车购置及运行维护费支出决算</w:t>
      </w:r>
      <w:r>
        <w:rPr>
          <w:rFonts w:hint="default" w:ascii="Times New Roman" w:hAnsi="Times New Roman" w:eastAsia="楷体_GB2312" w:cs="Times New Roman"/>
          <w:b w:val="0"/>
          <w:bCs w:val="0"/>
          <w:sz w:val="32"/>
          <w:szCs w:val="32"/>
          <w:lang w:val="en-US" w:eastAsia="zh-CN"/>
        </w:rPr>
        <w:t>与</w:t>
      </w:r>
      <w:r>
        <w:rPr>
          <w:rFonts w:hint="default" w:ascii="Times New Roman" w:hAnsi="Times New Roman" w:eastAsia="楷体_GB2312" w:cs="Times New Roman"/>
          <w:b w:val="0"/>
          <w:bCs w:val="0"/>
          <w:sz w:val="32"/>
          <w:szCs w:val="32"/>
        </w:rPr>
        <w:t>2022年度</w:t>
      </w:r>
      <w:r>
        <w:rPr>
          <w:rFonts w:hint="default" w:ascii="Times New Roman" w:hAnsi="Times New Roman" w:eastAsia="楷体_GB2312" w:cs="Times New Roman"/>
          <w:b w:val="0"/>
          <w:bCs w:val="0"/>
          <w:sz w:val="32"/>
          <w:szCs w:val="32"/>
          <w:lang w:val="en-US" w:eastAsia="zh-CN"/>
        </w:rPr>
        <w:t>决算数据持平</w:t>
      </w:r>
      <w:r>
        <w:rPr>
          <w:rFonts w:hint="default" w:ascii="Times New Roman" w:hAnsi="Times New Roman" w:eastAsia="楷体_GB2312" w:cs="Times New Roman"/>
          <w:b w:val="0"/>
          <w:bCs w:val="0"/>
          <w:sz w:val="32"/>
          <w:szCs w:val="32"/>
        </w:rPr>
        <w:t>。</w:t>
      </w:r>
    </w:p>
    <w:p w14:paraId="1F8662A2">
      <w:pPr>
        <w:pageBreakBefore w:val="0"/>
        <w:kinsoku/>
        <w:wordWrap/>
        <w:overflowPunct/>
        <w:topLinePunct w:val="0"/>
        <w:bidi w:val="0"/>
        <w:spacing w:line="560" w:lineRule="exact"/>
        <w:ind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bCs/>
          <w:sz w:val="32"/>
          <w:szCs w:val="32"/>
        </w:rPr>
        <w:t>公务用车购置支出</w:t>
      </w:r>
      <w:r>
        <w:rPr>
          <w:rFonts w:hint="default" w:ascii="Times New Roman" w:hAnsi="Times New Roman" w:eastAsia="楷体_GB2312" w:cs="Times New Roman"/>
          <w:b w:val="0"/>
          <w:bCs w:val="0"/>
          <w:sz w:val="32"/>
          <w:szCs w:val="32"/>
        </w:rPr>
        <w:t>0万</w:t>
      </w:r>
      <w:r>
        <w:rPr>
          <w:rFonts w:hint="default" w:ascii="Times New Roman" w:hAnsi="Times New Roman" w:eastAsia="楷体_GB2312" w:cs="Times New Roman"/>
          <w:sz w:val="32"/>
          <w:szCs w:val="32"/>
        </w:rPr>
        <w:t>元。全年按规定更新购置公务用车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辆，其中：轿车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辆、金额</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万元，越野车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辆、金额</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万元，载客汽车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辆、金额</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万元。截至2023年12月31日，单位共有公务用车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辆，其中：轿车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辆、越野车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辆、载客汽车</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辆。</w:t>
      </w:r>
    </w:p>
    <w:p w14:paraId="40D1DAFD">
      <w:pPr>
        <w:pageBreakBefore w:val="0"/>
        <w:kinsoku/>
        <w:wordWrap/>
        <w:overflowPunct/>
        <w:topLinePunct w:val="0"/>
        <w:bidi w:val="0"/>
        <w:spacing w:line="560" w:lineRule="exact"/>
        <w:ind w:firstLine="640"/>
        <w:textAlignment w:val="auto"/>
        <w:rPr>
          <w:rFonts w:hint="default" w:ascii="Times New Roman" w:hAnsi="Times New Roman" w:eastAsia="楷体_GB2312" w:cs="Times New Roman"/>
        </w:rPr>
      </w:pPr>
      <w:r>
        <w:rPr>
          <w:rFonts w:hint="default" w:ascii="Times New Roman" w:hAnsi="Times New Roman" w:eastAsia="楷体_GB2312" w:cs="Times New Roman"/>
          <w:b/>
          <w:bCs w:val="0"/>
          <w:sz w:val="32"/>
          <w:szCs w:val="32"/>
        </w:rPr>
        <w:t>公务用车运行维护费支出</w:t>
      </w:r>
      <w:r>
        <w:rPr>
          <w:rFonts w:hint="default" w:ascii="Times New Roman" w:hAnsi="Times New Roman" w:eastAsia="楷体_GB2312" w:cs="Times New Roman"/>
          <w:b w:val="0"/>
          <w:bCs/>
          <w:sz w:val="32"/>
          <w:szCs w:val="32"/>
        </w:rPr>
        <w:t>0万元</w:t>
      </w:r>
      <w:r>
        <w:rPr>
          <w:rFonts w:hint="default" w:ascii="Times New Roman" w:hAnsi="Times New Roman" w:eastAsia="楷体_GB2312" w:cs="Times New Roman"/>
          <w:sz w:val="32"/>
          <w:szCs w:val="32"/>
        </w:rPr>
        <w:t>。</w:t>
      </w:r>
    </w:p>
    <w:p w14:paraId="5F12985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b/>
          <w:sz w:val="32"/>
          <w:szCs w:val="32"/>
        </w:rPr>
        <w:t>3.公务接待费支出</w:t>
      </w:r>
      <w:r>
        <w:rPr>
          <w:rFonts w:hint="default" w:ascii="Times New Roman" w:hAnsi="Times New Roman" w:eastAsia="楷体_GB2312" w:cs="Times New Roman"/>
          <w:sz w:val="32"/>
          <w:szCs w:val="32"/>
        </w:rPr>
        <w:t>0万元，完成预算0%。公务接待费支出决算</w:t>
      </w:r>
      <w:r>
        <w:rPr>
          <w:rFonts w:hint="default" w:ascii="Times New Roman" w:hAnsi="Times New Roman" w:eastAsia="楷体_GB2312" w:cs="Times New Roman"/>
          <w:sz w:val="32"/>
          <w:szCs w:val="32"/>
          <w:lang w:val="en-US" w:eastAsia="zh-CN"/>
        </w:rPr>
        <w:t>与</w:t>
      </w:r>
      <w:r>
        <w:rPr>
          <w:rFonts w:hint="default" w:ascii="Times New Roman" w:hAnsi="Times New Roman" w:eastAsia="楷体_GB2312" w:cs="Times New Roman"/>
          <w:sz w:val="32"/>
          <w:szCs w:val="32"/>
        </w:rPr>
        <w:t>2022年度</w:t>
      </w:r>
      <w:r>
        <w:rPr>
          <w:rFonts w:hint="default" w:ascii="Times New Roman" w:hAnsi="Times New Roman" w:eastAsia="楷体_GB2312" w:cs="Times New Roman"/>
          <w:sz w:val="32"/>
          <w:szCs w:val="32"/>
          <w:lang w:val="en-US" w:eastAsia="zh-CN"/>
        </w:rPr>
        <w:t>决算数据持平。其中：</w:t>
      </w:r>
    </w:p>
    <w:p w14:paraId="5A057844">
      <w:pPr>
        <w:pageBreakBefore w:val="0"/>
        <w:numPr>
          <w:ilvl w:val="0"/>
          <w:numId w:val="0"/>
        </w:numPr>
        <w:kinsoku/>
        <w:wordWrap/>
        <w:overflowPunct/>
        <w:topLinePunct w:val="0"/>
        <w:bidi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b w:val="0"/>
          <w:bCs/>
          <w:sz w:val="32"/>
          <w:szCs w:val="32"/>
        </w:rPr>
        <w:t>国内公务接待支出0</w:t>
      </w:r>
      <w:r>
        <w:rPr>
          <w:rFonts w:hint="default" w:ascii="Times New Roman" w:hAnsi="Times New Roman" w:eastAsia="楷体_GB2312" w:cs="Times New Roman"/>
          <w:sz w:val="32"/>
          <w:szCs w:val="32"/>
        </w:rPr>
        <w:t>万元，国内公务接待</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批次，</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人次（不包括陪同人员），共计支出</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万元。</w:t>
      </w:r>
    </w:p>
    <w:p w14:paraId="4B3FD45E">
      <w:pPr>
        <w:pageBreakBefore w:val="0"/>
        <w:kinsoku/>
        <w:wordWrap/>
        <w:overflowPunct/>
        <w:topLinePunct w:val="0"/>
        <w:bidi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b w:val="0"/>
          <w:bCs/>
          <w:sz w:val="32"/>
          <w:szCs w:val="32"/>
        </w:rPr>
        <w:t>外事接待支出0万</w:t>
      </w:r>
      <w:r>
        <w:rPr>
          <w:rFonts w:hint="default" w:ascii="Times New Roman" w:hAnsi="Times New Roman" w:eastAsia="楷体_GB2312" w:cs="Times New Roman"/>
          <w:sz w:val="32"/>
          <w:szCs w:val="32"/>
        </w:rPr>
        <w:t>元，外事接待</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批次，</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人次（不包括陪同人员），共计支出</w:t>
      </w:r>
      <w:r>
        <w:rPr>
          <w:rFonts w:hint="default" w:ascii="Times New Roman" w:hAnsi="Times New Roman" w:eastAsia="楷体_GB2312" w:cs="Times New Roman"/>
          <w:sz w:val="32"/>
          <w:szCs w:val="32"/>
          <w:lang w:val="en-US" w:eastAsia="zh-CN"/>
        </w:rPr>
        <w:t>0</w:t>
      </w:r>
      <w:r>
        <w:rPr>
          <w:rFonts w:hint="default" w:ascii="Times New Roman" w:hAnsi="Times New Roman" w:eastAsia="楷体_GB2312" w:cs="Times New Roman"/>
          <w:sz w:val="32"/>
          <w:szCs w:val="32"/>
        </w:rPr>
        <w:t>万元。</w:t>
      </w:r>
    </w:p>
    <w:p w14:paraId="160C4257">
      <w:pPr>
        <w:spacing w:line="600" w:lineRule="exact"/>
        <w:ind w:firstLine="640" w:firstLineChars="200"/>
        <w:outlineLvl w:val="1"/>
        <w:rPr>
          <w:rStyle w:val="28"/>
          <w:rFonts w:hint="default" w:ascii="Times New Roman" w:hAnsi="Times New Roman" w:eastAsia="黑体" w:cs="Times New Roman"/>
        </w:rPr>
      </w:pPr>
      <w:bookmarkStart w:id="70" w:name="_Toc27968"/>
      <w:bookmarkStart w:id="71" w:name="_Toc15396610"/>
      <w:bookmarkStart w:id="72" w:name="_Toc15377218"/>
      <w:bookmarkStart w:id="73" w:name="_Toc12491"/>
      <w:r>
        <w:rPr>
          <w:rFonts w:hint="default" w:ascii="Times New Roman" w:hAnsi="Times New Roman" w:eastAsia="黑体" w:cs="Times New Roman"/>
          <w:sz w:val="32"/>
          <w:szCs w:val="32"/>
        </w:rPr>
        <w:t>八、</w:t>
      </w:r>
      <w:r>
        <w:rPr>
          <w:rStyle w:val="28"/>
          <w:rFonts w:hint="default" w:ascii="Times New Roman" w:hAnsi="Times New Roman" w:eastAsia="黑体" w:cs="Times New Roman"/>
          <w:b w:val="0"/>
        </w:rPr>
        <w:t>政府性基金预算支出决算情况说明</w:t>
      </w:r>
      <w:bookmarkEnd w:id="70"/>
      <w:bookmarkEnd w:id="71"/>
      <w:bookmarkEnd w:id="72"/>
      <w:bookmarkEnd w:id="73"/>
    </w:p>
    <w:p w14:paraId="68AB495E">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2023年度政府性基金预算财政拨款支出0万元。</w:t>
      </w:r>
    </w:p>
    <w:p w14:paraId="52735803">
      <w:pPr>
        <w:numPr>
          <w:ilvl w:val="0"/>
          <w:numId w:val="1"/>
        </w:numPr>
        <w:spacing w:line="600" w:lineRule="exact"/>
        <w:ind w:firstLine="640"/>
        <w:outlineLvl w:val="1"/>
        <w:rPr>
          <w:rStyle w:val="28"/>
          <w:rFonts w:hint="default" w:ascii="Times New Roman" w:hAnsi="Times New Roman" w:eastAsia="黑体" w:cs="Times New Roman"/>
          <w:b w:val="0"/>
        </w:rPr>
      </w:pPr>
      <w:bookmarkStart w:id="74" w:name="_Toc15377219"/>
      <w:bookmarkStart w:id="75" w:name="_Toc32001"/>
      <w:bookmarkStart w:id="76" w:name="_Toc15396611"/>
      <w:bookmarkStart w:id="77" w:name="_Toc22934"/>
      <w:r>
        <w:rPr>
          <w:rStyle w:val="28"/>
          <w:rFonts w:hint="default" w:ascii="Times New Roman" w:hAnsi="Times New Roman" w:eastAsia="黑体" w:cs="Times New Roman"/>
          <w:b w:val="0"/>
        </w:rPr>
        <w:t>国有资本经营预算支出决算情况说明</w:t>
      </w:r>
      <w:bookmarkEnd w:id="74"/>
      <w:bookmarkEnd w:id="75"/>
      <w:bookmarkEnd w:id="76"/>
      <w:bookmarkEnd w:id="77"/>
    </w:p>
    <w:p w14:paraId="04C7573E">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2023年度国有资本经营预算财政拨款支出0万元。</w:t>
      </w:r>
    </w:p>
    <w:p w14:paraId="7AB65B2B">
      <w:pPr>
        <w:numPr>
          <w:ilvl w:val="0"/>
          <w:numId w:val="1"/>
        </w:numPr>
        <w:spacing w:line="600" w:lineRule="exact"/>
        <w:ind w:firstLine="640"/>
        <w:outlineLvl w:val="1"/>
        <w:rPr>
          <w:rStyle w:val="28"/>
          <w:rFonts w:hint="default" w:ascii="Times New Roman" w:hAnsi="Times New Roman" w:eastAsia="黑体" w:cs="Times New Roman"/>
          <w:b w:val="0"/>
        </w:rPr>
      </w:pPr>
      <w:bookmarkStart w:id="78" w:name="_Toc15396612"/>
      <w:bookmarkStart w:id="79" w:name="_Toc15377221"/>
      <w:bookmarkStart w:id="80" w:name="_Toc5534"/>
      <w:bookmarkStart w:id="81" w:name="_Toc18448"/>
      <w:r>
        <w:rPr>
          <w:rStyle w:val="28"/>
          <w:rFonts w:hint="default" w:ascii="Times New Roman" w:hAnsi="Times New Roman" w:eastAsia="黑体" w:cs="Times New Roman"/>
          <w:b w:val="0"/>
        </w:rPr>
        <w:t>其他重要事项的情况说明</w:t>
      </w:r>
      <w:bookmarkEnd w:id="78"/>
      <w:bookmarkEnd w:id="79"/>
      <w:bookmarkEnd w:id="80"/>
      <w:bookmarkEnd w:id="81"/>
    </w:p>
    <w:p w14:paraId="523113C1">
      <w:pPr>
        <w:spacing w:line="600" w:lineRule="exact"/>
        <w:ind w:firstLine="643" w:firstLineChars="200"/>
        <w:outlineLvl w:val="2"/>
        <w:rPr>
          <w:rFonts w:hint="default" w:ascii="Times New Roman" w:hAnsi="Times New Roman" w:eastAsia="仿宋" w:cs="Times New Roman"/>
          <w:sz w:val="32"/>
          <w:szCs w:val="32"/>
        </w:rPr>
      </w:pPr>
      <w:bookmarkStart w:id="82" w:name="_Toc15377222"/>
      <w:r>
        <w:rPr>
          <w:rFonts w:hint="default" w:ascii="Times New Roman" w:hAnsi="Times New Roman" w:eastAsia="仿宋" w:cs="Times New Roman"/>
          <w:b/>
          <w:sz w:val="32"/>
          <w:szCs w:val="32"/>
        </w:rPr>
        <w:t>（一）机关运行经费支出情况</w:t>
      </w:r>
      <w:bookmarkEnd w:id="82"/>
      <w:r>
        <w:rPr>
          <w:rFonts w:hint="default" w:ascii="Times New Roman" w:hAnsi="Times New Roman" w:eastAsia="仿宋" w:cs="Times New Roman"/>
          <w:b/>
          <w:sz w:val="32"/>
          <w:szCs w:val="32"/>
        </w:rPr>
        <w:t>。</w:t>
      </w:r>
    </w:p>
    <w:p w14:paraId="12949AC4">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2023年度，盐边县职业中学机关运行经费支出0万元。</w:t>
      </w:r>
    </w:p>
    <w:p w14:paraId="273DC84A">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83" w:name="_Toc15377223"/>
      <w:r>
        <w:rPr>
          <w:rFonts w:hint="default" w:ascii="Times New Roman" w:hAnsi="Times New Roman" w:eastAsia="仿宋" w:cs="Times New Roman"/>
          <w:b/>
          <w:sz w:val="32"/>
          <w:szCs w:val="32"/>
        </w:rPr>
        <w:t>（二）政府采购支出情况</w:t>
      </w:r>
      <w:bookmarkEnd w:id="83"/>
      <w:r>
        <w:rPr>
          <w:rFonts w:hint="default" w:ascii="Times New Roman" w:hAnsi="Times New Roman" w:eastAsia="仿宋" w:cs="Times New Roman"/>
          <w:b/>
          <w:sz w:val="32"/>
          <w:szCs w:val="32"/>
        </w:rPr>
        <w:t>。</w:t>
      </w:r>
    </w:p>
    <w:p w14:paraId="61884FFA">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2023年度，盐边县职业中学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14:paraId="287788CA">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84" w:name="_Toc15377224"/>
      <w:r>
        <w:rPr>
          <w:rFonts w:hint="default" w:ascii="Times New Roman" w:hAnsi="Times New Roman" w:eastAsia="仿宋" w:cs="Times New Roman"/>
          <w:b/>
          <w:sz w:val="32"/>
          <w:szCs w:val="32"/>
        </w:rPr>
        <w:t>（三）国有资产占有使用情况</w:t>
      </w:r>
      <w:bookmarkEnd w:id="84"/>
      <w:r>
        <w:rPr>
          <w:rFonts w:hint="default" w:ascii="Times New Roman" w:hAnsi="Times New Roman" w:eastAsia="仿宋" w:cs="Times New Roman"/>
          <w:b/>
          <w:sz w:val="32"/>
          <w:szCs w:val="32"/>
        </w:rPr>
        <w:t>。</w:t>
      </w:r>
    </w:p>
    <w:p w14:paraId="17027F28">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截至2023年12月31日，盐边县职业中学共有车辆0辆，其中：主要领导干部用车0辆、机要通信用车0辆、应急保障用车0辆、其他用车0辆0。单价100万元以上设备（不含车辆）0台（套）。</w:t>
      </w:r>
    </w:p>
    <w:p w14:paraId="4FA9E86B">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（四）预算绩效管理情况。</w:t>
      </w:r>
    </w:p>
    <w:p w14:paraId="64D153F4">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根据预算绩效管理要求，本部门在2023年度预算编制阶段，组织对0项目（项目名称）等0个项目开展了预算事前绩效评估，对0个项目编制了绩效目标，预算执行过程中，选取0个项目开展绩效监控。</w:t>
      </w:r>
    </w:p>
    <w:p w14:paraId="4BC7242B">
      <w:pPr>
        <w:spacing w:line="600" w:lineRule="exact"/>
        <w:ind w:firstLine="420" w:firstLineChars="200"/>
        <w:rPr>
          <w:rFonts w:hint="default" w:ascii="Times New Roman" w:hAnsi="Times New Roman" w:cs="Times New Roman"/>
        </w:rPr>
      </w:pPr>
    </w:p>
    <w:p w14:paraId="547A417A">
      <w:pPr>
        <w:spacing w:line="600" w:lineRule="exact"/>
        <w:ind w:firstLine="420" w:firstLineChars="200"/>
        <w:rPr>
          <w:rFonts w:hint="default" w:ascii="Times New Roman" w:hAnsi="Times New Roman" w:cs="Times New Roman"/>
        </w:rPr>
      </w:pPr>
    </w:p>
    <w:p w14:paraId="48F1A947">
      <w:pPr>
        <w:spacing w:line="600" w:lineRule="exact"/>
        <w:ind w:firstLine="420" w:firstLineChars="200"/>
        <w:rPr>
          <w:rFonts w:hint="default" w:ascii="Times New Roman" w:hAnsi="Times New Roman" w:cs="Times New Roman"/>
        </w:rPr>
      </w:pPr>
    </w:p>
    <w:p w14:paraId="060BFEFE">
      <w:pPr>
        <w:spacing w:line="600" w:lineRule="exact"/>
        <w:ind w:firstLine="420" w:firstLineChars="200"/>
        <w:rPr>
          <w:rFonts w:hint="default" w:ascii="Times New Roman" w:hAnsi="Times New Roman" w:cs="Times New Roman"/>
        </w:rPr>
      </w:pPr>
    </w:p>
    <w:p w14:paraId="67751D0C">
      <w:pPr>
        <w:spacing w:line="600" w:lineRule="exact"/>
        <w:ind w:firstLine="420" w:firstLineChars="200"/>
        <w:rPr>
          <w:rFonts w:hint="default" w:ascii="Times New Roman" w:hAnsi="Times New Roman" w:cs="Times New Roman"/>
        </w:rPr>
      </w:pPr>
    </w:p>
    <w:p w14:paraId="09D01CE2">
      <w:pPr>
        <w:rPr>
          <w:rFonts w:hint="default" w:ascii="Times New Roman" w:hAnsi="Times New Roman" w:cs="Times New Roman"/>
        </w:rPr>
      </w:pPr>
    </w:p>
    <w:p w14:paraId="75151E12">
      <w:pPr>
        <w:spacing w:line="600" w:lineRule="exact"/>
        <w:ind w:firstLine="420" w:firstLineChars="200"/>
        <w:rPr>
          <w:rFonts w:hint="default" w:ascii="Times New Roman" w:hAnsi="Times New Roman" w:cs="Times New Roman"/>
        </w:rPr>
      </w:pPr>
    </w:p>
    <w:p w14:paraId="6656A4C5">
      <w:pPr>
        <w:spacing w:line="600" w:lineRule="exact"/>
        <w:rPr>
          <w:rFonts w:hint="default" w:ascii="Times New Roman" w:hAnsi="Times New Roman" w:cs="Times New Roman"/>
        </w:rPr>
      </w:pPr>
    </w:p>
    <w:p w14:paraId="3C93F61D">
      <w:pPr>
        <w:rPr>
          <w:rStyle w:val="27"/>
          <w:rFonts w:hint="default" w:ascii="Times New Roman" w:hAnsi="Times New Roman" w:eastAsia="黑体" w:cs="Times New Roman"/>
        </w:rPr>
      </w:pPr>
      <w:bookmarkStart w:id="85" w:name="_Toc28379"/>
      <w:r>
        <w:rPr>
          <w:rStyle w:val="27"/>
          <w:rFonts w:hint="default" w:ascii="Times New Roman" w:hAnsi="Times New Roman" w:eastAsia="黑体" w:cs="Times New Roman"/>
        </w:rPr>
        <w:br w:type="page"/>
      </w:r>
    </w:p>
    <w:p w14:paraId="354F47F9">
      <w:pPr>
        <w:pStyle w:val="13"/>
        <w:adjustRightInd w:val="0"/>
        <w:snapToGrid w:val="0"/>
        <w:spacing w:line="600" w:lineRule="exact"/>
        <w:ind w:left="0" w:leftChars="0"/>
        <w:jc w:val="center"/>
        <w:outlineLvl w:val="0"/>
        <w:rPr>
          <w:rStyle w:val="27"/>
          <w:rFonts w:hint="default" w:ascii="Times New Roman" w:hAnsi="Times New Roman" w:eastAsia="黑体" w:cs="Times New Roman"/>
        </w:rPr>
      </w:pPr>
      <w:bookmarkStart w:id="86" w:name="_Toc1412"/>
      <w:r>
        <w:rPr>
          <w:rStyle w:val="27"/>
          <w:rFonts w:hint="default" w:ascii="Times New Roman" w:hAnsi="Times New Roman" w:eastAsia="黑体" w:cs="Times New Roman"/>
        </w:rPr>
        <w:t>第三部分 名词解释</w:t>
      </w:r>
      <w:bookmarkEnd w:id="85"/>
      <w:bookmarkEnd w:id="86"/>
    </w:p>
    <w:p w14:paraId="35B2F017">
      <w:pPr>
        <w:rPr>
          <w:rFonts w:hint="default" w:ascii="Times New Roman" w:hAnsi="Times New Roman" w:cs="Times New Roman"/>
        </w:rPr>
      </w:pPr>
    </w:p>
    <w:p w14:paraId="3FF8A664">
      <w:pPr>
        <w:spacing w:line="600" w:lineRule="exact"/>
        <w:ind w:firstLine="640" w:firstLineChars="200"/>
        <w:outlineLvl w:val="1"/>
        <w:rPr>
          <w:rFonts w:hint="default" w:ascii="Times New Roman" w:hAnsi="Times New Roman" w:eastAsia="楷体_GB2312" w:cs="Times New Roman"/>
          <w:sz w:val="32"/>
          <w:szCs w:val="32"/>
        </w:rPr>
      </w:pPr>
      <w:bookmarkStart w:id="87" w:name="_Toc18907"/>
      <w:bookmarkStart w:id="88" w:name="_Toc17967"/>
      <w:bookmarkStart w:id="89" w:name="_Toc10289"/>
      <w:r>
        <w:rPr>
          <w:rFonts w:hint="default" w:ascii="Times New Roman" w:hAnsi="Times New Roman" w:eastAsia="楷体_GB2312" w:cs="Times New Roman"/>
          <w:sz w:val="32"/>
          <w:szCs w:val="32"/>
        </w:rPr>
        <w:t>1.财政拨款收入：指单位从同级财政部门取得的财政预算资金。</w:t>
      </w:r>
      <w:bookmarkEnd w:id="87"/>
      <w:bookmarkEnd w:id="88"/>
      <w:bookmarkEnd w:id="89"/>
    </w:p>
    <w:p w14:paraId="0CDD51C0">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2.事业收入：指事业单位开展专业业务活动及辅助活动取得的收入。</w:t>
      </w:r>
    </w:p>
    <w:p w14:paraId="2046B596">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3.经营收入：指事业单位在专业业务活动及其辅助活动之外开展非独立核算经营活动取得的收入。</w:t>
      </w:r>
    </w:p>
    <w:p w14:paraId="02E631FB">
      <w:pPr>
        <w:spacing w:line="600" w:lineRule="exact"/>
        <w:ind w:firstLine="640" w:firstLineChars="200"/>
        <w:outlineLvl w:val="1"/>
        <w:rPr>
          <w:rFonts w:hint="default" w:ascii="Times New Roman" w:hAnsi="Times New Roman" w:eastAsia="楷体_GB2312" w:cs="Times New Roman"/>
          <w:sz w:val="32"/>
          <w:szCs w:val="32"/>
        </w:rPr>
      </w:pPr>
      <w:bookmarkStart w:id="90" w:name="_Toc21736"/>
      <w:bookmarkStart w:id="91" w:name="_Toc19392"/>
      <w:bookmarkStart w:id="92" w:name="_Toc3579"/>
      <w:r>
        <w:rPr>
          <w:rFonts w:hint="default" w:ascii="Times New Roman" w:hAnsi="Times New Roman" w:eastAsia="楷体_GB2312" w:cs="Times New Roman"/>
          <w:sz w:val="32"/>
          <w:szCs w:val="32"/>
        </w:rPr>
        <w:t>4.其他收入：指单位取得的除上述收入以外的各项收入。</w:t>
      </w:r>
      <w:bookmarkEnd w:id="90"/>
      <w:bookmarkEnd w:id="91"/>
      <w:bookmarkEnd w:id="92"/>
      <w:r>
        <w:rPr>
          <w:rFonts w:hint="default" w:ascii="Times New Roman" w:hAnsi="Times New Roman" w:eastAsia="楷体_GB2312" w:cs="Times New Roman"/>
          <w:sz w:val="32"/>
          <w:szCs w:val="32"/>
        </w:rPr>
        <w:t xml:space="preserve"> </w:t>
      </w:r>
    </w:p>
    <w:p w14:paraId="171264D9">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 xml:space="preserve">5.使用非财政拨款结余（含专用结余）：指事业单位使用以前年度积累的非财政拨款结余弥补当年收支差额的金额。 </w:t>
      </w:r>
    </w:p>
    <w:p w14:paraId="00876458">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 xml:space="preserve">6.年初结转和结余：指以前年度尚未完成、结转到本年按有关规定继续使用的资金。 </w:t>
      </w:r>
    </w:p>
    <w:p w14:paraId="1140555B">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7.结余分配：指事业单位按照会计制度规定缴纳的所得税、提取的专用结余以及转入非财政拨款结余的金额等。</w:t>
      </w:r>
    </w:p>
    <w:p w14:paraId="46F7DE6D">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8.年末结转和结余：指单位按有关规定结转到下年或以后年度继续使用的资金。</w:t>
      </w:r>
    </w:p>
    <w:p w14:paraId="0C11B15B">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9.教育支出（205类）职业教育（03款）其他职业教育支出（99项）：指反映除上述项目以外其他用于职业教育方面的支出。</w:t>
      </w:r>
    </w:p>
    <w:p w14:paraId="49E4B1E5">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10. 社会保障和就业支出（208类）行政事业单位养老支出（05款）事业单位离退休（02项）：指反映事业单位开支的离退休经费。</w:t>
      </w:r>
    </w:p>
    <w:p w14:paraId="1EC3BF32">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11.基本支出：指为保障机构正常运转、完成日常工作任务而发生的人员支出和公用支出。</w:t>
      </w:r>
    </w:p>
    <w:p w14:paraId="528C4511">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 xml:space="preserve">12.项目支出：指在基本支出之外为完成特定行政任务和事业发展目标所发生的支出。 </w:t>
      </w:r>
    </w:p>
    <w:p w14:paraId="5EF4DC79">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13.经营支出：指事业单位在专业业务活动及其辅助活动之外开展非独立核算经营活动发生的支出。</w:t>
      </w:r>
    </w:p>
    <w:p w14:paraId="0C1F7B05">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14.“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70E52966">
      <w:pPr>
        <w:spacing w:line="60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15.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D158416">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14:paraId="371B0374">
      <w:pPr>
        <w:pStyle w:val="13"/>
        <w:numPr>
          <w:ilvl w:val="0"/>
          <w:numId w:val="2"/>
        </w:numPr>
        <w:adjustRightInd w:val="0"/>
        <w:snapToGrid w:val="0"/>
        <w:spacing w:line="600" w:lineRule="exact"/>
        <w:ind w:left="0" w:leftChars="0"/>
        <w:jc w:val="center"/>
        <w:outlineLvl w:val="0"/>
        <w:rPr>
          <w:rStyle w:val="27"/>
          <w:rFonts w:hint="default" w:ascii="Times New Roman" w:hAnsi="Times New Roman" w:cs="Times New Roman"/>
        </w:rPr>
      </w:pPr>
      <w:bookmarkStart w:id="93" w:name="_Toc5727"/>
      <w:bookmarkStart w:id="94" w:name="_Toc12041"/>
      <w:r>
        <w:rPr>
          <w:rStyle w:val="27"/>
          <w:rFonts w:hint="default" w:ascii="Times New Roman" w:hAnsi="Times New Roman" w:cs="Times New Roman"/>
        </w:rPr>
        <w:t>附件</w:t>
      </w:r>
      <w:bookmarkEnd w:id="93"/>
    </w:p>
    <w:p w14:paraId="79EB7392">
      <w:pPr>
        <w:rPr>
          <w:rFonts w:hint="default"/>
        </w:rPr>
      </w:pPr>
    </w:p>
    <w:p w14:paraId="5E562AD4">
      <w:pPr>
        <w:pageBreakBefore w:val="0"/>
        <w:kinsoku/>
        <w:wordWrap/>
        <w:overflowPunct/>
        <w:topLinePunct w:val="0"/>
        <w:bidi w:val="0"/>
        <w:spacing w:line="560" w:lineRule="exact"/>
        <w:jc w:val="center"/>
        <w:textAlignment w:val="auto"/>
        <w:outlineLvl w:val="1"/>
        <w:rPr>
          <w:rFonts w:hint="default" w:ascii="Times New Roman" w:hAnsi="Times New Roman" w:eastAsia="楷体_GB2312" w:cs="Times New Roman"/>
        </w:rPr>
      </w:pPr>
      <w:bookmarkStart w:id="95" w:name="_Toc12417"/>
      <w:bookmarkStart w:id="96" w:name="_Toc24751"/>
      <w:bookmarkStart w:id="97" w:name="_Toc9820"/>
      <w:r>
        <w:rPr>
          <w:rFonts w:hint="default" w:ascii="Times New Roman" w:hAnsi="Times New Roman" w:eastAsia="楷体_GB2312" w:cs="Times New Roman"/>
          <w:sz w:val="32"/>
          <w:szCs w:val="32"/>
        </w:rPr>
        <w:t>部门预算项目支出绩效自评表（2023年度）</w:t>
      </w:r>
      <w:r>
        <w:rPr>
          <w:rFonts w:hint="default" w:ascii="Times New Roman" w:hAnsi="Times New Roman" w:eastAsia="楷体_GB2312" w:cs="Times New Roman"/>
          <w:sz w:val="32"/>
          <w:szCs w:val="32"/>
          <w:lang w:eastAsia="zh-CN"/>
        </w:rPr>
        <w:t>见附件</w:t>
      </w:r>
      <w:bookmarkEnd w:id="95"/>
      <w:r>
        <w:rPr>
          <w:rFonts w:hint="default" w:ascii="Times New Roman" w:hAnsi="Times New Roman" w:eastAsia="楷体_GB2312" w:cs="Times New Roman"/>
          <w:sz w:val="32"/>
          <w:szCs w:val="32"/>
          <w:lang w:eastAsia="zh-CN"/>
        </w:rPr>
        <w:t>。</w:t>
      </w:r>
      <w:bookmarkEnd w:id="96"/>
      <w:bookmarkEnd w:id="97"/>
    </w:p>
    <w:bookmarkEnd w:id="94"/>
    <w:p w14:paraId="468C6ABD">
      <w:pPr>
        <w:rPr>
          <w:rFonts w:hint="default" w:ascii="Times New Roman" w:hAnsi="Times New Roman" w:cs="Times New Roman"/>
        </w:rPr>
      </w:pPr>
    </w:p>
    <w:p w14:paraId="607895BB">
      <w:pPr>
        <w:pStyle w:val="13"/>
        <w:adjustRightInd w:val="0"/>
        <w:snapToGrid w:val="0"/>
        <w:spacing w:line="600" w:lineRule="exact"/>
        <w:ind w:left="0" w:leftChars="0"/>
        <w:jc w:val="center"/>
        <w:rPr>
          <w:rStyle w:val="27"/>
          <w:rFonts w:hint="default" w:ascii="Times New Roman" w:hAnsi="Times New Roman" w:cs="Times New Roman"/>
        </w:rPr>
      </w:pPr>
    </w:p>
    <w:p w14:paraId="09AD4B98">
      <w:pPr>
        <w:pStyle w:val="13"/>
        <w:adjustRightInd w:val="0"/>
        <w:snapToGrid w:val="0"/>
        <w:spacing w:line="600" w:lineRule="exact"/>
        <w:ind w:left="0" w:leftChars="0"/>
        <w:jc w:val="center"/>
        <w:rPr>
          <w:rStyle w:val="27"/>
          <w:rFonts w:hint="default" w:ascii="Times New Roman" w:hAnsi="Times New Roman" w:cs="Times New Roman"/>
        </w:rPr>
      </w:pPr>
    </w:p>
    <w:p w14:paraId="2DB55398">
      <w:pPr>
        <w:pStyle w:val="13"/>
        <w:adjustRightInd w:val="0"/>
        <w:snapToGrid w:val="0"/>
        <w:spacing w:line="600" w:lineRule="exact"/>
        <w:ind w:left="0" w:leftChars="0"/>
        <w:jc w:val="center"/>
        <w:rPr>
          <w:rStyle w:val="27"/>
          <w:rFonts w:hint="default" w:ascii="Times New Roman" w:hAnsi="Times New Roman" w:cs="Times New Roman"/>
        </w:rPr>
      </w:pPr>
    </w:p>
    <w:p w14:paraId="0A9DA09D">
      <w:pPr>
        <w:pStyle w:val="13"/>
        <w:adjustRightInd w:val="0"/>
        <w:snapToGrid w:val="0"/>
        <w:spacing w:line="600" w:lineRule="exact"/>
        <w:ind w:left="0" w:leftChars="0"/>
        <w:jc w:val="center"/>
        <w:rPr>
          <w:rStyle w:val="27"/>
          <w:rFonts w:hint="default" w:ascii="Times New Roman" w:hAnsi="Times New Roman" w:cs="Times New Roman"/>
        </w:rPr>
      </w:pPr>
    </w:p>
    <w:p w14:paraId="2674B9B0">
      <w:pPr>
        <w:pStyle w:val="13"/>
        <w:adjustRightInd w:val="0"/>
        <w:snapToGrid w:val="0"/>
        <w:spacing w:line="600" w:lineRule="exact"/>
        <w:ind w:left="0" w:leftChars="0"/>
        <w:jc w:val="center"/>
        <w:rPr>
          <w:rStyle w:val="27"/>
          <w:rFonts w:hint="default" w:ascii="Times New Roman" w:hAnsi="Times New Roman" w:cs="Times New Roman"/>
        </w:rPr>
      </w:pPr>
    </w:p>
    <w:p w14:paraId="4AA7D6B4">
      <w:pPr>
        <w:pStyle w:val="13"/>
        <w:adjustRightInd w:val="0"/>
        <w:snapToGrid w:val="0"/>
        <w:spacing w:line="600" w:lineRule="exact"/>
        <w:ind w:left="0" w:leftChars="0"/>
        <w:jc w:val="center"/>
        <w:rPr>
          <w:rStyle w:val="27"/>
          <w:rFonts w:hint="default" w:ascii="Times New Roman" w:hAnsi="Times New Roman" w:cs="Times New Roman"/>
        </w:rPr>
      </w:pPr>
    </w:p>
    <w:p w14:paraId="3553ECC4">
      <w:pPr>
        <w:pStyle w:val="13"/>
        <w:adjustRightInd w:val="0"/>
        <w:snapToGrid w:val="0"/>
        <w:spacing w:line="600" w:lineRule="exact"/>
        <w:ind w:left="0" w:leftChars="0"/>
        <w:jc w:val="center"/>
        <w:rPr>
          <w:rStyle w:val="27"/>
          <w:rFonts w:hint="default" w:ascii="Times New Roman" w:hAnsi="Times New Roman" w:cs="Times New Roman"/>
        </w:rPr>
      </w:pPr>
    </w:p>
    <w:p w14:paraId="2432BB4C">
      <w:pPr>
        <w:pStyle w:val="13"/>
        <w:adjustRightInd w:val="0"/>
        <w:snapToGrid w:val="0"/>
        <w:spacing w:line="600" w:lineRule="exact"/>
        <w:ind w:left="0" w:leftChars="0"/>
        <w:jc w:val="center"/>
        <w:rPr>
          <w:rStyle w:val="27"/>
          <w:rFonts w:hint="default" w:ascii="Times New Roman" w:hAnsi="Times New Roman" w:cs="Times New Roman"/>
        </w:rPr>
      </w:pPr>
    </w:p>
    <w:p w14:paraId="2264798C">
      <w:pPr>
        <w:pStyle w:val="13"/>
        <w:adjustRightInd w:val="0"/>
        <w:snapToGrid w:val="0"/>
        <w:spacing w:line="600" w:lineRule="exact"/>
        <w:ind w:left="0" w:leftChars="0"/>
        <w:jc w:val="center"/>
        <w:rPr>
          <w:rStyle w:val="27"/>
          <w:rFonts w:hint="default" w:ascii="Times New Roman" w:hAnsi="Times New Roman" w:cs="Times New Roman"/>
        </w:rPr>
      </w:pPr>
    </w:p>
    <w:p w14:paraId="04DB4D10">
      <w:pPr>
        <w:pStyle w:val="13"/>
        <w:adjustRightInd w:val="0"/>
        <w:snapToGrid w:val="0"/>
        <w:spacing w:line="600" w:lineRule="exact"/>
        <w:ind w:left="0" w:leftChars="0"/>
        <w:jc w:val="center"/>
        <w:rPr>
          <w:rStyle w:val="27"/>
          <w:rFonts w:hint="default" w:ascii="Times New Roman" w:hAnsi="Times New Roman" w:cs="Times New Roman"/>
        </w:rPr>
      </w:pPr>
    </w:p>
    <w:p w14:paraId="3CD4D959">
      <w:pPr>
        <w:pStyle w:val="13"/>
        <w:adjustRightInd w:val="0"/>
        <w:snapToGrid w:val="0"/>
        <w:spacing w:line="600" w:lineRule="exact"/>
        <w:ind w:left="0" w:leftChars="0"/>
        <w:jc w:val="center"/>
        <w:rPr>
          <w:rStyle w:val="27"/>
          <w:rFonts w:hint="default" w:ascii="Times New Roman" w:hAnsi="Times New Roman" w:cs="Times New Roman"/>
        </w:rPr>
      </w:pPr>
    </w:p>
    <w:p w14:paraId="55D02F7A">
      <w:pPr>
        <w:pStyle w:val="13"/>
        <w:adjustRightInd w:val="0"/>
        <w:snapToGrid w:val="0"/>
        <w:spacing w:line="600" w:lineRule="exact"/>
        <w:ind w:left="0" w:leftChars="0"/>
        <w:jc w:val="center"/>
        <w:rPr>
          <w:rStyle w:val="27"/>
          <w:rFonts w:hint="default" w:ascii="Times New Roman" w:hAnsi="Times New Roman" w:cs="Times New Roman"/>
        </w:rPr>
      </w:pPr>
    </w:p>
    <w:p w14:paraId="2FCBEF11">
      <w:pPr>
        <w:pStyle w:val="13"/>
        <w:adjustRightInd w:val="0"/>
        <w:snapToGrid w:val="0"/>
        <w:spacing w:line="600" w:lineRule="exact"/>
        <w:ind w:left="0" w:leftChars="0"/>
        <w:jc w:val="center"/>
        <w:rPr>
          <w:rStyle w:val="27"/>
          <w:rFonts w:hint="default" w:ascii="Times New Roman" w:hAnsi="Times New Roman" w:cs="Times New Roman"/>
        </w:rPr>
      </w:pPr>
    </w:p>
    <w:p w14:paraId="5E9DC741">
      <w:pPr>
        <w:pStyle w:val="13"/>
        <w:adjustRightInd w:val="0"/>
        <w:snapToGrid w:val="0"/>
        <w:spacing w:line="600" w:lineRule="exact"/>
        <w:ind w:left="0" w:leftChars="0"/>
        <w:jc w:val="center"/>
        <w:rPr>
          <w:rStyle w:val="27"/>
          <w:rFonts w:hint="default" w:ascii="Times New Roman" w:hAnsi="Times New Roman" w:cs="Times New Roman"/>
        </w:rPr>
      </w:pPr>
    </w:p>
    <w:p w14:paraId="74577AE4">
      <w:pPr>
        <w:rPr>
          <w:rFonts w:hint="default" w:ascii="Times New Roman" w:hAnsi="Times New Roman" w:cs="Times New Roman"/>
        </w:rPr>
      </w:pPr>
    </w:p>
    <w:p w14:paraId="03189444">
      <w:pPr>
        <w:pStyle w:val="13"/>
        <w:adjustRightInd w:val="0"/>
        <w:snapToGrid w:val="0"/>
        <w:spacing w:line="600" w:lineRule="exact"/>
        <w:ind w:left="0" w:leftChars="0"/>
        <w:jc w:val="center"/>
        <w:rPr>
          <w:rStyle w:val="27"/>
          <w:rFonts w:hint="default" w:ascii="Times New Roman" w:hAnsi="Times New Roman" w:cs="Times New Roman"/>
        </w:rPr>
      </w:pPr>
    </w:p>
    <w:p w14:paraId="491D656D">
      <w:pPr>
        <w:pStyle w:val="13"/>
        <w:adjustRightInd w:val="0"/>
        <w:snapToGrid w:val="0"/>
        <w:spacing w:line="600" w:lineRule="exact"/>
        <w:ind w:left="0" w:leftChars="0"/>
        <w:jc w:val="center"/>
        <w:rPr>
          <w:rStyle w:val="27"/>
          <w:rFonts w:hint="default" w:ascii="Times New Roman" w:hAnsi="Times New Roman" w:cs="Times New Roman"/>
        </w:rPr>
      </w:pPr>
    </w:p>
    <w:p w14:paraId="3141B365">
      <w:pPr>
        <w:pStyle w:val="13"/>
        <w:adjustRightInd w:val="0"/>
        <w:snapToGrid w:val="0"/>
        <w:spacing w:line="600" w:lineRule="exact"/>
        <w:ind w:left="0" w:leftChars="0"/>
        <w:jc w:val="center"/>
        <w:rPr>
          <w:rStyle w:val="27"/>
          <w:rFonts w:hint="default" w:ascii="Times New Roman" w:hAnsi="Times New Roman" w:cs="Times New Roman"/>
        </w:rPr>
      </w:pPr>
    </w:p>
    <w:p w14:paraId="06959A37">
      <w:pPr>
        <w:pStyle w:val="13"/>
        <w:adjustRightInd w:val="0"/>
        <w:snapToGrid w:val="0"/>
        <w:spacing w:line="600" w:lineRule="exact"/>
        <w:ind w:left="0" w:leftChars="0"/>
        <w:jc w:val="center"/>
        <w:rPr>
          <w:rStyle w:val="27"/>
          <w:rFonts w:hint="default" w:ascii="Times New Roman" w:hAnsi="Times New Roman" w:cs="Times New Roman"/>
        </w:rPr>
      </w:pPr>
    </w:p>
    <w:p w14:paraId="0E748EE2">
      <w:pPr>
        <w:pStyle w:val="13"/>
        <w:adjustRightInd w:val="0"/>
        <w:snapToGrid w:val="0"/>
        <w:spacing w:line="600" w:lineRule="exact"/>
        <w:ind w:left="0" w:leftChars="0"/>
        <w:jc w:val="center"/>
        <w:rPr>
          <w:rStyle w:val="27"/>
          <w:rFonts w:hint="default" w:ascii="Times New Roman" w:hAnsi="Times New Roman" w:cs="Times New Roman"/>
        </w:rPr>
      </w:pPr>
    </w:p>
    <w:p w14:paraId="44CC61E0">
      <w:pPr>
        <w:pStyle w:val="13"/>
        <w:adjustRightInd w:val="0"/>
        <w:snapToGrid w:val="0"/>
        <w:spacing w:line="600" w:lineRule="exact"/>
        <w:ind w:left="0" w:leftChars="0"/>
        <w:jc w:val="center"/>
        <w:rPr>
          <w:rStyle w:val="27"/>
          <w:rFonts w:hint="default" w:ascii="Times New Roman" w:hAnsi="Times New Roman" w:cs="Times New Roman"/>
        </w:rPr>
      </w:pPr>
    </w:p>
    <w:p w14:paraId="173D97E1">
      <w:pPr>
        <w:pStyle w:val="13"/>
        <w:adjustRightInd w:val="0"/>
        <w:snapToGrid w:val="0"/>
        <w:spacing w:line="600" w:lineRule="exact"/>
        <w:ind w:left="0" w:leftChars="0"/>
        <w:jc w:val="center"/>
        <w:rPr>
          <w:rStyle w:val="27"/>
          <w:rFonts w:hint="default" w:ascii="Times New Roman" w:hAnsi="Times New Roman" w:cs="Times New Roman"/>
        </w:rPr>
      </w:pPr>
    </w:p>
    <w:p w14:paraId="5B786DC0">
      <w:pPr>
        <w:pStyle w:val="13"/>
        <w:adjustRightInd w:val="0"/>
        <w:snapToGrid w:val="0"/>
        <w:spacing w:line="600" w:lineRule="exact"/>
        <w:ind w:left="0" w:leftChars="0"/>
        <w:jc w:val="center"/>
        <w:outlineLvl w:val="0"/>
        <w:rPr>
          <w:rStyle w:val="27"/>
          <w:rFonts w:hint="default" w:ascii="Times New Roman" w:hAnsi="Times New Roman" w:cs="Times New Roman"/>
        </w:rPr>
      </w:pPr>
      <w:bookmarkStart w:id="98" w:name="_Toc14238"/>
      <w:bookmarkStart w:id="99" w:name="_Toc122"/>
      <w:r>
        <w:rPr>
          <w:rStyle w:val="27"/>
          <w:rFonts w:hint="default" w:ascii="Times New Roman" w:hAnsi="Times New Roman" w:cs="Times New Roman"/>
        </w:rPr>
        <w:t>第五部分 附表</w:t>
      </w:r>
      <w:bookmarkEnd w:id="98"/>
    </w:p>
    <w:bookmarkEnd w:id="99"/>
    <w:p w14:paraId="4E93074F">
      <w:pPr>
        <w:rPr>
          <w:rFonts w:hint="default" w:ascii="Times New Roman" w:hAnsi="Times New Roman" w:eastAsia="仿宋" w:cs="Times New Roman"/>
          <w:sz w:val="32"/>
          <w:szCs w:val="32"/>
        </w:rPr>
      </w:pPr>
    </w:p>
    <w:p w14:paraId="3D239583">
      <w:pPr>
        <w:pStyle w:val="26"/>
        <w:numPr>
          <w:ilvl w:val="0"/>
          <w:numId w:val="0"/>
        </w:numPr>
        <w:spacing w:line="600" w:lineRule="exact"/>
        <w:ind w:left="1360" w:leftChars="0" w:hanging="720" w:firstLineChars="0"/>
        <w:outlineLvl w:val="1"/>
        <w:rPr>
          <w:rFonts w:hint="eastAsia" w:ascii="Times New Roman" w:hAnsi="Times New Roman" w:eastAsia="黑体" w:cs="Times New Roman"/>
          <w:sz w:val="32"/>
          <w:szCs w:val="32"/>
        </w:rPr>
      </w:pPr>
      <w:bookmarkStart w:id="100" w:name="_Toc18970"/>
      <w:r>
        <w:rPr>
          <w:rFonts w:hint="eastAsia" w:ascii="Times New Roman" w:hAnsi="Times New Roman" w:eastAsia="黑体" w:cs="Times New Roman"/>
          <w:sz w:val="32"/>
          <w:szCs w:val="32"/>
        </w:rPr>
        <w:t>一、收入支出决算总表</w:t>
      </w:r>
      <w:bookmarkEnd w:id="100"/>
    </w:p>
    <w:p w14:paraId="379E80A9">
      <w:pPr>
        <w:pStyle w:val="26"/>
        <w:numPr>
          <w:ilvl w:val="0"/>
          <w:numId w:val="0"/>
        </w:numPr>
        <w:spacing w:line="600" w:lineRule="exact"/>
        <w:ind w:left="1360" w:leftChars="0" w:hanging="720" w:firstLineChars="0"/>
        <w:outlineLvl w:val="1"/>
        <w:rPr>
          <w:rFonts w:hint="eastAsia" w:ascii="Times New Roman" w:hAnsi="Times New Roman" w:eastAsia="黑体" w:cs="Times New Roman"/>
          <w:sz w:val="32"/>
          <w:szCs w:val="32"/>
        </w:rPr>
      </w:pPr>
      <w:bookmarkStart w:id="101" w:name="_Toc25101"/>
      <w:r>
        <w:rPr>
          <w:rFonts w:hint="eastAsia" w:ascii="Times New Roman" w:hAnsi="Times New Roman" w:eastAsia="黑体" w:cs="Times New Roman"/>
          <w:sz w:val="32"/>
          <w:szCs w:val="32"/>
        </w:rPr>
        <w:t>二、收入决算表</w:t>
      </w:r>
      <w:bookmarkEnd w:id="101"/>
    </w:p>
    <w:p w14:paraId="20D54137">
      <w:pPr>
        <w:pStyle w:val="26"/>
        <w:numPr>
          <w:ilvl w:val="0"/>
          <w:numId w:val="0"/>
        </w:numPr>
        <w:spacing w:line="600" w:lineRule="exact"/>
        <w:ind w:left="1360" w:leftChars="0" w:hanging="720" w:firstLineChars="0"/>
        <w:outlineLvl w:val="1"/>
        <w:rPr>
          <w:rFonts w:hint="eastAsia" w:ascii="Times New Roman" w:hAnsi="Times New Roman" w:eastAsia="黑体" w:cs="Times New Roman"/>
          <w:sz w:val="32"/>
          <w:szCs w:val="32"/>
        </w:rPr>
      </w:pPr>
      <w:bookmarkStart w:id="102" w:name="_Toc1389"/>
      <w:r>
        <w:rPr>
          <w:rFonts w:hint="eastAsia" w:ascii="Times New Roman" w:hAnsi="Times New Roman" w:eastAsia="黑体" w:cs="Times New Roman"/>
          <w:sz w:val="32"/>
          <w:szCs w:val="32"/>
        </w:rPr>
        <w:t>三、支出决算表</w:t>
      </w:r>
      <w:bookmarkEnd w:id="102"/>
      <w:bookmarkStart w:id="113" w:name="_GoBack"/>
      <w:bookmarkEnd w:id="113"/>
    </w:p>
    <w:p w14:paraId="2D471F26">
      <w:pPr>
        <w:pStyle w:val="26"/>
        <w:numPr>
          <w:ilvl w:val="0"/>
          <w:numId w:val="0"/>
        </w:numPr>
        <w:spacing w:line="600" w:lineRule="exact"/>
        <w:ind w:left="1360" w:leftChars="0" w:hanging="720" w:firstLineChars="0"/>
        <w:outlineLvl w:val="1"/>
        <w:rPr>
          <w:rFonts w:hint="eastAsia" w:ascii="Times New Roman" w:hAnsi="Times New Roman" w:eastAsia="黑体" w:cs="Times New Roman"/>
          <w:sz w:val="32"/>
          <w:szCs w:val="32"/>
        </w:rPr>
      </w:pPr>
      <w:bookmarkStart w:id="103" w:name="_Toc3411"/>
      <w:r>
        <w:rPr>
          <w:rFonts w:hint="eastAsia" w:ascii="Times New Roman" w:hAnsi="Times New Roman" w:eastAsia="黑体" w:cs="Times New Roman"/>
          <w:sz w:val="32"/>
          <w:szCs w:val="32"/>
        </w:rPr>
        <w:t>四、财政拨款收入支出决算总表</w:t>
      </w:r>
      <w:bookmarkEnd w:id="103"/>
    </w:p>
    <w:p w14:paraId="08C6E0F5">
      <w:pPr>
        <w:pStyle w:val="26"/>
        <w:numPr>
          <w:ilvl w:val="0"/>
          <w:numId w:val="0"/>
        </w:numPr>
        <w:spacing w:line="600" w:lineRule="exact"/>
        <w:ind w:left="1360" w:leftChars="0" w:hanging="720" w:firstLineChars="0"/>
        <w:outlineLvl w:val="1"/>
        <w:rPr>
          <w:rFonts w:hint="eastAsia" w:ascii="Times New Roman" w:hAnsi="Times New Roman" w:eastAsia="黑体" w:cs="Times New Roman"/>
          <w:sz w:val="32"/>
          <w:szCs w:val="32"/>
        </w:rPr>
      </w:pPr>
      <w:bookmarkStart w:id="104" w:name="_Toc17539"/>
      <w:r>
        <w:rPr>
          <w:rFonts w:hint="eastAsia" w:ascii="Times New Roman" w:hAnsi="Times New Roman" w:eastAsia="黑体" w:cs="Times New Roman"/>
          <w:sz w:val="32"/>
          <w:szCs w:val="32"/>
        </w:rPr>
        <w:t>五、财政拨款支出决算明细表</w:t>
      </w:r>
      <w:bookmarkEnd w:id="104"/>
    </w:p>
    <w:p w14:paraId="5FD6461C">
      <w:pPr>
        <w:pStyle w:val="26"/>
        <w:numPr>
          <w:ilvl w:val="0"/>
          <w:numId w:val="0"/>
        </w:numPr>
        <w:spacing w:line="600" w:lineRule="exact"/>
        <w:ind w:left="1360" w:leftChars="0" w:hanging="720" w:firstLineChars="0"/>
        <w:outlineLvl w:val="1"/>
        <w:rPr>
          <w:rFonts w:hint="eastAsia" w:ascii="Times New Roman" w:hAnsi="Times New Roman" w:eastAsia="黑体" w:cs="Times New Roman"/>
          <w:sz w:val="32"/>
          <w:szCs w:val="32"/>
        </w:rPr>
      </w:pPr>
      <w:bookmarkStart w:id="105" w:name="_Toc893"/>
      <w:r>
        <w:rPr>
          <w:rFonts w:hint="eastAsia" w:ascii="Times New Roman" w:hAnsi="Times New Roman" w:eastAsia="黑体" w:cs="Times New Roman"/>
          <w:sz w:val="32"/>
          <w:szCs w:val="32"/>
        </w:rPr>
        <w:t>六、一般公共预算财政拨款支出决算表</w:t>
      </w:r>
      <w:bookmarkEnd w:id="105"/>
    </w:p>
    <w:p w14:paraId="406C5EAD">
      <w:pPr>
        <w:pStyle w:val="26"/>
        <w:numPr>
          <w:ilvl w:val="0"/>
          <w:numId w:val="0"/>
        </w:numPr>
        <w:spacing w:line="600" w:lineRule="exact"/>
        <w:ind w:left="1360" w:leftChars="0" w:hanging="720" w:firstLineChars="0"/>
        <w:outlineLvl w:val="1"/>
        <w:rPr>
          <w:rFonts w:hint="eastAsia" w:ascii="Times New Roman" w:hAnsi="Times New Roman" w:eastAsia="黑体" w:cs="Times New Roman"/>
          <w:sz w:val="32"/>
          <w:szCs w:val="32"/>
        </w:rPr>
      </w:pPr>
      <w:bookmarkStart w:id="106" w:name="_Toc25957"/>
      <w:r>
        <w:rPr>
          <w:rFonts w:hint="eastAsia" w:ascii="Times New Roman" w:hAnsi="Times New Roman" w:eastAsia="黑体" w:cs="Times New Roman"/>
          <w:sz w:val="32"/>
          <w:szCs w:val="32"/>
        </w:rPr>
        <w:t>七、一般公共预算财政拨款支出决算明细表</w:t>
      </w:r>
      <w:bookmarkEnd w:id="106"/>
    </w:p>
    <w:p w14:paraId="3C40ED28">
      <w:pPr>
        <w:pStyle w:val="26"/>
        <w:numPr>
          <w:ilvl w:val="0"/>
          <w:numId w:val="0"/>
        </w:numPr>
        <w:spacing w:line="600" w:lineRule="exact"/>
        <w:ind w:left="1360" w:leftChars="0" w:hanging="720" w:firstLineChars="0"/>
        <w:outlineLvl w:val="1"/>
        <w:rPr>
          <w:rFonts w:hint="eastAsia" w:ascii="Times New Roman" w:hAnsi="Times New Roman" w:eastAsia="黑体" w:cs="Times New Roman"/>
          <w:sz w:val="32"/>
          <w:szCs w:val="32"/>
        </w:rPr>
      </w:pPr>
      <w:bookmarkStart w:id="107" w:name="_Toc15830"/>
      <w:r>
        <w:rPr>
          <w:rFonts w:hint="eastAsia" w:ascii="Times New Roman" w:hAnsi="Times New Roman" w:eastAsia="黑体" w:cs="Times New Roman"/>
          <w:sz w:val="32"/>
          <w:szCs w:val="32"/>
        </w:rPr>
        <w:t>八、一般公共预算财政拨款基本支出决算表</w:t>
      </w:r>
      <w:bookmarkEnd w:id="107"/>
    </w:p>
    <w:p w14:paraId="3A12AEF2">
      <w:pPr>
        <w:pStyle w:val="26"/>
        <w:numPr>
          <w:ilvl w:val="0"/>
          <w:numId w:val="0"/>
        </w:numPr>
        <w:spacing w:line="600" w:lineRule="exact"/>
        <w:ind w:left="1360" w:leftChars="0" w:hanging="720" w:firstLineChars="0"/>
        <w:outlineLvl w:val="1"/>
        <w:rPr>
          <w:rFonts w:hint="eastAsia" w:ascii="Times New Roman" w:hAnsi="Times New Roman" w:eastAsia="黑体" w:cs="Times New Roman"/>
          <w:sz w:val="32"/>
          <w:szCs w:val="32"/>
        </w:rPr>
      </w:pPr>
      <w:bookmarkStart w:id="108" w:name="_Toc27121"/>
      <w:r>
        <w:rPr>
          <w:rFonts w:hint="eastAsia" w:ascii="Times New Roman" w:hAnsi="Times New Roman" w:eastAsia="黑体" w:cs="Times New Roman"/>
          <w:sz w:val="32"/>
          <w:szCs w:val="32"/>
        </w:rPr>
        <w:t>九、一般公共预算财政拨款项目支出决算表</w:t>
      </w:r>
      <w:bookmarkEnd w:id="108"/>
    </w:p>
    <w:p w14:paraId="5DEBFC57">
      <w:pPr>
        <w:pStyle w:val="26"/>
        <w:numPr>
          <w:ilvl w:val="0"/>
          <w:numId w:val="0"/>
        </w:numPr>
        <w:spacing w:line="600" w:lineRule="exact"/>
        <w:ind w:left="1360" w:leftChars="0" w:hanging="720" w:firstLineChars="0"/>
        <w:outlineLvl w:val="1"/>
        <w:rPr>
          <w:rFonts w:hint="eastAsia" w:ascii="Times New Roman" w:hAnsi="Times New Roman" w:eastAsia="黑体" w:cs="Times New Roman"/>
          <w:sz w:val="32"/>
          <w:szCs w:val="32"/>
        </w:rPr>
      </w:pPr>
      <w:bookmarkStart w:id="109" w:name="_Toc30085"/>
      <w:r>
        <w:rPr>
          <w:rFonts w:hint="eastAsia" w:ascii="Times New Roman" w:hAnsi="Times New Roman" w:eastAsia="黑体" w:cs="Times New Roman"/>
          <w:sz w:val="32"/>
          <w:szCs w:val="32"/>
        </w:rPr>
        <w:t>十、政府性基金预算财政拨款收入支出决算表</w:t>
      </w:r>
      <w:bookmarkEnd w:id="109"/>
    </w:p>
    <w:p w14:paraId="6A4F1C42">
      <w:pPr>
        <w:pStyle w:val="26"/>
        <w:numPr>
          <w:ilvl w:val="0"/>
          <w:numId w:val="0"/>
        </w:numPr>
        <w:spacing w:line="600" w:lineRule="exact"/>
        <w:ind w:left="1360" w:leftChars="0" w:hanging="720" w:firstLineChars="0"/>
        <w:outlineLvl w:val="1"/>
        <w:rPr>
          <w:rFonts w:hint="eastAsia" w:ascii="Times New Roman" w:hAnsi="Times New Roman" w:eastAsia="黑体" w:cs="Times New Roman"/>
          <w:sz w:val="32"/>
          <w:szCs w:val="32"/>
        </w:rPr>
      </w:pPr>
      <w:bookmarkStart w:id="110" w:name="_Toc21131"/>
      <w:r>
        <w:rPr>
          <w:rFonts w:hint="eastAsia" w:ascii="Times New Roman" w:hAnsi="Times New Roman" w:eastAsia="黑体" w:cs="Times New Roman"/>
          <w:sz w:val="32"/>
          <w:szCs w:val="32"/>
        </w:rPr>
        <w:t>十一、国有资本经营预算财政拨款收入支出决算</w:t>
      </w:r>
      <w:bookmarkEnd w:id="110"/>
    </w:p>
    <w:p w14:paraId="61F19A2A">
      <w:pPr>
        <w:pStyle w:val="26"/>
        <w:numPr>
          <w:ilvl w:val="0"/>
          <w:numId w:val="0"/>
        </w:numPr>
        <w:spacing w:line="600" w:lineRule="exact"/>
        <w:ind w:left="1360" w:leftChars="0" w:hanging="720" w:firstLineChars="0"/>
        <w:outlineLvl w:val="1"/>
        <w:rPr>
          <w:rFonts w:hint="eastAsia" w:ascii="Times New Roman" w:hAnsi="Times New Roman" w:eastAsia="黑体" w:cs="Times New Roman"/>
          <w:sz w:val="32"/>
          <w:szCs w:val="32"/>
        </w:rPr>
      </w:pPr>
      <w:bookmarkStart w:id="111" w:name="_Toc28136"/>
      <w:r>
        <w:rPr>
          <w:rFonts w:hint="eastAsia" w:ascii="Times New Roman" w:hAnsi="Times New Roman" w:eastAsia="黑体" w:cs="Times New Roman"/>
          <w:sz w:val="32"/>
          <w:szCs w:val="32"/>
        </w:rPr>
        <w:t>十二、国有资本经营预算财政拨款支出决算表</w:t>
      </w:r>
      <w:bookmarkEnd w:id="111"/>
    </w:p>
    <w:p w14:paraId="6B688058">
      <w:pPr>
        <w:pStyle w:val="26"/>
        <w:numPr>
          <w:ilvl w:val="0"/>
          <w:numId w:val="0"/>
        </w:numPr>
        <w:spacing w:line="600" w:lineRule="exact"/>
        <w:ind w:left="1360" w:leftChars="0" w:hanging="720" w:firstLineChars="0"/>
        <w:outlineLvl w:val="1"/>
        <w:rPr>
          <w:rFonts w:hint="eastAsia" w:ascii="Times New Roman" w:hAnsi="Times New Roman" w:eastAsia="黑体" w:cs="Times New Roman"/>
          <w:sz w:val="32"/>
          <w:szCs w:val="32"/>
        </w:rPr>
      </w:pPr>
      <w:bookmarkStart w:id="112" w:name="_Toc12149"/>
      <w:r>
        <w:rPr>
          <w:rFonts w:hint="eastAsia" w:ascii="Times New Roman" w:hAnsi="Times New Roman" w:eastAsia="黑体" w:cs="Times New Roman"/>
          <w:sz w:val="32"/>
          <w:szCs w:val="32"/>
        </w:rPr>
        <w:t>十三、财政拨款“三公”经费支出决算表</w:t>
      </w:r>
      <w:bookmarkEnd w:id="112"/>
    </w:p>
    <w:sectPr>
      <w:footerReference r:id="rId6" w:type="first"/>
      <w:footerReference r:id="rId5"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19685">
    <w:pPr>
      <w:pStyle w:val="10"/>
      <w:numPr>
        <w:ilvl w:val="0"/>
        <w:numId w:val="0"/>
      </w:numPr>
      <w:ind w:leftChars="0"/>
      <w:jc w:val="both"/>
    </w:pPr>
  </w:p>
  <w:p w14:paraId="5508A4A4">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E9ED5">
    <w:pPr>
      <w:pStyle w:val="10"/>
      <w:numPr>
        <w:ilvl w:val="0"/>
        <w:numId w:val="0"/>
      </w:numPr>
      <w:ind w:leftChars="0"/>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3C57B0">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D3C57B0">
                    <w:pPr>
                      <w:pStyle w:val="10"/>
                    </w:pPr>
                    <w:r>
                      <w:fldChar w:fldCharType="begin"/>
                    </w:r>
                    <w:r>
                      <w:instrText xml:space="preserve"> PAGE  \* MERGEFORMAT </w:instrText>
                    </w:r>
                    <w:r>
                      <w:fldChar w:fldCharType="separate"/>
                    </w:r>
                    <w:r>
                      <w:t>2</w:t>
                    </w:r>
                    <w:r>
                      <w:fldChar w:fldCharType="end"/>
                    </w:r>
                  </w:p>
                </w:txbxContent>
              </v:textbox>
            </v:shape>
          </w:pict>
        </mc:Fallback>
      </mc:AlternateContent>
    </w:r>
  </w:p>
  <w:p w14:paraId="14F48AC7">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5B303">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C95160">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AC95160">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FD18F">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3B40B8E7"/>
    <w:multiLevelType w:val="singleLevel"/>
    <w:tmpl w:val="3B40B8E7"/>
    <w:lvl w:ilvl="0" w:tentative="0">
      <w:start w:val="4"/>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hNDZkOWYyYjlkYTJkM2Y2ZjM2MjA3NGI4ZWM5OGQifQ=="/>
  </w:docVars>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C48F2"/>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B40B3"/>
    <w:rsid w:val="002C1468"/>
    <w:rsid w:val="002C52CE"/>
    <w:rsid w:val="002D6D05"/>
    <w:rsid w:val="002F1818"/>
    <w:rsid w:val="002F5109"/>
    <w:rsid w:val="002F567B"/>
    <w:rsid w:val="003216A9"/>
    <w:rsid w:val="00335A74"/>
    <w:rsid w:val="0036561B"/>
    <w:rsid w:val="0037013F"/>
    <w:rsid w:val="00380C92"/>
    <w:rsid w:val="003817B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1383E"/>
    <w:rsid w:val="00520DA0"/>
    <w:rsid w:val="005664BB"/>
    <w:rsid w:val="00566606"/>
    <w:rsid w:val="00566FFA"/>
    <w:rsid w:val="0057481D"/>
    <w:rsid w:val="0058486E"/>
    <w:rsid w:val="00585B33"/>
    <w:rsid w:val="0059014D"/>
    <w:rsid w:val="0059605E"/>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44D"/>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6328"/>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95A04"/>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D26D9"/>
    <w:rsid w:val="008E1DE7"/>
    <w:rsid w:val="008E2508"/>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2460"/>
    <w:rsid w:val="00A733B2"/>
    <w:rsid w:val="00A741C2"/>
    <w:rsid w:val="00A74A9E"/>
    <w:rsid w:val="00A91760"/>
    <w:rsid w:val="00A939AE"/>
    <w:rsid w:val="00A93B00"/>
    <w:rsid w:val="00A93C21"/>
    <w:rsid w:val="00AB64C9"/>
    <w:rsid w:val="00AC2E50"/>
    <w:rsid w:val="00AC3C6A"/>
    <w:rsid w:val="00AC5DF8"/>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C300C"/>
    <w:rsid w:val="00ED1B63"/>
    <w:rsid w:val="00ED3C1F"/>
    <w:rsid w:val="00ED4085"/>
    <w:rsid w:val="00ED420E"/>
    <w:rsid w:val="00ED6FBE"/>
    <w:rsid w:val="00EE04AA"/>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5975B8"/>
    <w:rsid w:val="02FEBE30"/>
    <w:rsid w:val="036F8141"/>
    <w:rsid w:val="04DC643E"/>
    <w:rsid w:val="066E0107"/>
    <w:rsid w:val="07996F6E"/>
    <w:rsid w:val="07DFD8BA"/>
    <w:rsid w:val="0A2032A3"/>
    <w:rsid w:val="0D35B1ED"/>
    <w:rsid w:val="0DE73234"/>
    <w:rsid w:val="0E7ED1F5"/>
    <w:rsid w:val="0F98263C"/>
    <w:rsid w:val="101860EC"/>
    <w:rsid w:val="10C055FF"/>
    <w:rsid w:val="118107EC"/>
    <w:rsid w:val="13D50BC4"/>
    <w:rsid w:val="13F5616D"/>
    <w:rsid w:val="146D7023"/>
    <w:rsid w:val="150D43F1"/>
    <w:rsid w:val="160B59A5"/>
    <w:rsid w:val="16BB723D"/>
    <w:rsid w:val="17F9714D"/>
    <w:rsid w:val="1918F934"/>
    <w:rsid w:val="1BE8440E"/>
    <w:rsid w:val="1C723EDD"/>
    <w:rsid w:val="1D155CEE"/>
    <w:rsid w:val="1DFBC4B3"/>
    <w:rsid w:val="1E740ACF"/>
    <w:rsid w:val="1F19C781"/>
    <w:rsid w:val="1F33FCE5"/>
    <w:rsid w:val="1F7F7398"/>
    <w:rsid w:val="1FD2DB6F"/>
    <w:rsid w:val="1FF35744"/>
    <w:rsid w:val="1FF6BC77"/>
    <w:rsid w:val="1FF9236D"/>
    <w:rsid w:val="2333840E"/>
    <w:rsid w:val="23860B96"/>
    <w:rsid w:val="240371BF"/>
    <w:rsid w:val="257C638F"/>
    <w:rsid w:val="25D970D5"/>
    <w:rsid w:val="29F0021D"/>
    <w:rsid w:val="29FD04D3"/>
    <w:rsid w:val="2BFF7BC6"/>
    <w:rsid w:val="2C8A61B5"/>
    <w:rsid w:val="2CD59C95"/>
    <w:rsid w:val="2DF04E50"/>
    <w:rsid w:val="2E1132CE"/>
    <w:rsid w:val="2EFD05E5"/>
    <w:rsid w:val="2F040D46"/>
    <w:rsid w:val="2F4F95CE"/>
    <w:rsid w:val="2FACAFDD"/>
    <w:rsid w:val="2FAE5751"/>
    <w:rsid w:val="2FB1A395"/>
    <w:rsid w:val="2FCF0B76"/>
    <w:rsid w:val="2FD9A7D8"/>
    <w:rsid w:val="319F7F4E"/>
    <w:rsid w:val="3304709D"/>
    <w:rsid w:val="36AA5135"/>
    <w:rsid w:val="36BE0DA7"/>
    <w:rsid w:val="376B6AA6"/>
    <w:rsid w:val="376D39B2"/>
    <w:rsid w:val="37E16F03"/>
    <w:rsid w:val="37F53A3B"/>
    <w:rsid w:val="38D469F0"/>
    <w:rsid w:val="38F78389"/>
    <w:rsid w:val="397BAF1F"/>
    <w:rsid w:val="39E7B272"/>
    <w:rsid w:val="39F7642F"/>
    <w:rsid w:val="39FF7B37"/>
    <w:rsid w:val="3AB79AF3"/>
    <w:rsid w:val="3AFDCB77"/>
    <w:rsid w:val="3B7EF35A"/>
    <w:rsid w:val="3B9FDB6C"/>
    <w:rsid w:val="3BF5BC2F"/>
    <w:rsid w:val="3BF7C23A"/>
    <w:rsid w:val="3BFF223E"/>
    <w:rsid w:val="3C6EC0A1"/>
    <w:rsid w:val="3CDB0824"/>
    <w:rsid w:val="3CEBA265"/>
    <w:rsid w:val="3D6A7F9F"/>
    <w:rsid w:val="3D7E7F4D"/>
    <w:rsid w:val="3D98207C"/>
    <w:rsid w:val="3D9CF30A"/>
    <w:rsid w:val="3DFF5A3E"/>
    <w:rsid w:val="3E78745D"/>
    <w:rsid w:val="3EA52222"/>
    <w:rsid w:val="3EEE77E9"/>
    <w:rsid w:val="3F394AF5"/>
    <w:rsid w:val="3FBE5714"/>
    <w:rsid w:val="3FDD8615"/>
    <w:rsid w:val="3FDFB2FF"/>
    <w:rsid w:val="3FF4CAE0"/>
    <w:rsid w:val="3FF75FAF"/>
    <w:rsid w:val="3FF7B227"/>
    <w:rsid w:val="44E268DA"/>
    <w:rsid w:val="457F4F6B"/>
    <w:rsid w:val="4737FB58"/>
    <w:rsid w:val="47ECCB02"/>
    <w:rsid w:val="47FA6A3F"/>
    <w:rsid w:val="49D7AE48"/>
    <w:rsid w:val="4A3F6C7E"/>
    <w:rsid w:val="4A627F82"/>
    <w:rsid w:val="4B0E749A"/>
    <w:rsid w:val="4B4F25DA"/>
    <w:rsid w:val="4BBB4781"/>
    <w:rsid w:val="4BD709A5"/>
    <w:rsid w:val="4BDD9BFF"/>
    <w:rsid w:val="4BE068DB"/>
    <w:rsid w:val="4D577224"/>
    <w:rsid w:val="4DBF1CEB"/>
    <w:rsid w:val="4DBF6A6B"/>
    <w:rsid w:val="4DF6A672"/>
    <w:rsid w:val="4EAB630A"/>
    <w:rsid w:val="4ECE2238"/>
    <w:rsid w:val="4F455F5A"/>
    <w:rsid w:val="4F7EA413"/>
    <w:rsid w:val="4FAB812F"/>
    <w:rsid w:val="4FE9BD67"/>
    <w:rsid w:val="4FEE4C07"/>
    <w:rsid w:val="4FFB052F"/>
    <w:rsid w:val="537E6D0A"/>
    <w:rsid w:val="53AB6B88"/>
    <w:rsid w:val="53F74C96"/>
    <w:rsid w:val="5583522D"/>
    <w:rsid w:val="57BD3DD4"/>
    <w:rsid w:val="57F9CD1E"/>
    <w:rsid w:val="5AF92295"/>
    <w:rsid w:val="5AF9D8E9"/>
    <w:rsid w:val="5BDD38BD"/>
    <w:rsid w:val="5BDD79E6"/>
    <w:rsid w:val="5BEFC772"/>
    <w:rsid w:val="5BFF5DFC"/>
    <w:rsid w:val="5CD71FC4"/>
    <w:rsid w:val="5D1F11B5"/>
    <w:rsid w:val="5D3647F9"/>
    <w:rsid w:val="5DA644D4"/>
    <w:rsid w:val="5DAE1B18"/>
    <w:rsid w:val="5DE7D9E5"/>
    <w:rsid w:val="5EB629D1"/>
    <w:rsid w:val="5ECEC941"/>
    <w:rsid w:val="5EFF8FC6"/>
    <w:rsid w:val="5F5BA39A"/>
    <w:rsid w:val="5F7D3B79"/>
    <w:rsid w:val="5F7F4610"/>
    <w:rsid w:val="5FBF9FF3"/>
    <w:rsid w:val="5FCD4E2C"/>
    <w:rsid w:val="5FEF394A"/>
    <w:rsid w:val="5FF67715"/>
    <w:rsid w:val="61CA71D5"/>
    <w:rsid w:val="627EE9EA"/>
    <w:rsid w:val="63B23AA5"/>
    <w:rsid w:val="647F5392"/>
    <w:rsid w:val="64E322C4"/>
    <w:rsid w:val="65FB93B9"/>
    <w:rsid w:val="6633C463"/>
    <w:rsid w:val="67955879"/>
    <w:rsid w:val="67D55B77"/>
    <w:rsid w:val="67EE7F84"/>
    <w:rsid w:val="686F5F53"/>
    <w:rsid w:val="6AFFCEAF"/>
    <w:rsid w:val="6B96E9E6"/>
    <w:rsid w:val="6BCE57B5"/>
    <w:rsid w:val="6BFEA4DB"/>
    <w:rsid w:val="6BFFB662"/>
    <w:rsid w:val="6C4A05C8"/>
    <w:rsid w:val="6CFF4FB8"/>
    <w:rsid w:val="6D6BD6E0"/>
    <w:rsid w:val="6D77E73C"/>
    <w:rsid w:val="6DBF5E93"/>
    <w:rsid w:val="6DFF077E"/>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12A28F1"/>
    <w:rsid w:val="715C0E4B"/>
    <w:rsid w:val="71FFD401"/>
    <w:rsid w:val="72233669"/>
    <w:rsid w:val="72734D90"/>
    <w:rsid w:val="7332FE48"/>
    <w:rsid w:val="73AD73D5"/>
    <w:rsid w:val="73B6EB34"/>
    <w:rsid w:val="73FA497D"/>
    <w:rsid w:val="744731E5"/>
    <w:rsid w:val="74BBD01D"/>
    <w:rsid w:val="74ED5379"/>
    <w:rsid w:val="75DEEEC2"/>
    <w:rsid w:val="767F479D"/>
    <w:rsid w:val="76E3355F"/>
    <w:rsid w:val="76F742AF"/>
    <w:rsid w:val="76F7BE7D"/>
    <w:rsid w:val="76FF5125"/>
    <w:rsid w:val="773570D3"/>
    <w:rsid w:val="77597F31"/>
    <w:rsid w:val="776F6FFA"/>
    <w:rsid w:val="7777A522"/>
    <w:rsid w:val="77858688"/>
    <w:rsid w:val="778769C8"/>
    <w:rsid w:val="77CB741A"/>
    <w:rsid w:val="77D7BE3A"/>
    <w:rsid w:val="77DC22F5"/>
    <w:rsid w:val="78F16688"/>
    <w:rsid w:val="797E3A6C"/>
    <w:rsid w:val="79CF70E2"/>
    <w:rsid w:val="79D7FD79"/>
    <w:rsid w:val="79E75806"/>
    <w:rsid w:val="79EE5BA4"/>
    <w:rsid w:val="7A641148"/>
    <w:rsid w:val="7A6F8BF5"/>
    <w:rsid w:val="7A894339"/>
    <w:rsid w:val="7ACF82B5"/>
    <w:rsid w:val="7AFF28C9"/>
    <w:rsid w:val="7AFF72A0"/>
    <w:rsid w:val="7AFF7572"/>
    <w:rsid w:val="7B6C7DFB"/>
    <w:rsid w:val="7B7D76A7"/>
    <w:rsid w:val="7BAE2FE2"/>
    <w:rsid w:val="7BAF6951"/>
    <w:rsid w:val="7BBFBED0"/>
    <w:rsid w:val="7BC3E394"/>
    <w:rsid w:val="7BF3FE4C"/>
    <w:rsid w:val="7BFB5035"/>
    <w:rsid w:val="7BFDE17E"/>
    <w:rsid w:val="7CBFC87B"/>
    <w:rsid w:val="7CF77DF3"/>
    <w:rsid w:val="7CFE0F48"/>
    <w:rsid w:val="7D3DE31C"/>
    <w:rsid w:val="7D7EC23E"/>
    <w:rsid w:val="7D7F8A13"/>
    <w:rsid w:val="7DBBCB01"/>
    <w:rsid w:val="7DC765D0"/>
    <w:rsid w:val="7DDB0EE0"/>
    <w:rsid w:val="7DFF51D8"/>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4"/>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0"/>
    <w:semiHidden/>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character" w:customStyle="1" w:styleId="19">
    <w:name w:val="Header Char"/>
    <w:basedOn w:val="16"/>
    <w:semiHidden/>
    <w:qFormat/>
    <w:uiPriority w:val="99"/>
    <w:rPr>
      <w:rFonts w:ascii="Times New Roman" w:hAnsi="Times New Roman"/>
      <w:sz w:val="18"/>
      <w:szCs w:val="18"/>
    </w:rPr>
  </w:style>
  <w:style w:type="character" w:customStyle="1" w:styleId="20">
    <w:name w:val="页眉 Char"/>
    <w:link w:val="11"/>
    <w:semiHidden/>
    <w:qFormat/>
    <w:locked/>
    <w:uiPriority w:val="99"/>
    <w:rPr>
      <w:sz w:val="18"/>
    </w:rPr>
  </w:style>
  <w:style w:type="character" w:customStyle="1" w:styleId="21">
    <w:name w:val="Footer Char"/>
    <w:basedOn w:val="16"/>
    <w:semiHidden/>
    <w:qFormat/>
    <w:uiPriority w:val="99"/>
    <w:rPr>
      <w:rFonts w:ascii="Times New Roman" w:hAnsi="Times New Roman"/>
      <w:sz w:val="18"/>
      <w:szCs w:val="18"/>
    </w:rPr>
  </w:style>
  <w:style w:type="character" w:customStyle="1" w:styleId="22">
    <w:name w:val="页脚 Char"/>
    <w:link w:val="10"/>
    <w:qFormat/>
    <w:locked/>
    <w:uiPriority w:val="99"/>
    <w:rPr>
      <w:sz w:val="18"/>
    </w:rPr>
  </w:style>
  <w:style w:type="character" w:customStyle="1" w:styleId="23">
    <w:name w:val="Body Text Char"/>
    <w:basedOn w:val="16"/>
    <w:semiHidden/>
    <w:qFormat/>
    <w:uiPriority w:val="99"/>
    <w:rPr>
      <w:rFonts w:ascii="Times New Roman" w:hAnsi="Times New Roman"/>
      <w:szCs w:val="24"/>
    </w:rPr>
  </w:style>
  <w:style w:type="character" w:customStyle="1" w:styleId="24">
    <w:name w:val="正文文本 Char"/>
    <w:link w:val="6"/>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6"/>
    <w:link w:val="3"/>
    <w:qFormat/>
    <w:uiPriority w:val="9"/>
    <w:rPr>
      <w:rFonts w:ascii="Times New Roman" w:hAnsi="Times New Roman"/>
      <w:b/>
      <w:bCs/>
      <w:kern w:val="44"/>
      <w:sz w:val="44"/>
      <w:szCs w:val="44"/>
    </w:rPr>
  </w:style>
  <w:style w:type="character" w:customStyle="1" w:styleId="28">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6"/>
    <w:link w:val="9"/>
    <w:semiHidden/>
    <w:qFormat/>
    <w:uiPriority w:val="99"/>
    <w:rPr>
      <w:rFonts w:ascii="Times New Roman" w:hAnsi="Times New Roman"/>
      <w:kern w:val="2"/>
      <w:sz w:val="18"/>
      <w:szCs w:val="18"/>
    </w:rPr>
  </w:style>
  <w:style w:type="character" w:customStyle="1" w:styleId="31">
    <w:name w:val="标题 3 Char"/>
    <w:basedOn w:val="16"/>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四号正文"/>
    <w:basedOn w:val="1"/>
    <w:qFormat/>
    <w:uiPriority w:val="0"/>
    <w:pPr>
      <w:spacing w:line="360" w:lineRule="auto"/>
    </w:pPr>
    <w:rPr>
      <w:rFonts w:ascii="??" w:hAnsi="??"/>
      <w:color w:val="000000"/>
      <w:kern w:val="0"/>
      <w:sz w:val="28"/>
      <w:szCs w:val="21"/>
      <w:lang w:val="zh-CN"/>
    </w:rPr>
  </w:style>
  <w:style w:type="paragraph" w:customStyle="1" w:styleId="34">
    <w:name w:val="WPSOffice手动目录 1"/>
    <w:qFormat/>
    <w:uiPriority w:val="0"/>
    <w:pPr>
      <w:ind w:leftChars="0"/>
    </w:pPr>
    <w:rPr>
      <w:rFonts w:asciiTheme="minorHAnsi" w:hAnsiTheme="minorHAnsi" w:eastAsiaTheme="minorEastAsia" w:cstheme="minorBidi"/>
      <w:sz w:val="20"/>
      <w:szCs w:val="20"/>
    </w:rPr>
  </w:style>
  <w:style w:type="paragraph" w:customStyle="1" w:styleId="35">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6.xml"/><Relationship Id="rId1" Type="http://schemas.openxmlformats.org/officeDocument/2006/relationships/package" Target="../embeddings/Workbook6.xlsx"/></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2" Type="http://schemas.openxmlformats.org/officeDocument/2006/relationships/themeOverride" Target="../theme/themeOverrid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15019400664805"/>
          <c:y val="0.0466984390109131"/>
          <c:w val="0.763145533532446"/>
          <c:h val="0.84458829081696"/>
        </c:manualLayout>
      </c:layout>
      <c:barChart>
        <c:barDir val="col"/>
        <c:grouping val="clustered"/>
        <c:varyColors val="0"/>
        <c:ser>
          <c:idx val="0"/>
          <c:order val="0"/>
          <c:tx>
            <c:strRef>
              <c:f>Sheet1!$B$1</c:f>
              <c:strCache>
                <c:ptCount val="1"/>
                <c:pt idx="0">
                  <c:v>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2"/>
                <c:pt idx="0">
                  <c:v>2022年</c:v>
                </c:pt>
                <c:pt idx="1">
                  <c:v>2022年</c:v>
                </c:pt>
              </c:strCache>
            </c:strRef>
          </c:cat>
          <c:val>
            <c:numRef>
              <c:f>Sheet1!$B$2:$B$5</c:f>
              <c:numCache>
                <c:formatCode>General</c:formatCode>
                <c:ptCount val="4"/>
                <c:pt idx="0">
                  <c:v>20.43</c:v>
                </c:pt>
                <c:pt idx="1">
                  <c:v>10.53</c:v>
                </c:pt>
              </c:numCache>
            </c:numRef>
          </c:val>
        </c:ser>
        <c:ser>
          <c:idx val="1"/>
          <c:order val="1"/>
          <c:tx>
            <c:strRef>
              <c:f>Sheet1!$C$1</c:f>
              <c:strCache>
                <c:ptCount val="1"/>
                <c:pt idx="0">
                  <c:v>支出</c:v>
                </c:pt>
              </c:strCache>
            </c:strRef>
          </c:tx>
          <c:invertIfNegative val="0"/>
          <c:dLbls>
            <c:dLbl>
              <c:idx val="0"/>
              <c:layout>
                <c:manualLayout>
                  <c:x val="0.0348338692390139"/>
                  <c:y val="0.008771929824561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67627921107932"/>
                  <c:y val="-0.004385964912280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2"/>
                <c:pt idx="0">
                  <c:v>2022年</c:v>
                </c:pt>
                <c:pt idx="1">
                  <c:v>2022年</c:v>
                </c:pt>
              </c:strCache>
            </c:strRef>
          </c:cat>
          <c:val>
            <c:numRef>
              <c:f>Sheet1!$C$2:$C$5</c:f>
              <c:numCache>
                <c:formatCode>General</c:formatCode>
                <c:ptCount val="4"/>
                <c:pt idx="0">
                  <c:v>20.43</c:v>
                </c:pt>
                <c:pt idx="1">
                  <c:v>10.53</c:v>
                </c:pt>
              </c:numCache>
            </c:numRef>
          </c:val>
        </c:ser>
        <c:dLbls>
          <c:showLegendKey val="0"/>
          <c:showVal val="0"/>
          <c:showCatName val="0"/>
          <c:showSerName val="0"/>
          <c:showPercent val="0"/>
          <c:showBubbleSize val="0"/>
        </c:dLbls>
        <c:gapWidth val="150"/>
        <c:axId val="267369472"/>
        <c:axId val="267582848"/>
      </c:barChart>
      <c:catAx>
        <c:axId val="26736947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67582848"/>
        <c:crosses val="autoZero"/>
        <c:auto val="1"/>
        <c:lblAlgn val="ctr"/>
        <c:lblOffset val="100"/>
        <c:noMultiLvlLbl val="0"/>
      </c:catAx>
      <c:valAx>
        <c:axId val="26758284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6736947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50e3034f-9e86-4fa3-91f6-d8b3ce38a481}"/>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62873408887474"/>
          <c:y val="0.0123839009287926"/>
        </c:manualLayout>
      </c:layout>
      <c:overlay val="0"/>
      <c:txPr>
        <a:bodyPr rot="0" spcFirstLastPara="0" vertOverflow="ellipsis" vert="horz" wrap="square" anchor="ctr" anchorCtr="1"/>
        <a:lstStyle/>
        <a:p>
          <a:pPr algn="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Pt>
            <c:idx val="2"/>
            <c:bubble3D val="0"/>
          </c:dPt>
          <c:dPt>
            <c:idx val="3"/>
            <c:bubble3D val="0"/>
          </c:dPt>
          <c:dPt>
            <c:idx val="4"/>
            <c:bubble3D val="0"/>
          </c:dPt>
          <c:dLbls>
            <c:dLbl>
              <c:idx val="1"/>
              <c:layout>
                <c:manualLayout>
                  <c:x val="-0.0282239528173013"/>
                  <c:y val="-0.0229322029190796"/>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653827262820218"/>
                  <c:y val="0.0211595078392979"/>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320831606575494"/>
                  <c:y val="-0.0108069824605258"/>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759428097803564"/>
                  <c:y val="0.0068297018428252"/>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Sheet1!$A$2:$A$6</c:f>
              <c:strCache>
                <c:ptCount val="5"/>
                <c:pt idx="0">
                  <c:v>一般公共预算财政拨款收入（20.43万元）</c:v>
                </c:pt>
                <c:pt idx="1">
                  <c:v>政府性基金预算财政拨款收入（0万元）</c:v>
                </c:pt>
                <c:pt idx="2">
                  <c:v>上级补助收入（0万元）</c:v>
                </c:pt>
                <c:pt idx="3">
                  <c:v>事业收入（0万元）</c:v>
                </c:pt>
                <c:pt idx="4">
                  <c:v>其他收入（0万元）</c:v>
                </c:pt>
              </c:strCache>
            </c:strRef>
          </c:cat>
          <c:val>
            <c:numRef>
              <c:f>Sheet1!$B$2:$B$6</c:f>
              <c:numCache>
                <c:formatCode>0%</c:formatCode>
                <c:ptCount val="5"/>
                <c:pt idx="0">
                  <c:v>1</c:v>
                </c:pt>
                <c:pt idx="1">
                  <c:v>0</c:v>
                </c:pt>
                <c:pt idx="2">
                  <c:v>0</c:v>
                </c:pt>
                <c:pt idx="3">
                  <c:v>0</c:v>
                </c:pt>
                <c:pt idx="4">
                  <c:v>0</c:v>
                </c:pt>
              </c:numCache>
            </c:numRef>
          </c:val>
        </c:ser>
        <c:dLbls>
          <c:showLegendKey val="0"/>
          <c:showVal val="1"/>
          <c:showCatName val="0"/>
          <c:showSerName val="0"/>
          <c:showPercent val="0"/>
          <c:showBubbleSize val="0"/>
          <c:showLeaderLines val="1"/>
        </c:dLbls>
        <c:firstSliceAng val="0"/>
      </c:pieChart>
    </c:plotArea>
    <c:legend>
      <c:legendPos val="r"/>
      <c:legendEntry>
        <c:idx val="4"/>
        <c:delete val="1"/>
      </c:legendEntry>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f984f80b-505b-44ee-aa35-65d721123fe6}"/>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63351793883939"/>
          <c:y val="0"/>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基本支出（20.43万元）</c:v>
                </c:pt>
                <c:pt idx="1">
                  <c:v>项目支出（0万元）</c:v>
                </c:pt>
              </c:strCache>
            </c:strRef>
          </c:cat>
          <c:val>
            <c:numRef>
              <c:f>Sheet1!$B$2:$B$3</c:f>
              <c:numCache>
                <c:formatCode>0.00%</c:formatCode>
                <c:ptCount val="2"/>
                <c:pt idx="0">
                  <c:v>1</c:v>
                </c:pt>
                <c:pt idx="1">
                  <c:v>0</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d9d82b6b-e962-455e-9c36-ab13f20c5373}"/>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财政拨款收入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Sheet1!$B$2:$B$3</c:f>
              <c:numCache>
                <c:formatCode>General</c:formatCode>
                <c:ptCount val="2"/>
                <c:pt idx="0">
                  <c:v>20.43</c:v>
                </c:pt>
                <c:pt idx="1">
                  <c:v>10.53</c:v>
                </c:pt>
              </c:numCache>
            </c:numRef>
          </c:val>
        </c:ser>
        <c:ser>
          <c:idx val="1"/>
          <c:order val="1"/>
          <c:tx>
            <c:strRef>
              <c:f>Sheet1!$C$1</c:f>
              <c:strCache>
                <c:ptCount val="1"/>
                <c:pt idx="0">
                  <c:v>财政拨款支出</c:v>
                </c:pt>
              </c:strCache>
            </c:strRef>
          </c:tx>
          <c:invertIfNegative val="0"/>
          <c:dLbls>
            <c:dLbl>
              <c:idx val="1"/>
              <c:layout>
                <c:manualLayout>
                  <c:x val="0.00479835277031498"/>
                  <c:y val="7.80088247483001e-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Sheet1!$C$2:$C$3</c:f>
              <c:numCache>
                <c:formatCode>General</c:formatCode>
                <c:ptCount val="2"/>
                <c:pt idx="0">
                  <c:v>20.43</c:v>
                </c:pt>
                <c:pt idx="1">
                  <c:v>10.53</c:v>
                </c:pt>
              </c:numCache>
            </c:numRef>
          </c:val>
        </c:ser>
        <c:dLbls>
          <c:showLegendKey val="0"/>
          <c:showVal val="1"/>
          <c:showCatName val="0"/>
          <c:showSerName val="0"/>
          <c:showPercent val="0"/>
          <c:showBubbleSize val="0"/>
        </c:dLbls>
        <c:gapWidth val="150"/>
        <c:axId val="281643264"/>
        <c:axId val="328953856"/>
      </c:barChart>
      <c:catAx>
        <c:axId val="28164326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28953856"/>
        <c:crosses val="autoZero"/>
        <c:auto val="1"/>
        <c:lblAlgn val="ctr"/>
        <c:lblOffset val="100"/>
        <c:noMultiLvlLbl val="0"/>
      </c:catAx>
      <c:valAx>
        <c:axId val="32895385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8164326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5bfe7c5-00d5-415a-a0bc-655a3c11e264}"/>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752468594966092"/>
          <c:y val="0.0123839009287926"/>
        </c:manualLayout>
      </c:layout>
      <c:overlay val="0"/>
      <c:txPr>
        <a:bodyPr rot="0" spcFirstLastPara="0" vertOverflow="ellipsis" vert="horz" wrap="square" anchor="ctr" anchorCtr="1"/>
        <a:lstStyle/>
        <a:p>
          <a:pPr algn="r">
            <a:defRPr lang="zh-CN" sz="10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单位：万元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Sheet1!$B$2:$B$3</c:f>
              <c:numCache>
                <c:formatCode>General</c:formatCode>
                <c:ptCount val="2"/>
                <c:pt idx="0">
                  <c:v>20.43</c:v>
                </c:pt>
                <c:pt idx="1">
                  <c:v>10.53</c:v>
                </c:pt>
              </c:numCache>
            </c:numRef>
          </c:val>
        </c:ser>
        <c:dLbls>
          <c:showLegendKey val="0"/>
          <c:showVal val="0"/>
          <c:showCatName val="0"/>
          <c:showSerName val="0"/>
          <c:showPercent val="0"/>
          <c:showBubbleSize val="0"/>
        </c:dLbls>
        <c:gapWidth val="150"/>
        <c:axId val="329674752"/>
        <c:axId val="329676288"/>
      </c:barChart>
      <c:catAx>
        <c:axId val="32967475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29676288"/>
        <c:crosses val="autoZero"/>
        <c:auto val="1"/>
        <c:lblAlgn val="ctr"/>
        <c:lblOffset val="100"/>
        <c:noMultiLvlLbl val="0"/>
      </c:catAx>
      <c:valAx>
        <c:axId val="32967628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329674752"/>
        <c:crosses val="autoZero"/>
        <c:crossBetween val="between"/>
      </c:valAx>
    </c:plotArea>
    <c:plotVisOnly val="1"/>
    <c:dispBlanksAs val="gap"/>
    <c:showDLblsOverMax val="0"/>
    <c:extLst>
      <c:ext uri="{0b15fc19-7d7d-44ad-8c2d-2c3a37ce22c3}">
        <chartProps xmlns="https://web.wps.cn/et/2018/main" chartId="{fa740e97-4965-4a2c-846f-f856ddf68252}"/>
      </c:ext>
    </c:extLst>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lgn="just">
              <a:defRPr lang="zh-CN" sz="1200" b="1" i="0" u="none" strike="noStrike" kern="1200" baseline="0">
                <a:solidFill>
                  <a:schemeClr val="tx1"/>
                </a:solidFill>
                <a:latin typeface="+mn-lt"/>
                <a:ea typeface="+mn-ea"/>
                <a:cs typeface="+mn-cs"/>
              </a:defRPr>
            </a:pPr>
            <a:r>
              <a:rPr lang="zh-CN" altLang="en-US" sz="1200"/>
              <a:t>单位：</a:t>
            </a:r>
            <a:r>
              <a:rPr lang="zh-CN" altLang="en-US" sz="1000"/>
              <a:t>万元</a:t>
            </a:r>
            <a:endParaRPr lang="zh-CN" altLang="en-US" sz="1000"/>
          </a:p>
        </c:rich>
      </c:tx>
      <c:layout>
        <c:manualLayout>
          <c:xMode val="edge"/>
          <c:yMode val="edge"/>
          <c:x val="0.747592007295741"/>
          <c:y val="0.0123839009287926"/>
        </c:manualLayout>
      </c:layout>
      <c:overlay val="0"/>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教育支出  18.92万元</c:v>
                </c:pt>
                <c:pt idx="1">
                  <c:v>社会保障和就业支出  1.51万元</c:v>
                </c:pt>
              </c:strCache>
            </c:strRef>
          </c:cat>
          <c:val>
            <c:numRef>
              <c:f>Sheet1!$B$2:$B$3</c:f>
              <c:numCache>
                <c:formatCode>0.00%</c:formatCode>
                <c:ptCount val="2"/>
                <c:pt idx="0">
                  <c:v>0.9261</c:v>
                </c:pt>
                <c:pt idx="1">
                  <c:v>0.0739</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0ec6f6a4-20b7-4203-856c-b02b1b4048d6}"/>
      </c:ext>
    </c:extLst>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15</Pages>
  <Words>3459</Words>
  <Characters>3745</Characters>
  <Lines>26</Lines>
  <Paragraphs>7</Paragraphs>
  <TotalTime>2</TotalTime>
  <ScaleCrop>false</ScaleCrop>
  <LinksUpToDate>false</LinksUpToDate>
  <CharactersWithSpaces>3817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2024-10-23T12:44:00Z</dcterms:created>
  <dc:creator>曹颖</dc:creator>
  <cp:lastModifiedBy>Administrator</cp:lastModifiedBy>
  <cp:lastPrinted>2023-08-03T10:35:00Z</cp:lastPrinted>
  <dcterms:modified xsi:type="dcterms:W3CDTF">2024-10-28T01:46:50Z</dcterms:modified>
  <dc:title>四川省***</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7C9AE39D41684A14BAAC89423AA5C6C7_13</vt:lpwstr>
  </property>
</Properties>
</file>