
<file path=[Content_Types].xml><?xml version="1.0" encoding="utf-8"?>
<Types xmlns="http://schemas.openxmlformats.org/package/2006/content-types">
  <Default Extension="xml" ContentType="application/xml"/>
  <Default Extension="xlsx" ContentType="application/vnd.openxmlformats-officedocument.spreadsheetml.sheet"/>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theme/themeOverride1.xml" ContentType="application/vnd.openxmlformats-officedocument.themeOverride+xml"/>
  <Override PartName="/word/theme/themeOverride2.xml" ContentType="application/vnd.openxmlformats-officedocument.themeOverride+xml"/>
  <Override PartName="/word/theme/themeOverride3.xml" ContentType="application/vnd.openxmlformats-officedocument.themeOverride+xml"/>
  <Override PartName="/word/theme/themeOverride4.xml" ContentType="application/vnd.openxmlformats-officedocument.themeOverride+xml"/>
  <Override PartName="/word/theme/themeOverride5.xml" ContentType="application/vnd.openxmlformats-officedocument.themeOverride+xml"/>
  <Override PartName="/word/theme/themeOverride6.xml" ContentType="application/vnd.openxmlformats-officedocument.themeOverrid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outlineLvl w:val="0"/>
        <w:rPr>
          <w:rFonts w:ascii="方正小标宋简体" w:hAnsi="宋体" w:eastAsia="方正小标宋简体"/>
          <w:sz w:val="72"/>
          <w:szCs w:val="72"/>
        </w:rPr>
      </w:pPr>
      <w:bookmarkStart w:id="0" w:name="_Toc15377193"/>
      <w:bookmarkStart w:id="1" w:name="_Toc15396597"/>
      <w:bookmarkStart w:id="2" w:name="_Toc15378441"/>
      <w:bookmarkStart w:id="3" w:name="_Toc15377425"/>
      <w:bookmarkStart w:id="4" w:name="_Toc15396475"/>
      <w:bookmarkStart w:id="5" w:name="_Toc15306267"/>
    </w:p>
    <w:p>
      <w:pPr>
        <w:pStyle w:val="6"/>
        <w:spacing w:before="93"/>
      </w:pPr>
    </w:p>
    <w:p>
      <w:pPr>
        <w:spacing w:line="600" w:lineRule="exact"/>
        <w:jc w:val="center"/>
        <w:outlineLvl w:val="0"/>
        <w:rPr>
          <w:rFonts w:ascii="方正小标宋简体" w:hAnsi="宋体" w:eastAsia="方正小标宋简体"/>
          <w:sz w:val="72"/>
          <w:szCs w:val="72"/>
        </w:rPr>
      </w:pPr>
    </w:p>
    <w:p>
      <w:pPr>
        <w:spacing w:line="600" w:lineRule="exact"/>
        <w:jc w:val="center"/>
        <w:outlineLvl w:val="0"/>
        <w:rPr>
          <w:rFonts w:ascii="方正小标宋简体" w:hAnsi="宋体" w:eastAsia="方正小标宋简体"/>
          <w:sz w:val="72"/>
          <w:szCs w:val="72"/>
        </w:rPr>
      </w:pPr>
    </w:p>
    <w:p>
      <w:pPr>
        <w:adjustRightInd w:val="0"/>
        <w:snapToGrid w:val="0"/>
        <w:spacing w:line="360" w:lineRule="auto"/>
        <w:jc w:val="center"/>
        <w:outlineLvl w:val="0"/>
        <w:rPr>
          <w:rFonts w:ascii="方正小标宋简体" w:hAnsi="方正小标宋简体" w:eastAsia="方正小标宋简体" w:cs="方正小标宋简体"/>
          <w:sz w:val="72"/>
          <w:szCs w:val="72"/>
        </w:rPr>
      </w:pPr>
      <w:r>
        <w:rPr>
          <w:rFonts w:hint="eastAsia" w:ascii="方正小标宋简体" w:hAnsi="方正小标宋简体" w:eastAsia="方正小标宋简体" w:cs="方正小标宋简体"/>
          <w:sz w:val="72"/>
          <w:szCs w:val="72"/>
        </w:rPr>
        <w:t>2023年度</w:t>
      </w:r>
      <w:bookmarkEnd w:id="0"/>
      <w:bookmarkEnd w:id="1"/>
      <w:bookmarkEnd w:id="2"/>
      <w:bookmarkEnd w:id="3"/>
      <w:bookmarkEnd w:id="4"/>
    </w:p>
    <w:bookmarkEnd w:id="5"/>
    <w:p>
      <w:pPr>
        <w:adjustRightInd w:val="0"/>
        <w:snapToGrid w:val="0"/>
        <w:spacing w:line="360" w:lineRule="auto"/>
        <w:jc w:val="center"/>
        <w:outlineLvl w:val="0"/>
        <w:rPr>
          <w:rFonts w:ascii="方正小标宋简体" w:hAnsi="方正小标宋简体" w:eastAsia="方正小标宋简体" w:cs="方正小标宋简体"/>
          <w:sz w:val="72"/>
          <w:szCs w:val="72"/>
        </w:rPr>
      </w:pPr>
      <w:bookmarkStart w:id="6" w:name="_Toc15306268"/>
      <w:bookmarkStart w:id="7" w:name="_Toc15377426"/>
      <w:bookmarkStart w:id="8" w:name="_Toc15396476"/>
      <w:bookmarkStart w:id="9" w:name="_Toc15378442"/>
      <w:bookmarkStart w:id="10" w:name="_Toc15377194"/>
      <w:bookmarkStart w:id="11" w:name="_Toc15396598"/>
      <w:r>
        <w:rPr>
          <w:rFonts w:hint="eastAsia" w:ascii="方正小标宋简体" w:hAnsi="方正小标宋简体" w:eastAsia="方正小标宋简体" w:cs="方正小标宋简体"/>
          <w:sz w:val="72"/>
          <w:szCs w:val="72"/>
        </w:rPr>
        <w:t>盐边县第一初级中学校</w:t>
      </w:r>
    </w:p>
    <w:p>
      <w:pPr>
        <w:adjustRightInd w:val="0"/>
        <w:snapToGrid w:val="0"/>
        <w:spacing w:line="360" w:lineRule="auto"/>
        <w:jc w:val="center"/>
        <w:outlineLvl w:val="0"/>
        <w:rPr>
          <w:rFonts w:ascii="方正小标宋简体" w:hAnsi="方正小标宋简体" w:eastAsia="方正小标宋简体" w:cs="方正小标宋简体"/>
          <w:sz w:val="72"/>
          <w:szCs w:val="72"/>
        </w:rPr>
      </w:pPr>
      <w:r>
        <w:rPr>
          <w:rFonts w:hint="eastAsia" w:ascii="方正小标宋简体" w:hAnsi="方正小标宋简体" w:eastAsia="方正小标宋简体" w:cs="方正小标宋简体"/>
          <w:sz w:val="72"/>
          <w:szCs w:val="72"/>
        </w:rPr>
        <w:t>部门决算</w:t>
      </w:r>
      <w:bookmarkEnd w:id="6"/>
      <w:bookmarkEnd w:id="7"/>
      <w:bookmarkEnd w:id="8"/>
      <w:bookmarkEnd w:id="9"/>
      <w:bookmarkEnd w:id="10"/>
      <w:bookmarkEnd w:id="11"/>
    </w:p>
    <w:p>
      <w:pPr>
        <w:widowControl/>
        <w:jc w:val="center"/>
        <w:rPr>
          <w:rFonts w:ascii="黑体" w:hAnsi="黑体" w:eastAsia="黑体"/>
          <w:sz w:val="48"/>
          <w:szCs w:val="48"/>
        </w:rPr>
      </w:pPr>
      <w:r>
        <w:rPr>
          <w:rFonts w:ascii="方正小标宋简体" w:hAnsi="宋体" w:eastAsia="方正小标宋简体"/>
          <w:sz w:val="36"/>
          <w:szCs w:val="36"/>
        </w:rPr>
        <w:br w:type="page"/>
      </w:r>
      <w:r>
        <w:rPr>
          <w:rFonts w:hint="eastAsia" w:ascii="黑体" w:hAnsi="黑体" w:eastAsia="黑体"/>
          <w:sz w:val="48"/>
          <w:szCs w:val="48"/>
        </w:rPr>
        <w:t>目录</w:t>
      </w:r>
    </w:p>
    <w:p>
      <w:pPr>
        <w:widowControl/>
        <w:jc w:val="center"/>
        <w:rPr>
          <w:rFonts w:ascii="黑体" w:hAnsi="黑体" w:eastAsia="黑体" w:cstheme="minorBidi"/>
          <w:sz w:val="28"/>
          <w:szCs w:val="28"/>
        </w:rPr>
      </w:pPr>
    </w:p>
    <w:p>
      <w:pPr>
        <w:pStyle w:val="12"/>
        <w:rPr>
          <w:rFonts w:ascii="仿宋_GB2312" w:eastAsia="仿宋_GB2312"/>
          <w:sz w:val="32"/>
          <w:szCs w:val="32"/>
        </w:rPr>
      </w:pPr>
      <w:r>
        <w:rPr>
          <w:rFonts w:hint="eastAsia" w:ascii="仿宋_GB2312" w:eastAsia="仿宋_GB2312"/>
          <w:sz w:val="32"/>
          <w:szCs w:val="32"/>
        </w:rPr>
        <w:t>公开时间：202</w:t>
      </w:r>
      <w:r>
        <w:rPr>
          <w:rFonts w:hint="eastAsia" w:ascii="仿宋_GB2312" w:eastAsia="仿宋_GB2312"/>
          <w:sz w:val="32"/>
          <w:szCs w:val="32"/>
          <w:lang w:val="en-US" w:eastAsia="zh-CN"/>
        </w:rPr>
        <w:t>4</w:t>
      </w:r>
      <w:r>
        <w:rPr>
          <w:rFonts w:hint="eastAsia" w:ascii="仿宋_GB2312" w:eastAsia="仿宋_GB2312"/>
          <w:sz w:val="32"/>
          <w:szCs w:val="32"/>
        </w:rPr>
        <w:t>年10月28日</w:t>
      </w:r>
    </w:p>
    <w:p/>
    <w:p>
      <w:pPr>
        <w:pStyle w:val="12"/>
        <w:adjustRightInd w:val="0"/>
        <w:snapToGrid w:val="0"/>
        <w:spacing w:before="0" w:line="600" w:lineRule="exact"/>
        <w:jc w:val="left"/>
        <w:rPr>
          <w:rFonts w:ascii="仿宋_GB2312" w:hAnsi="Times New Roman" w:eastAsia="仿宋_GB2312"/>
        </w:rPr>
      </w:pPr>
      <w:r>
        <w:rPr>
          <w:rFonts w:hint="eastAsia" w:ascii="仿宋_GB2312" w:eastAsia="仿宋_GB2312"/>
        </w:rPr>
        <w:t>第一部分 部门概况</w:t>
      </w:r>
      <w:r>
        <w:rPr>
          <w:rFonts w:hint="eastAsia" w:ascii="仿宋_GB2312" w:hAnsi="Times New Roman" w:eastAsia="仿宋_GB2312"/>
        </w:rPr>
        <w:ptab w:relativeTo="margin" w:alignment="right" w:leader="dot"/>
      </w:r>
      <w:r>
        <w:rPr>
          <w:rFonts w:hint="eastAsia" w:ascii="仿宋_GB2312" w:hAnsi="Times New Roman" w:eastAsia="仿宋_GB2312"/>
        </w:rPr>
        <w:t>4</w:t>
      </w:r>
    </w:p>
    <w:p>
      <w:pPr>
        <w:pStyle w:val="12"/>
        <w:adjustRightInd w:val="0"/>
        <w:snapToGrid w:val="0"/>
        <w:spacing w:before="0" w:line="600" w:lineRule="exact"/>
        <w:ind w:firstLine="560" w:firstLineChars="200"/>
        <w:jc w:val="left"/>
        <w:rPr>
          <w:rFonts w:ascii="仿宋_GB2312" w:hAnsi="Times New Roman" w:eastAsia="仿宋_GB2312"/>
        </w:rPr>
      </w:pPr>
      <w:r>
        <w:rPr>
          <w:rFonts w:hint="eastAsia" w:ascii="仿宋_GB2312" w:eastAsia="仿宋_GB2312"/>
        </w:rPr>
        <w:t>一、部门职责</w:t>
      </w:r>
      <w:r>
        <w:rPr>
          <w:rFonts w:hint="eastAsia" w:ascii="仿宋_GB2312" w:hAnsi="Times New Roman" w:eastAsia="仿宋_GB2312"/>
        </w:rPr>
        <w:ptab w:relativeTo="margin" w:alignment="right" w:leader="dot"/>
      </w:r>
      <w:r>
        <w:rPr>
          <w:rFonts w:hint="eastAsia" w:ascii="仿宋_GB2312" w:hAnsi="Times New Roman" w:eastAsia="仿宋_GB2312"/>
        </w:rPr>
        <w:t>4</w:t>
      </w:r>
    </w:p>
    <w:p>
      <w:pPr>
        <w:pStyle w:val="13"/>
        <w:adjustRightInd w:val="0"/>
        <w:snapToGrid w:val="0"/>
        <w:spacing w:line="600" w:lineRule="exact"/>
        <w:jc w:val="left"/>
        <w:rPr>
          <w:rFonts w:ascii="仿宋_GB2312" w:hAnsi="仿宋" w:eastAsia="仿宋_GB2312" w:cstheme="minorBidi"/>
          <w:sz w:val="28"/>
          <w:szCs w:val="28"/>
        </w:rPr>
      </w:pPr>
      <w:r>
        <w:rPr>
          <w:rFonts w:hint="eastAsia" w:ascii="仿宋_GB2312" w:eastAsia="仿宋_GB2312"/>
          <w:sz w:val="28"/>
          <w:szCs w:val="28"/>
        </w:rPr>
        <w:t>二、机构设置</w:t>
      </w:r>
      <w:r>
        <w:rPr>
          <w:rFonts w:hint="eastAsia" w:ascii="仿宋_GB2312" w:eastAsia="仿宋_GB2312"/>
          <w:sz w:val="28"/>
          <w:szCs w:val="28"/>
        </w:rPr>
        <w:ptab w:relativeTo="margin" w:alignment="right" w:leader="dot"/>
      </w:r>
      <w:r>
        <w:rPr>
          <w:rFonts w:hint="eastAsia" w:ascii="仿宋_GB2312" w:eastAsia="仿宋_GB2312"/>
          <w:sz w:val="28"/>
          <w:szCs w:val="28"/>
        </w:rPr>
        <w:t>4</w:t>
      </w:r>
    </w:p>
    <w:p>
      <w:pPr>
        <w:pStyle w:val="12"/>
        <w:adjustRightInd w:val="0"/>
        <w:snapToGrid w:val="0"/>
        <w:spacing w:before="0" w:line="600" w:lineRule="exact"/>
        <w:jc w:val="left"/>
        <w:rPr>
          <w:rFonts w:ascii="仿宋_GB2312" w:eastAsia="仿宋_GB2312"/>
        </w:rPr>
      </w:pPr>
      <w:r>
        <w:rPr>
          <w:rFonts w:hint="eastAsia" w:ascii="仿宋_GB2312" w:eastAsia="仿宋_GB2312"/>
        </w:rPr>
        <w:t>第二部分 2023年度部门决算情况说明</w:t>
      </w:r>
      <w:r>
        <w:rPr>
          <w:rFonts w:hint="eastAsia" w:ascii="仿宋_GB2312" w:hAnsi="Times New Roman" w:eastAsia="仿宋_GB2312"/>
        </w:rPr>
        <w:ptab w:relativeTo="margin" w:alignment="right" w:leader="dot"/>
      </w:r>
      <w:r>
        <w:rPr>
          <w:rFonts w:hint="eastAsia" w:ascii="仿宋_GB2312" w:hAnsi="Times New Roman" w:eastAsia="仿宋_GB2312"/>
        </w:rPr>
        <w:t>5</w:t>
      </w:r>
    </w:p>
    <w:p>
      <w:pPr>
        <w:pStyle w:val="13"/>
        <w:adjustRightInd w:val="0"/>
        <w:snapToGrid w:val="0"/>
        <w:spacing w:line="600" w:lineRule="exact"/>
        <w:jc w:val="left"/>
        <w:rPr>
          <w:rFonts w:ascii="仿宋_GB2312" w:hAnsi="仿宋" w:eastAsia="仿宋_GB2312" w:cstheme="minorBidi"/>
          <w:sz w:val="28"/>
          <w:szCs w:val="28"/>
        </w:rPr>
      </w:pPr>
      <w:r>
        <w:rPr>
          <w:rFonts w:hint="eastAsia" w:ascii="仿宋_GB2312" w:eastAsia="仿宋_GB2312"/>
          <w:sz w:val="28"/>
          <w:szCs w:val="28"/>
        </w:rPr>
        <w:t>一、收入支出决算总体情况说明</w:t>
      </w:r>
      <w:r>
        <w:rPr>
          <w:rFonts w:hint="eastAsia" w:ascii="仿宋_GB2312" w:eastAsia="仿宋_GB2312"/>
          <w:sz w:val="28"/>
          <w:szCs w:val="28"/>
        </w:rPr>
        <w:ptab w:relativeTo="margin" w:alignment="right" w:leader="dot"/>
      </w:r>
      <w:r>
        <w:rPr>
          <w:rFonts w:hint="eastAsia" w:ascii="仿宋_GB2312" w:eastAsia="仿宋_GB2312"/>
          <w:sz w:val="28"/>
          <w:szCs w:val="28"/>
        </w:rPr>
        <w:t>5</w:t>
      </w:r>
    </w:p>
    <w:p>
      <w:pPr>
        <w:pStyle w:val="13"/>
        <w:adjustRightInd w:val="0"/>
        <w:snapToGrid w:val="0"/>
        <w:spacing w:line="600" w:lineRule="exact"/>
        <w:jc w:val="left"/>
        <w:rPr>
          <w:rFonts w:ascii="仿宋_GB2312" w:hAnsi="仿宋" w:eastAsia="仿宋_GB2312" w:cstheme="minorBidi"/>
          <w:sz w:val="28"/>
          <w:szCs w:val="28"/>
        </w:rPr>
      </w:pPr>
      <w:r>
        <w:rPr>
          <w:rFonts w:hint="eastAsia" w:ascii="仿宋_GB2312" w:eastAsia="仿宋_GB2312"/>
          <w:sz w:val="28"/>
          <w:szCs w:val="28"/>
        </w:rPr>
        <w:t>二、收入决算情况说明</w:t>
      </w:r>
      <w:r>
        <w:rPr>
          <w:rFonts w:hint="eastAsia" w:ascii="仿宋_GB2312" w:eastAsia="仿宋_GB2312"/>
          <w:sz w:val="28"/>
          <w:szCs w:val="28"/>
        </w:rPr>
        <w:ptab w:relativeTo="margin" w:alignment="right" w:leader="dot"/>
      </w:r>
      <w:r>
        <w:rPr>
          <w:rFonts w:hint="eastAsia" w:ascii="仿宋_GB2312" w:eastAsia="仿宋_GB2312"/>
          <w:sz w:val="28"/>
          <w:szCs w:val="28"/>
        </w:rPr>
        <w:t>5</w:t>
      </w:r>
    </w:p>
    <w:p>
      <w:pPr>
        <w:pStyle w:val="13"/>
        <w:adjustRightInd w:val="0"/>
        <w:snapToGrid w:val="0"/>
        <w:spacing w:line="600" w:lineRule="exact"/>
        <w:jc w:val="left"/>
        <w:rPr>
          <w:rFonts w:ascii="仿宋_GB2312" w:hAnsi="仿宋" w:eastAsia="仿宋_GB2312" w:cstheme="minorBidi"/>
          <w:sz w:val="28"/>
          <w:szCs w:val="28"/>
        </w:rPr>
      </w:pPr>
      <w:r>
        <w:rPr>
          <w:rFonts w:hint="eastAsia" w:ascii="仿宋_GB2312" w:eastAsia="仿宋_GB2312"/>
          <w:sz w:val="28"/>
          <w:szCs w:val="28"/>
        </w:rPr>
        <w:t>三、支出决算情况说明</w:t>
      </w:r>
      <w:r>
        <w:rPr>
          <w:rFonts w:hint="eastAsia" w:ascii="仿宋_GB2312" w:eastAsia="仿宋_GB2312"/>
          <w:sz w:val="28"/>
          <w:szCs w:val="28"/>
        </w:rPr>
        <w:ptab w:relativeTo="margin" w:alignment="right" w:leader="dot"/>
      </w:r>
      <w:r>
        <w:rPr>
          <w:rFonts w:hint="eastAsia" w:ascii="仿宋_GB2312" w:eastAsia="仿宋_GB2312"/>
          <w:sz w:val="28"/>
          <w:szCs w:val="28"/>
        </w:rPr>
        <w:t>6</w:t>
      </w:r>
    </w:p>
    <w:p>
      <w:pPr>
        <w:pStyle w:val="13"/>
        <w:adjustRightInd w:val="0"/>
        <w:snapToGrid w:val="0"/>
        <w:spacing w:line="600" w:lineRule="exact"/>
        <w:jc w:val="left"/>
        <w:rPr>
          <w:rFonts w:ascii="仿宋_GB2312" w:hAnsi="仿宋" w:eastAsia="仿宋_GB2312" w:cstheme="minorBidi"/>
          <w:sz w:val="28"/>
          <w:szCs w:val="28"/>
        </w:rPr>
      </w:pPr>
      <w:r>
        <w:rPr>
          <w:rFonts w:hint="eastAsia" w:ascii="仿宋_GB2312" w:eastAsia="仿宋_GB2312"/>
          <w:sz w:val="28"/>
          <w:szCs w:val="28"/>
        </w:rPr>
        <w:t>四、财政拨款收入支出决算总体情况说明</w:t>
      </w:r>
      <w:r>
        <w:rPr>
          <w:rFonts w:hint="eastAsia" w:ascii="仿宋_GB2312" w:eastAsia="仿宋_GB2312"/>
          <w:sz w:val="28"/>
          <w:szCs w:val="28"/>
        </w:rPr>
        <w:ptab w:relativeTo="margin" w:alignment="right" w:leader="dot"/>
      </w:r>
      <w:r>
        <w:rPr>
          <w:rFonts w:hint="eastAsia" w:ascii="仿宋_GB2312" w:eastAsia="仿宋_GB2312"/>
          <w:sz w:val="28"/>
          <w:szCs w:val="28"/>
        </w:rPr>
        <w:t>6</w:t>
      </w:r>
    </w:p>
    <w:p>
      <w:pPr>
        <w:pStyle w:val="13"/>
        <w:adjustRightInd w:val="0"/>
        <w:snapToGrid w:val="0"/>
        <w:spacing w:line="600" w:lineRule="exact"/>
        <w:jc w:val="left"/>
        <w:rPr>
          <w:rFonts w:ascii="仿宋_GB2312" w:hAnsi="仿宋" w:eastAsia="仿宋_GB2312" w:cstheme="minorBidi"/>
          <w:sz w:val="28"/>
          <w:szCs w:val="28"/>
        </w:rPr>
      </w:pPr>
      <w:r>
        <w:rPr>
          <w:rFonts w:hint="eastAsia" w:ascii="仿宋_GB2312" w:eastAsia="仿宋_GB2312"/>
          <w:sz w:val="28"/>
          <w:szCs w:val="28"/>
        </w:rPr>
        <w:t>五、一般公共预算财政拨款支出决算情况说明</w:t>
      </w:r>
      <w:r>
        <w:rPr>
          <w:rFonts w:hint="eastAsia" w:ascii="仿宋_GB2312" w:eastAsia="仿宋_GB2312"/>
          <w:sz w:val="28"/>
          <w:szCs w:val="28"/>
        </w:rPr>
        <w:ptab w:relativeTo="margin" w:alignment="right" w:leader="dot"/>
      </w:r>
      <w:r>
        <w:rPr>
          <w:rFonts w:hint="eastAsia" w:ascii="仿宋_GB2312" w:eastAsia="仿宋_GB2312"/>
          <w:sz w:val="28"/>
          <w:szCs w:val="28"/>
        </w:rPr>
        <w:t>7</w:t>
      </w:r>
    </w:p>
    <w:p>
      <w:pPr>
        <w:pStyle w:val="13"/>
        <w:adjustRightInd w:val="0"/>
        <w:snapToGrid w:val="0"/>
        <w:spacing w:line="600" w:lineRule="exact"/>
        <w:jc w:val="left"/>
        <w:rPr>
          <w:rFonts w:ascii="仿宋_GB2312" w:hAnsi="仿宋" w:eastAsia="仿宋_GB2312" w:cstheme="minorBidi"/>
          <w:sz w:val="28"/>
          <w:szCs w:val="28"/>
        </w:rPr>
      </w:pPr>
      <w:r>
        <w:rPr>
          <w:rFonts w:hint="eastAsia" w:ascii="仿宋_GB2312" w:eastAsia="仿宋_GB2312"/>
          <w:sz w:val="28"/>
          <w:szCs w:val="28"/>
        </w:rPr>
        <w:t>六、一般公共预算财政拨款基本支出决算情况说明</w:t>
      </w:r>
      <w:r>
        <w:rPr>
          <w:rFonts w:hint="eastAsia" w:ascii="仿宋_GB2312" w:eastAsia="仿宋_GB2312"/>
          <w:sz w:val="28"/>
          <w:szCs w:val="28"/>
        </w:rPr>
        <w:ptab w:relativeTo="margin" w:alignment="right" w:leader="dot"/>
      </w:r>
      <w:r>
        <w:rPr>
          <w:rFonts w:hint="eastAsia" w:ascii="仿宋_GB2312" w:eastAsia="仿宋_GB2312"/>
          <w:sz w:val="28"/>
          <w:szCs w:val="28"/>
        </w:rPr>
        <w:t>9</w:t>
      </w:r>
    </w:p>
    <w:p>
      <w:pPr>
        <w:pStyle w:val="13"/>
        <w:adjustRightInd w:val="0"/>
        <w:snapToGrid w:val="0"/>
        <w:spacing w:line="600" w:lineRule="exact"/>
        <w:jc w:val="left"/>
        <w:rPr>
          <w:rFonts w:ascii="仿宋_GB2312" w:hAnsi="仿宋" w:eastAsia="仿宋_GB2312" w:cstheme="minorBidi"/>
          <w:sz w:val="28"/>
          <w:szCs w:val="28"/>
        </w:rPr>
      </w:pPr>
      <w:r>
        <w:rPr>
          <w:rFonts w:hint="eastAsia" w:ascii="仿宋_GB2312" w:eastAsia="仿宋_GB2312"/>
          <w:sz w:val="28"/>
          <w:szCs w:val="28"/>
        </w:rPr>
        <w:t>七、财政拨款“三公”经费支出决算情况说明</w:t>
      </w:r>
      <w:r>
        <w:rPr>
          <w:rFonts w:hint="eastAsia" w:ascii="仿宋_GB2312" w:eastAsia="仿宋_GB2312"/>
          <w:sz w:val="28"/>
          <w:szCs w:val="28"/>
        </w:rPr>
        <w:ptab w:relativeTo="margin" w:alignment="right" w:leader="dot"/>
      </w:r>
      <w:r>
        <w:rPr>
          <w:rFonts w:hint="eastAsia" w:ascii="仿宋_GB2312" w:eastAsia="仿宋_GB2312"/>
          <w:sz w:val="28"/>
          <w:szCs w:val="28"/>
        </w:rPr>
        <w:t>9</w:t>
      </w:r>
    </w:p>
    <w:p>
      <w:pPr>
        <w:pStyle w:val="13"/>
        <w:adjustRightInd w:val="0"/>
        <w:snapToGrid w:val="0"/>
        <w:spacing w:line="600" w:lineRule="exact"/>
        <w:jc w:val="left"/>
        <w:rPr>
          <w:rFonts w:ascii="仿宋_GB2312" w:hAnsi="仿宋" w:eastAsia="仿宋_GB2312" w:cstheme="minorBidi"/>
          <w:sz w:val="28"/>
          <w:szCs w:val="28"/>
        </w:rPr>
      </w:pPr>
      <w:r>
        <w:rPr>
          <w:rFonts w:hint="eastAsia" w:ascii="仿宋_GB2312" w:eastAsia="仿宋_GB2312"/>
          <w:sz w:val="28"/>
          <w:szCs w:val="28"/>
        </w:rPr>
        <w:t>八、政府性基金预算支出决算情况说明</w:t>
      </w:r>
      <w:r>
        <w:rPr>
          <w:rFonts w:hint="eastAsia" w:ascii="仿宋_GB2312" w:eastAsia="仿宋_GB2312"/>
          <w:sz w:val="28"/>
          <w:szCs w:val="28"/>
        </w:rPr>
        <w:ptab w:relativeTo="margin" w:alignment="right" w:leader="dot"/>
      </w:r>
      <w:r>
        <w:rPr>
          <w:rFonts w:hint="eastAsia" w:ascii="仿宋_GB2312" w:eastAsia="仿宋_GB2312"/>
          <w:sz w:val="28"/>
          <w:szCs w:val="28"/>
        </w:rPr>
        <w:t>10</w:t>
      </w:r>
    </w:p>
    <w:p>
      <w:pPr>
        <w:pStyle w:val="13"/>
        <w:adjustRightInd w:val="0"/>
        <w:snapToGrid w:val="0"/>
        <w:spacing w:line="600" w:lineRule="exact"/>
        <w:ind w:leftChars="0"/>
        <w:jc w:val="left"/>
        <w:rPr>
          <w:rFonts w:ascii="仿宋_GB2312" w:eastAsia="仿宋_GB2312" w:hAnsiTheme="minorEastAsia" w:cstheme="minorEastAsia"/>
          <w:sz w:val="28"/>
          <w:szCs w:val="28"/>
        </w:rPr>
      </w:pPr>
      <w:r>
        <w:rPr>
          <w:rFonts w:hint="eastAsia" w:ascii="仿宋_GB2312" w:eastAsia="仿宋_GB2312" w:hAnsiTheme="minorEastAsia" w:cstheme="minorEastAsia"/>
          <w:sz w:val="28"/>
          <w:szCs w:val="28"/>
        </w:rPr>
        <w:t>九、国有资本经营预算支出决算情况说明</w:t>
      </w:r>
      <w:r>
        <w:rPr>
          <w:rFonts w:hint="eastAsia" w:ascii="仿宋_GB2312" w:eastAsia="仿宋_GB2312"/>
          <w:sz w:val="28"/>
          <w:szCs w:val="28"/>
        </w:rPr>
        <w:ptab w:relativeTo="margin" w:alignment="right" w:leader="dot"/>
      </w:r>
      <w:r>
        <w:rPr>
          <w:rFonts w:hint="eastAsia" w:ascii="仿宋_GB2312" w:eastAsia="仿宋_GB2312"/>
          <w:sz w:val="28"/>
          <w:szCs w:val="28"/>
        </w:rPr>
        <w:t>10</w:t>
      </w:r>
    </w:p>
    <w:p>
      <w:pPr>
        <w:adjustRightInd w:val="0"/>
        <w:snapToGrid w:val="0"/>
        <w:spacing w:line="600" w:lineRule="exact"/>
        <w:ind w:firstLine="490" w:firstLineChars="175"/>
        <w:jc w:val="left"/>
        <w:rPr>
          <w:rFonts w:ascii="仿宋_GB2312" w:eastAsia="仿宋_GB2312" w:hAnsiTheme="minorEastAsia" w:cstheme="minorEastAsia"/>
          <w:sz w:val="28"/>
          <w:szCs w:val="28"/>
        </w:rPr>
      </w:pPr>
      <w:r>
        <w:rPr>
          <w:rStyle w:val="19"/>
          <w:rFonts w:hint="eastAsia" w:ascii="仿宋_GB2312" w:eastAsia="仿宋_GB2312" w:hAnsiTheme="minorEastAsia" w:cstheme="minorEastAsia"/>
          <w:color w:val="auto"/>
          <w:sz w:val="28"/>
          <w:szCs w:val="28"/>
          <w:u w:val="none"/>
        </w:rPr>
        <w:t>十、</w:t>
      </w:r>
      <w:r>
        <w:rPr>
          <w:rFonts w:hint="eastAsia" w:ascii="仿宋_GB2312" w:eastAsia="仿宋_GB2312" w:hAnsiTheme="minorEastAsia" w:cstheme="minorEastAsia"/>
          <w:sz w:val="28"/>
          <w:szCs w:val="28"/>
        </w:rPr>
        <w:t>其他重要事项的情况说明</w:t>
      </w:r>
      <w:r>
        <w:rPr>
          <w:rFonts w:hint="eastAsia" w:ascii="仿宋_GB2312" w:eastAsia="仿宋_GB2312" w:hAnsiTheme="minorEastAsia" w:cstheme="minorEastAsia"/>
          <w:sz w:val="28"/>
          <w:szCs w:val="28"/>
        </w:rPr>
        <w:tab/>
      </w:r>
      <w:r>
        <w:rPr>
          <w:rFonts w:hint="eastAsia" w:ascii="仿宋_GB2312" w:eastAsia="仿宋_GB2312"/>
          <w:sz w:val="28"/>
          <w:szCs w:val="28"/>
        </w:rPr>
        <w:ptab w:relativeTo="margin" w:alignment="right" w:leader="dot"/>
      </w:r>
      <w:r>
        <w:rPr>
          <w:rFonts w:hint="eastAsia" w:ascii="仿宋_GB2312" w:eastAsia="仿宋_GB2312"/>
          <w:sz w:val="28"/>
          <w:szCs w:val="28"/>
        </w:rPr>
        <w:t>10</w:t>
      </w:r>
    </w:p>
    <w:p>
      <w:pPr>
        <w:pStyle w:val="12"/>
        <w:adjustRightInd w:val="0"/>
        <w:snapToGrid w:val="0"/>
        <w:spacing w:before="0" w:line="600" w:lineRule="exact"/>
        <w:jc w:val="left"/>
        <w:rPr>
          <w:rFonts w:ascii="仿宋_GB2312" w:eastAsia="仿宋_GB2312" w:cstheme="minorBidi"/>
        </w:rPr>
      </w:pPr>
      <w:r>
        <w:rPr>
          <w:rFonts w:hint="eastAsia" w:ascii="仿宋_GB2312" w:eastAsia="仿宋_GB2312"/>
        </w:rPr>
        <w:t>第三部分 名词解释</w:t>
      </w:r>
      <w:r>
        <w:rPr>
          <w:rFonts w:hint="eastAsia" w:ascii="仿宋_GB2312" w:hAnsi="Times New Roman" w:eastAsia="仿宋_GB2312"/>
        </w:rPr>
        <w:ptab w:relativeTo="margin" w:alignment="right" w:leader="dot"/>
      </w:r>
      <w:r>
        <w:rPr>
          <w:rFonts w:hint="eastAsia" w:ascii="仿宋_GB2312" w:hAnsi="Times New Roman" w:eastAsia="仿宋_GB2312"/>
        </w:rPr>
        <w:t>12</w:t>
      </w:r>
    </w:p>
    <w:p>
      <w:pPr>
        <w:pStyle w:val="12"/>
        <w:adjustRightInd w:val="0"/>
        <w:snapToGrid w:val="0"/>
        <w:spacing w:before="0" w:line="600" w:lineRule="exact"/>
        <w:jc w:val="left"/>
        <w:rPr>
          <w:rFonts w:ascii="仿宋_GB2312" w:eastAsia="仿宋_GB2312" w:cstheme="minorBidi"/>
        </w:rPr>
      </w:pPr>
      <w:r>
        <w:rPr>
          <w:rFonts w:hint="eastAsia" w:ascii="仿宋_GB2312" w:eastAsia="仿宋_GB2312"/>
        </w:rPr>
        <w:t>第四部分 附件</w:t>
      </w:r>
      <w:r>
        <w:rPr>
          <w:rFonts w:hint="eastAsia" w:ascii="仿宋_GB2312" w:hAnsi="Times New Roman" w:eastAsia="仿宋_GB2312"/>
        </w:rPr>
        <w:ptab w:relativeTo="margin" w:alignment="right" w:leader="dot"/>
      </w:r>
      <w:r>
        <w:rPr>
          <w:rFonts w:hint="eastAsia" w:ascii="仿宋_GB2312" w:hAnsi="Times New Roman" w:eastAsia="仿宋_GB2312"/>
        </w:rPr>
        <w:t>15</w:t>
      </w:r>
    </w:p>
    <w:p>
      <w:pPr>
        <w:pStyle w:val="12"/>
        <w:adjustRightInd w:val="0"/>
        <w:snapToGrid w:val="0"/>
        <w:spacing w:before="0" w:line="600" w:lineRule="exact"/>
        <w:jc w:val="left"/>
        <w:rPr>
          <w:rFonts w:ascii="仿宋_GB2312" w:eastAsia="仿宋_GB2312" w:cstheme="minorBidi"/>
        </w:rPr>
      </w:pPr>
      <w:r>
        <w:rPr>
          <w:rFonts w:hint="eastAsia" w:ascii="仿宋_GB2312" w:eastAsia="仿宋_GB2312"/>
        </w:rPr>
        <w:t>第五部分 附表</w:t>
      </w:r>
      <w:r>
        <w:rPr>
          <w:rFonts w:hint="eastAsia" w:ascii="仿宋_GB2312" w:hAnsi="Times New Roman" w:eastAsia="仿宋_GB2312"/>
        </w:rPr>
        <w:ptab w:relativeTo="margin" w:alignment="right" w:leader="dot"/>
      </w:r>
      <w:r>
        <w:rPr>
          <w:rFonts w:hint="eastAsia" w:ascii="仿宋_GB2312" w:hAnsi="Times New Roman" w:eastAsia="仿宋_GB2312"/>
        </w:rPr>
        <w:t>19</w:t>
      </w:r>
    </w:p>
    <w:p>
      <w:pPr>
        <w:pStyle w:val="13"/>
        <w:adjustRightInd w:val="0"/>
        <w:snapToGrid w:val="0"/>
        <w:spacing w:line="600" w:lineRule="exact"/>
        <w:jc w:val="left"/>
        <w:rPr>
          <w:rFonts w:ascii="仿宋_GB2312" w:eastAsia="仿宋_GB2312"/>
          <w:sz w:val="28"/>
          <w:szCs w:val="28"/>
        </w:rPr>
      </w:pPr>
      <w:r>
        <w:rPr>
          <w:rFonts w:hint="eastAsia" w:ascii="仿宋_GB2312" w:eastAsia="仿宋_GB2312"/>
          <w:sz w:val="28"/>
          <w:szCs w:val="28"/>
        </w:rPr>
        <w:t>一、收入支出决算总表</w:t>
      </w:r>
      <w:r>
        <w:rPr>
          <w:rFonts w:hint="eastAsia" w:ascii="仿宋_GB2312" w:eastAsia="仿宋_GB2312"/>
          <w:sz w:val="28"/>
          <w:szCs w:val="28"/>
        </w:rPr>
        <w:ptab w:relativeTo="margin" w:alignment="right" w:leader="dot"/>
      </w:r>
      <w:r>
        <w:rPr>
          <w:rFonts w:hint="eastAsia" w:ascii="仿宋_GB2312" w:eastAsia="仿宋_GB2312"/>
          <w:sz w:val="28"/>
          <w:szCs w:val="28"/>
        </w:rPr>
        <w:t>19</w:t>
      </w:r>
    </w:p>
    <w:p>
      <w:pPr>
        <w:pStyle w:val="13"/>
        <w:adjustRightInd w:val="0"/>
        <w:snapToGrid w:val="0"/>
        <w:spacing w:line="600" w:lineRule="exact"/>
        <w:jc w:val="left"/>
        <w:rPr>
          <w:rFonts w:ascii="仿宋_GB2312" w:eastAsia="仿宋_GB2312"/>
          <w:sz w:val="28"/>
          <w:szCs w:val="28"/>
        </w:rPr>
      </w:pPr>
      <w:r>
        <w:rPr>
          <w:rFonts w:hint="eastAsia" w:ascii="仿宋_GB2312" w:eastAsia="仿宋_GB2312"/>
          <w:sz w:val="28"/>
          <w:szCs w:val="28"/>
        </w:rPr>
        <w:t>二、收入决算表</w:t>
      </w:r>
      <w:r>
        <w:rPr>
          <w:rFonts w:hint="eastAsia" w:ascii="仿宋_GB2312" w:eastAsia="仿宋_GB2312"/>
          <w:sz w:val="28"/>
          <w:szCs w:val="28"/>
        </w:rPr>
        <w:ptab w:relativeTo="margin" w:alignment="right" w:leader="dot"/>
      </w:r>
      <w:r>
        <w:rPr>
          <w:rFonts w:hint="eastAsia" w:ascii="仿宋_GB2312" w:eastAsia="仿宋_GB2312"/>
          <w:sz w:val="28"/>
          <w:szCs w:val="28"/>
        </w:rPr>
        <w:t>19</w:t>
      </w:r>
    </w:p>
    <w:p>
      <w:pPr>
        <w:pStyle w:val="13"/>
        <w:adjustRightInd w:val="0"/>
        <w:snapToGrid w:val="0"/>
        <w:spacing w:line="600" w:lineRule="exact"/>
        <w:jc w:val="left"/>
        <w:rPr>
          <w:rFonts w:ascii="仿宋_GB2312" w:eastAsia="仿宋_GB2312"/>
          <w:sz w:val="28"/>
          <w:szCs w:val="28"/>
        </w:rPr>
      </w:pPr>
      <w:r>
        <w:rPr>
          <w:rFonts w:hint="eastAsia" w:ascii="仿宋_GB2312" w:eastAsia="仿宋_GB2312"/>
          <w:sz w:val="28"/>
          <w:szCs w:val="28"/>
        </w:rPr>
        <w:t>三、支出决算表</w:t>
      </w:r>
      <w:r>
        <w:rPr>
          <w:rFonts w:hint="eastAsia" w:ascii="仿宋_GB2312" w:eastAsia="仿宋_GB2312"/>
          <w:sz w:val="28"/>
          <w:szCs w:val="28"/>
        </w:rPr>
        <w:ptab w:relativeTo="margin" w:alignment="right" w:leader="dot"/>
      </w:r>
      <w:r>
        <w:rPr>
          <w:rFonts w:hint="eastAsia" w:ascii="仿宋_GB2312" w:eastAsia="仿宋_GB2312"/>
          <w:sz w:val="28"/>
          <w:szCs w:val="28"/>
        </w:rPr>
        <w:t>19</w:t>
      </w:r>
    </w:p>
    <w:p>
      <w:pPr>
        <w:pStyle w:val="13"/>
        <w:adjustRightInd w:val="0"/>
        <w:snapToGrid w:val="0"/>
        <w:spacing w:line="600" w:lineRule="exact"/>
        <w:jc w:val="left"/>
        <w:rPr>
          <w:rFonts w:ascii="仿宋_GB2312" w:eastAsia="仿宋_GB2312"/>
          <w:sz w:val="28"/>
          <w:szCs w:val="28"/>
        </w:rPr>
      </w:pPr>
      <w:r>
        <w:rPr>
          <w:rFonts w:hint="eastAsia" w:ascii="仿宋_GB2312" w:eastAsia="仿宋_GB2312"/>
          <w:sz w:val="28"/>
          <w:szCs w:val="28"/>
        </w:rPr>
        <w:t>四、财政拨款收入支出决算总表</w:t>
      </w:r>
      <w:r>
        <w:rPr>
          <w:rFonts w:hint="eastAsia" w:ascii="仿宋_GB2312" w:eastAsia="仿宋_GB2312"/>
          <w:sz w:val="28"/>
          <w:szCs w:val="28"/>
        </w:rPr>
        <w:ptab w:relativeTo="margin" w:alignment="right" w:leader="dot"/>
      </w:r>
      <w:r>
        <w:rPr>
          <w:rFonts w:hint="eastAsia" w:ascii="仿宋_GB2312" w:eastAsia="仿宋_GB2312"/>
          <w:sz w:val="28"/>
          <w:szCs w:val="28"/>
        </w:rPr>
        <w:t>19</w:t>
      </w:r>
    </w:p>
    <w:p>
      <w:pPr>
        <w:pStyle w:val="13"/>
        <w:adjustRightInd w:val="0"/>
        <w:snapToGrid w:val="0"/>
        <w:spacing w:line="600" w:lineRule="exact"/>
        <w:jc w:val="left"/>
        <w:rPr>
          <w:rFonts w:ascii="仿宋_GB2312" w:eastAsia="仿宋_GB2312"/>
          <w:sz w:val="28"/>
          <w:szCs w:val="28"/>
        </w:rPr>
      </w:pPr>
      <w:r>
        <w:rPr>
          <w:rFonts w:hint="eastAsia" w:ascii="仿宋_GB2312" w:eastAsia="仿宋_GB2312"/>
          <w:sz w:val="28"/>
          <w:szCs w:val="28"/>
        </w:rPr>
        <w:t>五、财政拨款支出决算明细表</w:t>
      </w:r>
      <w:r>
        <w:rPr>
          <w:rFonts w:hint="eastAsia" w:ascii="仿宋_GB2312" w:eastAsia="仿宋_GB2312"/>
          <w:sz w:val="28"/>
          <w:szCs w:val="28"/>
        </w:rPr>
        <w:ptab w:relativeTo="margin" w:alignment="right" w:leader="dot"/>
      </w:r>
      <w:r>
        <w:rPr>
          <w:rFonts w:hint="eastAsia" w:ascii="仿宋_GB2312" w:eastAsia="仿宋_GB2312"/>
          <w:sz w:val="28"/>
          <w:szCs w:val="28"/>
        </w:rPr>
        <w:t>19</w:t>
      </w:r>
    </w:p>
    <w:p>
      <w:pPr>
        <w:pStyle w:val="13"/>
        <w:adjustRightInd w:val="0"/>
        <w:snapToGrid w:val="0"/>
        <w:spacing w:line="600" w:lineRule="exact"/>
        <w:jc w:val="left"/>
        <w:rPr>
          <w:rFonts w:ascii="仿宋_GB2312" w:eastAsia="仿宋_GB2312"/>
          <w:sz w:val="28"/>
          <w:szCs w:val="28"/>
        </w:rPr>
      </w:pPr>
      <w:r>
        <w:rPr>
          <w:rFonts w:hint="eastAsia" w:ascii="仿宋_GB2312" w:eastAsia="仿宋_GB2312"/>
          <w:sz w:val="28"/>
          <w:szCs w:val="28"/>
        </w:rPr>
        <w:t>六、一般公共预算财政拨款支出决算表</w:t>
      </w:r>
      <w:r>
        <w:rPr>
          <w:rFonts w:hint="eastAsia" w:ascii="仿宋_GB2312" w:eastAsia="仿宋_GB2312"/>
          <w:sz w:val="28"/>
          <w:szCs w:val="28"/>
        </w:rPr>
        <w:ptab w:relativeTo="margin" w:alignment="right" w:leader="dot"/>
      </w:r>
      <w:r>
        <w:rPr>
          <w:rFonts w:hint="eastAsia" w:ascii="仿宋_GB2312" w:eastAsia="仿宋_GB2312"/>
          <w:sz w:val="28"/>
          <w:szCs w:val="28"/>
        </w:rPr>
        <w:t>19</w:t>
      </w:r>
    </w:p>
    <w:p>
      <w:pPr>
        <w:pStyle w:val="13"/>
        <w:adjustRightInd w:val="0"/>
        <w:snapToGrid w:val="0"/>
        <w:spacing w:line="600" w:lineRule="exact"/>
        <w:jc w:val="left"/>
        <w:rPr>
          <w:rFonts w:ascii="仿宋_GB2312" w:eastAsia="仿宋_GB2312"/>
          <w:sz w:val="28"/>
          <w:szCs w:val="28"/>
        </w:rPr>
      </w:pPr>
      <w:r>
        <w:rPr>
          <w:rFonts w:hint="eastAsia" w:ascii="仿宋_GB2312" w:eastAsia="仿宋_GB2312"/>
          <w:sz w:val="28"/>
          <w:szCs w:val="28"/>
        </w:rPr>
        <w:t>七、一般公共预算财政拨款支出决算明细表</w:t>
      </w:r>
      <w:r>
        <w:rPr>
          <w:rFonts w:hint="eastAsia" w:ascii="仿宋_GB2312" w:eastAsia="仿宋_GB2312"/>
          <w:sz w:val="28"/>
          <w:szCs w:val="28"/>
        </w:rPr>
        <w:ptab w:relativeTo="margin" w:alignment="right" w:leader="dot"/>
      </w:r>
      <w:r>
        <w:rPr>
          <w:rFonts w:hint="eastAsia" w:ascii="仿宋_GB2312" w:eastAsia="仿宋_GB2312"/>
          <w:sz w:val="28"/>
          <w:szCs w:val="28"/>
        </w:rPr>
        <w:t>19</w:t>
      </w:r>
    </w:p>
    <w:p>
      <w:pPr>
        <w:pStyle w:val="13"/>
        <w:adjustRightInd w:val="0"/>
        <w:snapToGrid w:val="0"/>
        <w:spacing w:line="600" w:lineRule="exact"/>
        <w:jc w:val="left"/>
        <w:rPr>
          <w:rFonts w:ascii="仿宋_GB2312" w:eastAsia="仿宋_GB2312"/>
          <w:sz w:val="28"/>
          <w:szCs w:val="28"/>
        </w:rPr>
      </w:pPr>
      <w:r>
        <w:rPr>
          <w:rFonts w:hint="eastAsia" w:ascii="仿宋_GB2312" w:eastAsia="仿宋_GB2312"/>
          <w:sz w:val="28"/>
          <w:szCs w:val="28"/>
        </w:rPr>
        <w:t>八、一般公共预算财政拨款基本支出决算明细表</w:t>
      </w:r>
      <w:r>
        <w:rPr>
          <w:rFonts w:hint="eastAsia" w:ascii="仿宋_GB2312" w:eastAsia="仿宋_GB2312"/>
          <w:sz w:val="28"/>
          <w:szCs w:val="28"/>
        </w:rPr>
        <w:ptab w:relativeTo="margin" w:alignment="right" w:leader="dot"/>
      </w:r>
      <w:r>
        <w:rPr>
          <w:rFonts w:hint="eastAsia" w:ascii="仿宋_GB2312" w:eastAsia="仿宋_GB2312"/>
          <w:sz w:val="28"/>
          <w:szCs w:val="28"/>
        </w:rPr>
        <w:t>19</w:t>
      </w:r>
    </w:p>
    <w:p>
      <w:pPr>
        <w:pStyle w:val="13"/>
        <w:adjustRightInd w:val="0"/>
        <w:snapToGrid w:val="0"/>
        <w:spacing w:line="600" w:lineRule="exact"/>
        <w:jc w:val="left"/>
        <w:rPr>
          <w:rFonts w:ascii="仿宋_GB2312" w:eastAsia="仿宋_GB2312"/>
          <w:sz w:val="28"/>
          <w:szCs w:val="28"/>
        </w:rPr>
      </w:pPr>
      <w:r>
        <w:rPr>
          <w:rFonts w:hint="eastAsia" w:ascii="仿宋_GB2312" w:eastAsia="仿宋_GB2312"/>
          <w:sz w:val="28"/>
          <w:szCs w:val="28"/>
        </w:rPr>
        <w:t>九、一般公共预算财政拨款项目支出决算表</w:t>
      </w:r>
      <w:r>
        <w:rPr>
          <w:rFonts w:hint="eastAsia" w:ascii="仿宋_GB2312" w:eastAsia="仿宋_GB2312"/>
          <w:sz w:val="28"/>
          <w:szCs w:val="28"/>
        </w:rPr>
        <w:ptab w:relativeTo="margin" w:alignment="right" w:leader="dot"/>
      </w:r>
      <w:r>
        <w:rPr>
          <w:rFonts w:hint="eastAsia" w:ascii="仿宋_GB2312" w:eastAsia="仿宋_GB2312"/>
          <w:sz w:val="28"/>
          <w:szCs w:val="28"/>
        </w:rPr>
        <w:t>19</w:t>
      </w:r>
    </w:p>
    <w:p>
      <w:pPr>
        <w:pStyle w:val="13"/>
        <w:adjustRightInd w:val="0"/>
        <w:snapToGrid w:val="0"/>
        <w:spacing w:line="600" w:lineRule="exact"/>
        <w:jc w:val="left"/>
        <w:rPr>
          <w:rFonts w:ascii="仿宋_GB2312" w:eastAsia="仿宋_GB2312"/>
          <w:sz w:val="28"/>
          <w:szCs w:val="28"/>
        </w:rPr>
      </w:pPr>
      <w:r>
        <w:rPr>
          <w:rFonts w:hint="eastAsia" w:ascii="仿宋_GB2312" w:eastAsia="仿宋_GB2312"/>
          <w:sz w:val="28"/>
          <w:szCs w:val="28"/>
        </w:rPr>
        <w:t>十、政府性基金预算财政拨款收入支出决算表</w:t>
      </w:r>
      <w:r>
        <w:rPr>
          <w:rFonts w:hint="eastAsia" w:ascii="仿宋_GB2312" w:eastAsia="仿宋_GB2312"/>
          <w:sz w:val="28"/>
          <w:szCs w:val="28"/>
        </w:rPr>
        <w:ptab w:relativeTo="margin" w:alignment="right" w:leader="dot"/>
      </w:r>
      <w:r>
        <w:rPr>
          <w:rFonts w:hint="eastAsia" w:ascii="仿宋_GB2312" w:eastAsia="仿宋_GB2312"/>
          <w:sz w:val="28"/>
          <w:szCs w:val="28"/>
        </w:rPr>
        <w:t>19</w:t>
      </w:r>
    </w:p>
    <w:p>
      <w:pPr>
        <w:pStyle w:val="13"/>
        <w:adjustRightInd w:val="0"/>
        <w:snapToGrid w:val="0"/>
        <w:spacing w:line="600" w:lineRule="exact"/>
        <w:jc w:val="left"/>
        <w:rPr>
          <w:rFonts w:ascii="仿宋_GB2312" w:eastAsia="仿宋_GB2312"/>
          <w:sz w:val="28"/>
          <w:szCs w:val="28"/>
        </w:rPr>
      </w:pPr>
      <w:r>
        <w:rPr>
          <w:rFonts w:hint="eastAsia" w:ascii="仿宋_GB2312" w:eastAsia="仿宋_GB2312"/>
          <w:sz w:val="28"/>
          <w:szCs w:val="28"/>
        </w:rPr>
        <w:t>十一、国有资本经营预算财政拨款收入支出决算表</w:t>
      </w:r>
      <w:r>
        <w:rPr>
          <w:rFonts w:hint="eastAsia" w:ascii="仿宋_GB2312" w:eastAsia="仿宋_GB2312"/>
          <w:sz w:val="28"/>
          <w:szCs w:val="28"/>
        </w:rPr>
        <w:ptab w:relativeTo="margin" w:alignment="right" w:leader="dot"/>
      </w:r>
      <w:r>
        <w:rPr>
          <w:rFonts w:hint="eastAsia" w:ascii="仿宋_GB2312" w:eastAsia="仿宋_GB2312"/>
          <w:sz w:val="28"/>
          <w:szCs w:val="28"/>
        </w:rPr>
        <w:t>19</w:t>
      </w:r>
    </w:p>
    <w:p>
      <w:pPr>
        <w:pStyle w:val="13"/>
        <w:adjustRightInd w:val="0"/>
        <w:snapToGrid w:val="0"/>
        <w:spacing w:line="600" w:lineRule="exact"/>
        <w:jc w:val="left"/>
        <w:rPr>
          <w:rFonts w:ascii="仿宋_GB2312" w:eastAsia="仿宋_GB2312"/>
          <w:sz w:val="28"/>
          <w:szCs w:val="28"/>
        </w:rPr>
      </w:pPr>
      <w:r>
        <w:rPr>
          <w:rFonts w:hint="eastAsia" w:ascii="仿宋_GB2312" w:eastAsia="仿宋_GB2312"/>
          <w:sz w:val="28"/>
          <w:szCs w:val="28"/>
        </w:rPr>
        <w:t>十二、国有资本经营预算财政拨款支出决算表</w:t>
      </w:r>
      <w:r>
        <w:rPr>
          <w:rFonts w:hint="eastAsia" w:ascii="仿宋_GB2312" w:eastAsia="仿宋_GB2312"/>
          <w:sz w:val="28"/>
          <w:szCs w:val="28"/>
        </w:rPr>
        <w:ptab w:relativeTo="margin" w:alignment="right" w:leader="dot"/>
      </w:r>
      <w:r>
        <w:rPr>
          <w:rFonts w:hint="eastAsia" w:ascii="仿宋_GB2312" w:eastAsia="仿宋_GB2312"/>
          <w:sz w:val="28"/>
          <w:szCs w:val="28"/>
        </w:rPr>
        <w:t>19</w:t>
      </w:r>
    </w:p>
    <w:p>
      <w:pPr>
        <w:pStyle w:val="13"/>
        <w:adjustRightInd w:val="0"/>
        <w:snapToGrid w:val="0"/>
        <w:spacing w:line="600" w:lineRule="exact"/>
        <w:jc w:val="left"/>
        <w:rPr>
          <w:rFonts w:asciiTheme="minorEastAsia" w:hAnsiTheme="minorEastAsia" w:eastAsiaTheme="minorEastAsia" w:cstheme="minorEastAsia"/>
          <w:sz w:val="24"/>
        </w:rPr>
      </w:pPr>
      <w:r>
        <w:rPr>
          <w:rFonts w:hint="eastAsia" w:ascii="仿宋_GB2312" w:eastAsia="仿宋_GB2312"/>
          <w:sz w:val="28"/>
          <w:szCs w:val="28"/>
        </w:rPr>
        <w:t>十三、财政拨款“三公”经费支出决算表</w:t>
      </w:r>
      <w:r>
        <w:rPr>
          <w:rFonts w:eastAsia="仿宋_GB2312"/>
        </w:rPr>
        <w:ptab w:relativeTo="margin" w:alignment="right" w:leader="dot"/>
      </w:r>
      <w:r>
        <w:rPr>
          <w:rFonts w:hint="eastAsia" w:eastAsia="仿宋_GB2312"/>
        </w:rPr>
        <w:t>19</w:t>
      </w:r>
    </w:p>
    <w:p>
      <w:pPr>
        <w:widowControl/>
        <w:spacing w:line="440" w:lineRule="exact"/>
        <w:jc w:val="left"/>
        <w:rPr>
          <w:rFonts w:ascii="仿宋" w:hAnsi="仿宋" w:eastAsia="仿宋"/>
          <w:bCs/>
          <w:kern w:val="44"/>
          <w:sz w:val="24"/>
        </w:rPr>
      </w:pPr>
      <w:bookmarkStart w:id="12" w:name="_Toc15396599"/>
      <w:bookmarkStart w:id="13" w:name="_Toc15377196"/>
      <w:r>
        <w:rPr>
          <w:rFonts w:ascii="仿宋" w:hAnsi="仿宋" w:eastAsia="仿宋"/>
          <w:b/>
          <w:sz w:val="24"/>
        </w:rPr>
        <w:br w:type="page"/>
      </w:r>
    </w:p>
    <w:p>
      <w:pPr>
        <w:pStyle w:val="13"/>
        <w:adjustRightInd w:val="0"/>
        <w:snapToGrid w:val="0"/>
        <w:spacing w:line="600" w:lineRule="exact"/>
        <w:jc w:val="center"/>
        <w:rPr>
          <w:rStyle w:val="28"/>
          <w:rFonts w:ascii="黑体" w:hAnsi="黑体" w:eastAsia="黑体"/>
          <w:b w:val="0"/>
        </w:rPr>
      </w:pPr>
      <w:r>
        <w:rPr>
          <w:rStyle w:val="28"/>
          <w:rFonts w:hint="eastAsia" w:ascii="黑体" w:hAnsi="黑体" w:eastAsia="黑体"/>
          <w:b w:val="0"/>
        </w:rPr>
        <w:t>第一部分 部门概况</w:t>
      </w:r>
      <w:bookmarkEnd w:id="12"/>
      <w:bookmarkEnd w:id="13"/>
    </w:p>
    <w:p>
      <w:pPr>
        <w:pStyle w:val="13"/>
        <w:adjustRightInd w:val="0"/>
        <w:snapToGrid w:val="0"/>
        <w:spacing w:line="600" w:lineRule="exact"/>
        <w:jc w:val="center"/>
        <w:rPr>
          <w:rFonts w:ascii="黑体" w:eastAsia="黑体"/>
          <w:sz w:val="32"/>
          <w:szCs w:val="32"/>
        </w:rPr>
      </w:pPr>
    </w:p>
    <w:p>
      <w:pPr>
        <w:ind w:firstLine="640" w:firstLineChars="200"/>
        <w:rPr>
          <w:rFonts w:eastAsia="黑体"/>
          <w:bCs/>
          <w:sz w:val="32"/>
          <w:szCs w:val="32"/>
        </w:rPr>
      </w:pPr>
      <w:bookmarkStart w:id="14" w:name="_Toc15377197"/>
      <w:bookmarkStart w:id="15" w:name="_Toc15396600"/>
      <w:r>
        <w:rPr>
          <w:rFonts w:hint="eastAsia" w:eastAsia="黑体"/>
          <w:bCs/>
          <w:sz w:val="32"/>
          <w:szCs w:val="32"/>
        </w:rPr>
        <w:t>一、</w:t>
      </w:r>
      <w:bookmarkEnd w:id="14"/>
      <w:bookmarkEnd w:id="15"/>
      <w:r>
        <w:rPr>
          <w:rFonts w:hint="eastAsia" w:eastAsia="黑体"/>
          <w:bCs/>
          <w:sz w:val="32"/>
          <w:szCs w:val="32"/>
        </w:rPr>
        <w:t>部门职责</w:t>
      </w:r>
    </w:p>
    <w:p>
      <w:pPr>
        <w:ind w:firstLine="640" w:firstLineChars="200"/>
        <w:rPr>
          <w:rFonts w:eastAsia="黑体"/>
          <w:bCs/>
          <w:sz w:val="32"/>
          <w:szCs w:val="32"/>
        </w:rPr>
      </w:pPr>
      <w:bookmarkStart w:id="16" w:name="_Toc15396601"/>
      <w:bookmarkStart w:id="17" w:name="_Toc15377200"/>
      <w:r>
        <w:rPr>
          <w:rFonts w:eastAsia="仿宋_GB2312"/>
          <w:sz w:val="32"/>
          <w:szCs w:val="32"/>
        </w:rPr>
        <w:t>盐边县第一初级中学校是盐边县机构编制委员会批准成立的独立法人机构，是经费独立核算公益一类事业单位。属盐边县教育和体育局下设公立中学教育机构。从事初中学历教育教学。</w:t>
      </w:r>
    </w:p>
    <w:p>
      <w:pPr>
        <w:ind w:firstLine="640" w:firstLineChars="200"/>
        <w:rPr>
          <w:rFonts w:eastAsia="黑体"/>
          <w:bCs/>
          <w:sz w:val="32"/>
          <w:szCs w:val="32"/>
        </w:rPr>
      </w:pPr>
      <w:r>
        <w:rPr>
          <w:rFonts w:hint="eastAsia" w:eastAsia="黑体"/>
          <w:bCs/>
          <w:sz w:val="32"/>
          <w:szCs w:val="32"/>
        </w:rPr>
        <w:t>二、机构设置</w:t>
      </w:r>
      <w:bookmarkEnd w:id="16"/>
      <w:bookmarkEnd w:id="17"/>
    </w:p>
    <w:p>
      <w:pPr>
        <w:ind w:firstLine="800" w:firstLineChars="250"/>
        <w:rPr>
          <w:rFonts w:eastAsia="仿宋_GB2312"/>
          <w:sz w:val="32"/>
          <w:szCs w:val="32"/>
        </w:rPr>
      </w:pPr>
      <w:r>
        <w:rPr>
          <w:rFonts w:eastAsia="仿宋_GB2312"/>
          <w:sz w:val="32"/>
          <w:szCs w:val="32"/>
        </w:rPr>
        <w:t>盐边县第一初级中学校</w:t>
      </w:r>
      <w:r>
        <w:rPr>
          <w:rFonts w:hint="eastAsia" w:eastAsia="仿宋_GB2312"/>
          <w:sz w:val="32"/>
          <w:szCs w:val="32"/>
        </w:rPr>
        <w:t>下属二级预算单位</w:t>
      </w:r>
      <w:r>
        <w:rPr>
          <w:rFonts w:eastAsia="仿宋_GB2312"/>
          <w:sz w:val="32"/>
          <w:szCs w:val="32"/>
        </w:rPr>
        <w:t>1</w:t>
      </w:r>
      <w:r>
        <w:rPr>
          <w:rFonts w:hint="eastAsia" w:eastAsia="仿宋_GB2312"/>
          <w:sz w:val="32"/>
          <w:szCs w:val="32"/>
        </w:rPr>
        <w:t>个，其中行政单位0个，参照公务员法管理的事业单位0个，其他事业单位0个。</w:t>
      </w:r>
    </w:p>
    <w:p>
      <w:pPr>
        <w:pStyle w:val="6"/>
        <w:adjustRightInd w:val="0"/>
        <w:snapToGrid w:val="0"/>
        <w:spacing w:before="93" w:line="600" w:lineRule="exact"/>
        <w:ind w:firstLine="672" w:firstLineChars="210"/>
        <w:rPr>
          <w:rFonts w:ascii="Times New Roman"/>
          <w:kern w:val="2"/>
          <w:sz w:val="32"/>
          <w:szCs w:val="32"/>
        </w:rPr>
      </w:pPr>
      <w:r>
        <w:rPr>
          <w:rFonts w:hint="eastAsia" w:ascii="Times New Roman"/>
          <w:kern w:val="2"/>
          <w:sz w:val="32"/>
          <w:szCs w:val="32"/>
        </w:rPr>
        <w:t>纳入</w:t>
      </w:r>
      <w:r>
        <w:rPr>
          <w:rFonts w:ascii="Times New Roman"/>
          <w:kern w:val="2"/>
          <w:sz w:val="32"/>
          <w:szCs w:val="32"/>
        </w:rPr>
        <w:t>盐边县第一初级中学校</w:t>
      </w:r>
      <w:r>
        <w:rPr>
          <w:rFonts w:hint="eastAsia" w:ascii="Times New Roman"/>
          <w:kern w:val="2"/>
          <w:sz w:val="32"/>
          <w:szCs w:val="32"/>
        </w:rPr>
        <w:t>2023年度部门决算编制范围的二级预算单位包括：</w:t>
      </w:r>
    </w:p>
    <w:p>
      <w:pPr>
        <w:pStyle w:val="6"/>
        <w:adjustRightInd w:val="0"/>
        <w:snapToGrid w:val="0"/>
        <w:spacing w:before="93" w:line="600" w:lineRule="exact"/>
        <w:ind w:firstLine="640" w:firstLineChars="200"/>
        <w:outlineLvl w:val="2"/>
        <w:rPr>
          <w:rFonts w:ascii="仿宋" w:hAnsi="仿宋" w:eastAsia="仿宋"/>
          <w:sz w:val="32"/>
          <w:szCs w:val="32"/>
        </w:rPr>
      </w:pPr>
      <w:r>
        <w:rPr>
          <w:rFonts w:hint="eastAsia" w:ascii="仿宋" w:hAnsi="仿宋" w:eastAsia="仿宋"/>
          <w:sz w:val="32"/>
          <w:szCs w:val="32"/>
        </w:rPr>
        <w:t>1.盐边县第一初级中学校。</w:t>
      </w:r>
    </w:p>
    <w:p>
      <w:pPr>
        <w:pStyle w:val="6"/>
        <w:adjustRightInd w:val="0"/>
        <w:snapToGrid w:val="0"/>
        <w:spacing w:before="93" w:line="600" w:lineRule="exact"/>
        <w:ind w:left="1152"/>
        <w:outlineLvl w:val="2"/>
        <w:rPr>
          <w:rFonts w:ascii="仿宋" w:hAnsi="仿宋" w:eastAsia="仿宋"/>
          <w:sz w:val="32"/>
          <w:szCs w:val="32"/>
        </w:rPr>
      </w:pPr>
    </w:p>
    <w:p>
      <w:pPr>
        <w:pStyle w:val="6"/>
        <w:adjustRightInd w:val="0"/>
        <w:snapToGrid w:val="0"/>
        <w:spacing w:before="93" w:line="600" w:lineRule="exact"/>
        <w:rPr>
          <w:rFonts w:ascii="仿宋" w:hAnsi="仿宋" w:eastAsia="仿宋"/>
          <w:sz w:val="32"/>
          <w:szCs w:val="32"/>
        </w:rPr>
      </w:pPr>
    </w:p>
    <w:p>
      <w:pPr>
        <w:widowControl/>
        <w:jc w:val="left"/>
        <w:rPr>
          <w:rFonts w:ascii="仿宋" w:hAnsi="仿宋" w:eastAsia="仿宋"/>
          <w:kern w:val="0"/>
          <w:sz w:val="32"/>
          <w:szCs w:val="32"/>
        </w:rPr>
      </w:pPr>
      <w:r>
        <w:rPr>
          <w:rFonts w:ascii="仿宋" w:hAnsi="仿宋" w:eastAsia="仿宋"/>
          <w:sz w:val="32"/>
          <w:szCs w:val="32"/>
        </w:rPr>
        <w:br w:type="page"/>
      </w:r>
    </w:p>
    <w:p>
      <w:pPr>
        <w:spacing w:line="560" w:lineRule="exact"/>
        <w:ind w:firstLine="880" w:firstLineChars="200"/>
        <w:rPr>
          <w:rStyle w:val="28"/>
          <w:rFonts w:eastAsia="黑体"/>
          <w:b w:val="0"/>
        </w:rPr>
      </w:pPr>
      <w:bookmarkStart w:id="18" w:name="_Toc15377204"/>
      <w:bookmarkStart w:id="19" w:name="_Toc15396602"/>
      <w:r>
        <w:rPr>
          <w:rStyle w:val="28"/>
          <w:rFonts w:hint="eastAsia" w:eastAsia="黑体"/>
          <w:b w:val="0"/>
        </w:rPr>
        <w:t>第二部分 2023年度部门决算情况说明</w:t>
      </w:r>
      <w:bookmarkEnd w:id="18"/>
      <w:bookmarkEnd w:id="19"/>
    </w:p>
    <w:p/>
    <w:p>
      <w:pPr>
        <w:pStyle w:val="27"/>
        <w:numPr>
          <w:ilvl w:val="0"/>
          <w:numId w:val="2"/>
        </w:numPr>
        <w:spacing w:line="600" w:lineRule="exact"/>
        <w:ind w:firstLineChars="0"/>
        <w:outlineLvl w:val="1"/>
        <w:rPr>
          <w:rStyle w:val="29"/>
          <w:rFonts w:ascii="黑体" w:hAnsi="黑体" w:eastAsia="黑体"/>
          <w:b w:val="0"/>
        </w:rPr>
      </w:pPr>
      <w:bookmarkStart w:id="20" w:name="_Toc15377205"/>
      <w:bookmarkStart w:id="21" w:name="_Toc15396603"/>
      <w:r>
        <w:rPr>
          <w:rFonts w:hint="eastAsia" w:ascii="黑体" w:hAnsi="黑体" w:eastAsia="黑体"/>
          <w:sz w:val="32"/>
          <w:szCs w:val="32"/>
        </w:rPr>
        <w:t>收</w:t>
      </w:r>
      <w:r>
        <w:rPr>
          <w:rStyle w:val="29"/>
          <w:rFonts w:hint="eastAsia" w:ascii="黑体" w:hAnsi="黑体" w:eastAsia="黑体"/>
          <w:b w:val="0"/>
        </w:rPr>
        <w:t>入支出决算总体情况说明</w:t>
      </w:r>
      <w:bookmarkEnd w:id="20"/>
      <w:bookmarkEnd w:id="21"/>
    </w:p>
    <w:p>
      <w:pPr>
        <w:spacing w:line="600" w:lineRule="exact"/>
        <w:ind w:firstLine="640" w:firstLineChars="200"/>
        <w:rPr>
          <w:rFonts w:eastAsia="仿宋_GB2312"/>
          <w:sz w:val="32"/>
          <w:szCs w:val="32"/>
        </w:rPr>
      </w:pPr>
      <w:r>
        <w:rPr>
          <w:rFonts w:eastAsia="仿宋_GB2312"/>
          <w:sz w:val="32"/>
          <w:szCs w:val="32"/>
        </w:rPr>
        <w:t>2023年度收、支总计均为211.44万元。与2022年度相比，收、支总计各增加211.44万元，增长100%。主要变动原因是新纳入预算单位，故无上年度数据。</w:t>
      </w:r>
    </w:p>
    <w:p>
      <w:pPr>
        <w:spacing w:beforeLines="30"/>
        <w:jc w:val="center"/>
        <w:rPr>
          <w:rFonts w:eastAsia="仿宋_GB2312"/>
          <w:kern w:val="0"/>
          <w:sz w:val="30"/>
        </w:rPr>
      </w:pPr>
      <w:r>
        <w:rPr>
          <w:rFonts w:eastAsia="仿宋_GB2312"/>
          <w:kern w:val="0"/>
          <w:sz w:val="30"/>
        </w:rPr>
        <w:drawing>
          <wp:inline distT="0" distB="0" distL="0" distR="0">
            <wp:extent cx="4922520" cy="2827020"/>
            <wp:effectExtent l="0" t="0" r="11430" b="11430"/>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pPr>
        <w:spacing w:beforeLines="30"/>
        <w:jc w:val="center"/>
        <w:rPr>
          <w:rFonts w:eastAsia="仿宋_GB2312"/>
          <w:sz w:val="32"/>
          <w:szCs w:val="32"/>
        </w:rPr>
      </w:pPr>
      <w:r>
        <w:rPr>
          <w:rFonts w:eastAsia="仿宋_GB2312"/>
          <w:sz w:val="32"/>
          <w:szCs w:val="32"/>
        </w:rPr>
        <w:t>图1：收、支决算总计变动情况图</w:t>
      </w:r>
    </w:p>
    <w:p>
      <w:pPr>
        <w:ind w:firstLine="640" w:firstLineChars="200"/>
        <w:rPr>
          <w:rFonts w:eastAsia="黑体"/>
          <w:bCs/>
          <w:sz w:val="32"/>
          <w:szCs w:val="32"/>
        </w:rPr>
      </w:pPr>
      <w:r>
        <w:rPr>
          <w:rFonts w:eastAsia="黑体"/>
          <w:bCs/>
          <w:sz w:val="32"/>
          <w:szCs w:val="32"/>
        </w:rPr>
        <w:t>二、收入决算情况说明</w:t>
      </w:r>
    </w:p>
    <w:p>
      <w:pPr>
        <w:spacing w:line="600" w:lineRule="exact"/>
        <w:ind w:firstLine="640" w:firstLineChars="200"/>
        <w:outlineLvl w:val="1"/>
        <w:rPr>
          <w:rFonts w:eastAsia="仿宋_GB2312"/>
          <w:sz w:val="32"/>
          <w:szCs w:val="32"/>
        </w:rPr>
      </w:pPr>
      <w:r>
        <w:rPr>
          <w:rFonts w:eastAsia="仿宋_GB2312"/>
          <w:sz w:val="32"/>
          <w:szCs w:val="32"/>
        </w:rPr>
        <w:t>2023年度本年收入合计211.44万元，其中：一般公共预算财政拨款收入211.44万元，占100%；政府性基金预算财政拨款收入0万元，占0%；国有资本经营预算财政拨款收入0万元，占0%；上级补助收入0万元，占0%；事业收入0万元，占0%；经营收入0万元，占0%；附属单位上缴收入0万元，占0%；其他收入0万元，占0%。</w:t>
      </w:r>
    </w:p>
    <w:p>
      <w:pPr>
        <w:spacing w:line="600" w:lineRule="exact"/>
        <w:ind w:firstLine="640" w:firstLineChars="200"/>
        <w:outlineLvl w:val="1"/>
        <w:rPr>
          <w:rFonts w:eastAsia="仿宋_GB2312"/>
          <w:sz w:val="32"/>
          <w:szCs w:val="32"/>
        </w:rPr>
      </w:pPr>
    </w:p>
    <w:p>
      <w:pPr>
        <w:spacing w:beforeLines="30"/>
        <w:jc w:val="center"/>
        <w:rPr>
          <w:rFonts w:eastAsia="仿宋_GB2312"/>
          <w:kern w:val="0"/>
          <w:sz w:val="30"/>
        </w:rPr>
      </w:pPr>
      <w:r>
        <w:rPr>
          <w:rFonts w:eastAsia="仿宋_GB2312"/>
          <w:kern w:val="0"/>
          <w:sz w:val="30"/>
        </w:rPr>
        <w:drawing>
          <wp:inline distT="0" distB="0" distL="0" distR="0">
            <wp:extent cx="4869180" cy="2545080"/>
            <wp:effectExtent l="0" t="0" r="26670" b="26670"/>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pPr>
        <w:spacing w:line="600" w:lineRule="exact"/>
        <w:jc w:val="center"/>
        <w:rPr>
          <w:rFonts w:eastAsia="仿宋_GB2312"/>
          <w:sz w:val="32"/>
          <w:szCs w:val="32"/>
        </w:rPr>
      </w:pPr>
      <w:r>
        <w:rPr>
          <w:rFonts w:eastAsia="仿宋_GB2312"/>
          <w:sz w:val="32"/>
          <w:szCs w:val="32"/>
        </w:rPr>
        <w:t>图2：收入决算结构图</w:t>
      </w:r>
      <w:bookmarkStart w:id="22" w:name="_Toc15377207"/>
      <w:bookmarkStart w:id="23" w:name="_Toc15396605"/>
    </w:p>
    <w:p>
      <w:pPr>
        <w:spacing w:line="600" w:lineRule="exact"/>
        <w:ind w:firstLine="640" w:firstLineChars="200"/>
        <w:jc w:val="left"/>
        <w:rPr>
          <w:rStyle w:val="29"/>
          <w:rFonts w:ascii="黑体" w:hAnsi="黑体" w:eastAsia="黑体"/>
          <w:b w:val="0"/>
        </w:rPr>
      </w:pPr>
      <w:r>
        <w:rPr>
          <w:rStyle w:val="29"/>
          <w:rFonts w:hint="eastAsia" w:ascii="黑体" w:hAnsi="黑体" w:eastAsia="黑体"/>
          <w:b w:val="0"/>
        </w:rPr>
        <w:t>三、</w:t>
      </w:r>
      <w:r>
        <w:rPr>
          <w:rStyle w:val="29"/>
          <w:rFonts w:hint="eastAsia" w:ascii="黑体" w:hAnsi="黑体" w:eastAsia="黑体"/>
        </w:rPr>
        <w:t>支</w:t>
      </w:r>
      <w:r>
        <w:rPr>
          <w:rStyle w:val="29"/>
          <w:rFonts w:hint="eastAsia" w:ascii="黑体" w:hAnsi="黑体" w:eastAsia="黑体"/>
          <w:b w:val="0"/>
        </w:rPr>
        <w:t>出决算情况说明</w:t>
      </w:r>
      <w:bookmarkEnd w:id="22"/>
      <w:bookmarkEnd w:id="23"/>
    </w:p>
    <w:p>
      <w:pPr>
        <w:spacing w:line="600" w:lineRule="exact"/>
        <w:ind w:firstLine="640" w:firstLineChars="200"/>
        <w:outlineLvl w:val="1"/>
        <w:rPr>
          <w:rFonts w:eastAsia="仿宋_GB2312"/>
          <w:sz w:val="32"/>
          <w:szCs w:val="32"/>
        </w:rPr>
      </w:pPr>
      <w:r>
        <w:rPr>
          <w:rFonts w:eastAsia="仿宋_GB2312"/>
          <w:sz w:val="32"/>
          <w:szCs w:val="32"/>
        </w:rPr>
        <w:t>2023年度本年支出合计211.44万元，其中：基本支出196.24万元，占92.81%；项目支出15.2万元，占7.19%；上缴上级支出0万元，占0%；经营支出0万元，占0%；对附属单位补助支出0万元，占0%。</w:t>
      </w:r>
    </w:p>
    <w:p>
      <w:pPr>
        <w:spacing w:beforeLines="30"/>
        <w:jc w:val="center"/>
        <w:rPr>
          <w:rFonts w:eastAsia="仿宋_GB2312"/>
          <w:kern w:val="0"/>
          <w:sz w:val="30"/>
        </w:rPr>
      </w:pPr>
      <w:r>
        <w:rPr>
          <w:rFonts w:eastAsia="仿宋_GB2312"/>
          <w:kern w:val="0"/>
          <w:sz w:val="30"/>
        </w:rPr>
        <w:drawing>
          <wp:inline distT="0" distB="0" distL="0" distR="0">
            <wp:extent cx="4648200" cy="2484120"/>
            <wp:effectExtent l="0" t="0" r="19050" b="11430"/>
            <wp:docPr id="4"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pPr>
        <w:spacing w:line="600" w:lineRule="exact"/>
        <w:jc w:val="center"/>
        <w:rPr>
          <w:rFonts w:eastAsia="仿宋_GB2312"/>
          <w:sz w:val="32"/>
          <w:szCs w:val="32"/>
        </w:rPr>
      </w:pPr>
      <w:r>
        <w:rPr>
          <w:rFonts w:eastAsia="仿宋_GB2312"/>
          <w:sz w:val="32"/>
          <w:szCs w:val="32"/>
        </w:rPr>
        <w:t>图3：支出决算结构图</w:t>
      </w:r>
    </w:p>
    <w:p>
      <w:pPr>
        <w:spacing w:line="600" w:lineRule="exact"/>
        <w:ind w:firstLine="640" w:firstLineChars="200"/>
        <w:outlineLvl w:val="1"/>
        <w:rPr>
          <w:rStyle w:val="29"/>
          <w:rFonts w:ascii="黑体" w:hAnsi="黑体" w:eastAsia="黑体"/>
          <w:b w:val="0"/>
        </w:rPr>
      </w:pPr>
      <w:bookmarkStart w:id="24" w:name="_Toc15377208"/>
      <w:bookmarkStart w:id="25" w:name="_Toc15396606"/>
      <w:r>
        <w:rPr>
          <w:rFonts w:hint="eastAsia" w:ascii="黑体" w:hAnsi="黑体" w:eastAsia="黑体"/>
          <w:sz w:val="32"/>
          <w:szCs w:val="32"/>
        </w:rPr>
        <w:t>四、财</w:t>
      </w:r>
      <w:r>
        <w:rPr>
          <w:rStyle w:val="29"/>
          <w:rFonts w:hint="eastAsia" w:ascii="黑体" w:hAnsi="黑体" w:eastAsia="黑体"/>
          <w:b w:val="0"/>
        </w:rPr>
        <w:t>政拨款收入支出决算总体情况说明</w:t>
      </w:r>
      <w:bookmarkEnd w:id="24"/>
      <w:bookmarkEnd w:id="25"/>
    </w:p>
    <w:p>
      <w:pPr>
        <w:spacing w:line="600" w:lineRule="exact"/>
        <w:ind w:firstLine="640" w:firstLineChars="200"/>
        <w:rPr>
          <w:rFonts w:eastAsia="仿宋_GB2312"/>
          <w:sz w:val="32"/>
          <w:szCs w:val="32"/>
        </w:rPr>
      </w:pPr>
      <w:bookmarkStart w:id="26" w:name="_Toc15377209"/>
      <w:bookmarkStart w:id="27" w:name="_Toc15396607"/>
      <w:r>
        <w:rPr>
          <w:rFonts w:eastAsia="仿宋_GB2312"/>
          <w:sz w:val="32"/>
          <w:szCs w:val="32"/>
        </w:rPr>
        <w:t>2023年度财政拨款收、支总计均为211.44万元。与2022年度相比，财政拨款收、支总计各增加211.44万元，增长100%。主要变动原因是新纳入预算单位，故无上年度数据。</w:t>
      </w:r>
    </w:p>
    <w:p>
      <w:pPr>
        <w:pStyle w:val="6"/>
        <w:spacing w:before="93"/>
        <w:jc w:val="center"/>
        <w:rPr>
          <w:rFonts w:ascii="Times New Roman"/>
        </w:rPr>
      </w:pPr>
      <w:r>
        <w:rPr>
          <w:rFonts w:ascii="Times New Roman"/>
        </w:rPr>
        <w:drawing>
          <wp:inline distT="0" distB="0" distL="0" distR="0">
            <wp:extent cx="4914900" cy="2583180"/>
            <wp:effectExtent l="0" t="0" r="19050" b="26670"/>
            <wp:docPr id="5"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pPr>
        <w:spacing w:line="600" w:lineRule="exact"/>
        <w:ind w:firstLine="640" w:firstLineChars="200"/>
        <w:jc w:val="center"/>
        <w:rPr>
          <w:rFonts w:eastAsia="仿宋_GB2312"/>
          <w:sz w:val="32"/>
          <w:szCs w:val="32"/>
        </w:rPr>
      </w:pPr>
      <w:r>
        <w:rPr>
          <w:rFonts w:eastAsia="仿宋_GB2312"/>
          <w:sz w:val="32"/>
          <w:szCs w:val="32"/>
        </w:rPr>
        <w:t>图4：财政拨款收、支决算总计变动情况</w:t>
      </w:r>
    </w:p>
    <w:p>
      <w:pPr>
        <w:spacing w:line="600" w:lineRule="exact"/>
        <w:ind w:firstLine="640" w:firstLineChars="200"/>
        <w:outlineLvl w:val="1"/>
        <w:rPr>
          <w:rFonts w:ascii="黑体" w:hAnsi="黑体" w:eastAsia="黑体"/>
          <w:sz w:val="32"/>
          <w:szCs w:val="32"/>
        </w:rPr>
      </w:pPr>
      <w:r>
        <w:rPr>
          <w:rFonts w:hint="eastAsia" w:ascii="黑体" w:hAnsi="黑体" w:eastAsia="黑体"/>
          <w:sz w:val="32"/>
          <w:szCs w:val="32"/>
        </w:rPr>
        <w:t>五、一般公共预算财政拨款支出决算情况说明</w:t>
      </w:r>
      <w:bookmarkEnd w:id="26"/>
      <w:bookmarkEnd w:id="27"/>
    </w:p>
    <w:p>
      <w:pPr>
        <w:spacing w:line="600" w:lineRule="exact"/>
        <w:ind w:firstLine="640"/>
        <w:outlineLvl w:val="2"/>
        <w:rPr>
          <w:rFonts w:eastAsia="楷体_GB2312"/>
          <w:sz w:val="32"/>
          <w:szCs w:val="32"/>
        </w:rPr>
      </w:pPr>
      <w:r>
        <w:rPr>
          <w:rFonts w:eastAsia="楷体_GB2312"/>
          <w:sz w:val="32"/>
          <w:szCs w:val="32"/>
        </w:rPr>
        <w:t>（一）一般公共预算财政拨款支出决算总体情况。</w:t>
      </w:r>
    </w:p>
    <w:p>
      <w:pPr>
        <w:ind w:firstLine="640" w:firstLineChars="200"/>
        <w:rPr>
          <w:rFonts w:eastAsia="仿宋_GB2312"/>
          <w:sz w:val="32"/>
          <w:szCs w:val="32"/>
        </w:rPr>
      </w:pPr>
      <w:r>
        <w:rPr>
          <w:rFonts w:eastAsia="仿宋_GB2312"/>
          <w:sz w:val="32"/>
          <w:szCs w:val="32"/>
        </w:rPr>
        <w:t>2023年度一般公共预算财政拨款支出211.44万元，占本年支出合计的100%。与2022年度相比，一般公共预算财政拨款支出增加211.44万元，增长100%。主要变动原因是新纳入预算单位，故无上年度数据。</w:t>
      </w:r>
    </w:p>
    <w:p>
      <w:pPr>
        <w:spacing w:beforeLines="30"/>
        <w:jc w:val="center"/>
        <w:rPr>
          <w:rFonts w:eastAsia="仿宋_GB2312"/>
          <w:kern w:val="0"/>
          <w:sz w:val="30"/>
        </w:rPr>
      </w:pPr>
      <w:r>
        <w:rPr>
          <w:rFonts w:eastAsia="仿宋_GB2312"/>
          <w:kern w:val="0"/>
          <w:sz w:val="30"/>
        </w:rPr>
        <w:drawing>
          <wp:inline distT="0" distB="0" distL="0" distR="0">
            <wp:extent cx="4991100" cy="1851660"/>
            <wp:effectExtent l="0" t="0" r="19050" b="15240"/>
            <wp:docPr id="6"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pPr>
        <w:spacing w:line="520" w:lineRule="exact"/>
        <w:jc w:val="center"/>
        <w:rPr>
          <w:rFonts w:eastAsia="仿宋_GB2312"/>
          <w:sz w:val="32"/>
          <w:szCs w:val="32"/>
        </w:rPr>
      </w:pPr>
      <w:r>
        <w:rPr>
          <w:rFonts w:eastAsia="仿宋_GB2312"/>
          <w:sz w:val="32"/>
          <w:szCs w:val="32"/>
        </w:rPr>
        <w:t>图5：一般公共预算财政拨款支出决算变动情况</w:t>
      </w:r>
    </w:p>
    <w:p>
      <w:pPr>
        <w:spacing w:line="600" w:lineRule="exact"/>
        <w:ind w:firstLine="640"/>
        <w:outlineLvl w:val="2"/>
        <w:rPr>
          <w:rFonts w:eastAsia="楷体_GB2312"/>
          <w:sz w:val="32"/>
          <w:szCs w:val="32"/>
        </w:rPr>
      </w:pPr>
      <w:bookmarkStart w:id="28" w:name="_Toc15377211"/>
      <w:r>
        <w:rPr>
          <w:rFonts w:hint="eastAsia" w:eastAsia="楷体_GB2312"/>
          <w:sz w:val="32"/>
          <w:szCs w:val="32"/>
        </w:rPr>
        <w:t>（二）一般公共预算财政拨款支出决算结构情况</w:t>
      </w:r>
      <w:bookmarkEnd w:id="28"/>
      <w:r>
        <w:rPr>
          <w:rFonts w:hint="eastAsia" w:eastAsia="楷体_GB2312"/>
          <w:sz w:val="32"/>
          <w:szCs w:val="32"/>
        </w:rPr>
        <w:t>。</w:t>
      </w:r>
    </w:p>
    <w:p>
      <w:pPr>
        <w:spacing w:line="600" w:lineRule="exact"/>
        <w:ind w:firstLine="640"/>
        <w:rPr>
          <w:rFonts w:eastAsia="仿宋_GB2312"/>
          <w:sz w:val="32"/>
          <w:szCs w:val="32"/>
        </w:rPr>
      </w:pPr>
      <w:r>
        <w:rPr>
          <w:rFonts w:eastAsia="仿宋_GB2312"/>
          <w:sz w:val="32"/>
          <w:szCs w:val="32"/>
        </w:rPr>
        <w:t>2023年度一般公共预算财政拨款支出211.44万元，主要用于以下方面:教育支出203.28万元，占96.14%；社会保障和就业支出3.18万元，占1.5%；卫生健康支出2.56万元，占1.21%；住房保障支出2.42万元，占1.15%。</w:t>
      </w:r>
    </w:p>
    <w:p>
      <w:pPr>
        <w:spacing w:beforeLines="30"/>
        <w:jc w:val="center"/>
        <w:rPr>
          <w:rFonts w:eastAsia="仿宋_GB2312"/>
          <w:kern w:val="0"/>
          <w:sz w:val="30"/>
        </w:rPr>
      </w:pPr>
      <w:r>
        <w:rPr>
          <w:rFonts w:eastAsia="仿宋_GB2312"/>
          <w:kern w:val="0"/>
          <w:sz w:val="30"/>
        </w:rPr>
        <w:drawing>
          <wp:inline distT="0" distB="0" distL="0" distR="0">
            <wp:extent cx="4869180" cy="2232660"/>
            <wp:effectExtent l="0" t="0" r="26670" b="15240"/>
            <wp:docPr id="7" name="图表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pPr>
        <w:spacing w:line="600" w:lineRule="exact"/>
        <w:ind w:firstLine="640"/>
        <w:jc w:val="center"/>
        <w:rPr>
          <w:rFonts w:eastAsia="仿宋_GB2312"/>
          <w:sz w:val="32"/>
          <w:szCs w:val="32"/>
        </w:rPr>
      </w:pPr>
      <w:r>
        <w:rPr>
          <w:rFonts w:eastAsia="仿宋_GB2312"/>
          <w:sz w:val="32"/>
          <w:szCs w:val="32"/>
        </w:rPr>
        <w:t>图6：一般公共预算财政拨款支出决算结构</w:t>
      </w:r>
    </w:p>
    <w:p>
      <w:pPr>
        <w:spacing w:line="600" w:lineRule="exact"/>
        <w:ind w:firstLine="640"/>
        <w:outlineLvl w:val="2"/>
        <w:rPr>
          <w:rFonts w:eastAsia="楷体_GB2312"/>
          <w:sz w:val="32"/>
          <w:szCs w:val="32"/>
        </w:rPr>
      </w:pPr>
      <w:bookmarkStart w:id="29" w:name="_Toc15377212"/>
      <w:r>
        <w:rPr>
          <w:rFonts w:hint="eastAsia" w:eastAsia="楷体_GB2312"/>
          <w:sz w:val="32"/>
          <w:szCs w:val="32"/>
        </w:rPr>
        <w:t>（三）一般公共预算财政拨款支出决算具体情况</w:t>
      </w:r>
      <w:bookmarkEnd w:id="29"/>
      <w:r>
        <w:rPr>
          <w:rFonts w:hint="eastAsia" w:eastAsia="楷体_GB2312"/>
          <w:sz w:val="32"/>
          <w:szCs w:val="32"/>
        </w:rPr>
        <w:t>。</w:t>
      </w:r>
    </w:p>
    <w:p>
      <w:pPr>
        <w:spacing w:line="600" w:lineRule="exact"/>
        <w:ind w:firstLine="640" w:firstLineChars="200"/>
        <w:outlineLvl w:val="2"/>
        <w:rPr>
          <w:rFonts w:eastAsia="仿宋_GB2312"/>
          <w:sz w:val="32"/>
          <w:szCs w:val="32"/>
        </w:rPr>
      </w:pPr>
      <w:bookmarkStart w:id="30" w:name="_Toc15377444"/>
      <w:bookmarkStart w:id="31" w:name="_Toc15378460"/>
      <w:bookmarkStart w:id="32" w:name="_Toc15377213"/>
      <w:bookmarkStart w:id="33" w:name="_Toc15377214"/>
      <w:bookmarkStart w:id="34" w:name="_Toc15396608"/>
      <w:r>
        <w:rPr>
          <w:rFonts w:eastAsia="仿宋_GB2312"/>
          <w:sz w:val="32"/>
          <w:szCs w:val="32"/>
        </w:rPr>
        <w:t>2023年度一般公共预算支出决算数为211.44</w:t>
      </w:r>
      <w:r>
        <w:rPr>
          <w:rFonts w:hint="eastAsia" w:eastAsia="仿宋_GB2312"/>
          <w:sz w:val="32"/>
          <w:szCs w:val="32"/>
          <w:lang w:val="en-US" w:eastAsia="zh-CN"/>
        </w:rPr>
        <w:t>万元</w:t>
      </w:r>
      <w:r>
        <w:rPr>
          <w:rFonts w:eastAsia="仿宋_GB2312"/>
          <w:sz w:val="32"/>
          <w:szCs w:val="32"/>
        </w:rPr>
        <w:t>，完成预算100%。其中：</w:t>
      </w:r>
      <w:bookmarkEnd w:id="30"/>
      <w:bookmarkEnd w:id="31"/>
      <w:bookmarkEnd w:id="32"/>
    </w:p>
    <w:p>
      <w:pPr>
        <w:spacing w:line="600" w:lineRule="exact"/>
        <w:ind w:firstLine="643" w:firstLineChars="200"/>
        <w:rPr>
          <w:rFonts w:eastAsia="仿宋_GB2312"/>
          <w:sz w:val="32"/>
          <w:szCs w:val="32"/>
        </w:rPr>
      </w:pPr>
      <w:r>
        <w:rPr>
          <w:rFonts w:eastAsia="仿宋_GB2312"/>
          <w:b/>
          <w:sz w:val="32"/>
          <w:szCs w:val="32"/>
        </w:rPr>
        <w:t>1.教育支出（205类）普通教育（02款）初中教育（03项）</w:t>
      </w:r>
      <w:r>
        <w:rPr>
          <w:rFonts w:eastAsia="仿宋_GB2312"/>
          <w:sz w:val="32"/>
          <w:szCs w:val="32"/>
        </w:rPr>
        <w:t>: 支出决算为203.28万元，完成预算100%。</w:t>
      </w:r>
    </w:p>
    <w:p>
      <w:pPr>
        <w:spacing w:line="600" w:lineRule="exact"/>
        <w:ind w:firstLine="643" w:firstLineChars="200"/>
        <w:rPr>
          <w:rFonts w:eastAsia="仿宋_GB2312"/>
          <w:sz w:val="32"/>
          <w:szCs w:val="32"/>
        </w:rPr>
      </w:pPr>
      <w:r>
        <w:rPr>
          <w:rFonts w:eastAsia="仿宋_GB2312"/>
          <w:b/>
          <w:sz w:val="32"/>
          <w:szCs w:val="32"/>
        </w:rPr>
        <w:t>2.社会保障和就业支出（208类）行政事业单位养老支出（05款）机关事业单位基本养老保险缴费支出（05项）:</w:t>
      </w:r>
      <w:r>
        <w:rPr>
          <w:rFonts w:eastAsia="仿宋_GB2312"/>
          <w:sz w:val="32"/>
          <w:szCs w:val="32"/>
        </w:rPr>
        <w:t>支出决算为3.18万元，完成预算100%。</w:t>
      </w:r>
    </w:p>
    <w:p>
      <w:pPr>
        <w:spacing w:line="600" w:lineRule="exact"/>
        <w:ind w:firstLine="643" w:firstLineChars="200"/>
        <w:rPr>
          <w:rFonts w:eastAsia="仿宋_GB2312"/>
          <w:sz w:val="32"/>
          <w:szCs w:val="32"/>
        </w:rPr>
      </w:pPr>
      <w:r>
        <w:rPr>
          <w:rFonts w:eastAsia="仿宋_GB2312"/>
          <w:b/>
          <w:sz w:val="32"/>
          <w:szCs w:val="32"/>
        </w:rPr>
        <w:t>3.卫生健康支出（210类）</w:t>
      </w:r>
      <w:r>
        <w:rPr>
          <w:rFonts w:eastAsia="仿宋_GB2312"/>
          <w:sz w:val="32"/>
          <w:szCs w:val="32"/>
        </w:rPr>
        <w:t>:支出决算为2.56万元，完成预算100%</w:t>
      </w:r>
      <w:r>
        <w:rPr>
          <w:rFonts w:eastAsia="仿宋_GB2312"/>
        </w:rPr>
        <w:t>。</w:t>
      </w:r>
    </w:p>
    <w:p>
      <w:pPr>
        <w:spacing w:line="600" w:lineRule="exact"/>
        <w:ind w:firstLine="640" w:firstLineChars="200"/>
        <w:rPr>
          <w:rFonts w:eastAsia="仿宋_GB2312"/>
          <w:sz w:val="32"/>
          <w:szCs w:val="32"/>
        </w:rPr>
      </w:pPr>
      <w:r>
        <w:rPr>
          <w:rFonts w:hint="eastAsia" w:ascii="宋体" w:hAnsi="宋体" w:cs="宋体"/>
          <w:sz w:val="32"/>
          <w:szCs w:val="32"/>
        </w:rPr>
        <w:t>①</w:t>
      </w:r>
      <w:r>
        <w:rPr>
          <w:rFonts w:eastAsia="仿宋_GB2312"/>
          <w:sz w:val="32"/>
          <w:szCs w:val="32"/>
        </w:rPr>
        <w:t>卫生健康支出（210类）行政事业单位医疗（11款）事业单位医疗（02项）:支出决算为1.85万元，完成预算100%</w:t>
      </w:r>
      <w:r>
        <w:rPr>
          <w:rFonts w:eastAsia="仿宋_GB2312"/>
        </w:rPr>
        <w:t>。</w:t>
      </w:r>
    </w:p>
    <w:p>
      <w:pPr>
        <w:spacing w:line="600" w:lineRule="exact"/>
        <w:ind w:firstLine="640" w:firstLineChars="200"/>
        <w:rPr>
          <w:rFonts w:eastAsia="仿宋_GB2312"/>
          <w:sz w:val="32"/>
          <w:szCs w:val="32"/>
        </w:rPr>
      </w:pPr>
      <w:r>
        <w:rPr>
          <w:rFonts w:hint="eastAsia" w:ascii="宋体" w:hAnsi="宋体" w:cs="宋体"/>
          <w:sz w:val="32"/>
          <w:szCs w:val="32"/>
        </w:rPr>
        <w:t>②</w:t>
      </w:r>
      <w:r>
        <w:rPr>
          <w:rFonts w:eastAsia="仿宋_GB2312"/>
          <w:sz w:val="32"/>
          <w:szCs w:val="32"/>
        </w:rPr>
        <w:t>卫生健康支出（210类）行政事业单位医疗（11款）其他行政事业单位医疗支出（99项）:支出决算为0.71万元，完成预算100%</w:t>
      </w:r>
      <w:r>
        <w:rPr>
          <w:rFonts w:eastAsia="仿宋_GB2312"/>
        </w:rPr>
        <w:t>。</w:t>
      </w:r>
    </w:p>
    <w:p>
      <w:pPr>
        <w:spacing w:line="600" w:lineRule="exact"/>
        <w:ind w:firstLine="643" w:firstLineChars="200"/>
        <w:rPr>
          <w:rFonts w:eastAsia="仿宋_GB2312"/>
          <w:sz w:val="32"/>
          <w:szCs w:val="32"/>
        </w:rPr>
      </w:pPr>
      <w:r>
        <w:rPr>
          <w:rFonts w:eastAsia="仿宋_GB2312"/>
          <w:b/>
          <w:sz w:val="32"/>
          <w:szCs w:val="32"/>
        </w:rPr>
        <w:t>4.住房保障支出（221类）住房改革支出（02款）住房公积金（01项）：</w:t>
      </w:r>
      <w:r>
        <w:rPr>
          <w:rFonts w:eastAsia="仿宋_GB2312"/>
          <w:sz w:val="32"/>
          <w:szCs w:val="32"/>
        </w:rPr>
        <w:t>支出决算为2.42万元，完成预算100%</w:t>
      </w:r>
      <w:r>
        <w:rPr>
          <w:rFonts w:eastAsia="仿宋_GB2312"/>
        </w:rPr>
        <w:t>。</w:t>
      </w:r>
    </w:p>
    <w:p>
      <w:pPr>
        <w:tabs>
          <w:tab w:val="right" w:pos="8306"/>
        </w:tabs>
        <w:spacing w:line="600" w:lineRule="exact"/>
        <w:ind w:firstLine="640"/>
        <w:outlineLvl w:val="1"/>
        <w:rPr>
          <w:rStyle w:val="29"/>
        </w:rPr>
      </w:pPr>
      <w:r>
        <w:rPr>
          <w:rFonts w:hint="eastAsia" w:ascii="黑体" w:eastAsia="黑体"/>
          <w:sz w:val="32"/>
          <w:szCs w:val="32"/>
        </w:rPr>
        <w:t>六</w:t>
      </w:r>
      <w:r>
        <w:rPr>
          <w:rFonts w:hint="eastAsia" w:ascii="黑体" w:eastAsia="黑体"/>
          <w:b/>
          <w:sz w:val="32"/>
          <w:szCs w:val="32"/>
        </w:rPr>
        <w:t>、</w:t>
      </w:r>
      <w:r>
        <w:rPr>
          <w:rFonts w:hint="eastAsia" w:ascii="黑体" w:hAnsi="黑体" w:eastAsia="黑体"/>
          <w:b/>
          <w:sz w:val="32"/>
          <w:szCs w:val="32"/>
        </w:rPr>
        <w:t>一</w:t>
      </w:r>
      <w:r>
        <w:rPr>
          <w:rStyle w:val="29"/>
          <w:rFonts w:hint="eastAsia" w:ascii="黑体" w:hAnsi="黑体" w:eastAsia="黑体"/>
          <w:b w:val="0"/>
        </w:rPr>
        <w:t>般公共预算财政拨款基本支出决算情况说明</w:t>
      </w:r>
      <w:bookmarkEnd w:id="33"/>
      <w:bookmarkEnd w:id="34"/>
      <w:r>
        <w:rPr>
          <w:rStyle w:val="29"/>
          <w:rFonts w:ascii="黑体" w:hAnsi="黑体" w:eastAsia="黑体"/>
          <w:b w:val="0"/>
        </w:rPr>
        <w:tab/>
      </w:r>
    </w:p>
    <w:p>
      <w:pPr>
        <w:spacing w:line="600" w:lineRule="exact"/>
        <w:ind w:firstLine="645"/>
        <w:rPr>
          <w:rFonts w:ascii="仿宋" w:hAnsi="仿宋" w:eastAsia="仿宋"/>
          <w:sz w:val="32"/>
          <w:szCs w:val="32"/>
        </w:rPr>
      </w:pPr>
      <w:r>
        <w:rPr>
          <w:rFonts w:hint="eastAsia" w:ascii="仿宋" w:hAnsi="仿宋" w:eastAsia="仿宋"/>
          <w:sz w:val="32"/>
          <w:szCs w:val="32"/>
        </w:rPr>
        <w:t>2023年度一般公共预算财政拨款基本支出</w:t>
      </w:r>
      <w:r>
        <w:rPr>
          <w:sz w:val="32"/>
          <w:szCs w:val="32"/>
        </w:rPr>
        <w:t>196.24</w:t>
      </w:r>
      <w:r>
        <w:rPr>
          <w:rFonts w:hint="eastAsia" w:ascii="仿宋" w:hAnsi="仿宋" w:eastAsia="仿宋"/>
          <w:sz w:val="32"/>
          <w:szCs w:val="32"/>
        </w:rPr>
        <w:t>万元，其中：</w:t>
      </w:r>
    </w:p>
    <w:p>
      <w:pPr>
        <w:spacing w:line="600" w:lineRule="exact"/>
        <w:ind w:firstLine="645"/>
        <w:rPr>
          <w:rFonts w:eastAsia="仿宋_GB2312"/>
          <w:sz w:val="32"/>
          <w:szCs w:val="32"/>
        </w:rPr>
      </w:pPr>
      <w:bookmarkStart w:id="35" w:name="_Toc15377215"/>
      <w:bookmarkStart w:id="36" w:name="_Toc15396609"/>
      <w:r>
        <w:rPr>
          <w:rFonts w:eastAsia="仿宋_GB2312"/>
          <w:sz w:val="32"/>
          <w:szCs w:val="32"/>
        </w:rPr>
        <w:t>人员经费30.82万元，主要包括：基本工资、津贴补贴、绩效工资、机关事业单位基本养老保险缴费、职工基本医疗保险缴费、其他社会保障缴费、住房公积金、医疗费、其他工资福利支出等。</w:t>
      </w:r>
    </w:p>
    <w:p>
      <w:pPr>
        <w:spacing w:line="600" w:lineRule="exact"/>
        <w:ind w:firstLine="645"/>
        <w:rPr>
          <w:rFonts w:eastAsia="仿宋_GB2312"/>
          <w:sz w:val="32"/>
          <w:szCs w:val="32"/>
        </w:rPr>
      </w:pPr>
      <w:r>
        <w:rPr>
          <w:rFonts w:eastAsia="仿宋_GB2312"/>
          <w:sz w:val="32"/>
          <w:szCs w:val="32"/>
        </w:rPr>
        <w:t>公用经费165.42万元，主要包括：办公费、印刷费、咨询费、水费、电费、物业管理费、差旅费、维修（护）费、租赁费、培训费、专用材料费、劳务费、委托业务费、工会经费、其他交通费、其他商品和服务支出等。</w:t>
      </w:r>
    </w:p>
    <w:p>
      <w:pPr>
        <w:spacing w:line="600" w:lineRule="exact"/>
        <w:ind w:firstLine="640"/>
        <w:outlineLvl w:val="1"/>
        <w:rPr>
          <w:rStyle w:val="29"/>
          <w:rFonts w:ascii="黑体" w:hAnsi="黑体" w:eastAsia="黑体"/>
          <w:b w:val="0"/>
        </w:rPr>
      </w:pPr>
      <w:r>
        <w:rPr>
          <w:rFonts w:hint="eastAsia" w:ascii="黑体" w:eastAsia="黑体"/>
          <w:sz w:val="32"/>
          <w:szCs w:val="32"/>
        </w:rPr>
        <w:t>七、</w:t>
      </w:r>
      <w:r>
        <w:rPr>
          <w:rStyle w:val="29"/>
          <w:rFonts w:hint="eastAsia" w:ascii="黑体" w:hAnsi="黑体" w:eastAsia="黑体"/>
          <w:b w:val="0"/>
        </w:rPr>
        <w:t>财政拨款</w:t>
      </w:r>
      <w:r>
        <w:rPr>
          <w:rStyle w:val="29"/>
          <w:rFonts w:hint="eastAsia" w:ascii="黑体" w:hAnsi="黑体" w:eastAsia="黑体"/>
        </w:rPr>
        <w:t>“</w:t>
      </w:r>
      <w:r>
        <w:rPr>
          <w:rStyle w:val="29"/>
          <w:rFonts w:hint="eastAsia" w:ascii="黑体" w:hAnsi="黑体" w:eastAsia="黑体"/>
          <w:b w:val="0"/>
        </w:rPr>
        <w:t>三公”经费支出决算情况说明</w:t>
      </w:r>
      <w:bookmarkEnd w:id="35"/>
      <w:bookmarkEnd w:id="36"/>
    </w:p>
    <w:p>
      <w:pPr>
        <w:spacing w:line="600" w:lineRule="exact"/>
        <w:ind w:firstLine="640"/>
        <w:outlineLvl w:val="2"/>
        <w:rPr>
          <w:rFonts w:eastAsia="楷体_GB2312"/>
          <w:sz w:val="32"/>
          <w:szCs w:val="32"/>
        </w:rPr>
      </w:pPr>
      <w:bookmarkStart w:id="37" w:name="_Toc15377216"/>
      <w:r>
        <w:rPr>
          <w:rFonts w:hint="eastAsia" w:eastAsia="楷体_GB2312"/>
          <w:sz w:val="32"/>
          <w:szCs w:val="32"/>
        </w:rPr>
        <w:t>（一）“三公”经费财政拨款支出决算总体情况说明</w:t>
      </w:r>
      <w:bookmarkEnd w:id="37"/>
      <w:r>
        <w:rPr>
          <w:rFonts w:hint="eastAsia" w:eastAsia="楷体_GB2312"/>
          <w:sz w:val="32"/>
          <w:szCs w:val="32"/>
        </w:rPr>
        <w:t>。</w:t>
      </w:r>
    </w:p>
    <w:p>
      <w:pPr>
        <w:spacing w:line="600" w:lineRule="exact"/>
        <w:ind w:firstLine="640"/>
        <w:rPr>
          <w:rFonts w:eastAsia="仿宋_GB2312"/>
          <w:sz w:val="32"/>
          <w:szCs w:val="32"/>
        </w:rPr>
      </w:pPr>
      <w:r>
        <w:rPr>
          <w:rFonts w:hint="eastAsia" w:eastAsia="仿宋_GB2312"/>
          <w:sz w:val="32"/>
          <w:szCs w:val="32"/>
        </w:rPr>
        <w:t>2023年度“三公”经费财政拨款支出决算为</w:t>
      </w:r>
      <w:r>
        <w:rPr>
          <w:rFonts w:eastAsia="仿宋_GB2312"/>
          <w:sz w:val="32"/>
          <w:szCs w:val="32"/>
        </w:rPr>
        <w:t>0</w:t>
      </w:r>
      <w:r>
        <w:rPr>
          <w:rFonts w:hint="eastAsia" w:eastAsia="仿宋_GB2312"/>
          <w:sz w:val="32"/>
          <w:szCs w:val="32"/>
        </w:rPr>
        <w:t>万元，完成预算</w:t>
      </w:r>
      <w:r>
        <w:rPr>
          <w:rFonts w:eastAsia="仿宋_GB2312"/>
          <w:sz w:val="32"/>
          <w:szCs w:val="32"/>
        </w:rPr>
        <w:t>0%</w:t>
      </w:r>
      <w:r>
        <w:rPr>
          <w:rFonts w:hint="eastAsia" w:eastAsia="仿宋_GB2312"/>
          <w:sz w:val="32"/>
          <w:szCs w:val="32"/>
        </w:rPr>
        <w:t>。</w:t>
      </w:r>
    </w:p>
    <w:p>
      <w:pPr>
        <w:spacing w:line="600" w:lineRule="exact"/>
        <w:ind w:firstLine="640"/>
        <w:outlineLvl w:val="2"/>
        <w:rPr>
          <w:rFonts w:eastAsia="楷体_GB2312"/>
          <w:sz w:val="32"/>
          <w:szCs w:val="32"/>
        </w:rPr>
      </w:pPr>
      <w:bookmarkStart w:id="38" w:name="_Toc15377217"/>
      <w:r>
        <w:rPr>
          <w:rFonts w:hint="eastAsia" w:eastAsia="楷体_GB2312"/>
          <w:sz w:val="32"/>
          <w:szCs w:val="32"/>
        </w:rPr>
        <w:t>（二）“三公”经费财政拨款支出决算具体情况说明</w:t>
      </w:r>
      <w:bookmarkEnd w:id="38"/>
      <w:r>
        <w:rPr>
          <w:rFonts w:hint="eastAsia" w:eastAsia="楷体_GB2312"/>
          <w:sz w:val="32"/>
          <w:szCs w:val="32"/>
        </w:rPr>
        <w:t>。</w:t>
      </w:r>
    </w:p>
    <w:p>
      <w:pPr>
        <w:spacing w:line="600" w:lineRule="exact"/>
        <w:ind w:firstLine="640"/>
        <w:rPr>
          <w:rFonts w:ascii="仿宋" w:hAnsi="仿宋" w:eastAsia="仿宋"/>
          <w:sz w:val="32"/>
          <w:szCs w:val="32"/>
        </w:rPr>
      </w:pPr>
      <w:r>
        <w:rPr>
          <w:rFonts w:hint="eastAsia" w:eastAsia="仿宋_GB2312"/>
          <w:sz w:val="32"/>
          <w:szCs w:val="32"/>
        </w:rPr>
        <w:t>2023年度“三公”经费财政拨款支出决算中，因公出国（境）费支出决算</w:t>
      </w:r>
      <w:r>
        <w:rPr>
          <w:rFonts w:eastAsia="仿宋_GB2312"/>
          <w:sz w:val="32"/>
          <w:szCs w:val="32"/>
        </w:rPr>
        <w:t>0</w:t>
      </w:r>
      <w:r>
        <w:rPr>
          <w:rFonts w:hint="eastAsia" w:eastAsia="仿宋_GB2312"/>
          <w:sz w:val="32"/>
          <w:szCs w:val="32"/>
        </w:rPr>
        <w:t>万元，占</w:t>
      </w:r>
      <w:r>
        <w:rPr>
          <w:rFonts w:eastAsia="仿宋_GB2312"/>
          <w:sz w:val="32"/>
          <w:szCs w:val="32"/>
        </w:rPr>
        <w:t>0%</w:t>
      </w:r>
      <w:r>
        <w:rPr>
          <w:rFonts w:hint="eastAsia" w:eastAsia="仿宋_GB2312"/>
          <w:sz w:val="32"/>
          <w:szCs w:val="32"/>
        </w:rPr>
        <w:t>；公务用车购置及运行维护费支出决算</w:t>
      </w:r>
      <w:r>
        <w:rPr>
          <w:rFonts w:eastAsia="仿宋_GB2312"/>
          <w:sz w:val="32"/>
          <w:szCs w:val="32"/>
        </w:rPr>
        <w:t>0</w:t>
      </w:r>
      <w:r>
        <w:rPr>
          <w:rFonts w:hint="eastAsia" w:eastAsia="仿宋_GB2312"/>
          <w:sz w:val="32"/>
          <w:szCs w:val="32"/>
        </w:rPr>
        <w:t>万元，占</w:t>
      </w:r>
      <w:r>
        <w:rPr>
          <w:rFonts w:eastAsia="仿宋_GB2312"/>
          <w:sz w:val="32"/>
          <w:szCs w:val="32"/>
        </w:rPr>
        <w:t>0%</w:t>
      </w:r>
      <w:r>
        <w:rPr>
          <w:rFonts w:hint="eastAsia" w:eastAsia="仿宋_GB2312"/>
          <w:sz w:val="32"/>
          <w:szCs w:val="32"/>
        </w:rPr>
        <w:t>；公务接待费支出决算</w:t>
      </w:r>
      <w:r>
        <w:rPr>
          <w:rFonts w:eastAsia="仿宋_GB2312"/>
          <w:sz w:val="32"/>
          <w:szCs w:val="32"/>
        </w:rPr>
        <w:t>0</w:t>
      </w:r>
      <w:r>
        <w:rPr>
          <w:rFonts w:hint="eastAsia" w:eastAsia="仿宋_GB2312"/>
          <w:sz w:val="32"/>
          <w:szCs w:val="32"/>
        </w:rPr>
        <w:t>万元，占</w:t>
      </w:r>
      <w:r>
        <w:rPr>
          <w:rFonts w:eastAsia="仿宋_GB2312"/>
          <w:sz w:val="32"/>
          <w:szCs w:val="32"/>
        </w:rPr>
        <w:t>0%</w:t>
      </w:r>
      <w:r>
        <w:rPr>
          <w:rFonts w:hint="eastAsia" w:eastAsia="仿宋_GB2312"/>
          <w:sz w:val="32"/>
          <w:szCs w:val="32"/>
        </w:rPr>
        <w:t>。</w:t>
      </w:r>
    </w:p>
    <w:p>
      <w:pPr>
        <w:spacing w:line="600" w:lineRule="exact"/>
        <w:ind w:firstLine="640"/>
        <w:rPr>
          <w:rFonts w:eastAsia="仿宋_GB2312"/>
          <w:b/>
          <w:bCs/>
          <w:sz w:val="32"/>
          <w:szCs w:val="32"/>
        </w:rPr>
      </w:pPr>
      <w:r>
        <w:rPr>
          <w:rFonts w:eastAsia="仿宋_GB2312"/>
          <w:b/>
          <w:bCs/>
          <w:sz w:val="32"/>
          <w:szCs w:val="32"/>
        </w:rPr>
        <w:t>1.</w:t>
      </w:r>
      <w:r>
        <w:rPr>
          <w:rFonts w:hint="eastAsia" w:eastAsia="仿宋_GB2312"/>
          <w:b/>
          <w:bCs/>
          <w:sz w:val="32"/>
          <w:szCs w:val="32"/>
        </w:rPr>
        <w:t>因公出国（境）经费支出</w:t>
      </w:r>
      <w:r>
        <w:rPr>
          <w:rFonts w:eastAsia="仿宋_GB2312"/>
          <w:b/>
          <w:bCs/>
          <w:sz w:val="32"/>
          <w:szCs w:val="32"/>
        </w:rPr>
        <w:t>0</w:t>
      </w:r>
      <w:r>
        <w:rPr>
          <w:rFonts w:hint="eastAsia" w:eastAsia="仿宋_GB2312"/>
          <w:b/>
          <w:bCs/>
          <w:sz w:val="32"/>
          <w:szCs w:val="32"/>
        </w:rPr>
        <w:t>万元，完成预算</w:t>
      </w:r>
      <w:r>
        <w:rPr>
          <w:rFonts w:eastAsia="仿宋_GB2312"/>
          <w:b/>
          <w:bCs/>
          <w:sz w:val="32"/>
          <w:szCs w:val="32"/>
        </w:rPr>
        <w:t>0%</w:t>
      </w:r>
      <w:r>
        <w:rPr>
          <w:rFonts w:hint="eastAsia" w:eastAsia="仿宋_GB2312"/>
          <w:b/>
          <w:bCs/>
          <w:sz w:val="32"/>
          <w:szCs w:val="32"/>
        </w:rPr>
        <w:t>。</w:t>
      </w:r>
    </w:p>
    <w:p>
      <w:pPr>
        <w:spacing w:line="600" w:lineRule="exact"/>
        <w:ind w:firstLine="640"/>
        <w:rPr>
          <w:rFonts w:eastAsia="仿宋_GB2312"/>
          <w:b/>
          <w:bCs/>
          <w:sz w:val="32"/>
          <w:szCs w:val="32"/>
        </w:rPr>
      </w:pPr>
      <w:r>
        <w:rPr>
          <w:rFonts w:eastAsia="仿宋_GB2312"/>
          <w:b/>
          <w:bCs/>
          <w:sz w:val="32"/>
          <w:szCs w:val="32"/>
        </w:rPr>
        <w:t>2.</w:t>
      </w:r>
      <w:r>
        <w:rPr>
          <w:rFonts w:hint="eastAsia" w:eastAsia="仿宋_GB2312"/>
          <w:b/>
          <w:bCs/>
          <w:sz w:val="32"/>
          <w:szCs w:val="32"/>
        </w:rPr>
        <w:t>公务用车购置及运行维护费支出</w:t>
      </w:r>
      <w:r>
        <w:rPr>
          <w:rFonts w:eastAsia="仿宋_GB2312"/>
          <w:b/>
          <w:bCs/>
          <w:sz w:val="32"/>
          <w:szCs w:val="32"/>
        </w:rPr>
        <w:t>0</w:t>
      </w:r>
      <w:r>
        <w:rPr>
          <w:rFonts w:hint="eastAsia" w:eastAsia="仿宋_GB2312"/>
          <w:b/>
          <w:bCs/>
          <w:sz w:val="32"/>
          <w:szCs w:val="32"/>
        </w:rPr>
        <w:t>万元,完成预算</w:t>
      </w:r>
      <w:r>
        <w:rPr>
          <w:rFonts w:eastAsia="仿宋_GB2312"/>
          <w:b/>
          <w:bCs/>
          <w:sz w:val="32"/>
          <w:szCs w:val="32"/>
        </w:rPr>
        <w:t>0%</w:t>
      </w:r>
      <w:r>
        <w:rPr>
          <w:rFonts w:hint="eastAsia" w:eastAsia="仿宋_GB2312"/>
          <w:b/>
          <w:bCs/>
          <w:sz w:val="32"/>
          <w:szCs w:val="32"/>
        </w:rPr>
        <w:t>。</w:t>
      </w:r>
    </w:p>
    <w:p>
      <w:pPr>
        <w:spacing w:line="600" w:lineRule="exact"/>
        <w:ind w:firstLine="640"/>
        <w:rPr>
          <w:rFonts w:eastAsia="仿宋_GB2312"/>
          <w:b/>
          <w:bCs/>
          <w:sz w:val="32"/>
          <w:szCs w:val="32"/>
        </w:rPr>
      </w:pPr>
      <w:r>
        <w:rPr>
          <w:rFonts w:eastAsia="仿宋_GB2312"/>
          <w:b/>
          <w:bCs/>
          <w:sz w:val="32"/>
          <w:szCs w:val="32"/>
        </w:rPr>
        <w:t>3.</w:t>
      </w:r>
      <w:r>
        <w:rPr>
          <w:rFonts w:hint="eastAsia" w:eastAsia="仿宋_GB2312"/>
          <w:b/>
          <w:bCs/>
          <w:sz w:val="32"/>
          <w:szCs w:val="32"/>
        </w:rPr>
        <w:t>公务接待费支出</w:t>
      </w:r>
      <w:r>
        <w:rPr>
          <w:rFonts w:eastAsia="仿宋_GB2312"/>
          <w:b/>
          <w:bCs/>
          <w:sz w:val="32"/>
          <w:szCs w:val="32"/>
        </w:rPr>
        <w:t>0</w:t>
      </w:r>
      <w:r>
        <w:rPr>
          <w:rFonts w:hint="eastAsia" w:eastAsia="仿宋_GB2312"/>
          <w:b/>
          <w:bCs/>
          <w:sz w:val="32"/>
          <w:szCs w:val="32"/>
        </w:rPr>
        <w:t>万元，完成预算</w:t>
      </w:r>
      <w:r>
        <w:rPr>
          <w:rFonts w:eastAsia="仿宋_GB2312"/>
          <w:b/>
          <w:bCs/>
          <w:sz w:val="32"/>
          <w:szCs w:val="32"/>
        </w:rPr>
        <w:t>0%</w:t>
      </w:r>
      <w:r>
        <w:rPr>
          <w:rFonts w:hint="eastAsia" w:eastAsia="仿宋_GB2312"/>
          <w:b/>
          <w:bCs/>
          <w:sz w:val="32"/>
          <w:szCs w:val="32"/>
        </w:rPr>
        <w:t>。</w:t>
      </w:r>
      <w:bookmarkStart w:id="39" w:name="_Toc15396610"/>
      <w:bookmarkStart w:id="40" w:name="_Toc15377218"/>
    </w:p>
    <w:p>
      <w:pPr>
        <w:spacing w:line="600" w:lineRule="exact"/>
        <w:ind w:firstLine="640"/>
        <w:outlineLvl w:val="1"/>
        <w:rPr>
          <w:rStyle w:val="29"/>
          <w:rFonts w:ascii="黑体" w:hAnsi="黑体" w:eastAsia="黑体"/>
        </w:rPr>
      </w:pPr>
      <w:r>
        <w:rPr>
          <w:rFonts w:hint="eastAsia" w:ascii="黑体" w:eastAsia="黑体"/>
          <w:sz w:val="32"/>
          <w:szCs w:val="32"/>
        </w:rPr>
        <w:t>八、</w:t>
      </w:r>
      <w:r>
        <w:rPr>
          <w:rStyle w:val="29"/>
          <w:rFonts w:hint="eastAsia" w:ascii="黑体" w:hAnsi="黑体" w:eastAsia="黑体"/>
          <w:b w:val="0"/>
        </w:rPr>
        <w:t>政府性基金预算支出决算情况说明</w:t>
      </w:r>
      <w:bookmarkEnd w:id="39"/>
      <w:bookmarkEnd w:id="40"/>
    </w:p>
    <w:p>
      <w:pPr>
        <w:spacing w:line="600" w:lineRule="exact"/>
        <w:ind w:firstLine="640"/>
        <w:rPr>
          <w:rFonts w:ascii="仿宋_GB2312" w:eastAsia="仿宋_GB2312"/>
          <w:sz w:val="32"/>
          <w:szCs w:val="32"/>
        </w:rPr>
      </w:pPr>
      <w:r>
        <w:rPr>
          <w:rFonts w:hint="eastAsia" w:ascii="仿宋_GB2312" w:eastAsia="仿宋_GB2312"/>
          <w:sz w:val="32"/>
          <w:szCs w:val="32"/>
        </w:rPr>
        <w:t>2023年度政府性基金预算财政拨款支出</w:t>
      </w:r>
      <w:r>
        <w:rPr>
          <w:sz w:val="32"/>
          <w:szCs w:val="32"/>
        </w:rPr>
        <w:t>0</w:t>
      </w:r>
      <w:r>
        <w:rPr>
          <w:rFonts w:hint="eastAsia" w:ascii="仿宋_GB2312" w:eastAsia="仿宋_GB2312"/>
          <w:sz w:val="32"/>
          <w:szCs w:val="32"/>
        </w:rPr>
        <w:t>万元。</w:t>
      </w:r>
    </w:p>
    <w:p>
      <w:pPr>
        <w:numPr>
          <w:ilvl w:val="0"/>
          <w:numId w:val="3"/>
        </w:numPr>
        <w:spacing w:line="600" w:lineRule="exact"/>
        <w:ind w:firstLine="640"/>
        <w:outlineLvl w:val="1"/>
        <w:rPr>
          <w:rStyle w:val="29"/>
          <w:rFonts w:ascii="黑体" w:hAnsi="黑体" w:eastAsia="黑体"/>
          <w:b w:val="0"/>
        </w:rPr>
      </w:pPr>
      <w:bookmarkStart w:id="41" w:name="_Toc15377219"/>
      <w:bookmarkStart w:id="42" w:name="_Toc15396611"/>
      <w:r>
        <w:rPr>
          <w:rStyle w:val="29"/>
          <w:rFonts w:hint="eastAsia" w:ascii="黑体" w:hAnsi="黑体" w:eastAsia="黑体"/>
          <w:b w:val="0"/>
        </w:rPr>
        <w:t>国有资本经营预算支出决算情况说明</w:t>
      </w:r>
      <w:bookmarkEnd w:id="41"/>
      <w:bookmarkEnd w:id="42"/>
    </w:p>
    <w:p>
      <w:pPr>
        <w:spacing w:line="600" w:lineRule="exact"/>
        <w:ind w:firstLine="640"/>
        <w:rPr>
          <w:rFonts w:ascii="仿宋_GB2312" w:eastAsia="仿宋_GB2312"/>
          <w:sz w:val="32"/>
          <w:szCs w:val="32"/>
        </w:rPr>
      </w:pPr>
      <w:r>
        <w:rPr>
          <w:rFonts w:hint="eastAsia" w:ascii="仿宋_GB2312" w:eastAsia="仿宋_GB2312"/>
          <w:sz w:val="32"/>
          <w:szCs w:val="32"/>
        </w:rPr>
        <w:t>2023年度国有资本经营预算财政拨款支出</w:t>
      </w:r>
      <w:r>
        <w:rPr>
          <w:sz w:val="32"/>
          <w:szCs w:val="32"/>
        </w:rPr>
        <w:t>0</w:t>
      </w:r>
      <w:r>
        <w:rPr>
          <w:rFonts w:hint="eastAsia" w:ascii="仿宋_GB2312" w:eastAsia="仿宋_GB2312"/>
          <w:sz w:val="32"/>
          <w:szCs w:val="32"/>
        </w:rPr>
        <w:t>万元。</w:t>
      </w:r>
    </w:p>
    <w:p>
      <w:pPr>
        <w:numPr>
          <w:ilvl w:val="0"/>
          <w:numId w:val="3"/>
        </w:numPr>
        <w:spacing w:line="600" w:lineRule="exact"/>
        <w:ind w:firstLine="640"/>
        <w:outlineLvl w:val="1"/>
        <w:rPr>
          <w:rStyle w:val="29"/>
          <w:rFonts w:ascii="黑体" w:hAnsi="黑体" w:eastAsia="黑体"/>
          <w:b w:val="0"/>
        </w:rPr>
      </w:pPr>
      <w:bookmarkStart w:id="43" w:name="_Toc15377221"/>
      <w:bookmarkStart w:id="44" w:name="_Toc15396612"/>
      <w:r>
        <w:rPr>
          <w:rStyle w:val="29"/>
          <w:rFonts w:hint="eastAsia" w:ascii="黑体" w:hAnsi="黑体" w:eastAsia="黑体"/>
          <w:b w:val="0"/>
        </w:rPr>
        <w:t>其他重要事项的情况说明</w:t>
      </w:r>
      <w:bookmarkEnd w:id="43"/>
      <w:bookmarkEnd w:id="44"/>
    </w:p>
    <w:p>
      <w:pPr>
        <w:spacing w:line="600" w:lineRule="exact"/>
        <w:ind w:firstLine="640"/>
        <w:outlineLvl w:val="2"/>
        <w:rPr>
          <w:rFonts w:eastAsia="楷体_GB2312"/>
          <w:sz w:val="32"/>
          <w:szCs w:val="32"/>
        </w:rPr>
      </w:pPr>
      <w:bookmarkStart w:id="45" w:name="_Toc15377222"/>
      <w:r>
        <w:rPr>
          <w:rFonts w:hint="eastAsia" w:eastAsia="楷体_GB2312"/>
          <w:sz w:val="32"/>
          <w:szCs w:val="32"/>
        </w:rPr>
        <w:t>（一）机关运行经费支出情况</w:t>
      </w:r>
      <w:bookmarkEnd w:id="45"/>
      <w:r>
        <w:rPr>
          <w:rFonts w:hint="eastAsia" w:eastAsia="楷体_GB2312"/>
          <w:sz w:val="32"/>
          <w:szCs w:val="32"/>
        </w:rPr>
        <w:t>。</w:t>
      </w:r>
    </w:p>
    <w:p>
      <w:pPr>
        <w:spacing w:line="600" w:lineRule="exact"/>
        <w:ind w:firstLine="640" w:firstLineChars="200"/>
        <w:rPr>
          <w:rFonts w:ascii="仿宋" w:hAnsi="仿宋" w:eastAsia="仿宋"/>
          <w:b/>
          <w:sz w:val="32"/>
          <w:szCs w:val="32"/>
        </w:rPr>
      </w:pPr>
      <w:r>
        <w:rPr>
          <w:rFonts w:hint="eastAsia" w:eastAsia="仿宋_GB2312"/>
          <w:sz w:val="32"/>
          <w:szCs w:val="32"/>
        </w:rPr>
        <w:t>2023年度，盐边县第一初级中学校机关运行经费支出</w:t>
      </w:r>
      <w:r>
        <w:rPr>
          <w:rFonts w:eastAsia="仿宋_GB2312"/>
          <w:sz w:val="32"/>
          <w:szCs w:val="32"/>
        </w:rPr>
        <w:t>0</w:t>
      </w:r>
      <w:r>
        <w:rPr>
          <w:rFonts w:hint="eastAsia" w:eastAsia="仿宋_GB2312"/>
          <w:sz w:val="32"/>
          <w:szCs w:val="32"/>
        </w:rPr>
        <w:t>万元。</w:t>
      </w:r>
    </w:p>
    <w:p>
      <w:pPr>
        <w:spacing w:line="600" w:lineRule="exact"/>
        <w:ind w:firstLine="640"/>
        <w:outlineLvl w:val="2"/>
        <w:rPr>
          <w:rFonts w:eastAsia="楷体_GB2312"/>
          <w:sz w:val="32"/>
          <w:szCs w:val="32"/>
        </w:rPr>
      </w:pPr>
      <w:bookmarkStart w:id="46" w:name="_Toc15377223"/>
      <w:r>
        <w:rPr>
          <w:rFonts w:hint="eastAsia" w:eastAsia="楷体_GB2312"/>
          <w:sz w:val="32"/>
          <w:szCs w:val="32"/>
        </w:rPr>
        <w:t>（二）政府采购支出情况</w:t>
      </w:r>
      <w:bookmarkEnd w:id="46"/>
      <w:r>
        <w:rPr>
          <w:rFonts w:hint="eastAsia" w:eastAsia="楷体_GB2312"/>
          <w:sz w:val="32"/>
          <w:szCs w:val="32"/>
        </w:rPr>
        <w:t>。</w:t>
      </w:r>
    </w:p>
    <w:p>
      <w:pPr>
        <w:spacing w:line="600" w:lineRule="exact"/>
        <w:ind w:firstLine="640" w:firstLineChars="200"/>
        <w:rPr>
          <w:rFonts w:eastAsia="仿宋_GB2312"/>
          <w:sz w:val="32"/>
          <w:szCs w:val="32"/>
        </w:rPr>
      </w:pPr>
      <w:r>
        <w:rPr>
          <w:rFonts w:hint="eastAsia" w:eastAsia="仿宋_GB2312"/>
          <w:sz w:val="32"/>
          <w:szCs w:val="32"/>
        </w:rPr>
        <w:t>2023年度，盐边县第一初级中学校政府采购支出总额</w:t>
      </w:r>
      <w:r>
        <w:rPr>
          <w:rFonts w:eastAsia="仿宋_GB2312"/>
          <w:sz w:val="32"/>
          <w:szCs w:val="32"/>
        </w:rPr>
        <w:t>780</w:t>
      </w:r>
      <w:r>
        <w:rPr>
          <w:rFonts w:hint="eastAsia" w:eastAsia="仿宋_GB2312"/>
          <w:sz w:val="32"/>
          <w:szCs w:val="32"/>
        </w:rPr>
        <w:t>万元，其中：政府采购货物支出</w:t>
      </w:r>
      <w:r>
        <w:rPr>
          <w:rFonts w:eastAsia="仿宋_GB2312"/>
          <w:sz w:val="32"/>
          <w:szCs w:val="32"/>
        </w:rPr>
        <w:t>0</w:t>
      </w:r>
      <w:r>
        <w:rPr>
          <w:rFonts w:hint="eastAsia" w:eastAsia="仿宋_GB2312"/>
          <w:sz w:val="32"/>
          <w:szCs w:val="32"/>
        </w:rPr>
        <w:t>万元、政府采购工程支出</w:t>
      </w:r>
      <w:r>
        <w:rPr>
          <w:rFonts w:eastAsia="仿宋_GB2312"/>
          <w:sz w:val="32"/>
          <w:szCs w:val="32"/>
        </w:rPr>
        <w:t>0</w:t>
      </w:r>
      <w:r>
        <w:rPr>
          <w:rFonts w:hint="eastAsia" w:eastAsia="仿宋_GB2312"/>
          <w:sz w:val="32"/>
          <w:szCs w:val="32"/>
        </w:rPr>
        <w:t>万元、政府采购服务支出</w:t>
      </w:r>
      <w:r>
        <w:rPr>
          <w:rFonts w:eastAsia="仿宋_GB2312"/>
          <w:sz w:val="32"/>
          <w:szCs w:val="32"/>
        </w:rPr>
        <w:t>780</w:t>
      </w:r>
      <w:r>
        <w:rPr>
          <w:rFonts w:hint="eastAsia" w:eastAsia="仿宋_GB2312"/>
          <w:sz w:val="32"/>
          <w:szCs w:val="32"/>
        </w:rPr>
        <w:t>万元。主要用于新建校区教学设备设施的采购、学生宿舍、食堂设备购买，监控系统、网络系统安装等。授予中小企业合同金额</w:t>
      </w:r>
      <w:r>
        <w:rPr>
          <w:rFonts w:eastAsia="仿宋_GB2312"/>
          <w:sz w:val="32"/>
          <w:szCs w:val="32"/>
        </w:rPr>
        <w:t>780</w:t>
      </w:r>
      <w:r>
        <w:rPr>
          <w:rFonts w:hint="eastAsia" w:eastAsia="仿宋_GB2312"/>
          <w:sz w:val="32"/>
          <w:szCs w:val="32"/>
        </w:rPr>
        <w:t>万元，占政府采购支出总额的</w:t>
      </w:r>
      <w:r>
        <w:rPr>
          <w:rFonts w:eastAsia="仿宋_GB2312"/>
          <w:sz w:val="32"/>
          <w:szCs w:val="32"/>
        </w:rPr>
        <w:t>100%</w:t>
      </w:r>
      <w:r>
        <w:rPr>
          <w:rFonts w:hint="eastAsia" w:eastAsia="仿宋_GB2312"/>
          <w:sz w:val="32"/>
          <w:szCs w:val="32"/>
        </w:rPr>
        <w:t>，其中：授予小微企业合同金额</w:t>
      </w:r>
      <w:r>
        <w:rPr>
          <w:rFonts w:eastAsia="仿宋_GB2312"/>
          <w:sz w:val="32"/>
          <w:szCs w:val="32"/>
        </w:rPr>
        <w:t>780</w:t>
      </w:r>
      <w:r>
        <w:rPr>
          <w:rFonts w:hint="eastAsia" w:eastAsia="仿宋_GB2312"/>
          <w:sz w:val="32"/>
          <w:szCs w:val="32"/>
        </w:rPr>
        <w:t>万元，占政府采购支出总额的</w:t>
      </w:r>
      <w:r>
        <w:rPr>
          <w:rFonts w:eastAsia="仿宋_GB2312"/>
          <w:sz w:val="32"/>
          <w:szCs w:val="32"/>
        </w:rPr>
        <w:t>100%</w:t>
      </w:r>
      <w:r>
        <w:rPr>
          <w:rFonts w:hint="eastAsia" w:eastAsia="仿宋_GB2312"/>
          <w:sz w:val="32"/>
          <w:szCs w:val="32"/>
        </w:rPr>
        <w:t>。</w:t>
      </w:r>
    </w:p>
    <w:p>
      <w:pPr>
        <w:spacing w:line="600" w:lineRule="exact"/>
        <w:ind w:firstLine="640"/>
        <w:outlineLvl w:val="2"/>
        <w:rPr>
          <w:rFonts w:eastAsia="楷体_GB2312"/>
          <w:sz w:val="32"/>
          <w:szCs w:val="32"/>
        </w:rPr>
      </w:pPr>
      <w:bookmarkStart w:id="47" w:name="_Toc15377224"/>
      <w:r>
        <w:rPr>
          <w:rFonts w:hint="eastAsia" w:eastAsia="楷体_GB2312"/>
          <w:sz w:val="32"/>
          <w:szCs w:val="32"/>
        </w:rPr>
        <w:t>（三）国有资产占有使用情况</w:t>
      </w:r>
      <w:bookmarkEnd w:id="47"/>
      <w:r>
        <w:rPr>
          <w:rFonts w:hint="eastAsia" w:eastAsia="楷体_GB2312"/>
          <w:sz w:val="32"/>
          <w:szCs w:val="32"/>
        </w:rPr>
        <w:t>。</w:t>
      </w:r>
    </w:p>
    <w:p>
      <w:pPr>
        <w:autoSpaceDE w:val="0"/>
        <w:autoSpaceDN w:val="0"/>
        <w:adjustRightInd w:val="0"/>
        <w:spacing w:line="600" w:lineRule="exact"/>
        <w:ind w:firstLine="640" w:firstLineChars="200"/>
        <w:jc w:val="left"/>
        <w:rPr>
          <w:rFonts w:eastAsia="仿宋_GB2312"/>
          <w:sz w:val="32"/>
          <w:szCs w:val="32"/>
        </w:rPr>
      </w:pPr>
      <w:r>
        <w:rPr>
          <w:rFonts w:hint="eastAsia" w:eastAsia="仿宋_GB2312"/>
          <w:sz w:val="32"/>
          <w:szCs w:val="32"/>
        </w:rPr>
        <w:t>截至2023年</w:t>
      </w:r>
      <w:r>
        <w:rPr>
          <w:rFonts w:eastAsia="仿宋_GB2312"/>
          <w:sz w:val="32"/>
          <w:szCs w:val="32"/>
        </w:rPr>
        <w:t>12</w:t>
      </w:r>
      <w:r>
        <w:rPr>
          <w:rFonts w:hint="eastAsia" w:eastAsia="仿宋_GB2312"/>
          <w:sz w:val="32"/>
          <w:szCs w:val="32"/>
        </w:rPr>
        <w:t>月</w:t>
      </w:r>
      <w:r>
        <w:rPr>
          <w:rFonts w:eastAsia="仿宋_GB2312"/>
          <w:sz w:val="32"/>
          <w:szCs w:val="32"/>
        </w:rPr>
        <w:t>31</w:t>
      </w:r>
      <w:r>
        <w:rPr>
          <w:rFonts w:hint="eastAsia" w:eastAsia="仿宋_GB2312"/>
          <w:sz w:val="32"/>
          <w:szCs w:val="32"/>
        </w:rPr>
        <w:t>日，盐边县第一初级中学校共有车辆</w:t>
      </w:r>
      <w:r>
        <w:rPr>
          <w:rFonts w:eastAsia="仿宋_GB2312"/>
          <w:sz w:val="32"/>
          <w:szCs w:val="32"/>
        </w:rPr>
        <w:t>0</w:t>
      </w:r>
      <w:r>
        <w:rPr>
          <w:rFonts w:hint="eastAsia" w:eastAsia="仿宋_GB2312"/>
          <w:sz w:val="32"/>
          <w:szCs w:val="32"/>
        </w:rPr>
        <w:t>辆，其中：主要领导干部用车0辆、机要通信用车0辆、应急保障用车0辆、其他用车0辆。单价</w:t>
      </w:r>
      <w:r>
        <w:rPr>
          <w:rFonts w:eastAsia="仿宋_GB2312"/>
          <w:sz w:val="32"/>
          <w:szCs w:val="32"/>
        </w:rPr>
        <w:t>100</w:t>
      </w:r>
      <w:r>
        <w:rPr>
          <w:rFonts w:hint="eastAsia" w:eastAsia="仿宋_GB2312"/>
          <w:sz w:val="32"/>
          <w:szCs w:val="32"/>
        </w:rPr>
        <w:t>万元以上设备（不含车辆）</w:t>
      </w:r>
      <w:r>
        <w:rPr>
          <w:rFonts w:eastAsia="仿宋_GB2312"/>
          <w:sz w:val="32"/>
          <w:szCs w:val="32"/>
        </w:rPr>
        <w:t>0</w:t>
      </w:r>
      <w:r>
        <w:rPr>
          <w:rFonts w:hint="eastAsia" w:eastAsia="仿宋_GB2312"/>
          <w:sz w:val="32"/>
          <w:szCs w:val="32"/>
        </w:rPr>
        <w:t>台（套）。</w:t>
      </w:r>
    </w:p>
    <w:p>
      <w:pPr>
        <w:spacing w:line="600" w:lineRule="exact"/>
        <w:ind w:firstLine="640"/>
        <w:outlineLvl w:val="2"/>
        <w:rPr>
          <w:rFonts w:hint="eastAsia" w:ascii="楷体_GB2312" w:hAnsi="楷体_GB2312" w:eastAsia="楷体_GB2312" w:cs="楷体_GB2312"/>
          <w:sz w:val="32"/>
          <w:szCs w:val="32"/>
          <w:lang w:eastAsia="zh-CN"/>
        </w:rPr>
      </w:pPr>
      <w:r>
        <w:rPr>
          <w:rFonts w:hint="eastAsia" w:ascii="楷体_GB2312" w:hAnsi="楷体_GB2312" w:eastAsia="楷体_GB2312" w:cs="楷体_GB2312"/>
          <w:sz w:val="32"/>
          <w:szCs w:val="32"/>
        </w:rPr>
        <w:t>（四）预算绩效管理情况</w:t>
      </w:r>
      <w:r>
        <w:rPr>
          <w:rFonts w:hint="eastAsia" w:ascii="楷体_GB2312" w:hAnsi="楷体_GB2312" w:eastAsia="楷体_GB2312" w:cs="楷体_GB2312"/>
          <w:sz w:val="32"/>
          <w:szCs w:val="32"/>
          <w:lang w:eastAsia="zh-CN"/>
        </w:rPr>
        <w:t>。</w:t>
      </w:r>
    </w:p>
    <w:p>
      <w:pPr>
        <w:spacing w:line="580" w:lineRule="exact"/>
        <w:ind w:firstLine="640" w:firstLineChars="200"/>
        <w:rPr>
          <w:rFonts w:eastAsia="仿宋_GB2312"/>
          <w:sz w:val="32"/>
          <w:szCs w:val="32"/>
        </w:rPr>
      </w:pPr>
      <w:r>
        <w:rPr>
          <w:rFonts w:hint="eastAsia" w:eastAsia="仿宋_GB2312"/>
          <w:sz w:val="32"/>
          <w:szCs w:val="32"/>
        </w:rPr>
        <w:t>根据预算绩效管理要求，本部门在2023年度预算编制阶段，组织</w:t>
      </w:r>
      <w:r>
        <w:rPr>
          <w:rFonts w:eastAsia="仿宋_GB2312"/>
          <w:sz w:val="32"/>
          <w:szCs w:val="32"/>
        </w:rPr>
        <w:t>对</w:t>
      </w:r>
      <w:r>
        <w:rPr>
          <w:rFonts w:hint="eastAsia" w:eastAsia="仿宋_GB2312"/>
          <w:sz w:val="32"/>
          <w:szCs w:val="32"/>
          <w:lang w:eastAsia="zh-CN"/>
        </w:rPr>
        <w:t>“</w:t>
      </w:r>
      <w:r>
        <w:rPr>
          <w:rFonts w:eastAsia="仿宋_GB2312"/>
          <w:sz w:val="32"/>
          <w:szCs w:val="32"/>
        </w:rPr>
        <w:t>安保人员服务费</w:t>
      </w:r>
      <w:r>
        <w:rPr>
          <w:rFonts w:hint="eastAsia" w:eastAsia="仿宋_GB2312"/>
          <w:sz w:val="32"/>
          <w:szCs w:val="32"/>
          <w:lang w:eastAsia="zh-CN"/>
        </w:rPr>
        <w:t>”</w:t>
      </w:r>
      <w:r>
        <w:rPr>
          <w:rFonts w:eastAsia="仿宋_GB2312"/>
          <w:sz w:val="32"/>
          <w:szCs w:val="32"/>
        </w:rPr>
        <w:t>安保人员服务费</w:t>
      </w:r>
      <w:r>
        <w:rPr>
          <w:rFonts w:hint="eastAsia" w:eastAsia="仿宋_GB2312"/>
          <w:sz w:val="32"/>
          <w:szCs w:val="32"/>
          <w:lang w:val="en-US" w:eastAsia="zh-CN"/>
        </w:rPr>
        <w:t>1</w:t>
      </w:r>
      <w:r>
        <w:rPr>
          <w:rFonts w:hint="eastAsia" w:eastAsia="仿宋_GB2312"/>
          <w:sz w:val="32"/>
          <w:szCs w:val="32"/>
        </w:rPr>
        <w:t>个项目开展了预算事前绩效评估，对</w:t>
      </w:r>
      <w:r>
        <w:rPr>
          <w:rFonts w:hint="eastAsia" w:eastAsia="仿宋_GB2312"/>
          <w:sz w:val="32"/>
          <w:szCs w:val="32"/>
          <w:lang w:val="en-US" w:eastAsia="zh-CN"/>
        </w:rPr>
        <w:t>1</w:t>
      </w:r>
      <w:r>
        <w:rPr>
          <w:rFonts w:hint="eastAsia" w:eastAsia="仿宋_GB2312"/>
          <w:sz w:val="32"/>
          <w:szCs w:val="32"/>
        </w:rPr>
        <w:t>个项目编制了绩效目标，预算执行过程中，选取</w:t>
      </w:r>
      <w:r>
        <w:rPr>
          <w:rFonts w:hint="eastAsia" w:eastAsia="仿宋_GB2312"/>
          <w:sz w:val="32"/>
          <w:szCs w:val="32"/>
          <w:lang w:val="en-US" w:eastAsia="zh-CN"/>
        </w:rPr>
        <w:t>1</w:t>
      </w:r>
      <w:r>
        <w:rPr>
          <w:rFonts w:hint="eastAsia" w:eastAsia="仿宋_GB2312"/>
          <w:sz w:val="32"/>
          <w:szCs w:val="32"/>
        </w:rPr>
        <w:t>个项目开展绩效监控。</w:t>
      </w:r>
    </w:p>
    <w:p>
      <w:pPr>
        <w:spacing w:line="580" w:lineRule="exact"/>
        <w:ind w:firstLine="640" w:firstLineChars="200"/>
        <w:rPr>
          <w:rFonts w:eastAsia="仿宋_GB2312"/>
          <w:sz w:val="32"/>
          <w:szCs w:val="32"/>
        </w:rPr>
      </w:pPr>
      <w:r>
        <w:rPr>
          <w:rFonts w:hint="eastAsia" w:eastAsia="仿宋_GB2312"/>
          <w:sz w:val="32"/>
          <w:szCs w:val="32"/>
        </w:rPr>
        <w:t>组织对2023年度一般公共预算、政府性基金预算、国有资本经营预算、社会保险基金预算以及资本资产、债券资金等全面开展绩效自评，形成盐边县第一初级中学校部门整体（含部门预算项目）绩效自评报告。</w:t>
      </w:r>
    </w:p>
    <w:p>
      <w:pPr>
        <w:spacing w:line="560" w:lineRule="exact"/>
        <w:jc w:val="center"/>
        <w:rPr>
          <w:rStyle w:val="28"/>
          <w:rFonts w:eastAsia="黑体"/>
          <w:b w:val="0"/>
        </w:rPr>
      </w:pPr>
    </w:p>
    <w:p>
      <w:pPr>
        <w:spacing w:line="560" w:lineRule="exact"/>
        <w:jc w:val="center"/>
        <w:rPr>
          <w:rStyle w:val="28"/>
          <w:rFonts w:eastAsia="黑体"/>
          <w:b w:val="0"/>
        </w:rPr>
      </w:pPr>
    </w:p>
    <w:p>
      <w:pPr>
        <w:spacing w:line="560" w:lineRule="exact"/>
        <w:jc w:val="center"/>
        <w:rPr>
          <w:rStyle w:val="28"/>
          <w:rFonts w:eastAsia="黑体"/>
          <w:b w:val="0"/>
        </w:rPr>
      </w:pPr>
    </w:p>
    <w:p>
      <w:pPr>
        <w:spacing w:line="560" w:lineRule="exact"/>
        <w:jc w:val="center"/>
        <w:rPr>
          <w:rStyle w:val="28"/>
          <w:rFonts w:eastAsia="黑体"/>
          <w:b w:val="0"/>
        </w:rPr>
      </w:pPr>
    </w:p>
    <w:p>
      <w:pPr>
        <w:spacing w:line="560" w:lineRule="exact"/>
        <w:jc w:val="center"/>
        <w:rPr>
          <w:rStyle w:val="28"/>
          <w:rFonts w:eastAsia="黑体"/>
          <w:b w:val="0"/>
        </w:rPr>
      </w:pPr>
    </w:p>
    <w:p>
      <w:pPr>
        <w:spacing w:line="560" w:lineRule="exact"/>
        <w:jc w:val="center"/>
        <w:rPr>
          <w:rStyle w:val="28"/>
          <w:rFonts w:eastAsia="黑体"/>
          <w:b w:val="0"/>
        </w:rPr>
      </w:pPr>
    </w:p>
    <w:p>
      <w:pPr>
        <w:spacing w:line="560" w:lineRule="exact"/>
        <w:jc w:val="center"/>
        <w:rPr>
          <w:rStyle w:val="28"/>
          <w:rFonts w:eastAsia="黑体"/>
          <w:b w:val="0"/>
        </w:rPr>
      </w:pPr>
    </w:p>
    <w:p>
      <w:pPr>
        <w:spacing w:line="560" w:lineRule="exact"/>
        <w:jc w:val="center"/>
        <w:rPr>
          <w:rStyle w:val="28"/>
          <w:rFonts w:eastAsia="黑体"/>
          <w:b w:val="0"/>
        </w:rPr>
      </w:pPr>
    </w:p>
    <w:p>
      <w:pPr>
        <w:spacing w:line="560" w:lineRule="exact"/>
        <w:jc w:val="center"/>
        <w:rPr>
          <w:rStyle w:val="28"/>
          <w:rFonts w:eastAsia="黑体"/>
          <w:b w:val="0"/>
        </w:rPr>
      </w:pPr>
    </w:p>
    <w:p>
      <w:pPr>
        <w:spacing w:line="560" w:lineRule="exact"/>
        <w:jc w:val="center"/>
        <w:rPr>
          <w:rStyle w:val="28"/>
          <w:rFonts w:eastAsia="黑体"/>
          <w:b w:val="0"/>
        </w:rPr>
      </w:pPr>
    </w:p>
    <w:p>
      <w:pPr>
        <w:spacing w:line="560" w:lineRule="exact"/>
        <w:jc w:val="center"/>
        <w:rPr>
          <w:rStyle w:val="28"/>
          <w:rFonts w:eastAsia="黑体"/>
          <w:b w:val="0"/>
        </w:rPr>
      </w:pPr>
    </w:p>
    <w:p>
      <w:pPr>
        <w:spacing w:line="560" w:lineRule="exact"/>
        <w:jc w:val="center"/>
        <w:rPr>
          <w:rStyle w:val="28"/>
          <w:rFonts w:eastAsia="黑体"/>
          <w:b w:val="0"/>
        </w:rPr>
      </w:pPr>
      <w:r>
        <w:rPr>
          <w:rStyle w:val="28"/>
          <w:rFonts w:hint="eastAsia" w:eastAsia="黑体"/>
          <w:b w:val="0"/>
        </w:rPr>
        <w:t>第三部分名词解释</w:t>
      </w:r>
    </w:p>
    <w:p/>
    <w:p>
      <w:pPr>
        <w:pStyle w:val="26"/>
        <w:spacing w:line="560" w:lineRule="exact"/>
        <w:ind w:firstLine="643" w:firstLineChars="200"/>
        <w:rPr>
          <w:rFonts w:ascii="Times New Roman" w:hAnsi="Times New Roman" w:eastAsia="仿宋_GB2312" w:cs="Times New Roman"/>
          <w:color w:val="auto"/>
          <w:sz w:val="32"/>
          <w:szCs w:val="32"/>
        </w:rPr>
      </w:pPr>
      <w:r>
        <w:rPr>
          <w:rFonts w:ascii="Times New Roman" w:hAnsi="Times New Roman" w:eastAsia="仿宋_GB2312" w:cs="Times New Roman"/>
          <w:b/>
          <w:bCs/>
          <w:color w:val="auto"/>
          <w:sz w:val="32"/>
          <w:szCs w:val="32"/>
        </w:rPr>
        <w:t>1.财政拨款收入：</w:t>
      </w:r>
      <w:r>
        <w:rPr>
          <w:rFonts w:ascii="Times New Roman" w:hAnsi="Times New Roman" w:eastAsia="仿宋_GB2312" w:cs="Times New Roman"/>
          <w:color w:val="auto"/>
          <w:sz w:val="32"/>
          <w:szCs w:val="32"/>
        </w:rPr>
        <w:t>指单位从同级财政部门取得的财政预算资金。</w:t>
      </w:r>
    </w:p>
    <w:p>
      <w:pPr>
        <w:pStyle w:val="26"/>
        <w:spacing w:line="560" w:lineRule="exact"/>
        <w:ind w:firstLine="643" w:firstLineChars="200"/>
        <w:rPr>
          <w:rFonts w:ascii="Times New Roman" w:hAnsi="Times New Roman" w:eastAsia="仿宋_GB2312" w:cs="Times New Roman"/>
          <w:color w:val="auto"/>
          <w:sz w:val="32"/>
          <w:szCs w:val="32"/>
        </w:rPr>
      </w:pPr>
      <w:r>
        <w:rPr>
          <w:rFonts w:ascii="Times New Roman" w:hAnsi="Times New Roman" w:eastAsia="仿宋_GB2312" w:cs="Times New Roman"/>
          <w:b/>
          <w:bCs/>
          <w:color w:val="auto"/>
          <w:sz w:val="32"/>
          <w:szCs w:val="32"/>
        </w:rPr>
        <w:t>2.事业收入：</w:t>
      </w:r>
      <w:r>
        <w:rPr>
          <w:rFonts w:ascii="Times New Roman" w:hAnsi="Times New Roman" w:eastAsia="仿宋_GB2312" w:cs="Times New Roman"/>
          <w:color w:val="auto"/>
          <w:sz w:val="32"/>
          <w:szCs w:val="32"/>
        </w:rPr>
        <w:t>指事业单位开展专业业务活动及辅助活动取得的收入。</w:t>
      </w:r>
    </w:p>
    <w:p>
      <w:pPr>
        <w:pStyle w:val="26"/>
        <w:spacing w:line="560" w:lineRule="exact"/>
        <w:ind w:firstLine="643" w:firstLineChars="200"/>
        <w:rPr>
          <w:rFonts w:ascii="Times New Roman" w:hAnsi="Times New Roman" w:eastAsia="仿宋_GB2312" w:cs="Times New Roman"/>
          <w:color w:val="auto"/>
          <w:sz w:val="32"/>
          <w:szCs w:val="32"/>
        </w:rPr>
      </w:pPr>
      <w:r>
        <w:rPr>
          <w:rFonts w:ascii="Times New Roman" w:hAnsi="Times New Roman" w:eastAsia="仿宋_GB2312" w:cs="Times New Roman"/>
          <w:b/>
          <w:bCs/>
          <w:color w:val="auto"/>
          <w:sz w:val="32"/>
          <w:szCs w:val="32"/>
        </w:rPr>
        <w:t>3.经营收入：</w:t>
      </w:r>
      <w:r>
        <w:rPr>
          <w:rFonts w:ascii="Times New Roman" w:hAnsi="Times New Roman" w:eastAsia="仿宋_GB2312" w:cs="Times New Roman"/>
          <w:color w:val="auto"/>
          <w:sz w:val="32"/>
          <w:szCs w:val="32"/>
        </w:rPr>
        <w:t>指事业单位在专业业务活动及其辅助活动之外开展非独立核算经营活动取得的收入。</w:t>
      </w:r>
    </w:p>
    <w:p>
      <w:pPr>
        <w:pStyle w:val="26"/>
        <w:spacing w:line="560" w:lineRule="exact"/>
        <w:ind w:firstLine="643" w:firstLineChars="200"/>
        <w:rPr>
          <w:rFonts w:ascii="Times New Roman" w:hAnsi="Times New Roman" w:eastAsia="仿宋_GB2312" w:cs="Times New Roman"/>
          <w:color w:val="auto"/>
          <w:sz w:val="32"/>
          <w:szCs w:val="32"/>
        </w:rPr>
      </w:pPr>
      <w:r>
        <w:rPr>
          <w:rFonts w:ascii="Times New Roman" w:hAnsi="Times New Roman" w:eastAsia="仿宋_GB2312" w:cs="Times New Roman"/>
          <w:b/>
          <w:bCs/>
          <w:color w:val="auto"/>
          <w:sz w:val="32"/>
          <w:szCs w:val="32"/>
        </w:rPr>
        <w:t>4.其他收入：</w:t>
      </w:r>
      <w:r>
        <w:rPr>
          <w:rFonts w:ascii="Times New Roman" w:hAnsi="Times New Roman" w:eastAsia="仿宋_GB2312" w:cs="Times New Roman"/>
          <w:color w:val="auto"/>
          <w:sz w:val="32"/>
          <w:szCs w:val="32"/>
        </w:rPr>
        <w:t>指单位取得的除上述收入以外的各项收入。</w:t>
      </w:r>
    </w:p>
    <w:p>
      <w:pPr>
        <w:pStyle w:val="26"/>
        <w:spacing w:line="560" w:lineRule="exact"/>
        <w:ind w:firstLine="643" w:firstLineChars="200"/>
        <w:rPr>
          <w:rFonts w:ascii="Times New Roman" w:hAnsi="Times New Roman" w:eastAsia="仿宋_GB2312" w:cs="Times New Roman"/>
          <w:color w:val="auto"/>
          <w:sz w:val="32"/>
          <w:szCs w:val="32"/>
        </w:rPr>
      </w:pPr>
      <w:r>
        <w:rPr>
          <w:rFonts w:ascii="Times New Roman" w:hAnsi="Times New Roman" w:eastAsia="仿宋_GB2312" w:cs="Times New Roman"/>
          <w:b/>
          <w:bCs/>
          <w:color w:val="auto"/>
          <w:sz w:val="32"/>
          <w:szCs w:val="32"/>
        </w:rPr>
        <w:t>5.使用非财政拨款结余（含专用结余）：</w:t>
      </w:r>
      <w:r>
        <w:rPr>
          <w:rFonts w:ascii="Times New Roman" w:hAnsi="Times New Roman" w:eastAsia="仿宋_GB2312" w:cs="Times New Roman"/>
          <w:color w:val="auto"/>
          <w:sz w:val="32"/>
          <w:szCs w:val="32"/>
        </w:rPr>
        <w:t>指事业单位使用以前年度积累的非财政拨款结余弥补当年收支差额的金额。</w:t>
      </w:r>
    </w:p>
    <w:p>
      <w:pPr>
        <w:pStyle w:val="26"/>
        <w:spacing w:line="560" w:lineRule="exact"/>
        <w:ind w:firstLine="643" w:firstLineChars="200"/>
        <w:rPr>
          <w:rFonts w:ascii="Times New Roman" w:hAnsi="Times New Roman" w:eastAsia="仿宋_GB2312" w:cs="Times New Roman"/>
          <w:color w:val="auto"/>
          <w:sz w:val="32"/>
          <w:szCs w:val="32"/>
        </w:rPr>
      </w:pPr>
      <w:r>
        <w:rPr>
          <w:rFonts w:ascii="Times New Roman" w:hAnsi="Times New Roman" w:eastAsia="仿宋_GB2312" w:cs="Times New Roman"/>
          <w:b/>
          <w:bCs/>
          <w:color w:val="auto"/>
          <w:sz w:val="32"/>
          <w:szCs w:val="32"/>
        </w:rPr>
        <w:t>6.年初结转和结余：</w:t>
      </w:r>
      <w:r>
        <w:rPr>
          <w:rFonts w:ascii="Times New Roman" w:hAnsi="Times New Roman" w:eastAsia="仿宋_GB2312" w:cs="Times New Roman"/>
          <w:color w:val="auto"/>
          <w:sz w:val="32"/>
          <w:szCs w:val="32"/>
        </w:rPr>
        <w:t>指以前年度尚未完成、结转到本年按有关规定继续使用的资金。</w:t>
      </w:r>
    </w:p>
    <w:p>
      <w:pPr>
        <w:pStyle w:val="26"/>
        <w:spacing w:line="560" w:lineRule="exact"/>
        <w:ind w:firstLine="643" w:firstLineChars="200"/>
        <w:rPr>
          <w:rFonts w:ascii="Times New Roman" w:hAnsi="Times New Roman" w:eastAsia="仿宋_GB2312" w:cs="Times New Roman"/>
          <w:color w:val="auto"/>
          <w:sz w:val="32"/>
          <w:szCs w:val="32"/>
        </w:rPr>
      </w:pPr>
      <w:r>
        <w:rPr>
          <w:rFonts w:ascii="Times New Roman" w:hAnsi="Times New Roman" w:eastAsia="仿宋_GB2312" w:cs="Times New Roman"/>
          <w:b/>
          <w:bCs/>
          <w:color w:val="auto"/>
          <w:sz w:val="32"/>
          <w:szCs w:val="32"/>
        </w:rPr>
        <w:t>7.结余分配：</w:t>
      </w:r>
      <w:r>
        <w:rPr>
          <w:rFonts w:ascii="Times New Roman" w:hAnsi="Times New Roman" w:eastAsia="仿宋_GB2312" w:cs="Times New Roman"/>
          <w:color w:val="auto"/>
          <w:sz w:val="32"/>
          <w:szCs w:val="32"/>
        </w:rPr>
        <w:t>指事业单位按照会计制度规定缴纳的所得税、提取的专用结余以及转入非财政拨款结余的金额等。</w:t>
      </w:r>
    </w:p>
    <w:p>
      <w:pPr>
        <w:pStyle w:val="26"/>
        <w:spacing w:line="560" w:lineRule="exact"/>
        <w:ind w:firstLine="643" w:firstLineChars="200"/>
        <w:rPr>
          <w:rFonts w:ascii="Times New Roman" w:hAnsi="Times New Roman" w:eastAsia="仿宋_GB2312" w:cs="Times New Roman"/>
          <w:color w:val="auto"/>
          <w:sz w:val="32"/>
          <w:szCs w:val="32"/>
        </w:rPr>
      </w:pPr>
      <w:r>
        <w:rPr>
          <w:rFonts w:ascii="Times New Roman" w:hAnsi="Times New Roman" w:eastAsia="仿宋_GB2312" w:cs="Times New Roman"/>
          <w:b/>
          <w:bCs/>
          <w:color w:val="auto"/>
          <w:sz w:val="32"/>
          <w:szCs w:val="32"/>
        </w:rPr>
        <w:t>8.年末结转和结余：</w:t>
      </w:r>
      <w:r>
        <w:rPr>
          <w:rFonts w:ascii="Times New Roman" w:hAnsi="Times New Roman" w:eastAsia="仿宋_GB2312" w:cs="Times New Roman"/>
          <w:color w:val="auto"/>
          <w:sz w:val="32"/>
          <w:szCs w:val="32"/>
        </w:rPr>
        <w:t>指单位按有关规定结转到下年或以后年度继续使用的资金。</w:t>
      </w:r>
    </w:p>
    <w:p>
      <w:pPr>
        <w:spacing w:line="600" w:lineRule="exact"/>
        <w:ind w:firstLine="643" w:firstLineChars="200"/>
        <w:rPr>
          <w:rFonts w:eastAsia="仿宋_GB2312"/>
          <w:sz w:val="32"/>
          <w:szCs w:val="32"/>
        </w:rPr>
      </w:pPr>
      <w:r>
        <w:rPr>
          <w:rFonts w:ascii="Times New Roman" w:hAnsi="Times New Roman" w:eastAsia="仿宋_GB2312" w:cs="Times New Roman"/>
          <w:b/>
          <w:bCs/>
          <w:color w:val="auto"/>
          <w:kern w:val="0"/>
          <w:sz w:val="32"/>
          <w:szCs w:val="32"/>
          <w:lang w:val="en-US" w:eastAsia="zh-CN" w:bidi="ar-SA"/>
        </w:rPr>
        <w:t>9.教育支出（205类）普通教育（02款）初中教育（03项）：</w:t>
      </w:r>
      <w:r>
        <w:rPr>
          <w:rFonts w:eastAsia="仿宋_GB2312"/>
          <w:sz w:val="32"/>
          <w:szCs w:val="32"/>
        </w:rPr>
        <w:t>指反映各部门举办的初中教育支出。</w:t>
      </w:r>
    </w:p>
    <w:p>
      <w:pPr>
        <w:spacing w:line="600" w:lineRule="exact"/>
        <w:ind w:firstLine="643" w:firstLineChars="200"/>
        <w:rPr>
          <w:rFonts w:eastAsia="仿宋_GB2312"/>
          <w:sz w:val="32"/>
          <w:szCs w:val="32"/>
        </w:rPr>
      </w:pPr>
      <w:r>
        <w:rPr>
          <w:rFonts w:ascii="Times New Roman" w:hAnsi="Times New Roman" w:eastAsia="仿宋_GB2312" w:cs="Times New Roman"/>
          <w:b/>
          <w:bCs/>
          <w:color w:val="auto"/>
          <w:kern w:val="0"/>
          <w:sz w:val="32"/>
          <w:szCs w:val="32"/>
          <w:lang w:val="en-US" w:eastAsia="zh-CN" w:bidi="ar-SA"/>
        </w:rPr>
        <w:t>10.社会保障和就业支出（208类）行政事业单位养老支出（05款）机关事业单位基本养老保险缴费支出（05项）：</w:t>
      </w:r>
      <w:r>
        <w:rPr>
          <w:rFonts w:eastAsia="仿宋_GB2312"/>
          <w:sz w:val="32"/>
          <w:szCs w:val="32"/>
        </w:rPr>
        <w:t>指反映机关事业单位实施养老保险制度由单位缴纳的基本养老保险费支出。</w:t>
      </w:r>
    </w:p>
    <w:p>
      <w:pPr>
        <w:spacing w:line="600" w:lineRule="exact"/>
        <w:ind w:firstLine="643" w:firstLineChars="200"/>
        <w:rPr>
          <w:rFonts w:eastAsia="仿宋_GB2312"/>
          <w:sz w:val="32"/>
          <w:szCs w:val="32"/>
        </w:rPr>
      </w:pPr>
      <w:r>
        <w:rPr>
          <w:rFonts w:ascii="Times New Roman" w:hAnsi="Times New Roman" w:eastAsia="仿宋_GB2312" w:cs="Times New Roman"/>
          <w:b/>
          <w:bCs/>
          <w:color w:val="auto"/>
          <w:kern w:val="0"/>
          <w:sz w:val="32"/>
          <w:szCs w:val="32"/>
          <w:lang w:val="en-US" w:eastAsia="zh-CN" w:bidi="ar-SA"/>
        </w:rPr>
        <w:t>11.卫生健康支出（210类）行政事业单位医疗（11款）事业单位医疗（02项）：</w:t>
      </w:r>
      <w:r>
        <w:rPr>
          <w:rFonts w:eastAsia="仿宋_GB2312"/>
          <w:sz w:val="32"/>
          <w:szCs w:val="32"/>
        </w:rPr>
        <w:t>指反映财政部门安排的事业单位基本医疗保险缴费经费，未参加医疗保险的事业单位的公费医疗经费，按国家规定享受离休人员待遇的医疗经费。</w:t>
      </w:r>
    </w:p>
    <w:p>
      <w:pPr>
        <w:spacing w:line="600" w:lineRule="exact"/>
        <w:ind w:firstLine="643" w:firstLineChars="200"/>
        <w:rPr>
          <w:rFonts w:eastAsia="仿宋_GB2312"/>
          <w:sz w:val="32"/>
          <w:szCs w:val="32"/>
        </w:rPr>
      </w:pPr>
      <w:r>
        <w:rPr>
          <w:rFonts w:ascii="Times New Roman" w:hAnsi="Times New Roman" w:eastAsia="仿宋_GB2312" w:cs="Times New Roman"/>
          <w:b/>
          <w:bCs/>
          <w:color w:val="auto"/>
          <w:kern w:val="0"/>
          <w:sz w:val="32"/>
          <w:szCs w:val="32"/>
          <w:lang w:val="en-US" w:eastAsia="zh-CN" w:bidi="ar-SA"/>
        </w:rPr>
        <w:t>12.卫生健康支出（210类）行政事业单位医疗（11款）其他行政事业单位医疗支出（99项）：</w:t>
      </w:r>
      <w:r>
        <w:rPr>
          <w:rFonts w:eastAsia="仿宋_GB2312"/>
          <w:sz w:val="32"/>
          <w:szCs w:val="32"/>
        </w:rPr>
        <w:t>指反映除上述项目以外的其他用于行政事业单位医疗方面的支出。</w:t>
      </w:r>
    </w:p>
    <w:p>
      <w:pPr>
        <w:spacing w:line="600" w:lineRule="exact"/>
        <w:ind w:firstLine="643" w:firstLineChars="200"/>
        <w:rPr>
          <w:rFonts w:eastAsia="仿宋_GB2312"/>
          <w:sz w:val="32"/>
          <w:szCs w:val="32"/>
        </w:rPr>
      </w:pPr>
      <w:r>
        <w:rPr>
          <w:rFonts w:ascii="Times New Roman" w:hAnsi="Times New Roman" w:eastAsia="仿宋_GB2312" w:cs="Times New Roman"/>
          <w:b/>
          <w:bCs/>
          <w:color w:val="auto"/>
          <w:kern w:val="0"/>
          <w:sz w:val="32"/>
          <w:szCs w:val="32"/>
          <w:lang w:val="en-US" w:eastAsia="zh-CN" w:bidi="ar-SA"/>
        </w:rPr>
        <w:t>13.住房保障支出（221类）住房改革支出（02款）住房公积金（01项）</w:t>
      </w:r>
      <w:r>
        <w:rPr>
          <w:rFonts w:eastAsia="仿宋_GB2312"/>
          <w:sz w:val="32"/>
          <w:szCs w:val="32"/>
        </w:rPr>
        <w:t>：指反映行政事业单位按人力资源和社会保障部、财政部规定的基本工资和津贴补贴以及规定比例为职工缴纳的住房公积金。</w:t>
      </w:r>
    </w:p>
    <w:p>
      <w:pPr>
        <w:ind w:firstLine="643" w:firstLineChars="200"/>
        <w:rPr>
          <w:rFonts w:eastAsia="仿宋_GB2312"/>
          <w:sz w:val="32"/>
          <w:szCs w:val="32"/>
        </w:rPr>
      </w:pPr>
      <w:r>
        <w:rPr>
          <w:rFonts w:ascii="Times New Roman" w:hAnsi="Times New Roman" w:eastAsia="仿宋_GB2312" w:cs="Times New Roman"/>
          <w:b/>
          <w:bCs/>
          <w:color w:val="auto"/>
          <w:kern w:val="0"/>
          <w:sz w:val="32"/>
          <w:szCs w:val="32"/>
          <w:lang w:val="en-US" w:eastAsia="zh-CN" w:bidi="ar-SA"/>
        </w:rPr>
        <w:t>14.基本支出：</w:t>
      </w:r>
      <w:r>
        <w:rPr>
          <w:rFonts w:eastAsia="仿宋_GB2312"/>
          <w:sz w:val="32"/>
          <w:szCs w:val="32"/>
        </w:rPr>
        <w:t>指为保障机构正常运转、完成日常工作任务而发生的人员支出和公用支出。</w:t>
      </w:r>
    </w:p>
    <w:p>
      <w:pPr>
        <w:ind w:firstLine="643" w:firstLineChars="200"/>
        <w:rPr>
          <w:rFonts w:eastAsia="仿宋_GB2312"/>
          <w:sz w:val="32"/>
          <w:szCs w:val="32"/>
        </w:rPr>
      </w:pPr>
      <w:r>
        <w:rPr>
          <w:rFonts w:ascii="Times New Roman" w:hAnsi="Times New Roman" w:eastAsia="仿宋_GB2312" w:cs="Times New Roman"/>
          <w:b/>
          <w:bCs/>
          <w:color w:val="auto"/>
          <w:kern w:val="0"/>
          <w:sz w:val="32"/>
          <w:szCs w:val="32"/>
          <w:lang w:val="en-US" w:eastAsia="zh-CN" w:bidi="ar-SA"/>
        </w:rPr>
        <w:t>15.项目支出：</w:t>
      </w:r>
      <w:r>
        <w:rPr>
          <w:rFonts w:eastAsia="仿宋_GB2312"/>
          <w:sz w:val="32"/>
          <w:szCs w:val="32"/>
        </w:rPr>
        <w:t>指在基本支出之外为完成特定行政任务和事业发展目标所发生的支出。</w:t>
      </w:r>
    </w:p>
    <w:p>
      <w:pPr>
        <w:ind w:firstLine="643" w:firstLineChars="200"/>
        <w:rPr>
          <w:rFonts w:eastAsia="仿宋_GB2312"/>
          <w:sz w:val="32"/>
          <w:szCs w:val="32"/>
        </w:rPr>
      </w:pPr>
      <w:r>
        <w:rPr>
          <w:rFonts w:ascii="Times New Roman" w:hAnsi="Times New Roman" w:eastAsia="仿宋_GB2312" w:cs="Times New Roman"/>
          <w:b/>
          <w:bCs/>
          <w:color w:val="auto"/>
          <w:kern w:val="0"/>
          <w:sz w:val="32"/>
          <w:szCs w:val="32"/>
          <w:lang w:val="en-US" w:eastAsia="zh-CN" w:bidi="ar-SA"/>
        </w:rPr>
        <w:t>16.经营支出：</w:t>
      </w:r>
      <w:r>
        <w:rPr>
          <w:rFonts w:eastAsia="仿宋_GB2312"/>
          <w:sz w:val="32"/>
          <w:szCs w:val="32"/>
        </w:rPr>
        <w:t>指事业单位在专业业务活动及其辅助活动之外开展非独立核算经营活动发生的支出。</w:t>
      </w:r>
    </w:p>
    <w:p>
      <w:pPr>
        <w:pStyle w:val="26"/>
        <w:spacing w:line="560" w:lineRule="exact"/>
        <w:ind w:firstLine="643" w:firstLineChars="200"/>
        <w:rPr>
          <w:rFonts w:ascii="Times New Roman" w:hAnsi="Times New Roman" w:eastAsia="仿宋_GB2312" w:cs="Times New Roman"/>
          <w:color w:val="auto"/>
          <w:sz w:val="32"/>
          <w:szCs w:val="32"/>
        </w:rPr>
      </w:pPr>
      <w:r>
        <w:rPr>
          <w:rFonts w:ascii="Times New Roman" w:hAnsi="Times New Roman" w:eastAsia="仿宋_GB2312" w:cs="Times New Roman"/>
          <w:b/>
          <w:bCs/>
          <w:color w:val="auto"/>
          <w:sz w:val="32"/>
          <w:szCs w:val="32"/>
        </w:rPr>
        <w:t>17.“三公”经费：</w:t>
      </w:r>
      <w:r>
        <w:rPr>
          <w:rFonts w:ascii="Times New Roman" w:hAnsi="Times New Roman" w:eastAsia="仿宋_GB2312" w:cs="Times New Roman"/>
          <w:color w:val="auto"/>
          <w:sz w:val="32"/>
          <w:szCs w:val="32"/>
        </w:rPr>
        <w:t>指单位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pStyle w:val="26"/>
        <w:spacing w:line="560" w:lineRule="exact"/>
        <w:ind w:firstLine="643" w:firstLineChars="200"/>
        <w:rPr>
          <w:rFonts w:ascii="Times New Roman" w:hAnsi="Times New Roman" w:eastAsia="仿宋_GB2312" w:cs="Times New Roman"/>
          <w:color w:val="auto"/>
          <w:sz w:val="32"/>
          <w:szCs w:val="32"/>
        </w:rPr>
      </w:pPr>
      <w:r>
        <w:rPr>
          <w:rFonts w:ascii="Times New Roman" w:hAnsi="Times New Roman" w:eastAsia="仿宋_GB2312" w:cs="Times New Roman"/>
          <w:b/>
          <w:bCs/>
          <w:color w:val="auto"/>
          <w:sz w:val="32"/>
          <w:szCs w:val="32"/>
        </w:rPr>
        <w:t>18.机关运行经费：</w:t>
      </w:r>
      <w:r>
        <w:rPr>
          <w:rFonts w:ascii="Times New Roman" w:hAnsi="Times New Roman" w:eastAsia="仿宋_GB2312" w:cs="Times New Roman"/>
          <w:color w:val="auto"/>
          <w:sz w:val="32"/>
          <w:szCs w:val="32"/>
        </w:rPr>
        <w:t>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ind w:firstLine="643" w:firstLineChars="200"/>
        <w:rPr>
          <w:rFonts w:ascii="Times New Roman" w:hAnsi="Times New Roman" w:eastAsia="仿宋_GB2312" w:cs="Times New Roman"/>
          <w:b/>
          <w:bCs/>
          <w:color w:val="auto"/>
          <w:kern w:val="0"/>
          <w:sz w:val="32"/>
          <w:szCs w:val="32"/>
          <w:lang w:val="en-US" w:eastAsia="zh-CN" w:bidi="ar-SA"/>
        </w:rPr>
      </w:pPr>
    </w:p>
    <w:p>
      <w:pPr>
        <w:ind w:firstLine="643" w:firstLineChars="200"/>
        <w:rPr>
          <w:rFonts w:ascii="Times New Roman" w:hAnsi="Times New Roman" w:eastAsia="仿宋_GB2312" w:cs="Times New Roman"/>
          <w:b/>
          <w:bCs/>
          <w:color w:val="auto"/>
          <w:kern w:val="0"/>
          <w:sz w:val="32"/>
          <w:szCs w:val="32"/>
          <w:lang w:val="en-US" w:eastAsia="zh-CN" w:bidi="ar-SA"/>
        </w:rPr>
      </w:pPr>
      <w:r>
        <w:rPr>
          <w:rFonts w:ascii="Times New Roman" w:hAnsi="Times New Roman" w:eastAsia="仿宋_GB2312" w:cs="Times New Roman"/>
          <w:b/>
          <w:bCs/>
          <w:color w:val="auto"/>
          <w:kern w:val="0"/>
          <w:sz w:val="32"/>
          <w:szCs w:val="32"/>
          <w:lang w:val="en-US" w:eastAsia="zh-CN" w:bidi="ar-SA"/>
        </w:rPr>
        <w:br w:type="page"/>
      </w:r>
    </w:p>
    <w:p>
      <w:pPr>
        <w:spacing w:line="560" w:lineRule="exact"/>
        <w:jc w:val="center"/>
        <w:rPr>
          <w:rStyle w:val="28"/>
          <w:rFonts w:eastAsia="黑体"/>
          <w:b w:val="0"/>
        </w:rPr>
      </w:pPr>
      <w:r>
        <w:rPr>
          <w:rStyle w:val="28"/>
          <w:rFonts w:hint="eastAsia" w:eastAsia="黑体"/>
          <w:b w:val="0"/>
        </w:rPr>
        <w:t>第四部分附件</w:t>
      </w:r>
    </w:p>
    <w:p>
      <w:pPr>
        <w:spacing w:line="560" w:lineRule="exact"/>
        <w:jc w:val="center"/>
      </w:pPr>
    </w:p>
    <w:p>
      <w:pPr>
        <w:rPr>
          <w:rFonts w:ascii="黑体" w:hAnsi="黑体" w:eastAsia="黑体"/>
          <w:sz w:val="32"/>
          <w:szCs w:val="32"/>
        </w:rPr>
      </w:pPr>
      <w:r>
        <w:rPr>
          <w:rFonts w:hint="eastAsia" w:ascii="黑体" w:hAnsi="黑体" w:eastAsia="黑体"/>
          <w:sz w:val="32"/>
          <w:szCs w:val="32"/>
        </w:rPr>
        <w:t>附件1</w:t>
      </w:r>
    </w:p>
    <w:p>
      <w:pPr>
        <w:widowControl/>
        <w:spacing w:line="580" w:lineRule="exact"/>
        <w:contextualSpacing/>
        <w:jc w:val="center"/>
        <w:rPr>
          <w:rFonts w:eastAsia="方正小标宋简体"/>
          <w:sz w:val="44"/>
          <w:szCs w:val="44"/>
          <w:shd w:val="clear" w:color="auto" w:fill="FFFFFF"/>
        </w:rPr>
      </w:pPr>
      <w:r>
        <w:rPr>
          <w:rFonts w:eastAsia="方正小标宋简体"/>
          <w:sz w:val="44"/>
          <w:szCs w:val="44"/>
          <w:shd w:val="clear" w:color="auto" w:fill="FFFFFF"/>
        </w:rPr>
        <w:t>盐边县第一初级中学校</w:t>
      </w:r>
    </w:p>
    <w:p>
      <w:pPr>
        <w:widowControl/>
        <w:spacing w:line="580" w:lineRule="exact"/>
        <w:contextualSpacing/>
        <w:jc w:val="center"/>
        <w:rPr>
          <w:rFonts w:eastAsia="方正小标宋简体"/>
          <w:color w:val="000000"/>
          <w:kern w:val="0"/>
          <w:sz w:val="24"/>
          <w:szCs w:val="32"/>
          <w:shd w:val="clear" w:color="auto" w:fill="FFFFFF"/>
        </w:rPr>
      </w:pPr>
      <w:r>
        <w:rPr>
          <w:rFonts w:eastAsia="方正小标宋简体"/>
          <w:sz w:val="44"/>
          <w:szCs w:val="44"/>
          <w:shd w:val="clear" w:color="auto" w:fill="FFFFFF"/>
        </w:rPr>
        <w:t>部门整体支出绩效自评报告</w:t>
      </w:r>
    </w:p>
    <w:p/>
    <w:p>
      <w:pPr>
        <w:ind w:firstLine="640" w:firstLineChars="200"/>
        <w:rPr>
          <w:rFonts w:ascii="黑体" w:hAnsi="黑体" w:eastAsia="黑体"/>
          <w:sz w:val="32"/>
          <w:szCs w:val="32"/>
        </w:rPr>
      </w:pPr>
      <w:r>
        <w:rPr>
          <w:rFonts w:hint="eastAsia" w:ascii="黑体" w:hAnsi="黑体" w:eastAsia="黑体"/>
          <w:sz w:val="32"/>
          <w:szCs w:val="32"/>
        </w:rPr>
        <w:t>一、部门基本情况</w:t>
      </w:r>
    </w:p>
    <w:p>
      <w:pPr>
        <w:spacing w:line="600" w:lineRule="exact"/>
        <w:ind w:firstLine="640" w:firstLineChars="200"/>
        <w:outlineLvl w:val="2"/>
        <w:rPr>
          <w:rFonts w:eastAsia="楷体_GB2312"/>
          <w:sz w:val="32"/>
          <w:szCs w:val="32"/>
        </w:rPr>
      </w:pPr>
      <w:r>
        <w:rPr>
          <w:rFonts w:eastAsia="楷体_GB2312"/>
          <w:sz w:val="32"/>
          <w:szCs w:val="32"/>
        </w:rPr>
        <w:t>（一）机构组成。</w:t>
      </w:r>
    </w:p>
    <w:p>
      <w:pPr>
        <w:widowControl/>
        <w:adjustRightInd w:val="0"/>
        <w:snapToGrid w:val="0"/>
        <w:spacing w:line="580" w:lineRule="exact"/>
        <w:ind w:firstLine="640" w:firstLineChars="200"/>
        <w:contextualSpacing/>
        <w:jc w:val="left"/>
        <w:rPr>
          <w:rFonts w:eastAsia="仿宋_GB2312"/>
          <w:kern w:val="0"/>
          <w:sz w:val="32"/>
          <w:szCs w:val="32"/>
        </w:rPr>
      </w:pPr>
      <w:r>
        <w:rPr>
          <w:rFonts w:eastAsia="仿宋_GB2312"/>
          <w:kern w:val="0"/>
          <w:sz w:val="32"/>
          <w:szCs w:val="32"/>
        </w:rPr>
        <w:t>财政全额拨款事业单位1个。</w:t>
      </w:r>
    </w:p>
    <w:p>
      <w:pPr>
        <w:spacing w:line="600" w:lineRule="exact"/>
        <w:ind w:firstLine="640" w:firstLineChars="200"/>
        <w:outlineLvl w:val="2"/>
        <w:rPr>
          <w:rFonts w:eastAsia="楷体_GB2312"/>
          <w:sz w:val="32"/>
          <w:szCs w:val="32"/>
        </w:rPr>
      </w:pPr>
      <w:r>
        <w:rPr>
          <w:rFonts w:eastAsia="楷体_GB2312"/>
          <w:sz w:val="32"/>
          <w:szCs w:val="32"/>
        </w:rPr>
        <w:t>（二）机构职能。</w:t>
      </w:r>
    </w:p>
    <w:p>
      <w:pPr>
        <w:widowControl/>
        <w:adjustRightInd w:val="0"/>
        <w:snapToGrid w:val="0"/>
        <w:spacing w:line="580" w:lineRule="exact"/>
        <w:ind w:firstLine="640"/>
        <w:contextualSpacing/>
        <w:jc w:val="left"/>
        <w:rPr>
          <w:rFonts w:eastAsia="仿宋_GB2312"/>
          <w:kern w:val="0"/>
          <w:sz w:val="32"/>
          <w:szCs w:val="32"/>
        </w:rPr>
      </w:pPr>
      <w:r>
        <w:rPr>
          <w:rFonts w:eastAsia="仿宋_GB2312"/>
          <w:kern w:val="0"/>
          <w:sz w:val="32"/>
          <w:szCs w:val="32"/>
        </w:rPr>
        <w:t>实施初中义务教育，促进基础教育发展，初中学历教育。</w:t>
      </w:r>
    </w:p>
    <w:p>
      <w:pPr>
        <w:spacing w:line="600" w:lineRule="exact"/>
        <w:ind w:firstLine="640" w:firstLineChars="200"/>
        <w:outlineLvl w:val="2"/>
        <w:rPr>
          <w:rFonts w:eastAsia="楷体_GB2312"/>
          <w:sz w:val="32"/>
          <w:szCs w:val="32"/>
        </w:rPr>
      </w:pPr>
      <w:r>
        <w:rPr>
          <w:rFonts w:eastAsia="楷体_GB2312"/>
          <w:sz w:val="32"/>
          <w:szCs w:val="32"/>
        </w:rPr>
        <w:t>（三）人员概况。</w:t>
      </w:r>
    </w:p>
    <w:p>
      <w:pPr>
        <w:widowControl/>
        <w:adjustRightInd w:val="0"/>
        <w:snapToGrid w:val="0"/>
        <w:spacing w:line="580" w:lineRule="exact"/>
        <w:ind w:firstLine="640" w:firstLineChars="200"/>
        <w:contextualSpacing/>
        <w:jc w:val="left"/>
        <w:rPr>
          <w:rFonts w:eastAsia="仿宋_GB2312"/>
          <w:kern w:val="0"/>
          <w:sz w:val="32"/>
          <w:szCs w:val="32"/>
        </w:rPr>
      </w:pPr>
      <w:r>
        <w:rPr>
          <w:rFonts w:eastAsia="仿宋_GB2312"/>
          <w:kern w:val="0"/>
          <w:sz w:val="32"/>
          <w:szCs w:val="32"/>
        </w:rPr>
        <w:t>本单位2023年财政供养人数为：在职人员2人，退休人员0人，专任教师2人。其中副高职称1人，二级教师1人。</w:t>
      </w:r>
    </w:p>
    <w:p>
      <w:pPr>
        <w:ind w:firstLine="640" w:firstLineChars="200"/>
        <w:rPr>
          <w:rFonts w:eastAsia="黑体"/>
          <w:bCs/>
          <w:sz w:val="32"/>
          <w:szCs w:val="32"/>
        </w:rPr>
      </w:pPr>
      <w:r>
        <w:rPr>
          <w:rFonts w:eastAsia="黑体"/>
          <w:bCs/>
          <w:sz w:val="32"/>
          <w:szCs w:val="32"/>
        </w:rPr>
        <w:t>二、部门财政资金收支情况</w:t>
      </w:r>
    </w:p>
    <w:p>
      <w:pPr>
        <w:spacing w:line="600" w:lineRule="exact"/>
        <w:ind w:firstLine="640" w:firstLineChars="200"/>
        <w:outlineLvl w:val="2"/>
        <w:rPr>
          <w:rFonts w:eastAsia="楷体_GB2312"/>
          <w:sz w:val="32"/>
          <w:szCs w:val="32"/>
        </w:rPr>
      </w:pPr>
      <w:r>
        <w:rPr>
          <w:rFonts w:eastAsia="楷体_GB2312"/>
          <w:sz w:val="32"/>
          <w:szCs w:val="32"/>
        </w:rPr>
        <w:t>（一）部门财政资金收入情况。</w:t>
      </w:r>
    </w:p>
    <w:p>
      <w:pPr>
        <w:widowControl/>
        <w:adjustRightInd w:val="0"/>
        <w:snapToGrid w:val="0"/>
        <w:spacing w:line="600" w:lineRule="exact"/>
        <w:ind w:firstLine="640" w:firstLineChars="200"/>
        <w:contextualSpacing/>
        <w:jc w:val="left"/>
        <w:rPr>
          <w:rFonts w:eastAsia="仿宋_GB2312"/>
          <w:kern w:val="0"/>
          <w:sz w:val="32"/>
          <w:szCs w:val="32"/>
        </w:rPr>
      </w:pPr>
      <w:r>
        <w:rPr>
          <w:rFonts w:eastAsia="仿宋_GB2312"/>
          <w:kern w:val="0"/>
          <w:sz w:val="32"/>
          <w:szCs w:val="32"/>
        </w:rPr>
        <w:t>2023年，盐边县</w:t>
      </w:r>
      <w:r>
        <w:rPr>
          <w:rFonts w:hint="eastAsia" w:eastAsia="仿宋_GB2312"/>
          <w:kern w:val="0"/>
          <w:sz w:val="32"/>
          <w:szCs w:val="32"/>
        </w:rPr>
        <w:t>第一初级中学校</w:t>
      </w:r>
      <w:r>
        <w:rPr>
          <w:rFonts w:eastAsia="仿宋_GB2312"/>
          <w:kern w:val="0"/>
          <w:sz w:val="32"/>
          <w:szCs w:val="32"/>
        </w:rPr>
        <w:t>当年预算年初安排数172.92万元，后期追加基本支出预算23.32万元，项目支出15.</w:t>
      </w:r>
      <w:r>
        <w:rPr>
          <w:rFonts w:hint="eastAsia" w:eastAsia="仿宋_GB2312"/>
          <w:kern w:val="0"/>
          <w:sz w:val="32"/>
          <w:szCs w:val="32"/>
          <w:lang w:val="en-US" w:eastAsia="zh-CN"/>
        </w:rPr>
        <w:t>20</w:t>
      </w:r>
      <w:r>
        <w:rPr>
          <w:rFonts w:eastAsia="仿宋_GB2312"/>
          <w:kern w:val="0"/>
          <w:sz w:val="32"/>
          <w:szCs w:val="32"/>
        </w:rPr>
        <w:t>万元，全年收入共计211.4</w:t>
      </w:r>
      <w:r>
        <w:rPr>
          <w:rFonts w:hint="eastAsia" w:eastAsia="仿宋_GB2312"/>
          <w:kern w:val="0"/>
          <w:sz w:val="32"/>
          <w:szCs w:val="32"/>
        </w:rPr>
        <w:t>4</w:t>
      </w:r>
      <w:r>
        <w:rPr>
          <w:rFonts w:eastAsia="仿宋_GB2312"/>
          <w:kern w:val="0"/>
          <w:sz w:val="32"/>
          <w:szCs w:val="32"/>
        </w:rPr>
        <w:t>万元，全部为当年一般公共财政拨款收入。</w:t>
      </w:r>
    </w:p>
    <w:p>
      <w:pPr>
        <w:spacing w:line="600" w:lineRule="exact"/>
        <w:ind w:firstLine="640" w:firstLineChars="200"/>
        <w:outlineLvl w:val="2"/>
        <w:rPr>
          <w:rFonts w:eastAsia="仿宋_GB2312"/>
          <w:kern w:val="0"/>
          <w:sz w:val="32"/>
          <w:szCs w:val="32"/>
        </w:rPr>
      </w:pPr>
      <w:r>
        <w:rPr>
          <w:rFonts w:eastAsia="仿宋_GB2312"/>
          <w:kern w:val="0"/>
          <w:sz w:val="32"/>
          <w:szCs w:val="32"/>
        </w:rPr>
        <w:t>部门财政资金支出情况。</w:t>
      </w:r>
    </w:p>
    <w:p>
      <w:pPr>
        <w:spacing w:line="600" w:lineRule="exact"/>
        <w:ind w:firstLine="640" w:firstLineChars="200"/>
        <w:rPr>
          <w:rFonts w:eastAsia="仿宋_GB2312"/>
          <w:kern w:val="0"/>
          <w:sz w:val="32"/>
          <w:szCs w:val="32"/>
        </w:rPr>
      </w:pPr>
      <w:r>
        <w:rPr>
          <w:rFonts w:eastAsia="仿宋_GB2312"/>
          <w:kern w:val="0"/>
          <w:sz w:val="32"/>
          <w:szCs w:val="32"/>
        </w:rPr>
        <w:t>2023年盐边县</w:t>
      </w:r>
      <w:r>
        <w:rPr>
          <w:rFonts w:hint="eastAsia" w:eastAsia="仿宋_GB2312"/>
          <w:kern w:val="0"/>
          <w:sz w:val="32"/>
          <w:szCs w:val="32"/>
        </w:rPr>
        <w:t>第一初级中学校</w:t>
      </w:r>
      <w:r>
        <w:rPr>
          <w:rFonts w:eastAsia="仿宋_GB2312"/>
          <w:kern w:val="0"/>
          <w:sz w:val="32"/>
          <w:szCs w:val="32"/>
        </w:rPr>
        <w:t>当年预算支出合计211.4</w:t>
      </w:r>
      <w:r>
        <w:rPr>
          <w:rFonts w:hint="eastAsia" w:eastAsia="仿宋_GB2312"/>
          <w:kern w:val="0"/>
          <w:sz w:val="32"/>
          <w:szCs w:val="32"/>
        </w:rPr>
        <w:t>4</w:t>
      </w:r>
      <w:r>
        <w:rPr>
          <w:rFonts w:eastAsia="仿宋_GB2312"/>
          <w:kern w:val="0"/>
          <w:sz w:val="32"/>
          <w:szCs w:val="32"/>
        </w:rPr>
        <w:t>万元，包括基本支出196.24万元，项目支出15.</w:t>
      </w:r>
      <w:r>
        <w:rPr>
          <w:rFonts w:hint="eastAsia" w:eastAsia="仿宋_GB2312"/>
          <w:kern w:val="0"/>
          <w:sz w:val="32"/>
          <w:szCs w:val="32"/>
          <w:lang w:val="en-US" w:eastAsia="zh-CN"/>
        </w:rPr>
        <w:t>20</w:t>
      </w:r>
      <w:r>
        <w:rPr>
          <w:rFonts w:eastAsia="仿宋_GB2312"/>
          <w:kern w:val="0"/>
          <w:sz w:val="32"/>
          <w:szCs w:val="32"/>
        </w:rPr>
        <w:t>万元；其中：人员经费30.82万元，占14.58%；用于学校人员工资、津贴、保险等。公用经费165.42万元，占78.24%；是用于保障学校机构正常运转的办公日常支出及职工福利费、工会经费、退休人员医疗费等。项目资金15.</w:t>
      </w:r>
      <w:r>
        <w:rPr>
          <w:rFonts w:hint="eastAsia" w:eastAsia="仿宋_GB2312"/>
          <w:kern w:val="0"/>
          <w:sz w:val="32"/>
          <w:szCs w:val="32"/>
          <w:lang w:val="en-US" w:eastAsia="zh-CN"/>
        </w:rPr>
        <w:t>20</w:t>
      </w:r>
      <w:r>
        <w:rPr>
          <w:rFonts w:eastAsia="仿宋_GB2312"/>
          <w:kern w:val="0"/>
          <w:sz w:val="32"/>
          <w:szCs w:val="32"/>
        </w:rPr>
        <w:t>万元，占7.18%；用于确保保安人员学校人员工资、津贴、保险发放。</w:t>
      </w:r>
    </w:p>
    <w:p>
      <w:pPr>
        <w:ind w:firstLine="640" w:firstLineChars="200"/>
        <w:rPr>
          <w:rFonts w:eastAsia="黑体"/>
          <w:bCs/>
          <w:sz w:val="32"/>
          <w:szCs w:val="32"/>
        </w:rPr>
      </w:pPr>
      <w:r>
        <w:rPr>
          <w:rFonts w:eastAsia="黑体"/>
          <w:bCs/>
          <w:sz w:val="32"/>
          <w:szCs w:val="32"/>
        </w:rPr>
        <w:t>三、部门整体预算绩效管理情况</w:t>
      </w:r>
    </w:p>
    <w:p>
      <w:pPr>
        <w:spacing w:line="600" w:lineRule="exact"/>
        <w:ind w:firstLine="640" w:firstLineChars="200"/>
        <w:outlineLvl w:val="2"/>
        <w:rPr>
          <w:rFonts w:eastAsia="楷体_GB2312"/>
          <w:sz w:val="32"/>
          <w:szCs w:val="32"/>
        </w:rPr>
      </w:pPr>
      <w:r>
        <w:rPr>
          <w:rFonts w:eastAsia="楷体_GB2312"/>
          <w:sz w:val="32"/>
          <w:szCs w:val="32"/>
        </w:rPr>
        <w:t>（一）部门预算项目绩效管理。</w:t>
      </w:r>
    </w:p>
    <w:p>
      <w:pPr>
        <w:pStyle w:val="14"/>
        <w:widowControl/>
        <w:shd w:val="clear" w:color="auto" w:fill="FFFFFF"/>
        <w:spacing w:before="0" w:beforeAutospacing="0" w:after="0" w:afterAutospacing="0" w:line="600" w:lineRule="exact"/>
        <w:ind w:firstLine="645"/>
        <w:rPr>
          <w:sz w:val="32"/>
          <w:szCs w:val="32"/>
        </w:rPr>
      </w:pPr>
      <w:r>
        <w:rPr>
          <w:sz w:val="32"/>
          <w:szCs w:val="32"/>
        </w:rPr>
        <w:t>学校整体支出能严格按县财政局及县教育</w:t>
      </w:r>
      <w:r>
        <w:rPr>
          <w:rFonts w:hint="eastAsia"/>
          <w:sz w:val="32"/>
          <w:szCs w:val="32"/>
        </w:rPr>
        <w:t>和体育</w:t>
      </w:r>
      <w:r>
        <w:rPr>
          <w:sz w:val="32"/>
          <w:szCs w:val="32"/>
        </w:rPr>
        <w:t>局等部门的规定使用预算资金，确保教育教学工作顺利进行，支出管理规范、贯彻落实厉行节约、严控“三公”经费、降低一般运行经费、加强项目支出管理，一般性支出、会议支出、办公经费支出、机构编制和工资管理保障措施等方面的执行情况良好。</w:t>
      </w:r>
    </w:p>
    <w:p>
      <w:pPr>
        <w:pStyle w:val="14"/>
        <w:widowControl/>
        <w:shd w:val="clear" w:color="auto" w:fill="FFFFFF"/>
        <w:spacing w:before="0" w:beforeAutospacing="0" w:after="0" w:afterAutospacing="0" w:line="600" w:lineRule="exact"/>
        <w:ind w:firstLine="645"/>
        <w:rPr>
          <w:sz w:val="32"/>
          <w:szCs w:val="32"/>
        </w:rPr>
      </w:pPr>
      <w:r>
        <w:rPr>
          <w:sz w:val="32"/>
          <w:szCs w:val="32"/>
        </w:rPr>
        <w:t>教育基本经费的使用，力保学校教育教学工作的有效开展以及学校工作的正常运行。学校的教育发展信息技术经费、教育发展校方责任经费、教学仪器设备经费的使用，给学校教育教学设备设施得到充实，学校办学条件得到很大改善，大力推动了学校办学条件达标建设</w:t>
      </w:r>
    </w:p>
    <w:p>
      <w:pPr>
        <w:widowControl/>
        <w:shd w:val="clear" w:color="auto" w:fill="FFFFFF"/>
        <w:adjustRightInd w:val="0"/>
        <w:snapToGrid w:val="0"/>
        <w:spacing w:line="600" w:lineRule="exact"/>
        <w:ind w:firstLine="640" w:firstLineChars="200"/>
        <w:jc w:val="left"/>
        <w:rPr>
          <w:rFonts w:eastAsia="仿宋_GB2312"/>
          <w:kern w:val="0"/>
          <w:sz w:val="32"/>
          <w:szCs w:val="32"/>
        </w:rPr>
      </w:pPr>
      <w:r>
        <w:rPr>
          <w:rFonts w:eastAsia="仿宋_GB2312"/>
          <w:kern w:val="0"/>
          <w:sz w:val="32"/>
          <w:szCs w:val="32"/>
        </w:rPr>
        <w:t>项目实施完成后使学校环境更好、社会更和谐，法制、环境卫生、安全建设达到预期经济、社会目标。</w:t>
      </w:r>
    </w:p>
    <w:p>
      <w:pPr>
        <w:widowControl/>
        <w:adjustRightInd w:val="0"/>
        <w:snapToGrid w:val="0"/>
        <w:spacing w:line="600" w:lineRule="exact"/>
        <w:ind w:firstLine="640" w:firstLineChars="200"/>
        <w:contextualSpacing/>
        <w:jc w:val="left"/>
        <w:rPr>
          <w:rFonts w:eastAsia="仿宋_GB2312"/>
          <w:kern w:val="0"/>
          <w:sz w:val="32"/>
          <w:szCs w:val="32"/>
        </w:rPr>
      </w:pPr>
      <w:r>
        <w:rPr>
          <w:rFonts w:eastAsia="仿宋_GB2312"/>
          <w:kern w:val="0"/>
          <w:sz w:val="32"/>
          <w:szCs w:val="32"/>
        </w:rPr>
        <w:t>学校的日常支出严格按照用款计划，分季度执行，6月、9月、11月预算支出执行进度达到48%、65%、85%。</w:t>
      </w:r>
    </w:p>
    <w:p>
      <w:pPr>
        <w:spacing w:line="600" w:lineRule="exact"/>
        <w:ind w:firstLine="640" w:firstLineChars="200"/>
        <w:outlineLvl w:val="2"/>
        <w:rPr>
          <w:rFonts w:eastAsia="楷体_GB2312"/>
          <w:sz w:val="32"/>
          <w:szCs w:val="32"/>
        </w:rPr>
      </w:pPr>
      <w:r>
        <w:rPr>
          <w:rFonts w:eastAsia="楷体_GB2312"/>
          <w:sz w:val="32"/>
          <w:szCs w:val="32"/>
        </w:rPr>
        <w:t>（二）结果应用情况。</w:t>
      </w:r>
    </w:p>
    <w:p>
      <w:pPr>
        <w:adjustRightInd w:val="0"/>
        <w:snapToGrid w:val="0"/>
        <w:spacing w:line="600" w:lineRule="exact"/>
        <w:ind w:firstLine="640" w:firstLineChars="200"/>
        <w:rPr>
          <w:rFonts w:eastAsia="仿宋_GB2312"/>
          <w:kern w:val="0"/>
          <w:sz w:val="32"/>
          <w:szCs w:val="32"/>
        </w:rPr>
      </w:pPr>
      <w:r>
        <w:rPr>
          <w:rFonts w:eastAsia="仿宋_GB2312"/>
          <w:kern w:val="0"/>
          <w:sz w:val="32"/>
          <w:szCs w:val="32"/>
        </w:rPr>
        <w:t>按上级文件要求将部门绩效目标及自评情况等及时向社会公开。根据县财政局的要求开展2023年部门预算执行进度监控。年中，由财务室对各项经费跟踪检查，上报事中绩效监控表和报告。在跟踪检查中发现，1—8月预算执行基本达到预期。为确保财政支出按照已批复的绩效目标执行，及时发现项目运行是否偏离既定的绩效目标，及时提出意见和建议，确保绩效目标如期实现，不断提高财政资金配置和使用效益。</w:t>
      </w:r>
    </w:p>
    <w:p>
      <w:pPr>
        <w:ind w:firstLine="640" w:firstLineChars="200"/>
        <w:rPr>
          <w:rFonts w:eastAsia="黑体"/>
          <w:bCs/>
          <w:sz w:val="32"/>
          <w:szCs w:val="32"/>
        </w:rPr>
      </w:pPr>
      <w:r>
        <w:rPr>
          <w:rFonts w:eastAsia="黑体"/>
          <w:bCs/>
          <w:sz w:val="32"/>
          <w:szCs w:val="32"/>
        </w:rPr>
        <w:t>四、评价结论及建议</w:t>
      </w:r>
    </w:p>
    <w:p>
      <w:pPr>
        <w:spacing w:line="600" w:lineRule="exact"/>
        <w:ind w:firstLine="640" w:firstLineChars="200"/>
        <w:outlineLvl w:val="2"/>
        <w:rPr>
          <w:rFonts w:eastAsia="楷体_GB2312"/>
          <w:sz w:val="32"/>
          <w:szCs w:val="32"/>
        </w:rPr>
      </w:pPr>
      <w:r>
        <w:rPr>
          <w:rFonts w:eastAsia="楷体_GB2312"/>
          <w:sz w:val="32"/>
          <w:szCs w:val="32"/>
        </w:rPr>
        <w:t>（一）评价结论。</w:t>
      </w:r>
    </w:p>
    <w:p>
      <w:pPr>
        <w:spacing w:line="600" w:lineRule="exact"/>
        <w:ind w:firstLine="640" w:firstLineChars="200"/>
        <w:outlineLvl w:val="2"/>
        <w:rPr>
          <w:rFonts w:eastAsia="仿宋_GB2312"/>
          <w:kern w:val="0"/>
          <w:sz w:val="32"/>
          <w:szCs w:val="32"/>
        </w:rPr>
      </w:pPr>
      <w:r>
        <w:rPr>
          <w:rFonts w:eastAsia="仿宋_GB2312"/>
          <w:kern w:val="0"/>
          <w:sz w:val="32"/>
          <w:szCs w:val="32"/>
        </w:rPr>
        <w:t>2023年，我校严格按照年初预算批复认真组织实施, 严格执行财经纪律相关管理规定，做到各项收支安排使用符合事业发展计划和财政政策的要求，确保了单位正常运行和重大项目的实施，较好地完成了2023年部门预算编制和决算汇总工作, 2023年目标任务基本完成，预算执行情况较好。</w:t>
      </w:r>
    </w:p>
    <w:p>
      <w:pPr>
        <w:spacing w:line="600" w:lineRule="exact"/>
        <w:ind w:firstLine="640" w:firstLineChars="200"/>
        <w:outlineLvl w:val="2"/>
        <w:rPr>
          <w:rFonts w:eastAsia="楷体_GB2312"/>
          <w:sz w:val="32"/>
          <w:szCs w:val="32"/>
        </w:rPr>
      </w:pPr>
      <w:r>
        <w:rPr>
          <w:rFonts w:eastAsia="楷体_GB2312"/>
          <w:sz w:val="32"/>
          <w:szCs w:val="32"/>
        </w:rPr>
        <w:t>（二）存在问题。</w:t>
      </w:r>
    </w:p>
    <w:p>
      <w:pPr>
        <w:pStyle w:val="14"/>
        <w:widowControl/>
        <w:shd w:val="clear" w:color="auto" w:fill="FFFFFF"/>
        <w:spacing w:before="0" w:beforeAutospacing="0" w:after="0" w:afterAutospacing="0" w:line="570" w:lineRule="atLeast"/>
        <w:ind w:firstLine="600"/>
        <w:rPr>
          <w:sz w:val="32"/>
          <w:szCs w:val="32"/>
        </w:rPr>
      </w:pPr>
      <w:r>
        <w:rPr>
          <w:sz w:val="32"/>
          <w:szCs w:val="32"/>
        </w:rPr>
        <w:t>2023年我校顺利的完成了部门整体支出各项工作，实现了预期目标，但从执行情况来看，还存在着以下问题：一是年初设置绩效目标不够科学，目标设立不够明确、细化和量化，预算编制不够完善；二是预算执行有待进一步严格，预算编制与实际支出项目有的仍存在细微差异个别项目进度缓慢、绩效管理工作有待加强。</w:t>
      </w:r>
    </w:p>
    <w:p>
      <w:pPr>
        <w:spacing w:line="600" w:lineRule="exact"/>
        <w:ind w:firstLine="640" w:firstLineChars="200"/>
        <w:outlineLvl w:val="2"/>
        <w:rPr>
          <w:rFonts w:eastAsia="楷体_GB2312"/>
          <w:sz w:val="32"/>
          <w:szCs w:val="32"/>
        </w:rPr>
      </w:pPr>
      <w:r>
        <w:rPr>
          <w:rFonts w:eastAsia="楷体_GB2312"/>
          <w:sz w:val="32"/>
          <w:szCs w:val="32"/>
        </w:rPr>
        <w:t>（三）改进建议。</w:t>
      </w:r>
    </w:p>
    <w:p>
      <w:pPr>
        <w:widowControl/>
        <w:adjustRightInd w:val="0"/>
        <w:snapToGrid w:val="0"/>
        <w:spacing w:line="540" w:lineRule="atLeast"/>
        <w:ind w:firstLine="640" w:firstLineChars="200"/>
        <w:contextualSpacing/>
        <w:jc w:val="left"/>
        <w:rPr>
          <w:rFonts w:eastAsia="仿宋_GB2312"/>
          <w:kern w:val="0"/>
          <w:sz w:val="32"/>
          <w:szCs w:val="32"/>
        </w:rPr>
      </w:pPr>
      <w:r>
        <w:rPr>
          <w:rFonts w:eastAsia="仿宋_GB2312"/>
          <w:kern w:val="0"/>
          <w:sz w:val="32"/>
          <w:szCs w:val="32"/>
        </w:rPr>
        <w:t>加强预算编制的合理性，细化预算编制，严格预算执行。进一步加强单位内部机构各单位各科室的预算管理意识，严格按照预算编制的相关制</w:t>
      </w:r>
      <w:bookmarkStart w:id="48" w:name="_GoBack"/>
      <w:bookmarkEnd w:id="48"/>
      <w:r>
        <w:rPr>
          <w:rFonts w:eastAsia="仿宋_GB2312"/>
          <w:kern w:val="0"/>
          <w:sz w:val="32"/>
          <w:szCs w:val="32"/>
        </w:rPr>
        <w:t>度和要求进行预算编制。按照预算规定的项目和用途严格财务审核，经费支出严格按预算规定项目的财务支出内容进行财务核算，在预算金额内严格控制费用的支出。同时进一步加强新政府会计制度和预算法等的学习，切实提高部门预算收支管理水平。</w:t>
      </w:r>
    </w:p>
    <w:p>
      <w:pPr>
        <w:spacing w:line="560" w:lineRule="exact"/>
        <w:rPr>
          <w:rStyle w:val="28"/>
        </w:rPr>
      </w:pPr>
    </w:p>
    <w:p>
      <w:pPr>
        <w:spacing w:line="560" w:lineRule="exact"/>
        <w:jc w:val="center"/>
        <w:rPr>
          <w:rStyle w:val="28"/>
          <w:rFonts w:ascii="黑体" w:hAnsi="黑体" w:eastAsia="黑体"/>
          <w:b w:val="0"/>
        </w:rPr>
      </w:pPr>
    </w:p>
    <w:p>
      <w:pPr>
        <w:spacing w:line="560" w:lineRule="exact"/>
        <w:jc w:val="center"/>
        <w:rPr>
          <w:rStyle w:val="28"/>
          <w:rFonts w:ascii="黑体" w:hAnsi="黑体" w:eastAsia="黑体"/>
          <w:b w:val="0"/>
        </w:rPr>
      </w:pPr>
    </w:p>
    <w:p>
      <w:pPr>
        <w:spacing w:line="560" w:lineRule="exact"/>
        <w:jc w:val="center"/>
        <w:rPr>
          <w:rStyle w:val="28"/>
          <w:rFonts w:ascii="黑体" w:hAnsi="黑体" w:eastAsia="黑体"/>
          <w:b w:val="0"/>
        </w:rPr>
      </w:pPr>
    </w:p>
    <w:p>
      <w:pPr>
        <w:spacing w:line="560" w:lineRule="exact"/>
        <w:jc w:val="center"/>
        <w:rPr>
          <w:rStyle w:val="28"/>
          <w:rFonts w:ascii="黑体" w:hAnsi="黑体" w:eastAsia="黑体"/>
          <w:b w:val="0"/>
        </w:rPr>
      </w:pPr>
    </w:p>
    <w:p>
      <w:pPr>
        <w:spacing w:line="560" w:lineRule="exact"/>
        <w:jc w:val="center"/>
        <w:rPr>
          <w:rStyle w:val="28"/>
          <w:rFonts w:ascii="黑体" w:hAnsi="黑体" w:eastAsia="黑体"/>
          <w:b w:val="0"/>
        </w:rPr>
      </w:pPr>
    </w:p>
    <w:p>
      <w:pPr>
        <w:spacing w:line="560" w:lineRule="exact"/>
        <w:jc w:val="center"/>
        <w:rPr>
          <w:rStyle w:val="28"/>
          <w:rFonts w:ascii="黑体" w:hAnsi="黑体" w:eastAsia="黑体"/>
          <w:b w:val="0"/>
        </w:rPr>
      </w:pPr>
    </w:p>
    <w:p>
      <w:pPr>
        <w:spacing w:line="560" w:lineRule="exact"/>
        <w:jc w:val="center"/>
        <w:rPr>
          <w:rStyle w:val="28"/>
          <w:rFonts w:ascii="黑体" w:hAnsi="黑体" w:eastAsia="黑体"/>
          <w:b w:val="0"/>
        </w:rPr>
      </w:pPr>
    </w:p>
    <w:p>
      <w:pPr>
        <w:spacing w:line="560" w:lineRule="exact"/>
        <w:jc w:val="center"/>
        <w:rPr>
          <w:rStyle w:val="28"/>
          <w:rFonts w:ascii="黑体" w:hAnsi="黑体" w:eastAsia="黑体"/>
          <w:b w:val="0"/>
        </w:rPr>
      </w:pPr>
    </w:p>
    <w:p>
      <w:pPr>
        <w:spacing w:line="560" w:lineRule="exact"/>
        <w:jc w:val="center"/>
        <w:rPr>
          <w:rStyle w:val="28"/>
          <w:rFonts w:ascii="黑体" w:hAnsi="黑体" w:eastAsia="黑体"/>
          <w:b w:val="0"/>
        </w:rPr>
      </w:pPr>
    </w:p>
    <w:p>
      <w:pPr>
        <w:pStyle w:val="2"/>
        <w:rPr>
          <w:rStyle w:val="28"/>
          <w:rFonts w:ascii="黑体" w:hAnsi="黑体" w:eastAsia="黑体"/>
          <w:b w:val="0"/>
        </w:rPr>
      </w:pPr>
    </w:p>
    <w:p/>
    <w:p>
      <w:pPr>
        <w:spacing w:line="560" w:lineRule="exact"/>
        <w:jc w:val="center"/>
        <w:rPr>
          <w:rStyle w:val="28"/>
          <w:rFonts w:ascii="黑体" w:hAnsi="黑体" w:eastAsia="黑体"/>
          <w:b w:val="0"/>
        </w:rPr>
      </w:pPr>
    </w:p>
    <w:p>
      <w:pPr>
        <w:spacing w:line="560" w:lineRule="exact"/>
        <w:rPr>
          <w:rStyle w:val="28"/>
          <w:rFonts w:ascii="黑体" w:hAnsi="黑体" w:eastAsia="黑体"/>
          <w:b w:val="0"/>
        </w:rPr>
      </w:pPr>
    </w:p>
    <w:p>
      <w:pPr>
        <w:spacing w:line="560" w:lineRule="exact"/>
        <w:jc w:val="center"/>
        <w:rPr>
          <w:rStyle w:val="28"/>
          <w:rFonts w:ascii="黑体" w:hAnsi="黑体" w:eastAsia="黑体"/>
          <w:b w:val="0"/>
        </w:rPr>
      </w:pPr>
      <w:r>
        <w:rPr>
          <w:rStyle w:val="28"/>
          <w:rFonts w:hint="eastAsia" w:ascii="黑体" w:hAnsi="黑体" w:eastAsia="黑体"/>
          <w:b w:val="0"/>
        </w:rPr>
        <w:t>第五部分 附表</w:t>
      </w:r>
    </w:p>
    <w:p>
      <w:pPr>
        <w:rPr>
          <w:rFonts w:ascii="仿宋"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一、收入支出决算总表</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二、收入决算表</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三、支出决算表</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四、财政拨款收入支出决算总表</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五、财政拨款支出决算明细表</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六、一般公共预算财政拨款支出决算表</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七、一般公共预算财政拨款支出决算明细表</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八、一般公共预算财政拨款基本支出决算表</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九、一般公共预算财政拨款项目支出决算表</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十、政府性基金预算财政拨款收入支出决算表</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十一、国有资本经营预算财政拨款收入支出决算表</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十二、国有资本经营预算财政拨款支出决算表</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十三、财政拨款“三公”经费支出决算表</w:t>
      </w:r>
    </w:p>
    <w:sectPr>
      <w:headerReference r:id="rId3" w:type="default"/>
      <w:footerReference r:id="rId4" w:type="default"/>
      <w:pgSz w:w="11906" w:h="16838"/>
      <w:pgMar w:top="1440" w:right="1800" w:bottom="1440" w:left="1800" w:header="851" w:footer="992" w:gutter="0"/>
      <w:pgNumType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0"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94781956"/>
    </w:sdtPr>
    <w:sdtEndPr>
      <w:rPr>
        <w:sz w:val="24"/>
        <w:szCs w:val="24"/>
      </w:rPr>
    </w:sdtEndPr>
    <w:sdtContent>
      <w:p>
        <w:pPr>
          <w:pStyle w:val="10"/>
          <w:numPr>
            <w:ilvl w:val="0"/>
            <w:numId w:val="1"/>
          </w:numPr>
          <w:jc w:val="center"/>
          <w:rPr>
            <w:sz w:val="24"/>
            <w:szCs w:val="24"/>
          </w:rPr>
        </w:pPr>
        <w:r>
          <w:rPr>
            <w:sz w:val="24"/>
            <w:szCs w:val="24"/>
          </w:rPr>
          <w:fldChar w:fldCharType="begin"/>
        </w:r>
        <w:r>
          <w:rPr>
            <w:sz w:val="24"/>
            <w:szCs w:val="24"/>
          </w:rPr>
          <w:instrText xml:space="preserve">PAGE   \* MERGEFORMAT</w:instrText>
        </w:r>
        <w:r>
          <w:rPr>
            <w:sz w:val="24"/>
            <w:szCs w:val="24"/>
          </w:rPr>
          <w:fldChar w:fldCharType="separate"/>
        </w:r>
        <w:r>
          <w:rPr>
            <w:sz w:val="24"/>
            <w:szCs w:val="24"/>
            <w:lang w:val="zh-CN"/>
          </w:rPr>
          <w:t>18</w:t>
        </w:r>
        <w:r>
          <w:rPr>
            <w:sz w:val="24"/>
            <w:szCs w:val="24"/>
          </w:rPr>
          <w:fldChar w:fldCharType="end"/>
        </w:r>
        <w:r>
          <w:rPr>
            <w:rFonts w:hint="eastAsia"/>
            <w:sz w:val="24"/>
            <w:szCs w:val="24"/>
          </w:rPr>
          <w:t>—</w:t>
        </w:r>
      </w:p>
    </w:sdtContent>
  </w:sdt>
  <w:p>
    <w:pPr>
      <w:pStyle w:val="1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F652CEC"/>
    <w:multiLevelType w:val="singleLevel"/>
    <w:tmpl w:val="CF652CEC"/>
    <w:lvl w:ilvl="0" w:tentative="0">
      <w:start w:val="9"/>
      <w:numFmt w:val="chineseCounting"/>
      <w:suff w:val="nothing"/>
      <w:lvlText w:val="%1、"/>
      <w:lvlJc w:val="left"/>
      <w:rPr>
        <w:rFonts w:hint="eastAsia"/>
      </w:rPr>
    </w:lvl>
  </w:abstractNum>
  <w:abstractNum w:abstractNumId="1">
    <w:nsid w:val="1272550B"/>
    <w:multiLevelType w:val="multilevel"/>
    <w:tmpl w:val="1272550B"/>
    <w:lvl w:ilvl="0" w:tentative="0">
      <w:start w:val="1"/>
      <w:numFmt w:val="japaneseCounting"/>
      <w:lvlText w:val="%1、"/>
      <w:lvlJc w:val="left"/>
      <w:pPr>
        <w:ind w:left="1360" w:hanging="720"/>
      </w:pPr>
      <w:rPr>
        <w:rFonts w:hint="default"/>
        <w:b w:val="0"/>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2">
    <w:nsid w:val="68206F0E"/>
    <w:multiLevelType w:val="multilevel"/>
    <w:tmpl w:val="68206F0E"/>
    <w:lvl w:ilvl="0" w:tentative="0">
      <w:start w:val="0"/>
      <w:numFmt w:val="bullet"/>
      <w:lvlText w:val="—"/>
      <w:lvlJc w:val="left"/>
      <w:pPr>
        <w:ind w:left="360" w:hanging="360"/>
      </w:pPr>
      <w:rPr>
        <w:rFonts w:hint="eastAsia" w:ascii="宋体" w:hAnsi="宋体" w:eastAsia="宋体" w:cs="Times New Roman"/>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DEwNjA0YzViNjJhY2QyZGY4Nzk3NDFmNDE4MWMwYTYifQ=="/>
  </w:docVars>
  <w:rsids>
    <w:rsidRoot w:val="00F1361C"/>
    <w:rsid w:val="00014A1C"/>
    <w:rsid w:val="000222C6"/>
    <w:rsid w:val="0002549F"/>
    <w:rsid w:val="00035392"/>
    <w:rsid w:val="000468DB"/>
    <w:rsid w:val="0006487A"/>
    <w:rsid w:val="00065F8F"/>
    <w:rsid w:val="00070A43"/>
    <w:rsid w:val="00075FF7"/>
    <w:rsid w:val="000768F2"/>
    <w:rsid w:val="00082EAC"/>
    <w:rsid w:val="0009184B"/>
    <w:rsid w:val="00094236"/>
    <w:rsid w:val="0009593C"/>
    <w:rsid w:val="00097322"/>
    <w:rsid w:val="00097358"/>
    <w:rsid w:val="000A6A92"/>
    <w:rsid w:val="000B047F"/>
    <w:rsid w:val="000B5923"/>
    <w:rsid w:val="000B5A48"/>
    <w:rsid w:val="000B6FF3"/>
    <w:rsid w:val="000C3467"/>
    <w:rsid w:val="000C3CA6"/>
    <w:rsid w:val="000D1267"/>
    <w:rsid w:val="000D1D50"/>
    <w:rsid w:val="000D5782"/>
    <w:rsid w:val="000E6613"/>
    <w:rsid w:val="000E7119"/>
    <w:rsid w:val="000F5EFD"/>
    <w:rsid w:val="00114E9B"/>
    <w:rsid w:val="00116C74"/>
    <w:rsid w:val="00142216"/>
    <w:rsid w:val="00144D6A"/>
    <w:rsid w:val="0014729F"/>
    <w:rsid w:val="001479A9"/>
    <w:rsid w:val="00157BAB"/>
    <w:rsid w:val="001654D1"/>
    <w:rsid w:val="001730E5"/>
    <w:rsid w:val="00174518"/>
    <w:rsid w:val="0018106D"/>
    <w:rsid w:val="001877A7"/>
    <w:rsid w:val="00191536"/>
    <w:rsid w:val="00196687"/>
    <w:rsid w:val="001C0962"/>
    <w:rsid w:val="001C2738"/>
    <w:rsid w:val="001D7531"/>
    <w:rsid w:val="001E737D"/>
    <w:rsid w:val="001F0592"/>
    <w:rsid w:val="001F6419"/>
    <w:rsid w:val="001F7506"/>
    <w:rsid w:val="002006CD"/>
    <w:rsid w:val="00202B36"/>
    <w:rsid w:val="00204B7A"/>
    <w:rsid w:val="00204CDE"/>
    <w:rsid w:val="0021101A"/>
    <w:rsid w:val="00220536"/>
    <w:rsid w:val="00235629"/>
    <w:rsid w:val="00260289"/>
    <w:rsid w:val="00260C38"/>
    <w:rsid w:val="002616C0"/>
    <w:rsid w:val="002643DB"/>
    <w:rsid w:val="00265372"/>
    <w:rsid w:val="002662AA"/>
    <w:rsid w:val="00280496"/>
    <w:rsid w:val="00281F58"/>
    <w:rsid w:val="00283D47"/>
    <w:rsid w:val="00294DC9"/>
    <w:rsid w:val="00295495"/>
    <w:rsid w:val="002A31DE"/>
    <w:rsid w:val="002A62F7"/>
    <w:rsid w:val="002A6C45"/>
    <w:rsid w:val="002B2613"/>
    <w:rsid w:val="002C1468"/>
    <w:rsid w:val="002D6D05"/>
    <w:rsid w:val="002F1818"/>
    <w:rsid w:val="002F5109"/>
    <w:rsid w:val="002F567B"/>
    <w:rsid w:val="003216A9"/>
    <w:rsid w:val="00335A74"/>
    <w:rsid w:val="00346640"/>
    <w:rsid w:val="00356241"/>
    <w:rsid w:val="0036561B"/>
    <w:rsid w:val="0037013F"/>
    <w:rsid w:val="00380C92"/>
    <w:rsid w:val="003A484F"/>
    <w:rsid w:val="003A4883"/>
    <w:rsid w:val="003A5CCB"/>
    <w:rsid w:val="003B0BE0"/>
    <w:rsid w:val="003B0C1B"/>
    <w:rsid w:val="003B688C"/>
    <w:rsid w:val="003C0291"/>
    <w:rsid w:val="003C39AE"/>
    <w:rsid w:val="003C7B60"/>
    <w:rsid w:val="003D0C0F"/>
    <w:rsid w:val="003D1FB2"/>
    <w:rsid w:val="003D2919"/>
    <w:rsid w:val="003D66DA"/>
    <w:rsid w:val="003E1310"/>
    <w:rsid w:val="003E2E6A"/>
    <w:rsid w:val="003E6F55"/>
    <w:rsid w:val="00406254"/>
    <w:rsid w:val="00410559"/>
    <w:rsid w:val="0041585D"/>
    <w:rsid w:val="00420B47"/>
    <w:rsid w:val="004223DE"/>
    <w:rsid w:val="00434489"/>
    <w:rsid w:val="00437085"/>
    <w:rsid w:val="00443880"/>
    <w:rsid w:val="004464F4"/>
    <w:rsid w:val="00447329"/>
    <w:rsid w:val="00471401"/>
    <w:rsid w:val="00473F31"/>
    <w:rsid w:val="0048263A"/>
    <w:rsid w:val="004826A2"/>
    <w:rsid w:val="00487E5D"/>
    <w:rsid w:val="004A711F"/>
    <w:rsid w:val="004A7EBD"/>
    <w:rsid w:val="004B199D"/>
    <w:rsid w:val="004B4690"/>
    <w:rsid w:val="004E0A2D"/>
    <w:rsid w:val="004E206B"/>
    <w:rsid w:val="004E3607"/>
    <w:rsid w:val="004E6DF7"/>
    <w:rsid w:val="004F0FBD"/>
    <w:rsid w:val="00505A47"/>
    <w:rsid w:val="00512FDA"/>
    <w:rsid w:val="00520DA0"/>
    <w:rsid w:val="005664BB"/>
    <w:rsid w:val="00566FFA"/>
    <w:rsid w:val="0057481D"/>
    <w:rsid w:val="0058486E"/>
    <w:rsid w:val="00585B33"/>
    <w:rsid w:val="0059014D"/>
    <w:rsid w:val="005A09FD"/>
    <w:rsid w:val="005A608D"/>
    <w:rsid w:val="005A779A"/>
    <w:rsid w:val="005B0198"/>
    <w:rsid w:val="005B321C"/>
    <w:rsid w:val="005B5C64"/>
    <w:rsid w:val="005B7908"/>
    <w:rsid w:val="005C5337"/>
    <w:rsid w:val="005C6981"/>
    <w:rsid w:val="005C6BD0"/>
    <w:rsid w:val="005D1C8B"/>
    <w:rsid w:val="005D468D"/>
    <w:rsid w:val="005D5CED"/>
    <w:rsid w:val="005F1A4C"/>
    <w:rsid w:val="00605688"/>
    <w:rsid w:val="006070AF"/>
    <w:rsid w:val="00607E6C"/>
    <w:rsid w:val="006101B1"/>
    <w:rsid w:val="00614764"/>
    <w:rsid w:val="00614E44"/>
    <w:rsid w:val="00620030"/>
    <w:rsid w:val="0062270A"/>
    <w:rsid w:val="00622830"/>
    <w:rsid w:val="00623DA0"/>
    <w:rsid w:val="00630AEF"/>
    <w:rsid w:val="006325F8"/>
    <w:rsid w:val="00633463"/>
    <w:rsid w:val="00634C9A"/>
    <w:rsid w:val="00640417"/>
    <w:rsid w:val="00641F56"/>
    <w:rsid w:val="006440E4"/>
    <w:rsid w:val="0066343B"/>
    <w:rsid w:val="00664777"/>
    <w:rsid w:val="006748A4"/>
    <w:rsid w:val="00681A31"/>
    <w:rsid w:val="00683E73"/>
    <w:rsid w:val="00697D4D"/>
    <w:rsid w:val="006A3141"/>
    <w:rsid w:val="006A5E34"/>
    <w:rsid w:val="006B2422"/>
    <w:rsid w:val="006B2B9A"/>
    <w:rsid w:val="006C1937"/>
    <w:rsid w:val="006F020C"/>
    <w:rsid w:val="007127B7"/>
    <w:rsid w:val="0071798E"/>
    <w:rsid w:val="007416B6"/>
    <w:rsid w:val="00742077"/>
    <w:rsid w:val="0074516B"/>
    <w:rsid w:val="00746F48"/>
    <w:rsid w:val="0075404D"/>
    <w:rsid w:val="0076182A"/>
    <w:rsid w:val="00762406"/>
    <w:rsid w:val="0076493D"/>
    <w:rsid w:val="00767B7E"/>
    <w:rsid w:val="007770C3"/>
    <w:rsid w:val="00784D24"/>
    <w:rsid w:val="00785FBA"/>
    <w:rsid w:val="00786E4A"/>
    <w:rsid w:val="007875EB"/>
    <w:rsid w:val="0079426B"/>
    <w:rsid w:val="007D1682"/>
    <w:rsid w:val="007D312A"/>
    <w:rsid w:val="007D3F19"/>
    <w:rsid w:val="007E23B0"/>
    <w:rsid w:val="007E23E5"/>
    <w:rsid w:val="007E6A82"/>
    <w:rsid w:val="007F1991"/>
    <w:rsid w:val="007F2C2F"/>
    <w:rsid w:val="007F55FC"/>
    <w:rsid w:val="007F5665"/>
    <w:rsid w:val="007F7385"/>
    <w:rsid w:val="00800112"/>
    <w:rsid w:val="008012D2"/>
    <w:rsid w:val="00813348"/>
    <w:rsid w:val="00822318"/>
    <w:rsid w:val="008253BB"/>
    <w:rsid w:val="0083706E"/>
    <w:rsid w:val="008408F6"/>
    <w:rsid w:val="008423A5"/>
    <w:rsid w:val="00850625"/>
    <w:rsid w:val="008517A6"/>
    <w:rsid w:val="00853718"/>
    <w:rsid w:val="00855221"/>
    <w:rsid w:val="00860645"/>
    <w:rsid w:val="00871F71"/>
    <w:rsid w:val="00872FD8"/>
    <w:rsid w:val="00875641"/>
    <w:rsid w:val="00885AF4"/>
    <w:rsid w:val="00887F08"/>
    <w:rsid w:val="008914B9"/>
    <w:rsid w:val="008939CD"/>
    <w:rsid w:val="00893B26"/>
    <w:rsid w:val="008B768C"/>
    <w:rsid w:val="008C4DB1"/>
    <w:rsid w:val="008C4EAF"/>
    <w:rsid w:val="008C5176"/>
    <w:rsid w:val="008C7FD0"/>
    <w:rsid w:val="008E1DE7"/>
    <w:rsid w:val="008E707C"/>
    <w:rsid w:val="00900B08"/>
    <w:rsid w:val="00902155"/>
    <w:rsid w:val="00902FA3"/>
    <w:rsid w:val="00923564"/>
    <w:rsid w:val="0092392E"/>
    <w:rsid w:val="009315F9"/>
    <w:rsid w:val="00933499"/>
    <w:rsid w:val="009334F0"/>
    <w:rsid w:val="00934DAF"/>
    <w:rsid w:val="00935C98"/>
    <w:rsid w:val="00946945"/>
    <w:rsid w:val="00951248"/>
    <w:rsid w:val="0095152F"/>
    <w:rsid w:val="009546E4"/>
    <w:rsid w:val="00954C49"/>
    <w:rsid w:val="00955E37"/>
    <w:rsid w:val="0097099F"/>
    <w:rsid w:val="00971997"/>
    <w:rsid w:val="00971FFC"/>
    <w:rsid w:val="0098660A"/>
    <w:rsid w:val="009931C3"/>
    <w:rsid w:val="0099684A"/>
    <w:rsid w:val="009B2C43"/>
    <w:rsid w:val="009B4EAE"/>
    <w:rsid w:val="009B7573"/>
    <w:rsid w:val="009C22F4"/>
    <w:rsid w:val="009C2A4B"/>
    <w:rsid w:val="009C2E98"/>
    <w:rsid w:val="009D3447"/>
    <w:rsid w:val="009D4711"/>
    <w:rsid w:val="009E50C8"/>
    <w:rsid w:val="009F1185"/>
    <w:rsid w:val="009F18CD"/>
    <w:rsid w:val="009F2A13"/>
    <w:rsid w:val="009F7527"/>
    <w:rsid w:val="00A04EB0"/>
    <w:rsid w:val="00A13CC1"/>
    <w:rsid w:val="00A16847"/>
    <w:rsid w:val="00A2192D"/>
    <w:rsid w:val="00A237D8"/>
    <w:rsid w:val="00A25C9F"/>
    <w:rsid w:val="00A268C4"/>
    <w:rsid w:val="00A27C77"/>
    <w:rsid w:val="00A307CD"/>
    <w:rsid w:val="00A331C8"/>
    <w:rsid w:val="00A40A00"/>
    <w:rsid w:val="00A4142F"/>
    <w:rsid w:val="00A422EB"/>
    <w:rsid w:val="00A45BB7"/>
    <w:rsid w:val="00A56DF2"/>
    <w:rsid w:val="00A56E6E"/>
    <w:rsid w:val="00A67AB5"/>
    <w:rsid w:val="00A733B2"/>
    <w:rsid w:val="00A741C2"/>
    <w:rsid w:val="00A74A9E"/>
    <w:rsid w:val="00A91760"/>
    <w:rsid w:val="00A93B00"/>
    <w:rsid w:val="00A93C21"/>
    <w:rsid w:val="00AB64C9"/>
    <w:rsid w:val="00AC2E50"/>
    <w:rsid w:val="00AC3C6A"/>
    <w:rsid w:val="00AD5620"/>
    <w:rsid w:val="00AD656B"/>
    <w:rsid w:val="00AD7C1B"/>
    <w:rsid w:val="00AE16BA"/>
    <w:rsid w:val="00AE1EBE"/>
    <w:rsid w:val="00B03C9D"/>
    <w:rsid w:val="00B060AE"/>
    <w:rsid w:val="00B10517"/>
    <w:rsid w:val="00B12E8B"/>
    <w:rsid w:val="00B14E76"/>
    <w:rsid w:val="00B161B8"/>
    <w:rsid w:val="00B2048C"/>
    <w:rsid w:val="00B310B9"/>
    <w:rsid w:val="00B35F3F"/>
    <w:rsid w:val="00B36CBB"/>
    <w:rsid w:val="00B411A6"/>
    <w:rsid w:val="00B425E0"/>
    <w:rsid w:val="00B440AA"/>
    <w:rsid w:val="00B44B70"/>
    <w:rsid w:val="00B53C56"/>
    <w:rsid w:val="00B57DAF"/>
    <w:rsid w:val="00B76F9D"/>
    <w:rsid w:val="00B77EA6"/>
    <w:rsid w:val="00B81598"/>
    <w:rsid w:val="00B841F1"/>
    <w:rsid w:val="00B91866"/>
    <w:rsid w:val="00B921B1"/>
    <w:rsid w:val="00B944D6"/>
    <w:rsid w:val="00BA579E"/>
    <w:rsid w:val="00BB4DF0"/>
    <w:rsid w:val="00BC289F"/>
    <w:rsid w:val="00BC2D50"/>
    <w:rsid w:val="00BC5361"/>
    <w:rsid w:val="00BC5460"/>
    <w:rsid w:val="00BC6B50"/>
    <w:rsid w:val="00BD0E25"/>
    <w:rsid w:val="00BF5BD6"/>
    <w:rsid w:val="00C03E31"/>
    <w:rsid w:val="00C33E72"/>
    <w:rsid w:val="00C354B2"/>
    <w:rsid w:val="00C35554"/>
    <w:rsid w:val="00C42709"/>
    <w:rsid w:val="00C46119"/>
    <w:rsid w:val="00C533CC"/>
    <w:rsid w:val="00C5751C"/>
    <w:rsid w:val="00C61BFC"/>
    <w:rsid w:val="00C62B85"/>
    <w:rsid w:val="00C65438"/>
    <w:rsid w:val="00C860D5"/>
    <w:rsid w:val="00C87FD8"/>
    <w:rsid w:val="00C91381"/>
    <w:rsid w:val="00C91CBB"/>
    <w:rsid w:val="00CB4E70"/>
    <w:rsid w:val="00CC09B6"/>
    <w:rsid w:val="00CC666F"/>
    <w:rsid w:val="00CD1E3F"/>
    <w:rsid w:val="00CE0107"/>
    <w:rsid w:val="00CE44F6"/>
    <w:rsid w:val="00CE49DA"/>
    <w:rsid w:val="00CE7B61"/>
    <w:rsid w:val="00D00095"/>
    <w:rsid w:val="00D114F0"/>
    <w:rsid w:val="00D20620"/>
    <w:rsid w:val="00D254F7"/>
    <w:rsid w:val="00D26091"/>
    <w:rsid w:val="00D2685C"/>
    <w:rsid w:val="00D34E7C"/>
    <w:rsid w:val="00D35489"/>
    <w:rsid w:val="00D36AFE"/>
    <w:rsid w:val="00D51276"/>
    <w:rsid w:val="00D7035F"/>
    <w:rsid w:val="00D950A1"/>
    <w:rsid w:val="00DA634F"/>
    <w:rsid w:val="00DA65AC"/>
    <w:rsid w:val="00DB1913"/>
    <w:rsid w:val="00DC410D"/>
    <w:rsid w:val="00DC5A81"/>
    <w:rsid w:val="00DC68CA"/>
    <w:rsid w:val="00DC7CBA"/>
    <w:rsid w:val="00DD73B7"/>
    <w:rsid w:val="00DF24DF"/>
    <w:rsid w:val="00DF28BC"/>
    <w:rsid w:val="00DF34B9"/>
    <w:rsid w:val="00DF3DED"/>
    <w:rsid w:val="00E01053"/>
    <w:rsid w:val="00E01B70"/>
    <w:rsid w:val="00E07ACF"/>
    <w:rsid w:val="00E11813"/>
    <w:rsid w:val="00E331A1"/>
    <w:rsid w:val="00E33202"/>
    <w:rsid w:val="00E336A9"/>
    <w:rsid w:val="00E472B1"/>
    <w:rsid w:val="00E50624"/>
    <w:rsid w:val="00E568DF"/>
    <w:rsid w:val="00E64269"/>
    <w:rsid w:val="00E82267"/>
    <w:rsid w:val="00E83F81"/>
    <w:rsid w:val="00E853CE"/>
    <w:rsid w:val="00E867B6"/>
    <w:rsid w:val="00EA010F"/>
    <w:rsid w:val="00EA1BDC"/>
    <w:rsid w:val="00EB0FAE"/>
    <w:rsid w:val="00ED1B63"/>
    <w:rsid w:val="00ED3C1F"/>
    <w:rsid w:val="00ED4085"/>
    <w:rsid w:val="00ED420E"/>
    <w:rsid w:val="00ED6FBE"/>
    <w:rsid w:val="00EE2F57"/>
    <w:rsid w:val="00EF4C34"/>
    <w:rsid w:val="00EF77C6"/>
    <w:rsid w:val="00F03938"/>
    <w:rsid w:val="00F05438"/>
    <w:rsid w:val="00F1361C"/>
    <w:rsid w:val="00F156F0"/>
    <w:rsid w:val="00F160C7"/>
    <w:rsid w:val="00F2408F"/>
    <w:rsid w:val="00F240E9"/>
    <w:rsid w:val="00F36D8F"/>
    <w:rsid w:val="00F417B1"/>
    <w:rsid w:val="00F45853"/>
    <w:rsid w:val="00F5561B"/>
    <w:rsid w:val="00F602DF"/>
    <w:rsid w:val="00F754A1"/>
    <w:rsid w:val="00F81FD9"/>
    <w:rsid w:val="00F841AA"/>
    <w:rsid w:val="00F84A94"/>
    <w:rsid w:val="00F87E96"/>
    <w:rsid w:val="00FA23E8"/>
    <w:rsid w:val="00FA789D"/>
    <w:rsid w:val="00FC7DA4"/>
    <w:rsid w:val="00FD3CC1"/>
    <w:rsid w:val="00FF1E02"/>
    <w:rsid w:val="00FF30B4"/>
    <w:rsid w:val="015975B8"/>
    <w:rsid w:val="02FEBE30"/>
    <w:rsid w:val="036F8141"/>
    <w:rsid w:val="03F70510"/>
    <w:rsid w:val="066E0107"/>
    <w:rsid w:val="07996F6E"/>
    <w:rsid w:val="07DFD8BA"/>
    <w:rsid w:val="0A2032A3"/>
    <w:rsid w:val="0CC779A0"/>
    <w:rsid w:val="0D35B1ED"/>
    <w:rsid w:val="0E7ED1F5"/>
    <w:rsid w:val="0F98263C"/>
    <w:rsid w:val="101860EC"/>
    <w:rsid w:val="10C055FF"/>
    <w:rsid w:val="118107EC"/>
    <w:rsid w:val="11DE0B6D"/>
    <w:rsid w:val="13D50BC4"/>
    <w:rsid w:val="13F5616D"/>
    <w:rsid w:val="16BB723D"/>
    <w:rsid w:val="17F9714D"/>
    <w:rsid w:val="1918F934"/>
    <w:rsid w:val="1BE8440E"/>
    <w:rsid w:val="1D155CEE"/>
    <w:rsid w:val="1DFBC4B3"/>
    <w:rsid w:val="1E740ACF"/>
    <w:rsid w:val="1F19C781"/>
    <w:rsid w:val="1F33FCE5"/>
    <w:rsid w:val="1F7F7398"/>
    <w:rsid w:val="1FD2DB6F"/>
    <w:rsid w:val="1FF35744"/>
    <w:rsid w:val="1FF6BC77"/>
    <w:rsid w:val="1FF9236D"/>
    <w:rsid w:val="2333840E"/>
    <w:rsid w:val="23860B96"/>
    <w:rsid w:val="240371BF"/>
    <w:rsid w:val="257C638F"/>
    <w:rsid w:val="29FD04D3"/>
    <w:rsid w:val="2BFF7BC6"/>
    <w:rsid w:val="2C8A61B5"/>
    <w:rsid w:val="2CD59C95"/>
    <w:rsid w:val="2DF04E50"/>
    <w:rsid w:val="2E386C94"/>
    <w:rsid w:val="2EFD05E5"/>
    <w:rsid w:val="2F040D46"/>
    <w:rsid w:val="2F4F95CE"/>
    <w:rsid w:val="2FACAFDD"/>
    <w:rsid w:val="2FAE5751"/>
    <w:rsid w:val="2FB1A395"/>
    <w:rsid w:val="2FCF0B76"/>
    <w:rsid w:val="2FD9A7D8"/>
    <w:rsid w:val="319F7F4E"/>
    <w:rsid w:val="3304709D"/>
    <w:rsid w:val="332E6192"/>
    <w:rsid w:val="36AA5135"/>
    <w:rsid w:val="36BE0DA7"/>
    <w:rsid w:val="376B6AA6"/>
    <w:rsid w:val="376D39B2"/>
    <w:rsid w:val="37E16F03"/>
    <w:rsid w:val="37F53A3B"/>
    <w:rsid w:val="38D469F0"/>
    <w:rsid w:val="38F78389"/>
    <w:rsid w:val="397BAF1F"/>
    <w:rsid w:val="39E7B272"/>
    <w:rsid w:val="39F7642F"/>
    <w:rsid w:val="39FF7B37"/>
    <w:rsid w:val="3AB79AF3"/>
    <w:rsid w:val="3AFDCB77"/>
    <w:rsid w:val="3B7EF35A"/>
    <w:rsid w:val="3B9FDB6C"/>
    <w:rsid w:val="3BF5BC2F"/>
    <w:rsid w:val="3BF7C23A"/>
    <w:rsid w:val="3BFF223E"/>
    <w:rsid w:val="3C6EC0A1"/>
    <w:rsid w:val="3CDB0824"/>
    <w:rsid w:val="3CEBA265"/>
    <w:rsid w:val="3D6A7F9F"/>
    <w:rsid w:val="3D7E7F4D"/>
    <w:rsid w:val="3D98207C"/>
    <w:rsid w:val="3D9CF30A"/>
    <w:rsid w:val="3DFF5A3E"/>
    <w:rsid w:val="3E78745D"/>
    <w:rsid w:val="3EEE77E9"/>
    <w:rsid w:val="3F394AF5"/>
    <w:rsid w:val="3FBE5714"/>
    <w:rsid w:val="3FDD8615"/>
    <w:rsid w:val="3FDFB2FF"/>
    <w:rsid w:val="3FF4CAE0"/>
    <w:rsid w:val="3FF75FAF"/>
    <w:rsid w:val="3FF7B227"/>
    <w:rsid w:val="44E268DA"/>
    <w:rsid w:val="457F4F6B"/>
    <w:rsid w:val="4737FB58"/>
    <w:rsid w:val="47ECCB02"/>
    <w:rsid w:val="47FA6A3F"/>
    <w:rsid w:val="49D7AE48"/>
    <w:rsid w:val="4A3F6C7E"/>
    <w:rsid w:val="4A627F82"/>
    <w:rsid w:val="4B0E749A"/>
    <w:rsid w:val="4B4F25DA"/>
    <w:rsid w:val="4BBB4781"/>
    <w:rsid w:val="4BD709A5"/>
    <w:rsid w:val="4BDD9BFF"/>
    <w:rsid w:val="4BE068DB"/>
    <w:rsid w:val="4D577224"/>
    <w:rsid w:val="4DBF1CEB"/>
    <w:rsid w:val="4DBF6A6B"/>
    <w:rsid w:val="4DF6A672"/>
    <w:rsid w:val="4EAB630A"/>
    <w:rsid w:val="4ECE2238"/>
    <w:rsid w:val="4F7EA413"/>
    <w:rsid w:val="4FAB812F"/>
    <w:rsid w:val="4FE9BD67"/>
    <w:rsid w:val="4FEE4C07"/>
    <w:rsid w:val="4FFB052F"/>
    <w:rsid w:val="537E6D0A"/>
    <w:rsid w:val="53AB6B88"/>
    <w:rsid w:val="53F74C96"/>
    <w:rsid w:val="5583522D"/>
    <w:rsid w:val="57BD3DD4"/>
    <w:rsid w:val="57F9CD1E"/>
    <w:rsid w:val="5AF92295"/>
    <w:rsid w:val="5AF9D8E9"/>
    <w:rsid w:val="5BDD38BD"/>
    <w:rsid w:val="5BDD79E6"/>
    <w:rsid w:val="5BEFC772"/>
    <w:rsid w:val="5BFF5DFC"/>
    <w:rsid w:val="5CD71FC4"/>
    <w:rsid w:val="5D1F11B5"/>
    <w:rsid w:val="5D3647F9"/>
    <w:rsid w:val="5DA644D4"/>
    <w:rsid w:val="5DAE1B18"/>
    <w:rsid w:val="5DE7D9E5"/>
    <w:rsid w:val="5ECEC941"/>
    <w:rsid w:val="5EFF8FC6"/>
    <w:rsid w:val="5F5BA39A"/>
    <w:rsid w:val="5F7D3B79"/>
    <w:rsid w:val="5F7F4610"/>
    <w:rsid w:val="5FBF9FF3"/>
    <w:rsid w:val="5FCD4E2C"/>
    <w:rsid w:val="5FEF394A"/>
    <w:rsid w:val="5FF67715"/>
    <w:rsid w:val="61CA71D5"/>
    <w:rsid w:val="627EE9EA"/>
    <w:rsid w:val="63B23AA5"/>
    <w:rsid w:val="647F5392"/>
    <w:rsid w:val="64E322C4"/>
    <w:rsid w:val="65FB93B9"/>
    <w:rsid w:val="6633C463"/>
    <w:rsid w:val="67D55B77"/>
    <w:rsid w:val="67EE7F84"/>
    <w:rsid w:val="686F5F53"/>
    <w:rsid w:val="6AFFCEAF"/>
    <w:rsid w:val="6B96E9E6"/>
    <w:rsid w:val="6BCE57B5"/>
    <w:rsid w:val="6BFEA4DB"/>
    <w:rsid w:val="6BFFB662"/>
    <w:rsid w:val="6C4A05C8"/>
    <w:rsid w:val="6CFF4FB8"/>
    <w:rsid w:val="6D6BD6E0"/>
    <w:rsid w:val="6D77E73C"/>
    <w:rsid w:val="6DBF5E93"/>
    <w:rsid w:val="6DFF077E"/>
    <w:rsid w:val="6E7E3605"/>
    <w:rsid w:val="6E7FDCC7"/>
    <w:rsid w:val="6ED6A62E"/>
    <w:rsid w:val="6EE00B15"/>
    <w:rsid w:val="6EE737B2"/>
    <w:rsid w:val="6EEB2329"/>
    <w:rsid w:val="6EECE67A"/>
    <w:rsid w:val="6F6F90A8"/>
    <w:rsid w:val="6F6FB3EB"/>
    <w:rsid w:val="6F8731EA"/>
    <w:rsid w:val="6FBC2ADD"/>
    <w:rsid w:val="6FD57C00"/>
    <w:rsid w:val="6FEFFFD8"/>
    <w:rsid w:val="6FF5CC65"/>
    <w:rsid w:val="6FFB47EC"/>
    <w:rsid w:val="6FFF034A"/>
    <w:rsid w:val="712A28F1"/>
    <w:rsid w:val="715C0E4B"/>
    <w:rsid w:val="71FFD401"/>
    <w:rsid w:val="72233669"/>
    <w:rsid w:val="72734D90"/>
    <w:rsid w:val="7332FE48"/>
    <w:rsid w:val="73AD73D5"/>
    <w:rsid w:val="73B6EB34"/>
    <w:rsid w:val="73FA497D"/>
    <w:rsid w:val="744731E5"/>
    <w:rsid w:val="74BBD01D"/>
    <w:rsid w:val="74ED5379"/>
    <w:rsid w:val="75DEEEC2"/>
    <w:rsid w:val="767F479D"/>
    <w:rsid w:val="76E3355F"/>
    <w:rsid w:val="76F742AF"/>
    <w:rsid w:val="76F7BE7D"/>
    <w:rsid w:val="76FF5125"/>
    <w:rsid w:val="773570D3"/>
    <w:rsid w:val="77597F31"/>
    <w:rsid w:val="776F6FFA"/>
    <w:rsid w:val="7777A522"/>
    <w:rsid w:val="77858688"/>
    <w:rsid w:val="778769C8"/>
    <w:rsid w:val="77CB741A"/>
    <w:rsid w:val="77D7BE3A"/>
    <w:rsid w:val="77DC22F5"/>
    <w:rsid w:val="797E3A6C"/>
    <w:rsid w:val="79CF70E2"/>
    <w:rsid w:val="79D7FD79"/>
    <w:rsid w:val="79E75806"/>
    <w:rsid w:val="79EE5BA4"/>
    <w:rsid w:val="7A641148"/>
    <w:rsid w:val="7A6F8BF5"/>
    <w:rsid w:val="7A894339"/>
    <w:rsid w:val="7ACF82B5"/>
    <w:rsid w:val="7AFF28C9"/>
    <w:rsid w:val="7AFF72A0"/>
    <w:rsid w:val="7AFF7572"/>
    <w:rsid w:val="7B6C7DFB"/>
    <w:rsid w:val="7B7D76A7"/>
    <w:rsid w:val="7BAE2FE2"/>
    <w:rsid w:val="7BAF6951"/>
    <w:rsid w:val="7BBFBED0"/>
    <w:rsid w:val="7BC3E394"/>
    <w:rsid w:val="7BF3FE4C"/>
    <w:rsid w:val="7BFB5035"/>
    <w:rsid w:val="7BFDE17E"/>
    <w:rsid w:val="7CBFC87B"/>
    <w:rsid w:val="7CFE0F48"/>
    <w:rsid w:val="7D3DE31C"/>
    <w:rsid w:val="7D7EC23E"/>
    <w:rsid w:val="7D7F8A13"/>
    <w:rsid w:val="7DBBCB01"/>
    <w:rsid w:val="7DC765D0"/>
    <w:rsid w:val="7DDB0EE0"/>
    <w:rsid w:val="7DFF51D8"/>
    <w:rsid w:val="7E634199"/>
    <w:rsid w:val="7E8ADEBF"/>
    <w:rsid w:val="7EEF11D3"/>
    <w:rsid w:val="7EF78C20"/>
    <w:rsid w:val="7F3F679B"/>
    <w:rsid w:val="7F4FC4EF"/>
    <w:rsid w:val="7F5E4D54"/>
    <w:rsid w:val="7F6B75FA"/>
    <w:rsid w:val="7F9F518D"/>
    <w:rsid w:val="7FA30C79"/>
    <w:rsid w:val="7FAF8ABF"/>
    <w:rsid w:val="7FB7269E"/>
    <w:rsid w:val="7FBD6753"/>
    <w:rsid w:val="7FBFABB4"/>
    <w:rsid w:val="7FC65084"/>
    <w:rsid w:val="7FC96657"/>
    <w:rsid w:val="7FD72595"/>
    <w:rsid w:val="7FDA9588"/>
    <w:rsid w:val="7FDF220F"/>
    <w:rsid w:val="7FDF4542"/>
    <w:rsid w:val="7FDF5405"/>
    <w:rsid w:val="7FEDC251"/>
    <w:rsid w:val="7FEDC5F7"/>
    <w:rsid w:val="7FEDD9DE"/>
    <w:rsid w:val="7FEFCDB9"/>
    <w:rsid w:val="7FF5890D"/>
    <w:rsid w:val="7FF5EB09"/>
    <w:rsid w:val="7FF89B92"/>
    <w:rsid w:val="7FF8F2E7"/>
    <w:rsid w:val="7FF93490"/>
    <w:rsid w:val="7FFA6237"/>
    <w:rsid w:val="7FFB5275"/>
    <w:rsid w:val="7FFD14DE"/>
    <w:rsid w:val="7FFFF783"/>
    <w:rsid w:val="93F70A9E"/>
    <w:rsid w:val="997D060E"/>
    <w:rsid w:val="99FF2014"/>
    <w:rsid w:val="9E59F895"/>
    <w:rsid w:val="9E7DEDC1"/>
    <w:rsid w:val="9EEF2B0D"/>
    <w:rsid w:val="9FF6F2A6"/>
    <w:rsid w:val="9FFE4AD9"/>
    <w:rsid w:val="9FFF61B9"/>
    <w:rsid w:val="A6DD0D7F"/>
    <w:rsid w:val="A7955197"/>
    <w:rsid w:val="A7FE5E0E"/>
    <w:rsid w:val="ADC6F725"/>
    <w:rsid w:val="AF0FFA84"/>
    <w:rsid w:val="AF9F0A5E"/>
    <w:rsid w:val="AFEF7964"/>
    <w:rsid w:val="B27A6F28"/>
    <w:rsid w:val="B35F0D5A"/>
    <w:rsid w:val="B3F7F693"/>
    <w:rsid w:val="B3FBBB6C"/>
    <w:rsid w:val="B5FFE407"/>
    <w:rsid w:val="B7CF06AB"/>
    <w:rsid w:val="B7CFA926"/>
    <w:rsid w:val="B7F8786B"/>
    <w:rsid w:val="B9EF5647"/>
    <w:rsid w:val="BABB6AA1"/>
    <w:rsid w:val="BAFCD398"/>
    <w:rsid w:val="BAFFDA0F"/>
    <w:rsid w:val="BB2F4199"/>
    <w:rsid w:val="BBFBD24E"/>
    <w:rsid w:val="BD079C78"/>
    <w:rsid w:val="BD2DD278"/>
    <w:rsid w:val="BD733540"/>
    <w:rsid w:val="BDF7970E"/>
    <w:rsid w:val="BDFE68BD"/>
    <w:rsid w:val="BE6FC990"/>
    <w:rsid w:val="BEBE9537"/>
    <w:rsid w:val="BEFF0D62"/>
    <w:rsid w:val="BEFF90EF"/>
    <w:rsid w:val="BF3735D5"/>
    <w:rsid w:val="BF7F09AC"/>
    <w:rsid w:val="BFB3380D"/>
    <w:rsid w:val="BFB7E7A2"/>
    <w:rsid w:val="BFC2F103"/>
    <w:rsid w:val="BFD475C3"/>
    <w:rsid w:val="BFDE5EA6"/>
    <w:rsid w:val="BFEF99E9"/>
    <w:rsid w:val="BFF9E564"/>
    <w:rsid w:val="BFFF3A69"/>
    <w:rsid w:val="C7BFEF9C"/>
    <w:rsid w:val="C8BD8F25"/>
    <w:rsid w:val="C94DA72E"/>
    <w:rsid w:val="CBEEAA00"/>
    <w:rsid w:val="CC7E9ECE"/>
    <w:rsid w:val="CDBFF9FF"/>
    <w:rsid w:val="CDF78664"/>
    <w:rsid w:val="CE3FF57E"/>
    <w:rsid w:val="CF3AB4AC"/>
    <w:rsid w:val="CF6FC6F3"/>
    <w:rsid w:val="CFD3D3D7"/>
    <w:rsid w:val="CFDF1009"/>
    <w:rsid w:val="D6B7E4F6"/>
    <w:rsid w:val="D6CB2739"/>
    <w:rsid w:val="D776A8DB"/>
    <w:rsid w:val="D7B6B268"/>
    <w:rsid w:val="D7D7B16A"/>
    <w:rsid w:val="D7EF2E2A"/>
    <w:rsid w:val="D8D6DB89"/>
    <w:rsid w:val="DB6F4CAB"/>
    <w:rsid w:val="DB777682"/>
    <w:rsid w:val="DBDDA52A"/>
    <w:rsid w:val="DCFFC0D1"/>
    <w:rsid w:val="DD1FB521"/>
    <w:rsid w:val="DDCB2E5E"/>
    <w:rsid w:val="DDFE75CA"/>
    <w:rsid w:val="DEFBBE33"/>
    <w:rsid w:val="DEFBFEAE"/>
    <w:rsid w:val="DF1F3B80"/>
    <w:rsid w:val="DF6F9789"/>
    <w:rsid w:val="DF9B8D55"/>
    <w:rsid w:val="DF9D198A"/>
    <w:rsid w:val="DFDF1D8E"/>
    <w:rsid w:val="DFEFC58B"/>
    <w:rsid w:val="DFF5F241"/>
    <w:rsid w:val="DFFFA9E8"/>
    <w:rsid w:val="E37D5D3F"/>
    <w:rsid w:val="E3FFE98D"/>
    <w:rsid w:val="E5F4E9DC"/>
    <w:rsid w:val="E67FF583"/>
    <w:rsid w:val="E70FE695"/>
    <w:rsid w:val="E7676621"/>
    <w:rsid w:val="E76B2B9A"/>
    <w:rsid w:val="E7AB7A34"/>
    <w:rsid w:val="E7DF1E20"/>
    <w:rsid w:val="E7FF6381"/>
    <w:rsid w:val="E9A30291"/>
    <w:rsid w:val="EBBF924C"/>
    <w:rsid w:val="ECFED1BC"/>
    <w:rsid w:val="ED1D69BB"/>
    <w:rsid w:val="ED2C2584"/>
    <w:rsid w:val="ED7FD312"/>
    <w:rsid w:val="EDBE03E0"/>
    <w:rsid w:val="EDD1A84A"/>
    <w:rsid w:val="EDFF8263"/>
    <w:rsid w:val="EE1FA0C7"/>
    <w:rsid w:val="EF53993F"/>
    <w:rsid w:val="EF7B8152"/>
    <w:rsid w:val="EF8E27E2"/>
    <w:rsid w:val="EFBFB2F4"/>
    <w:rsid w:val="EFBFFA21"/>
    <w:rsid w:val="EFDF4337"/>
    <w:rsid w:val="EFF7097E"/>
    <w:rsid w:val="F2BEBCB8"/>
    <w:rsid w:val="F36FB518"/>
    <w:rsid w:val="F3DE1A04"/>
    <w:rsid w:val="F3E244FA"/>
    <w:rsid w:val="F3EFB7CA"/>
    <w:rsid w:val="F3F722E5"/>
    <w:rsid w:val="F699BB1A"/>
    <w:rsid w:val="F6DEABFE"/>
    <w:rsid w:val="F7B650C7"/>
    <w:rsid w:val="F7EF9033"/>
    <w:rsid w:val="F7FDC2B1"/>
    <w:rsid w:val="F8DDDAC6"/>
    <w:rsid w:val="F96B55C8"/>
    <w:rsid w:val="FA2F5BEB"/>
    <w:rsid w:val="FA5F1E70"/>
    <w:rsid w:val="FA5FDB97"/>
    <w:rsid w:val="FB1BB959"/>
    <w:rsid w:val="FB75E3C8"/>
    <w:rsid w:val="FB7F461B"/>
    <w:rsid w:val="FB7F486A"/>
    <w:rsid w:val="FB7F6E28"/>
    <w:rsid w:val="FB8778F4"/>
    <w:rsid w:val="FBB61866"/>
    <w:rsid w:val="FBEE055A"/>
    <w:rsid w:val="FBF91527"/>
    <w:rsid w:val="FBFD1260"/>
    <w:rsid w:val="FBFF5B2E"/>
    <w:rsid w:val="FC833EBB"/>
    <w:rsid w:val="FCFE0B49"/>
    <w:rsid w:val="FD4B388D"/>
    <w:rsid w:val="FD77A83C"/>
    <w:rsid w:val="FD7FFE2B"/>
    <w:rsid w:val="FDADA43D"/>
    <w:rsid w:val="FDBDC432"/>
    <w:rsid w:val="FDEB412A"/>
    <w:rsid w:val="FDEE196B"/>
    <w:rsid w:val="FDEF50BC"/>
    <w:rsid w:val="FDFD5EC3"/>
    <w:rsid w:val="FDFE6575"/>
    <w:rsid w:val="FE9E11AB"/>
    <w:rsid w:val="FEBF38CD"/>
    <w:rsid w:val="FEDFDDC2"/>
    <w:rsid w:val="FEEB4E4D"/>
    <w:rsid w:val="FEED32F6"/>
    <w:rsid w:val="FEF781DD"/>
    <w:rsid w:val="FEF9D8C4"/>
    <w:rsid w:val="FF3F7E3F"/>
    <w:rsid w:val="FF3FF759"/>
    <w:rsid w:val="FF4749A3"/>
    <w:rsid w:val="FF4D3A28"/>
    <w:rsid w:val="FF5913BC"/>
    <w:rsid w:val="FF7F1E7E"/>
    <w:rsid w:val="FF9BAA5C"/>
    <w:rsid w:val="FFA57884"/>
    <w:rsid w:val="FFB513DD"/>
    <w:rsid w:val="FFBA12D7"/>
    <w:rsid w:val="FFBFE8C6"/>
    <w:rsid w:val="FFCF2925"/>
    <w:rsid w:val="FFD33B6C"/>
    <w:rsid w:val="FFDAD824"/>
    <w:rsid w:val="FFDE4064"/>
    <w:rsid w:val="FFDEA9D8"/>
    <w:rsid w:val="FFDF2DEC"/>
    <w:rsid w:val="FFDF624E"/>
    <w:rsid w:val="FFDF6BC0"/>
    <w:rsid w:val="FFDFFAEE"/>
    <w:rsid w:val="FFE3BA41"/>
    <w:rsid w:val="FFE3BED4"/>
    <w:rsid w:val="FFF316C1"/>
    <w:rsid w:val="FFF63ECC"/>
    <w:rsid w:val="FFF9B57B"/>
    <w:rsid w:val="FFFD61D9"/>
    <w:rsid w:val="FFFD8F59"/>
    <w:rsid w:val="FFFF2BB1"/>
    <w:rsid w:val="FFFFB04D"/>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8"/>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29"/>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32"/>
    <w:unhideWhenUsed/>
    <w:qFormat/>
    <w:uiPriority w:val="9"/>
    <w:pPr>
      <w:keepNext/>
      <w:keepLines/>
      <w:spacing w:before="260" w:after="260" w:line="416" w:lineRule="auto"/>
      <w:outlineLvl w:val="2"/>
    </w:pPr>
    <w:rPr>
      <w:b/>
      <w:bCs/>
      <w:sz w:val="32"/>
      <w:szCs w:val="32"/>
    </w:rPr>
  </w:style>
  <w:style w:type="character" w:default="1" w:styleId="17">
    <w:name w:val="Default Paragraph Font"/>
    <w:semiHidden/>
    <w:unhideWhenUsed/>
    <w:uiPriority w:val="1"/>
  </w:style>
  <w:style w:type="table" w:default="1" w:styleId="16">
    <w:name w:val="Normal Table"/>
    <w:semiHidden/>
    <w:unhideWhenUsed/>
    <w:qFormat/>
    <w:uiPriority w:val="99"/>
    <w:tblPr>
      <w:tblLayout w:type="fixed"/>
      <w:tblCellMar>
        <w:top w:w="0" w:type="dxa"/>
        <w:left w:w="108" w:type="dxa"/>
        <w:bottom w:w="0" w:type="dxa"/>
        <w:right w:w="108" w:type="dxa"/>
      </w:tblCellMar>
    </w:tblPr>
  </w:style>
  <w:style w:type="paragraph" w:customStyle="1" w:styleId="2">
    <w:name w:val="标题 5（有编号）（绿盟科技）"/>
    <w:next w:val="1"/>
    <w:qFormat/>
    <w:uiPriority w:val="99"/>
    <w:pPr>
      <w:keepNext/>
      <w:keepLines/>
      <w:widowControl w:val="0"/>
      <w:spacing w:before="280" w:after="156" w:line="377" w:lineRule="auto"/>
      <w:outlineLvl w:val="4"/>
    </w:pPr>
    <w:rPr>
      <w:rFonts w:ascii="Arial" w:hAnsi="Arial" w:eastAsia="黑体" w:cs="Times New Roman"/>
      <w:b/>
      <w:kern w:val="2"/>
      <w:sz w:val="24"/>
      <w:szCs w:val="28"/>
      <w:lang w:val="en-US" w:eastAsia="zh-CN" w:bidi="ar-SA"/>
    </w:rPr>
  </w:style>
  <w:style w:type="paragraph" w:styleId="6">
    <w:name w:val="Body Text"/>
    <w:basedOn w:val="1"/>
    <w:link w:val="25"/>
    <w:qFormat/>
    <w:uiPriority w:val="99"/>
    <w:pPr>
      <w:spacing w:beforeLines="30"/>
    </w:pPr>
    <w:rPr>
      <w:rFonts w:ascii="仿宋_GB2312" w:eastAsia="仿宋_GB2312"/>
      <w:kern w:val="0"/>
      <w:sz w:val="30"/>
    </w:rPr>
  </w:style>
  <w:style w:type="paragraph" w:styleId="7">
    <w:name w:val="Body Text Indent"/>
    <w:basedOn w:val="1"/>
    <w:qFormat/>
    <w:uiPriority w:val="0"/>
    <w:pPr>
      <w:spacing w:after="120"/>
      <w:ind w:left="200" w:leftChars="200"/>
    </w:pPr>
    <w:rPr>
      <w:rFonts w:ascii="仿宋_GB2312"/>
      <w:szCs w:val="32"/>
    </w:rPr>
  </w:style>
  <w:style w:type="paragraph" w:styleId="8">
    <w:name w:val="toc 3"/>
    <w:basedOn w:val="1"/>
    <w:next w:val="1"/>
    <w:unhideWhenUsed/>
    <w:qFormat/>
    <w:uiPriority w:val="39"/>
    <w:pPr>
      <w:tabs>
        <w:tab w:val="right" w:leader="dot" w:pos="8296"/>
      </w:tabs>
      <w:ind w:left="840" w:leftChars="400"/>
    </w:pPr>
  </w:style>
  <w:style w:type="paragraph" w:styleId="9">
    <w:name w:val="Balloon Text"/>
    <w:basedOn w:val="1"/>
    <w:link w:val="31"/>
    <w:semiHidden/>
    <w:unhideWhenUsed/>
    <w:qFormat/>
    <w:uiPriority w:val="99"/>
    <w:rPr>
      <w:sz w:val="18"/>
      <w:szCs w:val="18"/>
    </w:rPr>
  </w:style>
  <w:style w:type="paragraph" w:styleId="10">
    <w:name w:val="footer"/>
    <w:basedOn w:val="1"/>
    <w:link w:val="23"/>
    <w:qFormat/>
    <w:uiPriority w:val="99"/>
    <w:pPr>
      <w:tabs>
        <w:tab w:val="center" w:pos="4153"/>
        <w:tab w:val="right" w:pos="8306"/>
      </w:tabs>
      <w:snapToGrid w:val="0"/>
      <w:jc w:val="left"/>
    </w:pPr>
    <w:rPr>
      <w:rFonts w:ascii="Calibri" w:hAnsi="Calibri"/>
      <w:kern w:val="0"/>
      <w:sz w:val="18"/>
      <w:szCs w:val="18"/>
    </w:rPr>
  </w:style>
  <w:style w:type="paragraph" w:styleId="11">
    <w:name w:val="header"/>
    <w:basedOn w:val="1"/>
    <w:link w:val="21"/>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2">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3">
    <w:name w:val="toc 2"/>
    <w:basedOn w:val="1"/>
    <w:next w:val="1"/>
    <w:unhideWhenUsed/>
    <w:qFormat/>
    <w:uiPriority w:val="39"/>
    <w:pPr>
      <w:tabs>
        <w:tab w:val="right" w:leader="dot" w:pos="8296"/>
      </w:tabs>
      <w:ind w:left="420" w:leftChars="200"/>
    </w:pPr>
  </w:style>
  <w:style w:type="paragraph" w:styleId="14">
    <w:name w:val="Normal (Web)"/>
    <w:basedOn w:val="1"/>
    <w:qFormat/>
    <w:uiPriority w:val="0"/>
    <w:pPr>
      <w:spacing w:before="100" w:beforeAutospacing="1" w:after="100" w:afterAutospacing="1"/>
      <w:jc w:val="left"/>
    </w:pPr>
    <w:rPr>
      <w:rFonts w:eastAsia="仿宋_GB2312"/>
      <w:kern w:val="0"/>
      <w:sz w:val="24"/>
    </w:rPr>
  </w:style>
  <w:style w:type="paragraph" w:styleId="15">
    <w:name w:val="Body Text First Indent 2"/>
    <w:basedOn w:val="7"/>
    <w:unhideWhenUsed/>
    <w:qFormat/>
    <w:uiPriority w:val="99"/>
    <w:pPr>
      <w:ind w:firstLine="420" w:firstLineChars="200"/>
    </w:pPr>
  </w:style>
  <w:style w:type="character" w:styleId="18">
    <w:name w:val="Strong"/>
    <w:basedOn w:val="17"/>
    <w:qFormat/>
    <w:uiPriority w:val="99"/>
    <w:rPr>
      <w:b/>
    </w:rPr>
  </w:style>
  <w:style w:type="character" w:styleId="19">
    <w:name w:val="Hyperlink"/>
    <w:basedOn w:val="17"/>
    <w:unhideWhenUsed/>
    <w:qFormat/>
    <w:uiPriority w:val="99"/>
    <w:rPr>
      <w:color w:val="0000FF" w:themeColor="hyperlink"/>
      <w:u w:val="single"/>
    </w:rPr>
  </w:style>
  <w:style w:type="character" w:customStyle="1" w:styleId="20">
    <w:name w:val="Header Char"/>
    <w:basedOn w:val="17"/>
    <w:semiHidden/>
    <w:qFormat/>
    <w:uiPriority w:val="99"/>
    <w:rPr>
      <w:rFonts w:ascii="Times New Roman" w:hAnsi="Times New Roman"/>
      <w:sz w:val="18"/>
      <w:szCs w:val="18"/>
    </w:rPr>
  </w:style>
  <w:style w:type="character" w:customStyle="1" w:styleId="21">
    <w:name w:val="页眉 Char"/>
    <w:link w:val="11"/>
    <w:semiHidden/>
    <w:qFormat/>
    <w:locked/>
    <w:uiPriority w:val="99"/>
    <w:rPr>
      <w:sz w:val="18"/>
    </w:rPr>
  </w:style>
  <w:style w:type="character" w:customStyle="1" w:styleId="22">
    <w:name w:val="Footer Char"/>
    <w:basedOn w:val="17"/>
    <w:semiHidden/>
    <w:qFormat/>
    <w:uiPriority w:val="99"/>
    <w:rPr>
      <w:rFonts w:ascii="Times New Roman" w:hAnsi="Times New Roman"/>
      <w:sz w:val="18"/>
      <w:szCs w:val="18"/>
    </w:rPr>
  </w:style>
  <w:style w:type="character" w:customStyle="1" w:styleId="23">
    <w:name w:val="页脚 Char"/>
    <w:link w:val="10"/>
    <w:qFormat/>
    <w:locked/>
    <w:uiPriority w:val="99"/>
    <w:rPr>
      <w:sz w:val="18"/>
    </w:rPr>
  </w:style>
  <w:style w:type="character" w:customStyle="1" w:styleId="24">
    <w:name w:val="Body Text Char"/>
    <w:basedOn w:val="17"/>
    <w:semiHidden/>
    <w:qFormat/>
    <w:uiPriority w:val="99"/>
    <w:rPr>
      <w:rFonts w:ascii="Times New Roman" w:hAnsi="Times New Roman"/>
      <w:szCs w:val="24"/>
    </w:rPr>
  </w:style>
  <w:style w:type="character" w:customStyle="1" w:styleId="25">
    <w:name w:val="正文文本 Char"/>
    <w:link w:val="6"/>
    <w:qFormat/>
    <w:locked/>
    <w:uiPriority w:val="99"/>
    <w:rPr>
      <w:rFonts w:ascii="仿宋_GB2312" w:hAnsi="Times New Roman" w:eastAsia="仿宋_GB2312"/>
      <w:sz w:val="24"/>
    </w:rPr>
  </w:style>
  <w:style w:type="paragraph" w:customStyle="1" w:styleId="26">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7">
    <w:name w:val="List Paragraph"/>
    <w:basedOn w:val="1"/>
    <w:qFormat/>
    <w:uiPriority w:val="34"/>
    <w:pPr>
      <w:ind w:firstLine="420" w:firstLineChars="200"/>
    </w:pPr>
  </w:style>
  <w:style w:type="character" w:customStyle="1" w:styleId="28">
    <w:name w:val="标题 1 Char"/>
    <w:basedOn w:val="17"/>
    <w:link w:val="3"/>
    <w:qFormat/>
    <w:uiPriority w:val="9"/>
    <w:rPr>
      <w:rFonts w:ascii="Times New Roman" w:hAnsi="Times New Roman"/>
      <w:b/>
      <w:bCs/>
      <w:kern w:val="44"/>
      <w:sz w:val="44"/>
      <w:szCs w:val="44"/>
    </w:rPr>
  </w:style>
  <w:style w:type="character" w:customStyle="1" w:styleId="29">
    <w:name w:val="标题 2 Char"/>
    <w:basedOn w:val="17"/>
    <w:link w:val="4"/>
    <w:qFormat/>
    <w:uiPriority w:val="9"/>
    <w:rPr>
      <w:rFonts w:asciiTheme="majorHAnsi" w:hAnsiTheme="majorHAnsi" w:eastAsiaTheme="majorEastAsia" w:cstheme="majorBidi"/>
      <w:b/>
      <w:bCs/>
      <w:kern w:val="2"/>
      <w:sz w:val="32"/>
      <w:szCs w:val="32"/>
    </w:rPr>
  </w:style>
  <w:style w:type="paragraph" w:customStyle="1" w:styleId="30">
    <w:name w:val="TOC 标题1"/>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 w:type="character" w:customStyle="1" w:styleId="31">
    <w:name w:val="批注框文本 Char"/>
    <w:basedOn w:val="17"/>
    <w:link w:val="9"/>
    <w:semiHidden/>
    <w:qFormat/>
    <w:uiPriority w:val="99"/>
    <w:rPr>
      <w:rFonts w:ascii="Times New Roman" w:hAnsi="Times New Roman"/>
      <w:kern w:val="2"/>
      <w:sz w:val="18"/>
      <w:szCs w:val="18"/>
    </w:rPr>
  </w:style>
  <w:style w:type="character" w:customStyle="1" w:styleId="32">
    <w:name w:val="标题 3 Char"/>
    <w:basedOn w:val="17"/>
    <w:link w:val="5"/>
    <w:qFormat/>
    <w:uiPriority w:val="9"/>
    <w:rPr>
      <w:rFonts w:ascii="Times New Roman" w:hAnsi="Times New Roman"/>
      <w:b/>
      <w:bCs/>
      <w:kern w:val="2"/>
      <w:sz w:val="32"/>
      <w:szCs w:val="32"/>
    </w:rPr>
  </w:style>
  <w:style w:type="paragraph" w:customStyle="1" w:styleId="33">
    <w:name w:val="TOC 标题2"/>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 w:type="paragraph" w:customStyle="1" w:styleId="34">
    <w:name w:val="四号正文"/>
    <w:basedOn w:val="1"/>
    <w:qFormat/>
    <w:uiPriority w:val="0"/>
    <w:pPr>
      <w:spacing w:line="360" w:lineRule="auto"/>
    </w:pPr>
    <w:rPr>
      <w:rFonts w:ascii="??" w:hAnsi="??"/>
      <w:color w:val="000000"/>
      <w:kern w:val="0"/>
      <w:sz w:val="28"/>
      <w:szCs w:val="21"/>
      <w:lang w:val="zh-CN"/>
    </w:rPr>
  </w:style>
</w:styles>
</file>

<file path=word/_rels/document.xml.rels><?xml version="1.0" encoding="UTF-8" standalone="yes"?>
<Relationships xmlns="http://schemas.openxmlformats.org/package/2006/relationships"><Relationship Id="rId9" Type="http://schemas.openxmlformats.org/officeDocument/2006/relationships/chart" Target="charts/chart4.xml"/><Relationship Id="rId8" Type="http://schemas.openxmlformats.org/officeDocument/2006/relationships/chart" Target="charts/chart3.xml"/><Relationship Id="rId7" Type="http://schemas.openxmlformats.org/officeDocument/2006/relationships/chart" Target="charts/chart2.xml"/><Relationship Id="rId6" Type="http://schemas.openxmlformats.org/officeDocument/2006/relationships/chart" Target="charts/chart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chart" Target="charts/chart6.xml"/><Relationship Id="rId10" Type="http://schemas.openxmlformats.org/officeDocument/2006/relationships/chart" Target="charts/chart5.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2" Type="http://schemas.openxmlformats.org/officeDocument/2006/relationships/themeOverride" Target="../theme/themeOverride5.xml"/><Relationship Id="rId1" Type="http://schemas.openxmlformats.org/officeDocument/2006/relationships/package" Target="../embeddings/Workbook5.xlsx"/></Relationships>
</file>

<file path=word/charts/_rels/chart2.xml.rels><?xml version="1.0" encoding="UTF-8" standalone="yes"?>
<Relationships xmlns="http://schemas.openxmlformats.org/package/2006/relationships"><Relationship Id="rId2" Type="http://schemas.openxmlformats.org/officeDocument/2006/relationships/themeOverride" Target="../theme/themeOverride2.xml"/><Relationship Id="rId1" Type="http://schemas.openxmlformats.org/officeDocument/2006/relationships/package" Target="../embeddings/Workbook2.xlsx"/></Relationships>
</file>

<file path=word/charts/_rels/chart3.xml.rels><?xml version="1.0" encoding="UTF-8" standalone="yes"?>
<Relationships xmlns="http://schemas.openxmlformats.org/package/2006/relationships"><Relationship Id="rId2" Type="http://schemas.openxmlformats.org/officeDocument/2006/relationships/themeOverride" Target="../theme/themeOverride1.xml"/><Relationship Id="rId1" Type="http://schemas.openxmlformats.org/officeDocument/2006/relationships/package" Target="../embeddings/Workbook1.xlsx"/></Relationships>
</file>

<file path=word/charts/_rels/chart4.xml.rels><?xml version="1.0" encoding="UTF-8" standalone="yes"?>
<Relationships xmlns="http://schemas.openxmlformats.org/package/2006/relationships"><Relationship Id="rId2" Type="http://schemas.openxmlformats.org/officeDocument/2006/relationships/themeOverride" Target="../theme/themeOverride4.xml"/><Relationship Id="rId1" Type="http://schemas.openxmlformats.org/officeDocument/2006/relationships/package" Target="../embeddings/Workbook4.xlsx"/></Relationships>
</file>

<file path=word/charts/_rels/chart5.xml.rels><?xml version="1.0" encoding="UTF-8" standalone="yes"?>
<Relationships xmlns="http://schemas.openxmlformats.org/package/2006/relationships"><Relationship Id="rId2" Type="http://schemas.openxmlformats.org/officeDocument/2006/relationships/themeOverride" Target="../theme/themeOverride3.xml"/><Relationship Id="rId1" Type="http://schemas.openxmlformats.org/officeDocument/2006/relationships/package" Target="../embeddings/Workbook3.xlsx"/></Relationships>
</file>

<file path=word/charts/_rels/chart6.xml.rels><?xml version="1.0" encoding="UTF-8" standalone="yes"?>
<Relationships xmlns="http://schemas.openxmlformats.org/package/2006/relationships"><Relationship Id="rId2" Type="http://schemas.openxmlformats.org/officeDocument/2006/relationships/themeOverride" Target="../theme/themeOverride6.xml"/><Relationship Id="rId1" Type="http://schemas.openxmlformats.org/officeDocument/2006/relationships/package" Target="../embeddings/Workbook6.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0989680061544032"/>
          <c:y val="0.0466982952052129"/>
          <c:w val="0.763145533532446"/>
          <c:h val="0.84458829081696"/>
        </c:manualLayout>
      </c:layout>
      <c:barChart>
        <c:barDir val="col"/>
        <c:grouping val="clustered"/>
        <c:varyColors val="0"/>
        <c:ser>
          <c:idx val="0"/>
          <c:order val="0"/>
          <c:tx>
            <c:strRef>
              <c:f>Sheet1!$B$1</c:f>
              <c:strCache>
                <c:ptCount val="1"/>
                <c:pt idx="0">
                  <c:v>收入</c:v>
                </c:pt>
              </c:strCache>
            </c:strRef>
          </c:tx>
          <c:invertIfNegative val="0"/>
          <c:dLbls>
            <c:dLbl>
              <c:idx val="0"/>
              <c:layout>
                <c:manualLayout>
                  <c:x val="0.0272108843537415"/>
                  <c:y val="7.40732183739346e-17"/>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1"/>
              <c:layout>
                <c:manualLayout>
                  <c:x val="0.0297029702970297"/>
                  <c:y val="-9.26539260092895e-18"/>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Sheet1!$A$2:$A$5</c:f>
              <c:strCache>
                <c:ptCount val="2"/>
                <c:pt idx="0">
                  <c:v>2023年（万元）</c:v>
                </c:pt>
                <c:pt idx="1">
                  <c:v>2022年（万元）</c:v>
                </c:pt>
              </c:strCache>
            </c:strRef>
          </c:cat>
          <c:val>
            <c:numRef>
              <c:f>Sheet1!$B$2:$B$5</c:f>
              <c:numCache>
                <c:formatCode>General</c:formatCode>
                <c:ptCount val="4"/>
                <c:pt idx="0">
                  <c:v>211.44</c:v>
                </c:pt>
                <c:pt idx="1">
                  <c:v>0</c:v>
                </c:pt>
              </c:numCache>
            </c:numRef>
          </c:val>
        </c:ser>
        <c:ser>
          <c:idx val="1"/>
          <c:order val="1"/>
          <c:tx>
            <c:strRef>
              <c:f>Sheet1!$C$1</c:f>
              <c:strCache>
                <c:ptCount val="1"/>
                <c:pt idx="0">
                  <c:v>支出</c:v>
                </c:pt>
              </c:strCache>
            </c:strRef>
          </c:tx>
          <c:invertIfNegative val="0"/>
          <c:dLbls>
            <c:delete val="1"/>
          </c:dLbls>
          <c:cat>
            <c:strRef>
              <c:f>Sheet1!$A$2:$A$5</c:f>
              <c:strCache>
                <c:ptCount val="2"/>
                <c:pt idx="0">
                  <c:v>2023年（万元）</c:v>
                </c:pt>
                <c:pt idx="1">
                  <c:v>2022年（万元）</c:v>
                </c:pt>
              </c:strCache>
            </c:strRef>
          </c:cat>
          <c:val>
            <c:numRef>
              <c:f>Sheet1!$C$2:$C$5</c:f>
              <c:numCache>
                <c:formatCode>General</c:formatCode>
                <c:ptCount val="4"/>
                <c:pt idx="0">
                  <c:v>211.44</c:v>
                </c:pt>
                <c:pt idx="1">
                  <c:v>0</c:v>
                </c:pt>
              </c:numCache>
            </c:numRef>
          </c:val>
        </c:ser>
        <c:dLbls>
          <c:showLegendKey val="0"/>
          <c:showVal val="0"/>
          <c:showCatName val="0"/>
          <c:showSerName val="0"/>
          <c:showPercent val="0"/>
          <c:showBubbleSize val="0"/>
        </c:dLbls>
        <c:gapWidth val="150"/>
        <c:axId val="228459648"/>
        <c:axId val="228461184"/>
      </c:barChart>
      <c:catAx>
        <c:axId val="228459648"/>
        <c:scaling>
          <c:orientation val="minMax"/>
        </c:scaling>
        <c:delete val="0"/>
        <c:axPos val="b"/>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228461184"/>
        <c:crosses val="autoZero"/>
        <c:auto val="1"/>
        <c:lblAlgn val="ctr"/>
        <c:lblOffset val="100"/>
        <c:noMultiLvlLbl val="0"/>
      </c:catAx>
      <c:valAx>
        <c:axId val="228461184"/>
        <c:scaling>
          <c:orientation val="minMax"/>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228459648"/>
        <c:crosses val="autoZero"/>
        <c:crossBetween val="between"/>
      </c:valAx>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chart>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layout>
        <c:manualLayout>
          <c:xMode val="edge"/>
          <c:yMode val="edge"/>
          <c:x val="0.748111502509555"/>
          <c:y val="0"/>
        </c:manualLayout>
      </c:layout>
      <c:overlay val="0"/>
      <c:txPr>
        <a:bodyPr rot="0" spcFirstLastPara="0" vertOverflow="ellipsis" vert="horz" wrap="square" anchor="ctr" anchorCtr="1"/>
        <a:lstStyle/>
        <a:p>
          <a:pPr>
            <a:defRPr lang="zh-CN" sz="1000" b="1" i="0" u="none" strike="noStrike" kern="1200" baseline="0">
              <a:solidFill>
                <a:schemeClr val="tx1"/>
              </a:solidFill>
              <a:latin typeface="+mn-lt"/>
              <a:ea typeface="+mn-ea"/>
              <a:cs typeface="+mn-cs"/>
            </a:defRPr>
          </a:pPr>
        </a:p>
      </c:txPr>
    </c:title>
    <c:autoTitleDeleted val="0"/>
    <c:plotArea>
      <c:layout/>
      <c:pieChart>
        <c:varyColors val="1"/>
        <c:ser>
          <c:idx val="0"/>
          <c:order val="0"/>
          <c:tx>
            <c:strRef>
              <c:f>Sheet1!$B$1</c:f>
              <c:strCache>
                <c:ptCount val="1"/>
                <c:pt idx="0">
                  <c:v>单位：万元</c:v>
                </c:pt>
              </c:strCache>
            </c:strRef>
          </c:tx>
          <c:explosion val="0"/>
          <c:dPt>
            <c:idx val="0"/>
            <c:bubble3D val="0"/>
          </c:dPt>
          <c:dPt>
            <c:idx val="1"/>
            <c:bubble3D val="0"/>
          </c:dPt>
          <c:dPt>
            <c:idx val="2"/>
            <c:bubble3D val="0"/>
          </c:dPt>
          <c:dPt>
            <c:idx val="3"/>
            <c:bubble3D val="0"/>
          </c:dPt>
          <c:dPt>
            <c:idx val="4"/>
            <c:bubble3D val="0"/>
          </c:dPt>
          <c:dLbls>
            <c:dLbl>
              <c:idx val="1"/>
              <c:layout>
                <c:manualLayout>
                  <c:x val="-0.0306605999907906"/>
                  <c:y val="-0.0153726343417599"/>
                </c:manualLayout>
              </c:layout>
              <c:dLblPos val="bestFit"/>
              <c:showLegendKey val="0"/>
              <c:showVal val="1"/>
              <c:showCatName val="0"/>
              <c:showSerName val="0"/>
              <c:showPercent val="0"/>
              <c:showBubbleSize val="0"/>
              <c:extLst>
                <c:ext xmlns:c15="http://schemas.microsoft.com/office/drawing/2012/chart" uri="{CE6537A1-D6FC-4f65-9D91-7224C49458BB}">
                  <c15:layout/>
                </c:ext>
              </c:extLst>
            </c:dLbl>
            <c:dLbl>
              <c:idx val="2"/>
              <c:layout>
                <c:manualLayout>
                  <c:x val="0.0272097703795798"/>
                  <c:y val="-0.00440772206105816"/>
                </c:manualLayout>
              </c:layout>
              <c:dLblPos val="bestFit"/>
              <c:showLegendKey val="0"/>
              <c:showVal val="1"/>
              <c:showCatName val="0"/>
              <c:showSerName val="0"/>
              <c:showPercent val="0"/>
              <c:showBubbleSize val="0"/>
              <c:extLst>
                <c:ext xmlns:c15="http://schemas.microsoft.com/office/drawing/2012/chart" uri="{CE6537A1-D6FC-4f65-9D91-7224C49458BB}">
                  <c15:layout/>
                </c:ext>
              </c:extLst>
            </c:dLbl>
            <c:dLbl>
              <c:idx val="3"/>
              <c:layout>
                <c:manualLayout>
                  <c:x val="-0.0842668378075547"/>
                  <c:y val="0.015329120044205"/>
                </c:manualLayout>
              </c:layout>
              <c:dLblPos val="bestFit"/>
              <c:showLegendKey val="0"/>
              <c:showVal val="1"/>
              <c:showCatName val="0"/>
              <c:showSerName val="0"/>
              <c:showPercent val="0"/>
              <c:showBubbleSize val="0"/>
              <c:extLst>
                <c:ext xmlns:c15="http://schemas.microsoft.com/office/drawing/2012/chart" uri="{CE6537A1-D6FC-4f65-9D91-7224C49458BB}">
                  <c15:layout/>
                </c:ext>
              </c:extLst>
            </c:dLbl>
            <c:dLbl>
              <c:idx val="4"/>
              <c:layout>
                <c:manualLayout>
                  <c:x val="0.0887351115101841"/>
                  <c:y val="0.0197150849564857"/>
                </c:manualLayout>
              </c:layout>
              <c:dLblPos val="bestFit"/>
              <c:showLegendKey val="0"/>
              <c:showVal val="1"/>
              <c:showCatName val="0"/>
              <c:showSerName val="0"/>
              <c:showPercent val="0"/>
              <c:showBubbleSize val="0"/>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ext>
            </c:extLst>
          </c:dLbls>
          <c:cat>
            <c:strRef>
              <c:f>Sheet1!$A$2:$A$6</c:f>
              <c:strCache>
                <c:ptCount val="5"/>
                <c:pt idx="0">
                  <c:v>一般公共预算财政拨款收入：211.44万元</c:v>
                </c:pt>
                <c:pt idx="1">
                  <c:v>政府性基金预算财政拨款收入  0万元</c:v>
                </c:pt>
                <c:pt idx="2">
                  <c:v>上级补助收入  0万元</c:v>
                </c:pt>
                <c:pt idx="3">
                  <c:v>事业收入  0万元</c:v>
                </c:pt>
                <c:pt idx="4">
                  <c:v>其他收入  0万元</c:v>
                </c:pt>
              </c:strCache>
            </c:strRef>
          </c:cat>
          <c:val>
            <c:numRef>
              <c:f>Sheet1!$B$2:$B$6</c:f>
              <c:numCache>
                <c:formatCode>0%</c:formatCode>
                <c:ptCount val="5"/>
                <c:pt idx="0">
                  <c:v>1</c:v>
                </c:pt>
                <c:pt idx="1">
                  <c:v>0</c:v>
                </c:pt>
                <c:pt idx="2">
                  <c:v>0</c:v>
                </c:pt>
                <c:pt idx="3">
                  <c:v>0</c:v>
                </c:pt>
                <c:pt idx="4">
                  <c:v>0</c:v>
                </c:pt>
              </c:numCache>
            </c:numRef>
          </c:val>
        </c:ser>
        <c:ser>
          <c:idx val="1"/>
          <c:order val="1"/>
          <c:tx>
            <c:strRef>
              <c:f>Sheet1!$C$1</c:f>
              <c:strCache>
                <c:ptCount val="1"/>
                <c:pt idx="0">
                  <c:v>列1</c:v>
                </c:pt>
              </c:strCache>
            </c:strRef>
          </c:tx>
          <c:explosion val="0"/>
          <c:dPt>
            <c:idx val="0"/>
            <c:bubble3D val="0"/>
          </c:dPt>
          <c:dPt>
            <c:idx val="1"/>
            <c:bubble3D val="0"/>
          </c:dPt>
          <c:dPt>
            <c:idx val="2"/>
            <c:bubble3D val="0"/>
          </c:dPt>
          <c:dPt>
            <c:idx val="3"/>
            <c:bubble3D val="0"/>
          </c:dPt>
          <c:dPt>
            <c:idx val="4"/>
            <c:bubble3D val="0"/>
          </c:dPt>
          <c:dLbls>
            <c:delete val="1"/>
          </c:dLbls>
          <c:cat>
            <c:strRef>
              <c:f>Sheet1!$A$2:$A$6</c:f>
              <c:strCache>
                <c:ptCount val="5"/>
                <c:pt idx="0">
                  <c:v>一般公共预算财政拨款收入：211.44万元</c:v>
                </c:pt>
                <c:pt idx="1">
                  <c:v>政府性基金预算财政拨款收入  0万元</c:v>
                </c:pt>
                <c:pt idx="2">
                  <c:v>上级补助收入  0万元</c:v>
                </c:pt>
                <c:pt idx="3">
                  <c:v>事业收入  0万元</c:v>
                </c:pt>
                <c:pt idx="4">
                  <c:v>其他收入  0万元</c:v>
                </c:pt>
              </c:strCache>
            </c:strRef>
          </c:cat>
          <c:val>
            <c:numRef>
              <c:f>Sheet1!$C$2:$C$6</c:f>
              <c:numCache>
                <c:formatCode>General</c:formatCode>
                <c:ptCount val="5"/>
              </c:numCache>
            </c:numRef>
          </c:val>
        </c:ser>
        <c:dLbls>
          <c:showLegendKey val="0"/>
          <c:showVal val="0"/>
          <c:showCatName val="0"/>
          <c:showSerName val="0"/>
          <c:showPercent val="0"/>
          <c:showBubbleSize val="0"/>
          <c:showLeaderLines val="1"/>
        </c:dLbls>
        <c:firstSliceAng val="0"/>
      </c:pieChart>
    </c:plotArea>
    <c:legend>
      <c:legendPos val="r"/>
      <c:layout>
        <c:manualLayout>
          <c:xMode val="edge"/>
          <c:yMode val="edge"/>
          <c:x val="0.666217134042455"/>
          <c:y val="0.254705760464152"/>
          <c:w val="0.333782865957545"/>
          <c:h val="0.661531288852051"/>
        </c:manualLayout>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zero"/>
    <c:showDLblsOverMax val="0"/>
  </c:chart>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layout>
        <c:manualLayout>
          <c:xMode val="edge"/>
          <c:yMode val="edge"/>
          <c:x val="0.740524499573095"/>
          <c:y val="0.0256410256410256"/>
        </c:manualLayout>
      </c:layout>
      <c:overlay val="0"/>
      <c:txPr>
        <a:bodyPr rot="0" spcFirstLastPara="0" vertOverflow="ellipsis" vert="horz" wrap="square" anchor="ctr" anchorCtr="1"/>
        <a:lstStyle/>
        <a:p>
          <a:pPr>
            <a:defRPr lang="zh-CN" sz="1000" b="1" i="0" u="none" strike="noStrike" kern="1200" baseline="0">
              <a:solidFill>
                <a:schemeClr val="tx1"/>
              </a:solidFill>
              <a:latin typeface="+mn-lt"/>
              <a:ea typeface="+mn-ea"/>
              <a:cs typeface="+mn-cs"/>
            </a:defRPr>
          </a:pPr>
        </a:p>
      </c:txPr>
    </c:title>
    <c:autoTitleDeleted val="0"/>
    <c:plotArea>
      <c:layout/>
      <c:pieChart>
        <c:varyColors val="1"/>
        <c:ser>
          <c:idx val="0"/>
          <c:order val="0"/>
          <c:tx>
            <c:strRef>
              <c:f>Sheet1!$B$1</c:f>
              <c:strCache>
                <c:ptCount val="1"/>
                <c:pt idx="0">
                  <c:v>单元：万元</c:v>
                </c:pt>
              </c:strCache>
            </c:strRef>
          </c:tx>
          <c:explosion val="0"/>
          <c:dPt>
            <c:idx val="0"/>
            <c:bubble3D val="0"/>
          </c:dPt>
          <c:dPt>
            <c:idx val="1"/>
            <c:bubble3D val="0"/>
          </c:dPt>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ext>
            </c:extLst>
          </c:dLbls>
          <c:cat>
            <c:strRef>
              <c:f>Sheet1!$A$2:$A$3</c:f>
              <c:strCache>
                <c:ptCount val="2"/>
                <c:pt idx="0">
                  <c:v>基本支出  196.24万元</c:v>
                </c:pt>
                <c:pt idx="1">
                  <c:v>项目支出 15.2万元</c:v>
                </c:pt>
              </c:strCache>
            </c:strRef>
          </c:cat>
          <c:val>
            <c:numRef>
              <c:f>Sheet1!$B$2:$B$3</c:f>
              <c:numCache>
                <c:formatCode>0.00%</c:formatCode>
                <c:ptCount val="2"/>
                <c:pt idx="0">
                  <c:v>0.9281</c:v>
                </c:pt>
                <c:pt idx="1">
                  <c:v>0.0719</c:v>
                </c:pt>
              </c:numCache>
            </c:numRef>
          </c:val>
        </c:ser>
        <c:dLbls>
          <c:showLegendKey val="0"/>
          <c:showVal val="1"/>
          <c:showCatName val="0"/>
          <c:showSerName val="0"/>
          <c:showPercent val="0"/>
          <c:showBubbleSize val="0"/>
          <c:showLeaderLines val="1"/>
        </c:dLbls>
        <c:firstSliceAng val="0"/>
      </c:pieChart>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zero"/>
    <c:showDLblsOverMax val="0"/>
  </c:chart>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clustered"/>
        <c:varyColors val="0"/>
        <c:ser>
          <c:idx val="0"/>
          <c:order val="0"/>
          <c:tx>
            <c:strRef>
              <c:f>Sheet1!$B$1</c:f>
              <c:strCache>
                <c:ptCount val="1"/>
                <c:pt idx="0">
                  <c:v>财政拨款收入</c:v>
                </c:pt>
              </c:strCache>
            </c:strRef>
          </c:tx>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Sheet1!$A$2:$A$3</c:f>
              <c:strCache>
                <c:ptCount val="2"/>
                <c:pt idx="0">
                  <c:v>2023年</c:v>
                </c:pt>
                <c:pt idx="1">
                  <c:v>2022年</c:v>
                </c:pt>
              </c:strCache>
            </c:strRef>
          </c:cat>
          <c:val>
            <c:numRef>
              <c:f>Sheet1!$B$2:$B$3</c:f>
              <c:numCache>
                <c:formatCode>General</c:formatCode>
                <c:ptCount val="2"/>
                <c:pt idx="0">
                  <c:v>211.44</c:v>
                </c:pt>
                <c:pt idx="1">
                  <c:v>0</c:v>
                </c:pt>
              </c:numCache>
            </c:numRef>
          </c:val>
        </c:ser>
        <c:ser>
          <c:idx val="1"/>
          <c:order val="1"/>
          <c:tx>
            <c:strRef>
              <c:f>Sheet1!$C$1</c:f>
              <c:strCache>
                <c:ptCount val="1"/>
                <c:pt idx="0">
                  <c:v>财政拨款支出</c:v>
                </c:pt>
              </c:strCache>
            </c:strRef>
          </c:tx>
          <c:invertIfNegative val="0"/>
          <c:dLbls>
            <c:dLbl>
              <c:idx val="1"/>
              <c:layout>
                <c:manualLayout>
                  <c:x val="0.00479835277031498"/>
                  <c:y val="7.80088247483002e-6"/>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Sheet1!$A$2:$A$3</c:f>
              <c:strCache>
                <c:ptCount val="2"/>
                <c:pt idx="0">
                  <c:v>2023年</c:v>
                </c:pt>
                <c:pt idx="1">
                  <c:v>2022年</c:v>
                </c:pt>
              </c:strCache>
            </c:strRef>
          </c:cat>
          <c:val>
            <c:numRef>
              <c:f>Sheet1!$C$2:$C$3</c:f>
              <c:numCache>
                <c:formatCode>General</c:formatCode>
                <c:ptCount val="2"/>
                <c:pt idx="0">
                  <c:v>211.44</c:v>
                </c:pt>
                <c:pt idx="1">
                  <c:v>0</c:v>
                </c:pt>
              </c:numCache>
            </c:numRef>
          </c:val>
        </c:ser>
        <c:dLbls>
          <c:showLegendKey val="0"/>
          <c:showVal val="1"/>
          <c:showCatName val="0"/>
          <c:showSerName val="0"/>
          <c:showPercent val="0"/>
          <c:showBubbleSize val="0"/>
        </c:dLbls>
        <c:gapWidth val="150"/>
        <c:axId val="230382976"/>
        <c:axId val="232502400"/>
      </c:barChart>
      <c:catAx>
        <c:axId val="230382976"/>
        <c:scaling>
          <c:orientation val="minMax"/>
        </c:scaling>
        <c:delete val="0"/>
        <c:axPos val="b"/>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232502400"/>
        <c:crosses val="autoZero"/>
        <c:auto val="1"/>
        <c:lblAlgn val="ctr"/>
        <c:lblOffset val="100"/>
        <c:noMultiLvlLbl val="0"/>
      </c:catAx>
      <c:valAx>
        <c:axId val="232502400"/>
        <c:scaling>
          <c:orientation val="minMax"/>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230382976"/>
        <c:crosses val="autoZero"/>
        <c:crossBetween val="between"/>
      </c:valAx>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chart>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layout>
        <c:manualLayout>
          <c:xMode val="edge"/>
          <c:yMode val="edge"/>
          <c:x val="0.752468594966092"/>
          <c:y val="0.0123839009287926"/>
        </c:manualLayout>
      </c:layout>
      <c:overlay val="0"/>
      <c:txPr>
        <a:bodyPr rot="0" spcFirstLastPara="0" vertOverflow="ellipsis" vert="horz" wrap="square" anchor="ctr" anchorCtr="1"/>
        <a:lstStyle/>
        <a:p>
          <a:pPr algn="r">
            <a:defRPr lang="zh-CN" sz="1000" b="1" i="0" u="none" strike="noStrike" kern="1200" baseline="0">
              <a:solidFill>
                <a:schemeClr val="tx1"/>
              </a:solidFill>
              <a:latin typeface="+mn-lt"/>
              <a:ea typeface="+mn-ea"/>
              <a:cs typeface="+mn-cs"/>
            </a:defRPr>
          </a:pPr>
        </a:p>
      </c:txPr>
    </c:title>
    <c:autoTitleDeleted val="0"/>
    <c:plotArea>
      <c:layout/>
      <c:barChart>
        <c:barDir val="col"/>
        <c:grouping val="clustered"/>
        <c:varyColors val="0"/>
        <c:ser>
          <c:idx val="0"/>
          <c:order val="0"/>
          <c:tx>
            <c:strRef>
              <c:f>Sheet1!$B$1</c:f>
              <c:strCache>
                <c:ptCount val="1"/>
                <c:pt idx="0">
                  <c:v>单位：万元</c:v>
                </c:pt>
              </c:strCache>
            </c:strRef>
          </c:tx>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Sheet1!$A$2:$A$3</c:f>
              <c:strCache>
                <c:ptCount val="2"/>
                <c:pt idx="0">
                  <c:v>2023年</c:v>
                </c:pt>
                <c:pt idx="1">
                  <c:v>2022年</c:v>
                </c:pt>
              </c:strCache>
            </c:strRef>
          </c:cat>
          <c:val>
            <c:numRef>
              <c:f>Sheet1!$B$2:$B$3</c:f>
              <c:numCache>
                <c:formatCode>General</c:formatCode>
                <c:ptCount val="2"/>
                <c:pt idx="0">
                  <c:v>211.44</c:v>
                </c:pt>
                <c:pt idx="1">
                  <c:v>0</c:v>
                </c:pt>
              </c:numCache>
            </c:numRef>
          </c:val>
        </c:ser>
        <c:dLbls>
          <c:showLegendKey val="0"/>
          <c:showVal val="1"/>
          <c:showCatName val="0"/>
          <c:showSerName val="0"/>
          <c:showPercent val="0"/>
          <c:showBubbleSize val="0"/>
        </c:dLbls>
        <c:gapWidth val="150"/>
        <c:axId val="226661120"/>
        <c:axId val="226662656"/>
      </c:barChart>
      <c:catAx>
        <c:axId val="226661120"/>
        <c:scaling>
          <c:orientation val="minMax"/>
        </c:scaling>
        <c:delete val="0"/>
        <c:axPos val="b"/>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226662656"/>
        <c:crosses val="autoZero"/>
        <c:auto val="1"/>
        <c:lblAlgn val="ctr"/>
        <c:lblOffset val="100"/>
        <c:noMultiLvlLbl val="0"/>
      </c:catAx>
      <c:valAx>
        <c:axId val="226662656"/>
        <c:scaling>
          <c:orientation val="minMax"/>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226661120"/>
        <c:crosses val="autoZero"/>
        <c:crossBetween val="between"/>
      </c:valAx>
    </c:plotArea>
    <c:plotVisOnly val="1"/>
    <c:dispBlanksAs val="gap"/>
    <c:showDLblsOverMax val="0"/>
  </c:chart>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0" vertOverflow="ellipsis" vert="horz" wrap="square" anchor="ctr" anchorCtr="1"/>
          <a:lstStyle/>
          <a:p>
            <a:pPr algn="just">
              <a:defRPr lang="zh-CN" sz="1200" b="1" i="0" u="none" strike="noStrike" kern="1200" baseline="0">
                <a:solidFill>
                  <a:schemeClr val="tx1"/>
                </a:solidFill>
                <a:latin typeface="+mn-lt"/>
                <a:ea typeface="+mn-ea"/>
                <a:cs typeface="+mn-cs"/>
              </a:defRPr>
            </a:pPr>
            <a:r>
              <a:rPr lang="zh-CN" altLang="en-US" sz="1200"/>
              <a:t>单位：</a:t>
            </a:r>
            <a:r>
              <a:rPr lang="zh-CN" altLang="en-US" sz="1000"/>
              <a:t>万元</a:t>
            </a:r>
            <a:endParaRPr lang="zh-CN" altLang="en-US" sz="1000"/>
          </a:p>
        </c:rich>
      </c:tx>
      <c:layout>
        <c:manualLayout>
          <c:xMode val="edge"/>
          <c:yMode val="edge"/>
          <c:x val="0.747592007295741"/>
          <c:y val="0.0123839009287926"/>
        </c:manualLayout>
      </c:layout>
      <c:overlay val="0"/>
    </c:title>
    <c:autoTitleDeleted val="0"/>
    <c:plotArea>
      <c:layout/>
      <c:pieChart>
        <c:varyColors val="1"/>
        <c:ser>
          <c:idx val="0"/>
          <c:order val="0"/>
          <c:tx>
            <c:strRef>
              <c:f>Sheet1!$B$1</c:f>
              <c:strCache>
                <c:ptCount val="1"/>
                <c:pt idx="0">
                  <c:v>单位：万元</c:v>
                </c:pt>
              </c:strCache>
            </c:strRef>
          </c:tx>
          <c:explosion val="0"/>
          <c:dPt>
            <c:idx val="0"/>
            <c:bubble3D val="0"/>
          </c:dPt>
          <c:dPt>
            <c:idx val="1"/>
            <c:bubble3D val="0"/>
          </c:dPt>
          <c:dPt>
            <c:idx val="2"/>
            <c:bubble3D val="0"/>
          </c:dPt>
          <c:dPt>
            <c:idx val="3"/>
            <c:bubble3D val="0"/>
          </c:dPt>
          <c:dLbls>
            <c:dLbl>
              <c:idx val="1"/>
              <c:layout>
                <c:manualLayout>
                  <c:x val="-0.0429854718864368"/>
                  <c:y val="0.0384792131359007"/>
                </c:manualLayout>
              </c:layout>
              <c:dLblPos val="bestFit"/>
              <c:showLegendKey val="0"/>
              <c:showVal val="1"/>
              <c:showCatName val="0"/>
              <c:showSerName val="0"/>
              <c:showPercent val="0"/>
              <c:showBubbleSize val="0"/>
              <c:extLst>
                <c:ext xmlns:c15="http://schemas.microsoft.com/office/drawing/2012/chart" uri="{CE6537A1-D6FC-4f65-9D91-7224C49458BB}">
                  <c15:layout/>
                </c:ext>
              </c:extLst>
            </c:dLbl>
            <c:dLbl>
              <c:idx val="2"/>
              <c:layout>
                <c:manualLayout>
                  <c:x val="-0.00580693258413121"/>
                  <c:y val="-0.0340849032096244"/>
                </c:manualLayout>
              </c:layout>
              <c:dLblPos val="bestFit"/>
              <c:showLegendKey val="0"/>
              <c:showVal val="1"/>
              <c:showCatName val="0"/>
              <c:showSerName val="0"/>
              <c:showPercent val="0"/>
              <c:showBubbleSize val="0"/>
              <c:extLst>
                <c:ext xmlns:c15="http://schemas.microsoft.com/office/drawing/2012/chart" uri="{CE6537A1-D6FC-4f65-9D91-7224C49458BB}">
                  <c15:layout/>
                </c:ext>
              </c:extLst>
            </c:dLbl>
            <c:dLbl>
              <c:idx val="3"/>
              <c:layout>
                <c:manualLayout>
                  <c:x val="0.0814176103573907"/>
                  <c:y val="0.00892343661820431"/>
                </c:manualLayout>
              </c:layout>
              <c:dLblPos val="bestFit"/>
              <c:showLegendKey val="0"/>
              <c:showVal val="1"/>
              <c:showCatName val="0"/>
              <c:showSerName val="0"/>
              <c:showPercent val="0"/>
              <c:showBubbleSize val="0"/>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ext>
            </c:extLst>
          </c:dLbls>
          <c:cat>
            <c:strRef>
              <c:f>Sheet1!$A$2:$A$5</c:f>
              <c:strCache>
                <c:ptCount val="4"/>
                <c:pt idx="0">
                  <c:v>教育支出  203.28万元</c:v>
                </c:pt>
                <c:pt idx="1">
                  <c:v>社会保障和就业支出 3.18万元</c:v>
                </c:pt>
                <c:pt idx="2">
                  <c:v>卫生健康支出  2.56万元</c:v>
                </c:pt>
                <c:pt idx="3">
                  <c:v>住房保障支出  2.42万元</c:v>
                </c:pt>
              </c:strCache>
            </c:strRef>
          </c:cat>
          <c:val>
            <c:numRef>
              <c:f>Sheet1!$B$2:$B$5</c:f>
              <c:numCache>
                <c:formatCode>0.00%</c:formatCode>
                <c:ptCount val="4"/>
                <c:pt idx="0">
                  <c:v>0.9614</c:v>
                </c:pt>
                <c:pt idx="1">
                  <c:v>0.015</c:v>
                </c:pt>
                <c:pt idx="2">
                  <c:v>0.0121</c:v>
                </c:pt>
                <c:pt idx="3">
                  <c:v>0.0115</c:v>
                </c:pt>
              </c:numCache>
            </c:numRef>
          </c:val>
        </c:ser>
        <c:dLbls>
          <c:showLegendKey val="0"/>
          <c:showVal val="1"/>
          <c:showCatName val="0"/>
          <c:showSerName val="0"/>
          <c:showPercent val="0"/>
          <c:showBubbleSize val="0"/>
          <c:showLeaderLines val="1"/>
        </c:dLbls>
        <c:firstSliceAng val="0"/>
      </c:pieChart>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zero"/>
    <c:showDLblsOverMax val="0"/>
  </c:chart>
  <c:txPr>
    <a:bodyPr/>
    <a:lstStyle/>
    <a:p>
      <a:pPr>
        <a:defRPr lang="zh-CN"/>
      </a:pPr>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5.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6.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四川省财政厅</Company>
  <Pages>19</Pages>
  <Words>5601</Words>
  <Characters>6074</Characters>
  <Lines>45</Lines>
  <Paragraphs>12</Paragraphs>
  <TotalTime>7</TotalTime>
  <ScaleCrop>false</ScaleCrop>
  <LinksUpToDate>false</LinksUpToDate>
  <CharactersWithSpaces>6117</CharactersWithSpaces>
  <Application>WPS Office_11.8.2.8506_F1E327BC-269C-435d-A152-05C5408002CA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2024-10-22T12:57:00Z</dcterms:created>
  <dc:creator>曹颖</dc:creator>
  <cp:lastModifiedBy>Administrator</cp:lastModifiedBy>
  <cp:lastPrinted>2023-08-03T10:35:00Z</cp:lastPrinted>
  <dcterms:modified xsi:type="dcterms:W3CDTF">2024-10-24T09:32:20Z</dcterms:modified>
  <dc:title>四川省***</dc:title>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y fmtid="{D5CDD505-2E9C-101B-9397-08002B2CF9AE}" pid="3" name="ICV">
    <vt:lpwstr>A0AFFE1E816148F8A960EDEB3220AA05_12</vt:lpwstr>
  </property>
</Properties>
</file>