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hint="default" w:ascii="Times New Roman" w:hAnsi="Times New Roman" w:eastAsia="方正小标宋简体" w:cs="Times New Roman"/>
          <w:szCs w:val="21"/>
        </w:rPr>
      </w:pPr>
      <w:bookmarkStart w:id="0" w:name="_Toc15306267"/>
    </w:p>
    <w:p>
      <w:pPr>
        <w:pStyle w:val="6"/>
        <w:spacing w:before="93"/>
        <w:rPr>
          <w:rFonts w:hint="default" w:ascii="Times New Roman" w:hAnsi="Times New Roman" w:cs="Times New Roman"/>
        </w:rPr>
      </w:pPr>
    </w:p>
    <w:p>
      <w:pPr>
        <w:spacing w:line="600" w:lineRule="exact"/>
        <w:jc w:val="center"/>
        <w:outlineLvl w:val="0"/>
        <w:rPr>
          <w:rFonts w:hint="default" w:ascii="Times New Roman" w:hAnsi="Times New Roman" w:eastAsia="方正小标宋简体" w:cs="Times New Roman"/>
          <w:sz w:val="72"/>
          <w:szCs w:val="72"/>
        </w:rPr>
      </w:pPr>
    </w:p>
    <w:p>
      <w:pPr>
        <w:spacing w:line="600" w:lineRule="exact"/>
        <w:jc w:val="center"/>
        <w:outlineLvl w:val="0"/>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 w:name="_Toc15377193"/>
      <w:bookmarkStart w:id="2" w:name="_Toc15396597"/>
      <w:bookmarkStart w:id="3" w:name="_Toc15378441"/>
      <w:bookmarkStart w:id="4" w:name="_Toc15377425"/>
      <w:bookmarkStart w:id="5" w:name="_Toc15396475"/>
      <w:r>
        <w:rPr>
          <w:rFonts w:hint="default" w:ascii="Times New Roman" w:hAnsi="Times New Roman" w:eastAsia="方正小标宋简体" w:cs="Times New Roman"/>
          <w:sz w:val="72"/>
          <w:szCs w:val="72"/>
        </w:rPr>
        <w:t>2023年度</w:t>
      </w:r>
      <w:bookmarkEnd w:id="1"/>
      <w:bookmarkEnd w:id="2"/>
      <w:bookmarkEnd w:id="3"/>
      <w:bookmarkEnd w:id="4"/>
      <w:bookmarkEnd w:id="5"/>
    </w:p>
    <w:bookmarkEnd w:id="0"/>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96476"/>
      <w:bookmarkStart w:id="7" w:name="_Toc15378442"/>
      <w:bookmarkStart w:id="8" w:name="_Toc15377194"/>
      <w:bookmarkStart w:id="9" w:name="_Toc15396598"/>
      <w:bookmarkStart w:id="10" w:name="_Toc15377426"/>
      <w:bookmarkStart w:id="11" w:name="_Toc15306268"/>
      <w:r>
        <w:rPr>
          <w:rFonts w:hint="default" w:ascii="Times New Roman" w:hAnsi="Times New Roman" w:eastAsia="方正小标宋简体" w:cs="Times New Roman"/>
          <w:sz w:val="72"/>
          <w:szCs w:val="72"/>
        </w:rPr>
        <w:t>盐边县中学校</w:t>
      </w:r>
    </w:p>
    <w:p>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单位决算</w:t>
      </w:r>
      <w:bookmarkEnd w:id="6"/>
      <w:bookmarkEnd w:id="7"/>
      <w:bookmarkEnd w:id="8"/>
      <w:bookmarkEnd w:id="9"/>
      <w:bookmarkEnd w:id="10"/>
      <w:bookmarkEnd w:id="11"/>
    </w:p>
    <w:p>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pPr>
        <w:widowControl/>
        <w:jc w:val="center"/>
        <w:rPr>
          <w:rFonts w:hint="default" w:ascii="Times New Roman" w:hAnsi="Times New Roman" w:eastAsia="黑体" w:cs="Times New Roman"/>
          <w:sz w:val="28"/>
          <w:szCs w:val="28"/>
        </w:rPr>
      </w:pPr>
    </w:p>
    <w:p>
      <w:pPr>
        <w:pStyle w:val="12"/>
        <w:rPr>
          <w:rFonts w:hint="default" w:ascii="Times New Roman" w:hAnsi="Times New Roman" w:eastAsia="仿宋_GB2312" w:cs="Times New Roman"/>
        </w:rPr>
      </w:pPr>
      <w:r>
        <w:rPr>
          <w:rFonts w:hint="default" w:ascii="Times New Roman" w:hAnsi="Times New Roman" w:eastAsia="仿宋_GB2312" w:cs="Times New Roman"/>
        </w:rPr>
        <w:t>公开时间：202</w:t>
      </w:r>
      <w:r>
        <w:rPr>
          <w:rFonts w:hint="default" w:ascii="Times New Roman" w:hAnsi="Times New Roman" w:eastAsia="仿宋_GB2312" w:cs="Times New Roman"/>
          <w:lang w:val="en-US" w:eastAsia="zh-CN"/>
        </w:rPr>
        <w:t>4</w:t>
      </w:r>
      <w:r>
        <w:rPr>
          <w:rFonts w:hint="default" w:ascii="Times New Roman" w:hAnsi="Times New Roman" w:eastAsia="仿宋_GB2312" w:cs="Times New Roman"/>
        </w:rPr>
        <w:t>年10月28日</w:t>
      </w:r>
    </w:p>
    <w:p>
      <w:pPr>
        <w:rPr>
          <w:rFonts w:hint="default" w:ascii="Times New Roman" w:hAnsi="Times New Roman" w:cs="Times New Roman"/>
        </w:rPr>
      </w:pPr>
    </w:p>
    <w:p>
      <w:pPr>
        <w:pStyle w:val="12"/>
        <w:adjustRightInd w:val="0"/>
        <w:snapToGrid w:val="0"/>
        <w:spacing w:before="0" w:line="440" w:lineRule="exact"/>
        <w:jc w:val="left"/>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第一部分单位概况</w:t>
      </w:r>
      <w:r>
        <w:rPr>
          <w:rFonts w:hint="default" w:ascii="Times New Roman" w:hAnsi="Times New Roman" w:eastAsia="仿宋_GB2312" w:cs="Times New Roman"/>
          <w:sz w:val="24"/>
          <w:szCs w:val="24"/>
        </w:rPr>
        <w:ptab w:relativeTo="margin" w:alignment="right" w:leader="dot"/>
      </w:r>
      <w:r>
        <w:rPr>
          <w:rFonts w:hint="default" w:ascii="Times New Roman" w:hAnsi="Times New Roman" w:eastAsia="仿宋_GB2312" w:cs="Times New Roman"/>
          <w:sz w:val="24"/>
          <w:szCs w:val="24"/>
          <w:lang w:val="en-US" w:eastAsia="zh-CN"/>
        </w:rPr>
        <w:t>4</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一、主要职责</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rPr>
        <w:t>4</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二、机构设置</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4</w:t>
      </w:r>
    </w:p>
    <w:p>
      <w:pPr>
        <w:pStyle w:val="12"/>
        <w:adjustRightInd w:val="0"/>
        <w:snapToGrid w:val="0"/>
        <w:spacing w:before="0" w:line="440" w:lineRule="exact"/>
        <w:jc w:val="left"/>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第二部分 2023年度单位决算情况说明</w:t>
      </w:r>
      <w:r>
        <w:rPr>
          <w:rFonts w:hint="default" w:ascii="Times New Roman" w:hAnsi="Times New Roman" w:eastAsia="仿宋_GB2312" w:cs="Times New Roman"/>
          <w:sz w:val="24"/>
          <w:szCs w:val="24"/>
        </w:rPr>
        <w:ptab w:relativeTo="margin" w:alignment="right" w:leader="dot"/>
      </w:r>
      <w:r>
        <w:rPr>
          <w:rFonts w:hint="default" w:ascii="Times New Roman" w:hAnsi="Times New Roman" w:eastAsia="仿宋_GB2312" w:cs="Times New Roman"/>
          <w:sz w:val="24"/>
          <w:szCs w:val="24"/>
          <w:lang w:val="en-US" w:eastAsia="zh-CN"/>
        </w:rPr>
        <w:t>5</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一、收入支出决算总体情况说明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5</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二、收入决算情况说明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5</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三、支出决算情况说明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6</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四、财政拨款收入支出决算总体情况说明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7</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五、一般公共预算财政拨款支出决算情况说明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7</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六、一般公共预算财政拨款基本支出决算情况说明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10</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七、财政拨款“三公”经费支出决算情况说明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11</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八、政府性基金预算支出决算情况说明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13</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九、国有资本经营预算支出决算情况说明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13</w:t>
      </w:r>
    </w:p>
    <w:p>
      <w:pPr>
        <w:pStyle w:val="13"/>
        <w:adjustRightInd w:val="0"/>
        <w:snapToGrid w:val="0"/>
        <w:spacing w:before="93" w:line="440" w:lineRule="exact"/>
        <w:jc w:val="lef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rPr>
        <w:t>十、其他重要事项的情况说明</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3</w:t>
      </w:r>
    </w:p>
    <w:p>
      <w:pPr>
        <w:pStyle w:val="12"/>
        <w:adjustRightInd w:val="0"/>
        <w:snapToGrid w:val="0"/>
        <w:spacing w:before="0" w:line="440" w:lineRule="exact"/>
        <w:jc w:val="left"/>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第三部分 名词解释</w:t>
      </w:r>
      <w:r>
        <w:rPr>
          <w:rFonts w:hint="default" w:ascii="Times New Roman" w:hAnsi="Times New Roman" w:eastAsia="仿宋_GB2312" w:cs="Times New Roman"/>
          <w:sz w:val="24"/>
          <w:szCs w:val="24"/>
        </w:rPr>
        <w:ptab w:relativeTo="margin" w:alignment="right" w:leader="dot"/>
      </w:r>
      <w:r>
        <w:rPr>
          <w:rFonts w:hint="default" w:ascii="Times New Roman" w:hAnsi="Times New Roman" w:eastAsia="仿宋_GB2312" w:cs="Times New Roman"/>
          <w:sz w:val="24"/>
          <w:szCs w:val="24"/>
        </w:rPr>
        <w:t>1</w:t>
      </w:r>
      <w:r>
        <w:rPr>
          <w:rFonts w:hint="default" w:ascii="Times New Roman" w:hAnsi="Times New Roman" w:eastAsia="仿宋_GB2312" w:cs="Times New Roman"/>
          <w:sz w:val="24"/>
          <w:szCs w:val="24"/>
          <w:lang w:val="en-US" w:eastAsia="zh-CN"/>
        </w:rPr>
        <w:t>5</w:t>
      </w:r>
    </w:p>
    <w:p>
      <w:pPr>
        <w:pStyle w:val="12"/>
        <w:adjustRightInd w:val="0"/>
        <w:snapToGrid w:val="0"/>
        <w:spacing w:before="0" w:line="440" w:lineRule="exact"/>
        <w:jc w:val="left"/>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第四部分 附件</w:t>
      </w:r>
      <w:r>
        <w:rPr>
          <w:rFonts w:hint="default" w:ascii="Times New Roman" w:hAnsi="Times New Roman" w:eastAsia="仿宋_GB2312" w:cs="Times New Roman"/>
          <w:sz w:val="24"/>
          <w:szCs w:val="24"/>
        </w:rPr>
        <w:ptab w:relativeTo="margin" w:alignment="right" w:leader="dot"/>
      </w:r>
      <w:r>
        <w:rPr>
          <w:rFonts w:hint="default" w:ascii="Times New Roman" w:hAnsi="Times New Roman" w:eastAsia="仿宋_GB2312" w:cs="Times New Roman"/>
          <w:sz w:val="24"/>
          <w:szCs w:val="24"/>
          <w:lang w:val="en-US" w:eastAsia="zh-CN"/>
        </w:rPr>
        <w:t>19</w:t>
      </w:r>
    </w:p>
    <w:p>
      <w:pPr>
        <w:pStyle w:val="12"/>
        <w:adjustRightInd w:val="0"/>
        <w:snapToGrid w:val="0"/>
        <w:spacing w:before="0" w:line="440" w:lineRule="exact"/>
        <w:jc w:val="left"/>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第五部分 附表</w:t>
      </w:r>
      <w:r>
        <w:rPr>
          <w:rFonts w:hint="default" w:ascii="Times New Roman" w:hAnsi="Times New Roman" w:eastAsia="仿宋_GB2312" w:cs="Times New Roman"/>
          <w:sz w:val="24"/>
          <w:szCs w:val="24"/>
        </w:rPr>
        <w:ptab w:relativeTo="margin" w:alignment="right" w:leader="dot"/>
      </w:r>
      <w:r>
        <w:rPr>
          <w:rFonts w:hint="default" w:ascii="Times New Roman" w:hAnsi="Times New Roman" w:eastAsia="仿宋_GB2312" w:cs="Times New Roman"/>
          <w:sz w:val="24"/>
          <w:szCs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一、收入支出决算总表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二、收入决算表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三、支出决算表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四、财政拨款收入支出决算总表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五、财政拨款支出决算明细表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六、一般公共预算财政拨款支出决算表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七、一般公共预算财政拨款支出决算明细表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八、一般公共预算财政拨款基本支出决算明细表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九、一般公共预算财政拨款项目支出决算表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十、政府性基金预算财政拨款收入支出决算表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十一、国有资本经营预算财政拨款收入支出决算表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十二、国有资本经营预算财政拨款支出决算表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pStyle w:val="13"/>
        <w:adjustRightInd w:val="0"/>
        <w:snapToGrid w:val="0"/>
        <w:spacing w:before="93" w:line="440" w:lineRule="exact"/>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十三、财政拨款“三公”经费支出决算表</w:t>
      </w:r>
      <w:r>
        <w:rPr>
          <w:rFonts w:hint="default" w:ascii="Times New Roman" w:hAnsi="Times New Roman" w:eastAsia="仿宋_GB2312" w:cs="Times New Roman"/>
          <w:sz w:val="24"/>
        </w:rPr>
        <w:ptab w:relativeTo="margin" w:alignment="right" w:leader="dot"/>
      </w:r>
      <w:r>
        <w:rPr>
          <w:rFonts w:hint="default" w:ascii="Times New Roman" w:hAnsi="Times New Roman" w:eastAsia="仿宋_GB2312" w:cs="Times New Roman"/>
          <w:sz w:val="24"/>
          <w:lang w:val="en-US" w:eastAsia="zh-CN"/>
        </w:rPr>
        <w:t>20</w:t>
      </w:r>
    </w:p>
    <w:p>
      <w:pPr>
        <w:widowControl/>
        <w:spacing w:line="440" w:lineRule="exact"/>
        <w:jc w:val="center"/>
        <w:rPr>
          <w:rStyle w:val="27"/>
          <w:rFonts w:hint="default" w:ascii="Times New Roman" w:hAnsi="Times New Roman" w:eastAsia="黑体" w:cs="Times New Roman"/>
        </w:rPr>
      </w:pPr>
      <w:r>
        <w:rPr>
          <w:rFonts w:hint="default" w:ascii="Times New Roman" w:hAnsi="Times New Roman" w:eastAsia="仿宋_GB2312" w:cs="Times New Roman"/>
          <w:b/>
          <w:sz w:val="24"/>
        </w:rPr>
        <w:br w:type="page"/>
      </w:r>
      <w:bookmarkStart w:id="12" w:name="_Toc15377196"/>
      <w:bookmarkStart w:id="13" w:name="_Toc15396599"/>
      <w:r>
        <w:rPr>
          <w:rStyle w:val="27"/>
          <w:rFonts w:hint="default" w:ascii="Times New Roman" w:hAnsi="Times New Roman" w:eastAsia="黑体" w:cs="Times New Roman"/>
        </w:rPr>
        <w:t>第一部分 单位概况</w:t>
      </w:r>
      <w:bookmarkEnd w:id="12"/>
      <w:bookmarkEnd w:id="13"/>
      <w:bookmarkStart w:id="14" w:name="_Toc15396600"/>
      <w:bookmarkStart w:id="15" w:name="_Toc15377197"/>
    </w:p>
    <w:p>
      <w:pPr>
        <w:pStyle w:val="2"/>
        <w:rPr>
          <w:rFonts w:hint="default"/>
        </w:rPr>
      </w:pPr>
    </w:p>
    <w:p>
      <w:pPr>
        <w:widowControl/>
        <w:spacing w:line="440" w:lineRule="exact"/>
        <w:jc w:val="left"/>
        <w:rPr>
          <w:rStyle w:val="28"/>
          <w:rFonts w:hint="default" w:ascii="Times New Roman" w:hAnsi="Times New Roman" w:eastAsia="黑体" w:cs="Times New Roman"/>
        </w:rPr>
      </w:pPr>
    </w:p>
    <w:p>
      <w:pPr>
        <w:keepNext w:val="0"/>
        <w:keepLines w:val="0"/>
        <w:pageBreakBefore w:val="0"/>
        <w:widowControl/>
        <w:numPr>
          <w:ilvl w:val="0"/>
          <w:numId w:val="1"/>
        </w:numPr>
        <w:kinsoku/>
        <w:wordWrap/>
        <w:overflowPunct/>
        <w:topLinePunct w:val="0"/>
        <w:autoSpaceDE/>
        <w:autoSpaceDN/>
        <w:bidi w:val="0"/>
        <w:adjustRightInd/>
        <w:snapToGrid/>
        <w:spacing w:line="560" w:lineRule="exact"/>
        <w:jc w:val="left"/>
        <w:textAlignment w:val="auto"/>
        <w:rPr>
          <w:rStyle w:val="28"/>
          <w:rFonts w:hint="default" w:ascii="Times New Roman" w:hAnsi="Times New Roman" w:eastAsia="黑体" w:cs="Times New Roman"/>
        </w:rPr>
      </w:pPr>
      <w:r>
        <w:rPr>
          <w:rStyle w:val="28"/>
          <w:rFonts w:hint="default" w:ascii="Times New Roman" w:hAnsi="Times New Roman" w:eastAsia="黑体" w:cs="Times New Roman"/>
        </w:rPr>
        <w:t>主要职责</w:t>
      </w:r>
    </w:p>
    <w:p>
      <w:pPr>
        <w:keepNext w:val="0"/>
        <w:keepLines w:val="0"/>
        <w:pageBreakBefore w:val="0"/>
        <w:kinsoku/>
        <w:wordWrap/>
        <w:overflowPunct/>
        <w:topLinePunct w:val="0"/>
        <w:autoSpaceDE/>
        <w:autoSpaceDN/>
        <w:bidi w:val="0"/>
        <w:adjustRightInd/>
        <w:snapToGrid/>
        <w:spacing w:line="560" w:lineRule="exact"/>
        <w:ind w:firstLine="480"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盐边县中学校是经盐边县机构编制委员会批准成立的独立法人机构，是经费独立核算单位，学校的主要工作职能是：实施高中学历教育，促进基础教育发展，进行高中学历教育等相关社会服务。</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Style w:val="28"/>
          <w:rFonts w:hint="default" w:ascii="Times New Roman" w:hAnsi="Times New Roman" w:eastAsia="黑体" w:cs="Times New Roman"/>
          <w:b w:val="0"/>
        </w:rPr>
      </w:pPr>
      <w:r>
        <w:rPr>
          <w:rStyle w:val="28"/>
          <w:rFonts w:hint="default" w:ascii="Times New Roman" w:hAnsi="Times New Roman" w:eastAsia="黑体" w:cs="Times New Roman"/>
        </w:rPr>
        <w:t>二、机构设置</w:t>
      </w:r>
    </w:p>
    <w:bookmarkEnd w:id="14"/>
    <w:bookmarkEnd w:id="15"/>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盐边县中学校属事业编制二级预算单位，2023年末单位机构数1，预算单位数1，下属二级单位0个，其中行政单位0个，参照公务员发管理的事业单位0个，其他事业单位0个，机构无变动情况。</w:t>
      </w:r>
    </w:p>
    <w:p>
      <w:pPr>
        <w:widowControl/>
        <w:rPr>
          <w:rFonts w:hint="default" w:ascii="Times New Roman" w:hAnsi="Times New Roman" w:eastAsia="仿宋" w:cs="Times New Roman"/>
          <w:sz w:val="32"/>
          <w:szCs w:val="32"/>
        </w:rPr>
      </w:pPr>
    </w:p>
    <w:p>
      <w:pPr>
        <w:widowControl/>
        <w:jc w:val="center"/>
        <w:rPr>
          <w:rFonts w:hint="default" w:ascii="Times New Roman" w:hAnsi="Times New Roman" w:eastAsia="仿宋" w:cs="Times New Roman"/>
          <w:sz w:val="32"/>
          <w:szCs w:val="32"/>
        </w:rPr>
      </w:pPr>
    </w:p>
    <w:p>
      <w:pPr>
        <w:widowControl/>
        <w:jc w:val="center"/>
        <w:rPr>
          <w:rStyle w:val="27"/>
          <w:rFonts w:hint="default" w:ascii="Times New Roman" w:hAnsi="Times New Roman" w:eastAsia="仿宋" w:cs="Times New Roman"/>
          <w:b w:val="0"/>
          <w:bCs w:val="0"/>
          <w:kern w:val="0"/>
          <w:sz w:val="32"/>
          <w:szCs w:val="32"/>
        </w:rPr>
      </w:pPr>
      <w:r>
        <w:rPr>
          <w:rFonts w:hint="default" w:ascii="Times New Roman" w:hAnsi="Times New Roman" w:eastAsia="仿宋" w:cs="Times New Roman"/>
          <w:sz w:val="32"/>
          <w:szCs w:val="32"/>
        </w:rPr>
        <w:br w:type="page"/>
      </w:r>
      <w:bookmarkStart w:id="16" w:name="_Toc15396602"/>
      <w:bookmarkStart w:id="17" w:name="_Toc15377204"/>
      <w:r>
        <w:rPr>
          <w:rStyle w:val="27"/>
          <w:rFonts w:hint="default" w:ascii="Times New Roman" w:hAnsi="Times New Roman" w:eastAsia="黑体" w:cs="Times New Roman"/>
        </w:rPr>
        <w:t>第二部分 2023年度单位决算情况说明</w:t>
      </w:r>
      <w:bookmarkEnd w:id="16"/>
      <w:bookmarkEnd w:id="17"/>
    </w:p>
    <w:p>
      <w:pPr>
        <w:rPr>
          <w:rFonts w:hint="default" w:ascii="Times New Roman" w:hAnsi="Times New Roman" w:cs="Times New Roman"/>
        </w:rPr>
      </w:pPr>
    </w:p>
    <w:p>
      <w:pPr>
        <w:spacing w:line="600" w:lineRule="exact"/>
        <w:ind w:firstLine="640" w:firstLineChars="200"/>
        <w:outlineLvl w:val="1"/>
        <w:rPr>
          <w:rStyle w:val="28"/>
          <w:rFonts w:hint="default" w:ascii="Times New Roman" w:hAnsi="Times New Roman" w:eastAsia="黑体" w:cs="Times New Roman"/>
          <w:b w:val="0"/>
        </w:rPr>
      </w:pPr>
      <w:bookmarkStart w:id="18" w:name="_Toc15396603"/>
      <w:bookmarkStart w:id="19" w:name="_Toc15377205"/>
      <w:r>
        <w:rPr>
          <w:rFonts w:hint="default" w:ascii="Times New Roman" w:hAnsi="Times New Roman" w:eastAsia="黑体" w:cs="Times New Roman"/>
          <w:sz w:val="32"/>
          <w:szCs w:val="32"/>
        </w:rPr>
        <w:t>一、收</w:t>
      </w:r>
      <w:r>
        <w:rPr>
          <w:rStyle w:val="28"/>
          <w:rFonts w:hint="default" w:ascii="Times New Roman" w:hAnsi="Times New Roman" w:eastAsia="黑体" w:cs="Times New Roman"/>
          <w:b w:val="0"/>
        </w:rPr>
        <w:t>入支出决算总体情况说明</w:t>
      </w:r>
      <w:bookmarkEnd w:id="18"/>
      <w:bookmarkEnd w:id="19"/>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2023年度收、支总计均为</w:t>
      </w:r>
      <w:r>
        <w:rPr>
          <w:rFonts w:hint="eastAsia" w:ascii="仿宋_GB2312" w:hAnsi="仿宋_GB2312" w:eastAsia="仿宋_GB2312" w:cs="仿宋_GB2312"/>
          <w:b w:val="0"/>
          <w:bCs/>
          <w:sz w:val="32"/>
          <w:szCs w:val="32"/>
        </w:rPr>
        <w:t>5811.51</w:t>
      </w:r>
      <w:r>
        <w:rPr>
          <w:rFonts w:hint="eastAsia" w:ascii="仿宋_GB2312" w:hAnsi="仿宋_GB2312" w:eastAsia="仿宋_GB2312" w:cs="仿宋_GB2312"/>
          <w:sz w:val="32"/>
          <w:szCs w:val="32"/>
        </w:rPr>
        <w:t>万元。与2022年度相比，收、支总计各增加</w:t>
      </w:r>
      <w:r>
        <w:rPr>
          <w:rFonts w:hint="eastAsia" w:ascii="仿宋_GB2312" w:hAnsi="仿宋_GB2312" w:eastAsia="仿宋_GB2312" w:cs="仿宋_GB2312"/>
          <w:b w:val="0"/>
          <w:bCs/>
          <w:sz w:val="32"/>
          <w:szCs w:val="32"/>
        </w:rPr>
        <w:t>596.36万元，增长11.44%。主要变动原因是财政拨款中的日常公用经费和项目经费较</w:t>
      </w:r>
      <w:r>
        <w:rPr>
          <w:rFonts w:hint="eastAsia" w:ascii="仿宋_GB2312" w:hAnsi="仿宋_GB2312" w:eastAsia="仿宋_GB2312" w:cs="仿宋_GB2312"/>
          <w:sz w:val="32"/>
          <w:szCs w:val="32"/>
        </w:rPr>
        <w:t>2022年有所增加，2023年项目支出中部分经费为盐边县中学校新建初中部教学楼工程和盐边县中学校运动场改造工程。</w:t>
      </w:r>
    </w:p>
    <w:p>
      <w:pPr>
        <w:pStyle w:val="6"/>
        <w:spacing w:before="93"/>
        <w:jc w:val="center"/>
        <w:rPr>
          <w:rFonts w:hint="default" w:ascii="Times New Roman" w:hAnsi="Times New Roman" w:cs="Times New Roman"/>
        </w:rPr>
      </w:pPr>
      <w:bookmarkStart w:id="20" w:name="_Toc15396604"/>
      <w:bookmarkStart w:id="21" w:name="_Toc15377206"/>
      <w:r>
        <w:rPr>
          <w:rFonts w:hint="default" w:ascii="Times New Roman" w:hAnsi="Times New Roman" w:cs="Times New Roman"/>
        </w:rPr>
        <w:drawing>
          <wp:inline distT="0" distB="0" distL="0" distR="0">
            <wp:extent cx="5133975" cy="3143250"/>
            <wp:effectExtent l="0" t="0" r="9525"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6"/>
        <w:spacing w:before="93"/>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图1：收、支决算总计变动情况图（万元）</w:t>
      </w:r>
    </w:p>
    <w:p>
      <w:pPr>
        <w:spacing w:line="600" w:lineRule="exact"/>
        <w:ind w:firstLine="640" w:firstLineChars="200"/>
        <w:outlineLvl w:val="1"/>
        <w:rPr>
          <w:rStyle w:val="28"/>
          <w:rFonts w:hint="default" w:ascii="Times New Roman" w:hAnsi="Times New Roman" w:eastAsia="黑体" w:cs="Times New Roman"/>
          <w:b w:val="0"/>
        </w:rPr>
      </w:pPr>
      <w:r>
        <w:rPr>
          <w:rFonts w:hint="default" w:ascii="Times New Roman" w:hAnsi="Times New Roman" w:eastAsia="黑体" w:cs="Times New Roman"/>
          <w:sz w:val="32"/>
          <w:szCs w:val="32"/>
        </w:rPr>
        <w:t>二、收</w:t>
      </w:r>
      <w:r>
        <w:rPr>
          <w:rStyle w:val="28"/>
          <w:rFonts w:hint="default" w:ascii="Times New Roman" w:hAnsi="Times New Roman" w:eastAsia="黑体" w:cs="Times New Roman"/>
          <w:b w:val="0"/>
        </w:rPr>
        <w:t>入决算情况说明</w:t>
      </w:r>
      <w:bookmarkEnd w:id="20"/>
      <w:bookmarkEnd w:id="21"/>
    </w:p>
    <w:p>
      <w:pPr>
        <w:spacing w:line="600" w:lineRule="exact"/>
        <w:ind w:firstLine="640" w:firstLineChars="200"/>
        <w:outlineLvl w:val="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2023年度本年收入合计</w:t>
      </w:r>
      <w:r>
        <w:rPr>
          <w:rFonts w:hint="eastAsia" w:ascii="仿宋_GB2312" w:hAnsi="仿宋_GB2312" w:eastAsia="仿宋_GB2312" w:cs="仿宋_GB2312"/>
          <w:b w:val="0"/>
          <w:bCs/>
          <w:sz w:val="32"/>
          <w:szCs w:val="32"/>
        </w:rPr>
        <w:t>5811.51</w:t>
      </w:r>
      <w:r>
        <w:rPr>
          <w:rFonts w:hint="eastAsia" w:ascii="仿宋_GB2312" w:hAnsi="仿宋_GB2312" w:eastAsia="仿宋_GB2312" w:cs="仿宋_GB2312"/>
          <w:sz w:val="32"/>
          <w:szCs w:val="32"/>
        </w:rPr>
        <w:t>万元，其中：一般公共预算财政拨款收入</w:t>
      </w:r>
      <w:r>
        <w:rPr>
          <w:rFonts w:hint="eastAsia" w:ascii="仿宋_GB2312" w:hAnsi="仿宋_GB2312" w:eastAsia="仿宋_GB2312" w:cs="仿宋_GB2312"/>
          <w:b w:val="0"/>
          <w:bCs/>
          <w:sz w:val="32"/>
          <w:szCs w:val="32"/>
        </w:rPr>
        <w:t>5125.98</w:t>
      </w:r>
      <w:r>
        <w:rPr>
          <w:rFonts w:hint="eastAsia" w:ascii="仿宋_GB2312" w:hAnsi="仿宋_GB2312" w:eastAsia="仿宋_GB2312" w:cs="仿宋_GB2312"/>
          <w:sz w:val="32"/>
          <w:szCs w:val="32"/>
        </w:rPr>
        <w:t>万元，占</w:t>
      </w:r>
      <w:r>
        <w:rPr>
          <w:rFonts w:hint="eastAsia" w:ascii="仿宋_GB2312" w:hAnsi="仿宋_GB2312" w:eastAsia="仿宋_GB2312" w:cs="仿宋_GB2312"/>
          <w:b w:val="0"/>
          <w:bCs/>
          <w:sz w:val="32"/>
          <w:szCs w:val="32"/>
        </w:rPr>
        <w:t>88.2%</w:t>
      </w:r>
      <w:r>
        <w:rPr>
          <w:rFonts w:hint="eastAsia" w:ascii="仿宋_GB2312" w:hAnsi="仿宋_GB2312" w:eastAsia="仿宋_GB2312" w:cs="仿宋_GB2312"/>
          <w:sz w:val="32"/>
          <w:szCs w:val="32"/>
        </w:rPr>
        <w:t>；政府性基金预算财政拨款收入</w:t>
      </w:r>
      <w:r>
        <w:rPr>
          <w:rFonts w:hint="eastAsia" w:ascii="仿宋_GB2312" w:hAnsi="仿宋_GB2312" w:eastAsia="仿宋_GB2312" w:cs="仿宋_GB2312"/>
          <w:b w:val="0"/>
          <w:bCs/>
          <w:sz w:val="32"/>
          <w:szCs w:val="32"/>
        </w:rPr>
        <w:t>0万</w:t>
      </w:r>
      <w:r>
        <w:rPr>
          <w:rFonts w:hint="eastAsia" w:ascii="仿宋_GB2312" w:hAnsi="仿宋_GB2312" w:eastAsia="仿宋_GB2312" w:cs="仿宋_GB2312"/>
          <w:sz w:val="32"/>
          <w:szCs w:val="32"/>
        </w:rPr>
        <w:t>元，占</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；国有资本经营预算财政拨款收入</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b w:val="0"/>
          <w:bCs/>
          <w:sz w:val="32"/>
          <w:szCs w:val="32"/>
        </w:rPr>
        <w:t>685.53</w:t>
      </w:r>
      <w:r>
        <w:rPr>
          <w:rFonts w:hint="eastAsia" w:ascii="仿宋_GB2312" w:hAnsi="仿宋_GB2312" w:eastAsia="仿宋_GB2312" w:cs="仿宋_GB2312"/>
          <w:sz w:val="32"/>
          <w:szCs w:val="32"/>
        </w:rPr>
        <w:t>万元，占</w:t>
      </w:r>
      <w:r>
        <w:rPr>
          <w:rFonts w:hint="eastAsia" w:ascii="仿宋_GB2312" w:hAnsi="仿宋_GB2312" w:eastAsia="仿宋_GB2312" w:cs="仿宋_GB2312"/>
          <w:b w:val="0"/>
          <w:bCs/>
          <w:sz w:val="32"/>
          <w:szCs w:val="32"/>
        </w:rPr>
        <w:t>11.8%</w:t>
      </w:r>
      <w:r>
        <w:rPr>
          <w:rFonts w:hint="eastAsia" w:ascii="仿宋_GB2312" w:hAnsi="仿宋_GB2312" w:eastAsia="仿宋_GB2312" w:cs="仿宋_GB2312"/>
          <w:sz w:val="32"/>
          <w:szCs w:val="32"/>
        </w:rPr>
        <w:t>；经营收入</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b w:val="0"/>
          <w:bCs/>
          <w:sz w:val="32"/>
          <w:szCs w:val="32"/>
        </w:rPr>
        <w:t>0%</w:t>
      </w:r>
      <w:r>
        <w:rPr>
          <w:rFonts w:hint="eastAsia" w:ascii="仿宋_GB2312" w:hAnsi="仿宋_GB2312" w:eastAsia="仿宋_GB2312" w:cs="仿宋_GB2312"/>
          <w:sz w:val="32"/>
          <w:szCs w:val="32"/>
        </w:rPr>
        <w:t>；附属单位上缴收</w:t>
      </w:r>
      <w:r>
        <w:rPr>
          <w:rFonts w:hint="eastAsia" w:ascii="仿宋_GB2312" w:hAnsi="仿宋_GB2312" w:eastAsia="仿宋_GB2312" w:cs="仿宋_GB2312"/>
          <w:b w:val="0"/>
          <w:bCs/>
          <w:sz w:val="32"/>
          <w:szCs w:val="32"/>
        </w:rPr>
        <w:t>入0万元，占0%；</w:t>
      </w:r>
      <w:r>
        <w:rPr>
          <w:rFonts w:hint="eastAsia" w:ascii="仿宋_GB2312" w:hAnsi="仿宋_GB2312" w:eastAsia="仿宋_GB2312" w:cs="仿宋_GB2312"/>
          <w:sz w:val="32"/>
          <w:szCs w:val="32"/>
        </w:rPr>
        <w:t>其他收</w:t>
      </w:r>
      <w:r>
        <w:rPr>
          <w:rFonts w:hint="eastAsia" w:ascii="仿宋_GB2312" w:hAnsi="仿宋_GB2312" w:eastAsia="仿宋_GB2312" w:cs="仿宋_GB2312"/>
          <w:b w:val="0"/>
          <w:bCs/>
          <w:sz w:val="32"/>
          <w:szCs w:val="32"/>
        </w:rPr>
        <w:t>入0</w:t>
      </w:r>
      <w:r>
        <w:rPr>
          <w:rFonts w:hint="eastAsia" w:ascii="仿宋_GB2312" w:hAnsi="仿宋_GB2312" w:eastAsia="仿宋_GB2312" w:cs="仿宋_GB2312"/>
          <w:sz w:val="32"/>
          <w:szCs w:val="32"/>
        </w:rPr>
        <w:t>万元，</w:t>
      </w:r>
      <w:r>
        <w:rPr>
          <w:rFonts w:hint="eastAsia" w:ascii="仿宋_GB2312" w:hAnsi="仿宋_GB2312" w:eastAsia="仿宋_GB2312" w:cs="仿宋_GB2312"/>
          <w:b w:val="0"/>
          <w:bCs/>
          <w:sz w:val="32"/>
          <w:szCs w:val="32"/>
        </w:rPr>
        <w:t>占0%</w:t>
      </w:r>
      <w:r>
        <w:rPr>
          <w:rFonts w:hint="eastAsia" w:ascii="仿宋_GB2312" w:hAnsi="仿宋_GB2312" w:eastAsia="仿宋_GB2312" w:cs="仿宋_GB2312"/>
          <w:b w:val="0"/>
          <w:bCs/>
          <w:sz w:val="32"/>
          <w:szCs w:val="32"/>
          <w:lang w:eastAsia="zh-CN"/>
        </w:rPr>
        <w:t>。</w:t>
      </w:r>
    </w:p>
    <w:p>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823460" cy="2720340"/>
            <wp:effectExtent l="0" t="0" r="15240" b="2286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图2：收入决算结构图</w:t>
      </w:r>
      <w:r>
        <w:rPr>
          <w:rFonts w:hint="default" w:ascii="Times New Roman" w:hAnsi="Times New Roman" w:eastAsia="仿宋" w:cs="Times New Roman"/>
          <w:sz w:val="32"/>
          <w:szCs w:val="32"/>
        </w:rPr>
        <w:t>（万元）</w:t>
      </w:r>
    </w:p>
    <w:p>
      <w:pPr>
        <w:spacing w:line="600" w:lineRule="exact"/>
        <w:ind w:firstLine="640" w:firstLineChars="200"/>
        <w:outlineLvl w:val="1"/>
        <w:rPr>
          <w:rStyle w:val="28"/>
          <w:rFonts w:hint="default" w:ascii="Times New Roman" w:hAnsi="Times New Roman" w:eastAsia="黑体" w:cs="Times New Roman"/>
          <w:b w:val="0"/>
        </w:rPr>
      </w:pPr>
      <w:bookmarkStart w:id="22" w:name="_Toc15396605"/>
      <w:bookmarkStart w:id="23" w:name="_Toc15377207"/>
      <w:r>
        <w:rPr>
          <w:rFonts w:hint="default" w:ascii="Times New Roman" w:hAnsi="Times New Roman" w:eastAsia="黑体" w:cs="Times New Roman"/>
          <w:sz w:val="32"/>
          <w:szCs w:val="32"/>
        </w:rPr>
        <w:t>三、支</w:t>
      </w:r>
      <w:r>
        <w:rPr>
          <w:rStyle w:val="28"/>
          <w:rFonts w:hint="default" w:ascii="Times New Roman" w:hAnsi="Times New Roman" w:eastAsia="黑体" w:cs="Times New Roman"/>
          <w:b w:val="0"/>
        </w:rPr>
        <w:t>出决算情况说明</w:t>
      </w:r>
      <w:bookmarkEnd w:id="22"/>
      <w:bookmarkEnd w:id="23"/>
    </w:p>
    <w:p>
      <w:pPr>
        <w:spacing w:line="600" w:lineRule="exact"/>
        <w:ind w:firstLine="640" w:firstLineChars="200"/>
        <w:outlineLvl w:val="1"/>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2023年度本年支出合计5811.51万元，其中：基本支出4373.09万元，占75.25%；项目支出1438.42万元，占24.75%；上缴上级支出0万元，占0%；经营支出0万元，占0%；对附属单位补助支出0万元，占0%。</w:t>
      </w:r>
    </w:p>
    <w:p>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678680" cy="2316480"/>
            <wp:effectExtent l="0" t="0" r="26670" b="2667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图3：支出决算结构图</w:t>
      </w:r>
      <w:r>
        <w:rPr>
          <w:rFonts w:hint="default" w:ascii="Times New Roman" w:hAnsi="Times New Roman" w:eastAsia="仿宋" w:cs="Times New Roman"/>
          <w:sz w:val="32"/>
          <w:szCs w:val="32"/>
        </w:rPr>
        <w:t>（万元）</w:t>
      </w:r>
    </w:p>
    <w:p>
      <w:pPr>
        <w:spacing w:line="600" w:lineRule="exact"/>
        <w:ind w:firstLine="640" w:firstLineChars="200"/>
        <w:outlineLvl w:val="1"/>
        <w:rPr>
          <w:rStyle w:val="28"/>
          <w:rFonts w:hint="default" w:ascii="Times New Roman" w:hAnsi="Times New Roman" w:eastAsia="黑体" w:cs="Times New Roman"/>
          <w:b w:val="0"/>
        </w:rPr>
      </w:pPr>
      <w:bookmarkStart w:id="24" w:name="_Toc15396606"/>
      <w:bookmarkStart w:id="25" w:name="_Toc15377208"/>
      <w:r>
        <w:rPr>
          <w:rFonts w:hint="default" w:ascii="Times New Roman" w:hAnsi="Times New Roman" w:eastAsia="黑体" w:cs="Times New Roman"/>
          <w:sz w:val="32"/>
          <w:szCs w:val="32"/>
        </w:rPr>
        <w:t>四、财</w:t>
      </w:r>
      <w:r>
        <w:rPr>
          <w:rStyle w:val="28"/>
          <w:rFonts w:hint="default" w:ascii="Times New Roman" w:hAnsi="Times New Roman" w:eastAsia="黑体" w:cs="Times New Roman"/>
          <w:b w:val="0"/>
        </w:rPr>
        <w:t>政拨款收入支出决算总体情况说明</w:t>
      </w:r>
      <w:bookmarkEnd w:id="24"/>
      <w:bookmarkEnd w:id="25"/>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2023年度财政拨款收、支总计均</w:t>
      </w:r>
      <w:r>
        <w:rPr>
          <w:rFonts w:hint="eastAsia" w:ascii="仿宋_GB2312" w:hAnsi="仿宋_GB2312" w:eastAsia="仿宋_GB2312" w:cs="仿宋_GB2312"/>
          <w:b w:val="0"/>
          <w:bCs/>
          <w:sz w:val="32"/>
          <w:szCs w:val="32"/>
        </w:rPr>
        <w:t>为5125.98万</w:t>
      </w:r>
      <w:r>
        <w:rPr>
          <w:rFonts w:hint="eastAsia" w:ascii="仿宋_GB2312" w:hAnsi="仿宋_GB2312" w:eastAsia="仿宋_GB2312" w:cs="仿宋_GB2312"/>
          <w:sz w:val="32"/>
          <w:szCs w:val="32"/>
        </w:rPr>
        <w:t>元。与2022年度相比，财政拨款收、支总计各增加430.13万元，增长9.16%。主要变动原因是财政拨款中的日常公用经费和项目经费较2022年有所增加，2023年项目支出中部分经费为盐边县中学校新建初中部教学楼工程和盐边县中学校运动场改造工程。</w:t>
      </w:r>
    </w:p>
    <w:p>
      <w:pPr>
        <w:pStyle w:val="6"/>
        <w:spacing w:before="93"/>
        <w:rPr>
          <w:rFonts w:hint="default" w:ascii="Times New Roman" w:hAnsi="Times New Roman" w:cs="Times New Roman"/>
        </w:rPr>
      </w:pPr>
      <w:r>
        <w:rPr>
          <w:rFonts w:hint="default" w:ascii="Times New Roman" w:hAnsi="Times New Roman" w:cs="Times New Roman"/>
        </w:rPr>
        <w:drawing>
          <wp:inline distT="0" distB="0" distL="0" distR="0">
            <wp:extent cx="5274310" cy="3076575"/>
            <wp:effectExtent l="0" t="0" r="2159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图4：财政拨款收、支决算总计变动情况（万元）</w:t>
      </w:r>
    </w:p>
    <w:p>
      <w:pPr>
        <w:spacing w:line="600" w:lineRule="exact"/>
        <w:ind w:firstLine="640" w:firstLineChars="200"/>
        <w:outlineLvl w:val="1"/>
        <w:rPr>
          <w:rStyle w:val="28"/>
          <w:rFonts w:hint="default" w:ascii="Times New Roman" w:hAnsi="Times New Roman" w:eastAsia="黑体" w:cs="Times New Roman"/>
          <w:b w:val="0"/>
        </w:rPr>
      </w:pPr>
      <w:bookmarkStart w:id="26" w:name="_Toc15377209"/>
      <w:bookmarkStart w:id="27" w:name="_Toc15396607"/>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般公共预算财政拨款支出决算情况说明</w:t>
      </w:r>
      <w:bookmarkEnd w:id="26"/>
      <w:bookmarkEnd w:id="27"/>
    </w:p>
    <w:p>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28" w:name="_Toc15377210"/>
      <w:r>
        <w:rPr>
          <w:rFonts w:hint="eastAsia" w:ascii="楷体_GB2312" w:hAnsi="楷体_GB2312" w:eastAsia="楷体_GB2312" w:cs="楷体_GB2312"/>
          <w:b w:val="0"/>
          <w:bCs/>
          <w:sz w:val="32"/>
          <w:szCs w:val="32"/>
        </w:rPr>
        <w:t>（一）一般公共预算财政拨款支出决算总体情况</w:t>
      </w:r>
      <w:bookmarkEnd w:id="28"/>
      <w:r>
        <w:rPr>
          <w:rFonts w:hint="eastAsia" w:ascii="楷体_GB2312" w:hAnsi="楷体_GB2312" w:eastAsia="楷体_GB2312" w:cs="楷体_GB2312"/>
          <w:b w:val="0"/>
          <w:bCs/>
          <w:sz w:val="32"/>
          <w:szCs w:val="32"/>
          <w:lang w:eastAsia="zh-CN"/>
        </w:rPr>
        <w:t>。</w:t>
      </w:r>
    </w:p>
    <w:p>
      <w:pPr>
        <w:spacing w:line="600" w:lineRule="exact"/>
        <w:ind w:firstLine="640" w:firstLineChars="200"/>
        <w:rPr>
          <w:rFonts w:hint="default" w:ascii="Times New Roman" w:hAnsi="Times New Roman" w:eastAsia="仿宋" w:cs="Times New Roman"/>
          <w:sz w:val="32"/>
          <w:szCs w:val="32"/>
        </w:rPr>
      </w:pPr>
      <w:r>
        <w:rPr>
          <w:rFonts w:hint="eastAsia" w:ascii="仿宋_GB2312" w:hAnsi="仿宋_GB2312" w:eastAsia="仿宋_GB2312" w:cs="仿宋_GB2312"/>
          <w:sz w:val="32"/>
          <w:szCs w:val="32"/>
        </w:rPr>
        <w:t>2023年度一般公共预算财政拨款支出</w:t>
      </w:r>
      <w:r>
        <w:rPr>
          <w:rFonts w:hint="eastAsia" w:ascii="仿宋_GB2312" w:hAnsi="仿宋_GB2312" w:eastAsia="仿宋_GB2312" w:cs="仿宋_GB2312"/>
          <w:b w:val="0"/>
          <w:bCs/>
          <w:sz w:val="32"/>
          <w:szCs w:val="32"/>
        </w:rPr>
        <w:t>5125.98</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b w:val="0"/>
          <w:bCs/>
          <w:sz w:val="32"/>
          <w:szCs w:val="32"/>
        </w:rPr>
        <w:t>88.2%。与2022年度相比，一般公共预算财政拨款支出增加430.13万元</w:t>
      </w:r>
      <w:r>
        <w:rPr>
          <w:rFonts w:hint="eastAsia" w:ascii="仿宋_GB2312" w:hAnsi="仿宋_GB2312" w:eastAsia="仿宋_GB2312" w:cs="仿宋_GB2312"/>
          <w:sz w:val="32"/>
          <w:szCs w:val="32"/>
        </w:rPr>
        <w:t>，增长9.16%。主要变动原因是财政拨款中的日常公用经费和项目经费较2022年有所增加，2023年项目支出中部分经费为盐边县中学校新建初中部教学楼工程和盐边县中学校运动场改造工程。</w:t>
      </w:r>
    </w:p>
    <w:p>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465320" cy="2118360"/>
            <wp:effectExtent l="0" t="0" r="11430" b="1524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图5：一般公共预算财政拨款支出决算变动情况（万元）</w:t>
      </w:r>
    </w:p>
    <w:p>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29" w:name="_Toc15377211"/>
      <w:r>
        <w:rPr>
          <w:rFonts w:hint="eastAsia" w:ascii="楷体_GB2312" w:hAnsi="楷体_GB2312" w:eastAsia="楷体_GB2312" w:cs="楷体_GB2312"/>
          <w:b w:val="0"/>
          <w:bCs/>
          <w:sz w:val="32"/>
          <w:szCs w:val="32"/>
        </w:rPr>
        <w:t>（二）一般公共预算财政拨款支出决算结构情况</w:t>
      </w:r>
      <w:bookmarkEnd w:id="29"/>
      <w:r>
        <w:rPr>
          <w:rFonts w:hint="eastAsia" w:ascii="楷体_GB2312" w:hAnsi="楷体_GB2312" w:eastAsia="楷体_GB2312" w:cs="楷体_GB2312"/>
          <w:b w:val="0"/>
          <w:bCs/>
          <w:sz w:val="32"/>
          <w:szCs w:val="32"/>
          <w:lang w:eastAsia="zh-CN"/>
        </w:rPr>
        <w:t>。</w:t>
      </w:r>
    </w:p>
    <w:p>
      <w:pPr>
        <w:spacing w:line="600" w:lineRule="exact"/>
        <w:ind w:firstLine="640" w:firstLineChars="200"/>
        <w:outlineLvl w:val="1"/>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2023年度一般公共预算财政拨款支出5125.98万元，主要用于以下方面:一般公共服务支出10万元，占0.2%；教育支出3876.31万元，占75.62%；社会保障和就业支出598.41万元，占11.67%；卫生健康支出331.57万元，占6.47%；住房保障支出309.69万元，占6.04%。</w:t>
      </w:r>
    </w:p>
    <w:p>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465320" cy="2369820"/>
            <wp:effectExtent l="0" t="0" r="11430" b="1143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图6：一般公共预算财政拨款支出决算结构（万元）</w:t>
      </w:r>
    </w:p>
    <w:p>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30" w:name="_Toc15377212"/>
      <w:r>
        <w:rPr>
          <w:rFonts w:hint="eastAsia" w:ascii="楷体_GB2312" w:hAnsi="楷体_GB2312" w:eastAsia="楷体_GB2312" w:cs="楷体_GB2312"/>
          <w:b w:val="0"/>
          <w:bCs/>
          <w:sz w:val="32"/>
          <w:szCs w:val="32"/>
        </w:rPr>
        <w:t>（三）一般公共预算财政拨款支出决算具体情况</w:t>
      </w:r>
      <w:bookmarkEnd w:id="30"/>
      <w:r>
        <w:rPr>
          <w:rFonts w:hint="eastAsia" w:ascii="楷体_GB2312" w:hAnsi="楷体_GB2312" w:eastAsia="楷体_GB2312" w:cs="楷体_GB2312"/>
          <w:b w:val="0"/>
          <w:bCs/>
          <w:sz w:val="32"/>
          <w:szCs w:val="32"/>
          <w:lang w:eastAsia="zh-CN"/>
        </w:rPr>
        <w:t>。</w:t>
      </w:r>
    </w:p>
    <w:p>
      <w:pPr>
        <w:spacing w:line="600" w:lineRule="exact"/>
        <w:ind w:firstLine="643" w:firstLineChars="200"/>
        <w:outlineLvl w:val="2"/>
        <w:rPr>
          <w:rFonts w:hint="eastAsia" w:ascii="仿宋_GB2312" w:hAnsi="仿宋_GB2312" w:eastAsia="仿宋_GB2312" w:cs="仿宋_GB2312"/>
          <w:b w:val="0"/>
          <w:bCs/>
          <w:sz w:val="32"/>
          <w:szCs w:val="32"/>
        </w:rPr>
      </w:pPr>
      <w:bookmarkStart w:id="31" w:name="_Toc15377444"/>
      <w:bookmarkStart w:id="32" w:name="_Toc15377213"/>
      <w:bookmarkStart w:id="33" w:name="_Toc15378460"/>
      <w:r>
        <w:rPr>
          <w:rFonts w:hint="eastAsia" w:ascii="仿宋_GB2312" w:hAnsi="仿宋_GB2312" w:eastAsia="仿宋_GB2312" w:cs="仿宋_GB2312"/>
          <w:b/>
          <w:sz w:val="32"/>
          <w:szCs w:val="32"/>
        </w:rPr>
        <w:t>2</w:t>
      </w:r>
      <w:r>
        <w:rPr>
          <w:rFonts w:hint="eastAsia" w:ascii="仿宋_GB2312" w:hAnsi="仿宋_GB2312" w:eastAsia="仿宋_GB2312" w:cs="仿宋_GB2312"/>
          <w:b w:val="0"/>
          <w:bCs/>
          <w:sz w:val="32"/>
          <w:szCs w:val="32"/>
        </w:rPr>
        <w:t>023年度一般公共预算支出决算数为5125.98</w:t>
      </w:r>
      <w:r>
        <w:rPr>
          <w:rFonts w:hint="eastAsia" w:ascii="仿宋_GB2312" w:hAnsi="仿宋_GB2312" w:eastAsia="仿宋_GB2312" w:cs="仿宋_GB2312"/>
          <w:b w:val="0"/>
          <w:bCs/>
          <w:sz w:val="32"/>
          <w:szCs w:val="32"/>
          <w:lang w:val="en-US" w:eastAsia="zh-CN"/>
        </w:rPr>
        <w:t>万元</w:t>
      </w:r>
      <w:r>
        <w:rPr>
          <w:rFonts w:hint="eastAsia" w:ascii="仿宋_GB2312" w:hAnsi="仿宋_GB2312" w:eastAsia="仿宋_GB2312" w:cs="仿宋_GB2312"/>
          <w:b w:val="0"/>
          <w:bCs/>
          <w:sz w:val="32"/>
          <w:szCs w:val="32"/>
        </w:rPr>
        <w:t>，完成预算100%。其中：</w:t>
      </w:r>
      <w:bookmarkEnd w:id="31"/>
      <w:bookmarkEnd w:id="32"/>
      <w:bookmarkEnd w:id="33"/>
    </w:p>
    <w:p>
      <w:pPr>
        <w:spacing w:line="600" w:lineRule="exact"/>
        <w:ind w:firstLine="643" w:firstLineChars="200"/>
        <w:rPr>
          <w:rFonts w:hint="eastAsia" w:ascii="仿宋_GB2312" w:hAnsi="仿宋_GB2312" w:eastAsia="仿宋_GB2312" w:cs="仿宋_GB2312"/>
          <w:b/>
          <w:sz w:val="32"/>
          <w:szCs w:val="32"/>
        </w:rPr>
      </w:pPr>
      <w:r>
        <w:rPr>
          <w:rStyle w:val="17"/>
          <w:rFonts w:hint="eastAsia" w:ascii="仿宋_GB2312" w:hAnsi="仿宋_GB2312" w:eastAsia="仿宋_GB2312" w:cs="仿宋_GB2312"/>
          <w:bCs/>
          <w:sz w:val="32"/>
          <w:szCs w:val="32"/>
        </w:rPr>
        <w:t>1.一般公共服务支出（201类）其他一般公共服务支出（99款）其他一般公共服务支出（99项）:</w:t>
      </w:r>
      <w:r>
        <w:rPr>
          <w:rStyle w:val="17"/>
          <w:rFonts w:hint="eastAsia" w:ascii="仿宋_GB2312" w:hAnsi="仿宋_GB2312" w:eastAsia="仿宋_GB2312" w:cs="仿宋_GB2312"/>
          <w:b w:val="0"/>
          <w:bCs/>
          <w:sz w:val="32"/>
          <w:szCs w:val="32"/>
        </w:rPr>
        <w:t xml:space="preserve"> 支出决算为10万元，完成预算100%。</w:t>
      </w:r>
    </w:p>
    <w:p>
      <w:pPr>
        <w:spacing w:line="600" w:lineRule="exact"/>
        <w:ind w:firstLine="643" w:firstLineChars="200"/>
        <w:rPr>
          <w:rFonts w:hint="eastAsia" w:ascii="仿宋_GB2312" w:hAnsi="仿宋_GB2312" w:eastAsia="仿宋_GB2312" w:cs="仿宋_GB2312"/>
          <w:bCs/>
          <w:sz w:val="32"/>
          <w:szCs w:val="32"/>
        </w:rPr>
      </w:pPr>
      <w:r>
        <w:rPr>
          <w:rStyle w:val="17"/>
          <w:rFonts w:hint="eastAsia" w:ascii="仿宋_GB2312" w:hAnsi="仿宋_GB2312" w:eastAsia="仿宋_GB2312" w:cs="仿宋_GB2312"/>
          <w:bCs/>
          <w:sz w:val="32"/>
          <w:szCs w:val="32"/>
        </w:rPr>
        <w:t>2.教育支出（205类）:</w:t>
      </w:r>
      <w:r>
        <w:rPr>
          <w:rStyle w:val="17"/>
          <w:rFonts w:hint="eastAsia" w:ascii="仿宋_GB2312" w:hAnsi="仿宋_GB2312" w:eastAsia="仿宋_GB2312" w:cs="仿宋_GB2312"/>
          <w:b w:val="0"/>
          <w:bCs/>
          <w:sz w:val="32"/>
          <w:szCs w:val="32"/>
        </w:rPr>
        <w:t xml:space="preserve"> 支出决算为3876.31万元，完成预算100%。</w:t>
      </w:r>
    </w:p>
    <w:p>
      <w:pPr>
        <w:spacing w:line="600" w:lineRule="exact"/>
        <w:ind w:firstLine="640" w:firstLineChars="200"/>
        <w:rPr>
          <w:rStyle w:val="17"/>
          <w:rFonts w:hint="eastAsia" w:ascii="仿宋_GB2312" w:hAnsi="仿宋_GB2312" w:eastAsia="仿宋_GB2312" w:cs="仿宋_GB2312"/>
          <w:b w:val="0"/>
          <w:bCs/>
          <w:sz w:val="32"/>
          <w:szCs w:val="32"/>
        </w:rPr>
      </w:pPr>
      <w:r>
        <w:rPr>
          <w:rStyle w:val="17"/>
          <w:rFonts w:hint="eastAsia" w:ascii="仿宋_GB2312" w:hAnsi="仿宋_GB2312" w:eastAsia="仿宋_GB2312" w:cs="仿宋_GB2312"/>
          <w:b w:val="0"/>
          <w:bCs/>
          <w:sz w:val="32"/>
          <w:szCs w:val="32"/>
        </w:rPr>
        <w:t>①教育支出（205类）普通教育（02款）初中教育（03项）: 支出决算为1357.54万元，完成预算100%。</w:t>
      </w:r>
    </w:p>
    <w:p>
      <w:pPr>
        <w:spacing w:line="600" w:lineRule="exact"/>
        <w:ind w:firstLine="640" w:firstLineChars="200"/>
        <w:rPr>
          <w:rStyle w:val="17"/>
          <w:rFonts w:hint="eastAsia" w:ascii="仿宋_GB2312" w:hAnsi="仿宋_GB2312" w:eastAsia="仿宋_GB2312" w:cs="仿宋_GB2312"/>
          <w:b w:val="0"/>
          <w:bCs/>
          <w:sz w:val="32"/>
          <w:szCs w:val="32"/>
        </w:rPr>
      </w:pPr>
      <w:r>
        <w:rPr>
          <w:rStyle w:val="17"/>
          <w:rFonts w:hint="eastAsia" w:ascii="仿宋_GB2312" w:hAnsi="仿宋_GB2312" w:eastAsia="仿宋_GB2312" w:cs="仿宋_GB2312"/>
          <w:b w:val="0"/>
          <w:bCs/>
          <w:sz w:val="32"/>
          <w:szCs w:val="32"/>
        </w:rPr>
        <w:t>②教育支出（205类）普通教育（02款）高中教育（项）: 支出决算为2046.87万元，完成预算100%。</w:t>
      </w:r>
    </w:p>
    <w:p>
      <w:pPr>
        <w:spacing w:line="600" w:lineRule="exact"/>
        <w:ind w:firstLine="640" w:firstLineChars="200"/>
        <w:rPr>
          <w:rStyle w:val="17"/>
          <w:rFonts w:hint="eastAsia" w:ascii="仿宋_GB2312" w:hAnsi="仿宋_GB2312" w:eastAsia="仿宋_GB2312" w:cs="仿宋_GB2312"/>
          <w:b w:val="0"/>
          <w:bCs/>
          <w:sz w:val="32"/>
          <w:szCs w:val="32"/>
        </w:rPr>
      </w:pPr>
      <w:r>
        <w:rPr>
          <w:rStyle w:val="17"/>
          <w:rFonts w:hint="eastAsia" w:ascii="仿宋_GB2312" w:hAnsi="仿宋_GB2312" w:eastAsia="仿宋_GB2312" w:cs="仿宋_GB2312"/>
          <w:b w:val="0"/>
          <w:bCs/>
          <w:sz w:val="32"/>
          <w:szCs w:val="32"/>
        </w:rPr>
        <w:t>③教育支出（205类）教育费附加安排的支出（09款）农村中小学校舍建设（01项）: 支出决算为222.11万元，完成预算100%。</w:t>
      </w:r>
    </w:p>
    <w:p>
      <w:pPr>
        <w:spacing w:line="600" w:lineRule="exact"/>
        <w:ind w:firstLine="640" w:firstLineChars="200"/>
        <w:rPr>
          <w:rFonts w:hint="eastAsia" w:ascii="仿宋_GB2312" w:hAnsi="仿宋_GB2312" w:eastAsia="仿宋_GB2312" w:cs="仿宋_GB2312"/>
          <w:bCs/>
          <w:sz w:val="32"/>
          <w:szCs w:val="32"/>
        </w:rPr>
      </w:pPr>
      <w:r>
        <w:rPr>
          <w:rStyle w:val="17"/>
          <w:rFonts w:hint="eastAsia" w:ascii="仿宋_GB2312" w:hAnsi="仿宋_GB2312" w:eastAsia="仿宋_GB2312" w:cs="仿宋_GB2312"/>
          <w:b w:val="0"/>
          <w:bCs/>
          <w:sz w:val="32"/>
          <w:szCs w:val="32"/>
        </w:rPr>
        <w:t>④教育支出（205类）教育费附加安排的支出（09款）农村中小学教学设施（02项）: 支出决算为249.79万元，完成预算100%。</w:t>
      </w:r>
    </w:p>
    <w:p>
      <w:pPr>
        <w:spacing w:line="600" w:lineRule="exact"/>
        <w:ind w:firstLine="643" w:firstLineChars="200"/>
        <w:rPr>
          <w:rFonts w:hint="eastAsia" w:ascii="仿宋_GB2312" w:hAnsi="仿宋_GB2312" w:eastAsia="仿宋_GB2312" w:cs="仿宋_GB2312"/>
          <w:b/>
          <w:sz w:val="32"/>
          <w:szCs w:val="32"/>
        </w:rPr>
      </w:pPr>
      <w:r>
        <w:rPr>
          <w:rStyle w:val="17"/>
          <w:rFonts w:hint="eastAsia" w:ascii="仿宋_GB2312" w:hAnsi="仿宋_GB2312" w:eastAsia="仿宋_GB2312" w:cs="仿宋_GB2312"/>
          <w:bCs/>
          <w:sz w:val="32"/>
          <w:szCs w:val="32"/>
        </w:rPr>
        <w:t>3.社会保障和就业支出（208类）:</w:t>
      </w:r>
      <w:r>
        <w:rPr>
          <w:rStyle w:val="17"/>
          <w:rFonts w:hint="eastAsia" w:ascii="仿宋_GB2312" w:hAnsi="仿宋_GB2312" w:eastAsia="仿宋_GB2312" w:cs="仿宋_GB2312"/>
          <w:b w:val="0"/>
          <w:bCs/>
          <w:sz w:val="32"/>
          <w:szCs w:val="32"/>
        </w:rPr>
        <w:t xml:space="preserve"> 支出决算为598.41万元，完成预算100%。</w:t>
      </w:r>
    </w:p>
    <w:p>
      <w:pPr>
        <w:spacing w:line="600" w:lineRule="exact"/>
        <w:ind w:firstLine="640" w:firstLineChars="200"/>
        <w:rPr>
          <w:rStyle w:val="17"/>
          <w:rFonts w:hint="eastAsia" w:ascii="仿宋_GB2312" w:hAnsi="仿宋_GB2312" w:eastAsia="仿宋_GB2312" w:cs="仿宋_GB2312"/>
          <w:bCs/>
        </w:rPr>
      </w:pPr>
      <w:r>
        <w:rPr>
          <w:rStyle w:val="17"/>
          <w:rFonts w:hint="eastAsia" w:ascii="仿宋_GB2312" w:hAnsi="仿宋_GB2312" w:eastAsia="仿宋_GB2312" w:cs="仿宋_GB2312"/>
          <w:b w:val="0"/>
          <w:bCs/>
          <w:sz w:val="32"/>
          <w:szCs w:val="32"/>
        </w:rPr>
        <w:t>①社会保障和就业支出（208类）行政事业单位养老支出（05款）事业单位离退休（02项）: 支出决算为39.02万元，完成预算100%。</w:t>
      </w:r>
    </w:p>
    <w:p>
      <w:pPr>
        <w:spacing w:line="600" w:lineRule="exact"/>
        <w:ind w:firstLine="640" w:firstLineChars="200"/>
        <w:rPr>
          <w:rStyle w:val="17"/>
          <w:rFonts w:hint="eastAsia" w:ascii="仿宋_GB2312" w:hAnsi="仿宋_GB2312" w:eastAsia="仿宋_GB2312" w:cs="仿宋_GB2312"/>
          <w:bCs/>
        </w:rPr>
      </w:pPr>
      <w:r>
        <w:rPr>
          <w:rStyle w:val="17"/>
          <w:rFonts w:hint="eastAsia" w:ascii="仿宋_GB2312" w:hAnsi="仿宋_GB2312" w:eastAsia="仿宋_GB2312" w:cs="仿宋_GB2312"/>
          <w:b w:val="0"/>
          <w:bCs/>
          <w:sz w:val="32"/>
          <w:szCs w:val="32"/>
        </w:rPr>
        <w:t>②社会保障和就业支出（208类）行政事业单位养老支出（05款）机关事业单位基本养老保险缴费支出（05项）: 支出决算为417.93万元，完成预算100%。</w:t>
      </w:r>
    </w:p>
    <w:p>
      <w:pPr>
        <w:spacing w:line="600" w:lineRule="exact"/>
        <w:ind w:firstLine="640" w:firstLineChars="200"/>
        <w:rPr>
          <w:rStyle w:val="17"/>
          <w:rFonts w:hint="eastAsia" w:ascii="仿宋_GB2312" w:hAnsi="仿宋_GB2312" w:eastAsia="仿宋_GB2312" w:cs="仿宋_GB2312"/>
          <w:bCs/>
        </w:rPr>
      </w:pPr>
      <w:r>
        <w:rPr>
          <w:rStyle w:val="17"/>
          <w:rFonts w:hint="eastAsia" w:ascii="仿宋_GB2312" w:hAnsi="仿宋_GB2312" w:eastAsia="仿宋_GB2312" w:cs="仿宋_GB2312"/>
          <w:b w:val="0"/>
          <w:bCs/>
          <w:sz w:val="32"/>
          <w:szCs w:val="32"/>
        </w:rPr>
        <w:t>③社会保障和就业支出（208类）行政事业单位养老支出（05款）机关事业单位职业年金缴费支出（06项）: 支出决算为141.46万元，完成预算100%。</w:t>
      </w:r>
    </w:p>
    <w:p>
      <w:pPr>
        <w:spacing w:line="600" w:lineRule="exact"/>
        <w:ind w:firstLine="643" w:firstLineChars="200"/>
        <w:rPr>
          <w:rFonts w:hint="eastAsia" w:ascii="仿宋_GB2312" w:hAnsi="仿宋_GB2312" w:eastAsia="仿宋_GB2312" w:cs="仿宋_GB2312"/>
          <w:b/>
          <w:sz w:val="32"/>
          <w:szCs w:val="32"/>
        </w:rPr>
      </w:pPr>
      <w:r>
        <w:rPr>
          <w:rStyle w:val="17"/>
          <w:rFonts w:hint="eastAsia" w:ascii="仿宋_GB2312" w:hAnsi="仿宋_GB2312" w:eastAsia="仿宋_GB2312" w:cs="仿宋_GB2312"/>
          <w:bCs/>
          <w:sz w:val="32"/>
          <w:szCs w:val="32"/>
        </w:rPr>
        <w:t>4.</w:t>
      </w:r>
      <w:r>
        <w:rPr>
          <w:rFonts w:hint="eastAsia" w:ascii="仿宋_GB2312" w:hAnsi="仿宋_GB2312" w:eastAsia="仿宋_GB2312" w:cs="仿宋_GB2312"/>
          <w:b/>
          <w:bCs/>
          <w:sz w:val="32"/>
          <w:szCs w:val="32"/>
        </w:rPr>
        <w:t>卫生健康支出</w:t>
      </w:r>
      <w:r>
        <w:rPr>
          <w:rStyle w:val="17"/>
          <w:rFonts w:hint="eastAsia" w:ascii="仿宋_GB2312" w:hAnsi="仿宋_GB2312" w:eastAsia="仿宋_GB2312" w:cs="仿宋_GB2312"/>
          <w:bCs/>
          <w:sz w:val="32"/>
          <w:szCs w:val="32"/>
        </w:rPr>
        <w:t>（210类）:</w:t>
      </w:r>
      <w:r>
        <w:rPr>
          <w:rStyle w:val="17"/>
          <w:rFonts w:hint="eastAsia" w:ascii="仿宋_GB2312" w:hAnsi="仿宋_GB2312" w:eastAsia="仿宋_GB2312" w:cs="仿宋_GB2312"/>
          <w:b w:val="0"/>
          <w:bCs/>
          <w:sz w:val="32"/>
          <w:szCs w:val="32"/>
        </w:rPr>
        <w:t>支出决算为331.56万元，完成预算100%。</w:t>
      </w:r>
    </w:p>
    <w:p>
      <w:pPr>
        <w:spacing w:line="600" w:lineRule="exact"/>
        <w:ind w:firstLine="640" w:firstLineChars="200"/>
        <w:rPr>
          <w:rStyle w:val="17"/>
          <w:rFonts w:hint="eastAsia" w:ascii="仿宋_GB2312" w:hAnsi="仿宋_GB2312" w:eastAsia="仿宋_GB2312" w:cs="仿宋_GB2312"/>
          <w:b w:val="0"/>
          <w:bCs/>
          <w:sz w:val="32"/>
          <w:szCs w:val="32"/>
        </w:rPr>
      </w:pPr>
      <w:r>
        <w:rPr>
          <w:rStyle w:val="17"/>
          <w:rFonts w:hint="eastAsia" w:ascii="仿宋_GB2312" w:hAnsi="仿宋_GB2312" w:eastAsia="仿宋_GB2312" w:cs="仿宋_GB2312"/>
          <w:b w:val="0"/>
          <w:bCs/>
          <w:sz w:val="32"/>
          <w:szCs w:val="32"/>
        </w:rPr>
        <w:t>①卫生健康支出（210类）行政事业单位医疗（11款）事业单位医疗（02项）:支出决算为199.67万元，完成预算100%。</w:t>
      </w:r>
    </w:p>
    <w:p>
      <w:pPr>
        <w:spacing w:line="600" w:lineRule="exact"/>
        <w:ind w:firstLine="640" w:firstLineChars="200"/>
        <w:rPr>
          <w:rFonts w:hint="eastAsia" w:ascii="仿宋_GB2312" w:hAnsi="仿宋_GB2312" w:eastAsia="仿宋_GB2312" w:cs="仿宋_GB2312"/>
          <w:bCs/>
          <w:sz w:val="32"/>
          <w:szCs w:val="32"/>
        </w:rPr>
      </w:pPr>
      <w:r>
        <w:rPr>
          <w:rStyle w:val="17"/>
          <w:rFonts w:hint="eastAsia" w:ascii="仿宋_GB2312" w:hAnsi="仿宋_GB2312" w:eastAsia="仿宋_GB2312" w:cs="仿宋_GB2312"/>
          <w:b w:val="0"/>
          <w:bCs/>
          <w:sz w:val="32"/>
          <w:szCs w:val="32"/>
        </w:rPr>
        <w:t>②卫生健康支出（210类）行政事业单位医疗（11款）其他行政事业单位医疗支出（99项）:支出决算为131.89万元，完成预算100%。</w:t>
      </w:r>
    </w:p>
    <w:p>
      <w:pPr>
        <w:spacing w:line="60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5.住房保障支出（221类）住房改革支出（02款）住房公积金（01项） ：</w:t>
      </w:r>
      <w:r>
        <w:rPr>
          <w:rStyle w:val="17"/>
          <w:rFonts w:hint="eastAsia" w:ascii="仿宋_GB2312" w:hAnsi="仿宋_GB2312" w:eastAsia="仿宋_GB2312" w:cs="仿宋_GB2312"/>
          <w:b w:val="0"/>
          <w:bCs/>
          <w:sz w:val="32"/>
          <w:szCs w:val="32"/>
        </w:rPr>
        <w:t>支出决算为309.69万元，完成预算100%。</w:t>
      </w:r>
    </w:p>
    <w:p>
      <w:pPr>
        <w:tabs>
          <w:tab w:val="right" w:pos="8306"/>
        </w:tabs>
        <w:spacing w:line="600" w:lineRule="exact"/>
        <w:ind w:firstLine="640"/>
        <w:outlineLvl w:val="1"/>
        <w:rPr>
          <w:rStyle w:val="28"/>
          <w:rFonts w:hint="default" w:ascii="Times New Roman" w:hAnsi="Times New Roman" w:cs="Times New Roman"/>
        </w:rPr>
      </w:pPr>
      <w:bookmarkStart w:id="34" w:name="_Toc15377214"/>
      <w:bookmarkStart w:id="35" w:name="_Toc15396608"/>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般公共预算财政拨款基本支出决算情况说明</w:t>
      </w:r>
      <w:bookmarkEnd w:id="34"/>
      <w:bookmarkEnd w:id="35"/>
      <w:r>
        <w:rPr>
          <w:rStyle w:val="28"/>
          <w:rFonts w:hint="default" w:ascii="Times New Roman" w:hAnsi="Times New Roman" w:eastAsia="黑体" w:cs="Times New Roman"/>
          <w:b w:val="0"/>
        </w:rPr>
        <w:tab/>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2023年度一般公共预算财政拨款基本支</w:t>
      </w:r>
      <w:r>
        <w:rPr>
          <w:rFonts w:hint="eastAsia" w:ascii="仿宋_GB2312" w:hAnsi="仿宋_GB2312" w:eastAsia="仿宋_GB2312" w:cs="仿宋_GB2312"/>
          <w:b w:val="0"/>
          <w:bCs/>
          <w:sz w:val="32"/>
          <w:szCs w:val="32"/>
        </w:rPr>
        <w:t>出4373.09万</w:t>
      </w:r>
      <w:r>
        <w:rPr>
          <w:rFonts w:hint="eastAsia" w:ascii="仿宋_GB2312" w:hAnsi="仿宋_GB2312" w:eastAsia="仿宋_GB2312" w:cs="仿宋_GB2312"/>
          <w:sz w:val="32"/>
          <w:szCs w:val="32"/>
        </w:rPr>
        <w:t>元，其中：</w:t>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人员经费</w:t>
      </w:r>
      <w:r>
        <w:rPr>
          <w:rFonts w:hint="eastAsia" w:ascii="仿宋_GB2312" w:hAnsi="仿宋_GB2312" w:eastAsia="仿宋_GB2312" w:cs="仿宋_GB2312"/>
          <w:b w:val="0"/>
          <w:bCs/>
          <w:sz w:val="32"/>
          <w:szCs w:val="32"/>
        </w:rPr>
        <w:t>4073.73</w:t>
      </w:r>
      <w:r>
        <w:rPr>
          <w:rFonts w:hint="eastAsia" w:ascii="仿宋_GB2312" w:hAnsi="仿宋_GB2312" w:eastAsia="仿宋_GB2312" w:cs="仿宋_GB2312"/>
          <w:sz w:val="32"/>
          <w:szCs w:val="32"/>
        </w:rPr>
        <w:t>万元，主要包括：基本工资、津贴补贴、绩效工资、机关事业单位基本养老保险缴费、职业年金缴费、职工基本医疗保险缴费、公务员医疗补助缴费、其他社会保障缴费、住房公积金、医疗费、其他工资福利支出、生活补助、医疗费补助、助学金、奖励金等。</w:t>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公用经</w:t>
      </w:r>
      <w:r>
        <w:rPr>
          <w:rFonts w:hint="eastAsia" w:ascii="仿宋_GB2312" w:hAnsi="仿宋_GB2312" w:eastAsia="仿宋_GB2312" w:cs="仿宋_GB2312"/>
          <w:b w:val="0"/>
          <w:bCs/>
          <w:sz w:val="32"/>
          <w:szCs w:val="32"/>
        </w:rPr>
        <w:t>费299.36万</w:t>
      </w:r>
      <w:r>
        <w:rPr>
          <w:rFonts w:hint="eastAsia" w:ascii="仿宋_GB2312" w:hAnsi="仿宋_GB2312" w:eastAsia="仿宋_GB2312" w:cs="仿宋_GB2312"/>
          <w:sz w:val="32"/>
          <w:szCs w:val="32"/>
        </w:rPr>
        <w:t>元，主要包括：办公费、印刷费、咨询费、水费、电费、邮电费、物业管理费、差旅费、维修（护）费、租赁费、培训费、劳务费、工会经费、福利费、公务用车运行维护费、其他交通费用、其他商品和服务支出、房屋建筑物购建、办公设备购置等。</w:t>
      </w:r>
    </w:p>
    <w:p>
      <w:pPr>
        <w:spacing w:line="600" w:lineRule="exact"/>
        <w:ind w:firstLine="640"/>
        <w:outlineLvl w:val="1"/>
        <w:rPr>
          <w:rStyle w:val="28"/>
          <w:rFonts w:hint="default" w:ascii="Times New Roman" w:hAnsi="Times New Roman" w:eastAsia="黑体" w:cs="Times New Roman"/>
          <w:b w:val="0"/>
        </w:rPr>
      </w:pPr>
      <w:bookmarkStart w:id="36" w:name="_Toc15396609"/>
      <w:bookmarkStart w:id="37" w:name="_Toc15377215"/>
      <w:r>
        <w:rPr>
          <w:rFonts w:hint="default" w:ascii="Times New Roman" w:hAnsi="Times New Roman" w:eastAsia="黑体" w:cs="Times New Roman"/>
          <w:sz w:val="32"/>
          <w:szCs w:val="32"/>
        </w:rPr>
        <w:t>七、</w:t>
      </w:r>
      <w:r>
        <w:rPr>
          <w:rStyle w:val="28"/>
          <w:rFonts w:hint="default" w:ascii="Times New Roman" w:hAnsi="Times New Roman" w:eastAsia="黑体" w:cs="Times New Roman"/>
          <w:b w:val="0"/>
        </w:rPr>
        <w:t>财政拨款</w:t>
      </w:r>
      <w:r>
        <w:rPr>
          <w:rStyle w:val="28"/>
          <w:rFonts w:hint="default" w:ascii="Times New Roman" w:hAnsi="Times New Roman" w:eastAsia="黑体" w:cs="Times New Roman"/>
        </w:rPr>
        <w:t>“</w:t>
      </w:r>
      <w:r>
        <w:rPr>
          <w:rStyle w:val="28"/>
          <w:rFonts w:hint="default" w:ascii="Times New Roman" w:hAnsi="Times New Roman" w:eastAsia="黑体" w:cs="Times New Roman"/>
          <w:b w:val="0"/>
        </w:rPr>
        <w:t>三公”经费支出决算情况说明</w:t>
      </w:r>
      <w:bookmarkEnd w:id="36"/>
      <w:bookmarkEnd w:id="37"/>
    </w:p>
    <w:p>
      <w:pPr>
        <w:spacing w:line="600" w:lineRule="exact"/>
        <w:ind w:firstLine="640"/>
        <w:outlineLvl w:val="2"/>
        <w:rPr>
          <w:rFonts w:hint="eastAsia" w:ascii="楷体_GB2312" w:hAnsi="楷体_GB2312" w:eastAsia="楷体_GB2312" w:cs="楷体_GB2312"/>
          <w:b w:val="0"/>
          <w:bCs/>
          <w:sz w:val="32"/>
          <w:szCs w:val="32"/>
          <w:lang w:eastAsia="zh-CN"/>
        </w:rPr>
      </w:pPr>
      <w:bookmarkStart w:id="38" w:name="_Toc15377216"/>
      <w:r>
        <w:rPr>
          <w:rFonts w:hint="eastAsia" w:ascii="楷体_GB2312" w:hAnsi="楷体_GB2312" w:eastAsia="楷体_GB2312" w:cs="楷体_GB2312"/>
          <w:b w:val="0"/>
          <w:bCs/>
          <w:sz w:val="32"/>
          <w:szCs w:val="32"/>
        </w:rPr>
        <w:t>（一）“三公”经费财政拨款支出决算总体情况说明</w:t>
      </w:r>
      <w:bookmarkEnd w:id="38"/>
      <w:r>
        <w:rPr>
          <w:rFonts w:hint="eastAsia" w:ascii="楷体_GB2312" w:hAnsi="楷体_GB2312" w:eastAsia="楷体_GB2312" w:cs="楷体_GB2312"/>
          <w:b w:val="0"/>
          <w:bCs/>
          <w:sz w:val="32"/>
          <w:szCs w:val="32"/>
          <w:lang w:eastAsia="zh-CN"/>
        </w:rPr>
        <w:t>。</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2023年度“三公”经费财政拨款支出决算为</w:t>
      </w:r>
      <w:r>
        <w:rPr>
          <w:rFonts w:hint="eastAsia" w:ascii="仿宋_GB2312" w:hAnsi="仿宋_GB2312" w:eastAsia="仿宋_GB2312" w:cs="仿宋_GB2312"/>
          <w:b w:val="0"/>
          <w:bCs/>
          <w:sz w:val="32"/>
          <w:szCs w:val="32"/>
        </w:rPr>
        <w:t>2.15万</w:t>
      </w:r>
      <w:r>
        <w:rPr>
          <w:rFonts w:hint="eastAsia" w:ascii="仿宋_GB2312" w:hAnsi="仿宋_GB2312" w:eastAsia="仿宋_GB2312" w:cs="仿宋_GB2312"/>
          <w:sz w:val="32"/>
          <w:szCs w:val="32"/>
        </w:rPr>
        <w:t>元，完成预算</w:t>
      </w:r>
      <w:r>
        <w:rPr>
          <w:rFonts w:hint="eastAsia" w:ascii="仿宋_GB2312" w:hAnsi="仿宋_GB2312" w:eastAsia="仿宋_GB2312" w:cs="仿宋_GB2312"/>
          <w:b w:val="0"/>
          <w:bCs/>
          <w:sz w:val="32"/>
          <w:szCs w:val="32"/>
        </w:rPr>
        <w:t>100%，较</w:t>
      </w:r>
      <w:r>
        <w:rPr>
          <w:rFonts w:hint="eastAsia" w:ascii="仿宋_GB2312" w:hAnsi="仿宋_GB2312" w:eastAsia="仿宋_GB2312" w:cs="仿宋_GB2312"/>
          <w:sz w:val="32"/>
          <w:szCs w:val="32"/>
        </w:rPr>
        <w:t>上年度减</w:t>
      </w:r>
      <w:r>
        <w:rPr>
          <w:rFonts w:hint="eastAsia" w:ascii="仿宋_GB2312" w:hAnsi="仿宋_GB2312" w:eastAsia="仿宋_GB2312" w:cs="仿宋_GB2312"/>
          <w:b w:val="0"/>
          <w:bCs/>
          <w:sz w:val="32"/>
          <w:szCs w:val="32"/>
        </w:rPr>
        <w:t>少22.89万元，下降91.43%。决</w:t>
      </w:r>
      <w:r>
        <w:rPr>
          <w:rFonts w:hint="eastAsia" w:ascii="仿宋_GB2312" w:hAnsi="仿宋_GB2312" w:eastAsia="仿宋_GB2312" w:cs="仿宋_GB2312"/>
          <w:sz w:val="32"/>
          <w:szCs w:val="32"/>
        </w:rPr>
        <w:t>算数小于预算数的主要原因是节约开支，压减“三公”经费。</w:t>
      </w:r>
    </w:p>
    <w:p>
      <w:pPr>
        <w:spacing w:line="600" w:lineRule="exact"/>
        <w:ind w:firstLine="640"/>
        <w:outlineLvl w:val="2"/>
        <w:rPr>
          <w:rFonts w:hint="eastAsia" w:ascii="楷体_GB2312" w:hAnsi="楷体_GB2312" w:eastAsia="楷体_GB2312" w:cs="楷体_GB2312"/>
          <w:b w:val="0"/>
          <w:bCs/>
          <w:sz w:val="32"/>
          <w:szCs w:val="32"/>
          <w:lang w:eastAsia="zh-CN"/>
        </w:rPr>
      </w:pPr>
      <w:bookmarkStart w:id="39" w:name="_Toc15377217"/>
      <w:r>
        <w:rPr>
          <w:rFonts w:hint="eastAsia" w:ascii="楷体_GB2312" w:hAnsi="楷体_GB2312" w:eastAsia="楷体_GB2312" w:cs="楷体_GB2312"/>
          <w:b w:val="0"/>
          <w:bCs/>
          <w:sz w:val="32"/>
          <w:szCs w:val="32"/>
        </w:rPr>
        <w:t>（二）“三公”经费财政拨款支出决算具体情况说明</w:t>
      </w:r>
      <w:bookmarkEnd w:id="39"/>
      <w:r>
        <w:rPr>
          <w:rFonts w:hint="eastAsia" w:ascii="楷体_GB2312" w:hAnsi="楷体_GB2312" w:eastAsia="楷体_GB2312" w:cs="楷体_GB2312"/>
          <w:b w:val="0"/>
          <w:bCs/>
          <w:sz w:val="32"/>
          <w:szCs w:val="32"/>
          <w:lang w:eastAsia="zh-CN"/>
        </w:rPr>
        <w:t>。</w:t>
      </w:r>
    </w:p>
    <w:p>
      <w:pPr>
        <w:spacing w:line="600" w:lineRule="exact"/>
        <w:ind w:firstLine="640"/>
        <w:rPr>
          <w:rFonts w:hint="default" w:ascii="Times New Roman" w:hAnsi="Times New Roman" w:eastAsia="仿宋" w:cs="Times New Roman"/>
          <w:sz w:val="32"/>
          <w:szCs w:val="32"/>
        </w:rPr>
      </w:pPr>
      <w:r>
        <w:rPr>
          <w:rFonts w:hint="eastAsia" w:ascii="仿宋_GB2312" w:hAnsi="仿宋_GB2312" w:eastAsia="仿宋_GB2312" w:cs="仿宋_GB2312"/>
          <w:sz w:val="32"/>
          <w:szCs w:val="32"/>
        </w:rPr>
        <w:t>2023年度“三公”经费财政拨款支出决算中，因公出国（境）费支出</w:t>
      </w:r>
      <w:r>
        <w:rPr>
          <w:rFonts w:hint="eastAsia" w:ascii="仿宋_GB2312" w:hAnsi="仿宋_GB2312" w:eastAsia="仿宋_GB2312" w:cs="仿宋_GB2312"/>
          <w:b w:val="0"/>
          <w:bCs/>
          <w:sz w:val="32"/>
          <w:szCs w:val="32"/>
        </w:rPr>
        <w:t>决算0万元，占0%；公务用车购置及运行维护费支出决算2.15万元，占100%；公务接待费支出决算0万元，占0%。具体情况如下：</w:t>
      </w:r>
    </w:p>
    <w:p>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953000" cy="2735580"/>
            <wp:effectExtent l="0" t="0" r="19050" b="2667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图7：“三公”经费财政拨款支出结构（万元）</w:t>
      </w:r>
    </w:p>
    <w:p>
      <w:pPr>
        <w:spacing w:line="600" w:lineRule="exact"/>
        <w:ind w:firstLine="640"/>
        <w:rPr>
          <w:rFonts w:hint="eastAsia" w:ascii="仿宋_GB2312" w:hAnsi="仿宋_GB2312" w:eastAsia="仿宋_GB2312" w:cs="仿宋_GB2312"/>
          <w:sz w:val="32"/>
          <w:szCs w:val="32"/>
        </w:rPr>
      </w:pPr>
      <w:bookmarkStart w:id="40" w:name="_Toc15377218"/>
      <w:bookmarkStart w:id="41" w:name="_Toc15396610"/>
      <w:r>
        <w:rPr>
          <w:rFonts w:hint="eastAsia" w:ascii="仿宋_GB2312" w:hAnsi="仿宋_GB2312" w:eastAsia="仿宋_GB2312" w:cs="仿宋_GB2312"/>
          <w:b/>
          <w:sz w:val="32"/>
          <w:szCs w:val="32"/>
        </w:rPr>
        <w:t>1.因公出国（境）经费支出0</w:t>
      </w:r>
      <w:r>
        <w:rPr>
          <w:rFonts w:hint="eastAsia" w:ascii="仿宋_GB2312" w:hAnsi="仿宋_GB2312" w:eastAsia="仿宋_GB2312" w:cs="仿宋_GB2312"/>
          <w:sz w:val="32"/>
          <w:szCs w:val="32"/>
        </w:rPr>
        <w:t>万元，</w:t>
      </w:r>
      <w:r>
        <w:rPr>
          <w:rStyle w:val="17"/>
          <w:rFonts w:hint="eastAsia" w:ascii="仿宋_GB2312" w:hAnsi="仿宋_GB2312" w:eastAsia="仿宋_GB2312" w:cs="仿宋_GB2312"/>
          <w:b w:val="0"/>
          <w:bCs/>
          <w:sz w:val="32"/>
          <w:szCs w:val="32"/>
        </w:rPr>
        <w:t>完成预算</w:t>
      </w:r>
      <w:r>
        <w:rPr>
          <w:rStyle w:val="17"/>
          <w:rFonts w:hint="eastAsia" w:ascii="仿宋_GB2312" w:hAnsi="仿宋_GB2312" w:eastAsia="仿宋_GB2312" w:cs="仿宋_GB2312"/>
          <w:bCs/>
          <w:sz w:val="32"/>
          <w:szCs w:val="32"/>
        </w:rPr>
        <w:t>0</w:t>
      </w:r>
      <w:r>
        <w:rPr>
          <w:rStyle w:val="17"/>
          <w:rFonts w:hint="eastAsia" w:ascii="仿宋_GB2312" w:hAnsi="仿宋_GB2312" w:eastAsia="仿宋_GB2312" w:cs="仿宋_GB2312"/>
          <w:b w:val="0"/>
          <w:bCs/>
          <w:sz w:val="32"/>
          <w:szCs w:val="32"/>
        </w:rPr>
        <w:t>%。</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2.公务用车购置及运行维护费支出2.15</w:t>
      </w:r>
      <w:r>
        <w:rPr>
          <w:rFonts w:hint="eastAsia" w:ascii="仿宋_GB2312" w:hAnsi="仿宋_GB2312" w:eastAsia="仿宋_GB2312" w:cs="仿宋_GB2312"/>
          <w:sz w:val="32"/>
          <w:szCs w:val="32"/>
        </w:rPr>
        <w:t>万元,</w:t>
      </w:r>
      <w:r>
        <w:rPr>
          <w:rStyle w:val="17"/>
          <w:rFonts w:hint="eastAsia" w:ascii="仿宋_GB2312" w:hAnsi="仿宋_GB2312" w:eastAsia="仿宋_GB2312" w:cs="仿宋_GB2312"/>
          <w:b w:val="0"/>
          <w:bCs/>
          <w:sz w:val="32"/>
          <w:szCs w:val="32"/>
        </w:rPr>
        <w:t>完成预算</w:t>
      </w:r>
      <w:r>
        <w:rPr>
          <w:rStyle w:val="17"/>
          <w:rFonts w:hint="eastAsia" w:ascii="仿宋_GB2312" w:hAnsi="仿宋_GB2312" w:eastAsia="仿宋_GB2312" w:cs="仿宋_GB2312"/>
          <w:bCs/>
          <w:sz w:val="32"/>
          <w:szCs w:val="32"/>
        </w:rPr>
        <w:t>100</w:t>
      </w:r>
      <w:r>
        <w:rPr>
          <w:rStyle w:val="17"/>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rPr>
        <w:t>公务用车购置及运行维护费支出决算比2022年度减少22.72万元，下降91.37%。主要原因是节约开支，压减“三公”经费。</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sz w:val="32"/>
          <w:szCs w:val="32"/>
        </w:rPr>
        <w:t>公务用车购置支出0</w:t>
      </w:r>
      <w:r>
        <w:rPr>
          <w:rFonts w:hint="eastAsia" w:ascii="仿宋_GB2312" w:hAnsi="仿宋_GB2312" w:eastAsia="仿宋_GB2312" w:cs="仿宋_GB2312"/>
          <w:sz w:val="32"/>
          <w:szCs w:val="32"/>
        </w:rPr>
        <w:t>万元。截至2023年12月31日，单位共有公务用车1辆，其中：轿车0辆、越野车0辆、载客汽车1辆。</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公务用车运行维护费支出2.15</w:t>
      </w:r>
      <w:r>
        <w:rPr>
          <w:rFonts w:hint="eastAsia" w:ascii="仿宋_GB2312" w:hAnsi="仿宋_GB2312" w:eastAsia="仿宋_GB2312" w:cs="仿宋_GB2312"/>
          <w:sz w:val="32"/>
          <w:szCs w:val="32"/>
        </w:rPr>
        <w:t>万元。主要用于学校教学研究、学生家访等所需的公务用车燃料费、维修费、过路过桥费、保险费等支出。</w:t>
      </w:r>
    </w:p>
    <w:p>
      <w:pPr>
        <w:spacing w:line="600" w:lineRule="exact"/>
        <w:ind w:firstLine="640"/>
        <w:rPr>
          <w:rStyle w:val="17"/>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3.公务接待费支出0</w:t>
      </w:r>
      <w:r>
        <w:rPr>
          <w:rFonts w:hint="eastAsia" w:ascii="仿宋_GB2312" w:hAnsi="仿宋_GB2312" w:eastAsia="仿宋_GB2312" w:cs="仿宋_GB2312"/>
          <w:sz w:val="32"/>
          <w:szCs w:val="32"/>
        </w:rPr>
        <w:t>万元，</w:t>
      </w:r>
      <w:r>
        <w:rPr>
          <w:rStyle w:val="17"/>
          <w:rFonts w:hint="eastAsia" w:ascii="仿宋_GB2312" w:hAnsi="仿宋_GB2312" w:eastAsia="仿宋_GB2312" w:cs="仿宋_GB2312"/>
          <w:b w:val="0"/>
          <w:bCs/>
          <w:sz w:val="32"/>
          <w:szCs w:val="32"/>
        </w:rPr>
        <w:t>完成预算0%。</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国内公务接待支出0</w:t>
      </w:r>
      <w:r>
        <w:rPr>
          <w:rFonts w:hint="eastAsia" w:ascii="仿宋_GB2312" w:hAnsi="仿宋_GB2312" w:eastAsia="仿宋_GB2312" w:cs="仿宋_GB2312"/>
          <w:sz w:val="32"/>
          <w:szCs w:val="32"/>
        </w:rPr>
        <w:t>万元。</w:t>
      </w:r>
    </w:p>
    <w:p>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外事接待支出0</w:t>
      </w:r>
      <w:r>
        <w:rPr>
          <w:rFonts w:hint="eastAsia" w:ascii="仿宋_GB2312" w:hAnsi="仿宋_GB2312" w:eastAsia="仿宋_GB2312" w:cs="仿宋_GB2312"/>
          <w:sz w:val="32"/>
          <w:szCs w:val="32"/>
        </w:rPr>
        <w:t>万元。</w:t>
      </w:r>
    </w:p>
    <w:p>
      <w:pPr>
        <w:spacing w:line="600" w:lineRule="exact"/>
        <w:ind w:firstLine="640"/>
        <w:outlineLvl w:val="1"/>
        <w:rPr>
          <w:rStyle w:val="28"/>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8"/>
          <w:rFonts w:hint="default" w:ascii="Times New Roman" w:hAnsi="Times New Roman" w:eastAsia="黑体" w:cs="Times New Roman"/>
          <w:b w:val="0"/>
        </w:rPr>
        <w:t>政府性基金预算支出决算情况说明</w:t>
      </w:r>
      <w:bookmarkEnd w:id="40"/>
      <w:bookmarkEnd w:id="41"/>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2023年度政府性基金预算财政拨款支出</w:t>
      </w:r>
      <w:r>
        <w:rPr>
          <w:rFonts w:hint="default" w:ascii="Times New Roman" w:hAnsi="Times New Roman" w:eastAsia="仿宋" w:cs="Times New Roman"/>
          <w:b/>
          <w:sz w:val="32"/>
          <w:szCs w:val="32"/>
        </w:rPr>
        <w:t>0</w:t>
      </w:r>
      <w:r>
        <w:rPr>
          <w:rFonts w:hint="default" w:ascii="Times New Roman" w:hAnsi="Times New Roman" w:eastAsia="仿宋_GB2312" w:cs="Times New Roman"/>
          <w:sz w:val="32"/>
          <w:szCs w:val="32"/>
        </w:rPr>
        <w:t>万元。</w:t>
      </w:r>
    </w:p>
    <w:p>
      <w:pPr>
        <w:numPr>
          <w:ilvl w:val="0"/>
          <w:numId w:val="2"/>
        </w:numPr>
        <w:spacing w:line="600" w:lineRule="exact"/>
        <w:ind w:firstLine="640"/>
        <w:outlineLvl w:val="1"/>
        <w:rPr>
          <w:rStyle w:val="28"/>
          <w:rFonts w:hint="default" w:ascii="Times New Roman" w:hAnsi="Times New Roman" w:eastAsia="黑体" w:cs="Times New Roman"/>
          <w:b w:val="0"/>
        </w:rPr>
      </w:pPr>
      <w:bookmarkStart w:id="42" w:name="_Toc15377219"/>
      <w:bookmarkStart w:id="43" w:name="_Toc15396611"/>
      <w:r>
        <w:rPr>
          <w:rStyle w:val="28"/>
          <w:rFonts w:hint="default" w:ascii="Times New Roman" w:hAnsi="Times New Roman" w:eastAsia="黑体" w:cs="Times New Roman"/>
          <w:b w:val="0"/>
        </w:rPr>
        <w:t>国有资本经营预算支出决算情况说明</w:t>
      </w:r>
      <w:bookmarkEnd w:id="42"/>
      <w:bookmarkEnd w:id="43"/>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2023年度国有资本经营预算财政拨款支出</w:t>
      </w:r>
      <w:r>
        <w:rPr>
          <w:rFonts w:hint="default" w:ascii="Times New Roman" w:hAnsi="Times New Roman" w:eastAsia="仿宋" w:cs="Times New Roman"/>
          <w:b/>
          <w:sz w:val="32"/>
          <w:szCs w:val="32"/>
        </w:rPr>
        <w:t>0</w:t>
      </w:r>
      <w:r>
        <w:rPr>
          <w:rFonts w:hint="default" w:ascii="Times New Roman" w:hAnsi="Times New Roman" w:eastAsia="仿宋_GB2312" w:cs="Times New Roman"/>
          <w:sz w:val="32"/>
          <w:szCs w:val="32"/>
        </w:rPr>
        <w:t>万元。</w:t>
      </w:r>
    </w:p>
    <w:p>
      <w:pPr>
        <w:numPr>
          <w:ilvl w:val="0"/>
          <w:numId w:val="2"/>
        </w:numPr>
        <w:spacing w:line="600" w:lineRule="exact"/>
        <w:ind w:firstLine="640"/>
        <w:outlineLvl w:val="1"/>
        <w:rPr>
          <w:rStyle w:val="28"/>
          <w:rFonts w:hint="default" w:ascii="Times New Roman" w:hAnsi="Times New Roman" w:eastAsia="黑体" w:cs="Times New Roman"/>
          <w:b w:val="0"/>
        </w:rPr>
      </w:pPr>
      <w:bookmarkStart w:id="44" w:name="_Toc15377221"/>
      <w:bookmarkStart w:id="45" w:name="_Toc15396612"/>
      <w:r>
        <w:rPr>
          <w:rStyle w:val="28"/>
          <w:rFonts w:hint="default" w:ascii="Times New Roman" w:hAnsi="Times New Roman" w:eastAsia="黑体" w:cs="Times New Roman"/>
          <w:b w:val="0"/>
        </w:rPr>
        <w:t>其他重要事项的情况说明</w:t>
      </w:r>
      <w:bookmarkEnd w:id="44"/>
      <w:bookmarkEnd w:id="45"/>
    </w:p>
    <w:p>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46" w:name="_Toc15377222"/>
      <w:r>
        <w:rPr>
          <w:rFonts w:hint="eastAsia" w:ascii="楷体_GB2312" w:hAnsi="楷体_GB2312" w:eastAsia="楷体_GB2312" w:cs="楷体_GB2312"/>
          <w:b w:val="0"/>
          <w:bCs/>
          <w:sz w:val="32"/>
          <w:szCs w:val="32"/>
        </w:rPr>
        <w:t>（一）机关运行经费支出情况</w:t>
      </w:r>
      <w:bookmarkEnd w:id="46"/>
      <w:r>
        <w:rPr>
          <w:rFonts w:hint="eastAsia" w:ascii="楷体_GB2312" w:hAnsi="楷体_GB2312" w:eastAsia="楷体_GB2312" w:cs="楷体_GB2312"/>
          <w:b w:val="0"/>
          <w:bCs/>
          <w:sz w:val="32"/>
          <w:szCs w:val="32"/>
          <w:lang w:eastAsia="zh-CN"/>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2023年度，盐边县中学校机关运行经费支出0万元，与2022年度决算数持平。</w:t>
      </w:r>
    </w:p>
    <w:p>
      <w:pPr>
        <w:autoSpaceDE w:val="0"/>
        <w:autoSpaceDN w:val="0"/>
        <w:adjustRightInd w:val="0"/>
        <w:spacing w:line="600" w:lineRule="exact"/>
        <w:ind w:firstLine="640" w:firstLineChars="200"/>
        <w:jc w:val="left"/>
        <w:outlineLvl w:val="2"/>
        <w:rPr>
          <w:rFonts w:hint="eastAsia" w:ascii="楷体_GB2312" w:hAnsi="楷体_GB2312" w:eastAsia="楷体_GB2312" w:cs="楷体_GB2312"/>
          <w:b w:val="0"/>
          <w:bCs/>
          <w:sz w:val="32"/>
          <w:szCs w:val="32"/>
          <w:lang w:eastAsia="zh-CN"/>
        </w:rPr>
      </w:pPr>
      <w:bookmarkStart w:id="47" w:name="_Toc15377223"/>
      <w:r>
        <w:rPr>
          <w:rFonts w:hint="eastAsia" w:ascii="楷体_GB2312" w:hAnsi="楷体_GB2312" w:eastAsia="楷体_GB2312" w:cs="楷体_GB2312"/>
          <w:b w:val="0"/>
          <w:bCs/>
          <w:sz w:val="32"/>
          <w:szCs w:val="32"/>
        </w:rPr>
        <w:t>（二）政府采购支出情况</w:t>
      </w:r>
      <w:bookmarkEnd w:id="47"/>
      <w:r>
        <w:rPr>
          <w:rFonts w:hint="eastAsia" w:ascii="楷体_GB2312" w:hAnsi="楷体_GB2312" w:eastAsia="楷体_GB2312" w:cs="楷体_GB2312"/>
          <w:b w:val="0"/>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val="0"/>
          <w:bCs/>
          <w:sz w:val="32"/>
          <w:szCs w:val="32"/>
        </w:rPr>
        <w:t>023年度，盐边县中学校政府采购支出总额437.53万元，其中：政府采购货物支出167.56万元、政府采购工程支出269.97万元、政府采购服务支出0万元。主要用于采购高考标准化考点UPS不间断电源11.46万元、采购高考标准化考点升级改造设施设备68.38万元、采购学生宿舍专用公寓床（多功能组合）84.92万元、采购教师公共租赁住房空调2.8万元以及学生宿舍维修改造工程269.97万元。授予中小企业合同金额437.53万元，占政府采购支出总额的100%，其中：授予小微企业合同金额437.</w:t>
      </w:r>
      <w:r>
        <w:rPr>
          <w:rFonts w:hint="eastAsia" w:ascii="仿宋_GB2312" w:hAnsi="仿宋_GB2312" w:eastAsia="仿宋_GB2312" w:cs="仿宋_GB2312"/>
          <w:sz w:val="32"/>
          <w:szCs w:val="32"/>
        </w:rPr>
        <w:t>53万元，占政府采购支出总额的100%。</w:t>
      </w:r>
    </w:p>
    <w:p>
      <w:pPr>
        <w:autoSpaceDE w:val="0"/>
        <w:autoSpaceDN w:val="0"/>
        <w:adjustRightInd w:val="0"/>
        <w:spacing w:line="600" w:lineRule="exact"/>
        <w:ind w:firstLine="640" w:firstLineChars="200"/>
        <w:jc w:val="left"/>
        <w:outlineLvl w:val="2"/>
        <w:rPr>
          <w:rFonts w:hint="eastAsia" w:ascii="楷体_GB2312" w:hAnsi="楷体_GB2312" w:eastAsia="楷体_GB2312" w:cs="楷体_GB2312"/>
          <w:b w:val="0"/>
          <w:bCs/>
          <w:sz w:val="32"/>
          <w:szCs w:val="32"/>
          <w:lang w:eastAsia="zh-CN"/>
        </w:rPr>
      </w:pPr>
      <w:bookmarkStart w:id="48" w:name="_Toc15377224"/>
      <w:r>
        <w:rPr>
          <w:rFonts w:hint="eastAsia" w:ascii="楷体_GB2312" w:hAnsi="楷体_GB2312" w:eastAsia="楷体_GB2312" w:cs="楷体_GB2312"/>
          <w:b w:val="0"/>
          <w:bCs/>
          <w:sz w:val="32"/>
          <w:szCs w:val="32"/>
        </w:rPr>
        <w:t>（三）国有资产占有使用情况</w:t>
      </w:r>
      <w:bookmarkEnd w:id="48"/>
      <w:r>
        <w:rPr>
          <w:rFonts w:hint="eastAsia" w:ascii="楷体_GB2312" w:hAnsi="楷体_GB2312" w:eastAsia="楷体_GB2312" w:cs="楷体_GB2312"/>
          <w:b w:val="0"/>
          <w:bCs/>
          <w:sz w:val="32"/>
          <w:szCs w:val="32"/>
          <w:lang w:eastAsia="zh-CN"/>
        </w:rPr>
        <w:t>。</w:t>
      </w:r>
    </w:p>
    <w:p>
      <w:pPr>
        <w:autoSpaceDE w:val="0"/>
        <w:autoSpaceDN w:val="0"/>
        <w:adjustRightInd w:val="0"/>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截至2023年12月31日，盐边县中学校共有车</w:t>
      </w:r>
      <w:r>
        <w:rPr>
          <w:rFonts w:hint="eastAsia" w:ascii="仿宋_GB2312" w:hAnsi="仿宋_GB2312" w:eastAsia="仿宋_GB2312" w:cs="仿宋_GB2312"/>
          <w:b w:val="0"/>
          <w:bCs/>
          <w:sz w:val="32"/>
          <w:szCs w:val="32"/>
        </w:rPr>
        <w:t>辆1辆</w:t>
      </w:r>
      <w:r>
        <w:rPr>
          <w:rFonts w:hint="eastAsia" w:ascii="仿宋_GB2312" w:hAnsi="仿宋_GB2312" w:eastAsia="仿宋_GB2312" w:cs="仿宋_GB2312"/>
          <w:sz w:val="32"/>
          <w:szCs w:val="32"/>
        </w:rPr>
        <w:t>，其中：主要领导干部用车0辆、机要通信用车0辆、应急保障</w:t>
      </w:r>
      <w:r>
        <w:rPr>
          <w:rFonts w:hint="eastAsia" w:ascii="仿宋_GB2312" w:hAnsi="仿宋_GB2312" w:eastAsia="仿宋_GB2312" w:cs="仿宋_GB2312"/>
          <w:b w:val="0"/>
          <w:bCs/>
          <w:sz w:val="32"/>
          <w:szCs w:val="32"/>
        </w:rPr>
        <w:t>用车</w:t>
      </w:r>
      <w:r>
        <w:rPr>
          <w:rFonts w:hint="eastAsia" w:ascii="仿宋_GB2312" w:hAnsi="仿宋_GB2312" w:eastAsia="仿宋_GB2312" w:cs="仿宋_GB2312"/>
          <w:sz w:val="32"/>
          <w:szCs w:val="32"/>
        </w:rPr>
        <w:t>0辆、其他用车1辆，其他用车主要是用于学校教学研究、学生家访等。单价100万元以上设备</w:t>
      </w:r>
      <w:r>
        <w:rPr>
          <w:rFonts w:hint="eastAsia" w:ascii="仿宋_GB2312" w:hAnsi="仿宋_GB2312" w:eastAsia="仿宋_GB2312" w:cs="仿宋_GB2312"/>
          <w:b w:val="0"/>
          <w:bCs/>
          <w:sz w:val="32"/>
          <w:szCs w:val="32"/>
        </w:rPr>
        <w:t>1台</w:t>
      </w:r>
      <w:r>
        <w:rPr>
          <w:rFonts w:hint="eastAsia" w:ascii="仿宋_GB2312" w:hAnsi="仿宋_GB2312" w:eastAsia="仿宋_GB2312" w:cs="仿宋_GB2312"/>
          <w:sz w:val="32"/>
          <w:szCs w:val="32"/>
        </w:rPr>
        <w:t>。</w:t>
      </w:r>
    </w:p>
    <w:p>
      <w:pPr>
        <w:autoSpaceDE w:val="0"/>
        <w:autoSpaceDN w:val="0"/>
        <w:adjustRightInd w:val="0"/>
        <w:spacing w:line="600" w:lineRule="exact"/>
        <w:ind w:firstLine="640" w:firstLineChars="200"/>
        <w:jc w:val="left"/>
        <w:outlineLvl w:val="2"/>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（四）预算绩效管理情况</w:t>
      </w:r>
      <w:r>
        <w:rPr>
          <w:rFonts w:hint="eastAsia" w:ascii="楷体_GB2312" w:hAnsi="楷体_GB2312" w:eastAsia="楷体_GB2312" w:cs="楷体_GB2312"/>
          <w:sz w:val="32"/>
          <w:szCs w:val="32"/>
          <w:lang w:eastAsia="zh-CN"/>
        </w:rPr>
        <w:t>。</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2023年度预算编制阶段，组织对盐边县中学校新建初中部教学楼工程、运动场改造工程、“十三五”节约型公共机构示范单位奖补资金、盐边县中学校发展资金、高考标准化考场升级改造项目、学生宿舍维修改造工程、学生宿舍专用公寓床（多功能组合）采购项目、教师公共租赁住房家具家电采购项目等8个项目开展了预算事前绩效评估，对8个项目编制了绩效目标，预算执行过程中，选取8个项目开展绩效监控，组织对8个项目开展绩效自评，绩效自评表详见第四部分附件。</w:t>
      </w:r>
    </w:p>
    <w:p>
      <w:pPr>
        <w:spacing w:line="600" w:lineRule="exact"/>
        <w:ind w:firstLine="640" w:firstLineChars="200"/>
        <w:rPr>
          <w:rFonts w:hint="default" w:ascii="Times New Roman" w:hAnsi="Times New Roman" w:eastAsia="仿宋" w:cs="Times New Roman"/>
          <w:b w:val="0"/>
          <w:bCs/>
          <w:sz w:val="32"/>
          <w:szCs w:val="32"/>
        </w:rPr>
      </w:pPr>
      <w:r>
        <w:rPr>
          <w:rFonts w:hint="default" w:ascii="Times New Roman" w:hAnsi="Times New Roman" w:eastAsia="仿宋_GB2312" w:cs="Times New Roman"/>
          <w:sz w:val="32"/>
          <w:szCs w:val="32"/>
        </w:rPr>
        <w:br w:type="page"/>
      </w:r>
    </w:p>
    <w:p>
      <w:pPr>
        <w:numPr>
          <w:ilvl w:val="0"/>
          <w:numId w:val="3"/>
        </w:numPr>
        <w:spacing w:line="600" w:lineRule="exact"/>
        <w:ind w:firstLine="660" w:firstLineChars="150"/>
        <w:jc w:val="center"/>
        <w:outlineLvl w:val="0"/>
        <w:rPr>
          <w:rStyle w:val="27"/>
          <w:rFonts w:hint="default" w:ascii="Times New Roman" w:hAnsi="Times New Roman" w:eastAsia="黑体" w:cs="Times New Roman"/>
          <w:b w:val="0"/>
        </w:rPr>
      </w:pPr>
      <w:bookmarkStart w:id="49" w:name="_Toc15377225"/>
      <w:bookmarkStart w:id="50" w:name="_Toc15396613"/>
      <w:r>
        <w:rPr>
          <w:rFonts w:hint="default" w:ascii="Times New Roman" w:hAnsi="Times New Roman" w:eastAsia="黑体" w:cs="Times New Roman"/>
          <w:sz w:val="44"/>
          <w:szCs w:val="44"/>
        </w:rPr>
        <w:t>名</w:t>
      </w:r>
      <w:r>
        <w:rPr>
          <w:rStyle w:val="27"/>
          <w:rFonts w:hint="default" w:ascii="Times New Roman" w:hAnsi="Times New Roman" w:eastAsia="黑体" w:cs="Times New Roman"/>
          <w:b w:val="0"/>
        </w:rPr>
        <w:t>词解释</w:t>
      </w:r>
      <w:bookmarkEnd w:id="49"/>
      <w:bookmarkEnd w:id="50"/>
    </w:p>
    <w:p>
      <w:pPr>
        <w:spacing w:line="600" w:lineRule="exact"/>
        <w:jc w:val="left"/>
        <w:rPr>
          <w:rFonts w:hint="default" w:ascii="Times New Roman" w:hAnsi="Times New Roman" w:cs="Times New Roman"/>
          <w:b/>
          <w:sz w:val="44"/>
          <w:szCs w:val="44"/>
        </w:rPr>
      </w:pP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1.财政拨款收入：</w:t>
      </w:r>
      <w:r>
        <w:rPr>
          <w:rFonts w:hint="default" w:ascii="Times New Roman" w:hAnsi="Times New Roman" w:eastAsia="仿宋_GB2312" w:cs="Times New Roman"/>
          <w:color w:val="auto"/>
          <w:sz w:val="32"/>
          <w:szCs w:val="32"/>
        </w:rPr>
        <w:t>指单位从同级财政部门取得的财政预算资金。</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2.事业收入：</w:t>
      </w:r>
      <w:r>
        <w:rPr>
          <w:rFonts w:hint="default" w:ascii="Times New Roman" w:hAnsi="Times New Roman" w:eastAsia="仿宋_GB2312" w:cs="Times New Roman"/>
          <w:color w:val="auto"/>
          <w:sz w:val="32"/>
          <w:szCs w:val="32"/>
        </w:rPr>
        <w:t>指事业单位开展专业业务活动及辅助活动取得的收入。</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3.经营收入：</w:t>
      </w:r>
      <w:r>
        <w:rPr>
          <w:rFonts w:hint="default" w:ascii="Times New Roman" w:hAnsi="Times New Roman" w:eastAsia="仿宋_GB2312" w:cs="Times New Roman"/>
          <w:color w:val="auto"/>
          <w:sz w:val="32"/>
          <w:szCs w:val="32"/>
        </w:rPr>
        <w:t>指事业单位在专业业务活动及其辅助活动之外开展非独立核算经营活动取得的收入。</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4.其他收入：</w:t>
      </w:r>
      <w:r>
        <w:rPr>
          <w:rFonts w:hint="default" w:ascii="Times New Roman" w:hAnsi="Times New Roman" w:eastAsia="仿宋_GB2312" w:cs="Times New Roman"/>
          <w:color w:val="auto"/>
          <w:sz w:val="32"/>
          <w:szCs w:val="32"/>
        </w:rPr>
        <w:t>指单位取得的除上述收入以外的各项收入。</w:t>
      </w:r>
      <w:r>
        <w:rPr>
          <w:rFonts w:hint="default" w:ascii="Times New Roman" w:hAnsi="Times New Roman" w:eastAsia="仿宋_GB2312" w:cs="Times New Roman"/>
          <w:color w:val="auto"/>
          <w:sz w:val="32"/>
          <w:szCs w:val="32"/>
        </w:rPr>
        <w:t xml:space="preserve"> </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5.使用非财政拨款结余（含专用结余）：</w:t>
      </w:r>
      <w:r>
        <w:rPr>
          <w:rFonts w:hint="default" w:ascii="Times New Roman" w:hAnsi="Times New Roman" w:eastAsia="仿宋_GB2312" w:cs="Times New Roman"/>
          <w:color w:val="auto"/>
          <w:sz w:val="32"/>
          <w:szCs w:val="32"/>
        </w:rPr>
        <w:t>指事业单位使用以前年度积累的非财政拨款结余弥补当年收支差额的金额。</w:t>
      </w:r>
      <w:r>
        <w:rPr>
          <w:rFonts w:hint="default" w:ascii="Times New Roman" w:hAnsi="Times New Roman" w:eastAsia="仿宋_GB2312" w:cs="Times New Roman"/>
          <w:color w:val="auto"/>
          <w:sz w:val="32"/>
          <w:szCs w:val="32"/>
        </w:rPr>
        <w:t xml:space="preserve"> </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6.年初结转和结余：</w:t>
      </w:r>
      <w:r>
        <w:rPr>
          <w:rFonts w:hint="default" w:ascii="Times New Roman" w:hAnsi="Times New Roman" w:eastAsia="仿宋_GB2312" w:cs="Times New Roman"/>
          <w:color w:val="auto"/>
          <w:sz w:val="32"/>
          <w:szCs w:val="32"/>
        </w:rPr>
        <w:t>指以前年度尚未完成、结转到本年按有关规定继续使用的资金。</w:t>
      </w:r>
      <w:r>
        <w:rPr>
          <w:rFonts w:hint="default" w:ascii="Times New Roman" w:hAnsi="Times New Roman" w:eastAsia="仿宋_GB2312" w:cs="Times New Roman"/>
          <w:color w:val="auto"/>
          <w:sz w:val="32"/>
          <w:szCs w:val="32"/>
        </w:rPr>
        <w:t xml:space="preserve"> </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7.结余分配：</w:t>
      </w:r>
      <w:r>
        <w:rPr>
          <w:rFonts w:hint="default" w:ascii="Times New Roman" w:hAnsi="Times New Roman" w:eastAsia="仿宋_GB2312" w:cs="Times New Roman"/>
          <w:color w:val="auto"/>
          <w:sz w:val="32"/>
          <w:szCs w:val="32"/>
        </w:rPr>
        <w:t>指事业单位按照会计制度规定缴纳的所得税、提取的专用结余以及转入非财政拨款结余的金额等。</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8.年末结转和结余：</w:t>
      </w:r>
      <w:r>
        <w:rPr>
          <w:rFonts w:hint="default" w:ascii="Times New Roman" w:hAnsi="Times New Roman" w:eastAsia="仿宋_GB2312" w:cs="Times New Roman"/>
          <w:color w:val="auto"/>
          <w:sz w:val="32"/>
          <w:szCs w:val="32"/>
        </w:rPr>
        <w:t>指单位按有关规定结转到下年或以后年度继续使用的资金。</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9.一般公共服务支出（201类）其他一般公共服务支出（99款）其他一般公共服务支出（99项）：</w:t>
      </w:r>
      <w:r>
        <w:rPr>
          <w:rFonts w:hint="default" w:ascii="Times New Roman" w:hAnsi="Times New Roman" w:eastAsia="仿宋_GB2312" w:cs="Times New Roman"/>
          <w:sz w:val="32"/>
          <w:szCs w:val="32"/>
        </w:rPr>
        <w:t>指反映除上述项目以外的其他一般公共服务支出。</w:t>
      </w:r>
    </w:p>
    <w:p>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10.教育支出（205类）普通教育（02款）初中教育（03项）：</w:t>
      </w:r>
      <w:r>
        <w:rPr>
          <w:rFonts w:hint="default" w:ascii="Times New Roman" w:hAnsi="Times New Roman" w:eastAsia="仿宋_GB2312" w:cs="Times New Roman"/>
          <w:sz w:val="32"/>
          <w:szCs w:val="32"/>
        </w:rPr>
        <w:t>指反映各部门举办的初中教育支出。</w:t>
      </w:r>
    </w:p>
    <w:p>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11.教育支出（205类）普通教育（02款）高中教育（04项）：</w:t>
      </w:r>
      <w:r>
        <w:rPr>
          <w:rFonts w:hint="default" w:ascii="Times New Roman" w:hAnsi="Times New Roman" w:eastAsia="仿宋_GB2312" w:cs="Times New Roman"/>
          <w:sz w:val="32"/>
          <w:szCs w:val="32"/>
        </w:rPr>
        <w:t>指反映各部门举办的</w:t>
      </w:r>
      <w:r>
        <w:rPr>
          <w:rFonts w:hint="default" w:ascii="Times New Roman" w:hAnsi="Times New Roman" w:eastAsia="仿宋_GB2312" w:cs="Times New Roman"/>
          <w:sz w:val="32"/>
          <w:szCs w:val="32"/>
        </w:rPr>
        <w:t>普通高中</w:t>
      </w:r>
      <w:r>
        <w:rPr>
          <w:rFonts w:hint="default" w:ascii="Times New Roman" w:hAnsi="Times New Roman" w:eastAsia="仿宋_GB2312" w:cs="Times New Roman"/>
          <w:sz w:val="32"/>
          <w:szCs w:val="32"/>
        </w:rPr>
        <w:t>教育支出。</w:t>
      </w:r>
    </w:p>
    <w:p>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12.教育支出（205类）教育费附加安排支出（09款）农村中小学校舍建设（01项）：</w:t>
      </w:r>
      <w:r>
        <w:rPr>
          <w:rFonts w:hint="default" w:ascii="Times New Roman" w:hAnsi="Times New Roman" w:eastAsia="仿宋_GB2312" w:cs="Times New Roman"/>
          <w:sz w:val="32"/>
          <w:szCs w:val="32"/>
        </w:rPr>
        <w:t>指反映</w:t>
      </w:r>
      <w:r>
        <w:rPr>
          <w:rFonts w:hint="default" w:ascii="Times New Roman" w:hAnsi="Times New Roman" w:eastAsia="仿宋_GB2312" w:cs="Times New Roman"/>
          <w:sz w:val="32"/>
          <w:szCs w:val="32"/>
        </w:rPr>
        <w:t>教育费附加安排用于农村中小学校舍新建、改建、修缮和维护的支出。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13.教育支出（205类）教育费附加安排支出（09款）农村中小学教学设施（02项）：</w:t>
      </w:r>
      <w:r>
        <w:rPr>
          <w:rFonts w:hint="default" w:ascii="Times New Roman" w:hAnsi="Times New Roman" w:eastAsia="仿宋_GB2312" w:cs="Times New Roman"/>
          <w:sz w:val="32"/>
          <w:szCs w:val="32"/>
        </w:rPr>
        <w:t>指</w:t>
      </w:r>
      <w:r>
        <w:rPr>
          <w:rFonts w:hint="default" w:ascii="Times New Roman" w:hAnsi="Times New Roman" w:eastAsia="仿宋_GB2312" w:cs="Times New Roman"/>
          <w:sz w:val="32"/>
          <w:szCs w:val="32"/>
        </w:rPr>
        <w:t>反映教育费附加安排用于改善农村中小学教学设施和办学条件的支出。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14.社会保障和就业支出（208类）行政事业单位养老支出（05款）事业单位离退休（02项）：</w:t>
      </w:r>
      <w:r>
        <w:rPr>
          <w:rFonts w:hint="default" w:ascii="Times New Roman" w:hAnsi="Times New Roman" w:eastAsia="仿宋_GB2312" w:cs="Times New Roman"/>
          <w:sz w:val="32"/>
          <w:szCs w:val="32"/>
        </w:rPr>
        <w:t>指反映事业单位开支的离退休经费。</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15.社会保障和就业支出（208类）行政事业单位养老支出（05款）机关事业单位基本养老保险缴费支出（05项）：</w:t>
      </w:r>
      <w:r>
        <w:rPr>
          <w:rFonts w:hint="default" w:ascii="Times New Roman" w:hAnsi="Times New Roman" w:eastAsia="仿宋_GB2312" w:cs="Times New Roman"/>
          <w:sz w:val="32"/>
          <w:szCs w:val="32"/>
        </w:rPr>
        <w:t>指反映机关事业单位实施养老保险制度由单位缴纳的基本养老保险费支出。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16.社会保障和就业支出（208类）行政事业单位养老支出（05款）机关事业单位职业年金缴费支出（06项）：</w:t>
      </w:r>
      <w:r>
        <w:rPr>
          <w:rFonts w:hint="default" w:ascii="Times New Roman" w:hAnsi="Times New Roman" w:eastAsia="仿宋_GB2312" w:cs="Times New Roman"/>
          <w:sz w:val="32"/>
          <w:szCs w:val="32"/>
        </w:rPr>
        <w:t>指反映机关事业单位实施养老保险制度由单位实际缴纳的职业年金支出。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17.卫生健康支出（210类）行政事业单位医疗（11款）事业单位医疗（02项）：</w:t>
      </w:r>
      <w:r>
        <w:rPr>
          <w:rFonts w:hint="default" w:ascii="Times New Roman" w:hAnsi="Times New Roman" w:eastAsia="仿宋_GB2312" w:cs="Times New Roman"/>
          <w:sz w:val="32"/>
          <w:szCs w:val="32"/>
        </w:rPr>
        <w:t>指反映财政部门安排的事业单位基本医疗保险缴费经费，未参加医疗保险的事业单位的公费医疗经费，按国家规定享受离休人员待遇的医疗经费。</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18.卫生健康支出（210类）行政事业单位医疗（11款）其他行政事业单位医疗支出（99项）：</w:t>
      </w:r>
      <w:r>
        <w:rPr>
          <w:rFonts w:hint="default" w:ascii="Times New Roman" w:hAnsi="Times New Roman" w:eastAsia="仿宋_GB2312" w:cs="Times New Roman"/>
          <w:sz w:val="32"/>
          <w:szCs w:val="32"/>
        </w:rPr>
        <w:t>指反映除上述项目以外的其他用于行政事业单位医疗方面的支出。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19.住房保障支出（221类）住房改革支出（02款）住房公积金（01项）：</w:t>
      </w:r>
      <w:r>
        <w:rPr>
          <w:rFonts w:hint="default" w:ascii="Times New Roman" w:hAnsi="Times New Roman" w:eastAsia="仿宋_GB2312" w:cs="Times New Roman"/>
          <w:sz w:val="32"/>
          <w:szCs w:val="32"/>
        </w:rPr>
        <w:t>指反映行政事业单位按人力资源和社会保障部、财政部规定的基本工资和津贴补贴以及规定比例为职工缴纳的住房公积金。</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27.基本支出：</w:t>
      </w:r>
      <w:r>
        <w:rPr>
          <w:rFonts w:hint="default" w:ascii="Times New Roman" w:hAnsi="Times New Roman" w:eastAsia="仿宋_GB2312" w:cs="Times New Roman"/>
          <w:sz w:val="32"/>
          <w:szCs w:val="32"/>
        </w:rPr>
        <w:t>指为保障机构正常运转、完成日常工作任务而发生的人员支出和公用支出。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28.项目支出：</w:t>
      </w:r>
      <w:r>
        <w:rPr>
          <w:rFonts w:hint="default" w:ascii="Times New Roman" w:hAnsi="Times New Roman" w:eastAsia="仿宋_GB2312" w:cs="Times New Roman"/>
          <w:sz w:val="32"/>
          <w:szCs w:val="32"/>
        </w:rPr>
        <w:t>指在基本支出之外为完成特定行政任务和事业发展目标所发生的支出。</w:t>
      </w:r>
      <w:r>
        <w:rPr>
          <w:rFonts w:hint="default" w:ascii="Times New Roman" w:hAnsi="Times New Roman" w:eastAsia="仿宋_GB2312" w:cs="Times New Roman"/>
          <w:sz w:val="32"/>
          <w:szCs w:val="32"/>
        </w:rPr>
        <w:t xml:space="preserve"> </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auto"/>
          <w:kern w:val="0"/>
          <w:sz w:val="32"/>
          <w:szCs w:val="32"/>
          <w:lang w:val="en-US" w:eastAsia="zh-CN" w:bidi="ar-SA"/>
        </w:rPr>
        <w:t>29.经营支出：</w:t>
      </w:r>
      <w:r>
        <w:rPr>
          <w:rFonts w:hint="default" w:ascii="Times New Roman" w:hAnsi="Times New Roman" w:eastAsia="仿宋_GB2312" w:cs="Times New Roman"/>
          <w:sz w:val="32"/>
          <w:szCs w:val="32"/>
        </w:rPr>
        <w:t>指事业单位在专业业务活动及其辅助活动之外开展非独立核算经营活动发生的支出。</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30.“三公”经费：</w:t>
      </w:r>
      <w:r>
        <w:rPr>
          <w:rFonts w:hint="default" w:ascii="Times New Roman" w:hAnsi="Times New Roman" w:eastAsia="仿宋_GB2312" w:cs="Times New Roman"/>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3"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31.机关运行经费：</w:t>
      </w:r>
      <w:r>
        <w:rPr>
          <w:rFonts w:hint="default" w:ascii="Times New Roman" w:hAnsi="Times New Roman" w:eastAsia="仿宋_GB2312" w:cs="Times New Roman"/>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hint="default" w:ascii="Times New Roman" w:hAnsi="Times New Roman" w:eastAsia="黑体" w:cs="Times New Roman"/>
          <w:sz w:val="44"/>
          <w:szCs w:val="44"/>
        </w:rPr>
      </w:pPr>
      <w:bookmarkStart w:id="51" w:name="_Toc15396614"/>
      <w:bookmarkStart w:id="52" w:name="_Toc15377226"/>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spacing w:line="600" w:lineRule="exact"/>
        <w:jc w:val="center"/>
        <w:outlineLvl w:val="0"/>
        <w:rPr>
          <w:rFonts w:hint="default" w:ascii="Times New Roman" w:hAnsi="Times New Roman" w:eastAsia="黑体" w:cs="Times New Roman"/>
          <w:sz w:val="44"/>
          <w:szCs w:val="44"/>
        </w:rPr>
      </w:pPr>
    </w:p>
    <w:p>
      <w:pPr>
        <w:pStyle w:val="2"/>
        <w:rPr>
          <w:rFonts w:hint="default" w:ascii="Times New Roman" w:hAnsi="Times New Roman" w:cs="Times New Roman"/>
        </w:rPr>
      </w:pPr>
    </w:p>
    <w:p>
      <w:pPr>
        <w:spacing w:line="600" w:lineRule="exact"/>
        <w:jc w:val="center"/>
        <w:outlineLvl w:val="0"/>
        <w:rPr>
          <w:rStyle w:val="27"/>
          <w:rFonts w:hint="default" w:ascii="Times New Roman" w:hAnsi="Times New Roman" w:eastAsia="黑体" w:cs="Times New Roman"/>
          <w:b w:val="0"/>
        </w:rPr>
      </w:pPr>
      <w:r>
        <w:rPr>
          <w:rFonts w:hint="default" w:ascii="Times New Roman" w:hAnsi="Times New Roman" w:eastAsia="黑体" w:cs="Times New Roman"/>
          <w:sz w:val="44"/>
          <w:szCs w:val="44"/>
        </w:rPr>
        <w:t>第</w:t>
      </w:r>
      <w:r>
        <w:rPr>
          <w:rStyle w:val="27"/>
          <w:rFonts w:hint="default" w:ascii="Times New Roman" w:hAnsi="Times New Roman" w:eastAsia="黑体" w:cs="Times New Roman"/>
          <w:b w:val="0"/>
        </w:rPr>
        <w:t>四部分 附件</w:t>
      </w:r>
      <w:bookmarkEnd w:id="51"/>
    </w:p>
    <w:p>
      <w:pPr>
        <w:spacing w:line="600" w:lineRule="exact"/>
        <w:jc w:val="center"/>
        <w:outlineLvl w:val="0"/>
        <w:rPr>
          <w:rFonts w:hint="eastAsia" w:ascii="仿宋_GB2312" w:hAnsi="仿宋_GB2312" w:eastAsia="仿宋_GB2312" w:cs="仿宋_GB2312"/>
          <w:color w:val="FF0000"/>
          <w:sz w:val="44"/>
          <w:szCs w:val="44"/>
        </w:rPr>
      </w:pPr>
      <w:bookmarkStart w:id="53" w:name="_Toc15396618"/>
      <w:r>
        <w:rPr>
          <w:rFonts w:hint="eastAsia" w:ascii="仿宋_GB2312" w:hAnsi="仿宋_GB2312" w:eastAsia="仿宋_GB2312" w:cs="仿宋_GB2312"/>
          <w:sz w:val="32"/>
          <w:szCs w:val="32"/>
        </w:rPr>
        <w:t>部门预算项目支出绩效自评表（2023年度）见附件</w:t>
      </w: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pStyle w:val="6"/>
        <w:spacing w:before="93"/>
        <w:rPr>
          <w:rFonts w:hint="default" w:ascii="Times New Roman" w:hAnsi="Times New Roman" w:cs="Times New Roman"/>
          <w:sz w:val="32"/>
          <w:szCs w:val="32"/>
        </w:rPr>
      </w:pPr>
    </w:p>
    <w:p>
      <w:pPr>
        <w:spacing w:line="600" w:lineRule="exact"/>
        <w:jc w:val="center"/>
        <w:outlineLvl w:val="0"/>
        <w:rPr>
          <w:rStyle w:val="27"/>
          <w:rFonts w:hint="default" w:ascii="Times New Roman" w:hAnsi="Times New Roman" w:eastAsia="黑体" w:cs="Times New Roman"/>
          <w:b w:val="0"/>
        </w:rPr>
      </w:pPr>
      <w:r>
        <w:rPr>
          <w:rFonts w:hint="default" w:ascii="Times New Roman" w:hAnsi="Times New Roman" w:eastAsia="黑体" w:cs="Times New Roman"/>
          <w:sz w:val="44"/>
          <w:szCs w:val="44"/>
        </w:rPr>
        <w:t>第</w:t>
      </w:r>
      <w:r>
        <w:rPr>
          <w:rStyle w:val="27"/>
          <w:rFonts w:hint="default" w:ascii="Times New Roman" w:hAnsi="Times New Roman" w:eastAsia="黑体" w:cs="Times New Roman"/>
          <w:b w:val="0"/>
        </w:rPr>
        <w:t>五部分 附表</w:t>
      </w:r>
      <w:bookmarkEnd w:id="52"/>
      <w:bookmarkEnd w:id="53"/>
      <w:bookmarkStart w:id="54" w:name="_Toc15396619"/>
    </w:p>
    <w:p>
      <w:pPr>
        <w:spacing w:line="600" w:lineRule="exact"/>
        <w:jc w:val="left"/>
        <w:outlineLvl w:val="0"/>
        <w:rPr>
          <w:rStyle w:val="28"/>
          <w:rFonts w:hint="default" w:ascii="Times New Roman" w:hAnsi="Times New Roman" w:eastAsia="仿宋" w:cs="Times New Roman"/>
          <w:b w:val="0"/>
          <w:bCs w:val="0"/>
          <w:sz w:val="36"/>
        </w:rPr>
      </w:pPr>
    </w:p>
    <w:p>
      <w:pPr>
        <w:pStyle w:val="4"/>
        <w:ind w:left="210" w:leftChars="100"/>
        <w:rPr>
          <w:rStyle w:val="28"/>
          <w:rFonts w:hint="eastAsia" w:ascii="仿宋_GB2312" w:hAnsi="仿宋_GB2312" w:eastAsia="仿宋_GB2312" w:cs="仿宋_GB2312"/>
          <w:b w:val="0"/>
          <w:bCs w:val="0"/>
        </w:rPr>
      </w:pPr>
      <w:r>
        <w:rPr>
          <w:rStyle w:val="28"/>
          <w:rFonts w:hint="eastAsia" w:ascii="仿宋_GB2312" w:hAnsi="仿宋_GB2312" w:eastAsia="仿宋_GB2312" w:cs="仿宋_GB2312"/>
          <w:b w:val="0"/>
          <w:bCs w:val="0"/>
        </w:rPr>
        <w:t>一、收入支出决算总表</w:t>
      </w:r>
      <w:bookmarkEnd w:id="54"/>
    </w:p>
    <w:p>
      <w:pPr>
        <w:pStyle w:val="4"/>
        <w:ind w:left="210" w:leftChars="100"/>
        <w:rPr>
          <w:rStyle w:val="28"/>
          <w:rFonts w:hint="eastAsia" w:ascii="仿宋_GB2312" w:hAnsi="仿宋_GB2312" w:eastAsia="仿宋_GB2312" w:cs="仿宋_GB2312"/>
          <w:b w:val="0"/>
          <w:bCs w:val="0"/>
        </w:rPr>
      </w:pPr>
      <w:bookmarkStart w:id="55" w:name="_Toc15396620"/>
      <w:r>
        <w:rPr>
          <w:rStyle w:val="28"/>
          <w:rFonts w:hint="eastAsia" w:ascii="仿宋_GB2312" w:hAnsi="仿宋_GB2312" w:eastAsia="仿宋_GB2312" w:cs="仿宋_GB2312"/>
          <w:b w:val="0"/>
          <w:bCs w:val="0"/>
        </w:rPr>
        <w:t>二、收入决算表</w:t>
      </w:r>
      <w:bookmarkEnd w:id="55"/>
      <w:bookmarkStart w:id="67" w:name="_GoBack"/>
      <w:bookmarkEnd w:id="67"/>
    </w:p>
    <w:p>
      <w:pPr>
        <w:pStyle w:val="4"/>
        <w:ind w:left="210" w:leftChars="100"/>
        <w:rPr>
          <w:rStyle w:val="28"/>
          <w:rFonts w:hint="eastAsia" w:ascii="仿宋_GB2312" w:hAnsi="仿宋_GB2312" w:eastAsia="仿宋_GB2312" w:cs="仿宋_GB2312"/>
          <w:b w:val="0"/>
          <w:bCs w:val="0"/>
        </w:rPr>
      </w:pPr>
      <w:bookmarkStart w:id="56" w:name="_Toc15396621"/>
      <w:r>
        <w:rPr>
          <w:rStyle w:val="28"/>
          <w:rFonts w:hint="eastAsia" w:ascii="仿宋_GB2312" w:hAnsi="仿宋_GB2312" w:eastAsia="仿宋_GB2312" w:cs="仿宋_GB2312"/>
          <w:b w:val="0"/>
          <w:bCs w:val="0"/>
        </w:rPr>
        <w:t>三、支出决算表</w:t>
      </w:r>
      <w:bookmarkEnd w:id="56"/>
    </w:p>
    <w:p>
      <w:pPr>
        <w:pStyle w:val="4"/>
        <w:ind w:left="210" w:leftChars="100"/>
        <w:rPr>
          <w:rFonts w:hint="eastAsia" w:ascii="仿宋_GB2312" w:hAnsi="仿宋_GB2312" w:eastAsia="仿宋_GB2312" w:cs="仿宋_GB2312"/>
          <w:b w:val="0"/>
        </w:rPr>
      </w:pPr>
      <w:bookmarkStart w:id="57" w:name="_Toc15396622"/>
      <w:r>
        <w:rPr>
          <w:rStyle w:val="28"/>
          <w:rFonts w:hint="eastAsia" w:ascii="仿宋_GB2312" w:hAnsi="仿宋_GB2312" w:eastAsia="仿宋_GB2312" w:cs="仿宋_GB2312"/>
          <w:b w:val="0"/>
          <w:bCs w:val="0"/>
        </w:rPr>
        <w:t>四、财政拨款收入支出决算总表</w:t>
      </w:r>
      <w:bookmarkEnd w:id="57"/>
    </w:p>
    <w:p>
      <w:pPr>
        <w:pStyle w:val="4"/>
        <w:rPr>
          <w:rStyle w:val="28"/>
          <w:rFonts w:hint="eastAsia" w:ascii="仿宋_GB2312" w:hAnsi="仿宋_GB2312" w:eastAsia="仿宋_GB2312" w:cs="仿宋_GB2312"/>
          <w:b w:val="0"/>
          <w:bCs w:val="0"/>
        </w:rPr>
      </w:pPr>
      <w:bookmarkStart w:id="58" w:name="_Toc15396623"/>
      <w:r>
        <w:rPr>
          <w:rStyle w:val="28"/>
          <w:rFonts w:hint="eastAsia" w:ascii="仿宋_GB2312" w:hAnsi="仿宋_GB2312" w:eastAsia="仿宋_GB2312" w:cs="仿宋_GB2312"/>
          <w:b w:val="0"/>
          <w:bCs w:val="0"/>
        </w:rPr>
        <w:t>五、</w:t>
      </w:r>
      <w:r>
        <w:rPr>
          <w:rFonts w:hint="eastAsia" w:ascii="仿宋_GB2312" w:hAnsi="仿宋_GB2312" w:eastAsia="仿宋_GB2312" w:cs="仿宋_GB2312"/>
          <w:b w:val="0"/>
        </w:rPr>
        <w:t>财</w:t>
      </w:r>
      <w:r>
        <w:rPr>
          <w:rStyle w:val="28"/>
          <w:rFonts w:hint="eastAsia" w:ascii="仿宋_GB2312" w:hAnsi="仿宋_GB2312" w:eastAsia="仿宋_GB2312" w:cs="仿宋_GB2312"/>
          <w:b w:val="0"/>
          <w:bCs w:val="0"/>
        </w:rPr>
        <w:t>政拨款支出决算明细表</w:t>
      </w:r>
      <w:bookmarkEnd w:id="58"/>
      <w:bookmarkStart w:id="59" w:name="_Toc15396624"/>
    </w:p>
    <w:p>
      <w:pPr>
        <w:pStyle w:val="4"/>
        <w:rPr>
          <w:rFonts w:hint="eastAsia" w:ascii="仿宋_GB2312" w:hAnsi="仿宋_GB2312" w:eastAsia="仿宋_GB2312" w:cs="仿宋_GB2312"/>
        </w:rPr>
      </w:pPr>
      <w:r>
        <w:rPr>
          <w:rStyle w:val="28"/>
          <w:rFonts w:hint="eastAsia" w:ascii="仿宋_GB2312" w:hAnsi="仿宋_GB2312" w:eastAsia="仿宋_GB2312" w:cs="仿宋_GB2312"/>
          <w:b w:val="0"/>
          <w:bCs w:val="0"/>
        </w:rPr>
        <w:t>六、</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般公共预算财政拨款支出决算表</w:t>
      </w:r>
      <w:bookmarkEnd w:id="59"/>
    </w:p>
    <w:p>
      <w:pPr>
        <w:pStyle w:val="4"/>
        <w:rPr>
          <w:rFonts w:hint="eastAsia" w:ascii="仿宋_GB2312" w:hAnsi="仿宋_GB2312" w:eastAsia="仿宋_GB2312" w:cs="仿宋_GB2312"/>
        </w:rPr>
      </w:pPr>
      <w:bookmarkStart w:id="60" w:name="_Toc15396625"/>
      <w:r>
        <w:rPr>
          <w:rStyle w:val="28"/>
          <w:rFonts w:hint="eastAsia" w:ascii="仿宋_GB2312" w:hAnsi="仿宋_GB2312" w:eastAsia="仿宋_GB2312" w:cs="仿宋_GB2312"/>
          <w:b w:val="0"/>
          <w:bCs w:val="0"/>
        </w:rPr>
        <w:t>七、</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般公共预算财政拨款支出决算明细表</w:t>
      </w:r>
      <w:bookmarkEnd w:id="60"/>
    </w:p>
    <w:p>
      <w:pPr>
        <w:pStyle w:val="4"/>
        <w:rPr>
          <w:rFonts w:hint="eastAsia" w:ascii="仿宋_GB2312" w:hAnsi="仿宋_GB2312" w:eastAsia="仿宋_GB2312" w:cs="仿宋_GB2312"/>
        </w:rPr>
      </w:pPr>
      <w:bookmarkStart w:id="61" w:name="_Toc15396626"/>
      <w:r>
        <w:rPr>
          <w:rStyle w:val="28"/>
          <w:rFonts w:hint="eastAsia" w:ascii="仿宋_GB2312" w:hAnsi="仿宋_GB2312" w:eastAsia="仿宋_GB2312" w:cs="仿宋_GB2312"/>
          <w:b w:val="0"/>
          <w:bCs w:val="0"/>
        </w:rPr>
        <w:t>八、</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般公共预算财政拨款基本支出决算表</w:t>
      </w:r>
      <w:bookmarkEnd w:id="61"/>
    </w:p>
    <w:p>
      <w:pPr>
        <w:pStyle w:val="4"/>
        <w:rPr>
          <w:rFonts w:hint="eastAsia" w:ascii="仿宋_GB2312" w:hAnsi="仿宋_GB2312" w:eastAsia="仿宋_GB2312" w:cs="仿宋_GB2312"/>
        </w:rPr>
      </w:pPr>
      <w:bookmarkStart w:id="62" w:name="_Toc15396627"/>
      <w:r>
        <w:rPr>
          <w:rStyle w:val="28"/>
          <w:rFonts w:hint="eastAsia" w:ascii="仿宋_GB2312" w:hAnsi="仿宋_GB2312" w:eastAsia="仿宋_GB2312" w:cs="仿宋_GB2312"/>
          <w:b w:val="0"/>
          <w:bCs w:val="0"/>
        </w:rPr>
        <w:t>九、</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般公共预算财政拨款项目支出决算表</w:t>
      </w:r>
      <w:bookmarkEnd w:id="62"/>
    </w:p>
    <w:p>
      <w:pPr>
        <w:pStyle w:val="4"/>
        <w:rPr>
          <w:rFonts w:hint="eastAsia" w:ascii="仿宋_GB2312" w:hAnsi="仿宋_GB2312" w:eastAsia="仿宋_GB2312" w:cs="仿宋_GB2312"/>
        </w:rPr>
      </w:pPr>
      <w:bookmarkStart w:id="63" w:name="_Toc15396628"/>
      <w:r>
        <w:rPr>
          <w:rStyle w:val="28"/>
          <w:rFonts w:hint="eastAsia" w:ascii="仿宋_GB2312" w:hAnsi="仿宋_GB2312" w:eastAsia="仿宋_GB2312" w:cs="仿宋_GB2312"/>
          <w:b w:val="0"/>
          <w:bCs w:val="0"/>
        </w:rPr>
        <w:t>十、</w:t>
      </w:r>
      <w:bookmarkEnd w:id="63"/>
      <w:r>
        <w:rPr>
          <w:rFonts w:hint="eastAsia" w:ascii="仿宋_GB2312" w:hAnsi="仿宋_GB2312" w:eastAsia="仿宋_GB2312" w:cs="仿宋_GB2312"/>
          <w:b w:val="0"/>
        </w:rPr>
        <w:t>政</w:t>
      </w:r>
      <w:r>
        <w:rPr>
          <w:rStyle w:val="28"/>
          <w:rFonts w:hint="eastAsia" w:ascii="仿宋_GB2312" w:hAnsi="仿宋_GB2312" w:eastAsia="仿宋_GB2312" w:cs="仿宋_GB2312"/>
          <w:b w:val="0"/>
          <w:bCs w:val="0"/>
        </w:rPr>
        <w:t>府性基金预算财政拨款收入支出决算表</w:t>
      </w:r>
    </w:p>
    <w:p>
      <w:pPr>
        <w:pStyle w:val="4"/>
        <w:rPr>
          <w:rFonts w:hint="eastAsia" w:ascii="仿宋_GB2312" w:hAnsi="仿宋_GB2312" w:eastAsia="仿宋_GB2312" w:cs="仿宋_GB2312"/>
        </w:rPr>
      </w:pPr>
      <w:bookmarkStart w:id="64" w:name="_Toc15396629"/>
      <w:r>
        <w:rPr>
          <w:rStyle w:val="28"/>
          <w:rFonts w:hint="eastAsia" w:ascii="仿宋_GB2312" w:hAnsi="仿宋_GB2312" w:eastAsia="仿宋_GB2312" w:cs="仿宋_GB2312"/>
          <w:b w:val="0"/>
          <w:bCs w:val="0"/>
        </w:rPr>
        <w:t>十一、</w:t>
      </w:r>
      <w:bookmarkEnd w:id="64"/>
      <w:r>
        <w:rPr>
          <w:rFonts w:hint="eastAsia" w:ascii="仿宋_GB2312" w:hAnsi="仿宋_GB2312" w:eastAsia="仿宋_GB2312" w:cs="仿宋_GB2312"/>
          <w:b w:val="0"/>
        </w:rPr>
        <w:t>国</w:t>
      </w:r>
      <w:r>
        <w:rPr>
          <w:rStyle w:val="28"/>
          <w:rFonts w:hint="eastAsia" w:ascii="仿宋_GB2312" w:hAnsi="仿宋_GB2312" w:eastAsia="仿宋_GB2312" w:cs="仿宋_GB2312"/>
          <w:b w:val="0"/>
          <w:bCs w:val="0"/>
        </w:rPr>
        <w:t>有资本经营预算财政拨款收入支出决算表</w:t>
      </w:r>
    </w:p>
    <w:p>
      <w:pPr>
        <w:pStyle w:val="4"/>
        <w:rPr>
          <w:rFonts w:hint="eastAsia" w:ascii="仿宋_GB2312" w:hAnsi="仿宋_GB2312" w:eastAsia="仿宋_GB2312" w:cs="仿宋_GB2312"/>
        </w:rPr>
      </w:pPr>
      <w:bookmarkStart w:id="65" w:name="_Toc15396630"/>
      <w:r>
        <w:rPr>
          <w:rStyle w:val="28"/>
          <w:rFonts w:hint="eastAsia" w:ascii="仿宋_GB2312" w:hAnsi="仿宋_GB2312" w:eastAsia="仿宋_GB2312" w:cs="仿宋_GB2312"/>
          <w:b w:val="0"/>
          <w:bCs w:val="0"/>
        </w:rPr>
        <w:t>十二、</w:t>
      </w:r>
      <w:bookmarkEnd w:id="65"/>
      <w:r>
        <w:rPr>
          <w:rStyle w:val="28"/>
          <w:rFonts w:hint="eastAsia" w:ascii="仿宋_GB2312" w:hAnsi="仿宋_GB2312" w:eastAsia="仿宋_GB2312" w:cs="仿宋_GB2312"/>
          <w:b w:val="0"/>
          <w:bCs w:val="0"/>
        </w:rPr>
        <w:t>国有资本经营预算财政拨款支出决算表</w:t>
      </w:r>
    </w:p>
    <w:p>
      <w:pPr>
        <w:pStyle w:val="4"/>
        <w:rPr>
          <w:rFonts w:hint="eastAsia" w:ascii="仿宋_GB2312" w:hAnsi="仿宋_GB2312" w:eastAsia="仿宋_GB2312" w:cs="仿宋_GB2312"/>
        </w:rPr>
      </w:pPr>
      <w:bookmarkStart w:id="66" w:name="_Toc15396631"/>
      <w:r>
        <w:rPr>
          <w:rStyle w:val="28"/>
          <w:rFonts w:hint="eastAsia" w:ascii="仿宋_GB2312" w:hAnsi="仿宋_GB2312" w:eastAsia="仿宋_GB2312" w:cs="仿宋_GB2312"/>
          <w:b w:val="0"/>
          <w:bCs w:val="0"/>
        </w:rPr>
        <w:t>十三、</w:t>
      </w:r>
      <w:bookmarkEnd w:id="66"/>
      <w:r>
        <w:rPr>
          <w:rStyle w:val="28"/>
          <w:rFonts w:hint="eastAsia" w:ascii="仿宋_GB2312" w:hAnsi="仿宋_GB2312" w:eastAsia="仿宋_GB2312" w:cs="仿宋_GB2312"/>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4</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C1924"/>
    <w:multiLevelType w:val="singleLevel"/>
    <w:tmpl w:val="C05C1924"/>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122C4"/>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6F80"/>
    <w:rsid w:val="000E5F34"/>
    <w:rsid w:val="000E6613"/>
    <w:rsid w:val="000E7119"/>
    <w:rsid w:val="00103216"/>
    <w:rsid w:val="00114E9B"/>
    <w:rsid w:val="00142216"/>
    <w:rsid w:val="00144D6A"/>
    <w:rsid w:val="0014729F"/>
    <w:rsid w:val="001528C2"/>
    <w:rsid w:val="00157BAB"/>
    <w:rsid w:val="001654D1"/>
    <w:rsid w:val="00174518"/>
    <w:rsid w:val="00174B3D"/>
    <w:rsid w:val="0018106D"/>
    <w:rsid w:val="001877A7"/>
    <w:rsid w:val="00191536"/>
    <w:rsid w:val="00196687"/>
    <w:rsid w:val="001A1DAD"/>
    <w:rsid w:val="001A2FEA"/>
    <w:rsid w:val="001A559C"/>
    <w:rsid w:val="001B1432"/>
    <w:rsid w:val="001C0962"/>
    <w:rsid w:val="001C3223"/>
    <w:rsid w:val="001D7531"/>
    <w:rsid w:val="001D7F57"/>
    <w:rsid w:val="001E737D"/>
    <w:rsid w:val="001F0592"/>
    <w:rsid w:val="001F7506"/>
    <w:rsid w:val="002006CD"/>
    <w:rsid w:val="00202B36"/>
    <w:rsid w:val="00204B7A"/>
    <w:rsid w:val="00204CDE"/>
    <w:rsid w:val="00206907"/>
    <w:rsid w:val="0021101A"/>
    <w:rsid w:val="00212B4A"/>
    <w:rsid w:val="00220536"/>
    <w:rsid w:val="00235629"/>
    <w:rsid w:val="00247AA7"/>
    <w:rsid w:val="00260C38"/>
    <w:rsid w:val="002616C0"/>
    <w:rsid w:val="00265372"/>
    <w:rsid w:val="002662AA"/>
    <w:rsid w:val="00280496"/>
    <w:rsid w:val="00294DC9"/>
    <w:rsid w:val="00295495"/>
    <w:rsid w:val="002A31DE"/>
    <w:rsid w:val="002B2613"/>
    <w:rsid w:val="002C12BC"/>
    <w:rsid w:val="002C5004"/>
    <w:rsid w:val="002D6D05"/>
    <w:rsid w:val="002F1818"/>
    <w:rsid w:val="002F567B"/>
    <w:rsid w:val="00307556"/>
    <w:rsid w:val="003216A9"/>
    <w:rsid w:val="00334E7D"/>
    <w:rsid w:val="00335A74"/>
    <w:rsid w:val="00357F19"/>
    <w:rsid w:val="0036561B"/>
    <w:rsid w:val="0037013F"/>
    <w:rsid w:val="00380C92"/>
    <w:rsid w:val="00386F57"/>
    <w:rsid w:val="0039738C"/>
    <w:rsid w:val="003A484F"/>
    <w:rsid w:val="003A4883"/>
    <w:rsid w:val="003B0B6D"/>
    <w:rsid w:val="003B0BE0"/>
    <w:rsid w:val="003B0C1B"/>
    <w:rsid w:val="003B688C"/>
    <w:rsid w:val="003C0291"/>
    <w:rsid w:val="003C39AE"/>
    <w:rsid w:val="003C7B60"/>
    <w:rsid w:val="003D0C0F"/>
    <w:rsid w:val="003D1FB2"/>
    <w:rsid w:val="003D66DA"/>
    <w:rsid w:val="003E1310"/>
    <w:rsid w:val="003E35DC"/>
    <w:rsid w:val="003E6F55"/>
    <w:rsid w:val="00401701"/>
    <w:rsid w:val="00406254"/>
    <w:rsid w:val="00407599"/>
    <w:rsid w:val="004223DE"/>
    <w:rsid w:val="00425C50"/>
    <w:rsid w:val="00427443"/>
    <w:rsid w:val="0043177C"/>
    <w:rsid w:val="00433684"/>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854"/>
    <w:rsid w:val="00525D70"/>
    <w:rsid w:val="005533CF"/>
    <w:rsid w:val="005664BB"/>
    <w:rsid w:val="00566FFA"/>
    <w:rsid w:val="0057481D"/>
    <w:rsid w:val="00580386"/>
    <w:rsid w:val="0058486E"/>
    <w:rsid w:val="00585B33"/>
    <w:rsid w:val="0059014D"/>
    <w:rsid w:val="00593285"/>
    <w:rsid w:val="005A5725"/>
    <w:rsid w:val="005B5C64"/>
    <w:rsid w:val="005B6E8A"/>
    <w:rsid w:val="005C5337"/>
    <w:rsid w:val="005C6BD0"/>
    <w:rsid w:val="005D1C8B"/>
    <w:rsid w:val="005D468D"/>
    <w:rsid w:val="005D5CED"/>
    <w:rsid w:val="005F10BC"/>
    <w:rsid w:val="005F1A4C"/>
    <w:rsid w:val="00600B8D"/>
    <w:rsid w:val="00603760"/>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8EF"/>
    <w:rsid w:val="006A5E34"/>
    <w:rsid w:val="006B2422"/>
    <w:rsid w:val="006B2B9A"/>
    <w:rsid w:val="006B5214"/>
    <w:rsid w:val="006C1937"/>
    <w:rsid w:val="006E6D75"/>
    <w:rsid w:val="006F020C"/>
    <w:rsid w:val="0071021A"/>
    <w:rsid w:val="007127B7"/>
    <w:rsid w:val="0071798E"/>
    <w:rsid w:val="00736F92"/>
    <w:rsid w:val="007416B6"/>
    <w:rsid w:val="00746F48"/>
    <w:rsid w:val="0075404D"/>
    <w:rsid w:val="0076182A"/>
    <w:rsid w:val="00762548"/>
    <w:rsid w:val="00767B7E"/>
    <w:rsid w:val="007770C3"/>
    <w:rsid w:val="00784D24"/>
    <w:rsid w:val="00785FBA"/>
    <w:rsid w:val="00786E4A"/>
    <w:rsid w:val="007875EB"/>
    <w:rsid w:val="00791A5C"/>
    <w:rsid w:val="0079426B"/>
    <w:rsid w:val="007A63F9"/>
    <w:rsid w:val="007C5DB8"/>
    <w:rsid w:val="007D1682"/>
    <w:rsid w:val="007D312A"/>
    <w:rsid w:val="007D3F19"/>
    <w:rsid w:val="007E23B0"/>
    <w:rsid w:val="007E23E5"/>
    <w:rsid w:val="007F1991"/>
    <w:rsid w:val="007F279A"/>
    <w:rsid w:val="007F2B13"/>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29FF"/>
    <w:rsid w:val="00885AF4"/>
    <w:rsid w:val="008939CD"/>
    <w:rsid w:val="008A24AC"/>
    <w:rsid w:val="008B768C"/>
    <w:rsid w:val="008C4DB1"/>
    <w:rsid w:val="008C4EAF"/>
    <w:rsid w:val="008C5176"/>
    <w:rsid w:val="008C7FD0"/>
    <w:rsid w:val="008C7FD8"/>
    <w:rsid w:val="008D23D5"/>
    <w:rsid w:val="008E1DE7"/>
    <w:rsid w:val="008E4E46"/>
    <w:rsid w:val="008E707C"/>
    <w:rsid w:val="00900B08"/>
    <w:rsid w:val="00902155"/>
    <w:rsid w:val="00902FA3"/>
    <w:rsid w:val="00910063"/>
    <w:rsid w:val="00923564"/>
    <w:rsid w:val="0092392E"/>
    <w:rsid w:val="00927970"/>
    <w:rsid w:val="009315F9"/>
    <w:rsid w:val="00933499"/>
    <w:rsid w:val="00935C98"/>
    <w:rsid w:val="00946945"/>
    <w:rsid w:val="00951248"/>
    <w:rsid w:val="0095152F"/>
    <w:rsid w:val="00954C49"/>
    <w:rsid w:val="00955E37"/>
    <w:rsid w:val="009649E3"/>
    <w:rsid w:val="0097099F"/>
    <w:rsid w:val="00971997"/>
    <w:rsid w:val="00971FFC"/>
    <w:rsid w:val="0098660A"/>
    <w:rsid w:val="009931C3"/>
    <w:rsid w:val="009B2C43"/>
    <w:rsid w:val="009B4EAE"/>
    <w:rsid w:val="009B7573"/>
    <w:rsid w:val="009C22F4"/>
    <w:rsid w:val="009C2A4B"/>
    <w:rsid w:val="009C2E98"/>
    <w:rsid w:val="009D2C4C"/>
    <w:rsid w:val="009D3447"/>
    <w:rsid w:val="009D4711"/>
    <w:rsid w:val="009F1185"/>
    <w:rsid w:val="009F18CD"/>
    <w:rsid w:val="009F2A13"/>
    <w:rsid w:val="009F67AF"/>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2689"/>
    <w:rsid w:val="00AC3C6A"/>
    <w:rsid w:val="00AD5620"/>
    <w:rsid w:val="00AD656B"/>
    <w:rsid w:val="00AD7C1B"/>
    <w:rsid w:val="00AE16BA"/>
    <w:rsid w:val="00AE1EBE"/>
    <w:rsid w:val="00AE3A76"/>
    <w:rsid w:val="00AF0879"/>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1D6F"/>
    <w:rsid w:val="00BC289F"/>
    <w:rsid w:val="00BC2D50"/>
    <w:rsid w:val="00BC5361"/>
    <w:rsid w:val="00BC5460"/>
    <w:rsid w:val="00BC6B50"/>
    <w:rsid w:val="00BD0E25"/>
    <w:rsid w:val="00BD1A00"/>
    <w:rsid w:val="00BF5BD6"/>
    <w:rsid w:val="00C03E31"/>
    <w:rsid w:val="00C33E72"/>
    <w:rsid w:val="00C354B2"/>
    <w:rsid w:val="00C35554"/>
    <w:rsid w:val="00C3653B"/>
    <w:rsid w:val="00C42709"/>
    <w:rsid w:val="00C50DBC"/>
    <w:rsid w:val="00C533CC"/>
    <w:rsid w:val="00C5751C"/>
    <w:rsid w:val="00C61BFC"/>
    <w:rsid w:val="00C62B85"/>
    <w:rsid w:val="00C65438"/>
    <w:rsid w:val="00C7096C"/>
    <w:rsid w:val="00C83BBA"/>
    <w:rsid w:val="00C87FD8"/>
    <w:rsid w:val="00C91381"/>
    <w:rsid w:val="00C91CBB"/>
    <w:rsid w:val="00C93EC5"/>
    <w:rsid w:val="00CA1E38"/>
    <w:rsid w:val="00CB4E70"/>
    <w:rsid w:val="00CC09B6"/>
    <w:rsid w:val="00CC666F"/>
    <w:rsid w:val="00CD1E3F"/>
    <w:rsid w:val="00CD555A"/>
    <w:rsid w:val="00CE44F6"/>
    <w:rsid w:val="00CE49DA"/>
    <w:rsid w:val="00CE7B61"/>
    <w:rsid w:val="00D00095"/>
    <w:rsid w:val="00D114F0"/>
    <w:rsid w:val="00D12062"/>
    <w:rsid w:val="00D152FF"/>
    <w:rsid w:val="00D20620"/>
    <w:rsid w:val="00D21408"/>
    <w:rsid w:val="00D254F7"/>
    <w:rsid w:val="00D26091"/>
    <w:rsid w:val="00D2685C"/>
    <w:rsid w:val="00D31E6F"/>
    <w:rsid w:val="00D34E7C"/>
    <w:rsid w:val="00D35489"/>
    <w:rsid w:val="00D36AFE"/>
    <w:rsid w:val="00D51276"/>
    <w:rsid w:val="00D54910"/>
    <w:rsid w:val="00D674CA"/>
    <w:rsid w:val="00D7035F"/>
    <w:rsid w:val="00D95D1B"/>
    <w:rsid w:val="00DA634F"/>
    <w:rsid w:val="00DA65AC"/>
    <w:rsid w:val="00DB1913"/>
    <w:rsid w:val="00DC410D"/>
    <w:rsid w:val="00DC5A81"/>
    <w:rsid w:val="00DC625F"/>
    <w:rsid w:val="00DC68CA"/>
    <w:rsid w:val="00DC7CBA"/>
    <w:rsid w:val="00DD73B7"/>
    <w:rsid w:val="00DE75A6"/>
    <w:rsid w:val="00DF28BC"/>
    <w:rsid w:val="00DF34B9"/>
    <w:rsid w:val="00E01053"/>
    <w:rsid w:val="00E07ACF"/>
    <w:rsid w:val="00E331A1"/>
    <w:rsid w:val="00E33202"/>
    <w:rsid w:val="00E336A9"/>
    <w:rsid w:val="00E41325"/>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5CD1"/>
    <w:rsid w:val="00EF77C6"/>
    <w:rsid w:val="00F05438"/>
    <w:rsid w:val="00F118B2"/>
    <w:rsid w:val="00F1361C"/>
    <w:rsid w:val="00F156F0"/>
    <w:rsid w:val="00F160C7"/>
    <w:rsid w:val="00F2408F"/>
    <w:rsid w:val="00F240E9"/>
    <w:rsid w:val="00F36D8F"/>
    <w:rsid w:val="00F417B1"/>
    <w:rsid w:val="00F45853"/>
    <w:rsid w:val="00F602DF"/>
    <w:rsid w:val="00F754A1"/>
    <w:rsid w:val="00F81865"/>
    <w:rsid w:val="00F81FD9"/>
    <w:rsid w:val="00F828F2"/>
    <w:rsid w:val="00F841AA"/>
    <w:rsid w:val="00F8483E"/>
    <w:rsid w:val="00F84A94"/>
    <w:rsid w:val="00F87E96"/>
    <w:rsid w:val="00FA23E8"/>
    <w:rsid w:val="00FD3CC1"/>
    <w:rsid w:val="00FF10BA"/>
    <w:rsid w:val="00FF1E02"/>
    <w:rsid w:val="00FF30B4"/>
    <w:rsid w:val="03DC2831"/>
    <w:rsid w:val="081B5E94"/>
    <w:rsid w:val="0A2032A3"/>
    <w:rsid w:val="0B8A37D8"/>
    <w:rsid w:val="0F5FFB2F"/>
    <w:rsid w:val="0FFFCF60"/>
    <w:rsid w:val="10C055FF"/>
    <w:rsid w:val="118107EC"/>
    <w:rsid w:val="11DD6519"/>
    <w:rsid w:val="13BA1CC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E72FF0"/>
    <w:rsid w:val="49FF41D3"/>
    <w:rsid w:val="4BE068DB"/>
    <w:rsid w:val="4BF6002B"/>
    <w:rsid w:val="4BFFC6BE"/>
    <w:rsid w:val="4ECE2238"/>
    <w:rsid w:val="51DB4B86"/>
    <w:rsid w:val="51F64DB0"/>
    <w:rsid w:val="53D51F07"/>
    <w:rsid w:val="55333C3E"/>
    <w:rsid w:val="5994497F"/>
    <w:rsid w:val="5F67802D"/>
    <w:rsid w:val="5F7DC4F2"/>
    <w:rsid w:val="5FB36814"/>
    <w:rsid w:val="5FBB8E56"/>
    <w:rsid w:val="5FFB5535"/>
    <w:rsid w:val="603268F6"/>
    <w:rsid w:val="64CA39A1"/>
    <w:rsid w:val="675F0DCB"/>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7.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89680061544038"/>
          <c:y val="0.0466982952052129"/>
          <c:w val="0.763145533532451"/>
          <c:h val="0.844588290816956"/>
        </c:manualLayout>
      </c:layout>
      <c:barChart>
        <c:barDir val="col"/>
        <c:grouping val="clustered"/>
        <c:varyColors val="0"/>
        <c:ser>
          <c:idx val="0"/>
          <c:order val="0"/>
          <c:tx>
            <c:strRef>
              <c:f>Sheet1!$B$1</c:f>
              <c:strCache>
                <c:ptCount val="1"/>
                <c:pt idx="0">
                  <c:v>收入</c:v>
                </c:pt>
              </c:strCache>
            </c:strRef>
          </c:tx>
          <c:invertIfNegative val="0"/>
          <c:dLbls>
            <c:delete val="1"/>
          </c:dLbls>
          <c:cat>
            <c:strRef>
              <c:f>Sheet1!$A$2:$A$5</c:f>
              <c:strCache>
                <c:ptCount val="2"/>
                <c:pt idx="0">
                  <c:v>2023年</c:v>
                </c:pt>
                <c:pt idx="1">
                  <c:v>2022年</c:v>
                </c:pt>
              </c:strCache>
            </c:strRef>
          </c:cat>
          <c:val>
            <c:numRef>
              <c:f>Sheet1!$B$2:$B$5</c:f>
              <c:numCache>
                <c:formatCode>General</c:formatCode>
                <c:ptCount val="4"/>
                <c:pt idx="0">
                  <c:v>5811.51</c:v>
                </c:pt>
                <c:pt idx="1">
                  <c:v>5215.15</c:v>
                </c:pt>
              </c:numCache>
            </c:numRef>
          </c:val>
        </c:ser>
        <c:ser>
          <c:idx val="1"/>
          <c:order val="1"/>
          <c:tx>
            <c:strRef>
              <c:f>Sheet1!$C$1</c:f>
              <c:strCache>
                <c:ptCount val="1"/>
                <c:pt idx="0">
                  <c:v>支出</c:v>
                </c:pt>
              </c:strCache>
            </c:strRef>
          </c:tx>
          <c:invertIfNegative val="0"/>
          <c:dLbls>
            <c:dLbl>
              <c:idx val="0"/>
              <c:layout>
                <c:manualLayout>
                  <c:x val="-0.0321583178726038"/>
                  <c:y val="-0.004040404040404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48367952522256"/>
                  <c:y val="-0.012106537530266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2023年</c:v>
                </c:pt>
                <c:pt idx="1">
                  <c:v>2022年</c:v>
                </c:pt>
              </c:strCache>
            </c:strRef>
          </c:cat>
          <c:val>
            <c:numRef>
              <c:f>Sheet1!$C$2:$C$5</c:f>
              <c:numCache>
                <c:formatCode>General</c:formatCode>
                <c:ptCount val="4"/>
                <c:pt idx="0">
                  <c:v>5811.51</c:v>
                </c:pt>
                <c:pt idx="1">
                  <c:v>5215.15</c:v>
                </c:pt>
              </c:numCache>
            </c:numRef>
          </c:val>
        </c:ser>
        <c:dLbls>
          <c:showLegendKey val="0"/>
          <c:showVal val="0"/>
          <c:showCatName val="0"/>
          <c:showSerName val="0"/>
          <c:showPercent val="0"/>
          <c:showBubbleSize val="0"/>
        </c:dLbls>
        <c:gapWidth val="150"/>
        <c:axId val="250707328"/>
        <c:axId val="250768384"/>
      </c:barChart>
      <c:catAx>
        <c:axId val="25070732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0768384"/>
        <c:crosses val="autoZero"/>
        <c:auto val="1"/>
        <c:lblAlgn val="ctr"/>
        <c:lblOffset val="100"/>
        <c:noMultiLvlLbl val="0"/>
      </c:catAx>
      <c:valAx>
        <c:axId val="25076838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070732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3720202263431"/>
          <c:y val="0.012383900928792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3"/>
              <c:layout>
                <c:manualLayout>
                  <c:x val="0.0431769908819201"/>
                  <c:y val="-0.018215158129986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  5125.98万元</c:v>
                </c:pt>
                <c:pt idx="1">
                  <c:v>政府性基金预算财政拨款收入 0万元</c:v>
                </c:pt>
                <c:pt idx="2">
                  <c:v>上级补助收入 0万元</c:v>
                </c:pt>
                <c:pt idx="3">
                  <c:v>事业收入  685.53万元</c:v>
                </c:pt>
                <c:pt idx="4">
                  <c:v>其他收入 0万元</c:v>
                </c:pt>
              </c:strCache>
            </c:strRef>
          </c:cat>
          <c:val>
            <c:numRef>
              <c:f>Sheet1!$B$2:$B$6</c:f>
              <c:numCache>
                <c:formatCode>0%</c:formatCode>
                <c:ptCount val="5"/>
                <c:pt idx="0">
                  <c:v>0.882</c:v>
                </c:pt>
                <c:pt idx="1" c:formatCode="0.00%">
                  <c:v>0</c:v>
                </c:pt>
                <c:pt idx="2" c:formatCode="0.00%">
                  <c:v>0</c:v>
                </c:pt>
                <c:pt idx="3" c:formatCode="0.00%">
                  <c:v>0.118</c:v>
                </c:pt>
                <c:pt idx="4" c:formatCode="0.00%">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3720202263431"/>
          <c:y val="0.012383900928792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dLbl>
              <c:idx val="0"/>
              <c:layout>
                <c:manualLayout>
                  <c:x val="0.0205088828472988"/>
                  <c:y val="-0.07706779251277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65377200406953"/>
                  <c:y val="0.10889409794170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基本支出4373.09万元</c:v>
                </c:pt>
                <c:pt idx="1">
                  <c:v>项目支出  1438.42万元</c:v>
                </c:pt>
              </c:strCache>
            </c:strRef>
          </c:cat>
          <c:val>
            <c:numRef>
              <c:f>Sheet1!$B$2:$B$3</c:f>
              <c:numCache>
                <c:formatCode>0.00%</c:formatCode>
                <c:ptCount val="2"/>
                <c:pt idx="0">
                  <c:v>0.7525</c:v>
                </c:pt>
                <c:pt idx="1">
                  <c:v>0.2475</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5125.98</c:v>
                </c:pt>
                <c:pt idx="1">
                  <c:v>4695.85</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3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5125.98</c:v>
                </c:pt>
                <c:pt idx="1">
                  <c:v>4695.85</c:v>
                </c:pt>
              </c:numCache>
            </c:numRef>
          </c:val>
        </c:ser>
        <c:dLbls>
          <c:showLegendKey val="0"/>
          <c:showVal val="1"/>
          <c:showCatName val="0"/>
          <c:showSerName val="0"/>
          <c:showPercent val="0"/>
          <c:showBubbleSize val="0"/>
        </c:dLbls>
        <c:gapWidth val="150"/>
        <c:axId val="314553088"/>
        <c:axId val="314554624"/>
      </c:barChart>
      <c:catAx>
        <c:axId val="3145530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4554624"/>
        <c:crosses val="autoZero"/>
        <c:auto val="1"/>
        <c:lblAlgn val="ctr"/>
        <c:lblOffset val="100"/>
        <c:noMultiLvlLbl val="0"/>
      </c:catAx>
      <c:valAx>
        <c:axId val="3145546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455308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1312304358295"/>
          <c:y val="0.0206398348813211"/>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5125.98</c:v>
                </c:pt>
                <c:pt idx="1">
                  <c:v>4695.85</c:v>
                </c:pt>
              </c:numCache>
            </c:numRef>
          </c:val>
        </c:ser>
        <c:dLbls>
          <c:showLegendKey val="0"/>
          <c:showVal val="1"/>
          <c:showCatName val="0"/>
          <c:showSerName val="0"/>
          <c:showPercent val="0"/>
          <c:showBubbleSize val="0"/>
        </c:dLbls>
        <c:gapWidth val="150"/>
        <c:axId val="320939904"/>
        <c:axId val="320941440"/>
      </c:barChart>
      <c:catAx>
        <c:axId val="32093990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0941440"/>
        <c:crosses val="autoZero"/>
        <c:auto val="1"/>
        <c:lblAlgn val="ctr"/>
        <c:lblOffset val="100"/>
        <c:noMultiLvlLbl val="0"/>
      </c:catAx>
      <c:valAx>
        <c:axId val="3209414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0939904"/>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a:t>单位：万元</a:t>
            </a:r>
            <a:endParaRPr lang="zh-CN" altLang="en-US" sz="1000"/>
          </a:p>
        </c:rich>
      </c:tx>
      <c:layout>
        <c:manualLayout>
          <c:xMode val="edge"/>
          <c:yMode val="edge"/>
          <c:x val="0.841197297953364"/>
          <c:y val="0.0412874706451167"/>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0"/>
              <c:layout>
                <c:manualLayout>
                  <c:x val="0.0429827008338935"/>
                  <c:y val="0.016112868589373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42505314854967"/>
                  <c:y val="-0.072367053825016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33684557546249"/>
                  <c:y val="0.034323550465282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 10万元</c:v>
                </c:pt>
                <c:pt idx="1">
                  <c:v>教育支出  3876.31万元</c:v>
                </c:pt>
                <c:pt idx="2">
                  <c:v>社会保障和就业支出  598.41万元</c:v>
                </c:pt>
                <c:pt idx="3">
                  <c:v>卫生健康支出  331.57万元</c:v>
                </c:pt>
                <c:pt idx="4">
                  <c:v>住房保障支出  309.69万元</c:v>
                </c:pt>
              </c:strCache>
            </c:strRef>
          </c:cat>
          <c:val>
            <c:numRef>
              <c:f>Sheet1!$B$2:$B$6</c:f>
              <c:numCache>
                <c:formatCode>0.00%</c:formatCode>
                <c:ptCount val="5"/>
                <c:pt idx="0">
                  <c:v>0.002</c:v>
                </c:pt>
                <c:pt idx="1">
                  <c:v>0.756200000000001</c:v>
                </c:pt>
                <c:pt idx="2">
                  <c:v>0.1167</c:v>
                </c:pt>
                <c:pt idx="3">
                  <c:v>0.0647</c:v>
                </c:pt>
                <c:pt idx="4">
                  <c:v>0.0604</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1312304358295"/>
          <c:y val="0.0247678018575851"/>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公务用车购置及运行维护费  2.15万元</c:v>
                </c:pt>
                <c:pt idx="1">
                  <c:v>公务接待费 0万元</c:v>
                </c:pt>
              </c:strCache>
            </c:strRef>
          </c:cat>
          <c:val>
            <c:numRef>
              <c:f>Sheet1!$B$2:$B$3</c:f>
              <c:numCache>
                <c:formatCode>0.00%</c:formatCode>
                <c:ptCount val="2"/>
                <c:pt idx="0">
                  <c:v>1</c:v>
                </c:pt>
                <c:pt idx="1">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20</Pages>
  <Words>963</Words>
  <Characters>5493</Characters>
  <Lines>45</Lines>
  <Paragraphs>12</Paragraphs>
  <TotalTime>38</TotalTime>
  <ScaleCrop>false</ScaleCrop>
  <LinksUpToDate>false</LinksUpToDate>
  <CharactersWithSpaces>6444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2024-10-21T03:29:00Z</dcterms:created>
  <dc:creator>曹颖</dc:creator>
  <cp:lastModifiedBy>Administrator</cp:lastModifiedBy>
  <cp:lastPrinted>2023-08-03T02:35:00Z</cp:lastPrinted>
  <dcterms:modified xsi:type="dcterms:W3CDTF">2024-10-25T08:53:53Z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