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0"/>
        <w:rPr>
          <w:rFonts w:hint="default" w:ascii="Times New Roman" w:hAnsi="Times New Roman" w:eastAsia="方正小标宋简体" w:cs="Times New Roman"/>
          <w:szCs w:val="21"/>
        </w:rPr>
      </w:pPr>
      <w:bookmarkStart w:id="0" w:name="_Toc15306267"/>
    </w:p>
    <w:p>
      <w:pPr>
        <w:pStyle w:val="5"/>
        <w:spacing w:before="93"/>
        <w:rPr>
          <w:rFonts w:hint="default" w:ascii="Times New Roman" w:hAnsi="Times New Roman" w:cs="Times New Roman"/>
        </w:rPr>
      </w:pPr>
    </w:p>
    <w:p>
      <w:pPr>
        <w:spacing w:line="600" w:lineRule="exact"/>
        <w:jc w:val="center"/>
        <w:outlineLvl w:val="0"/>
        <w:rPr>
          <w:rFonts w:hint="default" w:ascii="Times New Roman" w:hAnsi="Times New Roman" w:eastAsia="方正小标宋简体" w:cs="Times New Roman"/>
          <w:sz w:val="72"/>
          <w:szCs w:val="72"/>
        </w:rPr>
      </w:pPr>
    </w:p>
    <w:p>
      <w:pPr>
        <w:spacing w:line="600" w:lineRule="exact"/>
        <w:jc w:val="center"/>
        <w:outlineLvl w:val="0"/>
        <w:rPr>
          <w:rFonts w:hint="default" w:ascii="Times New Roman" w:hAnsi="Times New Roman" w:eastAsia="方正小标宋简体" w:cs="Times New Roman"/>
          <w:sz w:val="72"/>
          <w:szCs w:val="72"/>
        </w:rPr>
      </w:pPr>
    </w:p>
    <w:p>
      <w:pPr>
        <w:adjustRightInd w:val="0"/>
        <w:snapToGrid w:val="0"/>
        <w:spacing w:line="360" w:lineRule="auto"/>
        <w:jc w:val="center"/>
        <w:outlineLvl w:val="0"/>
        <w:rPr>
          <w:rFonts w:hint="default" w:ascii="Times New Roman" w:hAnsi="Times New Roman" w:eastAsia="方正小标宋简体" w:cs="Times New Roman"/>
          <w:sz w:val="72"/>
          <w:szCs w:val="72"/>
        </w:rPr>
      </w:pPr>
      <w:bookmarkStart w:id="1" w:name="_Toc15377425"/>
      <w:bookmarkStart w:id="2" w:name="_Toc15377193"/>
      <w:bookmarkStart w:id="3" w:name="_Toc15378441"/>
      <w:bookmarkStart w:id="4" w:name="_Toc15396475"/>
      <w:bookmarkStart w:id="5" w:name="_Toc15396597"/>
      <w:r>
        <w:rPr>
          <w:rFonts w:hint="default" w:ascii="Times New Roman" w:hAnsi="Times New Roman" w:eastAsia="方正小标宋简体" w:cs="Times New Roman"/>
          <w:sz w:val="72"/>
          <w:szCs w:val="72"/>
        </w:rPr>
        <w:t>2023年度</w:t>
      </w:r>
      <w:bookmarkEnd w:id="1"/>
      <w:bookmarkEnd w:id="2"/>
      <w:bookmarkEnd w:id="3"/>
      <w:bookmarkEnd w:id="4"/>
      <w:bookmarkEnd w:id="5"/>
    </w:p>
    <w:bookmarkEnd w:id="0"/>
    <w:p>
      <w:pPr>
        <w:adjustRightInd w:val="0"/>
        <w:snapToGrid w:val="0"/>
        <w:spacing w:line="360" w:lineRule="auto"/>
        <w:jc w:val="center"/>
        <w:outlineLvl w:val="0"/>
        <w:rPr>
          <w:rFonts w:hint="default" w:ascii="Times New Roman" w:hAnsi="Times New Roman" w:eastAsia="方正小标宋简体" w:cs="Times New Roman"/>
          <w:sz w:val="72"/>
          <w:szCs w:val="72"/>
        </w:rPr>
      </w:pPr>
      <w:bookmarkStart w:id="6" w:name="_Toc15396598"/>
      <w:bookmarkStart w:id="7" w:name="_Toc15306268"/>
      <w:bookmarkStart w:id="8" w:name="_Toc15396476"/>
      <w:bookmarkStart w:id="9" w:name="_Toc15377194"/>
      <w:bookmarkStart w:id="10" w:name="_Toc15378442"/>
      <w:bookmarkStart w:id="11" w:name="_Toc15377426"/>
      <w:r>
        <w:rPr>
          <w:rFonts w:hint="default" w:ascii="Times New Roman" w:hAnsi="Times New Roman" w:eastAsia="方正小标宋简体" w:cs="Times New Roman"/>
          <w:sz w:val="72"/>
          <w:szCs w:val="72"/>
          <w:lang w:val="en-US" w:eastAsia="zh-CN"/>
        </w:rPr>
        <w:t>盐边县永兴镇初级中学校</w:t>
      </w:r>
      <w:r>
        <w:rPr>
          <w:rFonts w:hint="default" w:ascii="Times New Roman" w:hAnsi="Times New Roman" w:eastAsia="方正小标宋简体" w:cs="Times New Roman"/>
          <w:sz w:val="72"/>
          <w:szCs w:val="72"/>
        </w:rPr>
        <w:t>单位决算</w:t>
      </w:r>
      <w:bookmarkEnd w:id="6"/>
      <w:bookmarkEnd w:id="7"/>
      <w:bookmarkEnd w:id="8"/>
      <w:bookmarkEnd w:id="9"/>
      <w:bookmarkEnd w:id="10"/>
      <w:bookmarkEnd w:id="11"/>
    </w:p>
    <w:p>
      <w:pPr>
        <w:widowControl/>
        <w:jc w:val="center"/>
        <w:rPr>
          <w:rFonts w:hint="default" w:ascii="Times New Roman" w:hAnsi="Times New Roman" w:eastAsia="黑体" w:cs="Times New Roman"/>
          <w:sz w:val="48"/>
          <w:szCs w:val="48"/>
        </w:rPr>
      </w:pPr>
      <w:r>
        <w:rPr>
          <w:rFonts w:hint="default" w:ascii="Times New Roman" w:hAnsi="Times New Roman" w:eastAsia="方正小标宋简体" w:cs="Times New Roman"/>
          <w:sz w:val="36"/>
          <w:szCs w:val="36"/>
        </w:rPr>
        <w:br w:type="page"/>
      </w:r>
      <w:r>
        <w:rPr>
          <w:rFonts w:hint="default" w:ascii="Times New Roman" w:hAnsi="Times New Roman" w:eastAsia="黑体" w:cs="Times New Roman"/>
          <w:sz w:val="48"/>
          <w:szCs w:val="48"/>
        </w:rPr>
        <w:t>目录</w:t>
      </w:r>
    </w:p>
    <w:p>
      <w:pPr>
        <w:widowControl/>
        <w:jc w:val="center"/>
        <w:rPr>
          <w:rFonts w:hint="default" w:ascii="Times New Roman" w:hAnsi="Times New Roman" w:eastAsia="黑体" w:cs="Times New Roman"/>
          <w:sz w:val="28"/>
          <w:szCs w:val="28"/>
        </w:rPr>
      </w:pPr>
    </w:p>
    <w:p>
      <w:pPr>
        <w:pStyle w:val="11"/>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公开时间：202</w:t>
      </w:r>
      <w:r>
        <w:rPr>
          <w:rFonts w:hint="default" w:ascii="Times New Roman" w:hAnsi="Times New Roman" w:eastAsia="仿宋_GB2312" w:cs="Times New Roman"/>
          <w:sz w:val="28"/>
          <w:szCs w:val="28"/>
          <w:lang w:val="en-US" w:eastAsia="zh-CN"/>
        </w:rPr>
        <w:t>4</w:t>
      </w:r>
      <w:r>
        <w:rPr>
          <w:rFonts w:hint="default" w:ascii="Times New Roman" w:hAnsi="Times New Roman" w:eastAsia="仿宋_GB2312" w:cs="Times New Roman"/>
          <w:sz w:val="28"/>
          <w:szCs w:val="28"/>
        </w:rPr>
        <w:t>年</w:t>
      </w:r>
      <w:r>
        <w:rPr>
          <w:rFonts w:hint="default" w:ascii="Times New Roman" w:hAnsi="Times New Roman" w:eastAsia="仿宋_GB2312" w:cs="Times New Roman"/>
          <w:sz w:val="28"/>
          <w:szCs w:val="28"/>
          <w:lang w:val="en-US" w:eastAsia="zh-CN"/>
        </w:rPr>
        <w:t>10</w:t>
      </w:r>
      <w:r>
        <w:rPr>
          <w:rFonts w:hint="default" w:ascii="Times New Roman" w:hAnsi="Times New Roman" w:eastAsia="仿宋_GB2312" w:cs="Times New Roman"/>
          <w:sz w:val="28"/>
          <w:szCs w:val="28"/>
        </w:rPr>
        <w:t>月</w:t>
      </w:r>
      <w:r>
        <w:rPr>
          <w:rFonts w:hint="default" w:ascii="Times New Roman" w:hAnsi="Times New Roman" w:eastAsia="仿宋_GB2312" w:cs="Times New Roman"/>
          <w:sz w:val="28"/>
          <w:szCs w:val="28"/>
          <w:lang w:val="en-US" w:eastAsia="zh-CN"/>
        </w:rPr>
        <w:t>28</w:t>
      </w:r>
      <w:r>
        <w:rPr>
          <w:rFonts w:hint="default" w:ascii="Times New Roman" w:hAnsi="Times New Roman" w:eastAsia="仿宋_GB2312" w:cs="Times New Roman"/>
          <w:sz w:val="28"/>
          <w:szCs w:val="28"/>
        </w:rPr>
        <w:t>日</w:t>
      </w:r>
    </w:p>
    <w:p>
      <w:pPr>
        <w:rPr>
          <w:rFonts w:hint="default" w:ascii="Times New Roman" w:hAnsi="Times New Roman" w:eastAsia="仿宋_GB2312" w:cs="Times New Roman"/>
          <w:sz w:val="28"/>
          <w:szCs w:val="28"/>
        </w:rPr>
      </w:pPr>
    </w:p>
    <w:sdt>
      <w:sdtPr>
        <w:rPr>
          <w:rFonts w:ascii="宋体" w:hAnsi="宋体" w:eastAsia="宋体" w:cs="Times New Roman"/>
          <w:kern w:val="2"/>
          <w:sz w:val="21"/>
          <w:szCs w:val="24"/>
          <w:lang w:val="en-US" w:eastAsia="zh-CN" w:bidi="ar-SA"/>
        </w:rPr>
        <w:id w:val="147454689"/>
        <w:docPartObj>
          <w:docPartGallery w:val="Table of Contents"/>
          <w:docPartUnique/>
        </w:docPartObj>
      </w:sdtPr>
      <w:sdtEndPr>
        <w:rPr>
          <w:rFonts w:ascii="宋体" w:hAnsi="宋体" w:eastAsia="宋体" w:cs="Times New Roman"/>
          <w:kern w:val="2"/>
          <w:sz w:val="20"/>
          <w:szCs w:val="20"/>
          <w:lang w:val="en-US" w:eastAsia="zh-CN" w:bidi="ar-SA"/>
        </w:rPr>
      </w:sdtEndPr>
      <w:sdtContent>
        <w:p>
          <w:pPr>
            <w:spacing w:before="0" w:beforeLines="0" w:after="0" w:afterLines="0" w:line="240" w:lineRule="auto"/>
            <w:ind w:left="0" w:leftChars="0" w:right="0" w:rightChars="0" w:firstLine="0" w:firstLineChars="0"/>
            <w:jc w:val="center"/>
          </w:pPr>
          <w:bookmarkStart w:id="12" w:name="_Toc15460_WPSOffice_Type2"/>
          <w:r>
            <w:rPr>
              <w:rFonts w:ascii="宋体" w:hAnsi="宋体" w:eastAsia="宋体"/>
              <w:sz w:val="21"/>
            </w:rPr>
            <w:t>目录</w:t>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fldChar w:fldCharType="begin"/>
          </w:r>
          <w:r>
            <w:rPr>
              <w:rFonts w:hint="eastAsia" w:ascii="仿宋_GB2312" w:hAnsi="仿宋_GB2312" w:eastAsia="仿宋_GB2312" w:cs="仿宋_GB2312"/>
              <w:sz w:val="24"/>
              <w:szCs w:val="24"/>
            </w:rPr>
            <w:instrText xml:space="preserve"> HYPERLINK \l _Toc31788_WPSOffice_Level1 </w:instrText>
          </w:r>
          <w:r>
            <w:rPr>
              <w:rFonts w:hint="eastAsia" w:ascii="仿宋_GB2312" w:hAnsi="仿宋_GB2312" w:eastAsia="仿宋_GB2312" w:cs="仿宋_GB2312"/>
              <w:b/>
              <w:bCs/>
              <w:sz w:val="24"/>
              <w:szCs w:val="24"/>
            </w:rPr>
            <w:fldChar w:fldCharType="separate"/>
          </w:r>
          <w:sdt>
            <w:sdtPr>
              <w:rPr>
                <w:rFonts w:hint="eastAsia" w:ascii="仿宋_GB2312" w:hAnsi="仿宋_GB2312" w:eastAsia="仿宋_GB2312" w:cs="仿宋_GB2312"/>
                <w:b/>
                <w:bCs/>
                <w:kern w:val="2"/>
                <w:sz w:val="24"/>
                <w:szCs w:val="24"/>
                <w:lang w:val="en-US" w:eastAsia="zh-CN" w:bidi="ar-SA"/>
              </w:rPr>
              <w:id w:val="147454689"/>
              <w:placeholder>
                <w:docPart w:val="{69f287c6-b9aa-4ae2-ba08-3aaa9c4ebd9a}"/>
              </w:placeholder>
            </w:sdtPr>
            <w:sdtEndPr>
              <w:rPr>
                <w:rFonts w:hint="eastAsia" w:ascii="仿宋_GB2312" w:hAnsi="仿宋_GB2312" w:eastAsia="仿宋_GB2312" w:cs="仿宋_GB2312"/>
                <w:b/>
                <w:bCs/>
                <w:kern w:val="2"/>
                <w:sz w:val="24"/>
                <w:szCs w:val="24"/>
                <w:lang w:val="en-US" w:eastAsia="zh-CN" w:bidi="ar-SA"/>
              </w:rPr>
            </w:sdtEndPr>
            <w:sdtContent>
              <w:r>
                <w:rPr>
                  <w:rFonts w:hint="eastAsia" w:ascii="仿宋_GB2312" w:hAnsi="仿宋_GB2312" w:eastAsia="仿宋_GB2312" w:cs="仿宋_GB2312"/>
                  <w:b/>
                  <w:bCs/>
                  <w:sz w:val="24"/>
                  <w:szCs w:val="24"/>
                </w:rPr>
                <w:t>第一部分 单位概况</w:t>
              </w:r>
            </w:sdtContent>
          </w:sdt>
          <w:r>
            <w:rPr>
              <w:rFonts w:hint="eastAsia" w:ascii="仿宋_GB2312" w:hAnsi="仿宋_GB2312" w:eastAsia="仿宋_GB2312" w:cs="仿宋_GB2312"/>
              <w:b/>
              <w:bCs/>
              <w:sz w:val="24"/>
              <w:szCs w:val="24"/>
            </w:rPr>
            <w:tab/>
          </w:r>
          <w:r>
            <w:rPr>
              <w:rFonts w:hint="eastAsia" w:ascii="仿宋_GB2312" w:hAnsi="仿宋_GB2312" w:eastAsia="仿宋_GB2312" w:cs="仿宋_GB2312"/>
              <w:b/>
              <w:bCs/>
              <w:sz w:val="24"/>
              <w:szCs w:val="24"/>
              <w:lang w:val="en-US" w:eastAsia="zh-CN"/>
            </w:rPr>
            <w:t>4</w:t>
          </w:r>
          <w:r>
            <w:rPr>
              <w:rFonts w:hint="eastAsia" w:ascii="仿宋_GB2312" w:hAnsi="仿宋_GB2312" w:eastAsia="仿宋_GB2312" w:cs="仿宋_GB2312"/>
              <w:b/>
              <w:bCs/>
              <w:sz w:val="24"/>
              <w:szCs w:val="24"/>
            </w:rPr>
            <w:fldChar w:fldCharType="end"/>
          </w:r>
        </w:p>
        <w:p>
          <w:pPr>
            <w:pStyle w:val="35"/>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_Toc15460_WPSOffice_Level2 </w:instrText>
          </w:r>
          <w:r>
            <w:rPr>
              <w:rFonts w:hint="eastAsia" w:ascii="仿宋_GB2312" w:hAnsi="仿宋_GB2312" w:eastAsia="仿宋_GB2312" w:cs="仿宋_GB2312"/>
              <w:sz w:val="24"/>
              <w:szCs w:val="24"/>
            </w:rPr>
            <w:fldChar w:fldCharType="separate"/>
          </w:r>
          <w:sdt>
            <w:sdtPr>
              <w:rPr>
                <w:rFonts w:hint="eastAsia" w:ascii="仿宋_GB2312" w:hAnsi="仿宋_GB2312" w:eastAsia="仿宋_GB2312" w:cs="仿宋_GB2312"/>
                <w:kern w:val="2"/>
                <w:sz w:val="24"/>
                <w:szCs w:val="24"/>
                <w:lang w:val="en-US" w:eastAsia="zh-CN" w:bidi="ar-SA"/>
              </w:rPr>
              <w:id w:val="147454689"/>
              <w:placeholder>
                <w:docPart w:val="{66755fde-c40e-4f4a-9cb2-ee4b18d5efa5}"/>
              </w:placeholder>
            </w:sdtPr>
            <w:sdtEndPr>
              <w:rPr>
                <w:rFonts w:hint="eastAsia" w:ascii="仿宋_GB2312" w:hAnsi="仿宋_GB2312" w:eastAsia="仿宋_GB2312" w:cs="仿宋_GB2312"/>
                <w:kern w:val="2"/>
                <w:sz w:val="24"/>
                <w:szCs w:val="24"/>
                <w:lang w:val="en-US" w:eastAsia="zh-CN" w:bidi="ar-SA"/>
              </w:rPr>
            </w:sdtEndPr>
            <w:sdtContent>
              <w:r>
                <w:rPr>
                  <w:rFonts w:hint="eastAsia" w:ascii="仿宋_GB2312" w:hAnsi="仿宋_GB2312" w:eastAsia="仿宋_GB2312" w:cs="仿宋_GB2312"/>
                  <w:sz w:val="24"/>
                  <w:szCs w:val="24"/>
                </w:rPr>
                <w:t>一、 主要职责</w:t>
              </w:r>
            </w:sdtContent>
          </w:sdt>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rPr>
            <w:fldChar w:fldCharType="end"/>
          </w:r>
        </w:p>
        <w:p>
          <w:pPr>
            <w:pStyle w:val="35"/>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_Toc30928_WPSOffice_Level2 </w:instrText>
          </w:r>
          <w:r>
            <w:rPr>
              <w:rFonts w:hint="eastAsia" w:ascii="仿宋_GB2312" w:hAnsi="仿宋_GB2312" w:eastAsia="仿宋_GB2312" w:cs="仿宋_GB2312"/>
              <w:sz w:val="24"/>
              <w:szCs w:val="24"/>
            </w:rPr>
            <w:fldChar w:fldCharType="separate"/>
          </w:r>
          <w:sdt>
            <w:sdtPr>
              <w:rPr>
                <w:rFonts w:hint="eastAsia" w:ascii="仿宋_GB2312" w:hAnsi="仿宋_GB2312" w:eastAsia="仿宋_GB2312" w:cs="仿宋_GB2312"/>
                <w:kern w:val="2"/>
                <w:sz w:val="24"/>
                <w:szCs w:val="24"/>
                <w:lang w:val="en-US" w:eastAsia="zh-CN" w:bidi="ar-SA"/>
              </w:rPr>
              <w:id w:val="147454689"/>
              <w:placeholder>
                <w:docPart w:val="{50dbf396-1fe9-41cf-a6b6-45c1a7e2ca72}"/>
              </w:placeholder>
            </w:sdtPr>
            <w:sdtEndPr>
              <w:rPr>
                <w:rFonts w:hint="eastAsia" w:ascii="仿宋_GB2312" w:hAnsi="仿宋_GB2312" w:eastAsia="仿宋_GB2312" w:cs="仿宋_GB2312"/>
                <w:kern w:val="2"/>
                <w:sz w:val="24"/>
                <w:szCs w:val="24"/>
                <w:lang w:val="en-US" w:eastAsia="zh-CN" w:bidi="ar-SA"/>
              </w:rPr>
            </w:sdtEndPr>
            <w:sdtContent>
              <w:r>
                <w:rPr>
                  <w:rFonts w:hint="eastAsia" w:ascii="仿宋_GB2312" w:hAnsi="仿宋_GB2312" w:eastAsia="仿宋_GB2312" w:cs="仿宋_GB2312"/>
                  <w:sz w:val="24"/>
                  <w:szCs w:val="24"/>
                </w:rPr>
                <w:t>二、 机构设置</w:t>
              </w:r>
            </w:sdtContent>
          </w:sdt>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fldChar w:fldCharType="begin"/>
          </w:r>
          <w:r>
            <w:rPr>
              <w:rFonts w:hint="eastAsia" w:ascii="仿宋_GB2312" w:hAnsi="仿宋_GB2312" w:eastAsia="仿宋_GB2312" w:cs="仿宋_GB2312"/>
              <w:sz w:val="24"/>
              <w:szCs w:val="24"/>
            </w:rPr>
            <w:instrText xml:space="preserve"> HYPERLINK \l _Toc15460_WPSOffice_Level1 </w:instrText>
          </w:r>
          <w:r>
            <w:rPr>
              <w:rFonts w:hint="eastAsia" w:ascii="仿宋_GB2312" w:hAnsi="仿宋_GB2312" w:eastAsia="仿宋_GB2312" w:cs="仿宋_GB2312"/>
              <w:b/>
              <w:bCs/>
              <w:sz w:val="24"/>
              <w:szCs w:val="24"/>
            </w:rPr>
            <w:fldChar w:fldCharType="separate"/>
          </w:r>
          <w:sdt>
            <w:sdtPr>
              <w:rPr>
                <w:rFonts w:hint="eastAsia" w:ascii="仿宋_GB2312" w:hAnsi="仿宋_GB2312" w:eastAsia="仿宋_GB2312" w:cs="仿宋_GB2312"/>
                <w:b/>
                <w:bCs/>
                <w:kern w:val="2"/>
                <w:sz w:val="24"/>
                <w:szCs w:val="24"/>
                <w:lang w:val="en-US" w:eastAsia="zh-CN" w:bidi="ar-SA"/>
              </w:rPr>
              <w:id w:val="147454689"/>
              <w:placeholder>
                <w:docPart w:val="{c366c20a-c14f-41a9-994d-014339f26598}"/>
              </w:placeholder>
            </w:sdtPr>
            <w:sdtEndPr>
              <w:rPr>
                <w:rFonts w:hint="eastAsia" w:ascii="仿宋_GB2312" w:hAnsi="仿宋_GB2312" w:eastAsia="仿宋_GB2312" w:cs="仿宋_GB2312"/>
                <w:b/>
                <w:bCs/>
                <w:kern w:val="2"/>
                <w:sz w:val="24"/>
                <w:szCs w:val="24"/>
                <w:lang w:val="en-US" w:eastAsia="zh-CN" w:bidi="ar-SA"/>
              </w:rPr>
            </w:sdtEndPr>
            <w:sdtContent>
              <w:r>
                <w:rPr>
                  <w:rFonts w:hint="eastAsia" w:ascii="仿宋_GB2312" w:hAnsi="仿宋_GB2312" w:eastAsia="仿宋_GB2312" w:cs="仿宋_GB2312"/>
                  <w:b/>
                  <w:bCs/>
                  <w:sz w:val="24"/>
                  <w:szCs w:val="24"/>
                </w:rPr>
                <w:t>第二部分 2023年度单位决算情况说明</w:t>
              </w:r>
            </w:sdtContent>
          </w:sdt>
          <w:r>
            <w:rPr>
              <w:rFonts w:hint="eastAsia" w:ascii="仿宋_GB2312" w:hAnsi="仿宋_GB2312" w:eastAsia="仿宋_GB2312" w:cs="仿宋_GB2312"/>
              <w:b/>
              <w:bCs/>
              <w:sz w:val="24"/>
              <w:szCs w:val="24"/>
            </w:rPr>
            <w:tab/>
          </w:r>
          <w:r>
            <w:rPr>
              <w:rFonts w:hint="eastAsia" w:ascii="仿宋_GB2312" w:hAnsi="仿宋_GB2312" w:eastAsia="仿宋_GB2312" w:cs="仿宋_GB2312"/>
              <w:b/>
              <w:bCs/>
              <w:sz w:val="24"/>
              <w:szCs w:val="24"/>
              <w:lang w:val="en-US" w:eastAsia="zh-CN"/>
            </w:rPr>
            <w:t>5</w:t>
          </w:r>
          <w:r>
            <w:rPr>
              <w:rFonts w:hint="eastAsia" w:ascii="仿宋_GB2312" w:hAnsi="仿宋_GB2312" w:eastAsia="仿宋_GB2312" w:cs="仿宋_GB2312"/>
              <w:b/>
              <w:bCs/>
              <w:sz w:val="24"/>
              <w:szCs w:val="24"/>
            </w:rPr>
            <w:fldChar w:fldCharType="end"/>
          </w:r>
        </w:p>
        <w:p>
          <w:pPr>
            <w:pStyle w:val="35"/>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_Toc6723_WPSOffice_Level2 </w:instrText>
          </w:r>
          <w:r>
            <w:rPr>
              <w:rFonts w:hint="eastAsia" w:ascii="仿宋_GB2312" w:hAnsi="仿宋_GB2312" w:eastAsia="仿宋_GB2312" w:cs="仿宋_GB2312"/>
              <w:sz w:val="24"/>
              <w:szCs w:val="24"/>
            </w:rPr>
            <w:fldChar w:fldCharType="separate"/>
          </w:r>
          <w:sdt>
            <w:sdtPr>
              <w:rPr>
                <w:rFonts w:hint="eastAsia" w:ascii="仿宋_GB2312" w:hAnsi="仿宋_GB2312" w:eastAsia="仿宋_GB2312" w:cs="仿宋_GB2312"/>
                <w:kern w:val="2"/>
                <w:sz w:val="24"/>
                <w:szCs w:val="24"/>
                <w:lang w:val="en-US" w:eastAsia="zh-CN" w:bidi="ar-SA"/>
              </w:rPr>
              <w:id w:val="147454689"/>
              <w:placeholder>
                <w:docPart w:val="{19d01d31-9708-4167-8bec-b77c8ac72e8a}"/>
              </w:placeholder>
            </w:sdtPr>
            <w:sdtEndPr>
              <w:rPr>
                <w:rFonts w:hint="eastAsia" w:ascii="仿宋_GB2312" w:hAnsi="仿宋_GB2312" w:eastAsia="仿宋_GB2312" w:cs="仿宋_GB2312"/>
                <w:kern w:val="2"/>
                <w:sz w:val="24"/>
                <w:szCs w:val="24"/>
                <w:lang w:val="en-US" w:eastAsia="zh-CN" w:bidi="ar-SA"/>
              </w:rPr>
            </w:sdtEndPr>
            <w:sdtContent>
              <w:r>
                <w:rPr>
                  <w:rFonts w:hint="eastAsia" w:ascii="仿宋_GB2312" w:hAnsi="仿宋_GB2312" w:eastAsia="仿宋_GB2312" w:cs="仿宋_GB2312"/>
                  <w:sz w:val="24"/>
                  <w:szCs w:val="24"/>
                </w:rPr>
                <w:t>一、收入支出决算总体情况说明</w:t>
              </w:r>
            </w:sdtContent>
          </w:sdt>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fldChar w:fldCharType="end"/>
          </w:r>
        </w:p>
        <w:p>
          <w:pPr>
            <w:pStyle w:val="35"/>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_Toc23924_WPSOffice_Level2 </w:instrText>
          </w:r>
          <w:r>
            <w:rPr>
              <w:rFonts w:hint="eastAsia" w:ascii="仿宋_GB2312" w:hAnsi="仿宋_GB2312" w:eastAsia="仿宋_GB2312" w:cs="仿宋_GB2312"/>
              <w:sz w:val="24"/>
              <w:szCs w:val="24"/>
            </w:rPr>
            <w:fldChar w:fldCharType="separate"/>
          </w:r>
          <w:sdt>
            <w:sdtPr>
              <w:rPr>
                <w:rFonts w:hint="eastAsia" w:ascii="仿宋_GB2312" w:hAnsi="仿宋_GB2312" w:eastAsia="仿宋_GB2312" w:cs="仿宋_GB2312"/>
                <w:kern w:val="2"/>
                <w:sz w:val="24"/>
                <w:szCs w:val="24"/>
                <w:lang w:val="en-US" w:eastAsia="zh-CN" w:bidi="ar-SA"/>
              </w:rPr>
              <w:id w:val="147454689"/>
              <w:placeholder>
                <w:docPart w:val="{f9525d09-f1ee-40dd-98e4-1425ec543464}"/>
              </w:placeholder>
            </w:sdtPr>
            <w:sdtEndPr>
              <w:rPr>
                <w:rFonts w:hint="eastAsia" w:ascii="仿宋_GB2312" w:hAnsi="仿宋_GB2312" w:eastAsia="仿宋_GB2312" w:cs="仿宋_GB2312"/>
                <w:kern w:val="2"/>
                <w:sz w:val="24"/>
                <w:szCs w:val="24"/>
                <w:lang w:val="en-US" w:eastAsia="zh-CN" w:bidi="ar-SA"/>
              </w:rPr>
            </w:sdtEndPr>
            <w:sdtContent>
              <w:r>
                <w:rPr>
                  <w:rFonts w:hint="eastAsia" w:ascii="仿宋_GB2312" w:hAnsi="仿宋_GB2312" w:eastAsia="仿宋_GB2312" w:cs="仿宋_GB2312"/>
                  <w:sz w:val="24"/>
                  <w:szCs w:val="24"/>
                </w:rPr>
                <w:t>二、收入决算情况说明</w:t>
              </w:r>
            </w:sdtContent>
          </w:sdt>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fldChar w:fldCharType="end"/>
          </w:r>
        </w:p>
        <w:p>
          <w:pPr>
            <w:pStyle w:val="35"/>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_Toc23089_WPSOffice_Level2 </w:instrText>
          </w:r>
          <w:r>
            <w:rPr>
              <w:rFonts w:hint="eastAsia" w:ascii="仿宋_GB2312" w:hAnsi="仿宋_GB2312" w:eastAsia="仿宋_GB2312" w:cs="仿宋_GB2312"/>
              <w:sz w:val="24"/>
              <w:szCs w:val="24"/>
            </w:rPr>
            <w:fldChar w:fldCharType="separate"/>
          </w:r>
          <w:sdt>
            <w:sdtPr>
              <w:rPr>
                <w:rFonts w:hint="eastAsia" w:ascii="仿宋_GB2312" w:hAnsi="仿宋_GB2312" w:eastAsia="仿宋_GB2312" w:cs="仿宋_GB2312"/>
                <w:kern w:val="2"/>
                <w:sz w:val="24"/>
                <w:szCs w:val="24"/>
                <w:lang w:val="en-US" w:eastAsia="zh-CN" w:bidi="ar-SA"/>
              </w:rPr>
              <w:id w:val="147454689"/>
              <w:placeholder>
                <w:docPart w:val="{c20178cc-a7ce-4116-9d43-e767c23e6a47}"/>
              </w:placeholder>
            </w:sdtPr>
            <w:sdtEndPr>
              <w:rPr>
                <w:rFonts w:hint="eastAsia" w:ascii="仿宋_GB2312" w:hAnsi="仿宋_GB2312" w:eastAsia="仿宋_GB2312" w:cs="仿宋_GB2312"/>
                <w:kern w:val="2"/>
                <w:sz w:val="24"/>
                <w:szCs w:val="24"/>
                <w:lang w:val="en-US" w:eastAsia="zh-CN" w:bidi="ar-SA"/>
              </w:rPr>
            </w:sdtEndPr>
            <w:sdtContent>
              <w:r>
                <w:rPr>
                  <w:rFonts w:hint="eastAsia" w:ascii="仿宋_GB2312" w:hAnsi="仿宋_GB2312" w:eastAsia="仿宋_GB2312" w:cs="仿宋_GB2312"/>
                  <w:sz w:val="24"/>
                  <w:szCs w:val="24"/>
                </w:rPr>
                <w:t>三、支出决算情况说明</w:t>
              </w:r>
            </w:sdtContent>
          </w:sdt>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szCs w:val="24"/>
              <w:lang w:val="en-US" w:eastAsia="zh-CN"/>
            </w:rPr>
            <w:t>6</w:t>
          </w:r>
        </w:p>
        <w:p>
          <w:pPr>
            <w:pStyle w:val="35"/>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_Toc6714_WPSOffice_Level2 </w:instrText>
          </w:r>
          <w:r>
            <w:rPr>
              <w:rFonts w:hint="eastAsia" w:ascii="仿宋_GB2312" w:hAnsi="仿宋_GB2312" w:eastAsia="仿宋_GB2312" w:cs="仿宋_GB2312"/>
              <w:sz w:val="24"/>
              <w:szCs w:val="24"/>
            </w:rPr>
            <w:fldChar w:fldCharType="separate"/>
          </w:r>
          <w:sdt>
            <w:sdtPr>
              <w:rPr>
                <w:rFonts w:hint="eastAsia" w:ascii="仿宋_GB2312" w:hAnsi="仿宋_GB2312" w:eastAsia="仿宋_GB2312" w:cs="仿宋_GB2312"/>
                <w:kern w:val="2"/>
                <w:sz w:val="24"/>
                <w:szCs w:val="24"/>
                <w:lang w:val="en-US" w:eastAsia="zh-CN" w:bidi="ar-SA"/>
              </w:rPr>
              <w:id w:val="147454689"/>
              <w:placeholder>
                <w:docPart w:val="{df7a8b86-a9ec-48ed-9a02-b0e7a7c41064}"/>
              </w:placeholder>
            </w:sdtPr>
            <w:sdtEndPr>
              <w:rPr>
                <w:rFonts w:hint="eastAsia" w:ascii="仿宋_GB2312" w:hAnsi="仿宋_GB2312" w:eastAsia="仿宋_GB2312" w:cs="仿宋_GB2312"/>
                <w:kern w:val="2"/>
                <w:sz w:val="24"/>
                <w:szCs w:val="24"/>
                <w:lang w:val="en-US" w:eastAsia="zh-CN" w:bidi="ar-SA"/>
              </w:rPr>
            </w:sdtEndPr>
            <w:sdtContent>
              <w:r>
                <w:rPr>
                  <w:rFonts w:hint="eastAsia" w:ascii="仿宋_GB2312" w:hAnsi="仿宋_GB2312" w:eastAsia="仿宋_GB2312" w:cs="仿宋_GB2312"/>
                  <w:sz w:val="24"/>
                  <w:szCs w:val="24"/>
                </w:rPr>
                <w:t>四、财政拨款收入支出决算总体情况说明</w:t>
              </w:r>
            </w:sdtContent>
          </w:sdt>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lang w:val="en-US" w:eastAsia="zh-CN"/>
            </w:rPr>
            <w:t>7</w:t>
          </w:r>
          <w:r>
            <w:rPr>
              <w:rFonts w:hint="eastAsia" w:ascii="仿宋_GB2312" w:hAnsi="仿宋_GB2312" w:eastAsia="仿宋_GB2312" w:cs="仿宋_GB2312"/>
              <w:sz w:val="24"/>
              <w:szCs w:val="24"/>
            </w:rPr>
            <w:fldChar w:fldCharType="end"/>
          </w:r>
        </w:p>
        <w:p>
          <w:pPr>
            <w:pStyle w:val="35"/>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_Toc23507_WPSOffice_Level2 </w:instrText>
          </w:r>
          <w:r>
            <w:rPr>
              <w:rFonts w:hint="eastAsia" w:ascii="仿宋_GB2312" w:hAnsi="仿宋_GB2312" w:eastAsia="仿宋_GB2312" w:cs="仿宋_GB2312"/>
              <w:sz w:val="24"/>
              <w:szCs w:val="24"/>
            </w:rPr>
            <w:fldChar w:fldCharType="separate"/>
          </w:r>
          <w:sdt>
            <w:sdtPr>
              <w:rPr>
                <w:rFonts w:hint="eastAsia" w:ascii="仿宋_GB2312" w:hAnsi="仿宋_GB2312" w:eastAsia="仿宋_GB2312" w:cs="仿宋_GB2312"/>
                <w:kern w:val="2"/>
                <w:sz w:val="24"/>
                <w:szCs w:val="24"/>
                <w:lang w:val="en-US" w:eastAsia="zh-CN" w:bidi="ar-SA"/>
              </w:rPr>
              <w:id w:val="147454689"/>
              <w:placeholder>
                <w:docPart w:val="{6a47938b-113d-43d8-bbb1-7c93eab87c34}"/>
              </w:placeholder>
            </w:sdtPr>
            <w:sdtEndPr>
              <w:rPr>
                <w:rFonts w:hint="eastAsia" w:ascii="仿宋_GB2312" w:hAnsi="仿宋_GB2312" w:eastAsia="仿宋_GB2312" w:cs="仿宋_GB2312"/>
                <w:kern w:val="2"/>
                <w:sz w:val="24"/>
                <w:szCs w:val="24"/>
                <w:lang w:val="en-US" w:eastAsia="zh-CN" w:bidi="ar-SA"/>
              </w:rPr>
            </w:sdtEndPr>
            <w:sdtContent>
              <w:r>
                <w:rPr>
                  <w:rFonts w:hint="eastAsia" w:ascii="仿宋_GB2312" w:hAnsi="仿宋_GB2312" w:eastAsia="仿宋_GB2312" w:cs="仿宋_GB2312"/>
                  <w:sz w:val="24"/>
                  <w:szCs w:val="24"/>
                </w:rPr>
                <w:t>五、一般公共预算财政拨款支出决算情况说明</w:t>
              </w:r>
            </w:sdtContent>
          </w:sdt>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lang w:val="en-US" w:eastAsia="zh-CN"/>
            </w:rPr>
            <w:t>7</w:t>
          </w:r>
          <w:r>
            <w:rPr>
              <w:rFonts w:hint="eastAsia" w:ascii="仿宋_GB2312" w:hAnsi="仿宋_GB2312" w:eastAsia="仿宋_GB2312" w:cs="仿宋_GB2312"/>
              <w:sz w:val="24"/>
              <w:szCs w:val="24"/>
            </w:rPr>
            <w:fldChar w:fldCharType="end"/>
          </w:r>
        </w:p>
        <w:p>
          <w:pPr>
            <w:pStyle w:val="35"/>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_Toc25753_WPSOffice_Level2 </w:instrText>
          </w:r>
          <w:r>
            <w:rPr>
              <w:rFonts w:hint="eastAsia" w:ascii="仿宋_GB2312" w:hAnsi="仿宋_GB2312" w:eastAsia="仿宋_GB2312" w:cs="仿宋_GB2312"/>
              <w:sz w:val="24"/>
              <w:szCs w:val="24"/>
            </w:rPr>
            <w:fldChar w:fldCharType="separate"/>
          </w:r>
          <w:sdt>
            <w:sdtPr>
              <w:rPr>
                <w:rFonts w:hint="eastAsia" w:ascii="仿宋_GB2312" w:hAnsi="仿宋_GB2312" w:eastAsia="仿宋_GB2312" w:cs="仿宋_GB2312"/>
                <w:kern w:val="2"/>
                <w:sz w:val="24"/>
                <w:szCs w:val="24"/>
                <w:lang w:val="en-US" w:eastAsia="zh-CN" w:bidi="ar-SA"/>
              </w:rPr>
              <w:id w:val="147454689"/>
              <w:placeholder>
                <w:docPart w:val="{550c5616-d30b-425a-b3d0-13eaf13a0acc}"/>
              </w:placeholder>
            </w:sdtPr>
            <w:sdtEndPr>
              <w:rPr>
                <w:rFonts w:hint="eastAsia" w:ascii="仿宋_GB2312" w:hAnsi="仿宋_GB2312" w:eastAsia="仿宋_GB2312" w:cs="仿宋_GB2312"/>
                <w:kern w:val="2"/>
                <w:sz w:val="24"/>
                <w:szCs w:val="24"/>
                <w:lang w:val="en-US" w:eastAsia="zh-CN" w:bidi="ar-SA"/>
              </w:rPr>
            </w:sdtEndPr>
            <w:sdtContent>
              <w:r>
                <w:rPr>
                  <w:rFonts w:hint="eastAsia" w:ascii="仿宋_GB2312" w:hAnsi="仿宋_GB2312" w:eastAsia="仿宋_GB2312" w:cs="仿宋_GB2312"/>
                  <w:sz w:val="24"/>
                  <w:szCs w:val="24"/>
                </w:rPr>
                <w:t>六、一般公共预算财政拨款基本支出决算情况说明</w:t>
              </w:r>
            </w:sdtContent>
          </w:sdt>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szCs w:val="24"/>
              <w:lang w:val="en-US" w:eastAsia="zh-CN"/>
            </w:rPr>
            <w:t>0</w:t>
          </w:r>
        </w:p>
        <w:p>
          <w:pPr>
            <w:pStyle w:val="35"/>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_Toc10629_WPSOffice_Level2 </w:instrText>
          </w:r>
          <w:r>
            <w:rPr>
              <w:rFonts w:hint="eastAsia" w:ascii="仿宋_GB2312" w:hAnsi="仿宋_GB2312" w:eastAsia="仿宋_GB2312" w:cs="仿宋_GB2312"/>
              <w:sz w:val="24"/>
              <w:szCs w:val="24"/>
            </w:rPr>
            <w:fldChar w:fldCharType="separate"/>
          </w:r>
          <w:sdt>
            <w:sdtPr>
              <w:rPr>
                <w:rFonts w:hint="eastAsia" w:ascii="仿宋_GB2312" w:hAnsi="仿宋_GB2312" w:eastAsia="仿宋_GB2312" w:cs="仿宋_GB2312"/>
                <w:kern w:val="2"/>
                <w:sz w:val="24"/>
                <w:szCs w:val="24"/>
                <w:lang w:val="en-US" w:eastAsia="zh-CN" w:bidi="ar-SA"/>
              </w:rPr>
              <w:id w:val="147454689"/>
              <w:placeholder>
                <w:docPart w:val="{6e3933dd-36fc-4214-a993-1c1fbd19c902}"/>
              </w:placeholder>
            </w:sdtPr>
            <w:sdtEndPr>
              <w:rPr>
                <w:rFonts w:hint="eastAsia" w:ascii="仿宋_GB2312" w:hAnsi="仿宋_GB2312" w:eastAsia="仿宋_GB2312" w:cs="仿宋_GB2312"/>
                <w:kern w:val="2"/>
                <w:sz w:val="24"/>
                <w:szCs w:val="24"/>
                <w:lang w:val="en-US" w:eastAsia="zh-CN" w:bidi="ar-SA"/>
              </w:rPr>
            </w:sdtEndPr>
            <w:sdtContent>
              <w:r>
                <w:rPr>
                  <w:rFonts w:hint="eastAsia" w:ascii="仿宋_GB2312" w:hAnsi="仿宋_GB2312" w:eastAsia="仿宋_GB2312" w:cs="仿宋_GB2312"/>
                  <w:sz w:val="24"/>
                  <w:szCs w:val="24"/>
                </w:rPr>
                <w:t>七、财政拨款“三公”经费支出决算情况说明</w:t>
              </w:r>
            </w:sdtContent>
          </w:sdt>
          <w:r>
            <w:rPr>
              <w:rFonts w:hint="eastAsia" w:ascii="仿宋_GB2312" w:hAnsi="仿宋_GB2312" w:eastAsia="仿宋_GB2312" w:cs="仿宋_GB2312"/>
              <w:sz w:val="24"/>
              <w:szCs w:val="24"/>
            </w:rPr>
            <w:tab/>
          </w:r>
          <w:bookmarkStart w:id="13" w:name="_Toc10629_WPSOffice_Level2Page"/>
          <w:r>
            <w:rPr>
              <w:rFonts w:hint="eastAsia" w:ascii="仿宋_GB2312" w:hAnsi="仿宋_GB2312" w:eastAsia="仿宋_GB2312" w:cs="仿宋_GB2312"/>
              <w:sz w:val="24"/>
              <w:szCs w:val="24"/>
            </w:rPr>
            <w:t>1</w:t>
          </w:r>
          <w:bookmarkEnd w:id="13"/>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fldChar w:fldCharType="end"/>
          </w:r>
        </w:p>
        <w:p>
          <w:pPr>
            <w:pStyle w:val="35"/>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_Toc9530_WPSOffice_Level2 </w:instrText>
          </w:r>
          <w:r>
            <w:rPr>
              <w:rFonts w:hint="eastAsia" w:ascii="仿宋_GB2312" w:hAnsi="仿宋_GB2312" w:eastAsia="仿宋_GB2312" w:cs="仿宋_GB2312"/>
              <w:sz w:val="24"/>
              <w:szCs w:val="24"/>
            </w:rPr>
            <w:fldChar w:fldCharType="separate"/>
          </w:r>
          <w:sdt>
            <w:sdtPr>
              <w:rPr>
                <w:rFonts w:hint="eastAsia" w:ascii="仿宋_GB2312" w:hAnsi="仿宋_GB2312" w:eastAsia="仿宋_GB2312" w:cs="仿宋_GB2312"/>
                <w:kern w:val="2"/>
                <w:sz w:val="24"/>
                <w:szCs w:val="24"/>
                <w:lang w:val="en-US" w:eastAsia="zh-CN" w:bidi="ar-SA"/>
              </w:rPr>
              <w:id w:val="147454689"/>
              <w:placeholder>
                <w:docPart w:val="{4d141368-c520-4c06-9d86-9b3d96df4cae}"/>
              </w:placeholder>
            </w:sdtPr>
            <w:sdtEndPr>
              <w:rPr>
                <w:rFonts w:hint="eastAsia" w:ascii="仿宋_GB2312" w:hAnsi="仿宋_GB2312" w:eastAsia="仿宋_GB2312" w:cs="仿宋_GB2312"/>
                <w:kern w:val="2"/>
                <w:sz w:val="24"/>
                <w:szCs w:val="24"/>
                <w:lang w:val="en-US" w:eastAsia="zh-CN" w:bidi="ar-SA"/>
              </w:rPr>
            </w:sdtEndPr>
            <w:sdtContent>
              <w:r>
                <w:rPr>
                  <w:rFonts w:hint="eastAsia" w:ascii="仿宋_GB2312" w:hAnsi="仿宋_GB2312" w:eastAsia="仿宋_GB2312" w:cs="仿宋_GB2312"/>
                  <w:sz w:val="24"/>
                  <w:szCs w:val="24"/>
                </w:rPr>
                <w:t>八、政府性基金预算支出决算情况说明</w:t>
              </w:r>
            </w:sdtContent>
          </w:sdt>
          <w:r>
            <w:rPr>
              <w:rFonts w:hint="eastAsia" w:ascii="仿宋_GB2312" w:hAnsi="仿宋_GB2312" w:eastAsia="仿宋_GB2312" w:cs="仿宋_GB2312"/>
              <w:sz w:val="24"/>
              <w:szCs w:val="24"/>
            </w:rPr>
            <w:tab/>
          </w:r>
          <w:bookmarkStart w:id="14" w:name="_Toc9530_WPSOffice_Level2Page"/>
          <w:r>
            <w:rPr>
              <w:rFonts w:hint="eastAsia" w:ascii="仿宋_GB2312" w:hAnsi="仿宋_GB2312" w:eastAsia="仿宋_GB2312" w:cs="仿宋_GB2312"/>
              <w:sz w:val="24"/>
              <w:szCs w:val="24"/>
            </w:rPr>
            <w:t>1</w:t>
          </w:r>
          <w:bookmarkEnd w:id="14"/>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fldChar w:fldCharType="end"/>
          </w:r>
        </w:p>
        <w:p>
          <w:pPr>
            <w:pStyle w:val="35"/>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_Toc23067_WPSOffice_Level2 </w:instrText>
          </w:r>
          <w:r>
            <w:rPr>
              <w:rFonts w:hint="eastAsia" w:ascii="仿宋_GB2312" w:hAnsi="仿宋_GB2312" w:eastAsia="仿宋_GB2312" w:cs="仿宋_GB2312"/>
              <w:sz w:val="24"/>
              <w:szCs w:val="24"/>
            </w:rPr>
            <w:fldChar w:fldCharType="separate"/>
          </w:r>
          <w:sdt>
            <w:sdtPr>
              <w:rPr>
                <w:rFonts w:hint="eastAsia" w:ascii="仿宋_GB2312" w:hAnsi="仿宋_GB2312" w:eastAsia="仿宋_GB2312" w:cs="仿宋_GB2312"/>
                <w:kern w:val="2"/>
                <w:sz w:val="24"/>
                <w:szCs w:val="24"/>
                <w:lang w:val="en-US" w:eastAsia="zh-CN" w:bidi="ar-SA"/>
              </w:rPr>
              <w:id w:val="147454689"/>
              <w:placeholder>
                <w:docPart w:val="{4d9efb10-7366-41f4-9891-4101fd31ffb1}"/>
              </w:placeholder>
            </w:sdtPr>
            <w:sdtEndPr>
              <w:rPr>
                <w:rFonts w:hint="eastAsia" w:ascii="仿宋_GB2312" w:hAnsi="仿宋_GB2312" w:eastAsia="仿宋_GB2312" w:cs="仿宋_GB2312"/>
                <w:kern w:val="2"/>
                <w:sz w:val="24"/>
                <w:szCs w:val="24"/>
                <w:lang w:val="en-US" w:eastAsia="zh-CN" w:bidi="ar-SA"/>
              </w:rPr>
            </w:sdtEndPr>
            <w:sdtContent>
              <w:r>
                <w:rPr>
                  <w:rFonts w:hint="eastAsia" w:ascii="仿宋_GB2312" w:hAnsi="仿宋_GB2312" w:eastAsia="仿宋_GB2312" w:cs="仿宋_GB2312"/>
                  <w:sz w:val="24"/>
                  <w:szCs w:val="24"/>
                </w:rPr>
                <w:t>九、国有资本经营预算支出决算情况说明</w:t>
              </w:r>
            </w:sdtContent>
          </w:sdt>
          <w:r>
            <w:rPr>
              <w:rFonts w:hint="eastAsia" w:ascii="仿宋_GB2312" w:hAnsi="仿宋_GB2312" w:eastAsia="仿宋_GB2312" w:cs="仿宋_GB2312"/>
              <w:sz w:val="24"/>
              <w:szCs w:val="24"/>
            </w:rPr>
            <w:tab/>
          </w:r>
          <w:bookmarkStart w:id="15" w:name="_Toc23067_WPSOffice_Level2Page"/>
          <w:r>
            <w:rPr>
              <w:rFonts w:hint="eastAsia" w:ascii="仿宋_GB2312" w:hAnsi="仿宋_GB2312" w:eastAsia="仿宋_GB2312" w:cs="仿宋_GB2312"/>
              <w:sz w:val="24"/>
              <w:szCs w:val="24"/>
            </w:rPr>
            <w:t>1</w:t>
          </w:r>
          <w:bookmarkEnd w:id="15"/>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fldChar w:fldCharType="end"/>
          </w:r>
        </w:p>
        <w:p>
          <w:pPr>
            <w:pStyle w:val="35"/>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_Toc27949_WPSOffice_Level2 </w:instrText>
          </w:r>
          <w:r>
            <w:rPr>
              <w:rFonts w:hint="eastAsia" w:ascii="仿宋_GB2312" w:hAnsi="仿宋_GB2312" w:eastAsia="仿宋_GB2312" w:cs="仿宋_GB2312"/>
              <w:sz w:val="24"/>
              <w:szCs w:val="24"/>
            </w:rPr>
            <w:fldChar w:fldCharType="separate"/>
          </w:r>
          <w:sdt>
            <w:sdtPr>
              <w:rPr>
                <w:rFonts w:hint="eastAsia" w:ascii="仿宋_GB2312" w:hAnsi="仿宋_GB2312" w:eastAsia="仿宋_GB2312" w:cs="仿宋_GB2312"/>
                <w:kern w:val="2"/>
                <w:sz w:val="24"/>
                <w:szCs w:val="24"/>
                <w:lang w:val="en-US" w:eastAsia="zh-CN" w:bidi="ar-SA"/>
              </w:rPr>
              <w:id w:val="147454689"/>
              <w:placeholder>
                <w:docPart w:val="{177ee473-be48-43e9-b6fd-8d91c1283cfe}"/>
              </w:placeholder>
            </w:sdtPr>
            <w:sdtEndPr>
              <w:rPr>
                <w:rFonts w:hint="eastAsia" w:ascii="仿宋_GB2312" w:hAnsi="仿宋_GB2312" w:eastAsia="仿宋_GB2312" w:cs="仿宋_GB2312"/>
                <w:kern w:val="2"/>
                <w:sz w:val="24"/>
                <w:szCs w:val="24"/>
                <w:lang w:val="en-US" w:eastAsia="zh-CN" w:bidi="ar-SA"/>
              </w:rPr>
            </w:sdtEndPr>
            <w:sdtContent>
              <w:r>
                <w:rPr>
                  <w:rFonts w:hint="eastAsia" w:ascii="仿宋_GB2312" w:hAnsi="仿宋_GB2312" w:eastAsia="仿宋_GB2312" w:cs="仿宋_GB2312"/>
                  <w:sz w:val="24"/>
                  <w:szCs w:val="24"/>
                </w:rPr>
                <w:t>十、其他重要事项的情况说明</w:t>
              </w:r>
            </w:sdtContent>
          </w:sdt>
          <w:r>
            <w:rPr>
              <w:rFonts w:hint="eastAsia" w:ascii="仿宋_GB2312" w:hAnsi="仿宋_GB2312" w:eastAsia="仿宋_GB2312" w:cs="仿宋_GB2312"/>
              <w:sz w:val="24"/>
              <w:szCs w:val="24"/>
            </w:rPr>
            <w:tab/>
          </w:r>
          <w:bookmarkStart w:id="16" w:name="_Toc27949_WPSOffice_Level2Page"/>
          <w:r>
            <w:rPr>
              <w:rFonts w:hint="eastAsia" w:ascii="仿宋_GB2312" w:hAnsi="仿宋_GB2312" w:eastAsia="仿宋_GB2312" w:cs="仿宋_GB2312"/>
              <w:sz w:val="24"/>
              <w:szCs w:val="24"/>
            </w:rPr>
            <w:t>1</w:t>
          </w:r>
          <w:bookmarkEnd w:id="16"/>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fldChar w:fldCharType="begin"/>
          </w:r>
          <w:r>
            <w:rPr>
              <w:rFonts w:hint="eastAsia" w:ascii="仿宋_GB2312" w:hAnsi="仿宋_GB2312" w:eastAsia="仿宋_GB2312" w:cs="仿宋_GB2312"/>
              <w:sz w:val="24"/>
              <w:szCs w:val="24"/>
            </w:rPr>
            <w:instrText xml:space="preserve"> HYPERLINK \l _Toc30928_WPSOffice_Level1 </w:instrText>
          </w:r>
          <w:r>
            <w:rPr>
              <w:rFonts w:hint="eastAsia" w:ascii="仿宋_GB2312" w:hAnsi="仿宋_GB2312" w:eastAsia="仿宋_GB2312" w:cs="仿宋_GB2312"/>
              <w:b/>
              <w:bCs/>
              <w:sz w:val="24"/>
              <w:szCs w:val="24"/>
            </w:rPr>
            <w:fldChar w:fldCharType="separate"/>
          </w:r>
          <w:sdt>
            <w:sdtPr>
              <w:rPr>
                <w:rFonts w:hint="eastAsia" w:ascii="仿宋_GB2312" w:hAnsi="仿宋_GB2312" w:eastAsia="仿宋_GB2312" w:cs="仿宋_GB2312"/>
                <w:b/>
                <w:bCs/>
                <w:kern w:val="2"/>
                <w:sz w:val="24"/>
                <w:szCs w:val="24"/>
                <w:lang w:val="en-US" w:eastAsia="zh-CN" w:bidi="ar-SA"/>
              </w:rPr>
              <w:id w:val="147454689"/>
              <w:placeholder>
                <w:docPart w:val="{eea02527-09e1-4448-af8a-46c2c98136c4}"/>
              </w:placeholder>
            </w:sdtPr>
            <w:sdtEndPr>
              <w:rPr>
                <w:rFonts w:hint="eastAsia" w:ascii="仿宋_GB2312" w:hAnsi="仿宋_GB2312" w:eastAsia="仿宋_GB2312" w:cs="仿宋_GB2312"/>
                <w:b/>
                <w:bCs/>
                <w:kern w:val="2"/>
                <w:sz w:val="24"/>
                <w:szCs w:val="24"/>
                <w:lang w:val="en-US" w:eastAsia="zh-CN" w:bidi="ar-SA"/>
              </w:rPr>
            </w:sdtEndPr>
            <w:sdtContent>
              <w:r>
                <w:rPr>
                  <w:rFonts w:hint="eastAsia" w:ascii="仿宋_GB2312" w:hAnsi="仿宋_GB2312" w:eastAsia="仿宋_GB2312" w:cs="仿宋_GB2312"/>
                  <w:b/>
                  <w:bCs/>
                  <w:sz w:val="24"/>
                  <w:szCs w:val="24"/>
                </w:rPr>
                <w:t>第三部分 名词解释</w:t>
              </w:r>
            </w:sdtContent>
          </w:sdt>
          <w:r>
            <w:rPr>
              <w:rFonts w:hint="eastAsia" w:ascii="仿宋_GB2312" w:hAnsi="仿宋_GB2312" w:eastAsia="仿宋_GB2312" w:cs="仿宋_GB2312"/>
              <w:b/>
              <w:bCs/>
              <w:sz w:val="24"/>
              <w:szCs w:val="24"/>
            </w:rPr>
            <w:tab/>
          </w:r>
          <w:bookmarkStart w:id="17" w:name="_Toc30928_WPSOffice_Level1Page"/>
          <w:r>
            <w:rPr>
              <w:rFonts w:hint="eastAsia" w:ascii="仿宋_GB2312" w:hAnsi="仿宋_GB2312" w:eastAsia="仿宋_GB2312" w:cs="仿宋_GB2312"/>
              <w:b/>
              <w:bCs/>
              <w:sz w:val="24"/>
              <w:szCs w:val="24"/>
            </w:rPr>
            <w:t>1</w:t>
          </w:r>
          <w:bookmarkEnd w:id="17"/>
          <w:r>
            <w:rPr>
              <w:rFonts w:hint="eastAsia" w:ascii="仿宋_GB2312" w:hAnsi="仿宋_GB2312" w:eastAsia="仿宋_GB2312" w:cs="仿宋_GB2312"/>
              <w:b/>
              <w:bCs/>
              <w:sz w:val="24"/>
              <w:szCs w:val="24"/>
              <w:lang w:val="en-US" w:eastAsia="zh-CN"/>
            </w:rPr>
            <w:t>4</w:t>
          </w:r>
          <w:r>
            <w:rPr>
              <w:rFonts w:hint="eastAsia" w:ascii="仿宋_GB2312" w:hAnsi="仿宋_GB2312" w:eastAsia="仿宋_GB2312" w:cs="仿宋_GB2312"/>
              <w:b/>
              <w:bCs/>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fldChar w:fldCharType="begin"/>
          </w:r>
          <w:r>
            <w:rPr>
              <w:rFonts w:hint="eastAsia" w:ascii="仿宋_GB2312" w:hAnsi="仿宋_GB2312" w:eastAsia="仿宋_GB2312" w:cs="仿宋_GB2312"/>
              <w:sz w:val="24"/>
              <w:szCs w:val="24"/>
            </w:rPr>
            <w:instrText xml:space="preserve"> HYPERLINK \l _Toc6723_WPSOffice_Level1 </w:instrText>
          </w:r>
          <w:r>
            <w:rPr>
              <w:rFonts w:hint="eastAsia" w:ascii="仿宋_GB2312" w:hAnsi="仿宋_GB2312" w:eastAsia="仿宋_GB2312" w:cs="仿宋_GB2312"/>
              <w:b/>
              <w:bCs/>
              <w:sz w:val="24"/>
              <w:szCs w:val="24"/>
            </w:rPr>
            <w:fldChar w:fldCharType="separate"/>
          </w:r>
          <w:sdt>
            <w:sdtPr>
              <w:rPr>
                <w:rFonts w:hint="eastAsia" w:ascii="仿宋_GB2312" w:hAnsi="仿宋_GB2312" w:eastAsia="仿宋_GB2312" w:cs="仿宋_GB2312"/>
                <w:b/>
                <w:bCs/>
                <w:kern w:val="2"/>
                <w:sz w:val="24"/>
                <w:szCs w:val="24"/>
                <w:lang w:val="en-US" w:eastAsia="zh-CN" w:bidi="ar-SA"/>
              </w:rPr>
              <w:id w:val="147454689"/>
              <w:placeholder>
                <w:docPart w:val="{2885722c-c37c-4038-9640-379860514469}"/>
              </w:placeholder>
            </w:sdtPr>
            <w:sdtEndPr>
              <w:rPr>
                <w:rFonts w:hint="eastAsia" w:ascii="仿宋_GB2312" w:hAnsi="仿宋_GB2312" w:eastAsia="仿宋_GB2312" w:cs="仿宋_GB2312"/>
                <w:b/>
                <w:bCs/>
                <w:kern w:val="2"/>
                <w:sz w:val="24"/>
                <w:szCs w:val="24"/>
                <w:lang w:val="en-US" w:eastAsia="zh-CN" w:bidi="ar-SA"/>
              </w:rPr>
            </w:sdtEndPr>
            <w:sdtContent>
              <w:r>
                <w:rPr>
                  <w:rFonts w:hint="eastAsia" w:ascii="仿宋_GB2312" w:hAnsi="仿宋_GB2312" w:eastAsia="仿宋_GB2312" w:cs="仿宋_GB2312"/>
                  <w:b/>
                  <w:bCs/>
                  <w:sz w:val="24"/>
                  <w:szCs w:val="24"/>
                </w:rPr>
                <w:t>第四部分 附件</w:t>
              </w:r>
            </w:sdtContent>
          </w:sdt>
          <w:r>
            <w:rPr>
              <w:rFonts w:hint="eastAsia" w:ascii="仿宋_GB2312" w:hAnsi="仿宋_GB2312" w:eastAsia="仿宋_GB2312" w:cs="仿宋_GB2312"/>
              <w:b/>
              <w:bCs/>
              <w:sz w:val="24"/>
              <w:szCs w:val="24"/>
            </w:rPr>
            <w:tab/>
          </w:r>
          <w:bookmarkStart w:id="18" w:name="_Toc6723_WPSOffice_Level1Page"/>
          <w:r>
            <w:rPr>
              <w:rFonts w:hint="eastAsia" w:ascii="仿宋_GB2312" w:hAnsi="仿宋_GB2312" w:eastAsia="仿宋_GB2312" w:cs="仿宋_GB2312"/>
              <w:b/>
              <w:bCs/>
              <w:sz w:val="24"/>
              <w:szCs w:val="24"/>
            </w:rPr>
            <w:t>1</w:t>
          </w:r>
          <w:bookmarkEnd w:id="18"/>
          <w:r>
            <w:rPr>
              <w:rFonts w:hint="eastAsia" w:ascii="仿宋_GB2312" w:hAnsi="仿宋_GB2312" w:eastAsia="仿宋_GB2312" w:cs="仿宋_GB2312"/>
              <w:b/>
              <w:bCs/>
              <w:sz w:val="24"/>
              <w:szCs w:val="24"/>
              <w:lang w:val="en-US" w:eastAsia="zh-CN"/>
            </w:rPr>
            <w:t>7</w:t>
          </w:r>
          <w:r>
            <w:rPr>
              <w:rFonts w:hint="eastAsia" w:ascii="仿宋_GB2312" w:hAnsi="仿宋_GB2312" w:eastAsia="仿宋_GB2312" w:cs="仿宋_GB2312"/>
              <w:b/>
              <w:bCs/>
              <w:sz w:val="24"/>
              <w:szCs w:val="24"/>
            </w:rPr>
            <w:fldChar w:fldCharType="end"/>
          </w:r>
        </w:p>
        <w:p>
          <w:pPr>
            <w:pStyle w:val="35"/>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rPr>
          </w:pPr>
        </w:p>
        <w:p>
          <w:pPr>
            <w:pStyle w:val="34"/>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fldChar w:fldCharType="begin"/>
          </w:r>
          <w:r>
            <w:rPr>
              <w:rFonts w:hint="eastAsia" w:ascii="仿宋_GB2312" w:hAnsi="仿宋_GB2312" w:eastAsia="仿宋_GB2312" w:cs="仿宋_GB2312"/>
              <w:sz w:val="24"/>
              <w:szCs w:val="24"/>
            </w:rPr>
            <w:instrText xml:space="preserve"> HYPERLINK \l _Toc23924_WPSOffice_Level1 </w:instrText>
          </w:r>
          <w:r>
            <w:rPr>
              <w:rFonts w:hint="eastAsia" w:ascii="仿宋_GB2312" w:hAnsi="仿宋_GB2312" w:eastAsia="仿宋_GB2312" w:cs="仿宋_GB2312"/>
              <w:b/>
              <w:bCs/>
              <w:sz w:val="24"/>
              <w:szCs w:val="24"/>
            </w:rPr>
            <w:fldChar w:fldCharType="separate"/>
          </w:r>
          <w:sdt>
            <w:sdtPr>
              <w:rPr>
                <w:rFonts w:hint="eastAsia" w:ascii="仿宋_GB2312" w:hAnsi="仿宋_GB2312" w:eastAsia="仿宋_GB2312" w:cs="仿宋_GB2312"/>
                <w:b/>
                <w:bCs/>
                <w:kern w:val="2"/>
                <w:sz w:val="24"/>
                <w:szCs w:val="24"/>
                <w:lang w:val="en-US" w:eastAsia="zh-CN" w:bidi="ar-SA"/>
              </w:rPr>
              <w:id w:val="147454689"/>
              <w:placeholder>
                <w:docPart w:val="{4fd9973a-1f2d-4768-8d31-bb214ac11d29}"/>
              </w:placeholder>
            </w:sdtPr>
            <w:sdtEndPr>
              <w:rPr>
                <w:rFonts w:hint="eastAsia" w:ascii="仿宋_GB2312" w:hAnsi="仿宋_GB2312" w:eastAsia="仿宋_GB2312" w:cs="仿宋_GB2312"/>
                <w:b/>
                <w:bCs/>
                <w:kern w:val="2"/>
                <w:sz w:val="24"/>
                <w:szCs w:val="24"/>
                <w:lang w:val="en-US" w:eastAsia="zh-CN" w:bidi="ar-SA"/>
              </w:rPr>
            </w:sdtEndPr>
            <w:sdtContent>
              <w:r>
                <w:rPr>
                  <w:rFonts w:hint="eastAsia" w:ascii="仿宋_GB2312" w:hAnsi="仿宋_GB2312" w:eastAsia="仿宋_GB2312" w:cs="仿宋_GB2312"/>
                  <w:b/>
                  <w:bCs/>
                  <w:sz w:val="24"/>
                  <w:szCs w:val="24"/>
                </w:rPr>
                <w:t>第五部分 附表</w:t>
              </w:r>
            </w:sdtContent>
          </w:sdt>
          <w:r>
            <w:rPr>
              <w:rFonts w:hint="eastAsia" w:ascii="仿宋_GB2312" w:hAnsi="仿宋_GB2312" w:eastAsia="仿宋_GB2312" w:cs="仿宋_GB2312"/>
              <w:b/>
              <w:bCs/>
              <w:sz w:val="24"/>
              <w:szCs w:val="24"/>
            </w:rPr>
            <w:tab/>
          </w:r>
          <w:bookmarkStart w:id="19" w:name="_Toc23924_WPSOffice_Level1Page"/>
          <w:r>
            <w:rPr>
              <w:rFonts w:hint="eastAsia" w:ascii="仿宋_GB2312" w:hAnsi="仿宋_GB2312" w:eastAsia="仿宋_GB2312" w:cs="仿宋_GB2312"/>
              <w:b/>
              <w:bCs/>
              <w:sz w:val="24"/>
              <w:szCs w:val="24"/>
            </w:rPr>
            <w:t>1</w:t>
          </w:r>
          <w:bookmarkEnd w:id="19"/>
          <w:r>
            <w:rPr>
              <w:rFonts w:hint="eastAsia" w:ascii="仿宋_GB2312" w:hAnsi="仿宋_GB2312" w:eastAsia="仿宋_GB2312" w:cs="仿宋_GB2312"/>
              <w:b/>
              <w:bCs/>
              <w:sz w:val="24"/>
              <w:szCs w:val="24"/>
              <w:lang w:val="en-US" w:eastAsia="zh-CN"/>
            </w:rPr>
            <w:t>8</w:t>
          </w:r>
          <w:r>
            <w:rPr>
              <w:rFonts w:hint="eastAsia" w:ascii="仿宋_GB2312" w:hAnsi="仿宋_GB2312" w:eastAsia="仿宋_GB2312" w:cs="仿宋_GB2312"/>
              <w:b/>
              <w:bCs/>
              <w:sz w:val="24"/>
              <w:szCs w:val="24"/>
            </w:rPr>
            <w:fldChar w:fldCharType="end"/>
          </w:r>
        </w:p>
        <w:p>
          <w:pPr>
            <w:pStyle w:val="35"/>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_Toc29095_WPSOffice_Level2 </w:instrText>
          </w:r>
          <w:r>
            <w:rPr>
              <w:rFonts w:hint="eastAsia" w:ascii="仿宋_GB2312" w:hAnsi="仿宋_GB2312" w:eastAsia="仿宋_GB2312" w:cs="仿宋_GB2312"/>
              <w:sz w:val="24"/>
              <w:szCs w:val="24"/>
            </w:rPr>
            <w:fldChar w:fldCharType="separate"/>
          </w:r>
          <w:sdt>
            <w:sdtPr>
              <w:rPr>
                <w:rFonts w:hint="eastAsia" w:ascii="仿宋_GB2312" w:hAnsi="仿宋_GB2312" w:eastAsia="仿宋_GB2312" w:cs="仿宋_GB2312"/>
                <w:kern w:val="2"/>
                <w:sz w:val="24"/>
                <w:szCs w:val="24"/>
                <w:lang w:val="en-US" w:eastAsia="zh-CN" w:bidi="ar-SA"/>
              </w:rPr>
              <w:id w:val="147454689"/>
              <w:placeholder>
                <w:docPart w:val="{9b8ee861-6497-4e76-9a61-c804b2986c79}"/>
              </w:placeholder>
            </w:sdtPr>
            <w:sdtEndPr>
              <w:rPr>
                <w:rFonts w:hint="eastAsia" w:ascii="仿宋_GB2312" w:hAnsi="仿宋_GB2312" w:eastAsia="仿宋_GB2312" w:cs="仿宋_GB2312"/>
                <w:kern w:val="2"/>
                <w:sz w:val="24"/>
                <w:szCs w:val="24"/>
                <w:lang w:val="en-US" w:eastAsia="zh-CN" w:bidi="ar-SA"/>
              </w:rPr>
            </w:sdtEndPr>
            <w:sdtContent>
              <w:r>
                <w:rPr>
                  <w:rFonts w:hint="eastAsia" w:ascii="仿宋_GB2312" w:hAnsi="仿宋_GB2312" w:eastAsia="仿宋_GB2312" w:cs="仿宋_GB2312"/>
                  <w:sz w:val="24"/>
                  <w:szCs w:val="24"/>
                </w:rPr>
                <w:t>一、收入支出决算总表</w:t>
              </w:r>
            </w:sdtContent>
          </w:sdt>
          <w:r>
            <w:rPr>
              <w:rFonts w:hint="eastAsia" w:ascii="仿宋_GB2312" w:hAnsi="仿宋_GB2312" w:eastAsia="仿宋_GB2312" w:cs="仿宋_GB2312"/>
              <w:sz w:val="24"/>
              <w:szCs w:val="24"/>
            </w:rPr>
            <w:tab/>
          </w:r>
          <w:bookmarkStart w:id="20" w:name="_Toc29095_WPSOffice_Level2Page"/>
          <w:r>
            <w:rPr>
              <w:rFonts w:hint="eastAsia" w:ascii="仿宋_GB2312" w:hAnsi="仿宋_GB2312" w:eastAsia="仿宋_GB2312" w:cs="仿宋_GB2312"/>
              <w:sz w:val="24"/>
              <w:szCs w:val="24"/>
            </w:rPr>
            <w:t>1</w:t>
          </w:r>
          <w:bookmarkEnd w:id="20"/>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fldChar w:fldCharType="end"/>
          </w:r>
        </w:p>
        <w:p>
          <w:pPr>
            <w:pStyle w:val="35"/>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_Toc21347_WPSOffice_Level2 </w:instrText>
          </w:r>
          <w:r>
            <w:rPr>
              <w:rFonts w:hint="eastAsia" w:ascii="仿宋_GB2312" w:hAnsi="仿宋_GB2312" w:eastAsia="仿宋_GB2312" w:cs="仿宋_GB2312"/>
              <w:sz w:val="24"/>
              <w:szCs w:val="24"/>
            </w:rPr>
            <w:fldChar w:fldCharType="separate"/>
          </w:r>
          <w:sdt>
            <w:sdtPr>
              <w:rPr>
                <w:rFonts w:hint="eastAsia" w:ascii="仿宋_GB2312" w:hAnsi="仿宋_GB2312" w:eastAsia="仿宋_GB2312" w:cs="仿宋_GB2312"/>
                <w:kern w:val="2"/>
                <w:sz w:val="24"/>
                <w:szCs w:val="24"/>
                <w:lang w:val="en-US" w:eastAsia="zh-CN" w:bidi="ar-SA"/>
              </w:rPr>
              <w:id w:val="147454689"/>
              <w:placeholder>
                <w:docPart w:val="{e86d9118-4bb6-4566-a54c-18703659de48}"/>
              </w:placeholder>
            </w:sdtPr>
            <w:sdtEndPr>
              <w:rPr>
                <w:rFonts w:hint="eastAsia" w:ascii="仿宋_GB2312" w:hAnsi="仿宋_GB2312" w:eastAsia="仿宋_GB2312" w:cs="仿宋_GB2312"/>
                <w:kern w:val="2"/>
                <w:sz w:val="24"/>
                <w:szCs w:val="24"/>
                <w:lang w:val="en-US" w:eastAsia="zh-CN" w:bidi="ar-SA"/>
              </w:rPr>
            </w:sdtEndPr>
            <w:sdtContent>
              <w:r>
                <w:rPr>
                  <w:rFonts w:hint="eastAsia" w:ascii="仿宋_GB2312" w:hAnsi="仿宋_GB2312" w:eastAsia="仿宋_GB2312" w:cs="仿宋_GB2312"/>
                  <w:sz w:val="24"/>
                  <w:szCs w:val="24"/>
                </w:rPr>
                <w:t>二、收入决算表</w:t>
              </w:r>
            </w:sdtContent>
          </w:sdt>
          <w:r>
            <w:rPr>
              <w:rFonts w:hint="eastAsia" w:ascii="仿宋_GB2312" w:hAnsi="仿宋_GB2312" w:eastAsia="仿宋_GB2312" w:cs="仿宋_GB2312"/>
              <w:sz w:val="24"/>
              <w:szCs w:val="24"/>
            </w:rPr>
            <w:tab/>
          </w:r>
          <w:bookmarkStart w:id="21" w:name="_Toc21347_WPSOffice_Level2Page"/>
          <w:r>
            <w:rPr>
              <w:rFonts w:hint="eastAsia" w:ascii="仿宋_GB2312" w:hAnsi="仿宋_GB2312" w:eastAsia="仿宋_GB2312" w:cs="仿宋_GB2312"/>
              <w:sz w:val="24"/>
              <w:szCs w:val="24"/>
            </w:rPr>
            <w:t>1</w:t>
          </w:r>
          <w:bookmarkEnd w:id="21"/>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fldChar w:fldCharType="end"/>
          </w:r>
        </w:p>
        <w:p>
          <w:pPr>
            <w:pStyle w:val="35"/>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_Toc10979_WPSOffice_Level2 </w:instrText>
          </w:r>
          <w:r>
            <w:rPr>
              <w:rFonts w:hint="eastAsia" w:ascii="仿宋_GB2312" w:hAnsi="仿宋_GB2312" w:eastAsia="仿宋_GB2312" w:cs="仿宋_GB2312"/>
              <w:sz w:val="24"/>
              <w:szCs w:val="24"/>
            </w:rPr>
            <w:fldChar w:fldCharType="separate"/>
          </w:r>
          <w:sdt>
            <w:sdtPr>
              <w:rPr>
                <w:rFonts w:hint="eastAsia" w:ascii="仿宋_GB2312" w:hAnsi="仿宋_GB2312" w:eastAsia="仿宋_GB2312" w:cs="仿宋_GB2312"/>
                <w:kern w:val="2"/>
                <w:sz w:val="24"/>
                <w:szCs w:val="24"/>
                <w:lang w:val="en-US" w:eastAsia="zh-CN" w:bidi="ar-SA"/>
              </w:rPr>
              <w:id w:val="147454689"/>
              <w:placeholder>
                <w:docPart w:val="{117e951b-61b6-4f58-85aa-800d78368f86}"/>
              </w:placeholder>
            </w:sdtPr>
            <w:sdtEndPr>
              <w:rPr>
                <w:rFonts w:hint="eastAsia" w:ascii="仿宋_GB2312" w:hAnsi="仿宋_GB2312" w:eastAsia="仿宋_GB2312" w:cs="仿宋_GB2312"/>
                <w:kern w:val="2"/>
                <w:sz w:val="24"/>
                <w:szCs w:val="24"/>
                <w:lang w:val="en-US" w:eastAsia="zh-CN" w:bidi="ar-SA"/>
              </w:rPr>
            </w:sdtEndPr>
            <w:sdtContent>
              <w:r>
                <w:rPr>
                  <w:rFonts w:hint="eastAsia" w:ascii="仿宋_GB2312" w:hAnsi="仿宋_GB2312" w:eastAsia="仿宋_GB2312" w:cs="仿宋_GB2312"/>
                  <w:sz w:val="24"/>
                  <w:szCs w:val="24"/>
                </w:rPr>
                <w:t>三、支出决算表</w:t>
              </w:r>
            </w:sdtContent>
          </w:sdt>
          <w:r>
            <w:rPr>
              <w:rFonts w:hint="eastAsia" w:ascii="仿宋_GB2312" w:hAnsi="仿宋_GB2312" w:eastAsia="仿宋_GB2312" w:cs="仿宋_GB2312"/>
              <w:sz w:val="24"/>
              <w:szCs w:val="24"/>
            </w:rPr>
            <w:tab/>
          </w:r>
          <w:bookmarkStart w:id="22" w:name="_Toc10979_WPSOffice_Level2Page"/>
          <w:r>
            <w:rPr>
              <w:rFonts w:hint="eastAsia" w:ascii="仿宋_GB2312" w:hAnsi="仿宋_GB2312" w:eastAsia="仿宋_GB2312" w:cs="仿宋_GB2312"/>
              <w:sz w:val="24"/>
              <w:szCs w:val="24"/>
            </w:rPr>
            <w:t>1</w:t>
          </w:r>
          <w:bookmarkEnd w:id="22"/>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fldChar w:fldCharType="end"/>
          </w:r>
        </w:p>
        <w:p>
          <w:pPr>
            <w:pStyle w:val="35"/>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_Toc23612_WPSOffice_Level2 </w:instrText>
          </w:r>
          <w:r>
            <w:rPr>
              <w:rFonts w:hint="eastAsia" w:ascii="仿宋_GB2312" w:hAnsi="仿宋_GB2312" w:eastAsia="仿宋_GB2312" w:cs="仿宋_GB2312"/>
              <w:sz w:val="24"/>
              <w:szCs w:val="24"/>
            </w:rPr>
            <w:fldChar w:fldCharType="separate"/>
          </w:r>
          <w:sdt>
            <w:sdtPr>
              <w:rPr>
                <w:rFonts w:hint="eastAsia" w:ascii="仿宋_GB2312" w:hAnsi="仿宋_GB2312" w:eastAsia="仿宋_GB2312" w:cs="仿宋_GB2312"/>
                <w:kern w:val="2"/>
                <w:sz w:val="24"/>
                <w:szCs w:val="24"/>
                <w:lang w:val="en-US" w:eastAsia="zh-CN" w:bidi="ar-SA"/>
              </w:rPr>
              <w:id w:val="147454689"/>
              <w:placeholder>
                <w:docPart w:val="{2df210cf-e58c-4111-86ea-1201be594310}"/>
              </w:placeholder>
            </w:sdtPr>
            <w:sdtEndPr>
              <w:rPr>
                <w:rFonts w:hint="eastAsia" w:ascii="仿宋_GB2312" w:hAnsi="仿宋_GB2312" w:eastAsia="仿宋_GB2312" w:cs="仿宋_GB2312"/>
                <w:kern w:val="2"/>
                <w:sz w:val="24"/>
                <w:szCs w:val="24"/>
                <w:lang w:val="en-US" w:eastAsia="zh-CN" w:bidi="ar-SA"/>
              </w:rPr>
            </w:sdtEndPr>
            <w:sdtContent>
              <w:r>
                <w:rPr>
                  <w:rFonts w:hint="eastAsia" w:ascii="仿宋_GB2312" w:hAnsi="仿宋_GB2312" w:eastAsia="仿宋_GB2312" w:cs="仿宋_GB2312"/>
                  <w:sz w:val="24"/>
                  <w:szCs w:val="24"/>
                </w:rPr>
                <w:t>四、财政拨款收入支出决算总表</w:t>
              </w:r>
            </w:sdtContent>
          </w:sdt>
          <w:r>
            <w:rPr>
              <w:rFonts w:hint="eastAsia" w:ascii="仿宋_GB2312" w:hAnsi="仿宋_GB2312" w:eastAsia="仿宋_GB2312" w:cs="仿宋_GB2312"/>
              <w:sz w:val="24"/>
              <w:szCs w:val="24"/>
            </w:rPr>
            <w:tab/>
          </w:r>
          <w:bookmarkStart w:id="23" w:name="_Toc23612_WPSOffice_Level2Page"/>
          <w:r>
            <w:rPr>
              <w:rFonts w:hint="eastAsia" w:ascii="仿宋_GB2312" w:hAnsi="仿宋_GB2312" w:eastAsia="仿宋_GB2312" w:cs="仿宋_GB2312"/>
              <w:sz w:val="24"/>
              <w:szCs w:val="24"/>
            </w:rPr>
            <w:t>1</w:t>
          </w:r>
          <w:bookmarkEnd w:id="23"/>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fldChar w:fldCharType="end"/>
          </w:r>
        </w:p>
        <w:p>
          <w:pPr>
            <w:pStyle w:val="35"/>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_Toc22233_WPSOffice_Level2 </w:instrText>
          </w:r>
          <w:r>
            <w:rPr>
              <w:rFonts w:hint="eastAsia" w:ascii="仿宋_GB2312" w:hAnsi="仿宋_GB2312" w:eastAsia="仿宋_GB2312" w:cs="仿宋_GB2312"/>
              <w:sz w:val="24"/>
              <w:szCs w:val="24"/>
            </w:rPr>
            <w:fldChar w:fldCharType="separate"/>
          </w:r>
          <w:sdt>
            <w:sdtPr>
              <w:rPr>
                <w:rFonts w:hint="eastAsia" w:ascii="仿宋_GB2312" w:hAnsi="仿宋_GB2312" w:eastAsia="仿宋_GB2312" w:cs="仿宋_GB2312"/>
                <w:kern w:val="2"/>
                <w:sz w:val="24"/>
                <w:szCs w:val="24"/>
                <w:lang w:val="en-US" w:eastAsia="zh-CN" w:bidi="ar-SA"/>
              </w:rPr>
              <w:id w:val="147454689"/>
              <w:placeholder>
                <w:docPart w:val="{9fa0dae5-17bb-4fdd-993e-00f571fac8c9}"/>
              </w:placeholder>
            </w:sdtPr>
            <w:sdtEndPr>
              <w:rPr>
                <w:rFonts w:hint="eastAsia" w:ascii="仿宋_GB2312" w:hAnsi="仿宋_GB2312" w:eastAsia="仿宋_GB2312" w:cs="仿宋_GB2312"/>
                <w:kern w:val="2"/>
                <w:sz w:val="24"/>
                <w:szCs w:val="24"/>
                <w:lang w:val="en-US" w:eastAsia="zh-CN" w:bidi="ar-SA"/>
              </w:rPr>
            </w:sdtEndPr>
            <w:sdtContent>
              <w:r>
                <w:rPr>
                  <w:rFonts w:hint="eastAsia" w:ascii="仿宋_GB2312" w:hAnsi="仿宋_GB2312" w:eastAsia="仿宋_GB2312" w:cs="仿宋_GB2312"/>
                  <w:sz w:val="24"/>
                  <w:szCs w:val="24"/>
                </w:rPr>
                <w:t>五、财政拨款支出决算明细表</w:t>
              </w:r>
            </w:sdtContent>
          </w:sdt>
          <w:r>
            <w:rPr>
              <w:rFonts w:hint="eastAsia" w:ascii="仿宋_GB2312" w:hAnsi="仿宋_GB2312" w:eastAsia="仿宋_GB2312" w:cs="仿宋_GB2312"/>
              <w:sz w:val="24"/>
              <w:szCs w:val="24"/>
            </w:rPr>
            <w:tab/>
          </w:r>
          <w:bookmarkStart w:id="24" w:name="_Toc22233_WPSOffice_Level2Page"/>
          <w:r>
            <w:rPr>
              <w:rFonts w:hint="eastAsia" w:ascii="仿宋_GB2312" w:hAnsi="仿宋_GB2312" w:eastAsia="仿宋_GB2312" w:cs="仿宋_GB2312"/>
              <w:sz w:val="24"/>
              <w:szCs w:val="24"/>
            </w:rPr>
            <w:t>1</w:t>
          </w:r>
          <w:bookmarkEnd w:id="24"/>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fldChar w:fldCharType="end"/>
          </w:r>
        </w:p>
        <w:p>
          <w:pPr>
            <w:pStyle w:val="35"/>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_Toc22646_WPSOffice_Level2 </w:instrText>
          </w:r>
          <w:r>
            <w:rPr>
              <w:rFonts w:hint="eastAsia" w:ascii="仿宋_GB2312" w:hAnsi="仿宋_GB2312" w:eastAsia="仿宋_GB2312" w:cs="仿宋_GB2312"/>
              <w:sz w:val="24"/>
              <w:szCs w:val="24"/>
            </w:rPr>
            <w:fldChar w:fldCharType="separate"/>
          </w:r>
          <w:sdt>
            <w:sdtPr>
              <w:rPr>
                <w:rFonts w:hint="eastAsia" w:ascii="仿宋_GB2312" w:hAnsi="仿宋_GB2312" w:eastAsia="仿宋_GB2312" w:cs="仿宋_GB2312"/>
                <w:kern w:val="2"/>
                <w:sz w:val="24"/>
                <w:szCs w:val="24"/>
                <w:lang w:val="en-US" w:eastAsia="zh-CN" w:bidi="ar-SA"/>
              </w:rPr>
              <w:id w:val="147454689"/>
              <w:placeholder>
                <w:docPart w:val="{dbd43784-9093-44a7-b2fa-f8c0eb75010f}"/>
              </w:placeholder>
            </w:sdtPr>
            <w:sdtEndPr>
              <w:rPr>
                <w:rFonts w:hint="eastAsia" w:ascii="仿宋_GB2312" w:hAnsi="仿宋_GB2312" w:eastAsia="仿宋_GB2312" w:cs="仿宋_GB2312"/>
                <w:kern w:val="2"/>
                <w:sz w:val="24"/>
                <w:szCs w:val="24"/>
                <w:lang w:val="en-US" w:eastAsia="zh-CN" w:bidi="ar-SA"/>
              </w:rPr>
            </w:sdtEndPr>
            <w:sdtContent>
              <w:r>
                <w:rPr>
                  <w:rFonts w:hint="eastAsia" w:ascii="仿宋_GB2312" w:hAnsi="仿宋_GB2312" w:eastAsia="仿宋_GB2312" w:cs="仿宋_GB2312"/>
                  <w:sz w:val="24"/>
                  <w:szCs w:val="24"/>
                </w:rPr>
                <w:t>六、一般公共预算财政拨款支出决算表</w:t>
              </w:r>
            </w:sdtContent>
          </w:sdt>
          <w:r>
            <w:rPr>
              <w:rFonts w:hint="eastAsia" w:ascii="仿宋_GB2312" w:hAnsi="仿宋_GB2312" w:eastAsia="仿宋_GB2312" w:cs="仿宋_GB2312"/>
              <w:sz w:val="24"/>
              <w:szCs w:val="24"/>
            </w:rPr>
            <w:tab/>
          </w:r>
          <w:bookmarkStart w:id="25" w:name="_Toc22646_WPSOffice_Level2Page"/>
          <w:r>
            <w:rPr>
              <w:rFonts w:hint="eastAsia" w:ascii="仿宋_GB2312" w:hAnsi="仿宋_GB2312" w:eastAsia="仿宋_GB2312" w:cs="仿宋_GB2312"/>
              <w:sz w:val="24"/>
              <w:szCs w:val="24"/>
            </w:rPr>
            <w:t>1</w:t>
          </w:r>
          <w:bookmarkEnd w:id="25"/>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fldChar w:fldCharType="end"/>
          </w:r>
        </w:p>
        <w:p>
          <w:pPr>
            <w:pStyle w:val="35"/>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_Toc26349_WPSOffice_Level2 </w:instrText>
          </w:r>
          <w:r>
            <w:rPr>
              <w:rFonts w:hint="eastAsia" w:ascii="仿宋_GB2312" w:hAnsi="仿宋_GB2312" w:eastAsia="仿宋_GB2312" w:cs="仿宋_GB2312"/>
              <w:sz w:val="24"/>
              <w:szCs w:val="24"/>
            </w:rPr>
            <w:fldChar w:fldCharType="separate"/>
          </w:r>
          <w:sdt>
            <w:sdtPr>
              <w:rPr>
                <w:rFonts w:hint="eastAsia" w:ascii="仿宋_GB2312" w:hAnsi="仿宋_GB2312" w:eastAsia="仿宋_GB2312" w:cs="仿宋_GB2312"/>
                <w:kern w:val="2"/>
                <w:sz w:val="24"/>
                <w:szCs w:val="24"/>
                <w:lang w:val="en-US" w:eastAsia="zh-CN" w:bidi="ar-SA"/>
              </w:rPr>
              <w:id w:val="147454689"/>
              <w:placeholder>
                <w:docPart w:val="{57f38b47-59dc-4cdf-9744-a0b8d2c8171b}"/>
              </w:placeholder>
            </w:sdtPr>
            <w:sdtEndPr>
              <w:rPr>
                <w:rFonts w:hint="eastAsia" w:ascii="仿宋_GB2312" w:hAnsi="仿宋_GB2312" w:eastAsia="仿宋_GB2312" w:cs="仿宋_GB2312"/>
                <w:kern w:val="2"/>
                <w:sz w:val="24"/>
                <w:szCs w:val="24"/>
                <w:lang w:val="en-US" w:eastAsia="zh-CN" w:bidi="ar-SA"/>
              </w:rPr>
            </w:sdtEndPr>
            <w:sdtContent>
              <w:r>
                <w:rPr>
                  <w:rFonts w:hint="eastAsia" w:ascii="仿宋_GB2312" w:hAnsi="仿宋_GB2312" w:eastAsia="仿宋_GB2312" w:cs="仿宋_GB2312"/>
                  <w:sz w:val="24"/>
                  <w:szCs w:val="24"/>
                </w:rPr>
                <w:t>七、一般公共预算财政拨款支出决算明细表</w:t>
              </w:r>
            </w:sdtContent>
          </w:sdt>
          <w:r>
            <w:rPr>
              <w:rFonts w:hint="eastAsia" w:ascii="仿宋_GB2312" w:hAnsi="仿宋_GB2312" w:eastAsia="仿宋_GB2312" w:cs="仿宋_GB2312"/>
              <w:sz w:val="24"/>
              <w:szCs w:val="24"/>
            </w:rPr>
            <w:tab/>
          </w:r>
          <w:bookmarkStart w:id="26" w:name="_Toc26349_WPSOffice_Level2Page"/>
          <w:r>
            <w:rPr>
              <w:rFonts w:hint="eastAsia" w:ascii="仿宋_GB2312" w:hAnsi="仿宋_GB2312" w:eastAsia="仿宋_GB2312" w:cs="仿宋_GB2312"/>
              <w:sz w:val="24"/>
              <w:szCs w:val="24"/>
            </w:rPr>
            <w:t>1</w:t>
          </w:r>
          <w:bookmarkEnd w:id="26"/>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fldChar w:fldCharType="end"/>
          </w:r>
        </w:p>
        <w:p>
          <w:pPr>
            <w:pStyle w:val="35"/>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_Toc2706_WPSOffice_Level2 </w:instrText>
          </w:r>
          <w:r>
            <w:rPr>
              <w:rFonts w:hint="eastAsia" w:ascii="仿宋_GB2312" w:hAnsi="仿宋_GB2312" w:eastAsia="仿宋_GB2312" w:cs="仿宋_GB2312"/>
              <w:sz w:val="24"/>
              <w:szCs w:val="24"/>
            </w:rPr>
            <w:fldChar w:fldCharType="separate"/>
          </w:r>
          <w:sdt>
            <w:sdtPr>
              <w:rPr>
                <w:rFonts w:hint="eastAsia" w:ascii="仿宋_GB2312" w:hAnsi="仿宋_GB2312" w:eastAsia="仿宋_GB2312" w:cs="仿宋_GB2312"/>
                <w:kern w:val="2"/>
                <w:sz w:val="24"/>
                <w:szCs w:val="24"/>
                <w:lang w:val="en-US" w:eastAsia="zh-CN" w:bidi="ar-SA"/>
              </w:rPr>
              <w:id w:val="147454689"/>
              <w:placeholder>
                <w:docPart w:val="{982bbd25-7bd1-4c8a-bb4b-baf7c5480afb}"/>
              </w:placeholder>
            </w:sdtPr>
            <w:sdtEndPr>
              <w:rPr>
                <w:rFonts w:hint="eastAsia" w:ascii="仿宋_GB2312" w:hAnsi="仿宋_GB2312" w:eastAsia="仿宋_GB2312" w:cs="仿宋_GB2312"/>
                <w:kern w:val="2"/>
                <w:sz w:val="24"/>
                <w:szCs w:val="24"/>
                <w:lang w:val="en-US" w:eastAsia="zh-CN" w:bidi="ar-SA"/>
              </w:rPr>
            </w:sdtEndPr>
            <w:sdtContent>
              <w:r>
                <w:rPr>
                  <w:rFonts w:hint="eastAsia" w:ascii="仿宋_GB2312" w:hAnsi="仿宋_GB2312" w:eastAsia="仿宋_GB2312" w:cs="仿宋_GB2312"/>
                  <w:sz w:val="24"/>
                  <w:szCs w:val="24"/>
                </w:rPr>
                <w:t>八、一般公共预算财政拨款基本支出决算表</w:t>
              </w:r>
            </w:sdtContent>
          </w:sdt>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szCs w:val="24"/>
              <w:lang w:val="en-US" w:eastAsia="zh-CN"/>
            </w:rPr>
            <w:t>8</w:t>
          </w:r>
        </w:p>
        <w:p>
          <w:pPr>
            <w:pStyle w:val="35"/>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_Toc22460_WPSOffice_Level2 </w:instrText>
          </w:r>
          <w:r>
            <w:rPr>
              <w:rFonts w:hint="eastAsia" w:ascii="仿宋_GB2312" w:hAnsi="仿宋_GB2312" w:eastAsia="仿宋_GB2312" w:cs="仿宋_GB2312"/>
              <w:sz w:val="24"/>
              <w:szCs w:val="24"/>
            </w:rPr>
            <w:fldChar w:fldCharType="separate"/>
          </w:r>
          <w:sdt>
            <w:sdtPr>
              <w:rPr>
                <w:rFonts w:hint="eastAsia" w:ascii="仿宋_GB2312" w:hAnsi="仿宋_GB2312" w:eastAsia="仿宋_GB2312" w:cs="仿宋_GB2312"/>
                <w:kern w:val="2"/>
                <w:sz w:val="24"/>
                <w:szCs w:val="24"/>
                <w:lang w:val="en-US" w:eastAsia="zh-CN" w:bidi="ar-SA"/>
              </w:rPr>
              <w:id w:val="147454689"/>
              <w:placeholder>
                <w:docPart w:val="{2fcb45ad-6860-4ee9-81f1-4d4ac844534f}"/>
              </w:placeholder>
            </w:sdtPr>
            <w:sdtEndPr>
              <w:rPr>
                <w:rFonts w:hint="eastAsia" w:ascii="仿宋_GB2312" w:hAnsi="仿宋_GB2312" w:eastAsia="仿宋_GB2312" w:cs="仿宋_GB2312"/>
                <w:kern w:val="2"/>
                <w:sz w:val="24"/>
                <w:szCs w:val="24"/>
                <w:lang w:val="en-US" w:eastAsia="zh-CN" w:bidi="ar-SA"/>
              </w:rPr>
            </w:sdtEndPr>
            <w:sdtContent>
              <w:r>
                <w:rPr>
                  <w:rFonts w:hint="eastAsia" w:ascii="仿宋_GB2312" w:hAnsi="仿宋_GB2312" w:eastAsia="仿宋_GB2312" w:cs="仿宋_GB2312"/>
                  <w:sz w:val="24"/>
                  <w:szCs w:val="24"/>
                </w:rPr>
                <w:t>九、一般公共预算财政拨款项目支出决算表</w:t>
              </w:r>
            </w:sdtContent>
          </w:sdt>
          <w:r>
            <w:rPr>
              <w:rFonts w:hint="eastAsia" w:ascii="仿宋_GB2312" w:hAnsi="仿宋_GB2312" w:eastAsia="仿宋_GB2312" w:cs="仿宋_GB2312"/>
              <w:sz w:val="24"/>
              <w:szCs w:val="24"/>
            </w:rPr>
            <w:tab/>
          </w:r>
          <w:bookmarkStart w:id="27" w:name="_Toc22460_WPSOffice_Level2Page"/>
          <w:r>
            <w:rPr>
              <w:rFonts w:hint="eastAsia" w:ascii="仿宋_GB2312" w:hAnsi="仿宋_GB2312" w:eastAsia="仿宋_GB2312" w:cs="仿宋_GB2312"/>
              <w:sz w:val="24"/>
              <w:szCs w:val="24"/>
            </w:rPr>
            <w:t>1</w:t>
          </w:r>
          <w:bookmarkEnd w:id="27"/>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fldChar w:fldCharType="end"/>
          </w:r>
        </w:p>
        <w:p>
          <w:pPr>
            <w:pStyle w:val="35"/>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_Toc6242_WPSOffice_Level2 </w:instrText>
          </w:r>
          <w:r>
            <w:rPr>
              <w:rFonts w:hint="eastAsia" w:ascii="仿宋_GB2312" w:hAnsi="仿宋_GB2312" w:eastAsia="仿宋_GB2312" w:cs="仿宋_GB2312"/>
              <w:sz w:val="24"/>
              <w:szCs w:val="24"/>
            </w:rPr>
            <w:fldChar w:fldCharType="separate"/>
          </w:r>
          <w:sdt>
            <w:sdtPr>
              <w:rPr>
                <w:rFonts w:hint="eastAsia" w:ascii="仿宋_GB2312" w:hAnsi="仿宋_GB2312" w:eastAsia="仿宋_GB2312" w:cs="仿宋_GB2312"/>
                <w:kern w:val="2"/>
                <w:sz w:val="24"/>
                <w:szCs w:val="24"/>
                <w:lang w:val="en-US" w:eastAsia="zh-CN" w:bidi="ar-SA"/>
              </w:rPr>
              <w:id w:val="147454689"/>
              <w:placeholder>
                <w:docPart w:val="{39caa01a-b561-4743-9ff3-162d64a0096d}"/>
              </w:placeholder>
            </w:sdtPr>
            <w:sdtEndPr>
              <w:rPr>
                <w:rFonts w:hint="eastAsia" w:ascii="仿宋_GB2312" w:hAnsi="仿宋_GB2312" w:eastAsia="仿宋_GB2312" w:cs="仿宋_GB2312"/>
                <w:kern w:val="2"/>
                <w:sz w:val="24"/>
                <w:szCs w:val="24"/>
                <w:lang w:val="en-US" w:eastAsia="zh-CN" w:bidi="ar-SA"/>
              </w:rPr>
            </w:sdtEndPr>
            <w:sdtContent>
              <w:r>
                <w:rPr>
                  <w:rFonts w:hint="eastAsia" w:ascii="仿宋_GB2312" w:hAnsi="仿宋_GB2312" w:eastAsia="仿宋_GB2312" w:cs="仿宋_GB2312"/>
                  <w:sz w:val="24"/>
                  <w:szCs w:val="24"/>
                </w:rPr>
                <w:t>十、政府性基金预算财政拨款收入支出决算表</w:t>
              </w:r>
            </w:sdtContent>
          </w:sdt>
          <w:r>
            <w:rPr>
              <w:rFonts w:hint="eastAsia" w:ascii="仿宋_GB2312" w:hAnsi="仿宋_GB2312" w:eastAsia="仿宋_GB2312" w:cs="仿宋_GB2312"/>
              <w:sz w:val="24"/>
              <w:szCs w:val="24"/>
            </w:rPr>
            <w:tab/>
          </w:r>
          <w:bookmarkStart w:id="28" w:name="_Toc6242_WPSOffice_Level2Page"/>
          <w:r>
            <w:rPr>
              <w:rFonts w:hint="eastAsia" w:ascii="仿宋_GB2312" w:hAnsi="仿宋_GB2312" w:eastAsia="仿宋_GB2312" w:cs="仿宋_GB2312"/>
              <w:sz w:val="24"/>
              <w:szCs w:val="24"/>
            </w:rPr>
            <w:t>1</w:t>
          </w:r>
          <w:bookmarkEnd w:id="28"/>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fldChar w:fldCharType="end"/>
          </w:r>
        </w:p>
        <w:p>
          <w:pPr>
            <w:pStyle w:val="35"/>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_Toc11444_WPSOffice_Level2 </w:instrText>
          </w:r>
          <w:r>
            <w:rPr>
              <w:rFonts w:hint="eastAsia" w:ascii="仿宋_GB2312" w:hAnsi="仿宋_GB2312" w:eastAsia="仿宋_GB2312" w:cs="仿宋_GB2312"/>
              <w:sz w:val="24"/>
              <w:szCs w:val="24"/>
            </w:rPr>
            <w:fldChar w:fldCharType="separate"/>
          </w:r>
          <w:sdt>
            <w:sdtPr>
              <w:rPr>
                <w:rFonts w:hint="eastAsia" w:ascii="仿宋_GB2312" w:hAnsi="仿宋_GB2312" w:eastAsia="仿宋_GB2312" w:cs="仿宋_GB2312"/>
                <w:kern w:val="2"/>
                <w:sz w:val="24"/>
                <w:szCs w:val="24"/>
                <w:lang w:val="en-US" w:eastAsia="zh-CN" w:bidi="ar-SA"/>
              </w:rPr>
              <w:id w:val="147454689"/>
              <w:placeholder>
                <w:docPart w:val="{c5ef86a5-b0dc-45f0-b9ce-0838bd6a3f4c}"/>
              </w:placeholder>
            </w:sdtPr>
            <w:sdtEndPr>
              <w:rPr>
                <w:rFonts w:hint="eastAsia" w:ascii="仿宋_GB2312" w:hAnsi="仿宋_GB2312" w:eastAsia="仿宋_GB2312" w:cs="仿宋_GB2312"/>
                <w:kern w:val="2"/>
                <w:sz w:val="24"/>
                <w:szCs w:val="24"/>
                <w:lang w:val="en-US" w:eastAsia="zh-CN" w:bidi="ar-SA"/>
              </w:rPr>
            </w:sdtEndPr>
            <w:sdtContent>
              <w:r>
                <w:rPr>
                  <w:rFonts w:hint="eastAsia" w:ascii="仿宋_GB2312" w:hAnsi="仿宋_GB2312" w:eastAsia="仿宋_GB2312" w:cs="仿宋_GB2312"/>
                  <w:sz w:val="24"/>
                  <w:szCs w:val="24"/>
                </w:rPr>
                <w:t>十一、国有资本经营预算财政拨款收入支出决算表</w:t>
              </w:r>
            </w:sdtContent>
          </w:sdt>
          <w:r>
            <w:rPr>
              <w:rFonts w:hint="eastAsia" w:ascii="仿宋_GB2312" w:hAnsi="仿宋_GB2312" w:eastAsia="仿宋_GB2312" w:cs="仿宋_GB2312"/>
              <w:sz w:val="24"/>
              <w:szCs w:val="24"/>
            </w:rPr>
            <w:tab/>
          </w:r>
          <w:bookmarkStart w:id="29" w:name="_Toc11444_WPSOffice_Level2Page"/>
          <w:r>
            <w:rPr>
              <w:rFonts w:hint="eastAsia" w:ascii="仿宋_GB2312" w:hAnsi="仿宋_GB2312" w:eastAsia="仿宋_GB2312" w:cs="仿宋_GB2312"/>
              <w:sz w:val="24"/>
              <w:szCs w:val="24"/>
            </w:rPr>
            <w:t>1</w:t>
          </w:r>
          <w:bookmarkEnd w:id="29"/>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fldChar w:fldCharType="end"/>
          </w:r>
        </w:p>
        <w:p>
          <w:pPr>
            <w:pStyle w:val="35"/>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_Toc16608_WPSOffice_Level2 </w:instrText>
          </w:r>
          <w:r>
            <w:rPr>
              <w:rFonts w:hint="eastAsia" w:ascii="仿宋_GB2312" w:hAnsi="仿宋_GB2312" w:eastAsia="仿宋_GB2312" w:cs="仿宋_GB2312"/>
              <w:sz w:val="24"/>
              <w:szCs w:val="24"/>
            </w:rPr>
            <w:fldChar w:fldCharType="separate"/>
          </w:r>
          <w:sdt>
            <w:sdtPr>
              <w:rPr>
                <w:rFonts w:hint="eastAsia" w:ascii="仿宋_GB2312" w:hAnsi="仿宋_GB2312" w:eastAsia="仿宋_GB2312" w:cs="仿宋_GB2312"/>
                <w:kern w:val="2"/>
                <w:sz w:val="24"/>
                <w:szCs w:val="24"/>
                <w:lang w:val="en-US" w:eastAsia="zh-CN" w:bidi="ar-SA"/>
              </w:rPr>
              <w:id w:val="147454689"/>
              <w:placeholder>
                <w:docPart w:val="{3b50a6c7-6500-4b74-bccc-3b7999968164}"/>
              </w:placeholder>
            </w:sdtPr>
            <w:sdtEndPr>
              <w:rPr>
                <w:rFonts w:hint="eastAsia" w:ascii="仿宋_GB2312" w:hAnsi="仿宋_GB2312" w:eastAsia="仿宋_GB2312" w:cs="仿宋_GB2312"/>
                <w:kern w:val="2"/>
                <w:sz w:val="24"/>
                <w:szCs w:val="24"/>
                <w:lang w:val="en-US" w:eastAsia="zh-CN" w:bidi="ar-SA"/>
              </w:rPr>
            </w:sdtEndPr>
            <w:sdtContent>
              <w:r>
                <w:rPr>
                  <w:rFonts w:hint="eastAsia" w:ascii="仿宋_GB2312" w:hAnsi="仿宋_GB2312" w:eastAsia="仿宋_GB2312" w:cs="仿宋_GB2312"/>
                  <w:sz w:val="24"/>
                  <w:szCs w:val="24"/>
                </w:rPr>
                <w:t>十三、财政拨款“三公”经费支出决算表</w:t>
              </w:r>
            </w:sdtContent>
          </w:sdt>
          <w:r>
            <w:rPr>
              <w:rFonts w:hint="eastAsia" w:ascii="仿宋_GB2312" w:hAnsi="仿宋_GB2312" w:eastAsia="仿宋_GB2312" w:cs="仿宋_GB2312"/>
              <w:sz w:val="24"/>
              <w:szCs w:val="24"/>
            </w:rPr>
            <w:tab/>
          </w:r>
          <w:bookmarkStart w:id="30" w:name="_Toc16608_WPSOffice_Level2Page"/>
          <w:r>
            <w:rPr>
              <w:rFonts w:hint="eastAsia" w:ascii="仿宋_GB2312" w:hAnsi="仿宋_GB2312" w:eastAsia="仿宋_GB2312" w:cs="仿宋_GB2312"/>
              <w:sz w:val="24"/>
              <w:szCs w:val="24"/>
            </w:rPr>
            <w:t>1</w:t>
          </w:r>
          <w:bookmarkEnd w:id="30"/>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fldChar w:fldCharType="end"/>
          </w:r>
          <w:bookmarkEnd w:id="12"/>
        </w:p>
      </w:sdtContent>
    </w:sdt>
    <w:p>
      <w:pPr>
        <w:rPr>
          <w:rFonts w:hint="eastAsia" w:ascii="仿宋_GB2312" w:hAnsi="仿宋_GB2312" w:eastAsia="仿宋_GB2312" w:cs="仿宋_GB2312"/>
          <w:sz w:val="24"/>
          <w:szCs w:val="24"/>
        </w:rPr>
      </w:pPr>
    </w:p>
    <w:p>
      <w:pPr>
        <w:rPr>
          <w:rFonts w:hint="default"/>
        </w:rPr>
      </w:pPr>
      <w:bookmarkStart w:id="31" w:name="_Toc15377196"/>
      <w:bookmarkStart w:id="32" w:name="_Toc15396599"/>
    </w:p>
    <w:p>
      <w:pPr>
        <w:pStyle w:val="2"/>
        <w:jc w:val="center"/>
        <w:rPr>
          <w:rFonts w:hint="default" w:ascii="Times New Roman" w:hAnsi="Times New Roman" w:eastAsia="黑体" w:cs="Times New Roman"/>
          <w:b w:val="0"/>
        </w:rPr>
      </w:pPr>
    </w:p>
    <w:p>
      <w:pPr>
        <w:pStyle w:val="2"/>
        <w:jc w:val="center"/>
        <w:rPr>
          <w:rFonts w:hint="default" w:ascii="Times New Roman" w:hAnsi="Times New Roman" w:eastAsia="黑体" w:cs="Times New Roman"/>
          <w:b w:val="0"/>
        </w:rPr>
      </w:pPr>
    </w:p>
    <w:p>
      <w:pPr>
        <w:pStyle w:val="2"/>
        <w:jc w:val="center"/>
        <w:rPr>
          <w:rFonts w:hint="default" w:ascii="Times New Roman" w:hAnsi="Times New Roman" w:eastAsia="黑体" w:cs="Times New Roman"/>
          <w:b w:val="0"/>
        </w:rPr>
      </w:pPr>
    </w:p>
    <w:p>
      <w:pPr>
        <w:pStyle w:val="2"/>
        <w:jc w:val="center"/>
        <w:rPr>
          <w:rFonts w:hint="default" w:ascii="Times New Roman" w:hAnsi="Times New Roman" w:eastAsia="黑体" w:cs="Times New Roman"/>
          <w:b w:val="0"/>
        </w:rPr>
      </w:pPr>
    </w:p>
    <w:p>
      <w:pPr>
        <w:rPr>
          <w:rFonts w:hint="default" w:ascii="Times New Roman" w:hAnsi="Times New Roman" w:eastAsia="黑体" w:cs="Times New Roman"/>
          <w:b w:val="0"/>
        </w:rPr>
      </w:pPr>
    </w:p>
    <w:p>
      <w:pPr>
        <w:rPr>
          <w:rFonts w:hint="default" w:ascii="Times New Roman" w:hAnsi="Times New Roman" w:eastAsia="黑体" w:cs="Times New Roman"/>
          <w:b w:val="0"/>
        </w:rPr>
      </w:pPr>
    </w:p>
    <w:p>
      <w:pPr>
        <w:pStyle w:val="2"/>
        <w:jc w:val="center"/>
        <w:rPr>
          <w:rStyle w:val="27"/>
          <w:rFonts w:hint="default" w:ascii="Times New Roman" w:hAnsi="Times New Roman" w:eastAsia="黑体" w:cs="Times New Roman"/>
          <w:b/>
          <w:bCs w:val="0"/>
        </w:rPr>
      </w:pPr>
      <w:bookmarkStart w:id="33" w:name="_Toc31788_WPSOffice_Level1"/>
      <w:r>
        <w:rPr>
          <w:rFonts w:hint="default" w:ascii="Times New Roman" w:hAnsi="Times New Roman" w:eastAsia="黑体" w:cs="Times New Roman"/>
          <w:b w:val="0"/>
        </w:rPr>
        <w:t>第一部分 单位</w:t>
      </w:r>
      <w:r>
        <w:rPr>
          <w:rStyle w:val="27"/>
          <w:rFonts w:hint="default" w:ascii="Times New Roman" w:hAnsi="Times New Roman" w:eastAsia="黑体" w:cs="Times New Roman"/>
          <w:b w:val="0"/>
          <w:bCs w:val="0"/>
        </w:rPr>
        <w:t>概况</w:t>
      </w:r>
      <w:bookmarkEnd w:id="31"/>
      <w:bookmarkEnd w:id="32"/>
      <w:bookmarkEnd w:id="33"/>
    </w:p>
    <w:p>
      <w:pPr>
        <w:widowControl/>
        <w:jc w:val="left"/>
        <w:rPr>
          <w:rFonts w:hint="default" w:ascii="Times New Roman" w:hAnsi="Times New Roman" w:eastAsia="黑体" w:cs="Times New Roman"/>
          <w:sz w:val="32"/>
          <w:szCs w:val="32"/>
        </w:rPr>
      </w:pPr>
    </w:p>
    <w:p>
      <w:pPr>
        <w:pStyle w:val="3"/>
        <w:pageBreakBefore w:val="0"/>
        <w:numPr>
          <w:ilvl w:val="0"/>
          <w:numId w:val="1"/>
        </w:numPr>
        <w:kinsoku/>
        <w:wordWrap/>
        <w:overflowPunct/>
        <w:topLinePunct w:val="0"/>
        <w:bidi w:val="0"/>
        <w:spacing w:line="560" w:lineRule="exact"/>
        <w:ind w:left="210" w:leftChars="0" w:firstLineChars="0"/>
        <w:textAlignment w:val="auto"/>
        <w:rPr>
          <w:rStyle w:val="28"/>
          <w:rFonts w:hint="default" w:ascii="Times New Roman" w:hAnsi="Times New Roman" w:eastAsia="黑体" w:cs="Times New Roman"/>
          <w:b w:val="0"/>
          <w:bCs w:val="0"/>
        </w:rPr>
      </w:pPr>
      <w:bookmarkStart w:id="34" w:name="_Toc15460_WPSOffice_Level2"/>
      <w:bookmarkStart w:id="35" w:name="_Toc15377197"/>
      <w:bookmarkStart w:id="36" w:name="_Toc15396600"/>
      <w:r>
        <w:rPr>
          <w:rStyle w:val="28"/>
          <w:rFonts w:hint="default" w:ascii="Times New Roman" w:hAnsi="Times New Roman" w:eastAsia="黑体" w:cs="Times New Roman"/>
          <w:b w:val="0"/>
          <w:bCs w:val="0"/>
        </w:rPr>
        <w:t>主要职责</w:t>
      </w:r>
      <w:bookmarkEnd w:id="34"/>
    </w:p>
    <w:p>
      <w:pPr>
        <w:pStyle w:val="5"/>
        <w:keepNext w:val="0"/>
        <w:keepLines w:val="0"/>
        <w:pageBreakBefore w:val="0"/>
        <w:kinsoku/>
        <w:wordWrap/>
        <w:overflowPunct/>
        <w:topLinePunct w:val="0"/>
        <w:autoSpaceDN/>
        <w:bidi w:val="0"/>
        <w:adjustRightInd w:val="0"/>
        <w:snapToGrid w:val="0"/>
        <w:spacing w:before="130" w:line="560" w:lineRule="exact"/>
        <w:ind w:firstLine="672" w:firstLineChars="210"/>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202</w:t>
      </w:r>
      <w:r>
        <w:rPr>
          <w:rFonts w:hint="default" w:ascii="Times New Roman" w:hAnsi="Times New Roman" w:cs="Times New Roman"/>
          <w:color w:val="auto"/>
          <w:kern w:val="0"/>
          <w:sz w:val="32"/>
          <w:szCs w:val="32"/>
          <w:lang w:val="en-US" w:eastAsia="zh-CN" w:bidi="ar-SA"/>
        </w:rPr>
        <w:t>3</w:t>
      </w:r>
      <w:r>
        <w:rPr>
          <w:rFonts w:hint="default" w:ascii="Times New Roman" w:hAnsi="Times New Roman" w:eastAsia="仿宋_GB2312" w:cs="Times New Roman"/>
          <w:color w:val="auto"/>
          <w:kern w:val="0"/>
          <w:sz w:val="32"/>
          <w:szCs w:val="32"/>
          <w:lang w:val="en-US" w:eastAsia="zh-CN" w:bidi="ar-SA"/>
        </w:rPr>
        <w:t>年实施初级中学义务教育，促进基础教育发展，中学学历教育等相关社会服务</w:t>
      </w:r>
      <w:r>
        <w:rPr>
          <w:rFonts w:hint="default" w:ascii="Times New Roman" w:hAnsi="Times New Roman" w:cs="Times New Roman"/>
          <w:color w:val="auto"/>
          <w:kern w:val="0"/>
          <w:sz w:val="32"/>
          <w:szCs w:val="32"/>
          <w:lang w:val="en-US" w:eastAsia="zh-CN" w:bidi="ar-SA"/>
        </w:rPr>
        <w:t>。</w:t>
      </w:r>
    </w:p>
    <w:p>
      <w:pPr>
        <w:pageBreakBefore w:val="0"/>
        <w:kinsoku/>
        <w:wordWrap/>
        <w:overflowPunct/>
        <w:topLinePunct w:val="0"/>
        <w:bidi w:val="0"/>
        <w:spacing w:line="560" w:lineRule="exact"/>
        <w:textAlignment w:val="auto"/>
        <w:rPr>
          <w:rFonts w:hint="default" w:ascii="Times New Roman" w:hAnsi="Times New Roman" w:cs="Times New Roman"/>
        </w:rPr>
      </w:pPr>
    </w:p>
    <w:p>
      <w:pPr>
        <w:pStyle w:val="3"/>
        <w:pageBreakBefore w:val="0"/>
        <w:numPr>
          <w:ilvl w:val="0"/>
          <w:numId w:val="1"/>
        </w:numPr>
        <w:kinsoku/>
        <w:wordWrap/>
        <w:overflowPunct/>
        <w:topLinePunct w:val="0"/>
        <w:bidi w:val="0"/>
        <w:spacing w:line="560" w:lineRule="exact"/>
        <w:ind w:left="210" w:leftChars="0" w:firstLine="0" w:firstLineChars="0"/>
        <w:textAlignment w:val="auto"/>
        <w:rPr>
          <w:rFonts w:hint="default" w:ascii="Times New Roman" w:hAnsi="Times New Roman" w:eastAsia="黑体" w:cs="Times New Roman"/>
          <w:b w:val="0"/>
        </w:rPr>
      </w:pPr>
      <w:bookmarkStart w:id="37" w:name="_Toc30928_WPSOffice_Level2"/>
      <w:r>
        <w:rPr>
          <w:rFonts w:hint="default" w:ascii="Times New Roman" w:hAnsi="Times New Roman" w:eastAsia="黑体" w:cs="Times New Roman"/>
          <w:b w:val="0"/>
        </w:rPr>
        <w:t>机构设置</w:t>
      </w:r>
      <w:bookmarkEnd w:id="37"/>
    </w:p>
    <w:p>
      <w:pPr>
        <w:keepNext w:val="0"/>
        <w:keepLines w:val="0"/>
        <w:pageBreakBefore w:val="0"/>
        <w:widowControl/>
        <w:suppressLineNumbers w:val="0"/>
        <w:kinsoku/>
        <w:wordWrap/>
        <w:overflowPunct/>
        <w:topLinePunct w:val="0"/>
        <w:autoSpaceDE w:val="0"/>
        <w:autoSpaceDN w:val="0"/>
        <w:bidi w:val="0"/>
        <w:adjustRightInd w:val="0"/>
        <w:snapToGrid w:val="0"/>
        <w:spacing w:before="157" w:beforeLines="50" w:beforeAutospacing="0" w:after="157" w:afterLines="50" w:afterAutospacing="0" w:line="560" w:lineRule="exact"/>
        <w:ind w:left="0" w:right="0" w:firstLine="640"/>
        <w:jc w:val="left"/>
        <w:textAlignment w:val="auto"/>
        <w:rPr>
          <w:rStyle w:val="28"/>
          <w:rFonts w:hint="default" w:ascii="Times New Roman" w:hAnsi="Times New Roman" w:eastAsia="黑体" w:cs="Times New Roman"/>
          <w:b w:val="0"/>
          <w:bCs w:val="0"/>
        </w:rPr>
      </w:pPr>
      <w:r>
        <w:rPr>
          <w:rFonts w:hint="default" w:ascii="Times New Roman" w:hAnsi="Times New Roman" w:eastAsia="方正仿宋_GB2312" w:cs="Times New Roman"/>
          <w:kern w:val="2"/>
          <w:sz w:val="32"/>
          <w:szCs w:val="32"/>
          <w:lang w:val="en-US" w:eastAsia="zh-CN" w:bidi="ar"/>
        </w:rPr>
        <w:t>盐边县永兴镇初级中学校是盐边县教育和体育局下属的事业编制二级预算单位，2023年年末单位机构数1个，预算单位数1个。机构无变动情况。</w:t>
      </w:r>
    </w:p>
    <w:p>
      <w:pPr>
        <w:pageBreakBefore w:val="0"/>
        <w:numPr>
          <w:ilvl w:val="0"/>
          <w:numId w:val="0"/>
        </w:numPr>
        <w:kinsoku/>
        <w:wordWrap/>
        <w:overflowPunct/>
        <w:topLinePunct w:val="0"/>
        <w:bidi w:val="0"/>
        <w:spacing w:line="560" w:lineRule="exact"/>
        <w:ind w:left="210" w:leftChars="0"/>
        <w:textAlignment w:val="auto"/>
        <w:rPr>
          <w:rFonts w:hint="default" w:ascii="Times New Roman" w:hAnsi="Times New Roman" w:cs="Times New Roman"/>
        </w:rPr>
      </w:pPr>
    </w:p>
    <w:bookmarkEnd w:id="35"/>
    <w:bookmarkEnd w:id="36"/>
    <w:p>
      <w:pPr>
        <w:pageBreakBefore w:val="0"/>
        <w:widowControl/>
        <w:kinsoku/>
        <w:wordWrap/>
        <w:overflowPunct/>
        <w:topLinePunct w:val="0"/>
        <w:bidi w:val="0"/>
        <w:spacing w:line="560" w:lineRule="exact"/>
        <w:jc w:val="left"/>
        <w:textAlignment w:val="auto"/>
        <w:rPr>
          <w:rFonts w:hint="default" w:ascii="Times New Roman" w:hAnsi="Times New Roman" w:eastAsia="仿宋" w:cs="Times New Roman"/>
          <w:kern w:val="0"/>
          <w:sz w:val="32"/>
          <w:szCs w:val="32"/>
        </w:rPr>
      </w:pPr>
      <w:r>
        <w:rPr>
          <w:rFonts w:hint="default" w:ascii="Times New Roman" w:hAnsi="Times New Roman" w:eastAsia="仿宋" w:cs="Times New Roman"/>
          <w:sz w:val="32"/>
          <w:szCs w:val="32"/>
        </w:rPr>
        <w:br w:type="page"/>
      </w:r>
    </w:p>
    <w:p>
      <w:pPr>
        <w:pStyle w:val="2"/>
        <w:ind w:right="440"/>
        <w:jc w:val="center"/>
        <w:rPr>
          <w:rStyle w:val="27"/>
          <w:rFonts w:hint="default" w:ascii="Times New Roman" w:hAnsi="Times New Roman" w:eastAsia="黑体" w:cs="Times New Roman"/>
          <w:b w:val="0"/>
          <w:bCs/>
        </w:rPr>
      </w:pPr>
      <w:bookmarkStart w:id="38" w:name="_Toc15396602"/>
      <w:bookmarkStart w:id="39" w:name="_Toc15460_WPSOffice_Level1"/>
      <w:bookmarkStart w:id="40" w:name="_Toc15377204"/>
      <w:r>
        <w:rPr>
          <w:rFonts w:hint="default" w:ascii="Times New Roman" w:hAnsi="Times New Roman" w:eastAsia="黑体" w:cs="Times New Roman"/>
          <w:b w:val="0"/>
        </w:rPr>
        <w:t>第二部分 2023年度</w:t>
      </w:r>
      <w:r>
        <w:rPr>
          <w:rStyle w:val="27"/>
          <w:rFonts w:hint="default" w:ascii="Times New Roman" w:hAnsi="Times New Roman" w:eastAsia="黑体" w:cs="Times New Roman"/>
          <w:b w:val="0"/>
          <w:bCs/>
        </w:rPr>
        <w:t>单位决算情况说明</w:t>
      </w:r>
      <w:bookmarkEnd w:id="38"/>
      <w:bookmarkEnd w:id="39"/>
      <w:bookmarkEnd w:id="40"/>
    </w:p>
    <w:p>
      <w:pPr>
        <w:rPr>
          <w:rFonts w:hint="default" w:ascii="Times New Roman" w:hAnsi="Times New Roman" w:cs="Times New Roman"/>
        </w:rPr>
      </w:pPr>
    </w:p>
    <w:p>
      <w:pPr>
        <w:pStyle w:val="26"/>
        <w:numPr>
          <w:ilvl w:val="0"/>
          <w:numId w:val="0"/>
        </w:numPr>
        <w:spacing w:line="600" w:lineRule="exact"/>
        <w:ind w:left="640" w:leftChars="0"/>
        <w:outlineLvl w:val="1"/>
        <w:rPr>
          <w:rFonts w:hint="default" w:ascii="Times New Roman" w:hAnsi="Times New Roman" w:eastAsia="仿宋_GB2312" w:cs="Times New Roman"/>
          <w:b w:val="0"/>
          <w:bCs w:val="0"/>
          <w:color w:val="auto"/>
          <w:kern w:val="0"/>
          <w:sz w:val="32"/>
          <w:szCs w:val="32"/>
          <w:lang w:val="en-US" w:eastAsia="zh-CN" w:bidi="ar-SA"/>
        </w:rPr>
      </w:pPr>
      <w:bookmarkStart w:id="41" w:name="_Toc15377205"/>
      <w:bookmarkStart w:id="42" w:name="_Toc15396603"/>
      <w:bookmarkStart w:id="43" w:name="_Toc6723_WPSOffice_Level2"/>
      <w:r>
        <w:rPr>
          <w:rFonts w:hint="default" w:ascii="Times New Roman" w:hAnsi="Times New Roman" w:eastAsia="黑体" w:cs="Times New Roman"/>
          <w:b w:val="0"/>
          <w:bCs w:val="0"/>
          <w:sz w:val="32"/>
          <w:szCs w:val="32"/>
          <w:lang w:val="en-US" w:eastAsia="zh-CN"/>
        </w:rPr>
        <w:t>一、</w:t>
      </w:r>
      <w:r>
        <w:rPr>
          <w:rFonts w:hint="default" w:ascii="Times New Roman" w:hAnsi="Times New Roman" w:eastAsia="黑体" w:cs="Times New Roman"/>
          <w:b w:val="0"/>
          <w:bCs w:val="0"/>
          <w:sz w:val="32"/>
          <w:szCs w:val="32"/>
        </w:rPr>
        <w:t>收</w:t>
      </w:r>
      <w:r>
        <w:rPr>
          <w:rStyle w:val="28"/>
          <w:rFonts w:hint="default" w:ascii="Times New Roman" w:hAnsi="Times New Roman" w:eastAsia="黑体" w:cs="Times New Roman"/>
          <w:b w:val="0"/>
          <w:bCs w:val="0"/>
        </w:rPr>
        <w:t>入支出决算总体情况说明</w:t>
      </w:r>
      <w:bookmarkEnd w:id="41"/>
      <w:bookmarkEnd w:id="42"/>
      <w:bookmarkEnd w:id="43"/>
    </w:p>
    <w:p>
      <w:pPr>
        <w:pStyle w:val="25"/>
        <w:spacing w:before="93"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2023年度收、支总计均为2347.77万元。与2022年度</w:t>
      </w:r>
      <w:r>
        <w:rPr>
          <w:rFonts w:hint="default" w:ascii="Times New Roman" w:hAnsi="Times New Roman" w:eastAsia="仿宋_GB2312" w:cs="Times New Roman"/>
          <w:color w:val="auto"/>
          <w:sz w:val="32"/>
          <w:szCs w:val="32"/>
          <w:lang w:val="en-US" w:eastAsia="zh-CN"/>
        </w:rPr>
        <w:t>收、支总计均为2294.69万元</w:t>
      </w:r>
      <w:r>
        <w:rPr>
          <w:rFonts w:hint="default" w:ascii="Times New Roman" w:hAnsi="Times New Roman" w:eastAsia="仿宋_GB2312" w:cs="Times New Roman"/>
          <w:color w:val="auto"/>
          <w:sz w:val="32"/>
          <w:szCs w:val="32"/>
        </w:rPr>
        <w:t>相比，收、支总计各增加</w:t>
      </w:r>
      <w:r>
        <w:rPr>
          <w:rFonts w:hint="default" w:ascii="Times New Roman" w:hAnsi="Times New Roman" w:eastAsia="仿宋_GB2312" w:cs="Times New Roman"/>
          <w:color w:val="auto"/>
          <w:sz w:val="32"/>
          <w:szCs w:val="32"/>
          <w:lang w:val="en-US" w:eastAsia="zh-CN"/>
        </w:rPr>
        <w:t>53.08</w:t>
      </w:r>
      <w:r>
        <w:rPr>
          <w:rFonts w:hint="default" w:ascii="Times New Roman" w:hAnsi="Times New Roman" w:eastAsia="仿宋_GB2312" w:cs="Times New Roman"/>
          <w:color w:val="auto"/>
          <w:sz w:val="32"/>
          <w:szCs w:val="32"/>
        </w:rPr>
        <w:t>万元，增长</w:t>
      </w:r>
      <w:r>
        <w:rPr>
          <w:rFonts w:hint="default" w:ascii="Times New Roman" w:hAnsi="Times New Roman" w:eastAsia="仿宋_GB2312" w:cs="Times New Roman"/>
          <w:color w:val="auto"/>
          <w:sz w:val="32"/>
          <w:szCs w:val="32"/>
          <w:lang w:val="en-US" w:eastAsia="zh-CN"/>
        </w:rPr>
        <w:t>2.31</w:t>
      </w:r>
      <w:r>
        <w:rPr>
          <w:rFonts w:hint="default" w:ascii="Times New Roman" w:hAnsi="Times New Roman" w:eastAsia="仿宋_GB2312" w:cs="Times New Roman"/>
          <w:color w:val="auto"/>
          <w:sz w:val="32"/>
          <w:szCs w:val="32"/>
        </w:rPr>
        <w:t>%。主要变动原因是</w:t>
      </w:r>
      <w:r>
        <w:rPr>
          <w:rFonts w:hint="default" w:ascii="Times New Roman" w:hAnsi="Times New Roman" w:eastAsia="仿宋_GB2312" w:cs="Times New Roman"/>
          <w:color w:val="auto"/>
          <w:sz w:val="32"/>
          <w:szCs w:val="32"/>
          <w:lang w:val="en-US" w:eastAsia="zh-CN"/>
        </w:rPr>
        <w:t>财政拨款收入中的日常公用经费增加。</w:t>
      </w:r>
    </w:p>
    <w:p>
      <w:pPr>
        <w:jc w:val="center"/>
        <w:rPr>
          <w:rFonts w:hint="default" w:ascii="Times New Roman" w:hAnsi="Times New Roman" w:cs="Times New Roman"/>
        </w:rPr>
      </w:pPr>
      <w:r>
        <w:rPr>
          <w:rFonts w:hint="default" w:ascii="Times New Roman" w:hAnsi="Times New Roman" w:cs="Times New Roman"/>
        </w:rPr>
        <w:drawing>
          <wp:inline distT="0" distB="0" distL="114300" distR="114300">
            <wp:extent cx="4572000" cy="2743200"/>
            <wp:effectExtent l="4445" t="4445" r="14605" b="14605"/>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pStyle w:val="25"/>
        <w:spacing w:before="93" w:line="560" w:lineRule="exact"/>
        <w:ind w:firstLine="640" w:firstLineChars="200"/>
        <w:jc w:val="center"/>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图1：收、支决算总计变动情况图</w:t>
      </w:r>
    </w:p>
    <w:p>
      <w:pPr>
        <w:pStyle w:val="26"/>
        <w:numPr>
          <w:ilvl w:val="0"/>
          <w:numId w:val="0"/>
        </w:numPr>
        <w:spacing w:line="600" w:lineRule="exact"/>
        <w:ind w:left="640" w:leftChars="0"/>
        <w:outlineLvl w:val="1"/>
        <w:rPr>
          <w:rStyle w:val="28"/>
          <w:rFonts w:hint="default" w:ascii="Times New Roman" w:hAnsi="Times New Roman" w:eastAsia="黑体" w:cs="Times New Roman"/>
          <w:b w:val="0"/>
          <w:bCs w:val="0"/>
        </w:rPr>
      </w:pPr>
      <w:bookmarkStart w:id="44" w:name="_Toc15396604"/>
      <w:bookmarkStart w:id="45" w:name="_Toc15377206"/>
      <w:bookmarkStart w:id="46" w:name="_Toc23924_WPSOffice_Level2"/>
      <w:r>
        <w:rPr>
          <w:rFonts w:hint="default" w:ascii="Times New Roman" w:hAnsi="Times New Roman" w:eastAsia="黑体" w:cs="Times New Roman"/>
          <w:b w:val="0"/>
          <w:bCs w:val="0"/>
          <w:sz w:val="32"/>
          <w:szCs w:val="32"/>
          <w:lang w:val="en-US" w:eastAsia="zh-CN"/>
        </w:rPr>
        <w:t>二、</w:t>
      </w:r>
      <w:r>
        <w:rPr>
          <w:rFonts w:hint="default" w:ascii="Times New Roman" w:hAnsi="Times New Roman" w:eastAsia="黑体" w:cs="Times New Roman"/>
          <w:b w:val="0"/>
          <w:bCs w:val="0"/>
          <w:sz w:val="32"/>
          <w:szCs w:val="32"/>
        </w:rPr>
        <w:t>收</w:t>
      </w:r>
      <w:r>
        <w:rPr>
          <w:rStyle w:val="28"/>
          <w:rFonts w:hint="default" w:ascii="Times New Roman" w:hAnsi="Times New Roman" w:eastAsia="黑体" w:cs="Times New Roman"/>
          <w:b w:val="0"/>
          <w:bCs w:val="0"/>
        </w:rPr>
        <w:t>入决算情况说明</w:t>
      </w:r>
      <w:bookmarkEnd w:id="44"/>
      <w:bookmarkEnd w:id="45"/>
      <w:bookmarkEnd w:id="46"/>
    </w:p>
    <w:p>
      <w:pPr>
        <w:pStyle w:val="25"/>
        <w:spacing w:before="93" w:line="560" w:lineRule="exact"/>
        <w:ind w:firstLine="640" w:firstLineChars="200"/>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2023年度本年收入合计2347.77万元，其中：一般公共预算财政拨款收入2347.77万元，占100%；政府性基金预算财政拨款收入0万元，占0%；国有资本经营预算财政拨款收入0万元，占0%；上级补助收入0万元，占0%；事业收入0万元，占0%；经营收入0万元，占0%；附属单位上缴收入0万元，占0%；其他收入0万元，占0%</w:t>
      </w:r>
      <w:r>
        <w:rPr>
          <w:rFonts w:hint="default" w:ascii="Times New Roman" w:hAnsi="Times New Roman" w:eastAsia="仿宋_GB2312" w:cs="Times New Roman"/>
          <w:color w:val="auto"/>
          <w:sz w:val="32"/>
          <w:szCs w:val="32"/>
          <w:lang w:eastAsia="zh-CN"/>
        </w:rPr>
        <w:t>。</w:t>
      </w:r>
    </w:p>
    <w:p>
      <w:pPr>
        <w:pStyle w:val="18"/>
        <w:jc w:val="center"/>
        <w:rPr>
          <w:rFonts w:hint="default" w:ascii="Times New Roman" w:hAnsi="Times New Roman" w:cs="Times New Roman"/>
          <w:lang w:eastAsia="zh-CN"/>
        </w:rPr>
      </w:pPr>
      <w:r>
        <w:rPr>
          <w:rFonts w:hint="default" w:ascii="Times New Roman" w:hAnsi="Times New Roman" w:cs="Times New Roman"/>
        </w:rPr>
        <w:drawing>
          <wp:inline distT="0" distB="0" distL="114300" distR="114300">
            <wp:extent cx="4572000" cy="2743200"/>
            <wp:effectExtent l="4445" t="4445" r="14605" b="14605"/>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pStyle w:val="25"/>
        <w:spacing w:before="93" w:line="560" w:lineRule="exact"/>
        <w:ind w:firstLine="640" w:firstLineChars="200"/>
        <w:jc w:val="center"/>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kern w:val="0"/>
          <w:sz w:val="32"/>
          <w:szCs w:val="32"/>
          <w:lang w:val="en-US" w:eastAsia="zh-CN" w:bidi="ar-SA"/>
        </w:rPr>
        <w:t>图2：收入决算结构图</w:t>
      </w:r>
    </w:p>
    <w:p>
      <w:pPr>
        <w:pStyle w:val="26"/>
        <w:numPr>
          <w:ilvl w:val="0"/>
          <w:numId w:val="0"/>
        </w:numPr>
        <w:spacing w:line="600" w:lineRule="exact"/>
        <w:ind w:left="640" w:leftChars="0"/>
        <w:outlineLvl w:val="1"/>
        <w:rPr>
          <w:rStyle w:val="28"/>
          <w:rFonts w:hint="default" w:ascii="Times New Roman" w:hAnsi="Times New Roman" w:eastAsia="黑体" w:cs="Times New Roman"/>
          <w:b w:val="0"/>
          <w:bCs w:val="0"/>
        </w:rPr>
      </w:pPr>
      <w:bookmarkStart w:id="47" w:name="_Toc15377207"/>
      <w:bookmarkStart w:id="48" w:name="_Toc15396605"/>
      <w:bookmarkStart w:id="49" w:name="_Toc23089_WPSOffice_Level2"/>
      <w:r>
        <w:rPr>
          <w:rFonts w:hint="default" w:ascii="Times New Roman" w:hAnsi="Times New Roman" w:eastAsia="黑体" w:cs="Times New Roman"/>
          <w:b w:val="0"/>
          <w:bCs w:val="0"/>
          <w:sz w:val="32"/>
          <w:szCs w:val="32"/>
          <w:lang w:val="en-US" w:eastAsia="zh-CN"/>
        </w:rPr>
        <w:t>三、</w:t>
      </w:r>
      <w:r>
        <w:rPr>
          <w:rFonts w:hint="default" w:ascii="Times New Roman" w:hAnsi="Times New Roman" w:eastAsia="黑体" w:cs="Times New Roman"/>
          <w:b w:val="0"/>
          <w:bCs w:val="0"/>
          <w:sz w:val="32"/>
          <w:szCs w:val="32"/>
        </w:rPr>
        <w:t>支</w:t>
      </w:r>
      <w:r>
        <w:rPr>
          <w:rStyle w:val="28"/>
          <w:rFonts w:hint="default" w:ascii="Times New Roman" w:hAnsi="Times New Roman" w:eastAsia="黑体" w:cs="Times New Roman"/>
          <w:b w:val="0"/>
          <w:bCs w:val="0"/>
        </w:rPr>
        <w:t>出决算情况说明</w:t>
      </w:r>
      <w:bookmarkEnd w:id="47"/>
      <w:bookmarkEnd w:id="48"/>
      <w:bookmarkEnd w:id="49"/>
    </w:p>
    <w:p>
      <w:pPr>
        <w:pStyle w:val="25"/>
        <w:spacing w:before="93" w:line="560" w:lineRule="exact"/>
        <w:ind w:firstLine="640" w:firstLineChars="200"/>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2023年度本年支出合计2347.77万元，其中：基本支出2273.37万元，占96.83%；项目支出74.4万元，占3.16%</w:t>
      </w:r>
      <w:r>
        <w:rPr>
          <w:rFonts w:hint="default" w:ascii="Times New Roman" w:hAnsi="Times New Roman" w:eastAsia="仿宋_GB2312" w:cs="Times New Roman"/>
          <w:color w:val="auto"/>
          <w:sz w:val="32"/>
          <w:szCs w:val="32"/>
          <w:lang w:eastAsia="zh-CN"/>
        </w:rPr>
        <w:t>。</w:t>
      </w:r>
    </w:p>
    <w:p>
      <w:pPr>
        <w:jc w:val="center"/>
        <w:rPr>
          <w:rFonts w:hint="default" w:ascii="Times New Roman" w:hAnsi="Times New Roman" w:cs="Times New Roman"/>
        </w:rPr>
      </w:pPr>
      <w:r>
        <w:rPr>
          <w:rFonts w:hint="default" w:ascii="Times New Roman" w:hAnsi="Times New Roman" w:cs="Times New Roman"/>
        </w:rPr>
        <w:drawing>
          <wp:inline distT="0" distB="0" distL="114300" distR="114300">
            <wp:extent cx="4394200" cy="3434715"/>
            <wp:effectExtent l="4445" t="4445" r="20955" b="8890"/>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600" w:lineRule="exact"/>
        <w:ind w:firstLine="640" w:firstLineChars="200"/>
        <w:jc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auto"/>
          <w:kern w:val="0"/>
          <w:sz w:val="32"/>
          <w:szCs w:val="32"/>
          <w:lang w:val="en-US" w:eastAsia="zh-CN" w:bidi="ar-SA"/>
        </w:rPr>
        <w:t>图3：支出决算结构图</w:t>
      </w:r>
    </w:p>
    <w:p>
      <w:pPr>
        <w:spacing w:line="600" w:lineRule="exact"/>
        <w:ind w:firstLine="640" w:firstLineChars="200"/>
        <w:outlineLvl w:val="1"/>
        <w:rPr>
          <w:rFonts w:hint="default" w:ascii="Times New Roman" w:hAnsi="Times New Roman" w:eastAsia="黑体" w:cs="Times New Roman"/>
          <w:b w:val="0"/>
          <w:bCs w:val="0"/>
          <w:kern w:val="2"/>
          <w:sz w:val="32"/>
          <w:szCs w:val="32"/>
          <w:lang w:val="en-US" w:eastAsia="zh-CN" w:bidi="ar-SA"/>
        </w:rPr>
      </w:pPr>
      <w:bookmarkStart w:id="50" w:name="_Toc15377208"/>
      <w:bookmarkStart w:id="51" w:name="_Toc15396606"/>
    </w:p>
    <w:p>
      <w:pPr>
        <w:spacing w:line="600" w:lineRule="exact"/>
        <w:ind w:firstLine="640" w:firstLineChars="200"/>
        <w:outlineLvl w:val="1"/>
        <w:rPr>
          <w:rFonts w:hint="default" w:ascii="Times New Roman" w:hAnsi="Times New Roman" w:eastAsia="黑体" w:cs="Times New Roman"/>
          <w:b w:val="0"/>
          <w:bCs w:val="0"/>
          <w:kern w:val="2"/>
          <w:sz w:val="32"/>
          <w:szCs w:val="32"/>
          <w:lang w:val="en-US" w:eastAsia="zh-CN" w:bidi="ar-SA"/>
        </w:rPr>
      </w:pPr>
      <w:bookmarkStart w:id="52" w:name="_Toc6714_WPSOffice_Level2"/>
      <w:r>
        <w:rPr>
          <w:rFonts w:hint="default" w:ascii="Times New Roman" w:hAnsi="Times New Roman" w:eastAsia="黑体" w:cs="Times New Roman"/>
          <w:b w:val="0"/>
          <w:bCs w:val="0"/>
          <w:kern w:val="2"/>
          <w:sz w:val="32"/>
          <w:szCs w:val="32"/>
          <w:lang w:val="en-US" w:eastAsia="zh-CN" w:bidi="ar-SA"/>
        </w:rPr>
        <w:t>四、财政拨款收入支出决算总体情况说明</w:t>
      </w:r>
      <w:bookmarkEnd w:id="50"/>
      <w:bookmarkEnd w:id="51"/>
      <w:bookmarkEnd w:id="52"/>
    </w:p>
    <w:p>
      <w:pPr>
        <w:pStyle w:val="25"/>
        <w:spacing w:before="93"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2023年度财政拨款收、支总计均为2347.77万元。与2022年度</w:t>
      </w:r>
      <w:r>
        <w:rPr>
          <w:rFonts w:hint="default" w:ascii="Times New Roman" w:hAnsi="Times New Roman" w:eastAsia="仿宋_GB2312" w:cs="Times New Roman"/>
          <w:color w:val="auto"/>
          <w:sz w:val="32"/>
          <w:szCs w:val="32"/>
          <w:lang w:val="en-US" w:eastAsia="zh-CN"/>
        </w:rPr>
        <w:t>财政拨款收、支总计均为2294.69万元</w:t>
      </w:r>
      <w:r>
        <w:rPr>
          <w:rFonts w:hint="default" w:ascii="Times New Roman" w:hAnsi="Times New Roman" w:eastAsia="仿宋_GB2312" w:cs="Times New Roman"/>
          <w:color w:val="auto"/>
          <w:sz w:val="32"/>
          <w:szCs w:val="32"/>
        </w:rPr>
        <w:t>相比，</w:t>
      </w:r>
      <w:r>
        <w:rPr>
          <w:rFonts w:hint="default" w:ascii="Times New Roman" w:hAnsi="Times New Roman" w:eastAsia="仿宋_GB2312" w:cs="Times New Roman"/>
          <w:color w:val="auto"/>
          <w:sz w:val="32"/>
          <w:szCs w:val="32"/>
          <w:lang w:val="en-US" w:eastAsia="zh-CN"/>
        </w:rPr>
        <w:t>财政拨款</w:t>
      </w:r>
      <w:r>
        <w:rPr>
          <w:rFonts w:hint="default" w:ascii="Times New Roman" w:hAnsi="Times New Roman" w:eastAsia="仿宋_GB2312" w:cs="Times New Roman"/>
          <w:color w:val="auto"/>
          <w:sz w:val="32"/>
          <w:szCs w:val="32"/>
        </w:rPr>
        <w:t>收、支总计各增加</w:t>
      </w:r>
      <w:r>
        <w:rPr>
          <w:rFonts w:hint="default" w:ascii="Times New Roman" w:hAnsi="Times New Roman" w:eastAsia="仿宋_GB2312" w:cs="Times New Roman"/>
          <w:color w:val="auto"/>
          <w:sz w:val="32"/>
          <w:szCs w:val="32"/>
          <w:lang w:val="en-US" w:eastAsia="zh-CN"/>
        </w:rPr>
        <w:t>53.08</w:t>
      </w:r>
      <w:r>
        <w:rPr>
          <w:rFonts w:hint="default" w:ascii="Times New Roman" w:hAnsi="Times New Roman" w:eastAsia="仿宋_GB2312" w:cs="Times New Roman"/>
          <w:color w:val="auto"/>
          <w:sz w:val="32"/>
          <w:szCs w:val="32"/>
        </w:rPr>
        <w:t>万元，增长</w:t>
      </w:r>
      <w:r>
        <w:rPr>
          <w:rFonts w:hint="default" w:ascii="Times New Roman" w:hAnsi="Times New Roman" w:eastAsia="仿宋_GB2312" w:cs="Times New Roman"/>
          <w:color w:val="auto"/>
          <w:sz w:val="32"/>
          <w:szCs w:val="32"/>
          <w:lang w:val="en-US" w:eastAsia="zh-CN"/>
        </w:rPr>
        <w:t>2.31</w:t>
      </w:r>
      <w:r>
        <w:rPr>
          <w:rFonts w:hint="default" w:ascii="Times New Roman" w:hAnsi="Times New Roman" w:eastAsia="仿宋_GB2312" w:cs="Times New Roman"/>
          <w:color w:val="auto"/>
          <w:sz w:val="32"/>
          <w:szCs w:val="32"/>
        </w:rPr>
        <w:t>%。主要变动原因是</w:t>
      </w:r>
      <w:r>
        <w:rPr>
          <w:rFonts w:hint="default" w:ascii="Times New Roman" w:hAnsi="Times New Roman" w:eastAsia="仿宋_GB2312" w:cs="Times New Roman"/>
          <w:color w:val="auto"/>
          <w:sz w:val="32"/>
          <w:szCs w:val="32"/>
          <w:lang w:val="en-US" w:eastAsia="zh-CN"/>
        </w:rPr>
        <w:t>一般公共预算财政拨款的日常公用经费增加。</w:t>
      </w:r>
    </w:p>
    <w:p>
      <w:pPr>
        <w:pStyle w:val="18"/>
        <w:jc w:val="center"/>
        <w:rPr>
          <w:rFonts w:hint="default" w:ascii="Times New Roman" w:hAnsi="Times New Roman" w:cs="Times New Roman"/>
        </w:rPr>
      </w:pPr>
      <w:r>
        <w:rPr>
          <w:rFonts w:hint="default" w:ascii="Times New Roman" w:hAnsi="Times New Roman" w:cs="Times New Roman"/>
        </w:rPr>
        <w:drawing>
          <wp:inline distT="0" distB="0" distL="114300" distR="114300">
            <wp:extent cx="4572000" cy="2743200"/>
            <wp:effectExtent l="4445" t="4445" r="14605" b="14605"/>
            <wp:docPr id="15"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25"/>
        <w:spacing w:before="93" w:line="560" w:lineRule="exact"/>
        <w:ind w:firstLine="640" w:firstLineChars="200"/>
        <w:jc w:val="center"/>
        <w:rPr>
          <w:rFonts w:hint="eastAsia"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图4：财政拨款收、支决算总计变动情况</w:t>
      </w:r>
    </w:p>
    <w:p>
      <w:pPr>
        <w:spacing w:line="600" w:lineRule="exact"/>
        <w:ind w:firstLine="640" w:firstLineChars="200"/>
        <w:outlineLvl w:val="1"/>
        <w:rPr>
          <w:rFonts w:hint="default" w:ascii="Times New Roman" w:hAnsi="Times New Roman" w:eastAsia="黑体" w:cs="Times New Roman"/>
          <w:b w:val="0"/>
          <w:bCs w:val="0"/>
          <w:kern w:val="2"/>
          <w:sz w:val="32"/>
          <w:szCs w:val="32"/>
          <w:lang w:val="en-US" w:eastAsia="zh-CN" w:bidi="ar-SA"/>
        </w:rPr>
      </w:pPr>
      <w:bookmarkStart w:id="53" w:name="_Toc15377209"/>
      <w:bookmarkStart w:id="54" w:name="_Toc23507_WPSOffice_Level2"/>
      <w:bookmarkStart w:id="55" w:name="_Toc15396607"/>
      <w:r>
        <w:rPr>
          <w:rFonts w:hint="default" w:ascii="Times New Roman" w:hAnsi="Times New Roman" w:eastAsia="黑体" w:cs="Times New Roman"/>
          <w:b w:val="0"/>
          <w:bCs w:val="0"/>
          <w:kern w:val="2"/>
          <w:sz w:val="32"/>
          <w:szCs w:val="32"/>
          <w:lang w:val="en-US" w:eastAsia="zh-CN" w:bidi="ar-SA"/>
        </w:rPr>
        <w:t>五、一般公共预算财政拨款支出决算情况说明</w:t>
      </w:r>
      <w:bookmarkEnd w:id="53"/>
      <w:bookmarkEnd w:id="54"/>
      <w:bookmarkEnd w:id="55"/>
    </w:p>
    <w:p>
      <w:pPr>
        <w:spacing w:line="600" w:lineRule="exact"/>
        <w:ind w:firstLine="640" w:firstLineChars="200"/>
        <w:outlineLvl w:val="2"/>
        <w:rPr>
          <w:rFonts w:hint="default" w:ascii="Times New Roman" w:hAnsi="Times New Roman" w:eastAsia="楷体_GB2312" w:cs="Times New Roman"/>
          <w:color w:val="auto"/>
          <w:kern w:val="0"/>
          <w:sz w:val="32"/>
          <w:szCs w:val="32"/>
          <w:lang w:val="en-US" w:eastAsia="zh-CN" w:bidi="ar-SA"/>
        </w:rPr>
      </w:pPr>
      <w:bookmarkStart w:id="56" w:name="_Toc15377210"/>
      <w:r>
        <w:rPr>
          <w:rFonts w:hint="default" w:ascii="Times New Roman" w:hAnsi="Times New Roman" w:eastAsia="楷体_GB2312" w:cs="Times New Roman"/>
          <w:color w:val="auto"/>
          <w:kern w:val="0"/>
          <w:sz w:val="32"/>
          <w:szCs w:val="32"/>
          <w:lang w:val="en-US" w:eastAsia="zh-CN" w:bidi="ar-SA"/>
        </w:rPr>
        <w:t>（一）一般公共预算财政拨款支出决算总体情况</w:t>
      </w:r>
      <w:bookmarkEnd w:id="56"/>
      <w:r>
        <w:rPr>
          <w:rFonts w:hint="default" w:ascii="Times New Roman" w:hAnsi="Times New Roman" w:eastAsia="楷体_GB2312" w:cs="Times New Roman"/>
          <w:color w:val="auto"/>
          <w:kern w:val="0"/>
          <w:sz w:val="32"/>
          <w:szCs w:val="32"/>
          <w:lang w:val="en-US" w:eastAsia="zh-CN" w:bidi="ar-SA"/>
        </w:rPr>
        <w:t>。</w:t>
      </w:r>
    </w:p>
    <w:p>
      <w:pPr>
        <w:pStyle w:val="25"/>
        <w:spacing w:before="93"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2023年度一般公共预算财政拨款支出2347.77万元，占本年支出合计的100%。与2022年度</w:t>
      </w:r>
      <w:r>
        <w:rPr>
          <w:rFonts w:hint="default" w:ascii="Times New Roman" w:hAnsi="Times New Roman" w:eastAsia="仿宋_GB2312" w:cs="Times New Roman"/>
          <w:color w:val="auto"/>
          <w:sz w:val="32"/>
          <w:szCs w:val="32"/>
          <w:lang w:val="en-US" w:eastAsia="zh-CN"/>
        </w:rPr>
        <w:t>一般公共预算财政拨款支出2294.69万元</w:t>
      </w:r>
      <w:r>
        <w:rPr>
          <w:rFonts w:hint="default" w:ascii="Times New Roman" w:hAnsi="Times New Roman" w:eastAsia="仿宋_GB2312" w:cs="Times New Roman"/>
          <w:color w:val="auto"/>
          <w:sz w:val="32"/>
          <w:szCs w:val="32"/>
        </w:rPr>
        <w:t>相比，</w:t>
      </w:r>
      <w:r>
        <w:rPr>
          <w:rFonts w:hint="default" w:ascii="Times New Roman" w:hAnsi="Times New Roman" w:eastAsia="仿宋_GB2312" w:cs="Times New Roman"/>
          <w:color w:val="auto"/>
          <w:sz w:val="32"/>
          <w:szCs w:val="32"/>
          <w:lang w:val="en-US" w:eastAsia="zh-CN"/>
        </w:rPr>
        <w:t>支出</w:t>
      </w:r>
      <w:r>
        <w:rPr>
          <w:rFonts w:hint="default" w:ascii="Times New Roman" w:hAnsi="Times New Roman" w:eastAsia="仿宋_GB2312" w:cs="Times New Roman"/>
          <w:color w:val="auto"/>
          <w:sz w:val="32"/>
          <w:szCs w:val="32"/>
        </w:rPr>
        <w:t>增加</w:t>
      </w:r>
      <w:r>
        <w:rPr>
          <w:rFonts w:hint="default" w:ascii="Times New Roman" w:hAnsi="Times New Roman" w:eastAsia="仿宋_GB2312" w:cs="Times New Roman"/>
          <w:color w:val="auto"/>
          <w:sz w:val="32"/>
          <w:szCs w:val="32"/>
          <w:lang w:val="en-US" w:eastAsia="zh-CN"/>
        </w:rPr>
        <w:t>53.08</w:t>
      </w:r>
      <w:r>
        <w:rPr>
          <w:rFonts w:hint="default" w:ascii="Times New Roman" w:hAnsi="Times New Roman" w:eastAsia="仿宋_GB2312" w:cs="Times New Roman"/>
          <w:color w:val="auto"/>
          <w:sz w:val="32"/>
          <w:szCs w:val="32"/>
        </w:rPr>
        <w:t>万元，增长</w:t>
      </w:r>
      <w:r>
        <w:rPr>
          <w:rFonts w:hint="default" w:ascii="Times New Roman" w:hAnsi="Times New Roman" w:eastAsia="仿宋_GB2312" w:cs="Times New Roman"/>
          <w:color w:val="auto"/>
          <w:sz w:val="32"/>
          <w:szCs w:val="32"/>
          <w:lang w:val="en-US" w:eastAsia="zh-CN"/>
        </w:rPr>
        <w:t>2.31</w:t>
      </w:r>
      <w:r>
        <w:rPr>
          <w:rFonts w:hint="default" w:ascii="Times New Roman" w:hAnsi="Times New Roman" w:eastAsia="仿宋_GB2312" w:cs="Times New Roman"/>
          <w:color w:val="auto"/>
          <w:sz w:val="32"/>
          <w:szCs w:val="32"/>
        </w:rPr>
        <w:t>%。主要变动原因是</w:t>
      </w:r>
      <w:r>
        <w:rPr>
          <w:rFonts w:hint="default" w:ascii="Times New Roman" w:hAnsi="Times New Roman" w:eastAsia="仿宋_GB2312" w:cs="Times New Roman"/>
          <w:color w:val="auto"/>
          <w:sz w:val="32"/>
          <w:szCs w:val="32"/>
          <w:lang w:val="en-US" w:eastAsia="zh-CN"/>
        </w:rPr>
        <w:t>日常公用经费增加。</w:t>
      </w:r>
    </w:p>
    <w:p>
      <w:pPr>
        <w:pStyle w:val="25"/>
        <w:spacing w:before="93" w:line="560" w:lineRule="exact"/>
        <w:ind w:firstLine="640" w:firstLineChars="200"/>
        <w:rPr>
          <w:rFonts w:hint="default" w:ascii="Times New Roman" w:hAnsi="Times New Roman" w:eastAsia="仿宋_GB2312" w:cs="Times New Roman"/>
          <w:color w:val="auto"/>
          <w:sz w:val="32"/>
          <w:szCs w:val="32"/>
        </w:rPr>
      </w:pPr>
    </w:p>
    <w:p>
      <w:pPr>
        <w:pStyle w:val="18"/>
        <w:jc w:val="center"/>
        <w:rPr>
          <w:rFonts w:hint="default" w:ascii="Times New Roman" w:hAnsi="Times New Roman" w:cs="Times New Roman"/>
        </w:rPr>
      </w:pPr>
      <w:r>
        <w:rPr>
          <w:rFonts w:hint="default" w:ascii="Times New Roman" w:hAnsi="Times New Roman" w:cs="Times New Roman"/>
        </w:rPr>
        <w:drawing>
          <wp:inline distT="0" distB="0" distL="114300" distR="114300">
            <wp:extent cx="5122545" cy="4099560"/>
            <wp:effectExtent l="4445" t="4445" r="16510" b="10795"/>
            <wp:docPr id="17" name="图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25"/>
        <w:spacing w:before="93" w:line="560" w:lineRule="exact"/>
        <w:ind w:firstLine="960" w:firstLineChars="300"/>
        <w:rPr>
          <w:rFonts w:hint="default" w:ascii="Times New Roman" w:hAnsi="Times New Roman" w:eastAsia="仿宋" w:cs="Times New Roman"/>
          <w:sz w:val="32"/>
          <w:szCs w:val="32"/>
        </w:rPr>
      </w:pPr>
      <w:r>
        <w:rPr>
          <w:rFonts w:hint="default" w:ascii="Times New Roman" w:hAnsi="Times New Roman" w:eastAsia="仿宋_GB2312" w:cs="Times New Roman"/>
          <w:color w:val="auto"/>
          <w:sz w:val="32"/>
          <w:szCs w:val="32"/>
        </w:rPr>
        <w:t>图5：一般公共预算财政拨款支出决算变动情况</w:t>
      </w:r>
    </w:p>
    <w:p>
      <w:pPr>
        <w:spacing w:line="600" w:lineRule="exact"/>
        <w:ind w:firstLine="640" w:firstLineChars="200"/>
        <w:outlineLvl w:val="2"/>
        <w:rPr>
          <w:rFonts w:hint="default" w:ascii="Times New Roman" w:hAnsi="Times New Roman" w:eastAsia="楷体_GB2312" w:cs="Times New Roman"/>
          <w:color w:val="auto"/>
          <w:kern w:val="0"/>
          <w:sz w:val="32"/>
          <w:szCs w:val="32"/>
          <w:lang w:val="en-US" w:eastAsia="zh-CN" w:bidi="ar-SA"/>
        </w:rPr>
      </w:pPr>
      <w:bookmarkStart w:id="57" w:name="_Toc15377211"/>
      <w:r>
        <w:rPr>
          <w:rFonts w:hint="default" w:ascii="Times New Roman" w:hAnsi="Times New Roman" w:eastAsia="楷体_GB2312" w:cs="Times New Roman"/>
          <w:color w:val="auto"/>
          <w:kern w:val="0"/>
          <w:sz w:val="32"/>
          <w:szCs w:val="32"/>
          <w:lang w:val="en-US" w:eastAsia="zh-CN" w:bidi="ar-SA"/>
        </w:rPr>
        <w:t>（二）一般公共预算财政拨款支出决算结构情况</w:t>
      </w:r>
      <w:bookmarkEnd w:id="57"/>
      <w:r>
        <w:rPr>
          <w:rFonts w:hint="default" w:ascii="Times New Roman" w:hAnsi="Times New Roman" w:eastAsia="楷体_GB2312" w:cs="Times New Roman"/>
          <w:color w:val="auto"/>
          <w:kern w:val="0"/>
          <w:sz w:val="32"/>
          <w:szCs w:val="32"/>
          <w:lang w:val="en-US" w:eastAsia="zh-CN" w:bidi="ar-SA"/>
        </w:rPr>
        <w:t>。</w:t>
      </w:r>
    </w:p>
    <w:p>
      <w:pPr>
        <w:pStyle w:val="25"/>
        <w:spacing w:before="93"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2023年度一般公共预算财政拨款支出2347.77万元，主要用于教育支出</w:t>
      </w:r>
      <w:r>
        <w:rPr>
          <w:rFonts w:hint="default" w:ascii="Times New Roman" w:hAnsi="Times New Roman" w:eastAsia="仿宋_GB2312" w:cs="Times New Roman"/>
          <w:color w:val="auto"/>
          <w:sz w:val="32"/>
          <w:szCs w:val="32"/>
          <w:lang w:val="en-US" w:eastAsia="zh-CN"/>
        </w:rPr>
        <w:t>1759.63</w:t>
      </w:r>
      <w:r>
        <w:rPr>
          <w:rFonts w:hint="default" w:ascii="Times New Roman" w:hAnsi="Times New Roman" w:eastAsia="仿宋_GB2312" w:cs="Times New Roman"/>
          <w:color w:val="auto"/>
          <w:sz w:val="32"/>
          <w:szCs w:val="32"/>
        </w:rPr>
        <w:t>万元，占</w:t>
      </w:r>
      <w:r>
        <w:rPr>
          <w:rFonts w:hint="default" w:ascii="Times New Roman" w:hAnsi="Times New Roman" w:eastAsia="仿宋_GB2312" w:cs="Times New Roman"/>
          <w:color w:val="auto"/>
          <w:sz w:val="32"/>
          <w:szCs w:val="32"/>
          <w:lang w:val="en-US" w:eastAsia="zh-CN"/>
        </w:rPr>
        <w:t>74.95</w:t>
      </w:r>
      <w:r>
        <w:rPr>
          <w:rFonts w:hint="default" w:ascii="Times New Roman" w:hAnsi="Times New Roman" w:eastAsia="仿宋_GB2312" w:cs="Times New Roman"/>
          <w:color w:val="auto"/>
          <w:sz w:val="32"/>
          <w:szCs w:val="32"/>
        </w:rPr>
        <w:t>%；社会保障和就业支出</w:t>
      </w:r>
      <w:r>
        <w:rPr>
          <w:rFonts w:hint="default" w:ascii="Times New Roman" w:hAnsi="Times New Roman" w:eastAsia="仿宋_GB2312" w:cs="Times New Roman"/>
          <w:color w:val="auto"/>
          <w:sz w:val="32"/>
          <w:szCs w:val="32"/>
          <w:lang w:val="en-US" w:eastAsia="zh-CN"/>
        </w:rPr>
        <w:t>236.7</w:t>
      </w:r>
      <w:r>
        <w:rPr>
          <w:rFonts w:hint="default" w:ascii="Times New Roman" w:hAnsi="Times New Roman" w:eastAsia="仿宋_GB2312" w:cs="Times New Roman"/>
          <w:color w:val="auto"/>
          <w:sz w:val="32"/>
          <w:szCs w:val="32"/>
        </w:rPr>
        <w:t>万元，占</w:t>
      </w:r>
      <w:r>
        <w:rPr>
          <w:rFonts w:hint="default" w:ascii="Times New Roman" w:hAnsi="Times New Roman" w:eastAsia="仿宋_GB2312" w:cs="Times New Roman"/>
          <w:color w:val="auto"/>
          <w:sz w:val="32"/>
          <w:szCs w:val="32"/>
          <w:lang w:val="en-US" w:eastAsia="zh-CN"/>
        </w:rPr>
        <w:t>10.08</w:t>
      </w:r>
      <w:r>
        <w:rPr>
          <w:rFonts w:hint="default" w:ascii="Times New Roman" w:hAnsi="Times New Roman" w:eastAsia="仿宋_GB2312" w:cs="Times New Roman"/>
          <w:color w:val="auto"/>
          <w:sz w:val="32"/>
          <w:szCs w:val="32"/>
        </w:rPr>
        <w:t>%；卫生健康支出</w:t>
      </w:r>
      <w:r>
        <w:rPr>
          <w:rFonts w:hint="default" w:ascii="Times New Roman" w:hAnsi="Times New Roman" w:eastAsia="仿宋_GB2312" w:cs="Times New Roman"/>
          <w:color w:val="auto"/>
          <w:sz w:val="32"/>
          <w:szCs w:val="32"/>
          <w:lang w:val="en-US" w:eastAsia="zh-CN"/>
        </w:rPr>
        <w:t>182.63</w:t>
      </w:r>
      <w:r>
        <w:rPr>
          <w:rFonts w:hint="default" w:ascii="Times New Roman" w:hAnsi="Times New Roman" w:eastAsia="仿宋_GB2312" w:cs="Times New Roman"/>
          <w:color w:val="auto"/>
          <w:sz w:val="32"/>
          <w:szCs w:val="32"/>
        </w:rPr>
        <w:t>万元，占</w:t>
      </w:r>
      <w:r>
        <w:rPr>
          <w:rFonts w:hint="default" w:ascii="Times New Roman" w:hAnsi="Times New Roman" w:eastAsia="仿宋_GB2312" w:cs="Times New Roman"/>
          <w:color w:val="auto"/>
          <w:sz w:val="32"/>
          <w:szCs w:val="32"/>
          <w:lang w:val="en-US" w:eastAsia="zh-CN"/>
        </w:rPr>
        <w:t>7.78</w:t>
      </w:r>
      <w:r>
        <w:rPr>
          <w:rFonts w:hint="default" w:ascii="Times New Roman" w:hAnsi="Times New Roman" w:eastAsia="仿宋_GB2312" w:cs="Times New Roman"/>
          <w:color w:val="auto"/>
          <w:sz w:val="32"/>
          <w:szCs w:val="32"/>
        </w:rPr>
        <w:t>%；住房保障支出</w:t>
      </w:r>
      <w:r>
        <w:rPr>
          <w:rFonts w:hint="default" w:ascii="Times New Roman" w:hAnsi="Times New Roman" w:eastAsia="仿宋_GB2312" w:cs="Times New Roman"/>
          <w:color w:val="auto"/>
          <w:sz w:val="32"/>
          <w:szCs w:val="32"/>
          <w:lang w:val="en-US" w:eastAsia="zh-CN"/>
        </w:rPr>
        <w:t>168.81</w:t>
      </w:r>
      <w:r>
        <w:rPr>
          <w:rFonts w:hint="default" w:ascii="Times New Roman" w:hAnsi="Times New Roman" w:eastAsia="仿宋_GB2312" w:cs="Times New Roman"/>
          <w:color w:val="auto"/>
          <w:sz w:val="32"/>
          <w:szCs w:val="32"/>
        </w:rPr>
        <w:t>万元，占</w:t>
      </w:r>
      <w:r>
        <w:rPr>
          <w:rFonts w:hint="default" w:ascii="Times New Roman" w:hAnsi="Times New Roman" w:eastAsia="仿宋_GB2312" w:cs="Times New Roman"/>
          <w:color w:val="auto"/>
          <w:sz w:val="32"/>
          <w:szCs w:val="32"/>
          <w:lang w:val="en-US" w:eastAsia="zh-CN"/>
        </w:rPr>
        <w:t>7.19</w:t>
      </w:r>
      <w:r>
        <w:rPr>
          <w:rFonts w:hint="default" w:ascii="Times New Roman" w:hAnsi="Times New Roman" w:eastAsia="仿宋_GB2312" w:cs="Times New Roman"/>
          <w:color w:val="auto"/>
          <w:sz w:val="32"/>
          <w:szCs w:val="32"/>
        </w:rPr>
        <w:t>%。</w:t>
      </w:r>
    </w:p>
    <w:p>
      <w:pPr>
        <w:spacing w:line="600" w:lineRule="exact"/>
        <w:ind w:firstLine="640"/>
        <w:rPr>
          <w:rFonts w:hint="default" w:ascii="Times New Roman" w:hAnsi="Times New Roman" w:eastAsia="仿宋" w:cs="Times New Roman"/>
          <w:sz w:val="32"/>
          <w:szCs w:val="32"/>
        </w:rPr>
      </w:pPr>
    </w:p>
    <w:p>
      <w:pPr>
        <w:pStyle w:val="18"/>
        <w:rPr>
          <w:rFonts w:hint="default" w:ascii="Times New Roman" w:hAnsi="Times New Roman" w:eastAsia="仿宋" w:cs="Times New Roman"/>
          <w:sz w:val="32"/>
          <w:szCs w:val="32"/>
        </w:rPr>
      </w:pPr>
    </w:p>
    <w:p>
      <w:pPr>
        <w:rPr>
          <w:rFonts w:hint="default" w:ascii="Times New Roman" w:hAnsi="Times New Roman" w:eastAsia="仿宋" w:cs="Times New Roman"/>
          <w:sz w:val="32"/>
          <w:szCs w:val="32"/>
        </w:rPr>
      </w:pPr>
    </w:p>
    <w:p>
      <w:pPr>
        <w:pStyle w:val="18"/>
        <w:jc w:val="center"/>
        <w:rPr>
          <w:rFonts w:hint="default" w:ascii="Times New Roman" w:hAnsi="Times New Roman" w:cs="Times New Roman"/>
        </w:rPr>
      </w:pPr>
      <w:r>
        <w:rPr>
          <w:rFonts w:hint="default" w:ascii="Times New Roman" w:hAnsi="Times New Roman" w:cs="Times New Roman"/>
        </w:rPr>
        <w:drawing>
          <wp:inline distT="0" distB="0" distL="114300" distR="114300">
            <wp:extent cx="4639310" cy="3258185"/>
            <wp:effectExtent l="4445" t="5080" r="23495" b="13335"/>
            <wp:docPr id="11"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25"/>
        <w:spacing w:before="93" w:line="560" w:lineRule="exact"/>
        <w:ind w:firstLine="640" w:firstLineChars="200"/>
        <w:jc w:val="center"/>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图6：一般公共预算财政拨款支出决算结构</w:t>
      </w:r>
      <w:bookmarkStart w:id="58" w:name="_Toc15377212"/>
    </w:p>
    <w:p>
      <w:pPr>
        <w:pStyle w:val="25"/>
        <w:spacing w:before="93" w:line="560" w:lineRule="exact"/>
        <w:ind w:firstLine="640" w:firstLineChars="200"/>
        <w:rPr>
          <w:rFonts w:hint="default" w:ascii="Times New Roman" w:hAnsi="Times New Roman" w:eastAsia="楷体_GB2312" w:cs="Times New Roman"/>
          <w:color w:val="auto"/>
          <w:kern w:val="0"/>
          <w:sz w:val="32"/>
          <w:szCs w:val="32"/>
          <w:lang w:val="en-US" w:eastAsia="zh-CN" w:bidi="ar-SA"/>
        </w:rPr>
      </w:pPr>
      <w:r>
        <w:rPr>
          <w:rFonts w:hint="default" w:ascii="Times New Roman" w:hAnsi="Times New Roman" w:eastAsia="楷体_GB2312" w:cs="Times New Roman"/>
          <w:color w:val="auto"/>
          <w:kern w:val="0"/>
          <w:sz w:val="32"/>
          <w:szCs w:val="32"/>
          <w:lang w:val="en-US" w:eastAsia="zh-CN" w:bidi="ar-SA"/>
        </w:rPr>
        <w:t>（三）一般公共预算财政拨款支出决算具体情况</w:t>
      </w:r>
      <w:bookmarkEnd w:id="58"/>
      <w:r>
        <w:rPr>
          <w:rFonts w:hint="default" w:ascii="Times New Roman" w:hAnsi="Times New Roman" w:eastAsia="楷体_GB2312" w:cs="Times New Roman"/>
          <w:color w:val="auto"/>
          <w:kern w:val="0"/>
          <w:sz w:val="32"/>
          <w:szCs w:val="32"/>
          <w:lang w:val="en-US" w:eastAsia="zh-CN" w:bidi="ar-SA"/>
        </w:rPr>
        <w:t>。</w:t>
      </w:r>
    </w:p>
    <w:p>
      <w:pPr>
        <w:pStyle w:val="25"/>
        <w:spacing w:before="93" w:line="560" w:lineRule="exact"/>
        <w:ind w:firstLine="640" w:firstLineChars="200"/>
        <w:rPr>
          <w:rFonts w:hint="default" w:ascii="Times New Roman" w:hAnsi="Times New Roman" w:eastAsia="仿宋_GB2312" w:cs="Times New Roman"/>
          <w:color w:val="auto"/>
          <w:sz w:val="32"/>
          <w:szCs w:val="32"/>
        </w:rPr>
      </w:pPr>
      <w:bookmarkStart w:id="59" w:name="_Toc15378460"/>
      <w:bookmarkStart w:id="60" w:name="_Toc15377213"/>
      <w:bookmarkStart w:id="61" w:name="_Toc15377444"/>
      <w:r>
        <w:rPr>
          <w:rFonts w:hint="default" w:ascii="Times New Roman" w:hAnsi="Times New Roman" w:eastAsia="仿宋_GB2312" w:cs="Times New Roman"/>
          <w:color w:val="auto"/>
          <w:sz w:val="32"/>
          <w:szCs w:val="32"/>
        </w:rPr>
        <w:t>2023年度一般公共预算支出决算数为2347.77</w:t>
      </w:r>
      <w:r>
        <w:rPr>
          <w:rFonts w:hint="default" w:ascii="Times New Roman" w:hAnsi="Times New Roman" w:eastAsia="仿宋_GB2312" w:cs="Times New Roman"/>
          <w:color w:val="auto"/>
          <w:sz w:val="32"/>
          <w:szCs w:val="32"/>
          <w:lang w:val="en-US" w:eastAsia="zh-CN"/>
        </w:rPr>
        <w:t>万元</w:t>
      </w:r>
      <w:r>
        <w:rPr>
          <w:rFonts w:hint="default" w:ascii="Times New Roman" w:hAnsi="Times New Roman" w:eastAsia="仿宋_GB2312" w:cs="Times New Roman"/>
          <w:color w:val="auto"/>
          <w:sz w:val="32"/>
          <w:szCs w:val="32"/>
        </w:rPr>
        <w:t>，完成预算</w:t>
      </w:r>
      <w:r>
        <w:rPr>
          <w:rFonts w:hint="default" w:ascii="Times New Roman" w:hAnsi="Times New Roman" w:eastAsia="仿宋_GB2312" w:cs="Times New Roman"/>
          <w:color w:val="auto"/>
          <w:sz w:val="32"/>
          <w:szCs w:val="32"/>
          <w:lang w:val="en-US" w:eastAsia="zh-CN"/>
        </w:rPr>
        <w:t>100</w:t>
      </w:r>
      <w:r>
        <w:rPr>
          <w:rFonts w:hint="default" w:ascii="Times New Roman" w:hAnsi="Times New Roman" w:eastAsia="仿宋_GB2312" w:cs="Times New Roman"/>
          <w:color w:val="auto"/>
          <w:sz w:val="32"/>
          <w:szCs w:val="32"/>
        </w:rPr>
        <w:t>%。其中：</w:t>
      </w:r>
      <w:bookmarkEnd w:id="59"/>
      <w:bookmarkEnd w:id="60"/>
      <w:bookmarkEnd w:id="61"/>
    </w:p>
    <w:p>
      <w:pPr>
        <w:pStyle w:val="25"/>
        <w:spacing w:before="93" w:line="560" w:lineRule="exact"/>
        <w:ind w:firstLine="643"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bCs/>
          <w:color w:val="auto"/>
          <w:sz w:val="32"/>
          <w:szCs w:val="32"/>
          <w:lang w:val="en-US" w:eastAsia="zh-CN"/>
        </w:rPr>
        <w:t>1.</w:t>
      </w:r>
      <w:r>
        <w:rPr>
          <w:rFonts w:hint="default" w:ascii="Times New Roman" w:hAnsi="Times New Roman" w:eastAsia="仿宋_GB2312" w:cs="Times New Roman"/>
          <w:b/>
          <w:bCs/>
          <w:color w:val="auto"/>
          <w:sz w:val="32"/>
          <w:szCs w:val="32"/>
        </w:rPr>
        <w:t>教育</w:t>
      </w:r>
      <w:r>
        <w:rPr>
          <w:rFonts w:hint="default" w:ascii="Times New Roman" w:hAnsi="Times New Roman" w:eastAsia="仿宋_GB2312" w:cs="Times New Roman"/>
          <w:b/>
          <w:bCs/>
          <w:color w:val="auto"/>
          <w:sz w:val="32"/>
          <w:szCs w:val="32"/>
          <w:lang w:val="en-US" w:eastAsia="zh-CN"/>
        </w:rPr>
        <w:t>支出</w:t>
      </w:r>
      <w:r>
        <w:rPr>
          <w:rFonts w:hint="default" w:ascii="Times New Roman" w:hAnsi="Times New Roman" w:eastAsia="仿宋_GB2312" w:cs="Times New Roman"/>
          <w:color w:val="auto"/>
          <w:sz w:val="32"/>
          <w:szCs w:val="32"/>
        </w:rPr>
        <w:t>: 支出决算为</w:t>
      </w:r>
      <w:r>
        <w:rPr>
          <w:rFonts w:hint="default" w:ascii="Times New Roman" w:hAnsi="Times New Roman" w:eastAsia="仿宋_GB2312" w:cs="Times New Roman"/>
          <w:color w:val="auto"/>
          <w:sz w:val="32"/>
          <w:szCs w:val="32"/>
          <w:lang w:val="en-US" w:eastAsia="zh-CN"/>
        </w:rPr>
        <w:t>1759.63</w:t>
      </w:r>
      <w:r>
        <w:rPr>
          <w:rFonts w:hint="default" w:ascii="Times New Roman" w:hAnsi="Times New Roman" w:eastAsia="仿宋_GB2312" w:cs="Times New Roman"/>
          <w:color w:val="auto"/>
          <w:sz w:val="32"/>
          <w:szCs w:val="32"/>
        </w:rPr>
        <w:t>万元，完成预算</w:t>
      </w:r>
      <w:r>
        <w:rPr>
          <w:rFonts w:hint="default" w:ascii="Times New Roman" w:hAnsi="Times New Roman" w:eastAsia="仿宋_GB2312" w:cs="Times New Roman"/>
          <w:color w:val="auto"/>
          <w:sz w:val="32"/>
          <w:szCs w:val="32"/>
          <w:lang w:val="en-US" w:eastAsia="zh-CN"/>
        </w:rPr>
        <w:t>100</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其中（1）</w:t>
      </w:r>
      <w:r>
        <w:rPr>
          <w:rFonts w:hint="default" w:ascii="Times New Roman" w:hAnsi="Times New Roman" w:eastAsia="仿宋_GB2312" w:cs="Times New Roman"/>
          <w:color w:val="auto"/>
          <w:sz w:val="32"/>
          <w:szCs w:val="32"/>
        </w:rPr>
        <w:t>教育</w:t>
      </w:r>
      <w:r>
        <w:rPr>
          <w:rFonts w:hint="default" w:ascii="Times New Roman" w:hAnsi="Times New Roman" w:eastAsia="仿宋_GB2312" w:cs="Times New Roman"/>
          <w:color w:val="auto"/>
          <w:sz w:val="32"/>
          <w:szCs w:val="32"/>
          <w:lang w:val="en-US" w:eastAsia="zh-CN"/>
        </w:rPr>
        <w:t>支出</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205</w:t>
      </w:r>
      <w:r>
        <w:rPr>
          <w:rFonts w:hint="default" w:ascii="Times New Roman" w:hAnsi="Times New Roman" w:eastAsia="仿宋_GB2312" w:cs="Times New Roman"/>
          <w:color w:val="auto"/>
          <w:sz w:val="32"/>
          <w:szCs w:val="32"/>
        </w:rPr>
        <w:t>类）</w:t>
      </w:r>
      <w:r>
        <w:rPr>
          <w:rFonts w:hint="default" w:ascii="Times New Roman" w:hAnsi="Times New Roman" w:eastAsia="仿宋_GB2312" w:cs="Times New Roman"/>
          <w:color w:val="auto"/>
          <w:sz w:val="32"/>
          <w:szCs w:val="32"/>
          <w:lang w:val="en-US" w:eastAsia="zh-CN"/>
        </w:rPr>
        <w:t>普通教育（02款）初中教育（03项）：支出决算数为1697.39万元；（2）</w:t>
      </w:r>
      <w:r>
        <w:rPr>
          <w:rFonts w:hint="default" w:ascii="Times New Roman" w:hAnsi="Times New Roman" w:eastAsia="仿宋_GB2312" w:cs="Times New Roman"/>
          <w:color w:val="auto"/>
          <w:sz w:val="32"/>
          <w:szCs w:val="32"/>
        </w:rPr>
        <w:t>教育</w:t>
      </w:r>
      <w:r>
        <w:rPr>
          <w:rFonts w:hint="default" w:ascii="Times New Roman" w:hAnsi="Times New Roman" w:eastAsia="仿宋_GB2312" w:cs="Times New Roman"/>
          <w:color w:val="auto"/>
          <w:sz w:val="32"/>
          <w:szCs w:val="32"/>
          <w:lang w:val="en-US" w:eastAsia="zh-CN"/>
        </w:rPr>
        <w:t>支出</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205</w:t>
      </w:r>
      <w:r>
        <w:rPr>
          <w:rFonts w:hint="default" w:ascii="Times New Roman" w:hAnsi="Times New Roman" w:eastAsia="仿宋_GB2312" w:cs="Times New Roman"/>
          <w:color w:val="auto"/>
          <w:sz w:val="32"/>
          <w:szCs w:val="32"/>
        </w:rPr>
        <w:t>类）</w:t>
      </w:r>
      <w:r>
        <w:rPr>
          <w:rFonts w:hint="default" w:ascii="Times New Roman" w:hAnsi="Times New Roman" w:eastAsia="仿宋_GB2312" w:cs="Times New Roman"/>
          <w:color w:val="auto"/>
          <w:sz w:val="32"/>
          <w:szCs w:val="32"/>
          <w:lang w:val="en-US" w:eastAsia="zh-CN"/>
        </w:rPr>
        <w:t>教育附加费安排的支出（09款）农村中小学校舍建设（01项）：支出决算数为62.24万元。</w:t>
      </w:r>
    </w:p>
    <w:p>
      <w:pPr>
        <w:pStyle w:val="25"/>
        <w:spacing w:before="93" w:line="560" w:lineRule="exact"/>
        <w:ind w:firstLine="643"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bCs/>
          <w:color w:val="auto"/>
          <w:sz w:val="32"/>
          <w:szCs w:val="32"/>
          <w:lang w:val="en-US" w:eastAsia="zh-CN"/>
        </w:rPr>
        <w:t>2</w:t>
      </w:r>
      <w:r>
        <w:rPr>
          <w:rFonts w:hint="default" w:ascii="Times New Roman" w:hAnsi="Times New Roman" w:eastAsia="仿宋_GB2312" w:cs="Times New Roman"/>
          <w:b/>
          <w:bCs/>
          <w:color w:val="auto"/>
          <w:sz w:val="32"/>
          <w:szCs w:val="32"/>
        </w:rPr>
        <w:t>.社会保障和就业:</w:t>
      </w:r>
      <w:r>
        <w:rPr>
          <w:rFonts w:hint="default" w:ascii="Times New Roman" w:hAnsi="Times New Roman" w:eastAsia="仿宋_GB2312" w:cs="Times New Roman"/>
          <w:color w:val="auto"/>
          <w:sz w:val="32"/>
          <w:szCs w:val="32"/>
        </w:rPr>
        <w:t xml:space="preserve"> 支出决算为</w:t>
      </w:r>
      <w:r>
        <w:rPr>
          <w:rFonts w:hint="default" w:ascii="Times New Roman" w:hAnsi="Times New Roman" w:eastAsia="仿宋_GB2312" w:cs="Times New Roman"/>
          <w:color w:val="auto"/>
          <w:sz w:val="32"/>
          <w:szCs w:val="32"/>
          <w:lang w:val="en-US" w:eastAsia="zh-CN"/>
        </w:rPr>
        <w:t>236.7</w:t>
      </w:r>
      <w:r>
        <w:rPr>
          <w:rFonts w:hint="default" w:ascii="Times New Roman" w:hAnsi="Times New Roman" w:eastAsia="仿宋_GB2312" w:cs="Times New Roman"/>
          <w:color w:val="auto"/>
          <w:sz w:val="32"/>
          <w:szCs w:val="32"/>
        </w:rPr>
        <w:t>万元，完成预算</w:t>
      </w:r>
      <w:r>
        <w:rPr>
          <w:rFonts w:hint="default" w:ascii="Times New Roman" w:hAnsi="Times New Roman" w:eastAsia="仿宋_GB2312" w:cs="Times New Roman"/>
          <w:color w:val="auto"/>
          <w:sz w:val="32"/>
          <w:szCs w:val="32"/>
          <w:lang w:val="en-US" w:eastAsia="zh-CN"/>
        </w:rPr>
        <w:t>100</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其中（1)社会保障和就业</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208</w:t>
      </w:r>
      <w:r>
        <w:rPr>
          <w:rFonts w:hint="default" w:ascii="Times New Roman" w:hAnsi="Times New Roman" w:eastAsia="仿宋_GB2312" w:cs="Times New Roman"/>
          <w:color w:val="auto"/>
          <w:sz w:val="32"/>
          <w:szCs w:val="32"/>
        </w:rPr>
        <w:t>类）</w:t>
      </w:r>
      <w:r>
        <w:rPr>
          <w:rFonts w:hint="default" w:ascii="Times New Roman" w:hAnsi="Times New Roman" w:eastAsia="仿宋_GB2312" w:cs="Times New Roman"/>
          <w:color w:val="auto"/>
          <w:sz w:val="32"/>
          <w:szCs w:val="32"/>
          <w:lang w:val="en-US" w:eastAsia="zh-CN"/>
        </w:rPr>
        <w:t>行政事业单位养老（05款）机关事业单位基本养老保险缴费（05项）：支出决算数为214.72万元；（2）社会保障和就业（208类）行政事业单位养老（05款）机关事业单位职业年金缴费（06项）：支出决算数为14.41万元；（3）教社会保障和就业（208类）行政事业单位养老（05款）事业单位离退休（02项）：支出决算数为7.57万元。</w:t>
      </w:r>
    </w:p>
    <w:p>
      <w:pPr>
        <w:pStyle w:val="25"/>
        <w:spacing w:before="93" w:line="560" w:lineRule="exact"/>
        <w:ind w:firstLine="643"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bCs/>
          <w:color w:val="auto"/>
          <w:sz w:val="32"/>
          <w:szCs w:val="32"/>
          <w:lang w:val="en-US" w:eastAsia="zh-CN"/>
        </w:rPr>
        <w:t>3</w:t>
      </w:r>
      <w:r>
        <w:rPr>
          <w:rFonts w:hint="default" w:ascii="Times New Roman" w:hAnsi="Times New Roman" w:eastAsia="仿宋_GB2312" w:cs="Times New Roman"/>
          <w:b/>
          <w:bCs/>
          <w:color w:val="auto"/>
          <w:sz w:val="32"/>
          <w:szCs w:val="32"/>
        </w:rPr>
        <w:t>.卫生健康:</w:t>
      </w:r>
      <w:r>
        <w:rPr>
          <w:rFonts w:hint="default" w:ascii="Times New Roman" w:hAnsi="Times New Roman" w:eastAsia="仿宋_GB2312" w:cs="Times New Roman"/>
          <w:color w:val="auto"/>
          <w:sz w:val="32"/>
          <w:szCs w:val="32"/>
        </w:rPr>
        <w:t>支出决算为</w:t>
      </w:r>
      <w:r>
        <w:rPr>
          <w:rFonts w:hint="default" w:ascii="Times New Roman" w:hAnsi="Times New Roman" w:eastAsia="仿宋_GB2312" w:cs="Times New Roman"/>
          <w:color w:val="auto"/>
          <w:sz w:val="32"/>
          <w:szCs w:val="32"/>
          <w:lang w:val="en-US" w:eastAsia="zh-CN"/>
        </w:rPr>
        <w:t>182.63</w:t>
      </w:r>
      <w:r>
        <w:rPr>
          <w:rFonts w:hint="default" w:ascii="Times New Roman" w:hAnsi="Times New Roman" w:eastAsia="仿宋_GB2312" w:cs="Times New Roman"/>
          <w:color w:val="auto"/>
          <w:sz w:val="32"/>
          <w:szCs w:val="32"/>
        </w:rPr>
        <w:t>万元，完成预算</w:t>
      </w:r>
      <w:r>
        <w:rPr>
          <w:rFonts w:hint="default" w:ascii="Times New Roman" w:hAnsi="Times New Roman" w:eastAsia="仿宋_GB2312" w:cs="Times New Roman"/>
          <w:color w:val="auto"/>
          <w:sz w:val="32"/>
          <w:szCs w:val="32"/>
          <w:lang w:val="en-US" w:eastAsia="zh-CN"/>
        </w:rPr>
        <w:t>100</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其中：（1）卫生健康</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210</w:t>
      </w:r>
      <w:r>
        <w:rPr>
          <w:rFonts w:hint="default" w:ascii="Times New Roman" w:hAnsi="Times New Roman" w:eastAsia="仿宋_GB2312" w:cs="Times New Roman"/>
          <w:color w:val="auto"/>
          <w:sz w:val="32"/>
          <w:szCs w:val="32"/>
        </w:rPr>
        <w:t>类）</w:t>
      </w:r>
      <w:r>
        <w:rPr>
          <w:rFonts w:hint="default" w:ascii="Times New Roman" w:hAnsi="Times New Roman" w:eastAsia="仿宋_GB2312" w:cs="Times New Roman"/>
          <w:color w:val="auto"/>
          <w:sz w:val="32"/>
          <w:szCs w:val="32"/>
          <w:lang w:val="en-US" w:eastAsia="zh-CN"/>
        </w:rPr>
        <w:t>行政事业单位医疗（11款）事业单位医疗（02项）：支出决算数为110.65万元；（2）卫生健康</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210</w:t>
      </w:r>
      <w:r>
        <w:rPr>
          <w:rFonts w:hint="default" w:ascii="Times New Roman" w:hAnsi="Times New Roman" w:eastAsia="仿宋_GB2312" w:cs="Times New Roman"/>
          <w:color w:val="auto"/>
          <w:sz w:val="32"/>
          <w:szCs w:val="32"/>
        </w:rPr>
        <w:t>类）</w:t>
      </w:r>
      <w:r>
        <w:rPr>
          <w:rFonts w:hint="default" w:ascii="Times New Roman" w:hAnsi="Times New Roman" w:eastAsia="仿宋_GB2312" w:cs="Times New Roman"/>
          <w:color w:val="auto"/>
          <w:sz w:val="32"/>
          <w:szCs w:val="32"/>
          <w:lang w:val="en-US" w:eastAsia="zh-CN"/>
        </w:rPr>
        <w:t>行政事业单位医疗（02款）其他行政事业单位医疗（99项）：支出决算数为71.98万元。</w:t>
      </w:r>
    </w:p>
    <w:p>
      <w:pPr>
        <w:pStyle w:val="25"/>
        <w:spacing w:before="93" w:line="560" w:lineRule="exact"/>
        <w:ind w:firstLine="643"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lang w:val="en-US" w:eastAsia="zh-CN"/>
        </w:rPr>
        <w:t>4</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bCs/>
          <w:color w:val="auto"/>
          <w:sz w:val="32"/>
          <w:szCs w:val="32"/>
          <w:lang w:val="en-US" w:eastAsia="zh-CN"/>
        </w:rPr>
        <w:t>住房保障</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color w:val="auto"/>
          <w:sz w:val="32"/>
          <w:szCs w:val="32"/>
        </w:rPr>
        <w:t>支出决算为</w:t>
      </w:r>
      <w:r>
        <w:rPr>
          <w:rFonts w:hint="default" w:ascii="Times New Roman" w:hAnsi="Times New Roman" w:eastAsia="仿宋_GB2312" w:cs="Times New Roman"/>
          <w:color w:val="auto"/>
          <w:sz w:val="32"/>
          <w:szCs w:val="32"/>
          <w:lang w:val="en-US" w:eastAsia="zh-CN"/>
        </w:rPr>
        <w:t>168.81</w:t>
      </w:r>
      <w:r>
        <w:rPr>
          <w:rFonts w:hint="default" w:ascii="Times New Roman" w:hAnsi="Times New Roman" w:eastAsia="仿宋_GB2312" w:cs="Times New Roman"/>
          <w:color w:val="auto"/>
          <w:sz w:val="32"/>
          <w:szCs w:val="32"/>
        </w:rPr>
        <w:t>万元，完成预算</w:t>
      </w:r>
      <w:r>
        <w:rPr>
          <w:rFonts w:hint="default" w:ascii="Times New Roman" w:hAnsi="Times New Roman" w:eastAsia="仿宋_GB2312" w:cs="Times New Roman"/>
          <w:color w:val="auto"/>
          <w:sz w:val="32"/>
          <w:szCs w:val="32"/>
          <w:lang w:val="en-US" w:eastAsia="zh-CN"/>
        </w:rPr>
        <w:t>100</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其中：住房保障</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221</w:t>
      </w:r>
      <w:r>
        <w:rPr>
          <w:rFonts w:hint="default" w:ascii="Times New Roman" w:hAnsi="Times New Roman" w:eastAsia="仿宋_GB2312" w:cs="Times New Roman"/>
          <w:color w:val="auto"/>
          <w:sz w:val="32"/>
          <w:szCs w:val="32"/>
        </w:rPr>
        <w:t>类）</w:t>
      </w:r>
      <w:r>
        <w:rPr>
          <w:rFonts w:hint="default" w:ascii="Times New Roman" w:hAnsi="Times New Roman" w:eastAsia="仿宋_GB2312" w:cs="Times New Roman"/>
          <w:color w:val="auto"/>
          <w:sz w:val="32"/>
          <w:szCs w:val="32"/>
          <w:lang w:val="en-US" w:eastAsia="zh-CN"/>
        </w:rPr>
        <w:t>住房改革（02款）住房公积金（01项）：支出决算数为168.81万元.</w:t>
      </w:r>
    </w:p>
    <w:p>
      <w:pPr>
        <w:tabs>
          <w:tab w:val="right" w:pos="8306"/>
        </w:tabs>
        <w:spacing w:line="600" w:lineRule="exact"/>
        <w:ind w:firstLine="640"/>
        <w:outlineLvl w:val="1"/>
        <w:rPr>
          <w:rStyle w:val="28"/>
          <w:rFonts w:hint="default" w:ascii="Times New Roman" w:hAnsi="Times New Roman" w:cs="Times New Roman"/>
          <w:b w:val="0"/>
          <w:bCs w:val="0"/>
        </w:rPr>
      </w:pPr>
      <w:bookmarkStart w:id="62" w:name="_Toc15396608"/>
      <w:bookmarkStart w:id="63" w:name="_Toc15377214"/>
      <w:bookmarkStart w:id="64" w:name="_Toc25753_WPSOffice_Level2"/>
      <w:r>
        <w:rPr>
          <w:rFonts w:hint="default" w:ascii="Times New Roman" w:hAnsi="Times New Roman" w:eastAsia="黑体" w:cs="Times New Roman"/>
          <w:b w:val="0"/>
          <w:bCs w:val="0"/>
          <w:kern w:val="2"/>
          <w:sz w:val="32"/>
          <w:szCs w:val="32"/>
          <w:lang w:val="en-US" w:eastAsia="zh-CN" w:bidi="ar-SA"/>
        </w:rPr>
        <w:t>六、一般公共预算财政拨款基本支出决算情况说明</w:t>
      </w:r>
      <w:bookmarkEnd w:id="62"/>
      <w:bookmarkEnd w:id="63"/>
      <w:bookmarkEnd w:id="64"/>
      <w:r>
        <w:rPr>
          <w:rStyle w:val="28"/>
          <w:rFonts w:hint="default" w:ascii="Times New Roman" w:hAnsi="Times New Roman" w:eastAsia="黑体" w:cs="Times New Roman"/>
          <w:b w:val="0"/>
          <w:bCs w:val="0"/>
        </w:rPr>
        <w:tab/>
      </w:r>
    </w:p>
    <w:p>
      <w:pPr>
        <w:pStyle w:val="25"/>
        <w:spacing w:before="93"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2023年度一般公共预算财政拨款基本支出2273.37万元，其中：</w:t>
      </w:r>
    </w:p>
    <w:p>
      <w:pPr>
        <w:spacing w:line="600" w:lineRule="exact"/>
        <w:ind w:firstLine="645"/>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人员经费2085.54万元，主要包括：基本工资、津贴补贴、绩效工资、机关事业单位基本养老保险缴费、职业年金缴费、职工基本医疗保险缴费、其他社会</w:t>
      </w:r>
      <w:bookmarkStart w:id="113" w:name="_GoBack"/>
      <w:bookmarkEnd w:id="113"/>
      <w:r>
        <w:rPr>
          <w:rFonts w:hint="default" w:ascii="Times New Roman" w:hAnsi="Times New Roman" w:eastAsia="仿宋_GB2312" w:cs="Times New Roman"/>
          <w:color w:val="auto"/>
          <w:kern w:val="0"/>
          <w:sz w:val="32"/>
          <w:szCs w:val="32"/>
          <w:lang w:val="en-US" w:eastAsia="zh-CN" w:bidi="ar-SA"/>
        </w:rPr>
        <w:t>保障缴费、医疗费、其他工资福利支出、生活补助、医疗费补助、奖励金、住房公积金。</w:t>
      </w:r>
      <w:r>
        <w:rPr>
          <w:rFonts w:hint="default" w:ascii="Times New Roman" w:hAnsi="Times New Roman" w:eastAsia="仿宋_GB2312" w:cs="Times New Roman"/>
          <w:color w:val="auto"/>
          <w:kern w:val="0"/>
          <w:sz w:val="32"/>
          <w:szCs w:val="32"/>
          <w:lang w:val="en-US" w:eastAsia="zh-CN" w:bidi="ar-SA"/>
        </w:rPr>
        <w:br w:type="textWrapping"/>
      </w:r>
      <w:r>
        <w:rPr>
          <w:rFonts w:hint="default" w:ascii="Times New Roman" w:hAnsi="Times New Roman" w:eastAsia="仿宋" w:cs="Times New Roman"/>
          <w:sz w:val="32"/>
          <w:szCs w:val="32"/>
        </w:rPr>
        <w:t>　　</w:t>
      </w:r>
      <w:r>
        <w:rPr>
          <w:rFonts w:hint="default" w:ascii="Times New Roman" w:hAnsi="Times New Roman" w:eastAsia="仿宋_GB2312" w:cs="Times New Roman"/>
          <w:color w:val="auto"/>
          <w:kern w:val="0"/>
          <w:sz w:val="32"/>
          <w:szCs w:val="32"/>
          <w:lang w:val="en-US" w:eastAsia="zh-CN" w:bidi="ar-SA"/>
        </w:rPr>
        <w:t>公用经费187.83万元，主要包括：办公费、印刷费、水费、电费、邮电费、物业管理费、差旅费、因公出国（境）费用、维修（护）费、培训费、专用材料费、劳务费、工会经费、公务用车运行维护费、其他交通费、其他商品和服务支出、专用设备购置。</w:t>
      </w:r>
    </w:p>
    <w:p>
      <w:pPr>
        <w:spacing w:line="600" w:lineRule="exact"/>
        <w:ind w:firstLine="640"/>
        <w:outlineLvl w:val="1"/>
        <w:rPr>
          <w:rFonts w:hint="default" w:ascii="Times New Roman" w:hAnsi="Times New Roman" w:eastAsia="黑体" w:cs="Times New Roman"/>
          <w:b w:val="0"/>
          <w:bCs w:val="0"/>
          <w:kern w:val="2"/>
          <w:sz w:val="32"/>
          <w:szCs w:val="32"/>
          <w:lang w:val="en-US" w:eastAsia="zh-CN" w:bidi="ar-SA"/>
        </w:rPr>
      </w:pPr>
      <w:bookmarkStart w:id="65" w:name="_Toc15377215"/>
      <w:bookmarkStart w:id="66" w:name="_Toc15396609"/>
      <w:bookmarkStart w:id="67" w:name="_Toc10629_WPSOffice_Level2"/>
      <w:r>
        <w:rPr>
          <w:rFonts w:hint="default" w:ascii="Times New Roman" w:hAnsi="Times New Roman" w:eastAsia="黑体" w:cs="Times New Roman"/>
          <w:b w:val="0"/>
          <w:bCs w:val="0"/>
          <w:kern w:val="2"/>
          <w:sz w:val="32"/>
          <w:szCs w:val="32"/>
          <w:lang w:val="en-US" w:eastAsia="zh-CN" w:bidi="ar-SA"/>
        </w:rPr>
        <w:t>七、财政拨款“三公”经费支出决算情况说明</w:t>
      </w:r>
      <w:bookmarkEnd w:id="65"/>
      <w:bookmarkEnd w:id="66"/>
      <w:bookmarkEnd w:id="67"/>
    </w:p>
    <w:p>
      <w:pPr>
        <w:spacing w:line="600" w:lineRule="exact"/>
        <w:ind w:firstLine="640"/>
        <w:outlineLvl w:val="2"/>
        <w:rPr>
          <w:rFonts w:hint="default" w:ascii="Times New Roman" w:hAnsi="Times New Roman" w:eastAsia="仿宋_GB2312" w:cs="Times New Roman"/>
          <w:color w:val="auto"/>
          <w:kern w:val="0"/>
          <w:sz w:val="32"/>
          <w:szCs w:val="32"/>
          <w:lang w:val="en-US" w:eastAsia="zh-CN" w:bidi="ar-SA"/>
        </w:rPr>
      </w:pPr>
      <w:bookmarkStart w:id="68" w:name="_Toc15377216"/>
      <w:r>
        <w:rPr>
          <w:rFonts w:hint="default" w:ascii="Times New Roman" w:hAnsi="Times New Roman" w:eastAsia="楷体_GB2312" w:cs="Times New Roman"/>
          <w:color w:val="auto"/>
          <w:kern w:val="0"/>
          <w:sz w:val="32"/>
          <w:szCs w:val="32"/>
          <w:lang w:val="en-US" w:eastAsia="zh-CN" w:bidi="ar-SA"/>
        </w:rPr>
        <w:t>（一）“三公”经费财政拨款支出决算总体情况说明</w:t>
      </w:r>
      <w:bookmarkEnd w:id="68"/>
      <w:r>
        <w:rPr>
          <w:rFonts w:hint="default" w:ascii="Times New Roman" w:hAnsi="Times New Roman" w:eastAsia="楷体_GB2312" w:cs="Times New Roman"/>
          <w:color w:val="auto"/>
          <w:kern w:val="0"/>
          <w:sz w:val="32"/>
          <w:szCs w:val="32"/>
          <w:lang w:val="en-US" w:eastAsia="zh-CN" w:bidi="ar-SA"/>
        </w:rPr>
        <w:t>。</w:t>
      </w:r>
    </w:p>
    <w:p>
      <w:pPr>
        <w:spacing w:line="600" w:lineRule="exact"/>
        <w:ind w:firstLine="640"/>
        <w:rPr>
          <w:rFonts w:hint="default" w:ascii="Times New Roman" w:hAnsi="Times New Roman" w:eastAsia="仿宋" w:cs="Times New Roman"/>
          <w:b/>
          <w:sz w:val="32"/>
          <w:szCs w:val="32"/>
        </w:rPr>
      </w:pPr>
      <w:r>
        <w:rPr>
          <w:rFonts w:hint="default" w:ascii="Times New Roman" w:hAnsi="Times New Roman" w:eastAsia="仿宋_GB2312" w:cs="Times New Roman"/>
          <w:color w:val="auto"/>
          <w:kern w:val="0"/>
          <w:sz w:val="32"/>
          <w:szCs w:val="32"/>
          <w:lang w:val="en-US" w:eastAsia="zh-CN" w:bidi="ar-SA"/>
        </w:rPr>
        <w:t>2023年度“三公”经费财政拨款支出决算为0.17万元，完成预算100%，较上年度减少0.66万元，下降80.49%。决算数小于预算数的主要原因是公务用车运行维护费减少。</w:t>
      </w:r>
    </w:p>
    <w:p>
      <w:pPr>
        <w:spacing w:line="600" w:lineRule="exact"/>
        <w:ind w:firstLine="640"/>
        <w:outlineLvl w:val="2"/>
        <w:rPr>
          <w:rFonts w:hint="default" w:ascii="Times New Roman" w:hAnsi="Times New Roman" w:eastAsia="楷体_GB2312" w:cs="Times New Roman"/>
          <w:color w:val="auto"/>
          <w:kern w:val="0"/>
          <w:sz w:val="32"/>
          <w:szCs w:val="32"/>
          <w:lang w:val="en-US" w:eastAsia="zh-CN" w:bidi="ar-SA"/>
        </w:rPr>
      </w:pPr>
      <w:bookmarkStart w:id="69" w:name="_Toc15377217"/>
      <w:r>
        <w:rPr>
          <w:rFonts w:hint="default" w:ascii="Times New Roman" w:hAnsi="Times New Roman" w:eastAsia="楷体_GB2312" w:cs="Times New Roman"/>
          <w:color w:val="auto"/>
          <w:kern w:val="0"/>
          <w:sz w:val="32"/>
          <w:szCs w:val="32"/>
          <w:lang w:val="en-US" w:eastAsia="zh-CN" w:bidi="ar-SA"/>
        </w:rPr>
        <w:t>（二）“三公”经费财政拨款支出决算具体情况说明</w:t>
      </w:r>
      <w:bookmarkEnd w:id="69"/>
      <w:r>
        <w:rPr>
          <w:rFonts w:hint="default" w:ascii="Times New Roman" w:hAnsi="Times New Roman" w:eastAsia="楷体_GB2312" w:cs="Times New Roman"/>
          <w:color w:val="auto"/>
          <w:kern w:val="0"/>
          <w:sz w:val="32"/>
          <w:szCs w:val="32"/>
          <w:lang w:val="en-US" w:eastAsia="zh-CN" w:bidi="ar-SA"/>
        </w:rPr>
        <w:t>。</w:t>
      </w:r>
    </w:p>
    <w:p>
      <w:pPr>
        <w:pStyle w:val="25"/>
        <w:spacing w:before="93"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2023年度“三公”经费财政拨款支出决算中，因公出国（境）费支出决算0万元，占0%；公务用车购置及运行维护费支出决算0.17万元，占100%；公务接待费支出决算0万元，占0%。具体情况如下：</w:t>
      </w:r>
      <w:r>
        <w:rPr>
          <w:rFonts w:hint="default" w:ascii="Times New Roman" w:hAnsi="Times New Roman" w:eastAsia="仿宋_GB2312" w:cs="Times New Roman"/>
          <w:color w:val="auto"/>
          <w:sz w:val="32"/>
          <w:szCs w:val="32"/>
          <w:lang w:val="en-US" w:eastAsia="zh-CN"/>
        </w:rPr>
        <w:t xml:space="preserve">     </w:t>
      </w:r>
    </w:p>
    <w:p>
      <w:pPr>
        <w:pStyle w:val="18"/>
        <w:rPr>
          <w:rFonts w:hint="default" w:ascii="Times New Roman" w:hAnsi="Times New Roman" w:cs="Times New Roman"/>
        </w:rPr>
      </w:pPr>
      <w:r>
        <w:rPr>
          <w:rFonts w:hint="default" w:ascii="Times New Roman" w:hAnsi="Times New Roman" w:cs="Times New Roman"/>
        </w:rPr>
        <w:drawing>
          <wp:inline distT="0" distB="0" distL="114300" distR="114300">
            <wp:extent cx="4572000" cy="2743200"/>
            <wp:effectExtent l="4445" t="4445" r="14605" b="14605"/>
            <wp:docPr id="18" name="图表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pStyle w:val="25"/>
        <w:spacing w:before="93" w:line="560" w:lineRule="exact"/>
        <w:ind w:firstLine="640" w:firstLineChars="200"/>
        <w:jc w:val="center"/>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图7：“三公”经费财政拨款支出结构</w:t>
      </w:r>
      <w:bookmarkStart w:id="70" w:name="_Toc15396610"/>
      <w:bookmarkStart w:id="71" w:name="_Toc15377218"/>
    </w:p>
    <w:p>
      <w:pPr>
        <w:pStyle w:val="25"/>
        <w:spacing w:before="93" w:line="560" w:lineRule="exact"/>
        <w:ind w:firstLine="643"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1.因公出国（境）经费支出0万元，完成预算0%。</w:t>
      </w:r>
      <w:r>
        <w:rPr>
          <w:rFonts w:hint="default" w:ascii="Times New Roman" w:hAnsi="Times New Roman" w:eastAsia="仿宋_GB2312" w:cs="Times New Roman"/>
          <w:color w:val="auto"/>
          <w:sz w:val="32"/>
          <w:szCs w:val="32"/>
        </w:rPr>
        <w:t>全年安排因公出国（境）团组0次，出国（境）0人。因公出国（境）支出决算</w:t>
      </w:r>
      <w:r>
        <w:rPr>
          <w:rFonts w:hint="default" w:ascii="Times New Roman" w:hAnsi="Times New Roman" w:eastAsia="仿宋_GB2312" w:cs="Times New Roman"/>
          <w:color w:val="auto"/>
          <w:sz w:val="32"/>
          <w:szCs w:val="32"/>
          <w:lang w:val="en-US" w:eastAsia="zh-CN"/>
        </w:rPr>
        <w:t>与</w:t>
      </w:r>
      <w:r>
        <w:rPr>
          <w:rFonts w:hint="default" w:ascii="Times New Roman" w:hAnsi="Times New Roman" w:eastAsia="仿宋_GB2312" w:cs="Times New Roman"/>
          <w:color w:val="auto"/>
          <w:sz w:val="32"/>
          <w:szCs w:val="32"/>
        </w:rPr>
        <w:t>2022年</w:t>
      </w:r>
      <w:r>
        <w:rPr>
          <w:rFonts w:hint="default" w:ascii="Times New Roman" w:hAnsi="Times New Roman" w:eastAsia="仿宋_GB2312" w:cs="Times New Roman"/>
          <w:color w:val="auto"/>
          <w:sz w:val="32"/>
          <w:szCs w:val="32"/>
          <w:lang w:val="en-US" w:eastAsia="zh-CN"/>
        </w:rPr>
        <w:t>持平</w:t>
      </w:r>
      <w:r>
        <w:rPr>
          <w:rFonts w:hint="default" w:ascii="Times New Roman" w:hAnsi="Times New Roman" w:eastAsia="仿宋_GB2312" w:cs="Times New Roman"/>
          <w:color w:val="auto"/>
          <w:sz w:val="32"/>
          <w:szCs w:val="32"/>
        </w:rPr>
        <w:t>。</w:t>
      </w:r>
    </w:p>
    <w:p>
      <w:pPr>
        <w:pStyle w:val="25"/>
        <w:spacing w:before="93" w:line="560" w:lineRule="exact"/>
        <w:ind w:firstLine="643"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2.公务用车购置及运行维护费支出0.17万元,完成预算100%。</w:t>
      </w:r>
      <w:r>
        <w:rPr>
          <w:rFonts w:hint="default" w:ascii="Times New Roman" w:hAnsi="Times New Roman" w:eastAsia="仿宋_GB2312" w:cs="Times New Roman"/>
          <w:color w:val="auto"/>
          <w:sz w:val="32"/>
          <w:szCs w:val="32"/>
        </w:rPr>
        <w:t>公务用车购置及运行维护费支出决算比2022年度增减少</w:t>
      </w:r>
      <w:r>
        <w:rPr>
          <w:rFonts w:hint="default" w:ascii="Times New Roman" w:hAnsi="Times New Roman" w:eastAsia="仿宋_GB2312" w:cs="Times New Roman"/>
          <w:color w:val="auto"/>
          <w:sz w:val="32"/>
          <w:szCs w:val="32"/>
          <w:lang w:val="en-US" w:eastAsia="zh-CN"/>
        </w:rPr>
        <w:t>0.66</w:t>
      </w:r>
      <w:r>
        <w:rPr>
          <w:rFonts w:hint="default" w:ascii="Times New Roman" w:hAnsi="Times New Roman" w:eastAsia="仿宋_GB2312" w:cs="Times New Roman"/>
          <w:color w:val="auto"/>
          <w:sz w:val="32"/>
          <w:szCs w:val="32"/>
        </w:rPr>
        <w:t>万元，下降</w:t>
      </w:r>
      <w:r>
        <w:rPr>
          <w:rFonts w:hint="default" w:ascii="Times New Roman" w:hAnsi="Times New Roman" w:eastAsia="仿宋_GB2312" w:cs="Times New Roman"/>
          <w:color w:val="auto"/>
          <w:sz w:val="32"/>
          <w:szCs w:val="32"/>
          <w:lang w:val="en-US" w:eastAsia="zh-CN"/>
        </w:rPr>
        <w:t>80.49</w:t>
      </w:r>
      <w:r>
        <w:rPr>
          <w:rFonts w:hint="default" w:ascii="Times New Roman" w:hAnsi="Times New Roman" w:eastAsia="仿宋_GB2312" w:cs="Times New Roman"/>
          <w:color w:val="auto"/>
          <w:sz w:val="32"/>
          <w:szCs w:val="32"/>
        </w:rPr>
        <w:t>%。决算数小于预算数的主要原因是</w:t>
      </w:r>
      <w:r>
        <w:rPr>
          <w:rFonts w:hint="default" w:ascii="Times New Roman" w:hAnsi="Times New Roman" w:eastAsia="仿宋_GB2312" w:cs="Times New Roman"/>
          <w:color w:val="auto"/>
          <w:sz w:val="32"/>
          <w:szCs w:val="32"/>
          <w:lang w:val="en-US" w:eastAsia="zh-CN"/>
        </w:rPr>
        <w:t>公务用车运行维护费减少</w:t>
      </w:r>
      <w:r>
        <w:rPr>
          <w:rFonts w:hint="default" w:ascii="Times New Roman" w:hAnsi="Times New Roman" w:eastAsia="仿宋_GB2312" w:cs="Times New Roman"/>
          <w:color w:val="auto"/>
          <w:sz w:val="32"/>
          <w:szCs w:val="32"/>
        </w:rPr>
        <w:t>。</w:t>
      </w:r>
    </w:p>
    <w:p>
      <w:pPr>
        <w:pStyle w:val="25"/>
        <w:spacing w:before="93"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其中：公务用车购置支出0万元。全年按规定更新购置公务用车</w:t>
      </w:r>
      <w:r>
        <w:rPr>
          <w:rFonts w:hint="default" w:ascii="Times New Roman" w:hAnsi="Times New Roman" w:eastAsia="仿宋_GB2312" w:cs="Times New Roman"/>
          <w:color w:val="auto"/>
          <w:sz w:val="32"/>
          <w:szCs w:val="32"/>
          <w:lang w:val="en-US" w:eastAsia="zh-CN"/>
        </w:rPr>
        <w:t>0</w:t>
      </w:r>
      <w:r>
        <w:rPr>
          <w:rFonts w:hint="default" w:ascii="Times New Roman" w:hAnsi="Times New Roman" w:eastAsia="仿宋_GB2312" w:cs="Times New Roman"/>
          <w:color w:val="auto"/>
          <w:sz w:val="32"/>
          <w:szCs w:val="32"/>
        </w:rPr>
        <w:t>辆，其中：轿车</w:t>
      </w:r>
      <w:r>
        <w:rPr>
          <w:rFonts w:hint="default" w:ascii="Times New Roman" w:hAnsi="Times New Roman" w:eastAsia="仿宋_GB2312" w:cs="Times New Roman"/>
          <w:color w:val="auto"/>
          <w:sz w:val="32"/>
          <w:szCs w:val="32"/>
          <w:lang w:val="en-US" w:eastAsia="zh-CN"/>
        </w:rPr>
        <w:t>0</w:t>
      </w:r>
      <w:r>
        <w:rPr>
          <w:rFonts w:hint="default" w:ascii="Times New Roman" w:hAnsi="Times New Roman" w:eastAsia="仿宋_GB2312" w:cs="Times New Roman"/>
          <w:color w:val="auto"/>
          <w:sz w:val="32"/>
          <w:szCs w:val="32"/>
        </w:rPr>
        <w:t>辆、金额</w:t>
      </w:r>
      <w:r>
        <w:rPr>
          <w:rFonts w:hint="default" w:ascii="Times New Roman" w:hAnsi="Times New Roman" w:eastAsia="仿宋_GB2312" w:cs="Times New Roman"/>
          <w:color w:val="auto"/>
          <w:sz w:val="32"/>
          <w:szCs w:val="32"/>
          <w:lang w:val="en-US" w:eastAsia="zh-CN"/>
        </w:rPr>
        <w:t>0</w:t>
      </w:r>
      <w:r>
        <w:rPr>
          <w:rFonts w:hint="default" w:ascii="Times New Roman" w:hAnsi="Times New Roman" w:eastAsia="仿宋_GB2312" w:cs="Times New Roman"/>
          <w:color w:val="auto"/>
          <w:sz w:val="32"/>
          <w:szCs w:val="32"/>
        </w:rPr>
        <w:t>万元，越野车</w:t>
      </w:r>
      <w:r>
        <w:rPr>
          <w:rFonts w:hint="default" w:ascii="Times New Roman" w:hAnsi="Times New Roman" w:eastAsia="仿宋_GB2312" w:cs="Times New Roman"/>
          <w:color w:val="auto"/>
          <w:sz w:val="32"/>
          <w:szCs w:val="32"/>
          <w:lang w:val="en-US" w:eastAsia="zh-CN"/>
        </w:rPr>
        <w:t>0</w:t>
      </w:r>
      <w:r>
        <w:rPr>
          <w:rFonts w:hint="default" w:ascii="Times New Roman" w:hAnsi="Times New Roman" w:eastAsia="仿宋_GB2312" w:cs="Times New Roman"/>
          <w:color w:val="auto"/>
          <w:sz w:val="32"/>
          <w:szCs w:val="32"/>
        </w:rPr>
        <w:t>辆、金额</w:t>
      </w:r>
      <w:r>
        <w:rPr>
          <w:rFonts w:hint="default" w:ascii="Times New Roman" w:hAnsi="Times New Roman" w:eastAsia="仿宋_GB2312" w:cs="Times New Roman"/>
          <w:color w:val="auto"/>
          <w:sz w:val="32"/>
          <w:szCs w:val="32"/>
          <w:lang w:val="en-US" w:eastAsia="zh-CN"/>
        </w:rPr>
        <w:t>0</w:t>
      </w:r>
      <w:r>
        <w:rPr>
          <w:rFonts w:hint="default" w:ascii="Times New Roman" w:hAnsi="Times New Roman" w:eastAsia="仿宋_GB2312" w:cs="Times New Roman"/>
          <w:color w:val="auto"/>
          <w:sz w:val="32"/>
          <w:szCs w:val="32"/>
        </w:rPr>
        <w:t>万元，载客汽车</w:t>
      </w:r>
      <w:r>
        <w:rPr>
          <w:rFonts w:hint="default" w:ascii="Times New Roman" w:hAnsi="Times New Roman" w:eastAsia="仿宋_GB2312" w:cs="Times New Roman"/>
          <w:color w:val="auto"/>
          <w:sz w:val="32"/>
          <w:szCs w:val="32"/>
          <w:lang w:val="en-US" w:eastAsia="zh-CN"/>
        </w:rPr>
        <w:t>0</w:t>
      </w:r>
      <w:r>
        <w:rPr>
          <w:rFonts w:hint="default" w:ascii="Times New Roman" w:hAnsi="Times New Roman" w:eastAsia="仿宋_GB2312" w:cs="Times New Roman"/>
          <w:color w:val="auto"/>
          <w:sz w:val="32"/>
          <w:szCs w:val="32"/>
        </w:rPr>
        <w:t>辆、金额</w:t>
      </w:r>
      <w:r>
        <w:rPr>
          <w:rFonts w:hint="default" w:ascii="Times New Roman" w:hAnsi="Times New Roman" w:eastAsia="仿宋_GB2312" w:cs="Times New Roman"/>
          <w:color w:val="auto"/>
          <w:sz w:val="32"/>
          <w:szCs w:val="32"/>
          <w:lang w:val="en-US" w:eastAsia="zh-CN"/>
        </w:rPr>
        <w:t>0</w:t>
      </w:r>
      <w:r>
        <w:rPr>
          <w:rFonts w:hint="default" w:ascii="Times New Roman" w:hAnsi="Times New Roman" w:eastAsia="仿宋_GB2312" w:cs="Times New Roman"/>
          <w:color w:val="auto"/>
          <w:sz w:val="32"/>
          <w:szCs w:val="32"/>
        </w:rPr>
        <w:t>万元。截至2023年12月31日，单位共有公务用车</w:t>
      </w:r>
      <w:r>
        <w:rPr>
          <w:rFonts w:hint="default" w:ascii="Times New Roman" w:hAnsi="Times New Roman" w:eastAsia="仿宋_GB2312" w:cs="Times New Roman"/>
          <w:color w:val="auto"/>
          <w:sz w:val="32"/>
          <w:szCs w:val="32"/>
          <w:lang w:val="en-US" w:eastAsia="zh-CN"/>
        </w:rPr>
        <w:t>0</w:t>
      </w:r>
      <w:r>
        <w:rPr>
          <w:rFonts w:hint="default" w:ascii="Times New Roman" w:hAnsi="Times New Roman" w:eastAsia="仿宋_GB2312" w:cs="Times New Roman"/>
          <w:color w:val="auto"/>
          <w:sz w:val="32"/>
          <w:szCs w:val="32"/>
        </w:rPr>
        <w:t>辆，其中：轿车</w:t>
      </w:r>
      <w:r>
        <w:rPr>
          <w:rFonts w:hint="default" w:ascii="Times New Roman" w:hAnsi="Times New Roman" w:eastAsia="仿宋_GB2312" w:cs="Times New Roman"/>
          <w:color w:val="auto"/>
          <w:sz w:val="32"/>
          <w:szCs w:val="32"/>
          <w:lang w:val="en-US" w:eastAsia="zh-CN"/>
        </w:rPr>
        <w:t>0</w:t>
      </w:r>
      <w:r>
        <w:rPr>
          <w:rFonts w:hint="default" w:ascii="Times New Roman" w:hAnsi="Times New Roman" w:eastAsia="仿宋_GB2312" w:cs="Times New Roman"/>
          <w:color w:val="auto"/>
          <w:sz w:val="32"/>
          <w:szCs w:val="32"/>
        </w:rPr>
        <w:t>辆、越野车</w:t>
      </w:r>
      <w:r>
        <w:rPr>
          <w:rFonts w:hint="default" w:ascii="Times New Roman" w:hAnsi="Times New Roman" w:eastAsia="仿宋_GB2312" w:cs="Times New Roman"/>
          <w:color w:val="auto"/>
          <w:sz w:val="32"/>
          <w:szCs w:val="32"/>
          <w:lang w:val="en-US" w:eastAsia="zh-CN"/>
        </w:rPr>
        <w:t>0</w:t>
      </w:r>
      <w:r>
        <w:rPr>
          <w:rFonts w:hint="default" w:ascii="Times New Roman" w:hAnsi="Times New Roman" w:eastAsia="仿宋_GB2312" w:cs="Times New Roman"/>
          <w:color w:val="auto"/>
          <w:sz w:val="32"/>
          <w:szCs w:val="32"/>
        </w:rPr>
        <w:t>辆、载客汽车</w:t>
      </w:r>
      <w:r>
        <w:rPr>
          <w:rFonts w:hint="default" w:ascii="Times New Roman" w:hAnsi="Times New Roman" w:eastAsia="仿宋_GB2312" w:cs="Times New Roman"/>
          <w:color w:val="auto"/>
          <w:sz w:val="32"/>
          <w:szCs w:val="32"/>
          <w:lang w:val="en-US" w:eastAsia="zh-CN"/>
        </w:rPr>
        <w:t>0</w:t>
      </w:r>
      <w:r>
        <w:rPr>
          <w:rFonts w:hint="default" w:ascii="Times New Roman" w:hAnsi="Times New Roman" w:eastAsia="仿宋_GB2312" w:cs="Times New Roman"/>
          <w:color w:val="auto"/>
          <w:sz w:val="32"/>
          <w:szCs w:val="32"/>
        </w:rPr>
        <w:t>辆。</w:t>
      </w:r>
    </w:p>
    <w:p>
      <w:pPr>
        <w:pStyle w:val="25"/>
        <w:spacing w:before="93"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公务用车运行维护费支出0.17万元。主要用于</w:t>
      </w:r>
      <w:r>
        <w:rPr>
          <w:rFonts w:hint="default" w:ascii="Times New Roman" w:hAnsi="Times New Roman" w:eastAsia="仿宋_GB2312" w:cs="Times New Roman"/>
          <w:color w:val="auto"/>
          <w:sz w:val="32"/>
          <w:szCs w:val="32"/>
          <w:lang w:val="en-US" w:eastAsia="zh-CN"/>
        </w:rPr>
        <w:t>公务车</w:t>
      </w:r>
      <w:r>
        <w:rPr>
          <w:rFonts w:hint="default" w:ascii="Times New Roman" w:hAnsi="Times New Roman" w:eastAsia="仿宋_GB2312" w:cs="Times New Roman"/>
          <w:color w:val="auto"/>
          <w:sz w:val="32"/>
          <w:szCs w:val="32"/>
        </w:rPr>
        <w:t>所需的公务用车燃料费、维修费。</w:t>
      </w:r>
    </w:p>
    <w:p>
      <w:pPr>
        <w:pStyle w:val="25"/>
        <w:spacing w:before="93" w:line="560" w:lineRule="exact"/>
        <w:ind w:firstLine="643"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3.公务接待费支出0万元，完成预算0%</w:t>
      </w:r>
      <w:r>
        <w:rPr>
          <w:rFonts w:hint="default" w:ascii="Times New Roman" w:hAnsi="Times New Roman" w:eastAsia="仿宋_GB2312" w:cs="Times New Roman"/>
          <w:color w:val="auto"/>
          <w:sz w:val="32"/>
          <w:szCs w:val="32"/>
        </w:rPr>
        <w:t>。公务接待费支出决算</w:t>
      </w:r>
      <w:r>
        <w:rPr>
          <w:rFonts w:hint="default" w:ascii="Times New Roman" w:hAnsi="Times New Roman" w:eastAsia="仿宋_GB2312" w:cs="Times New Roman"/>
          <w:color w:val="auto"/>
          <w:sz w:val="32"/>
          <w:szCs w:val="32"/>
          <w:lang w:val="en-US" w:eastAsia="zh-CN"/>
        </w:rPr>
        <w:t>与</w:t>
      </w:r>
      <w:r>
        <w:rPr>
          <w:rFonts w:hint="default" w:ascii="Times New Roman" w:hAnsi="Times New Roman" w:eastAsia="仿宋_GB2312" w:cs="Times New Roman"/>
          <w:color w:val="auto"/>
          <w:sz w:val="32"/>
          <w:szCs w:val="32"/>
        </w:rPr>
        <w:t>2022年度</w:t>
      </w:r>
      <w:r>
        <w:rPr>
          <w:rFonts w:hint="default" w:ascii="Times New Roman" w:hAnsi="Times New Roman" w:eastAsia="仿宋_GB2312" w:cs="Times New Roman"/>
          <w:color w:val="auto"/>
          <w:sz w:val="32"/>
          <w:szCs w:val="32"/>
          <w:lang w:val="en-US" w:eastAsia="zh-CN"/>
        </w:rPr>
        <w:t>持平</w:t>
      </w:r>
      <w:r>
        <w:rPr>
          <w:rFonts w:hint="default" w:ascii="Times New Roman" w:hAnsi="Times New Roman" w:eastAsia="仿宋_GB2312" w:cs="Times New Roman"/>
          <w:color w:val="auto"/>
          <w:sz w:val="32"/>
          <w:szCs w:val="32"/>
        </w:rPr>
        <w:t>。其中：</w:t>
      </w:r>
    </w:p>
    <w:p>
      <w:pPr>
        <w:pStyle w:val="25"/>
        <w:spacing w:before="93"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国内公务接待支出0万元。国内公务接待</w:t>
      </w:r>
      <w:r>
        <w:rPr>
          <w:rFonts w:hint="default" w:ascii="Times New Roman" w:hAnsi="Times New Roman" w:eastAsia="仿宋_GB2312" w:cs="Times New Roman"/>
          <w:color w:val="auto"/>
          <w:sz w:val="32"/>
          <w:szCs w:val="32"/>
          <w:lang w:val="en-US" w:eastAsia="zh-CN"/>
        </w:rPr>
        <w:t>0</w:t>
      </w:r>
      <w:r>
        <w:rPr>
          <w:rFonts w:hint="default" w:ascii="Times New Roman" w:hAnsi="Times New Roman" w:eastAsia="仿宋_GB2312" w:cs="Times New Roman"/>
          <w:color w:val="auto"/>
          <w:sz w:val="32"/>
          <w:szCs w:val="32"/>
        </w:rPr>
        <w:t>批次，</w:t>
      </w:r>
      <w:r>
        <w:rPr>
          <w:rFonts w:hint="default" w:ascii="Times New Roman" w:hAnsi="Times New Roman" w:eastAsia="仿宋_GB2312" w:cs="Times New Roman"/>
          <w:color w:val="auto"/>
          <w:sz w:val="32"/>
          <w:szCs w:val="32"/>
          <w:lang w:val="en-US" w:eastAsia="zh-CN"/>
        </w:rPr>
        <w:t>0</w:t>
      </w:r>
      <w:r>
        <w:rPr>
          <w:rFonts w:hint="default" w:ascii="Times New Roman" w:hAnsi="Times New Roman" w:eastAsia="仿宋_GB2312" w:cs="Times New Roman"/>
          <w:color w:val="auto"/>
          <w:sz w:val="32"/>
          <w:szCs w:val="32"/>
        </w:rPr>
        <w:t>人次，共计支出</w:t>
      </w:r>
      <w:r>
        <w:rPr>
          <w:rFonts w:hint="default" w:ascii="Times New Roman" w:hAnsi="Times New Roman" w:eastAsia="仿宋_GB2312" w:cs="Times New Roman"/>
          <w:color w:val="auto"/>
          <w:sz w:val="32"/>
          <w:szCs w:val="32"/>
          <w:lang w:val="en-US" w:eastAsia="zh-CN"/>
        </w:rPr>
        <w:t>0</w:t>
      </w:r>
      <w:r>
        <w:rPr>
          <w:rFonts w:hint="default" w:ascii="Times New Roman" w:hAnsi="Times New Roman" w:eastAsia="仿宋_GB2312" w:cs="Times New Roman"/>
          <w:color w:val="auto"/>
          <w:sz w:val="32"/>
          <w:szCs w:val="32"/>
        </w:rPr>
        <w:t>万元。</w:t>
      </w:r>
    </w:p>
    <w:p>
      <w:pPr>
        <w:pStyle w:val="25"/>
        <w:spacing w:before="93"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外事接待支出0万元。外事接待</w:t>
      </w:r>
      <w:r>
        <w:rPr>
          <w:rFonts w:hint="default" w:ascii="Times New Roman" w:hAnsi="Times New Roman" w:eastAsia="仿宋_GB2312" w:cs="Times New Roman"/>
          <w:color w:val="auto"/>
          <w:sz w:val="32"/>
          <w:szCs w:val="32"/>
          <w:lang w:val="en-US" w:eastAsia="zh-CN"/>
        </w:rPr>
        <w:t>0</w:t>
      </w:r>
      <w:r>
        <w:rPr>
          <w:rFonts w:hint="default" w:ascii="Times New Roman" w:hAnsi="Times New Roman" w:eastAsia="仿宋_GB2312" w:cs="Times New Roman"/>
          <w:color w:val="auto"/>
          <w:sz w:val="32"/>
          <w:szCs w:val="32"/>
        </w:rPr>
        <w:t>批次，</w:t>
      </w:r>
      <w:r>
        <w:rPr>
          <w:rFonts w:hint="default" w:ascii="Times New Roman" w:hAnsi="Times New Roman" w:eastAsia="仿宋_GB2312" w:cs="Times New Roman"/>
          <w:color w:val="auto"/>
          <w:sz w:val="32"/>
          <w:szCs w:val="32"/>
          <w:lang w:val="en-US" w:eastAsia="zh-CN"/>
        </w:rPr>
        <w:t>0</w:t>
      </w:r>
      <w:r>
        <w:rPr>
          <w:rFonts w:hint="default" w:ascii="Times New Roman" w:hAnsi="Times New Roman" w:eastAsia="仿宋_GB2312" w:cs="Times New Roman"/>
          <w:color w:val="auto"/>
          <w:sz w:val="32"/>
          <w:szCs w:val="32"/>
        </w:rPr>
        <w:t>人次（不包括陪同人员），共计支出</w:t>
      </w:r>
      <w:r>
        <w:rPr>
          <w:rFonts w:hint="default" w:ascii="Times New Roman" w:hAnsi="Times New Roman" w:eastAsia="仿宋_GB2312" w:cs="Times New Roman"/>
          <w:color w:val="auto"/>
          <w:sz w:val="32"/>
          <w:szCs w:val="32"/>
          <w:lang w:val="en-US" w:eastAsia="zh-CN"/>
        </w:rPr>
        <w:t>0</w:t>
      </w:r>
      <w:r>
        <w:rPr>
          <w:rFonts w:hint="default" w:ascii="Times New Roman" w:hAnsi="Times New Roman" w:eastAsia="仿宋_GB2312" w:cs="Times New Roman"/>
          <w:color w:val="auto"/>
          <w:sz w:val="32"/>
          <w:szCs w:val="32"/>
        </w:rPr>
        <w:t>万元。</w:t>
      </w:r>
    </w:p>
    <w:p>
      <w:pPr>
        <w:spacing w:line="600" w:lineRule="exact"/>
        <w:ind w:firstLine="640"/>
        <w:outlineLvl w:val="1"/>
        <w:rPr>
          <w:rFonts w:hint="default" w:ascii="Times New Roman" w:hAnsi="Times New Roman" w:eastAsia="黑体" w:cs="Times New Roman"/>
          <w:b w:val="0"/>
          <w:bCs w:val="0"/>
          <w:kern w:val="2"/>
          <w:sz w:val="32"/>
          <w:szCs w:val="32"/>
          <w:lang w:val="en-US" w:eastAsia="zh-CN" w:bidi="ar-SA"/>
        </w:rPr>
      </w:pPr>
      <w:bookmarkStart w:id="72" w:name="_Toc9530_WPSOffice_Level2"/>
      <w:r>
        <w:rPr>
          <w:rFonts w:hint="default" w:ascii="Times New Roman" w:hAnsi="Times New Roman" w:eastAsia="黑体" w:cs="Times New Roman"/>
          <w:b w:val="0"/>
          <w:bCs w:val="0"/>
          <w:kern w:val="2"/>
          <w:sz w:val="32"/>
          <w:szCs w:val="32"/>
          <w:lang w:val="en-US" w:eastAsia="zh-CN" w:bidi="ar-SA"/>
        </w:rPr>
        <w:t>八、政府性基金预算支出决算情况说明</w:t>
      </w:r>
      <w:bookmarkEnd w:id="70"/>
      <w:bookmarkEnd w:id="71"/>
      <w:bookmarkEnd w:id="72"/>
    </w:p>
    <w:p>
      <w:pPr>
        <w:pStyle w:val="25"/>
        <w:spacing w:before="93"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color w:val="auto"/>
          <w:sz w:val="32"/>
          <w:szCs w:val="32"/>
        </w:rPr>
        <w:t>2023年度政府性基金预算财政拨款支出0万元。</w:t>
      </w:r>
    </w:p>
    <w:p>
      <w:pPr>
        <w:spacing w:line="600" w:lineRule="exact"/>
        <w:ind w:firstLine="640"/>
        <w:outlineLvl w:val="1"/>
        <w:rPr>
          <w:rFonts w:hint="default" w:ascii="Times New Roman" w:hAnsi="Times New Roman" w:eastAsia="黑体" w:cs="Times New Roman"/>
          <w:b w:val="0"/>
          <w:bCs w:val="0"/>
          <w:kern w:val="2"/>
          <w:sz w:val="32"/>
          <w:szCs w:val="32"/>
          <w:lang w:val="en-US" w:eastAsia="zh-CN" w:bidi="ar-SA"/>
        </w:rPr>
      </w:pPr>
      <w:bookmarkStart w:id="73" w:name="_Toc23067_WPSOffice_Level2"/>
      <w:bookmarkStart w:id="74" w:name="_Toc15396611"/>
      <w:bookmarkStart w:id="75" w:name="_Toc15377219"/>
      <w:r>
        <w:rPr>
          <w:rFonts w:hint="default" w:ascii="Times New Roman" w:hAnsi="Times New Roman" w:eastAsia="黑体" w:cs="Times New Roman"/>
          <w:b w:val="0"/>
          <w:bCs w:val="0"/>
          <w:kern w:val="2"/>
          <w:sz w:val="32"/>
          <w:szCs w:val="32"/>
          <w:lang w:val="en-US" w:eastAsia="zh-CN" w:bidi="ar-SA"/>
        </w:rPr>
        <w:t>九、国有资本经营预算支出决算情况说明</w:t>
      </w:r>
      <w:bookmarkEnd w:id="73"/>
      <w:bookmarkEnd w:id="74"/>
      <w:bookmarkEnd w:id="75"/>
    </w:p>
    <w:p>
      <w:pPr>
        <w:pStyle w:val="25"/>
        <w:spacing w:before="93"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2023年度国有资本经营预算财政拨款支出0万元。</w:t>
      </w:r>
    </w:p>
    <w:p>
      <w:pPr>
        <w:spacing w:line="600" w:lineRule="exact"/>
        <w:ind w:firstLine="640"/>
        <w:outlineLvl w:val="1"/>
        <w:rPr>
          <w:rFonts w:hint="default" w:ascii="Times New Roman" w:hAnsi="Times New Roman" w:eastAsia="黑体" w:cs="Times New Roman"/>
          <w:b/>
          <w:bCs/>
          <w:kern w:val="2"/>
          <w:sz w:val="32"/>
          <w:szCs w:val="32"/>
          <w:lang w:val="en-US" w:eastAsia="zh-CN" w:bidi="ar-SA"/>
        </w:rPr>
      </w:pPr>
      <w:bookmarkStart w:id="76" w:name="_Toc27949_WPSOffice_Level2"/>
      <w:bookmarkStart w:id="77" w:name="_Toc15396612"/>
      <w:bookmarkStart w:id="78" w:name="_Toc15377221"/>
      <w:r>
        <w:rPr>
          <w:rFonts w:hint="default" w:ascii="Times New Roman" w:hAnsi="Times New Roman" w:eastAsia="黑体" w:cs="Times New Roman"/>
          <w:b w:val="0"/>
          <w:bCs w:val="0"/>
          <w:kern w:val="2"/>
          <w:sz w:val="32"/>
          <w:szCs w:val="32"/>
          <w:lang w:val="en-US" w:eastAsia="zh-CN" w:bidi="ar-SA"/>
        </w:rPr>
        <w:t>十、其他重要事项的情况说明</w:t>
      </w:r>
      <w:bookmarkEnd w:id="76"/>
      <w:bookmarkEnd w:id="77"/>
      <w:bookmarkEnd w:id="78"/>
    </w:p>
    <w:p>
      <w:pPr>
        <w:spacing w:line="600" w:lineRule="exact"/>
        <w:ind w:firstLine="640"/>
        <w:outlineLvl w:val="1"/>
        <w:rPr>
          <w:rFonts w:hint="default" w:ascii="Times New Roman" w:hAnsi="Times New Roman" w:eastAsia="楷体_GB2312" w:cs="Times New Roman"/>
          <w:color w:val="auto"/>
          <w:kern w:val="0"/>
          <w:sz w:val="32"/>
          <w:szCs w:val="32"/>
          <w:lang w:val="en-US" w:eastAsia="zh-CN" w:bidi="ar-SA"/>
        </w:rPr>
      </w:pPr>
      <w:bookmarkStart w:id="79" w:name="_Toc15377222"/>
      <w:r>
        <w:rPr>
          <w:rFonts w:hint="default" w:ascii="Times New Roman" w:hAnsi="Times New Roman" w:eastAsia="楷体_GB2312" w:cs="Times New Roman"/>
          <w:color w:val="auto"/>
          <w:kern w:val="0"/>
          <w:sz w:val="32"/>
          <w:szCs w:val="32"/>
          <w:lang w:val="en-US" w:eastAsia="zh-CN" w:bidi="ar-SA"/>
        </w:rPr>
        <w:t>（一）机关运行经费支出情况</w:t>
      </w:r>
      <w:bookmarkEnd w:id="79"/>
      <w:r>
        <w:rPr>
          <w:rFonts w:hint="default" w:ascii="Times New Roman" w:hAnsi="Times New Roman" w:eastAsia="楷体_GB2312" w:cs="Times New Roman"/>
          <w:color w:val="auto"/>
          <w:kern w:val="0"/>
          <w:sz w:val="32"/>
          <w:szCs w:val="32"/>
          <w:lang w:val="en-US" w:eastAsia="zh-CN" w:bidi="ar-SA"/>
        </w:rPr>
        <w:t>。</w:t>
      </w:r>
    </w:p>
    <w:p>
      <w:pPr>
        <w:spacing w:line="600" w:lineRule="exact"/>
        <w:ind w:firstLine="640"/>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color w:val="auto"/>
          <w:kern w:val="0"/>
          <w:sz w:val="32"/>
          <w:szCs w:val="32"/>
          <w:lang w:val="en-US" w:eastAsia="zh-CN" w:bidi="ar-SA"/>
        </w:rPr>
        <w:t>2023年度，盐边县永兴镇初级中学校机关运行经费支出0万元，与2022年度持平。</w:t>
      </w:r>
    </w:p>
    <w:p>
      <w:pPr>
        <w:spacing w:line="600" w:lineRule="exact"/>
        <w:ind w:firstLine="640"/>
        <w:outlineLvl w:val="1"/>
        <w:rPr>
          <w:rFonts w:hint="default" w:ascii="Times New Roman" w:hAnsi="Times New Roman" w:eastAsia="楷体_GB2312" w:cs="Times New Roman"/>
          <w:color w:val="auto"/>
          <w:kern w:val="0"/>
          <w:sz w:val="32"/>
          <w:szCs w:val="32"/>
          <w:lang w:val="en-US" w:eastAsia="zh-CN" w:bidi="ar-SA"/>
        </w:rPr>
      </w:pPr>
      <w:bookmarkStart w:id="80" w:name="_Toc15377223"/>
      <w:r>
        <w:rPr>
          <w:rFonts w:hint="default" w:ascii="Times New Roman" w:hAnsi="Times New Roman" w:eastAsia="楷体_GB2312" w:cs="Times New Roman"/>
          <w:color w:val="auto"/>
          <w:kern w:val="0"/>
          <w:sz w:val="32"/>
          <w:szCs w:val="32"/>
          <w:lang w:val="en-US" w:eastAsia="zh-CN" w:bidi="ar-SA"/>
        </w:rPr>
        <w:t>（二）政府采购支出情况</w:t>
      </w:r>
      <w:bookmarkEnd w:id="80"/>
      <w:r>
        <w:rPr>
          <w:rFonts w:hint="default" w:ascii="Times New Roman" w:hAnsi="Times New Roman" w:eastAsia="楷体_GB2312" w:cs="Times New Roman"/>
          <w:color w:val="auto"/>
          <w:kern w:val="0"/>
          <w:sz w:val="32"/>
          <w:szCs w:val="32"/>
          <w:lang w:val="en-US" w:eastAsia="zh-CN" w:bidi="ar-SA"/>
        </w:rPr>
        <w:t>。</w:t>
      </w:r>
    </w:p>
    <w:p>
      <w:pPr>
        <w:pStyle w:val="25"/>
        <w:spacing w:before="93" w:line="560" w:lineRule="exact"/>
        <w:ind w:firstLine="640" w:firstLineChars="200"/>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sz w:val="32"/>
          <w:szCs w:val="32"/>
        </w:rPr>
        <w:t>2023年度，盐边县永兴镇初级中学校政府采购支出总额600万元，其中：政府采购货物支出0万元、政府采购工程支出0万元、政府采购服务支出600万元。主要用于</w:t>
      </w:r>
      <w:r>
        <w:rPr>
          <w:rFonts w:hint="default" w:ascii="Times New Roman" w:hAnsi="Times New Roman" w:eastAsia="仿宋_GB2312" w:cs="Times New Roman"/>
          <w:color w:val="auto"/>
          <w:sz w:val="32"/>
          <w:szCs w:val="32"/>
          <w:lang w:val="en-US" w:eastAsia="zh-CN"/>
        </w:rPr>
        <w:t>食堂采购食品</w:t>
      </w:r>
      <w:r>
        <w:rPr>
          <w:rFonts w:hint="default" w:ascii="Times New Roman" w:hAnsi="Times New Roman" w:eastAsia="仿宋_GB2312" w:cs="Times New Roman"/>
          <w:color w:val="auto"/>
          <w:sz w:val="32"/>
          <w:szCs w:val="32"/>
        </w:rPr>
        <w:t>。授予中小企业合同金额600万元，占政府采购支出总额的1</w:t>
      </w:r>
      <w:r>
        <w:rPr>
          <w:rFonts w:hint="eastAsia" w:ascii="Times New Roman" w:hAnsi="Times New Roman" w:eastAsia="仿宋_GB2312" w:cs="Times New Roman"/>
          <w:color w:val="auto"/>
          <w:sz w:val="32"/>
          <w:szCs w:val="32"/>
          <w:lang w:val="en-US" w:eastAsia="zh-CN"/>
        </w:rPr>
        <w:t>00</w:t>
      </w:r>
      <w:r>
        <w:rPr>
          <w:rFonts w:hint="default" w:ascii="Times New Roman" w:hAnsi="Times New Roman" w:eastAsia="仿宋_GB2312" w:cs="Times New Roman"/>
          <w:color w:val="auto"/>
          <w:sz w:val="32"/>
          <w:szCs w:val="32"/>
        </w:rPr>
        <w:t>%，其中：授予小微企业合同金额600万元，占政府采购支出总额的100%。</w:t>
      </w:r>
    </w:p>
    <w:p>
      <w:pPr>
        <w:spacing w:line="600" w:lineRule="exact"/>
        <w:ind w:firstLine="640"/>
        <w:outlineLvl w:val="1"/>
        <w:rPr>
          <w:rFonts w:hint="default" w:ascii="Times New Roman" w:hAnsi="Times New Roman" w:eastAsia="楷体_GB2312" w:cs="Times New Roman"/>
          <w:color w:val="auto"/>
          <w:kern w:val="0"/>
          <w:sz w:val="32"/>
          <w:szCs w:val="32"/>
          <w:lang w:val="en-US" w:eastAsia="zh-CN" w:bidi="ar-SA"/>
        </w:rPr>
      </w:pPr>
      <w:bookmarkStart w:id="81" w:name="_Toc15377224"/>
      <w:r>
        <w:rPr>
          <w:rFonts w:hint="default" w:ascii="Times New Roman" w:hAnsi="Times New Roman" w:eastAsia="楷体_GB2312" w:cs="Times New Roman"/>
          <w:color w:val="auto"/>
          <w:kern w:val="0"/>
          <w:sz w:val="32"/>
          <w:szCs w:val="32"/>
          <w:lang w:val="en-US" w:eastAsia="zh-CN" w:bidi="ar-SA"/>
        </w:rPr>
        <w:t>（三）国有资产占有使用情况</w:t>
      </w:r>
      <w:bookmarkEnd w:id="81"/>
      <w:r>
        <w:rPr>
          <w:rFonts w:hint="eastAsia" w:eastAsia="楷体_GB2312" w:cs="Times New Roman"/>
          <w:color w:val="auto"/>
          <w:kern w:val="0"/>
          <w:sz w:val="32"/>
          <w:szCs w:val="32"/>
          <w:lang w:val="en-US" w:eastAsia="zh-CN" w:bidi="ar-SA"/>
        </w:rPr>
        <w:t>。</w:t>
      </w:r>
    </w:p>
    <w:p>
      <w:pPr>
        <w:pStyle w:val="25"/>
        <w:spacing w:before="93"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kern w:val="0"/>
          <w:sz w:val="32"/>
          <w:szCs w:val="32"/>
          <w:lang w:val="en-US" w:eastAsia="zh-CN" w:bidi="ar-SA"/>
        </w:rPr>
        <w:t>截至2023年12月31日，盐边县永兴镇初级中学校共有车辆1辆，其中：主要领导干部用车0辆、机要通信用车0辆、应急保障用车0辆、其他用车1辆，其他用车主要是用于学区内公务检查。单价100万元以上设备0台</w:t>
      </w:r>
      <w:r>
        <w:rPr>
          <w:rFonts w:hint="default" w:ascii="Times New Roman" w:hAnsi="Times New Roman" w:eastAsia="仿宋_GB2312" w:cs="Times New Roman"/>
          <w:color w:val="auto"/>
          <w:sz w:val="32"/>
          <w:szCs w:val="32"/>
        </w:rPr>
        <w:t>。</w:t>
      </w:r>
    </w:p>
    <w:p>
      <w:pPr>
        <w:spacing w:line="600" w:lineRule="exact"/>
        <w:ind w:firstLine="640"/>
        <w:outlineLvl w:val="1"/>
        <w:rPr>
          <w:rFonts w:hint="eastAsia" w:ascii="楷体_GB2312" w:hAnsi="楷体_GB2312" w:eastAsia="楷体_GB2312" w:cs="楷体_GB2312"/>
          <w:color w:val="auto"/>
          <w:kern w:val="0"/>
          <w:sz w:val="32"/>
          <w:szCs w:val="32"/>
          <w:lang w:val="en-US" w:eastAsia="zh-CN" w:bidi="ar-SA"/>
        </w:rPr>
      </w:pPr>
      <w:r>
        <w:rPr>
          <w:rFonts w:hint="eastAsia" w:ascii="楷体_GB2312" w:hAnsi="楷体_GB2312" w:eastAsia="楷体_GB2312" w:cs="楷体_GB2312"/>
          <w:color w:val="auto"/>
          <w:kern w:val="0"/>
          <w:sz w:val="32"/>
          <w:szCs w:val="32"/>
          <w:lang w:val="en-US" w:eastAsia="zh-CN" w:bidi="ar-SA"/>
        </w:rPr>
        <w:t>（四）预算绩效管理情况。</w:t>
      </w:r>
    </w:p>
    <w:p>
      <w:pPr>
        <w:spacing w:line="600" w:lineRule="exact"/>
        <w:ind w:firstLine="640"/>
        <w:outlineLvl w:val="1"/>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根据预算绩效管理要求，本单位在2023年度预算编制阶段，组织对</w:t>
      </w:r>
      <w:r>
        <w:rPr>
          <w:rFonts w:hint="eastAsia" w:eastAsia="仿宋_GB2312" w:cs="Times New Roman"/>
          <w:color w:val="auto"/>
          <w:kern w:val="0"/>
          <w:sz w:val="32"/>
          <w:szCs w:val="32"/>
          <w:lang w:val="en-US" w:eastAsia="zh-CN" w:bidi="ar-SA"/>
        </w:rPr>
        <w:t>“</w:t>
      </w:r>
      <w:r>
        <w:rPr>
          <w:rFonts w:hint="default" w:ascii="Times New Roman" w:hAnsi="Times New Roman" w:eastAsia="仿宋_GB2312" w:cs="Times New Roman"/>
          <w:color w:val="auto"/>
          <w:kern w:val="0"/>
          <w:sz w:val="32"/>
          <w:szCs w:val="32"/>
          <w:lang w:val="en-US" w:eastAsia="zh-CN" w:bidi="ar-SA"/>
        </w:rPr>
        <w:t>2023年校园安保</w:t>
      </w:r>
      <w:r>
        <w:rPr>
          <w:rFonts w:hint="eastAsia" w:eastAsia="仿宋_GB2312" w:cs="Times New Roman"/>
          <w:color w:val="auto"/>
          <w:kern w:val="0"/>
          <w:sz w:val="32"/>
          <w:szCs w:val="32"/>
          <w:lang w:val="en-US" w:eastAsia="zh-CN" w:bidi="ar-SA"/>
        </w:rPr>
        <w:t>经费”</w:t>
      </w:r>
      <w:r>
        <w:rPr>
          <w:rFonts w:hint="default" w:ascii="Times New Roman" w:hAnsi="Times New Roman" w:eastAsia="仿宋_GB2312" w:cs="Times New Roman"/>
          <w:color w:val="auto"/>
          <w:kern w:val="0"/>
          <w:sz w:val="32"/>
          <w:szCs w:val="32"/>
          <w:lang w:val="en-US" w:eastAsia="zh-CN" w:bidi="ar-SA"/>
        </w:rPr>
        <w:t>等</w:t>
      </w:r>
      <w:r>
        <w:rPr>
          <w:rFonts w:hint="eastAsia" w:eastAsia="仿宋_GB2312" w:cs="Times New Roman"/>
          <w:color w:val="auto"/>
          <w:kern w:val="0"/>
          <w:sz w:val="32"/>
          <w:szCs w:val="32"/>
          <w:lang w:val="en-US" w:eastAsia="zh-CN" w:bidi="ar-SA"/>
        </w:rPr>
        <w:t>2</w:t>
      </w:r>
      <w:r>
        <w:rPr>
          <w:rFonts w:hint="default" w:ascii="Times New Roman" w:hAnsi="Times New Roman" w:eastAsia="仿宋_GB2312" w:cs="Times New Roman"/>
          <w:color w:val="auto"/>
          <w:kern w:val="0"/>
          <w:sz w:val="32"/>
          <w:szCs w:val="32"/>
          <w:lang w:val="en-US" w:eastAsia="zh-CN" w:bidi="ar-SA"/>
        </w:rPr>
        <w:t>个项目开展了预算事前绩效评估，对</w:t>
      </w:r>
      <w:r>
        <w:rPr>
          <w:rFonts w:hint="eastAsia" w:eastAsia="仿宋_GB2312" w:cs="Times New Roman"/>
          <w:color w:val="auto"/>
          <w:kern w:val="0"/>
          <w:sz w:val="32"/>
          <w:szCs w:val="32"/>
          <w:lang w:val="en-US" w:eastAsia="zh-CN" w:bidi="ar-SA"/>
        </w:rPr>
        <w:t>2</w:t>
      </w:r>
      <w:r>
        <w:rPr>
          <w:rFonts w:hint="default" w:ascii="Times New Roman" w:hAnsi="Times New Roman" w:eastAsia="仿宋_GB2312" w:cs="Times New Roman"/>
          <w:color w:val="auto"/>
          <w:kern w:val="0"/>
          <w:sz w:val="32"/>
          <w:szCs w:val="32"/>
          <w:lang w:val="en-US" w:eastAsia="zh-CN" w:bidi="ar-SA"/>
        </w:rPr>
        <w:t>个项目编制了绩效目标，预算执行过程中，选取</w:t>
      </w:r>
      <w:r>
        <w:rPr>
          <w:rFonts w:hint="eastAsia" w:eastAsia="仿宋_GB2312" w:cs="Times New Roman"/>
          <w:color w:val="auto"/>
          <w:kern w:val="0"/>
          <w:sz w:val="32"/>
          <w:szCs w:val="32"/>
          <w:lang w:val="en-US" w:eastAsia="zh-CN" w:bidi="ar-SA"/>
        </w:rPr>
        <w:t>2</w:t>
      </w:r>
      <w:r>
        <w:rPr>
          <w:rFonts w:hint="default" w:ascii="Times New Roman" w:hAnsi="Times New Roman" w:eastAsia="仿宋_GB2312" w:cs="Times New Roman"/>
          <w:color w:val="auto"/>
          <w:kern w:val="0"/>
          <w:sz w:val="32"/>
          <w:szCs w:val="32"/>
          <w:lang w:val="en-US" w:eastAsia="zh-CN" w:bidi="ar-SA"/>
        </w:rPr>
        <w:t>个项目开展绩效监控，组织对</w:t>
      </w:r>
      <w:r>
        <w:rPr>
          <w:rFonts w:hint="eastAsia" w:eastAsia="仿宋_GB2312" w:cs="Times New Roman"/>
          <w:color w:val="auto"/>
          <w:kern w:val="0"/>
          <w:sz w:val="32"/>
          <w:szCs w:val="32"/>
          <w:lang w:val="en-US" w:eastAsia="zh-CN" w:bidi="ar-SA"/>
        </w:rPr>
        <w:t>2</w:t>
      </w:r>
      <w:r>
        <w:rPr>
          <w:rFonts w:hint="default" w:ascii="Times New Roman" w:hAnsi="Times New Roman" w:eastAsia="仿宋_GB2312" w:cs="Times New Roman"/>
          <w:color w:val="auto"/>
          <w:kern w:val="0"/>
          <w:sz w:val="32"/>
          <w:szCs w:val="32"/>
          <w:lang w:val="en-US" w:eastAsia="zh-CN" w:bidi="ar-SA"/>
        </w:rPr>
        <w:t>个项目开展绩效自评，绩效自评表详见第四部分附件。</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br w:type="page"/>
      </w:r>
    </w:p>
    <w:p>
      <w:pPr>
        <w:numPr>
          <w:ilvl w:val="0"/>
          <w:numId w:val="0"/>
        </w:numPr>
        <w:spacing w:line="600" w:lineRule="exact"/>
        <w:jc w:val="center"/>
        <w:outlineLvl w:val="0"/>
        <w:rPr>
          <w:rStyle w:val="27"/>
          <w:rFonts w:hint="default" w:ascii="Times New Roman" w:hAnsi="Times New Roman" w:eastAsia="黑体" w:cs="Times New Roman"/>
          <w:b w:val="0"/>
        </w:rPr>
      </w:pPr>
      <w:bookmarkStart w:id="82" w:name="_Toc15396613"/>
      <w:bookmarkStart w:id="83" w:name="_Toc15377225"/>
      <w:bookmarkStart w:id="84" w:name="_Toc30928_WPSOffice_Level1"/>
      <w:r>
        <w:rPr>
          <w:rFonts w:hint="default" w:ascii="Times New Roman" w:hAnsi="Times New Roman" w:eastAsia="黑体" w:cs="Times New Roman"/>
          <w:sz w:val="44"/>
          <w:szCs w:val="44"/>
          <w:lang w:val="en-US" w:eastAsia="zh-CN"/>
        </w:rPr>
        <w:t xml:space="preserve">第三部分 </w:t>
      </w:r>
      <w:r>
        <w:rPr>
          <w:rFonts w:hint="default" w:ascii="Times New Roman" w:hAnsi="Times New Roman" w:eastAsia="黑体" w:cs="Times New Roman"/>
          <w:sz w:val="44"/>
          <w:szCs w:val="44"/>
        </w:rPr>
        <w:t>名</w:t>
      </w:r>
      <w:r>
        <w:rPr>
          <w:rStyle w:val="27"/>
          <w:rFonts w:hint="default" w:ascii="Times New Roman" w:hAnsi="Times New Roman" w:eastAsia="黑体" w:cs="Times New Roman"/>
          <w:b w:val="0"/>
        </w:rPr>
        <w:t>词解释</w:t>
      </w:r>
      <w:bookmarkEnd w:id="82"/>
      <w:bookmarkEnd w:id="83"/>
      <w:bookmarkEnd w:id="84"/>
    </w:p>
    <w:p>
      <w:pPr>
        <w:spacing w:line="600" w:lineRule="exact"/>
        <w:jc w:val="left"/>
        <w:rPr>
          <w:rFonts w:hint="default" w:ascii="Times New Roman" w:hAnsi="Times New Roman" w:cs="Times New Roman"/>
          <w:b/>
          <w:sz w:val="44"/>
          <w:szCs w:val="44"/>
        </w:rPr>
      </w:pPr>
    </w:p>
    <w:p>
      <w:pPr>
        <w:pStyle w:val="25"/>
        <w:spacing w:before="93" w:line="560" w:lineRule="exact"/>
        <w:ind w:firstLine="643" w:firstLineChars="200"/>
        <w:rPr>
          <w:rFonts w:hint="default" w:ascii="Times New Roman" w:hAnsi="Times New Roman" w:eastAsia="仿宋_GB2312" w:cs="Times New Roman"/>
          <w:color w:val="auto"/>
          <w:sz w:val="32"/>
          <w:szCs w:val="32"/>
        </w:rPr>
      </w:pPr>
      <w:bookmarkStart w:id="85" w:name="_Toc15396614"/>
      <w:bookmarkStart w:id="86" w:name="_Toc15377226"/>
      <w:r>
        <w:rPr>
          <w:rFonts w:hint="default" w:ascii="Times New Roman" w:hAnsi="Times New Roman" w:eastAsia="仿宋_GB2312" w:cs="Times New Roman"/>
          <w:b/>
          <w:bCs/>
          <w:color w:val="auto"/>
          <w:sz w:val="32"/>
          <w:szCs w:val="32"/>
        </w:rPr>
        <w:t>1.财政拨款收入：</w:t>
      </w:r>
      <w:r>
        <w:rPr>
          <w:rFonts w:hint="default" w:ascii="Times New Roman" w:hAnsi="Times New Roman" w:eastAsia="仿宋_GB2312" w:cs="Times New Roman"/>
          <w:color w:val="auto"/>
          <w:sz w:val="32"/>
          <w:szCs w:val="32"/>
        </w:rPr>
        <w:t>指单位从同级财政部门取得的财政预算资金。</w:t>
      </w:r>
    </w:p>
    <w:p>
      <w:pPr>
        <w:pStyle w:val="25"/>
        <w:spacing w:before="93" w:line="560" w:lineRule="exact"/>
        <w:ind w:firstLine="643"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2.事业收入：</w:t>
      </w:r>
      <w:r>
        <w:rPr>
          <w:rFonts w:hint="default" w:ascii="Times New Roman" w:hAnsi="Times New Roman" w:eastAsia="仿宋_GB2312" w:cs="Times New Roman"/>
          <w:color w:val="auto"/>
          <w:sz w:val="32"/>
          <w:szCs w:val="32"/>
        </w:rPr>
        <w:t>指事业单位开展专业业务活动及辅助活动取得的收入。</w:t>
      </w:r>
    </w:p>
    <w:p>
      <w:pPr>
        <w:pStyle w:val="25"/>
        <w:spacing w:before="93" w:line="560" w:lineRule="exact"/>
        <w:ind w:firstLine="643"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3.经营收入：</w:t>
      </w:r>
      <w:r>
        <w:rPr>
          <w:rFonts w:hint="default" w:ascii="Times New Roman" w:hAnsi="Times New Roman" w:eastAsia="仿宋_GB2312" w:cs="Times New Roman"/>
          <w:color w:val="auto"/>
          <w:sz w:val="32"/>
          <w:szCs w:val="32"/>
        </w:rPr>
        <w:t>指事业单位在专业业务活动及其辅助活动之外开展非独立核算经营活动取得的收入。</w:t>
      </w:r>
    </w:p>
    <w:p>
      <w:pPr>
        <w:pStyle w:val="25"/>
        <w:spacing w:before="93" w:line="560" w:lineRule="exact"/>
        <w:ind w:firstLine="643"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4.其他收入：</w:t>
      </w:r>
      <w:r>
        <w:rPr>
          <w:rFonts w:hint="default" w:ascii="Times New Roman" w:hAnsi="Times New Roman" w:eastAsia="仿宋_GB2312" w:cs="Times New Roman"/>
          <w:color w:val="auto"/>
          <w:sz w:val="32"/>
          <w:szCs w:val="32"/>
        </w:rPr>
        <w:t>指单位取得的除上述收入以外的各项收入。</w:t>
      </w:r>
    </w:p>
    <w:p>
      <w:pPr>
        <w:pStyle w:val="25"/>
        <w:spacing w:before="93" w:line="560" w:lineRule="exact"/>
        <w:ind w:firstLine="643" w:firstLineChars="200"/>
        <w:jc w:val="both"/>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5.使用非财政拨款结余：</w:t>
      </w:r>
      <w:r>
        <w:rPr>
          <w:rFonts w:hint="default" w:ascii="Times New Roman" w:hAnsi="Times New Roman" w:eastAsia="仿宋_GB2312" w:cs="Times New Roman"/>
          <w:color w:val="auto"/>
          <w:sz w:val="32"/>
          <w:szCs w:val="32"/>
        </w:rPr>
        <w:t>指事业单位使用以前年度积累的非财政拨款结余弥补当年收支差额的金额。</w:t>
      </w:r>
    </w:p>
    <w:p>
      <w:pPr>
        <w:pStyle w:val="25"/>
        <w:spacing w:before="93" w:line="560" w:lineRule="exact"/>
        <w:ind w:firstLine="643"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6.年初结转和结余：</w:t>
      </w:r>
      <w:r>
        <w:rPr>
          <w:rFonts w:hint="default" w:ascii="Times New Roman" w:hAnsi="Times New Roman" w:eastAsia="仿宋_GB2312" w:cs="Times New Roman"/>
          <w:color w:val="auto"/>
          <w:sz w:val="32"/>
          <w:szCs w:val="32"/>
        </w:rPr>
        <w:t>指以前年度尚未完成、结转到本年按有关规定继续使用的资金。</w:t>
      </w:r>
    </w:p>
    <w:p>
      <w:pPr>
        <w:pStyle w:val="25"/>
        <w:spacing w:before="93" w:line="560" w:lineRule="exact"/>
        <w:ind w:firstLine="643"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7.结余分配：</w:t>
      </w:r>
      <w:r>
        <w:rPr>
          <w:rFonts w:hint="default" w:ascii="Times New Roman" w:hAnsi="Times New Roman" w:eastAsia="仿宋_GB2312" w:cs="Times New Roman"/>
          <w:color w:val="auto"/>
          <w:sz w:val="32"/>
          <w:szCs w:val="32"/>
        </w:rPr>
        <w:t>指事业单位按照会计制度规定缴纳的所得税、提取的专用结余以及转入非财政拨款结余的金额等。</w:t>
      </w:r>
    </w:p>
    <w:p>
      <w:pPr>
        <w:pStyle w:val="25"/>
        <w:spacing w:before="93" w:line="560" w:lineRule="exact"/>
        <w:ind w:firstLine="643"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8.年末结转和结余：</w:t>
      </w:r>
      <w:r>
        <w:rPr>
          <w:rFonts w:hint="default" w:ascii="Times New Roman" w:hAnsi="Times New Roman" w:eastAsia="仿宋_GB2312" w:cs="Times New Roman"/>
          <w:color w:val="auto"/>
          <w:sz w:val="32"/>
          <w:szCs w:val="32"/>
        </w:rPr>
        <w:t>指单位按有关规定结转到下年或以后年度继续使用的资金。</w:t>
      </w:r>
    </w:p>
    <w:p>
      <w:pPr>
        <w:pStyle w:val="25"/>
        <w:spacing w:before="93" w:line="560" w:lineRule="exact"/>
        <w:ind w:firstLine="643" w:firstLineChars="200"/>
        <w:rPr>
          <w:rFonts w:hint="default" w:ascii="Times New Roman" w:hAnsi="Times New Roman" w:eastAsia="仿宋_GB2312" w:cs="Times New Roman"/>
          <w:color w:val="auto"/>
          <w:sz w:val="32"/>
          <w:szCs w:val="32"/>
          <w:lang w:val="zh-CN"/>
        </w:rPr>
      </w:pPr>
      <w:r>
        <w:rPr>
          <w:rFonts w:hint="default" w:ascii="Times New Roman" w:hAnsi="Times New Roman" w:eastAsia="仿宋_GB2312" w:cs="Times New Roman"/>
          <w:b/>
          <w:bCs/>
          <w:color w:val="auto"/>
          <w:sz w:val="32"/>
          <w:szCs w:val="32"/>
        </w:rPr>
        <w:t>9.</w:t>
      </w:r>
      <w:r>
        <w:rPr>
          <w:rFonts w:hint="default" w:ascii="Times New Roman" w:hAnsi="Times New Roman" w:eastAsia="仿宋_GB2312" w:cs="Times New Roman"/>
          <w:b/>
          <w:bCs/>
          <w:color w:val="auto"/>
          <w:sz w:val="32"/>
          <w:szCs w:val="32"/>
          <w:lang w:val="zh-CN"/>
        </w:rPr>
        <w:t xml:space="preserve"> </w:t>
      </w:r>
      <w:r>
        <w:rPr>
          <w:rFonts w:hint="default" w:ascii="Times New Roman" w:hAnsi="Times New Roman" w:eastAsia="仿宋_GB2312" w:cs="Times New Roman"/>
          <w:b/>
          <w:bCs/>
          <w:color w:val="auto"/>
          <w:sz w:val="32"/>
          <w:szCs w:val="32"/>
        </w:rPr>
        <w:t>教育支出（</w:t>
      </w:r>
      <w:r>
        <w:rPr>
          <w:rFonts w:hint="default" w:ascii="Times New Roman" w:hAnsi="Times New Roman" w:eastAsia="仿宋_GB2312" w:cs="Times New Roman"/>
          <w:b/>
          <w:bCs/>
          <w:color w:val="auto"/>
          <w:sz w:val="32"/>
          <w:szCs w:val="32"/>
          <w:lang w:val="en-US" w:eastAsia="zh-CN"/>
        </w:rPr>
        <w:t>205</w:t>
      </w:r>
      <w:r>
        <w:rPr>
          <w:rFonts w:hint="default" w:ascii="Times New Roman" w:hAnsi="Times New Roman" w:eastAsia="仿宋_GB2312" w:cs="Times New Roman"/>
          <w:b/>
          <w:bCs/>
          <w:color w:val="auto"/>
          <w:sz w:val="32"/>
          <w:szCs w:val="32"/>
        </w:rPr>
        <w:t>类）普通教育（</w:t>
      </w:r>
      <w:r>
        <w:rPr>
          <w:rFonts w:hint="default" w:ascii="Times New Roman" w:hAnsi="Times New Roman" w:eastAsia="仿宋_GB2312" w:cs="Times New Roman"/>
          <w:b/>
          <w:bCs/>
          <w:color w:val="auto"/>
          <w:sz w:val="32"/>
          <w:szCs w:val="32"/>
          <w:lang w:val="en-US" w:eastAsia="zh-CN"/>
        </w:rPr>
        <w:t>02</w:t>
      </w:r>
      <w:r>
        <w:rPr>
          <w:rFonts w:hint="default" w:ascii="Times New Roman" w:hAnsi="Times New Roman" w:eastAsia="仿宋_GB2312" w:cs="Times New Roman"/>
          <w:b/>
          <w:bCs/>
          <w:color w:val="auto"/>
          <w:sz w:val="32"/>
          <w:szCs w:val="32"/>
        </w:rPr>
        <w:t>款）</w:t>
      </w:r>
      <w:r>
        <w:rPr>
          <w:rFonts w:hint="default" w:ascii="Times New Roman" w:hAnsi="Times New Roman" w:eastAsia="仿宋_GB2312" w:cs="Times New Roman"/>
          <w:b/>
          <w:bCs/>
          <w:color w:val="auto"/>
          <w:sz w:val="32"/>
          <w:szCs w:val="32"/>
          <w:lang w:val="en-US" w:eastAsia="zh-CN"/>
        </w:rPr>
        <w:t>初中教育</w:t>
      </w:r>
      <w:r>
        <w:rPr>
          <w:rFonts w:hint="default" w:ascii="Times New Roman" w:hAnsi="Times New Roman" w:eastAsia="仿宋_GB2312" w:cs="Times New Roman"/>
          <w:b/>
          <w:bCs/>
          <w:color w:val="auto"/>
          <w:sz w:val="32"/>
          <w:szCs w:val="32"/>
          <w:lang w:val="zh-CN"/>
        </w:rPr>
        <w:t>（</w:t>
      </w:r>
      <w:r>
        <w:rPr>
          <w:rFonts w:hint="default" w:ascii="Times New Roman" w:hAnsi="Times New Roman" w:eastAsia="仿宋_GB2312" w:cs="Times New Roman"/>
          <w:b/>
          <w:bCs/>
          <w:color w:val="auto"/>
          <w:sz w:val="32"/>
          <w:szCs w:val="32"/>
          <w:lang w:val="en-US" w:eastAsia="zh-CN"/>
        </w:rPr>
        <w:t>03</w:t>
      </w:r>
      <w:r>
        <w:rPr>
          <w:rFonts w:hint="default" w:ascii="Times New Roman" w:hAnsi="Times New Roman" w:eastAsia="仿宋_GB2312" w:cs="Times New Roman"/>
          <w:b/>
          <w:bCs/>
          <w:color w:val="auto"/>
          <w:sz w:val="32"/>
          <w:szCs w:val="32"/>
          <w:lang w:val="zh-CN"/>
        </w:rPr>
        <w:t>项）：</w:t>
      </w:r>
      <w:r>
        <w:rPr>
          <w:rFonts w:hint="default" w:ascii="Times New Roman" w:hAnsi="Times New Roman" w:eastAsia="仿宋_GB2312" w:cs="Times New Roman"/>
          <w:color w:val="auto"/>
          <w:sz w:val="32"/>
          <w:szCs w:val="32"/>
          <w:lang w:val="zh-CN"/>
        </w:rPr>
        <w:t>反映各部门举办的</w:t>
      </w:r>
      <w:r>
        <w:rPr>
          <w:rFonts w:hint="default" w:ascii="Times New Roman" w:hAnsi="Times New Roman" w:eastAsia="仿宋_GB2312" w:cs="Times New Roman"/>
          <w:color w:val="auto"/>
          <w:sz w:val="32"/>
          <w:szCs w:val="32"/>
          <w:lang w:val="en-US" w:eastAsia="zh-CN"/>
        </w:rPr>
        <w:t>初中教</w:t>
      </w:r>
      <w:r>
        <w:rPr>
          <w:rFonts w:hint="default" w:ascii="Times New Roman" w:hAnsi="Times New Roman" w:eastAsia="仿宋_GB2312" w:cs="Times New Roman"/>
          <w:color w:val="auto"/>
          <w:sz w:val="32"/>
          <w:szCs w:val="32"/>
          <w:lang w:val="zh-CN"/>
        </w:rPr>
        <w:t>育支出。</w:t>
      </w:r>
    </w:p>
    <w:p>
      <w:pPr>
        <w:pStyle w:val="25"/>
        <w:spacing w:before="93" w:line="560" w:lineRule="exact"/>
        <w:ind w:firstLine="643" w:firstLineChars="200"/>
        <w:rPr>
          <w:rFonts w:hint="default" w:ascii="Times New Roman" w:hAnsi="Times New Roman" w:eastAsia="仿宋_GB2312" w:cs="Times New Roman"/>
          <w:color w:val="auto"/>
          <w:sz w:val="32"/>
          <w:szCs w:val="32"/>
          <w:lang w:val="zh-CN"/>
        </w:rPr>
      </w:pPr>
      <w:r>
        <w:rPr>
          <w:rFonts w:hint="default" w:ascii="Times New Roman" w:hAnsi="Times New Roman" w:eastAsia="仿宋_GB2312" w:cs="Times New Roman"/>
          <w:b/>
          <w:bCs/>
          <w:color w:val="auto"/>
          <w:sz w:val="32"/>
          <w:szCs w:val="32"/>
        </w:rPr>
        <w:t>1</w:t>
      </w:r>
      <w:r>
        <w:rPr>
          <w:rFonts w:hint="default" w:ascii="Times New Roman" w:hAnsi="Times New Roman" w:eastAsia="仿宋_GB2312" w:cs="Times New Roman"/>
          <w:b/>
          <w:bCs/>
          <w:color w:val="auto"/>
          <w:sz w:val="32"/>
          <w:szCs w:val="32"/>
          <w:lang w:val="en-US" w:eastAsia="zh-CN"/>
        </w:rPr>
        <w:t>0</w:t>
      </w:r>
      <w:r>
        <w:rPr>
          <w:rFonts w:hint="default" w:ascii="Times New Roman" w:hAnsi="Times New Roman" w:eastAsia="仿宋_GB2312" w:cs="Times New Roman"/>
          <w:b/>
          <w:bCs/>
          <w:color w:val="auto"/>
          <w:sz w:val="32"/>
          <w:szCs w:val="32"/>
        </w:rPr>
        <w:t>、教育支出（</w:t>
      </w:r>
      <w:r>
        <w:rPr>
          <w:rFonts w:hint="default" w:ascii="Times New Roman" w:hAnsi="Times New Roman" w:eastAsia="仿宋_GB2312" w:cs="Times New Roman"/>
          <w:b/>
          <w:bCs/>
          <w:color w:val="auto"/>
          <w:sz w:val="32"/>
          <w:szCs w:val="32"/>
          <w:lang w:val="en-US" w:eastAsia="zh-CN"/>
        </w:rPr>
        <w:t>205</w:t>
      </w:r>
      <w:r>
        <w:rPr>
          <w:rFonts w:hint="default" w:ascii="Times New Roman" w:hAnsi="Times New Roman" w:eastAsia="仿宋_GB2312" w:cs="Times New Roman"/>
          <w:b/>
          <w:bCs/>
          <w:color w:val="auto"/>
          <w:sz w:val="32"/>
          <w:szCs w:val="32"/>
        </w:rPr>
        <w:t>类）教育费附加安排的支出（</w:t>
      </w:r>
      <w:r>
        <w:rPr>
          <w:rFonts w:hint="default" w:ascii="Times New Roman" w:hAnsi="Times New Roman" w:eastAsia="仿宋_GB2312" w:cs="Times New Roman"/>
          <w:b/>
          <w:bCs/>
          <w:color w:val="auto"/>
          <w:sz w:val="32"/>
          <w:szCs w:val="32"/>
          <w:lang w:val="en-US" w:eastAsia="zh-CN"/>
        </w:rPr>
        <w:t>09</w:t>
      </w:r>
      <w:r>
        <w:rPr>
          <w:rFonts w:hint="default" w:ascii="Times New Roman" w:hAnsi="Times New Roman" w:eastAsia="仿宋_GB2312" w:cs="Times New Roman"/>
          <w:b/>
          <w:bCs/>
          <w:color w:val="auto"/>
          <w:sz w:val="32"/>
          <w:szCs w:val="32"/>
        </w:rPr>
        <w:t>款）农村中小学校舍建设</w:t>
      </w:r>
      <w:r>
        <w:rPr>
          <w:rFonts w:hint="default" w:ascii="Times New Roman" w:hAnsi="Times New Roman" w:eastAsia="仿宋_GB2312" w:cs="Times New Roman"/>
          <w:b/>
          <w:bCs/>
          <w:color w:val="auto"/>
          <w:sz w:val="32"/>
          <w:szCs w:val="32"/>
          <w:lang w:val="zh-CN"/>
        </w:rPr>
        <w:t>（</w:t>
      </w:r>
      <w:r>
        <w:rPr>
          <w:rFonts w:hint="default" w:ascii="Times New Roman" w:hAnsi="Times New Roman" w:eastAsia="仿宋_GB2312" w:cs="Times New Roman"/>
          <w:b/>
          <w:bCs/>
          <w:color w:val="auto"/>
          <w:sz w:val="32"/>
          <w:szCs w:val="32"/>
          <w:lang w:val="en-US" w:eastAsia="zh-CN"/>
        </w:rPr>
        <w:t>01</w:t>
      </w:r>
      <w:r>
        <w:rPr>
          <w:rFonts w:hint="default" w:ascii="Times New Roman" w:hAnsi="Times New Roman" w:eastAsia="仿宋_GB2312" w:cs="Times New Roman"/>
          <w:b/>
          <w:bCs/>
          <w:color w:val="auto"/>
          <w:sz w:val="32"/>
          <w:szCs w:val="32"/>
          <w:lang w:val="zh-CN"/>
        </w:rPr>
        <w:t>项）：</w:t>
      </w:r>
      <w:r>
        <w:rPr>
          <w:rFonts w:hint="default" w:ascii="Times New Roman" w:hAnsi="Times New Roman" w:eastAsia="仿宋_GB2312" w:cs="Times New Roman"/>
          <w:color w:val="auto"/>
          <w:sz w:val="32"/>
          <w:szCs w:val="32"/>
          <w:lang w:val="zh-CN"/>
        </w:rPr>
        <w:t>反映教育费附加安排用于农村中小学校舍新建、改建、修缮和维护支出。</w:t>
      </w:r>
    </w:p>
    <w:p>
      <w:pPr>
        <w:pStyle w:val="25"/>
        <w:spacing w:before="93" w:line="560" w:lineRule="exact"/>
        <w:ind w:firstLine="643"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1</w:t>
      </w:r>
      <w:r>
        <w:rPr>
          <w:rFonts w:hint="default" w:ascii="Times New Roman" w:hAnsi="Times New Roman" w:eastAsia="仿宋_GB2312" w:cs="Times New Roman"/>
          <w:b/>
          <w:bCs/>
          <w:color w:val="auto"/>
          <w:sz w:val="32"/>
          <w:szCs w:val="32"/>
          <w:lang w:val="en-US" w:eastAsia="zh-CN"/>
        </w:rPr>
        <w:t>1</w:t>
      </w:r>
      <w:r>
        <w:rPr>
          <w:rFonts w:hint="default" w:ascii="Times New Roman" w:hAnsi="Times New Roman" w:eastAsia="仿宋_GB2312" w:cs="Times New Roman"/>
          <w:b/>
          <w:bCs/>
          <w:color w:val="auto"/>
          <w:sz w:val="32"/>
          <w:szCs w:val="32"/>
        </w:rPr>
        <w:t>.社会保障和就业支出（</w:t>
      </w:r>
      <w:r>
        <w:rPr>
          <w:rFonts w:hint="default" w:ascii="Times New Roman" w:hAnsi="Times New Roman" w:eastAsia="仿宋_GB2312" w:cs="Times New Roman"/>
          <w:b/>
          <w:bCs/>
          <w:color w:val="auto"/>
          <w:sz w:val="32"/>
          <w:szCs w:val="32"/>
          <w:lang w:val="en-US" w:eastAsia="zh-CN"/>
        </w:rPr>
        <w:t>208</w:t>
      </w:r>
      <w:r>
        <w:rPr>
          <w:rFonts w:hint="default" w:ascii="Times New Roman" w:hAnsi="Times New Roman" w:eastAsia="仿宋_GB2312" w:cs="Times New Roman"/>
          <w:b/>
          <w:bCs/>
          <w:color w:val="auto"/>
          <w:sz w:val="32"/>
          <w:szCs w:val="32"/>
        </w:rPr>
        <w:t>类）行政事业单位养老支出（</w:t>
      </w:r>
      <w:r>
        <w:rPr>
          <w:rFonts w:hint="default" w:ascii="Times New Roman" w:hAnsi="Times New Roman" w:eastAsia="仿宋_GB2312" w:cs="Times New Roman"/>
          <w:b/>
          <w:bCs/>
          <w:color w:val="auto"/>
          <w:sz w:val="32"/>
          <w:szCs w:val="32"/>
          <w:lang w:val="en-US" w:eastAsia="zh-CN"/>
        </w:rPr>
        <w:t>05</w:t>
      </w:r>
      <w:r>
        <w:rPr>
          <w:rFonts w:hint="default" w:ascii="Times New Roman" w:hAnsi="Times New Roman" w:eastAsia="仿宋_GB2312" w:cs="Times New Roman"/>
          <w:b/>
          <w:bCs/>
          <w:color w:val="auto"/>
          <w:sz w:val="32"/>
          <w:szCs w:val="32"/>
        </w:rPr>
        <w:t>款）事业单位离退休费（</w:t>
      </w:r>
      <w:r>
        <w:rPr>
          <w:rFonts w:hint="default" w:ascii="Times New Roman" w:hAnsi="Times New Roman" w:eastAsia="仿宋_GB2312" w:cs="Times New Roman"/>
          <w:b/>
          <w:bCs/>
          <w:color w:val="auto"/>
          <w:sz w:val="32"/>
          <w:szCs w:val="32"/>
          <w:lang w:val="en-US" w:eastAsia="zh-CN"/>
        </w:rPr>
        <w:t>02</w:t>
      </w:r>
      <w:r>
        <w:rPr>
          <w:rFonts w:hint="default" w:ascii="Times New Roman" w:hAnsi="Times New Roman" w:eastAsia="仿宋_GB2312" w:cs="Times New Roman"/>
          <w:b/>
          <w:bCs/>
          <w:color w:val="auto"/>
          <w:sz w:val="32"/>
          <w:szCs w:val="32"/>
        </w:rPr>
        <w:t>项）：</w:t>
      </w:r>
      <w:r>
        <w:rPr>
          <w:rFonts w:hint="default" w:ascii="Times New Roman" w:hAnsi="Times New Roman" w:eastAsia="仿宋_GB2312" w:cs="Times New Roman"/>
          <w:color w:val="auto"/>
          <w:sz w:val="32"/>
          <w:szCs w:val="32"/>
        </w:rPr>
        <w:t>反映事业单位开支的离退休经费。</w:t>
      </w:r>
    </w:p>
    <w:p>
      <w:pPr>
        <w:pStyle w:val="25"/>
        <w:spacing w:line="560" w:lineRule="exact"/>
        <w:ind w:firstLine="643" w:firstLineChars="200"/>
        <w:jc w:val="both"/>
        <w:rPr>
          <w:rStyle w:val="16"/>
          <w:rFonts w:hint="default" w:ascii="Times New Roman" w:hAnsi="Times New Roman" w:eastAsia="仿宋_GB2312" w:cs="Times New Roman"/>
          <w:b w:val="0"/>
          <w:color w:val="000000"/>
          <w:sz w:val="32"/>
          <w:szCs w:val="32"/>
          <w:lang w:val="zh-CN"/>
        </w:rPr>
      </w:pPr>
      <w:r>
        <w:rPr>
          <w:rFonts w:hint="default" w:ascii="Times New Roman" w:hAnsi="Times New Roman" w:eastAsia="仿宋_GB2312" w:cs="Times New Roman"/>
          <w:b/>
          <w:bCs/>
          <w:color w:val="auto"/>
          <w:sz w:val="32"/>
          <w:szCs w:val="32"/>
          <w:lang w:val="zh-CN"/>
        </w:rPr>
        <w:t>1</w:t>
      </w:r>
      <w:r>
        <w:rPr>
          <w:rFonts w:hint="default" w:ascii="Times New Roman" w:hAnsi="Times New Roman" w:eastAsia="仿宋_GB2312" w:cs="Times New Roman"/>
          <w:b/>
          <w:bCs/>
          <w:color w:val="auto"/>
          <w:sz w:val="32"/>
          <w:szCs w:val="32"/>
          <w:lang w:val="en-US" w:eastAsia="zh-CN"/>
        </w:rPr>
        <w:t>2</w:t>
      </w:r>
      <w:r>
        <w:rPr>
          <w:rFonts w:hint="default" w:ascii="Times New Roman" w:hAnsi="Times New Roman" w:eastAsia="仿宋_GB2312" w:cs="Times New Roman"/>
          <w:b/>
          <w:bCs/>
          <w:color w:val="auto"/>
          <w:sz w:val="32"/>
          <w:szCs w:val="32"/>
          <w:lang w:val="zh-CN"/>
        </w:rPr>
        <w:t>.社会保障和就业支出（</w:t>
      </w:r>
      <w:r>
        <w:rPr>
          <w:rFonts w:hint="default" w:ascii="Times New Roman" w:hAnsi="Times New Roman" w:eastAsia="仿宋_GB2312" w:cs="Times New Roman"/>
          <w:b/>
          <w:bCs/>
          <w:color w:val="auto"/>
          <w:sz w:val="32"/>
          <w:szCs w:val="32"/>
          <w:lang w:val="en-US" w:eastAsia="zh-CN"/>
        </w:rPr>
        <w:t>208</w:t>
      </w:r>
      <w:r>
        <w:rPr>
          <w:rFonts w:hint="default" w:ascii="Times New Roman" w:hAnsi="Times New Roman" w:eastAsia="仿宋_GB2312" w:cs="Times New Roman"/>
          <w:b/>
          <w:bCs/>
          <w:color w:val="auto"/>
          <w:sz w:val="32"/>
          <w:szCs w:val="32"/>
          <w:lang w:val="zh-CN"/>
        </w:rPr>
        <w:t>类）</w:t>
      </w:r>
      <w:r>
        <w:rPr>
          <w:rFonts w:hint="default" w:ascii="Times New Roman" w:hAnsi="Times New Roman" w:eastAsia="仿宋_GB2312" w:cs="Times New Roman"/>
          <w:b/>
          <w:bCs/>
          <w:color w:val="auto"/>
          <w:sz w:val="32"/>
          <w:szCs w:val="32"/>
        </w:rPr>
        <w:t>行政事业单位养老支出</w:t>
      </w:r>
      <w:r>
        <w:rPr>
          <w:rFonts w:hint="default" w:ascii="Times New Roman" w:hAnsi="Times New Roman" w:eastAsia="仿宋_GB2312" w:cs="Times New Roman"/>
          <w:b/>
          <w:bCs/>
          <w:color w:val="auto"/>
          <w:sz w:val="32"/>
          <w:szCs w:val="32"/>
          <w:lang w:val="zh-CN"/>
        </w:rPr>
        <w:t>（</w:t>
      </w:r>
      <w:r>
        <w:rPr>
          <w:rFonts w:hint="default" w:ascii="Times New Roman" w:hAnsi="Times New Roman" w:eastAsia="仿宋_GB2312" w:cs="Times New Roman"/>
          <w:b/>
          <w:bCs/>
          <w:color w:val="auto"/>
          <w:sz w:val="32"/>
          <w:szCs w:val="32"/>
          <w:lang w:val="en-US" w:eastAsia="zh-CN"/>
        </w:rPr>
        <w:t>05</w:t>
      </w:r>
      <w:r>
        <w:rPr>
          <w:rFonts w:hint="default" w:ascii="Times New Roman" w:hAnsi="Times New Roman" w:eastAsia="仿宋_GB2312" w:cs="Times New Roman"/>
          <w:b/>
          <w:bCs/>
          <w:color w:val="auto"/>
          <w:sz w:val="32"/>
          <w:szCs w:val="32"/>
          <w:lang w:val="zh-CN"/>
        </w:rPr>
        <w:t>款）机关事业单位</w:t>
      </w:r>
      <w:r>
        <w:rPr>
          <w:rFonts w:hint="default" w:ascii="Times New Roman" w:hAnsi="Times New Roman" w:eastAsia="仿宋_GB2312" w:cs="Times New Roman"/>
          <w:b/>
          <w:bCs/>
          <w:color w:val="auto"/>
          <w:sz w:val="32"/>
          <w:szCs w:val="32"/>
          <w:lang w:val="en-US" w:eastAsia="zh-CN"/>
        </w:rPr>
        <w:t>基本</w:t>
      </w:r>
      <w:r>
        <w:rPr>
          <w:rFonts w:hint="default" w:ascii="Times New Roman" w:hAnsi="Times New Roman" w:eastAsia="仿宋_GB2312" w:cs="Times New Roman"/>
          <w:b/>
          <w:bCs/>
          <w:color w:val="auto"/>
          <w:sz w:val="32"/>
          <w:szCs w:val="32"/>
          <w:lang w:val="zh-CN"/>
        </w:rPr>
        <w:t>养老保险缴费支出（</w:t>
      </w:r>
      <w:r>
        <w:rPr>
          <w:rFonts w:hint="default" w:ascii="Times New Roman" w:hAnsi="Times New Roman" w:eastAsia="仿宋_GB2312" w:cs="Times New Roman"/>
          <w:b/>
          <w:bCs/>
          <w:color w:val="auto"/>
          <w:sz w:val="32"/>
          <w:szCs w:val="32"/>
          <w:lang w:val="en-US" w:eastAsia="zh-CN"/>
        </w:rPr>
        <w:t>05</w:t>
      </w:r>
      <w:r>
        <w:rPr>
          <w:rFonts w:hint="default" w:ascii="Times New Roman" w:hAnsi="Times New Roman" w:eastAsia="仿宋_GB2312" w:cs="Times New Roman"/>
          <w:b/>
          <w:bCs/>
          <w:color w:val="auto"/>
          <w:sz w:val="32"/>
          <w:szCs w:val="32"/>
          <w:lang w:val="zh-CN"/>
        </w:rPr>
        <w:t>项）：</w:t>
      </w:r>
      <w:r>
        <w:rPr>
          <w:rFonts w:hint="default" w:ascii="Times New Roman" w:hAnsi="Times New Roman" w:eastAsia="仿宋_GB2312" w:cs="Times New Roman"/>
          <w:color w:val="auto"/>
          <w:sz w:val="32"/>
          <w:szCs w:val="32"/>
          <w:lang w:val="zh-CN"/>
        </w:rPr>
        <w:t>反映</w:t>
      </w:r>
      <w:r>
        <w:rPr>
          <w:rFonts w:hint="default" w:ascii="Times New Roman" w:hAnsi="Times New Roman" w:eastAsia="仿宋_GB2312" w:cs="Times New Roman"/>
          <w:color w:val="auto"/>
          <w:sz w:val="32"/>
          <w:szCs w:val="32"/>
          <w:lang w:val="en-US" w:eastAsia="zh-CN"/>
        </w:rPr>
        <w:t>机关事业单位实施养老保险制度由单位缴纳的基本养老保险费支出</w:t>
      </w:r>
      <w:r>
        <w:rPr>
          <w:rFonts w:hint="default" w:ascii="Times New Roman" w:hAnsi="Times New Roman" w:eastAsia="仿宋_GB2312" w:cs="Times New Roman"/>
          <w:color w:val="auto"/>
          <w:sz w:val="32"/>
          <w:szCs w:val="32"/>
          <w:lang w:val="zh-CN"/>
        </w:rPr>
        <w:t>。</w:t>
      </w:r>
    </w:p>
    <w:p>
      <w:pPr>
        <w:pStyle w:val="25"/>
        <w:spacing w:line="560" w:lineRule="exact"/>
        <w:ind w:firstLine="643" w:firstLineChars="200"/>
        <w:jc w:val="both"/>
        <w:rPr>
          <w:rFonts w:hint="default" w:ascii="Times New Roman" w:hAnsi="Times New Roman" w:eastAsia="仿宋_GB2312" w:cs="Times New Roman"/>
          <w:color w:val="000000"/>
          <w:sz w:val="32"/>
          <w:szCs w:val="32"/>
          <w:lang w:val="zh-CN"/>
        </w:rPr>
      </w:pPr>
      <w:r>
        <w:rPr>
          <w:rFonts w:hint="default" w:ascii="Times New Roman" w:hAnsi="Times New Roman" w:eastAsia="仿宋_GB2312" w:cs="Times New Roman"/>
          <w:b/>
          <w:bCs/>
          <w:color w:val="auto"/>
          <w:sz w:val="32"/>
          <w:szCs w:val="32"/>
          <w:lang w:val="zh-CN"/>
        </w:rPr>
        <w:t>1</w:t>
      </w:r>
      <w:r>
        <w:rPr>
          <w:rFonts w:hint="default" w:ascii="Times New Roman" w:hAnsi="Times New Roman" w:eastAsia="仿宋_GB2312" w:cs="Times New Roman"/>
          <w:b/>
          <w:bCs/>
          <w:color w:val="auto"/>
          <w:sz w:val="32"/>
          <w:szCs w:val="32"/>
          <w:lang w:val="en-US" w:eastAsia="zh-CN"/>
        </w:rPr>
        <w:t>3</w:t>
      </w:r>
      <w:r>
        <w:rPr>
          <w:rFonts w:hint="default" w:ascii="Times New Roman" w:hAnsi="Times New Roman" w:eastAsia="仿宋_GB2312" w:cs="Times New Roman"/>
          <w:b/>
          <w:bCs/>
          <w:color w:val="auto"/>
          <w:sz w:val="32"/>
          <w:szCs w:val="32"/>
          <w:lang w:val="zh-CN"/>
        </w:rPr>
        <w:t>.社会保障和就业支出（</w:t>
      </w:r>
      <w:r>
        <w:rPr>
          <w:rFonts w:hint="default" w:ascii="Times New Roman" w:hAnsi="Times New Roman" w:eastAsia="仿宋_GB2312" w:cs="Times New Roman"/>
          <w:b/>
          <w:bCs/>
          <w:color w:val="auto"/>
          <w:sz w:val="32"/>
          <w:szCs w:val="32"/>
          <w:lang w:val="en-US" w:eastAsia="zh-CN"/>
        </w:rPr>
        <w:t>208</w:t>
      </w:r>
      <w:r>
        <w:rPr>
          <w:rFonts w:hint="default" w:ascii="Times New Roman" w:hAnsi="Times New Roman" w:eastAsia="仿宋_GB2312" w:cs="Times New Roman"/>
          <w:b/>
          <w:bCs/>
          <w:color w:val="auto"/>
          <w:sz w:val="32"/>
          <w:szCs w:val="32"/>
          <w:lang w:val="zh-CN"/>
        </w:rPr>
        <w:t>类）</w:t>
      </w:r>
      <w:r>
        <w:rPr>
          <w:rFonts w:hint="default" w:ascii="Times New Roman" w:hAnsi="Times New Roman" w:eastAsia="仿宋_GB2312" w:cs="Times New Roman"/>
          <w:b/>
          <w:bCs/>
          <w:color w:val="auto"/>
          <w:sz w:val="32"/>
          <w:szCs w:val="32"/>
        </w:rPr>
        <w:t>行政事业单位养老支出</w:t>
      </w:r>
      <w:r>
        <w:rPr>
          <w:rFonts w:hint="default" w:ascii="Times New Roman" w:hAnsi="Times New Roman" w:eastAsia="仿宋_GB2312" w:cs="Times New Roman"/>
          <w:b/>
          <w:bCs/>
          <w:color w:val="auto"/>
          <w:sz w:val="32"/>
          <w:szCs w:val="32"/>
          <w:lang w:val="zh-CN"/>
        </w:rPr>
        <w:t>（</w:t>
      </w:r>
      <w:r>
        <w:rPr>
          <w:rFonts w:hint="default" w:ascii="Times New Roman" w:hAnsi="Times New Roman" w:eastAsia="仿宋_GB2312" w:cs="Times New Roman"/>
          <w:b/>
          <w:bCs/>
          <w:color w:val="auto"/>
          <w:sz w:val="32"/>
          <w:szCs w:val="32"/>
          <w:lang w:val="en-US" w:eastAsia="zh-CN"/>
        </w:rPr>
        <w:t>05</w:t>
      </w:r>
      <w:r>
        <w:rPr>
          <w:rFonts w:hint="default" w:ascii="Times New Roman" w:hAnsi="Times New Roman" w:eastAsia="仿宋_GB2312" w:cs="Times New Roman"/>
          <w:b/>
          <w:bCs/>
          <w:color w:val="auto"/>
          <w:sz w:val="32"/>
          <w:szCs w:val="32"/>
          <w:lang w:val="zh-CN"/>
        </w:rPr>
        <w:t>款）机关事业单位职业年金经</w:t>
      </w:r>
      <w:r>
        <w:rPr>
          <w:rFonts w:hint="default" w:ascii="Times New Roman" w:hAnsi="Times New Roman" w:eastAsia="仿宋_GB2312" w:cs="Times New Roman"/>
          <w:b/>
          <w:bCs/>
          <w:color w:val="auto"/>
          <w:sz w:val="32"/>
          <w:szCs w:val="32"/>
          <w:lang w:val="en-US" w:eastAsia="zh-CN"/>
        </w:rPr>
        <w:t>缴</w:t>
      </w:r>
      <w:r>
        <w:rPr>
          <w:rFonts w:hint="default" w:ascii="Times New Roman" w:hAnsi="Times New Roman" w:eastAsia="仿宋_GB2312" w:cs="Times New Roman"/>
          <w:b/>
          <w:bCs/>
          <w:color w:val="auto"/>
          <w:sz w:val="32"/>
          <w:szCs w:val="32"/>
          <w:lang w:val="zh-CN"/>
        </w:rPr>
        <w:t>费支出（</w:t>
      </w:r>
      <w:r>
        <w:rPr>
          <w:rFonts w:hint="default" w:ascii="Times New Roman" w:hAnsi="Times New Roman" w:eastAsia="仿宋_GB2312" w:cs="Times New Roman"/>
          <w:b/>
          <w:bCs/>
          <w:color w:val="auto"/>
          <w:sz w:val="32"/>
          <w:szCs w:val="32"/>
          <w:lang w:val="en-US" w:eastAsia="zh-CN"/>
        </w:rPr>
        <w:t>06</w:t>
      </w:r>
      <w:r>
        <w:rPr>
          <w:rFonts w:hint="default" w:ascii="Times New Roman" w:hAnsi="Times New Roman" w:eastAsia="仿宋_GB2312" w:cs="Times New Roman"/>
          <w:b/>
          <w:bCs/>
          <w:color w:val="auto"/>
          <w:sz w:val="32"/>
          <w:szCs w:val="32"/>
          <w:lang w:val="zh-CN"/>
        </w:rPr>
        <w:t>项）：</w:t>
      </w:r>
      <w:r>
        <w:rPr>
          <w:rFonts w:hint="default" w:ascii="Times New Roman" w:hAnsi="Times New Roman" w:eastAsia="仿宋_GB2312" w:cs="Times New Roman"/>
          <w:color w:val="auto"/>
          <w:sz w:val="32"/>
          <w:szCs w:val="32"/>
          <w:lang w:val="zh-CN"/>
        </w:rPr>
        <w:t>反映</w:t>
      </w:r>
      <w:r>
        <w:rPr>
          <w:rFonts w:hint="default" w:ascii="Times New Roman" w:hAnsi="Times New Roman" w:eastAsia="仿宋_GB2312" w:cs="Times New Roman"/>
          <w:color w:val="auto"/>
          <w:sz w:val="32"/>
          <w:szCs w:val="32"/>
          <w:lang w:val="en-US" w:eastAsia="zh-CN"/>
        </w:rPr>
        <w:t>机关事业单位实施养老保险制度由单位实际缴纳的职业年金支出</w:t>
      </w:r>
      <w:r>
        <w:rPr>
          <w:rFonts w:hint="default" w:ascii="Times New Roman" w:hAnsi="Times New Roman" w:eastAsia="仿宋_GB2312" w:cs="Times New Roman"/>
          <w:color w:val="auto"/>
          <w:sz w:val="32"/>
          <w:szCs w:val="32"/>
          <w:lang w:val="zh-CN"/>
        </w:rPr>
        <w:t>。</w:t>
      </w:r>
    </w:p>
    <w:p>
      <w:pPr>
        <w:pStyle w:val="25"/>
        <w:spacing w:before="93" w:line="560" w:lineRule="exact"/>
        <w:ind w:firstLine="643" w:firstLineChars="200"/>
        <w:rPr>
          <w:rFonts w:hint="default" w:ascii="Times New Roman" w:hAnsi="Times New Roman" w:eastAsia="仿宋_GB2312" w:cs="Times New Roman"/>
          <w:color w:val="auto"/>
          <w:sz w:val="32"/>
          <w:szCs w:val="32"/>
          <w:lang w:val="zh-CN"/>
        </w:rPr>
      </w:pPr>
      <w:r>
        <w:rPr>
          <w:rFonts w:hint="default" w:ascii="Times New Roman" w:hAnsi="Times New Roman" w:eastAsia="仿宋_GB2312" w:cs="Times New Roman"/>
          <w:b/>
          <w:bCs/>
          <w:color w:val="auto"/>
          <w:sz w:val="32"/>
          <w:szCs w:val="32"/>
          <w:lang w:val="zh-CN"/>
        </w:rPr>
        <w:t>1</w:t>
      </w:r>
      <w:r>
        <w:rPr>
          <w:rFonts w:hint="default" w:ascii="Times New Roman" w:hAnsi="Times New Roman" w:eastAsia="仿宋_GB2312" w:cs="Times New Roman"/>
          <w:b/>
          <w:bCs/>
          <w:color w:val="auto"/>
          <w:sz w:val="32"/>
          <w:szCs w:val="32"/>
          <w:lang w:val="en-US" w:eastAsia="zh-CN"/>
        </w:rPr>
        <w:t>4</w:t>
      </w:r>
      <w:r>
        <w:rPr>
          <w:rFonts w:hint="default" w:ascii="Times New Roman" w:hAnsi="Times New Roman" w:eastAsia="仿宋_GB2312" w:cs="Times New Roman"/>
          <w:b/>
          <w:bCs/>
          <w:color w:val="auto"/>
          <w:sz w:val="32"/>
          <w:szCs w:val="32"/>
          <w:lang w:val="zh-CN"/>
        </w:rPr>
        <w:t>.卫生健康支出（</w:t>
      </w:r>
      <w:r>
        <w:rPr>
          <w:rFonts w:hint="default" w:ascii="Times New Roman" w:hAnsi="Times New Roman" w:eastAsia="仿宋_GB2312" w:cs="Times New Roman"/>
          <w:b/>
          <w:bCs/>
          <w:color w:val="auto"/>
          <w:sz w:val="32"/>
          <w:szCs w:val="32"/>
          <w:lang w:val="en-US" w:eastAsia="zh-CN"/>
        </w:rPr>
        <w:t>210</w:t>
      </w:r>
      <w:r>
        <w:rPr>
          <w:rFonts w:hint="default" w:ascii="Times New Roman" w:hAnsi="Times New Roman" w:eastAsia="仿宋_GB2312" w:cs="Times New Roman"/>
          <w:b/>
          <w:bCs/>
          <w:color w:val="auto"/>
          <w:sz w:val="32"/>
          <w:szCs w:val="32"/>
          <w:lang w:val="zh-CN"/>
        </w:rPr>
        <w:t>类）</w:t>
      </w:r>
      <w:r>
        <w:rPr>
          <w:rFonts w:hint="default" w:ascii="Times New Roman" w:hAnsi="Times New Roman" w:eastAsia="仿宋_GB2312" w:cs="Times New Roman"/>
          <w:b/>
          <w:bCs/>
          <w:color w:val="auto"/>
          <w:sz w:val="32"/>
          <w:szCs w:val="32"/>
        </w:rPr>
        <w:t>行政事业单位医疗</w:t>
      </w:r>
      <w:r>
        <w:rPr>
          <w:rFonts w:hint="default" w:ascii="Times New Roman" w:hAnsi="Times New Roman" w:eastAsia="仿宋_GB2312" w:cs="Times New Roman"/>
          <w:b/>
          <w:bCs/>
          <w:color w:val="auto"/>
          <w:sz w:val="32"/>
          <w:szCs w:val="32"/>
          <w:lang w:val="zh-CN"/>
        </w:rPr>
        <w:t>（</w:t>
      </w:r>
      <w:r>
        <w:rPr>
          <w:rFonts w:hint="default" w:ascii="Times New Roman" w:hAnsi="Times New Roman" w:eastAsia="仿宋_GB2312" w:cs="Times New Roman"/>
          <w:b/>
          <w:bCs/>
          <w:color w:val="auto"/>
          <w:sz w:val="32"/>
          <w:szCs w:val="32"/>
          <w:lang w:val="en-US" w:eastAsia="zh-CN"/>
        </w:rPr>
        <w:t>11</w:t>
      </w:r>
      <w:r>
        <w:rPr>
          <w:rFonts w:hint="default" w:ascii="Times New Roman" w:hAnsi="Times New Roman" w:eastAsia="仿宋_GB2312" w:cs="Times New Roman"/>
          <w:b/>
          <w:bCs/>
          <w:color w:val="auto"/>
          <w:sz w:val="32"/>
          <w:szCs w:val="32"/>
          <w:lang w:val="zh-CN"/>
        </w:rPr>
        <w:t>款）</w:t>
      </w:r>
      <w:r>
        <w:rPr>
          <w:rFonts w:hint="default" w:ascii="Times New Roman" w:hAnsi="Times New Roman" w:eastAsia="仿宋_GB2312" w:cs="Times New Roman"/>
          <w:b/>
          <w:bCs/>
          <w:color w:val="auto"/>
          <w:sz w:val="32"/>
          <w:szCs w:val="32"/>
        </w:rPr>
        <w:t>事业单位医疗</w:t>
      </w:r>
      <w:r>
        <w:rPr>
          <w:rFonts w:hint="default" w:ascii="Times New Roman" w:hAnsi="Times New Roman" w:eastAsia="仿宋_GB2312" w:cs="Times New Roman"/>
          <w:b/>
          <w:bCs/>
          <w:color w:val="auto"/>
          <w:sz w:val="32"/>
          <w:szCs w:val="32"/>
          <w:lang w:val="zh-CN"/>
        </w:rPr>
        <w:t>（</w:t>
      </w:r>
      <w:r>
        <w:rPr>
          <w:rFonts w:hint="default" w:ascii="Times New Roman" w:hAnsi="Times New Roman" w:eastAsia="仿宋_GB2312" w:cs="Times New Roman"/>
          <w:b/>
          <w:bCs/>
          <w:color w:val="auto"/>
          <w:sz w:val="32"/>
          <w:szCs w:val="32"/>
          <w:lang w:val="en-US" w:eastAsia="zh-CN"/>
        </w:rPr>
        <w:t>02</w:t>
      </w:r>
      <w:r>
        <w:rPr>
          <w:rFonts w:hint="default" w:ascii="Times New Roman" w:hAnsi="Times New Roman" w:eastAsia="仿宋_GB2312" w:cs="Times New Roman"/>
          <w:b/>
          <w:bCs/>
          <w:color w:val="auto"/>
          <w:sz w:val="32"/>
          <w:szCs w:val="32"/>
          <w:lang w:val="zh-CN"/>
        </w:rPr>
        <w:t>项）：</w:t>
      </w:r>
      <w:r>
        <w:rPr>
          <w:rFonts w:hint="default" w:ascii="Times New Roman" w:hAnsi="Times New Roman" w:eastAsia="仿宋_GB2312" w:cs="Times New Roman"/>
          <w:color w:val="auto"/>
          <w:sz w:val="32"/>
          <w:szCs w:val="32"/>
          <w:lang w:val="zh-CN"/>
        </w:rPr>
        <w:t>反映财政部门安排的事业单位基本医疗保险缴费经费，未参加医疗保险的事业单位的公费医疗经费，按国家规定享受离休人员待遇的医疗经费。</w:t>
      </w:r>
    </w:p>
    <w:p>
      <w:pPr>
        <w:pStyle w:val="25"/>
        <w:spacing w:before="93" w:line="560" w:lineRule="exact"/>
        <w:ind w:firstLine="643" w:firstLineChars="200"/>
        <w:rPr>
          <w:rFonts w:hint="default" w:ascii="Times New Roman" w:hAnsi="Times New Roman" w:eastAsia="仿宋_GB2312" w:cs="Times New Roman"/>
          <w:color w:val="auto"/>
          <w:sz w:val="32"/>
          <w:szCs w:val="32"/>
          <w:lang w:val="zh-CN"/>
        </w:rPr>
      </w:pPr>
      <w:r>
        <w:rPr>
          <w:rFonts w:hint="default" w:ascii="Times New Roman" w:hAnsi="Times New Roman" w:eastAsia="仿宋_GB2312" w:cs="Times New Roman"/>
          <w:b/>
          <w:bCs/>
          <w:color w:val="auto"/>
          <w:sz w:val="32"/>
          <w:szCs w:val="32"/>
          <w:lang w:val="zh-CN"/>
        </w:rPr>
        <w:t>1</w:t>
      </w:r>
      <w:r>
        <w:rPr>
          <w:rFonts w:hint="default" w:ascii="Times New Roman" w:hAnsi="Times New Roman" w:eastAsia="仿宋_GB2312" w:cs="Times New Roman"/>
          <w:b/>
          <w:bCs/>
          <w:color w:val="auto"/>
          <w:sz w:val="32"/>
          <w:szCs w:val="32"/>
          <w:lang w:val="en-US" w:eastAsia="zh-CN"/>
        </w:rPr>
        <w:t>5</w:t>
      </w:r>
      <w:r>
        <w:rPr>
          <w:rFonts w:hint="default" w:ascii="Times New Roman" w:hAnsi="Times New Roman" w:eastAsia="仿宋_GB2312" w:cs="Times New Roman"/>
          <w:b/>
          <w:bCs/>
          <w:color w:val="auto"/>
          <w:sz w:val="32"/>
          <w:szCs w:val="32"/>
          <w:lang w:val="zh-CN"/>
        </w:rPr>
        <w:t>.卫生健康支出（</w:t>
      </w:r>
      <w:r>
        <w:rPr>
          <w:rFonts w:hint="default" w:ascii="Times New Roman" w:hAnsi="Times New Roman" w:eastAsia="仿宋_GB2312" w:cs="Times New Roman"/>
          <w:b/>
          <w:bCs/>
          <w:color w:val="auto"/>
          <w:sz w:val="32"/>
          <w:szCs w:val="32"/>
          <w:lang w:val="en-US" w:eastAsia="zh-CN"/>
        </w:rPr>
        <w:t>210</w:t>
      </w:r>
      <w:r>
        <w:rPr>
          <w:rFonts w:hint="default" w:ascii="Times New Roman" w:hAnsi="Times New Roman" w:eastAsia="仿宋_GB2312" w:cs="Times New Roman"/>
          <w:b/>
          <w:bCs/>
          <w:color w:val="auto"/>
          <w:sz w:val="32"/>
          <w:szCs w:val="32"/>
          <w:lang w:val="zh-CN"/>
        </w:rPr>
        <w:t>类）</w:t>
      </w:r>
      <w:r>
        <w:rPr>
          <w:rFonts w:hint="default" w:ascii="Times New Roman" w:hAnsi="Times New Roman" w:eastAsia="仿宋_GB2312" w:cs="Times New Roman"/>
          <w:b/>
          <w:bCs/>
          <w:color w:val="auto"/>
          <w:sz w:val="32"/>
          <w:szCs w:val="32"/>
        </w:rPr>
        <w:t>行政事业单位医疗</w:t>
      </w:r>
      <w:r>
        <w:rPr>
          <w:rFonts w:hint="default" w:ascii="Times New Roman" w:hAnsi="Times New Roman" w:eastAsia="仿宋_GB2312" w:cs="Times New Roman"/>
          <w:b/>
          <w:bCs/>
          <w:color w:val="auto"/>
          <w:sz w:val="32"/>
          <w:szCs w:val="32"/>
          <w:lang w:val="zh-CN"/>
        </w:rPr>
        <w:t>（</w:t>
      </w:r>
      <w:r>
        <w:rPr>
          <w:rFonts w:hint="default" w:ascii="Times New Roman" w:hAnsi="Times New Roman" w:eastAsia="仿宋_GB2312" w:cs="Times New Roman"/>
          <w:b/>
          <w:bCs/>
          <w:color w:val="auto"/>
          <w:sz w:val="32"/>
          <w:szCs w:val="32"/>
          <w:lang w:val="en-US" w:eastAsia="zh-CN"/>
        </w:rPr>
        <w:t>11</w:t>
      </w:r>
      <w:r>
        <w:rPr>
          <w:rFonts w:hint="default" w:ascii="Times New Roman" w:hAnsi="Times New Roman" w:eastAsia="仿宋_GB2312" w:cs="Times New Roman"/>
          <w:b/>
          <w:bCs/>
          <w:color w:val="auto"/>
          <w:sz w:val="32"/>
          <w:szCs w:val="32"/>
          <w:lang w:val="zh-CN"/>
        </w:rPr>
        <w:t>款）其他行政事业单位医疗支出（</w:t>
      </w:r>
      <w:r>
        <w:rPr>
          <w:rFonts w:hint="default" w:ascii="Times New Roman" w:hAnsi="Times New Roman" w:eastAsia="仿宋_GB2312" w:cs="Times New Roman"/>
          <w:b/>
          <w:bCs/>
          <w:color w:val="auto"/>
          <w:sz w:val="32"/>
          <w:szCs w:val="32"/>
          <w:lang w:val="en-US" w:eastAsia="zh-CN"/>
        </w:rPr>
        <w:t>99</w:t>
      </w:r>
      <w:r>
        <w:rPr>
          <w:rFonts w:hint="default" w:ascii="Times New Roman" w:hAnsi="Times New Roman" w:eastAsia="仿宋_GB2312" w:cs="Times New Roman"/>
          <w:b/>
          <w:bCs/>
          <w:color w:val="auto"/>
          <w:sz w:val="32"/>
          <w:szCs w:val="32"/>
          <w:lang w:val="zh-CN"/>
        </w:rPr>
        <w:t>项）：</w:t>
      </w:r>
      <w:r>
        <w:rPr>
          <w:rFonts w:hint="default" w:ascii="Times New Roman" w:hAnsi="Times New Roman" w:eastAsia="仿宋_GB2312" w:cs="Times New Roman"/>
          <w:color w:val="auto"/>
          <w:sz w:val="32"/>
          <w:szCs w:val="32"/>
          <w:lang w:val="zh-CN"/>
        </w:rPr>
        <w:t>反映除上述项目以外的其他用于行政事业单位医疗方面的支出。</w:t>
      </w:r>
    </w:p>
    <w:p>
      <w:pPr>
        <w:pStyle w:val="25"/>
        <w:spacing w:line="560" w:lineRule="exact"/>
        <w:ind w:firstLine="643" w:firstLineChars="200"/>
        <w:jc w:val="both"/>
        <w:rPr>
          <w:rFonts w:hint="default" w:ascii="Times New Roman" w:hAnsi="Times New Roman" w:eastAsia="仿宋_GB2312" w:cs="Times New Roman"/>
          <w:color w:val="000000"/>
          <w:sz w:val="32"/>
          <w:szCs w:val="32"/>
          <w:lang w:val="zh-CN"/>
        </w:rPr>
      </w:pPr>
      <w:r>
        <w:rPr>
          <w:rFonts w:hint="default" w:ascii="Times New Roman" w:hAnsi="Times New Roman" w:eastAsia="仿宋_GB2312" w:cs="Times New Roman"/>
          <w:b/>
          <w:bCs/>
          <w:color w:val="auto"/>
          <w:sz w:val="32"/>
          <w:szCs w:val="32"/>
          <w:lang w:val="zh-CN"/>
        </w:rPr>
        <w:t>1</w:t>
      </w:r>
      <w:r>
        <w:rPr>
          <w:rFonts w:hint="default" w:ascii="Times New Roman" w:hAnsi="Times New Roman" w:eastAsia="仿宋_GB2312" w:cs="Times New Roman"/>
          <w:b/>
          <w:bCs/>
          <w:color w:val="auto"/>
          <w:sz w:val="32"/>
          <w:szCs w:val="32"/>
          <w:lang w:val="en-US" w:eastAsia="zh-CN"/>
        </w:rPr>
        <w:t>6</w:t>
      </w:r>
      <w:r>
        <w:rPr>
          <w:rFonts w:hint="default" w:ascii="Times New Roman" w:hAnsi="Times New Roman" w:eastAsia="仿宋_GB2312" w:cs="Times New Roman"/>
          <w:b/>
          <w:bCs/>
          <w:color w:val="auto"/>
          <w:sz w:val="32"/>
          <w:szCs w:val="32"/>
          <w:lang w:val="zh-CN"/>
        </w:rPr>
        <w:t>. 住房保障</w:t>
      </w:r>
      <w:r>
        <w:rPr>
          <w:rFonts w:hint="default" w:ascii="Times New Roman" w:hAnsi="Times New Roman" w:eastAsia="仿宋_GB2312" w:cs="Times New Roman"/>
          <w:b/>
          <w:bCs/>
          <w:color w:val="auto"/>
          <w:sz w:val="32"/>
          <w:szCs w:val="32"/>
          <w:lang w:val="en-US" w:eastAsia="zh-CN"/>
        </w:rPr>
        <w:t>支出</w:t>
      </w:r>
      <w:r>
        <w:rPr>
          <w:rFonts w:hint="default" w:ascii="Times New Roman" w:hAnsi="Times New Roman" w:eastAsia="仿宋_GB2312" w:cs="Times New Roman"/>
          <w:b/>
          <w:bCs/>
          <w:color w:val="auto"/>
          <w:sz w:val="32"/>
          <w:szCs w:val="32"/>
          <w:lang w:val="zh-CN"/>
        </w:rPr>
        <w:t>（</w:t>
      </w:r>
      <w:r>
        <w:rPr>
          <w:rFonts w:hint="default" w:ascii="Times New Roman" w:hAnsi="Times New Roman" w:eastAsia="仿宋_GB2312" w:cs="Times New Roman"/>
          <w:b/>
          <w:bCs/>
          <w:color w:val="auto"/>
          <w:sz w:val="32"/>
          <w:szCs w:val="32"/>
          <w:lang w:val="en-US" w:eastAsia="zh-CN"/>
        </w:rPr>
        <w:t>221</w:t>
      </w:r>
      <w:r>
        <w:rPr>
          <w:rFonts w:hint="default" w:ascii="Times New Roman" w:hAnsi="Times New Roman" w:eastAsia="仿宋_GB2312" w:cs="Times New Roman"/>
          <w:b/>
          <w:bCs/>
          <w:color w:val="auto"/>
          <w:sz w:val="32"/>
          <w:szCs w:val="32"/>
          <w:lang w:val="zh-CN"/>
        </w:rPr>
        <w:t>类）住房改革支出（</w:t>
      </w:r>
      <w:r>
        <w:rPr>
          <w:rFonts w:hint="default" w:ascii="Times New Roman" w:hAnsi="Times New Roman" w:eastAsia="仿宋_GB2312" w:cs="Times New Roman"/>
          <w:b/>
          <w:bCs/>
          <w:color w:val="auto"/>
          <w:sz w:val="32"/>
          <w:szCs w:val="32"/>
          <w:lang w:val="en-US" w:eastAsia="zh-CN"/>
        </w:rPr>
        <w:t>02</w:t>
      </w:r>
      <w:r>
        <w:rPr>
          <w:rFonts w:hint="default" w:ascii="Times New Roman" w:hAnsi="Times New Roman" w:eastAsia="仿宋_GB2312" w:cs="Times New Roman"/>
          <w:b/>
          <w:bCs/>
          <w:color w:val="auto"/>
          <w:sz w:val="32"/>
          <w:szCs w:val="32"/>
          <w:lang w:val="zh-CN"/>
        </w:rPr>
        <w:t>款）住房公积金（</w:t>
      </w:r>
      <w:r>
        <w:rPr>
          <w:rFonts w:hint="default" w:ascii="Times New Roman" w:hAnsi="Times New Roman" w:eastAsia="仿宋_GB2312" w:cs="Times New Roman"/>
          <w:b/>
          <w:bCs/>
          <w:color w:val="auto"/>
          <w:sz w:val="32"/>
          <w:szCs w:val="32"/>
          <w:lang w:val="en-US" w:eastAsia="zh-CN"/>
        </w:rPr>
        <w:t>01</w:t>
      </w:r>
      <w:r>
        <w:rPr>
          <w:rFonts w:hint="default" w:ascii="Times New Roman" w:hAnsi="Times New Roman" w:eastAsia="仿宋_GB2312" w:cs="Times New Roman"/>
          <w:b/>
          <w:bCs/>
          <w:color w:val="auto"/>
          <w:sz w:val="32"/>
          <w:szCs w:val="32"/>
          <w:lang w:val="zh-CN"/>
        </w:rPr>
        <w:t>项）：</w:t>
      </w:r>
      <w:r>
        <w:rPr>
          <w:rFonts w:hint="default" w:ascii="Times New Roman" w:hAnsi="Times New Roman" w:eastAsia="仿宋_GB2312" w:cs="Times New Roman"/>
          <w:color w:val="auto"/>
          <w:sz w:val="32"/>
          <w:szCs w:val="32"/>
          <w:lang w:val="zh-CN"/>
        </w:rPr>
        <w:t>反映</w:t>
      </w:r>
      <w:r>
        <w:rPr>
          <w:rFonts w:hint="default" w:ascii="Times New Roman" w:hAnsi="Times New Roman" w:eastAsia="仿宋_GB2312" w:cs="Times New Roman"/>
          <w:color w:val="auto"/>
          <w:sz w:val="32"/>
          <w:szCs w:val="32"/>
          <w:lang w:val="en-US" w:eastAsia="zh-CN"/>
        </w:rPr>
        <w:t>行政事业单位按人力资源和社会保障部财政部规定的基本工资和津贴补贴以及规定比例为职工缴纳的住房公积金。</w:t>
      </w:r>
    </w:p>
    <w:p>
      <w:pPr>
        <w:pStyle w:val="25"/>
        <w:spacing w:before="93" w:line="560" w:lineRule="exact"/>
        <w:ind w:firstLine="643" w:firstLineChars="200"/>
        <w:rPr>
          <w:rFonts w:hint="default" w:ascii="Times New Roman" w:hAnsi="Times New Roman" w:eastAsia="仿宋_GB2312" w:cs="Times New Roman"/>
          <w:color w:val="auto"/>
          <w:sz w:val="32"/>
          <w:szCs w:val="32"/>
          <w:lang w:val="zh-CN"/>
        </w:rPr>
      </w:pPr>
      <w:r>
        <w:rPr>
          <w:rFonts w:hint="default" w:ascii="Times New Roman" w:hAnsi="Times New Roman" w:eastAsia="仿宋_GB2312" w:cs="Times New Roman"/>
          <w:b/>
          <w:bCs/>
          <w:color w:val="auto"/>
          <w:sz w:val="32"/>
          <w:szCs w:val="32"/>
          <w:lang w:val="en-US" w:eastAsia="zh-CN"/>
        </w:rPr>
        <w:t>17</w:t>
      </w:r>
      <w:r>
        <w:rPr>
          <w:rFonts w:hint="default" w:ascii="Times New Roman" w:hAnsi="Times New Roman" w:eastAsia="仿宋_GB2312" w:cs="Times New Roman"/>
          <w:b/>
          <w:bCs/>
          <w:color w:val="auto"/>
          <w:sz w:val="32"/>
          <w:szCs w:val="32"/>
          <w:lang w:val="zh-CN"/>
        </w:rPr>
        <w:t>.基本支出：</w:t>
      </w:r>
      <w:r>
        <w:rPr>
          <w:rFonts w:hint="default" w:ascii="Times New Roman" w:hAnsi="Times New Roman" w:eastAsia="仿宋_GB2312" w:cs="Times New Roman"/>
          <w:color w:val="auto"/>
          <w:sz w:val="32"/>
          <w:szCs w:val="32"/>
          <w:lang w:val="zh-CN"/>
        </w:rPr>
        <w:t>指为保障机构正常运转、完成日常工作任务而发生的人员支出和公用支出。</w:t>
      </w:r>
    </w:p>
    <w:p>
      <w:pPr>
        <w:pStyle w:val="25"/>
        <w:spacing w:before="93" w:line="560" w:lineRule="exact"/>
        <w:ind w:firstLine="643" w:firstLineChars="200"/>
        <w:rPr>
          <w:rFonts w:hint="default" w:ascii="Times New Roman" w:hAnsi="Times New Roman" w:eastAsia="仿宋_GB2312" w:cs="Times New Roman"/>
          <w:color w:val="auto"/>
          <w:sz w:val="32"/>
          <w:szCs w:val="32"/>
          <w:lang w:val="zh-CN"/>
        </w:rPr>
      </w:pPr>
      <w:r>
        <w:rPr>
          <w:rFonts w:hint="default" w:ascii="Times New Roman" w:hAnsi="Times New Roman" w:eastAsia="仿宋_GB2312" w:cs="Times New Roman"/>
          <w:b/>
          <w:bCs/>
          <w:color w:val="auto"/>
          <w:sz w:val="32"/>
          <w:szCs w:val="32"/>
          <w:lang w:val="en-US" w:eastAsia="zh-CN"/>
        </w:rPr>
        <w:t>18</w:t>
      </w:r>
      <w:r>
        <w:rPr>
          <w:rFonts w:hint="default" w:ascii="Times New Roman" w:hAnsi="Times New Roman" w:eastAsia="仿宋_GB2312" w:cs="Times New Roman"/>
          <w:b/>
          <w:bCs/>
          <w:color w:val="auto"/>
          <w:sz w:val="32"/>
          <w:szCs w:val="32"/>
          <w:lang w:val="zh-CN"/>
        </w:rPr>
        <w:t>.项目支出：</w:t>
      </w:r>
      <w:r>
        <w:rPr>
          <w:rFonts w:hint="default" w:ascii="Times New Roman" w:hAnsi="Times New Roman" w:eastAsia="仿宋_GB2312" w:cs="Times New Roman"/>
          <w:color w:val="auto"/>
          <w:sz w:val="32"/>
          <w:szCs w:val="32"/>
          <w:lang w:val="zh-CN"/>
        </w:rPr>
        <w:t>指在基本支出之外为完成特定行政任务和事业发展目标所发生的支出。</w:t>
      </w:r>
    </w:p>
    <w:p>
      <w:pPr>
        <w:pStyle w:val="25"/>
        <w:spacing w:before="93" w:line="560" w:lineRule="exact"/>
        <w:ind w:firstLine="643"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lang w:val="en-US" w:eastAsia="zh-CN"/>
        </w:rPr>
        <w:t>19</w:t>
      </w:r>
      <w:r>
        <w:rPr>
          <w:rFonts w:hint="default" w:ascii="Times New Roman" w:hAnsi="Times New Roman" w:eastAsia="仿宋_GB2312" w:cs="Times New Roman"/>
          <w:b/>
          <w:bCs/>
          <w:color w:val="auto"/>
          <w:sz w:val="32"/>
          <w:szCs w:val="32"/>
          <w:lang w:val="zh-CN"/>
        </w:rPr>
        <w:t>.经营支出：</w:t>
      </w:r>
      <w:r>
        <w:rPr>
          <w:rFonts w:hint="default" w:ascii="Times New Roman" w:hAnsi="Times New Roman" w:eastAsia="仿宋_GB2312" w:cs="Times New Roman"/>
          <w:color w:val="auto"/>
          <w:sz w:val="32"/>
          <w:szCs w:val="32"/>
          <w:lang w:val="zh-CN"/>
        </w:rPr>
        <w:t>指事业单位在专业业务活动及其辅助活动之外开展非独立核算经营活动发生的支出。</w:t>
      </w:r>
    </w:p>
    <w:p>
      <w:pPr>
        <w:pStyle w:val="25"/>
        <w:spacing w:before="93" w:line="560" w:lineRule="exact"/>
        <w:ind w:firstLine="643"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lang w:val="en-US" w:eastAsia="zh-CN"/>
        </w:rPr>
        <w:t>20</w:t>
      </w:r>
      <w:r>
        <w:rPr>
          <w:rFonts w:hint="default" w:ascii="Times New Roman" w:hAnsi="Times New Roman" w:eastAsia="仿宋_GB2312" w:cs="Times New Roman"/>
          <w:b/>
          <w:bCs/>
          <w:color w:val="auto"/>
          <w:sz w:val="32"/>
          <w:szCs w:val="32"/>
        </w:rPr>
        <w:t>.“三公”经费：</w:t>
      </w:r>
      <w:r>
        <w:rPr>
          <w:rFonts w:hint="default" w:ascii="Times New Roman" w:hAnsi="Times New Roman" w:eastAsia="仿宋_GB2312" w:cs="Times New Roman"/>
          <w:color w:val="auto"/>
          <w:sz w:val="32"/>
          <w:szCs w:val="32"/>
        </w:rPr>
        <w:t>指单位用财政拨款安排的因公出国（境）费、公务用车购置及运行维护费和公务接待费。其中，因公出国（境）费反映单位公务出国（境）的国际旅费、国外城市间交通费、住宿费、伙食费、培训费、公杂费等支出；公务用车购置反映单位公务用车购置支出（含车辆购置税、牌照费）；公务用车运行维护费反映单位按规定保留的公务用车燃料费、维修费、过桥过路费、保险费、安全奖励费用等支出；公务接待费反映单位按规定开支的各类公务接待（含外宾接待）费用。</w:t>
      </w:r>
    </w:p>
    <w:p>
      <w:pPr>
        <w:pStyle w:val="25"/>
        <w:spacing w:before="93" w:line="560" w:lineRule="exact"/>
        <w:ind w:firstLine="643"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lang w:val="en-US" w:eastAsia="zh-CN"/>
        </w:rPr>
        <w:t>21</w:t>
      </w:r>
      <w:r>
        <w:rPr>
          <w:rFonts w:hint="default" w:ascii="Times New Roman" w:hAnsi="Times New Roman" w:eastAsia="仿宋_GB2312" w:cs="Times New Roman"/>
          <w:b/>
          <w:bCs/>
          <w:color w:val="auto"/>
          <w:sz w:val="32"/>
          <w:szCs w:val="32"/>
        </w:rPr>
        <w:t>. 机关运行经费：</w:t>
      </w:r>
      <w:r>
        <w:rPr>
          <w:rFonts w:hint="default" w:ascii="Times New Roman" w:hAnsi="Times New Roman" w:eastAsia="仿宋_GB2312" w:cs="Times New Roman"/>
          <w:color w:val="auto"/>
          <w:sz w:val="32"/>
          <w:szCs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25"/>
        <w:spacing w:before="93" w:line="560" w:lineRule="exact"/>
        <w:ind w:firstLine="640" w:firstLineChars="200"/>
        <w:rPr>
          <w:rFonts w:hint="default" w:ascii="Times New Roman" w:hAnsi="Times New Roman" w:eastAsia="仿宋_GB2312" w:cs="Times New Roman"/>
          <w:color w:val="auto"/>
          <w:sz w:val="32"/>
          <w:szCs w:val="32"/>
        </w:rPr>
      </w:pPr>
    </w:p>
    <w:p>
      <w:pPr>
        <w:spacing w:line="600" w:lineRule="exact"/>
        <w:jc w:val="center"/>
        <w:outlineLvl w:val="0"/>
        <w:rPr>
          <w:rFonts w:hint="default" w:ascii="Times New Roman" w:hAnsi="Times New Roman" w:eastAsia="黑体" w:cs="Times New Roman"/>
          <w:sz w:val="44"/>
          <w:szCs w:val="44"/>
        </w:rPr>
      </w:pPr>
    </w:p>
    <w:p>
      <w:pPr>
        <w:spacing w:line="600" w:lineRule="exact"/>
        <w:jc w:val="center"/>
        <w:outlineLvl w:val="0"/>
        <w:rPr>
          <w:rFonts w:hint="default" w:ascii="Times New Roman" w:hAnsi="Times New Roman" w:eastAsia="黑体" w:cs="Times New Roman"/>
          <w:sz w:val="44"/>
          <w:szCs w:val="44"/>
        </w:rPr>
      </w:pPr>
    </w:p>
    <w:p>
      <w:pPr>
        <w:spacing w:line="600" w:lineRule="exact"/>
        <w:jc w:val="center"/>
        <w:outlineLvl w:val="0"/>
        <w:rPr>
          <w:rFonts w:hint="default" w:ascii="Times New Roman" w:hAnsi="Times New Roman" w:eastAsia="黑体" w:cs="Times New Roman"/>
          <w:sz w:val="44"/>
          <w:szCs w:val="44"/>
        </w:rPr>
      </w:pPr>
    </w:p>
    <w:p>
      <w:pPr>
        <w:spacing w:line="600" w:lineRule="exact"/>
        <w:jc w:val="center"/>
        <w:outlineLvl w:val="0"/>
        <w:rPr>
          <w:rStyle w:val="27"/>
          <w:rFonts w:hint="default" w:ascii="Times New Roman" w:hAnsi="Times New Roman" w:eastAsia="黑体" w:cs="Times New Roman"/>
          <w:b w:val="0"/>
        </w:rPr>
      </w:pPr>
      <w:bookmarkStart w:id="87" w:name="_Toc6723_WPSOffice_Level1"/>
      <w:r>
        <w:rPr>
          <w:rFonts w:hint="default" w:ascii="Times New Roman" w:hAnsi="Times New Roman" w:eastAsia="黑体" w:cs="Times New Roman"/>
          <w:sz w:val="44"/>
          <w:szCs w:val="44"/>
        </w:rPr>
        <w:t>第</w:t>
      </w:r>
      <w:r>
        <w:rPr>
          <w:rStyle w:val="27"/>
          <w:rFonts w:hint="default" w:ascii="Times New Roman" w:hAnsi="Times New Roman" w:eastAsia="黑体" w:cs="Times New Roman"/>
          <w:b w:val="0"/>
        </w:rPr>
        <w:t>四部分 附件</w:t>
      </w:r>
      <w:bookmarkEnd w:id="85"/>
      <w:bookmarkEnd w:id="87"/>
    </w:p>
    <w:p>
      <w:pPr>
        <w:spacing w:line="572" w:lineRule="exact"/>
        <w:jc w:val="left"/>
        <w:outlineLvl w:val="0"/>
        <w:rPr>
          <w:rFonts w:hint="default" w:ascii="Times New Roman" w:hAnsi="Times New Roman" w:eastAsia="仿宋_GB2312" w:cs="Times New Roman"/>
          <w:sz w:val="32"/>
          <w:szCs w:val="32"/>
        </w:rPr>
      </w:pPr>
    </w:p>
    <w:p>
      <w:pPr>
        <w:spacing w:line="600" w:lineRule="exact"/>
        <w:jc w:val="center"/>
        <w:outlineLvl w:val="0"/>
        <w:rPr>
          <w:rFonts w:hint="eastAsia" w:ascii="仿宋_GB2312" w:hAnsi="仿宋_GB2312" w:eastAsia="仿宋_GB2312" w:cs="仿宋_GB2312"/>
          <w:color w:val="FF0000"/>
          <w:sz w:val="44"/>
          <w:szCs w:val="44"/>
          <w:lang w:val="en-US" w:eastAsia="zh-CN"/>
        </w:rPr>
      </w:pPr>
      <w:bookmarkStart w:id="88" w:name="_Toc25034_WPSOffice_Level2"/>
      <w:bookmarkStart w:id="89" w:name="_Toc3271_WPSOffice_Level2"/>
      <w:bookmarkStart w:id="90" w:name="_Toc15396618"/>
      <w:r>
        <w:rPr>
          <w:rFonts w:hint="eastAsia" w:ascii="仿宋_GB2312" w:hAnsi="仿宋_GB2312" w:eastAsia="仿宋_GB2312" w:cs="仿宋_GB2312"/>
          <w:sz w:val="32"/>
          <w:szCs w:val="32"/>
        </w:rPr>
        <w:t>部门预算项目支出绩效自评表（2023年度）</w:t>
      </w:r>
      <w:r>
        <w:rPr>
          <w:rFonts w:hint="eastAsia" w:ascii="仿宋_GB2312" w:hAnsi="仿宋_GB2312" w:eastAsia="仿宋_GB2312" w:cs="仿宋_GB2312"/>
          <w:sz w:val="32"/>
          <w:szCs w:val="32"/>
          <w:lang w:val="en-US" w:eastAsia="zh-CN"/>
        </w:rPr>
        <w:t>见附件。</w:t>
      </w:r>
      <w:bookmarkEnd w:id="88"/>
      <w:bookmarkEnd w:id="89"/>
    </w:p>
    <w:p>
      <w:pPr>
        <w:pStyle w:val="13"/>
        <w:spacing w:line="560" w:lineRule="exact"/>
        <w:ind w:left="0" w:leftChars="0" w:firstLine="640"/>
        <w:rPr>
          <w:rFonts w:hint="default" w:ascii="Times New Roman" w:hAnsi="Times New Roman" w:cs="Times New Roman"/>
          <w:sz w:val="32"/>
        </w:rPr>
      </w:pPr>
    </w:p>
    <w:p>
      <w:pPr>
        <w:pStyle w:val="5"/>
        <w:spacing w:before="93"/>
        <w:rPr>
          <w:rFonts w:hint="default" w:ascii="Times New Roman" w:hAnsi="Times New Roman" w:cs="Times New Roman"/>
          <w:sz w:val="32"/>
          <w:szCs w:val="32"/>
        </w:rPr>
      </w:pPr>
    </w:p>
    <w:p>
      <w:pPr>
        <w:pStyle w:val="5"/>
        <w:spacing w:before="93"/>
        <w:rPr>
          <w:rFonts w:hint="default" w:ascii="Times New Roman" w:hAnsi="Times New Roman" w:cs="Times New Roman"/>
          <w:sz w:val="32"/>
          <w:szCs w:val="32"/>
        </w:rPr>
      </w:pPr>
    </w:p>
    <w:p>
      <w:pPr>
        <w:pStyle w:val="5"/>
        <w:spacing w:before="93"/>
        <w:rPr>
          <w:rFonts w:hint="default" w:ascii="Times New Roman" w:hAnsi="Times New Roman" w:cs="Times New Roman"/>
          <w:sz w:val="32"/>
          <w:szCs w:val="32"/>
        </w:rPr>
      </w:pPr>
    </w:p>
    <w:p>
      <w:pPr>
        <w:pStyle w:val="5"/>
        <w:spacing w:before="93"/>
        <w:rPr>
          <w:rFonts w:hint="default" w:ascii="Times New Roman" w:hAnsi="Times New Roman" w:eastAsia="仿宋_GB2312" w:cs="Times New Roman"/>
          <w:b/>
          <w:bCs/>
          <w:color w:val="auto"/>
          <w:kern w:val="0"/>
          <w:sz w:val="32"/>
          <w:szCs w:val="32"/>
          <w:lang w:val="en-US" w:eastAsia="zh-CN" w:bidi="ar-SA"/>
        </w:rPr>
      </w:pPr>
    </w:p>
    <w:p>
      <w:pPr>
        <w:pStyle w:val="5"/>
        <w:spacing w:before="93"/>
        <w:rPr>
          <w:rFonts w:hint="default" w:ascii="Times New Roman" w:hAnsi="Times New Roman" w:cs="Times New Roman"/>
          <w:sz w:val="32"/>
          <w:szCs w:val="32"/>
        </w:rPr>
      </w:pPr>
    </w:p>
    <w:p>
      <w:pPr>
        <w:pStyle w:val="5"/>
        <w:spacing w:before="93"/>
        <w:rPr>
          <w:rFonts w:hint="default" w:ascii="Times New Roman" w:hAnsi="Times New Roman" w:cs="Times New Roman"/>
          <w:sz w:val="32"/>
          <w:szCs w:val="32"/>
        </w:rPr>
      </w:pPr>
    </w:p>
    <w:p>
      <w:pPr>
        <w:pStyle w:val="5"/>
        <w:spacing w:before="93"/>
        <w:rPr>
          <w:rFonts w:hint="default" w:ascii="Times New Roman" w:hAnsi="Times New Roman" w:cs="Times New Roman"/>
          <w:sz w:val="32"/>
          <w:szCs w:val="32"/>
        </w:rPr>
      </w:pPr>
    </w:p>
    <w:p>
      <w:pPr>
        <w:pStyle w:val="5"/>
        <w:spacing w:before="93"/>
        <w:rPr>
          <w:rFonts w:hint="default" w:ascii="Times New Roman" w:hAnsi="Times New Roman" w:cs="Times New Roman"/>
          <w:sz w:val="32"/>
          <w:szCs w:val="32"/>
        </w:rPr>
      </w:pPr>
    </w:p>
    <w:p>
      <w:pPr>
        <w:pStyle w:val="5"/>
        <w:spacing w:before="93"/>
        <w:rPr>
          <w:rFonts w:hint="default" w:ascii="Times New Roman" w:hAnsi="Times New Roman" w:cs="Times New Roman"/>
          <w:sz w:val="32"/>
          <w:szCs w:val="32"/>
        </w:rPr>
      </w:pPr>
    </w:p>
    <w:p>
      <w:pPr>
        <w:pStyle w:val="5"/>
        <w:spacing w:before="93"/>
        <w:rPr>
          <w:rFonts w:hint="default" w:ascii="Times New Roman" w:hAnsi="Times New Roman" w:cs="Times New Roman"/>
          <w:sz w:val="32"/>
          <w:szCs w:val="32"/>
        </w:rPr>
      </w:pPr>
    </w:p>
    <w:p>
      <w:pPr>
        <w:pStyle w:val="5"/>
        <w:spacing w:before="93"/>
        <w:rPr>
          <w:rFonts w:hint="default" w:ascii="Times New Roman" w:hAnsi="Times New Roman" w:cs="Times New Roman"/>
          <w:sz w:val="32"/>
          <w:szCs w:val="32"/>
        </w:rPr>
      </w:pPr>
    </w:p>
    <w:p>
      <w:pPr>
        <w:pStyle w:val="5"/>
        <w:spacing w:before="93"/>
        <w:rPr>
          <w:rFonts w:hint="default" w:ascii="Times New Roman" w:hAnsi="Times New Roman" w:cs="Times New Roman"/>
          <w:sz w:val="32"/>
          <w:szCs w:val="32"/>
        </w:rPr>
      </w:pPr>
    </w:p>
    <w:p>
      <w:pPr>
        <w:spacing w:line="600" w:lineRule="exact"/>
        <w:jc w:val="center"/>
        <w:outlineLvl w:val="0"/>
        <w:rPr>
          <w:rFonts w:hint="default" w:ascii="Times New Roman" w:hAnsi="Times New Roman" w:eastAsia="黑体" w:cs="Times New Roman"/>
          <w:sz w:val="44"/>
          <w:szCs w:val="44"/>
        </w:rPr>
      </w:pPr>
    </w:p>
    <w:p>
      <w:pPr>
        <w:spacing w:line="600" w:lineRule="exact"/>
        <w:jc w:val="center"/>
        <w:outlineLvl w:val="0"/>
        <w:rPr>
          <w:rFonts w:hint="default" w:ascii="Times New Roman" w:hAnsi="Times New Roman" w:eastAsia="黑体" w:cs="Times New Roman"/>
          <w:sz w:val="44"/>
          <w:szCs w:val="44"/>
        </w:rPr>
      </w:pPr>
    </w:p>
    <w:p>
      <w:pPr>
        <w:spacing w:line="600" w:lineRule="exact"/>
        <w:jc w:val="center"/>
        <w:outlineLvl w:val="0"/>
        <w:rPr>
          <w:rFonts w:hint="default" w:ascii="Times New Roman" w:hAnsi="Times New Roman" w:eastAsia="黑体" w:cs="Times New Roman"/>
          <w:sz w:val="44"/>
          <w:szCs w:val="44"/>
        </w:rPr>
      </w:pPr>
    </w:p>
    <w:p>
      <w:pPr>
        <w:spacing w:line="600" w:lineRule="exact"/>
        <w:jc w:val="center"/>
        <w:outlineLvl w:val="0"/>
        <w:rPr>
          <w:rFonts w:hint="default" w:ascii="Times New Roman" w:hAnsi="Times New Roman" w:eastAsia="黑体" w:cs="Times New Roman"/>
          <w:sz w:val="44"/>
          <w:szCs w:val="44"/>
        </w:rPr>
      </w:pPr>
    </w:p>
    <w:p>
      <w:pPr>
        <w:spacing w:line="600" w:lineRule="exact"/>
        <w:jc w:val="both"/>
        <w:outlineLvl w:val="0"/>
        <w:rPr>
          <w:rFonts w:hint="default" w:ascii="Times New Roman" w:hAnsi="Times New Roman" w:eastAsia="黑体" w:cs="Times New Roman"/>
          <w:sz w:val="44"/>
          <w:szCs w:val="44"/>
        </w:rPr>
      </w:pPr>
    </w:p>
    <w:p>
      <w:pPr>
        <w:spacing w:line="600" w:lineRule="exact"/>
        <w:jc w:val="center"/>
        <w:outlineLvl w:val="0"/>
        <w:rPr>
          <w:rFonts w:hint="default" w:ascii="Times New Roman" w:hAnsi="Times New Roman" w:eastAsia="黑体" w:cs="Times New Roman"/>
          <w:sz w:val="44"/>
          <w:szCs w:val="44"/>
        </w:rPr>
      </w:pPr>
    </w:p>
    <w:p>
      <w:pPr>
        <w:numPr>
          <w:ilvl w:val="0"/>
          <w:numId w:val="0"/>
        </w:numPr>
        <w:spacing w:line="600" w:lineRule="exact"/>
        <w:jc w:val="center"/>
        <w:outlineLvl w:val="0"/>
        <w:rPr>
          <w:rStyle w:val="27"/>
          <w:rFonts w:hint="default" w:ascii="Times New Roman" w:hAnsi="Times New Roman" w:eastAsia="黑体" w:cs="Times New Roman"/>
          <w:b w:val="0"/>
        </w:rPr>
      </w:pPr>
      <w:bookmarkStart w:id="91" w:name="_Toc23924_WPSOffice_Level1"/>
      <w:r>
        <w:rPr>
          <w:rStyle w:val="27"/>
          <w:rFonts w:hint="default" w:ascii="Times New Roman" w:hAnsi="Times New Roman" w:eastAsia="黑体" w:cs="Times New Roman"/>
          <w:b w:val="0"/>
          <w:lang w:val="en-US" w:eastAsia="zh-CN"/>
        </w:rPr>
        <w:t xml:space="preserve">第五部分 </w:t>
      </w:r>
      <w:r>
        <w:rPr>
          <w:rStyle w:val="27"/>
          <w:rFonts w:hint="default" w:ascii="Times New Roman" w:hAnsi="Times New Roman" w:eastAsia="黑体" w:cs="Times New Roman"/>
          <w:b w:val="0"/>
        </w:rPr>
        <w:t>附表</w:t>
      </w:r>
      <w:bookmarkEnd w:id="86"/>
      <w:bookmarkEnd w:id="90"/>
      <w:bookmarkEnd w:id="91"/>
      <w:bookmarkStart w:id="92" w:name="_Toc15396619"/>
    </w:p>
    <w:p>
      <w:pPr>
        <w:pStyle w:val="3"/>
        <w:numPr>
          <w:ilvl w:val="0"/>
          <w:numId w:val="0"/>
        </w:numPr>
        <w:ind w:leftChars="0"/>
        <w:rPr>
          <w:rFonts w:hint="eastAsia" w:ascii="仿宋_GB2312" w:hAnsi="仿宋_GB2312" w:eastAsia="仿宋_GB2312" w:cs="仿宋_GB2312"/>
          <w:b w:val="0"/>
          <w:lang w:val="en-US" w:eastAsia="zh-CN"/>
        </w:rPr>
      </w:pPr>
      <w:bookmarkStart w:id="93" w:name="_Toc29095_WPSOffice_Level2"/>
      <w:r>
        <w:rPr>
          <w:rFonts w:hint="eastAsia" w:ascii="仿宋_GB2312" w:hAnsi="仿宋_GB2312" w:eastAsia="仿宋_GB2312" w:cs="仿宋_GB2312"/>
          <w:b w:val="0"/>
          <w:lang w:val="en-US" w:eastAsia="zh-CN"/>
        </w:rPr>
        <w:t>一、收入支出决算总表</w:t>
      </w:r>
      <w:bookmarkEnd w:id="92"/>
      <w:bookmarkEnd w:id="93"/>
      <w:bookmarkStart w:id="94" w:name="_Toc15396620"/>
    </w:p>
    <w:p>
      <w:pPr>
        <w:pStyle w:val="3"/>
        <w:numPr>
          <w:ilvl w:val="0"/>
          <w:numId w:val="0"/>
        </w:numPr>
        <w:ind w:leftChars="0"/>
        <w:rPr>
          <w:rFonts w:hint="eastAsia" w:ascii="仿宋_GB2312" w:hAnsi="仿宋_GB2312" w:eastAsia="仿宋_GB2312" w:cs="仿宋_GB2312"/>
          <w:b w:val="0"/>
          <w:lang w:val="en-US" w:eastAsia="zh-CN"/>
        </w:rPr>
      </w:pPr>
      <w:bookmarkStart w:id="95" w:name="_Toc21347_WPSOffice_Level2"/>
      <w:r>
        <w:rPr>
          <w:rFonts w:hint="eastAsia" w:ascii="仿宋_GB2312" w:hAnsi="仿宋_GB2312" w:eastAsia="仿宋_GB2312" w:cs="仿宋_GB2312"/>
          <w:b w:val="0"/>
          <w:lang w:val="en-US" w:eastAsia="zh-CN"/>
        </w:rPr>
        <w:t>二、收入决算表</w:t>
      </w:r>
      <w:bookmarkEnd w:id="94"/>
      <w:bookmarkEnd w:id="95"/>
    </w:p>
    <w:p>
      <w:pPr>
        <w:pStyle w:val="3"/>
        <w:numPr>
          <w:ilvl w:val="0"/>
          <w:numId w:val="0"/>
        </w:numPr>
        <w:ind w:leftChars="0"/>
        <w:rPr>
          <w:rFonts w:hint="eastAsia" w:ascii="仿宋_GB2312" w:hAnsi="仿宋_GB2312" w:eastAsia="仿宋_GB2312" w:cs="仿宋_GB2312"/>
          <w:b w:val="0"/>
          <w:lang w:val="en-US" w:eastAsia="zh-CN"/>
        </w:rPr>
      </w:pPr>
      <w:bookmarkStart w:id="96" w:name="_Toc15396621"/>
      <w:bookmarkStart w:id="97" w:name="_Toc10979_WPSOffice_Level2"/>
      <w:r>
        <w:rPr>
          <w:rFonts w:hint="eastAsia" w:ascii="仿宋_GB2312" w:hAnsi="仿宋_GB2312" w:eastAsia="仿宋_GB2312" w:cs="仿宋_GB2312"/>
          <w:b w:val="0"/>
          <w:lang w:val="en-US" w:eastAsia="zh-CN"/>
        </w:rPr>
        <w:t>三、支出决算表</w:t>
      </w:r>
      <w:bookmarkEnd w:id="96"/>
      <w:bookmarkEnd w:id="97"/>
    </w:p>
    <w:p>
      <w:pPr>
        <w:pStyle w:val="3"/>
        <w:numPr>
          <w:ilvl w:val="0"/>
          <w:numId w:val="0"/>
        </w:numPr>
        <w:ind w:leftChars="0"/>
        <w:rPr>
          <w:rFonts w:hint="eastAsia" w:ascii="仿宋_GB2312" w:hAnsi="仿宋_GB2312" w:eastAsia="仿宋_GB2312" w:cs="仿宋_GB2312"/>
          <w:b w:val="0"/>
          <w:lang w:val="en-US" w:eastAsia="zh-CN"/>
        </w:rPr>
      </w:pPr>
      <w:bookmarkStart w:id="98" w:name="_Toc15396622"/>
      <w:bookmarkStart w:id="99" w:name="_Toc23612_WPSOffice_Level2"/>
      <w:r>
        <w:rPr>
          <w:rFonts w:hint="eastAsia" w:ascii="仿宋_GB2312" w:hAnsi="仿宋_GB2312" w:eastAsia="仿宋_GB2312" w:cs="仿宋_GB2312"/>
          <w:b w:val="0"/>
          <w:lang w:val="en-US" w:eastAsia="zh-CN"/>
        </w:rPr>
        <w:t>四、财政拨款收入支出决算总表</w:t>
      </w:r>
      <w:bookmarkEnd w:id="98"/>
      <w:bookmarkEnd w:id="99"/>
    </w:p>
    <w:p>
      <w:pPr>
        <w:pStyle w:val="3"/>
        <w:numPr>
          <w:ilvl w:val="0"/>
          <w:numId w:val="0"/>
        </w:numPr>
        <w:ind w:leftChars="0"/>
        <w:rPr>
          <w:rFonts w:hint="eastAsia" w:ascii="仿宋_GB2312" w:hAnsi="仿宋_GB2312" w:eastAsia="仿宋_GB2312" w:cs="仿宋_GB2312"/>
          <w:b w:val="0"/>
          <w:lang w:val="en-US" w:eastAsia="zh-CN"/>
        </w:rPr>
      </w:pPr>
      <w:bookmarkStart w:id="100" w:name="_Toc15396623"/>
      <w:bookmarkStart w:id="101" w:name="_Toc22233_WPSOffice_Level2"/>
      <w:r>
        <w:rPr>
          <w:rFonts w:hint="eastAsia" w:ascii="仿宋_GB2312" w:hAnsi="仿宋_GB2312" w:eastAsia="仿宋_GB2312" w:cs="仿宋_GB2312"/>
          <w:b w:val="0"/>
          <w:lang w:val="en-US" w:eastAsia="zh-CN"/>
        </w:rPr>
        <w:t>五、财政拨款支出决算明细表</w:t>
      </w:r>
      <w:bookmarkEnd w:id="100"/>
      <w:bookmarkEnd w:id="101"/>
      <w:bookmarkStart w:id="102" w:name="_Toc15396624"/>
    </w:p>
    <w:p>
      <w:pPr>
        <w:pStyle w:val="3"/>
        <w:numPr>
          <w:ilvl w:val="0"/>
          <w:numId w:val="0"/>
        </w:numPr>
        <w:ind w:leftChars="0"/>
        <w:rPr>
          <w:rFonts w:hint="eastAsia" w:ascii="仿宋_GB2312" w:hAnsi="仿宋_GB2312" w:eastAsia="仿宋_GB2312" w:cs="仿宋_GB2312"/>
          <w:b w:val="0"/>
          <w:lang w:val="en-US" w:eastAsia="zh-CN"/>
        </w:rPr>
      </w:pPr>
      <w:bookmarkStart w:id="103" w:name="_Toc22646_WPSOffice_Level2"/>
      <w:r>
        <w:rPr>
          <w:rFonts w:hint="eastAsia" w:ascii="仿宋_GB2312" w:hAnsi="仿宋_GB2312" w:eastAsia="仿宋_GB2312" w:cs="仿宋_GB2312"/>
          <w:b w:val="0"/>
          <w:lang w:val="en-US" w:eastAsia="zh-CN"/>
        </w:rPr>
        <w:t>六、一般公共预算财政拨款支出决算表</w:t>
      </w:r>
      <w:bookmarkEnd w:id="102"/>
      <w:bookmarkEnd w:id="103"/>
    </w:p>
    <w:p>
      <w:pPr>
        <w:pStyle w:val="3"/>
        <w:numPr>
          <w:ilvl w:val="0"/>
          <w:numId w:val="0"/>
        </w:numPr>
        <w:ind w:leftChars="0"/>
        <w:rPr>
          <w:rFonts w:hint="eastAsia" w:ascii="仿宋_GB2312" w:hAnsi="仿宋_GB2312" w:eastAsia="仿宋_GB2312" w:cs="仿宋_GB2312"/>
          <w:b w:val="0"/>
          <w:lang w:val="en-US" w:eastAsia="zh-CN"/>
        </w:rPr>
      </w:pPr>
      <w:bookmarkStart w:id="104" w:name="_Toc15396625"/>
      <w:bookmarkStart w:id="105" w:name="_Toc26349_WPSOffice_Level2"/>
      <w:r>
        <w:rPr>
          <w:rFonts w:hint="eastAsia" w:ascii="仿宋_GB2312" w:hAnsi="仿宋_GB2312" w:eastAsia="仿宋_GB2312" w:cs="仿宋_GB2312"/>
          <w:b w:val="0"/>
          <w:lang w:val="en-US" w:eastAsia="zh-CN"/>
        </w:rPr>
        <w:t>七、一般公共预算财政拨款支出决算明细表</w:t>
      </w:r>
      <w:bookmarkEnd w:id="104"/>
      <w:bookmarkEnd w:id="105"/>
    </w:p>
    <w:p>
      <w:pPr>
        <w:pStyle w:val="3"/>
        <w:numPr>
          <w:ilvl w:val="0"/>
          <w:numId w:val="0"/>
        </w:numPr>
        <w:ind w:leftChars="0"/>
        <w:rPr>
          <w:rFonts w:hint="eastAsia" w:ascii="仿宋_GB2312" w:hAnsi="仿宋_GB2312" w:eastAsia="仿宋_GB2312" w:cs="仿宋_GB2312"/>
          <w:b w:val="0"/>
          <w:lang w:val="en-US" w:eastAsia="zh-CN"/>
        </w:rPr>
      </w:pPr>
      <w:bookmarkStart w:id="106" w:name="_Toc15396626"/>
      <w:bookmarkStart w:id="107" w:name="_Toc2706_WPSOffice_Level2"/>
      <w:r>
        <w:rPr>
          <w:rFonts w:hint="eastAsia" w:ascii="仿宋_GB2312" w:hAnsi="仿宋_GB2312" w:eastAsia="仿宋_GB2312" w:cs="仿宋_GB2312"/>
          <w:b w:val="0"/>
          <w:lang w:val="en-US" w:eastAsia="zh-CN"/>
        </w:rPr>
        <w:t>八、一般公共预算财政拨款基本支出决算表</w:t>
      </w:r>
      <w:bookmarkEnd w:id="106"/>
      <w:bookmarkEnd w:id="107"/>
    </w:p>
    <w:p>
      <w:pPr>
        <w:pStyle w:val="3"/>
        <w:numPr>
          <w:ilvl w:val="0"/>
          <w:numId w:val="0"/>
        </w:numPr>
        <w:ind w:leftChars="0"/>
        <w:rPr>
          <w:rFonts w:hint="eastAsia" w:ascii="仿宋_GB2312" w:hAnsi="仿宋_GB2312" w:eastAsia="仿宋_GB2312" w:cs="仿宋_GB2312"/>
          <w:b w:val="0"/>
          <w:lang w:val="en-US" w:eastAsia="zh-CN"/>
        </w:rPr>
      </w:pPr>
      <w:bookmarkStart w:id="108" w:name="_Toc15396627"/>
      <w:bookmarkStart w:id="109" w:name="_Toc22460_WPSOffice_Level2"/>
      <w:r>
        <w:rPr>
          <w:rFonts w:hint="eastAsia" w:ascii="仿宋_GB2312" w:hAnsi="仿宋_GB2312" w:eastAsia="仿宋_GB2312" w:cs="仿宋_GB2312"/>
          <w:b w:val="0"/>
          <w:lang w:val="en-US" w:eastAsia="zh-CN"/>
        </w:rPr>
        <w:t>九、一般公共预算财政拨款项目支出决算表</w:t>
      </w:r>
      <w:bookmarkEnd w:id="108"/>
      <w:bookmarkEnd w:id="109"/>
    </w:p>
    <w:p>
      <w:pPr>
        <w:pStyle w:val="3"/>
        <w:numPr>
          <w:ilvl w:val="0"/>
          <w:numId w:val="0"/>
        </w:numPr>
        <w:ind w:leftChars="0"/>
        <w:rPr>
          <w:rFonts w:hint="eastAsia" w:ascii="仿宋_GB2312" w:hAnsi="仿宋_GB2312" w:eastAsia="仿宋_GB2312" w:cs="仿宋_GB2312"/>
          <w:b w:val="0"/>
          <w:lang w:val="en-US" w:eastAsia="zh-CN"/>
        </w:rPr>
      </w:pPr>
      <w:bookmarkStart w:id="110" w:name="_Toc6242_WPSOffice_Level2"/>
      <w:r>
        <w:rPr>
          <w:rFonts w:hint="eastAsia" w:ascii="仿宋_GB2312" w:hAnsi="仿宋_GB2312" w:eastAsia="仿宋_GB2312" w:cs="仿宋_GB2312"/>
          <w:b w:val="0"/>
          <w:lang w:val="en-US" w:eastAsia="zh-CN"/>
        </w:rPr>
        <w:t>十、政府性基金预算财政拨款收入支出决算表</w:t>
      </w:r>
      <w:bookmarkEnd w:id="110"/>
    </w:p>
    <w:p>
      <w:pPr>
        <w:pStyle w:val="3"/>
        <w:numPr>
          <w:ilvl w:val="0"/>
          <w:numId w:val="0"/>
        </w:numPr>
        <w:ind w:leftChars="0"/>
        <w:rPr>
          <w:rFonts w:hint="eastAsia" w:ascii="仿宋_GB2312" w:hAnsi="仿宋_GB2312" w:eastAsia="仿宋_GB2312" w:cs="仿宋_GB2312"/>
          <w:b w:val="0"/>
          <w:lang w:val="en-US" w:eastAsia="zh-CN"/>
        </w:rPr>
      </w:pPr>
      <w:bookmarkStart w:id="111" w:name="_Toc11444_WPSOffice_Level2"/>
      <w:r>
        <w:rPr>
          <w:rFonts w:hint="eastAsia" w:ascii="仿宋_GB2312" w:hAnsi="仿宋_GB2312" w:eastAsia="仿宋_GB2312" w:cs="仿宋_GB2312"/>
          <w:b w:val="0"/>
          <w:lang w:val="en-US" w:eastAsia="zh-CN"/>
        </w:rPr>
        <w:t>十一、国有资本经营预算财政拨款收入支出决算表</w:t>
      </w:r>
      <w:bookmarkEnd w:id="111"/>
    </w:p>
    <w:p>
      <w:pPr>
        <w:pStyle w:val="3"/>
        <w:numPr>
          <w:ilvl w:val="0"/>
          <w:numId w:val="0"/>
        </w:numPr>
        <w:ind w:leftChars="0"/>
        <w:rPr>
          <w:rFonts w:hint="eastAsia" w:ascii="仿宋_GB2312" w:hAnsi="仿宋_GB2312" w:eastAsia="仿宋_GB2312" w:cs="仿宋_GB2312"/>
          <w:b w:val="0"/>
          <w:lang w:val="en-US" w:eastAsia="zh-CN"/>
        </w:rPr>
      </w:pPr>
      <w:r>
        <w:rPr>
          <w:rFonts w:hint="eastAsia" w:ascii="仿宋_GB2312" w:hAnsi="仿宋_GB2312" w:eastAsia="仿宋_GB2312" w:cs="仿宋_GB2312"/>
          <w:b w:val="0"/>
          <w:lang w:val="en-US" w:eastAsia="zh-CN"/>
        </w:rPr>
        <w:t>十二国有资本经营预算财政拨款支出决算表</w:t>
      </w:r>
    </w:p>
    <w:p>
      <w:pPr>
        <w:pStyle w:val="3"/>
        <w:numPr>
          <w:ilvl w:val="0"/>
          <w:numId w:val="0"/>
        </w:numPr>
        <w:ind w:leftChars="0"/>
        <w:rPr>
          <w:rFonts w:hint="eastAsia" w:ascii="仿宋_GB2312" w:hAnsi="仿宋_GB2312" w:eastAsia="仿宋_GB2312" w:cs="仿宋_GB2312"/>
          <w:b w:val="0"/>
          <w:lang w:val="en-US" w:eastAsia="zh-CN"/>
        </w:rPr>
      </w:pPr>
      <w:bookmarkStart w:id="112" w:name="_Toc16608_WPSOffice_Level2"/>
      <w:r>
        <w:rPr>
          <w:rFonts w:hint="eastAsia" w:ascii="仿宋_GB2312" w:hAnsi="仿宋_GB2312" w:eastAsia="仿宋_GB2312" w:cs="仿宋_GB2312"/>
          <w:b w:val="0"/>
          <w:lang w:val="en-US" w:eastAsia="zh-CN"/>
        </w:rPr>
        <w:t>十三、财政拨款“三公”经费支出决算表</w:t>
      </w:r>
      <w:bookmarkEnd w:id="112"/>
    </w:p>
    <w:p>
      <w:pPr>
        <w:numPr>
          <w:ilvl w:val="0"/>
          <w:numId w:val="0"/>
        </w:numPr>
        <w:ind w:leftChars="0"/>
        <w:rPr>
          <w:rFonts w:hint="default" w:ascii="Times New Roman" w:hAnsi="Times New Roman" w:cs="Times New Roman"/>
        </w:rPr>
      </w:pPr>
    </w:p>
    <w:sectPr>
      <w:footerReference r:id="rId5" w:type="first"/>
      <w:headerReference r:id="rId3" w:type="default"/>
      <w:footerReference r:id="rId4" w:type="default"/>
      <w:pgSz w:w="11906" w:h="16838"/>
      <w:pgMar w:top="1440" w:right="1800" w:bottom="1440" w:left="1800" w:header="851" w:footer="992" w:gutter="0"/>
      <w:pgNumType w:fmt="decimal"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仿宋_GB2312">
    <w:altName w:val="仿宋"/>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76513"/>
                          </w:sdtPr>
                          <w:sdtContent>
                            <w:p>
                              <w:pPr>
                                <w:pStyle w:val="9"/>
                                <w:jc w:val="center"/>
                              </w:pPr>
                              <w:r>
                                <w:fldChar w:fldCharType="begin"/>
                              </w:r>
                              <w:r>
                                <w:instrText xml:space="preserve">PAGE   \* MERGEFORMAT</w:instrText>
                              </w:r>
                              <w:r>
                                <w:fldChar w:fldCharType="separate"/>
                              </w:r>
                              <w:r>
                                <w:rPr>
                                  <w:lang w:val="zh-CN"/>
                                </w:rPr>
                                <w:t>15</w:t>
                              </w:r>
                              <w: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sdt>
                    <w:sdtPr>
                      <w:id w:val="147476513"/>
                    </w:sdtPr>
                    <w:sdtContent>
                      <w:p>
                        <w:pPr>
                          <w:pStyle w:val="9"/>
                          <w:jc w:val="center"/>
                        </w:pPr>
                        <w:r>
                          <w:fldChar w:fldCharType="begin"/>
                        </w:r>
                        <w:r>
                          <w:instrText xml:space="preserve">PAGE   \* MERGEFORMAT</w:instrText>
                        </w:r>
                        <w:r>
                          <w:fldChar w:fldCharType="separate"/>
                        </w:r>
                        <w:r>
                          <w:rPr>
                            <w:lang w:val="zh-CN"/>
                          </w:rPr>
                          <w:t>15</w:t>
                        </w:r>
                        <w:r>
                          <w:fldChar w:fldCharType="end"/>
                        </w:r>
                      </w:p>
                    </w:sdtContent>
                  </w:sdt>
                  <w:p/>
                </w:txbxContent>
              </v:textbox>
            </v:shape>
          </w:pict>
        </mc:Fallback>
      </mc:AlternateContent>
    </w: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hint="eastAsia" w:eastAsia="宋体"/>
        <w:lang w:val="en-US" w:eastAsia="zh-CN"/>
      </w:rPr>
    </w:pPr>
    <w:r>
      <w:rPr>
        <w:rFonts w:hint="default"/>
        <w:sz w:val="18"/>
        <w:lang w:val="en-US"/>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18A09A"/>
    <w:multiLevelType w:val="singleLevel"/>
    <w:tmpl w:val="3818A09A"/>
    <w:lvl w:ilvl="0" w:tentative="0">
      <w:start w:val="1"/>
      <w:numFmt w:val="chineseCounting"/>
      <w:suff w:val="nothing"/>
      <w:lvlText w:val="%1、"/>
      <w:lvlJc w:val="left"/>
      <w:pPr>
        <w:ind w:left="21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QwNTgyZDlkY2UwYzQ1OWE5MGE2ZDcyNmFkNGZiMGE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A1DAD"/>
    <w:rsid w:val="001C0962"/>
    <w:rsid w:val="001D7531"/>
    <w:rsid w:val="001E737D"/>
    <w:rsid w:val="001F0592"/>
    <w:rsid w:val="001F7506"/>
    <w:rsid w:val="002006CD"/>
    <w:rsid w:val="00202B36"/>
    <w:rsid w:val="00204B7A"/>
    <w:rsid w:val="00204CDE"/>
    <w:rsid w:val="00206907"/>
    <w:rsid w:val="0021101A"/>
    <w:rsid w:val="00212B4A"/>
    <w:rsid w:val="00220536"/>
    <w:rsid w:val="00235629"/>
    <w:rsid w:val="00260C38"/>
    <w:rsid w:val="002616C0"/>
    <w:rsid w:val="00265372"/>
    <w:rsid w:val="002662AA"/>
    <w:rsid w:val="00280496"/>
    <w:rsid w:val="00294DC9"/>
    <w:rsid w:val="00295495"/>
    <w:rsid w:val="002A31DE"/>
    <w:rsid w:val="002B2613"/>
    <w:rsid w:val="002C5004"/>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25C50"/>
    <w:rsid w:val="0043177C"/>
    <w:rsid w:val="00434489"/>
    <w:rsid w:val="00437085"/>
    <w:rsid w:val="00443880"/>
    <w:rsid w:val="004464F4"/>
    <w:rsid w:val="0046049C"/>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533CF"/>
    <w:rsid w:val="005664BB"/>
    <w:rsid w:val="00566FFA"/>
    <w:rsid w:val="0057481D"/>
    <w:rsid w:val="0058486E"/>
    <w:rsid w:val="00585B33"/>
    <w:rsid w:val="0059014D"/>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5FC5"/>
    <w:rsid w:val="0066343B"/>
    <w:rsid w:val="00664777"/>
    <w:rsid w:val="006748A4"/>
    <w:rsid w:val="00681A31"/>
    <w:rsid w:val="00683E73"/>
    <w:rsid w:val="006A3141"/>
    <w:rsid w:val="006A5E34"/>
    <w:rsid w:val="006B2422"/>
    <w:rsid w:val="006B2B9A"/>
    <w:rsid w:val="006C1937"/>
    <w:rsid w:val="006F020C"/>
    <w:rsid w:val="0071021A"/>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10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C7FD8"/>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C70D3D"/>
    <w:rsid w:val="03DC2831"/>
    <w:rsid w:val="081B5E94"/>
    <w:rsid w:val="0A2032A3"/>
    <w:rsid w:val="0B8A37D8"/>
    <w:rsid w:val="0CB645B2"/>
    <w:rsid w:val="0F5FFB2F"/>
    <w:rsid w:val="0FFFCF60"/>
    <w:rsid w:val="10C055FF"/>
    <w:rsid w:val="118107EC"/>
    <w:rsid w:val="11DD6519"/>
    <w:rsid w:val="16BB723D"/>
    <w:rsid w:val="18015F3F"/>
    <w:rsid w:val="1BE8440E"/>
    <w:rsid w:val="1D155CEE"/>
    <w:rsid w:val="1FDBBF84"/>
    <w:rsid w:val="20F57F95"/>
    <w:rsid w:val="240371BF"/>
    <w:rsid w:val="25711CC6"/>
    <w:rsid w:val="25C741E6"/>
    <w:rsid w:val="276F80C0"/>
    <w:rsid w:val="27842671"/>
    <w:rsid w:val="29FD04D3"/>
    <w:rsid w:val="2ABE7A3E"/>
    <w:rsid w:val="2AFF09B6"/>
    <w:rsid w:val="2CA234A8"/>
    <w:rsid w:val="2EF9480E"/>
    <w:rsid w:val="2EFA178C"/>
    <w:rsid w:val="2EFDF86C"/>
    <w:rsid w:val="2F9D17E1"/>
    <w:rsid w:val="30B46D73"/>
    <w:rsid w:val="319F7F4E"/>
    <w:rsid w:val="356A28F1"/>
    <w:rsid w:val="357C035A"/>
    <w:rsid w:val="368E000D"/>
    <w:rsid w:val="383D272C"/>
    <w:rsid w:val="38537053"/>
    <w:rsid w:val="389E737B"/>
    <w:rsid w:val="39AE70AB"/>
    <w:rsid w:val="3A4DCE41"/>
    <w:rsid w:val="3BCB56FA"/>
    <w:rsid w:val="3C0C0783"/>
    <w:rsid w:val="3DF339B2"/>
    <w:rsid w:val="3EE7C2F4"/>
    <w:rsid w:val="3F371B56"/>
    <w:rsid w:val="3F792ED8"/>
    <w:rsid w:val="3F9F3A96"/>
    <w:rsid w:val="3FECA4B2"/>
    <w:rsid w:val="3FF58C48"/>
    <w:rsid w:val="42FF6694"/>
    <w:rsid w:val="47D22422"/>
    <w:rsid w:val="48BF60AB"/>
    <w:rsid w:val="493C27E9"/>
    <w:rsid w:val="496F39ED"/>
    <w:rsid w:val="49FF41D3"/>
    <w:rsid w:val="4BE068DB"/>
    <w:rsid w:val="4BF6002B"/>
    <w:rsid w:val="4BFFC6BE"/>
    <w:rsid w:val="4C4C357C"/>
    <w:rsid w:val="4D8F7F91"/>
    <w:rsid w:val="4ECE2238"/>
    <w:rsid w:val="4EEF00AA"/>
    <w:rsid w:val="51DB4B86"/>
    <w:rsid w:val="51F64DB0"/>
    <w:rsid w:val="55333C3E"/>
    <w:rsid w:val="562508F5"/>
    <w:rsid w:val="565205A6"/>
    <w:rsid w:val="5AB8136E"/>
    <w:rsid w:val="5F67802D"/>
    <w:rsid w:val="5F7DC4F2"/>
    <w:rsid w:val="5FB36814"/>
    <w:rsid w:val="5FBB8E56"/>
    <w:rsid w:val="5FFB5535"/>
    <w:rsid w:val="600B089C"/>
    <w:rsid w:val="60F8169A"/>
    <w:rsid w:val="64CA39A1"/>
    <w:rsid w:val="69630ADE"/>
    <w:rsid w:val="69BD5F13"/>
    <w:rsid w:val="69FB0B4B"/>
    <w:rsid w:val="6BFFE1FB"/>
    <w:rsid w:val="6C4A05C8"/>
    <w:rsid w:val="6D3B1A89"/>
    <w:rsid w:val="6DB7D8A3"/>
    <w:rsid w:val="6EC78701"/>
    <w:rsid w:val="6F7A5481"/>
    <w:rsid w:val="6FFE07A9"/>
    <w:rsid w:val="71BF4EC2"/>
    <w:rsid w:val="72734D90"/>
    <w:rsid w:val="73E75B71"/>
    <w:rsid w:val="7412278C"/>
    <w:rsid w:val="75DDCDA9"/>
    <w:rsid w:val="75FF44B1"/>
    <w:rsid w:val="76103311"/>
    <w:rsid w:val="77670518"/>
    <w:rsid w:val="777FA627"/>
    <w:rsid w:val="77DF1B5F"/>
    <w:rsid w:val="77EF2D9D"/>
    <w:rsid w:val="79E7B28D"/>
    <w:rsid w:val="7ACFF0C2"/>
    <w:rsid w:val="7AFB9108"/>
    <w:rsid w:val="7BD5340C"/>
    <w:rsid w:val="7BFB19D2"/>
    <w:rsid w:val="7BFD1750"/>
    <w:rsid w:val="7BFDAA1B"/>
    <w:rsid w:val="7CDF9A82"/>
    <w:rsid w:val="7CFFA1BD"/>
    <w:rsid w:val="7D2E3F7A"/>
    <w:rsid w:val="7DED9490"/>
    <w:rsid w:val="7DFF4872"/>
    <w:rsid w:val="7E4B03BB"/>
    <w:rsid w:val="7E67402B"/>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uiPriority w:val="1"/>
  </w:style>
  <w:style w:type="table" w:default="1" w:styleId="14">
    <w:name w:val="Normal Table"/>
    <w:semiHidden/>
    <w:unhideWhenUsed/>
    <w:qFormat/>
    <w:uiPriority w:val="99"/>
    <w:tblPr>
      <w:tblLayout w:type="fixed"/>
      <w:tblCellMar>
        <w:top w:w="0" w:type="dxa"/>
        <w:left w:w="108" w:type="dxa"/>
        <w:bottom w:w="0" w:type="dxa"/>
        <w:right w:w="108" w:type="dxa"/>
      </w:tblCellMar>
    </w:tblPr>
  </w:style>
  <w:style w:type="paragraph" w:styleId="5">
    <w:name w:val="Body Text"/>
    <w:basedOn w:val="1"/>
    <w:link w:val="24"/>
    <w:qFormat/>
    <w:uiPriority w:val="99"/>
    <w:pPr>
      <w:spacing w:beforeLines="30"/>
    </w:pPr>
    <w:rPr>
      <w:rFonts w:ascii="仿宋_GB2312" w:eastAsia="仿宋_GB2312"/>
      <w:kern w:val="0"/>
      <w:sz w:val="30"/>
    </w:rPr>
  </w:style>
  <w:style w:type="paragraph" w:styleId="6">
    <w:name w:val="Body Text Indent"/>
    <w:basedOn w:val="1"/>
    <w:qFormat/>
    <w:uiPriority w:val="0"/>
    <w:pPr>
      <w:spacing w:after="120"/>
      <w:ind w:left="200" w:leftChars="200"/>
    </w:pPr>
    <w:rPr>
      <w:rFonts w:ascii="仿宋_GB2312"/>
      <w:szCs w:val="32"/>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30"/>
    <w:semiHidden/>
    <w:unhideWhenUsed/>
    <w:qFormat/>
    <w:uiPriority w:val="99"/>
    <w:rPr>
      <w:sz w:val="18"/>
      <w:szCs w:val="18"/>
    </w:rPr>
  </w:style>
  <w:style w:type="paragraph" w:styleId="9">
    <w:name w:val="footer"/>
    <w:basedOn w:val="1"/>
    <w:link w:val="22"/>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Body Text First Indent 2"/>
    <w:basedOn w:val="6"/>
    <w:unhideWhenUsed/>
    <w:qFormat/>
    <w:uiPriority w:val="99"/>
    <w:pPr>
      <w:ind w:firstLine="420" w:firstLineChars="200"/>
    </w:pPr>
  </w:style>
  <w:style w:type="character" w:styleId="16">
    <w:name w:val="Strong"/>
    <w:basedOn w:val="15"/>
    <w:qFormat/>
    <w:uiPriority w:val="99"/>
    <w:rPr>
      <w:b/>
    </w:rPr>
  </w:style>
  <w:style w:type="character" w:styleId="17">
    <w:name w:val="Hyperlink"/>
    <w:basedOn w:val="15"/>
    <w:unhideWhenUsed/>
    <w:qFormat/>
    <w:uiPriority w:val="99"/>
    <w:rPr>
      <w:color w:val="0000FF" w:themeColor="hyperlink"/>
      <w:u w:val="single"/>
      <w14:textFill>
        <w14:solidFill>
          <w14:schemeClr w14:val="hlink"/>
        </w14:solidFill>
      </w14:textFill>
    </w:rPr>
  </w:style>
  <w:style w:type="paragraph" w:customStyle="1" w:styleId="18">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19">
    <w:name w:val="Header Char"/>
    <w:basedOn w:val="15"/>
    <w:semiHidden/>
    <w:qFormat/>
    <w:uiPriority w:val="99"/>
    <w:rPr>
      <w:rFonts w:ascii="Times New Roman" w:hAnsi="Times New Roman"/>
      <w:sz w:val="18"/>
      <w:szCs w:val="18"/>
    </w:rPr>
  </w:style>
  <w:style w:type="character" w:customStyle="1" w:styleId="20">
    <w:name w:val="页眉 字符"/>
    <w:link w:val="10"/>
    <w:semiHidden/>
    <w:qFormat/>
    <w:locked/>
    <w:uiPriority w:val="99"/>
    <w:rPr>
      <w:sz w:val="18"/>
    </w:rPr>
  </w:style>
  <w:style w:type="character" w:customStyle="1" w:styleId="21">
    <w:name w:val="Footer Char"/>
    <w:basedOn w:val="15"/>
    <w:semiHidden/>
    <w:qFormat/>
    <w:uiPriority w:val="99"/>
    <w:rPr>
      <w:rFonts w:ascii="Times New Roman" w:hAnsi="Times New Roman"/>
      <w:sz w:val="18"/>
      <w:szCs w:val="18"/>
    </w:rPr>
  </w:style>
  <w:style w:type="character" w:customStyle="1" w:styleId="22">
    <w:name w:val="页脚 字符"/>
    <w:link w:val="9"/>
    <w:qFormat/>
    <w:locked/>
    <w:uiPriority w:val="99"/>
    <w:rPr>
      <w:sz w:val="18"/>
    </w:rPr>
  </w:style>
  <w:style w:type="character" w:customStyle="1" w:styleId="23">
    <w:name w:val="Body Text Char"/>
    <w:basedOn w:val="15"/>
    <w:semiHidden/>
    <w:qFormat/>
    <w:uiPriority w:val="99"/>
    <w:rPr>
      <w:rFonts w:ascii="Times New Roman" w:hAnsi="Times New Roman"/>
      <w:szCs w:val="24"/>
    </w:rPr>
  </w:style>
  <w:style w:type="character" w:customStyle="1" w:styleId="24">
    <w:name w:val="正文文本 字符"/>
    <w:link w:val="5"/>
    <w:qFormat/>
    <w:locked/>
    <w:uiPriority w:val="99"/>
    <w:rPr>
      <w:rFonts w:ascii="仿宋_GB2312" w:hAnsi="Times New Roman" w:eastAsia="仿宋_GB2312"/>
      <w:sz w:val="24"/>
    </w:rPr>
  </w:style>
  <w:style w:type="paragraph" w:customStyle="1" w:styleId="25">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6">
    <w:name w:val="List Paragraph"/>
    <w:basedOn w:val="1"/>
    <w:qFormat/>
    <w:uiPriority w:val="34"/>
    <w:pPr>
      <w:ind w:firstLine="420" w:firstLineChars="200"/>
    </w:pPr>
  </w:style>
  <w:style w:type="character" w:customStyle="1" w:styleId="27">
    <w:name w:val="标题 1 字符"/>
    <w:basedOn w:val="15"/>
    <w:link w:val="2"/>
    <w:qFormat/>
    <w:uiPriority w:val="9"/>
    <w:rPr>
      <w:rFonts w:ascii="Times New Roman" w:hAnsi="Times New Roman"/>
      <w:b/>
      <w:bCs/>
      <w:kern w:val="44"/>
      <w:sz w:val="44"/>
      <w:szCs w:val="44"/>
    </w:rPr>
  </w:style>
  <w:style w:type="character" w:customStyle="1" w:styleId="28">
    <w:name w:val="标题 2 字符"/>
    <w:basedOn w:val="15"/>
    <w:link w:val="3"/>
    <w:qFormat/>
    <w:uiPriority w:val="9"/>
    <w:rPr>
      <w:rFonts w:asciiTheme="majorHAnsi" w:hAnsiTheme="majorHAnsi" w:eastAsiaTheme="majorEastAsia" w:cstheme="majorBidi"/>
      <w:b/>
      <w:bCs/>
      <w:kern w:val="2"/>
      <w:sz w:val="32"/>
      <w:szCs w:val="32"/>
    </w:rPr>
  </w:style>
  <w:style w:type="paragraph" w:customStyle="1" w:styleId="29">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0">
    <w:name w:val="批注框文本 字符"/>
    <w:basedOn w:val="15"/>
    <w:link w:val="8"/>
    <w:semiHidden/>
    <w:qFormat/>
    <w:uiPriority w:val="99"/>
    <w:rPr>
      <w:rFonts w:ascii="Times New Roman" w:hAnsi="Times New Roman"/>
      <w:kern w:val="2"/>
      <w:sz w:val="18"/>
      <w:szCs w:val="18"/>
    </w:rPr>
  </w:style>
  <w:style w:type="character" w:customStyle="1" w:styleId="31">
    <w:name w:val="标题 3 字符"/>
    <w:basedOn w:val="15"/>
    <w:link w:val="4"/>
    <w:qFormat/>
    <w:uiPriority w:val="9"/>
    <w:rPr>
      <w:rFonts w:ascii="Times New Roman" w:hAnsi="Times New Roman"/>
      <w:b/>
      <w:bCs/>
      <w:kern w:val="2"/>
      <w:sz w:val="32"/>
      <w:szCs w:val="32"/>
    </w:rPr>
  </w:style>
  <w:style w:type="paragraph" w:customStyle="1" w:styleId="32">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3">
    <w:name w:val="font71"/>
    <w:qFormat/>
    <w:uiPriority w:val="0"/>
    <w:rPr>
      <w:rFonts w:hint="default" w:ascii="Times New Roman" w:hAnsi="Times New Roman" w:eastAsia="楷体_GB2312" w:cs="Times New Roman"/>
      <w:sz w:val="28"/>
      <w:szCs w:val="24"/>
      <w:lang w:eastAsia="en-US"/>
    </w:rPr>
  </w:style>
  <w:style w:type="paragraph" w:customStyle="1" w:styleId="34">
    <w:name w:val="WPSOffice手动目录 1"/>
    <w:uiPriority w:val="0"/>
    <w:pPr>
      <w:ind w:leftChars="0"/>
    </w:pPr>
    <w:rPr>
      <w:rFonts w:asciiTheme="minorHAnsi" w:hAnsiTheme="minorHAnsi" w:eastAsiaTheme="minorEastAsia" w:cstheme="minorBidi"/>
      <w:sz w:val="20"/>
      <w:szCs w:val="20"/>
    </w:rPr>
  </w:style>
  <w:style w:type="paragraph" w:customStyle="1" w:styleId="35">
    <w:name w:val="WPSOffice手动目录 2"/>
    <w:uiPriority w:val="0"/>
    <w:pPr>
      <w:ind w:leftChars="20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chart" Target="charts/chart3.xml"/><Relationship Id="rId8" Type="http://schemas.openxmlformats.org/officeDocument/2006/relationships/chart" Target="charts/chart2.xml"/><Relationship Id="rId7" Type="http://schemas.openxmlformats.org/officeDocument/2006/relationships/chart" Target="charts/chart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glossaryDocument" Target="glossary/document.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chart" Target="charts/chart7.xml"/><Relationship Id="rId12" Type="http://schemas.openxmlformats.org/officeDocument/2006/relationships/chart" Target="charts/chart6.xml"/><Relationship Id="rId11" Type="http://schemas.openxmlformats.org/officeDocument/2006/relationships/chart" Target="charts/chart5.xml"/><Relationship Id="rId10" Type="http://schemas.openxmlformats.org/officeDocument/2006/relationships/chart" Target="charts/chart4.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Administrator\Desktop\&#24037;&#20316;&#31807;1.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Administrator\Desktop\&#24037;&#20316;&#31807;1.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Administrator\Desktop\&#24037;&#20316;&#31807;1.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C:\Users\Administrator\Desktop\&#24037;&#20316;&#31807;1.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istrator\Desktop\&#24037;&#20316;&#31807;1.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istrator\Desktop\&#24037;&#20316;&#31807;1.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Administrator\Desktop\&#24037;&#20316;&#31807;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收、支总计决算变动表（万元）</a:t>
            </a:r>
          </a:p>
        </c:rich>
      </c:tx>
      <c:layout/>
      <c:overlay val="0"/>
      <c:spPr>
        <a:noFill/>
        <a:ln>
          <a:noFill/>
        </a:ln>
        <a:effectLst/>
      </c:spPr>
    </c:title>
    <c:autoTitleDeleted val="0"/>
    <c:plotArea>
      <c:layout/>
      <c:barChart>
        <c:barDir val="col"/>
        <c:grouping val="clustered"/>
        <c:varyColors val="0"/>
        <c:ser>
          <c:idx val="0"/>
          <c:order val="0"/>
          <c:tx>
            <c:strRef>
              <c:f>[工作簿1.xlsx]Sheet1!$C$1:$C$2</c:f>
              <c:strCache>
                <c:ptCount val="1"/>
                <c:pt idx="0">
                  <c:v>2022年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[工作簿1.xlsx]Sheet1!$B$3:$B$4</c:f>
              <c:strCache>
                <c:ptCount val="2"/>
                <c:pt idx="0">
                  <c:v>收入</c:v>
                </c:pt>
                <c:pt idx="1">
                  <c:v>支出</c:v>
                </c:pt>
              </c:strCache>
            </c:strRef>
          </c:cat>
          <c:val>
            <c:numRef>
              <c:f>[工作簿1.xlsx]Sheet1!$C$3:$C$4</c:f>
              <c:numCache>
                <c:formatCode>General</c:formatCode>
                <c:ptCount val="2"/>
                <c:pt idx="0">
                  <c:v>2294.69</c:v>
                </c:pt>
                <c:pt idx="1">
                  <c:v>2294.69</c:v>
                </c:pt>
              </c:numCache>
            </c:numRef>
          </c:val>
        </c:ser>
        <c:ser>
          <c:idx val="1"/>
          <c:order val="1"/>
          <c:tx>
            <c:strRef>
              <c:f>[工作簿1.xlsx]Sheet1!$D$1:$D$2</c:f>
              <c:strCache>
                <c:ptCount val="1"/>
                <c:pt idx="0">
                  <c:v>2023年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[工作簿1.xlsx]Sheet1!$B$3:$B$4</c:f>
              <c:strCache>
                <c:ptCount val="2"/>
                <c:pt idx="0">
                  <c:v>收入</c:v>
                </c:pt>
                <c:pt idx="1">
                  <c:v>支出</c:v>
                </c:pt>
              </c:strCache>
            </c:strRef>
          </c:cat>
          <c:val>
            <c:numRef>
              <c:f>[工作簿1.xlsx]Sheet1!$D$3:$D$4</c:f>
              <c:numCache>
                <c:formatCode>General</c:formatCode>
                <c:ptCount val="2"/>
                <c:pt idx="0">
                  <c:v>2347.77</c:v>
                </c:pt>
                <c:pt idx="1">
                  <c:v>2347.77</c:v>
                </c:pt>
              </c:numCache>
            </c:numRef>
          </c:val>
        </c:ser>
        <c:dLbls>
          <c:showLegendKey val="0"/>
          <c:showVal val="1"/>
          <c:showCatName val="0"/>
          <c:showSerName val="0"/>
          <c:showPercent val="0"/>
          <c:showBubbleSize val="0"/>
        </c:dLbls>
        <c:gapWidth val="219"/>
        <c:overlap val="-27"/>
        <c:axId val="367422082"/>
        <c:axId val="93417706"/>
      </c:barChart>
      <c:catAx>
        <c:axId val="367422082"/>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3417706"/>
        <c:crosses val="autoZero"/>
        <c:auto val="1"/>
        <c:lblAlgn val="ctr"/>
        <c:lblOffset val="100"/>
        <c:noMultiLvlLbl val="0"/>
      </c:catAx>
      <c:valAx>
        <c:axId val="9341770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67422082"/>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[工作簿1.xlsx]Sheet1!$C$8</c:f>
              <c:strCache>
                <c:ptCount val="1"/>
                <c:pt idx="0">
                  <c:v>一般公共预算财政拨款收入（万元）</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Pt>
            <c:idx val="7"/>
            <c:bubble3D val="0"/>
            <c:spPr>
              <a:solidFill>
                <a:schemeClr val="accent2">
                  <a:lumMod val="60000"/>
                </a:schemeClr>
              </a:solidFill>
              <a:ln w="19050">
                <a:solidFill>
                  <a:schemeClr val="lt1"/>
                </a:solidFill>
              </a:ln>
              <a:effectLst/>
            </c:spPr>
          </c:dPt>
          <c:dLbls>
            <c:dLbl>
              <c:idx val="0"/>
              <c:layout>
                <c:manualLayout>
                  <c:x val="0.129166666666667"/>
                  <c:y val="-0.243055555555556"/>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1"/>
              <c:showSerName val="0"/>
              <c:showPercent val="1"/>
              <c:showBubbleSize val="0"/>
              <c:separator>
</c:separator>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[工作簿1.xlsx]Sheet1!$B$9:$B$16</c:f>
              <c:strCache>
                <c:ptCount val="8"/>
                <c:pt idx="0">
                  <c:v>一般公共预算财政拨款收入</c:v>
                </c:pt>
                <c:pt idx="1">
                  <c:v>政府性基金预算</c:v>
                </c:pt>
                <c:pt idx="2">
                  <c:v>国有资本经营预算财政拨款收入</c:v>
                </c:pt>
                <c:pt idx="3">
                  <c:v>上级补助收入</c:v>
                </c:pt>
                <c:pt idx="4">
                  <c:v>事业收入</c:v>
                </c:pt>
                <c:pt idx="5">
                  <c:v>经营收入</c:v>
                </c:pt>
                <c:pt idx="6">
                  <c:v>附属单位上缴收入</c:v>
                </c:pt>
                <c:pt idx="7">
                  <c:v>其他收入</c:v>
                </c:pt>
              </c:strCache>
            </c:strRef>
          </c:cat>
          <c:val>
            <c:numRef>
              <c:f>[工作簿1.xlsx]Sheet1!$C$9:$C$16</c:f>
              <c:numCache>
                <c:formatCode>General</c:formatCode>
                <c:ptCount val="8"/>
                <c:pt idx="0">
                  <c:v>2347.77</c:v>
                </c:pt>
              </c:numCache>
            </c:numRef>
          </c:val>
        </c:ser>
        <c:dLbls>
          <c:showLegendKey val="0"/>
          <c:showVal val="1"/>
          <c:showCatName val="1"/>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支出决算结构图（万元）</a:t>
            </a:r>
          </a:p>
        </c:rich>
      </c:tx>
      <c:layout>
        <c:manualLayout>
          <c:xMode val="edge"/>
          <c:yMode val="edge"/>
          <c:x val="0.321590004967815"/>
          <c:y val="0.00554631170271769"/>
        </c:manualLayout>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Lbl>
              <c:idx val="0"/>
              <c:layout>
                <c:manualLayout>
                  <c:x val="0.220086705202312"/>
                  <c:y val="-0.164355703457201"/>
                </c:manualLayout>
              </c:layout>
              <c:dLblPos val="bestFit"/>
              <c:showLegendKey val="1"/>
              <c:showVal val="1"/>
              <c:showCatName val="1"/>
              <c:showSerName val="0"/>
              <c:showPercent val="1"/>
              <c:showBubbleSize val="0"/>
              <c:separator>
</c:separator>
              <c:extLst>
                <c:ext xmlns:c15="http://schemas.microsoft.com/office/drawing/2012/chart" uri="{CE6537A1-D6FC-4f65-9D91-7224C49458BB}">
                  <c15:layout/>
                </c:ext>
              </c:extLst>
            </c:dLbl>
            <c:dLbl>
              <c:idx val="1"/>
              <c:layout>
                <c:manualLayout>
                  <c:x val="-0.161849710982659"/>
                  <c:y val="0.0809761508596783"/>
                </c:manualLayout>
              </c:layout>
              <c:dLblPos val="bestFit"/>
              <c:showLegendKey val="1"/>
              <c:showVal val="1"/>
              <c:showCatName val="1"/>
              <c:showSerName val="0"/>
              <c:showPercent val="1"/>
              <c:showBubbleSize val="0"/>
              <c:separator>
</c:separator>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1"/>
            <c:showVal val="1"/>
            <c:showCatName val="1"/>
            <c:showSerName val="0"/>
            <c:showPercent val="1"/>
            <c:showBubbleSize val="0"/>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[工作簿1.xlsx]Sheet1!$B$18:$B$19</c:f>
              <c:strCache>
                <c:ptCount val="2"/>
                <c:pt idx="0">
                  <c:v>基本支出</c:v>
                </c:pt>
                <c:pt idx="1">
                  <c:v>项目支出</c:v>
                </c:pt>
              </c:strCache>
            </c:strRef>
          </c:cat>
          <c:val>
            <c:numRef>
              <c:f>[工作簿1.xlsx]Sheet1!$C$18:$C$19</c:f>
              <c:numCache>
                <c:formatCode>General</c:formatCode>
                <c:ptCount val="2"/>
                <c:pt idx="0">
                  <c:v>2273.37</c:v>
                </c:pt>
                <c:pt idx="1">
                  <c:v>74.4</c:v>
                </c:pt>
              </c:numCache>
            </c:numRef>
          </c:val>
        </c:ser>
        <c:dLbls>
          <c:showLegendKey val="1"/>
          <c:showVal val="1"/>
          <c:showCatName val="1"/>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财政拨款收支决算总计表（万元）</a:t>
            </a:r>
          </a:p>
        </c:rich>
      </c:tx>
      <c:layout>
        <c:manualLayout>
          <c:xMode val="edge"/>
          <c:yMode val="edge"/>
          <c:x val="0.221944444444444"/>
          <c:y val="0.03125"/>
        </c:manualLayout>
      </c:layout>
      <c:overlay val="0"/>
      <c:spPr>
        <a:noFill/>
        <a:ln>
          <a:noFill/>
        </a:ln>
        <a:effectLst/>
      </c:spPr>
    </c:title>
    <c:autoTitleDeleted val="0"/>
    <c:plotArea>
      <c:layout/>
      <c:barChart>
        <c:barDir val="col"/>
        <c:grouping val="clustered"/>
        <c:varyColors val="0"/>
        <c:ser>
          <c:idx val="0"/>
          <c:order val="0"/>
          <c:tx>
            <c:strRef>
              <c:f>[工作簿1.xlsx]Sheet1!$B$36</c:f>
              <c:strCache>
                <c:ptCount val="1"/>
                <c:pt idx="0">
                  <c:v>2022年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[工作簿1.xlsx]Sheet1!$C$35:$D$35</c:f>
              <c:strCache>
                <c:ptCount val="2"/>
                <c:pt idx="0">
                  <c:v>财政拨款收入</c:v>
                </c:pt>
                <c:pt idx="1">
                  <c:v>财政拨款支出</c:v>
                </c:pt>
              </c:strCache>
            </c:strRef>
          </c:cat>
          <c:val>
            <c:numRef>
              <c:f>[工作簿1.xlsx]Sheet1!$C$36:$D$36</c:f>
              <c:numCache>
                <c:formatCode>General</c:formatCode>
                <c:ptCount val="2"/>
                <c:pt idx="0">
                  <c:v>2294.69</c:v>
                </c:pt>
                <c:pt idx="1">
                  <c:v>2294.69</c:v>
                </c:pt>
              </c:numCache>
            </c:numRef>
          </c:val>
        </c:ser>
        <c:ser>
          <c:idx val="1"/>
          <c:order val="1"/>
          <c:tx>
            <c:strRef>
              <c:f>[工作簿1.xlsx]Sheet1!$B$37</c:f>
              <c:strCache>
                <c:ptCount val="1"/>
                <c:pt idx="0">
                  <c:v>2023年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[工作簿1.xlsx]Sheet1!$C$35:$D$35</c:f>
              <c:strCache>
                <c:ptCount val="2"/>
                <c:pt idx="0">
                  <c:v>财政拨款收入</c:v>
                </c:pt>
                <c:pt idx="1">
                  <c:v>财政拨款支出</c:v>
                </c:pt>
              </c:strCache>
            </c:strRef>
          </c:cat>
          <c:val>
            <c:numRef>
              <c:f>[工作簿1.xlsx]Sheet1!$C$37:$D$37</c:f>
              <c:numCache>
                <c:formatCode>General</c:formatCode>
                <c:ptCount val="2"/>
                <c:pt idx="0">
                  <c:v>2347.77</c:v>
                </c:pt>
                <c:pt idx="1">
                  <c:v>2347.77</c:v>
                </c:pt>
              </c:numCache>
            </c:numRef>
          </c:val>
        </c:ser>
        <c:dLbls>
          <c:showLegendKey val="0"/>
          <c:showVal val="0"/>
          <c:showCatName val="0"/>
          <c:showSerName val="0"/>
          <c:showPercent val="0"/>
          <c:showBubbleSize val="0"/>
        </c:dLbls>
        <c:gapWidth val="219"/>
        <c:overlap val="-27"/>
        <c:axId val="84224191"/>
        <c:axId val="765156650"/>
      </c:barChart>
      <c:catAx>
        <c:axId val="84224191"/>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65156650"/>
        <c:crosses val="autoZero"/>
        <c:auto val="1"/>
        <c:lblAlgn val="ctr"/>
        <c:lblOffset val="100"/>
        <c:noMultiLvlLbl val="0"/>
      </c:catAx>
      <c:valAx>
        <c:axId val="76515665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4224191"/>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barChart>
        <c:barDir val="col"/>
        <c:grouping val="clustered"/>
        <c:varyColors val="0"/>
        <c:ser>
          <c:idx val="0"/>
          <c:order val="0"/>
          <c:tx>
            <c:strRef>
              <c:f>[工作簿1.xlsx]Sheet1!$C$54</c:f>
              <c:strCache>
                <c:ptCount val="1"/>
                <c:pt idx="0">
                  <c:v>一般公共预算财政拨款支出（万元）</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[工作簿1.xlsx]Sheet1!$B$55:$B$56</c:f>
              <c:strCache>
                <c:ptCount val="2"/>
                <c:pt idx="0">
                  <c:v>2022年</c:v>
                </c:pt>
                <c:pt idx="1">
                  <c:v>2023年</c:v>
                </c:pt>
              </c:strCache>
            </c:strRef>
          </c:cat>
          <c:val>
            <c:numRef>
              <c:f>[工作簿1.xlsx]Sheet1!$C$55:$C$56</c:f>
              <c:numCache>
                <c:formatCode>General</c:formatCode>
                <c:ptCount val="2"/>
                <c:pt idx="0">
                  <c:v>2294.69</c:v>
                </c:pt>
                <c:pt idx="1">
                  <c:v>2347.77</c:v>
                </c:pt>
              </c:numCache>
            </c:numRef>
          </c:val>
        </c:ser>
        <c:dLbls>
          <c:showLegendKey val="0"/>
          <c:showVal val="1"/>
          <c:showCatName val="0"/>
          <c:showSerName val="0"/>
          <c:showPercent val="0"/>
          <c:showBubbleSize val="0"/>
        </c:dLbls>
        <c:gapWidth val="219"/>
        <c:overlap val="-27"/>
        <c:axId val="523112326"/>
        <c:axId val="766570857"/>
      </c:barChart>
      <c:catAx>
        <c:axId val="523112326"/>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66570857"/>
        <c:crosses val="autoZero"/>
        <c:auto val="1"/>
        <c:lblAlgn val="ctr"/>
        <c:lblOffset val="100"/>
        <c:noMultiLvlLbl val="0"/>
      </c:catAx>
      <c:valAx>
        <c:axId val="766570857"/>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311232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一般公共预算财政拨款支出决算结构（万元）</a:t>
            </a:r>
          </a:p>
        </c:rich>
      </c:tx>
      <c:layout>
        <c:manualLayout>
          <c:xMode val="edge"/>
          <c:yMode val="edge"/>
          <c:x val="0.158089241719135"/>
          <c:y val="0.0145343924285956"/>
        </c:manualLayout>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Lbl>
              <c:idx val="3"/>
              <c:layout>
                <c:manualLayout>
                  <c:x val="0.270648429518195"/>
                  <c:y val="0.0305423851402192"/>
                </c:manualLayout>
              </c:layout>
              <c:dLblPos val="bestFit"/>
              <c:showLegendKey val="1"/>
              <c:showVal val="1"/>
              <c:showCatName val="1"/>
              <c:showSerName val="0"/>
              <c:showPercent val="1"/>
              <c:showBubbleSize val="0"/>
              <c:separator>
</c:separator>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1"/>
            <c:showVal val="1"/>
            <c:showCatName val="1"/>
            <c:showSerName val="0"/>
            <c:showPercent val="1"/>
            <c:showBubbleSize val="0"/>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[工作簿1.xlsx]Sheet1!$B$80:$B$83</c:f>
              <c:strCache>
                <c:ptCount val="4"/>
                <c:pt idx="0">
                  <c:v>教育支出</c:v>
                </c:pt>
                <c:pt idx="1">
                  <c:v>社会保障和就业支出</c:v>
                </c:pt>
                <c:pt idx="2">
                  <c:v>卫生健康支出</c:v>
                </c:pt>
                <c:pt idx="3">
                  <c:v>住房保障支出</c:v>
                </c:pt>
              </c:strCache>
            </c:strRef>
          </c:cat>
          <c:val>
            <c:numRef>
              <c:f>[工作簿1.xlsx]Sheet1!$C$80:$C$83</c:f>
              <c:numCache>
                <c:formatCode>General</c:formatCode>
                <c:ptCount val="4"/>
                <c:pt idx="0">
                  <c:v>1759.63</c:v>
                </c:pt>
                <c:pt idx="1">
                  <c:v>236.7</c:v>
                </c:pt>
                <c:pt idx="2">
                  <c:v>182.63</c:v>
                </c:pt>
                <c:pt idx="3">
                  <c:v>168.81</c:v>
                </c:pt>
              </c:numCache>
            </c:numRef>
          </c:val>
        </c:ser>
        <c:dLbls>
          <c:showLegendKey val="0"/>
          <c:showVal val="1"/>
          <c:showCatName val="1"/>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三公”经费财政拨款支出结构（万元）</a:t>
            </a:r>
          </a:p>
        </c:rich>
      </c:tx>
      <c:layout>
        <c:manualLayout>
          <c:xMode val="edge"/>
          <c:yMode val="edge"/>
          <c:x val="0.151944444444444"/>
          <c:y val="0.0173611111111111"/>
        </c:manualLayout>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1"/>
            <c:showSerName val="0"/>
            <c:showPercent val="1"/>
            <c:showBubbleSize val="0"/>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[工作簿1.xlsx]Sheet1!$B$111:$B$113</c:f>
              <c:strCache>
                <c:ptCount val="3"/>
                <c:pt idx="0">
                  <c:v>公务用车购置及运行维护费</c:v>
                </c:pt>
                <c:pt idx="1">
                  <c:v>因公出国镜费</c:v>
                </c:pt>
                <c:pt idx="2">
                  <c:v>公务接待费</c:v>
                </c:pt>
              </c:strCache>
            </c:strRef>
          </c:cat>
          <c:val>
            <c:numRef>
              <c:f>[工作簿1.xlsx]Sheet1!$C$111:$C$113</c:f>
              <c:numCache>
                <c:formatCode>General</c:formatCode>
                <c:ptCount val="3"/>
                <c:pt idx="0">
                  <c:v>0.17</c:v>
                </c:pt>
              </c:numCache>
            </c:numRef>
          </c:val>
        </c:ser>
        <c:dLbls>
          <c:showLegendKey val="0"/>
          <c:showVal val="1"/>
          <c:showCatName val="1"/>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69f287c6-b9aa-4ae2-ba08-3aaa9c4ebd9a}"/>
        <w:style w:val=""/>
        <w:category>
          <w:name w:val="常规"/>
          <w:gallery w:val="placeholder"/>
        </w:category>
        <w:types>
          <w:type w:val="bbPlcHdr"/>
        </w:types>
        <w:behaviors>
          <w:behavior w:val="content"/>
        </w:behaviors>
        <w:description w:val=""/>
        <w:guid w:val="{69f287c6-b9aa-4ae2-ba08-3aaa9c4ebd9a}"/>
      </w:docPartPr>
      <w:docPartBody>
        <w:p>
          <w:r>
            <w:rPr>
              <w:color w:val="808080"/>
            </w:rPr>
            <w:t>单击此处输入文字。</w:t>
          </w:r>
        </w:p>
      </w:docPartBody>
    </w:docPart>
    <w:docPart>
      <w:docPartPr>
        <w:name w:val="{66755fde-c40e-4f4a-9cb2-ee4b18d5efa5}"/>
        <w:style w:val=""/>
        <w:category>
          <w:name w:val="常规"/>
          <w:gallery w:val="placeholder"/>
        </w:category>
        <w:types>
          <w:type w:val="bbPlcHdr"/>
        </w:types>
        <w:behaviors>
          <w:behavior w:val="content"/>
        </w:behaviors>
        <w:description w:val=""/>
        <w:guid w:val="{66755fde-c40e-4f4a-9cb2-ee4b18d5efa5}"/>
      </w:docPartPr>
      <w:docPartBody>
        <w:p>
          <w:r>
            <w:rPr>
              <w:color w:val="808080"/>
            </w:rPr>
            <w:t>单击此处输入文字。</w:t>
          </w:r>
        </w:p>
      </w:docPartBody>
    </w:docPart>
    <w:docPart>
      <w:docPartPr>
        <w:name w:val="{50dbf396-1fe9-41cf-a6b6-45c1a7e2ca72}"/>
        <w:style w:val=""/>
        <w:category>
          <w:name w:val="常规"/>
          <w:gallery w:val="placeholder"/>
        </w:category>
        <w:types>
          <w:type w:val="bbPlcHdr"/>
        </w:types>
        <w:behaviors>
          <w:behavior w:val="content"/>
        </w:behaviors>
        <w:description w:val=""/>
        <w:guid w:val="{50dbf396-1fe9-41cf-a6b6-45c1a7e2ca72}"/>
      </w:docPartPr>
      <w:docPartBody>
        <w:p>
          <w:r>
            <w:rPr>
              <w:color w:val="808080"/>
            </w:rPr>
            <w:t>单击此处输入文字。</w:t>
          </w:r>
        </w:p>
      </w:docPartBody>
    </w:docPart>
    <w:docPart>
      <w:docPartPr>
        <w:name w:val="{c366c20a-c14f-41a9-994d-014339f26598}"/>
        <w:style w:val=""/>
        <w:category>
          <w:name w:val="常规"/>
          <w:gallery w:val="placeholder"/>
        </w:category>
        <w:types>
          <w:type w:val="bbPlcHdr"/>
        </w:types>
        <w:behaviors>
          <w:behavior w:val="content"/>
        </w:behaviors>
        <w:description w:val=""/>
        <w:guid w:val="{c366c20a-c14f-41a9-994d-014339f26598}"/>
      </w:docPartPr>
      <w:docPartBody>
        <w:p>
          <w:r>
            <w:rPr>
              <w:color w:val="808080"/>
            </w:rPr>
            <w:t>单击此处输入文字。</w:t>
          </w:r>
        </w:p>
      </w:docPartBody>
    </w:docPart>
    <w:docPart>
      <w:docPartPr>
        <w:name w:val="{19d01d31-9708-4167-8bec-b77c8ac72e8a}"/>
        <w:style w:val=""/>
        <w:category>
          <w:name w:val="常规"/>
          <w:gallery w:val="placeholder"/>
        </w:category>
        <w:types>
          <w:type w:val="bbPlcHdr"/>
        </w:types>
        <w:behaviors>
          <w:behavior w:val="content"/>
        </w:behaviors>
        <w:description w:val=""/>
        <w:guid w:val="{19d01d31-9708-4167-8bec-b77c8ac72e8a}"/>
      </w:docPartPr>
      <w:docPartBody>
        <w:p>
          <w:r>
            <w:rPr>
              <w:color w:val="808080"/>
            </w:rPr>
            <w:t>单击此处输入文字。</w:t>
          </w:r>
        </w:p>
      </w:docPartBody>
    </w:docPart>
    <w:docPart>
      <w:docPartPr>
        <w:name w:val="{f9525d09-f1ee-40dd-98e4-1425ec543464}"/>
        <w:style w:val=""/>
        <w:category>
          <w:name w:val="常规"/>
          <w:gallery w:val="placeholder"/>
        </w:category>
        <w:types>
          <w:type w:val="bbPlcHdr"/>
        </w:types>
        <w:behaviors>
          <w:behavior w:val="content"/>
        </w:behaviors>
        <w:description w:val=""/>
        <w:guid w:val="{f9525d09-f1ee-40dd-98e4-1425ec543464}"/>
      </w:docPartPr>
      <w:docPartBody>
        <w:p>
          <w:r>
            <w:rPr>
              <w:color w:val="808080"/>
            </w:rPr>
            <w:t>单击此处输入文字。</w:t>
          </w:r>
        </w:p>
      </w:docPartBody>
    </w:docPart>
    <w:docPart>
      <w:docPartPr>
        <w:name w:val="{c20178cc-a7ce-4116-9d43-e767c23e6a47}"/>
        <w:style w:val=""/>
        <w:category>
          <w:name w:val="常规"/>
          <w:gallery w:val="placeholder"/>
        </w:category>
        <w:types>
          <w:type w:val="bbPlcHdr"/>
        </w:types>
        <w:behaviors>
          <w:behavior w:val="content"/>
        </w:behaviors>
        <w:description w:val=""/>
        <w:guid w:val="{c20178cc-a7ce-4116-9d43-e767c23e6a47}"/>
      </w:docPartPr>
      <w:docPartBody>
        <w:p>
          <w:r>
            <w:rPr>
              <w:color w:val="808080"/>
            </w:rPr>
            <w:t>单击此处输入文字。</w:t>
          </w:r>
        </w:p>
      </w:docPartBody>
    </w:docPart>
    <w:docPart>
      <w:docPartPr>
        <w:name w:val="{df7a8b86-a9ec-48ed-9a02-b0e7a7c41064}"/>
        <w:style w:val=""/>
        <w:category>
          <w:name w:val="常规"/>
          <w:gallery w:val="placeholder"/>
        </w:category>
        <w:types>
          <w:type w:val="bbPlcHdr"/>
        </w:types>
        <w:behaviors>
          <w:behavior w:val="content"/>
        </w:behaviors>
        <w:description w:val=""/>
        <w:guid w:val="{df7a8b86-a9ec-48ed-9a02-b0e7a7c41064}"/>
      </w:docPartPr>
      <w:docPartBody>
        <w:p>
          <w:r>
            <w:rPr>
              <w:color w:val="808080"/>
            </w:rPr>
            <w:t>单击此处输入文字。</w:t>
          </w:r>
        </w:p>
      </w:docPartBody>
    </w:docPart>
    <w:docPart>
      <w:docPartPr>
        <w:name w:val="{6a47938b-113d-43d8-bbb1-7c93eab87c34}"/>
        <w:style w:val=""/>
        <w:category>
          <w:name w:val="常规"/>
          <w:gallery w:val="placeholder"/>
        </w:category>
        <w:types>
          <w:type w:val="bbPlcHdr"/>
        </w:types>
        <w:behaviors>
          <w:behavior w:val="content"/>
        </w:behaviors>
        <w:description w:val=""/>
        <w:guid w:val="{6a47938b-113d-43d8-bbb1-7c93eab87c34}"/>
      </w:docPartPr>
      <w:docPartBody>
        <w:p>
          <w:r>
            <w:rPr>
              <w:color w:val="808080"/>
            </w:rPr>
            <w:t>单击此处输入文字。</w:t>
          </w:r>
        </w:p>
      </w:docPartBody>
    </w:docPart>
    <w:docPart>
      <w:docPartPr>
        <w:name w:val="{550c5616-d30b-425a-b3d0-13eaf13a0acc}"/>
        <w:style w:val=""/>
        <w:category>
          <w:name w:val="常规"/>
          <w:gallery w:val="placeholder"/>
        </w:category>
        <w:types>
          <w:type w:val="bbPlcHdr"/>
        </w:types>
        <w:behaviors>
          <w:behavior w:val="content"/>
        </w:behaviors>
        <w:description w:val=""/>
        <w:guid w:val="{550c5616-d30b-425a-b3d0-13eaf13a0acc}"/>
      </w:docPartPr>
      <w:docPartBody>
        <w:p>
          <w:r>
            <w:rPr>
              <w:color w:val="808080"/>
            </w:rPr>
            <w:t>单击此处输入文字。</w:t>
          </w:r>
        </w:p>
      </w:docPartBody>
    </w:docPart>
    <w:docPart>
      <w:docPartPr>
        <w:name w:val="{6e3933dd-36fc-4214-a993-1c1fbd19c902}"/>
        <w:style w:val=""/>
        <w:category>
          <w:name w:val="常规"/>
          <w:gallery w:val="placeholder"/>
        </w:category>
        <w:types>
          <w:type w:val="bbPlcHdr"/>
        </w:types>
        <w:behaviors>
          <w:behavior w:val="content"/>
        </w:behaviors>
        <w:description w:val=""/>
        <w:guid w:val="{6e3933dd-36fc-4214-a993-1c1fbd19c902}"/>
      </w:docPartPr>
      <w:docPartBody>
        <w:p>
          <w:r>
            <w:rPr>
              <w:color w:val="808080"/>
            </w:rPr>
            <w:t>单击此处输入文字。</w:t>
          </w:r>
        </w:p>
      </w:docPartBody>
    </w:docPart>
    <w:docPart>
      <w:docPartPr>
        <w:name w:val="{4d141368-c520-4c06-9d86-9b3d96df4cae}"/>
        <w:style w:val=""/>
        <w:category>
          <w:name w:val="常规"/>
          <w:gallery w:val="placeholder"/>
        </w:category>
        <w:types>
          <w:type w:val="bbPlcHdr"/>
        </w:types>
        <w:behaviors>
          <w:behavior w:val="content"/>
        </w:behaviors>
        <w:description w:val=""/>
        <w:guid w:val="{4d141368-c520-4c06-9d86-9b3d96df4cae}"/>
      </w:docPartPr>
      <w:docPartBody>
        <w:p>
          <w:r>
            <w:rPr>
              <w:color w:val="808080"/>
            </w:rPr>
            <w:t>单击此处输入文字。</w:t>
          </w:r>
        </w:p>
      </w:docPartBody>
    </w:docPart>
    <w:docPart>
      <w:docPartPr>
        <w:name w:val="{4d9efb10-7366-41f4-9891-4101fd31ffb1}"/>
        <w:style w:val=""/>
        <w:category>
          <w:name w:val="常规"/>
          <w:gallery w:val="placeholder"/>
        </w:category>
        <w:types>
          <w:type w:val="bbPlcHdr"/>
        </w:types>
        <w:behaviors>
          <w:behavior w:val="content"/>
        </w:behaviors>
        <w:description w:val=""/>
        <w:guid w:val="{4d9efb10-7366-41f4-9891-4101fd31ffb1}"/>
      </w:docPartPr>
      <w:docPartBody>
        <w:p>
          <w:r>
            <w:rPr>
              <w:color w:val="808080"/>
            </w:rPr>
            <w:t>单击此处输入文字。</w:t>
          </w:r>
        </w:p>
      </w:docPartBody>
    </w:docPart>
    <w:docPart>
      <w:docPartPr>
        <w:name w:val="{177ee473-be48-43e9-b6fd-8d91c1283cfe}"/>
        <w:style w:val=""/>
        <w:category>
          <w:name w:val="常规"/>
          <w:gallery w:val="placeholder"/>
        </w:category>
        <w:types>
          <w:type w:val="bbPlcHdr"/>
        </w:types>
        <w:behaviors>
          <w:behavior w:val="content"/>
        </w:behaviors>
        <w:description w:val=""/>
        <w:guid w:val="{177ee473-be48-43e9-b6fd-8d91c1283cfe}"/>
      </w:docPartPr>
      <w:docPartBody>
        <w:p>
          <w:r>
            <w:rPr>
              <w:color w:val="808080"/>
            </w:rPr>
            <w:t>单击此处输入文字。</w:t>
          </w:r>
        </w:p>
      </w:docPartBody>
    </w:docPart>
    <w:docPart>
      <w:docPartPr>
        <w:name w:val="{eea02527-09e1-4448-af8a-46c2c98136c4}"/>
        <w:style w:val=""/>
        <w:category>
          <w:name w:val="常规"/>
          <w:gallery w:val="placeholder"/>
        </w:category>
        <w:types>
          <w:type w:val="bbPlcHdr"/>
        </w:types>
        <w:behaviors>
          <w:behavior w:val="content"/>
        </w:behaviors>
        <w:description w:val=""/>
        <w:guid w:val="{eea02527-09e1-4448-af8a-46c2c98136c4}"/>
      </w:docPartPr>
      <w:docPartBody>
        <w:p>
          <w:r>
            <w:rPr>
              <w:color w:val="808080"/>
            </w:rPr>
            <w:t>单击此处输入文字。</w:t>
          </w:r>
        </w:p>
      </w:docPartBody>
    </w:docPart>
    <w:docPart>
      <w:docPartPr>
        <w:name w:val="{2885722c-c37c-4038-9640-379860514469}"/>
        <w:style w:val=""/>
        <w:category>
          <w:name w:val="常规"/>
          <w:gallery w:val="placeholder"/>
        </w:category>
        <w:types>
          <w:type w:val="bbPlcHdr"/>
        </w:types>
        <w:behaviors>
          <w:behavior w:val="content"/>
        </w:behaviors>
        <w:description w:val=""/>
        <w:guid w:val="{2885722c-c37c-4038-9640-379860514469}"/>
      </w:docPartPr>
      <w:docPartBody>
        <w:p>
          <w:r>
            <w:rPr>
              <w:color w:val="808080"/>
            </w:rPr>
            <w:t>单击此处输入文字。</w:t>
          </w:r>
        </w:p>
      </w:docPartBody>
    </w:docPart>
    <w:docPart>
      <w:docPartPr>
        <w:name w:val="{4fd9973a-1f2d-4768-8d31-bb214ac11d29}"/>
        <w:style w:val=""/>
        <w:category>
          <w:name w:val="常规"/>
          <w:gallery w:val="placeholder"/>
        </w:category>
        <w:types>
          <w:type w:val="bbPlcHdr"/>
        </w:types>
        <w:behaviors>
          <w:behavior w:val="content"/>
        </w:behaviors>
        <w:description w:val=""/>
        <w:guid w:val="{4fd9973a-1f2d-4768-8d31-bb214ac11d29}"/>
      </w:docPartPr>
      <w:docPartBody>
        <w:p>
          <w:r>
            <w:rPr>
              <w:color w:val="808080"/>
            </w:rPr>
            <w:t>单击此处输入文字。</w:t>
          </w:r>
        </w:p>
      </w:docPartBody>
    </w:docPart>
    <w:docPart>
      <w:docPartPr>
        <w:name w:val="{9b8ee861-6497-4e76-9a61-c804b2986c79}"/>
        <w:style w:val=""/>
        <w:category>
          <w:name w:val="常规"/>
          <w:gallery w:val="placeholder"/>
        </w:category>
        <w:types>
          <w:type w:val="bbPlcHdr"/>
        </w:types>
        <w:behaviors>
          <w:behavior w:val="content"/>
        </w:behaviors>
        <w:description w:val=""/>
        <w:guid w:val="{9b8ee861-6497-4e76-9a61-c804b2986c79}"/>
      </w:docPartPr>
      <w:docPartBody>
        <w:p>
          <w:r>
            <w:rPr>
              <w:color w:val="808080"/>
            </w:rPr>
            <w:t>单击此处输入文字。</w:t>
          </w:r>
        </w:p>
      </w:docPartBody>
    </w:docPart>
    <w:docPart>
      <w:docPartPr>
        <w:name w:val="{e86d9118-4bb6-4566-a54c-18703659de48}"/>
        <w:style w:val=""/>
        <w:category>
          <w:name w:val="常规"/>
          <w:gallery w:val="placeholder"/>
        </w:category>
        <w:types>
          <w:type w:val="bbPlcHdr"/>
        </w:types>
        <w:behaviors>
          <w:behavior w:val="content"/>
        </w:behaviors>
        <w:description w:val=""/>
        <w:guid w:val="{e86d9118-4bb6-4566-a54c-18703659de48}"/>
      </w:docPartPr>
      <w:docPartBody>
        <w:p>
          <w:r>
            <w:rPr>
              <w:color w:val="808080"/>
            </w:rPr>
            <w:t>单击此处输入文字。</w:t>
          </w:r>
        </w:p>
      </w:docPartBody>
    </w:docPart>
    <w:docPart>
      <w:docPartPr>
        <w:name w:val="{117e951b-61b6-4f58-85aa-800d78368f86}"/>
        <w:style w:val=""/>
        <w:category>
          <w:name w:val="常规"/>
          <w:gallery w:val="placeholder"/>
        </w:category>
        <w:types>
          <w:type w:val="bbPlcHdr"/>
        </w:types>
        <w:behaviors>
          <w:behavior w:val="content"/>
        </w:behaviors>
        <w:description w:val=""/>
        <w:guid w:val="{117e951b-61b6-4f58-85aa-800d78368f86}"/>
      </w:docPartPr>
      <w:docPartBody>
        <w:p>
          <w:r>
            <w:rPr>
              <w:color w:val="808080"/>
            </w:rPr>
            <w:t>单击此处输入文字。</w:t>
          </w:r>
        </w:p>
      </w:docPartBody>
    </w:docPart>
    <w:docPart>
      <w:docPartPr>
        <w:name w:val="{2df210cf-e58c-4111-86ea-1201be594310}"/>
        <w:style w:val=""/>
        <w:category>
          <w:name w:val="常规"/>
          <w:gallery w:val="placeholder"/>
        </w:category>
        <w:types>
          <w:type w:val="bbPlcHdr"/>
        </w:types>
        <w:behaviors>
          <w:behavior w:val="content"/>
        </w:behaviors>
        <w:description w:val=""/>
        <w:guid w:val="{2df210cf-e58c-4111-86ea-1201be594310}"/>
      </w:docPartPr>
      <w:docPartBody>
        <w:p>
          <w:r>
            <w:rPr>
              <w:color w:val="808080"/>
            </w:rPr>
            <w:t>单击此处输入文字。</w:t>
          </w:r>
        </w:p>
      </w:docPartBody>
    </w:docPart>
    <w:docPart>
      <w:docPartPr>
        <w:name w:val="{9fa0dae5-17bb-4fdd-993e-00f571fac8c9}"/>
        <w:style w:val=""/>
        <w:category>
          <w:name w:val="常规"/>
          <w:gallery w:val="placeholder"/>
        </w:category>
        <w:types>
          <w:type w:val="bbPlcHdr"/>
        </w:types>
        <w:behaviors>
          <w:behavior w:val="content"/>
        </w:behaviors>
        <w:description w:val=""/>
        <w:guid w:val="{9fa0dae5-17bb-4fdd-993e-00f571fac8c9}"/>
      </w:docPartPr>
      <w:docPartBody>
        <w:p>
          <w:r>
            <w:rPr>
              <w:color w:val="808080"/>
            </w:rPr>
            <w:t>单击此处输入文字。</w:t>
          </w:r>
        </w:p>
      </w:docPartBody>
    </w:docPart>
    <w:docPart>
      <w:docPartPr>
        <w:name w:val="{dbd43784-9093-44a7-b2fa-f8c0eb75010f}"/>
        <w:style w:val=""/>
        <w:category>
          <w:name w:val="常规"/>
          <w:gallery w:val="placeholder"/>
        </w:category>
        <w:types>
          <w:type w:val="bbPlcHdr"/>
        </w:types>
        <w:behaviors>
          <w:behavior w:val="content"/>
        </w:behaviors>
        <w:description w:val=""/>
        <w:guid w:val="{dbd43784-9093-44a7-b2fa-f8c0eb75010f}"/>
      </w:docPartPr>
      <w:docPartBody>
        <w:p>
          <w:r>
            <w:rPr>
              <w:color w:val="808080"/>
            </w:rPr>
            <w:t>单击此处输入文字。</w:t>
          </w:r>
        </w:p>
      </w:docPartBody>
    </w:docPart>
    <w:docPart>
      <w:docPartPr>
        <w:name w:val="{57f38b47-59dc-4cdf-9744-a0b8d2c8171b}"/>
        <w:style w:val=""/>
        <w:category>
          <w:name w:val="常规"/>
          <w:gallery w:val="placeholder"/>
        </w:category>
        <w:types>
          <w:type w:val="bbPlcHdr"/>
        </w:types>
        <w:behaviors>
          <w:behavior w:val="content"/>
        </w:behaviors>
        <w:description w:val=""/>
        <w:guid w:val="{57f38b47-59dc-4cdf-9744-a0b8d2c8171b}"/>
      </w:docPartPr>
      <w:docPartBody>
        <w:p>
          <w:r>
            <w:rPr>
              <w:color w:val="808080"/>
            </w:rPr>
            <w:t>单击此处输入文字。</w:t>
          </w:r>
        </w:p>
      </w:docPartBody>
    </w:docPart>
    <w:docPart>
      <w:docPartPr>
        <w:name w:val="{982bbd25-7bd1-4c8a-bb4b-baf7c5480afb}"/>
        <w:style w:val=""/>
        <w:category>
          <w:name w:val="常规"/>
          <w:gallery w:val="placeholder"/>
        </w:category>
        <w:types>
          <w:type w:val="bbPlcHdr"/>
        </w:types>
        <w:behaviors>
          <w:behavior w:val="content"/>
        </w:behaviors>
        <w:description w:val=""/>
        <w:guid w:val="{982bbd25-7bd1-4c8a-bb4b-baf7c5480afb}"/>
      </w:docPartPr>
      <w:docPartBody>
        <w:p>
          <w:r>
            <w:rPr>
              <w:color w:val="808080"/>
            </w:rPr>
            <w:t>单击此处输入文字。</w:t>
          </w:r>
        </w:p>
      </w:docPartBody>
    </w:docPart>
    <w:docPart>
      <w:docPartPr>
        <w:name w:val="{2fcb45ad-6860-4ee9-81f1-4d4ac844534f}"/>
        <w:style w:val=""/>
        <w:category>
          <w:name w:val="常规"/>
          <w:gallery w:val="placeholder"/>
        </w:category>
        <w:types>
          <w:type w:val="bbPlcHdr"/>
        </w:types>
        <w:behaviors>
          <w:behavior w:val="content"/>
        </w:behaviors>
        <w:description w:val=""/>
        <w:guid w:val="{2fcb45ad-6860-4ee9-81f1-4d4ac844534f}"/>
      </w:docPartPr>
      <w:docPartBody>
        <w:p>
          <w:r>
            <w:rPr>
              <w:color w:val="808080"/>
            </w:rPr>
            <w:t>单击此处输入文字。</w:t>
          </w:r>
        </w:p>
      </w:docPartBody>
    </w:docPart>
    <w:docPart>
      <w:docPartPr>
        <w:name w:val="{39caa01a-b561-4743-9ff3-162d64a0096d}"/>
        <w:style w:val=""/>
        <w:category>
          <w:name w:val="常规"/>
          <w:gallery w:val="placeholder"/>
        </w:category>
        <w:types>
          <w:type w:val="bbPlcHdr"/>
        </w:types>
        <w:behaviors>
          <w:behavior w:val="content"/>
        </w:behaviors>
        <w:description w:val=""/>
        <w:guid w:val="{39caa01a-b561-4743-9ff3-162d64a0096d}"/>
      </w:docPartPr>
      <w:docPartBody>
        <w:p>
          <w:r>
            <w:rPr>
              <w:color w:val="808080"/>
            </w:rPr>
            <w:t>单击此处输入文字。</w:t>
          </w:r>
        </w:p>
      </w:docPartBody>
    </w:docPart>
    <w:docPart>
      <w:docPartPr>
        <w:name w:val="{c5ef86a5-b0dc-45f0-b9ce-0838bd6a3f4c}"/>
        <w:style w:val=""/>
        <w:category>
          <w:name w:val="常规"/>
          <w:gallery w:val="placeholder"/>
        </w:category>
        <w:types>
          <w:type w:val="bbPlcHdr"/>
        </w:types>
        <w:behaviors>
          <w:behavior w:val="content"/>
        </w:behaviors>
        <w:description w:val=""/>
        <w:guid w:val="{c5ef86a5-b0dc-45f0-b9ce-0838bd6a3f4c}"/>
      </w:docPartPr>
      <w:docPartBody>
        <w:p>
          <w:r>
            <w:rPr>
              <w:color w:val="808080"/>
            </w:rPr>
            <w:t>单击此处输入文字。</w:t>
          </w:r>
        </w:p>
      </w:docPartBody>
    </w:docPart>
    <w:docPart>
      <w:docPartPr>
        <w:name w:val="{3b50a6c7-6500-4b74-bccc-3b7999968164}"/>
        <w:style w:val=""/>
        <w:category>
          <w:name w:val="常规"/>
          <w:gallery w:val="placeholder"/>
        </w:category>
        <w:types>
          <w:type w:val="bbPlcHdr"/>
        </w:types>
        <w:behaviors>
          <w:behavior w:val="content"/>
        </w:behaviors>
        <w:description w:val=""/>
        <w:guid w:val="{3b50a6c7-6500-4b74-bccc-3b7999968164}"/>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19</Pages>
  <Words>4895</Words>
  <Characters>5339</Characters>
  <Lines>54</Lines>
  <Paragraphs>15</Paragraphs>
  <TotalTime>0</TotalTime>
  <ScaleCrop>false</ScaleCrop>
  <LinksUpToDate>false</LinksUpToDate>
  <CharactersWithSpaces>5362</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2020-08-08T01:49:00Z</dcterms:created>
  <dc:creator>曹颖</dc:creator>
  <cp:lastModifiedBy>Administrator</cp:lastModifiedBy>
  <cp:lastPrinted>2023-08-03T02:35:00Z</cp:lastPrinted>
  <dcterms:modified xsi:type="dcterms:W3CDTF">2024-10-25T08:46:10Z</dcterms:modified>
  <dc:title>四川省***</dc:title>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31FB253A95C34AE492AE73055DE28026_13</vt:lpwstr>
  </property>
</Properties>
</file>