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eastAsia="方正小标宋简体"/>
          <w:szCs w:val="21"/>
        </w:rPr>
      </w:pPr>
      <w:bookmarkStart w:id="0" w:name="_Toc15306267"/>
    </w:p>
    <w:p>
      <w:pPr>
        <w:pStyle w:val="6"/>
        <w:spacing w:before="93"/>
        <w:rPr>
          <w:rFonts w:ascii="Times New Roman"/>
        </w:rPr>
      </w:pPr>
    </w:p>
    <w:p>
      <w:pPr>
        <w:spacing w:line="600" w:lineRule="exact"/>
        <w:jc w:val="center"/>
        <w:outlineLvl w:val="0"/>
        <w:rPr>
          <w:rFonts w:eastAsia="方正小标宋简体"/>
          <w:sz w:val="72"/>
          <w:szCs w:val="72"/>
        </w:rPr>
      </w:pPr>
    </w:p>
    <w:p>
      <w:pPr>
        <w:spacing w:line="600" w:lineRule="exact"/>
        <w:jc w:val="center"/>
        <w:outlineLvl w:val="0"/>
        <w:rPr>
          <w:rFonts w:eastAsia="方正小标宋简体"/>
          <w:sz w:val="72"/>
          <w:szCs w:val="72"/>
        </w:rPr>
      </w:pPr>
    </w:p>
    <w:p>
      <w:pPr>
        <w:adjustRightInd w:val="0"/>
        <w:snapToGrid w:val="0"/>
        <w:jc w:val="center"/>
        <w:outlineLvl w:val="0"/>
        <w:rPr>
          <w:rFonts w:eastAsia="方正小标宋简体"/>
          <w:sz w:val="72"/>
          <w:szCs w:val="72"/>
        </w:rPr>
      </w:pPr>
      <w:bookmarkStart w:id="1" w:name="_Toc15377425"/>
      <w:bookmarkStart w:id="2" w:name="_Toc15377193"/>
      <w:bookmarkStart w:id="3" w:name="_Toc15396475"/>
      <w:bookmarkStart w:id="4" w:name="_Toc15378441"/>
      <w:bookmarkStart w:id="5" w:name="_Toc15396597"/>
      <w:r>
        <w:rPr>
          <w:rFonts w:eastAsia="方正小标宋简体"/>
          <w:sz w:val="72"/>
          <w:szCs w:val="72"/>
        </w:rPr>
        <w:t>2023年度</w:t>
      </w:r>
      <w:bookmarkEnd w:id="1"/>
      <w:bookmarkEnd w:id="2"/>
      <w:bookmarkEnd w:id="3"/>
      <w:bookmarkEnd w:id="4"/>
      <w:bookmarkEnd w:id="5"/>
    </w:p>
    <w:bookmarkEnd w:id="0"/>
    <w:p>
      <w:pPr>
        <w:jc w:val="center"/>
        <w:rPr>
          <w:rFonts w:eastAsia="方正小标宋简体"/>
          <w:sz w:val="72"/>
          <w:szCs w:val="72"/>
        </w:rPr>
      </w:pPr>
      <w:bookmarkStart w:id="6" w:name="_Toc15377194"/>
      <w:bookmarkStart w:id="7" w:name="_Toc15396598"/>
      <w:bookmarkStart w:id="8" w:name="_Toc15377426"/>
      <w:bookmarkStart w:id="9" w:name="_Toc15396476"/>
      <w:bookmarkStart w:id="10" w:name="_Toc15378442"/>
      <w:bookmarkStart w:id="11" w:name="_Toc15306268"/>
      <w:r>
        <w:rPr>
          <w:rFonts w:eastAsia="方正小标宋简体"/>
          <w:sz w:val="72"/>
          <w:szCs w:val="72"/>
        </w:rPr>
        <w:t>盐边县红格镇中心学校</w:t>
      </w:r>
    </w:p>
    <w:p>
      <w:pPr>
        <w:jc w:val="center"/>
        <w:rPr>
          <w:rFonts w:eastAsia="方正小标宋简体"/>
          <w:sz w:val="72"/>
          <w:szCs w:val="72"/>
        </w:rPr>
      </w:pPr>
      <w:r>
        <w:rPr>
          <w:rFonts w:eastAsia="方正小标宋简体"/>
          <w:sz w:val="72"/>
          <w:szCs w:val="72"/>
        </w:rPr>
        <w:t>单位决算</w:t>
      </w:r>
      <w:bookmarkEnd w:id="6"/>
      <w:bookmarkEnd w:id="7"/>
      <w:bookmarkEnd w:id="8"/>
      <w:bookmarkEnd w:id="9"/>
      <w:bookmarkEnd w:id="10"/>
      <w:bookmarkEnd w:id="11"/>
    </w:p>
    <w:p>
      <w:pPr>
        <w:widowControl/>
        <w:jc w:val="center"/>
        <w:rPr>
          <w:rFonts w:eastAsia="黑体"/>
          <w:sz w:val="48"/>
          <w:szCs w:val="48"/>
        </w:rPr>
      </w:pPr>
      <w:r>
        <w:rPr>
          <w:rFonts w:eastAsia="方正小标宋简体"/>
          <w:sz w:val="36"/>
          <w:szCs w:val="36"/>
        </w:rPr>
        <w:br w:type="page"/>
      </w:r>
      <w:r>
        <w:rPr>
          <w:rFonts w:eastAsia="黑体"/>
          <w:sz w:val="48"/>
          <w:szCs w:val="48"/>
        </w:rPr>
        <w:t>目录</w:t>
      </w:r>
    </w:p>
    <w:p>
      <w:pPr>
        <w:widowControl/>
        <w:jc w:val="center"/>
        <w:rPr>
          <w:rFonts w:eastAsia="黑体"/>
          <w:sz w:val="28"/>
          <w:szCs w:val="28"/>
        </w:rPr>
      </w:pPr>
    </w:p>
    <w:p>
      <w:pPr>
        <w:pStyle w:val="12"/>
        <w:rPr>
          <w:rFonts w:ascii="Times New Roman" w:hAnsi="Times New Roman" w:eastAsia="仿宋_GB2312"/>
          <w:sz w:val="32"/>
          <w:szCs w:val="32"/>
        </w:rPr>
      </w:pPr>
      <w:r>
        <w:rPr>
          <w:rFonts w:ascii="Times New Roman" w:hAnsi="Times New Roman" w:eastAsia="仿宋_GB2312"/>
          <w:sz w:val="32"/>
          <w:szCs w:val="32"/>
        </w:rPr>
        <w:t>公开时间：2024年10月28日</w:t>
      </w:r>
    </w:p>
    <w:p>
      <w:pPr>
        <w:pStyle w:val="13"/>
        <w:adjustRightInd w:val="0"/>
        <w:snapToGrid w:val="0"/>
        <w:spacing w:line="600" w:lineRule="exact"/>
        <w:ind w:left="0" w:leftChars="0"/>
        <w:jc w:val="left"/>
        <w:rPr>
          <w:rFonts w:eastAsia="仿宋_GB2312"/>
          <w:sz w:val="28"/>
          <w:szCs w:val="28"/>
        </w:rPr>
      </w:pPr>
    </w:p>
    <w:p>
      <w:pPr>
        <w:pStyle w:val="13"/>
        <w:adjustRightInd w:val="0"/>
        <w:snapToGrid w:val="0"/>
        <w:spacing w:line="600" w:lineRule="exact"/>
        <w:ind w:left="0" w:leftChars="0"/>
        <w:jc w:val="left"/>
        <w:rPr>
          <w:rFonts w:hint="eastAsia" w:eastAsia="仿宋_GB2312"/>
          <w:sz w:val="28"/>
          <w:szCs w:val="28"/>
          <w:lang w:val="en-US" w:eastAsia="zh-CN"/>
        </w:rPr>
      </w:pPr>
      <w:r>
        <w:rPr>
          <w:rFonts w:eastAsia="仿宋_GB2312"/>
          <w:sz w:val="28"/>
          <w:szCs w:val="28"/>
        </w:rPr>
        <w:t>第一部分 单位概况</w:t>
      </w:r>
      <w:r>
        <w:rPr>
          <w:rFonts w:eastAsia="仿宋_GB2312"/>
          <w:sz w:val="28"/>
          <w:szCs w:val="28"/>
        </w:rPr>
        <w:ptab w:relativeTo="margin" w:alignment="right" w:leader="dot"/>
      </w:r>
      <w:r>
        <w:rPr>
          <w:rFonts w:hint="eastAsia" w:eastAsia="仿宋_GB2312"/>
          <w:sz w:val="28"/>
          <w:szCs w:val="28"/>
          <w:lang w:val="en-US" w:eastAsia="zh-CN"/>
        </w:rPr>
        <w:t>1</w:t>
      </w:r>
    </w:p>
    <w:p>
      <w:pPr>
        <w:pStyle w:val="13"/>
        <w:adjustRightInd w:val="0"/>
        <w:snapToGrid w:val="0"/>
        <w:spacing w:line="600" w:lineRule="exact"/>
        <w:ind w:left="0" w:leftChars="0" w:firstLine="560" w:firstLineChars="200"/>
        <w:jc w:val="left"/>
        <w:rPr>
          <w:rFonts w:hint="eastAsia" w:eastAsia="仿宋_GB2312"/>
          <w:sz w:val="28"/>
          <w:szCs w:val="28"/>
          <w:lang w:val="en-US" w:eastAsia="zh-CN"/>
        </w:rPr>
      </w:pPr>
      <w:r>
        <w:rPr>
          <w:rFonts w:eastAsia="仿宋_GB2312"/>
          <w:sz w:val="28"/>
          <w:szCs w:val="28"/>
        </w:rPr>
        <w:t>一、主要职责</w:t>
      </w:r>
      <w:r>
        <w:rPr>
          <w:rFonts w:eastAsia="仿宋_GB2312"/>
          <w:sz w:val="28"/>
          <w:szCs w:val="28"/>
        </w:rPr>
        <w:ptab w:relativeTo="margin" w:alignment="right" w:leader="dot"/>
      </w:r>
      <w:r>
        <w:rPr>
          <w:rFonts w:hint="eastAsia" w:eastAsia="仿宋_GB2312"/>
          <w:sz w:val="28"/>
          <w:szCs w:val="28"/>
          <w:lang w:val="en-US" w:eastAsia="zh-CN"/>
        </w:rPr>
        <w:t>1</w:t>
      </w:r>
    </w:p>
    <w:p>
      <w:pPr>
        <w:pStyle w:val="13"/>
        <w:adjustRightInd w:val="0"/>
        <w:snapToGrid w:val="0"/>
        <w:spacing w:line="600" w:lineRule="exact"/>
        <w:ind w:left="0" w:leftChars="0" w:firstLine="560" w:firstLineChars="200"/>
        <w:jc w:val="left"/>
        <w:rPr>
          <w:rFonts w:hint="eastAsia" w:eastAsia="仿宋_GB2312"/>
          <w:sz w:val="28"/>
          <w:szCs w:val="28"/>
          <w:lang w:val="en-US" w:eastAsia="zh-CN"/>
        </w:rPr>
      </w:pPr>
      <w:r>
        <w:rPr>
          <w:rFonts w:eastAsia="仿宋_GB2312"/>
          <w:sz w:val="28"/>
          <w:szCs w:val="28"/>
        </w:rPr>
        <w:t>二、机构设置</w:t>
      </w:r>
      <w:r>
        <w:rPr>
          <w:rFonts w:eastAsia="仿宋_GB2312"/>
          <w:sz w:val="28"/>
          <w:szCs w:val="28"/>
        </w:rPr>
        <w:ptab w:relativeTo="margin" w:alignment="right" w:leader="dot"/>
      </w:r>
      <w:r>
        <w:rPr>
          <w:rFonts w:hint="eastAsia" w:eastAsia="仿宋_GB2312"/>
          <w:sz w:val="28"/>
          <w:szCs w:val="28"/>
          <w:lang w:val="en-US" w:eastAsia="zh-CN"/>
        </w:rPr>
        <w:t>1</w:t>
      </w:r>
    </w:p>
    <w:p>
      <w:pPr>
        <w:pStyle w:val="13"/>
        <w:adjustRightInd w:val="0"/>
        <w:snapToGrid w:val="0"/>
        <w:spacing w:line="600" w:lineRule="exact"/>
        <w:ind w:left="0" w:leftChars="0"/>
        <w:jc w:val="left"/>
        <w:rPr>
          <w:rFonts w:hint="eastAsia" w:eastAsia="仿宋_GB2312"/>
          <w:sz w:val="28"/>
          <w:szCs w:val="28"/>
          <w:lang w:val="en-US" w:eastAsia="zh-CN"/>
        </w:rPr>
      </w:pPr>
      <w:r>
        <w:rPr>
          <w:rFonts w:eastAsia="仿宋_GB2312"/>
          <w:sz w:val="28"/>
          <w:szCs w:val="28"/>
        </w:rPr>
        <w:t>第二部分 2023年度单位决算情况说明</w:t>
      </w:r>
      <w:r>
        <w:rPr>
          <w:rFonts w:eastAsia="仿宋_GB2312"/>
          <w:sz w:val="28"/>
          <w:szCs w:val="28"/>
        </w:rPr>
        <w:ptab w:relativeTo="margin" w:alignment="right" w:leader="dot"/>
      </w:r>
      <w:r>
        <w:rPr>
          <w:rFonts w:hint="eastAsia" w:eastAsia="仿宋_GB2312"/>
          <w:sz w:val="28"/>
          <w:szCs w:val="28"/>
          <w:lang w:val="en-US" w:eastAsia="zh-CN"/>
        </w:rPr>
        <w:t>2</w:t>
      </w:r>
    </w:p>
    <w:p>
      <w:pPr>
        <w:pStyle w:val="13"/>
        <w:adjustRightInd w:val="0"/>
        <w:snapToGrid w:val="0"/>
        <w:spacing w:line="600" w:lineRule="exact"/>
        <w:ind w:left="0" w:leftChars="0" w:firstLine="560" w:firstLineChars="200"/>
        <w:jc w:val="left"/>
        <w:rPr>
          <w:rFonts w:hint="eastAsia" w:eastAsia="仿宋_GB2312"/>
          <w:sz w:val="28"/>
          <w:szCs w:val="28"/>
          <w:lang w:val="en-US" w:eastAsia="zh-CN"/>
        </w:rPr>
      </w:pPr>
      <w:r>
        <w:rPr>
          <w:rFonts w:eastAsia="仿宋_GB2312"/>
          <w:sz w:val="28"/>
          <w:szCs w:val="28"/>
        </w:rPr>
        <w:t>一、收入支出决算总体情况说明</w:t>
      </w:r>
      <w:r>
        <w:rPr>
          <w:rFonts w:eastAsia="仿宋_GB2312"/>
          <w:sz w:val="28"/>
          <w:szCs w:val="28"/>
        </w:rPr>
        <w:ptab w:relativeTo="margin" w:alignment="right" w:leader="dot"/>
      </w:r>
      <w:r>
        <w:rPr>
          <w:rFonts w:hint="eastAsia" w:eastAsia="仿宋_GB2312"/>
          <w:sz w:val="28"/>
          <w:szCs w:val="28"/>
          <w:lang w:val="en-US" w:eastAsia="zh-CN"/>
        </w:rPr>
        <w:t>2</w:t>
      </w:r>
    </w:p>
    <w:p>
      <w:pPr>
        <w:pStyle w:val="13"/>
        <w:adjustRightInd w:val="0"/>
        <w:snapToGrid w:val="0"/>
        <w:spacing w:line="600" w:lineRule="exact"/>
        <w:ind w:left="0" w:leftChars="0" w:firstLine="560" w:firstLineChars="200"/>
        <w:jc w:val="left"/>
        <w:rPr>
          <w:rFonts w:hint="eastAsia" w:eastAsia="仿宋_GB2312"/>
          <w:sz w:val="28"/>
          <w:szCs w:val="28"/>
          <w:lang w:val="en-US" w:eastAsia="zh-CN"/>
        </w:rPr>
      </w:pPr>
      <w:r>
        <w:rPr>
          <w:rFonts w:eastAsia="仿宋_GB2312"/>
          <w:sz w:val="28"/>
          <w:szCs w:val="28"/>
        </w:rPr>
        <w:t>二、收入决算情况说明</w:t>
      </w:r>
      <w:r>
        <w:rPr>
          <w:rFonts w:eastAsia="仿宋_GB2312"/>
          <w:sz w:val="28"/>
          <w:szCs w:val="28"/>
        </w:rPr>
        <w:ptab w:relativeTo="margin" w:alignment="right" w:leader="dot"/>
      </w:r>
      <w:r>
        <w:rPr>
          <w:rFonts w:hint="eastAsia" w:eastAsia="仿宋_GB2312"/>
          <w:sz w:val="28"/>
          <w:szCs w:val="28"/>
          <w:lang w:val="en-US" w:eastAsia="zh-CN"/>
        </w:rPr>
        <w:t>2</w:t>
      </w:r>
    </w:p>
    <w:p>
      <w:pPr>
        <w:pStyle w:val="13"/>
        <w:adjustRightInd w:val="0"/>
        <w:snapToGrid w:val="0"/>
        <w:spacing w:line="600" w:lineRule="exact"/>
        <w:ind w:left="0" w:leftChars="0" w:firstLine="560" w:firstLineChars="200"/>
        <w:jc w:val="left"/>
        <w:rPr>
          <w:rFonts w:hint="eastAsia" w:eastAsia="仿宋_GB2312"/>
          <w:sz w:val="28"/>
          <w:szCs w:val="28"/>
          <w:lang w:val="en-US" w:eastAsia="zh-CN"/>
        </w:rPr>
      </w:pPr>
      <w:r>
        <w:rPr>
          <w:rFonts w:eastAsia="仿宋_GB2312"/>
          <w:sz w:val="28"/>
          <w:szCs w:val="28"/>
        </w:rPr>
        <w:t>三、支出决算情况说明</w:t>
      </w:r>
      <w:r>
        <w:rPr>
          <w:rFonts w:eastAsia="仿宋_GB2312"/>
          <w:sz w:val="28"/>
          <w:szCs w:val="28"/>
        </w:rPr>
        <w:ptab w:relativeTo="margin" w:alignment="right" w:leader="dot"/>
      </w:r>
      <w:r>
        <w:rPr>
          <w:rFonts w:hint="eastAsia" w:eastAsia="仿宋_GB2312"/>
          <w:sz w:val="28"/>
          <w:szCs w:val="28"/>
          <w:lang w:val="en-US" w:eastAsia="zh-CN"/>
        </w:rPr>
        <w:t>3</w:t>
      </w:r>
    </w:p>
    <w:p>
      <w:pPr>
        <w:pStyle w:val="13"/>
        <w:adjustRightInd w:val="0"/>
        <w:snapToGrid w:val="0"/>
        <w:spacing w:line="600" w:lineRule="exact"/>
        <w:ind w:left="0" w:leftChars="0" w:firstLine="560" w:firstLineChars="200"/>
        <w:jc w:val="left"/>
        <w:rPr>
          <w:rFonts w:hint="eastAsia" w:eastAsia="仿宋_GB2312"/>
          <w:sz w:val="28"/>
          <w:szCs w:val="28"/>
          <w:lang w:val="en-US" w:eastAsia="zh-CN"/>
        </w:rPr>
      </w:pPr>
      <w:r>
        <w:rPr>
          <w:rFonts w:eastAsia="仿宋_GB2312"/>
          <w:sz w:val="28"/>
          <w:szCs w:val="28"/>
        </w:rPr>
        <w:t>四、财政拨款收入支出决算总体情况说明</w:t>
      </w:r>
      <w:r>
        <w:rPr>
          <w:rFonts w:eastAsia="仿宋_GB2312"/>
          <w:sz w:val="28"/>
          <w:szCs w:val="28"/>
        </w:rPr>
        <w:ptab w:relativeTo="margin" w:alignment="right" w:leader="dot"/>
      </w:r>
      <w:r>
        <w:rPr>
          <w:rFonts w:hint="eastAsia" w:eastAsia="仿宋_GB2312"/>
          <w:sz w:val="28"/>
          <w:szCs w:val="28"/>
          <w:lang w:val="en-US" w:eastAsia="zh-CN"/>
        </w:rPr>
        <w:t>4</w:t>
      </w:r>
    </w:p>
    <w:p>
      <w:pPr>
        <w:pStyle w:val="13"/>
        <w:adjustRightInd w:val="0"/>
        <w:snapToGrid w:val="0"/>
        <w:spacing w:line="600" w:lineRule="exact"/>
        <w:ind w:left="0" w:leftChars="0" w:firstLine="560" w:firstLineChars="200"/>
        <w:jc w:val="left"/>
        <w:rPr>
          <w:rFonts w:hint="eastAsia" w:eastAsia="仿宋_GB2312"/>
          <w:sz w:val="28"/>
          <w:szCs w:val="28"/>
          <w:lang w:val="en-US" w:eastAsia="zh-CN"/>
        </w:rPr>
      </w:pPr>
      <w:r>
        <w:rPr>
          <w:rFonts w:eastAsia="仿宋_GB2312"/>
          <w:sz w:val="28"/>
          <w:szCs w:val="28"/>
        </w:rPr>
        <w:t>五、一般公共预算财政拨款支出决算情况说明</w:t>
      </w:r>
      <w:r>
        <w:rPr>
          <w:rFonts w:eastAsia="仿宋_GB2312"/>
          <w:sz w:val="28"/>
          <w:szCs w:val="28"/>
        </w:rPr>
        <w:ptab w:relativeTo="margin" w:alignment="right" w:leader="dot"/>
      </w:r>
      <w:r>
        <w:rPr>
          <w:rFonts w:hint="eastAsia" w:eastAsia="仿宋_GB2312"/>
          <w:sz w:val="28"/>
          <w:szCs w:val="28"/>
          <w:lang w:val="en-US" w:eastAsia="zh-CN"/>
        </w:rPr>
        <w:t>4</w:t>
      </w:r>
    </w:p>
    <w:p>
      <w:pPr>
        <w:pStyle w:val="13"/>
        <w:adjustRightInd w:val="0"/>
        <w:snapToGrid w:val="0"/>
        <w:spacing w:line="600" w:lineRule="exact"/>
        <w:ind w:left="0" w:leftChars="0" w:firstLine="560" w:firstLineChars="200"/>
        <w:jc w:val="left"/>
        <w:rPr>
          <w:rFonts w:hint="eastAsia" w:eastAsia="仿宋_GB2312"/>
          <w:sz w:val="28"/>
          <w:szCs w:val="28"/>
          <w:lang w:val="en-US" w:eastAsia="zh-CN"/>
        </w:rPr>
      </w:pPr>
      <w:r>
        <w:rPr>
          <w:rFonts w:eastAsia="仿宋_GB2312"/>
          <w:sz w:val="28"/>
          <w:szCs w:val="28"/>
        </w:rPr>
        <w:t>六、一般公共预算财政拨款基本支出决算情况说明</w:t>
      </w:r>
      <w:r>
        <w:rPr>
          <w:rFonts w:eastAsia="仿宋_GB2312"/>
          <w:sz w:val="28"/>
          <w:szCs w:val="28"/>
        </w:rPr>
        <w:ptab w:relativeTo="margin" w:alignment="right" w:leader="dot"/>
      </w:r>
      <w:r>
        <w:rPr>
          <w:rFonts w:hint="eastAsia" w:eastAsia="仿宋_GB2312"/>
          <w:sz w:val="28"/>
          <w:szCs w:val="28"/>
          <w:lang w:val="en-US" w:eastAsia="zh-CN"/>
        </w:rPr>
        <w:t>7</w:t>
      </w:r>
    </w:p>
    <w:p>
      <w:pPr>
        <w:pStyle w:val="13"/>
        <w:adjustRightInd w:val="0"/>
        <w:snapToGrid w:val="0"/>
        <w:spacing w:line="600" w:lineRule="exact"/>
        <w:ind w:left="0" w:leftChars="0" w:firstLine="560" w:firstLineChars="200"/>
        <w:jc w:val="left"/>
        <w:rPr>
          <w:rFonts w:hint="eastAsia" w:eastAsia="仿宋_GB2312"/>
          <w:sz w:val="28"/>
          <w:szCs w:val="28"/>
          <w:lang w:val="en-US" w:eastAsia="zh-CN"/>
        </w:rPr>
      </w:pPr>
      <w:r>
        <w:rPr>
          <w:rFonts w:eastAsia="仿宋_GB2312"/>
          <w:sz w:val="28"/>
          <w:szCs w:val="28"/>
        </w:rPr>
        <w:t>七、财政拨款“三公”经费支出决算情况说明</w:t>
      </w:r>
      <w:r>
        <w:rPr>
          <w:rFonts w:eastAsia="仿宋_GB2312"/>
          <w:sz w:val="28"/>
          <w:szCs w:val="28"/>
        </w:rPr>
        <w:ptab w:relativeTo="margin" w:alignment="right" w:leader="dot"/>
      </w:r>
      <w:r>
        <w:rPr>
          <w:rFonts w:hint="eastAsia" w:eastAsia="仿宋_GB2312"/>
          <w:sz w:val="28"/>
          <w:szCs w:val="28"/>
          <w:lang w:val="en-US" w:eastAsia="zh-CN"/>
        </w:rPr>
        <w:t>7</w:t>
      </w:r>
    </w:p>
    <w:p>
      <w:pPr>
        <w:pStyle w:val="13"/>
        <w:adjustRightInd w:val="0"/>
        <w:snapToGrid w:val="0"/>
        <w:spacing w:line="600" w:lineRule="exact"/>
        <w:ind w:left="0" w:leftChars="0" w:firstLine="560" w:firstLineChars="200"/>
        <w:jc w:val="left"/>
        <w:rPr>
          <w:rFonts w:hint="eastAsia" w:eastAsia="仿宋_GB2312"/>
          <w:sz w:val="28"/>
          <w:szCs w:val="28"/>
          <w:lang w:val="en-US" w:eastAsia="zh-CN"/>
        </w:rPr>
      </w:pPr>
      <w:r>
        <w:rPr>
          <w:rFonts w:eastAsia="仿宋_GB2312"/>
          <w:sz w:val="28"/>
          <w:szCs w:val="28"/>
        </w:rPr>
        <w:t>八、政府性基金预算支出决算情况说明</w:t>
      </w:r>
      <w:r>
        <w:rPr>
          <w:rFonts w:eastAsia="仿宋_GB2312"/>
          <w:sz w:val="28"/>
          <w:szCs w:val="28"/>
        </w:rPr>
        <w:ptab w:relativeTo="margin" w:alignment="right" w:leader="dot"/>
      </w:r>
      <w:r>
        <w:rPr>
          <w:rFonts w:hint="eastAsia" w:eastAsia="仿宋_GB2312"/>
          <w:sz w:val="28"/>
          <w:szCs w:val="28"/>
          <w:lang w:val="en-US" w:eastAsia="zh-CN"/>
        </w:rPr>
        <w:t>8</w:t>
      </w:r>
    </w:p>
    <w:p>
      <w:pPr>
        <w:pStyle w:val="13"/>
        <w:adjustRightInd w:val="0"/>
        <w:snapToGrid w:val="0"/>
        <w:spacing w:line="600" w:lineRule="exact"/>
        <w:ind w:left="0" w:leftChars="0" w:firstLine="560" w:firstLineChars="200"/>
        <w:jc w:val="left"/>
        <w:rPr>
          <w:rFonts w:hint="eastAsia" w:eastAsia="仿宋_GB2312"/>
          <w:sz w:val="28"/>
          <w:szCs w:val="28"/>
          <w:lang w:val="en-US" w:eastAsia="zh-CN"/>
        </w:rPr>
      </w:pPr>
      <w:r>
        <w:rPr>
          <w:rFonts w:eastAsia="仿宋_GB2312"/>
          <w:sz w:val="28"/>
          <w:szCs w:val="28"/>
        </w:rPr>
        <w:t>九、国有资本经营预算支出决算情况说明</w:t>
      </w:r>
      <w:r>
        <w:rPr>
          <w:rFonts w:eastAsia="仿宋_GB2312"/>
          <w:sz w:val="28"/>
          <w:szCs w:val="28"/>
        </w:rPr>
        <w:ptab w:relativeTo="margin" w:alignment="right" w:leader="dot"/>
      </w:r>
      <w:r>
        <w:rPr>
          <w:rFonts w:hint="eastAsia" w:eastAsia="仿宋_GB2312"/>
          <w:sz w:val="28"/>
          <w:szCs w:val="28"/>
          <w:lang w:val="en-US" w:eastAsia="zh-CN"/>
        </w:rPr>
        <w:t>8</w:t>
      </w:r>
    </w:p>
    <w:p>
      <w:pPr>
        <w:pStyle w:val="13"/>
        <w:adjustRightInd w:val="0"/>
        <w:snapToGrid w:val="0"/>
        <w:spacing w:line="600" w:lineRule="exact"/>
        <w:ind w:left="0" w:leftChars="0" w:firstLine="560" w:firstLineChars="200"/>
        <w:jc w:val="left"/>
        <w:rPr>
          <w:rFonts w:hint="eastAsia" w:eastAsia="仿宋_GB2312"/>
          <w:sz w:val="28"/>
          <w:szCs w:val="28"/>
          <w:lang w:val="en-US" w:eastAsia="zh-CN"/>
        </w:rPr>
      </w:pPr>
      <w:r>
        <w:rPr>
          <w:rFonts w:eastAsia="仿宋_GB2312"/>
          <w:sz w:val="28"/>
          <w:szCs w:val="28"/>
        </w:rPr>
        <w:t>十、其他重要事项的情况说明</w:t>
      </w:r>
      <w:r>
        <w:rPr>
          <w:rFonts w:eastAsia="仿宋_GB2312"/>
          <w:sz w:val="28"/>
          <w:szCs w:val="28"/>
        </w:rPr>
        <w:ptab w:relativeTo="margin" w:alignment="right" w:leader="dot"/>
      </w:r>
      <w:r>
        <w:rPr>
          <w:rFonts w:hint="eastAsia" w:eastAsia="仿宋_GB2312"/>
          <w:sz w:val="28"/>
          <w:szCs w:val="28"/>
          <w:lang w:val="en-US" w:eastAsia="zh-CN"/>
        </w:rPr>
        <w:t>8</w:t>
      </w:r>
    </w:p>
    <w:p>
      <w:pPr>
        <w:pStyle w:val="13"/>
        <w:adjustRightInd w:val="0"/>
        <w:snapToGrid w:val="0"/>
        <w:spacing w:line="600" w:lineRule="exact"/>
        <w:ind w:left="0" w:leftChars="0"/>
        <w:jc w:val="left"/>
        <w:rPr>
          <w:rFonts w:hint="default" w:eastAsia="仿宋_GB2312"/>
          <w:sz w:val="28"/>
          <w:szCs w:val="28"/>
          <w:lang w:val="en-US" w:eastAsia="zh-CN"/>
        </w:rPr>
      </w:pPr>
      <w:r>
        <w:rPr>
          <w:rFonts w:eastAsia="仿宋_GB2312"/>
          <w:sz w:val="28"/>
          <w:szCs w:val="28"/>
        </w:rPr>
        <w:t>第三部分 名词解释</w:t>
      </w:r>
      <w:r>
        <w:rPr>
          <w:rFonts w:eastAsia="仿宋_GB2312"/>
          <w:sz w:val="28"/>
          <w:szCs w:val="28"/>
        </w:rPr>
        <w:ptab w:relativeTo="margin" w:alignment="right" w:leader="dot"/>
      </w:r>
      <w:r>
        <w:rPr>
          <w:rFonts w:hint="eastAsia" w:eastAsia="仿宋_GB2312"/>
          <w:sz w:val="28"/>
          <w:szCs w:val="28"/>
          <w:lang w:val="en-US" w:eastAsia="zh-CN"/>
        </w:rPr>
        <w:t>10</w:t>
      </w:r>
    </w:p>
    <w:p>
      <w:pPr>
        <w:pStyle w:val="13"/>
        <w:adjustRightInd w:val="0"/>
        <w:snapToGrid w:val="0"/>
        <w:spacing w:line="600" w:lineRule="exact"/>
        <w:ind w:left="0" w:leftChars="0"/>
        <w:jc w:val="left"/>
        <w:rPr>
          <w:rFonts w:hint="default" w:eastAsia="仿宋_GB2312"/>
          <w:sz w:val="28"/>
          <w:szCs w:val="28"/>
          <w:lang w:val="en-US" w:eastAsia="zh-CN"/>
        </w:rPr>
      </w:pPr>
      <w:r>
        <w:rPr>
          <w:rFonts w:eastAsia="仿宋_GB2312"/>
          <w:sz w:val="28"/>
          <w:szCs w:val="28"/>
        </w:rPr>
        <w:t>第四部分 附件</w:t>
      </w:r>
      <w:r>
        <w:rPr>
          <w:rFonts w:eastAsia="仿宋_GB2312"/>
          <w:sz w:val="28"/>
          <w:szCs w:val="28"/>
        </w:rPr>
        <w:ptab w:relativeTo="margin" w:alignment="right" w:leader="dot"/>
      </w:r>
      <w:r>
        <w:rPr>
          <w:rFonts w:hint="eastAsia" w:eastAsia="仿宋_GB2312"/>
          <w:sz w:val="28"/>
          <w:szCs w:val="28"/>
          <w:lang w:val="en-US" w:eastAsia="zh-CN"/>
        </w:rPr>
        <w:t>13</w:t>
      </w:r>
    </w:p>
    <w:p>
      <w:pPr>
        <w:pStyle w:val="13"/>
        <w:adjustRightInd w:val="0"/>
        <w:snapToGrid w:val="0"/>
        <w:spacing w:line="600" w:lineRule="exact"/>
        <w:ind w:left="0" w:leftChars="0"/>
        <w:jc w:val="left"/>
        <w:rPr>
          <w:rFonts w:hint="default" w:eastAsia="仿宋_GB2312"/>
          <w:sz w:val="28"/>
          <w:szCs w:val="28"/>
          <w:lang w:val="en-US" w:eastAsia="zh-CN"/>
        </w:rPr>
      </w:pPr>
      <w:r>
        <w:rPr>
          <w:rFonts w:eastAsia="仿宋_GB2312"/>
          <w:sz w:val="28"/>
          <w:szCs w:val="28"/>
        </w:rPr>
        <w:t>第五部分 附表</w:t>
      </w:r>
      <w:r>
        <w:rPr>
          <w:rFonts w:eastAsia="仿宋_GB2312"/>
          <w:sz w:val="28"/>
          <w:szCs w:val="28"/>
        </w:rPr>
        <w:ptab w:relativeTo="margin" w:alignment="right" w:leader="dot"/>
      </w:r>
      <w:r>
        <w:rPr>
          <w:rFonts w:hint="eastAsia" w:eastAsia="仿宋_GB2312"/>
          <w:sz w:val="28"/>
          <w:szCs w:val="28"/>
          <w:lang w:val="en-US" w:eastAsia="zh-CN"/>
        </w:rPr>
        <w:t>14</w:t>
      </w:r>
    </w:p>
    <w:p>
      <w:pPr>
        <w:pStyle w:val="13"/>
        <w:adjustRightInd w:val="0"/>
        <w:snapToGrid w:val="0"/>
        <w:spacing w:line="600" w:lineRule="exact"/>
        <w:ind w:left="0" w:leftChars="0" w:firstLine="560" w:firstLineChars="200"/>
        <w:jc w:val="left"/>
        <w:rPr>
          <w:rFonts w:hint="default" w:eastAsia="仿宋_GB2312"/>
          <w:sz w:val="28"/>
          <w:szCs w:val="28"/>
          <w:lang w:val="en-US" w:eastAsia="zh-CN"/>
        </w:rPr>
      </w:pPr>
      <w:r>
        <w:rPr>
          <w:rFonts w:eastAsia="仿宋_GB2312"/>
          <w:sz w:val="28"/>
          <w:szCs w:val="28"/>
        </w:rPr>
        <w:t>一、收入支出决算总表</w:t>
      </w:r>
      <w:r>
        <w:rPr>
          <w:rFonts w:eastAsia="仿宋_GB2312"/>
          <w:sz w:val="28"/>
          <w:szCs w:val="28"/>
        </w:rPr>
        <w:ptab w:relativeTo="margin" w:alignment="right" w:leader="dot"/>
      </w:r>
      <w:r>
        <w:rPr>
          <w:rFonts w:hint="eastAsia" w:eastAsia="仿宋_GB2312"/>
          <w:sz w:val="28"/>
          <w:szCs w:val="28"/>
          <w:lang w:val="en-US" w:eastAsia="zh-CN"/>
        </w:rPr>
        <w:t>14</w:t>
      </w:r>
    </w:p>
    <w:p>
      <w:pPr>
        <w:pStyle w:val="13"/>
        <w:adjustRightInd w:val="0"/>
        <w:snapToGrid w:val="0"/>
        <w:spacing w:line="600" w:lineRule="exact"/>
        <w:ind w:left="0" w:leftChars="0" w:firstLine="560" w:firstLineChars="200"/>
        <w:jc w:val="left"/>
        <w:rPr>
          <w:rFonts w:eastAsia="仿宋_GB2312"/>
          <w:sz w:val="28"/>
          <w:szCs w:val="28"/>
        </w:rPr>
        <w:sectPr>
          <w:headerReference r:id="rId3" w:type="default"/>
          <w:pgSz w:w="11906" w:h="16838"/>
          <w:pgMar w:top="1440" w:right="1474" w:bottom="1440" w:left="1588" w:header="851" w:footer="992" w:gutter="0"/>
          <w:pgNumType w:start="1"/>
          <w:cols w:space="425" w:num="1"/>
          <w:titlePg/>
          <w:docGrid w:type="lines" w:linePitch="312" w:charSpace="0"/>
        </w:sectPr>
      </w:pPr>
    </w:p>
    <w:p>
      <w:pPr>
        <w:pStyle w:val="13"/>
        <w:adjustRightInd w:val="0"/>
        <w:snapToGrid w:val="0"/>
        <w:spacing w:line="600" w:lineRule="exact"/>
        <w:ind w:left="0" w:leftChars="0" w:firstLine="560" w:firstLineChars="200"/>
        <w:jc w:val="left"/>
        <w:rPr>
          <w:rFonts w:eastAsia="仿宋_GB2312"/>
          <w:sz w:val="28"/>
          <w:szCs w:val="28"/>
        </w:rPr>
      </w:pPr>
      <w:r>
        <w:rPr>
          <w:rFonts w:eastAsia="仿宋_GB2312"/>
          <w:sz w:val="28"/>
          <w:szCs w:val="28"/>
        </w:rPr>
        <w:t>二、收入决算表</w:t>
      </w:r>
      <w:r>
        <w:rPr>
          <w:rFonts w:eastAsia="仿宋_GB2312"/>
          <w:sz w:val="28"/>
          <w:szCs w:val="28"/>
        </w:rPr>
        <w:ptab w:relativeTo="margin" w:alignment="right" w:leader="dot"/>
      </w:r>
      <w:r>
        <w:rPr>
          <w:rFonts w:hint="eastAsia" w:eastAsia="仿宋_GB2312"/>
          <w:sz w:val="28"/>
          <w:szCs w:val="28"/>
          <w:lang w:val="en-US" w:eastAsia="zh-CN"/>
        </w:rPr>
        <w:t>14</w:t>
      </w:r>
    </w:p>
    <w:p>
      <w:pPr>
        <w:pStyle w:val="13"/>
        <w:adjustRightInd w:val="0"/>
        <w:snapToGrid w:val="0"/>
        <w:spacing w:line="600" w:lineRule="exact"/>
        <w:ind w:left="0" w:leftChars="0" w:firstLine="560" w:firstLineChars="200"/>
        <w:jc w:val="left"/>
        <w:rPr>
          <w:rFonts w:eastAsia="仿宋_GB2312"/>
          <w:sz w:val="28"/>
          <w:szCs w:val="28"/>
        </w:rPr>
      </w:pPr>
      <w:r>
        <w:rPr>
          <w:rFonts w:eastAsia="仿宋_GB2312"/>
          <w:sz w:val="28"/>
          <w:szCs w:val="28"/>
        </w:rPr>
        <w:t>三、支出决算表</w:t>
      </w:r>
      <w:r>
        <w:rPr>
          <w:rFonts w:eastAsia="仿宋_GB2312"/>
          <w:sz w:val="28"/>
          <w:szCs w:val="28"/>
        </w:rPr>
        <w:ptab w:relativeTo="margin" w:alignment="right" w:leader="dot"/>
      </w:r>
      <w:r>
        <w:rPr>
          <w:rFonts w:hint="eastAsia" w:eastAsia="仿宋_GB2312"/>
          <w:sz w:val="28"/>
          <w:szCs w:val="28"/>
          <w:lang w:val="en-US" w:eastAsia="zh-CN"/>
        </w:rPr>
        <w:t>14</w:t>
      </w:r>
    </w:p>
    <w:p>
      <w:pPr>
        <w:pStyle w:val="13"/>
        <w:adjustRightInd w:val="0"/>
        <w:snapToGrid w:val="0"/>
        <w:spacing w:line="600" w:lineRule="exact"/>
        <w:ind w:left="0" w:leftChars="0" w:firstLine="560" w:firstLineChars="200"/>
        <w:jc w:val="left"/>
        <w:rPr>
          <w:rFonts w:eastAsia="仿宋_GB2312"/>
          <w:sz w:val="28"/>
          <w:szCs w:val="28"/>
        </w:rPr>
      </w:pPr>
      <w:r>
        <w:rPr>
          <w:rFonts w:eastAsia="仿宋_GB2312"/>
          <w:sz w:val="28"/>
          <w:szCs w:val="28"/>
        </w:rPr>
        <w:t>四、财政拨款收入支出决算总表</w:t>
      </w:r>
      <w:r>
        <w:rPr>
          <w:rFonts w:eastAsia="仿宋_GB2312"/>
          <w:sz w:val="28"/>
          <w:szCs w:val="28"/>
        </w:rPr>
        <w:ptab w:relativeTo="margin" w:alignment="right" w:leader="dot"/>
      </w:r>
      <w:r>
        <w:rPr>
          <w:rFonts w:hint="eastAsia" w:eastAsia="仿宋_GB2312"/>
          <w:sz w:val="28"/>
          <w:szCs w:val="28"/>
          <w:lang w:val="en-US" w:eastAsia="zh-CN"/>
        </w:rPr>
        <w:t>14</w:t>
      </w:r>
    </w:p>
    <w:p>
      <w:pPr>
        <w:pStyle w:val="13"/>
        <w:adjustRightInd w:val="0"/>
        <w:snapToGrid w:val="0"/>
        <w:spacing w:line="600" w:lineRule="exact"/>
        <w:ind w:left="0" w:leftChars="0" w:firstLine="560" w:firstLineChars="200"/>
        <w:jc w:val="left"/>
        <w:rPr>
          <w:rFonts w:eastAsia="仿宋_GB2312"/>
          <w:sz w:val="28"/>
          <w:szCs w:val="28"/>
        </w:rPr>
      </w:pPr>
      <w:r>
        <w:rPr>
          <w:rFonts w:eastAsia="仿宋_GB2312"/>
          <w:sz w:val="28"/>
          <w:szCs w:val="28"/>
        </w:rPr>
        <w:t>五、财政拨款支出决算明细表</w:t>
      </w:r>
      <w:r>
        <w:rPr>
          <w:rFonts w:eastAsia="仿宋_GB2312"/>
          <w:sz w:val="28"/>
          <w:szCs w:val="28"/>
        </w:rPr>
        <w:ptab w:relativeTo="margin" w:alignment="right" w:leader="dot"/>
      </w:r>
      <w:r>
        <w:rPr>
          <w:rFonts w:hint="eastAsia" w:eastAsia="仿宋_GB2312"/>
          <w:sz w:val="28"/>
          <w:szCs w:val="28"/>
          <w:lang w:val="en-US" w:eastAsia="zh-CN"/>
        </w:rPr>
        <w:t>14</w:t>
      </w:r>
    </w:p>
    <w:p>
      <w:pPr>
        <w:pStyle w:val="13"/>
        <w:adjustRightInd w:val="0"/>
        <w:snapToGrid w:val="0"/>
        <w:spacing w:line="600" w:lineRule="exact"/>
        <w:ind w:left="0" w:leftChars="0" w:firstLine="560" w:firstLineChars="200"/>
        <w:jc w:val="left"/>
        <w:rPr>
          <w:rFonts w:hint="default" w:eastAsia="仿宋_GB2312"/>
          <w:sz w:val="28"/>
          <w:szCs w:val="28"/>
          <w:lang w:val="en-US" w:eastAsia="zh-CN"/>
        </w:rPr>
      </w:pPr>
      <w:r>
        <w:rPr>
          <w:rFonts w:eastAsia="仿宋_GB2312"/>
          <w:sz w:val="28"/>
          <w:szCs w:val="28"/>
        </w:rPr>
        <w:t>六、一般公共预算财政拨款支出决算表</w:t>
      </w:r>
      <w:r>
        <w:rPr>
          <w:rFonts w:eastAsia="仿宋_GB2312"/>
          <w:sz w:val="28"/>
          <w:szCs w:val="28"/>
        </w:rPr>
        <w:ptab w:relativeTo="margin" w:alignment="right" w:leader="dot"/>
      </w:r>
      <w:r>
        <w:rPr>
          <w:rFonts w:hint="eastAsia" w:eastAsia="仿宋_GB2312"/>
          <w:sz w:val="28"/>
          <w:szCs w:val="28"/>
          <w:lang w:val="en-US" w:eastAsia="zh-CN"/>
        </w:rPr>
        <w:t>14</w:t>
      </w:r>
    </w:p>
    <w:p>
      <w:pPr>
        <w:pStyle w:val="13"/>
        <w:adjustRightInd w:val="0"/>
        <w:snapToGrid w:val="0"/>
        <w:spacing w:line="600" w:lineRule="exact"/>
        <w:ind w:left="0" w:leftChars="0" w:firstLine="560" w:firstLineChars="200"/>
        <w:jc w:val="left"/>
        <w:rPr>
          <w:rFonts w:eastAsia="仿宋_GB2312"/>
          <w:sz w:val="28"/>
          <w:szCs w:val="28"/>
        </w:rPr>
      </w:pPr>
      <w:r>
        <w:rPr>
          <w:rFonts w:eastAsia="仿宋_GB2312"/>
          <w:sz w:val="28"/>
          <w:szCs w:val="28"/>
        </w:rPr>
        <w:t>七、一般公共预算财政拨款支出决算明细表</w:t>
      </w:r>
      <w:r>
        <w:rPr>
          <w:rFonts w:eastAsia="仿宋_GB2312"/>
          <w:sz w:val="28"/>
          <w:szCs w:val="28"/>
        </w:rPr>
        <w:ptab w:relativeTo="margin" w:alignment="right" w:leader="dot"/>
      </w:r>
      <w:r>
        <w:rPr>
          <w:rFonts w:hint="eastAsia" w:eastAsia="仿宋_GB2312"/>
          <w:sz w:val="28"/>
          <w:szCs w:val="28"/>
          <w:lang w:val="en-US" w:eastAsia="zh-CN"/>
        </w:rPr>
        <w:t>14</w:t>
      </w:r>
    </w:p>
    <w:p>
      <w:pPr>
        <w:pStyle w:val="13"/>
        <w:adjustRightInd w:val="0"/>
        <w:snapToGrid w:val="0"/>
        <w:spacing w:line="600" w:lineRule="exact"/>
        <w:ind w:left="0" w:leftChars="0" w:firstLine="560" w:firstLineChars="200"/>
        <w:jc w:val="left"/>
        <w:rPr>
          <w:rFonts w:eastAsia="仿宋_GB2312"/>
          <w:sz w:val="28"/>
          <w:szCs w:val="28"/>
        </w:rPr>
      </w:pPr>
      <w:r>
        <w:rPr>
          <w:rFonts w:eastAsia="仿宋_GB2312"/>
          <w:sz w:val="28"/>
          <w:szCs w:val="28"/>
        </w:rPr>
        <w:t>八、一般公共预算财政拨款基本支出决算明细表</w:t>
      </w:r>
      <w:r>
        <w:rPr>
          <w:rFonts w:eastAsia="仿宋_GB2312"/>
          <w:sz w:val="28"/>
          <w:szCs w:val="28"/>
        </w:rPr>
        <w:ptab w:relativeTo="margin" w:alignment="right" w:leader="dot"/>
      </w:r>
      <w:r>
        <w:rPr>
          <w:rFonts w:hint="eastAsia" w:eastAsia="仿宋_GB2312"/>
          <w:sz w:val="28"/>
          <w:szCs w:val="28"/>
          <w:lang w:val="en-US" w:eastAsia="zh-CN"/>
        </w:rPr>
        <w:t>14</w:t>
      </w:r>
    </w:p>
    <w:p>
      <w:pPr>
        <w:pStyle w:val="13"/>
        <w:adjustRightInd w:val="0"/>
        <w:snapToGrid w:val="0"/>
        <w:spacing w:line="600" w:lineRule="exact"/>
        <w:ind w:left="0" w:leftChars="0" w:firstLine="560" w:firstLineChars="200"/>
        <w:jc w:val="left"/>
        <w:rPr>
          <w:rFonts w:eastAsia="仿宋_GB2312"/>
          <w:sz w:val="28"/>
          <w:szCs w:val="28"/>
        </w:rPr>
      </w:pPr>
      <w:r>
        <w:rPr>
          <w:rFonts w:eastAsia="仿宋_GB2312"/>
          <w:sz w:val="28"/>
          <w:szCs w:val="28"/>
        </w:rPr>
        <w:t>九、一般公共预算财政拨款项目支出决算表</w:t>
      </w:r>
      <w:r>
        <w:rPr>
          <w:rFonts w:eastAsia="仿宋_GB2312"/>
          <w:sz w:val="28"/>
          <w:szCs w:val="28"/>
        </w:rPr>
        <w:ptab w:relativeTo="margin" w:alignment="right" w:leader="dot"/>
      </w:r>
      <w:r>
        <w:rPr>
          <w:rFonts w:hint="eastAsia" w:eastAsia="仿宋_GB2312"/>
          <w:sz w:val="28"/>
          <w:szCs w:val="28"/>
          <w:lang w:val="en-US" w:eastAsia="zh-CN"/>
        </w:rPr>
        <w:t>14</w:t>
      </w:r>
    </w:p>
    <w:p>
      <w:pPr>
        <w:pStyle w:val="13"/>
        <w:adjustRightInd w:val="0"/>
        <w:snapToGrid w:val="0"/>
        <w:spacing w:line="600" w:lineRule="exact"/>
        <w:ind w:left="0" w:leftChars="0" w:firstLine="560" w:firstLineChars="200"/>
        <w:jc w:val="left"/>
        <w:rPr>
          <w:rFonts w:eastAsia="仿宋_GB2312"/>
          <w:sz w:val="28"/>
          <w:szCs w:val="28"/>
        </w:rPr>
      </w:pPr>
      <w:r>
        <w:rPr>
          <w:rFonts w:eastAsia="仿宋_GB2312"/>
          <w:sz w:val="28"/>
          <w:szCs w:val="28"/>
        </w:rPr>
        <w:t>十、政府性基金预算财政拨款收入支出决算表</w:t>
      </w:r>
      <w:r>
        <w:rPr>
          <w:rFonts w:eastAsia="仿宋_GB2312"/>
          <w:sz w:val="28"/>
          <w:szCs w:val="28"/>
        </w:rPr>
        <w:ptab w:relativeTo="margin" w:alignment="right" w:leader="dot"/>
      </w:r>
      <w:r>
        <w:rPr>
          <w:rFonts w:hint="eastAsia" w:eastAsia="仿宋_GB2312"/>
          <w:sz w:val="28"/>
          <w:szCs w:val="28"/>
          <w:lang w:val="en-US" w:eastAsia="zh-CN"/>
        </w:rPr>
        <w:t>14</w:t>
      </w:r>
    </w:p>
    <w:p>
      <w:pPr>
        <w:pStyle w:val="13"/>
        <w:adjustRightInd w:val="0"/>
        <w:snapToGrid w:val="0"/>
        <w:spacing w:line="600" w:lineRule="exact"/>
        <w:ind w:left="0" w:leftChars="0" w:firstLine="560" w:firstLineChars="200"/>
        <w:jc w:val="left"/>
        <w:rPr>
          <w:rFonts w:eastAsia="仿宋_GB2312"/>
          <w:sz w:val="28"/>
          <w:szCs w:val="28"/>
        </w:rPr>
      </w:pPr>
      <w:r>
        <w:rPr>
          <w:rFonts w:eastAsia="仿宋_GB2312"/>
          <w:sz w:val="28"/>
          <w:szCs w:val="28"/>
        </w:rPr>
        <w:t>十一、国有资本经营预算财政拨款收入支出决算表</w:t>
      </w:r>
      <w:r>
        <w:rPr>
          <w:rFonts w:eastAsia="仿宋_GB2312"/>
          <w:sz w:val="28"/>
          <w:szCs w:val="28"/>
        </w:rPr>
        <w:ptab w:relativeTo="margin" w:alignment="right" w:leader="dot"/>
      </w:r>
      <w:r>
        <w:rPr>
          <w:rFonts w:hint="eastAsia" w:eastAsia="仿宋_GB2312"/>
          <w:sz w:val="28"/>
          <w:szCs w:val="28"/>
          <w:lang w:val="en-US" w:eastAsia="zh-CN"/>
        </w:rPr>
        <w:t>14</w:t>
      </w:r>
    </w:p>
    <w:p>
      <w:pPr>
        <w:pStyle w:val="13"/>
        <w:adjustRightInd w:val="0"/>
        <w:snapToGrid w:val="0"/>
        <w:spacing w:line="600" w:lineRule="exact"/>
        <w:ind w:left="0" w:leftChars="0" w:firstLine="560" w:firstLineChars="200"/>
        <w:jc w:val="left"/>
        <w:rPr>
          <w:rFonts w:eastAsia="仿宋_GB2312"/>
          <w:sz w:val="28"/>
          <w:szCs w:val="28"/>
        </w:rPr>
      </w:pPr>
      <w:r>
        <w:rPr>
          <w:rFonts w:eastAsia="仿宋_GB2312"/>
          <w:sz w:val="28"/>
          <w:szCs w:val="28"/>
        </w:rPr>
        <w:t>十二、国有资本经营预算财政拨款支出决算表</w:t>
      </w:r>
      <w:r>
        <w:rPr>
          <w:rFonts w:eastAsia="仿宋_GB2312"/>
          <w:sz w:val="28"/>
          <w:szCs w:val="28"/>
        </w:rPr>
        <w:ptab w:relativeTo="margin" w:alignment="right" w:leader="dot"/>
      </w:r>
      <w:r>
        <w:rPr>
          <w:rFonts w:hint="eastAsia" w:eastAsia="仿宋_GB2312"/>
          <w:sz w:val="28"/>
          <w:szCs w:val="28"/>
          <w:lang w:val="en-US" w:eastAsia="zh-CN"/>
        </w:rPr>
        <w:t>14</w:t>
      </w:r>
    </w:p>
    <w:p>
      <w:pPr>
        <w:pStyle w:val="13"/>
        <w:adjustRightInd w:val="0"/>
        <w:snapToGrid w:val="0"/>
        <w:spacing w:line="600" w:lineRule="exact"/>
        <w:ind w:left="0" w:leftChars="0" w:firstLine="560" w:firstLineChars="200"/>
        <w:jc w:val="left"/>
        <w:rPr>
          <w:sz w:val="24"/>
        </w:rPr>
      </w:pPr>
      <w:r>
        <w:rPr>
          <w:rFonts w:eastAsia="仿宋_GB2312"/>
          <w:sz w:val="28"/>
          <w:szCs w:val="28"/>
        </w:rPr>
        <w:t>十三、财政拨款“三公”经费支出决算表</w:t>
      </w:r>
      <w:r>
        <w:rPr>
          <w:rFonts w:eastAsia="仿宋_GB2312"/>
          <w:sz w:val="28"/>
          <w:szCs w:val="28"/>
        </w:rPr>
        <w:ptab w:relativeTo="margin" w:alignment="right" w:leader="dot"/>
      </w:r>
      <w:r>
        <w:rPr>
          <w:rFonts w:hint="eastAsia" w:eastAsia="仿宋_GB2312"/>
          <w:sz w:val="28"/>
          <w:szCs w:val="28"/>
          <w:lang w:val="en-US" w:eastAsia="zh-CN"/>
        </w:rPr>
        <w:t>14</w:t>
      </w:r>
    </w:p>
    <w:p>
      <w:pPr>
        <w:pStyle w:val="13"/>
        <w:adjustRightInd w:val="0"/>
        <w:snapToGrid w:val="0"/>
        <w:spacing w:line="600" w:lineRule="exact"/>
        <w:ind w:left="0" w:leftChars="0"/>
        <w:jc w:val="center"/>
        <w:rPr>
          <w:rStyle w:val="28"/>
          <w:rFonts w:eastAsia="黑体"/>
          <w:b w:val="0"/>
        </w:rPr>
        <w:sectPr>
          <w:footerReference r:id="rId5" w:type="first"/>
          <w:footerReference r:id="rId4" w:type="default"/>
          <w:pgSz w:w="11906" w:h="16838"/>
          <w:pgMar w:top="1440" w:right="1474" w:bottom="1440" w:left="1588" w:header="851" w:footer="992" w:gutter="0"/>
          <w:pgNumType w:fmt="decimal" w:start="1"/>
          <w:cols w:space="425" w:num="1"/>
          <w:titlePg/>
          <w:docGrid w:type="lines" w:linePitch="312" w:charSpace="0"/>
        </w:sectPr>
      </w:pPr>
      <w:bookmarkStart w:id="12" w:name="_Toc15396599"/>
      <w:bookmarkStart w:id="13" w:name="_Toc15377196"/>
    </w:p>
    <w:p>
      <w:pPr>
        <w:pStyle w:val="13"/>
        <w:adjustRightInd w:val="0"/>
        <w:snapToGrid w:val="0"/>
        <w:spacing w:line="600" w:lineRule="exact"/>
        <w:ind w:left="0" w:leftChars="0"/>
        <w:jc w:val="center"/>
        <w:rPr>
          <w:rStyle w:val="28"/>
          <w:rFonts w:eastAsia="黑体"/>
          <w:b w:val="0"/>
        </w:rPr>
      </w:pPr>
      <w:r>
        <w:rPr>
          <w:rStyle w:val="28"/>
          <w:rFonts w:eastAsia="黑体"/>
          <w:b w:val="0"/>
        </w:rPr>
        <w:t>第一部分 单位概况</w:t>
      </w:r>
      <w:bookmarkEnd w:id="12"/>
      <w:bookmarkEnd w:id="13"/>
    </w:p>
    <w:p>
      <w:pPr>
        <w:spacing w:line="240" w:lineRule="exact"/>
        <w:ind w:firstLine="640" w:firstLineChars="200"/>
        <w:rPr>
          <w:rFonts w:eastAsia="黑体"/>
          <w:sz w:val="32"/>
          <w:szCs w:val="32"/>
        </w:rPr>
      </w:pPr>
    </w:p>
    <w:p>
      <w:pPr>
        <w:numPr>
          <w:ilvl w:val="0"/>
          <w:numId w:val="1"/>
        </w:numPr>
        <w:ind w:firstLine="640" w:firstLineChars="200"/>
        <w:rPr>
          <w:rFonts w:eastAsia="黑体"/>
          <w:bCs/>
          <w:sz w:val="32"/>
          <w:szCs w:val="32"/>
        </w:rPr>
      </w:pPr>
      <w:bookmarkStart w:id="14" w:name="_Toc15396600"/>
      <w:bookmarkStart w:id="15" w:name="_Toc15377197"/>
      <w:r>
        <w:rPr>
          <w:rFonts w:eastAsia="黑体"/>
          <w:bCs/>
          <w:sz w:val="32"/>
          <w:szCs w:val="32"/>
        </w:rPr>
        <w:t>主要职责</w:t>
      </w:r>
    </w:p>
    <w:p>
      <w:pPr>
        <w:spacing w:line="600" w:lineRule="exact"/>
        <w:ind w:firstLine="640" w:firstLineChars="200"/>
        <w:rPr>
          <w:rFonts w:hint="eastAsia" w:ascii="仿宋_GB2312" w:eastAsia="仿宋_GB2312"/>
          <w:bCs/>
          <w:sz w:val="32"/>
          <w:szCs w:val="32"/>
        </w:rPr>
      </w:pPr>
      <w:r>
        <w:rPr>
          <w:rFonts w:hint="eastAsia" w:ascii="仿宋_GB2312" w:eastAsia="仿宋_GB2312"/>
          <w:sz w:val="32"/>
          <w:szCs w:val="32"/>
        </w:rPr>
        <w:t>盐边县红格镇中心学校是经盐边县机构编制委员会批准成立的独立法人机构，是经费独立核算的事业单位。在盐边县教育和体育局领导下的一所城乡居民儿童共享的小学校，实施义务教育阶段小学教育。主要职责：</w:t>
      </w:r>
    </w:p>
    <w:p>
      <w:pPr>
        <w:spacing w:line="600" w:lineRule="exact"/>
        <w:ind w:firstLine="640" w:firstLineChars="200"/>
        <w:rPr>
          <w:rFonts w:hint="eastAsia" w:ascii="仿宋_GB2312" w:eastAsia="仿宋_GB2312"/>
          <w:bCs/>
          <w:sz w:val="32"/>
          <w:szCs w:val="32"/>
        </w:rPr>
      </w:pPr>
      <w:r>
        <w:rPr>
          <w:rFonts w:hint="eastAsia" w:ascii="仿宋_GB2312" w:eastAsia="仿宋_GB2312"/>
          <w:bCs/>
          <w:sz w:val="32"/>
          <w:szCs w:val="32"/>
        </w:rPr>
        <w:t>1.</w:t>
      </w:r>
      <w:r>
        <w:rPr>
          <w:rFonts w:hint="eastAsia" w:ascii="仿宋_GB2312" w:eastAsia="仿宋_GB2312"/>
          <w:sz w:val="32"/>
          <w:szCs w:val="32"/>
        </w:rPr>
        <w:t>研究拟定盐边县红格镇中心学校教育发展战略，贯彻执行党和国家的教育方针、政策、法规。</w:t>
      </w:r>
    </w:p>
    <w:p>
      <w:pPr>
        <w:spacing w:line="600" w:lineRule="exact"/>
        <w:ind w:firstLine="640" w:firstLineChars="200"/>
        <w:rPr>
          <w:rFonts w:hint="eastAsia" w:ascii="仿宋_GB2312" w:eastAsia="仿宋_GB2312"/>
          <w:bCs/>
          <w:sz w:val="32"/>
          <w:szCs w:val="32"/>
        </w:rPr>
      </w:pPr>
      <w:r>
        <w:rPr>
          <w:rFonts w:hint="eastAsia" w:ascii="仿宋_GB2312" w:eastAsia="仿宋_GB2312"/>
          <w:bCs/>
          <w:sz w:val="32"/>
          <w:szCs w:val="32"/>
        </w:rPr>
        <w:t>2.</w:t>
      </w:r>
      <w:r>
        <w:rPr>
          <w:rFonts w:hint="eastAsia" w:ascii="仿宋_GB2312" w:eastAsia="仿宋_GB2312"/>
          <w:sz w:val="32"/>
          <w:szCs w:val="32"/>
        </w:rPr>
        <w:t>研究拟定盐边县红格镇中心学校发展规划和年度计划，组织实施教育体制和办学体制改革。</w:t>
      </w:r>
    </w:p>
    <w:p>
      <w:pPr>
        <w:spacing w:line="600" w:lineRule="exact"/>
        <w:ind w:firstLine="640" w:firstLineChars="200"/>
        <w:rPr>
          <w:rFonts w:hint="eastAsia" w:ascii="仿宋_GB2312" w:eastAsia="仿宋_GB2312"/>
          <w:bCs/>
          <w:sz w:val="32"/>
          <w:szCs w:val="32"/>
        </w:rPr>
      </w:pPr>
      <w:r>
        <w:rPr>
          <w:rFonts w:hint="eastAsia" w:ascii="仿宋_GB2312" w:eastAsia="仿宋_GB2312"/>
          <w:bCs/>
          <w:sz w:val="32"/>
          <w:szCs w:val="32"/>
        </w:rPr>
        <w:t>3.</w:t>
      </w:r>
      <w:r>
        <w:rPr>
          <w:rFonts w:hint="eastAsia" w:ascii="仿宋_GB2312" w:eastAsia="仿宋_GB2312"/>
          <w:sz w:val="32"/>
          <w:szCs w:val="32"/>
        </w:rPr>
        <w:t>管理和指导学校基础教育工作，</w:t>
      </w:r>
      <w:bookmarkStart w:id="67" w:name="_GoBack"/>
      <w:bookmarkEnd w:id="67"/>
      <w:r>
        <w:rPr>
          <w:rFonts w:hint="eastAsia" w:ascii="仿宋_GB2312" w:eastAsia="仿宋_GB2312"/>
          <w:sz w:val="32"/>
          <w:szCs w:val="32"/>
        </w:rPr>
        <w:t>确保盐边县红格镇辖区普及义务教育工作成果。</w:t>
      </w:r>
    </w:p>
    <w:p>
      <w:pPr>
        <w:spacing w:line="600" w:lineRule="exact"/>
        <w:ind w:firstLine="640" w:firstLineChars="200"/>
        <w:rPr>
          <w:rFonts w:hint="eastAsia" w:ascii="仿宋_GB2312" w:eastAsia="仿宋_GB2312"/>
          <w:bCs/>
          <w:sz w:val="32"/>
          <w:szCs w:val="32"/>
        </w:rPr>
      </w:pPr>
      <w:r>
        <w:rPr>
          <w:rFonts w:hint="eastAsia" w:ascii="仿宋_GB2312" w:eastAsia="仿宋_GB2312"/>
          <w:bCs/>
          <w:sz w:val="32"/>
          <w:szCs w:val="32"/>
        </w:rPr>
        <w:t>4.</w:t>
      </w:r>
      <w:r>
        <w:rPr>
          <w:rFonts w:hint="eastAsia" w:ascii="仿宋_GB2312" w:eastAsia="仿宋_GB2312"/>
          <w:sz w:val="32"/>
          <w:szCs w:val="32"/>
        </w:rPr>
        <w:t>管理学校教育经费，执行相关财务制度。</w:t>
      </w:r>
    </w:p>
    <w:p>
      <w:pPr>
        <w:spacing w:line="600" w:lineRule="exact"/>
        <w:ind w:firstLine="640" w:firstLineChars="200"/>
        <w:rPr>
          <w:rFonts w:hint="eastAsia" w:ascii="仿宋_GB2312" w:eastAsia="仿宋_GB2312"/>
          <w:bCs/>
          <w:sz w:val="32"/>
          <w:szCs w:val="32"/>
        </w:rPr>
      </w:pPr>
      <w:r>
        <w:rPr>
          <w:rFonts w:hint="eastAsia" w:ascii="仿宋_GB2312" w:eastAsia="仿宋_GB2312"/>
          <w:bCs/>
          <w:sz w:val="32"/>
          <w:szCs w:val="32"/>
        </w:rPr>
        <w:t>5.</w:t>
      </w:r>
      <w:r>
        <w:rPr>
          <w:rFonts w:hint="eastAsia" w:ascii="仿宋_GB2312" w:eastAsia="仿宋_GB2312"/>
          <w:sz w:val="32"/>
          <w:szCs w:val="32"/>
        </w:rPr>
        <w:t>负责和指导学校职工的思想政治工作，规划学校品德教育、安全教育、艺体教育、卫生教育、科技教育、家庭教育和国防教育；负责做好社会治安综合治理及安全保卫工作。</w:t>
      </w:r>
    </w:p>
    <w:p>
      <w:pPr>
        <w:spacing w:line="600" w:lineRule="exact"/>
        <w:ind w:firstLine="640" w:firstLineChars="200"/>
        <w:rPr>
          <w:rFonts w:hint="eastAsia" w:ascii="仿宋_GB2312" w:eastAsia="仿宋_GB2312"/>
          <w:bCs/>
          <w:sz w:val="32"/>
          <w:szCs w:val="32"/>
        </w:rPr>
      </w:pPr>
      <w:r>
        <w:rPr>
          <w:rFonts w:hint="eastAsia" w:ascii="仿宋_GB2312" w:eastAsia="仿宋_GB2312"/>
          <w:bCs/>
          <w:sz w:val="32"/>
          <w:szCs w:val="32"/>
        </w:rPr>
        <w:t>6.</w:t>
      </w:r>
      <w:r>
        <w:rPr>
          <w:rFonts w:hint="eastAsia" w:ascii="仿宋_GB2312" w:eastAsia="仿宋_GB2312"/>
          <w:sz w:val="32"/>
          <w:szCs w:val="32"/>
        </w:rPr>
        <w:t>全面负责盐边县红格镇中心学校在校儿童素质教育及小学学历教育。</w:t>
      </w:r>
    </w:p>
    <w:p>
      <w:pPr>
        <w:spacing w:line="600" w:lineRule="exact"/>
        <w:ind w:firstLine="640" w:firstLineChars="200"/>
        <w:rPr>
          <w:rFonts w:eastAsia="黑体"/>
          <w:bCs/>
          <w:sz w:val="32"/>
          <w:szCs w:val="32"/>
        </w:rPr>
      </w:pPr>
      <w:r>
        <w:rPr>
          <w:rFonts w:eastAsia="黑体"/>
          <w:bCs/>
          <w:sz w:val="32"/>
          <w:szCs w:val="32"/>
        </w:rPr>
        <w:t>二、机构设置</w:t>
      </w:r>
    </w:p>
    <w:bookmarkEnd w:id="14"/>
    <w:bookmarkEnd w:id="15"/>
    <w:p>
      <w:pPr>
        <w:widowControl/>
        <w:spacing w:line="600" w:lineRule="exact"/>
        <w:ind w:firstLine="640" w:firstLineChars="200"/>
        <w:jc w:val="left"/>
        <w:rPr>
          <w:rFonts w:hint="eastAsia" w:ascii="仿宋_GB2312" w:eastAsia="仿宋_GB2312"/>
          <w:kern w:val="0"/>
          <w:sz w:val="32"/>
          <w:szCs w:val="32"/>
        </w:rPr>
      </w:pPr>
      <w:r>
        <w:rPr>
          <w:rFonts w:hint="eastAsia" w:ascii="仿宋_GB2312" w:eastAsia="仿宋_GB2312"/>
          <w:sz w:val="32"/>
          <w:szCs w:val="32"/>
        </w:rPr>
        <w:t>盐边县红格镇中心学校是盐边县教育和体育局下属独立核算事业单位，公益一类事业单位，无下属单位。单位性质为：财政全额补助事业单位，执行</w:t>
      </w:r>
      <w:r>
        <w:rPr>
          <w:rFonts w:hint="eastAsia" w:ascii="仿宋_GB2312" w:eastAsia="仿宋_GB2312"/>
          <w:sz w:val="32"/>
          <w:szCs w:val="32"/>
          <w:lang w:val="en-US" w:eastAsia="zh-CN"/>
        </w:rPr>
        <w:t>政府</w:t>
      </w:r>
      <w:r>
        <w:rPr>
          <w:rFonts w:hint="eastAsia" w:ascii="仿宋_GB2312" w:eastAsia="仿宋_GB2312"/>
          <w:sz w:val="32"/>
          <w:szCs w:val="32"/>
        </w:rPr>
        <w:t>会计制度。</w:t>
      </w:r>
      <w:r>
        <w:rPr>
          <w:rFonts w:hint="eastAsia" w:ascii="仿宋_GB2312" w:eastAsia="仿宋_GB2312"/>
          <w:sz w:val="32"/>
          <w:szCs w:val="32"/>
        </w:rPr>
        <w:br w:type="page"/>
      </w:r>
    </w:p>
    <w:p>
      <w:pPr>
        <w:pStyle w:val="13"/>
        <w:adjustRightInd w:val="0"/>
        <w:snapToGrid w:val="0"/>
        <w:spacing w:line="600" w:lineRule="exact"/>
        <w:ind w:left="0" w:leftChars="0"/>
        <w:jc w:val="center"/>
        <w:rPr>
          <w:rStyle w:val="28"/>
          <w:rFonts w:eastAsia="黑体"/>
          <w:b w:val="0"/>
        </w:rPr>
      </w:pPr>
      <w:bookmarkStart w:id="16" w:name="_Toc15396602"/>
      <w:bookmarkStart w:id="17" w:name="_Toc15377204"/>
      <w:r>
        <w:rPr>
          <w:rStyle w:val="28"/>
          <w:rFonts w:eastAsia="黑体"/>
          <w:b w:val="0"/>
        </w:rPr>
        <w:t>第二部分 2023年度单位决算情况说明</w:t>
      </w:r>
      <w:bookmarkEnd w:id="16"/>
      <w:bookmarkEnd w:id="17"/>
    </w:p>
    <w:p>
      <w:bookmarkStart w:id="18" w:name="_Toc15396603"/>
      <w:bookmarkStart w:id="19" w:name="_Toc15377205"/>
    </w:p>
    <w:p>
      <w:pPr>
        <w:ind w:firstLine="640" w:firstLineChars="200"/>
        <w:rPr>
          <w:rFonts w:eastAsia="黑体"/>
          <w:bCs/>
          <w:sz w:val="32"/>
          <w:szCs w:val="32"/>
        </w:rPr>
      </w:pPr>
      <w:r>
        <w:rPr>
          <w:rFonts w:eastAsia="黑体"/>
          <w:bCs/>
          <w:sz w:val="32"/>
          <w:szCs w:val="32"/>
        </w:rPr>
        <w:t>一、收入支出决算总体情况说明</w:t>
      </w:r>
      <w:bookmarkEnd w:id="18"/>
      <w:bookmarkEnd w:id="19"/>
    </w:p>
    <w:p>
      <w:pPr>
        <w:ind w:firstLine="640" w:firstLineChars="200"/>
        <w:rPr>
          <w:rFonts w:eastAsia="仿宋_GB2312"/>
          <w:bCs/>
          <w:sz w:val="32"/>
          <w:szCs w:val="32"/>
        </w:rPr>
      </w:pPr>
      <w:r>
        <w:rPr>
          <w:rFonts w:eastAsia="仿宋_GB2312"/>
          <w:sz w:val="32"/>
          <w:szCs w:val="32"/>
        </w:rPr>
        <w:t>2023年度收、支总计均为</w:t>
      </w:r>
      <w:r>
        <w:rPr>
          <w:rFonts w:eastAsia="仿宋_GB2312"/>
          <w:b w:val="0"/>
          <w:bCs/>
          <w:sz w:val="32"/>
          <w:szCs w:val="32"/>
        </w:rPr>
        <w:t>2991.66</w:t>
      </w:r>
      <w:r>
        <w:rPr>
          <w:rFonts w:eastAsia="仿宋_GB2312"/>
          <w:sz w:val="32"/>
          <w:szCs w:val="32"/>
        </w:rPr>
        <w:t>万元。与2022年度相比，收、支总计各增加54.2万元，增长1.85%。主要变动原因是用于职工工资，社会保障、养老保险等费用基数增长。</w:t>
      </w:r>
    </w:p>
    <w:p>
      <w:pPr>
        <w:rPr>
          <w:rFonts w:eastAsia="仿宋"/>
          <w:sz w:val="32"/>
          <w:szCs w:val="32"/>
        </w:rPr>
      </w:pPr>
      <w:r>
        <w:drawing>
          <wp:inline distT="0" distB="0" distL="0" distR="0">
            <wp:extent cx="5420995" cy="2413635"/>
            <wp:effectExtent l="0" t="0" r="27305" b="24765"/>
            <wp:docPr id="2" name="图表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ind w:firstLine="640" w:firstLineChars="200"/>
        <w:rPr>
          <w:rFonts w:eastAsia="仿宋_GB2312"/>
          <w:sz w:val="32"/>
          <w:szCs w:val="32"/>
        </w:rPr>
      </w:pPr>
      <w:r>
        <w:rPr>
          <w:rFonts w:eastAsia="仿宋_GB2312"/>
          <w:sz w:val="32"/>
          <w:szCs w:val="32"/>
        </w:rPr>
        <w:t>图1：收、支决算总计变动情况图（万元）</w:t>
      </w:r>
    </w:p>
    <w:p>
      <w:pPr>
        <w:ind w:firstLine="640" w:firstLineChars="200"/>
        <w:rPr>
          <w:rFonts w:eastAsia="黑体"/>
          <w:bCs/>
          <w:sz w:val="32"/>
          <w:szCs w:val="32"/>
        </w:rPr>
      </w:pPr>
      <w:bookmarkStart w:id="20" w:name="_Toc15377206"/>
      <w:bookmarkStart w:id="21" w:name="_Toc15396604"/>
      <w:r>
        <w:rPr>
          <w:rFonts w:eastAsia="黑体"/>
          <w:bCs/>
          <w:sz w:val="32"/>
          <w:szCs w:val="32"/>
        </w:rPr>
        <w:t>二、收入决算情况说明</w:t>
      </w:r>
      <w:bookmarkEnd w:id="20"/>
      <w:bookmarkEnd w:id="21"/>
    </w:p>
    <w:p>
      <w:pPr>
        <w:ind w:firstLine="640" w:firstLineChars="200"/>
        <w:rPr>
          <w:rFonts w:eastAsia="仿宋_GB2312"/>
          <w:sz w:val="32"/>
          <w:szCs w:val="32"/>
        </w:rPr>
      </w:pPr>
      <w:r>
        <w:rPr>
          <w:rFonts w:eastAsia="仿宋_GB2312"/>
          <w:sz w:val="32"/>
          <w:szCs w:val="32"/>
        </w:rPr>
        <w:t>2023年度本年收入合计2991.66万元，其中：一般公共预算财政拨款收入2991.66万元，占100%；政府性基金预算财政拨款收入0万元，占0%；国有资本经营预算财政拨款收入0万元，占0%；上级补助收入0万元，占0%；事业收入0万元，占0%；经营收入0万元，占0%；附属单位上缴收入0万元，占0%；其他收入0万元，占0%。</w:t>
      </w:r>
    </w:p>
    <w:p>
      <w:pPr>
        <w:spacing w:line="600" w:lineRule="exact"/>
        <w:ind w:firstLine="640" w:firstLineChars="200"/>
        <w:outlineLvl w:val="1"/>
        <w:rPr>
          <w:rFonts w:eastAsia="仿宋"/>
          <w:sz w:val="32"/>
          <w:szCs w:val="32"/>
        </w:rPr>
      </w:pPr>
    </w:p>
    <w:p>
      <w:pPr>
        <w:spacing w:before="93" w:beforeLines="30"/>
        <w:rPr>
          <w:rFonts w:eastAsia="仿宋_GB2312"/>
          <w:kern w:val="0"/>
          <w:sz w:val="30"/>
        </w:rPr>
      </w:pPr>
      <w:r>
        <w:rPr>
          <w:rFonts w:eastAsia="仿宋_GB2312"/>
          <w:kern w:val="0"/>
          <w:sz w:val="30"/>
        </w:rPr>
        <w:drawing>
          <wp:inline distT="0" distB="0" distL="0" distR="0">
            <wp:extent cx="5273040" cy="2512060"/>
            <wp:effectExtent l="0" t="0" r="22860" b="21590"/>
            <wp:docPr id="4" name="图表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ind w:firstLine="1920" w:firstLineChars="600"/>
        <w:rPr>
          <w:rFonts w:eastAsia="仿宋_GB2312"/>
          <w:sz w:val="32"/>
          <w:szCs w:val="32"/>
        </w:rPr>
      </w:pPr>
      <w:r>
        <w:rPr>
          <w:rFonts w:eastAsia="仿宋_GB2312"/>
          <w:sz w:val="32"/>
          <w:szCs w:val="32"/>
        </w:rPr>
        <w:t>图2：收入决算结构图（万元）</w:t>
      </w:r>
    </w:p>
    <w:p>
      <w:pPr>
        <w:ind w:firstLine="640" w:firstLineChars="200"/>
        <w:rPr>
          <w:rFonts w:eastAsia="黑体"/>
          <w:bCs/>
          <w:sz w:val="32"/>
          <w:szCs w:val="32"/>
        </w:rPr>
      </w:pPr>
      <w:bookmarkStart w:id="22" w:name="_Toc15396605"/>
      <w:bookmarkStart w:id="23" w:name="_Toc15377207"/>
      <w:r>
        <w:rPr>
          <w:rFonts w:eastAsia="黑体"/>
          <w:bCs/>
          <w:sz w:val="32"/>
          <w:szCs w:val="32"/>
        </w:rPr>
        <w:t>三、支出决算情况说明</w:t>
      </w:r>
      <w:bookmarkEnd w:id="22"/>
      <w:bookmarkEnd w:id="23"/>
    </w:p>
    <w:p>
      <w:pPr>
        <w:ind w:firstLine="640" w:firstLineChars="200"/>
        <w:rPr>
          <w:rFonts w:eastAsia="仿宋_GB2312"/>
          <w:sz w:val="32"/>
          <w:szCs w:val="32"/>
        </w:rPr>
      </w:pPr>
      <w:r>
        <w:rPr>
          <w:rFonts w:eastAsia="仿宋_GB2312"/>
          <w:sz w:val="32"/>
          <w:szCs w:val="32"/>
        </w:rPr>
        <w:t>2023年度本年支出合计2991.66万元，其中：基本支出2935.98万元，占98.14%；项目支出55.68万元，占1.86%；上缴上级支出0万元，占0%；经营支出0万元，占0%；对附属单位补助支出0万元，占0%。</w:t>
      </w:r>
    </w:p>
    <w:p>
      <w:pPr>
        <w:spacing w:before="93" w:beforeLines="30"/>
        <w:rPr>
          <w:rFonts w:eastAsia="仿宋_GB2312"/>
          <w:kern w:val="0"/>
          <w:sz w:val="30"/>
        </w:rPr>
      </w:pPr>
      <w:r>
        <w:rPr>
          <w:rFonts w:eastAsia="仿宋_GB2312"/>
          <w:kern w:val="0"/>
          <w:sz w:val="30"/>
        </w:rPr>
        <w:drawing>
          <wp:inline distT="0" distB="0" distL="0" distR="0">
            <wp:extent cx="5274310" cy="2889885"/>
            <wp:effectExtent l="0" t="0" r="21590" b="24765"/>
            <wp:docPr id="5" name="图表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ind w:firstLine="640" w:firstLineChars="200"/>
        <w:jc w:val="center"/>
        <w:rPr>
          <w:rFonts w:eastAsia="仿宋_GB2312"/>
          <w:sz w:val="32"/>
          <w:szCs w:val="32"/>
        </w:rPr>
      </w:pPr>
      <w:r>
        <w:rPr>
          <w:rFonts w:eastAsia="仿宋_GB2312"/>
          <w:sz w:val="32"/>
          <w:szCs w:val="32"/>
        </w:rPr>
        <w:t>图3：支出决算结构图（万元）</w:t>
      </w:r>
    </w:p>
    <w:p>
      <w:pPr>
        <w:spacing w:line="600" w:lineRule="exact"/>
        <w:ind w:firstLine="640" w:firstLineChars="200"/>
        <w:rPr>
          <w:rFonts w:eastAsia="仿宋_GB2312"/>
          <w:sz w:val="32"/>
          <w:szCs w:val="32"/>
        </w:rPr>
      </w:pPr>
    </w:p>
    <w:p>
      <w:pPr>
        <w:ind w:firstLine="640" w:firstLineChars="200"/>
        <w:rPr>
          <w:rFonts w:eastAsia="黑体"/>
          <w:bCs/>
          <w:sz w:val="32"/>
          <w:szCs w:val="32"/>
        </w:rPr>
      </w:pPr>
      <w:bookmarkStart w:id="24" w:name="_Toc15396606"/>
      <w:bookmarkStart w:id="25" w:name="_Toc15377208"/>
      <w:r>
        <w:rPr>
          <w:rFonts w:eastAsia="黑体"/>
          <w:bCs/>
          <w:sz w:val="32"/>
          <w:szCs w:val="32"/>
        </w:rPr>
        <w:t>四、财政拨款收入支出决算总体情况说明</w:t>
      </w:r>
      <w:bookmarkEnd w:id="24"/>
      <w:bookmarkEnd w:id="25"/>
    </w:p>
    <w:p>
      <w:pPr>
        <w:ind w:firstLine="640" w:firstLineChars="200"/>
        <w:rPr>
          <w:rFonts w:eastAsia="仿宋_GB2312"/>
          <w:sz w:val="32"/>
          <w:szCs w:val="32"/>
        </w:rPr>
      </w:pPr>
      <w:r>
        <w:rPr>
          <w:rFonts w:eastAsia="仿宋_GB2312"/>
          <w:sz w:val="32"/>
          <w:szCs w:val="32"/>
        </w:rPr>
        <w:t>2023年度财政拨款收、支总计均为2991.66万元。与2022年度相比，财政拨款收、支总计各增加54.2万元，增长1.85%。主要变动原因是用于职工工资，社会保障、养老保险等费用基数增长。</w:t>
      </w:r>
    </w:p>
    <w:p>
      <w:pPr>
        <w:spacing w:before="93" w:beforeLines="30"/>
        <w:rPr>
          <w:rFonts w:eastAsia="仿宋_GB2312"/>
          <w:kern w:val="0"/>
          <w:sz w:val="30"/>
        </w:rPr>
      </w:pPr>
      <w:r>
        <w:rPr>
          <w:rFonts w:eastAsia="仿宋_GB2312"/>
          <w:kern w:val="0"/>
          <w:sz w:val="30"/>
        </w:rPr>
        <w:drawing>
          <wp:inline distT="0" distB="0" distL="0" distR="0">
            <wp:extent cx="5274310" cy="2609850"/>
            <wp:effectExtent l="0" t="0" r="21590" b="19050"/>
            <wp:docPr id="6" name="图表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ind w:firstLine="640" w:firstLineChars="200"/>
        <w:rPr>
          <w:rFonts w:eastAsia="仿宋_GB2312"/>
          <w:sz w:val="32"/>
          <w:szCs w:val="32"/>
        </w:rPr>
      </w:pPr>
      <w:r>
        <w:rPr>
          <w:rFonts w:eastAsia="仿宋_GB2312"/>
          <w:sz w:val="32"/>
          <w:szCs w:val="32"/>
        </w:rPr>
        <w:t>图4：财政拨款收、支决算总计变动情况（万元）</w:t>
      </w:r>
    </w:p>
    <w:p>
      <w:pPr>
        <w:ind w:firstLine="640" w:firstLineChars="200"/>
        <w:rPr>
          <w:rFonts w:eastAsia="黑体"/>
          <w:bCs/>
          <w:sz w:val="32"/>
          <w:szCs w:val="32"/>
        </w:rPr>
      </w:pPr>
      <w:bookmarkStart w:id="26" w:name="_Toc15377209"/>
      <w:bookmarkStart w:id="27" w:name="_Toc15396607"/>
      <w:r>
        <w:rPr>
          <w:rFonts w:eastAsia="黑体"/>
          <w:bCs/>
          <w:sz w:val="32"/>
          <w:szCs w:val="32"/>
        </w:rPr>
        <w:t>五、一般公共预算财政拨款支出决算情况说明</w:t>
      </w:r>
      <w:bookmarkEnd w:id="26"/>
      <w:bookmarkEnd w:id="27"/>
    </w:p>
    <w:p>
      <w:pPr>
        <w:spacing w:line="600" w:lineRule="exact"/>
        <w:ind w:firstLine="640"/>
        <w:outlineLvl w:val="2"/>
        <w:rPr>
          <w:rFonts w:eastAsia="楷体_GB2312"/>
          <w:sz w:val="32"/>
          <w:szCs w:val="32"/>
        </w:rPr>
      </w:pPr>
      <w:bookmarkStart w:id="28" w:name="_Toc15377210"/>
      <w:r>
        <w:rPr>
          <w:rFonts w:eastAsia="楷体_GB2312"/>
          <w:sz w:val="32"/>
          <w:szCs w:val="32"/>
        </w:rPr>
        <w:t>（一）一般公共预算财政拨款支出决算总体情况</w:t>
      </w:r>
      <w:bookmarkEnd w:id="28"/>
      <w:r>
        <w:rPr>
          <w:rFonts w:eastAsia="楷体_GB2312"/>
          <w:sz w:val="32"/>
          <w:szCs w:val="32"/>
        </w:rPr>
        <w:t>。</w:t>
      </w:r>
    </w:p>
    <w:p>
      <w:pPr>
        <w:ind w:firstLine="640" w:firstLineChars="200"/>
        <w:rPr>
          <w:rFonts w:eastAsia="仿宋_GB2312"/>
          <w:sz w:val="32"/>
          <w:szCs w:val="32"/>
        </w:rPr>
      </w:pPr>
      <w:r>
        <w:rPr>
          <w:rFonts w:eastAsia="仿宋_GB2312"/>
          <w:sz w:val="32"/>
          <w:szCs w:val="32"/>
        </w:rPr>
        <w:t>2023年度一般公共预算财政拨款支出2991.66万元，占本年支出合计的100%。与2022年度相比，一般公共预算财政拨款支出增加54.2万元，增长1.85%。主要变动原因是用于职工工资，社会保障、养老保险等费用基数增长。</w:t>
      </w:r>
    </w:p>
    <w:p>
      <w:pPr>
        <w:spacing w:line="600" w:lineRule="exact"/>
        <w:ind w:firstLine="640" w:firstLineChars="200"/>
        <w:rPr>
          <w:rFonts w:eastAsia="仿宋"/>
          <w:sz w:val="32"/>
          <w:szCs w:val="32"/>
        </w:rPr>
      </w:pPr>
    </w:p>
    <w:p>
      <w:pPr>
        <w:spacing w:before="93" w:beforeLines="30"/>
        <w:rPr>
          <w:rFonts w:eastAsia="仿宋_GB2312"/>
          <w:kern w:val="0"/>
          <w:sz w:val="30"/>
        </w:rPr>
      </w:pPr>
      <w:r>
        <w:rPr>
          <w:rFonts w:eastAsia="仿宋_GB2312"/>
          <w:kern w:val="0"/>
          <w:sz w:val="30"/>
        </w:rPr>
        <w:drawing>
          <wp:inline distT="0" distB="0" distL="0" distR="0">
            <wp:extent cx="5274310" cy="2420620"/>
            <wp:effectExtent l="0" t="0" r="21590" b="17780"/>
            <wp:docPr id="7" name="图表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ind w:firstLine="640" w:firstLineChars="200"/>
        <w:rPr>
          <w:rFonts w:eastAsia="仿宋_GB2312"/>
          <w:sz w:val="32"/>
          <w:szCs w:val="32"/>
        </w:rPr>
      </w:pPr>
      <w:r>
        <w:rPr>
          <w:rFonts w:eastAsia="仿宋_GB2312"/>
          <w:sz w:val="32"/>
          <w:szCs w:val="32"/>
        </w:rPr>
        <w:t>图5：一般公共预算财政拨款支出决算变动情况（万元）</w:t>
      </w:r>
    </w:p>
    <w:p>
      <w:pPr>
        <w:spacing w:line="600" w:lineRule="exact"/>
        <w:ind w:firstLine="640"/>
        <w:outlineLvl w:val="2"/>
        <w:rPr>
          <w:rFonts w:eastAsia="楷体_GB2312"/>
          <w:sz w:val="32"/>
          <w:szCs w:val="32"/>
        </w:rPr>
      </w:pPr>
      <w:bookmarkStart w:id="29" w:name="_Toc15377211"/>
      <w:r>
        <w:rPr>
          <w:rFonts w:eastAsia="楷体_GB2312"/>
          <w:sz w:val="32"/>
          <w:szCs w:val="32"/>
        </w:rPr>
        <w:t>（二）一般公共预算财政拨款支出决算结构情况</w:t>
      </w:r>
      <w:bookmarkEnd w:id="29"/>
      <w:r>
        <w:rPr>
          <w:rFonts w:eastAsia="楷体_GB2312"/>
          <w:sz w:val="32"/>
          <w:szCs w:val="32"/>
        </w:rPr>
        <w:t>。</w:t>
      </w:r>
    </w:p>
    <w:p>
      <w:pPr>
        <w:ind w:firstLine="640" w:firstLineChars="200"/>
        <w:rPr>
          <w:rFonts w:eastAsia="仿宋_GB2312"/>
          <w:sz w:val="32"/>
          <w:szCs w:val="32"/>
        </w:rPr>
      </w:pPr>
      <w:r>
        <w:rPr>
          <w:rFonts w:eastAsia="仿宋_GB2312"/>
          <w:sz w:val="32"/>
          <w:szCs w:val="32"/>
        </w:rPr>
        <w:t>2023年度一般公共预算财政拨款支出2991.66万元，主要用于以下方面:教育支出2,248.78万元，占75.17%；社会保障和就业支出335.17万元，占11.20%；卫生健康支出209.73万元，占7.01%；住房保障支出197.98万元，占6.62%。</w:t>
      </w:r>
    </w:p>
    <w:p>
      <w:pPr>
        <w:ind w:firstLine="142"/>
        <w:rPr>
          <w:rFonts w:eastAsia="仿宋"/>
          <w:sz w:val="32"/>
          <w:szCs w:val="32"/>
        </w:rPr>
      </w:pPr>
      <w:r>
        <w:drawing>
          <wp:inline distT="0" distB="0" distL="0" distR="0">
            <wp:extent cx="5274310" cy="2067560"/>
            <wp:effectExtent l="0" t="0" r="21590" b="27940"/>
            <wp:docPr id="9" name="图表 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ind w:firstLine="640" w:firstLineChars="200"/>
        <w:rPr>
          <w:rFonts w:eastAsia="仿宋"/>
          <w:sz w:val="32"/>
          <w:szCs w:val="32"/>
        </w:rPr>
      </w:pPr>
      <w:r>
        <w:rPr>
          <w:rFonts w:eastAsia="仿宋_GB2312"/>
          <w:sz w:val="32"/>
          <w:szCs w:val="32"/>
        </w:rPr>
        <w:t>图6：一般公共预算财政拨款支出决算结构（万元）</w:t>
      </w:r>
    </w:p>
    <w:p>
      <w:pPr>
        <w:spacing w:line="600" w:lineRule="exact"/>
        <w:ind w:firstLine="640"/>
        <w:outlineLvl w:val="2"/>
        <w:rPr>
          <w:rFonts w:eastAsia="楷体_GB2312"/>
          <w:sz w:val="32"/>
          <w:szCs w:val="32"/>
        </w:rPr>
      </w:pPr>
      <w:bookmarkStart w:id="30" w:name="_Toc15377212"/>
      <w:r>
        <w:rPr>
          <w:rFonts w:eastAsia="楷体_GB2312"/>
          <w:sz w:val="32"/>
          <w:szCs w:val="32"/>
        </w:rPr>
        <w:t>（三）一般公共预算财政拨款支出决算具体情况</w:t>
      </w:r>
      <w:bookmarkEnd w:id="30"/>
      <w:r>
        <w:rPr>
          <w:rFonts w:eastAsia="楷体_GB2312"/>
          <w:sz w:val="32"/>
          <w:szCs w:val="32"/>
        </w:rPr>
        <w:t>。</w:t>
      </w:r>
    </w:p>
    <w:p>
      <w:pPr>
        <w:ind w:firstLine="640" w:firstLineChars="200"/>
        <w:rPr>
          <w:rFonts w:eastAsia="仿宋_GB2312"/>
          <w:sz w:val="32"/>
          <w:szCs w:val="32"/>
        </w:rPr>
      </w:pPr>
      <w:bookmarkStart w:id="31" w:name="_Toc15377444"/>
      <w:bookmarkStart w:id="32" w:name="_Toc15377213"/>
      <w:bookmarkStart w:id="33" w:name="_Toc15378460"/>
      <w:r>
        <w:rPr>
          <w:rFonts w:eastAsia="仿宋_GB2312"/>
          <w:sz w:val="32"/>
          <w:szCs w:val="32"/>
        </w:rPr>
        <w:t>2023年度一般公共预算支出决算数为2991.66</w:t>
      </w:r>
      <w:r>
        <w:rPr>
          <w:rFonts w:hint="eastAsia" w:eastAsia="仿宋_GB2312"/>
          <w:sz w:val="32"/>
          <w:szCs w:val="32"/>
          <w:lang w:val="en-US" w:eastAsia="zh-CN"/>
        </w:rPr>
        <w:t>万元</w:t>
      </w:r>
      <w:r>
        <w:rPr>
          <w:rFonts w:eastAsia="仿宋_GB2312"/>
          <w:sz w:val="32"/>
          <w:szCs w:val="32"/>
        </w:rPr>
        <w:t>，完成预算100%。其中：</w:t>
      </w:r>
      <w:bookmarkEnd w:id="31"/>
      <w:bookmarkEnd w:id="32"/>
      <w:bookmarkEnd w:id="33"/>
    </w:p>
    <w:p>
      <w:pPr>
        <w:ind w:firstLine="643" w:firstLineChars="200"/>
        <w:rPr>
          <w:rFonts w:eastAsia="仿宋_GB2312"/>
          <w:sz w:val="32"/>
          <w:szCs w:val="32"/>
        </w:rPr>
      </w:pPr>
      <w:r>
        <w:rPr>
          <w:rFonts w:eastAsia="仿宋_GB2312"/>
          <w:b/>
          <w:bCs/>
          <w:sz w:val="32"/>
          <w:szCs w:val="32"/>
        </w:rPr>
        <w:t>1.教育支出（205类）:</w:t>
      </w:r>
      <w:r>
        <w:rPr>
          <w:rFonts w:eastAsia="仿宋_GB2312"/>
          <w:sz w:val="32"/>
          <w:szCs w:val="32"/>
        </w:rPr>
        <w:t xml:space="preserve"> 支出决算为2248.78万元，完成预算100%。</w:t>
      </w:r>
    </w:p>
    <w:p>
      <w:pPr>
        <w:ind w:firstLine="640" w:firstLineChars="200"/>
        <w:rPr>
          <w:rFonts w:eastAsia="仿宋_GB2312"/>
          <w:sz w:val="32"/>
          <w:szCs w:val="32"/>
        </w:rPr>
      </w:pPr>
      <w:r>
        <w:rPr>
          <w:rFonts w:eastAsia="仿宋_GB2312"/>
          <w:sz w:val="32"/>
          <w:szCs w:val="32"/>
        </w:rPr>
        <w:t>（1）教育支出（205类）普通教育（02款）学前教育（01项）: 支出决算为46.35万元，完成预算100%。</w:t>
      </w:r>
    </w:p>
    <w:p>
      <w:pPr>
        <w:ind w:firstLine="640" w:firstLineChars="200"/>
        <w:rPr>
          <w:rFonts w:eastAsia="仿宋_GB2312"/>
          <w:sz w:val="32"/>
          <w:szCs w:val="32"/>
        </w:rPr>
      </w:pPr>
      <w:r>
        <w:rPr>
          <w:rFonts w:eastAsia="仿宋_GB2312"/>
          <w:sz w:val="32"/>
          <w:szCs w:val="32"/>
        </w:rPr>
        <w:t>（2）教育支出（205类）普通教育（02款）小学教育（02项）: 支出决算为2179.25万元，完成预算100%。</w:t>
      </w:r>
    </w:p>
    <w:p>
      <w:pPr>
        <w:ind w:firstLine="640" w:firstLineChars="200"/>
        <w:rPr>
          <w:rFonts w:eastAsia="仿宋_GB2312"/>
          <w:sz w:val="32"/>
          <w:szCs w:val="32"/>
        </w:rPr>
      </w:pPr>
      <w:r>
        <w:rPr>
          <w:rFonts w:eastAsia="仿宋_GB2312"/>
          <w:sz w:val="32"/>
          <w:szCs w:val="32"/>
        </w:rPr>
        <w:t>（3）教育支出（205类）教育费附加安排的支出（09款）农村中小学教学设施（02项）: 支出决算为1.4万元，完成预算100%。</w:t>
      </w:r>
    </w:p>
    <w:p>
      <w:pPr>
        <w:ind w:firstLine="640" w:firstLineChars="200"/>
        <w:rPr>
          <w:rFonts w:eastAsia="仿宋_GB2312"/>
          <w:sz w:val="32"/>
          <w:szCs w:val="32"/>
        </w:rPr>
      </w:pPr>
      <w:r>
        <w:rPr>
          <w:rFonts w:eastAsia="仿宋_GB2312"/>
          <w:sz w:val="32"/>
          <w:szCs w:val="32"/>
        </w:rPr>
        <w:t>（4）教育支出（205类）教育费附加安排的支出（09款）其他教育费附加安排的支出（99项）: 支出决算为21.78万元，完成预算100%。</w:t>
      </w:r>
    </w:p>
    <w:p>
      <w:pPr>
        <w:ind w:firstLine="643" w:firstLineChars="200"/>
        <w:rPr>
          <w:rFonts w:eastAsia="仿宋_GB2312"/>
          <w:b/>
          <w:bCs/>
          <w:sz w:val="32"/>
          <w:szCs w:val="32"/>
        </w:rPr>
      </w:pPr>
      <w:r>
        <w:rPr>
          <w:rFonts w:eastAsia="仿宋_GB2312"/>
          <w:b/>
          <w:bCs/>
          <w:sz w:val="32"/>
          <w:szCs w:val="32"/>
        </w:rPr>
        <w:t xml:space="preserve">2.社会保障和就业支出（208类）行政事业养老支出（05款）: </w:t>
      </w:r>
      <w:r>
        <w:rPr>
          <w:rFonts w:eastAsia="仿宋_GB2312"/>
          <w:b w:val="0"/>
          <w:bCs w:val="0"/>
          <w:sz w:val="32"/>
          <w:szCs w:val="32"/>
        </w:rPr>
        <w:t>支出决算为335.17万元，完成预算100%。</w:t>
      </w:r>
    </w:p>
    <w:p>
      <w:pPr>
        <w:ind w:firstLine="640" w:firstLineChars="200"/>
        <w:rPr>
          <w:rFonts w:eastAsia="仿宋_GB2312"/>
          <w:sz w:val="32"/>
          <w:szCs w:val="32"/>
        </w:rPr>
      </w:pPr>
      <w:r>
        <w:rPr>
          <w:rFonts w:eastAsia="仿宋_GB2312"/>
          <w:sz w:val="32"/>
          <w:szCs w:val="32"/>
        </w:rPr>
        <w:t>（1）社会保障和就业支出（208类）行政事业养老支出（05款）事业单位离退休（02项）: 支出决算为50.58万元，完成预算100%。</w:t>
      </w:r>
    </w:p>
    <w:p>
      <w:pPr>
        <w:ind w:firstLine="640" w:firstLineChars="200"/>
        <w:rPr>
          <w:rFonts w:eastAsia="仿宋_GB2312"/>
          <w:sz w:val="32"/>
          <w:szCs w:val="32"/>
        </w:rPr>
      </w:pPr>
      <w:r>
        <w:rPr>
          <w:rFonts w:eastAsia="仿宋_GB2312"/>
          <w:sz w:val="32"/>
          <w:szCs w:val="32"/>
        </w:rPr>
        <w:t>（2）社会保障和就业支出（208类）行政事业养老支出（05款）机关事业单位基本养老保险缴费支出（05项）: 支出决算为241.32万元，完成预算100%。</w:t>
      </w:r>
    </w:p>
    <w:p>
      <w:pPr>
        <w:ind w:firstLine="640" w:firstLineChars="200"/>
        <w:rPr>
          <w:rFonts w:eastAsia="仿宋_GB2312"/>
          <w:sz w:val="32"/>
          <w:szCs w:val="32"/>
        </w:rPr>
      </w:pPr>
      <w:r>
        <w:rPr>
          <w:rFonts w:eastAsia="仿宋_GB2312"/>
          <w:sz w:val="32"/>
          <w:szCs w:val="32"/>
        </w:rPr>
        <w:t>（3）社会保障和就业支出（208类）行政事业养老支出（05款）机关事业单位职业年金缴费支出（06项）: 支出决算为43.28万元，完成预算100%。</w:t>
      </w:r>
    </w:p>
    <w:p>
      <w:pPr>
        <w:ind w:firstLine="643" w:firstLineChars="200"/>
        <w:rPr>
          <w:rFonts w:eastAsia="仿宋_GB2312"/>
          <w:sz w:val="32"/>
          <w:szCs w:val="32"/>
        </w:rPr>
      </w:pPr>
      <w:r>
        <w:rPr>
          <w:rFonts w:eastAsia="仿宋_GB2312"/>
          <w:b/>
          <w:bCs/>
          <w:sz w:val="32"/>
          <w:szCs w:val="32"/>
        </w:rPr>
        <w:t>3.卫生健康支出（210类）行政事业单位医疗（11款）:</w:t>
      </w:r>
      <w:r>
        <w:rPr>
          <w:rFonts w:eastAsia="仿宋_GB2312"/>
          <w:sz w:val="32"/>
          <w:szCs w:val="32"/>
        </w:rPr>
        <w:t>支出决算为209.73万元，完成预算100%。</w:t>
      </w:r>
    </w:p>
    <w:p>
      <w:pPr>
        <w:ind w:firstLine="640" w:firstLineChars="200"/>
        <w:rPr>
          <w:rFonts w:eastAsia="仿宋_GB2312"/>
          <w:sz w:val="32"/>
          <w:szCs w:val="32"/>
        </w:rPr>
      </w:pPr>
      <w:r>
        <w:rPr>
          <w:rFonts w:eastAsia="仿宋_GB2312"/>
          <w:sz w:val="32"/>
          <w:szCs w:val="32"/>
        </w:rPr>
        <w:t>（1）卫生健康支出（210类）行政事业单位医疗（11款）事业单位医疗（02项）:支出决算为127.87万元，完成预算100%。</w:t>
      </w:r>
    </w:p>
    <w:p>
      <w:pPr>
        <w:ind w:firstLine="640" w:firstLineChars="200"/>
        <w:rPr>
          <w:rFonts w:eastAsia="仿宋_GB2312"/>
          <w:sz w:val="32"/>
          <w:szCs w:val="32"/>
        </w:rPr>
      </w:pPr>
      <w:r>
        <w:rPr>
          <w:rFonts w:eastAsia="仿宋_GB2312"/>
          <w:sz w:val="32"/>
          <w:szCs w:val="32"/>
        </w:rPr>
        <w:t>（2）卫生健康支出（210类）行政事业单位医疗（11款）其他行政事业单位医疗（99项）:支出决算为81.86万元，完成预算100%。</w:t>
      </w:r>
    </w:p>
    <w:p>
      <w:pPr>
        <w:ind w:firstLine="643" w:firstLineChars="200"/>
        <w:rPr>
          <w:rFonts w:eastAsia="仿宋_GB2312"/>
          <w:sz w:val="32"/>
          <w:szCs w:val="32"/>
        </w:rPr>
      </w:pPr>
      <w:r>
        <w:rPr>
          <w:rFonts w:eastAsia="仿宋_GB2312"/>
          <w:b/>
          <w:bCs/>
          <w:sz w:val="32"/>
          <w:szCs w:val="32"/>
        </w:rPr>
        <w:t>4.住房保障支出（221类）住房改革支出（02款）住房公积金（01项）:</w:t>
      </w:r>
      <w:r>
        <w:rPr>
          <w:rFonts w:eastAsia="仿宋_GB2312"/>
          <w:sz w:val="32"/>
          <w:szCs w:val="32"/>
        </w:rPr>
        <w:t>支出决算为197.98万元，完成预算100%。</w:t>
      </w:r>
    </w:p>
    <w:p>
      <w:pPr>
        <w:ind w:firstLine="640" w:firstLineChars="200"/>
        <w:rPr>
          <w:rFonts w:eastAsia="黑体"/>
          <w:bCs/>
          <w:sz w:val="32"/>
          <w:szCs w:val="32"/>
        </w:rPr>
      </w:pPr>
      <w:bookmarkStart w:id="34" w:name="_Toc15396608"/>
      <w:bookmarkStart w:id="35" w:name="_Toc15377214"/>
      <w:r>
        <w:rPr>
          <w:rFonts w:eastAsia="黑体"/>
          <w:bCs/>
          <w:sz w:val="32"/>
          <w:szCs w:val="32"/>
        </w:rPr>
        <w:t>六、一般公共预算财政拨款基本支出决算情况说明</w:t>
      </w:r>
      <w:bookmarkEnd w:id="34"/>
      <w:bookmarkEnd w:id="35"/>
      <w:r>
        <w:rPr>
          <w:rFonts w:eastAsia="黑体"/>
          <w:bCs/>
          <w:sz w:val="32"/>
          <w:szCs w:val="32"/>
        </w:rPr>
        <w:tab/>
      </w:r>
    </w:p>
    <w:p>
      <w:pPr>
        <w:ind w:firstLine="640" w:firstLineChars="200"/>
        <w:rPr>
          <w:rFonts w:eastAsia="仿宋_GB2312"/>
          <w:sz w:val="32"/>
          <w:szCs w:val="32"/>
        </w:rPr>
      </w:pPr>
      <w:r>
        <w:rPr>
          <w:rFonts w:eastAsia="仿宋_GB2312"/>
          <w:sz w:val="32"/>
          <w:szCs w:val="32"/>
        </w:rPr>
        <w:t>2023年度一般公共预算财政拨款基本支出2935.98万元，其中：</w:t>
      </w:r>
    </w:p>
    <w:p>
      <w:pPr>
        <w:ind w:firstLine="640" w:firstLineChars="200"/>
        <w:rPr>
          <w:rFonts w:eastAsia="仿宋_GB2312"/>
          <w:sz w:val="32"/>
          <w:szCs w:val="32"/>
        </w:rPr>
      </w:pPr>
      <w:r>
        <w:rPr>
          <w:rFonts w:eastAsia="仿宋_GB2312"/>
          <w:sz w:val="32"/>
          <w:szCs w:val="32"/>
        </w:rPr>
        <w:t>人员经费2640.1万元，主要包括：基本工资、津贴补贴、绩效工资、机关事业单位基本养老保险缴费、职业年金缴费、职工基本医疗保险缴费、其他社会保障缴费、住房公积金、医疗费其他工资福利支出、生活补助、医疗费补助、奖励金等。</w:t>
      </w:r>
    </w:p>
    <w:p>
      <w:pPr>
        <w:ind w:firstLine="640" w:firstLineChars="200"/>
        <w:rPr>
          <w:rFonts w:eastAsia="仿宋_GB2312"/>
          <w:sz w:val="32"/>
          <w:szCs w:val="32"/>
        </w:rPr>
      </w:pPr>
      <w:r>
        <w:rPr>
          <w:rFonts w:eastAsia="仿宋_GB2312"/>
          <w:sz w:val="32"/>
          <w:szCs w:val="32"/>
        </w:rPr>
        <w:t>公用经费295.88万元，主要包括：办公费、印刷费、咨询费、水费、电费、邮电费、物业管理费、差旅费、维修（护）费、租赁费、培训费、专用材料费、劳务费、委托业务费、工会经费、福利费、其他商品和服务支出等。</w:t>
      </w:r>
    </w:p>
    <w:p>
      <w:pPr>
        <w:ind w:firstLine="640" w:firstLineChars="200"/>
      </w:pPr>
      <w:bookmarkStart w:id="36" w:name="_Toc15377215"/>
      <w:bookmarkStart w:id="37" w:name="_Toc15396609"/>
      <w:r>
        <w:rPr>
          <w:rFonts w:eastAsia="黑体"/>
          <w:bCs/>
          <w:sz w:val="32"/>
          <w:szCs w:val="32"/>
        </w:rPr>
        <w:t>七、财政拨款“三公”经费支出决算情况说明</w:t>
      </w:r>
      <w:bookmarkEnd w:id="36"/>
      <w:bookmarkEnd w:id="37"/>
    </w:p>
    <w:p>
      <w:pPr>
        <w:spacing w:line="600" w:lineRule="exact"/>
        <w:ind w:firstLine="640"/>
        <w:outlineLvl w:val="2"/>
        <w:rPr>
          <w:rFonts w:eastAsia="楷体_GB2312"/>
          <w:sz w:val="32"/>
          <w:szCs w:val="32"/>
        </w:rPr>
      </w:pPr>
      <w:bookmarkStart w:id="38" w:name="_Toc15377216"/>
      <w:r>
        <w:rPr>
          <w:rFonts w:eastAsia="楷体_GB2312"/>
          <w:sz w:val="32"/>
          <w:szCs w:val="32"/>
        </w:rPr>
        <w:t>（一）“三公”经费财政拨款支出决算总体情况说明</w:t>
      </w:r>
      <w:bookmarkEnd w:id="38"/>
      <w:r>
        <w:rPr>
          <w:rFonts w:hint="eastAsia" w:eastAsia="楷体_GB2312"/>
          <w:sz w:val="32"/>
          <w:szCs w:val="32"/>
        </w:rPr>
        <w:t>。</w:t>
      </w:r>
    </w:p>
    <w:p>
      <w:pPr>
        <w:ind w:firstLine="640" w:firstLineChars="200"/>
        <w:rPr>
          <w:rFonts w:eastAsia="仿宋_GB2312"/>
          <w:sz w:val="32"/>
          <w:szCs w:val="32"/>
        </w:rPr>
      </w:pPr>
      <w:r>
        <w:rPr>
          <w:rFonts w:eastAsia="仿宋_GB2312"/>
          <w:sz w:val="32"/>
          <w:szCs w:val="32"/>
        </w:rPr>
        <w:t>2023年度“三公”经费财政拨款支出决算为0万元，完成预算0%。</w:t>
      </w:r>
    </w:p>
    <w:p>
      <w:pPr>
        <w:spacing w:line="600" w:lineRule="exact"/>
        <w:ind w:firstLine="640"/>
        <w:outlineLvl w:val="2"/>
        <w:rPr>
          <w:rFonts w:eastAsia="楷体_GB2312"/>
          <w:sz w:val="32"/>
          <w:szCs w:val="32"/>
        </w:rPr>
      </w:pPr>
      <w:bookmarkStart w:id="39" w:name="_Toc15377217"/>
      <w:r>
        <w:rPr>
          <w:rFonts w:eastAsia="楷体_GB2312"/>
          <w:sz w:val="32"/>
          <w:szCs w:val="32"/>
        </w:rPr>
        <w:t>（二）“三公”经费财政拨款支出决算具体情况说明</w:t>
      </w:r>
      <w:bookmarkEnd w:id="39"/>
      <w:r>
        <w:rPr>
          <w:rFonts w:hint="eastAsia" w:eastAsia="楷体_GB2312"/>
          <w:sz w:val="32"/>
          <w:szCs w:val="32"/>
        </w:rPr>
        <w:t>。</w:t>
      </w:r>
    </w:p>
    <w:p>
      <w:pPr>
        <w:ind w:firstLine="640" w:firstLineChars="200"/>
        <w:rPr>
          <w:rFonts w:eastAsia="仿宋_GB2312"/>
          <w:sz w:val="32"/>
          <w:szCs w:val="32"/>
        </w:rPr>
      </w:pPr>
      <w:r>
        <w:rPr>
          <w:rFonts w:eastAsia="仿宋_GB2312"/>
          <w:sz w:val="32"/>
          <w:szCs w:val="32"/>
        </w:rPr>
        <w:t>2023年度“三公”经费财政拨款支出决算中，因公出国（境）费支出决算0万元，占0%；公务用车购置及运行维护费支出决算0万元，占0%；公务接待费支出决算0万元，占0%。</w:t>
      </w:r>
    </w:p>
    <w:p>
      <w:pPr>
        <w:ind w:firstLine="643" w:firstLineChars="200"/>
        <w:rPr>
          <w:rFonts w:eastAsia="仿宋_GB2312"/>
          <w:sz w:val="32"/>
          <w:szCs w:val="32"/>
        </w:rPr>
      </w:pPr>
      <w:bookmarkStart w:id="40" w:name="_Toc15396610"/>
      <w:bookmarkStart w:id="41" w:name="_Toc15377218"/>
      <w:r>
        <w:rPr>
          <w:rFonts w:eastAsia="仿宋_GB2312"/>
          <w:b/>
          <w:bCs/>
          <w:sz w:val="32"/>
          <w:szCs w:val="32"/>
        </w:rPr>
        <w:t>1.因公出国（境）经费支出0万元，完成预算0%。</w:t>
      </w:r>
      <w:r>
        <w:rPr>
          <w:rFonts w:eastAsia="仿宋_GB2312"/>
          <w:sz w:val="32"/>
          <w:szCs w:val="32"/>
        </w:rPr>
        <w:t>全年安排因公出国（境）团组0次，出国（境）0人。</w:t>
      </w:r>
    </w:p>
    <w:p>
      <w:pPr>
        <w:ind w:firstLine="643" w:firstLineChars="200"/>
        <w:rPr>
          <w:rFonts w:eastAsia="仿宋_GB2312"/>
          <w:b/>
          <w:bCs/>
          <w:sz w:val="32"/>
          <w:szCs w:val="32"/>
        </w:rPr>
      </w:pPr>
      <w:r>
        <w:rPr>
          <w:rFonts w:eastAsia="仿宋_GB2312"/>
          <w:b/>
          <w:bCs/>
          <w:sz w:val="32"/>
          <w:szCs w:val="32"/>
        </w:rPr>
        <w:t>2.公务用车购置及运行维护费支出0万元,完成预算0%。</w:t>
      </w:r>
    </w:p>
    <w:p>
      <w:pPr>
        <w:ind w:firstLine="640" w:firstLineChars="200"/>
        <w:rPr>
          <w:rFonts w:eastAsia="仿宋_GB2312"/>
          <w:sz w:val="32"/>
          <w:szCs w:val="32"/>
        </w:rPr>
      </w:pPr>
      <w:r>
        <w:rPr>
          <w:rFonts w:eastAsia="仿宋_GB2312"/>
          <w:sz w:val="32"/>
          <w:szCs w:val="32"/>
        </w:rPr>
        <w:t>公务用车运行维护费支出0万元。</w:t>
      </w:r>
    </w:p>
    <w:p>
      <w:pPr>
        <w:ind w:firstLine="643" w:firstLineChars="200"/>
        <w:rPr>
          <w:rFonts w:eastAsia="仿宋_GB2312"/>
          <w:b/>
          <w:bCs/>
          <w:sz w:val="32"/>
          <w:szCs w:val="32"/>
        </w:rPr>
      </w:pPr>
      <w:r>
        <w:rPr>
          <w:rFonts w:eastAsia="仿宋_GB2312"/>
          <w:b/>
          <w:bCs/>
          <w:sz w:val="32"/>
          <w:szCs w:val="32"/>
        </w:rPr>
        <w:t>3.公务接待费支出0万元，完成预算0%。</w:t>
      </w:r>
    </w:p>
    <w:p>
      <w:pPr>
        <w:ind w:firstLine="640" w:firstLineChars="200"/>
        <w:rPr>
          <w:rFonts w:eastAsia="仿宋_GB2312"/>
          <w:sz w:val="32"/>
          <w:szCs w:val="32"/>
        </w:rPr>
      </w:pPr>
      <w:r>
        <w:rPr>
          <w:rFonts w:eastAsia="仿宋_GB2312"/>
          <w:sz w:val="32"/>
          <w:szCs w:val="32"/>
        </w:rPr>
        <w:t>国内公务接待支出0万元。</w:t>
      </w:r>
    </w:p>
    <w:p>
      <w:pPr>
        <w:ind w:firstLine="640" w:firstLineChars="200"/>
        <w:rPr>
          <w:rFonts w:eastAsia="仿宋_GB2312"/>
          <w:sz w:val="32"/>
          <w:szCs w:val="32"/>
        </w:rPr>
      </w:pPr>
      <w:r>
        <w:rPr>
          <w:rFonts w:eastAsia="仿宋_GB2312"/>
          <w:sz w:val="32"/>
          <w:szCs w:val="32"/>
        </w:rPr>
        <w:t>外事接待支出0万元。</w:t>
      </w:r>
    </w:p>
    <w:p>
      <w:pPr>
        <w:ind w:firstLine="640" w:firstLineChars="200"/>
        <w:rPr>
          <w:rFonts w:eastAsia="黑体"/>
          <w:bCs/>
          <w:sz w:val="32"/>
          <w:szCs w:val="32"/>
        </w:rPr>
      </w:pPr>
      <w:r>
        <w:rPr>
          <w:rFonts w:eastAsia="黑体"/>
          <w:bCs/>
          <w:sz w:val="32"/>
          <w:szCs w:val="32"/>
        </w:rPr>
        <w:t>八、政府性基金预算支出决算情况说明</w:t>
      </w:r>
      <w:bookmarkEnd w:id="40"/>
      <w:bookmarkEnd w:id="41"/>
    </w:p>
    <w:p>
      <w:pPr>
        <w:ind w:firstLine="640" w:firstLineChars="200"/>
        <w:rPr>
          <w:rFonts w:eastAsia="仿宋_GB2312"/>
          <w:sz w:val="32"/>
          <w:szCs w:val="32"/>
        </w:rPr>
      </w:pPr>
      <w:r>
        <w:rPr>
          <w:rFonts w:eastAsia="仿宋_GB2312"/>
          <w:sz w:val="32"/>
          <w:szCs w:val="32"/>
        </w:rPr>
        <w:t>2023年度政府性基金预算财政拨款支出0万元。</w:t>
      </w:r>
    </w:p>
    <w:p>
      <w:pPr>
        <w:ind w:firstLine="640" w:firstLineChars="200"/>
        <w:rPr>
          <w:rFonts w:eastAsia="黑体"/>
          <w:bCs/>
          <w:sz w:val="32"/>
          <w:szCs w:val="32"/>
        </w:rPr>
      </w:pPr>
      <w:bookmarkStart w:id="42" w:name="_Toc15396611"/>
      <w:bookmarkStart w:id="43" w:name="_Toc15377219"/>
      <w:r>
        <w:rPr>
          <w:rFonts w:hint="eastAsia" w:eastAsia="黑体"/>
          <w:bCs/>
          <w:sz w:val="32"/>
          <w:szCs w:val="32"/>
        </w:rPr>
        <w:t>九、</w:t>
      </w:r>
      <w:r>
        <w:rPr>
          <w:rFonts w:eastAsia="黑体"/>
          <w:bCs/>
          <w:sz w:val="32"/>
          <w:szCs w:val="32"/>
        </w:rPr>
        <w:t>国有资本经营预算支出决算情况说明</w:t>
      </w:r>
      <w:bookmarkEnd w:id="42"/>
      <w:bookmarkEnd w:id="43"/>
    </w:p>
    <w:p>
      <w:pPr>
        <w:ind w:firstLine="640" w:firstLineChars="200"/>
        <w:rPr>
          <w:rFonts w:eastAsia="仿宋_GB2312"/>
          <w:sz w:val="32"/>
          <w:szCs w:val="32"/>
        </w:rPr>
      </w:pPr>
      <w:r>
        <w:rPr>
          <w:rFonts w:eastAsia="仿宋_GB2312"/>
          <w:sz w:val="32"/>
          <w:szCs w:val="32"/>
        </w:rPr>
        <w:t>2023年度国有资本经营预算财政拨款支出0万元。</w:t>
      </w:r>
    </w:p>
    <w:p>
      <w:pPr>
        <w:ind w:firstLine="640" w:firstLineChars="200"/>
        <w:rPr>
          <w:rFonts w:eastAsia="黑体"/>
          <w:bCs/>
          <w:sz w:val="32"/>
          <w:szCs w:val="32"/>
        </w:rPr>
      </w:pPr>
      <w:bookmarkStart w:id="44" w:name="_Toc15377221"/>
      <w:bookmarkStart w:id="45" w:name="_Toc15396612"/>
      <w:r>
        <w:rPr>
          <w:rFonts w:hint="eastAsia" w:eastAsia="黑体"/>
          <w:bCs/>
          <w:sz w:val="32"/>
          <w:szCs w:val="32"/>
        </w:rPr>
        <w:t>十、</w:t>
      </w:r>
      <w:r>
        <w:rPr>
          <w:rFonts w:eastAsia="黑体"/>
          <w:bCs/>
          <w:sz w:val="32"/>
          <w:szCs w:val="32"/>
        </w:rPr>
        <w:t>其他重要事项的情况说明</w:t>
      </w:r>
      <w:bookmarkEnd w:id="44"/>
      <w:bookmarkEnd w:id="45"/>
    </w:p>
    <w:p>
      <w:pPr>
        <w:spacing w:line="600" w:lineRule="exact"/>
        <w:ind w:firstLine="640"/>
        <w:outlineLvl w:val="2"/>
        <w:rPr>
          <w:rFonts w:eastAsia="楷体_GB2312"/>
          <w:sz w:val="32"/>
          <w:szCs w:val="32"/>
        </w:rPr>
      </w:pPr>
      <w:bookmarkStart w:id="46" w:name="_Toc15377222"/>
      <w:r>
        <w:rPr>
          <w:rFonts w:eastAsia="楷体_GB2312"/>
          <w:sz w:val="32"/>
          <w:szCs w:val="32"/>
        </w:rPr>
        <w:t>（一）机关运行经费支出情况</w:t>
      </w:r>
      <w:bookmarkEnd w:id="46"/>
      <w:r>
        <w:rPr>
          <w:rFonts w:eastAsia="楷体_GB2312"/>
          <w:sz w:val="32"/>
          <w:szCs w:val="32"/>
        </w:rPr>
        <w:t>。</w:t>
      </w:r>
    </w:p>
    <w:p>
      <w:pPr>
        <w:ind w:firstLine="640" w:firstLineChars="200"/>
        <w:rPr>
          <w:rFonts w:eastAsia="仿宋_GB2312"/>
          <w:sz w:val="32"/>
          <w:szCs w:val="32"/>
        </w:rPr>
      </w:pPr>
      <w:r>
        <w:rPr>
          <w:rFonts w:eastAsia="仿宋_GB2312"/>
          <w:sz w:val="32"/>
          <w:szCs w:val="32"/>
        </w:rPr>
        <w:t>2023年度，盐边县红格镇中心学校机关运行经费支出0万元。</w:t>
      </w:r>
    </w:p>
    <w:p>
      <w:pPr>
        <w:spacing w:line="600" w:lineRule="exact"/>
        <w:ind w:firstLine="640"/>
        <w:outlineLvl w:val="2"/>
        <w:rPr>
          <w:rFonts w:eastAsia="楷体_GB2312"/>
          <w:sz w:val="32"/>
          <w:szCs w:val="32"/>
        </w:rPr>
      </w:pPr>
      <w:bookmarkStart w:id="47" w:name="_Toc15377223"/>
      <w:r>
        <w:rPr>
          <w:rFonts w:eastAsia="楷体_GB2312"/>
          <w:sz w:val="32"/>
          <w:szCs w:val="32"/>
        </w:rPr>
        <w:t>（二）政府采购支出情况</w:t>
      </w:r>
      <w:bookmarkEnd w:id="47"/>
      <w:r>
        <w:rPr>
          <w:rFonts w:eastAsia="楷体_GB2312"/>
          <w:sz w:val="32"/>
          <w:szCs w:val="32"/>
        </w:rPr>
        <w:t>。</w:t>
      </w:r>
    </w:p>
    <w:p>
      <w:pPr>
        <w:ind w:firstLine="640" w:firstLineChars="200"/>
        <w:rPr>
          <w:rFonts w:eastAsia="仿宋_GB2312"/>
          <w:sz w:val="32"/>
          <w:szCs w:val="32"/>
        </w:rPr>
      </w:pPr>
      <w:r>
        <w:rPr>
          <w:rFonts w:eastAsia="仿宋_GB2312"/>
          <w:sz w:val="32"/>
          <w:szCs w:val="32"/>
        </w:rPr>
        <w:t>2023年度，盐边县红格镇中心学校政府采购支出总额840万元，其中：政府采购货物支出0万元、政府采购工程支出0万元、政府采购服务支出840万元。主要用于食堂食材采购。授予中小企业合同金额840万元，占政府采购支出总额的100%，其中：授予小微企业合同金额840万元，占政府采购支出总额的100%。</w:t>
      </w:r>
    </w:p>
    <w:p>
      <w:pPr>
        <w:spacing w:line="600" w:lineRule="exact"/>
        <w:ind w:firstLine="640"/>
        <w:outlineLvl w:val="2"/>
        <w:rPr>
          <w:rFonts w:eastAsia="楷体_GB2312"/>
          <w:sz w:val="32"/>
          <w:szCs w:val="32"/>
        </w:rPr>
      </w:pPr>
      <w:bookmarkStart w:id="48" w:name="_Toc15377224"/>
      <w:r>
        <w:rPr>
          <w:rFonts w:eastAsia="楷体_GB2312"/>
          <w:sz w:val="32"/>
          <w:szCs w:val="32"/>
        </w:rPr>
        <w:t>（三）国有资产占有使用情况</w:t>
      </w:r>
      <w:bookmarkEnd w:id="48"/>
      <w:r>
        <w:rPr>
          <w:rFonts w:eastAsia="楷体_GB2312"/>
          <w:sz w:val="32"/>
          <w:szCs w:val="32"/>
        </w:rPr>
        <w:t>。</w:t>
      </w:r>
    </w:p>
    <w:p>
      <w:pPr>
        <w:ind w:firstLine="640" w:firstLineChars="200"/>
        <w:rPr>
          <w:rFonts w:eastAsia="仿宋_GB2312"/>
          <w:sz w:val="32"/>
          <w:szCs w:val="32"/>
        </w:rPr>
      </w:pPr>
      <w:r>
        <w:rPr>
          <w:rFonts w:eastAsia="仿宋_GB2312"/>
          <w:sz w:val="32"/>
          <w:szCs w:val="32"/>
        </w:rPr>
        <w:t>截至2023年12月31日，盐边县红格镇中心学校共有车辆0辆。</w:t>
      </w:r>
    </w:p>
    <w:p>
      <w:pPr>
        <w:spacing w:line="600" w:lineRule="exact"/>
        <w:ind w:firstLine="640"/>
        <w:outlineLvl w:val="2"/>
        <w:rPr>
          <w:rFonts w:eastAsia="楷体_GB2312"/>
          <w:sz w:val="32"/>
          <w:szCs w:val="32"/>
        </w:rPr>
      </w:pPr>
      <w:r>
        <w:rPr>
          <w:rFonts w:eastAsia="楷体_GB2312"/>
          <w:sz w:val="32"/>
          <w:szCs w:val="32"/>
        </w:rPr>
        <w:t>（四）预算绩效管理情况。</w:t>
      </w:r>
    </w:p>
    <w:p>
      <w:pPr>
        <w:ind w:firstLine="640" w:firstLineChars="200"/>
        <w:rPr>
          <w:rFonts w:eastAsia="仿宋_GB2312"/>
          <w:sz w:val="32"/>
          <w:szCs w:val="32"/>
        </w:rPr>
      </w:pPr>
      <w:r>
        <w:rPr>
          <w:rFonts w:eastAsia="仿宋_GB2312"/>
          <w:sz w:val="32"/>
          <w:szCs w:val="32"/>
        </w:rPr>
        <w:t>根据预算绩效管理要求，本单位在2023年度预算编制阶段，组织对</w:t>
      </w:r>
      <w:r>
        <w:rPr>
          <w:rFonts w:hint="eastAsia" w:eastAsia="仿宋_GB2312"/>
          <w:sz w:val="32"/>
          <w:szCs w:val="32"/>
          <w:lang w:eastAsia="zh-CN"/>
        </w:rPr>
        <w:t>“热成像人体测温服务”、“校园保安服务”</w:t>
      </w:r>
      <w:r>
        <w:rPr>
          <w:rFonts w:eastAsia="仿宋_GB2312"/>
          <w:sz w:val="32"/>
          <w:szCs w:val="32"/>
        </w:rPr>
        <w:t>等</w:t>
      </w:r>
      <w:r>
        <w:rPr>
          <w:rFonts w:hint="eastAsia" w:eastAsia="仿宋_GB2312"/>
          <w:sz w:val="32"/>
          <w:szCs w:val="32"/>
          <w:lang w:val="en-US" w:eastAsia="zh-CN"/>
        </w:rPr>
        <w:t>3</w:t>
      </w:r>
      <w:r>
        <w:rPr>
          <w:rFonts w:eastAsia="仿宋_GB2312"/>
          <w:sz w:val="32"/>
          <w:szCs w:val="32"/>
        </w:rPr>
        <w:t>个项目开展了预算事前绩效评估，对</w:t>
      </w:r>
      <w:r>
        <w:rPr>
          <w:rFonts w:hint="eastAsia" w:eastAsia="仿宋_GB2312"/>
          <w:sz w:val="32"/>
          <w:szCs w:val="32"/>
          <w:lang w:val="en-US" w:eastAsia="zh-CN"/>
        </w:rPr>
        <w:t>3</w:t>
      </w:r>
      <w:r>
        <w:rPr>
          <w:rFonts w:eastAsia="仿宋_GB2312"/>
          <w:sz w:val="32"/>
          <w:szCs w:val="32"/>
        </w:rPr>
        <w:t>个项目编制了绩效目标，预算执行过程中，选取</w:t>
      </w:r>
      <w:r>
        <w:rPr>
          <w:rFonts w:hint="eastAsia" w:eastAsia="仿宋_GB2312"/>
          <w:sz w:val="32"/>
          <w:szCs w:val="32"/>
          <w:lang w:val="en-US" w:eastAsia="zh-CN"/>
        </w:rPr>
        <w:t>3</w:t>
      </w:r>
      <w:r>
        <w:rPr>
          <w:rFonts w:eastAsia="仿宋_GB2312"/>
          <w:sz w:val="32"/>
          <w:szCs w:val="32"/>
        </w:rPr>
        <w:t>个项目开展绩效监控，组织对</w:t>
      </w:r>
      <w:r>
        <w:rPr>
          <w:rFonts w:hint="eastAsia" w:eastAsia="仿宋_GB2312"/>
          <w:sz w:val="32"/>
          <w:szCs w:val="32"/>
          <w:lang w:val="en-US" w:eastAsia="zh-CN"/>
        </w:rPr>
        <w:t>3</w:t>
      </w:r>
      <w:r>
        <w:rPr>
          <w:rFonts w:eastAsia="仿宋_GB2312"/>
          <w:sz w:val="32"/>
          <w:szCs w:val="32"/>
        </w:rPr>
        <w:t>个项目开展绩效自评，绩效自评表详见第四部分附件。</w:t>
      </w:r>
    </w:p>
    <w:p>
      <w:pPr>
        <w:spacing w:line="600" w:lineRule="exact"/>
        <w:ind w:firstLine="640" w:firstLineChars="200"/>
        <w:rPr>
          <w:rFonts w:eastAsia="仿宋_GB2312"/>
          <w:sz w:val="32"/>
          <w:szCs w:val="32"/>
        </w:rPr>
      </w:pPr>
      <w:r>
        <w:rPr>
          <w:rFonts w:eastAsia="仿宋_GB2312"/>
          <w:sz w:val="32"/>
          <w:szCs w:val="32"/>
        </w:rPr>
        <w:br w:type="page"/>
      </w:r>
    </w:p>
    <w:p>
      <w:pPr>
        <w:pStyle w:val="13"/>
        <w:adjustRightInd w:val="0"/>
        <w:snapToGrid w:val="0"/>
        <w:spacing w:line="600" w:lineRule="exact"/>
        <w:ind w:left="0" w:leftChars="0"/>
        <w:jc w:val="center"/>
        <w:rPr>
          <w:rStyle w:val="28"/>
          <w:rFonts w:eastAsia="黑体"/>
          <w:b w:val="0"/>
        </w:rPr>
      </w:pPr>
      <w:bookmarkStart w:id="49" w:name="_Toc15396613"/>
      <w:bookmarkStart w:id="50" w:name="_Toc15377225"/>
      <w:r>
        <w:rPr>
          <w:rStyle w:val="28"/>
          <w:rFonts w:hint="eastAsia" w:eastAsia="黑体"/>
          <w:b w:val="0"/>
        </w:rPr>
        <w:t xml:space="preserve">第三部分 </w:t>
      </w:r>
      <w:r>
        <w:rPr>
          <w:rStyle w:val="28"/>
          <w:rFonts w:eastAsia="黑体"/>
          <w:b w:val="0"/>
        </w:rPr>
        <w:t>名词解释</w:t>
      </w:r>
      <w:bookmarkEnd w:id="49"/>
      <w:bookmarkEnd w:id="50"/>
    </w:p>
    <w:p>
      <w:pPr>
        <w:spacing w:line="600" w:lineRule="exact"/>
        <w:jc w:val="left"/>
        <w:rPr>
          <w:b/>
          <w:sz w:val="44"/>
          <w:szCs w:val="44"/>
        </w:rPr>
      </w:pPr>
    </w:p>
    <w:p>
      <w:pPr>
        <w:pStyle w:val="26"/>
        <w:spacing w:line="560" w:lineRule="exact"/>
        <w:ind w:firstLine="643" w:firstLineChars="200"/>
        <w:rPr>
          <w:rFonts w:ascii="Times New Roman" w:hAnsi="Times New Roman" w:eastAsia="仿宋_GB2312" w:cs="Times New Roman"/>
          <w:color w:val="auto"/>
          <w:kern w:val="2"/>
          <w:sz w:val="32"/>
          <w:szCs w:val="32"/>
        </w:rPr>
      </w:pPr>
      <w:r>
        <w:rPr>
          <w:rFonts w:ascii="Times New Roman" w:hAnsi="Times New Roman" w:eastAsia="仿宋_GB2312" w:cs="Times New Roman"/>
          <w:b/>
          <w:bCs/>
          <w:color w:val="auto"/>
          <w:kern w:val="2"/>
          <w:sz w:val="32"/>
          <w:szCs w:val="32"/>
        </w:rPr>
        <w:t>1.财政拨款收入：</w:t>
      </w:r>
      <w:r>
        <w:rPr>
          <w:rFonts w:ascii="Times New Roman" w:hAnsi="Times New Roman" w:eastAsia="仿宋_GB2312" w:cs="Times New Roman"/>
          <w:color w:val="auto"/>
          <w:kern w:val="2"/>
          <w:sz w:val="32"/>
          <w:szCs w:val="32"/>
        </w:rPr>
        <w:t>指单位从同级财政部门取得的财政预算资金。</w:t>
      </w:r>
    </w:p>
    <w:p>
      <w:pPr>
        <w:pStyle w:val="26"/>
        <w:spacing w:line="560" w:lineRule="exact"/>
        <w:ind w:firstLine="643" w:firstLineChars="200"/>
        <w:rPr>
          <w:rFonts w:ascii="Times New Roman" w:hAnsi="Times New Roman" w:eastAsia="仿宋_GB2312" w:cs="Times New Roman"/>
          <w:color w:val="auto"/>
          <w:kern w:val="2"/>
          <w:sz w:val="32"/>
          <w:szCs w:val="32"/>
        </w:rPr>
      </w:pPr>
      <w:r>
        <w:rPr>
          <w:rFonts w:ascii="Times New Roman" w:hAnsi="Times New Roman" w:eastAsia="仿宋_GB2312" w:cs="Times New Roman"/>
          <w:b/>
          <w:bCs/>
          <w:color w:val="auto"/>
          <w:kern w:val="2"/>
          <w:sz w:val="32"/>
          <w:szCs w:val="32"/>
        </w:rPr>
        <w:t>2.事业收入：</w:t>
      </w:r>
      <w:r>
        <w:rPr>
          <w:rFonts w:ascii="Times New Roman" w:hAnsi="Times New Roman" w:eastAsia="仿宋_GB2312" w:cs="Times New Roman"/>
          <w:color w:val="auto"/>
          <w:kern w:val="2"/>
          <w:sz w:val="32"/>
          <w:szCs w:val="32"/>
        </w:rPr>
        <w:t>指事业单位开展专业业务活动及辅助活动取得的收入。</w:t>
      </w:r>
    </w:p>
    <w:p>
      <w:pPr>
        <w:pStyle w:val="26"/>
        <w:spacing w:line="560" w:lineRule="exact"/>
        <w:ind w:firstLine="643" w:firstLineChars="200"/>
        <w:rPr>
          <w:rFonts w:ascii="Times New Roman" w:hAnsi="Times New Roman" w:eastAsia="仿宋_GB2312" w:cs="Times New Roman"/>
          <w:color w:val="auto"/>
          <w:kern w:val="2"/>
          <w:sz w:val="32"/>
          <w:szCs w:val="32"/>
        </w:rPr>
      </w:pPr>
      <w:r>
        <w:rPr>
          <w:rFonts w:ascii="Times New Roman" w:hAnsi="Times New Roman" w:eastAsia="仿宋_GB2312" w:cs="Times New Roman"/>
          <w:b/>
          <w:bCs/>
          <w:color w:val="auto"/>
          <w:kern w:val="2"/>
          <w:sz w:val="32"/>
          <w:szCs w:val="32"/>
        </w:rPr>
        <w:t>3.经营收入：</w:t>
      </w:r>
      <w:r>
        <w:rPr>
          <w:rFonts w:ascii="Times New Roman" w:hAnsi="Times New Roman" w:eastAsia="仿宋_GB2312" w:cs="Times New Roman"/>
          <w:color w:val="auto"/>
          <w:kern w:val="2"/>
          <w:sz w:val="32"/>
          <w:szCs w:val="32"/>
        </w:rPr>
        <w:t>指事业单位在专业业务活动及其辅助活动之外开展非独立核算经营活动取得的收入。</w:t>
      </w:r>
    </w:p>
    <w:p>
      <w:pPr>
        <w:pStyle w:val="26"/>
        <w:spacing w:line="560" w:lineRule="exact"/>
        <w:ind w:firstLine="643" w:firstLineChars="200"/>
        <w:rPr>
          <w:rFonts w:ascii="Times New Roman" w:hAnsi="Times New Roman" w:eastAsia="仿宋_GB2312" w:cs="Times New Roman"/>
          <w:color w:val="auto"/>
          <w:kern w:val="2"/>
          <w:sz w:val="32"/>
          <w:szCs w:val="32"/>
        </w:rPr>
      </w:pPr>
      <w:r>
        <w:rPr>
          <w:rFonts w:ascii="Times New Roman" w:hAnsi="Times New Roman" w:eastAsia="仿宋_GB2312" w:cs="Times New Roman"/>
          <w:b/>
          <w:bCs/>
          <w:color w:val="auto"/>
          <w:kern w:val="2"/>
          <w:sz w:val="32"/>
          <w:szCs w:val="32"/>
        </w:rPr>
        <w:t>4.其他收入：</w:t>
      </w:r>
      <w:r>
        <w:rPr>
          <w:rFonts w:ascii="Times New Roman" w:hAnsi="Times New Roman" w:eastAsia="仿宋_GB2312" w:cs="Times New Roman"/>
          <w:color w:val="auto"/>
          <w:kern w:val="2"/>
          <w:sz w:val="32"/>
          <w:szCs w:val="32"/>
        </w:rPr>
        <w:t>指单位取得的除上述收入以外的各项收入。</w:t>
      </w:r>
    </w:p>
    <w:p>
      <w:pPr>
        <w:pStyle w:val="26"/>
        <w:spacing w:line="560" w:lineRule="exact"/>
        <w:ind w:firstLine="643" w:firstLineChars="200"/>
        <w:rPr>
          <w:rFonts w:ascii="Times New Roman" w:hAnsi="Times New Roman" w:eastAsia="仿宋_GB2312" w:cs="Times New Roman"/>
          <w:color w:val="auto"/>
          <w:kern w:val="2"/>
          <w:sz w:val="32"/>
          <w:szCs w:val="32"/>
        </w:rPr>
      </w:pPr>
      <w:r>
        <w:rPr>
          <w:rFonts w:ascii="Times New Roman" w:hAnsi="Times New Roman" w:eastAsia="仿宋_GB2312" w:cs="Times New Roman"/>
          <w:b/>
          <w:bCs/>
          <w:color w:val="auto"/>
          <w:kern w:val="2"/>
          <w:sz w:val="32"/>
          <w:szCs w:val="32"/>
        </w:rPr>
        <w:t>5.使用非财政拨款结余（含专用结余）：</w:t>
      </w:r>
      <w:r>
        <w:rPr>
          <w:rFonts w:ascii="Times New Roman" w:hAnsi="Times New Roman" w:eastAsia="仿宋_GB2312" w:cs="Times New Roman"/>
          <w:color w:val="auto"/>
          <w:kern w:val="2"/>
          <w:sz w:val="32"/>
          <w:szCs w:val="32"/>
        </w:rPr>
        <w:t xml:space="preserve">指事业单位使用以前年度积累的非财政拨款结余弥补当年收支差额的金额。 </w:t>
      </w:r>
    </w:p>
    <w:p>
      <w:pPr>
        <w:pStyle w:val="26"/>
        <w:spacing w:line="560" w:lineRule="exact"/>
        <w:ind w:firstLine="643" w:firstLineChars="200"/>
        <w:rPr>
          <w:rFonts w:ascii="Times New Roman" w:hAnsi="Times New Roman" w:eastAsia="仿宋_GB2312" w:cs="Times New Roman"/>
          <w:color w:val="auto"/>
          <w:kern w:val="2"/>
          <w:sz w:val="32"/>
          <w:szCs w:val="32"/>
        </w:rPr>
      </w:pPr>
      <w:r>
        <w:rPr>
          <w:rFonts w:ascii="Times New Roman" w:hAnsi="Times New Roman" w:eastAsia="仿宋_GB2312" w:cs="Times New Roman"/>
          <w:b/>
          <w:bCs/>
          <w:color w:val="auto"/>
          <w:kern w:val="2"/>
          <w:sz w:val="32"/>
          <w:szCs w:val="32"/>
        </w:rPr>
        <w:t>6.年初结转和结余：</w:t>
      </w:r>
      <w:r>
        <w:rPr>
          <w:rFonts w:ascii="Times New Roman" w:hAnsi="Times New Roman" w:eastAsia="仿宋_GB2312" w:cs="Times New Roman"/>
          <w:color w:val="auto"/>
          <w:kern w:val="2"/>
          <w:sz w:val="32"/>
          <w:szCs w:val="32"/>
        </w:rPr>
        <w:t xml:space="preserve">指以前年度尚未完成、结转到本年按有关规定继续使用的资金。 </w:t>
      </w:r>
    </w:p>
    <w:p>
      <w:pPr>
        <w:pStyle w:val="26"/>
        <w:spacing w:line="560" w:lineRule="exact"/>
        <w:ind w:firstLine="643" w:firstLineChars="200"/>
        <w:rPr>
          <w:rFonts w:ascii="Times New Roman" w:hAnsi="Times New Roman" w:eastAsia="仿宋_GB2312" w:cs="Times New Roman"/>
          <w:color w:val="auto"/>
          <w:kern w:val="2"/>
          <w:sz w:val="32"/>
          <w:szCs w:val="32"/>
        </w:rPr>
      </w:pPr>
      <w:r>
        <w:rPr>
          <w:rFonts w:ascii="Times New Roman" w:hAnsi="Times New Roman" w:eastAsia="仿宋_GB2312" w:cs="Times New Roman"/>
          <w:b/>
          <w:bCs/>
          <w:color w:val="auto"/>
          <w:kern w:val="2"/>
          <w:sz w:val="32"/>
          <w:szCs w:val="32"/>
        </w:rPr>
        <w:t>7.结余分配：</w:t>
      </w:r>
      <w:r>
        <w:rPr>
          <w:rFonts w:ascii="Times New Roman" w:hAnsi="Times New Roman" w:eastAsia="仿宋_GB2312" w:cs="Times New Roman"/>
          <w:color w:val="auto"/>
          <w:kern w:val="2"/>
          <w:sz w:val="32"/>
          <w:szCs w:val="32"/>
        </w:rPr>
        <w:t>指事业单位按照会计制度规定缴纳的所得税、提取的专用结余以及转入非财政拨款结余的金额等。</w:t>
      </w:r>
    </w:p>
    <w:p>
      <w:pPr>
        <w:pStyle w:val="26"/>
        <w:spacing w:line="560" w:lineRule="exact"/>
        <w:ind w:firstLine="643" w:firstLineChars="200"/>
        <w:rPr>
          <w:rFonts w:ascii="Times New Roman" w:hAnsi="Times New Roman" w:eastAsia="仿宋_GB2312" w:cs="Times New Roman"/>
          <w:color w:val="auto"/>
          <w:kern w:val="2"/>
          <w:sz w:val="32"/>
          <w:szCs w:val="32"/>
        </w:rPr>
      </w:pPr>
      <w:r>
        <w:rPr>
          <w:rFonts w:ascii="Times New Roman" w:hAnsi="Times New Roman" w:eastAsia="仿宋_GB2312" w:cs="Times New Roman"/>
          <w:b/>
          <w:bCs/>
          <w:color w:val="auto"/>
          <w:kern w:val="2"/>
          <w:sz w:val="32"/>
          <w:szCs w:val="32"/>
        </w:rPr>
        <w:t>8.年末结转和结余：</w:t>
      </w:r>
      <w:r>
        <w:rPr>
          <w:rFonts w:ascii="Times New Roman" w:hAnsi="Times New Roman" w:eastAsia="仿宋_GB2312" w:cs="Times New Roman"/>
          <w:color w:val="auto"/>
          <w:kern w:val="2"/>
          <w:sz w:val="32"/>
          <w:szCs w:val="32"/>
        </w:rPr>
        <w:t>指单位按有关规定结转到下年或以后年度继续使用的资金。</w:t>
      </w:r>
    </w:p>
    <w:p>
      <w:pPr>
        <w:spacing w:line="560" w:lineRule="exact"/>
        <w:ind w:firstLine="643" w:firstLineChars="200"/>
        <w:rPr>
          <w:rFonts w:eastAsia="仿宋_GB2312"/>
          <w:sz w:val="32"/>
          <w:szCs w:val="32"/>
        </w:rPr>
      </w:pPr>
      <w:r>
        <w:rPr>
          <w:rFonts w:ascii="Times New Roman" w:hAnsi="Times New Roman" w:eastAsia="仿宋_GB2312" w:cs="Times New Roman"/>
          <w:b/>
          <w:bCs/>
          <w:color w:val="auto"/>
          <w:kern w:val="2"/>
          <w:sz w:val="32"/>
          <w:szCs w:val="32"/>
          <w:lang w:val="en-US" w:eastAsia="zh-CN" w:bidi="ar-SA"/>
        </w:rPr>
        <w:t>9.教育支出（205类）普通教育（02款）小学教育（01项）：</w:t>
      </w:r>
      <w:r>
        <w:rPr>
          <w:rFonts w:eastAsia="仿宋_GB2312"/>
          <w:sz w:val="32"/>
          <w:szCs w:val="32"/>
        </w:rPr>
        <w:t>指反映各部门举办的学前教育支出。</w:t>
      </w:r>
    </w:p>
    <w:p>
      <w:pPr>
        <w:spacing w:line="560" w:lineRule="exact"/>
        <w:ind w:firstLine="643" w:firstLineChars="200"/>
        <w:rPr>
          <w:rFonts w:eastAsia="仿宋_GB2312"/>
          <w:sz w:val="32"/>
          <w:szCs w:val="32"/>
        </w:rPr>
      </w:pPr>
      <w:r>
        <w:rPr>
          <w:rFonts w:ascii="Times New Roman" w:hAnsi="Times New Roman" w:eastAsia="仿宋_GB2312" w:cs="Times New Roman"/>
          <w:b/>
          <w:bCs/>
          <w:color w:val="auto"/>
          <w:kern w:val="2"/>
          <w:sz w:val="32"/>
          <w:szCs w:val="32"/>
          <w:lang w:val="en-US" w:eastAsia="zh-CN" w:bidi="ar-SA"/>
        </w:rPr>
        <w:t>10.教育支出（205类）普通教育（02款）小学教育02（项）：</w:t>
      </w:r>
      <w:r>
        <w:rPr>
          <w:rFonts w:eastAsia="仿宋_GB2312"/>
          <w:sz w:val="32"/>
          <w:szCs w:val="32"/>
        </w:rPr>
        <w:t>指反映各部门举办的小学教育支出。</w:t>
      </w:r>
    </w:p>
    <w:p>
      <w:pPr>
        <w:spacing w:line="560" w:lineRule="exact"/>
        <w:ind w:firstLine="643" w:firstLineChars="200"/>
        <w:rPr>
          <w:rFonts w:eastAsia="仿宋_GB2312"/>
          <w:sz w:val="32"/>
          <w:szCs w:val="32"/>
        </w:rPr>
      </w:pPr>
      <w:r>
        <w:rPr>
          <w:rFonts w:ascii="Times New Roman" w:hAnsi="Times New Roman" w:eastAsia="仿宋_GB2312" w:cs="Times New Roman"/>
          <w:b/>
          <w:bCs/>
          <w:color w:val="auto"/>
          <w:kern w:val="2"/>
          <w:sz w:val="32"/>
          <w:szCs w:val="32"/>
          <w:lang w:val="en-US" w:eastAsia="zh-CN" w:bidi="ar-SA"/>
        </w:rPr>
        <w:t>11.教育支出（205类）教育费附加安排支出（09款）农村中小学校舍建设（02项）：</w:t>
      </w:r>
      <w:r>
        <w:rPr>
          <w:rFonts w:eastAsia="仿宋_GB2312"/>
          <w:sz w:val="32"/>
          <w:szCs w:val="32"/>
        </w:rPr>
        <w:t>指反映教育附加安排用于农村中小学教学设施和办学条件的支出。</w:t>
      </w:r>
    </w:p>
    <w:p>
      <w:pPr>
        <w:spacing w:line="560" w:lineRule="exact"/>
        <w:ind w:firstLine="643" w:firstLineChars="200"/>
        <w:rPr>
          <w:rFonts w:eastAsia="仿宋_GB2312"/>
          <w:sz w:val="32"/>
          <w:szCs w:val="32"/>
        </w:rPr>
      </w:pPr>
      <w:r>
        <w:rPr>
          <w:rFonts w:ascii="Times New Roman" w:hAnsi="Times New Roman" w:eastAsia="仿宋_GB2312" w:cs="Times New Roman"/>
          <w:b/>
          <w:bCs/>
          <w:color w:val="auto"/>
          <w:kern w:val="2"/>
          <w:sz w:val="32"/>
          <w:szCs w:val="32"/>
          <w:lang w:val="en-US" w:eastAsia="zh-CN" w:bidi="ar-SA"/>
        </w:rPr>
        <w:t>12.教育支出（205类）教育费附加安排支出（09款）其他教育费附加安排的支出（99项）：</w:t>
      </w:r>
      <w:r>
        <w:rPr>
          <w:rFonts w:eastAsia="仿宋_GB2312"/>
          <w:sz w:val="32"/>
          <w:szCs w:val="32"/>
        </w:rPr>
        <w:t>指反映除上述项目以外的教育费附加支出。</w:t>
      </w:r>
    </w:p>
    <w:p>
      <w:pPr>
        <w:ind w:firstLine="643" w:firstLineChars="200"/>
        <w:rPr>
          <w:rFonts w:eastAsia="仿宋_GB2312"/>
          <w:sz w:val="32"/>
          <w:szCs w:val="32"/>
        </w:rPr>
      </w:pPr>
      <w:r>
        <w:rPr>
          <w:rFonts w:ascii="Times New Roman" w:hAnsi="Times New Roman" w:eastAsia="仿宋_GB2312" w:cs="Times New Roman"/>
          <w:b/>
          <w:bCs/>
          <w:color w:val="auto"/>
          <w:kern w:val="2"/>
          <w:sz w:val="32"/>
          <w:szCs w:val="32"/>
          <w:lang w:val="en-US" w:eastAsia="zh-CN" w:bidi="ar-SA"/>
        </w:rPr>
        <w:t>13.社会保障和就业支出（208类）行政事业单位养老支出（05款）事业单位离退休（02项）：</w:t>
      </w:r>
      <w:r>
        <w:rPr>
          <w:rFonts w:eastAsia="仿宋_GB2312"/>
          <w:sz w:val="32"/>
          <w:szCs w:val="32"/>
        </w:rPr>
        <w:t>指反映事业单位开支的离退休经费。</w:t>
      </w:r>
    </w:p>
    <w:p>
      <w:pPr>
        <w:ind w:firstLine="643" w:firstLineChars="200"/>
        <w:rPr>
          <w:rFonts w:eastAsia="仿宋_GB2312"/>
          <w:sz w:val="32"/>
          <w:szCs w:val="32"/>
        </w:rPr>
      </w:pPr>
      <w:r>
        <w:rPr>
          <w:rFonts w:ascii="Times New Roman" w:hAnsi="Times New Roman" w:eastAsia="仿宋_GB2312" w:cs="Times New Roman"/>
          <w:b/>
          <w:bCs/>
          <w:color w:val="auto"/>
          <w:kern w:val="2"/>
          <w:sz w:val="32"/>
          <w:szCs w:val="32"/>
          <w:lang w:val="en-US" w:eastAsia="zh-CN" w:bidi="ar-SA"/>
        </w:rPr>
        <w:t>14.社会保障和就业支出（208类）行政事业单位养老支出（05款）机关事业单位基本养老保险缴费支出（05项）：</w:t>
      </w:r>
      <w:r>
        <w:rPr>
          <w:rFonts w:eastAsia="仿宋_GB2312"/>
          <w:sz w:val="32"/>
          <w:szCs w:val="32"/>
        </w:rPr>
        <w:t>指反映机关事业单位实施养老保险制度由单位缴纳的基本养老保险费支出。</w:t>
      </w:r>
    </w:p>
    <w:p>
      <w:pPr>
        <w:ind w:firstLine="643" w:firstLineChars="200"/>
        <w:rPr>
          <w:rFonts w:eastAsia="仿宋_GB2312"/>
          <w:sz w:val="32"/>
          <w:szCs w:val="32"/>
        </w:rPr>
      </w:pPr>
      <w:r>
        <w:rPr>
          <w:rFonts w:ascii="Times New Roman" w:hAnsi="Times New Roman" w:eastAsia="仿宋_GB2312" w:cs="Times New Roman"/>
          <w:b/>
          <w:bCs/>
          <w:color w:val="auto"/>
          <w:kern w:val="2"/>
          <w:sz w:val="32"/>
          <w:szCs w:val="32"/>
          <w:lang w:val="en-US" w:eastAsia="zh-CN" w:bidi="ar-SA"/>
        </w:rPr>
        <w:t>15.社会保障和就业支出（208类）行政事业单位养老支出（05款）机关事业单位职业年金缴费支出（06项）：</w:t>
      </w:r>
      <w:r>
        <w:rPr>
          <w:rFonts w:eastAsia="仿宋_GB2312"/>
          <w:sz w:val="32"/>
          <w:szCs w:val="32"/>
        </w:rPr>
        <w:t>指反映机关事业单位实施养老保险制度由单位实际缴纳的职业年金支出。</w:t>
      </w:r>
    </w:p>
    <w:p>
      <w:pPr>
        <w:ind w:firstLine="643" w:firstLineChars="200"/>
        <w:rPr>
          <w:rFonts w:eastAsia="仿宋_GB2312"/>
          <w:sz w:val="32"/>
          <w:szCs w:val="32"/>
        </w:rPr>
      </w:pPr>
      <w:r>
        <w:rPr>
          <w:rFonts w:ascii="Times New Roman" w:hAnsi="Times New Roman" w:eastAsia="仿宋_GB2312" w:cs="Times New Roman"/>
          <w:b/>
          <w:bCs/>
          <w:color w:val="auto"/>
          <w:kern w:val="2"/>
          <w:sz w:val="32"/>
          <w:szCs w:val="32"/>
          <w:lang w:val="en-US" w:eastAsia="zh-CN" w:bidi="ar-SA"/>
        </w:rPr>
        <w:t>16.卫生健康支出（210类）行政事业单位医疗（11款）事业单位医疗（02项）：</w:t>
      </w:r>
      <w:r>
        <w:rPr>
          <w:rFonts w:eastAsia="仿宋_GB2312"/>
          <w:sz w:val="32"/>
          <w:szCs w:val="32"/>
        </w:rPr>
        <w:t>指反映财政部门安排的事业单位基本医疗保险缴费经费，未参加医疗保险的事业单位的公费医疗经费，按国家规定享受离休人员待遇的医疗经费。</w:t>
      </w:r>
    </w:p>
    <w:p>
      <w:pPr>
        <w:ind w:firstLine="643" w:firstLineChars="200"/>
        <w:rPr>
          <w:rFonts w:eastAsia="仿宋_GB2312"/>
          <w:sz w:val="32"/>
          <w:szCs w:val="32"/>
        </w:rPr>
      </w:pPr>
      <w:r>
        <w:rPr>
          <w:rFonts w:ascii="Times New Roman" w:hAnsi="Times New Roman" w:eastAsia="仿宋_GB2312" w:cs="Times New Roman"/>
          <w:b/>
          <w:bCs/>
          <w:color w:val="auto"/>
          <w:kern w:val="2"/>
          <w:sz w:val="32"/>
          <w:szCs w:val="32"/>
          <w:lang w:val="en-US" w:eastAsia="zh-CN" w:bidi="ar-SA"/>
        </w:rPr>
        <w:t>17.卫生健康支出（210类）行政事业单位医疗（11款）其他行政事业单位医疗支出（99项）：</w:t>
      </w:r>
      <w:r>
        <w:rPr>
          <w:rFonts w:eastAsia="仿宋_GB2312"/>
          <w:sz w:val="32"/>
          <w:szCs w:val="32"/>
        </w:rPr>
        <w:t>指反映除上述项目以外的其他用于行政事业单位医疗方面的支出。</w:t>
      </w:r>
    </w:p>
    <w:p>
      <w:pPr>
        <w:ind w:firstLine="643" w:firstLineChars="200"/>
        <w:rPr>
          <w:rFonts w:eastAsia="仿宋_GB2312"/>
          <w:sz w:val="32"/>
          <w:szCs w:val="32"/>
        </w:rPr>
      </w:pPr>
      <w:r>
        <w:rPr>
          <w:rFonts w:ascii="Times New Roman" w:hAnsi="Times New Roman" w:eastAsia="仿宋_GB2312" w:cs="Times New Roman"/>
          <w:b/>
          <w:bCs/>
          <w:color w:val="auto"/>
          <w:kern w:val="2"/>
          <w:sz w:val="32"/>
          <w:szCs w:val="32"/>
          <w:lang w:val="en-US" w:eastAsia="zh-CN" w:bidi="ar-SA"/>
        </w:rPr>
        <w:t>18.住房保障支出（221类）住房改革支出（02款）住房公积金（01项）：</w:t>
      </w:r>
      <w:r>
        <w:rPr>
          <w:rFonts w:eastAsia="仿宋_GB2312"/>
          <w:sz w:val="32"/>
          <w:szCs w:val="32"/>
        </w:rPr>
        <w:t>指反映行政事业单位按人力资源和社会保障部、财政部规定的基本工资和津贴补贴以及规定比例为职工缴纳的住房公积金。</w:t>
      </w:r>
    </w:p>
    <w:p>
      <w:pPr>
        <w:spacing w:line="560" w:lineRule="exact"/>
        <w:ind w:firstLine="643" w:firstLineChars="200"/>
        <w:rPr>
          <w:rFonts w:eastAsia="仿宋_GB2312"/>
          <w:sz w:val="32"/>
          <w:szCs w:val="32"/>
        </w:rPr>
      </w:pPr>
      <w:r>
        <w:rPr>
          <w:rFonts w:ascii="Times New Roman" w:hAnsi="Times New Roman" w:eastAsia="仿宋_GB2312" w:cs="Times New Roman"/>
          <w:b/>
          <w:bCs/>
          <w:color w:val="auto"/>
          <w:kern w:val="2"/>
          <w:sz w:val="32"/>
          <w:szCs w:val="32"/>
          <w:lang w:val="en-US" w:eastAsia="zh-CN" w:bidi="ar-SA"/>
        </w:rPr>
        <w:t>19.基本支出：</w:t>
      </w:r>
      <w:r>
        <w:rPr>
          <w:rFonts w:eastAsia="仿宋_GB2312"/>
          <w:sz w:val="32"/>
          <w:szCs w:val="32"/>
        </w:rPr>
        <w:t>指为保障机构正常运转、完成日常工作任务而发生的人员支出和公用支出。</w:t>
      </w:r>
    </w:p>
    <w:p>
      <w:pPr>
        <w:ind w:firstLine="643" w:firstLineChars="200"/>
        <w:rPr>
          <w:rFonts w:eastAsia="仿宋_GB2312"/>
          <w:sz w:val="32"/>
          <w:szCs w:val="32"/>
        </w:rPr>
      </w:pPr>
      <w:r>
        <w:rPr>
          <w:rFonts w:ascii="Times New Roman" w:hAnsi="Times New Roman" w:eastAsia="仿宋_GB2312" w:cs="Times New Roman"/>
          <w:b/>
          <w:bCs/>
          <w:color w:val="auto"/>
          <w:kern w:val="2"/>
          <w:sz w:val="32"/>
          <w:szCs w:val="32"/>
          <w:lang w:val="en-US" w:eastAsia="zh-CN" w:bidi="ar-SA"/>
        </w:rPr>
        <w:t>20.项目支出：</w:t>
      </w:r>
      <w:r>
        <w:rPr>
          <w:rFonts w:eastAsia="仿宋_GB2312"/>
          <w:sz w:val="32"/>
          <w:szCs w:val="32"/>
        </w:rPr>
        <w:t xml:space="preserve">指在基本支出之外为完成特定行政任务和事业发展目标所发生的支出。 </w:t>
      </w:r>
    </w:p>
    <w:p>
      <w:pPr>
        <w:spacing w:line="560" w:lineRule="exact"/>
        <w:ind w:firstLine="643" w:firstLineChars="200"/>
        <w:rPr>
          <w:rFonts w:eastAsia="仿宋_GB2312"/>
          <w:sz w:val="32"/>
          <w:szCs w:val="32"/>
        </w:rPr>
      </w:pPr>
      <w:r>
        <w:rPr>
          <w:rFonts w:ascii="Times New Roman" w:hAnsi="Times New Roman" w:eastAsia="仿宋_GB2312" w:cs="Times New Roman"/>
          <w:b/>
          <w:bCs/>
          <w:color w:val="auto"/>
          <w:kern w:val="2"/>
          <w:sz w:val="32"/>
          <w:szCs w:val="32"/>
          <w:lang w:val="en-US" w:eastAsia="zh-CN" w:bidi="ar-SA"/>
        </w:rPr>
        <w:t>21.“三公”经费：</w:t>
      </w:r>
      <w:r>
        <w:rPr>
          <w:rFonts w:eastAsia="仿宋_GB2312"/>
          <w:sz w:val="32"/>
          <w:szCs w:val="32"/>
        </w:rPr>
        <w:t>指部门用财政拨款安排的因公出国（境）费、公务用车购置及运行费和公务接待费。其中：（1）因公出国（境）费：反映单位公务出国（境）的国际旅费、国外城市间交通费、住宿费、伙食费、培训费、公杂费等支出。（2）公务用车购置：反映单位公务用车购置支出（含车辆购置税、牌照费）。（3）公务用车运行维护费：反映单位按规定保留的公务用车燃料费、维修费、过桥过路费、保险费、安全奖励费用等支出。（4）公务接待费：反映单位按规定开支的各类公务接待（含外宾接待）费用。</w:t>
      </w:r>
    </w:p>
    <w:p>
      <w:pPr>
        <w:pStyle w:val="26"/>
        <w:spacing w:line="560" w:lineRule="exact"/>
        <w:ind w:firstLine="643" w:firstLineChars="200"/>
        <w:rPr>
          <w:rFonts w:ascii="Times New Roman" w:hAnsi="Times New Roman" w:eastAsia="仿宋_GB2312" w:cs="Times New Roman"/>
          <w:color w:val="auto"/>
          <w:kern w:val="2"/>
          <w:sz w:val="32"/>
          <w:szCs w:val="32"/>
        </w:rPr>
      </w:pPr>
      <w:bookmarkStart w:id="51" w:name="_Toc15377226"/>
      <w:r>
        <w:rPr>
          <w:rFonts w:ascii="Times New Roman" w:hAnsi="Times New Roman" w:eastAsia="仿宋_GB2312" w:cs="Times New Roman"/>
          <w:b/>
          <w:bCs/>
          <w:color w:val="auto"/>
          <w:kern w:val="2"/>
          <w:sz w:val="32"/>
          <w:szCs w:val="32"/>
        </w:rPr>
        <w:t>22.机关运行经费：</w:t>
      </w:r>
      <w:r>
        <w:rPr>
          <w:rFonts w:ascii="Times New Roman" w:hAnsi="Times New Roman" w:eastAsia="仿宋_GB2312" w:cs="Times New Roman"/>
          <w:color w:val="auto"/>
          <w:kern w:val="2"/>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3"/>
        <w:adjustRightInd w:val="0"/>
        <w:snapToGrid w:val="0"/>
        <w:spacing w:line="600" w:lineRule="exact"/>
        <w:ind w:left="0" w:leftChars="0"/>
        <w:jc w:val="center"/>
        <w:rPr>
          <w:b/>
          <w:sz w:val="44"/>
          <w:szCs w:val="44"/>
        </w:rPr>
      </w:pPr>
    </w:p>
    <w:p>
      <w:pPr>
        <w:pStyle w:val="13"/>
        <w:adjustRightInd w:val="0"/>
        <w:snapToGrid w:val="0"/>
        <w:spacing w:line="600" w:lineRule="exact"/>
        <w:ind w:left="0" w:leftChars="0"/>
        <w:jc w:val="center"/>
        <w:rPr>
          <w:rFonts w:ascii="Times New Roman" w:hAnsi="Times New Roman" w:eastAsia="仿宋_GB2312" w:cs="Times New Roman"/>
          <w:b/>
          <w:bCs/>
          <w:color w:val="auto"/>
          <w:kern w:val="2"/>
          <w:sz w:val="32"/>
          <w:szCs w:val="32"/>
          <w:lang w:val="en-US" w:eastAsia="zh-CN" w:bidi="ar-SA"/>
        </w:rPr>
      </w:pPr>
      <w:r>
        <w:rPr>
          <w:rFonts w:ascii="Times New Roman" w:hAnsi="Times New Roman" w:eastAsia="仿宋_GB2312" w:cs="Times New Roman"/>
          <w:b/>
          <w:bCs/>
          <w:color w:val="auto"/>
          <w:kern w:val="2"/>
          <w:sz w:val="32"/>
          <w:szCs w:val="32"/>
          <w:lang w:val="en-US" w:eastAsia="zh-CN" w:bidi="ar-SA"/>
        </w:rPr>
        <w:br w:type="page"/>
      </w:r>
      <w:bookmarkStart w:id="52" w:name="_Toc15396614"/>
      <w:r>
        <w:rPr>
          <w:rFonts w:ascii="Times New Roman" w:hAnsi="Times New Roman" w:eastAsia="仿宋_GB2312" w:cs="Times New Roman"/>
          <w:b/>
          <w:bCs/>
          <w:color w:val="auto"/>
          <w:kern w:val="2"/>
          <w:sz w:val="32"/>
          <w:szCs w:val="32"/>
          <w:lang w:val="en-US" w:eastAsia="zh-CN" w:bidi="ar-SA"/>
        </w:rPr>
        <w:t>第四部分 附件</w:t>
      </w:r>
      <w:bookmarkEnd w:id="52"/>
    </w:p>
    <w:p>
      <w:pPr>
        <w:spacing w:line="572" w:lineRule="exact"/>
        <w:jc w:val="left"/>
        <w:outlineLvl w:val="0"/>
        <w:rPr>
          <w:rFonts w:eastAsia="仿宋_GB2312"/>
          <w:sz w:val="32"/>
          <w:szCs w:val="32"/>
        </w:rPr>
      </w:pPr>
    </w:p>
    <w:p>
      <w:pPr>
        <w:spacing w:line="600" w:lineRule="exact"/>
        <w:jc w:val="center"/>
        <w:outlineLvl w:val="0"/>
        <w:rPr>
          <w:rFonts w:hint="eastAsia" w:ascii="仿宋_GB2312" w:eastAsia="仿宋_GB2312"/>
          <w:sz w:val="44"/>
          <w:szCs w:val="44"/>
        </w:rPr>
      </w:pPr>
      <w:bookmarkStart w:id="53" w:name="_Toc15396618"/>
      <w:r>
        <w:rPr>
          <w:rFonts w:hint="eastAsia" w:ascii="仿宋_GB2312" w:eastAsia="仿宋_GB2312"/>
          <w:sz w:val="32"/>
          <w:szCs w:val="32"/>
        </w:rPr>
        <w:t>部门预算项目支出绩效自评表（2023年度）</w:t>
      </w:r>
    </w:p>
    <w:p>
      <w:pPr>
        <w:pStyle w:val="14"/>
        <w:spacing w:line="560" w:lineRule="exact"/>
        <w:ind w:left="0" w:leftChars="0" w:firstLine="640"/>
        <w:rPr>
          <w:rFonts w:ascii="Times New Roman"/>
          <w:sz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6"/>
        <w:spacing w:before="93"/>
        <w:rPr>
          <w:rFonts w:ascii="Times New Roman"/>
          <w:sz w:val="32"/>
          <w:szCs w:val="32"/>
        </w:rPr>
      </w:pPr>
    </w:p>
    <w:p>
      <w:pPr>
        <w:pStyle w:val="13"/>
        <w:adjustRightInd w:val="0"/>
        <w:snapToGrid w:val="0"/>
        <w:spacing w:line="600" w:lineRule="exact"/>
        <w:ind w:left="0" w:leftChars="0"/>
        <w:jc w:val="center"/>
        <w:rPr>
          <w:rStyle w:val="28"/>
          <w:rFonts w:hint="eastAsia" w:eastAsia="黑体"/>
          <w:b w:val="0"/>
        </w:rPr>
      </w:pPr>
    </w:p>
    <w:p>
      <w:pPr>
        <w:pStyle w:val="13"/>
        <w:adjustRightInd w:val="0"/>
        <w:snapToGrid w:val="0"/>
        <w:spacing w:line="600" w:lineRule="exact"/>
        <w:ind w:left="0" w:leftChars="0"/>
        <w:jc w:val="center"/>
        <w:rPr>
          <w:rStyle w:val="28"/>
          <w:rFonts w:hint="eastAsia" w:eastAsia="黑体"/>
          <w:b w:val="0"/>
        </w:rPr>
      </w:pPr>
    </w:p>
    <w:p>
      <w:pPr>
        <w:pStyle w:val="13"/>
        <w:adjustRightInd w:val="0"/>
        <w:snapToGrid w:val="0"/>
        <w:spacing w:line="600" w:lineRule="exact"/>
        <w:ind w:left="0" w:leftChars="0"/>
        <w:jc w:val="center"/>
        <w:rPr>
          <w:rStyle w:val="28"/>
          <w:rFonts w:hint="eastAsia" w:eastAsia="黑体"/>
          <w:b w:val="0"/>
        </w:rPr>
      </w:pPr>
    </w:p>
    <w:p>
      <w:pPr>
        <w:pStyle w:val="13"/>
        <w:adjustRightInd w:val="0"/>
        <w:snapToGrid w:val="0"/>
        <w:spacing w:line="600" w:lineRule="exact"/>
        <w:ind w:left="0" w:leftChars="0"/>
        <w:jc w:val="center"/>
        <w:rPr>
          <w:rStyle w:val="28"/>
          <w:rFonts w:eastAsia="黑体"/>
          <w:b w:val="0"/>
        </w:rPr>
      </w:pPr>
      <w:r>
        <w:rPr>
          <w:rStyle w:val="28"/>
          <w:rFonts w:eastAsia="黑体"/>
          <w:b w:val="0"/>
        </w:rPr>
        <w:t>第五部分 附表</w:t>
      </w:r>
      <w:bookmarkEnd w:id="51"/>
      <w:bookmarkEnd w:id="53"/>
      <w:bookmarkStart w:id="54" w:name="_Toc15396619"/>
    </w:p>
    <w:p>
      <w:pPr>
        <w:pStyle w:val="4"/>
        <w:rPr>
          <w:rFonts w:hint="eastAsia" w:ascii="仿宋_GB2312" w:hAnsi="仿宋_GB2312" w:eastAsia="仿宋_GB2312" w:cs="仿宋_GB2312"/>
        </w:rPr>
      </w:pPr>
      <w:r>
        <w:rPr>
          <w:rFonts w:hint="eastAsia" w:ascii="仿宋_GB2312" w:hAnsi="仿宋_GB2312" w:eastAsia="仿宋_GB2312" w:cs="仿宋_GB2312"/>
          <w:b w:val="0"/>
        </w:rPr>
        <w:t>一、收</w:t>
      </w:r>
      <w:r>
        <w:rPr>
          <w:rStyle w:val="29"/>
          <w:rFonts w:hint="eastAsia" w:ascii="仿宋_GB2312" w:hAnsi="仿宋_GB2312" w:eastAsia="仿宋_GB2312" w:cs="仿宋_GB2312"/>
          <w:b w:val="0"/>
          <w:bCs w:val="0"/>
        </w:rPr>
        <w:t>入支出决算总表</w:t>
      </w:r>
      <w:bookmarkEnd w:id="54"/>
    </w:p>
    <w:p>
      <w:pPr>
        <w:pStyle w:val="4"/>
        <w:rPr>
          <w:rFonts w:hint="eastAsia" w:ascii="仿宋_GB2312" w:hAnsi="仿宋_GB2312" w:eastAsia="仿宋_GB2312" w:cs="仿宋_GB2312"/>
        </w:rPr>
      </w:pPr>
      <w:bookmarkStart w:id="55" w:name="_Toc15396620"/>
      <w:r>
        <w:rPr>
          <w:rFonts w:hint="eastAsia" w:ascii="仿宋_GB2312" w:hAnsi="仿宋_GB2312" w:eastAsia="仿宋_GB2312" w:cs="仿宋_GB2312"/>
          <w:b w:val="0"/>
        </w:rPr>
        <w:t>二、收</w:t>
      </w:r>
      <w:r>
        <w:rPr>
          <w:rStyle w:val="29"/>
          <w:rFonts w:hint="eastAsia" w:ascii="仿宋_GB2312" w:hAnsi="仿宋_GB2312" w:eastAsia="仿宋_GB2312" w:cs="仿宋_GB2312"/>
          <w:b w:val="0"/>
          <w:bCs w:val="0"/>
        </w:rPr>
        <w:t>入决算表</w:t>
      </w:r>
      <w:bookmarkEnd w:id="55"/>
    </w:p>
    <w:p>
      <w:pPr>
        <w:pStyle w:val="4"/>
        <w:rPr>
          <w:rFonts w:hint="eastAsia" w:ascii="仿宋_GB2312" w:hAnsi="仿宋_GB2312" w:eastAsia="仿宋_GB2312" w:cs="仿宋_GB2312"/>
        </w:rPr>
      </w:pPr>
      <w:bookmarkStart w:id="56" w:name="_Toc15396621"/>
      <w:r>
        <w:rPr>
          <w:rStyle w:val="29"/>
          <w:rFonts w:hint="eastAsia" w:ascii="仿宋_GB2312" w:hAnsi="仿宋_GB2312" w:eastAsia="仿宋_GB2312" w:cs="仿宋_GB2312"/>
          <w:b w:val="0"/>
          <w:bCs w:val="0"/>
        </w:rPr>
        <w:t>三、</w:t>
      </w:r>
      <w:r>
        <w:rPr>
          <w:rFonts w:hint="eastAsia" w:ascii="仿宋_GB2312" w:hAnsi="仿宋_GB2312" w:eastAsia="仿宋_GB2312" w:cs="仿宋_GB2312"/>
          <w:b w:val="0"/>
        </w:rPr>
        <w:t>支</w:t>
      </w:r>
      <w:r>
        <w:rPr>
          <w:rStyle w:val="29"/>
          <w:rFonts w:hint="eastAsia" w:ascii="仿宋_GB2312" w:hAnsi="仿宋_GB2312" w:eastAsia="仿宋_GB2312" w:cs="仿宋_GB2312"/>
          <w:b w:val="0"/>
          <w:bCs w:val="0"/>
        </w:rPr>
        <w:t>出决算表</w:t>
      </w:r>
      <w:bookmarkEnd w:id="56"/>
    </w:p>
    <w:p>
      <w:pPr>
        <w:pStyle w:val="4"/>
        <w:rPr>
          <w:rFonts w:hint="eastAsia" w:ascii="仿宋_GB2312" w:hAnsi="仿宋_GB2312" w:eastAsia="仿宋_GB2312" w:cs="仿宋_GB2312"/>
          <w:b w:val="0"/>
        </w:rPr>
      </w:pPr>
      <w:bookmarkStart w:id="57" w:name="_Toc15396622"/>
      <w:r>
        <w:rPr>
          <w:rStyle w:val="29"/>
          <w:rFonts w:hint="eastAsia" w:ascii="仿宋_GB2312" w:hAnsi="仿宋_GB2312" w:eastAsia="仿宋_GB2312" w:cs="仿宋_GB2312"/>
          <w:b w:val="0"/>
          <w:bCs w:val="0"/>
        </w:rPr>
        <w:t>四、</w:t>
      </w:r>
      <w:r>
        <w:rPr>
          <w:rFonts w:hint="eastAsia" w:ascii="仿宋_GB2312" w:hAnsi="仿宋_GB2312" w:eastAsia="仿宋_GB2312" w:cs="仿宋_GB2312"/>
          <w:b w:val="0"/>
        </w:rPr>
        <w:t>财</w:t>
      </w:r>
      <w:r>
        <w:rPr>
          <w:rStyle w:val="29"/>
          <w:rFonts w:hint="eastAsia" w:ascii="仿宋_GB2312" w:hAnsi="仿宋_GB2312" w:eastAsia="仿宋_GB2312" w:cs="仿宋_GB2312"/>
          <w:b w:val="0"/>
          <w:bCs w:val="0"/>
        </w:rPr>
        <w:t>政拨款收入支出决算总表</w:t>
      </w:r>
      <w:bookmarkEnd w:id="57"/>
    </w:p>
    <w:p>
      <w:pPr>
        <w:pStyle w:val="4"/>
        <w:rPr>
          <w:rStyle w:val="29"/>
          <w:rFonts w:hint="eastAsia" w:ascii="仿宋_GB2312" w:hAnsi="仿宋_GB2312" w:eastAsia="仿宋_GB2312" w:cs="仿宋_GB2312"/>
          <w:b w:val="0"/>
          <w:bCs w:val="0"/>
        </w:rPr>
      </w:pPr>
      <w:bookmarkStart w:id="58" w:name="_Toc15396623"/>
      <w:r>
        <w:rPr>
          <w:rStyle w:val="29"/>
          <w:rFonts w:hint="eastAsia" w:ascii="仿宋_GB2312" w:hAnsi="仿宋_GB2312" w:eastAsia="仿宋_GB2312" w:cs="仿宋_GB2312"/>
          <w:b w:val="0"/>
          <w:bCs w:val="0"/>
        </w:rPr>
        <w:t>五、</w:t>
      </w:r>
      <w:r>
        <w:rPr>
          <w:rFonts w:hint="eastAsia" w:ascii="仿宋_GB2312" w:hAnsi="仿宋_GB2312" w:eastAsia="仿宋_GB2312" w:cs="仿宋_GB2312"/>
          <w:b w:val="0"/>
        </w:rPr>
        <w:t>财</w:t>
      </w:r>
      <w:r>
        <w:rPr>
          <w:rStyle w:val="29"/>
          <w:rFonts w:hint="eastAsia" w:ascii="仿宋_GB2312" w:hAnsi="仿宋_GB2312" w:eastAsia="仿宋_GB2312" w:cs="仿宋_GB2312"/>
          <w:b w:val="0"/>
          <w:bCs w:val="0"/>
        </w:rPr>
        <w:t>政拨款支出决算明细表</w:t>
      </w:r>
      <w:bookmarkEnd w:id="58"/>
      <w:bookmarkStart w:id="59" w:name="_Toc15396624"/>
    </w:p>
    <w:p>
      <w:pPr>
        <w:pStyle w:val="4"/>
        <w:rPr>
          <w:rFonts w:hint="eastAsia" w:ascii="仿宋_GB2312" w:hAnsi="仿宋_GB2312" w:eastAsia="仿宋_GB2312" w:cs="仿宋_GB2312"/>
        </w:rPr>
      </w:pPr>
      <w:r>
        <w:rPr>
          <w:rStyle w:val="29"/>
          <w:rFonts w:hint="eastAsia" w:ascii="仿宋_GB2312" w:hAnsi="仿宋_GB2312" w:eastAsia="仿宋_GB2312" w:cs="仿宋_GB2312"/>
          <w:b w:val="0"/>
          <w:bCs w:val="0"/>
        </w:rPr>
        <w:t>六、</w:t>
      </w:r>
      <w:r>
        <w:rPr>
          <w:rFonts w:hint="eastAsia" w:ascii="仿宋_GB2312" w:hAnsi="仿宋_GB2312" w:eastAsia="仿宋_GB2312" w:cs="仿宋_GB2312"/>
          <w:b w:val="0"/>
        </w:rPr>
        <w:t>一</w:t>
      </w:r>
      <w:r>
        <w:rPr>
          <w:rStyle w:val="29"/>
          <w:rFonts w:hint="eastAsia" w:ascii="仿宋_GB2312" w:hAnsi="仿宋_GB2312" w:eastAsia="仿宋_GB2312" w:cs="仿宋_GB2312"/>
          <w:b w:val="0"/>
          <w:bCs w:val="0"/>
        </w:rPr>
        <w:t>般公共预算财政拨款支出决算表</w:t>
      </w:r>
      <w:bookmarkEnd w:id="59"/>
    </w:p>
    <w:p>
      <w:pPr>
        <w:pStyle w:val="4"/>
        <w:rPr>
          <w:rFonts w:hint="eastAsia" w:ascii="仿宋_GB2312" w:hAnsi="仿宋_GB2312" w:eastAsia="仿宋_GB2312" w:cs="仿宋_GB2312"/>
        </w:rPr>
      </w:pPr>
      <w:bookmarkStart w:id="60" w:name="_Toc15396625"/>
      <w:r>
        <w:rPr>
          <w:rStyle w:val="29"/>
          <w:rFonts w:hint="eastAsia" w:ascii="仿宋_GB2312" w:hAnsi="仿宋_GB2312" w:eastAsia="仿宋_GB2312" w:cs="仿宋_GB2312"/>
          <w:b w:val="0"/>
          <w:bCs w:val="0"/>
        </w:rPr>
        <w:t>七、</w:t>
      </w:r>
      <w:r>
        <w:rPr>
          <w:rFonts w:hint="eastAsia" w:ascii="仿宋_GB2312" w:hAnsi="仿宋_GB2312" w:eastAsia="仿宋_GB2312" w:cs="仿宋_GB2312"/>
          <w:b w:val="0"/>
        </w:rPr>
        <w:t>一</w:t>
      </w:r>
      <w:r>
        <w:rPr>
          <w:rStyle w:val="29"/>
          <w:rFonts w:hint="eastAsia" w:ascii="仿宋_GB2312" w:hAnsi="仿宋_GB2312" w:eastAsia="仿宋_GB2312" w:cs="仿宋_GB2312"/>
          <w:b w:val="0"/>
          <w:bCs w:val="0"/>
        </w:rPr>
        <w:t>般公共预算财政拨款支出决算明细表</w:t>
      </w:r>
      <w:bookmarkEnd w:id="60"/>
    </w:p>
    <w:p>
      <w:pPr>
        <w:pStyle w:val="4"/>
        <w:rPr>
          <w:rFonts w:hint="eastAsia" w:ascii="仿宋_GB2312" w:hAnsi="仿宋_GB2312" w:eastAsia="仿宋_GB2312" w:cs="仿宋_GB2312"/>
        </w:rPr>
      </w:pPr>
      <w:bookmarkStart w:id="61" w:name="_Toc15396626"/>
      <w:r>
        <w:rPr>
          <w:rStyle w:val="29"/>
          <w:rFonts w:hint="eastAsia" w:ascii="仿宋_GB2312" w:hAnsi="仿宋_GB2312" w:eastAsia="仿宋_GB2312" w:cs="仿宋_GB2312"/>
          <w:b w:val="0"/>
          <w:bCs w:val="0"/>
        </w:rPr>
        <w:t>八、</w:t>
      </w:r>
      <w:r>
        <w:rPr>
          <w:rFonts w:hint="eastAsia" w:ascii="仿宋_GB2312" w:hAnsi="仿宋_GB2312" w:eastAsia="仿宋_GB2312" w:cs="仿宋_GB2312"/>
          <w:b w:val="0"/>
        </w:rPr>
        <w:t>一</w:t>
      </w:r>
      <w:r>
        <w:rPr>
          <w:rStyle w:val="29"/>
          <w:rFonts w:hint="eastAsia" w:ascii="仿宋_GB2312" w:hAnsi="仿宋_GB2312" w:eastAsia="仿宋_GB2312" w:cs="仿宋_GB2312"/>
          <w:b w:val="0"/>
          <w:bCs w:val="0"/>
        </w:rPr>
        <w:t>般公共预算财政拨款基本支出决算表</w:t>
      </w:r>
      <w:bookmarkEnd w:id="61"/>
    </w:p>
    <w:p>
      <w:pPr>
        <w:pStyle w:val="4"/>
        <w:rPr>
          <w:rFonts w:hint="eastAsia" w:ascii="仿宋_GB2312" w:hAnsi="仿宋_GB2312" w:eastAsia="仿宋_GB2312" w:cs="仿宋_GB2312"/>
        </w:rPr>
      </w:pPr>
      <w:bookmarkStart w:id="62" w:name="_Toc15396627"/>
      <w:r>
        <w:rPr>
          <w:rStyle w:val="29"/>
          <w:rFonts w:hint="eastAsia" w:ascii="仿宋_GB2312" w:hAnsi="仿宋_GB2312" w:eastAsia="仿宋_GB2312" w:cs="仿宋_GB2312"/>
          <w:b w:val="0"/>
          <w:bCs w:val="0"/>
        </w:rPr>
        <w:t>九、</w:t>
      </w:r>
      <w:r>
        <w:rPr>
          <w:rFonts w:hint="eastAsia" w:ascii="仿宋_GB2312" w:hAnsi="仿宋_GB2312" w:eastAsia="仿宋_GB2312" w:cs="仿宋_GB2312"/>
          <w:b w:val="0"/>
        </w:rPr>
        <w:t>一</w:t>
      </w:r>
      <w:r>
        <w:rPr>
          <w:rStyle w:val="29"/>
          <w:rFonts w:hint="eastAsia" w:ascii="仿宋_GB2312" w:hAnsi="仿宋_GB2312" w:eastAsia="仿宋_GB2312" w:cs="仿宋_GB2312"/>
          <w:b w:val="0"/>
          <w:bCs w:val="0"/>
        </w:rPr>
        <w:t>般公共预算财政拨款项目支出决算表</w:t>
      </w:r>
      <w:bookmarkEnd w:id="62"/>
    </w:p>
    <w:p>
      <w:pPr>
        <w:pStyle w:val="4"/>
        <w:rPr>
          <w:rFonts w:hint="eastAsia" w:ascii="仿宋_GB2312" w:hAnsi="仿宋_GB2312" w:eastAsia="仿宋_GB2312" w:cs="仿宋_GB2312"/>
        </w:rPr>
      </w:pPr>
      <w:bookmarkStart w:id="63" w:name="_Toc15396628"/>
      <w:r>
        <w:rPr>
          <w:rStyle w:val="29"/>
          <w:rFonts w:hint="eastAsia" w:ascii="仿宋_GB2312" w:hAnsi="仿宋_GB2312" w:eastAsia="仿宋_GB2312" w:cs="仿宋_GB2312"/>
          <w:b w:val="0"/>
          <w:bCs w:val="0"/>
        </w:rPr>
        <w:t>十、</w:t>
      </w:r>
      <w:bookmarkEnd w:id="63"/>
      <w:r>
        <w:rPr>
          <w:rFonts w:hint="eastAsia" w:ascii="仿宋_GB2312" w:hAnsi="仿宋_GB2312" w:eastAsia="仿宋_GB2312" w:cs="仿宋_GB2312"/>
          <w:b w:val="0"/>
        </w:rPr>
        <w:t>政</w:t>
      </w:r>
      <w:r>
        <w:rPr>
          <w:rStyle w:val="29"/>
          <w:rFonts w:hint="eastAsia" w:ascii="仿宋_GB2312" w:hAnsi="仿宋_GB2312" w:eastAsia="仿宋_GB2312" w:cs="仿宋_GB2312"/>
          <w:b w:val="0"/>
          <w:bCs w:val="0"/>
        </w:rPr>
        <w:t>府性基金预算财政拨款收入支出决算表</w:t>
      </w:r>
    </w:p>
    <w:p>
      <w:pPr>
        <w:pStyle w:val="4"/>
        <w:rPr>
          <w:rFonts w:hint="eastAsia" w:ascii="仿宋_GB2312" w:hAnsi="仿宋_GB2312" w:eastAsia="仿宋_GB2312" w:cs="仿宋_GB2312"/>
        </w:rPr>
      </w:pPr>
      <w:bookmarkStart w:id="64" w:name="_Toc15396629"/>
      <w:r>
        <w:rPr>
          <w:rStyle w:val="29"/>
          <w:rFonts w:hint="eastAsia" w:ascii="仿宋_GB2312" w:hAnsi="仿宋_GB2312" w:eastAsia="仿宋_GB2312" w:cs="仿宋_GB2312"/>
          <w:b w:val="0"/>
          <w:bCs w:val="0"/>
        </w:rPr>
        <w:t>十一、</w:t>
      </w:r>
      <w:bookmarkEnd w:id="64"/>
      <w:r>
        <w:rPr>
          <w:rFonts w:hint="eastAsia" w:ascii="仿宋_GB2312" w:hAnsi="仿宋_GB2312" w:eastAsia="仿宋_GB2312" w:cs="仿宋_GB2312"/>
          <w:b w:val="0"/>
        </w:rPr>
        <w:t>国</w:t>
      </w:r>
      <w:r>
        <w:rPr>
          <w:rStyle w:val="29"/>
          <w:rFonts w:hint="eastAsia" w:ascii="仿宋_GB2312" w:hAnsi="仿宋_GB2312" w:eastAsia="仿宋_GB2312" w:cs="仿宋_GB2312"/>
          <w:b w:val="0"/>
          <w:bCs w:val="0"/>
        </w:rPr>
        <w:t>有资本经营预算财政拨款收入支出决算表</w:t>
      </w:r>
    </w:p>
    <w:p>
      <w:pPr>
        <w:pStyle w:val="4"/>
        <w:rPr>
          <w:rFonts w:hint="eastAsia" w:ascii="仿宋_GB2312" w:hAnsi="仿宋_GB2312" w:eastAsia="仿宋_GB2312" w:cs="仿宋_GB2312"/>
        </w:rPr>
      </w:pPr>
      <w:bookmarkStart w:id="65" w:name="_Toc15396630"/>
      <w:r>
        <w:rPr>
          <w:rStyle w:val="29"/>
          <w:rFonts w:hint="eastAsia" w:ascii="仿宋_GB2312" w:hAnsi="仿宋_GB2312" w:eastAsia="仿宋_GB2312" w:cs="仿宋_GB2312"/>
          <w:b w:val="0"/>
          <w:bCs w:val="0"/>
        </w:rPr>
        <w:t>十二、</w:t>
      </w:r>
      <w:bookmarkEnd w:id="65"/>
      <w:r>
        <w:rPr>
          <w:rStyle w:val="29"/>
          <w:rFonts w:hint="eastAsia" w:ascii="仿宋_GB2312" w:hAnsi="仿宋_GB2312" w:eastAsia="仿宋_GB2312" w:cs="仿宋_GB2312"/>
          <w:b w:val="0"/>
          <w:bCs w:val="0"/>
        </w:rPr>
        <w:t>国有资本经营预算财政拨款支出决算表</w:t>
      </w:r>
    </w:p>
    <w:p>
      <w:pPr>
        <w:pStyle w:val="4"/>
        <w:rPr>
          <w:rFonts w:hint="eastAsia" w:ascii="仿宋_GB2312" w:hAnsi="仿宋_GB2312" w:eastAsia="仿宋_GB2312" w:cs="仿宋_GB2312"/>
        </w:rPr>
      </w:pPr>
      <w:bookmarkStart w:id="66" w:name="_Toc15396631"/>
      <w:r>
        <w:rPr>
          <w:rStyle w:val="29"/>
          <w:rFonts w:hint="eastAsia" w:ascii="仿宋_GB2312" w:hAnsi="仿宋_GB2312" w:eastAsia="仿宋_GB2312" w:cs="仿宋_GB2312"/>
          <w:b w:val="0"/>
          <w:bCs w:val="0"/>
        </w:rPr>
        <w:t>十三、</w:t>
      </w:r>
      <w:bookmarkEnd w:id="66"/>
      <w:r>
        <w:rPr>
          <w:rStyle w:val="29"/>
          <w:rFonts w:hint="eastAsia" w:ascii="仿宋_GB2312" w:hAnsi="仿宋_GB2312" w:eastAsia="仿宋_GB2312" w:cs="仿宋_GB2312"/>
          <w:b w:val="0"/>
          <w:bCs w:val="0"/>
        </w:rPr>
        <w:t>财政拨款“三公”经费支出决算表</w:t>
      </w:r>
    </w:p>
    <w:sectPr>
      <w:footerReference r:id="rId7" w:type="first"/>
      <w:footerReference r:id="rId6" w:type="default"/>
      <w:pgSz w:w="11906" w:h="16838"/>
      <w:pgMar w:top="1440" w:right="1474" w:bottom="1440" w:left="1588"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numPr>
        <w:numId w:val="0"/>
      </w:numPr>
      <w:ind w:leftChars="0"/>
      <w:jc w:val="both"/>
    </w:pP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numPr>
        <w:ilvl w:val="0"/>
        <w:numId w:val="0"/>
      </w:numPr>
      <w:ind w:leftChars="0"/>
      <w:jc w:val="both"/>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10"/>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w:t>
                    </w:r>
                  </w:p>
                </w:txbxContent>
              </v:textbox>
            </v:shape>
          </w:pict>
        </mc:Fallback>
      </mc:AlternateContent>
    </w:r>
  </w:p>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ADxfXSwQIAANYFAAAOAAAAAAAA&#10;AAEAIAAAAB8BAABkcnMvZTJvRG9jLnhtbFBLBQYAAAAABgAGAFkBAABSBgAAAAA=&#10;">
              <v:fill on="f" focussize="0,0"/>
              <v:stroke on="f" weight="0.5pt"/>
              <v:imagedata o:title=""/>
              <o:lock v:ext="edit" aspectratio="f"/>
              <v:textbox inset="0mm,0mm,0mm,0mm" style="mso-fit-shape-to-text:t;">
                <w:txbxContent>
                  <w:p>
                    <w:pPr>
                      <w:pStyle w:val="10"/>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18A09A"/>
    <w:multiLevelType w:val="singleLevel"/>
    <w:tmpl w:val="3818A09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169B"/>
    <w:rsid w:val="00106E77"/>
    <w:rsid w:val="00114E9B"/>
    <w:rsid w:val="00131B3B"/>
    <w:rsid w:val="00142216"/>
    <w:rsid w:val="00144D6A"/>
    <w:rsid w:val="0014729F"/>
    <w:rsid w:val="001574E0"/>
    <w:rsid w:val="00157BAB"/>
    <w:rsid w:val="001654D1"/>
    <w:rsid w:val="00174518"/>
    <w:rsid w:val="0018106D"/>
    <w:rsid w:val="001877A7"/>
    <w:rsid w:val="00191536"/>
    <w:rsid w:val="00196687"/>
    <w:rsid w:val="001A1DAD"/>
    <w:rsid w:val="001C0962"/>
    <w:rsid w:val="001D2BA1"/>
    <w:rsid w:val="001D7531"/>
    <w:rsid w:val="001E00FF"/>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37A74"/>
    <w:rsid w:val="0036561B"/>
    <w:rsid w:val="0037013F"/>
    <w:rsid w:val="00380C92"/>
    <w:rsid w:val="003A484F"/>
    <w:rsid w:val="003A4883"/>
    <w:rsid w:val="003B0BE0"/>
    <w:rsid w:val="003B0C1B"/>
    <w:rsid w:val="003B1D44"/>
    <w:rsid w:val="003B636C"/>
    <w:rsid w:val="003B688C"/>
    <w:rsid w:val="003C0291"/>
    <w:rsid w:val="003C39AE"/>
    <w:rsid w:val="003C7B60"/>
    <w:rsid w:val="003D0C0F"/>
    <w:rsid w:val="003D1FB2"/>
    <w:rsid w:val="003D66DA"/>
    <w:rsid w:val="003E1310"/>
    <w:rsid w:val="003E6F55"/>
    <w:rsid w:val="003F1442"/>
    <w:rsid w:val="003F3463"/>
    <w:rsid w:val="00406254"/>
    <w:rsid w:val="004223DE"/>
    <w:rsid w:val="00425C50"/>
    <w:rsid w:val="0043177C"/>
    <w:rsid w:val="00434489"/>
    <w:rsid w:val="00437085"/>
    <w:rsid w:val="00443880"/>
    <w:rsid w:val="004464F4"/>
    <w:rsid w:val="0046049C"/>
    <w:rsid w:val="00462C03"/>
    <w:rsid w:val="00471401"/>
    <w:rsid w:val="00473F31"/>
    <w:rsid w:val="0048263A"/>
    <w:rsid w:val="00487E5D"/>
    <w:rsid w:val="004A711F"/>
    <w:rsid w:val="004B199D"/>
    <w:rsid w:val="004B4690"/>
    <w:rsid w:val="004E0269"/>
    <w:rsid w:val="004E0A2D"/>
    <w:rsid w:val="004E206B"/>
    <w:rsid w:val="004E6DF7"/>
    <w:rsid w:val="004F0FBD"/>
    <w:rsid w:val="00505A47"/>
    <w:rsid w:val="00511EBA"/>
    <w:rsid w:val="00512FDA"/>
    <w:rsid w:val="00517F72"/>
    <w:rsid w:val="00520DA0"/>
    <w:rsid w:val="00533CD8"/>
    <w:rsid w:val="005533CF"/>
    <w:rsid w:val="005664BB"/>
    <w:rsid w:val="00566FFA"/>
    <w:rsid w:val="0057481D"/>
    <w:rsid w:val="0058486E"/>
    <w:rsid w:val="00585B33"/>
    <w:rsid w:val="0059014D"/>
    <w:rsid w:val="005A2F2A"/>
    <w:rsid w:val="005B4089"/>
    <w:rsid w:val="005B5C64"/>
    <w:rsid w:val="005B6E8A"/>
    <w:rsid w:val="005C5337"/>
    <w:rsid w:val="005C6BD0"/>
    <w:rsid w:val="005D1C8B"/>
    <w:rsid w:val="005D3598"/>
    <w:rsid w:val="005D468D"/>
    <w:rsid w:val="005D5CED"/>
    <w:rsid w:val="005D72F2"/>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3723"/>
    <w:rsid w:val="00655FC5"/>
    <w:rsid w:val="0066343B"/>
    <w:rsid w:val="00664777"/>
    <w:rsid w:val="006748A4"/>
    <w:rsid w:val="00681A31"/>
    <w:rsid w:val="00683E73"/>
    <w:rsid w:val="006A3141"/>
    <w:rsid w:val="006A5E34"/>
    <w:rsid w:val="006B2422"/>
    <w:rsid w:val="006B2B9A"/>
    <w:rsid w:val="006C094C"/>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841"/>
    <w:rsid w:val="007F1991"/>
    <w:rsid w:val="007F2C2F"/>
    <w:rsid w:val="007F55FC"/>
    <w:rsid w:val="007F5665"/>
    <w:rsid w:val="00800112"/>
    <w:rsid w:val="00813102"/>
    <w:rsid w:val="00813348"/>
    <w:rsid w:val="008253BB"/>
    <w:rsid w:val="008355C5"/>
    <w:rsid w:val="0083706E"/>
    <w:rsid w:val="008408F6"/>
    <w:rsid w:val="008423A5"/>
    <w:rsid w:val="00850625"/>
    <w:rsid w:val="00853718"/>
    <w:rsid w:val="00855221"/>
    <w:rsid w:val="00860645"/>
    <w:rsid w:val="00871F71"/>
    <w:rsid w:val="00872FD8"/>
    <w:rsid w:val="00885AF4"/>
    <w:rsid w:val="008939CD"/>
    <w:rsid w:val="008B768C"/>
    <w:rsid w:val="008C1285"/>
    <w:rsid w:val="008C4DB1"/>
    <w:rsid w:val="008C4EAF"/>
    <w:rsid w:val="008C5176"/>
    <w:rsid w:val="008C7FD0"/>
    <w:rsid w:val="008C7FD8"/>
    <w:rsid w:val="008E1DE7"/>
    <w:rsid w:val="008E707C"/>
    <w:rsid w:val="008F0501"/>
    <w:rsid w:val="008F786A"/>
    <w:rsid w:val="00900B08"/>
    <w:rsid w:val="00901D66"/>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A6377"/>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C4887"/>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A5ADC"/>
    <w:rsid w:val="00BB4DF0"/>
    <w:rsid w:val="00BB61C0"/>
    <w:rsid w:val="00BC289F"/>
    <w:rsid w:val="00BC2D50"/>
    <w:rsid w:val="00BC5361"/>
    <w:rsid w:val="00BC5460"/>
    <w:rsid w:val="00BC6B50"/>
    <w:rsid w:val="00BD0E25"/>
    <w:rsid w:val="00BF5BD6"/>
    <w:rsid w:val="00C03E31"/>
    <w:rsid w:val="00C324B4"/>
    <w:rsid w:val="00C33E72"/>
    <w:rsid w:val="00C354B2"/>
    <w:rsid w:val="00C35554"/>
    <w:rsid w:val="00C42709"/>
    <w:rsid w:val="00C533CC"/>
    <w:rsid w:val="00C5751C"/>
    <w:rsid w:val="00C61BFC"/>
    <w:rsid w:val="00C62548"/>
    <w:rsid w:val="00C62B85"/>
    <w:rsid w:val="00C65438"/>
    <w:rsid w:val="00C87FD8"/>
    <w:rsid w:val="00C91381"/>
    <w:rsid w:val="00C9196F"/>
    <w:rsid w:val="00C91CBB"/>
    <w:rsid w:val="00CB4E70"/>
    <w:rsid w:val="00CB5214"/>
    <w:rsid w:val="00CB6C89"/>
    <w:rsid w:val="00CC09B6"/>
    <w:rsid w:val="00CC666F"/>
    <w:rsid w:val="00CD1E3F"/>
    <w:rsid w:val="00CE44F6"/>
    <w:rsid w:val="00CE49DA"/>
    <w:rsid w:val="00CE7B61"/>
    <w:rsid w:val="00D00095"/>
    <w:rsid w:val="00D028EE"/>
    <w:rsid w:val="00D114F0"/>
    <w:rsid w:val="00D20008"/>
    <w:rsid w:val="00D20620"/>
    <w:rsid w:val="00D254F7"/>
    <w:rsid w:val="00D26091"/>
    <w:rsid w:val="00D2685C"/>
    <w:rsid w:val="00D31E6F"/>
    <w:rsid w:val="00D34E7C"/>
    <w:rsid w:val="00D35489"/>
    <w:rsid w:val="00D36AFE"/>
    <w:rsid w:val="00D51276"/>
    <w:rsid w:val="00D52738"/>
    <w:rsid w:val="00D62F4C"/>
    <w:rsid w:val="00D7035F"/>
    <w:rsid w:val="00D86128"/>
    <w:rsid w:val="00DA4763"/>
    <w:rsid w:val="00DA634F"/>
    <w:rsid w:val="00DA65AC"/>
    <w:rsid w:val="00DA6ADC"/>
    <w:rsid w:val="00DB1913"/>
    <w:rsid w:val="00DC3170"/>
    <w:rsid w:val="00DC410D"/>
    <w:rsid w:val="00DC5A81"/>
    <w:rsid w:val="00DC68CA"/>
    <w:rsid w:val="00DC7CBA"/>
    <w:rsid w:val="00DD73B7"/>
    <w:rsid w:val="00DF28BC"/>
    <w:rsid w:val="00DF34B9"/>
    <w:rsid w:val="00DF397A"/>
    <w:rsid w:val="00DF4C99"/>
    <w:rsid w:val="00E01053"/>
    <w:rsid w:val="00E07ACF"/>
    <w:rsid w:val="00E32975"/>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33D"/>
    <w:rsid w:val="00F1361C"/>
    <w:rsid w:val="00F14BC4"/>
    <w:rsid w:val="00F156F0"/>
    <w:rsid w:val="00F160C7"/>
    <w:rsid w:val="00F17FAA"/>
    <w:rsid w:val="00F2408F"/>
    <w:rsid w:val="00F240E9"/>
    <w:rsid w:val="00F36D8F"/>
    <w:rsid w:val="00F417B1"/>
    <w:rsid w:val="00F45853"/>
    <w:rsid w:val="00F602DF"/>
    <w:rsid w:val="00F63B34"/>
    <w:rsid w:val="00F754A1"/>
    <w:rsid w:val="00F81FD9"/>
    <w:rsid w:val="00F841AA"/>
    <w:rsid w:val="00F84A94"/>
    <w:rsid w:val="00F87E96"/>
    <w:rsid w:val="00FA23E8"/>
    <w:rsid w:val="00FD3CC1"/>
    <w:rsid w:val="00FF1E02"/>
    <w:rsid w:val="00FF30B4"/>
    <w:rsid w:val="03DC2831"/>
    <w:rsid w:val="046C6065"/>
    <w:rsid w:val="081B5E94"/>
    <w:rsid w:val="0A2032A3"/>
    <w:rsid w:val="0B8A37D8"/>
    <w:rsid w:val="0F5FFB2F"/>
    <w:rsid w:val="0FFFCF60"/>
    <w:rsid w:val="10C055FF"/>
    <w:rsid w:val="118107EC"/>
    <w:rsid w:val="11DD6519"/>
    <w:rsid w:val="147B6A67"/>
    <w:rsid w:val="16BB723D"/>
    <w:rsid w:val="18015F3F"/>
    <w:rsid w:val="1BE8440E"/>
    <w:rsid w:val="1D155CEE"/>
    <w:rsid w:val="1FDBBF84"/>
    <w:rsid w:val="20F57F95"/>
    <w:rsid w:val="240371BF"/>
    <w:rsid w:val="255D200C"/>
    <w:rsid w:val="25711CC6"/>
    <w:rsid w:val="25C741E6"/>
    <w:rsid w:val="276F80C0"/>
    <w:rsid w:val="27842671"/>
    <w:rsid w:val="29FD04D3"/>
    <w:rsid w:val="2ABE7A3E"/>
    <w:rsid w:val="2AFF09B6"/>
    <w:rsid w:val="2CA234A8"/>
    <w:rsid w:val="2EFA178C"/>
    <w:rsid w:val="2EFDF86C"/>
    <w:rsid w:val="2F9D17E1"/>
    <w:rsid w:val="30B46D73"/>
    <w:rsid w:val="319F7F4E"/>
    <w:rsid w:val="356A28F1"/>
    <w:rsid w:val="357C035A"/>
    <w:rsid w:val="368E000D"/>
    <w:rsid w:val="383D272C"/>
    <w:rsid w:val="39AE70AB"/>
    <w:rsid w:val="3A4DCE41"/>
    <w:rsid w:val="3BCB56FA"/>
    <w:rsid w:val="3C0C0783"/>
    <w:rsid w:val="3EE7C2F4"/>
    <w:rsid w:val="3F371B56"/>
    <w:rsid w:val="3F792ED8"/>
    <w:rsid w:val="3F9F3A96"/>
    <w:rsid w:val="3FECA4B2"/>
    <w:rsid w:val="3FF58C48"/>
    <w:rsid w:val="42FF6694"/>
    <w:rsid w:val="48BF60AB"/>
    <w:rsid w:val="493C27E9"/>
    <w:rsid w:val="496F39ED"/>
    <w:rsid w:val="49FF41D3"/>
    <w:rsid w:val="4BE068DB"/>
    <w:rsid w:val="4BF6002B"/>
    <w:rsid w:val="4BFFC6BE"/>
    <w:rsid w:val="4ECE2238"/>
    <w:rsid w:val="51DB4B86"/>
    <w:rsid w:val="51F64DB0"/>
    <w:rsid w:val="55333C3E"/>
    <w:rsid w:val="573A33A5"/>
    <w:rsid w:val="5F67802D"/>
    <w:rsid w:val="5F7DC4F2"/>
    <w:rsid w:val="5FB36814"/>
    <w:rsid w:val="5FBB8E56"/>
    <w:rsid w:val="5FFB5535"/>
    <w:rsid w:val="64CA39A1"/>
    <w:rsid w:val="69630ADE"/>
    <w:rsid w:val="69BD5F13"/>
    <w:rsid w:val="69FB0B4B"/>
    <w:rsid w:val="6B2B2C11"/>
    <w:rsid w:val="6BFFE1FB"/>
    <w:rsid w:val="6C4A05C8"/>
    <w:rsid w:val="6D3B1A89"/>
    <w:rsid w:val="6DB7D8A3"/>
    <w:rsid w:val="6EC78701"/>
    <w:rsid w:val="6F7A5481"/>
    <w:rsid w:val="6FFE07A9"/>
    <w:rsid w:val="71BF4EC2"/>
    <w:rsid w:val="72734D90"/>
    <w:rsid w:val="73E75B71"/>
    <w:rsid w:val="7412278C"/>
    <w:rsid w:val="742621EE"/>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customStyle="1" w:styleId="20">
    <w:name w:val="Header Char"/>
    <w:basedOn w:val="17"/>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7"/>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7"/>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7"/>
    <w:link w:val="3"/>
    <w:qFormat/>
    <w:uiPriority w:val="9"/>
    <w:rPr>
      <w:rFonts w:ascii="Times New Roman" w:hAnsi="Times New Roman"/>
      <w:b/>
      <w:bCs/>
      <w:kern w:val="44"/>
      <w:sz w:val="44"/>
      <w:szCs w:val="44"/>
    </w:rPr>
  </w:style>
  <w:style w:type="character" w:customStyle="1" w:styleId="29">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7"/>
    <w:link w:val="9"/>
    <w:semiHidden/>
    <w:qFormat/>
    <w:uiPriority w:val="99"/>
    <w:rPr>
      <w:rFonts w:ascii="Times New Roman" w:hAnsi="Times New Roman"/>
      <w:kern w:val="2"/>
      <w:sz w:val="18"/>
      <w:szCs w:val="18"/>
    </w:rPr>
  </w:style>
  <w:style w:type="character" w:customStyle="1" w:styleId="32">
    <w:name w:val="标题 3 Char"/>
    <w:basedOn w:val="17"/>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0688616454589"/>
          <c:y val="0.0426626756401213"/>
          <c:w val="0.763145533532446"/>
          <c:h val="0.84458829081696"/>
        </c:manualLayout>
      </c:layout>
      <c:barChart>
        <c:barDir val="col"/>
        <c:grouping val="clustered"/>
        <c:varyColors val="0"/>
        <c:ser>
          <c:idx val="0"/>
          <c:order val="0"/>
          <c:tx>
            <c:strRef>
              <c:f>Sheet1!$B$2</c:f>
              <c:strCache>
                <c:ptCount val="1"/>
                <c:pt idx="0">
                  <c:v>收入</c:v>
                </c:pt>
              </c:strCache>
            </c:strRef>
          </c:tx>
          <c:invertIfNegative val="0"/>
          <c:dLbls>
            <c:dLbl>
              <c:idx val="0"/>
              <c:layout>
                <c:manualLayout>
                  <c:x val="0.0257852789498359"/>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304735114861697"/>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Sheet1!$A$3:$A$6</c:f>
              <c:strCache>
                <c:ptCount val="2"/>
                <c:pt idx="0">
                  <c:v>2023年</c:v>
                </c:pt>
                <c:pt idx="1">
                  <c:v>2022年</c:v>
                </c:pt>
              </c:strCache>
            </c:strRef>
          </c:cat>
          <c:val>
            <c:numRef>
              <c:f>Sheet1!$B$3:$B$6</c:f>
              <c:numCache>
                <c:formatCode>General</c:formatCode>
                <c:ptCount val="4"/>
                <c:pt idx="0">
                  <c:v>2991.66</c:v>
                </c:pt>
                <c:pt idx="1">
                  <c:v>2937.46</c:v>
                </c:pt>
              </c:numCache>
            </c:numRef>
          </c:val>
        </c:ser>
        <c:ser>
          <c:idx val="1"/>
          <c:order val="1"/>
          <c:tx>
            <c:strRef>
              <c:f>Sheet1!$C$2</c:f>
              <c:strCache>
                <c:ptCount val="1"/>
                <c:pt idx="0">
                  <c:v>支出</c:v>
                </c:pt>
              </c:strCache>
            </c:strRef>
          </c:tx>
          <c:invertIfNegative val="0"/>
          <c:dLbls>
            <c:delete val="1"/>
          </c:dLbls>
          <c:cat>
            <c:strRef>
              <c:f>Sheet1!$A$3:$A$6</c:f>
              <c:strCache>
                <c:ptCount val="2"/>
                <c:pt idx="0">
                  <c:v>2023年</c:v>
                </c:pt>
                <c:pt idx="1">
                  <c:v>2022年</c:v>
                </c:pt>
              </c:strCache>
            </c:strRef>
          </c:cat>
          <c:val>
            <c:numRef>
              <c:f>Sheet1!$C$3:$C$6</c:f>
              <c:numCache>
                <c:formatCode>General</c:formatCode>
                <c:ptCount val="4"/>
                <c:pt idx="0">
                  <c:v>2991.66</c:v>
                </c:pt>
                <c:pt idx="1">
                  <c:v>2937.46</c:v>
                </c:pt>
              </c:numCache>
            </c:numRef>
          </c:val>
        </c:ser>
        <c:dLbls>
          <c:showLegendKey val="0"/>
          <c:showVal val="0"/>
          <c:showCatName val="0"/>
          <c:showSerName val="0"/>
          <c:showPercent val="0"/>
          <c:showBubbleSize val="0"/>
        </c:dLbls>
        <c:gapWidth val="150"/>
        <c:axId val="205446528"/>
        <c:axId val="205939840"/>
      </c:barChart>
      <c:catAx>
        <c:axId val="20544652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mn-lt"/>
                <a:ea typeface="+mn-ea"/>
                <a:cs typeface="+mn-cs"/>
              </a:defRPr>
            </a:pPr>
          </a:p>
        </c:txPr>
        <c:crossAx val="205939840"/>
        <c:crosses val="autoZero"/>
        <c:auto val="1"/>
        <c:lblAlgn val="ctr"/>
        <c:lblOffset val="100"/>
        <c:noMultiLvlLbl val="0"/>
      </c:catAx>
      <c:valAx>
        <c:axId val="20593984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mn-lt"/>
                <a:ea typeface="+mn-ea"/>
                <a:cs typeface="+mn-cs"/>
              </a:defRPr>
            </a:pPr>
          </a:p>
        </c:txPr>
        <c:crossAx val="205446528"/>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rgbClr val="000000"/>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832041668563106"/>
          <c:y val="0.0206525113153425"/>
        </c:manualLayout>
      </c:layout>
      <c:overlay val="0"/>
      <c:txPr>
        <a:bodyPr rot="0" spcFirstLastPara="0" vertOverflow="ellipsis" vert="horz" wrap="square" anchor="ctr" anchorCtr="1"/>
        <a:lstStyle/>
        <a:p>
          <a:pPr>
            <a:defRPr lang="zh-CN" sz="1000" b="1" i="0" u="none" strike="noStrike" kern="1200" baseline="0">
              <a:solidFill>
                <a:srgbClr val="000000"/>
              </a:solidFill>
              <a:latin typeface="+mn-lt"/>
              <a:ea typeface="+mn-ea"/>
              <a:cs typeface="+mn-cs"/>
            </a:defRPr>
          </a:pPr>
        </a:p>
      </c:txPr>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Pt>
            <c:idx val="2"/>
            <c:bubble3D val="0"/>
          </c:dPt>
          <c:dPt>
            <c:idx val="3"/>
            <c:bubble3D val="0"/>
          </c:dPt>
          <c:dPt>
            <c:idx val="4"/>
            <c:bubble3D val="0"/>
          </c:dPt>
          <c:dLbls>
            <c:dLbl>
              <c:idx val="1"/>
              <c:layout>
                <c:manualLayout>
                  <c:x val="-0.0135086576408165"/>
                  <c:y val="0.00286017873143501"/>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521777223890179"/>
                  <c:y val="0.0204835422762487"/>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69587794331464"/>
                  <c:y val="0.0016013670496626"/>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689250174663419"/>
                  <c:y val="0.0242548231320028"/>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Sheet1!$A$2:$A$6</c:f>
              <c:strCache>
                <c:ptCount val="5"/>
                <c:pt idx="0">
                  <c:v>一般公共预算财政拨款收入：2991.66万元</c:v>
                </c:pt>
                <c:pt idx="1">
                  <c:v>政府性基金预算财政拨款收入：0万元</c:v>
                </c:pt>
                <c:pt idx="2">
                  <c:v>上级补助收入：0万元</c:v>
                </c:pt>
                <c:pt idx="3">
                  <c:v>事业收入：0万元</c:v>
                </c:pt>
                <c:pt idx="4">
                  <c:v>其他收入：0万元</c:v>
                </c:pt>
              </c:strCache>
            </c:strRef>
          </c:cat>
          <c:val>
            <c:numRef>
              <c:f>Sheet1!$B$2:$B$6</c:f>
              <c:numCache>
                <c:formatCode>0%</c:formatCode>
                <c:ptCount val="5"/>
                <c:pt idx="0">
                  <c:v>1</c:v>
                </c:pt>
                <c:pt idx="1">
                  <c:v>0</c:v>
                </c:pt>
                <c:pt idx="2">
                  <c:v>0</c:v>
                </c:pt>
                <c:pt idx="3">
                  <c:v>0</c:v>
                </c:pt>
                <c:pt idx="4">
                  <c:v>0</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rgbClr val="000000"/>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829641223212136"/>
          <c:y val="0.0247678018575851"/>
        </c:manualLayout>
      </c:layout>
      <c:overlay val="0"/>
      <c:txPr>
        <a:bodyPr rot="0" spcFirstLastPara="0" vertOverflow="ellipsis" vert="horz" wrap="square" anchor="ctr" anchorCtr="1"/>
        <a:lstStyle/>
        <a:p>
          <a:pPr>
            <a:defRPr lang="zh-CN" sz="1000" b="1" i="0" u="none" strike="noStrike" kern="1200" baseline="0">
              <a:solidFill>
                <a:srgbClr val="000000"/>
              </a:solidFill>
              <a:latin typeface="+mn-lt"/>
              <a:ea typeface="+mn-ea"/>
              <a:cs typeface="+mn-cs"/>
            </a:defRPr>
          </a:pPr>
        </a:p>
      </c:txPr>
    </c:title>
    <c:autoTitleDeleted val="0"/>
    <c:plotArea>
      <c:layout/>
      <c:pieChart>
        <c:varyColors val="1"/>
        <c:ser>
          <c:idx val="0"/>
          <c:order val="0"/>
          <c:tx>
            <c:strRef>
              <c:f>Sheet1!$B$1</c:f>
              <c:strCache>
                <c:ptCount val="1"/>
                <c:pt idx="0">
                  <c:v>单位：万元</c:v>
                </c:pt>
              </c:strCache>
            </c:strRef>
          </c:tx>
          <c:explosion val="0"/>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基本支出：2935.98万元</c:v>
                </c:pt>
                <c:pt idx="1">
                  <c:v>项目支出：55.68万元</c:v>
                </c:pt>
              </c:strCache>
            </c:strRef>
          </c:cat>
          <c:val>
            <c:numRef>
              <c:f>Sheet1!$B$2:$B$3</c:f>
              <c:numCache>
                <c:formatCode>0.00%</c:formatCode>
                <c:ptCount val="2"/>
                <c:pt idx="0">
                  <c:v>0.9814</c:v>
                </c:pt>
                <c:pt idx="1">
                  <c:v>0.0186</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rgbClr val="000000"/>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Sheet1!$B$2</c:f>
              <c:strCache>
                <c:ptCount val="1"/>
                <c:pt idx="0">
                  <c:v>财政拨款收入</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Sheet1!$A$3:$A$4</c:f>
              <c:strCache>
                <c:ptCount val="2"/>
                <c:pt idx="0">
                  <c:v>2023年</c:v>
                </c:pt>
                <c:pt idx="1">
                  <c:v>2022年</c:v>
                </c:pt>
              </c:strCache>
            </c:strRef>
          </c:cat>
          <c:val>
            <c:numRef>
              <c:f>Sheet1!$B$3:$B$4</c:f>
              <c:numCache>
                <c:formatCode>General</c:formatCode>
                <c:ptCount val="2"/>
                <c:pt idx="0">
                  <c:v>2991.66</c:v>
                </c:pt>
                <c:pt idx="1">
                  <c:v>2937.46</c:v>
                </c:pt>
              </c:numCache>
            </c:numRef>
          </c:val>
        </c:ser>
        <c:ser>
          <c:idx val="1"/>
          <c:order val="1"/>
          <c:tx>
            <c:strRef>
              <c:f>Sheet1!$C$2</c:f>
              <c:strCache>
                <c:ptCount val="1"/>
                <c:pt idx="0">
                  <c:v>财政拨款支出</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Sheet1!$A$3:$A$4</c:f>
              <c:strCache>
                <c:ptCount val="2"/>
                <c:pt idx="0">
                  <c:v>2023年</c:v>
                </c:pt>
                <c:pt idx="1">
                  <c:v>2022年</c:v>
                </c:pt>
              </c:strCache>
            </c:strRef>
          </c:cat>
          <c:val>
            <c:numRef>
              <c:f>Sheet1!$C$3:$C$4</c:f>
              <c:numCache>
                <c:formatCode>General</c:formatCode>
                <c:ptCount val="2"/>
                <c:pt idx="0">
                  <c:v>2991.66</c:v>
                </c:pt>
                <c:pt idx="1">
                  <c:v>2937.46</c:v>
                </c:pt>
              </c:numCache>
            </c:numRef>
          </c:val>
        </c:ser>
        <c:dLbls>
          <c:showLegendKey val="0"/>
          <c:showVal val="0"/>
          <c:showCatName val="0"/>
          <c:showSerName val="0"/>
          <c:showPercent val="0"/>
          <c:showBubbleSize val="0"/>
        </c:dLbls>
        <c:gapWidth val="150"/>
        <c:axId val="228499840"/>
        <c:axId val="228501376"/>
      </c:barChart>
      <c:catAx>
        <c:axId val="22849984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mn-lt"/>
                <a:ea typeface="+mn-ea"/>
                <a:cs typeface="+mn-cs"/>
              </a:defRPr>
            </a:pPr>
          </a:p>
        </c:txPr>
        <c:crossAx val="228501376"/>
        <c:crosses val="autoZero"/>
        <c:auto val="1"/>
        <c:lblAlgn val="ctr"/>
        <c:lblOffset val="100"/>
        <c:noMultiLvlLbl val="0"/>
      </c:catAx>
      <c:valAx>
        <c:axId val="22850137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mn-lt"/>
                <a:ea typeface="+mn-ea"/>
                <a:cs typeface="+mn-cs"/>
              </a:defRPr>
            </a:pPr>
          </a:p>
        </c:txPr>
        <c:crossAx val="228499840"/>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rgbClr val="000000"/>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863351793883939"/>
          <c:y val="0.0123839009287926"/>
        </c:manualLayout>
      </c:layout>
      <c:overlay val="0"/>
      <c:txPr>
        <a:bodyPr rot="0" spcFirstLastPara="0" vertOverflow="ellipsis" vert="horz" wrap="square" anchor="ctr" anchorCtr="1"/>
        <a:lstStyle/>
        <a:p>
          <a:pPr>
            <a:defRPr lang="zh-CN" sz="1000" b="1" i="0" u="none" strike="noStrike" kern="1200" baseline="0">
              <a:solidFill>
                <a:srgbClr val="000000"/>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单位：万元</c:v>
                </c:pt>
              </c:strCache>
            </c:strRef>
          </c:tx>
          <c:invertIfNegative val="0"/>
          <c:dLbls>
            <c:dLbl>
              <c:idx val="0"/>
              <c:layout/>
              <c:dLblPos val="outEnd"/>
              <c:showLegendKey val="0"/>
              <c:showVal val="1"/>
              <c:showCatName val="0"/>
              <c:showSerName val="0"/>
              <c:showPercent val="0"/>
              <c:showBubbleSize val="0"/>
              <c:extLst>
                <c:ext xmlns:c15="http://schemas.microsoft.com/office/drawing/2012/chart" uri="{CE6537A1-D6FC-4f65-9D91-7224C49458BB}"/>
              </c:extLst>
            </c:dLbl>
            <c:dLbl>
              <c:idx val="1"/>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mn-lt"/>
                    <a:ea typeface="+mn-ea"/>
                    <a:cs typeface="+mn-cs"/>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Sheet1!$B$2:$B$3</c:f>
              <c:numCache>
                <c:formatCode>General</c:formatCode>
                <c:ptCount val="2"/>
                <c:pt idx="0">
                  <c:v>2991.66</c:v>
                </c:pt>
                <c:pt idx="1">
                  <c:v>2937.46</c:v>
                </c:pt>
              </c:numCache>
            </c:numRef>
          </c:val>
        </c:ser>
        <c:dLbls>
          <c:showLegendKey val="0"/>
          <c:showVal val="0"/>
          <c:showCatName val="0"/>
          <c:showSerName val="0"/>
          <c:showPercent val="0"/>
          <c:showBubbleSize val="0"/>
        </c:dLbls>
        <c:gapWidth val="150"/>
        <c:axId val="228530816"/>
        <c:axId val="228561280"/>
      </c:barChart>
      <c:catAx>
        <c:axId val="22853081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mn-lt"/>
                <a:ea typeface="+mn-ea"/>
                <a:cs typeface="+mn-cs"/>
              </a:defRPr>
            </a:pPr>
          </a:p>
        </c:txPr>
        <c:crossAx val="228561280"/>
        <c:crosses val="autoZero"/>
        <c:auto val="1"/>
        <c:lblAlgn val="ctr"/>
        <c:lblOffset val="100"/>
        <c:noMultiLvlLbl val="0"/>
      </c:catAx>
      <c:valAx>
        <c:axId val="22856128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rgbClr val="000000"/>
                </a:solidFill>
                <a:latin typeface="+mn-lt"/>
                <a:ea typeface="+mn-ea"/>
                <a:cs typeface="+mn-cs"/>
              </a:defRPr>
            </a:pPr>
          </a:p>
        </c:txPr>
        <c:crossAx val="228530816"/>
        <c:crosses val="autoZero"/>
        <c:crossBetween val="between"/>
      </c:valAx>
    </c:plotArea>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rgbClr val="000000"/>
              </a:solidFill>
              <a:latin typeface="+mn-lt"/>
              <a:ea typeface="+mn-ea"/>
              <a:cs typeface="+mn-cs"/>
            </a:defRPr>
          </a:pPr>
        </a:p>
      </c:txPr>
    </c:title>
    <c:autoTitleDeleted val="0"/>
    <c:plotArea>
      <c:layout/>
      <c:pieChart>
        <c:varyColors val="1"/>
        <c:ser>
          <c:idx val="0"/>
          <c:order val="0"/>
          <c:tx>
            <c:strRef>
              <c:f>Sheet1!$B$1</c:f>
              <c:strCache>
                <c:ptCount val="1"/>
                <c:pt idx="0">
                  <c:v>  </c:v>
                </c:pt>
              </c:strCache>
            </c:strRef>
          </c:tx>
          <c:explosion val="0"/>
          <c:dPt>
            <c:idx val="0"/>
            <c:bubble3D val="0"/>
          </c:dPt>
          <c:dPt>
            <c:idx val="1"/>
            <c:bubble3D val="0"/>
          </c:dPt>
          <c:dPt>
            <c:idx val="2"/>
            <c:bubble3D val="0"/>
          </c:dPt>
          <c:dPt>
            <c:idx val="3"/>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Sheet1!$A$2:$A$5</c:f>
              <c:strCache>
                <c:ptCount val="4"/>
                <c:pt idx="0">
                  <c:v>教育支出：2248.78万元</c:v>
                </c:pt>
                <c:pt idx="1">
                  <c:v>社会保障和就业支出：335.17万元</c:v>
                </c:pt>
                <c:pt idx="2">
                  <c:v>卫生健康支出：209.73万元</c:v>
                </c:pt>
                <c:pt idx="3">
                  <c:v>住房保障支出：197.98万元</c:v>
                </c:pt>
              </c:strCache>
            </c:strRef>
          </c:cat>
          <c:val>
            <c:numRef>
              <c:f>Sheet1!$B$2:$B$5</c:f>
              <c:numCache>
                <c:formatCode>0.00%</c:formatCode>
                <c:ptCount val="4"/>
                <c:pt idx="0">
                  <c:v>0.7517</c:v>
                </c:pt>
                <c:pt idx="1">
                  <c:v>0.112</c:v>
                </c:pt>
                <c:pt idx="2">
                  <c:v>0.0701</c:v>
                </c:pt>
                <c:pt idx="3">
                  <c:v>0.0662</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rgbClr val="000000"/>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1BA0BC-A2C4-4AFA-8260-03D000BBDDE7}">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17</Pages>
  <Words>5022</Words>
  <Characters>768</Characters>
  <Lines>6</Lines>
  <Paragraphs>11</Paragraphs>
  <TotalTime>5</TotalTime>
  <ScaleCrop>false</ScaleCrop>
  <LinksUpToDate>false</LinksUpToDate>
  <CharactersWithSpaces>5779</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2024-10-17T12:14:00Z</dcterms:created>
  <dc:creator>曹颖</dc:creator>
  <cp:lastModifiedBy>Administrator</cp:lastModifiedBy>
  <cp:lastPrinted>2024-10-24T07:34:00Z</cp:lastPrinted>
  <dcterms:modified xsi:type="dcterms:W3CDTF">2024-10-24T08:33:40Z</dcterms:modified>
  <dc:title>四川省***</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