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E1F7EC">
      <w:pPr>
        <w:spacing w:line="600" w:lineRule="exact"/>
        <w:jc w:val="left"/>
        <w:outlineLvl w:val="9"/>
        <w:rPr>
          <w:rFonts w:ascii="方正小标宋简体" w:hAnsi="宋体" w:eastAsia="方正小标宋简体"/>
          <w:szCs w:val="21"/>
        </w:rPr>
      </w:pPr>
      <w:bookmarkStart w:id="0" w:name="_Toc15306267"/>
    </w:p>
    <w:p w14:paraId="0E332C89">
      <w:pPr>
        <w:pStyle w:val="5"/>
        <w:spacing w:before="93"/>
      </w:pPr>
    </w:p>
    <w:p w14:paraId="61FB2CC1">
      <w:pPr>
        <w:spacing w:line="600" w:lineRule="exact"/>
        <w:jc w:val="center"/>
        <w:outlineLvl w:val="9"/>
        <w:rPr>
          <w:rFonts w:ascii="方正小标宋简体" w:hAnsi="宋体" w:eastAsia="方正小标宋简体"/>
          <w:sz w:val="72"/>
          <w:szCs w:val="72"/>
        </w:rPr>
      </w:pPr>
    </w:p>
    <w:p w14:paraId="221C850A">
      <w:pPr>
        <w:spacing w:line="600" w:lineRule="exact"/>
        <w:jc w:val="center"/>
        <w:outlineLvl w:val="9"/>
        <w:rPr>
          <w:rFonts w:ascii="方正小标宋简体" w:hAnsi="宋体" w:eastAsia="方正小标宋简体"/>
          <w:sz w:val="72"/>
          <w:szCs w:val="72"/>
        </w:rPr>
      </w:pPr>
    </w:p>
    <w:p w14:paraId="3B25E98B">
      <w:pPr>
        <w:spacing w:line="600" w:lineRule="exact"/>
        <w:jc w:val="center"/>
        <w:outlineLvl w:val="9"/>
        <w:rPr>
          <w:rFonts w:ascii="方正小标宋简体" w:hAnsi="宋体" w:eastAsia="方正小标宋简体"/>
          <w:sz w:val="72"/>
          <w:szCs w:val="72"/>
        </w:rPr>
      </w:pPr>
    </w:p>
    <w:p w14:paraId="0A0DC461">
      <w:pPr>
        <w:spacing w:line="600" w:lineRule="exact"/>
        <w:jc w:val="center"/>
        <w:outlineLvl w:val="9"/>
        <w:rPr>
          <w:rFonts w:ascii="方正小标宋简体" w:hAnsi="宋体" w:eastAsia="方正小标宋简体"/>
          <w:sz w:val="72"/>
          <w:szCs w:val="72"/>
        </w:rPr>
      </w:pPr>
    </w:p>
    <w:p w14:paraId="20CE2943">
      <w:pPr>
        <w:adjustRightInd w:val="0"/>
        <w:snapToGrid w:val="0"/>
        <w:spacing w:line="360" w:lineRule="auto"/>
        <w:jc w:val="center"/>
        <w:outlineLvl w:val="0"/>
        <w:rPr>
          <w:rFonts w:ascii="方正小标宋简体" w:hAnsi="方正小标宋简体" w:eastAsia="方正小标宋简体" w:cs="方正小标宋简体"/>
          <w:sz w:val="52"/>
          <w:szCs w:val="52"/>
        </w:rPr>
      </w:pPr>
      <w:bookmarkStart w:id="1" w:name="_Toc14670"/>
      <w:bookmarkStart w:id="2" w:name="_Toc15378441"/>
      <w:bookmarkStart w:id="3" w:name="_Toc15396475"/>
      <w:bookmarkStart w:id="4" w:name="_Toc15377193"/>
      <w:bookmarkStart w:id="5" w:name="_Toc15396597"/>
      <w:bookmarkStart w:id="6" w:name="_Toc15377425"/>
      <w:r>
        <w:rPr>
          <w:rFonts w:hint="eastAsia" w:ascii="方正小标宋简体" w:hAnsi="方正小标宋简体" w:eastAsia="方正小标宋简体" w:cs="方正小标宋简体"/>
          <w:sz w:val="52"/>
          <w:szCs w:val="52"/>
        </w:rPr>
        <w:t>2023年度</w:t>
      </w:r>
      <w:bookmarkEnd w:id="1"/>
      <w:bookmarkEnd w:id="2"/>
      <w:bookmarkEnd w:id="3"/>
      <w:bookmarkEnd w:id="4"/>
      <w:bookmarkEnd w:id="5"/>
      <w:bookmarkEnd w:id="6"/>
    </w:p>
    <w:bookmarkEnd w:id="0"/>
    <w:p w14:paraId="691932C0">
      <w:pPr>
        <w:adjustRightInd w:val="0"/>
        <w:snapToGrid w:val="0"/>
        <w:spacing w:line="360" w:lineRule="auto"/>
        <w:jc w:val="center"/>
        <w:outlineLvl w:val="0"/>
        <w:rPr>
          <w:rFonts w:hint="eastAsia" w:ascii="方正小标宋简体" w:hAnsi="方正小标宋简体" w:eastAsia="方正小标宋简体" w:cs="方正小标宋简体"/>
          <w:sz w:val="52"/>
          <w:szCs w:val="52"/>
          <w:lang w:val="en-US" w:eastAsia="zh-CN"/>
        </w:rPr>
      </w:pPr>
      <w:bookmarkStart w:id="7" w:name="_Toc10993"/>
      <w:bookmarkStart w:id="8" w:name="_Toc15306268"/>
      <w:bookmarkStart w:id="9" w:name="_Toc15378442"/>
      <w:bookmarkStart w:id="10" w:name="_Toc15377194"/>
      <w:bookmarkStart w:id="11" w:name="_Toc15377426"/>
      <w:bookmarkStart w:id="12" w:name="_Toc15396598"/>
      <w:bookmarkStart w:id="13" w:name="_Toc15396476"/>
      <w:r>
        <w:rPr>
          <w:rFonts w:hint="eastAsia" w:ascii="方正小标宋简体" w:hAnsi="方正小标宋简体" w:eastAsia="方正小标宋简体" w:cs="方正小标宋简体"/>
          <w:sz w:val="52"/>
          <w:szCs w:val="52"/>
          <w:lang w:val="en-US" w:eastAsia="zh-CN"/>
        </w:rPr>
        <w:t>盐边县红宝苗族彝族乡</w:t>
      </w:r>
      <w:bookmarkEnd w:id="7"/>
    </w:p>
    <w:p w14:paraId="1733806D">
      <w:pPr>
        <w:adjustRightInd w:val="0"/>
        <w:snapToGrid w:val="0"/>
        <w:spacing w:line="360" w:lineRule="auto"/>
        <w:jc w:val="center"/>
        <w:outlineLvl w:val="0"/>
        <w:rPr>
          <w:rFonts w:hint="eastAsia" w:ascii="黑体" w:hAnsi="黑体" w:eastAsia="黑体"/>
          <w:sz w:val="48"/>
          <w:szCs w:val="48"/>
        </w:rPr>
        <w:sectPr>
          <w:headerReference r:id="rId4" w:type="first"/>
          <w:footerReference r:id="rId6" w:type="first"/>
          <w:headerReference r:id="rId3" w:type="default"/>
          <w:footerReference r:id="rId5" w:type="default"/>
          <w:pgSz w:w="11906" w:h="16838"/>
          <w:pgMar w:top="1440" w:right="1800" w:bottom="1440" w:left="1800" w:header="851" w:footer="992" w:gutter="0"/>
          <w:pgNumType w:start="1"/>
          <w:cols w:space="425" w:num="1"/>
          <w:titlePg/>
          <w:docGrid w:type="lines" w:linePitch="312" w:charSpace="0"/>
        </w:sectPr>
      </w:pPr>
      <w:bookmarkStart w:id="14" w:name="_Toc3683"/>
      <w:r>
        <w:rPr>
          <w:rFonts w:hint="eastAsia" w:ascii="方正小标宋简体" w:hAnsi="方正小标宋简体" w:eastAsia="方正小标宋简体" w:cs="方正小标宋简体"/>
          <w:sz w:val="52"/>
          <w:szCs w:val="52"/>
          <w:lang w:val="en-US" w:eastAsia="zh-CN"/>
        </w:rPr>
        <w:t>中心学校</w:t>
      </w:r>
      <w:r>
        <w:rPr>
          <w:rFonts w:hint="eastAsia" w:ascii="方正小标宋简体" w:hAnsi="方正小标宋简体" w:eastAsia="方正小标宋简体" w:cs="方正小标宋简体"/>
          <w:sz w:val="52"/>
          <w:szCs w:val="52"/>
        </w:rPr>
        <w:t>单位决算</w:t>
      </w:r>
      <w:bookmarkEnd w:id="8"/>
      <w:bookmarkEnd w:id="9"/>
      <w:bookmarkEnd w:id="10"/>
      <w:bookmarkEnd w:id="11"/>
      <w:bookmarkEnd w:id="12"/>
      <w:bookmarkEnd w:id="13"/>
      <w:bookmarkEnd w:id="14"/>
    </w:p>
    <w:p w14:paraId="0B5022DF"/>
    <w:sdt>
      <w:sdtPr>
        <w:rPr>
          <w:rFonts w:ascii="宋体" w:hAnsi="宋体" w:eastAsia="宋体" w:cs="Times New Roman"/>
          <w:kern w:val="2"/>
          <w:sz w:val="22"/>
          <w:szCs w:val="28"/>
          <w:lang w:val="en-US" w:eastAsia="zh-CN" w:bidi="ar-SA"/>
        </w:rPr>
        <w:id w:val="147466177"/>
        <w15:color w:val="DBDBDB"/>
        <w:docPartObj>
          <w:docPartGallery w:val="Table of Contents"/>
          <w:docPartUnique/>
        </w:docPartObj>
      </w:sdtPr>
      <w:sdtEndPr>
        <w:rPr>
          <w:rFonts w:hint="eastAsia" w:ascii="仿宋_GB2312" w:hAnsi="仿宋_GB2312" w:eastAsia="仿宋_GB2312" w:cs="仿宋_GB2312"/>
          <w:b/>
          <w:kern w:val="2"/>
          <w:sz w:val="32"/>
          <w:szCs w:val="32"/>
          <w:lang w:val="en-US" w:eastAsia="zh-CN" w:bidi="ar-SA"/>
        </w:rPr>
      </w:sdtEndPr>
      <w:sdtContent>
        <w:p w14:paraId="6FB73F9A">
          <w:pPr>
            <w:spacing w:before="0" w:beforeLines="0" w:after="0" w:afterLines="0" w:line="240" w:lineRule="auto"/>
            <w:ind w:left="0" w:leftChars="0" w:right="0" w:rightChars="0" w:firstLine="0" w:firstLineChars="0"/>
            <w:jc w:val="center"/>
            <w:rPr>
              <w:rFonts w:hint="eastAsia" w:ascii="黑体" w:hAnsi="黑体" w:eastAsia="黑体" w:cs="黑体"/>
              <w:sz w:val="36"/>
              <w:szCs w:val="36"/>
            </w:rPr>
          </w:pPr>
          <w:bookmarkStart w:id="15" w:name="_Toc15377196"/>
          <w:bookmarkStart w:id="16" w:name="_Toc15396599"/>
          <w:r>
            <w:rPr>
              <w:rFonts w:hint="eastAsia" w:ascii="黑体" w:hAnsi="黑体" w:eastAsia="黑体" w:cs="黑体"/>
              <w:sz w:val="36"/>
              <w:szCs w:val="36"/>
            </w:rPr>
            <w:t>目录</w:t>
          </w:r>
        </w:p>
        <w:p w14:paraId="69A2B0DF">
          <w:pPr>
            <w:pStyle w:val="11"/>
            <w:rPr>
              <w:rFonts w:hint="eastAsia" w:ascii="仿宋_GB2312" w:hAnsi="仿宋_GB2312" w:eastAsia="仿宋_GB2312" w:cs="仿宋_GB2312"/>
              <w:b/>
              <w:sz w:val="32"/>
              <w:szCs w:val="32"/>
            </w:rPr>
          </w:pPr>
          <w:r>
            <w:rPr>
              <w:rFonts w:hint="eastAsia"/>
            </w:rPr>
            <w:t>公开时间：202</w:t>
          </w:r>
          <w:r>
            <w:rPr>
              <w:rFonts w:hint="eastAsia"/>
              <w:lang w:val="en-US" w:eastAsia="zh-CN"/>
            </w:rPr>
            <w:t>4</w:t>
          </w:r>
          <w:r>
            <w:rPr>
              <w:rFonts w:hint="eastAsia"/>
            </w:rPr>
            <w:t>年</w:t>
          </w:r>
          <w:r>
            <w:rPr>
              <w:rFonts w:hint="eastAsia"/>
              <w:lang w:val="en-US" w:eastAsia="zh-CN"/>
            </w:rPr>
            <w:t>10</w:t>
          </w:r>
          <w:r>
            <w:rPr>
              <w:rFonts w:hint="eastAsia"/>
            </w:rPr>
            <w:t>月</w:t>
          </w:r>
          <w:r>
            <w:rPr>
              <w:rFonts w:hint="eastAsia"/>
              <w:lang w:val="en-US" w:eastAsia="zh-CN"/>
            </w:rPr>
            <w:t>28</w:t>
          </w:r>
          <w:r>
            <w:rPr>
              <w:rFonts w:hint="eastAsia"/>
            </w:rPr>
            <w:t>日</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TOC \o "1-2" \h \u </w:instrText>
          </w:r>
          <w:r>
            <w:rPr>
              <w:rFonts w:hint="eastAsia" w:ascii="仿宋_GB2312" w:hAnsi="仿宋_GB2312" w:eastAsia="仿宋_GB2312" w:cs="仿宋_GB2312"/>
              <w:sz w:val="32"/>
              <w:szCs w:val="32"/>
            </w:rPr>
            <w:fldChar w:fldCharType="separate"/>
          </w:r>
        </w:p>
        <w:p w14:paraId="401C2568">
          <w:pPr>
            <w:pStyle w:val="34"/>
            <w:tabs>
              <w:tab w:val="right" w:leader="dot" w:pos="8306"/>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_Toc14066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第一部分 单位</w:t>
          </w:r>
          <w:r>
            <w:rPr>
              <w:rFonts w:hint="eastAsia" w:ascii="仿宋_GB2312" w:hAnsi="仿宋_GB2312" w:eastAsia="仿宋_GB2312" w:cs="仿宋_GB2312"/>
              <w:b/>
              <w:bCs w:val="0"/>
              <w:sz w:val="32"/>
              <w:szCs w:val="32"/>
            </w:rPr>
            <w:t>概况</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_Toc14066 \h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3</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14:paraId="747F6A9F">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_Toc18675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一、 主要职责</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_Toc18675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5F273BCD">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_Toc8143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二、 机构设置</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_Toc8143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25959D50">
          <w:pPr>
            <w:pStyle w:val="34"/>
            <w:tabs>
              <w:tab w:val="right" w:leader="dot" w:pos="8306"/>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_Toc19148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第二部分 2023年度</w:t>
          </w:r>
          <w:r>
            <w:rPr>
              <w:rFonts w:hint="eastAsia" w:ascii="仿宋_GB2312" w:hAnsi="仿宋_GB2312" w:eastAsia="仿宋_GB2312" w:cs="仿宋_GB2312"/>
              <w:b/>
              <w:bCs/>
              <w:sz w:val="32"/>
              <w:szCs w:val="32"/>
            </w:rPr>
            <w:t>单位决算情况说明</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_Toc19148 \h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4</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14:paraId="6CD3911F">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_Toc30869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lang w:val="en-US" w:eastAsia="zh-CN"/>
            </w:rPr>
            <w:t>一、</w:t>
          </w:r>
          <w:r>
            <w:rPr>
              <w:rFonts w:hint="eastAsia" w:ascii="仿宋_GB2312" w:hAnsi="仿宋_GB2312" w:eastAsia="仿宋_GB2312" w:cs="仿宋_GB2312"/>
              <w:bCs/>
              <w:sz w:val="32"/>
              <w:szCs w:val="32"/>
            </w:rPr>
            <w:t>收入支出决算总体情况说明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_Toc30869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02CD1487">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_Toc19376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lang w:val="en-US" w:eastAsia="zh-CN"/>
            </w:rPr>
            <w:t>二、收入决算情况说明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_Toc19376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0F863C39">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_Toc838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lang w:val="en-US" w:eastAsia="zh-CN"/>
            </w:rPr>
            <w:t>三、支出决算情况说明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_Toc838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3BCD29FE">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_Toc3248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lang w:val="en-US" w:eastAsia="zh-CN"/>
            </w:rPr>
            <w:t>四、财政拨款收入支出决算总体情况说明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_Toc3248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3C68604C">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_Toc6946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lang w:val="en-US" w:eastAsia="zh-CN"/>
            </w:rPr>
            <w:t>五、一般公共预算财政拨款支出决算情况说明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_Toc6946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6AAAF5F0">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_Toc816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六、一般公共预算财政拨款基本支出决算情况说明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_Toc816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61A6BD5F">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_Toc5764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lang w:val="en-US" w:eastAsia="zh-CN"/>
            </w:rPr>
            <w:t>七、财政拨款“三公”经费支出决算情况说明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_Toc5764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14835308">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_Toc10492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lang w:val="en-US" w:eastAsia="zh-CN"/>
            </w:rPr>
            <w:t>八、政府性基金预算支出决算情况说明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_Toc10492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3E2DFE37">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_Toc16234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lang w:val="en-US" w:eastAsia="zh-CN"/>
            </w:rPr>
            <w:t>九、国有资本经营预算支出决算情况说明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_Toc16234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5DD6A950">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_Toc14605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lang w:val="en-US" w:eastAsia="zh-CN"/>
            </w:rPr>
            <w:t>十、其他重要事项的情况说明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_Toc14605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544A8D0B">
          <w:pPr>
            <w:pStyle w:val="34"/>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_Toc25106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第三部分 名词解释</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_Toc25106 \h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13</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14:paraId="0C252CC8">
          <w:pPr>
            <w:pStyle w:val="34"/>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_Toc18038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第四部分 附件</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_Toc18038 \h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16</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14:paraId="74A1E20A">
          <w:pPr>
            <w:pStyle w:val="34"/>
            <w:tabs>
              <w:tab w:val="right" w:leader="dot" w:pos="8306"/>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_Toc32144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第五部分 附表</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_Toc32144 \h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16</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14:paraId="175DA1A9">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_Toc29378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、收</w:t>
          </w:r>
          <w:r>
            <w:rPr>
              <w:rFonts w:hint="eastAsia" w:ascii="仿宋_GB2312" w:hAnsi="仿宋_GB2312" w:eastAsia="仿宋_GB2312" w:cs="仿宋_GB2312"/>
              <w:bCs w:val="0"/>
              <w:sz w:val="32"/>
              <w:szCs w:val="32"/>
            </w:rPr>
            <w:t>入支出决算总表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_Toc29378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54D3B2C9">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_Toc17480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收</w:t>
          </w:r>
          <w:r>
            <w:rPr>
              <w:rFonts w:hint="eastAsia" w:ascii="仿宋_GB2312" w:hAnsi="仿宋_GB2312" w:eastAsia="仿宋_GB2312" w:cs="仿宋_GB2312"/>
              <w:bCs w:val="0"/>
              <w:sz w:val="32"/>
              <w:szCs w:val="32"/>
            </w:rPr>
            <w:t>入决算表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_Toc17480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659755BF">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_Toc10006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支</w:t>
          </w:r>
          <w:r>
            <w:rPr>
              <w:rFonts w:hint="eastAsia" w:ascii="仿宋_GB2312" w:hAnsi="仿宋_GB2312" w:eastAsia="仿宋_GB2312" w:cs="仿宋_GB2312"/>
              <w:bCs w:val="0"/>
              <w:sz w:val="32"/>
              <w:szCs w:val="32"/>
            </w:rPr>
            <w:t>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_Toc10006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246A9365">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_Toc30844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财</w:t>
          </w:r>
          <w:r>
            <w:rPr>
              <w:rFonts w:hint="eastAsia" w:ascii="仿宋_GB2312" w:hAnsi="仿宋_GB2312" w:eastAsia="仿宋_GB2312" w:cs="仿宋_GB2312"/>
              <w:bCs w:val="0"/>
              <w:sz w:val="32"/>
              <w:szCs w:val="32"/>
            </w:rPr>
            <w:t>政拨款收入支出决算总表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_Toc30844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47C50A6C">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_Toc22276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财</w:t>
          </w:r>
          <w:r>
            <w:rPr>
              <w:rFonts w:hint="eastAsia" w:ascii="仿宋_GB2312" w:hAnsi="仿宋_GB2312" w:eastAsia="仿宋_GB2312" w:cs="仿宋_GB2312"/>
              <w:bCs w:val="0"/>
              <w:sz w:val="32"/>
              <w:szCs w:val="32"/>
            </w:rPr>
            <w:t>政拨款支出决算明细表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_Toc22276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339CB183">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_Toc17073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一</w:t>
          </w:r>
          <w:r>
            <w:rPr>
              <w:rFonts w:hint="eastAsia" w:ascii="仿宋_GB2312" w:hAnsi="仿宋_GB2312" w:eastAsia="仿宋_GB2312" w:cs="仿宋_GB2312"/>
              <w:bCs w:val="0"/>
              <w:sz w:val="32"/>
              <w:szCs w:val="32"/>
            </w:rPr>
            <w:t>般公共预算财政拨款支出决算表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_Toc17073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09F1649B">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_Toc11148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一</w:t>
          </w:r>
          <w:r>
            <w:rPr>
              <w:rFonts w:hint="eastAsia" w:ascii="仿宋_GB2312" w:hAnsi="仿宋_GB2312" w:eastAsia="仿宋_GB2312" w:cs="仿宋_GB2312"/>
              <w:bCs w:val="0"/>
              <w:sz w:val="32"/>
              <w:szCs w:val="32"/>
            </w:rPr>
            <w:t>般公共预算财政拨款支出决算明细表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_Toc11148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0AF4D5DB">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_Toc26695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一</w:t>
          </w:r>
          <w:r>
            <w:rPr>
              <w:rFonts w:hint="eastAsia" w:ascii="仿宋_GB2312" w:hAnsi="仿宋_GB2312" w:eastAsia="仿宋_GB2312" w:cs="仿宋_GB2312"/>
              <w:bCs w:val="0"/>
              <w:sz w:val="32"/>
              <w:szCs w:val="32"/>
            </w:rPr>
            <w:t>般公共预算财政拨款基本支出决算表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_Toc26695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7171B0D1">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_Toc7015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rPr>
            <w:t>一</w:t>
          </w:r>
          <w:r>
            <w:rPr>
              <w:rFonts w:hint="eastAsia" w:ascii="仿宋_GB2312" w:hAnsi="仿宋_GB2312" w:eastAsia="仿宋_GB2312" w:cs="仿宋_GB2312"/>
              <w:bCs w:val="0"/>
              <w:sz w:val="32"/>
              <w:szCs w:val="32"/>
            </w:rPr>
            <w:t>般公共预算财政拨款项目支出决算表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_Toc7015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102B7001">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_Toc6272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lang w:val="en-US" w:eastAsia="zh-CN"/>
            </w:rPr>
            <w:t>十、</w:t>
          </w:r>
          <w:r>
            <w:rPr>
              <w:rFonts w:hint="eastAsia" w:ascii="仿宋_GB2312" w:hAnsi="仿宋_GB2312" w:eastAsia="仿宋_GB2312" w:cs="仿宋_GB2312"/>
              <w:sz w:val="32"/>
              <w:szCs w:val="32"/>
            </w:rPr>
            <w:t>政</w:t>
          </w:r>
          <w:r>
            <w:rPr>
              <w:rFonts w:hint="eastAsia" w:ascii="仿宋_GB2312" w:hAnsi="仿宋_GB2312" w:eastAsia="仿宋_GB2312" w:cs="仿宋_GB2312"/>
              <w:bCs w:val="0"/>
              <w:sz w:val="32"/>
              <w:szCs w:val="32"/>
            </w:rPr>
            <w:t>府性基金预算财政拨款收入支出决算表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_Toc6272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08F133BB">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_Toc9847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lang w:val="en-US" w:eastAsia="zh-CN"/>
            </w:rPr>
            <w:t>十一、</w:t>
          </w:r>
          <w:r>
            <w:rPr>
              <w:rFonts w:hint="eastAsia" w:ascii="仿宋_GB2312" w:hAnsi="仿宋_GB2312" w:eastAsia="仿宋_GB2312" w:cs="仿宋_GB2312"/>
              <w:sz w:val="32"/>
              <w:szCs w:val="32"/>
            </w:rPr>
            <w:t>国</w:t>
          </w:r>
          <w:r>
            <w:rPr>
              <w:rFonts w:hint="eastAsia" w:ascii="仿宋_GB2312" w:hAnsi="仿宋_GB2312" w:eastAsia="仿宋_GB2312" w:cs="仿宋_GB2312"/>
              <w:bCs w:val="0"/>
              <w:sz w:val="32"/>
              <w:szCs w:val="32"/>
            </w:rPr>
            <w:t>有资本经营预算财政拨款收入支出决算表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_Toc9847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017B683F">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_Toc21183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十二、</w:t>
          </w:r>
          <w:r>
            <w:rPr>
              <w:rFonts w:hint="eastAsia" w:ascii="仿宋_GB2312" w:hAnsi="仿宋_GB2312" w:eastAsia="仿宋_GB2312" w:cs="仿宋_GB2312"/>
              <w:bCs w:val="0"/>
              <w:sz w:val="32"/>
              <w:szCs w:val="32"/>
            </w:rPr>
            <w:t>国有资本经营预算财政拨款支出决算表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_Toc21183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0F37B7DA">
          <w:pPr>
            <w:pStyle w:val="35"/>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_Toc22925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lang w:val="en-US" w:eastAsia="zh-CN"/>
            </w:rPr>
            <w:t>十三、</w:t>
          </w:r>
          <w:r>
            <w:rPr>
              <w:rFonts w:hint="eastAsia" w:ascii="仿宋_GB2312" w:hAnsi="仿宋_GB2312" w:eastAsia="仿宋_GB2312" w:cs="仿宋_GB2312"/>
              <w:bCs w:val="0"/>
              <w:sz w:val="32"/>
              <w:szCs w:val="32"/>
            </w:rPr>
            <w:t>财政拨款“三公”经费支出决算表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_Toc22925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0671329B">
          <w:pP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end"/>
          </w:r>
        </w:p>
      </w:sdtContent>
    </w:sdt>
    <w:p w14:paraId="54662D3C">
      <w:pPr>
        <w:rPr>
          <w:b/>
        </w:rPr>
      </w:pPr>
    </w:p>
    <w:p w14:paraId="049681DE">
      <w:pPr>
        <w:pStyle w:val="2"/>
        <w:jc w:val="center"/>
        <w:rPr>
          <w:rFonts w:hint="eastAsia" w:ascii="黑体" w:hAnsi="黑体" w:eastAsia="黑体"/>
          <w:b w:val="0"/>
        </w:rPr>
      </w:pPr>
      <w:bookmarkStart w:id="17" w:name="_Toc14066"/>
    </w:p>
    <w:p w14:paraId="064B8A1E">
      <w:pPr>
        <w:rPr>
          <w:rFonts w:hint="eastAsia" w:ascii="黑体" w:hAnsi="黑体" w:eastAsia="黑体"/>
          <w:b w:val="0"/>
        </w:rPr>
      </w:pPr>
    </w:p>
    <w:p w14:paraId="5EF2CC8D">
      <w:pPr>
        <w:rPr>
          <w:rFonts w:hint="eastAsia" w:ascii="黑体" w:hAnsi="黑体" w:eastAsia="黑体"/>
          <w:b w:val="0"/>
        </w:rPr>
      </w:pPr>
    </w:p>
    <w:p w14:paraId="6FD113DF">
      <w:pPr>
        <w:rPr>
          <w:rFonts w:hint="eastAsia" w:ascii="黑体" w:hAnsi="黑体" w:eastAsia="黑体"/>
          <w:b w:val="0"/>
        </w:rPr>
      </w:pPr>
    </w:p>
    <w:p w14:paraId="093BA42F">
      <w:pPr>
        <w:rPr>
          <w:rFonts w:hint="eastAsia" w:ascii="黑体" w:hAnsi="黑体" w:eastAsia="黑体"/>
          <w:b w:val="0"/>
        </w:rPr>
      </w:pPr>
    </w:p>
    <w:p w14:paraId="5D7BD857">
      <w:pPr>
        <w:rPr>
          <w:rFonts w:hint="eastAsia" w:ascii="黑体" w:hAnsi="黑体" w:eastAsia="黑体"/>
          <w:b w:val="0"/>
        </w:rPr>
      </w:pPr>
    </w:p>
    <w:p w14:paraId="45F59666">
      <w:pPr>
        <w:rPr>
          <w:rFonts w:hint="eastAsia" w:ascii="黑体" w:hAnsi="黑体" w:eastAsia="黑体"/>
          <w:b w:val="0"/>
        </w:rPr>
      </w:pPr>
    </w:p>
    <w:p w14:paraId="16E81982">
      <w:pPr>
        <w:rPr>
          <w:rFonts w:hint="eastAsia" w:ascii="黑体" w:hAnsi="黑体" w:eastAsia="黑体"/>
          <w:b w:val="0"/>
        </w:rPr>
      </w:pPr>
    </w:p>
    <w:p w14:paraId="7448564A">
      <w:pPr>
        <w:rPr>
          <w:rFonts w:hint="eastAsia" w:ascii="黑体" w:hAnsi="黑体" w:eastAsia="黑体"/>
          <w:b w:val="0"/>
        </w:rPr>
      </w:pPr>
    </w:p>
    <w:p w14:paraId="4F928374">
      <w:pPr>
        <w:rPr>
          <w:rFonts w:hint="eastAsia" w:ascii="黑体" w:hAnsi="黑体" w:eastAsia="黑体"/>
          <w:b w:val="0"/>
        </w:rPr>
      </w:pPr>
    </w:p>
    <w:p w14:paraId="5A844F42">
      <w:pPr>
        <w:rPr>
          <w:rFonts w:hint="eastAsia" w:ascii="黑体" w:hAnsi="黑体" w:eastAsia="黑体"/>
          <w:b w:val="0"/>
        </w:rPr>
      </w:pPr>
    </w:p>
    <w:p w14:paraId="303E2E59">
      <w:pPr>
        <w:pStyle w:val="2"/>
        <w:jc w:val="center"/>
        <w:rPr>
          <w:rStyle w:val="27"/>
          <w:rFonts w:ascii="黑体" w:hAnsi="黑体" w:eastAsia="黑体"/>
          <w:b/>
          <w:bCs w:val="0"/>
        </w:rPr>
      </w:pPr>
      <w:r>
        <w:rPr>
          <w:rFonts w:hint="eastAsia" w:ascii="黑体" w:hAnsi="黑体" w:eastAsia="黑体"/>
          <w:b w:val="0"/>
        </w:rPr>
        <w:t>第一部分 单位</w:t>
      </w:r>
      <w:r>
        <w:rPr>
          <w:rStyle w:val="27"/>
          <w:rFonts w:hint="eastAsia" w:ascii="黑体" w:hAnsi="黑体" w:eastAsia="黑体"/>
          <w:b w:val="0"/>
          <w:bCs w:val="0"/>
        </w:rPr>
        <w:t>概况</w:t>
      </w:r>
      <w:bookmarkEnd w:id="15"/>
      <w:bookmarkEnd w:id="16"/>
      <w:bookmarkEnd w:id="17"/>
    </w:p>
    <w:p w14:paraId="1EDB992A">
      <w:pPr>
        <w:pStyle w:val="3"/>
        <w:numPr>
          <w:ilvl w:val="0"/>
          <w:numId w:val="1"/>
        </w:numPr>
        <w:rPr>
          <w:rStyle w:val="28"/>
          <w:rFonts w:ascii="黑体" w:hAnsi="黑体" w:eastAsia="黑体"/>
          <w:b w:val="0"/>
          <w:bCs w:val="0"/>
        </w:rPr>
      </w:pPr>
      <w:bookmarkStart w:id="18" w:name="_Toc18675"/>
      <w:bookmarkStart w:id="19" w:name="_Toc15377197"/>
      <w:bookmarkStart w:id="20" w:name="_Toc15396600"/>
      <w:bookmarkStart w:id="104" w:name="_GoBack"/>
      <w:r>
        <w:rPr>
          <w:rStyle w:val="28"/>
          <w:rFonts w:hint="eastAsia" w:ascii="黑体" w:hAnsi="黑体" w:eastAsia="黑体"/>
          <w:b w:val="0"/>
          <w:bCs w:val="0"/>
        </w:rPr>
        <w:t>主要职责</w:t>
      </w:r>
      <w:bookmarkEnd w:id="18"/>
    </w:p>
    <w:bookmarkEnd w:id="104"/>
    <w:p w14:paraId="0F97498D">
      <w:pPr>
        <w:spacing w:line="360" w:lineRule="auto"/>
        <w:ind w:firstLine="640" w:firstLineChars="200"/>
      </w:pPr>
      <w:r>
        <w:rPr>
          <w:rStyle w:val="33"/>
          <w:rFonts w:hint="eastAsia" w:ascii="仿宋_GB2312" w:hAnsi="仿宋" w:eastAsia="仿宋_GB2312" w:cs="仿宋"/>
          <w:sz w:val="32"/>
          <w:szCs w:val="32"/>
          <w:lang w:eastAsia="zh-CN"/>
        </w:rPr>
        <w:t>实施小学义务教育工作，促进基础教育发展，以关注个体发展为办学特色。</w:t>
      </w:r>
    </w:p>
    <w:p w14:paraId="01737278">
      <w:pPr>
        <w:pStyle w:val="3"/>
        <w:numPr>
          <w:ilvl w:val="0"/>
          <w:numId w:val="1"/>
        </w:numPr>
        <w:ind w:left="0" w:leftChars="0" w:firstLine="0" w:firstLineChars="0"/>
        <w:rPr>
          <w:rFonts w:hint="eastAsia" w:ascii="黑体" w:hAnsi="黑体" w:eastAsia="黑体"/>
          <w:b w:val="0"/>
        </w:rPr>
      </w:pPr>
      <w:bookmarkStart w:id="21" w:name="_Toc8143"/>
      <w:r>
        <w:rPr>
          <w:rFonts w:hint="eastAsia" w:ascii="黑体" w:hAnsi="黑体" w:eastAsia="黑体"/>
          <w:b w:val="0"/>
        </w:rPr>
        <w:t>机构设置</w:t>
      </w:r>
      <w:bookmarkEnd w:id="21"/>
    </w:p>
    <w:p w14:paraId="115DDA5D">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盐边县红宝苗族彝族乡中心学校是盐边县教育和体育局下属独立核算二级预算事业单位，单位性质为：财政拨款事业单位。</w:t>
      </w:r>
    </w:p>
    <w:p w14:paraId="4E7E52DF">
      <w:pPr>
        <w:numPr>
          <w:ilvl w:val="0"/>
          <w:numId w:val="0"/>
        </w:numPr>
        <w:ind w:leftChars="0"/>
      </w:pPr>
    </w:p>
    <w:bookmarkEnd w:id="19"/>
    <w:bookmarkEnd w:id="20"/>
    <w:p w14:paraId="4AC1BAD7">
      <w:pPr>
        <w:widowControl/>
        <w:jc w:val="left"/>
        <w:rPr>
          <w:rFonts w:ascii="仿宋" w:hAnsi="仿宋" w:eastAsia="仿宋"/>
          <w:kern w:val="0"/>
          <w:sz w:val="32"/>
          <w:szCs w:val="32"/>
        </w:rPr>
      </w:pPr>
      <w:r>
        <w:rPr>
          <w:rFonts w:ascii="仿宋" w:hAnsi="仿宋" w:eastAsia="仿宋"/>
          <w:sz w:val="32"/>
          <w:szCs w:val="32"/>
        </w:rPr>
        <w:br w:type="page"/>
      </w:r>
    </w:p>
    <w:p w14:paraId="50409657">
      <w:pPr>
        <w:pStyle w:val="2"/>
        <w:ind w:right="440"/>
        <w:jc w:val="center"/>
        <w:rPr>
          <w:rStyle w:val="27"/>
          <w:rFonts w:ascii="黑体" w:hAnsi="黑体" w:eastAsia="黑体"/>
          <w:b w:val="0"/>
          <w:bCs/>
        </w:rPr>
      </w:pPr>
      <w:bookmarkStart w:id="22" w:name="_Toc19148"/>
      <w:bookmarkStart w:id="23" w:name="_Toc15396602"/>
      <w:bookmarkStart w:id="24" w:name="_Toc15377204"/>
      <w:r>
        <w:rPr>
          <w:rFonts w:hint="eastAsia" w:ascii="黑体" w:hAnsi="黑体" w:eastAsia="黑体"/>
          <w:b w:val="0"/>
        </w:rPr>
        <w:t>第二部分 2023年度</w:t>
      </w:r>
      <w:r>
        <w:rPr>
          <w:rStyle w:val="27"/>
          <w:rFonts w:hint="eastAsia" w:ascii="黑体" w:hAnsi="黑体" w:eastAsia="黑体"/>
          <w:b w:val="0"/>
          <w:bCs/>
        </w:rPr>
        <w:t>单位决算情况说明</w:t>
      </w:r>
      <w:bookmarkEnd w:id="22"/>
      <w:bookmarkEnd w:id="23"/>
      <w:bookmarkEnd w:id="24"/>
    </w:p>
    <w:p w14:paraId="3B1A1A95">
      <w:pPr>
        <w:pStyle w:val="26"/>
        <w:numPr>
          <w:ilvl w:val="0"/>
          <w:numId w:val="0"/>
        </w:numPr>
        <w:spacing w:line="600" w:lineRule="exact"/>
        <w:ind w:left="640" w:leftChars="0"/>
        <w:outlineLvl w:val="1"/>
        <w:rPr>
          <w:rStyle w:val="28"/>
          <w:rFonts w:ascii="黑体" w:hAnsi="黑体" w:eastAsia="黑体"/>
          <w:b w:val="0"/>
          <w:bCs w:val="0"/>
        </w:rPr>
      </w:pPr>
      <w:bookmarkStart w:id="25" w:name="_Toc15377205"/>
      <w:bookmarkStart w:id="26" w:name="_Toc30869"/>
      <w:bookmarkStart w:id="27" w:name="_Toc15396603"/>
      <w:r>
        <w:rPr>
          <w:rFonts w:hint="eastAsia" w:ascii="黑体" w:hAnsi="黑体" w:eastAsia="黑体"/>
          <w:b w:val="0"/>
          <w:bCs w:val="0"/>
          <w:sz w:val="32"/>
          <w:szCs w:val="32"/>
          <w:lang w:val="en-US" w:eastAsia="zh-CN"/>
        </w:rPr>
        <w:t>一、</w:t>
      </w:r>
      <w:r>
        <w:rPr>
          <w:rFonts w:hint="eastAsia" w:ascii="黑体" w:hAnsi="黑体" w:eastAsia="黑体"/>
          <w:b w:val="0"/>
          <w:bCs w:val="0"/>
          <w:sz w:val="32"/>
          <w:szCs w:val="32"/>
        </w:rPr>
        <w:t>收</w:t>
      </w:r>
      <w:r>
        <w:rPr>
          <w:rStyle w:val="28"/>
          <w:rFonts w:hint="eastAsia" w:ascii="黑体" w:hAnsi="黑体" w:eastAsia="黑体"/>
          <w:b w:val="0"/>
          <w:bCs w:val="0"/>
        </w:rPr>
        <w:t>入支出决算总体情况说明</w:t>
      </w:r>
      <w:bookmarkEnd w:id="25"/>
      <w:bookmarkEnd w:id="26"/>
      <w:bookmarkEnd w:id="27"/>
    </w:p>
    <w:p w14:paraId="6524FE03">
      <w:pPr>
        <w:spacing w:line="600" w:lineRule="exact"/>
        <w:ind w:firstLine="640" w:firstLineChars="200"/>
        <w:outlineLvl w:val="1"/>
        <w:rPr>
          <w:rFonts w:hint="default" w:ascii="Times New Roman" w:hAnsi="Times New Roman" w:eastAsia="仿宋_GB2312" w:cs="Times New Roman"/>
          <w:sz w:val="32"/>
          <w:szCs w:val="32"/>
        </w:rPr>
      </w:pPr>
      <w:bookmarkStart w:id="28" w:name="_Toc27311"/>
      <w:r>
        <w:rPr>
          <w:rFonts w:hint="default" w:ascii="Times New Roman" w:hAnsi="Times New Roman" w:eastAsia="仿宋_GB2312" w:cs="Times New Roman"/>
          <w:sz w:val="32"/>
          <w:szCs w:val="32"/>
        </w:rPr>
        <w:t>2023年度收、支总计均为266.98万元。与2022年度</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收、支总计均为261.23万元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相比，收、支总计各增加</w:t>
      </w:r>
      <w:r>
        <w:rPr>
          <w:rFonts w:hint="default" w:ascii="Times New Roman" w:hAnsi="Times New Roman" w:eastAsia="仿宋_GB2312" w:cs="Times New Roman"/>
          <w:sz w:val="32"/>
          <w:szCs w:val="32"/>
          <w:lang w:val="en-US" w:eastAsia="zh-CN"/>
        </w:rPr>
        <w:t>5.75</w:t>
      </w:r>
      <w:r>
        <w:rPr>
          <w:rFonts w:hint="default" w:ascii="Times New Roman" w:hAnsi="Times New Roman" w:eastAsia="仿宋_GB2312" w:cs="Times New Roman"/>
          <w:sz w:val="32"/>
          <w:szCs w:val="32"/>
        </w:rPr>
        <w:t>万元，增长</w:t>
      </w:r>
      <w:r>
        <w:rPr>
          <w:rFonts w:hint="default" w:ascii="Times New Roman" w:hAnsi="Times New Roman" w:eastAsia="仿宋_GB2312" w:cs="Times New Roman"/>
          <w:sz w:val="32"/>
          <w:szCs w:val="32"/>
          <w:lang w:val="en-US" w:eastAsia="zh-CN"/>
        </w:rPr>
        <w:t>2.2</w:t>
      </w:r>
      <w:r>
        <w:rPr>
          <w:rFonts w:hint="default" w:ascii="Times New Roman" w:hAnsi="Times New Roman" w:eastAsia="仿宋_GB2312" w:cs="Times New Roman"/>
          <w:sz w:val="32"/>
          <w:szCs w:val="32"/>
        </w:rPr>
        <w:t>%。主要变动原因是</w:t>
      </w:r>
      <w:r>
        <w:rPr>
          <w:rFonts w:hint="default" w:ascii="Times New Roman" w:hAnsi="Times New Roman" w:eastAsia="仿宋_GB2312" w:cs="Times New Roman"/>
          <w:sz w:val="32"/>
          <w:szCs w:val="32"/>
          <w:lang w:val="en-US" w:eastAsia="zh-CN"/>
        </w:rPr>
        <w:t>日常公用经费增加</w:t>
      </w:r>
      <w:r>
        <w:rPr>
          <w:rFonts w:hint="default" w:ascii="Times New Roman" w:hAnsi="Times New Roman" w:eastAsia="仿宋_GB2312" w:cs="Times New Roman"/>
          <w:sz w:val="32"/>
          <w:szCs w:val="32"/>
        </w:rPr>
        <w:t>。</w:t>
      </w:r>
      <w:bookmarkEnd w:id="28"/>
    </w:p>
    <w:p w14:paraId="1B895157">
      <w:pPr>
        <w:pStyle w:val="18"/>
        <w:jc w:val="center"/>
        <w:outlineLvl w:val="9"/>
      </w:pPr>
      <w:r>
        <w:drawing>
          <wp:inline distT="0" distB="0" distL="114300" distR="114300">
            <wp:extent cx="4572000" cy="3905250"/>
            <wp:effectExtent l="4445" t="4445" r="14605" b="1460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85572A2">
      <w:pPr>
        <w:spacing w:line="600" w:lineRule="exact"/>
        <w:ind w:firstLine="640" w:firstLineChars="200"/>
        <w:jc w:val="center"/>
        <w:outlineLvl w:val="1"/>
        <w:rPr>
          <w:rFonts w:hint="eastAsia" w:ascii="仿宋_GB2312" w:eastAsia="仿宋_GB2312" w:cs="仿宋_GB2312"/>
          <w:sz w:val="32"/>
          <w:szCs w:val="32"/>
        </w:rPr>
      </w:pPr>
      <w:bookmarkStart w:id="29" w:name="_Toc19184"/>
      <w:r>
        <w:rPr>
          <w:rFonts w:hint="eastAsia" w:ascii="仿宋_GB2312" w:eastAsia="仿宋_GB2312" w:cs="仿宋_GB2312"/>
          <w:sz w:val="32"/>
          <w:szCs w:val="32"/>
        </w:rPr>
        <w:t>（图1：收、支决算总计变动情况图）</w:t>
      </w:r>
      <w:bookmarkEnd w:id="29"/>
    </w:p>
    <w:p w14:paraId="2D7EF15D">
      <w:pPr>
        <w:pStyle w:val="26"/>
        <w:numPr>
          <w:ilvl w:val="0"/>
          <w:numId w:val="0"/>
        </w:numPr>
        <w:spacing w:line="600" w:lineRule="exact"/>
        <w:ind w:left="640" w:leftChars="0"/>
        <w:outlineLvl w:val="1"/>
        <w:rPr>
          <w:rFonts w:hint="eastAsia" w:ascii="黑体" w:hAnsi="黑体" w:eastAsia="黑体"/>
          <w:b w:val="0"/>
          <w:bCs w:val="0"/>
          <w:sz w:val="32"/>
          <w:szCs w:val="32"/>
          <w:lang w:val="en-US" w:eastAsia="zh-CN"/>
        </w:rPr>
      </w:pPr>
      <w:bookmarkStart w:id="30" w:name="_Toc15377206"/>
      <w:bookmarkStart w:id="31" w:name="_Toc19376"/>
      <w:bookmarkStart w:id="32" w:name="_Toc15396604"/>
      <w:r>
        <w:rPr>
          <w:rFonts w:hint="eastAsia" w:ascii="黑体" w:hAnsi="黑体" w:eastAsia="黑体"/>
          <w:b w:val="0"/>
          <w:bCs w:val="0"/>
          <w:sz w:val="32"/>
          <w:szCs w:val="32"/>
          <w:lang w:val="en-US" w:eastAsia="zh-CN"/>
        </w:rPr>
        <w:t>二、收入决算情况说明</w:t>
      </w:r>
      <w:bookmarkEnd w:id="30"/>
      <w:bookmarkEnd w:id="31"/>
      <w:bookmarkEnd w:id="32"/>
    </w:p>
    <w:p w14:paraId="4576A9E5">
      <w:pPr>
        <w:spacing w:line="600" w:lineRule="exact"/>
        <w:ind w:firstLine="640" w:firstLineChars="200"/>
        <w:outlineLvl w:val="1"/>
        <w:rPr>
          <w:rFonts w:hint="eastAsia" w:ascii="Times New Roman" w:hAnsi="Times New Roman" w:eastAsia="仿宋_GB2312" w:cs="Times New Roman"/>
          <w:sz w:val="32"/>
          <w:szCs w:val="32"/>
          <w:lang w:eastAsia="zh-CN"/>
        </w:rPr>
      </w:pPr>
      <w:bookmarkStart w:id="33" w:name="_Toc21851"/>
      <w:r>
        <w:rPr>
          <w:rFonts w:hint="eastAsia" w:ascii="Times New Roman" w:hAnsi="Times New Roman" w:eastAsia="仿宋_GB2312" w:cs="Times New Roman"/>
          <w:sz w:val="32"/>
          <w:szCs w:val="32"/>
        </w:rPr>
        <w:t>2023年度本年收入合计266.98万元，其中：一般公共预算财政拨款收入266.98万元，占100%；政府性基金预算财政拨款收入0万元，占0%；国有资本经营预算财政拨款收入0万元，占0%；上级补助收入0万元，占0%；事业收入0万元，占0%；经营收入0万元，占0%；附属单位上缴收入0万元，占0%；其他收入0万元，占0%</w:t>
      </w:r>
      <w:bookmarkEnd w:id="33"/>
      <w:r>
        <w:rPr>
          <w:rFonts w:hint="eastAsia" w:eastAsia="仿宋_GB2312" w:cs="Times New Roman"/>
          <w:sz w:val="32"/>
          <w:szCs w:val="32"/>
          <w:lang w:eastAsia="zh-CN"/>
        </w:rPr>
        <w:t>。</w:t>
      </w:r>
    </w:p>
    <w:p w14:paraId="5F6EA0C3">
      <w:pPr>
        <w:pStyle w:val="18"/>
        <w:jc w:val="center"/>
        <w:outlineLvl w:val="9"/>
      </w:pPr>
      <w:r>
        <w:drawing>
          <wp:inline distT="0" distB="0" distL="114300" distR="114300">
            <wp:extent cx="4572000" cy="2743200"/>
            <wp:effectExtent l="4445" t="4445" r="14605" b="14605"/>
            <wp:docPr id="12"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02D3068">
      <w:pPr>
        <w:spacing w:line="576" w:lineRule="exact"/>
        <w:ind w:firstLine="640"/>
        <w:jc w:val="center"/>
        <w:rPr>
          <w:rFonts w:hint="eastAsia" w:ascii="仿宋_GB2312" w:eastAsia="仿宋_GB2312" w:cs="仿宋_GB2312"/>
          <w:sz w:val="32"/>
          <w:szCs w:val="32"/>
        </w:rPr>
      </w:pPr>
      <w:r>
        <w:rPr>
          <w:rFonts w:hint="eastAsia" w:ascii="仿宋_GB2312" w:eastAsia="仿宋_GB2312" w:cs="仿宋_GB2312"/>
          <w:sz w:val="32"/>
          <w:szCs w:val="32"/>
        </w:rPr>
        <w:t>（图2：收入决算结构图）</w:t>
      </w:r>
    </w:p>
    <w:p w14:paraId="327D9E2D">
      <w:pPr>
        <w:pStyle w:val="26"/>
        <w:numPr>
          <w:ilvl w:val="0"/>
          <w:numId w:val="0"/>
        </w:numPr>
        <w:spacing w:line="600" w:lineRule="exact"/>
        <w:ind w:left="640" w:leftChars="0"/>
        <w:outlineLvl w:val="1"/>
        <w:rPr>
          <w:rFonts w:hint="eastAsia" w:ascii="黑体" w:hAnsi="黑体" w:eastAsia="黑体"/>
          <w:b w:val="0"/>
          <w:bCs w:val="0"/>
          <w:sz w:val="32"/>
          <w:szCs w:val="32"/>
          <w:lang w:val="en-US" w:eastAsia="zh-CN"/>
        </w:rPr>
      </w:pPr>
      <w:bookmarkStart w:id="34" w:name="_Toc838"/>
      <w:bookmarkStart w:id="35" w:name="_Toc15396605"/>
      <w:bookmarkStart w:id="36" w:name="_Toc15377207"/>
      <w:r>
        <w:rPr>
          <w:rFonts w:hint="eastAsia" w:ascii="黑体" w:hAnsi="黑体" w:eastAsia="黑体"/>
          <w:b w:val="0"/>
          <w:bCs w:val="0"/>
          <w:sz w:val="32"/>
          <w:szCs w:val="32"/>
          <w:lang w:val="en-US" w:eastAsia="zh-CN"/>
        </w:rPr>
        <w:t>三、支出决算情况说明</w:t>
      </w:r>
      <w:bookmarkEnd w:id="34"/>
      <w:bookmarkEnd w:id="35"/>
      <w:bookmarkEnd w:id="36"/>
    </w:p>
    <w:p w14:paraId="6333A789">
      <w:pPr>
        <w:spacing w:line="600" w:lineRule="exact"/>
        <w:ind w:firstLine="640" w:firstLineChars="200"/>
        <w:outlineLvl w:val="1"/>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2023年度本年支出合计266.98万元，其中：基本支出261.13万元，占97.</w:t>
      </w:r>
      <w:r>
        <w:rPr>
          <w:rFonts w:hint="eastAsia" w:ascii="Times New Roman" w:hAnsi="Times New Roman" w:eastAsia="仿宋_GB2312" w:cs="Times New Roman"/>
          <w:sz w:val="32"/>
          <w:szCs w:val="32"/>
          <w:lang w:val="en-US" w:eastAsia="zh-CN"/>
        </w:rPr>
        <w:t>81</w:t>
      </w:r>
      <w:r>
        <w:rPr>
          <w:rFonts w:hint="eastAsia" w:ascii="Times New Roman" w:hAnsi="Times New Roman" w:eastAsia="仿宋_GB2312" w:cs="Times New Roman"/>
          <w:sz w:val="32"/>
          <w:szCs w:val="32"/>
        </w:rPr>
        <w:t>%；项目支出5.85万元，占2.19%</w:t>
      </w:r>
      <w:r>
        <w:rPr>
          <w:rFonts w:hint="eastAsia" w:ascii="Times New Roman" w:hAnsi="Times New Roman" w:eastAsia="仿宋_GB2312" w:cs="Times New Roman"/>
          <w:sz w:val="32"/>
          <w:szCs w:val="32"/>
          <w:lang w:eastAsia="zh-CN"/>
        </w:rPr>
        <w:t>。</w:t>
      </w:r>
    </w:p>
    <w:p w14:paraId="408D51D7">
      <w:pPr>
        <w:jc w:val="center"/>
      </w:pPr>
      <w:r>
        <w:drawing>
          <wp:inline distT="0" distB="0" distL="114300" distR="114300">
            <wp:extent cx="4572000" cy="2743200"/>
            <wp:effectExtent l="4445" t="4445" r="14605" b="14605"/>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FFBE1BD">
      <w:pPr>
        <w:spacing w:line="576" w:lineRule="exact"/>
        <w:ind w:firstLine="640"/>
        <w:jc w:val="center"/>
        <w:rPr>
          <w:rFonts w:hint="eastAsia" w:ascii="仿宋_GB2312" w:eastAsia="仿宋_GB2312" w:cs="仿宋_GB2312"/>
          <w:sz w:val="32"/>
          <w:szCs w:val="32"/>
        </w:rPr>
      </w:pPr>
      <w:r>
        <w:rPr>
          <w:rFonts w:hint="eastAsia" w:ascii="仿宋_GB2312" w:eastAsia="仿宋_GB2312" w:cs="仿宋_GB2312"/>
          <w:sz w:val="32"/>
          <w:szCs w:val="32"/>
        </w:rPr>
        <w:t>（图3：支出决算结构图）</w:t>
      </w:r>
    </w:p>
    <w:p w14:paraId="042D726E">
      <w:pPr>
        <w:pStyle w:val="26"/>
        <w:numPr>
          <w:ilvl w:val="0"/>
          <w:numId w:val="0"/>
        </w:numPr>
        <w:spacing w:line="600" w:lineRule="exact"/>
        <w:ind w:left="640" w:leftChars="0"/>
        <w:outlineLvl w:val="9"/>
        <w:rPr>
          <w:rFonts w:hint="eastAsia" w:ascii="黑体" w:hAnsi="黑体" w:eastAsia="黑体"/>
          <w:b/>
          <w:bCs/>
          <w:sz w:val="32"/>
          <w:szCs w:val="32"/>
          <w:lang w:val="en-US" w:eastAsia="zh-CN"/>
        </w:rPr>
      </w:pPr>
      <w:bookmarkStart w:id="37" w:name="_Toc15396606"/>
      <w:bookmarkStart w:id="38" w:name="_Toc15377208"/>
    </w:p>
    <w:p w14:paraId="53599E01">
      <w:pPr>
        <w:pStyle w:val="26"/>
        <w:numPr>
          <w:ilvl w:val="0"/>
          <w:numId w:val="0"/>
        </w:numPr>
        <w:spacing w:line="600" w:lineRule="exact"/>
        <w:ind w:left="640" w:leftChars="0"/>
        <w:outlineLvl w:val="1"/>
        <w:rPr>
          <w:rFonts w:hint="eastAsia" w:ascii="黑体" w:hAnsi="黑体" w:eastAsia="黑体"/>
          <w:b w:val="0"/>
          <w:bCs w:val="0"/>
          <w:sz w:val="32"/>
          <w:szCs w:val="32"/>
          <w:lang w:val="en-US" w:eastAsia="zh-CN"/>
        </w:rPr>
      </w:pPr>
      <w:bookmarkStart w:id="39" w:name="_Toc3248"/>
      <w:r>
        <w:rPr>
          <w:rFonts w:hint="eastAsia" w:ascii="黑体" w:hAnsi="黑体" w:eastAsia="黑体"/>
          <w:b w:val="0"/>
          <w:bCs w:val="0"/>
          <w:sz w:val="32"/>
          <w:szCs w:val="32"/>
          <w:lang w:val="en-US" w:eastAsia="zh-CN"/>
        </w:rPr>
        <w:t>四、财政拨款收入支出决算总体情况说明</w:t>
      </w:r>
      <w:bookmarkEnd w:id="37"/>
      <w:bookmarkEnd w:id="38"/>
      <w:bookmarkEnd w:id="39"/>
    </w:p>
    <w:p w14:paraId="51212AEF">
      <w:pPr>
        <w:spacing w:line="576" w:lineRule="exact"/>
        <w:ind w:firstLine="640"/>
        <w:jc w:val="both"/>
        <w:rPr>
          <w:rFonts w:hint="eastAsia" w:ascii="仿宋_GB2312" w:eastAsia="仿宋_GB2312" w:cs="仿宋_GB2312"/>
          <w:sz w:val="32"/>
          <w:szCs w:val="32"/>
        </w:rPr>
      </w:pPr>
      <w:r>
        <w:rPr>
          <w:rFonts w:hint="eastAsia" w:ascii="Times New Roman" w:hAnsi="Times New Roman" w:eastAsia="仿宋_GB2312" w:cs="Times New Roman"/>
          <w:sz w:val="32"/>
          <w:szCs w:val="32"/>
        </w:rPr>
        <w:t>2023年度财政拨款收、支总计均为266.98万元。与2022年度</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收、支总计均为261.23万元</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相比，</w:t>
      </w:r>
      <w:r>
        <w:rPr>
          <w:rFonts w:hint="eastAsia" w:ascii="Times New Roman" w:hAnsi="Times New Roman" w:eastAsia="仿宋_GB2312" w:cs="Times New Roman"/>
          <w:sz w:val="32"/>
          <w:szCs w:val="32"/>
          <w:lang w:val="en-US" w:eastAsia="zh-CN"/>
        </w:rPr>
        <w:t>财政拨款</w:t>
      </w:r>
      <w:r>
        <w:rPr>
          <w:rFonts w:hint="eastAsia" w:ascii="Times New Roman" w:hAnsi="Times New Roman" w:eastAsia="仿宋_GB2312" w:cs="Times New Roman"/>
          <w:sz w:val="32"/>
          <w:szCs w:val="32"/>
        </w:rPr>
        <w:t>收、支总计各增加</w:t>
      </w:r>
      <w:r>
        <w:rPr>
          <w:rFonts w:hint="eastAsia" w:ascii="Times New Roman" w:hAnsi="Times New Roman" w:eastAsia="仿宋_GB2312" w:cs="Times New Roman"/>
          <w:sz w:val="32"/>
          <w:szCs w:val="32"/>
          <w:lang w:val="en-US" w:eastAsia="zh-CN"/>
        </w:rPr>
        <w:t>5.75</w:t>
      </w:r>
      <w:r>
        <w:rPr>
          <w:rFonts w:hint="eastAsia"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2.2</w:t>
      </w:r>
      <w:r>
        <w:rPr>
          <w:rFonts w:hint="eastAsia" w:ascii="Times New Roman" w:hAnsi="Times New Roman" w:eastAsia="仿宋_GB2312" w:cs="Times New Roman"/>
          <w:sz w:val="32"/>
          <w:szCs w:val="32"/>
        </w:rPr>
        <w:t>%。主要变动原因是</w:t>
      </w:r>
      <w:r>
        <w:rPr>
          <w:rFonts w:hint="eastAsia" w:ascii="Times New Roman" w:hAnsi="Times New Roman" w:eastAsia="仿宋_GB2312" w:cs="Times New Roman"/>
          <w:sz w:val="32"/>
          <w:szCs w:val="32"/>
          <w:lang w:val="en-US" w:eastAsia="zh-CN"/>
        </w:rPr>
        <w:t>日常公用经费增加</w:t>
      </w:r>
      <w:r>
        <w:rPr>
          <w:rFonts w:hint="eastAsia" w:ascii="Times New Roman" w:hAnsi="Times New Roman" w:eastAsia="仿宋_GB2312" w:cs="Times New Roman"/>
          <w:sz w:val="32"/>
          <w:szCs w:val="32"/>
        </w:rPr>
        <w:t>。</w:t>
      </w:r>
    </w:p>
    <w:p w14:paraId="6C6FDFF9">
      <w:pPr>
        <w:jc w:val="center"/>
        <w:rPr>
          <w:rFonts w:hint="eastAsia"/>
        </w:rPr>
      </w:pPr>
      <w:r>
        <w:drawing>
          <wp:inline distT="0" distB="0" distL="114300" distR="114300">
            <wp:extent cx="4572000" cy="2743200"/>
            <wp:effectExtent l="4445" t="4445" r="14605" b="14605"/>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F050ECA">
      <w:pPr>
        <w:spacing w:line="576" w:lineRule="exact"/>
        <w:ind w:firstLine="640"/>
        <w:jc w:val="center"/>
        <w:rPr>
          <w:rFonts w:hint="eastAsia" w:ascii="仿宋_GB2312" w:eastAsia="仿宋_GB2312" w:cs="仿宋_GB2312"/>
          <w:sz w:val="32"/>
          <w:szCs w:val="32"/>
        </w:rPr>
      </w:pPr>
      <w:r>
        <w:rPr>
          <w:rFonts w:hint="eastAsia" w:ascii="仿宋_GB2312" w:eastAsia="仿宋_GB2312" w:cs="仿宋_GB2312"/>
          <w:sz w:val="32"/>
          <w:szCs w:val="32"/>
        </w:rPr>
        <w:t>（图4：财政拨款收、支决算总计变动情况）</w:t>
      </w:r>
    </w:p>
    <w:p w14:paraId="2465F9EE">
      <w:pPr>
        <w:pStyle w:val="26"/>
        <w:numPr>
          <w:ilvl w:val="0"/>
          <w:numId w:val="0"/>
        </w:numPr>
        <w:spacing w:line="600" w:lineRule="exact"/>
        <w:ind w:left="640" w:leftChars="0"/>
        <w:outlineLvl w:val="1"/>
        <w:rPr>
          <w:rFonts w:hint="eastAsia" w:ascii="黑体" w:hAnsi="黑体" w:eastAsia="黑体"/>
          <w:b w:val="0"/>
          <w:bCs w:val="0"/>
          <w:sz w:val="32"/>
          <w:szCs w:val="32"/>
          <w:lang w:val="en-US" w:eastAsia="zh-CN"/>
        </w:rPr>
      </w:pPr>
      <w:bookmarkStart w:id="40" w:name="_Toc15396607"/>
      <w:bookmarkStart w:id="41" w:name="_Toc6946"/>
      <w:bookmarkStart w:id="42" w:name="_Toc15377209"/>
      <w:r>
        <w:rPr>
          <w:rFonts w:hint="eastAsia" w:ascii="黑体" w:hAnsi="黑体" w:eastAsia="黑体"/>
          <w:b w:val="0"/>
          <w:bCs w:val="0"/>
          <w:sz w:val="32"/>
          <w:szCs w:val="32"/>
          <w:lang w:val="en-US" w:eastAsia="zh-CN"/>
        </w:rPr>
        <w:t>五、一般公共预算财政拨款支出决算情况说明</w:t>
      </w:r>
      <w:bookmarkEnd w:id="40"/>
      <w:bookmarkEnd w:id="41"/>
      <w:bookmarkEnd w:id="42"/>
    </w:p>
    <w:p w14:paraId="4B9DDBD3">
      <w:pPr>
        <w:spacing w:line="576" w:lineRule="exact"/>
        <w:ind w:firstLine="640"/>
        <w:rPr>
          <w:rFonts w:hint="eastAsia" w:ascii="仿宋_GB2312" w:eastAsia="仿宋_GB2312" w:cs="仿宋_GB2312"/>
          <w:sz w:val="32"/>
          <w:szCs w:val="32"/>
        </w:rPr>
      </w:pPr>
      <w:bookmarkStart w:id="43" w:name="_Toc15377210"/>
      <w:r>
        <w:rPr>
          <w:rFonts w:hint="eastAsia" w:ascii="仿宋_GB2312" w:eastAsia="仿宋_GB2312" w:cs="仿宋_GB2312"/>
          <w:sz w:val="32"/>
          <w:szCs w:val="32"/>
        </w:rPr>
        <w:t>（一）一般公共预算财政拨款支出决算总体情况</w:t>
      </w:r>
      <w:bookmarkEnd w:id="43"/>
    </w:p>
    <w:p w14:paraId="2955823E">
      <w:pPr>
        <w:spacing w:line="576" w:lineRule="exact"/>
        <w:ind w:firstLine="640"/>
        <w:rPr>
          <w:rFonts w:hint="eastAsia" w:ascii="仿宋_GB2312" w:eastAsia="仿宋_GB2312" w:cs="仿宋_GB2312"/>
          <w:sz w:val="32"/>
          <w:szCs w:val="32"/>
        </w:rPr>
      </w:pPr>
      <w:r>
        <w:rPr>
          <w:rFonts w:hint="eastAsia" w:ascii="Times New Roman" w:hAnsi="Times New Roman" w:eastAsia="仿宋_GB2312" w:cs="Times New Roman"/>
          <w:sz w:val="32"/>
          <w:szCs w:val="32"/>
        </w:rPr>
        <w:t>2023年度一般公共预算财政拨款支出266.98万元，占本年支出合计的100%。与2022年度</w:t>
      </w:r>
      <w:r>
        <w:rPr>
          <w:rFonts w:hint="eastAsia" w:ascii="Times New Roman" w:hAnsi="Times New Roman" w:eastAsia="仿宋_GB2312" w:cs="Times New Roman"/>
          <w:sz w:val="32"/>
          <w:szCs w:val="32"/>
          <w:lang w:val="en-US" w:eastAsia="zh-CN"/>
        </w:rPr>
        <w:t>支出261.23万元</w:t>
      </w:r>
      <w:r>
        <w:rPr>
          <w:rFonts w:hint="eastAsia" w:ascii="Times New Roman" w:hAnsi="Times New Roman" w:eastAsia="仿宋_GB2312" w:cs="Times New Roman"/>
          <w:sz w:val="32"/>
          <w:szCs w:val="32"/>
        </w:rPr>
        <w:t>相比，</w:t>
      </w:r>
      <w:r>
        <w:rPr>
          <w:rFonts w:hint="eastAsia" w:ascii="Times New Roman" w:hAnsi="Times New Roman" w:eastAsia="仿宋_GB2312" w:cs="Times New Roman"/>
          <w:sz w:val="32"/>
          <w:szCs w:val="32"/>
          <w:lang w:val="en-US" w:eastAsia="zh-CN"/>
        </w:rPr>
        <w:t>一般公共预算财政拨款</w:t>
      </w:r>
      <w:r>
        <w:rPr>
          <w:rFonts w:hint="eastAsia" w:ascii="Times New Roman" w:hAnsi="Times New Roman" w:eastAsia="仿宋_GB2312" w:cs="Times New Roman"/>
          <w:sz w:val="32"/>
          <w:szCs w:val="32"/>
        </w:rPr>
        <w:t>支</w:t>
      </w:r>
      <w:r>
        <w:rPr>
          <w:rFonts w:hint="eastAsia" w:ascii="Times New Roman" w:hAnsi="Times New Roman" w:eastAsia="仿宋_GB2312" w:cs="Times New Roman"/>
          <w:sz w:val="32"/>
          <w:szCs w:val="32"/>
          <w:lang w:val="en-US" w:eastAsia="zh-CN"/>
        </w:rPr>
        <w:t>出</w:t>
      </w:r>
      <w:r>
        <w:rPr>
          <w:rFonts w:hint="eastAsia" w:ascii="Times New Roman" w:hAnsi="Times New Roman" w:eastAsia="仿宋_GB2312" w:cs="Times New Roman"/>
          <w:sz w:val="32"/>
          <w:szCs w:val="32"/>
        </w:rPr>
        <w:t>总计各增加</w:t>
      </w:r>
      <w:r>
        <w:rPr>
          <w:rFonts w:hint="eastAsia" w:ascii="Times New Roman" w:hAnsi="Times New Roman" w:eastAsia="仿宋_GB2312" w:cs="Times New Roman"/>
          <w:sz w:val="32"/>
          <w:szCs w:val="32"/>
          <w:lang w:val="en-US" w:eastAsia="zh-CN"/>
        </w:rPr>
        <w:t>5.75</w:t>
      </w:r>
      <w:r>
        <w:rPr>
          <w:rFonts w:hint="eastAsia"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2.2</w:t>
      </w:r>
      <w:r>
        <w:rPr>
          <w:rFonts w:hint="eastAsia" w:ascii="Times New Roman" w:hAnsi="Times New Roman" w:eastAsia="仿宋_GB2312" w:cs="Times New Roman"/>
          <w:sz w:val="32"/>
          <w:szCs w:val="32"/>
        </w:rPr>
        <w:t>%。主要变动原因是</w:t>
      </w:r>
      <w:r>
        <w:rPr>
          <w:rFonts w:hint="eastAsia" w:ascii="Times New Roman" w:hAnsi="Times New Roman" w:eastAsia="仿宋_GB2312" w:cs="Times New Roman"/>
          <w:sz w:val="32"/>
          <w:szCs w:val="32"/>
          <w:lang w:val="en-US" w:eastAsia="zh-CN"/>
        </w:rPr>
        <w:t>日常公用经费增加</w:t>
      </w:r>
      <w:r>
        <w:rPr>
          <w:rFonts w:hint="eastAsia" w:ascii="仿宋_GB2312" w:eastAsia="仿宋_GB2312" w:cs="仿宋_GB2312"/>
          <w:sz w:val="32"/>
          <w:szCs w:val="32"/>
        </w:rPr>
        <w:t>。</w:t>
      </w:r>
    </w:p>
    <w:p w14:paraId="55250168">
      <w:pPr>
        <w:jc w:val="center"/>
      </w:pPr>
      <w:r>
        <w:drawing>
          <wp:inline distT="0" distB="0" distL="114300" distR="114300">
            <wp:extent cx="4572000" cy="3257550"/>
            <wp:effectExtent l="4445" t="4445" r="14605" b="14605"/>
            <wp:docPr id="10"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FB29F97">
      <w:pPr>
        <w:spacing w:line="576" w:lineRule="exact"/>
        <w:ind w:firstLine="640"/>
        <w:rPr>
          <w:rFonts w:hint="eastAsia" w:ascii="仿宋_GB2312" w:eastAsia="仿宋_GB2312" w:cs="仿宋_GB2312"/>
          <w:sz w:val="32"/>
          <w:szCs w:val="32"/>
        </w:rPr>
      </w:pPr>
      <w:r>
        <w:rPr>
          <w:rFonts w:hint="eastAsia" w:ascii="仿宋_GB2312" w:eastAsia="仿宋_GB2312" w:cs="仿宋_GB2312"/>
          <w:sz w:val="32"/>
          <w:szCs w:val="32"/>
        </w:rPr>
        <w:t>（图5：一般公共预算财政拨款支出决算变动情况）</w:t>
      </w:r>
      <w:bookmarkStart w:id="44" w:name="_Toc15377211"/>
    </w:p>
    <w:p w14:paraId="7CA8F8E5">
      <w:pPr>
        <w:spacing w:line="576" w:lineRule="exact"/>
        <w:ind w:firstLine="640"/>
        <w:rPr>
          <w:rFonts w:hint="eastAsia" w:ascii="仿宋_GB2312" w:eastAsia="仿宋_GB2312" w:cs="仿宋_GB2312"/>
          <w:sz w:val="32"/>
          <w:szCs w:val="32"/>
        </w:rPr>
      </w:pPr>
      <w:r>
        <w:rPr>
          <w:rFonts w:hint="eastAsia" w:ascii="仿宋_GB2312" w:eastAsia="仿宋_GB2312" w:cs="仿宋_GB2312"/>
          <w:sz w:val="32"/>
          <w:szCs w:val="32"/>
        </w:rPr>
        <w:t>（二）一般公共预算财政拨款支出决算结构情况</w:t>
      </w:r>
      <w:bookmarkEnd w:id="44"/>
    </w:p>
    <w:p w14:paraId="3BDC2E0D">
      <w:pPr>
        <w:spacing w:line="600" w:lineRule="exact"/>
        <w:ind w:firstLine="640" w:firstLineChars="200"/>
        <w:outlineLvl w:val="1"/>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2023年度一般公共预算财政拨款支出266.98万元，</w:t>
      </w:r>
      <w:r>
        <w:rPr>
          <w:rFonts w:hint="eastAsia" w:ascii="Times New Roman" w:hAnsi="Times New Roman" w:eastAsia="仿宋_GB2312" w:cs="Times New Roman"/>
          <w:sz w:val="32"/>
          <w:szCs w:val="32"/>
          <w:lang w:val="en-US" w:eastAsia="zh-CN"/>
        </w:rPr>
        <w:t>主要用于</w:t>
      </w:r>
      <w:r>
        <w:rPr>
          <w:rFonts w:hint="eastAsia" w:ascii="Times New Roman" w:hAnsi="Times New Roman" w:eastAsia="仿宋_GB2312" w:cs="Times New Roman"/>
          <w:sz w:val="32"/>
          <w:szCs w:val="32"/>
        </w:rPr>
        <w:t>教育支出</w:t>
      </w:r>
      <w:r>
        <w:rPr>
          <w:rFonts w:hint="eastAsia" w:ascii="Times New Roman" w:hAnsi="Times New Roman" w:eastAsia="仿宋_GB2312" w:cs="Times New Roman"/>
          <w:sz w:val="32"/>
          <w:szCs w:val="32"/>
          <w:lang w:val="en-US" w:eastAsia="zh-CN"/>
        </w:rPr>
        <w:t>190.56</w:t>
      </w:r>
      <w:r>
        <w:rPr>
          <w:rFonts w:hint="eastAsia"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71.38</w:t>
      </w:r>
      <w:r>
        <w:rPr>
          <w:rFonts w:hint="eastAsia" w:ascii="Times New Roman" w:hAnsi="Times New Roman" w:eastAsia="仿宋_GB2312" w:cs="Times New Roman"/>
          <w:sz w:val="32"/>
          <w:szCs w:val="32"/>
        </w:rPr>
        <w:t>%；社会保障和就业支出</w:t>
      </w:r>
      <w:r>
        <w:rPr>
          <w:rFonts w:hint="eastAsia" w:ascii="Times New Roman" w:hAnsi="Times New Roman" w:eastAsia="仿宋_GB2312" w:cs="Times New Roman"/>
          <w:sz w:val="32"/>
          <w:szCs w:val="32"/>
          <w:lang w:val="en-US" w:eastAsia="zh-CN"/>
        </w:rPr>
        <w:t>36.42</w:t>
      </w:r>
      <w:r>
        <w:rPr>
          <w:rFonts w:hint="eastAsia"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13.64</w:t>
      </w:r>
      <w:r>
        <w:rPr>
          <w:rFonts w:hint="eastAsia" w:ascii="Times New Roman" w:hAnsi="Times New Roman" w:eastAsia="仿宋_GB2312" w:cs="Times New Roman"/>
          <w:sz w:val="32"/>
          <w:szCs w:val="32"/>
        </w:rPr>
        <w:t>%；卫生健康支出</w:t>
      </w:r>
      <w:r>
        <w:rPr>
          <w:rFonts w:hint="eastAsia" w:ascii="Times New Roman" w:hAnsi="Times New Roman" w:eastAsia="仿宋_GB2312" w:cs="Times New Roman"/>
          <w:sz w:val="32"/>
          <w:szCs w:val="32"/>
          <w:lang w:val="en-US" w:eastAsia="zh-CN"/>
        </w:rPr>
        <w:t>20.33</w:t>
      </w:r>
      <w:r>
        <w:rPr>
          <w:rFonts w:hint="eastAsia"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7.61</w:t>
      </w:r>
      <w:r>
        <w:rPr>
          <w:rFonts w:hint="eastAsia" w:ascii="Times New Roman" w:hAnsi="Times New Roman" w:eastAsia="仿宋_GB2312" w:cs="Times New Roman"/>
          <w:sz w:val="32"/>
          <w:szCs w:val="32"/>
        </w:rPr>
        <w:t>%；住房保障支出</w:t>
      </w:r>
      <w:r>
        <w:rPr>
          <w:rFonts w:hint="eastAsia" w:ascii="Times New Roman" w:hAnsi="Times New Roman" w:eastAsia="仿宋_GB2312" w:cs="Times New Roman"/>
          <w:sz w:val="32"/>
          <w:szCs w:val="32"/>
          <w:lang w:val="en-US" w:eastAsia="zh-CN"/>
        </w:rPr>
        <w:t>19.67</w:t>
      </w:r>
      <w:r>
        <w:rPr>
          <w:rFonts w:hint="eastAsia" w:ascii="Times New Roman" w:hAnsi="Times New Roman" w:eastAsia="仿宋_GB2312" w:cs="Times New Roman"/>
          <w:sz w:val="32"/>
          <w:szCs w:val="32"/>
        </w:rPr>
        <w:t>元，占</w:t>
      </w:r>
      <w:r>
        <w:rPr>
          <w:rFonts w:hint="eastAsia" w:ascii="Times New Roman" w:hAnsi="Times New Roman" w:eastAsia="仿宋_GB2312" w:cs="Times New Roman"/>
          <w:sz w:val="32"/>
          <w:szCs w:val="32"/>
          <w:lang w:val="en-US" w:eastAsia="zh-CN"/>
        </w:rPr>
        <w:t>7.37</w:t>
      </w:r>
      <w:r>
        <w:rPr>
          <w:rFonts w:hint="eastAsia" w:ascii="Times New Roman" w:hAnsi="Times New Roman" w:eastAsia="仿宋_GB2312" w:cs="Times New Roman"/>
          <w:sz w:val="32"/>
          <w:szCs w:val="32"/>
        </w:rPr>
        <w:t>%。</w:t>
      </w:r>
    </w:p>
    <w:p w14:paraId="39D187E6">
      <w:pPr>
        <w:pStyle w:val="18"/>
        <w:jc w:val="center"/>
        <w:outlineLvl w:val="9"/>
        <w:rPr>
          <w:rFonts w:hint="eastAsia"/>
        </w:rPr>
      </w:pPr>
      <w:r>
        <w:drawing>
          <wp:inline distT="0" distB="0" distL="114300" distR="114300">
            <wp:extent cx="4624705" cy="3735070"/>
            <wp:effectExtent l="4445" t="4445" r="19050" b="13335"/>
            <wp:docPr id="11"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49CF96E">
      <w:pPr>
        <w:spacing w:line="576" w:lineRule="exact"/>
        <w:ind w:firstLine="640"/>
        <w:rPr>
          <w:rFonts w:hint="eastAsia" w:ascii="仿宋_GB2312" w:eastAsia="仿宋_GB2312" w:cs="仿宋_GB2312"/>
          <w:sz w:val="32"/>
          <w:szCs w:val="32"/>
        </w:rPr>
      </w:pPr>
      <w:r>
        <w:rPr>
          <w:rFonts w:hint="eastAsia" w:ascii="仿宋_GB2312" w:eastAsia="仿宋_GB2312" w:cs="仿宋_GB2312"/>
          <w:sz w:val="32"/>
          <w:szCs w:val="32"/>
        </w:rPr>
        <w:t>（图6：一般公共预算财政拨款支出决算结构）</w:t>
      </w:r>
    </w:p>
    <w:p w14:paraId="189438B4">
      <w:pPr>
        <w:spacing w:line="576" w:lineRule="exact"/>
        <w:ind w:firstLine="640"/>
        <w:rPr>
          <w:rFonts w:hint="eastAsia" w:ascii="仿宋_GB2312" w:eastAsia="仿宋_GB2312" w:cs="仿宋_GB2312"/>
          <w:sz w:val="32"/>
          <w:szCs w:val="32"/>
        </w:rPr>
      </w:pPr>
      <w:bookmarkStart w:id="45" w:name="_Toc15377212"/>
      <w:r>
        <w:rPr>
          <w:rFonts w:hint="eastAsia" w:ascii="仿宋_GB2312" w:eastAsia="仿宋_GB2312" w:cs="仿宋_GB2312"/>
          <w:sz w:val="32"/>
          <w:szCs w:val="32"/>
        </w:rPr>
        <w:t>（三）一般公共预算财政拨款支出决算具体情况</w:t>
      </w:r>
      <w:bookmarkEnd w:id="45"/>
    </w:p>
    <w:p w14:paraId="474658ED">
      <w:pPr>
        <w:spacing w:line="576" w:lineRule="exact"/>
        <w:ind w:firstLine="640"/>
        <w:rPr>
          <w:rFonts w:hint="eastAsia" w:ascii="Times New Roman" w:hAnsi="Times New Roman" w:eastAsia="仿宋_GB2312" w:cs="Times New Roman"/>
          <w:sz w:val="32"/>
          <w:szCs w:val="32"/>
        </w:rPr>
      </w:pPr>
      <w:bookmarkStart w:id="46" w:name="_Toc15377213"/>
      <w:bookmarkStart w:id="47" w:name="_Toc15377444"/>
      <w:bookmarkStart w:id="48" w:name="_Toc15378460"/>
      <w:r>
        <w:rPr>
          <w:rFonts w:hint="eastAsia" w:ascii="Times New Roman" w:hAnsi="Times New Roman" w:eastAsia="仿宋_GB2312" w:cs="Times New Roman"/>
          <w:sz w:val="32"/>
          <w:szCs w:val="32"/>
        </w:rPr>
        <w:t>2023年度一般公共预算支出决算数为266.98</w:t>
      </w:r>
      <w:r>
        <w:rPr>
          <w:rFonts w:hint="eastAsia" w:ascii="Times New Roman" w:hAnsi="Times New Roman" w:eastAsia="仿宋_GB2312" w:cs="Times New Roman"/>
          <w:sz w:val="32"/>
          <w:szCs w:val="32"/>
          <w:lang w:val="en-US" w:eastAsia="zh-CN"/>
        </w:rPr>
        <w:t>万元</w:t>
      </w:r>
      <w:r>
        <w:rPr>
          <w:rFonts w:hint="eastAsia" w:ascii="Times New Roman" w:hAnsi="Times New Roman" w:eastAsia="仿宋_GB2312" w:cs="Times New Roman"/>
          <w:sz w:val="32"/>
          <w:szCs w:val="32"/>
        </w:rPr>
        <w:t>，完成预算</w:t>
      </w:r>
      <w:r>
        <w:rPr>
          <w:rFonts w:hint="eastAsia" w:ascii="Times New Roman" w:hAnsi="Times New Roman" w:eastAsia="仿宋_GB2312" w:cs="Times New Roman"/>
          <w:sz w:val="32"/>
          <w:szCs w:val="32"/>
          <w:lang w:val="en-US" w:eastAsia="zh-CN"/>
        </w:rPr>
        <w:t>100</w:t>
      </w:r>
      <w:r>
        <w:rPr>
          <w:rFonts w:hint="eastAsia" w:ascii="Times New Roman" w:hAnsi="Times New Roman" w:eastAsia="仿宋_GB2312" w:cs="Times New Roman"/>
          <w:sz w:val="32"/>
          <w:szCs w:val="32"/>
        </w:rPr>
        <w:t>%。其中：</w:t>
      </w:r>
      <w:bookmarkEnd w:id="46"/>
      <w:bookmarkEnd w:id="47"/>
      <w:bookmarkEnd w:id="48"/>
    </w:p>
    <w:p w14:paraId="4B7894A7">
      <w:pPr>
        <w:spacing w:line="576" w:lineRule="exact"/>
        <w:ind w:firstLine="64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教育</w:t>
      </w:r>
      <w:r>
        <w:rPr>
          <w:rFonts w:hint="eastAsia" w:ascii="Times New Roman" w:hAnsi="Times New Roman" w:eastAsia="仿宋_GB2312" w:cs="Times New Roman"/>
          <w:sz w:val="32"/>
          <w:szCs w:val="32"/>
          <w:lang w:val="en-US" w:eastAsia="zh-CN"/>
        </w:rPr>
        <w:t>支出</w:t>
      </w:r>
      <w:r>
        <w:rPr>
          <w:rFonts w:hint="eastAsia" w:ascii="Times New Roman" w:hAnsi="Times New Roman" w:eastAsia="仿宋_GB2312" w:cs="Times New Roman"/>
          <w:sz w:val="32"/>
          <w:szCs w:val="32"/>
        </w:rPr>
        <w:t>支出决算为</w:t>
      </w:r>
      <w:r>
        <w:rPr>
          <w:rFonts w:hint="eastAsia" w:ascii="Times New Roman" w:hAnsi="Times New Roman" w:eastAsia="仿宋_GB2312" w:cs="Times New Roman"/>
          <w:sz w:val="32"/>
          <w:szCs w:val="32"/>
          <w:lang w:val="en-US" w:eastAsia="zh-CN"/>
        </w:rPr>
        <w:t>190.56</w:t>
      </w:r>
      <w:r>
        <w:rPr>
          <w:rFonts w:hint="eastAsia" w:ascii="Times New Roman" w:hAnsi="Times New Roman" w:eastAsia="仿宋_GB2312" w:cs="Times New Roman"/>
          <w:sz w:val="32"/>
          <w:szCs w:val="32"/>
        </w:rPr>
        <w:t>万元，完成预算</w:t>
      </w:r>
      <w:r>
        <w:rPr>
          <w:rFonts w:hint="eastAsia" w:ascii="Times New Roman" w:hAnsi="Times New Roman" w:eastAsia="仿宋_GB2312" w:cs="Times New Roman"/>
          <w:sz w:val="32"/>
          <w:szCs w:val="32"/>
          <w:lang w:val="en-US" w:eastAsia="zh-CN"/>
        </w:rPr>
        <w:t>100</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其中：</w:t>
      </w:r>
      <w:r>
        <w:rPr>
          <w:rFonts w:hint="eastAsia" w:ascii="Times New Roman" w:hAnsi="Times New Roman" w:eastAsia="仿宋_GB2312" w:cs="Times New Roman"/>
          <w:sz w:val="32"/>
          <w:szCs w:val="32"/>
        </w:rPr>
        <w:t>教育</w:t>
      </w:r>
      <w:r>
        <w:rPr>
          <w:rFonts w:hint="eastAsia" w:ascii="Times New Roman" w:hAnsi="Times New Roman" w:eastAsia="仿宋_GB2312" w:cs="Times New Roman"/>
          <w:sz w:val="32"/>
          <w:szCs w:val="32"/>
          <w:lang w:val="en-US" w:eastAsia="zh-CN"/>
        </w:rPr>
        <w:t>支出205</w:t>
      </w:r>
      <w:r>
        <w:rPr>
          <w:rFonts w:hint="eastAsia" w:ascii="Times New Roman" w:hAnsi="Times New Roman" w:eastAsia="仿宋_GB2312" w:cs="Times New Roman"/>
          <w:sz w:val="32"/>
          <w:szCs w:val="32"/>
        </w:rPr>
        <w:t>（类）</w:t>
      </w:r>
      <w:r>
        <w:rPr>
          <w:rFonts w:hint="eastAsia" w:ascii="Times New Roman" w:hAnsi="Times New Roman" w:eastAsia="仿宋_GB2312" w:cs="Times New Roman"/>
          <w:sz w:val="32"/>
          <w:szCs w:val="32"/>
          <w:lang w:val="en-US" w:eastAsia="zh-CN"/>
        </w:rPr>
        <w:t>普通教育02（款）小学教育02（项）：支出决算数为184.71万元；</w:t>
      </w:r>
      <w:r>
        <w:rPr>
          <w:rFonts w:hint="eastAsia" w:ascii="Times New Roman" w:hAnsi="Times New Roman" w:eastAsia="仿宋_GB2312" w:cs="Times New Roman"/>
          <w:sz w:val="32"/>
          <w:szCs w:val="32"/>
        </w:rPr>
        <w:t>教育</w:t>
      </w:r>
      <w:r>
        <w:rPr>
          <w:rFonts w:hint="eastAsia" w:ascii="Times New Roman" w:hAnsi="Times New Roman" w:eastAsia="仿宋_GB2312" w:cs="Times New Roman"/>
          <w:sz w:val="32"/>
          <w:szCs w:val="32"/>
          <w:lang w:val="en-US" w:eastAsia="zh-CN"/>
        </w:rPr>
        <w:t>支出205</w:t>
      </w:r>
      <w:r>
        <w:rPr>
          <w:rFonts w:hint="eastAsia" w:ascii="Times New Roman" w:hAnsi="Times New Roman" w:eastAsia="仿宋_GB2312" w:cs="Times New Roman"/>
          <w:sz w:val="32"/>
          <w:szCs w:val="32"/>
        </w:rPr>
        <w:t>（类）</w:t>
      </w:r>
      <w:r>
        <w:rPr>
          <w:rFonts w:hint="eastAsia" w:ascii="Times New Roman" w:hAnsi="Times New Roman" w:eastAsia="仿宋_GB2312" w:cs="Times New Roman"/>
          <w:sz w:val="32"/>
          <w:szCs w:val="32"/>
          <w:lang w:val="en-US" w:eastAsia="zh-CN"/>
        </w:rPr>
        <w:t>教育附加费安排的支出09（款）其他教育附加安排的支出99（项）支出决算数为5.85万元。</w:t>
      </w:r>
    </w:p>
    <w:p w14:paraId="544DF786">
      <w:pPr>
        <w:spacing w:line="576" w:lineRule="exact"/>
        <w:ind w:firstLine="64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rPr>
        <w:t>.社会保障和就业支出决算为</w:t>
      </w:r>
      <w:r>
        <w:rPr>
          <w:rFonts w:hint="eastAsia" w:ascii="Times New Roman" w:hAnsi="Times New Roman" w:eastAsia="仿宋_GB2312" w:cs="Times New Roman"/>
          <w:sz w:val="32"/>
          <w:szCs w:val="32"/>
          <w:lang w:val="en-US" w:eastAsia="zh-CN"/>
        </w:rPr>
        <w:t>36.42</w:t>
      </w:r>
      <w:r>
        <w:rPr>
          <w:rFonts w:hint="eastAsia" w:ascii="Times New Roman" w:hAnsi="Times New Roman" w:eastAsia="仿宋_GB2312" w:cs="Times New Roman"/>
          <w:sz w:val="32"/>
          <w:szCs w:val="32"/>
        </w:rPr>
        <w:t>万元，完成预算</w:t>
      </w:r>
      <w:r>
        <w:rPr>
          <w:rFonts w:hint="eastAsia" w:ascii="Times New Roman" w:hAnsi="Times New Roman" w:eastAsia="仿宋_GB2312" w:cs="Times New Roman"/>
          <w:sz w:val="32"/>
          <w:szCs w:val="32"/>
          <w:lang w:val="en-US" w:eastAsia="zh-CN"/>
        </w:rPr>
        <w:t>100</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其中：社会保障和就业208</w:t>
      </w:r>
      <w:r>
        <w:rPr>
          <w:rFonts w:hint="eastAsia" w:ascii="Times New Roman" w:hAnsi="Times New Roman" w:eastAsia="仿宋_GB2312" w:cs="Times New Roman"/>
          <w:sz w:val="32"/>
          <w:szCs w:val="32"/>
        </w:rPr>
        <w:t>（类）</w:t>
      </w:r>
      <w:r>
        <w:rPr>
          <w:rFonts w:hint="eastAsia" w:ascii="Times New Roman" w:hAnsi="Times New Roman" w:eastAsia="仿宋_GB2312" w:cs="Times New Roman"/>
          <w:sz w:val="32"/>
          <w:szCs w:val="32"/>
          <w:lang w:val="en-US" w:eastAsia="zh-CN"/>
        </w:rPr>
        <w:t>行政事业单位养老05（款）机关事业单位基本养老保险缴费05（项）支出决算数为22.52万元；社会保障和就业208（类）行政事业单位养老05（款）机关事业单位职业年金缴费06（项）支出决算数为8.9万元；社会保障和就业205（类）行政事业单位养老05（款）事业单位离退休02（项）支出决算数为5万元。</w:t>
      </w:r>
    </w:p>
    <w:p w14:paraId="30011C7A">
      <w:pPr>
        <w:spacing w:line="576" w:lineRule="exact"/>
        <w:ind w:firstLine="64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.卫生健康支出决算为</w:t>
      </w:r>
      <w:r>
        <w:rPr>
          <w:rFonts w:hint="eastAsia" w:ascii="Times New Roman" w:hAnsi="Times New Roman" w:eastAsia="仿宋_GB2312" w:cs="Times New Roman"/>
          <w:sz w:val="32"/>
          <w:szCs w:val="32"/>
          <w:lang w:val="en-US" w:eastAsia="zh-CN"/>
        </w:rPr>
        <w:t>20.33</w:t>
      </w:r>
      <w:r>
        <w:rPr>
          <w:rFonts w:hint="eastAsia" w:ascii="Times New Roman" w:hAnsi="Times New Roman" w:eastAsia="仿宋_GB2312" w:cs="Times New Roman"/>
          <w:sz w:val="32"/>
          <w:szCs w:val="32"/>
        </w:rPr>
        <w:t>万元，完成预算</w:t>
      </w:r>
      <w:r>
        <w:rPr>
          <w:rFonts w:hint="eastAsia" w:ascii="Times New Roman" w:hAnsi="Times New Roman" w:eastAsia="仿宋_GB2312" w:cs="Times New Roman"/>
          <w:sz w:val="32"/>
          <w:szCs w:val="32"/>
          <w:lang w:val="en-US" w:eastAsia="zh-CN"/>
        </w:rPr>
        <w:t>100</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其中：卫生健康支出210</w:t>
      </w:r>
      <w:r>
        <w:rPr>
          <w:rFonts w:hint="eastAsia" w:ascii="Times New Roman" w:hAnsi="Times New Roman" w:eastAsia="仿宋_GB2312" w:cs="Times New Roman"/>
          <w:sz w:val="32"/>
          <w:szCs w:val="32"/>
        </w:rPr>
        <w:t>（类）</w:t>
      </w:r>
      <w:r>
        <w:rPr>
          <w:rFonts w:hint="eastAsia" w:ascii="Times New Roman" w:hAnsi="Times New Roman" w:eastAsia="仿宋_GB2312" w:cs="Times New Roman"/>
          <w:sz w:val="32"/>
          <w:szCs w:val="32"/>
          <w:lang w:val="en-US" w:eastAsia="zh-CN"/>
        </w:rPr>
        <w:t>行政事业单位医疗11（款）事业单位医疗02（项）支出决算数为12.89万元；卫生健康支出210</w:t>
      </w:r>
      <w:r>
        <w:rPr>
          <w:rFonts w:hint="eastAsia" w:ascii="Times New Roman" w:hAnsi="Times New Roman" w:eastAsia="仿宋_GB2312" w:cs="Times New Roman"/>
          <w:sz w:val="32"/>
          <w:szCs w:val="32"/>
        </w:rPr>
        <w:t>（类）</w:t>
      </w:r>
      <w:r>
        <w:rPr>
          <w:rFonts w:hint="eastAsia" w:ascii="Times New Roman" w:hAnsi="Times New Roman" w:eastAsia="仿宋_GB2312" w:cs="Times New Roman"/>
          <w:sz w:val="32"/>
          <w:szCs w:val="32"/>
          <w:lang w:val="en-US" w:eastAsia="zh-CN"/>
        </w:rPr>
        <w:t>行政事业单位医疗11（款）其他行政事业单位医疗99（项）支出决算数为7.44万元。</w:t>
      </w:r>
    </w:p>
    <w:p w14:paraId="19473EF8">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住房保障</w:t>
      </w:r>
      <w:r>
        <w:rPr>
          <w:rFonts w:hint="eastAsia" w:ascii="Times New Roman" w:hAnsi="Times New Roman" w:eastAsia="仿宋_GB2312" w:cs="Times New Roman"/>
          <w:sz w:val="32"/>
          <w:szCs w:val="32"/>
        </w:rPr>
        <w:t>支出决算为</w:t>
      </w:r>
      <w:r>
        <w:rPr>
          <w:rFonts w:hint="eastAsia" w:ascii="Times New Roman" w:hAnsi="Times New Roman" w:eastAsia="仿宋_GB2312" w:cs="Times New Roman"/>
          <w:sz w:val="32"/>
          <w:szCs w:val="32"/>
          <w:lang w:val="en-US" w:eastAsia="zh-CN"/>
        </w:rPr>
        <w:t>19.67</w:t>
      </w:r>
      <w:r>
        <w:rPr>
          <w:rFonts w:hint="eastAsia" w:ascii="Times New Roman" w:hAnsi="Times New Roman" w:eastAsia="仿宋_GB2312" w:cs="Times New Roman"/>
          <w:sz w:val="32"/>
          <w:szCs w:val="32"/>
        </w:rPr>
        <w:t>万元，完成预算</w:t>
      </w:r>
      <w:r>
        <w:rPr>
          <w:rFonts w:hint="eastAsia" w:ascii="Times New Roman" w:hAnsi="Times New Roman" w:eastAsia="仿宋_GB2312" w:cs="Times New Roman"/>
          <w:sz w:val="32"/>
          <w:szCs w:val="32"/>
          <w:lang w:val="en-US" w:eastAsia="zh-CN"/>
        </w:rPr>
        <w:t>100</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其中：住房保障221</w:t>
      </w:r>
      <w:r>
        <w:rPr>
          <w:rFonts w:hint="eastAsia" w:ascii="Times New Roman" w:hAnsi="Times New Roman" w:eastAsia="仿宋_GB2312" w:cs="Times New Roman"/>
          <w:sz w:val="32"/>
          <w:szCs w:val="32"/>
        </w:rPr>
        <w:t>（类）</w:t>
      </w:r>
      <w:r>
        <w:rPr>
          <w:rFonts w:hint="eastAsia" w:ascii="Times New Roman" w:hAnsi="Times New Roman" w:eastAsia="仿宋_GB2312" w:cs="Times New Roman"/>
          <w:sz w:val="32"/>
          <w:szCs w:val="32"/>
          <w:lang w:val="en-US" w:eastAsia="zh-CN"/>
        </w:rPr>
        <w:t>住房改革02（款）住房公积金01（项）：支出决算数为19.67万元。</w:t>
      </w:r>
    </w:p>
    <w:p w14:paraId="369AD00F">
      <w:pPr>
        <w:tabs>
          <w:tab w:val="right" w:pos="8306"/>
        </w:tabs>
        <w:spacing w:line="600" w:lineRule="exact"/>
        <w:ind w:firstLine="640"/>
        <w:outlineLvl w:val="1"/>
        <w:rPr>
          <w:rStyle w:val="28"/>
        </w:rPr>
      </w:pPr>
      <w:bookmarkStart w:id="49" w:name="_Toc15396608"/>
      <w:bookmarkStart w:id="50" w:name="_Toc816"/>
      <w:bookmarkStart w:id="51" w:name="_Toc15377214"/>
      <w:r>
        <w:rPr>
          <w:rFonts w:hint="eastAsia" w:ascii="黑体" w:hAnsi="黑体" w:eastAsia="黑体" w:cs="Times New Roman"/>
          <w:b w:val="0"/>
          <w:bCs w:val="0"/>
          <w:kern w:val="2"/>
          <w:sz w:val="32"/>
          <w:szCs w:val="32"/>
          <w:lang w:val="en-US" w:eastAsia="zh-CN" w:bidi="ar-SA"/>
        </w:rPr>
        <w:t>六、一般公共预算财政拨款基本支出决算情况说明</w:t>
      </w:r>
      <w:bookmarkEnd w:id="49"/>
      <w:bookmarkEnd w:id="50"/>
      <w:bookmarkEnd w:id="51"/>
      <w:r>
        <w:rPr>
          <w:rFonts w:hint="eastAsia" w:ascii="黑体" w:hAnsi="黑体" w:eastAsia="黑体" w:cs="Times New Roman"/>
          <w:b/>
          <w:bCs/>
          <w:kern w:val="2"/>
          <w:sz w:val="32"/>
          <w:szCs w:val="32"/>
          <w:lang w:val="en-US" w:eastAsia="zh-CN" w:bidi="ar-SA"/>
        </w:rPr>
        <w:tab/>
      </w:r>
    </w:p>
    <w:p w14:paraId="7C42A330">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2023年度一般公共预算财政拨款基本支出261.13万元，其中：</w:t>
      </w:r>
    </w:p>
    <w:p w14:paraId="0453AA0E">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人员经费257.7</w:t>
      </w:r>
      <w:r>
        <w:rPr>
          <w:rFonts w:hint="eastAsia" w:ascii="Times New Roman" w:hAnsi="Times New Roman" w:eastAsia="仿宋_GB2312" w:cs="Times New Roman"/>
          <w:sz w:val="32"/>
          <w:szCs w:val="32"/>
          <w:lang w:val="en-US" w:eastAsia="zh-CN"/>
        </w:rPr>
        <w:t>6</w:t>
      </w:r>
      <w:r>
        <w:rPr>
          <w:rFonts w:hint="eastAsia" w:ascii="Times New Roman" w:hAnsi="Times New Roman" w:eastAsia="仿宋_GB2312" w:cs="Times New Roman"/>
          <w:sz w:val="32"/>
          <w:szCs w:val="32"/>
        </w:rPr>
        <w:t>万元，主要包括：基本工资、津贴补贴、绩效工资、机关事业单位基本养老保险缴费、职业年金缴费、其他社会保障缴费、其他工资福利支出、生活补助、医疗费补助、</w:t>
      </w:r>
      <w:r>
        <w:rPr>
          <w:rFonts w:hint="eastAsia" w:ascii="Times New Roman" w:hAnsi="Times New Roman" w:eastAsia="仿宋_GB2312" w:cs="Times New Roman"/>
          <w:sz w:val="32"/>
          <w:szCs w:val="32"/>
          <w:lang w:val="en-US" w:eastAsia="zh-CN"/>
        </w:rPr>
        <w:t>医疗费</w:t>
      </w:r>
      <w:r>
        <w:rPr>
          <w:rFonts w:hint="eastAsia" w:ascii="Times New Roman" w:hAnsi="Times New Roman" w:eastAsia="仿宋_GB2312" w:cs="Times New Roman"/>
          <w:sz w:val="32"/>
          <w:szCs w:val="32"/>
        </w:rPr>
        <w:t>、住房公积金。</w:t>
      </w:r>
      <w:r>
        <w:rPr>
          <w:rFonts w:hint="eastAsia" w:ascii="Times New Roman" w:hAnsi="Times New Roman" w:eastAsia="仿宋_GB2312" w:cs="Times New Roman"/>
          <w:sz w:val="32"/>
          <w:szCs w:val="32"/>
        </w:rPr>
        <w:br w:type="textWrapping"/>
      </w:r>
      <w:r>
        <w:rPr>
          <w:rFonts w:hint="eastAsia" w:ascii="Times New Roman" w:hAnsi="Times New Roman" w:eastAsia="仿宋_GB2312" w:cs="Times New Roman"/>
          <w:sz w:val="32"/>
          <w:szCs w:val="32"/>
        </w:rPr>
        <w:t>　　公用经费3.37万元，主要包括：维修（护）费、工会经费、其他商品和服务支出。</w:t>
      </w:r>
    </w:p>
    <w:p w14:paraId="4D112999">
      <w:pPr>
        <w:pStyle w:val="26"/>
        <w:numPr>
          <w:ilvl w:val="0"/>
          <w:numId w:val="0"/>
        </w:numPr>
        <w:spacing w:line="600" w:lineRule="exact"/>
        <w:ind w:left="640" w:leftChars="0"/>
        <w:outlineLvl w:val="1"/>
        <w:rPr>
          <w:rFonts w:hint="eastAsia" w:ascii="黑体" w:hAnsi="黑体" w:eastAsia="黑体"/>
          <w:b w:val="0"/>
          <w:bCs w:val="0"/>
          <w:sz w:val="32"/>
          <w:szCs w:val="32"/>
          <w:lang w:val="en-US" w:eastAsia="zh-CN"/>
        </w:rPr>
      </w:pPr>
      <w:bookmarkStart w:id="52" w:name="_Toc15377215"/>
      <w:bookmarkStart w:id="53" w:name="_Toc15396609"/>
      <w:bookmarkStart w:id="54" w:name="_Toc5764"/>
      <w:r>
        <w:rPr>
          <w:rFonts w:hint="eastAsia" w:ascii="黑体" w:hAnsi="黑体" w:eastAsia="黑体"/>
          <w:b w:val="0"/>
          <w:bCs w:val="0"/>
          <w:sz w:val="32"/>
          <w:szCs w:val="32"/>
          <w:lang w:val="en-US" w:eastAsia="zh-CN"/>
        </w:rPr>
        <w:t>七、财政拨款“三公”经费支出决算情况说明</w:t>
      </w:r>
      <w:bookmarkEnd w:id="52"/>
      <w:bookmarkEnd w:id="53"/>
      <w:bookmarkEnd w:id="54"/>
    </w:p>
    <w:p w14:paraId="32F75920">
      <w:pPr>
        <w:spacing w:line="576" w:lineRule="exact"/>
        <w:ind w:firstLine="640"/>
        <w:rPr>
          <w:rFonts w:hint="eastAsia" w:ascii="仿宋_GB2312" w:eastAsia="仿宋_GB2312" w:cs="仿宋_GB2312"/>
          <w:sz w:val="32"/>
          <w:szCs w:val="32"/>
        </w:rPr>
      </w:pPr>
      <w:bookmarkStart w:id="55" w:name="_Toc15377216"/>
      <w:r>
        <w:rPr>
          <w:rFonts w:hint="eastAsia" w:ascii="仿宋_GB2312" w:eastAsia="仿宋_GB2312" w:cs="仿宋_GB2312"/>
          <w:sz w:val="32"/>
          <w:szCs w:val="32"/>
        </w:rPr>
        <w:t>（一）“三公”经费财政拨款支出决算总体情况说明</w:t>
      </w:r>
      <w:bookmarkEnd w:id="55"/>
    </w:p>
    <w:p w14:paraId="776ACE49">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2023年度“三公”经费财政拨款支出决算为0万元，完成预算0%，较上年度</w:t>
      </w:r>
      <w:r>
        <w:rPr>
          <w:rFonts w:hint="eastAsia" w:ascii="Times New Roman" w:hAnsi="Times New Roman" w:eastAsia="仿宋_GB2312" w:cs="Times New Roman"/>
          <w:sz w:val="32"/>
          <w:szCs w:val="32"/>
          <w:lang w:val="en-US" w:eastAsia="zh-CN"/>
        </w:rPr>
        <w:t>持平</w:t>
      </w:r>
      <w:r>
        <w:rPr>
          <w:rFonts w:hint="eastAsia" w:ascii="Times New Roman" w:hAnsi="Times New Roman" w:eastAsia="仿宋_GB2312" w:cs="Times New Roman"/>
          <w:sz w:val="32"/>
          <w:szCs w:val="32"/>
        </w:rPr>
        <w:t>。</w:t>
      </w:r>
    </w:p>
    <w:p w14:paraId="3C351613">
      <w:pPr>
        <w:spacing w:line="576" w:lineRule="exact"/>
        <w:ind w:firstLine="640"/>
        <w:rPr>
          <w:rFonts w:hint="eastAsia" w:ascii="仿宋_GB2312" w:eastAsia="仿宋_GB2312" w:cs="仿宋_GB2312"/>
          <w:sz w:val="32"/>
          <w:szCs w:val="32"/>
        </w:rPr>
      </w:pPr>
      <w:bookmarkStart w:id="56" w:name="_Toc15377217"/>
      <w:r>
        <w:rPr>
          <w:rFonts w:hint="eastAsia" w:ascii="仿宋_GB2312" w:eastAsia="仿宋_GB2312" w:cs="仿宋_GB2312"/>
          <w:sz w:val="32"/>
          <w:szCs w:val="32"/>
        </w:rPr>
        <w:t>（二）“三公”经费财政拨款支出决算具体情况说明</w:t>
      </w:r>
      <w:bookmarkEnd w:id="56"/>
    </w:p>
    <w:p w14:paraId="75A25F2B">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2023年度“三公”经费财政拨款支出决算中，因公出国（境）费支出决算0万元，占0%；公务用车购置及运行维护费支出决算0万元，占0%；公务接待费支出决算0万元，占0%。具体情况如下：</w:t>
      </w:r>
    </w:p>
    <w:p w14:paraId="391DC139">
      <w:pPr>
        <w:spacing w:line="576" w:lineRule="exact"/>
        <w:ind w:firstLine="640"/>
        <w:rPr>
          <w:rFonts w:hint="eastAsia" w:ascii="Times New Roman" w:hAnsi="Times New Roman" w:eastAsia="仿宋_GB2312" w:cs="Times New Roman"/>
          <w:sz w:val="32"/>
          <w:szCs w:val="32"/>
        </w:rPr>
      </w:pPr>
      <w:bookmarkStart w:id="57" w:name="_Toc15377218"/>
      <w:bookmarkStart w:id="58" w:name="_Toc15396610"/>
      <w:r>
        <w:rPr>
          <w:rFonts w:hint="eastAsia" w:ascii="Times New Roman" w:hAnsi="Times New Roman" w:eastAsia="仿宋_GB2312" w:cs="Times New Roman"/>
          <w:sz w:val="32"/>
          <w:szCs w:val="32"/>
        </w:rPr>
        <w:t>1.因公出国（境）经费支出0万元，完成预算0%。全年安排因公出国（境）团组0次，出国（境）0人。因公出国（境）支出决算</w:t>
      </w:r>
      <w:r>
        <w:rPr>
          <w:rFonts w:hint="eastAsia" w:ascii="Times New Roman" w:hAnsi="Times New Roman" w:eastAsia="仿宋_GB2312" w:cs="Times New Roman"/>
          <w:sz w:val="32"/>
          <w:szCs w:val="32"/>
          <w:lang w:val="en-US" w:eastAsia="zh-CN"/>
        </w:rPr>
        <w:t>与</w:t>
      </w:r>
      <w:r>
        <w:rPr>
          <w:rFonts w:hint="eastAsia" w:ascii="Times New Roman" w:hAnsi="Times New Roman" w:eastAsia="仿宋_GB2312" w:cs="Times New Roman"/>
          <w:sz w:val="32"/>
          <w:szCs w:val="32"/>
        </w:rPr>
        <w:t>2022年</w:t>
      </w:r>
      <w:r>
        <w:rPr>
          <w:rFonts w:hint="eastAsia" w:ascii="Times New Roman" w:hAnsi="Times New Roman" w:eastAsia="仿宋_GB2312" w:cs="Times New Roman"/>
          <w:sz w:val="32"/>
          <w:szCs w:val="32"/>
          <w:lang w:val="en-US" w:eastAsia="zh-CN"/>
        </w:rPr>
        <w:t>持平</w:t>
      </w:r>
      <w:r>
        <w:rPr>
          <w:rFonts w:hint="eastAsia" w:ascii="Times New Roman" w:hAnsi="Times New Roman" w:eastAsia="仿宋_GB2312" w:cs="Times New Roman"/>
          <w:sz w:val="32"/>
          <w:szCs w:val="32"/>
        </w:rPr>
        <w:t>。</w:t>
      </w:r>
    </w:p>
    <w:p w14:paraId="6366AC5F">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2.公务用车购置及运行维护费支出0万元,完成预算0%。公务用车购置及运行维护费支出决算</w:t>
      </w:r>
      <w:r>
        <w:rPr>
          <w:rFonts w:hint="eastAsia" w:ascii="Times New Roman" w:hAnsi="Times New Roman" w:eastAsia="仿宋_GB2312" w:cs="Times New Roman"/>
          <w:sz w:val="32"/>
          <w:szCs w:val="32"/>
          <w:lang w:val="en-US" w:eastAsia="zh-CN"/>
        </w:rPr>
        <w:t>与</w:t>
      </w:r>
      <w:r>
        <w:rPr>
          <w:rFonts w:hint="eastAsia" w:ascii="Times New Roman" w:hAnsi="Times New Roman" w:eastAsia="仿宋_GB2312" w:cs="Times New Roman"/>
          <w:sz w:val="32"/>
          <w:szCs w:val="32"/>
        </w:rPr>
        <w:t>2022年度</w:t>
      </w:r>
      <w:r>
        <w:rPr>
          <w:rFonts w:hint="eastAsia" w:ascii="Times New Roman" w:hAnsi="Times New Roman" w:eastAsia="仿宋_GB2312" w:cs="Times New Roman"/>
          <w:sz w:val="32"/>
          <w:szCs w:val="32"/>
          <w:lang w:val="en-US" w:eastAsia="zh-CN"/>
        </w:rPr>
        <w:t>持平</w:t>
      </w:r>
      <w:r>
        <w:rPr>
          <w:rFonts w:hint="eastAsia" w:ascii="Times New Roman" w:hAnsi="Times New Roman" w:eastAsia="仿宋_GB2312" w:cs="Times New Roman"/>
          <w:sz w:val="32"/>
          <w:szCs w:val="32"/>
        </w:rPr>
        <w:t>。</w:t>
      </w:r>
    </w:p>
    <w:p w14:paraId="7F1C9B1D">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其中：公务用车购置支出0万元。全年按规定更新购置公务用车</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辆，其中：轿车</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辆、金额</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万元，越野车</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辆、金额</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万元，载客汽车</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辆、金额</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万元。截至2023年12月31日，单位共有公务用车</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辆，其中：轿车</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辆、越野车</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辆、载客汽车</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辆。</w:t>
      </w:r>
    </w:p>
    <w:p w14:paraId="381FAB12">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公务用车运行维护费支出0万元。</w:t>
      </w:r>
    </w:p>
    <w:p w14:paraId="12C1484E">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3.公务接待费支出0万元，完成预算0%。公务接待费支出决算</w:t>
      </w:r>
      <w:r>
        <w:rPr>
          <w:rFonts w:hint="eastAsia" w:ascii="Times New Roman" w:hAnsi="Times New Roman" w:eastAsia="仿宋_GB2312" w:cs="Times New Roman"/>
          <w:sz w:val="32"/>
          <w:szCs w:val="32"/>
          <w:lang w:val="en-US" w:eastAsia="zh-CN"/>
        </w:rPr>
        <w:t>与</w:t>
      </w:r>
      <w:r>
        <w:rPr>
          <w:rFonts w:hint="eastAsia" w:ascii="Times New Roman" w:hAnsi="Times New Roman" w:eastAsia="仿宋_GB2312" w:cs="Times New Roman"/>
          <w:sz w:val="32"/>
          <w:szCs w:val="32"/>
        </w:rPr>
        <w:t>2022年度</w:t>
      </w:r>
      <w:r>
        <w:rPr>
          <w:rFonts w:hint="eastAsia" w:ascii="Times New Roman" w:hAnsi="Times New Roman" w:eastAsia="仿宋_GB2312" w:cs="Times New Roman"/>
          <w:sz w:val="32"/>
          <w:szCs w:val="32"/>
          <w:lang w:val="en-US" w:eastAsia="zh-CN"/>
        </w:rPr>
        <w:t>持平</w:t>
      </w:r>
      <w:r>
        <w:rPr>
          <w:rFonts w:hint="eastAsia" w:ascii="Times New Roman" w:hAnsi="Times New Roman" w:eastAsia="仿宋_GB2312" w:cs="Times New Roman"/>
          <w:sz w:val="32"/>
          <w:szCs w:val="32"/>
        </w:rPr>
        <w:t>。其中：</w:t>
      </w:r>
    </w:p>
    <w:p w14:paraId="5FEE0F2E">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国内公务接待支出0万元。国内公务接待</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批次，</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人次（不包括陪同人员），共计支出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万元，（接待具体项目、金额）。</w:t>
      </w:r>
    </w:p>
    <w:p w14:paraId="1B01BF19">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外事接待支出0万元。外事接待</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批次，</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人次，共计支出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万元。</w:t>
      </w:r>
    </w:p>
    <w:p w14:paraId="4A88A3AD">
      <w:pPr>
        <w:pStyle w:val="26"/>
        <w:numPr>
          <w:ilvl w:val="0"/>
          <w:numId w:val="0"/>
        </w:numPr>
        <w:spacing w:line="600" w:lineRule="exact"/>
        <w:ind w:left="640" w:leftChars="0"/>
        <w:outlineLvl w:val="1"/>
        <w:rPr>
          <w:rFonts w:hint="eastAsia" w:ascii="黑体" w:hAnsi="黑体" w:eastAsia="黑体"/>
          <w:b w:val="0"/>
          <w:bCs w:val="0"/>
          <w:sz w:val="32"/>
          <w:szCs w:val="32"/>
          <w:lang w:val="en-US" w:eastAsia="zh-CN"/>
        </w:rPr>
      </w:pPr>
      <w:bookmarkStart w:id="59" w:name="_Toc10492"/>
      <w:r>
        <w:rPr>
          <w:rFonts w:hint="eastAsia" w:ascii="黑体" w:hAnsi="黑体" w:eastAsia="黑体"/>
          <w:b w:val="0"/>
          <w:bCs w:val="0"/>
          <w:sz w:val="32"/>
          <w:szCs w:val="32"/>
          <w:lang w:val="en-US" w:eastAsia="zh-CN"/>
        </w:rPr>
        <w:t>八、政府性基金预算支出决算情况说明</w:t>
      </w:r>
      <w:bookmarkEnd w:id="57"/>
      <w:bookmarkEnd w:id="58"/>
      <w:bookmarkEnd w:id="59"/>
    </w:p>
    <w:p w14:paraId="2AB62FFC">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2023年度政府性基金预算财政拨款支出0万元。</w:t>
      </w:r>
    </w:p>
    <w:p w14:paraId="0EEE6404">
      <w:pPr>
        <w:pStyle w:val="26"/>
        <w:numPr>
          <w:ilvl w:val="0"/>
          <w:numId w:val="0"/>
        </w:numPr>
        <w:spacing w:line="600" w:lineRule="exact"/>
        <w:ind w:left="640" w:leftChars="0"/>
        <w:outlineLvl w:val="1"/>
        <w:rPr>
          <w:rFonts w:hint="eastAsia" w:ascii="黑体" w:hAnsi="黑体" w:eastAsia="黑体"/>
          <w:b w:val="0"/>
          <w:bCs w:val="0"/>
          <w:sz w:val="32"/>
          <w:szCs w:val="32"/>
          <w:lang w:val="en-US" w:eastAsia="zh-CN"/>
        </w:rPr>
      </w:pPr>
      <w:bookmarkStart w:id="60" w:name="_Toc15377219"/>
      <w:bookmarkStart w:id="61" w:name="_Toc16234"/>
      <w:bookmarkStart w:id="62" w:name="_Toc15396611"/>
      <w:r>
        <w:rPr>
          <w:rFonts w:hint="eastAsia" w:ascii="黑体" w:hAnsi="黑体" w:eastAsia="黑体"/>
          <w:b w:val="0"/>
          <w:bCs w:val="0"/>
          <w:sz w:val="32"/>
          <w:szCs w:val="32"/>
          <w:lang w:val="en-US" w:eastAsia="zh-CN"/>
        </w:rPr>
        <w:t>九、国有资本经营预算支出决算情况说明</w:t>
      </w:r>
      <w:bookmarkEnd w:id="60"/>
      <w:bookmarkEnd w:id="61"/>
      <w:bookmarkEnd w:id="62"/>
    </w:p>
    <w:p w14:paraId="05DB29E9">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2023年度国有资本经营预算财政拨款支出0万元。</w:t>
      </w:r>
    </w:p>
    <w:p w14:paraId="4207C1E4">
      <w:pPr>
        <w:pStyle w:val="26"/>
        <w:numPr>
          <w:ilvl w:val="0"/>
          <w:numId w:val="0"/>
        </w:numPr>
        <w:spacing w:line="600" w:lineRule="exact"/>
        <w:ind w:left="640" w:leftChars="0"/>
        <w:outlineLvl w:val="1"/>
        <w:rPr>
          <w:rFonts w:hint="eastAsia" w:ascii="黑体" w:hAnsi="黑体" w:eastAsia="黑体"/>
          <w:b w:val="0"/>
          <w:bCs w:val="0"/>
          <w:sz w:val="32"/>
          <w:szCs w:val="32"/>
          <w:lang w:val="en-US" w:eastAsia="zh-CN"/>
        </w:rPr>
      </w:pPr>
      <w:bookmarkStart w:id="63" w:name="_Toc15396612"/>
      <w:bookmarkStart w:id="64" w:name="_Toc15377221"/>
      <w:bookmarkStart w:id="65" w:name="_Toc14605"/>
      <w:r>
        <w:rPr>
          <w:rFonts w:hint="eastAsia" w:ascii="黑体" w:hAnsi="黑体" w:eastAsia="黑体"/>
          <w:b w:val="0"/>
          <w:bCs w:val="0"/>
          <w:sz w:val="32"/>
          <w:szCs w:val="32"/>
          <w:lang w:val="en-US" w:eastAsia="zh-CN"/>
        </w:rPr>
        <w:t>十、其他重要事项的情况说明</w:t>
      </w:r>
      <w:bookmarkEnd w:id="63"/>
      <w:bookmarkEnd w:id="64"/>
      <w:bookmarkEnd w:id="65"/>
    </w:p>
    <w:p w14:paraId="71FFF66A">
      <w:pPr>
        <w:spacing w:line="576" w:lineRule="exact"/>
        <w:ind w:firstLine="640"/>
        <w:rPr>
          <w:rFonts w:hint="eastAsia" w:ascii="仿宋_GB2312" w:eastAsia="仿宋_GB2312" w:cs="仿宋_GB2312"/>
          <w:sz w:val="32"/>
          <w:szCs w:val="32"/>
        </w:rPr>
      </w:pPr>
      <w:bookmarkStart w:id="66" w:name="_Toc15377222"/>
      <w:r>
        <w:rPr>
          <w:rFonts w:hint="eastAsia" w:ascii="仿宋_GB2312" w:eastAsia="仿宋_GB2312" w:cs="仿宋_GB2312"/>
          <w:sz w:val="32"/>
          <w:szCs w:val="32"/>
        </w:rPr>
        <w:t>（一）机关运行经费支出情况</w:t>
      </w:r>
      <w:bookmarkEnd w:id="66"/>
    </w:p>
    <w:p w14:paraId="075EDEFC">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2023年度，盐边县红宝苗族彝族乡中心学校机关运行经费支出0万元，</w:t>
      </w:r>
      <w:r>
        <w:rPr>
          <w:rFonts w:hint="eastAsia" w:ascii="Times New Roman" w:hAnsi="Times New Roman" w:eastAsia="仿宋_GB2312" w:cs="Times New Roman"/>
          <w:sz w:val="32"/>
          <w:szCs w:val="32"/>
          <w:lang w:val="en-US" w:eastAsia="zh-CN"/>
        </w:rPr>
        <w:t>与</w:t>
      </w:r>
      <w:r>
        <w:rPr>
          <w:rFonts w:hint="eastAsia" w:ascii="Times New Roman" w:hAnsi="Times New Roman" w:eastAsia="仿宋_GB2312" w:cs="Times New Roman"/>
          <w:sz w:val="32"/>
          <w:szCs w:val="32"/>
        </w:rPr>
        <w:t>2022年度</w:t>
      </w:r>
      <w:r>
        <w:rPr>
          <w:rFonts w:hint="eastAsia" w:ascii="Times New Roman" w:hAnsi="Times New Roman" w:eastAsia="仿宋_GB2312" w:cs="Times New Roman"/>
          <w:sz w:val="32"/>
          <w:szCs w:val="32"/>
          <w:lang w:val="en-US" w:eastAsia="zh-CN"/>
        </w:rPr>
        <w:t>持平</w:t>
      </w:r>
      <w:r>
        <w:rPr>
          <w:rFonts w:hint="eastAsia" w:ascii="Times New Roman" w:hAnsi="Times New Roman" w:eastAsia="仿宋_GB2312" w:cs="Times New Roman"/>
          <w:sz w:val="32"/>
          <w:szCs w:val="32"/>
        </w:rPr>
        <w:t>。</w:t>
      </w:r>
    </w:p>
    <w:p w14:paraId="2589094C">
      <w:pPr>
        <w:spacing w:line="576" w:lineRule="exact"/>
        <w:ind w:firstLine="640"/>
        <w:rPr>
          <w:rFonts w:hint="eastAsia" w:ascii="仿宋_GB2312" w:eastAsia="仿宋_GB2312" w:cs="仿宋_GB2312"/>
          <w:sz w:val="32"/>
          <w:szCs w:val="32"/>
        </w:rPr>
      </w:pPr>
      <w:bookmarkStart w:id="67" w:name="_Toc15377223"/>
      <w:r>
        <w:rPr>
          <w:rFonts w:hint="eastAsia" w:ascii="仿宋_GB2312" w:eastAsia="仿宋_GB2312" w:cs="仿宋_GB2312"/>
          <w:sz w:val="32"/>
          <w:szCs w:val="32"/>
        </w:rPr>
        <w:t>（二）政府采购支出情况</w:t>
      </w:r>
      <w:bookmarkEnd w:id="67"/>
    </w:p>
    <w:p w14:paraId="6CF14DC8">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2023年度，盐边县红宝苗族彝族乡中心学校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14:paraId="42D1E055">
      <w:pPr>
        <w:spacing w:line="576" w:lineRule="exact"/>
        <w:ind w:firstLine="640"/>
        <w:rPr>
          <w:rFonts w:hint="eastAsia" w:ascii="仿宋_GB2312" w:eastAsia="仿宋_GB2312" w:cs="仿宋_GB2312"/>
          <w:sz w:val="32"/>
          <w:szCs w:val="32"/>
        </w:rPr>
      </w:pPr>
      <w:bookmarkStart w:id="68" w:name="_Toc15377224"/>
      <w:r>
        <w:rPr>
          <w:rFonts w:hint="eastAsia" w:ascii="仿宋_GB2312" w:eastAsia="仿宋_GB2312" w:cs="仿宋_GB2312"/>
          <w:sz w:val="32"/>
          <w:szCs w:val="32"/>
        </w:rPr>
        <w:t>（三）国有资产占有使用情况</w:t>
      </w:r>
      <w:bookmarkEnd w:id="68"/>
    </w:p>
    <w:p w14:paraId="2F991091">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截至2023年12月31日，盐边县红宝苗族彝族乡中心学校共有车辆0辆，其中：主要领导干部用车</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辆、机要通信用车</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辆、应急保障用车</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辆、其他用车</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辆。单价100万元以上设备（不含车辆）0台（套）。</w:t>
      </w:r>
    </w:p>
    <w:p w14:paraId="5199E115">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2D8BD5DD">
      <w:pPr>
        <w:spacing w:line="600" w:lineRule="exact"/>
        <w:ind w:firstLine="640" w:firstLineChars="200"/>
        <w:rPr>
          <w:rFonts w:ascii="仿宋_GB2312" w:eastAsia="仿宋_GB2312"/>
          <w:sz w:val="32"/>
          <w:szCs w:val="32"/>
        </w:rPr>
      </w:pPr>
      <w:r>
        <w:rPr>
          <w:rFonts w:hint="eastAsia" w:ascii="Times New Roman" w:hAnsi="Times New Roman" w:eastAsia="仿宋_GB2312" w:cs="Times New Roman"/>
          <w:sz w:val="32"/>
          <w:szCs w:val="32"/>
        </w:rPr>
        <w:t>根据预算绩效管理要求，本单位在2023年度预算编制阶段，组织对</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项目（项目名称）等</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个项目开展了预算事前绩效评估，对</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个项目编制了绩效目标，预算执行过程中，选取</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个项目开展绩效监控，组织对</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个项目开展绩效自评</w:t>
      </w:r>
      <w:r>
        <w:rPr>
          <w:rFonts w:hint="eastAsia" w:ascii="Times New Roman" w:hAnsi="Times New Roman" w:eastAsia="仿宋_GB2312" w:cs="Times New Roman"/>
          <w:sz w:val="32"/>
          <w:szCs w:val="32"/>
          <w:lang w:eastAsia="zh-CN"/>
        </w:rPr>
        <w:t>。</w:t>
      </w:r>
      <w:r>
        <w:rPr>
          <w:rFonts w:hint="eastAsia" w:ascii="仿宋_GB2312" w:eastAsia="仿宋_GB2312"/>
          <w:sz w:val="32"/>
          <w:szCs w:val="32"/>
        </w:rPr>
        <w:br w:type="page"/>
      </w:r>
    </w:p>
    <w:p w14:paraId="1F00D978">
      <w:pPr>
        <w:numPr>
          <w:ilvl w:val="0"/>
          <w:numId w:val="2"/>
        </w:numPr>
        <w:spacing w:line="600" w:lineRule="exact"/>
        <w:ind w:firstLine="660" w:firstLineChars="150"/>
        <w:jc w:val="center"/>
        <w:outlineLvl w:val="0"/>
        <w:rPr>
          <w:rStyle w:val="27"/>
          <w:rFonts w:ascii="黑体" w:hAnsi="黑体" w:eastAsia="黑体"/>
          <w:b w:val="0"/>
        </w:rPr>
      </w:pPr>
      <w:bookmarkStart w:id="69" w:name="_Toc15377225"/>
      <w:bookmarkStart w:id="70" w:name="_Toc15396613"/>
      <w:bookmarkStart w:id="71" w:name="_Toc25106"/>
      <w:r>
        <w:rPr>
          <w:rFonts w:hint="eastAsia" w:ascii="黑体" w:hAnsi="黑体" w:eastAsia="黑体"/>
          <w:sz w:val="44"/>
          <w:szCs w:val="44"/>
        </w:rPr>
        <w:t>名</w:t>
      </w:r>
      <w:r>
        <w:rPr>
          <w:rStyle w:val="27"/>
          <w:rFonts w:hint="eastAsia" w:ascii="黑体" w:hAnsi="黑体" w:eastAsia="黑体"/>
          <w:b w:val="0"/>
        </w:rPr>
        <w:t>词解释</w:t>
      </w:r>
      <w:bookmarkEnd w:id="69"/>
      <w:bookmarkEnd w:id="70"/>
      <w:bookmarkEnd w:id="71"/>
    </w:p>
    <w:p w14:paraId="7E3CD29C">
      <w:pPr>
        <w:spacing w:line="600" w:lineRule="exact"/>
        <w:jc w:val="left"/>
        <w:rPr>
          <w:rFonts w:ascii="宋体"/>
          <w:b/>
          <w:sz w:val="44"/>
          <w:szCs w:val="44"/>
        </w:rPr>
      </w:pPr>
    </w:p>
    <w:p w14:paraId="630FBA6C">
      <w:pPr>
        <w:spacing w:line="576" w:lineRule="exact"/>
        <w:ind w:firstLine="640"/>
        <w:rPr>
          <w:rFonts w:hint="eastAsia" w:ascii="Times New Roman" w:hAnsi="Times New Roman" w:eastAsia="仿宋_GB2312" w:cs="Times New Roman"/>
          <w:sz w:val="32"/>
          <w:szCs w:val="32"/>
        </w:rPr>
      </w:pPr>
      <w:bookmarkStart w:id="72" w:name="_Toc32553"/>
      <w:bookmarkStart w:id="73" w:name="_Toc15396614"/>
      <w:bookmarkStart w:id="74" w:name="_Toc15377226"/>
      <w:r>
        <w:rPr>
          <w:rFonts w:hint="eastAsia" w:ascii="Times New Roman" w:hAnsi="Times New Roman" w:eastAsia="仿宋_GB2312" w:cs="Times New Roman"/>
          <w:sz w:val="32"/>
          <w:szCs w:val="32"/>
        </w:rPr>
        <w:t>1.财政拨款收入：指单位从同级财政部门取得的财政预算资金。</w:t>
      </w:r>
      <w:bookmarkEnd w:id="72"/>
    </w:p>
    <w:p w14:paraId="2B4CBD88">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2.事业收入：指事业单位开展专业业务活动及辅助活动取得的收入。</w:t>
      </w:r>
    </w:p>
    <w:p w14:paraId="470859E6">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3.经营收入：指事业单位在专业业务活动及其辅助活动之外开展非独立核算经营活动取得的收入。</w:t>
      </w:r>
    </w:p>
    <w:p w14:paraId="5EE5F69D">
      <w:pPr>
        <w:spacing w:line="576" w:lineRule="exact"/>
        <w:ind w:firstLine="640"/>
        <w:rPr>
          <w:rFonts w:hint="eastAsia" w:ascii="Times New Roman" w:hAnsi="Times New Roman" w:eastAsia="仿宋_GB2312" w:cs="Times New Roman"/>
          <w:sz w:val="32"/>
          <w:szCs w:val="32"/>
        </w:rPr>
      </w:pPr>
      <w:bookmarkStart w:id="75" w:name="_Toc4512"/>
      <w:r>
        <w:rPr>
          <w:rFonts w:hint="eastAsia" w:ascii="Times New Roman" w:hAnsi="Times New Roman" w:eastAsia="仿宋_GB2312" w:cs="Times New Roman"/>
          <w:sz w:val="32"/>
          <w:szCs w:val="32"/>
        </w:rPr>
        <w:t>4.其他收入：指单位取得的除上述收入以外的各项收入。</w:t>
      </w:r>
      <w:bookmarkEnd w:id="75"/>
      <w:r>
        <w:rPr>
          <w:rFonts w:hint="eastAsia" w:ascii="Times New Roman" w:hAnsi="Times New Roman" w:eastAsia="仿宋_GB2312" w:cs="Times New Roman"/>
          <w:sz w:val="32"/>
          <w:szCs w:val="32"/>
        </w:rPr>
        <w:t xml:space="preserve"> </w:t>
      </w:r>
    </w:p>
    <w:p w14:paraId="08D8C75A">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5.使用非财政拨款结余（含专用结余）：指事业单位使用以前年度积累的非财政拨款结余弥补当年收支差额的金额。 </w:t>
      </w:r>
    </w:p>
    <w:p w14:paraId="2F9CA34A">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6.年初结转和结余：指以前年度尚未完成、结转到本年按有关规定继续使用的资金。 </w:t>
      </w:r>
    </w:p>
    <w:p w14:paraId="30CBE92F">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7.结余分配：指事业单位按照会计制度规定缴纳的所得税、提取的专用结余以及转入非财政拨款结余的金额等。</w:t>
      </w:r>
    </w:p>
    <w:p w14:paraId="43F7E6E3">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8.年末结转和结余：指单位按有关规定结转到下年或以后年度继续使用的资金。</w:t>
      </w:r>
    </w:p>
    <w:p w14:paraId="3DDD83AB">
      <w:pPr>
        <w:spacing w:line="576" w:lineRule="exact"/>
        <w:ind w:firstLine="640"/>
        <w:rPr>
          <w:rFonts w:hint="eastAsia"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en-US" w:eastAsia="zh-CN"/>
        </w:rPr>
        <w:t>9</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zh-CN"/>
        </w:rPr>
        <w:t xml:space="preserve"> </w:t>
      </w:r>
      <w:r>
        <w:rPr>
          <w:rFonts w:hint="eastAsia" w:ascii="Times New Roman" w:hAnsi="Times New Roman" w:eastAsia="仿宋_GB2312" w:cs="Times New Roman"/>
          <w:sz w:val="32"/>
          <w:szCs w:val="32"/>
        </w:rPr>
        <w:t>教育支出</w:t>
      </w:r>
      <w:r>
        <w:rPr>
          <w:rFonts w:hint="eastAsia" w:ascii="Times New Roman" w:hAnsi="Times New Roman" w:eastAsia="仿宋_GB2312" w:cs="Times New Roman"/>
          <w:sz w:val="32"/>
          <w:szCs w:val="32"/>
          <w:lang w:val="en-US" w:eastAsia="zh-CN"/>
        </w:rPr>
        <w:t>205</w:t>
      </w:r>
      <w:r>
        <w:rPr>
          <w:rFonts w:hint="eastAsia" w:ascii="Times New Roman" w:hAnsi="Times New Roman" w:eastAsia="仿宋_GB2312" w:cs="Times New Roman"/>
          <w:sz w:val="32"/>
          <w:szCs w:val="32"/>
        </w:rPr>
        <w:t>（类）普通教育</w:t>
      </w:r>
      <w:r>
        <w:rPr>
          <w:rFonts w:hint="eastAsia" w:ascii="Times New Roman" w:hAnsi="Times New Roman" w:eastAsia="仿宋_GB2312" w:cs="Times New Roman"/>
          <w:sz w:val="32"/>
          <w:szCs w:val="32"/>
          <w:lang w:val="en-US" w:eastAsia="zh-CN"/>
        </w:rPr>
        <w:t>02</w:t>
      </w:r>
      <w:r>
        <w:rPr>
          <w:rFonts w:hint="eastAsia" w:ascii="Times New Roman" w:hAnsi="Times New Roman" w:eastAsia="仿宋_GB2312" w:cs="Times New Roman"/>
          <w:sz w:val="32"/>
          <w:szCs w:val="32"/>
        </w:rPr>
        <w:t>（款）小学教育</w:t>
      </w:r>
      <w:r>
        <w:rPr>
          <w:rFonts w:hint="eastAsia" w:ascii="Times New Roman" w:hAnsi="Times New Roman" w:eastAsia="仿宋_GB2312" w:cs="Times New Roman"/>
          <w:sz w:val="32"/>
          <w:szCs w:val="32"/>
          <w:lang w:val="en-US" w:eastAsia="zh-CN"/>
        </w:rPr>
        <w:t>02</w:t>
      </w:r>
      <w:r>
        <w:rPr>
          <w:rFonts w:hint="eastAsia" w:ascii="Times New Roman" w:hAnsi="Times New Roman" w:eastAsia="仿宋_GB2312" w:cs="Times New Roman"/>
          <w:sz w:val="32"/>
          <w:szCs w:val="32"/>
          <w:lang w:val="zh-CN"/>
        </w:rPr>
        <w:t>（项）：反映各部门举办的小学教育支出。</w:t>
      </w:r>
    </w:p>
    <w:p w14:paraId="28001CA9">
      <w:pPr>
        <w:spacing w:line="576" w:lineRule="exact"/>
        <w:ind w:firstLine="640"/>
        <w:rPr>
          <w:rFonts w:hint="eastAsia"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en-US" w:eastAsia="zh-CN"/>
        </w:rPr>
        <w:t>10</w:t>
      </w:r>
      <w:r>
        <w:rPr>
          <w:rFonts w:hint="eastAsia" w:ascii="Times New Roman" w:hAnsi="Times New Roman" w:eastAsia="仿宋_GB2312" w:cs="Times New Roman"/>
          <w:sz w:val="32"/>
          <w:szCs w:val="32"/>
          <w:lang w:val="zh-CN"/>
        </w:rPr>
        <w:t>.</w:t>
      </w:r>
      <w:r>
        <w:rPr>
          <w:rFonts w:hint="eastAsia" w:ascii="Times New Roman" w:hAnsi="Times New Roman" w:eastAsia="仿宋_GB2312" w:cs="Times New Roman"/>
          <w:sz w:val="32"/>
          <w:szCs w:val="32"/>
        </w:rPr>
        <w:t xml:space="preserve"> 教育支出</w:t>
      </w:r>
      <w:r>
        <w:rPr>
          <w:rFonts w:hint="eastAsia" w:ascii="Times New Roman" w:hAnsi="Times New Roman" w:eastAsia="仿宋_GB2312" w:cs="Times New Roman"/>
          <w:sz w:val="32"/>
          <w:szCs w:val="32"/>
          <w:lang w:val="en-US" w:eastAsia="zh-CN"/>
        </w:rPr>
        <w:t>205</w:t>
      </w:r>
      <w:r>
        <w:rPr>
          <w:rFonts w:hint="eastAsia" w:ascii="Times New Roman" w:hAnsi="Times New Roman" w:eastAsia="仿宋_GB2312" w:cs="Times New Roman"/>
          <w:sz w:val="32"/>
          <w:szCs w:val="32"/>
        </w:rPr>
        <w:t>（类）教育费附加安排的支出</w:t>
      </w:r>
      <w:r>
        <w:rPr>
          <w:rFonts w:hint="eastAsia" w:ascii="Times New Roman" w:hAnsi="Times New Roman" w:eastAsia="仿宋_GB2312" w:cs="Times New Roman"/>
          <w:sz w:val="32"/>
          <w:szCs w:val="32"/>
          <w:lang w:val="en-US" w:eastAsia="zh-CN"/>
        </w:rPr>
        <w:t>09</w:t>
      </w:r>
      <w:r>
        <w:rPr>
          <w:rFonts w:hint="eastAsia" w:ascii="Times New Roman" w:hAnsi="Times New Roman" w:eastAsia="仿宋_GB2312" w:cs="Times New Roman"/>
          <w:sz w:val="32"/>
          <w:szCs w:val="32"/>
        </w:rPr>
        <w:t>（款）其他教育费附加安排的支出</w:t>
      </w:r>
      <w:r>
        <w:rPr>
          <w:rFonts w:hint="eastAsia" w:ascii="Times New Roman" w:hAnsi="Times New Roman" w:eastAsia="仿宋_GB2312" w:cs="Times New Roman"/>
          <w:sz w:val="32"/>
          <w:szCs w:val="32"/>
          <w:lang w:val="en-US" w:eastAsia="zh-CN"/>
        </w:rPr>
        <w:t>99</w:t>
      </w:r>
      <w:r>
        <w:rPr>
          <w:rFonts w:hint="eastAsia" w:ascii="Times New Roman" w:hAnsi="Times New Roman" w:eastAsia="仿宋_GB2312" w:cs="Times New Roman"/>
          <w:sz w:val="32"/>
          <w:szCs w:val="32"/>
          <w:lang w:val="zh-CN"/>
        </w:rPr>
        <w:t>（项）：反映除上述项目以外的教育费附加支出。</w:t>
      </w:r>
    </w:p>
    <w:p w14:paraId="29E16DEF">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11</w:t>
      </w:r>
      <w:r>
        <w:rPr>
          <w:rFonts w:hint="eastAsia" w:ascii="Times New Roman" w:hAnsi="Times New Roman" w:eastAsia="仿宋_GB2312" w:cs="Times New Roman"/>
          <w:sz w:val="32"/>
          <w:szCs w:val="32"/>
        </w:rPr>
        <w:t>.社会保障和就业支出</w:t>
      </w:r>
      <w:r>
        <w:rPr>
          <w:rFonts w:hint="eastAsia" w:ascii="Times New Roman" w:hAnsi="Times New Roman" w:eastAsia="仿宋_GB2312" w:cs="Times New Roman"/>
          <w:sz w:val="32"/>
          <w:szCs w:val="32"/>
          <w:lang w:val="en-US" w:eastAsia="zh-CN"/>
        </w:rPr>
        <w:t>208</w:t>
      </w:r>
      <w:r>
        <w:rPr>
          <w:rFonts w:hint="eastAsia" w:ascii="Times New Roman" w:hAnsi="Times New Roman" w:eastAsia="仿宋_GB2312" w:cs="Times New Roman"/>
          <w:sz w:val="32"/>
          <w:szCs w:val="32"/>
        </w:rPr>
        <w:t>（类）行政事业单位养老支出</w:t>
      </w:r>
      <w:r>
        <w:rPr>
          <w:rFonts w:hint="eastAsia" w:ascii="Times New Roman" w:hAnsi="Times New Roman" w:eastAsia="仿宋_GB2312" w:cs="Times New Roman"/>
          <w:sz w:val="32"/>
          <w:szCs w:val="32"/>
          <w:lang w:val="en-US" w:eastAsia="zh-CN"/>
        </w:rPr>
        <w:t>05</w:t>
      </w:r>
      <w:r>
        <w:rPr>
          <w:rFonts w:hint="eastAsia" w:ascii="Times New Roman" w:hAnsi="Times New Roman" w:eastAsia="仿宋_GB2312" w:cs="Times New Roman"/>
          <w:sz w:val="32"/>
          <w:szCs w:val="32"/>
        </w:rPr>
        <w:t>（款）事业单位离退休费</w:t>
      </w:r>
      <w:r>
        <w:rPr>
          <w:rFonts w:hint="eastAsia" w:ascii="Times New Roman" w:hAnsi="Times New Roman" w:eastAsia="仿宋_GB2312" w:cs="Times New Roman"/>
          <w:sz w:val="32"/>
          <w:szCs w:val="32"/>
          <w:lang w:val="en-US" w:eastAsia="zh-CN"/>
        </w:rPr>
        <w:t>02</w:t>
      </w:r>
      <w:r>
        <w:rPr>
          <w:rFonts w:hint="eastAsia" w:ascii="Times New Roman" w:hAnsi="Times New Roman" w:eastAsia="仿宋_GB2312" w:cs="Times New Roman"/>
          <w:sz w:val="32"/>
          <w:szCs w:val="32"/>
        </w:rPr>
        <w:t>（项）：反映事业单位开支的离退休经费。</w:t>
      </w:r>
    </w:p>
    <w:p w14:paraId="094FFB35">
      <w:pPr>
        <w:spacing w:line="576" w:lineRule="exact"/>
        <w:ind w:firstLine="640"/>
        <w:rPr>
          <w:rFonts w:hint="eastAsia"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en-US" w:eastAsia="zh-CN"/>
        </w:rPr>
        <w:t>12</w:t>
      </w:r>
      <w:r>
        <w:rPr>
          <w:rFonts w:hint="eastAsia" w:ascii="Times New Roman" w:hAnsi="Times New Roman" w:eastAsia="仿宋_GB2312" w:cs="Times New Roman"/>
          <w:sz w:val="32"/>
          <w:szCs w:val="32"/>
          <w:lang w:val="zh-CN"/>
        </w:rPr>
        <w:t>.社会保障和就业支出</w:t>
      </w:r>
      <w:r>
        <w:rPr>
          <w:rFonts w:hint="eastAsia" w:ascii="Times New Roman" w:hAnsi="Times New Roman" w:eastAsia="仿宋_GB2312" w:cs="Times New Roman"/>
          <w:sz w:val="32"/>
          <w:szCs w:val="32"/>
          <w:lang w:val="en-US" w:eastAsia="zh-CN"/>
        </w:rPr>
        <w:t>208</w:t>
      </w:r>
      <w:r>
        <w:rPr>
          <w:rFonts w:hint="eastAsia" w:ascii="Times New Roman" w:hAnsi="Times New Roman" w:eastAsia="仿宋_GB2312" w:cs="Times New Roman"/>
          <w:sz w:val="32"/>
          <w:szCs w:val="32"/>
          <w:lang w:val="zh-CN"/>
        </w:rPr>
        <w:t>（类）</w:t>
      </w:r>
      <w:r>
        <w:rPr>
          <w:rFonts w:hint="eastAsia" w:ascii="Times New Roman" w:hAnsi="Times New Roman" w:eastAsia="仿宋_GB2312" w:cs="Times New Roman"/>
          <w:sz w:val="32"/>
          <w:szCs w:val="32"/>
        </w:rPr>
        <w:t>行政事业单位养老支出</w:t>
      </w:r>
      <w:r>
        <w:rPr>
          <w:rFonts w:hint="eastAsia" w:ascii="Times New Roman" w:hAnsi="Times New Roman" w:eastAsia="仿宋_GB2312" w:cs="Times New Roman"/>
          <w:sz w:val="32"/>
          <w:szCs w:val="32"/>
          <w:lang w:val="en-US" w:eastAsia="zh-CN"/>
        </w:rPr>
        <w:t>05</w:t>
      </w:r>
      <w:r>
        <w:rPr>
          <w:rFonts w:hint="eastAsia" w:ascii="Times New Roman" w:hAnsi="Times New Roman" w:eastAsia="仿宋_GB2312" w:cs="Times New Roman"/>
          <w:sz w:val="32"/>
          <w:szCs w:val="32"/>
          <w:lang w:val="zh-CN"/>
        </w:rPr>
        <w:t>（款）机关事业单位</w:t>
      </w:r>
      <w:r>
        <w:rPr>
          <w:rFonts w:hint="eastAsia" w:ascii="Times New Roman" w:hAnsi="Times New Roman" w:eastAsia="仿宋_GB2312" w:cs="Times New Roman"/>
          <w:sz w:val="32"/>
          <w:szCs w:val="32"/>
          <w:lang w:val="en-US" w:eastAsia="zh-CN"/>
        </w:rPr>
        <w:t>基本</w:t>
      </w:r>
      <w:r>
        <w:rPr>
          <w:rFonts w:hint="eastAsia" w:ascii="Times New Roman" w:hAnsi="Times New Roman" w:eastAsia="仿宋_GB2312" w:cs="Times New Roman"/>
          <w:sz w:val="32"/>
          <w:szCs w:val="32"/>
          <w:lang w:val="zh-CN"/>
        </w:rPr>
        <w:t>养老保险缴费支出</w:t>
      </w:r>
      <w:r>
        <w:rPr>
          <w:rFonts w:hint="eastAsia" w:ascii="Times New Roman" w:hAnsi="Times New Roman" w:eastAsia="仿宋_GB2312" w:cs="Times New Roman"/>
          <w:sz w:val="32"/>
          <w:szCs w:val="32"/>
          <w:lang w:val="en-US" w:eastAsia="zh-CN"/>
        </w:rPr>
        <w:t>05</w:t>
      </w:r>
      <w:r>
        <w:rPr>
          <w:rFonts w:hint="eastAsia" w:ascii="Times New Roman" w:hAnsi="Times New Roman" w:eastAsia="仿宋_GB2312" w:cs="Times New Roman"/>
          <w:sz w:val="32"/>
          <w:szCs w:val="32"/>
          <w:lang w:val="zh-CN"/>
        </w:rPr>
        <w:t>（项）：反映</w:t>
      </w:r>
      <w:r>
        <w:rPr>
          <w:rFonts w:hint="eastAsia" w:ascii="Times New Roman" w:hAnsi="Times New Roman" w:eastAsia="仿宋_GB2312" w:cs="Times New Roman"/>
          <w:sz w:val="32"/>
          <w:szCs w:val="32"/>
          <w:lang w:val="en-US" w:eastAsia="zh-CN"/>
        </w:rPr>
        <w:t>机关事业单位实施养老保险制度由单位缴纳的基本养老保险费支出</w:t>
      </w:r>
      <w:r>
        <w:rPr>
          <w:rFonts w:hint="eastAsia" w:ascii="Times New Roman" w:hAnsi="Times New Roman" w:eastAsia="仿宋_GB2312" w:cs="Times New Roman"/>
          <w:sz w:val="32"/>
          <w:szCs w:val="32"/>
          <w:lang w:val="zh-CN"/>
        </w:rPr>
        <w:t>。</w:t>
      </w:r>
    </w:p>
    <w:p w14:paraId="6DBE3C09">
      <w:pPr>
        <w:spacing w:line="576" w:lineRule="exact"/>
        <w:ind w:firstLine="640"/>
        <w:rPr>
          <w:rFonts w:hint="eastAsia"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en-US" w:eastAsia="zh-CN"/>
        </w:rPr>
        <w:t>13</w:t>
      </w:r>
      <w:r>
        <w:rPr>
          <w:rFonts w:hint="eastAsia" w:ascii="Times New Roman" w:hAnsi="Times New Roman" w:eastAsia="仿宋_GB2312" w:cs="Times New Roman"/>
          <w:sz w:val="32"/>
          <w:szCs w:val="32"/>
          <w:lang w:val="zh-CN"/>
        </w:rPr>
        <w:t>.社会保障和就业支出</w:t>
      </w:r>
      <w:r>
        <w:rPr>
          <w:rFonts w:hint="eastAsia" w:ascii="Times New Roman" w:hAnsi="Times New Roman" w:eastAsia="仿宋_GB2312" w:cs="Times New Roman"/>
          <w:sz w:val="32"/>
          <w:szCs w:val="32"/>
          <w:lang w:val="en-US" w:eastAsia="zh-CN"/>
        </w:rPr>
        <w:t>208</w:t>
      </w:r>
      <w:r>
        <w:rPr>
          <w:rFonts w:hint="eastAsia" w:ascii="Times New Roman" w:hAnsi="Times New Roman" w:eastAsia="仿宋_GB2312" w:cs="Times New Roman"/>
          <w:sz w:val="32"/>
          <w:szCs w:val="32"/>
          <w:lang w:val="zh-CN"/>
        </w:rPr>
        <w:t>（类）</w:t>
      </w:r>
      <w:r>
        <w:rPr>
          <w:rFonts w:hint="eastAsia" w:ascii="Times New Roman" w:hAnsi="Times New Roman" w:eastAsia="仿宋_GB2312" w:cs="Times New Roman"/>
          <w:sz w:val="32"/>
          <w:szCs w:val="32"/>
        </w:rPr>
        <w:t>行政事业单位养老支出</w:t>
      </w:r>
      <w:r>
        <w:rPr>
          <w:rFonts w:hint="eastAsia" w:ascii="Times New Roman" w:hAnsi="Times New Roman" w:eastAsia="仿宋_GB2312" w:cs="Times New Roman"/>
          <w:sz w:val="32"/>
          <w:szCs w:val="32"/>
          <w:lang w:val="en-US" w:eastAsia="zh-CN"/>
        </w:rPr>
        <w:t>05</w:t>
      </w:r>
      <w:r>
        <w:rPr>
          <w:rFonts w:hint="eastAsia" w:ascii="Times New Roman" w:hAnsi="Times New Roman" w:eastAsia="仿宋_GB2312" w:cs="Times New Roman"/>
          <w:sz w:val="32"/>
          <w:szCs w:val="32"/>
          <w:lang w:val="zh-CN"/>
        </w:rPr>
        <w:t>（款）机关事业单位职业年金经</w:t>
      </w:r>
      <w:r>
        <w:rPr>
          <w:rFonts w:hint="eastAsia" w:ascii="Times New Roman" w:hAnsi="Times New Roman" w:eastAsia="仿宋_GB2312" w:cs="Times New Roman"/>
          <w:sz w:val="32"/>
          <w:szCs w:val="32"/>
          <w:lang w:val="en-US" w:eastAsia="zh-CN"/>
        </w:rPr>
        <w:t>缴</w:t>
      </w:r>
      <w:r>
        <w:rPr>
          <w:rFonts w:hint="eastAsia" w:ascii="Times New Roman" w:hAnsi="Times New Roman" w:eastAsia="仿宋_GB2312" w:cs="Times New Roman"/>
          <w:sz w:val="32"/>
          <w:szCs w:val="32"/>
          <w:lang w:val="zh-CN"/>
        </w:rPr>
        <w:t>费支出</w:t>
      </w:r>
      <w:r>
        <w:rPr>
          <w:rFonts w:hint="eastAsia" w:ascii="Times New Roman" w:hAnsi="Times New Roman" w:eastAsia="仿宋_GB2312" w:cs="Times New Roman"/>
          <w:sz w:val="32"/>
          <w:szCs w:val="32"/>
          <w:lang w:val="en-US" w:eastAsia="zh-CN"/>
        </w:rPr>
        <w:t>06</w:t>
      </w:r>
      <w:r>
        <w:rPr>
          <w:rFonts w:hint="eastAsia" w:ascii="Times New Roman" w:hAnsi="Times New Roman" w:eastAsia="仿宋_GB2312" w:cs="Times New Roman"/>
          <w:sz w:val="32"/>
          <w:szCs w:val="32"/>
          <w:lang w:val="zh-CN"/>
        </w:rPr>
        <w:t>（项）：反映</w:t>
      </w:r>
      <w:r>
        <w:rPr>
          <w:rFonts w:hint="eastAsia" w:ascii="Times New Roman" w:hAnsi="Times New Roman" w:eastAsia="仿宋_GB2312" w:cs="Times New Roman"/>
          <w:sz w:val="32"/>
          <w:szCs w:val="32"/>
          <w:lang w:val="en-US" w:eastAsia="zh-CN"/>
        </w:rPr>
        <w:t>机关事业单位实施养老保险制度由单位实际缴纳的职业年金支出</w:t>
      </w:r>
      <w:r>
        <w:rPr>
          <w:rFonts w:hint="eastAsia" w:ascii="Times New Roman" w:hAnsi="Times New Roman" w:eastAsia="仿宋_GB2312" w:cs="Times New Roman"/>
          <w:sz w:val="32"/>
          <w:szCs w:val="32"/>
          <w:lang w:val="zh-CN"/>
        </w:rPr>
        <w:t>。</w:t>
      </w:r>
    </w:p>
    <w:p w14:paraId="3F85AB77">
      <w:pPr>
        <w:spacing w:line="576" w:lineRule="exact"/>
        <w:ind w:firstLine="640"/>
        <w:rPr>
          <w:rFonts w:hint="eastAsia"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en-US" w:eastAsia="zh-CN"/>
        </w:rPr>
        <w:t>14</w:t>
      </w:r>
      <w:r>
        <w:rPr>
          <w:rFonts w:hint="eastAsia" w:ascii="Times New Roman" w:hAnsi="Times New Roman" w:eastAsia="仿宋_GB2312" w:cs="Times New Roman"/>
          <w:sz w:val="32"/>
          <w:szCs w:val="32"/>
          <w:lang w:val="zh-CN"/>
        </w:rPr>
        <w:t>.卫生健康支出</w:t>
      </w:r>
      <w:r>
        <w:rPr>
          <w:rFonts w:hint="eastAsia" w:ascii="Times New Roman" w:hAnsi="Times New Roman" w:eastAsia="仿宋_GB2312" w:cs="Times New Roman"/>
          <w:sz w:val="32"/>
          <w:szCs w:val="32"/>
          <w:lang w:val="en-US" w:eastAsia="zh-CN"/>
        </w:rPr>
        <w:t>210</w:t>
      </w:r>
      <w:r>
        <w:rPr>
          <w:rFonts w:hint="eastAsia" w:ascii="Times New Roman" w:hAnsi="Times New Roman" w:eastAsia="仿宋_GB2312" w:cs="Times New Roman"/>
          <w:sz w:val="32"/>
          <w:szCs w:val="32"/>
          <w:lang w:val="zh-CN"/>
        </w:rPr>
        <w:t>（类）</w:t>
      </w:r>
      <w:r>
        <w:rPr>
          <w:rFonts w:hint="eastAsia" w:ascii="Times New Roman" w:hAnsi="Times New Roman" w:eastAsia="仿宋_GB2312" w:cs="Times New Roman"/>
          <w:sz w:val="32"/>
          <w:szCs w:val="32"/>
        </w:rPr>
        <w:t>行政事业单位医疗</w:t>
      </w:r>
      <w:r>
        <w:rPr>
          <w:rFonts w:hint="eastAsia" w:ascii="Times New Roman" w:hAnsi="Times New Roman" w:eastAsia="仿宋_GB2312" w:cs="Times New Roman"/>
          <w:sz w:val="32"/>
          <w:szCs w:val="32"/>
          <w:lang w:val="en-US" w:eastAsia="zh-CN"/>
        </w:rPr>
        <w:t>11</w:t>
      </w:r>
      <w:r>
        <w:rPr>
          <w:rFonts w:hint="eastAsia" w:ascii="Times New Roman" w:hAnsi="Times New Roman" w:eastAsia="仿宋_GB2312" w:cs="Times New Roman"/>
          <w:sz w:val="32"/>
          <w:szCs w:val="32"/>
          <w:lang w:val="zh-CN"/>
        </w:rPr>
        <w:t>（款）</w:t>
      </w:r>
      <w:r>
        <w:rPr>
          <w:rFonts w:hint="eastAsia" w:ascii="Times New Roman" w:hAnsi="Times New Roman" w:eastAsia="仿宋_GB2312" w:cs="Times New Roman"/>
          <w:sz w:val="32"/>
          <w:szCs w:val="32"/>
        </w:rPr>
        <w:t>事业单位医疗</w:t>
      </w:r>
      <w:r>
        <w:rPr>
          <w:rFonts w:hint="eastAsia" w:ascii="Times New Roman" w:hAnsi="Times New Roman" w:eastAsia="仿宋_GB2312" w:cs="Times New Roman"/>
          <w:sz w:val="32"/>
          <w:szCs w:val="32"/>
          <w:lang w:val="en-US" w:eastAsia="zh-CN"/>
        </w:rPr>
        <w:t>02</w:t>
      </w:r>
      <w:r>
        <w:rPr>
          <w:rFonts w:hint="eastAsia" w:ascii="Times New Roman" w:hAnsi="Times New Roman" w:eastAsia="仿宋_GB2312" w:cs="Times New Roman"/>
          <w:sz w:val="32"/>
          <w:szCs w:val="32"/>
          <w:lang w:val="zh-CN"/>
        </w:rPr>
        <w:t>（项）：反映财政部门安排的事业单位基本医疗保险缴费经费，未参加医疗保险的事业单位的公费医疗经费，按国家规定享受离休人员待遇的医疗经费。</w:t>
      </w:r>
    </w:p>
    <w:p w14:paraId="02E82530">
      <w:pPr>
        <w:spacing w:line="576" w:lineRule="exact"/>
        <w:ind w:firstLine="640"/>
        <w:rPr>
          <w:rFonts w:hint="eastAsia"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zh-CN"/>
        </w:rPr>
        <w:t>1</w:t>
      </w:r>
      <w:r>
        <w:rPr>
          <w:rFonts w:hint="eastAsia" w:ascii="Times New Roman" w:hAnsi="Times New Roman" w:eastAsia="仿宋_GB2312" w:cs="Times New Roman"/>
          <w:sz w:val="32"/>
          <w:szCs w:val="32"/>
          <w:lang w:val="en-US" w:eastAsia="zh-CN"/>
        </w:rPr>
        <w:t>6</w:t>
      </w:r>
      <w:r>
        <w:rPr>
          <w:rFonts w:hint="eastAsia" w:ascii="Times New Roman" w:hAnsi="Times New Roman" w:eastAsia="仿宋_GB2312" w:cs="Times New Roman"/>
          <w:sz w:val="32"/>
          <w:szCs w:val="32"/>
          <w:lang w:val="zh-CN"/>
        </w:rPr>
        <w:t>.卫生健康支出</w:t>
      </w:r>
      <w:r>
        <w:rPr>
          <w:rFonts w:hint="eastAsia" w:ascii="Times New Roman" w:hAnsi="Times New Roman" w:eastAsia="仿宋_GB2312" w:cs="Times New Roman"/>
          <w:sz w:val="32"/>
          <w:szCs w:val="32"/>
          <w:lang w:val="en-US" w:eastAsia="zh-CN"/>
        </w:rPr>
        <w:t>210</w:t>
      </w:r>
      <w:r>
        <w:rPr>
          <w:rFonts w:hint="eastAsia" w:ascii="Times New Roman" w:hAnsi="Times New Roman" w:eastAsia="仿宋_GB2312" w:cs="Times New Roman"/>
          <w:sz w:val="32"/>
          <w:szCs w:val="32"/>
          <w:lang w:val="zh-CN"/>
        </w:rPr>
        <w:t>（类）</w:t>
      </w:r>
      <w:r>
        <w:rPr>
          <w:rFonts w:hint="eastAsia" w:ascii="Times New Roman" w:hAnsi="Times New Roman" w:eastAsia="仿宋_GB2312" w:cs="Times New Roman"/>
          <w:sz w:val="32"/>
          <w:szCs w:val="32"/>
        </w:rPr>
        <w:t>行政事业单位医疗</w:t>
      </w:r>
      <w:r>
        <w:rPr>
          <w:rFonts w:hint="eastAsia" w:ascii="Times New Roman" w:hAnsi="Times New Roman" w:eastAsia="仿宋_GB2312" w:cs="Times New Roman"/>
          <w:sz w:val="32"/>
          <w:szCs w:val="32"/>
          <w:lang w:val="en-US" w:eastAsia="zh-CN"/>
        </w:rPr>
        <w:t>11</w:t>
      </w:r>
      <w:r>
        <w:rPr>
          <w:rFonts w:hint="eastAsia" w:ascii="Times New Roman" w:hAnsi="Times New Roman" w:eastAsia="仿宋_GB2312" w:cs="Times New Roman"/>
          <w:sz w:val="32"/>
          <w:szCs w:val="32"/>
          <w:lang w:val="zh-CN"/>
        </w:rPr>
        <w:t>（款）其他行政事业单位医疗支出</w:t>
      </w:r>
      <w:r>
        <w:rPr>
          <w:rFonts w:hint="eastAsia" w:ascii="Times New Roman" w:hAnsi="Times New Roman" w:eastAsia="仿宋_GB2312" w:cs="Times New Roman"/>
          <w:sz w:val="32"/>
          <w:szCs w:val="32"/>
          <w:lang w:val="en-US" w:eastAsia="zh-CN"/>
        </w:rPr>
        <w:t>99</w:t>
      </w:r>
      <w:r>
        <w:rPr>
          <w:rFonts w:hint="eastAsia" w:ascii="Times New Roman" w:hAnsi="Times New Roman" w:eastAsia="仿宋_GB2312" w:cs="Times New Roman"/>
          <w:sz w:val="32"/>
          <w:szCs w:val="32"/>
          <w:lang w:val="zh-CN"/>
        </w:rPr>
        <w:t>（项）：反映除上述项目以外的其他用于行政事业单位医疗方面的支出。</w:t>
      </w:r>
    </w:p>
    <w:p w14:paraId="625BAC8E">
      <w:pPr>
        <w:spacing w:line="576" w:lineRule="exact"/>
        <w:ind w:firstLine="640"/>
        <w:rPr>
          <w:rFonts w:hint="eastAsia"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zh-CN"/>
        </w:rPr>
        <w:t>1</w:t>
      </w:r>
      <w:r>
        <w:rPr>
          <w:rFonts w:hint="eastAsia" w:ascii="Times New Roman" w:hAnsi="Times New Roman" w:eastAsia="仿宋_GB2312" w:cs="Times New Roman"/>
          <w:sz w:val="32"/>
          <w:szCs w:val="32"/>
          <w:lang w:val="en-US" w:eastAsia="zh-CN"/>
        </w:rPr>
        <w:t>7</w:t>
      </w:r>
      <w:r>
        <w:rPr>
          <w:rFonts w:hint="eastAsia" w:ascii="Times New Roman" w:hAnsi="Times New Roman" w:eastAsia="仿宋_GB2312" w:cs="Times New Roman"/>
          <w:sz w:val="32"/>
          <w:szCs w:val="32"/>
          <w:lang w:val="zh-CN"/>
        </w:rPr>
        <w:t>. 住房保障</w:t>
      </w:r>
      <w:r>
        <w:rPr>
          <w:rFonts w:hint="eastAsia" w:ascii="Times New Roman" w:hAnsi="Times New Roman" w:eastAsia="仿宋_GB2312" w:cs="Times New Roman"/>
          <w:sz w:val="32"/>
          <w:szCs w:val="32"/>
          <w:lang w:val="en-US" w:eastAsia="zh-CN"/>
        </w:rPr>
        <w:t>支出221</w:t>
      </w:r>
      <w:r>
        <w:rPr>
          <w:rFonts w:hint="eastAsia" w:ascii="Times New Roman" w:hAnsi="Times New Roman" w:eastAsia="仿宋_GB2312" w:cs="Times New Roman"/>
          <w:sz w:val="32"/>
          <w:szCs w:val="32"/>
          <w:lang w:val="zh-CN"/>
        </w:rPr>
        <w:t>（类）住房改革支出</w:t>
      </w:r>
      <w:r>
        <w:rPr>
          <w:rFonts w:hint="eastAsia" w:ascii="Times New Roman" w:hAnsi="Times New Roman" w:eastAsia="仿宋_GB2312" w:cs="Times New Roman"/>
          <w:sz w:val="32"/>
          <w:szCs w:val="32"/>
          <w:lang w:val="en-US" w:eastAsia="zh-CN"/>
        </w:rPr>
        <w:t>02</w:t>
      </w:r>
      <w:r>
        <w:rPr>
          <w:rFonts w:hint="eastAsia" w:ascii="Times New Roman" w:hAnsi="Times New Roman" w:eastAsia="仿宋_GB2312" w:cs="Times New Roman"/>
          <w:sz w:val="32"/>
          <w:szCs w:val="32"/>
          <w:lang w:val="zh-CN"/>
        </w:rPr>
        <w:t>（款）住房公积金</w:t>
      </w:r>
      <w:r>
        <w:rPr>
          <w:rFonts w:hint="eastAsia" w:ascii="Times New Roman" w:hAnsi="Times New Roman" w:eastAsia="仿宋_GB2312" w:cs="Times New Roman"/>
          <w:sz w:val="32"/>
          <w:szCs w:val="32"/>
          <w:lang w:val="en-US" w:eastAsia="zh-CN"/>
        </w:rPr>
        <w:t>01</w:t>
      </w:r>
      <w:r>
        <w:rPr>
          <w:rFonts w:hint="eastAsia" w:ascii="Times New Roman" w:hAnsi="Times New Roman" w:eastAsia="仿宋_GB2312" w:cs="Times New Roman"/>
          <w:sz w:val="32"/>
          <w:szCs w:val="32"/>
          <w:lang w:val="zh-CN"/>
        </w:rPr>
        <w:t>（项）：反映</w:t>
      </w:r>
      <w:r>
        <w:rPr>
          <w:rFonts w:hint="eastAsia" w:ascii="Times New Roman" w:hAnsi="Times New Roman" w:eastAsia="仿宋_GB2312" w:cs="Times New Roman"/>
          <w:sz w:val="32"/>
          <w:szCs w:val="32"/>
          <w:lang w:val="en-US" w:eastAsia="zh-CN"/>
        </w:rPr>
        <w:t>行政事业单位按人力资源和社会保障部财政部规定的基本工资和津贴补贴以及规定比例为职工缴纳的住房公积金。</w:t>
      </w:r>
    </w:p>
    <w:p w14:paraId="41A0F49F">
      <w:pPr>
        <w:spacing w:line="576" w:lineRule="exact"/>
        <w:ind w:firstLine="640"/>
        <w:rPr>
          <w:rFonts w:hint="eastAsia"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en-US" w:eastAsia="zh-CN"/>
        </w:rPr>
        <w:t>18</w:t>
      </w:r>
      <w:r>
        <w:rPr>
          <w:rFonts w:hint="eastAsia" w:ascii="Times New Roman" w:hAnsi="Times New Roman" w:eastAsia="仿宋_GB2312" w:cs="Times New Roman"/>
          <w:sz w:val="32"/>
          <w:szCs w:val="32"/>
          <w:lang w:val="zh-CN"/>
        </w:rPr>
        <w:t>.基本支出：指为保障机构正常运转、完成日常工作任务而发生的人员支出和公用支出。</w:t>
      </w:r>
    </w:p>
    <w:p w14:paraId="798DA734">
      <w:pPr>
        <w:spacing w:line="576" w:lineRule="exact"/>
        <w:ind w:firstLine="640"/>
        <w:rPr>
          <w:rFonts w:hint="eastAsia"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en-US" w:eastAsia="zh-CN"/>
        </w:rPr>
        <w:t>19</w:t>
      </w:r>
      <w:r>
        <w:rPr>
          <w:rFonts w:hint="eastAsia" w:ascii="Times New Roman" w:hAnsi="Times New Roman" w:eastAsia="仿宋_GB2312" w:cs="Times New Roman"/>
          <w:sz w:val="32"/>
          <w:szCs w:val="32"/>
          <w:lang w:val="zh-CN"/>
        </w:rPr>
        <w:t>.项目支出：指在基本支出之外为完成特定行政任务和事业发展目标所发生的支出。</w:t>
      </w:r>
    </w:p>
    <w:p w14:paraId="6DE2C95C">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zh-CN"/>
        </w:rPr>
        <w:t>2</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lang w:val="zh-CN"/>
        </w:rPr>
        <w:t>.经营支出：指事业单位在专业业务活动及其辅助活动之外开展非独立核算经营活动发生的支出。</w:t>
      </w:r>
    </w:p>
    <w:p w14:paraId="7EBD5A82">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三公”经费：指单位用财政拨款安排的因公出国（境）费、公务用车购置及运行维护费和公务接待费。其中，因公出国（境）费反映单位公务出国（境）的国际旅费、国外城市间交通费、住宿费、伙食费、培训费、公杂费等支出；公务用车购置反映单位公务用车购置支出（含车辆购置税、牌照费）；公务用车运行维护费反映单位按规定保留的公务用车燃料费、维修费、过桥过路费、保险费、安全奖励费用等支出；公务接待费反映单位按规定开支的各类公务接待（含外宾接待）费用。</w:t>
      </w:r>
    </w:p>
    <w:p w14:paraId="06287DE0">
      <w:pPr>
        <w:spacing w:line="576"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rPr>
        <w:t>. 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A31E076">
      <w:pPr>
        <w:spacing w:line="576" w:lineRule="exact"/>
        <w:ind w:firstLine="640"/>
        <w:rPr>
          <w:rFonts w:hint="eastAsia" w:ascii="Times New Roman" w:hAnsi="Times New Roman" w:eastAsia="仿宋_GB2312" w:cs="Times New Roman"/>
          <w:sz w:val="32"/>
          <w:szCs w:val="32"/>
        </w:rPr>
      </w:pPr>
    </w:p>
    <w:p w14:paraId="0F4F9CF6">
      <w:pPr>
        <w:spacing w:line="576" w:lineRule="exact"/>
        <w:ind w:firstLine="640"/>
        <w:rPr>
          <w:rFonts w:hint="eastAsia" w:ascii="Times New Roman" w:hAnsi="Times New Roman" w:eastAsia="仿宋_GB2312" w:cs="Times New Roman"/>
          <w:sz w:val="32"/>
          <w:szCs w:val="32"/>
        </w:rPr>
      </w:pPr>
    </w:p>
    <w:p w14:paraId="36371EA1">
      <w:pPr>
        <w:spacing w:line="576" w:lineRule="exact"/>
        <w:ind w:firstLine="640"/>
        <w:rPr>
          <w:rFonts w:hint="eastAsia" w:ascii="Times New Roman" w:hAnsi="Times New Roman" w:eastAsia="仿宋_GB2312" w:cs="Times New Roman"/>
          <w:sz w:val="32"/>
          <w:szCs w:val="32"/>
        </w:rPr>
      </w:pPr>
    </w:p>
    <w:p w14:paraId="460C7AB5">
      <w:pPr>
        <w:spacing w:line="576" w:lineRule="exact"/>
        <w:ind w:firstLine="640"/>
        <w:rPr>
          <w:rFonts w:hint="eastAsia" w:ascii="Times New Roman" w:hAnsi="Times New Roman" w:eastAsia="仿宋_GB2312" w:cs="Times New Roman"/>
          <w:sz w:val="32"/>
          <w:szCs w:val="32"/>
        </w:rPr>
      </w:pPr>
    </w:p>
    <w:p w14:paraId="0D7CBF74">
      <w:pPr>
        <w:spacing w:line="576" w:lineRule="exact"/>
        <w:ind w:firstLine="640"/>
        <w:rPr>
          <w:rFonts w:hint="eastAsia" w:ascii="Times New Roman" w:hAnsi="Times New Roman" w:eastAsia="仿宋_GB2312" w:cs="Times New Roman"/>
          <w:sz w:val="32"/>
          <w:szCs w:val="32"/>
        </w:rPr>
      </w:pPr>
    </w:p>
    <w:p w14:paraId="6011AD30">
      <w:pPr>
        <w:spacing w:line="576" w:lineRule="exact"/>
        <w:ind w:firstLine="640"/>
        <w:rPr>
          <w:rFonts w:hint="eastAsia" w:ascii="Times New Roman" w:hAnsi="Times New Roman" w:eastAsia="仿宋_GB2312" w:cs="Times New Roman"/>
          <w:sz w:val="32"/>
          <w:szCs w:val="32"/>
        </w:rPr>
      </w:pPr>
    </w:p>
    <w:p w14:paraId="6FC7142D">
      <w:pPr>
        <w:spacing w:line="600" w:lineRule="exact"/>
        <w:jc w:val="center"/>
        <w:outlineLvl w:val="9"/>
        <w:rPr>
          <w:rFonts w:hint="eastAsia" w:ascii="黑体" w:hAnsi="黑体" w:eastAsia="黑体"/>
          <w:sz w:val="44"/>
          <w:szCs w:val="44"/>
        </w:rPr>
      </w:pPr>
    </w:p>
    <w:p w14:paraId="1B695647">
      <w:pPr>
        <w:spacing w:line="600" w:lineRule="exact"/>
        <w:jc w:val="center"/>
        <w:outlineLvl w:val="0"/>
        <w:rPr>
          <w:rStyle w:val="27"/>
          <w:rFonts w:ascii="黑体" w:hAnsi="黑体" w:eastAsia="黑体"/>
          <w:b w:val="0"/>
        </w:rPr>
      </w:pPr>
      <w:bookmarkStart w:id="76" w:name="_Toc18038"/>
      <w:r>
        <w:rPr>
          <w:rFonts w:hint="eastAsia" w:ascii="黑体" w:hAnsi="黑体" w:eastAsia="黑体"/>
          <w:sz w:val="44"/>
          <w:szCs w:val="44"/>
        </w:rPr>
        <w:t>第</w:t>
      </w:r>
      <w:r>
        <w:rPr>
          <w:rStyle w:val="27"/>
          <w:rFonts w:hint="eastAsia" w:ascii="黑体" w:hAnsi="黑体" w:eastAsia="黑体"/>
          <w:b w:val="0"/>
        </w:rPr>
        <w:t>四部分 附件</w:t>
      </w:r>
      <w:bookmarkEnd w:id="73"/>
      <w:bookmarkEnd w:id="76"/>
    </w:p>
    <w:p w14:paraId="374F93D6">
      <w:pPr>
        <w:spacing w:line="572" w:lineRule="exact"/>
        <w:jc w:val="left"/>
        <w:outlineLvl w:val="9"/>
        <w:rPr>
          <w:rFonts w:ascii="仿宋_GB2312" w:hAnsi="仿宋_GB2312" w:eastAsia="仿宋_GB2312" w:cs="仿宋_GB2312"/>
          <w:sz w:val="32"/>
          <w:szCs w:val="32"/>
        </w:rPr>
      </w:pPr>
      <w:bookmarkStart w:id="77" w:name="_Toc12417"/>
      <w:bookmarkStart w:id="78" w:name="_Toc24751"/>
      <w:bookmarkStart w:id="79" w:name="_Toc9820"/>
      <w:r>
        <w:rPr>
          <w:rFonts w:hint="default" w:ascii="Times New Roman" w:hAnsi="Times New Roman" w:eastAsia="楷体_GB2312" w:cs="Times New Roman"/>
          <w:sz w:val="32"/>
          <w:szCs w:val="32"/>
        </w:rPr>
        <w:t>部门预算项目支出绩效自评表（2023年度）</w:t>
      </w:r>
      <w:r>
        <w:rPr>
          <w:rFonts w:hint="default" w:ascii="Times New Roman" w:hAnsi="Times New Roman" w:eastAsia="楷体_GB2312" w:cs="Times New Roman"/>
          <w:sz w:val="32"/>
          <w:szCs w:val="32"/>
          <w:lang w:eastAsia="zh-CN"/>
        </w:rPr>
        <w:t>见附件</w:t>
      </w:r>
      <w:bookmarkEnd w:id="77"/>
      <w:r>
        <w:rPr>
          <w:rFonts w:hint="default" w:ascii="Times New Roman" w:hAnsi="Times New Roman" w:eastAsia="楷体_GB2312" w:cs="Times New Roman"/>
          <w:sz w:val="32"/>
          <w:szCs w:val="32"/>
          <w:lang w:eastAsia="zh-CN"/>
        </w:rPr>
        <w:t>。</w:t>
      </w:r>
      <w:bookmarkEnd w:id="78"/>
      <w:bookmarkEnd w:id="79"/>
    </w:p>
    <w:p w14:paraId="41436564">
      <w:pPr>
        <w:pStyle w:val="5"/>
        <w:spacing w:before="93"/>
        <w:rPr>
          <w:rFonts w:hAnsi="Calibri" w:cs="仿宋"/>
          <w:sz w:val="32"/>
          <w:szCs w:val="32"/>
        </w:rPr>
      </w:pPr>
      <w:bookmarkStart w:id="80" w:name="_Toc15396618"/>
    </w:p>
    <w:p w14:paraId="5B20B6A3">
      <w:pPr>
        <w:spacing w:line="600" w:lineRule="exact"/>
        <w:jc w:val="center"/>
        <w:outlineLvl w:val="0"/>
        <w:rPr>
          <w:rStyle w:val="27"/>
          <w:rFonts w:hint="eastAsia" w:ascii="黑体" w:hAnsi="黑体" w:eastAsia="黑体"/>
          <w:b w:val="0"/>
        </w:rPr>
      </w:pPr>
      <w:bookmarkStart w:id="81" w:name="_Toc32144"/>
      <w:r>
        <w:rPr>
          <w:rFonts w:hint="eastAsia" w:ascii="黑体" w:hAnsi="黑体" w:eastAsia="黑体"/>
          <w:sz w:val="44"/>
          <w:szCs w:val="44"/>
        </w:rPr>
        <w:t>第</w:t>
      </w:r>
      <w:r>
        <w:rPr>
          <w:rStyle w:val="27"/>
          <w:rFonts w:hint="eastAsia" w:ascii="黑体" w:hAnsi="黑体" w:eastAsia="黑体"/>
          <w:b w:val="0"/>
        </w:rPr>
        <w:t>五部分 附表</w:t>
      </w:r>
      <w:bookmarkEnd w:id="74"/>
      <w:bookmarkEnd w:id="80"/>
      <w:bookmarkEnd w:id="81"/>
      <w:bookmarkStart w:id="82" w:name="_Toc15396619"/>
    </w:p>
    <w:p w14:paraId="50FDA840">
      <w:pPr>
        <w:spacing w:line="600" w:lineRule="exact"/>
        <w:jc w:val="center"/>
        <w:outlineLvl w:val="0"/>
        <w:rPr>
          <w:rStyle w:val="27"/>
          <w:rFonts w:hint="eastAsia" w:ascii="黑体" w:hAnsi="黑体" w:eastAsia="黑体"/>
          <w:b w:val="0"/>
        </w:rPr>
      </w:pPr>
    </w:p>
    <w:p w14:paraId="05CB043E">
      <w:pPr>
        <w:pStyle w:val="3"/>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黑体" w:hAnsi="黑体" w:eastAsia="黑体" w:cs="黑体"/>
        </w:rPr>
      </w:pPr>
      <w:bookmarkStart w:id="83" w:name="_Toc29378"/>
      <w:r>
        <w:rPr>
          <w:rFonts w:hint="eastAsia" w:ascii="黑体" w:hAnsi="黑体" w:eastAsia="黑体" w:cs="黑体"/>
          <w:b w:val="0"/>
          <w:lang w:val="en-US" w:eastAsia="zh-CN"/>
        </w:rPr>
        <w:t>一</w:t>
      </w:r>
      <w:r>
        <w:rPr>
          <w:rFonts w:hint="eastAsia" w:ascii="黑体" w:hAnsi="黑体" w:eastAsia="黑体" w:cs="黑体"/>
          <w:b w:val="0"/>
        </w:rPr>
        <w:t>、收</w:t>
      </w:r>
      <w:r>
        <w:rPr>
          <w:rStyle w:val="28"/>
          <w:rFonts w:hint="eastAsia" w:ascii="黑体" w:hAnsi="黑体" w:eastAsia="黑体" w:cs="黑体"/>
          <w:b w:val="0"/>
          <w:bCs w:val="0"/>
        </w:rPr>
        <w:t>入支出决算总表</w:t>
      </w:r>
      <w:bookmarkEnd w:id="82"/>
      <w:bookmarkEnd w:id="83"/>
    </w:p>
    <w:p w14:paraId="760E6107">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leftChars="0" w:firstLine="640" w:firstLineChars="200"/>
        <w:textAlignment w:val="auto"/>
        <w:rPr>
          <w:rFonts w:hint="eastAsia" w:ascii="黑体" w:hAnsi="黑体" w:eastAsia="黑体" w:cs="黑体"/>
        </w:rPr>
      </w:pPr>
      <w:bookmarkStart w:id="84" w:name="_Toc17480"/>
      <w:bookmarkStart w:id="85" w:name="_Toc15396620"/>
      <w:r>
        <w:rPr>
          <w:rFonts w:hint="eastAsia" w:ascii="黑体" w:hAnsi="黑体" w:eastAsia="黑体" w:cs="黑体"/>
          <w:b w:val="0"/>
          <w:lang w:val="en-US" w:eastAsia="zh-CN"/>
        </w:rPr>
        <w:t>二、</w:t>
      </w:r>
      <w:r>
        <w:rPr>
          <w:rFonts w:hint="eastAsia" w:ascii="黑体" w:hAnsi="黑体" w:eastAsia="黑体" w:cs="黑体"/>
          <w:b w:val="0"/>
        </w:rPr>
        <w:t>收</w:t>
      </w:r>
      <w:r>
        <w:rPr>
          <w:rStyle w:val="28"/>
          <w:rFonts w:hint="eastAsia" w:ascii="黑体" w:hAnsi="黑体" w:eastAsia="黑体" w:cs="黑体"/>
          <w:b w:val="0"/>
          <w:bCs w:val="0"/>
        </w:rPr>
        <w:t>入决算表</w:t>
      </w:r>
      <w:bookmarkEnd w:id="84"/>
      <w:bookmarkEnd w:id="85"/>
    </w:p>
    <w:p w14:paraId="36C143FD">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leftChars="0" w:firstLine="640" w:firstLineChars="200"/>
        <w:textAlignment w:val="auto"/>
        <w:rPr>
          <w:rFonts w:hint="eastAsia" w:ascii="黑体" w:hAnsi="黑体" w:eastAsia="黑体" w:cs="黑体"/>
        </w:rPr>
      </w:pPr>
      <w:bookmarkStart w:id="86" w:name="_Toc15396621"/>
      <w:bookmarkStart w:id="87" w:name="_Toc10006"/>
      <w:r>
        <w:rPr>
          <w:rFonts w:hint="eastAsia" w:ascii="黑体" w:hAnsi="黑体" w:eastAsia="黑体" w:cs="黑体"/>
          <w:b w:val="0"/>
          <w:lang w:val="en-US" w:eastAsia="zh-CN"/>
        </w:rPr>
        <w:t>三、</w:t>
      </w:r>
      <w:r>
        <w:rPr>
          <w:rFonts w:hint="eastAsia" w:ascii="黑体" w:hAnsi="黑体" w:eastAsia="黑体" w:cs="黑体"/>
          <w:b w:val="0"/>
        </w:rPr>
        <w:t>支</w:t>
      </w:r>
      <w:r>
        <w:rPr>
          <w:rStyle w:val="28"/>
          <w:rFonts w:hint="eastAsia" w:ascii="黑体" w:hAnsi="黑体" w:eastAsia="黑体" w:cs="黑体"/>
          <w:b w:val="0"/>
          <w:bCs w:val="0"/>
        </w:rPr>
        <w:t>出决算表</w:t>
      </w:r>
      <w:bookmarkEnd w:id="86"/>
      <w:bookmarkEnd w:id="87"/>
    </w:p>
    <w:p w14:paraId="3D00E298">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leftChars="0" w:firstLine="640" w:firstLineChars="200"/>
        <w:textAlignment w:val="auto"/>
        <w:rPr>
          <w:rFonts w:hint="eastAsia" w:ascii="黑体" w:hAnsi="黑体" w:eastAsia="黑体" w:cs="黑体"/>
        </w:rPr>
      </w:pPr>
      <w:bookmarkStart w:id="88" w:name="_Toc15396622"/>
      <w:bookmarkStart w:id="89" w:name="_Toc30844"/>
      <w:r>
        <w:rPr>
          <w:rFonts w:hint="eastAsia" w:ascii="黑体" w:hAnsi="黑体" w:eastAsia="黑体" w:cs="黑体"/>
          <w:b w:val="0"/>
          <w:lang w:val="en-US" w:eastAsia="zh-CN"/>
        </w:rPr>
        <w:t>四、</w:t>
      </w:r>
      <w:r>
        <w:rPr>
          <w:rFonts w:hint="eastAsia" w:ascii="黑体" w:hAnsi="黑体" w:eastAsia="黑体" w:cs="黑体"/>
          <w:b w:val="0"/>
        </w:rPr>
        <w:t>财</w:t>
      </w:r>
      <w:r>
        <w:rPr>
          <w:rStyle w:val="28"/>
          <w:rFonts w:hint="eastAsia" w:ascii="黑体" w:hAnsi="黑体" w:eastAsia="黑体" w:cs="黑体"/>
          <w:b w:val="0"/>
          <w:bCs w:val="0"/>
        </w:rPr>
        <w:t>政拨款收入支出决算总表</w:t>
      </w:r>
      <w:bookmarkEnd w:id="88"/>
      <w:bookmarkEnd w:id="89"/>
    </w:p>
    <w:p w14:paraId="4D662EAC">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leftChars="0" w:firstLine="640" w:firstLineChars="200"/>
        <w:textAlignment w:val="auto"/>
        <w:rPr>
          <w:rFonts w:hint="eastAsia" w:ascii="黑体" w:hAnsi="黑体" w:eastAsia="黑体" w:cs="黑体"/>
        </w:rPr>
      </w:pPr>
      <w:bookmarkStart w:id="90" w:name="_Toc15396623"/>
      <w:bookmarkStart w:id="91" w:name="_Toc22276"/>
      <w:r>
        <w:rPr>
          <w:rFonts w:hint="eastAsia" w:ascii="黑体" w:hAnsi="黑体" w:eastAsia="黑体" w:cs="黑体"/>
          <w:b w:val="0"/>
          <w:lang w:val="en-US" w:eastAsia="zh-CN"/>
        </w:rPr>
        <w:t>五、</w:t>
      </w:r>
      <w:r>
        <w:rPr>
          <w:rFonts w:hint="eastAsia" w:ascii="黑体" w:hAnsi="黑体" w:eastAsia="黑体" w:cs="黑体"/>
          <w:b w:val="0"/>
        </w:rPr>
        <w:t>财</w:t>
      </w:r>
      <w:r>
        <w:rPr>
          <w:rStyle w:val="28"/>
          <w:rFonts w:hint="eastAsia" w:ascii="黑体" w:hAnsi="黑体" w:eastAsia="黑体" w:cs="黑体"/>
          <w:b w:val="0"/>
          <w:bCs w:val="0"/>
        </w:rPr>
        <w:t>政拨款支出决算明细表</w:t>
      </w:r>
      <w:bookmarkEnd w:id="90"/>
      <w:bookmarkEnd w:id="91"/>
      <w:bookmarkStart w:id="92" w:name="_Toc15396624"/>
    </w:p>
    <w:p w14:paraId="5571781C">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leftChars="0" w:firstLine="640" w:firstLineChars="200"/>
        <w:textAlignment w:val="auto"/>
        <w:rPr>
          <w:rFonts w:hint="eastAsia" w:ascii="黑体" w:hAnsi="黑体" w:eastAsia="黑体" w:cs="黑体"/>
        </w:rPr>
      </w:pPr>
      <w:bookmarkStart w:id="93" w:name="_Toc17073"/>
      <w:r>
        <w:rPr>
          <w:rFonts w:hint="eastAsia" w:ascii="黑体" w:hAnsi="黑体" w:eastAsia="黑体" w:cs="黑体"/>
          <w:b w:val="0"/>
          <w:lang w:val="en-US" w:eastAsia="zh-CN"/>
        </w:rPr>
        <w:t>六、</w:t>
      </w:r>
      <w:r>
        <w:rPr>
          <w:rFonts w:hint="eastAsia" w:ascii="黑体" w:hAnsi="黑体" w:eastAsia="黑体" w:cs="黑体"/>
          <w:b w:val="0"/>
        </w:rPr>
        <w:t>一</w:t>
      </w:r>
      <w:r>
        <w:rPr>
          <w:rStyle w:val="28"/>
          <w:rFonts w:hint="eastAsia" w:ascii="黑体" w:hAnsi="黑体" w:eastAsia="黑体" w:cs="黑体"/>
          <w:b w:val="0"/>
          <w:bCs w:val="0"/>
        </w:rPr>
        <w:t>般公共预算财政拨款支出决算表</w:t>
      </w:r>
      <w:bookmarkEnd w:id="92"/>
      <w:bookmarkEnd w:id="93"/>
    </w:p>
    <w:p w14:paraId="6E131472">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leftChars="0" w:firstLine="640" w:firstLineChars="200"/>
        <w:textAlignment w:val="auto"/>
        <w:rPr>
          <w:rFonts w:hint="eastAsia" w:ascii="黑体" w:hAnsi="黑体" w:eastAsia="黑体" w:cs="黑体"/>
        </w:rPr>
      </w:pPr>
      <w:bookmarkStart w:id="94" w:name="_Toc11148"/>
      <w:bookmarkStart w:id="95" w:name="_Toc15396625"/>
      <w:r>
        <w:rPr>
          <w:rFonts w:hint="eastAsia" w:ascii="黑体" w:hAnsi="黑体" w:eastAsia="黑体" w:cs="黑体"/>
          <w:b w:val="0"/>
          <w:lang w:val="en-US" w:eastAsia="zh-CN"/>
        </w:rPr>
        <w:t>七、</w:t>
      </w:r>
      <w:r>
        <w:rPr>
          <w:rFonts w:hint="eastAsia" w:ascii="黑体" w:hAnsi="黑体" w:eastAsia="黑体" w:cs="黑体"/>
          <w:b w:val="0"/>
        </w:rPr>
        <w:t>一</w:t>
      </w:r>
      <w:r>
        <w:rPr>
          <w:rStyle w:val="28"/>
          <w:rFonts w:hint="eastAsia" w:ascii="黑体" w:hAnsi="黑体" w:eastAsia="黑体" w:cs="黑体"/>
          <w:b w:val="0"/>
          <w:bCs w:val="0"/>
        </w:rPr>
        <w:t>般公共预算财政拨款支出决算明细表</w:t>
      </w:r>
      <w:bookmarkEnd w:id="94"/>
      <w:bookmarkEnd w:id="95"/>
    </w:p>
    <w:p w14:paraId="531F15D2">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leftChars="0" w:firstLine="640" w:firstLineChars="200"/>
        <w:textAlignment w:val="auto"/>
        <w:rPr>
          <w:rFonts w:hint="eastAsia" w:ascii="黑体" w:hAnsi="黑体" w:eastAsia="黑体" w:cs="黑体"/>
        </w:rPr>
      </w:pPr>
      <w:bookmarkStart w:id="96" w:name="_Toc15396626"/>
      <w:bookmarkStart w:id="97" w:name="_Toc26695"/>
      <w:r>
        <w:rPr>
          <w:rFonts w:hint="eastAsia" w:ascii="黑体" w:hAnsi="黑体" w:eastAsia="黑体" w:cs="黑体"/>
          <w:b w:val="0"/>
          <w:lang w:val="en-US" w:eastAsia="zh-CN"/>
        </w:rPr>
        <w:t>八、</w:t>
      </w:r>
      <w:r>
        <w:rPr>
          <w:rFonts w:hint="eastAsia" w:ascii="黑体" w:hAnsi="黑体" w:eastAsia="黑体" w:cs="黑体"/>
          <w:b w:val="0"/>
        </w:rPr>
        <w:t>一</w:t>
      </w:r>
      <w:r>
        <w:rPr>
          <w:rStyle w:val="28"/>
          <w:rFonts w:hint="eastAsia" w:ascii="黑体" w:hAnsi="黑体" w:eastAsia="黑体" w:cs="黑体"/>
          <w:b w:val="0"/>
          <w:bCs w:val="0"/>
        </w:rPr>
        <w:t>般公共预算财政拨款基本支出决算表</w:t>
      </w:r>
      <w:bookmarkEnd w:id="96"/>
      <w:bookmarkEnd w:id="97"/>
    </w:p>
    <w:p w14:paraId="01F255BB">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leftChars="0" w:firstLine="640" w:firstLineChars="200"/>
        <w:textAlignment w:val="auto"/>
        <w:rPr>
          <w:rFonts w:hint="eastAsia" w:ascii="黑体" w:hAnsi="黑体" w:eastAsia="黑体" w:cs="黑体"/>
        </w:rPr>
      </w:pPr>
      <w:bookmarkStart w:id="98" w:name="_Toc15396627"/>
      <w:bookmarkStart w:id="99" w:name="_Toc7015"/>
      <w:r>
        <w:rPr>
          <w:rFonts w:hint="eastAsia" w:ascii="黑体" w:hAnsi="黑体" w:eastAsia="黑体" w:cs="黑体"/>
          <w:b w:val="0"/>
          <w:lang w:val="en-US" w:eastAsia="zh-CN"/>
        </w:rPr>
        <w:t>九、</w:t>
      </w:r>
      <w:r>
        <w:rPr>
          <w:rFonts w:hint="eastAsia" w:ascii="黑体" w:hAnsi="黑体" w:eastAsia="黑体" w:cs="黑体"/>
          <w:b w:val="0"/>
        </w:rPr>
        <w:t>一</w:t>
      </w:r>
      <w:r>
        <w:rPr>
          <w:rStyle w:val="28"/>
          <w:rFonts w:hint="eastAsia" w:ascii="黑体" w:hAnsi="黑体" w:eastAsia="黑体" w:cs="黑体"/>
          <w:b w:val="0"/>
          <w:bCs w:val="0"/>
        </w:rPr>
        <w:t>般公共预算财政拨款项目支出决算表</w:t>
      </w:r>
      <w:bookmarkEnd w:id="98"/>
      <w:bookmarkEnd w:id="99"/>
    </w:p>
    <w:p w14:paraId="677341D1">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leftChars="0" w:firstLine="640" w:firstLineChars="200"/>
        <w:textAlignment w:val="auto"/>
        <w:rPr>
          <w:rFonts w:hint="eastAsia" w:ascii="黑体" w:hAnsi="黑体" w:eastAsia="黑体" w:cs="黑体"/>
        </w:rPr>
      </w:pPr>
      <w:bookmarkStart w:id="100" w:name="_Toc6272"/>
      <w:r>
        <w:rPr>
          <w:rFonts w:hint="eastAsia" w:ascii="黑体" w:hAnsi="黑体" w:eastAsia="黑体" w:cs="黑体"/>
          <w:b w:val="0"/>
          <w:lang w:val="en-US" w:eastAsia="zh-CN"/>
        </w:rPr>
        <w:t>十、</w:t>
      </w:r>
      <w:r>
        <w:rPr>
          <w:rFonts w:hint="eastAsia" w:ascii="黑体" w:hAnsi="黑体" w:eastAsia="黑体" w:cs="黑体"/>
          <w:b w:val="0"/>
        </w:rPr>
        <w:t>政</w:t>
      </w:r>
      <w:r>
        <w:rPr>
          <w:rStyle w:val="28"/>
          <w:rFonts w:hint="eastAsia" w:ascii="黑体" w:hAnsi="黑体" w:eastAsia="黑体" w:cs="黑体"/>
          <w:b w:val="0"/>
          <w:bCs w:val="0"/>
        </w:rPr>
        <w:t>府性基金预算财政拨款收入支出决算表</w:t>
      </w:r>
      <w:bookmarkEnd w:id="100"/>
    </w:p>
    <w:p w14:paraId="29D34A5F">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leftChars="0" w:firstLine="640" w:firstLineChars="200"/>
        <w:textAlignment w:val="auto"/>
        <w:rPr>
          <w:rFonts w:hint="eastAsia" w:ascii="黑体" w:hAnsi="黑体" w:eastAsia="黑体" w:cs="黑体"/>
        </w:rPr>
      </w:pPr>
      <w:bookmarkStart w:id="101" w:name="_Toc9847"/>
      <w:r>
        <w:rPr>
          <w:rFonts w:hint="eastAsia" w:ascii="黑体" w:hAnsi="黑体" w:eastAsia="黑体" w:cs="黑体"/>
          <w:b w:val="0"/>
          <w:lang w:val="en-US" w:eastAsia="zh-CN"/>
        </w:rPr>
        <w:t>十一、</w:t>
      </w:r>
      <w:r>
        <w:rPr>
          <w:rFonts w:hint="eastAsia" w:ascii="黑体" w:hAnsi="黑体" w:eastAsia="黑体" w:cs="黑体"/>
          <w:b w:val="0"/>
        </w:rPr>
        <w:t>国</w:t>
      </w:r>
      <w:r>
        <w:rPr>
          <w:rStyle w:val="28"/>
          <w:rFonts w:hint="eastAsia" w:ascii="黑体" w:hAnsi="黑体" w:eastAsia="黑体" w:cs="黑体"/>
          <w:b w:val="0"/>
          <w:bCs w:val="0"/>
        </w:rPr>
        <w:t>有资本经营预算财政拨款收入支出决算表</w:t>
      </w:r>
      <w:bookmarkEnd w:id="101"/>
    </w:p>
    <w:p w14:paraId="05DE1D13">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leftChars="0" w:firstLine="640" w:firstLineChars="200"/>
        <w:textAlignment w:val="auto"/>
        <w:rPr>
          <w:rFonts w:hint="eastAsia" w:ascii="黑体" w:hAnsi="黑体" w:eastAsia="黑体" w:cs="黑体"/>
        </w:rPr>
      </w:pPr>
      <w:bookmarkStart w:id="102" w:name="_Toc21183"/>
      <w:r>
        <w:rPr>
          <w:rStyle w:val="28"/>
          <w:rFonts w:hint="eastAsia" w:ascii="黑体" w:hAnsi="黑体" w:eastAsia="黑体" w:cs="黑体"/>
          <w:b w:val="0"/>
          <w:bCs w:val="0"/>
          <w:lang w:val="en-US" w:eastAsia="zh-CN"/>
        </w:rPr>
        <w:t>十二、</w:t>
      </w:r>
      <w:r>
        <w:rPr>
          <w:rStyle w:val="28"/>
          <w:rFonts w:hint="eastAsia" w:ascii="黑体" w:hAnsi="黑体" w:eastAsia="黑体" w:cs="黑体"/>
          <w:b w:val="0"/>
          <w:bCs w:val="0"/>
        </w:rPr>
        <w:t>国有资本经营预算财政拨款支出决算表</w:t>
      </w:r>
      <w:bookmarkEnd w:id="102"/>
    </w:p>
    <w:p w14:paraId="516647B1">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leftChars="0" w:firstLine="640" w:firstLineChars="200"/>
        <w:textAlignment w:val="auto"/>
        <w:rPr>
          <w:rFonts w:hint="eastAsia" w:ascii="黑体" w:hAnsi="黑体" w:eastAsia="黑体" w:cs="黑体"/>
        </w:rPr>
      </w:pPr>
      <w:bookmarkStart w:id="103" w:name="_Toc22925"/>
      <w:r>
        <w:rPr>
          <w:rStyle w:val="28"/>
          <w:rFonts w:hint="eastAsia" w:ascii="黑体" w:hAnsi="黑体" w:eastAsia="黑体" w:cs="黑体"/>
          <w:b w:val="0"/>
          <w:bCs w:val="0"/>
          <w:lang w:val="en-US" w:eastAsia="zh-CN"/>
        </w:rPr>
        <w:t>十三、</w:t>
      </w:r>
      <w:r>
        <w:rPr>
          <w:rStyle w:val="28"/>
          <w:rFonts w:hint="eastAsia" w:ascii="黑体" w:hAnsi="黑体" w:eastAsia="黑体" w:cs="黑体"/>
          <w:b w:val="0"/>
          <w:bCs w:val="0"/>
        </w:rPr>
        <w:t>财政拨款“三公”经费支出决算表</w:t>
      </w:r>
      <w:bookmarkEnd w:id="103"/>
    </w:p>
    <w:sectPr>
      <w:footerReference r:id="rId7"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372F96CA">
        <w:pPr>
          <w:pStyle w:val="9"/>
          <w:jc w:val="center"/>
        </w:pPr>
        <w:r>
          <w:fldChar w:fldCharType="begin"/>
        </w:r>
        <w:r>
          <w:instrText xml:space="preserve">PAGE   \* MERGEFORMAT</w:instrText>
        </w:r>
        <w:r>
          <w:fldChar w:fldCharType="separate"/>
        </w:r>
        <w:r>
          <w:rPr>
            <w:lang w:val="zh-CN"/>
          </w:rPr>
          <w:t>15</w:t>
        </w:r>
        <w:r>
          <w:fldChar w:fldCharType="end"/>
        </w:r>
      </w:p>
    </w:sdtContent>
  </w:sdt>
  <w:p w14:paraId="02C21D80">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D7E29">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C02C4">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21E7F6">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521E7F6">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EF131">
    <w:pPr>
      <w:pStyle w:val="10"/>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814612">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1">
    <w:nsid w:val="3818A09A"/>
    <w:multiLevelType w:val="singleLevel"/>
    <w:tmpl w:val="3818A09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hNDZkOWYyYjlkYTJkM2Y2ZjM2MjA3NGI4ZWM5OGQifQ=="/>
  </w:docVars>
  <w:rsids>
    <w:rsidRoot w:val="00172A27"/>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DC2831"/>
    <w:rsid w:val="081B5E94"/>
    <w:rsid w:val="0A2032A3"/>
    <w:rsid w:val="0B8A37D8"/>
    <w:rsid w:val="0C942B39"/>
    <w:rsid w:val="0F5FFB2F"/>
    <w:rsid w:val="0FFFCF60"/>
    <w:rsid w:val="10C055FF"/>
    <w:rsid w:val="118107EC"/>
    <w:rsid w:val="11DD6519"/>
    <w:rsid w:val="168406E3"/>
    <w:rsid w:val="16BB723D"/>
    <w:rsid w:val="18015F3F"/>
    <w:rsid w:val="198343DE"/>
    <w:rsid w:val="1BE8440E"/>
    <w:rsid w:val="1D155CEE"/>
    <w:rsid w:val="1DD71639"/>
    <w:rsid w:val="1FDBBF84"/>
    <w:rsid w:val="20F57F95"/>
    <w:rsid w:val="240371BF"/>
    <w:rsid w:val="25711CC6"/>
    <w:rsid w:val="25C741E6"/>
    <w:rsid w:val="26AD0AEC"/>
    <w:rsid w:val="276F80C0"/>
    <w:rsid w:val="27842671"/>
    <w:rsid w:val="29FD04D3"/>
    <w:rsid w:val="2ABE7A3E"/>
    <w:rsid w:val="2AFF09B6"/>
    <w:rsid w:val="2CA234A8"/>
    <w:rsid w:val="2CB35814"/>
    <w:rsid w:val="2EFA178C"/>
    <w:rsid w:val="2EFDF86C"/>
    <w:rsid w:val="2F9D17E1"/>
    <w:rsid w:val="30B46D73"/>
    <w:rsid w:val="30D64C64"/>
    <w:rsid w:val="319F7F4E"/>
    <w:rsid w:val="356A28F1"/>
    <w:rsid w:val="357C035A"/>
    <w:rsid w:val="368E000D"/>
    <w:rsid w:val="383D272C"/>
    <w:rsid w:val="398D260B"/>
    <w:rsid w:val="39AE70AB"/>
    <w:rsid w:val="3A4DCE41"/>
    <w:rsid w:val="3BCB56FA"/>
    <w:rsid w:val="3C0C0783"/>
    <w:rsid w:val="3EE7C2F4"/>
    <w:rsid w:val="3F371B56"/>
    <w:rsid w:val="3F792ED8"/>
    <w:rsid w:val="3F9F3A96"/>
    <w:rsid w:val="3FECA4B2"/>
    <w:rsid w:val="3FF58C48"/>
    <w:rsid w:val="42852398"/>
    <w:rsid w:val="42FF6694"/>
    <w:rsid w:val="482E3348"/>
    <w:rsid w:val="48BF60AB"/>
    <w:rsid w:val="493C27E9"/>
    <w:rsid w:val="496F39ED"/>
    <w:rsid w:val="49FF41D3"/>
    <w:rsid w:val="4BE068DB"/>
    <w:rsid w:val="4BF6002B"/>
    <w:rsid w:val="4BFFC6BE"/>
    <w:rsid w:val="4ECE2238"/>
    <w:rsid w:val="4FB02F1D"/>
    <w:rsid w:val="51DB4B86"/>
    <w:rsid w:val="51F64DB0"/>
    <w:rsid w:val="53897CFE"/>
    <w:rsid w:val="55333C3E"/>
    <w:rsid w:val="5760585D"/>
    <w:rsid w:val="58EF4B5D"/>
    <w:rsid w:val="5F67802D"/>
    <w:rsid w:val="5F7DC4F2"/>
    <w:rsid w:val="5FB36814"/>
    <w:rsid w:val="5FBB8E56"/>
    <w:rsid w:val="5FFB5535"/>
    <w:rsid w:val="64CA39A1"/>
    <w:rsid w:val="69630ADE"/>
    <w:rsid w:val="69BD5F13"/>
    <w:rsid w:val="69FB0B4B"/>
    <w:rsid w:val="6BFFE1FB"/>
    <w:rsid w:val="6C4A05C8"/>
    <w:rsid w:val="6D3B1A89"/>
    <w:rsid w:val="6DB7D8A3"/>
    <w:rsid w:val="6EC78701"/>
    <w:rsid w:val="6F7A5481"/>
    <w:rsid w:val="6FFE07A9"/>
    <w:rsid w:val="71BF4EC2"/>
    <w:rsid w:val="72734D90"/>
    <w:rsid w:val="73E75B71"/>
    <w:rsid w:val="7412278C"/>
    <w:rsid w:val="75DDCDA9"/>
    <w:rsid w:val="75FF44B1"/>
    <w:rsid w:val="77670518"/>
    <w:rsid w:val="777FA627"/>
    <w:rsid w:val="77DF1B5F"/>
    <w:rsid w:val="77EF2D9D"/>
    <w:rsid w:val="79E7B28D"/>
    <w:rsid w:val="7A8145C8"/>
    <w:rsid w:val="7A980349"/>
    <w:rsid w:val="7ACFF0C2"/>
    <w:rsid w:val="7AFB9108"/>
    <w:rsid w:val="7BD5340C"/>
    <w:rsid w:val="7BFB19D2"/>
    <w:rsid w:val="7BFD1750"/>
    <w:rsid w:val="7BFDAA1B"/>
    <w:rsid w:val="7CDF9A82"/>
    <w:rsid w:val="7CFFA1BD"/>
    <w:rsid w:val="7D2E3F7A"/>
    <w:rsid w:val="7DED9490"/>
    <w:rsid w:val="7DFF4872"/>
    <w:rsid w:val="7E031BB9"/>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4"/>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paragraph" w:customStyle="1" w:styleId="18">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字符"/>
    <w:link w:val="10"/>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字符"/>
    <w:link w:val="9"/>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字符"/>
    <w:link w:val="5"/>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字符"/>
    <w:basedOn w:val="15"/>
    <w:link w:val="2"/>
    <w:qFormat/>
    <w:uiPriority w:val="9"/>
    <w:rPr>
      <w:rFonts w:ascii="Times New Roman" w:hAnsi="Times New Roman"/>
      <w:b/>
      <w:bCs/>
      <w:kern w:val="44"/>
      <w:sz w:val="44"/>
      <w:szCs w:val="44"/>
    </w:rPr>
  </w:style>
  <w:style w:type="character" w:customStyle="1" w:styleId="28">
    <w:name w:val="标题 2 字符"/>
    <w:basedOn w:val="15"/>
    <w:link w:val="3"/>
    <w:qFormat/>
    <w:uiPriority w:val="9"/>
    <w:rPr>
      <w:rFonts w:asciiTheme="majorHAnsi" w:hAnsiTheme="majorHAnsi" w:eastAsiaTheme="majorEastAsia" w:cstheme="majorBidi"/>
      <w:b/>
      <w:bCs/>
      <w:kern w:val="2"/>
      <w:sz w:val="32"/>
      <w:szCs w:val="32"/>
    </w:rPr>
  </w:style>
  <w:style w:type="paragraph" w:customStyle="1" w:styleId="2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字符"/>
    <w:basedOn w:val="15"/>
    <w:link w:val="8"/>
    <w:semiHidden/>
    <w:qFormat/>
    <w:uiPriority w:val="99"/>
    <w:rPr>
      <w:rFonts w:ascii="Times New Roman" w:hAnsi="Times New Roman"/>
      <w:kern w:val="2"/>
      <w:sz w:val="18"/>
      <w:szCs w:val="18"/>
    </w:rPr>
  </w:style>
  <w:style w:type="character" w:customStyle="1" w:styleId="31">
    <w:name w:val="标题 3 字符"/>
    <w:basedOn w:val="15"/>
    <w:link w:val="4"/>
    <w:qFormat/>
    <w:uiPriority w:val="9"/>
    <w:rPr>
      <w:rFonts w:ascii="Times New Roman" w:hAnsi="Times New Roman"/>
      <w:b/>
      <w:bCs/>
      <w:kern w:val="2"/>
      <w:sz w:val="32"/>
      <w:szCs w:val="32"/>
    </w:rPr>
  </w:style>
  <w:style w:type="paragraph" w:customStyle="1" w:styleId="32">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3">
    <w:name w:val="font71"/>
    <w:qFormat/>
    <w:uiPriority w:val="0"/>
    <w:rPr>
      <w:rFonts w:hint="default" w:ascii="Times New Roman" w:hAnsi="Times New Roman" w:eastAsia="楷体_GB2312" w:cs="Times New Roman"/>
      <w:kern w:val="0"/>
      <w:sz w:val="28"/>
      <w:szCs w:val="24"/>
      <w:lang w:eastAsia="en-US"/>
    </w:rPr>
  </w:style>
  <w:style w:type="paragraph" w:customStyle="1" w:styleId="34">
    <w:name w:val="WPSOffice手动目录 1"/>
    <w:qFormat/>
    <w:uiPriority w:val="0"/>
    <w:pPr>
      <w:ind w:leftChars="0"/>
    </w:pPr>
    <w:rPr>
      <w:rFonts w:asciiTheme="minorHAnsi" w:hAnsiTheme="minorHAnsi" w:eastAsiaTheme="minorEastAsia" w:cstheme="minorBidi"/>
      <w:sz w:val="20"/>
      <w:szCs w:val="20"/>
    </w:rPr>
  </w:style>
  <w:style w:type="paragraph" w:customStyle="1" w:styleId="35">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24037;&#20316;&#31807;1"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24037;&#20316;&#31807;1"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1"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收支决算总计图表（万元）</a:t>
            </a:r>
            <a:endParaRPr lang="en-US" altLang="zh-CN"/>
          </a:p>
        </c:rich>
      </c:tx>
      <c:layout/>
      <c:overlay val="0"/>
      <c:spPr>
        <a:noFill/>
        <a:ln>
          <a:noFill/>
        </a:ln>
        <a:effectLst/>
      </c:spPr>
    </c:title>
    <c:autoTitleDeleted val="0"/>
    <c:plotArea>
      <c:layout/>
      <c:barChart>
        <c:barDir val="col"/>
        <c:grouping val="clustered"/>
        <c:varyColors val="0"/>
        <c:ser>
          <c:idx val="0"/>
          <c:order val="0"/>
          <c:tx>
            <c:strRef>
              <c:f>[工作簿1]Sheet1!$B$3</c:f>
              <c:strCache>
                <c:ptCount val="1"/>
                <c:pt idx="0">
                  <c:v>2022年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[工作簿1]Sheet1!$C$2:$D$2</c:f>
              <c:strCache>
                <c:ptCount val="2"/>
                <c:pt idx="0">
                  <c:v>收入</c:v>
                </c:pt>
                <c:pt idx="1">
                  <c:v>支出</c:v>
                </c:pt>
              </c:strCache>
            </c:strRef>
          </c:cat>
          <c:val>
            <c:numRef>
              <c:f>[工作簿1]Sheet1!$C$3:$D$3</c:f>
              <c:numCache>
                <c:formatCode>General</c:formatCode>
                <c:ptCount val="2"/>
                <c:pt idx="0">
                  <c:v>261.23</c:v>
                </c:pt>
                <c:pt idx="1">
                  <c:v>261.23</c:v>
                </c:pt>
              </c:numCache>
            </c:numRef>
          </c:val>
        </c:ser>
        <c:ser>
          <c:idx val="1"/>
          <c:order val="1"/>
          <c:tx>
            <c:strRef>
              <c:f>[工作簿1]Sheet1!$B$4</c:f>
              <c:strCache>
                <c:ptCount val="1"/>
                <c:pt idx="0">
                  <c:v>2023年</c:v>
                </c:pt>
              </c:strCache>
            </c:strRef>
          </c:tx>
          <c:spPr>
            <a:solidFill>
              <a:schemeClr val="accent2"/>
            </a:solidFill>
            <a:ln>
              <a:noFill/>
            </a:ln>
            <a:effectLst/>
          </c:spPr>
          <c:invertIfNegative val="0"/>
          <c:dLbls>
            <c:dLbl>
              <c:idx val="0"/>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266.9</a:t>
                    </a:r>
                    <a:r>
                      <a:rPr lang="en-US" altLang="zh-CN"/>
                      <a:t>8</a:t>
                    </a:r>
                    <a:endParaRPr lang="en-US" altLang="zh-CN"/>
                  </a:p>
                </c:rich>
              </c:tx>
              <c:dLblPos val="outEnd"/>
              <c:showLegendKey val="0"/>
              <c:showVal val="1"/>
              <c:showCatName val="0"/>
              <c:showSerName val="0"/>
              <c:showPercent val="0"/>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266.9</a:t>
                    </a:r>
                    <a:r>
                      <a:rPr lang="en-US" altLang="zh-CN"/>
                      <a:t>8</a:t>
                    </a:r>
                    <a:endParaRPr lang="en-US" altLang="zh-CN"/>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[工作簿1]Sheet1!$C$2:$D$2</c:f>
              <c:strCache>
                <c:ptCount val="2"/>
                <c:pt idx="0">
                  <c:v>收入</c:v>
                </c:pt>
                <c:pt idx="1">
                  <c:v>支出</c:v>
                </c:pt>
              </c:strCache>
            </c:strRef>
          </c:cat>
          <c:val>
            <c:numRef>
              <c:f>[工作簿1]Sheet1!$C$4:$D$4</c:f>
              <c:numCache>
                <c:formatCode>General</c:formatCode>
                <c:ptCount val="2"/>
                <c:pt idx="0">
                  <c:v>266.97</c:v>
                </c:pt>
                <c:pt idx="1">
                  <c:v>266.97</c:v>
                </c:pt>
              </c:numCache>
            </c:numRef>
          </c:val>
        </c:ser>
        <c:dLbls>
          <c:showLegendKey val="0"/>
          <c:showVal val="1"/>
          <c:showCatName val="0"/>
          <c:showSerName val="0"/>
          <c:showPercent val="0"/>
          <c:showBubbleSize val="0"/>
        </c:dLbls>
        <c:gapWidth val="219"/>
        <c:overlap val="-27"/>
        <c:axId val="65535462"/>
        <c:axId val="311014977"/>
      </c:barChart>
      <c:catAx>
        <c:axId val="65535462"/>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11014977"/>
        <c:crosses val="autoZero"/>
        <c:auto val="1"/>
        <c:lblAlgn val="ctr"/>
        <c:lblOffset val="100"/>
        <c:noMultiLvlLbl val="0"/>
      </c:catAx>
      <c:valAx>
        <c:axId val="31101497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5535462"/>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a0a36dd-442c-447f-bc1d-b1c5754b3fbb}"/>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[工作簿1]Sheet1!$C$8</c:f>
              <c:strCache>
                <c:ptCount val="1"/>
                <c:pt idx="0">
                  <c:v>一般公共预算财政拨款收入（万元）</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dLbl>
              <c:idx val="0"/>
              <c:layout>
                <c:manualLayout>
                  <c:x val="0.15"/>
                  <c:y val="-0.243055555555556"/>
                </c:manualLayout>
              </c:layout>
              <c:dLblPos val="bestFit"/>
              <c:showLegendKey val="0"/>
              <c:showVal val="1"/>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[工作簿1]Sheet1!$B$9:$B$16</c:f>
              <c:strCache>
                <c:ptCount val="8"/>
                <c:pt idx="0">
                  <c:v>一般公共预算财政拨款收入</c:v>
                </c:pt>
                <c:pt idx="1">
                  <c:v>政府性基金预算</c:v>
                </c:pt>
                <c:pt idx="2">
                  <c:v>国有资本经营预算财政拨款收入</c:v>
                </c:pt>
                <c:pt idx="3">
                  <c:v>上级补助收入</c:v>
                </c:pt>
                <c:pt idx="4">
                  <c:v>事业收入</c:v>
                </c:pt>
                <c:pt idx="5">
                  <c:v>经营收入</c:v>
                </c:pt>
                <c:pt idx="6">
                  <c:v>附属单位上缴收入</c:v>
                </c:pt>
                <c:pt idx="7">
                  <c:v>其他收入</c:v>
                </c:pt>
              </c:strCache>
            </c:strRef>
          </c:cat>
          <c:val>
            <c:numRef>
              <c:f>[工作簿1]Sheet1!$C$9:$C$16</c:f>
              <c:numCache>
                <c:formatCode>General</c:formatCode>
                <c:ptCount val="8"/>
                <c:pt idx="0">
                  <c:v>266.98</c:v>
                </c:pt>
              </c:numCache>
            </c:numRef>
          </c:val>
        </c:ser>
        <c:dLbls>
          <c:showLegendKey val="0"/>
          <c:showVal val="1"/>
          <c:showCatName val="1"/>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988743a6-a97e-49ff-94e3-cb4fb1e7ded8}"/>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altLang="en-US"/>
              <a:t>支出决算结构图（万元）</a:t>
            </a:r>
            <a:endParaRPr lang="en-US" altLang="zh-CN"/>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[工作簿1]Sheet1!$B$18:$B$19</c:f>
              <c:strCache>
                <c:ptCount val="2"/>
                <c:pt idx="0">
                  <c:v>基本支出</c:v>
                </c:pt>
                <c:pt idx="1">
                  <c:v>项目支出</c:v>
                </c:pt>
              </c:strCache>
            </c:strRef>
          </c:cat>
          <c:val>
            <c:numRef>
              <c:f>[工作簿1]Sheet1!$C$18:$C$19</c:f>
              <c:numCache>
                <c:formatCode>General</c:formatCode>
                <c:ptCount val="2"/>
                <c:pt idx="0">
                  <c:v>261.13</c:v>
                </c:pt>
                <c:pt idx="1">
                  <c:v>5.85</c:v>
                </c:pt>
              </c:numCache>
            </c:numRef>
          </c:val>
        </c:ser>
        <c:dLbls>
          <c:showLegendKey val="0"/>
          <c:showVal val="1"/>
          <c:showCatName val="0"/>
          <c:showSerName val="0"/>
          <c:showPercent val="0"/>
          <c:showBubbleSize val="0"/>
        </c:dLbls>
        <c:gapWidth val="219"/>
        <c:overlap val="-27"/>
        <c:axId val="640846309"/>
        <c:axId val="799490310"/>
      </c:barChart>
      <c:catAx>
        <c:axId val="640846309"/>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99490310"/>
        <c:crosses val="autoZero"/>
        <c:auto val="1"/>
        <c:lblAlgn val="ctr"/>
        <c:lblOffset val="100"/>
        <c:noMultiLvlLbl val="0"/>
      </c:catAx>
      <c:valAx>
        <c:axId val="79949031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40846309"/>
        <c:crosses val="autoZero"/>
        <c:crossBetween val="between"/>
      </c:valAx>
      <c:spPr>
        <a:noFill/>
        <a:ln>
          <a:noFill/>
        </a:ln>
        <a:effectLst/>
      </c:spPr>
    </c:plotArea>
    <c:plotVisOnly val="1"/>
    <c:dispBlanksAs val="gap"/>
    <c:showDLblsOverMax val="0"/>
    <c:extLst>
      <c:ext uri="{0b15fc19-7d7d-44ad-8c2d-2c3a37ce22c3}">
        <chartProps xmlns="https://web.wps.cn/et/2018/main" chartId="{42f13fd3-d3d5-4098-91d3-97d9f59caf03}"/>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财政拨款收支决算表（万元）</a:t>
            </a:r>
          </a:p>
        </c:rich>
      </c:tx>
      <c:layout/>
      <c:overlay val="0"/>
      <c:spPr>
        <a:noFill/>
        <a:ln>
          <a:noFill/>
        </a:ln>
        <a:effectLst/>
      </c:spPr>
    </c:title>
    <c:autoTitleDeleted val="0"/>
    <c:plotArea>
      <c:layout/>
      <c:barChart>
        <c:barDir val="col"/>
        <c:grouping val="clustered"/>
        <c:varyColors val="0"/>
        <c:ser>
          <c:idx val="0"/>
          <c:order val="0"/>
          <c:tx>
            <c:strRef>
              <c:f>[工作簿1]Sheet1!$B$29</c:f>
              <c:strCache>
                <c:ptCount val="1"/>
                <c:pt idx="0">
                  <c:v>2022年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[工作簿1]Sheet1!$C$28:$D$28</c:f>
              <c:strCache>
                <c:ptCount val="2"/>
                <c:pt idx="0">
                  <c:v>财政拨款收入</c:v>
                </c:pt>
                <c:pt idx="1">
                  <c:v>财政拨款支出</c:v>
                </c:pt>
              </c:strCache>
            </c:strRef>
          </c:cat>
          <c:val>
            <c:numRef>
              <c:f>[工作簿1]Sheet1!$C$29:$D$29</c:f>
              <c:numCache>
                <c:formatCode>General</c:formatCode>
                <c:ptCount val="2"/>
                <c:pt idx="0">
                  <c:v>261.23</c:v>
                </c:pt>
                <c:pt idx="1">
                  <c:v>261.23</c:v>
                </c:pt>
              </c:numCache>
            </c:numRef>
          </c:val>
        </c:ser>
        <c:ser>
          <c:idx val="1"/>
          <c:order val="1"/>
          <c:tx>
            <c:strRef>
              <c:f>[工作簿1]Sheet1!$B$30</c:f>
              <c:strCache>
                <c:ptCount val="1"/>
                <c:pt idx="0">
                  <c:v>2023年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[工作簿1]Sheet1!$C$28:$D$28</c:f>
              <c:strCache>
                <c:ptCount val="2"/>
                <c:pt idx="0">
                  <c:v>财政拨款收入</c:v>
                </c:pt>
                <c:pt idx="1">
                  <c:v>财政拨款支出</c:v>
                </c:pt>
              </c:strCache>
            </c:strRef>
          </c:cat>
          <c:val>
            <c:numRef>
              <c:f>[工作簿1]Sheet1!$C$30:$D$30</c:f>
              <c:numCache>
                <c:formatCode>General</c:formatCode>
                <c:ptCount val="2"/>
                <c:pt idx="0">
                  <c:v>266.98</c:v>
                </c:pt>
                <c:pt idx="1">
                  <c:v>266.98</c:v>
                </c:pt>
              </c:numCache>
            </c:numRef>
          </c:val>
        </c:ser>
        <c:dLbls>
          <c:showLegendKey val="0"/>
          <c:showVal val="1"/>
          <c:showCatName val="0"/>
          <c:showSerName val="0"/>
          <c:showPercent val="0"/>
          <c:showBubbleSize val="0"/>
        </c:dLbls>
        <c:gapWidth val="219"/>
        <c:overlap val="-27"/>
        <c:axId val="766942977"/>
        <c:axId val="62593607"/>
      </c:barChart>
      <c:catAx>
        <c:axId val="76694297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2593607"/>
        <c:crosses val="autoZero"/>
        <c:auto val="1"/>
        <c:lblAlgn val="ctr"/>
        <c:lblOffset val="100"/>
        <c:noMultiLvlLbl val="0"/>
      </c:catAx>
      <c:valAx>
        <c:axId val="6259360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66942977"/>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8cb4e2eb-5fb8-41dc-8e95-e987c3f10a8c}"/>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一般公共预算财政拨款支出决算表（万元）</a:t>
            </a:r>
          </a:p>
        </c:rich>
      </c:tx>
      <c:layout/>
      <c:overlay val="0"/>
      <c:spPr>
        <a:noFill/>
        <a:ln>
          <a:noFill/>
        </a:ln>
        <a:effectLst/>
      </c:spPr>
    </c:title>
    <c:autoTitleDeleted val="0"/>
    <c:plotArea>
      <c:layout/>
      <c:barChart>
        <c:barDir val="col"/>
        <c:grouping val="clustered"/>
        <c:varyColors val="0"/>
        <c:ser>
          <c:idx val="0"/>
          <c:order val="0"/>
          <c:tx>
            <c:strRef>
              <c:f>[工作簿1]Sheet1!$C$47</c:f>
              <c:strCache>
                <c:ptCount val="1"/>
                <c:pt idx="0">
                  <c:v>一般公共预算财政拨款支出</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[工作簿1]Sheet1!$B$48:$B$49</c:f>
              <c:strCache>
                <c:ptCount val="2"/>
                <c:pt idx="0">
                  <c:v>2022年</c:v>
                </c:pt>
                <c:pt idx="1">
                  <c:v>2023年</c:v>
                </c:pt>
              </c:strCache>
            </c:strRef>
          </c:cat>
          <c:val>
            <c:numRef>
              <c:f>[工作簿1]Sheet1!$C$48:$C$49</c:f>
              <c:numCache>
                <c:formatCode>General</c:formatCode>
                <c:ptCount val="2"/>
                <c:pt idx="0">
                  <c:v>261.23</c:v>
                </c:pt>
                <c:pt idx="1">
                  <c:v>266.98</c:v>
                </c:pt>
              </c:numCache>
            </c:numRef>
          </c:val>
        </c:ser>
        <c:dLbls>
          <c:showLegendKey val="0"/>
          <c:showVal val="1"/>
          <c:showCatName val="0"/>
          <c:showSerName val="0"/>
          <c:showPercent val="0"/>
          <c:showBubbleSize val="0"/>
        </c:dLbls>
        <c:gapWidth val="219"/>
        <c:overlap val="-27"/>
        <c:axId val="764482966"/>
        <c:axId val="558138041"/>
      </c:barChart>
      <c:catAx>
        <c:axId val="76448296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58138041"/>
        <c:crosses val="autoZero"/>
        <c:auto val="1"/>
        <c:lblAlgn val="ctr"/>
        <c:lblOffset val="100"/>
        <c:noMultiLvlLbl val="0"/>
      </c:catAx>
      <c:valAx>
        <c:axId val="55813804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64482966"/>
        <c:crosses val="autoZero"/>
        <c:crossBetween val="between"/>
      </c:valAx>
      <c:spPr>
        <a:noFill/>
        <a:ln>
          <a:noFill/>
        </a:ln>
        <a:effectLst/>
      </c:spPr>
    </c:plotArea>
    <c:plotVisOnly val="1"/>
    <c:dispBlanksAs val="gap"/>
    <c:showDLblsOverMax val="0"/>
    <c:extLst>
      <c:ext uri="{0b15fc19-7d7d-44ad-8c2d-2c3a37ce22c3}">
        <chartProps xmlns="https://web.wps.cn/et/2018/main" chartId="{c4bf8cee-cdac-48cf-9781-d47d98b20475}"/>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一般公共预算财政拨款支出决算结构（万元）</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[工作簿1]Sheet1!$B$51:$B$54</c:f>
              <c:strCache>
                <c:ptCount val="4"/>
                <c:pt idx="0">
                  <c:v>教育支出</c:v>
                </c:pt>
                <c:pt idx="1">
                  <c:v>社会保障和就业支出</c:v>
                </c:pt>
                <c:pt idx="2">
                  <c:v>卫生健康支出</c:v>
                </c:pt>
                <c:pt idx="3">
                  <c:v>住房保障支出</c:v>
                </c:pt>
              </c:strCache>
            </c:strRef>
          </c:cat>
          <c:val>
            <c:numRef>
              <c:f>[工作簿1]Sheet1!$C$51:$C$54</c:f>
              <c:numCache>
                <c:formatCode>General</c:formatCode>
                <c:ptCount val="4"/>
                <c:pt idx="0">
                  <c:v>190.56</c:v>
                </c:pt>
                <c:pt idx="1">
                  <c:v>36.42</c:v>
                </c:pt>
                <c:pt idx="2">
                  <c:v>20.33</c:v>
                </c:pt>
                <c:pt idx="3">
                  <c:v>19.67</c:v>
                </c:pt>
              </c:numCache>
            </c:numRef>
          </c:val>
        </c:ser>
        <c:dLbls>
          <c:showLegendKey val="0"/>
          <c:showVal val="1"/>
          <c:showCatName val="1"/>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cd960ee-5333-4ce0-973a-1a8067529aac}"/>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17</Pages>
  <Words>4542</Words>
  <Characters>4974</Characters>
  <Lines>54</Lines>
  <Paragraphs>15</Paragraphs>
  <TotalTime>2</TotalTime>
  <ScaleCrop>false</ScaleCrop>
  <LinksUpToDate>false</LinksUpToDate>
  <CharactersWithSpaces>5085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2020-08-08T01:49:00Z</dcterms:created>
  <dc:creator>曹颖</dc:creator>
  <cp:lastModifiedBy>Administrator</cp:lastModifiedBy>
  <cp:lastPrinted>2023-08-03T02:35:00Z</cp:lastPrinted>
  <dcterms:modified xsi:type="dcterms:W3CDTF">2024-10-28T01:52:43Z</dcterms:modified>
  <dc:title>四川省***</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5B5E29603AF6481F9A34662DF86C69E9_12</vt:lpwstr>
  </property>
</Properties>
</file>