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3518C">
      <w:pPr>
        <w:spacing w:line="600" w:lineRule="exact"/>
        <w:jc w:val="center"/>
        <w:outlineLvl w:val="0"/>
        <w:rPr>
          <w:rFonts w:ascii="方正小标宋简体" w:hAnsi="宋体" w:eastAsia="方正小标宋简体"/>
          <w:sz w:val="72"/>
          <w:szCs w:val="72"/>
        </w:rPr>
      </w:pPr>
      <w:bookmarkStart w:id="0" w:name="_Toc15378441"/>
      <w:bookmarkStart w:id="1" w:name="_Toc15377193"/>
      <w:bookmarkStart w:id="2" w:name="_Toc15396597"/>
      <w:bookmarkStart w:id="3" w:name="_Toc15396475"/>
      <w:bookmarkStart w:id="4" w:name="_Toc15377425"/>
      <w:bookmarkStart w:id="5" w:name="_Toc15306267"/>
    </w:p>
    <w:p w14:paraId="4CF14744">
      <w:pPr>
        <w:spacing w:line="600" w:lineRule="exact"/>
        <w:jc w:val="center"/>
        <w:outlineLvl w:val="0"/>
        <w:rPr>
          <w:rFonts w:ascii="方正小标宋简体" w:hAnsi="宋体" w:eastAsia="方正小标宋简体"/>
          <w:sz w:val="72"/>
          <w:szCs w:val="72"/>
        </w:rPr>
      </w:pPr>
    </w:p>
    <w:p w14:paraId="1DECE4A7">
      <w:pPr>
        <w:spacing w:line="600" w:lineRule="exact"/>
        <w:jc w:val="center"/>
        <w:outlineLvl w:val="0"/>
        <w:rPr>
          <w:rFonts w:ascii="方正小标宋简体" w:hAnsi="宋体" w:eastAsia="方正小标宋简体"/>
          <w:sz w:val="72"/>
          <w:szCs w:val="72"/>
        </w:rPr>
      </w:pPr>
    </w:p>
    <w:p w14:paraId="50F97803">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3</w:t>
      </w:r>
      <w:r>
        <w:rPr>
          <w:rFonts w:hint="eastAsia" w:ascii="方正小标宋简体" w:hAnsi="方正小标宋简体" w:eastAsia="方正小标宋简体" w:cs="方正小标宋简体"/>
          <w:sz w:val="72"/>
          <w:szCs w:val="72"/>
        </w:rPr>
        <w:t>年度</w:t>
      </w:r>
      <w:bookmarkEnd w:id="0"/>
      <w:bookmarkEnd w:id="1"/>
      <w:bookmarkEnd w:id="2"/>
      <w:bookmarkEnd w:id="3"/>
      <w:bookmarkEnd w:id="4"/>
    </w:p>
    <w:bookmarkEnd w:id="5"/>
    <w:p w14:paraId="47542289">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598"/>
      <w:bookmarkStart w:id="8" w:name="_Toc15396476"/>
      <w:bookmarkStart w:id="9" w:name="_Toc15377194"/>
      <w:bookmarkStart w:id="10" w:name="_Toc15377426"/>
      <w:bookmarkStart w:id="11" w:name="_Toc15306268"/>
      <w:r>
        <w:rPr>
          <w:rFonts w:hint="eastAsia" w:ascii="方正小标宋简体" w:hAnsi="方正小标宋简体" w:eastAsia="方正小标宋简体" w:cs="方正小标宋简体"/>
          <w:sz w:val="72"/>
          <w:szCs w:val="72"/>
        </w:rPr>
        <w:t>攀枝花市盐边县气象局</w:t>
      </w:r>
    </w:p>
    <w:p w14:paraId="0ECBE70B">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lang w:eastAsia="zh-CN"/>
        </w:rPr>
        <w:t>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p>
    <w:p w14:paraId="335644C7">
      <w:pPr>
        <w:widowControl/>
        <w:jc w:val="center"/>
        <w:rPr>
          <w:rFonts w:hint="eastAsia" w:ascii="黑体" w:hAnsi="黑体" w:eastAsia="黑体"/>
          <w:sz w:val="48"/>
          <w:szCs w:val="48"/>
        </w:rPr>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pPr>
    </w:p>
    <w:p w14:paraId="0569E405">
      <w:pPr>
        <w:widowControl/>
        <w:jc w:val="center"/>
        <w:rPr>
          <w:rFonts w:ascii="黑体" w:hAnsi="黑体" w:eastAsia="黑体"/>
          <w:sz w:val="48"/>
          <w:szCs w:val="48"/>
        </w:rPr>
      </w:pPr>
      <w:r>
        <w:rPr>
          <w:rFonts w:hint="eastAsia" w:ascii="黑体" w:hAnsi="黑体" w:eastAsia="黑体"/>
          <w:sz w:val="48"/>
          <w:szCs w:val="48"/>
        </w:rPr>
        <w:t>目录</w:t>
      </w:r>
    </w:p>
    <w:p w14:paraId="73CF9DCB">
      <w:pPr>
        <w:widowControl/>
        <w:jc w:val="center"/>
        <w:rPr>
          <w:rFonts w:ascii="黑体" w:hAnsi="黑体" w:eastAsia="黑体" w:cstheme="minorBidi"/>
          <w:sz w:val="28"/>
          <w:szCs w:val="28"/>
        </w:rPr>
      </w:pPr>
    </w:p>
    <w:p w14:paraId="4479DE96">
      <w:pPr>
        <w:pStyle w:val="12"/>
      </w:pPr>
      <w:r>
        <w:rPr>
          <w:rFonts w:hint="eastAsia"/>
        </w:rPr>
        <w:t>公开时间：202</w:t>
      </w:r>
      <w:r>
        <w:rPr>
          <w:rFonts w:hint="eastAsia"/>
          <w:lang w:val="en-US" w:eastAsia="zh-CN"/>
        </w:rPr>
        <w:t>4</w:t>
      </w:r>
      <w:r>
        <w:rPr>
          <w:rFonts w:hint="eastAsia"/>
        </w:rPr>
        <w:t>年10月2</w:t>
      </w:r>
      <w:r>
        <w:rPr>
          <w:rFonts w:hint="eastAsia"/>
          <w:lang w:val="en-US" w:eastAsia="zh-CN"/>
        </w:rPr>
        <w:t>8</w:t>
      </w:r>
      <w:r>
        <w:rPr>
          <w:rFonts w:hint="eastAsia"/>
        </w:rPr>
        <w:t>日</w:t>
      </w:r>
    </w:p>
    <w:p w14:paraId="034B564A"/>
    <w:p w14:paraId="5E808F0E">
      <w:pPr>
        <w:pStyle w:val="12"/>
        <w:adjustRightInd w:val="0"/>
        <w:snapToGrid w:val="0"/>
        <w:spacing w:before="0" w:line="440" w:lineRule="exact"/>
        <w:jc w:val="left"/>
        <w:rPr>
          <w:rFonts w:ascii="黑体" w:hAnsi="黑体" w:eastAsiaTheme="minorEastAsia" w:cstheme="minorBidi"/>
          <w:sz w:val="24"/>
          <w:szCs w:val="24"/>
        </w:rPr>
      </w:pPr>
      <w:r>
        <w:rPr>
          <w:rFonts w:hint="eastAsia" w:ascii="黑体" w:hAnsi="黑体" w:eastAsia="黑体"/>
          <w:sz w:val="24"/>
        </w:rPr>
        <w:t>第一部分</w:t>
      </w:r>
      <w:r>
        <w:rPr>
          <w:rFonts w:hint="eastAsia" w:ascii="黑体" w:hAnsi="黑体" w:eastAsia="黑体"/>
          <w:sz w:val="24"/>
          <w:lang w:val="en-US" w:eastAsia="zh-CN"/>
        </w:rPr>
        <w:t xml:space="preserve"> </w:t>
      </w:r>
      <w:r>
        <w:rPr>
          <w:rFonts w:hint="eastAsia" w:ascii="黑体" w:hAnsi="黑体" w:eastAsia="黑体"/>
          <w:sz w:val="24"/>
          <w:lang w:eastAsia="zh-CN"/>
        </w:rPr>
        <w:t>单位</w:t>
      </w:r>
      <w:r>
        <w:rPr>
          <w:rFonts w:hint="eastAsia" w:ascii="黑体" w:hAnsi="黑体" w:eastAsia="黑体"/>
          <w:sz w:val="24"/>
        </w:rPr>
        <w:t>概况</w:t>
      </w:r>
      <w:r>
        <w:rPr>
          <w:rFonts w:ascii="黑体" w:hAnsi="黑体" w:eastAsia="黑体"/>
        </w:rPr>
        <w:ptab w:relativeTo="margin" w:alignment="right" w:leader="dot"/>
      </w:r>
      <w:r>
        <w:rPr>
          <w:rFonts w:hint="eastAsia" w:ascii="Batang" w:hAnsi="Batang" w:eastAsiaTheme="minorEastAsia"/>
          <w:sz w:val="21"/>
          <w:szCs w:val="24"/>
        </w:rPr>
        <w:t>1</w:t>
      </w:r>
    </w:p>
    <w:p w14:paraId="2D0A86B0">
      <w:pPr>
        <w:pStyle w:val="13"/>
        <w:adjustRightInd w:val="0"/>
        <w:snapToGrid w:val="0"/>
        <w:spacing w:line="440" w:lineRule="exact"/>
        <w:jc w:val="left"/>
        <w:rPr>
          <w:rFonts w:eastAsiaTheme="minorEastAsia"/>
          <w:sz w:val="24"/>
        </w:rPr>
      </w:pPr>
      <w:r>
        <w:rPr>
          <w:rFonts w:hint="eastAsia"/>
          <w:sz w:val="24"/>
        </w:rPr>
        <w:t>一、</w:t>
      </w:r>
      <w:r>
        <w:rPr>
          <w:rFonts w:hint="eastAsia"/>
          <w:sz w:val="24"/>
          <w:lang w:eastAsia="zh-CN"/>
        </w:rPr>
        <w:t>主要</w:t>
      </w:r>
      <w:r>
        <w:rPr>
          <w:rFonts w:hint="eastAsia"/>
          <w:sz w:val="24"/>
        </w:rPr>
        <w:t>职责</w:t>
      </w:r>
      <w:r>
        <w:rPr>
          <w:rFonts w:asciiTheme="minorEastAsia" w:hAnsiTheme="minorEastAsia" w:eastAsiaTheme="minorEastAsia"/>
        </w:rPr>
        <w:ptab w:relativeTo="margin" w:alignment="right" w:leader="dot"/>
      </w:r>
      <w:r>
        <w:rPr>
          <w:rFonts w:hint="eastAsia" w:ascii="Batang" w:hAnsi="Batang" w:eastAsiaTheme="minorEastAsia"/>
        </w:rPr>
        <w:t>1</w:t>
      </w:r>
    </w:p>
    <w:p w14:paraId="0857B492">
      <w:pPr>
        <w:pStyle w:val="13"/>
        <w:adjustRightInd w:val="0"/>
        <w:snapToGrid w:val="0"/>
        <w:spacing w:line="440" w:lineRule="exact"/>
        <w:jc w:val="left"/>
        <w:rPr>
          <w:rFonts w:ascii="仿宋" w:hAnsi="仿宋" w:eastAsia="仿宋" w:cstheme="minorBidi"/>
          <w:sz w:val="24"/>
        </w:rPr>
      </w:pPr>
      <w:r>
        <w:rPr>
          <w:rFonts w:hint="eastAsia"/>
          <w:sz w:val="24"/>
        </w:rPr>
        <w:t>二、机构设置</w:t>
      </w:r>
      <w:r>
        <w:rPr>
          <w:rFonts w:asciiTheme="minorEastAsia" w:hAnsiTheme="minorEastAsia" w:eastAsiaTheme="minorEastAsia"/>
        </w:rPr>
        <w:ptab w:relativeTo="margin" w:alignment="right" w:leader="dot"/>
      </w:r>
      <w:r>
        <w:rPr>
          <w:rFonts w:hint="eastAsia" w:ascii="Batang" w:hAnsi="Batang" w:eastAsiaTheme="minorEastAsia"/>
        </w:rPr>
        <w:t>1</w:t>
      </w:r>
    </w:p>
    <w:p w14:paraId="40B20C5F">
      <w:pPr>
        <w:pStyle w:val="12"/>
        <w:adjustRightInd w:val="0"/>
        <w:snapToGrid w:val="0"/>
        <w:spacing w:before="0" w:line="440" w:lineRule="exact"/>
        <w:jc w:val="left"/>
        <w:rPr>
          <w:rFonts w:ascii="黑体" w:hAnsi="黑体" w:eastAsiaTheme="minorEastAsia"/>
          <w:sz w:val="24"/>
          <w:szCs w:val="24"/>
        </w:rPr>
      </w:pPr>
      <w:r>
        <w:rPr>
          <w:rFonts w:hint="eastAsia" w:ascii="黑体" w:hAnsi="黑体" w:eastAsia="黑体"/>
          <w:sz w:val="24"/>
        </w:rPr>
        <w:t>第二部分 202</w:t>
      </w:r>
      <w:r>
        <w:rPr>
          <w:rFonts w:hint="eastAsia" w:ascii="黑体" w:hAnsi="黑体" w:eastAsia="黑体"/>
          <w:sz w:val="24"/>
          <w:lang w:val="en-US" w:eastAsia="zh-CN"/>
        </w:rPr>
        <w:t>3</w:t>
      </w:r>
      <w:r>
        <w:rPr>
          <w:rFonts w:hint="eastAsia" w:ascii="黑体" w:hAnsi="黑体" w:eastAsia="黑体"/>
          <w:sz w:val="24"/>
        </w:rPr>
        <w:t>年度</w:t>
      </w:r>
      <w:r>
        <w:rPr>
          <w:rFonts w:hint="eastAsia" w:ascii="黑体" w:hAnsi="黑体" w:eastAsia="黑体"/>
          <w:sz w:val="24"/>
          <w:lang w:eastAsia="zh-CN"/>
        </w:rPr>
        <w:t>单位</w:t>
      </w:r>
      <w:r>
        <w:rPr>
          <w:rFonts w:hint="eastAsia" w:ascii="黑体" w:hAnsi="黑体" w:eastAsia="黑体"/>
          <w:sz w:val="24"/>
        </w:rPr>
        <w:t>决算情况说明</w:t>
      </w:r>
      <w:r>
        <w:rPr>
          <w:rFonts w:ascii="黑体" w:hAnsi="黑体" w:eastAsia="黑体"/>
        </w:rPr>
        <w:ptab w:relativeTo="margin" w:alignment="right" w:leader="dot"/>
      </w:r>
      <w:r>
        <w:rPr>
          <w:rFonts w:hint="eastAsia" w:ascii="Batang" w:hAnsi="Batang" w:eastAsiaTheme="minorEastAsia"/>
          <w:sz w:val="21"/>
          <w:szCs w:val="24"/>
        </w:rPr>
        <w:t>2</w:t>
      </w:r>
    </w:p>
    <w:p w14:paraId="4384A0D9">
      <w:pPr>
        <w:pStyle w:val="13"/>
        <w:adjustRightInd w:val="0"/>
        <w:snapToGrid w:val="0"/>
        <w:spacing w:line="440" w:lineRule="exact"/>
        <w:jc w:val="left"/>
        <w:rPr>
          <w:rFonts w:ascii="仿宋" w:hAnsi="仿宋" w:eastAsiaTheme="minorEastAsia" w:cstheme="minorBidi"/>
          <w:sz w:val="24"/>
        </w:rPr>
      </w:pPr>
      <w:r>
        <w:rPr>
          <w:rFonts w:hint="eastAsia"/>
          <w:sz w:val="24"/>
        </w:rPr>
        <w:t>一、收入支出决算总体情况说明</w:t>
      </w:r>
      <w:r>
        <w:rPr>
          <w:rFonts w:asciiTheme="minorEastAsia" w:hAnsiTheme="minorEastAsia" w:eastAsiaTheme="minorEastAsia"/>
        </w:rPr>
        <w:ptab w:relativeTo="margin" w:alignment="right" w:leader="dot"/>
      </w:r>
      <w:r>
        <w:rPr>
          <w:rFonts w:hint="eastAsia" w:ascii="Batang" w:hAnsi="Batang" w:eastAsiaTheme="minorEastAsia"/>
        </w:rPr>
        <w:t>2</w:t>
      </w:r>
    </w:p>
    <w:p w14:paraId="37764683">
      <w:pPr>
        <w:pStyle w:val="13"/>
        <w:adjustRightInd w:val="0"/>
        <w:snapToGrid w:val="0"/>
        <w:spacing w:line="440" w:lineRule="exact"/>
        <w:jc w:val="left"/>
        <w:rPr>
          <w:rFonts w:ascii="仿宋" w:hAnsi="仿宋" w:eastAsiaTheme="minorEastAsia" w:cstheme="minorBidi"/>
          <w:sz w:val="24"/>
        </w:rPr>
      </w:pPr>
      <w:r>
        <w:rPr>
          <w:rFonts w:hint="eastAsia"/>
          <w:sz w:val="24"/>
        </w:rPr>
        <w:t>二、收入决算情况说明</w:t>
      </w:r>
      <w:r>
        <w:rPr>
          <w:rFonts w:asciiTheme="minorEastAsia" w:hAnsiTheme="minorEastAsia" w:eastAsiaTheme="minorEastAsia"/>
        </w:rPr>
        <w:ptab w:relativeTo="margin" w:alignment="right" w:leader="dot"/>
      </w:r>
      <w:r>
        <w:rPr>
          <w:rFonts w:hint="eastAsia" w:ascii="Batang" w:hAnsi="Batang" w:eastAsiaTheme="minorEastAsia"/>
        </w:rPr>
        <w:t>2</w:t>
      </w:r>
    </w:p>
    <w:p w14:paraId="212EAB6C">
      <w:pPr>
        <w:pStyle w:val="13"/>
        <w:adjustRightInd w:val="0"/>
        <w:snapToGrid w:val="0"/>
        <w:spacing w:line="440" w:lineRule="exact"/>
        <w:jc w:val="left"/>
        <w:rPr>
          <w:rFonts w:ascii="仿宋" w:hAnsi="仿宋" w:eastAsiaTheme="minorEastAsia" w:cstheme="minorBidi"/>
          <w:sz w:val="24"/>
        </w:rPr>
      </w:pPr>
      <w:r>
        <w:rPr>
          <w:rFonts w:hint="eastAsia"/>
          <w:sz w:val="24"/>
        </w:rPr>
        <w:t>三、支出决算情况说明</w:t>
      </w:r>
      <w:r>
        <w:rPr>
          <w:rFonts w:asciiTheme="minorEastAsia" w:hAnsiTheme="minorEastAsia" w:eastAsiaTheme="minorEastAsia"/>
        </w:rPr>
        <w:ptab w:relativeTo="margin" w:alignment="right" w:leader="dot"/>
      </w:r>
      <w:r>
        <w:rPr>
          <w:rFonts w:hint="eastAsia" w:ascii="Batang" w:hAnsi="Batang" w:eastAsiaTheme="minorEastAsia"/>
        </w:rPr>
        <w:t>3</w:t>
      </w:r>
    </w:p>
    <w:p w14:paraId="161F41D8">
      <w:pPr>
        <w:pStyle w:val="13"/>
        <w:adjustRightInd w:val="0"/>
        <w:snapToGrid w:val="0"/>
        <w:spacing w:line="440" w:lineRule="exact"/>
        <w:jc w:val="left"/>
        <w:rPr>
          <w:rFonts w:ascii="仿宋" w:hAnsi="仿宋" w:eastAsiaTheme="minorEastAsia" w:cstheme="minorBidi"/>
          <w:sz w:val="24"/>
        </w:rPr>
      </w:pPr>
      <w:r>
        <w:rPr>
          <w:rFonts w:hint="eastAsia"/>
          <w:sz w:val="24"/>
        </w:rPr>
        <w:t>四、财政拨款收入支出决算总体情况说明</w:t>
      </w:r>
      <w:r>
        <w:rPr>
          <w:rFonts w:asciiTheme="minorEastAsia" w:hAnsiTheme="minorEastAsia" w:eastAsiaTheme="minorEastAsia"/>
        </w:rPr>
        <w:ptab w:relativeTo="margin" w:alignment="right" w:leader="dot"/>
      </w:r>
      <w:r>
        <w:rPr>
          <w:rFonts w:hint="eastAsia" w:ascii="Batang" w:hAnsi="Batang" w:eastAsiaTheme="minorEastAsia"/>
        </w:rPr>
        <w:t>3</w:t>
      </w:r>
    </w:p>
    <w:p w14:paraId="06A47BCE">
      <w:pPr>
        <w:pStyle w:val="13"/>
        <w:adjustRightInd w:val="0"/>
        <w:snapToGrid w:val="0"/>
        <w:spacing w:line="440" w:lineRule="exact"/>
        <w:jc w:val="left"/>
        <w:rPr>
          <w:rFonts w:ascii="仿宋" w:hAnsi="仿宋" w:eastAsiaTheme="minorEastAsia" w:cstheme="minorBidi"/>
          <w:sz w:val="24"/>
        </w:rPr>
      </w:pPr>
      <w:r>
        <w:rPr>
          <w:rFonts w:hint="eastAsia"/>
          <w:sz w:val="24"/>
        </w:rPr>
        <w:t>五、一般公共预算财政拨款支出决算情况说明</w:t>
      </w:r>
      <w:r>
        <w:rPr>
          <w:rFonts w:asciiTheme="minorEastAsia" w:hAnsiTheme="minorEastAsia" w:eastAsiaTheme="minorEastAsia"/>
        </w:rPr>
        <w:ptab w:relativeTo="margin" w:alignment="right" w:leader="dot"/>
      </w:r>
      <w:r>
        <w:rPr>
          <w:rFonts w:hint="eastAsia" w:ascii="Batang" w:hAnsi="Batang" w:eastAsiaTheme="minorEastAsia"/>
        </w:rPr>
        <w:t>4</w:t>
      </w:r>
    </w:p>
    <w:p w14:paraId="1137CBA4">
      <w:pPr>
        <w:pStyle w:val="13"/>
        <w:adjustRightInd w:val="0"/>
        <w:snapToGrid w:val="0"/>
        <w:spacing w:line="440" w:lineRule="exact"/>
        <w:jc w:val="left"/>
        <w:rPr>
          <w:rFonts w:ascii="仿宋" w:hAnsi="仿宋" w:eastAsiaTheme="minorEastAsia" w:cstheme="minorBidi"/>
          <w:sz w:val="24"/>
        </w:rPr>
      </w:pPr>
      <w:r>
        <w:rPr>
          <w:rFonts w:hint="eastAsia"/>
          <w:sz w:val="24"/>
        </w:rPr>
        <w:t>六、一般公共预算财政拨款基本支出决算情况说明</w:t>
      </w:r>
      <w:r>
        <w:rPr>
          <w:rFonts w:asciiTheme="minorEastAsia" w:hAnsiTheme="minorEastAsia" w:eastAsiaTheme="minorEastAsia"/>
        </w:rPr>
        <w:ptab w:relativeTo="margin" w:alignment="right" w:leader="dot"/>
      </w:r>
      <w:r>
        <w:rPr>
          <w:rFonts w:hint="eastAsia" w:ascii="Batang" w:hAnsi="Batang" w:eastAsiaTheme="minorEastAsia"/>
        </w:rPr>
        <w:t>7</w:t>
      </w:r>
    </w:p>
    <w:p w14:paraId="0B77C50C">
      <w:pPr>
        <w:pStyle w:val="13"/>
        <w:adjustRightInd w:val="0"/>
        <w:snapToGrid w:val="0"/>
        <w:spacing w:line="440" w:lineRule="exact"/>
        <w:jc w:val="left"/>
        <w:rPr>
          <w:rFonts w:ascii="仿宋" w:hAnsi="仿宋" w:eastAsiaTheme="minorEastAsia" w:cstheme="minorBidi"/>
          <w:sz w:val="24"/>
        </w:rPr>
      </w:pPr>
      <w:r>
        <w:rPr>
          <w:rFonts w:hint="eastAsia"/>
          <w:sz w:val="24"/>
        </w:rPr>
        <w:t>七、财政拨款“三公”经费支出决算情况说明</w:t>
      </w:r>
      <w:r>
        <w:rPr>
          <w:rFonts w:asciiTheme="minorEastAsia" w:hAnsiTheme="minorEastAsia" w:eastAsiaTheme="minorEastAsia"/>
        </w:rPr>
        <w:ptab w:relativeTo="margin" w:alignment="right" w:leader="dot"/>
      </w:r>
      <w:r>
        <w:rPr>
          <w:rFonts w:hint="eastAsia" w:ascii="Batang" w:hAnsi="Batang" w:eastAsiaTheme="minorEastAsia"/>
        </w:rPr>
        <w:t>7</w:t>
      </w:r>
    </w:p>
    <w:p w14:paraId="5B99CD1F">
      <w:pPr>
        <w:pStyle w:val="13"/>
        <w:adjustRightInd w:val="0"/>
        <w:snapToGrid w:val="0"/>
        <w:spacing w:line="440" w:lineRule="exact"/>
        <w:jc w:val="left"/>
        <w:rPr>
          <w:rFonts w:ascii="仿宋" w:hAnsi="仿宋" w:eastAsiaTheme="minorEastAsia" w:cstheme="minorBidi"/>
          <w:sz w:val="24"/>
        </w:rPr>
      </w:pPr>
      <w:r>
        <w:rPr>
          <w:rFonts w:hint="eastAsia"/>
          <w:sz w:val="24"/>
        </w:rPr>
        <w:t>八、政府性基金预算支出决算情况说明</w:t>
      </w:r>
      <w:r>
        <w:rPr>
          <w:rFonts w:asciiTheme="minorEastAsia" w:hAnsiTheme="minorEastAsia" w:eastAsiaTheme="minorEastAsia"/>
        </w:rPr>
        <w:ptab w:relativeTo="margin" w:alignment="right" w:leader="dot"/>
      </w:r>
      <w:r>
        <w:rPr>
          <w:rFonts w:hint="eastAsia" w:ascii="Batang" w:hAnsi="Batang" w:eastAsiaTheme="minorEastAsia"/>
        </w:rPr>
        <w:t>9</w:t>
      </w:r>
    </w:p>
    <w:p w14:paraId="3A976F0D">
      <w:pPr>
        <w:pStyle w:val="13"/>
        <w:adjustRightInd w:val="0"/>
        <w:snapToGrid w:val="0"/>
        <w:spacing w:line="440" w:lineRule="exact"/>
        <w:ind w:leftChars="0"/>
        <w:jc w:val="left"/>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九、国有资本经营预算支出决算情况说明</w:t>
      </w:r>
      <w:r>
        <w:rPr>
          <w:rFonts w:asciiTheme="minorEastAsia" w:hAnsiTheme="minorEastAsia" w:eastAsiaTheme="minorEastAsia"/>
        </w:rPr>
        <w:ptab w:relativeTo="margin" w:alignment="right" w:leader="dot"/>
      </w:r>
      <w:r>
        <w:rPr>
          <w:rFonts w:hint="eastAsia" w:ascii="Batang" w:hAnsi="Batang" w:eastAsiaTheme="minorEastAsia"/>
          <w:lang w:val="en-US" w:eastAsia="zh-CN"/>
        </w:rPr>
        <w:t>9</w:t>
      </w:r>
    </w:p>
    <w:p w14:paraId="64DD77DE">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asciiTheme="minorEastAsia" w:hAnsiTheme="minorEastAsia" w:eastAsiaTheme="minorEastAsia"/>
        </w:rPr>
        <w:ptab w:relativeTo="margin" w:alignment="right" w:leader="dot"/>
      </w:r>
      <w:r>
        <w:rPr>
          <w:rFonts w:hint="eastAsia" w:ascii="Batang" w:hAnsi="Batang" w:eastAsiaTheme="minorEastAsia"/>
        </w:rPr>
        <w:t>10</w:t>
      </w:r>
      <w:r>
        <w:rPr>
          <w:rFonts w:hint="eastAsia" w:asciiTheme="minorEastAsia" w:hAnsiTheme="minorEastAsia" w:eastAsiaTheme="minorEastAsia" w:cstheme="minorEastAsia"/>
          <w:sz w:val="24"/>
        </w:rPr>
        <w:t xml:space="preserve"> </w:t>
      </w:r>
    </w:p>
    <w:p w14:paraId="55124AA6">
      <w:pPr>
        <w:adjustRightInd w:val="0"/>
        <w:snapToGrid w:val="0"/>
        <w:spacing w:line="440" w:lineRule="exact"/>
        <w:jc w:val="left"/>
        <w:rPr>
          <w:rFonts w:hint="eastAsia" w:ascii="黑体" w:hAnsi="黑体" w:eastAsiaTheme="minorEastAsia" w:cstheme="minorBidi"/>
          <w:sz w:val="24"/>
          <w:lang w:eastAsia="zh-CN"/>
        </w:rPr>
      </w:pPr>
      <w:r>
        <w:rPr>
          <w:rFonts w:hint="eastAsia" w:ascii="黑体" w:hAnsi="黑体" w:eastAsia="黑体"/>
          <w:sz w:val="24"/>
        </w:rPr>
        <w:t>第三部分</w:t>
      </w:r>
      <w:r>
        <w:rPr>
          <w:rFonts w:hint="eastAsia" w:ascii="黑体" w:hAnsi="黑体" w:eastAsia="黑体"/>
          <w:sz w:val="24"/>
          <w:lang w:val="en-US" w:eastAsia="zh-CN"/>
        </w:rPr>
        <w:t xml:space="preserve"> </w:t>
      </w:r>
      <w:r>
        <w:rPr>
          <w:rFonts w:hint="eastAsia" w:ascii="黑体" w:hAnsi="黑体" w:eastAsia="黑体"/>
          <w:sz w:val="24"/>
        </w:rPr>
        <w:t>名词解释</w:t>
      </w:r>
      <w:r>
        <w:rPr>
          <w:rFonts w:asciiTheme="minorEastAsia" w:hAnsiTheme="minorEastAsia" w:eastAsiaTheme="minorEastAsia"/>
        </w:rPr>
        <w:ptab w:relativeTo="margin" w:alignment="right" w:leader="dot"/>
      </w:r>
      <w:r>
        <w:rPr>
          <w:rFonts w:hint="eastAsia" w:ascii="Batang" w:hAnsi="Batang" w:eastAsiaTheme="minorEastAsia"/>
        </w:rPr>
        <w:t>1</w:t>
      </w:r>
      <w:r>
        <w:rPr>
          <w:rFonts w:hint="eastAsia" w:ascii="Batang" w:hAnsi="Batang" w:eastAsiaTheme="minorEastAsia"/>
          <w:lang w:val="en-US" w:eastAsia="zh-CN"/>
        </w:rPr>
        <w:t>1</w:t>
      </w:r>
    </w:p>
    <w:p w14:paraId="2F868CC5">
      <w:pPr>
        <w:pStyle w:val="12"/>
        <w:adjustRightInd w:val="0"/>
        <w:snapToGrid w:val="0"/>
        <w:spacing w:before="0" w:line="440" w:lineRule="exact"/>
        <w:jc w:val="left"/>
        <w:rPr>
          <w:rFonts w:hint="eastAsia" w:ascii="黑体" w:hAnsi="黑体" w:eastAsiaTheme="minorEastAsia" w:cstheme="minorBidi"/>
          <w:sz w:val="24"/>
          <w:szCs w:val="24"/>
          <w:lang w:eastAsia="zh-CN"/>
        </w:rPr>
      </w:pPr>
      <w:r>
        <w:rPr>
          <w:rFonts w:hint="eastAsia" w:ascii="黑体" w:hAnsi="黑体" w:eastAsia="黑体"/>
          <w:sz w:val="24"/>
        </w:rPr>
        <w:t>第四部分</w:t>
      </w:r>
      <w:r>
        <w:rPr>
          <w:rFonts w:hint="eastAsia" w:ascii="黑体" w:hAnsi="黑体" w:eastAsia="黑体"/>
          <w:sz w:val="24"/>
          <w:lang w:val="en-US" w:eastAsia="zh-CN"/>
        </w:rPr>
        <w:t xml:space="preserve"> </w:t>
      </w:r>
      <w:r>
        <w:rPr>
          <w:rFonts w:hint="eastAsia" w:ascii="黑体" w:hAnsi="黑体" w:eastAsia="黑体"/>
          <w:sz w:val="24"/>
        </w:rPr>
        <w:t>附件</w:t>
      </w:r>
      <w:r>
        <w:rPr>
          <w:rFonts w:asciiTheme="minorEastAsia" w:hAnsiTheme="minorEastAsia" w:eastAsiaTheme="minorEastAsia"/>
        </w:rPr>
        <w:ptab w:relativeTo="margin" w:alignment="right" w:leader="dot"/>
      </w:r>
      <w:r>
        <w:rPr>
          <w:rFonts w:hint="eastAsia" w:ascii="Batang" w:hAnsi="Batang" w:eastAsiaTheme="minorEastAsia"/>
          <w:sz w:val="21"/>
          <w:szCs w:val="24"/>
        </w:rPr>
        <w:t>1</w:t>
      </w:r>
      <w:r>
        <w:rPr>
          <w:rFonts w:hint="eastAsia" w:ascii="Batang" w:hAnsi="Batang" w:eastAsiaTheme="minorEastAsia"/>
          <w:sz w:val="21"/>
          <w:szCs w:val="24"/>
          <w:lang w:val="en-US" w:eastAsia="zh-CN"/>
        </w:rPr>
        <w:t>5</w:t>
      </w:r>
    </w:p>
    <w:p w14:paraId="3AA58282">
      <w:pPr>
        <w:pStyle w:val="12"/>
        <w:adjustRightInd w:val="0"/>
        <w:snapToGrid w:val="0"/>
        <w:spacing w:before="0" w:line="440" w:lineRule="exact"/>
        <w:jc w:val="left"/>
        <w:rPr>
          <w:rFonts w:hint="default" w:ascii="黑体" w:hAnsi="黑体" w:eastAsiaTheme="minorEastAsia" w:cstheme="minorBidi"/>
          <w:sz w:val="24"/>
          <w:szCs w:val="24"/>
          <w:lang w:val="en-US" w:eastAsia="zh-CN"/>
        </w:rPr>
      </w:pPr>
      <w:r>
        <w:rPr>
          <w:rFonts w:hint="eastAsia" w:ascii="黑体" w:hAnsi="黑体" w:eastAsia="黑体"/>
          <w:sz w:val="24"/>
        </w:rPr>
        <w:t>第五部分</w:t>
      </w:r>
      <w:r>
        <w:rPr>
          <w:rFonts w:hint="eastAsia" w:ascii="黑体" w:hAnsi="黑体" w:eastAsia="黑体"/>
          <w:sz w:val="24"/>
          <w:lang w:val="en-US" w:eastAsia="zh-CN"/>
        </w:rPr>
        <w:t xml:space="preserve"> </w:t>
      </w:r>
      <w:r>
        <w:rPr>
          <w:rFonts w:hint="eastAsia" w:ascii="黑体" w:hAnsi="黑体" w:eastAsia="黑体"/>
          <w:sz w:val="24"/>
        </w:rPr>
        <w:t>附表</w:t>
      </w:r>
      <w:r>
        <w:rPr>
          <w:rFonts w:asciiTheme="minorEastAsia" w:hAnsiTheme="minorEastAsia" w:eastAsiaTheme="minorEastAsia"/>
        </w:rPr>
        <w:ptab w:relativeTo="margin" w:alignment="right" w:leader="dot"/>
      </w:r>
      <w:r>
        <w:rPr>
          <w:rFonts w:hint="eastAsia" w:ascii="Batang" w:hAnsi="Batang" w:eastAsiaTheme="minorEastAsia"/>
          <w:sz w:val="21"/>
          <w:szCs w:val="24"/>
          <w:lang w:val="en-US" w:eastAsia="zh-CN"/>
        </w:rPr>
        <w:t>16</w:t>
      </w:r>
    </w:p>
    <w:p w14:paraId="449811C7">
      <w:pPr>
        <w:pStyle w:val="13"/>
        <w:adjustRightInd w:val="0"/>
        <w:snapToGrid w:val="0"/>
        <w:spacing w:line="440" w:lineRule="exact"/>
        <w:jc w:val="left"/>
        <w:rPr>
          <w:rFonts w:hint="default" w:eastAsiaTheme="minorEastAsia"/>
          <w:sz w:val="24"/>
          <w:lang w:val="en-US" w:eastAsia="zh-CN"/>
        </w:rPr>
      </w:pPr>
      <w:r>
        <w:rPr>
          <w:rFonts w:hint="eastAsia"/>
          <w:sz w:val="24"/>
        </w:rPr>
        <w:t>一、收入支出决算总表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12C1E3B9">
      <w:pPr>
        <w:pStyle w:val="13"/>
        <w:adjustRightInd w:val="0"/>
        <w:snapToGrid w:val="0"/>
        <w:spacing w:line="440" w:lineRule="exact"/>
        <w:jc w:val="left"/>
        <w:rPr>
          <w:rFonts w:hint="default" w:eastAsiaTheme="minorEastAsia"/>
          <w:sz w:val="24"/>
          <w:lang w:val="en-US" w:eastAsia="zh-CN"/>
        </w:rPr>
      </w:pPr>
      <w:r>
        <w:rPr>
          <w:rFonts w:hint="eastAsia"/>
          <w:sz w:val="24"/>
        </w:rPr>
        <w:t>二、收入决算表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07F49030">
      <w:pPr>
        <w:pStyle w:val="13"/>
        <w:adjustRightInd w:val="0"/>
        <w:snapToGrid w:val="0"/>
        <w:spacing w:line="440" w:lineRule="exact"/>
        <w:jc w:val="left"/>
        <w:rPr>
          <w:rFonts w:hint="default" w:eastAsiaTheme="minorEastAsia"/>
          <w:sz w:val="24"/>
          <w:lang w:val="en-US" w:eastAsia="zh-CN"/>
        </w:rPr>
      </w:pPr>
      <w:r>
        <w:rPr>
          <w:rFonts w:hint="eastAsia"/>
          <w:sz w:val="24"/>
        </w:rPr>
        <w:t>三、支出决算表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6B8DB26B">
      <w:pPr>
        <w:pStyle w:val="13"/>
        <w:adjustRightInd w:val="0"/>
        <w:snapToGrid w:val="0"/>
        <w:spacing w:line="440" w:lineRule="exact"/>
        <w:jc w:val="left"/>
        <w:rPr>
          <w:rFonts w:hint="default" w:eastAsiaTheme="minorEastAsia"/>
          <w:sz w:val="24"/>
          <w:lang w:val="en-US" w:eastAsia="zh-CN"/>
        </w:rPr>
      </w:pPr>
      <w:r>
        <w:rPr>
          <w:rFonts w:hint="eastAsia"/>
          <w:sz w:val="24"/>
        </w:rPr>
        <w:t>四、财政拨款收入支出决算总表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355B56D7">
      <w:pPr>
        <w:pStyle w:val="13"/>
        <w:adjustRightInd w:val="0"/>
        <w:snapToGrid w:val="0"/>
        <w:spacing w:line="440" w:lineRule="exact"/>
        <w:jc w:val="left"/>
        <w:rPr>
          <w:rFonts w:hint="default" w:eastAsiaTheme="minorEastAsia"/>
          <w:sz w:val="24"/>
          <w:lang w:val="en-US" w:eastAsia="zh-CN"/>
        </w:rPr>
      </w:pPr>
      <w:r>
        <w:rPr>
          <w:rFonts w:hint="eastAsia"/>
          <w:sz w:val="24"/>
        </w:rPr>
        <w:t>五、财政拨款支出决算明细表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41CE48D6">
      <w:pPr>
        <w:pStyle w:val="13"/>
        <w:adjustRightInd w:val="0"/>
        <w:snapToGrid w:val="0"/>
        <w:spacing w:line="440" w:lineRule="exact"/>
        <w:jc w:val="left"/>
        <w:rPr>
          <w:rFonts w:hint="default" w:eastAsiaTheme="minorEastAsia"/>
          <w:sz w:val="24"/>
          <w:lang w:val="en-US" w:eastAsia="zh-CN"/>
        </w:rPr>
      </w:pPr>
      <w:r>
        <w:rPr>
          <w:rFonts w:hint="eastAsia"/>
          <w:sz w:val="24"/>
        </w:rPr>
        <w:t>六、一般公共预算财政拨款支出决算表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1BCFDE20">
      <w:pPr>
        <w:pStyle w:val="13"/>
        <w:adjustRightInd w:val="0"/>
        <w:snapToGrid w:val="0"/>
        <w:spacing w:line="440" w:lineRule="exact"/>
        <w:jc w:val="left"/>
        <w:rPr>
          <w:rFonts w:hint="default" w:eastAsiaTheme="minorEastAsia"/>
          <w:sz w:val="24"/>
          <w:lang w:val="en-US" w:eastAsia="zh-CN"/>
        </w:rPr>
      </w:pPr>
      <w:r>
        <w:rPr>
          <w:rFonts w:hint="eastAsia"/>
          <w:sz w:val="24"/>
        </w:rPr>
        <w:t>七、一般公共预算财政拨款支出决算明细表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44736BA3">
      <w:pPr>
        <w:pStyle w:val="13"/>
        <w:adjustRightInd w:val="0"/>
        <w:snapToGrid w:val="0"/>
        <w:spacing w:line="440" w:lineRule="exact"/>
        <w:jc w:val="left"/>
        <w:rPr>
          <w:rFonts w:hint="default" w:eastAsiaTheme="minorEastAsia"/>
          <w:sz w:val="24"/>
          <w:lang w:val="en-US" w:eastAsia="zh-CN"/>
        </w:rPr>
      </w:pPr>
      <w:r>
        <w:rPr>
          <w:rFonts w:hint="eastAsia"/>
          <w:sz w:val="24"/>
        </w:rPr>
        <w:t>八、一般公共预算财政拨款基本支出决算明细表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5F0C2509">
      <w:pPr>
        <w:pStyle w:val="13"/>
        <w:adjustRightInd w:val="0"/>
        <w:snapToGrid w:val="0"/>
        <w:spacing w:line="440" w:lineRule="exact"/>
        <w:jc w:val="left"/>
        <w:rPr>
          <w:rFonts w:hint="default" w:eastAsiaTheme="minorEastAsia"/>
          <w:sz w:val="24"/>
          <w:lang w:val="en-US" w:eastAsia="zh-CN"/>
        </w:rPr>
      </w:pPr>
      <w:r>
        <w:rPr>
          <w:rFonts w:hint="eastAsia"/>
          <w:sz w:val="24"/>
        </w:rPr>
        <w:t>九、一般公共预算财政拨款项目支出决算表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06FE7E59">
      <w:pPr>
        <w:pStyle w:val="13"/>
        <w:adjustRightInd w:val="0"/>
        <w:snapToGrid w:val="0"/>
        <w:spacing w:line="440" w:lineRule="exact"/>
        <w:jc w:val="left"/>
        <w:rPr>
          <w:rFonts w:hint="eastAsia"/>
          <w:sz w:val="24"/>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p>
    <w:p w14:paraId="3BE45C8E">
      <w:pPr>
        <w:pStyle w:val="13"/>
        <w:adjustRightInd w:val="0"/>
        <w:snapToGrid w:val="0"/>
        <w:spacing w:line="440" w:lineRule="exact"/>
        <w:jc w:val="left"/>
        <w:rPr>
          <w:rFonts w:hint="default" w:eastAsiaTheme="minorEastAsia"/>
          <w:sz w:val="24"/>
          <w:lang w:val="en-US" w:eastAsia="zh-CN"/>
        </w:rPr>
      </w:pPr>
      <w:r>
        <w:rPr>
          <w:rFonts w:hint="eastAsia"/>
          <w:sz w:val="24"/>
        </w:rPr>
        <w:t>十、政府性基金预算财政拨款收入支出决算表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2EFE83AF">
      <w:pPr>
        <w:pStyle w:val="13"/>
        <w:adjustRightInd w:val="0"/>
        <w:snapToGrid w:val="0"/>
        <w:spacing w:line="440" w:lineRule="exact"/>
        <w:jc w:val="left"/>
        <w:rPr>
          <w:rFonts w:hint="default" w:eastAsiaTheme="minorEastAsia"/>
          <w:sz w:val="24"/>
          <w:lang w:val="en-US" w:eastAsia="zh-CN"/>
        </w:rPr>
      </w:pPr>
      <w:r>
        <w:rPr>
          <w:rFonts w:hint="eastAsia"/>
          <w:sz w:val="24"/>
        </w:rPr>
        <w:t>十一、国有资本经营预算财政拨款收入支出决算表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2F5E3CEF">
      <w:pPr>
        <w:pStyle w:val="13"/>
        <w:adjustRightInd w:val="0"/>
        <w:snapToGrid w:val="0"/>
        <w:spacing w:line="440" w:lineRule="exact"/>
        <w:jc w:val="left"/>
        <w:rPr>
          <w:rFonts w:hint="default" w:eastAsiaTheme="minorEastAsia"/>
          <w:sz w:val="24"/>
          <w:lang w:val="en-US" w:eastAsia="zh-CN"/>
        </w:rPr>
      </w:pPr>
      <w:r>
        <w:rPr>
          <w:rFonts w:hint="eastAsia"/>
          <w:sz w:val="24"/>
        </w:rPr>
        <w:t>十二、国有资本经营预算财政拨款支出决算表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3BCAA6EB">
      <w:pPr>
        <w:pStyle w:val="13"/>
        <w:adjustRightInd w:val="0"/>
        <w:snapToGrid w:val="0"/>
        <w:spacing w:line="440" w:lineRule="exact"/>
        <w:jc w:val="left"/>
        <w:rPr>
          <w:rFonts w:hint="default" w:asciiTheme="minorEastAsia" w:hAnsiTheme="minorEastAsia" w:eastAsiaTheme="minorEastAsia" w:cstheme="minorEastAsia"/>
          <w:sz w:val="24"/>
          <w:lang w:val="en-US" w:eastAsia="zh-CN"/>
        </w:rPr>
      </w:pPr>
      <w:r>
        <w:rPr>
          <w:rFonts w:hint="eastAsia"/>
          <w:sz w:val="24"/>
        </w:rPr>
        <w:t>十三、财政拨款“三公”经费支出决算表</w:t>
      </w:r>
      <w:r>
        <w:rPr>
          <w:rFonts w:asciiTheme="minorEastAsia" w:hAnsiTheme="minorEastAsia" w:eastAsiaTheme="minorEastAsia"/>
        </w:rPr>
        <w:ptab w:relativeTo="margin" w:alignment="right" w:leader="dot"/>
      </w:r>
      <w:r>
        <w:rPr>
          <w:rFonts w:hint="eastAsia" w:ascii="Batang" w:hAnsi="Batang" w:eastAsiaTheme="minorEastAsia"/>
          <w:lang w:val="en-US" w:eastAsia="zh-CN"/>
        </w:rPr>
        <w:t>16</w:t>
      </w:r>
    </w:p>
    <w:p w14:paraId="11B6878F">
      <w:pPr>
        <w:widowControl/>
        <w:spacing w:line="440" w:lineRule="exact"/>
        <w:jc w:val="left"/>
        <w:rPr>
          <w:rFonts w:ascii="仿宋" w:hAnsi="仿宋" w:eastAsia="仿宋"/>
          <w:b/>
          <w:sz w:val="24"/>
        </w:rPr>
        <w:sectPr>
          <w:footerReference r:id="rId7" w:type="default"/>
          <w:pgSz w:w="11906" w:h="16838"/>
          <w:pgMar w:top="1440" w:right="1800" w:bottom="1440" w:left="1800" w:header="851" w:footer="992" w:gutter="0"/>
          <w:pgNumType w:start="1"/>
          <w:cols w:space="425" w:num="1"/>
          <w:docGrid w:type="lines" w:linePitch="312" w:charSpace="0"/>
        </w:sectPr>
      </w:pPr>
      <w:bookmarkStart w:id="12" w:name="_Toc15396599"/>
      <w:bookmarkStart w:id="13" w:name="_Toc15377196"/>
      <w:r>
        <w:rPr>
          <w:rFonts w:ascii="仿宋" w:hAnsi="仿宋" w:eastAsia="仿宋"/>
          <w:b/>
          <w:sz w:val="24"/>
        </w:rPr>
        <w:br w:type="page"/>
      </w:r>
    </w:p>
    <w:p w14:paraId="6ED0D6E4">
      <w:pPr>
        <w:pStyle w:val="3"/>
        <w:jc w:val="center"/>
        <w:rPr>
          <w:rFonts w:ascii="黑体" w:hAnsi="黑体" w:eastAsia="黑体"/>
          <w:bCs w:val="0"/>
        </w:rPr>
      </w:pPr>
      <w:r>
        <w:rPr>
          <w:rFonts w:hint="eastAsia" w:ascii="黑体" w:hAnsi="黑体" w:eastAsia="黑体"/>
          <w:b w:val="0"/>
        </w:rPr>
        <w:t xml:space="preserve">第一部分 </w:t>
      </w:r>
      <w:r>
        <w:rPr>
          <w:rStyle w:val="27"/>
          <w:rFonts w:hint="eastAsia" w:ascii="黑体" w:hAnsi="黑体" w:eastAsia="黑体"/>
          <w:b w:val="0"/>
          <w:bCs w:val="0"/>
          <w:lang w:eastAsia="zh-CN"/>
        </w:rPr>
        <w:t>单位</w:t>
      </w:r>
      <w:r>
        <w:rPr>
          <w:rStyle w:val="27"/>
          <w:rFonts w:hint="eastAsia" w:ascii="黑体" w:hAnsi="黑体" w:eastAsia="黑体"/>
          <w:b w:val="0"/>
          <w:bCs w:val="0"/>
        </w:rPr>
        <w:t>概况</w:t>
      </w:r>
      <w:bookmarkEnd w:id="12"/>
      <w:bookmarkEnd w:id="13"/>
    </w:p>
    <w:p w14:paraId="32CED2E0">
      <w:pPr>
        <w:pStyle w:val="4"/>
        <w:pageBreakBefore w:val="0"/>
        <w:numPr>
          <w:ilvl w:val="0"/>
          <w:numId w:val="1"/>
        </w:numPr>
        <w:kinsoku/>
        <w:wordWrap/>
        <w:overflowPunct/>
        <w:topLinePunct w:val="0"/>
        <w:autoSpaceDE/>
        <w:autoSpaceDN/>
        <w:bidi w:val="0"/>
        <w:spacing w:line="560" w:lineRule="exact"/>
        <w:textAlignment w:val="auto"/>
        <w:rPr>
          <w:rFonts w:ascii="黑体" w:hAnsi="黑体" w:eastAsia="黑体"/>
          <w:b w:val="0"/>
        </w:rPr>
      </w:pPr>
      <w:r>
        <w:rPr>
          <w:rFonts w:hint="eastAsia" w:ascii="黑体" w:hAnsi="黑体" w:eastAsia="黑体"/>
          <w:b w:val="0"/>
          <w:lang w:eastAsia="zh-CN"/>
        </w:rPr>
        <w:t>主要</w:t>
      </w:r>
      <w:r>
        <w:rPr>
          <w:rFonts w:hint="eastAsia" w:ascii="黑体" w:hAnsi="黑体" w:eastAsia="黑体"/>
          <w:b w:val="0"/>
        </w:rPr>
        <w:t>职责</w:t>
      </w:r>
    </w:p>
    <w:p w14:paraId="248B8C59">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负责贯彻执行国家、省、市、县有关工作的方针、政策和法律、法规。负责全县气象观测、天气预报、气象服务、人工影响天气、气象防灾减灾、防雷减灾、农村经济信息网等工作。</w:t>
      </w:r>
    </w:p>
    <w:p w14:paraId="1E76719A">
      <w:pPr>
        <w:pStyle w:val="4"/>
        <w:pageBreakBefore w:val="0"/>
        <w:kinsoku/>
        <w:wordWrap/>
        <w:overflowPunct/>
        <w:topLinePunct w:val="0"/>
        <w:autoSpaceDE/>
        <w:autoSpaceDN/>
        <w:bidi w:val="0"/>
        <w:spacing w:line="560" w:lineRule="exact"/>
        <w:textAlignment w:val="auto"/>
        <w:rPr>
          <w:rStyle w:val="28"/>
          <w:b w:val="0"/>
          <w:bCs w:val="0"/>
        </w:rPr>
      </w:pPr>
      <w:bookmarkStart w:id="14" w:name="_Toc15377200"/>
      <w:bookmarkStart w:id="15" w:name="_Toc15396601"/>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14"/>
      <w:bookmarkEnd w:id="15"/>
    </w:p>
    <w:p w14:paraId="33C7B71F">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攀枝花市盐边县气象局下属二级预算单位0个，其中行政单位0个，参照公务员法管理的事业单位0个，其他事业单位0个。</w:t>
      </w:r>
    </w:p>
    <w:p w14:paraId="5B2924C6">
      <w:pPr>
        <w:widowControl/>
        <w:jc w:val="left"/>
        <w:rPr>
          <w:rFonts w:ascii="仿宋" w:hAnsi="仿宋" w:eastAsia="仿宋"/>
          <w:kern w:val="0"/>
          <w:sz w:val="32"/>
          <w:szCs w:val="32"/>
        </w:rPr>
      </w:pPr>
      <w:r>
        <w:rPr>
          <w:rFonts w:ascii="仿宋" w:hAnsi="仿宋" w:eastAsia="仿宋"/>
          <w:sz w:val="32"/>
          <w:szCs w:val="32"/>
        </w:rPr>
        <w:br w:type="page"/>
      </w:r>
    </w:p>
    <w:p w14:paraId="52DDCB3A">
      <w:pPr>
        <w:pStyle w:val="3"/>
        <w:ind w:right="440"/>
        <w:jc w:val="center"/>
        <w:rPr>
          <w:rFonts w:ascii="黑体" w:hAnsi="黑体" w:eastAsia="黑体"/>
          <w:b w:val="0"/>
        </w:rPr>
      </w:pPr>
      <w:bookmarkStart w:id="16" w:name="_Toc15396602"/>
      <w:bookmarkStart w:id="17" w:name="_Toc15377204"/>
      <w:r>
        <w:rPr>
          <w:rFonts w:hint="eastAsia" w:ascii="黑体" w:hAnsi="黑体" w:eastAsia="黑体"/>
          <w:b w:val="0"/>
        </w:rPr>
        <w:t>第二部分 202</w:t>
      </w:r>
      <w:r>
        <w:rPr>
          <w:rFonts w:hint="eastAsia" w:ascii="黑体" w:hAnsi="黑体" w:eastAsia="黑体"/>
          <w:b w:val="0"/>
          <w:lang w:val="en-US" w:eastAsia="zh-CN"/>
        </w:rPr>
        <w:t>3</w:t>
      </w:r>
      <w:r>
        <w:rPr>
          <w:rFonts w:hint="eastAsia" w:ascii="黑体" w:hAnsi="黑体" w:eastAsia="黑体"/>
          <w:b w:val="0"/>
        </w:rPr>
        <w:t>年度</w:t>
      </w:r>
      <w:r>
        <w:rPr>
          <w:rStyle w:val="27"/>
          <w:rFonts w:hint="eastAsia" w:ascii="黑体" w:hAnsi="黑体" w:eastAsia="黑体"/>
          <w:b w:val="0"/>
          <w:bCs/>
          <w:lang w:eastAsia="zh-CN"/>
        </w:rPr>
        <w:t>单位</w:t>
      </w:r>
      <w:r>
        <w:rPr>
          <w:rStyle w:val="27"/>
          <w:rFonts w:hint="eastAsia" w:ascii="黑体" w:hAnsi="黑体" w:eastAsia="黑体"/>
          <w:b w:val="0"/>
          <w:bCs/>
        </w:rPr>
        <w:t>决算情况说明</w:t>
      </w:r>
      <w:bookmarkEnd w:id="16"/>
      <w:bookmarkEnd w:id="17"/>
    </w:p>
    <w:p w14:paraId="02EBEB64">
      <w:pPr>
        <w:pStyle w:val="26"/>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28693C26">
      <w:pPr>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sz w:val="32"/>
          <w:szCs w:val="32"/>
        </w:rPr>
        <w:t>2023年度收、支总计均为</w:t>
      </w:r>
      <w:r>
        <w:rPr>
          <w:rFonts w:hint="eastAsia" w:ascii="仿宋_GB2312" w:hAnsi="仿宋_GB2312" w:eastAsia="仿宋_GB2312" w:cs="仿宋_GB2312"/>
          <w:sz w:val="32"/>
          <w:szCs w:val="32"/>
          <w:lang w:val="en-US" w:eastAsia="zh-CN"/>
        </w:rPr>
        <w:t>501.88</w:t>
      </w:r>
      <w:bookmarkStart w:id="62" w:name="_GoBack"/>
      <w:bookmarkEnd w:id="62"/>
      <w:r>
        <w:rPr>
          <w:rFonts w:hint="eastAsia" w:ascii="仿宋_GB2312" w:hAnsi="仿宋_GB2312" w:eastAsia="仿宋_GB2312" w:cs="仿宋_GB2312"/>
          <w:sz w:val="32"/>
          <w:szCs w:val="32"/>
        </w:rPr>
        <w:t>万元。与202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年度相比，收、支总计各增加</w:t>
      </w:r>
      <w:r>
        <w:rPr>
          <w:rFonts w:hint="eastAsia" w:ascii="仿宋_GB2312" w:hAnsi="仿宋_GB2312" w:eastAsia="仿宋_GB2312" w:cs="仿宋_GB2312"/>
          <w:sz w:val="32"/>
          <w:szCs w:val="32"/>
          <w:lang w:val="en-US" w:eastAsia="zh-CN"/>
        </w:rPr>
        <w:t>285.56</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132.01</w:t>
      </w:r>
      <w:r>
        <w:rPr>
          <w:rFonts w:hint="eastAsia" w:ascii="仿宋_GB2312" w:hAnsi="仿宋_GB2312" w:eastAsia="仿宋_GB2312" w:cs="仿宋_GB2312"/>
          <w:sz w:val="32"/>
          <w:szCs w:val="32"/>
        </w:rPr>
        <w:t>%。主要变动原因是</w:t>
      </w: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年项目较202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年有所</w:t>
      </w:r>
      <w:r>
        <w:rPr>
          <w:rFonts w:hint="eastAsia" w:ascii="仿宋_GB2312" w:hAnsi="仿宋_GB2312" w:eastAsia="仿宋_GB2312" w:cs="仿宋_GB2312"/>
          <w:color w:val="000000"/>
          <w:sz w:val="32"/>
          <w:szCs w:val="32"/>
          <w:lang w:val="zh-CN" w:eastAsia="zh-CN"/>
        </w:rPr>
        <w:t>增加</w:t>
      </w:r>
      <w:r>
        <w:rPr>
          <w:rFonts w:hint="eastAsia" w:ascii="仿宋_GB2312" w:hAnsi="仿宋_GB2312" w:eastAsia="仿宋_GB2312" w:cs="仿宋_GB2312"/>
          <w:color w:val="000000"/>
          <w:sz w:val="32"/>
          <w:szCs w:val="32"/>
          <w:lang w:val="zh-CN"/>
        </w:rPr>
        <w:t>。</w:t>
      </w:r>
    </w:p>
    <w:p w14:paraId="34722A70">
      <w:pPr>
        <w:pStyle w:val="2"/>
        <w:spacing w:before="93"/>
        <w:jc w:val="center"/>
        <w:rPr>
          <w:lang w:val="zh-CN"/>
        </w:rPr>
      </w:pPr>
      <w:r>
        <w:drawing>
          <wp:inline distT="0" distB="0" distL="114300" distR="114300">
            <wp:extent cx="5168265" cy="2787015"/>
            <wp:effectExtent l="4445" t="4445" r="8890" b="8890"/>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BC97AF3">
      <w:pPr>
        <w:spacing w:line="600" w:lineRule="exact"/>
        <w:ind w:firstLine="640" w:firstLineChars="200"/>
        <w:jc w:val="center"/>
        <w:rPr>
          <w:rFonts w:hint="eastAsia" w:ascii="方正楷体简体" w:hAnsi="仿宋" w:eastAsia="方正楷体简体" w:cs="Times New Roman"/>
          <w:sz w:val="32"/>
          <w:szCs w:val="32"/>
        </w:rPr>
      </w:pPr>
      <w:r>
        <w:rPr>
          <w:rFonts w:hint="eastAsia" w:ascii="方正楷体简体" w:hAnsi="仿宋" w:eastAsia="方正楷体简体" w:cs="Times New Roman"/>
          <w:sz w:val="32"/>
          <w:szCs w:val="32"/>
        </w:rPr>
        <w:t>图1：收、支决算总计变动情况图</w:t>
      </w:r>
    </w:p>
    <w:p w14:paraId="6F8E15BA">
      <w:pPr>
        <w:pStyle w:val="26"/>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57CB50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年本年收入合计</w:t>
      </w:r>
      <w:r>
        <w:rPr>
          <w:rFonts w:hint="eastAsia" w:ascii="仿宋_GB2312" w:hAnsi="仿宋_GB2312" w:eastAsia="仿宋_GB2312" w:cs="仿宋_GB2312"/>
          <w:color w:val="000000"/>
          <w:sz w:val="32"/>
          <w:szCs w:val="32"/>
          <w:lang w:val="en-US" w:eastAsia="zh-CN"/>
        </w:rPr>
        <w:t>501.88</w:t>
      </w:r>
      <w:r>
        <w:rPr>
          <w:rFonts w:hint="eastAsia" w:ascii="仿宋_GB2312" w:hAnsi="仿宋_GB2312" w:eastAsia="仿宋_GB2312" w:cs="仿宋_GB2312"/>
          <w:color w:val="000000"/>
          <w:sz w:val="32"/>
          <w:szCs w:val="32"/>
          <w:lang w:val="zh-CN"/>
        </w:rPr>
        <w:t>万元，其中：一般公共预算财政拨款收入</w:t>
      </w:r>
      <w:r>
        <w:rPr>
          <w:rFonts w:hint="eastAsia" w:ascii="仿宋_GB2312" w:hAnsi="仿宋_GB2312" w:eastAsia="仿宋_GB2312" w:cs="仿宋_GB2312"/>
          <w:color w:val="000000"/>
          <w:sz w:val="32"/>
          <w:szCs w:val="32"/>
          <w:lang w:val="en-US" w:eastAsia="zh-CN"/>
        </w:rPr>
        <w:t>501.88</w:t>
      </w:r>
      <w:r>
        <w:rPr>
          <w:rFonts w:hint="eastAsia" w:ascii="仿宋_GB2312" w:hAnsi="仿宋_GB2312" w:eastAsia="仿宋_GB2312" w:cs="仿宋_GB2312"/>
          <w:color w:val="000000"/>
          <w:sz w:val="32"/>
          <w:szCs w:val="32"/>
          <w:lang w:val="zh-CN"/>
        </w:rPr>
        <w:t>万元，占100%。</w:t>
      </w:r>
    </w:p>
    <w:p w14:paraId="0DD1A05A">
      <w:pPr>
        <w:pStyle w:val="2"/>
        <w:spacing w:before="93"/>
        <w:jc w:val="right"/>
      </w:pPr>
      <w:r>
        <w:drawing>
          <wp:inline distT="0" distB="0" distL="0" distR="0">
            <wp:extent cx="5335270" cy="3015615"/>
            <wp:effectExtent l="4445" t="4445" r="13335" b="889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136EB3E">
      <w:pPr>
        <w:spacing w:line="600" w:lineRule="exact"/>
        <w:ind w:firstLine="640" w:firstLineChars="200"/>
        <w:jc w:val="center"/>
        <w:rPr>
          <w:rFonts w:ascii="方正楷体简体" w:eastAsia="方正楷体简体"/>
          <w:sz w:val="32"/>
          <w:szCs w:val="32"/>
        </w:rPr>
      </w:pPr>
      <w:r>
        <w:rPr>
          <w:rFonts w:hint="eastAsia" w:ascii="方正楷体简体" w:hAnsi="仿宋" w:eastAsia="方正楷体简体"/>
          <w:sz w:val="32"/>
          <w:szCs w:val="32"/>
        </w:rPr>
        <w:t>图2：收入决算结构图</w:t>
      </w:r>
    </w:p>
    <w:p w14:paraId="065AD22A">
      <w:pPr>
        <w:pStyle w:val="26"/>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2AD13A57">
      <w:pPr>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年本年支出合计</w:t>
      </w:r>
      <w:r>
        <w:rPr>
          <w:rFonts w:hint="eastAsia" w:ascii="仿宋_GB2312" w:hAnsi="仿宋_GB2312" w:eastAsia="仿宋_GB2312" w:cs="仿宋_GB2312"/>
          <w:color w:val="000000"/>
          <w:sz w:val="32"/>
          <w:szCs w:val="32"/>
          <w:lang w:val="en-US" w:eastAsia="zh-CN"/>
        </w:rPr>
        <w:t>501.88</w:t>
      </w:r>
      <w:r>
        <w:rPr>
          <w:rFonts w:hint="eastAsia" w:ascii="仿宋_GB2312" w:hAnsi="仿宋_GB2312" w:eastAsia="仿宋_GB2312" w:cs="仿宋_GB2312"/>
          <w:color w:val="000000"/>
          <w:sz w:val="32"/>
          <w:szCs w:val="32"/>
          <w:lang w:val="zh-CN"/>
        </w:rPr>
        <w:t>万元，其中：基本支出</w:t>
      </w:r>
      <w:r>
        <w:rPr>
          <w:rFonts w:hint="eastAsia" w:ascii="仿宋_GB2312" w:hAnsi="仿宋_GB2312" w:eastAsia="仿宋_GB2312" w:cs="仿宋_GB2312"/>
          <w:color w:val="000000"/>
          <w:sz w:val="32"/>
          <w:szCs w:val="32"/>
          <w:lang w:val="en-US" w:eastAsia="zh-CN"/>
        </w:rPr>
        <w:t>70.25</w:t>
      </w:r>
      <w:r>
        <w:rPr>
          <w:rFonts w:hint="eastAsia" w:ascii="仿宋_GB2312" w:hAnsi="仿宋_GB2312" w:eastAsia="仿宋_GB2312" w:cs="仿宋_GB2312"/>
          <w:color w:val="000000"/>
          <w:sz w:val="32"/>
          <w:szCs w:val="32"/>
          <w:lang w:val="zh-CN"/>
        </w:rPr>
        <w:t>万元，占</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lang w:val="en-US" w:eastAsia="zh-CN"/>
        </w:rPr>
        <w:t>00</w:t>
      </w:r>
      <w:r>
        <w:rPr>
          <w:rFonts w:hint="eastAsia" w:ascii="仿宋_GB2312" w:hAnsi="仿宋_GB2312" w:eastAsia="仿宋_GB2312" w:cs="仿宋_GB2312"/>
          <w:color w:val="000000"/>
          <w:sz w:val="32"/>
          <w:szCs w:val="32"/>
          <w:lang w:val="zh-CN"/>
        </w:rPr>
        <w:t>%；项目支出</w:t>
      </w:r>
      <w:r>
        <w:rPr>
          <w:rFonts w:hint="eastAsia" w:ascii="仿宋_GB2312" w:hAnsi="仿宋_GB2312" w:eastAsia="仿宋_GB2312" w:cs="仿宋_GB2312"/>
          <w:color w:val="000000"/>
          <w:sz w:val="32"/>
          <w:szCs w:val="32"/>
          <w:lang w:val="en-US" w:eastAsia="zh-CN"/>
        </w:rPr>
        <w:t>431.63</w:t>
      </w:r>
      <w:r>
        <w:rPr>
          <w:rFonts w:hint="eastAsia" w:ascii="仿宋_GB2312" w:hAnsi="仿宋_GB2312" w:eastAsia="仿宋_GB2312" w:cs="仿宋_GB2312"/>
          <w:color w:val="000000"/>
          <w:sz w:val="32"/>
          <w:szCs w:val="32"/>
          <w:lang w:val="zh-CN"/>
        </w:rPr>
        <w:t>万元，占</w:t>
      </w:r>
      <w:r>
        <w:rPr>
          <w:rFonts w:hint="eastAsia" w:ascii="仿宋_GB2312" w:hAnsi="仿宋_GB2312" w:eastAsia="仿宋_GB2312" w:cs="仿宋_GB2312"/>
          <w:color w:val="000000"/>
          <w:sz w:val="32"/>
          <w:szCs w:val="32"/>
          <w:lang w:val="en-US" w:eastAsia="zh-CN"/>
        </w:rPr>
        <w:t>86.00</w:t>
      </w:r>
      <w:r>
        <w:rPr>
          <w:rFonts w:hint="eastAsia" w:ascii="仿宋_GB2312" w:hAnsi="仿宋_GB2312" w:eastAsia="仿宋_GB2312" w:cs="仿宋_GB2312"/>
          <w:color w:val="000000"/>
          <w:sz w:val="32"/>
          <w:szCs w:val="32"/>
          <w:lang w:val="zh-CN"/>
        </w:rPr>
        <w:t>%。</w:t>
      </w:r>
    </w:p>
    <w:p w14:paraId="763B5BE0">
      <w:pPr>
        <w:pStyle w:val="2"/>
        <w:spacing w:before="93"/>
        <w:jc w:val="center"/>
      </w:pPr>
      <w:r>
        <w:drawing>
          <wp:inline distT="0" distB="0" distL="114300" distR="114300">
            <wp:extent cx="5318125" cy="2999740"/>
            <wp:effectExtent l="4445" t="4445" r="11430" b="5715"/>
            <wp:docPr id="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7833679">
      <w:pPr>
        <w:spacing w:line="600" w:lineRule="exact"/>
        <w:ind w:firstLine="640" w:firstLineChars="200"/>
        <w:jc w:val="center"/>
        <w:rPr>
          <w:rFonts w:ascii="方正楷体简体" w:eastAsia="方正楷体简体"/>
          <w:sz w:val="32"/>
          <w:szCs w:val="32"/>
        </w:rPr>
      </w:pPr>
      <w:r>
        <w:rPr>
          <w:rFonts w:hint="eastAsia" w:ascii="方正楷体简体" w:hAnsi="仿宋" w:eastAsia="方正楷体简体"/>
          <w:sz w:val="32"/>
          <w:szCs w:val="32"/>
        </w:rPr>
        <w:t>图3：支出决算结构图</w:t>
      </w:r>
    </w:p>
    <w:p w14:paraId="13E32BBA">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3339F1D9">
      <w:pPr>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sz w:val="32"/>
          <w:szCs w:val="32"/>
        </w:rPr>
        <w:t>2023年度财政拨款收、支总计均为</w:t>
      </w:r>
      <w:r>
        <w:rPr>
          <w:rFonts w:hint="eastAsia" w:ascii="仿宋_GB2312" w:hAnsi="仿宋_GB2312" w:eastAsia="仿宋_GB2312" w:cs="仿宋_GB2312"/>
          <w:color w:val="000000"/>
          <w:sz w:val="32"/>
          <w:szCs w:val="32"/>
          <w:lang w:val="en-US" w:eastAsia="zh-CN"/>
        </w:rPr>
        <w:t>501.88</w:t>
      </w:r>
      <w:r>
        <w:rPr>
          <w:rFonts w:hint="eastAsia" w:ascii="仿宋_GB2312" w:hAnsi="仿宋_GB2312" w:eastAsia="仿宋_GB2312" w:cs="仿宋_GB2312"/>
          <w:color w:val="000000"/>
          <w:sz w:val="32"/>
          <w:szCs w:val="32"/>
          <w:lang w:val="zh-CN"/>
        </w:rPr>
        <w:t>万元。与202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年相比，财政拨款收、支总计各</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285.56</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132.01</w:t>
      </w:r>
      <w:r>
        <w:rPr>
          <w:rFonts w:hint="eastAsia" w:ascii="仿宋_GB2312" w:hAnsi="仿宋_GB2312" w:eastAsia="仿宋_GB2312" w:cs="仿宋_GB2312"/>
          <w:sz w:val="32"/>
          <w:szCs w:val="32"/>
        </w:rPr>
        <w:t>%。主要变动原因是</w:t>
      </w: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年项目较202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年有所</w:t>
      </w:r>
      <w:r>
        <w:rPr>
          <w:rFonts w:hint="eastAsia" w:ascii="仿宋_GB2312" w:hAnsi="仿宋_GB2312" w:eastAsia="仿宋_GB2312" w:cs="仿宋_GB2312"/>
          <w:color w:val="000000"/>
          <w:sz w:val="32"/>
          <w:szCs w:val="32"/>
          <w:lang w:val="zh-CN" w:eastAsia="zh-CN"/>
        </w:rPr>
        <w:t>增加</w:t>
      </w:r>
      <w:r>
        <w:rPr>
          <w:rFonts w:hint="eastAsia" w:ascii="仿宋_GB2312" w:hAnsi="仿宋_GB2312" w:eastAsia="仿宋_GB2312" w:cs="仿宋_GB2312"/>
          <w:color w:val="000000"/>
          <w:sz w:val="32"/>
          <w:szCs w:val="32"/>
          <w:lang w:val="zh-CN"/>
        </w:rPr>
        <w:t>。</w:t>
      </w:r>
    </w:p>
    <w:p w14:paraId="25082983">
      <w:pPr>
        <w:spacing w:line="576" w:lineRule="exact"/>
        <w:ind w:firstLine="640"/>
        <w:rPr>
          <w:rFonts w:ascii="仿宋_GB2312" w:eastAsia="仿宋_GB2312" w:cs="仿宋_GB2312"/>
          <w:color w:val="000000"/>
          <w:sz w:val="32"/>
          <w:szCs w:val="32"/>
          <w:lang w:val="zh-CN"/>
        </w:rPr>
      </w:pPr>
    </w:p>
    <w:p w14:paraId="37F4F27B">
      <w:pPr>
        <w:pStyle w:val="2"/>
        <w:spacing w:before="93"/>
        <w:jc w:val="center"/>
      </w:pPr>
      <w:r>
        <w:drawing>
          <wp:inline distT="0" distB="0" distL="114300" distR="114300">
            <wp:extent cx="5168265" cy="2787015"/>
            <wp:effectExtent l="4445" t="4445" r="8890" b="889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3CA5EEA">
      <w:pPr>
        <w:tabs>
          <w:tab w:val="left" w:pos="6874"/>
        </w:tabs>
        <w:spacing w:line="600" w:lineRule="exact"/>
        <w:ind w:firstLine="640" w:firstLineChars="200"/>
        <w:jc w:val="center"/>
        <w:rPr>
          <w:rFonts w:ascii="方正楷体简体" w:hAnsi="仿宋" w:eastAsia="方正楷体简体"/>
          <w:sz w:val="32"/>
          <w:szCs w:val="32"/>
        </w:rPr>
      </w:pPr>
      <w:r>
        <w:rPr>
          <w:rFonts w:hint="eastAsia" w:ascii="方正楷体简体" w:hAnsi="仿宋" w:eastAsia="方正楷体简体"/>
          <w:sz w:val="32"/>
          <w:szCs w:val="32"/>
        </w:rPr>
        <w:t>图4：财政拨款收、支决算总计变动情况</w:t>
      </w:r>
    </w:p>
    <w:p w14:paraId="4B56531B">
      <w:pPr>
        <w:spacing w:line="600" w:lineRule="exact"/>
        <w:ind w:firstLine="640"/>
        <w:rPr>
          <w:rFonts w:ascii="仿宋" w:hAnsi="仿宋" w:eastAsia="仿宋"/>
          <w:b/>
          <w:sz w:val="32"/>
          <w:szCs w:val="32"/>
        </w:rPr>
      </w:pPr>
    </w:p>
    <w:p w14:paraId="26368A10">
      <w:pPr>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28"/>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076EA53D">
      <w:pPr>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rPr>
      </w:pPr>
      <w:bookmarkStart w:id="28" w:name="_Toc15377210"/>
      <w:r>
        <w:rPr>
          <w:rFonts w:hint="eastAsia" w:ascii="仿宋_GB2312" w:hAnsi="仿宋_GB2312" w:eastAsia="仿宋_GB2312" w:cs="仿宋_GB2312"/>
          <w:b/>
          <w:sz w:val="32"/>
          <w:szCs w:val="32"/>
        </w:rPr>
        <w:t>（一）一般公共预算财政拨款支出决算总体情况</w:t>
      </w:r>
      <w:bookmarkEnd w:id="28"/>
    </w:p>
    <w:p w14:paraId="7FD6B42E">
      <w:pPr>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sz w:val="32"/>
          <w:szCs w:val="32"/>
        </w:rPr>
        <w:t>2023年度一般公共预算财政拨款支出</w:t>
      </w:r>
      <w:r>
        <w:rPr>
          <w:rFonts w:hint="eastAsia" w:ascii="仿宋_GB2312" w:hAnsi="仿宋_GB2312" w:eastAsia="仿宋_GB2312" w:cs="仿宋_GB2312"/>
          <w:sz w:val="32"/>
          <w:szCs w:val="32"/>
          <w:lang w:val="en-US" w:eastAsia="zh-CN"/>
        </w:rPr>
        <w:t>501.88</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%。与2022年度相比，一般公共预算财政拨款支出增加</w:t>
      </w:r>
      <w:r>
        <w:rPr>
          <w:rFonts w:hint="eastAsia" w:ascii="仿宋_GB2312" w:hAnsi="仿宋_GB2312" w:eastAsia="仿宋_GB2312" w:cs="仿宋_GB2312"/>
          <w:sz w:val="32"/>
          <w:szCs w:val="32"/>
          <w:lang w:val="en-US" w:eastAsia="zh-CN"/>
        </w:rPr>
        <w:t>285.56</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132.01</w:t>
      </w:r>
      <w:r>
        <w:rPr>
          <w:rFonts w:hint="eastAsia" w:ascii="仿宋_GB2312" w:hAnsi="仿宋_GB2312" w:eastAsia="仿宋_GB2312" w:cs="仿宋_GB2312"/>
          <w:sz w:val="32"/>
          <w:szCs w:val="32"/>
        </w:rPr>
        <w:t>%。主要变动原因是</w:t>
      </w: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年项目较202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年有所</w:t>
      </w:r>
      <w:r>
        <w:rPr>
          <w:rFonts w:hint="eastAsia" w:ascii="仿宋_GB2312" w:hAnsi="仿宋_GB2312" w:eastAsia="仿宋_GB2312" w:cs="仿宋_GB2312"/>
          <w:color w:val="000000"/>
          <w:sz w:val="32"/>
          <w:szCs w:val="32"/>
          <w:lang w:val="zh-CN" w:eastAsia="zh-CN"/>
        </w:rPr>
        <w:t>增加</w:t>
      </w:r>
      <w:r>
        <w:rPr>
          <w:rFonts w:hint="eastAsia" w:ascii="仿宋_GB2312" w:hAnsi="仿宋_GB2312" w:eastAsia="仿宋_GB2312" w:cs="仿宋_GB2312"/>
          <w:color w:val="000000"/>
          <w:sz w:val="32"/>
          <w:szCs w:val="32"/>
          <w:lang w:val="zh-CN"/>
        </w:rPr>
        <w:t>。</w:t>
      </w:r>
    </w:p>
    <w:p w14:paraId="0CDF7D50">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14:paraId="0CF7A9B9">
      <w:pPr>
        <w:pStyle w:val="2"/>
        <w:spacing w:before="93"/>
        <w:jc w:val="center"/>
      </w:pPr>
      <w:r>
        <w:drawing>
          <wp:inline distT="0" distB="0" distL="114300" distR="114300">
            <wp:extent cx="5047615" cy="2660650"/>
            <wp:effectExtent l="4445" t="4445" r="15240" b="2095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E74A95C">
      <w:pPr>
        <w:spacing w:line="600" w:lineRule="exact"/>
        <w:ind w:firstLine="640" w:firstLineChars="200"/>
        <w:rPr>
          <w:rFonts w:ascii="方正楷体简体" w:hAnsi="仿宋" w:eastAsia="方正楷体简体"/>
          <w:sz w:val="32"/>
          <w:szCs w:val="32"/>
        </w:rPr>
      </w:pPr>
      <w:r>
        <w:rPr>
          <w:rFonts w:hint="eastAsia" w:ascii="方正楷体简体" w:hAnsi="仿宋" w:eastAsia="方正楷体简体"/>
          <w:sz w:val="32"/>
          <w:szCs w:val="32"/>
        </w:rPr>
        <w:t>图5：一般公共预算财政拨款支出决算变动情况</w:t>
      </w:r>
    </w:p>
    <w:p w14:paraId="244228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rPr>
      </w:pPr>
      <w:bookmarkStart w:id="29" w:name="_Toc15377211"/>
      <w:r>
        <w:rPr>
          <w:rFonts w:hint="eastAsia" w:ascii="仿宋_GB2312" w:hAnsi="仿宋_GB2312" w:eastAsia="仿宋_GB2312" w:cs="仿宋_GB2312"/>
          <w:b/>
          <w:sz w:val="32"/>
          <w:szCs w:val="32"/>
        </w:rPr>
        <w:t>（二）一般公共预算财政拨款支出决算结构情况</w:t>
      </w:r>
      <w:bookmarkEnd w:id="29"/>
    </w:p>
    <w:p w14:paraId="241CB53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w:t>
      </w:r>
      <w:r>
        <w:rPr>
          <w:rFonts w:hint="eastAsia" w:ascii="仿宋_GB2312" w:hAnsi="仿宋_GB2312" w:eastAsia="仿宋_GB2312" w:cs="仿宋_GB2312"/>
          <w:sz w:val="32"/>
          <w:szCs w:val="32"/>
          <w:lang w:val="en-US" w:eastAsia="zh-CN"/>
        </w:rPr>
        <w:t>501.88</w:t>
      </w:r>
      <w:r>
        <w:rPr>
          <w:rFonts w:hint="eastAsia" w:ascii="仿宋_GB2312" w:hAnsi="仿宋_GB2312" w:eastAsia="仿宋_GB2312" w:cs="仿宋_GB2312"/>
          <w:sz w:val="32"/>
          <w:szCs w:val="32"/>
        </w:rPr>
        <w:t>万元，主要用于以下方面:</w:t>
      </w:r>
      <w:r>
        <w:rPr>
          <w:rFonts w:hint="eastAsia" w:ascii="仿宋_GB2312" w:hAnsi="仿宋_GB2312" w:eastAsia="仿宋_GB2312" w:cs="仿宋_GB2312"/>
          <w:b/>
          <w:sz w:val="32"/>
          <w:szCs w:val="32"/>
        </w:rPr>
        <w:t>社会保障和就业</w:t>
      </w:r>
      <w:r>
        <w:rPr>
          <w:rFonts w:hint="eastAsia" w:ascii="仿宋_GB2312" w:hAnsi="仿宋_GB2312" w:eastAsia="仿宋_GB2312" w:cs="仿宋_GB2312"/>
          <w:b/>
          <w:bCs/>
          <w:sz w:val="32"/>
          <w:szCs w:val="32"/>
        </w:rPr>
        <w:t>支出</w:t>
      </w:r>
      <w:r>
        <w:rPr>
          <w:rFonts w:hint="eastAsia" w:ascii="仿宋_GB2312" w:hAnsi="仿宋_GB2312" w:eastAsia="仿宋_GB2312" w:cs="仿宋_GB2312"/>
          <w:sz w:val="32"/>
          <w:szCs w:val="32"/>
          <w:lang w:val="en-US" w:eastAsia="zh-CN"/>
        </w:rPr>
        <w:t>9.90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1.97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卫生健康支出</w:t>
      </w:r>
      <w:r>
        <w:rPr>
          <w:rFonts w:hint="eastAsia" w:ascii="仿宋_GB2312" w:hAnsi="仿宋_GB2312" w:eastAsia="仿宋_GB2312" w:cs="仿宋_GB2312"/>
          <w:sz w:val="32"/>
          <w:szCs w:val="32"/>
          <w:lang w:val="en-US" w:eastAsia="zh-CN"/>
        </w:rPr>
        <w:t>5.58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1.11</w:t>
      </w:r>
      <w:r>
        <w:rPr>
          <w:rFonts w:hint="eastAsia" w:ascii="仿宋_GB2312" w:hAnsi="仿宋_GB2312" w:eastAsia="仿宋_GB2312" w:cs="仿宋_GB2312"/>
          <w:sz w:val="32"/>
          <w:szCs w:val="32"/>
        </w:rPr>
        <w:t>%；</w:t>
      </w:r>
      <w:r>
        <w:rPr>
          <w:rFonts w:hint="eastAsia" w:ascii="仿宋_GB2312" w:hAnsi="仿宋_GB2312" w:eastAsia="仿宋_GB2312" w:cs="仿宋_GB2312"/>
          <w:b/>
          <w:sz w:val="32"/>
          <w:szCs w:val="32"/>
        </w:rPr>
        <w:t>自然资源海洋气象等支出</w:t>
      </w:r>
      <w:r>
        <w:rPr>
          <w:rStyle w:val="16"/>
          <w:rFonts w:hint="eastAsia" w:ascii="仿宋_GB2312" w:hAnsi="仿宋_GB2312" w:eastAsia="仿宋_GB2312" w:cs="仿宋_GB2312"/>
          <w:b w:val="0"/>
          <w:sz w:val="32"/>
          <w:szCs w:val="32"/>
          <w:lang w:val="en-US" w:eastAsia="zh-CN"/>
        </w:rPr>
        <w:t>485.15万元，</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96.67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住房保障支出</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0.25</w:t>
      </w:r>
      <w:r>
        <w:rPr>
          <w:rFonts w:hint="eastAsia" w:ascii="仿宋_GB2312" w:hAnsi="仿宋_GB2312" w:eastAsia="仿宋_GB2312" w:cs="仿宋_GB2312"/>
          <w:sz w:val="32"/>
          <w:szCs w:val="32"/>
        </w:rPr>
        <w:t>%。</w:t>
      </w:r>
    </w:p>
    <w:p w14:paraId="12230A26">
      <w:pPr>
        <w:pStyle w:val="2"/>
        <w:spacing w:before="93"/>
        <w:jc w:val="center"/>
      </w:pPr>
      <w:r>
        <w:drawing>
          <wp:inline distT="0" distB="0" distL="114300" distR="114300">
            <wp:extent cx="4920615" cy="2736850"/>
            <wp:effectExtent l="4445" t="4445" r="8890" b="20955"/>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14BD9FD">
      <w:pPr>
        <w:spacing w:line="600" w:lineRule="exact"/>
        <w:ind w:firstLine="640" w:firstLineChars="200"/>
        <w:jc w:val="center"/>
        <w:rPr>
          <w:rFonts w:ascii="方正楷体简体" w:hAnsi="仿宋" w:eastAsia="方正楷体简体"/>
          <w:sz w:val="32"/>
          <w:szCs w:val="32"/>
        </w:rPr>
      </w:pPr>
      <w:r>
        <w:rPr>
          <w:rFonts w:hint="eastAsia" w:ascii="方正楷体简体" w:hAnsi="仿宋" w:eastAsia="方正楷体简体"/>
          <w:sz w:val="32"/>
          <w:szCs w:val="32"/>
        </w:rPr>
        <w:t>图6：一般公共预算财政拨款支出决算结构</w:t>
      </w:r>
    </w:p>
    <w:p w14:paraId="72276B0E">
      <w:pPr>
        <w:pageBreakBefore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rPr>
      </w:pPr>
      <w:bookmarkStart w:id="30" w:name="_Toc15377212"/>
      <w:r>
        <w:rPr>
          <w:rFonts w:hint="eastAsia" w:ascii="仿宋_GB2312" w:hAnsi="仿宋_GB2312" w:eastAsia="仿宋_GB2312" w:cs="仿宋_GB2312"/>
          <w:b/>
          <w:sz w:val="32"/>
          <w:szCs w:val="32"/>
        </w:rPr>
        <w:t>（三）一般公共预算财政拨款支出决算具体情况</w:t>
      </w:r>
      <w:bookmarkEnd w:id="30"/>
    </w:p>
    <w:p w14:paraId="4536F165">
      <w:pPr>
        <w:keepNext/>
        <w:keepLines/>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b/>
          <w:bCs w:val="0"/>
          <w:color w:val="000000"/>
          <w:sz w:val="32"/>
          <w:szCs w:val="32"/>
          <w:lang w:val="zh-CN"/>
        </w:rPr>
      </w:pPr>
      <w:r>
        <w:rPr>
          <w:rFonts w:hint="eastAsia" w:ascii="仿宋_GB2312" w:hAnsi="仿宋_GB2312" w:eastAsia="仿宋_GB2312" w:cs="仿宋_GB2312"/>
          <w:b/>
          <w:bCs w:val="0"/>
          <w:color w:val="000000"/>
          <w:sz w:val="32"/>
          <w:szCs w:val="32"/>
          <w:lang w:val="zh-CN"/>
        </w:rPr>
        <w:t>202</w:t>
      </w:r>
      <w:r>
        <w:rPr>
          <w:rFonts w:hint="eastAsia" w:ascii="仿宋_GB2312" w:hAnsi="仿宋_GB2312" w:eastAsia="仿宋_GB2312" w:cs="仿宋_GB2312"/>
          <w:b/>
          <w:bCs w:val="0"/>
          <w:color w:val="000000"/>
          <w:sz w:val="32"/>
          <w:szCs w:val="32"/>
          <w:lang w:val="en-US" w:eastAsia="zh-CN"/>
        </w:rPr>
        <w:t>3</w:t>
      </w:r>
      <w:r>
        <w:rPr>
          <w:rFonts w:hint="eastAsia" w:ascii="仿宋_GB2312" w:hAnsi="仿宋_GB2312" w:eastAsia="仿宋_GB2312" w:cs="仿宋_GB2312"/>
          <w:b/>
          <w:bCs w:val="0"/>
          <w:color w:val="000000"/>
          <w:sz w:val="32"/>
          <w:szCs w:val="32"/>
          <w:lang w:val="zh-CN"/>
        </w:rPr>
        <w:t>年一般公共预算支出决算数为</w:t>
      </w:r>
      <w:r>
        <w:rPr>
          <w:rFonts w:hint="eastAsia" w:ascii="仿宋_GB2312" w:hAnsi="仿宋_GB2312" w:eastAsia="仿宋_GB2312" w:cs="仿宋_GB2312"/>
          <w:b/>
          <w:bCs w:val="0"/>
          <w:color w:val="000000"/>
          <w:sz w:val="32"/>
          <w:szCs w:val="32"/>
          <w:lang w:val="en-US" w:eastAsia="zh-CN"/>
        </w:rPr>
        <w:t>501.88</w:t>
      </w:r>
      <w:r>
        <w:rPr>
          <w:rFonts w:hint="eastAsia" w:ascii="仿宋_GB2312" w:hAnsi="仿宋_GB2312" w:eastAsia="仿宋_GB2312" w:cs="仿宋_GB2312"/>
          <w:b/>
          <w:bCs w:val="0"/>
          <w:color w:val="000000"/>
          <w:sz w:val="32"/>
          <w:szCs w:val="32"/>
          <w:lang w:val="zh-CN"/>
        </w:rPr>
        <w:t>万元，完成预算100%。其中：</w:t>
      </w:r>
    </w:p>
    <w:p w14:paraId="5DDC7F41">
      <w:pPr>
        <w:pageBreakBefore w:val="0"/>
        <w:kinsoku/>
        <w:wordWrap/>
        <w:overflowPunct/>
        <w:topLinePunct w:val="0"/>
        <w:autoSpaceDE/>
        <w:autoSpaceDN/>
        <w:bidi w:val="0"/>
        <w:adjustRightInd/>
        <w:snapToGrid/>
        <w:spacing w:line="560" w:lineRule="exact"/>
        <w:ind w:firstLine="643" w:firstLineChars="200"/>
        <w:textAlignment w:val="auto"/>
        <w:rPr>
          <w:rStyle w:val="16"/>
          <w:rFonts w:hint="eastAsia" w:ascii="仿宋_GB2312" w:hAnsi="仿宋_GB2312" w:eastAsia="仿宋_GB2312" w:cs="仿宋_GB2312"/>
          <w:b/>
          <w:bCs w:val="0"/>
          <w:color w:val="000000"/>
          <w:sz w:val="32"/>
          <w:szCs w:val="32"/>
        </w:rPr>
      </w:pPr>
      <w:r>
        <w:rPr>
          <w:rStyle w:val="16"/>
          <w:rFonts w:hint="eastAsia" w:ascii="仿宋_GB2312" w:hAnsi="仿宋_GB2312" w:eastAsia="仿宋_GB2312" w:cs="仿宋_GB2312"/>
          <w:b/>
          <w:bCs w:val="0"/>
          <w:color w:val="000000"/>
          <w:sz w:val="32"/>
          <w:szCs w:val="32"/>
        </w:rPr>
        <w:t>1、社会保障和就业支出（208类）行政事业单位离退休（05款）</w:t>
      </w:r>
    </w:p>
    <w:p w14:paraId="79C67C1D">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Style w:val="16"/>
          <w:rFonts w:hint="eastAsia" w:ascii="仿宋_GB2312" w:hAnsi="仿宋_GB2312" w:eastAsia="仿宋_GB2312" w:cs="仿宋_GB2312"/>
          <w:b/>
          <w:bCs w:val="0"/>
          <w:color w:val="000000"/>
          <w:sz w:val="32"/>
          <w:szCs w:val="32"/>
        </w:rPr>
        <w:t>事业单位离退休（02项）</w:t>
      </w:r>
      <w:r>
        <w:rPr>
          <w:rStyle w:val="16"/>
          <w:rFonts w:hint="eastAsia" w:ascii="仿宋_GB2312" w:hAnsi="仿宋_GB2312" w:eastAsia="仿宋_GB2312" w:cs="仿宋_GB2312"/>
          <w:b w:val="0"/>
          <w:bCs/>
          <w:color w:val="00000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8.43</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606DAE60">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机关事业单位基本养老保险缴费支出</w:t>
      </w:r>
      <w:r>
        <w:rPr>
          <w:rStyle w:val="16"/>
          <w:rFonts w:hint="eastAsia" w:ascii="仿宋_GB2312" w:hAnsi="仿宋_GB2312" w:eastAsia="仿宋_GB2312" w:cs="仿宋_GB2312"/>
          <w:b/>
          <w:bCs/>
          <w:color w:val="000000"/>
          <w:sz w:val="32"/>
          <w:szCs w:val="32"/>
        </w:rPr>
        <w:t>（05项）</w:t>
      </w:r>
      <w:r>
        <w:rPr>
          <w:rFonts w:hint="eastAsia" w:ascii="仿宋_GB2312" w:hAnsi="仿宋_GB2312" w:eastAsia="仿宋_GB2312" w:cs="仿宋_GB2312"/>
          <w:b/>
          <w:bCs/>
          <w:color w:val="000000"/>
          <w:kern w:val="0"/>
          <w:sz w:val="32"/>
          <w:szCs w:val="32"/>
        </w:rPr>
        <w:t>：</w:t>
      </w:r>
      <w:r>
        <w:rPr>
          <w:rStyle w:val="16"/>
          <w:rFonts w:hint="eastAsia" w:ascii="仿宋_GB2312" w:hAnsi="仿宋_GB2312" w:eastAsia="仿宋_GB2312" w:cs="仿宋_GB2312"/>
          <w:b w:val="0"/>
          <w:bCs/>
          <w:sz w:val="32"/>
          <w:szCs w:val="32"/>
        </w:rPr>
        <w:t>支出决算数为1.</w:t>
      </w:r>
      <w:r>
        <w:rPr>
          <w:rStyle w:val="16"/>
          <w:rFonts w:hint="eastAsia" w:ascii="仿宋_GB2312" w:hAnsi="仿宋_GB2312" w:eastAsia="仿宋_GB2312" w:cs="仿宋_GB2312"/>
          <w:b w:val="0"/>
          <w:bCs/>
          <w:sz w:val="32"/>
          <w:szCs w:val="32"/>
          <w:lang w:val="en-US" w:eastAsia="zh-CN"/>
        </w:rPr>
        <w:t>46</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478BD84B">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机关事业单位职业年金缴费支出</w:t>
      </w:r>
      <w:r>
        <w:rPr>
          <w:rStyle w:val="16"/>
          <w:rFonts w:hint="eastAsia" w:ascii="仿宋_GB2312" w:hAnsi="仿宋_GB2312" w:eastAsia="仿宋_GB2312" w:cs="仿宋_GB2312"/>
          <w:b/>
          <w:bCs/>
          <w:color w:val="000000"/>
          <w:sz w:val="32"/>
          <w:szCs w:val="32"/>
        </w:rPr>
        <w:t>（06项）</w:t>
      </w:r>
      <w:r>
        <w:rPr>
          <w:rFonts w:hint="eastAsia" w:ascii="仿宋_GB2312" w:hAnsi="仿宋_GB2312" w:eastAsia="仿宋_GB2312" w:cs="仿宋_GB2312"/>
          <w:b/>
          <w:bCs/>
          <w:color w:val="000000"/>
          <w:kern w:val="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0.01</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15AF4075">
      <w:pPr>
        <w:pageBreakBefore w:val="0"/>
        <w:kinsoku/>
        <w:wordWrap/>
        <w:overflowPunct/>
        <w:topLinePunct w:val="0"/>
        <w:autoSpaceDE/>
        <w:autoSpaceDN/>
        <w:bidi w:val="0"/>
        <w:adjustRightInd/>
        <w:snapToGrid/>
        <w:spacing w:line="560" w:lineRule="exact"/>
        <w:ind w:firstLine="643" w:firstLineChars="200"/>
        <w:textAlignment w:val="auto"/>
        <w:rPr>
          <w:rStyle w:val="16"/>
          <w:rFonts w:hint="eastAsia" w:ascii="仿宋_GB2312" w:hAnsi="仿宋_GB2312" w:eastAsia="仿宋_GB2312" w:cs="仿宋_GB2312"/>
          <w:b/>
          <w:bCs/>
          <w:color w:val="000000"/>
          <w:sz w:val="22"/>
          <w:szCs w:val="22"/>
        </w:rPr>
      </w:pPr>
      <w:r>
        <w:rPr>
          <w:rStyle w:val="16"/>
          <w:rFonts w:hint="eastAsia" w:ascii="仿宋_GB2312" w:hAnsi="仿宋_GB2312" w:eastAsia="仿宋_GB2312" w:cs="仿宋_GB2312"/>
          <w:b/>
          <w:bCs/>
          <w:color w:val="000000"/>
          <w:sz w:val="32"/>
          <w:szCs w:val="32"/>
        </w:rPr>
        <w:t>2、</w:t>
      </w:r>
      <w:r>
        <w:rPr>
          <w:rStyle w:val="16"/>
          <w:rFonts w:hint="eastAsia" w:ascii="仿宋_GB2312" w:hAnsi="仿宋_GB2312" w:eastAsia="仿宋_GB2312" w:cs="仿宋_GB2312"/>
          <w:b/>
          <w:bCs/>
          <w:sz w:val="32"/>
          <w:szCs w:val="32"/>
        </w:rPr>
        <w:t>卫生健康支出</w:t>
      </w:r>
      <w:r>
        <w:rPr>
          <w:rStyle w:val="16"/>
          <w:rFonts w:hint="eastAsia" w:ascii="仿宋_GB2312" w:hAnsi="仿宋_GB2312" w:eastAsia="仿宋_GB2312" w:cs="仿宋_GB2312"/>
          <w:b/>
          <w:bCs/>
          <w:color w:val="000000"/>
          <w:sz w:val="32"/>
          <w:szCs w:val="32"/>
        </w:rPr>
        <w:t xml:space="preserve">（210类）行政事业单位医疗（11款） </w:t>
      </w:r>
    </w:p>
    <w:p w14:paraId="3D799674">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rPr>
        <w:t>事业单位医疗（02项）</w:t>
      </w:r>
      <w:r>
        <w:rPr>
          <w:rFonts w:hint="eastAsia" w:ascii="仿宋_GB2312" w:hAnsi="仿宋_GB2312" w:eastAsia="仿宋_GB2312" w:cs="仿宋_GB2312"/>
          <w:b/>
          <w:bCs/>
          <w:color w:val="000000"/>
          <w:kern w:val="0"/>
          <w:sz w:val="32"/>
          <w:lang w:eastAsia="zh-CN"/>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0.83</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7A9653EC">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rPr>
        <w:t>其他行政事业单位医疗支出（99项）</w:t>
      </w:r>
      <w:r>
        <w:rPr>
          <w:rFonts w:hint="eastAsia" w:ascii="仿宋_GB2312" w:hAnsi="仿宋_GB2312" w:eastAsia="仿宋_GB2312" w:cs="仿宋_GB2312"/>
          <w:b/>
          <w:bCs/>
          <w:color w:val="000000"/>
          <w:kern w:val="0"/>
          <w:sz w:val="32"/>
          <w:lang w:eastAsia="zh-CN"/>
        </w:rPr>
        <w:t>：</w:t>
      </w:r>
      <w:r>
        <w:rPr>
          <w:rStyle w:val="16"/>
          <w:rFonts w:hint="eastAsia" w:ascii="仿宋_GB2312" w:hAnsi="仿宋_GB2312" w:eastAsia="仿宋_GB2312" w:cs="仿宋_GB2312"/>
          <w:b w:val="0"/>
          <w:bCs/>
          <w:sz w:val="32"/>
          <w:szCs w:val="32"/>
        </w:rPr>
        <w:t>支出决算数为4.</w:t>
      </w:r>
      <w:r>
        <w:rPr>
          <w:rStyle w:val="16"/>
          <w:rFonts w:hint="eastAsia" w:ascii="仿宋_GB2312" w:hAnsi="仿宋_GB2312" w:eastAsia="仿宋_GB2312" w:cs="仿宋_GB2312"/>
          <w:b w:val="0"/>
          <w:bCs/>
          <w:sz w:val="32"/>
          <w:szCs w:val="32"/>
          <w:lang w:val="en-US" w:eastAsia="zh-CN"/>
        </w:rPr>
        <w:t>75</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426DCC64">
      <w:pPr>
        <w:pageBreakBefore w:val="0"/>
        <w:widowControl/>
        <w:shd w:val="clear" w:color="auto" w:fill="FFFFFF"/>
        <w:kinsoku/>
        <w:wordWrap/>
        <w:overflowPunct/>
        <w:topLinePunct w:val="0"/>
        <w:autoSpaceDE/>
        <w:autoSpaceDN/>
        <w:bidi w:val="0"/>
        <w:adjustRightInd/>
        <w:snapToGrid/>
        <w:spacing w:line="560" w:lineRule="exact"/>
        <w:ind w:firstLine="640"/>
        <w:textAlignment w:val="auto"/>
        <w:rPr>
          <w:rStyle w:val="16"/>
          <w:rFonts w:hint="eastAsia" w:ascii="仿宋_GB2312" w:hAnsi="仿宋_GB2312" w:eastAsia="仿宋_GB2312" w:cs="仿宋_GB2312"/>
          <w:b/>
          <w:bCs w:val="0"/>
          <w:color w:val="000000"/>
          <w:sz w:val="22"/>
          <w:szCs w:val="22"/>
        </w:rPr>
      </w:pPr>
      <w:r>
        <w:rPr>
          <w:rFonts w:hint="eastAsia" w:ascii="仿宋_GB2312" w:hAnsi="仿宋_GB2312" w:eastAsia="仿宋_GB2312" w:cs="仿宋_GB2312"/>
          <w:b/>
          <w:bCs w:val="0"/>
          <w:color w:val="000000"/>
          <w:kern w:val="0"/>
          <w:sz w:val="32"/>
          <w:szCs w:val="32"/>
        </w:rPr>
        <w:t>3、</w:t>
      </w:r>
      <w:r>
        <w:rPr>
          <w:rStyle w:val="16"/>
          <w:rFonts w:hint="eastAsia" w:ascii="仿宋_GB2312" w:hAnsi="仿宋_GB2312" w:eastAsia="仿宋_GB2312" w:cs="仿宋_GB2312"/>
          <w:b/>
          <w:bCs w:val="0"/>
          <w:sz w:val="32"/>
          <w:szCs w:val="32"/>
        </w:rPr>
        <w:t>自然资源海洋气象等支出</w:t>
      </w:r>
      <w:r>
        <w:rPr>
          <w:rStyle w:val="16"/>
          <w:rFonts w:hint="eastAsia" w:ascii="仿宋_GB2312" w:hAnsi="仿宋_GB2312" w:eastAsia="仿宋_GB2312" w:cs="仿宋_GB2312"/>
          <w:b/>
          <w:bCs w:val="0"/>
          <w:color w:val="000000"/>
          <w:sz w:val="32"/>
          <w:szCs w:val="32"/>
        </w:rPr>
        <w:t>（220类）气象事务（05款）</w:t>
      </w:r>
    </w:p>
    <w:p w14:paraId="1404876E">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rPr>
        <w:t>气象事业机构（04项）</w:t>
      </w:r>
      <w:r>
        <w:rPr>
          <w:rFonts w:hint="eastAsia" w:ascii="仿宋_GB2312" w:hAnsi="仿宋_GB2312" w:eastAsia="仿宋_GB2312" w:cs="仿宋_GB2312"/>
          <w:b/>
          <w:bCs/>
          <w:color w:val="000000"/>
          <w:kern w:val="0"/>
          <w:sz w:val="32"/>
          <w:lang w:eastAsia="zh-CN"/>
        </w:rPr>
        <w:t>：</w:t>
      </w:r>
      <w:r>
        <w:rPr>
          <w:rStyle w:val="16"/>
          <w:rFonts w:hint="eastAsia" w:ascii="仿宋_GB2312" w:hAnsi="仿宋_GB2312" w:eastAsia="仿宋_GB2312" w:cs="仿宋_GB2312"/>
          <w:b w:val="0"/>
          <w:bCs/>
          <w:sz w:val="32"/>
          <w:szCs w:val="32"/>
        </w:rPr>
        <w:t>支出决算数为5</w:t>
      </w:r>
      <w:r>
        <w:rPr>
          <w:rStyle w:val="16"/>
          <w:rFonts w:hint="eastAsia" w:ascii="仿宋_GB2312" w:hAnsi="仿宋_GB2312" w:eastAsia="仿宋_GB2312" w:cs="仿宋_GB2312"/>
          <w:b w:val="0"/>
          <w:bCs/>
          <w:sz w:val="32"/>
          <w:szCs w:val="32"/>
          <w:lang w:val="en-US" w:eastAsia="zh-CN"/>
        </w:rPr>
        <w:t>3.52</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32C4877B">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color w:val="000000"/>
          <w:sz w:val="32"/>
          <w:szCs w:val="32"/>
          <w:lang w:eastAsia="zh-CN"/>
        </w:rPr>
        <w:t>气象预报预测</w:t>
      </w:r>
      <w:r>
        <w:rPr>
          <w:rFonts w:hint="eastAsia" w:ascii="仿宋_GB2312" w:hAnsi="仿宋_GB2312" w:eastAsia="仿宋_GB2312" w:cs="仿宋_GB2312"/>
          <w:b/>
          <w:bCs/>
          <w:color w:val="000000"/>
          <w:kern w:val="0"/>
          <w:sz w:val="32"/>
        </w:rPr>
        <w:t>（</w:t>
      </w:r>
      <w:r>
        <w:rPr>
          <w:rFonts w:hint="eastAsia" w:ascii="仿宋_GB2312" w:hAnsi="仿宋_GB2312" w:eastAsia="仿宋_GB2312" w:cs="仿宋_GB2312"/>
          <w:b/>
          <w:bCs/>
          <w:color w:val="000000"/>
          <w:kern w:val="0"/>
          <w:sz w:val="32"/>
          <w:lang w:val="en-US" w:eastAsia="zh-CN"/>
        </w:rPr>
        <w:t>08</w:t>
      </w:r>
      <w:r>
        <w:rPr>
          <w:rFonts w:hint="eastAsia" w:ascii="仿宋_GB2312" w:hAnsi="仿宋_GB2312" w:eastAsia="仿宋_GB2312" w:cs="仿宋_GB2312"/>
          <w:b/>
          <w:bCs/>
          <w:color w:val="000000"/>
          <w:kern w:val="0"/>
          <w:sz w:val="32"/>
        </w:rPr>
        <w:t>项）</w:t>
      </w:r>
      <w:r>
        <w:rPr>
          <w:rFonts w:hint="eastAsia" w:ascii="仿宋_GB2312" w:hAnsi="仿宋_GB2312" w:eastAsia="仿宋_GB2312" w:cs="仿宋_GB2312"/>
          <w:b/>
          <w:bCs/>
          <w:color w:val="00000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87.34</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7E88B3B6">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气象服务</w:t>
      </w:r>
      <w:r>
        <w:rPr>
          <w:rFonts w:hint="eastAsia" w:ascii="仿宋_GB2312" w:hAnsi="仿宋_GB2312" w:eastAsia="仿宋_GB2312" w:cs="仿宋_GB2312"/>
          <w:b/>
          <w:bCs/>
          <w:color w:val="000000"/>
          <w:kern w:val="0"/>
          <w:sz w:val="32"/>
        </w:rPr>
        <w:t>（09项）</w:t>
      </w:r>
      <w:r>
        <w:rPr>
          <w:rFonts w:hint="eastAsia" w:ascii="仿宋_GB2312" w:hAnsi="仿宋_GB2312" w:eastAsia="仿宋_GB2312" w:cs="仿宋_GB2312"/>
          <w:b/>
          <w:bCs/>
          <w:color w:val="00000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149.51</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696DC352">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lang w:eastAsia="zh-CN"/>
        </w:rPr>
        <w:t>气象基础设施建设与维修</w:t>
      </w:r>
      <w:r>
        <w:rPr>
          <w:rFonts w:hint="eastAsia" w:ascii="仿宋_GB2312" w:hAnsi="仿宋_GB2312" w:eastAsia="仿宋_GB2312" w:cs="仿宋_GB2312"/>
          <w:b/>
          <w:bCs/>
          <w:color w:val="000000"/>
          <w:kern w:val="0"/>
          <w:sz w:val="32"/>
        </w:rPr>
        <w:t>（</w:t>
      </w:r>
      <w:r>
        <w:rPr>
          <w:rFonts w:hint="eastAsia" w:ascii="仿宋_GB2312" w:hAnsi="仿宋_GB2312" w:eastAsia="仿宋_GB2312" w:cs="仿宋_GB2312"/>
          <w:b/>
          <w:bCs/>
          <w:color w:val="000000"/>
          <w:kern w:val="0"/>
          <w:sz w:val="32"/>
          <w:lang w:val="en-US" w:eastAsia="zh-CN"/>
        </w:rPr>
        <w:t>1</w:t>
      </w:r>
      <w:r>
        <w:rPr>
          <w:rFonts w:hint="eastAsia" w:ascii="仿宋_GB2312" w:hAnsi="仿宋_GB2312" w:eastAsia="仿宋_GB2312" w:cs="仿宋_GB2312"/>
          <w:b/>
          <w:bCs/>
          <w:color w:val="000000"/>
          <w:kern w:val="0"/>
          <w:sz w:val="32"/>
        </w:rPr>
        <w:t>1项）</w:t>
      </w:r>
      <w:r>
        <w:rPr>
          <w:rFonts w:hint="eastAsia" w:ascii="仿宋_GB2312" w:hAnsi="仿宋_GB2312" w:eastAsia="仿宋_GB2312" w:cs="仿宋_GB2312"/>
          <w:color w:val="000000"/>
          <w:kern w:val="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153.34</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0F8377C4">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eastAsia="zh-CN"/>
        </w:rPr>
        <w:t>其他气象事务支出</w:t>
      </w:r>
      <w:r>
        <w:rPr>
          <w:rFonts w:hint="eastAsia" w:ascii="仿宋_GB2312" w:hAnsi="仿宋_GB2312" w:eastAsia="仿宋_GB2312" w:cs="仿宋_GB2312"/>
          <w:b/>
          <w:bCs/>
          <w:color w:val="000000"/>
          <w:kern w:val="0"/>
          <w:sz w:val="32"/>
        </w:rPr>
        <w:t>（</w:t>
      </w:r>
      <w:r>
        <w:rPr>
          <w:rFonts w:hint="eastAsia" w:ascii="仿宋_GB2312" w:hAnsi="仿宋_GB2312" w:eastAsia="仿宋_GB2312" w:cs="仿宋_GB2312"/>
          <w:b/>
          <w:bCs/>
          <w:color w:val="000000"/>
          <w:kern w:val="0"/>
          <w:sz w:val="32"/>
          <w:lang w:val="en-US" w:eastAsia="zh-CN"/>
        </w:rPr>
        <w:t>99</w:t>
      </w:r>
      <w:r>
        <w:rPr>
          <w:rFonts w:hint="eastAsia" w:ascii="仿宋_GB2312" w:hAnsi="仿宋_GB2312" w:eastAsia="仿宋_GB2312" w:cs="仿宋_GB2312"/>
          <w:b/>
          <w:bCs/>
          <w:color w:val="000000"/>
          <w:kern w:val="0"/>
          <w:sz w:val="32"/>
        </w:rPr>
        <w:t>项）</w:t>
      </w:r>
      <w:r>
        <w:rPr>
          <w:rFonts w:hint="eastAsia" w:ascii="仿宋_GB2312" w:hAnsi="仿宋_GB2312" w:eastAsia="仿宋_GB2312" w:cs="仿宋_GB2312"/>
          <w:color w:val="00000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41.44</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bCs w:val="0"/>
          <w:color w:val="000000"/>
          <w:kern w:val="0"/>
          <w:sz w:val="32"/>
          <w:szCs w:val="32"/>
        </w:rPr>
        <w:t>4、住房保障支出（221类）住房改革支出（02款）</w:t>
      </w:r>
    </w:p>
    <w:p w14:paraId="084B2EA0">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住房公积金</w:t>
      </w:r>
      <w:r>
        <w:rPr>
          <w:rFonts w:hint="eastAsia" w:ascii="仿宋_GB2312" w:hAnsi="仿宋_GB2312" w:eastAsia="仿宋_GB2312" w:cs="仿宋_GB2312"/>
          <w:b/>
          <w:bCs/>
          <w:color w:val="000000"/>
          <w:kern w:val="0"/>
          <w:sz w:val="32"/>
        </w:rPr>
        <w:t>（01项）</w:t>
      </w:r>
      <w:r>
        <w:rPr>
          <w:rFonts w:hint="eastAsia" w:ascii="仿宋_GB2312" w:hAnsi="仿宋_GB2312" w:eastAsia="仿宋_GB2312" w:cs="仿宋_GB2312"/>
          <w:color w:val="000000"/>
          <w:kern w:val="0"/>
          <w:sz w:val="32"/>
          <w:szCs w:val="32"/>
        </w:rPr>
        <w:t>：</w:t>
      </w:r>
      <w:r>
        <w:rPr>
          <w:rStyle w:val="16"/>
          <w:rFonts w:hint="eastAsia" w:ascii="仿宋_GB2312" w:hAnsi="仿宋_GB2312" w:eastAsia="仿宋_GB2312" w:cs="仿宋_GB2312"/>
          <w:b w:val="0"/>
          <w:bCs/>
          <w:sz w:val="32"/>
          <w:szCs w:val="32"/>
        </w:rPr>
        <w:t>支出决算数为</w:t>
      </w:r>
      <w:r>
        <w:rPr>
          <w:rStyle w:val="16"/>
          <w:rFonts w:hint="eastAsia" w:ascii="仿宋_GB2312" w:hAnsi="仿宋_GB2312" w:eastAsia="仿宋_GB2312" w:cs="仿宋_GB2312"/>
          <w:b w:val="0"/>
          <w:bCs/>
          <w:sz w:val="32"/>
          <w:szCs w:val="32"/>
          <w:lang w:val="en-US" w:eastAsia="zh-CN"/>
        </w:rPr>
        <w:t>1.25</w:t>
      </w:r>
      <w:r>
        <w:rPr>
          <w:rStyle w:val="16"/>
          <w:rFonts w:hint="eastAsia" w:ascii="仿宋_GB2312" w:hAnsi="仿宋_GB2312" w:eastAsia="仿宋_GB2312" w:cs="仿宋_GB2312"/>
          <w:b w:val="0"/>
          <w:bCs/>
          <w:sz w:val="32"/>
          <w:szCs w:val="32"/>
        </w:rPr>
        <w:t>万元，完成预算</w:t>
      </w:r>
      <w:r>
        <w:rPr>
          <w:rFonts w:hint="eastAsia" w:ascii="仿宋_GB2312" w:hAnsi="仿宋_GB2312" w:eastAsia="仿宋_GB2312" w:cs="仿宋_GB2312"/>
          <w:color w:val="000000"/>
          <w:sz w:val="32"/>
          <w:szCs w:val="32"/>
        </w:rPr>
        <w:t>100%。</w:t>
      </w:r>
    </w:p>
    <w:p w14:paraId="1A7993A4">
      <w:pPr>
        <w:pageBreakBefore w:val="0"/>
        <w:tabs>
          <w:tab w:val="right" w:pos="8306"/>
        </w:tabs>
        <w:kinsoku/>
        <w:wordWrap/>
        <w:overflowPunct/>
        <w:topLinePunct w:val="0"/>
        <w:autoSpaceDE/>
        <w:autoSpaceDN/>
        <w:bidi w:val="0"/>
        <w:adjustRightInd/>
        <w:snapToGrid/>
        <w:spacing w:line="560" w:lineRule="exact"/>
        <w:ind w:firstLine="640"/>
        <w:textAlignment w:val="auto"/>
        <w:outlineLvl w:val="1"/>
        <w:rPr>
          <w:rStyle w:val="28"/>
        </w:rPr>
      </w:pPr>
      <w:bookmarkStart w:id="31" w:name="_Toc15377214"/>
      <w:bookmarkStart w:id="32"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1"/>
      <w:bookmarkEnd w:id="32"/>
      <w:r>
        <w:rPr>
          <w:rStyle w:val="28"/>
          <w:rFonts w:ascii="黑体" w:hAnsi="黑体" w:eastAsia="黑体"/>
          <w:b w:val="0"/>
        </w:rPr>
        <w:tab/>
      </w:r>
    </w:p>
    <w:p w14:paraId="6EE94952">
      <w:pPr>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年一般公共预算财政拨款基本支出</w:t>
      </w:r>
      <w:r>
        <w:rPr>
          <w:rFonts w:hint="eastAsia" w:ascii="仿宋_GB2312" w:hAnsi="仿宋_GB2312" w:eastAsia="仿宋_GB2312" w:cs="仿宋_GB2312"/>
          <w:color w:val="000000"/>
          <w:sz w:val="32"/>
          <w:szCs w:val="32"/>
          <w:lang w:val="en-US" w:eastAsia="zh-CN"/>
        </w:rPr>
        <w:t>70.25</w:t>
      </w:r>
      <w:r>
        <w:rPr>
          <w:rFonts w:hint="eastAsia" w:ascii="仿宋_GB2312" w:hAnsi="仿宋_GB2312" w:eastAsia="仿宋_GB2312" w:cs="仿宋_GB2312"/>
          <w:color w:val="000000"/>
          <w:sz w:val="32"/>
          <w:szCs w:val="32"/>
          <w:lang w:val="zh-CN"/>
        </w:rPr>
        <w:t>万元，其中：</w:t>
      </w:r>
    </w:p>
    <w:p w14:paraId="3780126F">
      <w:pPr>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b w:val="0"/>
          <w:bCs w:val="0"/>
          <w:color w:val="000000"/>
          <w:sz w:val="32"/>
          <w:szCs w:val="32"/>
          <w:lang w:val="zh-CN"/>
        </w:rPr>
        <w:t>人员经费</w:t>
      </w:r>
      <w:r>
        <w:rPr>
          <w:rFonts w:hint="eastAsia" w:ascii="仿宋_GB2312" w:hAnsi="仿宋_GB2312" w:eastAsia="仿宋_GB2312" w:cs="仿宋_GB2312"/>
          <w:b w:val="0"/>
          <w:bCs w:val="0"/>
          <w:color w:val="000000"/>
          <w:sz w:val="32"/>
          <w:szCs w:val="32"/>
          <w:lang w:val="en-US" w:eastAsia="zh-CN"/>
        </w:rPr>
        <w:t>69.21</w:t>
      </w:r>
      <w:r>
        <w:rPr>
          <w:rFonts w:hint="eastAsia" w:ascii="仿宋_GB2312" w:hAnsi="仿宋_GB2312" w:eastAsia="仿宋_GB2312" w:cs="仿宋_GB2312"/>
          <w:b w:val="0"/>
          <w:bCs w:val="0"/>
          <w:color w:val="000000"/>
          <w:sz w:val="32"/>
          <w:szCs w:val="32"/>
          <w:lang w:val="zh-CN"/>
        </w:rPr>
        <w:t>万元</w:t>
      </w:r>
      <w:r>
        <w:rPr>
          <w:rFonts w:hint="eastAsia" w:ascii="仿宋_GB2312" w:hAnsi="仿宋_GB2312" w:eastAsia="仿宋_GB2312" w:cs="仿宋_GB2312"/>
          <w:color w:val="000000"/>
          <w:sz w:val="32"/>
          <w:szCs w:val="32"/>
          <w:lang w:val="zh-CN"/>
        </w:rPr>
        <w:t>，主要包括：</w:t>
      </w:r>
      <w:r>
        <w:rPr>
          <w:rFonts w:hint="eastAsia" w:ascii="仿宋_GB2312" w:hAnsi="仿宋_GB2312" w:eastAsia="仿宋_GB2312" w:cs="仿宋_GB2312"/>
          <w:sz w:val="32"/>
          <w:szCs w:val="32"/>
        </w:rPr>
        <w:t>基本工资、津贴补贴、绩效工资、机关事业单位基本养老保险缴费、职业年金缴费、</w:t>
      </w:r>
      <w:r>
        <w:rPr>
          <w:rFonts w:hint="eastAsia" w:ascii="仿宋_GB2312" w:hAnsi="仿宋_GB2312" w:eastAsia="仿宋_GB2312" w:cs="仿宋_GB2312"/>
          <w:sz w:val="32"/>
          <w:szCs w:val="32"/>
          <w:lang w:eastAsia="zh-CN"/>
        </w:rPr>
        <w:t>职工基本医疗保险缴费、公务员医疗补助缴费、</w:t>
      </w:r>
      <w:r>
        <w:rPr>
          <w:rFonts w:hint="eastAsia" w:ascii="仿宋_GB2312" w:hAnsi="仿宋_GB2312" w:eastAsia="仿宋_GB2312" w:cs="仿宋_GB2312"/>
          <w:sz w:val="32"/>
          <w:szCs w:val="32"/>
        </w:rPr>
        <w:t>其他社会保障缴费、住房公积金</w:t>
      </w:r>
      <w:r>
        <w:rPr>
          <w:rFonts w:hint="eastAsia" w:ascii="仿宋_GB2312" w:hAnsi="仿宋_GB2312" w:eastAsia="仿宋_GB2312" w:cs="仿宋_GB2312"/>
          <w:sz w:val="32"/>
          <w:szCs w:val="32"/>
          <w:lang w:eastAsia="zh-CN"/>
        </w:rPr>
        <w:t>、医疗费、</w:t>
      </w:r>
      <w:r>
        <w:rPr>
          <w:rFonts w:hint="eastAsia" w:ascii="仿宋_GB2312" w:hAnsi="仿宋_GB2312" w:eastAsia="仿宋_GB2312" w:cs="仿宋_GB2312"/>
          <w:sz w:val="32"/>
          <w:szCs w:val="32"/>
        </w:rPr>
        <w:t>其他工资福利支出、生活补助、医疗费补助</w:t>
      </w:r>
      <w:r>
        <w:rPr>
          <w:rFonts w:hint="eastAsia" w:ascii="仿宋_GB2312" w:hAnsi="仿宋_GB2312" w:eastAsia="仿宋_GB2312" w:cs="仿宋_GB2312"/>
          <w:color w:val="000000"/>
          <w:sz w:val="32"/>
          <w:szCs w:val="32"/>
          <w:lang w:val="zh-CN"/>
        </w:rPr>
        <w:t>。</w:t>
      </w:r>
    </w:p>
    <w:p w14:paraId="5E374A2A">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b w:val="0"/>
          <w:bCs w:val="0"/>
          <w:color w:val="000000"/>
          <w:sz w:val="32"/>
          <w:szCs w:val="32"/>
          <w:lang w:val="zh-CN"/>
        </w:rPr>
        <w:t>公用经费</w:t>
      </w:r>
      <w:r>
        <w:rPr>
          <w:rFonts w:hint="eastAsia" w:ascii="仿宋_GB2312" w:hAnsi="仿宋_GB2312" w:eastAsia="仿宋_GB2312" w:cs="仿宋_GB2312"/>
          <w:b w:val="0"/>
          <w:bCs w:val="0"/>
          <w:color w:val="000000"/>
          <w:sz w:val="32"/>
          <w:szCs w:val="32"/>
          <w:lang w:val="en-US" w:eastAsia="zh-CN"/>
        </w:rPr>
        <w:t>1.04</w:t>
      </w:r>
      <w:r>
        <w:rPr>
          <w:rFonts w:hint="eastAsia" w:ascii="仿宋_GB2312" w:hAnsi="仿宋_GB2312" w:eastAsia="仿宋_GB2312" w:cs="仿宋_GB2312"/>
          <w:b w:val="0"/>
          <w:bCs w:val="0"/>
          <w:color w:val="000000"/>
          <w:sz w:val="32"/>
          <w:szCs w:val="32"/>
          <w:lang w:val="zh-CN"/>
        </w:rPr>
        <w:t>万元</w:t>
      </w:r>
      <w:r>
        <w:rPr>
          <w:rFonts w:hint="eastAsia" w:ascii="仿宋_GB2312" w:hAnsi="仿宋_GB2312" w:eastAsia="仿宋_GB2312" w:cs="仿宋_GB2312"/>
          <w:color w:val="000000"/>
          <w:sz w:val="32"/>
          <w:szCs w:val="32"/>
          <w:lang w:val="zh-CN"/>
        </w:rPr>
        <w:t>，主要包括：</w:t>
      </w:r>
      <w:r>
        <w:rPr>
          <w:rFonts w:hint="eastAsia" w:ascii="仿宋_GB2312" w:hAnsi="仿宋_GB2312" w:eastAsia="仿宋_GB2312" w:cs="仿宋_GB2312"/>
          <w:sz w:val="32"/>
          <w:szCs w:val="32"/>
        </w:rPr>
        <w:t>办公费、水费、电费、邮电费、差旅费、维修（护）费、公务接待费、工会经费、公务用车运行维护费</w:t>
      </w:r>
      <w:r>
        <w:rPr>
          <w:rFonts w:hint="eastAsia" w:ascii="仿宋_GB2312" w:hAnsi="仿宋_GB2312" w:eastAsia="仿宋_GB2312" w:cs="仿宋_GB2312"/>
          <w:color w:val="000000"/>
          <w:sz w:val="32"/>
          <w:szCs w:val="32"/>
          <w:lang w:val="zh-CN"/>
        </w:rPr>
        <w:t>。</w:t>
      </w:r>
    </w:p>
    <w:p w14:paraId="355EEE0F">
      <w:pPr>
        <w:pageBreakBefore w:val="0"/>
        <w:kinsoku/>
        <w:wordWrap/>
        <w:overflowPunct/>
        <w:topLinePunct w:val="0"/>
        <w:autoSpaceDE/>
        <w:autoSpaceDN/>
        <w:bidi w:val="0"/>
        <w:adjustRightInd/>
        <w:snapToGrid/>
        <w:spacing w:line="560" w:lineRule="exact"/>
        <w:ind w:firstLine="640"/>
        <w:textAlignment w:val="auto"/>
        <w:outlineLvl w:val="1"/>
        <w:rPr>
          <w:rStyle w:val="28"/>
          <w:rFonts w:ascii="黑体" w:hAnsi="黑体" w:eastAsia="黑体"/>
          <w:b w:val="0"/>
        </w:rPr>
      </w:pPr>
      <w:bookmarkStart w:id="33" w:name="_Toc15396609"/>
      <w:bookmarkStart w:id="34"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3"/>
      <w:bookmarkEnd w:id="34"/>
      <w:bookmarkStart w:id="35" w:name="_Toc15396610"/>
      <w:bookmarkStart w:id="36" w:name="_Toc15377218"/>
    </w:p>
    <w:p w14:paraId="7823020F">
      <w:pPr>
        <w:pageBreakBefore w:val="0"/>
        <w:kinsoku/>
        <w:wordWrap/>
        <w:overflowPunct/>
        <w:topLinePunct w:val="0"/>
        <w:autoSpaceDE/>
        <w:autoSpaceDN/>
        <w:bidi w:val="0"/>
        <w:adjustRightInd/>
        <w:snapToGrid/>
        <w:spacing w:line="560" w:lineRule="exact"/>
        <w:ind w:firstLine="640"/>
        <w:textAlignment w:val="auto"/>
        <w:outlineLvl w:val="1"/>
        <w:rPr>
          <w:rFonts w:hint="eastAsia" w:ascii="仿宋_GB2312" w:hAnsi="仿宋_GB2312" w:eastAsia="仿宋_GB2312" w:cs="仿宋_GB2312"/>
          <w:bCs/>
          <w:sz w:val="32"/>
          <w:szCs w:val="32"/>
        </w:rPr>
      </w:pPr>
      <w:r>
        <w:rPr>
          <w:rFonts w:hint="eastAsia" w:ascii="仿宋_GB2312" w:hAnsi="仿宋_GB2312" w:eastAsia="仿宋_GB2312" w:cs="仿宋_GB2312"/>
          <w:b/>
          <w:bCs/>
          <w:color w:val="000000"/>
          <w:sz w:val="32"/>
          <w:szCs w:val="32"/>
          <w:lang w:val="zh-CN"/>
        </w:rPr>
        <w:t>（一）“三公”经费财政拨款支出决算总体情况说明</w:t>
      </w:r>
    </w:p>
    <w:p w14:paraId="3E468B30">
      <w:pPr>
        <w:pageBreakBefore w:val="0"/>
        <w:kinsoku/>
        <w:wordWrap/>
        <w:overflowPunct/>
        <w:topLinePunct w:val="0"/>
        <w:autoSpaceDE/>
        <w:autoSpaceDN/>
        <w:bidi w:val="0"/>
        <w:adjustRightInd/>
        <w:snapToGrid/>
        <w:spacing w:line="560" w:lineRule="exact"/>
        <w:ind w:firstLine="640"/>
        <w:textAlignment w:val="auto"/>
        <w:outlineLvl w:val="1"/>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年“三公”经费财政拨款支出决算为0.</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lang w:val="zh-CN"/>
        </w:rPr>
        <w:t>万元，完成预算100%；较上年减少</w:t>
      </w:r>
      <w:r>
        <w:rPr>
          <w:rFonts w:hint="eastAsia" w:ascii="仿宋_GB2312" w:hAnsi="仿宋_GB2312" w:eastAsia="仿宋_GB2312" w:cs="仿宋_GB2312"/>
          <w:color w:val="000000"/>
          <w:sz w:val="32"/>
          <w:szCs w:val="32"/>
          <w:lang w:val="en-US" w:eastAsia="zh-CN"/>
        </w:rPr>
        <w:t>0.36</w:t>
      </w:r>
      <w:r>
        <w:rPr>
          <w:rFonts w:hint="eastAsia" w:ascii="仿宋_GB2312" w:hAnsi="仿宋_GB2312" w:eastAsia="仿宋_GB2312" w:cs="仿宋_GB2312"/>
          <w:color w:val="000000"/>
          <w:sz w:val="32"/>
          <w:szCs w:val="32"/>
          <w:lang w:val="zh-CN"/>
        </w:rPr>
        <w:t>万元，下降</w:t>
      </w:r>
      <w:r>
        <w:rPr>
          <w:rFonts w:hint="eastAsia" w:ascii="仿宋_GB2312" w:hAnsi="仿宋_GB2312" w:eastAsia="仿宋_GB2312" w:cs="仿宋_GB2312"/>
          <w:color w:val="000000"/>
          <w:sz w:val="32"/>
          <w:szCs w:val="32"/>
          <w:lang w:val="en-US" w:eastAsia="zh-CN"/>
        </w:rPr>
        <w:t>70.59</w:t>
      </w:r>
      <w:r>
        <w:rPr>
          <w:rFonts w:hint="eastAsia" w:ascii="仿宋_GB2312" w:hAnsi="仿宋_GB2312" w:eastAsia="仿宋_GB2312" w:cs="仿宋_GB2312"/>
          <w:color w:val="000000"/>
          <w:sz w:val="32"/>
          <w:szCs w:val="32"/>
          <w:lang w:val="zh-CN"/>
        </w:rPr>
        <w:t>%。决算数与预算数持平。</w:t>
      </w:r>
    </w:p>
    <w:p w14:paraId="7D7A362A">
      <w:pPr>
        <w:keepNext/>
        <w:keepLines/>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b/>
          <w:bCs/>
          <w:color w:val="000000"/>
          <w:sz w:val="32"/>
          <w:szCs w:val="32"/>
          <w:lang w:val="zh-CN"/>
        </w:rPr>
      </w:pPr>
      <w:r>
        <w:rPr>
          <w:rFonts w:hint="eastAsia" w:ascii="仿宋_GB2312" w:hAnsi="仿宋_GB2312" w:eastAsia="仿宋_GB2312" w:cs="仿宋_GB2312"/>
          <w:b/>
          <w:bCs/>
          <w:color w:val="000000"/>
          <w:sz w:val="32"/>
          <w:szCs w:val="32"/>
          <w:lang w:val="zh-CN"/>
        </w:rPr>
        <w:t>（二）“三公”经费财政拨款支出决算具体情况说明</w:t>
      </w:r>
    </w:p>
    <w:p w14:paraId="25B398DA">
      <w:pPr>
        <w:keepNext/>
        <w:keepLines/>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年“三公”经费财政拨款支出决算中，因公出国（境）费支出决算0万元，占0%；公务用车购置及运行维护费支出决算0.</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lang w:val="zh-CN"/>
        </w:rPr>
        <w:t>万元，占9</w:t>
      </w:r>
      <w:r>
        <w:rPr>
          <w:rFonts w:hint="eastAsia" w:ascii="仿宋_GB2312" w:hAnsi="仿宋_GB2312" w:eastAsia="仿宋_GB2312" w:cs="仿宋_GB2312"/>
          <w:color w:val="000000"/>
          <w:sz w:val="32"/>
          <w:szCs w:val="32"/>
          <w:lang w:val="en-US" w:eastAsia="zh-CN"/>
        </w:rPr>
        <w:t>3.33</w:t>
      </w:r>
      <w:r>
        <w:rPr>
          <w:rFonts w:hint="eastAsia" w:ascii="仿宋_GB2312" w:hAnsi="仿宋_GB2312" w:eastAsia="仿宋_GB2312" w:cs="仿宋_GB2312"/>
          <w:color w:val="000000"/>
          <w:sz w:val="32"/>
          <w:szCs w:val="32"/>
          <w:lang w:val="zh-CN"/>
        </w:rPr>
        <w:t>%；公务接待费支出决算0.0</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万元，占</w:t>
      </w:r>
      <w:r>
        <w:rPr>
          <w:rFonts w:hint="eastAsia" w:ascii="仿宋_GB2312" w:hAnsi="仿宋_GB2312" w:eastAsia="仿宋_GB2312" w:cs="仿宋_GB2312"/>
          <w:color w:val="000000"/>
          <w:sz w:val="32"/>
          <w:szCs w:val="32"/>
          <w:lang w:val="en-US" w:eastAsia="zh-CN"/>
        </w:rPr>
        <w:t>6.67</w:t>
      </w:r>
      <w:r>
        <w:rPr>
          <w:rFonts w:hint="eastAsia" w:ascii="仿宋_GB2312" w:hAnsi="仿宋_GB2312" w:eastAsia="仿宋_GB2312" w:cs="仿宋_GB2312"/>
          <w:color w:val="000000"/>
          <w:sz w:val="32"/>
          <w:szCs w:val="32"/>
          <w:lang w:val="zh-CN"/>
        </w:rPr>
        <w:t>%。具体情况如下：</w:t>
      </w:r>
    </w:p>
    <w:p w14:paraId="4F9017CD">
      <w:pPr>
        <w:pStyle w:val="2"/>
        <w:spacing w:before="93"/>
        <w:jc w:val="center"/>
        <w:rPr>
          <w:lang w:val="zh-CN"/>
        </w:rPr>
      </w:pPr>
      <w:r>
        <w:drawing>
          <wp:inline distT="0" distB="0" distL="114300" distR="114300">
            <wp:extent cx="5079365" cy="2781300"/>
            <wp:effectExtent l="4445" t="4445" r="21590"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6266CEB">
      <w:pPr>
        <w:spacing w:line="600" w:lineRule="exact"/>
        <w:ind w:firstLine="640"/>
        <w:jc w:val="center"/>
        <w:rPr>
          <w:rFonts w:ascii="方正楷体简体" w:hAnsi="Cambria" w:eastAsia="方正楷体简体" w:cs="仿宋"/>
          <w:sz w:val="32"/>
          <w:szCs w:val="32"/>
        </w:rPr>
      </w:pPr>
      <w:r>
        <w:rPr>
          <w:rFonts w:hint="eastAsia" w:ascii="方正楷体简体" w:hAnsi="Cambria" w:eastAsia="方正楷体简体" w:cs="仿宋"/>
          <w:sz w:val="32"/>
          <w:szCs w:val="32"/>
        </w:rPr>
        <w:t>图7：“三公”经费财政拨款支出结构</w:t>
      </w:r>
    </w:p>
    <w:p w14:paraId="31840E30">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lang w:val="zh-CN"/>
        </w:rPr>
        <w:t>1.因公出国（境）经费</w:t>
      </w:r>
      <w:r>
        <w:rPr>
          <w:rFonts w:hint="eastAsia" w:ascii="仿宋_GB2312" w:hAnsi="仿宋_GB2312" w:eastAsia="仿宋_GB2312" w:cs="仿宋_GB2312"/>
          <w:color w:val="000000"/>
          <w:sz w:val="32"/>
          <w:szCs w:val="32"/>
          <w:lang w:val="zh-CN"/>
        </w:rPr>
        <w:t>支出0万元，完成预算0%。全年安排因公出国（境）团组0个，出国（境）0人。202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zh-CN"/>
        </w:rPr>
        <w:t xml:space="preserve"> 年无因公出 国（境）任务安排，无出国（境）团组人次，无因公出国（境） 费拨款支出。</w:t>
      </w:r>
    </w:p>
    <w:p w14:paraId="577AB855">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bCs/>
          <w:color w:val="000000"/>
          <w:sz w:val="32"/>
          <w:szCs w:val="32"/>
          <w:lang w:val="zh-CN"/>
        </w:rPr>
        <w:t>2.公务用车购置及运行维护费</w:t>
      </w:r>
      <w:r>
        <w:rPr>
          <w:rFonts w:hint="eastAsia" w:ascii="仿宋_GB2312" w:hAnsi="仿宋_GB2312" w:eastAsia="仿宋_GB2312" w:cs="仿宋_GB2312"/>
          <w:color w:val="000000"/>
          <w:sz w:val="32"/>
          <w:szCs w:val="32"/>
          <w:lang w:val="zh-CN"/>
        </w:rPr>
        <w:t>支出0.</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lang w:val="zh-CN"/>
        </w:rPr>
        <w:t>万元，完成预算100%。</w:t>
      </w:r>
      <w:r>
        <w:rPr>
          <w:rFonts w:hint="eastAsia" w:ascii="仿宋_GB2312" w:hAnsi="仿宋_GB2312" w:eastAsia="仿宋_GB2312" w:cs="仿宋_GB2312"/>
          <w:sz w:val="32"/>
          <w:szCs w:val="32"/>
        </w:rPr>
        <w:t>公务用车购置及运行维护费支出决算比2022年度减少</w:t>
      </w:r>
      <w:r>
        <w:rPr>
          <w:rFonts w:hint="eastAsia" w:ascii="仿宋_GB2312" w:hAnsi="仿宋_GB2312" w:eastAsia="仿宋_GB2312" w:cs="仿宋_GB2312"/>
          <w:sz w:val="32"/>
          <w:szCs w:val="32"/>
          <w:lang w:val="en-US" w:eastAsia="zh-CN"/>
        </w:rPr>
        <w:t>0.33</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70.21</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车辆维修减少</w:t>
      </w:r>
      <w:r>
        <w:rPr>
          <w:rFonts w:hint="eastAsia" w:ascii="仿宋_GB2312" w:hAnsi="仿宋_GB2312" w:eastAsia="仿宋_GB2312" w:cs="仿宋_GB2312"/>
          <w:sz w:val="32"/>
          <w:szCs w:val="32"/>
        </w:rPr>
        <w:t>。</w:t>
      </w:r>
    </w:p>
    <w:p w14:paraId="2917E301">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sz w:val="32"/>
          <w:szCs w:val="32"/>
        </w:rPr>
        <w:t>公务用车购置支出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万元。全年按规定更新购置公务用车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辆，其中：轿车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万元，越野车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万元，载客汽车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万元。截至2023年12月31日，单位共有公务用车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辆，其中：轿车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辆、越野车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辆、载客汽车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14:paraId="106B303A">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val="0"/>
          <w:color w:val="000000"/>
          <w:sz w:val="32"/>
          <w:szCs w:val="32"/>
          <w:lang w:val="zh-CN"/>
        </w:rPr>
        <w:t>公务用车运行维护费支出</w:t>
      </w:r>
      <w:r>
        <w:rPr>
          <w:rFonts w:hint="eastAsia" w:ascii="仿宋_GB2312" w:hAnsi="仿宋_GB2312" w:eastAsia="仿宋_GB2312" w:cs="仿宋_GB2312"/>
          <w:color w:val="000000"/>
          <w:sz w:val="32"/>
          <w:szCs w:val="32"/>
          <w:lang w:val="zh-CN"/>
        </w:rPr>
        <w:t>0.</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lang w:val="zh-CN"/>
        </w:rPr>
        <w:t>万元。主要用于人工影响天气工作所需的公务用车燃料费、维修费、过路过桥费、保险费等支出。</w:t>
      </w:r>
    </w:p>
    <w:p w14:paraId="6A4DA97C">
      <w:pPr>
        <w:keepNext/>
        <w:keepLines/>
        <w:pageBreakBefore w:val="0"/>
        <w:widowControl w:val="0"/>
        <w:numPr>
          <w:ilvl w:val="0"/>
          <w:numId w:val="3"/>
        </w:numPr>
        <w:kinsoku/>
        <w:wordWrap/>
        <w:overflowPunct/>
        <w:topLinePunct w:val="0"/>
        <w:bidi w:val="0"/>
        <w:snapToGrid/>
        <w:spacing w:line="560" w:lineRule="exact"/>
        <w:ind w:firstLine="643"/>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b/>
          <w:bCs w:val="0"/>
          <w:color w:val="000000"/>
          <w:sz w:val="32"/>
          <w:szCs w:val="32"/>
          <w:lang w:val="zh-CN"/>
        </w:rPr>
        <w:t>公务接待费支出</w:t>
      </w:r>
      <w:r>
        <w:rPr>
          <w:rFonts w:hint="eastAsia" w:ascii="仿宋_GB2312" w:hAnsi="仿宋_GB2312" w:eastAsia="仿宋_GB2312" w:cs="仿宋_GB2312"/>
          <w:color w:val="000000"/>
          <w:sz w:val="32"/>
          <w:szCs w:val="32"/>
          <w:lang w:val="zh-CN"/>
        </w:rPr>
        <w:t>0.0</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万元，完成预算100%。公务接待费支出决算比202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年减少0.</w:t>
      </w:r>
      <w:r>
        <w:rPr>
          <w:rFonts w:hint="eastAsia" w:ascii="仿宋_GB2312" w:hAnsi="仿宋_GB2312" w:eastAsia="仿宋_GB2312" w:cs="仿宋_GB2312"/>
          <w:color w:val="000000"/>
          <w:sz w:val="32"/>
          <w:szCs w:val="32"/>
          <w:lang w:val="en-US" w:eastAsia="zh-CN"/>
        </w:rPr>
        <w:t>03</w:t>
      </w:r>
      <w:r>
        <w:rPr>
          <w:rFonts w:hint="eastAsia" w:ascii="仿宋_GB2312" w:hAnsi="仿宋_GB2312" w:eastAsia="仿宋_GB2312" w:cs="仿宋_GB2312"/>
          <w:color w:val="000000"/>
          <w:sz w:val="32"/>
          <w:szCs w:val="32"/>
          <w:lang w:val="zh-CN"/>
        </w:rPr>
        <w:t>万元，下降</w:t>
      </w:r>
      <w:r>
        <w:rPr>
          <w:rFonts w:hint="eastAsia" w:ascii="仿宋_GB2312" w:hAnsi="仿宋_GB2312" w:eastAsia="仿宋_GB2312" w:cs="仿宋_GB2312"/>
          <w:color w:val="000000"/>
          <w:sz w:val="32"/>
          <w:szCs w:val="32"/>
          <w:lang w:val="en-US" w:eastAsia="zh-CN"/>
        </w:rPr>
        <w:t>75.00</w:t>
      </w:r>
      <w:r>
        <w:rPr>
          <w:rFonts w:hint="eastAsia" w:ascii="仿宋_GB2312" w:hAnsi="仿宋_GB2312" w:eastAsia="仿宋_GB2312" w:cs="仿宋_GB2312"/>
          <w:color w:val="000000"/>
          <w:sz w:val="32"/>
          <w:szCs w:val="32"/>
          <w:lang w:val="zh-CN"/>
        </w:rPr>
        <w:t>%。主要原因是公务接待人数减少。其中：</w:t>
      </w:r>
    </w:p>
    <w:p w14:paraId="3258185E">
      <w:pPr>
        <w:keepNext/>
        <w:keepLines/>
        <w:pageBreakBefore w:val="0"/>
        <w:widowControl w:val="0"/>
        <w:numPr>
          <w:ilvl w:val="0"/>
          <w:numId w:val="0"/>
        </w:numPr>
        <w:kinsoku/>
        <w:wordWrap/>
        <w:overflowPunct/>
        <w:topLinePunct w:val="0"/>
        <w:bidi w:val="0"/>
        <w:snapToGrid/>
        <w:spacing w:line="560" w:lineRule="exact"/>
        <w:ind w:firstLine="643" w:firstLineChars="200"/>
        <w:textAlignment w:val="auto"/>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b/>
          <w:bCs w:val="0"/>
          <w:color w:val="000000"/>
          <w:sz w:val="32"/>
          <w:szCs w:val="32"/>
          <w:lang w:val="zh-CN"/>
        </w:rPr>
        <w:t>国内公务接待支出</w:t>
      </w:r>
      <w:r>
        <w:rPr>
          <w:rFonts w:hint="eastAsia" w:ascii="仿宋_GB2312" w:hAnsi="仿宋_GB2312" w:eastAsia="仿宋_GB2312" w:cs="仿宋_GB2312"/>
          <w:color w:val="000000"/>
          <w:sz w:val="32"/>
          <w:szCs w:val="32"/>
          <w:lang w:val="zh-CN"/>
        </w:rPr>
        <w:t>0.0</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万元。主要用于</w:t>
      </w:r>
      <w:r>
        <w:rPr>
          <w:rFonts w:hint="eastAsia" w:ascii="仿宋_GB2312" w:hAnsi="仿宋_GB2312" w:eastAsia="仿宋_GB2312" w:cs="仿宋_GB2312"/>
          <w:color w:val="000000"/>
          <w:sz w:val="32"/>
          <w:szCs w:val="32"/>
          <w:highlight w:val="white"/>
        </w:rPr>
        <w:t>执行公务、开展业务活动开支的交通费、住宿费、用餐费等。</w:t>
      </w:r>
      <w:r>
        <w:rPr>
          <w:rFonts w:hint="eastAsia" w:ascii="仿宋_GB2312" w:hAnsi="仿宋_GB2312" w:eastAsia="仿宋_GB2312" w:cs="仿宋_GB2312"/>
          <w:color w:val="000000"/>
          <w:sz w:val="32"/>
          <w:szCs w:val="32"/>
          <w:lang w:val="zh-CN"/>
        </w:rPr>
        <w:t>国内公务接待1批次，</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人次（不包括陪同人员）</w:t>
      </w:r>
      <w:r>
        <w:rPr>
          <w:rFonts w:hint="eastAsia" w:ascii="仿宋_GB2312" w:hAnsi="仿宋_GB2312" w:eastAsia="仿宋_GB2312" w:cs="仿宋_GB2312"/>
          <w:color w:val="000000"/>
          <w:sz w:val="32"/>
          <w:szCs w:val="32"/>
          <w:lang w:val="zh-CN"/>
        </w:rPr>
        <w:t>，共计支出0.0</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万元，具体内容包括：</w:t>
      </w:r>
      <w:r>
        <w:rPr>
          <w:rFonts w:hint="eastAsia" w:ascii="仿宋_GB2312" w:hAnsi="仿宋_GB2312" w:eastAsia="仿宋_GB2312" w:cs="仿宋_GB2312"/>
          <w:color w:val="000000"/>
          <w:sz w:val="32"/>
          <w:szCs w:val="32"/>
          <w:highlight w:val="white"/>
        </w:rPr>
        <w:t>接待</w:t>
      </w:r>
      <w:r>
        <w:rPr>
          <w:rFonts w:hint="eastAsia" w:ascii="仿宋_GB2312" w:hAnsi="仿宋_GB2312" w:eastAsia="仿宋_GB2312" w:cs="仿宋_GB2312"/>
          <w:color w:val="000000"/>
          <w:sz w:val="32"/>
          <w:szCs w:val="32"/>
        </w:rPr>
        <w:t>云南瑞达民爆有限责任公司增雨防雹火箭分厂技术人员为我单位进行火箭架年检产生的费用</w:t>
      </w:r>
      <w:r>
        <w:rPr>
          <w:rFonts w:hint="eastAsia" w:ascii="仿宋_GB2312" w:hAnsi="仿宋_GB2312" w:eastAsia="仿宋_GB2312" w:cs="仿宋_GB2312"/>
          <w:color w:val="000000"/>
          <w:sz w:val="32"/>
          <w:szCs w:val="32"/>
          <w:lang w:val="en-US" w:eastAsia="zh-CN"/>
        </w:rPr>
        <w:t>0.01万元</w:t>
      </w:r>
      <w:r>
        <w:rPr>
          <w:rFonts w:hint="eastAsia" w:ascii="仿宋_GB2312" w:hAnsi="仿宋_GB2312" w:eastAsia="仿宋_GB2312" w:cs="仿宋_GB2312"/>
          <w:color w:val="000000"/>
          <w:sz w:val="32"/>
          <w:szCs w:val="32"/>
        </w:rPr>
        <w:t>。</w:t>
      </w:r>
    </w:p>
    <w:p w14:paraId="2D6D1072">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val="0"/>
          <w:color w:val="000000"/>
          <w:sz w:val="32"/>
          <w:szCs w:val="32"/>
          <w:lang w:val="zh-CN"/>
        </w:rPr>
        <w:t>外事接待支出</w:t>
      </w:r>
      <w:r>
        <w:rPr>
          <w:rFonts w:hint="eastAsia" w:ascii="仿宋_GB2312" w:hAnsi="仿宋_GB2312" w:eastAsia="仿宋_GB2312" w:cs="仿宋_GB2312"/>
          <w:color w:val="000000"/>
          <w:sz w:val="32"/>
          <w:szCs w:val="32"/>
          <w:lang w:val="zh-CN"/>
        </w:rPr>
        <w:t>0万元。外事接待0批次，0人，共计支出0万元。</w:t>
      </w:r>
    </w:p>
    <w:p w14:paraId="138D5699">
      <w:pPr>
        <w:pageBreakBefore w:val="0"/>
        <w:widowControl w:val="0"/>
        <w:kinsoku/>
        <w:wordWrap/>
        <w:overflowPunct/>
        <w:topLinePunct w:val="0"/>
        <w:bidi w:val="0"/>
        <w:snapToGrid/>
        <w:spacing w:line="560" w:lineRule="exact"/>
        <w:ind w:firstLine="640"/>
        <w:textAlignment w:val="auto"/>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5"/>
      <w:bookmarkEnd w:id="36"/>
    </w:p>
    <w:p w14:paraId="29A476EA">
      <w:pPr>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年政府性基金预算财政拨款支出0万元</w:t>
      </w:r>
      <w:r>
        <w:rPr>
          <w:rFonts w:ascii="仿宋_GB2312" w:eastAsia="仿宋_GB2312"/>
          <w:sz w:val="32"/>
          <w:szCs w:val="32"/>
        </w:rPr>
        <w:t>。本</w:t>
      </w:r>
      <w:r>
        <w:rPr>
          <w:rFonts w:hint="eastAsia" w:ascii="仿宋_GB2312" w:eastAsia="仿宋_GB2312"/>
          <w:sz w:val="32"/>
          <w:szCs w:val="32"/>
          <w:lang w:eastAsia="zh-CN"/>
        </w:rPr>
        <w:t>单位</w:t>
      </w:r>
      <w:r>
        <w:rPr>
          <w:rFonts w:ascii="仿宋_GB2312" w:eastAsia="仿宋_GB2312"/>
          <w:sz w:val="32"/>
          <w:szCs w:val="32"/>
        </w:rPr>
        <w:t>没有政府性基金拨款收入，也没有使用政府性基金安排的支出。</w:t>
      </w:r>
    </w:p>
    <w:p w14:paraId="632EC64E">
      <w:pPr>
        <w:pageBreakBefore w:val="0"/>
        <w:widowControl w:val="0"/>
        <w:numPr>
          <w:ilvl w:val="0"/>
          <w:numId w:val="4"/>
        </w:numPr>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37" w:name="_Toc15377219"/>
      <w:bookmarkStart w:id="38" w:name="_Toc15396611"/>
      <w:r>
        <w:rPr>
          <w:rStyle w:val="28"/>
          <w:rFonts w:hint="eastAsia" w:ascii="黑体" w:hAnsi="黑体" w:eastAsia="黑体"/>
          <w:b w:val="0"/>
        </w:rPr>
        <w:t>国有资本经营预算支出决算情况说明</w:t>
      </w:r>
      <w:bookmarkEnd w:id="37"/>
      <w:bookmarkEnd w:id="38"/>
    </w:p>
    <w:p w14:paraId="6D93BB4D">
      <w:pPr>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年国有资本经营预算财政拨款支出0万元。</w:t>
      </w:r>
      <w:r>
        <w:rPr>
          <w:rFonts w:ascii="仿宋_GB2312" w:eastAsia="仿宋_GB2312"/>
          <w:sz w:val="32"/>
          <w:szCs w:val="32"/>
        </w:rPr>
        <w:t>本</w:t>
      </w:r>
      <w:r>
        <w:rPr>
          <w:rFonts w:hint="eastAsia" w:ascii="仿宋_GB2312" w:eastAsia="仿宋_GB2312"/>
          <w:sz w:val="32"/>
          <w:szCs w:val="32"/>
          <w:lang w:eastAsia="zh-CN"/>
        </w:rPr>
        <w:t>单位</w:t>
      </w:r>
      <w:r>
        <w:rPr>
          <w:rFonts w:ascii="仿宋_GB2312" w:eastAsia="仿宋_GB2312"/>
          <w:sz w:val="32"/>
          <w:szCs w:val="32"/>
        </w:rPr>
        <w:t>没有国有资本经营预算拨款收入，也没有使用国有资本经营预算拨款 安排的支出。</w:t>
      </w:r>
    </w:p>
    <w:p w14:paraId="2EC59016">
      <w:pPr>
        <w:pageBreakBefore w:val="0"/>
        <w:widowControl w:val="0"/>
        <w:numPr>
          <w:ilvl w:val="0"/>
          <w:numId w:val="4"/>
        </w:numPr>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39" w:name="_Toc15396612"/>
      <w:bookmarkStart w:id="40" w:name="_Toc15377221"/>
      <w:r>
        <w:rPr>
          <w:rStyle w:val="28"/>
          <w:rFonts w:hint="eastAsia" w:ascii="黑体" w:hAnsi="黑体" w:eastAsia="黑体"/>
          <w:b w:val="0"/>
        </w:rPr>
        <w:t>其他重要事项的情况说明</w:t>
      </w:r>
      <w:bookmarkEnd w:id="39"/>
      <w:bookmarkEnd w:id="40"/>
    </w:p>
    <w:p w14:paraId="7964AB61">
      <w:pPr>
        <w:pageBreakBefore w:val="0"/>
        <w:widowControl w:val="0"/>
        <w:kinsoku/>
        <w:wordWrap/>
        <w:overflowPunct/>
        <w:topLinePunct w:val="0"/>
        <w:bidi w:val="0"/>
        <w:snapToGrid/>
        <w:spacing w:line="560" w:lineRule="exact"/>
        <w:ind w:firstLine="643" w:firstLineChars="200"/>
        <w:textAlignment w:val="auto"/>
        <w:outlineLvl w:val="2"/>
        <w:rPr>
          <w:rFonts w:ascii="仿宋" w:hAnsi="仿宋" w:eastAsia="仿宋"/>
          <w:sz w:val="32"/>
          <w:szCs w:val="32"/>
        </w:rPr>
      </w:pPr>
      <w:bookmarkStart w:id="41" w:name="_Toc15377222"/>
      <w:r>
        <w:rPr>
          <w:rFonts w:hint="eastAsia" w:ascii="仿宋" w:hAnsi="仿宋" w:eastAsia="仿宋"/>
          <w:b/>
          <w:sz w:val="32"/>
          <w:szCs w:val="32"/>
        </w:rPr>
        <w:t>（一）机关运行经费支出情况</w:t>
      </w:r>
      <w:bookmarkEnd w:id="41"/>
    </w:p>
    <w:p w14:paraId="7297124C">
      <w:pPr>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年，攀枝花市盐边县气象局机关运行经费支出0万元，与</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2</w:t>
      </w:r>
      <w:r>
        <w:rPr>
          <w:rFonts w:hint="eastAsia" w:ascii="仿宋_GB2312" w:eastAsia="仿宋_GB2312"/>
          <w:sz w:val="32"/>
          <w:szCs w:val="32"/>
        </w:rPr>
        <w:t>年决算数持平。</w:t>
      </w:r>
    </w:p>
    <w:p w14:paraId="0CE5E9CD">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bookmarkStart w:id="42" w:name="_Toc15377223"/>
      <w:r>
        <w:rPr>
          <w:rFonts w:hint="eastAsia" w:ascii="仿宋" w:hAnsi="仿宋" w:eastAsia="仿宋"/>
          <w:b/>
          <w:sz w:val="32"/>
          <w:szCs w:val="32"/>
        </w:rPr>
        <w:t>（二）政府采购支出情况</w:t>
      </w:r>
      <w:bookmarkEnd w:id="42"/>
    </w:p>
    <w:p w14:paraId="0293D807">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bookmarkStart w:id="43" w:name="_Toc15377224"/>
      <w:r>
        <w:rPr>
          <w:rFonts w:hint="eastAsia" w:ascii="仿宋_GB2312" w:hAnsi="仿宋_GB2312" w:eastAsia="仿宋_GB2312" w:cs="仿宋_GB2312"/>
          <w:sz w:val="32"/>
          <w:szCs w:val="32"/>
        </w:rPr>
        <w:t>2023年度，攀枝花市盐边县气象局政府采购支出总额87.34万元，其中：政府采购货物支出87.34万元。主要用于</w:t>
      </w:r>
      <w:r>
        <w:rPr>
          <w:rFonts w:hint="eastAsia" w:ascii="仿宋_GB2312" w:hAnsi="仿宋_GB2312" w:eastAsia="仿宋_GB2312" w:cs="仿宋_GB2312"/>
          <w:sz w:val="32"/>
          <w:szCs w:val="32"/>
          <w:lang w:eastAsia="zh-CN"/>
        </w:rPr>
        <w:t>气象预报预警业务平台建设</w:t>
      </w:r>
      <w:r>
        <w:rPr>
          <w:rFonts w:hint="eastAsia" w:ascii="仿宋_GB2312" w:hAnsi="仿宋_GB2312" w:eastAsia="仿宋_GB2312" w:cs="仿宋_GB2312"/>
          <w:sz w:val="32"/>
          <w:szCs w:val="32"/>
        </w:rPr>
        <w:t>。授予中小企业合同金额87.34万元，占政府采购支出总额的100%，其中：授予小微企业合同金额87.34万元，占政府采购支出总额的100%。</w:t>
      </w:r>
    </w:p>
    <w:p w14:paraId="03C63695">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r>
        <w:rPr>
          <w:rFonts w:hint="eastAsia" w:ascii="仿宋" w:hAnsi="仿宋" w:eastAsia="仿宋"/>
          <w:b/>
          <w:sz w:val="32"/>
          <w:szCs w:val="32"/>
        </w:rPr>
        <w:t>（三）国有资产占有使用情况</w:t>
      </w:r>
      <w:bookmarkEnd w:id="43"/>
    </w:p>
    <w:p w14:paraId="4069FAAD">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日，攀枝花市盐边县气象局共有车辆2辆，其中：主要领导干部用车0辆、机要通信用车0辆、应急保障用车2辆、其他用车0辆。单价</w:t>
      </w:r>
      <w:r>
        <w:rPr>
          <w:rFonts w:ascii="仿宋_GB2312" w:eastAsia="仿宋_GB2312"/>
          <w:sz w:val="32"/>
          <w:szCs w:val="32"/>
        </w:rPr>
        <w:t>100</w:t>
      </w:r>
      <w:r>
        <w:rPr>
          <w:rFonts w:hint="eastAsia" w:ascii="仿宋_GB2312" w:eastAsia="仿宋_GB2312"/>
          <w:sz w:val="32"/>
          <w:szCs w:val="32"/>
        </w:rPr>
        <w:t>万元以上专用设备0台（套）。</w:t>
      </w:r>
    </w:p>
    <w:p w14:paraId="3288CD10">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r>
        <w:rPr>
          <w:rFonts w:hint="eastAsia" w:ascii="仿宋" w:hAnsi="仿宋" w:eastAsia="仿宋"/>
          <w:b/>
          <w:sz w:val="32"/>
          <w:szCs w:val="32"/>
        </w:rPr>
        <w:t>（四）预算绩效管理情况</w:t>
      </w:r>
    </w:p>
    <w:p w14:paraId="00BF0286">
      <w:pPr>
        <w:pageBreakBefore w:val="0"/>
        <w:widowControl w:val="0"/>
        <w:kinsoku/>
        <w:wordWrap/>
        <w:overflowPunct/>
        <w:topLinePunct w:val="0"/>
        <w:bidi w:val="0"/>
        <w:snapToGrid/>
        <w:spacing w:line="560" w:lineRule="exact"/>
        <w:ind w:firstLine="640" w:firstLineChars="200"/>
        <w:textAlignment w:val="auto"/>
        <w:rPr>
          <w:rFonts w:hint="eastAsia" w:ascii="仿宋_GB2312" w:hAnsi="Times New Roman" w:eastAsia="仿宋_GB2312"/>
          <w:sz w:val="32"/>
          <w:szCs w:val="32"/>
        </w:rPr>
      </w:pPr>
      <w:r>
        <w:rPr>
          <w:rFonts w:hint="eastAsia" w:ascii="仿宋_GB2312" w:hAnsi="仿宋_GB2312" w:eastAsia="仿宋_GB2312" w:cs="仿宋_GB2312"/>
          <w:sz w:val="32"/>
          <w:szCs w:val="32"/>
        </w:rPr>
        <w:t>根据预算绩效管理要求，本</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年度预算编制阶段，组织对202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气象防灾减灾项目、</w:t>
      </w:r>
      <w:r>
        <w:rPr>
          <w:rFonts w:hint="eastAsia" w:ascii="仿宋_GB2312" w:hAnsi="仿宋_GB2312" w:eastAsia="仿宋_GB2312" w:cs="仿宋_GB2312"/>
          <w:sz w:val="32"/>
          <w:szCs w:val="32"/>
          <w:lang w:eastAsia="zh-CN"/>
        </w:rPr>
        <w:t>盐边县格萨拉彝族乡雷达站建设项目、气象预报预警业务平台建设项目、气象灾害综合风险普查项目、“</w:t>
      </w:r>
      <w:r>
        <w:rPr>
          <w:rFonts w:hint="eastAsia" w:ascii="仿宋_GB2312" w:hAnsi="仿宋_GB2312" w:eastAsia="仿宋_GB2312" w:cs="仿宋_GB2312"/>
          <w:sz w:val="32"/>
          <w:szCs w:val="32"/>
          <w:lang w:val="en-US" w:eastAsia="zh-CN"/>
        </w:rPr>
        <w:t>2022年中国国际服务贸易交易会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参会专项等5</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个项目编制了绩效目标，预算执行过程中，</w:t>
      </w:r>
      <w:r>
        <w:rPr>
          <w:rFonts w:hint="eastAsia" w:ascii="仿宋_GB2312" w:hAnsi="Times New Roman" w:eastAsia="仿宋_GB2312"/>
          <w:sz w:val="32"/>
          <w:szCs w:val="32"/>
        </w:rPr>
        <w:t>选取</w:t>
      </w:r>
      <w:r>
        <w:rPr>
          <w:rFonts w:hint="eastAsia" w:ascii="仿宋_GB2312" w:hAnsi="Times New Roman" w:eastAsia="仿宋_GB2312"/>
          <w:sz w:val="32"/>
          <w:szCs w:val="32"/>
          <w:lang w:val="en-US" w:eastAsia="zh-CN"/>
        </w:rPr>
        <w:t>5</w:t>
      </w:r>
      <w:r>
        <w:rPr>
          <w:rFonts w:hint="eastAsia" w:ascii="仿宋_GB2312" w:hAnsi="Times New Roman" w:eastAsia="仿宋_GB2312"/>
          <w:sz w:val="32"/>
          <w:szCs w:val="32"/>
        </w:rPr>
        <w:t>个项目开展绩效监控，组织对</w:t>
      </w:r>
      <w:r>
        <w:rPr>
          <w:rFonts w:hint="eastAsia" w:ascii="仿宋_GB2312" w:hAnsi="Times New Roman" w:eastAsia="仿宋_GB2312"/>
          <w:sz w:val="32"/>
          <w:szCs w:val="32"/>
          <w:lang w:val="en-US" w:eastAsia="zh-CN"/>
        </w:rPr>
        <w:t>5</w:t>
      </w:r>
      <w:r>
        <w:rPr>
          <w:rFonts w:hint="eastAsia" w:ascii="仿宋_GB2312" w:hAnsi="Times New Roman" w:eastAsia="仿宋_GB2312"/>
          <w:sz w:val="32"/>
          <w:szCs w:val="32"/>
        </w:rPr>
        <w:t>个项目开展绩效自评，绩效自评表详见第四部分附件。</w:t>
      </w:r>
    </w:p>
    <w:p w14:paraId="41B27741">
      <w:pPr>
        <w:widowControl/>
        <w:jc w:val="left"/>
        <w:rPr>
          <w:rFonts w:ascii="仿宋_GB2312" w:eastAsia="仿宋_GB2312"/>
          <w:b/>
          <w:sz w:val="32"/>
          <w:szCs w:val="32"/>
        </w:rPr>
      </w:pPr>
      <w:r>
        <w:rPr>
          <w:rFonts w:ascii="仿宋_GB2312" w:eastAsia="仿宋_GB2312"/>
          <w:b/>
          <w:sz w:val="32"/>
          <w:szCs w:val="32"/>
        </w:rPr>
        <w:br w:type="page"/>
      </w:r>
    </w:p>
    <w:p w14:paraId="7C9BF7CA">
      <w:pPr>
        <w:numPr>
          <w:ilvl w:val="0"/>
          <w:numId w:val="5"/>
        </w:numPr>
        <w:spacing w:line="600" w:lineRule="exact"/>
        <w:ind w:firstLine="660" w:firstLineChars="150"/>
        <w:jc w:val="center"/>
        <w:outlineLvl w:val="0"/>
        <w:rPr>
          <w:rStyle w:val="27"/>
          <w:rFonts w:ascii="黑体" w:hAnsi="黑体" w:eastAsia="黑体"/>
          <w:b w:val="0"/>
        </w:rPr>
      </w:pPr>
      <w:bookmarkStart w:id="44" w:name="_Toc15377225"/>
      <w:bookmarkStart w:id="45" w:name="_Toc15396613"/>
      <w:r>
        <w:rPr>
          <w:rFonts w:hint="eastAsia" w:ascii="黑体" w:hAnsi="黑体" w:eastAsia="黑体"/>
          <w:sz w:val="44"/>
          <w:szCs w:val="44"/>
        </w:rPr>
        <w:t>名</w:t>
      </w:r>
      <w:r>
        <w:rPr>
          <w:rStyle w:val="27"/>
          <w:rFonts w:hint="eastAsia" w:ascii="黑体" w:hAnsi="黑体" w:eastAsia="黑体"/>
          <w:b w:val="0"/>
        </w:rPr>
        <w:t>词解释</w:t>
      </w:r>
      <w:bookmarkEnd w:id="44"/>
      <w:bookmarkEnd w:id="45"/>
    </w:p>
    <w:p w14:paraId="573CBA30">
      <w:pPr>
        <w:spacing w:line="600" w:lineRule="exact"/>
        <w:jc w:val="left"/>
        <w:rPr>
          <w:rFonts w:ascii="宋体"/>
          <w:b/>
          <w:sz w:val="44"/>
          <w:szCs w:val="44"/>
        </w:rPr>
      </w:pPr>
    </w:p>
    <w:p w14:paraId="73195F64">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15668CD5">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14:paraId="2BF68BBF">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14:paraId="1ADA14CA">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14:paraId="630022E2">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6E5B0B30">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0553B846">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38C6F9F0">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3922A14D">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hAnsi="Calibri" w:eastAsia="仿宋_GB2312" w:cs="仿宋"/>
          <w:color w:val="000000"/>
          <w:kern w:val="0"/>
          <w:sz w:val="32"/>
          <w:szCs w:val="32"/>
        </w:rPr>
        <w:t>9.社会保障和就业支出（208类）行政事业单位离退休</w:t>
      </w:r>
      <w:r>
        <w:rPr>
          <w:rFonts w:hint="eastAsia" w:ascii="仿宋_GB2312" w:eastAsia="仿宋_GB2312"/>
          <w:sz w:val="32"/>
          <w:szCs w:val="32"/>
        </w:rPr>
        <w:t>（05款）事业单位离退休（02项）：反映事业单位开支的离退休经费。</w:t>
      </w:r>
    </w:p>
    <w:p w14:paraId="4461FC16">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hAnsi="Calibri" w:eastAsia="仿宋_GB2312" w:cs="仿宋"/>
          <w:color w:val="000000"/>
          <w:kern w:val="0"/>
          <w:sz w:val="32"/>
          <w:szCs w:val="32"/>
        </w:rPr>
        <w:t>10</w:t>
      </w:r>
      <w:r>
        <w:rPr>
          <w:rFonts w:hint="eastAsia" w:ascii="仿宋_GB2312" w:hAnsi="Calibri" w:eastAsia="仿宋_GB2312" w:cs="仿宋"/>
          <w:color w:val="000000"/>
          <w:kern w:val="0"/>
          <w:sz w:val="32"/>
          <w:szCs w:val="32"/>
          <w:lang w:val="en-US" w:eastAsia="zh-CN"/>
        </w:rPr>
        <w:t>.</w:t>
      </w:r>
      <w:r>
        <w:rPr>
          <w:rFonts w:hint="eastAsia" w:ascii="仿宋_GB2312" w:hAnsi="Calibri" w:eastAsia="仿宋_GB2312" w:cs="仿宋"/>
          <w:color w:val="000000"/>
          <w:kern w:val="0"/>
          <w:sz w:val="32"/>
          <w:szCs w:val="32"/>
        </w:rPr>
        <w:t>社会保障和就业支出（208类）行政事业单位离退休</w:t>
      </w:r>
      <w:r>
        <w:rPr>
          <w:rFonts w:hint="eastAsia" w:ascii="仿宋_GB2312" w:eastAsia="仿宋_GB2312"/>
          <w:sz w:val="32"/>
          <w:szCs w:val="32"/>
        </w:rPr>
        <w:t>（05款）机关事业单位基本养老保险缴费支出（05项）：反映机关事业单位实施养老保险制度由单位缴纳的基本养老保险费支出。</w:t>
      </w:r>
    </w:p>
    <w:p w14:paraId="00D9D2D7">
      <w:pPr>
        <w:pStyle w:val="2"/>
        <w:keepNext w:val="0"/>
        <w:keepLines w:val="0"/>
        <w:pageBreakBefore w:val="0"/>
        <w:widowControl w:val="0"/>
        <w:kinsoku/>
        <w:wordWrap/>
        <w:overflowPunct/>
        <w:topLinePunct w:val="0"/>
        <w:bidi w:val="0"/>
        <w:snapToGrid/>
        <w:spacing w:before="93" w:line="560" w:lineRule="exact"/>
        <w:textAlignment w:val="auto"/>
      </w:pPr>
      <w:r>
        <w:rPr>
          <w:rFonts w:hint="eastAsia"/>
        </w:rPr>
        <w:t xml:space="preserve">.  </w:t>
      </w:r>
      <w:r>
        <w:rPr>
          <w:rFonts w:hint="eastAsia" w:hAnsi="Calibri" w:cs="仿宋"/>
          <w:color w:val="000000"/>
          <w:sz w:val="32"/>
          <w:szCs w:val="32"/>
        </w:rPr>
        <w:t xml:space="preserve"> 11．社会保障和就业支出（208类）行政事业单位离退休</w:t>
      </w:r>
      <w:r>
        <w:rPr>
          <w:rFonts w:hint="eastAsia"/>
          <w:sz w:val="32"/>
          <w:szCs w:val="32"/>
        </w:rPr>
        <w:t>（05款）机关事业单位职业年金缴费支出（06项）：反映机关事业单位实施养老保险制度由单位实际缴纳的职业年金支出。</w:t>
      </w:r>
    </w:p>
    <w:p w14:paraId="02E9B2B2">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12</w:t>
      </w:r>
      <w:r>
        <w:rPr>
          <w:rFonts w:hint="eastAsia" w:ascii="仿宋_GB2312" w:eastAsia="仿宋_GB2312"/>
          <w:color w:val="000000"/>
          <w:sz w:val="32"/>
          <w:szCs w:val="32"/>
        </w:rPr>
        <w:t>.</w:t>
      </w:r>
      <w:r>
        <w:rPr>
          <w:rFonts w:hint="eastAsia" w:ascii="仿宋_GB2312" w:eastAsia="仿宋_GB2312"/>
          <w:sz w:val="32"/>
          <w:szCs w:val="32"/>
        </w:rPr>
        <w:t>卫生健康支出（类210）行政事业单位医疗（11款）事业单位医疗（02项）：反映财政部安排的事业单位基本医疗保险缴费经费，未参加医疗保险费的事业单位的公费医疗经费，按国家规定享受离休人员待遇的医疗经费。</w:t>
      </w:r>
    </w:p>
    <w:p w14:paraId="1980CB2A">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13</w:t>
      </w:r>
      <w:r>
        <w:rPr>
          <w:rFonts w:hint="eastAsia" w:ascii="仿宋_GB2312" w:eastAsia="仿宋_GB2312"/>
          <w:color w:val="000000"/>
          <w:sz w:val="32"/>
          <w:szCs w:val="32"/>
        </w:rPr>
        <w:t>.</w:t>
      </w:r>
      <w:r>
        <w:rPr>
          <w:rFonts w:hint="eastAsia" w:ascii="仿宋_GB2312" w:eastAsia="仿宋_GB2312"/>
          <w:sz w:val="32"/>
          <w:szCs w:val="32"/>
        </w:rPr>
        <w:t>卫生健康支出（210类）行政事业单位医疗（11款）其他行政事业单位医疗支出（99项）：反映上述项目以外的其他用于行政事业单位医疗方面的支出。</w:t>
      </w:r>
    </w:p>
    <w:p w14:paraId="6F5C0C4E">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14</w:t>
      </w:r>
      <w:r>
        <w:rPr>
          <w:rFonts w:hint="eastAsia" w:ascii="仿宋_GB2312" w:eastAsia="仿宋_GB2312"/>
          <w:color w:val="000000"/>
          <w:sz w:val="32"/>
          <w:szCs w:val="32"/>
        </w:rPr>
        <w:t>.</w:t>
      </w:r>
      <w:r>
        <w:rPr>
          <w:rFonts w:hint="eastAsia" w:ascii="仿宋_GB2312" w:eastAsia="仿宋_GB2312"/>
          <w:sz w:val="32"/>
          <w:szCs w:val="32"/>
        </w:rPr>
        <w:t>自然资源海洋气象等支出（220类）气象事务（05款）气象事业机构（04项）：反映气象事业单位（不包括实行公务员管理的事业单位）的基本支出。</w:t>
      </w:r>
    </w:p>
    <w:p w14:paraId="59FD54B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15.自然资源海洋气象等支出（220类）气象事务（</w:t>
      </w:r>
      <w:r>
        <w:rPr>
          <w:rFonts w:hint="eastAsia" w:ascii="仿宋_GB2312" w:eastAsia="仿宋_GB2312"/>
          <w:sz w:val="32"/>
          <w:szCs w:val="32"/>
          <w:lang w:val="en-US" w:eastAsia="zh-CN"/>
        </w:rPr>
        <w:t>05</w:t>
      </w:r>
      <w:r>
        <w:rPr>
          <w:rFonts w:hint="eastAsia" w:ascii="仿宋_GB2312" w:eastAsia="仿宋_GB2312"/>
          <w:sz w:val="32"/>
          <w:szCs w:val="32"/>
        </w:rPr>
        <w:t>款）气象</w:t>
      </w:r>
      <w:r>
        <w:rPr>
          <w:rFonts w:hint="eastAsia" w:ascii="仿宋_GB2312" w:eastAsia="仿宋_GB2312"/>
          <w:sz w:val="32"/>
          <w:szCs w:val="32"/>
          <w:lang w:eastAsia="zh-CN"/>
        </w:rPr>
        <w:t>预报预测</w:t>
      </w:r>
      <w:r>
        <w:rPr>
          <w:rFonts w:hint="eastAsia" w:ascii="仿宋_GB2312" w:eastAsia="仿宋_GB2312"/>
          <w:sz w:val="32"/>
          <w:szCs w:val="32"/>
        </w:rPr>
        <w:t>（</w:t>
      </w:r>
      <w:r>
        <w:rPr>
          <w:rFonts w:hint="eastAsia" w:ascii="仿宋_GB2312" w:eastAsia="仿宋_GB2312"/>
          <w:sz w:val="32"/>
          <w:szCs w:val="32"/>
          <w:lang w:val="en-US" w:eastAsia="zh-CN"/>
        </w:rPr>
        <w:t>08</w:t>
      </w:r>
      <w:r>
        <w:rPr>
          <w:rFonts w:hint="eastAsia" w:ascii="仿宋_GB2312" w:eastAsia="仿宋_GB2312"/>
          <w:sz w:val="32"/>
          <w:szCs w:val="32"/>
        </w:rPr>
        <w:t>项）：反映加工制作天气预报警报、气候和气候变化预测评估、农业与生态气象、大气成分预测评价、雷电以及空间天气预报、城市环境气象、海洋气象、交通气象、地质灾害、火险等级预报等气象情报方面的支出。</w:t>
      </w:r>
    </w:p>
    <w:p w14:paraId="1AA762D9">
      <w:pPr>
        <w:pStyle w:val="2"/>
        <w:keepNext w:val="0"/>
        <w:keepLines w:val="0"/>
        <w:pageBreakBefore w:val="0"/>
        <w:widowControl w:val="0"/>
        <w:kinsoku/>
        <w:wordWrap/>
        <w:overflowPunct/>
        <w:topLinePunct w:val="0"/>
        <w:bidi w:val="0"/>
        <w:snapToGrid/>
        <w:spacing w:line="560" w:lineRule="exact"/>
        <w:textAlignment w:val="auto"/>
      </w:pPr>
    </w:p>
    <w:p w14:paraId="09328A5B">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6</w:t>
      </w:r>
      <w:r>
        <w:rPr>
          <w:rFonts w:hint="eastAsia" w:ascii="仿宋_GB2312" w:eastAsia="仿宋_GB2312"/>
          <w:color w:val="000000"/>
          <w:sz w:val="32"/>
          <w:szCs w:val="32"/>
        </w:rPr>
        <w:t>.</w:t>
      </w:r>
      <w:r>
        <w:rPr>
          <w:rFonts w:hint="eastAsia" w:ascii="仿宋_GB2312" w:eastAsia="仿宋_GB2312"/>
          <w:sz w:val="32"/>
          <w:szCs w:val="32"/>
        </w:rPr>
        <w:t>自然资源海洋气象等支出（220类）气象事务（</w:t>
      </w:r>
      <w:r>
        <w:rPr>
          <w:rFonts w:hint="eastAsia" w:ascii="仿宋_GB2312" w:eastAsia="仿宋_GB2312"/>
          <w:sz w:val="32"/>
          <w:szCs w:val="32"/>
          <w:lang w:val="en-US" w:eastAsia="zh-CN"/>
        </w:rPr>
        <w:t>05</w:t>
      </w:r>
      <w:r>
        <w:rPr>
          <w:rFonts w:hint="eastAsia" w:ascii="仿宋_GB2312" w:eastAsia="仿宋_GB2312"/>
          <w:sz w:val="32"/>
          <w:szCs w:val="32"/>
        </w:rPr>
        <w:t>款）气象服务（</w:t>
      </w:r>
      <w:r>
        <w:rPr>
          <w:rFonts w:hint="eastAsia" w:ascii="仿宋_GB2312" w:eastAsia="仿宋_GB2312"/>
          <w:sz w:val="32"/>
          <w:szCs w:val="32"/>
          <w:lang w:val="en-US" w:eastAsia="zh-CN"/>
        </w:rPr>
        <w:t>09</w:t>
      </w:r>
      <w:r>
        <w:rPr>
          <w:rFonts w:hint="eastAsia" w:ascii="仿宋_GB2312" w:eastAsia="仿宋_GB2312"/>
          <w:sz w:val="32"/>
          <w:szCs w:val="32"/>
        </w:rPr>
        <w:t>项）：反映为社会公众和政府等部门提供气象预报预测服务产品以及为国家安全、防汛抗旱、防雷、人工影响局部天气、农村建设、农牧业生产等提供气象服务方面的支出。</w:t>
      </w:r>
    </w:p>
    <w:p w14:paraId="675087F6">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7</w:t>
      </w:r>
      <w:r>
        <w:rPr>
          <w:rFonts w:hint="eastAsia" w:ascii="仿宋_GB2312" w:eastAsia="仿宋_GB2312"/>
          <w:color w:val="000000"/>
          <w:sz w:val="32"/>
          <w:szCs w:val="32"/>
        </w:rPr>
        <w:t>.</w:t>
      </w:r>
      <w:r>
        <w:rPr>
          <w:rFonts w:hint="eastAsia" w:ascii="仿宋_GB2312" w:eastAsia="仿宋_GB2312"/>
          <w:sz w:val="32"/>
          <w:szCs w:val="32"/>
        </w:rPr>
        <w:t>自然资源海洋气象等支出（220类）气象事务（</w:t>
      </w:r>
      <w:r>
        <w:rPr>
          <w:rFonts w:hint="eastAsia" w:ascii="仿宋_GB2312" w:eastAsia="仿宋_GB2312"/>
          <w:sz w:val="32"/>
          <w:szCs w:val="32"/>
          <w:lang w:val="en-US" w:eastAsia="zh-CN"/>
        </w:rPr>
        <w:t>05</w:t>
      </w:r>
      <w:r>
        <w:rPr>
          <w:rFonts w:hint="eastAsia" w:ascii="仿宋_GB2312" w:eastAsia="仿宋_GB2312"/>
          <w:sz w:val="32"/>
          <w:szCs w:val="32"/>
        </w:rPr>
        <w:t>款）气象基础设施建设与维修（</w:t>
      </w:r>
      <w:r>
        <w:rPr>
          <w:rFonts w:hint="eastAsia" w:ascii="仿宋_GB2312" w:eastAsia="仿宋_GB2312"/>
          <w:sz w:val="32"/>
          <w:szCs w:val="32"/>
          <w:lang w:val="en-US" w:eastAsia="zh-CN"/>
        </w:rPr>
        <w:t>11</w:t>
      </w:r>
      <w:r>
        <w:rPr>
          <w:rFonts w:hint="eastAsia" w:ascii="仿宋_GB2312" w:eastAsia="仿宋_GB2312"/>
          <w:sz w:val="32"/>
          <w:szCs w:val="32"/>
        </w:rPr>
        <w:t>项）：反映为气象部门用于供电、供水、供暖和观测场、道路、房屋、护坡、围墙等基础设施的建设、改造、更新、维修等方面的支出。</w:t>
      </w:r>
    </w:p>
    <w:p w14:paraId="2185E549">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8</w:t>
      </w:r>
      <w:r>
        <w:rPr>
          <w:rFonts w:hint="eastAsia" w:ascii="仿宋_GB2312" w:eastAsia="仿宋_GB2312"/>
          <w:color w:val="000000"/>
          <w:sz w:val="32"/>
          <w:szCs w:val="32"/>
        </w:rPr>
        <w:t>.</w:t>
      </w:r>
      <w:r>
        <w:rPr>
          <w:rFonts w:hint="eastAsia" w:ascii="仿宋_GB2312" w:eastAsia="仿宋_GB2312"/>
          <w:sz w:val="32"/>
          <w:szCs w:val="32"/>
        </w:rPr>
        <w:t>自然资源海洋气象等支出（220类）气象事务（</w:t>
      </w:r>
      <w:r>
        <w:rPr>
          <w:rFonts w:hint="eastAsia" w:ascii="仿宋_GB2312" w:eastAsia="仿宋_GB2312"/>
          <w:sz w:val="32"/>
          <w:szCs w:val="32"/>
          <w:lang w:val="en-US" w:eastAsia="zh-CN"/>
        </w:rPr>
        <w:t>05</w:t>
      </w:r>
      <w:r>
        <w:rPr>
          <w:rFonts w:hint="eastAsia" w:ascii="仿宋_GB2312" w:eastAsia="仿宋_GB2312"/>
          <w:sz w:val="32"/>
          <w:szCs w:val="32"/>
        </w:rPr>
        <w:t>款）</w:t>
      </w:r>
      <w:r>
        <w:rPr>
          <w:rFonts w:hint="eastAsia" w:ascii="仿宋_GB2312" w:eastAsia="仿宋_GB2312"/>
          <w:sz w:val="32"/>
          <w:szCs w:val="32"/>
          <w:lang w:eastAsia="zh-CN"/>
        </w:rPr>
        <w:t>其他气象事务支出</w:t>
      </w:r>
      <w:r>
        <w:rPr>
          <w:rFonts w:hint="eastAsia" w:ascii="仿宋_GB2312" w:eastAsia="仿宋_GB2312"/>
          <w:sz w:val="32"/>
          <w:szCs w:val="32"/>
        </w:rPr>
        <w:t>（</w:t>
      </w:r>
      <w:r>
        <w:rPr>
          <w:rFonts w:hint="eastAsia" w:ascii="仿宋_GB2312" w:eastAsia="仿宋_GB2312"/>
          <w:sz w:val="32"/>
          <w:szCs w:val="32"/>
          <w:lang w:val="en-US" w:eastAsia="zh-CN"/>
        </w:rPr>
        <w:t>99</w:t>
      </w:r>
      <w:r>
        <w:rPr>
          <w:rFonts w:hint="eastAsia" w:ascii="仿宋_GB2312" w:eastAsia="仿宋_GB2312"/>
          <w:sz w:val="32"/>
          <w:szCs w:val="32"/>
        </w:rPr>
        <w:t>项）：反映其他用于气象事务方面的支出。</w:t>
      </w:r>
    </w:p>
    <w:p w14:paraId="48FE7580">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9</w:t>
      </w:r>
      <w:r>
        <w:rPr>
          <w:rFonts w:hint="eastAsia" w:ascii="仿宋_GB2312" w:eastAsia="仿宋_GB2312"/>
          <w:color w:val="000000"/>
          <w:sz w:val="32"/>
          <w:szCs w:val="32"/>
        </w:rPr>
        <w:t>.</w:t>
      </w:r>
      <w:r>
        <w:rPr>
          <w:rFonts w:hint="eastAsia" w:ascii="仿宋_GB2312" w:eastAsia="仿宋_GB2312"/>
          <w:sz w:val="32"/>
          <w:szCs w:val="32"/>
        </w:rPr>
        <w:t>住房保障支出（221类）住房改革支出（</w:t>
      </w:r>
      <w:r>
        <w:rPr>
          <w:rFonts w:hint="eastAsia" w:ascii="仿宋_GB2312" w:eastAsia="仿宋_GB2312"/>
          <w:sz w:val="32"/>
          <w:szCs w:val="32"/>
          <w:lang w:val="en-US" w:eastAsia="zh-CN"/>
        </w:rPr>
        <w:t>02</w:t>
      </w:r>
      <w:r>
        <w:rPr>
          <w:rFonts w:hint="eastAsia" w:ascii="仿宋_GB2312" w:eastAsia="仿宋_GB2312"/>
          <w:sz w:val="32"/>
          <w:szCs w:val="32"/>
        </w:rPr>
        <w:t>款）住房公积金（01项）：反映行政事业单位按人力资源和社会保障部、财政部规定的基本工资和津贴补贴以及规定比例为职工缴纳的住房公积金。</w:t>
      </w:r>
    </w:p>
    <w:p w14:paraId="5ECC040A">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20</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4145DA9F">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14:paraId="08C54A63">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lang w:val="en-US" w:eastAsia="zh-CN"/>
        </w:rPr>
        <w:t>2</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14:paraId="7012610F">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FAC09F0">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C8C56C0">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s="黑体"/>
          <w:color w:val="auto"/>
          <w:sz w:val="32"/>
          <w:szCs w:val="32"/>
        </w:rPr>
      </w:pPr>
    </w:p>
    <w:p w14:paraId="743AF079">
      <w:pPr>
        <w:spacing w:line="600" w:lineRule="exact"/>
        <w:jc w:val="center"/>
        <w:outlineLvl w:val="0"/>
        <w:rPr>
          <w:rStyle w:val="27"/>
          <w:rFonts w:ascii="黑体" w:hAnsi="黑体" w:eastAsia="黑体"/>
          <w:b w:val="0"/>
        </w:rPr>
      </w:pPr>
      <w:bookmarkStart w:id="46" w:name="_Toc15377226"/>
      <w:r>
        <w:rPr>
          <w:rFonts w:ascii="宋体"/>
          <w:b/>
          <w:sz w:val="44"/>
          <w:szCs w:val="44"/>
        </w:rPr>
        <w:br w:type="page"/>
      </w:r>
      <w:bookmarkStart w:id="47" w:name="_Toc15396614"/>
      <w:r>
        <w:rPr>
          <w:rFonts w:hint="eastAsia" w:ascii="黑体" w:hAnsi="黑体" w:eastAsia="黑体"/>
          <w:sz w:val="44"/>
          <w:szCs w:val="44"/>
        </w:rPr>
        <w:t>第</w:t>
      </w:r>
      <w:r>
        <w:rPr>
          <w:rStyle w:val="27"/>
          <w:rFonts w:hint="eastAsia" w:ascii="黑体" w:hAnsi="黑体" w:eastAsia="黑体"/>
          <w:b w:val="0"/>
        </w:rPr>
        <w:t>四部分 附件</w:t>
      </w:r>
      <w:bookmarkEnd w:id="47"/>
    </w:p>
    <w:p w14:paraId="46A75535">
      <w:pPr>
        <w:spacing w:line="600" w:lineRule="exact"/>
        <w:jc w:val="center"/>
        <w:outlineLvl w:val="0"/>
        <w:rPr>
          <w:rFonts w:hint="eastAsia" w:ascii="黑体" w:hAnsi="黑体" w:eastAsia="黑体"/>
          <w:color w:val="FF0000"/>
          <w:sz w:val="44"/>
          <w:szCs w:val="44"/>
        </w:rPr>
      </w:pPr>
      <w:r>
        <w:rPr>
          <w:rFonts w:hint="eastAsia" w:hAnsi="Times New Roman"/>
          <w:sz w:val="32"/>
          <w:szCs w:val="32"/>
        </w:rPr>
        <w:t>部门预算项目支出绩效自评表（202</w:t>
      </w:r>
      <w:r>
        <w:rPr>
          <w:rFonts w:hint="eastAsia"/>
          <w:sz w:val="32"/>
          <w:szCs w:val="32"/>
        </w:rPr>
        <w:t>3</w:t>
      </w:r>
      <w:r>
        <w:rPr>
          <w:rFonts w:hint="eastAsia" w:hAnsi="Times New Roman"/>
          <w:sz w:val="32"/>
          <w:szCs w:val="32"/>
        </w:rPr>
        <w:t>年度）</w:t>
      </w:r>
    </w:p>
    <w:p w14:paraId="71672C5C">
      <w:pPr>
        <w:pStyle w:val="2"/>
        <w:spacing w:before="93"/>
      </w:pPr>
    </w:p>
    <w:p w14:paraId="4FF7B549">
      <w:pPr>
        <w:autoSpaceDE w:val="0"/>
        <w:autoSpaceDN w:val="0"/>
        <w:adjustRightInd w:val="0"/>
        <w:spacing w:line="560" w:lineRule="exact"/>
        <w:ind w:firstLine="643" w:firstLineChars="200"/>
        <w:jc w:val="center"/>
        <w:rPr>
          <w:b/>
          <w:bCs/>
          <w:color w:val="000000"/>
          <w:sz w:val="32"/>
          <w:szCs w:val="32"/>
        </w:rPr>
        <w:sectPr>
          <w:footerReference r:id="rId9" w:type="first"/>
          <w:footerReference r:id="rId8" w:type="default"/>
          <w:pgSz w:w="11906" w:h="16838"/>
          <w:pgMar w:top="1440" w:right="1800" w:bottom="1440" w:left="1800" w:header="851" w:footer="992" w:gutter="0"/>
          <w:pgNumType w:start="1"/>
          <w:cols w:space="425" w:num="1"/>
          <w:titlePg/>
          <w:docGrid w:type="lines" w:linePitch="312" w:charSpace="0"/>
        </w:sectPr>
      </w:pPr>
    </w:p>
    <w:p w14:paraId="5DA7898E">
      <w:pPr>
        <w:spacing w:line="600" w:lineRule="exact"/>
        <w:jc w:val="center"/>
        <w:outlineLvl w:val="0"/>
        <w:rPr>
          <w:rFonts w:ascii="仿宋" w:hAnsi="仿宋" w:eastAsia="仿宋"/>
        </w:rPr>
      </w:pPr>
      <w:bookmarkStart w:id="48" w:name="_Toc15396618"/>
      <w:r>
        <w:rPr>
          <w:rFonts w:hint="eastAsia" w:ascii="黑体" w:hAnsi="黑体" w:eastAsia="黑体"/>
          <w:sz w:val="44"/>
          <w:szCs w:val="44"/>
        </w:rPr>
        <w:t>第</w:t>
      </w:r>
      <w:r>
        <w:rPr>
          <w:rStyle w:val="27"/>
          <w:rFonts w:hint="eastAsia" w:ascii="黑体" w:hAnsi="黑体" w:eastAsia="黑体"/>
          <w:b w:val="0"/>
        </w:rPr>
        <w:t>五部分 附表</w:t>
      </w:r>
      <w:bookmarkEnd w:id="46"/>
      <w:bookmarkEnd w:id="48"/>
      <w:bookmarkStart w:id="49" w:name="_Toc15396619"/>
    </w:p>
    <w:p w14:paraId="53647A1E">
      <w:pPr>
        <w:pStyle w:val="4"/>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49"/>
    </w:p>
    <w:p w14:paraId="5EE22C3C">
      <w:pPr>
        <w:pStyle w:val="4"/>
        <w:rPr>
          <w:rFonts w:ascii="仿宋" w:hAnsi="仿宋" w:eastAsia="仿宋"/>
        </w:rPr>
      </w:pPr>
      <w:bookmarkStart w:id="50" w:name="_Toc15396620"/>
      <w:r>
        <w:rPr>
          <w:rFonts w:hint="eastAsia" w:ascii="仿宋" w:hAnsi="仿宋" w:eastAsia="仿宋"/>
          <w:b w:val="0"/>
        </w:rPr>
        <w:t>二、收</w:t>
      </w:r>
      <w:r>
        <w:rPr>
          <w:rStyle w:val="28"/>
          <w:rFonts w:hint="eastAsia" w:ascii="仿宋" w:hAnsi="仿宋" w:eastAsia="仿宋"/>
          <w:b w:val="0"/>
          <w:bCs w:val="0"/>
        </w:rPr>
        <w:t>入决算表</w:t>
      </w:r>
      <w:bookmarkEnd w:id="50"/>
    </w:p>
    <w:p w14:paraId="26C5008D">
      <w:pPr>
        <w:pStyle w:val="4"/>
        <w:rPr>
          <w:rFonts w:ascii="仿宋" w:hAnsi="仿宋" w:eastAsia="仿宋"/>
        </w:rPr>
      </w:pPr>
      <w:bookmarkStart w:id="51"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1"/>
    </w:p>
    <w:p w14:paraId="232E8B89">
      <w:pPr>
        <w:pStyle w:val="4"/>
        <w:rPr>
          <w:rFonts w:ascii="仿宋" w:hAnsi="仿宋" w:eastAsia="仿宋"/>
          <w:b w:val="0"/>
        </w:rPr>
      </w:pPr>
      <w:bookmarkStart w:id="52"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2"/>
    </w:p>
    <w:p w14:paraId="465768E9">
      <w:pPr>
        <w:pStyle w:val="4"/>
        <w:rPr>
          <w:rStyle w:val="28"/>
          <w:rFonts w:ascii="仿宋" w:hAnsi="仿宋" w:eastAsia="仿宋"/>
          <w:b w:val="0"/>
          <w:bCs w:val="0"/>
        </w:rPr>
      </w:pPr>
      <w:bookmarkStart w:id="53"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3"/>
      <w:bookmarkStart w:id="54" w:name="_Toc15396624"/>
    </w:p>
    <w:p w14:paraId="5D963171">
      <w:pPr>
        <w:pStyle w:val="4"/>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4"/>
    </w:p>
    <w:p w14:paraId="70F5D2D4">
      <w:pPr>
        <w:pStyle w:val="4"/>
        <w:rPr>
          <w:rFonts w:ascii="仿宋" w:hAnsi="仿宋" w:eastAsia="仿宋"/>
        </w:rPr>
      </w:pPr>
      <w:bookmarkStart w:id="55"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5"/>
    </w:p>
    <w:p w14:paraId="070006EA">
      <w:pPr>
        <w:pStyle w:val="4"/>
        <w:rPr>
          <w:rFonts w:ascii="仿宋" w:hAnsi="仿宋" w:eastAsia="仿宋"/>
        </w:rPr>
      </w:pPr>
      <w:bookmarkStart w:id="56"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6"/>
    </w:p>
    <w:p w14:paraId="61374C8E">
      <w:pPr>
        <w:pStyle w:val="4"/>
        <w:rPr>
          <w:rFonts w:ascii="仿宋" w:hAnsi="仿宋" w:eastAsia="仿宋"/>
        </w:rPr>
      </w:pPr>
      <w:bookmarkStart w:id="57"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57"/>
    </w:p>
    <w:p w14:paraId="7076A0FF">
      <w:pPr>
        <w:pStyle w:val="4"/>
        <w:rPr>
          <w:rFonts w:ascii="仿宋" w:hAnsi="仿宋" w:eastAsia="仿宋"/>
        </w:rPr>
      </w:pPr>
      <w:bookmarkStart w:id="58" w:name="_Toc15396628"/>
      <w:r>
        <w:rPr>
          <w:rStyle w:val="28"/>
          <w:rFonts w:hint="eastAsia" w:ascii="仿宋" w:hAnsi="仿宋" w:eastAsia="仿宋"/>
          <w:b w:val="0"/>
          <w:bCs w:val="0"/>
        </w:rPr>
        <w:t>十、</w:t>
      </w:r>
      <w:bookmarkEnd w:id="58"/>
      <w:r>
        <w:rPr>
          <w:rFonts w:hint="eastAsia" w:ascii="仿宋" w:hAnsi="仿宋" w:eastAsia="仿宋"/>
          <w:b w:val="0"/>
        </w:rPr>
        <w:t>政</w:t>
      </w:r>
      <w:r>
        <w:rPr>
          <w:rStyle w:val="28"/>
          <w:rFonts w:hint="eastAsia" w:ascii="仿宋" w:hAnsi="仿宋" w:eastAsia="仿宋"/>
          <w:b w:val="0"/>
          <w:bCs w:val="0"/>
        </w:rPr>
        <w:t>府性基金预算财政拨款收入支出决算表</w:t>
      </w:r>
    </w:p>
    <w:p w14:paraId="4BF32F69">
      <w:pPr>
        <w:pStyle w:val="4"/>
        <w:rPr>
          <w:rFonts w:ascii="仿宋" w:hAnsi="仿宋" w:eastAsia="仿宋"/>
        </w:rPr>
      </w:pPr>
      <w:bookmarkStart w:id="59" w:name="_Toc15396629"/>
      <w:r>
        <w:rPr>
          <w:rStyle w:val="28"/>
          <w:rFonts w:hint="eastAsia" w:ascii="仿宋" w:hAnsi="仿宋" w:eastAsia="仿宋"/>
          <w:b w:val="0"/>
          <w:bCs w:val="0"/>
        </w:rPr>
        <w:t>十一、</w:t>
      </w:r>
      <w:bookmarkEnd w:id="59"/>
      <w:r>
        <w:rPr>
          <w:rFonts w:hint="eastAsia" w:ascii="仿宋" w:hAnsi="仿宋" w:eastAsia="仿宋"/>
          <w:b w:val="0"/>
        </w:rPr>
        <w:t>国</w:t>
      </w:r>
      <w:r>
        <w:rPr>
          <w:rStyle w:val="28"/>
          <w:rFonts w:hint="eastAsia" w:ascii="仿宋" w:hAnsi="仿宋" w:eastAsia="仿宋"/>
          <w:b w:val="0"/>
          <w:bCs w:val="0"/>
        </w:rPr>
        <w:t>有资本经营预算财政拨款收入支出决算表</w:t>
      </w:r>
    </w:p>
    <w:p w14:paraId="7D5B81B8">
      <w:pPr>
        <w:pStyle w:val="4"/>
        <w:rPr>
          <w:rFonts w:ascii="仿宋" w:hAnsi="仿宋" w:eastAsia="仿宋"/>
        </w:rPr>
      </w:pPr>
      <w:bookmarkStart w:id="60" w:name="_Toc15396630"/>
      <w:r>
        <w:rPr>
          <w:rStyle w:val="28"/>
          <w:rFonts w:hint="eastAsia" w:ascii="仿宋" w:hAnsi="仿宋" w:eastAsia="仿宋"/>
          <w:b w:val="0"/>
          <w:bCs w:val="0"/>
        </w:rPr>
        <w:t>十二、</w:t>
      </w:r>
      <w:bookmarkEnd w:id="60"/>
      <w:r>
        <w:rPr>
          <w:rStyle w:val="28"/>
          <w:rFonts w:hint="eastAsia" w:ascii="仿宋" w:hAnsi="仿宋" w:eastAsia="仿宋"/>
          <w:b w:val="0"/>
          <w:bCs w:val="0"/>
        </w:rPr>
        <w:t>国有资本经营预算财政拨款支出决算表</w:t>
      </w:r>
    </w:p>
    <w:p w14:paraId="6D95572F">
      <w:pPr>
        <w:pStyle w:val="4"/>
      </w:pPr>
      <w:bookmarkStart w:id="61" w:name="_Toc15396631"/>
      <w:r>
        <w:rPr>
          <w:rStyle w:val="28"/>
          <w:rFonts w:hint="eastAsia" w:ascii="仿宋" w:hAnsi="仿宋" w:eastAsia="仿宋"/>
          <w:b w:val="0"/>
          <w:bCs w:val="0"/>
        </w:rPr>
        <w:t>十三、</w:t>
      </w:r>
      <w:bookmarkEnd w:id="61"/>
      <w:r>
        <w:rPr>
          <w:rStyle w:val="28"/>
          <w:rFonts w:hint="eastAsia" w:ascii="仿宋" w:hAnsi="仿宋" w:eastAsia="仿宋"/>
          <w:b w:val="0"/>
          <w:bCs w:val="0"/>
        </w:rPr>
        <w:t>财政拨款“三公”经费支出决算</w:t>
      </w:r>
    </w:p>
    <w:sectPr>
      <w:pgSz w:w="11906" w:h="16838"/>
      <w:pgMar w:top="1440" w:right="1247" w:bottom="1440" w:left="124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方正楷体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1E118">
    <w:pPr>
      <w:pStyle w:val="10"/>
    </w:pPr>
  </w:p>
  <w:p w14:paraId="65263F71">
    <w:pPr>
      <w:pStyle w:val="10"/>
    </w:pPr>
  </w:p>
  <w:p w14:paraId="092A1B7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4B88E">
    <w:pPr>
      <w:pStyle w:val="10"/>
    </w:pPr>
  </w:p>
  <w:p w14:paraId="373C167E">
    <w:pPr>
      <w:pStyle w:val="10"/>
      <w:tabs>
        <w:tab w:val="left" w:pos="2740"/>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3D6EF">
    <w:pPr>
      <w:pStyle w:val="10"/>
    </w:pPr>
  </w:p>
  <w:p w14:paraId="05514160">
    <w:pPr>
      <w:pStyle w:val="10"/>
    </w:pPr>
  </w:p>
  <w:p w14:paraId="46BFC658"/>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461AD">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6D3CD6A">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AQOrH0&#10;7QEAANUDAAAOAAAAAAAAAAEAIAAAAB4BAABkcnMvZTJvRG9jLnhtbFBLBQYAAAAABgAGAFkBAAB9&#10;BQAAAAA=&#10;">
              <v:fill on="f" focussize="0,0"/>
              <v:stroke on="f"/>
              <v:imagedata o:title=""/>
              <o:lock v:ext="edit" aspectratio="f"/>
              <v:textbox inset="0mm,0mm,0mm,0mm" style="mso-fit-shape-to-text:t;">
                <w:txbxContent>
                  <w:p w14:paraId="26D3CD6A">
                    <w:pPr>
                      <w:pStyle w:val="10"/>
                    </w:pPr>
                    <w:r>
                      <w:fldChar w:fldCharType="begin"/>
                    </w:r>
                    <w:r>
                      <w:instrText xml:space="preserve"> PAGE  \* MERGEFORMAT </w:instrText>
                    </w:r>
                    <w:r>
                      <w:fldChar w:fldCharType="separate"/>
                    </w:r>
                    <w:r>
                      <w:t>1</w:t>
                    </w:r>
                    <w:r>
                      <w:fldChar w:fldCharType="end"/>
                    </w:r>
                  </w:p>
                </w:txbxContent>
              </v:textbox>
            </v:shape>
          </w:pict>
        </mc:Fallback>
      </mc:AlternateContent>
    </w:r>
  </w:p>
  <w:p w14:paraId="789DC0AA">
    <w:pPr>
      <w:pStyle w:val="10"/>
      <w:tabs>
        <w:tab w:val="left" w:pos="2740"/>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37123">
    <w:pPr>
      <w:pStyle w:val="10"/>
    </w:pPr>
  </w:p>
  <w:p w14:paraId="33A4FBBB">
    <w:pPr>
      <w:pStyle w:val="10"/>
    </w:pPr>
  </w:p>
  <w:p w14:paraId="7BB78711"/>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56516">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E365A7A">
                          <w:pPr>
                            <w:pStyle w:val="10"/>
                          </w:pPr>
                          <w:r>
                            <w:fldChar w:fldCharType="begin"/>
                          </w:r>
                          <w:r>
                            <w:instrText xml:space="preserve"> PAGE  \* MERGEFORMAT </w:instrText>
                          </w:r>
                          <w:r>
                            <w:fldChar w:fldCharType="separate"/>
                          </w:r>
                          <w:r>
                            <w:t>5</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PBAlRrs&#10;AQAA1QMAAA4AAAAAAAAAAQAgAAAAHgEAAGRycy9lMm9Eb2MueG1sUEsFBgAAAAAGAAYAWQEAAHwF&#10;AAAAAA==&#10;">
              <v:fill on="f" focussize="0,0"/>
              <v:stroke on="f"/>
              <v:imagedata o:title=""/>
              <o:lock v:ext="edit" aspectratio="f"/>
              <v:textbox inset="0mm,0mm,0mm,0mm" style="mso-fit-shape-to-text:t;">
                <w:txbxContent>
                  <w:p w14:paraId="7E365A7A">
                    <w:pPr>
                      <w:pStyle w:val="10"/>
                    </w:pPr>
                    <w:r>
                      <w:fldChar w:fldCharType="begin"/>
                    </w:r>
                    <w:r>
                      <w:instrText xml:space="preserve"> PAGE  \* MERGEFORMAT </w:instrText>
                    </w:r>
                    <w:r>
                      <w:fldChar w:fldCharType="separate"/>
                    </w:r>
                    <w:r>
                      <w:t>5</w:t>
                    </w:r>
                    <w:r>
                      <w:fldChar w:fldCharType="end"/>
                    </w:r>
                  </w:p>
                </w:txbxContent>
              </v:textbox>
            </v:shape>
          </w:pict>
        </mc:Fallback>
      </mc:AlternateContent>
    </w:r>
  </w:p>
  <w:p w14:paraId="0E620138">
    <w:pPr>
      <w:pStyle w:val="10"/>
    </w:pPr>
  </w:p>
  <w:p w14:paraId="48756A33"/>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86519">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sdt>
                          <w:sdtPr>
                            <w:id w:val="27920412"/>
                          </w:sdtPr>
                          <w:sdtContent>
                            <w:p w14:paraId="20B9B377">
                              <w:pPr>
                                <w:pStyle w:val="10"/>
                                <w:jc w:val="center"/>
                              </w:pPr>
                              <w:r>
                                <w:fldChar w:fldCharType="begin"/>
                              </w:r>
                              <w:r>
                                <w:instrText xml:space="preserve"> PAGE   \* MERGEFORMAT </w:instrText>
                              </w:r>
                              <w:r>
                                <w:fldChar w:fldCharType="separate"/>
                              </w:r>
                              <w:r>
                                <w:rPr>
                                  <w:lang w:val="zh-CN"/>
                                </w:rPr>
                                <w:t>1</w:t>
                              </w:r>
                              <w:r>
                                <w:rPr>
                                  <w:lang w:val="zh-CN"/>
                                </w:rPr>
                                <w:fldChar w:fldCharType="end"/>
                              </w:r>
                            </w:p>
                          </w:sdtContent>
                        </w:sdt>
                        <w:p w14:paraId="59C68EE9">
                          <w:pPr>
                            <w:pStyle w:val="2"/>
                            <w:spacing w:before="72"/>
                          </w:pP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CfOxgO&#10;7QEAANUDAAAOAAAAAAAAAAEAIAAAAB4BAABkcnMvZTJvRG9jLnhtbFBLBQYAAAAABgAGAFkBAAB9&#10;BQAAAAA=&#10;">
              <v:fill on="f" focussize="0,0"/>
              <v:stroke on="f"/>
              <v:imagedata o:title=""/>
              <o:lock v:ext="edit" aspectratio="f"/>
              <v:textbox inset="0mm,0mm,0mm,0mm" style="mso-fit-shape-to-text:t;">
                <w:txbxContent>
                  <w:sdt>
                    <w:sdtPr>
                      <w:id w:val="27920412"/>
                    </w:sdtPr>
                    <w:sdtContent>
                      <w:p w14:paraId="20B9B377">
                        <w:pPr>
                          <w:pStyle w:val="10"/>
                          <w:jc w:val="center"/>
                        </w:pPr>
                        <w:r>
                          <w:fldChar w:fldCharType="begin"/>
                        </w:r>
                        <w:r>
                          <w:instrText xml:space="preserve"> PAGE   \* MERGEFORMAT </w:instrText>
                        </w:r>
                        <w:r>
                          <w:fldChar w:fldCharType="separate"/>
                        </w:r>
                        <w:r>
                          <w:rPr>
                            <w:lang w:val="zh-CN"/>
                          </w:rPr>
                          <w:t>1</w:t>
                        </w:r>
                        <w:r>
                          <w:rPr>
                            <w:lang w:val="zh-CN"/>
                          </w:rPr>
                          <w:fldChar w:fldCharType="end"/>
                        </w:r>
                      </w:p>
                    </w:sdtContent>
                  </w:sdt>
                  <w:p w14:paraId="59C68EE9">
                    <w:pPr>
                      <w:pStyle w:val="2"/>
                      <w:spacing w:before="72"/>
                    </w:pPr>
                  </w:p>
                </w:txbxContent>
              </v:textbox>
            </v:shape>
          </w:pict>
        </mc:Fallback>
      </mc:AlternateContent>
    </w:r>
  </w:p>
  <w:p w14:paraId="6CCF114F">
    <w:pPr>
      <w:pStyle w:val="10"/>
      <w:tabs>
        <w:tab w:val="left" w:pos="2740"/>
        <w:tab w:val="clear" w:pos="4153"/>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A1C1F5"/>
    <w:multiLevelType w:val="singleLevel"/>
    <w:tmpl w:val="94A1C1F5"/>
    <w:lvl w:ilvl="0" w:tentative="0">
      <w:start w:val="3"/>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4173281C"/>
    <w:multiLevelType w:val="multilevel"/>
    <w:tmpl w:val="4173281C"/>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zYWM5MzA1NTQzMjljOGQ0OWRlODIwZTQyMmNkOGYifQ=="/>
  </w:docVars>
  <w:rsids>
    <w:rsidRoot w:val="00F1361C"/>
    <w:rsid w:val="000142FB"/>
    <w:rsid w:val="00014B34"/>
    <w:rsid w:val="0001770A"/>
    <w:rsid w:val="00021D56"/>
    <w:rsid w:val="000222C6"/>
    <w:rsid w:val="0002549F"/>
    <w:rsid w:val="00034BFF"/>
    <w:rsid w:val="000425F0"/>
    <w:rsid w:val="000468DB"/>
    <w:rsid w:val="0006487A"/>
    <w:rsid w:val="0006573A"/>
    <w:rsid w:val="00065F8F"/>
    <w:rsid w:val="00070A43"/>
    <w:rsid w:val="000768F2"/>
    <w:rsid w:val="000845B0"/>
    <w:rsid w:val="000861EB"/>
    <w:rsid w:val="0009184B"/>
    <w:rsid w:val="00094236"/>
    <w:rsid w:val="0009593C"/>
    <w:rsid w:val="00097322"/>
    <w:rsid w:val="000A15F2"/>
    <w:rsid w:val="000A5656"/>
    <w:rsid w:val="000A6A92"/>
    <w:rsid w:val="000B047F"/>
    <w:rsid w:val="000B1D1B"/>
    <w:rsid w:val="000B5923"/>
    <w:rsid w:val="000B5A48"/>
    <w:rsid w:val="000B6FF3"/>
    <w:rsid w:val="000B7774"/>
    <w:rsid w:val="000C3467"/>
    <w:rsid w:val="000C3CA6"/>
    <w:rsid w:val="000D1267"/>
    <w:rsid w:val="000D1D50"/>
    <w:rsid w:val="000D265B"/>
    <w:rsid w:val="000D5782"/>
    <w:rsid w:val="000E08E7"/>
    <w:rsid w:val="000E09DA"/>
    <w:rsid w:val="000E6613"/>
    <w:rsid w:val="000E7119"/>
    <w:rsid w:val="001011DA"/>
    <w:rsid w:val="00114E9B"/>
    <w:rsid w:val="00115EF5"/>
    <w:rsid w:val="00120004"/>
    <w:rsid w:val="00142216"/>
    <w:rsid w:val="00144D6A"/>
    <w:rsid w:val="0014729F"/>
    <w:rsid w:val="001537E8"/>
    <w:rsid w:val="00157BAB"/>
    <w:rsid w:val="001608AB"/>
    <w:rsid w:val="001654D1"/>
    <w:rsid w:val="00174518"/>
    <w:rsid w:val="0018106D"/>
    <w:rsid w:val="001877A7"/>
    <w:rsid w:val="00191536"/>
    <w:rsid w:val="00196687"/>
    <w:rsid w:val="001B3FC1"/>
    <w:rsid w:val="001C0962"/>
    <w:rsid w:val="001D7531"/>
    <w:rsid w:val="001E737D"/>
    <w:rsid w:val="001F0592"/>
    <w:rsid w:val="001F7506"/>
    <w:rsid w:val="002006CD"/>
    <w:rsid w:val="00202B36"/>
    <w:rsid w:val="00204B7A"/>
    <w:rsid w:val="00204CDE"/>
    <w:rsid w:val="0021101A"/>
    <w:rsid w:val="00220536"/>
    <w:rsid w:val="0022527F"/>
    <w:rsid w:val="00235629"/>
    <w:rsid w:val="0025434D"/>
    <w:rsid w:val="00260C38"/>
    <w:rsid w:val="002616C0"/>
    <w:rsid w:val="00265372"/>
    <w:rsid w:val="002662AA"/>
    <w:rsid w:val="00266DC2"/>
    <w:rsid w:val="00280496"/>
    <w:rsid w:val="00294DC9"/>
    <w:rsid w:val="00295495"/>
    <w:rsid w:val="002A31DE"/>
    <w:rsid w:val="002A66F7"/>
    <w:rsid w:val="002B2613"/>
    <w:rsid w:val="002B47CB"/>
    <w:rsid w:val="002D39CF"/>
    <w:rsid w:val="002D6D05"/>
    <w:rsid w:val="002F1818"/>
    <w:rsid w:val="002F4E43"/>
    <w:rsid w:val="002F567B"/>
    <w:rsid w:val="00306713"/>
    <w:rsid w:val="003216A9"/>
    <w:rsid w:val="0033537B"/>
    <w:rsid w:val="00335A74"/>
    <w:rsid w:val="003414F3"/>
    <w:rsid w:val="003503A8"/>
    <w:rsid w:val="00364FD7"/>
    <w:rsid w:val="0036561B"/>
    <w:rsid w:val="0037013F"/>
    <w:rsid w:val="00375549"/>
    <w:rsid w:val="00376C80"/>
    <w:rsid w:val="00380C92"/>
    <w:rsid w:val="00384D16"/>
    <w:rsid w:val="003A484F"/>
    <w:rsid w:val="003A4883"/>
    <w:rsid w:val="003B0BE0"/>
    <w:rsid w:val="003B0C1B"/>
    <w:rsid w:val="003B688C"/>
    <w:rsid w:val="003B7B43"/>
    <w:rsid w:val="003C0291"/>
    <w:rsid w:val="003C104F"/>
    <w:rsid w:val="003C34E6"/>
    <w:rsid w:val="003C39AE"/>
    <w:rsid w:val="003C4B0A"/>
    <w:rsid w:val="003C6115"/>
    <w:rsid w:val="003C6926"/>
    <w:rsid w:val="003C7B60"/>
    <w:rsid w:val="003D0C0F"/>
    <w:rsid w:val="003D1FB2"/>
    <w:rsid w:val="003D5437"/>
    <w:rsid w:val="003D66DA"/>
    <w:rsid w:val="003E0820"/>
    <w:rsid w:val="003E1310"/>
    <w:rsid w:val="003E6F55"/>
    <w:rsid w:val="00406254"/>
    <w:rsid w:val="00412471"/>
    <w:rsid w:val="004223DE"/>
    <w:rsid w:val="00434489"/>
    <w:rsid w:val="00437085"/>
    <w:rsid w:val="00443880"/>
    <w:rsid w:val="004464F4"/>
    <w:rsid w:val="00463989"/>
    <w:rsid w:val="00463C11"/>
    <w:rsid w:val="00471401"/>
    <w:rsid w:val="00473F31"/>
    <w:rsid w:val="00481E67"/>
    <w:rsid w:val="0048263A"/>
    <w:rsid w:val="00484C3A"/>
    <w:rsid w:val="00484F81"/>
    <w:rsid w:val="00486FB1"/>
    <w:rsid w:val="00487E5D"/>
    <w:rsid w:val="004A711F"/>
    <w:rsid w:val="004B0A0D"/>
    <w:rsid w:val="004B199D"/>
    <w:rsid w:val="004B4590"/>
    <w:rsid w:val="004B4690"/>
    <w:rsid w:val="004E0A2D"/>
    <w:rsid w:val="004E206B"/>
    <w:rsid w:val="004E6DF7"/>
    <w:rsid w:val="004F0FBD"/>
    <w:rsid w:val="00505A47"/>
    <w:rsid w:val="00512FDA"/>
    <w:rsid w:val="005140A4"/>
    <w:rsid w:val="00520DA0"/>
    <w:rsid w:val="00522378"/>
    <w:rsid w:val="00530F87"/>
    <w:rsid w:val="00540CFD"/>
    <w:rsid w:val="00564166"/>
    <w:rsid w:val="005664BB"/>
    <w:rsid w:val="00566FFA"/>
    <w:rsid w:val="0057481D"/>
    <w:rsid w:val="0058486E"/>
    <w:rsid w:val="00585B33"/>
    <w:rsid w:val="0059014D"/>
    <w:rsid w:val="00594A5D"/>
    <w:rsid w:val="005A4459"/>
    <w:rsid w:val="005A57C6"/>
    <w:rsid w:val="005A5F51"/>
    <w:rsid w:val="005B5C64"/>
    <w:rsid w:val="005C03E6"/>
    <w:rsid w:val="005C5337"/>
    <w:rsid w:val="005C6BD0"/>
    <w:rsid w:val="005D1208"/>
    <w:rsid w:val="005D1C8B"/>
    <w:rsid w:val="005D468D"/>
    <w:rsid w:val="005D5CED"/>
    <w:rsid w:val="005E1014"/>
    <w:rsid w:val="005F1A4C"/>
    <w:rsid w:val="00605688"/>
    <w:rsid w:val="006070AF"/>
    <w:rsid w:val="00607E6C"/>
    <w:rsid w:val="006101B1"/>
    <w:rsid w:val="00614E44"/>
    <w:rsid w:val="0062270A"/>
    <w:rsid w:val="00622795"/>
    <w:rsid w:val="00622830"/>
    <w:rsid w:val="00623DA0"/>
    <w:rsid w:val="00624688"/>
    <w:rsid w:val="00630AEF"/>
    <w:rsid w:val="00631D15"/>
    <w:rsid w:val="006325F8"/>
    <w:rsid w:val="00633463"/>
    <w:rsid w:val="00634C9A"/>
    <w:rsid w:val="00642FBC"/>
    <w:rsid w:val="006440E4"/>
    <w:rsid w:val="00651A3E"/>
    <w:rsid w:val="0066343B"/>
    <w:rsid w:val="00664777"/>
    <w:rsid w:val="006730A3"/>
    <w:rsid w:val="006748A4"/>
    <w:rsid w:val="00681A31"/>
    <w:rsid w:val="00683E73"/>
    <w:rsid w:val="00687BBA"/>
    <w:rsid w:val="00692DE9"/>
    <w:rsid w:val="006A3141"/>
    <w:rsid w:val="006A5E34"/>
    <w:rsid w:val="006B1890"/>
    <w:rsid w:val="006B2422"/>
    <w:rsid w:val="006B2B9A"/>
    <w:rsid w:val="006C130A"/>
    <w:rsid w:val="006C1937"/>
    <w:rsid w:val="006E6F43"/>
    <w:rsid w:val="006E7C2A"/>
    <w:rsid w:val="006F020C"/>
    <w:rsid w:val="006F03F2"/>
    <w:rsid w:val="006F26A5"/>
    <w:rsid w:val="006F497D"/>
    <w:rsid w:val="00700056"/>
    <w:rsid w:val="00701EAB"/>
    <w:rsid w:val="007127B7"/>
    <w:rsid w:val="007166C5"/>
    <w:rsid w:val="0071798E"/>
    <w:rsid w:val="00720421"/>
    <w:rsid w:val="00731AA5"/>
    <w:rsid w:val="0073662D"/>
    <w:rsid w:val="007416B6"/>
    <w:rsid w:val="00746F48"/>
    <w:rsid w:val="0075404D"/>
    <w:rsid w:val="007540CD"/>
    <w:rsid w:val="0076182A"/>
    <w:rsid w:val="00767B7E"/>
    <w:rsid w:val="007770C3"/>
    <w:rsid w:val="00777BB6"/>
    <w:rsid w:val="00777E9D"/>
    <w:rsid w:val="00784D24"/>
    <w:rsid w:val="00785FBA"/>
    <w:rsid w:val="00786E4A"/>
    <w:rsid w:val="007875EB"/>
    <w:rsid w:val="0079426B"/>
    <w:rsid w:val="007960C0"/>
    <w:rsid w:val="007A6105"/>
    <w:rsid w:val="007B0409"/>
    <w:rsid w:val="007C4D2F"/>
    <w:rsid w:val="007D1682"/>
    <w:rsid w:val="007D22C8"/>
    <w:rsid w:val="007D2468"/>
    <w:rsid w:val="007D312A"/>
    <w:rsid w:val="007D3F19"/>
    <w:rsid w:val="007D6309"/>
    <w:rsid w:val="007E23B0"/>
    <w:rsid w:val="007E23E5"/>
    <w:rsid w:val="007F1991"/>
    <w:rsid w:val="007F2C2F"/>
    <w:rsid w:val="007F55FC"/>
    <w:rsid w:val="007F5665"/>
    <w:rsid w:val="00800112"/>
    <w:rsid w:val="00813348"/>
    <w:rsid w:val="008253BB"/>
    <w:rsid w:val="00825A92"/>
    <w:rsid w:val="00831EC9"/>
    <w:rsid w:val="0083706E"/>
    <w:rsid w:val="00837A5C"/>
    <w:rsid w:val="008408F6"/>
    <w:rsid w:val="008423A5"/>
    <w:rsid w:val="0084704A"/>
    <w:rsid w:val="00850625"/>
    <w:rsid w:val="00853718"/>
    <w:rsid w:val="00855221"/>
    <w:rsid w:val="00856D8B"/>
    <w:rsid w:val="00860645"/>
    <w:rsid w:val="00871F71"/>
    <w:rsid w:val="00872FD8"/>
    <w:rsid w:val="00885AF4"/>
    <w:rsid w:val="008939CD"/>
    <w:rsid w:val="008A634D"/>
    <w:rsid w:val="008B2859"/>
    <w:rsid w:val="008B768C"/>
    <w:rsid w:val="008C4DB1"/>
    <w:rsid w:val="008C4EAF"/>
    <w:rsid w:val="008C5176"/>
    <w:rsid w:val="008C7FD0"/>
    <w:rsid w:val="008E0BDE"/>
    <w:rsid w:val="008E1DE7"/>
    <w:rsid w:val="008E2E24"/>
    <w:rsid w:val="008E6307"/>
    <w:rsid w:val="008E707C"/>
    <w:rsid w:val="008F7771"/>
    <w:rsid w:val="00900B08"/>
    <w:rsid w:val="00902155"/>
    <w:rsid w:val="00902FA3"/>
    <w:rsid w:val="009112AF"/>
    <w:rsid w:val="00923564"/>
    <w:rsid w:val="0092392E"/>
    <w:rsid w:val="0092421B"/>
    <w:rsid w:val="0093099F"/>
    <w:rsid w:val="009315F9"/>
    <w:rsid w:val="00933499"/>
    <w:rsid w:val="00935C98"/>
    <w:rsid w:val="00946945"/>
    <w:rsid w:val="009475AF"/>
    <w:rsid w:val="00951248"/>
    <w:rsid w:val="0095152F"/>
    <w:rsid w:val="00954C49"/>
    <w:rsid w:val="00954C5A"/>
    <w:rsid w:val="00955E37"/>
    <w:rsid w:val="0097099F"/>
    <w:rsid w:val="00971997"/>
    <w:rsid w:val="00971FFC"/>
    <w:rsid w:val="00982F0D"/>
    <w:rsid w:val="0098660A"/>
    <w:rsid w:val="009931C3"/>
    <w:rsid w:val="009A1EEB"/>
    <w:rsid w:val="009A5C7D"/>
    <w:rsid w:val="009B2C43"/>
    <w:rsid w:val="009B4EAE"/>
    <w:rsid w:val="009B7573"/>
    <w:rsid w:val="009C1A96"/>
    <w:rsid w:val="009C22F4"/>
    <w:rsid w:val="009C2A4B"/>
    <w:rsid w:val="009C2E98"/>
    <w:rsid w:val="009C781F"/>
    <w:rsid w:val="009D3447"/>
    <w:rsid w:val="009D4711"/>
    <w:rsid w:val="009E5DD4"/>
    <w:rsid w:val="009F094D"/>
    <w:rsid w:val="009F1185"/>
    <w:rsid w:val="009F18CD"/>
    <w:rsid w:val="009F2A13"/>
    <w:rsid w:val="009F7527"/>
    <w:rsid w:val="00A04EB0"/>
    <w:rsid w:val="00A13CC1"/>
    <w:rsid w:val="00A16847"/>
    <w:rsid w:val="00A17DE3"/>
    <w:rsid w:val="00A237D8"/>
    <w:rsid w:val="00A2532E"/>
    <w:rsid w:val="00A268C4"/>
    <w:rsid w:val="00A307CD"/>
    <w:rsid w:val="00A331C8"/>
    <w:rsid w:val="00A40978"/>
    <w:rsid w:val="00A40A00"/>
    <w:rsid w:val="00A4142F"/>
    <w:rsid w:val="00A422EB"/>
    <w:rsid w:val="00A45BB7"/>
    <w:rsid w:val="00A51462"/>
    <w:rsid w:val="00A538FA"/>
    <w:rsid w:val="00A56DF2"/>
    <w:rsid w:val="00A56E6E"/>
    <w:rsid w:val="00A67AB5"/>
    <w:rsid w:val="00A733B2"/>
    <w:rsid w:val="00A741C2"/>
    <w:rsid w:val="00A9134F"/>
    <w:rsid w:val="00A91760"/>
    <w:rsid w:val="00A93B00"/>
    <w:rsid w:val="00A93C21"/>
    <w:rsid w:val="00AA27ED"/>
    <w:rsid w:val="00AB64C9"/>
    <w:rsid w:val="00AB67E1"/>
    <w:rsid w:val="00AC17B9"/>
    <w:rsid w:val="00AC3C6A"/>
    <w:rsid w:val="00AD5620"/>
    <w:rsid w:val="00AD656B"/>
    <w:rsid w:val="00AD6763"/>
    <w:rsid w:val="00AD7C1B"/>
    <w:rsid w:val="00AE16BA"/>
    <w:rsid w:val="00AE1CF4"/>
    <w:rsid w:val="00AE1EBE"/>
    <w:rsid w:val="00AE2F55"/>
    <w:rsid w:val="00AF1D2F"/>
    <w:rsid w:val="00AF4531"/>
    <w:rsid w:val="00B03C9D"/>
    <w:rsid w:val="00B060AE"/>
    <w:rsid w:val="00B10517"/>
    <w:rsid w:val="00B14E76"/>
    <w:rsid w:val="00B161B8"/>
    <w:rsid w:val="00B2048C"/>
    <w:rsid w:val="00B310B9"/>
    <w:rsid w:val="00B35F3F"/>
    <w:rsid w:val="00B36CBB"/>
    <w:rsid w:val="00B425E0"/>
    <w:rsid w:val="00B440AA"/>
    <w:rsid w:val="00B44B70"/>
    <w:rsid w:val="00B536B9"/>
    <w:rsid w:val="00B539E8"/>
    <w:rsid w:val="00B53C56"/>
    <w:rsid w:val="00B57648"/>
    <w:rsid w:val="00B57DAF"/>
    <w:rsid w:val="00B6127B"/>
    <w:rsid w:val="00B63B86"/>
    <w:rsid w:val="00B64B46"/>
    <w:rsid w:val="00B75156"/>
    <w:rsid w:val="00B765D8"/>
    <w:rsid w:val="00B77EA6"/>
    <w:rsid w:val="00B81598"/>
    <w:rsid w:val="00B841F1"/>
    <w:rsid w:val="00B85366"/>
    <w:rsid w:val="00B905A6"/>
    <w:rsid w:val="00B90A81"/>
    <w:rsid w:val="00B9203D"/>
    <w:rsid w:val="00B944D6"/>
    <w:rsid w:val="00BB2C5E"/>
    <w:rsid w:val="00BB4DF0"/>
    <w:rsid w:val="00BB6031"/>
    <w:rsid w:val="00BC289F"/>
    <w:rsid w:val="00BC2D50"/>
    <w:rsid w:val="00BC5361"/>
    <w:rsid w:val="00BC5460"/>
    <w:rsid w:val="00BC6B50"/>
    <w:rsid w:val="00BD0E25"/>
    <w:rsid w:val="00BE083A"/>
    <w:rsid w:val="00BE2892"/>
    <w:rsid w:val="00BF5BD6"/>
    <w:rsid w:val="00C03E31"/>
    <w:rsid w:val="00C21863"/>
    <w:rsid w:val="00C33E72"/>
    <w:rsid w:val="00C354B2"/>
    <w:rsid w:val="00C35554"/>
    <w:rsid w:val="00C42709"/>
    <w:rsid w:val="00C47A99"/>
    <w:rsid w:val="00C533CC"/>
    <w:rsid w:val="00C568D1"/>
    <w:rsid w:val="00C5751C"/>
    <w:rsid w:val="00C61BFC"/>
    <w:rsid w:val="00C62660"/>
    <w:rsid w:val="00C62B85"/>
    <w:rsid w:val="00C65438"/>
    <w:rsid w:val="00C719B5"/>
    <w:rsid w:val="00C731A7"/>
    <w:rsid w:val="00C759D3"/>
    <w:rsid w:val="00C86EE8"/>
    <w:rsid w:val="00C87FD8"/>
    <w:rsid w:val="00C91381"/>
    <w:rsid w:val="00C91CBB"/>
    <w:rsid w:val="00CB4E70"/>
    <w:rsid w:val="00CC09B6"/>
    <w:rsid w:val="00CC666F"/>
    <w:rsid w:val="00CD1E3F"/>
    <w:rsid w:val="00CE44F6"/>
    <w:rsid w:val="00CE49DA"/>
    <w:rsid w:val="00CE7B61"/>
    <w:rsid w:val="00CF2DAB"/>
    <w:rsid w:val="00CF2FD5"/>
    <w:rsid w:val="00D00095"/>
    <w:rsid w:val="00D05460"/>
    <w:rsid w:val="00D05D7A"/>
    <w:rsid w:val="00D10062"/>
    <w:rsid w:val="00D114F0"/>
    <w:rsid w:val="00D20620"/>
    <w:rsid w:val="00D254F7"/>
    <w:rsid w:val="00D26091"/>
    <w:rsid w:val="00D2685C"/>
    <w:rsid w:val="00D270BC"/>
    <w:rsid w:val="00D34E7C"/>
    <w:rsid w:val="00D35489"/>
    <w:rsid w:val="00D36AFE"/>
    <w:rsid w:val="00D51276"/>
    <w:rsid w:val="00D51807"/>
    <w:rsid w:val="00D60BC3"/>
    <w:rsid w:val="00D7035F"/>
    <w:rsid w:val="00D703DE"/>
    <w:rsid w:val="00DA634F"/>
    <w:rsid w:val="00DA65AC"/>
    <w:rsid w:val="00DA680E"/>
    <w:rsid w:val="00DB1913"/>
    <w:rsid w:val="00DB3294"/>
    <w:rsid w:val="00DC410D"/>
    <w:rsid w:val="00DC5A81"/>
    <w:rsid w:val="00DC68CA"/>
    <w:rsid w:val="00DC7CBA"/>
    <w:rsid w:val="00DD73B7"/>
    <w:rsid w:val="00DE582A"/>
    <w:rsid w:val="00DF28BC"/>
    <w:rsid w:val="00DF34B9"/>
    <w:rsid w:val="00DF49F1"/>
    <w:rsid w:val="00DF4BE7"/>
    <w:rsid w:val="00E01053"/>
    <w:rsid w:val="00E07ACF"/>
    <w:rsid w:val="00E15489"/>
    <w:rsid w:val="00E331A1"/>
    <w:rsid w:val="00E33202"/>
    <w:rsid w:val="00E336A9"/>
    <w:rsid w:val="00E44C01"/>
    <w:rsid w:val="00E472B1"/>
    <w:rsid w:val="00E50624"/>
    <w:rsid w:val="00E5174E"/>
    <w:rsid w:val="00E5560B"/>
    <w:rsid w:val="00E568DF"/>
    <w:rsid w:val="00E64269"/>
    <w:rsid w:val="00E65793"/>
    <w:rsid w:val="00E73411"/>
    <w:rsid w:val="00E82267"/>
    <w:rsid w:val="00E853CE"/>
    <w:rsid w:val="00E867B6"/>
    <w:rsid w:val="00E97A97"/>
    <w:rsid w:val="00EA010F"/>
    <w:rsid w:val="00EA15CA"/>
    <w:rsid w:val="00EA3D20"/>
    <w:rsid w:val="00EC4DEB"/>
    <w:rsid w:val="00EC57C9"/>
    <w:rsid w:val="00ED1514"/>
    <w:rsid w:val="00ED1B63"/>
    <w:rsid w:val="00ED3C1F"/>
    <w:rsid w:val="00ED4085"/>
    <w:rsid w:val="00ED420E"/>
    <w:rsid w:val="00ED6FBE"/>
    <w:rsid w:val="00EE2F57"/>
    <w:rsid w:val="00EE30FA"/>
    <w:rsid w:val="00EE66D6"/>
    <w:rsid w:val="00EF05DC"/>
    <w:rsid w:val="00EF4C34"/>
    <w:rsid w:val="00EF77C6"/>
    <w:rsid w:val="00F05438"/>
    <w:rsid w:val="00F05D1B"/>
    <w:rsid w:val="00F1361C"/>
    <w:rsid w:val="00F14B14"/>
    <w:rsid w:val="00F156F0"/>
    <w:rsid w:val="00F160C7"/>
    <w:rsid w:val="00F2408F"/>
    <w:rsid w:val="00F240E9"/>
    <w:rsid w:val="00F363FF"/>
    <w:rsid w:val="00F36D8F"/>
    <w:rsid w:val="00F40A83"/>
    <w:rsid w:val="00F417B1"/>
    <w:rsid w:val="00F45853"/>
    <w:rsid w:val="00F45C2F"/>
    <w:rsid w:val="00F602DF"/>
    <w:rsid w:val="00F62975"/>
    <w:rsid w:val="00F71563"/>
    <w:rsid w:val="00F751EB"/>
    <w:rsid w:val="00F754A1"/>
    <w:rsid w:val="00F81FD9"/>
    <w:rsid w:val="00F841AA"/>
    <w:rsid w:val="00F84A94"/>
    <w:rsid w:val="00F87E96"/>
    <w:rsid w:val="00F95C19"/>
    <w:rsid w:val="00F97221"/>
    <w:rsid w:val="00FA23E8"/>
    <w:rsid w:val="00FC2033"/>
    <w:rsid w:val="00FD05E5"/>
    <w:rsid w:val="00FD3CC1"/>
    <w:rsid w:val="00FE3181"/>
    <w:rsid w:val="00FF1E02"/>
    <w:rsid w:val="00FF29B0"/>
    <w:rsid w:val="00FF30B4"/>
    <w:rsid w:val="00FF5190"/>
    <w:rsid w:val="015975B8"/>
    <w:rsid w:val="02143E91"/>
    <w:rsid w:val="023A5B99"/>
    <w:rsid w:val="066E0107"/>
    <w:rsid w:val="07996F6E"/>
    <w:rsid w:val="08E61505"/>
    <w:rsid w:val="0A2032A3"/>
    <w:rsid w:val="0BEB5538"/>
    <w:rsid w:val="0BED204B"/>
    <w:rsid w:val="0E2F75DE"/>
    <w:rsid w:val="0F98263C"/>
    <w:rsid w:val="101860EC"/>
    <w:rsid w:val="10C055FF"/>
    <w:rsid w:val="118107EC"/>
    <w:rsid w:val="13D50BC4"/>
    <w:rsid w:val="15632263"/>
    <w:rsid w:val="16BB723D"/>
    <w:rsid w:val="186C16C7"/>
    <w:rsid w:val="19D00473"/>
    <w:rsid w:val="1ABC5AA3"/>
    <w:rsid w:val="1BE8440E"/>
    <w:rsid w:val="1D0F5489"/>
    <w:rsid w:val="1D155CEE"/>
    <w:rsid w:val="1FB84C84"/>
    <w:rsid w:val="1FF35744"/>
    <w:rsid w:val="20BF110E"/>
    <w:rsid w:val="20CB3B15"/>
    <w:rsid w:val="23860B96"/>
    <w:rsid w:val="23FD5DD4"/>
    <w:rsid w:val="240371BF"/>
    <w:rsid w:val="24915D3F"/>
    <w:rsid w:val="251C7A5B"/>
    <w:rsid w:val="29D81A29"/>
    <w:rsid w:val="29FD04D3"/>
    <w:rsid w:val="2C8A61B5"/>
    <w:rsid w:val="2DF04E50"/>
    <w:rsid w:val="2F040D46"/>
    <w:rsid w:val="2F9D59C3"/>
    <w:rsid w:val="319F7F4E"/>
    <w:rsid w:val="3304709D"/>
    <w:rsid w:val="34737C42"/>
    <w:rsid w:val="36AA5135"/>
    <w:rsid w:val="37324A70"/>
    <w:rsid w:val="376D39B2"/>
    <w:rsid w:val="37E16F03"/>
    <w:rsid w:val="38D469F0"/>
    <w:rsid w:val="397C415A"/>
    <w:rsid w:val="39DA230A"/>
    <w:rsid w:val="3B6C511E"/>
    <w:rsid w:val="3D5D1D52"/>
    <w:rsid w:val="3D98207C"/>
    <w:rsid w:val="3E6C60CF"/>
    <w:rsid w:val="3E78745D"/>
    <w:rsid w:val="412E0CE8"/>
    <w:rsid w:val="415A7D8C"/>
    <w:rsid w:val="41D13F2D"/>
    <w:rsid w:val="41E43797"/>
    <w:rsid w:val="44E268DA"/>
    <w:rsid w:val="4A627F82"/>
    <w:rsid w:val="4B0E749A"/>
    <w:rsid w:val="4B4F25DA"/>
    <w:rsid w:val="4BDC30B3"/>
    <w:rsid w:val="4BE068DB"/>
    <w:rsid w:val="4C0513A3"/>
    <w:rsid w:val="4D577224"/>
    <w:rsid w:val="4DC62DB4"/>
    <w:rsid w:val="4EAB630A"/>
    <w:rsid w:val="4ECE2238"/>
    <w:rsid w:val="51B954C6"/>
    <w:rsid w:val="52045C59"/>
    <w:rsid w:val="537E6D0A"/>
    <w:rsid w:val="54E2721B"/>
    <w:rsid w:val="58E351AF"/>
    <w:rsid w:val="59C04BD0"/>
    <w:rsid w:val="5AF92295"/>
    <w:rsid w:val="5CD71FC4"/>
    <w:rsid w:val="602C20C6"/>
    <w:rsid w:val="60C92A0A"/>
    <w:rsid w:val="61A2476E"/>
    <w:rsid w:val="62AF3D62"/>
    <w:rsid w:val="66B423EC"/>
    <w:rsid w:val="691778AA"/>
    <w:rsid w:val="69DF4B8A"/>
    <w:rsid w:val="6C4A05C8"/>
    <w:rsid w:val="6C5C0B2E"/>
    <w:rsid w:val="6E7E3605"/>
    <w:rsid w:val="6FF5CC65"/>
    <w:rsid w:val="70E92792"/>
    <w:rsid w:val="715C0E4B"/>
    <w:rsid w:val="725132DC"/>
    <w:rsid w:val="72734D90"/>
    <w:rsid w:val="728B0F75"/>
    <w:rsid w:val="73AD73D5"/>
    <w:rsid w:val="73B6EB34"/>
    <w:rsid w:val="73E6120B"/>
    <w:rsid w:val="744731E5"/>
    <w:rsid w:val="76833B1D"/>
    <w:rsid w:val="76E3355F"/>
    <w:rsid w:val="776B4E89"/>
    <w:rsid w:val="778769C8"/>
    <w:rsid w:val="778A6F9B"/>
    <w:rsid w:val="78F912C0"/>
    <w:rsid w:val="79155EE8"/>
    <w:rsid w:val="79EE5BA4"/>
    <w:rsid w:val="7A1C71AF"/>
    <w:rsid w:val="7A894339"/>
    <w:rsid w:val="7BC136E6"/>
    <w:rsid w:val="7EEB5EE0"/>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character" w:styleId="16">
    <w:name w:val="Strong"/>
    <w:basedOn w:val="15"/>
    <w:qFormat/>
    <w:uiPriority w:val="0"/>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99"/>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9"/>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btyb\Desktop\2023&#24180;&#20915;&#31639;&#20844;&#24320;\2023&#24180;&#20915;&#31639;\&#26032;&#24314;%20XLS%20&#24037;&#20316;&#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Owner\Desktop\2022&#24180;&#20915;&#31639;&#20844;&#24320;\&#26032;&#24314;%20Microsoft%20Office%20Excel%20&#24037;&#20316;&#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btyb\Desktop\2023&#24180;&#20915;&#31639;&#20844;&#24320;\&#26032;&#24314;%20XLSX%20&#24037;&#20316;&#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btyb\Desktop\2023&#24180;&#20915;&#31639;&#20844;&#24320;\2023&#24180;&#20915;&#31639;\&#26032;&#24314;%20XLS%20&#24037;&#20316;&#34920;.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btyb\Desktop\2023&#24180;&#20915;&#31639;&#20844;&#24320;\2023&#24180;&#20915;&#31639;\&#26032;&#24314;%20XLS%20&#24037;&#20316;&#34920;.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btyb\Desktop\2023&#24180;&#20915;&#31639;&#20844;&#24320;\2023&#24180;&#20915;&#31639;\&#26032;&#24314;%20XLS%20&#24037;&#20316;&#34920;.xls"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btyb\Desktop\2023&#24180;&#20915;&#31639;&#20844;&#24320;\&#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63026315789474"/>
          <c:y val="0.0451388888888889"/>
        </c:manualLayout>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'[新建 XLS 工作表.xls]Sheet1'!$B$1</c:f>
              <c:strCache>
                <c:ptCount val="1"/>
                <c:pt idx="0">
                  <c:v>单位：万元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工作表.xls]Sheet1'!$A$2:$A$3</c:f>
              <c:strCache>
                <c:ptCount val="2"/>
                <c:pt idx="0">
                  <c:v>2023年</c:v>
                </c:pt>
                <c:pt idx="1">
                  <c:v>2022年</c:v>
                </c:pt>
              </c:strCache>
            </c:strRef>
          </c:cat>
          <c:val>
            <c:numRef>
              <c:f>'[新建 XLS 工作表.xls]Sheet1'!$B$2:$B$3</c:f>
              <c:numCache>
                <c:formatCode>General</c:formatCode>
                <c:ptCount val="2"/>
                <c:pt idx="0">
                  <c:v>501.88</c:v>
                </c:pt>
                <c:pt idx="1">
                  <c:v>216.32</c:v>
                </c:pt>
              </c:numCache>
            </c:numRef>
          </c:val>
        </c:ser>
        <c:dLbls>
          <c:showLegendKey val="0"/>
          <c:showVal val="1"/>
          <c:showCatName val="0"/>
          <c:showSerName val="0"/>
          <c:showPercent val="0"/>
          <c:showBubbleSize val="0"/>
        </c:dLbls>
        <c:gapWidth val="150"/>
        <c:overlap val="-25"/>
        <c:axId val="880100975"/>
        <c:axId val="318535852"/>
      </c:barChart>
      <c:catAx>
        <c:axId val="88010097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8535852"/>
        <c:crosses val="autoZero"/>
        <c:auto val="1"/>
        <c:lblAlgn val="ctr"/>
        <c:lblOffset val="100"/>
        <c:noMultiLvlLbl val="0"/>
      </c:catAx>
      <c:valAx>
        <c:axId val="318535852"/>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0100975"/>
        <c:crosses val="autoZero"/>
        <c:crossBetween val="between"/>
      </c:valAx>
      <c:spPr>
        <a:noFill/>
        <a:ln>
          <a:noFill/>
        </a:ln>
        <a:effectLst/>
      </c:spPr>
    </c:plotArea>
    <c:plotVisOnly val="1"/>
    <c:dispBlanksAs val="gap"/>
    <c:showDLblsOverMax val="0"/>
    <c:extLst>
      <c:ext uri="{0b15fc19-7d7d-44ad-8c2d-2c3a37ce22c3}">
        <chartProps xmlns="https://web.wps.cn/et/2018/main" chartId="{af09e6d2-f58b-4372-b1ce-97d22511dd8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0180833333333333"/>
          <c:y val="0.87500000000000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Sheet2!$A$1</c:f>
              <c:strCache>
                <c:ptCount val="1"/>
                <c:pt idx="0">
                  <c:v>一般公共预算财政拨款收入100%</c:v>
                </c:pt>
              </c:strCache>
            </c:strRef>
          </c:tx>
          <c:explosion val="0"/>
          <c:dPt>
            <c:idx val="0"/>
            <c:bubble3D val="0"/>
          </c:dPt>
          <c:dLbls>
            <c:delete val="1"/>
          </c:dLbls>
          <c:val>
            <c:numRef>
              <c:f>Sheet2!$A$2</c:f>
              <c:numCache>
                <c:formatCode>General</c:formatCode>
                <c:ptCount val="1"/>
                <c:pt idx="0">
                  <c:v>216.32</c:v>
                </c:pt>
              </c:numCache>
            </c:numRef>
          </c:val>
        </c:ser>
        <c:dLbls>
          <c:showLegendKey val="0"/>
          <c:showVal val="0"/>
          <c:showCatName val="0"/>
          <c:showSerName val="0"/>
          <c:showPercent val="1"/>
          <c:showBubbleSize val="0"/>
          <c:showLeaderLines val="1"/>
        </c:dLbls>
        <c:firstSliceAng val="0"/>
      </c:pieChart>
    </c:plotArea>
    <c:plotVisOnly val="1"/>
    <c:dispBlanksAs val="zero"/>
    <c:showDLblsOverMax val="0"/>
    <c:extLst>
      <c:ext uri="{0b15fc19-7d7d-44ad-8c2d-2c3a37ce22c3}">
        <chartProps xmlns="https://web.wps.cn/et/2018/main" chartId="{d190c9cd-48c4-4eb8-a7ce-39ca559c5832}"/>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'[新建 XLSX 工作表.xlsx]Sheet1'!$B$1</c:f>
              <c:strCache>
                <c:ptCount val="1"/>
                <c:pt idx="0">
                  <c:v/>
                </c:pt>
              </c:strCache>
            </c:strRef>
          </c:tx>
          <c:spPr/>
          <c:explosion val="0"/>
          <c:dPt>
            <c:idx val="0"/>
            <c:bubble3D val="0"/>
            <c:spPr>
              <a:solidFill>
                <a:schemeClr val="accent2"/>
              </a:solidFill>
              <a:ln>
                <a:solidFill>
                  <a:schemeClr val="bg1"/>
                </a:solidFill>
              </a:ln>
              <a:effectLst/>
            </c:spPr>
          </c:dPt>
          <c:dPt>
            <c:idx val="1"/>
            <c:bubble3D val="0"/>
            <c:spPr>
              <a:solidFill>
                <a:schemeClr val="accent1"/>
              </a:solidFill>
              <a:ln>
                <a:solidFill>
                  <a:schemeClr val="bg1"/>
                </a:solidFill>
              </a:ln>
              <a:effectLst/>
            </c:spPr>
          </c:dPt>
          <c:dLbls>
            <c:dLbl>
              <c:idx val="0"/>
              <c:layout>
                <c:manualLayout>
                  <c:x val="-0.0354063669559975"/>
                  <c:y val="0.0938500639578313"/>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14</a:t>
                    </a:r>
                    <a:r>
                      <a:rPr lang="en-US" altLang="zh-CN"/>
                      <a:t>.00</a:t>
                    </a:r>
                    <a:r>
                      <a:t>%</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105910447761194"/>
                      <c:h val="0.0753598645215919"/>
                    </c:manualLayout>
                  </c15:layout>
                </c:ext>
              </c:extLst>
            </c:dLbl>
            <c:dLbl>
              <c:idx val="1"/>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86</a:t>
                    </a:r>
                    <a:r>
                      <a:rPr lang="en-US" altLang="zh-CN"/>
                      <a:t>.00</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0976716417910448"/>
                      <c:h val="0.0647756138865368"/>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工作表.xlsx]Sheet1'!$A$2:$A$3</c:f>
              <c:strCache>
                <c:ptCount val="2"/>
                <c:pt idx="0">
                  <c:v>基本支出</c:v>
                </c:pt>
                <c:pt idx="1">
                  <c:v>项目支出</c:v>
                </c:pt>
              </c:strCache>
            </c:strRef>
          </c:cat>
          <c:val>
            <c:numRef>
              <c:f>'[新建 XLSX 工作表.xlsx]Sheet1'!$B$2:$B$3</c:f>
              <c:numCache>
                <c:formatCode>General</c:formatCode>
                <c:ptCount val="2"/>
                <c:pt idx="0">
                  <c:v>70.25</c:v>
                </c:pt>
                <c:pt idx="1">
                  <c:v>431.63</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f05a77e-3e18-46d2-aa01-51b1a0818c6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63026315789474"/>
          <c:y val="0.0451388888888889"/>
        </c:manualLayout>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'[新建 XLS 工作表.xls]Sheet1'!$B$1</c:f>
              <c:strCache>
                <c:ptCount val="1"/>
                <c:pt idx="0">
                  <c:v>单位：万元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工作表.xls]Sheet1'!$A$2:$A$3</c:f>
              <c:strCache>
                <c:ptCount val="2"/>
                <c:pt idx="0">
                  <c:v>2023年</c:v>
                </c:pt>
                <c:pt idx="1">
                  <c:v>2022年</c:v>
                </c:pt>
              </c:strCache>
            </c:strRef>
          </c:cat>
          <c:val>
            <c:numRef>
              <c:f>'[新建 XLS 工作表.xls]Sheet1'!$B$2:$B$3</c:f>
              <c:numCache>
                <c:formatCode>General</c:formatCode>
                <c:ptCount val="2"/>
                <c:pt idx="0">
                  <c:v>501.88</c:v>
                </c:pt>
                <c:pt idx="1">
                  <c:v>216.32</c:v>
                </c:pt>
              </c:numCache>
            </c:numRef>
          </c:val>
        </c:ser>
        <c:dLbls>
          <c:showLegendKey val="0"/>
          <c:showVal val="1"/>
          <c:showCatName val="0"/>
          <c:showSerName val="0"/>
          <c:showPercent val="0"/>
          <c:showBubbleSize val="0"/>
        </c:dLbls>
        <c:gapWidth val="150"/>
        <c:overlap val="-25"/>
        <c:axId val="880100975"/>
        <c:axId val="318535852"/>
      </c:barChart>
      <c:catAx>
        <c:axId val="88010097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8535852"/>
        <c:crosses val="autoZero"/>
        <c:auto val="1"/>
        <c:lblAlgn val="ctr"/>
        <c:lblOffset val="100"/>
        <c:noMultiLvlLbl val="0"/>
      </c:catAx>
      <c:valAx>
        <c:axId val="318535852"/>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0100975"/>
        <c:crosses val="autoZero"/>
        <c:crossBetween val="between"/>
      </c:valAx>
      <c:spPr>
        <a:noFill/>
        <a:ln>
          <a:noFill/>
        </a:ln>
        <a:effectLst/>
      </c:spPr>
    </c:plotArea>
    <c:plotVisOnly val="1"/>
    <c:dispBlanksAs val="gap"/>
    <c:showDLblsOverMax val="0"/>
    <c:extLst>
      <c:ext uri="{0b15fc19-7d7d-44ad-8c2d-2c3a37ce22c3}">
        <chartProps xmlns="https://web.wps.cn/et/2018/main" chartId="{c7b6655d-e69e-471a-9107-10e86440d44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763026315789474"/>
          <c:y val="0.0451388888888889"/>
        </c:manualLayout>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'[新建 XLS 工作表.xls]Sheet1'!$B$1</c:f>
              <c:strCache>
                <c:ptCount val="1"/>
                <c:pt idx="0">
                  <c:v>单位：万元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工作表.xls]Sheet1'!$A$2:$A$3</c:f>
              <c:strCache>
                <c:ptCount val="2"/>
                <c:pt idx="0">
                  <c:v>2023年</c:v>
                </c:pt>
                <c:pt idx="1">
                  <c:v>2022年</c:v>
                </c:pt>
              </c:strCache>
            </c:strRef>
          </c:cat>
          <c:val>
            <c:numRef>
              <c:f>'[新建 XLS 工作表.xls]Sheet1'!$B$2:$B$3</c:f>
              <c:numCache>
                <c:formatCode>General</c:formatCode>
                <c:ptCount val="2"/>
                <c:pt idx="0">
                  <c:v>501.88</c:v>
                </c:pt>
                <c:pt idx="1">
                  <c:v>216.32</c:v>
                </c:pt>
              </c:numCache>
            </c:numRef>
          </c:val>
        </c:ser>
        <c:dLbls>
          <c:showLegendKey val="0"/>
          <c:showVal val="1"/>
          <c:showCatName val="0"/>
          <c:showSerName val="0"/>
          <c:showPercent val="0"/>
          <c:showBubbleSize val="0"/>
        </c:dLbls>
        <c:gapWidth val="150"/>
        <c:overlap val="-25"/>
        <c:axId val="880100975"/>
        <c:axId val="318535852"/>
      </c:barChart>
      <c:catAx>
        <c:axId val="88010097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8535852"/>
        <c:crosses val="autoZero"/>
        <c:auto val="1"/>
        <c:lblAlgn val="ctr"/>
        <c:lblOffset val="100"/>
        <c:noMultiLvlLbl val="0"/>
      </c:catAx>
      <c:valAx>
        <c:axId val="318535852"/>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0100975"/>
        <c:crosses val="autoZero"/>
        <c:crossBetween val="between"/>
      </c:valAx>
      <c:spPr>
        <a:noFill/>
        <a:ln>
          <a:noFill/>
        </a:ln>
        <a:effectLst/>
      </c:spPr>
    </c:plotArea>
    <c:plotVisOnly val="1"/>
    <c:dispBlanksAs val="gap"/>
    <c:showDLblsOverMax val="0"/>
    <c:extLst>
      <c:ext uri="{0b15fc19-7d7d-44ad-8c2d-2c3a37ce22c3}">
        <chartProps xmlns="https://web.wps.cn/et/2018/main" chartId="{a03b640f-355f-4b98-90f9-1ddb24ad15d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2">
                  <a:lumMod val="50000"/>
                </a:schemeClr>
              </a:solidFill>
              <a:ln>
                <a:solidFill>
                  <a:schemeClr val="bg1"/>
                </a:solidFill>
              </a:ln>
              <a:effectLst/>
            </c:spPr>
          </c:dPt>
          <c:dLbls>
            <c:dLbl>
              <c:idx val="0"/>
              <c:layout>
                <c:manualLayout>
                  <c:x val="0.00363038931887388"/>
                  <c:y val="-0.0291950315205423"/>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rPr lang="en-US" altLang="zh-CN"/>
                      <a:t>1.97</a:t>
                    </a:r>
                    <a:r>
                      <a:t>%</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0963157894736842"/>
                      <c:h val="0.0553240740740741"/>
                    </c:manualLayout>
                  </c15:layout>
                </c:ext>
              </c:extLst>
            </c:dLbl>
            <c:dLbl>
              <c:idx val="1"/>
              <c:layout>
                <c:manualLayout>
                  <c:x val="0.085817248179663"/>
                  <c:y val="0.0599467834144579"/>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1</a:t>
                    </a:r>
                    <a:r>
                      <a:rPr lang="en-US" altLang="zh-CN"/>
                      <a:t>.11</a:t>
                    </a:r>
                    <a:r>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9</a:t>
                    </a:r>
                    <a:r>
                      <a:rPr lang="en-US" altLang="zh-CN"/>
                      <a:t>6.67</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1"/>
                      <c:h val="0.0671296296296296"/>
                    </c:manualLayout>
                  </c15:layout>
                </c:ext>
              </c:extLst>
            </c:dLbl>
            <c:dLbl>
              <c:idx val="3"/>
              <c:layout>
                <c:manualLayout>
                  <c:x val="-0.0468296740324902"/>
                  <c:y val="0.0404504460646149"/>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0</a:t>
                    </a:r>
                    <a:r>
                      <a:rPr lang="en-US" altLang="zh-CN"/>
                      <a:t>.25</a:t>
                    </a:r>
                    <a:r>
                      <a:t>%</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100131578947368"/>
                      <c:h val="0.075"/>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工作表.xls]Sheet1'!$A$2:$A$5</c:f>
              <c:strCache>
                <c:ptCount val="4"/>
                <c:pt idx="0">
                  <c:v>社会保障和就业支出</c:v>
                </c:pt>
                <c:pt idx="1">
                  <c:v>卫生健康支出</c:v>
                </c:pt>
                <c:pt idx="2">
                  <c:v>自然资源海洋气象等支出</c:v>
                </c:pt>
                <c:pt idx="3">
                  <c:v>住房保障支出</c:v>
                </c:pt>
              </c:strCache>
            </c:strRef>
          </c:cat>
          <c:val>
            <c:numRef>
              <c:f>'[新建 XLS 工作表.xls]Sheet1'!$B$2:$B$5</c:f>
              <c:numCache>
                <c:formatCode>0.00_ </c:formatCode>
                <c:ptCount val="4"/>
                <c:pt idx="0">
                  <c:v>9.9</c:v>
                </c:pt>
                <c:pt idx="1">
                  <c:v>5.58</c:v>
                </c:pt>
                <c:pt idx="2">
                  <c:v>485.15</c:v>
                </c:pt>
                <c:pt idx="3">
                  <c:v>1.25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d55334a-26a5-4155-8c57-d1a4747e30c7}"/>
      </c:ext>
    </c:extLst>
  </c:chart>
  <c:spPr>
    <a:solidFill>
      <a:schemeClr val="bg1"/>
    </a:solidFill>
    <a:ln w="9525" cap="flat" cmpd="sng" algn="ctr">
      <a:solidFill>
        <a:schemeClr val="tx1">
          <a:lumMod val="15000"/>
          <a:lumOff val="85000"/>
          <a:alpha val="79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'[新建 XLSX 工作表.xlsx]Sheet1'!$B$1</c:f>
              <c:strCache>
                <c:ptCount val="1"/>
                <c:pt idx="0">
                  <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manualLayout>
                  <c:x val="-0.0740425073828333"/>
                  <c:y val="-0.069069805947251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93</a:t>
                    </a:r>
                    <a:r>
                      <a:rPr lang="en-US" altLang="zh-CN"/>
                      <a:t>.33</a:t>
                    </a:r>
                    <a:r>
                      <a:t>%</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134210526315789"/>
                      <c:h val="0.0699074074074074"/>
                    </c:manualLayout>
                  </c15:layout>
                </c:ext>
              </c:extLst>
            </c:dLbl>
            <c:dLbl>
              <c:idx val="1"/>
              <c:layout>
                <c:manualLayout>
                  <c:x val="0.0129965861770723"/>
                  <c:y val="0.104069703207953"/>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rPr lang="en-US" altLang="zh-CN"/>
                      <a:t>6.6</a:t>
                    </a:r>
                    <a:r>
                      <a:t>7%</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0947368421052632"/>
                      <c:h val="0.0699074074074074"/>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工作表.xlsx]Sheet1'!$A$2:$A$3</c:f>
              <c:strCache>
                <c:ptCount val="2"/>
                <c:pt idx="0">
                  <c:v>公务用车购置及运行维护费支出</c:v>
                </c:pt>
                <c:pt idx="1">
                  <c:v>公务接待费支出</c:v>
                </c:pt>
              </c:strCache>
            </c:strRef>
          </c:cat>
          <c:val>
            <c:numRef>
              <c:f>'[新建 XLSX 工作表.xlsx]Sheet1'!$B$2:$B$3</c:f>
              <c:numCache>
                <c:formatCode>General</c:formatCode>
                <c:ptCount val="2"/>
                <c:pt idx="0">
                  <c:v>0.14</c:v>
                </c:pt>
                <c:pt idx="1">
                  <c:v>0.01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3c3f56c-3e09-4bd5-ac9e-c9d79cd60fa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5185</Words>
  <Characters>5737</Characters>
  <Lines>141</Lines>
  <Paragraphs>39</Paragraphs>
  <TotalTime>16</TotalTime>
  <ScaleCrop>false</ScaleCrop>
  <LinksUpToDate>false</LinksUpToDate>
  <CharactersWithSpaces>5790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2023-10-16T09:14:00Z</dcterms:created>
  <dc:creator>曹颖</dc:creator>
  <cp:lastModifiedBy>陈莉</cp:lastModifiedBy>
  <cp:lastPrinted>2024-10-22T03:19:00Z</cp:lastPrinted>
  <dcterms:modified xsi:type="dcterms:W3CDTF">2024-10-25T02:01:46Z</dcterms:modified>
  <dc:title>四川省***</dc:title>
  <cp:revision>268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BB3A89541C8445AEB3CB2E0162C3E4E4_13</vt:lpwstr>
  </property>
</Properties>
</file>