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B074D2">
      <w:pPr>
        <w:spacing w:line="600" w:lineRule="exact"/>
        <w:jc w:val="left"/>
        <w:outlineLvl w:val="0"/>
        <w:rPr>
          <w:rFonts w:eastAsia="方正小标宋简体"/>
          <w:szCs w:val="21"/>
        </w:rPr>
      </w:pPr>
      <w:bookmarkStart w:id="0" w:name="_Toc15306267"/>
    </w:p>
    <w:p w14:paraId="52F23544">
      <w:pPr>
        <w:pStyle w:val="5"/>
        <w:spacing w:before="93"/>
        <w:rPr>
          <w:rFonts w:ascii="Times New Roman"/>
        </w:rPr>
      </w:pPr>
    </w:p>
    <w:p w14:paraId="449C4678">
      <w:pPr>
        <w:spacing w:line="600" w:lineRule="exact"/>
        <w:jc w:val="center"/>
        <w:outlineLvl w:val="0"/>
        <w:rPr>
          <w:rFonts w:eastAsia="方正小标宋简体"/>
          <w:sz w:val="72"/>
          <w:szCs w:val="72"/>
        </w:rPr>
      </w:pPr>
    </w:p>
    <w:p w14:paraId="45E06999">
      <w:pPr>
        <w:spacing w:line="600" w:lineRule="exact"/>
        <w:jc w:val="center"/>
        <w:outlineLvl w:val="0"/>
        <w:rPr>
          <w:rFonts w:eastAsia="方正小标宋简体"/>
          <w:sz w:val="72"/>
          <w:szCs w:val="72"/>
        </w:rPr>
      </w:pPr>
    </w:p>
    <w:p w14:paraId="078F66EE">
      <w:pPr>
        <w:adjustRightInd w:val="0"/>
        <w:snapToGrid w:val="0"/>
        <w:spacing w:line="360" w:lineRule="auto"/>
        <w:jc w:val="center"/>
        <w:outlineLvl w:val="0"/>
        <w:rPr>
          <w:rFonts w:eastAsia="方正小标宋简体"/>
          <w:sz w:val="72"/>
          <w:szCs w:val="72"/>
        </w:rPr>
      </w:pPr>
      <w:bookmarkStart w:id="1" w:name="_Toc15377193"/>
      <w:bookmarkStart w:id="2" w:name="_Toc15377425"/>
      <w:bookmarkStart w:id="3" w:name="_Toc15396475"/>
      <w:bookmarkStart w:id="4" w:name="_Toc15396597"/>
      <w:bookmarkStart w:id="5" w:name="_Toc15378441"/>
      <w:r>
        <w:rPr>
          <w:rFonts w:eastAsia="方正小标宋简体"/>
          <w:sz w:val="72"/>
          <w:szCs w:val="72"/>
        </w:rPr>
        <w:t>2023年度</w:t>
      </w:r>
      <w:bookmarkEnd w:id="1"/>
      <w:bookmarkEnd w:id="2"/>
      <w:bookmarkEnd w:id="3"/>
      <w:bookmarkEnd w:id="4"/>
      <w:bookmarkEnd w:id="5"/>
    </w:p>
    <w:bookmarkEnd w:id="0"/>
    <w:p w14:paraId="042D02CA">
      <w:pPr>
        <w:adjustRightInd w:val="0"/>
        <w:snapToGrid w:val="0"/>
        <w:spacing w:line="360" w:lineRule="auto"/>
        <w:jc w:val="center"/>
        <w:outlineLvl w:val="0"/>
        <w:rPr>
          <w:rFonts w:eastAsia="方正小标宋简体"/>
          <w:sz w:val="72"/>
          <w:szCs w:val="72"/>
        </w:rPr>
      </w:pPr>
      <w:bookmarkStart w:id="6" w:name="_Toc15377426"/>
      <w:bookmarkStart w:id="7" w:name="_Toc15378442"/>
      <w:bookmarkStart w:id="8" w:name="_Toc15396598"/>
      <w:bookmarkStart w:id="9" w:name="_Toc15396476"/>
      <w:bookmarkStart w:id="10" w:name="_Toc15306268"/>
      <w:bookmarkStart w:id="11" w:name="_Toc15377194"/>
      <w:r>
        <w:rPr>
          <w:rFonts w:eastAsia="方正小标宋简体"/>
          <w:sz w:val="72"/>
          <w:szCs w:val="72"/>
        </w:rPr>
        <w:t>盐边县第一初级中学校</w:t>
      </w:r>
    </w:p>
    <w:p w14:paraId="1D246F60">
      <w:pPr>
        <w:adjustRightInd w:val="0"/>
        <w:snapToGrid w:val="0"/>
        <w:spacing w:line="360" w:lineRule="auto"/>
        <w:jc w:val="center"/>
        <w:outlineLvl w:val="0"/>
        <w:rPr>
          <w:rFonts w:eastAsia="方正小标宋简体"/>
          <w:sz w:val="72"/>
          <w:szCs w:val="72"/>
        </w:rPr>
      </w:pPr>
      <w:r>
        <w:rPr>
          <w:rFonts w:eastAsia="方正小标宋简体"/>
          <w:sz w:val="72"/>
          <w:szCs w:val="72"/>
        </w:rPr>
        <w:t>单位决算</w:t>
      </w:r>
      <w:bookmarkEnd w:id="6"/>
      <w:bookmarkEnd w:id="7"/>
      <w:bookmarkEnd w:id="8"/>
      <w:bookmarkEnd w:id="9"/>
      <w:bookmarkEnd w:id="10"/>
      <w:bookmarkEnd w:id="11"/>
    </w:p>
    <w:p w14:paraId="18473844">
      <w:pPr>
        <w:widowControl/>
        <w:jc w:val="center"/>
        <w:rPr>
          <w:rFonts w:eastAsia="黑体"/>
          <w:sz w:val="48"/>
          <w:szCs w:val="48"/>
        </w:rPr>
      </w:pPr>
      <w:r>
        <w:rPr>
          <w:rFonts w:eastAsia="方正小标宋简体"/>
          <w:sz w:val="36"/>
          <w:szCs w:val="36"/>
        </w:rPr>
        <w:br w:type="page"/>
      </w:r>
      <w:r>
        <w:rPr>
          <w:rFonts w:eastAsia="黑体"/>
          <w:sz w:val="48"/>
          <w:szCs w:val="48"/>
        </w:rPr>
        <w:t>目录</w:t>
      </w:r>
    </w:p>
    <w:p w14:paraId="7B3E85FF">
      <w:pPr>
        <w:widowControl/>
        <w:jc w:val="center"/>
        <w:rPr>
          <w:rFonts w:eastAsia="黑体"/>
          <w:sz w:val="28"/>
          <w:szCs w:val="28"/>
        </w:rPr>
      </w:pPr>
    </w:p>
    <w:p w14:paraId="32F968EC">
      <w:pPr>
        <w:pStyle w:val="11"/>
        <w:rPr>
          <w:rFonts w:eastAsia="仿宋_GB2312"/>
          <w:sz w:val="28"/>
          <w:szCs w:val="28"/>
        </w:rPr>
      </w:pPr>
      <w:r>
        <w:rPr>
          <w:rFonts w:ascii="Times New Roman" w:hAnsi="Times New Roman" w:eastAsia="仿宋_GB2312"/>
          <w:sz w:val="32"/>
          <w:szCs w:val="32"/>
        </w:rPr>
        <w:t>公开时间：202</w:t>
      </w: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年10月28日</w:t>
      </w:r>
    </w:p>
    <w:p w14:paraId="4AE3A659">
      <w:pPr>
        <w:pStyle w:val="11"/>
        <w:adjustRightInd w:val="0"/>
        <w:snapToGrid w:val="0"/>
        <w:spacing w:before="0" w:line="600" w:lineRule="exact"/>
        <w:jc w:val="left"/>
        <w:rPr>
          <w:rFonts w:ascii="Times New Roman" w:hAnsi="Times New Roman" w:eastAsia="仿宋_GB2312"/>
        </w:rPr>
      </w:pPr>
      <w:r>
        <w:rPr>
          <w:rFonts w:ascii="Times New Roman" w:hAnsi="Times New Roman" w:eastAsia="仿宋_GB2312"/>
        </w:rPr>
        <w:t>第一部分单位概况</w:t>
      </w:r>
      <w:r>
        <w:rPr>
          <w:rFonts w:ascii="Times New Roman" w:hAnsi="Times New Roman" w:eastAsia="仿宋_GB2312"/>
        </w:rPr>
        <w:ptab w:relativeTo="margin" w:alignment="right" w:leader="dot"/>
      </w:r>
      <w:r>
        <w:rPr>
          <w:rFonts w:hint="eastAsia" w:ascii="Times New Roman" w:hAnsi="Times New Roman" w:eastAsia="仿宋_GB2312"/>
        </w:rPr>
        <w:t>4</w:t>
      </w:r>
    </w:p>
    <w:p w14:paraId="1D252A47">
      <w:pPr>
        <w:pStyle w:val="12"/>
        <w:adjustRightInd w:val="0"/>
        <w:snapToGrid w:val="0"/>
        <w:spacing w:line="600" w:lineRule="exact"/>
        <w:jc w:val="left"/>
        <w:rPr>
          <w:rFonts w:eastAsia="仿宋_GB2312"/>
          <w:sz w:val="28"/>
          <w:szCs w:val="28"/>
        </w:rPr>
      </w:pPr>
      <w:r>
        <w:rPr>
          <w:rFonts w:eastAsia="仿宋_GB2312"/>
          <w:sz w:val="28"/>
          <w:szCs w:val="28"/>
        </w:rPr>
        <w:t>一、主要职责</w:t>
      </w:r>
      <w:r>
        <w:rPr>
          <w:rFonts w:eastAsia="仿宋_GB2312"/>
          <w:sz w:val="28"/>
          <w:szCs w:val="28"/>
        </w:rPr>
        <w:ptab w:relativeTo="margin" w:alignment="right" w:leader="dot"/>
      </w:r>
      <w:r>
        <w:rPr>
          <w:rFonts w:hint="eastAsia" w:eastAsia="仿宋_GB2312"/>
          <w:sz w:val="28"/>
          <w:szCs w:val="28"/>
        </w:rPr>
        <w:t>4</w:t>
      </w:r>
    </w:p>
    <w:p w14:paraId="025E6CD7">
      <w:pPr>
        <w:pStyle w:val="12"/>
        <w:adjustRightInd w:val="0"/>
        <w:snapToGrid w:val="0"/>
        <w:spacing w:line="600" w:lineRule="exact"/>
        <w:jc w:val="left"/>
        <w:rPr>
          <w:rFonts w:eastAsia="仿宋_GB2312"/>
          <w:sz w:val="28"/>
          <w:szCs w:val="28"/>
        </w:rPr>
      </w:pPr>
      <w:r>
        <w:rPr>
          <w:rFonts w:eastAsia="仿宋_GB2312"/>
          <w:sz w:val="28"/>
          <w:szCs w:val="28"/>
        </w:rPr>
        <w:t>二、机构设置</w:t>
      </w:r>
      <w:r>
        <w:rPr>
          <w:rFonts w:eastAsia="仿宋_GB2312"/>
          <w:sz w:val="28"/>
          <w:szCs w:val="28"/>
        </w:rPr>
        <w:ptab w:relativeTo="margin" w:alignment="right" w:leader="dot"/>
      </w:r>
      <w:r>
        <w:rPr>
          <w:rFonts w:hint="eastAsia" w:eastAsia="仿宋_GB2312"/>
          <w:sz w:val="28"/>
          <w:szCs w:val="28"/>
        </w:rPr>
        <w:t>4</w:t>
      </w:r>
    </w:p>
    <w:p w14:paraId="5B43D326">
      <w:pPr>
        <w:pStyle w:val="11"/>
        <w:adjustRightInd w:val="0"/>
        <w:snapToGrid w:val="0"/>
        <w:spacing w:before="0" w:line="600" w:lineRule="exact"/>
        <w:jc w:val="left"/>
        <w:rPr>
          <w:rFonts w:ascii="Times New Roman" w:hAnsi="Times New Roman" w:eastAsia="仿宋_GB2312"/>
        </w:rPr>
      </w:pPr>
      <w:r>
        <w:rPr>
          <w:rFonts w:ascii="Times New Roman" w:hAnsi="Times New Roman" w:eastAsia="仿宋_GB2312"/>
        </w:rPr>
        <w:t>第二部分 2023年度单位决算情况说明</w:t>
      </w:r>
      <w:r>
        <w:rPr>
          <w:rFonts w:ascii="Times New Roman" w:hAnsi="Times New Roman" w:eastAsia="仿宋_GB2312"/>
        </w:rPr>
        <w:ptab w:relativeTo="margin" w:alignment="right" w:leader="dot"/>
      </w:r>
      <w:r>
        <w:rPr>
          <w:rFonts w:hint="eastAsia" w:ascii="Times New Roman" w:hAnsi="Times New Roman" w:eastAsia="仿宋_GB2312"/>
        </w:rPr>
        <w:t>5</w:t>
      </w:r>
    </w:p>
    <w:p w14:paraId="60E2C719">
      <w:pPr>
        <w:pStyle w:val="12"/>
        <w:adjustRightInd w:val="0"/>
        <w:snapToGrid w:val="0"/>
        <w:spacing w:line="600" w:lineRule="exact"/>
        <w:jc w:val="left"/>
        <w:rPr>
          <w:rFonts w:eastAsia="仿宋_GB2312"/>
          <w:sz w:val="28"/>
          <w:szCs w:val="28"/>
        </w:rPr>
      </w:pPr>
      <w:r>
        <w:rPr>
          <w:rFonts w:eastAsia="仿宋_GB2312"/>
          <w:sz w:val="28"/>
          <w:szCs w:val="28"/>
        </w:rPr>
        <w:t>一、收入支出决算总体情况说明</w:t>
      </w:r>
      <w:r>
        <w:rPr>
          <w:rFonts w:eastAsia="仿宋_GB2312"/>
          <w:sz w:val="28"/>
          <w:szCs w:val="28"/>
        </w:rPr>
        <w:ptab w:relativeTo="margin" w:alignment="right" w:leader="dot"/>
      </w:r>
      <w:r>
        <w:rPr>
          <w:rFonts w:hint="eastAsia" w:eastAsia="仿宋_GB2312"/>
          <w:sz w:val="28"/>
          <w:szCs w:val="28"/>
        </w:rPr>
        <w:t>5</w:t>
      </w:r>
    </w:p>
    <w:p w14:paraId="479796B7">
      <w:pPr>
        <w:pStyle w:val="12"/>
        <w:adjustRightInd w:val="0"/>
        <w:snapToGrid w:val="0"/>
        <w:spacing w:line="600" w:lineRule="exact"/>
        <w:jc w:val="left"/>
        <w:rPr>
          <w:rFonts w:eastAsia="仿宋_GB2312"/>
          <w:sz w:val="28"/>
          <w:szCs w:val="28"/>
        </w:rPr>
      </w:pPr>
      <w:r>
        <w:rPr>
          <w:rFonts w:eastAsia="仿宋_GB2312"/>
          <w:sz w:val="28"/>
          <w:szCs w:val="28"/>
        </w:rPr>
        <w:t>二、收入决算情况说明</w:t>
      </w:r>
      <w:r>
        <w:rPr>
          <w:rFonts w:eastAsia="仿宋_GB2312"/>
          <w:sz w:val="28"/>
          <w:szCs w:val="28"/>
        </w:rPr>
        <w:ptab w:relativeTo="margin" w:alignment="right" w:leader="dot"/>
      </w:r>
      <w:r>
        <w:rPr>
          <w:rFonts w:hint="eastAsia" w:eastAsia="仿宋_GB2312"/>
          <w:sz w:val="28"/>
          <w:szCs w:val="28"/>
        </w:rPr>
        <w:t>5</w:t>
      </w:r>
    </w:p>
    <w:p w14:paraId="2BD2C9B2">
      <w:pPr>
        <w:pStyle w:val="12"/>
        <w:adjustRightInd w:val="0"/>
        <w:snapToGrid w:val="0"/>
        <w:spacing w:line="600" w:lineRule="exact"/>
        <w:jc w:val="left"/>
        <w:rPr>
          <w:rFonts w:eastAsia="仿宋_GB2312"/>
          <w:sz w:val="28"/>
          <w:szCs w:val="28"/>
        </w:rPr>
      </w:pPr>
      <w:r>
        <w:rPr>
          <w:rFonts w:eastAsia="仿宋_GB2312"/>
          <w:sz w:val="28"/>
          <w:szCs w:val="28"/>
        </w:rPr>
        <w:t>三、支出决算情况说明</w:t>
      </w:r>
      <w:r>
        <w:rPr>
          <w:rFonts w:eastAsia="仿宋_GB2312"/>
          <w:sz w:val="28"/>
          <w:szCs w:val="28"/>
        </w:rPr>
        <w:ptab w:relativeTo="margin" w:alignment="right" w:leader="dot"/>
      </w:r>
      <w:r>
        <w:rPr>
          <w:rFonts w:hint="eastAsia" w:eastAsia="仿宋_GB2312"/>
          <w:sz w:val="28"/>
          <w:szCs w:val="28"/>
        </w:rPr>
        <w:t>6</w:t>
      </w:r>
    </w:p>
    <w:p w14:paraId="108EDC34">
      <w:pPr>
        <w:pStyle w:val="12"/>
        <w:adjustRightInd w:val="0"/>
        <w:snapToGrid w:val="0"/>
        <w:spacing w:line="600" w:lineRule="exact"/>
        <w:jc w:val="left"/>
        <w:rPr>
          <w:rFonts w:hint="eastAsia" w:eastAsia="仿宋_GB2312"/>
          <w:sz w:val="28"/>
          <w:szCs w:val="28"/>
          <w:lang w:val="en-US" w:eastAsia="zh-CN"/>
        </w:rPr>
      </w:pPr>
      <w:r>
        <w:rPr>
          <w:rFonts w:eastAsia="仿宋_GB2312"/>
          <w:sz w:val="28"/>
          <w:szCs w:val="28"/>
        </w:rPr>
        <w:t>四、财政拨款收入支出决算总体情况说明</w:t>
      </w:r>
      <w:r>
        <w:rPr>
          <w:rFonts w:eastAsia="仿宋_GB2312"/>
          <w:sz w:val="28"/>
          <w:szCs w:val="28"/>
        </w:rPr>
        <w:ptab w:relativeTo="margin" w:alignment="right" w:leader="dot"/>
      </w:r>
      <w:r>
        <w:rPr>
          <w:rFonts w:hint="eastAsia" w:eastAsia="仿宋_GB2312"/>
          <w:sz w:val="28"/>
          <w:szCs w:val="28"/>
          <w:lang w:val="en-US" w:eastAsia="zh-CN"/>
        </w:rPr>
        <w:t>7</w:t>
      </w:r>
    </w:p>
    <w:p w14:paraId="54911247">
      <w:pPr>
        <w:pStyle w:val="12"/>
        <w:adjustRightInd w:val="0"/>
        <w:snapToGrid w:val="0"/>
        <w:spacing w:line="600" w:lineRule="exact"/>
        <w:jc w:val="left"/>
        <w:rPr>
          <w:rFonts w:eastAsia="仿宋_GB2312"/>
          <w:sz w:val="28"/>
          <w:szCs w:val="28"/>
        </w:rPr>
      </w:pPr>
      <w:r>
        <w:rPr>
          <w:rFonts w:eastAsia="仿宋_GB2312"/>
          <w:sz w:val="28"/>
          <w:szCs w:val="28"/>
        </w:rPr>
        <w:t>五、一般公共预算财政拨款支出决算情况说明</w:t>
      </w:r>
      <w:r>
        <w:rPr>
          <w:rFonts w:eastAsia="仿宋_GB2312"/>
          <w:sz w:val="28"/>
          <w:szCs w:val="28"/>
        </w:rPr>
        <w:ptab w:relativeTo="margin" w:alignment="right" w:leader="dot"/>
      </w:r>
      <w:r>
        <w:rPr>
          <w:rFonts w:hint="eastAsia" w:eastAsia="仿宋_GB2312"/>
          <w:sz w:val="28"/>
          <w:szCs w:val="28"/>
        </w:rPr>
        <w:t>7</w:t>
      </w:r>
    </w:p>
    <w:p w14:paraId="5EA7AFDE">
      <w:pPr>
        <w:pStyle w:val="12"/>
        <w:adjustRightInd w:val="0"/>
        <w:snapToGrid w:val="0"/>
        <w:spacing w:line="600" w:lineRule="exact"/>
        <w:jc w:val="left"/>
        <w:rPr>
          <w:rFonts w:eastAsia="仿宋_GB2312"/>
          <w:sz w:val="28"/>
          <w:szCs w:val="28"/>
        </w:rPr>
      </w:pPr>
      <w:r>
        <w:rPr>
          <w:rFonts w:eastAsia="仿宋_GB2312"/>
          <w:sz w:val="28"/>
          <w:szCs w:val="28"/>
        </w:rPr>
        <w:t>六、一般公共预算财政拨款基本支出决算情况说明</w:t>
      </w:r>
      <w:r>
        <w:rPr>
          <w:rFonts w:eastAsia="仿宋_GB2312"/>
          <w:sz w:val="28"/>
          <w:szCs w:val="28"/>
        </w:rPr>
        <w:ptab w:relativeTo="margin" w:alignment="right" w:leader="dot"/>
      </w:r>
      <w:r>
        <w:rPr>
          <w:rFonts w:hint="eastAsia" w:eastAsia="仿宋_GB2312"/>
          <w:sz w:val="28"/>
          <w:szCs w:val="28"/>
        </w:rPr>
        <w:t>9</w:t>
      </w:r>
    </w:p>
    <w:p w14:paraId="011F5AA8">
      <w:pPr>
        <w:pStyle w:val="12"/>
        <w:adjustRightInd w:val="0"/>
        <w:snapToGrid w:val="0"/>
        <w:spacing w:line="600" w:lineRule="exact"/>
        <w:jc w:val="left"/>
        <w:rPr>
          <w:rFonts w:eastAsia="仿宋_GB2312"/>
          <w:sz w:val="28"/>
          <w:szCs w:val="28"/>
        </w:rPr>
      </w:pPr>
      <w:r>
        <w:rPr>
          <w:rFonts w:eastAsia="仿宋_GB2312"/>
          <w:sz w:val="28"/>
          <w:szCs w:val="28"/>
        </w:rPr>
        <w:t>七、财政拨款“三公”经费支出决算情况说明</w:t>
      </w:r>
      <w:r>
        <w:rPr>
          <w:rFonts w:eastAsia="仿宋_GB2312"/>
          <w:sz w:val="28"/>
          <w:szCs w:val="28"/>
        </w:rPr>
        <w:ptab w:relativeTo="margin" w:alignment="right" w:leader="dot"/>
      </w:r>
      <w:r>
        <w:rPr>
          <w:rFonts w:hint="eastAsia" w:eastAsia="仿宋_GB2312"/>
          <w:sz w:val="28"/>
          <w:szCs w:val="28"/>
        </w:rPr>
        <w:t>9</w:t>
      </w:r>
    </w:p>
    <w:p w14:paraId="5DFEA154">
      <w:pPr>
        <w:pStyle w:val="12"/>
        <w:adjustRightInd w:val="0"/>
        <w:snapToGrid w:val="0"/>
        <w:spacing w:line="600" w:lineRule="exact"/>
        <w:jc w:val="left"/>
        <w:rPr>
          <w:rFonts w:eastAsia="仿宋_GB2312"/>
          <w:sz w:val="28"/>
          <w:szCs w:val="28"/>
        </w:rPr>
      </w:pPr>
      <w:r>
        <w:rPr>
          <w:rFonts w:eastAsia="仿宋_GB2312"/>
          <w:sz w:val="28"/>
          <w:szCs w:val="28"/>
        </w:rPr>
        <w:t>八、政府性基金预算支出决算情况说明</w:t>
      </w:r>
      <w:r>
        <w:rPr>
          <w:rFonts w:eastAsia="仿宋_GB2312"/>
          <w:sz w:val="28"/>
          <w:szCs w:val="28"/>
        </w:rPr>
        <w:ptab w:relativeTo="margin" w:alignment="right" w:leader="dot"/>
      </w:r>
      <w:r>
        <w:rPr>
          <w:rFonts w:hint="eastAsia" w:eastAsia="仿宋_GB2312"/>
          <w:sz w:val="28"/>
          <w:szCs w:val="28"/>
        </w:rPr>
        <w:t>10</w:t>
      </w:r>
    </w:p>
    <w:p w14:paraId="3645DA0B">
      <w:pPr>
        <w:pStyle w:val="12"/>
        <w:adjustRightInd w:val="0"/>
        <w:snapToGrid w:val="0"/>
        <w:spacing w:line="600" w:lineRule="exact"/>
        <w:jc w:val="left"/>
        <w:rPr>
          <w:rFonts w:eastAsia="仿宋_GB2312"/>
          <w:sz w:val="28"/>
          <w:szCs w:val="28"/>
        </w:rPr>
      </w:pPr>
      <w:r>
        <w:rPr>
          <w:rFonts w:eastAsia="仿宋_GB2312"/>
          <w:sz w:val="28"/>
          <w:szCs w:val="28"/>
        </w:rPr>
        <w:t>九、国有资本经营预算支出决算情况说明</w:t>
      </w:r>
      <w:r>
        <w:rPr>
          <w:rFonts w:eastAsia="仿宋_GB2312"/>
          <w:sz w:val="28"/>
          <w:szCs w:val="28"/>
        </w:rPr>
        <w:ptab w:relativeTo="margin" w:alignment="right" w:leader="dot"/>
      </w:r>
      <w:r>
        <w:rPr>
          <w:rFonts w:hint="eastAsia" w:eastAsia="仿宋_GB2312"/>
          <w:sz w:val="28"/>
          <w:szCs w:val="28"/>
        </w:rPr>
        <w:t>10</w:t>
      </w:r>
    </w:p>
    <w:p w14:paraId="6186FAE7">
      <w:pPr>
        <w:pStyle w:val="12"/>
        <w:adjustRightInd w:val="0"/>
        <w:snapToGrid w:val="0"/>
        <w:spacing w:line="600" w:lineRule="exact"/>
        <w:jc w:val="left"/>
        <w:rPr>
          <w:rFonts w:eastAsia="仿宋_GB2312"/>
          <w:sz w:val="28"/>
          <w:szCs w:val="28"/>
        </w:rPr>
      </w:pPr>
      <w:r>
        <w:rPr>
          <w:rFonts w:eastAsia="仿宋_GB2312"/>
          <w:sz w:val="28"/>
          <w:szCs w:val="28"/>
        </w:rPr>
        <w:t>十、其他重要事项的情况说明</w:t>
      </w:r>
      <w:r>
        <w:rPr>
          <w:rFonts w:eastAsia="仿宋_GB2312"/>
          <w:sz w:val="28"/>
          <w:szCs w:val="28"/>
        </w:rPr>
        <w:ptab w:relativeTo="margin" w:alignment="right" w:leader="dot"/>
      </w:r>
      <w:r>
        <w:rPr>
          <w:rFonts w:hint="eastAsia" w:eastAsia="仿宋_GB2312"/>
          <w:sz w:val="28"/>
          <w:szCs w:val="28"/>
        </w:rPr>
        <w:t>10</w:t>
      </w:r>
    </w:p>
    <w:p w14:paraId="7D6B4010">
      <w:pPr>
        <w:pStyle w:val="11"/>
        <w:adjustRightInd w:val="0"/>
        <w:snapToGrid w:val="0"/>
        <w:spacing w:before="0" w:line="600" w:lineRule="exact"/>
        <w:jc w:val="left"/>
        <w:rPr>
          <w:rFonts w:ascii="Times New Roman" w:hAnsi="Times New Roman" w:eastAsia="仿宋_GB2312"/>
        </w:rPr>
      </w:pPr>
      <w:r>
        <w:rPr>
          <w:rFonts w:ascii="Times New Roman" w:hAnsi="Times New Roman" w:eastAsia="仿宋_GB2312"/>
        </w:rPr>
        <w:t>第三部分名词解释</w:t>
      </w:r>
      <w:r>
        <w:rPr>
          <w:rFonts w:ascii="Times New Roman" w:hAnsi="Times New Roman" w:eastAsia="仿宋_GB2312"/>
        </w:rPr>
        <w:ptab w:relativeTo="margin" w:alignment="right" w:leader="dot"/>
      </w:r>
      <w:r>
        <w:rPr>
          <w:rFonts w:hint="eastAsia" w:ascii="Times New Roman" w:hAnsi="Times New Roman" w:eastAsia="仿宋_GB2312"/>
        </w:rPr>
        <w:t>12</w:t>
      </w:r>
    </w:p>
    <w:p w14:paraId="6546097C">
      <w:pPr>
        <w:pStyle w:val="11"/>
        <w:adjustRightInd w:val="0"/>
        <w:snapToGrid w:val="0"/>
        <w:spacing w:before="0" w:line="600" w:lineRule="exact"/>
        <w:jc w:val="left"/>
        <w:rPr>
          <w:rFonts w:ascii="Times New Roman" w:hAnsi="Times New Roman" w:eastAsia="仿宋_GB2312"/>
        </w:rPr>
      </w:pPr>
      <w:r>
        <w:rPr>
          <w:rFonts w:ascii="Times New Roman" w:hAnsi="Times New Roman" w:eastAsia="仿宋_GB2312"/>
        </w:rPr>
        <w:t>第四部分附件</w:t>
      </w:r>
      <w:r>
        <w:rPr>
          <w:rFonts w:ascii="Times New Roman" w:hAnsi="Times New Roman" w:eastAsia="仿宋_GB2312"/>
        </w:rPr>
        <w:ptab w:relativeTo="margin" w:alignment="right" w:leader="dot"/>
      </w:r>
      <w:r>
        <w:rPr>
          <w:rFonts w:hint="eastAsia" w:ascii="Times New Roman" w:hAnsi="Times New Roman" w:eastAsia="仿宋_GB2312"/>
        </w:rPr>
        <w:t>15</w:t>
      </w:r>
    </w:p>
    <w:p w14:paraId="5FDD6B52">
      <w:pPr>
        <w:pStyle w:val="11"/>
        <w:adjustRightInd w:val="0"/>
        <w:snapToGrid w:val="0"/>
        <w:spacing w:before="0" w:line="600" w:lineRule="exact"/>
        <w:jc w:val="left"/>
        <w:rPr>
          <w:rFonts w:hint="eastAsia" w:ascii="Times New Roman" w:hAnsi="Times New Roman" w:eastAsia="仿宋_GB2312"/>
          <w:lang w:val="en-US" w:eastAsia="zh-CN"/>
        </w:rPr>
      </w:pPr>
      <w:r>
        <w:rPr>
          <w:rFonts w:ascii="Times New Roman" w:hAnsi="Times New Roman" w:eastAsia="仿宋_GB2312"/>
        </w:rPr>
        <w:t>第五部分附表</w:t>
      </w:r>
      <w:r>
        <w:rPr>
          <w:rFonts w:ascii="Times New Roman" w:hAnsi="Times New Roman" w:eastAsia="仿宋_GB2312"/>
        </w:rPr>
        <w:ptab w:relativeTo="margin" w:alignment="right" w:leader="dot"/>
      </w:r>
      <w:r>
        <w:rPr>
          <w:rFonts w:hint="eastAsia" w:ascii="Times New Roman" w:hAnsi="Times New Roman" w:eastAsia="仿宋_GB2312"/>
        </w:rPr>
        <w:t>1</w:t>
      </w:r>
      <w:r>
        <w:rPr>
          <w:rFonts w:hint="eastAsia" w:ascii="Times New Roman" w:hAnsi="Times New Roman" w:eastAsia="仿宋_GB2312"/>
          <w:lang w:val="en-US" w:eastAsia="zh-CN"/>
        </w:rPr>
        <w:t>6</w:t>
      </w:r>
    </w:p>
    <w:p w14:paraId="49BF563A">
      <w:pPr>
        <w:pStyle w:val="12"/>
        <w:adjustRightInd w:val="0"/>
        <w:snapToGrid w:val="0"/>
        <w:spacing w:line="600" w:lineRule="exact"/>
        <w:jc w:val="left"/>
        <w:rPr>
          <w:rFonts w:hint="eastAsia" w:eastAsia="仿宋_GB2312"/>
          <w:sz w:val="28"/>
          <w:szCs w:val="28"/>
          <w:lang w:val="en-US" w:eastAsia="zh-CN"/>
        </w:rPr>
      </w:pPr>
      <w:r>
        <w:rPr>
          <w:rFonts w:eastAsia="仿宋_GB2312"/>
          <w:sz w:val="28"/>
          <w:szCs w:val="28"/>
        </w:rPr>
        <w:t>一、收入支出决算总表</w:t>
      </w:r>
      <w:r>
        <w:rPr>
          <w:rFonts w:eastAsia="仿宋_GB2312"/>
          <w:sz w:val="28"/>
          <w:szCs w:val="28"/>
        </w:rPr>
        <w:ptab w:relativeTo="margin" w:alignment="right" w:leader="dot"/>
      </w:r>
      <w:r>
        <w:rPr>
          <w:rFonts w:hint="eastAsia" w:eastAsia="仿宋_GB2312"/>
          <w:sz w:val="28"/>
          <w:szCs w:val="28"/>
        </w:rPr>
        <w:t>1</w:t>
      </w:r>
      <w:r>
        <w:rPr>
          <w:rFonts w:hint="eastAsia" w:eastAsia="仿宋_GB2312"/>
          <w:sz w:val="28"/>
          <w:szCs w:val="28"/>
          <w:lang w:val="en-US" w:eastAsia="zh-CN"/>
        </w:rPr>
        <w:t>6</w:t>
      </w:r>
    </w:p>
    <w:p w14:paraId="390F4846">
      <w:pPr>
        <w:pStyle w:val="12"/>
        <w:adjustRightInd w:val="0"/>
        <w:snapToGrid w:val="0"/>
        <w:spacing w:line="600" w:lineRule="exact"/>
        <w:jc w:val="left"/>
        <w:rPr>
          <w:rFonts w:hint="eastAsia" w:eastAsia="仿宋_GB2312"/>
          <w:sz w:val="28"/>
          <w:szCs w:val="28"/>
          <w:lang w:val="en-US" w:eastAsia="zh-CN"/>
        </w:rPr>
      </w:pPr>
      <w:r>
        <w:rPr>
          <w:rFonts w:eastAsia="仿宋_GB2312"/>
          <w:sz w:val="28"/>
          <w:szCs w:val="28"/>
        </w:rPr>
        <w:t>二、收入决算表</w:t>
      </w:r>
      <w:r>
        <w:rPr>
          <w:rFonts w:eastAsia="仿宋_GB2312"/>
          <w:sz w:val="28"/>
          <w:szCs w:val="28"/>
        </w:rPr>
        <w:ptab w:relativeTo="margin" w:alignment="right" w:leader="dot"/>
      </w:r>
      <w:r>
        <w:rPr>
          <w:rFonts w:hint="eastAsia" w:eastAsia="仿宋_GB2312"/>
          <w:sz w:val="28"/>
          <w:szCs w:val="28"/>
        </w:rPr>
        <w:t>1</w:t>
      </w:r>
      <w:r>
        <w:rPr>
          <w:rFonts w:hint="eastAsia" w:eastAsia="仿宋_GB2312"/>
          <w:sz w:val="28"/>
          <w:szCs w:val="28"/>
          <w:lang w:val="en-US" w:eastAsia="zh-CN"/>
        </w:rPr>
        <w:t>6</w:t>
      </w:r>
    </w:p>
    <w:p w14:paraId="19F474B2">
      <w:pPr>
        <w:pStyle w:val="12"/>
        <w:adjustRightInd w:val="0"/>
        <w:snapToGrid w:val="0"/>
        <w:spacing w:line="600" w:lineRule="exact"/>
        <w:jc w:val="left"/>
        <w:rPr>
          <w:rFonts w:hint="eastAsia" w:eastAsia="仿宋_GB2312"/>
          <w:sz w:val="28"/>
          <w:szCs w:val="28"/>
          <w:lang w:val="en-US" w:eastAsia="zh-CN"/>
        </w:rPr>
      </w:pPr>
      <w:r>
        <w:rPr>
          <w:rFonts w:eastAsia="仿宋_GB2312"/>
          <w:sz w:val="28"/>
          <w:szCs w:val="28"/>
        </w:rPr>
        <w:t>三、支出决算表</w:t>
      </w:r>
      <w:r>
        <w:rPr>
          <w:rFonts w:eastAsia="仿宋_GB2312"/>
          <w:sz w:val="28"/>
          <w:szCs w:val="28"/>
        </w:rPr>
        <w:ptab w:relativeTo="margin" w:alignment="right" w:leader="dot"/>
      </w:r>
      <w:r>
        <w:rPr>
          <w:rFonts w:hint="eastAsia" w:eastAsia="仿宋_GB2312"/>
          <w:sz w:val="28"/>
          <w:szCs w:val="28"/>
        </w:rPr>
        <w:t>1</w:t>
      </w:r>
      <w:r>
        <w:rPr>
          <w:rFonts w:hint="eastAsia" w:eastAsia="仿宋_GB2312"/>
          <w:sz w:val="28"/>
          <w:szCs w:val="28"/>
          <w:lang w:val="en-US" w:eastAsia="zh-CN"/>
        </w:rPr>
        <w:t>6</w:t>
      </w:r>
    </w:p>
    <w:p w14:paraId="05E47D5D">
      <w:pPr>
        <w:pStyle w:val="12"/>
        <w:adjustRightInd w:val="0"/>
        <w:snapToGrid w:val="0"/>
        <w:spacing w:line="600" w:lineRule="exact"/>
        <w:jc w:val="left"/>
        <w:rPr>
          <w:rFonts w:hint="eastAsia" w:eastAsia="仿宋_GB2312"/>
          <w:sz w:val="28"/>
          <w:szCs w:val="28"/>
          <w:lang w:val="en-US" w:eastAsia="zh-CN"/>
        </w:rPr>
      </w:pPr>
      <w:r>
        <w:rPr>
          <w:rFonts w:eastAsia="仿宋_GB2312"/>
          <w:sz w:val="28"/>
          <w:szCs w:val="28"/>
        </w:rPr>
        <w:t>四、财政拨款收入支出决算总表</w:t>
      </w:r>
      <w:r>
        <w:rPr>
          <w:rFonts w:eastAsia="仿宋_GB2312"/>
          <w:sz w:val="28"/>
          <w:szCs w:val="28"/>
        </w:rPr>
        <w:ptab w:relativeTo="margin" w:alignment="right" w:leader="dot"/>
      </w:r>
      <w:r>
        <w:rPr>
          <w:rFonts w:hint="eastAsia" w:eastAsia="仿宋_GB2312"/>
          <w:sz w:val="28"/>
          <w:szCs w:val="28"/>
        </w:rPr>
        <w:t>1</w:t>
      </w:r>
      <w:r>
        <w:rPr>
          <w:rFonts w:hint="eastAsia" w:eastAsia="仿宋_GB2312"/>
          <w:sz w:val="28"/>
          <w:szCs w:val="28"/>
          <w:lang w:val="en-US" w:eastAsia="zh-CN"/>
        </w:rPr>
        <w:t>6</w:t>
      </w:r>
    </w:p>
    <w:p w14:paraId="4EA965DA">
      <w:pPr>
        <w:pStyle w:val="12"/>
        <w:adjustRightInd w:val="0"/>
        <w:snapToGrid w:val="0"/>
        <w:spacing w:line="600" w:lineRule="exact"/>
        <w:jc w:val="left"/>
        <w:rPr>
          <w:rFonts w:hint="eastAsia" w:eastAsia="仿宋_GB2312"/>
          <w:sz w:val="28"/>
          <w:szCs w:val="28"/>
          <w:lang w:val="en-US" w:eastAsia="zh-CN"/>
        </w:rPr>
      </w:pPr>
      <w:r>
        <w:rPr>
          <w:rFonts w:eastAsia="仿宋_GB2312"/>
          <w:sz w:val="28"/>
          <w:szCs w:val="28"/>
        </w:rPr>
        <w:t>五、财政拨款支出决算明细表</w:t>
      </w:r>
      <w:r>
        <w:rPr>
          <w:rFonts w:eastAsia="仿宋_GB2312"/>
          <w:sz w:val="28"/>
          <w:szCs w:val="28"/>
        </w:rPr>
        <w:ptab w:relativeTo="margin" w:alignment="right" w:leader="dot"/>
      </w:r>
      <w:r>
        <w:rPr>
          <w:rFonts w:hint="eastAsia" w:eastAsia="仿宋_GB2312"/>
          <w:sz w:val="28"/>
          <w:szCs w:val="28"/>
        </w:rPr>
        <w:t>1</w:t>
      </w:r>
      <w:r>
        <w:rPr>
          <w:rFonts w:hint="eastAsia" w:eastAsia="仿宋_GB2312"/>
          <w:sz w:val="28"/>
          <w:szCs w:val="28"/>
          <w:lang w:val="en-US" w:eastAsia="zh-CN"/>
        </w:rPr>
        <w:t>6</w:t>
      </w:r>
    </w:p>
    <w:p w14:paraId="7C9E3DD5">
      <w:pPr>
        <w:pStyle w:val="12"/>
        <w:adjustRightInd w:val="0"/>
        <w:snapToGrid w:val="0"/>
        <w:spacing w:line="600" w:lineRule="exact"/>
        <w:jc w:val="left"/>
        <w:rPr>
          <w:rFonts w:hint="eastAsia" w:eastAsia="仿宋_GB2312"/>
          <w:sz w:val="28"/>
          <w:szCs w:val="28"/>
          <w:lang w:val="en-US" w:eastAsia="zh-CN"/>
        </w:rPr>
      </w:pPr>
      <w:r>
        <w:rPr>
          <w:rFonts w:eastAsia="仿宋_GB2312"/>
          <w:sz w:val="28"/>
          <w:szCs w:val="28"/>
        </w:rPr>
        <w:t>六、一般公共预算财政拨款支出决算表</w:t>
      </w:r>
      <w:r>
        <w:rPr>
          <w:rFonts w:eastAsia="仿宋_GB2312"/>
          <w:sz w:val="28"/>
          <w:szCs w:val="28"/>
        </w:rPr>
        <w:ptab w:relativeTo="margin" w:alignment="right" w:leader="dot"/>
      </w:r>
      <w:r>
        <w:rPr>
          <w:rFonts w:hint="eastAsia" w:eastAsia="仿宋_GB2312"/>
          <w:sz w:val="28"/>
          <w:szCs w:val="28"/>
        </w:rPr>
        <w:t>1</w:t>
      </w:r>
      <w:r>
        <w:rPr>
          <w:rFonts w:hint="eastAsia" w:eastAsia="仿宋_GB2312"/>
          <w:sz w:val="28"/>
          <w:szCs w:val="28"/>
          <w:lang w:val="en-US" w:eastAsia="zh-CN"/>
        </w:rPr>
        <w:t>6</w:t>
      </w:r>
    </w:p>
    <w:p w14:paraId="678AEED2">
      <w:pPr>
        <w:pStyle w:val="12"/>
        <w:adjustRightInd w:val="0"/>
        <w:snapToGrid w:val="0"/>
        <w:spacing w:line="600" w:lineRule="exact"/>
        <w:jc w:val="left"/>
        <w:rPr>
          <w:rFonts w:hint="eastAsia" w:eastAsia="仿宋_GB2312"/>
          <w:sz w:val="28"/>
          <w:szCs w:val="28"/>
          <w:lang w:val="en-US" w:eastAsia="zh-CN"/>
        </w:rPr>
      </w:pPr>
      <w:r>
        <w:rPr>
          <w:rFonts w:eastAsia="仿宋_GB2312"/>
          <w:sz w:val="28"/>
          <w:szCs w:val="28"/>
        </w:rPr>
        <w:t>七、一般公共预算财政拨款支出决算明细表</w:t>
      </w:r>
      <w:r>
        <w:rPr>
          <w:rFonts w:eastAsia="仿宋_GB2312"/>
          <w:sz w:val="28"/>
          <w:szCs w:val="28"/>
        </w:rPr>
        <w:ptab w:relativeTo="margin" w:alignment="right" w:leader="dot"/>
      </w:r>
      <w:r>
        <w:rPr>
          <w:rFonts w:hint="eastAsia" w:eastAsia="仿宋_GB2312"/>
          <w:sz w:val="28"/>
          <w:szCs w:val="28"/>
        </w:rPr>
        <w:t>1</w:t>
      </w:r>
      <w:r>
        <w:rPr>
          <w:rFonts w:hint="eastAsia" w:eastAsia="仿宋_GB2312"/>
          <w:sz w:val="28"/>
          <w:szCs w:val="28"/>
          <w:lang w:val="en-US" w:eastAsia="zh-CN"/>
        </w:rPr>
        <w:t>6</w:t>
      </w:r>
    </w:p>
    <w:p w14:paraId="4360D7B6">
      <w:pPr>
        <w:pStyle w:val="12"/>
        <w:adjustRightInd w:val="0"/>
        <w:snapToGrid w:val="0"/>
        <w:spacing w:line="600" w:lineRule="exact"/>
        <w:jc w:val="left"/>
        <w:rPr>
          <w:rFonts w:hint="eastAsia" w:eastAsia="仿宋_GB2312"/>
          <w:sz w:val="28"/>
          <w:szCs w:val="28"/>
          <w:lang w:val="en-US" w:eastAsia="zh-CN"/>
        </w:rPr>
      </w:pPr>
      <w:r>
        <w:rPr>
          <w:rFonts w:eastAsia="仿宋_GB2312"/>
          <w:sz w:val="28"/>
          <w:szCs w:val="28"/>
        </w:rPr>
        <w:t>八、一般公共预算财政拨款基本支出决算明细表</w:t>
      </w:r>
      <w:r>
        <w:rPr>
          <w:rFonts w:eastAsia="仿宋_GB2312"/>
          <w:sz w:val="28"/>
          <w:szCs w:val="28"/>
        </w:rPr>
        <w:ptab w:relativeTo="margin" w:alignment="right" w:leader="dot"/>
      </w:r>
      <w:r>
        <w:rPr>
          <w:rFonts w:hint="eastAsia" w:eastAsia="仿宋_GB2312"/>
          <w:sz w:val="28"/>
          <w:szCs w:val="28"/>
        </w:rPr>
        <w:t>1</w:t>
      </w:r>
      <w:r>
        <w:rPr>
          <w:rFonts w:hint="eastAsia" w:eastAsia="仿宋_GB2312"/>
          <w:sz w:val="28"/>
          <w:szCs w:val="28"/>
          <w:lang w:val="en-US" w:eastAsia="zh-CN"/>
        </w:rPr>
        <w:t>6</w:t>
      </w:r>
    </w:p>
    <w:p w14:paraId="4B81B639">
      <w:pPr>
        <w:pStyle w:val="12"/>
        <w:adjustRightInd w:val="0"/>
        <w:snapToGrid w:val="0"/>
        <w:spacing w:line="600" w:lineRule="exact"/>
        <w:jc w:val="left"/>
        <w:rPr>
          <w:rFonts w:hint="eastAsia" w:eastAsia="仿宋_GB2312"/>
          <w:sz w:val="28"/>
          <w:szCs w:val="28"/>
          <w:lang w:val="en-US" w:eastAsia="zh-CN"/>
        </w:rPr>
      </w:pPr>
      <w:r>
        <w:rPr>
          <w:rFonts w:eastAsia="仿宋_GB2312"/>
          <w:sz w:val="28"/>
          <w:szCs w:val="28"/>
        </w:rPr>
        <w:t>九、一般公共预算财政拨款项目支出决算表</w:t>
      </w:r>
      <w:r>
        <w:rPr>
          <w:rFonts w:eastAsia="仿宋_GB2312"/>
          <w:sz w:val="28"/>
          <w:szCs w:val="28"/>
        </w:rPr>
        <w:ptab w:relativeTo="margin" w:alignment="right" w:leader="dot"/>
      </w:r>
      <w:r>
        <w:rPr>
          <w:rFonts w:hint="eastAsia" w:eastAsia="仿宋_GB2312"/>
          <w:sz w:val="28"/>
          <w:szCs w:val="28"/>
        </w:rPr>
        <w:t>1</w:t>
      </w:r>
      <w:r>
        <w:rPr>
          <w:rFonts w:hint="eastAsia" w:eastAsia="仿宋_GB2312"/>
          <w:sz w:val="28"/>
          <w:szCs w:val="28"/>
          <w:lang w:val="en-US" w:eastAsia="zh-CN"/>
        </w:rPr>
        <w:t>6</w:t>
      </w:r>
    </w:p>
    <w:p w14:paraId="6F8C5021">
      <w:pPr>
        <w:pStyle w:val="12"/>
        <w:adjustRightInd w:val="0"/>
        <w:snapToGrid w:val="0"/>
        <w:spacing w:line="600" w:lineRule="exact"/>
        <w:jc w:val="left"/>
        <w:rPr>
          <w:rFonts w:hint="eastAsia" w:eastAsia="仿宋_GB2312"/>
          <w:sz w:val="28"/>
          <w:szCs w:val="28"/>
          <w:lang w:val="en-US" w:eastAsia="zh-CN"/>
        </w:rPr>
      </w:pPr>
      <w:r>
        <w:rPr>
          <w:rFonts w:eastAsia="仿宋_GB2312"/>
          <w:sz w:val="28"/>
          <w:szCs w:val="28"/>
        </w:rPr>
        <w:t>十、政府性基金预算财政拨款收入支出决算表</w:t>
      </w:r>
      <w:r>
        <w:rPr>
          <w:rFonts w:eastAsia="仿宋_GB2312"/>
          <w:sz w:val="28"/>
          <w:szCs w:val="28"/>
        </w:rPr>
        <w:ptab w:relativeTo="margin" w:alignment="right" w:leader="dot"/>
      </w:r>
      <w:r>
        <w:rPr>
          <w:rFonts w:hint="eastAsia" w:eastAsia="仿宋_GB2312"/>
          <w:sz w:val="28"/>
          <w:szCs w:val="28"/>
        </w:rPr>
        <w:t>1</w:t>
      </w:r>
      <w:r>
        <w:rPr>
          <w:rFonts w:hint="eastAsia" w:eastAsia="仿宋_GB2312"/>
          <w:sz w:val="28"/>
          <w:szCs w:val="28"/>
          <w:lang w:val="en-US" w:eastAsia="zh-CN"/>
        </w:rPr>
        <w:t>6</w:t>
      </w:r>
    </w:p>
    <w:p w14:paraId="7543C6DB">
      <w:pPr>
        <w:pStyle w:val="12"/>
        <w:adjustRightInd w:val="0"/>
        <w:snapToGrid w:val="0"/>
        <w:spacing w:line="600" w:lineRule="exact"/>
        <w:jc w:val="left"/>
        <w:rPr>
          <w:rFonts w:hint="eastAsia" w:eastAsia="仿宋_GB2312"/>
          <w:sz w:val="28"/>
          <w:szCs w:val="28"/>
          <w:lang w:val="en-US" w:eastAsia="zh-CN"/>
        </w:rPr>
      </w:pPr>
      <w:r>
        <w:rPr>
          <w:rFonts w:eastAsia="仿宋_GB2312"/>
          <w:sz w:val="28"/>
          <w:szCs w:val="28"/>
        </w:rPr>
        <w:t>十一、国有资本经营预算财政拨款收入支出决算表</w:t>
      </w:r>
      <w:r>
        <w:rPr>
          <w:rFonts w:eastAsia="仿宋_GB2312"/>
          <w:sz w:val="28"/>
          <w:szCs w:val="28"/>
        </w:rPr>
        <w:ptab w:relativeTo="margin" w:alignment="right" w:leader="dot"/>
      </w:r>
      <w:r>
        <w:rPr>
          <w:rFonts w:hint="eastAsia" w:eastAsia="仿宋_GB2312"/>
          <w:sz w:val="28"/>
          <w:szCs w:val="28"/>
        </w:rPr>
        <w:t>1</w:t>
      </w:r>
      <w:r>
        <w:rPr>
          <w:rFonts w:hint="eastAsia" w:eastAsia="仿宋_GB2312"/>
          <w:sz w:val="28"/>
          <w:szCs w:val="28"/>
          <w:lang w:val="en-US" w:eastAsia="zh-CN"/>
        </w:rPr>
        <w:t>6</w:t>
      </w:r>
    </w:p>
    <w:p w14:paraId="52C0E267">
      <w:pPr>
        <w:pStyle w:val="12"/>
        <w:adjustRightInd w:val="0"/>
        <w:snapToGrid w:val="0"/>
        <w:spacing w:line="600" w:lineRule="exact"/>
        <w:jc w:val="left"/>
        <w:rPr>
          <w:rFonts w:hint="eastAsia" w:eastAsia="仿宋_GB2312"/>
          <w:sz w:val="28"/>
          <w:szCs w:val="28"/>
          <w:lang w:val="en-US" w:eastAsia="zh-CN"/>
        </w:rPr>
      </w:pPr>
      <w:r>
        <w:rPr>
          <w:rFonts w:eastAsia="仿宋_GB2312"/>
          <w:sz w:val="28"/>
          <w:szCs w:val="28"/>
        </w:rPr>
        <w:t>十二、国有资本经营预算财政拨款支出决算表</w:t>
      </w:r>
      <w:r>
        <w:rPr>
          <w:rFonts w:eastAsia="仿宋_GB2312"/>
          <w:sz w:val="28"/>
          <w:szCs w:val="28"/>
        </w:rPr>
        <w:ptab w:relativeTo="margin" w:alignment="right" w:leader="dot"/>
      </w:r>
      <w:r>
        <w:rPr>
          <w:rFonts w:hint="eastAsia" w:eastAsia="仿宋_GB2312"/>
          <w:sz w:val="28"/>
          <w:szCs w:val="28"/>
        </w:rPr>
        <w:t>1</w:t>
      </w:r>
      <w:r>
        <w:rPr>
          <w:rFonts w:hint="eastAsia" w:eastAsia="仿宋_GB2312"/>
          <w:sz w:val="28"/>
          <w:szCs w:val="28"/>
          <w:lang w:val="en-US" w:eastAsia="zh-CN"/>
        </w:rPr>
        <w:t>6</w:t>
      </w:r>
    </w:p>
    <w:p w14:paraId="7654CF7A">
      <w:pPr>
        <w:pStyle w:val="12"/>
        <w:adjustRightInd w:val="0"/>
        <w:snapToGrid w:val="0"/>
        <w:spacing w:line="600" w:lineRule="exact"/>
        <w:jc w:val="left"/>
        <w:rPr>
          <w:rFonts w:hint="eastAsia" w:eastAsia="仿宋_GB2312"/>
          <w:sz w:val="28"/>
          <w:szCs w:val="28"/>
          <w:lang w:val="en-US" w:eastAsia="zh-CN"/>
        </w:rPr>
      </w:pPr>
      <w:r>
        <w:rPr>
          <w:rFonts w:eastAsia="仿宋_GB2312"/>
          <w:sz w:val="28"/>
          <w:szCs w:val="28"/>
        </w:rPr>
        <w:t>十三、财政拨款“三公”经费支出决算表</w:t>
      </w:r>
      <w:r>
        <w:rPr>
          <w:rFonts w:eastAsia="仿宋_GB2312"/>
          <w:sz w:val="28"/>
          <w:szCs w:val="28"/>
        </w:rPr>
        <w:ptab w:relativeTo="margin" w:alignment="right" w:leader="dot"/>
      </w:r>
      <w:r>
        <w:rPr>
          <w:rFonts w:hint="eastAsia" w:eastAsia="仿宋_GB2312"/>
          <w:sz w:val="28"/>
          <w:szCs w:val="28"/>
        </w:rPr>
        <w:t>1</w:t>
      </w:r>
      <w:r>
        <w:rPr>
          <w:rFonts w:hint="eastAsia" w:eastAsia="仿宋_GB2312"/>
          <w:sz w:val="28"/>
          <w:szCs w:val="28"/>
          <w:lang w:val="en-US" w:eastAsia="zh-CN"/>
        </w:rPr>
        <w:t>6</w:t>
      </w:r>
    </w:p>
    <w:p w14:paraId="079ED3EE">
      <w:pPr>
        <w:widowControl/>
        <w:spacing w:line="440" w:lineRule="exact"/>
        <w:jc w:val="left"/>
        <w:rPr>
          <w:rFonts w:eastAsia="仿宋"/>
          <w:bCs/>
          <w:kern w:val="44"/>
          <w:sz w:val="24"/>
        </w:rPr>
      </w:pPr>
      <w:bookmarkStart w:id="12" w:name="_Toc15396599"/>
      <w:bookmarkStart w:id="13" w:name="_Toc15377196"/>
      <w:r>
        <w:rPr>
          <w:rFonts w:eastAsia="仿宋"/>
          <w:b/>
          <w:sz w:val="24"/>
        </w:rPr>
        <w:br w:type="page"/>
      </w:r>
    </w:p>
    <w:p w14:paraId="3AD840C3">
      <w:pPr>
        <w:pStyle w:val="12"/>
        <w:adjustRightInd w:val="0"/>
        <w:snapToGrid w:val="0"/>
        <w:spacing w:line="600" w:lineRule="exact"/>
        <w:jc w:val="center"/>
        <w:rPr>
          <w:rStyle w:val="28"/>
          <w:rFonts w:ascii="黑体" w:hAnsi="黑体" w:eastAsia="黑体"/>
          <w:b w:val="0"/>
        </w:rPr>
      </w:pPr>
      <w:r>
        <w:rPr>
          <w:rStyle w:val="28"/>
          <w:rFonts w:ascii="黑体" w:hAnsi="黑体" w:eastAsia="黑体"/>
          <w:b w:val="0"/>
        </w:rPr>
        <w:t>第一部分 单位概况</w:t>
      </w:r>
      <w:bookmarkEnd w:id="12"/>
      <w:bookmarkEnd w:id="13"/>
    </w:p>
    <w:p w14:paraId="659A546A">
      <w:pPr>
        <w:rPr>
          <w:rFonts w:eastAsia="黑体"/>
          <w:bCs/>
          <w:sz w:val="32"/>
          <w:szCs w:val="32"/>
        </w:rPr>
      </w:pPr>
    </w:p>
    <w:p w14:paraId="57DEE8B3">
      <w:pPr>
        <w:ind w:firstLine="640" w:firstLineChars="200"/>
        <w:rPr>
          <w:rFonts w:eastAsia="黑体"/>
          <w:bCs/>
          <w:sz w:val="32"/>
          <w:szCs w:val="32"/>
        </w:rPr>
      </w:pPr>
      <w:bookmarkStart w:id="14" w:name="_Toc15396600"/>
      <w:bookmarkStart w:id="15" w:name="_Toc15377197"/>
      <w:r>
        <w:rPr>
          <w:rFonts w:eastAsia="黑体"/>
          <w:bCs/>
          <w:sz w:val="32"/>
          <w:szCs w:val="32"/>
        </w:rPr>
        <w:t>一、主要职责</w:t>
      </w:r>
    </w:p>
    <w:p w14:paraId="2A808F59">
      <w:pPr>
        <w:ind w:firstLine="640" w:firstLineChars="200"/>
        <w:rPr>
          <w:rFonts w:eastAsia="仿宋_GB2312"/>
          <w:sz w:val="32"/>
          <w:szCs w:val="32"/>
        </w:rPr>
      </w:pPr>
      <w:r>
        <w:rPr>
          <w:rFonts w:eastAsia="仿宋_GB2312"/>
          <w:sz w:val="32"/>
          <w:szCs w:val="32"/>
        </w:rPr>
        <w:t>盐边县第一初级中学校是盐边县机构编制委员会批准成立的独立法人机构，是经费独立核算公益一类事业单位。属盐边县教育和体育局下设公立中学教育机构。从事初中学历教育教学。</w:t>
      </w:r>
    </w:p>
    <w:p w14:paraId="38C01840">
      <w:pPr>
        <w:widowControl/>
        <w:adjustRightInd w:val="0"/>
        <w:snapToGrid w:val="0"/>
        <w:spacing w:line="580" w:lineRule="exact"/>
        <w:ind w:firstLine="640" w:firstLineChars="200"/>
        <w:contextualSpacing/>
        <w:jc w:val="left"/>
        <w:rPr>
          <w:rFonts w:eastAsia="黑体"/>
          <w:bCs/>
          <w:sz w:val="32"/>
          <w:szCs w:val="32"/>
        </w:rPr>
      </w:pPr>
      <w:r>
        <w:rPr>
          <w:rFonts w:eastAsia="黑体"/>
          <w:bCs/>
          <w:sz w:val="32"/>
          <w:szCs w:val="32"/>
        </w:rPr>
        <w:t>二、机构设置</w:t>
      </w:r>
    </w:p>
    <w:p w14:paraId="7C5ABBF7">
      <w:pPr>
        <w:widowControl/>
        <w:adjustRightInd w:val="0"/>
        <w:snapToGrid w:val="0"/>
        <w:spacing w:line="580" w:lineRule="exact"/>
        <w:ind w:firstLine="640" w:firstLineChars="200"/>
        <w:contextualSpacing/>
        <w:jc w:val="left"/>
        <w:rPr>
          <w:rFonts w:eastAsia="楷体_GB2312"/>
          <w:sz w:val="32"/>
          <w:szCs w:val="32"/>
        </w:rPr>
      </w:pPr>
      <w:r>
        <w:rPr>
          <w:rFonts w:eastAsia="楷体_GB2312"/>
          <w:sz w:val="32"/>
          <w:szCs w:val="32"/>
        </w:rPr>
        <w:t>（一）机构组成。</w:t>
      </w:r>
    </w:p>
    <w:p w14:paraId="36B1613D">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sz w:val="32"/>
          <w:szCs w:val="32"/>
          <w:lang w:val="zh-CN"/>
        </w:rPr>
        <w:t>财政全额拨款事业单位</w:t>
      </w:r>
      <w:r>
        <w:rPr>
          <w:rFonts w:hint="eastAsia" w:ascii="仿宋_GB2312" w:hAnsi="仿宋_GB2312" w:eastAsia="仿宋_GB2312" w:cs="仿宋_GB2312"/>
          <w:sz w:val="32"/>
          <w:szCs w:val="32"/>
        </w:rPr>
        <w:t>1个</w:t>
      </w:r>
      <w:r>
        <w:rPr>
          <w:rFonts w:hint="eastAsia" w:ascii="仿宋_GB2312" w:hAnsi="仿宋_GB2312" w:eastAsia="仿宋_GB2312" w:cs="仿宋_GB2312"/>
          <w:sz w:val="32"/>
          <w:szCs w:val="32"/>
          <w:lang w:val="zh-CN"/>
        </w:rPr>
        <w:t>。</w:t>
      </w:r>
    </w:p>
    <w:p w14:paraId="2A6A654A">
      <w:pPr>
        <w:widowControl/>
        <w:adjustRightInd w:val="0"/>
        <w:snapToGrid w:val="0"/>
        <w:spacing w:line="580" w:lineRule="exact"/>
        <w:ind w:firstLine="640" w:firstLineChars="200"/>
        <w:contextualSpacing/>
        <w:jc w:val="left"/>
        <w:rPr>
          <w:rFonts w:eastAsia="楷体_GB2312"/>
          <w:sz w:val="32"/>
          <w:szCs w:val="32"/>
        </w:rPr>
      </w:pPr>
      <w:r>
        <w:rPr>
          <w:rFonts w:eastAsia="楷体_GB2312"/>
          <w:sz w:val="32"/>
          <w:szCs w:val="32"/>
        </w:rPr>
        <w:t>（二）机构职能。</w:t>
      </w:r>
    </w:p>
    <w:p w14:paraId="7E9E3C57">
      <w:pPr>
        <w:widowControl/>
        <w:adjustRightInd w:val="0"/>
        <w:snapToGrid w:val="0"/>
        <w:spacing w:line="580" w:lineRule="exact"/>
        <w:ind w:firstLine="640"/>
        <w:contextualSpacing/>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实施初中义务教育，促进基础教育发展，初中学历教育。</w:t>
      </w:r>
    </w:p>
    <w:p w14:paraId="32EF6927">
      <w:pPr>
        <w:rPr>
          <w:rFonts w:hint="eastAsia" w:ascii="仿宋_GB2312" w:hAnsi="仿宋_GB2312" w:eastAsia="仿宋_GB2312" w:cs="仿宋_GB2312"/>
          <w:bCs/>
          <w:sz w:val="32"/>
          <w:szCs w:val="32"/>
        </w:rPr>
      </w:pPr>
    </w:p>
    <w:bookmarkEnd w:id="14"/>
    <w:bookmarkEnd w:id="15"/>
    <w:p w14:paraId="2EBB4732">
      <w:pPr>
        <w:widowControl/>
        <w:jc w:val="left"/>
        <w:rPr>
          <w:rFonts w:eastAsia="仿宋"/>
          <w:kern w:val="0"/>
          <w:sz w:val="32"/>
          <w:szCs w:val="32"/>
        </w:rPr>
      </w:pPr>
      <w:r>
        <w:rPr>
          <w:rFonts w:eastAsia="仿宋"/>
          <w:sz w:val="32"/>
          <w:szCs w:val="32"/>
        </w:rPr>
        <w:br w:type="page"/>
      </w:r>
    </w:p>
    <w:p w14:paraId="0C02BD94">
      <w:pPr>
        <w:spacing w:line="560" w:lineRule="exact"/>
        <w:ind w:firstLine="880" w:firstLineChars="200"/>
        <w:rPr>
          <w:rStyle w:val="28"/>
          <w:rFonts w:eastAsia="黑体"/>
          <w:b w:val="0"/>
        </w:rPr>
      </w:pPr>
      <w:bookmarkStart w:id="16" w:name="_Toc15396602"/>
      <w:bookmarkStart w:id="17" w:name="_Toc15377204"/>
      <w:r>
        <w:rPr>
          <w:rStyle w:val="28"/>
          <w:rFonts w:eastAsia="黑体"/>
          <w:b w:val="0"/>
        </w:rPr>
        <w:t>第二部分 2023年度单位决算情况说明</w:t>
      </w:r>
      <w:bookmarkEnd w:id="16"/>
      <w:bookmarkEnd w:id="17"/>
    </w:p>
    <w:p w14:paraId="2B9FBE6D">
      <w:pPr>
        <w:ind w:firstLine="640" w:firstLineChars="200"/>
        <w:rPr>
          <w:rFonts w:eastAsia="黑体"/>
          <w:bCs/>
          <w:sz w:val="32"/>
          <w:szCs w:val="32"/>
        </w:rPr>
      </w:pPr>
    </w:p>
    <w:p w14:paraId="36B0C54A">
      <w:pPr>
        <w:ind w:firstLine="640" w:firstLineChars="200"/>
        <w:rPr>
          <w:rFonts w:eastAsia="黑体"/>
          <w:bCs/>
          <w:sz w:val="32"/>
          <w:szCs w:val="32"/>
        </w:rPr>
      </w:pPr>
      <w:bookmarkStart w:id="18" w:name="_Toc15377205"/>
      <w:bookmarkStart w:id="19" w:name="_Toc15396603"/>
      <w:r>
        <w:rPr>
          <w:rFonts w:eastAsia="黑体"/>
          <w:bCs/>
          <w:sz w:val="32"/>
          <w:szCs w:val="32"/>
        </w:rPr>
        <w:t>一、收入支出决算总体情况说明</w:t>
      </w:r>
      <w:bookmarkEnd w:id="18"/>
      <w:bookmarkEnd w:id="19"/>
    </w:p>
    <w:p w14:paraId="142EFB8F">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2023年度收、支总计均为211.44万元。与2022年度相比，收、支总计各增加211.44万元，增长100%。主要变动原因是新纳入预算单位，故无上年度数据。</w:t>
      </w:r>
    </w:p>
    <w:p w14:paraId="02A3A997">
      <w:pPr>
        <w:spacing w:beforeLines="30"/>
        <w:jc w:val="center"/>
        <w:rPr>
          <w:rFonts w:eastAsia="仿宋_GB2312"/>
          <w:kern w:val="0"/>
          <w:sz w:val="30"/>
        </w:rPr>
      </w:pPr>
      <w:r>
        <w:rPr>
          <w:rFonts w:eastAsia="仿宋_GB2312"/>
          <w:kern w:val="0"/>
          <w:sz w:val="30"/>
        </w:rPr>
        <w:drawing>
          <wp:inline distT="0" distB="0" distL="0" distR="0">
            <wp:extent cx="4922520" cy="2827020"/>
            <wp:effectExtent l="0" t="0" r="11430" b="1143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53ACB1E0">
      <w:pPr>
        <w:spacing w:beforeLines="30"/>
        <w:jc w:val="center"/>
        <w:rPr>
          <w:rFonts w:eastAsia="仿宋_GB2312"/>
          <w:sz w:val="32"/>
          <w:szCs w:val="32"/>
        </w:rPr>
      </w:pPr>
      <w:r>
        <w:rPr>
          <w:rFonts w:eastAsia="仿宋_GB2312"/>
          <w:sz w:val="32"/>
          <w:szCs w:val="32"/>
        </w:rPr>
        <w:t>图1：收、支决算总计变动情况图</w:t>
      </w:r>
    </w:p>
    <w:p w14:paraId="7A2AAB3A">
      <w:pPr>
        <w:ind w:firstLine="640" w:firstLineChars="200"/>
        <w:rPr>
          <w:rFonts w:eastAsia="黑体"/>
          <w:bCs/>
          <w:sz w:val="32"/>
          <w:szCs w:val="32"/>
        </w:rPr>
      </w:pPr>
      <w:bookmarkStart w:id="20" w:name="_Toc15396604"/>
      <w:bookmarkStart w:id="21" w:name="_Toc15377206"/>
      <w:r>
        <w:rPr>
          <w:rFonts w:eastAsia="黑体"/>
          <w:bCs/>
          <w:sz w:val="32"/>
          <w:szCs w:val="32"/>
        </w:rPr>
        <w:t>二、收入决算情况说明</w:t>
      </w:r>
      <w:bookmarkEnd w:id="20"/>
      <w:bookmarkEnd w:id="21"/>
    </w:p>
    <w:p w14:paraId="5AE2F116">
      <w:pPr>
        <w:spacing w:line="600" w:lineRule="exact"/>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本年收入合计211.44万元，其中：一般公共预算财政拨款收入211.44万元，占100%；政府性基金预算财政拨款收入0万元，占0%；国有资本经营预算财政拨款收入0万元，占0%；上级补助收入0万元，占0%；事业收入0万元，占0%；经营收入0万元，占0%；附属单位上缴收入0万元，占0%；其他收入0万元，占0%。</w:t>
      </w:r>
    </w:p>
    <w:p w14:paraId="0B184374">
      <w:pPr>
        <w:spacing w:line="600" w:lineRule="exact"/>
        <w:ind w:firstLine="640" w:firstLineChars="200"/>
        <w:outlineLvl w:val="1"/>
        <w:rPr>
          <w:rFonts w:eastAsia="仿宋_GB2312"/>
          <w:sz w:val="32"/>
          <w:szCs w:val="32"/>
        </w:rPr>
      </w:pPr>
      <w:bookmarkStart w:id="22" w:name="_Toc15377207"/>
      <w:bookmarkStart w:id="23" w:name="_Toc15396605"/>
    </w:p>
    <w:p w14:paraId="78950CD8">
      <w:pPr>
        <w:spacing w:beforeLines="30"/>
        <w:jc w:val="center"/>
        <w:rPr>
          <w:rFonts w:eastAsia="仿宋_GB2312"/>
          <w:kern w:val="0"/>
          <w:sz w:val="30"/>
        </w:rPr>
      </w:pPr>
      <w:r>
        <w:rPr>
          <w:rFonts w:eastAsia="仿宋_GB2312"/>
          <w:kern w:val="0"/>
          <w:sz w:val="30"/>
        </w:rPr>
        <w:drawing>
          <wp:inline distT="0" distB="0" distL="0" distR="0">
            <wp:extent cx="4869180" cy="2545080"/>
            <wp:effectExtent l="0" t="0" r="26670" b="2667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1515520D">
      <w:pPr>
        <w:spacing w:line="600" w:lineRule="exact"/>
        <w:jc w:val="center"/>
        <w:rPr>
          <w:rFonts w:eastAsia="仿宋_GB2312"/>
          <w:sz w:val="32"/>
          <w:szCs w:val="32"/>
        </w:rPr>
      </w:pPr>
      <w:r>
        <w:rPr>
          <w:rFonts w:eastAsia="仿宋_GB2312"/>
          <w:sz w:val="32"/>
          <w:szCs w:val="32"/>
        </w:rPr>
        <w:t>图2：收入决算结构图</w:t>
      </w:r>
    </w:p>
    <w:p w14:paraId="66EB5C49">
      <w:pPr>
        <w:ind w:firstLine="640" w:firstLineChars="200"/>
        <w:rPr>
          <w:rFonts w:eastAsia="黑体"/>
          <w:bCs/>
          <w:sz w:val="32"/>
          <w:szCs w:val="32"/>
        </w:rPr>
      </w:pPr>
      <w:r>
        <w:rPr>
          <w:rFonts w:eastAsia="黑体"/>
          <w:bCs/>
          <w:sz w:val="32"/>
          <w:szCs w:val="32"/>
        </w:rPr>
        <w:t>三、支出决算情况说明</w:t>
      </w:r>
      <w:bookmarkEnd w:id="22"/>
      <w:bookmarkEnd w:id="23"/>
    </w:p>
    <w:p w14:paraId="6219D86C">
      <w:pPr>
        <w:spacing w:line="600" w:lineRule="exact"/>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2023年度本年支出合计211.44万元，其中：基本支出196.24万元，占92.81%；项目支出15.2万元，占7.19%；上缴上级支出0万元，占0%；经营支出0万元，占0%；对附属单位补助支出0万元，占0%。</w:t>
      </w:r>
    </w:p>
    <w:p w14:paraId="580079A9">
      <w:pPr>
        <w:spacing w:beforeLines="30"/>
        <w:jc w:val="center"/>
        <w:rPr>
          <w:rFonts w:eastAsia="仿宋_GB2312"/>
          <w:kern w:val="0"/>
          <w:sz w:val="30"/>
        </w:rPr>
      </w:pPr>
      <w:r>
        <w:rPr>
          <w:rFonts w:eastAsia="仿宋_GB2312"/>
          <w:kern w:val="0"/>
          <w:sz w:val="30"/>
        </w:rPr>
        <w:drawing>
          <wp:inline distT="0" distB="0" distL="0" distR="0">
            <wp:extent cx="4648200" cy="2484120"/>
            <wp:effectExtent l="0" t="0" r="19050" b="1143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A3E6354">
      <w:pPr>
        <w:spacing w:line="600" w:lineRule="exact"/>
        <w:jc w:val="center"/>
        <w:rPr>
          <w:rFonts w:eastAsia="仿宋_GB2312"/>
          <w:sz w:val="32"/>
          <w:szCs w:val="32"/>
        </w:rPr>
      </w:pPr>
      <w:r>
        <w:rPr>
          <w:rFonts w:eastAsia="仿宋_GB2312"/>
          <w:sz w:val="32"/>
          <w:szCs w:val="32"/>
        </w:rPr>
        <w:t>图3：支出决算结构图</w:t>
      </w:r>
    </w:p>
    <w:p w14:paraId="4B1FCD7D">
      <w:pPr>
        <w:ind w:firstLine="640" w:firstLineChars="200"/>
        <w:rPr>
          <w:rFonts w:eastAsia="黑体"/>
          <w:bCs/>
          <w:sz w:val="32"/>
          <w:szCs w:val="32"/>
        </w:rPr>
      </w:pPr>
      <w:bookmarkStart w:id="24" w:name="_Toc15396606"/>
      <w:bookmarkStart w:id="25" w:name="_Toc15377208"/>
    </w:p>
    <w:p w14:paraId="1EC3C6E8">
      <w:pPr>
        <w:ind w:firstLine="640" w:firstLineChars="200"/>
        <w:rPr>
          <w:rFonts w:eastAsia="黑体"/>
          <w:bCs/>
          <w:sz w:val="32"/>
          <w:szCs w:val="32"/>
        </w:rPr>
      </w:pPr>
      <w:r>
        <w:rPr>
          <w:rFonts w:eastAsia="黑体"/>
          <w:bCs/>
          <w:sz w:val="32"/>
          <w:szCs w:val="32"/>
        </w:rPr>
        <w:t>四、财政拨款收入支出决算总体情况说明</w:t>
      </w:r>
      <w:bookmarkEnd w:id="24"/>
      <w:bookmarkEnd w:id="25"/>
    </w:p>
    <w:p w14:paraId="7DE70E07">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2023年度财政拨款收、支总计均为211.44万元。与2022年度相比，财政拨款收、支总计各增加211.44万元，增长100%。主要变动原因是新纳入预算单位，故无上年度数据。</w:t>
      </w:r>
    </w:p>
    <w:p w14:paraId="43A25702">
      <w:pPr>
        <w:pStyle w:val="5"/>
        <w:spacing w:before="93"/>
        <w:jc w:val="center"/>
        <w:rPr>
          <w:rFonts w:ascii="Times New Roman"/>
        </w:rPr>
      </w:pPr>
      <w:r>
        <w:rPr>
          <w:rFonts w:ascii="Times New Roman"/>
        </w:rPr>
        <w:drawing>
          <wp:inline distT="0" distB="0" distL="0" distR="0">
            <wp:extent cx="4716780" cy="2007870"/>
            <wp:effectExtent l="4445" t="4445" r="22225" b="698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1C2AE19">
      <w:pPr>
        <w:spacing w:line="600" w:lineRule="exact"/>
        <w:ind w:firstLine="640" w:firstLineChars="200"/>
        <w:jc w:val="center"/>
        <w:rPr>
          <w:rFonts w:eastAsia="仿宋_GB2312"/>
          <w:sz w:val="32"/>
          <w:szCs w:val="32"/>
        </w:rPr>
      </w:pPr>
      <w:r>
        <w:rPr>
          <w:rFonts w:eastAsia="仿宋_GB2312"/>
          <w:sz w:val="32"/>
          <w:szCs w:val="32"/>
        </w:rPr>
        <w:t>图4：财政拨款收、支决算总计变动情况</w:t>
      </w:r>
    </w:p>
    <w:p w14:paraId="217C19AB">
      <w:pPr>
        <w:ind w:firstLine="640" w:firstLineChars="200"/>
        <w:rPr>
          <w:rFonts w:eastAsia="黑体"/>
          <w:bCs/>
          <w:sz w:val="32"/>
          <w:szCs w:val="32"/>
        </w:rPr>
      </w:pPr>
      <w:bookmarkStart w:id="26" w:name="_Toc15377209"/>
      <w:bookmarkStart w:id="27" w:name="_Toc15396607"/>
      <w:r>
        <w:rPr>
          <w:rFonts w:eastAsia="黑体"/>
          <w:bCs/>
          <w:sz w:val="32"/>
          <w:szCs w:val="32"/>
        </w:rPr>
        <w:t>五、一般公共预算财政拨款支出决算情况说明</w:t>
      </w:r>
      <w:bookmarkEnd w:id="26"/>
      <w:bookmarkEnd w:id="27"/>
    </w:p>
    <w:p w14:paraId="59840103">
      <w:pPr>
        <w:spacing w:line="600" w:lineRule="exact"/>
        <w:ind w:firstLine="640"/>
        <w:outlineLvl w:val="2"/>
        <w:rPr>
          <w:rFonts w:hint="eastAsia" w:ascii="楷体_GB2312" w:hAnsi="楷体_GB2312" w:eastAsia="楷体_GB2312" w:cs="楷体_GB2312"/>
          <w:sz w:val="32"/>
          <w:szCs w:val="32"/>
        </w:rPr>
      </w:pPr>
      <w:bookmarkStart w:id="28" w:name="_Toc15377210"/>
      <w:r>
        <w:rPr>
          <w:rFonts w:hint="eastAsia" w:ascii="楷体_GB2312" w:hAnsi="楷体_GB2312" w:eastAsia="楷体_GB2312" w:cs="楷体_GB2312"/>
          <w:sz w:val="32"/>
          <w:szCs w:val="32"/>
        </w:rPr>
        <w:t>（一）一般公共预算财政拨款支出决算总体情况</w:t>
      </w:r>
      <w:bookmarkEnd w:id="28"/>
      <w:r>
        <w:rPr>
          <w:rFonts w:hint="eastAsia" w:ascii="楷体_GB2312" w:hAnsi="楷体_GB2312" w:eastAsia="楷体_GB2312" w:cs="楷体_GB2312"/>
          <w:sz w:val="32"/>
          <w:szCs w:val="32"/>
        </w:rPr>
        <w:t>。</w:t>
      </w:r>
    </w:p>
    <w:p w14:paraId="4077E260">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2023年度一般公共预算财政拨款支出211.44万元，占本年支出合计的100%。与2022年度相比，一般公共预算财政拨款支出增加211.44万元，增长100%。主要变动原因是新纳入预算单位，故无上年度数据。</w:t>
      </w:r>
      <w:bookmarkStart w:id="29" w:name="_Toc15377211"/>
    </w:p>
    <w:p w14:paraId="4C661D2D">
      <w:pPr>
        <w:spacing w:beforeLines="30"/>
        <w:jc w:val="center"/>
        <w:rPr>
          <w:rFonts w:eastAsia="仿宋_GB2312"/>
          <w:kern w:val="0"/>
          <w:sz w:val="30"/>
        </w:rPr>
      </w:pPr>
      <w:r>
        <w:rPr>
          <w:rFonts w:eastAsia="仿宋_GB2312"/>
          <w:kern w:val="0"/>
          <w:sz w:val="30"/>
        </w:rPr>
        <w:drawing>
          <wp:inline distT="0" distB="0" distL="0" distR="0">
            <wp:extent cx="4991100" cy="1693545"/>
            <wp:effectExtent l="4445" t="4445" r="14605" b="1651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C0684C7">
      <w:pPr>
        <w:spacing w:beforeLines="30"/>
        <w:jc w:val="center"/>
        <w:rPr>
          <w:rFonts w:eastAsia="仿宋_GB2312"/>
          <w:sz w:val="32"/>
          <w:szCs w:val="32"/>
        </w:rPr>
      </w:pPr>
      <w:r>
        <w:rPr>
          <w:rFonts w:eastAsia="仿宋_GB2312"/>
          <w:sz w:val="32"/>
          <w:szCs w:val="32"/>
        </w:rPr>
        <w:t>图5：一般公共预算财政拨款支出决算变动情况</w:t>
      </w:r>
    </w:p>
    <w:p w14:paraId="7E57FBAE">
      <w:pPr>
        <w:spacing w:line="600" w:lineRule="exact"/>
        <w:ind w:firstLine="640"/>
        <w:outlineLvl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（二）一般公共预算财政拨款支出决算结构情况</w:t>
      </w:r>
      <w:bookmarkEnd w:id="29"/>
      <w:r>
        <w:rPr>
          <w:rFonts w:hint="eastAsia" w:ascii="楷体_GB2312" w:hAnsi="楷体_GB2312" w:eastAsia="楷体_GB2312" w:cs="楷体_GB2312"/>
          <w:sz w:val="32"/>
          <w:szCs w:val="32"/>
        </w:rPr>
        <w:t>。</w:t>
      </w:r>
    </w:p>
    <w:p w14:paraId="4DCFCAC7">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2023年度一般公共预算财政拨款支出211.44万元，主要用于以下方面:教育支出203.28万元，占96.14%；社会保障和就业支出3.18万元，占1.5%；卫生健康支出2.56万元，占1.21%；住房保障支出2.42万元，占1.15%。</w:t>
      </w:r>
    </w:p>
    <w:p w14:paraId="1CEB065C">
      <w:pPr>
        <w:spacing w:beforeLines="30"/>
        <w:jc w:val="center"/>
        <w:rPr>
          <w:rFonts w:eastAsia="仿宋_GB2312"/>
          <w:kern w:val="0"/>
          <w:sz w:val="30"/>
        </w:rPr>
      </w:pPr>
      <w:r>
        <w:rPr>
          <w:rFonts w:eastAsia="仿宋_GB2312"/>
          <w:kern w:val="0"/>
          <w:sz w:val="30"/>
        </w:rPr>
        <w:drawing>
          <wp:inline distT="0" distB="0" distL="0" distR="0">
            <wp:extent cx="4869180" cy="2232660"/>
            <wp:effectExtent l="0" t="0" r="26670" b="1524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3F83C16">
      <w:pPr>
        <w:spacing w:line="600" w:lineRule="exact"/>
        <w:ind w:firstLine="640"/>
        <w:jc w:val="center"/>
        <w:rPr>
          <w:rFonts w:eastAsia="仿宋_GB2312"/>
          <w:sz w:val="32"/>
          <w:szCs w:val="32"/>
        </w:rPr>
      </w:pPr>
      <w:r>
        <w:rPr>
          <w:rFonts w:eastAsia="仿宋_GB2312"/>
          <w:sz w:val="32"/>
          <w:szCs w:val="32"/>
        </w:rPr>
        <w:t>图6：一般公共预算财政拨款支出决算结构</w:t>
      </w:r>
    </w:p>
    <w:p w14:paraId="72429B96">
      <w:pPr>
        <w:spacing w:line="600" w:lineRule="exact"/>
        <w:ind w:firstLine="640"/>
        <w:outlineLvl w:val="2"/>
        <w:rPr>
          <w:rFonts w:hint="eastAsia" w:ascii="楷体_GB2312" w:hAnsi="楷体_GB2312" w:eastAsia="楷体_GB2312" w:cs="楷体_GB2312"/>
          <w:sz w:val="32"/>
          <w:szCs w:val="32"/>
        </w:rPr>
      </w:pPr>
      <w:bookmarkStart w:id="30" w:name="_Toc15377212"/>
      <w:r>
        <w:rPr>
          <w:rFonts w:hint="eastAsia" w:ascii="楷体_GB2312" w:hAnsi="楷体_GB2312" w:eastAsia="楷体_GB2312" w:cs="楷体_GB2312"/>
          <w:sz w:val="32"/>
          <w:szCs w:val="32"/>
        </w:rPr>
        <w:t>（三）一般公共预算财政拨款支出决算具体情况</w:t>
      </w:r>
      <w:bookmarkEnd w:id="30"/>
      <w:r>
        <w:rPr>
          <w:rFonts w:hint="eastAsia" w:ascii="楷体_GB2312" w:hAnsi="楷体_GB2312" w:eastAsia="楷体_GB2312" w:cs="楷体_GB2312"/>
          <w:sz w:val="32"/>
          <w:szCs w:val="32"/>
        </w:rPr>
        <w:t>。</w:t>
      </w:r>
    </w:p>
    <w:p w14:paraId="158B9092">
      <w:pPr>
        <w:spacing w:line="600" w:lineRule="exact"/>
        <w:ind w:firstLine="640" w:firstLineChars="200"/>
        <w:outlineLvl w:val="2"/>
        <w:rPr>
          <w:rFonts w:hint="eastAsia" w:ascii="仿宋_GB2312" w:hAnsi="仿宋_GB2312" w:eastAsia="仿宋_GB2312" w:cs="仿宋_GB2312"/>
          <w:sz w:val="32"/>
          <w:szCs w:val="32"/>
        </w:rPr>
      </w:pPr>
      <w:bookmarkStart w:id="31" w:name="_Toc15377213"/>
      <w:bookmarkStart w:id="32" w:name="_Toc15377444"/>
      <w:bookmarkStart w:id="33" w:name="_Toc15378460"/>
      <w:r>
        <w:rPr>
          <w:rFonts w:hint="eastAsia" w:ascii="仿宋_GB2312" w:hAnsi="仿宋_GB2312" w:eastAsia="仿宋_GB2312" w:cs="仿宋_GB2312"/>
          <w:sz w:val="32"/>
          <w:szCs w:val="32"/>
        </w:rPr>
        <w:t>2023年度一般公共预算支出决算数为211.44</w:t>
      </w:r>
      <w:r>
        <w:rPr>
          <w:rFonts w:hint="eastAsia" w:ascii="仿宋_GB2312" w:hAnsi="仿宋_GB2312" w:eastAsia="仿宋_GB2312" w:cs="仿宋_GB2312"/>
          <w:sz w:val="32"/>
          <w:szCs w:val="32"/>
          <w:lang w:val="en-US" w:eastAsia="zh-CN"/>
        </w:rPr>
        <w:t>万元</w:t>
      </w:r>
      <w:r>
        <w:rPr>
          <w:rFonts w:hint="eastAsia" w:ascii="仿宋_GB2312" w:hAnsi="仿宋_GB2312" w:eastAsia="仿宋_GB2312" w:cs="仿宋_GB2312"/>
          <w:sz w:val="32"/>
          <w:szCs w:val="32"/>
        </w:rPr>
        <w:t>，完成预算100%。其中：</w:t>
      </w:r>
      <w:bookmarkEnd w:id="31"/>
      <w:bookmarkEnd w:id="32"/>
      <w:bookmarkEnd w:id="33"/>
    </w:p>
    <w:p w14:paraId="5979E4DE">
      <w:pPr>
        <w:spacing w:line="600" w:lineRule="exact"/>
        <w:ind w:firstLine="643" w:firstLineChars="200"/>
        <w:rPr>
          <w:rFonts w:hint="eastAsia" w:ascii="仿宋_GB2312" w:hAnsi="仿宋_GB2312" w:eastAsia="仿宋_GB2312" w:cs="仿宋_GB2312"/>
          <w:sz w:val="32"/>
          <w:szCs w:val="32"/>
        </w:rPr>
      </w:pPr>
      <w:r>
        <w:rPr>
          <w:rFonts w:eastAsia="仿宋_GB2312"/>
          <w:b/>
          <w:sz w:val="32"/>
          <w:szCs w:val="32"/>
        </w:rPr>
        <w:t>1.教育支出（205类）普通教育（02款）初中教育（03项）</w:t>
      </w:r>
      <w:r>
        <w:rPr>
          <w:rFonts w:eastAsia="仿宋_GB2312"/>
          <w:sz w:val="32"/>
          <w:szCs w:val="32"/>
        </w:rPr>
        <w:t>: 支</w:t>
      </w:r>
      <w:r>
        <w:rPr>
          <w:rFonts w:hint="eastAsia" w:ascii="仿宋_GB2312" w:hAnsi="仿宋_GB2312" w:eastAsia="仿宋_GB2312" w:cs="仿宋_GB2312"/>
          <w:sz w:val="32"/>
          <w:szCs w:val="32"/>
        </w:rPr>
        <w:t>出决算为203.28万元，完成预算100%。</w:t>
      </w:r>
    </w:p>
    <w:p w14:paraId="0EB66C8B">
      <w:pPr>
        <w:spacing w:line="600" w:lineRule="exact"/>
        <w:ind w:firstLine="643" w:firstLineChars="200"/>
        <w:rPr>
          <w:rFonts w:hint="eastAsia" w:ascii="仿宋_GB2312" w:hAnsi="仿宋_GB2312" w:eastAsia="仿宋_GB2312" w:cs="仿宋_GB2312"/>
          <w:sz w:val="32"/>
          <w:szCs w:val="32"/>
        </w:rPr>
      </w:pPr>
      <w:r>
        <w:rPr>
          <w:rFonts w:eastAsia="仿宋_GB2312"/>
          <w:b/>
          <w:sz w:val="32"/>
          <w:szCs w:val="32"/>
        </w:rPr>
        <w:t>2.社会保障和就业支出（208类）行政事业单位养老支出（05款）机关事业单位基本养老保险缴费支出（05项）:</w:t>
      </w:r>
      <w:r>
        <w:rPr>
          <w:rFonts w:eastAsia="仿宋_GB2312"/>
          <w:sz w:val="32"/>
          <w:szCs w:val="32"/>
        </w:rPr>
        <w:t>支</w:t>
      </w:r>
      <w:r>
        <w:rPr>
          <w:rFonts w:hint="eastAsia" w:ascii="仿宋_GB2312" w:hAnsi="仿宋_GB2312" w:eastAsia="仿宋_GB2312" w:cs="仿宋_GB2312"/>
          <w:sz w:val="32"/>
          <w:szCs w:val="32"/>
        </w:rPr>
        <w:t>出决算为3.18万元，完成预算100%。</w:t>
      </w:r>
    </w:p>
    <w:p w14:paraId="701D15BF">
      <w:pPr>
        <w:spacing w:line="600" w:lineRule="exact"/>
        <w:ind w:firstLine="643" w:firstLineChars="200"/>
        <w:rPr>
          <w:rFonts w:eastAsia="仿宋_GB2312"/>
          <w:sz w:val="32"/>
          <w:szCs w:val="32"/>
        </w:rPr>
      </w:pPr>
      <w:r>
        <w:rPr>
          <w:rFonts w:eastAsia="仿宋_GB2312"/>
          <w:b/>
          <w:sz w:val="32"/>
          <w:szCs w:val="32"/>
        </w:rPr>
        <w:t>3.卫生健康支出（210类）</w:t>
      </w:r>
      <w:r>
        <w:rPr>
          <w:rFonts w:eastAsia="仿宋_GB2312"/>
          <w:sz w:val="32"/>
          <w:szCs w:val="32"/>
        </w:rPr>
        <w:t>:支出决算为2.56万元，完成预算100%</w:t>
      </w:r>
      <w:r>
        <w:rPr>
          <w:rFonts w:eastAsia="仿宋_GB2312"/>
        </w:rPr>
        <w:t>。</w:t>
      </w:r>
    </w:p>
    <w:p w14:paraId="2582FCA7">
      <w:pPr>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①卫生健康支出（210类）行政事业单位医疗（11款）事业单位医疗（02项）:支出决算为1.85万元，完成预算100%。</w:t>
      </w:r>
    </w:p>
    <w:p w14:paraId="17C3E54D">
      <w:pPr>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②卫生健康支出（210类）行政事业单位医疗（11款）其他行政事业单位医疗支出（99项）:支出决算为0.71万元，完成预算100%。</w:t>
      </w:r>
    </w:p>
    <w:p w14:paraId="28136874">
      <w:pPr>
        <w:pageBreakBefore w:val="0"/>
        <w:widowControl w:val="0"/>
        <w:kinsoku/>
        <w:wordWrap/>
        <w:overflowPunct/>
        <w:topLinePunct w:val="0"/>
        <w:bidi w:val="0"/>
        <w:snapToGrid/>
        <w:spacing w:line="560" w:lineRule="exact"/>
        <w:ind w:firstLine="643" w:firstLineChars="200"/>
        <w:textAlignment w:val="auto"/>
        <w:rPr>
          <w:rFonts w:eastAsia="仿宋_GB2312"/>
          <w:sz w:val="32"/>
          <w:szCs w:val="32"/>
        </w:rPr>
      </w:pPr>
      <w:bookmarkStart w:id="34" w:name="_Toc15377214"/>
      <w:bookmarkStart w:id="35" w:name="_Toc15396608"/>
      <w:r>
        <w:rPr>
          <w:rFonts w:eastAsia="仿宋_GB2312"/>
          <w:b/>
          <w:sz w:val="32"/>
          <w:szCs w:val="32"/>
        </w:rPr>
        <w:t>4.住房保障支出（221类）住房改革支出（02款）住房公积金（01项）：</w:t>
      </w:r>
      <w:r>
        <w:rPr>
          <w:rFonts w:eastAsia="仿宋_GB2312"/>
          <w:sz w:val="32"/>
          <w:szCs w:val="32"/>
        </w:rPr>
        <w:t>支出决算为2.42万元，完成预算100%</w:t>
      </w:r>
      <w:r>
        <w:rPr>
          <w:rFonts w:eastAsia="仿宋_GB2312"/>
        </w:rPr>
        <w:t>。</w:t>
      </w:r>
    </w:p>
    <w:p w14:paraId="5DA1CA8B">
      <w:pPr>
        <w:pageBreakBefore w:val="0"/>
        <w:widowControl w:val="0"/>
        <w:kinsoku/>
        <w:wordWrap/>
        <w:overflowPunct/>
        <w:topLinePunct w:val="0"/>
        <w:bidi w:val="0"/>
        <w:snapToGrid/>
        <w:spacing w:line="560" w:lineRule="exact"/>
        <w:ind w:firstLine="640" w:firstLineChars="200"/>
        <w:textAlignment w:val="auto"/>
        <w:rPr>
          <w:rFonts w:eastAsia="黑体"/>
          <w:b/>
          <w:sz w:val="32"/>
          <w:szCs w:val="32"/>
        </w:rPr>
      </w:pPr>
      <w:r>
        <w:rPr>
          <w:rFonts w:eastAsia="黑体"/>
          <w:bCs/>
          <w:sz w:val="32"/>
          <w:szCs w:val="32"/>
        </w:rPr>
        <w:t>六、一般公共预算财政拨款基本支出决算情况说明</w:t>
      </w:r>
      <w:bookmarkEnd w:id="34"/>
      <w:bookmarkEnd w:id="35"/>
      <w:r>
        <w:rPr>
          <w:sz w:val="32"/>
          <w:szCs w:val="32"/>
        </w:rPr>
        <w:tab/>
      </w:r>
    </w:p>
    <w:p w14:paraId="0804BB86">
      <w:pPr>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2023年度一般公共预算财政拨款基本支出196.24万元，其中：</w:t>
      </w:r>
    </w:p>
    <w:p w14:paraId="2A7112A1">
      <w:pPr>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人员经费30.82万元，主要包括：基本工资、津贴补贴、绩效工资、机关事业单位基本养老保险缴费、职工基本医疗保险缴费、其他社会保障缴费、住房公积金、医疗费、其他工资福利支出等。</w:t>
      </w:r>
    </w:p>
    <w:p w14:paraId="6C986A4E">
      <w:pPr>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用经费165.42万元，主要包括：办公费、印刷费、咨询费、水费、电费、物业管理费、差旅费、维修（护）费、租赁费、培训费、专用材料费、劳务费、委托业务费、工会经费、其他交通费、其他商品和服务支出等。</w:t>
      </w:r>
    </w:p>
    <w:p w14:paraId="69E347E7">
      <w:pPr>
        <w:pageBreakBefore w:val="0"/>
        <w:widowControl w:val="0"/>
        <w:kinsoku/>
        <w:wordWrap/>
        <w:overflowPunct/>
        <w:topLinePunct w:val="0"/>
        <w:bidi w:val="0"/>
        <w:snapToGrid/>
        <w:spacing w:line="560" w:lineRule="exact"/>
        <w:ind w:firstLine="640" w:firstLineChars="200"/>
        <w:textAlignment w:val="auto"/>
        <w:rPr>
          <w:rFonts w:eastAsia="黑体"/>
          <w:bCs/>
          <w:sz w:val="32"/>
          <w:szCs w:val="32"/>
        </w:rPr>
      </w:pPr>
      <w:bookmarkStart w:id="36" w:name="_Toc15377215"/>
      <w:bookmarkStart w:id="37" w:name="_Toc15396609"/>
      <w:r>
        <w:rPr>
          <w:rFonts w:eastAsia="黑体"/>
          <w:bCs/>
          <w:sz w:val="32"/>
          <w:szCs w:val="32"/>
        </w:rPr>
        <w:t>七、财政拨款“三公”经费支出决算情况说明</w:t>
      </w:r>
      <w:bookmarkEnd w:id="36"/>
      <w:bookmarkEnd w:id="37"/>
    </w:p>
    <w:p w14:paraId="3E1D7819">
      <w:pPr>
        <w:pageBreakBefore w:val="0"/>
        <w:widowControl w:val="0"/>
        <w:kinsoku/>
        <w:wordWrap/>
        <w:overflowPunct/>
        <w:topLinePunct w:val="0"/>
        <w:bidi w:val="0"/>
        <w:snapToGrid/>
        <w:spacing w:line="560" w:lineRule="exact"/>
        <w:ind w:firstLine="640"/>
        <w:textAlignment w:val="auto"/>
        <w:outlineLvl w:val="2"/>
        <w:rPr>
          <w:rFonts w:hint="default" w:ascii="Times New Roman" w:hAnsi="Times New Roman" w:eastAsia="楷体_GB2312" w:cs="Times New Roman"/>
          <w:b w:val="0"/>
          <w:bCs/>
          <w:sz w:val="32"/>
          <w:szCs w:val="32"/>
          <w:lang w:eastAsia="zh-CN"/>
        </w:rPr>
      </w:pPr>
      <w:bookmarkStart w:id="38" w:name="_Toc15377216"/>
      <w:bookmarkStart w:id="39" w:name="_Toc15377218"/>
      <w:bookmarkStart w:id="40" w:name="_Toc15396610"/>
      <w:r>
        <w:rPr>
          <w:rFonts w:hint="default" w:ascii="Times New Roman" w:hAnsi="Times New Roman" w:eastAsia="楷体_GB2312" w:cs="Times New Roman"/>
          <w:b w:val="0"/>
          <w:bCs/>
          <w:sz w:val="32"/>
          <w:szCs w:val="32"/>
        </w:rPr>
        <w:t>（一）“三公”经费财政拨款支出决算总体情况说明</w:t>
      </w:r>
      <w:bookmarkEnd w:id="38"/>
      <w:r>
        <w:rPr>
          <w:rFonts w:hint="default" w:ascii="Times New Roman" w:hAnsi="Times New Roman" w:eastAsia="楷体_GB2312" w:cs="Times New Roman"/>
          <w:b w:val="0"/>
          <w:bCs/>
          <w:sz w:val="32"/>
          <w:szCs w:val="32"/>
          <w:lang w:eastAsia="zh-CN"/>
        </w:rPr>
        <w:t>。</w:t>
      </w:r>
    </w:p>
    <w:p w14:paraId="4E814EDE">
      <w:pPr>
        <w:pageBreakBefore w:val="0"/>
        <w:widowControl w:val="0"/>
        <w:kinsoku/>
        <w:wordWrap/>
        <w:overflowPunct/>
        <w:topLinePunct w:val="0"/>
        <w:bidi w:val="0"/>
        <w:snapToGrid/>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_GB2312" w:cs="Times New Roman"/>
          <w:sz w:val="32"/>
          <w:szCs w:val="32"/>
        </w:rPr>
        <w:t>2023年度“三公”经费财政拨款支出决算为0万元，完成预算0%，与2022年决算数持平。</w:t>
      </w:r>
    </w:p>
    <w:p w14:paraId="6A7586C1">
      <w:pPr>
        <w:pageBreakBefore w:val="0"/>
        <w:widowControl w:val="0"/>
        <w:kinsoku/>
        <w:wordWrap/>
        <w:overflowPunct/>
        <w:topLinePunct w:val="0"/>
        <w:bidi w:val="0"/>
        <w:snapToGrid/>
        <w:spacing w:line="560" w:lineRule="exact"/>
        <w:ind w:firstLine="640"/>
        <w:textAlignment w:val="auto"/>
        <w:outlineLvl w:val="2"/>
        <w:rPr>
          <w:rFonts w:hint="default" w:ascii="Times New Roman" w:hAnsi="Times New Roman" w:eastAsia="楷体_GB2312" w:cs="Times New Roman"/>
          <w:b w:val="0"/>
          <w:bCs/>
          <w:sz w:val="32"/>
          <w:szCs w:val="32"/>
          <w:lang w:eastAsia="zh-CN"/>
        </w:rPr>
      </w:pPr>
      <w:bookmarkStart w:id="41" w:name="_Toc15377217"/>
      <w:r>
        <w:rPr>
          <w:rFonts w:hint="default" w:ascii="Times New Roman" w:hAnsi="Times New Roman" w:eastAsia="楷体_GB2312" w:cs="Times New Roman"/>
          <w:b w:val="0"/>
          <w:bCs/>
          <w:sz w:val="32"/>
          <w:szCs w:val="32"/>
        </w:rPr>
        <w:t>（二）“三公”经费财政拨款支出决算具体情况说明</w:t>
      </w:r>
      <w:bookmarkEnd w:id="41"/>
      <w:r>
        <w:rPr>
          <w:rFonts w:hint="default" w:ascii="Times New Roman" w:hAnsi="Times New Roman" w:eastAsia="楷体_GB2312" w:cs="Times New Roman"/>
          <w:b w:val="0"/>
          <w:bCs/>
          <w:sz w:val="32"/>
          <w:szCs w:val="32"/>
          <w:lang w:eastAsia="zh-CN"/>
        </w:rPr>
        <w:t>。</w:t>
      </w:r>
    </w:p>
    <w:p w14:paraId="7BEAFA11">
      <w:pPr>
        <w:pageBreakBefore w:val="0"/>
        <w:widowControl w:val="0"/>
        <w:kinsoku/>
        <w:wordWrap/>
        <w:overflowPunct/>
        <w:topLinePunct w:val="0"/>
        <w:bidi w:val="0"/>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2023年度“三公”经费财政拨款支出决算中，因公出国（境）费支出决算0万元，占0%；公务用车购置及运行维护费支出决算0万元，占0%；公务接待费支出决算0万元，占0%。具体情况如下：</w:t>
      </w:r>
    </w:p>
    <w:p w14:paraId="3250B9B8">
      <w:pPr>
        <w:pageBreakBefore w:val="0"/>
        <w:widowControl w:val="0"/>
        <w:kinsoku/>
        <w:wordWrap/>
        <w:overflowPunct/>
        <w:topLinePunct w:val="0"/>
        <w:bidi w:val="0"/>
        <w:snapToGrid/>
        <w:spacing w:line="560" w:lineRule="exact"/>
        <w:ind w:firstLine="64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val="0"/>
          <w:sz w:val="32"/>
          <w:szCs w:val="32"/>
        </w:rPr>
        <w:t>1.因公出国（境）经费支出</w:t>
      </w:r>
      <w:r>
        <w:rPr>
          <w:rFonts w:hint="default" w:ascii="Times New Roman" w:hAnsi="Times New Roman" w:eastAsia="仿宋" w:cs="Times New Roman"/>
          <w:b w:val="0"/>
          <w:bCs/>
          <w:sz w:val="32"/>
          <w:szCs w:val="32"/>
        </w:rPr>
        <w:t>0</w:t>
      </w:r>
      <w:r>
        <w:rPr>
          <w:rFonts w:hint="default" w:ascii="Times New Roman" w:hAnsi="Times New Roman" w:eastAsia="仿宋_GB2312" w:cs="Times New Roman"/>
          <w:b w:val="0"/>
          <w:bCs/>
          <w:sz w:val="32"/>
          <w:szCs w:val="32"/>
        </w:rPr>
        <w:t>万元</w:t>
      </w:r>
      <w:r>
        <w:rPr>
          <w:rFonts w:hint="default" w:ascii="Times New Roman" w:hAnsi="Times New Roman" w:eastAsia="仿宋_GB2312" w:cs="Times New Roman"/>
          <w:sz w:val="32"/>
          <w:szCs w:val="32"/>
        </w:rPr>
        <w:t>，</w:t>
      </w:r>
      <w:r>
        <w:rPr>
          <w:rStyle w:val="17"/>
          <w:rFonts w:hint="default" w:ascii="Times New Roman" w:hAnsi="Times New Roman" w:eastAsia="仿宋" w:cs="Times New Roman"/>
          <w:b w:val="0"/>
          <w:bCs/>
          <w:sz w:val="32"/>
          <w:szCs w:val="32"/>
        </w:rPr>
        <w:t>完成预算</w:t>
      </w:r>
      <w:r>
        <w:rPr>
          <w:rStyle w:val="17"/>
          <w:rFonts w:hint="default" w:ascii="Times New Roman" w:hAnsi="Times New Roman" w:eastAsia="仿宋" w:cs="Times New Roman"/>
          <w:b w:val="0"/>
          <w:bCs w:val="0"/>
          <w:sz w:val="32"/>
          <w:szCs w:val="32"/>
        </w:rPr>
        <w:t>0%。</w:t>
      </w:r>
      <w:r>
        <w:rPr>
          <w:rFonts w:hint="default" w:ascii="Times New Roman" w:hAnsi="Times New Roman" w:eastAsia="仿宋_GB2312" w:cs="Times New Roman"/>
          <w:b w:val="0"/>
          <w:bCs w:val="0"/>
          <w:sz w:val="32"/>
          <w:szCs w:val="32"/>
        </w:rPr>
        <w:t>全年安排因公出国（境）团组0次，出国（境）0人。因公出国（境）支出决算</w:t>
      </w:r>
      <w:r>
        <w:rPr>
          <w:rFonts w:hint="default" w:ascii="Times New Roman" w:hAnsi="Times New Roman" w:eastAsia="仿宋_GB2312" w:cs="Times New Roman"/>
          <w:b w:val="0"/>
          <w:bCs w:val="0"/>
          <w:sz w:val="32"/>
          <w:szCs w:val="32"/>
          <w:lang w:val="en-US" w:eastAsia="zh-CN"/>
        </w:rPr>
        <w:t>与</w:t>
      </w:r>
      <w:r>
        <w:rPr>
          <w:rFonts w:hint="default" w:ascii="Times New Roman" w:hAnsi="Times New Roman" w:eastAsia="仿宋_GB2312" w:cs="Times New Roman"/>
          <w:b w:val="0"/>
          <w:bCs w:val="0"/>
          <w:sz w:val="32"/>
          <w:szCs w:val="32"/>
        </w:rPr>
        <w:t>2022年</w:t>
      </w:r>
      <w:r>
        <w:rPr>
          <w:rFonts w:hint="default" w:ascii="Times New Roman" w:hAnsi="Times New Roman" w:eastAsia="仿宋_GB2312" w:cs="Times New Roman"/>
          <w:b w:val="0"/>
          <w:bCs w:val="0"/>
          <w:sz w:val="32"/>
          <w:szCs w:val="32"/>
          <w:lang w:val="en-US" w:eastAsia="zh-CN"/>
        </w:rPr>
        <w:t>度决算数据持平</w:t>
      </w:r>
      <w:r>
        <w:rPr>
          <w:rFonts w:hint="default" w:ascii="Times New Roman" w:hAnsi="Times New Roman" w:eastAsia="仿宋_GB2312" w:cs="Times New Roman"/>
          <w:b w:val="0"/>
          <w:bCs w:val="0"/>
          <w:sz w:val="32"/>
          <w:szCs w:val="32"/>
        </w:rPr>
        <w:t>。</w:t>
      </w:r>
    </w:p>
    <w:p w14:paraId="466BB3FD">
      <w:pPr>
        <w:pageBreakBefore w:val="0"/>
        <w:widowControl w:val="0"/>
        <w:kinsoku/>
        <w:wordWrap/>
        <w:overflowPunct/>
        <w:topLinePunct w:val="0"/>
        <w:bidi w:val="0"/>
        <w:snapToGrid/>
        <w:spacing w:line="560" w:lineRule="exact"/>
        <w:ind w:firstLine="64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val="0"/>
          <w:sz w:val="32"/>
          <w:szCs w:val="32"/>
        </w:rPr>
        <w:t>2.公务用车购置及运行维护费支出</w:t>
      </w:r>
      <w:r>
        <w:rPr>
          <w:rFonts w:hint="default" w:ascii="Times New Roman" w:hAnsi="Times New Roman" w:eastAsia="仿宋" w:cs="Times New Roman"/>
          <w:b w:val="0"/>
          <w:bCs/>
          <w:sz w:val="32"/>
          <w:szCs w:val="32"/>
        </w:rPr>
        <w:t>0</w:t>
      </w:r>
      <w:r>
        <w:rPr>
          <w:rFonts w:hint="default" w:ascii="Times New Roman" w:hAnsi="Times New Roman" w:eastAsia="仿宋_GB2312" w:cs="Times New Roman"/>
          <w:b w:val="0"/>
          <w:bCs/>
          <w:sz w:val="32"/>
          <w:szCs w:val="32"/>
        </w:rPr>
        <w:t>万元</w:t>
      </w:r>
      <w:r>
        <w:rPr>
          <w:rFonts w:hint="default" w:ascii="Times New Roman" w:hAnsi="Times New Roman" w:eastAsia="仿宋_GB2312" w:cs="Times New Roman"/>
          <w:b w:val="0"/>
          <w:bCs/>
          <w:sz w:val="32"/>
          <w:szCs w:val="32"/>
          <w:lang w:eastAsia="zh-CN"/>
        </w:rPr>
        <w:t>，</w:t>
      </w:r>
      <w:r>
        <w:rPr>
          <w:rStyle w:val="17"/>
          <w:rFonts w:hint="default" w:ascii="Times New Roman" w:hAnsi="Times New Roman" w:eastAsia="仿宋" w:cs="Times New Roman"/>
          <w:b w:val="0"/>
          <w:bCs/>
          <w:sz w:val="32"/>
          <w:szCs w:val="32"/>
        </w:rPr>
        <w:t>完成预算</w:t>
      </w:r>
      <w:r>
        <w:rPr>
          <w:rStyle w:val="17"/>
          <w:rFonts w:hint="default" w:ascii="Times New Roman" w:hAnsi="Times New Roman" w:eastAsia="仿宋" w:cs="Times New Roman"/>
          <w:b w:val="0"/>
          <w:bCs w:val="0"/>
          <w:sz w:val="32"/>
          <w:szCs w:val="32"/>
        </w:rPr>
        <w:t>0%。</w:t>
      </w:r>
      <w:r>
        <w:rPr>
          <w:rFonts w:hint="default" w:ascii="Times New Roman" w:hAnsi="Times New Roman" w:eastAsia="仿宋_GB2312" w:cs="Times New Roman"/>
          <w:b w:val="0"/>
          <w:bCs w:val="0"/>
          <w:sz w:val="32"/>
          <w:szCs w:val="32"/>
        </w:rPr>
        <w:t>公务用车购置及运行维护费支出决算</w:t>
      </w:r>
      <w:r>
        <w:rPr>
          <w:rFonts w:hint="default" w:ascii="Times New Roman" w:hAnsi="Times New Roman" w:eastAsia="仿宋_GB2312" w:cs="Times New Roman"/>
          <w:b w:val="0"/>
          <w:bCs w:val="0"/>
          <w:sz w:val="32"/>
          <w:szCs w:val="32"/>
          <w:lang w:val="en-US" w:eastAsia="zh-CN"/>
        </w:rPr>
        <w:t>与</w:t>
      </w:r>
      <w:r>
        <w:rPr>
          <w:rFonts w:hint="default" w:ascii="Times New Roman" w:hAnsi="Times New Roman" w:eastAsia="仿宋_GB2312" w:cs="Times New Roman"/>
          <w:b w:val="0"/>
          <w:bCs w:val="0"/>
          <w:sz w:val="32"/>
          <w:szCs w:val="32"/>
        </w:rPr>
        <w:t>2022年度</w:t>
      </w:r>
      <w:r>
        <w:rPr>
          <w:rFonts w:hint="default" w:ascii="Times New Roman" w:hAnsi="Times New Roman" w:eastAsia="仿宋_GB2312" w:cs="Times New Roman"/>
          <w:b w:val="0"/>
          <w:bCs w:val="0"/>
          <w:sz w:val="32"/>
          <w:szCs w:val="32"/>
          <w:lang w:val="en-US" w:eastAsia="zh-CN"/>
        </w:rPr>
        <w:t>决算数据持平</w:t>
      </w:r>
      <w:r>
        <w:rPr>
          <w:rFonts w:hint="default" w:ascii="Times New Roman" w:hAnsi="Times New Roman" w:eastAsia="仿宋_GB2312" w:cs="Times New Roman"/>
          <w:b w:val="0"/>
          <w:bCs w:val="0"/>
          <w:sz w:val="32"/>
          <w:szCs w:val="32"/>
        </w:rPr>
        <w:t>。</w:t>
      </w:r>
    </w:p>
    <w:p w14:paraId="1F8662A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bCs/>
          <w:sz w:val="32"/>
          <w:szCs w:val="32"/>
        </w:rPr>
        <w:t>公务用车购置支出</w:t>
      </w:r>
      <w:r>
        <w:rPr>
          <w:rFonts w:hint="default" w:ascii="Times New Roman" w:hAnsi="Times New Roman" w:eastAsia="仿宋" w:cs="Times New Roman"/>
          <w:b w:val="0"/>
          <w:bCs w:val="0"/>
          <w:sz w:val="32"/>
          <w:szCs w:val="32"/>
        </w:rPr>
        <w:t>0</w:t>
      </w:r>
      <w:r>
        <w:rPr>
          <w:rFonts w:hint="default" w:ascii="Times New Roman" w:hAnsi="Times New Roman" w:eastAsia="仿宋_GB2312" w:cs="Times New Roman"/>
          <w:b w:val="0"/>
          <w:bCs w:val="0"/>
          <w:sz w:val="32"/>
          <w:szCs w:val="32"/>
        </w:rPr>
        <w:t>万</w:t>
      </w:r>
      <w:r>
        <w:rPr>
          <w:rFonts w:hint="default" w:ascii="Times New Roman" w:hAnsi="Times New Roman" w:eastAsia="仿宋_GB2312" w:cs="Times New Roman"/>
          <w:sz w:val="32"/>
          <w:szCs w:val="32"/>
        </w:rPr>
        <w:t>元。全年按规定更新购置公务用车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辆，其中：轿车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万元，越野车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万元，载客汽车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万元。截至2023年12月31日，单位共有公务用车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辆，其中：轿车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辆、越野车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辆、载客汽车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w:t>
      </w:r>
    </w:p>
    <w:p w14:paraId="585CBB9E">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val="0"/>
          <w:sz w:val="32"/>
          <w:szCs w:val="32"/>
        </w:rPr>
        <w:t>公务用车运行维护费支出</w:t>
      </w:r>
      <w:r>
        <w:rPr>
          <w:rFonts w:hint="default" w:ascii="Times New Roman" w:hAnsi="Times New Roman" w:eastAsia="仿宋" w:cs="Times New Roman"/>
          <w:b w:val="0"/>
          <w:bCs/>
          <w:sz w:val="32"/>
          <w:szCs w:val="32"/>
        </w:rPr>
        <w:t>0</w:t>
      </w:r>
      <w:r>
        <w:rPr>
          <w:rFonts w:hint="default" w:ascii="Times New Roman" w:hAnsi="Times New Roman" w:eastAsia="仿宋_GB2312" w:cs="Times New Roman"/>
          <w:b w:val="0"/>
          <w:bCs/>
          <w:sz w:val="32"/>
          <w:szCs w:val="32"/>
        </w:rPr>
        <w:t>万元</w:t>
      </w:r>
      <w:r>
        <w:rPr>
          <w:rFonts w:hint="default" w:ascii="Times New Roman" w:hAnsi="Times New Roman" w:eastAsia="仿宋_GB2312" w:cs="Times New Roman"/>
          <w:sz w:val="32"/>
          <w:szCs w:val="32"/>
        </w:rPr>
        <w:t>。</w:t>
      </w:r>
    </w:p>
    <w:p w14:paraId="5F12985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val="0"/>
          <w:sz w:val="32"/>
          <w:szCs w:val="32"/>
          <w:lang w:val="en-US" w:eastAsia="zh-CN"/>
        </w:rPr>
        <w:t>3.</w:t>
      </w:r>
      <w:r>
        <w:rPr>
          <w:rFonts w:hint="default" w:ascii="Times New Roman" w:hAnsi="Times New Roman" w:eastAsia="仿宋_GB2312" w:cs="Times New Roman"/>
          <w:b/>
          <w:bCs w:val="0"/>
          <w:sz w:val="32"/>
          <w:szCs w:val="32"/>
        </w:rPr>
        <w:t>公务接待费支出</w:t>
      </w:r>
      <w:r>
        <w:rPr>
          <w:rFonts w:hint="default" w:ascii="Times New Roman" w:hAnsi="Times New Roman" w:eastAsia="仿宋" w:cs="Times New Roman"/>
          <w:b/>
          <w:bCs w:val="0"/>
          <w:sz w:val="32"/>
          <w:szCs w:val="32"/>
        </w:rPr>
        <w:t>0</w:t>
      </w:r>
      <w:r>
        <w:rPr>
          <w:rFonts w:hint="default" w:ascii="Times New Roman" w:hAnsi="Times New Roman" w:eastAsia="仿宋_GB2312" w:cs="Times New Roman"/>
          <w:b/>
          <w:bCs w:val="0"/>
          <w:sz w:val="32"/>
          <w:szCs w:val="32"/>
        </w:rPr>
        <w:t>万元</w:t>
      </w:r>
      <w:r>
        <w:rPr>
          <w:rFonts w:hint="default" w:ascii="Times New Roman" w:hAnsi="Times New Roman" w:eastAsia="仿宋_GB2312" w:cs="Times New Roman"/>
          <w:sz w:val="32"/>
          <w:szCs w:val="32"/>
        </w:rPr>
        <w:t>，</w:t>
      </w:r>
      <w:r>
        <w:rPr>
          <w:rStyle w:val="17"/>
          <w:rFonts w:hint="default" w:ascii="Times New Roman" w:hAnsi="Times New Roman" w:eastAsia="仿宋" w:cs="Times New Roman"/>
          <w:b w:val="0"/>
          <w:bCs/>
          <w:sz w:val="32"/>
          <w:szCs w:val="32"/>
        </w:rPr>
        <w:t>完成预算0%。</w:t>
      </w:r>
      <w:r>
        <w:rPr>
          <w:rFonts w:hint="default" w:ascii="Times New Roman" w:hAnsi="Times New Roman" w:eastAsia="仿宋_GB2312" w:cs="Times New Roman"/>
          <w:sz w:val="32"/>
          <w:szCs w:val="32"/>
        </w:rPr>
        <w:t>公务接待费支出决算</w:t>
      </w:r>
      <w:r>
        <w:rPr>
          <w:rFonts w:hint="default" w:ascii="Times New Roman" w:hAnsi="Times New Roman" w:eastAsia="仿宋_GB2312" w:cs="Times New Roman"/>
          <w:sz w:val="32"/>
          <w:szCs w:val="32"/>
          <w:lang w:val="en-US" w:eastAsia="zh-CN"/>
        </w:rPr>
        <w:t>与</w:t>
      </w:r>
      <w:r>
        <w:rPr>
          <w:rFonts w:hint="default" w:ascii="Times New Roman" w:hAnsi="Times New Roman" w:eastAsia="仿宋_GB2312" w:cs="Times New Roman"/>
          <w:sz w:val="32"/>
          <w:szCs w:val="32"/>
        </w:rPr>
        <w:t>2022年度</w:t>
      </w:r>
      <w:r>
        <w:rPr>
          <w:rFonts w:hint="default" w:ascii="Times New Roman" w:hAnsi="Times New Roman" w:eastAsia="仿宋_GB2312" w:cs="Times New Roman"/>
          <w:sz w:val="32"/>
          <w:szCs w:val="32"/>
          <w:lang w:val="en-US" w:eastAsia="zh-CN"/>
        </w:rPr>
        <w:t>决算数据持平。其中：</w:t>
      </w:r>
    </w:p>
    <w:p w14:paraId="5A0578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val="0"/>
          <w:bCs/>
          <w:sz w:val="32"/>
          <w:szCs w:val="32"/>
        </w:rPr>
        <w:t>国内公务接待支出0</w:t>
      </w:r>
      <w:r>
        <w:rPr>
          <w:rFonts w:hint="default" w:ascii="Times New Roman" w:hAnsi="Times New Roman" w:eastAsia="仿宋_GB2312" w:cs="Times New Roman"/>
          <w:sz w:val="32"/>
          <w:szCs w:val="32"/>
        </w:rPr>
        <w:t>万元，国内公务接待</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批次，</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人次（不包括陪同人员），共计支出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14:paraId="7AC313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rPr>
      </w:pPr>
      <w:r>
        <w:rPr>
          <w:rFonts w:hint="default" w:ascii="Times New Roman" w:hAnsi="Times New Roman" w:eastAsia="仿宋" w:cs="Times New Roman"/>
          <w:b w:val="0"/>
          <w:bCs/>
          <w:sz w:val="32"/>
          <w:szCs w:val="32"/>
        </w:rPr>
        <w:t>外事接待支出0</w:t>
      </w:r>
      <w:r>
        <w:rPr>
          <w:rFonts w:hint="default" w:ascii="Times New Roman" w:hAnsi="Times New Roman" w:eastAsia="仿宋_GB2312" w:cs="Times New Roman"/>
          <w:b w:val="0"/>
          <w:bCs/>
          <w:sz w:val="32"/>
          <w:szCs w:val="32"/>
        </w:rPr>
        <w:t>万</w:t>
      </w:r>
      <w:r>
        <w:rPr>
          <w:rFonts w:hint="default" w:ascii="Times New Roman" w:hAnsi="Times New Roman" w:eastAsia="仿宋_GB2312" w:cs="Times New Roman"/>
          <w:sz w:val="32"/>
          <w:szCs w:val="32"/>
        </w:rPr>
        <w:t>元，外事接待</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批次，</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人次（不包括陪同人员），共计支出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14:paraId="4E7EB8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黑体"/>
          <w:bCs/>
          <w:sz w:val="32"/>
          <w:szCs w:val="32"/>
        </w:rPr>
      </w:pPr>
      <w:r>
        <w:rPr>
          <w:rFonts w:eastAsia="黑体"/>
          <w:bCs/>
          <w:sz w:val="32"/>
          <w:szCs w:val="32"/>
        </w:rPr>
        <w:t>八、政府性基金预算支出决算情况说明</w:t>
      </w:r>
      <w:bookmarkEnd w:id="39"/>
      <w:bookmarkEnd w:id="40"/>
    </w:p>
    <w:p w14:paraId="43D06273">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eastAsia="仿宋_GB2312"/>
          <w:sz w:val="32"/>
          <w:szCs w:val="32"/>
        </w:rPr>
      </w:pPr>
      <w:r>
        <w:rPr>
          <w:rFonts w:eastAsia="仿宋_GB2312"/>
          <w:sz w:val="32"/>
          <w:szCs w:val="32"/>
        </w:rPr>
        <w:t>2023年度政府性基金预算财政拨款支出</w:t>
      </w:r>
      <w:r>
        <w:rPr>
          <w:rFonts w:eastAsia="仿宋_GB2312"/>
          <w:b/>
          <w:sz w:val="32"/>
          <w:szCs w:val="32"/>
        </w:rPr>
        <w:t>0</w:t>
      </w:r>
      <w:r>
        <w:rPr>
          <w:rFonts w:eastAsia="仿宋_GB2312"/>
          <w:sz w:val="32"/>
          <w:szCs w:val="32"/>
        </w:rPr>
        <w:t>万元。</w:t>
      </w:r>
    </w:p>
    <w:p w14:paraId="76545E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黑体"/>
          <w:bCs/>
          <w:sz w:val="32"/>
          <w:szCs w:val="32"/>
        </w:rPr>
      </w:pPr>
      <w:bookmarkStart w:id="42" w:name="_Toc15377219"/>
      <w:bookmarkStart w:id="43" w:name="_Toc15396611"/>
      <w:r>
        <w:rPr>
          <w:rFonts w:eastAsia="黑体"/>
          <w:bCs/>
          <w:sz w:val="32"/>
          <w:szCs w:val="32"/>
        </w:rPr>
        <w:t>九、国有资本经营预算支出决算情况说明</w:t>
      </w:r>
      <w:bookmarkEnd w:id="42"/>
      <w:bookmarkEnd w:id="43"/>
    </w:p>
    <w:p w14:paraId="65E56C2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bCs/>
          <w:sz w:val="32"/>
          <w:szCs w:val="32"/>
        </w:rPr>
        <w:t>2023年度国</w:t>
      </w:r>
      <w:r>
        <w:rPr>
          <w:rFonts w:eastAsia="仿宋_GB2312"/>
          <w:sz w:val="32"/>
          <w:szCs w:val="32"/>
        </w:rPr>
        <w:t>有资本经营预算财政拨款支出</w:t>
      </w:r>
      <w:r>
        <w:rPr>
          <w:rFonts w:eastAsia="仿宋_GB2312"/>
          <w:b/>
          <w:sz w:val="32"/>
          <w:szCs w:val="32"/>
        </w:rPr>
        <w:t>0</w:t>
      </w:r>
      <w:r>
        <w:rPr>
          <w:rFonts w:eastAsia="仿宋_GB2312"/>
          <w:sz w:val="32"/>
          <w:szCs w:val="32"/>
        </w:rPr>
        <w:t>万元。</w:t>
      </w:r>
    </w:p>
    <w:p w14:paraId="3DF436DF">
      <w:pPr>
        <w:pageBreakBefore w:val="0"/>
        <w:widowControl w:val="0"/>
        <w:kinsoku/>
        <w:wordWrap/>
        <w:overflowPunct/>
        <w:topLinePunct w:val="0"/>
        <w:bidi w:val="0"/>
        <w:snapToGrid/>
        <w:spacing w:line="560" w:lineRule="exact"/>
        <w:ind w:firstLine="640" w:firstLineChars="200"/>
        <w:textAlignment w:val="auto"/>
        <w:rPr>
          <w:rFonts w:eastAsia="黑体"/>
          <w:bCs/>
          <w:sz w:val="32"/>
          <w:szCs w:val="32"/>
        </w:rPr>
      </w:pPr>
      <w:bookmarkStart w:id="44" w:name="_Toc15396612"/>
      <w:bookmarkStart w:id="45" w:name="_Toc15377221"/>
      <w:r>
        <w:rPr>
          <w:rFonts w:eastAsia="黑体"/>
          <w:bCs/>
          <w:sz w:val="32"/>
          <w:szCs w:val="32"/>
        </w:rPr>
        <w:t>十、其他重要事项的情况说明</w:t>
      </w:r>
      <w:bookmarkEnd w:id="44"/>
      <w:bookmarkEnd w:id="45"/>
    </w:p>
    <w:p w14:paraId="22396871">
      <w:pPr>
        <w:pageBreakBefore w:val="0"/>
        <w:widowControl w:val="0"/>
        <w:kinsoku/>
        <w:wordWrap/>
        <w:overflowPunct/>
        <w:topLinePunct w:val="0"/>
        <w:bidi w:val="0"/>
        <w:snapToGrid/>
        <w:spacing w:line="560" w:lineRule="exact"/>
        <w:ind w:firstLine="640" w:firstLineChars="200"/>
        <w:textAlignment w:val="auto"/>
        <w:outlineLvl w:val="2"/>
        <w:rPr>
          <w:rFonts w:hint="eastAsia" w:ascii="楷体_GB2312" w:hAnsi="楷体_GB2312" w:eastAsia="楷体_GB2312" w:cs="楷体_GB2312"/>
          <w:sz w:val="32"/>
          <w:szCs w:val="32"/>
        </w:rPr>
      </w:pPr>
      <w:bookmarkStart w:id="46" w:name="_Toc15377222"/>
      <w:r>
        <w:rPr>
          <w:rFonts w:hint="eastAsia" w:ascii="楷体_GB2312" w:hAnsi="楷体_GB2312" w:eastAsia="楷体_GB2312" w:cs="楷体_GB2312"/>
          <w:sz w:val="32"/>
          <w:szCs w:val="32"/>
        </w:rPr>
        <w:t>（一）机关运行经费支出情况</w:t>
      </w:r>
      <w:bookmarkEnd w:id="46"/>
      <w:r>
        <w:rPr>
          <w:rFonts w:hint="eastAsia" w:ascii="楷体_GB2312" w:hAnsi="楷体_GB2312" w:eastAsia="楷体_GB2312" w:cs="楷体_GB2312"/>
          <w:sz w:val="32"/>
          <w:szCs w:val="32"/>
        </w:rPr>
        <w:t>。</w:t>
      </w:r>
    </w:p>
    <w:p w14:paraId="69DF5C70">
      <w:pPr>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2023年度，盐边县第一初级中学校机关运行经费支出</w:t>
      </w:r>
      <w:r>
        <w:rPr>
          <w:rFonts w:hint="eastAsia" w:ascii="仿宋_GB2312" w:hAnsi="仿宋_GB2312" w:eastAsia="仿宋_GB2312" w:cs="仿宋_GB2312"/>
          <w:b/>
          <w:sz w:val="32"/>
          <w:szCs w:val="32"/>
        </w:rPr>
        <w:t>0</w:t>
      </w:r>
      <w:r>
        <w:rPr>
          <w:rFonts w:hint="eastAsia" w:ascii="仿宋_GB2312" w:hAnsi="仿宋_GB2312" w:eastAsia="仿宋_GB2312" w:cs="仿宋_GB2312"/>
          <w:sz w:val="32"/>
          <w:szCs w:val="32"/>
        </w:rPr>
        <w:t>万元。</w:t>
      </w:r>
    </w:p>
    <w:p w14:paraId="5AE43032">
      <w:pPr>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outlineLvl w:val="2"/>
        <w:rPr>
          <w:rFonts w:hint="eastAsia" w:ascii="楷体_GB2312" w:hAnsi="楷体_GB2312" w:eastAsia="楷体_GB2312" w:cs="楷体_GB2312"/>
          <w:sz w:val="32"/>
          <w:szCs w:val="32"/>
        </w:rPr>
      </w:pPr>
      <w:bookmarkStart w:id="47" w:name="_Toc15377223"/>
      <w:r>
        <w:rPr>
          <w:rFonts w:hint="eastAsia" w:ascii="楷体_GB2312" w:hAnsi="楷体_GB2312" w:eastAsia="楷体_GB2312" w:cs="楷体_GB2312"/>
          <w:sz w:val="32"/>
          <w:szCs w:val="32"/>
        </w:rPr>
        <w:t>（二）政府采购支出情况</w:t>
      </w:r>
      <w:bookmarkEnd w:id="47"/>
      <w:r>
        <w:rPr>
          <w:rFonts w:hint="eastAsia" w:ascii="楷体_GB2312" w:hAnsi="楷体_GB2312" w:eastAsia="楷体_GB2312" w:cs="楷体_GB2312"/>
          <w:sz w:val="32"/>
          <w:szCs w:val="32"/>
        </w:rPr>
        <w:t>。</w:t>
      </w:r>
    </w:p>
    <w:p w14:paraId="1AC4C498">
      <w:pPr>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盐边县第一初级中学校政府采购支出总额780万元，其中：政府采购货物支出0万元、政府采购工程支出0万元、政府采购服务支出780万元。主要用于新建校区教学设备设施的采购、学生宿舍、食堂设备购买，监控系统、网络系统安装等。授予中小企业合同金额780万元，占政府采购支出总额的1</w:t>
      </w:r>
      <w:r>
        <w:rPr>
          <w:rFonts w:hint="eastAsia" w:ascii="仿宋_GB2312" w:hAnsi="仿宋_GB2312" w:eastAsia="仿宋_GB2312" w:cs="仿宋_GB2312"/>
          <w:sz w:val="32"/>
          <w:szCs w:val="32"/>
          <w:lang w:val="en-US" w:eastAsia="zh-CN"/>
        </w:rPr>
        <w:t>00</w:t>
      </w:r>
      <w:r>
        <w:rPr>
          <w:rFonts w:hint="eastAsia" w:ascii="仿宋_GB2312" w:hAnsi="仿宋_GB2312" w:eastAsia="仿宋_GB2312" w:cs="仿宋_GB2312"/>
          <w:sz w:val="32"/>
          <w:szCs w:val="32"/>
        </w:rPr>
        <w:t>%，其中：授予小微企业合同金额780万元，占政府采购支出总额的100%。</w:t>
      </w:r>
    </w:p>
    <w:p w14:paraId="14764E62">
      <w:pPr>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outlineLvl w:val="2"/>
        <w:rPr>
          <w:rFonts w:hint="eastAsia" w:ascii="楷体_GB2312" w:hAnsi="楷体_GB2312" w:eastAsia="楷体_GB2312" w:cs="楷体_GB2312"/>
          <w:sz w:val="32"/>
          <w:szCs w:val="32"/>
        </w:rPr>
      </w:pPr>
      <w:bookmarkStart w:id="48" w:name="_Toc15377224"/>
      <w:r>
        <w:rPr>
          <w:rFonts w:hint="eastAsia" w:ascii="楷体_GB2312" w:hAnsi="楷体_GB2312" w:eastAsia="楷体_GB2312" w:cs="楷体_GB2312"/>
          <w:sz w:val="32"/>
          <w:szCs w:val="32"/>
        </w:rPr>
        <w:t>（三）国有资产占有使用情况</w:t>
      </w:r>
      <w:bookmarkEnd w:id="48"/>
      <w:r>
        <w:rPr>
          <w:rFonts w:hint="eastAsia" w:ascii="楷体_GB2312" w:hAnsi="楷体_GB2312" w:eastAsia="楷体_GB2312" w:cs="楷体_GB2312"/>
          <w:sz w:val="32"/>
          <w:szCs w:val="32"/>
        </w:rPr>
        <w:t>。</w:t>
      </w:r>
    </w:p>
    <w:p w14:paraId="666CCABB">
      <w:pPr>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截至2023年12月31日，盐边县第一初级中学校共有车0辆，其中：主要领导干部用车0辆、机要通信用车0辆、应急保障用车0辆、其他用车0辆。单价100万元以上设备</w:t>
      </w:r>
      <w:r>
        <w:rPr>
          <w:rFonts w:hint="eastAsia" w:ascii="仿宋_GB2312" w:hAnsi="仿宋_GB2312" w:eastAsia="仿宋_GB2312" w:cs="仿宋_GB2312"/>
          <w:b/>
          <w:sz w:val="32"/>
          <w:szCs w:val="32"/>
        </w:rPr>
        <w:t>0</w:t>
      </w:r>
      <w:r>
        <w:rPr>
          <w:rFonts w:hint="eastAsia" w:ascii="仿宋_GB2312" w:hAnsi="仿宋_GB2312" w:eastAsia="仿宋_GB2312" w:cs="仿宋_GB2312"/>
          <w:sz w:val="32"/>
          <w:szCs w:val="32"/>
        </w:rPr>
        <w:t>台。</w:t>
      </w:r>
    </w:p>
    <w:p w14:paraId="2AE4C7C1">
      <w:pPr>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outlineLvl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（四）预算绩效管理情况。</w:t>
      </w:r>
    </w:p>
    <w:p w14:paraId="43B35D2C">
      <w:pPr>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根据预算绩效管理要求，本单位在2023年度预算编制阶段，组织对安保人员服务费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个项目开展绩效监控，组织对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个项目开展绩效自评，绩效自评表详见第四部分附件。</w:t>
      </w:r>
    </w:p>
    <w:p w14:paraId="17B3D151">
      <w:pPr>
        <w:pageBreakBefore w:val="0"/>
        <w:widowControl w:val="0"/>
        <w:kinsoku/>
        <w:wordWrap/>
        <w:overflowPunct/>
        <w:topLinePunct w:val="0"/>
        <w:bidi w:val="0"/>
        <w:snapToGrid/>
        <w:spacing w:line="560" w:lineRule="exact"/>
        <w:ind w:firstLine="640" w:firstLineChars="200"/>
        <w:textAlignment w:val="auto"/>
        <w:rPr>
          <w:rFonts w:eastAsia="仿宋_GB2312"/>
          <w:sz w:val="32"/>
          <w:szCs w:val="32"/>
        </w:rPr>
      </w:pPr>
      <w:r>
        <w:rPr>
          <w:rFonts w:eastAsia="仿宋_GB2312"/>
          <w:sz w:val="32"/>
          <w:szCs w:val="32"/>
        </w:rPr>
        <w:br w:type="page"/>
      </w:r>
    </w:p>
    <w:p w14:paraId="60EF762B">
      <w:pPr>
        <w:pageBreakBefore w:val="0"/>
        <w:widowControl w:val="0"/>
        <w:kinsoku/>
        <w:wordWrap/>
        <w:overflowPunct/>
        <w:topLinePunct w:val="0"/>
        <w:bidi w:val="0"/>
        <w:snapToGrid/>
        <w:spacing w:line="560" w:lineRule="exact"/>
        <w:jc w:val="center"/>
        <w:textAlignment w:val="auto"/>
        <w:rPr>
          <w:rStyle w:val="28"/>
          <w:rFonts w:eastAsia="黑体"/>
          <w:b w:val="0"/>
        </w:rPr>
      </w:pPr>
      <w:bookmarkStart w:id="49" w:name="_Toc15396613"/>
      <w:bookmarkStart w:id="50" w:name="_Toc15377225"/>
      <w:r>
        <w:rPr>
          <w:rStyle w:val="28"/>
          <w:rFonts w:eastAsia="黑体"/>
          <w:b w:val="0"/>
        </w:rPr>
        <w:t>第三部分名词解释</w:t>
      </w:r>
      <w:bookmarkEnd w:id="49"/>
      <w:bookmarkEnd w:id="50"/>
    </w:p>
    <w:p w14:paraId="74E3122F">
      <w:pPr>
        <w:pageBreakBefore w:val="0"/>
        <w:widowControl w:val="0"/>
        <w:kinsoku/>
        <w:wordWrap/>
        <w:overflowPunct/>
        <w:topLinePunct w:val="0"/>
        <w:bidi w:val="0"/>
        <w:snapToGrid/>
        <w:spacing w:line="560" w:lineRule="exact"/>
        <w:jc w:val="left"/>
        <w:textAlignment w:val="auto"/>
        <w:rPr>
          <w:b/>
          <w:sz w:val="44"/>
          <w:szCs w:val="44"/>
        </w:rPr>
      </w:pPr>
    </w:p>
    <w:p w14:paraId="4BCC4019">
      <w:pPr>
        <w:pStyle w:val="26"/>
        <w:pageBreakBefore w:val="0"/>
        <w:widowControl w:val="0"/>
        <w:kinsoku/>
        <w:wordWrap/>
        <w:overflowPunct/>
        <w:topLinePunct w:val="0"/>
        <w:bidi w:val="0"/>
        <w:snapToGrid/>
        <w:spacing w:line="560" w:lineRule="exact"/>
        <w:ind w:firstLine="643"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1.财政拨款收入</w:t>
      </w:r>
      <w:r>
        <w:rPr>
          <w:rFonts w:ascii="Times New Roman" w:hAnsi="Times New Roman" w:eastAsia="仿宋_GB2312" w:cs="Times New Roman"/>
          <w:color w:val="auto"/>
          <w:sz w:val="32"/>
          <w:szCs w:val="32"/>
        </w:rPr>
        <w:t>：指单位从同级财政部门取得的财政预算资金。</w:t>
      </w:r>
    </w:p>
    <w:p w14:paraId="2162DE19">
      <w:pPr>
        <w:pStyle w:val="26"/>
        <w:pageBreakBefore w:val="0"/>
        <w:widowControl w:val="0"/>
        <w:kinsoku/>
        <w:wordWrap/>
        <w:overflowPunct/>
        <w:topLinePunct w:val="0"/>
        <w:bidi w:val="0"/>
        <w:snapToGrid/>
        <w:spacing w:line="560" w:lineRule="exact"/>
        <w:ind w:firstLine="643"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2.事业收入：</w:t>
      </w:r>
      <w:r>
        <w:rPr>
          <w:rFonts w:ascii="Times New Roman" w:hAnsi="Times New Roman" w:eastAsia="仿宋_GB2312" w:cs="Times New Roman"/>
          <w:color w:val="auto"/>
          <w:sz w:val="32"/>
          <w:szCs w:val="32"/>
        </w:rPr>
        <w:t>指事业单位开展专业业务活动及辅助活动取得的收入。</w:t>
      </w:r>
    </w:p>
    <w:p w14:paraId="44E94AC6">
      <w:pPr>
        <w:pStyle w:val="26"/>
        <w:pageBreakBefore w:val="0"/>
        <w:widowControl w:val="0"/>
        <w:kinsoku/>
        <w:wordWrap/>
        <w:overflowPunct/>
        <w:topLinePunct w:val="0"/>
        <w:bidi w:val="0"/>
        <w:snapToGrid/>
        <w:spacing w:line="560" w:lineRule="exact"/>
        <w:ind w:firstLine="643"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3.经营收入：</w:t>
      </w:r>
      <w:r>
        <w:rPr>
          <w:rFonts w:ascii="Times New Roman" w:hAnsi="Times New Roman" w:eastAsia="仿宋_GB2312" w:cs="Times New Roman"/>
          <w:color w:val="auto"/>
          <w:sz w:val="32"/>
          <w:szCs w:val="32"/>
        </w:rPr>
        <w:t>指事业单位在专业业务活动及其辅助活动之外开展非独立核算经营活动取得的收入。</w:t>
      </w:r>
    </w:p>
    <w:p w14:paraId="366F79AE">
      <w:pPr>
        <w:pStyle w:val="26"/>
        <w:pageBreakBefore w:val="0"/>
        <w:widowControl w:val="0"/>
        <w:kinsoku/>
        <w:wordWrap/>
        <w:overflowPunct/>
        <w:topLinePunct w:val="0"/>
        <w:bidi w:val="0"/>
        <w:snapToGrid/>
        <w:spacing w:line="560" w:lineRule="exact"/>
        <w:ind w:firstLine="643"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4.其他收入：</w:t>
      </w:r>
      <w:r>
        <w:rPr>
          <w:rFonts w:ascii="Times New Roman" w:hAnsi="Times New Roman" w:eastAsia="仿宋_GB2312" w:cs="Times New Roman"/>
          <w:color w:val="auto"/>
          <w:sz w:val="32"/>
          <w:szCs w:val="32"/>
        </w:rPr>
        <w:t>指单位取得的除上述收入以外的各项收入。</w:t>
      </w:r>
    </w:p>
    <w:p w14:paraId="158F3B94">
      <w:pPr>
        <w:pStyle w:val="26"/>
        <w:pageBreakBefore w:val="0"/>
        <w:widowControl w:val="0"/>
        <w:kinsoku/>
        <w:wordWrap/>
        <w:overflowPunct/>
        <w:topLinePunct w:val="0"/>
        <w:bidi w:val="0"/>
        <w:snapToGrid/>
        <w:spacing w:line="560" w:lineRule="exact"/>
        <w:ind w:firstLine="643"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5.使用非财政拨款结余（含专用结余）：</w:t>
      </w:r>
      <w:r>
        <w:rPr>
          <w:rFonts w:ascii="Times New Roman" w:hAnsi="Times New Roman" w:eastAsia="仿宋_GB2312" w:cs="Times New Roman"/>
          <w:color w:val="auto"/>
          <w:sz w:val="32"/>
          <w:szCs w:val="32"/>
        </w:rPr>
        <w:t>指事业单位使用以前年度积累的非财政拨款结余弥补当年收支差额的金额。</w:t>
      </w:r>
    </w:p>
    <w:p w14:paraId="3612ECFE">
      <w:pPr>
        <w:pStyle w:val="26"/>
        <w:pageBreakBefore w:val="0"/>
        <w:widowControl w:val="0"/>
        <w:kinsoku/>
        <w:wordWrap/>
        <w:overflowPunct/>
        <w:topLinePunct w:val="0"/>
        <w:bidi w:val="0"/>
        <w:snapToGrid/>
        <w:spacing w:line="560" w:lineRule="exact"/>
        <w:ind w:firstLine="643"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6.年初结转和结余：</w:t>
      </w:r>
      <w:r>
        <w:rPr>
          <w:rFonts w:ascii="Times New Roman" w:hAnsi="Times New Roman" w:eastAsia="仿宋_GB2312" w:cs="Times New Roman"/>
          <w:color w:val="auto"/>
          <w:sz w:val="32"/>
          <w:szCs w:val="32"/>
        </w:rPr>
        <w:t>指以前年度尚未完成、结转到本年按有关规定继续使用的资金。</w:t>
      </w:r>
    </w:p>
    <w:p w14:paraId="56324E07">
      <w:pPr>
        <w:pStyle w:val="26"/>
        <w:pageBreakBefore w:val="0"/>
        <w:widowControl w:val="0"/>
        <w:kinsoku/>
        <w:wordWrap/>
        <w:overflowPunct/>
        <w:topLinePunct w:val="0"/>
        <w:bidi w:val="0"/>
        <w:snapToGrid/>
        <w:spacing w:line="560" w:lineRule="exact"/>
        <w:ind w:firstLine="643"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7.结余分配：</w:t>
      </w:r>
      <w:r>
        <w:rPr>
          <w:rFonts w:ascii="Times New Roman" w:hAnsi="Times New Roman" w:eastAsia="仿宋_GB2312" w:cs="Times New Roman"/>
          <w:color w:val="auto"/>
          <w:sz w:val="32"/>
          <w:szCs w:val="32"/>
        </w:rPr>
        <w:t>指事业单位按照会计制度规定缴纳的所得税、提取的专用结余以及转入非财政拨款结余的金额等。</w:t>
      </w:r>
    </w:p>
    <w:p w14:paraId="4F5B4509">
      <w:pPr>
        <w:pStyle w:val="26"/>
        <w:pageBreakBefore w:val="0"/>
        <w:widowControl w:val="0"/>
        <w:kinsoku/>
        <w:wordWrap/>
        <w:overflowPunct/>
        <w:topLinePunct w:val="0"/>
        <w:bidi w:val="0"/>
        <w:snapToGrid/>
        <w:spacing w:line="560" w:lineRule="exact"/>
        <w:ind w:firstLine="643"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8.年末结转和结余：</w:t>
      </w:r>
      <w:r>
        <w:rPr>
          <w:rFonts w:ascii="Times New Roman" w:hAnsi="Times New Roman" w:eastAsia="仿宋_GB2312" w:cs="Times New Roman"/>
          <w:color w:val="auto"/>
          <w:sz w:val="32"/>
          <w:szCs w:val="32"/>
        </w:rPr>
        <w:t>指单位按有关规定结转到下年或以后年度继续使用的资金。</w:t>
      </w:r>
    </w:p>
    <w:p w14:paraId="384E632E">
      <w:pPr>
        <w:pageBreakBefore w:val="0"/>
        <w:widowControl w:val="0"/>
        <w:kinsoku/>
        <w:wordWrap/>
        <w:overflowPunct/>
        <w:topLinePunct w:val="0"/>
        <w:bidi w:val="0"/>
        <w:snapToGrid/>
        <w:spacing w:line="560" w:lineRule="exact"/>
        <w:ind w:firstLine="643" w:firstLineChars="200"/>
        <w:textAlignment w:val="auto"/>
        <w:rPr>
          <w:rFonts w:eastAsia="仿宋_GB2312"/>
          <w:sz w:val="32"/>
          <w:szCs w:val="32"/>
        </w:rPr>
      </w:pPr>
      <w:r>
        <w:rPr>
          <w:rFonts w:ascii="Times New Roman" w:hAnsi="Times New Roman" w:eastAsia="仿宋_GB2312" w:cs="Times New Roman"/>
          <w:b/>
          <w:bCs/>
          <w:color w:val="auto"/>
          <w:kern w:val="0"/>
          <w:sz w:val="32"/>
          <w:szCs w:val="32"/>
          <w:lang w:val="en-US" w:eastAsia="zh-CN" w:bidi="ar-SA"/>
        </w:rPr>
        <w:t>9.教育支出（205类）普通教育（02款）初中教育（03项）：</w:t>
      </w:r>
      <w:r>
        <w:rPr>
          <w:rFonts w:eastAsia="仿宋_GB2312"/>
          <w:sz w:val="32"/>
          <w:szCs w:val="32"/>
        </w:rPr>
        <w:t>指反映各部门举办的初中教育支出。</w:t>
      </w:r>
    </w:p>
    <w:p w14:paraId="67ED8053">
      <w:pPr>
        <w:pageBreakBefore w:val="0"/>
        <w:widowControl w:val="0"/>
        <w:kinsoku/>
        <w:wordWrap/>
        <w:overflowPunct/>
        <w:topLinePunct w:val="0"/>
        <w:bidi w:val="0"/>
        <w:snapToGrid/>
        <w:spacing w:line="560" w:lineRule="exact"/>
        <w:ind w:firstLine="643" w:firstLineChars="200"/>
        <w:textAlignment w:val="auto"/>
        <w:rPr>
          <w:rFonts w:eastAsia="仿宋_GB2312"/>
          <w:sz w:val="32"/>
          <w:szCs w:val="32"/>
        </w:rPr>
      </w:pPr>
      <w:r>
        <w:rPr>
          <w:rFonts w:ascii="Times New Roman" w:hAnsi="Times New Roman" w:eastAsia="仿宋_GB2312" w:cs="Times New Roman"/>
          <w:b/>
          <w:bCs/>
          <w:color w:val="auto"/>
          <w:kern w:val="0"/>
          <w:sz w:val="32"/>
          <w:szCs w:val="32"/>
          <w:lang w:val="en-US" w:eastAsia="zh-CN" w:bidi="ar-SA"/>
        </w:rPr>
        <w:t>10.社会保障和就业支出（208类）行政事业单位养老支出（05款）机关事业单位基本养老保险缴费支出（05项）</w:t>
      </w:r>
      <w:r>
        <w:rPr>
          <w:rFonts w:eastAsia="仿宋_GB2312"/>
          <w:sz w:val="32"/>
          <w:szCs w:val="32"/>
        </w:rPr>
        <w:t>：指反映机关事业单位实施养老保险制度由单位缴纳的基本养老保险费支出。</w:t>
      </w:r>
    </w:p>
    <w:p w14:paraId="64CFBBBB">
      <w:pPr>
        <w:pageBreakBefore w:val="0"/>
        <w:widowControl w:val="0"/>
        <w:kinsoku/>
        <w:wordWrap/>
        <w:overflowPunct/>
        <w:topLinePunct w:val="0"/>
        <w:bidi w:val="0"/>
        <w:snapToGrid/>
        <w:spacing w:line="560" w:lineRule="exact"/>
        <w:ind w:firstLine="643" w:firstLineChars="200"/>
        <w:textAlignment w:val="auto"/>
        <w:rPr>
          <w:rFonts w:eastAsia="仿宋_GB2312"/>
          <w:sz w:val="32"/>
          <w:szCs w:val="32"/>
        </w:rPr>
      </w:pPr>
      <w:r>
        <w:rPr>
          <w:rFonts w:ascii="Times New Roman" w:hAnsi="Times New Roman" w:eastAsia="仿宋_GB2312" w:cs="Times New Roman"/>
          <w:b/>
          <w:bCs/>
          <w:color w:val="auto"/>
          <w:kern w:val="0"/>
          <w:sz w:val="32"/>
          <w:szCs w:val="32"/>
          <w:lang w:val="en-US" w:eastAsia="zh-CN" w:bidi="ar-SA"/>
        </w:rPr>
        <w:t>11.卫生健康支出（210类）行政事业单位医疗（11款）事业单位医疗（02项）：</w:t>
      </w:r>
      <w:r>
        <w:rPr>
          <w:rFonts w:eastAsia="仿宋_GB2312"/>
          <w:sz w:val="32"/>
          <w:szCs w:val="32"/>
        </w:rPr>
        <w:t>指反映财政部门安排的事业单位基本医疗保险缴费经费，未参加医疗保险的事业单位的公费医疗经费，按国家规定享受离休人员待遇的医疗经费。</w:t>
      </w:r>
    </w:p>
    <w:p w14:paraId="5FE6D263">
      <w:pPr>
        <w:pageBreakBefore w:val="0"/>
        <w:widowControl w:val="0"/>
        <w:kinsoku/>
        <w:wordWrap/>
        <w:overflowPunct/>
        <w:topLinePunct w:val="0"/>
        <w:bidi w:val="0"/>
        <w:snapToGrid/>
        <w:spacing w:line="560" w:lineRule="exact"/>
        <w:ind w:firstLine="643" w:firstLineChars="200"/>
        <w:textAlignment w:val="auto"/>
        <w:rPr>
          <w:rFonts w:eastAsia="仿宋_GB2312"/>
          <w:sz w:val="32"/>
          <w:szCs w:val="32"/>
        </w:rPr>
      </w:pPr>
      <w:r>
        <w:rPr>
          <w:rFonts w:ascii="Times New Roman" w:hAnsi="Times New Roman" w:eastAsia="仿宋_GB2312" w:cs="Times New Roman"/>
          <w:b/>
          <w:bCs/>
          <w:color w:val="auto"/>
          <w:kern w:val="0"/>
          <w:sz w:val="32"/>
          <w:szCs w:val="32"/>
          <w:lang w:val="en-US" w:eastAsia="zh-CN" w:bidi="ar-SA"/>
        </w:rPr>
        <w:t>12.卫生健康支出（210类）行政事业单位医疗（11款）其他行政事业单位医疗支出（99项）：</w:t>
      </w:r>
      <w:r>
        <w:rPr>
          <w:rFonts w:eastAsia="仿宋_GB2312"/>
          <w:sz w:val="32"/>
          <w:szCs w:val="32"/>
        </w:rPr>
        <w:t>指反映除上述项目以外的其他用于行政事业单位医疗方面的支出。</w:t>
      </w:r>
    </w:p>
    <w:p w14:paraId="4CE57C41">
      <w:pPr>
        <w:pageBreakBefore w:val="0"/>
        <w:widowControl w:val="0"/>
        <w:kinsoku/>
        <w:wordWrap/>
        <w:overflowPunct/>
        <w:topLinePunct w:val="0"/>
        <w:bidi w:val="0"/>
        <w:snapToGrid/>
        <w:spacing w:line="560" w:lineRule="exact"/>
        <w:ind w:firstLine="643" w:firstLineChars="200"/>
        <w:textAlignment w:val="auto"/>
        <w:rPr>
          <w:rFonts w:eastAsia="仿宋_GB2312"/>
          <w:sz w:val="32"/>
          <w:szCs w:val="32"/>
        </w:rPr>
      </w:pPr>
      <w:r>
        <w:rPr>
          <w:rFonts w:ascii="Times New Roman" w:hAnsi="Times New Roman" w:eastAsia="仿宋_GB2312" w:cs="Times New Roman"/>
          <w:b/>
          <w:bCs/>
          <w:color w:val="auto"/>
          <w:kern w:val="0"/>
          <w:sz w:val="32"/>
          <w:szCs w:val="32"/>
          <w:lang w:val="en-US" w:eastAsia="zh-CN" w:bidi="ar-SA"/>
        </w:rPr>
        <w:t>13.住房保障支出（221类）住房改革支出（02款）住房公积金（01项）：</w:t>
      </w:r>
      <w:r>
        <w:rPr>
          <w:rFonts w:eastAsia="仿宋_GB2312"/>
          <w:sz w:val="32"/>
          <w:szCs w:val="32"/>
        </w:rPr>
        <w:t>指反映行政事业单位按人力资源和社会保障部、财政部规定的基本工资和津贴补贴以及规定比例为职工缴纳的住房公积金。</w:t>
      </w:r>
    </w:p>
    <w:p w14:paraId="7E3E7ECD">
      <w:pPr>
        <w:pageBreakBefore w:val="0"/>
        <w:widowControl w:val="0"/>
        <w:kinsoku/>
        <w:wordWrap/>
        <w:overflowPunct/>
        <w:topLinePunct w:val="0"/>
        <w:bidi w:val="0"/>
        <w:snapToGrid/>
        <w:spacing w:line="560" w:lineRule="exact"/>
        <w:ind w:firstLine="643" w:firstLineChars="200"/>
        <w:textAlignment w:val="auto"/>
        <w:rPr>
          <w:rFonts w:eastAsia="仿宋_GB2312"/>
          <w:sz w:val="32"/>
          <w:szCs w:val="32"/>
        </w:rPr>
      </w:pPr>
      <w:r>
        <w:rPr>
          <w:rFonts w:ascii="Times New Roman" w:hAnsi="Times New Roman" w:eastAsia="仿宋_GB2312" w:cs="Times New Roman"/>
          <w:b/>
          <w:bCs/>
          <w:color w:val="auto"/>
          <w:kern w:val="0"/>
          <w:sz w:val="32"/>
          <w:szCs w:val="32"/>
          <w:lang w:val="en-US" w:eastAsia="zh-CN" w:bidi="ar-SA"/>
        </w:rPr>
        <w:t>14.基本支出：</w:t>
      </w:r>
      <w:r>
        <w:rPr>
          <w:rFonts w:eastAsia="仿宋_GB2312"/>
          <w:sz w:val="32"/>
          <w:szCs w:val="32"/>
        </w:rPr>
        <w:t>指为保障机构正常运转、完成日常工作任务而发生的人员支出和公用支出。</w:t>
      </w:r>
    </w:p>
    <w:p w14:paraId="13A1D5CA">
      <w:pPr>
        <w:pageBreakBefore w:val="0"/>
        <w:widowControl w:val="0"/>
        <w:kinsoku/>
        <w:wordWrap/>
        <w:overflowPunct/>
        <w:topLinePunct w:val="0"/>
        <w:bidi w:val="0"/>
        <w:snapToGrid/>
        <w:spacing w:line="560" w:lineRule="exact"/>
        <w:ind w:firstLine="643" w:firstLineChars="200"/>
        <w:textAlignment w:val="auto"/>
        <w:rPr>
          <w:rFonts w:eastAsia="仿宋_GB2312"/>
          <w:sz w:val="32"/>
          <w:szCs w:val="32"/>
        </w:rPr>
      </w:pPr>
      <w:r>
        <w:rPr>
          <w:rFonts w:ascii="Times New Roman" w:hAnsi="Times New Roman" w:eastAsia="仿宋_GB2312" w:cs="Times New Roman"/>
          <w:b/>
          <w:bCs/>
          <w:color w:val="auto"/>
          <w:kern w:val="0"/>
          <w:sz w:val="32"/>
          <w:szCs w:val="32"/>
          <w:lang w:val="en-US" w:eastAsia="zh-CN" w:bidi="ar-SA"/>
        </w:rPr>
        <w:t>15.项目支出：</w:t>
      </w:r>
      <w:r>
        <w:rPr>
          <w:rFonts w:eastAsia="仿宋_GB2312"/>
          <w:sz w:val="32"/>
          <w:szCs w:val="32"/>
        </w:rPr>
        <w:t>指在基本支出之外为完成特定行政任务和事业发展目标所发生的支出。</w:t>
      </w:r>
    </w:p>
    <w:p w14:paraId="2D557895">
      <w:pPr>
        <w:pageBreakBefore w:val="0"/>
        <w:widowControl w:val="0"/>
        <w:kinsoku/>
        <w:wordWrap/>
        <w:overflowPunct/>
        <w:topLinePunct w:val="0"/>
        <w:bidi w:val="0"/>
        <w:snapToGrid/>
        <w:spacing w:line="560" w:lineRule="exact"/>
        <w:ind w:firstLine="643" w:firstLineChars="200"/>
        <w:textAlignment w:val="auto"/>
        <w:rPr>
          <w:rFonts w:eastAsia="仿宋_GB2312"/>
          <w:sz w:val="32"/>
          <w:szCs w:val="32"/>
        </w:rPr>
      </w:pPr>
      <w:r>
        <w:rPr>
          <w:rFonts w:ascii="Times New Roman" w:hAnsi="Times New Roman" w:eastAsia="仿宋_GB2312" w:cs="Times New Roman"/>
          <w:b/>
          <w:bCs/>
          <w:color w:val="auto"/>
          <w:kern w:val="0"/>
          <w:sz w:val="32"/>
          <w:szCs w:val="32"/>
          <w:lang w:val="en-US" w:eastAsia="zh-CN" w:bidi="ar-SA"/>
        </w:rPr>
        <w:t>16.经营支出：</w:t>
      </w:r>
      <w:r>
        <w:rPr>
          <w:rFonts w:eastAsia="仿宋_GB2312"/>
          <w:sz w:val="32"/>
          <w:szCs w:val="32"/>
        </w:rPr>
        <w:t>指事业单位在专业业务活动及其辅助活动之外开展非独立核算经营活动发生的支出。</w:t>
      </w:r>
    </w:p>
    <w:p w14:paraId="1631F29F">
      <w:pPr>
        <w:pStyle w:val="26"/>
        <w:pageBreakBefore w:val="0"/>
        <w:widowControl w:val="0"/>
        <w:kinsoku/>
        <w:wordWrap/>
        <w:overflowPunct/>
        <w:topLinePunct w:val="0"/>
        <w:bidi w:val="0"/>
        <w:snapToGrid/>
        <w:spacing w:line="560" w:lineRule="exact"/>
        <w:ind w:firstLine="643"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17.“三公”经费：</w:t>
      </w:r>
      <w:r>
        <w:rPr>
          <w:rFonts w:ascii="Times New Roman" w:hAnsi="Times New Roman" w:eastAsia="仿宋_GB2312" w:cs="Times New Roman"/>
          <w:color w:val="auto"/>
          <w:sz w:val="32"/>
          <w:szCs w:val="32"/>
        </w:rPr>
        <w:t>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644761B3">
      <w:pPr>
        <w:pStyle w:val="26"/>
        <w:pageBreakBefore w:val="0"/>
        <w:widowControl w:val="0"/>
        <w:kinsoku/>
        <w:wordWrap/>
        <w:overflowPunct/>
        <w:topLinePunct w:val="0"/>
        <w:bidi w:val="0"/>
        <w:snapToGrid/>
        <w:spacing w:line="560" w:lineRule="exact"/>
        <w:ind w:firstLine="643"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18.机关运行经费：</w:t>
      </w:r>
      <w:r>
        <w:rPr>
          <w:rFonts w:ascii="Times New Roman" w:hAnsi="Times New Roman" w:eastAsia="仿宋_GB2312" w:cs="Times New Roman"/>
          <w:color w:val="auto"/>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27DE7051">
      <w:pPr>
        <w:pageBreakBefore w:val="0"/>
        <w:widowControl w:val="0"/>
        <w:kinsoku/>
        <w:wordWrap/>
        <w:overflowPunct/>
        <w:topLinePunct w:val="0"/>
        <w:bidi w:val="0"/>
        <w:snapToGrid/>
        <w:spacing w:line="560" w:lineRule="exact"/>
        <w:ind w:firstLine="643" w:firstLineChars="200"/>
        <w:textAlignment w:val="auto"/>
        <w:rPr>
          <w:rFonts w:eastAsia="仿宋"/>
          <w:b/>
          <w:sz w:val="32"/>
          <w:szCs w:val="32"/>
        </w:rPr>
      </w:pPr>
    </w:p>
    <w:p w14:paraId="58D2A593">
      <w:pPr>
        <w:pageBreakBefore w:val="0"/>
        <w:widowControl w:val="0"/>
        <w:kinsoku/>
        <w:wordWrap/>
        <w:overflowPunct/>
        <w:topLinePunct w:val="0"/>
        <w:bidi w:val="0"/>
        <w:snapToGrid/>
        <w:spacing w:line="560" w:lineRule="exact"/>
        <w:jc w:val="center"/>
        <w:textAlignment w:val="auto"/>
        <w:rPr>
          <w:rStyle w:val="28"/>
          <w:rFonts w:eastAsia="黑体"/>
          <w:b w:val="0"/>
        </w:rPr>
      </w:pPr>
      <w:bookmarkStart w:id="51" w:name="_Toc15377226"/>
      <w:r>
        <w:rPr>
          <w:b/>
          <w:sz w:val="44"/>
          <w:szCs w:val="44"/>
        </w:rPr>
        <w:br w:type="page"/>
      </w:r>
      <w:bookmarkStart w:id="52" w:name="_Toc15396614"/>
      <w:r>
        <w:rPr>
          <w:rStyle w:val="28"/>
          <w:rFonts w:eastAsia="黑体"/>
          <w:b w:val="0"/>
        </w:rPr>
        <w:t>第四部分附件</w:t>
      </w:r>
      <w:bookmarkEnd w:id="52"/>
    </w:p>
    <w:p w14:paraId="1F19AED0">
      <w:pPr>
        <w:pageBreakBefore w:val="0"/>
        <w:widowControl w:val="0"/>
        <w:kinsoku/>
        <w:wordWrap/>
        <w:overflowPunct/>
        <w:topLinePunct w:val="0"/>
        <w:bidi w:val="0"/>
        <w:snapToGrid/>
        <w:spacing w:line="560" w:lineRule="exact"/>
        <w:jc w:val="left"/>
        <w:textAlignment w:val="auto"/>
        <w:outlineLvl w:val="0"/>
        <w:rPr>
          <w:rFonts w:eastAsia="仿宋_GB2312"/>
          <w:sz w:val="32"/>
          <w:szCs w:val="32"/>
        </w:rPr>
      </w:pPr>
    </w:p>
    <w:p w14:paraId="1EE3F664">
      <w:pPr>
        <w:pageBreakBefore w:val="0"/>
        <w:widowControl w:val="0"/>
        <w:kinsoku/>
        <w:wordWrap/>
        <w:overflowPunct/>
        <w:topLinePunct w:val="0"/>
        <w:bidi w:val="0"/>
        <w:snapToGrid/>
        <w:spacing w:line="560" w:lineRule="exact"/>
        <w:jc w:val="center"/>
        <w:textAlignment w:val="auto"/>
        <w:outlineLvl w:val="0"/>
        <w:rPr>
          <w:rFonts w:hint="eastAsia" w:ascii="仿宋_GB2312" w:hAnsi="仿宋_GB2312" w:eastAsia="仿宋_GB2312" w:cs="仿宋_GB2312"/>
          <w:color w:val="FF0000"/>
          <w:sz w:val="44"/>
          <w:szCs w:val="44"/>
          <w:lang w:val="en-US" w:eastAsia="zh-CN"/>
        </w:rPr>
      </w:pPr>
      <w:bookmarkStart w:id="53" w:name="_Toc15396618"/>
      <w:r>
        <w:rPr>
          <w:rFonts w:hint="eastAsia" w:ascii="仿宋_GB2312" w:hAnsi="仿宋_GB2312" w:eastAsia="仿宋_GB2312" w:cs="仿宋_GB2312"/>
          <w:sz w:val="32"/>
          <w:szCs w:val="32"/>
        </w:rPr>
        <w:t>部门预算项目支出绩效自评表（2023年度）</w:t>
      </w:r>
      <w:r>
        <w:rPr>
          <w:rFonts w:hint="eastAsia" w:ascii="仿宋_GB2312" w:hAnsi="仿宋_GB2312" w:eastAsia="仿宋_GB2312" w:cs="仿宋_GB2312"/>
          <w:sz w:val="32"/>
          <w:szCs w:val="32"/>
          <w:lang w:val="en-US" w:eastAsia="zh-CN"/>
        </w:rPr>
        <w:t>见附件。</w:t>
      </w:r>
      <w:bookmarkStart w:id="67" w:name="_GoBack"/>
      <w:bookmarkEnd w:id="67"/>
    </w:p>
    <w:p w14:paraId="742F756F">
      <w:pPr>
        <w:pStyle w:val="14"/>
        <w:pageBreakBefore w:val="0"/>
        <w:widowControl w:val="0"/>
        <w:kinsoku/>
        <w:wordWrap/>
        <w:overflowPunct/>
        <w:topLinePunct w:val="0"/>
        <w:bidi w:val="0"/>
        <w:snapToGrid/>
        <w:spacing w:line="560" w:lineRule="exact"/>
        <w:ind w:left="0" w:leftChars="0" w:firstLine="640"/>
        <w:textAlignment w:val="auto"/>
        <w:rPr>
          <w:sz w:val="32"/>
        </w:rPr>
      </w:pPr>
    </w:p>
    <w:p w14:paraId="5FAC9A7A">
      <w:pPr>
        <w:pageBreakBefore w:val="0"/>
        <w:widowControl w:val="0"/>
        <w:kinsoku/>
        <w:wordWrap/>
        <w:overflowPunct/>
        <w:topLinePunct w:val="0"/>
        <w:bidi w:val="0"/>
        <w:snapToGrid/>
        <w:spacing w:line="560" w:lineRule="exact"/>
        <w:jc w:val="center"/>
        <w:textAlignment w:val="auto"/>
        <w:rPr>
          <w:rStyle w:val="28"/>
        </w:rPr>
      </w:pPr>
    </w:p>
    <w:p w14:paraId="7421EC29">
      <w:pPr>
        <w:pageBreakBefore w:val="0"/>
        <w:widowControl w:val="0"/>
        <w:kinsoku/>
        <w:wordWrap/>
        <w:overflowPunct/>
        <w:topLinePunct w:val="0"/>
        <w:bidi w:val="0"/>
        <w:snapToGrid/>
        <w:spacing w:line="560" w:lineRule="exact"/>
        <w:jc w:val="center"/>
        <w:textAlignment w:val="auto"/>
        <w:rPr>
          <w:rStyle w:val="28"/>
        </w:rPr>
      </w:pPr>
    </w:p>
    <w:p w14:paraId="16DA4D9D">
      <w:pPr>
        <w:pageBreakBefore w:val="0"/>
        <w:widowControl w:val="0"/>
        <w:kinsoku/>
        <w:wordWrap/>
        <w:overflowPunct/>
        <w:topLinePunct w:val="0"/>
        <w:bidi w:val="0"/>
        <w:snapToGrid/>
        <w:spacing w:line="560" w:lineRule="exact"/>
        <w:jc w:val="center"/>
        <w:textAlignment w:val="auto"/>
        <w:rPr>
          <w:rStyle w:val="28"/>
        </w:rPr>
      </w:pPr>
    </w:p>
    <w:p w14:paraId="57CC48D8">
      <w:pPr>
        <w:pageBreakBefore w:val="0"/>
        <w:widowControl w:val="0"/>
        <w:kinsoku/>
        <w:wordWrap/>
        <w:overflowPunct/>
        <w:topLinePunct w:val="0"/>
        <w:bidi w:val="0"/>
        <w:snapToGrid/>
        <w:spacing w:line="560" w:lineRule="exact"/>
        <w:jc w:val="center"/>
        <w:textAlignment w:val="auto"/>
        <w:rPr>
          <w:rStyle w:val="28"/>
        </w:rPr>
      </w:pPr>
    </w:p>
    <w:p w14:paraId="6C56A31D">
      <w:pPr>
        <w:pageBreakBefore w:val="0"/>
        <w:widowControl w:val="0"/>
        <w:kinsoku/>
        <w:wordWrap/>
        <w:overflowPunct/>
        <w:topLinePunct w:val="0"/>
        <w:bidi w:val="0"/>
        <w:snapToGrid/>
        <w:spacing w:line="560" w:lineRule="exact"/>
        <w:jc w:val="center"/>
        <w:textAlignment w:val="auto"/>
        <w:rPr>
          <w:rStyle w:val="28"/>
        </w:rPr>
      </w:pPr>
    </w:p>
    <w:p w14:paraId="4643FBEE">
      <w:pPr>
        <w:pageBreakBefore w:val="0"/>
        <w:widowControl w:val="0"/>
        <w:kinsoku/>
        <w:wordWrap/>
        <w:overflowPunct/>
        <w:topLinePunct w:val="0"/>
        <w:bidi w:val="0"/>
        <w:snapToGrid/>
        <w:spacing w:line="560" w:lineRule="exact"/>
        <w:jc w:val="center"/>
        <w:textAlignment w:val="auto"/>
        <w:rPr>
          <w:rStyle w:val="28"/>
        </w:rPr>
      </w:pPr>
    </w:p>
    <w:p w14:paraId="535E1BEC">
      <w:pPr>
        <w:pageBreakBefore w:val="0"/>
        <w:widowControl w:val="0"/>
        <w:kinsoku/>
        <w:wordWrap/>
        <w:overflowPunct/>
        <w:topLinePunct w:val="0"/>
        <w:bidi w:val="0"/>
        <w:snapToGrid/>
        <w:spacing w:line="560" w:lineRule="exact"/>
        <w:jc w:val="center"/>
        <w:textAlignment w:val="auto"/>
        <w:rPr>
          <w:rStyle w:val="28"/>
        </w:rPr>
      </w:pPr>
    </w:p>
    <w:p w14:paraId="071E9208">
      <w:pPr>
        <w:pageBreakBefore w:val="0"/>
        <w:widowControl w:val="0"/>
        <w:kinsoku/>
        <w:wordWrap/>
        <w:overflowPunct/>
        <w:topLinePunct w:val="0"/>
        <w:bidi w:val="0"/>
        <w:snapToGrid/>
        <w:spacing w:line="560" w:lineRule="exact"/>
        <w:jc w:val="center"/>
        <w:textAlignment w:val="auto"/>
        <w:rPr>
          <w:rStyle w:val="28"/>
        </w:rPr>
      </w:pPr>
    </w:p>
    <w:p w14:paraId="12FB831A">
      <w:pPr>
        <w:pageBreakBefore w:val="0"/>
        <w:widowControl w:val="0"/>
        <w:kinsoku/>
        <w:wordWrap/>
        <w:overflowPunct/>
        <w:topLinePunct w:val="0"/>
        <w:bidi w:val="0"/>
        <w:snapToGrid/>
        <w:spacing w:line="560" w:lineRule="exact"/>
        <w:jc w:val="center"/>
        <w:textAlignment w:val="auto"/>
        <w:rPr>
          <w:rStyle w:val="28"/>
        </w:rPr>
      </w:pPr>
    </w:p>
    <w:p w14:paraId="5E017394">
      <w:pPr>
        <w:pageBreakBefore w:val="0"/>
        <w:widowControl w:val="0"/>
        <w:kinsoku/>
        <w:wordWrap/>
        <w:overflowPunct/>
        <w:topLinePunct w:val="0"/>
        <w:bidi w:val="0"/>
        <w:snapToGrid/>
        <w:spacing w:line="560" w:lineRule="exact"/>
        <w:jc w:val="center"/>
        <w:textAlignment w:val="auto"/>
        <w:rPr>
          <w:rStyle w:val="28"/>
        </w:rPr>
      </w:pPr>
    </w:p>
    <w:p w14:paraId="39B4A9FA">
      <w:pPr>
        <w:pageBreakBefore w:val="0"/>
        <w:widowControl w:val="0"/>
        <w:kinsoku/>
        <w:wordWrap/>
        <w:overflowPunct/>
        <w:topLinePunct w:val="0"/>
        <w:bidi w:val="0"/>
        <w:snapToGrid/>
        <w:spacing w:line="560" w:lineRule="exact"/>
        <w:jc w:val="center"/>
        <w:textAlignment w:val="auto"/>
        <w:rPr>
          <w:rStyle w:val="28"/>
        </w:rPr>
      </w:pPr>
    </w:p>
    <w:p w14:paraId="3720F056">
      <w:pPr>
        <w:pageBreakBefore w:val="0"/>
        <w:widowControl w:val="0"/>
        <w:kinsoku/>
        <w:wordWrap/>
        <w:overflowPunct/>
        <w:topLinePunct w:val="0"/>
        <w:bidi w:val="0"/>
        <w:snapToGrid/>
        <w:spacing w:line="560" w:lineRule="exact"/>
        <w:jc w:val="center"/>
        <w:textAlignment w:val="auto"/>
        <w:rPr>
          <w:rStyle w:val="28"/>
        </w:rPr>
      </w:pPr>
    </w:p>
    <w:p w14:paraId="728079AC">
      <w:pPr>
        <w:pageBreakBefore w:val="0"/>
        <w:widowControl w:val="0"/>
        <w:kinsoku/>
        <w:wordWrap/>
        <w:overflowPunct/>
        <w:topLinePunct w:val="0"/>
        <w:bidi w:val="0"/>
        <w:snapToGrid/>
        <w:spacing w:line="560" w:lineRule="exact"/>
        <w:jc w:val="center"/>
        <w:textAlignment w:val="auto"/>
        <w:rPr>
          <w:rStyle w:val="28"/>
        </w:rPr>
      </w:pPr>
    </w:p>
    <w:p w14:paraId="37C1310D">
      <w:pPr>
        <w:pageBreakBefore w:val="0"/>
        <w:widowControl w:val="0"/>
        <w:kinsoku/>
        <w:wordWrap/>
        <w:overflowPunct/>
        <w:topLinePunct w:val="0"/>
        <w:bidi w:val="0"/>
        <w:snapToGrid/>
        <w:spacing w:line="560" w:lineRule="exact"/>
        <w:jc w:val="center"/>
        <w:textAlignment w:val="auto"/>
        <w:rPr>
          <w:rStyle w:val="28"/>
        </w:rPr>
      </w:pPr>
    </w:p>
    <w:p w14:paraId="450FE257">
      <w:pPr>
        <w:pageBreakBefore w:val="0"/>
        <w:widowControl w:val="0"/>
        <w:kinsoku/>
        <w:wordWrap/>
        <w:overflowPunct/>
        <w:topLinePunct w:val="0"/>
        <w:bidi w:val="0"/>
        <w:snapToGrid/>
        <w:spacing w:line="560" w:lineRule="exact"/>
        <w:jc w:val="center"/>
        <w:textAlignment w:val="auto"/>
        <w:rPr>
          <w:rStyle w:val="28"/>
        </w:rPr>
      </w:pPr>
    </w:p>
    <w:p w14:paraId="07B015B9">
      <w:pPr>
        <w:pageBreakBefore w:val="0"/>
        <w:widowControl w:val="0"/>
        <w:kinsoku/>
        <w:wordWrap/>
        <w:overflowPunct/>
        <w:topLinePunct w:val="0"/>
        <w:bidi w:val="0"/>
        <w:snapToGrid/>
        <w:spacing w:line="560" w:lineRule="exact"/>
        <w:jc w:val="center"/>
        <w:textAlignment w:val="auto"/>
        <w:rPr>
          <w:rStyle w:val="28"/>
        </w:rPr>
      </w:pPr>
    </w:p>
    <w:p w14:paraId="6ABDB004">
      <w:pPr>
        <w:pageBreakBefore w:val="0"/>
        <w:widowControl w:val="0"/>
        <w:kinsoku/>
        <w:wordWrap/>
        <w:overflowPunct/>
        <w:topLinePunct w:val="0"/>
        <w:bidi w:val="0"/>
        <w:snapToGrid/>
        <w:spacing w:line="560" w:lineRule="exact"/>
        <w:jc w:val="center"/>
        <w:textAlignment w:val="auto"/>
        <w:rPr>
          <w:rStyle w:val="28"/>
        </w:rPr>
      </w:pPr>
    </w:p>
    <w:p w14:paraId="13A79352">
      <w:pPr>
        <w:pStyle w:val="19"/>
        <w:pageBreakBefore w:val="0"/>
        <w:widowControl w:val="0"/>
        <w:kinsoku/>
        <w:wordWrap/>
        <w:overflowPunct/>
        <w:topLinePunct w:val="0"/>
        <w:bidi w:val="0"/>
        <w:snapToGrid/>
        <w:spacing w:line="560" w:lineRule="exact"/>
        <w:textAlignment w:val="auto"/>
      </w:pPr>
    </w:p>
    <w:p w14:paraId="6C15C52A">
      <w:pPr>
        <w:pageBreakBefore w:val="0"/>
        <w:widowControl w:val="0"/>
        <w:kinsoku/>
        <w:wordWrap/>
        <w:overflowPunct/>
        <w:topLinePunct w:val="0"/>
        <w:bidi w:val="0"/>
        <w:snapToGrid/>
        <w:spacing w:line="560" w:lineRule="exact"/>
        <w:jc w:val="center"/>
        <w:textAlignment w:val="auto"/>
        <w:rPr>
          <w:rStyle w:val="28"/>
        </w:rPr>
      </w:pPr>
    </w:p>
    <w:p w14:paraId="2C440D78">
      <w:pPr>
        <w:pageBreakBefore w:val="0"/>
        <w:widowControl w:val="0"/>
        <w:kinsoku/>
        <w:wordWrap/>
        <w:overflowPunct/>
        <w:topLinePunct w:val="0"/>
        <w:bidi w:val="0"/>
        <w:snapToGrid/>
        <w:spacing w:line="560" w:lineRule="exact"/>
        <w:jc w:val="center"/>
        <w:textAlignment w:val="auto"/>
        <w:rPr>
          <w:rStyle w:val="28"/>
        </w:rPr>
      </w:pPr>
    </w:p>
    <w:p w14:paraId="01D75DDE">
      <w:pPr>
        <w:pageBreakBefore w:val="0"/>
        <w:widowControl w:val="0"/>
        <w:kinsoku/>
        <w:wordWrap/>
        <w:overflowPunct/>
        <w:topLinePunct w:val="0"/>
        <w:bidi w:val="0"/>
        <w:snapToGrid/>
        <w:spacing w:line="560" w:lineRule="exact"/>
        <w:jc w:val="center"/>
        <w:textAlignment w:val="auto"/>
        <w:rPr>
          <w:rStyle w:val="28"/>
          <w:rFonts w:eastAsia="黑体"/>
        </w:rPr>
      </w:pPr>
      <w:r>
        <w:rPr>
          <w:rStyle w:val="28"/>
        </w:rPr>
        <w:t>第</w:t>
      </w:r>
      <w:r>
        <w:rPr>
          <w:rStyle w:val="28"/>
          <w:rFonts w:eastAsia="黑体"/>
          <w:b w:val="0"/>
        </w:rPr>
        <w:t>五部分附表</w:t>
      </w:r>
      <w:bookmarkEnd w:id="51"/>
      <w:bookmarkEnd w:id="53"/>
      <w:bookmarkStart w:id="54" w:name="_Toc15396619"/>
    </w:p>
    <w:p w14:paraId="7B36BD4F">
      <w:pPr>
        <w:pStyle w:val="3"/>
        <w:pageBreakBefore w:val="0"/>
        <w:widowControl w:val="0"/>
        <w:kinsoku/>
        <w:wordWrap/>
        <w:overflowPunct/>
        <w:topLinePunct w:val="0"/>
        <w:bidi w:val="0"/>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b w:val="0"/>
        </w:rPr>
        <w:t>一、收</w:t>
      </w:r>
      <w:r>
        <w:rPr>
          <w:rStyle w:val="29"/>
          <w:rFonts w:hint="eastAsia" w:ascii="仿宋_GB2312" w:hAnsi="仿宋_GB2312" w:eastAsia="仿宋_GB2312" w:cs="仿宋_GB2312"/>
          <w:b w:val="0"/>
          <w:bCs w:val="0"/>
        </w:rPr>
        <w:t>入支出决算总表</w:t>
      </w:r>
      <w:bookmarkEnd w:id="54"/>
    </w:p>
    <w:p w14:paraId="546635E3">
      <w:pPr>
        <w:pStyle w:val="3"/>
        <w:pageBreakBefore w:val="0"/>
        <w:widowControl w:val="0"/>
        <w:kinsoku/>
        <w:wordWrap/>
        <w:overflowPunct/>
        <w:topLinePunct w:val="0"/>
        <w:bidi w:val="0"/>
        <w:snapToGrid/>
        <w:spacing w:line="560" w:lineRule="exact"/>
        <w:textAlignment w:val="auto"/>
        <w:rPr>
          <w:rFonts w:hint="eastAsia" w:ascii="仿宋_GB2312" w:hAnsi="仿宋_GB2312" w:eastAsia="仿宋_GB2312" w:cs="仿宋_GB2312"/>
        </w:rPr>
      </w:pPr>
      <w:bookmarkStart w:id="55" w:name="_Toc15396620"/>
      <w:r>
        <w:rPr>
          <w:rFonts w:hint="eastAsia" w:ascii="仿宋_GB2312" w:hAnsi="仿宋_GB2312" w:eastAsia="仿宋_GB2312" w:cs="仿宋_GB2312"/>
          <w:b w:val="0"/>
        </w:rPr>
        <w:t>二、收</w:t>
      </w:r>
      <w:r>
        <w:rPr>
          <w:rStyle w:val="29"/>
          <w:rFonts w:hint="eastAsia" w:ascii="仿宋_GB2312" w:hAnsi="仿宋_GB2312" w:eastAsia="仿宋_GB2312" w:cs="仿宋_GB2312"/>
          <w:b w:val="0"/>
          <w:bCs w:val="0"/>
        </w:rPr>
        <w:t>入决算表</w:t>
      </w:r>
      <w:bookmarkEnd w:id="55"/>
    </w:p>
    <w:p w14:paraId="566D1A9E">
      <w:pPr>
        <w:pStyle w:val="3"/>
        <w:pageBreakBefore w:val="0"/>
        <w:widowControl w:val="0"/>
        <w:kinsoku/>
        <w:wordWrap/>
        <w:overflowPunct/>
        <w:topLinePunct w:val="0"/>
        <w:bidi w:val="0"/>
        <w:snapToGrid/>
        <w:spacing w:line="560" w:lineRule="exact"/>
        <w:textAlignment w:val="auto"/>
        <w:rPr>
          <w:rFonts w:hint="eastAsia" w:ascii="仿宋_GB2312" w:hAnsi="仿宋_GB2312" w:eastAsia="仿宋_GB2312" w:cs="仿宋_GB2312"/>
        </w:rPr>
      </w:pPr>
      <w:bookmarkStart w:id="56" w:name="_Toc15396621"/>
      <w:r>
        <w:rPr>
          <w:rStyle w:val="29"/>
          <w:rFonts w:hint="eastAsia" w:ascii="仿宋_GB2312" w:hAnsi="仿宋_GB2312" w:eastAsia="仿宋_GB2312" w:cs="仿宋_GB2312"/>
          <w:b w:val="0"/>
          <w:bCs w:val="0"/>
        </w:rPr>
        <w:t>三、</w:t>
      </w:r>
      <w:r>
        <w:rPr>
          <w:rFonts w:hint="eastAsia" w:ascii="仿宋_GB2312" w:hAnsi="仿宋_GB2312" w:eastAsia="仿宋_GB2312" w:cs="仿宋_GB2312"/>
          <w:b w:val="0"/>
        </w:rPr>
        <w:t>支</w:t>
      </w:r>
      <w:r>
        <w:rPr>
          <w:rStyle w:val="29"/>
          <w:rFonts w:hint="eastAsia" w:ascii="仿宋_GB2312" w:hAnsi="仿宋_GB2312" w:eastAsia="仿宋_GB2312" w:cs="仿宋_GB2312"/>
          <w:b w:val="0"/>
          <w:bCs w:val="0"/>
        </w:rPr>
        <w:t>出决算表</w:t>
      </w:r>
      <w:bookmarkEnd w:id="56"/>
    </w:p>
    <w:p w14:paraId="19EA054B">
      <w:pPr>
        <w:pStyle w:val="3"/>
        <w:pageBreakBefore w:val="0"/>
        <w:widowControl w:val="0"/>
        <w:kinsoku/>
        <w:wordWrap/>
        <w:overflowPunct/>
        <w:topLinePunct w:val="0"/>
        <w:bidi w:val="0"/>
        <w:snapToGrid/>
        <w:spacing w:line="560" w:lineRule="exact"/>
        <w:textAlignment w:val="auto"/>
        <w:rPr>
          <w:rFonts w:hint="eastAsia" w:ascii="仿宋_GB2312" w:hAnsi="仿宋_GB2312" w:eastAsia="仿宋_GB2312" w:cs="仿宋_GB2312"/>
          <w:b w:val="0"/>
        </w:rPr>
      </w:pPr>
      <w:bookmarkStart w:id="57" w:name="_Toc15396622"/>
      <w:r>
        <w:rPr>
          <w:rStyle w:val="29"/>
          <w:rFonts w:hint="eastAsia" w:ascii="仿宋_GB2312" w:hAnsi="仿宋_GB2312" w:eastAsia="仿宋_GB2312" w:cs="仿宋_GB2312"/>
          <w:b w:val="0"/>
          <w:bCs w:val="0"/>
        </w:rPr>
        <w:t>四、</w:t>
      </w:r>
      <w:r>
        <w:rPr>
          <w:rFonts w:hint="eastAsia" w:ascii="仿宋_GB2312" w:hAnsi="仿宋_GB2312" w:eastAsia="仿宋_GB2312" w:cs="仿宋_GB2312"/>
          <w:b w:val="0"/>
        </w:rPr>
        <w:t>财</w:t>
      </w:r>
      <w:r>
        <w:rPr>
          <w:rStyle w:val="29"/>
          <w:rFonts w:hint="eastAsia" w:ascii="仿宋_GB2312" w:hAnsi="仿宋_GB2312" w:eastAsia="仿宋_GB2312" w:cs="仿宋_GB2312"/>
          <w:b w:val="0"/>
          <w:bCs w:val="0"/>
        </w:rPr>
        <w:t>政拨款收入支出决算总表</w:t>
      </w:r>
      <w:bookmarkEnd w:id="57"/>
    </w:p>
    <w:p w14:paraId="09C90E87">
      <w:pPr>
        <w:pStyle w:val="3"/>
        <w:pageBreakBefore w:val="0"/>
        <w:widowControl w:val="0"/>
        <w:kinsoku/>
        <w:wordWrap/>
        <w:overflowPunct/>
        <w:topLinePunct w:val="0"/>
        <w:bidi w:val="0"/>
        <w:snapToGrid/>
        <w:spacing w:line="560" w:lineRule="exact"/>
        <w:textAlignment w:val="auto"/>
        <w:rPr>
          <w:rStyle w:val="29"/>
          <w:rFonts w:hint="eastAsia" w:ascii="仿宋_GB2312" w:hAnsi="仿宋_GB2312" w:eastAsia="仿宋_GB2312" w:cs="仿宋_GB2312"/>
          <w:b w:val="0"/>
          <w:bCs w:val="0"/>
        </w:rPr>
      </w:pPr>
      <w:bookmarkStart w:id="58" w:name="_Toc15396623"/>
      <w:r>
        <w:rPr>
          <w:rStyle w:val="29"/>
          <w:rFonts w:hint="eastAsia" w:ascii="仿宋_GB2312" w:hAnsi="仿宋_GB2312" w:eastAsia="仿宋_GB2312" w:cs="仿宋_GB2312"/>
          <w:b w:val="0"/>
          <w:bCs w:val="0"/>
        </w:rPr>
        <w:t>五、</w:t>
      </w:r>
      <w:r>
        <w:rPr>
          <w:rFonts w:hint="eastAsia" w:ascii="仿宋_GB2312" w:hAnsi="仿宋_GB2312" w:eastAsia="仿宋_GB2312" w:cs="仿宋_GB2312"/>
          <w:b w:val="0"/>
        </w:rPr>
        <w:t>财</w:t>
      </w:r>
      <w:r>
        <w:rPr>
          <w:rStyle w:val="29"/>
          <w:rFonts w:hint="eastAsia" w:ascii="仿宋_GB2312" w:hAnsi="仿宋_GB2312" w:eastAsia="仿宋_GB2312" w:cs="仿宋_GB2312"/>
          <w:b w:val="0"/>
          <w:bCs w:val="0"/>
        </w:rPr>
        <w:t>政拨款支出决算明细表</w:t>
      </w:r>
      <w:bookmarkEnd w:id="58"/>
      <w:bookmarkStart w:id="59" w:name="_Toc15396624"/>
    </w:p>
    <w:p w14:paraId="6BB5A571">
      <w:pPr>
        <w:pStyle w:val="3"/>
        <w:pageBreakBefore w:val="0"/>
        <w:widowControl w:val="0"/>
        <w:kinsoku/>
        <w:wordWrap/>
        <w:overflowPunct/>
        <w:topLinePunct w:val="0"/>
        <w:bidi w:val="0"/>
        <w:snapToGrid/>
        <w:spacing w:line="560" w:lineRule="exact"/>
        <w:textAlignment w:val="auto"/>
        <w:rPr>
          <w:rFonts w:hint="eastAsia" w:ascii="仿宋_GB2312" w:hAnsi="仿宋_GB2312" w:eastAsia="仿宋_GB2312" w:cs="仿宋_GB2312"/>
        </w:rPr>
      </w:pPr>
      <w:r>
        <w:rPr>
          <w:rStyle w:val="29"/>
          <w:rFonts w:hint="eastAsia" w:ascii="仿宋_GB2312" w:hAnsi="仿宋_GB2312" w:eastAsia="仿宋_GB2312" w:cs="仿宋_GB2312"/>
          <w:b w:val="0"/>
          <w:bCs w:val="0"/>
        </w:rPr>
        <w:t>六、</w:t>
      </w:r>
      <w:r>
        <w:rPr>
          <w:rFonts w:hint="eastAsia" w:ascii="仿宋_GB2312" w:hAnsi="仿宋_GB2312" w:eastAsia="仿宋_GB2312" w:cs="仿宋_GB2312"/>
          <w:b w:val="0"/>
        </w:rPr>
        <w:t>一</w:t>
      </w:r>
      <w:r>
        <w:rPr>
          <w:rStyle w:val="29"/>
          <w:rFonts w:hint="eastAsia" w:ascii="仿宋_GB2312" w:hAnsi="仿宋_GB2312" w:eastAsia="仿宋_GB2312" w:cs="仿宋_GB2312"/>
          <w:b w:val="0"/>
          <w:bCs w:val="0"/>
        </w:rPr>
        <w:t>般公共预算财政拨款支出决算表</w:t>
      </w:r>
      <w:bookmarkEnd w:id="59"/>
    </w:p>
    <w:p w14:paraId="4D8F1E25">
      <w:pPr>
        <w:pStyle w:val="3"/>
        <w:pageBreakBefore w:val="0"/>
        <w:widowControl w:val="0"/>
        <w:kinsoku/>
        <w:wordWrap/>
        <w:overflowPunct/>
        <w:topLinePunct w:val="0"/>
        <w:bidi w:val="0"/>
        <w:snapToGrid/>
        <w:spacing w:line="560" w:lineRule="exact"/>
        <w:textAlignment w:val="auto"/>
        <w:rPr>
          <w:rFonts w:hint="eastAsia" w:ascii="仿宋_GB2312" w:hAnsi="仿宋_GB2312" w:eastAsia="仿宋_GB2312" w:cs="仿宋_GB2312"/>
        </w:rPr>
      </w:pPr>
      <w:bookmarkStart w:id="60" w:name="_Toc15396625"/>
      <w:r>
        <w:rPr>
          <w:rStyle w:val="29"/>
          <w:rFonts w:hint="eastAsia" w:ascii="仿宋_GB2312" w:hAnsi="仿宋_GB2312" w:eastAsia="仿宋_GB2312" w:cs="仿宋_GB2312"/>
          <w:b w:val="0"/>
          <w:bCs w:val="0"/>
        </w:rPr>
        <w:t>七、</w:t>
      </w:r>
      <w:r>
        <w:rPr>
          <w:rFonts w:hint="eastAsia" w:ascii="仿宋_GB2312" w:hAnsi="仿宋_GB2312" w:eastAsia="仿宋_GB2312" w:cs="仿宋_GB2312"/>
          <w:b w:val="0"/>
        </w:rPr>
        <w:t>一</w:t>
      </w:r>
      <w:r>
        <w:rPr>
          <w:rStyle w:val="29"/>
          <w:rFonts w:hint="eastAsia" w:ascii="仿宋_GB2312" w:hAnsi="仿宋_GB2312" w:eastAsia="仿宋_GB2312" w:cs="仿宋_GB2312"/>
          <w:b w:val="0"/>
          <w:bCs w:val="0"/>
        </w:rPr>
        <w:t>般公共预算财政拨款支出决算明细表</w:t>
      </w:r>
      <w:bookmarkEnd w:id="60"/>
    </w:p>
    <w:p w14:paraId="34281C38">
      <w:pPr>
        <w:pStyle w:val="3"/>
        <w:pageBreakBefore w:val="0"/>
        <w:widowControl w:val="0"/>
        <w:kinsoku/>
        <w:wordWrap/>
        <w:overflowPunct/>
        <w:topLinePunct w:val="0"/>
        <w:bidi w:val="0"/>
        <w:snapToGrid/>
        <w:spacing w:line="560" w:lineRule="exact"/>
        <w:textAlignment w:val="auto"/>
        <w:rPr>
          <w:rFonts w:hint="eastAsia" w:ascii="仿宋_GB2312" w:hAnsi="仿宋_GB2312" w:eastAsia="仿宋_GB2312" w:cs="仿宋_GB2312"/>
        </w:rPr>
      </w:pPr>
      <w:bookmarkStart w:id="61" w:name="_Toc15396626"/>
      <w:r>
        <w:rPr>
          <w:rStyle w:val="29"/>
          <w:rFonts w:hint="eastAsia" w:ascii="仿宋_GB2312" w:hAnsi="仿宋_GB2312" w:eastAsia="仿宋_GB2312" w:cs="仿宋_GB2312"/>
          <w:b w:val="0"/>
          <w:bCs w:val="0"/>
        </w:rPr>
        <w:t>八、</w:t>
      </w:r>
      <w:r>
        <w:rPr>
          <w:rFonts w:hint="eastAsia" w:ascii="仿宋_GB2312" w:hAnsi="仿宋_GB2312" w:eastAsia="仿宋_GB2312" w:cs="仿宋_GB2312"/>
          <w:b w:val="0"/>
        </w:rPr>
        <w:t>一</w:t>
      </w:r>
      <w:r>
        <w:rPr>
          <w:rStyle w:val="29"/>
          <w:rFonts w:hint="eastAsia" w:ascii="仿宋_GB2312" w:hAnsi="仿宋_GB2312" w:eastAsia="仿宋_GB2312" w:cs="仿宋_GB2312"/>
          <w:b w:val="0"/>
          <w:bCs w:val="0"/>
        </w:rPr>
        <w:t>般公共预算财政拨款基本支出决算表</w:t>
      </w:r>
      <w:bookmarkEnd w:id="61"/>
    </w:p>
    <w:p w14:paraId="4152E6FB">
      <w:pPr>
        <w:pStyle w:val="3"/>
        <w:pageBreakBefore w:val="0"/>
        <w:widowControl w:val="0"/>
        <w:kinsoku/>
        <w:wordWrap/>
        <w:overflowPunct/>
        <w:topLinePunct w:val="0"/>
        <w:bidi w:val="0"/>
        <w:snapToGrid/>
        <w:spacing w:line="560" w:lineRule="exact"/>
        <w:textAlignment w:val="auto"/>
        <w:rPr>
          <w:rFonts w:hint="eastAsia" w:ascii="仿宋_GB2312" w:hAnsi="仿宋_GB2312" w:eastAsia="仿宋_GB2312" w:cs="仿宋_GB2312"/>
        </w:rPr>
      </w:pPr>
      <w:bookmarkStart w:id="62" w:name="_Toc15396627"/>
      <w:r>
        <w:rPr>
          <w:rStyle w:val="29"/>
          <w:rFonts w:hint="eastAsia" w:ascii="仿宋_GB2312" w:hAnsi="仿宋_GB2312" w:eastAsia="仿宋_GB2312" w:cs="仿宋_GB2312"/>
          <w:b w:val="0"/>
          <w:bCs w:val="0"/>
        </w:rPr>
        <w:t>九、</w:t>
      </w:r>
      <w:r>
        <w:rPr>
          <w:rFonts w:hint="eastAsia" w:ascii="仿宋_GB2312" w:hAnsi="仿宋_GB2312" w:eastAsia="仿宋_GB2312" w:cs="仿宋_GB2312"/>
          <w:b w:val="0"/>
        </w:rPr>
        <w:t>一</w:t>
      </w:r>
      <w:r>
        <w:rPr>
          <w:rStyle w:val="29"/>
          <w:rFonts w:hint="eastAsia" w:ascii="仿宋_GB2312" w:hAnsi="仿宋_GB2312" w:eastAsia="仿宋_GB2312" w:cs="仿宋_GB2312"/>
          <w:b w:val="0"/>
          <w:bCs w:val="0"/>
        </w:rPr>
        <w:t>般公共预算财政拨款项目支出决算表</w:t>
      </w:r>
      <w:bookmarkEnd w:id="62"/>
    </w:p>
    <w:p w14:paraId="6E0E5778">
      <w:pPr>
        <w:pStyle w:val="3"/>
        <w:pageBreakBefore w:val="0"/>
        <w:widowControl w:val="0"/>
        <w:kinsoku/>
        <w:wordWrap/>
        <w:overflowPunct/>
        <w:topLinePunct w:val="0"/>
        <w:bidi w:val="0"/>
        <w:snapToGrid/>
        <w:spacing w:line="560" w:lineRule="exact"/>
        <w:textAlignment w:val="auto"/>
        <w:rPr>
          <w:rFonts w:hint="eastAsia" w:ascii="仿宋_GB2312" w:hAnsi="仿宋_GB2312" w:eastAsia="仿宋_GB2312" w:cs="仿宋_GB2312"/>
        </w:rPr>
      </w:pPr>
      <w:bookmarkStart w:id="63" w:name="_Toc15396628"/>
      <w:r>
        <w:rPr>
          <w:rStyle w:val="29"/>
          <w:rFonts w:hint="eastAsia" w:ascii="仿宋_GB2312" w:hAnsi="仿宋_GB2312" w:eastAsia="仿宋_GB2312" w:cs="仿宋_GB2312"/>
          <w:b w:val="0"/>
          <w:bCs w:val="0"/>
        </w:rPr>
        <w:t>十、</w:t>
      </w:r>
      <w:bookmarkEnd w:id="63"/>
      <w:r>
        <w:rPr>
          <w:rFonts w:hint="eastAsia" w:ascii="仿宋_GB2312" w:hAnsi="仿宋_GB2312" w:eastAsia="仿宋_GB2312" w:cs="仿宋_GB2312"/>
          <w:b w:val="0"/>
        </w:rPr>
        <w:t>政</w:t>
      </w:r>
      <w:r>
        <w:rPr>
          <w:rStyle w:val="29"/>
          <w:rFonts w:hint="eastAsia" w:ascii="仿宋_GB2312" w:hAnsi="仿宋_GB2312" w:eastAsia="仿宋_GB2312" w:cs="仿宋_GB2312"/>
          <w:b w:val="0"/>
          <w:bCs w:val="0"/>
        </w:rPr>
        <w:t>府性基金预算财政拨款收入支出决算表</w:t>
      </w:r>
    </w:p>
    <w:p w14:paraId="017E9AA5">
      <w:pPr>
        <w:pStyle w:val="3"/>
        <w:pageBreakBefore w:val="0"/>
        <w:widowControl w:val="0"/>
        <w:kinsoku/>
        <w:wordWrap/>
        <w:overflowPunct/>
        <w:topLinePunct w:val="0"/>
        <w:bidi w:val="0"/>
        <w:snapToGrid/>
        <w:spacing w:line="560" w:lineRule="exact"/>
        <w:textAlignment w:val="auto"/>
        <w:rPr>
          <w:rFonts w:hint="eastAsia" w:ascii="仿宋_GB2312" w:hAnsi="仿宋_GB2312" w:eastAsia="仿宋_GB2312" w:cs="仿宋_GB2312"/>
        </w:rPr>
      </w:pPr>
      <w:bookmarkStart w:id="64" w:name="_Toc15396629"/>
      <w:r>
        <w:rPr>
          <w:rStyle w:val="29"/>
          <w:rFonts w:hint="eastAsia" w:ascii="仿宋_GB2312" w:hAnsi="仿宋_GB2312" w:eastAsia="仿宋_GB2312" w:cs="仿宋_GB2312"/>
          <w:b w:val="0"/>
          <w:bCs w:val="0"/>
        </w:rPr>
        <w:t>十一、</w:t>
      </w:r>
      <w:bookmarkEnd w:id="64"/>
      <w:r>
        <w:rPr>
          <w:rFonts w:hint="eastAsia" w:ascii="仿宋_GB2312" w:hAnsi="仿宋_GB2312" w:eastAsia="仿宋_GB2312" w:cs="仿宋_GB2312"/>
          <w:b w:val="0"/>
        </w:rPr>
        <w:t>国</w:t>
      </w:r>
      <w:r>
        <w:rPr>
          <w:rStyle w:val="29"/>
          <w:rFonts w:hint="eastAsia" w:ascii="仿宋_GB2312" w:hAnsi="仿宋_GB2312" w:eastAsia="仿宋_GB2312" w:cs="仿宋_GB2312"/>
          <w:b w:val="0"/>
          <w:bCs w:val="0"/>
        </w:rPr>
        <w:t>有资本经营预算财政拨款收入支出决算表</w:t>
      </w:r>
    </w:p>
    <w:p w14:paraId="42F11D0A">
      <w:pPr>
        <w:pStyle w:val="3"/>
        <w:pageBreakBefore w:val="0"/>
        <w:widowControl w:val="0"/>
        <w:kinsoku/>
        <w:wordWrap/>
        <w:overflowPunct/>
        <w:topLinePunct w:val="0"/>
        <w:bidi w:val="0"/>
        <w:snapToGrid/>
        <w:spacing w:line="560" w:lineRule="exact"/>
        <w:textAlignment w:val="auto"/>
        <w:rPr>
          <w:rFonts w:hint="eastAsia" w:ascii="仿宋_GB2312" w:hAnsi="仿宋_GB2312" w:eastAsia="仿宋_GB2312" w:cs="仿宋_GB2312"/>
        </w:rPr>
      </w:pPr>
      <w:bookmarkStart w:id="65" w:name="_Toc15396630"/>
      <w:r>
        <w:rPr>
          <w:rStyle w:val="29"/>
          <w:rFonts w:hint="eastAsia" w:ascii="仿宋_GB2312" w:hAnsi="仿宋_GB2312" w:eastAsia="仿宋_GB2312" w:cs="仿宋_GB2312"/>
          <w:b w:val="0"/>
          <w:bCs w:val="0"/>
        </w:rPr>
        <w:t>十二、</w:t>
      </w:r>
      <w:bookmarkEnd w:id="65"/>
      <w:r>
        <w:rPr>
          <w:rStyle w:val="29"/>
          <w:rFonts w:hint="eastAsia" w:ascii="仿宋_GB2312" w:hAnsi="仿宋_GB2312" w:eastAsia="仿宋_GB2312" w:cs="仿宋_GB2312"/>
          <w:b w:val="0"/>
          <w:bCs w:val="0"/>
        </w:rPr>
        <w:t>国有资本经营预算财政拨款支出决算表</w:t>
      </w:r>
    </w:p>
    <w:p w14:paraId="53E89CDB">
      <w:pPr>
        <w:pStyle w:val="3"/>
        <w:pageBreakBefore w:val="0"/>
        <w:widowControl w:val="0"/>
        <w:kinsoku/>
        <w:wordWrap/>
        <w:overflowPunct/>
        <w:topLinePunct w:val="0"/>
        <w:bidi w:val="0"/>
        <w:snapToGrid/>
        <w:spacing w:line="560" w:lineRule="exact"/>
        <w:textAlignment w:val="auto"/>
        <w:rPr>
          <w:rFonts w:hint="eastAsia" w:ascii="仿宋_GB2312" w:hAnsi="仿宋_GB2312" w:eastAsia="仿宋_GB2312" w:cs="仿宋_GB2312"/>
        </w:rPr>
      </w:pPr>
      <w:bookmarkStart w:id="66" w:name="_Toc15396631"/>
      <w:r>
        <w:rPr>
          <w:rStyle w:val="29"/>
          <w:rFonts w:hint="eastAsia" w:ascii="仿宋_GB2312" w:hAnsi="仿宋_GB2312" w:eastAsia="仿宋_GB2312" w:cs="仿宋_GB2312"/>
          <w:b w:val="0"/>
          <w:bCs w:val="0"/>
        </w:rPr>
        <w:t>十三、</w:t>
      </w:r>
      <w:bookmarkEnd w:id="66"/>
      <w:r>
        <w:rPr>
          <w:rStyle w:val="29"/>
          <w:rFonts w:hint="eastAsia" w:ascii="仿宋_GB2312" w:hAnsi="仿宋_GB2312" w:eastAsia="仿宋_GB2312" w:cs="仿宋_GB2312"/>
          <w:b w:val="0"/>
          <w:bCs w:val="0"/>
        </w:rPr>
        <w:t>财政拨款“三公”经费支出决算表</w:t>
      </w:r>
    </w:p>
    <w:sectPr>
      <w:headerReference r:id="rId3" w:type="default"/>
      <w:footerReference r:id="rId4" w:type="default"/>
      <w:pgSz w:w="11906" w:h="16838"/>
      <w:pgMar w:top="1440" w:right="1474" w:bottom="1440" w:left="1588"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0AFF" w:usb1="00007843" w:usb2="00000001" w:usb3="00000000" w:csb0="400001BF" w:csb1="DFF7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EndPr>
      <w:rPr>
        <w:sz w:val="24"/>
        <w:szCs w:val="24"/>
      </w:rPr>
    </w:sdtEndPr>
    <w:sdtContent>
      <w:p w14:paraId="1FCA9E76">
        <w:pPr>
          <w:pStyle w:val="9"/>
          <w:numPr>
            <w:ilvl w:val="0"/>
            <w:numId w:val="1"/>
          </w:numPr>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10</w:t>
        </w:r>
        <w:r>
          <w:rPr>
            <w:sz w:val="24"/>
            <w:szCs w:val="24"/>
          </w:rPr>
          <w:fldChar w:fldCharType="end"/>
        </w:r>
        <w:r>
          <w:rPr>
            <w:rFonts w:hint="eastAsia"/>
            <w:sz w:val="24"/>
            <w:szCs w:val="24"/>
          </w:rPr>
          <w:t>—</w:t>
        </w:r>
      </w:p>
    </w:sdtContent>
  </w:sdt>
  <w:p w14:paraId="6479107F">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C1DC6">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911328"/>
    <w:multiLevelType w:val="multilevel"/>
    <w:tmpl w:val="5B911328"/>
    <w:lvl w:ilvl="0" w:tentative="0">
      <w:start w:val="0"/>
      <w:numFmt w:val="bullet"/>
      <w:lvlText w:val="—"/>
      <w:lvlJc w:val="left"/>
      <w:pPr>
        <w:ind w:left="360" w:hanging="360"/>
      </w:pPr>
      <w:rPr>
        <w:rFonts w:hint="eastAsia" w:ascii="宋体" w:hAnsi="宋体" w:eastAsia="宋体"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I1MTY4OTk2MzU4ZjdhYmQwMDg0OWY0ZTk2N2ZkOTAifQ=="/>
  </w:docVars>
  <w:rsids>
    <w:rsidRoot w:val="00F1361C"/>
    <w:rsid w:val="000222C6"/>
    <w:rsid w:val="0002549F"/>
    <w:rsid w:val="000468DB"/>
    <w:rsid w:val="0006487A"/>
    <w:rsid w:val="00065F8F"/>
    <w:rsid w:val="00070A43"/>
    <w:rsid w:val="000768F2"/>
    <w:rsid w:val="00083D16"/>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269D5"/>
    <w:rsid w:val="00127928"/>
    <w:rsid w:val="00142216"/>
    <w:rsid w:val="00144D6A"/>
    <w:rsid w:val="0014729F"/>
    <w:rsid w:val="00157BAB"/>
    <w:rsid w:val="001654D1"/>
    <w:rsid w:val="00174518"/>
    <w:rsid w:val="0018106D"/>
    <w:rsid w:val="001877A7"/>
    <w:rsid w:val="00191536"/>
    <w:rsid w:val="00196687"/>
    <w:rsid w:val="001A1DAD"/>
    <w:rsid w:val="001C0962"/>
    <w:rsid w:val="001D7531"/>
    <w:rsid w:val="001E0DEA"/>
    <w:rsid w:val="001E737D"/>
    <w:rsid w:val="001F0592"/>
    <w:rsid w:val="001F7506"/>
    <w:rsid w:val="002006CD"/>
    <w:rsid w:val="00202B36"/>
    <w:rsid w:val="00204B7A"/>
    <w:rsid w:val="00204CDE"/>
    <w:rsid w:val="00206907"/>
    <w:rsid w:val="0021101A"/>
    <w:rsid w:val="00212B4A"/>
    <w:rsid w:val="002138CA"/>
    <w:rsid w:val="00220536"/>
    <w:rsid w:val="00235629"/>
    <w:rsid w:val="00246810"/>
    <w:rsid w:val="00250465"/>
    <w:rsid w:val="00260C38"/>
    <w:rsid w:val="002616C0"/>
    <w:rsid w:val="00265372"/>
    <w:rsid w:val="002662AA"/>
    <w:rsid w:val="00267E37"/>
    <w:rsid w:val="00280496"/>
    <w:rsid w:val="00286E5D"/>
    <w:rsid w:val="00294DC9"/>
    <w:rsid w:val="00295495"/>
    <w:rsid w:val="002A31DE"/>
    <w:rsid w:val="002B2613"/>
    <w:rsid w:val="002B74DD"/>
    <w:rsid w:val="002C5004"/>
    <w:rsid w:val="002D6D05"/>
    <w:rsid w:val="002F1818"/>
    <w:rsid w:val="002F4B40"/>
    <w:rsid w:val="002F567B"/>
    <w:rsid w:val="00313295"/>
    <w:rsid w:val="003216A9"/>
    <w:rsid w:val="00335A74"/>
    <w:rsid w:val="0036561B"/>
    <w:rsid w:val="0037013F"/>
    <w:rsid w:val="00380C92"/>
    <w:rsid w:val="0039011E"/>
    <w:rsid w:val="003A484F"/>
    <w:rsid w:val="003A4883"/>
    <w:rsid w:val="003B0BE0"/>
    <w:rsid w:val="003B0C1B"/>
    <w:rsid w:val="003B688C"/>
    <w:rsid w:val="003C0291"/>
    <w:rsid w:val="003C1DE7"/>
    <w:rsid w:val="003C39AE"/>
    <w:rsid w:val="003C7B60"/>
    <w:rsid w:val="003D0C0F"/>
    <w:rsid w:val="003D1FB2"/>
    <w:rsid w:val="003D66DA"/>
    <w:rsid w:val="003E1310"/>
    <w:rsid w:val="003E6F55"/>
    <w:rsid w:val="00406254"/>
    <w:rsid w:val="00414EE9"/>
    <w:rsid w:val="004223DE"/>
    <w:rsid w:val="00425C50"/>
    <w:rsid w:val="0043177C"/>
    <w:rsid w:val="00434489"/>
    <w:rsid w:val="00437085"/>
    <w:rsid w:val="00443880"/>
    <w:rsid w:val="004464F4"/>
    <w:rsid w:val="0046049C"/>
    <w:rsid w:val="00464BBA"/>
    <w:rsid w:val="00471401"/>
    <w:rsid w:val="00473F31"/>
    <w:rsid w:val="0048263A"/>
    <w:rsid w:val="00487E5D"/>
    <w:rsid w:val="004A711F"/>
    <w:rsid w:val="004B199D"/>
    <w:rsid w:val="004B4690"/>
    <w:rsid w:val="004C79D2"/>
    <w:rsid w:val="004E0A2D"/>
    <w:rsid w:val="004E206B"/>
    <w:rsid w:val="004E6DF7"/>
    <w:rsid w:val="004F0FBD"/>
    <w:rsid w:val="00505A47"/>
    <w:rsid w:val="00512FDA"/>
    <w:rsid w:val="00520DA0"/>
    <w:rsid w:val="00547D0A"/>
    <w:rsid w:val="005533CF"/>
    <w:rsid w:val="005664BB"/>
    <w:rsid w:val="00566FFA"/>
    <w:rsid w:val="0057481D"/>
    <w:rsid w:val="00575263"/>
    <w:rsid w:val="0058486E"/>
    <w:rsid w:val="00585B33"/>
    <w:rsid w:val="0059014D"/>
    <w:rsid w:val="005A6DFE"/>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46BA0"/>
    <w:rsid w:val="00653DDB"/>
    <w:rsid w:val="00655FC5"/>
    <w:rsid w:val="0066343B"/>
    <w:rsid w:val="00664777"/>
    <w:rsid w:val="006748A4"/>
    <w:rsid w:val="00681A31"/>
    <w:rsid w:val="00683E73"/>
    <w:rsid w:val="006A3141"/>
    <w:rsid w:val="006A5E34"/>
    <w:rsid w:val="006B2422"/>
    <w:rsid w:val="006B2B9A"/>
    <w:rsid w:val="006C1937"/>
    <w:rsid w:val="006D6F62"/>
    <w:rsid w:val="006E0558"/>
    <w:rsid w:val="006F020C"/>
    <w:rsid w:val="0071021A"/>
    <w:rsid w:val="007127B7"/>
    <w:rsid w:val="0071798E"/>
    <w:rsid w:val="00741327"/>
    <w:rsid w:val="007416B6"/>
    <w:rsid w:val="00743DC2"/>
    <w:rsid w:val="00746F48"/>
    <w:rsid w:val="0075404D"/>
    <w:rsid w:val="0076182A"/>
    <w:rsid w:val="00764AE4"/>
    <w:rsid w:val="00767B7E"/>
    <w:rsid w:val="00775965"/>
    <w:rsid w:val="007770C3"/>
    <w:rsid w:val="00784D24"/>
    <w:rsid w:val="00785FBA"/>
    <w:rsid w:val="00786E4A"/>
    <w:rsid w:val="007875EB"/>
    <w:rsid w:val="0079426B"/>
    <w:rsid w:val="007C2783"/>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5702E"/>
    <w:rsid w:val="00860645"/>
    <w:rsid w:val="008637C1"/>
    <w:rsid w:val="00871F71"/>
    <w:rsid w:val="00872FD8"/>
    <w:rsid w:val="00885AF4"/>
    <w:rsid w:val="008939CD"/>
    <w:rsid w:val="008B768C"/>
    <w:rsid w:val="008C4DB1"/>
    <w:rsid w:val="008C4EAF"/>
    <w:rsid w:val="008C5176"/>
    <w:rsid w:val="008C7FD0"/>
    <w:rsid w:val="008C7FD8"/>
    <w:rsid w:val="008D3B00"/>
    <w:rsid w:val="008E1DE7"/>
    <w:rsid w:val="008E707C"/>
    <w:rsid w:val="00900B08"/>
    <w:rsid w:val="00902155"/>
    <w:rsid w:val="00902FA3"/>
    <w:rsid w:val="00904478"/>
    <w:rsid w:val="00923564"/>
    <w:rsid w:val="0092392E"/>
    <w:rsid w:val="009315F9"/>
    <w:rsid w:val="00933499"/>
    <w:rsid w:val="00935C98"/>
    <w:rsid w:val="00946945"/>
    <w:rsid w:val="009479F5"/>
    <w:rsid w:val="00951248"/>
    <w:rsid w:val="0095152F"/>
    <w:rsid w:val="00954C49"/>
    <w:rsid w:val="00955E37"/>
    <w:rsid w:val="009602A3"/>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3A26"/>
    <w:rsid w:val="00A67AB5"/>
    <w:rsid w:val="00A67DD0"/>
    <w:rsid w:val="00A733B2"/>
    <w:rsid w:val="00A741C2"/>
    <w:rsid w:val="00A91760"/>
    <w:rsid w:val="00A93B00"/>
    <w:rsid w:val="00A93C21"/>
    <w:rsid w:val="00AA5E28"/>
    <w:rsid w:val="00AB64C9"/>
    <w:rsid w:val="00AC3C6A"/>
    <w:rsid w:val="00AD5620"/>
    <w:rsid w:val="00AD656B"/>
    <w:rsid w:val="00AD7C1B"/>
    <w:rsid w:val="00AD7CB0"/>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6B3C"/>
    <w:rsid w:val="00B77EA6"/>
    <w:rsid w:val="00B81598"/>
    <w:rsid w:val="00B841F1"/>
    <w:rsid w:val="00B944D6"/>
    <w:rsid w:val="00BB4DF0"/>
    <w:rsid w:val="00BC289F"/>
    <w:rsid w:val="00BC2D50"/>
    <w:rsid w:val="00BC5361"/>
    <w:rsid w:val="00BC5460"/>
    <w:rsid w:val="00BC6B50"/>
    <w:rsid w:val="00BD0E25"/>
    <w:rsid w:val="00BF5BD6"/>
    <w:rsid w:val="00C03E31"/>
    <w:rsid w:val="00C32778"/>
    <w:rsid w:val="00C33E72"/>
    <w:rsid w:val="00C354B2"/>
    <w:rsid w:val="00C35554"/>
    <w:rsid w:val="00C42709"/>
    <w:rsid w:val="00C533CC"/>
    <w:rsid w:val="00C558F0"/>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169D"/>
    <w:rsid w:val="00D00095"/>
    <w:rsid w:val="00D114F0"/>
    <w:rsid w:val="00D20620"/>
    <w:rsid w:val="00D254F7"/>
    <w:rsid w:val="00D26091"/>
    <w:rsid w:val="00D2685C"/>
    <w:rsid w:val="00D31E6F"/>
    <w:rsid w:val="00D34E7C"/>
    <w:rsid w:val="00D35489"/>
    <w:rsid w:val="00D36AFE"/>
    <w:rsid w:val="00D51276"/>
    <w:rsid w:val="00D66EFD"/>
    <w:rsid w:val="00D7035F"/>
    <w:rsid w:val="00DA634F"/>
    <w:rsid w:val="00DA65AC"/>
    <w:rsid w:val="00DB1913"/>
    <w:rsid w:val="00DB7D24"/>
    <w:rsid w:val="00DC410D"/>
    <w:rsid w:val="00DC5A81"/>
    <w:rsid w:val="00DC68CA"/>
    <w:rsid w:val="00DC7CBA"/>
    <w:rsid w:val="00DD73B7"/>
    <w:rsid w:val="00DE1430"/>
    <w:rsid w:val="00DE5948"/>
    <w:rsid w:val="00DF28BC"/>
    <w:rsid w:val="00DF34B9"/>
    <w:rsid w:val="00E01053"/>
    <w:rsid w:val="00E07ACF"/>
    <w:rsid w:val="00E10145"/>
    <w:rsid w:val="00E1260D"/>
    <w:rsid w:val="00E22709"/>
    <w:rsid w:val="00E331A1"/>
    <w:rsid w:val="00E33202"/>
    <w:rsid w:val="00E336A9"/>
    <w:rsid w:val="00E472B1"/>
    <w:rsid w:val="00E50624"/>
    <w:rsid w:val="00E568DF"/>
    <w:rsid w:val="00E64269"/>
    <w:rsid w:val="00E82267"/>
    <w:rsid w:val="00E82AE4"/>
    <w:rsid w:val="00E849B6"/>
    <w:rsid w:val="00E853CE"/>
    <w:rsid w:val="00E867B6"/>
    <w:rsid w:val="00E97D51"/>
    <w:rsid w:val="00EA010F"/>
    <w:rsid w:val="00EB0D59"/>
    <w:rsid w:val="00EB6890"/>
    <w:rsid w:val="00EC6849"/>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24D99"/>
    <w:rsid w:val="00F36D8F"/>
    <w:rsid w:val="00F417B1"/>
    <w:rsid w:val="00F45853"/>
    <w:rsid w:val="00F602DF"/>
    <w:rsid w:val="00F754A1"/>
    <w:rsid w:val="00F81FD9"/>
    <w:rsid w:val="00F841AA"/>
    <w:rsid w:val="00F84A94"/>
    <w:rsid w:val="00F87E96"/>
    <w:rsid w:val="00F92F09"/>
    <w:rsid w:val="00FA23E8"/>
    <w:rsid w:val="00FB2762"/>
    <w:rsid w:val="00FC72B0"/>
    <w:rsid w:val="00FD3CC1"/>
    <w:rsid w:val="00FF1E02"/>
    <w:rsid w:val="00FF30B4"/>
    <w:rsid w:val="00FF3126"/>
    <w:rsid w:val="03DC2831"/>
    <w:rsid w:val="081B5E94"/>
    <w:rsid w:val="0A2032A3"/>
    <w:rsid w:val="0B8A37D8"/>
    <w:rsid w:val="0EF40828"/>
    <w:rsid w:val="0F5FFB2F"/>
    <w:rsid w:val="0FFFCF60"/>
    <w:rsid w:val="10C055FF"/>
    <w:rsid w:val="118107EC"/>
    <w:rsid w:val="11DD6519"/>
    <w:rsid w:val="16BB723D"/>
    <w:rsid w:val="18015F3F"/>
    <w:rsid w:val="1BE8440E"/>
    <w:rsid w:val="1D155CEE"/>
    <w:rsid w:val="1FDBBF84"/>
    <w:rsid w:val="20F57F95"/>
    <w:rsid w:val="240371BF"/>
    <w:rsid w:val="25711CC6"/>
    <w:rsid w:val="25C741E6"/>
    <w:rsid w:val="276F80C0"/>
    <w:rsid w:val="27842671"/>
    <w:rsid w:val="29FD04D3"/>
    <w:rsid w:val="2A12296D"/>
    <w:rsid w:val="2ABE7A3E"/>
    <w:rsid w:val="2AFF09B6"/>
    <w:rsid w:val="2CA234A8"/>
    <w:rsid w:val="2CBB5641"/>
    <w:rsid w:val="2D1F1E02"/>
    <w:rsid w:val="2EFA178C"/>
    <w:rsid w:val="2EFDF86C"/>
    <w:rsid w:val="2F9D17E1"/>
    <w:rsid w:val="30B46D73"/>
    <w:rsid w:val="319F7F4E"/>
    <w:rsid w:val="33437504"/>
    <w:rsid w:val="349A052D"/>
    <w:rsid w:val="356A28F1"/>
    <w:rsid w:val="357C035A"/>
    <w:rsid w:val="368E000D"/>
    <w:rsid w:val="383D272C"/>
    <w:rsid w:val="39AE70AB"/>
    <w:rsid w:val="3A4DCE41"/>
    <w:rsid w:val="3BCB56FA"/>
    <w:rsid w:val="3C0C0783"/>
    <w:rsid w:val="3EE7C2F4"/>
    <w:rsid w:val="3F371B56"/>
    <w:rsid w:val="3F792ED8"/>
    <w:rsid w:val="3F9F3A96"/>
    <w:rsid w:val="3FECA4B2"/>
    <w:rsid w:val="3FF58C48"/>
    <w:rsid w:val="42FF6694"/>
    <w:rsid w:val="48BF60AB"/>
    <w:rsid w:val="493C27E9"/>
    <w:rsid w:val="496F39ED"/>
    <w:rsid w:val="49FF41D3"/>
    <w:rsid w:val="4BE068DB"/>
    <w:rsid w:val="4BF6002B"/>
    <w:rsid w:val="4BFFC6BE"/>
    <w:rsid w:val="4ECE2238"/>
    <w:rsid w:val="51DB4B86"/>
    <w:rsid w:val="51F64DB0"/>
    <w:rsid w:val="53BF3E11"/>
    <w:rsid w:val="55333C3E"/>
    <w:rsid w:val="57A953C1"/>
    <w:rsid w:val="5F67802D"/>
    <w:rsid w:val="5F7DC4F2"/>
    <w:rsid w:val="5FB36814"/>
    <w:rsid w:val="5FBB8E56"/>
    <w:rsid w:val="5FFB5535"/>
    <w:rsid w:val="625B1DC1"/>
    <w:rsid w:val="64CA39A1"/>
    <w:rsid w:val="67A80194"/>
    <w:rsid w:val="69630ADE"/>
    <w:rsid w:val="69BD5F13"/>
    <w:rsid w:val="69FB0B4B"/>
    <w:rsid w:val="6BFFE1FB"/>
    <w:rsid w:val="6C4A05C8"/>
    <w:rsid w:val="6D3B1A89"/>
    <w:rsid w:val="6DB7D8A3"/>
    <w:rsid w:val="6EC78701"/>
    <w:rsid w:val="6F7A5481"/>
    <w:rsid w:val="6FFE07A9"/>
    <w:rsid w:val="71BF4EC2"/>
    <w:rsid w:val="72734D90"/>
    <w:rsid w:val="73E75B71"/>
    <w:rsid w:val="7412278C"/>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5"/>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1"/>
    <w:semiHidden/>
    <w:unhideWhenUsed/>
    <w:qFormat/>
    <w:uiPriority w:val="99"/>
    <w:rPr>
      <w:sz w:val="18"/>
      <w:szCs w:val="18"/>
    </w:rPr>
  </w:style>
  <w:style w:type="paragraph" w:styleId="9">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qFormat/>
    <w:uiPriority w:val="0"/>
    <w:pPr>
      <w:spacing w:before="100" w:beforeAutospacing="1" w:after="100" w:afterAutospacing="1"/>
      <w:jc w:val="left"/>
    </w:pPr>
    <w:rPr>
      <w:rFonts w:eastAsia="仿宋_GB2312"/>
      <w:kern w:val="0"/>
      <w:sz w:val="24"/>
    </w:rPr>
  </w:style>
  <w:style w:type="paragraph" w:styleId="14">
    <w:name w:val="Body Text First Indent 2"/>
    <w:basedOn w:val="6"/>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0"/>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9"/>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5"/>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2"/>
    <w:qFormat/>
    <w:uiPriority w:val="9"/>
    <w:rPr>
      <w:rFonts w:ascii="Times New Roman" w:hAnsi="Times New Roman"/>
      <w:b/>
      <w:bCs/>
      <w:kern w:val="44"/>
      <w:sz w:val="44"/>
      <w:szCs w:val="44"/>
    </w:rPr>
  </w:style>
  <w:style w:type="character" w:customStyle="1" w:styleId="29">
    <w:name w:val="标题 2 Char"/>
    <w:basedOn w:val="16"/>
    <w:link w:val="3"/>
    <w:qFormat/>
    <w:uiPriority w:val="9"/>
    <w:rPr>
      <w:rFonts w:asciiTheme="majorHAnsi" w:hAnsiTheme="majorHAnsi" w:eastAsiaTheme="majorEastAsia" w:cstheme="majorBidi"/>
      <w:b/>
      <w:bCs/>
      <w:kern w:val="2"/>
      <w:sz w:val="32"/>
      <w:szCs w:val="32"/>
    </w:rPr>
  </w:style>
  <w:style w:type="paragraph" w:customStyle="1" w:styleId="3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1">
    <w:name w:val="批注框文本 Char"/>
    <w:basedOn w:val="16"/>
    <w:link w:val="8"/>
    <w:semiHidden/>
    <w:qFormat/>
    <w:uiPriority w:val="99"/>
    <w:rPr>
      <w:rFonts w:ascii="Times New Roman" w:hAnsi="Times New Roman"/>
      <w:kern w:val="2"/>
      <w:sz w:val="18"/>
      <w:szCs w:val="18"/>
    </w:rPr>
  </w:style>
  <w:style w:type="character" w:customStyle="1" w:styleId="32">
    <w:name w:val="标题 3 Char"/>
    <w:basedOn w:val="16"/>
    <w:link w:val="4"/>
    <w:qFormat/>
    <w:uiPriority w:val="9"/>
    <w:rPr>
      <w:rFonts w:ascii="Times New Roman" w:hAnsi="Times New Roman"/>
      <w:b/>
      <w:bCs/>
      <w:kern w:val="2"/>
      <w:sz w:val="32"/>
      <w:szCs w:val="32"/>
    </w:rPr>
  </w:style>
  <w:style w:type="paragraph" w:customStyle="1" w:styleId="33">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2" Type="http://schemas.openxmlformats.org/officeDocument/2006/relationships/themeOverride" Target="../theme/themeOverrid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2" Type="http://schemas.openxmlformats.org/officeDocument/2006/relationships/themeOverride" Target="../theme/themeOverrid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2" Type="http://schemas.openxmlformats.org/officeDocument/2006/relationships/themeOverride" Target="../theme/themeOverride6.xml"/><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989680061544032"/>
          <c:y val="0.0466982952052129"/>
          <c:w val="0.763145533532446"/>
          <c:h val="0.84458829081696"/>
        </c:manualLayout>
      </c:layout>
      <c:barChart>
        <c:barDir val="col"/>
        <c:grouping val="clustered"/>
        <c:varyColors val="0"/>
        <c:ser>
          <c:idx val="0"/>
          <c:order val="0"/>
          <c:tx>
            <c:strRef>
              <c:f>Sheet1!$B$1</c:f>
              <c:strCache>
                <c:ptCount val="1"/>
                <c:pt idx="0">
                  <c:v>收入</c:v>
                </c:pt>
              </c:strCache>
            </c:strRef>
          </c:tx>
          <c:invertIfNegative val="0"/>
          <c:dLbls>
            <c:dLbl>
              <c:idx val="0"/>
              <c:layout>
                <c:manualLayout>
                  <c:x val="0.0272108843537415"/>
                  <c:y val="7.40732183739346e-1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97029702970297"/>
                  <c:y val="-9.26539260092895e-1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2"/>
                <c:pt idx="0">
                  <c:v>2023年（万元）</c:v>
                </c:pt>
                <c:pt idx="1">
                  <c:v>2022年（万元）</c:v>
                </c:pt>
              </c:strCache>
            </c:strRef>
          </c:cat>
          <c:val>
            <c:numRef>
              <c:f>Sheet1!$B$2:$B$5</c:f>
              <c:numCache>
                <c:formatCode>General</c:formatCode>
                <c:ptCount val="4"/>
                <c:pt idx="0">
                  <c:v>211.44</c:v>
                </c:pt>
                <c:pt idx="1">
                  <c:v>0</c:v>
                </c:pt>
              </c:numCache>
            </c:numRef>
          </c:val>
        </c:ser>
        <c:ser>
          <c:idx val="1"/>
          <c:order val="1"/>
          <c:tx>
            <c:strRef>
              <c:f>Sheet1!$C$1</c:f>
              <c:strCache>
                <c:ptCount val="1"/>
                <c:pt idx="0">
                  <c:v>支出</c:v>
                </c:pt>
              </c:strCache>
            </c:strRef>
          </c:tx>
          <c:invertIfNegative val="0"/>
          <c:dLbls>
            <c:delete val="1"/>
          </c:dLbls>
          <c:cat>
            <c:strRef>
              <c:f>Sheet1!$A$2:$A$5</c:f>
              <c:strCache>
                <c:ptCount val="2"/>
                <c:pt idx="0">
                  <c:v>2023年（万元）</c:v>
                </c:pt>
                <c:pt idx="1">
                  <c:v>2022年（万元）</c:v>
                </c:pt>
              </c:strCache>
            </c:strRef>
          </c:cat>
          <c:val>
            <c:numRef>
              <c:f>Sheet1!$C$2:$C$5</c:f>
              <c:numCache>
                <c:formatCode>General</c:formatCode>
                <c:ptCount val="4"/>
                <c:pt idx="0">
                  <c:v>211.44</c:v>
                </c:pt>
                <c:pt idx="1">
                  <c:v>0</c:v>
                </c:pt>
              </c:numCache>
            </c:numRef>
          </c:val>
        </c:ser>
        <c:dLbls>
          <c:showLegendKey val="0"/>
          <c:showVal val="0"/>
          <c:showCatName val="0"/>
          <c:showSerName val="0"/>
          <c:showPercent val="0"/>
          <c:showBubbleSize val="0"/>
        </c:dLbls>
        <c:gapWidth val="150"/>
        <c:axId val="272022144"/>
        <c:axId val="272178176"/>
      </c:barChart>
      <c:catAx>
        <c:axId val="27202214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72178176"/>
        <c:crosses val="autoZero"/>
        <c:auto val="1"/>
        <c:lblAlgn val="ctr"/>
        <c:lblOffset val="100"/>
        <c:noMultiLvlLbl val="0"/>
      </c:catAx>
      <c:valAx>
        <c:axId val="27217817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7202214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b377d230-2c91-4fbd-8806-068811b23c62}"/>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748111502509555"/>
          <c:y val="0"/>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Pt>
            <c:idx val="2"/>
            <c:bubble3D val="0"/>
          </c:dPt>
          <c:dPt>
            <c:idx val="3"/>
            <c:bubble3D val="0"/>
          </c:dPt>
          <c:dPt>
            <c:idx val="4"/>
            <c:bubble3D val="0"/>
          </c:dPt>
          <c:dLbls>
            <c:dLbl>
              <c:idx val="1"/>
              <c:layout>
                <c:manualLayout>
                  <c:x val="-0.0306605999907906"/>
                  <c:y val="-0.0153726343417599"/>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272097703795798"/>
                  <c:y val="-0.00440772206105816"/>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842668378075547"/>
                  <c:y val="0.015329120044205"/>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887351115101841"/>
                  <c:y val="0.0197150849564857"/>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Sheet1!$A$2:$A$6</c:f>
              <c:strCache>
                <c:ptCount val="5"/>
                <c:pt idx="0">
                  <c:v>一般公共预算财政拨款收入：211.44万元</c:v>
                </c:pt>
                <c:pt idx="1">
                  <c:v>政府性基金预算财政拨款收入  0万元</c:v>
                </c:pt>
                <c:pt idx="2">
                  <c:v>上级补助收入  0万元</c:v>
                </c:pt>
                <c:pt idx="3">
                  <c:v>事业收入  0万元</c:v>
                </c:pt>
                <c:pt idx="4">
                  <c:v>其他收入  0万元</c:v>
                </c:pt>
              </c:strCache>
            </c:strRef>
          </c:cat>
          <c:val>
            <c:numRef>
              <c:f>Sheet1!$B$2:$B$6</c:f>
              <c:numCache>
                <c:formatCode>0%</c:formatCode>
                <c:ptCount val="5"/>
                <c:pt idx="0">
                  <c:v>1</c:v>
                </c:pt>
                <c:pt idx="1">
                  <c:v>0</c:v>
                </c:pt>
                <c:pt idx="2">
                  <c:v>0</c:v>
                </c:pt>
                <c:pt idx="3">
                  <c:v>0</c:v>
                </c:pt>
                <c:pt idx="4">
                  <c:v>0</c:v>
                </c:pt>
              </c:numCache>
            </c:numRef>
          </c:val>
        </c:ser>
        <c:ser>
          <c:idx val="1"/>
          <c:order val="1"/>
          <c:tx>
            <c:strRef>
              <c:f>Sheet1!$C$1</c:f>
              <c:strCache>
                <c:ptCount val="1"/>
                <c:pt idx="0">
                  <c:v>列1</c:v>
                </c:pt>
              </c:strCache>
            </c:strRef>
          </c:tx>
          <c:explosion val="0"/>
          <c:dPt>
            <c:idx val="0"/>
            <c:bubble3D val="0"/>
          </c:dPt>
          <c:dPt>
            <c:idx val="1"/>
            <c:bubble3D val="0"/>
          </c:dPt>
          <c:dPt>
            <c:idx val="2"/>
            <c:bubble3D val="0"/>
          </c:dPt>
          <c:dPt>
            <c:idx val="3"/>
            <c:bubble3D val="0"/>
          </c:dPt>
          <c:dPt>
            <c:idx val="4"/>
            <c:bubble3D val="0"/>
          </c:dPt>
          <c:dLbls>
            <c:delete val="1"/>
          </c:dLbls>
          <c:cat>
            <c:strRef>
              <c:f>Sheet1!$A$2:$A$6</c:f>
              <c:strCache>
                <c:ptCount val="5"/>
                <c:pt idx="0">
                  <c:v>一般公共预算财政拨款收入：211.44万元</c:v>
                </c:pt>
                <c:pt idx="1">
                  <c:v>政府性基金预算财政拨款收入  0万元</c:v>
                </c:pt>
                <c:pt idx="2">
                  <c:v>上级补助收入  0万元</c:v>
                </c:pt>
                <c:pt idx="3">
                  <c:v>事业收入  0万元</c:v>
                </c:pt>
                <c:pt idx="4">
                  <c:v>其他收入  0万元</c:v>
                </c:pt>
              </c:strCache>
            </c:strRef>
          </c:cat>
          <c:val>
            <c:numRef>
              <c:f>Sheet1!$C$2:$C$6</c:f>
              <c:numCache>
                <c:formatCode>General</c:formatCode>
                <c:ptCount val="5"/>
              </c:numCache>
            </c:numRef>
          </c:val>
        </c:ser>
        <c:dLbls>
          <c:showLegendKey val="0"/>
          <c:showVal val="0"/>
          <c:showCatName val="0"/>
          <c:showSerName val="0"/>
          <c:showPercent val="0"/>
          <c:showBubbleSize val="0"/>
          <c:showLeaderLines val="1"/>
        </c:dLbls>
        <c:firstSliceAng val="0"/>
      </c:pieChart>
    </c:plotArea>
    <c:legend>
      <c:legendPos val="r"/>
      <c:layout>
        <c:manualLayout>
          <c:xMode val="edge"/>
          <c:yMode val="edge"/>
          <c:x val="0.666217134042455"/>
          <c:y val="0.254705760464152"/>
          <c:w val="0.333782865957545"/>
          <c:h val="0.661531288852051"/>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1c78a666-63c4-4df3-b8e7-7d822e45ca1a}"/>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740524499573095"/>
          <c:y val="0.0256410256410256"/>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单元：万元</c:v>
                </c:pt>
              </c:strCache>
            </c:strRef>
          </c:tx>
          <c:explosion val="0"/>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  196.24万元</c:v>
                </c:pt>
                <c:pt idx="1">
                  <c:v>项目支出 15.2万元</c:v>
                </c:pt>
              </c:strCache>
            </c:strRef>
          </c:cat>
          <c:val>
            <c:numRef>
              <c:f>Sheet1!$B$2:$B$3</c:f>
              <c:numCache>
                <c:formatCode>0.00%</c:formatCode>
                <c:ptCount val="2"/>
                <c:pt idx="0">
                  <c:v>0.9281</c:v>
                </c:pt>
                <c:pt idx="1">
                  <c:v>0.0719</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5ca818dc-24bb-49f8-8a81-d20fc91c6c3d}"/>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财政拨款收入</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Sheet1!$B$2:$B$3</c:f>
              <c:numCache>
                <c:formatCode>General</c:formatCode>
                <c:ptCount val="2"/>
                <c:pt idx="0">
                  <c:v>211.44</c:v>
                </c:pt>
                <c:pt idx="1">
                  <c:v>0</c:v>
                </c:pt>
              </c:numCache>
            </c:numRef>
          </c:val>
        </c:ser>
        <c:ser>
          <c:idx val="1"/>
          <c:order val="1"/>
          <c:tx>
            <c:strRef>
              <c:f>Sheet1!$C$1</c:f>
              <c:strCache>
                <c:ptCount val="1"/>
                <c:pt idx="0">
                  <c:v>财政拨款支出</c:v>
                </c:pt>
              </c:strCache>
            </c:strRef>
          </c:tx>
          <c:invertIfNegative val="0"/>
          <c:dLbls>
            <c:dLbl>
              <c:idx val="1"/>
              <c:layout>
                <c:manualLayout>
                  <c:x val="0.00479835277031498"/>
                  <c:y val="7.80088247483002e-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Sheet1!$C$2:$C$3</c:f>
              <c:numCache>
                <c:formatCode>General</c:formatCode>
                <c:ptCount val="2"/>
                <c:pt idx="0">
                  <c:v>211.44</c:v>
                </c:pt>
                <c:pt idx="1">
                  <c:v>0</c:v>
                </c:pt>
              </c:numCache>
            </c:numRef>
          </c:val>
        </c:ser>
        <c:dLbls>
          <c:showLegendKey val="0"/>
          <c:showVal val="1"/>
          <c:showCatName val="0"/>
          <c:showSerName val="0"/>
          <c:showPercent val="0"/>
          <c:showBubbleSize val="0"/>
        </c:dLbls>
        <c:gapWidth val="150"/>
        <c:axId val="43234432"/>
        <c:axId val="43235968"/>
      </c:barChart>
      <c:catAx>
        <c:axId val="4323443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3235968"/>
        <c:crosses val="autoZero"/>
        <c:auto val="1"/>
        <c:lblAlgn val="ctr"/>
        <c:lblOffset val="100"/>
        <c:noMultiLvlLbl val="0"/>
      </c:catAx>
      <c:valAx>
        <c:axId val="4323596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323443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e615e808-bfe9-48d2-83b3-fedc98e75321}"/>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752468594966092"/>
          <c:y val="0.0123839009287926"/>
        </c:manualLayout>
      </c:layout>
      <c:overlay val="0"/>
      <c:txPr>
        <a:bodyPr rot="0" spcFirstLastPara="0" vertOverflow="ellipsis" vert="horz" wrap="square" anchor="ctr" anchorCtr="1"/>
        <a:lstStyle/>
        <a:p>
          <a:pPr algn="r">
            <a:defRPr lang="zh-CN" sz="10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单位：万元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Sheet1!$B$2:$B$3</c:f>
              <c:numCache>
                <c:formatCode>General</c:formatCode>
                <c:ptCount val="2"/>
                <c:pt idx="0">
                  <c:v>211.44</c:v>
                </c:pt>
                <c:pt idx="1">
                  <c:v>0</c:v>
                </c:pt>
              </c:numCache>
            </c:numRef>
          </c:val>
        </c:ser>
        <c:dLbls>
          <c:showLegendKey val="0"/>
          <c:showVal val="1"/>
          <c:showCatName val="0"/>
          <c:showSerName val="0"/>
          <c:showPercent val="0"/>
          <c:showBubbleSize val="0"/>
        </c:dLbls>
        <c:gapWidth val="150"/>
        <c:axId val="42899712"/>
        <c:axId val="43216896"/>
      </c:barChart>
      <c:catAx>
        <c:axId val="4289971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3216896"/>
        <c:crosses val="autoZero"/>
        <c:auto val="1"/>
        <c:lblAlgn val="ctr"/>
        <c:lblOffset val="100"/>
        <c:noMultiLvlLbl val="0"/>
      </c:catAx>
      <c:valAx>
        <c:axId val="4321689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2899712"/>
        <c:crosses val="autoZero"/>
        <c:crossBetween val="between"/>
      </c:valAx>
    </c:plotArea>
    <c:plotVisOnly val="1"/>
    <c:dispBlanksAs val="gap"/>
    <c:showDLblsOverMax val="0"/>
    <c:extLst>
      <c:ext uri="{0b15fc19-7d7d-44ad-8c2d-2c3a37ce22c3}">
        <chartProps xmlns="https://web.wps.cn/et/2018/main" chartId="{43290863-4106-4d78-a538-92139f389f69}"/>
      </c:ext>
    </c:extLst>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lgn="just">
              <a:defRPr lang="zh-CN" sz="1200" b="1" i="0" u="none" strike="noStrike" kern="1200" baseline="0">
                <a:solidFill>
                  <a:schemeClr val="tx1"/>
                </a:solidFill>
                <a:latin typeface="+mn-lt"/>
                <a:ea typeface="+mn-ea"/>
                <a:cs typeface="+mn-cs"/>
              </a:defRPr>
            </a:pPr>
            <a:r>
              <a:rPr lang="zh-CN" altLang="en-US" sz="1200"/>
              <a:t>单位：</a:t>
            </a:r>
            <a:r>
              <a:rPr lang="zh-CN" altLang="en-US" sz="1000"/>
              <a:t>万元</a:t>
            </a:r>
            <a:endParaRPr lang="zh-CN" altLang="en-US" sz="1000"/>
          </a:p>
        </c:rich>
      </c:tx>
      <c:layout>
        <c:manualLayout>
          <c:xMode val="edge"/>
          <c:yMode val="edge"/>
          <c:x val="0.747592007295741"/>
          <c:y val="0.0123839009287926"/>
        </c:manualLayout>
      </c:layout>
      <c:overlay val="0"/>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Pt>
            <c:idx val="2"/>
            <c:bubble3D val="0"/>
          </c:dPt>
          <c:dPt>
            <c:idx val="3"/>
            <c:bubble3D val="0"/>
          </c:dPt>
          <c:dLbls>
            <c:dLbl>
              <c:idx val="1"/>
              <c:layout>
                <c:manualLayout>
                  <c:x val="-0.0429854718864368"/>
                  <c:y val="0.0384792131359007"/>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580693258413121"/>
                  <c:y val="-0.0340849032096244"/>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814176103573907"/>
                  <c:y val="0.00892343661820431"/>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Sheet1!$A$2:$A$5</c:f>
              <c:strCache>
                <c:ptCount val="4"/>
                <c:pt idx="0">
                  <c:v>教育支出  203.28万元</c:v>
                </c:pt>
                <c:pt idx="1">
                  <c:v>社会保障和就业支出 3.18万元</c:v>
                </c:pt>
                <c:pt idx="2">
                  <c:v>卫生健康支出  2.56万元</c:v>
                </c:pt>
                <c:pt idx="3">
                  <c:v>住房保障支出  2.42万元</c:v>
                </c:pt>
              </c:strCache>
            </c:strRef>
          </c:cat>
          <c:val>
            <c:numRef>
              <c:f>Sheet1!$B$2:$B$5</c:f>
              <c:numCache>
                <c:formatCode>0.00%</c:formatCode>
                <c:ptCount val="4"/>
                <c:pt idx="0">
                  <c:v>0.9614</c:v>
                </c:pt>
                <c:pt idx="1">
                  <c:v>0.015</c:v>
                </c:pt>
                <c:pt idx="2">
                  <c:v>0.0121</c:v>
                </c:pt>
                <c:pt idx="3">
                  <c:v>0.0115</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4d8bbcee-4060-49a6-9e50-7a13d521bfc6}"/>
      </c:ext>
    </c:extLst>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E2D4E4-35B7-4582-BCA3-253F474A702D}">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16</Pages>
  <Words>4042</Words>
  <Characters>4419</Characters>
  <Lines>44</Lines>
  <Paragraphs>12</Paragraphs>
  <TotalTime>0</TotalTime>
  <ScaleCrop>false</ScaleCrop>
  <LinksUpToDate>false</LinksUpToDate>
  <CharactersWithSpaces>4454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2024-10-22T08:13:00Z</dcterms:created>
  <dc:creator>曹颖</dc:creator>
  <cp:lastModifiedBy>Sakura</cp:lastModifiedBy>
  <cp:lastPrinted>2024-10-24T12:43:00Z</cp:lastPrinted>
  <dcterms:modified xsi:type="dcterms:W3CDTF">2024-10-26T11:51:35Z</dcterms:modified>
  <dc:title>四川省***</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9E927C9F32EB44ECBE403CE866EE1405_12</vt:lpwstr>
  </property>
</Properties>
</file>