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outlineLvl w:val="0"/>
        <w:rPr>
          <w:rFonts w:eastAsia="方正小标宋简体"/>
          <w:sz w:val="72"/>
          <w:szCs w:val="72"/>
        </w:rPr>
      </w:pPr>
      <w:bookmarkStart w:id="0" w:name="_Toc15396475"/>
      <w:bookmarkStart w:id="1" w:name="_Toc15378441"/>
      <w:bookmarkStart w:id="2" w:name="_Toc15377425"/>
      <w:bookmarkStart w:id="3" w:name="_Toc15377193"/>
      <w:bookmarkStart w:id="4" w:name="_Toc15396597"/>
      <w:bookmarkStart w:id="5" w:name="_Toc15306267"/>
    </w:p>
    <w:p>
      <w:pPr>
        <w:pStyle w:val="2"/>
        <w:snapToGrid w:val="0"/>
        <w:spacing w:beforeLines="0"/>
        <w:rPr>
          <w:rFonts w:ascii="Times New Roman"/>
        </w:rPr>
      </w:pPr>
    </w:p>
    <w:p>
      <w:pPr>
        <w:snapToGrid w:val="0"/>
        <w:spacing w:line="600" w:lineRule="exact"/>
        <w:jc w:val="center"/>
        <w:outlineLvl w:val="0"/>
        <w:rPr>
          <w:rFonts w:eastAsia="方正小标宋简体"/>
          <w:sz w:val="72"/>
          <w:szCs w:val="72"/>
        </w:rPr>
      </w:pPr>
    </w:p>
    <w:p>
      <w:pPr>
        <w:snapToGrid w:val="0"/>
        <w:spacing w:line="600" w:lineRule="exact"/>
        <w:jc w:val="center"/>
        <w:outlineLvl w:val="0"/>
        <w:rPr>
          <w:rFonts w:eastAsia="方正小标宋简体"/>
          <w:sz w:val="72"/>
          <w:szCs w:val="72"/>
        </w:rPr>
      </w:pPr>
    </w:p>
    <w:p>
      <w:pPr>
        <w:adjustRightInd w:val="0"/>
        <w:snapToGrid w:val="0"/>
        <w:spacing w:line="360" w:lineRule="auto"/>
        <w:jc w:val="center"/>
        <w:outlineLvl w:val="0"/>
        <w:rPr>
          <w:rFonts w:eastAsia="方正小标宋简体"/>
          <w:sz w:val="72"/>
          <w:szCs w:val="72"/>
        </w:rPr>
      </w:pPr>
      <w:r>
        <w:rPr>
          <w:rFonts w:eastAsia="方正小标宋简体"/>
          <w:sz w:val="72"/>
          <w:szCs w:val="72"/>
        </w:rPr>
        <w:t>2023年度</w:t>
      </w:r>
      <w:bookmarkEnd w:id="0"/>
      <w:bookmarkEnd w:id="1"/>
      <w:bookmarkEnd w:id="2"/>
      <w:bookmarkEnd w:id="3"/>
      <w:bookmarkEnd w:id="4"/>
    </w:p>
    <w:bookmarkEnd w:id="5"/>
    <w:p>
      <w:pPr>
        <w:adjustRightInd w:val="0"/>
        <w:snapToGrid w:val="0"/>
        <w:spacing w:line="360" w:lineRule="auto"/>
        <w:jc w:val="center"/>
        <w:outlineLvl w:val="0"/>
        <w:rPr>
          <w:rFonts w:eastAsia="方正小标宋简体"/>
          <w:sz w:val="72"/>
          <w:szCs w:val="72"/>
        </w:rPr>
      </w:pPr>
      <w:bookmarkStart w:id="6" w:name="_Toc15396476"/>
      <w:bookmarkStart w:id="7" w:name="_Toc15306268"/>
      <w:bookmarkStart w:id="8" w:name="_Toc15377194"/>
      <w:bookmarkStart w:id="9" w:name="_Toc15396598"/>
      <w:bookmarkStart w:id="10" w:name="_Toc15378442"/>
      <w:bookmarkStart w:id="11" w:name="_Toc15377426"/>
      <w:r>
        <w:rPr>
          <w:rFonts w:eastAsia="方正小标宋简体"/>
          <w:sz w:val="72"/>
          <w:szCs w:val="72"/>
        </w:rPr>
        <w:t>盐边县人民政府办公室</w:t>
      </w:r>
    </w:p>
    <w:p>
      <w:pPr>
        <w:adjustRightInd w:val="0"/>
        <w:snapToGrid w:val="0"/>
        <w:spacing w:line="360" w:lineRule="auto"/>
        <w:jc w:val="center"/>
        <w:outlineLvl w:val="0"/>
        <w:rPr>
          <w:rFonts w:eastAsia="方正小标宋简体"/>
          <w:sz w:val="72"/>
          <w:szCs w:val="72"/>
        </w:rPr>
      </w:pPr>
      <w:r>
        <w:rPr>
          <w:rFonts w:eastAsia="方正小标宋简体"/>
          <w:sz w:val="72"/>
          <w:szCs w:val="72"/>
        </w:rPr>
        <w:t>部门决算</w:t>
      </w:r>
      <w:bookmarkEnd w:id="6"/>
      <w:bookmarkEnd w:id="7"/>
      <w:bookmarkEnd w:id="8"/>
      <w:bookmarkEnd w:id="9"/>
      <w:bookmarkEnd w:id="10"/>
      <w:bookmarkEnd w:id="11"/>
    </w:p>
    <w:p>
      <w:pPr>
        <w:widowControl/>
        <w:snapToGrid w:val="0"/>
        <w:jc w:val="center"/>
        <w:rPr>
          <w:rFonts w:eastAsia="黑体"/>
          <w:sz w:val="48"/>
          <w:szCs w:val="48"/>
        </w:rPr>
      </w:pPr>
      <w:r>
        <w:rPr>
          <w:rFonts w:eastAsia="方正小标宋简体"/>
          <w:sz w:val="36"/>
          <w:szCs w:val="36"/>
        </w:rPr>
        <w:br w:type="page"/>
      </w:r>
      <w:r>
        <w:rPr>
          <w:rFonts w:eastAsia="黑体"/>
          <w:sz w:val="48"/>
          <w:szCs w:val="48"/>
        </w:rPr>
        <w:t>目  录</w:t>
      </w:r>
    </w:p>
    <w:p>
      <w:pPr>
        <w:pStyle w:val="2"/>
        <w:ind w:left="0" w:leftChars="0" w:right="0" w:rightChars="0" w:firstLine="0" w:firstLineChars="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公开时间：2024年10月28日</w:t>
      </w:r>
    </w:p>
    <w:sdt>
      <w:sdtPr>
        <w:rPr>
          <w:rFonts w:hint="eastAsia" w:ascii="仿宋_GB2312" w:hAnsi="仿宋_GB2312" w:eastAsia="仿宋_GB2312" w:cs="仿宋_GB2312"/>
          <w:kern w:val="2"/>
          <w:sz w:val="32"/>
          <w:szCs w:val="32"/>
          <w:lang w:val="en-US" w:eastAsia="zh-CN" w:bidi="ar-SA"/>
        </w:rPr>
        <w:id w:val="147452054"/>
        <w:docPartObj>
          <w:docPartGallery w:val="Table of Contents"/>
          <w:docPartUnique/>
        </w:docPartObj>
      </w:sdtPr>
      <w:sdtEndPr>
        <w:rPr>
          <w:rFonts w:hint="eastAsia" w:ascii="仿宋_GB2312" w:hAnsi="仿宋_GB2312" w:eastAsia="仿宋_GB2312" w:cs="仿宋_GB2312"/>
          <w:kern w:val="2"/>
          <w:sz w:val="32"/>
          <w:szCs w:val="32"/>
          <w:lang w:val="en-US" w:eastAsia="zh-CN" w:bidi="ar-SA"/>
        </w:rPr>
      </w:sdtEndPr>
      <w:sdtContent>
        <w:p>
          <w:pPr>
            <w:spacing w:before="0" w:beforeLines="0" w:after="0" w:afterLines="0" w:line="240" w:lineRule="auto"/>
            <w:ind w:left="0" w:leftChars="0" w:right="0" w:rightChars="0" w:firstLine="0" w:firstLineChars="0"/>
            <w:jc w:val="center"/>
            <w:rPr>
              <w:rFonts w:hint="eastAsia" w:ascii="仿宋_GB2312" w:hAnsi="仿宋_GB2312" w:eastAsia="仿宋_GB2312" w:cs="仿宋_GB2312"/>
              <w:sz w:val="32"/>
              <w:szCs w:val="32"/>
            </w:rPr>
          </w:pPr>
          <w:bookmarkStart w:id="12" w:name="_Toc5904_WPSOffice_Type2"/>
        </w:p>
        <w:p>
          <w:pPr>
            <w:pStyle w:val="35"/>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sz w:val="32"/>
              <w:szCs w:val="32"/>
            </w:rPr>
            <w:instrText xml:space="preserve"> HYPERLINK \l _Toc17342_WPSOffice_Level1 </w:instrText>
          </w:r>
          <w:r>
            <w:rPr>
              <w:rFonts w:hint="eastAsia" w:ascii="仿宋_GB2312" w:hAnsi="仿宋_GB2312" w:eastAsia="仿宋_GB2312" w:cs="仿宋_GB2312"/>
              <w:b/>
              <w:bCs/>
              <w:sz w:val="32"/>
              <w:szCs w:val="32"/>
            </w:rPr>
            <w:fldChar w:fldCharType="separate"/>
          </w:r>
          <w:sdt>
            <w:sdtPr>
              <w:rPr>
                <w:rFonts w:hint="eastAsia" w:ascii="仿宋_GB2312" w:hAnsi="仿宋_GB2312" w:eastAsia="仿宋_GB2312" w:cs="仿宋_GB2312"/>
                <w:b/>
                <w:bCs/>
                <w:kern w:val="2"/>
                <w:sz w:val="32"/>
                <w:szCs w:val="32"/>
                <w:lang w:val="en-US" w:eastAsia="zh-CN" w:bidi="ar-SA"/>
              </w:rPr>
              <w:id w:val="147452054"/>
              <w:placeholder>
                <w:docPart w:val="{8dee1f99-dcef-4181-9b87-bc649e0fed0c}"/>
              </w:placeholder>
            </w:sdtPr>
            <w:sdtEndPr>
              <w:rPr>
                <w:rFonts w:hint="eastAsia" w:ascii="仿宋_GB2312" w:hAnsi="仿宋_GB2312" w:eastAsia="仿宋_GB2312" w:cs="仿宋_GB2312"/>
                <w:b/>
                <w:bCs/>
                <w:kern w:val="2"/>
                <w:sz w:val="32"/>
                <w:szCs w:val="32"/>
                <w:lang w:val="en-US" w:eastAsia="zh-CN" w:bidi="ar-SA"/>
              </w:rPr>
            </w:sdtEndPr>
            <w:sdtContent>
              <w:r>
                <w:rPr>
                  <w:rFonts w:hint="eastAsia" w:ascii="仿宋_GB2312" w:hAnsi="仿宋_GB2312" w:eastAsia="仿宋_GB2312" w:cs="仿宋_GB2312"/>
                  <w:b/>
                  <w:bCs/>
                  <w:sz w:val="32"/>
                  <w:szCs w:val="32"/>
                </w:rPr>
                <w:t>第一部分 部门概况</w:t>
              </w:r>
            </w:sdtContent>
          </w:sdt>
          <w:r>
            <w:rPr>
              <w:rFonts w:hint="eastAsia" w:ascii="仿宋_GB2312" w:hAnsi="仿宋_GB2312" w:eastAsia="仿宋_GB2312" w:cs="仿宋_GB2312"/>
              <w:b/>
              <w:bCs/>
              <w:sz w:val="32"/>
              <w:szCs w:val="32"/>
            </w:rPr>
            <w:tab/>
          </w:r>
          <w:bookmarkStart w:id="13" w:name="_Toc17342_WPSOffice_Level1Page"/>
          <w:r>
            <w:rPr>
              <w:rFonts w:hint="eastAsia" w:ascii="仿宋_GB2312" w:hAnsi="仿宋_GB2312" w:eastAsia="仿宋_GB2312" w:cs="仿宋_GB2312"/>
              <w:b/>
              <w:bCs/>
              <w:sz w:val="32"/>
              <w:szCs w:val="32"/>
            </w:rPr>
            <w:t>5</w:t>
          </w:r>
          <w:bookmarkEnd w:id="13"/>
          <w:r>
            <w:rPr>
              <w:rFonts w:hint="eastAsia" w:ascii="仿宋_GB2312" w:hAnsi="仿宋_GB2312" w:eastAsia="仿宋_GB2312" w:cs="仿宋_GB2312"/>
              <w:b/>
              <w:bCs/>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_Toc5904_WPSOffice_Level2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ae55b4ef-e274-448d-8d13-ea45c63bf2b1}"/>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一、部门职责</w:t>
              </w:r>
            </w:sdtContent>
          </w:sdt>
          <w:r>
            <w:rPr>
              <w:rFonts w:hint="eastAsia" w:ascii="仿宋_GB2312" w:hAnsi="仿宋_GB2312" w:eastAsia="仿宋_GB2312" w:cs="仿宋_GB2312"/>
              <w:sz w:val="32"/>
              <w:szCs w:val="32"/>
            </w:rPr>
            <w:tab/>
          </w:r>
          <w:bookmarkStart w:id="14" w:name="_Toc5904_WPSOffice_Level2Page"/>
          <w:r>
            <w:rPr>
              <w:rFonts w:hint="eastAsia" w:ascii="仿宋_GB2312" w:hAnsi="仿宋_GB2312" w:eastAsia="仿宋_GB2312" w:cs="仿宋_GB2312"/>
              <w:sz w:val="32"/>
              <w:szCs w:val="32"/>
            </w:rPr>
            <w:t>5</w:t>
          </w:r>
          <w:bookmarkEnd w:id="14"/>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_Toc29394_WPSOffice_Level2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d9087f1d-2068-4e00-a5e1-544c0d132a2e}"/>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二、机构设置</w:t>
              </w:r>
            </w:sdtContent>
          </w:sdt>
          <w:r>
            <w:rPr>
              <w:rFonts w:hint="eastAsia" w:ascii="仿宋_GB2312" w:hAnsi="仿宋_GB2312" w:eastAsia="仿宋_GB2312" w:cs="仿宋_GB2312"/>
              <w:sz w:val="32"/>
              <w:szCs w:val="32"/>
            </w:rPr>
            <w:tab/>
          </w:r>
          <w:bookmarkStart w:id="15" w:name="_Toc29394_WPSOffice_Level2Page"/>
          <w:r>
            <w:rPr>
              <w:rFonts w:hint="eastAsia" w:ascii="仿宋_GB2312" w:hAnsi="仿宋_GB2312" w:eastAsia="仿宋_GB2312" w:cs="仿宋_GB2312"/>
              <w:sz w:val="32"/>
              <w:szCs w:val="32"/>
            </w:rPr>
            <w:t>6</w:t>
          </w:r>
          <w:bookmarkEnd w:id="15"/>
          <w:r>
            <w:rPr>
              <w:rFonts w:hint="eastAsia" w:ascii="仿宋_GB2312" w:hAnsi="仿宋_GB2312" w:eastAsia="仿宋_GB2312" w:cs="仿宋_GB2312"/>
              <w:sz w:val="32"/>
              <w:szCs w:val="32"/>
            </w:rPr>
            <w:fldChar w:fldCharType="end"/>
          </w:r>
        </w:p>
        <w:p>
          <w:pPr>
            <w:pStyle w:val="35"/>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sz w:val="32"/>
              <w:szCs w:val="32"/>
            </w:rPr>
            <w:instrText xml:space="preserve"> HYPERLINK \l _Toc5904_WPSOffice_Level1 </w:instrText>
          </w:r>
          <w:r>
            <w:rPr>
              <w:rFonts w:hint="eastAsia" w:ascii="仿宋_GB2312" w:hAnsi="仿宋_GB2312" w:eastAsia="仿宋_GB2312" w:cs="仿宋_GB2312"/>
              <w:b/>
              <w:bCs/>
              <w:sz w:val="32"/>
              <w:szCs w:val="32"/>
            </w:rPr>
            <w:fldChar w:fldCharType="separate"/>
          </w:r>
          <w:sdt>
            <w:sdtPr>
              <w:rPr>
                <w:rFonts w:hint="eastAsia" w:ascii="仿宋_GB2312" w:hAnsi="仿宋_GB2312" w:eastAsia="仿宋_GB2312" w:cs="仿宋_GB2312"/>
                <w:b/>
                <w:bCs/>
                <w:kern w:val="2"/>
                <w:sz w:val="32"/>
                <w:szCs w:val="32"/>
                <w:lang w:val="en-US" w:eastAsia="zh-CN" w:bidi="ar-SA"/>
              </w:rPr>
              <w:id w:val="147452054"/>
              <w:placeholder>
                <w:docPart w:val="{cf38826e-76cf-440f-894a-c5cf8f1ce3ed}"/>
              </w:placeholder>
            </w:sdtPr>
            <w:sdtEndPr>
              <w:rPr>
                <w:rFonts w:hint="eastAsia" w:ascii="仿宋_GB2312" w:hAnsi="仿宋_GB2312" w:eastAsia="仿宋_GB2312" w:cs="仿宋_GB2312"/>
                <w:b/>
                <w:bCs/>
                <w:kern w:val="2"/>
                <w:sz w:val="32"/>
                <w:szCs w:val="32"/>
                <w:lang w:val="en-US" w:eastAsia="zh-CN" w:bidi="ar-SA"/>
              </w:rPr>
            </w:sdtEndPr>
            <w:sdtContent>
              <w:r>
                <w:rPr>
                  <w:rFonts w:hint="eastAsia" w:ascii="仿宋_GB2312" w:hAnsi="仿宋_GB2312" w:eastAsia="仿宋_GB2312" w:cs="仿宋_GB2312"/>
                  <w:b/>
                  <w:bCs/>
                  <w:sz w:val="32"/>
                  <w:szCs w:val="32"/>
                </w:rPr>
                <w:t>第二部分 2023年度部门决算情况说明</w:t>
              </w:r>
            </w:sdtContent>
          </w:sdt>
          <w:r>
            <w:rPr>
              <w:rFonts w:hint="eastAsia" w:ascii="仿宋_GB2312" w:hAnsi="仿宋_GB2312" w:eastAsia="仿宋_GB2312" w:cs="仿宋_GB2312"/>
              <w:b/>
              <w:bCs/>
              <w:sz w:val="32"/>
              <w:szCs w:val="32"/>
            </w:rPr>
            <w:tab/>
          </w:r>
          <w:bookmarkStart w:id="16" w:name="_Toc5904_WPSOffice_Level1Page"/>
          <w:r>
            <w:rPr>
              <w:rFonts w:hint="eastAsia" w:ascii="仿宋_GB2312" w:hAnsi="仿宋_GB2312" w:eastAsia="仿宋_GB2312" w:cs="仿宋_GB2312"/>
              <w:b/>
              <w:bCs/>
              <w:sz w:val="32"/>
              <w:szCs w:val="32"/>
            </w:rPr>
            <w:t>8</w:t>
          </w:r>
          <w:bookmarkEnd w:id="16"/>
          <w:r>
            <w:rPr>
              <w:rFonts w:hint="eastAsia" w:ascii="仿宋_GB2312" w:hAnsi="仿宋_GB2312" w:eastAsia="仿宋_GB2312" w:cs="仿宋_GB2312"/>
              <w:b/>
              <w:bCs/>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_Toc27161_WPSOffice_Level2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f5feb23d-8980-469e-8372-15a416deefb8}"/>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一、收入支出决算总体情况说明</w:t>
              </w:r>
            </w:sdtContent>
          </w:sdt>
          <w:r>
            <w:rPr>
              <w:rFonts w:hint="eastAsia" w:ascii="仿宋_GB2312" w:hAnsi="仿宋_GB2312" w:eastAsia="仿宋_GB2312" w:cs="仿宋_GB2312"/>
              <w:sz w:val="32"/>
              <w:szCs w:val="32"/>
            </w:rPr>
            <w:tab/>
          </w:r>
          <w:bookmarkStart w:id="17" w:name="_Toc27161_WPSOffice_Level2Page"/>
          <w:r>
            <w:rPr>
              <w:rFonts w:hint="eastAsia" w:ascii="仿宋_GB2312" w:hAnsi="仿宋_GB2312" w:eastAsia="仿宋_GB2312" w:cs="仿宋_GB2312"/>
              <w:sz w:val="32"/>
              <w:szCs w:val="32"/>
            </w:rPr>
            <w:t>8</w:t>
          </w:r>
          <w:bookmarkEnd w:id="17"/>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_Toc24714_WPSOffice_Level2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b4d1faf9-55a3-460b-a9b7-47c7b9ce38f0}"/>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二、收入决算情况说明</w:t>
              </w:r>
            </w:sdtContent>
          </w:sdt>
          <w:r>
            <w:rPr>
              <w:rFonts w:hint="eastAsia" w:ascii="仿宋_GB2312" w:hAnsi="仿宋_GB2312" w:eastAsia="仿宋_GB2312" w:cs="仿宋_GB2312"/>
              <w:sz w:val="32"/>
              <w:szCs w:val="32"/>
            </w:rPr>
            <w:tab/>
          </w:r>
          <w:bookmarkStart w:id="18" w:name="_Toc24714_WPSOffice_Level2Page"/>
          <w:r>
            <w:rPr>
              <w:rFonts w:hint="eastAsia" w:ascii="仿宋_GB2312" w:hAnsi="仿宋_GB2312" w:eastAsia="仿宋_GB2312" w:cs="仿宋_GB2312"/>
              <w:sz w:val="32"/>
              <w:szCs w:val="32"/>
            </w:rPr>
            <w:t>8</w:t>
          </w:r>
          <w:bookmarkEnd w:id="18"/>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_Toc13464_WPSOffice_Level2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826b07e8-28fb-42b9-b152-4e16f66ac703}"/>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三、支出决算情况说明</w:t>
              </w:r>
            </w:sdtContent>
          </w:sdt>
          <w:r>
            <w:rPr>
              <w:rFonts w:hint="eastAsia" w:ascii="仿宋_GB2312" w:hAnsi="仿宋_GB2312" w:eastAsia="仿宋_GB2312" w:cs="仿宋_GB2312"/>
              <w:sz w:val="32"/>
              <w:szCs w:val="32"/>
            </w:rPr>
            <w:tab/>
          </w:r>
          <w:bookmarkStart w:id="19" w:name="_Toc13464_WPSOffice_Level2Page"/>
          <w:r>
            <w:rPr>
              <w:rFonts w:hint="eastAsia" w:ascii="仿宋_GB2312" w:hAnsi="仿宋_GB2312" w:eastAsia="仿宋_GB2312" w:cs="仿宋_GB2312"/>
              <w:sz w:val="32"/>
              <w:szCs w:val="32"/>
            </w:rPr>
            <w:t>9</w:t>
          </w:r>
          <w:bookmarkEnd w:id="19"/>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_Toc28094_WPSOffice_Level2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2146fc3b-3f1a-4df0-bac9-8fb1cf1d91d9}"/>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四、财政拨款收入支出决算总体情况说明</w:t>
              </w:r>
            </w:sdtContent>
          </w:sdt>
          <w:r>
            <w:rPr>
              <w:rFonts w:hint="eastAsia" w:ascii="仿宋_GB2312" w:hAnsi="仿宋_GB2312" w:eastAsia="仿宋_GB2312" w:cs="仿宋_GB2312"/>
              <w:sz w:val="32"/>
              <w:szCs w:val="32"/>
            </w:rPr>
            <w:tab/>
          </w:r>
          <w:bookmarkStart w:id="20" w:name="_Toc28094_WPSOffice_Level2Page"/>
          <w:r>
            <w:rPr>
              <w:rFonts w:hint="eastAsia" w:ascii="仿宋_GB2312" w:hAnsi="仿宋_GB2312" w:eastAsia="仿宋_GB2312" w:cs="仿宋_GB2312"/>
              <w:sz w:val="32"/>
              <w:szCs w:val="32"/>
            </w:rPr>
            <w:t>10</w:t>
          </w:r>
          <w:bookmarkEnd w:id="20"/>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_Toc20493_WPSOffice_Level2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267dedc6-1b3a-4c69-a831-89dffec1ffdc}"/>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五、一般公共预算财政拨款支出决算情况说明</w:t>
              </w:r>
            </w:sdtContent>
          </w:sdt>
          <w:r>
            <w:rPr>
              <w:rFonts w:hint="eastAsia" w:ascii="仿宋_GB2312" w:hAnsi="仿宋_GB2312" w:eastAsia="仿宋_GB2312" w:cs="仿宋_GB2312"/>
              <w:sz w:val="32"/>
              <w:szCs w:val="32"/>
            </w:rPr>
            <w:tab/>
          </w:r>
          <w:bookmarkStart w:id="21" w:name="_Toc20493_WPSOffice_Level2Page"/>
          <w:r>
            <w:rPr>
              <w:rFonts w:hint="eastAsia" w:ascii="仿宋_GB2312" w:hAnsi="仿宋_GB2312" w:eastAsia="仿宋_GB2312" w:cs="仿宋_GB2312"/>
              <w:sz w:val="32"/>
              <w:szCs w:val="32"/>
            </w:rPr>
            <w:t>11</w:t>
          </w:r>
          <w:bookmarkEnd w:id="21"/>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_Toc14030_WPSOffice_Level2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f890a461-5444-4a1b-9484-a61279415467}"/>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六、一般公共预算财政拨款基本支出决算情况说明</w:t>
              </w:r>
            </w:sdtContent>
          </w:sdt>
          <w:r>
            <w:rPr>
              <w:rFonts w:hint="eastAsia" w:ascii="仿宋_GB2312" w:hAnsi="仿宋_GB2312" w:eastAsia="仿宋_GB2312" w:cs="仿宋_GB2312"/>
              <w:sz w:val="32"/>
              <w:szCs w:val="32"/>
            </w:rPr>
            <w:tab/>
          </w:r>
          <w:bookmarkStart w:id="22" w:name="_Toc14030_WPSOffice_Level2Page"/>
          <w:r>
            <w:rPr>
              <w:rFonts w:hint="eastAsia" w:ascii="仿宋_GB2312" w:hAnsi="仿宋_GB2312" w:eastAsia="仿宋_GB2312" w:cs="仿宋_GB2312"/>
              <w:sz w:val="32"/>
              <w:szCs w:val="32"/>
            </w:rPr>
            <w:t>15</w:t>
          </w:r>
          <w:bookmarkEnd w:id="22"/>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_Toc29875_WPSOffice_Level2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3511ef89-05e9-4aa8-a5d1-720f8b543aeb}"/>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七、财政拨款“三公”经费支出决算情况说明</w:t>
              </w:r>
            </w:sdtContent>
          </w:sdt>
          <w:r>
            <w:rPr>
              <w:rFonts w:hint="eastAsia" w:ascii="仿宋_GB2312" w:hAnsi="仿宋_GB2312" w:eastAsia="仿宋_GB2312" w:cs="仿宋_GB2312"/>
              <w:sz w:val="32"/>
              <w:szCs w:val="32"/>
            </w:rPr>
            <w:tab/>
          </w:r>
          <w:bookmarkStart w:id="23" w:name="_Toc29875_WPSOffice_Level2Page"/>
          <w:r>
            <w:rPr>
              <w:rFonts w:hint="eastAsia" w:ascii="仿宋_GB2312" w:hAnsi="仿宋_GB2312" w:eastAsia="仿宋_GB2312" w:cs="仿宋_GB2312"/>
              <w:sz w:val="32"/>
              <w:szCs w:val="32"/>
            </w:rPr>
            <w:t>15</w:t>
          </w:r>
          <w:bookmarkEnd w:id="23"/>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_Toc21242_WPSOffice_Level2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5896afd3-5699-4a9d-aec1-8e079383ebad}"/>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八、政府性基金预算支出决算情况说明</w:t>
              </w:r>
            </w:sdtContent>
          </w:sdt>
          <w:r>
            <w:rPr>
              <w:rFonts w:hint="eastAsia" w:ascii="仿宋_GB2312" w:hAnsi="仿宋_GB2312" w:eastAsia="仿宋_GB2312" w:cs="仿宋_GB2312"/>
              <w:sz w:val="32"/>
              <w:szCs w:val="32"/>
            </w:rPr>
            <w:tab/>
          </w:r>
          <w:bookmarkStart w:id="24" w:name="_Toc21242_WPSOffice_Level2Page"/>
          <w:r>
            <w:rPr>
              <w:rFonts w:hint="eastAsia" w:ascii="仿宋_GB2312" w:hAnsi="仿宋_GB2312" w:eastAsia="仿宋_GB2312" w:cs="仿宋_GB2312"/>
              <w:sz w:val="32"/>
              <w:szCs w:val="32"/>
            </w:rPr>
            <w:t>17</w:t>
          </w:r>
          <w:bookmarkEnd w:id="24"/>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_Toc25844_WPSOffice_Level2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7eb87727-6a07-4951-908c-c32bc4fea457}"/>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九、国有资本经营预算支出决算情况说明</w:t>
              </w:r>
            </w:sdtContent>
          </w:sdt>
          <w:r>
            <w:rPr>
              <w:rFonts w:hint="eastAsia" w:ascii="仿宋_GB2312" w:hAnsi="仿宋_GB2312" w:eastAsia="仿宋_GB2312" w:cs="仿宋_GB2312"/>
              <w:sz w:val="32"/>
              <w:szCs w:val="32"/>
            </w:rPr>
            <w:tab/>
          </w:r>
          <w:bookmarkStart w:id="25" w:name="_Toc25844_WPSOffice_Level2Page"/>
          <w:r>
            <w:rPr>
              <w:rFonts w:hint="eastAsia" w:ascii="仿宋_GB2312" w:hAnsi="仿宋_GB2312" w:eastAsia="仿宋_GB2312" w:cs="仿宋_GB2312"/>
              <w:sz w:val="32"/>
              <w:szCs w:val="32"/>
            </w:rPr>
            <w:t>17</w:t>
          </w:r>
          <w:bookmarkEnd w:id="25"/>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_Toc2694_WPSOffice_Level2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55d05e2e-d7db-48f7-b10b-62f983732b72}"/>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十、其他重要事项的情况说明</w:t>
              </w:r>
            </w:sdtContent>
          </w:sdt>
          <w:r>
            <w:rPr>
              <w:rFonts w:hint="eastAsia" w:ascii="仿宋_GB2312" w:hAnsi="仿宋_GB2312" w:eastAsia="仿宋_GB2312" w:cs="仿宋_GB2312"/>
              <w:sz w:val="32"/>
              <w:szCs w:val="32"/>
            </w:rPr>
            <w:tab/>
          </w:r>
          <w:bookmarkStart w:id="26" w:name="_Toc2694_WPSOffice_Level2Page"/>
          <w:r>
            <w:rPr>
              <w:rFonts w:hint="eastAsia" w:ascii="仿宋_GB2312" w:hAnsi="仿宋_GB2312" w:eastAsia="仿宋_GB2312" w:cs="仿宋_GB2312"/>
              <w:sz w:val="32"/>
              <w:szCs w:val="32"/>
            </w:rPr>
            <w:t>17</w:t>
          </w:r>
          <w:bookmarkEnd w:id="26"/>
          <w:r>
            <w:rPr>
              <w:rFonts w:hint="eastAsia" w:ascii="仿宋_GB2312" w:hAnsi="仿宋_GB2312" w:eastAsia="仿宋_GB2312" w:cs="仿宋_GB2312"/>
              <w:sz w:val="32"/>
              <w:szCs w:val="32"/>
            </w:rPr>
            <w:fldChar w:fldCharType="end"/>
          </w:r>
        </w:p>
        <w:p>
          <w:pPr>
            <w:pStyle w:val="35"/>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sz w:val="32"/>
              <w:szCs w:val="32"/>
            </w:rPr>
            <w:instrText xml:space="preserve"> HYPERLINK \l _Toc29394_WPSOffice_Level1 </w:instrText>
          </w:r>
          <w:r>
            <w:rPr>
              <w:rFonts w:hint="eastAsia" w:ascii="仿宋_GB2312" w:hAnsi="仿宋_GB2312" w:eastAsia="仿宋_GB2312" w:cs="仿宋_GB2312"/>
              <w:b/>
              <w:bCs/>
              <w:sz w:val="32"/>
              <w:szCs w:val="32"/>
            </w:rPr>
            <w:fldChar w:fldCharType="separate"/>
          </w:r>
          <w:sdt>
            <w:sdtPr>
              <w:rPr>
                <w:rFonts w:hint="eastAsia" w:ascii="仿宋_GB2312" w:hAnsi="仿宋_GB2312" w:eastAsia="仿宋_GB2312" w:cs="仿宋_GB2312"/>
                <w:b/>
                <w:bCs/>
                <w:kern w:val="2"/>
                <w:sz w:val="32"/>
                <w:szCs w:val="32"/>
                <w:lang w:val="en-US" w:eastAsia="zh-CN" w:bidi="ar-SA"/>
              </w:rPr>
              <w:id w:val="147452054"/>
              <w:placeholder>
                <w:docPart w:val="{98500c25-c470-40a6-8583-7add7dcc7682}"/>
              </w:placeholder>
            </w:sdtPr>
            <w:sdtEndPr>
              <w:rPr>
                <w:rFonts w:hint="eastAsia" w:ascii="仿宋_GB2312" w:hAnsi="仿宋_GB2312" w:eastAsia="仿宋_GB2312" w:cs="仿宋_GB2312"/>
                <w:b/>
                <w:bCs/>
                <w:kern w:val="2"/>
                <w:sz w:val="32"/>
                <w:szCs w:val="32"/>
                <w:lang w:val="en-US" w:eastAsia="zh-CN" w:bidi="ar-SA"/>
              </w:rPr>
            </w:sdtEndPr>
            <w:sdtContent>
              <w:r>
                <w:rPr>
                  <w:rFonts w:hint="eastAsia" w:ascii="仿宋_GB2312" w:hAnsi="仿宋_GB2312" w:eastAsia="仿宋_GB2312" w:cs="仿宋_GB2312"/>
                  <w:b/>
                  <w:bCs/>
                  <w:sz w:val="32"/>
                  <w:szCs w:val="32"/>
                </w:rPr>
                <w:t>第三部分 名词解释</w:t>
              </w:r>
            </w:sdtContent>
          </w:sdt>
          <w:r>
            <w:rPr>
              <w:rFonts w:hint="eastAsia" w:ascii="仿宋_GB2312" w:hAnsi="仿宋_GB2312" w:eastAsia="仿宋_GB2312" w:cs="仿宋_GB2312"/>
              <w:b/>
              <w:bCs/>
              <w:sz w:val="32"/>
              <w:szCs w:val="32"/>
            </w:rPr>
            <w:tab/>
          </w:r>
          <w:bookmarkStart w:id="27" w:name="_Toc29394_WPSOffice_Level1Page"/>
          <w:r>
            <w:rPr>
              <w:rFonts w:hint="eastAsia" w:ascii="仿宋_GB2312" w:hAnsi="仿宋_GB2312" w:eastAsia="仿宋_GB2312" w:cs="仿宋_GB2312"/>
              <w:b/>
              <w:bCs/>
              <w:sz w:val="32"/>
              <w:szCs w:val="32"/>
            </w:rPr>
            <w:t>19</w:t>
          </w:r>
          <w:bookmarkEnd w:id="27"/>
          <w:r>
            <w:rPr>
              <w:rFonts w:hint="eastAsia" w:ascii="仿宋_GB2312" w:hAnsi="仿宋_GB2312" w:eastAsia="仿宋_GB2312" w:cs="仿宋_GB2312"/>
              <w:b/>
              <w:bCs/>
              <w:sz w:val="32"/>
              <w:szCs w:val="32"/>
            </w:rPr>
            <w:fldChar w:fldCharType="end"/>
          </w:r>
        </w:p>
        <w:p>
          <w:pPr>
            <w:pStyle w:val="35"/>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sz w:val="32"/>
              <w:szCs w:val="32"/>
            </w:rPr>
            <w:instrText xml:space="preserve"> HYPERLINK \l _Toc27161_WPSOffice_Level1 </w:instrText>
          </w:r>
          <w:r>
            <w:rPr>
              <w:rFonts w:hint="eastAsia" w:ascii="仿宋_GB2312" w:hAnsi="仿宋_GB2312" w:eastAsia="仿宋_GB2312" w:cs="仿宋_GB2312"/>
              <w:b/>
              <w:bCs/>
              <w:sz w:val="32"/>
              <w:szCs w:val="32"/>
            </w:rPr>
            <w:fldChar w:fldCharType="separate"/>
          </w:r>
          <w:sdt>
            <w:sdtPr>
              <w:rPr>
                <w:rFonts w:hint="eastAsia" w:ascii="仿宋_GB2312" w:hAnsi="仿宋_GB2312" w:eastAsia="仿宋_GB2312" w:cs="仿宋_GB2312"/>
                <w:b/>
                <w:bCs/>
                <w:kern w:val="2"/>
                <w:sz w:val="32"/>
                <w:szCs w:val="32"/>
                <w:lang w:val="en-US" w:eastAsia="zh-CN" w:bidi="ar-SA"/>
              </w:rPr>
              <w:id w:val="147452054"/>
              <w:placeholder>
                <w:docPart w:val="{0dfea456-3b23-434d-a889-1a41ddfae7fd}"/>
              </w:placeholder>
            </w:sdtPr>
            <w:sdtEndPr>
              <w:rPr>
                <w:rFonts w:hint="eastAsia" w:ascii="仿宋_GB2312" w:hAnsi="仿宋_GB2312" w:eastAsia="仿宋_GB2312" w:cs="仿宋_GB2312"/>
                <w:b/>
                <w:bCs/>
                <w:kern w:val="2"/>
                <w:sz w:val="32"/>
                <w:szCs w:val="32"/>
                <w:lang w:val="en-US" w:eastAsia="zh-CN" w:bidi="ar-SA"/>
              </w:rPr>
            </w:sdtEndPr>
            <w:sdtContent>
              <w:r>
                <w:rPr>
                  <w:rFonts w:hint="eastAsia" w:ascii="仿宋_GB2312" w:hAnsi="仿宋_GB2312" w:eastAsia="仿宋_GB2312" w:cs="仿宋_GB2312"/>
                  <w:b/>
                  <w:bCs/>
                  <w:sz w:val="32"/>
                  <w:szCs w:val="32"/>
                </w:rPr>
                <w:t>第四部分 附件</w:t>
              </w:r>
            </w:sdtContent>
          </w:sdt>
          <w:r>
            <w:rPr>
              <w:rFonts w:hint="eastAsia" w:ascii="仿宋_GB2312" w:hAnsi="仿宋_GB2312" w:eastAsia="仿宋_GB2312" w:cs="仿宋_GB2312"/>
              <w:b/>
              <w:bCs/>
              <w:sz w:val="32"/>
              <w:szCs w:val="32"/>
            </w:rPr>
            <w:tab/>
          </w:r>
          <w:bookmarkStart w:id="28" w:name="_Toc27161_WPSOffice_Level1Page"/>
          <w:r>
            <w:rPr>
              <w:rFonts w:hint="eastAsia" w:ascii="仿宋_GB2312" w:hAnsi="仿宋_GB2312" w:eastAsia="仿宋_GB2312" w:cs="仿宋_GB2312"/>
              <w:b/>
              <w:bCs/>
              <w:sz w:val="32"/>
              <w:szCs w:val="32"/>
            </w:rPr>
            <w:t>23</w:t>
          </w:r>
          <w:bookmarkEnd w:id="28"/>
          <w:r>
            <w:rPr>
              <w:rFonts w:hint="eastAsia" w:ascii="仿宋_GB2312" w:hAnsi="仿宋_GB2312" w:eastAsia="仿宋_GB2312" w:cs="仿宋_GB2312"/>
              <w:b/>
              <w:bCs/>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_Toc8575_WPSOffice_Level2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897a5f28-b7d3-49b7-bb21-f98f9b13b18e}"/>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盐边县人民政府办公室</w:t>
              </w:r>
            </w:sdtContent>
          </w:sdt>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_Toc14074_WPSOffice_Level2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78b2a178-e994-4d20-b746-10c0feb6ec0a}"/>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部门整体绩效评价报告</w:t>
              </w:r>
            </w:sdtContent>
          </w:sdt>
          <w:r>
            <w:rPr>
              <w:rFonts w:hint="eastAsia" w:ascii="仿宋_GB2312" w:hAnsi="仿宋_GB2312" w:eastAsia="仿宋_GB2312" w:cs="仿宋_GB2312"/>
              <w:sz w:val="32"/>
              <w:szCs w:val="32"/>
            </w:rPr>
            <w:tab/>
          </w:r>
          <w:bookmarkStart w:id="29" w:name="_Toc14074_WPSOffice_Level2Page"/>
          <w:r>
            <w:rPr>
              <w:rFonts w:hint="eastAsia" w:ascii="仿宋_GB2312" w:hAnsi="仿宋_GB2312" w:eastAsia="仿宋_GB2312" w:cs="仿宋_GB2312"/>
              <w:sz w:val="32"/>
              <w:szCs w:val="32"/>
            </w:rPr>
            <w:t>23</w:t>
          </w:r>
          <w:bookmarkEnd w:id="29"/>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_Toc21250_WPSOffice_Level2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991592fb-a027-4b79-bcd5-32d8b0d80b31}"/>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一、部门（单位）基本情况</w:t>
              </w:r>
            </w:sdtContent>
          </w:sdt>
          <w:r>
            <w:rPr>
              <w:rFonts w:hint="eastAsia" w:ascii="仿宋_GB2312" w:hAnsi="仿宋_GB2312" w:eastAsia="仿宋_GB2312" w:cs="仿宋_GB2312"/>
              <w:sz w:val="32"/>
              <w:szCs w:val="32"/>
            </w:rPr>
            <w:tab/>
          </w:r>
          <w:bookmarkStart w:id="30" w:name="_Toc21250_WPSOffice_Level2Page"/>
          <w:r>
            <w:rPr>
              <w:rFonts w:hint="eastAsia" w:ascii="仿宋_GB2312" w:hAnsi="仿宋_GB2312" w:eastAsia="仿宋_GB2312" w:cs="仿宋_GB2312"/>
              <w:sz w:val="32"/>
              <w:szCs w:val="32"/>
            </w:rPr>
            <w:t>23</w:t>
          </w:r>
          <w:bookmarkEnd w:id="30"/>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_Toc26219_WPSOffice_Level2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fdcf6794-dc30-4a17-a359-51f9bea4f652}"/>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二、部门资金收支情况</w:t>
              </w:r>
            </w:sdtContent>
          </w:sdt>
          <w:r>
            <w:rPr>
              <w:rFonts w:hint="eastAsia" w:ascii="仿宋_GB2312" w:hAnsi="仿宋_GB2312" w:eastAsia="仿宋_GB2312" w:cs="仿宋_GB2312"/>
              <w:sz w:val="32"/>
              <w:szCs w:val="32"/>
            </w:rPr>
            <w:tab/>
          </w:r>
          <w:bookmarkStart w:id="31" w:name="_Toc26219_WPSOffice_Level2Page"/>
          <w:r>
            <w:rPr>
              <w:rFonts w:hint="eastAsia" w:ascii="仿宋_GB2312" w:hAnsi="仿宋_GB2312" w:eastAsia="仿宋_GB2312" w:cs="仿宋_GB2312"/>
              <w:sz w:val="32"/>
              <w:szCs w:val="32"/>
            </w:rPr>
            <w:t>25</w:t>
          </w:r>
          <w:bookmarkEnd w:id="31"/>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_Toc16095_WPSOffice_Level2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f1350cfe-bb07-48a1-8b18-fb04929db380}"/>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三、部门预算绩效分析</w:t>
              </w:r>
            </w:sdtContent>
          </w:sdt>
          <w:r>
            <w:rPr>
              <w:rFonts w:hint="eastAsia" w:ascii="仿宋_GB2312" w:hAnsi="仿宋_GB2312" w:eastAsia="仿宋_GB2312" w:cs="仿宋_GB2312"/>
              <w:sz w:val="32"/>
              <w:szCs w:val="32"/>
            </w:rPr>
            <w:tab/>
          </w:r>
          <w:bookmarkStart w:id="32" w:name="_Toc16095_WPSOffice_Level2Page"/>
          <w:r>
            <w:rPr>
              <w:rFonts w:hint="eastAsia" w:ascii="仿宋_GB2312" w:hAnsi="仿宋_GB2312" w:eastAsia="仿宋_GB2312" w:cs="仿宋_GB2312"/>
              <w:sz w:val="32"/>
              <w:szCs w:val="32"/>
            </w:rPr>
            <w:t>27</w:t>
          </w:r>
          <w:bookmarkEnd w:id="32"/>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_Toc25064_WPSOffice_Level2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fc8fe87e-ca07-478e-999e-820ea99445e8}"/>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四、评价结论及建议</w:t>
              </w:r>
            </w:sdtContent>
          </w:sdt>
          <w:r>
            <w:rPr>
              <w:rFonts w:hint="eastAsia" w:ascii="仿宋_GB2312" w:hAnsi="仿宋_GB2312" w:eastAsia="仿宋_GB2312" w:cs="仿宋_GB2312"/>
              <w:sz w:val="32"/>
              <w:szCs w:val="32"/>
            </w:rPr>
            <w:tab/>
          </w:r>
          <w:bookmarkStart w:id="33" w:name="_Toc25064_WPSOffice_Level2Page"/>
          <w:r>
            <w:rPr>
              <w:rFonts w:hint="eastAsia" w:ascii="仿宋_GB2312" w:hAnsi="仿宋_GB2312" w:eastAsia="仿宋_GB2312" w:cs="仿宋_GB2312"/>
              <w:sz w:val="32"/>
              <w:szCs w:val="32"/>
            </w:rPr>
            <w:t>29</w:t>
          </w:r>
          <w:bookmarkEnd w:id="33"/>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_Toc1615_WPSOffice_Level2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099e6969-d732-405a-a981-a3bb64e7c332}"/>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县政府办公经费项目支出</w:t>
              </w:r>
            </w:sdtContent>
          </w:sdt>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_Toc30853_WPSOffice_Level2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a42c7256-e63f-4941-95c8-1a75972514b7}"/>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绩效评价报告</w:t>
              </w:r>
            </w:sdtContent>
          </w:sdt>
          <w:r>
            <w:rPr>
              <w:rFonts w:hint="eastAsia" w:ascii="仿宋_GB2312" w:hAnsi="仿宋_GB2312" w:eastAsia="仿宋_GB2312" w:cs="仿宋_GB2312"/>
              <w:sz w:val="32"/>
              <w:szCs w:val="32"/>
            </w:rPr>
            <w:tab/>
          </w:r>
          <w:bookmarkStart w:id="34" w:name="_Toc30853_WPSOffice_Level2Page"/>
          <w:r>
            <w:rPr>
              <w:rFonts w:hint="eastAsia" w:ascii="仿宋_GB2312" w:hAnsi="仿宋_GB2312" w:eastAsia="仿宋_GB2312" w:cs="仿宋_GB2312"/>
              <w:sz w:val="32"/>
              <w:szCs w:val="32"/>
            </w:rPr>
            <w:t>31</w:t>
          </w:r>
          <w:bookmarkEnd w:id="34"/>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_Toc11215_WPSOffice_Level2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a5b9174a-3d22-4918-96cb-a5bfd356c26c}"/>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一、项目概况</w:t>
              </w:r>
            </w:sdtContent>
          </w:sdt>
          <w:r>
            <w:rPr>
              <w:rFonts w:hint="eastAsia" w:ascii="仿宋_GB2312" w:hAnsi="仿宋_GB2312" w:eastAsia="仿宋_GB2312" w:cs="仿宋_GB2312"/>
              <w:sz w:val="32"/>
              <w:szCs w:val="32"/>
            </w:rPr>
            <w:tab/>
          </w:r>
          <w:bookmarkStart w:id="35" w:name="_Toc11215_WPSOffice_Level2Page"/>
          <w:r>
            <w:rPr>
              <w:rFonts w:hint="eastAsia" w:ascii="仿宋_GB2312" w:hAnsi="仿宋_GB2312" w:eastAsia="仿宋_GB2312" w:cs="仿宋_GB2312"/>
              <w:sz w:val="32"/>
              <w:szCs w:val="32"/>
            </w:rPr>
            <w:t>31</w:t>
          </w:r>
          <w:bookmarkEnd w:id="35"/>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_Toc15265_WPSOffice_Level2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ae5e1dae-897e-401d-8cf8-44a136415112}"/>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二、评价实施</w:t>
              </w:r>
            </w:sdtContent>
          </w:sdt>
          <w:r>
            <w:rPr>
              <w:rFonts w:hint="eastAsia" w:ascii="仿宋_GB2312" w:hAnsi="仿宋_GB2312" w:eastAsia="仿宋_GB2312" w:cs="仿宋_GB2312"/>
              <w:sz w:val="32"/>
              <w:szCs w:val="32"/>
            </w:rPr>
            <w:tab/>
          </w:r>
          <w:bookmarkStart w:id="36" w:name="_Toc15265_WPSOffice_Level2Page"/>
          <w:r>
            <w:rPr>
              <w:rFonts w:hint="eastAsia" w:ascii="仿宋_GB2312" w:hAnsi="仿宋_GB2312" w:eastAsia="仿宋_GB2312" w:cs="仿宋_GB2312"/>
              <w:sz w:val="32"/>
              <w:szCs w:val="32"/>
            </w:rPr>
            <w:t>32</w:t>
          </w:r>
          <w:bookmarkEnd w:id="36"/>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_Toc30926_WPSOffice_Level2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332025a5-3a28-46f4-9f8b-45c0fb3d6081}"/>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三、绩效分析</w:t>
              </w:r>
            </w:sdtContent>
          </w:sdt>
          <w:r>
            <w:rPr>
              <w:rFonts w:hint="eastAsia" w:ascii="仿宋_GB2312" w:hAnsi="仿宋_GB2312" w:eastAsia="仿宋_GB2312" w:cs="仿宋_GB2312"/>
              <w:sz w:val="32"/>
              <w:szCs w:val="32"/>
            </w:rPr>
            <w:tab/>
          </w:r>
          <w:bookmarkStart w:id="37" w:name="_Toc30926_WPSOffice_Level2Page"/>
          <w:r>
            <w:rPr>
              <w:rFonts w:hint="eastAsia" w:ascii="仿宋_GB2312" w:hAnsi="仿宋_GB2312" w:eastAsia="仿宋_GB2312" w:cs="仿宋_GB2312"/>
              <w:sz w:val="32"/>
              <w:szCs w:val="32"/>
            </w:rPr>
            <w:t>32</w:t>
          </w:r>
          <w:bookmarkEnd w:id="37"/>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_Toc32332_WPSOffice_Level2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0ee9b0f4-677b-4d66-b528-d6e2ea263ad2}"/>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四、评价结论</w:t>
              </w:r>
            </w:sdtContent>
          </w:sdt>
          <w:r>
            <w:rPr>
              <w:rFonts w:hint="eastAsia" w:ascii="仿宋_GB2312" w:hAnsi="仿宋_GB2312" w:eastAsia="仿宋_GB2312" w:cs="仿宋_GB2312"/>
              <w:sz w:val="32"/>
              <w:szCs w:val="32"/>
            </w:rPr>
            <w:tab/>
          </w:r>
          <w:bookmarkStart w:id="38" w:name="_Toc32332_WPSOffice_Level2Page"/>
          <w:r>
            <w:rPr>
              <w:rFonts w:hint="eastAsia" w:ascii="仿宋_GB2312" w:hAnsi="仿宋_GB2312" w:eastAsia="仿宋_GB2312" w:cs="仿宋_GB2312"/>
              <w:sz w:val="32"/>
              <w:szCs w:val="32"/>
            </w:rPr>
            <w:t>33</w:t>
          </w:r>
          <w:bookmarkEnd w:id="38"/>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_Toc28148_WPSOffice_Level2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d246ef6c-44e7-4784-a19d-1baa41a6988b}"/>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五、存在主要问题</w:t>
              </w:r>
            </w:sdtContent>
          </w:sdt>
          <w:r>
            <w:rPr>
              <w:rFonts w:hint="eastAsia" w:ascii="仿宋_GB2312" w:hAnsi="仿宋_GB2312" w:eastAsia="仿宋_GB2312" w:cs="仿宋_GB2312"/>
              <w:sz w:val="32"/>
              <w:szCs w:val="32"/>
            </w:rPr>
            <w:tab/>
          </w:r>
          <w:bookmarkStart w:id="39" w:name="_Toc28148_WPSOffice_Level2Page"/>
          <w:r>
            <w:rPr>
              <w:rFonts w:hint="eastAsia" w:ascii="仿宋_GB2312" w:hAnsi="仿宋_GB2312" w:eastAsia="仿宋_GB2312" w:cs="仿宋_GB2312"/>
              <w:sz w:val="32"/>
              <w:szCs w:val="32"/>
            </w:rPr>
            <w:t>34</w:t>
          </w:r>
          <w:bookmarkEnd w:id="39"/>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_Toc14593_WPSOffice_Level2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3cca1b37-a986-4ca4-9447-2ea915279dcc}"/>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六、改进建议</w:t>
              </w:r>
            </w:sdtContent>
          </w:sdt>
          <w:r>
            <w:rPr>
              <w:rFonts w:hint="eastAsia" w:ascii="仿宋_GB2312" w:hAnsi="仿宋_GB2312" w:eastAsia="仿宋_GB2312" w:cs="仿宋_GB2312"/>
              <w:sz w:val="32"/>
              <w:szCs w:val="32"/>
            </w:rPr>
            <w:tab/>
          </w:r>
          <w:bookmarkStart w:id="40" w:name="_Toc14593_WPSOffice_Level2Page"/>
          <w:r>
            <w:rPr>
              <w:rFonts w:hint="eastAsia" w:ascii="仿宋_GB2312" w:hAnsi="仿宋_GB2312" w:eastAsia="仿宋_GB2312" w:cs="仿宋_GB2312"/>
              <w:sz w:val="32"/>
              <w:szCs w:val="32"/>
            </w:rPr>
            <w:t>34</w:t>
          </w:r>
          <w:bookmarkEnd w:id="40"/>
          <w:r>
            <w:rPr>
              <w:rFonts w:hint="eastAsia" w:ascii="仿宋_GB2312" w:hAnsi="仿宋_GB2312" w:eastAsia="仿宋_GB2312" w:cs="仿宋_GB2312"/>
              <w:sz w:val="32"/>
              <w:szCs w:val="32"/>
            </w:rPr>
            <w:fldChar w:fldCharType="end"/>
          </w:r>
        </w:p>
        <w:p>
          <w:pPr>
            <w:pStyle w:val="35"/>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sz w:val="32"/>
              <w:szCs w:val="32"/>
            </w:rPr>
            <w:instrText xml:space="preserve"> HYPERLINK \l _Toc24714_WPSOffice_Level1 </w:instrText>
          </w:r>
          <w:r>
            <w:rPr>
              <w:rFonts w:hint="eastAsia" w:ascii="仿宋_GB2312" w:hAnsi="仿宋_GB2312" w:eastAsia="仿宋_GB2312" w:cs="仿宋_GB2312"/>
              <w:b/>
              <w:bCs/>
              <w:sz w:val="32"/>
              <w:szCs w:val="32"/>
            </w:rPr>
            <w:fldChar w:fldCharType="separate"/>
          </w:r>
          <w:sdt>
            <w:sdtPr>
              <w:rPr>
                <w:rFonts w:hint="eastAsia" w:ascii="仿宋_GB2312" w:hAnsi="仿宋_GB2312" w:eastAsia="仿宋_GB2312" w:cs="仿宋_GB2312"/>
                <w:b/>
                <w:bCs/>
                <w:kern w:val="2"/>
                <w:sz w:val="32"/>
                <w:szCs w:val="32"/>
                <w:lang w:val="en-US" w:eastAsia="zh-CN" w:bidi="ar-SA"/>
              </w:rPr>
              <w:id w:val="147452054"/>
              <w:placeholder>
                <w:docPart w:val="{fc4aa050-ff66-4ed8-a80c-107e3ccb6e6b}"/>
              </w:placeholder>
            </w:sdtPr>
            <w:sdtEndPr>
              <w:rPr>
                <w:rFonts w:hint="eastAsia" w:ascii="仿宋_GB2312" w:hAnsi="仿宋_GB2312" w:eastAsia="仿宋_GB2312" w:cs="仿宋_GB2312"/>
                <w:b/>
                <w:bCs/>
                <w:kern w:val="2"/>
                <w:sz w:val="32"/>
                <w:szCs w:val="32"/>
                <w:lang w:val="en-US" w:eastAsia="zh-CN" w:bidi="ar-SA"/>
              </w:rPr>
            </w:sdtEndPr>
            <w:sdtContent>
              <w:r>
                <w:rPr>
                  <w:rFonts w:hint="eastAsia" w:ascii="仿宋_GB2312" w:hAnsi="仿宋_GB2312" w:eastAsia="仿宋_GB2312" w:cs="仿宋_GB2312"/>
                  <w:b/>
                  <w:bCs/>
                  <w:sz w:val="32"/>
                  <w:szCs w:val="32"/>
                </w:rPr>
                <w:t>第五部分 附表</w:t>
              </w:r>
            </w:sdtContent>
          </w:sdt>
          <w:r>
            <w:rPr>
              <w:rFonts w:hint="eastAsia" w:ascii="仿宋_GB2312" w:hAnsi="仿宋_GB2312" w:eastAsia="仿宋_GB2312" w:cs="仿宋_GB2312"/>
              <w:b/>
              <w:bCs/>
              <w:sz w:val="32"/>
              <w:szCs w:val="32"/>
            </w:rPr>
            <w:tab/>
          </w:r>
          <w:bookmarkStart w:id="41" w:name="_Toc24714_WPSOffice_Level1Page"/>
          <w:r>
            <w:rPr>
              <w:rFonts w:hint="eastAsia" w:ascii="仿宋_GB2312" w:hAnsi="仿宋_GB2312" w:eastAsia="仿宋_GB2312" w:cs="仿宋_GB2312"/>
              <w:b/>
              <w:bCs/>
              <w:sz w:val="32"/>
              <w:szCs w:val="32"/>
            </w:rPr>
            <w:t>35</w:t>
          </w:r>
          <w:bookmarkEnd w:id="41"/>
          <w:r>
            <w:rPr>
              <w:rFonts w:hint="eastAsia" w:ascii="仿宋_GB2312" w:hAnsi="仿宋_GB2312" w:eastAsia="仿宋_GB2312" w:cs="仿宋_GB2312"/>
              <w:b/>
              <w:bCs/>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_Toc31358_WPSOffice_Level2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c15f626c-50e8-4595-ac1b-3b62a3067ec4}"/>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一、收入支出决算总表</w:t>
              </w:r>
            </w:sdtContent>
          </w:sdt>
          <w:r>
            <w:rPr>
              <w:rFonts w:hint="eastAsia" w:ascii="仿宋_GB2312" w:hAnsi="仿宋_GB2312" w:eastAsia="仿宋_GB2312" w:cs="仿宋_GB2312"/>
              <w:sz w:val="32"/>
              <w:szCs w:val="32"/>
            </w:rPr>
            <w:tab/>
          </w:r>
          <w:bookmarkStart w:id="42" w:name="_Toc31358_WPSOffice_Level2Page"/>
          <w:r>
            <w:rPr>
              <w:rFonts w:hint="eastAsia" w:ascii="仿宋_GB2312" w:hAnsi="仿宋_GB2312" w:eastAsia="仿宋_GB2312" w:cs="仿宋_GB2312"/>
              <w:sz w:val="32"/>
              <w:szCs w:val="32"/>
            </w:rPr>
            <w:t>35</w:t>
          </w:r>
          <w:bookmarkEnd w:id="42"/>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_Toc15374_WPSOffice_Level2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4f2d25f5-1f04-4e5e-bfca-9541a19f9b83}"/>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二、收入决算表</w:t>
              </w:r>
            </w:sdtContent>
          </w:sdt>
          <w:r>
            <w:rPr>
              <w:rFonts w:hint="eastAsia" w:ascii="仿宋_GB2312" w:hAnsi="仿宋_GB2312" w:eastAsia="仿宋_GB2312" w:cs="仿宋_GB2312"/>
              <w:sz w:val="32"/>
              <w:szCs w:val="32"/>
            </w:rPr>
            <w:tab/>
          </w:r>
          <w:bookmarkStart w:id="43" w:name="_Toc15374_WPSOffice_Level2Page"/>
          <w:r>
            <w:rPr>
              <w:rFonts w:hint="eastAsia" w:ascii="仿宋_GB2312" w:hAnsi="仿宋_GB2312" w:eastAsia="仿宋_GB2312" w:cs="仿宋_GB2312"/>
              <w:sz w:val="32"/>
              <w:szCs w:val="32"/>
            </w:rPr>
            <w:t>35</w:t>
          </w:r>
          <w:bookmarkEnd w:id="43"/>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_Toc23415_WPSOffice_Level2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16fd1325-7a80-4eae-8522-eb35cd6cfe11}"/>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三、支出决算表</w:t>
              </w:r>
            </w:sdtContent>
          </w:sdt>
          <w:r>
            <w:rPr>
              <w:rFonts w:hint="eastAsia" w:ascii="仿宋_GB2312" w:hAnsi="仿宋_GB2312" w:eastAsia="仿宋_GB2312" w:cs="仿宋_GB2312"/>
              <w:sz w:val="32"/>
              <w:szCs w:val="32"/>
            </w:rPr>
            <w:tab/>
          </w:r>
          <w:bookmarkStart w:id="44" w:name="_Toc23415_WPSOffice_Level2Page"/>
          <w:r>
            <w:rPr>
              <w:rFonts w:hint="eastAsia" w:ascii="仿宋_GB2312" w:hAnsi="仿宋_GB2312" w:eastAsia="仿宋_GB2312" w:cs="仿宋_GB2312"/>
              <w:sz w:val="32"/>
              <w:szCs w:val="32"/>
            </w:rPr>
            <w:t>35</w:t>
          </w:r>
          <w:bookmarkEnd w:id="44"/>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_Toc11872_WPSOffice_Level2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27cedc1c-c6fe-4d99-aaec-f62a12c82ec4}"/>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四、财政拨款收入支出决算总表</w:t>
              </w:r>
            </w:sdtContent>
          </w:sdt>
          <w:r>
            <w:rPr>
              <w:rFonts w:hint="eastAsia" w:ascii="仿宋_GB2312" w:hAnsi="仿宋_GB2312" w:eastAsia="仿宋_GB2312" w:cs="仿宋_GB2312"/>
              <w:sz w:val="32"/>
              <w:szCs w:val="32"/>
            </w:rPr>
            <w:tab/>
          </w:r>
          <w:bookmarkStart w:id="45" w:name="_Toc11872_WPSOffice_Level2Page"/>
          <w:r>
            <w:rPr>
              <w:rFonts w:hint="eastAsia" w:ascii="仿宋_GB2312" w:hAnsi="仿宋_GB2312" w:eastAsia="仿宋_GB2312" w:cs="仿宋_GB2312"/>
              <w:sz w:val="32"/>
              <w:szCs w:val="32"/>
            </w:rPr>
            <w:t>35</w:t>
          </w:r>
          <w:bookmarkEnd w:id="45"/>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_Toc18916_WPSOffice_Level2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65b012db-f29b-4cda-89cf-63ca0ba49fe8}"/>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五、财政拨款支出决算明细表</w:t>
              </w:r>
            </w:sdtContent>
          </w:sdt>
          <w:r>
            <w:rPr>
              <w:rFonts w:hint="eastAsia" w:ascii="仿宋_GB2312" w:hAnsi="仿宋_GB2312" w:eastAsia="仿宋_GB2312" w:cs="仿宋_GB2312"/>
              <w:sz w:val="32"/>
              <w:szCs w:val="32"/>
            </w:rPr>
            <w:tab/>
          </w:r>
          <w:bookmarkStart w:id="46" w:name="_Toc18916_WPSOffice_Level2Page"/>
          <w:r>
            <w:rPr>
              <w:rFonts w:hint="eastAsia" w:ascii="仿宋_GB2312" w:hAnsi="仿宋_GB2312" w:eastAsia="仿宋_GB2312" w:cs="仿宋_GB2312"/>
              <w:sz w:val="32"/>
              <w:szCs w:val="32"/>
            </w:rPr>
            <w:t>35</w:t>
          </w:r>
          <w:bookmarkEnd w:id="46"/>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_Toc912_WPSOffice_Level2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f035980f-9c5e-4218-b362-b27e19441b88}"/>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六、一般公共预算财政拨款支出决算表</w:t>
              </w:r>
            </w:sdtContent>
          </w:sdt>
          <w:r>
            <w:rPr>
              <w:rFonts w:hint="eastAsia" w:ascii="仿宋_GB2312" w:hAnsi="仿宋_GB2312" w:eastAsia="仿宋_GB2312" w:cs="仿宋_GB2312"/>
              <w:sz w:val="32"/>
              <w:szCs w:val="32"/>
            </w:rPr>
            <w:tab/>
          </w:r>
          <w:bookmarkStart w:id="47" w:name="_Toc912_WPSOffice_Level2Page"/>
          <w:r>
            <w:rPr>
              <w:rFonts w:hint="eastAsia" w:ascii="仿宋_GB2312" w:hAnsi="仿宋_GB2312" w:eastAsia="仿宋_GB2312" w:cs="仿宋_GB2312"/>
              <w:sz w:val="32"/>
              <w:szCs w:val="32"/>
            </w:rPr>
            <w:t>35</w:t>
          </w:r>
          <w:bookmarkEnd w:id="47"/>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_Toc5908_WPSOffice_Level2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1be58913-3123-4597-8e58-26d8c7323d5e}"/>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七、一般公共预算财政拨款支出决算明细表</w:t>
              </w:r>
            </w:sdtContent>
          </w:sdt>
          <w:r>
            <w:rPr>
              <w:rFonts w:hint="eastAsia" w:ascii="仿宋_GB2312" w:hAnsi="仿宋_GB2312" w:eastAsia="仿宋_GB2312" w:cs="仿宋_GB2312"/>
              <w:sz w:val="32"/>
              <w:szCs w:val="32"/>
            </w:rPr>
            <w:tab/>
          </w:r>
          <w:bookmarkStart w:id="48" w:name="_Toc5908_WPSOffice_Level2Page"/>
          <w:r>
            <w:rPr>
              <w:rFonts w:hint="eastAsia" w:ascii="仿宋_GB2312" w:hAnsi="仿宋_GB2312" w:eastAsia="仿宋_GB2312" w:cs="仿宋_GB2312"/>
              <w:sz w:val="32"/>
              <w:szCs w:val="32"/>
            </w:rPr>
            <w:t>35</w:t>
          </w:r>
          <w:bookmarkEnd w:id="48"/>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_Toc11100_WPSOffice_Level2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28f9ebec-2f44-4c85-bdc2-0df98ffd9cb3}"/>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八、一般公共预算财政拨款基本支出决算表</w:t>
              </w:r>
            </w:sdtContent>
          </w:sdt>
          <w:r>
            <w:rPr>
              <w:rFonts w:hint="eastAsia" w:ascii="仿宋_GB2312" w:hAnsi="仿宋_GB2312" w:eastAsia="仿宋_GB2312" w:cs="仿宋_GB2312"/>
              <w:sz w:val="32"/>
              <w:szCs w:val="32"/>
            </w:rPr>
            <w:tab/>
          </w:r>
          <w:bookmarkStart w:id="49" w:name="_Toc11100_WPSOffice_Level2Page"/>
          <w:r>
            <w:rPr>
              <w:rFonts w:hint="eastAsia" w:ascii="仿宋_GB2312" w:hAnsi="仿宋_GB2312" w:eastAsia="仿宋_GB2312" w:cs="仿宋_GB2312"/>
              <w:sz w:val="32"/>
              <w:szCs w:val="32"/>
            </w:rPr>
            <w:t>35</w:t>
          </w:r>
          <w:bookmarkEnd w:id="49"/>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_Toc4280_WPSOffice_Level2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e9d5e2f1-7696-4080-827f-a3b47eb7e05f}"/>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九、一般公共预算财政拨款项目支出决算表</w:t>
              </w:r>
            </w:sdtContent>
          </w:sdt>
          <w:r>
            <w:rPr>
              <w:rFonts w:hint="eastAsia" w:ascii="仿宋_GB2312" w:hAnsi="仿宋_GB2312" w:eastAsia="仿宋_GB2312" w:cs="仿宋_GB2312"/>
              <w:sz w:val="32"/>
              <w:szCs w:val="32"/>
            </w:rPr>
            <w:tab/>
          </w:r>
          <w:bookmarkStart w:id="50" w:name="_Toc4280_WPSOffice_Level2Page"/>
          <w:r>
            <w:rPr>
              <w:rFonts w:hint="eastAsia" w:ascii="仿宋_GB2312" w:hAnsi="仿宋_GB2312" w:eastAsia="仿宋_GB2312" w:cs="仿宋_GB2312"/>
              <w:sz w:val="32"/>
              <w:szCs w:val="32"/>
            </w:rPr>
            <w:t>35</w:t>
          </w:r>
          <w:bookmarkEnd w:id="50"/>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_Toc3576_WPSOffice_Level2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2bcf6913-e26d-46f0-ab9f-0f00b05e2897}"/>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十、政府性基金预算财政拨款收入支出决算表</w:t>
              </w:r>
            </w:sdtContent>
          </w:sdt>
          <w:r>
            <w:rPr>
              <w:rFonts w:hint="eastAsia" w:ascii="仿宋_GB2312" w:hAnsi="仿宋_GB2312" w:eastAsia="仿宋_GB2312" w:cs="仿宋_GB2312"/>
              <w:sz w:val="32"/>
              <w:szCs w:val="32"/>
            </w:rPr>
            <w:tab/>
          </w:r>
          <w:bookmarkStart w:id="51" w:name="_Toc3576_WPSOffice_Level2Page"/>
          <w:r>
            <w:rPr>
              <w:rFonts w:hint="eastAsia" w:ascii="仿宋_GB2312" w:hAnsi="仿宋_GB2312" w:eastAsia="仿宋_GB2312" w:cs="仿宋_GB2312"/>
              <w:sz w:val="32"/>
              <w:szCs w:val="32"/>
            </w:rPr>
            <w:t>35</w:t>
          </w:r>
          <w:bookmarkEnd w:id="51"/>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_Toc4718_WPSOffice_Level2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a7a0cbb2-16a7-424c-84f6-63849b234a52}"/>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十一、国有资本经营预算财政拨款收入支出决算表</w:t>
              </w:r>
            </w:sdtContent>
          </w:sdt>
          <w:r>
            <w:rPr>
              <w:rFonts w:hint="eastAsia" w:ascii="仿宋_GB2312" w:hAnsi="仿宋_GB2312" w:eastAsia="仿宋_GB2312" w:cs="仿宋_GB2312"/>
              <w:sz w:val="32"/>
              <w:szCs w:val="32"/>
            </w:rPr>
            <w:tab/>
          </w:r>
          <w:bookmarkStart w:id="52" w:name="_Toc4718_WPSOffice_Level2Page"/>
          <w:r>
            <w:rPr>
              <w:rFonts w:hint="eastAsia" w:ascii="仿宋_GB2312" w:hAnsi="仿宋_GB2312" w:eastAsia="仿宋_GB2312" w:cs="仿宋_GB2312"/>
              <w:sz w:val="32"/>
              <w:szCs w:val="32"/>
            </w:rPr>
            <w:t>35</w:t>
          </w:r>
          <w:bookmarkEnd w:id="52"/>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_Toc17369_WPSOffice_Level2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98a6e752-1505-48c7-99a4-87138c4f69e9}"/>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十二、国有资本经营预算财政拨款支出决算表</w:t>
              </w:r>
            </w:sdtContent>
          </w:sdt>
          <w:r>
            <w:rPr>
              <w:rFonts w:hint="eastAsia" w:ascii="仿宋_GB2312" w:hAnsi="仿宋_GB2312" w:eastAsia="仿宋_GB2312" w:cs="仿宋_GB2312"/>
              <w:sz w:val="32"/>
              <w:szCs w:val="32"/>
            </w:rPr>
            <w:tab/>
          </w:r>
          <w:bookmarkStart w:id="53" w:name="_Toc17369_WPSOffice_Level2Page"/>
          <w:r>
            <w:rPr>
              <w:rFonts w:hint="eastAsia" w:ascii="仿宋_GB2312" w:hAnsi="仿宋_GB2312" w:eastAsia="仿宋_GB2312" w:cs="仿宋_GB2312"/>
              <w:sz w:val="32"/>
              <w:szCs w:val="32"/>
            </w:rPr>
            <w:t>35</w:t>
          </w:r>
          <w:bookmarkEnd w:id="53"/>
          <w:r>
            <w:rPr>
              <w:rFonts w:hint="eastAsia" w:ascii="仿宋_GB2312" w:hAnsi="仿宋_GB2312" w:eastAsia="仿宋_GB2312" w:cs="仿宋_GB2312"/>
              <w:sz w:val="32"/>
              <w:szCs w:val="32"/>
            </w:rPr>
            <w:fldChar w:fldCharType="end"/>
          </w:r>
        </w:p>
        <w:p>
          <w:pPr>
            <w:pStyle w:val="36"/>
            <w:tabs>
              <w:tab w:val="right" w:leader="dot" w:pos="8845"/>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_Toc6367_WPSOffice_Level2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52054"/>
              <w:placeholder>
                <w:docPart w:val="{c8b2b4bb-a10e-4f81-b67c-863956acc53e}"/>
              </w:placeholder>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十三、财政拨款“三公”经费支出决算表</w:t>
              </w:r>
            </w:sdtContent>
          </w:sdt>
          <w:r>
            <w:rPr>
              <w:rFonts w:hint="eastAsia" w:ascii="仿宋_GB2312" w:hAnsi="仿宋_GB2312" w:eastAsia="仿宋_GB2312" w:cs="仿宋_GB2312"/>
              <w:sz w:val="32"/>
              <w:szCs w:val="32"/>
            </w:rPr>
            <w:tab/>
          </w:r>
          <w:bookmarkStart w:id="54" w:name="_Toc6367_WPSOffice_Level2Page"/>
          <w:r>
            <w:rPr>
              <w:rFonts w:hint="eastAsia" w:ascii="仿宋_GB2312" w:hAnsi="仿宋_GB2312" w:eastAsia="仿宋_GB2312" w:cs="仿宋_GB2312"/>
              <w:sz w:val="32"/>
              <w:szCs w:val="32"/>
            </w:rPr>
            <w:t>35</w:t>
          </w:r>
          <w:bookmarkEnd w:id="54"/>
          <w:r>
            <w:rPr>
              <w:rFonts w:hint="eastAsia" w:ascii="仿宋_GB2312" w:hAnsi="仿宋_GB2312" w:eastAsia="仿宋_GB2312" w:cs="仿宋_GB2312"/>
              <w:sz w:val="32"/>
              <w:szCs w:val="32"/>
            </w:rPr>
            <w:fldChar w:fldCharType="end"/>
          </w:r>
          <w:bookmarkEnd w:id="12"/>
        </w:p>
      </w:sdtContent>
    </w:sdt>
    <w:p>
      <w:r>
        <w:rPr>
          <w:rFonts w:eastAsia="仿宋_GB2312"/>
          <w:sz w:val="32"/>
          <w:szCs w:val="32"/>
        </w:rPr>
        <w:br w:type="page"/>
      </w:r>
    </w:p>
    <w:p>
      <w:pPr>
        <w:pStyle w:val="3"/>
        <w:snapToGrid w:val="0"/>
        <w:spacing w:before="0" w:after="0"/>
        <w:jc w:val="center"/>
        <w:rPr>
          <w:rFonts w:eastAsia="黑体"/>
          <w:sz w:val="32"/>
          <w:szCs w:val="32"/>
        </w:rPr>
      </w:pPr>
      <w:bookmarkStart w:id="55" w:name="_Toc17342_WPSOffice_Level1"/>
      <w:r>
        <w:rPr>
          <w:rFonts w:eastAsia="黑体"/>
          <w:b w:val="0"/>
        </w:rPr>
        <w:t xml:space="preserve">第一部分 </w:t>
      </w:r>
      <w:r>
        <w:rPr>
          <w:rStyle w:val="28"/>
          <w:rFonts w:eastAsia="黑体"/>
          <w:b w:val="0"/>
          <w:bCs w:val="0"/>
        </w:rPr>
        <w:t>部门概况</w:t>
      </w:r>
      <w:bookmarkEnd w:id="55"/>
    </w:p>
    <w:p>
      <w:pPr>
        <w:pStyle w:val="4"/>
        <w:snapToGrid w:val="0"/>
        <w:spacing w:before="0" w:after="0" w:line="560" w:lineRule="exact"/>
        <w:ind w:firstLine="640" w:firstLineChars="200"/>
        <w:rPr>
          <w:rStyle w:val="29"/>
          <w:rFonts w:ascii="Times New Roman" w:hAnsi="Times New Roman" w:eastAsia="黑体" w:cs="Times New Roman"/>
          <w:b w:val="0"/>
          <w:bCs w:val="0"/>
        </w:rPr>
      </w:pPr>
      <w:bookmarkStart w:id="56" w:name="_Toc15377197"/>
      <w:bookmarkStart w:id="57" w:name="_Toc15396600"/>
      <w:bookmarkStart w:id="58" w:name="_Toc5904_WPSOffice_Level2"/>
      <w:r>
        <w:rPr>
          <w:rStyle w:val="29"/>
          <w:rFonts w:ascii="Times New Roman" w:hAnsi="Times New Roman" w:eastAsia="黑体" w:cs="Times New Roman"/>
          <w:b w:val="0"/>
          <w:bCs w:val="0"/>
        </w:rPr>
        <w:t>一、</w:t>
      </w:r>
      <w:bookmarkEnd w:id="56"/>
      <w:bookmarkEnd w:id="57"/>
      <w:r>
        <w:rPr>
          <w:rStyle w:val="29"/>
          <w:rFonts w:ascii="Times New Roman" w:hAnsi="Times New Roman" w:eastAsia="黑体" w:cs="Times New Roman"/>
          <w:b w:val="0"/>
          <w:bCs w:val="0"/>
        </w:rPr>
        <w:t>部门职责</w:t>
      </w:r>
      <w:bookmarkEnd w:id="58"/>
    </w:p>
    <w:p>
      <w:pPr>
        <w:pStyle w:val="4"/>
        <w:snapToGrid w:val="0"/>
        <w:spacing w:before="0" w:after="0" w:line="560" w:lineRule="exact"/>
        <w:ind w:firstLine="640" w:firstLineChars="200"/>
        <w:rPr>
          <w:rFonts w:ascii="Times New Roman" w:hAnsi="Times New Roman" w:eastAsia="仿宋_GB2312" w:cs="Times New Roman"/>
          <w:b w:val="0"/>
          <w:bCs w:val="0"/>
        </w:rPr>
      </w:pPr>
      <w:r>
        <w:rPr>
          <w:rFonts w:ascii="Times New Roman" w:hAnsi="Times New Roman" w:eastAsia="仿宋_GB2312" w:cs="Times New Roman"/>
          <w:b w:val="0"/>
          <w:bCs w:val="0"/>
        </w:rPr>
        <w:t>县政府办公室主要职能如下：</w:t>
      </w:r>
    </w:p>
    <w:p>
      <w:pPr>
        <w:pStyle w:val="4"/>
        <w:snapToGrid w:val="0"/>
        <w:spacing w:before="0" w:after="0" w:line="560" w:lineRule="exact"/>
        <w:ind w:firstLine="640" w:firstLineChars="200"/>
        <w:rPr>
          <w:rFonts w:ascii="Times New Roman" w:hAnsi="Times New Roman" w:eastAsia="仿宋_GB2312" w:cs="Times New Roman"/>
          <w:b w:val="0"/>
          <w:bCs w:val="0"/>
        </w:rPr>
      </w:pPr>
      <w:r>
        <w:rPr>
          <w:rFonts w:ascii="Times New Roman" w:hAnsi="Times New Roman" w:eastAsia="仿宋_GB2312" w:cs="Times New Roman"/>
          <w:b w:val="0"/>
          <w:bCs w:val="0"/>
        </w:rPr>
        <w:t>1.协助县政府领导同志组织起草或审核以县政府、县政府办公室名义发布的公文。办理省政府、省政府办公厅及省级部门和市政府、市政府办公室及市级部门发送县政府的文电。指导全县行政机关公文处理工作。</w:t>
      </w:r>
    </w:p>
    <w:p>
      <w:pPr>
        <w:pStyle w:val="4"/>
        <w:snapToGrid w:val="0"/>
        <w:spacing w:before="0" w:after="0" w:line="560" w:lineRule="exact"/>
        <w:ind w:firstLine="640" w:firstLineChars="200"/>
        <w:rPr>
          <w:rFonts w:ascii="Times New Roman" w:hAnsi="Times New Roman" w:eastAsia="仿宋_GB2312" w:cs="Times New Roman"/>
          <w:b w:val="0"/>
          <w:bCs w:val="0"/>
        </w:rPr>
      </w:pPr>
      <w:r>
        <w:rPr>
          <w:rFonts w:ascii="Times New Roman" w:hAnsi="Times New Roman" w:eastAsia="仿宋_GB2312" w:cs="Times New Roman"/>
          <w:b w:val="0"/>
          <w:bCs w:val="0"/>
        </w:rPr>
        <w:t>2.研究县政府部门和乡（镇）人民政府、县政府派出机构请示县政府的事项，提出审核意见，报县政府领导同志审批。</w:t>
      </w:r>
    </w:p>
    <w:p>
      <w:pPr>
        <w:pStyle w:val="4"/>
        <w:snapToGrid w:val="0"/>
        <w:spacing w:before="0" w:after="0" w:line="560" w:lineRule="exact"/>
        <w:ind w:firstLine="640" w:firstLineChars="200"/>
        <w:rPr>
          <w:rFonts w:ascii="Times New Roman" w:hAnsi="Times New Roman" w:eastAsia="仿宋_GB2312" w:cs="Times New Roman"/>
          <w:b w:val="0"/>
          <w:bCs w:val="0"/>
        </w:rPr>
      </w:pPr>
      <w:r>
        <w:rPr>
          <w:rFonts w:ascii="Times New Roman" w:hAnsi="Times New Roman" w:eastAsia="仿宋_GB2312" w:cs="Times New Roman"/>
          <w:b w:val="0"/>
          <w:bCs w:val="0"/>
        </w:rPr>
        <w:t>3.负责县政府会议的准备工作，协助县政府领导同志组织实施会议决定事项。</w:t>
      </w:r>
    </w:p>
    <w:p>
      <w:pPr>
        <w:pStyle w:val="4"/>
        <w:snapToGrid w:val="0"/>
        <w:spacing w:before="0" w:after="0" w:line="560" w:lineRule="exact"/>
        <w:ind w:firstLine="640" w:firstLineChars="200"/>
        <w:rPr>
          <w:rFonts w:ascii="Times New Roman" w:hAnsi="Times New Roman" w:eastAsia="仿宋_GB2312" w:cs="Times New Roman"/>
          <w:b w:val="0"/>
          <w:bCs w:val="0"/>
        </w:rPr>
      </w:pPr>
      <w:r>
        <w:rPr>
          <w:rFonts w:ascii="Times New Roman" w:hAnsi="Times New Roman" w:eastAsia="仿宋_GB2312" w:cs="Times New Roman"/>
          <w:b w:val="0"/>
          <w:bCs w:val="0"/>
        </w:rPr>
        <w:t>4.督促检查县政府部门和乡（镇）人民政府、县政府派出机构对县政府决定事项及县政府领导同志指示的贯彻落实情况，及时向县政府领导同志报告。</w:t>
      </w:r>
    </w:p>
    <w:p>
      <w:pPr>
        <w:snapToGrid w:val="0"/>
        <w:spacing w:after="0" w:line="560" w:lineRule="exact"/>
        <w:ind w:firstLine="640" w:firstLineChars="200"/>
        <w:rPr>
          <w:rFonts w:eastAsia="仿宋_GB2312"/>
          <w:sz w:val="32"/>
          <w:szCs w:val="32"/>
        </w:rPr>
      </w:pPr>
      <w:r>
        <w:rPr>
          <w:sz w:val="32"/>
          <w:szCs w:val="32"/>
        </w:rPr>
        <w:t>5</w:t>
      </w:r>
      <w:r>
        <w:rPr>
          <w:rFonts w:eastAsia="仿宋_GB2312"/>
          <w:color w:val="000000"/>
          <w:spacing w:val="4"/>
          <w:sz w:val="32"/>
          <w:szCs w:val="32"/>
        </w:rPr>
        <w:t>.</w:t>
      </w:r>
      <w:r>
        <w:rPr>
          <w:rFonts w:eastAsia="仿宋_GB2312"/>
          <w:sz w:val="32"/>
          <w:szCs w:val="32"/>
        </w:rPr>
        <w:t>根据县政府领导同志的指示，对县政府部门间争议问题提出处理意见和建议，报县政府领导同志决定。</w:t>
      </w:r>
    </w:p>
    <w:p>
      <w:pPr>
        <w:snapToGrid w:val="0"/>
        <w:spacing w:after="0" w:line="560" w:lineRule="exact"/>
        <w:ind w:firstLine="640" w:firstLineChars="200"/>
        <w:rPr>
          <w:rFonts w:eastAsia="仿宋_GB2312"/>
          <w:sz w:val="32"/>
          <w:szCs w:val="32"/>
        </w:rPr>
      </w:pPr>
      <w:r>
        <w:rPr>
          <w:sz w:val="32"/>
          <w:szCs w:val="32"/>
        </w:rPr>
        <w:t>6</w:t>
      </w:r>
      <w:r>
        <w:rPr>
          <w:rFonts w:eastAsia="仿宋_GB2312"/>
          <w:color w:val="000000"/>
          <w:spacing w:val="4"/>
          <w:sz w:val="32"/>
          <w:szCs w:val="32"/>
        </w:rPr>
        <w:t>.</w:t>
      </w:r>
      <w:r>
        <w:rPr>
          <w:rFonts w:eastAsia="仿宋_GB2312"/>
          <w:sz w:val="32"/>
          <w:szCs w:val="32"/>
        </w:rPr>
        <w:t>负责县政府值班工作，指导县政府部门和乡（镇）人民政府、县政府派出机构值班工作，及时报告重要情况。</w:t>
      </w:r>
    </w:p>
    <w:p>
      <w:pPr>
        <w:snapToGrid w:val="0"/>
        <w:spacing w:after="0" w:line="560" w:lineRule="exact"/>
        <w:ind w:firstLine="640" w:firstLineChars="200"/>
        <w:rPr>
          <w:rFonts w:eastAsia="仿宋_GB2312"/>
          <w:sz w:val="32"/>
          <w:szCs w:val="32"/>
        </w:rPr>
      </w:pPr>
      <w:r>
        <w:rPr>
          <w:sz w:val="32"/>
          <w:szCs w:val="32"/>
        </w:rPr>
        <w:t>7</w:t>
      </w:r>
      <w:r>
        <w:rPr>
          <w:rFonts w:eastAsia="仿宋_GB2312"/>
          <w:color w:val="000000"/>
          <w:spacing w:val="4"/>
          <w:sz w:val="32"/>
          <w:szCs w:val="32"/>
        </w:rPr>
        <w:t>.</w:t>
      </w:r>
      <w:r>
        <w:rPr>
          <w:rFonts w:eastAsia="仿宋_GB2312"/>
          <w:sz w:val="32"/>
          <w:szCs w:val="32"/>
        </w:rPr>
        <w:t>指导、监督全县政府信息公开工作，指导、监督全县政府系统电子政务工作和政府网站建设。</w:t>
      </w:r>
    </w:p>
    <w:p>
      <w:pPr>
        <w:snapToGrid w:val="0"/>
        <w:spacing w:after="0" w:line="560" w:lineRule="exact"/>
        <w:ind w:firstLine="640" w:firstLineChars="200"/>
        <w:rPr>
          <w:rFonts w:eastAsia="仿宋_GB2312"/>
          <w:sz w:val="32"/>
          <w:szCs w:val="32"/>
        </w:rPr>
      </w:pPr>
      <w:r>
        <w:rPr>
          <w:sz w:val="32"/>
          <w:szCs w:val="32"/>
        </w:rPr>
        <w:t>8</w:t>
      </w:r>
      <w:r>
        <w:rPr>
          <w:rFonts w:eastAsia="仿宋_GB2312"/>
          <w:color w:val="000000"/>
          <w:spacing w:val="4"/>
          <w:sz w:val="32"/>
          <w:szCs w:val="32"/>
        </w:rPr>
        <w:t>.</w:t>
      </w:r>
      <w:r>
        <w:rPr>
          <w:rFonts w:eastAsia="仿宋_GB2312"/>
          <w:sz w:val="32"/>
          <w:szCs w:val="32"/>
        </w:rPr>
        <w:t>负责县政府部门和乡（镇）人民政府、县政府派出机构目标（绩效）管理工作，牵头负责全县民生工程工作的实施和推进，组织办理涉及县政府工作的人大代表议案、批评、建议和政协委员提案、建议案。</w:t>
      </w:r>
    </w:p>
    <w:p>
      <w:pPr>
        <w:snapToGrid w:val="0"/>
        <w:spacing w:after="0" w:line="560" w:lineRule="exact"/>
        <w:ind w:firstLine="640" w:firstLineChars="200"/>
        <w:rPr>
          <w:rFonts w:eastAsia="仿宋_GB2312"/>
          <w:sz w:val="32"/>
          <w:szCs w:val="32"/>
        </w:rPr>
      </w:pPr>
      <w:r>
        <w:rPr>
          <w:sz w:val="32"/>
          <w:szCs w:val="32"/>
        </w:rPr>
        <w:t>9</w:t>
      </w:r>
      <w:r>
        <w:rPr>
          <w:rFonts w:eastAsia="仿宋_GB2312"/>
          <w:color w:val="000000"/>
          <w:spacing w:val="4"/>
          <w:sz w:val="32"/>
          <w:szCs w:val="32"/>
        </w:rPr>
        <w:t>.</w:t>
      </w:r>
      <w:r>
        <w:rPr>
          <w:rFonts w:eastAsia="仿宋_GB2312"/>
          <w:sz w:val="32"/>
          <w:szCs w:val="32"/>
        </w:rPr>
        <w:t>指导全县应急管理工作，协助县政府领导同志做好需由县政府组织处理的突发事件的应急处置工作，指导全县抗灾救灾工作。</w:t>
      </w:r>
    </w:p>
    <w:p>
      <w:pPr>
        <w:snapToGrid w:val="0"/>
        <w:spacing w:after="0" w:line="560" w:lineRule="exact"/>
        <w:ind w:firstLine="640" w:firstLineChars="200"/>
        <w:rPr>
          <w:rFonts w:eastAsia="仿宋_GB2312"/>
          <w:sz w:val="32"/>
          <w:szCs w:val="32"/>
        </w:rPr>
      </w:pPr>
      <w:r>
        <w:rPr>
          <w:sz w:val="32"/>
          <w:szCs w:val="32"/>
        </w:rPr>
        <w:t>10</w:t>
      </w:r>
      <w:r>
        <w:rPr>
          <w:rFonts w:eastAsia="仿宋_GB2312"/>
          <w:color w:val="000000"/>
          <w:spacing w:val="4"/>
          <w:sz w:val="32"/>
          <w:szCs w:val="32"/>
        </w:rPr>
        <w:t>.</w:t>
      </w:r>
      <w:r>
        <w:rPr>
          <w:rFonts w:eastAsia="仿宋_GB2312"/>
          <w:sz w:val="32"/>
          <w:szCs w:val="32"/>
        </w:rPr>
        <w:t>围绕县政府中心工作和县政府领导同志的指示，组织专题调查研究，及时反映情况，提出政策性建议。</w:t>
      </w:r>
    </w:p>
    <w:p>
      <w:pPr>
        <w:snapToGrid w:val="0"/>
        <w:spacing w:after="0" w:line="560" w:lineRule="exact"/>
        <w:ind w:firstLine="640" w:firstLineChars="200"/>
        <w:rPr>
          <w:rFonts w:eastAsia="仿宋_GB2312"/>
          <w:sz w:val="32"/>
          <w:szCs w:val="32"/>
        </w:rPr>
      </w:pPr>
      <w:r>
        <w:rPr>
          <w:sz w:val="32"/>
          <w:szCs w:val="32"/>
        </w:rPr>
        <w:t>11</w:t>
      </w:r>
      <w:r>
        <w:rPr>
          <w:rFonts w:eastAsia="仿宋_GB2312"/>
          <w:color w:val="000000"/>
          <w:spacing w:val="4"/>
          <w:sz w:val="32"/>
          <w:szCs w:val="32"/>
        </w:rPr>
        <w:t>.</w:t>
      </w:r>
      <w:r>
        <w:rPr>
          <w:rFonts w:eastAsia="仿宋_GB2312"/>
          <w:sz w:val="32"/>
          <w:szCs w:val="32"/>
        </w:rPr>
        <w:t>接受县委外事工作委员会的直接领导，承担县委外事工作委员会贯彻执行县委、县政府关于外事、港澳工作的决策部署以及指导全县外事、港澳工作的具体工作。</w:t>
      </w:r>
    </w:p>
    <w:p>
      <w:pPr>
        <w:snapToGrid w:val="0"/>
        <w:spacing w:after="0" w:line="560" w:lineRule="exact"/>
        <w:ind w:firstLine="640" w:firstLineChars="200"/>
        <w:rPr>
          <w:rFonts w:eastAsia="仿宋_GB2312"/>
          <w:sz w:val="32"/>
          <w:szCs w:val="32"/>
        </w:rPr>
      </w:pPr>
      <w:r>
        <w:rPr>
          <w:sz w:val="32"/>
          <w:szCs w:val="32"/>
        </w:rPr>
        <w:t>12</w:t>
      </w:r>
      <w:r>
        <w:rPr>
          <w:rFonts w:eastAsia="仿宋_GB2312"/>
          <w:color w:val="000000"/>
          <w:spacing w:val="4"/>
          <w:sz w:val="32"/>
          <w:szCs w:val="32"/>
        </w:rPr>
        <w:t>.</w:t>
      </w:r>
      <w:r>
        <w:rPr>
          <w:rFonts w:eastAsia="仿宋_GB2312"/>
          <w:sz w:val="32"/>
          <w:szCs w:val="32"/>
        </w:rPr>
        <w:t>负责县政府法制工作，负责全县依法行政工作的组织协调和监督指导，负责县政府规范性文件的合法性审查和制定工作，依法开展行政执法监督工作，做好行政复议、行政应诉工作。</w:t>
      </w:r>
    </w:p>
    <w:p>
      <w:pPr>
        <w:snapToGrid w:val="0"/>
        <w:spacing w:after="0" w:line="560" w:lineRule="exact"/>
        <w:ind w:firstLine="640" w:firstLineChars="200"/>
        <w:rPr>
          <w:rFonts w:eastAsia="仿宋_GB2312"/>
          <w:sz w:val="32"/>
          <w:szCs w:val="32"/>
        </w:rPr>
      </w:pPr>
      <w:r>
        <w:rPr>
          <w:sz w:val="32"/>
          <w:szCs w:val="32"/>
        </w:rPr>
        <w:t>13</w:t>
      </w:r>
      <w:r>
        <w:rPr>
          <w:rFonts w:eastAsia="仿宋_GB2312"/>
          <w:color w:val="000000"/>
          <w:spacing w:val="4"/>
          <w:sz w:val="32"/>
          <w:szCs w:val="32"/>
        </w:rPr>
        <w:t>.</w:t>
      </w:r>
      <w:r>
        <w:rPr>
          <w:rFonts w:eastAsia="仿宋_GB2312"/>
          <w:sz w:val="32"/>
          <w:szCs w:val="32"/>
        </w:rPr>
        <w:t>负责县政府驻外机构的管理工作。</w:t>
      </w:r>
    </w:p>
    <w:p>
      <w:pPr>
        <w:snapToGrid w:val="0"/>
        <w:spacing w:after="0" w:line="560" w:lineRule="exact"/>
        <w:ind w:firstLine="640" w:firstLineChars="200"/>
        <w:rPr>
          <w:rFonts w:eastAsia="仿宋_GB2312"/>
          <w:sz w:val="32"/>
          <w:szCs w:val="32"/>
        </w:rPr>
      </w:pPr>
      <w:r>
        <w:rPr>
          <w:sz w:val="32"/>
          <w:szCs w:val="32"/>
        </w:rPr>
        <w:t>14</w:t>
      </w:r>
      <w:r>
        <w:rPr>
          <w:rFonts w:eastAsia="仿宋_GB2312"/>
          <w:color w:val="000000"/>
          <w:spacing w:val="4"/>
          <w:sz w:val="32"/>
          <w:szCs w:val="32"/>
        </w:rPr>
        <w:t>.</w:t>
      </w:r>
      <w:r>
        <w:rPr>
          <w:rFonts w:eastAsia="仿宋_GB2312"/>
          <w:sz w:val="32"/>
          <w:szCs w:val="32"/>
        </w:rPr>
        <w:t>承担县政府公布的有关行政审批事项。</w:t>
      </w:r>
    </w:p>
    <w:p>
      <w:pPr>
        <w:snapToGrid w:val="0"/>
        <w:spacing w:after="0" w:line="560" w:lineRule="exact"/>
        <w:ind w:firstLine="640" w:firstLineChars="200"/>
        <w:rPr>
          <w:rFonts w:eastAsia="仿宋_GB2312"/>
          <w:sz w:val="32"/>
          <w:szCs w:val="32"/>
        </w:rPr>
      </w:pPr>
      <w:r>
        <w:rPr>
          <w:sz w:val="32"/>
          <w:szCs w:val="32"/>
        </w:rPr>
        <w:t>15</w:t>
      </w:r>
      <w:r>
        <w:rPr>
          <w:rFonts w:eastAsia="仿宋_GB2312"/>
          <w:color w:val="000000"/>
          <w:spacing w:val="4"/>
          <w:sz w:val="32"/>
          <w:szCs w:val="32"/>
        </w:rPr>
        <w:t>.</w:t>
      </w:r>
      <w:r>
        <w:rPr>
          <w:rFonts w:eastAsia="仿宋_GB2312"/>
          <w:sz w:val="32"/>
          <w:szCs w:val="32"/>
        </w:rPr>
        <w:t>负责全县机关效能建设工作。</w:t>
      </w:r>
    </w:p>
    <w:p>
      <w:pPr>
        <w:snapToGrid w:val="0"/>
        <w:spacing w:after="0" w:line="560" w:lineRule="exact"/>
        <w:ind w:firstLine="640" w:firstLineChars="200"/>
        <w:rPr>
          <w:rFonts w:eastAsia="仿宋_GB2312"/>
          <w:sz w:val="32"/>
          <w:szCs w:val="32"/>
        </w:rPr>
      </w:pPr>
      <w:r>
        <w:rPr>
          <w:sz w:val="32"/>
          <w:szCs w:val="32"/>
        </w:rPr>
        <w:t>16</w:t>
      </w:r>
      <w:r>
        <w:rPr>
          <w:rFonts w:eastAsia="仿宋_GB2312"/>
          <w:color w:val="000000"/>
          <w:spacing w:val="4"/>
          <w:sz w:val="32"/>
          <w:szCs w:val="32"/>
        </w:rPr>
        <w:t>.</w:t>
      </w:r>
      <w:r>
        <w:rPr>
          <w:rFonts w:eastAsia="仿宋_GB2312"/>
          <w:sz w:val="32"/>
          <w:szCs w:val="32"/>
        </w:rPr>
        <w:t>承办县政府和县政府领导同志交办的其他事项。</w:t>
      </w:r>
      <w:bookmarkStart w:id="59" w:name="_Toc15377200"/>
      <w:bookmarkStart w:id="60" w:name="_Toc15396601"/>
    </w:p>
    <w:p>
      <w:pPr>
        <w:snapToGrid w:val="0"/>
        <w:spacing w:after="0" w:line="560" w:lineRule="exact"/>
        <w:ind w:firstLine="640" w:firstLineChars="200"/>
        <w:rPr>
          <w:rStyle w:val="29"/>
          <w:rFonts w:ascii="Times New Roman" w:hAnsi="Times New Roman" w:cs="Times New Roman"/>
          <w:b w:val="0"/>
          <w:bCs w:val="0"/>
        </w:rPr>
      </w:pPr>
      <w:bookmarkStart w:id="61" w:name="_Toc29394_WPSOffice_Level2"/>
      <w:r>
        <w:rPr>
          <w:rStyle w:val="29"/>
          <w:rFonts w:ascii="Times New Roman" w:hAnsi="Times New Roman" w:eastAsia="黑体" w:cs="Times New Roman"/>
          <w:b w:val="0"/>
          <w:bCs w:val="0"/>
        </w:rPr>
        <w:t>二、机构设置</w:t>
      </w:r>
      <w:bookmarkEnd w:id="59"/>
      <w:bookmarkEnd w:id="60"/>
      <w:bookmarkEnd w:id="61"/>
    </w:p>
    <w:p>
      <w:pPr>
        <w:snapToGrid w:val="0"/>
        <w:spacing w:after="0" w:line="560" w:lineRule="exact"/>
        <w:ind w:firstLine="640" w:firstLineChars="200"/>
        <w:rPr>
          <w:rFonts w:eastAsia="仿宋_GB2312"/>
          <w:sz w:val="32"/>
          <w:szCs w:val="32"/>
        </w:rPr>
      </w:pPr>
      <w:r>
        <w:rPr>
          <w:rFonts w:eastAsia="仿宋_GB2312"/>
          <w:sz w:val="32"/>
          <w:szCs w:val="32"/>
        </w:rPr>
        <w:t>盐边县人民政府办公室下属二级预算单位1个，其中行政单位1个，参照公务员法管理的事业单位0个，其他事业单位0个。</w:t>
      </w:r>
    </w:p>
    <w:p>
      <w:pPr>
        <w:snapToGrid w:val="0"/>
        <w:spacing w:after="0" w:line="560" w:lineRule="exact"/>
        <w:ind w:firstLine="640" w:firstLineChars="200"/>
        <w:rPr>
          <w:rFonts w:eastAsia="仿宋_GB2312"/>
          <w:sz w:val="32"/>
          <w:szCs w:val="32"/>
        </w:rPr>
      </w:pPr>
      <w:r>
        <w:rPr>
          <w:rFonts w:eastAsia="仿宋_GB2312"/>
          <w:sz w:val="32"/>
          <w:szCs w:val="32"/>
        </w:rPr>
        <w:t>纳入盐边县人民政府办公室2023年度部门决算编制范围的二级预算单位包括：</w:t>
      </w:r>
      <w:bookmarkStart w:id="62" w:name="_Toc15306276"/>
      <w:bookmarkStart w:id="63" w:name="_Toc15377433"/>
      <w:bookmarkStart w:id="64" w:name="_Toc15378449"/>
      <w:bookmarkStart w:id="65" w:name="_Toc15377202"/>
      <w:r>
        <w:rPr>
          <w:rFonts w:eastAsia="仿宋_GB2312"/>
          <w:sz w:val="32"/>
          <w:szCs w:val="32"/>
        </w:rPr>
        <w:t>盐边县人民政府办公室</w:t>
      </w:r>
      <w:bookmarkEnd w:id="62"/>
      <w:bookmarkEnd w:id="63"/>
      <w:bookmarkEnd w:id="64"/>
      <w:bookmarkEnd w:id="65"/>
      <w:r>
        <w:rPr>
          <w:rFonts w:eastAsia="仿宋_GB2312"/>
          <w:sz w:val="32"/>
          <w:szCs w:val="32"/>
        </w:rPr>
        <w:t>。</w:t>
      </w:r>
    </w:p>
    <w:p>
      <w:pPr>
        <w:snapToGrid w:val="0"/>
        <w:spacing w:after="0" w:line="560" w:lineRule="exact"/>
        <w:ind w:firstLine="800" w:firstLineChars="250"/>
        <w:rPr>
          <w:rFonts w:eastAsia="仿宋"/>
          <w:sz w:val="32"/>
          <w:szCs w:val="32"/>
        </w:rPr>
      </w:pPr>
      <w:r>
        <w:rPr>
          <w:rFonts w:eastAsia="仿宋_GB2312"/>
          <w:sz w:val="32"/>
          <w:szCs w:val="32"/>
        </w:rPr>
        <w:t>盐边县人民政府办公室</w:t>
      </w:r>
      <w:r>
        <w:rPr>
          <w:rFonts w:eastAsia="仿宋_GB2312"/>
          <w:snapToGrid w:val="0"/>
          <w:spacing w:val="-6"/>
          <w:kern w:val="34"/>
          <w:sz w:val="32"/>
          <w:szCs w:val="32"/>
        </w:rPr>
        <w:t>内设</w:t>
      </w:r>
      <w:r>
        <w:rPr>
          <w:rFonts w:eastAsia="仿宋_GB2312"/>
          <w:sz w:val="32"/>
          <w:szCs w:val="32"/>
          <w:shd w:val="clear" w:color="auto" w:fill="FFFFFF"/>
        </w:rPr>
        <w:t>股室7个，分别为行政股、综合一股、综合二股、文电股、政研股、信息股、总值班室</w:t>
      </w:r>
      <w:r>
        <w:rPr>
          <w:rFonts w:eastAsia="仿宋_GB2312"/>
          <w:sz w:val="32"/>
          <w:szCs w:val="32"/>
        </w:rPr>
        <w:t>。</w:t>
      </w:r>
      <w:r>
        <w:rPr>
          <w:rFonts w:eastAsia="仿宋_GB2312"/>
          <w:snapToGrid w:val="0"/>
          <w:spacing w:val="-6"/>
          <w:kern w:val="34"/>
          <w:sz w:val="32"/>
          <w:szCs w:val="32"/>
        </w:rPr>
        <w:t>下属</w:t>
      </w:r>
      <w:bookmarkStart w:id="140" w:name="_GoBack"/>
      <w:r>
        <w:rPr>
          <w:rFonts w:hint="eastAsia" w:eastAsia="仿宋_GB2312"/>
          <w:snapToGrid w:val="0"/>
          <w:spacing w:val="-6"/>
          <w:kern w:val="34"/>
          <w:sz w:val="32"/>
          <w:szCs w:val="32"/>
          <w:lang w:val="en-US" w:eastAsia="zh-CN"/>
        </w:rPr>
        <w:t>非独立核算</w:t>
      </w:r>
      <w:bookmarkEnd w:id="140"/>
      <w:r>
        <w:rPr>
          <w:rFonts w:eastAsia="仿宋_GB2312"/>
          <w:snapToGrid w:val="0"/>
          <w:spacing w:val="-6"/>
          <w:kern w:val="34"/>
          <w:sz w:val="32"/>
          <w:szCs w:val="32"/>
        </w:rPr>
        <w:t>公益一类事业单位1个，为盐边县政府网站事务中心。</w:t>
      </w:r>
      <w:r>
        <w:rPr>
          <w:rFonts w:eastAsia="仿宋"/>
          <w:sz w:val="32"/>
          <w:szCs w:val="32"/>
        </w:rPr>
        <w:br w:type="page"/>
      </w:r>
    </w:p>
    <w:p>
      <w:pPr>
        <w:pStyle w:val="3"/>
        <w:snapToGrid w:val="0"/>
        <w:spacing w:before="0" w:after="0"/>
        <w:ind w:right="440"/>
        <w:jc w:val="center"/>
      </w:pPr>
      <w:bookmarkStart w:id="66" w:name="_Toc15396602"/>
      <w:bookmarkStart w:id="67" w:name="_Toc15377204"/>
      <w:bookmarkStart w:id="68" w:name="_Toc5904_WPSOffice_Level1"/>
      <w:r>
        <w:rPr>
          <w:rFonts w:eastAsia="黑体"/>
          <w:b w:val="0"/>
        </w:rPr>
        <w:t>第二部分 2023年度</w:t>
      </w:r>
      <w:r>
        <w:rPr>
          <w:rStyle w:val="28"/>
          <w:rFonts w:eastAsia="黑体"/>
          <w:b w:val="0"/>
          <w:bCs/>
        </w:rPr>
        <w:t>部门决算情况说明</w:t>
      </w:r>
      <w:bookmarkEnd w:id="66"/>
      <w:bookmarkEnd w:id="67"/>
      <w:bookmarkEnd w:id="68"/>
    </w:p>
    <w:p>
      <w:pPr>
        <w:pStyle w:val="27"/>
        <w:snapToGrid w:val="0"/>
        <w:spacing w:after="0" w:line="560" w:lineRule="exact"/>
        <w:ind w:left="640" w:firstLine="0" w:firstLineChars="0"/>
        <w:outlineLvl w:val="1"/>
        <w:rPr>
          <w:rStyle w:val="29"/>
          <w:rFonts w:ascii="Times New Roman" w:hAnsi="Times New Roman" w:eastAsia="黑体" w:cs="Times New Roman"/>
          <w:b w:val="0"/>
        </w:rPr>
      </w:pPr>
      <w:bookmarkStart w:id="69" w:name="_Toc27161_WPSOffice_Level2"/>
      <w:bookmarkStart w:id="70" w:name="_Toc15377205"/>
      <w:bookmarkStart w:id="71" w:name="_Toc15396603"/>
      <w:r>
        <w:rPr>
          <w:rFonts w:eastAsia="黑体"/>
          <w:sz w:val="32"/>
          <w:szCs w:val="32"/>
        </w:rPr>
        <w:t>一、收</w:t>
      </w:r>
      <w:r>
        <w:rPr>
          <w:rStyle w:val="29"/>
          <w:rFonts w:ascii="Times New Roman" w:hAnsi="Times New Roman" w:eastAsia="黑体" w:cs="Times New Roman"/>
          <w:b w:val="0"/>
        </w:rPr>
        <w:t>入支出决算总体情况说明</w:t>
      </w:r>
      <w:bookmarkEnd w:id="69"/>
      <w:bookmarkEnd w:id="70"/>
      <w:bookmarkEnd w:id="71"/>
    </w:p>
    <w:p>
      <w:pPr>
        <w:snapToGrid w:val="0"/>
        <w:spacing w:after="0" w:line="560" w:lineRule="exact"/>
        <w:ind w:firstLine="640" w:firstLineChars="200"/>
        <w:jc w:val="left"/>
        <w:rPr>
          <w:rFonts w:eastAsia="仿宋_GB2312"/>
          <w:sz w:val="32"/>
          <w:szCs w:val="32"/>
        </w:rPr>
      </w:pPr>
      <w:r>
        <w:rPr>
          <w:rFonts w:eastAsia="仿宋_GB2312"/>
          <w:sz w:val="32"/>
          <w:szCs w:val="32"/>
        </w:rPr>
        <w:t>2023年度收、支总计均为1399.52万元。与2022年度相比，收、支总计各增加461.05万元，增长49.13%。主要变动原因是2023年化解暂付款413.69万元。</w:t>
      </w:r>
    </w:p>
    <w:p>
      <w:pPr>
        <w:snapToGrid w:val="0"/>
        <w:spacing w:after="0" w:line="560" w:lineRule="exact"/>
        <w:jc w:val="center"/>
        <w:rPr>
          <w:rFonts w:eastAsia="仿宋_GB2312"/>
          <w:sz w:val="32"/>
          <w:szCs w:val="32"/>
        </w:rPr>
      </w:pPr>
    </w:p>
    <w:p>
      <w:pPr>
        <w:snapToGrid w:val="0"/>
        <w:spacing w:after="0" w:line="560" w:lineRule="exact"/>
        <w:jc w:val="center"/>
        <w:rPr>
          <w:rFonts w:eastAsia="仿宋_GB2312"/>
        </w:rPr>
      </w:pPr>
      <w:r>
        <w:rPr>
          <w:rFonts w:eastAsia="仿宋_GB2312"/>
          <w:sz w:val="32"/>
          <w:szCs w:val="32"/>
        </w:rPr>
        <w:t>（图1：收、支决算总计变动情况图）</w:t>
      </w:r>
    </w:p>
    <w:p>
      <w:pPr>
        <w:pStyle w:val="19"/>
        <w:snapToGrid w:val="0"/>
        <w:spacing w:before="0" w:after="0"/>
        <w:jc w:val="center"/>
        <w:rPr>
          <w:rFonts w:ascii="Times New Roman" w:hAnsi="Times New Roman"/>
        </w:rPr>
      </w:pPr>
      <w:r>
        <w:rPr>
          <w:rFonts w:ascii="Times New Roman" w:hAnsi="Times New Roman"/>
        </w:rPr>
        <w:drawing>
          <wp:inline distT="0" distB="0" distL="114300" distR="114300">
            <wp:extent cx="4679950" cy="2879725"/>
            <wp:effectExtent l="0" t="0" r="1397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rcRect/>
                    <a:stretch>
                      <a:fillRect/>
                    </a:stretch>
                  </pic:blipFill>
                  <pic:spPr>
                    <a:xfrm>
                      <a:off x="0" y="0"/>
                      <a:ext cx="4680000" cy="2880000"/>
                    </a:xfrm>
                    <a:prstGeom prst="rect">
                      <a:avLst/>
                    </a:prstGeom>
                    <a:noFill/>
                    <a:ln>
                      <a:noFill/>
                    </a:ln>
                  </pic:spPr>
                </pic:pic>
              </a:graphicData>
            </a:graphic>
          </wp:inline>
        </w:drawing>
      </w:r>
    </w:p>
    <w:p>
      <w:pPr>
        <w:pStyle w:val="27"/>
        <w:snapToGrid w:val="0"/>
        <w:spacing w:after="0" w:line="560" w:lineRule="exact"/>
        <w:ind w:left="640" w:firstLine="0" w:firstLineChars="0"/>
        <w:outlineLvl w:val="1"/>
        <w:rPr>
          <w:rFonts w:eastAsia="黑体"/>
          <w:sz w:val="32"/>
          <w:szCs w:val="32"/>
        </w:rPr>
      </w:pPr>
      <w:bookmarkStart w:id="72" w:name="_Toc15396604"/>
      <w:bookmarkStart w:id="73" w:name="_Toc15377206"/>
    </w:p>
    <w:p>
      <w:pPr>
        <w:pStyle w:val="27"/>
        <w:snapToGrid w:val="0"/>
        <w:spacing w:after="0" w:line="560" w:lineRule="exact"/>
        <w:ind w:left="640" w:firstLine="0" w:firstLineChars="0"/>
        <w:outlineLvl w:val="1"/>
        <w:rPr>
          <w:rStyle w:val="29"/>
          <w:rFonts w:ascii="Times New Roman" w:hAnsi="Times New Roman" w:eastAsia="黑体" w:cs="Times New Roman"/>
          <w:b w:val="0"/>
        </w:rPr>
      </w:pPr>
      <w:bookmarkStart w:id="74" w:name="_Toc24714_WPSOffice_Level2"/>
      <w:r>
        <w:rPr>
          <w:rFonts w:eastAsia="黑体"/>
          <w:sz w:val="32"/>
          <w:szCs w:val="32"/>
        </w:rPr>
        <w:t>二、收</w:t>
      </w:r>
      <w:r>
        <w:rPr>
          <w:rStyle w:val="29"/>
          <w:rFonts w:ascii="Times New Roman" w:hAnsi="Times New Roman" w:eastAsia="黑体" w:cs="Times New Roman"/>
          <w:b w:val="0"/>
        </w:rPr>
        <w:t>入决算情况说明</w:t>
      </w:r>
      <w:bookmarkEnd w:id="72"/>
      <w:bookmarkEnd w:id="73"/>
      <w:bookmarkEnd w:id="74"/>
    </w:p>
    <w:p>
      <w:pPr>
        <w:snapToGrid w:val="0"/>
        <w:spacing w:after="0" w:line="560" w:lineRule="exact"/>
        <w:ind w:firstLine="640" w:firstLineChars="200"/>
        <w:jc w:val="left"/>
        <w:outlineLvl w:val="1"/>
        <w:rPr>
          <w:rFonts w:eastAsia="仿宋_GB2312"/>
          <w:sz w:val="32"/>
          <w:szCs w:val="32"/>
        </w:rPr>
      </w:pPr>
      <w:r>
        <w:rPr>
          <w:rFonts w:eastAsia="仿宋_GB2312"/>
          <w:sz w:val="32"/>
          <w:szCs w:val="32"/>
        </w:rPr>
        <w:t>2023年度本年收入合计1399.52万元，其中：一般公共预算财政拨款收入1399.52万元，占100%；政府性基金预算财政拨款收入0万元，占0%；国有资本经营预算财政拨款收入0万元，占0%；上级补助收入0万元，占0%；事业收入0万元，占0%；经营收入0万元，占0%；附属单位上缴收入0万元，占0%；其他收入0万元，占0%。</w:t>
      </w:r>
    </w:p>
    <w:p>
      <w:pPr>
        <w:snapToGrid w:val="0"/>
        <w:spacing w:after="0" w:line="560" w:lineRule="exact"/>
        <w:jc w:val="center"/>
        <w:outlineLvl w:val="1"/>
        <w:rPr>
          <w:rFonts w:eastAsia="仿宋_GB2312"/>
          <w:sz w:val="32"/>
          <w:szCs w:val="32"/>
        </w:rPr>
      </w:pPr>
    </w:p>
    <w:p>
      <w:pPr>
        <w:snapToGrid w:val="0"/>
        <w:spacing w:after="0" w:line="560" w:lineRule="exact"/>
        <w:jc w:val="center"/>
        <w:outlineLvl w:val="1"/>
        <w:rPr>
          <w:rFonts w:eastAsia="仿宋_GB2312"/>
          <w:sz w:val="32"/>
          <w:szCs w:val="32"/>
        </w:rPr>
      </w:pPr>
      <w:r>
        <w:rPr>
          <w:rFonts w:eastAsia="仿宋_GB2312"/>
          <w:sz w:val="32"/>
          <w:szCs w:val="32"/>
        </w:rPr>
        <w:t>（图2：收入决算结构图）</w:t>
      </w:r>
      <w:bookmarkStart w:id="75" w:name="_Toc15377207"/>
      <w:bookmarkStart w:id="76" w:name="_Toc15396605"/>
    </w:p>
    <w:p>
      <w:pPr>
        <w:pStyle w:val="2"/>
        <w:spacing w:before="93"/>
        <w:jc w:val="center"/>
        <w:rPr>
          <w:rFonts w:ascii="Times New Roman" w:eastAsia="仿宋"/>
          <w:sz w:val="32"/>
          <w:szCs w:val="32"/>
        </w:rPr>
      </w:pPr>
      <w:r>
        <w:rPr>
          <w:rFonts w:ascii="Times New Roman"/>
        </w:rPr>
        <w:drawing>
          <wp:inline distT="0" distB="0" distL="114300" distR="114300">
            <wp:extent cx="4676140" cy="2879725"/>
            <wp:effectExtent l="6350" t="6350" r="11430" b="9525"/>
            <wp:docPr id="1037"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27"/>
        <w:snapToGrid w:val="0"/>
        <w:spacing w:after="0" w:line="560" w:lineRule="exact"/>
        <w:ind w:firstLine="0" w:firstLineChars="0"/>
        <w:jc w:val="left"/>
        <w:outlineLvl w:val="1"/>
        <w:rPr>
          <w:rStyle w:val="29"/>
          <w:rFonts w:ascii="Times New Roman" w:hAnsi="Times New Roman" w:eastAsia="黑体" w:cs="Times New Roman"/>
          <w:b w:val="0"/>
        </w:rPr>
      </w:pPr>
    </w:p>
    <w:p>
      <w:pPr>
        <w:pStyle w:val="27"/>
        <w:snapToGrid w:val="0"/>
        <w:spacing w:after="0" w:line="560" w:lineRule="exact"/>
        <w:ind w:firstLine="640"/>
        <w:jc w:val="left"/>
        <w:outlineLvl w:val="1"/>
        <w:rPr>
          <w:rStyle w:val="29"/>
          <w:rFonts w:ascii="Times New Roman" w:hAnsi="Times New Roman" w:eastAsia="黑体" w:cs="Times New Roman"/>
          <w:b w:val="0"/>
        </w:rPr>
      </w:pPr>
      <w:bookmarkStart w:id="77" w:name="_Toc13464_WPSOffice_Level2"/>
      <w:r>
        <w:rPr>
          <w:rStyle w:val="29"/>
          <w:rFonts w:ascii="Times New Roman" w:hAnsi="Times New Roman" w:eastAsia="黑体" w:cs="Times New Roman"/>
          <w:b w:val="0"/>
        </w:rPr>
        <w:t>三、支出决算情况说明</w:t>
      </w:r>
      <w:bookmarkEnd w:id="75"/>
      <w:bookmarkEnd w:id="76"/>
      <w:bookmarkEnd w:id="77"/>
    </w:p>
    <w:p>
      <w:pPr>
        <w:snapToGrid w:val="0"/>
        <w:spacing w:after="0" w:line="560" w:lineRule="exact"/>
        <w:ind w:firstLine="640" w:firstLineChars="200"/>
        <w:outlineLvl w:val="1"/>
        <w:rPr>
          <w:rFonts w:eastAsia="仿宋_GB2312"/>
          <w:sz w:val="32"/>
          <w:szCs w:val="32"/>
          <w:shd w:val="pct10" w:color="auto" w:fill="FFFFFF"/>
        </w:rPr>
      </w:pPr>
      <w:r>
        <w:rPr>
          <w:rFonts w:eastAsia="仿宋_GB2312"/>
          <w:sz w:val="32"/>
          <w:szCs w:val="32"/>
        </w:rPr>
        <w:t>2023年度本年支出合计1399.52万元，其中：基本支出902.03万元，占64.45%；项目支出497.49万元，占35.54%；上缴上级支出0万元，占0%；经营支出0万元，占0%；对附属单位补助支出0万元，占0%。</w:t>
      </w:r>
    </w:p>
    <w:p>
      <w:pPr>
        <w:snapToGrid w:val="0"/>
        <w:spacing w:after="0" w:line="560" w:lineRule="exact"/>
        <w:jc w:val="center"/>
        <w:rPr>
          <w:rFonts w:eastAsia="仿宋_GB2312"/>
          <w:sz w:val="32"/>
          <w:szCs w:val="32"/>
        </w:rPr>
      </w:pPr>
    </w:p>
    <w:p>
      <w:pPr>
        <w:pStyle w:val="2"/>
        <w:spacing w:before="93"/>
        <w:rPr>
          <w:rFonts w:ascii="Times New Roman"/>
        </w:rPr>
      </w:pPr>
    </w:p>
    <w:p>
      <w:pPr>
        <w:snapToGrid w:val="0"/>
        <w:spacing w:after="0" w:line="560" w:lineRule="exact"/>
        <w:jc w:val="center"/>
        <w:rPr>
          <w:rFonts w:eastAsia="仿宋_GB2312"/>
        </w:rPr>
      </w:pPr>
      <w:r>
        <w:rPr>
          <w:rFonts w:eastAsia="仿宋_GB2312"/>
          <w:sz w:val="32"/>
          <w:szCs w:val="32"/>
        </w:rPr>
        <w:t>（图3：支出决算结构图）</w:t>
      </w:r>
    </w:p>
    <w:p>
      <w:pPr>
        <w:snapToGrid w:val="0"/>
        <w:jc w:val="center"/>
      </w:pPr>
      <w:r>
        <w:drawing>
          <wp:inline distT="0" distB="0" distL="114300" distR="114300">
            <wp:extent cx="4679950" cy="2879725"/>
            <wp:effectExtent l="0" t="0" r="1397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8"/>
                    <a:srcRect/>
                    <a:stretch>
                      <a:fillRect/>
                    </a:stretch>
                  </pic:blipFill>
                  <pic:spPr>
                    <a:xfrm>
                      <a:off x="0" y="0"/>
                      <a:ext cx="4680000" cy="2880000"/>
                    </a:xfrm>
                    <a:prstGeom prst="rect">
                      <a:avLst/>
                    </a:prstGeom>
                    <a:noFill/>
                    <a:ln>
                      <a:noFill/>
                    </a:ln>
                  </pic:spPr>
                </pic:pic>
              </a:graphicData>
            </a:graphic>
          </wp:inline>
        </w:drawing>
      </w:r>
    </w:p>
    <w:p>
      <w:pPr>
        <w:snapToGrid w:val="0"/>
        <w:spacing w:after="0" w:line="560" w:lineRule="exact"/>
        <w:ind w:firstLine="640" w:firstLineChars="200"/>
        <w:outlineLvl w:val="1"/>
        <w:rPr>
          <w:rFonts w:eastAsia="黑体"/>
          <w:sz w:val="32"/>
          <w:szCs w:val="32"/>
        </w:rPr>
      </w:pPr>
      <w:bookmarkStart w:id="78" w:name="_Toc15377208"/>
      <w:bookmarkStart w:id="79" w:name="_Toc15396606"/>
    </w:p>
    <w:p>
      <w:pPr>
        <w:snapToGrid w:val="0"/>
        <w:spacing w:after="0" w:line="560" w:lineRule="exact"/>
        <w:ind w:firstLine="640" w:firstLineChars="200"/>
        <w:outlineLvl w:val="1"/>
        <w:rPr>
          <w:rStyle w:val="29"/>
          <w:rFonts w:ascii="Times New Roman" w:hAnsi="Times New Roman" w:eastAsia="黑体" w:cs="Times New Roman"/>
          <w:b w:val="0"/>
        </w:rPr>
      </w:pPr>
      <w:bookmarkStart w:id="80" w:name="_Toc28094_WPSOffice_Level2"/>
      <w:r>
        <w:rPr>
          <w:rFonts w:eastAsia="黑体"/>
          <w:sz w:val="32"/>
          <w:szCs w:val="32"/>
        </w:rPr>
        <w:t>四、财</w:t>
      </w:r>
      <w:r>
        <w:rPr>
          <w:rStyle w:val="29"/>
          <w:rFonts w:ascii="Times New Roman" w:hAnsi="Times New Roman" w:eastAsia="黑体" w:cs="Times New Roman"/>
          <w:b w:val="0"/>
        </w:rPr>
        <w:t>政拨款收入支出决算总体情况说明</w:t>
      </w:r>
      <w:bookmarkEnd w:id="78"/>
      <w:bookmarkEnd w:id="79"/>
      <w:bookmarkEnd w:id="80"/>
    </w:p>
    <w:p>
      <w:pPr>
        <w:snapToGrid w:val="0"/>
        <w:spacing w:after="0" w:line="560" w:lineRule="exact"/>
        <w:ind w:firstLine="640"/>
        <w:rPr>
          <w:rFonts w:eastAsia="仿宋_GB2312"/>
          <w:sz w:val="32"/>
          <w:szCs w:val="32"/>
        </w:rPr>
      </w:pPr>
      <w:r>
        <w:rPr>
          <w:rFonts w:eastAsia="仿宋_GB2312"/>
          <w:sz w:val="32"/>
          <w:szCs w:val="32"/>
        </w:rPr>
        <w:t>2023年度财政拨款收、支总计均为1399.52万元。与2022年度相比，财政拨款收、支总计各增加461.05万元，增长49.13%。主要变动原因是2023年化解暂付款413.69万元。</w:t>
      </w:r>
    </w:p>
    <w:p>
      <w:pPr>
        <w:snapToGrid w:val="0"/>
        <w:spacing w:after="0" w:line="560" w:lineRule="exact"/>
        <w:jc w:val="center"/>
        <w:rPr>
          <w:rFonts w:eastAsia="仿宋_GB2312"/>
          <w:sz w:val="32"/>
          <w:szCs w:val="32"/>
        </w:rPr>
      </w:pPr>
    </w:p>
    <w:p>
      <w:pPr>
        <w:snapToGrid w:val="0"/>
        <w:spacing w:after="0" w:line="560" w:lineRule="exact"/>
        <w:jc w:val="center"/>
        <w:rPr>
          <w:rFonts w:eastAsia="仿宋_GB2312"/>
        </w:rPr>
      </w:pPr>
      <w:r>
        <w:rPr>
          <w:rFonts w:eastAsia="仿宋_GB2312"/>
          <w:sz w:val="32"/>
          <w:szCs w:val="32"/>
        </w:rPr>
        <w:t>（图4：一般公共预算财政拨款收、支决算总计变动情况）</w:t>
      </w:r>
    </w:p>
    <w:p>
      <w:pPr>
        <w:snapToGrid w:val="0"/>
        <w:jc w:val="center"/>
      </w:pPr>
      <w:r>
        <w:drawing>
          <wp:inline distT="0" distB="0" distL="114300" distR="114300">
            <wp:extent cx="5274310" cy="3121025"/>
            <wp:effectExtent l="4445" t="4445" r="9525" b="1397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napToGrid w:val="0"/>
        <w:spacing w:after="0" w:line="560" w:lineRule="exact"/>
        <w:ind w:firstLine="640" w:firstLineChars="200"/>
        <w:outlineLvl w:val="1"/>
        <w:rPr>
          <w:rFonts w:eastAsia="黑体"/>
          <w:sz w:val="32"/>
          <w:szCs w:val="32"/>
        </w:rPr>
      </w:pPr>
      <w:bookmarkStart w:id="81" w:name="_Toc15377209"/>
      <w:bookmarkStart w:id="82" w:name="_Toc15396607"/>
    </w:p>
    <w:p>
      <w:pPr>
        <w:snapToGrid w:val="0"/>
        <w:spacing w:after="0" w:line="560" w:lineRule="exact"/>
        <w:ind w:firstLine="640" w:firstLineChars="200"/>
        <w:outlineLvl w:val="1"/>
        <w:rPr>
          <w:rStyle w:val="29"/>
          <w:rFonts w:ascii="Times New Roman" w:hAnsi="Times New Roman" w:eastAsia="黑体" w:cs="Times New Roman"/>
          <w:b w:val="0"/>
        </w:rPr>
      </w:pPr>
      <w:bookmarkStart w:id="83" w:name="_Toc20493_WPSOffice_Level2"/>
      <w:r>
        <w:rPr>
          <w:rFonts w:eastAsia="黑体"/>
          <w:sz w:val="32"/>
          <w:szCs w:val="32"/>
        </w:rPr>
        <w:t>五、</w:t>
      </w:r>
      <w:r>
        <w:rPr>
          <w:rFonts w:eastAsia="黑体"/>
          <w:b/>
          <w:sz w:val="32"/>
          <w:szCs w:val="32"/>
        </w:rPr>
        <w:t>一</w:t>
      </w:r>
      <w:r>
        <w:rPr>
          <w:rStyle w:val="29"/>
          <w:rFonts w:ascii="Times New Roman" w:hAnsi="Times New Roman" w:eastAsia="黑体" w:cs="Times New Roman"/>
          <w:b w:val="0"/>
        </w:rPr>
        <w:t>般公共预算财政拨款支出决算情况说明</w:t>
      </w:r>
      <w:bookmarkEnd w:id="81"/>
      <w:bookmarkEnd w:id="82"/>
      <w:bookmarkEnd w:id="83"/>
    </w:p>
    <w:p>
      <w:pPr>
        <w:snapToGrid w:val="0"/>
        <w:spacing w:after="0" w:line="560" w:lineRule="exact"/>
        <w:ind w:firstLine="643" w:firstLineChars="200"/>
        <w:outlineLvl w:val="2"/>
        <w:rPr>
          <w:rFonts w:eastAsia="楷体_GB2312"/>
          <w:b/>
          <w:sz w:val="32"/>
          <w:szCs w:val="32"/>
        </w:rPr>
      </w:pPr>
      <w:bookmarkStart w:id="84" w:name="_Toc15377210"/>
      <w:r>
        <w:rPr>
          <w:rFonts w:eastAsia="楷体_GB2312"/>
          <w:b/>
          <w:sz w:val="32"/>
          <w:szCs w:val="32"/>
        </w:rPr>
        <w:t>（一）一般公共预算财政拨款支出决算总体情况</w:t>
      </w:r>
      <w:bookmarkEnd w:id="84"/>
    </w:p>
    <w:p>
      <w:pPr>
        <w:snapToGrid w:val="0"/>
        <w:spacing w:after="0" w:line="560" w:lineRule="exact"/>
        <w:ind w:firstLine="640" w:firstLineChars="200"/>
        <w:rPr>
          <w:rFonts w:eastAsia="仿宋_GB2312"/>
          <w:sz w:val="32"/>
          <w:szCs w:val="32"/>
        </w:rPr>
      </w:pPr>
      <w:r>
        <w:rPr>
          <w:rFonts w:eastAsia="仿宋_GB2312"/>
          <w:sz w:val="32"/>
          <w:szCs w:val="32"/>
        </w:rPr>
        <w:t>2023年度一般公共预算财政拨款支出1399.52万元，占本年支出合计的100%。与2022年度相比，一般公共预算财政拨款支出增加461.05万元，增长49.13%。主要变动原因是2023年化解暂付款413.69万元。</w:t>
      </w:r>
    </w:p>
    <w:p>
      <w:pPr>
        <w:snapToGrid w:val="0"/>
        <w:spacing w:after="0" w:line="560" w:lineRule="exact"/>
        <w:jc w:val="center"/>
        <w:rPr>
          <w:rFonts w:eastAsia="仿宋_GB2312"/>
          <w:sz w:val="32"/>
          <w:szCs w:val="32"/>
        </w:rPr>
      </w:pPr>
    </w:p>
    <w:p>
      <w:pPr>
        <w:snapToGrid w:val="0"/>
        <w:spacing w:after="0" w:line="560" w:lineRule="exact"/>
        <w:jc w:val="center"/>
        <w:rPr>
          <w:rFonts w:eastAsia="仿宋_GB2312"/>
        </w:rPr>
      </w:pPr>
      <w:r>
        <w:rPr>
          <w:rFonts w:eastAsia="仿宋_GB2312"/>
          <w:sz w:val="32"/>
          <w:szCs w:val="32"/>
        </w:rPr>
        <w:t>（图5：一般公共预算财政拨款支出决算变动情况）</w:t>
      </w:r>
    </w:p>
    <w:p>
      <w:pPr>
        <w:snapToGrid w:val="0"/>
        <w:jc w:val="center"/>
      </w:pPr>
      <w:r>
        <w:drawing>
          <wp:inline distT="0" distB="0" distL="114300" distR="114300">
            <wp:extent cx="5274310" cy="3121025"/>
            <wp:effectExtent l="4445" t="4445" r="9525" b="1397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napToGrid w:val="0"/>
        <w:spacing w:after="0" w:line="560" w:lineRule="exact"/>
        <w:ind w:firstLine="643" w:firstLineChars="200"/>
        <w:outlineLvl w:val="2"/>
        <w:rPr>
          <w:rFonts w:eastAsia="仿宋"/>
          <w:b/>
          <w:sz w:val="32"/>
          <w:szCs w:val="32"/>
        </w:rPr>
      </w:pPr>
      <w:bookmarkStart w:id="85" w:name="_Toc15377211"/>
    </w:p>
    <w:p>
      <w:pPr>
        <w:snapToGrid w:val="0"/>
        <w:spacing w:after="0" w:line="560" w:lineRule="exact"/>
        <w:ind w:firstLine="643" w:firstLineChars="200"/>
        <w:outlineLvl w:val="2"/>
        <w:rPr>
          <w:rFonts w:eastAsia="楷体_GB2312"/>
          <w:b/>
          <w:sz w:val="32"/>
          <w:szCs w:val="32"/>
        </w:rPr>
      </w:pPr>
      <w:r>
        <w:rPr>
          <w:rFonts w:eastAsia="楷体_GB2312"/>
          <w:b/>
          <w:sz w:val="32"/>
          <w:szCs w:val="32"/>
        </w:rPr>
        <w:t>（二）一般公共预算财政拨款支出决算结构情况</w:t>
      </w:r>
      <w:bookmarkEnd w:id="85"/>
    </w:p>
    <w:p>
      <w:pPr>
        <w:snapToGrid w:val="0"/>
        <w:spacing w:after="0" w:line="560" w:lineRule="exact"/>
        <w:ind w:firstLine="640"/>
        <w:rPr>
          <w:rFonts w:eastAsia="仿宋_GB2312"/>
          <w:sz w:val="32"/>
          <w:szCs w:val="32"/>
        </w:rPr>
      </w:pPr>
      <w:r>
        <w:rPr>
          <w:rFonts w:eastAsia="仿宋_GB2312"/>
          <w:sz w:val="32"/>
          <w:szCs w:val="32"/>
        </w:rPr>
        <w:t>2023年度一般公共预算财政拨款支出1399.52万元，主要用于以下方面:一般公共服务支出1121.09万元，占80.11%；教育支出0万元，占0%；科学技术支出0万元，占0%；文化旅游体育与传媒支出0万元，占0%；社会保障和就业支出144.93万元，占10.36%；卫生健康支出64.40万元，占4.60%；住房保障支出61.92万元，占4.42%；国防支出7.18万元，占0.51%。</w:t>
      </w:r>
    </w:p>
    <w:p>
      <w:pPr>
        <w:snapToGrid w:val="0"/>
        <w:spacing w:after="0" w:line="560" w:lineRule="exact"/>
        <w:jc w:val="center"/>
        <w:rPr>
          <w:rFonts w:eastAsia="仿宋_GB2312"/>
          <w:sz w:val="32"/>
          <w:szCs w:val="32"/>
        </w:rPr>
      </w:pPr>
    </w:p>
    <w:p>
      <w:pPr>
        <w:snapToGrid w:val="0"/>
        <w:spacing w:after="0" w:line="560" w:lineRule="exact"/>
        <w:jc w:val="center"/>
        <w:rPr>
          <w:rFonts w:eastAsia="仿宋_GB2312"/>
        </w:rPr>
      </w:pPr>
      <w:r>
        <w:rPr>
          <w:rFonts w:eastAsia="仿宋_GB2312"/>
          <w:sz w:val="32"/>
          <w:szCs w:val="32"/>
        </w:rPr>
        <w:t>（图6：一般公共预算财政拨款支出决算结构）</w:t>
      </w:r>
    </w:p>
    <w:p>
      <w:pPr>
        <w:snapToGrid w:val="0"/>
        <w:jc w:val="center"/>
      </w:pPr>
      <w:r>
        <w:drawing>
          <wp:inline distT="0" distB="0" distL="114300" distR="114300">
            <wp:extent cx="4765675" cy="3261360"/>
            <wp:effectExtent l="4445" t="4445" r="15240" b="1079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napToGrid w:val="0"/>
        <w:spacing w:after="0" w:line="560" w:lineRule="exact"/>
        <w:ind w:firstLine="643" w:firstLineChars="200"/>
        <w:outlineLvl w:val="2"/>
        <w:rPr>
          <w:rFonts w:eastAsia="仿宋"/>
          <w:b/>
          <w:sz w:val="32"/>
          <w:szCs w:val="32"/>
        </w:rPr>
      </w:pPr>
      <w:bookmarkStart w:id="86" w:name="_Toc15377212"/>
    </w:p>
    <w:p>
      <w:pPr>
        <w:snapToGrid w:val="0"/>
        <w:spacing w:after="0" w:line="560" w:lineRule="exact"/>
        <w:ind w:firstLine="643" w:firstLineChars="200"/>
        <w:outlineLvl w:val="2"/>
        <w:rPr>
          <w:rFonts w:eastAsia="楷体_GB2312"/>
          <w:b/>
          <w:sz w:val="32"/>
          <w:szCs w:val="32"/>
        </w:rPr>
      </w:pPr>
      <w:r>
        <w:rPr>
          <w:rFonts w:eastAsia="楷体_GB2312"/>
          <w:b/>
          <w:sz w:val="32"/>
          <w:szCs w:val="32"/>
        </w:rPr>
        <w:t>（三）一般公共预算财政拨款支出决算具体情况</w:t>
      </w:r>
      <w:bookmarkEnd w:id="86"/>
    </w:p>
    <w:p>
      <w:pPr>
        <w:snapToGrid w:val="0"/>
        <w:spacing w:after="0" w:line="560" w:lineRule="exact"/>
        <w:ind w:firstLine="640" w:firstLineChars="200"/>
        <w:outlineLvl w:val="2"/>
        <w:rPr>
          <w:rFonts w:eastAsia="仿宋_GB2312"/>
          <w:sz w:val="32"/>
          <w:szCs w:val="32"/>
        </w:rPr>
      </w:pPr>
      <w:bookmarkStart w:id="87" w:name="_Toc15377213"/>
      <w:bookmarkStart w:id="88" w:name="_Toc15378460"/>
      <w:bookmarkStart w:id="89" w:name="_Toc15377444"/>
      <w:r>
        <w:rPr>
          <w:rFonts w:eastAsia="仿宋_GB2312"/>
          <w:sz w:val="32"/>
          <w:szCs w:val="32"/>
        </w:rPr>
        <w:t>2023年度一般公共预算支出决算数为1399.52</w:t>
      </w:r>
      <w:r>
        <w:rPr>
          <w:rFonts w:hint="eastAsia" w:eastAsia="仿宋_GB2312"/>
          <w:sz w:val="32"/>
          <w:szCs w:val="32"/>
          <w:lang w:val="en-US" w:eastAsia="zh-CN"/>
        </w:rPr>
        <w:t>万元</w:t>
      </w:r>
      <w:r>
        <w:rPr>
          <w:rFonts w:eastAsia="仿宋_GB2312"/>
          <w:sz w:val="32"/>
          <w:szCs w:val="32"/>
        </w:rPr>
        <w:t>，完成预算100%。其中：</w:t>
      </w:r>
      <w:bookmarkEnd w:id="87"/>
      <w:bookmarkEnd w:id="88"/>
      <w:bookmarkEnd w:id="89"/>
    </w:p>
    <w:p>
      <w:pPr>
        <w:snapToGrid w:val="0"/>
        <w:spacing w:after="0" w:line="560" w:lineRule="exact"/>
        <w:ind w:firstLine="643" w:firstLineChars="200"/>
        <w:rPr>
          <w:rStyle w:val="17"/>
          <w:rFonts w:eastAsia="仿宋_GB2312"/>
          <w:b w:val="0"/>
          <w:bCs/>
          <w:sz w:val="32"/>
          <w:szCs w:val="32"/>
        </w:rPr>
      </w:pPr>
      <w:r>
        <w:rPr>
          <w:rStyle w:val="17"/>
          <w:rFonts w:eastAsia="仿宋_GB2312"/>
          <w:bCs/>
          <w:sz w:val="32"/>
          <w:szCs w:val="32"/>
        </w:rPr>
        <w:t>1.一般公共服务（类</w:t>
      </w:r>
      <w:r>
        <w:rPr>
          <w:rStyle w:val="17"/>
          <w:rFonts w:eastAsia="仿宋_GB2312"/>
          <w:bCs/>
          <w:sz w:val="32"/>
          <w:szCs w:val="32"/>
          <w:lang w:val="zh-CN"/>
        </w:rPr>
        <w:t>）</w:t>
      </w:r>
      <w:r>
        <w:rPr>
          <w:rStyle w:val="17"/>
          <w:rFonts w:eastAsia="仿宋_GB2312"/>
          <w:bCs/>
          <w:sz w:val="32"/>
          <w:szCs w:val="32"/>
        </w:rPr>
        <w:t>政府办公厅（室）及相关机构事务</w:t>
      </w:r>
      <w:r>
        <w:rPr>
          <w:rStyle w:val="17"/>
          <w:rFonts w:eastAsia="仿宋_GB2312"/>
          <w:bCs/>
          <w:sz w:val="32"/>
          <w:szCs w:val="32"/>
          <w:lang w:val="zh-CN"/>
        </w:rPr>
        <w:t>（款）</w:t>
      </w:r>
      <w:r>
        <w:rPr>
          <w:rStyle w:val="17"/>
          <w:rFonts w:eastAsia="仿宋_GB2312"/>
          <w:bCs/>
          <w:sz w:val="32"/>
          <w:szCs w:val="32"/>
        </w:rPr>
        <w:t>行政运行</w:t>
      </w:r>
      <w:r>
        <w:rPr>
          <w:rStyle w:val="17"/>
          <w:rFonts w:eastAsia="仿宋_GB2312"/>
          <w:bCs/>
          <w:sz w:val="32"/>
          <w:szCs w:val="32"/>
          <w:lang w:val="zh-CN"/>
        </w:rPr>
        <w:t>（项）</w:t>
      </w:r>
      <w:r>
        <w:rPr>
          <w:rStyle w:val="17"/>
          <w:rFonts w:eastAsia="仿宋_GB2312"/>
          <w:bCs/>
          <w:sz w:val="32"/>
          <w:szCs w:val="32"/>
        </w:rPr>
        <w:t>:</w:t>
      </w:r>
      <w:r>
        <w:rPr>
          <w:rStyle w:val="17"/>
          <w:rFonts w:eastAsia="仿宋_GB2312"/>
          <w:b w:val="0"/>
          <w:bCs/>
          <w:sz w:val="32"/>
          <w:szCs w:val="32"/>
        </w:rPr>
        <w:t xml:space="preserve"> 支出决算为480.65万元，完成预算100%。</w:t>
      </w:r>
    </w:p>
    <w:p>
      <w:pPr>
        <w:snapToGrid w:val="0"/>
        <w:spacing w:after="0" w:line="560" w:lineRule="exact"/>
        <w:ind w:firstLine="643" w:firstLineChars="200"/>
        <w:rPr>
          <w:rFonts w:eastAsia="仿宋_GB2312"/>
          <w:sz w:val="32"/>
          <w:szCs w:val="32"/>
        </w:rPr>
      </w:pPr>
      <w:r>
        <w:rPr>
          <w:rStyle w:val="17"/>
          <w:rFonts w:eastAsia="仿宋_GB2312"/>
          <w:bCs/>
          <w:sz w:val="32"/>
          <w:szCs w:val="32"/>
        </w:rPr>
        <w:t>2.</w:t>
      </w:r>
      <w:r>
        <w:rPr>
          <w:rStyle w:val="17"/>
          <w:rFonts w:eastAsia="仿宋_GB2312"/>
          <w:bCs/>
          <w:sz w:val="32"/>
          <w:szCs w:val="32"/>
          <w:lang w:val="zh-CN"/>
        </w:rPr>
        <w:t>一般公共服务</w:t>
      </w:r>
      <w:r>
        <w:rPr>
          <w:rStyle w:val="17"/>
          <w:rFonts w:eastAsia="仿宋_GB2312"/>
          <w:bCs/>
          <w:sz w:val="32"/>
          <w:szCs w:val="32"/>
        </w:rPr>
        <w:t>支出</w:t>
      </w:r>
      <w:r>
        <w:rPr>
          <w:rStyle w:val="17"/>
          <w:rFonts w:eastAsia="仿宋_GB2312"/>
          <w:bCs/>
          <w:sz w:val="32"/>
          <w:szCs w:val="32"/>
          <w:lang w:val="zh-CN"/>
        </w:rPr>
        <w:t>（类）</w:t>
      </w:r>
      <w:r>
        <w:rPr>
          <w:rStyle w:val="17"/>
          <w:rFonts w:eastAsia="仿宋_GB2312"/>
          <w:bCs/>
          <w:sz w:val="32"/>
          <w:szCs w:val="32"/>
        </w:rPr>
        <w:t>政府办公厅（室）及相关机构事务</w:t>
      </w:r>
      <w:r>
        <w:rPr>
          <w:rStyle w:val="17"/>
          <w:rFonts w:eastAsia="仿宋_GB2312"/>
          <w:bCs/>
          <w:sz w:val="32"/>
          <w:szCs w:val="32"/>
          <w:lang w:val="zh-CN"/>
        </w:rPr>
        <w:t>（款）</w:t>
      </w:r>
      <w:r>
        <w:rPr>
          <w:rStyle w:val="17"/>
          <w:rFonts w:eastAsia="仿宋_GB2312"/>
          <w:bCs/>
          <w:sz w:val="32"/>
          <w:szCs w:val="32"/>
        </w:rPr>
        <w:t>一般行政管理事务（项）：</w:t>
      </w:r>
      <w:r>
        <w:rPr>
          <w:rFonts w:eastAsia="仿宋_GB2312"/>
          <w:sz w:val="32"/>
          <w:szCs w:val="32"/>
          <w:lang w:val="zh-CN"/>
        </w:rPr>
        <w:t>支出决算为</w:t>
      </w:r>
      <w:r>
        <w:rPr>
          <w:rFonts w:eastAsia="仿宋_GB2312"/>
          <w:sz w:val="32"/>
          <w:szCs w:val="32"/>
        </w:rPr>
        <w:t>8.62万元，完成预算100%。</w:t>
      </w:r>
    </w:p>
    <w:p>
      <w:pPr>
        <w:overflowPunct w:val="0"/>
        <w:snapToGrid w:val="0"/>
        <w:spacing w:after="0" w:line="560" w:lineRule="exact"/>
        <w:ind w:firstLine="643" w:firstLineChars="200"/>
        <w:rPr>
          <w:rFonts w:eastAsia="仿宋_GB2312"/>
          <w:sz w:val="32"/>
          <w:szCs w:val="32"/>
        </w:rPr>
      </w:pPr>
      <w:r>
        <w:rPr>
          <w:rStyle w:val="17"/>
          <w:rFonts w:eastAsia="仿宋_GB2312"/>
          <w:bCs/>
          <w:sz w:val="32"/>
          <w:szCs w:val="32"/>
        </w:rPr>
        <w:t>3.</w:t>
      </w:r>
      <w:r>
        <w:rPr>
          <w:rStyle w:val="17"/>
          <w:rFonts w:eastAsia="仿宋_GB2312"/>
          <w:bCs/>
          <w:sz w:val="32"/>
          <w:szCs w:val="32"/>
          <w:lang w:val="zh-CN"/>
        </w:rPr>
        <w:t>一般公共服务</w:t>
      </w:r>
      <w:r>
        <w:rPr>
          <w:rStyle w:val="17"/>
          <w:rFonts w:eastAsia="仿宋_GB2312"/>
          <w:bCs/>
          <w:sz w:val="32"/>
          <w:szCs w:val="32"/>
        </w:rPr>
        <w:t>支出</w:t>
      </w:r>
      <w:r>
        <w:rPr>
          <w:rStyle w:val="17"/>
          <w:rFonts w:eastAsia="仿宋_GB2312"/>
          <w:bCs/>
          <w:sz w:val="32"/>
          <w:szCs w:val="32"/>
          <w:lang w:val="zh-CN"/>
        </w:rPr>
        <w:t>（类）</w:t>
      </w:r>
      <w:r>
        <w:rPr>
          <w:rStyle w:val="17"/>
          <w:rFonts w:eastAsia="仿宋_GB2312"/>
          <w:bCs/>
          <w:sz w:val="32"/>
          <w:szCs w:val="32"/>
        </w:rPr>
        <w:t>政府办公厅（室）及相关机构事务</w:t>
      </w:r>
      <w:r>
        <w:rPr>
          <w:rStyle w:val="17"/>
          <w:rFonts w:eastAsia="仿宋_GB2312"/>
          <w:bCs/>
          <w:sz w:val="32"/>
          <w:szCs w:val="32"/>
          <w:lang w:val="zh-CN"/>
        </w:rPr>
        <w:t>（款）</w:t>
      </w:r>
      <w:r>
        <w:rPr>
          <w:rStyle w:val="17"/>
          <w:rFonts w:eastAsia="仿宋_GB2312"/>
          <w:bCs/>
          <w:sz w:val="32"/>
          <w:szCs w:val="32"/>
        </w:rPr>
        <w:t>事业运行（项）：</w:t>
      </w:r>
      <w:r>
        <w:rPr>
          <w:rFonts w:eastAsia="仿宋_GB2312"/>
          <w:sz w:val="32"/>
          <w:szCs w:val="32"/>
          <w:lang w:val="zh-CN"/>
        </w:rPr>
        <w:t>支出决算为</w:t>
      </w:r>
      <w:r>
        <w:rPr>
          <w:rFonts w:eastAsia="仿宋_GB2312"/>
          <w:sz w:val="32"/>
          <w:szCs w:val="32"/>
        </w:rPr>
        <w:t>150.13万元，完成预算100%。</w:t>
      </w:r>
    </w:p>
    <w:p>
      <w:pPr>
        <w:overflowPunct w:val="0"/>
        <w:snapToGrid w:val="0"/>
        <w:spacing w:after="0" w:line="560" w:lineRule="exact"/>
        <w:ind w:firstLine="643" w:firstLineChars="200"/>
        <w:rPr>
          <w:rFonts w:eastAsia="仿宋_GB2312"/>
          <w:sz w:val="32"/>
          <w:szCs w:val="32"/>
          <w:lang w:val="zh-CN"/>
        </w:rPr>
      </w:pPr>
      <w:r>
        <w:rPr>
          <w:rStyle w:val="17"/>
          <w:rFonts w:eastAsia="仿宋_GB2312"/>
          <w:bCs/>
          <w:sz w:val="32"/>
          <w:szCs w:val="32"/>
        </w:rPr>
        <w:t>4.</w:t>
      </w:r>
      <w:r>
        <w:rPr>
          <w:rStyle w:val="17"/>
          <w:rFonts w:eastAsia="仿宋_GB2312"/>
          <w:bCs/>
          <w:sz w:val="32"/>
          <w:szCs w:val="32"/>
          <w:lang w:val="zh-CN"/>
        </w:rPr>
        <w:t>一般公共服务</w:t>
      </w:r>
      <w:r>
        <w:rPr>
          <w:rStyle w:val="17"/>
          <w:rFonts w:eastAsia="仿宋_GB2312"/>
          <w:bCs/>
          <w:sz w:val="32"/>
          <w:szCs w:val="32"/>
        </w:rPr>
        <w:t>支出</w:t>
      </w:r>
      <w:r>
        <w:rPr>
          <w:rStyle w:val="17"/>
          <w:rFonts w:eastAsia="仿宋_GB2312"/>
          <w:bCs/>
          <w:sz w:val="32"/>
          <w:szCs w:val="32"/>
          <w:lang w:val="zh-CN"/>
        </w:rPr>
        <w:t>（类）</w:t>
      </w:r>
      <w:r>
        <w:rPr>
          <w:rStyle w:val="17"/>
          <w:rFonts w:eastAsia="仿宋_GB2312"/>
          <w:bCs/>
          <w:sz w:val="32"/>
          <w:szCs w:val="32"/>
        </w:rPr>
        <w:t>政府办公厅（室）及相关机构事务</w:t>
      </w:r>
      <w:r>
        <w:rPr>
          <w:rStyle w:val="17"/>
          <w:rFonts w:eastAsia="仿宋_GB2312"/>
          <w:bCs/>
          <w:sz w:val="32"/>
          <w:szCs w:val="32"/>
          <w:lang w:val="zh-CN"/>
        </w:rPr>
        <w:t>（款）</w:t>
      </w:r>
      <w:r>
        <w:rPr>
          <w:rStyle w:val="17"/>
          <w:rFonts w:eastAsia="仿宋_GB2312"/>
          <w:bCs/>
          <w:sz w:val="32"/>
          <w:szCs w:val="32"/>
        </w:rPr>
        <w:t>其他政府办公厅（室）及相关机构事务支出（项）：</w:t>
      </w:r>
      <w:r>
        <w:rPr>
          <w:rFonts w:eastAsia="仿宋_GB2312"/>
          <w:sz w:val="32"/>
          <w:szCs w:val="32"/>
          <w:lang w:val="zh-CN"/>
        </w:rPr>
        <w:t>支出决算为</w:t>
      </w:r>
      <w:r>
        <w:rPr>
          <w:rFonts w:eastAsia="仿宋_GB2312"/>
          <w:sz w:val="32"/>
          <w:szCs w:val="32"/>
        </w:rPr>
        <w:t>481.69万元，完成预算100%</w:t>
      </w:r>
      <w:r>
        <w:rPr>
          <w:rFonts w:eastAsia="仿宋_GB2312"/>
          <w:sz w:val="32"/>
          <w:szCs w:val="32"/>
          <w:lang w:val="zh-CN"/>
        </w:rPr>
        <w:t>。</w:t>
      </w:r>
    </w:p>
    <w:p>
      <w:pPr>
        <w:overflowPunct w:val="0"/>
        <w:snapToGrid w:val="0"/>
        <w:spacing w:after="0" w:line="560" w:lineRule="exact"/>
        <w:ind w:firstLine="643" w:firstLineChars="200"/>
        <w:rPr>
          <w:rFonts w:eastAsia="仿宋_GB2312"/>
        </w:rPr>
      </w:pPr>
      <w:r>
        <w:rPr>
          <w:rStyle w:val="17"/>
          <w:rFonts w:eastAsia="仿宋_GB2312"/>
          <w:bCs/>
          <w:sz w:val="32"/>
          <w:szCs w:val="32"/>
        </w:rPr>
        <w:t>5.国防支出（类）其他国防支出（款）其他国防支出（项）：</w:t>
      </w:r>
      <w:r>
        <w:rPr>
          <w:rFonts w:eastAsia="仿宋_GB2312"/>
          <w:sz w:val="32"/>
          <w:szCs w:val="32"/>
          <w:lang w:val="zh-CN"/>
        </w:rPr>
        <w:t>支出决算为</w:t>
      </w:r>
      <w:r>
        <w:rPr>
          <w:rFonts w:eastAsia="仿宋_GB2312"/>
          <w:sz w:val="32"/>
          <w:szCs w:val="32"/>
        </w:rPr>
        <w:t>7.18万元，完成预算100%</w:t>
      </w:r>
      <w:r>
        <w:rPr>
          <w:rFonts w:eastAsia="仿宋_GB2312"/>
          <w:sz w:val="32"/>
          <w:szCs w:val="32"/>
          <w:lang w:val="zh-CN"/>
        </w:rPr>
        <w:t>。</w:t>
      </w:r>
    </w:p>
    <w:p>
      <w:pPr>
        <w:overflowPunct w:val="0"/>
        <w:snapToGrid w:val="0"/>
        <w:spacing w:after="0" w:line="560" w:lineRule="exact"/>
        <w:ind w:firstLine="643" w:firstLineChars="200"/>
        <w:rPr>
          <w:rFonts w:eastAsia="仿宋_GB2312"/>
          <w:color w:val="FF0000"/>
          <w:sz w:val="32"/>
          <w:szCs w:val="32"/>
          <w:lang w:val="zh-CN"/>
        </w:rPr>
      </w:pPr>
      <w:r>
        <w:rPr>
          <w:rFonts w:eastAsia="仿宋_GB2312"/>
          <w:b/>
          <w:bCs/>
          <w:sz w:val="32"/>
          <w:szCs w:val="32"/>
        </w:rPr>
        <w:t>6.</w:t>
      </w:r>
      <w:r>
        <w:rPr>
          <w:rFonts w:eastAsia="仿宋_GB2312"/>
          <w:b/>
          <w:bCs/>
          <w:sz w:val="32"/>
          <w:szCs w:val="32"/>
          <w:lang w:val="zh-CN"/>
        </w:rPr>
        <w:t>社会保障和就业</w:t>
      </w:r>
      <w:r>
        <w:rPr>
          <w:rFonts w:eastAsia="仿宋_GB2312"/>
          <w:b/>
          <w:bCs/>
          <w:sz w:val="32"/>
          <w:szCs w:val="32"/>
        </w:rPr>
        <w:t>支出</w:t>
      </w:r>
      <w:r>
        <w:rPr>
          <w:rFonts w:eastAsia="仿宋_GB2312"/>
          <w:b/>
          <w:bCs/>
          <w:sz w:val="32"/>
          <w:szCs w:val="32"/>
          <w:lang w:val="zh-CN"/>
        </w:rPr>
        <w:t>（类）</w:t>
      </w:r>
      <w:r>
        <w:rPr>
          <w:rFonts w:eastAsia="仿宋_GB2312"/>
          <w:b/>
          <w:bCs/>
          <w:sz w:val="32"/>
          <w:szCs w:val="32"/>
        </w:rPr>
        <w:t>行政事业单位养老支出</w:t>
      </w:r>
      <w:r>
        <w:rPr>
          <w:rFonts w:eastAsia="仿宋_GB2312"/>
          <w:b/>
          <w:bCs/>
          <w:sz w:val="32"/>
          <w:szCs w:val="32"/>
          <w:lang w:val="zh-CN"/>
        </w:rPr>
        <w:t>（款）</w:t>
      </w:r>
      <w:r>
        <w:rPr>
          <w:rFonts w:eastAsia="仿宋_GB2312"/>
          <w:b/>
          <w:bCs/>
          <w:sz w:val="32"/>
          <w:szCs w:val="32"/>
        </w:rPr>
        <w:t>行政单位离退休</w:t>
      </w:r>
      <w:r>
        <w:rPr>
          <w:rFonts w:eastAsia="仿宋_GB2312"/>
          <w:b/>
          <w:bCs/>
          <w:sz w:val="32"/>
          <w:szCs w:val="32"/>
          <w:lang w:val="zh-CN"/>
        </w:rPr>
        <w:t>（项）:</w:t>
      </w:r>
      <w:r>
        <w:rPr>
          <w:rFonts w:eastAsia="仿宋_GB2312"/>
          <w:sz w:val="32"/>
          <w:szCs w:val="32"/>
          <w:lang w:val="zh-CN"/>
        </w:rPr>
        <w:t>支出决算为</w:t>
      </w:r>
      <w:r>
        <w:rPr>
          <w:rFonts w:eastAsia="仿宋_GB2312"/>
          <w:sz w:val="32"/>
          <w:szCs w:val="32"/>
        </w:rPr>
        <w:t>33.96</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napToGrid w:val="0"/>
        <w:spacing w:after="0" w:line="560" w:lineRule="exact"/>
        <w:ind w:firstLine="643" w:firstLineChars="200"/>
        <w:rPr>
          <w:rFonts w:eastAsia="仿宋_GB2312"/>
          <w:color w:val="FF0000"/>
          <w:sz w:val="32"/>
          <w:szCs w:val="32"/>
          <w:lang w:val="zh-CN"/>
        </w:rPr>
      </w:pPr>
      <w:r>
        <w:rPr>
          <w:rFonts w:eastAsia="仿宋_GB2312"/>
          <w:b/>
          <w:bCs/>
          <w:sz w:val="32"/>
          <w:szCs w:val="32"/>
        </w:rPr>
        <w:t>7.</w:t>
      </w:r>
      <w:r>
        <w:rPr>
          <w:rFonts w:eastAsia="仿宋_GB2312"/>
          <w:b/>
          <w:bCs/>
          <w:sz w:val="32"/>
          <w:szCs w:val="32"/>
          <w:lang w:val="zh-CN"/>
        </w:rPr>
        <w:t>社会保障和就业</w:t>
      </w:r>
      <w:r>
        <w:rPr>
          <w:rFonts w:eastAsia="仿宋_GB2312"/>
          <w:b/>
          <w:bCs/>
          <w:sz w:val="32"/>
          <w:szCs w:val="32"/>
        </w:rPr>
        <w:t>支出</w:t>
      </w:r>
      <w:r>
        <w:rPr>
          <w:rFonts w:eastAsia="仿宋_GB2312"/>
          <w:b/>
          <w:bCs/>
          <w:sz w:val="32"/>
          <w:szCs w:val="32"/>
          <w:lang w:val="zh-CN"/>
        </w:rPr>
        <w:t>（类）</w:t>
      </w:r>
      <w:r>
        <w:rPr>
          <w:rFonts w:eastAsia="仿宋_GB2312"/>
          <w:b/>
          <w:bCs/>
          <w:sz w:val="32"/>
          <w:szCs w:val="32"/>
        </w:rPr>
        <w:t>行政事业单位养老支出</w:t>
      </w:r>
      <w:r>
        <w:rPr>
          <w:rFonts w:eastAsia="仿宋_GB2312"/>
          <w:b/>
          <w:bCs/>
          <w:sz w:val="32"/>
          <w:szCs w:val="32"/>
          <w:lang w:val="zh-CN"/>
        </w:rPr>
        <w:t>（款）</w:t>
      </w:r>
      <w:r>
        <w:rPr>
          <w:rFonts w:eastAsia="仿宋_GB2312"/>
          <w:b/>
          <w:bCs/>
          <w:sz w:val="32"/>
          <w:szCs w:val="32"/>
        </w:rPr>
        <w:t>事业单位离退休</w:t>
      </w:r>
      <w:r>
        <w:rPr>
          <w:rFonts w:eastAsia="仿宋_GB2312"/>
          <w:b/>
          <w:bCs/>
          <w:sz w:val="32"/>
          <w:szCs w:val="32"/>
          <w:lang w:val="zh-CN"/>
        </w:rPr>
        <w:t>（项）:</w:t>
      </w:r>
      <w:r>
        <w:rPr>
          <w:rFonts w:eastAsia="仿宋_GB2312"/>
          <w:sz w:val="32"/>
          <w:szCs w:val="32"/>
          <w:lang w:val="zh-CN"/>
        </w:rPr>
        <w:t>支出决算为</w:t>
      </w:r>
      <w:r>
        <w:rPr>
          <w:rFonts w:eastAsia="仿宋_GB2312"/>
          <w:sz w:val="32"/>
          <w:szCs w:val="32"/>
        </w:rPr>
        <w:t>1.85</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napToGrid w:val="0"/>
        <w:spacing w:after="0" w:line="560" w:lineRule="exact"/>
        <w:ind w:firstLine="643" w:firstLineChars="200"/>
        <w:rPr>
          <w:rFonts w:eastAsia="仿宋_GB2312"/>
          <w:sz w:val="32"/>
          <w:szCs w:val="32"/>
          <w:lang w:val="zh-CN"/>
        </w:rPr>
      </w:pPr>
      <w:r>
        <w:rPr>
          <w:rFonts w:eastAsia="仿宋_GB2312"/>
          <w:b/>
          <w:bCs/>
          <w:sz w:val="32"/>
          <w:szCs w:val="32"/>
        </w:rPr>
        <w:t>8.</w:t>
      </w:r>
      <w:r>
        <w:rPr>
          <w:rFonts w:eastAsia="仿宋_GB2312"/>
          <w:b/>
          <w:bCs/>
          <w:sz w:val="32"/>
          <w:szCs w:val="32"/>
          <w:lang w:val="zh-CN"/>
        </w:rPr>
        <w:t>社会保障和就业</w:t>
      </w:r>
      <w:r>
        <w:rPr>
          <w:rFonts w:eastAsia="仿宋_GB2312"/>
          <w:b/>
          <w:bCs/>
          <w:sz w:val="32"/>
          <w:szCs w:val="32"/>
        </w:rPr>
        <w:t>支出</w:t>
      </w:r>
      <w:r>
        <w:rPr>
          <w:rFonts w:eastAsia="仿宋_GB2312"/>
          <w:b/>
          <w:bCs/>
          <w:sz w:val="32"/>
          <w:szCs w:val="32"/>
          <w:lang w:val="zh-CN"/>
        </w:rPr>
        <w:t>（类）</w:t>
      </w:r>
      <w:r>
        <w:rPr>
          <w:rFonts w:eastAsia="仿宋_GB2312"/>
          <w:b/>
          <w:bCs/>
          <w:sz w:val="32"/>
          <w:szCs w:val="32"/>
        </w:rPr>
        <w:t>行政事业单位养老支出</w:t>
      </w:r>
      <w:r>
        <w:rPr>
          <w:rFonts w:eastAsia="仿宋_GB2312"/>
          <w:b/>
          <w:bCs/>
          <w:sz w:val="32"/>
          <w:szCs w:val="32"/>
          <w:lang w:val="zh-CN"/>
        </w:rPr>
        <w:t>（款）</w:t>
      </w:r>
      <w:r>
        <w:rPr>
          <w:rFonts w:eastAsia="仿宋_GB2312"/>
          <w:b/>
          <w:bCs/>
          <w:sz w:val="32"/>
          <w:szCs w:val="32"/>
        </w:rPr>
        <w:t>机关事业单位基本养老保险缴费支出</w:t>
      </w:r>
      <w:r>
        <w:rPr>
          <w:rFonts w:eastAsia="仿宋_GB2312"/>
          <w:b/>
          <w:bCs/>
          <w:sz w:val="32"/>
          <w:szCs w:val="32"/>
          <w:lang w:val="zh-CN"/>
        </w:rPr>
        <w:t>（项）:</w:t>
      </w:r>
      <w:r>
        <w:rPr>
          <w:rFonts w:eastAsia="仿宋_GB2312"/>
          <w:sz w:val="32"/>
          <w:szCs w:val="32"/>
          <w:lang w:val="zh-CN"/>
        </w:rPr>
        <w:t>支出决算为</w:t>
      </w:r>
      <w:r>
        <w:rPr>
          <w:rFonts w:eastAsia="仿宋_GB2312"/>
          <w:sz w:val="32"/>
          <w:szCs w:val="32"/>
        </w:rPr>
        <w:t>90.94</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napToGrid w:val="0"/>
        <w:spacing w:after="0" w:line="560" w:lineRule="exact"/>
        <w:ind w:firstLine="643" w:firstLineChars="200"/>
        <w:rPr>
          <w:rFonts w:eastAsia="仿宋_GB2312"/>
          <w:color w:val="FF0000"/>
          <w:sz w:val="32"/>
          <w:szCs w:val="32"/>
          <w:lang w:val="zh-CN"/>
        </w:rPr>
      </w:pPr>
      <w:r>
        <w:rPr>
          <w:rFonts w:eastAsia="仿宋_GB2312"/>
          <w:b/>
          <w:bCs/>
          <w:sz w:val="32"/>
          <w:szCs w:val="32"/>
        </w:rPr>
        <w:t>9.</w:t>
      </w:r>
      <w:r>
        <w:rPr>
          <w:rFonts w:eastAsia="仿宋_GB2312"/>
          <w:b/>
          <w:bCs/>
          <w:sz w:val="32"/>
          <w:szCs w:val="32"/>
          <w:lang w:val="zh-CN"/>
        </w:rPr>
        <w:t>社会保障和就业</w:t>
      </w:r>
      <w:r>
        <w:rPr>
          <w:rFonts w:eastAsia="仿宋_GB2312"/>
          <w:b/>
          <w:bCs/>
          <w:sz w:val="32"/>
          <w:szCs w:val="32"/>
        </w:rPr>
        <w:t>支出</w:t>
      </w:r>
      <w:r>
        <w:rPr>
          <w:rFonts w:eastAsia="仿宋_GB2312"/>
          <w:b/>
          <w:bCs/>
          <w:sz w:val="32"/>
          <w:szCs w:val="32"/>
          <w:lang w:val="zh-CN"/>
        </w:rPr>
        <w:t>（类）</w:t>
      </w:r>
      <w:r>
        <w:rPr>
          <w:rFonts w:eastAsia="仿宋_GB2312"/>
          <w:b/>
          <w:bCs/>
          <w:sz w:val="32"/>
          <w:szCs w:val="32"/>
        </w:rPr>
        <w:t>行政事业单位养老支出</w:t>
      </w:r>
      <w:r>
        <w:rPr>
          <w:rFonts w:eastAsia="仿宋_GB2312"/>
          <w:b/>
          <w:bCs/>
          <w:sz w:val="32"/>
          <w:szCs w:val="32"/>
          <w:lang w:val="zh-CN"/>
        </w:rPr>
        <w:t>（款）</w:t>
      </w:r>
      <w:r>
        <w:rPr>
          <w:rFonts w:eastAsia="仿宋_GB2312"/>
          <w:b/>
          <w:bCs/>
          <w:sz w:val="32"/>
          <w:szCs w:val="32"/>
        </w:rPr>
        <w:t>机关事业单位职业年金缴费支出</w:t>
      </w:r>
      <w:r>
        <w:rPr>
          <w:rFonts w:eastAsia="仿宋_GB2312"/>
          <w:b/>
          <w:bCs/>
          <w:sz w:val="32"/>
          <w:szCs w:val="32"/>
          <w:lang w:val="zh-CN"/>
        </w:rPr>
        <w:t>（项）:</w:t>
      </w:r>
      <w:r>
        <w:rPr>
          <w:rFonts w:eastAsia="仿宋_GB2312"/>
          <w:sz w:val="32"/>
          <w:szCs w:val="32"/>
          <w:lang w:val="zh-CN"/>
        </w:rPr>
        <w:t>支出决算为</w:t>
      </w:r>
      <w:r>
        <w:rPr>
          <w:rFonts w:eastAsia="仿宋_GB2312"/>
          <w:sz w:val="32"/>
          <w:szCs w:val="32"/>
        </w:rPr>
        <w:t>1.2</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napToGrid w:val="0"/>
        <w:spacing w:after="0" w:line="560" w:lineRule="exact"/>
        <w:ind w:firstLine="643" w:firstLineChars="200"/>
        <w:rPr>
          <w:rFonts w:eastAsia="仿宋_GB2312"/>
          <w:color w:val="FF0000"/>
          <w:sz w:val="32"/>
          <w:szCs w:val="32"/>
          <w:lang w:val="zh-CN"/>
        </w:rPr>
      </w:pPr>
      <w:r>
        <w:rPr>
          <w:rFonts w:eastAsia="仿宋_GB2312"/>
          <w:b/>
          <w:bCs/>
          <w:sz w:val="32"/>
          <w:szCs w:val="32"/>
        </w:rPr>
        <w:t>10.</w:t>
      </w:r>
      <w:r>
        <w:rPr>
          <w:rFonts w:eastAsia="仿宋_GB2312"/>
          <w:b/>
          <w:bCs/>
          <w:sz w:val="32"/>
          <w:szCs w:val="32"/>
          <w:lang w:val="zh-CN"/>
        </w:rPr>
        <w:t>社会保障和就业</w:t>
      </w:r>
      <w:r>
        <w:rPr>
          <w:rFonts w:eastAsia="仿宋_GB2312"/>
          <w:b/>
          <w:bCs/>
          <w:sz w:val="32"/>
          <w:szCs w:val="32"/>
        </w:rPr>
        <w:t>支出</w:t>
      </w:r>
      <w:r>
        <w:rPr>
          <w:rFonts w:eastAsia="仿宋_GB2312"/>
          <w:b/>
          <w:bCs/>
          <w:sz w:val="32"/>
          <w:szCs w:val="32"/>
          <w:lang w:val="zh-CN"/>
        </w:rPr>
        <w:t>（类）</w:t>
      </w:r>
      <w:r>
        <w:rPr>
          <w:rFonts w:eastAsia="仿宋_GB2312"/>
          <w:b/>
          <w:bCs/>
          <w:sz w:val="32"/>
          <w:szCs w:val="32"/>
        </w:rPr>
        <w:t>抚恤</w:t>
      </w:r>
      <w:r>
        <w:rPr>
          <w:rFonts w:eastAsia="仿宋_GB2312"/>
          <w:b/>
          <w:bCs/>
          <w:sz w:val="32"/>
          <w:szCs w:val="32"/>
          <w:lang w:val="zh-CN"/>
        </w:rPr>
        <w:t>（款）</w:t>
      </w:r>
      <w:r>
        <w:rPr>
          <w:rFonts w:eastAsia="仿宋_GB2312"/>
          <w:b/>
          <w:bCs/>
          <w:sz w:val="32"/>
          <w:szCs w:val="32"/>
        </w:rPr>
        <w:t>死亡抚恤</w:t>
      </w:r>
      <w:r>
        <w:rPr>
          <w:rFonts w:eastAsia="仿宋_GB2312"/>
          <w:b/>
          <w:bCs/>
          <w:sz w:val="32"/>
          <w:szCs w:val="32"/>
          <w:lang w:val="zh-CN"/>
        </w:rPr>
        <w:t>（项）:</w:t>
      </w:r>
      <w:r>
        <w:rPr>
          <w:rFonts w:eastAsia="仿宋_GB2312"/>
          <w:sz w:val="32"/>
          <w:szCs w:val="32"/>
          <w:lang w:val="zh-CN"/>
        </w:rPr>
        <w:t>支出决算为</w:t>
      </w:r>
      <w:r>
        <w:rPr>
          <w:rFonts w:eastAsia="仿宋_GB2312"/>
          <w:sz w:val="32"/>
          <w:szCs w:val="32"/>
        </w:rPr>
        <w:t>16.98</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napToGrid w:val="0"/>
        <w:spacing w:after="0" w:line="560" w:lineRule="exact"/>
        <w:ind w:firstLine="643" w:firstLineChars="200"/>
        <w:rPr>
          <w:rFonts w:eastAsia="仿宋_GB2312"/>
          <w:color w:val="FF0000"/>
          <w:sz w:val="32"/>
          <w:szCs w:val="32"/>
          <w:lang w:val="zh-CN"/>
        </w:rPr>
      </w:pPr>
      <w:r>
        <w:rPr>
          <w:rFonts w:eastAsia="仿宋_GB2312"/>
          <w:b/>
          <w:bCs/>
          <w:sz w:val="32"/>
          <w:szCs w:val="32"/>
        </w:rPr>
        <w:t>11.</w:t>
      </w:r>
      <w:r>
        <w:rPr>
          <w:rFonts w:eastAsia="仿宋_GB2312"/>
          <w:b/>
          <w:bCs/>
          <w:sz w:val="32"/>
          <w:szCs w:val="32"/>
          <w:lang w:val="zh-CN"/>
        </w:rPr>
        <w:t>卫生健康</w:t>
      </w:r>
      <w:r>
        <w:rPr>
          <w:rFonts w:eastAsia="仿宋_GB2312"/>
          <w:b/>
          <w:bCs/>
          <w:sz w:val="32"/>
          <w:szCs w:val="32"/>
        </w:rPr>
        <w:t>支出</w:t>
      </w:r>
      <w:r>
        <w:rPr>
          <w:rFonts w:eastAsia="仿宋_GB2312"/>
          <w:b/>
          <w:bCs/>
          <w:sz w:val="32"/>
          <w:szCs w:val="32"/>
          <w:lang w:val="zh-CN"/>
        </w:rPr>
        <w:t>（类）</w:t>
      </w:r>
      <w:r>
        <w:rPr>
          <w:rFonts w:eastAsia="仿宋_GB2312"/>
          <w:b/>
          <w:bCs/>
          <w:sz w:val="32"/>
          <w:szCs w:val="32"/>
        </w:rPr>
        <w:t>行政事业单位医疗</w:t>
      </w:r>
      <w:r>
        <w:rPr>
          <w:rFonts w:eastAsia="仿宋_GB2312"/>
          <w:b/>
          <w:bCs/>
          <w:sz w:val="32"/>
          <w:szCs w:val="32"/>
          <w:lang w:val="zh-CN"/>
        </w:rPr>
        <w:t>（款）</w:t>
      </w:r>
      <w:r>
        <w:rPr>
          <w:rFonts w:eastAsia="仿宋_GB2312"/>
          <w:b/>
          <w:bCs/>
          <w:sz w:val="32"/>
          <w:szCs w:val="32"/>
        </w:rPr>
        <w:t>行政单位医疗</w:t>
      </w:r>
      <w:r>
        <w:rPr>
          <w:rFonts w:eastAsia="仿宋_GB2312"/>
          <w:b/>
          <w:bCs/>
          <w:sz w:val="32"/>
          <w:szCs w:val="32"/>
          <w:lang w:val="zh-CN"/>
        </w:rPr>
        <w:t>（项）:</w:t>
      </w:r>
      <w:r>
        <w:rPr>
          <w:rFonts w:eastAsia="仿宋_GB2312"/>
          <w:sz w:val="32"/>
          <w:szCs w:val="32"/>
          <w:lang w:val="zh-CN"/>
        </w:rPr>
        <w:t>支出决算为</w:t>
      </w:r>
      <w:r>
        <w:rPr>
          <w:rFonts w:eastAsia="仿宋_GB2312"/>
          <w:sz w:val="32"/>
          <w:szCs w:val="32"/>
        </w:rPr>
        <w:t>31.68</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napToGrid w:val="0"/>
        <w:spacing w:after="0" w:line="560" w:lineRule="exact"/>
        <w:ind w:firstLine="643" w:firstLineChars="200"/>
        <w:rPr>
          <w:rFonts w:eastAsia="仿宋_GB2312"/>
          <w:sz w:val="32"/>
          <w:szCs w:val="32"/>
          <w:lang w:val="zh-CN"/>
        </w:rPr>
      </w:pPr>
      <w:r>
        <w:rPr>
          <w:rFonts w:eastAsia="仿宋_GB2312"/>
          <w:b/>
          <w:bCs/>
          <w:sz w:val="32"/>
          <w:szCs w:val="32"/>
        </w:rPr>
        <w:t>12.</w:t>
      </w:r>
      <w:r>
        <w:rPr>
          <w:rFonts w:eastAsia="仿宋_GB2312"/>
          <w:b/>
          <w:bCs/>
          <w:sz w:val="32"/>
          <w:szCs w:val="32"/>
          <w:lang w:val="zh-CN"/>
        </w:rPr>
        <w:t>卫生健康</w:t>
      </w:r>
      <w:r>
        <w:rPr>
          <w:rFonts w:eastAsia="仿宋_GB2312"/>
          <w:b/>
          <w:bCs/>
          <w:sz w:val="32"/>
          <w:szCs w:val="32"/>
        </w:rPr>
        <w:t>支出</w:t>
      </w:r>
      <w:r>
        <w:rPr>
          <w:rFonts w:eastAsia="仿宋_GB2312"/>
          <w:b/>
          <w:bCs/>
          <w:sz w:val="32"/>
          <w:szCs w:val="32"/>
          <w:lang w:val="zh-CN"/>
        </w:rPr>
        <w:t>（类）</w:t>
      </w:r>
      <w:r>
        <w:rPr>
          <w:rFonts w:eastAsia="仿宋_GB2312"/>
          <w:b/>
          <w:bCs/>
          <w:sz w:val="32"/>
          <w:szCs w:val="32"/>
        </w:rPr>
        <w:t>行政事业单位医疗</w:t>
      </w:r>
      <w:r>
        <w:rPr>
          <w:rFonts w:eastAsia="仿宋_GB2312"/>
          <w:b/>
          <w:bCs/>
          <w:sz w:val="32"/>
          <w:szCs w:val="32"/>
          <w:lang w:val="zh-CN"/>
        </w:rPr>
        <w:t>（款）</w:t>
      </w:r>
      <w:r>
        <w:rPr>
          <w:rFonts w:eastAsia="仿宋_GB2312"/>
          <w:b/>
          <w:bCs/>
          <w:sz w:val="32"/>
          <w:szCs w:val="32"/>
        </w:rPr>
        <w:t>事业单位医疗</w:t>
      </w:r>
      <w:r>
        <w:rPr>
          <w:rFonts w:eastAsia="仿宋_GB2312"/>
          <w:b/>
          <w:bCs/>
          <w:sz w:val="32"/>
          <w:szCs w:val="32"/>
          <w:lang w:val="zh-CN"/>
        </w:rPr>
        <w:t>（项）:</w:t>
      </w:r>
      <w:r>
        <w:rPr>
          <w:rFonts w:eastAsia="仿宋_GB2312"/>
          <w:sz w:val="32"/>
          <w:szCs w:val="32"/>
          <w:lang w:val="zh-CN"/>
        </w:rPr>
        <w:t>支出决算为</w:t>
      </w:r>
      <w:r>
        <w:rPr>
          <w:rFonts w:eastAsia="仿宋_GB2312"/>
          <w:sz w:val="32"/>
          <w:szCs w:val="32"/>
        </w:rPr>
        <w:t>9.37</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napToGrid w:val="0"/>
        <w:spacing w:after="0" w:line="560" w:lineRule="exact"/>
        <w:ind w:firstLine="643" w:firstLineChars="200"/>
        <w:rPr>
          <w:rFonts w:eastAsia="仿宋_GB2312"/>
          <w:sz w:val="32"/>
          <w:szCs w:val="32"/>
          <w:lang w:val="zh-CN"/>
        </w:rPr>
      </w:pPr>
      <w:r>
        <w:rPr>
          <w:rFonts w:eastAsia="仿宋_GB2312"/>
          <w:b/>
          <w:bCs/>
          <w:sz w:val="32"/>
          <w:szCs w:val="32"/>
        </w:rPr>
        <w:t>13.</w:t>
      </w:r>
      <w:r>
        <w:rPr>
          <w:rFonts w:eastAsia="仿宋_GB2312"/>
          <w:b/>
          <w:bCs/>
          <w:sz w:val="32"/>
          <w:szCs w:val="32"/>
          <w:lang w:val="zh-CN"/>
        </w:rPr>
        <w:t>卫生健康</w:t>
      </w:r>
      <w:r>
        <w:rPr>
          <w:rFonts w:eastAsia="仿宋_GB2312"/>
          <w:b/>
          <w:bCs/>
          <w:sz w:val="32"/>
          <w:szCs w:val="32"/>
        </w:rPr>
        <w:t>支出</w:t>
      </w:r>
      <w:r>
        <w:rPr>
          <w:rFonts w:eastAsia="仿宋_GB2312"/>
          <w:b/>
          <w:bCs/>
          <w:sz w:val="32"/>
          <w:szCs w:val="32"/>
          <w:lang w:val="zh-CN"/>
        </w:rPr>
        <w:t>（类）</w:t>
      </w:r>
      <w:r>
        <w:rPr>
          <w:rFonts w:eastAsia="仿宋_GB2312"/>
          <w:b/>
          <w:bCs/>
          <w:sz w:val="32"/>
          <w:szCs w:val="32"/>
        </w:rPr>
        <w:t>行政事业单位医疗</w:t>
      </w:r>
      <w:r>
        <w:rPr>
          <w:rFonts w:eastAsia="仿宋_GB2312"/>
          <w:b/>
          <w:bCs/>
          <w:sz w:val="32"/>
          <w:szCs w:val="32"/>
          <w:lang w:val="zh-CN"/>
        </w:rPr>
        <w:t>（款）</w:t>
      </w:r>
      <w:r>
        <w:rPr>
          <w:rFonts w:eastAsia="仿宋_GB2312"/>
          <w:b/>
          <w:bCs/>
          <w:sz w:val="32"/>
          <w:szCs w:val="32"/>
        </w:rPr>
        <w:t>公务员医疗补助</w:t>
      </w:r>
      <w:r>
        <w:rPr>
          <w:rFonts w:eastAsia="仿宋_GB2312"/>
          <w:b/>
          <w:bCs/>
          <w:sz w:val="32"/>
          <w:szCs w:val="32"/>
          <w:lang w:val="zh-CN"/>
        </w:rPr>
        <w:t>（项）:</w:t>
      </w:r>
      <w:r>
        <w:rPr>
          <w:rFonts w:eastAsia="仿宋_GB2312"/>
          <w:sz w:val="32"/>
          <w:szCs w:val="32"/>
          <w:lang w:val="zh-CN"/>
        </w:rPr>
        <w:t>支出决算为</w:t>
      </w:r>
      <w:r>
        <w:rPr>
          <w:rFonts w:eastAsia="仿宋_GB2312"/>
          <w:sz w:val="32"/>
          <w:szCs w:val="32"/>
        </w:rPr>
        <w:t>3.24</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napToGrid w:val="0"/>
        <w:spacing w:after="0" w:line="560" w:lineRule="exact"/>
        <w:ind w:firstLine="643" w:firstLineChars="200"/>
        <w:rPr>
          <w:rFonts w:eastAsia="仿宋_GB2312"/>
          <w:sz w:val="32"/>
          <w:szCs w:val="32"/>
          <w:lang w:val="zh-CN"/>
        </w:rPr>
      </w:pPr>
      <w:r>
        <w:rPr>
          <w:rFonts w:eastAsia="仿宋_GB2312"/>
          <w:b/>
          <w:bCs/>
          <w:sz w:val="32"/>
          <w:szCs w:val="32"/>
        </w:rPr>
        <w:t>14.</w:t>
      </w:r>
      <w:r>
        <w:rPr>
          <w:rFonts w:eastAsia="仿宋_GB2312"/>
          <w:b/>
          <w:bCs/>
          <w:sz w:val="32"/>
          <w:szCs w:val="32"/>
          <w:lang w:val="zh-CN"/>
        </w:rPr>
        <w:t>卫生健康</w:t>
      </w:r>
      <w:r>
        <w:rPr>
          <w:rFonts w:eastAsia="仿宋_GB2312"/>
          <w:b/>
          <w:bCs/>
          <w:sz w:val="32"/>
          <w:szCs w:val="32"/>
        </w:rPr>
        <w:t>支出</w:t>
      </w:r>
      <w:r>
        <w:rPr>
          <w:rFonts w:eastAsia="仿宋_GB2312"/>
          <w:b/>
          <w:bCs/>
          <w:sz w:val="32"/>
          <w:szCs w:val="32"/>
          <w:lang w:val="zh-CN"/>
        </w:rPr>
        <w:t>（类）</w:t>
      </w:r>
      <w:r>
        <w:rPr>
          <w:rFonts w:eastAsia="仿宋_GB2312"/>
          <w:b/>
          <w:bCs/>
          <w:sz w:val="32"/>
          <w:szCs w:val="32"/>
        </w:rPr>
        <w:t>行政事业单位医疗</w:t>
      </w:r>
      <w:r>
        <w:rPr>
          <w:rFonts w:eastAsia="仿宋_GB2312"/>
          <w:b/>
          <w:bCs/>
          <w:sz w:val="32"/>
          <w:szCs w:val="32"/>
          <w:lang w:val="zh-CN"/>
        </w:rPr>
        <w:t>（款）</w:t>
      </w:r>
      <w:r>
        <w:rPr>
          <w:rFonts w:eastAsia="仿宋_GB2312"/>
          <w:b/>
          <w:bCs/>
          <w:sz w:val="32"/>
          <w:szCs w:val="32"/>
        </w:rPr>
        <w:t>其他行政事业单位医疗支出</w:t>
      </w:r>
      <w:r>
        <w:rPr>
          <w:rFonts w:eastAsia="仿宋_GB2312"/>
          <w:b/>
          <w:bCs/>
          <w:sz w:val="32"/>
          <w:szCs w:val="32"/>
          <w:lang w:val="zh-CN"/>
        </w:rPr>
        <w:t>（项）:</w:t>
      </w:r>
      <w:r>
        <w:rPr>
          <w:rFonts w:eastAsia="仿宋_GB2312"/>
          <w:sz w:val="32"/>
          <w:szCs w:val="32"/>
          <w:lang w:val="zh-CN"/>
        </w:rPr>
        <w:t>支出决算为</w:t>
      </w:r>
      <w:r>
        <w:rPr>
          <w:rFonts w:eastAsia="仿宋_GB2312"/>
          <w:sz w:val="32"/>
          <w:szCs w:val="32"/>
        </w:rPr>
        <w:t>20.11</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napToGrid w:val="0"/>
        <w:spacing w:after="0" w:line="560" w:lineRule="exact"/>
        <w:ind w:firstLine="643" w:firstLineChars="200"/>
        <w:rPr>
          <w:rFonts w:eastAsia="仿宋_GB2312"/>
        </w:rPr>
      </w:pPr>
      <w:r>
        <w:rPr>
          <w:rFonts w:eastAsia="仿宋_GB2312"/>
          <w:b/>
          <w:bCs/>
          <w:sz w:val="32"/>
          <w:szCs w:val="32"/>
        </w:rPr>
        <w:t>15.住房保障支出</w:t>
      </w:r>
      <w:r>
        <w:rPr>
          <w:rFonts w:eastAsia="仿宋_GB2312"/>
          <w:b/>
          <w:bCs/>
          <w:sz w:val="32"/>
          <w:szCs w:val="32"/>
          <w:lang w:val="zh-CN"/>
        </w:rPr>
        <w:t>（类）</w:t>
      </w:r>
      <w:r>
        <w:rPr>
          <w:rFonts w:eastAsia="仿宋_GB2312"/>
          <w:b/>
          <w:bCs/>
          <w:sz w:val="32"/>
          <w:szCs w:val="32"/>
        </w:rPr>
        <w:t>住房改革支出</w:t>
      </w:r>
      <w:r>
        <w:rPr>
          <w:rFonts w:eastAsia="仿宋_GB2312"/>
          <w:b/>
          <w:bCs/>
          <w:sz w:val="32"/>
          <w:szCs w:val="32"/>
          <w:lang w:val="zh-CN"/>
        </w:rPr>
        <w:t>（款）</w:t>
      </w:r>
      <w:r>
        <w:rPr>
          <w:rFonts w:eastAsia="仿宋_GB2312"/>
          <w:b/>
          <w:bCs/>
          <w:sz w:val="32"/>
          <w:szCs w:val="32"/>
        </w:rPr>
        <w:t>住房公积金</w:t>
      </w:r>
      <w:r>
        <w:rPr>
          <w:rFonts w:eastAsia="仿宋_GB2312"/>
          <w:b/>
          <w:bCs/>
          <w:sz w:val="32"/>
          <w:szCs w:val="32"/>
          <w:lang w:val="zh-CN"/>
        </w:rPr>
        <w:t>（项）:</w:t>
      </w:r>
      <w:r>
        <w:rPr>
          <w:rFonts w:eastAsia="仿宋_GB2312"/>
          <w:sz w:val="32"/>
          <w:szCs w:val="32"/>
          <w:lang w:val="zh-CN"/>
        </w:rPr>
        <w:t>支出决算为</w:t>
      </w:r>
      <w:r>
        <w:rPr>
          <w:rFonts w:eastAsia="仿宋_GB2312"/>
          <w:sz w:val="32"/>
          <w:szCs w:val="32"/>
        </w:rPr>
        <w:t>61.92</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tabs>
          <w:tab w:val="right" w:pos="8306"/>
        </w:tabs>
        <w:snapToGrid w:val="0"/>
        <w:spacing w:after="0" w:line="560" w:lineRule="exact"/>
        <w:ind w:firstLine="640"/>
        <w:outlineLvl w:val="1"/>
        <w:rPr>
          <w:rStyle w:val="29"/>
          <w:rFonts w:ascii="Times New Roman" w:hAnsi="Times New Roman" w:cs="Times New Roman"/>
        </w:rPr>
      </w:pPr>
      <w:bookmarkStart w:id="90" w:name="_Toc15396608"/>
      <w:bookmarkStart w:id="91" w:name="_Toc15377214"/>
      <w:bookmarkStart w:id="92" w:name="_Toc14030_WPSOffice_Level2"/>
      <w:r>
        <w:rPr>
          <w:rFonts w:eastAsia="黑体"/>
          <w:sz w:val="32"/>
          <w:szCs w:val="32"/>
        </w:rPr>
        <w:t>六</w:t>
      </w:r>
      <w:r>
        <w:rPr>
          <w:rFonts w:eastAsia="黑体"/>
          <w:b/>
          <w:sz w:val="32"/>
          <w:szCs w:val="32"/>
        </w:rPr>
        <w:t>、一</w:t>
      </w:r>
      <w:r>
        <w:rPr>
          <w:rStyle w:val="29"/>
          <w:rFonts w:ascii="Times New Roman" w:hAnsi="Times New Roman" w:eastAsia="黑体" w:cs="Times New Roman"/>
          <w:b w:val="0"/>
        </w:rPr>
        <w:t>般公共预算财政拨款基本支出决算情况说明</w:t>
      </w:r>
      <w:bookmarkEnd w:id="90"/>
      <w:bookmarkEnd w:id="91"/>
      <w:bookmarkEnd w:id="92"/>
    </w:p>
    <w:p>
      <w:pPr>
        <w:snapToGrid w:val="0"/>
        <w:spacing w:after="0" w:line="560" w:lineRule="exact"/>
        <w:ind w:firstLine="645"/>
        <w:rPr>
          <w:rFonts w:eastAsia="仿宋_GB2312"/>
          <w:sz w:val="32"/>
          <w:szCs w:val="32"/>
        </w:rPr>
      </w:pPr>
      <w:r>
        <w:rPr>
          <w:rFonts w:eastAsia="仿宋_GB2312"/>
          <w:sz w:val="32"/>
          <w:szCs w:val="32"/>
        </w:rPr>
        <w:t>2023年度一般公共预算财政拨款基本支出902.03万元，其中：</w:t>
      </w:r>
    </w:p>
    <w:p>
      <w:pPr>
        <w:snapToGrid w:val="0"/>
        <w:spacing w:after="0" w:line="560" w:lineRule="exact"/>
        <w:ind w:firstLine="645"/>
        <w:rPr>
          <w:rFonts w:eastAsia="仿宋_GB2312"/>
          <w:sz w:val="32"/>
          <w:szCs w:val="32"/>
        </w:rPr>
      </w:pPr>
      <w:r>
        <w:rPr>
          <w:rFonts w:eastAsia="仿宋_GB2312"/>
          <w:sz w:val="32"/>
          <w:szCs w:val="32"/>
        </w:rPr>
        <w:t>人员经费832.56万元，主要包括：基本工资、津贴补贴、奖金、绩效工资、机关事业单位基本养老保险缴费、职业年金缴费、职工基本医疗保险缴费、公务员医疗补助缴费、其他社会保障缴费、住房公积金、医疗费、其他工资福利支出、抚恤金、生活补助、医疗费补助、奖励金等。</w:t>
      </w:r>
    </w:p>
    <w:p>
      <w:pPr>
        <w:snapToGrid w:val="0"/>
        <w:spacing w:after="0" w:line="560" w:lineRule="exact"/>
        <w:ind w:firstLine="645"/>
        <w:rPr>
          <w:rFonts w:eastAsia="仿宋_GB2312"/>
          <w:b/>
          <w:sz w:val="32"/>
          <w:szCs w:val="32"/>
        </w:rPr>
      </w:pPr>
      <w:r>
        <w:rPr>
          <w:rFonts w:eastAsia="仿宋_GB2312"/>
          <w:sz w:val="32"/>
          <w:szCs w:val="32"/>
        </w:rPr>
        <w:t>公用经费69.48万元，主要包括：办公费、邮电费、差旅费、维修（护）费、租赁费、会议费、培训费、公务接待费、劳务费、工会经费、福利费、其他交通费、其他商品和服务支出等。</w:t>
      </w:r>
    </w:p>
    <w:p>
      <w:pPr>
        <w:snapToGrid w:val="0"/>
        <w:spacing w:after="0" w:line="560" w:lineRule="exact"/>
        <w:ind w:firstLine="640"/>
        <w:outlineLvl w:val="1"/>
        <w:rPr>
          <w:rStyle w:val="29"/>
          <w:rFonts w:ascii="Times New Roman" w:hAnsi="Times New Roman" w:eastAsia="黑体" w:cs="Times New Roman"/>
          <w:b w:val="0"/>
        </w:rPr>
      </w:pPr>
      <w:bookmarkStart w:id="93" w:name="_Toc15396609"/>
      <w:bookmarkStart w:id="94" w:name="_Toc15377215"/>
      <w:bookmarkStart w:id="95" w:name="_Toc29875_WPSOffice_Level2"/>
      <w:r>
        <w:rPr>
          <w:rFonts w:eastAsia="黑体"/>
          <w:sz w:val="32"/>
          <w:szCs w:val="32"/>
        </w:rPr>
        <w:t>七、</w:t>
      </w:r>
      <w:r>
        <w:rPr>
          <w:rStyle w:val="29"/>
          <w:rFonts w:ascii="Times New Roman" w:hAnsi="Times New Roman" w:eastAsia="黑体" w:cs="Times New Roman"/>
          <w:b w:val="0"/>
        </w:rPr>
        <w:t>财政拨款</w:t>
      </w:r>
      <w:r>
        <w:rPr>
          <w:rStyle w:val="29"/>
          <w:rFonts w:ascii="Times New Roman" w:hAnsi="Times New Roman" w:eastAsia="黑体" w:cs="Times New Roman"/>
        </w:rPr>
        <w:t>“</w:t>
      </w:r>
      <w:r>
        <w:rPr>
          <w:rStyle w:val="29"/>
          <w:rFonts w:ascii="Times New Roman" w:hAnsi="Times New Roman" w:eastAsia="黑体" w:cs="Times New Roman"/>
          <w:b w:val="0"/>
        </w:rPr>
        <w:t>三公”经费支出决算情况说明</w:t>
      </w:r>
      <w:bookmarkEnd w:id="93"/>
      <w:bookmarkEnd w:id="94"/>
      <w:bookmarkEnd w:id="95"/>
    </w:p>
    <w:p>
      <w:pPr>
        <w:snapToGrid w:val="0"/>
        <w:spacing w:after="0" w:line="560" w:lineRule="exact"/>
        <w:ind w:firstLine="643" w:firstLineChars="200"/>
        <w:outlineLvl w:val="2"/>
        <w:rPr>
          <w:rFonts w:eastAsia="楷体_GB2312"/>
          <w:b/>
          <w:sz w:val="32"/>
          <w:szCs w:val="32"/>
        </w:rPr>
      </w:pPr>
      <w:bookmarkStart w:id="96" w:name="_Toc15377216"/>
      <w:r>
        <w:rPr>
          <w:rFonts w:eastAsia="楷体_GB2312"/>
          <w:b/>
          <w:sz w:val="32"/>
          <w:szCs w:val="32"/>
        </w:rPr>
        <w:t>（一）“三公”经费财政拨款支出决算总体情况说明</w:t>
      </w:r>
      <w:bookmarkEnd w:id="96"/>
    </w:p>
    <w:p>
      <w:pPr>
        <w:snapToGrid w:val="0"/>
        <w:spacing w:after="0" w:line="560" w:lineRule="exact"/>
        <w:ind w:firstLine="640"/>
        <w:rPr>
          <w:rFonts w:eastAsia="仿宋_GB2312"/>
          <w:b/>
          <w:sz w:val="32"/>
          <w:szCs w:val="32"/>
        </w:rPr>
      </w:pPr>
      <w:r>
        <w:rPr>
          <w:rFonts w:eastAsia="仿宋_GB2312"/>
          <w:sz w:val="32"/>
          <w:szCs w:val="32"/>
        </w:rPr>
        <w:t>2023年度“三公”经费财政拨款支出决算为0.08万元，完成预算100%，较上年度减少0.10万元，下降55.56%。决算数小于预算数的主要原因是严格控制“三公”经费的开支，通过压缩一般性支出实现厉行节约。</w:t>
      </w:r>
    </w:p>
    <w:p>
      <w:pPr>
        <w:snapToGrid w:val="0"/>
        <w:spacing w:after="0" w:line="560" w:lineRule="exact"/>
        <w:ind w:firstLine="643" w:firstLineChars="200"/>
        <w:outlineLvl w:val="2"/>
        <w:rPr>
          <w:rFonts w:eastAsia="楷体_GB2312"/>
          <w:b/>
          <w:sz w:val="32"/>
          <w:szCs w:val="32"/>
        </w:rPr>
      </w:pPr>
      <w:bookmarkStart w:id="97" w:name="_Toc15377217"/>
      <w:r>
        <w:rPr>
          <w:rFonts w:eastAsia="楷体_GB2312"/>
          <w:b/>
          <w:sz w:val="32"/>
          <w:szCs w:val="32"/>
        </w:rPr>
        <w:t>（二）“三公”经费财政拨款支出决算具体情况说明</w:t>
      </w:r>
      <w:bookmarkEnd w:id="97"/>
    </w:p>
    <w:p>
      <w:pPr>
        <w:snapToGrid w:val="0"/>
        <w:spacing w:after="0" w:line="560" w:lineRule="exact"/>
        <w:ind w:firstLine="640"/>
        <w:rPr>
          <w:rFonts w:eastAsia="仿宋_GB2312"/>
          <w:sz w:val="32"/>
          <w:szCs w:val="32"/>
        </w:rPr>
      </w:pPr>
      <w:r>
        <w:rPr>
          <w:rFonts w:eastAsia="仿宋_GB2312"/>
          <w:sz w:val="32"/>
          <w:szCs w:val="32"/>
        </w:rPr>
        <w:t>2023年度“三公”经费财政拨款支出决算中，因公出国（境）费支出决算0万元，占0%；公务用车购置及运行维护费支出决算0万元，占0%；公务接待费支出决算0.08万元，占100%。具体情况如下：</w:t>
      </w:r>
    </w:p>
    <w:p>
      <w:pPr>
        <w:pStyle w:val="2"/>
      </w:pPr>
    </w:p>
    <w:p>
      <w:pPr>
        <w:snapToGrid w:val="0"/>
        <w:spacing w:after="0" w:line="560" w:lineRule="exact"/>
        <w:jc w:val="center"/>
        <w:rPr>
          <w:rFonts w:eastAsia="仿宋_GB2312"/>
        </w:rPr>
      </w:pPr>
      <w:r>
        <w:rPr>
          <w:rFonts w:eastAsia="仿宋_GB2312"/>
          <w:sz w:val="32"/>
          <w:szCs w:val="32"/>
        </w:rPr>
        <w:t>（图7：“三公”经费财政拨款支出结构）（饼状图）</w:t>
      </w:r>
    </w:p>
    <w:p>
      <w:pPr>
        <w:snapToGrid w:val="0"/>
        <w:jc w:val="center"/>
      </w:pPr>
      <w:r>
        <w:drawing>
          <wp:inline distT="0" distB="0" distL="114300" distR="114300">
            <wp:extent cx="5034915" cy="3003550"/>
            <wp:effectExtent l="4445" t="4445" r="5080" b="9525"/>
            <wp:docPr id="1840"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2"/>
        <w:keepNext w:val="0"/>
        <w:keepLines w:val="0"/>
        <w:pageBreakBefore w:val="0"/>
        <w:widowControl w:val="0"/>
        <w:kinsoku/>
        <w:wordWrap/>
        <w:overflowPunct/>
        <w:topLinePunct w:val="0"/>
        <w:autoSpaceDE/>
        <w:autoSpaceDN/>
        <w:bidi w:val="0"/>
        <w:adjustRightInd/>
        <w:snapToGrid/>
        <w:spacing w:beforeLines="0" w:after="0" w:line="560" w:lineRule="exact"/>
        <w:textAlignment w:val="auto"/>
      </w:pPr>
    </w:p>
    <w:p>
      <w:pPr>
        <w:keepNext w:val="0"/>
        <w:keepLines w:val="0"/>
        <w:pageBreakBefore w:val="0"/>
        <w:widowControl w:val="0"/>
        <w:kinsoku/>
        <w:wordWrap/>
        <w:overflowPunct/>
        <w:topLinePunct w:val="0"/>
        <w:autoSpaceDE/>
        <w:autoSpaceDN/>
        <w:bidi w:val="0"/>
        <w:adjustRightInd/>
        <w:snapToGrid w:val="0"/>
        <w:spacing w:after="0" w:line="560" w:lineRule="exact"/>
        <w:ind w:firstLine="640"/>
        <w:textAlignment w:val="auto"/>
        <w:rPr>
          <w:rFonts w:eastAsia="仿宋_GB2312"/>
          <w:b/>
          <w:sz w:val="32"/>
          <w:szCs w:val="32"/>
        </w:rPr>
      </w:pPr>
      <w:r>
        <w:rPr>
          <w:rFonts w:eastAsia="仿宋_GB2312"/>
          <w:b/>
          <w:sz w:val="32"/>
          <w:szCs w:val="32"/>
        </w:rPr>
        <w:t>1.因公出国（境）经费支出</w:t>
      </w:r>
      <w:r>
        <w:rPr>
          <w:rFonts w:eastAsia="仿宋_GB2312"/>
          <w:sz w:val="32"/>
          <w:szCs w:val="32"/>
        </w:rPr>
        <w:t>0万元，</w:t>
      </w:r>
      <w:r>
        <w:rPr>
          <w:rStyle w:val="17"/>
          <w:rFonts w:eastAsia="仿宋_GB2312"/>
          <w:b w:val="0"/>
          <w:bCs/>
          <w:sz w:val="32"/>
          <w:szCs w:val="32"/>
        </w:rPr>
        <w:t>完成预算</w:t>
      </w:r>
      <w:r>
        <w:rPr>
          <w:rFonts w:eastAsia="仿宋_GB2312"/>
          <w:sz w:val="32"/>
          <w:szCs w:val="32"/>
        </w:rPr>
        <w:t>0</w:t>
      </w:r>
      <w:r>
        <w:rPr>
          <w:rStyle w:val="17"/>
          <w:rFonts w:eastAsia="仿宋_GB2312"/>
          <w:b w:val="0"/>
          <w:bCs/>
          <w:sz w:val="32"/>
          <w:szCs w:val="32"/>
        </w:rPr>
        <w:t>%。</w:t>
      </w:r>
      <w:r>
        <w:rPr>
          <w:rFonts w:eastAsia="仿宋_GB2312"/>
          <w:sz w:val="32"/>
          <w:szCs w:val="32"/>
        </w:rPr>
        <w:t>全年安排因公出国（境）团组0次，出国（境）0人。因公出国（境）支出决算与2022年持平。</w:t>
      </w:r>
    </w:p>
    <w:p>
      <w:pPr>
        <w:snapToGrid w:val="0"/>
        <w:spacing w:after="0" w:line="560" w:lineRule="exact"/>
        <w:ind w:firstLine="640"/>
        <w:rPr>
          <w:rFonts w:eastAsia="仿宋_GB2312"/>
          <w:b/>
          <w:sz w:val="32"/>
          <w:szCs w:val="32"/>
        </w:rPr>
      </w:pPr>
      <w:r>
        <w:rPr>
          <w:rFonts w:eastAsia="仿宋_GB2312"/>
          <w:b/>
          <w:sz w:val="32"/>
          <w:szCs w:val="32"/>
        </w:rPr>
        <w:t>2.公务用车购置及运行维护费支出</w:t>
      </w:r>
      <w:r>
        <w:rPr>
          <w:rFonts w:eastAsia="仿宋_GB2312"/>
          <w:sz w:val="32"/>
          <w:szCs w:val="32"/>
        </w:rPr>
        <w:t>0万元,</w:t>
      </w:r>
      <w:r>
        <w:rPr>
          <w:rStyle w:val="17"/>
          <w:rFonts w:eastAsia="仿宋_GB2312"/>
          <w:b w:val="0"/>
          <w:bCs/>
          <w:sz w:val="32"/>
          <w:szCs w:val="32"/>
        </w:rPr>
        <w:t>完成预算</w:t>
      </w:r>
      <w:r>
        <w:rPr>
          <w:rFonts w:eastAsia="仿宋_GB2312"/>
          <w:sz w:val="32"/>
          <w:szCs w:val="32"/>
        </w:rPr>
        <w:t>0</w:t>
      </w:r>
      <w:r>
        <w:rPr>
          <w:rStyle w:val="17"/>
          <w:rFonts w:eastAsia="仿宋_GB2312"/>
          <w:b w:val="0"/>
          <w:bCs/>
          <w:sz w:val="32"/>
          <w:szCs w:val="32"/>
        </w:rPr>
        <w:t>%。</w:t>
      </w:r>
      <w:r>
        <w:rPr>
          <w:rFonts w:eastAsia="仿宋_GB2312"/>
          <w:sz w:val="32"/>
          <w:szCs w:val="32"/>
        </w:rPr>
        <w:t>公务用车购置及运行维护费支出决算与2022持平。</w:t>
      </w:r>
    </w:p>
    <w:p>
      <w:pPr>
        <w:snapToGrid w:val="0"/>
        <w:spacing w:after="0" w:line="560" w:lineRule="exact"/>
        <w:ind w:firstLine="640"/>
        <w:rPr>
          <w:rFonts w:eastAsia="仿宋_GB2312"/>
          <w:sz w:val="32"/>
          <w:szCs w:val="32"/>
        </w:rPr>
      </w:pPr>
      <w:r>
        <w:rPr>
          <w:rFonts w:eastAsia="仿宋_GB2312"/>
          <w:b/>
          <w:sz w:val="32"/>
          <w:szCs w:val="32"/>
        </w:rPr>
        <w:t>3.公务接待费支出</w:t>
      </w:r>
      <w:r>
        <w:rPr>
          <w:rFonts w:eastAsia="仿宋_GB2312"/>
          <w:sz w:val="32"/>
          <w:szCs w:val="32"/>
        </w:rPr>
        <w:t>0.08万元，</w:t>
      </w:r>
      <w:r>
        <w:rPr>
          <w:rStyle w:val="17"/>
          <w:rFonts w:eastAsia="仿宋_GB2312"/>
          <w:b w:val="0"/>
          <w:bCs/>
          <w:sz w:val="32"/>
          <w:szCs w:val="32"/>
        </w:rPr>
        <w:t>完成预算</w:t>
      </w:r>
      <w:r>
        <w:rPr>
          <w:rFonts w:eastAsia="仿宋_GB2312"/>
          <w:sz w:val="32"/>
          <w:szCs w:val="32"/>
        </w:rPr>
        <w:t>100%</w:t>
      </w:r>
      <w:r>
        <w:rPr>
          <w:rStyle w:val="17"/>
          <w:rFonts w:eastAsia="仿宋_GB2312"/>
          <w:b w:val="0"/>
          <w:bCs/>
          <w:sz w:val="32"/>
          <w:szCs w:val="32"/>
        </w:rPr>
        <w:t>。</w:t>
      </w:r>
      <w:r>
        <w:rPr>
          <w:rFonts w:eastAsia="仿宋_GB2312"/>
          <w:sz w:val="32"/>
          <w:szCs w:val="32"/>
        </w:rPr>
        <w:t>公务接待费支出决算比2022年度减少0.10万元，下降55.56%。主要原因是严格控制“三公”经费的开支，通过压缩一般性支出实现厉行节约。其中：</w:t>
      </w:r>
    </w:p>
    <w:p>
      <w:pPr>
        <w:snapToGrid w:val="0"/>
        <w:spacing w:after="0" w:line="560" w:lineRule="exact"/>
        <w:ind w:firstLine="640"/>
        <w:rPr>
          <w:rFonts w:eastAsia="仿宋_GB2312"/>
          <w:sz w:val="32"/>
          <w:szCs w:val="32"/>
        </w:rPr>
      </w:pPr>
      <w:r>
        <w:rPr>
          <w:rFonts w:eastAsia="仿宋_GB2312"/>
          <w:b/>
          <w:sz w:val="32"/>
          <w:szCs w:val="32"/>
        </w:rPr>
        <w:t>国内公务接待支出0.08</w:t>
      </w:r>
      <w:r>
        <w:rPr>
          <w:rFonts w:eastAsia="仿宋_GB2312"/>
          <w:sz w:val="32"/>
          <w:szCs w:val="32"/>
        </w:rPr>
        <w:t>万元，主要用于接待东营市人民政府研究室。国内公务接待1批次，9人次，共计支出0.08万元，具体内容包括：东营市人民政府研究室考察组来攀考察学习康养产业用餐费用。</w:t>
      </w:r>
    </w:p>
    <w:p>
      <w:pPr>
        <w:snapToGrid w:val="0"/>
        <w:spacing w:after="0" w:line="560" w:lineRule="exact"/>
        <w:ind w:firstLine="643" w:firstLineChars="200"/>
        <w:rPr>
          <w:rFonts w:eastAsia="仿宋_GB2312"/>
          <w:sz w:val="32"/>
          <w:szCs w:val="32"/>
        </w:rPr>
      </w:pPr>
      <w:r>
        <w:rPr>
          <w:rFonts w:eastAsia="仿宋_GB2312"/>
          <w:b/>
          <w:sz w:val="32"/>
          <w:szCs w:val="32"/>
        </w:rPr>
        <w:t>外事接待支出0</w:t>
      </w:r>
      <w:r>
        <w:rPr>
          <w:rFonts w:eastAsia="仿宋_GB2312"/>
          <w:sz w:val="32"/>
          <w:szCs w:val="32"/>
        </w:rPr>
        <w:t>万元，与2022年持平。</w:t>
      </w:r>
      <w:bookmarkStart w:id="98" w:name="_Toc15377218"/>
      <w:bookmarkStart w:id="99" w:name="_Toc15396610"/>
    </w:p>
    <w:p>
      <w:pPr>
        <w:snapToGrid w:val="0"/>
        <w:spacing w:after="0" w:line="560" w:lineRule="exact"/>
        <w:ind w:firstLine="640"/>
        <w:outlineLvl w:val="1"/>
        <w:rPr>
          <w:rStyle w:val="29"/>
          <w:rFonts w:ascii="Times New Roman" w:hAnsi="Times New Roman" w:eastAsia="黑体" w:cs="Times New Roman"/>
        </w:rPr>
      </w:pPr>
      <w:bookmarkStart w:id="100" w:name="_Toc21242_WPSOffice_Level2"/>
      <w:r>
        <w:rPr>
          <w:rFonts w:eastAsia="黑体"/>
          <w:sz w:val="32"/>
          <w:szCs w:val="32"/>
        </w:rPr>
        <w:t>八、</w:t>
      </w:r>
      <w:r>
        <w:rPr>
          <w:rStyle w:val="29"/>
          <w:rFonts w:ascii="Times New Roman" w:hAnsi="Times New Roman" w:eastAsia="黑体" w:cs="Times New Roman"/>
          <w:b w:val="0"/>
        </w:rPr>
        <w:t>政府性基金预算支出决算情况说明</w:t>
      </w:r>
      <w:bookmarkEnd w:id="98"/>
      <w:bookmarkEnd w:id="99"/>
      <w:bookmarkEnd w:id="100"/>
    </w:p>
    <w:p>
      <w:pPr>
        <w:snapToGrid w:val="0"/>
        <w:spacing w:after="0" w:line="560" w:lineRule="exact"/>
        <w:ind w:firstLine="640"/>
        <w:rPr>
          <w:rFonts w:eastAsia="仿宋_GB2312"/>
          <w:sz w:val="32"/>
          <w:szCs w:val="32"/>
        </w:rPr>
      </w:pPr>
      <w:r>
        <w:rPr>
          <w:rFonts w:eastAsia="仿宋_GB2312"/>
          <w:sz w:val="32"/>
          <w:szCs w:val="32"/>
        </w:rPr>
        <w:t>2023年度政府性基金预算财政拨款支出0万元。</w:t>
      </w:r>
    </w:p>
    <w:p>
      <w:pPr>
        <w:snapToGrid w:val="0"/>
        <w:spacing w:after="0" w:line="560" w:lineRule="exact"/>
        <w:ind w:firstLine="640"/>
        <w:outlineLvl w:val="1"/>
        <w:rPr>
          <w:rStyle w:val="29"/>
          <w:rFonts w:ascii="Times New Roman" w:hAnsi="Times New Roman" w:eastAsia="黑体" w:cs="Times New Roman"/>
          <w:b w:val="0"/>
        </w:rPr>
      </w:pPr>
      <w:bookmarkStart w:id="101" w:name="_Toc15396611"/>
      <w:bookmarkStart w:id="102" w:name="_Toc25844_WPSOffice_Level2"/>
      <w:bookmarkStart w:id="103" w:name="_Toc15377219"/>
      <w:r>
        <w:rPr>
          <w:rStyle w:val="29"/>
          <w:rFonts w:ascii="Times New Roman" w:hAnsi="Times New Roman" w:eastAsia="黑体" w:cs="Times New Roman"/>
          <w:b w:val="0"/>
        </w:rPr>
        <w:t>九、国有资本经营预算支出决算情况说明</w:t>
      </w:r>
      <w:bookmarkEnd w:id="101"/>
      <w:bookmarkEnd w:id="102"/>
      <w:bookmarkEnd w:id="103"/>
    </w:p>
    <w:p>
      <w:pPr>
        <w:snapToGrid w:val="0"/>
        <w:spacing w:after="0" w:line="560" w:lineRule="exact"/>
        <w:ind w:firstLine="640"/>
        <w:rPr>
          <w:rFonts w:eastAsia="仿宋_GB2312"/>
          <w:sz w:val="32"/>
          <w:szCs w:val="32"/>
        </w:rPr>
      </w:pPr>
      <w:r>
        <w:rPr>
          <w:rFonts w:eastAsia="仿宋_GB2312"/>
          <w:sz w:val="32"/>
          <w:szCs w:val="32"/>
        </w:rPr>
        <w:t>2023年度国有资本经营预算财政拨款支出0万元。</w:t>
      </w:r>
      <w:bookmarkStart w:id="104" w:name="_Toc15396612"/>
      <w:bookmarkStart w:id="105" w:name="_Toc15377221"/>
    </w:p>
    <w:p>
      <w:pPr>
        <w:snapToGrid w:val="0"/>
        <w:spacing w:after="0" w:line="560" w:lineRule="exact"/>
        <w:ind w:firstLine="640"/>
        <w:rPr>
          <w:rStyle w:val="29"/>
          <w:rFonts w:ascii="Times New Roman" w:hAnsi="Times New Roman" w:eastAsia="黑体" w:cs="Times New Roman"/>
          <w:b w:val="0"/>
        </w:rPr>
      </w:pPr>
      <w:bookmarkStart w:id="106" w:name="_Toc2694_WPSOffice_Level2"/>
      <w:r>
        <w:rPr>
          <w:rStyle w:val="29"/>
          <w:rFonts w:ascii="Times New Roman" w:hAnsi="Times New Roman" w:eastAsia="黑体" w:cs="Times New Roman"/>
          <w:b w:val="0"/>
        </w:rPr>
        <w:t>十、其他重要事项的情况说明</w:t>
      </w:r>
      <w:bookmarkEnd w:id="104"/>
      <w:bookmarkEnd w:id="105"/>
      <w:bookmarkEnd w:id="106"/>
    </w:p>
    <w:p>
      <w:pPr>
        <w:snapToGrid w:val="0"/>
        <w:spacing w:after="0" w:line="560" w:lineRule="exact"/>
        <w:ind w:firstLine="643" w:firstLineChars="200"/>
        <w:outlineLvl w:val="2"/>
        <w:rPr>
          <w:rFonts w:eastAsia="楷体_GB2312"/>
          <w:b/>
          <w:sz w:val="32"/>
          <w:szCs w:val="32"/>
        </w:rPr>
      </w:pPr>
      <w:bookmarkStart w:id="107" w:name="_Toc15377222"/>
      <w:r>
        <w:rPr>
          <w:rFonts w:eastAsia="楷体_GB2312"/>
          <w:b/>
          <w:sz w:val="32"/>
          <w:szCs w:val="32"/>
        </w:rPr>
        <w:t>（一）机关运行经费支出情况</w:t>
      </w:r>
      <w:bookmarkEnd w:id="107"/>
    </w:p>
    <w:p>
      <w:pPr>
        <w:snapToGrid w:val="0"/>
        <w:spacing w:after="0" w:line="560" w:lineRule="exact"/>
        <w:ind w:firstLine="640"/>
        <w:rPr>
          <w:rFonts w:eastAsia="仿宋_GB2312"/>
          <w:sz w:val="32"/>
          <w:szCs w:val="32"/>
        </w:rPr>
      </w:pPr>
      <w:r>
        <w:rPr>
          <w:rFonts w:eastAsia="仿宋_GB2312"/>
          <w:sz w:val="32"/>
          <w:szCs w:val="32"/>
        </w:rPr>
        <w:t>2023年度，县政府办机关运行经费支出69.48万元，比2022年度增加13.2万元，增长23.45%。主要原因是2023年较2022年单位按照在职人数经费预算增多。</w:t>
      </w:r>
    </w:p>
    <w:p>
      <w:pPr>
        <w:snapToGrid w:val="0"/>
        <w:spacing w:after="0" w:line="560" w:lineRule="exact"/>
        <w:ind w:firstLine="643" w:firstLineChars="200"/>
        <w:outlineLvl w:val="2"/>
        <w:rPr>
          <w:rFonts w:eastAsia="楷体_GB2312"/>
          <w:b/>
          <w:sz w:val="32"/>
          <w:szCs w:val="32"/>
        </w:rPr>
      </w:pPr>
      <w:bookmarkStart w:id="108" w:name="_Toc15377223"/>
      <w:r>
        <w:rPr>
          <w:rFonts w:eastAsia="楷体_GB2312"/>
          <w:b/>
          <w:sz w:val="32"/>
          <w:szCs w:val="32"/>
        </w:rPr>
        <w:t>（二）政府采购支出情况</w:t>
      </w:r>
      <w:bookmarkEnd w:id="108"/>
    </w:p>
    <w:p>
      <w:pPr>
        <w:snapToGrid w:val="0"/>
        <w:spacing w:after="0" w:line="560" w:lineRule="exact"/>
        <w:ind w:firstLine="640"/>
        <w:rPr>
          <w:rFonts w:eastAsia="仿宋_GB2312"/>
          <w:sz w:val="32"/>
          <w:szCs w:val="32"/>
        </w:rPr>
      </w:pPr>
      <w:r>
        <w:rPr>
          <w:rFonts w:eastAsia="仿宋_GB2312"/>
          <w:sz w:val="32"/>
          <w:szCs w:val="32"/>
        </w:rPr>
        <w:t>2023年度，县政府办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snapToGrid w:val="0"/>
        <w:spacing w:after="0" w:line="560" w:lineRule="exact"/>
        <w:ind w:firstLine="643" w:firstLineChars="200"/>
        <w:outlineLvl w:val="2"/>
        <w:rPr>
          <w:rFonts w:eastAsia="楷体_GB2312"/>
          <w:b/>
          <w:sz w:val="32"/>
          <w:szCs w:val="32"/>
        </w:rPr>
      </w:pPr>
      <w:bookmarkStart w:id="109" w:name="_Toc15377224"/>
      <w:r>
        <w:rPr>
          <w:rFonts w:eastAsia="楷体_GB2312"/>
          <w:b/>
          <w:sz w:val="32"/>
          <w:szCs w:val="32"/>
        </w:rPr>
        <w:t>（三）国有资产占有使用情况</w:t>
      </w:r>
      <w:bookmarkEnd w:id="109"/>
    </w:p>
    <w:p>
      <w:pPr>
        <w:snapToGrid w:val="0"/>
        <w:spacing w:after="0" w:line="560" w:lineRule="exact"/>
        <w:ind w:firstLine="640"/>
        <w:rPr>
          <w:rFonts w:eastAsia="仿宋_GB2312"/>
          <w:sz w:val="32"/>
          <w:szCs w:val="32"/>
        </w:rPr>
      </w:pPr>
      <w:r>
        <w:rPr>
          <w:rFonts w:eastAsia="仿宋_GB2312"/>
          <w:sz w:val="32"/>
          <w:szCs w:val="32"/>
        </w:rPr>
        <w:t>截至2023年12月31日，县政府办共有车辆0辆，其中：主要领导干部用车0辆、机要通信用车0辆、应急保障用车0辆、其他用车0辆。单价100万元以上设备（不含车辆）0台（套）。</w:t>
      </w:r>
    </w:p>
    <w:p>
      <w:pPr>
        <w:snapToGrid w:val="0"/>
        <w:spacing w:after="0" w:line="560" w:lineRule="exact"/>
        <w:ind w:firstLine="643" w:firstLineChars="200"/>
        <w:outlineLvl w:val="2"/>
        <w:rPr>
          <w:rFonts w:eastAsia="楷体_GB2312"/>
          <w:b/>
          <w:sz w:val="32"/>
          <w:szCs w:val="32"/>
        </w:rPr>
      </w:pPr>
      <w:r>
        <w:rPr>
          <w:rFonts w:eastAsia="楷体_GB2312"/>
          <w:b/>
          <w:sz w:val="32"/>
          <w:szCs w:val="32"/>
        </w:rPr>
        <w:t>（四）预算绩效管理情况</w:t>
      </w:r>
    </w:p>
    <w:p>
      <w:pPr>
        <w:snapToGrid w:val="0"/>
        <w:spacing w:after="0" w:line="560" w:lineRule="exact"/>
        <w:ind w:firstLine="640"/>
        <w:rPr>
          <w:rFonts w:eastAsia="仿宋_GB2312"/>
          <w:sz w:val="32"/>
          <w:szCs w:val="32"/>
        </w:rPr>
      </w:pPr>
      <w:r>
        <w:rPr>
          <w:rFonts w:eastAsia="仿宋_GB2312"/>
          <w:sz w:val="32"/>
          <w:szCs w:val="32"/>
        </w:rPr>
        <w:t>根据预算绩效管理要求，本部门在2023年度预算编制阶段，组织对县政府办公经费项目等4个项目开展了预算事前绩效评估，对4个项目编制了绩效目标，预算执行过程中，选取4个项目开展绩效监控。</w:t>
      </w:r>
    </w:p>
    <w:p>
      <w:pPr>
        <w:snapToGrid w:val="0"/>
        <w:spacing w:after="0" w:line="560" w:lineRule="exact"/>
        <w:ind w:firstLine="640"/>
        <w:rPr>
          <w:rFonts w:eastAsia="仿宋_GB2312"/>
          <w:sz w:val="32"/>
          <w:szCs w:val="32"/>
        </w:rPr>
      </w:pPr>
      <w:r>
        <w:rPr>
          <w:rFonts w:eastAsia="仿宋_GB2312"/>
          <w:sz w:val="32"/>
          <w:szCs w:val="32"/>
        </w:rPr>
        <w:t>组织对2023年度一般公共预算、政府性基金预算、国有资本经营预算、社会保险基金预算以及资本资产、债券资金等全面开展绩效自评，形成县政府办公室部门整体（含部门预算项目）绩效自评报告、县政府办公经费项目绩效自评报告。部门整体（含部门预算项目）绩效自评得分为98分，绩效自评综述：县政府办公室预、决算编制合理、支出高效规范，财政支出既确保了机关正常运转，又保证了重点项目实施，财政支出绩效良好。</w:t>
      </w:r>
    </w:p>
    <w:p>
      <w:pPr>
        <w:snapToGrid w:val="0"/>
      </w:pPr>
      <w:r>
        <w:rPr>
          <w:rFonts w:eastAsia="仿宋_GB2312"/>
          <w:sz w:val="32"/>
          <w:szCs w:val="32"/>
        </w:rPr>
        <w:br w:type="page"/>
      </w:r>
    </w:p>
    <w:p>
      <w:pPr>
        <w:pStyle w:val="3"/>
        <w:snapToGrid w:val="0"/>
        <w:spacing w:before="0" w:after="0"/>
        <w:jc w:val="center"/>
        <w:rPr>
          <w:rFonts w:eastAsia="黑体"/>
          <w:b w:val="0"/>
          <w:bCs w:val="0"/>
        </w:rPr>
      </w:pPr>
      <w:bookmarkStart w:id="110" w:name="_Toc29394_WPSOffice_Level1"/>
      <w:r>
        <w:rPr>
          <w:rFonts w:eastAsia="黑体"/>
          <w:b w:val="0"/>
          <w:bCs w:val="0"/>
        </w:rPr>
        <w:t>第三部分 名词解释</w:t>
      </w:r>
      <w:bookmarkEnd w:id="110"/>
    </w:p>
    <w:p>
      <w:pPr>
        <w:snapToGrid w:val="0"/>
        <w:spacing w:after="0" w:line="560" w:lineRule="exact"/>
        <w:ind w:firstLine="640" w:firstLineChars="200"/>
        <w:rPr>
          <w:rFonts w:eastAsia="仿宋_GB2312"/>
          <w:sz w:val="32"/>
          <w:szCs w:val="32"/>
        </w:rPr>
      </w:pPr>
      <w:r>
        <w:rPr>
          <w:rFonts w:eastAsia="仿宋_GB2312"/>
          <w:sz w:val="32"/>
          <w:szCs w:val="32"/>
        </w:rPr>
        <w:t>1.财政拨款收入：指单位从同级财政部门取得的财政预算资金。</w:t>
      </w:r>
    </w:p>
    <w:p>
      <w:pPr>
        <w:snapToGrid w:val="0"/>
        <w:spacing w:after="0" w:line="560" w:lineRule="exact"/>
        <w:ind w:firstLine="640" w:firstLineChars="200"/>
        <w:rPr>
          <w:rFonts w:eastAsia="仿宋_GB2312"/>
          <w:sz w:val="32"/>
          <w:szCs w:val="32"/>
        </w:rPr>
      </w:pPr>
      <w:r>
        <w:rPr>
          <w:rFonts w:eastAsia="仿宋_GB2312"/>
          <w:sz w:val="32"/>
          <w:szCs w:val="32"/>
        </w:rPr>
        <w:t>2.事业收入：指事业单位开展专业业务活动及辅助活动取得的收入。</w:t>
      </w:r>
    </w:p>
    <w:p>
      <w:pPr>
        <w:snapToGrid w:val="0"/>
        <w:spacing w:after="0" w:line="560" w:lineRule="exact"/>
        <w:ind w:firstLine="640" w:firstLineChars="200"/>
        <w:rPr>
          <w:rFonts w:eastAsia="仿宋_GB2312"/>
          <w:sz w:val="32"/>
          <w:szCs w:val="32"/>
        </w:rPr>
      </w:pPr>
      <w:r>
        <w:rPr>
          <w:rFonts w:eastAsia="仿宋_GB2312"/>
          <w:sz w:val="32"/>
          <w:szCs w:val="32"/>
        </w:rPr>
        <w:t>3.经营收入：指事业单位在专业业务活动及其辅助活动之外开展非独立核算经营活动取得的收入。</w:t>
      </w:r>
    </w:p>
    <w:p>
      <w:pPr>
        <w:snapToGrid w:val="0"/>
        <w:spacing w:after="0" w:line="560" w:lineRule="exact"/>
        <w:ind w:firstLine="640" w:firstLineChars="200"/>
        <w:rPr>
          <w:rFonts w:eastAsia="仿宋_GB2312"/>
          <w:sz w:val="32"/>
          <w:szCs w:val="32"/>
        </w:rPr>
      </w:pPr>
      <w:r>
        <w:rPr>
          <w:rFonts w:eastAsia="仿宋_GB2312"/>
          <w:sz w:val="32"/>
          <w:szCs w:val="32"/>
        </w:rPr>
        <w:t>4.其他收入：指单位取得的除上述收入以外的各项收入。</w:t>
      </w:r>
    </w:p>
    <w:p>
      <w:pPr>
        <w:snapToGrid w:val="0"/>
        <w:spacing w:after="0" w:line="560" w:lineRule="exact"/>
        <w:ind w:firstLine="640" w:firstLineChars="200"/>
        <w:rPr>
          <w:rFonts w:eastAsia="仿宋_GB2312"/>
          <w:sz w:val="32"/>
          <w:szCs w:val="32"/>
        </w:rPr>
      </w:pPr>
      <w:r>
        <w:rPr>
          <w:rFonts w:eastAsia="仿宋_GB2312"/>
          <w:sz w:val="32"/>
          <w:szCs w:val="32"/>
        </w:rPr>
        <w:t xml:space="preserve">5.使用非财政拨款结余（含专用结余）：指事业单位使用以前年度积累的非财政拨款结余弥补当年收支差额的金额。 </w:t>
      </w:r>
    </w:p>
    <w:p>
      <w:pPr>
        <w:snapToGrid w:val="0"/>
        <w:spacing w:after="0" w:line="560" w:lineRule="exact"/>
        <w:ind w:firstLine="640" w:firstLineChars="200"/>
        <w:rPr>
          <w:rFonts w:eastAsia="仿宋_GB2312"/>
          <w:sz w:val="32"/>
          <w:szCs w:val="32"/>
        </w:rPr>
      </w:pPr>
      <w:r>
        <w:rPr>
          <w:rFonts w:eastAsia="仿宋_GB2312"/>
          <w:sz w:val="32"/>
          <w:szCs w:val="32"/>
        </w:rPr>
        <w:t xml:space="preserve">6.年初结转和结余：指以前年度尚未完成、结转到本年按有关规定继续使用的资金。 </w:t>
      </w:r>
    </w:p>
    <w:p>
      <w:pPr>
        <w:snapToGrid w:val="0"/>
        <w:spacing w:after="0" w:line="560" w:lineRule="exact"/>
        <w:ind w:firstLine="640" w:firstLineChars="200"/>
        <w:rPr>
          <w:rFonts w:eastAsia="仿宋_GB2312"/>
          <w:sz w:val="32"/>
          <w:szCs w:val="32"/>
        </w:rPr>
      </w:pPr>
      <w:r>
        <w:rPr>
          <w:rFonts w:eastAsia="仿宋_GB2312"/>
          <w:sz w:val="32"/>
          <w:szCs w:val="32"/>
        </w:rPr>
        <w:t>7.结余分配：指事业单位按照会计制度规定缴纳的所得税、提取的专用结余以及转入非财政拨款结余的金额等。</w:t>
      </w:r>
    </w:p>
    <w:p>
      <w:pPr>
        <w:snapToGrid w:val="0"/>
        <w:spacing w:after="0" w:line="560" w:lineRule="exact"/>
        <w:ind w:firstLine="640" w:firstLineChars="200"/>
        <w:rPr>
          <w:rFonts w:eastAsia="仿宋_GB2312"/>
          <w:sz w:val="32"/>
          <w:szCs w:val="32"/>
        </w:rPr>
      </w:pPr>
      <w:r>
        <w:rPr>
          <w:rFonts w:eastAsia="仿宋_GB2312"/>
          <w:sz w:val="32"/>
          <w:szCs w:val="32"/>
        </w:rPr>
        <w:t>8.年末结转和结余：指单位按有关规定结转到下年或以后年度继续使用的资金。</w:t>
      </w:r>
    </w:p>
    <w:p>
      <w:pPr>
        <w:snapToGrid w:val="0"/>
        <w:spacing w:after="0" w:line="560" w:lineRule="exact"/>
        <w:ind w:firstLine="640" w:firstLineChars="200"/>
        <w:rPr>
          <w:rFonts w:eastAsia="仿宋_GB2312"/>
          <w:sz w:val="32"/>
          <w:szCs w:val="32"/>
          <w:lang w:val="zh-CN"/>
        </w:rPr>
      </w:pPr>
      <w:r>
        <w:rPr>
          <w:rFonts w:eastAsia="仿宋_GB2312"/>
          <w:sz w:val="32"/>
          <w:szCs w:val="32"/>
          <w:lang w:val="zh-CN"/>
        </w:rPr>
        <w:t>9</w:t>
      </w:r>
      <w:r>
        <w:rPr>
          <w:rFonts w:eastAsia="仿宋_GB2312"/>
          <w:sz w:val="32"/>
          <w:szCs w:val="32"/>
        </w:rPr>
        <w:t>.</w:t>
      </w:r>
      <w:r>
        <w:rPr>
          <w:rFonts w:eastAsia="仿宋_GB2312"/>
          <w:sz w:val="32"/>
          <w:szCs w:val="32"/>
          <w:lang w:val="zh-CN"/>
        </w:rPr>
        <w:t>一般公共服务（类）</w:t>
      </w:r>
      <w:r>
        <w:rPr>
          <w:rFonts w:eastAsia="仿宋_GB2312"/>
          <w:sz w:val="32"/>
          <w:szCs w:val="32"/>
        </w:rPr>
        <w:t>政府办公厅（室）及相关机构事务</w:t>
      </w:r>
      <w:r>
        <w:rPr>
          <w:rFonts w:eastAsia="仿宋_GB2312"/>
          <w:sz w:val="32"/>
          <w:szCs w:val="32"/>
          <w:lang w:val="zh-CN"/>
        </w:rPr>
        <w:t>（款）</w:t>
      </w:r>
      <w:r>
        <w:rPr>
          <w:rFonts w:eastAsia="仿宋_GB2312"/>
          <w:sz w:val="32"/>
          <w:szCs w:val="32"/>
        </w:rPr>
        <w:t>行政运行</w:t>
      </w:r>
      <w:r>
        <w:rPr>
          <w:rFonts w:eastAsia="仿宋_GB2312"/>
          <w:sz w:val="32"/>
          <w:szCs w:val="32"/>
          <w:lang w:val="zh-CN"/>
        </w:rPr>
        <w:t>（项）：指反映行政单位（包括实行公务员管理的事业单位）的基本支出。</w:t>
      </w:r>
    </w:p>
    <w:p>
      <w:pPr>
        <w:snapToGrid w:val="0"/>
        <w:spacing w:after="0" w:line="560" w:lineRule="exact"/>
        <w:ind w:firstLine="640" w:firstLineChars="200"/>
        <w:rPr>
          <w:rFonts w:eastAsia="仿宋_GB2312"/>
          <w:sz w:val="32"/>
          <w:szCs w:val="32"/>
        </w:rPr>
      </w:pPr>
      <w:r>
        <w:rPr>
          <w:rFonts w:eastAsia="仿宋_GB2312"/>
          <w:sz w:val="32"/>
          <w:szCs w:val="32"/>
        </w:rPr>
        <w:t>10.</w:t>
      </w:r>
      <w:r>
        <w:rPr>
          <w:rFonts w:eastAsia="仿宋_GB2312"/>
          <w:sz w:val="32"/>
          <w:szCs w:val="32"/>
          <w:lang w:val="zh-CN"/>
        </w:rPr>
        <w:t>一般公共服务（类）</w:t>
      </w:r>
      <w:r>
        <w:rPr>
          <w:rFonts w:eastAsia="仿宋_GB2312"/>
          <w:sz w:val="32"/>
          <w:szCs w:val="32"/>
        </w:rPr>
        <w:t>政府办公厅（室）及相关机构事务</w:t>
      </w:r>
      <w:r>
        <w:rPr>
          <w:rFonts w:eastAsia="仿宋_GB2312"/>
          <w:sz w:val="32"/>
          <w:szCs w:val="32"/>
          <w:lang w:val="zh-CN"/>
        </w:rPr>
        <w:t>（款）</w:t>
      </w:r>
      <w:r>
        <w:rPr>
          <w:rFonts w:eastAsia="仿宋_GB2312"/>
          <w:sz w:val="32"/>
          <w:szCs w:val="32"/>
        </w:rPr>
        <w:t>一般行政管理事务</w:t>
      </w:r>
      <w:r>
        <w:rPr>
          <w:rFonts w:eastAsia="仿宋_GB2312"/>
          <w:sz w:val="32"/>
          <w:szCs w:val="32"/>
          <w:lang w:val="zh-CN"/>
        </w:rPr>
        <w:t>（项）：指反映行政单位（包括实行公务员管理的事业单位）</w:t>
      </w:r>
      <w:r>
        <w:rPr>
          <w:rFonts w:eastAsia="仿宋_GB2312"/>
          <w:sz w:val="32"/>
          <w:szCs w:val="32"/>
        </w:rPr>
        <w:t>未单独设置项级科目的其他项目支出。</w:t>
      </w:r>
    </w:p>
    <w:p>
      <w:pPr>
        <w:snapToGrid w:val="0"/>
        <w:spacing w:after="0" w:line="560" w:lineRule="exact"/>
        <w:ind w:firstLine="640" w:firstLineChars="200"/>
        <w:rPr>
          <w:rFonts w:eastAsia="仿宋_GB2312"/>
          <w:sz w:val="32"/>
          <w:szCs w:val="32"/>
        </w:rPr>
      </w:pPr>
      <w:r>
        <w:rPr>
          <w:rFonts w:eastAsia="仿宋_GB2312"/>
          <w:sz w:val="32"/>
          <w:szCs w:val="32"/>
        </w:rPr>
        <w:t>11.</w:t>
      </w:r>
      <w:r>
        <w:rPr>
          <w:rFonts w:eastAsia="仿宋_GB2312"/>
          <w:sz w:val="32"/>
          <w:szCs w:val="32"/>
          <w:lang w:val="zh-CN"/>
        </w:rPr>
        <w:t>一般公共服务（类）</w:t>
      </w:r>
      <w:r>
        <w:rPr>
          <w:rFonts w:eastAsia="仿宋_GB2312"/>
          <w:sz w:val="32"/>
          <w:szCs w:val="32"/>
        </w:rPr>
        <w:t>政府办公厅（室）及相关机构事务</w:t>
      </w:r>
      <w:r>
        <w:rPr>
          <w:rFonts w:eastAsia="仿宋_GB2312"/>
          <w:sz w:val="32"/>
          <w:szCs w:val="32"/>
          <w:lang w:val="zh-CN"/>
        </w:rPr>
        <w:t>（款）</w:t>
      </w:r>
      <w:r>
        <w:rPr>
          <w:rFonts w:eastAsia="仿宋_GB2312"/>
          <w:sz w:val="32"/>
          <w:szCs w:val="32"/>
        </w:rPr>
        <w:t>事业运行</w:t>
      </w:r>
      <w:r>
        <w:rPr>
          <w:rFonts w:eastAsia="仿宋_GB2312"/>
          <w:sz w:val="32"/>
          <w:szCs w:val="32"/>
          <w:lang w:val="zh-CN"/>
        </w:rPr>
        <w:t>（项）：</w:t>
      </w:r>
      <w:r>
        <w:rPr>
          <w:rFonts w:eastAsia="仿宋_GB2312"/>
          <w:sz w:val="32"/>
          <w:szCs w:val="32"/>
        </w:rPr>
        <w:t>指反映事业单位的基本支出，不包括</w:t>
      </w:r>
      <w:r>
        <w:rPr>
          <w:rFonts w:eastAsia="仿宋_GB2312"/>
          <w:sz w:val="32"/>
          <w:szCs w:val="32"/>
          <w:lang w:val="zh-CN"/>
        </w:rPr>
        <w:t>行政单位（包括实行公务员管理的事业单位）</w:t>
      </w:r>
      <w:r>
        <w:rPr>
          <w:rFonts w:eastAsia="仿宋_GB2312"/>
          <w:sz w:val="32"/>
          <w:szCs w:val="32"/>
        </w:rPr>
        <w:t>后勤服务中心、医务室等附属事业单位。</w:t>
      </w:r>
    </w:p>
    <w:p>
      <w:pPr>
        <w:snapToGrid w:val="0"/>
        <w:spacing w:after="0" w:line="560" w:lineRule="exact"/>
        <w:ind w:firstLine="640" w:firstLineChars="200"/>
        <w:rPr>
          <w:rFonts w:eastAsia="仿宋_GB2312"/>
          <w:sz w:val="32"/>
          <w:szCs w:val="32"/>
        </w:rPr>
      </w:pPr>
      <w:r>
        <w:rPr>
          <w:rFonts w:eastAsia="仿宋_GB2312"/>
          <w:sz w:val="32"/>
          <w:szCs w:val="32"/>
        </w:rPr>
        <w:t>12.</w:t>
      </w:r>
      <w:r>
        <w:rPr>
          <w:rFonts w:eastAsia="仿宋_GB2312"/>
          <w:sz w:val="32"/>
          <w:szCs w:val="32"/>
          <w:lang w:val="zh-CN"/>
        </w:rPr>
        <w:t>一般公共服务（类）</w:t>
      </w:r>
      <w:r>
        <w:rPr>
          <w:rFonts w:eastAsia="仿宋_GB2312"/>
          <w:sz w:val="32"/>
          <w:szCs w:val="32"/>
        </w:rPr>
        <w:t>政府办公厅（室）及相关机构事务</w:t>
      </w:r>
      <w:r>
        <w:rPr>
          <w:rFonts w:eastAsia="仿宋_GB2312"/>
          <w:sz w:val="32"/>
          <w:szCs w:val="32"/>
          <w:lang w:val="zh-CN"/>
        </w:rPr>
        <w:t>（款）</w:t>
      </w:r>
      <w:r>
        <w:rPr>
          <w:rFonts w:eastAsia="仿宋_GB2312"/>
          <w:sz w:val="32"/>
          <w:szCs w:val="32"/>
        </w:rPr>
        <w:t>其他政府办公厅（室）及相关机构事务支出</w:t>
      </w:r>
      <w:r>
        <w:rPr>
          <w:rFonts w:eastAsia="仿宋_GB2312"/>
          <w:sz w:val="32"/>
          <w:szCs w:val="32"/>
          <w:lang w:val="zh-CN"/>
        </w:rPr>
        <w:t>（项）：</w:t>
      </w:r>
      <w:r>
        <w:rPr>
          <w:rFonts w:eastAsia="仿宋_GB2312"/>
          <w:sz w:val="32"/>
          <w:szCs w:val="32"/>
        </w:rPr>
        <w:t>指反映除上述项目以外的其他政府办公厅（室）及相关机构事务支出。</w:t>
      </w:r>
    </w:p>
    <w:p>
      <w:pPr>
        <w:snapToGrid w:val="0"/>
        <w:spacing w:after="0" w:line="560" w:lineRule="exact"/>
        <w:ind w:firstLine="640" w:firstLineChars="200"/>
        <w:rPr>
          <w:rFonts w:eastAsia="仿宋_GB2312"/>
          <w:sz w:val="32"/>
          <w:szCs w:val="32"/>
          <w:lang w:val="zh-CN"/>
        </w:rPr>
      </w:pPr>
      <w:r>
        <w:rPr>
          <w:rFonts w:eastAsia="仿宋_GB2312"/>
          <w:sz w:val="32"/>
          <w:szCs w:val="32"/>
        </w:rPr>
        <w:t>13.</w:t>
      </w:r>
      <w:r>
        <w:rPr>
          <w:rFonts w:eastAsia="仿宋_GB2312"/>
          <w:sz w:val="32"/>
          <w:szCs w:val="32"/>
          <w:lang w:val="zh-CN"/>
        </w:rPr>
        <w:t>社会保障和就业支出（类）行政事业单位</w:t>
      </w:r>
      <w:r>
        <w:rPr>
          <w:rFonts w:eastAsia="仿宋_GB2312"/>
          <w:sz w:val="32"/>
          <w:szCs w:val="32"/>
        </w:rPr>
        <w:t>养老支出</w:t>
      </w:r>
      <w:r>
        <w:rPr>
          <w:rFonts w:eastAsia="仿宋_GB2312"/>
          <w:sz w:val="32"/>
          <w:szCs w:val="32"/>
          <w:lang w:val="zh-CN"/>
        </w:rPr>
        <w:t>（款）行政单位离退休（项）：</w:t>
      </w:r>
      <w:r>
        <w:rPr>
          <w:rFonts w:eastAsia="仿宋_GB2312"/>
          <w:sz w:val="32"/>
          <w:szCs w:val="32"/>
        </w:rPr>
        <w:t>指</w:t>
      </w:r>
      <w:r>
        <w:rPr>
          <w:rFonts w:eastAsia="仿宋_GB2312"/>
          <w:sz w:val="32"/>
          <w:szCs w:val="32"/>
          <w:lang w:val="zh-CN"/>
        </w:rPr>
        <w:t>反映行政单位（包括实行公务员管理的事业单位）开支的离退休</w:t>
      </w:r>
      <w:r>
        <w:rPr>
          <w:rFonts w:eastAsia="仿宋_GB2312"/>
          <w:sz w:val="32"/>
          <w:szCs w:val="32"/>
        </w:rPr>
        <w:t>经费</w:t>
      </w:r>
      <w:r>
        <w:rPr>
          <w:rFonts w:eastAsia="仿宋_GB2312"/>
          <w:sz w:val="32"/>
          <w:szCs w:val="32"/>
          <w:lang w:val="zh-CN"/>
        </w:rPr>
        <w:t>。</w:t>
      </w:r>
    </w:p>
    <w:p>
      <w:pPr>
        <w:snapToGrid w:val="0"/>
        <w:spacing w:after="0" w:line="560" w:lineRule="exact"/>
        <w:ind w:firstLine="640" w:firstLineChars="200"/>
        <w:rPr>
          <w:rFonts w:eastAsia="仿宋_GB2312"/>
          <w:sz w:val="32"/>
          <w:szCs w:val="32"/>
          <w:lang w:val="zh-CN"/>
        </w:rPr>
      </w:pPr>
      <w:r>
        <w:rPr>
          <w:rFonts w:eastAsia="仿宋_GB2312"/>
          <w:sz w:val="32"/>
          <w:szCs w:val="32"/>
        </w:rPr>
        <w:t>14.</w:t>
      </w:r>
      <w:r>
        <w:rPr>
          <w:rFonts w:eastAsia="仿宋_GB2312"/>
          <w:sz w:val="32"/>
          <w:szCs w:val="32"/>
          <w:lang w:val="zh-CN"/>
        </w:rPr>
        <w:t>社会保障和就业支出（类）行政事业单位</w:t>
      </w:r>
      <w:r>
        <w:rPr>
          <w:rFonts w:eastAsia="仿宋_GB2312"/>
          <w:sz w:val="32"/>
          <w:szCs w:val="32"/>
        </w:rPr>
        <w:t>养老支出</w:t>
      </w:r>
      <w:r>
        <w:rPr>
          <w:rFonts w:eastAsia="仿宋_GB2312"/>
          <w:sz w:val="32"/>
          <w:szCs w:val="32"/>
          <w:lang w:val="zh-CN"/>
        </w:rPr>
        <w:t>（款）</w:t>
      </w:r>
      <w:r>
        <w:rPr>
          <w:rFonts w:eastAsia="仿宋_GB2312"/>
          <w:sz w:val="32"/>
          <w:szCs w:val="32"/>
        </w:rPr>
        <w:t>事业</w:t>
      </w:r>
      <w:r>
        <w:rPr>
          <w:rFonts w:eastAsia="仿宋_GB2312"/>
          <w:sz w:val="32"/>
          <w:szCs w:val="32"/>
          <w:lang w:val="zh-CN"/>
        </w:rPr>
        <w:t>单位离退休（项）：</w:t>
      </w:r>
      <w:r>
        <w:rPr>
          <w:rFonts w:eastAsia="仿宋_GB2312"/>
          <w:sz w:val="32"/>
          <w:szCs w:val="32"/>
        </w:rPr>
        <w:t>指</w:t>
      </w:r>
      <w:r>
        <w:rPr>
          <w:rFonts w:eastAsia="仿宋_GB2312"/>
          <w:sz w:val="32"/>
          <w:szCs w:val="32"/>
          <w:lang w:val="zh-CN"/>
        </w:rPr>
        <w:t>反映</w:t>
      </w:r>
      <w:r>
        <w:rPr>
          <w:rFonts w:eastAsia="仿宋_GB2312"/>
          <w:sz w:val="32"/>
          <w:szCs w:val="32"/>
        </w:rPr>
        <w:t>事业单位</w:t>
      </w:r>
      <w:r>
        <w:rPr>
          <w:rFonts w:eastAsia="仿宋_GB2312"/>
          <w:sz w:val="32"/>
          <w:szCs w:val="32"/>
          <w:lang w:val="zh-CN"/>
        </w:rPr>
        <w:t>开支的离退休</w:t>
      </w:r>
      <w:r>
        <w:rPr>
          <w:rFonts w:eastAsia="仿宋_GB2312"/>
          <w:sz w:val="32"/>
          <w:szCs w:val="32"/>
        </w:rPr>
        <w:t>经费</w:t>
      </w:r>
      <w:r>
        <w:rPr>
          <w:rFonts w:eastAsia="仿宋_GB2312"/>
          <w:sz w:val="32"/>
          <w:szCs w:val="32"/>
          <w:lang w:val="zh-CN"/>
        </w:rPr>
        <w:t>。</w:t>
      </w:r>
    </w:p>
    <w:p>
      <w:pPr>
        <w:snapToGrid w:val="0"/>
        <w:spacing w:after="0" w:line="560" w:lineRule="exact"/>
        <w:ind w:firstLine="640" w:firstLineChars="200"/>
        <w:rPr>
          <w:rFonts w:eastAsia="仿宋_GB2312"/>
          <w:sz w:val="32"/>
          <w:szCs w:val="32"/>
          <w:lang w:val="zh-CN"/>
        </w:rPr>
      </w:pPr>
      <w:r>
        <w:rPr>
          <w:rFonts w:eastAsia="仿宋_GB2312"/>
          <w:sz w:val="32"/>
          <w:szCs w:val="32"/>
        </w:rPr>
        <w:t>15.</w:t>
      </w:r>
      <w:r>
        <w:rPr>
          <w:rFonts w:eastAsia="仿宋_GB2312"/>
          <w:sz w:val="32"/>
          <w:szCs w:val="32"/>
          <w:lang w:val="zh-CN"/>
        </w:rPr>
        <w:t>社会保障和就业支出（类）行政事业单位</w:t>
      </w:r>
      <w:r>
        <w:rPr>
          <w:rFonts w:eastAsia="仿宋_GB2312"/>
          <w:sz w:val="32"/>
          <w:szCs w:val="32"/>
        </w:rPr>
        <w:t>养老支出</w:t>
      </w:r>
      <w:r>
        <w:rPr>
          <w:rFonts w:eastAsia="仿宋_GB2312"/>
          <w:sz w:val="32"/>
          <w:szCs w:val="32"/>
          <w:lang w:val="zh-CN"/>
        </w:rPr>
        <w:t>（款）</w:t>
      </w:r>
      <w:r>
        <w:rPr>
          <w:rFonts w:eastAsia="仿宋_GB2312"/>
          <w:sz w:val="32"/>
          <w:szCs w:val="32"/>
        </w:rPr>
        <w:t>机关事业单位基本养老保险缴费支出</w:t>
      </w:r>
      <w:r>
        <w:rPr>
          <w:rFonts w:eastAsia="仿宋_GB2312"/>
          <w:sz w:val="32"/>
          <w:szCs w:val="32"/>
          <w:lang w:val="zh-CN"/>
        </w:rPr>
        <w:t>（项）：</w:t>
      </w:r>
      <w:r>
        <w:rPr>
          <w:rFonts w:eastAsia="仿宋_GB2312"/>
          <w:sz w:val="32"/>
          <w:szCs w:val="32"/>
        </w:rPr>
        <w:t>指</w:t>
      </w:r>
      <w:r>
        <w:rPr>
          <w:rFonts w:eastAsia="仿宋_GB2312"/>
          <w:sz w:val="32"/>
          <w:szCs w:val="32"/>
          <w:lang w:val="zh-CN"/>
        </w:rPr>
        <w:t>反映</w:t>
      </w:r>
      <w:r>
        <w:rPr>
          <w:rFonts w:eastAsia="仿宋_GB2312"/>
          <w:sz w:val="32"/>
          <w:szCs w:val="32"/>
        </w:rPr>
        <w:t>机关事业单位实施养老保险制度由单位缴纳的基本养老保险费支出</w:t>
      </w:r>
      <w:r>
        <w:rPr>
          <w:rFonts w:eastAsia="仿宋_GB2312"/>
          <w:sz w:val="32"/>
          <w:szCs w:val="32"/>
          <w:lang w:val="zh-CN"/>
        </w:rPr>
        <w:t>。</w:t>
      </w:r>
    </w:p>
    <w:p>
      <w:pPr>
        <w:snapToGrid w:val="0"/>
        <w:spacing w:after="0" w:line="560" w:lineRule="exact"/>
        <w:ind w:firstLine="640" w:firstLineChars="200"/>
        <w:rPr>
          <w:rFonts w:eastAsia="仿宋_GB2312"/>
          <w:sz w:val="32"/>
          <w:szCs w:val="32"/>
          <w:lang w:val="zh-CN"/>
        </w:rPr>
      </w:pPr>
      <w:r>
        <w:rPr>
          <w:rFonts w:eastAsia="仿宋_GB2312"/>
          <w:sz w:val="32"/>
          <w:szCs w:val="32"/>
        </w:rPr>
        <w:t>16.</w:t>
      </w:r>
      <w:r>
        <w:rPr>
          <w:rFonts w:eastAsia="仿宋_GB2312"/>
          <w:sz w:val="32"/>
          <w:szCs w:val="32"/>
          <w:lang w:val="zh-CN"/>
        </w:rPr>
        <w:t>社会保障和就业支出（类）行政事业单位</w:t>
      </w:r>
      <w:r>
        <w:rPr>
          <w:rFonts w:eastAsia="仿宋_GB2312"/>
          <w:sz w:val="32"/>
          <w:szCs w:val="32"/>
        </w:rPr>
        <w:t>养老支出</w:t>
      </w:r>
      <w:r>
        <w:rPr>
          <w:rFonts w:eastAsia="仿宋_GB2312"/>
          <w:sz w:val="32"/>
          <w:szCs w:val="32"/>
          <w:lang w:val="zh-CN"/>
        </w:rPr>
        <w:t>（款）</w:t>
      </w:r>
      <w:r>
        <w:rPr>
          <w:rFonts w:eastAsia="仿宋_GB2312"/>
          <w:sz w:val="32"/>
          <w:szCs w:val="32"/>
        </w:rPr>
        <w:t>机关事业单位职业年金缴费支出</w:t>
      </w:r>
      <w:r>
        <w:rPr>
          <w:rFonts w:eastAsia="仿宋_GB2312"/>
          <w:sz w:val="32"/>
          <w:szCs w:val="32"/>
          <w:lang w:val="zh-CN"/>
        </w:rPr>
        <w:t>（项）：</w:t>
      </w:r>
      <w:r>
        <w:rPr>
          <w:rFonts w:eastAsia="仿宋_GB2312"/>
          <w:sz w:val="32"/>
          <w:szCs w:val="32"/>
        </w:rPr>
        <w:t>指</w:t>
      </w:r>
      <w:r>
        <w:rPr>
          <w:rFonts w:eastAsia="仿宋_GB2312"/>
          <w:sz w:val="32"/>
          <w:szCs w:val="32"/>
          <w:lang w:val="zh-CN"/>
        </w:rPr>
        <w:t>反映</w:t>
      </w:r>
      <w:r>
        <w:rPr>
          <w:rFonts w:eastAsia="仿宋_GB2312"/>
          <w:sz w:val="32"/>
          <w:szCs w:val="32"/>
        </w:rPr>
        <w:t>机关事业单位实施养老保险制度由单位实际缴纳的职业年金支出</w:t>
      </w:r>
      <w:r>
        <w:rPr>
          <w:rFonts w:eastAsia="仿宋_GB2312"/>
          <w:sz w:val="32"/>
          <w:szCs w:val="32"/>
          <w:lang w:val="zh-CN"/>
        </w:rPr>
        <w:t>。</w:t>
      </w:r>
    </w:p>
    <w:p>
      <w:pPr>
        <w:snapToGrid w:val="0"/>
        <w:spacing w:after="0" w:line="560" w:lineRule="exact"/>
        <w:ind w:firstLine="640" w:firstLineChars="200"/>
        <w:rPr>
          <w:rFonts w:eastAsia="仿宋_GB2312"/>
          <w:sz w:val="32"/>
          <w:szCs w:val="32"/>
          <w:lang w:val="zh-CN"/>
        </w:rPr>
      </w:pPr>
      <w:r>
        <w:rPr>
          <w:rFonts w:eastAsia="仿宋_GB2312"/>
          <w:sz w:val="32"/>
          <w:szCs w:val="32"/>
        </w:rPr>
        <w:t>17.</w:t>
      </w:r>
      <w:r>
        <w:rPr>
          <w:rFonts w:eastAsia="仿宋_GB2312"/>
          <w:sz w:val="32"/>
          <w:szCs w:val="32"/>
          <w:lang w:val="zh-CN"/>
        </w:rPr>
        <w:t>社会保障和就业支出（类）抚恤（款）</w:t>
      </w:r>
      <w:r>
        <w:rPr>
          <w:rFonts w:eastAsia="仿宋_GB2312"/>
          <w:sz w:val="32"/>
          <w:szCs w:val="32"/>
        </w:rPr>
        <w:t>伤残</w:t>
      </w:r>
      <w:r>
        <w:rPr>
          <w:rFonts w:eastAsia="仿宋_GB2312"/>
          <w:sz w:val="32"/>
          <w:szCs w:val="32"/>
          <w:lang w:val="zh-CN"/>
        </w:rPr>
        <w:t>抚恤（项）：</w:t>
      </w:r>
      <w:r>
        <w:rPr>
          <w:rFonts w:eastAsia="仿宋_GB2312"/>
          <w:sz w:val="32"/>
          <w:szCs w:val="32"/>
        </w:rPr>
        <w:t>指</w:t>
      </w:r>
      <w:r>
        <w:rPr>
          <w:rFonts w:eastAsia="仿宋_GB2312"/>
          <w:sz w:val="32"/>
          <w:szCs w:val="32"/>
          <w:lang w:val="zh-CN"/>
        </w:rPr>
        <w:t>反映按规定用于</w:t>
      </w:r>
      <w:r>
        <w:rPr>
          <w:rFonts w:eastAsia="仿宋_GB2312"/>
          <w:sz w:val="32"/>
          <w:szCs w:val="32"/>
        </w:rPr>
        <w:t>伤残人员的抚恤金和按规定开支的各种伤残补助费</w:t>
      </w:r>
      <w:r>
        <w:rPr>
          <w:rFonts w:eastAsia="仿宋_GB2312"/>
          <w:sz w:val="32"/>
          <w:szCs w:val="32"/>
          <w:lang w:val="zh-CN"/>
        </w:rPr>
        <w:t>。</w:t>
      </w:r>
    </w:p>
    <w:p>
      <w:pPr>
        <w:snapToGrid w:val="0"/>
        <w:spacing w:after="0" w:line="560" w:lineRule="exact"/>
        <w:ind w:firstLine="640" w:firstLineChars="200"/>
        <w:rPr>
          <w:rFonts w:eastAsia="仿宋_GB2312"/>
          <w:sz w:val="32"/>
          <w:szCs w:val="32"/>
        </w:rPr>
      </w:pPr>
      <w:r>
        <w:rPr>
          <w:rFonts w:eastAsia="仿宋_GB2312"/>
          <w:sz w:val="32"/>
          <w:szCs w:val="32"/>
        </w:rPr>
        <w:t>18.卫生健康支出</w:t>
      </w:r>
      <w:r>
        <w:rPr>
          <w:rFonts w:eastAsia="仿宋_GB2312"/>
          <w:sz w:val="32"/>
          <w:szCs w:val="32"/>
          <w:lang w:val="zh-CN"/>
        </w:rPr>
        <w:t>（类）</w:t>
      </w:r>
      <w:r>
        <w:rPr>
          <w:rFonts w:eastAsia="仿宋_GB2312"/>
          <w:sz w:val="32"/>
          <w:szCs w:val="32"/>
        </w:rPr>
        <w:t>行政事业单位医疗</w:t>
      </w:r>
      <w:r>
        <w:rPr>
          <w:rFonts w:eastAsia="仿宋_GB2312"/>
          <w:sz w:val="32"/>
          <w:szCs w:val="32"/>
          <w:lang w:val="zh-CN"/>
        </w:rPr>
        <w:t>（款）</w:t>
      </w:r>
      <w:r>
        <w:rPr>
          <w:rFonts w:eastAsia="仿宋_GB2312"/>
          <w:sz w:val="32"/>
          <w:szCs w:val="32"/>
        </w:rPr>
        <w:t>行政单位医疗</w:t>
      </w:r>
      <w:r>
        <w:rPr>
          <w:rFonts w:eastAsia="仿宋_GB2312"/>
          <w:sz w:val="32"/>
          <w:szCs w:val="32"/>
          <w:lang w:val="zh-CN"/>
        </w:rPr>
        <w:t>（项）：</w:t>
      </w:r>
      <w:r>
        <w:rPr>
          <w:rFonts w:eastAsia="仿宋_GB2312"/>
          <w:sz w:val="32"/>
          <w:szCs w:val="32"/>
        </w:rPr>
        <w:t>指反映财政部门安排的</w:t>
      </w:r>
      <w:r>
        <w:rPr>
          <w:rFonts w:eastAsia="仿宋_GB2312"/>
          <w:sz w:val="32"/>
          <w:szCs w:val="32"/>
          <w:lang w:val="zh-CN"/>
        </w:rPr>
        <w:t>行政单位（包括实行公务员管理的事业单位，</w:t>
      </w:r>
      <w:r>
        <w:rPr>
          <w:rFonts w:eastAsia="仿宋_GB2312"/>
          <w:sz w:val="32"/>
          <w:szCs w:val="32"/>
        </w:rPr>
        <w:t>下同</w:t>
      </w:r>
      <w:r>
        <w:rPr>
          <w:rFonts w:eastAsia="仿宋_GB2312"/>
          <w:sz w:val="32"/>
          <w:szCs w:val="32"/>
          <w:lang w:val="zh-CN"/>
        </w:rPr>
        <w:t>）</w:t>
      </w:r>
      <w:r>
        <w:rPr>
          <w:rFonts w:eastAsia="仿宋_GB2312"/>
          <w:sz w:val="32"/>
          <w:szCs w:val="32"/>
        </w:rPr>
        <w:t>基本医疗保险缴费经费，未参加医疗保险的行政单位的公费医疗经费，按国家规定享受离休人员、红军老战士待遇人员的医疗经费。</w:t>
      </w:r>
    </w:p>
    <w:p>
      <w:pPr>
        <w:snapToGrid w:val="0"/>
        <w:spacing w:after="0" w:line="560" w:lineRule="exact"/>
        <w:ind w:firstLine="640" w:firstLineChars="200"/>
        <w:rPr>
          <w:rFonts w:eastAsia="仿宋_GB2312"/>
          <w:sz w:val="32"/>
          <w:szCs w:val="32"/>
        </w:rPr>
      </w:pPr>
      <w:r>
        <w:rPr>
          <w:rFonts w:eastAsia="仿宋_GB2312"/>
          <w:sz w:val="32"/>
          <w:szCs w:val="32"/>
        </w:rPr>
        <w:t>19.卫生健康支出</w:t>
      </w:r>
      <w:r>
        <w:rPr>
          <w:rFonts w:eastAsia="仿宋_GB2312"/>
          <w:sz w:val="32"/>
          <w:szCs w:val="32"/>
          <w:lang w:val="zh-CN"/>
        </w:rPr>
        <w:t>（类）</w:t>
      </w:r>
      <w:r>
        <w:rPr>
          <w:rFonts w:eastAsia="仿宋_GB2312"/>
          <w:sz w:val="32"/>
          <w:szCs w:val="32"/>
        </w:rPr>
        <w:t>行政事业单位医疗</w:t>
      </w:r>
      <w:r>
        <w:rPr>
          <w:rFonts w:eastAsia="仿宋_GB2312"/>
          <w:sz w:val="32"/>
          <w:szCs w:val="32"/>
          <w:lang w:val="zh-CN"/>
        </w:rPr>
        <w:t>（款）</w:t>
      </w:r>
      <w:r>
        <w:rPr>
          <w:rFonts w:eastAsia="仿宋_GB2312"/>
          <w:sz w:val="32"/>
          <w:szCs w:val="32"/>
        </w:rPr>
        <w:t>事业单位医疗</w:t>
      </w:r>
      <w:r>
        <w:rPr>
          <w:rFonts w:eastAsia="仿宋_GB2312"/>
          <w:sz w:val="32"/>
          <w:szCs w:val="32"/>
          <w:lang w:val="zh-CN"/>
        </w:rPr>
        <w:t>（项）：</w:t>
      </w:r>
      <w:r>
        <w:rPr>
          <w:rFonts w:eastAsia="仿宋_GB2312"/>
          <w:sz w:val="32"/>
          <w:szCs w:val="32"/>
        </w:rPr>
        <w:t>指反映财政部门安排的事业单位基本医疗保险缴费经费，未参加医疗保险的事业单位的公费医疗经费，按国家规定享受离休人员待遇的医疗经费。</w:t>
      </w:r>
    </w:p>
    <w:p>
      <w:pPr>
        <w:snapToGrid w:val="0"/>
        <w:spacing w:after="0" w:line="560" w:lineRule="exact"/>
        <w:ind w:firstLine="640" w:firstLineChars="200"/>
        <w:rPr>
          <w:rFonts w:eastAsia="仿宋_GB2312"/>
          <w:sz w:val="32"/>
          <w:szCs w:val="32"/>
        </w:rPr>
      </w:pPr>
      <w:r>
        <w:rPr>
          <w:rFonts w:eastAsia="仿宋_GB2312"/>
          <w:sz w:val="32"/>
          <w:szCs w:val="32"/>
        </w:rPr>
        <w:t>20.卫生健康支出</w:t>
      </w:r>
      <w:r>
        <w:rPr>
          <w:rFonts w:eastAsia="仿宋_GB2312"/>
          <w:sz w:val="32"/>
          <w:szCs w:val="32"/>
          <w:lang w:val="zh-CN"/>
        </w:rPr>
        <w:t>（类）</w:t>
      </w:r>
      <w:r>
        <w:rPr>
          <w:rFonts w:eastAsia="仿宋_GB2312"/>
          <w:sz w:val="32"/>
          <w:szCs w:val="32"/>
        </w:rPr>
        <w:t>行政事业单位医疗</w:t>
      </w:r>
      <w:r>
        <w:rPr>
          <w:rFonts w:eastAsia="仿宋_GB2312"/>
          <w:sz w:val="32"/>
          <w:szCs w:val="32"/>
          <w:lang w:val="zh-CN"/>
        </w:rPr>
        <w:t>（款）</w:t>
      </w:r>
      <w:r>
        <w:rPr>
          <w:rFonts w:eastAsia="仿宋_GB2312"/>
          <w:sz w:val="32"/>
          <w:szCs w:val="32"/>
        </w:rPr>
        <w:t>公务员医疗补助</w:t>
      </w:r>
      <w:r>
        <w:rPr>
          <w:rFonts w:eastAsia="仿宋_GB2312"/>
          <w:sz w:val="32"/>
          <w:szCs w:val="32"/>
          <w:lang w:val="zh-CN"/>
        </w:rPr>
        <w:t>（项）：</w:t>
      </w:r>
      <w:r>
        <w:rPr>
          <w:rFonts w:eastAsia="仿宋_GB2312"/>
          <w:sz w:val="32"/>
          <w:szCs w:val="32"/>
        </w:rPr>
        <w:t>指反映财政部门安排的公务员医疗补助经费。</w:t>
      </w:r>
    </w:p>
    <w:p>
      <w:pPr>
        <w:snapToGrid w:val="0"/>
        <w:spacing w:after="0" w:line="560" w:lineRule="exact"/>
        <w:ind w:firstLine="640" w:firstLineChars="200"/>
        <w:rPr>
          <w:rFonts w:eastAsia="仿宋_GB2312"/>
          <w:sz w:val="32"/>
          <w:szCs w:val="32"/>
        </w:rPr>
      </w:pPr>
      <w:r>
        <w:rPr>
          <w:rFonts w:eastAsia="仿宋_GB2312"/>
          <w:sz w:val="32"/>
          <w:szCs w:val="32"/>
        </w:rPr>
        <w:t>21.卫生健康支出</w:t>
      </w:r>
      <w:r>
        <w:rPr>
          <w:rFonts w:eastAsia="仿宋_GB2312"/>
          <w:sz w:val="32"/>
          <w:szCs w:val="32"/>
          <w:lang w:val="zh-CN"/>
        </w:rPr>
        <w:t>（类）</w:t>
      </w:r>
      <w:r>
        <w:rPr>
          <w:rFonts w:eastAsia="仿宋_GB2312"/>
          <w:sz w:val="32"/>
          <w:szCs w:val="32"/>
        </w:rPr>
        <w:t>行政事业单位医疗</w:t>
      </w:r>
      <w:r>
        <w:rPr>
          <w:rFonts w:eastAsia="仿宋_GB2312"/>
          <w:sz w:val="32"/>
          <w:szCs w:val="32"/>
          <w:lang w:val="zh-CN"/>
        </w:rPr>
        <w:t>（款）</w:t>
      </w:r>
      <w:r>
        <w:rPr>
          <w:rFonts w:eastAsia="仿宋_GB2312"/>
          <w:sz w:val="32"/>
          <w:szCs w:val="32"/>
        </w:rPr>
        <w:t>其他行政事业单位医疗支出</w:t>
      </w:r>
      <w:r>
        <w:rPr>
          <w:rFonts w:eastAsia="仿宋_GB2312"/>
          <w:sz w:val="32"/>
          <w:szCs w:val="32"/>
          <w:lang w:val="zh-CN"/>
        </w:rPr>
        <w:t>（项）：</w:t>
      </w:r>
      <w:r>
        <w:rPr>
          <w:rFonts w:eastAsia="仿宋_GB2312"/>
          <w:sz w:val="32"/>
          <w:szCs w:val="32"/>
        </w:rPr>
        <w:t>指反映除上述项目以外的其他用于行政事业单位医疗方面的支出。</w:t>
      </w:r>
    </w:p>
    <w:p>
      <w:pPr>
        <w:snapToGrid w:val="0"/>
        <w:spacing w:after="0" w:line="560" w:lineRule="exact"/>
        <w:ind w:firstLine="640" w:firstLineChars="200"/>
        <w:rPr>
          <w:rFonts w:eastAsia="仿宋_GB2312"/>
          <w:sz w:val="32"/>
          <w:szCs w:val="32"/>
          <w:lang w:val="zh-CN"/>
        </w:rPr>
      </w:pPr>
      <w:r>
        <w:rPr>
          <w:rFonts w:eastAsia="仿宋_GB2312"/>
          <w:sz w:val="32"/>
          <w:szCs w:val="32"/>
        </w:rPr>
        <w:t>22.</w:t>
      </w:r>
      <w:r>
        <w:rPr>
          <w:rFonts w:eastAsia="仿宋_GB2312"/>
          <w:sz w:val="32"/>
          <w:szCs w:val="32"/>
          <w:lang w:val="zh-CN"/>
        </w:rPr>
        <w:t>住房保障支出（类）住房改革支出（款）住房公积金（项）：反映行政事业单位按人力资源和社会保障部、财政部规定的基本工资和津贴补贴以及规定比例为职工缴纳的住房公积金。</w:t>
      </w:r>
    </w:p>
    <w:p>
      <w:pPr>
        <w:snapToGrid w:val="0"/>
        <w:spacing w:after="0" w:line="560" w:lineRule="exact"/>
        <w:ind w:firstLine="640" w:firstLineChars="200"/>
        <w:rPr>
          <w:rFonts w:eastAsia="仿宋_GB2312"/>
          <w:sz w:val="32"/>
          <w:szCs w:val="32"/>
        </w:rPr>
      </w:pPr>
      <w:r>
        <w:rPr>
          <w:rFonts w:eastAsia="仿宋_GB2312"/>
          <w:sz w:val="32"/>
          <w:szCs w:val="32"/>
        </w:rPr>
        <w:t>23.国防支出（类）其他国防支出（款）其他国防支出（项）：反映其他用于国防方面的支出。</w:t>
      </w:r>
    </w:p>
    <w:p>
      <w:pPr>
        <w:snapToGrid w:val="0"/>
        <w:spacing w:after="0" w:line="560" w:lineRule="exact"/>
        <w:ind w:firstLine="640" w:firstLineChars="200"/>
        <w:rPr>
          <w:rFonts w:eastAsia="仿宋_GB2312"/>
          <w:sz w:val="32"/>
          <w:szCs w:val="32"/>
          <w:lang w:val="zh-CN"/>
        </w:rPr>
      </w:pPr>
      <w:r>
        <w:rPr>
          <w:rFonts w:eastAsia="仿宋_GB2312"/>
          <w:sz w:val="32"/>
          <w:szCs w:val="32"/>
        </w:rPr>
        <w:t>24.</w:t>
      </w:r>
      <w:r>
        <w:rPr>
          <w:rFonts w:eastAsia="仿宋_GB2312"/>
          <w:sz w:val="32"/>
          <w:szCs w:val="32"/>
          <w:lang w:val="zh-CN"/>
        </w:rPr>
        <w:t>基本支出：指为保障机构正常运转、完成日常工作任务而发生的人员支出和公用支出。</w:t>
      </w:r>
    </w:p>
    <w:p>
      <w:pPr>
        <w:snapToGrid w:val="0"/>
        <w:spacing w:after="0" w:line="560" w:lineRule="exact"/>
        <w:ind w:firstLine="640" w:firstLineChars="200"/>
        <w:rPr>
          <w:rFonts w:eastAsia="仿宋_GB2312"/>
          <w:sz w:val="32"/>
          <w:szCs w:val="32"/>
          <w:lang w:val="zh-CN"/>
        </w:rPr>
      </w:pPr>
      <w:r>
        <w:rPr>
          <w:rFonts w:eastAsia="仿宋_GB2312"/>
          <w:sz w:val="32"/>
          <w:szCs w:val="32"/>
        </w:rPr>
        <w:t>25.</w:t>
      </w:r>
      <w:r>
        <w:rPr>
          <w:rFonts w:eastAsia="仿宋_GB2312"/>
          <w:sz w:val="32"/>
          <w:szCs w:val="32"/>
          <w:lang w:val="zh-CN"/>
        </w:rPr>
        <w:t>项目支出：指在基本支出之外为完成特定行政任务和事业发展目标所发生的支出。</w:t>
      </w:r>
    </w:p>
    <w:p>
      <w:pPr>
        <w:snapToGrid w:val="0"/>
        <w:spacing w:after="0" w:line="560" w:lineRule="exact"/>
        <w:ind w:firstLine="640" w:firstLineChars="200"/>
        <w:rPr>
          <w:rFonts w:eastAsia="仿宋_GB2312"/>
          <w:sz w:val="32"/>
          <w:szCs w:val="32"/>
          <w:lang w:val="zh-CN"/>
        </w:rPr>
      </w:pPr>
      <w:r>
        <w:rPr>
          <w:rFonts w:eastAsia="仿宋_GB2312"/>
          <w:sz w:val="32"/>
          <w:szCs w:val="32"/>
        </w:rPr>
        <w:t>26.</w:t>
      </w:r>
      <w:r>
        <w:rPr>
          <w:rFonts w:eastAsia="仿宋_GB2312"/>
          <w:sz w:val="32"/>
          <w:szCs w:val="32"/>
          <w:lang w:val="zh-CN"/>
        </w:rPr>
        <w:t>“三公”经费：指部门用财政拨款安排的因公出国（境）费、公务用车购置及运行费和公务接待费。其中，因公出国（境）费反映单位公务出国（境）的国际旅费、国外城市间交通费、住宿费、伙食费、培训费、公杂费等支出；公务用车</w:t>
      </w:r>
      <w:r>
        <w:rPr>
          <w:rFonts w:eastAsia="仿宋_GB2312"/>
          <w:sz w:val="32"/>
          <w:szCs w:val="32"/>
        </w:rPr>
        <w:t>运行维护</w:t>
      </w:r>
      <w:r>
        <w:rPr>
          <w:rFonts w:eastAsia="仿宋_GB2312"/>
          <w:sz w:val="32"/>
          <w:szCs w:val="32"/>
          <w:lang w:val="zh-CN"/>
        </w:rPr>
        <w:t>费反映单位</w:t>
      </w:r>
      <w:r>
        <w:rPr>
          <w:rFonts w:eastAsia="仿宋_GB2312"/>
          <w:sz w:val="32"/>
          <w:szCs w:val="32"/>
        </w:rPr>
        <w:t>按规定保留的</w:t>
      </w:r>
      <w:r>
        <w:rPr>
          <w:rFonts w:eastAsia="仿宋_GB2312"/>
          <w:sz w:val="32"/>
          <w:szCs w:val="32"/>
          <w:lang w:val="zh-CN"/>
        </w:rPr>
        <w:t>公务用车燃料费、维修费、过桥过路费、保险费、</w:t>
      </w:r>
      <w:r>
        <w:rPr>
          <w:rFonts w:eastAsia="仿宋_GB2312"/>
          <w:sz w:val="32"/>
          <w:szCs w:val="32"/>
        </w:rPr>
        <w:t>安全奖励费用</w:t>
      </w:r>
      <w:r>
        <w:rPr>
          <w:rFonts w:eastAsia="仿宋_GB2312"/>
          <w:sz w:val="32"/>
          <w:szCs w:val="32"/>
          <w:lang w:val="zh-CN"/>
        </w:rPr>
        <w:t>等支出；公务接待费反映单位按规定开支的各类公务接待（含外宾接待）支出。</w:t>
      </w:r>
    </w:p>
    <w:p>
      <w:pPr>
        <w:snapToGrid w:val="0"/>
        <w:spacing w:after="0" w:line="560" w:lineRule="exact"/>
        <w:ind w:firstLine="640" w:firstLineChars="200"/>
        <w:rPr>
          <w:rFonts w:eastAsia="仿宋"/>
          <w:b/>
          <w:sz w:val="32"/>
          <w:szCs w:val="32"/>
        </w:rPr>
      </w:pPr>
      <w:r>
        <w:rPr>
          <w:rFonts w:eastAsia="仿宋_GB2312"/>
          <w:sz w:val="32"/>
          <w:szCs w:val="32"/>
        </w:rPr>
        <w:t>27.</w:t>
      </w:r>
      <w:r>
        <w:rPr>
          <w:rFonts w:eastAsia="仿宋_GB2312"/>
          <w:sz w:val="32"/>
          <w:szCs w:val="32"/>
          <w:lang w:val="zh-CN"/>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eastAsia="仿宋"/>
          <w:b/>
          <w:sz w:val="32"/>
          <w:szCs w:val="32"/>
        </w:rPr>
        <w:br w:type="page"/>
      </w:r>
    </w:p>
    <w:p>
      <w:pPr>
        <w:pStyle w:val="3"/>
        <w:snapToGrid w:val="0"/>
        <w:spacing w:before="0" w:after="0"/>
        <w:jc w:val="center"/>
      </w:pPr>
      <w:bookmarkStart w:id="111" w:name="_Toc27161_WPSOffice_Level1"/>
      <w:r>
        <w:rPr>
          <w:rFonts w:eastAsia="黑体"/>
          <w:b w:val="0"/>
        </w:rPr>
        <w:t>第四部分 附件</w:t>
      </w:r>
      <w:bookmarkEnd w:id="111"/>
    </w:p>
    <w:p>
      <w:pPr>
        <w:snapToGrid w:val="0"/>
        <w:spacing w:after="0"/>
      </w:pPr>
      <w:r>
        <w:rPr>
          <w:rFonts w:eastAsia="黑体"/>
          <w:sz w:val="32"/>
          <w:szCs w:val="32"/>
        </w:rPr>
        <w:t>附件1</w:t>
      </w:r>
    </w:p>
    <w:p>
      <w:pPr>
        <w:snapToGrid w:val="0"/>
        <w:spacing w:after="0" w:line="640" w:lineRule="exact"/>
        <w:jc w:val="center"/>
        <w:rPr>
          <w:rFonts w:eastAsia="方正小标宋简体"/>
          <w:sz w:val="44"/>
          <w:szCs w:val="44"/>
        </w:rPr>
      </w:pPr>
      <w:bookmarkStart w:id="112" w:name="_Toc8575_WPSOffice_Level2"/>
      <w:r>
        <w:rPr>
          <w:rFonts w:eastAsia="方正小标宋简体"/>
          <w:sz w:val="44"/>
          <w:szCs w:val="44"/>
        </w:rPr>
        <w:t>盐边县人民政府办公室</w:t>
      </w:r>
      <w:bookmarkEnd w:id="112"/>
    </w:p>
    <w:p>
      <w:pPr>
        <w:snapToGrid w:val="0"/>
        <w:spacing w:after="0" w:line="640" w:lineRule="exact"/>
        <w:jc w:val="center"/>
        <w:rPr>
          <w:rFonts w:eastAsia="方正小标宋简体"/>
          <w:sz w:val="44"/>
          <w:szCs w:val="44"/>
        </w:rPr>
      </w:pPr>
      <w:bookmarkStart w:id="113" w:name="_Toc14074_WPSOffice_Level2"/>
      <w:r>
        <w:rPr>
          <w:rFonts w:eastAsia="方正小标宋简体"/>
          <w:sz w:val="44"/>
          <w:szCs w:val="44"/>
        </w:rPr>
        <w:t>部门整体绩效评价报告</w:t>
      </w:r>
      <w:bookmarkEnd w:id="113"/>
    </w:p>
    <w:p>
      <w:pPr>
        <w:snapToGrid w:val="0"/>
        <w:spacing w:after="0" w:line="560" w:lineRule="exact"/>
        <w:rPr>
          <w:rFonts w:eastAsia="仿宋_GB2312"/>
          <w:sz w:val="32"/>
          <w:szCs w:val="32"/>
        </w:rPr>
      </w:pPr>
    </w:p>
    <w:p>
      <w:pPr>
        <w:snapToGrid w:val="0"/>
        <w:spacing w:after="0" w:line="560" w:lineRule="exact"/>
        <w:ind w:firstLine="640" w:firstLineChars="200"/>
        <w:rPr>
          <w:rFonts w:eastAsia="黑体"/>
          <w:sz w:val="32"/>
          <w:szCs w:val="32"/>
        </w:rPr>
      </w:pPr>
      <w:bookmarkStart w:id="114" w:name="_Toc21250_WPSOffice_Level2"/>
      <w:r>
        <w:rPr>
          <w:rFonts w:eastAsia="黑体"/>
          <w:sz w:val="32"/>
          <w:szCs w:val="32"/>
        </w:rPr>
        <w:t>一、部门（单位）基本情况</w:t>
      </w:r>
      <w:bookmarkEnd w:id="114"/>
    </w:p>
    <w:p>
      <w:pPr>
        <w:snapToGrid w:val="0"/>
        <w:spacing w:after="0" w:line="560" w:lineRule="exact"/>
        <w:ind w:firstLine="643" w:firstLineChars="200"/>
        <w:rPr>
          <w:rFonts w:eastAsia="楷体_GB2312"/>
          <w:sz w:val="32"/>
          <w:szCs w:val="32"/>
        </w:rPr>
      </w:pPr>
      <w:r>
        <w:rPr>
          <w:rFonts w:eastAsia="楷体_GB2312"/>
          <w:b/>
          <w:sz w:val="32"/>
          <w:szCs w:val="32"/>
        </w:rPr>
        <w:t>（一）机构组成。</w:t>
      </w:r>
    </w:p>
    <w:p>
      <w:pPr>
        <w:snapToGrid w:val="0"/>
        <w:spacing w:after="0" w:line="560" w:lineRule="exact"/>
        <w:ind w:firstLine="640" w:firstLineChars="200"/>
        <w:rPr>
          <w:rFonts w:eastAsia="仿宋_GB2312"/>
          <w:sz w:val="32"/>
          <w:szCs w:val="32"/>
        </w:rPr>
      </w:pPr>
      <w:r>
        <w:rPr>
          <w:rFonts w:eastAsia="仿宋_GB2312"/>
          <w:sz w:val="32"/>
          <w:szCs w:val="32"/>
        </w:rPr>
        <w:t>盐边县人民政府办公室下属二级预算单位1个，其中行政单位1个，参照公务员法管理的事业单位0个，其他事业单位0个。</w:t>
      </w:r>
    </w:p>
    <w:p>
      <w:pPr>
        <w:snapToGrid w:val="0"/>
        <w:spacing w:after="0" w:line="560" w:lineRule="exact"/>
        <w:ind w:firstLine="640" w:firstLineChars="200"/>
        <w:rPr>
          <w:rFonts w:eastAsia="仿宋_GB2312"/>
          <w:sz w:val="32"/>
          <w:szCs w:val="32"/>
        </w:rPr>
      </w:pPr>
      <w:r>
        <w:rPr>
          <w:rFonts w:eastAsia="仿宋_GB2312"/>
          <w:sz w:val="32"/>
          <w:szCs w:val="32"/>
        </w:rPr>
        <w:t>纳入盐边县人民政府办公室2023年度部门决算编制范围的二级预算单位包括：盐边县人民政府办公室。</w:t>
      </w:r>
    </w:p>
    <w:p>
      <w:pPr>
        <w:snapToGrid w:val="0"/>
        <w:spacing w:after="0" w:line="560" w:lineRule="exact"/>
        <w:ind w:firstLine="640" w:firstLineChars="200"/>
        <w:rPr>
          <w:rFonts w:eastAsia="仿宋_GB2312"/>
        </w:rPr>
      </w:pPr>
      <w:r>
        <w:rPr>
          <w:rFonts w:eastAsia="仿宋_GB2312"/>
          <w:sz w:val="32"/>
          <w:szCs w:val="32"/>
        </w:rPr>
        <w:t>盐边县人民政府办公室</w:t>
      </w:r>
      <w:r>
        <w:rPr>
          <w:rFonts w:eastAsia="仿宋_GB2312"/>
          <w:snapToGrid w:val="0"/>
          <w:spacing w:val="-6"/>
          <w:kern w:val="34"/>
          <w:sz w:val="32"/>
          <w:szCs w:val="32"/>
        </w:rPr>
        <w:t>内设</w:t>
      </w:r>
      <w:r>
        <w:rPr>
          <w:rFonts w:eastAsia="仿宋_GB2312"/>
          <w:sz w:val="32"/>
          <w:szCs w:val="32"/>
          <w:shd w:val="clear" w:color="auto" w:fill="FFFFFF"/>
        </w:rPr>
        <w:t>股室7个，分别为行政股、综合一股、综合二股、文电股、政研股、信息股、总值班室</w:t>
      </w:r>
      <w:r>
        <w:rPr>
          <w:rFonts w:eastAsia="仿宋_GB2312"/>
          <w:sz w:val="32"/>
          <w:szCs w:val="32"/>
        </w:rPr>
        <w:t>。</w:t>
      </w:r>
      <w:r>
        <w:rPr>
          <w:rFonts w:eastAsia="仿宋_GB2312"/>
          <w:snapToGrid w:val="0"/>
          <w:spacing w:val="-6"/>
          <w:kern w:val="34"/>
          <w:sz w:val="32"/>
          <w:szCs w:val="32"/>
        </w:rPr>
        <w:t>下属公益一类事业单位1个，为盐边县政府网站事务中心。</w:t>
      </w:r>
    </w:p>
    <w:p>
      <w:pPr>
        <w:snapToGrid w:val="0"/>
        <w:spacing w:after="0" w:line="560" w:lineRule="exact"/>
        <w:ind w:firstLine="643" w:firstLineChars="200"/>
        <w:rPr>
          <w:rFonts w:eastAsia="楷体_GB2312"/>
          <w:b/>
          <w:sz w:val="32"/>
          <w:szCs w:val="32"/>
        </w:rPr>
      </w:pPr>
      <w:r>
        <w:rPr>
          <w:rFonts w:eastAsia="楷体_GB2312"/>
          <w:b/>
          <w:sz w:val="32"/>
          <w:szCs w:val="32"/>
        </w:rPr>
        <w:t>（二）机构职能。</w:t>
      </w:r>
    </w:p>
    <w:p>
      <w:pPr>
        <w:snapToGrid w:val="0"/>
        <w:spacing w:after="0" w:line="560" w:lineRule="exact"/>
        <w:ind w:firstLine="640" w:firstLineChars="200"/>
        <w:rPr>
          <w:rFonts w:eastAsia="仿宋_GB2312"/>
          <w:sz w:val="32"/>
          <w:szCs w:val="32"/>
        </w:rPr>
      </w:pPr>
      <w:r>
        <w:rPr>
          <w:rFonts w:eastAsia="仿宋_GB2312"/>
          <w:sz w:val="32"/>
          <w:szCs w:val="32"/>
        </w:rPr>
        <w:t>1.协助县政府领导同志组织起草或审核以县政府、县政府办公室名义发布的公文。办理省政府、省政府办公厅及省级部门和市政府、市政府办公室及市级部门发送县政府的文电。指导全县行政机关公文处理工作。</w:t>
      </w:r>
    </w:p>
    <w:p>
      <w:pPr>
        <w:snapToGrid w:val="0"/>
        <w:spacing w:after="0" w:line="560" w:lineRule="exact"/>
        <w:ind w:firstLine="640" w:firstLineChars="200"/>
        <w:rPr>
          <w:rFonts w:eastAsia="仿宋_GB2312"/>
          <w:sz w:val="32"/>
          <w:szCs w:val="32"/>
        </w:rPr>
      </w:pPr>
      <w:r>
        <w:rPr>
          <w:rFonts w:eastAsia="仿宋_GB2312"/>
          <w:sz w:val="32"/>
          <w:szCs w:val="32"/>
        </w:rPr>
        <w:t>2.研究县政府部门和乡（镇）人民政府、县政府派出机构请示县政府的事项，提出审核意见，报县政府领导同志审批。</w:t>
      </w:r>
    </w:p>
    <w:p>
      <w:pPr>
        <w:snapToGrid w:val="0"/>
        <w:spacing w:after="0" w:line="560" w:lineRule="exact"/>
        <w:ind w:firstLine="640" w:firstLineChars="200"/>
        <w:rPr>
          <w:rFonts w:eastAsia="仿宋_GB2312"/>
          <w:sz w:val="32"/>
          <w:szCs w:val="32"/>
        </w:rPr>
      </w:pPr>
      <w:r>
        <w:rPr>
          <w:rFonts w:eastAsia="仿宋_GB2312"/>
          <w:sz w:val="32"/>
          <w:szCs w:val="32"/>
        </w:rPr>
        <w:t>3.负责县政府会议的准备工作，协助县政府领导同志组织实施会议决定事项。</w:t>
      </w:r>
    </w:p>
    <w:p>
      <w:pPr>
        <w:snapToGrid w:val="0"/>
        <w:spacing w:after="0" w:line="560" w:lineRule="exact"/>
        <w:ind w:firstLine="640" w:firstLineChars="200"/>
        <w:rPr>
          <w:rFonts w:eastAsia="仿宋_GB2312"/>
          <w:sz w:val="32"/>
          <w:szCs w:val="32"/>
        </w:rPr>
      </w:pPr>
      <w:r>
        <w:rPr>
          <w:rFonts w:eastAsia="仿宋_GB2312"/>
          <w:sz w:val="32"/>
          <w:szCs w:val="32"/>
        </w:rPr>
        <w:t>4.督促检查县政府部门和乡（镇）人民政府、县政府派出机构对县政府决定事项及县政府领导同志指示的贯彻落实情况，及时向县政府领导同志报告。</w:t>
      </w:r>
    </w:p>
    <w:p>
      <w:pPr>
        <w:snapToGrid w:val="0"/>
        <w:spacing w:after="0" w:line="560" w:lineRule="exact"/>
        <w:ind w:firstLine="640" w:firstLineChars="200"/>
        <w:rPr>
          <w:rFonts w:eastAsia="仿宋_GB2312"/>
          <w:sz w:val="32"/>
          <w:szCs w:val="32"/>
        </w:rPr>
      </w:pPr>
      <w:r>
        <w:rPr>
          <w:rFonts w:eastAsia="仿宋_GB2312"/>
          <w:sz w:val="32"/>
          <w:szCs w:val="32"/>
        </w:rPr>
        <w:t>5.根据县政府领导同志的指示，对县政府部门间争议问题提出处理意见和建议，报县政府领导同志决定。</w:t>
      </w:r>
    </w:p>
    <w:p>
      <w:pPr>
        <w:snapToGrid w:val="0"/>
        <w:spacing w:after="0" w:line="560" w:lineRule="exact"/>
        <w:ind w:firstLine="640" w:firstLineChars="200"/>
        <w:rPr>
          <w:rFonts w:eastAsia="仿宋_GB2312"/>
          <w:sz w:val="32"/>
          <w:szCs w:val="32"/>
        </w:rPr>
      </w:pPr>
      <w:r>
        <w:rPr>
          <w:rFonts w:eastAsia="仿宋_GB2312"/>
          <w:sz w:val="32"/>
          <w:szCs w:val="32"/>
        </w:rPr>
        <w:t>6.负责县政府值班工作，指导县政府部门和乡（镇）人民政府、县政府派出机构值班工作，及时报告重要情况。</w:t>
      </w:r>
    </w:p>
    <w:p>
      <w:pPr>
        <w:snapToGrid w:val="0"/>
        <w:spacing w:after="0" w:line="560" w:lineRule="exact"/>
        <w:ind w:firstLine="640" w:firstLineChars="200"/>
        <w:rPr>
          <w:rFonts w:eastAsia="仿宋_GB2312"/>
          <w:sz w:val="32"/>
          <w:szCs w:val="32"/>
        </w:rPr>
      </w:pPr>
      <w:r>
        <w:rPr>
          <w:rFonts w:eastAsia="仿宋_GB2312"/>
          <w:sz w:val="32"/>
          <w:szCs w:val="32"/>
        </w:rPr>
        <w:t>7.指导、监督全县政府信息公开工作，指导、监督全县政府系统电子政务工作和政府网站建设。</w:t>
      </w:r>
    </w:p>
    <w:p>
      <w:pPr>
        <w:snapToGrid w:val="0"/>
        <w:spacing w:after="0" w:line="560" w:lineRule="exact"/>
        <w:ind w:firstLine="640" w:firstLineChars="200"/>
        <w:rPr>
          <w:rFonts w:eastAsia="仿宋_GB2312"/>
          <w:sz w:val="32"/>
          <w:szCs w:val="32"/>
        </w:rPr>
      </w:pPr>
      <w:r>
        <w:rPr>
          <w:rFonts w:eastAsia="仿宋_GB2312"/>
          <w:sz w:val="32"/>
          <w:szCs w:val="32"/>
        </w:rPr>
        <w:t>8.负责县政府部门和乡（镇）人民政府、县政府派出机构目标（绩效）管理工作，牵头负责全县民生工程工作的实施和推进，组织办理涉及县政府工作的人大代表议案、批评、建议和政协委员提案、建议案。</w:t>
      </w:r>
    </w:p>
    <w:p>
      <w:pPr>
        <w:snapToGrid w:val="0"/>
        <w:spacing w:after="0" w:line="560" w:lineRule="exact"/>
        <w:ind w:firstLine="640" w:firstLineChars="200"/>
        <w:rPr>
          <w:rFonts w:eastAsia="仿宋_GB2312"/>
          <w:sz w:val="32"/>
          <w:szCs w:val="32"/>
        </w:rPr>
      </w:pPr>
      <w:r>
        <w:rPr>
          <w:rFonts w:eastAsia="仿宋_GB2312"/>
          <w:sz w:val="32"/>
          <w:szCs w:val="32"/>
        </w:rPr>
        <w:t>9.指导全县应急管理工作，协助县政府领导同志做好需由县政府组织处理的突发事件的应急处置工作，指导全县抗灾救灾工作。</w:t>
      </w:r>
    </w:p>
    <w:p>
      <w:pPr>
        <w:snapToGrid w:val="0"/>
        <w:spacing w:after="0" w:line="560" w:lineRule="exact"/>
        <w:ind w:firstLine="640" w:firstLineChars="200"/>
        <w:rPr>
          <w:rFonts w:eastAsia="仿宋_GB2312"/>
          <w:sz w:val="32"/>
          <w:szCs w:val="32"/>
        </w:rPr>
      </w:pPr>
      <w:r>
        <w:rPr>
          <w:rFonts w:eastAsia="仿宋_GB2312"/>
          <w:sz w:val="32"/>
          <w:szCs w:val="32"/>
        </w:rPr>
        <w:t>10.围绕县政府中心工作和县政府领导同志的指示，组织专题调查研究，及时反映情况，提出政策性建议。</w:t>
      </w:r>
    </w:p>
    <w:p>
      <w:pPr>
        <w:snapToGrid w:val="0"/>
        <w:spacing w:after="0" w:line="560" w:lineRule="exact"/>
        <w:ind w:firstLine="640" w:firstLineChars="200"/>
        <w:rPr>
          <w:rFonts w:eastAsia="仿宋_GB2312"/>
          <w:sz w:val="32"/>
          <w:szCs w:val="32"/>
        </w:rPr>
      </w:pPr>
      <w:r>
        <w:rPr>
          <w:rFonts w:eastAsia="仿宋_GB2312"/>
          <w:sz w:val="32"/>
          <w:szCs w:val="32"/>
        </w:rPr>
        <w:t>11.统筹管理全县外事工作，归口管理全县因公出国（境）工作，负责全县涉外管理、相关礼宾接待、国际友好城市缔结和对外友协工作，办理其他相关涉外事务。</w:t>
      </w:r>
    </w:p>
    <w:p>
      <w:pPr>
        <w:widowControl/>
        <w:adjustRightInd w:val="0"/>
        <w:snapToGrid w:val="0"/>
        <w:spacing w:after="0" w:line="560" w:lineRule="exact"/>
        <w:ind w:firstLine="640" w:firstLineChars="200"/>
        <w:contextualSpacing/>
        <w:jc w:val="left"/>
        <w:rPr>
          <w:rFonts w:eastAsia="仿宋_GB2312"/>
          <w:sz w:val="32"/>
          <w:szCs w:val="32"/>
        </w:rPr>
      </w:pPr>
      <w:r>
        <w:rPr>
          <w:rFonts w:eastAsia="仿宋_GB2312"/>
          <w:sz w:val="32"/>
          <w:szCs w:val="32"/>
        </w:rPr>
        <w:t>12.负责县政府法制工作，负责全县依法行政工作的组织协调和监督指导，负责县政府规范性文件的合法性审查和制定工作，依法开展行政执法监督工作，做好行政复议、行政应诉工作。</w:t>
      </w:r>
    </w:p>
    <w:p>
      <w:pPr>
        <w:widowControl/>
        <w:adjustRightInd w:val="0"/>
        <w:snapToGrid w:val="0"/>
        <w:spacing w:after="0" w:line="560" w:lineRule="exact"/>
        <w:ind w:firstLine="640" w:firstLineChars="200"/>
        <w:contextualSpacing/>
        <w:jc w:val="left"/>
        <w:rPr>
          <w:rFonts w:eastAsia="仿宋_GB2312"/>
          <w:sz w:val="32"/>
          <w:szCs w:val="32"/>
        </w:rPr>
      </w:pPr>
      <w:r>
        <w:rPr>
          <w:rFonts w:eastAsia="仿宋_GB2312"/>
          <w:sz w:val="32"/>
          <w:szCs w:val="32"/>
        </w:rPr>
        <w:t>13.负责县政府驻外机构的管理工作。</w:t>
      </w:r>
    </w:p>
    <w:p>
      <w:pPr>
        <w:widowControl/>
        <w:adjustRightInd w:val="0"/>
        <w:snapToGrid w:val="0"/>
        <w:spacing w:after="0" w:line="560" w:lineRule="exact"/>
        <w:ind w:firstLine="640" w:firstLineChars="200"/>
        <w:contextualSpacing/>
        <w:jc w:val="left"/>
        <w:rPr>
          <w:rFonts w:eastAsia="仿宋_GB2312"/>
          <w:sz w:val="32"/>
          <w:szCs w:val="32"/>
        </w:rPr>
      </w:pPr>
      <w:r>
        <w:rPr>
          <w:rFonts w:eastAsia="仿宋_GB2312"/>
          <w:sz w:val="32"/>
          <w:szCs w:val="32"/>
        </w:rPr>
        <w:t>14.承担县政府公布的有关行政审批事项。</w:t>
      </w:r>
    </w:p>
    <w:p>
      <w:pPr>
        <w:widowControl/>
        <w:adjustRightInd w:val="0"/>
        <w:snapToGrid w:val="0"/>
        <w:spacing w:after="0" w:line="560" w:lineRule="exact"/>
        <w:ind w:firstLine="640" w:firstLineChars="200"/>
        <w:contextualSpacing/>
        <w:jc w:val="left"/>
        <w:rPr>
          <w:rFonts w:eastAsia="仿宋_GB2312"/>
          <w:sz w:val="32"/>
          <w:szCs w:val="32"/>
        </w:rPr>
      </w:pPr>
      <w:r>
        <w:rPr>
          <w:rFonts w:eastAsia="仿宋_GB2312"/>
          <w:sz w:val="32"/>
          <w:szCs w:val="32"/>
        </w:rPr>
        <w:t>15.负责全县机关效能建设工作。</w:t>
      </w:r>
    </w:p>
    <w:p>
      <w:pPr>
        <w:widowControl/>
        <w:adjustRightInd w:val="0"/>
        <w:snapToGrid w:val="0"/>
        <w:spacing w:after="0" w:line="560" w:lineRule="exact"/>
        <w:ind w:firstLine="640" w:firstLineChars="200"/>
        <w:contextualSpacing/>
        <w:jc w:val="left"/>
        <w:rPr>
          <w:rFonts w:eastAsia="仿宋_GB2312"/>
          <w:sz w:val="32"/>
          <w:szCs w:val="32"/>
        </w:rPr>
      </w:pPr>
      <w:r>
        <w:rPr>
          <w:rFonts w:eastAsia="仿宋_GB2312"/>
          <w:sz w:val="32"/>
          <w:szCs w:val="32"/>
        </w:rPr>
        <w:t>16.承办县政府和县政府领导同志交办的其他事项。</w:t>
      </w:r>
    </w:p>
    <w:p>
      <w:pPr>
        <w:snapToGrid w:val="0"/>
        <w:spacing w:after="0" w:line="560" w:lineRule="exact"/>
        <w:ind w:firstLine="643" w:firstLineChars="200"/>
        <w:rPr>
          <w:rFonts w:eastAsia="楷体_GB2312"/>
          <w:b/>
          <w:sz w:val="32"/>
          <w:szCs w:val="32"/>
        </w:rPr>
      </w:pPr>
      <w:r>
        <w:rPr>
          <w:rFonts w:eastAsia="楷体_GB2312"/>
          <w:b/>
          <w:sz w:val="32"/>
          <w:szCs w:val="32"/>
        </w:rPr>
        <w:t>（三）人员概况。</w:t>
      </w:r>
    </w:p>
    <w:p>
      <w:pPr>
        <w:pStyle w:val="6"/>
        <w:snapToGrid w:val="0"/>
        <w:spacing w:after="0" w:line="560" w:lineRule="exact"/>
        <w:ind w:firstLine="640" w:firstLineChars="200"/>
        <w:rPr>
          <w:rFonts w:eastAsia="仿宋_GB2312"/>
          <w:sz w:val="32"/>
          <w:szCs w:val="32"/>
          <w:shd w:val="clear" w:color="auto" w:fill="FFFFFF"/>
        </w:rPr>
      </w:pPr>
      <w:r>
        <w:rPr>
          <w:rFonts w:eastAsia="仿宋_GB2312"/>
          <w:sz w:val="32"/>
          <w:szCs w:val="32"/>
        </w:rPr>
        <w:t>县政府办公室编制数44名，其中</w:t>
      </w:r>
      <w:r>
        <w:rPr>
          <w:rFonts w:eastAsia="仿宋_GB2312"/>
          <w:sz w:val="32"/>
          <w:szCs w:val="32"/>
          <w:shd w:val="clear" w:color="auto" w:fill="FFFFFF"/>
        </w:rPr>
        <w:t>行政编制28名（</w:t>
      </w:r>
      <w:r>
        <w:rPr>
          <w:rFonts w:eastAsia="仿宋_GB2312"/>
          <w:sz w:val="32"/>
          <w:szCs w:val="32"/>
        </w:rPr>
        <w:t>机关工勤编制8名</w:t>
      </w:r>
      <w:r>
        <w:rPr>
          <w:rFonts w:eastAsia="仿宋_GB2312"/>
          <w:sz w:val="32"/>
          <w:szCs w:val="32"/>
          <w:shd w:val="clear" w:color="auto" w:fill="FFFFFF"/>
        </w:rPr>
        <w:t>）</w:t>
      </w:r>
      <w:r>
        <w:rPr>
          <w:rFonts w:eastAsia="仿宋_GB2312"/>
          <w:sz w:val="32"/>
          <w:szCs w:val="32"/>
        </w:rPr>
        <w:t>，事业编制16名。</w:t>
      </w:r>
      <w:r>
        <w:rPr>
          <w:rFonts w:eastAsia="仿宋_GB2312"/>
          <w:sz w:val="32"/>
          <w:szCs w:val="32"/>
          <w:shd w:val="clear" w:color="auto" w:fill="FFFFFF"/>
        </w:rPr>
        <w:t>截至2023年12月底，在职在编人员39人，离退休人员16人。</w:t>
      </w:r>
    </w:p>
    <w:p>
      <w:pPr>
        <w:snapToGrid w:val="0"/>
        <w:spacing w:after="0" w:line="560" w:lineRule="exact"/>
        <w:ind w:firstLine="640" w:firstLineChars="200"/>
        <w:rPr>
          <w:rFonts w:eastAsia="黑体"/>
          <w:sz w:val="32"/>
          <w:szCs w:val="32"/>
        </w:rPr>
      </w:pPr>
      <w:bookmarkStart w:id="115" w:name="_Toc26219_WPSOffice_Level2"/>
      <w:r>
        <w:rPr>
          <w:rFonts w:eastAsia="黑体"/>
          <w:sz w:val="32"/>
          <w:szCs w:val="32"/>
        </w:rPr>
        <w:t>二、部门资金收支情况</w:t>
      </w:r>
      <w:bookmarkEnd w:id="115"/>
    </w:p>
    <w:p>
      <w:pPr>
        <w:snapToGrid w:val="0"/>
        <w:spacing w:after="0" w:line="560" w:lineRule="exact"/>
        <w:ind w:firstLine="643" w:firstLineChars="200"/>
        <w:rPr>
          <w:rFonts w:eastAsia="楷体_GB2312"/>
          <w:b/>
          <w:sz w:val="32"/>
          <w:szCs w:val="32"/>
        </w:rPr>
      </w:pPr>
      <w:r>
        <w:rPr>
          <w:rFonts w:eastAsia="楷体_GB2312"/>
          <w:b/>
          <w:sz w:val="32"/>
          <w:szCs w:val="32"/>
        </w:rPr>
        <w:t>（一）收入情况。</w:t>
      </w:r>
    </w:p>
    <w:p>
      <w:pPr>
        <w:pStyle w:val="6"/>
        <w:snapToGrid w:val="0"/>
        <w:spacing w:after="0" w:line="560" w:lineRule="exact"/>
        <w:ind w:firstLine="640" w:firstLineChars="200"/>
        <w:rPr>
          <w:rFonts w:eastAsia="仿宋_GB2312"/>
        </w:rPr>
      </w:pPr>
      <w:r>
        <w:rPr>
          <w:rFonts w:eastAsia="仿宋_GB2312"/>
          <w:sz w:val="32"/>
          <w:szCs w:val="32"/>
        </w:rPr>
        <w:t>县政府办公室2023年全年财政拨款收入总额1399.52万元，其中：一般预算收入1399.52万元，占总收入的100%。</w:t>
      </w:r>
    </w:p>
    <w:p>
      <w:pPr>
        <w:snapToGrid w:val="0"/>
        <w:spacing w:after="0" w:line="560" w:lineRule="exact"/>
        <w:ind w:firstLine="643" w:firstLineChars="200"/>
        <w:rPr>
          <w:rFonts w:eastAsia="楷体_GB2312"/>
          <w:b/>
          <w:sz w:val="32"/>
          <w:szCs w:val="32"/>
        </w:rPr>
      </w:pPr>
      <w:r>
        <w:rPr>
          <w:rFonts w:eastAsia="楷体_GB2312"/>
          <w:b/>
          <w:sz w:val="32"/>
          <w:szCs w:val="32"/>
        </w:rPr>
        <w:t>（二）支出情况。</w:t>
      </w:r>
    </w:p>
    <w:p>
      <w:pPr>
        <w:snapToGrid w:val="0"/>
        <w:spacing w:after="0" w:line="560" w:lineRule="exact"/>
        <w:ind w:firstLine="640" w:firstLineChars="200"/>
        <w:rPr>
          <w:rFonts w:eastAsia="仿宋_GB2312"/>
          <w:sz w:val="32"/>
          <w:szCs w:val="32"/>
        </w:rPr>
      </w:pPr>
      <w:r>
        <w:rPr>
          <w:rFonts w:eastAsia="仿宋_GB2312"/>
          <w:sz w:val="32"/>
          <w:szCs w:val="32"/>
        </w:rPr>
        <w:t>县政府办公室2023年财政拨款支出总额为1399.52万元，其中：基本支出902.03万元，占总支出的64.45%；项目支出497.49万元，占总支出的35.55%。</w:t>
      </w:r>
    </w:p>
    <w:p>
      <w:pPr>
        <w:pBdr>
          <w:bottom w:val="single" w:color="FFFFFF" w:sz="4" w:space="29"/>
        </w:pBdr>
        <w:autoSpaceDN w:val="0"/>
        <w:adjustRightInd w:val="0"/>
        <w:snapToGrid w:val="0"/>
        <w:spacing w:after="0" w:line="560" w:lineRule="exact"/>
        <w:ind w:firstLine="643" w:firstLineChars="200"/>
        <w:textAlignment w:val="baseline"/>
        <w:rPr>
          <w:rFonts w:eastAsia="仿宋_GB2312"/>
          <w:b/>
          <w:bCs/>
          <w:sz w:val="32"/>
          <w:szCs w:val="32"/>
        </w:rPr>
      </w:pPr>
      <w:r>
        <w:rPr>
          <w:rFonts w:eastAsia="仿宋_GB2312"/>
          <w:b/>
          <w:bCs/>
          <w:sz w:val="32"/>
          <w:szCs w:val="32"/>
        </w:rPr>
        <w:t>1.按支出功能分类主要用于以下方面</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（1）一般公共服务支出1121.09万元，占总支出的80.11%，主要用于单位人员工资、日常运转以及为完成特定行政工作任务和事业发展目标而安排的年度项目支出。</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（2）社会保障和就业144.93万元，占总支出的10.36%，主要用于单位人员的基本养老保险单位缴费支出以及离退休人员的相关经费支出。</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（3）卫生健康支出64.4万元，占总支出的4.6%，主要用于机关职工及离退休人员的基本医疗保险缴费等支出。</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（4）住房保障支出61.92万元，占总支出的4.42%，用于单位按照规定标准为职工缴纳住房公积金等支出。</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（5）国防支出7.18万元，占总支出的0.51%，用于国防动员相关支出。</w:t>
      </w:r>
    </w:p>
    <w:p>
      <w:pPr>
        <w:pBdr>
          <w:bottom w:val="single" w:color="FFFFFF" w:sz="4" w:space="29"/>
        </w:pBdr>
        <w:autoSpaceDN w:val="0"/>
        <w:adjustRightInd w:val="0"/>
        <w:snapToGrid w:val="0"/>
        <w:spacing w:after="0" w:line="560" w:lineRule="exact"/>
        <w:ind w:firstLine="643" w:firstLineChars="200"/>
        <w:textAlignment w:val="baseline"/>
        <w:rPr>
          <w:rFonts w:eastAsia="仿宋_GB2312"/>
          <w:b/>
          <w:bCs/>
          <w:sz w:val="32"/>
          <w:szCs w:val="32"/>
        </w:rPr>
      </w:pPr>
      <w:r>
        <w:rPr>
          <w:rFonts w:eastAsia="仿宋_GB2312"/>
          <w:b/>
          <w:bCs/>
          <w:sz w:val="32"/>
          <w:szCs w:val="32"/>
        </w:rPr>
        <w:t>2.按支出经济分类主要用于以下方面</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（1）工资福利支出778.57万元，占总支出的55.63%。</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（2）商品服务支出557.93万元，占总支出的39.87%。</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（3）对个人和家庭的补助支出53.98万元，占总支出的3.86%。</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（4）资本性支出9.04万元，占总支出的0.64%。</w:t>
      </w:r>
    </w:p>
    <w:p>
      <w:pPr>
        <w:pBdr>
          <w:bottom w:val="single" w:color="FFFFFF" w:sz="4" w:space="29"/>
        </w:pBdr>
        <w:autoSpaceDN w:val="0"/>
        <w:adjustRightInd w:val="0"/>
        <w:snapToGrid w:val="0"/>
        <w:spacing w:after="0" w:line="560" w:lineRule="exact"/>
        <w:ind w:firstLine="643" w:firstLineChars="200"/>
        <w:textAlignment w:val="baseline"/>
        <w:rPr>
          <w:rFonts w:eastAsia="仿宋_GB2312"/>
          <w:b/>
          <w:bCs/>
          <w:sz w:val="32"/>
          <w:szCs w:val="32"/>
        </w:rPr>
      </w:pPr>
      <w:r>
        <w:rPr>
          <w:rFonts w:eastAsia="仿宋_GB2312"/>
          <w:b/>
          <w:bCs/>
          <w:sz w:val="32"/>
          <w:szCs w:val="32"/>
        </w:rPr>
        <w:t>3.经费支出主要为以下几方面：</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（1）“三公经费”：本年度支出因公出国出（境）费0万元，公务用车购置及运行维护费0万元，公务接待费0.08万元。其中国内公务接待1批次，外事接待0批次。</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（2）办公费：本年度支出269.98万元。</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（3）会议费：本年度支出143.48万元。</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（4）差旅费：本年度支出30.49万元。</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（5）其他交通费用：本年度支出27.32万元。</w:t>
      </w:r>
    </w:p>
    <w:p>
      <w:pPr>
        <w:pBdr>
          <w:bottom w:val="single" w:color="FFFFFF" w:sz="4" w:space="29"/>
        </w:pBdr>
        <w:autoSpaceDN w:val="0"/>
        <w:adjustRightInd w:val="0"/>
        <w:snapToGrid w:val="0"/>
        <w:spacing w:after="0" w:line="560" w:lineRule="exact"/>
        <w:ind w:firstLine="643" w:firstLineChars="200"/>
        <w:textAlignment w:val="baseline"/>
        <w:rPr>
          <w:rFonts w:eastAsia="仿宋_GB2312"/>
          <w:sz w:val="32"/>
          <w:szCs w:val="32"/>
        </w:rPr>
      </w:pPr>
      <w:r>
        <w:rPr>
          <w:rFonts w:eastAsia="楷体_GB2312"/>
          <w:b/>
          <w:sz w:val="32"/>
          <w:szCs w:val="32"/>
        </w:rPr>
        <w:t>（三）结余分配和结转结余情况。</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2023年年末结转结余资金0万元。</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bookmarkStart w:id="116" w:name="_Toc16095_WPSOffice_Level2"/>
      <w:r>
        <w:rPr>
          <w:rFonts w:eastAsia="黑体"/>
          <w:sz w:val="32"/>
          <w:szCs w:val="32"/>
        </w:rPr>
        <w:t>三、部门预算绩效分析</w:t>
      </w:r>
      <w:bookmarkEnd w:id="116"/>
    </w:p>
    <w:p>
      <w:pPr>
        <w:pBdr>
          <w:bottom w:val="single" w:color="FFFFFF" w:sz="4" w:space="29"/>
        </w:pBdr>
        <w:autoSpaceDN w:val="0"/>
        <w:adjustRightInd w:val="0"/>
        <w:snapToGrid w:val="0"/>
        <w:spacing w:after="0" w:line="560" w:lineRule="exact"/>
        <w:ind w:firstLine="643" w:firstLineChars="200"/>
        <w:textAlignment w:val="baseline"/>
        <w:rPr>
          <w:rFonts w:eastAsia="仿宋_GB2312"/>
          <w:sz w:val="32"/>
          <w:szCs w:val="32"/>
        </w:rPr>
      </w:pPr>
      <w:r>
        <w:rPr>
          <w:rFonts w:eastAsia="楷体_GB2312"/>
          <w:b/>
          <w:sz w:val="32"/>
          <w:szCs w:val="32"/>
        </w:rPr>
        <w:t>（一）部门预算总体绩效分析。</w:t>
      </w:r>
    </w:p>
    <w:p>
      <w:pPr>
        <w:pBdr>
          <w:bottom w:val="single" w:color="FFFFFF" w:sz="4" w:space="29"/>
        </w:pBdr>
        <w:autoSpaceDN w:val="0"/>
        <w:adjustRightInd w:val="0"/>
        <w:snapToGrid w:val="0"/>
        <w:spacing w:after="0" w:line="560" w:lineRule="exact"/>
        <w:ind w:firstLine="643" w:firstLineChars="200"/>
        <w:textAlignment w:val="baseline"/>
        <w:rPr>
          <w:rFonts w:eastAsia="仿宋_GB2312"/>
          <w:sz w:val="32"/>
          <w:szCs w:val="32"/>
        </w:rPr>
      </w:pPr>
      <w:r>
        <w:rPr>
          <w:rFonts w:eastAsia="仿宋_GB2312"/>
          <w:b/>
          <w:bCs/>
          <w:color w:val="000000"/>
          <w:kern w:val="0"/>
          <w:sz w:val="32"/>
          <w:szCs w:val="32"/>
          <w:shd w:val="clear" w:color="auto" w:fill="FFFFFF"/>
        </w:rPr>
        <w:t>1.</w:t>
      </w:r>
      <w:r>
        <w:rPr>
          <w:rFonts w:eastAsia="仿宋_GB2312"/>
          <w:b/>
          <w:bCs/>
          <w:color w:val="000000"/>
          <w:kern w:val="0"/>
          <w:sz w:val="32"/>
          <w:szCs w:val="32"/>
          <w:shd w:val="clear" w:color="auto" w:fill="FFFFFF"/>
          <w:lang w:val="zh-CN"/>
        </w:rPr>
        <w:t>履职</w:t>
      </w:r>
      <w:r>
        <w:rPr>
          <w:rFonts w:eastAsia="仿宋_GB2312"/>
          <w:b/>
          <w:bCs/>
          <w:color w:val="000000"/>
          <w:kern w:val="0"/>
          <w:sz w:val="32"/>
          <w:szCs w:val="32"/>
          <w:shd w:val="clear" w:color="auto" w:fill="FFFFFF"/>
        </w:rPr>
        <w:t>效能</w:t>
      </w:r>
      <w:r>
        <w:rPr>
          <w:rFonts w:eastAsia="仿宋_GB2312"/>
          <w:b/>
          <w:bCs/>
          <w:color w:val="000000"/>
          <w:kern w:val="0"/>
          <w:sz w:val="32"/>
          <w:szCs w:val="32"/>
          <w:shd w:val="clear" w:color="auto" w:fill="FFFFFF"/>
          <w:lang w:val="zh-CN"/>
        </w:rPr>
        <w:t>。</w:t>
      </w:r>
      <w:r>
        <w:rPr>
          <w:rFonts w:eastAsia="仿宋_GB2312"/>
          <w:sz w:val="32"/>
          <w:szCs w:val="32"/>
        </w:rPr>
        <w:t>2023年初部门预算绩效目标已全部完成，项目下达资金已全部完成支付，各对应工作项目已全部完成，达到绩效目标。</w:t>
      </w:r>
    </w:p>
    <w:p>
      <w:pPr>
        <w:pBdr>
          <w:bottom w:val="single" w:color="FFFFFF" w:sz="4" w:space="29"/>
        </w:pBdr>
        <w:autoSpaceDN w:val="0"/>
        <w:adjustRightInd w:val="0"/>
        <w:snapToGrid w:val="0"/>
        <w:spacing w:after="0" w:line="560" w:lineRule="exact"/>
        <w:ind w:firstLine="643" w:firstLineChars="200"/>
        <w:textAlignment w:val="baseline"/>
        <w:rPr>
          <w:rFonts w:eastAsia="仿宋_GB2312"/>
          <w:sz w:val="32"/>
          <w:szCs w:val="32"/>
          <w:lang w:val="zh-CN"/>
        </w:rPr>
      </w:pPr>
      <w:r>
        <w:rPr>
          <w:rFonts w:eastAsia="仿宋_GB2312"/>
          <w:b/>
          <w:bCs/>
          <w:color w:val="000000"/>
          <w:kern w:val="0"/>
          <w:sz w:val="32"/>
          <w:szCs w:val="32"/>
          <w:shd w:val="clear" w:color="auto" w:fill="FFFFFF"/>
        </w:rPr>
        <w:t>2.预算管理。</w:t>
      </w:r>
      <w:r>
        <w:rPr>
          <w:rFonts w:eastAsia="仿宋_GB2312"/>
          <w:sz w:val="32"/>
          <w:szCs w:val="32"/>
          <w:lang w:val="zh-CN"/>
        </w:rPr>
        <w:t>在预算编制质量方面，深入分析了预算设定的合规性、合理性和完整性。通过对比发现，本年度预算编制在数据准确性、收入和支出项目上的全面覆盖上表现良好。在支出执行进度方面，</w:t>
      </w:r>
      <w:r>
        <w:rPr>
          <w:rFonts w:eastAsia="仿宋_GB2312"/>
          <w:sz w:val="32"/>
          <w:szCs w:val="32"/>
        </w:rPr>
        <w:t>对</w:t>
      </w:r>
      <w:r>
        <w:rPr>
          <w:rFonts w:eastAsia="仿宋_GB2312"/>
          <w:sz w:val="32"/>
          <w:szCs w:val="32"/>
          <w:lang w:val="zh-CN"/>
        </w:rPr>
        <w:t>资金拨付的及时性和支出结构的合理性</w:t>
      </w:r>
      <w:r>
        <w:rPr>
          <w:rFonts w:eastAsia="仿宋_GB2312"/>
          <w:sz w:val="32"/>
          <w:szCs w:val="32"/>
        </w:rPr>
        <w:t>进行了分析</w:t>
      </w:r>
      <w:r>
        <w:rPr>
          <w:rFonts w:eastAsia="仿宋_GB2312"/>
          <w:sz w:val="32"/>
          <w:szCs w:val="32"/>
          <w:lang w:val="zh-CN"/>
        </w:rPr>
        <w:t>，</w:t>
      </w:r>
      <w:r>
        <w:rPr>
          <w:rFonts w:eastAsia="仿宋_GB2312"/>
          <w:sz w:val="32"/>
          <w:szCs w:val="32"/>
        </w:rPr>
        <w:t>发现</w:t>
      </w:r>
      <w:r>
        <w:rPr>
          <w:rFonts w:eastAsia="仿宋_GB2312"/>
          <w:sz w:val="32"/>
          <w:szCs w:val="32"/>
          <w:lang w:val="zh-CN"/>
        </w:rPr>
        <w:t>部分项目执行存在延迟，但总体而，预算执行效率符合预期。在严格一般性支出的控制方面，</w:t>
      </w:r>
      <w:r>
        <w:rPr>
          <w:rFonts w:eastAsia="仿宋_GB2312"/>
          <w:sz w:val="32"/>
          <w:szCs w:val="32"/>
        </w:rPr>
        <w:t>对</w:t>
      </w:r>
      <w:r>
        <w:rPr>
          <w:rFonts w:eastAsia="仿宋_GB2312"/>
          <w:sz w:val="32"/>
          <w:szCs w:val="32"/>
          <w:lang w:val="zh-CN"/>
        </w:rPr>
        <w:t>各项支出的必要性和成本效益</w:t>
      </w:r>
      <w:r>
        <w:rPr>
          <w:rFonts w:eastAsia="仿宋_GB2312"/>
          <w:sz w:val="32"/>
          <w:szCs w:val="32"/>
        </w:rPr>
        <w:t>进行了评估</w:t>
      </w:r>
      <w:r>
        <w:rPr>
          <w:rFonts w:eastAsia="仿宋_GB2312"/>
          <w:sz w:val="32"/>
          <w:szCs w:val="32"/>
          <w:lang w:val="zh-CN"/>
        </w:rPr>
        <w:t>，识别并削减了部分不必要的开支，提升了财政资金的使用效率。</w:t>
      </w:r>
    </w:p>
    <w:p>
      <w:pPr>
        <w:pBdr>
          <w:bottom w:val="single" w:color="FFFFFF" w:sz="4" w:space="29"/>
        </w:pBdr>
        <w:autoSpaceDN w:val="0"/>
        <w:adjustRightInd w:val="0"/>
        <w:snapToGrid w:val="0"/>
        <w:spacing w:after="0" w:line="560" w:lineRule="exact"/>
        <w:ind w:firstLine="643" w:firstLineChars="200"/>
        <w:textAlignment w:val="baseline"/>
        <w:rPr>
          <w:rFonts w:eastAsia="仿宋_GB2312"/>
          <w:sz w:val="32"/>
          <w:szCs w:val="32"/>
          <w:lang w:val="zh-CN"/>
        </w:rPr>
      </w:pPr>
      <w:r>
        <w:rPr>
          <w:rFonts w:eastAsia="仿宋_GB2312"/>
          <w:b/>
          <w:bCs/>
          <w:color w:val="000000"/>
          <w:kern w:val="0"/>
          <w:sz w:val="32"/>
          <w:szCs w:val="32"/>
          <w:shd w:val="clear" w:color="auto" w:fill="FFFFFF"/>
        </w:rPr>
        <w:t>3.财务管理。</w:t>
      </w:r>
      <w:r>
        <w:rPr>
          <w:rFonts w:eastAsia="仿宋_GB2312"/>
          <w:sz w:val="32"/>
          <w:szCs w:val="32"/>
        </w:rPr>
        <w:t>相关制度</w:t>
      </w:r>
      <w:r>
        <w:rPr>
          <w:rFonts w:eastAsia="仿宋_GB2312"/>
          <w:sz w:val="32"/>
          <w:szCs w:val="32"/>
          <w:lang w:val="zh-CN"/>
        </w:rPr>
        <w:t>在预算管理、会计核算、内部控制等方面能够有效指导日常财务工作。在财务岗位设置方面，我</w:t>
      </w:r>
      <w:r>
        <w:rPr>
          <w:rFonts w:eastAsia="仿宋_GB2312"/>
          <w:sz w:val="32"/>
          <w:szCs w:val="32"/>
        </w:rPr>
        <w:t>办</w:t>
      </w:r>
      <w:r>
        <w:rPr>
          <w:rFonts w:eastAsia="仿宋_GB2312"/>
          <w:sz w:val="32"/>
          <w:szCs w:val="32"/>
          <w:lang w:val="zh-CN"/>
        </w:rPr>
        <w:t>的财务结构设置基本合理，各岗位职责分明，有利于提高工作效率和准确性。资金使用方面均按照既定规范进行，确保了资金使用的合规性和有效性。</w:t>
      </w:r>
    </w:p>
    <w:p>
      <w:pPr>
        <w:pBdr>
          <w:bottom w:val="single" w:color="FFFFFF" w:sz="4" w:space="29"/>
        </w:pBdr>
        <w:autoSpaceDN w:val="0"/>
        <w:adjustRightInd w:val="0"/>
        <w:snapToGrid w:val="0"/>
        <w:spacing w:after="0" w:line="560" w:lineRule="exact"/>
        <w:ind w:firstLine="643" w:firstLineChars="200"/>
        <w:textAlignment w:val="baseline"/>
        <w:rPr>
          <w:rFonts w:eastAsia="仿宋_GB2312"/>
          <w:sz w:val="32"/>
          <w:szCs w:val="32"/>
          <w:lang w:val="zh-CN"/>
        </w:rPr>
      </w:pPr>
      <w:r>
        <w:rPr>
          <w:rFonts w:eastAsia="仿宋_GB2312"/>
          <w:b/>
          <w:bCs/>
          <w:color w:val="000000"/>
          <w:kern w:val="0"/>
          <w:sz w:val="32"/>
          <w:szCs w:val="32"/>
          <w:shd w:val="clear" w:color="auto" w:fill="FFFFFF"/>
        </w:rPr>
        <w:t>4.资产管理。</w:t>
      </w:r>
      <w:r>
        <w:rPr>
          <w:rFonts w:eastAsia="仿宋_GB2312"/>
          <w:sz w:val="32"/>
          <w:szCs w:val="32"/>
        </w:rPr>
        <w:t>我办</w:t>
      </w:r>
      <w:r>
        <w:rPr>
          <w:rFonts w:eastAsia="仿宋_GB2312"/>
          <w:sz w:val="32"/>
          <w:szCs w:val="32"/>
          <w:lang w:val="zh-CN"/>
        </w:rPr>
        <w:t>资产利用率保持在合理水平，资产配置中注重资产的使用效率，避免资源浪费。</w:t>
      </w:r>
      <w:r>
        <w:rPr>
          <w:rFonts w:eastAsia="仿宋_GB2312"/>
          <w:sz w:val="32"/>
          <w:szCs w:val="32"/>
        </w:rPr>
        <w:t>持续</w:t>
      </w:r>
      <w:r>
        <w:rPr>
          <w:rFonts w:eastAsia="仿宋_GB2312"/>
          <w:sz w:val="32"/>
          <w:szCs w:val="32"/>
          <w:lang w:val="zh-CN"/>
        </w:rPr>
        <w:t>深化资产管理工作，优化资产配置，提高资产利用效率，积极探索资产盘活新途径，以进一步提升资产管理的绩效。</w:t>
      </w:r>
    </w:p>
    <w:p>
      <w:pPr>
        <w:pBdr>
          <w:bottom w:val="single" w:color="FFFFFF" w:sz="4" w:space="29"/>
        </w:pBdr>
        <w:autoSpaceDN w:val="0"/>
        <w:adjustRightInd w:val="0"/>
        <w:snapToGrid w:val="0"/>
        <w:spacing w:after="0" w:line="560" w:lineRule="exact"/>
        <w:ind w:firstLine="643" w:firstLineChars="200"/>
        <w:textAlignment w:val="baseline"/>
        <w:rPr>
          <w:rFonts w:eastAsia="仿宋_GB2312"/>
          <w:sz w:val="32"/>
          <w:szCs w:val="32"/>
          <w:lang w:val="zh-CN"/>
        </w:rPr>
      </w:pPr>
      <w:r>
        <w:rPr>
          <w:rFonts w:eastAsia="仿宋_GB2312"/>
          <w:b/>
          <w:bCs/>
          <w:color w:val="000000"/>
          <w:kern w:val="0"/>
          <w:sz w:val="32"/>
          <w:szCs w:val="32"/>
          <w:shd w:val="clear" w:color="auto" w:fill="FFFFFF"/>
        </w:rPr>
        <w:t>5.采购管理。</w:t>
      </w:r>
      <w:r>
        <w:rPr>
          <w:rFonts w:eastAsia="仿宋_GB2312"/>
          <w:sz w:val="32"/>
          <w:szCs w:val="32"/>
        </w:rPr>
        <w:t>持续</w:t>
      </w:r>
      <w:r>
        <w:rPr>
          <w:rFonts w:eastAsia="仿宋_GB2312"/>
          <w:sz w:val="32"/>
          <w:szCs w:val="32"/>
          <w:lang w:val="zh-CN"/>
        </w:rPr>
        <w:t>优化采购政策，加大对中小企业的支持力度，同时提高采购流程的效率和适应性，以应对复杂多变的市场环境，进一步提升采购管理的整体绩效。</w:t>
      </w:r>
    </w:p>
    <w:p>
      <w:pPr>
        <w:pBdr>
          <w:bottom w:val="single" w:color="FFFFFF" w:sz="4" w:space="29"/>
        </w:pBdr>
        <w:autoSpaceDN w:val="0"/>
        <w:adjustRightInd w:val="0"/>
        <w:snapToGrid w:val="0"/>
        <w:spacing w:after="0" w:line="560" w:lineRule="exact"/>
        <w:ind w:firstLine="643" w:firstLineChars="200"/>
        <w:textAlignment w:val="baseline"/>
        <w:rPr>
          <w:rFonts w:eastAsia="仿宋_GB2312"/>
          <w:sz w:val="32"/>
          <w:szCs w:val="32"/>
          <w:lang w:val="zh-CN"/>
        </w:rPr>
      </w:pPr>
      <w:r>
        <w:rPr>
          <w:rFonts w:eastAsia="楷体_GB2312"/>
          <w:b/>
          <w:sz w:val="32"/>
          <w:szCs w:val="32"/>
        </w:rPr>
        <w:t>（二）部门预算项目绩效分析。</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lang w:val="zh-CN"/>
        </w:rPr>
      </w:pPr>
      <w:r>
        <w:rPr>
          <w:rFonts w:eastAsia="仿宋_GB2312"/>
          <w:sz w:val="32"/>
          <w:szCs w:val="32"/>
          <w:lang w:val="zh-CN"/>
        </w:rPr>
        <w:t>常年项目绩效分析。该类项目总数</w:t>
      </w:r>
      <w:r>
        <w:rPr>
          <w:rFonts w:eastAsia="仿宋_GB2312"/>
          <w:sz w:val="32"/>
          <w:szCs w:val="32"/>
        </w:rPr>
        <w:t>2</w:t>
      </w:r>
      <w:r>
        <w:rPr>
          <w:rFonts w:eastAsia="仿宋_GB2312"/>
          <w:sz w:val="32"/>
          <w:szCs w:val="32"/>
          <w:lang w:val="zh-CN"/>
        </w:rPr>
        <w:t>个，涉及预算总金额</w:t>
      </w:r>
      <w:r>
        <w:rPr>
          <w:rFonts w:eastAsia="仿宋_GB2312"/>
          <w:sz w:val="32"/>
          <w:szCs w:val="32"/>
        </w:rPr>
        <w:t>76.62</w:t>
      </w:r>
      <w:r>
        <w:rPr>
          <w:rFonts w:eastAsia="仿宋_GB2312"/>
          <w:sz w:val="32"/>
          <w:szCs w:val="32"/>
          <w:lang w:val="zh-CN"/>
        </w:rPr>
        <w:t>万元，1—12月预算执行总体进度为</w:t>
      </w:r>
      <w:r>
        <w:rPr>
          <w:rFonts w:eastAsia="仿宋_GB2312"/>
          <w:sz w:val="32"/>
          <w:szCs w:val="32"/>
        </w:rPr>
        <w:t>100</w:t>
      </w:r>
      <w:r>
        <w:rPr>
          <w:rFonts w:eastAsia="仿宋_GB2312"/>
          <w:sz w:val="32"/>
          <w:szCs w:val="32"/>
          <w:lang w:val="zh-CN"/>
        </w:rPr>
        <w:t>%，其中：预算结余率大于10%的项目共计</w:t>
      </w:r>
      <w:r>
        <w:rPr>
          <w:rFonts w:eastAsia="仿宋_GB2312"/>
          <w:sz w:val="32"/>
          <w:szCs w:val="32"/>
        </w:rPr>
        <w:t>0</w:t>
      </w:r>
      <w:r>
        <w:rPr>
          <w:rFonts w:eastAsia="仿宋_GB2312"/>
          <w:sz w:val="32"/>
          <w:szCs w:val="32"/>
          <w:lang w:val="zh-CN"/>
        </w:rPr>
        <w:t>个。</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lang w:val="zh-CN"/>
        </w:rPr>
      </w:pPr>
      <w:r>
        <w:rPr>
          <w:rFonts w:eastAsia="仿宋_GB2312"/>
          <w:sz w:val="32"/>
          <w:szCs w:val="32"/>
          <w:lang w:val="zh-CN"/>
        </w:rPr>
        <w:t>阶段（一次性）项目绩效分析。该类项目总数</w:t>
      </w:r>
      <w:r>
        <w:rPr>
          <w:rFonts w:eastAsia="仿宋_GB2312"/>
          <w:sz w:val="32"/>
          <w:szCs w:val="32"/>
        </w:rPr>
        <w:t>2</w:t>
      </w:r>
      <w:r>
        <w:rPr>
          <w:rFonts w:eastAsia="仿宋_GB2312"/>
          <w:sz w:val="32"/>
          <w:szCs w:val="32"/>
          <w:lang w:val="zh-CN"/>
        </w:rPr>
        <w:t>个，涉及预算总金额</w:t>
      </w:r>
      <w:r>
        <w:rPr>
          <w:rFonts w:eastAsia="仿宋_GB2312"/>
          <w:sz w:val="32"/>
          <w:szCs w:val="32"/>
        </w:rPr>
        <w:t>420.87</w:t>
      </w:r>
      <w:r>
        <w:rPr>
          <w:rFonts w:eastAsia="仿宋_GB2312"/>
          <w:sz w:val="32"/>
          <w:szCs w:val="32"/>
          <w:lang w:val="zh-CN"/>
        </w:rPr>
        <w:t>万元，1—12月预算执行总体进度为</w:t>
      </w:r>
      <w:r>
        <w:rPr>
          <w:rFonts w:eastAsia="仿宋_GB2312"/>
          <w:sz w:val="32"/>
          <w:szCs w:val="32"/>
        </w:rPr>
        <w:t>100</w:t>
      </w:r>
      <w:r>
        <w:rPr>
          <w:rFonts w:eastAsia="仿宋_GB2312"/>
          <w:sz w:val="32"/>
          <w:szCs w:val="32"/>
          <w:lang w:val="zh-CN"/>
        </w:rPr>
        <w:t>%，其中：预算结余率大于10%的项目共计</w:t>
      </w:r>
      <w:r>
        <w:rPr>
          <w:rFonts w:eastAsia="仿宋_GB2312"/>
          <w:sz w:val="32"/>
          <w:szCs w:val="32"/>
        </w:rPr>
        <w:t>0</w:t>
      </w:r>
      <w:r>
        <w:rPr>
          <w:rFonts w:eastAsia="仿宋_GB2312"/>
          <w:sz w:val="32"/>
          <w:szCs w:val="32"/>
          <w:lang w:val="zh-CN"/>
        </w:rPr>
        <w:t>个。</w:t>
      </w:r>
    </w:p>
    <w:p>
      <w:pPr>
        <w:pBdr>
          <w:bottom w:val="single" w:color="FFFFFF" w:sz="4" w:space="29"/>
        </w:pBdr>
        <w:autoSpaceDN w:val="0"/>
        <w:adjustRightInd w:val="0"/>
        <w:snapToGrid w:val="0"/>
        <w:spacing w:after="0" w:line="560" w:lineRule="exact"/>
        <w:ind w:firstLine="643" w:firstLineChars="200"/>
        <w:textAlignment w:val="baseline"/>
        <w:rPr>
          <w:rFonts w:eastAsia="仿宋_GB2312"/>
          <w:b/>
          <w:bCs/>
          <w:color w:val="0000FF"/>
          <w:kern w:val="0"/>
          <w:sz w:val="32"/>
          <w:szCs w:val="32"/>
          <w:shd w:val="clear" w:color="auto" w:fill="FFFFFF"/>
        </w:rPr>
      </w:pPr>
      <w:r>
        <w:rPr>
          <w:rFonts w:eastAsia="仿宋_GB2312"/>
          <w:b/>
          <w:bCs/>
          <w:sz w:val="32"/>
          <w:szCs w:val="32"/>
          <w:lang w:val="zh-CN"/>
        </w:rPr>
        <w:t>1.项目决策。</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lang w:val="zh-CN"/>
        </w:rPr>
      </w:pPr>
      <w:r>
        <w:rPr>
          <w:rFonts w:eastAsia="仿宋_GB2312"/>
          <w:sz w:val="32"/>
          <w:szCs w:val="32"/>
        </w:rPr>
        <w:t>我办</w:t>
      </w:r>
      <w:r>
        <w:rPr>
          <w:rFonts w:eastAsia="仿宋_GB2312"/>
          <w:sz w:val="32"/>
          <w:szCs w:val="32"/>
          <w:lang w:val="zh-CN"/>
        </w:rPr>
        <w:t>在项目决策过程中，</w:t>
      </w:r>
      <w:r>
        <w:rPr>
          <w:rFonts w:eastAsia="仿宋_GB2312"/>
          <w:sz w:val="32"/>
          <w:szCs w:val="32"/>
        </w:rPr>
        <w:t>为了</w:t>
      </w:r>
      <w:r>
        <w:rPr>
          <w:rFonts w:eastAsia="仿宋_GB2312"/>
          <w:sz w:val="32"/>
          <w:szCs w:val="32"/>
          <w:lang w:val="zh-CN"/>
        </w:rPr>
        <w:t>确保项目目标的实现，提高资源利用效率和项目决策的透明度。</w:t>
      </w:r>
      <w:r>
        <w:rPr>
          <w:rFonts w:eastAsia="仿宋_GB2312"/>
          <w:sz w:val="32"/>
          <w:szCs w:val="32"/>
        </w:rPr>
        <w:t>通过</w:t>
      </w:r>
      <w:r>
        <w:rPr>
          <w:rFonts w:eastAsia="仿宋_GB2312"/>
          <w:sz w:val="32"/>
          <w:szCs w:val="32"/>
          <w:lang w:val="zh-CN"/>
        </w:rPr>
        <w:t>预测项目实施后的直接经济效益和社会价值，该项目可能带来的社会稳定等社会效益</w:t>
      </w:r>
      <w:r>
        <w:rPr>
          <w:rFonts w:eastAsia="仿宋_GB2312"/>
          <w:sz w:val="32"/>
          <w:szCs w:val="32"/>
        </w:rPr>
        <w:t>科学立项</w:t>
      </w:r>
      <w:r>
        <w:rPr>
          <w:rFonts w:eastAsia="仿宋_GB2312"/>
          <w:sz w:val="32"/>
          <w:szCs w:val="32"/>
          <w:lang w:val="zh-CN"/>
        </w:rPr>
        <w:t>。</w:t>
      </w:r>
      <w:r>
        <w:rPr>
          <w:rFonts w:eastAsia="仿宋_GB2312"/>
          <w:sz w:val="32"/>
          <w:szCs w:val="32"/>
        </w:rPr>
        <w:t>项目实施过程中通过</w:t>
      </w:r>
      <w:r>
        <w:rPr>
          <w:rFonts w:eastAsia="仿宋_GB2312"/>
          <w:sz w:val="32"/>
          <w:szCs w:val="32"/>
          <w:lang w:val="zh-CN"/>
        </w:rPr>
        <w:t>问题识别、方案制定、风险评估、决策制定和执行</w:t>
      </w:r>
      <w:r>
        <w:rPr>
          <w:rFonts w:eastAsia="仿宋_GB2312"/>
          <w:sz w:val="32"/>
          <w:szCs w:val="32"/>
        </w:rPr>
        <w:t>五步对项目进行全面控制</w:t>
      </w:r>
      <w:r>
        <w:rPr>
          <w:rFonts w:eastAsia="仿宋_GB2312"/>
          <w:sz w:val="32"/>
          <w:szCs w:val="32"/>
          <w:lang w:val="zh-CN"/>
        </w:rPr>
        <w:t>。</w:t>
      </w:r>
    </w:p>
    <w:p>
      <w:pPr>
        <w:pBdr>
          <w:bottom w:val="single" w:color="FFFFFF" w:sz="4" w:space="29"/>
        </w:pBdr>
        <w:autoSpaceDN w:val="0"/>
        <w:adjustRightInd w:val="0"/>
        <w:snapToGrid w:val="0"/>
        <w:spacing w:after="0" w:line="560" w:lineRule="exact"/>
        <w:ind w:firstLine="643" w:firstLineChars="200"/>
        <w:textAlignment w:val="baseline"/>
        <w:rPr>
          <w:rFonts w:eastAsia="仿宋_GB2312"/>
          <w:b/>
          <w:bCs/>
          <w:sz w:val="32"/>
          <w:szCs w:val="32"/>
          <w:lang w:val="zh-CN"/>
        </w:rPr>
      </w:pPr>
      <w:r>
        <w:rPr>
          <w:rFonts w:eastAsia="仿宋_GB2312"/>
          <w:b/>
          <w:bCs/>
          <w:sz w:val="32"/>
          <w:szCs w:val="32"/>
          <w:lang w:val="zh-CN"/>
        </w:rPr>
        <w:t>2.项目执行。</w:t>
      </w:r>
    </w:p>
    <w:p>
      <w:pPr>
        <w:pBdr>
          <w:bottom w:val="single" w:color="FFFFFF" w:sz="4" w:space="29"/>
        </w:pBdr>
        <w:autoSpaceDN w:val="0"/>
        <w:adjustRightInd w:val="0"/>
        <w:snapToGrid w:val="0"/>
        <w:spacing w:after="0" w:line="560" w:lineRule="exact"/>
        <w:ind w:firstLine="640" w:firstLineChars="200"/>
        <w:textAlignment w:val="baseline"/>
        <w:rPr>
          <w:rFonts w:eastAsia="仿宋_GB2312"/>
          <w:kern w:val="0"/>
          <w:sz w:val="32"/>
          <w:szCs w:val="32"/>
          <w:shd w:val="clear" w:color="auto" w:fill="FFFFFF"/>
          <w:lang w:val="zh-CN"/>
        </w:rPr>
      </w:pPr>
      <w:r>
        <w:rPr>
          <w:rFonts w:eastAsia="仿宋_GB2312"/>
          <w:kern w:val="0"/>
          <w:sz w:val="32"/>
          <w:szCs w:val="32"/>
          <w:shd w:val="clear" w:color="auto" w:fill="FFFFFF"/>
        </w:rPr>
        <w:t>我办2023年</w:t>
      </w:r>
      <w:r>
        <w:rPr>
          <w:rFonts w:eastAsia="仿宋_GB2312"/>
          <w:kern w:val="0"/>
          <w:sz w:val="32"/>
          <w:szCs w:val="32"/>
          <w:shd w:val="clear" w:color="auto" w:fill="FFFFFF"/>
          <w:lang w:val="zh-CN"/>
        </w:rPr>
        <w:t>项目主要有</w:t>
      </w:r>
      <w:r>
        <w:rPr>
          <w:rFonts w:eastAsia="仿宋_GB2312"/>
          <w:color w:val="000000" w:themeColor="text1"/>
          <w:kern w:val="0"/>
          <w:sz w:val="32"/>
          <w:szCs w:val="32"/>
          <w:shd w:val="clear" w:color="auto" w:fill="FFFFFF"/>
          <w:lang w:val="zh-CN"/>
          <w14:textFill>
            <w14:solidFill>
              <w14:schemeClr w14:val="tx1"/>
            </w14:solidFill>
          </w14:textFill>
        </w:rPr>
        <w:t>等。2023年项目</w:t>
      </w:r>
      <w:r>
        <w:rPr>
          <w:rFonts w:eastAsia="仿宋_GB2312"/>
          <w:kern w:val="0"/>
          <w:sz w:val="32"/>
          <w:szCs w:val="32"/>
          <w:shd w:val="clear" w:color="auto" w:fill="FFFFFF"/>
          <w:lang w:val="zh-CN"/>
        </w:rPr>
        <w:t>经费预算</w:t>
      </w:r>
      <w:r>
        <w:rPr>
          <w:rFonts w:eastAsia="仿宋_GB2312"/>
          <w:sz w:val="32"/>
          <w:szCs w:val="32"/>
        </w:rPr>
        <w:t>497.49万元</w:t>
      </w:r>
      <w:r>
        <w:rPr>
          <w:rFonts w:eastAsia="仿宋_GB2312"/>
          <w:kern w:val="0"/>
          <w:sz w:val="32"/>
          <w:szCs w:val="32"/>
          <w:shd w:val="clear" w:color="auto" w:fill="FFFFFF"/>
          <w:lang w:val="zh-CN"/>
        </w:rPr>
        <w:t>，年度项目经费</w:t>
      </w:r>
      <w:r>
        <w:rPr>
          <w:rFonts w:eastAsia="仿宋_GB2312"/>
          <w:kern w:val="0"/>
          <w:sz w:val="32"/>
          <w:szCs w:val="32"/>
          <w:shd w:val="clear" w:color="auto" w:fill="FFFFFF"/>
        </w:rPr>
        <w:t>决算</w:t>
      </w:r>
      <w:r>
        <w:rPr>
          <w:rFonts w:eastAsia="仿宋_GB2312"/>
          <w:kern w:val="0"/>
          <w:sz w:val="32"/>
          <w:szCs w:val="32"/>
          <w:shd w:val="clear" w:color="auto" w:fill="FFFFFF"/>
          <w:lang w:val="zh-CN"/>
        </w:rPr>
        <w:t>支出</w:t>
      </w:r>
      <w:r>
        <w:rPr>
          <w:rFonts w:eastAsia="仿宋_GB2312"/>
          <w:sz w:val="32"/>
          <w:szCs w:val="32"/>
        </w:rPr>
        <w:t>497.49万元</w:t>
      </w:r>
      <w:r>
        <w:rPr>
          <w:rFonts w:eastAsia="仿宋_GB2312"/>
          <w:kern w:val="0"/>
          <w:sz w:val="32"/>
          <w:szCs w:val="32"/>
          <w:shd w:val="clear" w:color="auto" w:fill="FFFFFF"/>
          <w:lang w:val="zh-CN"/>
        </w:rPr>
        <w:t>，项目经费无结余，项目经费控制率100%。</w:t>
      </w:r>
    </w:p>
    <w:p>
      <w:pPr>
        <w:pBdr>
          <w:bottom w:val="single" w:color="FFFFFF" w:sz="4" w:space="29"/>
        </w:pBdr>
        <w:autoSpaceDN w:val="0"/>
        <w:adjustRightInd w:val="0"/>
        <w:snapToGrid w:val="0"/>
        <w:spacing w:after="0" w:line="560" w:lineRule="exact"/>
        <w:ind w:firstLine="643" w:firstLineChars="200"/>
        <w:textAlignment w:val="baseline"/>
        <w:rPr>
          <w:rFonts w:eastAsia="仿宋_GB2312"/>
          <w:b/>
          <w:bCs/>
          <w:sz w:val="32"/>
          <w:szCs w:val="32"/>
          <w:lang w:val="zh-CN"/>
        </w:rPr>
      </w:pPr>
      <w:r>
        <w:rPr>
          <w:rFonts w:eastAsia="仿宋_GB2312"/>
          <w:b/>
          <w:bCs/>
          <w:sz w:val="32"/>
          <w:szCs w:val="32"/>
          <w:lang w:val="zh-CN"/>
        </w:rPr>
        <w:t>3.目标实现。</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kern w:val="0"/>
          <w:sz w:val="32"/>
          <w:szCs w:val="32"/>
          <w:shd w:val="clear" w:color="auto" w:fill="FFFFFF"/>
          <w:lang w:val="zh-CN"/>
        </w:rPr>
        <w:t>我</w:t>
      </w:r>
      <w:r>
        <w:rPr>
          <w:rFonts w:eastAsia="仿宋_GB2312"/>
          <w:kern w:val="0"/>
          <w:sz w:val="32"/>
          <w:szCs w:val="32"/>
          <w:shd w:val="clear" w:color="auto" w:fill="FFFFFF"/>
        </w:rPr>
        <w:t>办</w:t>
      </w:r>
      <w:r>
        <w:rPr>
          <w:rFonts w:eastAsia="仿宋_GB2312"/>
          <w:kern w:val="0"/>
          <w:sz w:val="32"/>
          <w:szCs w:val="32"/>
          <w:shd w:val="clear" w:color="auto" w:fill="FFFFFF"/>
          <w:lang w:val="zh-CN"/>
        </w:rPr>
        <w:t>均衡安排各个项目资金的执行进度，贯彻落实过紧日子的要求，</w:t>
      </w:r>
      <w:r>
        <w:rPr>
          <w:rFonts w:eastAsia="仿宋_GB2312"/>
          <w:color w:val="000000"/>
          <w:sz w:val="32"/>
          <w:szCs w:val="32"/>
        </w:rPr>
        <w:t>压减了</w:t>
      </w:r>
      <w:r>
        <w:rPr>
          <w:rFonts w:eastAsia="仿宋_GB2312"/>
          <w:kern w:val="0"/>
          <w:sz w:val="32"/>
          <w:szCs w:val="32"/>
          <w:shd w:val="clear" w:color="auto" w:fill="FFFFFF"/>
          <w:lang w:val="zh-CN"/>
        </w:rPr>
        <w:t>县政府网站建设运维经费，</w:t>
      </w:r>
      <w:r>
        <w:rPr>
          <w:rFonts w:eastAsia="仿宋_GB2312"/>
          <w:color w:val="000000"/>
          <w:sz w:val="32"/>
          <w:szCs w:val="32"/>
        </w:rPr>
        <w:t>财政资金使用效益不断提高。</w:t>
      </w:r>
      <w:r>
        <w:rPr>
          <w:rFonts w:eastAsia="仿宋_GB2312"/>
          <w:sz w:val="32"/>
          <w:szCs w:val="32"/>
        </w:rPr>
        <w:t>年末没有财政结余资金，预算控制较好。</w:t>
      </w:r>
    </w:p>
    <w:p>
      <w:pPr>
        <w:pBdr>
          <w:bottom w:val="single" w:color="FFFFFF" w:sz="4" w:space="29"/>
        </w:pBdr>
        <w:autoSpaceDN w:val="0"/>
        <w:adjustRightInd w:val="0"/>
        <w:snapToGrid w:val="0"/>
        <w:spacing w:after="0" w:line="560" w:lineRule="exact"/>
        <w:ind w:firstLine="643" w:firstLineChars="200"/>
        <w:textAlignment w:val="baseline"/>
        <w:rPr>
          <w:rFonts w:eastAsia="仿宋_GB2312"/>
          <w:sz w:val="32"/>
          <w:szCs w:val="32"/>
        </w:rPr>
      </w:pPr>
      <w:r>
        <w:rPr>
          <w:rFonts w:eastAsia="楷体_GB2312"/>
          <w:b/>
          <w:sz w:val="32"/>
          <w:szCs w:val="32"/>
        </w:rPr>
        <w:t>（三）重点领域绩效分析。</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我办2023年度无涉及国有资本、行政事业性国有资产、债券资金、政府采购和政府购买服务等重点领域的项目。</w:t>
      </w:r>
    </w:p>
    <w:p>
      <w:pPr>
        <w:pBdr>
          <w:bottom w:val="single" w:color="FFFFFF" w:sz="4" w:space="29"/>
        </w:pBdr>
        <w:autoSpaceDN w:val="0"/>
        <w:adjustRightInd w:val="0"/>
        <w:snapToGrid w:val="0"/>
        <w:spacing w:after="0" w:line="560" w:lineRule="exact"/>
        <w:ind w:firstLine="643" w:firstLineChars="200"/>
        <w:textAlignment w:val="baseline"/>
        <w:rPr>
          <w:rFonts w:eastAsia="仿宋_GB2312"/>
          <w:sz w:val="32"/>
          <w:szCs w:val="32"/>
        </w:rPr>
      </w:pPr>
      <w:r>
        <w:rPr>
          <w:rFonts w:eastAsia="楷体_GB2312"/>
          <w:b/>
          <w:sz w:val="32"/>
          <w:szCs w:val="32"/>
        </w:rPr>
        <w:t>（四）绩效结果应用情况。</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绩效自评对规范财政资金支出管理、强化绩效目标管理理念、加强资金使用效率起到了积极的促进作用。我办将此次绩效自评的结果运用到2024年工作统筹安排、项目资金合理分配使用上，进一步提高工作效率，保质保量完成县委、县政府交办的各项工作。按照财政部门统一安排部署，对部门项目绩效目标设置情况、部门整体支出绩效自评报告和项目绩效目标管理情况进行公开，自觉接受公众监督，进一步提高财政资金管理透明度。</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bookmarkStart w:id="117" w:name="_Toc25064_WPSOffice_Level2"/>
      <w:r>
        <w:rPr>
          <w:rFonts w:eastAsia="黑体"/>
          <w:sz w:val="32"/>
          <w:szCs w:val="32"/>
        </w:rPr>
        <w:t>四、评价结论及建议</w:t>
      </w:r>
      <w:bookmarkEnd w:id="117"/>
    </w:p>
    <w:p>
      <w:pPr>
        <w:pBdr>
          <w:bottom w:val="single" w:color="FFFFFF" w:sz="4" w:space="29"/>
        </w:pBdr>
        <w:autoSpaceDN w:val="0"/>
        <w:adjustRightInd w:val="0"/>
        <w:snapToGrid w:val="0"/>
        <w:spacing w:after="0" w:line="560" w:lineRule="exact"/>
        <w:ind w:firstLine="643" w:firstLineChars="200"/>
        <w:textAlignment w:val="baseline"/>
        <w:rPr>
          <w:rFonts w:eastAsia="仿宋_GB2312"/>
          <w:sz w:val="32"/>
          <w:szCs w:val="32"/>
        </w:rPr>
      </w:pPr>
      <w:r>
        <w:rPr>
          <w:rFonts w:eastAsia="楷体_GB2312"/>
          <w:b/>
          <w:sz w:val="32"/>
          <w:szCs w:val="32"/>
        </w:rPr>
        <w:t>（一）评价结论。</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lang w:val="zh-CN"/>
        </w:rPr>
      </w:pPr>
      <w:r>
        <w:rPr>
          <w:rFonts w:eastAsia="仿宋_GB2312"/>
          <w:sz w:val="32"/>
          <w:szCs w:val="32"/>
        </w:rPr>
        <w:t>2023年县政府办公室实行综合预算制度（全部收入和支出都反映在预算中），严格按照预算批复规范执行预算。认真落实厉行节约各项政策，牢固树立过“紧日子”的思想，在资金使用和管理方面，进一步强化资金统筹，优化资金结构，明确开支范围，细化资金用途，严格控制办公费、差旅费、公务接待费等一般性支出。在县政府办公室党组的正确领导下，认真履行职责，把服务和监督有机结合，规范、高效完各项工作，达到预期绩效目标，总体满意。</w:t>
      </w:r>
    </w:p>
    <w:p>
      <w:pPr>
        <w:pBdr>
          <w:bottom w:val="single" w:color="FFFFFF" w:sz="4" w:space="29"/>
        </w:pBdr>
        <w:autoSpaceDN w:val="0"/>
        <w:adjustRightInd w:val="0"/>
        <w:snapToGrid w:val="0"/>
        <w:spacing w:after="0" w:line="560" w:lineRule="exact"/>
        <w:ind w:firstLine="643" w:firstLineChars="200"/>
        <w:textAlignment w:val="baseline"/>
        <w:rPr>
          <w:rFonts w:eastAsia="仿宋_GB2312"/>
          <w:sz w:val="32"/>
          <w:szCs w:val="32"/>
          <w:lang w:val="zh-CN"/>
        </w:rPr>
      </w:pPr>
      <w:r>
        <w:rPr>
          <w:rFonts w:eastAsia="楷体_GB2312"/>
          <w:b/>
          <w:sz w:val="32"/>
          <w:szCs w:val="32"/>
        </w:rPr>
        <w:t>（二）存在问题。</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1.项目资金绩效目标设立明确、细化和量化不够。</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2.资金使用效益有待进一步提高。</w:t>
      </w:r>
    </w:p>
    <w:p>
      <w:pPr>
        <w:pBdr>
          <w:bottom w:val="single" w:color="FFFFFF" w:sz="4" w:space="29"/>
        </w:pBdr>
        <w:autoSpaceDN w:val="0"/>
        <w:adjustRightInd w:val="0"/>
        <w:snapToGrid w:val="0"/>
        <w:spacing w:after="0" w:line="560" w:lineRule="exact"/>
        <w:ind w:firstLine="643" w:firstLineChars="200"/>
        <w:textAlignment w:val="baseline"/>
        <w:rPr>
          <w:rFonts w:eastAsia="仿宋_GB2312"/>
          <w:sz w:val="32"/>
          <w:szCs w:val="32"/>
        </w:rPr>
      </w:pPr>
      <w:r>
        <w:rPr>
          <w:rFonts w:eastAsia="楷体_GB2312"/>
          <w:b/>
          <w:sz w:val="32"/>
          <w:szCs w:val="32"/>
        </w:rPr>
        <w:t>（三）改进建议。</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1.遵循预算管理办法，从严控制年中追加预算规模。对于年度无法预计的临时追加的相关工作所需经费，严格按照预算调整追加程序，逐级申报、报批，有效降低预算控制率。</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2.保障预算执行进度。加快推进项目实施进度，加强项目开展进度的跟踪，开展项目绩效的跟踪和评价，确保项目绩效的完成，发挥资金的使用效益，提高预算完成率。</w:t>
      </w:r>
    </w:p>
    <w:p>
      <w:pPr>
        <w:pBdr>
          <w:bottom w:val="single" w:color="FFFFFF" w:sz="4" w:space="29"/>
        </w:pBdr>
        <w:autoSpaceDN w:val="0"/>
        <w:adjustRightInd w:val="0"/>
        <w:snapToGrid w:val="0"/>
        <w:spacing w:after="0" w:line="560" w:lineRule="exact"/>
        <w:ind w:firstLine="640" w:firstLineChars="200"/>
        <w:textAlignment w:val="baseline"/>
        <w:rPr>
          <w:rFonts w:eastAsia="仿宋_GB2312"/>
          <w:sz w:val="32"/>
          <w:szCs w:val="32"/>
        </w:rPr>
      </w:pPr>
      <w:r>
        <w:rPr>
          <w:rFonts w:eastAsia="仿宋_GB2312"/>
          <w:sz w:val="32"/>
          <w:szCs w:val="32"/>
        </w:rPr>
        <w:t>3.加强股室间沟通协调，项目执行股室加强项目目标具体考核细化，确保绩效目标设置科学合理，保证项目完成质量。</w:t>
      </w:r>
    </w:p>
    <w:p>
      <w:pPr>
        <w:pBdr>
          <w:bottom w:val="single" w:color="FFFFFF" w:sz="4" w:space="29"/>
        </w:pBdr>
        <w:autoSpaceDN w:val="0"/>
        <w:adjustRightInd w:val="0"/>
        <w:snapToGrid w:val="0"/>
        <w:spacing w:after="0" w:line="560" w:lineRule="exact"/>
        <w:ind w:firstLine="640" w:firstLineChars="200"/>
        <w:textAlignment w:val="baseline"/>
        <w:rPr>
          <w:rFonts w:eastAsia="仿宋_GB2312"/>
        </w:rPr>
      </w:pPr>
      <w:r>
        <w:rPr>
          <w:rFonts w:eastAsia="仿宋_GB2312"/>
          <w:sz w:val="32"/>
          <w:szCs w:val="32"/>
        </w:rPr>
        <w:t>4.加强</w:t>
      </w:r>
      <w:r>
        <w:rPr>
          <w:rFonts w:eastAsia="仿宋_GB2312"/>
          <w:color w:val="000000"/>
          <w:sz w:val="32"/>
          <w:szCs w:val="32"/>
        </w:rPr>
        <w:t>预算绩效管理</w:t>
      </w:r>
      <w:r>
        <w:rPr>
          <w:rFonts w:eastAsia="仿宋_GB2312"/>
          <w:sz w:val="32"/>
          <w:szCs w:val="32"/>
        </w:rPr>
        <w:t>业务学习及培训，提高业务人员绩效管理意识，进一步加强预算绩效管理工作，优化项目支出绩效指标体系，完善预算绩效管理制度，推动我办2023年预算绩效管理工作常态化、规范化。</w:t>
      </w:r>
    </w:p>
    <w:p>
      <w:pPr>
        <w:pBdr>
          <w:bottom w:val="single" w:color="FFFFFF" w:sz="4" w:space="29"/>
        </w:pBdr>
        <w:autoSpaceDN w:val="0"/>
        <w:adjustRightInd w:val="0"/>
        <w:snapToGrid w:val="0"/>
        <w:spacing w:after="0" w:line="560" w:lineRule="exact"/>
        <w:textAlignment w:val="baseline"/>
        <w:rPr>
          <w:rFonts w:eastAsia="仿宋_GB2312"/>
        </w:rPr>
      </w:pPr>
      <w:r>
        <w:rPr>
          <w:rFonts w:eastAsia="黑体"/>
          <w:sz w:val="32"/>
          <w:szCs w:val="32"/>
        </w:rPr>
        <w:t>附件2</w:t>
      </w:r>
    </w:p>
    <w:p>
      <w:pPr>
        <w:snapToGrid w:val="0"/>
        <w:spacing w:after="0" w:line="560" w:lineRule="exact"/>
        <w:jc w:val="center"/>
        <w:rPr>
          <w:rFonts w:eastAsia="方正小标宋简体"/>
          <w:sz w:val="44"/>
          <w:szCs w:val="44"/>
        </w:rPr>
      </w:pPr>
      <w:bookmarkStart w:id="118" w:name="_Toc1615_WPSOffice_Level2"/>
      <w:r>
        <w:rPr>
          <w:rFonts w:eastAsia="方正小标宋简体"/>
          <w:sz w:val="44"/>
          <w:szCs w:val="44"/>
        </w:rPr>
        <w:t>县政府办公经费项目支出</w:t>
      </w:r>
      <w:bookmarkEnd w:id="118"/>
    </w:p>
    <w:p>
      <w:pPr>
        <w:snapToGrid w:val="0"/>
        <w:spacing w:after="0" w:line="560" w:lineRule="exact"/>
        <w:jc w:val="center"/>
        <w:rPr>
          <w:rFonts w:eastAsia="方正小标宋简体"/>
          <w:sz w:val="44"/>
          <w:szCs w:val="44"/>
        </w:rPr>
      </w:pPr>
      <w:bookmarkStart w:id="119" w:name="_Toc30853_WPSOffice_Level2"/>
      <w:r>
        <w:rPr>
          <w:rFonts w:eastAsia="方正小标宋简体"/>
          <w:sz w:val="44"/>
          <w:szCs w:val="44"/>
        </w:rPr>
        <w:t>绩效评价报告</w:t>
      </w:r>
      <w:bookmarkEnd w:id="119"/>
    </w:p>
    <w:p>
      <w:pPr>
        <w:snapToGrid w:val="0"/>
        <w:spacing w:after="0" w:line="560" w:lineRule="exact"/>
        <w:rPr>
          <w:rFonts w:eastAsia="仿宋_GB2312"/>
          <w:sz w:val="32"/>
          <w:szCs w:val="32"/>
          <w:lang w:val="zh-CN"/>
        </w:rPr>
      </w:pPr>
    </w:p>
    <w:p>
      <w:pPr>
        <w:snapToGrid w:val="0"/>
        <w:spacing w:after="0" w:line="560" w:lineRule="exact"/>
        <w:ind w:firstLine="640" w:firstLineChars="200"/>
        <w:rPr>
          <w:rFonts w:eastAsia="黑体"/>
          <w:sz w:val="32"/>
          <w:szCs w:val="32"/>
          <w:lang w:val="zh-CN"/>
        </w:rPr>
      </w:pPr>
      <w:bookmarkStart w:id="120" w:name="_Toc11215_WPSOffice_Level2"/>
      <w:r>
        <w:rPr>
          <w:rFonts w:eastAsia="黑体"/>
          <w:sz w:val="32"/>
          <w:szCs w:val="32"/>
          <w:lang w:val="zh-CN"/>
        </w:rPr>
        <w:t>一、项目概况</w:t>
      </w:r>
      <w:bookmarkEnd w:id="120"/>
    </w:p>
    <w:p>
      <w:pPr>
        <w:snapToGrid w:val="0"/>
        <w:spacing w:after="0" w:line="560" w:lineRule="exact"/>
        <w:ind w:firstLine="643" w:firstLineChars="200"/>
        <w:rPr>
          <w:rFonts w:eastAsia="楷体_GB2312"/>
          <w:b/>
          <w:sz w:val="32"/>
          <w:szCs w:val="32"/>
          <w:lang w:val="zh-CN"/>
        </w:rPr>
      </w:pPr>
      <w:r>
        <w:rPr>
          <w:rFonts w:eastAsia="楷体_GB2312"/>
          <w:b/>
          <w:sz w:val="32"/>
          <w:szCs w:val="32"/>
          <w:lang w:val="zh-CN"/>
        </w:rPr>
        <w:t>（一）设立背景及基本情况。</w:t>
      </w:r>
    </w:p>
    <w:p>
      <w:pPr>
        <w:snapToGrid w:val="0"/>
        <w:spacing w:after="0" w:line="560" w:lineRule="exact"/>
        <w:ind w:firstLine="640" w:firstLineChars="200"/>
        <w:rPr>
          <w:rFonts w:eastAsia="仿宋_GB2312"/>
          <w:sz w:val="32"/>
          <w:szCs w:val="32"/>
        </w:rPr>
      </w:pPr>
      <w:r>
        <w:rPr>
          <w:rFonts w:eastAsia="仿宋_GB2312"/>
          <w:sz w:val="32"/>
          <w:szCs w:val="32"/>
        </w:rPr>
        <w:t>县政府办公室紧紧围绕县委县政府中心工作, 紧密结合推动县域经济高质量发展，建设工业强县。为弥补公用经费不足，设立该项目。</w:t>
      </w:r>
    </w:p>
    <w:p>
      <w:pPr>
        <w:snapToGrid w:val="0"/>
        <w:spacing w:after="0" w:line="560" w:lineRule="exact"/>
        <w:ind w:firstLine="643" w:firstLineChars="200"/>
        <w:rPr>
          <w:rFonts w:eastAsia="楷体_GB2312"/>
          <w:b/>
          <w:sz w:val="32"/>
          <w:szCs w:val="32"/>
          <w:lang w:val="zh-CN"/>
        </w:rPr>
      </w:pPr>
      <w:r>
        <w:rPr>
          <w:rFonts w:eastAsia="楷体_GB2312"/>
          <w:b/>
          <w:sz w:val="32"/>
          <w:szCs w:val="32"/>
          <w:lang w:val="zh-CN"/>
        </w:rPr>
        <w:t>（二）实施目的及支持方向。</w:t>
      </w:r>
    </w:p>
    <w:p>
      <w:pPr>
        <w:snapToGrid w:val="0"/>
        <w:spacing w:after="0" w:line="560" w:lineRule="exact"/>
        <w:ind w:firstLine="640" w:firstLineChars="200"/>
        <w:rPr>
          <w:rFonts w:eastAsia="仿宋_GB2312"/>
          <w:sz w:val="32"/>
          <w:szCs w:val="32"/>
          <w:lang w:val="zh-CN"/>
        </w:rPr>
      </w:pPr>
      <w:r>
        <w:rPr>
          <w:rFonts w:eastAsia="仿宋_GB2312"/>
          <w:sz w:val="32"/>
          <w:szCs w:val="32"/>
        </w:rPr>
        <w:t>该项目主要保障县政府全年重大项目、各类会议及活动正常运行，全面做好政务信息、政务公开、政务调研、值班值守等工作。</w:t>
      </w:r>
    </w:p>
    <w:p>
      <w:pPr>
        <w:snapToGrid w:val="0"/>
        <w:spacing w:after="0" w:line="560" w:lineRule="exact"/>
        <w:ind w:firstLine="643" w:firstLineChars="200"/>
        <w:rPr>
          <w:rFonts w:eastAsia="仿宋_GB2312"/>
          <w:sz w:val="32"/>
          <w:szCs w:val="32"/>
          <w:lang w:val="zh-CN"/>
        </w:rPr>
      </w:pPr>
      <w:r>
        <w:rPr>
          <w:rFonts w:eastAsia="楷体_GB2312"/>
          <w:b/>
          <w:sz w:val="32"/>
          <w:szCs w:val="32"/>
          <w:lang w:val="zh-CN"/>
        </w:rPr>
        <w:t>（三）预算安排及分配管理。</w:t>
      </w:r>
    </w:p>
    <w:p>
      <w:pPr>
        <w:pStyle w:val="2"/>
        <w:snapToGrid w:val="0"/>
        <w:spacing w:beforeLines="0" w:after="0" w:line="560" w:lineRule="exact"/>
        <w:ind w:firstLine="640" w:firstLineChars="200"/>
        <w:rPr>
          <w:rFonts w:ascii="Times New Roman"/>
          <w:lang w:val="zh-CN"/>
        </w:rPr>
      </w:pPr>
      <w:r>
        <w:rPr>
          <w:rFonts w:ascii="Times New Roman"/>
          <w:sz w:val="32"/>
          <w:szCs w:val="32"/>
          <w:lang w:val="zh-CN"/>
        </w:rPr>
        <w:t>2023年年</w:t>
      </w:r>
      <w:r>
        <w:rPr>
          <w:rFonts w:ascii="Times New Roman"/>
          <w:sz w:val="32"/>
          <w:szCs w:val="32"/>
        </w:rPr>
        <w:t>中</w:t>
      </w:r>
      <w:r>
        <w:rPr>
          <w:rFonts w:ascii="Times New Roman"/>
          <w:sz w:val="32"/>
          <w:szCs w:val="32"/>
          <w:lang w:val="zh-CN"/>
        </w:rPr>
        <w:t>安排</w:t>
      </w:r>
      <w:r>
        <w:rPr>
          <w:rFonts w:ascii="Times New Roman"/>
          <w:sz w:val="32"/>
          <w:szCs w:val="32"/>
        </w:rPr>
        <w:t>县政府办公经费68</w:t>
      </w:r>
      <w:r>
        <w:rPr>
          <w:rFonts w:ascii="Times New Roman"/>
          <w:sz w:val="32"/>
          <w:szCs w:val="32"/>
          <w:lang w:val="zh-CN"/>
        </w:rPr>
        <w:t>万元。全部为</w:t>
      </w:r>
      <w:r>
        <w:rPr>
          <w:rFonts w:ascii="Times New Roman"/>
          <w:sz w:val="32"/>
          <w:szCs w:val="32"/>
        </w:rPr>
        <w:t>县</w:t>
      </w:r>
      <w:r>
        <w:rPr>
          <w:rFonts w:ascii="Times New Roman"/>
          <w:sz w:val="32"/>
          <w:szCs w:val="32"/>
          <w:lang w:val="zh-CN"/>
        </w:rPr>
        <w:t>级财政资金。资金到位及时，资金到位率100%。实际支出系统运维费</w:t>
      </w:r>
      <w:r>
        <w:rPr>
          <w:rFonts w:ascii="Times New Roman"/>
          <w:sz w:val="32"/>
          <w:szCs w:val="32"/>
        </w:rPr>
        <w:t>68</w:t>
      </w:r>
      <w:r>
        <w:rPr>
          <w:rFonts w:ascii="Times New Roman"/>
          <w:sz w:val="32"/>
          <w:szCs w:val="32"/>
          <w:lang w:val="zh-CN"/>
        </w:rPr>
        <w:t>万元。以上资金支付依据合规合法，资金支付与预算相符，不存在无预算超预算支出的情况。</w:t>
      </w:r>
    </w:p>
    <w:p>
      <w:pPr>
        <w:snapToGrid w:val="0"/>
        <w:spacing w:after="0" w:line="560" w:lineRule="exact"/>
        <w:ind w:firstLine="643" w:firstLineChars="200"/>
        <w:rPr>
          <w:rFonts w:eastAsia="楷体_GB2312"/>
          <w:b/>
          <w:sz w:val="32"/>
          <w:szCs w:val="32"/>
          <w:lang w:val="zh-CN"/>
        </w:rPr>
      </w:pPr>
      <w:r>
        <w:rPr>
          <w:rFonts w:eastAsia="楷体_GB2312"/>
          <w:b/>
          <w:sz w:val="32"/>
          <w:szCs w:val="32"/>
          <w:lang w:val="zh-CN"/>
        </w:rPr>
        <w:t>（四）项目绩效目标设置。</w:t>
      </w:r>
    </w:p>
    <w:p>
      <w:pPr>
        <w:snapToGrid w:val="0"/>
        <w:spacing w:after="0" w:line="560" w:lineRule="exact"/>
        <w:ind w:firstLine="640" w:firstLineChars="200"/>
        <w:rPr>
          <w:rFonts w:eastAsia="仿宋_GB2312"/>
          <w:sz w:val="32"/>
          <w:szCs w:val="32"/>
          <w:lang w:val="zh-CN"/>
        </w:rPr>
      </w:pPr>
      <w:r>
        <w:rPr>
          <w:rFonts w:eastAsia="仿宋_GB2312"/>
          <w:kern w:val="0"/>
          <w:sz w:val="32"/>
          <w:szCs w:val="32"/>
          <w:lang w:val="zh-CN"/>
        </w:rPr>
        <w:t>根据</w:t>
      </w:r>
      <w:r>
        <w:rPr>
          <w:rFonts w:eastAsia="仿宋_GB2312"/>
          <w:kern w:val="0"/>
          <w:sz w:val="32"/>
          <w:szCs w:val="32"/>
        </w:rPr>
        <w:t>项目</w:t>
      </w:r>
      <w:r>
        <w:rPr>
          <w:rFonts w:eastAsia="仿宋_GB2312"/>
          <w:kern w:val="0"/>
          <w:sz w:val="32"/>
          <w:szCs w:val="32"/>
          <w:lang w:val="zh-CN"/>
        </w:rPr>
        <w:t>特点，设置了产出、效益和满意度等绩效指标，并对每项绩效指标进行细化分级，在每年末开展相关绩效目标的自评工作，经自评相关绩效指标均以达到预期目标。</w:t>
      </w:r>
    </w:p>
    <w:p>
      <w:pPr>
        <w:snapToGrid w:val="0"/>
        <w:spacing w:after="0" w:line="560" w:lineRule="exact"/>
        <w:ind w:firstLine="640" w:firstLineChars="200"/>
        <w:rPr>
          <w:rFonts w:eastAsia="黑体"/>
          <w:sz w:val="32"/>
          <w:szCs w:val="32"/>
          <w:lang w:val="zh-CN"/>
        </w:rPr>
      </w:pPr>
      <w:bookmarkStart w:id="121" w:name="_Toc15265_WPSOffice_Level2"/>
      <w:r>
        <w:rPr>
          <w:rFonts w:eastAsia="黑体"/>
          <w:sz w:val="32"/>
          <w:szCs w:val="32"/>
          <w:lang w:val="zh-CN"/>
        </w:rPr>
        <w:t>二、评价实施</w:t>
      </w:r>
      <w:bookmarkEnd w:id="121"/>
    </w:p>
    <w:p>
      <w:pPr>
        <w:snapToGrid w:val="0"/>
        <w:spacing w:after="0" w:line="560" w:lineRule="exact"/>
        <w:ind w:firstLine="643" w:firstLineChars="200"/>
        <w:rPr>
          <w:rFonts w:eastAsia="楷体_GB2312"/>
          <w:b/>
          <w:sz w:val="32"/>
          <w:szCs w:val="32"/>
          <w:lang w:val="zh-CN"/>
        </w:rPr>
      </w:pPr>
      <w:r>
        <w:rPr>
          <w:rFonts w:eastAsia="楷体_GB2312"/>
          <w:b/>
          <w:sz w:val="32"/>
          <w:szCs w:val="32"/>
          <w:lang w:val="zh-CN"/>
        </w:rPr>
        <w:t>（一）评价目的。</w:t>
      </w:r>
    </w:p>
    <w:p>
      <w:pPr>
        <w:snapToGrid w:val="0"/>
        <w:spacing w:after="0" w:line="560" w:lineRule="exact"/>
        <w:ind w:firstLine="672" w:firstLineChars="200"/>
        <w:rPr>
          <w:rFonts w:eastAsia="仿宋_GB2312"/>
          <w:sz w:val="32"/>
          <w:szCs w:val="32"/>
          <w:lang w:val="zh-CN"/>
        </w:rPr>
      </w:pPr>
      <w:r>
        <w:rPr>
          <w:rFonts w:eastAsia="仿宋_GB2312"/>
          <w:color w:val="333333"/>
          <w:spacing w:val="8"/>
          <w:sz w:val="32"/>
          <w:szCs w:val="32"/>
          <w:shd w:val="clear" w:color="auto" w:fill="FFFFFF"/>
        </w:rPr>
        <w:t>通过项目评价，我办能够实时监控工作开展情况，实现项目全流程可控，将事后检查变为事前控制和事中监督，显著提升项目资金使用效率</w:t>
      </w:r>
      <w:r>
        <w:rPr>
          <w:rFonts w:eastAsia="仿宋_GB2312"/>
          <w:kern w:val="0"/>
          <w:sz w:val="32"/>
          <w:szCs w:val="32"/>
          <w:lang w:val="zh-CN"/>
        </w:rPr>
        <w:t>。</w:t>
      </w:r>
    </w:p>
    <w:p>
      <w:pPr>
        <w:snapToGrid w:val="0"/>
        <w:spacing w:after="0" w:line="560" w:lineRule="exact"/>
        <w:ind w:firstLine="643" w:firstLineChars="200"/>
        <w:rPr>
          <w:rFonts w:eastAsia="楷体_GB2312"/>
          <w:b/>
          <w:sz w:val="32"/>
          <w:szCs w:val="32"/>
          <w:lang w:val="zh-CN"/>
        </w:rPr>
      </w:pPr>
      <w:r>
        <w:rPr>
          <w:rFonts w:eastAsia="楷体_GB2312"/>
          <w:b/>
          <w:sz w:val="32"/>
          <w:szCs w:val="32"/>
          <w:lang w:val="zh-CN"/>
        </w:rPr>
        <w:t>（二）预设问题及评价重点。</w:t>
      </w:r>
    </w:p>
    <w:p>
      <w:pPr>
        <w:pStyle w:val="2"/>
        <w:snapToGrid w:val="0"/>
        <w:spacing w:beforeLines="0" w:after="0" w:line="560" w:lineRule="exact"/>
        <w:ind w:firstLine="640" w:firstLineChars="200"/>
        <w:rPr>
          <w:rFonts w:ascii="Times New Roman"/>
          <w:lang w:val="zh-CN"/>
        </w:rPr>
      </w:pPr>
      <w:r>
        <w:rPr>
          <w:rFonts w:ascii="Times New Roman"/>
          <w:sz w:val="32"/>
          <w:szCs w:val="32"/>
          <w:lang w:val="zh-CN"/>
        </w:rPr>
        <w:t>本项目通过</w:t>
      </w:r>
      <w:r>
        <w:rPr>
          <w:rFonts w:ascii="Times New Roman"/>
          <w:sz w:val="32"/>
          <w:szCs w:val="32"/>
        </w:rPr>
        <w:t>政务信息完成数量及质量，政务调研次数</w:t>
      </w:r>
      <w:r>
        <w:rPr>
          <w:rFonts w:ascii="Times New Roman"/>
          <w:sz w:val="32"/>
          <w:szCs w:val="32"/>
          <w:lang w:val="zh-CN"/>
        </w:rPr>
        <w:t>，</w:t>
      </w:r>
      <w:r>
        <w:rPr>
          <w:rFonts w:ascii="Times New Roman"/>
          <w:sz w:val="32"/>
          <w:szCs w:val="32"/>
        </w:rPr>
        <w:t>机关运转情况</w:t>
      </w:r>
      <w:r>
        <w:rPr>
          <w:rFonts w:ascii="Times New Roman"/>
          <w:sz w:val="32"/>
          <w:szCs w:val="32"/>
          <w:lang w:val="zh-CN"/>
        </w:rPr>
        <w:t>，</w:t>
      </w:r>
      <w:r>
        <w:rPr>
          <w:rFonts w:ascii="Times New Roman"/>
          <w:sz w:val="32"/>
          <w:szCs w:val="32"/>
        </w:rPr>
        <w:t>使用人员</w:t>
      </w:r>
      <w:r>
        <w:rPr>
          <w:rFonts w:ascii="Times New Roman"/>
          <w:sz w:val="32"/>
          <w:szCs w:val="32"/>
          <w:lang w:val="zh-CN"/>
        </w:rPr>
        <w:t>满意度等支出绩效指标进行评价，完成率100%，2023年支付</w:t>
      </w:r>
      <w:r>
        <w:rPr>
          <w:rFonts w:ascii="Times New Roman"/>
          <w:sz w:val="32"/>
          <w:szCs w:val="32"/>
        </w:rPr>
        <w:t>项目经费68</w:t>
      </w:r>
      <w:r>
        <w:rPr>
          <w:rFonts w:ascii="Times New Roman"/>
          <w:sz w:val="32"/>
          <w:szCs w:val="32"/>
          <w:lang w:val="zh-CN"/>
        </w:rPr>
        <w:t>万元，成本控制较好，项目无资金结余。</w:t>
      </w:r>
    </w:p>
    <w:p>
      <w:pPr>
        <w:snapToGrid w:val="0"/>
        <w:spacing w:after="0" w:line="560" w:lineRule="exact"/>
        <w:ind w:firstLine="643" w:firstLineChars="200"/>
        <w:rPr>
          <w:rFonts w:eastAsia="仿宋_GB2312"/>
          <w:sz w:val="32"/>
          <w:szCs w:val="32"/>
          <w:lang w:val="zh-CN"/>
        </w:rPr>
      </w:pPr>
      <w:r>
        <w:rPr>
          <w:rFonts w:eastAsia="楷体_GB2312"/>
          <w:b/>
          <w:sz w:val="32"/>
          <w:szCs w:val="32"/>
          <w:lang w:val="zh-CN"/>
        </w:rPr>
        <w:t>（三）评价方法。</w:t>
      </w:r>
      <w:r>
        <w:rPr>
          <w:rFonts w:eastAsia="仿宋_GB2312"/>
          <w:sz w:val="32"/>
          <w:szCs w:val="32"/>
          <w:lang w:val="zh-CN"/>
        </w:rPr>
        <w:t>根据项目情况和评价重点，用来收集相关材料和开展具体评价的方法。包括：采用成本效益分析法、标杆管理法、案卷研究法、单位自评法、实地勘察法、问卷调查法、座谈调研法等多种方法。</w:t>
      </w:r>
    </w:p>
    <w:p>
      <w:pPr>
        <w:snapToGrid w:val="0"/>
        <w:spacing w:after="0" w:line="560" w:lineRule="exact"/>
        <w:ind w:firstLine="643" w:firstLineChars="200"/>
        <w:rPr>
          <w:rFonts w:eastAsia="楷体_GB2312"/>
          <w:b/>
          <w:sz w:val="32"/>
          <w:szCs w:val="32"/>
          <w:lang w:val="zh-CN"/>
        </w:rPr>
      </w:pPr>
      <w:r>
        <w:rPr>
          <w:rFonts w:eastAsia="楷体_GB2312"/>
          <w:b/>
          <w:sz w:val="32"/>
          <w:szCs w:val="32"/>
          <w:lang w:val="zh-CN"/>
        </w:rPr>
        <w:t>（四）评价组织。</w:t>
      </w:r>
    </w:p>
    <w:p>
      <w:pPr>
        <w:snapToGrid w:val="0"/>
        <w:spacing w:after="0" w:line="560" w:lineRule="exact"/>
        <w:ind w:firstLine="640" w:firstLineChars="200"/>
        <w:rPr>
          <w:rFonts w:eastAsia="仿宋_GB2312"/>
          <w:sz w:val="32"/>
          <w:szCs w:val="32"/>
          <w:lang w:val="zh-CN"/>
        </w:rPr>
      </w:pPr>
      <w:r>
        <w:rPr>
          <w:rFonts w:eastAsia="仿宋_GB2312"/>
          <w:kern w:val="0"/>
          <w:sz w:val="32"/>
          <w:szCs w:val="32"/>
          <w:lang w:val="zh-CN"/>
        </w:rPr>
        <w:t>评价组由</w:t>
      </w:r>
      <w:r>
        <w:rPr>
          <w:rFonts w:eastAsia="仿宋_GB2312"/>
          <w:kern w:val="0"/>
          <w:sz w:val="32"/>
          <w:szCs w:val="32"/>
        </w:rPr>
        <w:t>办公室分管领导及项目</w:t>
      </w:r>
      <w:r>
        <w:rPr>
          <w:rFonts w:eastAsia="仿宋_GB2312"/>
          <w:kern w:val="0"/>
          <w:sz w:val="32"/>
          <w:szCs w:val="32"/>
          <w:lang w:val="zh-CN"/>
        </w:rPr>
        <w:t>相关</w:t>
      </w:r>
      <w:r>
        <w:rPr>
          <w:rFonts w:eastAsia="仿宋_GB2312"/>
          <w:kern w:val="0"/>
          <w:sz w:val="32"/>
          <w:szCs w:val="32"/>
        </w:rPr>
        <w:t>股室负责人</w:t>
      </w:r>
      <w:r>
        <w:rPr>
          <w:rFonts w:eastAsia="仿宋_GB2312"/>
          <w:kern w:val="0"/>
          <w:sz w:val="32"/>
          <w:szCs w:val="32"/>
          <w:lang w:val="zh-CN"/>
        </w:rPr>
        <w:t>组成，主要职责为相关资料收集、评审经费自评、评价报告撰写等。</w:t>
      </w:r>
    </w:p>
    <w:p>
      <w:pPr>
        <w:snapToGrid w:val="0"/>
        <w:spacing w:after="0" w:line="560" w:lineRule="exact"/>
        <w:ind w:firstLine="640" w:firstLineChars="200"/>
        <w:rPr>
          <w:rFonts w:eastAsia="黑体"/>
          <w:sz w:val="32"/>
          <w:szCs w:val="32"/>
          <w:lang w:val="zh-CN"/>
        </w:rPr>
      </w:pPr>
      <w:bookmarkStart w:id="122" w:name="_Toc30926_WPSOffice_Level2"/>
      <w:r>
        <w:rPr>
          <w:rFonts w:eastAsia="黑体"/>
          <w:sz w:val="32"/>
          <w:szCs w:val="32"/>
          <w:lang w:val="zh-CN"/>
        </w:rPr>
        <w:t>三、绩效分析</w:t>
      </w:r>
      <w:bookmarkEnd w:id="122"/>
    </w:p>
    <w:p>
      <w:pPr>
        <w:suppressAutoHyphens/>
        <w:snapToGrid w:val="0"/>
        <w:spacing w:after="0" w:line="560" w:lineRule="exact"/>
        <w:ind w:firstLine="640"/>
        <w:rPr>
          <w:rFonts w:eastAsia="仿宋_GB2312"/>
          <w:sz w:val="32"/>
          <w:szCs w:val="32"/>
          <w:lang w:val="zh-CN"/>
        </w:rPr>
      </w:pPr>
      <w:r>
        <w:rPr>
          <w:rFonts w:eastAsia="仿宋_GB2312"/>
          <w:kern w:val="0"/>
          <w:sz w:val="32"/>
          <w:szCs w:val="32"/>
          <w:lang w:val="zh-CN"/>
        </w:rPr>
        <w:t>完成</w:t>
      </w:r>
      <w:r>
        <w:rPr>
          <w:rFonts w:eastAsia="仿宋_GB2312"/>
          <w:kern w:val="0"/>
          <w:sz w:val="32"/>
          <w:szCs w:val="32"/>
        </w:rPr>
        <w:t>项目制定相关目标</w:t>
      </w:r>
      <w:r>
        <w:rPr>
          <w:rFonts w:eastAsia="仿宋_GB2312"/>
          <w:kern w:val="0"/>
          <w:sz w:val="32"/>
          <w:szCs w:val="32"/>
          <w:lang w:val="zh-CN"/>
        </w:rPr>
        <w:t>任务，</w:t>
      </w:r>
      <w:r>
        <w:rPr>
          <w:rFonts w:eastAsia="仿宋_GB2312"/>
          <w:kern w:val="0"/>
          <w:sz w:val="32"/>
          <w:szCs w:val="32"/>
        </w:rPr>
        <w:t>有力</w:t>
      </w:r>
      <w:r>
        <w:rPr>
          <w:rFonts w:eastAsia="仿宋_GB2312"/>
          <w:sz w:val="32"/>
          <w:szCs w:val="32"/>
        </w:rPr>
        <w:t>保障了县政府全年重大项目、各类会议及活动正常运行，全面做好政务信息、政务公开、政务调研、值班值守等工作。</w:t>
      </w:r>
      <w:r>
        <w:rPr>
          <w:rFonts w:eastAsia="仿宋_GB2312"/>
          <w:kern w:val="0"/>
          <w:sz w:val="32"/>
          <w:szCs w:val="32"/>
          <w:lang w:val="zh-CN"/>
        </w:rPr>
        <w:t>提高资金使用效益，</w:t>
      </w:r>
      <w:r>
        <w:rPr>
          <w:rFonts w:eastAsia="方正仿宋_GBK"/>
          <w:sz w:val="33"/>
          <w:szCs w:val="32"/>
        </w:rPr>
        <w:t>截止项目评价时点该项经费共计支出68万元，资金使用率100%，项目完成年度目标。</w:t>
      </w:r>
    </w:p>
    <w:p>
      <w:pPr>
        <w:snapToGrid w:val="0"/>
        <w:spacing w:after="0" w:line="560" w:lineRule="exact"/>
        <w:ind w:firstLine="643" w:firstLineChars="200"/>
        <w:rPr>
          <w:rFonts w:eastAsia="楷体_GB2312"/>
          <w:b/>
          <w:sz w:val="32"/>
          <w:szCs w:val="32"/>
          <w:lang w:val="zh-CN"/>
        </w:rPr>
      </w:pPr>
      <w:r>
        <w:rPr>
          <w:rFonts w:eastAsia="楷体_GB2312"/>
          <w:b/>
          <w:sz w:val="32"/>
          <w:szCs w:val="32"/>
          <w:lang w:val="zh-CN"/>
        </w:rPr>
        <w:t>（一）通用指标绩效分析。</w:t>
      </w:r>
    </w:p>
    <w:p>
      <w:pPr>
        <w:snapToGrid w:val="0"/>
        <w:spacing w:after="0" w:line="560" w:lineRule="exact"/>
        <w:ind w:firstLine="643" w:firstLineChars="200"/>
        <w:rPr>
          <w:rFonts w:eastAsia="仿宋_GB2312"/>
          <w:b/>
          <w:bCs/>
          <w:sz w:val="32"/>
          <w:szCs w:val="32"/>
          <w:lang w:val="zh-CN"/>
        </w:rPr>
      </w:pPr>
      <w:r>
        <w:rPr>
          <w:rFonts w:eastAsia="仿宋_GB2312"/>
          <w:b/>
          <w:bCs/>
          <w:sz w:val="32"/>
          <w:szCs w:val="32"/>
          <w:lang w:val="zh-CN"/>
        </w:rPr>
        <w:t>1.项目决策。</w:t>
      </w:r>
    </w:p>
    <w:p>
      <w:pPr>
        <w:snapToGrid w:val="0"/>
        <w:spacing w:after="0" w:line="560" w:lineRule="exact"/>
        <w:ind w:firstLine="640" w:firstLineChars="200"/>
        <w:rPr>
          <w:rFonts w:eastAsia="仿宋_GB2312"/>
          <w:sz w:val="32"/>
          <w:szCs w:val="32"/>
        </w:rPr>
      </w:pPr>
      <w:r>
        <w:rPr>
          <w:rFonts w:eastAsia="仿宋_GB2312"/>
          <w:sz w:val="32"/>
          <w:szCs w:val="32"/>
        </w:rPr>
        <w:t>全面做好政务信息、政务公开、政务调研、值班值守等工作。</w:t>
      </w:r>
    </w:p>
    <w:p>
      <w:pPr>
        <w:snapToGrid w:val="0"/>
        <w:spacing w:after="0" w:line="560" w:lineRule="exact"/>
        <w:ind w:firstLine="643" w:firstLineChars="200"/>
        <w:rPr>
          <w:rFonts w:eastAsia="仿宋_GB2312"/>
          <w:b/>
          <w:bCs/>
          <w:sz w:val="32"/>
          <w:szCs w:val="32"/>
          <w:lang w:val="zh-CN"/>
        </w:rPr>
      </w:pPr>
      <w:r>
        <w:rPr>
          <w:rFonts w:eastAsia="仿宋_GB2312"/>
          <w:b/>
          <w:bCs/>
          <w:sz w:val="32"/>
          <w:szCs w:val="32"/>
          <w:lang w:val="zh-CN"/>
        </w:rPr>
        <w:t>2.项目管理。</w:t>
      </w:r>
    </w:p>
    <w:p>
      <w:pPr>
        <w:pStyle w:val="2"/>
        <w:snapToGrid w:val="0"/>
        <w:spacing w:beforeLines="0" w:after="0" w:line="560" w:lineRule="exact"/>
        <w:ind w:firstLine="640" w:firstLineChars="200"/>
        <w:rPr>
          <w:rFonts w:ascii="Times New Roman"/>
          <w:lang w:val="zh-CN"/>
        </w:rPr>
      </w:pPr>
      <w:r>
        <w:rPr>
          <w:rFonts w:ascii="Times New Roman"/>
          <w:color w:val="000000"/>
          <w:sz w:val="32"/>
          <w:szCs w:val="32"/>
          <w:shd w:val="clear" w:color="auto" w:fill="FFFFFF"/>
          <w:lang w:bidi="ar"/>
        </w:rPr>
        <w:t>一是严格按照专项资金管理使用的有关要求，紧密结合专项工作实际和现有的财经纪律及规章，进一步强化了内部控制制度，不断推动专项财务工作规范化、制度化，实行专项管理的责任机制。二是严格执行《会计法》《预算法》《行政单位财务规则》等有关法律法规规定，完善审批流程方能执行。同时大笔专项经费支出必须经办公室党组研究决定。禁止铺张浪费、杜绝挪用和截留，并强化事后跟踪监督。三是</w:t>
      </w:r>
      <w:r>
        <w:rPr>
          <w:rFonts w:ascii="Times New Roman"/>
          <w:sz w:val="32"/>
          <w:szCs w:val="32"/>
          <w:lang w:bidi="ar"/>
        </w:rPr>
        <w:t>严格执行项目有关制度规定，做到专款专用，无挪用和截留现象。支出合理，没有列支与项目内容无关的费用。</w:t>
      </w:r>
    </w:p>
    <w:p>
      <w:pPr>
        <w:snapToGrid w:val="0"/>
        <w:spacing w:after="0" w:line="560" w:lineRule="exact"/>
        <w:ind w:firstLine="643" w:firstLineChars="200"/>
        <w:rPr>
          <w:rFonts w:eastAsia="仿宋_GB2312"/>
          <w:b/>
          <w:bCs/>
          <w:sz w:val="32"/>
          <w:szCs w:val="32"/>
          <w:lang w:val="zh-CN"/>
        </w:rPr>
      </w:pPr>
      <w:r>
        <w:rPr>
          <w:rFonts w:eastAsia="仿宋_GB2312"/>
          <w:b/>
          <w:bCs/>
          <w:sz w:val="32"/>
          <w:szCs w:val="32"/>
          <w:lang w:val="zh-CN"/>
        </w:rPr>
        <w:t>3.项目实施。</w:t>
      </w:r>
    </w:p>
    <w:p>
      <w:pPr>
        <w:snapToGrid w:val="0"/>
        <w:spacing w:after="0" w:line="560" w:lineRule="exact"/>
        <w:ind w:firstLine="640" w:firstLineChars="200"/>
        <w:rPr>
          <w:rFonts w:eastAsia="仿宋_GB2312"/>
          <w:kern w:val="0"/>
          <w:sz w:val="32"/>
          <w:szCs w:val="32"/>
          <w:lang w:val="zh-CN"/>
        </w:rPr>
      </w:pPr>
      <w:r>
        <w:rPr>
          <w:rFonts w:eastAsia="仿宋_GB2312"/>
          <w:kern w:val="0"/>
          <w:sz w:val="32"/>
          <w:szCs w:val="32"/>
          <w:lang w:val="zh-CN"/>
        </w:rPr>
        <w:t>2023年安排预算资金</w:t>
      </w:r>
      <w:r>
        <w:rPr>
          <w:rFonts w:eastAsia="仿宋_GB2312"/>
          <w:kern w:val="0"/>
          <w:sz w:val="32"/>
          <w:szCs w:val="32"/>
        </w:rPr>
        <w:t>68</w:t>
      </w:r>
      <w:r>
        <w:rPr>
          <w:rFonts w:eastAsia="仿宋_GB2312"/>
          <w:kern w:val="0"/>
          <w:sz w:val="32"/>
          <w:szCs w:val="32"/>
          <w:lang w:val="zh-CN"/>
        </w:rPr>
        <w:t>万元，截至评价时点实际到位资金</w:t>
      </w:r>
      <w:r>
        <w:rPr>
          <w:rFonts w:eastAsia="仿宋_GB2312"/>
          <w:kern w:val="0"/>
          <w:sz w:val="32"/>
          <w:szCs w:val="32"/>
        </w:rPr>
        <w:t>68</w:t>
      </w:r>
      <w:r>
        <w:rPr>
          <w:rFonts w:eastAsia="仿宋_GB2312"/>
          <w:kern w:val="0"/>
          <w:sz w:val="32"/>
          <w:szCs w:val="32"/>
          <w:lang w:val="zh-CN"/>
        </w:rPr>
        <w:t>万元，资金到位率100%。项目无资金结余。</w:t>
      </w:r>
    </w:p>
    <w:p>
      <w:pPr>
        <w:snapToGrid w:val="0"/>
        <w:spacing w:after="0" w:line="560" w:lineRule="exact"/>
        <w:ind w:firstLine="643" w:firstLineChars="200"/>
        <w:rPr>
          <w:rFonts w:eastAsia="仿宋_GB2312"/>
          <w:b/>
          <w:bCs/>
          <w:sz w:val="32"/>
          <w:szCs w:val="32"/>
          <w:lang w:val="zh-CN"/>
        </w:rPr>
      </w:pPr>
      <w:r>
        <w:rPr>
          <w:rFonts w:eastAsia="仿宋_GB2312"/>
          <w:b/>
          <w:bCs/>
          <w:sz w:val="32"/>
          <w:szCs w:val="32"/>
          <w:lang w:val="zh-CN"/>
        </w:rPr>
        <w:t>4.项目结果。</w:t>
      </w:r>
    </w:p>
    <w:p>
      <w:pPr>
        <w:snapToGrid w:val="0"/>
        <w:spacing w:after="0" w:line="560" w:lineRule="exact"/>
        <w:ind w:firstLine="660" w:firstLineChars="200"/>
        <w:rPr>
          <w:rFonts w:eastAsia="仿宋_GB2312"/>
          <w:sz w:val="32"/>
          <w:szCs w:val="32"/>
          <w:lang w:val="zh-CN"/>
        </w:rPr>
      </w:pPr>
      <w:r>
        <w:rPr>
          <w:rFonts w:eastAsia="方正仿宋_GBK"/>
          <w:sz w:val="33"/>
          <w:szCs w:val="32"/>
        </w:rPr>
        <w:t>该项目共计支出68万元，资金使用率100%，项目完成年度目标。</w:t>
      </w:r>
    </w:p>
    <w:p>
      <w:pPr>
        <w:snapToGrid w:val="0"/>
        <w:spacing w:after="0" w:line="560" w:lineRule="exact"/>
        <w:ind w:firstLine="640" w:firstLineChars="200"/>
        <w:rPr>
          <w:rFonts w:eastAsia="黑体"/>
          <w:sz w:val="32"/>
          <w:szCs w:val="32"/>
          <w:lang w:val="zh-CN"/>
        </w:rPr>
      </w:pPr>
      <w:bookmarkStart w:id="123" w:name="_Toc32332_WPSOffice_Level2"/>
      <w:r>
        <w:rPr>
          <w:rFonts w:eastAsia="黑体"/>
          <w:sz w:val="32"/>
          <w:szCs w:val="32"/>
          <w:lang w:val="zh-CN"/>
        </w:rPr>
        <w:t>四、评价结论</w:t>
      </w:r>
      <w:bookmarkEnd w:id="123"/>
    </w:p>
    <w:p>
      <w:pPr>
        <w:snapToGrid w:val="0"/>
        <w:spacing w:after="0" w:line="560" w:lineRule="exact"/>
        <w:ind w:firstLine="640" w:firstLineChars="200"/>
        <w:rPr>
          <w:rFonts w:eastAsia="仿宋_GB2312"/>
          <w:kern w:val="0"/>
          <w:sz w:val="32"/>
          <w:szCs w:val="32"/>
          <w:lang w:val="zh-CN"/>
        </w:rPr>
      </w:pPr>
      <w:r>
        <w:rPr>
          <w:rFonts w:eastAsia="仿宋_GB2312"/>
          <w:kern w:val="0"/>
          <w:sz w:val="32"/>
          <w:szCs w:val="32"/>
        </w:rPr>
        <w:t>县政府办</w:t>
      </w:r>
      <w:r>
        <w:rPr>
          <w:rFonts w:eastAsia="仿宋_GB2312"/>
          <w:kern w:val="0"/>
          <w:sz w:val="32"/>
          <w:szCs w:val="32"/>
          <w:lang w:val="zh-CN"/>
        </w:rPr>
        <w:t>机构设置合理，财务制度健全完善，项目支出会计核算及账务处理规范。</w:t>
      </w:r>
      <w:r>
        <w:rPr>
          <w:rFonts w:eastAsia="仿宋_GB2312"/>
          <w:kern w:val="0"/>
          <w:sz w:val="32"/>
          <w:szCs w:val="32"/>
        </w:rPr>
        <w:t>县政府办公经费项目资金</w:t>
      </w:r>
      <w:r>
        <w:rPr>
          <w:rFonts w:eastAsia="仿宋_GB2312"/>
          <w:kern w:val="0"/>
          <w:sz w:val="32"/>
          <w:szCs w:val="32"/>
          <w:lang w:val="zh-CN"/>
        </w:rPr>
        <w:t>申报及批复下达均符合财政资金管理有关规定，资金到位及时，支付依据合规，资金支付与预算相符，不存在无预算超预算支出的情况。</w:t>
      </w:r>
    </w:p>
    <w:p>
      <w:pPr>
        <w:snapToGrid w:val="0"/>
        <w:spacing w:after="0" w:line="560" w:lineRule="exact"/>
        <w:ind w:firstLine="640" w:firstLineChars="200"/>
        <w:rPr>
          <w:rFonts w:eastAsia="黑体"/>
          <w:sz w:val="32"/>
          <w:szCs w:val="32"/>
          <w:lang w:val="zh-CN"/>
        </w:rPr>
      </w:pPr>
      <w:bookmarkStart w:id="124" w:name="_Toc28148_WPSOffice_Level2"/>
      <w:r>
        <w:rPr>
          <w:rFonts w:eastAsia="黑体"/>
          <w:sz w:val="32"/>
          <w:szCs w:val="32"/>
          <w:lang w:val="zh-CN"/>
        </w:rPr>
        <w:t>五、存在主要问题</w:t>
      </w:r>
      <w:bookmarkEnd w:id="124"/>
    </w:p>
    <w:p>
      <w:pPr>
        <w:snapToGrid w:val="0"/>
        <w:spacing w:after="0" w:line="560" w:lineRule="exact"/>
        <w:ind w:firstLine="640" w:firstLineChars="200"/>
        <w:rPr>
          <w:rFonts w:eastAsia="仿宋_GB2312"/>
          <w:kern w:val="0"/>
          <w:sz w:val="32"/>
          <w:szCs w:val="32"/>
          <w:lang w:val="zh-CN"/>
        </w:rPr>
      </w:pPr>
      <w:r>
        <w:rPr>
          <w:rFonts w:eastAsia="仿宋_GB2312"/>
          <w:kern w:val="0"/>
          <w:sz w:val="32"/>
          <w:szCs w:val="32"/>
        </w:rPr>
        <w:t>无。</w:t>
      </w:r>
    </w:p>
    <w:p>
      <w:pPr>
        <w:snapToGrid w:val="0"/>
        <w:spacing w:after="0" w:line="560" w:lineRule="exact"/>
        <w:ind w:firstLine="640" w:firstLineChars="200"/>
        <w:rPr>
          <w:rFonts w:eastAsia="黑体"/>
          <w:sz w:val="32"/>
          <w:szCs w:val="32"/>
          <w:lang w:val="zh-CN"/>
        </w:rPr>
      </w:pPr>
      <w:bookmarkStart w:id="125" w:name="_Toc14593_WPSOffice_Level2"/>
      <w:r>
        <w:rPr>
          <w:rFonts w:eastAsia="黑体"/>
          <w:sz w:val="32"/>
          <w:szCs w:val="32"/>
          <w:lang w:val="zh-CN"/>
        </w:rPr>
        <w:t>六、改进建议</w:t>
      </w:r>
      <w:bookmarkEnd w:id="125"/>
    </w:p>
    <w:p>
      <w:pPr>
        <w:snapToGrid w:val="0"/>
        <w:spacing w:after="0" w:line="560" w:lineRule="exact"/>
        <w:ind w:firstLine="640" w:firstLineChars="200"/>
        <w:rPr>
          <w:rFonts w:eastAsia="仿宋_GB2312"/>
          <w:sz w:val="32"/>
          <w:szCs w:val="32"/>
        </w:rPr>
      </w:pPr>
      <w:r>
        <w:rPr>
          <w:rFonts w:eastAsia="仿宋_GB2312"/>
          <w:sz w:val="32"/>
          <w:szCs w:val="32"/>
        </w:rPr>
        <w:t>无。</w:t>
      </w:r>
    </w:p>
    <w:p>
      <w:pPr>
        <w:snapToGrid w:val="0"/>
        <w:spacing w:after="0" w:line="560" w:lineRule="exact"/>
        <w:ind w:firstLine="640" w:firstLineChars="200"/>
        <w:rPr>
          <w:rFonts w:eastAsia="仿宋_GB2312"/>
          <w:kern w:val="0"/>
          <w:sz w:val="32"/>
          <w:szCs w:val="32"/>
          <w:lang w:val="zh-CN"/>
        </w:rPr>
      </w:pPr>
    </w:p>
    <w:p>
      <w:pPr>
        <w:snapToGrid w:val="0"/>
        <w:spacing w:after="0" w:line="560" w:lineRule="exact"/>
        <w:ind w:firstLine="640" w:firstLineChars="200"/>
        <w:rPr>
          <w:rFonts w:eastAsia="仿宋_GB2312"/>
          <w:sz w:val="32"/>
          <w:szCs w:val="32"/>
          <w:lang w:val="zh-CN"/>
        </w:rPr>
      </w:pPr>
      <w:r>
        <w:rPr>
          <w:rFonts w:eastAsia="仿宋_GB2312"/>
          <w:kern w:val="0"/>
          <w:sz w:val="32"/>
          <w:szCs w:val="32"/>
          <w:lang w:val="zh-CN"/>
        </w:rPr>
        <w:t>附表：</w:t>
      </w:r>
      <w:r>
        <w:rPr>
          <w:rFonts w:hint="eastAsia" w:eastAsia="仿宋_GB2312"/>
          <w:kern w:val="0"/>
          <w:sz w:val="32"/>
          <w:szCs w:val="32"/>
          <w:lang w:val="en-US" w:eastAsia="zh-CN"/>
        </w:rPr>
        <w:t>部门</w:t>
      </w:r>
      <w:r>
        <w:rPr>
          <w:rFonts w:eastAsia="仿宋_GB2312"/>
          <w:kern w:val="0"/>
          <w:sz w:val="32"/>
          <w:szCs w:val="32"/>
          <w:lang w:val="zh-CN"/>
        </w:rPr>
        <w:t>预算项目支出绩效自评表（2023年度）</w:t>
      </w:r>
    </w:p>
    <w:p>
      <w:r>
        <w:br w:type="page"/>
      </w:r>
    </w:p>
    <w:p>
      <w:pPr>
        <w:pStyle w:val="3"/>
        <w:snapToGrid w:val="0"/>
        <w:spacing w:before="0" w:after="0"/>
        <w:jc w:val="center"/>
        <w:rPr>
          <w:rFonts w:eastAsia="黑体"/>
          <w:b w:val="0"/>
          <w:bCs w:val="0"/>
        </w:rPr>
      </w:pPr>
      <w:bookmarkStart w:id="126" w:name="_Toc24714_WPSOffice_Level1"/>
      <w:r>
        <w:rPr>
          <w:rFonts w:eastAsia="黑体"/>
          <w:b w:val="0"/>
          <w:bCs w:val="0"/>
        </w:rPr>
        <w:t>第五部分 附表</w:t>
      </w:r>
      <w:bookmarkEnd w:id="126"/>
    </w:p>
    <w:p>
      <w:pPr>
        <w:snapToGrid w:val="0"/>
        <w:spacing w:after="0" w:line="560" w:lineRule="exact"/>
        <w:rPr>
          <w:rFonts w:eastAsia="仿宋"/>
          <w:sz w:val="32"/>
          <w:szCs w:val="32"/>
        </w:rPr>
      </w:pPr>
      <w:bookmarkStart w:id="127" w:name="_Toc31358_WPSOffice_Level2"/>
      <w:r>
        <w:rPr>
          <w:rFonts w:eastAsia="仿宋"/>
          <w:sz w:val="32"/>
          <w:szCs w:val="32"/>
        </w:rPr>
        <w:t>一、收入支出决算总表</w:t>
      </w:r>
      <w:bookmarkEnd w:id="127"/>
    </w:p>
    <w:p>
      <w:pPr>
        <w:snapToGrid w:val="0"/>
        <w:spacing w:after="0" w:line="560" w:lineRule="exact"/>
        <w:rPr>
          <w:rFonts w:eastAsia="仿宋"/>
          <w:sz w:val="32"/>
          <w:szCs w:val="32"/>
        </w:rPr>
      </w:pPr>
      <w:bookmarkStart w:id="128" w:name="_Toc15374_WPSOffice_Level2"/>
      <w:r>
        <w:rPr>
          <w:rFonts w:eastAsia="仿宋"/>
          <w:sz w:val="32"/>
          <w:szCs w:val="32"/>
        </w:rPr>
        <w:t>二、收入决算表</w:t>
      </w:r>
      <w:bookmarkEnd w:id="128"/>
    </w:p>
    <w:p>
      <w:pPr>
        <w:snapToGrid w:val="0"/>
        <w:spacing w:after="0" w:line="560" w:lineRule="exact"/>
        <w:rPr>
          <w:rFonts w:eastAsia="仿宋"/>
          <w:sz w:val="32"/>
          <w:szCs w:val="32"/>
        </w:rPr>
      </w:pPr>
      <w:bookmarkStart w:id="129" w:name="_Toc23415_WPSOffice_Level2"/>
      <w:r>
        <w:rPr>
          <w:rFonts w:eastAsia="仿宋"/>
          <w:sz w:val="32"/>
          <w:szCs w:val="32"/>
        </w:rPr>
        <w:t>三、支出决算表</w:t>
      </w:r>
      <w:bookmarkEnd w:id="129"/>
    </w:p>
    <w:p>
      <w:pPr>
        <w:snapToGrid w:val="0"/>
        <w:spacing w:after="0" w:line="560" w:lineRule="exact"/>
        <w:rPr>
          <w:rFonts w:eastAsia="仿宋"/>
          <w:sz w:val="32"/>
          <w:szCs w:val="32"/>
        </w:rPr>
      </w:pPr>
      <w:bookmarkStart w:id="130" w:name="_Toc11872_WPSOffice_Level2"/>
      <w:r>
        <w:rPr>
          <w:rFonts w:eastAsia="仿宋"/>
          <w:sz w:val="32"/>
          <w:szCs w:val="32"/>
        </w:rPr>
        <w:t>四、财政拨款收入支出决算总表</w:t>
      </w:r>
      <w:bookmarkEnd w:id="130"/>
    </w:p>
    <w:p>
      <w:pPr>
        <w:snapToGrid w:val="0"/>
        <w:spacing w:after="0" w:line="560" w:lineRule="exact"/>
        <w:rPr>
          <w:rFonts w:eastAsia="仿宋"/>
          <w:sz w:val="32"/>
          <w:szCs w:val="32"/>
        </w:rPr>
      </w:pPr>
      <w:bookmarkStart w:id="131" w:name="_Toc18916_WPSOffice_Level2"/>
      <w:r>
        <w:rPr>
          <w:rFonts w:eastAsia="仿宋"/>
          <w:sz w:val="32"/>
          <w:szCs w:val="32"/>
        </w:rPr>
        <w:t>五、财政拨款支出决算明细表</w:t>
      </w:r>
      <w:bookmarkEnd w:id="131"/>
    </w:p>
    <w:p>
      <w:pPr>
        <w:snapToGrid w:val="0"/>
        <w:spacing w:after="0" w:line="560" w:lineRule="exact"/>
        <w:rPr>
          <w:rFonts w:eastAsia="仿宋"/>
          <w:sz w:val="32"/>
          <w:szCs w:val="32"/>
        </w:rPr>
      </w:pPr>
      <w:bookmarkStart w:id="132" w:name="_Toc912_WPSOffice_Level2"/>
      <w:r>
        <w:rPr>
          <w:rFonts w:eastAsia="仿宋"/>
          <w:sz w:val="32"/>
          <w:szCs w:val="32"/>
        </w:rPr>
        <w:t>六、一般公共预算财政拨款支出决算表</w:t>
      </w:r>
      <w:bookmarkEnd w:id="132"/>
    </w:p>
    <w:p>
      <w:pPr>
        <w:snapToGrid w:val="0"/>
        <w:spacing w:after="0" w:line="560" w:lineRule="exact"/>
        <w:rPr>
          <w:rFonts w:eastAsia="仿宋"/>
          <w:sz w:val="32"/>
          <w:szCs w:val="32"/>
        </w:rPr>
      </w:pPr>
      <w:bookmarkStart w:id="133" w:name="_Toc5908_WPSOffice_Level2"/>
      <w:r>
        <w:rPr>
          <w:rFonts w:eastAsia="仿宋"/>
          <w:sz w:val="32"/>
          <w:szCs w:val="32"/>
        </w:rPr>
        <w:t>七、一般公共预算财政拨款支出决算明细表</w:t>
      </w:r>
      <w:bookmarkEnd w:id="133"/>
    </w:p>
    <w:p>
      <w:pPr>
        <w:snapToGrid w:val="0"/>
        <w:spacing w:after="0" w:line="560" w:lineRule="exact"/>
        <w:rPr>
          <w:rFonts w:eastAsia="仿宋"/>
          <w:sz w:val="32"/>
          <w:szCs w:val="32"/>
        </w:rPr>
      </w:pPr>
      <w:bookmarkStart w:id="134" w:name="_Toc11100_WPSOffice_Level2"/>
      <w:r>
        <w:rPr>
          <w:rFonts w:eastAsia="仿宋"/>
          <w:sz w:val="32"/>
          <w:szCs w:val="32"/>
        </w:rPr>
        <w:t>八、一般公共预算财政拨款基本支出决算表</w:t>
      </w:r>
      <w:bookmarkEnd w:id="134"/>
    </w:p>
    <w:p>
      <w:pPr>
        <w:snapToGrid w:val="0"/>
        <w:spacing w:after="0" w:line="560" w:lineRule="exact"/>
        <w:rPr>
          <w:rFonts w:eastAsia="仿宋"/>
          <w:sz w:val="32"/>
          <w:szCs w:val="32"/>
        </w:rPr>
      </w:pPr>
      <w:bookmarkStart w:id="135" w:name="_Toc4280_WPSOffice_Level2"/>
      <w:r>
        <w:rPr>
          <w:rFonts w:eastAsia="仿宋"/>
          <w:sz w:val="32"/>
          <w:szCs w:val="32"/>
        </w:rPr>
        <w:t>九、一般公共预算财政拨款项目支出决算表</w:t>
      </w:r>
      <w:bookmarkEnd w:id="135"/>
    </w:p>
    <w:p>
      <w:pPr>
        <w:snapToGrid w:val="0"/>
        <w:spacing w:after="0" w:line="560" w:lineRule="exact"/>
        <w:rPr>
          <w:rFonts w:eastAsia="仿宋"/>
          <w:sz w:val="32"/>
          <w:szCs w:val="32"/>
        </w:rPr>
      </w:pPr>
      <w:bookmarkStart w:id="136" w:name="_Toc3576_WPSOffice_Level2"/>
      <w:r>
        <w:rPr>
          <w:rFonts w:eastAsia="仿宋"/>
          <w:sz w:val="32"/>
          <w:szCs w:val="32"/>
        </w:rPr>
        <w:t>十、政府性基金预算财政拨款收入支出决算表</w:t>
      </w:r>
      <w:bookmarkEnd w:id="136"/>
    </w:p>
    <w:p>
      <w:pPr>
        <w:snapToGrid w:val="0"/>
        <w:spacing w:after="0" w:line="560" w:lineRule="exact"/>
        <w:rPr>
          <w:rFonts w:eastAsia="仿宋"/>
          <w:sz w:val="32"/>
          <w:szCs w:val="32"/>
        </w:rPr>
      </w:pPr>
      <w:bookmarkStart w:id="137" w:name="_Toc4718_WPSOffice_Level2"/>
      <w:r>
        <w:rPr>
          <w:rFonts w:eastAsia="仿宋"/>
          <w:sz w:val="32"/>
          <w:szCs w:val="32"/>
        </w:rPr>
        <w:t>十一、国有资本经营预算财政拨款收入支出决算表</w:t>
      </w:r>
      <w:bookmarkEnd w:id="137"/>
    </w:p>
    <w:p>
      <w:pPr>
        <w:snapToGrid w:val="0"/>
        <w:spacing w:after="0" w:line="560" w:lineRule="exact"/>
        <w:rPr>
          <w:rFonts w:eastAsia="仿宋"/>
          <w:sz w:val="32"/>
          <w:szCs w:val="32"/>
        </w:rPr>
      </w:pPr>
      <w:bookmarkStart w:id="138" w:name="_Toc17369_WPSOffice_Level2"/>
      <w:r>
        <w:rPr>
          <w:rFonts w:eastAsia="仿宋"/>
          <w:sz w:val="32"/>
          <w:szCs w:val="32"/>
        </w:rPr>
        <w:t>十二、国有资本经营预算财政拨款支出决算表</w:t>
      </w:r>
      <w:bookmarkEnd w:id="138"/>
    </w:p>
    <w:p>
      <w:pPr>
        <w:snapToGrid w:val="0"/>
        <w:spacing w:after="0" w:line="560" w:lineRule="exact"/>
        <w:rPr>
          <w:rFonts w:eastAsia="仿宋"/>
          <w:sz w:val="32"/>
          <w:szCs w:val="32"/>
        </w:rPr>
      </w:pPr>
      <w:bookmarkStart w:id="139" w:name="_Toc6367_WPSOffice_Level2"/>
      <w:r>
        <w:rPr>
          <w:rFonts w:eastAsia="仿宋"/>
          <w:sz w:val="32"/>
          <w:szCs w:val="32"/>
        </w:rPr>
        <w:t>十三、财政拨款“三公”经费支出决算表</w:t>
      </w:r>
      <w:bookmarkEnd w:id="139"/>
    </w:p>
    <w:sectPr>
      <w:headerReference r:id="rId3" w:type="default"/>
      <w:footerReference r:id="rId4" w:type="default"/>
      <w:pgSz w:w="11906" w:h="16838"/>
      <w:pgMar w:top="2098" w:right="1474" w:bottom="1984" w:left="1587"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0"/>
          <w:jc w:val="center"/>
        </w:pPr>
        <w:r>
          <w:fldChar w:fldCharType="begin"/>
        </w:r>
        <w:r>
          <w:instrText xml:space="preserve">PAGE   \* MERGEFORMAT</w:instrText>
        </w:r>
        <w:r>
          <w:fldChar w:fldCharType="separate"/>
        </w:r>
        <w:r>
          <w:rPr>
            <w:lang w:val="zh-CN"/>
          </w:rPr>
          <w:t>23</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14A1C"/>
    <w:rsid w:val="000222C6"/>
    <w:rsid w:val="0002549F"/>
    <w:rsid w:val="00035392"/>
    <w:rsid w:val="000468DB"/>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80496"/>
    <w:rsid w:val="00283D47"/>
    <w:rsid w:val="00294DC9"/>
    <w:rsid w:val="00295495"/>
    <w:rsid w:val="002A31DE"/>
    <w:rsid w:val="002A62F7"/>
    <w:rsid w:val="002B2613"/>
    <w:rsid w:val="002C1468"/>
    <w:rsid w:val="002D6A07"/>
    <w:rsid w:val="002D6D05"/>
    <w:rsid w:val="002F1818"/>
    <w:rsid w:val="002F5109"/>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664BB"/>
    <w:rsid w:val="00566FFA"/>
    <w:rsid w:val="0057481D"/>
    <w:rsid w:val="0058486E"/>
    <w:rsid w:val="00585B33"/>
    <w:rsid w:val="0059014D"/>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85A64"/>
    <w:rsid w:val="006A3141"/>
    <w:rsid w:val="006A5E34"/>
    <w:rsid w:val="006B2422"/>
    <w:rsid w:val="006B2B9A"/>
    <w:rsid w:val="006C1937"/>
    <w:rsid w:val="006D12BA"/>
    <w:rsid w:val="006F020C"/>
    <w:rsid w:val="007127B7"/>
    <w:rsid w:val="0071798E"/>
    <w:rsid w:val="007416B6"/>
    <w:rsid w:val="0074408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18B2"/>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221"/>
    <w:rsid w:val="00860645"/>
    <w:rsid w:val="00871F71"/>
    <w:rsid w:val="00872FD8"/>
    <w:rsid w:val="00875641"/>
    <w:rsid w:val="00885AF4"/>
    <w:rsid w:val="00887F08"/>
    <w:rsid w:val="008914B9"/>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57C6F"/>
    <w:rsid w:val="00A67AB5"/>
    <w:rsid w:val="00A733B2"/>
    <w:rsid w:val="00A741C2"/>
    <w:rsid w:val="00A74A9E"/>
    <w:rsid w:val="00A91760"/>
    <w:rsid w:val="00A93B00"/>
    <w:rsid w:val="00A93C21"/>
    <w:rsid w:val="00AB64C9"/>
    <w:rsid w:val="00AC2E50"/>
    <w:rsid w:val="00AC3C6A"/>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0A42"/>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3398"/>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38B7"/>
    <w:rsid w:val="00F45853"/>
    <w:rsid w:val="00F52D2A"/>
    <w:rsid w:val="00F5561B"/>
    <w:rsid w:val="00F602DF"/>
    <w:rsid w:val="00F754A1"/>
    <w:rsid w:val="00F81FD9"/>
    <w:rsid w:val="00F841AA"/>
    <w:rsid w:val="00F84A94"/>
    <w:rsid w:val="00F87E96"/>
    <w:rsid w:val="00FA23E8"/>
    <w:rsid w:val="00FA789D"/>
    <w:rsid w:val="00FC7DA4"/>
    <w:rsid w:val="00FD3CC1"/>
    <w:rsid w:val="00FF1E02"/>
    <w:rsid w:val="00FF30B4"/>
    <w:rsid w:val="015975B8"/>
    <w:rsid w:val="02516517"/>
    <w:rsid w:val="02FEBE30"/>
    <w:rsid w:val="036F8141"/>
    <w:rsid w:val="03E97714"/>
    <w:rsid w:val="03EC3FC2"/>
    <w:rsid w:val="03F7403E"/>
    <w:rsid w:val="04151430"/>
    <w:rsid w:val="0566407F"/>
    <w:rsid w:val="05D75CA5"/>
    <w:rsid w:val="062C71F3"/>
    <w:rsid w:val="064F486A"/>
    <w:rsid w:val="06516F1D"/>
    <w:rsid w:val="066E0107"/>
    <w:rsid w:val="06D9468E"/>
    <w:rsid w:val="07996F6E"/>
    <w:rsid w:val="079D7EA9"/>
    <w:rsid w:val="07DC2E2B"/>
    <w:rsid w:val="07DFD8BA"/>
    <w:rsid w:val="081B0B7E"/>
    <w:rsid w:val="08672F83"/>
    <w:rsid w:val="0A2032A3"/>
    <w:rsid w:val="0A7461D9"/>
    <w:rsid w:val="0ADC0626"/>
    <w:rsid w:val="0B1E2F1D"/>
    <w:rsid w:val="0BFE55B2"/>
    <w:rsid w:val="0CBE5FB0"/>
    <w:rsid w:val="0CBF376A"/>
    <w:rsid w:val="0CE10532"/>
    <w:rsid w:val="0D35B1ED"/>
    <w:rsid w:val="0E0C3A14"/>
    <w:rsid w:val="0E7ED1F5"/>
    <w:rsid w:val="0EE2240B"/>
    <w:rsid w:val="0F98263C"/>
    <w:rsid w:val="101860EC"/>
    <w:rsid w:val="10C055FF"/>
    <w:rsid w:val="11316D6A"/>
    <w:rsid w:val="118107EC"/>
    <w:rsid w:val="11856E11"/>
    <w:rsid w:val="11940E30"/>
    <w:rsid w:val="11A11676"/>
    <w:rsid w:val="122B6D09"/>
    <w:rsid w:val="123B57FB"/>
    <w:rsid w:val="128B49DB"/>
    <w:rsid w:val="129E02C7"/>
    <w:rsid w:val="133D3590"/>
    <w:rsid w:val="13D50BC4"/>
    <w:rsid w:val="13F5616D"/>
    <w:rsid w:val="140F23F0"/>
    <w:rsid w:val="142A287D"/>
    <w:rsid w:val="14BA3D70"/>
    <w:rsid w:val="159E0818"/>
    <w:rsid w:val="1633370C"/>
    <w:rsid w:val="169C0C16"/>
    <w:rsid w:val="16BB723D"/>
    <w:rsid w:val="175F306A"/>
    <w:rsid w:val="1783737A"/>
    <w:rsid w:val="17996B8E"/>
    <w:rsid w:val="17F9714D"/>
    <w:rsid w:val="182B65B8"/>
    <w:rsid w:val="183A2FF6"/>
    <w:rsid w:val="18705E39"/>
    <w:rsid w:val="18AB1264"/>
    <w:rsid w:val="18E36208"/>
    <w:rsid w:val="1918F934"/>
    <w:rsid w:val="19EF6844"/>
    <w:rsid w:val="1A361DFA"/>
    <w:rsid w:val="1AAA21B6"/>
    <w:rsid w:val="1ACF4670"/>
    <w:rsid w:val="1B477B95"/>
    <w:rsid w:val="1BC8517D"/>
    <w:rsid w:val="1BE8440E"/>
    <w:rsid w:val="1BFB267B"/>
    <w:rsid w:val="1C0B087B"/>
    <w:rsid w:val="1D155CEE"/>
    <w:rsid w:val="1D9A6160"/>
    <w:rsid w:val="1DDC33E0"/>
    <w:rsid w:val="1DEC0DE1"/>
    <w:rsid w:val="1DFBC4B3"/>
    <w:rsid w:val="1E740ACF"/>
    <w:rsid w:val="1E86673C"/>
    <w:rsid w:val="1EA525AA"/>
    <w:rsid w:val="1EBE23D6"/>
    <w:rsid w:val="1F19C781"/>
    <w:rsid w:val="1F33FCE5"/>
    <w:rsid w:val="1F7F7398"/>
    <w:rsid w:val="1FCF33CE"/>
    <w:rsid w:val="1FD2DB6F"/>
    <w:rsid w:val="1FF35744"/>
    <w:rsid w:val="1FF6BC77"/>
    <w:rsid w:val="1FF9236D"/>
    <w:rsid w:val="204867B5"/>
    <w:rsid w:val="20776DCE"/>
    <w:rsid w:val="20904AFF"/>
    <w:rsid w:val="20A01254"/>
    <w:rsid w:val="210265C6"/>
    <w:rsid w:val="214E07BA"/>
    <w:rsid w:val="221642F5"/>
    <w:rsid w:val="22895CD7"/>
    <w:rsid w:val="22D812D9"/>
    <w:rsid w:val="2333840E"/>
    <w:rsid w:val="235D16AF"/>
    <w:rsid w:val="2361793F"/>
    <w:rsid w:val="23860B96"/>
    <w:rsid w:val="23920AB2"/>
    <w:rsid w:val="23A01F1F"/>
    <w:rsid w:val="240371BF"/>
    <w:rsid w:val="24700178"/>
    <w:rsid w:val="24AC34E2"/>
    <w:rsid w:val="24EB1B89"/>
    <w:rsid w:val="257938EE"/>
    <w:rsid w:val="257C638F"/>
    <w:rsid w:val="25D04ACF"/>
    <w:rsid w:val="264B3C82"/>
    <w:rsid w:val="2772037B"/>
    <w:rsid w:val="28070EF1"/>
    <w:rsid w:val="285C5C99"/>
    <w:rsid w:val="28CB450E"/>
    <w:rsid w:val="292241D2"/>
    <w:rsid w:val="295B1AC8"/>
    <w:rsid w:val="29E945E1"/>
    <w:rsid w:val="29F053A9"/>
    <w:rsid w:val="29FD04D3"/>
    <w:rsid w:val="2AB47F0F"/>
    <w:rsid w:val="2ADD6CD8"/>
    <w:rsid w:val="2B680235"/>
    <w:rsid w:val="2B821863"/>
    <w:rsid w:val="2BF36A54"/>
    <w:rsid w:val="2BFF7BC6"/>
    <w:rsid w:val="2C47037B"/>
    <w:rsid w:val="2C5E3CFD"/>
    <w:rsid w:val="2C8A61B5"/>
    <w:rsid w:val="2CD59C95"/>
    <w:rsid w:val="2CF2006A"/>
    <w:rsid w:val="2CF51023"/>
    <w:rsid w:val="2D316E4F"/>
    <w:rsid w:val="2D920DEC"/>
    <w:rsid w:val="2DF04E50"/>
    <w:rsid w:val="2DF1146B"/>
    <w:rsid w:val="2E4D5B89"/>
    <w:rsid w:val="2E647001"/>
    <w:rsid w:val="2EDC0006"/>
    <w:rsid w:val="2EFD05E5"/>
    <w:rsid w:val="2F040D46"/>
    <w:rsid w:val="2F4F95CE"/>
    <w:rsid w:val="2FACAFDD"/>
    <w:rsid w:val="2FAE5751"/>
    <w:rsid w:val="2FB1A395"/>
    <w:rsid w:val="2FCF0B76"/>
    <w:rsid w:val="2FD9A7D8"/>
    <w:rsid w:val="2FFA67DE"/>
    <w:rsid w:val="305A0010"/>
    <w:rsid w:val="306C3375"/>
    <w:rsid w:val="319F7F4E"/>
    <w:rsid w:val="32A245CB"/>
    <w:rsid w:val="3304709D"/>
    <w:rsid w:val="338D60B1"/>
    <w:rsid w:val="33F67F54"/>
    <w:rsid w:val="34786953"/>
    <w:rsid w:val="34BC15EF"/>
    <w:rsid w:val="35694519"/>
    <w:rsid w:val="35C407AC"/>
    <w:rsid w:val="36186AAF"/>
    <w:rsid w:val="36930662"/>
    <w:rsid w:val="36AA5135"/>
    <w:rsid w:val="36B51D18"/>
    <w:rsid w:val="36BE0DA7"/>
    <w:rsid w:val="36F8564D"/>
    <w:rsid w:val="36FB7FC5"/>
    <w:rsid w:val="376B6AA6"/>
    <w:rsid w:val="376D39B2"/>
    <w:rsid w:val="37E16F03"/>
    <w:rsid w:val="37F53A3B"/>
    <w:rsid w:val="381876ED"/>
    <w:rsid w:val="383D793E"/>
    <w:rsid w:val="38C1035B"/>
    <w:rsid w:val="38D469F0"/>
    <w:rsid w:val="38E97691"/>
    <w:rsid w:val="38F78389"/>
    <w:rsid w:val="397BAF1F"/>
    <w:rsid w:val="39E7B272"/>
    <w:rsid w:val="39F7642F"/>
    <w:rsid w:val="39FF7B37"/>
    <w:rsid w:val="3AB79AF3"/>
    <w:rsid w:val="3AF22EDE"/>
    <w:rsid w:val="3AFDCB77"/>
    <w:rsid w:val="3B312174"/>
    <w:rsid w:val="3B7EF35A"/>
    <w:rsid w:val="3B906C05"/>
    <w:rsid w:val="3B96216D"/>
    <w:rsid w:val="3B9FDB6C"/>
    <w:rsid w:val="3BB2593D"/>
    <w:rsid w:val="3BF5BC2F"/>
    <w:rsid w:val="3BF7C23A"/>
    <w:rsid w:val="3BFF223E"/>
    <w:rsid w:val="3C31444D"/>
    <w:rsid w:val="3C6EC0A1"/>
    <w:rsid w:val="3C9F4BD7"/>
    <w:rsid w:val="3CDB0824"/>
    <w:rsid w:val="3CEBA265"/>
    <w:rsid w:val="3D08020C"/>
    <w:rsid w:val="3D177DDB"/>
    <w:rsid w:val="3D534B80"/>
    <w:rsid w:val="3D6A7F9F"/>
    <w:rsid w:val="3D7E7F4D"/>
    <w:rsid w:val="3D98207C"/>
    <w:rsid w:val="3D9CF30A"/>
    <w:rsid w:val="3DFF5A3E"/>
    <w:rsid w:val="3E213EE2"/>
    <w:rsid w:val="3E4E6A47"/>
    <w:rsid w:val="3E536B44"/>
    <w:rsid w:val="3E5D2E95"/>
    <w:rsid w:val="3E646AD3"/>
    <w:rsid w:val="3E78745D"/>
    <w:rsid w:val="3EC94FCB"/>
    <w:rsid w:val="3ECA69B4"/>
    <w:rsid w:val="3EEE77E9"/>
    <w:rsid w:val="3F113491"/>
    <w:rsid w:val="3F394AF5"/>
    <w:rsid w:val="3F4602F9"/>
    <w:rsid w:val="3F4609CF"/>
    <w:rsid w:val="3F485BF2"/>
    <w:rsid w:val="3FBE5714"/>
    <w:rsid w:val="3FDD8615"/>
    <w:rsid w:val="3FDFB2FF"/>
    <w:rsid w:val="3FF4CAE0"/>
    <w:rsid w:val="3FF75FAF"/>
    <w:rsid w:val="3FF7B227"/>
    <w:rsid w:val="41CC065C"/>
    <w:rsid w:val="41E1638F"/>
    <w:rsid w:val="41E3678D"/>
    <w:rsid w:val="42581310"/>
    <w:rsid w:val="42E25290"/>
    <w:rsid w:val="430D3646"/>
    <w:rsid w:val="43646ED0"/>
    <w:rsid w:val="44015A44"/>
    <w:rsid w:val="44580412"/>
    <w:rsid w:val="44E268DA"/>
    <w:rsid w:val="457F4F6B"/>
    <w:rsid w:val="467606E4"/>
    <w:rsid w:val="46B74269"/>
    <w:rsid w:val="4737FB58"/>
    <w:rsid w:val="47ECCB02"/>
    <w:rsid w:val="47F1180E"/>
    <w:rsid w:val="47FA6A3F"/>
    <w:rsid w:val="491C6EE1"/>
    <w:rsid w:val="49D7AE48"/>
    <w:rsid w:val="49F82421"/>
    <w:rsid w:val="4A3F6C7E"/>
    <w:rsid w:val="4A627F82"/>
    <w:rsid w:val="4B0E749A"/>
    <w:rsid w:val="4B370680"/>
    <w:rsid w:val="4B4F25DA"/>
    <w:rsid w:val="4B727012"/>
    <w:rsid w:val="4BBB4781"/>
    <w:rsid w:val="4BD709A5"/>
    <w:rsid w:val="4BDD9BFF"/>
    <w:rsid w:val="4BE068DB"/>
    <w:rsid w:val="4C2B2B6B"/>
    <w:rsid w:val="4C6620AF"/>
    <w:rsid w:val="4CFF566F"/>
    <w:rsid w:val="4D2E7683"/>
    <w:rsid w:val="4D2F1CE4"/>
    <w:rsid w:val="4D3F4217"/>
    <w:rsid w:val="4D577224"/>
    <w:rsid w:val="4DA333F6"/>
    <w:rsid w:val="4DBF1CEB"/>
    <w:rsid w:val="4DBF6A6B"/>
    <w:rsid w:val="4DF6A672"/>
    <w:rsid w:val="4EAB630A"/>
    <w:rsid w:val="4ECD65E7"/>
    <w:rsid w:val="4ECE2238"/>
    <w:rsid w:val="4ED3719C"/>
    <w:rsid w:val="4EE20B06"/>
    <w:rsid w:val="4F3A50B3"/>
    <w:rsid w:val="4F7EA413"/>
    <w:rsid w:val="4F931C55"/>
    <w:rsid w:val="4FAB812F"/>
    <w:rsid w:val="4FC10F11"/>
    <w:rsid w:val="4FC846F0"/>
    <w:rsid w:val="4FE9BD67"/>
    <w:rsid w:val="4FEE4C07"/>
    <w:rsid w:val="4FFB052F"/>
    <w:rsid w:val="505C0E40"/>
    <w:rsid w:val="508D1B4A"/>
    <w:rsid w:val="51EE2F76"/>
    <w:rsid w:val="52497F25"/>
    <w:rsid w:val="529E0D14"/>
    <w:rsid w:val="52DB232C"/>
    <w:rsid w:val="5319338F"/>
    <w:rsid w:val="537E6D0A"/>
    <w:rsid w:val="53884EAD"/>
    <w:rsid w:val="53AB6B88"/>
    <w:rsid w:val="53EE55F8"/>
    <w:rsid w:val="53F74C96"/>
    <w:rsid w:val="543C404E"/>
    <w:rsid w:val="55736C5B"/>
    <w:rsid w:val="5583522D"/>
    <w:rsid w:val="55A67F47"/>
    <w:rsid w:val="56245930"/>
    <w:rsid w:val="56491D7E"/>
    <w:rsid w:val="5656728E"/>
    <w:rsid w:val="56972FA6"/>
    <w:rsid w:val="569856A1"/>
    <w:rsid w:val="56CF7771"/>
    <w:rsid w:val="56FB50EF"/>
    <w:rsid w:val="57227C2E"/>
    <w:rsid w:val="572F120C"/>
    <w:rsid w:val="57BD3DD4"/>
    <w:rsid w:val="57C35C54"/>
    <w:rsid w:val="57F9CD1E"/>
    <w:rsid w:val="582657EF"/>
    <w:rsid w:val="594B0D66"/>
    <w:rsid w:val="5A3761EF"/>
    <w:rsid w:val="5AA23D14"/>
    <w:rsid w:val="5AF92295"/>
    <w:rsid w:val="5AF9D8E9"/>
    <w:rsid w:val="5BDD38BD"/>
    <w:rsid w:val="5BDD79E6"/>
    <w:rsid w:val="5BEFC772"/>
    <w:rsid w:val="5BFF5DFC"/>
    <w:rsid w:val="5C1667C9"/>
    <w:rsid w:val="5CD71FC4"/>
    <w:rsid w:val="5D087AAD"/>
    <w:rsid w:val="5D093A68"/>
    <w:rsid w:val="5D1F11B5"/>
    <w:rsid w:val="5D3647F9"/>
    <w:rsid w:val="5DA644D4"/>
    <w:rsid w:val="5DAE1B18"/>
    <w:rsid w:val="5DE35D4B"/>
    <w:rsid w:val="5DE7D9E5"/>
    <w:rsid w:val="5E4D55FF"/>
    <w:rsid w:val="5E577FDE"/>
    <w:rsid w:val="5E614074"/>
    <w:rsid w:val="5ECEC941"/>
    <w:rsid w:val="5EFF8FC6"/>
    <w:rsid w:val="5F440628"/>
    <w:rsid w:val="5F5BA39A"/>
    <w:rsid w:val="5F7D3B79"/>
    <w:rsid w:val="5F7F4610"/>
    <w:rsid w:val="5FB7329F"/>
    <w:rsid w:val="5FBF9FF3"/>
    <w:rsid w:val="5FCD4E2C"/>
    <w:rsid w:val="5FEF394A"/>
    <w:rsid w:val="5FF67715"/>
    <w:rsid w:val="60B74A28"/>
    <w:rsid w:val="61AA531A"/>
    <w:rsid w:val="61CA71D5"/>
    <w:rsid w:val="624363BF"/>
    <w:rsid w:val="627EE9EA"/>
    <w:rsid w:val="634E3DBB"/>
    <w:rsid w:val="63B23AA5"/>
    <w:rsid w:val="647F5392"/>
    <w:rsid w:val="6490589F"/>
    <w:rsid w:val="64E322C4"/>
    <w:rsid w:val="653757DF"/>
    <w:rsid w:val="65864E7A"/>
    <w:rsid w:val="65AF3517"/>
    <w:rsid w:val="65FB93B9"/>
    <w:rsid w:val="6633C463"/>
    <w:rsid w:val="676134BE"/>
    <w:rsid w:val="67D55B77"/>
    <w:rsid w:val="67EE7F84"/>
    <w:rsid w:val="68146D18"/>
    <w:rsid w:val="686F5F53"/>
    <w:rsid w:val="68A407AF"/>
    <w:rsid w:val="68CB755E"/>
    <w:rsid w:val="69187FFB"/>
    <w:rsid w:val="697C4919"/>
    <w:rsid w:val="69941572"/>
    <w:rsid w:val="69D72AC7"/>
    <w:rsid w:val="6A1C2FC0"/>
    <w:rsid w:val="6A2C524A"/>
    <w:rsid w:val="6A576A12"/>
    <w:rsid w:val="6A5C580F"/>
    <w:rsid w:val="6AFFCEAF"/>
    <w:rsid w:val="6B4D5887"/>
    <w:rsid w:val="6B96E9E6"/>
    <w:rsid w:val="6BCE57B5"/>
    <w:rsid w:val="6BFEA4DB"/>
    <w:rsid w:val="6BFFB662"/>
    <w:rsid w:val="6C4A05C8"/>
    <w:rsid w:val="6C9C2524"/>
    <w:rsid w:val="6CD82F87"/>
    <w:rsid w:val="6CFF4FB8"/>
    <w:rsid w:val="6D310222"/>
    <w:rsid w:val="6D6BD6E0"/>
    <w:rsid w:val="6D77E73C"/>
    <w:rsid w:val="6DBF5E93"/>
    <w:rsid w:val="6DFF077E"/>
    <w:rsid w:val="6E03523F"/>
    <w:rsid w:val="6E7710A1"/>
    <w:rsid w:val="6E7E3605"/>
    <w:rsid w:val="6E7FDCC7"/>
    <w:rsid w:val="6ED6A62E"/>
    <w:rsid w:val="6EE00B15"/>
    <w:rsid w:val="6EE737B2"/>
    <w:rsid w:val="6EEB2329"/>
    <w:rsid w:val="6EECE67A"/>
    <w:rsid w:val="6F6F90A8"/>
    <w:rsid w:val="6F6FB3EB"/>
    <w:rsid w:val="6F8731EA"/>
    <w:rsid w:val="6F92017E"/>
    <w:rsid w:val="6FBC2ADD"/>
    <w:rsid w:val="6FD57C00"/>
    <w:rsid w:val="6FDD0118"/>
    <w:rsid w:val="6FE06048"/>
    <w:rsid w:val="6FEA3DC5"/>
    <w:rsid w:val="6FEFFFD8"/>
    <w:rsid w:val="6FF5CC65"/>
    <w:rsid w:val="6FFB47EC"/>
    <w:rsid w:val="6FFF034A"/>
    <w:rsid w:val="701F0CCC"/>
    <w:rsid w:val="704D4FFE"/>
    <w:rsid w:val="70952F64"/>
    <w:rsid w:val="70983C04"/>
    <w:rsid w:val="71137073"/>
    <w:rsid w:val="7128722D"/>
    <w:rsid w:val="712A28F1"/>
    <w:rsid w:val="715C0E4B"/>
    <w:rsid w:val="71B92296"/>
    <w:rsid w:val="71FFD401"/>
    <w:rsid w:val="721666C0"/>
    <w:rsid w:val="72233669"/>
    <w:rsid w:val="72734D90"/>
    <w:rsid w:val="72E64783"/>
    <w:rsid w:val="7332FE48"/>
    <w:rsid w:val="73487B72"/>
    <w:rsid w:val="73AD73D5"/>
    <w:rsid w:val="73B6EB34"/>
    <w:rsid w:val="73FA497D"/>
    <w:rsid w:val="744731E5"/>
    <w:rsid w:val="74BBD01D"/>
    <w:rsid w:val="74ED5379"/>
    <w:rsid w:val="75BF45D4"/>
    <w:rsid w:val="75DEEEC2"/>
    <w:rsid w:val="767F479D"/>
    <w:rsid w:val="76AB1E81"/>
    <w:rsid w:val="76E3355F"/>
    <w:rsid w:val="76F742AF"/>
    <w:rsid w:val="76F7BE7D"/>
    <w:rsid w:val="76FF5125"/>
    <w:rsid w:val="7703613A"/>
    <w:rsid w:val="773570D3"/>
    <w:rsid w:val="77597F31"/>
    <w:rsid w:val="77612DB6"/>
    <w:rsid w:val="776F6FFA"/>
    <w:rsid w:val="7777A522"/>
    <w:rsid w:val="77858688"/>
    <w:rsid w:val="778769C8"/>
    <w:rsid w:val="77A03186"/>
    <w:rsid w:val="77C0216A"/>
    <w:rsid w:val="77CB741A"/>
    <w:rsid w:val="77D7BE3A"/>
    <w:rsid w:val="77DC22F5"/>
    <w:rsid w:val="77E7182A"/>
    <w:rsid w:val="78EE59A2"/>
    <w:rsid w:val="797E3A6C"/>
    <w:rsid w:val="79CF70E2"/>
    <w:rsid w:val="79D7FD79"/>
    <w:rsid w:val="79E75806"/>
    <w:rsid w:val="79EE5BA4"/>
    <w:rsid w:val="7A641148"/>
    <w:rsid w:val="7A6F8BF5"/>
    <w:rsid w:val="7A894339"/>
    <w:rsid w:val="7ACF82B5"/>
    <w:rsid w:val="7AFF28C9"/>
    <w:rsid w:val="7AFF72A0"/>
    <w:rsid w:val="7AFF7572"/>
    <w:rsid w:val="7B2A1936"/>
    <w:rsid w:val="7B6C7DFB"/>
    <w:rsid w:val="7B7D76A7"/>
    <w:rsid w:val="7BAE2FE2"/>
    <w:rsid w:val="7BAF6951"/>
    <w:rsid w:val="7BBFBED0"/>
    <w:rsid w:val="7BC3E394"/>
    <w:rsid w:val="7BF3FE4C"/>
    <w:rsid w:val="7BFB5035"/>
    <w:rsid w:val="7BFDE17E"/>
    <w:rsid w:val="7C0E006A"/>
    <w:rsid w:val="7C1532C7"/>
    <w:rsid w:val="7C176326"/>
    <w:rsid w:val="7C467226"/>
    <w:rsid w:val="7C536113"/>
    <w:rsid w:val="7C815F7D"/>
    <w:rsid w:val="7CBFC87B"/>
    <w:rsid w:val="7CFE0F48"/>
    <w:rsid w:val="7D344BE4"/>
    <w:rsid w:val="7D3DE31C"/>
    <w:rsid w:val="7D4113F5"/>
    <w:rsid w:val="7D7EC23E"/>
    <w:rsid w:val="7D7F8A13"/>
    <w:rsid w:val="7DA43FCA"/>
    <w:rsid w:val="7DBBCB01"/>
    <w:rsid w:val="7DC765D0"/>
    <w:rsid w:val="7DDB0EE0"/>
    <w:rsid w:val="7DFF51D8"/>
    <w:rsid w:val="7E592EAB"/>
    <w:rsid w:val="7E634199"/>
    <w:rsid w:val="7E710DBC"/>
    <w:rsid w:val="7E8ADEBF"/>
    <w:rsid w:val="7EEF11D3"/>
    <w:rsid w:val="7EF78C20"/>
    <w:rsid w:val="7F057EBF"/>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5"/>
    <w:qFormat/>
    <w:uiPriority w:val="99"/>
    <w:pPr>
      <w:spacing w:beforeLines="30"/>
    </w:pPr>
    <w:rPr>
      <w:rFonts w:ascii="仿宋_GB2312" w:eastAsia="仿宋_GB2312"/>
      <w:kern w:val="0"/>
      <w:sz w:val="30"/>
    </w:rPr>
  </w:style>
  <w:style w:type="paragraph" w:styleId="6">
    <w:name w:val="Salutation"/>
    <w:basedOn w:val="1"/>
    <w:next w:val="1"/>
    <w:qFormat/>
    <w:uiPriority w:val="0"/>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字符"/>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字符"/>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字符"/>
    <w:link w:val="2"/>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spacing w:after="160" w:line="278" w:lineRule="auto"/>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字符"/>
    <w:basedOn w:val="16"/>
    <w:link w:val="3"/>
    <w:qFormat/>
    <w:uiPriority w:val="9"/>
    <w:rPr>
      <w:rFonts w:ascii="Times New Roman" w:hAnsi="Times New Roman"/>
      <w:b/>
      <w:bCs/>
      <w:kern w:val="44"/>
      <w:sz w:val="44"/>
      <w:szCs w:val="44"/>
    </w:rPr>
  </w:style>
  <w:style w:type="character" w:customStyle="1" w:styleId="29">
    <w:name w:val="标题 2 字符"/>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字符"/>
    <w:basedOn w:val="16"/>
    <w:link w:val="9"/>
    <w:semiHidden/>
    <w:qFormat/>
    <w:uiPriority w:val="99"/>
    <w:rPr>
      <w:rFonts w:ascii="Times New Roman" w:hAnsi="Times New Roman"/>
      <w:kern w:val="2"/>
      <w:sz w:val="18"/>
      <w:szCs w:val="18"/>
    </w:rPr>
  </w:style>
  <w:style w:type="character" w:customStyle="1" w:styleId="32">
    <w:name w:val="标题 3 字符"/>
    <w:basedOn w:val="16"/>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 w:type="paragraph" w:customStyle="1" w:styleId="35">
    <w:name w:val="WPSOffice手动目录 1"/>
    <w:qFormat/>
    <w:uiPriority w:val="0"/>
    <w:pPr>
      <w:spacing w:after="160" w:line="278" w:lineRule="auto"/>
    </w:pPr>
    <w:rPr>
      <w:rFonts w:ascii="Times New Roman" w:hAnsi="Times New Roman" w:eastAsia="宋体" w:cs="Times New Roman"/>
      <w:lang w:val="en-US" w:eastAsia="zh-CN" w:bidi="ar-SA"/>
    </w:rPr>
  </w:style>
  <w:style w:type="paragraph" w:customStyle="1" w:styleId="36">
    <w:name w:val="WPSOffice手动目录 2"/>
    <w:qFormat/>
    <w:uiPriority w:val="0"/>
    <w:pPr>
      <w:spacing w:after="160" w:line="278" w:lineRule="auto"/>
      <w:ind w:left="200" w:leftChars="200"/>
    </w:pPr>
    <w:rPr>
      <w:rFonts w:ascii="Times New Roman" w:hAnsi="Times New Roman" w:eastAsia="宋体" w:cs="Times New Roman"/>
      <w:lang w:val="en-US" w:eastAsia="zh-CN" w:bidi="ar-SA"/>
    </w:rPr>
  </w:style>
  <w:style w:type="paragraph" w:customStyle="1" w:styleId="37">
    <w:name w:val="WPSOffice手动目录 3"/>
    <w:qFormat/>
    <w:uiPriority w:val="0"/>
    <w:pPr>
      <w:spacing w:after="160" w:line="278" w:lineRule="auto"/>
      <w:ind w:left="400" w:leftChars="400"/>
    </w:pPr>
    <w:rPr>
      <w:rFonts w:ascii="Times New Roman" w:hAnsi="Times New Roman" w:eastAsia="宋体" w:cs="Times New Roman"/>
      <w:lang w:val="en-US" w:eastAsia="zh-CN" w:bidi="ar-SA"/>
    </w:rPr>
  </w:style>
  <w:style w:type="paragraph" w:customStyle="1" w:styleId="38">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image" Target="media/image2.png"/><Relationship Id="rId7" Type="http://schemas.openxmlformats.org/officeDocument/2006/relationships/chart" Target="charts/chart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glossaryDocument" Target="glossary/document.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22270;&#34920;%20&#22312;%20201-&#20013;&#22269;&#20849;&#20135;&#20826;&#30416;&#36793;&#21439;&#22996;&#21592;&#20250;&#21150;&#20844;&#23460;&#65288;&#37096;&#38376;&#65289;_2023&#24180;&#37096;&#38376;&#20915;&#31639;&#20844;&#24320;&#32534;&#21046;&#35828;&#26126;-&#30465;&#26412;&#32423;&#65288;&#37096;&#38376;&#65289;.docx" TargetMode="External"/></Relationships>
</file>

<file path=word/charts/_rels/chart2.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oleObject" Target="file:///C:\Users\45070\Desktop\&#25919;&#24220;&#21150;2023&#24180;&#20915;&#31639;&#20998;&#26512;&#25253;&#21578;&#22270;&#34920;.xls" TargetMode="External"/></Relationships>
</file>

<file path=word/charts/_rels/chart3.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oleObject" Target="file:///C:\Users\45070\Desktop\&#25919;&#24220;&#21150;2023&#24180;&#20915;&#31639;&#20998;&#26512;&#25253;&#21578;&#22270;&#34920;.xls" TargetMode="External"/></Relationships>
</file>

<file path=word/charts/_rels/chart4.xml.rels><?xml version="1.0" encoding="UTF-8" standalone="yes"?>
<Relationships xmlns="http://schemas.openxmlformats.org/package/2006/relationships"><Relationship Id="rId2" Type="http://schemas.openxmlformats.org/officeDocument/2006/relationships/themeOverride" Target="../theme/themeOverride3.xml"/><Relationship Id="rId1" Type="http://schemas.openxmlformats.org/officeDocument/2006/relationships/oleObject" Target="file:///C:\Users\45070\Desktop\&#25919;&#24220;&#21150;2023&#24180;&#20915;&#31639;&#20998;&#26512;&#25253;&#21578;&#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5919;&#24220;&#21150;2022&#24180;&#20915;&#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800" b="1" i="0" u="none" strike="noStrike" kern="1200" baseline="0">
                <a:solidFill>
                  <a:schemeClr val="dk1"/>
                </a:solidFill>
                <a:latin typeface="+mn-lt"/>
                <a:ea typeface="+mn-ea"/>
                <a:cs typeface="+mn-cs"/>
              </a:defRPr>
            </a:pPr>
            <a:r>
              <a:rPr lang="zh-CN" altLang="en-US">
                <a:solidFill>
                  <a:schemeClr val="dk1"/>
                </a:solidFill>
                <a:latin typeface="+mn-lt"/>
                <a:ea typeface="+mn-ea"/>
                <a:cs typeface="+mn-cs"/>
              </a:rPr>
              <a:t>收入决算结构图（单位：万元）</a:t>
            </a:r>
            <a:endParaRPr lang="zh-CN" altLang="en-US">
              <a:solidFill>
                <a:schemeClr val="dk1"/>
              </a:solidFill>
              <a:latin typeface="+mn-lt"/>
              <a:ea typeface="+mn-ea"/>
              <a:cs typeface="+mn-cs"/>
            </a:endParaRPr>
          </a:p>
        </c:rich>
      </c:tx>
      <c:layout/>
      <c:overlay val="0"/>
    </c:title>
    <c:autoTitleDeleted val="0"/>
    <c:plotArea>
      <c:layout/>
      <c:pieChart>
        <c:varyColors val="1"/>
        <c:ser>
          <c:idx val="0"/>
          <c:order val="0"/>
          <c:tx>
            <c:strRef>
              <c:f>'[图表 在 201-中国共产党盐边县委员会办公室（部门）_2023年部门决算公开编制说明-省本级（部门）.docx]Sheet1'!$B$3</c:f>
              <c:strCache>
                <c:ptCount val="1"/>
                <c:pt idx="0">
                  <c:v>收入决算结构图</c:v>
                </c:pt>
              </c:strCache>
            </c:strRef>
          </c:tx>
          <c:explosion val="0"/>
          <c:dPt>
            <c:idx val="0"/>
            <c:bubble3D val="0"/>
          </c:dPt>
          <c:dPt>
            <c:idx val="1"/>
            <c:bubble3D val="0"/>
          </c:dPt>
          <c:dLbls>
            <c:dLbl>
              <c:idx val="0"/>
              <c:layout/>
              <c:tx>
                <c:rich>
                  <a:bodyPr rot="0" spcFirstLastPara="0" vertOverflow="ellipsis" vert="horz" wrap="square" lIns="38100" tIns="19050" rIns="38100" bIns="19050" anchor="ctr" anchorCtr="1"/>
                  <a:lstStyle/>
                  <a:p>
                    <a:pPr>
                      <a:defRPr lang="zh-CN" sz="1000" b="0" i="0" u="none" strike="noStrike" kern="1200" baseline="0">
                        <a:solidFill>
                          <a:schemeClr val="dk1"/>
                        </a:solidFill>
                        <a:latin typeface="+mn-lt"/>
                        <a:ea typeface="+mn-ea"/>
                        <a:cs typeface="+mn-cs"/>
                      </a:defRPr>
                    </a:pPr>
                    <a:r>
                      <a:rPr lang="en-US" altLang="zh-CN"/>
                      <a:t>1399.52</a:t>
                    </a:r>
                    <a:r>
                      <a:rPr lang="zh-CN" altLang="en-US"/>
                      <a:t>，</a:t>
                    </a:r>
                    <a:r>
                      <a:rPr lang="en-US" altLang="zh-CN"/>
                      <a:t>100%</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a:defRPr lang="zh-CN" sz="1000" b="0" i="0" u="none" strike="noStrike" kern="1200" baseline="0">
                        <a:solidFill>
                          <a:schemeClr val="dk1"/>
                        </a:solidFill>
                        <a:latin typeface="+mn-lt"/>
                        <a:ea typeface="+mn-ea"/>
                        <a:cs typeface="+mn-cs"/>
                      </a:defRPr>
                    </a:pPr>
                    <a:r>
                      <a:rPr lang="en-US" altLang="zh-CN"/>
                      <a:t>0</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[0016db411]Sheet1!$C$2:$D$2</c:f>
              <c:strCache>
                <c:ptCount val="2"/>
                <c:pt idx="0">
                  <c:v>一般公共预算财政拨款收入</c:v>
                </c:pt>
                <c:pt idx="1">
                  <c:v>其他</c:v>
                </c:pt>
              </c:strCache>
            </c:strRef>
          </c:cat>
          <c:val>
            <c:numRef>
              <c:f>'[图表 在 201-中国共产党盐边县委员会办公室（部门）_2023年部门决算公开编制说明-省本级（部门）.docx]Sheet1'!$C$3:$D$3</c:f>
              <c:numCache>
                <c:formatCode>General</c:formatCode>
                <c:ptCount val="2"/>
                <c:pt idx="0">
                  <c:v>1399.52</c:v>
                </c:pt>
                <c:pt idx="1">
                  <c:v>0</c:v>
                </c:pt>
              </c:numCache>
            </c:numRef>
          </c:val>
        </c:ser>
        <c:ser>
          <c:idx val="1"/>
          <c:order val="1"/>
          <c:tx>
            <c:strRef>
              <c:f>'[图表 在 201-中国共产党盐边县委员会办公室（部门）_2023年部门决算公开编制说明-省本级（部门）.docx]Sheet1'!#REF!</c:f>
              <c:strCache>
                <c:ptCount val="1"/>
                <c:pt idx="0">
                  <c:v/>
                </c:pt>
              </c:strCache>
            </c:strRef>
          </c:tx>
          <c:explosion val="0"/>
          <c:dPt>
            <c:idx val="0"/>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[0016db411]Sheet1!$C$2:$D$2</c:f>
              <c:strCache>
                <c:ptCount val="2"/>
                <c:pt idx="0">
                  <c:v>一般公共预算财政拨款收入</c:v>
                </c:pt>
                <c:pt idx="1">
                  <c:v>其他</c:v>
                </c:pt>
              </c:strCache>
            </c:strRef>
          </c:cat>
          <c:val>
            <c:numRef>
              <c:f>[0016db411]Sheet1!#REF!</c:f>
              <c:numCache>
                <c:formatCode>General</c:formatCode>
                <c:ptCount val="1"/>
              </c:numCache>
            </c:numRef>
          </c:val>
        </c:ser>
        <c:ser>
          <c:idx val="2"/>
          <c:order val="2"/>
          <c:tx>
            <c:strRef>
              <c:f>'[图表 在 201-中国共产党盐边县委员会办公室（部门）_2023年部门决算公开编制说明-省本级（部门）.docx]Sheet1'!#REF!</c:f>
              <c:strCache>
                <c:ptCount val="1"/>
                <c:pt idx="0">
                  <c:v/>
                </c:pt>
              </c:strCache>
            </c:strRef>
          </c:tx>
          <c:explosion val="0"/>
          <c:dPt>
            <c:idx val="0"/>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[0016db411]Sheet1!$C$2:$D$2</c:f>
              <c:strCache>
                <c:ptCount val="2"/>
                <c:pt idx="0">
                  <c:v>一般公共预算财政拨款收入</c:v>
                </c:pt>
                <c:pt idx="1">
                  <c:v>其他</c:v>
                </c:pt>
              </c:strCache>
            </c:strRef>
          </c:cat>
          <c:val>
            <c:numRef>
              <c:f>[0016db411]Sheet1!#REF!</c:f>
              <c:numCache>
                <c:formatCode>General</c:formatCode>
                <c:ptCount val="1"/>
              </c:numCache>
            </c:numRef>
          </c:val>
        </c:ser>
        <c:dLbls>
          <c:showLegendKey val="0"/>
          <c:showVal val="0"/>
          <c:showCatName val="0"/>
          <c:showSerName val="0"/>
          <c:showPercent val="0"/>
          <c:showBubbleSize val="0"/>
          <c:showLeaderLines val="1"/>
        </c:dLbls>
        <c:firstSliceAng val="0"/>
      </c:pieChart>
    </c:plotArea>
    <c:legend>
      <c:legendPos val="b"/>
      <c:legendEntry>
        <c:idx val="0"/>
        <c:txPr>
          <a:bodyPr rot="0" spcFirstLastPara="0" vertOverflow="ellipsis" vert="horz" wrap="square" anchor="ctr" anchorCtr="1"/>
          <a:lstStyle/>
          <a:p>
            <a:pPr>
              <a:defRPr lang="zh-CN" sz="1000" b="0" i="0" u="none" strike="noStrike" kern="1200" baseline="0">
                <a:solidFill>
                  <a:schemeClr val="dk1"/>
                </a:solidFill>
                <a:latin typeface="+mn-lt"/>
                <a:ea typeface="+mn-ea"/>
                <a:cs typeface="+mn-cs"/>
              </a:defRPr>
            </a:pPr>
          </a:p>
        </c:txPr>
      </c:legendEntry>
      <c:legendEntry>
        <c:idx val="1"/>
        <c:txPr>
          <a:bodyPr rot="0" spcFirstLastPara="0" vertOverflow="ellipsis" vert="horz" wrap="square" anchor="ctr" anchorCtr="1"/>
          <a:lstStyle/>
          <a:p>
            <a:pPr>
              <a:defRPr lang="zh-CN" sz="1000" b="0" i="0" u="none" strike="noStrike" kern="1200" baseline="0">
                <a:solidFill>
                  <a:schemeClr val="dk1"/>
                </a:solidFill>
                <a:latin typeface="+mn-lt"/>
                <a:ea typeface="+mn-ea"/>
                <a:cs typeface="+mn-cs"/>
              </a:defRPr>
            </a:pPr>
          </a:p>
        </c:txPr>
      </c:legendEntry>
      <c:layout>
        <c:manualLayout>
          <c:xMode val="edge"/>
          <c:yMode val="edge"/>
          <c:x val="0.35375"/>
          <c:y val="0.895"/>
          <c:w val="0.292"/>
          <c:h val="0.077"/>
        </c:manualLayout>
      </c:layout>
      <c:overlay val="0"/>
      <c:txPr>
        <a:bodyPr rot="0" spcFirstLastPara="0" vertOverflow="ellipsis" vert="horz" wrap="square" anchor="ctr" anchorCtr="1"/>
        <a:lstStyle/>
        <a:p>
          <a:pPr>
            <a:defRPr lang="zh-CN" sz="1000" b="0" i="0" u="none" strike="noStrike" kern="1200" baseline="0">
              <a:solidFill>
                <a:schemeClr val="dk1"/>
              </a:solidFill>
              <a:latin typeface="+mn-lt"/>
              <a:ea typeface="+mn-ea"/>
              <a:cs typeface="+mn-cs"/>
            </a:defRPr>
          </a:pPr>
        </a:p>
      </c:txPr>
    </c:legend>
    <c:plotVisOnly val="1"/>
    <c:dispBlanksAs val="gap"/>
    <c:showDLblsOverMax val="0"/>
  </c:chart>
  <c:spPr>
    <a:solidFill>
      <a:schemeClr val="lt1"/>
    </a:solidFill>
    <a:ln w="12700" cap="flat" cmpd="sng" algn="ctr">
      <a:solidFill>
        <a:schemeClr val="dk1"/>
      </a:solidFill>
      <a:prstDash val="solid"/>
      <a:miter lim="800000"/>
    </a:ln>
    <a:sp3d>
      <a:extrusionClr>
        <a:srgbClr val="FFFFFF"/>
      </a:extrusionClr>
      <a:contourClr>
        <a:srgbClr val="FFFFFF"/>
      </a:contourClr>
    </a:sp3d>
  </c:spPr>
  <c:txPr>
    <a:bodyPr wrap="square"/>
    <a:lstStyle/>
    <a:p>
      <a:pPr>
        <a:defRPr lang="zh-CN">
          <a:solidFill>
            <a:schemeClr val="dk1"/>
          </a:solidFill>
          <a:latin typeface="+mn-lt"/>
          <a:ea typeface="+mn-ea"/>
          <a:cs typeface="+mn-cs"/>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375" b="0" i="0" u="none" strike="noStrike" baseline="0">
                <a:solidFill>
                  <a:srgbClr val="000000"/>
                </a:solidFill>
                <a:latin typeface="宋体" panose="02010600030101010101" charset="-122"/>
                <a:ea typeface="宋体" panose="02010600030101010101" charset="-122"/>
              </a:rPr>
              <a:t>一般公共预算财政拨款收、支决算总计变动情况   </a:t>
            </a:r>
            <a:endParaRPr lang="en-US" altLang="zh-CN" sz="1375" b="0" i="0" u="none" strike="noStrike" baseline="0">
              <a:solidFill>
                <a:srgbClr val="000000"/>
              </a:solidFill>
              <a:latin typeface="宋体" panose="02010600030101010101" charset="-122"/>
              <a:ea typeface="宋体" panose="02010600030101010101" charset="-122"/>
            </a:endParaRPr>
          </a:p>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200" b="0" i="0" u="none" strike="noStrike" baseline="0">
                <a:solidFill>
                  <a:srgbClr val="000000"/>
                </a:solidFill>
                <a:latin typeface="宋体" panose="02010600030101010101" charset="-122"/>
                <a:ea typeface="宋体" panose="02010600030101010101" charset="-122"/>
              </a:rPr>
              <a:t>单位：万元</a:t>
            </a:r>
            <a:endParaRPr lang="zh-CN" altLang="en-US" sz="1200" b="0" i="0" u="none" strike="noStrike" baseline="0">
              <a:solidFill>
                <a:srgbClr val="000000"/>
              </a:solidFill>
              <a:latin typeface="宋体" panose="02010600030101010101" charset="-122"/>
              <a:ea typeface="宋体" panose="02010600030101010101" charset="-122"/>
            </a:endParaRPr>
          </a:p>
        </c:rich>
      </c:tx>
      <c:layout>
        <c:manualLayout>
          <c:xMode val="edge"/>
          <c:yMode val="edge"/>
          <c:x val="0.190588456372531"/>
          <c:y val="0.0346232317381798"/>
        </c:manualLayout>
      </c:layout>
      <c:overlay val="0"/>
      <c:spPr>
        <a:noFill/>
        <a:ln w="3175">
          <a:noFill/>
        </a:ln>
      </c:spPr>
    </c:title>
    <c:autoTitleDeleted val="0"/>
    <c:plotArea>
      <c:layout>
        <c:manualLayout>
          <c:layoutTarget val="inner"/>
          <c:xMode val="edge"/>
          <c:yMode val="edge"/>
          <c:x val="0.080000080422875"/>
          <c:y val="0.185336463577842"/>
          <c:w val="0.784374826580507"/>
          <c:h val="0.682282585698648"/>
        </c:manualLayout>
      </c:layout>
      <c:barChart>
        <c:barDir val="col"/>
        <c:grouping val="clustered"/>
        <c:varyColors val="0"/>
        <c:ser>
          <c:idx val="0"/>
          <c:order val="0"/>
          <c:spPr>
            <a:solidFill>
              <a:srgbClr val="9999FF"/>
            </a:solidFill>
            <a:ln w="12700">
              <a:solidFill>
                <a:srgbClr val="000000"/>
              </a:solidFill>
              <a:prstDash val="solid"/>
            </a:ln>
          </c:spPr>
          <c:invertIfNegative val="0"/>
          <c:dLbls>
            <c:dLbl>
              <c:idx val="0"/>
              <c:layout/>
              <c:numFmt formatCode="General" sourceLinked="1"/>
              <c:spPr>
                <a:noFill/>
                <a:ln w="25400">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spPr>
              <a:noFill/>
              <a:ln w="25400">
                <a:noFill/>
              </a:ln>
              <a:effectLst/>
            </c:spPr>
            <c:txPr>
              <a:bodyPr rot="0" spcFirstLastPara="0" vertOverflow="ellipsis" vert="horz" wrap="square" lIns="38100" tIns="19050" rIns="38100" bIns="19050" anchor="ctr" anchorCtr="1">
                <a:spAutoFit/>
              </a:bodyPr>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Sheet1!$B$101:$C$101</c:f>
              <c:strCache>
                <c:ptCount val="2"/>
                <c:pt idx="0">
                  <c:v>2022年</c:v>
                </c:pt>
                <c:pt idx="1">
                  <c:v>2023年</c:v>
                </c:pt>
              </c:strCache>
            </c:strRef>
          </c:cat>
          <c:val>
            <c:numRef>
              <c:f>Sheet1!$B$102:$C$102</c:f>
              <c:numCache>
                <c:formatCode>General</c:formatCode>
                <c:ptCount val="2"/>
                <c:pt idx="0">
                  <c:v>938.47</c:v>
                </c:pt>
                <c:pt idx="1">
                  <c:v>1399.52</c:v>
                </c:pt>
              </c:numCache>
            </c:numRef>
          </c:val>
          <c:extLst>
            <c:ext xmlns:c15="http://schemas.microsoft.com/office/drawing/2012/chart" uri="{02D57815-91ED-43cb-92C2-25804820EDAC}">
              <c15:filteredSeriesTitle>
                <c15:tx>
                  <c:strRef>
                    <c:extLst>
                      <c:ext uri="{02D57815-91ED-43cb-92C2-25804820EDAC}">
                        <c15:formulaRef>
                          <c15:sqref>Sheet1!#REF!</c15:sqref>
                        </c15:formulaRef>
                      </c:ext>
                    </c:extLst>
                    <c:strCache>
                      <c:ptCount val="1"/>
                      <c:pt idx="0">
                        <c:v/>
                      </c:pt>
                    </c:strCache>
                  </c:strRef>
                </c15:tx>
              </c15:filteredSeriesTitle>
            </c:ext>
          </c:extLst>
        </c:ser>
        <c:dLbls>
          <c:showLegendKey val="0"/>
          <c:showVal val="0"/>
          <c:showCatName val="0"/>
          <c:showSerName val="0"/>
          <c:showPercent val="0"/>
          <c:showBubbleSize val="0"/>
        </c:dLbls>
        <c:gapWidth val="150"/>
        <c:axId val="774164687"/>
        <c:axId val="1"/>
      </c:barChart>
      <c:catAx>
        <c:axId val="774164687"/>
        <c:scaling>
          <c:orientation val="minMax"/>
        </c:scaling>
        <c:delete val="0"/>
        <c:axPos val="b"/>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
        <c:crosses val="autoZero"/>
        <c:auto val="1"/>
        <c:lblAlgn val="ctr"/>
        <c:lblOffset val="100"/>
        <c:tickLblSkip val="1"/>
        <c:noMultiLvlLbl val="0"/>
      </c:catAx>
      <c:valAx>
        <c:axId val="1"/>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774164687"/>
        <c:crosses val="autoZero"/>
        <c:crossBetween val="between"/>
      </c:valAx>
      <c:spPr>
        <a:solidFill>
          <a:srgbClr val="C0C0C0"/>
        </a:solidFill>
        <a:ln w="12700">
          <a:solidFill>
            <a:srgbClr val="808080"/>
          </a:solidFill>
          <a:prstDash val="solid"/>
        </a:ln>
      </c:spPr>
    </c:plotArea>
    <c:plotVisOnly val="1"/>
    <c:dispBlanksAs val="gap"/>
    <c:showDLblsOverMax val="0"/>
  </c:chart>
  <c:spPr>
    <a:solidFill>
      <a:srgbClr val="FFFFFF"/>
    </a:solidFill>
    <a:ln w="3175" cap="flat" cmpd="sng" algn="ctr">
      <a:solidFill>
        <a:srgbClr val="000000"/>
      </a:solidFill>
      <a:prstDash val="solid"/>
      <a:round/>
    </a:ln>
  </c:spPr>
  <c:txPr>
    <a:bodyPr/>
    <a:lstStyle/>
    <a:p>
      <a:pPr>
        <a:defRPr lang="zh-CN" sz="11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375" b="0" i="0" u="none" strike="noStrike" baseline="0">
                <a:solidFill>
                  <a:srgbClr val="000000"/>
                </a:solidFill>
                <a:latin typeface="宋体" panose="02010600030101010101" charset="-122"/>
                <a:ea typeface="宋体" panose="02010600030101010101" charset="-122"/>
              </a:rPr>
              <a:t>一般公共预算财政拨款支出决算变动情况   </a:t>
            </a:r>
            <a:endParaRPr lang="en-US" altLang="zh-CN" sz="1375" b="0" i="0" u="none" strike="noStrike" baseline="0">
              <a:solidFill>
                <a:srgbClr val="000000"/>
              </a:solidFill>
              <a:latin typeface="宋体" panose="02010600030101010101" charset="-122"/>
              <a:ea typeface="宋体" panose="02010600030101010101" charset="-122"/>
            </a:endParaRPr>
          </a:p>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200" b="0" i="0" u="none" strike="noStrike" baseline="0">
                <a:solidFill>
                  <a:srgbClr val="000000"/>
                </a:solidFill>
                <a:latin typeface="宋体" panose="02010600030101010101" charset="-122"/>
                <a:ea typeface="宋体" panose="02010600030101010101" charset="-122"/>
              </a:rPr>
              <a:t>单位：万元</a:t>
            </a:r>
            <a:endParaRPr lang="zh-CN" altLang="en-US" sz="1200" b="0" i="0" u="none" strike="noStrike" baseline="0">
              <a:solidFill>
                <a:srgbClr val="000000"/>
              </a:solidFill>
              <a:latin typeface="宋体" panose="02010600030101010101" charset="-122"/>
              <a:ea typeface="宋体" panose="02010600030101010101" charset="-122"/>
            </a:endParaRPr>
          </a:p>
        </c:rich>
      </c:tx>
      <c:layout>
        <c:manualLayout>
          <c:xMode val="edge"/>
          <c:yMode val="edge"/>
          <c:x val="0.190588456372531"/>
          <c:y val="0.0346232317381798"/>
        </c:manualLayout>
      </c:layout>
      <c:overlay val="0"/>
      <c:spPr>
        <a:noFill/>
        <a:ln w="3175">
          <a:noFill/>
        </a:ln>
      </c:spPr>
    </c:title>
    <c:autoTitleDeleted val="0"/>
    <c:plotArea>
      <c:layout>
        <c:manualLayout>
          <c:layoutTarget val="inner"/>
          <c:xMode val="edge"/>
          <c:yMode val="edge"/>
          <c:x val="0.080000080422875"/>
          <c:y val="0.185336463577842"/>
          <c:w val="0.784374826580507"/>
          <c:h val="0.682282585698648"/>
        </c:manualLayout>
      </c:layout>
      <c:barChart>
        <c:barDir val="col"/>
        <c:grouping val="clustered"/>
        <c:varyColors val="0"/>
        <c:ser>
          <c:idx val="0"/>
          <c:order val="0"/>
          <c:spPr>
            <a:solidFill>
              <a:srgbClr val="9999FF"/>
            </a:solidFill>
            <a:ln w="12700">
              <a:solidFill>
                <a:srgbClr val="000000"/>
              </a:solidFill>
              <a:prstDash val="solid"/>
            </a:ln>
          </c:spPr>
          <c:invertIfNegative val="0"/>
          <c:dLbls>
            <c:dLbl>
              <c:idx val="0"/>
              <c:layout/>
              <c:numFmt formatCode="General" sourceLinked="1"/>
              <c:spPr>
                <a:noFill/>
                <a:ln w="25400">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spPr>
              <a:noFill/>
              <a:ln w="25400">
                <a:noFill/>
              </a:ln>
              <a:effectLst/>
            </c:spPr>
            <c:txPr>
              <a:bodyPr rot="0" spcFirstLastPara="0" vertOverflow="ellipsis" vert="horz" wrap="square" lIns="38100" tIns="19050" rIns="38100" bIns="19050" anchor="ctr" anchorCtr="1">
                <a:spAutoFit/>
              </a:bodyPr>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Sheet1!$B$101:$C$101</c:f>
              <c:strCache>
                <c:ptCount val="2"/>
                <c:pt idx="0">
                  <c:v>2022年</c:v>
                </c:pt>
                <c:pt idx="1">
                  <c:v>2023年</c:v>
                </c:pt>
              </c:strCache>
            </c:strRef>
          </c:cat>
          <c:val>
            <c:numRef>
              <c:f>Sheet1!$B$102:$C$102</c:f>
              <c:numCache>
                <c:formatCode>General</c:formatCode>
                <c:ptCount val="2"/>
                <c:pt idx="0">
                  <c:v>938.47</c:v>
                </c:pt>
                <c:pt idx="1">
                  <c:v>1399.52</c:v>
                </c:pt>
              </c:numCache>
            </c:numRef>
          </c:val>
          <c:extLst>
            <c:ext xmlns:c15="http://schemas.microsoft.com/office/drawing/2012/chart" uri="{02D57815-91ED-43cb-92C2-25804820EDAC}">
              <c15:filteredSeriesTitle>
                <c15:tx>
                  <c:strRef>
                    <c:extLst>
                      <c:ext uri="{02D57815-91ED-43cb-92C2-25804820EDAC}">
                        <c15:formulaRef>
                          <c15:sqref>Sheet1!#REF!</c15:sqref>
                        </c15:formulaRef>
                      </c:ext>
                    </c:extLst>
                    <c:strCache>
                      <c:ptCount val="1"/>
                      <c:pt idx="0">
                        <c:v/>
                      </c:pt>
                    </c:strCache>
                  </c:strRef>
                </c15:tx>
              </c15:filteredSeriesTitle>
            </c:ext>
          </c:extLst>
        </c:ser>
        <c:dLbls>
          <c:showLegendKey val="0"/>
          <c:showVal val="0"/>
          <c:showCatName val="0"/>
          <c:showSerName val="0"/>
          <c:showPercent val="0"/>
          <c:showBubbleSize val="0"/>
        </c:dLbls>
        <c:gapWidth val="150"/>
        <c:axId val="774164687"/>
        <c:axId val="1"/>
      </c:barChart>
      <c:catAx>
        <c:axId val="774164687"/>
        <c:scaling>
          <c:orientation val="minMax"/>
        </c:scaling>
        <c:delete val="0"/>
        <c:axPos val="b"/>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
        <c:crosses val="autoZero"/>
        <c:auto val="1"/>
        <c:lblAlgn val="ctr"/>
        <c:lblOffset val="100"/>
        <c:tickLblSkip val="1"/>
        <c:noMultiLvlLbl val="0"/>
      </c:catAx>
      <c:valAx>
        <c:axId val="1"/>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774164687"/>
        <c:crosses val="autoZero"/>
        <c:crossBetween val="between"/>
      </c:valAx>
      <c:spPr>
        <a:solidFill>
          <a:srgbClr val="C0C0C0"/>
        </a:solidFill>
        <a:ln w="12700">
          <a:solidFill>
            <a:srgbClr val="808080"/>
          </a:solidFill>
          <a:prstDash val="solid"/>
        </a:ln>
      </c:spPr>
    </c:plotArea>
    <c:plotVisOnly val="1"/>
    <c:dispBlanksAs val="gap"/>
    <c:showDLblsOverMax val="0"/>
  </c:chart>
  <c:spPr>
    <a:solidFill>
      <a:srgbClr val="FFFFFF"/>
    </a:solidFill>
    <a:ln w="3175" cap="flat" cmpd="sng" algn="ctr">
      <a:solidFill>
        <a:srgbClr val="000000"/>
      </a:solidFill>
      <a:prstDash val="solid"/>
      <a:round/>
    </a:ln>
  </c:spPr>
  <c:txPr>
    <a:bodyPr/>
    <a:lstStyle/>
    <a:p>
      <a:pPr>
        <a:defRPr lang="zh-CN" sz="11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zh-CN" sz="144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一般公共预算财政拨款支出决算结构</a:t>
            </a:r>
            <a:endParaRPr lang="zh-CN" altLang="en-US"/>
          </a:p>
          <a:p>
            <a:pPr defTabSz="914400">
              <a:defRPr lang="zh-CN" sz="144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200"/>
              <a:t>单位：万元</a:t>
            </a:r>
            <a:endParaRPr lang="zh-CN" altLang="en-US" sz="1200"/>
          </a:p>
        </c:rich>
      </c:tx>
      <c:layout/>
      <c:overlay val="0"/>
    </c:title>
    <c:autoTitleDeleted val="0"/>
    <c:plotArea>
      <c:layout>
        <c:manualLayout>
          <c:layoutTarget val="inner"/>
          <c:xMode val="edge"/>
          <c:yMode val="edge"/>
          <c:x val="0.252293789891618"/>
          <c:y val="0.385779407517173"/>
          <c:w val="0.245413050167301"/>
          <c:h val="0.323752130230098"/>
        </c:manualLayout>
      </c:layout>
      <c:pieChart>
        <c:varyColors val="1"/>
        <c:ser>
          <c:idx val="0"/>
          <c:order val="0"/>
          <c:tx>
            <c:strRef>
              <c:f>一般公共服务（类）支出</c:f>
              <c:strCache>
                <c:ptCount val="1"/>
                <c:pt idx="0">
                  <c:v>一般公共服务（类）支出</c:v>
                </c:pt>
              </c:strCache>
            </c:strRef>
          </c:tx>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FFC000"/>
              </a:solidFill>
              <a:ln w="12700">
                <a:solidFill>
                  <a:srgbClr val="000000"/>
                </a:solidFill>
                <a:prstDash val="solid"/>
              </a:ln>
            </c:spPr>
          </c:dPt>
          <c:dLbls>
            <c:dLbl>
              <c:idx val="0"/>
              <c:layout>
                <c:manualLayout>
                  <c:x val="0.0100335192334067"/>
                  <c:y val="0.0558102628950457"/>
                </c:manualLayout>
              </c:layout>
              <c:tx>
                <c:rich>
                  <a:bodyPr rot="0" spcFirstLastPara="0" vertOverflow="ellipsis" vert="horz" wrap="square" lIns="38100" tIns="19050" rIns="38100" bIns="19050" anchor="ctr" anchorCtr="1"/>
                  <a:lstStyle/>
                  <a:p>
                    <a:fld id="{abb776ee-b9a7-43b1-96bf-ea6c8c727d68}" type="CATEGORYNAME">
                      <a:t>[CATEGORY NAME]</a:t>
                    </a:fld>
                    <a:r>
                      <a:t>,</a:t>
                    </a:r>
                    <a:fld id="{f24c9a09-393b-436f-8441-1473c721a9b5}" type="VALUE">
                      <a:t>[VALUE]</a:t>
                    </a:fld>
                    <a:endParaRPr b="0" i="0" u="none" strike="noStrike" baseline="0">
                      <a:latin typeface="Times New Roman" panose="02020603050405020304" charset="0"/>
                      <a:ea typeface="Times New Roman" panose="02020603050405020304" charset="0"/>
                      <a:cs typeface="+mn-ea"/>
                    </a:endParaRPr>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0.0672208417977604"/>
                  <c:y val="0.302620992469399"/>
                </c:manualLayout>
              </c:layout>
              <c:tx>
                <c:rich>
                  <a:bodyPr rot="0" spcFirstLastPara="0" vertOverflow="ellipsis" vert="horz" wrap="square" lIns="38100" tIns="19050" rIns="38100" bIns="19050" anchor="ctr" anchorCtr="1"/>
                  <a:lstStyle/>
                  <a:p>
                    <a:fld id="{fef4d213-bcdd-4a01-83ab-2de793d03cee}" type="CATEGORYNAME">
                      <a:t>[CATEGORY NAME]</a:t>
                    </a:fld>
                    <a:r>
                      <a:t>,</a:t>
                    </a:r>
                    <a:fld id="{c87bda02-2aab-4027-80d0-10163c353a6e}" type="VALUE">
                      <a:t>[VALUE]</a:t>
                    </a:fld>
                    <a:endParaRPr b="0" i="0" u="none" strike="noStrike" baseline="0">
                      <a:latin typeface="Times New Roman" panose="02020603050405020304" charset="0"/>
                      <a:ea typeface="Times New Roman" panose="02020603050405020304" charset="0"/>
                      <a:cs typeface="+mn-ea"/>
                    </a:endParaRPr>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10903476151302"/>
                  <c:y val="-0.00922007996663968"/>
                </c:manualLayout>
              </c:layout>
              <c:tx>
                <c:rich>
                  <a:bodyPr rot="0" spcFirstLastPara="0" vertOverflow="ellipsis" vert="horz" wrap="square" lIns="38100" tIns="19050" rIns="38100" bIns="19050" anchor="ctr" anchorCtr="1"/>
                  <a:lstStyle/>
                  <a:p>
                    <a:fld id="{f93ec38e-752e-4e2c-bd1d-0ad440d19004}" type="CATEGORYNAME">
                      <a:t>[CATEGORY NAME]</a:t>
                    </a:fld>
                    <a:r>
                      <a:t>,</a:t>
                    </a:r>
                    <a:fld id="{4459321a-79de-4f17-b935-1b68e216412e}" type="VALUE">
                      <a:t>[VALUE]</a:t>
                    </a:fld>
                    <a:endParaRPr b="0" i="0" u="none" strike="noStrike" baseline="0">
                      <a:latin typeface="Times New Roman" panose="02020603050405020304" charset="0"/>
                      <a:ea typeface="Times New Roman" panose="02020603050405020304" charset="0"/>
                      <a:cs typeface="+mn-ea"/>
                    </a:endParaRPr>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0496029414233669"/>
                  <c:y val="-0.0565702651654525"/>
                </c:manualLayout>
              </c:layout>
              <c:tx>
                <c:rich>
                  <a:bodyPr rot="0" spcFirstLastPara="0" vertOverflow="ellipsis" vert="horz" wrap="square" lIns="38100" tIns="19050" rIns="38100" bIns="19050" anchor="ctr" anchorCtr="1"/>
                  <a:lstStyle/>
                  <a:p>
                    <a:fld id="{6b9cf582-0cc2-473b-b96a-3a3e182e5a52}" type="CATEGORYNAME">
                      <a:t>[CATEGORY NAME]</a:t>
                    </a:fld>
                    <a:r>
                      <a:t>,</a:t>
                    </a:r>
                    <a:fld id="{b5b4ba29-c0d4-40f8-b695-f6410ae676e1}" type="VALUE">
                      <a:t>[VALUE]</a:t>
                    </a:fld>
                    <a:endParaRPr b="0" i="0" u="none" strike="noStrike" baseline="0">
                      <a:latin typeface="Times New Roman" panose="02020603050405020304" charset="0"/>
                      <a:ea typeface="Times New Roman" panose="02020603050405020304" charset="0"/>
                      <a:cs typeface="+mn-ea"/>
                    </a:endParaRPr>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155726814465356"/>
                  <c:y val="0.061678256923492"/>
                </c:manualLayout>
              </c:layout>
              <c:tx>
                <c:rich>
                  <a:bodyPr rot="0" spcFirstLastPara="0" vertOverflow="ellipsis" vert="horz" wrap="square" lIns="38100" tIns="19050" rIns="38100" bIns="19050" anchor="ctr" anchorCtr="1"/>
                  <a:lstStyle/>
                  <a:p>
                    <a:fld id="{20fa090c-3e65-4cda-9e94-1460f00aacb5}" type="CATEGORYNAME">
                      <a:t>[CATEGORY NAME]</a:t>
                    </a:fld>
                    <a:r>
                      <a:t>,</a:t>
                    </a:r>
                    <a:fld id="{f027b34e-c466-4ffa-b089-eb4c80981498}" type="VALUE">
                      <a:t>[VALUE]</a:t>
                    </a:fld>
                    <a:endParaRPr b="0" i="0" u="none" strike="noStrike" baseline="0">
                      <a:latin typeface="Times New Roman" panose="02020603050405020304" charset="0"/>
                      <a:ea typeface="Times New Roman" panose="02020603050405020304" charset="0"/>
                      <a:cs typeface="+mn-ea"/>
                    </a:endParaRPr>
                  </a:p>
                </c:rich>
              </c:tx>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25400">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3175" cap="flat" cmpd="sng" algn="ctr">
                      <a:solidFill>
                        <a:srgbClr val="000000"/>
                      </a:solidFill>
                      <a:prstDash val="solid"/>
                      <a:round/>
                    </a:ln>
                  </c:spPr>
                </c15:leaderLines>
              </c:ext>
            </c:extLst>
          </c:dLbls>
          <c:cat>
            <c:strRef>
              <c:f>Sheet1!$A$127:$A$131</c:f>
              <c:strCache>
                <c:ptCount val="5"/>
                <c:pt idx="0">
                  <c:v>一般公共服务（类）支出</c:v>
                </c:pt>
                <c:pt idx="1">
                  <c:v>社会保障和就业（类）支出</c:v>
                </c:pt>
                <c:pt idx="2">
                  <c:v>卫生健康支出</c:v>
                </c:pt>
                <c:pt idx="3">
                  <c:v>住房保障支出</c:v>
                </c:pt>
                <c:pt idx="4">
                  <c:v>国防支出</c:v>
                </c:pt>
              </c:strCache>
            </c:strRef>
          </c:cat>
          <c:val>
            <c:numRef>
              <c:f>Sheet1!$B$127:$B$131</c:f>
              <c:numCache>
                <c:formatCode>General</c:formatCode>
                <c:ptCount val="5"/>
                <c:pt idx="0">
                  <c:v>1121.09</c:v>
                </c:pt>
                <c:pt idx="1">
                  <c:v>144.93</c:v>
                </c:pt>
                <c:pt idx="2" c:formatCode="0.00">
                  <c:v>64.4</c:v>
                </c:pt>
                <c:pt idx="3">
                  <c:v>61.92</c:v>
                </c:pt>
                <c:pt idx="4">
                  <c:v>7.18</c:v>
                </c:pt>
              </c:numCache>
            </c:numRef>
          </c:val>
        </c:ser>
        <c:ser>
          <c:idx val="1"/>
          <c:order val="1"/>
          <c:tx>
            <c:strRef>
              <c:f>社会保障和就业（类）支出</c:f>
              <c:strCache>
                <c:ptCount val="1"/>
                <c:pt idx="0">
                  <c:v>社会保障和就业（类）支出</c:v>
                </c:pt>
              </c:strCache>
            </c:strRef>
          </c:tx>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Lbls>
            <c:delete val="1"/>
          </c:dLbls>
          <c:cat>
            <c:strRef>
              <c:f>Sheet1!$A$127:$A$131</c:f>
              <c:strCache>
                <c:ptCount val="5"/>
                <c:pt idx="0">
                  <c:v>一般公共服务（类）支出</c:v>
                </c:pt>
                <c:pt idx="1">
                  <c:v>社会保障和就业（类）支出</c:v>
                </c:pt>
                <c:pt idx="2">
                  <c:v>卫生健康支出</c:v>
                </c:pt>
                <c:pt idx="3">
                  <c:v>住房保障支出</c:v>
                </c:pt>
                <c:pt idx="4">
                  <c:v>国防支出</c:v>
                </c:pt>
              </c:strCache>
            </c:strRef>
          </c:cat>
          <c:val>
            <c:numRef>
              <c:f>Sheet1!$C$127:$C$130</c:f>
              <c:numCache>
                <c:formatCode>0.00%</c:formatCode>
                <c:ptCount val="4"/>
                <c:pt idx="0">
                  <c:v>0.801053218246256</c:v>
                </c:pt>
                <c:pt idx="1">
                  <c:v>0.103556933805876</c:v>
                </c:pt>
                <c:pt idx="2">
                  <c:v>0.046015776837773</c:v>
                </c:pt>
                <c:pt idx="3">
                  <c:v>0.044243740711101</c:v>
                </c:pt>
              </c:numCache>
            </c:numRef>
          </c:val>
        </c:ser>
        <c:ser>
          <c:idx val="2"/>
          <c:order val="2"/>
          <c:tx>
            <c:strRef>
              <c:f>卫生健康支出</c:f>
              <c:strCache>
                <c:ptCount val="1"/>
                <c:pt idx="0">
                  <c:v>卫生健康支出</c:v>
                </c:pt>
              </c:strCache>
            </c:strRef>
          </c:tx>
          <c:explosion val="0"/>
          <c:dPt>
            <c:idx val="0"/>
            <c:bubble3D val="0"/>
          </c:dPt>
          <c:dLbls>
            <c:delete val="1"/>
          </c:dLbls>
          <c:cat>
            <c:strRef>
              <c:f>Sheet1!$A$127:$A$131</c:f>
              <c:strCache>
                <c:ptCount val="5"/>
                <c:pt idx="0">
                  <c:v>一般公共服务（类）支出</c:v>
                </c:pt>
                <c:pt idx="1">
                  <c:v>社会保障和就业（类）支出</c:v>
                </c:pt>
                <c:pt idx="2">
                  <c:v>卫生健康支出</c:v>
                </c:pt>
                <c:pt idx="3">
                  <c:v>住房保障支出</c:v>
                </c:pt>
                <c:pt idx="4">
                  <c:v>国防支出</c:v>
                </c:pt>
              </c:strCache>
            </c:strRef>
          </c:cat>
          <c:val>
            <c:numRef>
              <c:f>{1}</c:f>
              <c:numCache>
                <c:formatCode>General</c:formatCode>
                <c:ptCount val="1"/>
                <c:pt idx="0">
                  <c:v>1</c:v>
                </c:pt>
              </c:numCache>
            </c:numRef>
          </c:val>
        </c:ser>
        <c:ser>
          <c:idx val="3"/>
          <c:order val="3"/>
          <c:tx>
            <c:strRef>
              <c:f>住房保障支出</c:f>
              <c:strCache>
                <c:ptCount val="1"/>
                <c:pt idx="0">
                  <c:v>住房保障支出</c:v>
                </c:pt>
              </c:strCache>
            </c:strRef>
          </c:tx>
          <c:explosion val="0"/>
          <c:dPt>
            <c:idx val="0"/>
            <c:bubble3D val="0"/>
          </c:dPt>
          <c:dLbls>
            <c:delete val="1"/>
          </c:dLbls>
          <c:cat>
            <c:strRef>
              <c:f>Sheet1!$A$127:$A$131</c:f>
              <c:strCache>
                <c:ptCount val="5"/>
                <c:pt idx="0">
                  <c:v>一般公共服务（类）支出</c:v>
                </c:pt>
                <c:pt idx="1">
                  <c:v>社会保障和就业（类）支出</c:v>
                </c:pt>
                <c:pt idx="2">
                  <c:v>卫生健康支出</c:v>
                </c:pt>
                <c:pt idx="3">
                  <c:v>住房保障支出</c:v>
                </c:pt>
                <c:pt idx="4">
                  <c:v>国防支出</c:v>
                </c:pt>
              </c:strCache>
            </c:strRef>
          </c:cat>
          <c:val>
            <c:numRef>
              <c:f>{1}</c:f>
              <c:numCache>
                <c:formatCode>General</c:formatCode>
                <c:ptCount val="1"/>
                <c:pt idx="0">
                  <c:v>1</c:v>
                </c:pt>
              </c:numCache>
            </c:numRef>
          </c:val>
        </c:ser>
        <c:dLbls>
          <c:showLegendKey val="0"/>
          <c:showVal val="0"/>
          <c:showCatName val="0"/>
          <c:showSerName val="0"/>
          <c:showPercent val="0"/>
          <c:showBubbleSize val="0"/>
          <c:showLeaderLines val="1"/>
        </c:dLbls>
        <c:firstSliceAng val="0"/>
      </c:pieChart>
      <c:spPr>
        <a:noFill/>
        <a:ln w="25400">
          <a:noFill/>
        </a:ln>
      </c:spPr>
    </c:plotArea>
    <c:legend>
      <c:legendPos val="r"/>
      <c:layout/>
      <c:overlay val="0"/>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0"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sz="1375" b="0" i="0" u="none" strike="noStrike" baseline="0">
                <a:solidFill>
                  <a:srgbClr val="000000"/>
                </a:solidFill>
                <a:latin typeface="宋体" panose="02010600030101010101" charset="-122"/>
                <a:ea typeface="宋体" panose="02010600030101010101" charset="-122"/>
                <a:cs typeface="宋体" panose="02010600030101010101" charset="-122"/>
              </a:rPr>
              <a:t>            “三公”经费财政拨款支出结构  </a:t>
            </a:r>
            <a:endParaRPr lang="zh-CN" altLang="en-US" sz="1375" b="0" i="0" u="none" strike="noStrike" baseline="0">
              <a:solidFill>
                <a:srgbClr val="000000"/>
              </a:solidFill>
              <a:latin typeface="宋体" panose="02010600030101010101" charset="-122"/>
              <a:ea typeface="宋体" panose="02010600030101010101" charset="-122"/>
              <a:cs typeface="宋体" panose="02010600030101010101" charset="-122"/>
            </a:endParaRPr>
          </a:p>
          <a:p>
            <a:pPr defTabSz="914400">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单位：万元</a:t>
            </a:r>
            <a:endPar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0396014629839829"/>
          <c:y val="0.0308080869292291"/>
        </c:manualLayout>
      </c:layout>
      <c:overlay val="0"/>
      <c:spPr>
        <a:noFill/>
        <a:ln w="3175">
          <a:noFill/>
        </a:ln>
      </c:spPr>
    </c:title>
    <c:autoTitleDeleted val="0"/>
    <c:plotArea>
      <c:layout>
        <c:manualLayout>
          <c:layoutTarget val="inner"/>
          <c:xMode val="edge"/>
          <c:yMode val="edge"/>
          <c:x val="0.237028404248106"/>
          <c:y val="0.388663967611336"/>
          <c:w val="0.196934047310616"/>
          <c:h val="0.338056680161943"/>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Lbls>
            <c:dLbl>
              <c:idx val="0"/>
              <c:layout>
                <c:manualLayout>
                  <c:x val="-0.160377358490566"/>
                  <c:y val="0.012847965738758"/>
                </c:manualLayout>
              </c:layout>
              <c:numFmt formatCode="0%" sourceLinked="0"/>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0.190079348082154"/>
                  <c:y val="0.00403718221663684"/>
                </c:manualLayout>
              </c:layout>
              <c:numFmt formatCode="0%" sourceLinked="0"/>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171112301952307"/>
                  <c:y val="-0.0131641339901474"/>
                </c:manualLayout>
              </c:layout>
              <c:tx>
                <c:rich>
                  <a:bodyPr rot="0" spcFirstLastPara="0" vertOverflow="ellipsis" vert="horz" wrap="square" lIns="38100" tIns="19050" rIns="38100" bIns="19050" anchor="ctr" anchorCtr="1"/>
                  <a:lstStyle/>
                  <a:p>
                    <a:pPr defTabSz="914400">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公务接待费支出</a:t>
                    </a:r>
                    <a:r>
                      <a:rPr lang="en-US" altLang="zh-CN"/>
                      <a:t>, 0.08, 100%</a:t>
                    </a:r>
                    <a:endParaRPr lang="en-US" altLang="zh-CN"/>
                  </a:p>
                </c:rich>
              </c:tx>
              <c:numFmt formatCode="0%" sourceLinked="0"/>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[政府办2022年决算公开图表.xls]Sheet1!$B$155:$B$157</c:f>
              <c:strCache>
                <c:ptCount val="3"/>
                <c:pt idx="0">
                  <c:v>因公出国（境）费支出</c:v>
                </c:pt>
                <c:pt idx="1">
                  <c:v>公务用车购置及运行维护费支出</c:v>
                </c:pt>
                <c:pt idx="2">
                  <c:v>公务接待费支出</c:v>
                </c:pt>
              </c:strCache>
            </c:strRef>
          </c:cat>
          <c:val>
            <c:numRef>
              <c:f>[政府办2022年决算公开图表.xls]Sheet1!$C$155:$C$157</c:f>
              <c:numCache>
                <c:formatCode>General</c:formatCode>
                <c:ptCount val="3"/>
                <c:pt idx="0">
                  <c:v>0</c:v>
                </c:pt>
                <c:pt idx="1">
                  <c:v>0</c:v>
                </c:pt>
                <c:pt idx="2">
                  <c:v>0.18</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Lbls>
            <c:delete val="1"/>
          </c:dLbls>
          <c:cat>
            <c:strRef>
              <c:f>[政府办2022年决算公开图表.xls]Sheet1!$B$155:$B$157</c:f>
              <c:strCache>
                <c:ptCount val="3"/>
                <c:pt idx="0">
                  <c:v>因公出国（境）费支出</c:v>
                </c:pt>
                <c:pt idx="1">
                  <c:v>公务用车购置及运行维护费支出</c:v>
                </c:pt>
                <c:pt idx="2">
                  <c:v>公务接待费支出</c:v>
                </c:pt>
              </c:strCache>
            </c:strRef>
          </c:cat>
          <c:val>
            <c:numRef>
              <c:f>[政府办2022年决算公开图表.xls]Sheet1!$D$155:$D$157</c:f>
              <c:numCache>
                <c:formatCode>0%</c:formatCode>
                <c:ptCount val="3"/>
                <c:pt idx="0">
                  <c:v>0</c:v>
                </c:pt>
                <c:pt idx="1">
                  <c:v>0</c:v>
                </c:pt>
                <c:pt idx="2">
                  <c:v>1</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41979768786127"/>
          <c:y val="0.403832335329341"/>
          <c:w val="0.324301541425819"/>
          <c:h val="0.489580838323353"/>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08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1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8dee1f99-dcef-4181-9b87-bc649e0fed0c}"/>
        <w:style w:val=""/>
        <w:category>
          <w:name w:val="常规"/>
          <w:gallery w:val="placeholder"/>
        </w:category>
        <w:types>
          <w:type w:val="bbPlcHdr"/>
        </w:types>
        <w:behaviors>
          <w:behavior w:val="content"/>
        </w:behaviors>
        <w:description w:val=""/>
        <w:guid w:val="{8dee1f99-dcef-4181-9b87-bc649e0fed0c}"/>
      </w:docPartPr>
      <w:docPartBody>
        <w:p>
          <w:r>
            <w:rPr>
              <w:color w:val="808080"/>
            </w:rPr>
            <w:t>单击此处输入文字。</w:t>
          </w:r>
        </w:p>
      </w:docPartBody>
    </w:docPart>
    <w:docPart>
      <w:docPartPr>
        <w:name w:val="{ae55b4ef-e274-448d-8d13-ea45c63bf2b1}"/>
        <w:style w:val=""/>
        <w:category>
          <w:name w:val="常规"/>
          <w:gallery w:val="placeholder"/>
        </w:category>
        <w:types>
          <w:type w:val="bbPlcHdr"/>
        </w:types>
        <w:behaviors>
          <w:behavior w:val="content"/>
        </w:behaviors>
        <w:description w:val=""/>
        <w:guid w:val="{ae55b4ef-e274-448d-8d13-ea45c63bf2b1}"/>
      </w:docPartPr>
      <w:docPartBody>
        <w:p>
          <w:r>
            <w:rPr>
              <w:color w:val="808080"/>
            </w:rPr>
            <w:t>单击此处输入文字。</w:t>
          </w:r>
        </w:p>
      </w:docPartBody>
    </w:docPart>
    <w:docPart>
      <w:docPartPr>
        <w:name w:val="{d9087f1d-2068-4e00-a5e1-544c0d132a2e}"/>
        <w:style w:val=""/>
        <w:category>
          <w:name w:val="常规"/>
          <w:gallery w:val="placeholder"/>
        </w:category>
        <w:types>
          <w:type w:val="bbPlcHdr"/>
        </w:types>
        <w:behaviors>
          <w:behavior w:val="content"/>
        </w:behaviors>
        <w:description w:val=""/>
        <w:guid w:val="{d9087f1d-2068-4e00-a5e1-544c0d132a2e}"/>
      </w:docPartPr>
      <w:docPartBody>
        <w:p>
          <w:r>
            <w:rPr>
              <w:color w:val="808080"/>
            </w:rPr>
            <w:t>单击此处输入文字。</w:t>
          </w:r>
        </w:p>
      </w:docPartBody>
    </w:docPart>
    <w:docPart>
      <w:docPartPr>
        <w:name w:val="{cf38826e-76cf-440f-894a-c5cf8f1ce3ed}"/>
        <w:style w:val=""/>
        <w:category>
          <w:name w:val="常规"/>
          <w:gallery w:val="placeholder"/>
        </w:category>
        <w:types>
          <w:type w:val="bbPlcHdr"/>
        </w:types>
        <w:behaviors>
          <w:behavior w:val="content"/>
        </w:behaviors>
        <w:description w:val=""/>
        <w:guid w:val="{cf38826e-76cf-440f-894a-c5cf8f1ce3ed}"/>
      </w:docPartPr>
      <w:docPartBody>
        <w:p>
          <w:r>
            <w:rPr>
              <w:color w:val="808080"/>
            </w:rPr>
            <w:t>单击此处输入文字。</w:t>
          </w:r>
        </w:p>
      </w:docPartBody>
    </w:docPart>
    <w:docPart>
      <w:docPartPr>
        <w:name w:val="{f5feb23d-8980-469e-8372-15a416deefb8}"/>
        <w:style w:val=""/>
        <w:category>
          <w:name w:val="常规"/>
          <w:gallery w:val="placeholder"/>
        </w:category>
        <w:types>
          <w:type w:val="bbPlcHdr"/>
        </w:types>
        <w:behaviors>
          <w:behavior w:val="content"/>
        </w:behaviors>
        <w:description w:val=""/>
        <w:guid w:val="{f5feb23d-8980-469e-8372-15a416deefb8}"/>
      </w:docPartPr>
      <w:docPartBody>
        <w:p>
          <w:r>
            <w:rPr>
              <w:color w:val="808080"/>
            </w:rPr>
            <w:t>单击此处输入文字。</w:t>
          </w:r>
        </w:p>
      </w:docPartBody>
    </w:docPart>
    <w:docPart>
      <w:docPartPr>
        <w:name w:val="{b4d1faf9-55a3-460b-a9b7-47c7b9ce38f0}"/>
        <w:style w:val=""/>
        <w:category>
          <w:name w:val="常规"/>
          <w:gallery w:val="placeholder"/>
        </w:category>
        <w:types>
          <w:type w:val="bbPlcHdr"/>
        </w:types>
        <w:behaviors>
          <w:behavior w:val="content"/>
        </w:behaviors>
        <w:description w:val=""/>
        <w:guid w:val="{b4d1faf9-55a3-460b-a9b7-47c7b9ce38f0}"/>
      </w:docPartPr>
      <w:docPartBody>
        <w:p>
          <w:r>
            <w:rPr>
              <w:color w:val="808080"/>
            </w:rPr>
            <w:t>单击此处输入文字。</w:t>
          </w:r>
        </w:p>
      </w:docPartBody>
    </w:docPart>
    <w:docPart>
      <w:docPartPr>
        <w:name w:val="{826b07e8-28fb-42b9-b152-4e16f66ac703}"/>
        <w:style w:val=""/>
        <w:category>
          <w:name w:val="常规"/>
          <w:gallery w:val="placeholder"/>
        </w:category>
        <w:types>
          <w:type w:val="bbPlcHdr"/>
        </w:types>
        <w:behaviors>
          <w:behavior w:val="content"/>
        </w:behaviors>
        <w:description w:val=""/>
        <w:guid w:val="{826b07e8-28fb-42b9-b152-4e16f66ac703}"/>
      </w:docPartPr>
      <w:docPartBody>
        <w:p>
          <w:r>
            <w:rPr>
              <w:color w:val="808080"/>
            </w:rPr>
            <w:t>单击此处输入文字。</w:t>
          </w:r>
        </w:p>
      </w:docPartBody>
    </w:docPart>
    <w:docPart>
      <w:docPartPr>
        <w:name w:val="{2146fc3b-3f1a-4df0-bac9-8fb1cf1d91d9}"/>
        <w:style w:val=""/>
        <w:category>
          <w:name w:val="常规"/>
          <w:gallery w:val="placeholder"/>
        </w:category>
        <w:types>
          <w:type w:val="bbPlcHdr"/>
        </w:types>
        <w:behaviors>
          <w:behavior w:val="content"/>
        </w:behaviors>
        <w:description w:val=""/>
        <w:guid w:val="{2146fc3b-3f1a-4df0-bac9-8fb1cf1d91d9}"/>
      </w:docPartPr>
      <w:docPartBody>
        <w:p>
          <w:r>
            <w:rPr>
              <w:color w:val="808080"/>
            </w:rPr>
            <w:t>单击此处输入文字。</w:t>
          </w:r>
        </w:p>
      </w:docPartBody>
    </w:docPart>
    <w:docPart>
      <w:docPartPr>
        <w:name w:val="{267dedc6-1b3a-4c69-a831-89dffec1ffdc}"/>
        <w:style w:val=""/>
        <w:category>
          <w:name w:val="常规"/>
          <w:gallery w:val="placeholder"/>
        </w:category>
        <w:types>
          <w:type w:val="bbPlcHdr"/>
        </w:types>
        <w:behaviors>
          <w:behavior w:val="content"/>
        </w:behaviors>
        <w:description w:val=""/>
        <w:guid w:val="{267dedc6-1b3a-4c69-a831-89dffec1ffdc}"/>
      </w:docPartPr>
      <w:docPartBody>
        <w:p>
          <w:r>
            <w:rPr>
              <w:color w:val="808080"/>
            </w:rPr>
            <w:t>单击此处输入文字。</w:t>
          </w:r>
        </w:p>
      </w:docPartBody>
    </w:docPart>
    <w:docPart>
      <w:docPartPr>
        <w:name w:val="{f890a461-5444-4a1b-9484-a61279415467}"/>
        <w:style w:val=""/>
        <w:category>
          <w:name w:val="常规"/>
          <w:gallery w:val="placeholder"/>
        </w:category>
        <w:types>
          <w:type w:val="bbPlcHdr"/>
        </w:types>
        <w:behaviors>
          <w:behavior w:val="content"/>
        </w:behaviors>
        <w:description w:val=""/>
        <w:guid w:val="{f890a461-5444-4a1b-9484-a61279415467}"/>
      </w:docPartPr>
      <w:docPartBody>
        <w:p>
          <w:r>
            <w:rPr>
              <w:color w:val="808080"/>
            </w:rPr>
            <w:t>单击此处输入文字。</w:t>
          </w:r>
        </w:p>
      </w:docPartBody>
    </w:docPart>
    <w:docPart>
      <w:docPartPr>
        <w:name w:val="{3511ef89-05e9-4aa8-a5d1-720f8b543aeb}"/>
        <w:style w:val=""/>
        <w:category>
          <w:name w:val="常规"/>
          <w:gallery w:val="placeholder"/>
        </w:category>
        <w:types>
          <w:type w:val="bbPlcHdr"/>
        </w:types>
        <w:behaviors>
          <w:behavior w:val="content"/>
        </w:behaviors>
        <w:description w:val=""/>
        <w:guid w:val="{3511ef89-05e9-4aa8-a5d1-720f8b543aeb}"/>
      </w:docPartPr>
      <w:docPartBody>
        <w:p>
          <w:r>
            <w:rPr>
              <w:color w:val="808080"/>
            </w:rPr>
            <w:t>单击此处输入文字。</w:t>
          </w:r>
        </w:p>
      </w:docPartBody>
    </w:docPart>
    <w:docPart>
      <w:docPartPr>
        <w:name w:val="{5896afd3-5699-4a9d-aec1-8e079383ebad}"/>
        <w:style w:val=""/>
        <w:category>
          <w:name w:val="常规"/>
          <w:gallery w:val="placeholder"/>
        </w:category>
        <w:types>
          <w:type w:val="bbPlcHdr"/>
        </w:types>
        <w:behaviors>
          <w:behavior w:val="content"/>
        </w:behaviors>
        <w:description w:val=""/>
        <w:guid w:val="{5896afd3-5699-4a9d-aec1-8e079383ebad}"/>
      </w:docPartPr>
      <w:docPartBody>
        <w:p>
          <w:r>
            <w:rPr>
              <w:color w:val="808080"/>
            </w:rPr>
            <w:t>单击此处输入文字。</w:t>
          </w:r>
        </w:p>
      </w:docPartBody>
    </w:docPart>
    <w:docPart>
      <w:docPartPr>
        <w:name w:val="{7eb87727-6a07-4951-908c-c32bc4fea457}"/>
        <w:style w:val=""/>
        <w:category>
          <w:name w:val="常规"/>
          <w:gallery w:val="placeholder"/>
        </w:category>
        <w:types>
          <w:type w:val="bbPlcHdr"/>
        </w:types>
        <w:behaviors>
          <w:behavior w:val="content"/>
        </w:behaviors>
        <w:description w:val=""/>
        <w:guid w:val="{7eb87727-6a07-4951-908c-c32bc4fea457}"/>
      </w:docPartPr>
      <w:docPartBody>
        <w:p>
          <w:r>
            <w:rPr>
              <w:color w:val="808080"/>
            </w:rPr>
            <w:t>单击此处输入文字。</w:t>
          </w:r>
        </w:p>
      </w:docPartBody>
    </w:docPart>
    <w:docPart>
      <w:docPartPr>
        <w:name w:val="{55d05e2e-d7db-48f7-b10b-62f983732b72}"/>
        <w:style w:val=""/>
        <w:category>
          <w:name w:val="常规"/>
          <w:gallery w:val="placeholder"/>
        </w:category>
        <w:types>
          <w:type w:val="bbPlcHdr"/>
        </w:types>
        <w:behaviors>
          <w:behavior w:val="content"/>
        </w:behaviors>
        <w:description w:val=""/>
        <w:guid w:val="{55d05e2e-d7db-48f7-b10b-62f983732b72}"/>
      </w:docPartPr>
      <w:docPartBody>
        <w:p>
          <w:r>
            <w:rPr>
              <w:color w:val="808080"/>
            </w:rPr>
            <w:t>单击此处输入文字。</w:t>
          </w:r>
        </w:p>
      </w:docPartBody>
    </w:docPart>
    <w:docPart>
      <w:docPartPr>
        <w:name w:val="{98500c25-c470-40a6-8583-7add7dcc7682}"/>
        <w:style w:val=""/>
        <w:category>
          <w:name w:val="常规"/>
          <w:gallery w:val="placeholder"/>
        </w:category>
        <w:types>
          <w:type w:val="bbPlcHdr"/>
        </w:types>
        <w:behaviors>
          <w:behavior w:val="content"/>
        </w:behaviors>
        <w:description w:val=""/>
        <w:guid w:val="{98500c25-c470-40a6-8583-7add7dcc7682}"/>
      </w:docPartPr>
      <w:docPartBody>
        <w:p>
          <w:r>
            <w:rPr>
              <w:color w:val="808080"/>
            </w:rPr>
            <w:t>单击此处输入文字。</w:t>
          </w:r>
        </w:p>
      </w:docPartBody>
    </w:docPart>
    <w:docPart>
      <w:docPartPr>
        <w:name w:val="{0dfea456-3b23-434d-a889-1a41ddfae7fd}"/>
        <w:style w:val=""/>
        <w:category>
          <w:name w:val="常规"/>
          <w:gallery w:val="placeholder"/>
        </w:category>
        <w:types>
          <w:type w:val="bbPlcHdr"/>
        </w:types>
        <w:behaviors>
          <w:behavior w:val="content"/>
        </w:behaviors>
        <w:description w:val=""/>
        <w:guid w:val="{0dfea456-3b23-434d-a889-1a41ddfae7fd}"/>
      </w:docPartPr>
      <w:docPartBody>
        <w:p>
          <w:r>
            <w:rPr>
              <w:color w:val="808080"/>
            </w:rPr>
            <w:t>单击此处输入文字。</w:t>
          </w:r>
        </w:p>
      </w:docPartBody>
    </w:docPart>
    <w:docPart>
      <w:docPartPr>
        <w:name w:val="{897a5f28-b7d3-49b7-bb21-f98f9b13b18e}"/>
        <w:style w:val=""/>
        <w:category>
          <w:name w:val="常规"/>
          <w:gallery w:val="placeholder"/>
        </w:category>
        <w:types>
          <w:type w:val="bbPlcHdr"/>
        </w:types>
        <w:behaviors>
          <w:behavior w:val="content"/>
        </w:behaviors>
        <w:description w:val=""/>
        <w:guid w:val="{897a5f28-b7d3-49b7-bb21-f98f9b13b18e}"/>
      </w:docPartPr>
      <w:docPartBody>
        <w:p>
          <w:r>
            <w:rPr>
              <w:color w:val="808080"/>
            </w:rPr>
            <w:t>单击此处输入文字。</w:t>
          </w:r>
        </w:p>
      </w:docPartBody>
    </w:docPart>
    <w:docPart>
      <w:docPartPr>
        <w:name w:val="{78b2a178-e994-4d20-b746-10c0feb6ec0a}"/>
        <w:style w:val=""/>
        <w:category>
          <w:name w:val="常规"/>
          <w:gallery w:val="placeholder"/>
        </w:category>
        <w:types>
          <w:type w:val="bbPlcHdr"/>
        </w:types>
        <w:behaviors>
          <w:behavior w:val="content"/>
        </w:behaviors>
        <w:description w:val=""/>
        <w:guid w:val="{78b2a178-e994-4d20-b746-10c0feb6ec0a}"/>
      </w:docPartPr>
      <w:docPartBody>
        <w:p>
          <w:r>
            <w:rPr>
              <w:color w:val="808080"/>
            </w:rPr>
            <w:t>单击此处输入文字。</w:t>
          </w:r>
        </w:p>
      </w:docPartBody>
    </w:docPart>
    <w:docPart>
      <w:docPartPr>
        <w:name w:val="{991592fb-a027-4b79-bcd5-32d8b0d80b31}"/>
        <w:style w:val=""/>
        <w:category>
          <w:name w:val="常规"/>
          <w:gallery w:val="placeholder"/>
        </w:category>
        <w:types>
          <w:type w:val="bbPlcHdr"/>
        </w:types>
        <w:behaviors>
          <w:behavior w:val="content"/>
        </w:behaviors>
        <w:description w:val=""/>
        <w:guid w:val="{991592fb-a027-4b79-bcd5-32d8b0d80b31}"/>
      </w:docPartPr>
      <w:docPartBody>
        <w:p>
          <w:r>
            <w:rPr>
              <w:color w:val="808080"/>
            </w:rPr>
            <w:t>单击此处输入文字。</w:t>
          </w:r>
        </w:p>
      </w:docPartBody>
    </w:docPart>
    <w:docPart>
      <w:docPartPr>
        <w:name w:val="{fdcf6794-dc30-4a17-a359-51f9bea4f652}"/>
        <w:style w:val=""/>
        <w:category>
          <w:name w:val="常规"/>
          <w:gallery w:val="placeholder"/>
        </w:category>
        <w:types>
          <w:type w:val="bbPlcHdr"/>
        </w:types>
        <w:behaviors>
          <w:behavior w:val="content"/>
        </w:behaviors>
        <w:description w:val=""/>
        <w:guid w:val="{fdcf6794-dc30-4a17-a359-51f9bea4f652}"/>
      </w:docPartPr>
      <w:docPartBody>
        <w:p>
          <w:r>
            <w:rPr>
              <w:color w:val="808080"/>
            </w:rPr>
            <w:t>单击此处输入文字。</w:t>
          </w:r>
        </w:p>
      </w:docPartBody>
    </w:docPart>
    <w:docPart>
      <w:docPartPr>
        <w:name w:val="{f1350cfe-bb07-48a1-8b18-fb04929db380}"/>
        <w:style w:val=""/>
        <w:category>
          <w:name w:val="常规"/>
          <w:gallery w:val="placeholder"/>
        </w:category>
        <w:types>
          <w:type w:val="bbPlcHdr"/>
        </w:types>
        <w:behaviors>
          <w:behavior w:val="content"/>
        </w:behaviors>
        <w:description w:val=""/>
        <w:guid w:val="{f1350cfe-bb07-48a1-8b18-fb04929db380}"/>
      </w:docPartPr>
      <w:docPartBody>
        <w:p>
          <w:r>
            <w:rPr>
              <w:color w:val="808080"/>
            </w:rPr>
            <w:t>单击此处输入文字。</w:t>
          </w:r>
        </w:p>
      </w:docPartBody>
    </w:docPart>
    <w:docPart>
      <w:docPartPr>
        <w:name w:val="{fc8fe87e-ca07-478e-999e-820ea99445e8}"/>
        <w:style w:val=""/>
        <w:category>
          <w:name w:val="常规"/>
          <w:gallery w:val="placeholder"/>
        </w:category>
        <w:types>
          <w:type w:val="bbPlcHdr"/>
        </w:types>
        <w:behaviors>
          <w:behavior w:val="content"/>
        </w:behaviors>
        <w:description w:val=""/>
        <w:guid w:val="{fc8fe87e-ca07-478e-999e-820ea99445e8}"/>
      </w:docPartPr>
      <w:docPartBody>
        <w:p>
          <w:r>
            <w:rPr>
              <w:color w:val="808080"/>
            </w:rPr>
            <w:t>单击此处输入文字。</w:t>
          </w:r>
        </w:p>
      </w:docPartBody>
    </w:docPart>
    <w:docPart>
      <w:docPartPr>
        <w:name w:val="{099e6969-d732-405a-a981-a3bb64e7c332}"/>
        <w:style w:val=""/>
        <w:category>
          <w:name w:val="常规"/>
          <w:gallery w:val="placeholder"/>
        </w:category>
        <w:types>
          <w:type w:val="bbPlcHdr"/>
        </w:types>
        <w:behaviors>
          <w:behavior w:val="content"/>
        </w:behaviors>
        <w:description w:val=""/>
        <w:guid w:val="{099e6969-d732-405a-a981-a3bb64e7c332}"/>
      </w:docPartPr>
      <w:docPartBody>
        <w:p>
          <w:r>
            <w:rPr>
              <w:color w:val="808080"/>
            </w:rPr>
            <w:t>单击此处输入文字。</w:t>
          </w:r>
        </w:p>
      </w:docPartBody>
    </w:docPart>
    <w:docPart>
      <w:docPartPr>
        <w:name w:val="{a42c7256-e63f-4941-95c8-1a75972514b7}"/>
        <w:style w:val=""/>
        <w:category>
          <w:name w:val="常规"/>
          <w:gallery w:val="placeholder"/>
        </w:category>
        <w:types>
          <w:type w:val="bbPlcHdr"/>
        </w:types>
        <w:behaviors>
          <w:behavior w:val="content"/>
        </w:behaviors>
        <w:description w:val=""/>
        <w:guid w:val="{a42c7256-e63f-4941-95c8-1a75972514b7}"/>
      </w:docPartPr>
      <w:docPartBody>
        <w:p>
          <w:r>
            <w:rPr>
              <w:color w:val="808080"/>
            </w:rPr>
            <w:t>单击此处输入文字。</w:t>
          </w:r>
        </w:p>
      </w:docPartBody>
    </w:docPart>
    <w:docPart>
      <w:docPartPr>
        <w:name w:val="{a5b9174a-3d22-4918-96cb-a5bfd356c26c}"/>
        <w:style w:val=""/>
        <w:category>
          <w:name w:val="常规"/>
          <w:gallery w:val="placeholder"/>
        </w:category>
        <w:types>
          <w:type w:val="bbPlcHdr"/>
        </w:types>
        <w:behaviors>
          <w:behavior w:val="content"/>
        </w:behaviors>
        <w:description w:val=""/>
        <w:guid w:val="{a5b9174a-3d22-4918-96cb-a5bfd356c26c}"/>
      </w:docPartPr>
      <w:docPartBody>
        <w:p>
          <w:r>
            <w:rPr>
              <w:color w:val="808080"/>
            </w:rPr>
            <w:t>单击此处输入文字。</w:t>
          </w:r>
        </w:p>
      </w:docPartBody>
    </w:docPart>
    <w:docPart>
      <w:docPartPr>
        <w:name w:val="{ae5e1dae-897e-401d-8cf8-44a136415112}"/>
        <w:style w:val=""/>
        <w:category>
          <w:name w:val="常规"/>
          <w:gallery w:val="placeholder"/>
        </w:category>
        <w:types>
          <w:type w:val="bbPlcHdr"/>
        </w:types>
        <w:behaviors>
          <w:behavior w:val="content"/>
        </w:behaviors>
        <w:description w:val=""/>
        <w:guid w:val="{ae5e1dae-897e-401d-8cf8-44a136415112}"/>
      </w:docPartPr>
      <w:docPartBody>
        <w:p>
          <w:r>
            <w:rPr>
              <w:color w:val="808080"/>
            </w:rPr>
            <w:t>单击此处输入文字。</w:t>
          </w:r>
        </w:p>
      </w:docPartBody>
    </w:docPart>
    <w:docPart>
      <w:docPartPr>
        <w:name w:val="{332025a5-3a28-46f4-9f8b-45c0fb3d6081}"/>
        <w:style w:val=""/>
        <w:category>
          <w:name w:val="常规"/>
          <w:gallery w:val="placeholder"/>
        </w:category>
        <w:types>
          <w:type w:val="bbPlcHdr"/>
        </w:types>
        <w:behaviors>
          <w:behavior w:val="content"/>
        </w:behaviors>
        <w:description w:val=""/>
        <w:guid w:val="{332025a5-3a28-46f4-9f8b-45c0fb3d6081}"/>
      </w:docPartPr>
      <w:docPartBody>
        <w:p>
          <w:r>
            <w:rPr>
              <w:color w:val="808080"/>
            </w:rPr>
            <w:t>单击此处输入文字。</w:t>
          </w:r>
        </w:p>
      </w:docPartBody>
    </w:docPart>
    <w:docPart>
      <w:docPartPr>
        <w:name w:val="{0ee9b0f4-677b-4d66-b528-d6e2ea263ad2}"/>
        <w:style w:val=""/>
        <w:category>
          <w:name w:val="常规"/>
          <w:gallery w:val="placeholder"/>
        </w:category>
        <w:types>
          <w:type w:val="bbPlcHdr"/>
        </w:types>
        <w:behaviors>
          <w:behavior w:val="content"/>
        </w:behaviors>
        <w:description w:val=""/>
        <w:guid w:val="{0ee9b0f4-677b-4d66-b528-d6e2ea263ad2}"/>
      </w:docPartPr>
      <w:docPartBody>
        <w:p>
          <w:r>
            <w:rPr>
              <w:color w:val="808080"/>
            </w:rPr>
            <w:t>单击此处输入文字。</w:t>
          </w:r>
        </w:p>
      </w:docPartBody>
    </w:docPart>
    <w:docPart>
      <w:docPartPr>
        <w:name w:val="{d246ef6c-44e7-4784-a19d-1baa41a6988b}"/>
        <w:style w:val=""/>
        <w:category>
          <w:name w:val="常规"/>
          <w:gallery w:val="placeholder"/>
        </w:category>
        <w:types>
          <w:type w:val="bbPlcHdr"/>
        </w:types>
        <w:behaviors>
          <w:behavior w:val="content"/>
        </w:behaviors>
        <w:description w:val=""/>
        <w:guid w:val="{d246ef6c-44e7-4784-a19d-1baa41a6988b}"/>
      </w:docPartPr>
      <w:docPartBody>
        <w:p>
          <w:r>
            <w:rPr>
              <w:color w:val="808080"/>
            </w:rPr>
            <w:t>单击此处输入文字。</w:t>
          </w:r>
        </w:p>
      </w:docPartBody>
    </w:docPart>
    <w:docPart>
      <w:docPartPr>
        <w:name w:val="{3cca1b37-a986-4ca4-9447-2ea915279dcc}"/>
        <w:style w:val=""/>
        <w:category>
          <w:name w:val="常规"/>
          <w:gallery w:val="placeholder"/>
        </w:category>
        <w:types>
          <w:type w:val="bbPlcHdr"/>
        </w:types>
        <w:behaviors>
          <w:behavior w:val="content"/>
        </w:behaviors>
        <w:description w:val=""/>
        <w:guid w:val="{3cca1b37-a986-4ca4-9447-2ea915279dcc}"/>
      </w:docPartPr>
      <w:docPartBody>
        <w:p>
          <w:r>
            <w:rPr>
              <w:color w:val="808080"/>
            </w:rPr>
            <w:t>单击此处输入文字。</w:t>
          </w:r>
        </w:p>
      </w:docPartBody>
    </w:docPart>
    <w:docPart>
      <w:docPartPr>
        <w:name w:val="{fc4aa050-ff66-4ed8-a80c-107e3ccb6e6b}"/>
        <w:style w:val=""/>
        <w:category>
          <w:name w:val="常规"/>
          <w:gallery w:val="placeholder"/>
        </w:category>
        <w:types>
          <w:type w:val="bbPlcHdr"/>
        </w:types>
        <w:behaviors>
          <w:behavior w:val="content"/>
        </w:behaviors>
        <w:description w:val=""/>
        <w:guid w:val="{fc4aa050-ff66-4ed8-a80c-107e3ccb6e6b}"/>
      </w:docPartPr>
      <w:docPartBody>
        <w:p>
          <w:r>
            <w:rPr>
              <w:color w:val="808080"/>
            </w:rPr>
            <w:t>单击此处输入文字。</w:t>
          </w:r>
        </w:p>
      </w:docPartBody>
    </w:docPart>
    <w:docPart>
      <w:docPartPr>
        <w:name w:val="{c15f626c-50e8-4595-ac1b-3b62a3067ec4}"/>
        <w:style w:val=""/>
        <w:category>
          <w:name w:val="常规"/>
          <w:gallery w:val="placeholder"/>
        </w:category>
        <w:types>
          <w:type w:val="bbPlcHdr"/>
        </w:types>
        <w:behaviors>
          <w:behavior w:val="content"/>
        </w:behaviors>
        <w:description w:val=""/>
        <w:guid w:val="{c15f626c-50e8-4595-ac1b-3b62a3067ec4}"/>
      </w:docPartPr>
      <w:docPartBody>
        <w:p>
          <w:r>
            <w:rPr>
              <w:color w:val="808080"/>
            </w:rPr>
            <w:t>单击此处输入文字。</w:t>
          </w:r>
        </w:p>
      </w:docPartBody>
    </w:docPart>
    <w:docPart>
      <w:docPartPr>
        <w:name w:val="{4f2d25f5-1f04-4e5e-bfca-9541a19f9b83}"/>
        <w:style w:val=""/>
        <w:category>
          <w:name w:val="常规"/>
          <w:gallery w:val="placeholder"/>
        </w:category>
        <w:types>
          <w:type w:val="bbPlcHdr"/>
        </w:types>
        <w:behaviors>
          <w:behavior w:val="content"/>
        </w:behaviors>
        <w:description w:val=""/>
        <w:guid w:val="{4f2d25f5-1f04-4e5e-bfca-9541a19f9b83}"/>
      </w:docPartPr>
      <w:docPartBody>
        <w:p>
          <w:r>
            <w:rPr>
              <w:color w:val="808080"/>
            </w:rPr>
            <w:t>单击此处输入文字。</w:t>
          </w:r>
        </w:p>
      </w:docPartBody>
    </w:docPart>
    <w:docPart>
      <w:docPartPr>
        <w:name w:val="{16fd1325-7a80-4eae-8522-eb35cd6cfe11}"/>
        <w:style w:val=""/>
        <w:category>
          <w:name w:val="常规"/>
          <w:gallery w:val="placeholder"/>
        </w:category>
        <w:types>
          <w:type w:val="bbPlcHdr"/>
        </w:types>
        <w:behaviors>
          <w:behavior w:val="content"/>
        </w:behaviors>
        <w:description w:val=""/>
        <w:guid w:val="{16fd1325-7a80-4eae-8522-eb35cd6cfe11}"/>
      </w:docPartPr>
      <w:docPartBody>
        <w:p>
          <w:r>
            <w:rPr>
              <w:color w:val="808080"/>
            </w:rPr>
            <w:t>单击此处输入文字。</w:t>
          </w:r>
        </w:p>
      </w:docPartBody>
    </w:docPart>
    <w:docPart>
      <w:docPartPr>
        <w:name w:val="{27cedc1c-c6fe-4d99-aaec-f62a12c82ec4}"/>
        <w:style w:val=""/>
        <w:category>
          <w:name w:val="常规"/>
          <w:gallery w:val="placeholder"/>
        </w:category>
        <w:types>
          <w:type w:val="bbPlcHdr"/>
        </w:types>
        <w:behaviors>
          <w:behavior w:val="content"/>
        </w:behaviors>
        <w:description w:val=""/>
        <w:guid w:val="{27cedc1c-c6fe-4d99-aaec-f62a12c82ec4}"/>
      </w:docPartPr>
      <w:docPartBody>
        <w:p>
          <w:r>
            <w:rPr>
              <w:color w:val="808080"/>
            </w:rPr>
            <w:t>单击此处输入文字。</w:t>
          </w:r>
        </w:p>
      </w:docPartBody>
    </w:docPart>
    <w:docPart>
      <w:docPartPr>
        <w:name w:val="{65b012db-f29b-4cda-89cf-63ca0ba49fe8}"/>
        <w:style w:val=""/>
        <w:category>
          <w:name w:val="常规"/>
          <w:gallery w:val="placeholder"/>
        </w:category>
        <w:types>
          <w:type w:val="bbPlcHdr"/>
        </w:types>
        <w:behaviors>
          <w:behavior w:val="content"/>
        </w:behaviors>
        <w:description w:val=""/>
        <w:guid w:val="{65b012db-f29b-4cda-89cf-63ca0ba49fe8}"/>
      </w:docPartPr>
      <w:docPartBody>
        <w:p>
          <w:r>
            <w:rPr>
              <w:color w:val="808080"/>
            </w:rPr>
            <w:t>单击此处输入文字。</w:t>
          </w:r>
        </w:p>
      </w:docPartBody>
    </w:docPart>
    <w:docPart>
      <w:docPartPr>
        <w:name w:val="{f035980f-9c5e-4218-b362-b27e19441b88}"/>
        <w:style w:val=""/>
        <w:category>
          <w:name w:val="常规"/>
          <w:gallery w:val="placeholder"/>
        </w:category>
        <w:types>
          <w:type w:val="bbPlcHdr"/>
        </w:types>
        <w:behaviors>
          <w:behavior w:val="content"/>
        </w:behaviors>
        <w:description w:val=""/>
        <w:guid w:val="{f035980f-9c5e-4218-b362-b27e19441b88}"/>
      </w:docPartPr>
      <w:docPartBody>
        <w:p>
          <w:r>
            <w:rPr>
              <w:color w:val="808080"/>
            </w:rPr>
            <w:t>单击此处输入文字。</w:t>
          </w:r>
        </w:p>
      </w:docPartBody>
    </w:docPart>
    <w:docPart>
      <w:docPartPr>
        <w:name w:val="{1be58913-3123-4597-8e58-26d8c7323d5e}"/>
        <w:style w:val=""/>
        <w:category>
          <w:name w:val="常规"/>
          <w:gallery w:val="placeholder"/>
        </w:category>
        <w:types>
          <w:type w:val="bbPlcHdr"/>
        </w:types>
        <w:behaviors>
          <w:behavior w:val="content"/>
        </w:behaviors>
        <w:description w:val=""/>
        <w:guid w:val="{1be58913-3123-4597-8e58-26d8c7323d5e}"/>
      </w:docPartPr>
      <w:docPartBody>
        <w:p>
          <w:r>
            <w:rPr>
              <w:color w:val="808080"/>
            </w:rPr>
            <w:t>单击此处输入文字。</w:t>
          </w:r>
        </w:p>
      </w:docPartBody>
    </w:docPart>
    <w:docPart>
      <w:docPartPr>
        <w:name w:val="{28f9ebec-2f44-4c85-bdc2-0df98ffd9cb3}"/>
        <w:style w:val=""/>
        <w:category>
          <w:name w:val="常规"/>
          <w:gallery w:val="placeholder"/>
        </w:category>
        <w:types>
          <w:type w:val="bbPlcHdr"/>
        </w:types>
        <w:behaviors>
          <w:behavior w:val="content"/>
        </w:behaviors>
        <w:description w:val=""/>
        <w:guid w:val="{28f9ebec-2f44-4c85-bdc2-0df98ffd9cb3}"/>
      </w:docPartPr>
      <w:docPartBody>
        <w:p>
          <w:r>
            <w:rPr>
              <w:color w:val="808080"/>
            </w:rPr>
            <w:t>单击此处输入文字。</w:t>
          </w:r>
        </w:p>
      </w:docPartBody>
    </w:docPart>
    <w:docPart>
      <w:docPartPr>
        <w:name w:val="{e9d5e2f1-7696-4080-827f-a3b47eb7e05f}"/>
        <w:style w:val=""/>
        <w:category>
          <w:name w:val="常规"/>
          <w:gallery w:val="placeholder"/>
        </w:category>
        <w:types>
          <w:type w:val="bbPlcHdr"/>
        </w:types>
        <w:behaviors>
          <w:behavior w:val="content"/>
        </w:behaviors>
        <w:description w:val=""/>
        <w:guid w:val="{e9d5e2f1-7696-4080-827f-a3b47eb7e05f}"/>
      </w:docPartPr>
      <w:docPartBody>
        <w:p>
          <w:r>
            <w:rPr>
              <w:color w:val="808080"/>
            </w:rPr>
            <w:t>单击此处输入文字。</w:t>
          </w:r>
        </w:p>
      </w:docPartBody>
    </w:docPart>
    <w:docPart>
      <w:docPartPr>
        <w:name w:val="{2bcf6913-e26d-46f0-ab9f-0f00b05e2897}"/>
        <w:style w:val=""/>
        <w:category>
          <w:name w:val="常规"/>
          <w:gallery w:val="placeholder"/>
        </w:category>
        <w:types>
          <w:type w:val="bbPlcHdr"/>
        </w:types>
        <w:behaviors>
          <w:behavior w:val="content"/>
        </w:behaviors>
        <w:description w:val=""/>
        <w:guid w:val="{2bcf6913-e26d-46f0-ab9f-0f00b05e2897}"/>
      </w:docPartPr>
      <w:docPartBody>
        <w:p>
          <w:r>
            <w:rPr>
              <w:color w:val="808080"/>
            </w:rPr>
            <w:t>单击此处输入文字。</w:t>
          </w:r>
        </w:p>
      </w:docPartBody>
    </w:docPart>
    <w:docPart>
      <w:docPartPr>
        <w:name w:val="{a7a0cbb2-16a7-424c-84f6-63849b234a52}"/>
        <w:style w:val=""/>
        <w:category>
          <w:name w:val="常规"/>
          <w:gallery w:val="placeholder"/>
        </w:category>
        <w:types>
          <w:type w:val="bbPlcHdr"/>
        </w:types>
        <w:behaviors>
          <w:behavior w:val="content"/>
        </w:behaviors>
        <w:description w:val=""/>
        <w:guid w:val="{a7a0cbb2-16a7-424c-84f6-63849b234a52}"/>
      </w:docPartPr>
      <w:docPartBody>
        <w:p>
          <w:r>
            <w:rPr>
              <w:color w:val="808080"/>
            </w:rPr>
            <w:t>单击此处输入文字。</w:t>
          </w:r>
        </w:p>
      </w:docPartBody>
    </w:docPart>
    <w:docPart>
      <w:docPartPr>
        <w:name w:val="{98a6e752-1505-48c7-99a4-87138c4f69e9}"/>
        <w:style w:val=""/>
        <w:category>
          <w:name w:val="常规"/>
          <w:gallery w:val="placeholder"/>
        </w:category>
        <w:types>
          <w:type w:val="bbPlcHdr"/>
        </w:types>
        <w:behaviors>
          <w:behavior w:val="content"/>
        </w:behaviors>
        <w:description w:val=""/>
        <w:guid w:val="{98a6e752-1505-48c7-99a4-87138c4f69e9}"/>
      </w:docPartPr>
      <w:docPartBody>
        <w:p>
          <w:r>
            <w:rPr>
              <w:color w:val="808080"/>
            </w:rPr>
            <w:t>单击此处输入文字。</w:t>
          </w:r>
        </w:p>
      </w:docPartBody>
    </w:docPart>
    <w:docPart>
      <w:docPartPr>
        <w:name w:val="{c8b2b4bb-a10e-4f81-b67c-863956acc53e}"/>
        <w:style w:val=""/>
        <w:category>
          <w:name w:val="常规"/>
          <w:gallery w:val="placeholder"/>
        </w:category>
        <w:types>
          <w:type w:val="bbPlcHdr"/>
        </w:types>
        <w:behaviors>
          <w:behavior w:val="content"/>
        </w:behaviors>
        <w:description w:val=""/>
        <w:guid w:val="{c8b2b4bb-a10e-4f81-b67c-863956acc53e}"/>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7B99"/>
    <w:rsid w:val="00057B99"/>
    <w:rsid w:val="002176ED"/>
    <w:rsid w:val="00D333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atentStyles>
  <w:style w:type="paragraph" w:default="1" w:styleId="1">
    <w:name w:val="Normal"/>
    <w:qFormat/>
    <w:uiPriority w:val="0"/>
    <w:pPr>
      <w:widowControl w:val="0"/>
      <w:spacing w:after="160" w:line="278" w:lineRule="auto"/>
    </w:pPr>
    <w:rPr>
      <w:rFonts w:asciiTheme="minorHAnsi" w:hAnsiTheme="minorHAnsi" w:eastAsiaTheme="minorEastAsia" w:cstheme="minorBidi"/>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EBD7F5-E05B-452C-AA4B-C18B2B56A333}">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Pages>
  <Words>2222</Words>
  <Characters>12668</Characters>
  <Lines>105</Lines>
  <Paragraphs>29</Paragraphs>
  <TotalTime>0</TotalTime>
  <ScaleCrop>false</ScaleCrop>
  <LinksUpToDate>false</LinksUpToDate>
  <CharactersWithSpaces>14861</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2024-08-05T07:12:00Z</dcterms:created>
  <dc:creator>曹颖</dc:creator>
  <cp:lastModifiedBy>Lenovo</cp:lastModifiedBy>
  <cp:lastPrinted>2023-08-03T10:35:00Z</cp:lastPrinted>
  <dcterms:modified xsi:type="dcterms:W3CDTF">2024-10-25T03:19:10Z</dcterms:modified>
  <dc:title>四川省***</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