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96475"/>
      <w:bookmarkStart w:id="1" w:name="_Toc15377193"/>
      <w:bookmarkStart w:id="2" w:name="_Toc15377425"/>
      <w:bookmarkStart w:id="3" w:name="_Toc15378441"/>
      <w:bookmarkStart w:id="4" w:name="_Toc15396597"/>
      <w:bookmarkStart w:id="5" w:name="_Toc15306267"/>
    </w:p>
    <w:p>
      <w:pPr>
        <w:pStyle w:val="6"/>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2023年度</w:t>
      </w:r>
      <w:bookmarkEnd w:id="0"/>
      <w:bookmarkEnd w:id="1"/>
      <w:bookmarkEnd w:id="2"/>
      <w:bookmarkEnd w:id="3"/>
      <w:bookmarkEnd w:id="4"/>
      <w:bookmarkEnd w:id="5"/>
      <w:bookmarkStart w:id="6" w:name="_Toc15306268"/>
      <w:bookmarkStart w:id="7" w:name="_Toc15396476"/>
      <w:bookmarkStart w:id="8" w:name="_Toc15378442"/>
      <w:bookmarkStart w:id="9" w:name="_Toc15396598"/>
      <w:bookmarkStart w:id="10" w:name="_Toc15377426"/>
      <w:bookmarkStart w:id="11" w:name="_Toc15377194"/>
    </w:p>
    <w:p>
      <w:pPr>
        <w:adjustRightInd w:val="0"/>
        <w:snapToGrid w:val="0"/>
        <w:spacing w:line="360" w:lineRule="auto"/>
        <w:jc w:val="center"/>
        <w:outlineLvl w:val="0"/>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中共盐边县委机构编制委员会办公室</w:t>
      </w: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44"/>
          <w:szCs w:val="44"/>
        </w:rPr>
        <w:t>部门决算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2"/>
      </w:pPr>
      <w:r>
        <w:rPr>
          <w:rFonts w:hint="eastAsia"/>
        </w:rPr>
        <w:t>公开时间：202</w:t>
      </w:r>
      <w:r>
        <w:rPr>
          <w:rFonts w:hint="eastAsia"/>
          <w:lang w:val="en-US" w:eastAsia="zh-CN"/>
        </w:rPr>
        <w:t>4</w:t>
      </w:r>
      <w:r>
        <w:rPr>
          <w:rFonts w:hint="eastAsia"/>
        </w:rPr>
        <w:t>年</w:t>
      </w:r>
      <w:r>
        <w:rPr>
          <w:rFonts w:hint="eastAsia"/>
          <w:lang w:val="en-US" w:eastAsia="zh-CN"/>
        </w:rPr>
        <w:t>10</w:t>
      </w:r>
      <w:r>
        <w:rPr>
          <w:rFonts w:hint="eastAsia"/>
        </w:rPr>
        <w:t>月</w:t>
      </w:r>
      <w:r>
        <w:rPr>
          <w:rFonts w:hint="eastAsia"/>
          <w:lang w:val="en-US" w:eastAsia="zh-CN"/>
        </w:rPr>
        <w:t>28</w:t>
      </w:r>
      <w:r>
        <w:rPr>
          <w:rFonts w:hint="eastAsia"/>
        </w:rPr>
        <w:t>日</w:t>
      </w:r>
    </w:p>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 xml:space="preserve">第一部分 </w:t>
      </w:r>
      <w:r>
        <w:rPr>
          <w:rFonts w:hint="eastAsia"/>
          <w:sz w:val="24"/>
        </w:rPr>
        <w:t>部门概况</w:t>
      </w:r>
      <w:r>
        <w:rPr>
          <w:rFonts w:hint="eastAsia"/>
          <w:sz w:val="24"/>
          <w:lang w:val="en-US" w:eastAsia="zh-CN"/>
        </w:rPr>
        <w:tab/>
        <w:t>1</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一、部门职责</w:t>
      </w:r>
      <w:r>
        <w:rPr>
          <w:rFonts w:hint="eastAsia"/>
          <w:sz w:val="24"/>
          <w:lang w:val="en-US" w:eastAsia="zh-CN"/>
        </w:rPr>
        <w:tab/>
        <w:t>1</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二、机构设置</w:t>
      </w:r>
      <w:r>
        <w:rPr>
          <w:rFonts w:hint="eastAsia"/>
          <w:sz w:val="24"/>
          <w:lang w:val="en-US" w:eastAsia="zh-CN"/>
        </w:rPr>
        <w:tab/>
        <w:t>2</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第二部分 2023年度部门决算情况说明</w:t>
      </w:r>
      <w:r>
        <w:rPr>
          <w:rFonts w:hint="eastAsia"/>
          <w:sz w:val="24"/>
          <w:lang w:val="en-US" w:eastAsia="zh-CN"/>
        </w:rPr>
        <w:tab/>
        <w:t>3</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一、收入支出决算总体情况说明</w:t>
      </w:r>
      <w:r>
        <w:rPr>
          <w:rFonts w:hint="eastAsia"/>
          <w:sz w:val="24"/>
          <w:lang w:val="en-US" w:eastAsia="zh-CN"/>
        </w:rPr>
        <w:tab/>
        <w:t>3</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二、收入决算情况说明</w:t>
      </w:r>
      <w:r>
        <w:rPr>
          <w:rFonts w:hint="eastAsia"/>
          <w:sz w:val="24"/>
          <w:lang w:val="en-US" w:eastAsia="zh-CN"/>
        </w:rPr>
        <w:tab/>
        <w:t>3</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三、支出决算情况说明</w:t>
      </w:r>
      <w:r>
        <w:rPr>
          <w:rFonts w:hint="eastAsia"/>
          <w:sz w:val="24"/>
          <w:lang w:val="en-US" w:eastAsia="zh-CN"/>
        </w:rPr>
        <w:tab/>
        <w:t>4</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四、财政拨款收入支出决算总体情况说明</w:t>
      </w:r>
      <w:r>
        <w:rPr>
          <w:rFonts w:hint="eastAsia"/>
          <w:sz w:val="24"/>
          <w:lang w:val="en-US" w:eastAsia="zh-CN"/>
        </w:rPr>
        <w:tab/>
        <w:t>5</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五、一般公共预算财政拨款支出决算情况说明</w:t>
      </w:r>
      <w:r>
        <w:rPr>
          <w:rFonts w:hint="eastAsia"/>
          <w:sz w:val="24"/>
          <w:lang w:val="en-US" w:eastAsia="zh-CN"/>
        </w:rPr>
        <w:tab/>
        <w:t>5</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六、一般公共预算财政拨款基本支出决算情况说明</w:t>
      </w:r>
      <w:r>
        <w:rPr>
          <w:rFonts w:hint="eastAsia"/>
          <w:sz w:val="24"/>
          <w:lang w:val="en-US" w:eastAsia="zh-CN"/>
        </w:rPr>
        <w:tab/>
        <w:t>8</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七、财政拨款“三公”经费支出决算情况说明</w:t>
      </w:r>
      <w:r>
        <w:rPr>
          <w:rFonts w:hint="eastAsia"/>
          <w:sz w:val="24"/>
          <w:lang w:val="en-US" w:eastAsia="zh-CN"/>
        </w:rPr>
        <w:tab/>
        <w:t>8</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八、政府性基金预算支出决算情况说明</w:t>
      </w:r>
      <w:r>
        <w:rPr>
          <w:rFonts w:hint="eastAsia"/>
          <w:sz w:val="24"/>
          <w:lang w:val="en-US" w:eastAsia="zh-CN"/>
        </w:rPr>
        <w:tab/>
        <w:t>9</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九、国有资本经营预算支出决算情况说明</w:t>
      </w:r>
      <w:r>
        <w:rPr>
          <w:rFonts w:hint="eastAsia"/>
          <w:sz w:val="24"/>
          <w:lang w:val="en-US" w:eastAsia="zh-CN"/>
        </w:rPr>
        <w:tab/>
        <w:t>9</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eastAsia"/>
          <w:sz w:val="24"/>
          <w:lang w:val="en-US" w:eastAsia="zh-CN"/>
        </w:rPr>
      </w:pPr>
      <w:r>
        <w:rPr>
          <w:rFonts w:hint="eastAsia"/>
          <w:sz w:val="24"/>
        </w:rPr>
        <w:t>十、其他重要事项的情况说明</w:t>
      </w:r>
      <w:r>
        <w:rPr>
          <w:rFonts w:hint="eastAsia"/>
          <w:sz w:val="24"/>
        </w:rPr>
        <w:tab/>
      </w:r>
      <w:r>
        <w:rPr>
          <w:rFonts w:hint="eastAsia"/>
          <w:sz w:val="24"/>
          <w:lang w:val="en-US" w:eastAsia="zh-CN"/>
        </w:rPr>
        <w:t>9</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default"/>
          <w:sz w:val="24"/>
          <w:lang w:val="en-US" w:eastAsia="zh-CN"/>
        </w:rPr>
      </w:pPr>
      <w:r>
        <w:rPr>
          <w:rFonts w:hint="eastAsia"/>
          <w:sz w:val="24"/>
        </w:rPr>
        <w:t xml:space="preserve">第三部分 </w:t>
      </w:r>
      <w:r>
        <w:rPr>
          <w:rFonts w:hint="eastAsia"/>
          <w:sz w:val="24"/>
        </w:rPr>
        <w:t>名词解释</w:t>
      </w:r>
      <w:r>
        <w:rPr>
          <w:rFonts w:hint="eastAsia"/>
          <w:sz w:val="24"/>
          <w:lang w:val="en-US" w:eastAsia="zh-CN"/>
        </w:rPr>
        <w:tab/>
        <w:t>10</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default"/>
          <w:sz w:val="24"/>
          <w:lang w:val="en-US" w:eastAsia="zh-CN"/>
        </w:rPr>
      </w:pPr>
      <w:r>
        <w:rPr>
          <w:rFonts w:hint="eastAsia"/>
          <w:sz w:val="24"/>
        </w:rPr>
        <w:t xml:space="preserve">第四部分 </w:t>
      </w:r>
      <w:r>
        <w:rPr>
          <w:rFonts w:hint="eastAsia"/>
          <w:sz w:val="24"/>
        </w:rPr>
        <w:t>附件</w:t>
      </w:r>
      <w:r>
        <w:rPr>
          <w:rFonts w:hint="eastAsia"/>
          <w:sz w:val="24"/>
          <w:lang w:val="en-US" w:eastAsia="zh-CN"/>
        </w:rPr>
        <w:tab/>
        <w:t>13</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default"/>
          <w:sz w:val="24"/>
          <w:lang w:val="en-US" w:eastAsia="zh-CN"/>
        </w:rPr>
      </w:pPr>
      <w:r>
        <w:rPr>
          <w:rFonts w:hint="eastAsia"/>
          <w:sz w:val="24"/>
        </w:rPr>
        <w:t xml:space="preserve">第五部分 </w:t>
      </w:r>
      <w:r>
        <w:rPr>
          <w:rFonts w:hint="eastAsia"/>
          <w:sz w:val="24"/>
        </w:rPr>
        <w:t>附表</w:t>
      </w:r>
      <w:r>
        <w:rPr>
          <w:rFonts w:hint="eastAsia"/>
          <w:sz w:val="24"/>
          <w:lang w:val="en-US" w:eastAsia="zh-CN"/>
        </w:rPr>
        <w:tab/>
        <w:t>14</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default"/>
          <w:sz w:val="24"/>
          <w:lang w:val="en-US" w:eastAsia="zh-CN"/>
        </w:rPr>
      </w:pPr>
      <w:r>
        <w:rPr>
          <w:rFonts w:hint="eastAsia"/>
          <w:sz w:val="24"/>
        </w:rPr>
        <w:t>一、收入支出决算总表</w:t>
      </w:r>
      <w:r>
        <w:rPr>
          <w:rFonts w:hint="eastAsia"/>
          <w:sz w:val="24"/>
          <w:lang w:val="en-US" w:eastAsia="zh-CN"/>
        </w:rPr>
        <w:tab/>
        <w:t>21</w:t>
      </w:r>
      <w:bookmarkStart w:id="48" w:name="_GoBack"/>
      <w:bookmarkEnd w:id="48"/>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default"/>
          <w:sz w:val="24"/>
          <w:lang w:val="en-US" w:eastAsia="zh-CN"/>
        </w:rPr>
      </w:pPr>
      <w:r>
        <w:rPr>
          <w:rFonts w:hint="eastAsia"/>
          <w:sz w:val="24"/>
        </w:rPr>
        <w:t>二、收入决算表</w:t>
      </w:r>
      <w:r>
        <w:rPr>
          <w:rFonts w:hint="eastAsia"/>
          <w:sz w:val="24"/>
          <w:lang w:val="en-US" w:eastAsia="zh-CN"/>
        </w:rPr>
        <w:tab/>
        <w:t>21</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default"/>
          <w:sz w:val="24"/>
          <w:lang w:val="en-US" w:eastAsia="zh-CN"/>
        </w:rPr>
      </w:pPr>
      <w:r>
        <w:rPr>
          <w:rFonts w:hint="eastAsia"/>
          <w:sz w:val="24"/>
        </w:rPr>
        <w:t>三、支出决算表</w:t>
      </w:r>
      <w:r>
        <w:rPr>
          <w:rFonts w:hint="eastAsia"/>
          <w:sz w:val="24"/>
          <w:lang w:val="en-US" w:eastAsia="zh-CN"/>
        </w:rPr>
        <w:tab/>
        <w:t>21</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default"/>
          <w:sz w:val="24"/>
          <w:lang w:val="en-US" w:eastAsia="zh-CN"/>
        </w:rPr>
      </w:pPr>
      <w:r>
        <w:rPr>
          <w:rFonts w:hint="eastAsia"/>
          <w:sz w:val="24"/>
        </w:rPr>
        <w:t>四、财政拨款收入支出决算总表</w:t>
      </w:r>
      <w:r>
        <w:rPr>
          <w:rFonts w:hint="eastAsia"/>
          <w:sz w:val="24"/>
          <w:lang w:val="en-US" w:eastAsia="zh-CN"/>
        </w:rPr>
        <w:tab/>
        <w:t>21</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default"/>
          <w:sz w:val="24"/>
          <w:lang w:val="en-US" w:eastAsia="zh-CN"/>
        </w:rPr>
      </w:pPr>
      <w:r>
        <w:rPr>
          <w:rFonts w:hint="eastAsia"/>
          <w:sz w:val="24"/>
        </w:rPr>
        <w:t>五、财政拨款支出决算明细表</w:t>
      </w:r>
      <w:r>
        <w:rPr>
          <w:rFonts w:hint="eastAsia"/>
          <w:sz w:val="24"/>
          <w:lang w:val="en-US" w:eastAsia="zh-CN"/>
        </w:rPr>
        <w:tab/>
        <w:t>21</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default"/>
          <w:sz w:val="24"/>
          <w:lang w:val="en-US" w:eastAsia="zh-CN"/>
        </w:rPr>
      </w:pPr>
      <w:r>
        <w:rPr>
          <w:rFonts w:hint="eastAsia"/>
          <w:sz w:val="24"/>
        </w:rPr>
        <w:t>六、一般公共预算财政拨款支出决算表</w:t>
      </w:r>
      <w:r>
        <w:rPr>
          <w:rFonts w:hint="eastAsia"/>
          <w:sz w:val="24"/>
          <w:lang w:val="en-US" w:eastAsia="zh-CN"/>
        </w:rPr>
        <w:tab/>
        <w:t>21</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default"/>
          <w:sz w:val="24"/>
          <w:lang w:val="en-US" w:eastAsia="zh-CN"/>
        </w:rPr>
      </w:pPr>
      <w:r>
        <w:rPr>
          <w:rFonts w:hint="eastAsia"/>
          <w:sz w:val="24"/>
        </w:rPr>
        <w:t>七、一般公共预算财政拨款支出决算明细表</w:t>
      </w:r>
      <w:r>
        <w:rPr>
          <w:rFonts w:hint="eastAsia"/>
          <w:sz w:val="24"/>
          <w:lang w:val="en-US" w:eastAsia="zh-CN"/>
        </w:rPr>
        <w:tab/>
        <w:t>21</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default"/>
          <w:sz w:val="24"/>
          <w:lang w:val="en-US" w:eastAsia="zh-CN"/>
        </w:rPr>
      </w:pPr>
      <w:r>
        <w:rPr>
          <w:rFonts w:hint="eastAsia"/>
          <w:sz w:val="24"/>
        </w:rPr>
        <w:t>八、一般公共预算财政拨款基本支出决算明细表</w:t>
      </w:r>
      <w:r>
        <w:rPr>
          <w:rFonts w:hint="eastAsia"/>
          <w:sz w:val="24"/>
          <w:lang w:val="en-US" w:eastAsia="zh-CN"/>
        </w:rPr>
        <w:tab/>
        <w:t>21</w:t>
      </w:r>
    </w:p>
    <w:p>
      <w:pPr>
        <w:pStyle w:val="13"/>
        <w:keepNext w:val="0"/>
        <w:keepLines w:val="0"/>
        <w:pageBreakBefore w:val="0"/>
        <w:widowControl w:val="0"/>
        <w:tabs>
          <w:tab w:val="right" w:leader="middleDot" w:pos="8296"/>
        </w:tabs>
        <w:kinsoku/>
        <w:wordWrap/>
        <w:overflowPunct/>
        <w:topLinePunct w:val="0"/>
        <w:autoSpaceDE/>
        <w:autoSpaceDN/>
        <w:bidi w:val="0"/>
        <w:adjustRightInd w:val="0"/>
        <w:snapToGrid w:val="0"/>
        <w:spacing w:line="440" w:lineRule="exact"/>
        <w:jc w:val="left"/>
        <w:textAlignment w:val="auto"/>
        <w:rPr>
          <w:rFonts w:hint="default"/>
          <w:sz w:val="24"/>
          <w:lang w:val="en-US" w:eastAsia="zh-CN"/>
        </w:rPr>
      </w:pPr>
      <w:r>
        <w:rPr>
          <w:rFonts w:hint="eastAsia"/>
          <w:sz w:val="24"/>
        </w:rPr>
        <w:t>九、一般公共预算财政拨款项目支出决算表</w:t>
      </w:r>
      <w:r>
        <w:rPr>
          <w:rFonts w:hint="eastAsia"/>
          <w:sz w:val="24"/>
          <w:lang w:val="en-US" w:eastAsia="zh-CN"/>
        </w:rPr>
        <w:tab/>
        <w:t>21</w:t>
      </w:r>
    </w:p>
    <w:p>
      <w:pPr>
        <w:pStyle w:val="13"/>
        <w:adjustRightInd w:val="0"/>
        <w:snapToGrid w:val="0"/>
        <w:spacing w:line="440" w:lineRule="exact"/>
        <w:jc w:val="left"/>
        <w:rPr>
          <w:rFonts w:hint="default"/>
          <w:sz w:val="24"/>
          <w:lang w:val="en-US" w:eastAsia="zh-CN"/>
        </w:rPr>
      </w:pPr>
      <w:r>
        <w:rPr>
          <w:rFonts w:hint="eastAsia"/>
          <w:sz w:val="24"/>
        </w:rPr>
        <w:t>十、政府性基金预算财政拨款收入支出决算表</w:t>
      </w:r>
      <w:r>
        <w:rPr>
          <w:rFonts w:hint="eastAsia"/>
          <w:sz w:val="24"/>
          <w:lang w:val="en-US" w:eastAsia="zh-CN"/>
        </w:rPr>
        <w:tab/>
        <w:t>21</w:t>
      </w:r>
    </w:p>
    <w:p>
      <w:pPr>
        <w:pStyle w:val="13"/>
        <w:adjustRightInd w:val="0"/>
        <w:snapToGrid w:val="0"/>
        <w:spacing w:line="440" w:lineRule="exact"/>
        <w:jc w:val="left"/>
        <w:rPr>
          <w:rFonts w:hint="default"/>
          <w:sz w:val="24"/>
          <w:lang w:val="en-US" w:eastAsia="zh-CN"/>
        </w:rPr>
      </w:pPr>
      <w:r>
        <w:rPr>
          <w:rFonts w:hint="eastAsia"/>
          <w:sz w:val="24"/>
        </w:rPr>
        <w:t>十一、国有资本经营预算财政拨款收入支出决算表</w:t>
      </w:r>
      <w:r>
        <w:rPr>
          <w:rFonts w:hint="eastAsia"/>
          <w:sz w:val="24"/>
          <w:lang w:val="en-US" w:eastAsia="zh-CN"/>
        </w:rPr>
        <w:tab/>
        <w:t>21</w:t>
      </w:r>
    </w:p>
    <w:p>
      <w:pPr>
        <w:pStyle w:val="13"/>
        <w:adjustRightInd w:val="0"/>
        <w:snapToGrid w:val="0"/>
        <w:spacing w:line="440" w:lineRule="exact"/>
        <w:jc w:val="left"/>
        <w:rPr>
          <w:rFonts w:hint="default"/>
          <w:sz w:val="24"/>
          <w:lang w:val="en-US" w:eastAsia="zh-CN"/>
        </w:rPr>
      </w:pPr>
      <w:r>
        <w:rPr>
          <w:rFonts w:hint="eastAsia"/>
          <w:sz w:val="24"/>
        </w:rPr>
        <w:t>十二、国有资本经营预算财政拨款支出决算表</w:t>
      </w:r>
      <w:r>
        <w:rPr>
          <w:rFonts w:hint="eastAsia"/>
          <w:sz w:val="24"/>
          <w:lang w:val="en-US" w:eastAsia="zh-CN"/>
        </w:rPr>
        <w:tab/>
        <w:t>21</w:t>
      </w:r>
    </w:p>
    <w:p>
      <w:pPr>
        <w:pStyle w:val="13"/>
        <w:adjustRightInd w:val="0"/>
        <w:snapToGrid w:val="0"/>
        <w:spacing w:line="440" w:lineRule="exact"/>
        <w:jc w:val="left"/>
        <w:rPr>
          <w:rFonts w:hint="default"/>
          <w:sz w:val="24"/>
          <w:lang w:val="en-US" w:eastAsia="zh-CN"/>
        </w:rPr>
        <w:sectPr>
          <w:footerReference r:id="rId5" w:type="first"/>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pPr>
      <w:r>
        <w:rPr>
          <w:rFonts w:hint="eastAsia"/>
          <w:sz w:val="24"/>
        </w:rPr>
        <w:t>十三、财政拨款“三公”经费支出决算表</w:t>
      </w:r>
      <w:bookmarkStart w:id="12" w:name="_Toc15377196"/>
      <w:bookmarkStart w:id="13" w:name="_Toc15396599"/>
      <w:r>
        <w:rPr>
          <w:rFonts w:hint="eastAsia"/>
          <w:sz w:val="24"/>
          <w:lang w:val="en-US" w:eastAsia="zh-CN"/>
        </w:rPr>
        <w:tab/>
        <w:t>21</w:t>
      </w:r>
    </w:p>
    <w:p>
      <w:pPr>
        <w:pStyle w:val="3"/>
        <w:jc w:val="center"/>
        <w:rPr>
          <w:rFonts w:hint="eastAsia" w:ascii="方正黑体_GBK" w:hAnsi="方正黑体_GBK" w:eastAsia="方正黑体_GBK" w:cs="方正黑体_GBK"/>
          <w:sz w:val="44"/>
          <w:szCs w:val="44"/>
        </w:rPr>
      </w:pPr>
      <w:r>
        <w:rPr>
          <w:rFonts w:hint="eastAsia" w:ascii="方正黑体_GBK" w:hAnsi="方正黑体_GBK" w:eastAsia="方正黑体_GBK" w:cs="方正黑体_GBK"/>
          <w:b w:val="0"/>
          <w:bCs/>
          <w:sz w:val="44"/>
          <w:szCs w:val="44"/>
        </w:rPr>
        <w:t xml:space="preserve">第一部分 </w:t>
      </w:r>
      <w:r>
        <w:rPr>
          <w:rStyle w:val="27"/>
          <w:rFonts w:hint="eastAsia" w:ascii="方正黑体_GBK" w:hAnsi="方正黑体_GBK" w:eastAsia="方正黑体_GBK" w:cs="方正黑体_GBK"/>
          <w:b w:val="0"/>
          <w:bCs/>
          <w:sz w:val="44"/>
          <w:szCs w:val="44"/>
        </w:rPr>
        <w:t>部门概况</w:t>
      </w:r>
      <w:bookmarkEnd w:id="12"/>
      <w:bookmarkEnd w:id="13"/>
    </w:p>
    <w:p>
      <w:pPr>
        <w:pStyle w:val="4"/>
        <w:numPr>
          <w:ilvl w:val="0"/>
          <w:numId w:val="1"/>
        </w:numPr>
        <w:rPr>
          <w:rFonts w:hint="eastAsia" w:ascii="方正黑体_GBK" w:hAnsi="方正黑体_GBK" w:eastAsia="方正黑体_GBK" w:cs="方正黑体_GBK"/>
          <w:sz w:val="33"/>
          <w:szCs w:val="33"/>
        </w:rPr>
      </w:pPr>
      <w:r>
        <w:rPr>
          <w:rFonts w:hint="eastAsia" w:ascii="方正黑体_GBK" w:hAnsi="方正黑体_GBK" w:eastAsia="方正黑体_GBK" w:cs="方正黑体_GBK"/>
          <w:b w:val="0"/>
          <w:sz w:val="33"/>
          <w:szCs w:val="33"/>
        </w:rPr>
        <w:t>部门职责</w:t>
      </w:r>
    </w:p>
    <w:p>
      <w:pPr>
        <w:keepNext w:val="0"/>
        <w:keepLines w:val="0"/>
        <w:widowControl w:val="0"/>
        <w:suppressLineNumbers w:val="0"/>
        <w:spacing w:before="0" w:beforeAutospacing="0" w:after="0" w:afterAutospacing="0" w:line="500" w:lineRule="exact"/>
        <w:ind w:left="0" w:right="0" w:firstLine="660" w:firstLineChars="200"/>
        <w:jc w:val="both"/>
        <w:rPr>
          <w:rFonts w:hint="eastAsia" w:ascii="方正仿宋_GBK" w:hAnsi="方正仿宋_GBK" w:eastAsia="方正仿宋_GBK" w:cs="方正仿宋_GBK"/>
          <w:kern w:val="2"/>
          <w:sz w:val="33"/>
          <w:szCs w:val="33"/>
          <w:lang w:val="en-US" w:eastAsia="zh-CN" w:bidi="ar"/>
        </w:rPr>
      </w:pPr>
      <w:r>
        <w:rPr>
          <w:rFonts w:hint="eastAsia" w:ascii="方正仿宋_GBK" w:hAnsi="方正仿宋_GBK" w:eastAsia="方正仿宋_GBK" w:cs="方正仿宋_GBK"/>
          <w:kern w:val="2"/>
          <w:sz w:val="33"/>
          <w:szCs w:val="33"/>
          <w:lang w:val="en-US" w:eastAsia="zh-CN" w:bidi="ar"/>
        </w:rPr>
        <w:t>中共盐边县委机构编制委员会办公室机构类别为正科级党政机关。</w:t>
      </w:r>
    </w:p>
    <w:p>
      <w:pPr>
        <w:keepNext w:val="0"/>
        <w:keepLines w:val="0"/>
        <w:widowControl w:val="0"/>
        <w:suppressLineNumbers w:val="0"/>
        <w:spacing w:before="0" w:beforeAutospacing="0" w:after="0" w:afterAutospacing="0" w:line="500" w:lineRule="exact"/>
        <w:ind w:left="0" w:right="0" w:firstLine="660" w:firstLineChars="200"/>
        <w:jc w:val="both"/>
        <w:rPr>
          <w:rFonts w:hint="eastAsia" w:ascii="方正仿宋_GBK" w:hAnsi="方正仿宋_GBK" w:eastAsia="方正仿宋_GBK" w:cs="方正仿宋_GBK"/>
          <w:kern w:val="2"/>
          <w:sz w:val="33"/>
          <w:szCs w:val="33"/>
          <w:lang w:val="en-US" w:eastAsia="zh-CN" w:bidi="ar"/>
        </w:rPr>
      </w:pPr>
      <w:r>
        <w:rPr>
          <w:rFonts w:hint="eastAsia" w:ascii="方正仿宋_GBK" w:hAnsi="方正仿宋_GBK" w:eastAsia="方正仿宋_GBK" w:cs="方正仿宋_GBK"/>
          <w:kern w:val="2"/>
          <w:sz w:val="33"/>
          <w:szCs w:val="33"/>
          <w:lang w:val="en-US" w:eastAsia="zh-CN" w:bidi="ar"/>
        </w:rPr>
        <w:t>(一)贯彻执行中央、省、市关于行政管理体制改革和机构改革、事业单位改革及机构编制管理的方针政策和法律法规，制定相关政策并监督实施。</w:t>
      </w:r>
    </w:p>
    <w:p>
      <w:pPr>
        <w:keepNext w:val="0"/>
        <w:keepLines w:val="0"/>
        <w:widowControl w:val="0"/>
        <w:suppressLineNumbers w:val="0"/>
        <w:spacing w:before="0" w:beforeAutospacing="0" w:after="0" w:afterAutospacing="0" w:line="500" w:lineRule="exact"/>
        <w:ind w:left="0" w:right="0" w:firstLine="660" w:firstLineChars="200"/>
        <w:jc w:val="both"/>
        <w:rPr>
          <w:rFonts w:hint="eastAsia" w:ascii="方正仿宋_GBK" w:hAnsi="方正仿宋_GBK" w:eastAsia="方正仿宋_GBK" w:cs="方正仿宋_GBK"/>
          <w:kern w:val="2"/>
          <w:sz w:val="33"/>
          <w:szCs w:val="33"/>
          <w:lang w:val="en-US" w:eastAsia="zh-CN" w:bidi="ar"/>
        </w:rPr>
      </w:pPr>
      <w:r>
        <w:rPr>
          <w:rFonts w:hint="eastAsia" w:ascii="方正仿宋_GBK" w:hAnsi="方正仿宋_GBK" w:eastAsia="方正仿宋_GBK" w:cs="方正仿宋_GBK"/>
          <w:kern w:val="2"/>
          <w:sz w:val="33"/>
          <w:szCs w:val="33"/>
          <w:lang w:val="en-US" w:eastAsia="zh-CN" w:bidi="ar"/>
        </w:rPr>
        <w:t>(二)研究拟订全县行政管理体制改革和机构改革方案,审核县级各部门“三定”规定，评估改革效果。参与行政审批制度改革和行政区划调整的有关工作。</w:t>
      </w:r>
    </w:p>
    <w:p>
      <w:pPr>
        <w:keepNext w:val="0"/>
        <w:keepLines w:val="0"/>
        <w:widowControl w:val="0"/>
        <w:suppressLineNumbers w:val="0"/>
        <w:spacing w:before="0" w:beforeAutospacing="0" w:after="0" w:afterAutospacing="0" w:line="500" w:lineRule="exact"/>
        <w:ind w:left="0" w:right="0" w:firstLine="660" w:firstLineChars="200"/>
        <w:jc w:val="both"/>
        <w:rPr>
          <w:rFonts w:hint="eastAsia" w:ascii="方正仿宋_GBK" w:hAnsi="方正仿宋_GBK" w:eastAsia="方正仿宋_GBK" w:cs="方正仿宋_GBK"/>
          <w:kern w:val="2"/>
          <w:sz w:val="33"/>
          <w:szCs w:val="33"/>
          <w:lang w:val="en-US" w:eastAsia="zh-CN" w:bidi="ar"/>
        </w:rPr>
      </w:pPr>
      <w:r>
        <w:rPr>
          <w:rFonts w:hint="eastAsia" w:ascii="方正仿宋_GBK" w:hAnsi="方正仿宋_GBK" w:eastAsia="方正仿宋_GBK" w:cs="方正仿宋_GBK"/>
          <w:kern w:val="2"/>
          <w:sz w:val="33"/>
          <w:szCs w:val="33"/>
          <w:lang w:val="en-US" w:eastAsia="zh-CN" w:bidi="ar"/>
        </w:rPr>
        <w:t>(三)负责全县行政事业编制总量控制和机关事业单位机构编制实名制管理工作。建立健全机构编制管理联动机制，会同有关部门严格控制财政供养人员。对全县机关和事业单位使用空缺编制补充人员进行核批。</w:t>
      </w:r>
    </w:p>
    <w:p>
      <w:pPr>
        <w:keepNext w:val="0"/>
        <w:keepLines w:val="0"/>
        <w:widowControl w:val="0"/>
        <w:suppressLineNumbers w:val="0"/>
        <w:spacing w:before="0" w:beforeAutospacing="0" w:after="0" w:afterAutospacing="0" w:line="500" w:lineRule="exact"/>
        <w:ind w:left="0" w:right="0" w:firstLine="660" w:firstLineChars="200"/>
        <w:jc w:val="both"/>
        <w:rPr>
          <w:rFonts w:hint="eastAsia" w:ascii="方正仿宋_GBK" w:hAnsi="方正仿宋_GBK" w:eastAsia="方正仿宋_GBK" w:cs="方正仿宋_GBK"/>
          <w:kern w:val="2"/>
          <w:sz w:val="33"/>
          <w:szCs w:val="33"/>
          <w:lang w:val="en-US" w:eastAsia="zh-CN" w:bidi="ar"/>
        </w:rPr>
      </w:pPr>
      <w:r>
        <w:rPr>
          <w:rFonts w:hint="eastAsia" w:ascii="方正仿宋_GBK" w:hAnsi="方正仿宋_GBK" w:eastAsia="方正仿宋_GBK" w:cs="方正仿宋_GBK"/>
          <w:kern w:val="2"/>
          <w:sz w:val="33"/>
          <w:szCs w:val="33"/>
          <w:lang w:val="en-US" w:eastAsia="zh-CN" w:bidi="ar"/>
        </w:rPr>
        <w:t>(四)负责县委、县政府各部门，县人大、县政协机关，县法院、县检察院机关，各民主党派机关、各人民团体机关以及其他行政机构的机构编制管理工作。协调县级各部门之间及县级各部门与乡（镇）之间的职责分工。</w:t>
      </w:r>
    </w:p>
    <w:p>
      <w:pPr>
        <w:keepNext w:val="0"/>
        <w:keepLines w:val="0"/>
        <w:widowControl w:val="0"/>
        <w:suppressLineNumbers w:val="0"/>
        <w:spacing w:before="0" w:beforeAutospacing="0" w:after="0" w:afterAutospacing="0" w:line="500" w:lineRule="exact"/>
        <w:ind w:left="0" w:right="0" w:firstLine="660" w:firstLineChars="200"/>
        <w:jc w:val="both"/>
        <w:rPr>
          <w:rFonts w:hint="eastAsia" w:ascii="方正仿宋_GBK" w:hAnsi="方正仿宋_GBK" w:eastAsia="方正仿宋_GBK" w:cs="方正仿宋_GBK"/>
          <w:kern w:val="2"/>
          <w:sz w:val="33"/>
          <w:szCs w:val="33"/>
          <w:lang w:val="en-US" w:eastAsia="zh-CN" w:bidi="ar"/>
        </w:rPr>
      </w:pPr>
      <w:r>
        <w:rPr>
          <w:rFonts w:hint="eastAsia" w:ascii="方正仿宋_GBK" w:hAnsi="方正仿宋_GBK" w:eastAsia="方正仿宋_GBK" w:cs="方正仿宋_GBK"/>
          <w:kern w:val="2"/>
          <w:sz w:val="33"/>
          <w:szCs w:val="33"/>
          <w:lang w:val="en-US" w:eastAsia="zh-CN" w:bidi="ar"/>
        </w:rPr>
        <w:t>(五)拟订全县事业单位改革方案及相关配套政策，审核全县事业单位机构编制方案，评估改革效果。负责全县事业单位的机构编制管理工作。负责拟参照公务员法管理事业单位机构编制事项的审核工作。</w:t>
      </w:r>
    </w:p>
    <w:p>
      <w:pPr>
        <w:keepNext w:val="0"/>
        <w:keepLines w:val="0"/>
        <w:widowControl w:val="0"/>
        <w:suppressLineNumbers w:val="0"/>
        <w:spacing w:before="0" w:beforeAutospacing="0" w:after="0" w:afterAutospacing="0" w:line="500" w:lineRule="exact"/>
        <w:ind w:left="0" w:right="0" w:firstLine="660" w:firstLineChars="200"/>
        <w:jc w:val="both"/>
        <w:rPr>
          <w:rFonts w:hint="eastAsia" w:ascii="方正仿宋_GBK" w:hAnsi="方正仿宋_GBK" w:eastAsia="方正仿宋_GBK" w:cs="方正仿宋_GBK"/>
          <w:kern w:val="2"/>
          <w:sz w:val="33"/>
          <w:szCs w:val="33"/>
          <w:lang w:val="en-US" w:eastAsia="zh-CN" w:bidi="ar"/>
        </w:rPr>
      </w:pPr>
      <w:r>
        <w:rPr>
          <w:rFonts w:hint="eastAsia" w:ascii="方正仿宋_GBK" w:hAnsi="方正仿宋_GBK" w:eastAsia="方正仿宋_GBK" w:cs="方正仿宋_GBK"/>
          <w:kern w:val="2"/>
          <w:sz w:val="33"/>
          <w:szCs w:val="33"/>
          <w:lang w:val="en-US" w:eastAsia="zh-CN" w:bidi="ar"/>
        </w:rPr>
        <w:t>(六) 监督检查全县行政管理体制改革和机构改革方案及机构编制规定执行情况，建立机构编制工作考核评估制度,会同有关部门查处机构编制违法违纪行为。</w:t>
      </w:r>
    </w:p>
    <w:p>
      <w:pPr>
        <w:keepNext w:val="0"/>
        <w:keepLines w:val="0"/>
        <w:widowControl w:val="0"/>
        <w:suppressLineNumbers w:val="0"/>
        <w:spacing w:before="0" w:beforeAutospacing="0" w:after="0" w:afterAutospacing="0" w:line="500" w:lineRule="exact"/>
        <w:ind w:left="0" w:right="0" w:firstLine="660" w:firstLineChars="200"/>
        <w:jc w:val="both"/>
        <w:rPr>
          <w:rFonts w:hint="eastAsia" w:ascii="方正仿宋_GBK" w:hAnsi="方正仿宋_GBK" w:eastAsia="方正仿宋_GBK" w:cs="方正仿宋_GBK"/>
          <w:kern w:val="2"/>
          <w:sz w:val="33"/>
          <w:szCs w:val="33"/>
          <w:lang w:val="en-US" w:eastAsia="zh-CN" w:bidi="ar"/>
        </w:rPr>
      </w:pPr>
      <w:r>
        <w:rPr>
          <w:rFonts w:hint="eastAsia" w:ascii="方正仿宋_GBK" w:hAnsi="方正仿宋_GBK" w:eastAsia="方正仿宋_GBK" w:cs="方正仿宋_GBK"/>
          <w:kern w:val="2"/>
          <w:sz w:val="33"/>
          <w:szCs w:val="33"/>
          <w:lang w:val="en-US" w:eastAsia="zh-CN" w:bidi="ar"/>
        </w:rPr>
        <w:t>(七) 负责全县事业单位登记管理工作。</w:t>
      </w:r>
    </w:p>
    <w:p>
      <w:pPr>
        <w:rPr>
          <w:sz w:val="33"/>
          <w:szCs w:val="33"/>
        </w:rPr>
      </w:pPr>
      <w:r>
        <w:rPr>
          <w:rFonts w:hint="eastAsia" w:ascii="方正仿宋_GBK" w:hAnsi="方正仿宋_GBK" w:eastAsia="方正仿宋_GBK" w:cs="方正仿宋_GBK"/>
          <w:kern w:val="2"/>
          <w:sz w:val="33"/>
          <w:szCs w:val="33"/>
          <w:lang w:val="en-US" w:eastAsia="zh-CN" w:bidi="ar"/>
        </w:rPr>
        <w:t>(八) 承办县委、县政府和县委编委交办的其他工作。</w:t>
      </w:r>
    </w:p>
    <w:p>
      <w:pPr>
        <w:pStyle w:val="4"/>
        <w:rPr>
          <w:rStyle w:val="28"/>
          <w:rFonts w:hint="eastAsia" w:ascii="方正黑体_GBK" w:hAnsi="方正黑体_GBK" w:eastAsia="方正黑体_GBK" w:cs="方正黑体_GBK"/>
          <w:b w:val="0"/>
          <w:bCs w:val="0"/>
          <w:sz w:val="33"/>
          <w:szCs w:val="33"/>
        </w:rPr>
      </w:pPr>
      <w:bookmarkStart w:id="14" w:name="_Toc15377200"/>
      <w:bookmarkStart w:id="15" w:name="_Toc15396601"/>
      <w:r>
        <w:rPr>
          <w:rFonts w:hint="eastAsia" w:ascii="方正黑体_GBK" w:hAnsi="方正黑体_GBK" w:eastAsia="方正黑体_GBK" w:cs="方正黑体_GBK"/>
          <w:b w:val="0"/>
          <w:sz w:val="33"/>
          <w:szCs w:val="33"/>
        </w:rPr>
        <w:t>二、机</w:t>
      </w:r>
      <w:r>
        <w:rPr>
          <w:rStyle w:val="28"/>
          <w:rFonts w:hint="eastAsia" w:ascii="方正黑体_GBK" w:hAnsi="方正黑体_GBK" w:eastAsia="方正黑体_GBK" w:cs="方正黑体_GBK"/>
          <w:b w:val="0"/>
          <w:bCs w:val="0"/>
          <w:sz w:val="33"/>
          <w:szCs w:val="33"/>
        </w:rPr>
        <w:t>构设置</w:t>
      </w:r>
      <w:bookmarkEnd w:id="14"/>
      <w:bookmarkEnd w:id="15"/>
    </w:p>
    <w:p>
      <w:pPr>
        <w:keepNext w:val="0"/>
        <w:keepLines w:val="0"/>
        <w:widowControl w:val="0"/>
        <w:suppressLineNumbers w:val="0"/>
        <w:spacing w:before="0" w:beforeAutospacing="0" w:after="0" w:afterAutospacing="0" w:line="500" w:lineRule="exact"/>
        <w:ind w:left="0" w:right="0" w:firstLine="660" w:firstLineChars="200"/>
        <w:jc w:val="both"/>
        <w:rPr>
          <w:rFonts w:hint="eastAsia" w:ascii="方正仿宋_GBK" w:hAnsi="方正仿宋_GBK" w:eastAsia="方正仿宋_GBK" w:cs="方正仿宋_GBK"/>
          <w:kern w:val="2"/>
          <w:sz w:val="33"/>
          <w:szCs w:val="33"/>
          <w:lang w:val="en-US" w:eastAsia="zh-CN" w:bidi="ar"/>
        </w:rPr>
      </w:pPr>
      <w:r>
        <w:rPr>
          <w:rFonts w:hint="eastAsia" w:ascii="方正仿宋_GBK" w:hAnsi="方正仿宋_GBK" w:eastAsia="方正仿宋_GBK" w:cs="方正仿宋_GBK"/>
          <w:kern w:val="2"/>
          <w:sz w:val="33"/>
          <w:szCs w:val="33"/>
          <w:lang w:val="en-US" w:eastAsia="zh-CN" w:bidi="ar"/>
        </w:rPr>
        <w:t>县委编办下属二级单位2个，其中行政单位0个，参照公务员法管理的事业单位1个，其他事业单位1个。</w:t>
      </w:r>
    </w:p>
    <w:p>
      <w:pPr>
        <w:keepNext w:val="0"/>
        <w:keepLines w:val="0"/>
        <w:widowControl w:val="0"/>
        <w:suppressLineNumbers w:val="0"/>
        <w:spacing w:before="0" w:beforeAutospacing="0" w:after="0" w:afterAutospacing="0" w:line="500" w:lineRule="exact"/>
        <w:ind w:left="0" w:right="0" w:firstLine="660" w:firstLineChars="200"/>
        <w:jc w:val="both"/>
        <w:rPr>
          <w:rFonts w:hint="eastAsia" w:ascii="方正仿宋_GBK" w:hAnsi="方正仿宋_GBK" w:eastAsia="方正仿宋_GBK" w:cs="方正仿宋_GBK"/>
          <w:kern w:val="2"/>
          <w:sz w:val="33"/>
          <w:szCs w:val="33"/>
          <w:lang w:val="en-US" w:eastAsia="zh-CN" w:bidi="ar"/>
        </w:rPr>
      </w:pPr>
      <w:r>
        <w:rPr>
          <w:rFonts w:hint="eastAsia" w:ascii="方正仿宋_GBK" w:hAnsi="方正仿宋_GBK" w:eastAsia="方正仿宋_GBK" w:cs="方正仿宋_GBK"/>
          <w:kern w:val="2"/>
          <w:sz w:val="33"/>
          <w:szCs w:val="33"/>
          <w:lang w:val="en-US" w:eastAsia="zh-CN" w:bidi="ar"/>
        </w:rPr>
        <w:t>纳入县委编办2022年度部门决算编制范围的二级预算单位包括：</w:t>
      </w:r>
    </w:p>
    <w:p>
      <w:pPr>
        <w:keepNext w:val="0"/>
        <w:keepLines w:val="0"/>
        <w:widowControl w:val="0"/>
        <w:numPr>
          <w:ilvl w:val="0"/>
          <w:numId w:val="2"/>
        </w:numPr>
        <w:suppressLineNumbers w:val="0"/>
        <w:spacing w:before="0" w:beforeAutospacing="0" w:after="0" w:afterAutospacing="0" w:line="500" w:lineRule="exact"/>
        <w:ind w:left="0" w:right="0" w:firstLine="660" w:firstLineChars="200"/>
        <w:jc w:val="both"/>
        <w:rPr>
          <w:rFonts w:hint="eastAsia" w:ascii="方正仿宋_GBK" w:hAnsi="方正仿宋_GBK" w:eastAsia="方正仿宋_GBK" w:cs="方正仿宋_GBK"/>
          <w:kern w:val="2"/>
          <w:sz w:val="33"/>
          <w:szCs w:val="33"/>
          <w:lang w:val="en-US" w:eastAsia="zh-CN" w:bidi="ar"/>
        </w:rPr>
      </w:pPr>
      <w:r>
        <w:rPr>
          <w:rFonts w:hint="eastAsia" w:ascii="方正仿宋_GBK" w:hAnsi="方正仿宋_GBK" w:eastAsia="方正仿宋_GBK" w:cs="方正仿宋_GBK"/>
          <w:kern w:val="2"/>
          <w:sz w:val="33"/>
          <w:szCs w:val="33"/>
          <w:lang w:val="en-US" w:eastAsia="zh-CN" w:bidi="ar"/>
        </w:rPr>
        <w:t>盐边县事业单位登记服务中心；</w:t>
      </w:r>
    </w:p>
    <w:p>
      <w:pPr>
        <w:keepNext w:val="0"/>
        <w:keepLines w:val="0"/>
        <w:widowControl w:val="0"/>
        <w:numPr>
          <w:ilvl w:val="0"/>
          <w:numId w:val="2"/>
        </w:numPr>
        <w:suppressLineNumbers w:val="0"/>
        <w:spacing w:before="0" w:beforeAutospacing="0" w:after="0" w:afterAutospacing="0" w:line="500" w:lineRule="exact"/>
        <w:ind w:left="0" w:right="0" w:firstLine="660" w:firstLineChars="200"/>
        <w:jc w:val="both"/>
        <w:rPr>
          <w:rFonts w:hint="default" w:ascii="仿宋" w:hAnsi="仿宋" w:eastAsia="仿宋" w:cs="Times New Roman"/>
          <w:kern w:val="2"/>
          <w:sz w:val="32"/>
          <w:szCs w:val="32"/>
        </w:rPr>
      </w:pPr>
      <w:r>
        <w:rPr>
          <w:rFonts w:hint="eastAsia" w:ascii="方正仿宋_GBK" w:hAnsi="方正仿宋_GBK" w:eastAsia="方正仿宋_GBK" w:cs="方正仿宋_GBK"/>
          <w:kern w:val="2"/>
          <w:sz w:val="33"/>
          <w:szCs w:val="33"/>
          <w:lang w:val="en-US" w:eastAsia="zh-CN" w:bidi="ar"/>
        </w:rPr>
        <w:t>盐边县机构编制数据与服务中心。</w:t>
      </w:r>
    </w:p>
    <w:p>
      <w:pPr>
        <w:pStyle w:val="2"/>
        <w:rPr>
          <w:rFonts w:hint="eastAsia" w:ascii="方正仿宋_GBK" w:hAnsi="方正仿宋_GBK" w:eastAsia="方正仿宋_GBK" w:cs="方正仿宋_GBK"/>
          <w:kern w:val="2"/>
          <w:sz w:val="33"/>
          <w:szCs w:val="33"/>
          <w:lang w:val="en-US" w:eastAsia="zh-CN" w:bidi="ar"/>
        </w:rPr>
      </w:pPr>
    </w:p>
    <w:p>
      <w:pPr>
        <w:rPr>
          <w:rFonts w:hint="eastAsia" w:ascii="方正仿宋_GBK" w:hAnsi="方正仿宋_GBK" w:eastAsia="方正仿宋_GBK" w:cs="方正仿宋_GBK"/>
          <w:kern w:val="2"/>
          <w:sz w:val="33"/>
          <w:szCs w:val="33"/>
          <w:lang w:val="en-US" w:eastAsia="zh-CN" w:bidi="ar"/>
        </w:rPr>
      </w:pPr>
    </w:p>
    <w:p>
      <w:pPr>
        <w:pStyle w:val="2"/>
        <w:rPr>
          <w:rFonts w:hint="eastAsia" w:ascii="方正仿宋_GBK" w:hAnsi="方正仿宋_GBK" w:eastAsia="方正仿宋_GBK" w:cs="方正仿宋_GBK"/>
          <w:kern w:val="2"/>
          <w:sz w:val="33"/>
          <w:szCs w:val="33"/>
          <w:lang w:val="en-US" w:eastAsia="zh-CN" w:bidi="ar"/>
        </w:rPr>
      </w:pPr>
    </w:p>
    <w:p>
      <w:pPr>
        <w:rPr>
          <w:rFonts w:hint="eastAsia" w:ascii="方正仿宋_GBK" w:hAnsi="方正仿宋_GBK" w:eastAsia="方正仿宋_GBK" w:cs="方正仿宋_GBK"/>
          <w:kern w:val="2"/>
          <w:sz w:val="33"/>
          <w:szCs w:val="33"/>
          <w:lang w:val="en-US" w:eastAsia="zh-CN" w:bidi="ar"/>
        </w:rPr>
      </w:pPr>
    </w:p>
    <w:p>
      <w:pPr>
        <w:pStyle w:val="2"/>
        <w:rPr>
          <w:rFonts w:hint="eastAsia" w:ascii="方正仿宋_GBK" w:hAnsi="方正仿宋_GBK" w:eastAsia="方正仿宋_GBK" w:cs="方正仿宋_GBK"/>
          <w:kern w:val="2"/>
          <w:sz w:val="33"/>
          <w:szCs w:val="33"/>
          <w:lang w:val="en-US" w:eastAsia="zh-CN" w:bidi="ar"/>
        </w:rPr>
      </w:pPr>
    </w:p>
    <w:p>
      <w:pPr>
        <w:rPr>
          <w:rFonts w:hint="eastAsia" w:ascii="方正仿宋_GBK" w:hAnsi="方正仿宋_GBK" w:eastAsia="方正仿宋_GBK" w:cs="方正仿宋_GBK"/>
          <w:kern w:val="2"/>
          <w:sz w:val="33"/>
          <w:szCs w:val="33"/>
          <w:lang w:val="en-US" w:eastAsia="zh-CN" w:bidi="ar"/>
        </w:rPr>
      </w:pPr>
    </w:p>
    <w:p>
      <w:pPr>
        <w:pStyle w:val="2"/>
        <w:rPr>
          <w:rFonts w:hint="eastAsia" w:ascii="方正仿宋_GBK" w:hAnsi="方正仿宋_GBK" w:eastAsia="方正仿宋_GBK" w:cs="方正仿宋_GBK"/>
          <w:kern w:val="2"/>
          <w:sz w:val="33"/>
          <w:szCs w:val="33"/>
          <w:lang w:val="en-US" w:eastAsia="zh-CN" w:bidi="ar"/>
        </w:rPr>
      </w:pPr>
    </w:p>
    <w:p>
      <w:pPr>
        <w:rPr>
          <w:rFonts w:hint="eastAsia" w:ascii="方正仿宋_GBK" w:hAnsi="方正仿宋_GBK" w:eastAsia="方正仿宋_GBK" w:cs="方正仿宋_GBK"/>
          <w:kern w:val="2"/>
          <w:sz w:val="33"/>
          <w:szCs w:val="33"/>
          <w:lang w:val="en-US" w:eastAsia="zh-CN" w:bidi="ar"/>
        </w:rPr>
      </w:pPr>
    </w:p>
    <w:p>
      <w:pPr>
        <w:pStyle w:val="2"/>
        <w:rPr>
          <w:rFonts w:hint="eastAsia" w:ascii="方正仿宋_GBK" w:hAnsi="方正仿宋_GBK" w:eastAsia="方正仿宋_GBK" w:cs="方正仿宋_GBK"/>
          <w:kern w:val="2"/>
          <w:sz w:val="33"/>
          <w:szCs w:val="33"/>
          <w:lang w:val="en-US" w:eastAsia="zh-CN" w:bidi="ar"/>
        </w:rPr>
      </w:pPr>
    </w:p>
    <w:p>
      <w:pPr>
        <w:rPr>
          <w:rFonts w:hint="default"/>
        </w:rPr>
      </w:pPr>
    </w:p>
    <w:p>
      <w:pPr>
        <w:pStyle w:val="3"/>
        <w:ind w:right="440"/>
        <w:jc w:val="center"/>
        <w:rPr>
          <w:rFonts w:hint="eastAsia" w:ascii="方正黑体_GBK" w:hAnsi="方正黑体_GBK" w:eastAsia="方正黑体_GBK" w:cs="方正黑体_GBK"/>
        </w:rPr>
      </w:pPr>
      <w:bookmarkStart w:id="16" w:name="_Toc15377204"/>
      <w:bookmarkStart w:id="17" w:name="_Toc15396602"/>
      <w:r>
        <w:rPr>
          <w:rFonts w:hint="eastAsia" w:ascii="方正黑体_GBK" w:hAnsi="方正黑体_GBK" w:eastAsia="方正黑体_GBK" w:cs="方正黑体_GBK"/>
          <w:b w:val="0"/>
        </w:rPr>
        <w:t>第二部分 2023年度</w:t>
      </w:r>
      <w:r>
        <w:rPr>
          <w:rStyle w:val="27"/>
          <w:rFonts w:hint="eastAsia" w:ascii="方正黑体_GBK" w:hAnsi="方正黑体_GBK" w:eastAsia="方正黑体_GBK" w:cs="方正黑体_GBK"/>
          <w:b w:val="0"/>
          <w:bCs/>
        </w:rPr>
        <w:t>部门决算情况说明</w:t>
      </w:r>
      <w:bookmarkEnd w:id="16"/>
      <w:bookmarkEnd w:id="17"/>
    </w:p>
    <w:p>
      <w:pPr>
        <w:pStyle w:val="26"/>
        <w:numPr>
          <w:ilvl w:val="0"/>
          <w:numId w:val="3"/>
        </w:numPr>
        <w:spacing w:line="600" w:lineRule="exact"/>
        <w:ind w:firstLineChars="0"/>
        <w:outlineLvl w:val="1"/>
        <w:rPr>
          <w:rStyle w:val="28"/>
          <w:rFonts w:hint="eastAsia" w:ascii="方正黑体_GBK" w:hAnsi="方正黑体_GBK" w:eastAsia="方正黑体_GBK" w:cs="方正黑体_GBK"/>
          <w:b w:val="0"/>
          <w:sz w:val="33"/>
          <w:szCs w:val="33"/>
        </w:rPr>
      </w:pPr>
      <w:bookmarkStart w:id="18" w:name="_Toc15377205"/>
      <w:bookmarkStart w:id="19" w:name="_Toc15396603"/>
      <w:r>
        <w:rPr>
          <w:rFonts w:hint="eastAsia" w:ascii="方正黑体_GBK" w:hAnsi="方正黑体_GBK" w:eastAsia="方正黑体_GBK" w:cs="方正黑体_GBK"/>
          <w:sz w:val="33"/>
          <w:szCs w:val="33"/>
        </w:rPr>
        <w:t>收</w:t>
      </w:r>
      <w:r>
        <w:rPr>
          <w:rStyle w:val="28"/>
          <w:rFonts w:hint="eastAsia" w:ascii="方正黑体_GBK" w:hAnsi="方正黑体_GBK" w:eastAsia="方正黑体_GBK" w:cs="方正黑体_GBK"/>
          <w:b w:val="0"/>
          <w:sz w:val="33"/>
          <w:szCs w:val="33"/>
        </w:rPr>
        <w:t>入支出决算总体情况说明</w:t>
      </w:r>
      <w:bookmarkEnd w:id="18"/>
      <w:bookmarkEnd w:id="19"/>
    </w:p>
    <w:p>
      <w:pPr>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2023年度收、支总计均为303.64万元。与2022年度相比，收、支总计各增加</w:t>
      </w:r>
      <w:r>
        <w:rPr>
          <w:rFonts w:hint="eastAsia" w:ascii="方正仿宋_GBK" w:hAnsi="方正仿宋_GBK" w:eastAsia="方正仿宋_GBK" w:cs="方正仿宋_GBK"/>
          <w:sz w:val="33"/>
          <w:szCs w:val="33"/>
          <w:lang w:val="en-US" w:eastAsia="zh-CN"/>
        </w:rPr>
        <w:t>17.72</w:t>
      </w:r>
      <w:r>
        <w:rPr>
          <w:rFonts w:hint="eastAsia" w:ascii="方正仿宋_GBK" w:hAnsi="方正仿宋_GBK" w:eastAsia="方正仿宋_GBK" w:cs="方正仿宋_GBK"/>
          <w:sz w:val="33"/>
          <w:szCs w:val="33"/>
        </w:rPr>
        <w:t>万元，增长</w:t>
      </w:r>
      <w:r>
        <w:rPr>
          <w:rFonts w:hint="eastAsia" w:ascii="方正仿宋_GBK" w:hAnsi="方正仿宋_GBK" w:eastAsia="方正仿宋_GBK" w:cs="方正仿宋_GBK"/>
          <w:sz w:val="33"/>
          <w:szCs w:val="33"/>
          <w:lang w:val="en-US" w:eastAsia="zh-CN"/>
        </w:rPr>
        <w:t>6.19</w:t>
      </w:r>
      <w:r>
        <w:rPr>
          <w:rFonts w:hint="eastAsia" w:ascii="方正仿宋_GBK" w:hAnsi="方正仿宋_GBK" w:eastAsia="方正仿宋_GBK" w:cs="方正仿宋_GBK"/>
          <w:sz w:val="33"/>
          <w:szCs w:val="33"/>
        </w:rPr>
        <w:t>%。主要变动原因是</w:t>
      </w:r>
      <w:r>
        <w:rPr>
          <w:rFonts w:hint="eastAsia" w:ascii="方正仿宋_GBK" w:hAnsi="方正仿宋_GBK" w:eastAsia="方正仿宋_GBK" w:cs="方正仿宋_GBK"/>
          <w:sz w:val="33"/>
          <w:szCs w:val="33"/>
          <w:lang w:eastAsia="zh-CN"/>
        </w:rPr>
        <w:t>人员增加</w:t>
      </w:r>
      <w:r>
        <w:rPr>
          <w:rFonts w:hint="eastAsia" w:ascii="方正仿宋_GBK" w:hAnsi="方正仿宋_GBK" w:eastAsia="方正仿宋_GBK" w:cs="方正仿宋_GBK"/>
          <w:sz w:val="33"/>
          <w:szCs w:val="33"/>
        </w:rPr>
        <w:t>。</w:t>
      </w:r>
    </w:p>
    <w:p>
      <w:pPr>
        <w:spacing w:line="600" w:lineRule="exact"/>
        <w:ind w:firstLine="640" w:firstLineChars="200"/>
        <w:jc w:val="center"/>
        <w:rPr>
          <w:rFonts w:ascii="仿宋_GB2312" w:eastAsia="仿宋_GB2312"/>
          <w:sz w:val="32"/>
          <w:szCs w:val="32"/>
        </w:rPr>
      </w:pPr>
      <w:r>
        <w:rPr>
          <w:rFonts w:hint="eastAsia" w:ascii="仿宋" w:hAnsi="仿宋" w:eastAsia="仿宋"/>
          <w:sz w:val="32"/>
          <w:szCs w:val="32"/>
        </w:rPr>
        <w:t>收、支决算总计变动情况图</w:t>
      </w:r>
    </w:p>
    <w:p>
      <w:pPr>
        <w:rPr>
          <w:rFonts w:ascii="仿宋_GB2312" w:eastAsia="仿宋_GB2312"/>
          <w:sz w:val="32"/>
          <w:szCs w:val="32"/>
        </w:rPr>
      </w:pPr>
      <w:r>
        <w:drawing>
          <wp:inline distT="0" distB="0" distL="0" distR="0">
            <wp:extent cx="5180965" cy="3643630"/>
            <wp:effectExtent l="4445" t="4445" r="15240" b="9525"/>
            <wp:docPr id="17"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
      <w:pPr>
        <w:pStyle w:val="26"/>
        <w:numPr>
          <w:ilvl w:val="0"/>
          <w:numId w:val="3"/>
        </w:numPr>
        <w:spacing w:line="600" w:lineRule="exact"/>
        <w:ind w:firstLineChars="0"/>
        <w:outlineLvl w:val="1"/>
        <w:rPr>
          <w:rStyle w:val="28"/>
          <w:rFonts w:hint="eastAsia" w:ascii="方正黑体_GBK" w:hAnsi="方正黑体_GBK" w:eastAsia="方正黑体_GBK" w:cs="方正黑体_GBK"/>
          <w:b w:val="0"/>
          <w:sz w:val="33"/>
          <w:szCs w:val="33"/>
        </w:rPr>
      </w:pPr>
      <w:bookmarkStart w:id="20" w:name="_Toc15396604"/>
      <w:bookmarkStart w:id="21" w:name="_Toc15377206"/>
      <w:r>
        <w:rPr>
          <w:rFonts w:hint="eastAsia" w:ascii="方正黑体_GBK" w:hAnsi="方正黑体_GBK" w:eastAsia="方正黑体_GBK" w:cs="方正黑体_GBK"/>
          <w:sz w:val="33"/>
          <w:szCs w:val="33"/>
        </w:rPr>
        <w:t>收</w:t>
      </w:r>
      <w:r>
        <w:rPr>
          <w:rStyle w:val="28"/>
          <w:rFonts w:hint="eastAsia" w:ascii="方正黑体_GBK" w:hAnsi="方正黑体_GBK" w:eastAsia="方正黑体_GBK" w:cs="方正黑体_GBK"/>
          <w:b w:val="0"/>
          <w:sz w:val="33"/>
          <w:szCs w:val="33"/>
        </w:rPr>
        <w:t>入决算情况说明</w:t>
      </w:r>
      <w:bookmarkEnd w:id="20"/>
      <w:bookmarkEnd w:id="21"/>
    </w:p>
    <w:p>
      <w:pPr>
        <w:spacing w:line="600" w:lineRule="exact"/>
        <w:ind w:firstLine="660" w:firstLineChars="200"/>
        <w:jc w:val="left"/>
        <w:outlineLvl w:val="1"/>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2023年度本年收入合计303.64万元，其中：一般公共预算财政拨款收入303.64万元，占100%；政府性基金预算财政拨款收入0万元，占0%；国有资本经营预算财政拨款收入0万元，占0%；上级补助收入0万元，占0%；事业收入0万元，占0%；经营收入0万元，占0%；附属单位上缴收入0万元，占0%；其他收入0万元，占0%。</w:t>
      </w:r>
    </w:p>
    <w:p>
      <w:pPr>
        <w:spacing w:line="600" w:lineRule="exact"/>
        <w:ind w:firstLine="640" w:firstLineChars="200"/>
        <w:jc w:val="center"/>
        <w:rPr>
          <w:rFonts w:hint="eastAsia" w:ascii="仿宋_GB2312" w:eastAsia="仿宋_GB2312"/>
          <w:sz w:val="32"/>
          <w:szCs w:val="32"/>
          <w:lang w:val="en-US" w:eastAsia="zh-CN"/>
        </w:rPr>
      </w:pPr>
      <w:r>
        <w:rPr>
          <w:rFonts w:hint="eastAsia" w:ascii="仿宋" w:hAnsi="仿宋" w:eastAsia="仿宋"/>
          <w:sz w:val="32"/>
          <w:szCs w:val="32"/>
        </w:rPr>
        <w:t>收入决算结构图</w:t>
      </w:r>
    </w:p>
    <w:p>
      <w:pPr>
        <w:pStyle w:val="2"/>
        <w:rPr>
          <w:rFonts w:hint="default"/>
          <w:lang w:val="en-US" w:eastAsia="zh-CN"/>
        </w:rPr>
      </w:pPr>
      <w:r>
        <w:drawing>
          <wp:inline distT="0" distB="0" distL="0" distR="0">
            <wp:extent cx="4872355" cy="2620010"/>
            <wp:effectExtent l="4445" t="5080" r="19050" b="2286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26"/>
        <w:numPr>
          <w:ilvl w:val="0"/>
          <w:numId w:val="3"/>
        </w:numPr>
        <w:spacing w:line="600" w:lineRule="exact"/>
        <w:ind w:firstLineChars="0"/>
        <w:outlineLvl w:val="1"/>
        <w:rPr>
          <w:rStyle w:val="28"/>
          <w:rFonts w:hint="eastAsia" w:ascii="方正黑体_GBK" w:hAnsi="方正黑体_GBK" w:eastAsia="方正黑体_GBK" w:cs="方正黑体_GBK"/>
          <w:b w:val="0"/>
          <w:sz w:val="33"/>
          <w:szCs w:val="33"/>
        </w:rPr>
      </w:pPr>
      <w:bookmarkStart w:id="22" w:name="_Toc15396605"/>
      <w:bookmarkStart w:id="23" w:name="_Toc15377207"/>
      <w:r>
        <w:rPr>
          <w:rFonts w:hint="eastAsia" w:ascii="方正黑体_GBK" w:hAnsi="方正黑体_GBK" w:eastAsia="方正黑体_GBK" w:cs="方正黑体_GBK"/>
          <w:sz w:val="33"/>
          <w:szCs w:val="33"/>
        </w:rPr>
        <w:t>支</w:t>
      </w:r>
      <w:r>
        <w:rPr>
          <w:rStyle w:val="28"/>
          <w:rFonts w:hint="eastAsia" w:ascii="方正黑体_GBK" w:hAnsi="方正黑体_GBK" w:eastAsia="方正黑体_GBK" w:cs="方正黑体_GBK"/>
          <w:b w:val="0"/>
          <w:sz w:val="33"/>
          <w:szCs w:val="33"/>
        </w:rPr>
        <w:t>出决算情况说明</w:t>
      </w:r>
      <w:bookmarkEnd w:id="22"/>
      <w:bookmarkEnd w:id="23"/>
    </w:p>
    <w:p>
      <w:pPr>
        <w:spacing w:line="600" w:lineRule="exact"/>
        <w:ind w:firstLine="660" w:firstLineChars="200"/>
        <w:outlineLvl w:val="1"/>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2023年度本年支出合计303.64万元，其中：基本支出297.64万元，占98.02%；项目支出6万元，占1.97%；上缴上级支出0万元，占0%；经营支出0万元，占0%；对附属单位补助支出0万元，占0%。</w:t>
      </w:r>
    </w:p>
    <w:p>
      <w:pPr>
        <w:spacing w:line="600" w:lineRule="exact"/>
        <w:ind w:firstLine="640" w:firstLineChars="200"/>
        <w:jc w:val="center"/>
        <w:rPr>
          <w:rFonts w:ascii="仿宋_GB2312" w:eastAsia="仿宋_GB2312"/>
          <w:sz w:val="32"/>
          <w:szCs w:val="32"/>
        </w:rPr>
      </w:pPr>
      <w:r>
        <w:rPr>
          <w:rFonts w:hint="eastAsia" w:ascii="仿宋" w:hAnsi="仿宋" w:eastAsia="仿宋"/>
          <w:sz w:val="32"/>
          <w:szCs w:val="32"/>
        </w:rPr>
        <w:t>支出决算结构图</w:t>
      </w:r>
    </w:p>
    <w:p>
      <w:pPr>
        <w:pStyle w:val="6"/>
        <w:spacing w:before="93"/>
      </w:pPr>
      <w:r>
        <w:drawing>
          <wp:inline distT="0" distB="0" distL="0" distR="0">
            <wp:extent cx="4969510" cy="2228850"/>
            <wp:effectExtent l="5080" t="4445" r="16510" b="14605"/>
            <wp:docPr id="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
      <w:pPr>
        <w:spacing w:line="600" w:lineRule="exact"/>
        <w:ind w:firstLine="660" w:firstLineChars="200"/>
        <w:outlineLvl w:val="1"/>
        <w:rPr>
          <w:rStyle w:val="28"/>
          <w:rFonts w:hint="eastAsia" w:ascii="方正黑体_GBK" w:hAnsi="方正黑体_GBK" w:eastAsia="方正黑体_GBK" w:cs="方正黑体_GBK"/>
          <w:b w:val="0"/>
          <w:sz w:val="33"/>
          <w:szCs w:val="33"/>
        </w:rPr>
      </w:pPr>
      <w:bookmarkStart w:id="24" w:name="_Toc15396606"/>
      <w:bookmarkStart w:id="25" w:name="_Toc15377208"/>
      <w:r>
        <w:rPr>
          <w:rFonts w:hint="eastAsia" w:ascii="方正黑体_GBK" w:hAnsi="方正黑体_GBK" w:eastAsia="方正黑体_GBK" w:cs="方正黑体_GBK"/>
          <w:sz w:val="33"/>
          <w:szCs w:val="33"/>
        </w:rPr>
        <w:t>四、财</w:t>
      </w:r>
      <w:r>
        <w:rPr>
          <w:rStyle w:val="28"/>
          <w:rFonts w:hint="eastAsia" w:ascii="方正黑体_GBK" w:hAnsi="方正黑体_GBK" w:eastAsia="方正黑体_GBK" w:cs="方正黑体_GBK"/>
          <w:b w:val="0"/>
          <w:sz w:val="33"/>
          <w:szCs w:val="33"/>
        </w:rPr>
        <w:t>政拨款收入支出决算总体情况说明</w:t>
      </w:r>
      <w:bookmarkEnd w:id="24"/>
      <w:bookmarkEnd w:id="25"/>
    </w:p>
    <w:p>
      <w:pPr>
        <w:spacing w:line="600" w:lineRule="exact"/>
        <w:ind w:firstLine="640"/>
        <w:rPr>
          <w:rFonts w:hint="eastAsia" w:ascii="方正仿宋_GBK" w:hAnsi="方正仿宋_GBK" w:eastAsia="方正仿宋_GBK" w:cs="方正仿宋_GBK"/>
          <w:sz w:val="33"/>
          <w:szCs w:val="33"/>
          <w:lang w:eastAsia="zh-CN"/>
        </w:rPr>
      </w:pPr>
      <w:r>
        <w:rPr>
          <w:rFonts w:hint="eastAsia" w:ascii="方正仿宋_GBK" w:hAnsi="方正仿宋_GBK" w:eastAsia="方正仿宋_GBK" w:cs="方正仿宋_GBK"/>
          <w:sz w:val="33"/>
          <w:szCs w:val="33"/>
        </w:rPr>
        <w:t>2023年度财政拨款收、支总计均为303.64万元。与2022年度相比，财政拨款收、支总计各增加</w:t>
      </w:r>
      <w:r>
        <w:rPr>
          <w:rFonts w:hint="eastAsia" w:ascii="方正仿宋_GBK" w:hAnsi="方正仿宋_GBK" w:eastAsia="方正仿宋_GBK" w:cs="方正仿宋_GBK"/>
          <w:sz w:val="33"/>
          <w:szCs w:val="33"/>
          <w:lang w:val="en-US" w:eastAsia="zh-CN"/>
        </w:rPr>
        <w:t>17.72</w:t>
      </w:r>
      <w:r>
        <w:rPr>
          <w:rFonts w:hint="eastAsia" w:ascii="方正仿宋_GBK" w:hAnsi="方正仿宋_GBK" w:eastAsia="方正仿宋_GBK" w:cs="方正仿宋_GBK"/>
          <w:sz w:val="33"/>
          <w:szCs w:val="33"/>
        </w:rPr>
        <w:t>万元，增长</w:t>
      </w:r>
      <w:r>
        <w:rPr>
          <w:rFonts w:hint="eastAsia" w:ascii="方正仿宋_GBK" w:hAnsi="方正仿宋_GBK" w:eastAsia="方正仿宋_GBK" w:cs="方正仿宋_GBK"/>
          <w:sz w:val="33"/>
          <w:szCs w:val="33"/>
          <w:lang w:val="en-US" w:eastAsia="zh-CN"/>
        </w:rPr>
        <w:t>6.19</w:t>
      </w:r>
      <w:r>
        <w:rPr>
          <w:rFonts w:hint="eastAsia" w:ascii="方正仿宋_GBK" w:hAnsi="方正仿宋_GBK" w:eastAsia="方正仿宋_GBK" w:cs="方正仿宋_GBK"/>
          <w:sz w:val="33"/>
          <w:szCs w:val="33"/>
        </w:rPr>
        <w:t>%。主要变动原因是</w:t>
      </w:r>
      <w:r>
        <w:rPr>
          <w:rFonts w:hint="eastAsia" w:ascii="方正仿宋_GBK" w:hAnsi="方正仿宋_GBK" w:eastAsia="方正仿宋_GBK" w:cs="方正仿宋_GBK"/>
          <w:sz w:val="33"/>
          <w:szCs w:val="33"/>
          <w:lang w:eastAsia="zh-CN"/>
        </w:rPr>
        <w:t>人员增加。</w:t>
      </w:r>
    </w:p>
    <w:p>
      <w:pPr>
        <w:spacing w:line="600" w:lineRule="exact"/>
        <w:ind w:firstLine="640" w:firstLineChars="200"/>
        <w:jc w:val="center"/>
        <w:rPr>
          <w:rFonts w:hint="eastAsia" w:ascii="仿宋" w:hAnsi="仿宋" w:eastAsia="仿宋"/>
          <w:b/>
          <w:sz w:val="32"/>
          <w:szCs w:val="32"/>
          <w:lang w:eastAsia="zh-CN"/>
        </w:rPr>
      </w:pPr>
      <w:r>
        <w:rPr>
          <w:rFonts w:hint="eastAsia" w:ascii="仿宋" w:hAnsi="仿宋" w:eastAsia="仿宋"/>
          <w:sz w:val="32"/>
          <w:szCs w:val="32"/>
        </w:rPr>
        <w:t>财政拨款收、支决算总计变动情况</w:t>
      </w:r>
      <w:r>
        <w:rPr>
          <w:rFonts w:hint="eastAsia" w:ascii="仿宋" w:hAnsi="仿宋" w:eastAsia="仿宋"/>
          <w:sz w:val="32"/>
          <w:szCs w:val="32"/>
          <w:lang w:eastAsia="zh-CN"/>
        </w:rPr>
        <w:t>图</w:t>
      </w:r>
    </w:p>
    <w:p>
      <w:pPr>
        <w:pStyle w:val="2"/>
        <w:rPr>
          <w:rFonts w:ascii="仿宋" w:hAnsi="仿宋" w:eastAsia="仿宋"/>
          <w:b/>
          <w:sz w:val="32"/>
          <w:szCs w:val="32"/>
        </w:rPr>
      </w:pPr>
      <w:r>
        <w:drawing>
          <wp:inline distT="0" distB="0" distL="0" distR="0">
            <wp:extent cx="5183505" cy="3607435"/>
            <wp:effectExtent l="4445" t="4445" r="12700" b="7620"/>
            <wp:docPr id="4"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
      <w:pPr>
        <w:spacing w:line="600" w:lineRule="exact"/>
        <w:ind w:firstLine="660" w:firstLineChars="200"/>
        <w:outlineLvl w:val="1"/>
        <w:rPr>
          <w:rStyle w:val="28"/>
          <w:rFonts w:hint="eastAsia" w:ascii="方正黑体_GBK" w:hAnsi="方正黑体_GBK" w:eastAsia="方正黑体_GBK" w:cs="方正黑体_GBK"/>
          <w:b w:val="0"/>
          <w:sz w:val="33"/>
          <w:szCs w:val="33"/>
        </w:rPr>
      </w:pPr>
      <w:bookmarkStart w:id="26" w:name="_Toc15377209"/>
      <w:bookmarkStart w:id="27" w:name="_Toc15396607"/>
      <w:r>
        <w:rPr>
          <w:rFonts w:hint="eastAsia" w:ascii="方正黑体_GBK" w:hAnsi="方正黑体_GBK" w:eastAsia="方正黑体_GBK" w:cs="方正黑体_GBK"/>
          <w:sz w:val="33"/>
          <w:szCs w:val="33"/>
        </w:rPr>
        <w:t>五、</w:t>
      </w:r>
      <w:r>
        <w:rPr>
          <w:rFonts w:hint="eastAsia" w:ascii="方正黑体_GBK" w:hAnsi="方正黑体_GBK" w:eastAsia="方正黑体_GBK" w:cs="方正黑体_GBK"/>
          <w:b/>
          <w:sz w:val="33"/>
          <w:szCs w:val="33"/>
        </w:rPr>
        <w:t>一</w:t>
      </w:r>
      <w:r>
        <w:rPr>
          <w:rStyle w:val="28"/>
          <w:rFonts w:hint="eastAsia" w:ascii="方正黑体_GBK" w:hAnsi="方正黑体_GBK" w:eastAsia="方正黑体_GBK" w:cs="方正黑体_GBK"/>
          <w:b w:val="0"/>
          <w:sz w:val="33"/>
          <w:szCs w:val="33"/>
        </w:rPr>
        <w:t>般公共预算财政拨款支出决算情况说明</w:t>
      </w:r>
      <w:bookmarkEnd w:id="26"/>
      <w:bookmarkEnd w:id="27"/>
    </w:p>
    <w:p>
      <w:pPr>
        <w:spacing w:line="600" w:lineRule="exact"/>
        <w:ind w:firstLine="643" w:firstLineChars="200"/>
        <w:outlineLvl w:val="2"/>
        <w:rPr>
          <w:rFonts w:hint="eastAsia" w:ascii="方正楷体_GBK" w:hAnsi="方正楷体_GBK" w:eastAsia="方正楷体_GBK" w:cs="方正楷体_GBK"/>
          <w:b/>
          <w:sz w:val="32"/>
          <w:szCs w:val="32"/>
        </w:rPr>
      </w:pPr>
      <w:bookmarkStart w:id="28" w:name="_Toc15377210"/>
      <w:r>
        <w:rPr>
          <w:rFonts w:hint="eastAsia" w:ascii="方正楷体_GBK" w:hAnsi="方正楷体_GBK" w:eastAsia="方正楷体_GBK" w:cs="方正楷体_GBK"/>
          <w:b/>
          <w:sz w:val="32"/>
          <w:szCs w:val="32"/>
        </w:rPr>
        <w:t>（一）一般公共预算财政拨款支出决算总体情况</w:t>
      </w:r>
      <w:bookmarkEnd w:id="28"/>
    </w:p>
    <w:p>
      <w:pPr>
        <w:spacing w:line="600" w:lineRule="exact"/>
        <w:ind w:firstLine="660" w:firstLineChars="200"/>
        <w:rPr>
          <w:rFonts w:hint="eastAsia" w:ascii="方正仿宋_GBK" w:hAnsi="方正仿宋_GBK" w:eastAsia="方正仿宋_GBK" w:cs="方正仿宋_GBK"/>
          <w:sz w:val="33"/>
          <w:szCs w:val="33"/>
          <w:lang w:eastAsia="zh-CN"/>
        </w:rPr>
      </w:pPr>
      <w:r>
        <w:rPr>
          <w:rFonts w:hint="eastAsia" w:ascii="方正仿宋_GBK" w:hAnsi="方正仿宋_GBK" w:eastAsia="方正仿宋_GBK" w:cs="方正仿宋_GBK"/>
          <w:sz w:val="33"/>
          <w:szCs w:val="33"/>
        </w:rPr>
        <w:t>2023年度一般公共预算财政拨款支出303.64万元，占本年支出合计的100%。与2022年度相比，一般公共预算财政拨款支出增加</w:t>
      </w:r>
      <w:r>
        <w:rPr>
          <w:rFonts w:hint="eastAsia" w:ascii="方正仿宋_GBK" w:hAnsi="方正仿宋_GBK" w:eastAsia="方正仿宋_GBK" w:cs="方正仿宋_GBK"/>
          <w:sz w:val="33"/>
          <w:szCs w:val="33"/>
          <w:lang w:val="en-US" w:eastAsia="zh-CN"/>
        </w:rPr>
        <w:t>17.72</w:t>
      </w:r>
      <w:r>
        <w:rPr>
          <w:rFonts w:hint="eastAsia" w:ascii="方正仿宋_GBK" w:hAnsi="方正仿宋_GBK" w:eastAsia="方正仿宋_GBK" w:cs="方正仿宋_GBK"/>
          <w:sz w:val="33"/>
          <w:szCs w:val="33"/>
        </w:rPr>
        <w:t>万元，增长</w:t>
      </w:r>
      <w:r>
        <w:rPr>
          <w:rFonts w:hint="eastAsia" w:ascii="方正仿宋_GBK" w:hAnsi="方正仿宋_GBK" w:eastAsia="方正仿宋_GBK" w:cs="方正仿宋_GBK"/>
          <w:sz w:val="33"/>
          <w:szCs w:val="33"/>
          <w:lang w:val="en-US" w:eastAsia="zh-CN"/>
        </w:rPr>
        <w:t>6.19</w:t>
      </w:r>
      <w:r>
        <w:rPr>
          <w:rFonts w:hint="eastAsia" w:ascii="方正仿宋_GBK" w:hAnsi="方正仿宋_GBK" w:eastAsia="方正仿宋_GBK" w:cs="方正仿宋_GBK"/>
          <w:sz w:val="33"/>
          <w:szCs w:val="33"/>
        </w:rPr>
        <w:t>%。主要变动原因</w:t>
      </w:r>
      <w:r>
        <w:rPr>
          <w:rFonts w:hint="eastAsia" w:ascii="方正仿宋_GBK" w:hAnsi="方正仿宋_GBK" w:eastAsia="方正仿宋_GBK" w:cs="方正仿宋_GBK"/>
          <w:sz w:val="33"/>
          <w:szCs w:val="33"/>
          <w:lang w:eastAsia="zh-CN"/>
        </w:rPr>
        <w:t>人员增加。</w:t>
      </w:r>
    </w:p>
    <w:p>
      <w:pPr>
        <w:rPr>
          <w:rFonts w:hint="eastAsia"/>
          <w:lang w:eastAsia="zh-CN"/>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一般公共预算财政拨款支出决算变动情况图</w:t>
      </w:r>
    </w:p>
    <w:p>
      <w:pPr>
        <w:pStyle w:val="2"/>
      </w:pPr>
      <w:r>
        <w:drawing>
          <wp:inline distT="0" distB="0" distL="0" distR="0">
            <wp:extent cx="4923155" cy="2901315"/>
            <wp:effectExtent l="4445" t="4445" r="6350" b="8890"/>
            <wp:docPr id="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spacing w:line="600" w:lineRule="exact"/>
        <w:ind w:firstLine="663" w:firstLineChars="200"/>
        <w:outlineLvl w:val="2"/>
        <w:rPr>
          <w:rFonts w:hint="eastAsia" w:ascii="方正楷体_GBK" w:hAnsi="方正楷体_GBK" w:eastAsia="方正楷体_GBK" w:cs="方正楷体_GBK"/>
          <w:b/>
          <w:sz w:val="33"/>
          <w:szCs w:val="33"/>
        </w:rPr>
      </w:pPr>
      <w:bookmarkStart w:id="29" w:name="_Toc15377211"/>
      <w:r>
        <w:rPr>
          <w:rFonts w:hint="eastAsia" w:ascii="方正楷体_GBK" w:hAnsi="方正楷体_GBK" w:eastAsia="方正楷体_GBK" w:cs="方正楷体_GBK"/>
          <w:b/>
          <w:sz w:val="33"/>
          <w:szCs w:val="33"/>
        </w:rPr>
        <w:t>（二）一般公共预算财政拨款支出决算结构情况</w:t>
      </w:r>
      <w:bookmarkEnd w:id="29"/>
    </w:p>
    <w:p>
      <w:pPr>
        <w:spacing w:line="600" w:lineRule="exact"/>
        <w:ind w:firstLine="64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2023年度一般公共预算财政拨款支出303.64万元，主要用于以下方面:</w:t>
      </w:r>
      <w:r>
        <w:rPr>
          <w:rFonts w:hint="eastAsia" w:ascii="方正仿宋_GBK" w:hAnsi="方正仿宋_GBK" w:eastAsia="方正仿宋_GBK" w:cs="方正仿宋_GBK"/>
          <w:b/>
          <w:sz w:val="33"/>
          <w:szCs w:val="33"/>
        </w:rPr>
        <w:t>一般公共服务</w:t>
      </w:r>
      <w:r>
        <w:rPr>
          <w:rFonts w:hint="eastAsia" w:ascii="方正仿宋_GBK" w:hAnsi="方正仿宋_GBK" w:eastAsia="方正仿宋_GBK" w:cs="方正仿宋_GBK"/>
          <w:b/>
          <w:bCs/>
          <w:sz w:val="33"/>
          <w:szCs w:val="33"/>
        </w:rPr>
        <w:t>支出</w:t>
      </w:r>
      <w:r>
        <w:rPr>
          <w:rFonts w:hint="eastAsia" w:ascii="方正仿宋_GBK" w:hAnsi="方正仿宋_GBK" w:eastAsia="方正仿宋_GBK" w:cs="方正仿宋_GBK"/>
          <w:sz w:val="33"/>
          <w:szCs w:val="33"/>
          <w:lang w:val="en-US" w:eastAsia="zh-CN"/>
        </w:rPr>
        <w:t>221.59</w:t>
      </w:r>
      <w:r>
        <w:rPr>
          <w:rFonts w:hint="eastAsia" w:ascii="方正仿宋_GBK" w:hAnsi="方正仿宋_GBK" w:eastAsia="方正仿宋_GBK" w:cs="方正仿宋_GBK"/>
          <w:sz w:val="33"/>
          <w:szCs w:val="33"/>
        </w:rPr>
        <w:t>万元，占</w:t>
      </w:r>
      <w:r>
        <w:rPr>
          <w:rFonts w:hint="eastAsia" w:ascii="方正仿宋_GBK" w:hAnsi="方正仿宋_GBK" w:eastAsia="方正仿宋_GBK" w:cs="方正仿宋_GBK"/>
          <w:sz w:val="33"/>
          <w:szCs w:val="33"/>
          <w:lang w:val="en-US" w:eastAsia="zh-CN"/>
        </w:rPr>
        <w:t>72.98</w:t>
      </w:r>
      <w:r>
        <w:rPr>
          <w:rFonts w:hint="eastAsia" w:ascii="方正仿宋_GBK" w:hAnsi="方正仿宋_GBK" w:eastAsia="方正仿宋_GBK" w:cs="方正仿宋_GBK"/>
          <w:sz w:val="33"/>
          <w:szCs w:val="33"/>
        </w:rPr>
        <w:t>%；</w:t>
      </w:r>
      <w:r>
        <w:rPr>
          <w:rFonts w:hint="eastAsia" w:ascii="方正仿宋_GBK" w:hAnsi="方正仿宋_GBK" w:eastAsia="方正仿宋_GBK" w:cs="方正仿宋_GBK"/>
          <w:b/>
          <w:sz w:val="33"/>
          <w:szCs w:val="33"/>
        </w:rPr>
        <w:t>社会保障和就业</w:t>
      </w:r>
      <w:r>
        <w:rPr>
          <w:rFonts w:hint="eastAsia" w:ascii="方正仿宋_GBK" w:hAnsi="方正仿宋_GBK" w:eastAsia="方正仿宋_GBK" w:cs="方正仿宋_GBK"/>
          <w:b/>
          <w:bCs/>
          <w:sz w:val="33"/>
          <w:szCs w:val="33"/>
        </w:rPr>
        <w:t>支出</w:t>
      </w:r>
      <w:r>
        <w:rPr>
          <w:rFonts w:hint="eastAsia" w:ascii="方正仿宋_GBK" w:hAnsi="方正仿宋_GBK" w:eastAsia="方正仿宋_GBK" w:cs="方正仿宋_GBK"/>
          <w:sz w:val="33"/>
          <w:szCs w:val="33"/>
          <w:lang w:val="en-US" w:eastAsia="zh-CN"/>
        </w:rPr>
        <w:t>39.79</w:t>
      </w:r>
      <w:r>
        <w:rPr>
          <w:rFonts w:hint="eastAsia" w:ascii="方正仿宋_GBK" w:hAnsi="方正仿宋_GBK" w:eastAsia="方正仿宋_GBK" w:cs="方正仿宋_GBK"/>
          <w:sz w:val="33"/>
          <w:szCs w:val="33"/>
        </w:rPr>
        <w:t>万元，占</w:t>
      </w:r>
      <w:r>
        <w:rPr>
          <w:rFonts w:hint="eastAsia" w:ascii="方正仿宋_GBK" w:hAnsi="方正仿宋_GBK" w:eastAsia="方正仿宋_GBK" w:cs="方正仿宋_GBK"/>
          <w:sz w:val="33"/>
          <w:szCs w:val="33"/>
          <w:lang w:val="en-US" w:eastAsia="zh-CN"/>
        </w:rPr>
        <w:t>13.1</w:t>
      </w:r>
      <w:r>
        <w:rPr>
          <w:rFonts w:hint="eastAsia" w:ascii="方正仿宋_GBK" w:hAnsi="方正仿宋_GBK" w:eastAsia="方正仿宋_GBK" w:cs="方正仿宋_GBK"/>
          <w:sz w:val="33"/>
          <w:szCs w:val="33"/>
        </w:rPr>
        <w:t>%；</w:t>
      </w:r>
      <w:r>
        <w:rPr>
          <w:rFonts w:hint="eastAsia" w:ascii="方正仿宋_GBK" w:hAnsi="方正仿宋_GBK" w:eastAsia="方正仿宋_GBK" w:cs="方正仿宋_GBK"/>
          <w:b/>
          <w:bCs/>
          <w:sz w:val="33"/>
          <w:szCs w:val="33"/>
        </w:rPr>
        <w:t>卫生健康支出</w:t>
      </w:r>
      <w:r>
        <w:rPr>
          <w:rFonts w:hint="eastAsia" w:ascii="方正仿宋_GBK" w:hAnsi="方正仿宋_GBK" w:eastAsia="方正仿宋_GBK" w:cs="方正仿宋_GBK"/>
          <w:sz w:val="33"/>
          <w:szCs w:val="33"/>
          <w:lang w:val="en-US" w:eastAsia="zh-CN"/>
        </w:rPr>
        <w:t>22.22</w:t>
      </w:r>
      <w:r>
        <w:rPr>
          <w:rFonts w:hint="eastAsia" w:ascii="方正仿宋_GBK" w:hAnsi="方正仿宋_GBK" w:eastAsia="方正仿宋_GBK" w:cs="方正仿宋_GBK"/>
          <w:sz w:val="33"/>
          <w:szCs w:val="33"/>
        </w:rPr>
        <w:t>万元，占</w:t>
      </w:r>
      <w:r>
        <w:rPr>
          <w:rFonts w:hint="eastAsia" w:ascii="方正仿宋_GBK" w:hAnsi="方正仿宋_GBK" w:eastAsia="方正仿宋_GBK" w:cs="方正仿宋_GBK"/>
          <w:sz w:val="33"/>
          <w:szCs w:val="33"/>
          <w:lang w:val="en-US" w:eastAsia="zh-CN"/>
        </w:rPr>
        <w:t>7.32</w:t>
      </w:r>
      <w:r>
        <w:rPr>
          <w:rFonts w:hint="eastAsia" w:ascii="方正仿宋_GBK" w:hAnsi="方正仿宋_GBK" w:eastAsia="方正仿宋_GBK" w:cs="方正仿宋_GBK"/>
          <w:sz w:val="33"/>
          <w:szCs w:val="33"/>
        </w:rPr>
        <w:t>%；</w:t>
      </w:r>
      <w:r>
        <w:rPr>
          <w:rFonts w:hint="eastAsia" w:ascii="方正仿宋_GBK" w:hAnsi="方正仿宋_GBK" w:eastAsia="方正仿宋_GBK" w:cs="方正仿宋_GBK"/>
          <w:b/>
          <w:bCs/>
          <w:sz w:val="33"/>
          <w:szCs w:val="33"/>
        </w:rPr>
        <w:t>住房保障支出</w:t>
      </w:r>
      <w:r>
        <w:rPr>
          <w:rFonts w:hint="eastAsia" w:ascii="方正仿宋_GBK" w:hAnsi="方正仿宋_GBK" w:eastAsia="方正仿宋_GBK" w:cs="方正仿宋_GBK"/>
          <w:sz w:val="33"/>
          <w:szCs w:val="33"/>
          <w:lang w:val="en-US" w:eastAsia="zh-CN"/>
        </w:rPr>
        <w:t>20.04</w:t>
      </w:r>
      <w:r>
        <w:rPr>
          <w:rFonts w:hint="eastAsia" w:ascii="方正仿宋_GBK" w:hAnsi="方正仿宋_GBK" w:eastAsia="方正仿宋_GBK" w:cs="方正仿宋_GBK"/>
          <w:sz w:val="33"/>
          <w:szCs w:val="33"/>
        </w:rPr>
        <w:t>万元，占</w:t>
      </w:r>
      <w:r>
        <w:rPr>
          <w:rFonts w:hint="eastAsia" w:ascii="方正仿宋_GBK" w:hAnsi="方正仿宋_GBK" w:eastAsia="方正仿宋_GBK" w:cs="方正仿宋_GBK"/>
          <w:sz w:val="33"/>
          <w:szCs w:val="33"/>
          <w:lang w:val="en-US" w:eastAsia="zh-CN"/>
        </w:rPr>
        <w:t>6.6</w:t>
      </w:r>
      <w:r>
        <w:rPr>
          <w:rFonts w:hint="eastAsia" w:ascii="方正仿宋_GBK" w:hAnsi="方正仿宋_GBK" w:eastAsia="方正仿宋_GBK" w:cs="方正仿宋_GBK"/>
          <w:sz w:val="33"/>
          <w:szCs w:val="33"/>
        </w:rPr>
        <w:t>%。</w:t>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一般公共预算财政拨款支出决算结构图</w:t>
      </w:r>
    </w:p>
    <w:p>
      <w:r>
        <w:drawing>
          <wp:inline distT="0" distB="0" distL="0" distR="0">
            <wp:extent cx="5195570" cy="2770505"/>
            <wp:effectExtent l="4445" t="4445" r="19685" b="6350"/>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spacing w:line="600" w:lineRule="exact"/>
        <w:ind w:firstLine="663" w:firstLineChars="200"/>
        <w:outlineLvl w:val="2"/>
        <w:rPr>
          <w:rFonts w:hint="eastAsia" w:ascii="方正楷体_GBK" w:hAnsi="方正楷体_GBK" w:eastAsia="方正楷体_GBK" w:cs="方正楷体_GBK"/>
          <w:b/>
          <w:sz w:val="33"/>
          <w:szCs w:val="33"/>
        </w:rPr>
      </w:pPr>
      <w:bookmarkStart w:id="30" w:name="_Toc15377212"/>
      <w:r>
        <w:rPr>
          <w:rFonts w:hint="eastAsia" w:ascii="方正楷体_GBK" w:hAnsi="方正楷体_GBK" w:eastAsia="方正楷体_GBK" w:cs="方正楷体_GBK"/>
          <w:b/>
          <w:sz w:val="33"/>
          <w:szCs w:val="33"/>
        </w:rPr>
        <w:t>（三）一般公共预算财政拨款支出决算具体情况</w:t>
      </w:r>
      <w:bookmarkEnd w:id="30"/>
    </w:p>
    <w:p>
      <w:pPr>
        <w:spacing w:line="600" w:lineRule="exact"/>
        <w:ind w:firstLine="663" w:firstLineChars="200"/>
        <w:outlineLvl w:val="2"/>
        <w:rPr>
          <w:rFonts w:hint="eastAsia" w:ascii="方正仿宋_GBK" w:hAnsi="方正仿宋_GBK" w:eastAsia="方正仿宋_GBK" w:cs="方正仿宋_GBK"/>
          <w:sz w:val="33"/>
          <w:szCs w:val="33"/>
        </w:rPr>
      </w:pPr>
      <w:bookmarkStart w:id="31" w:name="_Toc15377213"/>
      <w:bookmarkStart w:id="32" w:name="_Toc15378460"/>
      <w:bookmarkStart w:id="33" w:name="_Toc15377444"/>
      <w:r>
        <w:rPr>
          <w:rFonts w:hint="eastAsia" w:ascii="方正仿宋_GBK" w:hAnsi="方正仿宋_GBK" w:eastAsia="方正仿宋_GBK" w:cs="方正仿宋_GBK"/>
          <w:b/>
          <w:sz w:val="33"/>
          <w:szCs w:val="33"/>
        </w:rPr>
        <w:t>2023年度一般公共预算支出决算数为</w:t>
      </w:r>
      <w:r>
        <w:rPr>
          <w:rFonts w:hint="eastAsia" w:ascii="方正仿宋_GBK" w:hAnsi="方正仿宋_GBK" w:eastAsia="方正仿宋_GBK" w:cs="方正仿宋_GBK"/>
          <w:sz w:val="33"/>
          <w:szCs w:val="33"/>
        </w:rPr>
        <w:t>303.64</w:t>
      </w:r>
      <w:r>
        <w:rPr>
          <w:rFonts w:hint="eastAsia" w:ascii="方正仿宋_GBK" w:hAnsi="方正仿宋_GBK" w:eastAsia="方正仿宋_GBK" w:cs="方正仿宋_GBK"/>
          <w:sz w:val="33"/>
          <w:szCs w:val="33"/>
          <w:lang w:eastAsia="zh-CN"/>
        </w:rPr>
        <w:t>万元</w:t>
      </w:r>
      <w:r>
        <w:rPr>
          <w:rFonts w:hint="eastAsia" w:ascii="方正仿宋_GBK" w:hAnsi="方正仿宋_GBK" w:eastAsia="方正仿宋_GBK" w:cs="方正仿宋_GBK"/>
          <w:sz w:val="33"/>
          <w:szCs w:val="33"/>
        </w:rPr>
        <w:t>，</w:t>
      </w:r>
      <w:r>
        <w:rPr>
          <w:rStyle w:val="17"/>
          <w:rFonts w:hint="eastAsia" w:ascii="方正仿宋_GBK" w:hAnsi="方正仿宋_GBK" w:eastAsia="方正仿宋_GBK" w:cs="方正仿宋_GBK"/>
          <w:bCs/>
          <w:sz w:val="33"/>
          <w:szCs w:val="33"/>
        </w:rPr>
        <w:t>完成预算</w:t>
      </w:r>
      <w:r>
        <w:rPr>
          <w:rStyle w:val="17"/>
          <w:rFonts w:hint="eastAsia" w:ascii="方正仿宋_GBK" w:hAnsi="方正仿宋_GBK" w:eastAsia="方正仿宋_GBK" w:cs="方正仿宋_GBK"/>
          <w:bCs/>
          <w:sz w:val="33"/>
          <w:szCs w:val="33"/>
          <w:lang w:val="en-US" w:eastAsia="zh-CN"/>
        </w:rPr>
        <w:t>100</w:t>
      </w:r>
      <w:r>
        <w:rPr>
          <w:rStyle w:val="17"/>
          <w:rFonts w:hint="eastAsia" w:ascii="方正仿宋_GBK" w:hAnsi="方正仿宋_GBK" w:eastAsia="方正仿宋_GBK" w:cs="方正仿宋_GBK"/>
          <w:bCs/>
          <w:sz w:val="33"/>
          <w:szCs w:val="33"/>
        </w:rPr>
        <w:t>%。其中：</w:t>
      </w:r>
      <w:bookmarkEnd w:id="31"/>
      <w:bookmarkEnd w:id="32"/>
      <w:bookmarkEnd w:id="33"/>
    </w:p>
    <w:p>
      <w:pPr>
        <w:spacing w:line="600" w:lineRule="exact"/>
        <w:ind w:firstLine="663" w:firstLineChars="200"/>
        <w:rPr>
          <w:rStyle w:val="17"/>
          <w:rFonts w:hint="eastAsia" w:ascii="方正仿宋_GBK" w:hAnsi="方正仿宋_GBK" w:eastAsia="方正仿宋_GBK" w:cs="方正仿宋_GBK"/>
          <w:b w:val="0"/>
          <w:bCs/>
          <w:sz w:val="33"/>
          <w:szCs w:val="33"/>
        </w:rPr>
      </w:pPr>
      <w:r>
        <w:rPr>
          <w:rStyle w:val="17"/>
          <w:rFonts w:hint="eastAsia" w:ascii="方正仿宋_GBK" w:hAnsi="方正仿宋_GBK" w:eastAsia="方正仿宋_GBK" w:cs="方正仿宋_GBK"/>
          <w:bCs/>
          <w:sz w:val="33"/>
          <w:szCs w:val="33"/>
          <w:lang w:val="en-US" w:eastAsia="zh-CN"/>
        </w:rPr>
        <w:t>1.</w:t>
      </w:r>
      <w:r>
        <w:rPr>
          <w:rStyle w:val="17"/>
          <w:rFonts w:hint="eastAsia" w:ascii="方正仿宋_GBK" w:hAnsi="方正仿宋_GBK" w:eastAsia="方正仿宋_GBK" w:cs="方正仿宋_GBK"/>
          <w:bCs/>
          <w:sz w:val="33"/>
          <w:szCs w:val="33"/>
        </w:rPr>
        <w:t>一般公共服务（类）</w:t>
      </w:r>
      <w:r>
        <w:rPr>
          <w:rStyle w:val="17"/>
          <w:rFonts w:hint="eastAsia" w:ascii="方正仿宋_GBK" w:hAnsi="方正仿宋_GBK" w:eastAsia="方正仿宋_GBK" w:cs="方正仿宋_GBK"/>
          <w:bCs/>
          <w:sz w:val="33"/>
          <w:szCs w:val="33"/>
          <w:lang w:eastAsia="zh-CN"/>
        </w:rPr>
        <w:t>组织事物</w:t>
      </w:r>
      <w:r>
        <w:rPr>
          <w:rStyle w:val="17"/>
          <w:rFonts w:hint="eastAsia" w:ascii="方正仿宋_GBK" w:hAnsi="方正仿宋_GBK" w:eastAsia="方正仿宋_GBK" w:cs="方正仿宋_GBK"/>
          <w:bCs/>
          <w:sz w:val="33"/>
          <w:szCs w:val="33"/>
        </w:rPr>
        <w:t>（款）</w:t>
      </w:r>
      <w:r>
        <w:rPr>
          <w:rStyle w:val="17"/>
          <w:rFonts w:hint="eastAsia" w:ascii="方正仿宋_GBK" w:hAnsi="方正仿宋_GBK" w:eastAsia="方正仿宋_GBK" w:cs="方正仿宋_GBK"/>
          <w:bCs/>
          <w:sz w:val="33"/>
          <w:szCs w:val="33"/>
          <w:lang w:eastAsia="zh-CN"/>
        </w:rPr>
        <w:t>行政运行</w:t>
      </w:r>
      <w:r>
        <w:rPr>
          <w:rStyle w:val="17"/>
          <w:rFonts w:hint="eastAsia" w:ascii="方正仿宋_GBK" w:hAnsi="方正仿宋_GBK" w:eastAsia="方正仿宋_GBK" w:cs="方正仿宋_GBK"/>
          <w:bCs/>
          <w:sz w:val="33"/>
          <w:szCs w:val="33"/>
        </w:rPr>
        <w:t>（项）:</w:t>
      </w:r>
      <w:r>
        <w:rPr>
          <w:rStyle w:val="17"/>
          <w:rFonts w:hint="eastAsia" w:ascii="方正仿宋_GBK" w:hAnsi="方正仿宋_GBK" w:eastAsia="方正仿宋_GBK" w:cs="方正仿宋_GBK"/>
          <w:b w:val="0"/>
          <w:bCs/>
          <w:sz w:val="33"/>
          <w:szCs w:val="33"/>
        </w:rPr>
        <w:t xml:space="preserve"> 支出决算为</w:t>
      </w:r>
      <w:r>
        <w:rPr>
          <w:rStyle w:val="17"/>
          <w:rFonts w:hint="eastAsia" w:ascii="方正仿宋_GBK" w:hAnsi="方正仿宋_GBK" w:eastAsia="方正仿宋_GBK" w:cs="方正仿宋_GBK"/>
          <w:b w:val="0"/>
          <w:bCs/>
          <w:sz w:val="33"/>
          <w:szCs w:val="33"/>
          <w:lang w:val="en-US" w:eastAsia="zh-CN"/>
        </w:rPr>
        <w:t>162</w:t>
      </w:r>
      <w:r>
        <w:rPr>
          <w:rStyle w:val="17"/>
          <w:rFonts w:hint="eastAsia" w:ascii="方正仿宋_GBK" w:hAnsi="方正仿宋_GBK" w:eastAsia="方正仿宋_GBK" w:cs="方正仿宋_GBK"/>
          <w:b w:val="0"/>
          <w:bCs/>
          <w:sz w:val="33"/>
          <w:szCs w:val="33"/>
        </w:rPr>
        <w:t>万元，完成预算</w:t>
      </w:r>
      <w:r>
        <w:rPr>
          <w:rStyle w:val="17"/>
          <w:rFonts w:hint="eastAsia" w:ascii="方正仿宋_GBK" w:hAnsi="方正仿宋_GBK" w:eastAsia="方正仿宋_GBK" w:cs="方正仿宋_GBK"/>
          <w:b w:val="0"/>
          <w:bCs/>
          <w:sz w:val="33"/>
          <w:szCs w:val="33"/>
          <w:lang w:val="en-US" w:eastAsia="zh-CN"/>
        </w:rPr>
        <w:t>100</w:t>
      </w:r>
      <w:r>
        <w:rPr>
          <w:rStyle w:val="17"/>
          <w:rFonts w:hint="eastAsia" w:ascii="方正仿宋_GBK" w:hAnsi="方正仿宋_GBK" w:eastAsia="方正仿宋_GBK" w:cs="方正仿宋_GBK"/>
          <w:b w:val="0"/>
          <w:bCs/>
          <w:sz w:val="33"/>
          <w:szCs w:val="33"/>
        </w:rPr>
        <w:t>%。</w:t>
      </w:r>
    </w:p>
    <w:p>
      <w:pPr>
        <w:spacing w:line="600" w:lineRule="exact"/>
        <w:ind w:firstLine="663" w:firstLineChars="200"/>
        <w:rPr>
          <w:rFonts w:hint="eastAsia" w:ascii="方正仿宋_GBK" w:hAnsi="方正仿宋_GBK" w:eastAsia="方正仿宋_GBK" w:cs="方正仿宋_GBK"/>
          <w:sz w:val="33"/>
          <w:szCs w:val="33"/>
        </w:rPr>
      </w:pPr>
      <w:r>
        <w:rPr>
          <w:rStyle w:val="17"/>
          <w:rFonts w:hint="eastAsia" w:ascii="方正仿宋_GBK" w:hAnsi="方正仿宋_GBK" w:eastAsia="方正仿宋_GBK" w:cs="方正仿宋_GBK"/>
          <w:bCs/>
          <w:sz w:val="33"/>
          <w:szCs w:val="33"/>
          <w:lang w:val="en-US" w:eastAsia="zh-CN"/>
        </w:rPr>
        <w:t>2.</w:t>
      </w:r>
      <w:r>
        <w:rPr>
          <w:rStyle w:val="17"/>
          <w:rFonts w:hint="eastAsia" w:ascii="方正仿宋_GBK" w:hAnsi="方正仿宋_GBK" w:eastAsia="方正仿宋_GBK" w:cs="方正仿宋_GBK"/>
          <w:bCs/>
          <w:sz w:val="33"/>
          <w:szCs w:val="33"/>
        </w:rPr>
        <w:t>一般公共服务（类）</w:t>
      </w:r>
      <w:r>
        <w:rPr>
          <w:rStyle w:val="17"/>
          <w:rFonts w:hint="eastAsia" w:ascii="方正仿宋_GBK" w:hAnsi="方正仿宋_GBK" w:eastAsia="方正仿宋_GBK" w:cs="方正仿宋_GBK"/>
          <w:bCs/>
          <w:sz w:val="33"/>
          <w:szCs w:val="33"/>
          <w:lang w:eastAsia="zh-CN"/>
        </w:rPr>
        <w:t>组织事物</w:t>
      </w:r>
      <w:r>
        <w:rPr>
          <w:rStyle w:val="17"/>
          <w:rFonts w:hint="eastAsia" w:ascii="方正仿宋_GBK" w:hAnsi="方正仿宋_GBK" w:eastAsia="方正仿宋_GBK" w:cs="方正仿宋_GBK"/>
          <w:bCs/>
          <w:sz w:val="33"/>
          <w:szCs w:val="33"/>
        </w:rPr>
        <w:t>（款）</w:t>
      </w:r>
      <w:r>
        <w:rPr>
          <w:rStyle w:val="17"/>
          <w:rFonts w:hint="eastAsia" w:ascii="方正仿宋_GBK" w:hAnsi="方正仿宋_GBK" w:eastAsia="方正仿宋_GBK" w:cs="方正仿宋_GBK"/>
          <w:bCs/>
          <w:sz w:val="33"/>
          <w:szCs w:val="33"/>
          <w:lang w:eastAsia="zh-CN"/>
        </w:rPr>
        <w:t>一般行政管理事物</w:t>
      </w:r>
      <w:r>
        <w:rPr>
          <w:rStyle w:val="17"/>
          <w:rFonts w:hint="eastAsia" w:ascii="方正仿宋_GBK" w:hAnsi="方正仿宋_GBK" w:eastAsia="方正仿宋_GBK" w:cs="方正仿宋_GBK"/>
          <w:bCs/>
          <w:sz w:val="33"/>
          <w:szCs w:val="33"/>
        </w:rPr>
        <w:t>（项）:</w:t>
      </w:r>
      <w:r>
        <w:rPr>
          <w:rStyle w:val="17"/>
          <w:rFonts w:hint="eastAsia" w:ascii="方正仿宋_GBK" w:hAnsi="方正仿宋_GBK" w:eastAsia="方正仿宋_GBK" w:cs="方正仿宋_GBK"/>
          <w:b w:val="0"/>
          <w:bCs/>
          <w:sz w:val="33"/>
          <w:szCs w:val="33"/>
        </w:rPr>
        <w:t xml:space="preserve"> 支出决算为</w:t>
      </w:r>
      <w:r>
        <w:rPr>
          <w:rStyle w:val="17"/>
          <w:rFonts w:hint="eastAsia" w:ascii="方正仿宋_GBK" w:hAnsi="方正仿宋_GBK" w:eastAsia="方正仿宋_GBK" w:cs="方正仿宋_GBK"/>
          <w:b w:val="0"/>
          <w:bCs/>
          <w:sz w:val="33"/>
          <w:szCs w:val="33"/>
          <w:lang w:val="en-US" w:eastAsia="zh-CN"/>
        </w:rPr>
        <w:t>6</w:t>
      </w:r>
      <w:r>
        <w:rPr>
          <w:rStyle w:val="17"/>
          <w:rFonts w:hint="eastAsia" w:ascii="方正仿宋_GBK" w:hAnsi="方正仿宋_GBK" w:eastAsia="方正仿宋_GBK" w:cs="方正仿宋_GBK"/>
          <w:b w:val="0"/>
          <w:bCs/>
          <w:sz w:val="33"/>
          <w:szCs w:val="33"/>
        </w:rPr>
        <w:t>万元，完成预算</w:t>
      </w:r>
      <w:r>
        <w:rPr>
          <w:rStyle w:val="17"/>
          <w:rFonts w:hint="eastAsia" w:ascii="方正仿宋_GBK" w:hAnsi="方正仿宋_GBK" w:eastAsia="方正仿宋_GBK" w:cs="方正仿宋_GBK"/>
          <w:b w:val="0"/>
          <w:bCs/>
          <w:sz w:val="33"/>
          <w:szCs w:val="33"/>
          <w:lang w:val="en-US" w:eastAsia="zh-CN"/>
        </w:rPr>
        <w:t>100</w:t>
      </w:r>
      <w:r>
        <w:rPr>
          <w:rStyle w:val="17"/>
          <w:rFonts w:hint="eastAsia" w:ascii="方正仿宋_GBK" w:hAnsi="方正仿宋_GBK" w:eastAsia="方正仿宋_GBK" w:cs="方正仿宋_GBK"/>
          <w:b w:val="0"/>
          <w:bCs/>
          <w:sz w:val="33"/>
          <w:szCs w:val="33"/>
        </w:rPr>
        <w:t>%。</w:t>
      </w:r>
    </w:p>
    <w:p>
      <w:pPr>
        <w:spacing w:line="600" w:lineRule="exact"/>
        <w:ind w:firstLine="663" w:firstLineChars="200"/>
        <w:rPr>
          <w:rFonts w:hint="eastAsia" w:ascii="方正仿宋_GBK" w:hAnsi="方正仿宋_GBK" w:eastAsia="方正仿宋_GBK" w:cs="方正仿宋_GBK"/>
          <w:sz w:val="33"/>
          <w:szCs w:val="33"/>
        </w:rPr>
      </w:pPr>
      <w:r>
        <w:rPr>
          <w:rStyle w:val="17"/>
          <w:rFonts w:hint="eastAsia" w:ascii="方正仿宋_GBK" w:hAnsi="方正仿宋_GBK" w:eastAsia="方正仿宋_GBK" w:cs="方正仿宋_GBK"/>
          <w:bCs/>
          <w:sz w:val="33"/>
          <w:szCs w:val="33"/>
          <w:lang w:val="en-US" w:eastAsia="zh-CN"/>
        </w:rPr>
        <w:t>3.</w:t>
      </w:r>
      <w:r>
        <w:rPr>
          <w:rStyle w:val="17"/>
          <w:rFonts w:hint="eastAsia" w:ascii="方正仿宋_GBK" w:hAnsi="方正仿宋_GBK" w:eastAsia="方正仿宋_GBK" w:cs="方正仿宋_GBK"/>
          <w:bCs/>
          <w:sz w:val="33"/>
          <w:szCs w:val="33"/>
        </w:rPr>
        <w:t>一般公共服务（类）</w:t>
      </w:r>
      <w:r>
        <w:rPr>
          <w:rStyle w:val="17"/>
          <w:rFonts w:hint="eastAsia" w:ascii="方正仿宋_GBK" w:hAnsi="方正仿宋_GBK" w:eastAsia="方正仿宋_GBK" w:cs="方正仿宋_GBK"/>
          <w:bCs/>
          <w:sz w:val="33"/>
          <w:szCs w:val="33"/>
          <w:lang w:eastAsia="zh-CN"/>
        </w:rPr>
        <w:t>组织事物</w:t>
      </w:r>
      <w:r>
        <w:rPr>
          <w:rStyle w:val="17"/>
          <w:rFonts w:hint="eastAsia" w:ascii="方正仿宋_GBK" w:hAnsi="方正仿宋_GBK" w:eastAsia="方正仿宋_GBK" w:cs="方正仿宋_GBK"/>
          <w:bCs/>
          <w:sz w:val="33"/>
          <w:szCs w:val="33"/>
        </w:rPr>
        <w:t>（款）</w:t>
      </w:r>
      <w:r>
        <w:rPr>
          <w:rStyle w:val="17"/>
          <w:rFonts w:hint="eastAsia" w:ascii="方正仿宋_GBK" w:hAnsi="方正仿宋_GBK" w:eastAsia="方正仿宋_GBK" w:cs="方正仿宋_GBK"/>
          <w:bCs/>
          <w:sz w:val="33"/>
          <w:szCs w:val="33"/>
          <w:lang w:eastAsia="zh-CN"/>
        </w:rPr>
        <w:t>事业运行</w:t>
      </w:r>
      <w:r>
        <w:rPr>
          <w:rStyle w:val="17"/>
          <w:rFonts w:hint="eastAsia" w:ascii="方正仿宋_GBK" w:hAnsi="方正仿宋_GBK" w:eastAsia="方正仿宋_GBK" w:cs="方正仿宋_GBK"/>
          <w:bCs/>
          <w:sz w:val="33"/>
          <w:szCs w:val="33"/>
        </w:rPr>
        <w:t>（项）:</w:t>
      </w:r>
      <w:r>
        <w:rPr>
          <w:rStyle w:val="17"/>
          <w:rFonts w:hint="eastAsia" w:ascii="方正仿宋_GBK" w:hAnsi="方正仿宋_GBK" w:eastAsia="方正仿宋_GBK" w:cs="方正仿宋_GBK"/>
          <w:b w:val="0"/>
          <w:bCs/>
          <w:sz w:val="33"/>
          <w:szCs w:val="33"/>
        </w:rPr>
        <w:t xml:space="preserve"> 支出决算为</w:t>
      </w:r>
      <w:r>
        <w:rPr>
          <w:rStyle w:val="17"/>
          <w:rFonts w:hint="eastAsia" w:ascii="方正仿宋_GBK" w:hAnsi="方正仿宋_GBK" w:eastAsia="方正仿宋_GBK" w:cs="方正仿宋_GBK"/>
          <w:b w:val="0"/>
          <w:bCs/>
          <w:sz w:val="33"/>
          <w:szCs w:val="33"/>
          <w:lang w:val="en-US" w:eastAsia="zh-CN"/>
        </w:rPr>
        <w:t>53.59</w:t>
      </w:r>
      <w:r>
        <w:rPr>
          <w:rStyle w:val="17"/>
          <w:rFonts w:hint="eastAsia" w:ascii="方正仿宋_GBK" w:hAnsi="方正仿宋_GBK" w:eastAsia="方正仿宋_GBK" w:cs="方正仿宋_GBK"/>
          <w:b w:val="0"/>
          <w:bCs/>
          <w:sz w:val="33"/>
          <w:szCs w:val="33"/>
        </w:rPr>
        <w:t>万元，完成预算</w:t>
      </w:r>
      <w:r>
        <w:rPr>
          <w:rStyle w:val="17"/>
          <w:rFonts w:hint="eastAsia" w:ascii="方正仿宋_GBK" w:hAnsi="方正仿宋_GBK" w:eastAsia="方正仿宋_GBK" w:cs="方正仿宋_GBK"/>
          <w:b w:val="0"/>
          <w:bCs/>
          <w:sz w:val="33"/>
          <w:szCs w:val="33"/>
          <w:lang w:val="en-US" w:eastAsia="zh-CN"/>
        </w:rPr>
        <w:t>100</w:t>
      </w:r>
      <w:r>
        <w:rPr>
          <w:rStyle w:val="17"/>
          <w:rFonts w:hint="eastAsia" w:ascii="方正仿宋_GBK" w:hAnsi="方正仿宋_GBK" w:eastAsia="方正仿宋_GBK" w:cs="方正仿宋_GBK"/>
          <w:b w:val="0"/>
          <w:bCs/>
          <w:sz w:val="33"/>
          <w:szCs w:val="33"/>
        </w:rPr>
        <w:t>%。</w:t>
      </w:r>
    </w:p>
    <w:p>
      <w:pPr>
        <w:spacing w:line="600" w:lineRule="exact"/>
        <w:ind w:firstLine="663" w:firstLineChars="200"/>
        <w:rPr>
          <w:rStyle w:val="17"/>
          <w:rFonts w:hint="eastAsia" w:ascii="方正仿宋_GBK" w:hAnsi="方正仿宋_GBK" w:eastAsia="方正仿宋_GBK" w:cs="方正仿宋_GBK"/>
          <w:b w:val="0"/>
          <w:bCs/>
          <w:sz w:val="33"/>
          <w:szCs w:val="33"/>
        </w:rPr>
      </w:pPr>
      <w:r>
        <w:rPr>
          <w:rStyle w:val="17"/>
          <w:rFonts w:hint="eastAsia" w:ascii="方正仿宋_GBK" w:hAnsi="方正仿宋_GBK" w:eastAsia="方正仿宋_GBK" w:cs="方正仿宋_GBK"/>
          <w:bCs/>
          <w:sz w:val="33"/>
          <w:szCs w:val="33"/>
          <w:lang w:val="en-US" w:eastAsia="zh-CN"/>
        </w:rPr>
        <w:t>4</w:t>
      </w:r>
      <w:r>
        <w:rPr>
          <w:rStyle w:val="17"/>
          <w:rFonts w:hint="eastAsia" w:ascii="方正仿宋_GBK" w:hAnsi="方正仿宋_GBK" w:eastAsia="方正仿宋_GBK" w:cs="方正仿宋_GBK"/>
          <w:bCs/>
          <w:sz w:val="33"/>
          <w:szCs w:val="33"/>
        </w:rPr>
        <w:t>.社会保障和就业（类）</w:t>
      </w:r>
      <w:r>
        <w:rPr>
          <w:rStyle w:val="17"/>
          <w:rFonts w:hint="eastAsia" w:ascii="方正仿宋_GBK" w:hAnsi="方正仿宋_GBK" w:eastAsia="方正仿宋_GBK" w:cs="方正仿宋_GBK"/>
          <w:bCs/>
          <w:sz w:val="33"/>
          <w:szCs w:val="33"/>
          <w:lang w:eastAsia="zh-CN"/>
        </w:rPr>
        <w:t>行政事业单位养老支出</w:t>
      </w:r>
      <w:r>
        <w:rPr>
          <w:rStyle w:val="17"/>
          <w:rFonts w:hint="eastAsia" w:ascii="方正仿宋_GBK" w:hAnsi="方正仿宋_GBK" w:eastAsia="方正仿宋_GBK" w:cs="方正仿宋_GBK"/>
          <w:bCs/>
          <w:sz w:val="33"/>
          <w:szCs w:val="33"/>
        </w:rPr>
        <w:t>（款）</w:t>
      </w:r>
      <w:r>
        <w:rPr>
          <w:rStyle w:val="17"/>
          <w:rFonts w:hint="eastAsia" w:ascii="方正仿宋_GBK" w:hAnsi="方正仿宋_GBK" w:eastAsia="方正仿宋_GBK" w:cs="方正仿宋_GBK"/>
          <w:bCs/>
          <w:sz w:val="33"/>
          <w:szCs w:val="33"/>
          <w:lang w:eastAsia="zh-CN"/>
        </w:rPr>
        <w:t>行政单位离退休</w:t>
      </w:r>
      <w:r>
        <w:rPr>
          <w:rStyle w:val="17"/>
          <w:rFonts w:hint="eastAsia" w:ascii="方正仿宋_GBK" w:hAnsi="方正仿宋_GBK" w:eastAsia="方正仿宋_GBK" w:cs="方正仿宋_GBK"/>
          <w:bCs/>
          <w:sz w:val="33"/>
          <w:szCs w:val="33"/>
        </w:rPr>
        <w:t>（项）:</w:t>
      </w:r>
      <w:r>
        <w:rPr>
          <w:rStyle w:val="17"/>
          <w:rFonts w:hint="eastAsia" w:ascii="方正仿宋_GBK" w:hAnsi="方正仿宋_GBK" w:eastAsia="方正仿宋_GBK" w:cs="方正仿宋_GBK"/>
          <w:b w:val="0"/>
          <w:bCs/>
          <w:sz w:val="33"/>
          <w:szCs w:val="33"/>
        </w:rPr>
        <w:t xml:space="preserve"> 支出决算为</w:t>
      </w:r>
      <w:r>
        <w:rPr>
          <w:rStyle w:val="17"/>
          <w:rFonts w:hint="eastAsia" w:ascii="方正仿宋_GBK" w:hAnsi="方正仿宋_GBK" w:eastAsia="方正仿宋_GBK" w:cs="方正仿宋_GBK"/>
          <w:b w:val="0"/>
          <w:bCs/>
          <w:sz w:val="33"/>
          <w:szCs w:val="33"/>
          <w:lang w:val="en-US" w:eastAsia="zh-CN"/>
        </w:rPr>
        <w:t>5.63</w:t>
      </w:r>
      <w:r>
        <w:rPr>
          <w:rStyle w:val="17"/>
          <w:rFonts w:hint="eastAsia" w:ascii="方正仿宋_GBK" w:hAnsi="方正仿宋_GBK" w:eastAsia="方正仿宋_GBK" w:cs="方正仿宋_GBK"/>
          <w:b w:val="0"/>
          <w:bCs/>
          <w:sz w:val="33"/>
          <w:szCs w:val="33"/>
        </w:rPr>
        <w:t>万元，完成预算</w:t>
      </w:r>
      <w:r>
        <w:rPr>
          <w:rStyle w:val="17"/>
          <w:rFonts w:hint="eastAsia" w:ascii="方正仿宋_GBK" w:hAnsi="方正仿宋_GBK" w:eastAsia="方正仿宋_GBK" w:cs="方正仿宋_GBK"/>
          <w:b w:val="0"/>
          <w:bCs/>
          <w:sz w:val="33"/>
          <w:szCs w:val="33"/>
          <w:lang w:val="en-US" w:eastAsia="zh-CN"/>
        </w:rPr>
        <w:t>100</w:t>
      </w:r>
      <w:r>
        <w:rPr>
          <w:rStyle w:val="17"/>
          <w:rFonts w:hint="eastAsia" w:ascii="方正仿宋_GBK" w:hAnsi="方正仿宋_GBK" w:eastAsia="方正仿宋_GBK" w:cs="方正仿宋_GBK"/>
          <w:b w:val="0"/>
          <w:bCs/>
          <w:sz w:val="33"/>
          <w:szCs w:val="33"/>
        </w:rPr>
        <w:t>%。</w:t>
      </w:r>
    </w:p>
    <w:p>
      <w:pPr>
        <w:spacing w:line="600" w:lineRule="exact"/>
        <w:ind w:firstLine="663" w:firstLineChars="200"/>
        <w:rPr>
          <w:rStyle w:val="17"/>
          <w:rFonts w:hint="eastAsia" w:ascii="方正仿宋_GBK" w:hAnsi="方正仿宋_GBK" w:eastAsia="方正仿宋_GBK" w:cs="方正仿宋_GBK"/>
          <w:b w:val="0"/>
          <w:bCs/>
          <w:sz w:val="33"/>
          <w:szCs w:val="33"/>
        </w:rPr>
      </w:pPr>
      <w:r>
        <w:rPr>
          <w:rStyle w:val="17"/>
          <w:rFonts w:hint="eastAsia" w:ascii="方正仿宋_GBK" w:hAnsi="方正仿宋_GBK" w:eastAsia="方正仿宋_GBK" w:cs="方正仿宋_GBK"/>
          <w:bCs/>
          <w:sz w:val="33"/>
          <w:szCs w:val="33"/>
          <w:lang w:val="en-US" w:eastAsia="zh-CN"/>
        </w:rPr>
        <w:t>5.</w:t>
      </w:r>
      <w:r>
        <w:rPr>
          <w:rStyle w:val="17"/>
          <w:rFonts w:hint="eastAsia" w:ascii="方正仿宋_GBK" w:hAnsi="方正仿宋_GBK" w:eastAsia="方正仿宋_GBK" w:cs="方正仿宋_GBK"/>
          <w:bCs/>
          <w:sz w:val="33"/>
          <w:szCs w:val="33"/>
        </w:rPr>
        <w:t>社会保障和就业（类）</w:t>
      </w:r>
      <w:r>
        <w:rPr>
          <w:rStyle w:val="17"/>
          <w:rFonts w:hint="eastAsia" w:ascii="方正仿宋_GBK" w:hAnsi="方正仿宋_GBK" w:eastAsia="方正仿宋_GBK" w:cs="方正仿宋_GBK"/>
          <w:bCs/>
          <w:sz w:val="33"/>
          <w:szCs w:val="33"/>
          <w:lang w:eastAsia="zh-CN"/>
        </w:rPr>
        <w:t>行政事业单位养老支出</w:t>
      </w:r>
      <w:r>
        <w:rPr>
          <w:rStyle w:val="17"/>
          <w:rFonts w:hint="eastAsia" w:ascii="方正仿宋_GBK" w:hAnsi="方正仿宋_GBK" w:eastAsia="方正仿宋_GBK" w:cs="方正仿宋_GBK"/>
          <w:bCs/>
          <w:sz w:val="33"/>
          <w:szCs w:val="33"/>
        </w:rPr>
        <w:t>（款）</w:t>
      </w:r>
      <w:r>
        <w:rPr>
          <w:rStyle w:val="17"/>
          <w:rFonts w:hint="eastAsia" w:ascii="方正仿宋_GBK" w:hAnsi="方正仿宋_GBK" w:eastAsia="方正仿宋_GBK" w:cs="方正仿宋_GBK"/>
          <w:bCs/>
          <w:sz w:val="33"/>
          <w:szCs w:val="33"/>
          <w:lang w:eastAsia="zh-CN"/>
        </w:rPr>
        <w:t>机关事业单位基本养老保险缴费支出</w:t>
      </w:r>
      <w:r>
        <w:rPr>
          <w:rStyle w:val="17"/>
          <w:rFonts w:hint="eastAsia" w:ascii="方正仿宋_GBK" w:hAnsi="方正仿宋_GBK" w:eastAsia="方正仿宋_GBK" w:cs="方正仿宋_GBK"/>
          <w:bCs/>
          <w:sz w:val="33"/>
          <w:szCs w:val="33"/>
        </w:rPr>
        <w:t>（项）:</w:t>
      </w:r>
      <w:r>
        <w:rPr>
          <w:rStyle w:val="17"/>
          <w:rFonts w:hint="eastAsia" w:ascii="方正仿宋_GBK" w:hAnsi="方正仿宋_GBK" w:eastAsia="方正仿宋_GBK" w:cs="方正仿宋_GBK"/>
          <w:b w:val="0"/>
          <w:bCs/>
          <w:sz w:val="33"/>
          <w:szCs w:val="33"/>
        </w:rPr>
        <w:t xml:space="preserve"> 支出决算为</w:t>
      </w:r>
      <w:r>
        <w:rPr>
          <w:rStyle w:val="17"/>
          <w:rFonts w:hint="eastAsia" w:ascii="方正仿宋_GBK" w:hAnsi="方正仿宋_GBK" w:eastAsia="方正仿宋_GBK" w:cs="方正仿宋_GBK"/>
          <w:b w:val="0"/>
          <w:bCs/>
          <w:sz w:val="33"/>
          <w:szCs w:val="33"/>
          <w:lang w:val="en-US" w:eastAsia="zh-CN"/>
        </w:rPr>
        <w:t>28.81</w:t>
      </w:r>
      <w:r>
        <w:rPr>
          <w:rStyle w:val="17"/>
          <w:rFonts w:hint="eastAsia" w:ascii="方正仿宋_GBK" w:hAnsi="方正仿宋_GBK" w:eastAsia="方正仿宋_GBK" w:cs="方正仿宋_GBK"/>
          <w:b w:val="0"/>
          <w:bCs/>
          <w:sz w:val="33"/>
          <w:szCs w:val="33"/>
        </w:rPr>
        <w:t>万元，完成预算</w:t>
      </w:r>
      <w:r>
        <w:rPr>
          <w:rStyle w:val="17"/>
          <w:rFonts w:hint="eastAsia" w:ascii="方正仿宋_GBK" w:hAnsi="方正仿宋_GBK" w:eastAsia="方正仿宋_GBK" w:cs="方正仿宋_GBK"/>
          <w:b w:val="0"/>
          <w:bCs/>
          <w:sz w:val="33"/>
          <w:szCs w:val="33"/>
          <w:lang w:val="en-US" w:eastAsia="zh-CN"/>
        </w:rPr>
        <w:t>100</w:t>
      </w:r>
      <w:r>
        <w:rPr>
          <w:rStyle w:val="17"/>
          <w:rFonts w:hint="eastAsia" w:ascii="方正仿宋_GBK" w:hAnsi="方正仿宋_GBK" w:eastAsia="方正仿宋_GBK" w:cs="方正仿宋_GBK"/>
          <w:b w:val="0"/>
          <w:bCs/>
          <w:sz w:val="33"/>
          <w:szCs w:val="33"/>
        </w:rPr>
        <w:t>%。</w:t>
      </w:r>
    </w:p>
    <w:p>
      <w:pPr>
        <w:spacing w:line="600" w:lineRule="exact"/>
        <w:ind w:firstLine="663" w:firstLineChars="200"/>
        <w:rPr>
          <w:rFonts w:hint="eastAsia" w:ascii="方正仿宋_GBK" w:hAnsi="方正仿宋_GBK" w:eastAsia="方正仿宋_GBK" w:cs="方正仿宋_GBK"/>
          <w:b/>
          <w:sz w:val="33"/>
          <w:szCs w:val="33"/>
        </w:rPr>
      </w:pPr>
      <w:r>
        <w:rPr>
          <w:rStyle w:val="17"/>
          <w:rFonts w:hint="eastAsia" w:ascii="方正仿宋_GBK" w:hAnsi="方正仿宋_GBK" w:eastAsia="方正仿宋_GBK" w:cs="方正仿宋_GBK"/>
          <w:bCs/>
          <w:sz w:val="33"/>
          <w:szCs w:val="33"/>
          <w:lang w:val="en-US" w:eastAsia="zh-CN"/>
        </w:rPr>
        <w:t>6</w:t>
      </w:r>
      <w:r>
        <w:rPr>
          <w:rStyle w:val="17"/>
          <w:rFonts w:hint="eastAsia" w:ascii="方正仿宋_GBK" w:hAnsi="方正仿宋_GBK" w:eastAsia="方正仿宋_GBK" w:cs="方正仿宋_GBK"/>
          <w:bCs/>
          <w:sz w:val="33"/>
          <w:szCs w:val="33"/>
        </w:rPr>
        <w:t>.社会保障和就业（类）</w:t>
      </w:r>
      <w:r>
        <w:rPr>
          <w:rStyle w:val="17"/>
          <w:rFonts w:hint="eastAsia" w:ascii="方正仿宋_GBK" w:hAnsi="方正仿宋_GBK" w:eastAsia="方正仿宋_GBK" w:cs="方正仿宋_GBK"/>
          <w:bCs/>
          <w:sz w:val="33"/>
          <w:szCs w:val="33"/>
          <w:lang w:eastAsia="zh-CN"/>
        </w:rPr>
        <w:t>行政事业单位养老支出</w:t>
      </w:r>
      <w:r>
        <w:rPr>
          <w:rStyle w:val="17"/>
          <w:rFonts w:hint="eastAsia" w:ascii="方正仿宋_GBK" w:hAnsi="方正仿宋_GBK" w:eastAsia="方正仿宋_GBK" w:cs="方正仿宋_GBK"/>
          <w:bCs/>
          <w:sz w:val="33"/>
          <w:szCs w:val="33"/>
        </w:rPr>
        <w:t>（款）</w:t>
      </w:r>
      <w:r>
        <w:rPr>
          <w:rStyle w:val="17"/>
          <w:rFonts w:hint="eastAsia" w:ascii="方正仿宋_GBK" w:hAnsi="方正仿宋_GBK" w:eastAsia="方正仿宋_GBK" w:cs="方正仿宋_GBK"/>
          <w:bCs/>
          <w:sz w:val="33"/>
          <w:szCs w:val="33"/>
          <w:lang w:eastAsia="zh-CN"/>
        </w:rPr>
        <w:t>机关事业单位职业年金缴费支出</w:t>
      </w:r>
      <w:r>
        <w:rPr>
          <w:rStyle w:val="17"/>
          <w:rFonts w:hint="eastAsia" w:ascii="方正仿宋_GBK" w:hAnsi="方正仿宋_GBK" w:eastAsia="方正仿宋_GBK" w:cs="方正仿宋_GBK"/>
          <w:bCs/>
          <w:sz w:val="33"/>
          <w:szCs w:val="33"/>
        </w:rPr>
        <w:t>（项）:</w:t>
      </w:r>
      <w:r>
        <w:rPr>
          <w:rStyle w:val="17"/>
          <w:rFonts w:hint="eastAsia" w:ascii="方正仿宋_GBK" w:hAnsi="方正仿宋_GBK" w:eastAsia="方正仿宋_GBK" w:cs="方正仿宋_GBK"/>
          <w:b w:val="0"/>
          <w:bCs/>
          <w:sz w:val="33"/>
          <w:szCs w:val="33"/>
        </w:rPr>
        <w:t xml:space="preserve"> 支出决算为</w:t>
      </w:r>
      <w:r>
        <w:rPr>
          <w:rStyle w:val="17"/>
          <w:rFonts w:hint="eastAsia" w:ascii="方正仿宋_GBK" w:hAnsi="方正仿宋_GBK" w:eastAsia="方正仿宋_GBK" w:cs="方正仿宋_GBK"/>
          <w:b w:val="0"/>
          <w:bCs/>
          <w:sz w:val="33"/>
          <w:szCs w:val="33"/>
          <w:lang w:val="en-US" w:eastAsia="zh-CN"/>
        </w:rPr>
        <w:t>5.34</w:t>
      </w:r>
      <w:r>
        <w:rPr>
          <w:rStyle w:val="17"/>
          <w:rFonts w:hint="eastAsia" w:ascii="方正仿宋_GBK" w:hAnsi="方正仿宋_GBK" w:eastAsia="方正仿宋_GBK" w:cs="方正仿宋_GBK"/>
          <w:b w:val="0"/>
          <w:bCs/>
          <w:sz w:val="33"/>
          <w:szCs w:val="33"/>
        </w:rPr>
        <w:t>万元，完成预算</w:t>
      </w:r>
      <w:r>
        <w:rPr>
          <w:rStyle w:val="17"/>
          <w:rFonts w:hint="eastAsia" w:ascii="方正仿宋_GBK" w:hAnsi="方正仿宋_GBK" w:eastAsia="方正仿宋_GBK" w:cs="方正仿宋_GBK"/>
          <w:b w:val="0"/>
          <w:bCs/>
          <w:sz w:val="33"/>
          <w:szCs w:val="33"/>
          <w:lang w:val="en-US" w:eastAsia="zh-CN"/>
        </w:rPr>
        <w:t>100</w:t>
      </w:r>
      <w:r>
        <w:rPr>
          <w:rStyle w:val="17"/>
          <w:rFonts w:hint="eastAsia" w:ascii="方正仿宋_GBK" w:hAnsi="方正仿宋_GBK" w:eastAsia="方正仿宋_GBK" w:cs="方正仿宋_GBK"/>
          <w:b w:val="0"/>
          <w:bCs/>
          <w:sz w:val="33"/>
          <w:szCs w:val="33"/>
        </w:rPr>
        <w:t>%。</w:t>
      </w:r>
    </w:p>
    <w:p>
      <w:pPr>
        <w:spacing w:line="600" w:lineRule="exact"/>
        <w:ind w:firstLine="663" w:firstLineChars="200"/>
        <w:rPr>
          <w:rStyle w:val="17"/>
          <w:rFonts w:hint="eastAsia" w:ascii="方正仿宋_GBK" w:hAnsi="方正仿宋_GBK" w:eastAsia="方正仿宋_GBK" w:cs="方正仿宋_GBK"/>
          <w:b w:val="0"/>
          <w:bCs/>
          <w:sz w:val="33"/>
          <w:szCs w:val="33"/>
        </w:rPr>
      </w:pPr>
      <w:r>
        <w:rPr>
          <w:rStyle w:val="17"/>
          <w:rFonts w:hint="eastAsia" w:ascii="方正仿宋_GBK" w:hAnsi="方正仿宋_GBK" w:eastAsia="方正仿宋_GBK" w:cs="方正仿宋_GBK"/>
          <w:bCs/>
          <w:sz w:val="33"/>
          <w:szCs w:val="33"/>
        </w:rPr>
        <w:t>6.</w:t>
      </w:r>
      <w:r>
        <w:rPr>
          <w:rFonts w:hint="eastAsia" w:ascii="方正仿宋_GBK" w:hAnsi="方正仿宋_GBK" w:eastAsia="方正仿宋_GBK" w:cs="方正仿宋_GBK"/>
          <w:b/>
          <w:bCs/>
          <w:sz w:val="33"/>
          <w:szCs w:val="33"/>
        </w:rPr>
        <w:t>卫生健康</w:t>
      </w:r>
      <w:r>
        <w:rPr>
          <w:rStyle w:val="17"/>
          <w:rFonts w:hint="eastAsia" w:ascii="方正仿宋_GBK" w:hAnsi="方正仿宋_GBK" w:eastAsia="方正仿宋_GBK" w:cs="方正仿宋_GBK"/>
          <w:bCs/>
          <w:sz w:val="33"/>
          <w:szCs w:val="33"/>
        </w:rPr>
        <w:t>（类）</w:t>
      </w:r>
      <w:r>
        <w:rPr>
          <w:rStyle w:val="17"/>
          <w:rFonts w:hint="eastAsia" w:ascii="方正仿宋_GBK" w:hAnsi="方正仿宋_GBK" w:eastAsia="方正仿宋_GBK" w:cs="方正仿宋_GBK"/>
          <w:bCs/>
          <w:sz w:val="33"/>
          <w:szCs w:val="33"/>
          <w:lang w:eastAsia="zh-CN"/>
        </w:rPr>
        <w:t>行政事业单位医疗</w:t>
      </w:r>
      <w:r>
        <w:rPr>
          <w:rStyle w:val="17"/>
          <w:rFonts w:hint="eastAsia" w:ascii="方正仿宋_GBK" w:hAnsi="方正仿宋_GBK" w:eastAsia="方正仿宋_GBK" w:cs="方正仿宋_GBK"/>
          <w:bCs/>
          <w:sz w:val="33"/>
          <w:szCs w:val="33"/>
        </w:rPr>
        <w:t>（款）</w:t>
      </w:r>
      <w:r>
        <w:rPr>
          <w:rStyle w:val="17"/>
          <w:rFonts w:hint="eastAsia" w:ascii="方正仿宋_GBK" w:hAnsi="方正仿宋_GBK" w:eastAsia="方正仿宋_GBK" w:cs="方正仿宋_GBK"/>
          <w:bCs/>
          <w:sz w:val="33"/>
          <w:szCs w:val="33"/>
          <w:lang w:eastAsia="zh-CN"/>
        </w:rPr>
        <w:t>行政单位医疗</w:t>
      </w:r>
      <w:r>
        <w:rPr>
          <w:rStyle w:val="17"/>
          <w:rFonts w:hint="eastAsia" w:ascii="方正仿宋_GBK" w:hAnsi="方正仿宋_GBK" w:eastAsia="方正仿宋_GBK" w:cs="方正仿宋_GBK"/>
          <w:bCs/>
          <w:sz w:val="33"/>
          <w:szCs w:val="33"/>
        </w:rPr>
        <w:t>（项）:</w:t>
      </w:r>
      <w:r>
        <w:rPr>
          <w:rStyle w:val="17"/>
          <w:rFonts w:hint="eastAsia" w:ascii="方正仿宋_GBK" w:hAnsi="方正仿宋_GBK" w:eastAsia="方正仿宋_GBK" w:cs="方正仿宋_GBK"/>
          <w:b w:val="0"/>
          <w:bCs/>
          <w:sz w:val="33"/>
          <w:szCs w:val="33"/>
        </w:rPr>
        <w:t>支出决算为</w:t>
      </w:r>
      <w:r>
        <w:rPr>
          <w:rStyle w:val="17"/>
          <w:rFonts w:hint="eastAsia" w:ascii="方正仿宋_GBK" w:hAnsi="方正仿宋_GBK" w:eastAsia="方正仿宋_GBK" w:cs="方正仿宋_GBK"/>
          <w:b w:val="0"/>
          <w:bCs/>
          <w:sz w:val="33"/>
          <w:szCs w:val="33"/>
          <w:lang w:val="en-US" w:eastAsia="zh-CN"/>
        </w:rPr>
        <w:t>10.32</w:t>
      </w:r>
      <w:r>
        <w:rPr>
          <w:rStyle w:val="17"/>
          <w:rFonts w:hint="eastAsia" w:ascii="方正仿宋_GBK" w:hAnsi="方正仿宋_GBK" w:eastAsia="方正仿宋_GBK" w:cs="方正仿宋_GBK"/>
          <w:b w:val="0"/>
          <w:bCs/>
          <w:sz w:val="33"/>
          <w:szCs w:val="33"/>
        </w:rPr>
        <w:t>万元，完成预算</w:t>
      </w:r>
      <w:r>
        <w:rPr>
          <w:rStyle w:val="17"/>
          <w:rFonts w:hint="eastAsia" w:ascii="方正仿宋_GBK" w:hAnsi="方正仿宋_GBK" w:eastAsia="方正仿宋_GBK" w:cs="方正仿宋_GBK"/>
          <w:b w:val="0"/>
          <w:bCs/>
          <w:sz w:val="33"/>
          <w:szCs w:val="33"/>
          <w:lang w:val="en-US" w:eastAsia="zh-CN"/>
        </w:rPr>
        <w:t>100</w:t>
      </w:r>
      <w:r>
        <w:rPr>
          <w:rStyle w:val="17"/>
          <w:rFonts w:hint="eastAsia" w:ascii="方正仿宋_GBK" w:hAnsi="方正仿宋_GBK" w:eastAsia="方正仿宋_GBK" w:cs="方正仿宋_GBK"/>
          <w:b w:val="0"/>
          <w:bCs/>
          <w:sz w:val="33"/>
          <w:szCs w:val="33"/>
        </w:rPr>
        <w:t>%。</w:t>
      </w:r>
    </w:p>
    <w:p>
      <w:pPr>
        <w:spacing w:line="600" w:lineRule="exact"/>
        <w:ind w:firstLine="663" w:firstLineChars="200"/>
        <w:rPr>
          <w:rStyle w:val="17"/>
          <w:rFonts w:hint="eastAsia" w:ascii="方正仿宋_GBK" w:hAnsi="方正仿宋_GBK" w:eastAsia="方正仿宋_GBK" w:cs="方正仿宋_GBK"/>
          <w:b w:val="0"/>
          <w:bCs/>
          <w:sz w:val="33"/>
          <w:szCs w:val="33"/>
        </w:rPr>
      </w:pPr>
      <w:r>
        <w:rPr>
          <w:rStyle w:val="17"/>
          <w:rFonts w:hint="eastAsia" w:ascii="方正仿宋_GBK" w:hAnsi="方正仿宋_GBK" w:eastAsia="方正仿宋_GBK" w:cs="方正仿宋_GBK"/>
          <w:bCs/>
          <w:sz w:val="33"/>
          <w:szCs w:val="33"/>
          <w:lang w:val="en-US" w:eastAsia="zh-CN"/>
        </w:rPr>
        <w:t>7</w:t>
      </w:r>
      <w:r>
        <w:rPr>
          <w:rStyle w:val="17"/>
          <w:rFonts w:hint="eastAsia" w:ascii="方正仿宋_GBK" w:hAnsi="方正仿宋_GBK" w:eastAsia="方正仿宋_GBK" w:cs="方正仿宋_GBK"/>
          <w:bCs/>
          <w:sz w:val="33"/>
          <w:szCs w:val="33"/>
        </w:rPr>
        <w:t>.</w:t>
      </w:r>
      <w:r>
        <w:rPr>
          <w:rFonts w:hint="eastAsia" w:ascii="方正仿宋_GBK" w:hAnsi="方正仿宋_GBK" w:eastAsia="方正仿宋_GBK" w:cs="方正仿宋_GBK"/>
          <w:b/>
          <w:bCs/>
          <w:sz w:val="33"/>
          <w:szCs w:val="33"/>
        </w:rPr>
        <w:t>卫生健康</w:t>
      </w:r>
      <w:r>
        <w:rPr>
          <w:rStyle w:val="17"/>
          <w:rFonts w:hint="eastAsia" w:ascii="方正仿宋_GBK" w:hAnsi="方正仿宋_GBK" w:eastAsia="方正仿宋_GBK" w:cs="方正仿宋_GBK"/>
          <w:bCs/>
          <w:sz w:val="33"/>
          <w:szCs w:val="33"/>
        </w:rPr>
        <w:t>（类）</w:t>
      </w:r>
      <w:r>
        <w:rPr>
          <w:rStyle w:val="17"/>
          <w:rFonts w:hint="eastAsia" w:ascii="方正仿宋_GBK" w:hAnsi="方正仿宋_GBK" w:eastAsia="方正仿宋_GBK" w:cs="方正仿宋_GBK"/>
          <w:bCs/>
          <w:sz w:val="33"/>
          <w:szCs w:val="33"/>
          <w:lang w:eastAsia="zh-CN"/>
        </w:rPr>
        <w:t>行政事业单位医疗</w:t>
      </w:r>
      <w:r>
        <w:rPr>
          <w:rStyle w:val="17"/>
          <w:rFonts w:hint="eastAsia" w:ascii="方正仿宋_GBK" w:hAnsi="方正仿宋_GBK" w:eastAsia="方正仿宋_GBK" w:cs="方正仿宋_GBK"/>
          <w:bCs/>
          <w:sz w:val="33"/>
          <w:szCs w:val="33"/>
        </w:rPr>
        <w:t>（款）</w:t>
      </w:r>
      <w:r>
        <w:rPr>
          <w:rStyle w:val="17"/>
          <w:rFonts w:hint="eastAsia" w:ascii="方正仿宋_GBK" w:hAnsi="方正仿宋_GBK" w:eastAsia="方正仿宋_GBK" w:cs="方正仿宋_GBK"/>
          <w:bCs/>
          <w:sz w:val="33"/>
          <w:szCs w:val="33"/>
          <w:lang w:eastAsia="zh-CN"/>
        </w:rPr>
        <w:t>事业单位医疗</w:t>
      </w:r>
      <w:r>
        <w:rPr>
          <w:rStyle w:val="17"/>
          <w:rFonts w:hint="eastAsia" w:ascii="方正仿宋_GBK" w:hAnsi="方正仿宋_GBK" w:eastAsia="方正仿宋_GBK" w:cs="方正仿宋_GBK"/>
          <w:bCs/>
          <w:sz w:val="33"/>
          <w:szCs w:val="33"/>
        </w:rPr>
        <w:t>（项）:</w:t>
      </w:r>
      <w:r>
        <w:rPr>
          <w:rStyle w:val="17"/>
          <w:rFonts w:hint="eastAsia" w:ascii="方正仿宋_GBK" w:hAnsi="方正仿宋_GBK" w:eastAsia="方正仿宋_GBK" w:cs="方正仿宋_GBK"/>
          <w:b w:val="0"/>
          <w:bCs/>
          <w:sz w:val="33"/>
          <w:szCs w:val="33"/>
        </w:rPr>
        <w:t>支出决算为</w:t>
      </w:r>
      <w:r>
        <w:rPr>
          <w:rStyle w:val="17"/>
          <w:rFonts w:hint="eastAsia" w:ascii="方正仿宋_GBK" w:hAnsi="方正仿宋_GBK" w:eastAsia="方正仿宋_GBK" w:cs="方正仿宋_GBK"/>
          <w:b w:val="0"/>
          <w:bCs/>
          <w:sz w:val="33"/>
          <w:szCs w:val="33"/>
          <w:lang w:val="en-US" w:eastAsia="zh-CN"/>
        </w:rPr>
        <w:t>3.38</w:t>
      </w:r>
      <w:r>
        <w:rPr>
          <w:rStyle w:val="17"/>
          <w:rFonts w:hint="eastAsia" w:ascii="方正仿宋_GBK" w:hAnsi="方正仿宋_GBK" w:eastAsia="方正仿宋_GBK" w:cs="方正仿宋_GBK"/>
          <w:b w:val="0"/>
          <w:bCs/>
          <w:sz w:val="33"/>
          <w:szCs w:val="33"/>
        </w:rPr>
        <w:t>万元，完成预算</w:t>
      </w:r>
      <w:r>
        <w:rPr>
          <w:rStyle w:val="17"/>
          <w:rFonts w:hint="eastAsia" w:ascii="方正仿宋_GBK" w:hAnsi="方正仿宋_GBK" w:eastAsia="方正仿宋_GBK" w:cs="方正仿宋_GBK"/>
          <w:b w:val="0"/>
          <w:bCs/>
          <w:sz w:val="33"/>
          <w:szCs w:val="33"/>
          <w:lang w:val="en-US" w:eastAsia="zh-CN"/>
        </w:rPr>
        <w:t>100</w:t>
      </w:r>
      <w:r>
        <w:rPr>
          <w:rStyle w:val="17"/>
          <w:rFonts w:hint="eastAsia" w:ascii="方正仿宋_GBK" w:hAnsi="方正仿宋_GBK" w:eastAsia="方正仿宋_GBK" w:cs="方正仿宋_GBK"/>
          <w:b w:val="0"/>
          <w:bCs/>
          <w:sz w:val="33"/>
          <w:szCs w:val="33"/>
        </w:rPr>
        <w:t>%。</w:t>
      </w:r>
    </w:p>
    <w:p>
      <w:pPr>
        <w:spacing w:line="600" w:lineRule="exact"/>
        <w:ind w:firstLine="663" w:firstLineChars="200"/>
        <w:rPr>
          <w:rStyle w:val="17"/>
          <w:rFonts w:hint="eastAsia" w:ascii="方正仿宋_GBK" w:hAnsi="方正仿宋_GBK" w:eastAsia="方正仿宋_GBK" w:cs="方正仿宋_GBK"/>
          <w:b w:val="0"/>
          <w:bCs/>
          <w:sz w:val="33"/>
          <w:szCs w:val="33"/>
        </w:rPr>
      </w:pPr>
      <w:r>
        <w:rPr>
          <w:rStyle w:val="17"/>
          <w:rFonts w:hint="eastAsia" w:ascii="方正仿宋_GBK" w:hAnsi="方正仿宋_GBK" w:eastAsia="方正仿宋_GBK" w:cs="方正仿宋_GBK"/>
          <w:bCs/>
          <w:sz w:val="33"/>
          <w:szCs w:val="33"/>
          <w:lang w:val="en-US" w:eastAsia="zh-CN"/>
        </w:rPr>
        <w:t>8</w:t>
      </w:r>
      <w:r>
        <w:rPr>
          <w:rStyle w:val="17"/>
          <w:rFonts w:hint="eastAsia" w:ascii="方正仿宋_GBK" w:hAnsi="方正仿宋_GBK" w:eastAsia="方正仿宋_GBK" w:cs="方正仿宋_GBK"/>
          <w:bCs/>
          <w:sz w:val="33"/>
          <w:szCs w:val="33"/>
        </w:rPr>
        <w:t>.</w:t>
      </w:r>
      <w:r>
        <w:rPr>
          <w:rFonts w:hint="eastAsia" w:ascii="方正仿宋_GBK" w:hAnsi="方正仿宋_GBK" w:eastAsia="方正仿宋_GBK" w:cs="方正仿宋_GBK"/>
          <w:b/>
          <w:bCs/>
          <w:sz w:val="33"/>
          <w:szCs w:val="33"/>
        </w:rPr>
        <w:t>卫生健康</w:t>
      </w:r>
      <w:r>
        <w:rPr>
          <w:rStyle w:val="17"/>
          <w:rFonts w:hint="eastAsia" w:ascii="方正仿宋_GBK" w:hAnsi="方正仿宋_GBK" w:eastAsia="方正仿宋_GBK" w:cs="方正仿宋_GBK"/>
          <w:bCs/>
          <w:sz w:val="33"/>
          <w:szCs w:val="33"/>
        </w:rPr>
        <w:t>（类）</w:t>
      </w:r>
      <w:r>
        <w:rPr>
          <w:rStyle w:val="17"/>
          <w:rFonts w:hint="eastAsia" w:ascii="方正仿宋_GBK" w:hAnsi="方正仿宋_GBK" w:eastAsia="方正仿宋_GBK" w:cs="方正仿宋_GBK"/>
          <w:bCs/>
          <w:sz w:val="33"/>
          <w:szCs w:val="33"/>
          <w:lang w:eastAsia="zh-CN"/>
        </w:rPr>
        <w:t>行政事业单位医疗</w:t>
      </w:r>
      <w:r>
        <w:rPr>
          <w:rStyle w:val="17"/>
          <w:rFonts w:hint="eastAsia" w:ascii="方正仿宋_GBK" w:hAnsi="方正仿宋_GBK" w:eastAsia="方正仿宋_GBK" w:cs="方正仿宋_GBK"/>
          <w:bCs/>
          <w:sz w:val="33"/>
          <w:szCs w:val="33"/>
        </w:rPr>
        <w:t>（款）</w:t>
      </w:r>
      <w:r>
        <w:rPr>
          <w:rStyle w:val="17"/>
          <w:rFonts w:hint="eastAsia" w:ascii="方正仿宋_GBK" w:hAnsi="方正仿宋_GBK" w:eastAsia="方正仿宋_GBK" w:cs="方正仿宋_GBK"/>
          <w:bCs/>
          <w:sz w:val="33"/>
          <w:szCs w:val="33"/>
          <w:lang w:eastAsia="zh-CN"/>
        </w:rPr>
        <w:t>公务员医疗补助</w:t>
      </w:r>
      <w:r>
        <w:rPr>
          <w:rStyle w:val="17"/>
          <w:rFonts w:hint="eastAsia" w:ascii="方正仿宋_GBK" w:hAnsi="方正仿宋_GBK" w:eastAsia="方正仿宋_GBK" w:cs="方正仿宋_GBK"/>
          <w:bCs/>
          <w:sz w:val="33"/>
          <w:szCs w:val="33"/>
        </w:rPr>
        <w:t>（项）:</w:t>
      </w:r>
      <w:r>
        <w:rPr>
          <w:rStyle w:val="17"/>
          <w:rFonts w:hint="eastAsia" w:ascii="方正仿宋_GBK" w:hAnsi="方正仿宋_GBK" w:eastAsia="方正仿宋_GBK" w:cs="方正仿宋_GBK"/>
          <w:b w:val="0"/>
          <w:bCs/>
          <w:sz w:val="33"/>
          <w:szCs w:val="33"/>
        </w:rPr>
        <w:t>支出决算为</w:t>
      </w:r>
      <w:r>
        <w:rPr>
          <w:rStyle w:val="17"/>
          <w:rFonts w:hint="eastAsia" w:ascii="方正仿宋_GBK" w:hAnsi="方正仿宋_GBK" w:eastAsia="方正仿宋_GBK" w:cs="方正仿宋_GBK"/>
          <w:b w:val="0"/>
          <w:bCs/>
          <w:sz w:val="33"/>
          <w:szCs w:val="33"/>
          <w:lang w:val="en-US" w:eastAsia="zh-CN"/>
        </w:rPr>
        <w:t>1.19</w:t>
      </w:r>
      <w:r>
        <w:rPr>
          <w:rStyle w:val="17"/>
          <w:rFonts w:hint="eastAsia" w:ascii="方正仿宋_GBK" w:hAnsi="方正仿宋_GBK" w:eastAsia="方正仿宋_GBK" w:cs="方正仿宋_GBK"/>
          <w:b w:val="0"/>
          <w:bCs/>
          <w:sz w:val="33"/>
          <w:szCs w:val="33"/>
        </w:rPr>
        <w:t>万元，完成预算</w:t>
      </w:r>
      <w:r>
        <w:rPr>
          <w:rStyle w:val="17"/>
          <w:rFonts w:hint="eastAsia" w:ascii="方正仿宋_GBK" w:hAnsi="方正仿宋_GBK" w:eastAsia="方正仿宋_GBK" w:cs="方正仿宋_GBK"/>
          <w:b w:val="0"/>
          <w:bCs/>
          <w:sz w:val="33"/>
          <w:szCs w:val="33"/>
          <w:lang w:val="en-US" w:eastAsia="zh-CN"/>
        </w:rPr>
        <w:t>100</w:t>
      </w:r>
      <w:r>
        <w:rPr>
          <w:rStyle w:val="17"/>
          <w:rFonts w:hint="eastAsia" w:ascii="方正仿宋_GBK" w:hAnsi="方正仿宋_GBK" w:eastAsia="方正仿宋_GBK" w:cs="方正仿宋_GBK"/>
          <w:b w:val="0"/>
          <w:bCs/>
          <w:sz w:val="33"/>
          <w:szCs w:val="33"/>
        </w:rPr>
        <w:t>%。</w:t>
      </w:r>
    </w:p>
    <w:p>
      <w:pPr>
        <w:spacing w:line="600" w:lineRule="exact"/>
        <w:ind w:firstLine="663" w:firstLineChars="200"/>
        <w:rPr>
          <w:rStyle w:val="17"/>
          <w:rFonts w:hint="eastAsia" w:ascii="方正仿宋_GBK" w:hAnsi="方正仿宋_GBK" w:eastAsia="方正仿宋_GBK" w:cs="方正仿宋_GBK"/>
          <w:b w:val="0"/>
          <w:bCs/>
          <w:sz w:val="33"/>
          <w:szCs w:val="33"/>
          <w:lang w:val="en-US" w:eastAsia="zh-CN"/>
        </w:rPr>
      </w:pPr>
      <w:r>
        <w:rPr>
          <w:rStyle w:val="17"/>
          <w:rFonts w:hint="eastAsia" w:ascii="方正仿宋_GBK" w:hAnsi="方正仿宋_GBK" w:eastAsia="方正仿宋_GBK" w:cs="方正仿宋_GBK"/>
          <w:bCs/>
          <w:sz w:val="33"/>
          <w:szCs w:val="33"/>
          <w:lang w:val="en-US" w:eastAsia="zh-CN"/>
        </w:rPr>
        <w:t>9</w:t>
      </w:r>
      <w:r>
        <w:rPr>
          <w:rStyle w:val="17"/>
          <w:rFonts w:hint="eastAsia" w:ascii="方正仿宋_GBK" w:hAnsi="方正仿宋_GBK" w:eastAsia="方正仿宋_GBK" w:cs="方正仿宋_GBK"/>
          <w:bCs/>
          <w:sz w:val="33"/>
          <w:szCs w:val="33"/>
        </w:rPr>
        <w:t>.</w:t>
      </w:r>
      <w:r>
        <w:rPr>
          <w:rFonts w:hint="eastAsia" w:ascii="方正仿宋_GBK" w:hAnsi="方正仿宋_GBK" w:eastAsia="方正仿宋_GBK" w:cs="方正仿宋_GBK"/>
          <w:b/>
          <w:bCs/>
          <w:sz w:val="33"/>
          <w:szCs w:val="33"/>
        </w:rPr>
        <w:t>卫生健康</w:t>
      </w:r>
      <w:r>
        <w:rPr>
          <w:rStyle w:val="17"/>
          <w:rFonts w:hint="eastAsia" w:ascii="方正仿宋_GBK" w:hAnsi="方正仿宋_GBK" w:eastAsia="方正仿宋_GBK" w:cs="方正仿宋_GBK"/>
          <w:bCs/>
          <w:sz w:val="33"/>
          <w:szCs w:val="33"/>
        </w:rPr>
        <w:t>（类）</w:t>
      </w:r>
      <w:r>
        <w:rPr>
          <w:rStyle w:val="17"/>
          <w:rFonts w:hint="eastAsia" w:ascii="方正仿宋_GBK" w:hAnsi="方正仿宋_GBK" w:eastAsia="方正仿宋_GBK" w:cs="方正仿宋_GBK"/>
          <w:bCs/>
          <w:sz w:val="33"/>
          <w:szCs w:val="33"/>
          <w:lang w:eastAsia="zh-CN"/>
        </w:rPr>
        <w:t>行政事业单位医疗</w:t>
      </w:r>
      <w:r>
        <w:rPr>
          <w:rStyle w:val="17"/>
          <w:rFonts w:hint="eastAsia" w:ascii="方正仿宋_GBK" w:hAnsi="方正仿宋_GBK" w:eastAsia="方正仿宋_GBK" w:cs="方正仿宋_GBK"/>
          <w:bCs/>
          <w:sz w:val="33"/>
          <w:szCs w:val="33"/>
        </w:rPr>
        <w:t>（款）</w:t>
      </w:r>
      <w:r>
        <w:rPr>
          <w:rStyle w:val="17"/>
          <w:rFonts w:hint="eastAsia" w:ascii="方正仿宋_GBK" w:hAnsi="方正仿宋_GBK" w:eastAsia="方正仿宋_GBK" w:cs="方正仿宋_GBK"/>
          <w:bCs/>
          <w:sz w:val="33"/>
          <w:szCs w:val="33"/>
          <w:lang w:eastAsia="zh-CN"/>
        </w:rPr>
        <w:t>其他行政事业单位医疗支出</w:t>
      </w:r>
      <w:r>
        <w:rPr>
          <w:rStyle w:val="17"/>
          <w:rFonts w:hint="eastAsia" w:ascii="方正仿宋_GBK" w:hAnsi="方正仿宋_GBK" w:eastAsia="方正仿宋_GBK" w:cs="方正仿宋_GBK"/>
          <w:bCs/>
          <w:sz w:val="33"/>
          <w:szCs w:val="33"/>
        </w:rPr>
        <w:t>（项）:</w:t>
      </w:r>
      <w:r>
        <w:rPr>
          <w:rStyle w:val="17"/>
          <w:rFonts w:hint="eastAsia" w:ascii="方正仿宋_GBK" w:hAnsi="方正仿宋_GBK" w:eastAsia="方正仿宋_GBK" w:cs="方正仿宋_GBK"/>
          <w:b w:val="0"/>
          <w:bCs/>
          <w:sz w:val="33"/>
          <w:szCs w:val="33"/>
        </w:rPr>
        <w:t>支出决算为</w:t>
      </w:r>
      <w:r>
        <w:rPr>
          <w:rStyle w:val="17"/>
          <w:rFonts w:hint="eastAsia" w:ascii="方正仿宋_GBK" w:hAnsi="方正仿宋_GBK" w:eastAsia="方正仿宋_GBK" w:cs="方正仿宋_GBK"/>
          <w:b w:val="0"/>
          <w:bCs/>
          <w:sz w:val="33"/>
          <w:szCs w:val="33"/>
          <w:lang w:val="en-US" w:eastAsia="zh-CN"/>
        </w:rPr>
        <w:t>7.33</w:t>
      </w:r>
      <w:r>
        <w:rPr>
          <w:rStyle w:val="17"/>
          <w:rFonts w:hint="eastAsia" w:ascii="方正仿宋_GBK" w:hAnsi="方正仿宋_GBK" w:eastAsia="方正仿宋_GBK" w:cs="方正仿宋_GBK"/>
          <w:b w:val="0"/>
          <w:bCs/>
          <w:sz w:val="33"/>
          <w:szCs w:val="33"/>
        </w:rPr>
        <w:t>万元，完成预算</w:t>
      </w:r>
      <w:r>
        <w:rPr>
          <w:rStyle w:val="17"/>
          <w:rFonts w:hint="eastAsia" w:ascii="方正仿宋_GBK" w:hAnsi="方正仿宋_GBK" w:eastAsia="方正仿宋_GBK" w:cs="方正仿宋_GBK"/>
          <w:b w:val="0"/>
          <w:bCs/>
          <w:sz w:val="33"/>
          <w:szCs w:val="33"/>
          <w:lang w:val="en-US" w:eastAsia="zh-CN"/>
        </w:rPr>
        <w:t>100</w:t>
      </w:r>
      <w:r>
        <w:rPr>
          <w:rStyle w:val="17"/>
          <w:rFonts w:hint="eastAsia" w:ascii="方正仿宋_GBK" w:hAnsi="方正仿宋_GBK" w:eastAsia="方正仿宋_GBK" w:cs="方正仿宋_GBK"/>
          <w:b w:val="0"/>
          <w:bCs/>
          <w:sz w:val="33"/>
          <w:szCs w:val="33"/>
        </w:rPr>
        <w:t>%。</w:t>
      </w:r>
      <w:r>
        <w:rPr>
          <w:rStyle w:val="17"/>
          <w:rFonts w:hint="eastAsia" w:ascii="方正仿宋_GBK" w:hAnsi="方正仿宋_GBK" w:eastAsia="方正仿宋_GBK" w:cs="方正仿宋_GBK"/>
          <w:b w:val="0"/>
          <w:bCs/>
          <w:sz w:val="33"/>
          <w:szCs w:val="33"/>
          <w:lang w:val="en-US" w:eastAsia="zh-CN"/>
        </w:rPr>
        <w:t xml:space="preserve"> </w:t>
      </w:r>
    </w:p>
    <w:p>
      <w:pPr>
        <w:pStyle w:val="2"/>
        <w:rPr>
          <w:rFonts w:hint="eastAsia" w:ascii="方正仿宋_GBK" w:hAnsi="方正仿宋_GBK" w:eastAsia="方正仿宋_GBK" w:cs="方正仿宋_GBK"/>
          <w:b/>
          <w:sz w:val="33"/>
          <w:szCs w:val="33"/>
        </w:rPr>
      </w:pPr>
      <w:r>
        <w:rPr>
          <w:rStyle w:val="17"/>
          <w:rFonts w:hint="eastAsia" w:ascii="方正仿宋_GBK" w:hAnsi="方正仿宋_GBK" w:eastAsia="方正仿宋_GBK" w:cs="方正仿宋_GBK"/>
          <w:b/>
          <w:bCs w:val="0"/>
          <w:sz w:val="33"/>
          <w:szCs w:val="33"/>
          <w:lang w:val="en-US" w:eastAsia="zh-CN"/>
        </w:rPr>
        <w:t xml:space="preserve">    10.</w:t>
      </w:r>
      <w:r>
        <w:rPr>
          <w:rFonts w:hint="eastAsia" w:ascii="方正仿宋_GBK" w:hAnsi="方正仿宋_GBK" w:eastAsia="方正仿宋_GBK" w:cs="方正仿宋_GBK"/>
          <w:b/>
          <w:bCs/>
          <w:sz w:val="33"/>
          <w:szCs w:val="33"/>
        </w:rPr>
        <w:t>住房保障</w:t>
      </w:r>
      <w:r>
        <w:rPr>
          <w:rStyle w:val="17"/>
          <w:rFonts w:hint="eastAsia" w:ascii="方正仿宋_GBK" w:hAnsi="方正仿宋_GBK" w:eastAsia="方正仿宋_GBK" w:cs="方正仿宋_GBK"/>
          <w:b/>
          <w:bCs/>
          <w:sz w:val="33"/>
          <w:szCs w:val="33"/>
        </w:rPr>
        <w:t>（类）住房改革支出（款）住房公积金（项）:</w:t>
      </w:r>
      <w:r>
        <w:rPr>
          <w:rStyle w:val="17"/>
          <w:rFonts w:hint="eastAsia" w:ascii="方正仿宋_GBK" w:hAnsi="方正仿宋_GBK" w:eastAsia="方正仿宋_GBK" w:cs="方正仿宋_GBK"/>
          <w:b w:val="0"/>
          <w:bCs/>
          <w:sz w:val="33"/>
          <w:szCs w:val="33"/>
        </w:rPr>
        <w:t>支出决算为</w:t>
      </w:r>
      <w:r>
        <w:rPr>
          <w:rStyle w:val="17"/>
          <w:rFonts w:hint="eastAsia" w:ascii="方正仿宋_GBK" w:hAnsi="方正仿宋_GBK" w:eastAsia="方正仿宋_GBK" w:cs="方正仿宋_GBK"/>
          <w:b w:val="0"/>
          <w:bCs/>
          <w:sz w:val="33"/>
          <w:szCs w:val="33"/>
          <w:lang w:val="en-US" w:eastAsia="zh-CN"/>
        </w:rPr>
        <w:t>20.04</w:t>
      </w:r>
      <w:r>
        <w:rPr>
          <w:rStyle w:val="17"/>
          <w:rFonts w:hint="eastAsia" w:ascii="方正仿宋_GBK" w:hAnsi="方正仿宋_GBK" w:eastAsia="方正仿宋_GBK" w:cs="方正仿宋_GBK"/>
          <w:b w:val="0"/>
          <w:bCs/>
          <w:sz w:val="33"/>
          <w:szCs w:val="33"/>
        </w:rPr>
        <w:t>万元，完成预算100%。</w:t>
      </w:r>
    </w:p>
    <w:p>
      <w:pPr>
        <w:tabs>
          <w:tab w:val="right" w:pos="8306"/>
        </w:tabs>
        <w:spacing w:line="600" w:lineRule="exact"/>
        <w:ind w:firstLine="640"/>
        <w:outlineLvl w:val="1"/>
        <w:rPr>
          <w:rStyle w:val="28"/>
          <w:rFonts w:hint="eastAsia" w:ascii="方正仿宋_GBK" w:hAnsi="方正仿宋_GBK" w:eastAsia="方正仿宋_GBK" w:cs="方正仿宋_GBK"/>
          <w:sz w:val="33"/>
          <w:szCs w:val="33"/>
        </w:rPr>
      </w:pPr>
      <w:bookmarkStart w:id="34" w:name="_Toc15377214"/>
      <w:bookmarkStart w:id="35" w:name="_Toc15396608"/>
      <w:r>
        <w:rPr>
          <w:rFonts w:hint="eastAsia" w:ascii="方正黑体_GBK" w:hAnsi="方正黑体_GBK" w:eastAsia="方正黑体_GBK" w:cs="方正黑体_GBK"/>
          <w:sz w:val="33"/>
          <w:szCs w:val="33"/>
        </w:rPr>
        <w:t>六</w:t>
      </w:r>
      <w:r>
        <w:rPr>
          <w:rFonts w:hint="eastAsia" w:ascii="方正黑体_GBK" w:hAnsi="方正黑体_GBK" w:eastAsia="方正黑体_GBK" w:cs="方正黑体_GBK"/>
          <w:b/>
          <w:sz w:val="33"/>
          <w:szCs w:val="33"/>
        </w:rPr>
        <w:t>、一</w:t>
      </w:r>
      <w:r>
        <w:rPr>
          <w:rStyle w:val="28"/>
          <w:rFonts w:hint="eastAsia" w:ascii="方正黑体_GBK" w:hAnsi="方正黑体_GBK" w:eastAsia="方正黑体_GBK" w:cs="方正黑体_GBK"/>
          <w:b w:val="0"/>
          <w:sz w:val="33"/>
          <w:szCs w:val="33"/>
        </w:rPr>
        <w:t>般公共预算财政拨款基本支出决算情况说明</w:t>
      </w:r>
      <w:bookmarkEnd w:id="34"/>
      <w:bookmarkEnd w:id="35"/>
      <w:r>
        <w:rPr>
          <w:rStyle w:val="28"/>
          <w:rFonts w:hint="eastAsia" w:ascii="方正仿宋_GBK" w:hAnsi="方正仿宋_GBK" w:eastAsia="方正仿宋_GBK" w:cs="方正仿宋_GBK"/>
          <w:b w:val="0"/>
          <w:sz w:val="33"/>
          <w:szCs w:val="33"/>
        </w:rPr>
        <w:tab/>
      </w:r>
    </w:p>
    <w:p>
      <w:pPr>
        <w:spacing w:line="600" w:lineRule="exact"/>
        <w:ind w:firstLine="645"/>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2023年度一般公共预算财政拨款基本支出297.64万元，其中：</w:t>
      </w:r>
    </w:p>
    <w:p>
      <w:pPr>
        <w:spacing w:line="600" w:lineRule="exact"/>
        <w:ind w:firstLine="645"/>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人员经费272.3万元，主要包括：基本工资、津贴补贴、奖金、绩效工资、机关事业单位基本养老保险缴费、职业年金缴费、</w:t>
      </w:r>
      <w:r>
        <w:rPr>
          <w:rFonts w:hint="eastAsia" w:ascii="方正仿宋_GBK" w:hAnsi="方正仿宋_GBK" w:eastAsia="方正仿宋_GBK" w:cs="方正仿宋_GBK"/>
          <w:sz w:val="33"/>
          <w:szCs w:val="33"/>
          <w:lang w:eastAsia="zh-CN"/>
        </w:rPr>
        <w:t>职工基本医疗保险缴费、公务员医疗补助缴费、</w:t>
      </w:r>
      <w:r>
        <w:rPr>
          <w:rFonts w:hint="eastAsia" w:ascii="方正仿宋_GBK" w:hAnsi="方正仿宋_GBK" w:eastAsia="方正仿宋_GBK" w:cs="方正仿宋_GBK"/>
          <w:sz w:val="33"/>
          <w:szCs w:val="33"/>
        </w:rPr>
        <w:t>其他社会保障</w:t>
      </w:r>
      <w:r>
        <w:rPr>
          <w:rFonts w:hint="eastAsia" w:ascii="方正仿宋_GBK" w:hAnsi="方正仿宋_GBK" w:eastAsia="方正仿宋_GBK" w:cs="方正仿宋_GBK"/>
          <w:color w:val="auto"/>
          <w:sz w:val="33"/>
          <w:szCs w:val="33"/>
        </w:rPr>
        <w:t>缴费、住房公积金、</w:t>
      </w:r>
      <w:r>
        <w:rPr>
          <w:rFonts w:hint="eastAsia" w:ascii="方正仿宋_GBK" w:hAnsi="方正仿宋_GBK" w:eastAsia="方正仿宋_GBK" w:cs="方正仿宋_GBK"/>
          <w:sz w:val="33"/>
          <w:szCs w:val="33"/>
        </w:rPr>
        <w:t>医疗费、其他工资福利支出</w:t>
      </w:r>
      <w:r>
        <w:rPr>
          <w:rFonts w:hint="eastAsia" w:ascii="方正仿宋_GBK" w:hAnsi="方正仿宋_GBK" w:eastAsia="方正仿宋_GBK" w:cs="方正仿宋_GBK"/>
          <w:sz w:val="33"/>
          <w:szCs w:val="33"/>
          <w:lang w:eastAsia="zh-CN"/>
        </w:rPr>
        <w:t>、</w:t>
      </w:r>
      <w:r>
        <w:rPr>
          <w:rFonts w:hint="eastAsia" w:ascii="方正仿宋_GBK" w:hAnsi="方正仿宋_GBK" w:eastAsia="方正仿宋_GBK" w:cs="方正仿宋_GBK"/>
          <w:sz w:val="33"/>
          <w:szCs w:val="33"/>
        </w:rPr>
        <w:t>生活补助、医疗费</w:t>
      </w:r>
      <w:r>
        <w:rPr>
          <w:rFonts w:hint="eastAsia" w:ascii="方正仿宋_GBK" w:hAnsi="方正仿宋_GBK" w:eastAsia="方正仿宋_GBK" w:cs="方正仿宋_GBK"/>
          <w:sz w:val="33"/>
          <w:szCs w:val="33"/>
          <w:lang w:eastAsia="zh-CN"/>
        </w:rPr>
        <w:t>补助、</w:t>
      </w:r>
      <w:r>
        <w:rPr>
          <w:rFonts w:hint="eastAsia" w:ascii="方正仿宋_GBK" w:hAnsi="方正仿宋_GBK" w:eastAsia="方正仿宋_GBK" w:cs="方正仿宋_GBK"/>
          <w:sz w:val="33"/>
          <w:szCs w:val="33"/>
        </w:rPr>
        <w:t>奖励金</w:t>
      </w:r>
      <w:r>
        <w:rPr>
          <w:rFonts w:hint="eastAsia" w:ascii="方正仿宋_GBK" w:hAnsi="方正仿宋_GBK" w:eastAsia="方正仿宋_GBK" w:cs="方正仿宋_GBK"/>
          <w:sz w:val="33"/>
          <w:szCs w:val="33"/>
          <w:lang w:eastAsia="zh-CN"/>
        </w:rPr>
        <w:t>等支出</w:t>
      </w:r>
      <w:r>
        <w:rPr>
          <w:rFonts w:hint="eastAsia" w:ascii="方正仿宋_GBK" w:hAnsi="方正仿宋_GBK" w:eastAsia="方正仿宋_GBK" w:cs="方正仿宋_GBK"/>
          <w:sz w:val="33"/>
          <w:szCs w:val="33"/>
        </w:rPr>
        <w:t>。</w:t>
      </w:r>
      <w:r>
        <w:rPr>
          <w:rFonts w:hint="eastAsia" w:ascii="方正仿宋_GBK" w:hAnsi="方正仿宋_GBK" w:eastAsia="方正仿宋_GBK" w:cs="方正仿宋_GBK"/>
          <w:sz w:val="33"/>
          <w:szCs w:val="33"/>
        </w:rPr>
        <w:br w:type="textWrapping"/>
      </w:r>
      <w:r>
        <w:rPr>
          <w:rFonts w:hint="eastAsia" w:ascii="方正仿宋_GBK" w:hAnsi="方正仿宋_GBK" w:eastAsia="方正仿宋_GBK" w:cs="方正仿宋_GBK"/>
          <w:sz w:val="33"/>
          <w:szCs w:val="33"/>
        </w:rPr>
        <w:t>　　公用经费25.34万元，主要包括：办公费、电费、邮电费、差旅费、劳务费、委托业务费、工会经费、福利费</w:t>
      </w:r>
      <w:r>
        <w:rPr>
          <w:rFonts w:hint="eastAsia" w:ascii="方正仿宋_GBK" w:hAnsi="方正仿宋_GBK" w:eastAsia="方正仿宋_GBK" w:cs="方正仿宋_GBK"/>
          <w:sz w:val="33"/>
          <w:szCs w:val="33"/>
          <w:lang w:eastAsia="zh-CN"/>
        </w:rPr>
        <w:t>、</w:t>
      </w:r>
      <w:r>
        <w:rPr>
          <w:rFonts w:hint="eastAsia" w:ascii="方正仿宋_GBK" w:hAnsi="方正仿宋_GBK" w:eastAsia="方正仿宋_GBK" w:cs="方正仿宋_GBK"/>
          <w:sz w:val="33"/>
          <w:szCs w:val="33"/>
        </w:rPr>
        <w:t>其他交通费</w:t>
      </w:r>
      <w:r>
        <w:rPr>
          <w:rFonts w:hint="eastAsia" w:ascii="方正仿宋_GBK" w:hAnsi="方正仿宋_GBK" w:eastAsia="方正仿宋_GBK" w:cs="方正仿宋_GBK"/>
          <w:sz w:val="33"/>
          <w:szCs w:val="33"/>
          <w:lang w:eastAsia="zh-CN"/>
        </w:rPr>
        <w:t>、</w:t>
      </w:r>
      <w:r>
        <w:rPr>
          <w:rFonts w:hint="eastAsia" w:ascii="方正仿宋_GBK" w:hAnsi="方正仿宋_GBK" w:eastAsia="方正仿宋_GBK" w:cs="方正仿宋_GBK"/>
          <w:sz w:val="33"/>
          <w:szCs w:val="33"/>
        </w:rPr>
        <w:t>其他商品和服务支出等。</w:t>
      </w:r>
    </w:p>
    <w:p>
      <w:pPr>
        <w:spacing w:line="600" w:lineRule="exact"/>
        <w:ind w:firstLine="640"/>
        <w:outlineLvl w:val="1"/>
        <w:rPr>
          <w:rStyle w:val="28"/>
          <w:rFonts w:hint="eastAsia" w:ascii="方正黑体_GBK" w:hAnsi="方正黑体_GBK" w:eastAsia="方正黑体_GBK" w:cs="方正黑体_GBK"/>
          <w:b w:val="0"/>
          <w:sz w:val="33"/>
          <w:szCs w:val="33"/>
        </w:rPr>
      </w:pPr>
      <w:bookmarkStart w:id="36" w:name="_Toc15396609"/>
      <w:bookmarkStart w:id="37" w:name="_Toc15377215"/>
      <w:r>
        <w:rPr>
          <w:rFonts w:hint="eastAsia" w:ascii="方正黑体_GBK" w:hAnsi="方正黑体_GBK" w:eastAsia="方正黑体_GBK" w:cs="方正黑体_GBK"/>
          <w:sz w:val="33"/>
          <w:szCs w:val="33"/>
        </w:rPr>
        <w:t>七、</w:t>
      </w:r>
      <w:r>
        <w:rPr>
          <w:rStyle w:val="28"/>
          <w:rFonts w:hint="eastAsia" w:ascii="方正黑体_GBK" w:hAnsi="方正黑体_GBK" w:eastAsia="方正黑体_GBK" w:cs="方正黑体_GBK"/>
          <w:b w:val="0"/>
          <w:sz w:val="33"/>
          <w:szCs w:val="33"/>
        </w:rPr>
        <w:t>财政拨款</w:t>
      </w:r>
      <w:r>
        <w:rPr>
          <w:rStyle w:val="28"/>
          <w:rFonts w:hint="eastAsia" w:ascii="方正黑体_GBK" w:hAnsi="方正黑体_GBK" w:eastAsia="方正黑体_GBK" w:cs="方正黑体_GBK"/>
          <w:sz w:val="33"/>
          <w:szCs w:val="33"/>
        </w:rPr>
        <w:t>“</w:t>
      </w:r>
      <w:r>
        <w:rPr>
          <w:rStyle w:val="28"/>
          <w:rFonts w:hint="eastAsia" w:ascii="方正黑体_GBK" w:hAnsi="方正黑体_GBK" w:eastAsia="方正黑体_GBK" w:cs="方正黑体_GBK"/>
          <w:b w:val="0"/>
          <w:sz w:val="33"/>
          <w:szCs w:val="33"/>
        </w:rPr>
        <w:t>三公”经费支出决算情况说明</w:t>
      </w:r>
      <w:bookmarkEnd w:id="36"/>
      <w:bookmarkEnd w:id="37"/>
    </w:p>
    <w:p>
      <w:pPr>
        <w:spacing w:line="600" w:lineRule="exact"/>
        <w:ind w:firstLine="640"/>
        <w:outlineLvl w:val="2"/>
        <w:rPr>
          <w:rFonts w:hint="eastAsia" w:ascii="方正楷体_GBK" w:hAnsi="方正楷体_GBK" w:eastAsia="方正楷体_GBK" w:cs="方正楷体_GBK"/>
          <w:b/>
          <w:sz w:val="33"/>
          <w:szCs w:val="33"/>
        </w:rPr>
      </w:pPr>
      <w:bookmarkStart w:id="38" w:name="_Toc15377216"/>
      <w:r>
        <w:rPr>
          <w:rFonts w:hint="eastAsia" w:ascii="方正楷体_GBK" w:hAnsi="方正楷体_GBK" w:eastAsia="方正楷体_GBK" w:cs="方正楷体_GBK"/>
          <w:b/>
          <w:sz w:val="33"/>
          <w:szCs w:val="33"/>
          <w:lang w:eastAsia="zh-CN"/>
        </w:rPr>
        <w:t>（一）</w:t>
      </w:r>
      <w:r>
        <w:rPr>
          <w:rFonts w:hint="eastAsia" w:ascii="方正楷体_GBK" w:hAnsi="方正楷体_GBK" w:eastAsia="方正楷体_GBK" w:cs="方正楷体_GBK"/>
          <w:b/>
          <w:sz w:val="33"/>
          <w:szCs w:val="33"/>
        </w:rPr>
        <w:t>“三公”经费财政拨款支出决算总体情况说明</w:t>
      </w:r>
      <w:bookmarkEnd w:id="38"/>
    </w:p>
    <w:p>
      <w:pPr>
        <w:spacing w:line="600" w:lineRule="exact"/>
        <w:ind w:firstLine="64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2023年度“三公”经费财政拨款支出决算为0万元，完成预算0%，较上年度减少</w:t>
      </w:r>
      <w:r>
        <w:rPr>
          <w:rFonts w:hint="eastAsia" w:ascii="方正仿宋_GBK" w:hAnsi="方正仿宋_GBK" w:eastAsia="方正仿宋_GBK" w:cs="方正仿宋_GBK"/>
          <w:sz w:val="33"/>
          <w:szCs w:val="33"/>
          <w:lang w:val="en-US" w:eastAsia="zh-CN"/>
        </w:rPr>
        <w:t>0.08</w:t>
      </w:r>
      <w:r>
        <w:rPr>
          <w:rFonts w:hint="eastAsia" w:ascii="方正仿宋_GBK" w:hAnsi="方正仿宋_GBK" w:eastAsia="方正仿宋_GBK" w:cs="方正仿宋_GBK"/>
          <w:sz w:val="33"/>
          <w:szCs w:val="33"/>
        </w:rPr>
        <w:t>万元，下降</w:t>
      </w:r>
      <w:r>
        <w:rPr>
          <w:rFonts w:hint="eastAsia" w:ascii="方正仿宋_GBK" w:hAnsi="方正仿宋_GBK" w:eastAsia="方正仿宋_GBK" w:cs="方正仿宋_GBK"/>
          <w:sz w:val="33"/>
          <w:szCs w:val="33"/>
          <w:lang w:val="en-US" w:eastAsia="zh-CN"/>
        </w:rPr>
        <w:t>100</w:t>
      </w:r>
      <w:r>
        <w:rPr>
          <w:rFonts w:hint="eastAsia" w:ascii="方正仿宋_GBK" w:hAnsi="方正仿宋_GBK" w:eastAsia="方正仿宋_GBK" w:cs="方正仿宋_GBK"/>
          <w:sz w:val="33"/>
          <w:szCs w:val="33"/>
        </w:rPr>
        <w:t>%。</w:t>
      </w:r>
      <w:bookmarkStart w:id="39" w:name="_Toc15396610"/>
      <w:bookmarkStart w:id="40" w:name="_Toc15377218"/>
    </w:p>
    <w:p>
      <w:pPr>
        <w:spacing w:line="600" w:lineRule="exact"/>
        <w:ind w:firstLine="640"/>
        <w:outlineLvl w:val="1"/>
        <w:rPr>
          <w:rFonts w:hint="eastAsia" w:ascii="方正黑体_GBK" w:hAnsi="方正黑体_GBK" w:eastAsia="方正黑体_GBK" w:cs="方正黑体_GBK"/>
          <w:sz w:val="33"/>
          <w:szCs w:val="33"/>
        </w:rPr>
      </w:pPr>
    </w:p>
    <w:p>
      <w:pPr>
        <w:spacing w:line="600" w:lineRule="exact"/>
        <w:ind w:firstLine="640"/>
        <w:outlineLvl w:val="1"/>
        <w:rPr>
          <w:rStyle w:val="28"/>
          <w:rFonts w:hint="eastAsia" w:ascii="方正黑体_GBK" w:hAnsi="方正黑体_GBK" w:eastAsia="方正黑体_GBK" w:cs="方正黑体_GBK"/>
          <w:sz w:val="33"/>
          <w:szCs w:val="33"/>
        </w:rPr>
      </w:pPr>
      <w:r>
        <w:rPr>
          <w:rFonts w:hint="eastAsia" w:ascii="方正黑体_GBK" w:hAnsi="方正黑体_GBK" w:eastAsia="方正黑体_GBK" w:cs="方正黑体_GBK"/>
          <w:sz w:val="33"/>
          <w:szCs w:val="33"/>
        </w:rPr>
        <w:t>八、</w:t>
      </w:r>
      <w:r>
        <w:rPr>
          <w:rStyle w:val="28"/>
          <w:rFonts w:hint="eastAsia" w:ascii="方正黑体_GBK" w:hAnsi="方正黑体_GBK" w:eastAsia="方正黑体_GBK" w:cs="方正黑体_GBK"/>
          <w:b w:val="0"/>
          <w:sz w:val="33"/>
          <w:szCs w:val="33"/>
        </w:rPr>
        <w:t>政府性基金预算支出决算情况说明</w:t>
      </w:r>
      <w:bookmarkEnd w:id="39"/>
      <w:bookmarkEnd w:id="40"/>
    </w:p>
    <w:p>
      <w:pPr>
        <w:spacing w:line="600" w:lineRule="exact"/>
        <w:ind w:firstLine="64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2023年度政府性基金预算财政拨款支出0万元。</w:t>
      </w:r>
    </w:p>
    <w:p>
      <w:pPr>
        <w:numPr>
          <w:ilvl w:val="0"/>
          <w:numId w:val="4"/>
        </w:numPr>
        <w:spacing w:line="600" w:lineRule="exact"/>
        <w:ind w:firstLine="640"/>
        <w:outlineLvl w:val="1"/>
        <w:rPr>
          <w:rStyle w:val="28"/>
          <w:rFonts w:hint="eastAsia" w:ascii="方正黑体_GBK" w:hAnsi="方正黑体_GBK" w:eastAsia="方正黑体_GBK" w:cs="方正黑体_GBK"/>
          <w:b w:val="0"/>
          <w:sz w:val="33"/>
          <w:szCs w:val="33"/>
        </w:rPr>
      </w:pPr>
      <w:bookmarkStart w:id="41" w:name="_Toc15396611"/>
      <w:bookmarkStart w:id="42" w:name="_Toc15377219"/>
      <w:r>
        <w:rPr>
          <w:rStyle w:val="28"/>
          <w:rFonts w:hint="eastAsia" w:ascii="方正黑体_GBK" w:hAnsi="方正黑体_GBK" w:eastAsia="方正黑体_GBK" w:cs="方正黑体_GBK"/>
          <w:b w:val="0"/>
          <w:sz w:val="33"/>
          <w:szCs w:val="33"/>
        </w:rPr>
        <w:t>国有资本经营预算支出决算情况说明</w:t>
      </w:r>
      <w:bookmarkEnd w:id="41"/>
      <w:bookmarkEnd w:id="42"/>
    </w:p>
    <w:p>
      <w:pPr>
        <w:spacing w:line="600" w:lineRule="exact"/>
        <w:ind w:firstLine="640"/>
        <w:rPr>
          <w:rFonts w:ascii="方正小标宋简体" w:hAnsi="方正小标宋简体" w:eastAsia="方正小标宋简体" w:cs="方正小标宋简体"/>
          <w:sz w:val="44"/>
          <w:szCs w:val="44"/>
        </w:rPr>
      </w:pPr>
      <w:r>
        <w:rPr>
          <w:rFonts w:hint="eastAsia" w:ascii="方正仿宋_GBK" w:hAnsi="方正仿宋_GBK" w:eastAsia="方正仿宋_GBK" w:cs="方正仿宋_GBK"/>
          <w:sz w:val="33"/>
          <w:szCs w:val="33"/>
        </w:rPr>
        <w:t>2023年度国有资本经营预算财政拨款支出0万元。</w:t>
      </w:r>
    </w:p>
    <w:p>
      <w:pPr>
        <w:numPr>
          <w:ilvl w:val="0"/>
          <w:numId w:val="4"/>
        </w:numPr>
        <w:spacing w:line="600" w:lineRule="exact"/>
        <w:ind w:firstLine="640"/>
        <w:outlineLvl w:val="1"/>
        <w:rPr>
          <w:rStyle w:val="28"/>
          <w:rFonts w:hint="eastAsia" w:ascii="方正黑体_GBK" w:hAnsi="方正黑体_GBK" w:eastAsia="方正黑体_GBK" w:cs="方正黑体_GBK"/>
          <w:b w:val="0"/>
          <w:sz w:val="33"/>
          <w:szCs w:val="33"/>
        </w:rPr>
      </w:pPr>
      <w:bookmarkStart w:id="43" w:name="_Toc15377221"/>
      <w:bookmarkStart w:id="44" w:name="_Toc15396612"/>
      <w:r>
        <w:rPr>
          <w:rStyle w:val="28"/>
          <w:rFonts w:hint="eastAsia" w:ascii="方正黑体_GBK" w:hAnsi="方正黑体_GBK" w:eastAsia="方正黑体_GBK" w:cs="方正黑体_GBK"/>
          <w:b w:val="0"/>
          <w:sz w:val="33"/>
          <w:szCs w:val="33"/>
        </w:rPr>
        <w:t>其他重要事项的情况说明</w:t>
      </w:r>
      <w:bookmarkEnd w:id="43"/>
      <w:bookmarkEnd w:id="44"/>
    </w:p>
    <w:p>
      <w:pPr>
        <w:spacing w:line="600" w:lineRule="exact"/>
        <w:ind w:firstLine="663" w:firstLineChars="200"/>
        <w:outlineLvl w:val="2"/>
        <w:rPr>
          <w:rFonts w:hint="eastAsia" w:ascii="方正楷体_GBK" w:hAnsi="方正楷体_GBK" w:eastAsia="方正楷体_GBK" w:cs="方正楷体_GBK"/>
          <w:sz w:val="33"/>
          <w:szCs w:val="33"/>
        </w:rPr>
      </w:pPr>
      <w:bookmarkStart w:id="45" w:name="_Toc15377222"/>
      <w:r>
        <w:rPr>
          <w:rFonts w:hint="eastAsia" w:ascii="方正楷体_GBK" w:hAnsi="方正楷体_GBK" w:eastAsia="方正楷体_GBK" w:cs="方正楷体_GBK"/>
          <w:b/>
          <w:sz w:val="33"/>
          <w:szCs w:val="33"/>
        </w:rPr>
        <w:t>（一）机关运行经费支出情况</w:t>
      </w:r>
      <w:bookmarkEnd w:id="45"/>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2023年度，中共盐边县委机构编制委员会办公室机关运行经费支出25.34万元，比2022年度增加</w:t>
      </w:r>
      <w:r>
        <w:rPr>
          <w:rFonts w:hint="eastAsia" w:ascii="方正仿宋_GBK" w:hAnsi="方正仿宋_GBK" w:eastAsia="方正仿宋_GBK" w:cs="方正仿宋_GBK"/>
          <w:sz w:val="33"/>
          <w:szCs w:val="33"/>
          <w:lang w:val="en-US" w:eastAsia="zh-CN"/>
        </w:rPr>
        <w:t>3.62</w:t>
      </w:r>
      <w:r>
        <w:rPr>
          <w:rFonts w:hint="eastAsia" w:ascii="方正仿宋_GBK" w:hAnsi="方正仿宋_GBK" w:eastAsia="方正仿宋_GBK" w:cs="方正仿宋_GBK"/>
          <w:sz w:val="33"/>
          <w:szCs w:val="33"/>
        </w:rPr>
        <w:t>万元，增长</w:t>
      </w:r>
      <w:r>
        <w:rPr>
          <w:rFonts w:hint="eastAsia" w:ascii="方正仿宋_GBK" w:hAnsi="方正仿宋_GBK" w:eastAsia="方正仿宋_GBK" w:cs="方正仿宋_GBK"/>
          <w:sz w:val="33"/>
          <w:szCs w:val="33"/>
          <w:lang w:val="en-US" w:eastAsia="zh-CN"/>
        </w:rPr>
        <w:t>16.67</w:t>
      </w:r>
      <w:r>
        <w:rPr>
          <w:rFonts w:hint="eastAsia" w:ascii="方正仿宋_GBK" w:hAnsi="方正仿宋_GBK" w:eastAsia="方正仿宋_GBK" w:cs="方正仿宋_GBK"/>
          <w:sz w:val="33"/>
          <w:szCs w:val="33"/>
        </w:rPr>
        <w:t>%。主要原因是</w:t>
      </w:r>
      <w:r>
        <w:rPr>
          <w:rFonts w:hint="eastAsia" w:ascii="方正仿宋_GBK" w:hAnsi="方正仿宋_GBK" w:eastAsia="方正仿宋_GBK" w:cs="方正仿宋_GBK"/>
          <w:sz w:val="33"/>
          <w:szCs w:val="33"/>
          <w:lang w:eastAsia="zh-CN"/>
        </w:rPr>
        <w:t>人员增加</w:t>
      </w:r>
      <w:r>
        <w:rPr>
          <w:rFonts w:hint="eastAsia" w:ascii="方正仿宋_GBK" w:hAnsi="方正仿宋_GBK" w:eastAsia="方正仿宋_GBK" w:cs="方正仿宋_GBK"/>
          <w:sz w:val="33"/>
          <w:szCs w:val="33"/>
        </w:rPr>
        <w:t>。</w:t>
      </w:r>
    </w:p>
    <w:p>
      <w:pPr>
        <w:spacing w:line="600" w:lineRule="exact"/>
        <w:ind w:firstLine="663" w:firstLineChars="200"/>
        <w:outlineLvl w:val="2"/>
        <w:rPr>
          <w:rFonts w:hint="eastAsia" w:ascii="方正楷体_GBK" w:hAnsi="方正楷体_GBK" w:eastAsia="方正楷体_GBK" w:cs="方正楷体_GBK"/>
          <w:b/>
          <w:sz w:val="33"/>
          <w:szCs w:val="33"/>
        </w:rPr>
      </w:pPr>
      <w:bookmarkStart w:id="46" w:name="_Toc15377223"/>
      <w:r>
        <w:rPr>
          <w:rFonts w:hint="eastAsia" w:ascii="方正楷体_GBK" w:hAnsi="方正楷体_GBK" w:eastAsia="方正楷体_GBK" w:cs="方正楷体_GBK"/>
          <w:b/>
          <w:sz w:val="33"/>
          <w:szCs w:val="33"/>
        </w:rPr>
        <w:t>（二）政府采购支出情况</w:t>
      </w:r>
      <w:bookmarkEnd w:id="46"/>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2023年度，中共盐边县委机构编制委员会办公室政府采购支出总额0.63万元，其中：政府采购货物支出0.63万元、政府采购工程支出0万元、政府采购服务支出0万元。主要用于</w:t>
      </w:r>
      <w:r>
        <w:rPr>
          <w:rFonts w:hint="eastAsia" w:ascii="方正仿宋_GBK" w:hAnsi="方正仿宋_GBK" w:eastAsia="方正仿宋_GBK" w:cs="方正仿宋_GBK"/>
          <w:sz w:val="33"/>
          <w:szCs w:val="33"/>
          <w:lang w:eastAsia="zh-CN"/>
        </w:rPr>
        <w:t>办公室控温</w:t>
      </w:r>
      <w:r>
        <w:rPr>
          <w:rFonts w:hint="eastAsia" w:ascii="方正仿宋_GBK" w:hAnsi="方正仿宋_GBK" w:eastAsia="方正仿宋_GBK" w:cs="方正仿宋_GBK"/>
          <w:sz w:val="33"/>
          <w:szCs w:val="33"/>
        </w:rPr>
        <w:t>。授予中小企业合同金额0.63万元，占政府采购支出总额的100%，其中：授予小微企业合同金额0.63万元，占政府采购支出总额的100%。</w:t>
      </w:r>
    </w:p>
    <w:p>
      <w:pPr>
        <w:spacing w:line="600" w:lineRule="exact"/>
        <w:ind w:firstLine="663" w:firstLineChars="200"/>
        <w:outlineLvl w:val="2"/>
        <w:rPr>
          <w:rFonts w:hint="eastAsia" w:ascii="方正楷体_GBK" w:hAnsi="方正楷体_GBK" w:eastAsia="方正楷体_GBK" w:cs="方正楷体_GBK"/>
          <w:b/>
          <w:sz w:val="33"/>
          <w:szCs w:val="33"/>
        </w:rPr>
      </w:pPr>
      <w:bookmarkStart w:id="47" w:name="_Toc15377224"/>
      <w:r>
        <w:rPr>
          <w:rFonts w:hint="eastAsia" w:ascii="方正楷体_GBK" w:hAnsi="方正楷体_GBK" w:eastAsia="方正楷体_GBK" w:cs="方正楷体_GBK"/>
          <w:b/>
          <w:sz w:val="33"/>
          <w:szCs w:val="33"/>
        </w:rPr>
        <w:t>（三）国有资产占有使用情况</w:t>
      </w:r>
      <w:bookmarkEnd w:id="47"/>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截至2023年12月31日，中共盐边县委机构编制委员会办公室共有车辆0辆。单价100万元以上设备（不含车辆）0台（套）。</w:t>
      </w:r>
    </w:p>
    <w:p>
      <w:pPr>
        <w:spacing w:line="600" w:lineRule="exact"/>
        <w:ind w:firstLine="663" w:firstLineChars="200"/>
        <w:outlineLvl w:val="2"/>
        <w:rPr>
          <w:rFonts w:hint="eastAsia" w:ascii="方正楷体_GBK" w:hAnsi="方正楷体_GBK" w:eastAsia="方正楷体_GBK" w:cs="方正楷体_GBK"/>
          <w:b/>
          <w:sz w:val="33"/>
          <w:szCs w:val="33"/>
        </w:rPr>
      </w:pPr>
      <w:r>
        <w:rPr>
          <w:rFonts w:hint="eastAsia" w:ascii="方正楷体_GBK" w:hAnsi="方正楷体_GBK" w:eastAsia="方正楷体_GBK" w:cs="方正楷体_GBK"/>
          <w:b/>
          <w:sz w:val="33"/>
          <w:szCs w:val="33"/>
        </w:rPr>
        <w:t>（四）预算绩效管理情况</w:t>
      </w:r>
    </w:p>
    <w:p>
      <w:pPr>
        <w:spacing w:line="58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根据预算绩效管理要求，本部门在2023年度预算编制阶段，组织对</w:t>
      </w:r>
      <w:r>
        <w:rPr>
          <w:rFonts w:hint="eastAsia" w:ascii="方正仿宋_GBK" w:hAnsi="方正仿宋_GBK" w:eastAsia="方正仿宋_GBK" w:cs="方正仿宋_GBK"/>
          <w:sz w:val="33"/>
          <w:szCs w:val="33"/>
          <w:lang w:eastAsia="zh-CN"/>
        </w:rPr>
        <w:t>机关事业单位改革经费</w:t>
      </w:r>
      <w:r>
        <w:rPr>
          <w:rFonts w:hint="eastAsia" w:ascii="方正仿宋_GBK" w:hAnsi="方正仿宋_GBK" w:eastAsia="方正仿宋_GBK" w:cs="方正仿宋_GBK"/>
          <w:sz w:val="33"/>
          <w:szCs w:val="33"/>
        </w:rPr>
        <w:t>项目开展了预算事前绩效评估，对</w:t>
      </w:r>
      <w:r>
        <w:rPr>
          <w:rFonts w:hint="eastAsia" w:ascii="方正仿宋_GBK" w:hAnsi="方正仿宋_GBK" w:eastAsia="方正仿宋_GBK" w:cs="方正仿宋_GBK"/>
          <w:sz w:val="33"/>
          <w:szCs w:val="33"/>
          <w:lang w:val="en-US" w:eastAsia="zh-CN"/>
        </w:rPr>
        <w:t>1</w:t>
      </w:r>
      <w:r>
        <w:rPr>
          <w:rFonts w:hint="eastAsia" w:ascii="方正仿宋_GBK" w:hAnsi="方正仿宋_GBK" w:eastAsia="方正仿宋_GBK" w:cs="方正仿宋_GBK"/>
          <w:sz w:val="33"/>
          <w:szCs w:val="33"/>
        </w:rPr>
        <w:t>个项目编制了绩效目标，预算执行过程中，选取</w:t>
      </w:r>
      <w:r>
        <w:rPr>
          <w:rFonts w:hint="eastAsia" w:ascii="方正仿宋_GBK" w:hAnsi="方正仿宋_GBK" w:eastAsia="方正仿宋_GBK" w:cs="方正仿宋_GBK"/>
          <w:sz w:val="33"/>
          <w:szCs w:val="33"/>
          <w:lang w:val="en-US" w:eastAsia="zh-CN"/>
        </w:rPr>
        <w:t>1</w:t>
      </w:r>
      <w:r>
        <w:rPr>
          <w:rFonts w:hint="eastAsia" w:ascii="方正仿宋_GBK" w:hAnsi="方正仿宋_GBK" w:eastAsia="方正仿宋_GBK" w:cs="方正仿宋_GBK"/>
          <w:sz w:val="33"/>
          <w:szCs w:val="33"/>
        </w:rPr>
        <w:t>个项目开展绩效监控。</w:t>
      </w:r>
    </w:p>
    <w:p>
      <w:pPr>
        <w:pStyle w:val="2"/>
        <w:rPr>
          <w:rFonts w:hint="eastAsia" w:ascii="方正仿宋_GBK" w:hAnsi="方正仿宋_GBK" w:eastAsia="方正仿宋_GBK" w:cs="方正仿宋_GBK"/>
          <w:sz w:val="33"/>
          <w:szCs w:val="33"/>
        </w:rPr>
      </w:pPr>
    </w:p>
    <w:p>
      <w:pPr>
        <w:rPr>
          <w:rFonts w:hint="eastAsia" w:ascii="方正仿宋_GBK" w:hAnsi="方正仿宋_GBK" w:eastAsia="方正仿宋_GBK" w:cs="方正仿宋_GBK"/>
          <w:sz w:val="33"/>
          <w:szCs w:val="33"/>
        </w:rPr>
      </w:pPr>
    </w:p>
    <w:p>
      <w:pPr>
        <w:pStyle w:val="2"/>
        <w:rPr>
          <w:rFonts w:hint="eastAsia" w:ascii="方正仿宋_GBK" w:hAnsi="方正仿宋_GBK" w:eastAsia="方正仿宋_GBK" w:cs="方正仿宋_GBK"/>
          <w:sz w:val="33"/>
          <w:szCs w:val="33"/>
        </w:rPr>
      </w:pPr>
    </w:p>
    <w:p>
      <w:pPr>
        <w:rPr>
          <w:rFonts w:hint="eastAsia" w:ascii="方正仿宋_GBK" w:hAnsi="方正仿宋_GBK" w:eastAsia="方正仿宋_GBK" w:cs="方正仿宋_GBK"/>
          <w:sz w:val="33"/>
          <w:szCs w:val="33"/>
        </w:rPr>
      </w:pPr>
    </w:p>
    <w:p>
      <w:pPr>
        <w:pStyle w:val="2"/>
        <w:rPr>
          <w:rFonts w:hint="eastAsia" w:ascii="方正仿宋_GBK" w:hAnsi="方正仿宋_GBK" w:eastAsia="方正仿宋_GBK" w:cs="方正仿宋_GBK"/>
          <w:sz w:val="33"/>
          <w:szCs w:val="33"/>
        </w:rPr>
      </w:pPr>
    </w:p>
    <w:p>
      <w:pPr>
        <w:rPr>
          <w:rFonts w:hint="eastAsia" w:ascii="方正仿宋_GBK" w:hAnsi="方正仿宋_GBK" w:eastAsia="方正仿宋_GBK" w:cs="方正仿宋_GBK"/>
          <w:sz w:val="33"/>
          <w:szCs w:val="33"/>
        </w:rPr>
      </w:pPr>
    </w:p>
    <w:p>
      <w:pPr>
        <w:pStyle w:val="2"/>
        <w:rPr>
          <w:rFonts w:hint="eastAsia" w:ascii="方正仿宋_GBK" w:hAnsi="方正仿宋_GBK" w:eastAsia="方正仿宋_GBK" w:cs="方正仿宋_GBK"/>
          <w:sz w:val="33"/>
          <w:szCs w:val="33"/>
        </w:rPr>
      </w:pPr>
    </w:p>
    <w:p>
      <w:pPr>
        <w:rPr>
          <w:rFonts w:hint="eastAsia" w:ascii="方正仿宋_GBK" w:hAnsi="方正仿宋_GBK" w:eastAsia="方正仿宋_GBK" w:cs="方正仿宋_GBK"/>
          <w:sz w:val="33"/>
          <w:szCs w:val="33"/>
        </w:rPr>
      </w:pPr>
    </w:p>
    <w:p>
      <w:pPr>
        <w:pStyle w:val="2"/>
        <w:rPr>
          <w:rFonts w:hint="eastAsia" w:ascii="方正仿宋_GBK" w:hAnsi="方正仿宋_GBK" w:eastAsia="方正仿宋_GBK" w:cs="方正仿宋_GBK"/>
          <w:sz w:val="33"/>
          <w:szCs w:val="33"/>
        </w:rPr>
      </w:pPr>
    </w:p>
    <w:p>
      <w:pPr>
        <w:rPr>
          <w:rFonts w:hint="eastAsia" w:ascii="方正仿宋_GBK" w:hAnsi="方正仿宋_GBK" w:eastAsia="方正仿宋_GBK" w:cs="方正仿宋_GBK"/>
          <w:sz w:val="33"/>
          <w:szCs w:val="33"/>
        </w:rPr>
      </w:pPr>
    </w:p>
    <w:p>
      <w:pPr>
        <w:pStyle w:val="2"/>
        <w:rPr>
          <w:rFonts w:hint="eastAsia" w:ascii="方正仿宋_GBK" w:hAnsi="方正仿宋_GBK" w:eastAsia="方正仿宋_GBK" w:cs="方正仿宋_GBK"/>
          <w:sz w:val="33"/>
          <w:szCs w:val="33"/>
        </w:rPr>
      </w:pPr>
    </w:p>
    <w:p>
      <w:pPr>
        <w:rPr>
          <w:rFonts w:hint="eastAsia" w:ascii="方正仿宋_GBK" w:hAnsi="方正仿宋_GBK" w:eastAsia="方正仿宋_GBK" w:cs="方正仿宋_GBK"/>
          <w:sz w:val="33"/>
          <w:szCs w:val="33"/>
        </w:rPr>
      </w:pPr>
    </w:p>
    <w:p>
      <w:pPr>
        <w:pStyle w:val="2"/>
        <w:rPr>
          <w:rFonts w:hint="eastAsia" w:ascii="方正仿宋_GBK" w:hAnsi="方正仿宋_GBK" w:eastAsia="方正仿宋_GBK" w:cs="方正仿宋_GBK"/>
          <w:sz w:val="33"/>
          <w:szCs w:val="33"/>
        </w:rPr>
      </w:pPr>
    </w:p>
    <w:p>
      <w:pPr>
        <w:rPr>
          <w:rFonts w:hint="eastAsia"/>
        </w:rPr>
      </w:pPr>
    </w:p>
    <w:p>
      <w:pPr>
        <w:pStyle w:val="3"/>
        <w:jc w:val="center"/>
        <w:rPr>
          <w:rFonts w:hint="eastAsia" w:ascii="方正黑体_GBK" w:hAnsi="方正黑体_GBK" w:eastAsia="方正黑体_GBK" w:cs="方正黑体_GBK"/>
          <w:b w:val="0"/>
          <w:bCs w:val="0"/>
        </w:rPr>
      </w:pPr>
      <w:r>
        <w:rPr>
          <w:rFonts w:hint="eastAsia" w:ascii="方正黑体_GBK" w:hAnsi="方正黑体_GBK" w:eastAsia="方正黑体_GBK" w:cs="方正黑体_GBK"/>
          <w:b w:val="0"/>
          <w:bCs w:val="0"/>
        </w:rPr>
        <w:t>第三部分 名词解释</w:t>
      </w:r>
    </w:p>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1.财政拨款收入：指单位从同级财政部门取得的财政预算资金。</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2.一般公共服务（类）组织事务（款）行政运行（项）：反映行政单位（包括实行公务员管理的事业单位）的基本支出。</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3.一般公共服务（类）组织事务（款）事业运行（项）：反映事业单位的基本支出，不包括行政单位（包括实行公务员管理的事业单位）后勤服务中心、医务室等附属事业单位。</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4.一般公共服务（类）组织事务（款）其他组织事务支出（项）：反映除上述项目以外其他用于中国共产党组织部门的事务支出。</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5.社会保障和就业（类）行政事业单位养老支出（款）行政单位离退休（项）：反映行政单位（包括实行公务员管理的事业单位）开支的离退休经费。</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6.社会保障和就业（类）行政事业单位养老支出（款）机关事业单位基本养老保险缴费支出（项）：反映机关事业单位实施养老保险制度由单位缴纳的基本养老保险费支出。</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7.社会保障和就业（类）抚恤（款）伤残抚恤（项）：反映按规定用于伤残人员的抚恤金和按规定开支的各种伤残补助费。</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8.卫生健康（类）行政事业单位医疗（款）行政单位医疗（项）：反映财政部门安排的行政单位（包括实行公务员管理的事业单位，下同）基本医疗保险缴费经费，未参加医疗保险的行政单位的公费医疗经费，按国家规定享受离休人员、红军老战士待遇人员的医疗经费。</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9.卫生健康（类）行政事业单位医疗（款）事业单位医疗（项）：反映财政部门安排的事业单位基本医疗保险缴费经费，未参加医疗保险的事业单位的公费医疗经费，按国家规定享受离休人员待遇的医疗经费。</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10．卫生健康（类）行政事业单位医疗（款）公务员医疗补助（项）：反映财政部门安排的公务员医疗补助经费。</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11．卫生健康（类）行政事业单位医疗（款）其他行政事业单位医疗支出（项）：反映除上述项目以外的其他用于行政事业单位医疗方面的支出。</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12.住房保障（类）住房改革支出（款）住房公积金（项）：指反映行政事业单位按人力资源和社会保障部、财政部规定的基本工资和津贴补贴以及规定比例为职工缴纳的住房公积金。</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13.基本支出：指为保障机构正常运转、完成日常工作任务而发生的人员支出和公用支出。</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14.项目支出：指在基本支出之外为完成特定行政任务和事业发展目标所发生的支出。</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lang w:val="en-US" w:eastAsia="zh-CN"/>
        </w:rPr>
        <w:t>15</w:t>
      </w:r>
      <w:r>
        <w:rPr>
          <w:rFonts w:hint="eastAsia" w:ascii="方正仿宋_GBK" w:hAnsi="方正仿宋_GBK" w:eastAsia="方正仿宋_GBK" w:cs="方正仿宋_GBK"/>
          <w:sz w:val="33"/>
          <w:szCs w:val="33"/>
        </w:rPr>
        <w:t>.基本支出：指为保障机构正常运转、完成日常工作任务而发生的人员支出和公用支出。</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lang w:val="en-US" w:eastAsia="zh-CN"/>
        </w:rPr>
        <w:t>16</w:t>
      </w:r>
      <w:r>
        <w:rPr>
          <w:rFonts w:hint="eastAsia" w:ascii="方正仿宋_GBK" w:hAnsi="方正仿宋_GBK" w:eastAsia="方正仿宋_GBK" w:cs="方正仿宋_GBK"/>
          <w:sz w:val="33"/>
          <w:szCs w:val="33"/>
        </w:rPr>
        <w:t xml:space="preserve">.项目支出：指在基本支出之外为完成特定行政任务和事业发展目标所发生的支出。 </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lang w:val="en-US" w:eastAsia="zh-CN"/>
        </w:rPr>
        <w:t>17</w:t>
      </w:r>
      <w:r>
        <w:rPr>
          <w:rFonts w:hint="eastAsia" w:ascii="方正仿宋_GBK" w:hAnsi="方正仿宋_GBK" w:eastAsia="方正仿宋_GBK" w:cs="方正仿宋_GBK"/>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ind w:firstLine="660" w:firstLineChars="200"/>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br w:type="page"/>
      </w:r>
    </w:p>
    <w:p>
      <w:pPr>
        <w:spacing w:line="600" w:lineRule="exact"/>
        <w:ind w:firstLine="880" w:firstLineChars="200"/>
        <w:jc w:val="center"/>
        <w:rPr>
          <w:rFonts w:hint="eastAsia" w:ascii="方正黑体_GBK" w:hAnsi="方正黑体_GBK" w:eastAsia="方正黑体_GBK" w:cs="方正黑体_GBK"/>
          <w:sz w:val="44"/>
          <w:szCs w:val="44"/>
        </w:rPr>
      </w:pPr>
      <w:r>
        <w:rPr>
          <w:rFonts w:hint="eastAsia" w:ascii="方正黑体_GBK" w:hAnsi="方正黑体_GBK" w:eastAsia="方正黑体_GBK" w:cs="方正黑体_GBK"/>
          <w:sz w:val="44"/>
          <w:szCs w:val="44"/>
        </w:rPr>
        <w:t>第四部分 附件</w:t>
      </w:r>
    </w:p>
    <w:p/>
    <w:p>
      <w:pPr>
        <w:rPr>
          <w:rFonts w:ascii="黑体" w:hAnsi="黑体" w:eastAsia="黑体"/>
          <w:sz w:val="32"/>
          <w:szCs w:val="32"/>
        </w:rPr>
      </w:pPr>
      <w:r>
        <w:rPr>
          <w:rFonts w:hint="eastAsia" w:ascii="黑体" w:hAnsi="黑体" w:eastAsia="黑体"/>
          <w:sz w:val="32"/>
          <w:szCs w:val="32"/>
        </w:rPr>
        <w:t>附件1</w:t>
      </w:r>
    </w:p>
    <w:p>
      <w:pPr>
        <w:keepNext w:val="0"/>
        <w:keepLines w:val="0"/>
        <w:pageBreakBefore w:val="0"/>
        <w:widowControl/>
        <w:numPr>
          <w:ilvl w:val="0"/>
          <w:numId w:val="5"/>
        </w:numPr>
        <w:kinsoku/>
        <w:wordWrap/>
        <w:overflowPunct/>
        <w:topLinePunct w:val="0"/>
        <w:autoSpaceDE/>
        <w:autoSpaceDN/>
        <w:bidi w:val="0"/>
        <w:adjustRightInd w:val="0"/>
        <w:snapToGrid w:val="0"/>
        <w:spacing w:line="560" w:lineRule="exact"/>
        <w:ind w:firstLine="660" w:firstLineChars="200"/>
        <w:contextualSpacing/>
        <w:jc w:val="left"/>
        <w:textAlignment w:val="auto"/>
        <w:rPr>
          <w:rFonts w:hint="eastAsia" w:ascii="方正黑体_GBK" w:hAnsi="方正黑体_GBK" w:eastAsia="方正黑体_GBK" w:cs="方正黑体_GBK"/>
          <w:kern w:val="0"/>
          <w:sz w:val="33"/>
          <w:szCs w:val="33"/>
          <w:shd w:val="clear" w:color="auto" w:fill="FFFFFF"/>
          <w:lang w:val="zh-CN"/>
        </w:rPr>
      </w:pPr>
      <w:r>
        <w:rPr>
          <w:rFonts w:hint="eastAsia" w:ascii="方正黑体_GBK" w:hAnsi="方正黑体_GBK" w:eastAsia="方正黑体_GBK" w:cs="方正黑体_GBK"/>
          <w:kern w:val="0"/>
          <w:sz w:val="33"/>
          <w:szCs w:val="33"/>
          <w:shd w:val="clear" w:color="auto" w:fill="FFFFFF"/>
          <w:lang w:val="zh-CN"/>
        </w:rPr>
        <w:t>部门概况</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3" w:firstLineChars="200"/>
        <w:contextualSpacing/>
        <w:jc w:val="left"/>
        <w:textAlignment w:val="auto"/>
        <w:rPr>
          <w:rFonts w:hint="eastAsia" w:ascii="方正楷体_GBK" w:hAnsi="方正楷体_GBK" w:eastAsia="方正楷体_GBK" w:cs="方正楷体_GBK"/>
          <w:b/>
          <w:bCs/>
          <w:kern w:val="0"/>
          <w:sz w:val="33"/>
          <w:szCs w:val="33"/>
          <w:shd w:val="clear" w:color="auto" w:fill="FFFFFF"/>
          <w:lang w:val="zh-CN"/>
        </w:rPr>
      </w:pPr>
      <w:r>
        <w:rPr>
          <w:rFonts w:hint="eastAsia" w:ascii="方正楷体_GBK" w:hAnsi="方正楷体_GBK" w:eastAsia="方正楷体_GBK" w:cs="方正楷体_GBK"/>
          <w:b/>
          <w:bCs/>
          <w:kern w:val="0"/>
          <w:sz w:val="33"/>
          <w:szCs w:val="33"/>
          <w:shd w:val="clear" w:color="auto" w:fill="FFFFFF"/>
          <w:lang w:val="zh-CN"/>
        </w:rPr>
        <w:t>（一）机构组成</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中共盐边县委机构编制委员会办公室作为县委机构编制委员会的办事机构，承担县委机构编制委员会的日常工作，作为县委工作机关，归口县委组织部管理。</w:t>
      </w:r>
    </w:p>
    <w:p>
      <w:pPr>
        <w:widowControl/>
        <w:adjustRightInd w:val="0"/>
        <w:snapToGrid w:val="0"/>
        <w:spacing w:line="580" w:lineRule="exact"/>
        <w:ind w:firstLine="660" w:firstLineChars="200"/>
        <w:contextualSpacing/>
        <w:jc w:val="left"/>
        <w:rPr>
          <w:rFonts w:hint="eastAsia" w:ascii="方正仿宋_GBK" w:hAnsi="方正仿宋_GBK" w:eastAsia="方正仿宋_GBK" w:cs="方正仿宋_GBK"/>
          <w:color w:val="000000"/>
          <w:sz w:val="33"/>
          <w:szCs w:val="33"/>
        </w:rPr>
      </w:pPr>
      <w:r>
        <w:rPr>
          <w:rFonts w:hint="eastAsia" w:ascii="方正仿宋_GBK" w:hAnsi="方正仿宋_GBK" w:eastAsia="方正仿宋_GBK" w:cs="方正仿宋_GBK"/>
          <w:color w:val="000000"/>
          <w:sz w:val="33"/>
          <w:szCs w:val="33"/>
        </w:rPr>
        <w:t>单位机关内设2个股室（综合股、机构编制管理股），核定行政编制5名，机关工勤编制2名。下设事业单位2个，盐边县事业单位登记服务中心（副科级参公管理），核定事业编制4名；盐边县机构编制数据与服务中心（股所级公益一类），核定事业编制</w:t>
      </w:r>
      <w:r>
        <w:rPr>
          <w:rFonts w:hint="eastAsia" w:ascii="方正仿宋_GBK" w:hAnsi="方正仿宋_GBK" w:eastAsia="方正仿宋_GBK" w:cs="方正仿宋_GBK"/>
          <w:sz w:val="33"/>
          <w:szCs w:val="33"/>
        </w:rPr>
        <w:t>4</w:t>
      </w:r>
      <w:r>
        <w:rPr>
          <w:rFonts w:hint="eastAsia" w:ascii="方正仿宋_GBK" w:hAnsi="方正仿宋_GBK" w:eastAsia="方正仿宋_GBK" w:cs="方正仿宋_GBK"/>
          <w:color w:val="000000"/>
          <w:sz w:val="33"/>
          <w:szCs w:val="33"/>
        </w:rPr>
        <w:t>名。</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3" w:firstLineChars="200"/>
        <w:contextualSpacing/>
        <w:jc w:val="left"/>
        <w:textAlignment w:val="auto"/>
        <w:rPr>
          <w:rFonts w:hint="eastAsia" w:ascii="方正楷体_GBK" w:hAnsi="方正楷体_GBK" w:eastAsia="方正楷体_GBK" w:cs="方正楷体_GBK"/>
          <w:b/>
          <w:bCs/>
          <w:kern w:val="0"/>
          <w:sz w:val="33"/>
          <w:szCs w:val="33"/>
          <w:shd w:val="clear" w:color="auto" w:fill="FFFFFF"/>
          <w:lang w:val="zh-CN"/>
        </w:rPr>
      </w:pPr>
      <w:r>
        <w:rPr>
          <w:rFonts w:hint="eastAsia" w:ascii="方正楷体_GBK" w:hAnsi="方正楷体_GBK" w:eastAsia="方正楷体_GBK" w:cs="方正楷体_GBK"/>
          <w:b/>
          <w:bCs/>
          <w:kern w:val="0"/>
          <w:sz w:val="33"/>
          <w:szCs w:val="33"/>
          <w:shd w:val="clear" w:color="auto" w:fill="FFFFFF"/>
          <w:lang w:val="zh-CN"/>
        </w:rPr>
        <w:t>（二）机构职能</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1.贯彻执行中央、省、市关于行政管理体制改革和机构改革、事业单位改革及机构编制管理的方针政策和法律法规，制定相关政策并监督实施。</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2.研究拟订全县行政管理体制改革和机构改革方案，审核县级各部门“三定”规定，评估改革效果。参与行政审批制度改革和行政区划调整的有关工作。</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3.负责全县行政事业编制总量控制和机关事业单位机构编制实名制管理工作。建立健全机构编制管理联动机制，会同有关部门严格控制财政供养人员。对全县机关和事业单位使用空缺编制补充人员进行核批。</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4.负责县委、县政府各部门，县人大、县政协机关，县法院、县检察院机关，各民主党派机关、各人民团体机关以及其他行政机构的机构编制管理工作。协调县级各部门之间及县级各部门与乡（镇）之间的职责分工。</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5.拟订全县事业单位改革方案及相关配套政策，审核全县事业单位机构编制方案，评估改革效果。负责全县事业单位的机构编制管理工作。负责拟参照公务员法管理事业单位机构编制事项的审核工作。</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6.监督检查全县行政管理体制改革和机构改革方案及机构编制规定执行情况，建立机构编制工作考核评估制度,会同有关部门查处机构编制违法违纪行为。</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7.负责全县事业单位登记管理工作。</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8.承办县委、县政府和县委编委交办的其他工作。</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3" w:firstLineChars="200"/>
        <w:contextualSpacing/>
        <w:jc w:val="left"/>
        <w:textAlignment w:val="auto"/>
        <w:rPr>
          <w:rFonts w:hint="eastAsia" w:ascii="方正楷体_GBK" w:hAnsi="方正楷体_GBK" w:eastAsia="方正楷体_GBK" w:cs="方正楷体_GBK"/>
          <w:b/>
          <w:bCs/>
          <w:kern w:val="0"/>
          <w:sz w:val="33"/>
          <w:szCs w:val="33"/>
          <w:shd w:val="clear" w:color="auto" w:fill="FFFFFF"/>
          <w:lang w:val="zh-CN"/>
        </w:rPr>
      </w:pPr>
      <w:r>
        <w:rPr>
          <w:rFonts w:hint="eastAsia" w:ascii="方正楷体_GBK" w:hAnsi="方正楷体_GBK" w:eastAsia="方正楷体_GBK" w:cs="方正楷体_GBK"/>
          <w:b/>
          <w:bCs/>
          <w:kern w:val="0"/>
          <w:sz w:val="33"/>
          <w:szCs w:val="33"/>
          <w:shd w:val="clear" w:color="auto" w:fill="FFFFFF"/>
          <w:lang w:val="zh-CN"/>
        </w:rPr>
        <w:t>（三）人员概况</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截止2023年12月底，实有公务员5人（正科级1人、副科级2人、一级科员2人），机关工勤1人（技师）；参公管理事业人员4人（副科级1人，二级主任科员1人，四级主任科员1人，一级科员1人）；事业人员4人（事业管理八级职员3人，专业技术12级1人）。共计在岗人员14人。</w:t>
      </w:r>
    </w:p>
    <w:p>
      <w:pPr>
        <w:keepNext w:val="0"/>
        <w:keepLines w:val="0"/>
        <w:pageBreakBefore w:val="0"/>
        <w:widowControl/>
        <w:numPr>
          <w:numId w:val="0"/>
        </w:numPr>
        <w:kinsoku/>
        <w:wordWrap/>
        <w:overflowPunct/>
        <w:topLinePunct w:val="0"/>
        <w:autoSpaceDE/>
        <w:autoSpaceDN/>
        <w:bidi w:val="0"/>
        <w:adjustRightInd w:val="0"/>
        <w:snapToGrid w:val="0"/>
        <w:spacing w:line="560" w:lineRule="exact"/>
        <w:ind w:firstLine="660" w:firstLineChars="200"/>
        <w:contextualSpacing/>
        <w:jc w:val="left"/>
        <w:textAlignment w:val="auto"/>
        <w:rPr>
          <w:rFonts w:hint="eastAsia" w:ascii="方正黑体_GBK" w:hAnsi="方正黑体_GBK" w:eastAsia="方正黑体_GBK" w:cs="方正黑体_GBK"/>
          <w:kern w:val="0"/>
          <w:sz w:val="33"/>
          <w:szCs w:val="33"/>
          <w:shd w:val="clear" w:color="auto" w:fill="FFFFFF"/>
          <w:lang w:val="zh-CN"/>
        </w:rPr>
      </w:pPr>
      <w:r>
        <w:rPr>
          <w:rFonts w:hint="eastAsia" w:ascii="方正黑体_GBK" w:hAnsi="方正黑体_GBK" w:eastAsia="方正黑体_GBK" w:cs="方正黑体_GBK"/>
          <w:kern w:val="0"/>
          <w:sz w:val="33"/>
          <w:szCs w:val="33"/>
          <w:shd w:val="clear" w:color="auto" w:fill="FFFFFF"/>
          <w:lang w:val="zh-CN"/>
        </w:rPr>
        <w:t>二、部门财政资金收支情况</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3" w:firstLineChars="200"/>
        <w:contextualSpacing/>
        <w:jc w:val="left"/>
        <w:textAlignment w:val="auto"/>
        <w:rPr>
          <w:rFonts w:hint="eastAsia" w:ascii="方正楷体_GBK" w:hAnsi="方正楷体_GBK" w:eastAsia="方正楷体_GBK" w:cs="方正楷体_GBK"/>
          <w:b/>
          <w:bCs/>
          <w:kern w:val="0"/>
          <w:sz w:val="33"/>
          <w:szCs w:val="33"/>
          <w:shd w:val="clear" w:color="auto" w:fill="FFFFFF"/>
          <w:lang w:val="zh-CN"/>
        </w:rPr>
      </w:pPr>
      <w:r>
        <w:rPr>
          <w:rFonts w:hint="eastAsia" w:ascii="方正楷体_GBK" w:hAnsi="方正楷体_GBK" w:eastAsia="方正楷体_GBK" w:cs="方正楷体_GBK"/>
          <w:b/>
          <w:bCs/>
          <w:kern w:val="0"/>
          <w:sz w:val="33"/>
          <w:szCs w:val="33"/>
          <w:shd w:val="clear" w:color="auto" w:fill="FFFFFF"/>
          <w:lang w:val="zh-CN"/>
        </w:rPr>
        <w:t>（一）部门财政资金收入情况</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2023年部门财政拨款收入总额为303.64万元（其中：本年收入303.64万元，年初结转结余0万元）。</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3" w:firstLineChars="200"/>
        <w:contextualSpacing/>
        <w:jc w:val="left"/>
        <w:textAlignment w:val="auto"/>
        <w:rPr>
          <w:rFonts w:hint="eastAsia" w:ascii="方正楷体_GBK" w:hAnsi="方正楷体_GBK" w:eastAsia="方正楷体_GBK" w:cs="方正楷体_GBK"/>
          <w:b/>
          <w:bCs/>
          <w:kern w:val="0"/>
          <w:sz w:val="33"/>
          <w:szCs w:val="33"/>
          <w:shd w:val="clear" w:color="auto" w:fill="FFFFFF"/>
          <w:lang w:val="zh-CN"/>
        </w:rPr>
      </w:pPr>
      <w:r>
        <w:rPr>
          <w:rFonts w:hint="eastAsia" w:ascii="方正楷体_GBK" w:hAnsi="方正楷体_GBK" w:eastAsia="方正楷体_GBK" w:cs="方正楷体_GBK"/>
          <w:b/>
          <w:bCs/>
          <w:kern w:val="0"/>
          <w:sz w:val="33"/>
          <w:szCs w:val="33"/>
          <w:shd w:val="clear" w:color="auto" w:fill="FFFFFF"/>
          <w:lang w:val="zh-CN"/>
        </w:rPr>
        <w:t>（二）部门财政资金支出情况</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2023年部门财政拨款支出总额为303.64万元，其中：基本支出297.64万元（人员经费272.30万元、公用经费25.34万元），项目支出6万元。</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按支出功能分类主要用于以下方面：</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1.一般公共服务支出221.59万元，主要用于单位人员工资、日常运转以及完成特定行政工作任务的开支。</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2.社会保障和就业支出39.79万元，主要用于单位离退休人员支出以及养老保险单位缴费、因公伤残人员抚恤等支出。</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3.住房保障支出20.04万元，用于单位按照规定标准为职工缴纳住房公积金等支出。</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4.卫生健康支出22.22万元，用于单位职工公务员医疗补助缴费等支出。</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3" w:firstLineChars="200"/>
        <w:contextualSpacing/>
        <w:jc w:val="left"/>
        <w:textAlignment w:val="auto"/>
        <w:rPr>
          <w:rFonts w:hint="eastAsia" w:ascii="方正楷体_GBK" w:hAnsi="方正楷体_GBK" w:eastAsia="方正楷体_GBK" w:cs="方正楷体_GBK"/>
          <w:b/>
          <w:bCs/>
          <w:kern w:val="0"/>
          <w:sz w:val="33"/>
          <w:szCs w:val="33"/>
          <w:shd w:val="clear" w:color="auto" w:fill="FFFFFF"/>
          <w:lang w:val="zh-CN"/>
        </w:rPr>
      </w:pPr>
      <w:r>
        <w:rPr>
          <w:rFonts w:hint="eastAsia" w:ascii="方正楷体_GBK" w:hAnsi="方正楷体_GBK" w:eastAsia="方正楷体_GBK" w:cs="方正楷体_GBK"/>
          <w:b/>
          <w:bCs/>
          <w:kern w:val="0"/>
          <w:sz w:val="33"/>
          <w:szCs w:val="33"/>
          <w:shd w:val="clear" w:color="auto" w:fill="FFFFFF"/>
          <w:lang w:val="zh-CN"/>
        </w:rPr>
        <w:t>（三）财政资金结转结余情况</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2023年部门财政资金无结余和结转。</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0" w:firstLineChars="200"/>
        <w:contextualSpacing/>
        <w:jc w:val="left"/>
        <w:textAlignment w:val="auto"/>
        <w:rPr>
          <w:rFonts w:hint="eastAsia" w:ascii="方正黑体_GBK" w:hAnsi="方正黑体_GBK" w:eastAsia="方正黑体_GBK" w:cs="方正黑体_GBK"/>
          <w:kern w:val="0"/>
          <w:sz w:val="33"/>
          <w:szCs w:val="33"/>
          <w:shd w:val="clear" w:color="auto" w:fill="FFFFFF"/>
          <w:lang w:val="zh-CN"/>
        </w:rPr>
      </w:pPr>
      <w:r>
        <w:rPr>
          <w:rFonts w:hint="eastAsia" w:ascii="方正黑体_GBK" w:hAnsi="方正黑体_GBK" w:eastAsia="方正黑体_GBK" w:cs="方正黑体_GBK"/>
          <w:kern w:val="0"/>
          <w:sz w:val="33"/>
          <w:szCs w:val="33"/>
          <w:shd w:val="clear" w:color="auto" w:fill="FFFFFF"/>
          <w:lang w:val="zh-CN"/>
        </w:rPr>
        <w:t>三、部门整体预算绩效管理情况</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3" w:firstLineChars="200"/>
        <w:contextualSpacing/>
        <w:jc w:val="left"/>
        <w:textAlignment w:val="auto"/>
        <w:rPr>
          <w:rFonts w:hint="eastAsia" w:ascii="方正楷体_GBK" w:hAnsi="方正楷体_GBK" w:eastAsia="方正楷体_GBK" w:cs="方正楷体_GBK"/>
          <w:b/>
          <w:bCs/>
          <w:kern w:val="0"/>
          <w:sz w:val="33"/>
          <w:szCs w:val="33"/>
          <w:shd w:val="clear" w:color="auto" w:fill="FFFFFF"/>
          <w:lang w:val="zh-CN"/>
        </w:rPr>
      </w:pPr>
      <w:r>
        <w:rPr>
          <w:rFonts w:hint="eastAsia" w:ascii="方正楷体_GBK" w:hAnsi="方正楷体_GBK" w:eastAsia="方正楷体_GBK" w:cs="方正楷体_GBK"/>
          <w:b/>
          <w:bCs/>
          <w:kern w:val="0"/>
          <w:sz w:val="33"/>
          <w:szCs w:val="33"/>
          <w:shd w:val="clear" w:color="auto" w:fill="FFFFFF"/>
          <w:lang w:val="zh-CN"/>
        </w:rPr>
        <w:t>（一）部门预算项目绩效管理</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部门绩效目标制定：2023年，县委编办深入学习习近平新时代中国特色社会主义思想，始终坚持党管机构编制原则，严格执行机构编制管理各项规定,狠抓机构编制法制化、规范化建设。始终坚持围绕中心服务大局原则，围绕改革任务，为筑牢共同富裕试验区建设提供机构编制保障。主动对接、提前谋划，深入推进重大改革任务落地落实。持续做好两项改革“后半篇”文章，加强和完善机构编制实名制管理。持续强化议事协调机构监管，优化提升事业单位登记管理服务水平，对标对表省委、市委和县委决策部署，深入开展调查研究工作，扎实推进调查研究工作，为全县经济社会发展提供机构编制保障。</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目标实现：2023年财政拨款预算收入总额为303.64万元。支出预算总额为303.64万元。其中：工资福利支出266.95万元，商品和服务支出29.66万元，对个人和家庭的补助支出5.34万元，资本性支出1.69万元。</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1</w:t>
      </w:r>
      <w:r>
        <w:rPr>
          <w:rFonts w:hint="eastAsia" w:ascii="方正仿宋_GBK" w:hAnsi="方正仿宋_GBK" w:eastAsia="方正仿宋_GBK" w:cs="方正仿宋_GBK"/>
          <w:sz w:val="33"/>
          <w:szCs w:val="33"/>
        </w:rPr>
        <w:t>、人员类经费支出。根据组织人事部门核批人员及工资标准，严格按照县财政预算编制口径进行预算编制。实际支付执行过程中，根据相关部门核批的人员增减情况及标准调整情况及时进行增减调整，按月支付，支付进度及标准合理合规，无违规违纪情况，全年共计支出272.34万元，占本年度支出的90%。</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运转类经费支出。按照定额编制要求，根据县人社局核批实有人员数，严格按照县财政预算编制口径进行预算编制。实际支付执行过程中，结合单位工作进度及费用发生实际情况，及时核实报领导核批后执行支付。资金支付及时合规，无违规违纪情况，为单位正常运转提供了资金保障，全年共计支出25.34万元，占本年度支出的8%。</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 xml:space="preserve">3、特定目标类支出。特定目标类支出是对单位项目资金的预算编制。由单位重点工作业务股室梳理，制定项目具体目标及实施计划，报主任办公会研究确定后在规定时限内完成预算编制。实际支付执行过程中，结合单位工作进度及费用发生实际情况，及时支付，资金支付合规，无违规情况，全年共计支出6万元，占本年度支出的2%。 </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按照全年工作安排进度，县委编办2023年绩效目标稳步推进，截止2023年底，资金支付已全面完成，资金使用结余率为0，无违规记录。</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3" w:firstLineChars="200"/>
        <w:contextualSpacing/>
        <w:jc w:val="left"/>
        <w:textAlignment w:val="auto"/>
        <w:rPr>
          <w:rFonts w:hint="eastAsia" w:ascii="方正楷体_GBK" w:hAnsi="方正楷体_GBK" w:eastAsia="方正楷体_GBK" w:cs="方正楷体_GBK"/>
          <w:b/>
          <w:bCs/>
          <w:kern w:val="0"/>
          <w:sz w:val="33"/>
          <w:szCs w:val="33"/>
          <w:shd w:val="clear" w:color="auto" w:fill="FFFFFF"/>
          <w:lang w:val="zh-CN"/>
        </w:rPr>
      </w:pPr>
      <w:r>
        <w:rPr>
          <w:rFonts w:hint="eastAsia" w:ascii="方正楷体_GBK" w:hAnsi="方正楷体_GBK" w:eastAsia="方正楷体_GBK" w:cs="方正楷体_GBK"/>
          <w:b/>
          <w:bCs/>
          <w:kern w:val="0"/>
          <w:sz w:val="33"/>
          <w:szCs w:val="33"/>
          <w:shd w:val="clear" w:color="auto" w:fill="FFFFFF"/>
          <w:lang w:val="zh-CN"/>
        </w:rPr>
        <w:t>（二）结果应用情况</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通过绩效自评，进一步梳理了单位工作及整体支出情况，发现了单位工作中的不足和问题，为下一步调整工作思路、更新工作方法，规范资金使用管理，完善预算编制，加强绩效目标管理和绩效考核提供了依据。</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单位全体职工都树立起了财政绩效评估意识，明白了预算编制和执行不仅仅是财务人员、财务部门的事情，单位所有人都是预算编制及执行的主体的理念深入人心。在预算编制及执行中，广大职工均集思广益，根据业务开展需要，严格对照各领域情况，逐项做出预算编制意见建议，确保预算全面、合理、精准，不留缺口和空项。在资金使用和管理方面，进一步强化资金统筹，优化资金结构，明确开支范围，细化资金用途，确保部门职责任务顺利完成。</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3" w:firstLineChars="200"/>
        <w:contextualSpacing/>
        <w:jc w:val="left"/>
        <w:textAlignment w:val="auto"/>
        <w:rPr>
          <w:rFonts w:hint="eastAsia" w:ascii="方正楷体_GBK" w:hAnsi="方正楷体_GBK" w:eastAsia="方正楷体_GBK" w:cs="方正楷体_GBK"/>
          <w:b/>
          <w:bCs/>
          <w:kern w:val="0"/>
          <w:sz w:val="33"/>
          <w:szCs w:val="33"/>
          <w:shd w:val="clear" w:color="auto" w:fill="FFFFFF"/>
          <w:lang w:val="zh-CN"/>
        </w:rPr>
      </w:pPr>
      <w:r>
        <w:rPr>
          <w:rFonts w:hint="eastAsia" w:ascii="方正楷体_GBK" w:hAnsi="方正楷体_GBK" w:eastAsia="方正楷体_GBK" w:cs="方正楷体_GBK"/>
          <w:b/>
          <w:bCs/>
          <w:kern w:val="0"/>
          <w:sz w:val="33"/>
          <w:szCs w:val="33"/>
          <w:shd w:val="clear" w:color="auto" w:fill="FFFFFF"/>
          <w:lang w:val="zh-CN"/>
        </w:rPr>
        <w:t>（三）自评质量</w:t>
      </w:r>
    </w:p>
    <w:p>
      <w:pPr>
        <w:spacing w:line="600" w:lineRule="exact"/>
        <w:ind w:firstLine="200"/>
        <w:rPr>
          <w:rFonts w:hint="eastAsia" w:ascii="方正仿宋_GBK" w:hAnsi="方正仿宋_GBK" w:eastAsia="方正仿宋_GBK" w:cs="方正仿宋_GBK"/>
          <w:sz w:val="33"/>
          <w:szCs w:val="33"/>
        </w:rPr>
      </w:pPr>
      <w:r>
        <w:rPr>
          <w:rFonts w:eastAsia="方正仿宋_GBK"/>
          <w:sz w:val="33"/>
          <w:szCs w:val="33"/>
        </w:rPr>
        <w:t xml:space="preserve"> </w:t>
      </w:r>
      <w:r>
        <w:rPr>
          <w:rFonts w:hint="eastAsia" w:eastAsia="方正仿宋_GBK"/>
          <w:sz w:val="33"/>
          <w:szCs w:val="33"/>
        </w:rPr>
        <w:t xml:space="preserve">   </w:t>
      </w:r>
      <w:r>
        <w:rPr>
          <w:rFonts w:hint="eastAsia" w:ascii="方正仿宋_GBK" w:hAnsi="方正仿宋_GBK" w:eastAsia="方正仿宋_GBK" w:cs="方正仿宋_GBK"/>
          <w:sz w:val="33"/>
          <w:szCs w:val="33"/>
          <w:lang w:eastAsia="zh-CN"/>
        </w:rPr>
        <w:t>在开展</w:t>
      </w:r>
      <w:r>
        <w:rPr>
          <w:rFonts w:hint="eastAsia" w:ascii="方正仿宋_GBK" w:hAnsi="方正仿宋_GBK" w:eastAsia="方正仿宋_GBK" w:cs="方正仿宋_GBK"/>
          <w:sz w:val="33"/>
          <w:szCs w:val="33"/>
          <w:lang w:val="en-US" w:eastAsia="zh-CN"/>
        </w:rPr>
        <w:t>2023年度县级部门整体支出绩效评价中，我办</w:t>
      </w:r>
      <w:r>
        <w:rPr>
          <w:rFonts w:hint="eastAsia" w:ascii="方正仿宋_GBK" w:hAnsi="方正仿宋_GBK" w:eastAsia="方正仿宋_GBK" w:cs="方正仿宋_GBK"/>
          <w:sz w:val="33"/>
          <w:szCs w:val="33"/>
        </w:rPr>
        <w:t>严格按照部门整体支出绩效评价的共性标准及个性目标，认真开展了整体支出绩效评价，整体支出自评客观、准确。资金管理、使用、归集、核算清楚、真实。</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0" w:firstLineChars="200"/>
        <w:contextualSpacing/>
        <w:jc w:val="left"/>
        <w:textAlignment w:val="auto"/>
        <w:rPr>
          <w:rFonts w:hint="eastAsia" w:ascii="方正黑体_GBK" w:hAnsi="方正黑体_GBK" w:eastAsia="方正黑体_GBK" w:cs="方正黑体_GBK"/>
          <w:kern w:val="0"/>
          <w:sz w:val="33"/>
          <w:szCs w:val="33"/>
          <w:shd w:val="clear" w:color="auto" w:fill="FFFFFF"/>
          <w:lang w:val="zh-CN"/>
        </w:rPr>
      </w:pPr>
      <w:r>
        <w:rPr>
          <w:rFonts w:hint="eastAsia" w:ascii="方正黑体_GBK" w:hAnsi="方正黑体_GBK" w:eastAsia="方正黑体_GBK" w:cs="方正黑体_GBK"/>
          <w:kern w:val="0"/>
          <w:sz w:val="33"/>
          <w:szCs w:val="33"/>
          <w:shd w:val="clear" w:color="auto" w:fill="FFFFFF"/>
          <w:lang w:val="zh-CN"/>
        </w:rPr>
        <w:t>四、评价结论及建议</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3" w:firstLineChars="200"/>
        <w:contextualSpacing/>
        <w:jc w:val="left"/>
        <w:textAlignment w:val="auto"/>
        <w:rPr>
          <w:rFonts w:hint="eastAsia" w:ascii="方正楷体_GBK" w:hAnsi="方正楷体_GBK" w:eastAsia="方正楷体_GBK" w:cs="方正楷体_GBK"/>
          <w:b/>
          <w:bCs/>
          <w:kern w:val="0"/>
          <w:sz w:val="33"/>
          <w:szCs w:val="33"/>
          <w:shd w:val="clear" w:color="auto" w:fill="FFFFFF"/>
          <w:lang w:val="zh-CN"/>
        </w:rPr>
      </w:pPr>
      <w:r>
        <w:rPr>
          <w:rFonts w:hint="eastAsia" w:ascii="方正楷体_GBK" w:hAnsi="方正楷体_GBK" w:eastAsia="方正楷体_GBK" w:cs="方正楷体_GBK"/>
          <w:b/>
          <w:bCs/>
          <w:kern w:val="0"/>
          <w:sz w:val="33"/>
          <w:szCs w:val="33"/>
          <w:shd w:val="clear" w:color="auto" w:fill="FFFFFF"/>
          <w:lang w:val="zh-CN"/>
        </w:rPr>
        <w:t>（一）评价结论</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lang w:eastAsia="zh-CN"/>
        </w:rPr>
      </w:pPr>
      <w:r>
        <w:rPr>
          <w:rFonts w:hint="eastAsia" w:ascii="方正仿宋_GBK" w:hAnsi="方正仿宋_GBK" w:eastAsia="方正仿宋_GBK" w:cs="方正仿宋_GBK"/>
          <w:sz w:val="33"/>
          <w:szCs w:val="33"/>
        </w:rPr>
        <w:t>县委编办2023年财政资金预算编制</w:t>
      </w:r>
      <w:r>
        <w:rPr>
          <w:rFonts w:hint="eastAsia" w:ascii="方正仿宋_GBK" w:hAnsi="方正仿宋_GBK" w:eastAsia="方正仿宋_GBK" w:cs="方正仿宋_GBK"/>
          <w:sz w:val="33"/>
          <w:szCs w:val="33"/>
          <w:lang w:eastAsia="zh-CN"/>
        </w:rPr>
        <w:t>及时准确</w:t>
      </w:r>
      <w:r>
        <w:rPr>
          <w:rFonts w:hint="eastAsia" w:ascii="方正仿宋_GBK" w:hAnsi="方正仿宋_GBK" w:eastAsia="方正仿宋_GBK" w:cs="方正仿宋_GBK"/>
          <w:sz w:val="33"/>
          <w:szCs w:val="33"/>
        </w:rPr>
        <w:t>，预算支出执行合理合规，</w:t>
      </w:r>
      <w:r>
        <w:rPr>
          <w:rFonts w:hint="eastAsia" w:ascii="方正仿宋_GBK" w:hAnsi="方正仿宋_GBK" w:eastAsia="方正仿宋_GBK" w:cs="方正仿宋_GBK"/>
          <w:sz w:val="33"/>
          <w:szCs w:val="33"/>
          <w:lang w:eastAsia="zh-CN"/>
        </w:rPr>
        <w:t>无截留、挪用等现象，</w:t>
      </w:r>
      <w:r>
        <w:rPr>
          <w:rFonts w:hint="eastAsia" w:ascii="方正仿宋_GBK" w:hAnsi="方正仿宋_GBK" w:eastAsia="方正仿宋_GBK" w:cs="方正仿宋_GBK"/>
          <w:sz w:val="33"/>
          <w:szCs w:val="33"/>
        </w:rPr>
        <w:t>资金管理使用规范严格，保证了部门的正常运行和专项工作的正常开展，</w:t>
      </w:r>
      <w:r>
        <w:rPr>
          <w:rFonts w:hint="eastAsia" w:ascii="方正仿宋_GBK" w:hAnsi="方正仿宋_GBK" w:eastAsia="方正仿宋_GBK" w:cs="方正仿宋_GBK"/>
          <w:sz w:val="33"/>
          <w:szCs w:val="33"/>
          <w:lang w:eastAsia="zh-CN"/>
        </w:rPr>
        <w:t>圆满完成了各项工作任务，</w:t>
      </w:r>
      <w:r>
        <w:rPr>
          <w:rFonts w:hint="eastAsia" w:ascii="方正仿宋_GBK" w:hAnsi="方正仿宋_GBK" w:eastAsia="方正仿宋_GBK" w:cs="方正仿宋_GBK"/>
          <w:sz w:val="33"/>
          <w:szCs w:val="33"/>
        </w:rPr>
        <w:t>达到</w:t>
      </w:r>
      <w:r>
        <w:rPr>
          <w:rFonts w:hint="eastAsia" w:ascii="方正仿宋_GBK" w:hAnsi="方正仿宋_GBK" w:eastAsia="方正仿宋_GBK" w:cs="方正仿宋_GBK"/>
          <w:sz w:val="33"/>
          <w:szCs w:val="33"/>
          <w:lang w:eastAsia="zh-CN"/>
        </w:rPr>
        <w:t>了</w:t>
      </w:r>
      <w:r>
        <w:rPr>
          <w:rFonts w:hint="eastAsia" w:ascii="方正仿宋_GBK" w:hAnsi="方正仿宋_GBK" w:eastAsia="方正仿宋_GBK" w:cs="方正仿宋_GBK"/>
          <w:sz w:val="33"/>
          <w:szCs w:val="33"/>
        </w:rPr>
        <w:t>预期绩效目标</w:t>
      </w:r>
      <w:r>
        <w:rPr>
          <w:rFonts w:hint="eastAsia" w:ascii="方正仿宋_GBK" w:hAnsi="方正仿宋_GBK" w:eastAsia="方正仿宋_GBK" w:cs="方正仿宋_GBK"/>
          <w:sz w:val="33"/>
          <w:szCs w:val="33"/>
          <w:lang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3" w:firstLineChars="200"/>
        <w:contextualSpacing/>
        <w:jc w:val="left"/>
        <w:textAlignment w:val="auto"/>
        <w:rPr>
          <w:rFonts w:hint="eastAsia" w:ascii="方正楷体_GBK" w:hAnsi="方正楷体_GBK" w:eastAsia="方正楷体_GBK" w:cs="方正楷体_GBK"/>
          <w:b/>
          <w:bCs/>
          <w:kern w:val="0"/>
          <w:sz w:val="33"/>
          <w:szCs w:val="33"/>
          <w:shd w:val="clear" w:color="auto" w:fill="FFFFFF"/>
          <w:lang w:val="zh-CN"/>
        </w:rPr>
      </w:pPr>
      <w:r>
        <w:rPr>
          <w:rFonts w:hint="eastAsia" w:ascii="方正楷体_GBK" w:hAnsi="方正楷体_GBK" w:eastAsia="方正楷体_GBK" w:cs="方正楷体_GBK"/>
          <w:b/>
          <w:bCs/>
          <w:kern w:val="0"/>
          <w:sz w:val="33"/>
          <w:szCs w:val="33"/>
          <w:shd w:val="clear" w:color="auto" w:fill="FFFFFF"/>
          <w:lang w:val="zh-CN"/>
        </w:rPr>
        <w:t>（二）存在问题</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1.绩效评价工作有待进一步加强。评价指标体系有待</w:t>
      </w:r>
      <w:r>
        <w:rPr>
          <w:rFonts w:hint="eastAsia" w:ascii="方正仿宋_GBK" w:hAnsi="方正仿宋_GBK" w:eastAsia="方正仿宋_GBK" w:cs="方正仿宋_GBK"/>
          <w:sz w:val="33"/>
          <w:szCs w:val="33"/>
          <w:lang w:eastAsia="zh-CN"/>
        </w:rPr>
        <w:t>进一步科学化、合理化</w:t>
      </w:r>
      <w:r>
        <w:rPr>
          <w:rFonts w:hint="eastAsia" w:ascii="方正仿宋_GBK" w:hAnsi="方正仿宋_GBK" w:eastAsia="方正仿宋_GBK" w:cs="方正仿宋_GBK"/>
          <w:sz w:val="33"/>
          <w:szCs w:val="33"/>
        </w:rPr>
        <w:t>。</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2.财务人员业务水平有待进一步提升。财务软件更新快，财政业务涉及范围广而杂，</w:t>
      </w:r>
      <w:r>
        <w:rPr>
          <w:rFonts w:hint="eastAsia" w:ascii="方正仿宋_GBK" w:hAnsi="方正仿宋_GBK" w:eastAsia="方正仿宋_GBK" w:cs="方正仿宋_GBK"/>
          <w:sz w:val="33"/>
          <w:szCs w:val="33"/>
          <w:lang w:eastAsia="zh-CN"/>
        </w:rPr>
        <w:t>业务人员能力水平</w:t>
      </w:r>
      <w:r>
        <w:rPr>
          <w:rFonts w:hint="eastAsia" w:ascii="方正仿宋_GBK" w:hAnsi="方正仿宋_GBK" w:eastAsia="方正仿宋_GBK" w:cs="方正仿宋_GBK"/>
          <w:sz w:val="33"/>
          <w:szCs w:val="33"/>
        </w:rPr>
        <w:t>有待进一步</w:t>
      </w:r>
      <w:r>
        <w:rPr>
          <w:rFonts w:hint="eastAsia" w:ascii="方正仿宋_GBK" w:hAnsi="方正仿宋_GBK" w:eastAsia="方正仿宋_GBK" w:cs="方正仿宋_GBK"/>
          <w:sz w:val="33"/>
          <w:szCs w:val="33"/>
          <w:lang w:eastAsia="zh-CN"/>
        </w:rPr>
        <w:t>提升</w:t>
      </w:r>
      <w:r>
        <w:rPr>
          <w:rFonts w:hint="eastAsia" w:ascii="方正仿宋_GBK" w:hAnsi="方正仿宋_GBK" w:eastAsia="方正仿宋_GBK" w:cs="方正仿宋_GBK"/>
          <w:sz w:val="33"/>
          <w:szCs w:val="33"/>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3" w:firstLineChars="200"/>
        <w:contextualSpacing/>
        <w:jc w:val="left"/>
        <w:textAlignment w:val="auto"/>
        <w:rPr>
          <w:rFonts w:hint="eastAsia" w:ascii="方正楷体_GBK" w:hAnsi="方正楷体_GBK" w:eastAsia="方正楷体_GBK" w:cs="方正楷体_GBK"/>
          <w:b/>
          <w:bCs/>
          <w:kern w:val="0"/>
          <w:sz w:val="33"/>
          <w:szCs w:val="33"/>
          <w:shd w:val="clear" w:color="auto" w:fill="FFFFFF"/>
          <w:lang w:val="zh-CN"/>
        </w:rPr>
      </w:pPr>
      <w:r>
        <w:rPr>
          <w:rFonts w:hint="eastAsia" w:ascii="方正楷体_GBK" w:hAnsi="方正楷体_GBK" w:eastAsia="方正楷体_GBK" w:cs="方正楷体_GBK"/>
          <w:b/>
          <w:bCs/>
          <w:kern w:val="0"/>
          <w:sz w:val="33"/>
          <w:szCs w:val="33"/>
          <w:shd w:val="clear" w:color="auto" w:fill="FFFFFF"/>
          <w:lang w:val="zh-CN"/>
        </w:rPr>
        <w:t>（三）改进建议</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lang w:eastAsia="zh-CN"/>
        </w:rPr>
      </w:pPr>
      <w:r>
        <w:rPr>
          <w:rFonts w:hint="eastAsia" w:ascii="方正仿宋_GBK" w:hAnsi="方正仿宋_GBK" w:eastAsia="方正仿宋_GBK" w:cs="方正仿宋_GBK"/>
          <w:sz w:val="33"/>
          <w:szCs w:val="33"/>
        </w:rPr>
        <w:t>1.</w:t>
      </w:r>
      <w:r>
        <w:rPr>
          <w:rFonts w:hint="eastAsia" w:ascii="方正仿宋_GBK" w:hAnsi="方正仿宋_GBK" w:eastAsia="方正仿宋_GBK" w:cs="方正仿宋_GBK"/>
          <w:sz w:val="33"/>
          <w:szCs w:val="33"/>
          <w:lang w:eastAsia="zh-CN"/>
        </w:rPr>
        <w:t>科学编制预算、严格执行预算。</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lang w:eastAsia="zh-CN"/>
        </w:rPr>
      </w:pPr>
      <w:r>
        <w:rPr>
          <w:rFonts w:hint="eastAsia" w:ascii="方正仿宋_GBK" w:hAnsi="方正仿宋_GBK" w:eastAsia="方正仿宋_GBK" w:cs="方正仿宋_GBK"/>
          <w:sz w:val="33"/>
          <w:szCs w:val="33"/>
          <w:lang w:eastAsia="zh-CN"/>
        </w:rPr>
        <w:t>加强预算编制，按照相关法律法规及条例规定，综合上一年执行情况和本年度收支预测科学合理的编制本年度预算。</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2.加强业务培训，提高评价质量。</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建议财政部门加强相关业务、政策的培训和指导，优化相关可操作性指标、流程，切实提高部门绩效评价工作质量。</w:t>
      </w:r>
    </w:p>
    <w:p/>
    <w:p>
      <w:pPr>
        <w:rPr>
          <w:rFonts w:ascii="黑体" w:hAnsi="黑体" w:eastAsia="黑体"/>
          <w:sz w:val="32"/>
          <w:szCs w:val="32"/>
        </w:rPr>
      </w:pPr>
      <w:r>
        <w:rPr>
          <w:rFonts w:hint="eastAsia" w:ascii="黑体" w:hAnsi="黑体" w:eastAsia="黑体"/>
          <w:sz w:val="32"/>
          <w:szCs w:val="32"/>
        </w:rPr>
        <w:t>附件2</w:t>
      </w:r>
    </w:p>
    <w:p>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专项预算项目绩效评价报告</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lang w:val="en-US" w:eastAsia="zh-CN"/>
        </w:rPr>
      </w:pPr>
      <w:r>
        <w:rPr>
          <w:rFonts w:hint="eastAsia" w:ascii="方正仿宋_GBK" w:hAnsi="方正仿宋_GBK" w:eastAsia="方正仿宋_GBK" w:cs="方正仿宋_GBK"/>
          <w:sz w:val="33"/>
          <w:szCs w:val="33"/>
          <w:lang w:val="en-US" w:eastAsia="zh-CN"/>
        </w:rPr>
        <w:t>2023年度，我办无专项预算项目。</w:t>
      </w:r>
    </w:p>
    <w:p>
      <w:pPr>
        <w:widowControl/>
        <w:adjustRightInd w:val="0"/>
        <w:snapToGrid w:val="0"/>
        <w:spacing w:line="600" w:lineRule="exact"/>
        <w:ind w:firstLine="660" w:firstLineChars="200"/>
        <w:jc w:val="left"/>
        <w:rPr>
          <w:rFonts w:hint="eastAsia" w:ascii="方正仿宋_GBK" w:hAnsi="方正仿宋_GBK" w:eastAsia="方正仿宋_GBK" w:cs="方正仿宋_GBK"/>
          <w:sz w:val="33"/>
          <w:szCs w:val="33"/>
          <w:lang w:val="en-US" w:eastAsia="zh-CN"/>
        </w:rPr>
      </w:pPr>
    </w:p>
    <w:p>
      <w:pPr>
        <w:rPr>
          <w:rFonts w:hint="eastAsia" w:eastAsia="方正仿宋_GBK"/>
          <w:sz w:val="33"/>
          <w:szCs w:val="33"/>
          <w:lang w:val="en-US" w:eastAsia="zh-CN"/>
        </w:rPr>
      </w:pPr>
    </w:p>
    <w:p>
      <w:pPr>
        <w:pStyle w:val="2"/>
        <w:rPr>
          <w:rFonts w:hint="eastAsia" w:eastAsia="方正仿宋_GBK"/>
          <w:sz w:val="33"/>
          <w:szCs w:val="33"/>
          <w:lang w:val="en-US" w:eastAsia="zh-CN"/>
        </w:rPr>
      </w:pPr>
    </w:p>
    <w:p>
      <w:pPr>
        <w:rPr>
          <w:rFonts w:hint="eastAsia" w:eastAsia="方正仿宋_GBK"/>
          <w:sz w:val="33"/>
          <w:szCs w:val="33"/>
          <w:lang w:val="en-US" w:eastAsia="zh-CN"/>
        </w:rPr>
      </w:pPr>
    </w:p>
    <w:p>
      <w:pPr>
        <w:pStyle w:val="2"/>
        <w:rPr>
          <w:rFonts w:hint="eastAsia" w:eastAsia="方正仿宋_GBK"/>
          <w:sz w:val="33"/>
          <w:szCs w:val="33"/>
          <w:lang w:val="en-US" w:eastAsia="zh-CN"/>
        </w:rPr>
      </w:pPr>
    </w:p>
    <w:p>
      <w:pPr>
        <w:rPr>
          <w:rFonts w:hint="eastAsia" w:eastAsia="方正仿宋_GBK"/>
          <w:sz w:val="33"/>
          <w:szCs w:val="33"/>
          <w:lang w:val="en-US" w:eastAsia="zh-CN"/>
        </w:rPr>
      </w:pPr>
    </w:p>
    <w:p>
      <w:pPr>
        <w:pStyle w:val="2"/>
        <w:rPr>
          <w:rFonts w:hint="eastAsia" w:eastAsia="方正仿宋_GBK"/>
          <w:sz w:val="33"/>
          <w:szCs w:val="33"/>
          <w:lang w:val="en-US" w:eastAsia="zh-CN"/>
        </w:rPr>
      </w:pPr>
    </w:p>
    <w:p>
      <w:pPr>
        <w:rPr>
          <w:rFonts w:hint="eastAsia" w:eastAsia="方正仿宋_GBK"/>
          <w:sz w:val="33"/>
          <w:szCs w:val="33"/>
          <w:lang w:val="en-US" w:eastAsia="zh-CN"/>
        </w:rPr>
      </w:pPr>
    </w:p>
    <w:p>
      <w:pPr>
        <w:pStyle w:val="2"/>
        <w:rPr>
          <w:rFonts w:hint="eastAsia"/>
          <w:lang w:val="en-US" w:eastAsia="zh-CN"/>
        </w:rPr>
      </w:pPr>
    </w:p>
    <w:p>
      <w:pPr>
        <w:pStyle w:val="2"/>
        <w:rPr>
          <w:rFonts w:hint="eastAsia" w:eastAsia="方正仿宋_GBK"/>
          <w:sz w:val="33"/>
          <w:szCs w:val="33"/>
          <w:lang w:val="en-US" w:eastAsia="zh-CN"/>
        </w:rPr>
      </w:pPr>
    </w:p>
    <w:p>
      <w:pPr>
        <w:rPr>
          <w:rFonts w:hint="eastAsia"/>
          <w:lang w:val="en-US" w:eastAsia="zh-CN"/>
        </w:rPr>
      </w:pPr>
    </w:p>
    <w:p>
      <w:pPr>
        <w:widowControl/>
        <w:adjustRightInd w:val="0"/>
        <w:snapToGrid w:val="0"/>
        <w:spacing w:line="600" w:lineRule="exact"/>
        <w:ind w:firstLine="880" w:firstLineChars="200"/>
        <w:jc w:val="center"/>
        <w:rPr>
          <w:rFonts w:hint="eastAsia" w:ascii="方正黑体_GBK" w:hAnsi="方正黑体_GBK" w:eastAsia="方正黑体_GBK" w:cs="方正黑体_GBK"/>
          <w:sz w:val="44"/>
          <w:szCs w:val="44"/>
          <w:lang w:val="en-US" w:eastAsia="zh-CN"/>
        </w:rPr>
      </w:pPr>
      <w:r>
        <w:rPr>
          <w:rFonts w:hint="eastAsia" w:ascii="方正黑体_GBK" w:hAnsi="方正黑体_GBK" w:eastAsia="方正黑体_GBK" w:cs="方正黑体_GBK"/>
          <w:sz w:val="44"/>
          <w:szCs w:val="44"/>
        </w:rPr>
        <w:t>第五部分 附表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一、收入支出决算总表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二、收入决算表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三、支出决算表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四、财政拨款收入支出决算总表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五、财政拨款支出决算明细表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六、一般公共预算财政拨款支出决算表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七、一般公共预算财政拨款支出决算明细表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八、一般公共预算财政拨款基本支出决算明细表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九、一般公共预算财政拨款项目支出决算表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十、政府性基金预算财政拨款收入支出决算表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十一、国有资本经营预算财政拨款收入支出决算表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十二、国有资本经营预算财政拨款支出决算表</w:t>
      </w:r>
    </w:p>
    <w:p>
      <w:pPr>
        <w:keepNext w:val="0"/>
        <w:keepLines w:val="0"/>
        <w:pageBreakBefore w:val="0"/>
        <w:widowControl/>
        <w:kinsoku/>
        <w:wordWrap/>
        <w:overflowPunct/>
        <w:topLinePunct w:val="0"/>
        <w:autoSpaceDE/>
        <w:autoSpaceDN/>
        <w:bidi w:val="0"/>
        <w:adjustRightInd w:val="0"/>
        <w:snapToGrid w:val="0"/>
        <w:spacing w:line="800" w:lineRule="exact"/>
        <w:ind w:firstLine="660" w:firstLineChars="200"/>
        <w:jc w:val="left"/>
        <w:textAlignment w:val="auto"/>
        <w:rPr>
          <w:rFonts w:hint="eastAsia" w:ascii="方正仿宋_GBK" w:hAnsi="方正仿宋_GBK" w:eastAsia="方正仿宋_GBK" w:cs="方正仿宋_GBK"/>
          <w:sz w:val="33"/>
          <w:szCs w:val="33"/>
        </w:rPr>
        <w:sectPr>
          <w:footerReference r:id="rId8" w:type="first"/>
          <w:headerReference r:id="rId6" w:type="default"/>
          <w:footerReference r:id="rId7" w:type="default"/>
          <w:pgSz w:w="11906" w:h="16838"/>
          <w:pgMar w:top="1440" w:right="1800" w:bottom="1440" w:left="1800" w:header="851" w:footer="992" w:gutter="0"/>
          <w:pgNumType w:fmt="decimal" w:start="1"/>
          <w:cols w:space="425" w:num="1"/>
          <w:titlePg/>
          <w:docGrid w:type="lines" w:linePitch="312" w:charSpace="0"/>
        </w:sectPr>
      </w:pPr>
      <w:r>
        <w:rPr>
          <w:rFonts w:hint="eastAsia" w:ascii="方正仿宋_GBK" w:hAnsi="方正仿宋_GBK" w:eastAsia="方正仿宋_GBK" w:cs="方正仿宋_GBK"/>
          <w:sz w:val="33"/>
          <w:szCs w:val="33"/>
        </w:rPr>
        <w:t>十三、财政拨款“三公”经费支出决算</w:t>
      </w:r>
    </w:p>
    <w:p>
      <w:pPr>
        <w:pStyle w:val="2"/>
        <w:tabs>
          <w:tab w:val="left" w:pos="1626"/>
        </w:tabs>
        <w:rPr>
          <w:rFonts w:hint="default"/>
          <w:lang w:val="en-US" w:eastAsia="zh-CN"/>
        </w:rPr>
      </w:pPr>
      <w:r>
        <w:rPr>
          <w:rFonts w:hint="eastAsia"/>
          <w:lang w:val="en-US" w:eastAsia="zh-CN"/>
        </w:rPr>
        <w:tab/>
      </w:r>
    </w:p>
    <w:sectPr>
      <w:footerReference r:id="rId10" w:type="first"/>
      <w:footerReference r:id="rId9"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AFF" w:usb1="C0007843" w:usb2="00000009" w:usb3="00000000" w:csb0="400001FF" w:csb1="FFFF0000"/>
  </w:font>
  <w:font w:name="方正小标宋_GBK">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黑体_GBK">
    <w:panose1 w:val="03000509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仿宋简体">
    <w:panose1 w:val="03000509000000000000"/>
    <w:charset w:val="86"/>
    <w:family w:val="auto"/>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中等线_GBK">
    <w:panose1 w:val="03000509000000000000"/>
    <w:charset w:val="86"/>
    <w:family w:val="auto"/>
    <w:pitch w:val="default"/>
    <w:sig w:usb0="00000001" w:usb1="080E0000" w:usb2="00000000" w:usb3="00000000" w:csb0="00040000" w:csb1="00000000"/>
  </w:font>
  <w:font w:name="方正准圆_GBK">
    <w:panose1 w:val="03000509000000000000"/>
    <w:charset w:val="86"/>
    <w:family w:val="auto"/>
    <w:pitch w:val="default"/>
    <w:sig w:usb0="00000001" w:usb1="080E0000" w:usb2="00000000" w:usb3="00000000" w:csb0="00040000" w:csb1="00000000"/>
  </w:font>
  <w:font w:name="方正姚体_GBK">
    <w:panose1 w:val="03000509000000000000"/>
    <w:charset w:val="86"/>
    <w:family w:val="auto"/>
    <w:pitch w:val="default"/>
    <w:sig w:usb0="00000001" w:usb1="080E0000" w:usb2="00000000" w:usb3="00000000" w:csb0="00040000" w:csb1="00000000"/>
  </w:font>
  <w:font w:name="方正新报宋_GBK">
    <w:panose1 w:val="03000509000000000000"/>
    <w:charset w:val="86"/>
    <w:family w:val="auto"/>
    <w:pitch w:val="default"/>
    <w:sig w:usb0="00000001" w:usb1="080E0000" w:usb2="00000000" w:usb3="00000000" w:csb0="00040000" w:csb1="00000000"/>
  </w:font>
  <w:font w:name="方正报宋_GBK">
    <w:panose1 w:val="03000509000000000000"/>
    <w:charset w:val="86"/>
    <w:family w:val="auto"/>
    <w:pitch w:val="default"/>
    <w:sig w:usb0="00000001" w:usb1="080E0000" w:usb2="00000000" w:usb3="00000000" w:csb0="00040000" w:csb1="00000000"/>
  </w:font>
  <w:font w:name="方正康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黑体" w:asciiTheme="minorAscii"/>
                              <w:b w:val="0"/>
                              <w:bCs/>
                              <w:sz w:val="21"/>
                              <w:szCs w:val="21"/>
                              <w:lang w:eastAsia="zh-CN"/>
                            </w:rPr>
                          </w:pPr>
                          <w:r>
                            <w:rPr>
                              <w:rFonts w:hint="eastAsia" w:ascii="Calibri" w:hAnsi="Calibri" w:eastAsia="宋体" w:cs="Times New Roman"/>
                              <w:b w:val="0"/>
                              <w:kern w:val="0"/>
                              <w:sz w:val="18"/>
                              <w:szCs w:val="18"/>
                              <w:lang w:val="en-US" w:eastAsia="zh-CN" w:bidi="ar-SA"/>
                            </w:rPr>
                            <w:fldChar w:fldCharType="begin"/>
                          </w:r>
                          <w:r>
                            <w:rPr>
                              <w:rFonts w:hint="eastAsia" w:ascii="Calibri" w:hAnsi="Calibri" w:eastAsia="宋体" w:cs="Times New Roman"/>
                              <w:b w:val="0"/>
                              <w:kern w:val="0"/>
                              <w:sz w:val="18"/>
                              <w:szCs w:val="18"/>
                              <w:lang w:val="en-US" w:eastAsia="zh-CN" w:bidi="ar-SA"/>
                            </w:rPr>
                            <w:instrText xml:space="preserve"> PAGE  \* MERGEFORMAT </w:instrText>
                          </w:r>
                          <w:r>
                            <w:rPr>
                              <w:rFonts w:hint="eastAsia" w:ascii="Calibri" w:hAnsi="Calibri" w:eastAsia="宋体" w:cs="Times New Roman"/>
                              <w:b w:val="0"/>
                              <w:kern w:val="0"/>
                              <w:sz w:val="18"/>
                              <w:szCs w:val="18"/>
                              <w:lang w:val="en-US" w:eastAsia="zh-CN" w:bidi="ar-SA"/>
                            </w:rPr>
                            <w:fldChar w:fldCharType="separate"/>
                          </w:r>
                          <w:r>
                            <w:rPr>
                              <w:rFonts w:hint="eastAsia" w:ascii="Calibri" w:hAnsi="Calibri" w:eastAsia="宋体" w:cs="Times New Roman"/>
                              <w:b w:val="0"/>
                              <w:kern w:val="0"/>
                              <w:sz w:val="18"/>
                              <w:szCs w:val="18"/>
                              <w:lang w:val="en-US" w:eastAsia="zh-CN" w:bidi="ar-SA"/>
                            </w:rPr>
                            <w:t>2</w:t>
                          </w:r>
                          <w:r>
                            <w:rPr>
                              <w:rFonts w:hint="eastAsia" w:ascii="Calibri" w:hAnsi="Calibri" w:eastAsia="宋体" w:cs="Times New Roman"/>
                              <w:b w:val="0"/>
                              <w:kern w:val="0"/>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PF9dL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ADxfXSwQIAANYFAAAOAAAAAAAA&#10;AAEAIAAAAB8BAABkcnMvZTJvRG9jLnhtbFBLBQYAAAAABgAGAFkBAABSBgAAAAA=&#10;">
              <v:fill on="f" focussize="0,0"/>
              <v:stroke on="f" weight="0.5pt"/>
              <v:imagedata o:title=""/>
              <o:lock v:ext="edit" aspectratio="f"/>
              <v:textbox inset="0mm,0mm,0mm,0mm" style="mso-fit-shape-to-text:t;">
                <w:txbxContent>
                  <w:p>
                    <w:pPr>
                      <w:pStyle w:val="2"/>
                      <w:rPr>
                        <w:rFonts w:hint="eastAsia" w:eastAsia="黑体" w:asciiTheme="minorAscii"/>
                        <w:b w:val="0"/>
                        <w:bCs/>
                        <w:sz w:val="21"/>
                        <w:szCs w:val="21"/>
                        <w:lang w:eastAsia="zh-CN"/>
                      </w:rPr>
                    </w:pPr>
                    <w:r>
                      <w:rPr>
                        <w:rFonts w:hint="eastAsia" w:ascii="Calibri" w:hAnsi="Calibri" w:eastAsia="宋体" w:cs="Times New Roman"/>
                        <w:b w:val="0"/>
                        <w:kern w:val="0"/>
                        <w:sz w:val="18"/>
                        <w:szCs w:val="18"/>
                        <w:lang w:val="en-US" w:eastAsia="zh-CN" w:bidi="ar-SA"/>
                      </w:rPr>
                      <w:fldChar w:fldCharType="begin"/>
                    </w:r>
                    <w:r>
                      <w:rPr>
                        <w:rFonts w:hint="eastAsia" w:ascii="Calibri" w:hAnsi="Calibri" w:eastAsia="宋体" w:cs="Times New Roman"/>
                        <w:b w:val="0"/>
                        <w:kern w:val="0"/>
                        <w:sz w:val="18"/>
                        <w:szCs w:val="18"/>
                        <w:lang w:val="en-US" w:eastAsia="zh-CN" w:bidi="ar-SA"/>
                      </w:rPr>
                      <w:instrText xml:space="preserve"> PAGE  \* MERGEFORMAT </w:instrText>
                    </w:r>
                    <w:r>
                      <w:rPr>
                        <w:rFonts w:hint="eastAsia" w:ascii="Calibri" w:hAnsi="Calibri" w:eastAsia="宋体" w:cs="Times New Roman"/>
                        <w:b w:val="0"/>
                        <w:kern w:val="0"/>
                        <w:sz w:val="18"/>
                        <w:szCs w:val="18"/>
                        <w:lang w:val="en-US" w:eastAsia="zh-CN" w:bidi="ar-SA"/>
                      </w:rPr>
                      <w:fldChar w:fldCharType="separate"/>
                    </w:r>
                    <w:r>
                      <w:rPr>
                        <w:rFonts w:hint="eastAsia" w:ascii="Calibri" w:hAnsi="Calibri" w:eastAsia="宋体" w:cs="Times New Roman"/>
                        <w:b w:val="0"/>
                        <w:kern w:val="0"/>
                        <w:sz w:val="18"/>
                        <w:szCs w:val="18"/>
                        <w:lang w:val="en-US" w:eastAsia="zh-CN" w:bidi="ar-SA"/>
                      </w:rPr>
                      <w:t>2</w:t>
                    </w:r>
                    <w:r>
                      <w:rPr>
                        <w:rFonts w:hint="eastAsia" w:ascii="Calibri" w:hAnsi="Calibri" w:eastAsia="宋体" w:cs="Times New Roman"/>
                        <w:b w:val="0"/>
                        <w:kern w:val="0"/>
                        <w:sz w:val="18"/>
                        <w:szCs w:val="18"/>
                        <w:lang w:val="en-US" w:eastAsia="zh-CN" w:bidi="ar-SA"/>
                      </w:rPr>
                      <w:fldChar w:fldCharType="end"/>
                    </w:r>
                  </w:p>
                </w:txbxContent>
              </v:textbox>
            </v:shape>
          </w:pict>
        </mc:Fallback>
      </mc:AlternateContent>
    </w:r>
  </w:p>
  <w:p>
    <w:pPr>
      <w:pStyle w:val="10"/>
      <w:rPr>
        <w:rFonts w:hint="eastAsia" w:eastAsia="宋体"/>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AO78WkwQIAANYFAAAOAAAAAAAA&#10;AAEAIAAAAB8BAABkcnMvZTJvRG9jLnhtbFBLBQYAAAAABgAGAFkBAABSBg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黑体" w:asciiTheme="minorAscii"/>
                              <w:b w:val="0"/>
                              <w:bCs/>
                              <w:sz w:val="21"/>
                              <w:szCs w:val="21"/>
                              <w:lang w:eastAsia="zh-CN"/>
                            </w:rPr>
                          </w:pPr>
                          <w:r>
                            <w:rPr>
                              <w:rFonts w:hint="eastAsia" w:ascii="Calibri" w:hAnsi="Calibri" w:eastAsia="宋体" w:cs="Times New Roman"/>
                              <w:b w:val="0"/>
                              <w:kern w:val="0"/>
                              <w:sz w:val="18"/>
                              <w:szCs w:val="18"/>
                              <w:lang w:val="en-US" w:eastAsia="zh-CN" w:bidi="ar-SA"/>
                            </w:rPr>
                            <w:fldChar w:fldCharType="begin"/>
                          </w:r>
                          <w:r>
                            <w:rPr>
                              <w:rFonts w:hint="eastAsia" w:ascii="Calibri" w:hAnsi="Calibri" w:eastAsia="宋体" w:cs="Times New Roman"/>
                              <w:b w:val="0"/>
                              <w:kern w:val="0"/>
                              <w:sz w:val="18"/>
                              <w:szCs w:val="18"/>
                              <w:lang w:val="en-US" w:eastAsia="zh-CN" w:bidi="ar-SA"/>
                            </w:rPr>
                            <w:instrText xml:space="preserve"> PAGE  \* MERGEFORMAT </w:instrText>
                          </w:r>
                          <w:r>
                            <w:rPr>
                              <w:rFonts w:hint="eastAsia" w:ascii="Calibri" w:hAnsi="Calibri" w:eastAsia="宋体" w:cs="Times New Roman"/>
                              <w:b w:val="0"/>
                              <w:kern w:val="0"/>
                              <w:sz w:val="18"/>
                              <w:szCs w:val="18"/>
                              <w:lang w:val="en-US" w:eastAsia="zh-CN" w:bidi="ar-SA"/>
                            </w:rPr>
                            <w:fldChar w:fldCharType="separate"/>
                          </w:r>
                          <w:r>
                            <w:rPr>
                              <w:rFonts w:hint="eastAsia" w:ascii="Calibri" w:hAnsi="Calibri" w:eastAsia="宋体" w:cs="Times New Roman"/>
                              <w:b w:val="0"/>
                              <w:kern w:val="0"/>
                              <w:sz w:val="18"/>
                              <w:szCs w:val="18"/>
                              <w:lang w:val="en-US" w:eastAsia="zh-CN" w:bidi="ar-SA"/>
                            </w:rPr>
                            <w:t>2</w:t>
                          </w:r>
                          <w:r>
                            <w:rPr>
                              <w:rFonts w:hint="eastAsia" w:ascii="Calibri" w:hAnsi="Calibri" w:eastAsia="宋体" w:cs="Times New Roman"/>
                              <w:b w:val="0"/>
                              <w:kern w:val="0"/>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黑体" w:asciiTheme="minorAscii"/>
                        <w:b w:val="0"/>
                        <w:bCs/>
                        <w:sz w:val="21"/>
                        <w:szCs w:val="21"/>
                        <w:lang w:eastAsia="zh-CN"/>
                      </w:rPr>
                    </w:pPr>
                    <w:r>
                      <w:rPr>
                        <w:rFonts w:hint="eastAsia" w:ascii="Calibri" w:hAnsi="Calibri" w:eastAsia="宋体" w:cs="Times New Roman"/>
                        <w:b w:val="0"/>
                        <w:kern w:val="0"/>
                        <w:sz w:val="18"/>
                        <w:szCs w:val="18"/>
                        <w:lang w:val="en-US" w:eastAsia="zh-CN" w:bidi="ar-SA"/>
                      </w:rPr>
                      <w:fldChar w:fldCharType="begin"/>
                    </w:r>
                    <w:r>
                      <w:rPr>
                        <w:rFonts w:hint="eastAsia" w:ascii="Calibri" w:hAnsi="Calibri" w:eastAsia="宋体" w:cs="Times New Roman"/>
                        <w:b w:val="0"/>
                        <w:kern w:val="0"/>
                        <w:sz w:val="18"/>
                        <w:szCs w:val="18"/>
                        <w:lang w:val="en-US" w:eastAsia="zh-CN" w:bidi="ar-SA"/>
                      </w:rPr>
                      <w:instrText xml:space="preserve"> PAGE  \* MERGEFORMAT </w:instrText>
                    </w:r>
                    <w:r>
                      <w:rPr>
                        <w:rFonts w:hint="eastAsia" w:ascii="Calibri" w:hAnsi="Calibri" w:eastAsia="宋体" w:cs="Times New Roman"/>
                        <w:b w:val="0"/>
                        <w:kern w:val="0"/>
                        <w:sz w:val="18"/>
                        <w:szCs w:val="18"/>
                        <w:lang w:val="en-US" w:eastAsia="zh-CN" w:bidi="ar-SA"/>
                      </w:rPr>
                      <w:fldChar w:fldCharType="separate"/>
                    </w:r>
                    <w:r>
                      <w:rPr>
                        <w:rFonts w:hint="eastAsia" w:ascii="Calibri" w:hAnsi="Calibri" w:eastAsia="宋体" w:cs="Times New Roman"/>
                        <w:b w:val="0"/>
                        <w:kern w:val="0"/>
                        <w:sz w:val="18"/>
                        <w:szCs w:val="18"/>
                        <w:lang w:val="en-US" w:eastAsia="zh-CN" w:bidi="ar-SA"/>
                      </w:rPr>
                      <w:t>2</w:t>
                    </w:r>
                    <w:r>
                      <w:rPr>
                        <w:rFonts w:hint="eastAsia" w:ascii="Calibri" w:hAnsi="Calibri" w:eastAsia="宋体" w:cs="Times New Roman"/>
                        <w:b w:val="0"/>
                        <w:kern w:val="0"/>
                        <w:sz w:val="18"/>
                        <w:szCs w:val="18"/>
                        <w:lang w:val="en-US" w:eastAsia="zh-CN" w:bidi="ar-SA"/>
                      </w:rPr>
                      <w:fldChar w:fldCharType="end"/>
                    </w:r>
                  </w:p>
                </w:txbxContent>
              </v:textbox>
            </v:shape>
          </w:pict>
        </mc:Fallback>
      </mc:AlternateContent>
    </w:r>
  </w:p>
  <w:p>
    <w:pPr>
      <w:pStyle w:val="10"/>
      <w:rPr>
        <w:rFonts w:hint="eastAsia" w:eastAsia="宋体"/>
        <w:lang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AF7F35"/>
    <w:multiLevelType w:val="singleLevel"/>
    <w:tmpl w:val="B3AF7F35"/>
    <w:lvl w:ilvl="0" w:tentative="0">
      <w:start w:val="1"/>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D52CDA3"/>
    <w:multiLevelType w:val="singleLevel"/>
    <w:tmpl w:val="ED52CDA3"/>
    <w:lvl w:ilvl="0" w:tentative="0">
      <w:start w:val="1"/>
      <w:numFmt w:val="chineseCounting"/>
      <w:suff w:val="nothing"/>
      <w:lvlText w:val="%1、"/>
      <w:lvlJc w:val="left"/>
      <w:rPr>
        <w:rFonts w:hint="eastAsia"/>
      </w:rPr>
    </w:lvl>
  </w:abstractNum>
  <w:abstractNum w:abstractNumId="3">
    <w:nsid w:val="FCD78F36"/>
    <w:multiLevelType w:val="singleLevel"/>
    <w:tmpl w:val="FCD78F36"/>
    <w:lvl w:ilvl="0" w:tentative="0">
      <w:start w:val="1"/>
      <w:numFmt w:val="decimal"/>
      <w:lvlText w:val="%1."/>
      <w:lvlJc w:val="left"/>
      <w:pPr>
        <w:tabs>
          <w:tab w:val="left" w:pos="312"/>
        </w:tabs>
      </w:p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52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573FD"/>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125F77"/>
    <w:rsid w:val="022D584D"/>
    <w:rsid w:val="02FEBE30"/>
    <w:rsid w:val="036F8141"/>
    <w:rsid w:val="037F1586"/>
    <w:rsid w:val="059450EC"/>
    <w:rsid w:val="05E252BF"/>
    <w:rsid w:val="066E0107"/>
    <w:rsid w:val="07173B60"/>
    <w:rsid w:val="07810011"/>
    <w:rsid w:val="07996F6E"/>
    <w:rsid w:val="07DFD8BA"/>
    <w:rsid w:val="08073F06"/>
    <w:rsid w:val="099A28BC"/>
    <w:rsid w:val="0A2032A3"/>
    <w:rsid w:val="0A3D3837"/>
    <w:rsid w:val="0D2E2534"/>
    <w:rsid w:val="0D35B1ED"/>
    <w:rsid w:val="0E7ED1F5"/>
    <w:rsid w:val="0F98263C"/>
    <w:rsid w:val="0FDE621E"/>
    <w:rsid w:val="101860EC"/>
    <w:rsid w:val="10895F79"/>
    <w:rsid w:val="10C055FF"/>
    <w:rsid w:val="10F96A87"/>
    <w:rsid w:val="11596388"/>
    <w:rsid w:val="118107EC"/>
    <w:rsid w:val="12424E18"/>
    <w:rsid w:val="127D0BD3"/>
    <w:rsid w:val="13104578"/>
    <w:rsid w:val="139E2AF2"/>
    <w:rsid w:val="13D50BC4"/>
    <w:rsid w:val="13F5616D"/>
    <w:rsid w:val="14270B72"/>
    <w:rsid w:val="16BB723D"/>
    <w:rsid w:val="17137AC0"/>
    <w:rsid w:val="17904A26"/>
    <w:rsid w:val="17F9714D"/>
    <w:rsid w:val="182A3B09"/>
    <w:rsid w:val="1918F934"/>
    <w:rsid w:val="19EC6C73"/>
    <w:rsid w:val="1BE8440E"/>
    <w:rsid w:val="1D155CEE"/>
    <w:rsid w:val="1DFBC4B3"/>
    <w:rsid w:val="1DFE1047"/>
    <w:rsid w:val="1E740ACF"/>
    <w:rsid w:val="1E920112"/>
    <w:rsid w:val="1F19C781"/>
    <w:rsid w:val="1F33FCE5"/>
    <w:rsid w:val="1F7F7398"/>
    <w:rsid w:val="1FD2DB6F"/>
    <w:rsid w:val="1FF35744"/>
    <w:rsid w:val="1FF6BC77"/>
    <w:rsid w:val="1FF9236D"/>
    <w:rsid w:val="2141214F"/>
    <w:rsid w:val="22CC62D5"/>
    <w:rsid w:val="2333840E"/>
    <w:rsid w:val="23860B96"/>
    <w:rsid w:val="23992553"/>
    <w:rsid w:val="240371BF"/>
    <w:rsid w:val="24793767"/>
    <w:rsid w:val="248C2E60"/>
    <w:rsid w:val="249B26DF"/>
    <w:rsid w:val="249D5508"/>
    <w:rsid w:val="251506F5"/>
    <w:rsid w:val="257C638F"/>
    <w:rsid w:val="29FD04D3"/>
    <w:rsid w:val="2B7B77BF"/>
    <w:rsid w:val="2BA21AAA"/>
    <w:rsid w:val="2BFF7BC6"/>
    <w:rsid w:val="2C8A61B5"/>
    <w:rsid w:val="2C9976C3"/>
    <w:rsid w:val="2CD59C95"/>
    <w:rsid w:val="2DF04E50"/>
    <w:rsid w:val="2E2E5B0D"/>
    <w:rsid w:val="2EFD05E5"/>
    <w:rsid w:val="2F040D46"/>
    <w:rsid w:val="2F4F95CE"/>
    <w:rsid w:val="2FACAFDD"/>
    <w:rsid w:val="2FAE5751"/>
    <w:rsid w:val="2FB1A395"/>
    <w:rsid w:val="2FCF0B76"/>
    <w:rsid w:val="2FD9A7D8"/>
    <w:rsid w:val="319F7F4E"/>
    <w:rsid w:val="31F6766B"/>
    <w:rsid w:val="3304709D"/>
    <w:rsid w:val="332F0C03"/>
    <w:rsid w:val="338C0B43"/>
    <w:rsid w:val="352A3B71"/>
    <w:rsid w:val="36AA5135"/>
    <w:rsid w:val="36BE0DA7"/>
    <w:rsid w:val="376B6AA6"/>
    <w:rsid w:val="376D39B2"/>
    <w:rsid w:val="37E16F03"/>
    <w:rsid w:val="37F53A3B"/>
    <w:rsid w:val="38D469F0"/>
    <w:rsid w:val="38F78389"/>
    <w:rsid w:val="397BAF1F"/>
    <w:rsid w:val="39E7B272"/>
    <w:rsid w:val="39F7642F"/>
    <w:rsid w:val="39FF7B37"/>
    <w:rsid w:val="3AB79AF3"/>
    <w:rsid w:val="3AFDCB77"/>
    <w:rsid w:val="3B7EF35A"/>
    <w:rsid w:val="3B9FDB6C"/>
    <w:rsid w:val="3BF5BC2F"/>
    <w:rsid w:val="3BF7C23A"/>
    <w:rsid w:val="3BFF223E"/>
    <w:rsid w:val="3C6EC0A1"/>
    <w:rsid w:val="3CDB0824"/>
    <w:rsid w:val="3CEBA265"/>
    <w:rsid w:val="3D6A7F9F"/>
    <w:rsid w:val="3D7E7F4D"/>
    <w:rsid w:val="3D98207C"/>
    <w:rsid w:val="3D9CF30A"/>
    <w:rsid w:val="3DE44CE4"/>
    <w:rsid w:val="3DFF5A3E"/>
    <w:rsid w:val="3E78745D"/>
    <w:rsid w:val="3EEE77E9"/>
    <w:rsid w:val="3F394AF5"/>
    <w:rsid w:val="3F991C12"/>
    <w:rsid w:val="3FBE5714"/>
    <w:rsid w:val="3FDD8615"/>
    <w:rsid w:val="3FDFB2FF"/>
    <w:rsid w:val="3FF4CAE0"/>
    <w:rsid w:val="3FF75FAF"/>
    <w:rsid w:val="3FF7B227"/>
    <w:rsid w:val="41E67853"/>
    <w:rsid w:val="42EB0B74"/>
    <w:rsid w:val="434746F9"/>
    <w:rsid w:val="435A556A"/>
    <w:rsid w:val="44E268DA"/>
    <w:rsid w:val="457F4F6B"/>
    <w:rsid w:val="4737FB58"/>
    <w:rsid w:val="47735F3E"/>
    <w:rsid w:val="47ECCB02"/>
    <w:rsid w:val="47FA6A3F"/>
    <w:rsid w:val="49D7AE48"/>
    <w:rsid w:val="4A3F6C7E"/>
    <w:rsid w:val="4A627F82"/>
    <w:rsid w:val="4B0E749A"/>
    <w:rsid w:val="4B4F25DA"/>
    <w:rsid w:val="4BBB4781"/>
    <w:rsid w:val="4BD709A5"/>
    <w:rsid w:val="4BDD9BFF"/>
    <w:rsid w:val="4BE068DB"/>
    <w:rsid w:val="4D577224"/>
    <w:rsid w:val="4DBF1CEB"/>
    <w:rsid w:val="4DBF6A6B"/>
    <w:rsid w:val="4DF6A672"/>
    <w:rsid w:val="4E6B778C"/>
    <w:rsid w:val="4EAB630A"/>
    <w:rsid w:val="4ECE2238"/>
    <w:rsid w:val="4F7EA413"/>
    <w:rsid w:val="4F93738D"/>
    <w:rsid w:val="4FAB812F"/>
    <w:rsid w:val="4FE9BD67"/>
    <w:rsid w:val="4FEE4C07"/>
    <w:rsid w:val="4FFB052F"/>
    <w:rsid w:val="52680294"/>
    <w:rsid w:val="527B3D80"/>
    <w:rsid w:val="537E6D0A"/>
    <w:rsid w:val="53AB6B88"/>
    <w:rsid w:val="53BC2753"/>
    <w:rsid w:val="53F74C96"/>
    <w:rsid w:val="54A26555"/>
    <w:rsid w:val="5583522D"/>
    <w:rsid w:val="558C1D31"/>
    <w:rsid w:val="55CE643F"/>
    <w:rsid w:val="564C2EB6"/>
    <w:rsid w:val="579D3350"/>
    <w:rsid w:val="57BD3DD4"/>
    <w:rsid w:val="57F9CD1E"/>
    <w:rsid w:val="5827486F"/>
    <w:rsid w:val="5AF92295"/>
    <w:rsid w:val="5AF9D8E9"/>
    <w:rsid w:val="5B4705FA"/>
    <w:rsid w:val="5BDD38BD"/>
    <w:rsid w:val="5BDD79E6"/>
    <w:rsid w:val="5BEFC772"/>
    <w:rsid w:val="5BFF5DFC"/>
    <w:rsid w:val="5CD71FC4"/>
    <w:rsid w:val="5CEB28EB"/>
    <w:rsid w:val="5D1F11B5"/>
    <w:rsid w:val="5D3647F9"/>
    <w:rsid w:val="5DA644D4"/>
    <w:rsid w:val="5DAE1B18"/>
    <w:rsid w:val="5DE7D9E5"/>
    <w:rsid w:val="5ECEC941"/>
    <w:rsid w:val="5EFF8FC6"/>
    <w:rsid w:val="5F5BA39A"/>
    <w:rsid w:val="5F7D3B79"/>
    <w:rsid w:val="5F7F4610"/>
    <w:rsid w:val="5FBF9FF3"/>
    <w:rsid w:val="5FCD4E2C"/>
    <w:rsid w:val="5FD43EA0"/>
    <w:rsid w:val="5FEF394A"/>
    <w:rsid w:val="5FF67715"/>
    <w:rsid w:val="60D940E6"/>
    <w:rsid w:val="61CA71D5"/>
    <w:rsid w:val="62097DB1"/>
    <w:rsid w:val="627EE9EA"/>
    <w:rsid w:val="63B23AA5"/>
    <w:rsid w:val="644235E9"/>
    <w:rsid w:val="647F5392"/>
    <w:rsid w:val="64E322C4"/>
    <w:rsid w:val="650D7307"/>
    <w:rsid w:val="65FB93B9"/>
    <w:rsid w:val="6633C463"/>
    <w:rsid w:val="67D55B77"/>
    <w:rsid w:val="67EE7F84"/>
    <w:rsid w:val="686F5F53"/>
    <w:rsid w:val="68EB250D"/>
    <w:rsid w:val="69A549BC"/>
    <w:rsid w:val="6AFFCEAF"/>
    <w:rsid w:val="6B96E9E6"/>
    <w:rsid w:val="6B9857E1"/>
    <w:rsid w:val="6BCE57B5"/>
    <w:rsid w:val="6BFEA4DB"/>
    <w:rsid w:val="6BFFB662"/>
    <w:rsid w:val="6C4A05C8"/>
    <w:rsid w:val="6CFF4FB8"/>
    <w:rsid w:val="6D6BD6E0"/>
    <w:rsid w:val="6D77E73C"/>
    <w:rsid w:val="6DBF5E93"/>
    <w:rsid w:val="6DFF077E"/>
    <w:rsid w:val="6E4C3F59"/>
    <w:rsid w:val="6E7362A3"/>
    <w:rsid w:val="6E7E3605"/>
    <w:rsid w:val="6E7FDCC7"/>
    <w:rsid w:val="6EB102FA"/>
    <w:rsid w:val="6ED6A62E"/>
    <w:rsid w:val="6EE00B15"/>
    <w:rsid w:val="6EE737B2"/>
    <w:rsid w:val="6EEB2329"/>
    <w:rsid w:val="6EECE67A"/>
    <w:rsid w:val="6F6F90A8"/>
    <w:rsid w:val="6F6FB3EB"/>
    <w:rsid w:val="6F8731EA"/>
    <w:rsid w:val="6FBC2ADD"/>
    <w:rsid w:val="6FD57C00"/>
    <w:rsid w:val="6FDE7BAE"/>
    <w:rsid w:val="6FEFFFD8"/>
    <w:rsid w:val="6FF5CC65"/>
    <w:rsid w:val="6FFB47EC"/>
    <w:rsid w:val="6FFF034A"/>
    <w:rsid w:val="712A28F1"/>
    <w:rsid w:val="715C0E4B"/>
    <w:rsid w:val="71FFD401"/>
    <w:rsid w:val="72233669"/>
    <w:rsid w:val="72734D90"/>
    <w:rsid w:val="7332FE48"/>
    <w:rsid w:val="73AD73D5"/>
    <w:rsid w:val="73B6EB34"/>
    <w:rsid w:val="73FA497D"/>
    <w:rsid w:val="744731E5"/>
    <w:rsid w:val="74BBD01D"/>
    <w:rsid w:val="74ED5379"/>
    <w:rsid w:val="758A732B"/>
    <w:rsid w:val="75DEEEC2"/>
    <w:rsid w:val="767F479D"/>
    <w:rsid w:val="76AA46F8"/>
    <w:rsid w:val="76E3355F"/>
    <w:rsid w:val="76F742AF"/>
    <w:rsid w:val="76F7BE7D"/>
    <w:rsid w:val="76FF5125"/>
    <w:rsid w:val="773570D3"/>
    <w:rsid w:val="77597F31"/>
    <w:rsid w:val="776F6FFA"/>
    <w:rsid w:val="7777A522"/>
    <w:rsid w:val="77858688"/>
    <w:rsid w:val="778769C8"/>
    <w:rsid w:val="77CB741A"/>
    <w:rsid w:val="77D7BE3A"/>
    <w:rsid w:val="77DC22F5"/>
    <w:rsid w:val="78CB1010"/>
    <w:rsid w:val="79601915"/>
    <w:rsid w:val="797E3A6C"/>
    <w:rsid w:val="79CF70E2"/>
    <w:rsid w:val="79D7FD79"/>
    <w:rsid w:val="79E75806"/>
    <w:rsid w:val="79EE5BA4"/>
    <w:rsid w:val="7A641148"/>
    <w:rsid w:val="7A6F8BF5"/>
    <w:rsid w:val="7A840AC4"/>
    <w:rsid w:val="7A894339"/>
    <w:rsid w:val="7ACF82B5"/>
    <w:rsid w:val="7AFF28C9"/>
    <w:rsid w:val="7AFF72A0"/>
    <w:rsid w:val="7AFF7572"/>
    <w:rsid w:val="7B6C7DFB"/>
    <w:rsid w:val="7B7D76A7"/>
    <w:rsid w:val="7BAE2FE2"/>
    <w:rsid w:val="7BAF6951"/>
    <w:rsid w:val="7BBFBED0"/>
    <w:rsid w:val="7BC3E394"/>
    <w:rsid w:val="7BF3FE4C"/>
    <w:rsid w:val="7BFB5035"/>
    <w:rsid w:val="7BFDE17E"/>
    <w:rsid w:val="7CBFC87B"/>
    <w:rsid w:val="7CFE0F48"/>
    <w:rsid w:val="7D177F5B"/>
    <w:rsid w:val="7D3DE31C"/>
    <w:rsid w:val="7D7EC23E"/>
    <w:rsid w:val="7D7F8A13"/>
    <w:rsid w:val="7DBBCB01"/>
    <w:rsid w:val="7DC765D0"/>
    <w:rsid w:val="7DDB0EE0"/>
    <w:rsid w:val="7DFF51D8"/>
    <w:rsid w:val="7E634199"/>
    <w:rsid w:val="7E712E38"/>
    <w:rsid w:val="7E8ADEBF"/>
    <w:rsid w:val="7EEF11D3"/>
    <w:rsid w:val="7EF78C20"/>
    <w:rsid w:val="7F3F679B"/>
    <w:rsid w:val="7F4FC4EF"/>
    <w:rsid w:val="7F5616FF"/>
    <w:rsid w:val="7F5E4D54"/>
    <w:rsid w:val="7F6B75FA"/>
    <w:rsid w:val="7F8E1C93"/>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4"/>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customStyle="1" w:styleId="19">
    <w:name w:val="Header Char"/>
    <w:basedOn w:val="16"/>
    <w:semiHidden/>
    <w:qFormat/>
    <w:uiPriority w:val="99"/>
    <w:rPr>
      <w:rFonts w:ascii="Times New Roman" w:hAnsi="Times New Roman"/>
      <w:sz w:val="18"/>
      <w:szCs w:val="18"/>
    </w:rPr>
  </w:style>
  <w:style w:type="character" w:customStyle="1" w:styleId="20">
    <w:name w:val="页眉 字符"/>
    <w:link w:val="11"/>
    <w:semiHidden/>
    <w:qFormat/>
    <w:locked/>
    <w:uiPriority w:val="99"/>
    <w:rPr>
      <w:sz w:val="18"/>
    </w:rPr>
  </w:style>
  <w:style w:type="character" w:customStyle="1" w:styleId="21">
    <w:name w:val="Footer Char"/>
    <w:basedOn w:val="16"/>
    <w:semiHidden/>
    <w:qFormat/>
    <w:uiPriority w:val="99"/>
    <w:rPr>
      <w:rFonts w:ascii="Times New Roman" w:hAnsi="Times New Roman"/>
      <w:sz w:val="18"/>
      <w:szCs w:val="18"/>
    </w:rPr>
  </w:style>
  <w:style w:type="character" w:customStyle="1" w:styleId="22">
    <w:name w:val="页脚 字符"/>
    <w:link w:val="10"/>
    <w:qFormat/>
    <w:locked/>
    <w:uiPriority w:val="99"/>
    <w:rPr>
      <w:sz w:val="18"/>
    </w:rPr>
  </w:style>
  <w:style w:type="character" w:customStyle="1" w:styleId="23">
    <w:name w:val="Body Text Char"/>
    <w:basedOn w:val="16"/>
    <w:semiHidden/>
    <w:qFormat/>
    <w:uiPriority w:val="99"/>
    <w:rPr>
      <w:rFonts w:ascii="Times New Roman" w:hAnsi="Times New Roman"/>
      <w:szCs w:val="24"/>
    </w:rPr>
  </w:style>
  <w:style w:type="character" w:customStyle="1" w:styleId="24">
    <w:name w:val="正文文本 字符"/>
    <w:link w:val="6"/>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字符"/>
    <w:basedOn w:val="16"/>
    <w:link w:val="3"/>
    <w:qFormat/>
    <w:uiPriority w:val="9"/>
    <w:rPr>
      <w:rFonts w:ascii="Times New Roman" w:hAnsi="Times New Roman"/>
      <w:b/>
      <w:bCs/>
      <w:kern w:val="44"/>
      <w:sz w:val="44"/>
      <w:szCs w:val="44"/>
    </w:rPr>
  </w:style>
  <w:style w:type="character" w:customStyle="1" w:styleId="28">
    <w:name w:val="标题 2 字符"/>
    <w:basedOn w:val="16"/>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字符"/>
    <w:basedOn w:val="16"/>
    <w:link w:val="9"/>
    <w:semiHidden/>
    <w:qFormat/>
    <w:uiPriority w:val="99"/>
    <w:rPr>
      <w:rFonts w:ascii="Times New Roman" w:hAnsi="Times New Roman"/>
      <w:kern w:val="2"/>
      <w:sz w:val="18"/>
      <w:szCs w:val="18"/>
    </w:rPr>
  </w:style>
  <w:style w:type="character" w:customStyle="1" w:styleId="31">
    <w:name w:val="标题 3 字符"/>
    <w:basedOn w:val="16"/>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2022年</c:v>
                </c:pt>
              </c:strCache>
            </c:strRef>
          </c:tx>
          <c:invertIfNegative val="0"/>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285.92</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c:f>
              <c:strCache>
                <c:ptCount val="1"/>
                <c:pt idx="0">
                  <c:v>收、支决算总计变动情况图</c:v>
                </c:pt>
              </c:strCache>
            </c:strRef>
          </c:cat>
          <c:val>
            <c:numRef>
              <c:f>Sheet1!$B$2</c:f>
              <c:numCache>
                <c:formatCode>General</c:formatCode>
                <c:ptCount val="1"/>
                <c:pt idx="0">
                  <c:v>285.92</c:v>
                </c:pt>
              </c:numCache>
            </c:numRef>
          </c:val>
        </c:ser>
        <c:ser>
          <c:idx val="1"/>
          <c:order val="1"/>
          <c:tx>
            <c:strRef>
              <c:f>Sheet1!$C$1</c:f>
              <c:strCache>
                <c:ptCount val="1"/>
                <c:pt idx="0">
                  <c:v>2023年</c:v>
                </c:pt>
              </c:strCache>
            </c:strRef>
          </c:tx>
          <c:invertIfNegative val="0"/>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303.64</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c:f>
              <c:strCache>
                <c:ptCount val="1"/>
                <c:pt idx="0">
                  <c:v>收、支决算总计变动情况图</c:v>
                </c:pt>
              </c:strCache>
            </c:strRef>
          </c:cat>
          <c:val>
            <c:numRef>
              <c:f>Sheet1!$C$2</c:f>
              <c:numCache>
                <c:formatCode>General</c:formatCode>
                <c:ptCount val="1"/>
                <c:pt idx="0">
                  <c:v>303.64</c:v>
                </c:pt>
              </c:numCache>
            </c:numRef>
          </c:val>
        </c:ser>
        <c:dLbls>
          <c:showLegendKey val="0"/>
          <c:showVal val="1"/>
          <c:showCatName val="0"/>
          <c:showSerName val="0"/>
          <c:showPercent val="0"/>
          <c:showBubbleSize val="0"/>
        </c:dLbls>
        <c:gapWidth val="150"/>
        <c:axId val="220515712"/>
        <c:axId val="148046976"/>
      </c:barChart>
      <c:catAx>
        <c:axId val="220515712"/>
        <c:scaling>
          <c:orientation val="minMax"/>
        </c:scaling>
        <c:delete val="0"/>
        <c:axPos val="b"/>
        <c:majorTickMark val="out"/>
        <c:minorTickMark val="none"/>
        <c:tickLblPos val="nextTo"/>
        <c:txPr>
          <a:bodyPr rot="-60000000" spcFirstLastPara="0" vertOverflow="ellipsis" vert="horz" wrap="square" anchor="ctr" anchorCtr="1"/>
          <a:lstStyle/>
          <a:p>
            <a:pPr>
              <a:defRPr lang="zh-CN" sz="1200" b="1" i="0" u="none" strike="noStrike" kern="1200" baseline="0">
                <a:solidFill>
                  <a:schemeClr val="tx1"/>
                </a:solidFill>
                <a:latin typeface="+mn-lt"/>
                <a:ea typeface="+mn-ea"/>
                <a:cs typeface="+mn-cs"/>
              </a:defRPr>
            </a:pPr>
          </a:p>
        </c:txPr>
        <c:crossAx val="148046976"/>
        <c:crosses val="autoZero"/>
        <c:auto val="1"/>
        <c:lblAlgn val="ctr"/>
        <c:lblOffset val="100"/>
        <c:noMultiLvlLbl val="0"/>
      </c:catAx>
      <c:valAx>
        <c:axId val="148046976"/>
        <c:scaling>
          <c:orientation val="minMax"/>
          <c:max val="400"/>
          <c:min val="0"/>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0515712"/>
        <c:crosses val="autoZero"/>
        <c:crossBetween val="between"/>
        <c:majorUnit val="50"/>
        <c:minorUnit val="10"/>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1" i="0" u="none" strike="noStrike" kern="1200" baseline="0">
                <a:solidFill>
                  <a:schemeClr val="tx1"/>
                </a:solidFill>
                <a:latin typeface="+mn-lt"/>
                <a:ea typeface="+mn-ea"/>
                <a:cs typeface="+mn-cs"/>
              </a:defRPr>
            </a:pPr>
            <a:r>
              <a:rPr lang="zh-CN" altLang="en-US" sz="1200" b="1" i="0" baseline="0"/>
              <a:t>收入决算结构图</a:t>
            </a:r>
            <a:endParaRPr lang="zh-CN" altLang="en-US" sz="1200" b="1" i="0" baseline="0"/>
          </a:p>
        </c:rich>
      </c:tx>
      <c:layout>
        <c:manualLayout>
          <c:xMode val="edge"/>
          <c:yMode val="edge"/>
          <c:x val="0.415723573320493"/>
          <c:y val="0.89576883384933"/>
        </c:manualLayout>
      </c:layout>
      <c:overlay val="0"/>
    </c:title>
    <c:autoTitleDeleted val="0"/>
    <c:plotArea>
      <c:layout/>
      <c:pieChart>
        <c:varyColors val="1"/>
        <c:ser>
          <c:idx val="1"/>
          <c:order val="1"/>
          <c:tx>
            <c:strRef>
              <c:f>Sheet1!$B$1</c:f>
              <c:strCache>
                <c:ptCount val="1"/>
                <c:pt idx="0">
                  <c:v>收入决算情况图</c:v>
                </c:pt>
              </c:strCache>
            </c:strRef>
          </c:tx>
          <c:explosion val="0"/>
          <c:dPt>
            <c:idx val="0"/>
            <c:bubble3D val="0"/>
          </c:dPt>
          <c:dLbls>
            <c:dLbl>
              <c:idx val="0"/>
              <c:layout>
                <c:manualLayout>
                  <c:x val="0.143491376123133"/>
                  <c:y val="-0.707395724141294"/>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altLang="en-US"/>
                      <a:t>100%</a:t>
                    </a:r>
                    <a:endParaRPr altLang="en-US"/>
                  </a:p>
                </c:rich>
              </c:tx>
              <c:dLblPos val="bestFit"/>
              <c:showLegendKey val="0"/>
              <c:showVal val="0"/>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c:f>
              <c:strCache>
                <c:ptCount val="1"/>
                <c:pt idx="0">
                  <c:v>一般公共预算收入</c:v>
                </c:pt>
              </c:strCache>
            </c:strRef>
          </c:cat>
          <c:val>
            <c:numRef>
              <c:f>Sheet1!$B$2</c:f>
              <c:numCache>
                <c:formatCode>General</c:formatCode>
                <c:ptCount val="1"/>
                <c:pt idx="0">
                  <c:v>100</c:v>
                </c:pt>
              </c:numCache>
            </c:numRef>
          </c:val>
        </c:ser>
        <c:ser>
          <c:idx val="0"/>
          <c:order val="0"/>
          <c:tx>
            <c:strRef>
              <c:f>Sheet1!$B$1</c:f>
              <c:strCache>
                <c:ptCount val="1"/>
                <c:pt idx="0">
                  <c:v>收入决算情况图</c:v>
                </c:pt>
              </c:strCache>
            </c:strRef>
          </c:tx>
          <c:explosion val="0"/>
          <c:dPt>
            <c:idx val="0"/>
            <c:bubble3D val="0"/>
          </c:dPt>
          <c:dLbls>
            <c:dLbl>
              <c:idx val="0"/>
              <c:layout>
                <c:manualLayout>
                  <c:x val="0.224368116398164"/>
                  <c:y val="0.00894988745601847"/>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a:t>一般公共预算</a:t>
                    </a:r>
                    <a:r>
                      <a:rPr lang="en-US" altLang="en-US"/>
                      <a:t>95, %</a:t>
                    </a:r>
                    <a:endParaRPr lang="en-US" altLang="en-US"/>
                  </a:p>
                </c:rich>
              </c:tx>
              <c:dLblPos val="bestFit"/>
              <c:showLegendKey val="0"/>
              <c:showVal val="1"/>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Sheet1!$A$2:$A$2</c:f>
              <c:strCache>
                <c:ptCount val="1"/>
                <c:pt idx="0">
                  <c:v>一般公共预算收入</c:v>
                </c:pt>
              </c:strCache>
            </c:strRef>
          </c:cat>
          <c:val>
            <c:numRef>
              <c:f>Sheet1!$B$2:$B$2</c:f>
              <c:numCache>
                <c:formatCode>General</c:formatCode>
                <c:ptCount val="1"/>
                <c:pt idx="0">
                  <c:v>100</c:v>
                </c:pt>
              </c:numCache>
            </c:numRef>
          </c:val>
        </c:ser>
        <c:dLbls>
          <c:showLegendKey val="0"/>
          <c:showVal val="1"/>
          <c:showCatName val="0"/>
          <c:showSerName val="0"/>
          <c:showPercent val="1"/>
          <c:showBubbleSize val="0"/>
          <c:showLeaderLines val="1"/>
        </c:dLbls>
        <c:firstSliceAng val="0"/>
      </c:pieChart>
    </c:plotArea>
    <c:legend>
      <c:legendPos val="r"/>
      <c:layout>
        <c:manualLayout>
          <c:xMode val="edge"/>
          <c:yMode val="edge"/>
          <c:x val="0.650892154613595"/>
          <c:y val="0.492227233205757"/>
          <c:w val="0.329844662145382"/>
          <c:h val="0.149291338582678"/>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1" i="0" u="none" strike="noStrike" kern="1200" baseline="0">
                <a:solidFill>
                  <a:schemeClr val="tx1"/>
                </a:solidFill>
                <a:latin typeface="+mn-lt"/>
                <a:ea typeface="+mn-ea"/>
                <a:cs typeface="+mn-cs"/>
              </a:defRPr>
            </a:pPr>
            <a:r>
              <a:rPr lang="zh-CN" altLang="en-US" sz="1200" b="1" i="0" baseline="0"/>
              <a:t>支出决算结构图</a:t>
            </a:r>
            <a:endParaRPr lang="zh-CN" altLang="en-US" sz="1200" b="1" i="0" baseline="0"/>
          </a:p>
        </c:rich>
      </c:tx>
      <c:layout>
        <c:manualLayout>
          <c:xMode val="edge"/>
          <c:yMode val="edge"/>
          <c:x val="0.440597327748519"/>
          <c:y val="0.896021047504822"/>
        </c:manualLayout>
      </c:layout>
      <c:overlay val="0"/>
    </c:title>
    <c:autoTitleDeleted val="0"/>
    <c:plotArea>
      <c:layout/>
      <c:pieChart>
        <c:varyColors val="1"/>
        <c:ser>
          <c:idx val="0"/>
          <c:order val="0"/>
          <c:tx>
            <c:strRef>
              <c:f>Sheet1!$B$1</c:f>
              <c:strCache>
                <c:ptCount val="1"/>
                <c:pt idx="0">
                  <c:v>支出决算情况图</c:v>
                </c:pt>
              </c:strCache>
            </c:strRef>
          </c:tx>
          <c:explosion val="0"/>
          <c:dPt>
            <c:idx val="0"/>
            <c:bubble3D val="0"/>
          </c:dPt>
          <c:dPt>
            <c:idx val="1"/>
            <c:bubble3D val="0"/>
          </c:dPt>
          <c:dLbls>
            <c:dLbl>
              <c:idx val="0"/>
              <c:layout>
                <c:manualLayout>
                  <c:x val="-0.292814991426992"/>
                  <c:y val="-0.0129384802008252"/>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a:t>基本支出</a:t>
                    </a:r>
                    <a:r>
                      <a:rPr lang="en-US" altLang="zh-CN"/>
                      <a:t>98.02</a:t>
                    </a:r>
                    <a:r>
                      <a:rPr lang="en-US" altLang="en-US" b="0"/>
                      <a:t>%</a:t>
                    </a:r>
                    <a:endParaRPr lang="en-US" altLang="en-US" b="0"/>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118327515826715"/>
                  <c:y val="-0.0579839594354115"/>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a:t>项目支出</a:t>
                    </a:r>
                    <a:r>
                      <a:rPr lang="en-US" altLang="zh-CN"/>
                      <a:t>1.97</a:t>
                    </a:r>
                    <a:r>
                      <a:rPr lang="en-US" altLang="en-US"/>
                      <a:t>%</a:t>
                    </a:r>
                    <a:endParaRPr lang="en-US" altLang="en-US"/>
                  </a:p>
                </c:rich>
              </c:tx>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基本支出297.64万元</c:v>
                </c:pt>
                <c:pt idx="1">
                  <c:v>项目支出6万元</c:v>
                </c:pt>
              </c:strCache>
            </c:strRef>
          </c:cat>
          <c:val>
            <c:numRef>
              <c:f>Sheet1!$B$2:$B$3</c:f>
              <c:numCache>
                <c:formatCode>0.0000_);[Red]\(0.0000\)</c:formatCode>
                <c:ptCount val="2"/>
                <c:pt idx="0">
                  <c:v>0.9802</c:v>
                </c:pt>
                <c:pt idx="1">
                  <c:v>0.0197</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2022年</c:v>
                </c:pt>
              </c:strCache>
            </c:strRef>
          </c:tx>
          <c:invertIfNegative val="0"/>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285.92</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c:f>
              <c:strCache>
                <c:ptCount val="1"/>
                <c:pt idx="0">
                  <c:v>财政拨款收、支决算总计变动情况图</c:v>
                </c:pt>
              </c:strCache>
            </c:strRef>
          </c:cat>
          <c:val>
            <c:numRef>
              <c:f>Sheet1!$B$2</c:f>
              <c:numCache>
                <c:formatCode>General</c:formatCode>
                <c:ptCount val="1"/>
                <c:pt idx="0">
                  <c:v>285.92</c:v>
                </c:pt>
              </c:numCache>
            </c:numRef>
          </c:val>
        </c:ser>
        <c:ser>
          <c:idx val="1"/>
          <c:order val="1"/>
          <c:tx>
            <c:strRef>
              <c:f>Sheet1!$C$1</c:f>
              <c:strCache>
                <c:ptCount val="1"/>
                <c:pt idx="0">
                  <c:v>2023年</c:v>
                </c:pt>
              </c:strCache>
            </c:strRef>
          </c:tx>
          <c:invertIfNegative val="0"/>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303.64</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c:f>
              <c:strCache>
                <c:ptCount val="1"/>
                <c:pt idx="0">
                  <c:v>财政拨款收、支决算总计变动情况图</c:v>
                </c:pt>
              </c:strCache>
            </c:strRef>
          </c:cat>
          <c:val>
            <c:numRef>
              <c:f>Sheet1!$C$2</c:f>
              <c:numCache>
                <c:formatCode>General</c:formatCode>
                <c:ptCount val="1"/>
                <c:pt idx="0">
                  <c:v>303.64</c:v>
                </c:pt>
              </c:numCache>
            </c:numRef>
          </c:val>
        </c:ser>
        <c:dLbls>
          <c:showLegendKey val="0"/>
          <c:showVal val="1"/>
          <c:showCatName val="0"/>
          <c:showSerName val="0"/>
          <c:showPercent val="0"/>
          <c:showBubbleSize val="0"/>
        </c:dLbls>
        <c:gapWidth val="150"/>
        <c:axId val="221336320"/>
        <c:axId val="221337856"/>
      </c:barChart>
      <c:catAx>
        <c:axId val="221336320"/>
        <c:scaling>
          <c:orientation val="minMax"/>
        </c:scaling>
        <c:delete val="0"/>
        <c:axPos val="b"/>
        <c:majorTickMark val="out"/>
        <c:minorTickMark val="none"/>
        <c:tickLblPos val="nextTo"/>
        <c:txPr>
          <a:bodyPr rot="-60000000" spcFirstLastPara="0" vertOverflow="ellipsis" vert="horz" wrap="square" anchor="ctr" anchorCtr="1"/>
          <a:lstStyle/>
          <a:p>
            <a:pPr>
              <a:defRPr lang="zh-CN" sz="1200" b="1" i="0" u="none" strike="noStrike" kern="1200" baseline="0">
                <a:solidFill>
                  <a:schemeClr val="tx1"/>
                </a:solidFill>
                <a:latin typeface="+mn-lt"/>
                <a:ea typeface="+mn-ea"/>
                <a:cs typeface="+mn-cs"/>
              </a:defRPr>
            </a:pPr>
          </a:p>
        </c:txPr>
        <c:crossAx val="221337856"/>
        <c:crosses val="autoZero"/>
        <c:auto val="1"/>
        <c:lblAlgn val="ctr"/>
        <c:lblOffset val="100"/>
        <c:noMultiLvlLbl val="0"/>
      </c:catAx>
      <c:valAx>
        <c:axId val="221337856"/>
        <c:scaling>
          <c:orientation val="minMax"/>
          <c:max val="400"/>
          <c:min val="0"/>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1336320"/>
        <c:crosses val="autoZero"/>
        <c:crossBetween val="between"/>
        <c:majorUnit val="50"/>
        <c:minorUnit val="10"/>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2022年</c:v>
                </c:pt>
              </c:strCache>
            </c:strRef>
          </c:tx>
          <c:invertIfNegative val="0"/>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285.92</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c:f>
              <c:strCache>
                <c:ptCount val="1"/>
                <c:pt idx="0">
                  <c:v>一般公共预算财政拨款支出决算变动情况图</c:v>
                </c:pt>
              </c:strCache>
            </c:strRef>
          </c:cat>
          <c:val>
            <c:numRef>
              <c:f>Sheet1!$B$2</c:f>
              <c:numCache>
                <c:formatCode>General</c:formatCode>
                <c:ptCount val="1"/>
                <c:pt idx="0">
                  <c:v>285.92</c:v>
                </c:pt>
              </c:numCache>
            </c:numRef>
          </c:val>
        </c:ser>
        <c:ser>
          <c:idx val="1"/>
          <c:order val="1"/>
          <c:tx>
            <c:strRef>
              <c:f>Sheet1!$C$1</c:f>
              <c:strCache>
                <c:ptCount val="1"/>
                <c:pt idx="0">
                  <c:v>2023年</c:v>
                </c:pt>
              </c:strCache>
            </c:strRef>
          </c:tx>
          <c:invertIfNegative val="0"/>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303.64</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c:f>
              <c:strCache>
                <c:ptCount val="1"/>
                <c:pt idx="0">
                  <c:v>一般公共预算财政拨款支出决算变动情况图</c:v>
                </c:pt>
              </c:strCache>
            </c:strRef>
          </c:cat>
          <c:val>
            <c:numRef>
              <c:f>Sheet1!$C$2</c:f>
              <c:numCache>
                <c:formatCode>General</c:formatCode>
                <c:ptCount val="1"/>
                <c:pt idx="0">
                  <c:v>303.64</c:v>
                </c:pt>
              </c:numCache>
            </c:numRef>
          </c:val>
        </c:ser>
        <c:dLbls>
          <c:showLegendKey val="0"/>
          <c:showVal val="1"/>
          <c:showCatName val="0"/>
          <c:showSerName val="0"/>
          <c:showPercent val="0"/>
          <c:showBubbleSize val="0"/>
        </c:dLbls>
        <c:gapWidth val="150"/>
        <c:axId val="221363200"/>
        <c:axId val="221188864"/>
      </c:barChart>
      <c:catAx>
        <c:axId val="221363200"/>
        <c:scaling>
          <c:orientation val="minMax"/>
        </c:scaling>
        <c:delete val="0"/>
        <c:axPos val="b"/>
        <c:majorTickMark val="out"/>
        <c:minorTickMark val="none"/>
        <c:tickLblPos val="nextTo"/>
        <c:txPr>
          <a:bodyPr rot="-60000000" spcFirstLastPara="0" vertOverflow="ellipsis" vert="horz" wrap="square" anchor="ctr" anchorCtr="1"/>
          <a:lstStyle/>
          <a:p>
            <a:pPr>
              <a:defRPr lang="zh-CN" sz="1200" b="1" i="0" u="none" strike="noStrike" kern="1200" baseline="0">
                <a:solidFill>
                  <a:schemeClr val="tx1"/>
                </a:solidFill>
                <a:latin typeface="+mn-lt"/>
                <a:ea typeface="+mn-ea"/>
                <a:cs typeface="+mn-cs"/>
              </a:defRPr>
            </a:pPr>
          </a:p>
        </c:txPr>
        <c:crossAx val="221188864"/>
        <c:crosses val="autoZero"/>
        <c:auto val="1"/>
        <c:lblAlgn val="ctr"/>
        <c:lblOffset val="100"/>
        <c:noMultiLvlLbl val="0"/>
      </c:catAx>
      <c:valAx>
        <c:axId val="221188864"/>
        <c:scaling>
          <c:orientation val="minMax"/>
          <c:max val="400"/>
          <c:min val="0"/>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1363200"/>
        <c:crosses val="autoZero"/>
        <c:crossBetween val="between"/>
        <c:majorUnit val="50"/>
        <c:minorUnit val="10"/>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1" i="0" u="none" strike="noStrike" kern="1200" baseline="0">
                <a:solidFill>
                  <a:schemeClr val="tx1"/>
                </a:solidFill>
                <a:latin typeface="+mn-lt"/>
                <a:ea typeface="+mn-ea"/>
                <a:cs typeface="+mn-cs"/>
              </a:defRPr>
            </a:pPr>
            <a:r>
              <a:rPr lang="zh-CN" altLang="en-US" sz="1200"/>
              <a:t>一般公共预算财政拨款支出决算结构图</a:t>
            </a:r>
            <a:endParaRPr lang="zh-CN" altLang="en-US" sz="1200"/>
          </a:p>
        </c:rich>
      </c:tx>
      <c:layout>
        <c:manualLayout>
          <c:xMode val="edge"/>
          <c:yMode val="edge"/>
          <c:x val="0.223467373745517"/>
          <c:y val="0.914566138746371"/>
        </c:manualLayout>
      </c:layout>
      <c:overlay val="0"/>
    </c:title>
    <c:autoTitleDeleted val="0"/>
    <c:plotArea>
      <c:layout/>
      <c:pieChart>
        <c:varyColors val="1"/>
        <c:ser>
          <c:idx val="0"/>
          <c:order val="0"/>
          <c:tx>
            <c:strRef>
              <c:f>Sheet1!$B$1</c:f>
              <c:strCache>
                <c:ptCount val="1"/>
                <c:pt idx="0">
                  <c:v>一般公共预算财政拨款支出决算结构</c:v>
                </c:pt>
              </c:strCache>
            </c:strRef>
          </c:tx>
          <c:explosion val="0"/>
          <c:dPt>
            <c:idx val="0"/>
            <c:bubble3D val="0"/>
          </c:dPt>
          <c:dPt>
            <c:idx val="1"/>
            <c:bubble3D val="0"/>
          </c:dPt>
          <c:dPt>
            <c:idx val="2"/>
            <c:bubble3D val="0"/>
          </c:dPt>
          <c:dPt>
            <c:idx val="3"/>
            <c:bubble3D val="0"/>
          </c:dPt>
          <c:dLbls>
            <c:dLbl>
              <c:idx val="0"/>
              <c:layout>
                <c:manualLayout>
                  <c:x val="0.0925948818399975"/>
                  <c:y val="-0.037736962558466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694174214257419"/>
                  <c:y val="0.0635827177949506"/>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936842923529344"/>
                  <c:y val="0.062290696635057"/>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510789088999319"/>
                  <c:y val="-0.0300002437775776"/>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Sheet1!$A$2:$A$5</c:f>
              <c:strCache>
                <c:ptCount val="4"/>
                <c:pt idx="0">
                  <c:v>一般公共服务（类）支出</c:v>
                </c:pt>
                <c:pt idx="1">
                  <c:v>社会保障和就业（类）支出</c:v>
                </c:pt>
                <c:pt idx="2">
                  <c:v>卫生健康支出</c:v>
                </c:pt>
                <c:pt idx="3">
                  <c:v>住房保障支出</c:v>
                </c:pt>
              </c:strCache>
            </c:strRef>
          </c:cat>
          <c:val>
            <c:numRef>
              <c:f>Sheet1!$B$2:$B$5</c:f>
              <c:numCache>
                <c:formatCode>0.00%</c:formatCode>
                <c:ptCount val="4"/>
                <c:pt idx="0">
                  <c:v>0.7298</c:v>
                </c:pt>
                <c:pt idx="1">
                  <c:v>0.131</c:v>
                </c:pt>
                <c:pt idx="2">
                  <c:v>0.0732</c:v>
                </c:pt>
                <c:pt idx="3">
                  <c:v>0.066</c:v>
                </c:pt>
              </c:numCache>
            </c:numRef>
          </c:val>
        </c:ser>
        <c:dLbls>
          <c:showLegendKey val="0"/>
          <c:showVal val="1"/>
          <c:showCatName val="0"/>
          <c:showSerName val="0"/>
          <c:showPercent val="0"/>
          <c:showBubbleSize val="0"/>
          <c:showLeaderLines val="1"/>
        </c:dLbls>
        <c:firstSliceAng val="0"/>
      </c:pieChart>
    </c:plotArea>
    <c:legend>
      <c:legendPos val="r"/>
      <c:layout>
        <c:manualLayout>
          <c:xMode val="edge"/>
          <c:yMode val="edge"/>
          <c:x val="0.648631954193046"/>
          <c:y val="0.222951116768063"/>
          <c:w val="0.336199387042864"/>
          <c:h val="0.668308259876079"/>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24</Pages>
  <Words>1535</Words>
  <Characters>8751</Characters>
  <Lines>72</Lines>
  <Paragraphs>20</Paragraphs>
  <TotalTime>28</TotalTime>
  <ScaleCrop>false</ScaleCrop>
  <LinksUpToDate>false</LinksUpToDate>
  <CharactersWithSpaces>10266</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Admin</cp:lastModifiedBy>
  <cp:lastPrinted>2023-08-03T10:35:00Z</cp:lastPrinted>
  <dcterms:modified xsi:type="dcterms:W3CDTF">2024-10-25T02:05:42Z</dcterms:modified>
  <dc:title>四川省***</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