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3AD4" w:rsidRDefault="00C53AD4">
      <w:pPr>
        <w:spacing w:line="600" w:lineRule="exact"/>
        <w:jc w:val="left"/>
        <w:outlineLvl w:val="0"/>
        <w:rPr>
          <w:rFonts w:ascii="方正小标宋简体" w:eastAsia="方正小标宋简体" w:hAnsi="宋体"/>
          <w:szCs w:val="21"/>
        </w:rPr>
      </w:pPr>
      <w:bookmarkStart w:id="0" w:name="_Toc15306267"/>
    </w:p>
    <w:p w:rsidR="00C53AD4" w:rsidRDefault="00C53AD4">
      <w:pPr>
        <w:pStyle w:val="a3"/>
        <w:spacing w:before="93"/>
      </w:pPr>
    </w:p>
    <w:p w:rsidR="00C53AD4" w:rsidRDefault="00C53AD4">
      <w:pPr>
        <w:spacing w:line="600" w:lineRule="exact"/>
        <w:jc w:val="center"/>
        <w:outlineLvl w:val="0"/>
        <w:rPr>
          <w:rFonts w:ascii="方正小标宋简体" w:eastAsia="方正小标宋简体" w:hAnsi="宋体"/>
          <w:sz w:val="72"/>
          <w:szCs w:val="72"/>
        </w:rPr>
      </w:pPr>
    </w:p>
    <w:p w:rsidR="00C53AD4" w:rsidRDefault="00C53AD4">
      <w:pPr>
        <w:spacing w:line="600" w:lineRule="exact"/>
        <w:jc w:val="center"/>
        <w:outlineLvl w:val="0"/>
        <w:rPr>
          <w:rFonts w:ascii="方正小标宋简体" w:eastAsia="方正小标宋简体" w:hAnsi="宋体"/>
          <w:sz w:val="72"/>
          <w:szCs w:val="72"/>
        </w:rPr>
      </w:pPr>
    </w:p>
    <w:p w:rsidR="00C53AD4" w:rsidRDefault="001C3CD3">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1" w:name="_Toc15377193"/>
      <w:bookmarkStart w:id="2" w:name="_Toc15378441"/>
      <w:bookmarkStart w:id="3" w:name="_Toc15396475"/>
      <w:bookmarkStart w:id="4" w:name="_Toc15377425"/>
      <w:bookmarkStart w:id="5" w:name="_Toc15396597"/>
      <w:r>
        <w:rPr>
          <w:rFonts w:ascii="方正小标宋简体" w:eastAsia="方正小标宋简体" w:hAnsi="方正小标宋简体" w:cs="方正小标宋简体" w:hint="eastAsia"/>
          <w:sz w:val="72"/>
          <w:szCs w:val="72"/>
        </w:rPr>
        <w:t>2023</w:t>
      </w:r>
      <w:r>
        <w:rPr>
          <w:rFonts w:ascii="方正小标宋简体" w:eastAsia="方正小标宋简体" w:hAnsi="方正小标宋简体" w:cs="方正小标宋简体" w:hint="eastAsia"/>
          <w:sz w:val="72"/>
          <w:szCs w:val="72"/>
        </w:rPr>
        <w:t>年度</w:t>
      </w:r>
      <w:bookmarkEnd w:id="1"/>
      <w:bookmarkEnd w:id="2"/>
      <w:bookmarkEnd w:id="3"/>
      <w:bookmarkEnd w:id="4"/>
      <w:bookmarkEnd w:id="5"/>
    </w:p>
    <w:p w:rsidR="00C53AD4" w:rsidRDefault="001C3CD3">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6" w:name="_Toc15396476"/>
      <w:bookmarkStart w:id="7" w:name="_Toc15377194"/>
      <w:bookmarkStart w:id="8" w:name="_Toc15377426"/>
      <w:bookmarkStart w:id="9" w:name="_Toc15396598"/>
      <w:bookmarkStart w:id="10" w:name="_Toc15306268"/>
      <w:bookmarkStart w:id="11" w:name="_Toc15378442"/>
      <w:bookmarkEnd w:id="0"/>
      <w:r>
        <w:rPr>
          <w:rFonts w:ascii="方正小标宋简体" w:eastAsia="方正小标宋简体" w:hAnsi="方正小标宋简体" w:cs="方正小标宋简体" w:hint="eastAsia"/>
          <w:sz w:val="72"/>
          <w:szCs w:val="72"/>
        </w:rPr>
        <w:t>中共盐边县委党校</w:t>
      </w:r>
    </w:p>
    <w:p w:rsidR="00C53AD4" w:rsidRDefault="001C3CD3">
      <w:pPr>
        <w:adjustRightInd w:val="0"/>
        <w:snapToGrid w:val="0"/>
        <w:spacing w:line="360" w:lineRule="auto"/>
        <w:jc w:val="center"/>
        <w:outlineLvl w:val="0"/>
        <w:rPr>
          <w:rFonts w:ascii="方正小标宋简体" w:eastAsia="方正小标宋简体" w:hAnsi="方正小标宋简体" w:cs="方正小标宋简体"/>
          <w:sz w:val="72"/>
          <w:szCs w:val="72"/>
        </w:rPr>
      </w:pPr>
      <w:r>
        <w:rPr>
          <w:rFonts w:ascii="方正小标宋简体" w:eastAsia="方正小标宋简体" w:hAnsi="方正小标宋简体" w:cs="方正小标宋简体" w:hint="eastAsia"/>
          <w:sz w:val="72"/>
          <w:szCs w:val="72"/>
        </w:rPr>
        <w:t>单位决算</w:t>
      </w:r>
      <w:bookmarkEnd w:id="6"/>
      <w:bookmarkEnd w:id="7"/>
      <w:bookmarkEnd w:id="8"/>
      <w:bookmarkEnd w:id="9"/>
      <w:bookmarkEnd w:id="10"/>
      <w:bookmarkEnd w:id="11"/>
    </w:p>
    <w:p w:rsidR="00C53AD4" w:rsidRDefault="00C53AD4">
      <w:pPr>
        <w:widowControl/>
        <w:jc w:val="center"/>
        <w:rPr>
          <w:rFonts w:ascii="黑体" w:eastAsia="黑体" w:hAnsi="黑体"/>
          <w:sz w:val="48"/>
          <w:szCs w:val="48"/>
        </w:rPr>
        <w:sectPr w:rsidR="00C53AD4">
          <w:headerReference w:type="default" r:id="rId7"/>
          <w:footerReference w:type="default" r:id="rId8"/>
          <w:footerReference w:type="first" r:id="rId9"/>
          <w:pgSz w:w="11906" w:h="16838"/>
          <w:pgMar w:top="2098" w:right="1474" w:bottom="1984" w:left="1587" w:header="851" w:footer="992" w:gutter="0"/>
          <w:pgNumType w:start="1"/>
          <w:cols w:space="0"/>
          <w:titlePg/>
          <w:docGrid w:type="lines" w:linePitch="312"/>
        </w:sectPr>
      </w:pPr>
    </w:p>
    <w:p w:rsidR="00C53AD4" w:rsidRDefault="001C3CD3">
      <w:pPr>
        <w:widowControl/>
        <w:jc w:val="center"/>
        <w:rPr>
          <w:rFonts w:ascii="方正小标宋_GBK" w:eastAsia="方正小标宋_GBK" w:hAnsi="方正小标宋_GBK" w:cs="方正小标宋_GBK"/>
          <w:b/>
          <w:bCs/>
          <w:sz w:val="38"/>
          <w:szCs w:val="38"/>
        </w:rPr>
      </w:pPr>
      <w:r>
        <w:rPr>
          <w:rFonts w:ascii="方正小标宋_GBK" w:eastAsia="方正小标宋_GBK" w:hAnsi="方正小标宋_GBK" w:cs="方正小标宋_GBK" w:hint="eastAsia"/>
          <w:b/>
          <w:bCs/>
          <w:sz w:val="38"/>
          <w:szCs w:val="38"/>
        </w:rPr>
        <w:lastRenderedPageBreak/>
        <w:t>目</w:t>
      </w:r>
      <w:r>
        <w:rPr>
          <w:rFonts w:ascii="方正小标宋_GBK" w:eastAsia="方正小标宋_GBK" w:hAnsi="方正小标宋_GBK" w:cs="方正小标宋_GBK" w:hint="eastAsia"/>
          <w:b/>
          <w:bCs/>
          <w:sz w:val="38"/>
          <w:szCs w:val="38"/>
        </w:rPr>
        <w:t xml:space="preserve">   </w:t>
      </w:r>
      <w:r>
        <w:rPr>
          <w:rFonts w:ascii="方正小标宋_GBK" w:eastAsia="方正小标宋_GBK" w:hAnsi="方正小标宋_GBK" w:cs="方正小标宋_GBK" w:hint="eastAsia"/>
          <w:b/>
          <w:bCs/>
          <w:sz w:val="38"/>
          <w:szCs w:val="38"/>
        </w:rPr>
        <w:t>录</w:t>
      </w:r>
    </w:p>
    <w:p w:rsidR="00C53AD4" w:rsidRDefault="00C53AD4">
      <w:pPr>
        <w:widowControl/>
        <w:jc w:val="center"/>
        <w:rPr>
          <w:rFonts w:ascii="黑体" w:eastAsia="黑体" w:hAnsi="黑体" w:cs="黑体"/>
          <w:sz w:val="28"/>
          <w:szCs w:val="28"/>
        </w:rPr>
      </w:pPr>
    </w:p>
    <w:p w:rsidR="00C53AD4" w:rsidRDefault="001C3CD3">
      <w:pPr>
        <w:pStyle w:val="10"/>
      </w:pPr>
      <w:r>
        <w:rPr>
          <w:rFonts w:ascii="Times New Roman" w:eastAsia="方正仿宋_GBK" w:hAnsi="Times New Roman" w:hint="eastAsia"/>
          <w:sz w:val="33"/>
          <w:szCs w:val="33"/>
        </w:rPr>
        <w:t>公开时间：</w:t>
      </w:r>
      <w:r>
        <w:rPr>
          <w:rFonts w:ascii="Times New Roman" w:eastAsia="方正仿宋_GBK" w:hAnsi="Times New Roman" w:hint="eastAsia"/>
          <w:sz w:val="33"/>
          <w:szCs w:val="33"/>
        </w:rPr>
        <w:t>2023</w:t>
      </w:r>
      <w:r>
        <w:rPr>
          <w:rFonts w:ascii="Times New Roman" w:eastAsia="方正仿宋_GBK" w:hAnsi="Times New Roman" w:hint="eastAsia"/>
          <w:sz w:val="33"/>
          <w:szCs w:val="33"/>
        </w:rPr>
        <w:t>年</w:t>
      </w:r>
      <w:r>
        <w:rPr>
          <w:rFonts w:ascii="Times New Roman" w:eastAsia="方正仿宋_GBK" w:hAnsi="Times New Roman" w:hint="eastAsia"/>
          <w:sz w:val="33"/>
          <w:szCs w:val="33"/>
        </w:rPr>
        <w:t>10</w:t>
      </w:r>
      <w:r>
        <w:rPr>
          <w:rFonts w:ascii="Times New Roman" w:eastAsia="方正仿宋_GBK" w:hAnsi="Times New Roman" w:hint="eastAsia"/>
          <w:sz w:val="33"/>
          <w:szCs w:val="33"/>
        </w:rPr>
        <w:t>月</w:t>
      </w:r>
      <w:r>
        <w:rPr>
          <w:rFonts w:ascii="Times New Roman" w:eastAsia="方正仿宋_GBK" w:hAnsi="Times New Roman" w:hint="eastAsia"/>
          <w:sz w:val="33"/>
          <w:szCs w:val="33"/>
        </w:rPr>
        <w:t>28</w:t>
      </w:r>
      <w:r>
        <w:rPr>
          <w:rFonts w:ascii="Times New Roman" w:eastAsia="方正仿宋_GBK" w:hAnsi="Times New Roman" w:hint="eastAsia"/>
          <w:sz w:val="33"/>
          <w:szCs w:val="33"/>
        </w:rPr>
        <w:t>日</w:t>
      </w:r>
    </w:p>
    <w:p w:rsidR="00C53AD4" w:rsidRDefault="00C53AD4"/>
    <w:p w:rsidR="00C53AD4" w:rsidRDefault="001C3CD3">
      <w:pPr>
        <w:pStyle w:val="10"/>
        <w:adjustRightInd w:val="0"/>
        <w:snapToGrid w:val="0"/>
        <w:spacing w:before="0" w:line="576" w:lineRule="exact"/>
        <w:jc w:val="left"/>
        <w:rPr>
          <w:rFonts w:ascii="Times New Roman" w:eastAsia="方正仿宋_GBK" w:hAnsi="Times New Roman"/>
          <w:sz w:val="33"/>
          <w:szCs w:val="33"/>
        </w:rPr>
      </w:pPr>
      <w:r>
        <w:rPr>
          <w:rFonts w:ascii="Times New Roman" w:eastAsia="方正仿宋_GBK" w:hAnsi="Times New Roman"/>
          <w:b/>
          <w:bCs/>
          <w:sz w:val="33"/>
          <w:szCs w:val="33"/>
        </w:rPr>
        <w:t>第一部分</w:t>
      </w:r>
      <w:r>
        <w:rPr>
          <w:rFonts w:ascii="Times New Roman" w:eastAsia="方正仿宋_GBK" w:hAnsi="Times New Roman"/>
          <w:b/>
          <w:bCs/>
          <w:sz w:val="33"/>
          <w:szCs w:val="33"/>
        </w:rPr>
        <w:t xml:space="preserve"> </w:t>
      </w:r>
      <w:r>
        <w:rPr>
          <w:rFonts w:ascii="Times New Roman" w:eastAsia="方正仿宋_GBK" w:hAnsi="Times New Roman"/>
          <w:b/>
          <w:bCs/>
          <w:sz w:val="33"/>
          <w:szCs w:val="33"/>
        </w:rPr>
        <w:t>单位概况</w:t>
      </w:r>
      <w:r>
        <w:rPr>
          <w:rFonts w:ascii="Times New Roman" w:eastAsia="方正仿宋_GBK" w:hAnsi="Times New Roman"/>
          <w:b/>
          <w:bCs/>
          <w:sz w:val="33"/>
          <w:szCs w:val="33"/>
        </w:rPr>
        <w:t xml:space="preserve"> </w:t>
      </w:r>
      <w:r>
        <w:rPr>
          <w:rFonts w:ascii="Times New Roman" w:eastAsia="方正仿宋_GBK" w:hAnsi="Times New Roman"/>
          <w:sz w:val="33"/>
          <w:szCs w:val="33"/>
        </w:rPr>
        <w:ptab w:relativeTo="margin" w:alignment="right" w:leader="dot"/>
      </w:r>
      <w:r>
        <w:rPr>
          <w:rFonts w:ascii="Times New Roman" w:eastAsia="方正仿宋_GBK" w:hAnsi="Times New Roman"/>
          <w:sz w:val="33"/>
          <w:szCs w:val="33"/>
        </w:rPr>
        <w:t>1</w:t>
      </w:r>
    </w:p>
    <w:p w:rsidR="00C53AD4" w:rsidRDefault="001C3CD3">
      <w:pPr>
        <w:pStyle w:val="20"/>
        <w:adjustRightInd w:val="0"/>
        <w:snapToGrid w:val="0"/>
        <w:spacing w:line="576" w:lineRule="exact"/>
        <w:jc w:val="left"/>
        <w:rPr>
          <w:rFonts w:eastAsia="方正仿宋_GBK"/>
          <w:sz w:val="33"/>
          <w:szCs w:val="33"/>
        </w:rPr>
      </w:pPr>
      <w:r>
        <w:rPr>
          <w:rFonts w:eastAsia="方正仿宋_GBK"/>
          <w:sz w:val="33"/>
          <w:szCs w:val="33"/>
        </w:rPr>
        <w:t>一、主要职责</w:t>
      </w:r>
      <w:r>
        <w:rPr>
          <w:rFonts w:eastAsia="方正仿宋_GBK"/>
          <w:sz w:val="33"/>
          <w:szCs w:val="33"/>
        </w:rPr>
        <w:ptab w:relativeTo="margin" w:alignment="right" w:leader="dot"/>
      </w:r>
      <w:r>
        <w:rPr>
          <w:rFonts w:eastAsia="方正仿宋_GBK"/>
          <w:sz w:val="33"/>
          <w:szCs w:val="33"/>
        </w:rPr>
        <w:t>1</w:t>
      </w:r>
    </w:p>
    <w:p w:rsidR="00C53AD4" w:rsidRDefault="001C3CD3">
      <w:pPr>
        <w:pStyle w:val="20"/>
        <w:adjustRightInd w:val="0"/>
        <w:snapToGrid w:val="0"/>
        <w:spacing w:line="576" w:lineRule="exact"/>
        <w:jc w:val="left"/>
        <w:rPr>
          <w:rFonts w:eastAsia="方正仿宋_GBK"/>
          <w:sz w:val="33"/>
          <w:szCs w:val="33"/>
        </w:rPr>
      </w:pPr>
      <w:r>
        <w:rPr>
          <w:rFonts w:eastAsia="方正仿宋_GBK"/>
          <w:sz w:val="33"/>
          <w:szCs w:val="33"/>
        </w:rPr>
        <w:t>二、机构设置</w:t>
      </w:r>
      <w:r>
        <w:rPr>
          <w:rFonts w:eastAsia="方正仿宋_GBK"/>
          <w:sz w:val="33"/>
          <w:szCs w:val="33"/>
        </w:rPr>
        <w:ptab w:relativeTo="margin" w:alignment="right" w:leader="dot"/>
      </w:r>
      <w:r>
        <w:rPr>
          <w:rFonts w:eastAsia="方正仿宋_GBK"/>
          <w:sz w:val="33"/>
          <w:szCs w:val="33"/>
        </w:rPr>
        <w:t>1</w:t>
      </w:r>
    </w:p>
    <w:p w:rsidR="00C53AD4" w:rsidRDefault="001C3CD3">
      <w:pPr>
        <w:pStyle w:val="10"/>
        <w:adjustRightInd w:val="0"/>
        <w:snapToGrid w:val="0"/>
        <w:spacing w:before="0" w:line="576" w:lineRule="exact"/>
        <w:jc w:val="left"/>
        <w:rPr>
          <w:rFonts w:ascii="Times New Roman" w:eastAsia="方正仿宋_GBK" w:hAnsi="Times New Roman"/>
          <w:sz w:val="33"/>
          <w:szCs w:val="33"/>
        </w:rPr>
      </w:pPr>
      <w:r>
        <w:rPr>
          <w:rFonts w:ascii="Times New Roman" w:eastAsia="方正仿宋_GBK" w:hAnsi="Times New Roman"/>
          <w:b/>
          <w:bCs/>
          <w:sz w:val="33"/>
          <w:szCs w:val="33"/>
        </w:rPr>
        <w:t>第二部分</w:t>
      </w:r>
      <w:r>
        <w:rPr>
          <w:rFonts w:ascii="Times New Roman" w:eastAsia="方正仿宋_GBK" w:hAnsi="Times New Roman"/>
          <w:b/>
          <w:bCs/>
          <w:sz w:val="33"/>
          <w:szCs w:val="33"/>
        </w:rPr>
        <w:t xml:space="preserve"> 2023</w:t>
      </w:r>
      <w:r>
        <w:rPr>
          <w:rFonts w:ascii="Times New Roman" w:eastAsia="方正仿宋_GBK" w:hAnsi="Times New Roman"/>
          <w:b/>
          <w:bCs/>
          <w:sz w:val="33"/>
          <w:szCs w:val="33"/>
        </w:rPr>
        <w:t>年度单位决算情况说明</w:t>
      </w:r>
      <w:r>
        <w:rPr>
          <w:rFonts w:ascii="Times New Roman" w:eastAsia="方正仿宋_GBK" w:hAnsi="Times New Roman"/>
          <w:sz w:val="33"/>
          <w:szCs w:val="33"/>
        </w:rPr>
        <w:ptab w:relativeTo="margin" w:alignment="right" w:leader="dot"/>
      </w:r>
      <w:r>
        <w:rPr>
          <w:rFonts w:ascii="Times New Roman" w:eastAsia="方正仿宋_GBK" w:hAnsi="Times New Roman"/>
          <w:sz w:val="33"/>
          <w:szCs w:val="33"/>
        </w:rPr>
        <w:t>2</w:t>
      </w:r>
    </w:p>
    <w:p w:rsidR="00C53AD4" w:rsidRDefault="001C3CD3">
      <w:pPr>
        <w:pStyle w:val="20"/>
        <w:adjustRightInd w:val="0"/>
        <w:snapToGrid w:val="0"/>
        <w:spacing w:line="576" w:lineRule="exact"/>
        <w:jc w:val="left"/>
        <w:rPr>
          <w:rFonts w:eastAsia="方正仿宋_GBK"/>
          <w:sz w:val="33"/>
          <w:szCs w:val="33"/>
        </w:rPr>
      </w:pPr>
      <w:r>
        <w:rPr>
          <w:rFonts w:eastAsia="方正仿宋_GBK"/>
          <w:sz w:val="33"/>
          <w:szCs w:val="33"/>
        </w:rPr>
        <w:t>一、收入支出决算总体情况说明</w:t>
      </w:r>
      <w:r>
        <w:rPr>
          <w:rFonts w:eastAsia="方正仿宋_GBK"/>
          <w:sz w:val="33"/>
          <w:szCs w:val="33"/>
        </w:rPr>
        <w:ptab w:relativeTo="margin" w:alignment="right" w:leader="dot"/>
      </w:r>
      <w:r>
        <w:rPr>
          <w:rFonts w:eastAsia="方正仿宋_GBK"/>
          <w:sz w:val="33"/>
          <w:szCs w:val="33"/>
        </w:rPr>
        <w:t>2</w:t>
      </w:r>
    </w:p>
    <w:p w:rsidR="00C53AD4" w:rsidRDefault="001C3CD3">
      <w:pPr>
        <w:pStyle w:val="20"/>
        <w:adjustRightInd w:val="0"/>
        <w:snapToGrid w:val="0"/>
        <w:spacing w:line="576" w:lineRule="exact"/>
        <w:jc w:val="left"/>
        <w:rPr>
          <w:rFonts w:eastAsia="方正仿宋_GBK"/>
          <w:sz w:val="33"/>
          <w:szCs w:val="33"/>
        </w:rPr>
      </w:pPr>
      <w:r>
        <w:rPr>
          <w:rFonts w:eastAsia="方正仿宋_GBK"/>
          <w:sz w:val="33"/>
          <w:szCs w:val="33"/>
        </w:rPr>
        <w:t>二、收入决算情况说明</w:t>
      </w:r>
      <w:r>
        <w:rPr>
          <w:rFonts w:eastAsia="方正仿宋_GBK"/>
          <w:sz w:val="33"/>
          <w:szCs w:val="33"/>
        </w:rPr>
        <w:ptab w:relativeTo="margin" w:alignment="right" w:leader="dot"/>
      </w:r>
      <w:r>
        <w:rPr>
          <w:rFonts w:eastAsia="方正仿宋_GBK"/>
          <w:sz w:val="33"/>
          <w:szCs w:val="33"/>
        </w:rPr>
        <w:t>2</w:t>
      </w:r>
    </w:p>
    <w:p w:rsidR="00C53AD4" w:rsidRDefault="001C3CD3">
      <w:pPr>
        <w:pStyle w:val="20"/>
        <w:adjustRightInd w:val="0"/>
        <w:snapToGrid w:val="0"/>
        <w:spacing w:line="576" w:lineRule="exact"/>
        <w:jc w:val="left"/>
        <w:rPr>
          <w:rFonts w:eastAsia="方正仿宋_GBK"/>
          <w:sz w:val="33"/>
          <w:szCs w:val="33"/>
        </w:rPr>
      </w:pPr>
      <w:r>
        <w:rPr>
          <w:rFonts w:eastAsia="方正仿宋_GBK"/>
          <w:sz w:val="33"/>
          <w:szCs w:val="33"/>
        </w:rPr>
        <w:t>三、支出决算情况说明</w:t>
      </w:r>
      <w:r>
        <w:rPr>
          <w:rFonts w:eastAsia="方正仿宋_GBK"/>
          <w:sz w:val="33"/>
          <w:szCs w:val="33"/>
        </w:rPr>
        <w:ptab w:relativeTo="margin" w:alignment="right" w:leader="dot"/>
      </w:r>
      <w:r>
        <w:rPr>
          <w:rFonts w:eastAsia="方正仿宋_GBK"/>
          <w:sz w:val="33"/>
          <w:szCs w:val="33"/>
        </w:rPr>
        <w:t>3</w:t>
      </w:r>
    </w:p>
    <w:p w:rsidR="00C53AD4" w:rsidRDefault="001C3CD3">
      <w:pPr>
        <w:pStyle w:val="20"/>
        <w:adjustRightInd w:val="0"/>
        <w:snapToGrid w:val="0"/>
        <w:spacing w:line="576" w:lineRule="exact"/>
        <w:jc w:val="left"/>
        <w:rPr>
          <w:rFonts w:eastAsia="方正仿宋_GBK"/>
          <w:sz w:val="33"/>
          <w:szCs w:val="33"/>
        </w:rPr>
      </w:pPr>
      <w:r>
        <w:rPr>
          <w:rFonts w:eastAsia="方正仿宋_GBK"/>
          <w:sz w:val="33"/>
          <w:szCs w:val="33"/>
        </w:rPr>
        <w:t>四、财政拨款收入支出决算总体情况说明</w:t>
      </w:r>
      <w:r>
        <w:rPr>
          <w:rFonts w:eastAsia="方正仿宋_GBK"/>
          <w:sz w:val="33"/>
          <w:szCs w:val="33"/>
        </w:rPr>
        <w:ptab w:relativeTo="margin" w:alignment="right" w:leader="dot"/>
      </w:r>
      <w:r>
        <w:rPr>
          <w:rFonts w:eastAsia="方正仿宋_GBK"/>
          <w:sz w:val="33"/>
          <w:szCs w:val="33"/>
        </w:rPr>
        <w:t>4</w:t>
      </w:r>
    </w:p>
    <w:p w:rsidR="00C53AD4" w:rsidRDefault="001C3CD3">
      <w:pPr>
        <w:pStyle w:val="20"/>
        <w:adjustRightInd w:val="0"/>
        <w:snapToGrid w:val="0"/>
        <w:spacing w:line="576" w:lineRule="exact"/>
        <w:jc w:val="left"/>
        <w:rPr>
          <w:rFonts w:eastAsia="方正仿宋_GBK"/>
          <w:sz w:val="33"/>
          <w:szCs w:val="33"/>
        </w:rPr>
      </w:pPr>
      <w:r>
        <w:rPr>
          <w:rFonts w:eastAsia="方正仿宋_GBK"/>
          <w:sz w:val="33"/>
          <w:szCs w:val="33"/>
        </w:rPr>
        <w:t>五、一般公共预算财政拨款支出决算情况说明</w:t>
      </w:r>
      <w:r>
        <w:rPr>
          <w:rFonts w:eastAsia="方正仿宋_GBK"/>
          <w:sz w:val="33"/>
          <w:szCs w:val="33"/>
        </w:rPr>
        <w:ptab w:relativeTo="margin" w:alignment="right" w:leader="dot"/>
      </w:r>
      <w:r w:rsidR="00C11228">
        <w:rPr>
          <w:rFonts w:eastAsia="方正仿宋_GBK"/>
          <w:sz w:val="33"/>
          <w:szCs w:val="33"/>
        </w:rPr>
        <w:t>5</w:t>
      </w:r>
    </w:p>
    <w:p w:rsidR="00C53AD4" w:rsidRDefault="001C3CD3">
      <w:pPr>
        <w:pStyle w:val="20"/>
        <w:adjustRightInd w:val="0"/>
        <w:snapToGrid w:val="0"/>
        <w:spacing w:line="576" w:lineRule="exact"/>
        <w:jc w:val="left"/>
        <w:rPr>
          <w:rFonts w:eastAsia="方正仿宋_GBK"/>
          <w:sz w:val="33"/>
          <w:szCs w:val="33"/>
        </w:rPr>
      </w:pPr>
      <w:r>
        <w:rPr>
          <w:rFonts w:eastAsia="方正仿宋_GBK"/>
          <w:sz w:val="33"/>
          <w:szCs w:val="33"/>
        </w:rPr>
        <w:t>六、一般公共预算财政拨款基支出决算情况说明</w:t>
      </w:r>
      <w:r>
        <w:rPr>
          <w:rFonts w:eastAsia="方正仿宋_GBK"/>
          <w:sz w:val="33"/>
          <w:szCs w:val="33"/>
        </w:rPr>
        <w:ptab w:relativeTo="margin" w:alignment="right" w:leader="dot"/>
      </w:r>
      <w:r w:rsidR="00C11228">
        <w:rPr>
          <w:rFonts w:eastAsia="方正仿宋_GBK"/>
          <w:sz w:val="33"/>
          <w:szCs w:val="33"/>
        </w:rPr>
        <w:t>9</w:t>
      </w:r>
    </w:p>
    <w:p w:rsidR="00C53AD4" w:rsidRDefault="001C3CD3">
      <w:pPr>
        <w:pStyle w:val="20"/>
        <w:adjustRightInd w:val="0"/>
        <w:snapToGrid w:val="0"/>
        <w:spacing w:line="576" w:lineRule="exact"/>
        <w:jc w:val="left"/>
        <w:rPr>
          <w:rFonts w:eastAsia="方正仿宋_GBK"/>
          <w:sz w:val="33"/>
          <w:szCs w:val="33"/>
        </w:rPr>
      </w:pPr>
      <w:r>
        <w:rPr>
          <w:rFonts w:eastAsia="方正仿宋_GBK"/>
          <w:sz w:val="33"/>
          <w:szCs w:val="33"/>
        </w:rPr>
        <w:t>七、财政拨款</w:t>
      </w:r>
      <w:r>
        <w:rPr>
          <w:rFonts w:eastAsia="方正仿宋_GBK"/>
          <w:sz w:val="33"/>
          <w:szCs w:val="33"/>
        </w:rPr>
        <w:t>“</w:t>
      </w:r>
      <w:r>
        <w:rPr>
          <w:rFonts w:eastAsia="方正仿宋_GBK"/>
          <w:sz w:val="33"/>
          <w:szCs w:val="33"/>
        </w:rPr>
        <w:t>三公</w:t>
      </w:r>
      <w:r>
        <w:rPr>
          <w:rFonts w:eastAsia="方正仿宋_GBK"/>
          <w:sz w:val="33"/>
          <w:szCs w:val="33"/>
        </w:rPr>
        <w:t>”</w:t>
      </w:r>
      <w:r>
        <w:rPr>
          <w:rFonts w:eastAsia="方正仿宋_GBK"/>
          <w:sz w:val="33"/>
          <w:szCs w:val="33"/>
        </w:rPr>
        <w:t>经费支出决算情况说明</w:t>
      </w:r>
      <w:r>
        <w:rPr>
          <w:rFonts w:eastAsia="方正仿宋_GBK"/>
          <w:sz w:val="33"/>
          <w:szCs w:val="33"/>
        </w:rPr>
        <w:ptab w:relativeTo="margin" w:alignment="right" w:leader="dot"/>
      </w:r>
      <w:r w:rsidR="00C11228">
        <w:rPr>
          <w:rFonts w:eastAsia="方正仿宋_GBK"/>
          <w:sz w:val="33"/>
          <w:szCs w:val="33"/>
        </w:rPr>
        <w:t>9</w:t>
      </w:r>
    </w:p>
    <w:p w:rsidR="00C53AD4" w:rsidRDefault="001C3CD3">
      <w:pPr>
        <w:pStyle w:val="20"/>
        <w:adjustRightInd w:val="0"/>
        <w:snapToGrid w:val="0"/>
        <w:spacing w:line="576" w:lineRule="exact"/>
        <w:jc w:val="left"/>
        <w:rPr>
          <w:rFonts w:eastAsia="方正仿宋_GBK"/>
          <w:sz w:val="33"/>
          <w:szCs w:val="33"/>
        </w:rPr>
      </w:pPr>
      <w:r>
        <w:rPr>
          <w:rFonts w:eastAsia="方正仿宋_GBK"/>
          <w:sz w:val="33"/>
          <w:szCs w:val="33"/>
        </w:rPr>
        <w:t>八、政府性基金预算支出决算情况说明</w:t>
      </w:r>
      <w:r>
        <w:rPr>
          <w:rFonts w:eastAsia="方正仿宋_GBK"/>
          <w:sz w:val="33"/>
          <w:szCs w:val="33"/>
        </w:rPr>
        <w:ptab w:relativeTo="margin" w:alignment="right" w:leader="dot"/>
      </w:r>
      <w:r>
        <w:rPr>
          <w:rFonts w:eastAsia="方正仿宋_GBK"/>
          <w:sz w:val="33"/>
          <w:szCs w:val="33"/>
        </w:rPr>
        <w:t>1</w:t>
      </w:r>
      <w:r w:rsidR="00C11228">
        <w:rPr>
          <w:rFonts w:eastAsia="方正仿宋_GBK"/>
          <w:sz w:val="33"/>
          <w:szCs w:val="33"/>
        </w:rPr>
        <w:t>1</w:t>
      </w:r>
    </w:p>
    <w:p w:rsidR="00C53AD4" w:rsidRDefault="001C3CD3">
      <w:pPr>
        <w:pStyle w:val="20"/>
        <w:adjustRightInd w:val="0"/>
        <w:snapToGrid w:val="0"/>
        <w:spacing w:line="576" w:lineRule="exact"/>
        <w:jc w:val="left"/>
        <w:rPr>
          <w:rFonts w:eastAsia="方正仿宋_GBK"/>
          <w:sz w:val="33"/>
          <w:szCs w:val="33"/>
        </w:rPr>
      </w:pPr>
      <w:r>
        <w:rPr>
          <w:rFonts w:eastAsia="方正仿宋_GBK"/>
          <w:sz w:val="33"/>
          <w:szCs w:val="33"/>
        </w:rPr>
        <w:t>九、国有资本经营预算支出决算情况说明</w:t>
      </w:r>
      <w:r>
        <w:rPr>
          <w:rFonts w:eastAsia="方正仿宋_GBK"/>
          <w:sz w:val="33"/>
          <w:szCs w:val="33"/>
        </w:rPr>
        <w:ptab w:relativeTo="margin" w:alignment="right" w:leader="dot"/>
      </w:r>
      <w:r>
        <w:rPr>
          <w:rFonts w:eastAsia="方正仿宋_GBK"/>
          <w:sz w:val="33"/>
          <w:szCs w:val="33"/>
        </w:rPr>
        <w:t>1</w:t>
      </w:r>
      <w:r w:rsidR="00C11228">
        <w:rPr>
          <w:rFonts w:eastAsia="方正仿宋_GBK"/>
          <w:sz w:val="33"/>
          <w:szCs w:val="33"/>
        </w:rPr>
        <w:t>1</w:t>
      </w:r>
    </w:p>
    <w:p w:rsidR="00C53AD4" w:rsidRDefault="001C3CD3">
      <w:pPr>
        <w:pStyle w:val="20"/>
        <w:adjustRightInd w:val="0"/>
        <w:snapToGrid w:val="0"/>
        <w:spacing w:line="576" w:lineRule="exact"/>
        <w:jc w:val="left"/>
        <w:rPr>
          <w:rFonts w:eastAsia="方正仿宋_GBK"/>
          <w:sz w:val="33"/>
          <w:szCs w:val="33"/>
        </w:rPr>
      </w:pPr>
      <w:r>
        <w:rPr>
          <w:rFonts w:eastAsia="方正仿宋_GBK"/>
          <w:sz w:val="33"/>
          <w:szCs w:val="33"/>
        </w:rPr>
        <w:t>十、其他重要事项的情况说明</w:t>
      </w:r>
      <w:r>
        <w:rPr>
          <w:rFonts w:eastAsia="方正仿宋_GBK"/>
          <w:sz w:val="33"/>
          <w:szCs w:val="33"/>
        </w:rPr>
        <w:ptab w:relativeTo="margin" w:alignment="right" w:leader="dot"/>
      </w:r>
      <w:r>
        <w:rPr>
          <w:rFonts w:eastAsia="方正仿宋_GBK"/>
          <w:sz w:val="33"/>
          <w:szCs w:val="33"/>
        </w:rPr>
        <w:t>1</w:t>
      </w:r>
      <w:r w:rsidR="00C11228">
        <w:rPr>
          <w:rFonts w:eastAsia="方正仿宋_GBK"/>
          <w:sz w:val="33"/>
          <w:szCs w:val="33"/>
        </w:rPr>
        <w:t>1</w:t>
      </w:r>
      <w:bookmarkStart w:id="12" w:name="_GoBack"/>
      <w:bookmarkEnd w:id="12"/>
    </w:p>
    <w:p w:rsidR="00C53AD4" w:rsidRDefault="001C3CD3">
      <w:pPr>
        <w:pStyle w:val="10"/>
        <w:adjustRightInd w:val="0"/>
        <w:snapToGrid w:val="0"/>
        <w:spacing w:before="0" w:line="576" w:lineRule="exact"/>
        <w:jc w:val="left"/>
        <w:rPr>
          <w:rFonts w:ascii="Times New Roman" w:eastAsia="方正仿宋_GBK" w:hAnsi="Times New Roman"/>
          <w:sz w:val="33"/>
          <w:szCs w:val="33"/>
        </w:rPr>
      </w:pPr>
      <w:r>
        <w:rPr>
          <w:rFonts w:ascii="Times New Roman" w:eastAsia="方正仿宋_GBK" w:hAnsi="Times New Roman"/>
          <w:b/>
          <w:bCs/>
          <w:sz w:val="33"/>
          <w:szCs w:val="33"/>
        </w:rPr>
        <w:t>第三部分</w:t>
      </w:r>
      <w:r>
        <w:rPr>
          <w:rFonts w:ascii="Times New Roman" w:eastAsia="方正仿宋_GBK" w:hAnsi="Times New Roman"/>
          <w:b/>
          <w:bCs/>
          <w:sz w:val="33"/>
          <w:szCs w:val="33"/>
        </w:rPr>
        <w:t xml:space="preserve"> </w:t>
      </w:r>
      <w:r>
        <w:rPr>
          <w:rFonts w:ascii="Times New Roman" w:eastAsia="方正仿宋_GBK" w:hAnsi="Times New Roman"/>
          <w:b/>
          <w:bCs/>
          <w:sz w:val="33"/>
          <w:szCs w:val="33"/>
        </w:rPr>
        <w:t>名词解释</w:t>
      </w:r>
      <w:r>
        <w:rPr>
          <w:rFonts w:ascii="Times New Roman" w:eastAsia="方正仿宋_GBK" w:hAnsi="Times New Roman"/>
          <w:sz w:val="33"/>
          <w:szCs w:val="33"/>
        </w:rPr>
        <w:ptab w:relativeTo="margin" w:alignment="right" w:leader="dot"/>
      </w:r>
      <w:r>
        <w:rPr>
          <w:rFonts w:ascii="Times New Roman" w:eastAsia="方正仿宋_GBK" w:hAnsi="Times New Roman"/>
          <w:sz w:val="33"/>
          <w:szCs w:val="33"/>
        </w:rPr>
        <w:t>1</w:t>
      </w:r>
      <w:r w:rsidR="00C11228">
        <w:rPr>
          <w:rFonts w:ascii="Times New Roman" w:eastAsia="方正仿宋_GBK" w:hAnsi="Times New Roman"/>
          <w:sz w:val="33"/>
          <w:szCs w:val="33"/>
        </w:rPr>
        <w:t>3</w:t>
      </w:r>
    </w:p>
    <w:p w:rsidR="00C53AD4" w:rsidRDefault="001C3CD3">
      <w:pPr>
        <w:pStyle w:val="10"/>
        <w:adjustRightInd w:val="0"/>
        <w:snapToGrid w:val="0"/>
        <w:spacing w:before="0" w:line="576" w:lineRule="exact"/>
        <w:jc w:val="left"/>
        <w:rPr>
          <w:rFonts w:ascii="Times New Roman" w:eastAsia="方正仿宋_GBK" w:hAnsi="Times New Roman"/>
          <w:sz w:val="33"/>
          <w:szCs w:val="33"/>
        </w:rPr>
      </w:pPr>
      <w:r>
        <w:rPr>
          <w:rFonts w:ascii="Times New Roman" w:eastAsia="方正仿宋_GBK" w:hAnsi="Times New Roman"/>
          <w:b/>
          <w:bCs/>
          <w:sz w:val="33"/>
          <w:szCs w:val="33"/>
        </w:rPr>
        <w:t>第四部分</w:t>
      </w:r>
      <w:r>
        <w:rPr>
          <w:rFonts w:ascii="Times New Roman" w:eastAsia="方正仿宋_GBK" w:hAnsi="Times New Roman"/>
          <w:b/>
          <w:bCs/>
          <w:sz w:val="33"/>
          <w:szCs w:val="33"/>
        </w:rPr>
        <w:t xml:space="preserve"> </w:t>
      </w:r>
      <w:r>
        <w:rPr>
          <w:rFonts w:ascii="Times New Roman" w:eastAsia="方正仿宋_GBK" w:hAnsi="Times New Roman"/>
          <w:b/>
          <w:bCs/>
          <w:sz w:val="33"/>
          <w:szCs w:val="33"/>
        </w:rPr>
        <w:t>附件</w:t>
      </w:r>
      <w:r>
        <w:rPr>
          <w:rFonts w:ascii="Times New Roman" w:eastAsia="方正仿宋_GBK" w:hAnsi="Times New Roman"/>
          <w:sz w:val="33"/>
          <w:szCs w:val="33"/>
        </w:rPr>
        <w:ptab w:relativeTo="margin" w:alignment="right" w:leader="dot"/>
      </w:r>
      <w:r>
        <w:rPr>
          <w:rFonts w:ascii="Times New Roman" w:eastAsia="方正仿宋_GBK" w:hAnsi="Times New Roman"/>
          <w:sz w:val="33"/>
          <w:szCs w:val="33"/>
        </w:rPr>
        <w:t>1</w:t>
      </w:r>
      <w:r w:rsidR="00C11228">
        <w:rPr>
          <w:rFonts w:ascii="Times New Roman" w:eastAsia="方正仿宋_GBK" w:hAnsi="Times New Roman"/>
          <w:sz w:val="33"/>
          <w:szCs w:val="33"/>
        </w:rPr>
        <w:t>7</w:t>
      </w:r>
    </w:p>
    <w:p w:rsidR="00C53AD4" w:rsidRDefault="001C3CD3">
      <w:pPr>
        <w:pStyle w:val="10"/>
        <w:adjustRightInd w:val="0"/>
        <w:snapToGrid w:val="0"/>
        <w:spacing w:before="0" w:line="576" w:lineRule="exact"/>
        <w:jc w:val="left"/>
        <w:rPr>
          <w:rFonts w:ascii="Times New Roman" w:eastAsia="方正仿宋_GBK" w:hAnsi="Times New Roman"/>
          <w:sz w:val="33"/>
          <w:szCs w:val="33"/>
        </w:rPr>
      </w:pPr>
      <w:r>
        <w:rPr>
          <w:rFonts w:ascii="Times New Roman" w:eastAsia="方正仿宋_GBK" w:hAnsi="Times New Roman"/>
          <w:b/>
          <w:bCs/>
          <w:sz w:val="33"/>
          <w:szCs w:val="33"/>
        </w:rPr>
        <w:t>第五部分</w:t>
      </w:r>
      <w:r>
        <w:rPr>
          <w:rFonts w:ascii="Times New Roman" w:eastAsia="方正仿宋_GBK" w:hAnsi="Times New Roman"/>
          <w:b/>
          <w:bCs/>
          <w:sz w:val="33"/>
          <w:szCs w:val="33"/>
        </w:rPr>
        <w:t xml:space="preserve"> </w:t>
      </w:r>
      <w:r>
        <w:rPr>
          <w:rFonts w:ascii="Times New Roman" w:eastAsia="方正仿宋_GBK" w:hAnsi="Times New Roman"/>
          <w:b/>
          <w:bCs/>
          <w:sz w:val="33"/>
          <w:szCs w:val="33"/>
        </w:rPr>
        <w:t>附表</w:t>
      </w:r>
      <w:r>
        <w:rPr>
          <w:rFonts w:ascii="Times New Roman" w:eastAsia="方正仿宋_GBK" w:hAnsi="Times New Roman"/>
          <w:sz w:val="33"/>
          <w:szCs w:val="33"/>
        </w:rPr>
        <w:ptab w:relativeTo="margin" w:alignment="right" w:leader="dot"/>
      </w:r>
      <w:r>
        <w:rPr>
          <w:rFonts w:ascii="Times New Roman" w:eastAsia="方正仿宋_GBK" w:hAnsi="Times New Roman"/>
          <w:sz w:val="33"/>
          <w:szCs w:val="33"/>
        </w:rPr>
        <w:t>1</w:t>
      </w:r>
      <w:r w:rsidR="00C11228">
        <w:rPr>
          <w:rFonts w:ascii="Times New Roman" w:eastAsia="方正仿宋_GBK" w:hAnsi="Times New Roman"/>
          <w:sz w:val="33"/>
          <w:szCs w:val="33"/>
        </w:rPr>
        <w:t>8</w:t>
      </w:r>
    </w:p>
    <w:p w:rsidR="00C53AD4" w:rsidRDefault="001C3CD3">
      <w:pPr>
        <w:pStyle w:val="20"/>
        <w:adjustRightInd w:val="0"/>
        <w:snapToGrid w:val="0"/>
        <w:spacing w:line="576" w:lineRule="exact"/>
        <w:jc w:val="left"/>
        <w:rPr>
          <w:rFonts w:eastAsia="方正仿宋_GBK"/>
          <w:sz w:val="33"/>
          <w:szCs w:val="33"/>
        </w:rPr>
      </w:pPr>
      <w:r>
        <w:rPr>
          <w:rFonts w:eastAsia="方正仿宋_GBK"/>
          <w:sz w:val="33"/>
          <w:szCs w:val="33"/>
        </w:rPr>
        <w:t>一、收入支出决算总表</w:t>
      </w:r>
      <w:r>
        <w:rPr>
          <w:rFonts w:eastAsia="方正仿宋_GBK"/>
          <w:sz w:val="33"/>
          <w:szCs w:val="33"/>
        </w:rPr>
        <w:ptab w:relativeTo="margin" w:alignment="right" w:leader="dot"/>
      </w:r>
      <w:r>
        <w:rPr>
          <w:rFonts w:eastAsia="方正仿宋_GBK"/>
          <w:sz w:val="33"/>
          <w:szCs w:val="33"/>
        </w:rPr>
        <w:t>1</w:t>
      </w:r>
      <w:r w:rsidR="00C11228">
        <w:rPr>
          <w:rFonts w:eastAsia="方正仿宋_GBK"/>
          <w:sz w:val="33"/>
          <w:szCs w:val="33"/>
        </w:rPr>
        <w:t>8</w:t>
      </w:r>
    </w:p>
    <w:p w:rsidR="00C53AD4" w:rsidRDefault="00C53AD4">
      <w:pPr>
        <w:pStyle w:val="20"/>
        <w:adjustRightInd w:val="0"/>
        <w:snapToGrid w:val="0"/>
        <w:spacing w:line="576" w:lineRule="exact"/>
        <w:jc w:val="left"/>
        <w:rPr>
          <w:rFonts w:eastAsia="方正仿宋_GBK"/>
          <w:sz w:val="33"/>
          <w:szCs w:val="33"/>
        </w:rPr>
        <w:sectPr w:rsidR="00C53AD4">
          <w:footerReference w:type="default" r:id="rId10"/>
          <w:footerReference w:type="first" r:id="rId11"/>
          <w:pgSz w:w="11906" w:h="16838"/>
          <w:pgMar w:top="2098" w:right="1474" w:bottom="1984" w:left="1587" w:header="851" w:footer="992" w:gutter="0"/>
          <w:pgNumType w:start="1"/>
          <w:cols w:space="0"/>
          <w:titlePg/>
          <w:docGrid w:type="lines" w:linePitch="312"/>
        </w:sectPr>
      </w:pPr>
    </w:p>
    <w:p w:rsidR="00C53AD4" w:rsidRDefault="001C3CD3">
      <w:pPr>
        <w:pStyle w:val="20"/>
        <w:adjustRightInd w:val="0"/>
        <w:snapToGrid w:val="0"/>
        <w:spacing w:line="576" w:lineRule="exact"/>
        <w:jc w:val="left"/>
        <w:rPr>
          <w:rFonts w:eastAsia="方正仿宋_GBK"/>
          <w:sz w:val="33"/>
          <w:szCs w:val="33"/>
        </w:rPr>
      </w:pPr>
      <w:r>
        <w:rPr>
          <w:rFonts w:eastAsia="方正仿宋_GBK"/>
          <w:sz w:val="33"/>
          <w:szCs w:val="33"/>
        </w:rPr>
        <w:lastRenderedPageBreak/>
        <w:t>二、收入决算表</w:t>
      </w:r>
      <w:r>
        <w:rPr>
          <w:rFonts w:eastAsia="方正仿宋_GBK"/>
          <w:sz w:val="33"/>
          <w:szCs w:val="33"/>
        </w:rPr>
        <w:ptab w:relativeTo="margin" w:alignment="right" w:leader="dot"/>
      </w:r>
      <w:r>
        <w:rPr>
          <w:rFonts w:eastAsia="方正仿宋_GBK"/>
          <w:sz w:val="33"/>
          <w:szCs w:val="33"/>
        </w:rPr>
        <w:t>1</w:t>
      </w:r>
      <w:r w:rsidR="00C11228">
        <w:rPr>
          <w:rFonts w:eastAsia="方正仿宋_GBK"/>
          <w:sz w:val="33"/>
          <w:szCs w:val="33"/>
        </w:rPr>
        <w:t>8</w:t>
      </w:r>
    </w:p>
    <w:p w:rsidR="00C53AD4" w:rsidRDefault="001C3CD3">
      <w:pPr>
        <w:pStyle w:val="20"/>
        <w:adjustRightInd w:val="0"/>
        <w:snapToGrid w:val="0"/>
        <w:spacing w:line="576" w:lineRule="exact"/>
        <w:jc w:val="left"/>
        <w:rPr>
          <w:rFonts w:eastAsia="方正仿宋_GBK"/>
          <w:sz w:val="33"/>
          <w:szCs w:val="33"/>
        </w:rPr>
      </w:pPr>
      <w:r>
        <w:rPr>
          <w:rFonts w:eastAsia="方正仿宋_GBK"/>
          <w:sz w:val="33"/>
          <w:szCs w:val="33"/>
        </w:rPr>
        <w:t>三、支出决算表</w:t>
      </w:r>
      <w:r>
        <w:rPr>
          <w:rFonts w:eastAsia="方正仿宋_GBK"/>
          <w:sz w:val="33"/>
          <w:szCs w:val="33"/>
        </w:rPr>
        <w:ptab w:relativeTo="margin" w:alignment="right" w:leader="dot"/>
      </w:r>
      <w:r>
        <w:rPr>
          <w:rFonts w:eastAsia="方正仿宋_GBK"/>
          <w:sz w:val="33"/>
          <w:szCs w:val="33"/>
        </w:rPr>
        <w:t>1</w:t>
      </w:r>
      <w:r w:rsidR="00C11228">
        <w:rPr>
          <w:rFonts w:eastAsia="方正仿宋_GBK"/>
          <w:sz w:val="33"/>
          <w:szCs w:val="33"/>
        </w:rPr>
        <w:t>8</w:t>
      </w:r>
    </w:p>
    <w:p w:rsidR="00C53AD4" w:rsidRDefault="001C3CD3">
      <w:pPr>
        <w:pStyle w:val="20"/>
        <w:adjustRightInd w:val="0"/>
        <w:snapToGrid w:val="0"/>
        <w:spacing w:line="576" w:lineRule="exact"/>
        <w:jc w:val="left"/>
        <w:rPr>
          <w:rFonts w:eastAsia="方正仿宋_GBK"/>
          <w:sz w:val="33"/>
          <w:szCs w:val="33"/>
        </w:rPr>
      </w:pPr>
      <w:r>
        <w:rPr>
          <w:rFonts w:eastAsia="方正仿宋_GBK"/>
          <w:sz w:val="33"/>
          <w:szCs w:val="33"/>
        </w:rPr>
        <w:t>四、财政拨款收入支出决算总表</w:t>
      </w:r>
      <w:r>
        <w:rPr>
          <w:rFonts w:eastAsia="方正仿宋_GBK"/>
          <w:sz w:val="33"/>
          <w:szCs w:val="33"/>
        </w:rPr>
        <w:ptab w:relativeTo="margin" w:alignment="right" w:leader="dot"/>
      </w:r>
      <w:r w:rsidR="00C11228">
        <w:rPr>
          <w:rFonts w:eastAsia="方正仿宋_GBK"/>
          <w:sz w:val="33"/>
          <w:szCs w:val="33"/>
        </w:rPr>
        <w:t>18</w:t>
      </w:r>
    </w:p>
    <w:p w:rsidR="00C53AD4" w:rsidRDefault="001C3CD3">
      <w:pPr>
        <w:pStyle w:val="20"/>
        <w:adjustRightInd w:val="0"/>
        <w:snapToGrid w:val="0"/>
        <w:spacing w:line="576" w:lineRule="exact"/>
        <w:jc w:val="left"/>
        <w:rPr>
          <w:rFonts w:eastAsia="方正仿宋_GBK"/>
          <w:sz w:val="33"/>
          <w:szCs w:val="33"/>
        </w:rPr>
      </w:pPr>
      <w:r>
        <w:rPr>
          <w:rFonts w:eastAsia="方正仿宋_GBK"/>
          <w:sz w:val="33"/>
          <w:szCs w:val="33"/>
        </w:rPr>
        <w:t>五、财政拨款支出决算明细表</w:t>
      </w:r>
      <w:r>
        <w:rPr>
          <w:rFonts w:eastAsia="方正仿宋_GBK"/>
          <w:sz w:val="33"/>
          <w:szCs w:val="33"/>
        </w:rPr>
        <w:ptab w:relativeTo="margin" w:alignment="right" w:leader="dot"/>
      </w:r>
      <w:r>
        <w:rPr>
          <w:rFonts w:eastAsia="方正仿宋_GBK"/>
          <w:sz w:val="33"/>
          <w:szCs w:val="33"/>
        </w:rPr>
        <w:t>1</w:t>
      </w:r>
      <w:r w:rsidR="00C11228">
        <w:rPr>
          <w:rFonts w:eastAsia="方正仿宋_GBK"/>
          <w:sz w:val="33"/>
          <w:szCs w:val="33"/>
        </w:rPr>
        <w:t>8</w:t>
      </w:r>
    </w:p>
    <w:p w:rsidR="00C53AD4" w:rsidRDefault="001C3CD3">
      <w:pPr>
        <w:pStyle w:val="20"/>
        <w:adjustRightInd w:val="0"/>
        <w:snapToGrid w:val="0"/>
        <w:spacing w:line="576" w:lineRule="exact"/>
        <w:jc w:val="left"/>
        <w:rPr>
          <w:rFonts w:eastAsia="方正仿宋_GBK"/>
          <w:sz w:val="33"/>
          <w:szCs w:val="33"/>
        </w:rPr>
      </w:pPr>
      <w:r>
        <w:rPr>
          <w:rFonts w:eastAsia="方正仿宋_GBK"/>
          <w:sz w:val="33"/>
          <w:szCs w:val="33"/>
        </w:rPr>
        <w:t>六、一般公共预算财政拨款支出决算表</w:t>
      </w:r>
      <w:r>
        <w:rPr>
          <w:rFonts w:eastAsia="方正仿宋_GBK"/>
          <w:sz w:val="33"/>
          <w:szCs w:val="33"/>
        </w:rPr>
        <w:ptab w:relativeTo="margin" w:alignment="right" w:leader="dot"/>
      </w:r>
      <w:r>
        <w:rPr>
          <w:rFonts w:eastAsia="方正仿宋_GBK"/>
          <w:sz w:val="33"/>
          <w:szCs w:val="33"/>
        </w:rPr>
        <w:t>1</w:t>
      </w:r>
      <w:r w:rsidR="00C11228">
        <w:rPr>
          <w:rFonts w:eastAsia="方正仿宋_GBK"/>
          <w:sz w:val="33"/>
          <w:szCs w:val="33"/>
        </w:rPr>
        <w:t>8</w:t>
      </w:r>
    </w:p>
    <w:p w:rsidR="00C53AD4" w:rsidRDefault="001C3CD3">
      <w:pPr>
        <w:pStyle w:val="20"/>
        <w:adjustRightInd w:val="0"/>
        <w:snapToGrid w:val="0"/>
        <w:spacing w:line="576" w:lineRule="exact"/>
        <w:jc w:val="left"/>
        <w:rPr>
          <w:rFonts w:eastAsia="方正仿宋_GBK"/>
          <w:sz w:val="33"/>
          <w:szCs w:val="33"/>
        </w:rPr>
      </w:pPr>
      <w:r>
        <w:rPr>
          <w:rFonts w:eastAsia="方正仿宋_GBK"/>
          <w:sz w:val="33"/>
          <w:szCs w:val="33"/>
        </w:rPr>
        <w:t>七、一般公共预算财政拨款支出决算明细表</w:t>
      </w:r>
      <w:r>
        <w:rPr>
          <w:rFonts w:eastAsia="方正仿宋_GBK"/>
          <w:sz w:val="33"/>
          <w:szCs w:val="33"/>
        </w:rPr>
        <w:ptab w:relativeTo="margin" w:alignment="right" w:leader="dot"/>
      </w:r>
      <w:r>
        <w:rPr>
          <w:rFonts w:eastAsia="方正仿宋_GBK"/>
          <w:sz w:val="33"/>
          <w:szCs w:val="33"/>
        </w:rPr>
        <w:t>1</w:t>
      </w:r>
      <w:r w:rsidR="00C11228">
        <w:rPr>
          <w:rFonts w:eastAsia="方正仿宋_GBK"/>
          <w:sz w:val="33"/>
          <w:szCs w:val="33"/>
        </w:rPr>
        <w:t>8</w:t>
      </w:r>
    </w:p>
    <w:p w:rsidR="00C53AD4" w:rsidRDefault="001C3CD3">
      <w:pPr>
        <w:pStyle w:val="20"/>
        <w:adjustRightInd w:val="0"/>
        <w:snapToGrid w:val="0"/>
        <w:spacing w:line="576" w:lineRule="exact"/>
        <w:jc w:val="left"/>
        <w:rPr>
          <w:rFonts w:eastAsia="方正仿宋_GBK"/>
          <w:sz w:val="33"/>
          <w:szCs w:val="33"/>
        </w:rPr>
      </w:pPr>
      <w:r>
        <w:rPr>
          <w:rFonts w:eastAsia="方正仿宋_GBK"/>
          <w:sz w:val="33"/>
          <w:szCs w:val="33"/>
        </w:rPr>
        <w:t>八、一般公共预算财政拨款基本支出决算明细表</w:t>
      </w:r>
      <w:r>
        <w:rPr>
          <w:rFonts w:eastAsia="方正仿宋_GBK"/>
          <w:sz w:val="33"/>
          <w:szCs w:val="33"/>
        </w:rPr>
        <w:ptab w:relativeTo="margin" w:alignment="right" w:leader="dot"/>
      </w:r>
      <w:r>
        <w:rPr>
          <w:rFonts w:eastAsia="方正仿宋_GBK"/>
          <w:sz w:val="33"/>
          <w:szCs w:val="33"/>
        </w:rPr>
        <w:t>1</w:t>
      </w:r>
      <w:r w:rsidR="00C11228">
        <w:rPr>
          <w:rFonts w:eastAsia="方正仿宋_GBK"/>
          <w:sz w:val="33"/>
          <w:szCs w:val="33"/>
        </w:rPr>
        <w:t>8</w:t>
      </w:r>
    </w:p>
    <w:p w:rsidR="00C53AD4" w:rsidRDefault="001C3CD3">
      <w:pPr>
        <w:pStyle w:val="20"/>
        <w:adjustRightInd w:val="0"/>
        <w:snapToGrid w:val="0"/>
        <w:spacing w:line="576" w:lineRule="exact"/>
        <w:jc w:val="left"/>
        <w:rPr>
          <w:rFonts w:eastAsia="方正仿宋_GBK"/>
          <w:sz w:val="33"/>
          <w:szCs w:val="33"/>
        </w:rPr>
      </w:pPr>
      <w:r>
        <w:rPr>
          <w:rFonts w:eastAsia="方正仿宋_GBK"/>
          <w:sz w:val="33"/>
          <w:szCs w:val="33"/>
        </w:rPr>
        <w:t>九、一般公共预算财政拨款项目支出决算表</w:t>
      </w:r>
      <w:r>
        <w:rPr>
          <w:rFonts w:eastAsia="方正仿宋_GBK"/>
          <w:sz w:val="33"/>
          <w:szCs w:val="33"/>
        </w:rPr>
        <w:ptab w:relativeTo="margin" w:alignment="right" w:leader="dot"/>
      </w:r>
      <w:r>
        <w:rPr>
          <w:rFonts w:eastAsia="方正仿宋_GBK"/>
          <w:sz w:val="33"/>
          <w:szCs w:val="33"/>
        </w:rPr>
        <w:t>1</w:t>
      </w:r>
      <w:r w:rsidR="00C11228">
        <w:rPr>
          <w:rFonts w:eastAsia="方正仿宋_GBK"/>
          <w:sz w:val="33"/>
          <w:szCs w:val="33"/>
        </w:rPr>
        <w:t>8</w:t>
      </w:r>
    </w:p>
    <w:p w:rsidR="00C53AD4" w:rsidRDefault="001C3CD3">
      <w:pPr>
        <w:pStyle w:val="20"/>
        <w:adjustRightInd w:val="0"/>
        <w:snapToGrid w:val="0"/>
        <w:spacing w:line="576" w:lineRule="exact"/>
        <w:jc w:val="left"/>
        <w:rPr>
          <w:rFonts w:eastAsia="方正仿宋_GBK"/>
          <w:sz w:val="33"/>
          <w:szCs w:val="33"/>
        </w:rPr>
      </w:pPr>
      <w:r>
        <w:rPr>
          <w:rFonts w:eastAsia="方正仿宋_GBK"/>
          <w:sz w:val="33"/>
          <w:szCs w:val="33"/>
        </w:rPr>
        <w:t>十、政府性基金预算财政拨款收入支出决算表</w:t>
      </w:r>
      <w:r>
        <w:rPr>
          <w:rFonts w:eastAsia="方正仿宋_GBK"/>
          <w:sz w:val="33"/>
          <w:szCs w:val="33"/>
        </w:rPr>
        <w:ptab w:relativeTo="margin" w:alignment="right" w:leader="dot"/>
      </w:r>
      <w:r w:rsidR="00C11228">
        <w:rPr>
          <w:rFonts w:eastAsia="方正仿宋_GBK"/>
          <w:sz w:val="33"/>
          <w:szCs w:val="33"/>
        </w:rPr>
        <w:t>18</w:t>
      </w:r>
    </w:p>
    <w:p w:rsidR="00C53AD4" w:rsidRDefault="001C3CD3">
      <w:pPr>
        <w:pStyle w:val="20"/>
        <w:adjustRightInd w:val="0"/>
        <w:snapToGrid w:val="0"/>
        <w:spacing w:line="576" w:lineRule="exact"/>
        <w:jc w:val="left"/>
        <w:rPr>
          <w:rFonts w:eastAsia="方正仿宋_GBK"/>
          <w:sz w:val="33"/>
          <w:szCs w:val="33"/>
        </w:rPr>
      </w:pPr>
      <w:r>
        <w:rPr>
          <w:rFonts w:eastAsia="方正仿宋_GBK"/>
          <w:sz w:val="33"/>
          <w:szCs w:val="33"/>
        </w:rPr>
        <w:t>十一、国有资本经营预算财政拨款收入支出决算表</w:t>
      </w:r>
      <w:r>
        <w:rPr>
          <w:rFonts w:eastAsia="方正仿宋_GBK"/>
          <w:sz w:val="33"/>
          <w:szCs w:val="33"/>
        </w:rPr>
        <w:ptab w:relativeTo="margin" w:alignment="right" w:leader="dot"/>
      </w:r>
      <w:r w:rsidR="00C11228">
        <w:rPr>
          <w:rFonts w:eastAsia="方正仿宋_GBK"/>
          <w:sz w:val="33"/>
          <w:szCs w:val="33"/>
        </w:rPr>
        <w:t>18</w:t>
      </w:r>
    </w:p>
    <w:p w:rsidR="00C53AD4" w:rsidRDefault="001C3CD3">
      <w:pPr>
        <w:pStyle w:val="20"/>
        <w:adjustRightInd w:val="0"/>
        <w:snapToGrid w:val="0"/>
        <w:spacing w:line="576" w:lineRule="exact"/>
        <w:jc w:val="left"/>
        <w:rPr>
          <w:rFonts w:eastAsia="方正仿宋_GBK"/>
          <w:sz w:val="33"/>
          <w:szCs w:val="33"/>
        </w:rPr>
      </w:pPr>
      <w:r>
        <w:rPr>
          <w:rFonts w:eastAsia="方正仿宋_GBK"/>
          <w:sz w:val="33"/>
          <w:szCs w:val="33"/>
        </w:rPr>
        <w:t>十二、国有资本经营预算财政拨款支出决算表</w:t>
      </w:r>
      <w:r>
        <w:rPr>
          <w:rFonts w:eastAsia="方正仿宋_GBK"/>
          <w:sz w:val="33"/>
          <w:szCs w:val="33"/>
        </w:rPr>
        <w:ptab w:relativeTo="margin" w:alignment="right" w:leader="dot"/>
      </w:r>
      <w:r>
        <w:rPr>
          <w:rFonts w:eastAsia="方正仿宋_GBK"/>
          <w:sz w:val="33"/>
          <w:szCs w:val="33"/>
        </w:rPr>
        <w:t>1</w:t>
      </w:r>
      <w:r w:rsidR="00C11228">
        <w:rPr>
          <w:rFonts w:eastAsia="方正仿宋_GBK"/>
          <w:sz w:val="33"/>
          <w:szCs w:val="33"/>
        </w:rPr>
        <w:t>8</w:t>
      </w:r>
    </w:p>
    <w:p w:rsidR="00C53AD4" w:rsidRDefault="001C3CD3">
      <w:pPr>
        <w:pStyle w:val="20"/>
        <w:adjustRightInd w:val="0"/>
        <w:snapToGrid w:val="0"/>
        <w:spacing w:line="576" w:lineRule="exact"/>
        <w:jc w:val="left"/>
        <w:rPr>
          <w:rFonts w:eastAsia="方正仿宋_GBK"/>
          <w:sz w:val="33"/>
          <w:szCs w:val="33"/>
        </w:rPr>
      </w:pPr>
      <w:r>
        <w:rPr>
          <w:rFonts w:eastAsia="方正仿宋_GBK"/>
          <w:sz w:val="33"/>
          <w:szCs w:val="33"/>
        </w:rPr>
        <w:t>十三、财政拨款</w:t>
      </w:r>
      <w:r>
        <w:rPr>
          <w:rFonts w:eastAsia="方正仿宋_GBK"/>
          <w:sz w:val="33"/>
          <w:szCs w:val="33"/>
        </w:rPr>
        <w:t>“</w:t>
      </w:r>
      <w:r>
        <w:rPr>
          <w:rFonts w:eastAsia="方正仿宋_GBK"/>
          <w:sz w:val="33"/>
          <w:szCs w:val="33"/>
        </w:rPr>
        <w:t>三公</w:t>
      </w:r>
      <w:r>
        <w:rPr>
          <w:rFonts w:eastAsia="方正仿宋_GBK"/>
          <w:sz w:val="33"/>
          <w:szCs w:val="33"/>
        </w:rPr>
        <w:t>”</w:t>
      </w:r>
      <w:r>
        <w:rPr>
          <w:rFonts w:eastAsia="方正仿宋_GBK"/>
          <w:sz w:val="33"/>
          <w:szCs w:val="33"/>
        </w:rPr>
        <w:t>经费支出决算表</w:t>
      </w:r>
      <w:r>
        <w:rPr>
          <w:rFonts w:eastAsia="方正仿宋_GBK"/>
          <w:sz w:val="33"/>
          <w:szCs w:val="33"/>
        </w:rPr>
        <w:ptab w:relativeTo="margin" w:alignment="right" w:leader="dot"/>
      </w:r>
      <w:r>
        <w:rPr>
          <w:rFonts w:eastAsia="方正仿宋_GBK"/>
          <w:sz w:val="33"/>
          <w:szCs w:val="33"/>
        </w:rPr>
        <w:t>1</w:t>
      </w:r>
      <w:r w:rsidR="00C11228">
        <w:rPr>
          <w:rFonts w:eastAsia="方正仿宋_GBK"/>
          <w:sz w:val="33"/>
          <w:szCs w:val="33"/>
        </w:rPr>
        <w:t>8</w:t>
      </w:r>
    </w:p>
    <w:p w:rsidR="00C53AD4" w:rsidRDefault="001C3CD3">
      <w:bookmarkStart w:id="13" w:name="_Toc15377196"/>
      <w:bookmarkStart w:id="14" w:name="_Toc15396599"/>
      <w:r>
        <w:rPr>
          <w:rFonts w:hint="eastAsia"/>
        </w:rPr>
        <w:br w:type="page"/>
      </w:r>
    </w:p>
    <w:p w:rsidR="00C53AD4" w:rsidRDefault="00C53AD4">
      <w:pPr>
        <w:pStyle w:val="1"/>
        <w:jc w:val="center"/>
        <w:rPr>
          <w:rFonts w:ascii="黑体" w:eastAsia="黑体" w:hAnsi="黑体"/>
          <w:b w:val="0"/>
        </w:rPr>
        <w:sectPr w:rsidR="00C53AD4">
          <w:footerReference w:type="default" r:id="rId12"/>
          <w:footerReference w:type="first" r:id="rId13"/>
          <w:pgSz w:w="11906" w:h="16838"/>
          <w:pgMar w:top="2098" w:right="1474" w:bottom="1984" w:left="1587" w:header="851" w:footer="992" w:gutter="0"/>
          <w:pgNumType w:start="1"/>
          <w:cols w:space="0"/>
          <w:docGrid w:type="lines" w:linePitch="312"/>
        </w:sectPr>
      </w:pPr>
    </w:p>
    <w:p w:rsidR="00C53AD4" w:rsidRDefault="001C3CD3">
      <w:pPr>
        <w:pStyle w:val="1"/>
        <w:spacing w:before="0" w:after="0"/>
        <w:jc w:val="center"/>
        <w:rPr>
          <w:rStyle w:val="1Char"/>
          <w:rFonts w:ascii="方正小标宋_GBK" w:eastAsia="方正小标宋_GBK" w:hAnsi="方正小标宋_GBK" w:cs="方正小标宋_GBK"/>
          <w:b/>
          <w:sz w:val="38"/>
          <w:szCs w:val="38"/>
        </w:rPr>
      </w:pPr>
      <w:r>
        <w:rPr>
          <w:rFonts w:ascii="方正小标宋_GBK" w:eastAsia="方正小标宋_GBK" w:hAnsi="方正小标宋_GBK" w:cs="方正小标宋_GBK" w:hint="eastAsia"/>
          <w:bCs w:val="0"/>
          <w:sz w:val="38"/>
          <w:szCs w:val="38"/>
        </w:rPr>
        <w:lastRenderedPageBreak/>
        <w:t>第一部分</w:t>
      </w:r>
      <w:r>
        <w:rPr>
          <w:rFonts w:ascii="方正小标宋_GBK" w:eastAsia="方正小标宋_GBK" w:hAnsi="方正小标宋_GBK" w:cs="方正小标宋_GBK" w:hint="eastAsia"/>
          <w:bCs w:val="0"/>
          <w:sz w:val="38"/>
          <w:szCs w:val="38"/>
        </w:rPr>
        <w:t xml:space="preserve"> </w:t>
      </w:r>
      <w:r>
        <w:rPr>
          <w:rFonts w:ascii="方正小标宋_GBK" w:eastAsia="方正小标宋_GBK" w:hAnsi="方正小标宋_GBK" w:cs="方正小标宋_GBK" w:hint="eastAsia"/>
          <w:bCs w:val="0"/>
          <w:sz w:val="38"/>
          <w:szCs w:val="38"/>
        </w:rPr>
        <w:t xml:space="preserve"> </w:t>
      </w:r>
      <w:r>
        <w:rPr>
          <w:rFonts w:ascii="方正小标宋_GBK" w:eastAsia="方正小标宋_GBK" w:hAnsi="方正小标宋_GBK" w:cs="方正小标宋_GBK" w:hint="eastAsia"/>
          <w:bCs w:val="0"/>
          <w:sz w:val="38"/>
          <w:szCs w:val="38"/>
        </w:rPr>
        <w:t>单位</w:t>
      </w:r>
      <w:r>
        <w:rPr>
          <w:rStyle w:val="1Char"/>
          <w:rFonts w:ascii="方正小标宋_GBK" w:eastAsia="方正小标宋_GBK" w:hAnsi="方正小标宋_GBK" w:cs="方正小标宋_GBK" w:hint="eastAsia"/>
          <w:b/>
          <w:sz w:val="38"/>
          <w:szCs w:val="38"/>
        </w:rPr>
        <w:t>概况</w:t>
      </w:r>
      <w:bookmarkEnd w:id="13"/>
      <w:bookmarkEnd w:id="14"/>
    </w:p>
    <w:p w:rsidR="00C53AD4" w:rsidRDefault="00C53AD4">
      <w:pPr>
        <w:widowControl/>
        <w:spacing w:line="560" w:lineRule="exact"/>
        <w:jc w:val="left"/>
        <w:rPr>
          <w:rFonts w:ascii="黑体" w:eastAsia="黑体"/>
          <w:sz w:val="32"/>
          <w:szCs w:val="32"/>
        </w:rPr>
      </w:pPr>
    </w:p>
    <w:p w:rsidR="00C53AD4" w:rsidRDefault="001C3CD3">
      <w:pPr>
        <w:pStyle w:val="2"/>
        <w:spacing w:before="0" w:after="0" w:line="576" w:lineRule="exact"/>
        <w:ind w:firstLineChars="200" w:firstLine="640"/>
        <w:rPr>
          <w:rStyle w:val="2Char"/>
          <w:rFonts w:ascii="方正黑体_GBK" w:eastAsia="方正黑体_GBK" w:hAnsi="方正黑体_GBK" w:cs="方正黑体_GBK"/>
          <w:sz w:val="33"/>
          <w:szCs w:val="33"/>
        </w:rPr>
      </w:pPr>
      <w:bookmarkStart w:id="15" w:name="_Toc15377197"/>
      <w:bookmarkStart w:id="16" w:name="_Toc15396600"/>
      <w:r>
        <w:rPr>
          <w:rStyle w:val="2Char"/>
          <w:rFonts w:ascii="方正黑体_GBK" w:eastAsia="方正黑体_GBK" w:hAnsi="方正黑体_GBK" w:cs="方正黑体_GBK" w:hint="eastAsia"/>
        </w:rPr>
        <w:t>一、</w:t>
      </w:r>
      <w:r>
        <w:rPr>
          <w:rStyle w:val="2Char"/>
          <w:rFonts w:ascii="方正黑体_GBK" w:eastAsia="方正黑体_GBK" w:hAnsi="方正黑体_GBK" w:cs="方正黑体_GBK" w:hint="eastAsia"/>
        </w:rPr>
        <w:t>主要</w:t>
      </w:r>
      <w:r>
        <w:rPr>
          <w:rStyle w:val="2Char"/>
          <w:rFonts w:ascii="方正黑体_GBK" w:eastAsia="方正黑体_GBK" w:hAnsi="方正黑体_GBK" w:cs="方正黑体_GBK" w:hint="eastAsia"/>
          <w:sz w:val="33"/>
          <w:szCs w:val="33"/>
        </w:rPr>
        <w:t>职责</w:t>
      </w:r>
    </w:p>
    <w:p w:rsidR="00C53AD4" w:rsidRDefault="001C3CD3">
      <w:pPr>
        <w:spacing w:line="576" w:lineRule="exact"/>
        <w:ind w:firstLineChars="200" w:firstLine="660"/>
        <w:rPr>
          <w:rFonts w:eastAsia="方正仿宋_GBK"/>
          <w:sz w:val="33"/>
          <w:szCs w:val="33"/>
        </w:rPr>
      </w:pPr>
      <w:r>
        <w:rPr>
          <w:rFonts w:eastAsia="方正仿宋_GBK"/>
          <w:color w:val="000000"/>
          <w:sz w:val="33"/>
          <w:szCs w:val="33"/>
          <w:lang w:bidi="ar"/>
        </w:rPr>
        <w:t>中共盐边县委党校</w:t>
      </w:r>
      <w:proofErr w:type="gramStart"/>
      <w:r>
        <w:rPr>
          <w:rFonts w:eastAsia="方正仿宋_GBK"/>
          <w:color w:val="000000"/>
          <w:sz w:val="33"/>
          <w:szCs w:val="33"/>
          <w:lang w:bidi="ar"/>
        </w:rPr>
        <w:t>属于参公事业单位</w:t>
      </w:r>
      <w:proofErr w:type="gramEnd"/>
      <w:r>
        <w:rPr>
          <w:rFonts w:eastAsia="方正仿宋_GBK"/>
          <w:color w:val="000000"/>
          <w:sz w:val="33"/>
          <w:szCs w:val="33"/>
          <w:lang w:bidi="ar"/>
        </w:rPr>
        <w:t>，主要职能是承担各级党员领导干部以及年轻后备干部的培训工作、宣传党的理论、路线、方针和政策，完成科研课题，围绕县委、县政府的重大战略部署和政策，为全县经济和社会发展服务。</w:t>
      </w:r>
    </w:p>
    <w:p w:rsidR="00C53AD4" w:rsidRDefault="001C3CD3">
      <w:pPr>
        <w:pStyle w:val="2"/>
        <w:spacing w:before="0" w:after="0" w:line="576" w:lineRule="exact"/>
        <w:ind w:firstLineChars="200" w:firstLine="640"/>
        <w:rPr>
          <w:rStyle w:val="2Char"/>
          <w:rFonts w:ascii="方正黑体_GBK" w:eastAsia="方正黑体_GBK" w:hAnsi="方正黑体_GBK" w:cs="方正黑体_GBK"/>
        </w:rPr>
      </w:pPr>
      <w:r>
        <w:rPr>
          <w:rStyle w:val="2Char"/>
          <w:rFonts w:ascii="方正黑体_GBK" w:eastAsia="方正黑体_GBK" w:hAnsi="方正黑体_GBK" w:cs="方正黑体_GBK"/>
        </w:rPr>
        <w:t>二、机构设置</w:t>
      </w:r>
    </w:p>
    <w:bookmarkEnd w:id="15"/>
    <w:bookmarkEnd w:id="16"/>
    <w:p w:rsidR="00C53AD4" w:rsidRDefault="001C3CD3">
      <w:pPr>
        <w:snapToGrid w:val="0"/>
        <w:spacing w:line="576" w:lineRule="exact"/>
        <w:ind w:firstLineChars="200" w:firstLine="660"/>
        <w:rPr>
          <w:rFonts w:eastAsia="方正仿宋_GBK"/>
          <w:kern w:val="0"/>
          <w:sz w:val="33"/>
          <w:szCs w:val="33"/>
        </w:rPr>
      </w:pPr>
      <w:r>
        <w:rPr>
          <w:rFonts w:eastAsia="方正仿宋_GBK"/>
          <w:kern w:val="0"/>
          <w:sz w:val="33"/>
          <w:szCs w:val="33"/>
        </w:rPr>
        <w:t>1.</w:t>
      </w:r>
      <w:r>
        <w:rPr>
          <w:rFonts w:eastAsia="方正仿宋_GBK"/>
          <w:kern w:val="0"/>
          <w:sz w:val="33"/>
          <w:szCs w:val="33"/>
        </w:rPr>
        <w:t>机构情况。</w:t>
      </w:r>
    </w:p>
    <w:p w:rsidR="00C53AD4" w:rsidRDefault="001C3CD3">
      <w:pPr>
        <w:snapToGrid w:val="0"/>
        <w:spacing w:line="576" w:lineRule="exact"/>
        <w:ind w:firstLineChars="200" w:firstLine="660"/>
        <w:rPr>
          <w:rFonts w:eastAsia="方正仿宋_GBK"/>
          <w:kern w:val="0"/>
          <w:sz w:val="33"/>
          <w:szCs w:val="33"/>
        </w:rPr>
      </w:pPr>
      <w:r>
        <w:rPr>
          <w:rFonts w:eastAsia="方正仿宋_GBK"/>
          <w:kern w:val="0"/>
          <w:sz w:val="33"/>
          <w:szCs w:val="33"/>
        </w:rPr>
        <w:t>党校为独立核算单位，无变动情况</w:t>
      </w:r>
    </w:p>
    <w:p w:rsidR="00C53AD4" w:rsidRDefault="001C3CD3">
      <w:pPr>
        <w:snapToGrid w:val="0"/>
        <w:spacing w:line="576" w:lineRule="exact"/>
        <w:ind w:firstLineChars="200" w:firstLine="660"/>
        <w:rPr>
          <w:rFonts w:eastAsia="方正仿宋_GBK"/>
          <w:kern w:val="0"/>
          <w:sz w:val="33"/>
          <w:szCs w:val="33"/>
        </w:rPr>
      </w:pPr>
      <w:r>
        <w:rPr>
          <w:rFonts w:eastAsia="方正仿宋_GBK"/>
          <w:kern w:val="0"/>
          <w:sz w:val="33"/>
          <w:szCs w:val="33"/>
        </w:rPr>
        <w:t>2.</w:t>
      </w:r>
      <w:r>
        <w:rPr>
          <w:rFonts w:eastAsia="方正仿宋_GBK"/>
          <w:kern w:val="0"/>
          <w:sz w:val="33"/>
          <w:szCs w:val="33"/>
        </w:rPr>
        <w:t>人员情况。</w:t>
      </w:r>
    </w:p>
    <w:p w:rsidR="00C53AD4" w:rsidRDefault="001C3CD3">
      <w:pPr>
        <w:pStyle w:val="msolistparagraph0"/>
        <w:snapToGrid w:val="0"/>
        <w:spacing w:line="576" w:lineRule="exact"/>
        <w:ind w:firstLine="660"/>
        <w:rPr>
          <w:rFonts w:eastAsia="方正仿宋_GBK"/>
          <w:sz w:val="33"/>
          <w:szCs w:val="33"/>
        </w:rPr>
      </w:pPr>
      <w:r>
        <w:rPr>
          <w:rFonts w:eastAsia="方正仿宋_GBK"/>
          <w:kern w:val="0"/>
          <w:sz w:val="33"/>
          <w:szCs w:val="33"/>
        </w:rPr>
        <w:t>县委党校机关编制数</w:t>
      </w:r>
      <w:r>
        <w:rPr>
          <w:rFonts w:eastAsia="方正仿宋_GBK"/>
          <w:kern w:val="0"/>
          <w:sz w:val="33"/>
          <w:szCs w:val="33"/>
        </w:rPr>
        <w:t>15</w:t>
      </w:r>
      <w:r>
        <w:rPr>
          <w:rFonts w:eastAsia="方正仿宋_GBK"/>
          <w:kern w:val="0"/>
          <w:sz w:val="33"/>
          <w:szCs w:val="33"/>
        </w:rPr>
        <w:t>人，其中：行政编制</w:t>
      </w:r>
      <w:r>
        <w:rPr>
          <w:rFonts w:eastAsia="方正仿宋_GBK"/>
          <w:kern w:val="0"/>
          <w:sz w:val="33"/>
          <w:szCs w:val="33"/>
        </w:rPr>
        <w:t>7</w:t>
      </w:r>
      <w:r>
        <w:rPr>
          <w:rFonts w:eastAsia="方正仿宋_GBK"/>
          <w:kern w:val="0"/>
          <w:sz w:val="33"/>
          <w:szCs w:val="33"/>
        </w:rPr>
        <w:t>人，事业编制</w:t>
      </w:r>
      <w:r>
        <w:rPr>
          <w:rFonts w:eastAsia="方正仿宋_GBK"/>
          <w:kern w:val="0"/>
          <w:sz w:val="33"/>
          <w:szCs w:val="33"/>
        </w:rPr>
        <w:t>8</w:t>
      </w:r>
      <w:r>
        <w:rPr>
          <w:rFonts w:eastAsia="方正仿宋_GBK"/>
          <w:kern w:val="0"/>
          <w:sz w:val="33"/>
          <w:szCs w:val="33"/>
        </w:rPr>
        <w:t>人，</w:t>
      </w:r>
      <w:r>
        <w:rPr>
          <w:rFonts w:eastAsia="方正仿宋_GBK"/>
          <w:kern w:val="0"/>
          <w:sz w:val="33"/>
          <w:szCs w:val="33"/>
        </w:rPr>
        <w:t>2023</w:t>
      </w:r>
      <w:r>
        <w:rPr>
          <w:rFonts w:eastAsia="方正仿宋_GBK"/>
          <w:kern w:val="0"/>
          <w:sz w:val="33"/>
          <w:szCs w:val="33"/>
        </w:rPr>
        <w:t>年末实有人数</w:t>
      </w:r>
      <w:r>
        <w:rPr>
          <w:rFonts w:eastAsia="方正仿宋_GBK"/>
          <w:kern w:val="0"/>
          <w:sz w:val="33"/>
          <w:szCs w:val="33"/>
        </w:rPr>
        <w:t>14</w:t>
      </w:r>
      <w:r>
        <w:rPr>
          <w:rFonts w:eastAsia="方正仿宋_GBK"/>
          <w:kern w:val="0"/>
          <w:sz w:val="33"/>
          <w:szCs w:val="33"/>
        </w:rPr>
        <w:t>人，退休</w:t>
      </w:r>
      <w:r>
        <w:rPr>
          <w:rFonts w:eastAsia="方正仿宋_GBK"/>
          <w:kern w:val="0"/>
          <w:sz w:val="33"/>
          <w:szCs w:val="33"/>
        </w:rPr>
        <w:t>7</w:t>
      </w:r>
      <w:r>
        <w:rPr>
          <w:rFonts w:eastAsia="方正仿宋_GBK"/>
          <w:kern w:val="0"/>
          <w:sz w:val="33"/>
          <w:szCs w:val="33"/>
        </w:rPr>
        <w:t>人。</w:t>
      </w:r>
      <w:bookmarkStart w:id="17" w:name="_Toc15377204"/>
      <w:bookmarkStart w:id="18" w:name="_Toc15396602"/>
    </w:p>
    <w:p w:rsidR="00C53AD4" w:rsidRDefault="001C3CD3">
      <w:pPr>
        <w:pStyle w:val="1"/>
        <w:spacing w:before="0" w:after="0" w:line="576" w:lineRule="exact"/>
        <w:rPr>
          <w:rFonts w:eastAsia="方正仿宋_GBK"/>
          <w:b w:val="0"/>
          <w:sz w:val="33"/>
          <w:szCs w:val="33"/>
        </w:rPr>
      </w:pPr>
      <w:r>
        <w:rPr>
          <w:rFonts w:eastAsia="方正仿宋_GBK"/>
          <w:b w:val="0"/>
          <w:sz w:val="33"/>
          <w:szCs w:val="33"/>
        </w:rPr>
        <w:t xml:space="preserve"> </w:t>
      </w:r>
    </w:p>
    <w:p w:rsidR="00C53AD4" w:rsidRDefault="00C53AD4">
      <w:pPr>
        <w:spacing w:line="576" w:lineRule="exact"/>
        <w:rPr>
          <w:rFonts w:eastAsia="方正仿宋_GBK"/>
          <w:sz w:val="33"/>
          <w:szCs w:val="33"/>
        </w:rPr>
      </w:pPr>
    </w:p>
    <w:p w:rsidR="00C53AD4" w:rsidRDefault="00C53AD4">
      <w:pPr>
        <w:pStyle w:val="1"/>
        <w:spacing w:before="0" w:after="0" w:line="576" w:lineRule="exact"/>
        <w:rPr>
          <w:rFonts w:eastAsia="方正仿宋_GBK"/>
          <w:b w:val="0"/>
          <w:sz w:val="33"/>
          <w:szCs w:val="33"/>
        </w:rPr>
      </w:pPr>
    </w:p>
    <w:p w:rsidR="00C53AD4" w:rsidRDefault="00C53AD4">
      <w:pPr>
        <w:spacing w:line="576" w:lineRule="exact"/>
        <w:rPr>
          <w:rFonts w:eastAsia="方正仿宋_GBK"/>
          <w:sz w:val="33"/>
          <w:szCs w:val="33"/>
        </w:rPr>
      </w:pPr>
    </w:p>
    <w:p w:rsidR="00C53AD4" w:rsidRDefault="001C3CD3">
      <w:pPr>
        <w:rPr>
          <w:rFonts w:eastAsia="方正仿宋_GBK"/>
          <w:sz w:val="33"/>
          <w:szCs w:val="33"/>
        </w:rPr>
      </w:pPr>
      <w:r>
        <w:rPr>
          <w:rFonts w:eastAsia="方正仿宋_GBK"/>
          <w:sz w:val="33"/>
          <w:szCs w:val="33"/>
        </w:rPr>
        <w:br w:type="page"/>
      </w:r>
    </w:p>
    <w:p w:rsidR="00C53AD4" w:rsidRDefault="001C3CD3">
      <w:pPr>
        <w:pStyle w:val="1"/>
        <w:spacing w:before="0" w:after="0"/>
        <w:jc w:val="center"/>
        <w:rPr>
          <w:rFonts w:ascii="方正小标宋_GBK" w:eastAsia="方正小标宋_GBK" w:hAnsi="方正小标宋_GBK" w:cs="方正小标宋_GBK"/>
          <w:bCs w:val="0"/>
          <w:sz w:val="38"/>
          <w:szCs w:val="38"/>
        </w:rPr>
      </w:pPr>
      <w:r>
        <w:rPr>
          <w:rFonts w:ascii="方正小标宋_GBK" w:eastAsia="方正小标宋_GBK" w:hAnsi="方正小标宋_GBK" w:cs="方正小标宋_GBK"/>
          <w:bCs w:val="0"/>
          <w:sz w:val="38"/>
          <w:szCs w:val="38"/>
        </w:rPr>
        <w:lastRenderedPageBreak/>
        <w:t>第二部分</w:t>
      </w:r>
      <w:r>
        <w:rPr>
          <w:rFonts w:ascii="方正小标宋_GBK" w:eastAsia="方正小标宋_GBK" w:hAnsi="方正小标宋_GBK" w:cs="方正小标宋_GBK"/>
          <w:bCs w:val="0"/>
          <w:sz w:val="38"/>
          <w:szCs w:val="38"/>
        </w:rPr>
        <w:t xml:space="preserve"> </w:t>
      </w:r>
      <w:r>
        <w:rPr>
          <w:rFonts w:ascii="方正小标宋_GBK" w:eastAsia="方正小标宋_GBK" w:hAnsi="方正小标宋_GBK" w:cs="方正小标宋_GBK" w:hint="eastAsia"/>
          <w:bCs w:val="0"/>
          <w:sz w:val="38"/>
          <w:szCs w:val="38"/>
        </w:rPr>
        <w:t xml:space="preserve"> </w:t>
      </w:r>
      <w:r>
        <w:rPr>
          <w:rFonts w:ascii="方正小标宋_GBK" w:eastAsia="方正小标宋_GBK" w:hAnsi="方正小标宋_GBK" w:cs="方正小标宋_GBK"/>
          <w:bCs w:val="0"/>
          <w:sz w:val="38"/>
          <w:szCs w:val="38"/>
        </w:rPr>
        <w:t>2023</w:t>
      </w:r>
      <w:r>
        <w:rPr>
          <w:rFonts w:ascii="方正小标宋_GBK" w:eastAsia="方正小标宋_GBK" w:hAnsi="方正小标宋_GBK" w:cs="方正小标宋_GBK"/>
          <w:bCs w:val="0"/>
          <w:sz w:val="38"/>
          <w:szCs w:val="38"/>
        </w:rPr>
        <w:t>年度单位决算情况说明</w:t>
      </w:r>
      <w:bookmarkEnd w:id="17"/>
      <w:bookmarkEnd w:id="18"/>
    </w:p>
    <w:p w:rsidR="00C53AD4" w:rsidRDefault="00C53AD4">
      <w:pPr>
        <w:pStyle w:val="1"/>
        <w:spacing w:before="0" w:after="0"/>
        <w:jc w:val="center"/>
        <w:rPr>
          <w:rFonts w:ascii="方正小标宋_GBK" w:eastAsia="方正小标宋_GBK" w:hAnsi="方正小标宋_GBK" w:cs="方正小标宋_GBK"/>
          <w:bCs w:val="0"/>
          <w:sz w:val="38"/>
          <w:szCs w:val="38"/>
        </w:rPr>
      </w:pPr>
    </w:p>
    <w:p w:rsidR="00C53AD4" w:rsidRDefault="001C3CD3">
      <w:pPr>
        <w:pStyle w:val="11"/>
        <w:spacing w:line="576" w:lineRule="exact"/>
        <w:ind w:firstLine="660"/>
        <w:outlineLvl w:val="1"/>
        <w:rPr>
          <w:rStyle w:val="2Char"/>
          <w:rFonts w:ascii="Times New Roman" w:eastAsia="方正仿宋_GBK" w:hAnsi="Times New Roman" w:cs="Times New Roman"/>
          <w:sz w:val="33"/>
          <w:szCs w:val="33"/>
        </w:rPr>
      </w:pPr>
      <w:bookmarkStart w:id="19" w:name="_Toc15396603"/>
      <w:bookmarkStart w:id="20" w:name="_Toc15377205"/>
      <w:r>
        <w:rPr>
          <w:rFonts w:ascii="方正黑体_GBK" w:eastAsia="方正黑体_GBK" w:hAnsi="方正黑体_GBK" w:cs="方正黑体_GBK" w:hint="eastAsia"/>
          <w:sz w:val="33"/>
          <w:szCs w:val="33"/>
        </w:rPr>
        <w:t>一、</w:t>
      </w:r>
      <w:r>
        <w:rPr>
          <w:rFonts w:ascii="方正黑体_GBK" w:eastAsia="方正黑体_GBK" w:hAnsi="方正黑体_GBK" w:cs="方正黑体_GBK" w:hint="eastAsia"/>
          <w:sz w:val="33"/>
          <w:szCs w:val="33"/>
        </w:rPr>
        <w:t>收</w:t>
      </w:r>
      <w:r>
        <w:rPr>
          <w:rStyle w:val="2Char"/>
          <w:rFonts w:ascii="方正黑体_GBK" w:eastAsia="方正黑体_GBK" w:hAnsi="方正黑体_GBK" w:cs="方正黑体_GBK" w:hint="eastAsia"/>
          <w:b w:val="0"/>
          <w:bCs w:val="0"/>
          <w:sz w:val="33"/>
          <w:szCs w:val="33"/>
        </w:rPr>
        <w:t>入支出决算总体情况说明</w:t>
      </w:r>
      <w:bookmarkEnd w:id="19"/>
      <w:bookmarkEnd w:id="20"/>
    </w:p>
    <w:p w:rsidR="00C53AD4" w:rsidRDefault="001C3CD3" w:rsidP="002C40F7">
      <w:pPr>
        <w:pStyle w:val="Default"/>
        <w:spacing w:line="576"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2023</w:t>
      </w:r>
      <w:r>
        <w:rPr>
          <w:rFonts w:ascii="Times New Roman" w:eastAsia="方正仿宋_GBK" w:hAnsi="Times New Roman" w:cs="Times New Roman"/>
          <w:color w:val="auto"/>
          <w:sz w:val="33"/>
          <w:szCs w:val="33"/>
        </w:rPr>
        <w:t>年度收、支总计均为</w:t>
      </w:r>
      <w:r>
        <w:rPr>
          <w:rFonts w:ascii="Times New Roman" w:eastAsia="方正仿宋_GBK" w:hAnsi="Times New Roman" w:cs="Times New Roman"/>
          <w:color w:val="auto"/>
          <w:sz w:val="33"/>
          <w:szCs w:val="33"/>
        </w:rPr>
        <w:t>601.63</w:t>
      </w:r>
      <w:r>
        <w:rPr>
          <w:rFonts w:ascii="Times New Roman" w:eastAsia="方正仿宋_GBK" w:hAnsi="Times New Roman" w:cs="Times New Roman"/>
          <w:color w:val="auto"/>
          <w:sz w:val="33"/>
          <w:szCs w:val="33"/>
        </w:rPr>
        <w:t>万元。与</w:t>
      </w:r>
      <w:r>
        <w:rPr>
          <w:rFonts w:ascii="Times New Roman" w:eastAsia="方正仿宋_GBK" w:hAnsi="Times New Roman" w:cs="Times New Roman"/>
          <w:color w:val="auto"/>
          <w:sz w:val="33"/>
          <w:szCs w:val="33"/>
        </w:rPr>
        <w:t>2022</w:t>
      </w:r>
      <w:r>
        <w:rPr>
          <w:rFonts w:ascii="Times New Roman" w:eastAsia="方正仿宋_GBK" w:hAnsi="Times New Roman" w:cs="Times New Roman"/>
          <w:color w:val="auto"/>
          <w:sz w:val="33"/>
          <w:szCs w:val="33"/>
        </w:rPr>
        <w:t>年度</w:t>
      </w:r>
      <w:r>
        <w:rPr>
          <w:rFonts w:ascii="Times New Roman" w:eastAsia="方正仿宋_GBK" w:hAnsi="Times New Roman" w:cs="Times New Roman"/>
          <w:color w:val="auto"/>
          <w:sz w:val="33"/>
          <w:szCs w:val="33"/>
        </w:rPr>
        <w:t>收、支总计均为</w:t>
      </w:r>
      <w:r>
        <w:rPr>
          <w:rFonts w:ascii="Times New Roman" w:eastAsia="方正仿宋_GBK" w:hAnsi="Times New Roman" w:cs="Times New Roman"/>
          <w:color w:val="auto"/>
          <w:sz w:val="33"/>
          <w:szCs w:val="33"/>
        </w:rPr>
        <w:t>285.95</w:t>
      </w:r>
      <w:r>
        <w:rPr>
          <w:rFonts w:ascii="Times New Roman" w:eastAsia="方正仿宋_GBK" w:hAnsi="Times New Roman" w:cs="Times New Roman"/>
          <w:color w:val="auto"/>
          <w:sz w:val="33"/>
          <w:szCs w:val="33"/>
        </w:rPr>
        <w:t>万元</w:t>
      </w:r>
      <w:r>
        <w:rPr>
          <w:rFonts w:ascii="Times New Roman" w:eastAsia="方正仿宋_GBK" w:hAnsi="Times New Roman" w:cs="Times New Roman"/>
          <w:color w:val="auto"/>
          <w:sz w:val="33"/>
          <w:szCs w:val="33"/>
        </w:rPr>
        <w:t>相比，收、支总计各增加</w:t>
      </w:r>
      <w:r>
        <w:rPr>
          <w:rFonts w:ascii="Times New Roman" w:eastAsia="方正仿宋_GBK" w:hAnsi="Times New Roman" w:cs="Times New Roman"/>
          <w:color w:val="auto"/>
          <w:sz w:val="33"/>
          <w:szCs w:val="33"/>
        </w:rPr>
        <w:t>315.68</w:t>
      </w:r>
      <w:r>
        <w:rPr>
          <w:rFonts w:ascii="Times New Roman" w:eastAsia="方正仿宋_GBK" w:hAnsi="Times New Roman" w:cs="Times New Roman"/>
          <w:color w:val="auto"/>
          <w:sz w:val="33"/>
          <w:szCs w:val="33"/>
        </w:rPr>
        <w:t>万元，增长</w:t>
      </w:r>
      <w:r>
        <w:rPr>
          <w:rFonts w:ascii="Times New Roman" w:eastAsia="方正仿宋_GBK" w:hAnsi="Times New Roman" w:cs="Times New Roman"/>
          <w:color w:val="auto"/>
          <w:sz w:val="33"/>
          <w:szCs w:val="33"/>
        </w:rPr>
        <w:t>110.4</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。主要变动原因是</w:t>
      </w:r>
      <w:r>
        <w:rPr>
          <w:rFonts w:ascii="Times New Roman" w:eastAsia="方正仿宋_GBK" w:hAnsi="Times New Roman" w:cs="Times New Roman"/>
          <w:color w:val="auto"/>
          <w:sz w:val="33"/>
          <w:szCs w:val="33"/>
        </w:rPr>
        <w:t>财政拨款收入</w:t>
      </w:r>
      <w:r w:rsidR="002C40F7">
        <w:rPr>
          <w:rFonts w:ascii="Times New Roman" w:eastAsia="方正仿宋_GBK" w:hAnsi="Times New Roman" w:cs="Times New Roman"/>
          <w:color w:val="auto"/>
          <w:sz w:val="33"/>
          <w:szCs w:val="33"/>
        </w:rPr>
        <w:t>中人员经费和日常公用经费，</w:t>
      </w:r>
      <w:r w:rsidR="002C40F7">
        <w:rPr>
          <w:rFonts w:ascii="Times New Roman" w:eastAsia="方正仿宋_GBK" w:hAnsi="Times New Roman" w:cs="Times New Roman" w:hint="eastAsia"/>
          <w:color w:val="auto"/>
          <w:sz w:val="33"/>
          <w:szCs w:val="33"/>
        </w:rPr>
        <w:t>项目</w:t>
      </w:r>
      <w:r w:rsidR="002C40F7">
        <w:rPr>
          <w:rFonts w:ascii="Times New Roman" w:eastAsia="方正仿宋_GBK" w:hAnsi="Times New Roman" w:cs="Times New Roman"/>
          <w:color w:val="auto"/>
          <w:sz w:val="33"/>
          <w:szCs w:val="33"/>
        </w:rPr>
        <w:t>中的培训费</w:t>
      </w:r>
      <w:r>
        <w:rPr>
          <w:rFonts w:ascii="Times New Roman" w:eastAsia="方正仿宋_GBK" w:hAnsi="Times New Roman" w:cs="Times New Roman"/>
          <w:color w:val="auto"/>
          <w:sz w:val="33"/>
          <w:szCs w:val="33"/>
        </w:rPr>
        <w:t>增加</w:t>
      </w:r>
      <w:r>
        <w:rPr>
          <w:rFonts w:ascii="Times New Roman" w:eastAsia="方正仿宋_GBK" w:hAnsi="Times New Roman" w:cs="Times New Roman"/>
          <w:color w:val="auto"/>
          <w:sz w:val="33"/>
          <w:szCs w:val="33"/>
        </w:rPr>
        <w:t>。</w:t>
      </w:r>
    </w:p>
    <w:p w:rsidR="00C53AD4" w:rsidRDefault="001C3CD3">
      <w:pPr>
        <w:pStyle w:val="5"/>
        <w:spacing w:before="0" w:after="0" w:line="240" w:lineRule="auto"/>
        <w:jc w:val="center"/>
        <w:rPr>
          <w:rFonts w:ascii="Times New Roman" w:eastAsia="方正仿宋_GBK" w:hAnsi="Times New Roman"/>
          <w:sz w:val="33"/>
          <w:szCs w:val="33"/>
        </w:rPr>
      </w:pPr>
      <w:r>
        <w:rPr>
          <w:rFonts w:ascii="Times New Roman" w:eastAsia="方正仿宋_GBK" w:hAnsi="Times New Roman"/>
          <w:noProof/>
          <w:sz w:val="33"/>
          <w:szCs w:val="33"/>
        </w:rPr>
        <w:drawing>
          <wp:inline distT="0" distB="0" distL="114300" distR="114300">
            <wp:extent cx="4572000" cy="2743200"/>
            <wp:effectExtent l="4445" t="4445" r="14605" b="14605"/>
            <wp:docPr id="2" name="图片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C53AD4" w:rsidRDefault="001C3CD3">
      <w:pPr>
        <w:pStyle w:val="Default"/>
        <w:spacing w:line="576" w:lineRule="exact"/>
        <w:jc w:val="center"/>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（图</w:t>
      </w:r>
      <w:r>
        <w:rPr>
          <w:rFonts w:ascii="Times New Roman" w:eastAsia="方正仿宋_GBK" w:hAnsi="Times New Roman" w:cs="Times New Roman"/>
          <w:color w:val="auto"/>
          <w:sz w:val="33"/>
          <w:szCs w:val="33"/>
        </w:rPr>
        <w:t>1</w:t>
      </w:r>
      <w:r>
        <w:rPr>
          <w:rFonts w:ascii="Times New Roman" w:eastAsia="方正仿宋_GBK" w:hAnsi="Times New Roman" w:cs="Times New Roman"/>
          <w:color w:val="auto"/>
          <w:sz w:val="33"/>
          <w:szCs w:val="33"/>
        </w:rPr>
        <w:t>：收、支决算总计变动情况图）</w:t>
      </w:r>
    </w:p>
    <w:p w:rsidR="00C53AD4" w:rsidRDefault="001C3CD3">
      <w:pPr>
        <w:pStyle w:val="11"/>
        <w:spacing w:line="576" w:lineRule="exact"/>
        <w:ind w:firstLine="660"/>
        <w:outlineLvl w:val="1"/>
        <w:rPr>
          <w:rFonts w:ascii="方正黑体_GBK" w:eastAsia="方正黑体_GBK" w:hAnsi="方正黑体_GBK" w:cs="方正黑体_GBK"/>
          <w:sz w:val="33"/>
          <w:szCs w:val="33"/>
        </w:rPr>
      </w:pPr>
      <w:bookmarkStart w:id="21" w:name="_Toc15377206"/>
      <w:bookmarkStart w:id="22" w:name="_Toc15396604"/>
      <w:r>
        <w:rPr>
          <w:rFonts w:ascii="方正黑体_GBK" w:eastAsia="方正黑体_GBK" w:hAnsi="方正黑体_GBK" w:cs="方正黑体_GBK"/>
          <w:sz w:val="33"/>
          <w:szCs w:val="33"/>
        </w:rPr>
        <w:t>二</w:t>
      </w:r>
      <w:r>
        <w:rPr>
          <w:rFonts w:ascii="方正黑体_GBK" w:eastAsia="方正黑体_GBK" w:hAnsi="方正黑体_GBK" w:cs="方正黑体_GBK" w:hint="eastAsia"/>
          <w:sz w:val="33"/>
          <w:szCs w:val="33"/>
        </w:rPr>
        <w:t>、</w:t>
      </w:r>
      <w:r>
        <w:rPr>
          <w:rFonts w:ascii="方正黑体_GBK" w:eastAsia="方正黑体_GBK" w:hAnsi="方正黑体_GBK" w:cs="方正黑体_GBK"/>
          <w:sz w:val="33"/>
          <w:szCs w:val="33"/>
        </w:rPr>
        <w:t>收入决算情况说明</w:t>
      </w:r>
      <w:bookmarkEnd w:id="21"/>
      <w:bookmarkEnd w:id="22"/>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2023</w:t>
      </w:r>
      <w:r>
        <w:rPr>
          <w:rFonts w:ascii="Times New Roman" w:eastAsia="方正仿宋_GBK" w:hAnsi="Times New Roman" w:cs="Times New Roman"/>
          <w:color w:val="auto"/>
          <w:sz w:val="33"/>
          <w:szCs w:val="33"/>
        </w:rPr>
        <w:t>年度本年收入合计</w:t>
      </w:r>
      <w:r>
        <w:rPr>
          <w:rFonts w:ascii="Times New Roman" w:eastAsia="方正仿宋_GBK" w:hAnsi="Times New Roman" w:cs="Times New Roman"/>
          <w:color w:val="auto"/>
          <w:sz w:val="33"/>
          <w:szCs w:val="33"/>
        </w:rPr>
        <w:t>601.63</w:t>
      </w:r>
      <w:r>
        <w:rPr>
          <w:rFonts w:ascii="Times New Roman" w:eastAsia="方正仿宋_GBK" w:hAnsi="Times New Roman" w:cs="Times New Roman"/>
          <w:color w:val="auto"/>
          <w:sz w:val="33"/>
          <w:szCs w:val="33"/>
        </w:rPr>
        <w:t>万元，其中：一般公共预算财政拨款收入</w:t>
      </w:r>
      <w:r>
        <w:rPr>
          <w:rFonts w:ascii="Times New Roman" w:eastAsia="方正仿宋_GBK" w:hAnsi="Times New Roman" w:cs="Times New Roman"/>
          <w:color w:val="auto"/>
          <w:sz w:val="33"/>
          <w:szCs w:val="33"/>
        </w:rPr>
        <w:t>601.63</w:t>
      </w:r>
      <w:r>
        <w:rPr>
          <w:rFonts w:ascii="Times New Roman" w:eastAsia="方正仿宋_GBK" w:hAnsi="Times New Roman" w:cs="Times New Roman"/>
          <w:color w:val="auto"/>
          <w:sz w:val="33"/>
          <w:szCs w:val="33"/>
        </w:rPr>
        <w:t>万元，占</w:t>
      </w:r>
      <w:r>
        <w:rPr>
          <w:rFonts w:ascii="Times New Roman" w:eastAsia="方正仿宋_GBK" w:hAnsi="Times New Roman" w:cs="Times New Roman"/>
          <w:color w:val="auto"/>
          <w:sz w:val="33"/>
          <w:szCs w:val="33"/>
        </w:rPr>
        <w:t>100%</w:t>
      </w:r>
      <w:r>
        <w:rPr>
          <w:rFonts w:ascii="Times New Roman" w:eastAsia="方正仿宋_GBK" w:hAnsi="Times New Roman" w:cs="Times New Roman"/>
          <w:color w:val="auto"/>
          <w:sz w:val="33"/>
          <w:szCs w:val="33"/>
        </w:rPr>
        <w:t>；政府性基金预算财政拨款收入</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万元，占</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；国有资本经营预算财政拨款收入</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万元，占</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；上级补助收入</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万元，占</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；事业收入</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万元，占</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lastRenderedPageBreak/>
        <w:t>经营收入</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万元，占</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；附属单位上缴收入</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万元，占</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；其他收入</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万元，占</w:t>
      </w:r>
      <w:r>
        <w:rPr>
          <w:rFonts w:ascii="Times New Roman" w:eastAsia="方正仿宋_GBK" w:hAnsi="Times New Roman" w:cs="Times New Roman"/>
          <w:color w:val="auto"/>
          <w:sz w:val="33"/>
          <w:szCs w:val="33"/>
        </w:rPr>
        <w:t>0%</w:t>
      </w:r>
    </w:p>
    <w:p w:rsidR="00C53AD4" w:rsidRDefault="001C3CD3">
      <w:pPr>
        <w:pStyle w:val="5"/>
        <w:spacing w:before="0" w:after="0" w:line="240" w:lineRule="auto"/>
        <w:jc w:val="center"/>
        <w:rPr>
          <w:rFonts w:ascii="Times New Roman" w:eastAsia="方正仿宋_GBK" w:hAnsi="Times New Roman"/>
          <w:sz w:val="33"/>
          <w:szCs w:val="33"/>
        </w:rPr>
      </w:pPr>
      <w:r>
        <w:rPr>
          <w:rFonts w:ascii="Times New Roman" w:eastAsia="方正仿宋_GBK" w:hAnsi="Times New Roman"/>
          <w:noProof/>
          <w:sz w:val="33"/>
          <w:szCs w:val="33"/>
        </w:rPr>
        <w:drawing>
          <wp:inline distT="0" distB="0" distL="114300" distR="114300">
            <wp:extent cx="4572000" cy="2743200"/>
            <wp:effectExtent l="4445" t="4445" r="14605" b="14605"/>
            <wp:docPr id="3" name="图片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C53AD4" w:rsidRDefault="001C3CD3">
      <w:pPr>
        <w:pStyle w:val="Default"/>
        <w:spacing w:line="576" w:lineRule="exact"/>
        <w:jc w:val="center"/>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（图</w:t>
      </w:r>
      <w:r>
        <w:rPr>
          <w:rFonts w:ascii="Times New Roman" w:eastAsia="方正仿宋_GBK" w:hAnsi="Times New Roman" w:cs="Times New Roman"/>
          <w:color w:val="auto"/>
          <w:sz w:val="33"/>
          <w:szCs w:val="33"/>
        </w:rPr>
        <w:t>2</w:t>
      </w:r>
      <w:r>
        <w:rPr>
          <w:rFonts w:ascii="Times New Roman" w:eastAsia="方正仿宋_GBK" w:hAnsi="Times New Roman" w:cs="Times New Roman"/>
          <w:color w:val="auto"/>
          <w:sz w:val="33"/>
          <w:szCs w:val="33"/>
        </w:rPr>
        <w:t>：收入决算结构图）</w:t>
      </w:r>
    </w:p>
    <w:p w:rsidR="00C53AD4" w:rsidRDefault="001C3CD3">
      <w:pPr>
        <w:pStyle w:val="11"/>
        <w:spacing w:line="576" w:lineRule="exact"/>
        <w:ind w:firstLine="660"/>
        <w:outlineLvl w:val="1"/>
        <w:rPr>
          <w:rFonts w:ascii="方正黑体_GBK" w:eastAsia="方正黑体_GBK" w:hAnsi="方正黑体_GBK" w:cs="方正黑体_GBK"/>
          <w:sz w:val="33"/>
          <w:szCs w:val="33"/>
        </w:rPr>
      </w:pPr>
      <w:bookmarkStart w:id="23" w:name="_Toc15396605"/>
      <w:bookmarkStart w:id="24" w:name="_Toc15377207"/>
      <w:r>
        <w:rPr>
          <w:rFonts w:ascii="方正黑体_GBK" w:eastAsia="方正黑体_GBK" w:hAnsi="方正黑体_GBK" w:cs="方正黑体_GBK"/>
          <w:sz w:val="33"/>
          <w:szCs w:val="33"/>
        </w:rPr>
        <w:t>三．支出决算情况说明</w:t>
      </w:r>
      <w:bookmarkEnd w:id="23"/>
      <w:bookmarkEnd w:id="24"/>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2023</w:t>
      </w:r>
      <w:r>
        <w:rPr>
          <w:rFonts w:ascii="Times New Roman" w:eastAsia="方正仿宋_GBK" w:hAnsi="Times New Roman" w:cs="Times New Roman"/>
          <w:color w:val="auto"/>
          <w:sz w:val="33"/>
          <w:szCs w:val="33"/>
        </w:rPr>
        <w:t>年度本年支出合计</w:t>
      </w:r>
      <w:r>
        <w:rPr>
          <w:rFonts w:ascii="Times New Roman" w:eastAsia="方正仿宋_GBK" w:hAnsi="Times New Roman" w:cs="Times New Roman"/>
          <w:color w:val="auto"/>
          <w:sz w:val="33"/>
          <w:szCs w:val="33"/>
        </w:rPr>
        <w:t>601.63</w:t>
      </w:r>
      <w:r>
        <w:rPr>
          <w:rFonts w:ascii="Times New Roman" w:eastAsia="方正仿宋_GBK" w:hAnsi="Times New Roman" w:cs="Times New Roman"/>
          <w:color w:val="auto"/>
          <w:sz w:val="33"/>
          <w:szCs w:val="33"/>
        </w:rPr>
        <w:t>万元，其中：基本支出</w:t>
      </w:r>
      <w:r>
        <w:rPr>
          <w:rFonts w:ascii="Times New Roman" w:eastAsia="方正仿宋_GBK" w:hAnsi="Times New Roman" w:cs="Times New Roman"/>
          <w:color w:val="auto"/>
          <w:sz w:val="33"/>
          <w:szCs w:val="33"/>
        </w:rPr>
        <w:t>420.07</w:t>
      </w:r>
      <w:r>
        <w:rPr>
          <w:rFonts w:ascii="Times New Roman" w:eastAsia="方正仿宋_GBK" w:hAnsi="Times New Roman" w:cs="Times New Roman"/>
          <w:color w:val="auto"/>
          <w:sz w:val="33"/>
          <w:szCs w:val="33"/>
        </w:rPr>
        <w:t>万元，占</w:t>
      </w:r>
      <w:r>
        <w:rPr>
          <w:rFonts w:ascii="Times New Roman" w:eastAsia="方正仿宋_GBK" w:hAnsi="Times New Roman" w:cs="Times New Roman"/>
          <w:color w:val="auto"/>
          <w:sz w:val="33"/>
          <w:szCs w:val="33"/>
        </w:rPr>
        <w:t>69.82%</w:t>
      </w:r>
      <w:r>
        <w:rPr>
          <w:rFonts w:ascii="Times New Roman" w:eastAsia="方正仿宋_GBK" w:hAnsi="Times New Roman" w:cs="Times New Roman"/>
          <w:color w:val="auto"/>
          <w:sz w:val="33"/>
          <w:szCs w:val="33"/>
        </w:rPr>
        <w:t>；项目支出</w:t>
      </w:r>
      <w:r>
        <w:rPr>
          <w:rFonts w:ascii="Times New Roman" w:eastAsia="方正仿宋_GBK" w:hAnsi="Times New Roman" w:cs="Times New Roman"/>
          <w:color w:val="auto"/>
          <w:sz w:val="33"/>
          <w:szCs w:val="33"/>
        </w:rPr>
        <w:t>181.5</w:t>
      </w:r>
      <w:r>
        <w:rPr>
          <w:rFonts w:ascii="Times New Roman" w:eastAsia="方正仿宋_GBK" w:hAnsi="Times New Roman" w:cs="Times New Roman"/>
          <w:color w:val="auto"/>
          <w:sz w:val="33"/>
          <w:szCs w:val="33"/>
        </w:rPr>
        <w:t>6</w:t>
      </w:r>
      <w:r>
        <w:rPr>
          <w:rFonts w:ascii="Times New Roman" w:eastAsia="方正仿宋_GBK" w:hAnsi="Times New Roman" w:cs="Times New Roman"/>
          <w:color w:val="auto"/>
          <w:sz w:val="33"/>
          <w:szCs w:val="33"/>
        </w:rPr>
        <w:t>万元，占</w:t>
      </w:r>
      <w:r>
        <w:rPr>
          <w:rFonts w:ascii="Times New Roman" w:eastAsia="方正仿宋_GBK" w:hAnsi="Times New Roman" w:cs="Times New Roman"/>
          <w:color w:val="auto"/>
          <w:sz w:val="33"/>
          <w:szCs w:val="33"/>
        </w:rPr>
        <w:t>30.1</w:t>
      </w:r>
      <w:r>
        <w:rPr>
          <w:rFonts w:ascii="Times New Roman" w:eastAsia="方正仿宋_GBK" w:hAnsi="Times New Roman" w:cs="Times New Roman"/>
          <w:color w:val="auto"/>
          <w:sz w:val="33"/>
          <w:szCs w:val="33"/>
        </w:rPr>
        <w:t>8</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w:t>
      </w:r>
    </w:p>
    <w:p w:rsidR="00C53AD4" w:rsidRDefault="001C3CD3">
      <w:pPr>
        <w:pStyle w:val="5"/>
        <w:spacing w:before="0" w:after="0" w:line="240" w:lineRule="auto"/>
        <w:jc w:val="center"/>
        <w:rPr>
          <w:rFonts w:ascii="Times New Roman" w:eastAsia="方正仿宋_GBK" w:hAnsi="Times New Roman"/>
          <w:sz w:val="33"/>
          <w:szCs w:val="33"/>
        </w:rPr>
      </w:pPr>
      <w:r>
        <w:rPr>
          <w:rFonts w:ascii="Times New Roman" w:eastAsia="方正仿宋_GBK" w:hAnsi="Times New Roman"/>
          <w:noProof/>
          <w:sz w:val="33"/>
          <w:szCs w:val="33"/>
        </w:rPr>
        <w:lastRenderedPageBreak/>
        <w:drawing>
          <wp:inline distT="0" distB="0" distL="114300" distR="114300">
            <wp:extent cx="4400550" cy="2593975"/>
            <wp:effectExtent l="4445" t="4445" r="14605" b="11430"/>
            <wp:docPr id="7" name="图片 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C53AD4" w:rsidRDefault="001C3CD3">
      <w:pPr>
        <w:pStyle w:val="Default"/>
        <w:spacing w:line="576" w:lineRule="exact"/>
        <w:jc w:val="center"/>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（图</w:t>
      </w:r>
      <w:r>
        <w:rPr>
          <w:rFonts w:ascii="Times New Roman" w:eastAsia="方正仿宋_GBK" w:hAnsi="Times New Roman" w:cs="Times New Roman"/>
          <w:color w:val="auto"/>
          <w:sz w:val="33"/>
          <w:szCs w:val="33"/>
        </w:rPr>
        <w:t>3</w:t>
      </w:r>
      <w:r>
        <w:rPr>
          <w:rFonts w:ascii="Times New Roman" w:eastAsia="方正仿宋_GBK" w:hAnsi="Times New Roman" w:cs="Times New Roman"/>
          <w:color w:val="auto"/>
          <w:sz w:val="33"/>
          <w:szCs w:val="33"/>
        </w:rPr>
        <w:t>：支出决算结构图）</w:t>
      </w:r>
    </w:p>
    <w:p w:rsidR="00C53AD4" w:rsidRDefault="001C3CD3">
      <w:pPr>
        <w:pStyle w:val="11"/>
        <w:spacing w:line="576" w:lineRule="exact"/>
        <w:ind w:firstLine="660"/>
        <w:outlineLvl w:val="1"/>
        <w:rPr>
          <w:rFonts w:ascii="方正黑体_GBK" w:eastAsia="方正黑体_GBK" w:hAnsi="方正黑体_GBK" w:cs="方正黑体_GBK"/>
          <w:sz w:val="33"/>
          <w:szCs w:val="33"/>
        </w:rPr>
      </w:pPr>
      <w:bookmarkStart w:id="25" w:name="_Toc15396606"/>
      <w:bookmarkStart w:id="26" w:name="_Toc15377208"/>
      <w:r>
        <w:rPr>
          <w:rFonts w:ascii="方正黑体_GBK" w:eastAsia="方正黑体_GBK" w:hAnsi="方正黑体_GBK" w:cs="方正黑体_GBK"/>
          <w:sz w:val="33"/>
          <w:szCs w:val="33"/>
        </w:rPr>
        <w:t>四、财政拨款收入支出决算总体情况说明</w:t>
      </w:r>
      <w:bookmarkEnd w:id="25"/>
      <w:bookmarkEnd w:id="26"/>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2023</w:t>
      </w:r>
      <w:r>
        <w:rPr>
          <w:rFonts w:ascii="Times New Roman" w:eastAsia="方正仿宋_GBK" w:hAnsi="Times New Roman" w:cs="Times New Roman"/>
          <w:color w:val="auto"/>
          <w:sz w:val="33"/>
          <w:szCs w:val="33"/>
        </w:rPr>
        <w:t>年度财政拨款收、支总计均为</w:t>
      </w:r>
      <w:r>
        <w:rPr>
          <w:rFonts w:ascii="Times New Roman" w:eastAsia="方正仿宋_GBK" w:hAnsi="Times New Roman" w:cs="Times New Roman"/>
          <w:color w:val="auto"/>
          <w:sz w:val="33"/>
          <w:szCs w:val="33"/>
        </w:rPr>
        <w:t>601.63</w:t>
      </w:r>
      <w:r>
        <w:rPr>
          <w:rFonts w:ascii="Times New Roman" w:eastAsia="方正仿宋_GBK" w:hAnsi="Times New Roman" w:cs="Times New Roman"/>
          <w:color w:val="auto"/>
          <w:sz w:val="33"/>
          <w:szCs w:val="33"/>
        </w:rPr>
        <w:t>万元。与</w:t>
      </w:r>
      <w:r>
        <w:rPr>
          <w:rFonts w:ascii="Times New Roman" w:eastAsia="方正仿宋_GBK" w:hAnsi="Times New Roman" w:cs="Times New Roman"/>
          <w:color w:val="auto"/>
          <w:sz w:val="33"/>
          <w:szCs w:val="33"/>
        </w:rPr>
        <w:t>2022</w:t>
      </w:r>
      <w:r>
        <w:rPr>
          <w:rFonts w:ascii="Times New Roman" w:eastAsia="方正仿宋_GBK" w:hAnsi="Times New Roman" w:cs="Times New Roman"/>
          <w:color w:val="auto"/>
          <w:sz w:val="33"/>
          <w:szCs w:val="33"/>
        </w:rPr>
        <w:t>年度</w:t>
      </w:r>
      <w:r>
        <w:rPr>
          <w:rFonts w:ascii="Times New Roman" w:eastAsia="方正仿宋_GBK" w:hAnsi="Times New Roman" w:cs="Times New Roman"/>
          <w:color w:val="auto"/>
          <w:sz w:val="33"/>
          <w:szCs w:val="33"/>
        </w:rPr>
        <w:t>财政拨款收、支总计均为</w:t>
      </w:r>
      <w:r>
        <w:rPr>
          <w:rFonts w:ascii="Times New Roman" w:eastAsia="方正仿宋_GBK" w:hAnsi="Times New Roman" w:cs="Times New Roman"/>
          <w:color w:val="auto"/>
          <w:sz w:val="33"/>
          <w:szCs w:val="33"/>
        </w:rPr>
        <w:t>285.95</w:t>
      </w:r>
      <w:r>
        <w:rPr>
          <w:rFonts w:ascii="Times New Roman" w:eastAsia="方正仿宋_GBK" w:hAnsi="Times New Roman" w:cs="Times New Roman"/>
          <w:color w:val="auto"/>
          <w:sz w:val="33"/>
          <w:szCs w:val="33"/>
        </w:rPr>
        <w:t>万元</w:t>
      </w:r>
      <w:r>
        <w:rPr>
          <w:rFonts w:ascii="Times New Roman" w:eastAsia="方正仿宋_GBK" w:hAnsi="Times New Roman" w:cs="Times New Roman"/>
          <w:color w:val="auto"/>
          <w:sz w:val="33"/>
          <w:szCs w:val="33"/>
        </w:rPr>
        <w:t>相比，财政拨款收、支总计各增加</w:t>
      </w:r>
      <w:r>
        <w:rPr>
          <w:rFonts w:ascii="Times New Roman" w:eastAsia="方正仿宋_GBK" w:hAnsi="Times New Roman" w:cs="Times New Roman"/>
          <w:color w:val="auto"/>
          <w:sz w:val="33"/>
          <w:szCs w:val="33"/>
        </w:rPr>
        <w:t>315.68</w:t>
      </w:r>
      <w:r>
        <w:rPr>
          <w:rFonts w:ascii="Times New Roman" w:eastAsia="方正仿宋_GBK" w:hAnsi="Times New Roman" w:cs="Times New Roman"/>
          <w:color w:val="auto"/>
          <w:sz w:val="33"/>
          <w:szCs w:val="33"/>
        </w:rPr>
        <w:t>万元，增长</w:t>
      </w:r>
      <w:r>
        <w:rPr>
          <w:rFonts w:ascii="Times New Roman" w:eastAsia="方正仿宋_GBK" w:hAnsi="Times New Roman" w:cs="Times New Roman"/>
          <w:color w:val="auto"/>
          <w:sz w:val="33"/>
          <w:szCs w:val="33"/>
        </w:rPr>
        <w:t>110.4</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。主要变动原因是</w:t>
      </w:r>
      <w:r w:rsidR="002C40F7">
        <w:rPr>
          <w:rFonts w:ascii="Times New Roman" w:eastAsia="方正仿宋_GBK" w:hAnsi="Times New Roman" w:cs="Times New Roman"/>
          <w:color w:val="auto"/>
          <w:sz w:val="33"/>
          <w:szCs w:val="33"/>
        </w:rPr>
        <w:t>一般公共预算财政拨款收入中的人员经费和日常公用经费，</w:t>
      </w:r>
      <w:r>
        <w:rPr>
          <w:rFonts w:ascii="Times New Roman" w:eastAsia="方正仿宋_GBK" w:hAnsi="Times New Roman" w:cs="Times New Roman"/>
          <w:color w:val="auto"/>
          <w:sz w:val="33"/>
          <w:szCs w:val="33"/>
        </w:rPr>
        <w:t>项目</w:t>
      </w:r>
      <w:r w:rsidR="002C40F7">
        <w:rPr>
          <w:rFonts w:ascii="Times New Roman" w:eastAsia="方正仿宋_GBK" w:hAnsi="Times New Roman" w:cs="Times New Roman"/>
          <w:color w:val="auto"/>
          <w:sz w:val="33"/>
          <w:szCs w:val="33"/>
        </w:rPr>
        <w:t>中培训费</w:t>
      </w:r>
      <w:r>
        <w:rPr>
          <w:rFonts w:ascii="Times New Roman" w:eastAsia="方正仿宋_GBK" w:hAnsi="Times New Roman" w:cs="Times New Roman"/>
          <w:color w:val="auto"/>
          <w:sz w:val="33"/>
          <w:szCs w:val="33"/>
        </w:rPr>
        <w:t>增加。</w:t>
      </w:r>
    </w:p>
    <w:p w:rsidR="00C53AD4" w:rsidRDefault="001C3CD3">
      <w:pPr>
        <w:pStyle w:val="5"/>
        <w:spacing w:before="0" w:after="0" w:line="240" w:lineRule="auto"/>
        <w:jc w:val="center"/>
        <w:rPr>
          <w:rFonts w:ascii="Times New Roman" w:eastAsia="方正仿宋_GBK" w:hAnsi="Times New Roman"/>
          <w:sz w:val="33"/>
          <w:szCs w:val="33"/>
        </w:rPr>
      </w:pPr>
      <w:r>
        <w:rPr>
          <w:rFonts w:ascii="Times New Roman" w:eastAsia="方正仿宋_GBK" w:hAnsi="Times New Roman"/>
          <w:noProof/>
          <w:sz w:val="33"/>
          <w:szCs w:val="33"/>
        </w:rPr>
        <w:lastRenderedPageBreak/>
        <w:drawing>
          <wp:inline distT="0" distB="0" distL="114300" distR="114300">
            <wp:extent cx="4572000" cy="2743200"/>
            <wp:effectExtent l="4445" t="4445" r="14605" b="14605"/>
            <wp:docPr id="4" name="图片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C53AD4" w:rsidRDefault="001C3CD3">
      <w:pPr>
        <w:pStyle w:val="Default"/>
        <w:spacing w:line="576" w:lineRule="exact"/>
        <w:jc w:val="center"/>
        <w:rPr>
          <w:rFonts w:ascii="Times New Roman" w:eastAsia="方正仿宋_GBK" w:hAnsi="Times New Roman" w:cs="Times New Roman"/>
          <w:b/>
          <w:sz w:val="33"/>
          <w:szCs w:val="33"/>
        </w:rPr>
      </w:pPr>
      <w:r>
        <w:rPr>
          <w:rFonts w:ascii="Times New Roman" w:eastAsia="方正仿宋_GBK" w:hAnsi="Times New Roman" w:cs="Times New Roman"/>
          <w:color w:val="auto"/>
          <w:sz w:val="33"/>
          <w:szCs w:val="33"/>
        </w:rPr>
        <w:t>（图</w:t>
      </w:r>
      <w:r>
        <w:rPr>
          <w:rFonts w:ascii="Times New Roman" w:eastAsia="方正仿宋_GBK" w:hAnsi="Times New Roman" w:cs="Times New Roman"/>
          <w:color w:val="auto"/>
          <w:sz w:val="33"/>
          <w:szCs w:val="33"/>
        </w:rPr>
        <w:t>4</w:t>
      </w:r>
      <w:r>
        <w:rPr>
          <w:rFonts w:ascii="Times New Roman" w:eastAsia="方正仿宋_GBK" w:hAnsi="Times New Roman" w:cs="Times New Roman"/>
          <w:color w:val="auto"/>
          <w:sz w:val="33"/>
          <w:szCs w:val="33"/>
        </w:rPr>
        <w:t>：财政拨款收、支决算总计变动情况）</w:t>
      </w:r>
    </w:p>
    <w:p w:rsidR="00C53AD4" w:rsidRDefault="001C3CD3">
      <w:pPr>
        <w:pStyle w:val="11"/>
        <w:spacing w:line="576" w:lineRule="exact"/>
        <w:ind w:firstLine="660"/>
        <w:outlineLvl w:val="1"/>
        <w:rPr>
          <w:rFonts w:ascii="方正黑体_GBK" w:eastAsia="方正黑体_GBK" w:hAnsi="方正黑体_GBK" w:cs="方正黑体_GBK"/>
          <w:sz w:val="33"/>
          <w:szCs w:val="33"/>
        </w:rPr>
      </w:pPr>
      <w:bookmarkStart w:id="27" w:name="_Toc15396607"/>
      <w:bookmarkStart w:id="28" w:name="_Toc15377209"/>
      <w:r>
        <w:rPr>
          <w:rFonts w:ascii="方正黑体_GBK" w:eastAsia="方正黑体_GBK" w:hAnsi="方正黑体_GBK" w:cs="方正黑体_GBK"/>
          <w:sz w:val="33"/>
          <w:szCs w:val="33"/>
        </w:rPr>
        <w:t>五、一般公共预算财政拨款支出决算情况说明</w:t>
      </w:r>
      <w:bookmarkEnd w:id="27"/>
      <w:bookmarkEnd w:id="28"/>
    </w:p>
    <w:p w:rsidR="00C53AD4" w:rsidRDefault="001C3CD3">
      <w:pPr>
        <w:pStyle w:val="Default"/>
        <w:spacing w:line="576" w:lineRule="exact"/>
        <w:ind w:firstLineChars="200" w:firstLine="663"/>
        <w:jc w:val="both"/>
        <w:rPr>
          <w:rFonts w:ascii="Times New Roman" w:eastAsia="方正仿宋_GBK" w:hAnsi="Times New Roman" w:cs="Times New Roman"/>
          <w:color w:val="auto"/>
          <w:sz w:val="33"/>
          <w:szCs w:val="33"/>
        </w:rPr>
      </w:pPr>
      <w:bookmarkStart w:id="29" w:name="_Toc15377210"/>
      <w:r>
        <w:rPr>
          <w:rFonts w:ascii="方正楷体_GBK" w:eastAsia="方正楷体_GBK" w:hAnsi="方正楷体_GBK" w:cs="方正楷体_GBK" w:hint="eastAsia"/>
          <w:b/>
          <w:bCs/>
          <w:color w:val="auto"/>
          <w:sz w:val="33"/>
          <w:szCs w:val="33"/>
        </w:rPr>
        <w:t>（一）一般公共预算财政拨款支出决算总体情况</w:t>
      </w:r>
      <w:bookmarkEnd w:id="29"/>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2023</w:t>
      </w:r>
      <w:r>
        <w:rPr>
          <w:rFonts w:ascii="Times New Roman" w:eastAsia="方正仿宋_GBK" w:hAnsi="Times New Roman" w:cs="Times New Roman"/>
          <w:color w:val="auto"/>
          <w:sz w:val="33"/>
          <w:szCs w:val="33"/>
        </w:rPr>
        <w:t>年度一般公共预算财政拨款支出</w:t>
      </w:r>
      <w:r>
        <w:rPr>
          <w:rFonts w:ascii="Times New Roman" w:eastAsia="方正仿宋_GBK" w:hAnsi="Times New Roman" w:cs="Times New Roman"/>
          <w:color w:val="auto"/>
          <w:sz w:val="33"/>
          <w:szCs w:val="33"/>
        </w:rPr>
        <w:t>601.63</w:t>
      </w:r>
      <w:r>
        <w:rPr>
          <w:rFonts w:ascii="Times New Roman" w:eastAsia="方正仿宋_GBK" w:hAnsi="Times New Roman" w:cs="Times New Roman"/>
          <w:color w:val="auto"/>
          <w:sz w:val="33"/>
          <w:szCs w:val="33"/>
        </w:rPr>
        <w:t>万元，占本年支出合计的</w:t>
      </w:r>
      <w:r>
        <w:rPr>
          <w:rFonts w:ascii="Times New Roman" w:eastAsia="方正仿宋_GBK" w:hAnsi="Times New Roman" w:cs="Times New Roman"/>
          <w:color w:val="auto"/>
          <w:sz w:val="33"/>
          <w:szCs w:val="33"/>
        </w:rPr>
        <w:t>100%</w:t>
      </w:r>
      <w:r>
        <w:rPr>
          <w:rFonts w:ascii="Times New Roman" w:eastAsia="方正仿宋_GBK" w:hAnsi="Times New Roman" w:cs="Times New Roman"/>
          <w:color w:val="auto"/>
          <w:sz w:val="33"/>
          <w:szCs w:val="33"/>
        </w:rPr>
        <w:t>。与</w:t>
      </w:r>
      <w:r>
        <w:rPr>
          <w:rFonts w:ascii="Times New Roman" w:eastAsia="方正仿宋_GBK" w:hAnsi="Times New Roman" w:cs="Times New Roman"/>
          <w:color w:val="auto"/>
          <w:sz w:val="33"/>
          <w:szCs w:val="33"/>
        </w:rPr>
        <w:t>2022</w:t>
      </w:r>
      <w:r>
        <w:rPr>
          <w:rFonts w:ascii="Times New Roman" w:eastAsia="方正仿宋_GBK" w:hAnsi="Times New Roman" w:cs="Times New Roman"/>
          <w:color w:val="auto"/>
          <w:sz w:val="33"/>
          <w:szCs w:val="33"/>
        </w:rPr>
        <w:t>年度</w:t>
      </w:r>
      <w:r>
        <w:rPr>
          <w:rFonts w:ascii="Times New Roman" w:eastAsia="方正仿宋_GBK" w:hAnsi="Times New Roman" w:cs="Times New Roman"/>
          <w:color w:val="auto"/>
          <w:sz w:val="33"/>
          <w:szCs w:val="33"/>
        </w:rPr>
        <w:t>一般公共预算财政拨款支出</w:t>
      </w:r>
      <w:r>
        <w:rPr>
          <w:rFonts w:ascii="Times New Roman" w:eastAsia="方正仿宋_GBK" w:hAnsi="Times New Roman" w:cs="Times New Roman"/>
          <w:color w:val="auto"/>
          <w:sz w:val="33"/>
          <w:szCs w:val="33"/>
        </w:rPr>
        <w:t>285.95</w:t>
      </w:r>
      <w:r>
        <w:rPr>
          <w:rFonts w:ascii="Times New Roman" w:eastAsia="方正仿宋_GBK" w:hAnsi="Times New Roman" w:cs="Times New Roman"/>
          <w:color w:val="auto"/>
          <w:sz w:val="33"/>
          <w:szCs w:val="33"/>
        </w:rPr>
        <w:t>万元</w:t>
      </w:r>
      <w:r>
        <w:rPr>
          <w:rFonts w:ascii="Times New Roman" w:eastAsia="方正仿宋_GBK" w:hAnsi="Times New Roman" w:cs="Times New Roman"/>
          <w:color w:val="auto"/>
          <w:sz w:val="33"/>
          <w:szCs w:val="33"/>
        </w:rPr>
        <w:t>相比，一般公共预算财政拨款支出增加</w:t>
      </w:r>
      <w:r>
        <w:rPr>
          <w:rFonts w:ascii="Times New Roman" w:eastAsia="方正仿宋_GBK" w:hAnsi="Times New Roman" w:cs="Times New Roman"/>
          <w:color w:val="auto"/>
          <w:sz w:val="33"/>
          <w:szCs w:val="33"/>
        </w:rPr>
        <w:t>315.68</w:t>
      </w:r>
      <w:r>
        <w:rPr>
          <w:rFonts w:ascii="Times New Roman" w:eastAsia="方正仿宋_GBK" w:hAnsi="Times New Roman" w:cs="Times New Roman"/>
          <w:color w:val="auto"/>
          <w:sz w:val="33"/>
          <w:szCs w:val="33"/>
        </w:rPr>
        <w:t>万元，增长</w:t>
      </w:r>
      <w:r>
        <w:rPr>
          <w:rFonts w:ascii="Times New Roman" w:eastAsia="方正仿宋_GBK" w:hAnsi="Times New Roman" w:cs="Times New Roman"/>
          <w:color w:val="auto"/>
          <w:sz w:val="33"/>
          <w:szCs w:val="33"/>
        </w:rPr>
        <w:t>110.4</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。主要变动原因是</w:t>
      </w:r>
      <w:r>
        <w:rPr>
          <w:rFonts w:ascii="Times New Roman" w:eastAsia="方正仿宋_GBK" w:hAnsi="Times New Roman" w:cs="Times New Roman"/>
          <w:color w:val="auto"/>
          <w:sz w:val="33"/>
          <w:szCs w:val="33"/>
        </w:rPr>
        <w:t>基本支出中的人员经费和日常公用经费增加，项目支出中的培训经费增加。</w:t>
      </w:r>
    </w:p>
    <w:p w:rsidR="00C53AD4" w:rsidRDefault="001C3CD3">
      <w:pPr>
        <w:jc w:val="center"/>
        <w:rPr>
          <w:rFonts w:eastAsia="方正仿宋_GBK"/>
          <w:sz w:val="33"/>
          <w:szCs w:val="33"/>
        </w:rPr>
      </w:pPr>
      <w:r>
        <w:rPr>
          <w:rFonts w:eastAsia="方正仿宋_GBK"/>
          <w:noProof/>
          <w:sz w:val="33"/>
          <w:szCs w:val="33"/>
        </w:rPr>
        <w:lastRenderedPageBreak/>
        <w:drawing>
          <wp:inline distT="0" distB="0" distL="114300" distR="114300">
            <wp:extent cx="4866640" cy="4380230"/>
            <wp:effectExtent l="4445" t="4445" r="5715" b="15875"/>
            <wp:docPr id="5" name="图片 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C53AD4" w:rsidRDefault="001C3CD3">
      <w:pPr>
        <w:pStyle w:val="Default"/>
        <w:spacing w:line="576" w:lineRule="exact"/>
        <w:jc w:val="center"/>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（图</w:t>
      </w:r>
      <w:r>
        <w:rPr>
          <w:rFonts w:ascii="Times New Roman" w:eastAsia="方正仿宋_GBK" w:hAnsi="Times New Roman" w:cs="Times New Roman"/>
          <w:color w:val="auto"/>
          <w:sz w:val="33"/>
          <w:szCs w:val="33"/>
        </w:rPr>
        <w:t>5</w:t>
      </w:r>
      <w:r>
        <w:rPr>
          <w:rFonts w:ascii="Times New Roman" w:eastAsia="方正仿宋_GBK" w:hAnsi="Times New Roman" w:cs="Times New Roman"/>
          <w:color w:val="auto"/>
          <w:sz w:val="33"/>
          <w:szCs w:val="33"/>
        </w:rPr>
        <w:t>：一般公共预算财政拨款支出决算变动情况）</w:t>
      </w:r>
    </w:p>
    <w:p w:rsidR="00C53AD4" w:rsidRDefault="001C3CD3">
      <w:pPr>
        <w:pStyle w:val="Default"/>
        <w:spacing w:line="576" w:lineRule="exact"/>
        <w:ind w:firstLineChars="200" w:firstLine="663"/>
        <w:jc w:val="both"/>
        <w:rPr>
          <w:rFonts w:ascii="方正楷体_GBK" w:eastAsia="方正楷体_GBK" w:hAnsi="方正楷体_GBK" w:cs="方正楷体_GBK"/>
          <w:b/>
          <w:bCs/>
          <w:color w:val="auto"/>
          <w:sz w:val="33"/>
          <w:szCs w:val="33"/>
        </w:rPr>
      </w:pPr>
      <w:bookmarkStart w:id="30" w:name="_Toc15377211"/>
      <w:r>
        <w:rPr>
          <w:rFonts w:ascii="方正楷体_GBK" w:eastAsia="方正楷体_GBK" w:hAnsi="方正楷体_GBK" w:cs="方正楷体_GBK"/>
          <w:b/>
          <w:bCs/>
          <w:color w:val="auto"/>
          <w:sz w:val="33"/>
          <w:szCs w:val="33"/>
        </w:rPr>
        <w:t>（二）一般公共预算财政拨款支出决算结构情况</w:t>
      </w:r>
      <w:bookmarkEnd w:id="30"/>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2023</w:t>
      </w:r>
      <w:r>
        <w:rPr>
          <w:rFonts w:ascii="Times New Roman" w:eastAsia="方正仿宋_GBK" w:hAnsi="Times New Roman" w:cs="Times New Roman"/>
          <w:color w:val="auto"/>
          <w:sz w:val="33"/>
          <w:szCs w:val="33"/>
        </w:rPr>
        <w:t>年度一般公共预算财政拨款支出</w:t>
      </w:r>
      <w:r>
        <w:rPr>
          <w:rFonts w:ascii="Times New Roman" w:eastAsia="方正仿宋_GBK" w:hAnsi="Times New Roman" w:cs="Times New Roman"/>
          <w:color w:val="auto"/>
          <w:sz w:val="33"/>
          <w:szCs w:val="33"/>
        </w:rPr>
        <w:t>601.63</w:t>
      </w:r>
      <w:r>
        <w:rPr>
          <w:rFonts w:ascii="Times New Roman" w:eastAsia="方正仿宋_GBK" w:hAnsi="Times New Roman" w:cs="Times New Roman"/>
          <w:color w:val="auto"/>
          <w:sz w:val="33"/>
          <w:szCs w:val="33"/>
        </w:rPr>
        <w:t>万元，主要用于以下方面</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一般公共服务支出</w:t>
      </w:r>
      <w:r>
        <w:rPr>
          <w:rFonts w:ascii="Times New Roman" w:eastAsia="方正仿宋_GBK" w:hAnsi="Times New Roman" w:cs="Times New Roman"/>
          <w:color w:val="auto"/>
          <w:sz w:val="33"/>
          <w:szCs w:val="33"/>
        </w:rPr>
        <w:t>178.04</w:t>
      </w:r>
      <w:r>
        <w:rPr>
          <w:rFonts w:ascii="Times New Roman" w:eastAsia="方正仿宋_GBK" w:hAnsi="Times New Roman" w:cs="Times New Roman"/>
          <w:color w:val="auto"/>
          <w:sz w:val="33"/>
          <w:szCs w:val="33"/>
        </w:rPr>
        <w:t>万元，占</w:t>
      </w:r>
      <w:r>
        <w:rPr>
          <w:rFonts w:ascii="Times New Roman" w:eastAsia="方正仿宋_GBK" w:hAnsi="Times New Roman" w:cs="Times New Roman"/>
          <w:color w:val="auto"/>
          <w:sz w:val="33"/>
          <w:szCs w:val="33"/>
        </w:rPr>
        <w:t>29.59</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；教育支出</w:t>
      </w:r>
      <w:r>
        <w:rPr>
          <w:rFonts w:ascii="Times New Roman" w:eastAsia="方正仿宋_GBK" w:hAnsi="Times New Roman" w:cs="Times New Roman"/>
          <w:color w:val="auto"/>
          <w:sz w:val="33"/>
          <w:szCs w:val="33"/>
        </w:rPr>
        <w:t>337.26</w:t>
      </w:r>
      <w:r>
        <w:rPr>
          <w:rFonts w:ascii="Times New Roman" w:eastAsia="方正仿宋_GBK" w:hAnsi="Times New Roman" w:cs="Times New Roman"/>
          <w:color w:val="auto"/>
          <w:sz w:val="33"/>
          <w:szCs w:val="33"/>
        </w:rPr>
        <w:t>万元，占</w:t>
      </w:r>
      <w:r>
        <w:rPr>
          <w:rFonts w:ascii="Times New Roman" w:eastAsia="方正仿宋_GBK" w:hAnsi="Times New Roman" w:cs="Times New Roman"/>
          <w:color w:val="auto"/>
          <w:sz w:val="33"/>
          <w:szCs w:val="33"/>
        </w:rPr>
        <w:t>56.06</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；社会保障和就业支出</w:t>
      </w:r>
      <w:r>
        <w:rPr>
          <w:rFonts w:ascii="Times New Roman" w:eastAsia="方正仿宋_GBK" w:hAnsi="Times New Roman" w:cs="Times New Roman"/>
          <w:color w:val="auto"/>
          <w:sz w:val="33"/>
          <w:szCs w:val="33"/>
        </w:rPr>
        <w:t>44.09</w:t>
      </w:r>
      <w:r>
        <w:rPr>
          <w:rFonts w:ascii="Times New Roman" w:eastAsia="方正仿宋_GBK" w:hAnsi="Times New Roman" w:cs="Times New Roman"/>
          <w:color w:val="auto"/>
          <w:sz w:val="33"/>
          <w:szCs w:val="33"/>
        </w:rPr>
        <w:t>万元，占</w:t>
      </w:r>
      <w:r>
        <w:rPr>
          <w:rFonts w:ascii="Times New Roman" w:eastAsia="方正仿宋_GBK" w:hAnsi="Times New Roman" w:cs="Times New Roman"/>
          <w:color w:val="auto"/>
          <w:sz w:val="33"/>
          <w:szCs w:val="33"/>
        </w:rPr>
        <w:t>7.33</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；卫生健康支出</w:t>
      </w:r>
      <w:r>
        <w:rPr>
          <w:rFonts w:ascii="Times New Roman" w:eastAsia="方正仿宋_GBK" w:hAnsi="Times New Roman" w:cs="Times New Roman"/>
          <w:color w:val="auto"/>
          <w:sz w:val="33"/>
          <w:szCs w:val="33"/>
        </w:rPr>
        <w:t>21.98</w:t>
      </w:r>
      <w:r>
        <w:rPr>
          <w:rFonts w:ascii="Times New Roman" w:eastAsia="方正仿宋_GBK" w:hAnsi="Times New Roman" w:cs="Times New Roman"/>
          <w:color w:val="auto"/>
          <w:sz w:val="33"/>
          <w:szCs w:val="33"/>
        </w:rPr>
        <w:t>万元，占</w:t>
      </w:r>
      <w:r>
        <w:rPr>
          <w:rFonts w:ascii="Times New Roman" w:eastAsia="方正仿宋_GBK" w:hAnsi="Times New Roman" w:cs="Times New Roman"/>
          <w:color w:val="auto"/>
          <w:sz w:val="33"/>
          <w:szCs w:val="33"/>
        </w:rPr>
        <w:t>3.65</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；住房保障支出</w:t>
      </w:r>
      <w:r>
        <w:rPr>
          <w:rFonts w:ascii="Times New Roman" w:eastAsia="方正仿宋_GBK" w:hAnsi="Times New Roman" w:cs="Times New Roman"/>
          <w:color w:val="auto"/>
          <w:sz w:val="33"/>
          <w:szCs w:val="33"/>
        </w:rPr>
        <w:t>20.26</w:t>
      </w:r>
      <w:r>
        <w:rPr>
          <w:rFonts w:ascii="Times New Roman" w:eastAsia="方正仿宋_GBK" w:hAnsi="Times New Roman" w:cs="Times New Roman"/>
          <w:color w:val="auto"/>
          <w:sz w:val="33"/>
          <w:szCs w:val="33"/>
        </w:rPr>
        <w:t>万元，占</w:t>
      </w:r>
      <w:r>
        <w:rPr>
          <w:rFonts w:ascii="Times New Roman" w:eastAsia="方正仿宋_GBK" w:hAnsi="Times New Roman" w:cs="Times New Roman"/>
          <w:color w:val="auto"/>
          <w:sz w:val="33"/>
          <w:szCs w:val="33"/>
        </w:rPr>
        <w:t>3.37</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w:t>
      </w:r>
    </w:p>
    <w:p w:rsidR="00C53AD4" w:rsidRDefault="00C53AD4">
      <w:pPr>
        <w:pStyle w:val="5"/>
        <w:spacing w:before="0" w:after="0" w:line="576" w:lineRule="exact"/>
        <w:jc w:val="both"/>
        <w:rPr>
          <w:rFonts w:ascii="Times New Roman" w:eastAsia="方正仿宋_GBK" w:hAnsi="Times New Roman"/>
          <w:sz w:val="33"/>
          <w:szCs w:val="33"/>
        </w:rPr>
      </w:pPr>
    </w:p>
    <w:p w:rsidR="00C53AD4" w:rsidRDefault="00C53AD4">
      <w:pPr>
        <w:spacing w:line="576" w:lineRule="exact"/>
        <w:rPr>
          <w:rFonts w:eastAsia="方正仿宋_GBK"/>
          <w:sz w:val="33"/>
          <w:szCs w:val="33"/>
        </w:rPr>
      </w:pPr>
    </w:p>
    <w:p w:rsidR="00C53AD4" w:rsidRDefault="001C3CD3">
      <w:pPr>
        <w:pStyle w:val="5"/>
        <w:spacing w:before="0" w:after="0" w:line="240" w:lineRule="auto"/>
        <w:jc w:val="center"/>
        <w:rPr>
          <w:rFonts w:ascii="Times New Roman" w:eastAsia="方正仿宋_GBK" w:hAnsi="Times New Roman"/>
          <w:sz w:val="33"/>
          <w:szCs w:val="33"/>
        </w:rPr>
      </w:pPr>
      <w:r>
        <w:rPr>
          <w:rFonts w:ascii="Times New Roman" w:eastAsia="方正仿宋_GBK" w:hAnsi="Times New Roman"/>
          <w:noProof/>
          <w:sz w:val="33"/>
          <w:szCs w:val="33"/>
        </w:rPr>
        <w:lastRenderedPageBreak/>
        <w:drawing>
          <wp:inline distT="0" distB="0" distL="114300" distR="114300">
            <wp:extent cx="4819650" cy="3562350"/>
            <wp:effectExtent l="4445" t="4445" r="14605" b="14605"/>
            <wp:docPr id="6" name="图片 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C53AD4" w:rsidRDefault="001C3CD3">
      <w:pPr>
        <w:pStyle w:val="Default"/>
        <w:spacing w:line="576" w:lineRule="exact"/>
        <w:jc w:val="center"/>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（图</w:t>
      </w:r>
      <w:r>
        <w:rPr>
          <w:rFonts w:ascii="Times New Roman" w:eastAsia="方正仿宋_GBK" w:hAnsi="Times New Roman" w:cs="Times New Roman"/>
          <w:color w:val="auto"/>
          <w:sz w:val="33"/>
          <w:szCs w:val="33"/>
        </w:rPr>
        <w:t>6</w:t>
      </w:r>
      <w:r>
        <w:rPr>
          <w:rFonts w:ascii="Times New Roman" w:eastAsia="方正仿宋_GBK" w:hAnsi="Times New Roman" w:cs="Times New Roman"/>
          <w:color w:val="auto"/>
          <w:sz w:val="33"/>
          <w:szCs w:val="33"/>
        </w:rPr>
        <w:t>：一般公共预算财政拨款支出决算结构）</w:t>
      </w:r>
      <w:bookmarkStart w:id="31" w:name="_Toc15377212"/>
    </w:p>
    <w:p w:rsidR="00C53AD4" w:rsidRDefault="001C3CD3">
      <w:pPr>
        <w:pStyle w:val="Default"/>
        <w:spacing w:line="576" w:lineRule="exact"/>
        <w:ind w:firstLineChars="200" w:firstLine="663"/>
        <w:jc w:val="both"/>
        <w:rPr>
          <w:rFonts w:ascii="方正楷体_GBK" w:eastAsia="方正楷体_GBK" w:hAnsi="方正楷体_GBK" w:cs="方正楷体_GBK"/>
          <w:b/>
          <w:bCs/>
          <w:color w:val="auto"/>
          <w:sz w:val="33"/>
          <w:szCs w:val="33"/>
        </w:rPr>
      </w:pPr>
      <w:r>
        <w:rPr>
          <w:rFonts w:ascii="方正楷体_GBK" w:eastAsia="方正楷体_GBK" w:hAnsi="方正楷体_GBK" w:cs="方正楷体_GBK"/>
          <w:b/>
          <w:bCs/>
          <w:color w:val="auto"/>
          <w:sz w:val="33"/>
          <w:szCs w:val="33"/>
        </w:rPr>
        <w:t>（三）一般公共预算财政拨款支出决算具体情况</w:t>
      </w:r>
      <w:bookmarkEnd w:id="31"/>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rPr>
      </w:pPr>
      <w:bookmarkStart w:id="32" w:name="_Toc15378460"/>
      <w:bookmarkStart w:id="33" w:name="_Toc15377213"/>
      <w:bookmarkStart w:id="34" w:name="_Toc15377444"/>
      <w:r>
        <w:rPr>
          <w:rFonts w:ascii="Times New Roman" w:eastAsia="方正仿宋_GBK" w:hAnsi="Times New Roman" w:cs="Times New Roman"/>
          <w:color w:val="auto"/>
          <w:sz w:val="33"/>
          <w:szCs w:val="33"/>
        </w:rPr>
        <w:t>2023</w:t>
      </w:r>
      <w:r>
        <w:rPr>
          <w:rFonts w:ascii="Times New Roman" w:eastAsia="方正仿宋_GBK" w:hAnsi="Times New Roman" w:cs="Times New Roman"/>
          <w:color w:val="auto"/>
          <w:sz w:val="33"/>
          <w:szCs w:val="33"/>
        </w:rPr>
        <w:t>年度一般公共预算支出决算数为</w:t>
      </w:r>
      <w:r>
        <w:rPr>
          <w:rFonts w:ascii="Times New Roman" w:eastAsia="方正仿宋_GBK" w:hAnsi="Times New Roman" w:cs="Times New Roman"/>
          <w:color w:val="auto"/>
          <w:sz w:val="33"/>
          <w:szCs w:val="33"/>
        </w:rPr>
        <w:t>601.6</w:t>
      </w:r>
      <w:r>
        <w:rPr>
          <w:rFonts w:ascii="Times New Roman" w:eastAsia="方正仿宋_GBK" w:hAnsi="Times New Roman" w:cs="Times New Roman" w:hint="eastAsia"/>
          <w:color w:val="auto"/>
          <w:sz w:val="33"/>
          <w:szCs w:val="33"/>
        </w:rPr>
        <w:t>3</w:t>
      </w:r>
      <w:r>
        <w:rPr>
          <w:rFonts w:ascii="Times New Roman" w:eastAsia="方正仿宋_GBK" w:hAnsi="Times New Roman" w:cs="Times New Roman" w:hint="eastAsia"/>
          <w:color w:val="auto"/>
          <w:sz w:val="33"/>
          <w:szCs w:val="33"/>
        </w:rPr>
        <w:t>万元</w:t>
      </w:r>
      <w:r>
        <w:rPr>
          <w:rFonts w:ascii="Times New Roman" w:eastAsia="方正仿宋_GBK" w:hAnsi="Times New Roman" w:cs="Times New Roman"/>
          <w:color w:val="auto"/>
          <w:sz w:val="33"/>
          <w:szCs w:val="33"/>
        </w:rPr>
        <w:t>，完成预算</w:t>
      </w:r>
      <w:r>
        <w:rPr>
          <w:rFonts w:ascii="Times New Roman" w:eastAsia="方正仿宋_GBK" w:hAnsi="Times New Roman" w:cs="Times New Roman"/>
          <w:color w:val="auto"/>
          <w:sz w:val="33"/>
          <w:szCs w:val="33"/>
        </w:rPr>
        <w:t>100</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。其中：</w:t>
      </w:r>
      <w:bookmarkEnd w:id="32"/>
      <w:bookmarkEnd w:id="33"/>
      <w:bookmarkEnd w:id="34"/>
    </w:p>
    <w:p w:rsidR="00C53AD4" w:rsidRDefault="001C3CD3">
      <w:pPr>
        <w:pStyle w:val="Default"/>
        <w:spacing w:line="576" w:lineRule="exact"/>
        <w:ind w:firstLineChars="200" w:firstLine="663"/>
        <w:jc w:val="both"/>
        <w:rPr>
          <w:rFonts w:ascii="Times New Roman" w:eastAsia="方正仿宋_GBK" w:hAnsi="Times New Roman" w:cs="Times New Roman"/>
          <w:color w:val="auto"/>
          <w:sz w:val="33"/>
          <w:szCs w:val="33"/>
        </w:rPr>
      </w:pPr>
      <w:r>
        <w:rPr>
          <w:rFonts w:ascii="Times New Roman" w:eastAsia="方正仿宋_GBK" w:hAnsi="Times New Roman" w:cs="Times New Roman"/>
          <w:b/>
          <w:bCs/>
          <w:color w:val="auto"/>
          <w:sz w:val="33"/>
          <w:szCs w:val="33"/>
        </w:rPr>
        <w:t>1.</w:t>
      </w:r>
      <w:r>
        <w:rPr>
          <w:rFonts w:ascii="Times New Roman" w:eastAsia="方正仿宋_GBK" w:hAnsi="Times New Roman" w:cs="Times New Roman"/>
          <w:b/>
          <w:bCs/>
          <w:color w:val="auto"/>
          <w:sz w:val="33"/>
          <w:szCs w:val="33"/>
        </w:rPr>
        <w:t>一般公共服务支出决算为</w:t>
      </w:r>
      <w:r>
        <w:rPr>
          <w:rFonts w:ascii="Times New Roman" w:eastAsia="方正仿宋_GBK" w:hAnsi="Times New Roman" w:cs="Times New Roman"/>
          <w:b/>
          <w:bCs/>
          <w:color w:val="auto"/>
          <w:sz w:val="33"/>
          <w:szCs w:val="33"/>
        </w:rPr>
        <w:t>178.04</w:t>
      </w:r>
      <w:r>
        <w:rPr>
          <w:rFonts w:ascii="Times New Roman" w:eastAsia="方正仿宋_GBK" w:hAnsi="Times New Roman" w:cs="Times New Roman"/>
          <w:b/>
          <w:bCs/>
          <w:color w:val="auto"/>
          <w:sz w:val="33"/>
          <w:szCs w:val="33"/>
        </w:rPr>
        <w:t>万元，完成预算</w:t>
      </w:r>
      <w:r>
        <w:rPr>
          <w:rFonts w:ascii="Times New Roman" w:eastAsia="方正仿宋_GBK" w:hAnsi="Times New Roman" w:cs="Times New Roman"/>
          <w:b/>
          <w:bCs/>
          <w:color w:val="auto"/>
          <w:sz w:val="33"/>
          <w:szCs w:val="33"/>
        </w:rPr>
        <w:t>100%</w:t>
      </w:r>
      <w:r>
        <w:rPr>
          <w:rFonts w:ascii="Times New Roman" w:eastAsia="方正仿宋_GBK" w:hAnsi="Times New Roman" w:cs="Times New Roman"/>
          <w:b/>
          <w:bCs/>
          <w:color w:val="auto"/>
          <w:sz w:val="33"/>
          <w:szCs w:val="33"/>
        </w:rPr>
        <w:t>。</w:t>
      </w:r>
      <w:r>
        <w:rPr>
          <w:rFonts w:ascii="Times New Roman" w:eastAsia="方正仿宋_GBK" w:hAnsi="Times New Roman" w:cs="Times New Roman"/>
          <w:color w:val="auto"/>
          <w:sz w:val="33"/>
          <w:szCs w:val="33"/>
        </w:rPr>
        <w:t>其中：（</w:t>
      </w:r>
      <w:r>
        <w:rPr>
          <w:rFonts w:ascii="Times New Roman" w:eastAsia="方正仿宋_GBK" w:hAnsi="Times New Roman" w:cs="Times New Roman"/>
          <w:color w:val="auto"/>
          <w:sz w:val="33"/>
          <w:szCs w:val="33"/>
        </w:rPr>
        <w:t>1</w:t>
      </w:r>
      <w:r>
        <w:rPr>
          <w:rFonts w:ascii="Times New Roman" w:eastAsia="方正仿宋_GBK" w:hAnsi="Times New Roman" w:cs="Times New Roman"/>
          <w:color w:val="auto"/>
          <w:sz w:val="33"/>
          <w:szCs w:val="33"/>
        </w:rPr>
        <w:t>）一般公共服务（类）组织事务（款）一般行政管理事务（项）：支出决算数为</w:t>
      </w:r>
      <w:r>
        <w:rPr>
          <w:rFonts w:ascii="Times New Roman" w:eastAsia="方正仿宋_GBK" w:hAnsi="Times New Roman" w:cs="Times New Roman"/>
          <w:color w:val="auto"/>
          <w:sz w:val="33"/>
          <w:szCs w:val="33"/>
        </w:rPr>
        <w:t>39.96</w:t>
      </w:r>
      <w:r>
        <w:rPr>
          <w:rFonts w:ascii="Times New Roman" w:eastAsia="方正仿宋_GBK" w:hAnsi="Times New Roman" w:cs="Times New Roman"/>
          <w:color w:val="auto"/>
          <w:sz w:val="33"/>
          <w:szCs w:val="33"/>
        </w:rPr>
        <w:t>万元；（</w:t>
      </w:r>
      <w:r>
        <w:rPr>
          <w:rFonts w:ascii="Times New Roman" w:eastAsia="方正仿宋_GBK" w:hAnsi="Times New Roman" w:cs="Times New Roman"/>
          <w:color w:val="auto"/>
          <w:sz w:val="33"/>
          <w:szCs w:val="33"/>
        </w:rPr>
        <w:t>2</w:t>
      </w:r>
      <w:r>
        <w:rPr>
          <w:rFonts w:ascii="Times New Roman" w:eastAsia="方正仿宋_GBK" w:hAnsi="Times New Roman" w:cs="Times New Roman"/>
          <w:color w:val="auto"/>
          <w:sz w:val="33"/>
          <w:szCs w:val="33"/>
        </w:rPr>
        <w:t>）一般公共服务（类）组织事务（款）其他组织事务（项）：支出决算数为</w:t>
      </w:r>
      <w:r>
        <w:rPr>
          <w:rFonts w:ascii="Times New Roman" w:eastAsia="方正仿宋_GBK" w:hAnsi="Times New Roman" w:cs="Times New Roman"/>
          <w:color w:val="auto"/>
          <w:sz w:val="33"/>
          <w:szCs w:val="33"/>
        </w:rPr>
        <w:t>138.08</w:t>
      </w:r>
      <w:r>
        <w:rPr>
          <w:rFonts w:ascii="Times New Roman" w:eastAsia="方正仿宋_GBK" w:hAnsi="Times New Roman" w:cs="Times New Roman"/>
          <w:color w:val="auto"/>
          <w:sz w:val="33"/>
          <w:szCs w:val="33"/>
        </w:rPr>
        <w:t>万元。</w:t>
      </w:r>
    </w:p>
    <w:p w:rsidR="00C53AD4" w:rsidRDefault="001C3CD3">
      <w:pPr>
        <w:pStyle w:val="Default"/>
        <w:spacing w:line="576" w:lineRule="exact"/>
        <w:ind w:firstLineChars="200" w:firstLine="663"/>
        <w:jc w:val="both"/>
        <w:rPr>
          <w:rFonts w:ascii="Times New Roman" w:eastAsia="方正仿宋_GBK" w:hAnsi="Times New Roman" w:cs="Times New Roman"/>
          <w:color w:val="auto"/>
          <w:sz w:val="33"/>
          <w:szCs w:val="33"/>
        </w:rPr>
      </w:pPr>
      <w:r>
        <w:rPr>
          <w:rFonts w:ascii="Times New Roman" w:eastAsia="方正仿宋_GBK" w:hAnsi="Times New Roman" w:cs="Times New Roman"/>
          <w:b/>
          <w:bCs/>
          <w:color w:val="auto"/>
          <w:sz w:val="33"/>
          <w:szCs w:val="33"/>
        </w:rPr>
        <w:t>2.</w:t>
      </w:r>
      <w:r>
        <w:rPr>
          <w:rFonts w:ascii="Times New Roman" w:eastAsia="方正仿宋_GBK" w:hAnsi="Times New Roman" w:cs="Times New Roman"/>
          <w:b/>
          <w:bCs/>
          <w:color w:val="auto"/>
          <w:sz w:val="33"/>
          <w:szCs w:val="33"/>
        </w:rPr>
        <w:t>教育支出决算为</w:t>
      </w:r>
      <w:r>
        <w:rPr>
          <w:rFonts w:ascii="Times New Roman" w:eastAsia="方正仿宋_GBK" w:hAnsi="Times New Roman" w:cs="Times New Roman"/>
          <w:b/>
          <w:bCs/>
          <w:color w:val="auto"/>
          <w:sz w:val="33"/>
          <w:szCs w:val="33"/>
        </w:rPr>
        <w:t>337.26</w:t>
      </w:r>
      <w:r>
        <w:rPr>
          <w:rFonts w:ascii="Times New Roman" w:eastAsia="方正仿宋_GBK" w:hAnsi="Times New Roman" w:cs="Times New Roman"/>
          <w:b/>
          <w:bCs/>
          <w:color w:val="auto"/>
          <w:sz w:val="33"/>
          <w:szCs w:val="33"/>
        </w:rPr>
        <w:t>万元，完成预算</w:t>
      </w:r>
      <w:r>
        <w:rPr>
          <w:rFonts w:ascii="Times New Roman" w:eastAsia="方正仿宋_GBK" w:hAnsi="Times New Roman" w:cs="Times New Roman"/>
          <w:b/>
          <w:bCs/>
          <w:color w:val="auto"/>
          <w:sz w:val="33"/>
          <w:szCs w:val="33"/>
        </w:rPr>
        <w:t>100%</w:t>
      </w:r>
      <w:r>
        <w:rPr>
          <w:rFonts w:ascii="Times New Roman" w:eastAsia="方正仿宋_GBK" w:hAnsi="Times New Roman" w:cs="Times New Roman"/>
          <w:b/>
          <w:bCs/>
          <w:color w:val="auto"/>
          <w:sz w:val="33"/>
          <w:szCs w:val="33"/>
        </w:rPr>
        <w:t>。</w:t>
      </w:r>
      <w:r>
        <w:rPr>
          <w:rFonts w:ascii="Times New Roman" w:eastAsia="方正仿宋_GBK" w:hAnsi="Times New Roman" w:cs="Times New Roman"/>
          <w:color w:val="auto"/>
          <w:sz w:val="33"/>
          <w:szCs w:val="33"/>
        </w:rPr>
        <w:t>其中：（</w:t>
      </w:r>
      <w:r>
        <w:rPr>
          <w:rFonts w:ascii="Times New Roman" w:eastAsia="方正仿宋_GBK" w:hAnsi="Times New Roman" w:cs="Times New Roman"/>
          <w:color w:val="auto"/>
          <w:sz w:val="33"/>
          <w:szCs w:val="33"/>
        </w:rPr>
        <w:t>1</w:t>
      </w:r>
      <w:r>
        <w:rPr>
          <w:rFonts w:ascii="Times New Roman" w:eastAsia="方正仿宋_GBK" w:hAnsi="Times New Roman" w:cs="Times New Roman"/>
          <w:color w:val="auto"/>
          <w:sz w:val="33"/>
          <w:szCs w:val="33"/>
        </w:rPr>
        <w:t>）教育支出（类）教育管理事务（款）行政运行（项）：支出决</w:t>
      </w:r>
      <w:r>
        <w:rPr>
          <w:rFonts w:ascii="Times New Roman" w:eastAsia="方正仿宋_GBK" w:hAnsi="Times New Roman" w:cs="Times New Roman"/>
          <w:color w:val="auto"/>
          <w:sz w:val="33"/>
          <w:szCs w:val="33"/>
        </w:rPr>
        <w:lastRenderedPageBreak/>
        <w:t>算数为</w:t>
      </w:r>
      <w:r>
        <w:rPr>
          <w:rFonts w:ascii="Times New Roman" w:eastAsia="方正仿宋_GBK" w:hAnsi="Times New Roman" w:cs="Times New Roman"/>
          <w:color w:val="auto"/>
          <w:sz w:val="33"/>
          <w:szCs w:val="33"/>
        </w:rPr>
        <w:t>244.93</w:t>
      </w:r>
      <w:r>
        <w:rPr>
          <w:rFonts w:ascii="Times New Roman" w:eastAsia="方正仿宋_GBK" w:hAnsi="Times New Roman" w:cs="Times New Roman"/>
          <w:color w:val="auto"/>
          <w:sz w:val="33"/>
          <w:szCs w:val="33"/>
        </w:rPr>
        <w:t>万元；（</w:t>
      </w:r>
      <w:r>
        <w:rPr>
          <w:rFonts w:ascii="Times New Roman" w:eastAsia="方正仿宋_GBK" w:hAnsi="Times New Roman" w:cs="Times New Roman"/>
          <w:color w:val="auto"/>
          <w:sz w:val="33"/>
          <w:szCs w:val="33"/>
        </w:rPr>
        <w:t>2</w:t>
      </w:r>
      <w:r>
        <w:rPr>
          <w:rFonts w:ascii="Times New Roman" w:eastAsia="方正仿宋_GBK" w:hAnsi="Times New Roman" w:cs="Times New Roman"/>
          <w:color w:val="auto"/>
          <w:sz w:val="33"/>
          <w:szCs w:val="33"/>
        </w:rPr>
        <w:t>）教育支出（类）教育管理事务（款）其他教育管理事务支出（项）：支出决算数为</w:t>
      </w:r>
      <w:r>
        <w:rPr>
          <w:rFonts w:ascii="Times New Roman" w:eastAsia="方正仿宋_GBK" w:hAnsi="Times New Roman" w:cs="Times New Roman"/>
          <w:color w:val="auto"/>
          <w:sz w:val="33"/>
          <w:szCs w:val="33"/>
        </w:rPr>
        <w:t>0.81</w:t>
      </w:r>
      <w:r>
        <w:rPr>
          <w:rFonts w:ascii="Times New Roman" w:eastAsia="方正仿宋_GBK" w:hAnsi="Times New Roman" w:cs="Times New Roman"/>
          <w:color w:val="auto"/>
          <w:sz w:val="33"/>
          <w:szCs w:val="33"/>
        </w:rPr>
        <w:t>万元；（</w:t>
      </w:r>
      <w:r>
        <w:rPr>
          <w:rFonts w:ascii="Times New Roman" w:eastAsia="方正仿宋_GBK" w:hAnsi="Times New Roman" w:cs="Times New Roman"/>
          <w:color w:val="auto"/>
          <w:sz w:val="33"/>
          <w:szCs w:val="33"/>
        </w:rPr>
        <w:t>3</w:t>
      </w:r>
      <w:r>
        <w:rPr>
          <w:rFonts w:ascii="Times New Roman" w:eastAsia="方正仿宋_GBK" w:hAnsi="Times New Roman" w:cs="Times New Roman"/>
          <w:color w:val="auto"/>
          <w:sz w:val="33"/>
          <w:szCs w:val="33"/>
        </w:rPr>
        <w:t>）教育支出（类）进修及培训（款）干部教育（项）：支出决算数为</w:t>
      </w:r>
      <w:r>
        <w:rPr>
          <w:rFonts w:ascii="Times New Roman" w:eastAsia="方正仿宋_GBK" w:hAnsi="Times New Roman" w:cs="Times New Roman"/>
          <w:color w:val="auto"/>
          <w:sz w:val="33"/>
          <w:szCs w:val="33"/>
        </w:rPr>
        <w:t>91.52</w:t>
      </w:r>
      <w:r>
        <w:rPr>
          <w:rFonts w:ascii="Times New Roman" w:eastAsia="方正仿宋_GBK" w:hAnsi="Times New Roman" w:cs="Times New Roman"/>
          <w:color w:val="auto"/>
          <w:sz w:val="33"/>
          <w:szCs w:val="33"/>
        </w:rPr>
        <w:t>万元。</w:t>
      </w:r>
    </w:p>
    <w:p w:rsidR="00C53AD4" w:rsidRDefault="001C3CD3">
      <w:pPr>
        <w:pStyle w:val="Default"/>
        <w:spacing w:line="576" w:lineRule="exact"/>
        <w:ind w:firstLineChars="200" w:firstLine="663"/>
        <w:jc w:val="both"/>
        <w:rPr>
          <w:rFonts w:ascii="Times New Roman" w:eastAsia="方正仿宋_GBK" w:hAnsi="Times New Roman" w:cs="Times New Roman"/>
          <w:color w:val="auto"/>
          <w:sz w:val="33"/>
          <w:szCs w:val="33"/>
        </w:rPr>
      </w:pPr>
      <w:r>
        <w:rPr>
          <w:rFonts w:ascii="Times New Roman" w:eastAsia="方正仿宋_GBK" w:hAnsi="Times New Roman" w:cs="Times New Roman"/>
          <w:b/>
          <w:bCs/>
          <w:color w:val="auto"/>
          <w:sz w:val="33"/>
          <w:szCs w:val="33"/>
        </w:rPr>
        <w:t>3.</w:t>
      </w:r>
      <w:r>
        <w:rPr>
          <w:rFonts w:ascii="Times New Roman" w:eastAsia="方正仿宋_GBK" w:hAnsi="Times New Roman" w:cs="Times New Roman"/>
          <w:b/>
          <w:bCs/>
          <w:color w:val="auto"/>
          <w:sz w:val="33"/>
          <w:szCs w:val="33"/>
        </w:rPr>
        <w:t>社会</w:t>
      </w:r>
      <w:r>
        <w:rPr>
          <w:rFonts w:ascii="Times New Roman" w:eastAsia="方正仿宋_GBK" w:hAnsi="Times New Roman" w:cs="Times New Roman"/>
          <w:b/>
          <w:bCs/>
          <w:color w:val="auto"/>
          <w:sz w:val="33"/>
          <w:szCs w:val="33"/>
        </w:rPr>
        <w:t>保障和就业</w:t>
      </w:r>
      <w:r>
        <w:rPr>
          <w:rFonts w:ascii="Times New Roman" w:eastAsia="方正仿宋_GBK" w:hAnsi="Times New Roman" w:cs="Times New Roman"/>
          <w:b/>
          <w:bCs/>
          <w:color w:val="auto"/>
          <w:sz w:val="33"/>
          <w:szCs w:val="33"/>
        </w:rPr>
        <w:t>:</w:t>
      </w:r>
      <w:r>
        <w:rPr>
          <w:rFonts w:ascii="Times New Roman" w:eastAsia="方正仿宋_GBK" w:hAnsi="Times New Roman" w:cs="Times New Roman"/>
          <w:color w:val="auto"/>
          <w:sz w:val="33"/>
          <w:szCs w:val="33"/>
        </w:rPr>
        <w:t>支出决算为</w:t>
      </w:r>
      <w:r>
        <w:rPr>
          <w:rFonts w:ascii="Times New Roman" w:eastAsia="方正仿宋_GBK" w:hAnsi="Times New Roman" w:cs="Times New Roman"/>
          <w:color w:val="auto"/>
          <w:sz w:val="33"/>
          <w:szCs w:val="33"/>
        </w:rPr>
        <w:t>44.09</w:t>
      </w:r>
      <w:r>
        <w:rPr>
          <w:rFonts w:ascii="Times New Roman" w:eastAsia="方正仿宋_GBK" w:hAnsi="Times New Roman" w:cs="Times New Roman"/>
          <w:color w:val="auto"/>
          <w:sz w:val="33"/>
          <w:szCs w:val="33"/>
        </w:rPr>
        <w:t>万元，完成预算</w:t>
      </w:r>
      <w:r>
        <w:rPr>
          <w:rFonts w:ascii="Times New Roman" w:eastAsia="方正仿宋_GBK" w:hAnsi="Times New Roman" w:cs="Times New Roman"/>
          <w:color w:val="auto"/>
          <w:sz w:val="33"/>
          <w:szCs w:val="33"/>
        </w:rPr>
        <w:t>100</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其中（</w:t>
      </w:r>
      <w:r>
        <w:rPr>
          <w:rFonts w:ascii="Times New Roman" w:eastAsia="方正仿宋_GBK" w:hAnsi="Times New Roman" w:cs="Times New Roman"/>
          <w:color w:val="auto"/>
          <w:sz w:val="33"/>
          <w:szCs w:val="33"/>
        </w:rPr>
        <w:t>1)</w:t>
      </w:r>
      <w:r>
        <w:rPr>
          <w:rFonts w:ascii="Times New Roman" w:eastAsia="方正仿宋_GBK" w:hAnsi="Times New Roman" w:cs="Times New Roman"/>
          <w:color w:val="auto"/>
          <w:sz w:val="33"/>
          <w:szCs w:val="33"/>
        </w:rPr>
        <w:t>教社会保障和就业</w:t>
      </w:r>
      <w:r>
        <w:rPr>
          <w:rFonts w:ascii="Times New Roman" w:eastAsia="方正仿宋_GBK" w:hAnsi="Times New Roman" w:cs="Times New Roman"/>
          <w:color w:val="auto"/>
          <w:sz w:val="33"/>
          <w:szCs w:val="33"/>
        </w:rPr>
        <w:t>（类）</w:t>
      </w:r>
      <w:r>
        <w:rPr>
          <w:rFonts w:ascii="Times New Roman" w:eastAsia="方正仿宋_GBK" w:hAnsi="Times New Roman" w:cs="Times New Roman"/>
          <w:color w:val="auto"/>
          <w:sz w:val="33"/>
          <w:szCs w:val="33"/>
        </w:rPr>
        <w:t>行政事业单位养老（款）机关事业单位基本养老保险缴费（项）：支出决算数为</w:t>
      </w:r>
      <w:r>
        <w:rPr>
          <w:rFonts w:ascii="Times New Roman" w:eastAsia="方正仿宋_GBK" w:hAnsi="Times New Roman" w:cs="Times New Roman"/>
          <w:color w:val="auto"/>
          <w:sz w:val="33"/>
          <w:szCs w:val="33"/>
        </w:rPr>
        <w:t>27.68</w:t>
      </w:r>
      <w:r>
        <w:rPr>
          <w:rFonts w:ascii="Times New Roman" w:eastAsia="方正仿宋_GBK" w:hAnsi="Times New Roman" w:cs="Times New Roman"/>
          <w:color w:val="auto"/>
          <w:sz w:val="33"/>
          <w:szCs w:val="33"/>
        </w:rPr>
        <w:t>万元；（</w:t>
      </w:r>
      <w:r>
        <w:rPr>
          <w:rFonts w:ascii="Times New Roman" w:eastAsia="方正仿宋_GBK" w:hAnsi="Times New Roman" w:cs="Times New Roman"/>
          <w:color w:val="auto"/>
          <w:sz w:val="33"/>
          <w:szCs w:val="33"/>
        </w:rPr>
        <w:t>2</w:t>
      </w:r>
      <w:r>
        <w:rPr>
          <w:rFonts w:ascii="Times New Roman" w:eastAsia="方正仿宋_GBK" w:hAnsi="Times New Roman" w:cs="Times New Roman"/>
          <w:color w:val="auto"/>
          <w:sz w:val="33"/>
          <w:szCs w:val="33"/>
        </w:rPr>
        <w:t>）教社会保障和就业（类）行政事业单位养老（款）机关事业单位职业年金缴费（项）：支出决算数为</w:t>
      </w:r>
      <w:r>
        <w:rPr>
          <w:rFonts w:ascii="Times New Roman" w:eastAsia="方正仿宋_GBK" w:hAnsi="Times New Roman" w:cs="Times New Roman"/>
          <w:color w:val="auto"/>
          <w:sz w:val="33"/>
          <w:szCs w:val="33"/>
        </w:rPr>
        <w:t>0.14</w:t>
      </w:r>
      <w:r>
        <w:rPr>
          <w:rFonts w:ascii="Times New Roman" w:eastAsia="方正仿宋_GBK" w:hAnsi="Times New Roman" w:cs="Times New Roman"/>
          <w:color w:val="auto"/>
          <w:sz w:val="33"/>
          <w:szCs w:val="33"/>
        </w:rPr>
        <w:t>万元；（</w:t>
      </w:r>
      <w:r>
        <w:rPr>
          <w:rFonts w:ascii="Times New Roman" w:eastAsia="方正仿宋_GBK" w:hAnsi="Times New Roman" w:cs="Times New Roman"/>
          <w:color w:val="auto"/>
          <w:sz w:val="33"/>
          <w:szCs w:val="33"/>
        </w:rPr>
        <w:t>3</w:t>
      </w:r>
      <w:r>
        <w:rPr>
          <w:rFonts w:ascii="Times New Roman" w:eastAsia="方正仿宋_GBK" w:hAnsi="Times New Roman" w:cs="Times New Roman"/>
          <w:color w:val="auto"/>
          <w:sz w:val="33"/>
          <w:szCs w:val="33"/>
        </w:rPr>
        <w:t>）教社会保障和就业（类）行政事业单位养老（款）事业单位离退休（项）：支出决算数为</w:t>
      </w:r>
      <w:r>
        <w:rPr>
          <w:rFonts w:ascii="Times New Roman" w:eastAsia="方正仿宋_GBK" w:hAnsi="Times New Roman" w:cs="Times New Roman"/>
          <w:color w:val="auto"/>
          <w:sz w:val="33"/>
          <w:szCs w:val="33"/>
        </w:rPr>
        <w:t>4.33</w:t>
      </w:r>
      <w:r>
        <w:rPr>
          <w:rFonts w:ascii="Times New Roman" w:eastAsia="方正仿宋_GBK" w:hAnsi="Times New Roman" w:cs="Times New Roman"/>
          <w:color w:val="auto"/>
          <w:sz w:val="33"/>
          <w:szCs w:val="33"/>
        </w:rPr>
        <w:t>万元；（</w:t>
      </w:r>
      <w:r>
        <w:rPr>
          <w:rFonts w:ascii="Times New Roman" w:eastAsia="方正仿宋_GBK" w:hAnsi="Times New Roman" w:cs="Times New Roman"/>
          <w:color w:val="auto"/>
          <w:sz w:val="33"/>
          <w:szCs w:val="33"/>
        </w:rPr>
        <w:t>4</w:t>
      </w:r>
      <w:r>
        <w:rPr>
          <w:rFonts w:ascii="Times New Roman" w:eastAsia="方正仿宋_GBK" w:hAnsi="Times New Roman" w:cs="Times New Roman"/>
          <w:color w:val="auto"/>
          <w:sz w:val="33"/>
          <w:szCs w:val="33"/>
        </w:rPr>
        <w:t>）教社会保障和就业（类）行政事业单位养老（款）行政单位离退休（项）：支出决算数为</w:t>
      </w:r>
      <w:r>
        <w:rPr>
          <w:rFonts w:ascii="Times New Roman" w:eastAsia="方正仿宋_GBK" w:hAnsi="Times New Roman" w:cs="Times New Roman"/>
          <w:color w:val="auto"/>
          <w:sz w:val="33"/>
          <w:szCs w:val="33"/>
        </w:rPr>
        <w:t>11.94</w:t>
      </w:r>
      <w:r>
        <w:rPr>
          <w:rFonts w:ascii="Times New Roman" w:eastAsia="方正仿宋_GBK" w:hAnsi="Times New Roman" w:cs="Times New Roman"/>
          <w:color w:val="auto"/>
          <w:sz w:val="33"/>
          <w:szCs w:val="33"/>
        </w:rPr>
        <w:t>万元；</w:t>
      </w:r>
    </w:p>
    <w:p w:rsidR="00C53AD4" w:rsidRDefault="001C3CD3">
      <w:pPr>
        <w:pStyle w:val="Default"/>
        <w:spacing w:line="576" w:lineRule="exact"/>
        <w:ind w:firstLineChars="200" w:firstLine="663"/>
        <w:jc w:val="both"/>
        <w:rPr>
          <w:rFonts w:ascii="Times New Roman" w:eastAsia="方正仿宋_GBK" w:hAnsi="Times New Roman" w:cs="Times New Roman"/>
          <w:color w:val="auto"/>
          <w:sz w:val="33"/>
          <w:szCs w:val="33"/>
        </w:rPr>
      </w:pPr>
      <w:r>
        <w:rPr>
          <w:rFonts w:ascii="Times New Roman" w:eastAsia="方正仿宋_GBK" w:hAnsi="Times New Roman" w:cs="Times New Roman"/>
          <w:b/>
          <w:bCs/>
          <w:color w:val="auto"/>
          <w:sz w:val="33"/>
          <w:szCs w:val="33"/>
        </w:rPr>
        <w:t>4.</w:t>
      </w:r>
      <w:r>
        <w:rPr>
          <w:rFonts w:ascii="Times New Roman" w:eastAsia="方正仿宋_GBK" w:hAnsi="Times New Roman" w:cs="Times New Roman"/>
          <w:b/>
          <w:bCs/>
          <w:color w:val="auto"/>
          <w:sz w:val="33"/>
          <w:szCs w:val="33"/>
        </w:rPr>
        <w:t>卫生健康</w:t>
      </w:r>
      <w:r>
        <w:rPr>
          <w:rFonts w:ascii="Times New Roman" w:eastAsia="方正仿宋_GBK" w:hAnsi="Times New Roman" w:cs="Times New Roman"/>
          <w:b/>
          <w:bCs/>
          <w:color w:val="auto"/>
          <w:sz w:val="33"/>
          <w:szCs w:val="33"/>
        </w:rPr>
        <w:t>:</w:t>
      </w:r>
      <w:r>
        <w:rPr>
          <w:rFonts w:ascii="Times New Roman" w:eastAsia="方正仿宋_GBK" w:hAnsi="Times New Roman" w:cs="Times New Roman"/>
          <w:color w:val="auto"/>
          <w:sz w:val="33"/>
          <w:szCs w:val="33"/>
        </w:rPr>
        <w:t>支出决算为</w:t>
      </w:r>
      <w:r>
        <w:rPr>
          <w:rFonts w:ascii="Times New Roman" w:eastAsia="方正仿宋_GBK" w:hAnsi="Times New Roman" w:cs="Times New Roman"/>
          <w:color w:val="auto"/>
          <w:sz w:val="33"/>
          <w:szCs w:val="33"/>
        </w:rPr>
        <w:t>21.</w:t>
      </w:r>
      <w:r>
        <w:rPr>
          <w:rFonts w:ascii="Times New Roman" w:eastAsia="方正仿宋_GBK" w:hAnsi="Times New Roman" w:cs="Times New Roman"/>
          <w:color w:val="auto"/>
          <w:sz w:val="33"/>
          <w:szCs w:val="33"/>
        </w:rPr>
        <w:t>98</w:t>
      </w:r>
      <w:r>
        <w:rPr>
          <w:rFonts w:ascii="Times New Roman" w:eastAsia="方正仿宋_GBK" w:hAnsi="Times New Roman" w:cs="Times New Roman"/>
          <w:color w:val="auto"/>
          <w:sz w:val="33"/>
          <w:szCs w:val="33"/>
        </w:rPr>
        <w:t>万元，完成预算</w:t>
      </w:r>
      <w:r>
        <w:rPr>
          <w:rFonts w:ascii="Times New Roman" w:eastAsia="方正仿宋_GBK" w:hAnsi="Times New Roman" w:cs="Times New Roman"/>
          <w:color w:val="auto"/>
          <w:sz w:val="33"/>
          <w:szCs w:val="33"/>
        </w:rPr>
        <w:t>100</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其中：（</w:t>
      </w:r>
      <w:r>
        <w:rPr>
          <w:rFonts w:ascii="Times New Roman" w:eastAsia="方正仿宋_GBK" w:hAnsi="Times New Roman" w:cs="Times New Roman"/>
          <w:color w:val="auto"/>
          <w:sz w:val="33"/>
          <w:szCs w:val="33"/>
        </w:rPr>
        <w:t>1</w:t>
      </w:r>
      <w:r>
        <w:rPr>
          <w:rFonts w:ascii="Times New Roman" w:eastAsia="方正仿宋_GBK" w:hAnsi="Times New Roman" w:cs="Times New Roman"/>
          <w:color w:val="auto"/>
          <w:sz w:val="33"/>
          <w:szCs w:val="33"/>
        </w:rPr>
        <w:t>）卫生健康</w:t>
      </w:r>
      <w:r>
        <w:rPr>
          <w:rFonts w:ascii="Times New Roman" w:eastAsia="方正仿宋_GBK" w:hAnsi="Times New Roman" w:cs="Times New Roman"/>
          <w:color w:val="auto"/>
          <w:sz w:val="33"/>
          <w:szCs w:val="33"/>
        </w:rPr>
        <w:t>（类）</w:t>
      </w:r>
      <w:r>
        <w:rPr>
          <w:rFonts w:ascii="Times New Roman" w:eastAsia="方正仿宋_GBK" w:hAnsi="Times New Roman" w:cs="Times New Roman"/>
          <w:color w:val="auto"/>
          <w:sz w:val="33"/>
          <w:szCs w:val="33"/>
        </w:rPr>
        <w:t>行政事业单位医疗（款）事业单位医疗（项）：支出决算数为</w:t>
      </w:r>
      <w:r>
        <w:rPr>
          <w:rFonts w:ascii="Times New Roman" w:eastAsia="方正仿宋_GBK" w:hAnsi="Times New Roman" w:cs="Times New Roman"/>
          <w:color w:val="auto"/>
          <w:sz w:val="33"/>
          <w:szCs w:val="33"/>
        </w:rPr>
        <w:t>5.38</w:t>
      </w:r>
      <w:r>
        <w:rPr>
          <w:rFonts w:ascii="Times New Roman" w:eastAsia="方正仿宋_GBK" w:hAnsi="Times New Roman" w:cs="Times New Roman"/>
          <w:color w:val="auto"/>
          <w:sz w:val="33"/>
          <w:szCs w:val="33"/>
        </w:rPr>
        <w:t>万元；（</w:t>
      </w:r>
      <w:r>
        <w:rPr>
          <w:rFonts w:ascii="Times New Roman" w:eastAsia="方正仿宋_GBK" w:hAnsi="Times New Roman" w:cs="Times New Roman"/>
          <w:color w:val="auto"/>
          <w:sz w:val="33"/>
          <w:szCs w:val="33"/>
        </w:rPr>
        <w:t>2</w:t>
      </w:r>
      <w:r>
        <w:rPr>
          <w:rFonts w:ascii="Times New Roman" w:eastAsia="方正仿宋_GBK" w:hAnsi="Times New Roman" w:cs="Times New Roman"/>
          <w:color w:val="auto"/>
          <w:sz w:val="33"/>
          <w:szCs w:val="33"/>
        </w:rPr>
        <w:t>）卫生健康</w:t>
      </w:r>
      <w:r>
        <w:rPr>
          <w:rFonts w:ascii="Times New Roman" w:eastAsia="方正仿宋_GBK" w:hAnsi="Times New Roman" w:cs="Times New Roman"/>
          <w:color w:val="auto"/>
          <w:sz w:val="33"/>
          <w:szCs w:val="33"/>
        </w:rPr>
        <w:t>（类）</w:t>
      </w:r>
      <w:r>
        <w:rPr>
          <w:rFonts w:ascii="Times New Roman" w:eastAsia="方正仿宋_GBK" w:hAnsi="Times New Roman" w:cs="Times New Roman"/>
          <w:color w:val="auto"/>
          <w:sz w:val="33"/>
          <w:szCs w:val="33"/>
        </w:rPr>
        <w:t>行政事业单位医疗（款）其他行政事业单位医疗（项）：支出决算数为</w:t>
      </w:r>
      <w:r>
        <w:rPr>
          <w:rFonts w:ascii="Times New Roman" w:eastAsia="方正仿宋_GBK" w:hAnsi="Times New Roman" w:cs="Times New Roman"/>
          <w:color w:val="auto"/>
          <w:sz w:val="33"/>
          <w:szCs w:val="33"/>
        </w:rPr>
        <w:t>7.43</w:t>
      </w:r>
      <w:r>
        <w:rPr>
          <w:rFonts w:ascii="Times New Roman" w:eastAsia="方正仿宋_GBK" w:hAnsi="Times New Roman" w:cs="Times New Roman"/>
          <w:color w:val="auto"/>
          <w:sz w:val="33"/>
          <w:szCs w:val="33"/>
        </w:rPr>
        <w:t>万元；（</w:t>
      </w:r>
      <w:r>
        <w:rPr>
          <w:rFonts w:ascii="Times New Roman" w:eastAsia="方正仿宋_GBK" w:hAnsi="Times New Roman" w:cs="Times New Roman"/>
          <w:color w:val="auto"/>
          <w:sz w:val="33"/>
          <w:szCs w:val="33"/>
        </w:rPr>
        <w:t>3</w:t>
      </w:r>
      <w:r>
        <w:rPr>
          <w:rFonts w:ascii="Times New Roman" w:eastAsia="方正仿宋_GBK" w:hAnsi="Times New Roman" w:cs="Times New Roman"/>
          <w:color w:val="auto"/>
          <w:sz w:val="33"/>
          <w:szCs w:val="33"/>
        </w:rPr>
        <w:t>）卫生健康</w:t>
      </w:r>
      <w:r>
        <w:rPr>
          <w:rFonts w:ascii="Times New Roman" w:eastAsia="方正仿宋_GBK" w:hAnsi="Times New Roman" w:cs="Times New Roman"/>
          <w:color w:val="auto"/>
          <w:sz w:val="33"/>
          <w:szCs w:val="33"/>
        </w:rPr>
        <w:t>（类）</w:t>
      </w:r>
      <w:r>
        <w:rPr>
          <w:rFonts w:ascii="Times New Roman" w:eastAsia="方正仿宋_GBK" w:hAnsi="Times New Roman" w:cs="Times New Roman"/>
          <w:color w:val="auto"/>
          <w:sz w:val="33"/>
          <w:szCs w:val="33"/>
        </w:rPr>
        <w:t>行政事业单位医疗（款）行政单位医疗（项）：支出决算数为</w:t>
      </w:r>
      <w:r>
        <w:rPr>
          <w:rFonts w:ascii="Times New Roman" w:eastAsia="方正仿宋_GBK" w:hAnsi="Times New Roman" w:cs="Times New Roman"/>
          <w:color w:val="auto"/>
          <w:sz w:val="33"/>
          <w:szCs w:val="33"/>
        </w:rPr>
        <w:t>8.29</w:t>
      </w:r>
      <w:r>
        <w:rPr>
          <w:rFonts w:ascii="Times New Roman" w:eastAsia="方正仿宋_GBK" w:hAnsi="Times New Roman" w:cs="Times New Roman"/>
          <w:color w:val="auto"/>
          <w:sz w:val="33"/>
          <w:szCs w:val="33"/>
        </w:rPr>
        <w:t>万元；（</w:t>
      </w:r>
      <w:r>
        <w:rPr>
          <w:rFonts w:ascii="Times New Roman" w:eastAsia="方正仿宋_GBK" w:hAnsi="Times New Roman" w:cs="Times New Roman"/>
          <w:color w:val="auto"/>
          <w:sz w:val="33"/>
          <w:szCs w:val="33"/>
        </w:rPr>
        <w:t>4</w:t>
      </w:r>
      <w:r>
        <w:rPr>
          <w:rFonts w:ascii="Times New Roman" w:eastAsia="方正仿宋_GBK" w:hAnsi="Times New Roman" w:cs="Times New Roman"/>
          <w:color w:val="auto"/>
          <w:sz w:val="33"/>
          <w:szCs w:val="33"/>
        </w:rPr>
        <w:t>）卫生健康</w:t>
      </w:r>
      <w:r>
        <w:rPr>
          <w:rFonts w:ascii="Times New Roman" w:eastAsia="方正仿宋_GBK" w:hAnsi="Times New Roman" w:cs="Times New Roman"/>
          <w:color w:val="auto"/>
          <w:sz w:val="33"/>
          <w:szCs w:val="33"/>
        </w:rPr>
        <w:t>（类）</w:t>
      </w:r>
      <w:r>
        <w:rPr>
          <w:rFonts w:ascii="Times New Roman" w:eastAsia="方正仿宋_GBK" w:hAnsi="Times New Roman" w:cs="Times New Roman"/>
          <w:color w:val="auto"/>
          <w:sz w:val="33"/>
          <w:szCs w:val="33"/>
        </w:rPr>
        <w:t>行政事业单位医疗（款）公务员医疗补助（项）：支出决算数为</w:t>
      </w:r>
      <w:r>
        <w:rPr>
          <w:rFonts w:ascii="Times New Roman" w:eastAsia="方正仿宋_GBK" w:hAnsi="Times New Roman" w:cs="Times New Roman"/>
          <w:color w:val="auto"/>
          <w:sz w:val="33"/>
          <w:szCs w:val="33"/>
        </w:rPr>
        <w:t>0.88</w:t>
      </w:r>
      <w:r>
        <w:rPr>
          <w:rFonts w:ascii="Times New Roman" w:eastAsia="方正仿宋_GBK" w:hAnsi="Times New Roman" w:cs="Times New Roman"/>
          <w:color w:val="auto"/>
          <w:sz w:val="33"/>
          <w:szCs w:val="33"/>
        </w:rPr>
        <w:t>万元。</w:t>
      </w:r>
    </w:p>
    <w:p w:rsidR="00C53AD4" w:rsidRDefault="001C3CD3">
      <w:pPr>
        <w:pStyle w:val="Default"/>
        <w:spacing w:line="576" w:lineRule="exact"/>
        <w:ind w:firstLineChars="200" w:firstLine="663"/>
        <w:jc w:val="both"/>
        <w:rPr>
          <w:rFonts w:ascii="Times New Roman" w:eastAsia="方正仿宋_GBK" w:hAnsi="Times New Roman" w:cs="Times New Roman"/>
          <w:color w:val="auto"/>
          <w:sz w:val="33"/>
          <w:szCs w:val="33"/>
        </w:rPr>
      </w:pPr>
      <w:r>
        <w:rPr>
          <w:rFonts w:ascii="Times New Roman" w:eastAsia="方正仿宋_GBK" w:hAnsi="Times New Roman" w:cs="Times New Roman"/>
          <w:b/>
          <w:bCs/>
          <w:color w:val="auto"/>
          <w:sz w:val="33"/>
          <w:szCs w:val="33"/>
        </w:rPr>
        <w:lastRenderedPageBreak/>
        <w:t>5.</w:t>
      </w:r>
      <w:r>
        <w:rPr>
          <w:rFonts w:ascii="Times New Roman" w:eastAsia="方正仿宋_GBK" w:hAnsi="Times New Roman" w:cs="Times New Roman"/>
          <w:b/>
          <w:bCs/>
          <w:color w:val="auto"/>
          <w:sz w:val="33"/>
          <w:szCs w:val="33"/>
        </w:rPr>
        <w:t>住房保障</w:t>
      </w:r>
      <w:r>
        <w:rPr>
          <w:rFonts w:ascii="Times New Roman" w:eastAsia="方正仿宋_GBK" w:hAnsi="Times New Roman" w:cs="Times New Roman"/>
          <w:b/>
          <w:bCs/>
          <w:color w:val="auto"/>
          <w:sz w:val="33"/>
          <w:szCs w:val="33"/>
        </w:rPr>
        <w:t>:</w:t>
      </w:r>
      <w:r>
        <w:rPr>
          <w:rFonts w:ascii="Times New Roman" w:eastAsia="方正仿宋_GBK" w:hAnsi="Times New Roman" w:cs="Times New Roman"/>
          <w:color w:val="auto"/>
          <w:sz w:val="33"/>
          <w:szCs w:val="33"/>
        </w:rPr>
        <w:t>支出决算为</w:t>
      </w:r>
      <w:r>
        <w:rPr>
          <w:rFonts w:ascii="Times New Roman" w:eastAsia="方正仿宋_GBK" w:hAnsi="Times New Roman" w:cs="Times New Roman"/>
          <w:color w:val="auto"/>
          <w:sz w:val="33"/>
          <w:szCs w:val="33"/>
        </w:rPr>
        <w:t>20.26</w:t>
      </w:r>
      <w:r>
        <w:rPr>
          <w:rFonts w:ascii="Times New Roman" w:eastAsia="方正仿宋_GBK" w:hAnsi="Times New Roman" w:cs="Times New Roman"/>
          <w:color w:val="auto"/>
          <w:sz w:val="33"/>
          <w:szCs w:val="33"/>
        </w:rPr>
        <w:t>万元，完成预算</w:t>
      </w:r>
      <w:r>
        <w:rPr>
          <w:rFonts w:ascii="Times New Roman" w:eastAsia="方正仿宋_GBK" w:hAnsi="Times New Roman" w:cs="Times New Roman"/>
          <w:color w:val="auto"/>
          <w:sz w:val="33"/>
          <w:szCs w:val="33"/>
        </w:rPr>
        <w:t>100</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其中：住房保障</w:t>
      </w:r>
      <w:r>
        <w:rPr>
          <w:rFonts w:ascii="Times New Roman" w:eastAsia="方正仿宋_GBK" w:hAnsi="Times New Roman" w:cs="Times New Roman"/>
          <w:color w:val="auto"/>
          <w:sz w:val="33"/>
          <w:szCs w:val="33"/>
        </w:rPr>
        <w:t>（类）</w:t>
      </w:r>
      <w:r>
        <w:rPr>
          <w:rFonts w:ascii="Times New Roman" w:eastAsia="方正仿宋_GBK" w:hAnsi="Times New Roman" w:cs="Times New Roman"/>
          <w:color w:val="auto"/>
          <w:sz w:val="33"/>
          <w:szCs w:val="33"/>
        </w:rPr>
        <w:t>住房改革（款）住房公积金（项）：支出决算数为</w:t>
      </w:r>
      <w:r>
        <w:rPr>
          <w:rFonts w:ascii="Times New Roman" w:eastAsia="方正仿宋_GBK" w:hAnsi="Times New Roman" w:cs="Times New Roman"/>
          <w:color w:val="auto"/>
          <w:sz w:val="33"/>
          <w:szCs w:val="33"/>
        </w:rPr>
        <w:t>20.26</w:t>
      </w:r>
      <w:r>
        <w:rPr>
          <w:rFonts w:ascii="Times New Roman" w:eastAsia="方正仿宋_GBK" w:hAnsi="Times New Roman" w:cs="Times New Roman"/>
          <w:color w:val="auto"/>
          <w:sz w:val="33"/>
          <w:szCs w:val="33"/>
        </w:rPr>
        <w:t>万元</w:t>
      </w:r>
      <w:r>
        <w:rPr>
          <w:rFonts w:ascii="Times New Roman" w:eastAsia="方正仿宋_GBK" w:hAnsi="Times New Roman" w:cs="Times New Roman"/>
          <w:color w:val="auto"/>
          <w:sz w:val="33"/>
          <w:szCs w:val="33"/>
        </w:rPr>
        <w:t>.</w:t>
      </w:r>
    </w:p>
    <w:p w:rsidR="00C53AD4" w:rsidRDefault="001C3CD3">
      <w:pPr>
        <w:tabs>
          <w:tab w:val="right" w:pos="8306"/>
        </w:tabs>
        <w:spacing w:line="576" w:lineRule="exact"/>
        <w:ind w:firstLine="640"/>
        <w:outlineLvl w:val="1"/>
        <w:rPr>
          <w:rFonts w:ascii="方正黑体_GBK" w:eastAsia="方正黑体_GBK" w:hAnsi="方正黑体_GBK" w:cs="方正黑体_GBK"/>
          <w:sz w:val="33"/>
          <w:szCs w:val="33"/>
        </w:rPr>
      </w:pPr>
      <w:bookmarkStart w:id="35" w:name="_Toc15377214"/>
      <w:bookmarkStart w:id="36" w:name="_Toc15396608"/>
      <w:r>
        <w:rPr>
          <w:rFonts w:ascii="方正黑体_GBK" w:eastAsia="方正黑体_GBK" w:hAnsi="方正黑体_GBK" w:cs="方正黑体_GBK"/>
          <w:sz w:val="33"/>
          <w:szCs w:val="33"/>
        </w:rPr>
        <w:t>六、一般公共预算财政拨款基本支出决算情况说明</w:t>
      </w:r>
      <w:bookmarkEnd w:id="35"/>
      <w:bookmarkEnd w:id="36"/>
      <w:r>
        <w:rPr>
          <w:rFonts w:ascii="方正黑体_GBK" w:eastAsia="方正黑体_GBK" w:hAnsi="方正黑体_GBK" w:cs="方正黑体_GBK"/>
          <w:sz w:val="33"/>
          <w:szCs w:val="33"/>
        </w:rPr>
        <w:tab/>
      </w:r>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2023</w:t>
      </w:r>
      <w:r>
        <w:rPr>
          <w:rFonts w:ascii="Times New Roman" w:eastAsia="方正仿宋_GBK" w:hAnsi="Times New Roman" w:cs="Times New Roman"/>
          <w:color w:val="auto"/>
          <w:sz w:val="33"/>
          <w:szCs w:val="33"/>
        </w:rPr>
        <w:t>年度一般公共预算财政拨款基本支出</w:t>
      </w:r>
      <w:r>
        <w:rPr>
          <w:rFonts w:ascii="Times New Roman" w:eastAsia="方正仿宋_GBK" w:hAnsi="Times New Roman" w:cs="Times New Roman"/>
          <w:color w:val="auto"/>
          <w:sz w:val="33"/>
          <w:szCs w:val="33"/>
        </w:rPr>
        <w:t>420.07</w:t>
      </w:r>
      <w:r>
        <w:rPr>
          <w:rFonts w:ascii="Times New Roman" w:eastAsia="方正仿宋_GBK" w:hAnsi="Times New Roman" w:cs="Times New Roman"/>
          <w:color w:val="auto"/>
          <w:sz w:val="33"/>
          <w:szCs w:val="33"/>
        </w:rPr>
        <w:t>万元，其中：人员经费</w:t>
      </w:r>
      <w:r>
        <w:rPr>
          <w:rFonts w:ascii="Times New Roman" w:eastAsia="方正仿宋_GBK" w:hAnsi="Times New Roman" w:cs="Times New Roman"/>
          <w:color w:val="auto"/>
          <w:sz w:val="33"/>
          <w:szCs w:val="33"/>
        </w:rPr>
        <w:t>276.9</w:t>
      </w:r>
      <w:r>
        <w:rPr>
          <w:rFonts w:ascii="Times New Roman" w:eastAsia="方正仿宋_GBK" w:hAnsi="Times New Roman" w:cs="Times New Roman"/>
          <w:color w:val="auto"/>
          <w:sz w:val="33"/>
          <w:szCs w:val="33"/>
        </w:rPr>
        <w:t>7</w:t>
      </w:r>
      <w:r>
        <w:rPr>
          <w:rFonts w:ascii="Times New Roman" w:eastAsia="方正仿宋_GBK" w:hAnsi="Times New Roman" w:cs="Times New Roman"/>
          <w:color w:val="auto"/>
          <w:sz w:val="33"/>
          <w:szCs w:val="33"/>
        </w:rPr>
        <w:t>万元，主要包括：基本工资、津贴补贴、奖金、绩效工资、机关事业单位基本养老保险缴费、职业年金缴费、</w:t>
      </w:r>
      <w:r>
        <w:rPr>
          <w:rFonts w:ascii="Times New Roman" w:eastAsia="方正仿宋_GBK" w:hAnsi="Times New Roman" w:cs="Times New Roman"/>
          <w:color w:val="auto"/>
          <w:sz w:val="33"/>
          <w:szCs w:val="33"/>
        </w:rPr>
        <w:t>职工基本医疗保险经费、公务员医疗补助经费、</w:t>
      </w:r>
      <w:r>
        <w:rPr>
          <w:rFonts w:ascii="Times New Roman" w:eastAsia="方正仿宋_GBK" w:hAnsi="Times New Roman" w:cs="Times New Roman"/>
          <w:color w:val="auto"/>
          <w:sz w:val="33"/>
          <w:szCs w:val="33"/>
        </w:rPr>
        <w:t>其他社会保障缴费、</w:t>
      </w:r>
      <w:r>
        <w:rPr>
          <w:rFonts w:ascii="Times New Roman" w:eastAsia="方正仿宋_GBK" w:hAnsi="Times New Roman" w:cs="Times New Roman"/>
          <w:color w:val="auto"/>
          <w:sz w:val="33"/>
          <w:szCs w:val="33"/>
        </w:rPr>
        <w:t>住房公积金、医疗费、</w:t>
      </w:r>
      <w:r>
        <w:rPr>
          <w:rFonts w:ascii="Times New Roman" w:eastAsia="方正仿宋_GBK" w:hAnsi="Times New Roman" w:cs="Times New Roman"/>
          <w:color w:val="auto"/>
          <w:sz w:val="33"/>
          <w:szCs w:val="33"/>
        </w:rPr>
        <w:t>其他工资福利支出、生活补助、医疗费补助、奖励金。</w:t>
      </w:r>
      <w:r>
        <w:rPr>
          <w:rFonts w:ascii="Times New Roman" w:eastAsia="方正仿宋_GBK" w:hAnsi="Times New Roman" w:cs="Times New Roman"/>
          <w:color w:val="auto"/>
          <w:sz w:val="33"/>
          <w:szCs w:val="33"/>
        </w:rPr>
        <w:br/>
      </w:r>
      <w:r>
        <w:rPr>
          <w:rFonts w:ascii="Times New Roman" w:eastAsia="方正仿宋_GBK" w:hAnsi="Times New Roman" w:cs="Times New Roman"/>
          <w:color w:val="auto"/>
          <w:sz w:val="33"/>
          <w:szCs w:val="33"/>
        </w:rPr>
        <w:t xml:space="preserve">　　公用经费</w:t>
      </w:r>
      <w:r>
        <w:rPr>
          <w:rFonts w:ascii="Times New Roman" w:eastAsia="方正仿宋_GBK" w:hAnsi="Times New Roman" w:cs="Times New Roman"/>
          <w:color w:val="auto"/>
          <w:sz w:val="33"/>
          <w:szCs w:val="33"/>
        </w:rPr>
        <w:t>143.1</w:t>
      </w:r>
      <w:r>
        <w:rPr>
          <w:rFonts w:ascii="Times New Roman" w:eastAsia="方正仿宋_GBK" w:hAnsi="Times New Roman" w:cs="Times New Roman"/>
          <w:color w:val="auto"/>
          <w:sz w:val="33"/>
          <w:szCs w:val="33"/>
        </w:rPr>
        <w:t>万元，主要包括：办公费、水费、差旅费、维修（护）费、培训费、工会经费、</w:t>
      </w:r>
      <w:r>
        <w:rPr>
          <w:rFonts w:ascii="Times New Roman" w:eastAsia="方正仿宋_GBK" w:hAnsi="Times New Roman" w:cs="Times New Roman"/>
          <w:color w:val="auto"/>
          <w:sz w:val="33"/>
          <w:szCs w:val="33"/>
        </w:rPr>
        <w:t>福利费、公务用车运行维护费、其他交通费、其他商品和服务支出、其他资本性支出等。</w:t>
      </w:r>
    </w:p>
    <w:p w:rsidR="00C53AD4" w:rsidRDefault="001C3CD3">
      <w:pPr>
        <w:pStyle w:val="11"/>
        <w:spacing w:line="576" w:lineRule="exact"/>
        <w:ind w:firstLine="660"/>
        <w:outlineLvl w:val="1"/>
        <w:rPr>
          <w:rFonts w:ascii="方正黑体_GBK" w:eastAsia="方正黑体_GBK" w:hAnsi="方正黑体_GBK" w:cs="方正黑体_GBK"/>
          <w:sz w:val="33"/>
          <w:szCs w:val="33"/>
        </w:rPr>
      </w:pPr>
      <w:bookmarkStart w:id="37" w:name="_Toc15377215"/>
      <w:bookmarkStart w:id="38" w:name="_Toc15396609"/>
      <w:r>
        <w:rPr>
          <w:rFonts w:ascii="方正黑体_GBK" w:eastAsia="方正黑体_GBK" w:hAnsi="方正黑体_GBK" w:cs="方正黑体_GBK"/>
          <w:sz w:val="33"/>
          <w:szCs w:val="33"/>
        </w:rPr>
        <w:t>七、财政拨款</w:t>
      </w:r>
      <w:r>
        <w:rPr>
          <w:rFonts w:ascii="方正黑体_GBK" w:eastAsia="方正黑体_GBK" w:hAnsi="方正黑体_GBK" w:cs="方正黑体_GBK"/>
          <w:sz w:val="33"/>
          <w:szCs w:val="33"/>
        </w:rPr>
        <w:t>“</w:t>
      </w:r>
      <w:r>
        <w:rPr>
          <w:rFonts w:ascii="方正黑体_GBK" w:eastAsia="方正黑体_GBK" w:hAnsi="方正黑体_GBK" w:cs="方正黑体_GBK"/>
          <w:sz w:val="33"/>
          <w:szCs w:val="33"/>
        </w:rPr>
        <w:t>三公</w:t>
      </w:r>
      <w:r>
        <w:rPr>
          <w:rFonts w:ascii="方正黑体_GBK" w:eastAsia="方正黑体_GBK" w:hAnsi="方正黑体_GBK" w:cs="方正黑体_GBK"/>
          <w:sz w:val="33"/>
          <w:szCs w:val="33"/>
        </w:rPr>
        <w:t>”</w:t>
      </w:r>
      <w:r>
        <w:rPr>
          <w:rFonts w:ascii="方正黑体_GBK" w:eastAsia="方正黑体_GBK" w:hAnsi="方正黑体_GBK" w:cs="方正黑体_GBK"/>
          <w:sz w:val="33"/>
          <w:szCs w:val="33"/>
        </w:rPr>
        <w:t>经费支出决算情况说明</w:t>
      </w:r>
      <w:bookmarkEnd w:id="37"/>
      <w:bookmarkEnd w:id="38"/>
    </w:p>
    <w:p w:rsidR="00C53AD4" w:rsidRDefault="001C3CD3">
      <w:pPr>
        <w:pStyle w:val="Default"/>
        <w:spacing w:line="576" w:lineRule="exact"/>
        <w:ind w:firstLineChars="200" w:firstLine="663"/>
        <w:jc w:val="both"/>
        <w:rPr>
          <w:rFonts w:ascii="方正楷体_GBK" w:eastAsia="方正楷体_GBK" w:hAnsi="方正楷体_GBK" w:cs="方正楷体_GBK"/>
          <w:b/>
          <w:bCs/>
          <w:color w:val="auto"/>
          <w:sz w:val="33"/>
          <w:szCs w:val="33"/>
        </w:rPr>
      </w:pPr>
      <w:bookmarkStart w:id="39" w:name="_Toc15377216"/>
      <w:r>
        <w:rPr>
          <w:rFonts w:ascii="方正楷体_GBK" w:eastAsia="方正楷体_GBK" w:hAnsi="方正楷体_GBK" w:cs="方正楷体_GBK"/>
          <w:b/>
          <w:bCs/>
          <w:color w:val="auto"/>
          <w:sz w:val="33"/>
          <w:szCs w:val="33"/>
        </w:rPr>
        <w:t>（一）</w:t>
      </w:r>
      <w:r>
        <w:rPr>
          <w:rFonts w:ascii="方正楷体_GBK" w:eastAsia="方正楷体_GBK" w:hAnsi="方正楷体_GBK" w:cs="方正楷体_GBK"/>
          <w:b/>
          <w:bCs/>
          <w:color w:val="auto"/>
          <w:sz w:val="33"/>
          <w:szCs w:val="33"/>
        </w:rPr>
        <w:t>“</w:t>
      </w:r>
      <w:r>
        <w:rPr>
          <w:rFonts w:ascii="方正楷体_GBK" w:eastAsia="方正楷体_GBK" w:hAnsi="方正楷体_GBK" w:cs="方正楷体_GBK"/>
          <w:b/>
          <w:bCs/>
          <w:color w:val="auto"/>
          <w:sz w:val="33"/>
          <w:szCs w:val="33"/>
        </w:rPr>
        <w:t>三公</w:t>
      </w:r>
      <w:r>
        <w:rPr>
          <w:rFonts w:ascii="方正楷体_GBK" w:eastAsia="方正楷体_GBK" w:hAnsi="方正楷体_GBK" w:cs="方正楷体_GBK"/>
          <w:b/>
          <w:bCs/>
          <w:color w:val="auto"/>
          <w:sz w:val="33"/>
          <w:szCs w:val="33"/>
        </w:rPr>
        <w:t>”</w:t>
      </w:r>
      <w:r>
        <w:rPr>
          <w:rFonts w:ascii="方正楷体_GBK" w:eastAsia="方正楷体_GBK" w:hAnsi="方正楷体_GBK" w:cs="方正楷体_GBK"/>
          <w:b/>
          <w:bCs/>
          <w:color w:val="auto"/>
          <w:sz w:val="33"/>
          <w:szCs w:val="33"/>
        </w:rPr>
        <w:t>经费财政拨款支出决算总体情况说明</w:t>
      </w:r>
      <w:bookmarkEnd w:id="39"/>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2023</w:t>
      </w:r>
      <w:r>
        <w:rPr>
          <w:rFonts w:ascii="Times New Roman" w:eastAsia="方正仿宋_GBK" w:hAnsi="Times New Roman" w:cs="Times New Roman"/>
          <w:color w:val="auto"/>
          <w:sz w:val="33"/>
          <w:szCs w:val="33"/>
        </w:rPr>
        <w:t>年度</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三公</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经费财政拨款支出决算为</w:t>
      </w:r>
      <w:r>
        <w:rPr>
          <w:rFonts w:ascii="Times New Roman" w:eastAsia="方正仿宋_GBK" w:hAnsi="Times New Roman" w:cs="Times New Roman"/>
          <w:color w:val="auto"/>
          <w:sz w:val="33"/>
          <w:szCs w:val="33"/>
        </w:rPr>
        <w:t>0.97</w:t>
      </w:r>
      <w:r>
        <w:rPr>
          <w:rFonts w:ascii="Times New Roman" w:eastAsia="方正仿宋_GBK" w:hAnsi="Times New Roman" w:cs="Times New Roman"/>
          <w:color w:val="auto"/>
          <w:sz w:val="33"/>
          <w:szCs w:val="33"/>
        </w:rPr>
        <w:t>万元，完成预算</w:t>
      </w:r>
      <w:r>
        <w:rPr>
          <w:rFonts w:ascii="Times New Roman" w:eastAsia="方正仿宋_GBK" w:hAnsi="Times New Roman" w:cs="Times New Roman"/>
          <w:color w:val="auto"/>
          <w:sz w:val="33"/>
          <w:szCs w:val="33"/>
        </w:rPr>
        <w:t>100%</w:t>
      </w:r>
      <w:r>
        <w:rPr>
          <w:rFonts w:ascii="Times New Roman" w:eastAsia="方正仿宋_GBK" w:hAnsi="Times New Roman" w:cs="Times New Roman"/>
          <w:color w:val="auto"/>
          <w:sz w:val="33"/>
          <w:szCs w:val="33"/>
        </w:rPr>
        <w:t>，较上年度增加</w:t>
      </w:r>
      <w:r>
        <w:rPr>
          <w:rFonts w:ascii="Times New Roman" w:eastAsia="方正仿宋_GBK" w:hAnsi="Times New Roman" w:cs="Times New Roman"/>
          <w:color w:val="auto"/>
          <w:sz w:val="33"/>
          <w:szCs w:val="33"/>
        </w:rPr>
        <w:t>0.54</w:t>
      </w:r>
      <w:r>
        <w:rPr>
          <w:rFonts w:ascii="Times New Roman" w:eastAsia="方正仿宋_GBK" w:hAnsi="Times New Roman" w:cs="Times New Roman"/>
          <w:color w:val="auto"/>
          <w:sz w:val="33"/>
          <w:szCs w:val="33"/>
        </w:rPr>
        <w:t>万元，增长</w:t>
      </w:r>
      <w:r>
        <w:rPr>
          <w:rFonts w:ascii="Times New Roman" w:eastAsia="方正仿宋_GBK" w:hAnsi="Times New Roman" w:cs="Times New Roman"/>
          <w:color w:val="auto"/>
          <w:sz w:val="33"/>
          <w:szCs w:val="33"/>
        </w:rPr>
        <w:t>128.57</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w:t>
      </w:r>
    </w:p>
    <w:p w:rsidR="00C53AD4" w:rsidRDefault="001C3CD3">
      <w:pPr>
        <w:pStyle w:val="Default"/>
        <w:spacing w:line="576" w:lineRule="exact"/>
        <w:ind w:firstLineChars="200" w:firstLine="663"/>
        <w:jc w:val="both"/>
        <w:rPr>
          <w:rFonts w:ascii="方正楷体_GBK" w:eastAsia="方正楷体_GBK" w:hAnsi="方正楷体_GBK" w:cs="方正楷体_GBK"/>
          <w:b/>
          <w:bCs/>
          <w:color w:val="auto"/>
          <w:sz w:val="33"/>
          <w:szCs w:val="33"/>
        </w:rPr>
      </w:pPr>
      <w:bookmarkStart w:id="40" w:name="_Toc15377217"/>
      <w:r>
        <w:rPr>
          <w:rFonts w:ascii="方正楷体_GBK" w:eastAsia="方正楷体_GBK" w:hAnsi="方正楷体_GBK" w:cs="方正楷体_GBK"/>
          <w:b/>
          <w:bCs/>
          <w:color w:val="auto"/>
          <w:sz w:val="33"/>
          <w:szCs w:val="33"/>
        </w:rPr>
        <w:t>（二）</w:t>
      </w:r>
      <w:r>
        <w:rPr>
          <w:rFonts w:ascii="方正楷体_GBK" w:eastAsia="方正楷体_GBK" w:hAnsi="方正楷体_GBK" w:cs="方正楷体_GBK"/>
          <w:b/>
          <w:bCs/>
          <w:color w:val="auto"/>
          <w:sz w:val="33"/>
          <w:szCs w:val="33"/>
        </w:rPr>
        <w:t>“</w:t>
      </w:r>
      <w:r>
        <w:rPr>
          <w:rFonts w:ascii="方正楷体_GBK" w:eastAsia="方正楷体_GBK" w:hAnsi="方正楷体_GBK" w:cs="方正楷体_GBK"/>
          <w:b/>
          <w:bCs/>
          <w:color w:val="auto"/>
          <w:sz w:val="33"/>
          <w:szCs w:val="33"/>
        </w:rPr>
        <w:t>三公</w:t>
      </w:r>
      <w:r>
        <w:rPr>
          <w:rFonts w:ascii="方正楷体_GBK" w:eastAsia="方正楷体_GBK" w:hAnsi="方正楷体_GBK" w:cs="方正楷体_GBK"/>
          <w:b/>
          <w:bCs/>
          <w:color w:val="auto"/>
          <w:sz w:val="33"/>
          <w:szCs w:val="33"/>
        </w:rPr>
        <w:t>”</w:t>
      </w:r>
      <w:r>
        <w:rPr>
          <w:rFonts w:ascii="方正楷体_GBK" w:eastAsia="方正楷体_GBK" w:hAnsi="方正楷体_GBK" w:cs="方正楷体_GBK"/>
          <w:b/>
          <w:bCs/>
          <w:color w:val="auto"/>
          <w:sz w:val="33"/>
          <w:szCs w:val="33"/>
        </w:rPr>
        <w:t>经费财政拨款支出决算具体情况说明</w:t>
      </w:r>
      <w:bookmarkEnd w:id="40"/>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2023</w:t>
      </w:r>
      <w:r>
        <w:rPr>
          <w:rFonts w:ascii="Times New Roman" w:eastAsia="方正仿宋_GBK" w:hAnsi="Times New Roman" w:cs="Times New Roman"/>
          <w:color w:val="auto"/>
          <w:sz w:val="33"/>
          <w:szCs w:val="33"/>
        </w:rPr>
        <w:t>年度</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三公</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经费财政拨款支出决算中，因公出国（境）费支出决算</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万元，占</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；公务用车购置及运行维护费支出决算</w:t>
      </w:r>
      <w:r>
        <w:rPr>
          <w:rFonts w:ascii="Times New Roman" w:eastAsia="方正仿宋_GBK" w:hAnsi="Times New Roman" w:cs="Times New Roman"/>
          <w:color w:val="auto"/>
          <w:sz w:val="33"/>
          <w:szCs w:val="33"/>
        </w:rPr>
        <w:t>0.97</w:t>
      </w:r>
      <w:r>
        <w:rPr>
          <w:rFonts w:ascii="Times New Roman" w:eastAsia="方正仿宋_GBK" w:hAnsi="Times New Roman" w:cs="Times New Roman"/>
          <w:color w:val="auto"/>
          <w:sz w:val="33"/>
          <w:szCs w:val="33"/>
        </w:rPr>
        <w:t>万元，占</w:t>
      </w:r>
      <w:r>
        <w:rPr>
          <w:rFonts w:ascii="Times New Roman" w:eastAsia="方正仿宋_GBK" w:hAnsi="Times New Roman" w:cs="Times New Roman"/>
          <w:color w:val="auto"/>
          <w:sz w:val="33"/>
          <w:szCs w:val="33"/>
        </w:rPr>
        <w:t>100%</w:t>
      </w:r>
      <w:r>
        <w:rPr>
          <w:rFonts w:ascii="Times New Roman" w:eastAsia="方正仿宋_GBK" w:hAnsi="Times New Roman" w:cs="Times New Roman"/>
          <w:color w:val="auto"/>
          <w:sz w:val="33"/>
          <w:szCs w:val="33"/>
        </w:rPr>
        <w:t>；公务接待费支出决算</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万元，占</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。具</w:t>
      </w:r>
      <w:r>
        <w:rPr>
          <w:rFonts w:ascii="Times New Roman" w:eastAsia="方正仿宋_GBK" w:hAnsi="Times New Roman" w:cs="Times New Roman"/>
          <w:color w:val="auto"/>
          <w:sz w:val="33"/>
          <w:szCs w:val="33"/>
        </w:rPr>
        <w:lastRenderedPageBreak/>
        <w:t>体情况如下：</w:t>
      </w:r>
    </w:p>
    <w:p w:rsidR="00C53AD4" w:rsidRDefault="001C3CD3">
      <w:pPr>
        <w:pStyle w:val="Default"/>
        <w:spacing w:line="576" w:lineRule="exact"/>
        <w:jc w:val="both"/>
        <w:rPr>
          <w:rFonts w:ascii="Times New Roman" w:eastAsia="方正仿宋_GBK" w:hAnsi="Times New Roman" w:cs="Times New Roman"/>
          <w:color w:val="auto"/>
          <w:sz w:val="33"/>
          <w:szCs w:val="33"/>
        </w:rPr>
      </w:pPr>
      <w:r>
        <w:rPr>
          <w:rFonts w:ascii="Times New Roman" w:eastAsia="方正仿宋_GBK" w:hAnsi="Times New Roman" w:cs="Times New Roman"/>
          <w:noProof/>
          <w:sz w:val="33"/>
          <w:szCs w:val="33"/>
        </w:rPr>
        <w:drawing>
          <wp:anchor distT="0" distB="0" distL="114300" distR="114300" simplePos="0" relativeHeight="251659264" behindDoc="0" locked="0" layoutInCell="1" allowOverlap="1">
            <wp:simplePos x="0" y="0"/>
            <wp:positionH relativeFrom="column">
              <wp:posOffset>351790</wp:posOffset>
            </wp:positionH>
            <wp:positionV relativeFrom="paragraph">
              <wp:posOffset>90805</wp:posOffset>
            </wp:positionV>
            <wp:extent cx="4572000" cy="2743200"/>
            <wp:effectExtent l="4445" t="4445" r="14605" b="14605"/>
            <wp:wrapSquare wrapText="bothSides"/>
            <wp:docPr id="1" name="图表 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anchor>
        </w:drawing>
      </w:r>
    </w:p>
    <w:p w:rsidR="00C53AD4" w:rsidRDefault="00C53AD4">
      <w:pPr>
        <w:pStyle w:val="Default"/>
        <w:spacing w:line="576" w:lineRule="exact"/>
        <w:ind w:firstLineChars="200" w:firstLine="660"/>
        <w:jc w:val="both"/>
        <w:rPr>
          <w:rFonts w:ascii="Times New Roman" w:eastAsia="方正仿宋_GBK" w:hAnsi="Times New Roman" w:cs="Times New Roman"/>
          <w:color w:val="auto"/>
          <w:sz w:val="33"/>
          <w:szCs w:val="33"/>
        </w:rPr>
      </w:pPr>
    </w:p>
    <w:p w:rsidR="00C53AD4" w:rsidRDefault="00C53AD4">
      <w:pPr>
        <w:pStyle w:val="Default"/>
        <w:spacing w:line="576" w:lineRule="exact"/>
        <w:ind w:firstLineChars="200" w:firstLine="660"/>
        <w:jc w:val="both"/>
        <w:rPr>
          <w:rFonts w:ascii="Times New Roman" w:eastAsia="方正仿宋_GBK" w:hAnsi="Times New Roman" w:cs="Times New Roman"/>
          <w:color w:val="auto"/>
          <w:sz w:val="33"/>
          <w:szCs w:val="33"/>
        </w:rPr>
      </w:pPr>
    </w:p>
    <w:p w:rsidR="00C53AD4" w:rsidRDefault="00C53AD4">
      <w:pPr>
        <w:pStyle w:val="Default"/>
        <w:spacing w:line="576" w:lineRule="exact"/>
        <w:ind w:firstLineChars="200" w:firstLine="660"/>
        <w:jc w:val="both"/>
        <w:rPr>
          <w:rFonts w:ascii="Times New Roman" w:eastAsia="方正仿宋_GBK" w:hAnsi="Times New Roman" w:cs="Times New Roman"/>
          <w:color w:val="auto"/>
          <w:sz w:val="33"/>
          <w:szCs w:val="33"/>
        </w:rPr>
      </w:pPr>
    </w:p>
    <w:p w:rsidR="00C53AD4" w:rsidRDefault="00C53AD4">
      <w:pPr>
        <w:pStyle w:val="Default"/>
        <w:spacing w:line="576" w:lineRule="exact"/>
        <w:ind w:firstLineChars="200" w:firstLine="660"/>
        <w:jc w:val="both"/>
        <w:rPr>
          <w:rFonts w:ascii="Times New Roman" w:eastAsia="方正仿宋_GBK" w:hAnsi="Times New Roman" w:cs="Times New Roman"/>
          <w:color w:val="auto"/>
          <w:sz w:val="33"/>
          <w:szCs w:val="33"/>
        </w:rPr>
      </w:pPr>
    </w:p>
    <w:p w:rsidR="00C53AD4" w:rsidRDefault="00C53AD4">
      <w:pPr>
        <w:pStyle w:val="Default"/>
        <w:spacing w:line="576" w:lineRule="exact"/>
        <w:ind w:firstLineChars="200" w:firstLine="660"/>
        <w:jc w:val="both"/>
        <w:rPr>
          <w:rFonts w:ascii="Times New Roman" w:eastAsia="方正仿宋_GBK" w:hAnsi="Times New Roman" w:cs="Times New Roman"/>
          <w:color w:val="auto"/>
          <w:sz w:val="33"/>
          <w:szCs w:val="33"/>
        </w:rPr>
      </w:pPr>
    </w:p>
    <w:p w:rsidR="00C53AD4" w:rsidRDefault="00C53AD4">
      <w:pPr>
        <w:pStyle w:val="Default"/>
        <w:spacing w:line="576" w:lineRule="exact"/>
        <w:ind w:firstLineChars="200" w:firstLine="660"/>
        <w:jc w:val="both"/>
        <w:rPr>
          <w:rFonts w:ascii="Times New Roman" w:eastAsia="方正仿宋_GBK" w:hAnsi="Times New Roman" w:cs="Times New Roman"/>
          <w:color w:val="auto"/>
          <w:sz w:val="33"/>
          <w:szCs w:val="33"/>
        </w:rPr>
      </w:pPr>
    </w:p>
    <w:p w:rsidR="00C53AD4" w:rsidRDefault="00C53AD4">
      <w:pPr>
        <w:pStyle w:val="Default"/>
        <w:spacing w:line="576" w:lineRule="exact"/>
        <w:ind w:firstLineChars="200" w:firstLine="660"/>
        <w:jc w:val="both"/>
        <w:rPr>
          <w:rFonts w:ascii="Times New Roman" w:eastAsia="方正仿宋_GBK" w:hAnsi="Times New Roman" w:cs="Times New Roman"/>
          <w:color w:val="auto"/>
          <w:sz w:val="33"/>
          <w:szCs w:val="33"/>
        </w:rPr>
      </w:pPr>
    </w:p>
    <w:p w:rsidR="00C53AD4" w:rsidRDefault="001C3CD3">
      <w:pPr>
        <w:spacing w:line="576" w:lineRule="exact"/>
        <w:jc w:val="center"/>
        <w:rPr>
          <w:rFonts w:eastAsia="方正仿宋_GBK"/>
          <w:kern w:val="0"/>
          <w:sz w:val="33"/>
          <w:szCs w:val="33"/>
        </w:rPr>
      </w:pPr>
      <w:r>
        <w:rPr>
          <w:rFonts w:eastAsia="方正仿宋_GBK"/>
          <w:kern w:val="0"/>
          <w:sz w:val="33"/>
          <w:szCs w:val="33"/>
        </w:rPr>
        <w:t>（图</w:t>
      </w:r>
      <w:r>
        <w:rPr>
          <w:rFonts w:eastAsia="方正仿宋_GBK"/>
          <w:kern w:val="0"/>
          <w:sz w:val="33"/>
          <w:szCs w:val="33"/>
        </w:rPr>
        <w:t>7</w:t>
      </w:r>
      <w:r>
        <w:rPr>
          <w:rFonts w:eastAsia="方正仿宋_GBK"/>
          <w:kern w:val="0"/>
          <w:sz w:val="33"/>
          <w:szCs w:val="33"/>
        </w:rPr>
        <w:t>：</w:t>
      </w:r>
      <w:r>
        <w:rPr>
          <w:rFonts w:eastAsia="方正仿宋_GBK"/>
          <w:kern w:val="0"/>
          <w:sz w:val="33"/>
          <w:szCs w:val="33"/>
        </w:rPr>
        <w:t>“</w:t>
      </w:r>
      <w:r>
        <w:rPr>
          <w:rFonts w:eastAsia="方正仿宋_GBK"/>
          <w:kern w:val="0"/>
          <w:sz w:val="33"/>
          <w:szCs w:val="33"/>
        </w:rPr>
        <w:t>三公</w:t>
      </w:r>
      <w:r>
        <w:rPr>
          <w:rFonts w:eastAsia="方正仿宋_GBK"/>
          <w:kern w:val="0"/>
          <w:sz w:val="33"/>
          <w:szCs w:val="33"/>
        </w:rPr>
        <w:t>”</w:t>
      </w:r>
      <w:r>
        <w:rPr>
          <w:rFonts w:eastAsia="方正仿宋_GBK"/>
          <w:kern w:val="0"/>
          <w:sz w:val="33"/>
          <w:szCs w:val="33"/>
        </w:rPr>
        <w:t>经费财政拨款支出结构）</w:t>
      </w:r>
    </w:p>
    <w:p w:rsidR="00C53AD4" w:rsidRDefault="001C3CD3">
      <w:pPr>
        <w:spacing w:line="576" w:lineRule="exact"/>
        <w:ind w:firstLineChars="200" w:firstLine="660"/>
        <w:rPr>
          <w:rFonts w:eastAsia="方正仿宋_GBK"/>
          <w:kern w:val="0"/>
          <w:sz w:val="33"/>
          <w:szCs w:val="33"/>
        </w:rPr>
      </w:pPr>
      <w:bookmarkStart w:id="41" w:name="_Toc15396610"/>
      <w:bookmarkStart w:id="42" w:name="_Toc15377218"/>
      <w:r>
        <w:rPr>
          <w:rFonts w:eastAsia="方正仿宋_GBK"/>
          <w:kern w:val="0"/>
          <w:sz w:val="33"/>
          <w:szCs w:val="33"/>
        </w:rPr>
        <w:t>1.</w:t>
      </w:r>
      <w:r>
        <w:rPr>
          <w:rFonts w:eastAsia="方正仿宋_GBK"/>
          <w:kern w:val="0"/>
          <w:sz w:val="33"/>
          <w:szCs w:val="33"/>
        </w:rPr>
        <w:t>因公出国（境）经费支出</w:t>
      </w:r>
      <w:r>
        <w:rPr>
          <w:rFonts w:eastAsia="方正仿宋_GBK"/>
          <w:kern w:val="0"/>
          <w:sz w:val="33"/>
          <w:szCs w:val="33"/>
        </w:rPr>
        <w:t>0</w:t>
      </w:r>
      <w:r>
        <w:rPr>
          <w:rFonts w:eastAsia="方正仿宋_GBK"/>
          <w:kern w:val="0"/>
          <w:sz w:val="33"/>
          <w:szCs w:val="33"/>
        </w:rPr>
        <w:t>万元，完成预算</w:t>
      </w:r>
      <w:r>
        <w:rPr>
          <w:rFonts w:eastAsia="方正仿宋_GBK"/>
          <w:kern w:val="0"/>
          <w:sz w:val="33"/>
          <w:szCs w:val="33"/>
        </w:rPr>
        <w:t>0%</w:t>
      </w:r>
      <w:r>
        <w:rPr>
          <w:rFonts w:eastAsia="方正仿宋_GBK"/>
          <w:kern w:val="0"/>
          <w:sz w:val="33"/>
          <w:szCs w:val="33"/>
        </w:rPr>
        <w:t>。全年安排因公出国（境）团组</w:t>
      </w:r>
      <w:r>
        <w:rPr>
          <w:rFonts w:eastAsia="方正仿宋_GBK"/>
          <w:kern w:val="0"/>
          <w:sz w:val="33"/>
          <w:szCs w:val="33"/>
        </w:rPr>
        <w:t>0</w:t>
      </w:r>
      <w:r>
        <w:rPr>
          <w:rFonts w:eastAsia="方正仿宋_GBK"/>
          <w:kern w:val="0"/>
          <w:sz w:val="33"/>
          <w:szCs w:val="33"/>
        </w:rPr>
        <w:t>次，出国（境）</w:t>
      </w:r>
      <w:r>
        <w:rPr>
          <w:rFonts w:eastAsia="方正仿宋_GBK"/>
          <w:kern w:val="0"/>
          <w:sz w:val="33"/>
          <w:szCs w:val="33"/>
        </w:rPr>
        <w:t>0</w:t>
      </w:r>
      <w:r>
        <w:rPr>
          <w:rFonts w:eastAsia="方正仿宋_GBK"/>
          <w:kern w:val="0"/>
          <w:sz w:val="33"/>
          <w:szCs w:val="33"/>
        </w:rPr>
        <w:t>人。因公出国（境）支出决算与</w:t>
      </w:r>
      <w:r>
        <w:rPr>
          <w:rFonts w:eastAsia="方正仿宋_GBK"/>
          <w:kern w:val="0"/>
          <w:sz w:val="33"/>
          <w:szCs w:val="33"/>
        </w:rPr>
        <w:t>2022</w:t>
      </w:r>
      <w:r>
        <w:rPr>
          <w:rFonts w:eastAsia="方正仿宋_GBK"/>
          <w:kern w:val="0"/>
          <w:sz w:val="33"/>
          <w:szCs w:val="33"/>
        </w:rPr>
        <w:t>年持平。</w:t>
      </w:r>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2.</w:t>
      </w:r>
      <w:r>
        <w:rPr>
          <w:rFonts w:ascii="Times New Roman" w:eastAsia="方正仿宋_GBK" w:hAnsi="Times New Roman" w:cs="Times New Roman"/>
          <w:color w:val="auto"/>
          <w:sz w:val="33"/>
          <w:szCs w:val="33"/>
        </w:rPr>
        <w:t>公务用车购置及运行维护费支出</w:t>
      </w:r>
      <w:r>
        <w:rPr>
          <w:rFonts w:ascii="Times New Roman" w:eastAsia="方正仿宋_GBK" w:hAnsi="Times New Roman" w:cs="Times New Roman"/>
          <w:color w:val="auto"/>
          <w:sz w:val="33"/>
          <w:szCs w:val="33"/>
        </w:rPr>
        <w:t>0.97</w:t>
      </w:r>
      <w:r>
        <w:rPr>
          <w:rFonts w:ascii="Times New Roman" w:eastAsia="方正仿宋_GBK" w:hAnsi="Times New Roman" w:cs="Times New Roman"/>
          <w:color w:val="auto"/>
          <w:sz w:val="33"/>
          <w:szCs w:val="33"/>
        </w:rPr>
        <w:t>万元</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完成预算</w:t>
      </w:r>
      <w:r>
        <w:rPr>
          <w:rFonts w:ascii="Times New Roman" w:eastAsia="方正仿宋_GBK" w:hAnsi="Times New Roman" w:cs="Times New Roman"/>
          <w:color w:val="auto"/>
          <w:sz w:val="33"/>
          <w:szCs w:val="33"/>
        </w:rPr>
        <w:t>100%</w:t>
      </w:r>
      <w:r>
        <w:rPr>
          <w:rFonts w:ascii="Times New Roman" w:eastAsia="方正仿宋_GBK" w:hAnsi="Times New Roman" w:cs="Times New Roman"/>
          <w:color w:val="auto"/>
          <w:sz w:val="33"/>
          <w:szCs w:val="33"/>
        </w:rPr>
        <w:t>。公务用车购置及运行维护费支出决算比</w:t>
      </w:r>
      <w:r>
        <w:rPr>
          <w:rFonts w:ascii="Times New Roman" w:eastAsia="方正仿宋_GBK" w:hAnsi="Times New Roman" w:cs="Times New Roman"/>
          <w:color w:val="auto"/>
          <w:sz w:val="33"/>
          <w:szCs w:val="33"/>
        </w:rPr>
        <w:t>2022</w:t>
      </w:r>
      <w:r>
        <w:rPr>
          <w:rFonts w:ascii="Times New Roman" w:eastAsia="方正仿宋_GBK" w:hAnsi="Times New Roman" w:cs="Times New Roman"/>
          <w:color w:val="auto"/>
          <w:sz w:val="33"/>
          <w:szCs w:val="33"/>
        </w:rPr>
        <w:t>年度增加</w:t>
      </w:r>
      <w:r>
        <w:rPr>
          <w:rFonts w:ascii="Times New Roman" w:eastAsia="方正仿宋_GBK" w:hAnsi="Times New Roman" w:cs="Times New Roman"/>
          <w:color w:val="auto"/>
          <w:sz w:val="33"/>
          <w:szCs w:val="33"/>
        </w:rPr>
        <w:t>0.54</w:t>
      </w:r>
      <w:r>
        <w:rPr>
          <w:rFonts w:ascii="Times New Roman" w:eastAsia="方正仿宋_GBK" w:hAnsi="Times New Roman" w:cs="Times New Roman"/>
          <w:color w:val="auto"/>
          <w:sz w:val="33"/>
          <w:szCs w:val="33"/>
        </w:rPr>
        <w:t>万元，增长</w:t>
      </w:r>
      <w:r>
        <w:rPr>
          <w:rFonts w:ascii="Times New Roman" w:eastAsia="方正仿宋_GBK" w:hAnsi="Times New Roman" w:cs="Times New Roman"/>
          <w:color w:val="auto"/>
          <w:sz w:val="33"/>
          <w:szCs w:val="33"/>
        </w:rPr>
        <w:t>128.57</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。主要原因是</w:t>
      </w:r>
      <w:r>
        <w:rPr>
          <w:rFonts w:ascii="Times New Roman" w:eastAsia="方正仿宋_GBK" w:hAnsi="Times New Roman" w:cs="Times New Roman"/>
          <w:color w:val="auto"/>
          <w:sz w:val="33"/>
          <w:szCs w:val="33"/>
        </w:rPr>
        <w:t>2022</w:t>
      </w:r>
      <w:r>
        <w:rPr>
          <w:rFonts w:ascii="Times New Roman" w:eastAsia="方正仿宋_GBK" w:hAnsi="Times New Roman" w:cs="Times New Roman"/>
          <w:color w:val="auto"/>
          <w:sz w:val="33"/>
          <w:szCs w:val="33"/>
        </w:rPr>
        <w:t>年公务用车运行维护费是</w:t>
      </w:r>
      <w:r>
        <w:rPr>
          <w:rFonts w:ascii="Times New Roman" w:eastAsia="方正仿宋_GBK" w:hAnsi="Times New Roman" w:cs="Times New Roman"/>
          <w:color w:val="auto"/>
          <w:sz w:val="33"/>
          <w:szCs w:val="33"/>
        </w:rPr>
        <w:t>6</w:t>
      </w:r>
      <w:r>
        <w:rPr>
          <w:rFonts w:ascii="Times New Roman" w:eastAsia="方正仿宋_GBK" w:hAnsi="Times New Roman" w:cs="Times New Roman"/>
          <w:color w:val="auto"/>
          <w:sz w:val="33"/>
          <w:szCs w:val="33"/>
        </w:rPr>
        <w:t>月，</w:t>
      </w:r>
      <w:r>
        <w:rPr>
          <w:rFonts w:ascii="Times New Roman" w:eastAsia="方正仿宋_GBK" w:hAnsi="Times New Roman" w:cs="Times New Roman"/>
          <w:color w:val="auto"/>
          <w:sz w:val="33"/>
          <w:szCs w:val="33"/>
        </w:rPr>
        <w:t>2023</w:t>
      </w:r>
      <w:r>
        <w:rPr>
          <w:rFonts w:ascii="Times New Roman" w:eastAsia="方正仿宋_GBK" w:hAnsi="Times New Roman" w:cs="Times New Roman"/>
          <w:color w:val="auto"/>
          <w:sz w:val="33"/>
          <w:szCs w:val="33"/>
        </w:rPr>
        <w:t>年是</w:t>
      </w:r>
      <w:r>
        <w:rPr>
          <w:rFonts w:ascii="Times New Roman" w:eastAsia="方正仿宋_GBK" w:hAnsi="Times New Roman" w:cs="Times New Roman"/>
          <w:color w:val="auto"/>
          <w:sz w:val="33"/>
          <w:szCs w:val="33"/>
        </w:rPr>
        <w:t>12</w:t>
      </w:r>
      <w:r>
        <w:rPr>
          <w:rFonts w:ascii="Times New Roman" w:eastAsia="方正仿宋_GBK" w:hAnsi="Times New Roman" w:cs="Times New Roman"/>
          <w:color w:val="auto"/>
          <w:sz w:val="33"/>
          <w:szCs w:val="33"/>
        </w:rPr>
        <w:t>个月，事业维护费增加</w:t>
      </w:r>
      <w:r>
        <w:rPr>
          <w:rFonts w:ascii="Times New Roman" w:eastAsia="方正仿宋_GBK" w:hAnsi="Times New Roman" w:cs="Times New Roman"/>
          <w:color w:val="auto"/>
          <w:sz w:val="33"/>
          <w:szCs w:val="33"/>
        </w:rPr>
        <w:t>。</w:t>
      </w:r>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其中：公务用车购置支出</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万元。全年按规定更新购置公务用车</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辆，其中：轿车</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辆、金额</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万元，越野车</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辆、金额</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万元，载客汽车</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辆、金额</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万元。截至</w:t>
      </w:r>
      <w:r>
        <w:rPr>
          <w:rFonts w:ascii="Times New Roman" w:eastAsia="方正仿宋_GBK" w:hAnsi="Times New Roman" w:cs="Times New Roman"/>
          <w:color w:val="auto"/>
          <w:sz w:val="33"/>
          <w:szCs w:val="33"/>
        </w:rPr>
        <w:t>2023</w:t>
      </w:r>
      <w:r>
        <w:rPr>
          <w:rFonts w:ascii="Times New Roman" w:eastAsia="方正仿宋_GBK" w:hAnsi="Times New Roman" w:cs="Times New Roman"/>
          <w:color w:val="auto"/>
          <w:sz w:val="33"/>
          <w:szCs w:val="33"/>
        </w:rPr>
        <w:t>年</w:t>
      </w:r>
      <w:r>
        <w:rPr>
          <w:rFonts w:ascii="Times New Roman" w:eastAsia="方正仿宋_GBK" w:hAnsi="Times New Roman" w:cs="Times New Roman"/>
          <w:color w:val="auto"/>
          <w:sz w:val="33"/>
          <w:szCs w:val="33"/>
        </w:rPr>
        <w:t>12</w:t>
      </w:r>
      <w:r>
        <w:rPr>
          <w:rFonts w:ascii="Times New Roman" w:eastAsia="方正仿宋_GBK" w:hAnsi="Times New Roman" w:cs="Times New Roman"/>
          <w:color w:val="auto"/>
          <w:sz w:val="33"/>
          <w:szCs w:val="33"/>
        </w:rPr>
        <w:t>月</w:t>
      </w:r>
      <w:r>
        <w:rPr>
          <w:rFonts w:ascii="Times New Roman" w:eastAsia="方正仿宋_GBK" w:hAnsi="Times New Roman" w:cs="Times New Roman"/>
          <w:color w:val="auto"/>
          <w:sz w:val="33"/>
          <w:szCs w:val="33"/>
        </w:rPr>
        <w:t>31</w:t>
      </w:r>
      <w:r>
        <w:rPr>
          <w:rFonts w:ascii="Times New Roman" w:eastAsia="方正仿宋_GBK" w:hAnsi="Times New Roman" w:cs="Times New Roman"/>
          <w:color w:val="auto"/>
          <w:sz w:val="33"/>
          <w:szCs w:val="33"/>
        </w:rPr>
        <w:t>日，单位共有公务用车</w:t>
      </w:r>
      <w:r>
        <w:rPr>
          <w:rFonts w:ascii="Times New Roman" w:eastAsia="方正仿宋_GBK" w:hAnsi="Times New Roman" w:cs="Times New Roman"/>
          <w:color w:val="auto"/>
          <w:sz w:val="33"/>
          <w:szCs w:val="33"/>
        </w:rPr>
        <w:t>1</w:t>
      </w:r>
      <w:r>
        <w:rPr>
          <w:rFonts w:ascii="Times New Roman" w:eastAsia="方正仿宋_GBK" w:hAnsi="Times New Roman" w:cs="Times New Roman"/>
          <w:color w:val="auto"/>
          <w:sz w:val="33"/>
          <w:szCs w:val="33"/>
        </w:rPr>
        <w:t>辆，其中：轿车</w:t>
      </w:r>
      <w:r>
        <w:rPr>
          <w:rFonts w:ascii="Times New Roman" w:eastAsia="方正仿宋_GBK" w:hAnsi="Times New Roman" w:cs="Times New Roman"/>
          <w:color w:val="auto"/>
          <w:sz w:val="33"/>
          <w:szCs w:val="33"/>
        </w:rPr>
        <w:t>1</w:t>
      </w:r>
      <w:r>
        <w:rPr>
          <w:rFonts w:ascii="Times New Roman" w:eastAsia="方正仿宋_GBK" w:hAnsi="Times New Roman" w:cs="Times New Roman"/>
          <w:color w:val="auto"/>
          <w:sz w:val="33"/>
          <w:szCs w:val="33"/>
        </w:rPr>
        <w:t>辆、越野车</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辆、载客汽车</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辆。</w:t>
      </w:r>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lastRenderedPageBreak/>
        <w:t>公务用车运行维护费支出</w:t>
      </w:r>
      <w:r>
        <w:rPr>
          <w:rFonts w:ascii="Times New Roman" w:eastAsia="方正仿宋_GBK" w:hAnsi="Times New Roman" w:cs="Times New Roman"/>
          <w:color w:val="auto"/>
          <w:sz w:val="33"/>
          <w:szCs w:val="33"/>
        </w:rPr>
        <w:t>0.97</w:t>
      </w:r>
      <w:r>
        <w:rPr>
          <w:rFonts w:ascii="Times New Roman" w:eastAsia="方正仿宋_GBK" w:hAnsi="Times New Roman" w:cs="Times New Roman"/>
          <w:color w:val="auto"/>
          <w:sz w:val="33"/>
          <w:szCs w:val="33"/>
        </w:rPr>
        <w:t>万元。主要用于所需的公务用车燃料费、维修费、保险费等支出。</w:t>
      </w:r>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3.</w:t>
      </w:r>
      <w:r>
        <w:rPr>
          <w:rFonts w:ascii="Times New Roman" w:eastAsia="方正仿宋_GBK" w:hAnsi="Times New Roman" w:cs="Times New Roman"/>
          <w:color w:val="auto"/>
          <w:sz w:val="33"/>
          <w:szCs w:val="33"/>
        </w:rPr>
        <w:t>公务接待费支出</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万元，完成预算</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。公务接待费支出决算</w:t>
      </w:r>
      <w:r>
        <w:rPr>
          <w:rFonts w:ascii="Times New Roman" w:eastAsia="方正仿宋_GBK" w:hAnsi="Times New Roman" w:cs="Times New Roman"/>
          <w:color w:val="auto"/>
          <w:sz w:val="33"/>
          <w:szCs w:val="33"/>
        </w:rPr>
        <w:t>与</w:t>
      </w:r>
      <w:r>
        <w:rPr>
          <w:rFonts w:ascii="Times New Roman" w:eastAsia="方正仿宋_GBK" w:hAnsi="Times New Roman" w:cs="Times New Roman"/>
          <w:color w:val="auto"/>
          <w:sz w:val="33"/>
          <w:szCs w:val="33"/>
        </w:rPr>
        <w:t>2022</w:t>
      </w:r>
      <w:r>
        <w:rPr>
          <w:rFonts w:ascii="Times New Roman" w:eastAsia="方正仿宋_GBK" w:hAnsi="Times New Roman" w:cs="Times New Roman"/>
          <w:color w:val="auto"/>
          <w:sz w:val="33"/>
          <w:szCs w:val="33"/>
        </w:rPr>
        <w:t>年度</w:t>
      </w:r>
      <w:r>
        <w:rPr>
          <w:rFonts w:ascii="Times New Roman" w:eastAsia="方正仿宋_GBK" w:hAnsi="Times New Roman" w:cs="Times New Roman"/>
          <w:color w:val="auto"/>
          <w:sz w:val="33"/>
          <w:szCs w:val="33"/>
        </w:rPr>
        <w:t>持平</w:t>
      </w:r>
      <w:r>
        <w:rPr>
          <w:rFonts w:ascii="Times New Roman" w:eastAsia="方正仿宋_GBK" w:hAnsi="Times New Roman" w:cs="Times New Roman"/>
          <w:color w:val="auto"/>
          <w:sz w:val="33"/>
          <w:szCs w:val="33"/>
        </w:rPr>
        <w:t>。其中：</w:t>
      </w:r>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国内公务接待支出</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万元。国内公务接待</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批次，</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人次，共计支出</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万</w:t>
      </w:r>
      <w:r>
        <w:rPr>
          <w:rFonts w:ascii="Times New Roman" w:eastAsia="方正仿宋_GBK" w:hAnsi="Times New Roman" w:cs="Times New Roman"/>
          <w:color w:val="auto"/>
          <w:sz w:val="33"/>
          <w:szCs w:val="33"/>
        </w:rPr>
        <w:t>元。</w:t>
      </w:r>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外事接待支出</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万元</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外事接待</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批次，</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人次，共计支出</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万元。</w:t>
      </w:r>
    </w:p>
    <w:p w:rsidR="00C53AD4" w:rsidRDefault="001C3CD3">
      <w:pPr>
        <w:pStyle w:val="11"/>
        <w:spacing w:line="576" w:lineRule="exact"/>
        <w:ind w:firstLine="660"/>
        <w:outlineLvl w:val="1"/>
        <w:rPr>
          <w:rFonts w:ascii="方正黑体_GBK" w:eastAsia="方正黑体_GBK" w:hAnsi="方正黑体_GBK" w:cs="方正黑体_GBK"/>
          <w:sz w:val="33"/>
          <w:szCs w:val="33"/>
        </w:rPr>
      </w:pPr>
      <w:r>
        <w:rPr>
          <w:rFonts w:ascii="方正黑体_GBK" w:eastAsia="方正黑体_GBK" w:hAnsi="方正黑体_GBK" w:cs="方正黑体_GBK"/>
          <w:sz w:val="33"/>
          <w:szCs w:val="33"/>
        </w:rPr>
        <w:t>八、政府性基金预算支出决算情况说明</w:t>
      </w:r>
      <w:bookmarkEnd w:id="41"/>
      <w:bookmarkEnd w:id="42"/>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2023</w:t>
      </w:r>
      <w:r>
        <w:rPr>
          <w:rFonts w:ascii="Times New Roman" w:eastAsia="方正仿宋_GBK" w:hAnsi="Times New Roman" w:cs="Times New Roman"/>
          <w:color w:val="auto"/>
          <w:sz w:val="33"/>
          <w:szCs w:val="33"/>
        </w:rPr>
        <w:t>年度政府性基金预算财政拨款支出</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万元。</w:t>
      </w:r>
      <w:r>
        <w:rPr>
          <w:rFonts w:ascii="Times New Roman" w:eastAsia="方正仿宋_GBK" w:hAnsi="Times New Roman" w:cs="Times New Roman"/>
          <w:color w:val="auto"/>
          <w:sz w:val="33"/>
          <w:szCs w:val="33"/>
          <w:lang w:val="zh-CN"/>
        </w:rPr>
        <w:t>本单位没有政府性基金拨款收入，也没有使用政府性基金安排的支出。</w:t>
      </w:r>
    </w:p>
    <w:p w:rsidR="00C53AD4" w:rsidRDefault="001C3CD3">
      <w:pPr>
        <w:pStyle w:val="11"/>
        <w:spacing w:line="576" w:lineRule="exact"/>
        <w:ind w:firstLine="660"/>
        <w:outlineLvl w:val="1"/>
        <w:rPr>
          <w:rFonts w:ascii="方正黑体_GBK" w:eastAsia="方正黑体_GBK" w:hAnsi="方正黑体_GBK" w:cs="方正黑体_GBK"/>
          <w:sz w:val="33"/>
          <w:szCs w:val="33"/>
        </w:rPr>
      </w:pPr>
      <w:bookmarkStart w:id="43" w:name="_Toc15396611"/>
      <w:bookmarkStart w:id="44" w:name="_Toc15377219"/>
      <w:r>
        <w:rPr>
          <w:rFonts w:ascii="方正黑体_GBK" w:eastAsia="方正黑体_GBK" w:hAnsi="方正黑体_GBK" w:cs="方正黑体_GBK"/>
          <w:sz w:val="33"/>
          <w:szCs w:val="33"/>
        </w:rPr>
        <w:t>九</w:t>
      </w:r>
      <w:r>
        <w:rPr>
          <w:rFonts w:ascii="方正黑体_GBK" w:eastAsia="方正黑体_GBK" w:hAnsi="方正黑体_GBK" w:cs="方正黑体_GBK" w:hint="eastAsia"/>
          <w:sz w:val="33"/>
          <w:szCs w:val="33"/>
        </w:rPr>
        <w:t>、</w:t>
      </w:r>
      <w:r>
        <w:rPr>
          <w:rFonts w:ascii="方正黑体_GBK" w:eastAsia="方正黑体_GBK" w:hAnsi="方正黑体_GBK" w:cs="方正黑体_GBK"/>
          <w:sz w:val="33"/>
          <w:szCs w:val="33"/>
        </w:rPr>
        <w:t>国有资本经营预算支出决算情况说明</w:t>
      </w:r>
      <w:bookmarkEnd w:id="43"/>
      <w:bookmarkEnd w:id="44"/>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2023</w:t>
      </w:r>
      <w:r>
        <w:rPr>
          <w:rFonts w:ascii="Times New Roman" w:eastAsia="方正仿宋_GBK" w:hAnsi="Times New Roman" w:cs="Times New Roman"/>
          <w:color w:val="auto"/>
          <w:sz w:val="33"/>
          <w:szCs w:val="33"/>
        </w:rPr>
        <w:t>年度国有资本经营预算财政拨款支出</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万元。</w:t>
      </w:r>
      <w:r>
        <w:rPr>
          <w:rFonts w:ascii="Times New Roman" w:eastAsia="方正仿宋_GBK" w:hAnsi="Times New Roman" w:cs="Times New Roman"/>
          <w:color w:val="auto"/>
          <w:sz w:val="33"/>
          <w:szCs w:val="33"/>
          <w:lang w:val="zh-CN"/>
        </w:rPr>
        <w:t>本单位没有国有资本经营预算拨款收入，也没有使用国有资本经营预算拨款安排的支出。</w:t>
      </w:r>
    </w:p>
    <w:p w:rsidR="00C53AD4" w:rsidRDefault="001C3CD3">
      <w:pPr>
        <w:pStyle w:val="11"/>
        <w:spacing w:line="576" w:lineRule="exact"/>
        <w:ind w:firstLine="660"/>
        <w:outlineLvl w:val="1"/>
        <w:rPr>
          <w:rFonts w:ascii="方正黑体_GBK" w:eastAsia="方正黑体_GBK" w:hAnsi="方正黑体_GBK" w:cs="方正黑体_GBK"/>
          <w:sz w:val="33"/>
          <w:szCs w:val="33"/>
        </w:rPr>
      </w:pPr>
      <w:bookmarkStart w:id="45" w:name="_Toc15396612"/>
      <w:bookmarkStart w:id="46" w:name="_Toc15377221"/>
      <w:r>
        <w:rPr>
          <w:rFonts w:ascii="方正黑体_GBK" w:eastAsia="方正黑体_GBK" w:hAnsi="方正黑体_GBK" w:cs="方正黑体_GBK"/>
          <w:sz w:val="33"/>
          <w:szCs w:val="33"/>
        </w:rPr>
        <w:t>十</w:t>
      </w:r>
      <w:r>
        <w:rPr>
          <w:rFonts w:ascii="方正黑体_GBK" w:eastAsia="方正黑体_GBK" w:hAnsi="方正黑体_GBK" w:cs="方正黑体_GBK" w:hint="eastAsia"/>
          <w:sz w:val="33"/>
          <w:szCs w:val="33"/>
        </w:rPr>
        <w:t>、</w:t>
      </w:r>
      <w:r>
        <w:rPr>
          <w:rFonts w:ascii="方正黑体_GBK" w:eastAsia="方正黑体_GBK" w:hAnsi="方正黑体_GBK" w:cs="方正黑体_GBK"/>
          <w:sz w:val="33"/>
          <w:szCs w:val="33"/>
        </w:rPr>
        <w:t>其他重要事项的情况说明</w:t>
      </w:r>
      <w:bookmarkEnd w:id="45"/>
      <w:bookmarkEnd w:id="46"/>
    </w:p>
    <w:p w:rsidR="00C53AD4" w:rsidRDefault="001C3CD3">
      <w:pPr>
        <w:pStyle w:val="Default"/>
        <w:spacing w:line="576" w:lineRule="exact"/>
        <w:ind w:firstLineChars="200" w:firstLine="663"/>
        <w:jc w:val="both"/>
        <w:rPr>
          <w:rFonts w:ascii="方正楷体_GBK" w:eastAsia="方正楷体_GBK" w:hAnsi="方正楷体_GBK" w:cs="方正楷体_GBK"/>
          <w:b/>
          <w:bCs/>
          <w:color w:val="auto"/>
          <w:sz w:val="33"/>
          <w:szCs w:val="33"/>
        </w:rPr>
      </w:pPr>
      <w:bookmarkStart w:id="47" w:name="_Toc15377222"/>
      <w:r>
        <w:rPr>
          <w:rFonts w:ascii="方正楷体_GBK" w:eastAsia="方正楷体_GBK" w:hAnsi="方正楷体_GBK" w:cs="方正楷体_GBK"/>
          <w:b/>
          <w:bCs/>
          <w:color w:val="auto"/>
          <w:sz w:val="33"/>
          <w:szCs w:val="33"/>
        </w:rPr>
        <w:t>（一）机关运行经费支出情况</w:t>
      </w:r>
      <w:bookmarkEnd w:id="47"/>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2023</w:t>
      </w:r>
      <w:r>
        <w:rPr>
          <w:rFonts w:ascii="Times New Roman" w:eastAsia="方正仿宋_GBK" w:hAnsi="Times New Roman" w:cs="Times New Roman"/>
          <w:color w:val="auto"/>
          <w:sz w:val="33"/>
          <w:szCs w:val="33"/>
        </w:rPr>
        <w:t>年度，中共盐边县委党校机关运行经费支出</w:t>
      </w:r>
      <w:r>
        <w:rPr>
          <w:rFonts w:ascii="Times New Roman" w:eastAsia="方正仿宋_GBK" w:hAnsi="Times New Roman" w:cs="Times New Roman"/>
          <w:color w:val="auto"/>
          <w:sz w:val="33"/>
          <w:szCs w:val="33"/>
        </w:rPr>
        <w:t>143.1</w:t>
      </w:r>
      <w:r>
        <w:rPr>
          <w:rFonts w:ascii="Times New Roman" w:eastAsia="方正仿宋_GBK" w:hAnsi="Times New Roman" w:cs="Times New Roman"/>
          <w:color w:val="auto"/>
          <w:sz w:val="33"/>
          <w:szCs w:val="33"/>
        </w:rPr>
        <w:t>万元，比</w:t>
      </w:r>
      <w:r>
        <w:rPr>
          <w:rFonts w:ascii="Times New Roman" w:eastAsia="方正仿宋_GBK" w:hAnsi="Times New Roman" w:cs="Times New Roman"/>
          <w:color w:val="auto"/>
          <w:sz w:val="33"/>
          <w:szCs w:val="33"/>
        </w:rPr>
        <w:t>2022</w:t>
      </w:r>
      <w:r>
        <w:rPr>
          <w:rFonts w:ascii="Times New Roman" w:eastAsia="方正仿宋_GBK" w:hAnsi="Times New Roman" w:cs="Times New Roman"/>
          <w:color w:val="auto"/>
          <w:sz w:val="33"/>
          <w:szCs w:val="33"/>
        </w:rPr>
        <w:t>年度机关运行经费支出</w:t>
      </w:r>
      <w:r>
        <w:rPr>
          <w:rFonts w:ascii="Times New Roman" w:eastAsia="方正仿宋_GBK" w:hAnsi="Times New Roman" w:cs="Times New Roman"/>
          <w:color w:val="auto"/>
          <w:sz w:val="33"/>
          <w:szCs w:val="33"/>
        </w:rPr>
        <w:t>14.73</w:t>
      </w:r>
      <w:r>
        <w:rPr>
          <w:rFonts w:ascii="Times New Roman" w:eastAsia="方正仿宋_GBK" w:hAnsi="Times New Roman" w:cs="Times New Roman"/>
          <w:color w:val="auto"/>
          <w:sz w:val="33"/>
          <w:szCs w:val="33"/>
        </w:rPr>
        <w:t>万元，</w:t>
      </w:r>
      <w:r>
        <w:rPr>
          <w:rFonts w:ascii="Times New Roman" w:eastAsia="方正仿宋_GBK" w:hAnsi="Times New Roman" w:cs="Times New Roman"/>
          <w:color w:val="auto"/>
          <w:sz w:val="33"/>
          <w:szCs w:val="33"/>
        </w:rPr>
        <w:t>增加</w:t>
      </w:r>
      <w:r>
        <w:rPr>
          <w:rFonts w:ascii="Times New Roman" w:eastAsia="方正仿宋_GBK" w:hAnsi="Times New Roman" w:cs="Times New Roman"/>
          <w:color w:val="auto"/>
          <w:sz w:val="33"/>
          <w:szCs w:val="33"/>
        </w:rPr>
        <w:t>128.37</w:t>
      </w:r>
      <w:r>
        <w:rPr>
          <w:rFonts w:ascii="Times New Roman" w:eastAsia="方正仿宋_GBK" w:hAnsi="Times New Roman" w:cs="Times New Roman"/>
          <w:color w:val="auto"/>
          <w:sz w:val="33"/>
          <w:szCs w:val="33"/>
        </w:rPr>
        <w:t>万元，增长</w:t>
      </w:r>
      <w:r>
        <w:rPr>
          <w:rFonts w:ascii="Times New Roman" w:eastAsia="方正仿宋_GBK" w:hAnsi="Times New Roman" w:cs="Times New Roman"/>
          <w:color w:val="auto"/>
          <w:sz w:val="33"/>
          <w:szCs w:val="33"/>
        </w:rPr>
        <w:t>871.49</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主要原因是</w:t>
      </w:r>
      <w:r>
        <w:rPr>
          <w:rFonts w:ascii="Times New Roman" w:eastAsia="方正仿宋_GBK" w:hAnsi="Times New Roman" w:cs="Times New Roman"/>
          <w:color w:val="auto"/>
          <w:sz w:val="33"/>
          <w:szCs w:val="33"/>
        </w:rPr>
        <w:t>行政运行当中的培训费增加</w:t>
      </w:r>
      <w:r>
        <w:rPr>
          <w:rFonts w:ascii="Times New Roman" w:eastAsia="方正仿宋_GBK" w:hAnsi="Times New Roman" w:cs="Times New Roman"/>
          <w:color w:val="auto"/>
          <w:sz w:val="33"/>
          <w:szCs w:val="33"/>
        </w:rPr>
        <w:t>。</w:t>
      </w:r>
    </w:p>
    <w:p w:rsidR="00C53AD4" w:rsidRDefault="001C3CD3">
      <w:pPr>
        <w:pStyle w:val="Default"/>
        <w:spacing w:line="576" w:lineRule="exact"/>
        <w:ind w:firstLineChars="200" w:firstLine="663"/>
        <w:jc w:val="both"/>
        <w:rPr>
          <w:rFonts w:ascii="方正楷体_GBK" w:eastAsia="方正楷体_GBK" w:hAnsi="方正楷体_GBK" w:cs="方正楷体_GBK"/>
          <w:b/>
          <w:bCs/>
          <w:color w:val="auto"/>
          <w:sz w:val="33"/>
          <w:szCs w:val="33"/>
        </w:rPr>
      </w:pPr>
      <w:bookmarkStart w:id="48" w:name="_Toc15377223"/>
      <w:r>
        <w:rPr>
          <w:rFonts w:ascii="方正楷体_GBK" w:eastAsia="方正楷体_GBK" w:hAnsi="方正楷体_GBK" w:cs="方正楷体_GBK"/>
          <w:b/>
          <w:bCs/>
          <w:color w:val="auto"/>
          <w:sz w:val="33"/>
          <w:szCs w:val="33"/>
        </w:rPr>
        <w:t>（二）政府采购支出情况</w:t>
      </w:r>
      <w:bookmarkEnd w:id="48"/>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lastRenderedPageBreak/>
        <w:t>2023</w:t>
      </w:r>
      <w:r>
        <w:rPr>
          <w:rFonts w:ascii="Times New Roman" w:eastAsia="方正仿宋_GBK" w:hAnsi="Times New Roman" w:cs="Times New Roman"/>
          <w:color w:val="auto"/>
          <w:sz w:val="33"/>
          <w:szCs w:val="33"/>
        </w:rPr>
        <w:t>年度，中共盐边县委党校政府采购支出总额</w:t>
      </w:r>
      <w:r>
        <w:rPr>
          <w:rFonts w:ascii="Times New Roman" w:eastAsia="方正仿宋_GBK" w:hAnsi="Times New Roman" w:cs="Times New Roman"/>
          <w:color w:val="auto"/>
          <w:sz w:val="33"/>
          <w:szCs w:val="33"/>
        </w:rPr>
        <w:t>39.96</w:t>
      </w:r>
      <w:r>
        <w:rPr>
          <w:rFonts w:ascii="Times New Roman" w:eastAsia="方正仿宋_GBK" w:hAnsi="Times New Roman" w:cs="Times New Roman"/>
          <w:color w:val="auto"/>
          <w:sz w:val="33"/>
          <w:szCs w:val="33"/>
        </w:rPr>
        <w:t>万元，其中：政府采购货物支出</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万元、政府采购工程支出</w:t>
      </w:r>
      <w:r>
        <w:rPr>
          <w:rFonts w:ascii="Times New Roman" w:eastAsia="方正仿宋_GBK" w:hAnsi="Times New Roman" w:cs="Times New Roman"/>
          <w:color w:val="auto"/>
          <w:sz w:val="33"/>
          <w:szCs w:val="33"/>
        </w:rPr>
        <w:t>0</w:t>
      </w:r>
      <w:r>
        <w:rPr>
          <w:rFonts w:ascii="Times New Roman" w:eastAsia="方正仿宋_GBK" w:hAnsi="Times New Roman" w:cs="Times New Roman"/>
          <w:color w:val="auto"/>
          <w:sz w:val="33"/>
          <w:szCs w:val="33"/>
        </w:rPr>
        <w:t>万元、政府采购服务支出</w:t>
      </w:r>
      <w:r>
        <w:rPr>
          <w:rFonts w:ascii="Times New Roman" w:eastAsia="方正仿宋_GBK" w:hAnsi="Times New Roman" w:cs="Times New Roman"/>
          <w:color w:val="auto"/>
          <w:sz w:val="33"/>
          <w:szCs w:val="33"/>
        </w:rPr>
        <w:t>39.96</w:t>
      </w:r>
      <w:r>
        <w:rPr>
          <w:rFonts w:ascii="Times New Roman" w:eastAsia="方正仿宋_GBK" w:hAnsi="Times New Roman" w:cs="Times New Roman"/>
          <w:color w:val="auto"/>
          <w:sz w:val="33"/>
          <w:szCs w:val="33"/>
        </w:rPr>
        <w:t>万元。主要用于</w:t>
      </w:r>
      <w:r>
        <w:rPr>
          <w:rFonts w:ascii="Times New Roman" w:eastAsia="方正仿宋_GBK" w:hAnsi="Times New Roman" w:cs="Times New Roman"/>
          <w:color w:val="auto"/>
          <w:sz w:val="33"/>
          <w:szCs w:val="33"/>
        </w:rPr>
        <w:t>危机管理实训信息系统和采购办公设备</w:t>
      </w:r>
      <w:r>
        <w:rPr>
          <w:rFonts w:ascii="Times New Roman" w:eastAsia="方正仿宋_GBK" w:hAnsi="Times New Roman" w:cs="Times New Roman"/>
          <w:color w:val="auto"/>
          <w:sz w:val="33"/>
          <w:szCs w:val="33"/>
        </w:rPr>
        <w:t>。授予中小企业合同金额</w:t>
      </w:r>
      <w:r>
        <w:rPr>
          <w:rFonts w:ascii="Times New Roman" w:eastAsia="方正仿宋_GBK" w:hAnsi="Times New Roman" w:cs="Times New Roman"/>
          <w:color w:val="auto"/>
          <w:sz w:val="33"/>
          <w:szCs w:val="33"/>
        </w:rPr>
        <w:t>39.96</w:t>
      </w:r>
      <w:r>
        <w:rPr>
          <w:rFonts w:ascii="Times New Roman" w:eastAsia="方正仿宋_GBK" w:hAnsi="Times New Roman" w:cs="Times New Roman"/>
          <w:color w:val="auto"/>
          <w:sz w:val="33"/>
          <w:szCs w:val="33"/>
        </w:rPr>
        <w:t>万元，占政府采购支出总额的</w:t>
      </w:r>
      <w:r>
        <w:rPr>
          <w:rFonts w:ascii="Times New Roman" w:eastAsia="方正仿宋_GBK" w:hAnsi="Times New Roman" w:cs="Times New Roman"/>
          <w:color w:val="auto"/>
          <w:sz w:val="33"/>
          <w:szCs w:val="33"/>
        </w:rPr>
        <w:t>1%</w:t>
      </w:r>
      <w:r>
        <w:rPr>
          <w:rFonts w:ascii="Times New Roman" w:eastAsia="方正仿宋_GBK" w:hAnsi="Times New Roman" w:cs="Times New Roman"/>
          <w:color w:val="auto"/>
          <w:sz w:val="33"/>
          <w:szCs w:val="33"/>
        </w:rPr>
        <w:t>，其中：授予小</w:t>
      </w:r>
      <w:proofErr w:type="gramStart"/>
      <w:r>
        <w:rPr>
          <w:rFonts w:ascii="Times New Roman" w:eastAsia="方正仿宋_GBK" w:hAnsi="Times New Roman" w:cs="Times New Roman"/>
          <w:color w:val="auto"/>
          <w:sz w:val="33"/>
          <w:szCs w:val="33"/>
        </w:rPr>
        <w:t>微企业</w:t>
      </w:r>
      <w:proofErr w:type="gramEnd"/>
      <w:r>
        <w:rPr>
          <w:rFonts w:ascii="Times New Roman" w:eastAsia="方正仿宋_GBK" w:hAnsi="Times New Roman" w:cs="Times New Roman"/>
          <w:color w:val="auto"/>
          <w:sz w:val="33"/>
          <w:szCs w:val="33"/>
        </w:rPr>
        <w:t>合同金额</w:t>
      </w:r>
      <w:r>
        <w:rPr>
          <w:rFonts w:ascii="Times New Roman" w:eastAsia="方正仿宋_GBK" w:hAnsi="Times New Roman" w:cs="Times New Roman"/>
          <w:color w:val="auto"/>
          <w:sz w:val="33"/>
          <w:szCs w:val="33"/>
        </w:rPr>
        <w:t>39.96</w:t>
      </w:r>
      <w:r>
        <w:rPr>
          <w:rFonts w:ascii="Times New Roman" w:eastAsia="方正仿宋_GBK" w:hAnsi="Times New Roman" w:cs="Times New Roman"/>
          <w:color w:val="auto"/>
          <w:sz w:val="33"/>
          <w:szCs w:val="33"/>
        </w:rPr>
        <w:t>万元，占政府采购支出总额的</w:t>
      </w:r>
      <w:r>
        <w:rPr>
          <w:rFonts w:ascii="Times New Roman" w:eastAsia="方正仿宋_GBK" w:hAnsi="Times New Roman" w:cs="Times New Roman"/>
          <w:color w:val="auto"/>
          <w:sz w:val="33"/>
          <w:szCs w:val="33"/>
        </w:rPr>
        <w:t>100%</w:t>
      </w:r>
      <w:r>
        <w:rPr>
          <w:rFonts w:ascii="Times New Roman" w:eastAsia="方正仿宋_GBK" w:hAnsi="Times New Roman" w:cs="Times New Roman"/>
          <w:color w:val="auto"/>
          <w:sz w:val="33"/>
          <w:szCs w:val="33"/>
        </w:rPr>
        <w:t>。</w:t>
      </w:r>
    </w:p>
    <w:p w:rsidR="00C53AD4" w:rsidRDefault="001C3CD3">
      <w:pPr>
        <w:pStyle w:val="Default"/>
        <w:spacing w:line="576" w:lineRule="exact"/>
        <w:ind w:firstLineChars="200" w:firstLine="663"/>
        <w:jc w:val="both"/>
        <w:rPr>
          <w:rFonts w:ascii="方正楷体_GBK" w:eastAsia="方正楷体_GBK" w:hAnsi="方正楷体_GBK" w:cs="方正楷体_GBK"/>
          <w:b/>
          <w:bCs/>
          <w:color w:val="auto"/>
          <w:sz w:val="33"/>
          <w:szCs w:val="33"/>
        </w:rPr>
      </w:pPr>
      <w:bookmarkStart w:id="49" w:name="_Toc15377224"/>
      <w:r>
        <w:rPr>
          <w:rFonts w:ascii="方正楷体_GBK" w:eastAsia="方正楷体_GBK" w:hAnsi="方正楷体_GBK" w:cs="方正楷体_GBK"/>
          <w:b/>
          <w:bCs/>
          <w:color w:val="auto"/>
          <w:sz w:val="33"/>
          <w:szCs w:val="33"/>
        </w:rPr>
        <w:t>（三）国有资产占有使用情况</w:t>
      </w:r>
      <w:bookmarkEnd w:id="49"/>
    </w:p>
    <w:p w:rsidR="00C53AD4" w:rsidRDefault="001C3CD3">
      <w:pPr>
        <w:autoSpaceDE w:val="0"/>
        <w:autoSpaceDN w:val="0"/>
        <w:adjustRightInd w:val="0"/>
        <w:spacing w:line="576" w:lineRule="exact"/>
        <w:ind w:firstLineChars="200" w:firstLine="660"/>
        <w:rPr>
          <w:rFonts w:eastAsia="方正仿宋_GBK"/>
          <w:kern w:val="0"/>
          <w:sz w:val="33"/>
          <w:szCs w:val="33"/>
        </w:rPr>
      </w:pPr>
      <w:r>
        <w:rPr>
          <w:rFonts w:eastAsia="方正仿宋_GBK"/>
          <w:kern w:val="0"/>
          <w:sz w:val="33"/>
          <w:szCs w:val="33"/>
        </w:rPr>
        <w:t>截至</w:t>
      </w:r>
      <w:r>
        <w:rPr>
          <w:rFonts w:eastAsia="方正仿宋_GBK"/>
          <w:kern w:val="0"/>
          <w:sz w:val="33"/>
          <w:szCs w:val="33"/>
        </w:rPr>
        <w:t>2023</w:t>
      </w:r>
      <w:r>
        <w:rPr>
          <w:rFonts w:eastAsia="方正仿宋_GBK"/>
          <w:kern w:val="0"/>
          <w:sz w:val="33"/>
          <w:szCs w:val="33"/>
        </w:rPr>
        <w:t>年</w:t>
      </w:r>
      <w:r>
        <w:rPr>
          <w:rFonts w:eastAsia="方正仿宋_GBK"/>
          <w:kern w:val="0"/>
          <w:sz w:val="33"/>
          <w:szCs w:val="33"/>
        </w:rPr>
        <w:t>12</w:t>
      </w:r>
      <w:r>
        <w:rPr>
          <w:rFonts w:eastAsia="方正仿宋_GBK"/>
          <w:kern w:val="0"/>
          <w:sz w:val="33"/>
          <w:szCs w:val="33"/>
        </w:rPr>
        <w:t>月</w:t>
      </w:r>
      <w:r>
        <w:rPr>
          <w:rFonts w:eastAsia="方正仿宋_GBK"/>
          <w:kern w:val="0"/>
          <w:sz w:val="33"/>
          <w:szCs w:val="33"/>
        </w:rPr>
        <w:t>31</w:t>
      </w:r>
      <w:r>
        <w:rPr>
          <w:rFonts w:eastAsia="方正仿宋_GBK"/>
          <w:kern w:val="0"/>
          <w:sz w:val="33"/>
          <w:szCs w:val="33"/>
        </w:rPr>
        <w:t>日，中共盐边县委党校共有车辆</w:t>
      </w:r>
      <w:r>
        <w:rPr>
          <w:rFonts w:eastAsia="方正仿宋_GBK"/>
          <w:kern w:val="0"/>
          <w:sz w:val="33"/>
          <w:szCs w:val="33"/>
        </w:rPr>
        <w:t>1</w:t>
      </w:r>
      <w:r>
        <w:rPr>
          <w:rFonts w:eastAsia="方正仿宋_GBK"/>
          <w:kern w:val="0"/>
          <w:sz w:val="33"/>
          <w:szCs w:val="33"/>
        </w:rPr>
        <w:t>辆，其中：主要领导干部用车</w:t>
      </w:r>
      <w:r>
        <w:rPr>
          <w:rFonts w:eastAsia="方正仿宋_GBK"/>
          <w:kern w:val="0"/>
          <w:sz w:val="33"/>
          <w:szCs w:val="33"/>
        </w:rPr>
        <w:t>0</w:t>
      </w:r>
      <w:r>
        <w:rPr>
          <w:rFonts w:eastAsia="方正仿宋_GBK"/>
          <w:kern w:val="0"/>
          <w:sz w:val="33"/>
          <w:szCs w:val="33"/>
        </w:rPr>
        <w:t>辆、机要通信用车</w:t>
      </w:r>
      <w:r>
        <w:rPr>
          <w:rFonts w:eastAsia="方正仿宋_GBK"/>
          <w:kern w:val="0"/>
          <w:sz w:val="33"/>
          <w:szCs w:val="33"/>
        </w:rPr>
        <w:t>0</w:t>
      </w:r>
      <w:r>
        <w:rPr>
          <w:rFonts w:eastAsia="方正仿宋_GBK"/>
          <w:kern w:val="0"/>
          <w:sz w:val="33"/>
          <w:szCs w:val="33"/>
        </w:rPr>
        <w:t>辆、应急保障用车</w:t>
      </w:r>
      <w:r>
        <w:rPr>
          <w:rFonts w:eastAsia="方正仿宋_GBK"/>
          <w:kern w:val="0"/>
          <w:sz w:val="33"/>
          <w:szCs w:val="33"/>
        </w:rPr>
        <w:t>0</w:t>
      </w:r>
      <w:r>
        <w:rPr>
          <w:rFonts w:eastAsia="方正仿宋_GBK"/>
          <w:kern w:val="0"/>
          <w:sz w:val="33"/>
          <w:szCs w:val="33"/>
        </w:rPr>
        <w:t>辆、其他用车</w:t>
      </w:r>
      <w:r>
        <w:rPr>
          <w:rFonts w:eastAsia="方正仿宋_GBK"/>
          <w:kern w:val="0"/>
          <w:sz w:val="33"/>
          <w:szCs w:val="33"/>
        </w:rPr>
        <w:t>1</w:t>
      </w:r>
      <w:r>
        <w:rPr>
          <w:rFonts w:eastAsia="方正仿宋_GBK"/>
          <w:kern w:val="0"/>
          <w:sz w:val="33"/>
          <w:szCs w:val="33"/>
        </w:rPr>
        <w:t>辆，其他用车主要是用于公务出差。单价</w:t>
      </w:r>
      <w:r>
        <w:rPr>
          <w:rFonts w:eastAsia="方正仿宋_GBK"/>
          <w:kern w:val="0"/>
          <w:sz w:val="33"/>
          <w:szCs w:val="33"/>
        </w:rPr>
        <w:t>100</w:t>
      </w:r>
      <w:r>
        <w:rPr>
          <w:rFonts w:eastAsia="方正仿宋_GBK"/>
          <w:kern w:val="0"/>
          <w:sz w:val="33"/>
          <w:szCs w:val="33"/>
        </w:rPr>
        <w:t>万元以上设备（不含车辆）</w:t>
      </w:r>
      <w:r>
        <w:rPr>
          <w:rFonts w:eastAsia="方正仿宋_GBK"/>
          <w:kern w:val="0"/>
          <w:sz w:val="33"/>
          <w:szCs w:val="33"/>
        </w:rPr>
        <w:t>0</w:t>
      </w:r>
      <w:r>
        <w:rPr>
          <w:rFonts w:eastAsia="方正仿宋_GBK"/>
          <w:kern w:val="0"/>
          <w:sz w:val="33"/>
          <w:szCs w:val="33"/>
        </w:rPr>
        <w:t>台（套）。</w:t>
      </w:r>
    </w:p>
    <w:p w:rsidR="00C53AD4" w:rsidRDefault="001C3CD3">
      <w:pPr>
        <w:autoSpaceDE w:val="0"/>
        <w:autoSpaceDN w:val="0"/>
        <w:adjustRightInd w:val="0"/>
        <w:spacing w:line="576" w:lineRule="exact"/>
        <w:ind w:firstLineChars="200" w:firstLine="663"/>
        <w:outlineLvl w:val="2"/>
        <w:rPr>
          <w:rFonts w:ascii="方正楷体_GBK" w:eastAsia="方正楷体_GBK" w:hAnsi="方正楷体_GBK" w:cs="方正楷体_GBK"/>
          <w:b/>
          <w:bCs/>
          <w:kern w:val="0"/>
          <w:sz w:val="33"/>
          <w:szCs w:val="33"/>
        </w:rPr>
      </w:pPr>
      <w:r>
        <w:rPr>
          <w:rFonts w:ascii="方正楷体_GBK" w:eastAsia="方正楷体_GBK" w:hAnsi="方正楷体_GBK" w:cs="方正楷体_GBK"/>
          <w:b/>
          <w:bCs/>
          <w:kern w:val="0"/>
          <w:sz w:val="33"/>
          <w:szCs w:val="33"/>
        </w:rPr>
        <w:t>（四）预算绩效管理情况</w:t>
      </w:r>
    </w:p>
    <w:p w:rsidR="00C53AD4" w:rsidRDefault="001C3CD3">
      <w:pPr>
        <w:spacing w:line="576" w:lineRule="exact"/>
        <w:ind w:firstLineChars="200" w:firstLine="660"/>
        <w:rPr>
          <w:rFonts w:eastAsia="方正仿宋_GBK"/>
          <w:sz w:val="33"/>
          <w:szCs w:val="33"/>
        </w:rPr>
      </w:pPr>
      <w:r>
        <w:rPr>
          <w:rFonts w:eastAsia="方正仿宋_GBK"/>
          <w:sz w:val="33"/>
          <w:szCs w:val="33"/>
        </w:rPr>
        <w:t>根据预算绩效管理要求，本单位在</w:t>
      </w:r>
      <w:r>
        <w:rPr>
          <w:rFonts w:eastAsia="方正仿宋_GBK"/>
          <w:sz w:val="33"/>
          <w:szCs w:val="33"/>
        </w:rPr>
        <w:t>2023</w:t>
      </w:r>
      <w:r>
        <w:rPr>
          <w:rFonts w:eastAsia="方正仿宋_GBK"/>
          <w:sz w:val="33"/>
          <w:szCs w:val="33"/>
        </w:rPr>
        <w:t>年度预算编制阶段，组织对主体班干部培训</w:t>
      </w:r>
      <w:r>
        <w:rPr>
          <w:rFonts w:eastAsia="方正仿宋_GBK"/>
          <w:sz w:val="33"/>
          <w:szCs w:val="33"/>
        </w:rPr>
        <w:t>、科研资政、</w:t>
      </w:r>
      <w:r>
        <w:rPr>
          <w:rFonts w:eastAsia="方正仿宋_GBK"/>
          <w:sz w:val="33"/>
          <w:szCs w:val="33"/>
        </w:rPr>
        <w:t>2022</w:t>
      </w:r>
      <w:r>
        <w:rPr>
          <w:rFonts w:eastAsia="方正仿宋_GBK"/>
          <w:sz w:val="33"/>
          <w:szCs w:val="33"/>
        </w:rPr>
        <w:t>年基层干训机构建设、图书馆图书购买、图书馆布置</w:t>
      </w:r>
      <w:r>
        <w:rPr>
          <w:rFonts w:eastAsia="方正仿宋_GBK"/>
          <w:sz w:val="33"/>
          <w:szCs w:val="33"/>
        </w:rPr>
        <w:t>、</w:t>
      </w:r>
      <w:r>
        <w:rPr>
          <w:rFonts w:eastAsia="方正仿宋_GBK"/>
          <w:sz w:val="33"/>
          <w:szCs w:val="33"/>
        </w:rPr>
        <w:t>2023</w:t>
      </w:r>
      <w:r>
        <w:rPr>
          <w:rFonts w:eastAsia="方正仿宋_GBK"/>
          <w:sz w:val="33"/>
          <w:szCs w:val="33"/>
        </w:rPr>
        <w:t>年度干部外出培训</w:t>
      </w:r>
      <w:r>
        <w:rPr>
          <w:rFonts w:eastAsia="方正仿宋_GBK"/>
          <w:sz w:val="33"/>
          <w:szCs w:val="33"/>
        </w:rPr>
        <w:t>等</w:t>
      </w:r>
      <w:r>
        <w:rPr>
          <w:rFonts w:eastAsia="方正仿宋_GBK" w:hint="eastAsia"/>
          <w:sz w:val="33"/>
          <w:szCs w:val="33"/>
        </w:rPr>
        <w:t>6</w:t>
      </w:r>
      <w:r>
        <w:rPr>
          <w:rFonts w:eastAsia="方正仿宋_GBK"/>
          <w:sz w:val="33"/>
          <w:szCs w:val="33"/>
        </w:rPr>
        <w:t>个项目开展了预算事前绩效评估，对</w:t>
      </w:r>
      <w:r>
        <w:rPr>
          <w:rFonts w:eastAsia="方正仿宋_GBK" w:hint="eastAsia"/>
          <w:sz w:val="33"/>
          <w:szCs w:val="33"/>
        </w:rPr>
        <w:t>6</w:t>
      </w:r>
      <w:r>
        <w:rPr>
          <w:rFonts w:eastAsia="方正仿宋_GBK"/>
          <w:sz w:val="33"/>
          <w:szCs w:val="33"/>
        </w:rPr>
        <w:t>个项目编制了绩效目标，预算执行过程中，选取</w:t>
      </w:r>
      <w:r>
        <w:rPr>
          <w:rFonts w:eastAsia="方正仿宋_GBK"/>
          <w:sz w:val="33"/>
          <w:szCs w:val="33"/>
        </w:rPr>
        <w:t>2</w:t>
      </w:r>
      <w:r>
        <w:rPr>
          <w:rFonts w:eastAsia="方正仿宋_GBK"/>
          <w:sz w:val="33"/>
          <w:szCs w:val="33"/>
        </w:rPr>
        <w:t>个项目开展绩效监控，组织对</w:t>
      </w:r>
      <w:r>
        <w:rPr>
          <w:rFonts w:eastAsia="方正仿宋_GBK"/>
          <w:sz w:val="33"/>
          <w:szCs w:val="33"/>
        </w:rPr>
        <w:t>2</w:t>
      </w:r>
      <w:r>
        <w:rPr>
          <w:rFonts w:eastAsia="方正仿宋_GBK"/>
          <w:sz w:val="33"/>
          <w:szCs w:val="33"/>
        </w:rPr>
        <w:t>个项目开展绩效自评，绩效自评表详见第四部分附件。</w:t>
      </w:r>
    </w:p>
    <w:p w:rsidR="00C53AD4" w:rsidRDefault="001C3CD3">
      <w:pPr>
        <w:spacing w:line="576" w:lineRule="exact"/>
        <w:ind w:firstLineChars="200" w:firstLine="660"/>
        <w:rPr>
          <w:rFonts w:eastAsia="方正仿宋_GBK"/>
          <w:sz w:val="33"/>
          <w:szCs w:val="33"/>
        </w:rPr>
      </w:pPr>
      <w:r>
        <w:rPr>
          <w:rFonts w:eastAsia="方正仿宋_GBK"/>
          <w:sz w:val="33"/>
          <w:szCs w:val="33"/>
        </w:rPr>
        <w:br w:type="page"/>
      </w:r>
    </w:p>
    <w:p w:rsidR="00C53AD4" w:rsidRDefault="001C3CD3">
      <w:pPr>
        <w:spacing w:line="576" w:lineRule="exact"/>
        <w:jc w:val="center"/>
        <w:outlineLvl w:val="0"/>
        <w:rPr>
          <w:rStyle w:val="1Char"/>
          <w:rFonts w:ascii="方正小标宋_GBK" w:eastAsia="方正小标宋_GBK" w:hAnsi="方正小标宋_GBK" w:cs="方正小标宋_GBK"/>
          <w:sz w:val="38"/>
          <w:szCs w:val="38"/>
        </w:rPr>
      </w:pPr>
      <w:bookmarkStart w:id="50" w:name="_Toc15396613"/>
      <w:bookmarkStart w:id="51" w:name="_Toc15377225"/>
      <w:r>
        <w:rPr>
          <w:rFonts w:ascii="方正小标宋_GBK" w:eastAsia="方正小标宋_GBK" w:hAnsi="方正小标宋_GBK" w:cs="方正小标宋_GBK" w:hint="eastAsia"/>
          <w:b/>
          <w:bCs/>
          <w:sz w:val="38"/>
          <w:szCs w:val="38"/>
        </w:rPr>
        <w:lastRenderedPageBreak/>
        <w:t>第三部分</w:t>
      </w:r>
      <w:r>
        <w:rPr>
          <w:rFonts w:ascii="方正小标宋_GBK" w:eastAsia="方正小标宋_GBK" w:hAnsi="方正小标宋_GBK" w:cs="方正小标宋_GBK" w:hint="eastAsia"/>
          <w:b/>
          <w:bCs/>
          <w:sz w:val="38"/>
          <w:szCs w:val="38"/>
        </w:rPr>
        <w:t xml:space="preserve">  </w:t>
      </w:r>
      <w:r>
        <w:rPr>
          <w:rFonts w:ascii="方正小标宋_GBK" w:eastAsia="方正小标宋_GBK" w:hAnsi="方正小标宋_GBK" w:cs="方正小标宋_GBK" w:hint="eastAsia"/>
          <w:b/>
          <w:bCs/>
          <w:sz w:val="38"/>
          <w:szCs w:val="38"/>
        </w:rPr>
        <w:t>名</w:t>
      </w:r>
      <w:r>
        <w:rPr>
          <w:rStyle w:val="1Char"/>
          <w:rFonts w:ascii="方正小标宋_GBK" w:eastAsia="方正小标宋_GBK" w:hAnsi="方正小标宋_GBK" w:cs="方正小标宋_GBK" w:hint="eastAsia"/>
          <w:sz w:val="38"/>
          <w:szCs w:val="38"/>
        </w:rPr>
        <w:t>词解释</w:t>
      </w:r>
      <w:bookmarkEnd w:id="50"/>
      <w:bookmarkEnd w:id="51"/>
    </w:p>
    <w:p w:rsidR="00C53AD4" w:rsidRDefault="00C53AD4">
      <w:pPr>
        <w:spacing w:line="576" w:lineRule="exact"/>
        <w:rPr>
          <w:rFonts w:eastAsia="方正仿宋_GBK"/>
          <w:b/>
          <w:sz w:val="33"/>
          <w:szCs w:val="33"/>
        </w:rPr>
      </w:pPr>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1.</w:t>
      </w:r>
      <w:r>
        <w:rPr>
          <w:rFonts w:ascii="Times New Roman" w:eastAsia="方正仿宋_GBK" w:hAnsi="Times New Roman" w:cs="Times New Roman"/>
          <w:color w:val="auto"/>
          <w:sz w:val="33"/>
          <w:szCs w:val="33"/>
        </w:rPr>
        <w:t>财政拨款收入：指单位从同级财政部门取得的财政预算资金。</w:t>
      </w:r>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2.</w:t>
      </w:r>
      <w:r>
        <w:rPr>
          <w:rFonts w:ascii="Times New Roman" w:eastAsia="方正仿宋_GBK" w:hAnsi="Times New Roman" w:cs="Times New Roman"/>
          <w:color w:val="auto"/>
          <w:sz w:val="33"/>
          <w:szCs w:val="33"/>
        </w:rPr>
        <w:t>事业收入：指事业单位开展专业业务活动及辅助活动取得的收入。</w:t>
      </w:r>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3.</w:t>
      </w:r>
      <w:r>
        <w:rPr>
          <w:rFonts w:ascii="Times New Roman" w:eastAsia="方正仿宋_GBK" w:hAnsi="Times New Roman" w:cs="Times New Roman"/>
          <w:color w:val="auto"/>
          <w:sz w:val="33"/>
          <w:szCs w:val="33"/>
        </w:rPr>
        <w:t>经营收入：指事业单位在专业业务活动及其辅助活动之外开展非独立核算经营活动取得的收入。</w:t>
      </w:r>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4.</w:t>
      </w:r>
      <w:r>
        <w:rPr>
          <w:rFonts w:ascii="Times New Roman" w:eastAsia="方正仿宋_GBK" w:hAnsi="Times New Roman" w:cs="Times New Roman"/>
          <w:color w:val="auto"/>
          <w:sz w:val="33"/>
          <w:szCs w:val="33"/>
        </w:rPr>
        <w:t>其他收入：指单位取得的除上述收入以外的各项收入。</w:t>
      </w:r>
      <w:r>
        <w:rPr>
          <w:rFonts w:ascii="Times New Roman" w:eastAsia="方正仿宋_GBK" w:hAnsi="Times New Roman" w:cs="Times New Roman"/>
          <w:color w:val="auto"/>
          <w:sz w:val="33"/>
          <w:szCs w:val="33"/>
        </w:rPr>
        <w:t xml:space="preserve"> </w:t>
      </w:r>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5.</w:t>
      </w:r>
      <w:r>
        <w:rPr>
          <w:rFonts w:ascii="Times New Roman" w:eastAsia="方正仿宋_GBK" w:hAnsi="Times New Roman" w:cs="Times New Roman"/>
          <w:color w:val="auto"/>
          <w:sz w:val="33"/>
          <w:szCs w:val="33"/>
        </w:rPr>
        <w:t>使用非财政拨款结余（含专用结余）：指事业单位使用以前年度积累的非财政拨款结余弥补当年收支差额的金额。</w:t>
      </w:r>
      <w:r>
        <w:rPr>
          <w:rFonts w:ascii="Times New Roman" w:eastAsia="方正仿宋_GBK" w:hAnsi="Times New Roman" w:cs="Times New Roman"/>
          <w:color w:val="auto"/>
          <w:sz w:val="33"/>
          <w:szCs w:val="33"/>
        </w:rPr>
        <w:t xml:space="preserve"> </w:t>
      </w:r>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6.</w:t>
      </w:r>
      <w:r>
        <w:rPr>
          <w:rFonts w:ascii="Times New Roman" w:eastAsia="方正仿宋_GBK" w:hAnsi="Times New Roman" w:cs="Times New Roman"/>
          <w:color w:val="auto"/>
          <w:sz w:val="33"/>
          <w:szCs w:val="33"/>
        </w:rPr>
        <w:t>年初结转和结余：指以前年度尚未完成、结转到本年按有关规定继续使用的资金。</w:t>
      </w:r>
      <w:r>
        <w:rPr>
          <w:rFonts w:ascii="Times New Roman" w:eastAsia="方正仿宋_GBK" w:hAnsi="Times New Roman" w:cs="Times New Roman"/>
          <w:color w:val="auto"/>
          <w:sz w:val="33"/>
          <w:szCs w:val="33"/>
        </w:rPr>
        <w:t xml:space="preserve"> </w:t>
      </w:r>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7.</w:t>
      </w:r>
      <w:r>
        <w:rPr>
          <w:rFonts w:ascii="Times New Roman" w:eastAsia="方正仿宋_GBK" w:hAnsi="Times New Roman" w:cs="Times New Roman"/>
          <w:color w:val="auto"/>
          <w:sz w:val="33"/>
          <w:szCs w:val="33"/>
        </w:rPr>
        <w:t>结余分配：指事业单位按照会计制度规定缴纳的所得税、提取的专用结余以及转入非财政拨款结余的金额等。</w:t>
      </w:r>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8.</w:t>
      </w:r>
      <w:r>
        <w:rPr>
          <w:rFonts w:ascii="Times New Roman" w:eastAsia="方正仿宋_GBK" w:hAnsi="Times New Roman" w:cs="Times New Roman"/>
          <w:color w:val="auto"/>
          <w:sz w:val="33"/>
          <w:szCs w:val="33"/>
        </w:rPr>
        <w:t>年末结转和结余：指单位按有关规定结转到下年或以后年度继续使用的资金。</w:t>
      </w:r>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9.</w:t>
      </w:r>
      <w:r>
        <w:rPr>
          <w:rFonts w:ascii="Times New Roman" w:eastAsia="方正仿宋_GBK" w:hAnsi="Times New Roman" w:cs="Times New Roman"/>
          <w:color w:val="auto"/>
          <w:sz w:val="33"/>
          <w:szCs w:val="33"/>
        </w:rPr>
        <w:t>一般公共服务（类）</w:t>
      </w:r>
      <w:r>
        <w:rPr>
          <w:rFonts w:ascii="Times New Roman" w:eastAsia="方正仿宋_GBK" w:hAnsi="Times New Roman" w:cs="Times New Roman"/>
          <w:color w:val="auto"/>
          <w:sz w:val="33"/>
          <w:szCs w:val="33"/>
        </w:rPr>
        <w:t>组织事务</w:t>
      </w:r>
      <w:r>
        <w:rPr>
          <w:rFonts w:ascii="Times New Roman" w:eastAsia="方正仿宋_GBK" w:hAnsi="Times New Roman" w:cs="Times New Roman"/>
          <w:color w:val="auto"/>
          <w:sz w:val="33"/>
          <w:szCs w:val="33"/>
        </w:rPr>
        <w:t>（款）一般行政管理事务（项）：指</w:t>
      </w:r>
      <w:r>
        <w:rPr>
          <w:rFonts w:ascii="Times New Roman" w:eastAsia="方正仿宋_GBK" w:hAnsi="Times New Roman" w:cs="Times New Roman"/>
          <w:color w:val="auto"/>
          <w:sz w:val="33"/>
          <w:szCs w:val="33"/>
        </w:rPr>
        <w:t>反映行政单位未单独设置项级科目</w:t>
      </w:r>
      <w:r>
        <w:rPr>
          <w:rFonts w:ascii="Times New Roman" w:eastAsia="方正仿宋_GBK" w:hAnsi="Times New Roman" w:cs="Times New Roman"/>
          <w:color w:val="auto"/>
          <w:sz w:val="33"/>
          <w:szCs w:val="33"/>
        </w:rPr>
        <w:t>的其他项目支出</w:t>
      </w:r>
      <w:r>
        <w:rPr>
          <w:rFonts w:ascii="Times New Roman" w:eastAsia="方正仿宋_GBK" w:hAnsi="Times New Roman" w:cs="Times New Roman"/>
          <w:color w:val="auto"/>
          <w:sz w:val="33"/>
          <w:szCs w:val="33"/>
        </w:rPr>
        <w:t>。</w:t>
      </w:r>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10.</w:t>
      </w:r>
      <w:r>
        <w:rPr>
          <w:rFonts w:ascii="Times New Roman" w:eastAsia="方正仿宋_GBK" w:hAnsi="Times New Roman" w:cs="Times New Roman"/>
          <w:color w:val="auto"/>
          <w:sz w:val="33"/>
          <w:szCs w:val="33"/>
        </w:rPr>
        <w:t>一般公共服务（类）</w:t>
      </w:r>
      <w:r>
        <w:rPr>
          <w:rFonts w:ascii="Times New Roman" w:eastAsia="方正仿宋_GBK" w:hAnsi="Times New Roman" w:cs="Times New Roman"/>
          <w:color w:val="auto"/>
          <w:sz w:val="33"/>
          <w:szCs w:val="33"/>
        </w:rPr>
        <w:t>组织事务</w:t>
      </w:r>
      <w:r>
        <w:rPr>
          <w:rFonts w:ascii="Times New Roman" w:eastAsia="方正仿宋_GBK" w:hAnsi="Times New Roman" w:cs="Times New Roman"/>
          <w:color w:val="auto"/>
          <w:sz w:val="33"/>
          <w:szCs w:val="33"/>
        </w:rPr>
        <w:t>（款）</w:t>
      </w:r>
      <w:r>
        <w:rPr>
          <w:rFonts w:ascii="Times New Roman" w:eastAsia="方正仿宋_GBK" w:hAnsi="Times New Roman" w:cs="Times New Roman"/>
          <w:color w:val="auto"/>
          <w:sz w:val="33"/>
          <w:szCs w:val="33"/>
        </w:rPr>
        <w:t>其他组织事务</w:t>
      </w:r>
      <w:r>
        <w:rPr>
          <w:rFonts w:ascii="Times New Roman" w:eastAsia="方正仿宋_GBK" w:hAnsi="Times New Roman" w:cs="Times New Roman"/>
          <w:color w:val="auto"/>
          <w:sz w:val="33"/>
          <w:szCs w:val="33"/>
        </w:rPr>
        <w:t>（项）：指</w:t>
      </w:r>
      <w:r>
        <w:rPr>
          <w:rFonts w:ascii="Times New Roman" w:eastAsia="方正仿宋_GBK" w:hAnsi="Times New Roman" w:cs="Times New Roman"/>
          <w:color w:val="auto"/>
          <w:sz w:val="33"/>
          <w:szCs w:val="33"/>
        </w:rPr>
        <w:t>反映除上述项目以外其他用于中国共产党组织部门的事务</w:t>
      </w:r>
      <w:r>
        <w:rPr>
          <w:rFonts w:ascii="Times New Roman" w:eastAsia="方正仿宋_GBK" w:hAnsi="Times New Roman" w:cs="Times New Roman"/>
          <w:color w:val="auto"/>
          <w:sz w:val="33"/>
          <w:szCs w:val="33"/>
        </w:rPr>
        <w:lastRenderedPageBreak/>
        <w:t>支出。</w:t>
      </w:r>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1</w:t>
      </w:r>
      <w:r>
        <w:rPr>
          <w:rFonts w:ascii="Times New Roman" w:eastAsia="方正仿宋_GBK" w:hAnsi="Times New Roman" w:cs="Times New Roman"/>
          <w:color w:val="auto"/>
          <w:sz w:val="33"/>
          <w:szCs w:val="33"/>
        </w:rPr>
        <w:t>1</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教育（类）</w:t>
      </w:r>
      <w:r>
        <w:rPr>
          <w:rFonts w:ascii="Times New Roman" w:eastAsia="方正仿宋_GBK" w:hAnsi="Times New Roman" w:cs="Times New Roman"/>
          <w:color w:val="auto"/>
          <w:sz w:val="33"/>
          <w:szCs w:val="33"/>
        </w:rPr>
        <w:t>教育管理事务</w:t>
      </w:r>
      <w:r>
        <w:rPr>
          <w:rFonts w:ascii="Times New Roman" w:eastAsia="方正仿宋_GBK" w:hAnsi="Times New Roman" w:cs="Times New Roman"/>
          <w:color w:val="auto"/>
          <w:sz w:val="33"/>
          <w:szCs w:val="33"/>
        </w:rPr>
        <w:t>（款）</w:t>
      </w:r>
      <w:r>
        <w:rPr>
          <w:rFonts w:ascii="Times New Roman" w:eastAsia="方正仿宋_GBK" w:hAnsi="Times New Roman" w:cs="Times New Roman"/>
          <w:color w:val="auto"/>
          <w:sz w:val="33"/>
          <w:szCs w:val="33"/>
        </w:rPr>
        <w:t>行政运行</w:t>
      </w:r>
      <w:r>
        <w:rPr>
          <w:rFonts w:ascii="Times New Roman" w:eastAsia="方正仿宋_GBK" w:hAnsi="Times New Roman" w:cs="Times New Roman"/>
          <w:color w:val="auto"/>
          <w:sz w:val="33"/>
          <w:szCs w:val="33"/>
        </w:rPr>
        <w:t>（项）：指</w:t>
      </w:r>
      <w:r>
        <w:rPr>
          <w:rFonts w:ascii="Times New Roman" w:eastAsia="方正仿宋_GBK" w:hAnsi="Times New Roman" w:cs="Times New Roman"/>
          <w:color w:val="auto"/>
          <w:sz w:val="33"/>
          <w:szCs w:val="33"/>
        </w:rPr>
        <w:t>反映行政单位的基本支出</w:t>
      </w:r>
      <w:r>
        <w:rPr>
          <w:rFonts w:ascii="Times New Roman" w:eastAsia="方正仿宋_GBK" w:hAnsi="Times New Roman" w:cs="Times New Roman"/>
          <w:color w:val="auto"/>
          <w:sz w:val="33"/>
          <w:szCs w:val="33"/>
        </w:rPr>
        <w:t>。</w:t>
      </w:r>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1</w:t>
      </w:r>
      <w:r>
        <w:rPr>
          <w:rFonts w:ascii="Times New Roman" w:eastAsia="方正仿宋_GBK" w:hAnsi="Times New Roman" w:cs="Times New Roman"/>
          <w:color w:val="auto"/>
          <w:sz w:val="33"/>
          <w:szCs w:val="33"/>
        </w:rPr>
        <w:t>2</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教育（类）</w:t>
      </w:r>
      <w:r>
        <w:rPr>
          <w:rFonts w:ascii="Times New Roman" w:eastAsia="方正仿宋_GBK" w:hAnsi="Times New Roman" w:cs="Times New Roman"/>
          <w:color w:val="auto"/>
          <w:sz w:val="33"/>
          <w:szCs w:val="33"/>
        </w:rPr>
        <w:t>教育管理事务</w:t>
      </w:r>
      <w:r>
        <w:rPr>
          <w:rFonts w:ascii="Times New Roman" w:eastAsia="方正仿宋_GBK" w:hAnsi="Times New Roman" w:cs="Times New Roman"/>
          <w:color w:val="auto"/>
          <w:sz w:val="33"/>
          <w:szCs w:val="33"/>
        </w:rPr>
        <w:t>（款）</w:t>
      </w:r>
      <w:r>
        <w:rPr>
          <w:rFonts w:ascii="Times New Roman" w:eastAsia="方正仿宋_GBK" w:hAnsi="Times New Roman" w:cs="Times New Roman"/>
          <w:color w:val="auto"/>
          <w:sz w:val="33"/>
          <w:szCs w:val="33"/>
        </w:rPr>
        <w:t>其他教育管理事务支出</w:t>
      </w:r>
      <w:r>
        <w:rPr>
          <w:rFonts w:ascii="Times New Roman" w:eastAsia="方正仿宋_GBK" w:hAnsi="Times New Roman" w:cs="Times New Roman"/>
          <w:color w:val="auto"/>
          <w:sz w:val="33"/>
          <w:szCs w:val="33"/>
        </w:rPr>
        <w:t>（项）：指</w:t>
      </w:r>
      <w:r>
        <w:rPr>
          <w:rFonts w:ascii="Times New Roman" w:eastAsia="方正仿宋_GBK" w:hAnsi="Times New Roman" w:cs="Times New Roman"/>
          <w:color w:val="auto"/>
          <w:sz w:val="33"/>
          <w:szCs w:val="33"/>
        </w:rPr>
        <w:t>反映除上述项目以外其他用教育管理事务方面的支出</w:t>
      </w:r>
      <w:r>
        <w:rPr>
          <w:rFonts w:ascii="Times New Roman" w:eastAsia="方正仿宋_GBK" w:hAnsi="Times New Roman" w:cs="Times New Roman"/>
          <w:color w:val="auto"/>
          <w:sz w:val="33"/>
          <w:szCs w:val="33"/>
        </w:rPr>
        <w:t>。</w:t>
      </w:r>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1</w:t>
      </w:r>
      <w:r>
        <w:rPr>
          <w:rFonts w:ascii="Times New Roman" w:eastAsia="方正仿宋_GBK" w:hAnsi="Times New Roman" w:cs="Times New Roman"/>
          <w:color w:val="auto"/>
          <w:sz w:val="33"/>
          <w:szCs w:val="33"/>
        </w:rPr>
        <w:t>3</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教育（类）</w:t>
      </w:r>
      <w:r>
        <w:rPr>
          <w:rFonts w:ascii="Times New Roman" w:eastAsia="方正仿宋_GBK" w:hAnsi="Times New Roman" w:cs="Times New Roman"/>
          <w:color w:val="auto"/>
          <w:sz w:val="33"/>
          <w:szCs w:val="33"/>
        </w:rPr>
        <w:t>进行及培训</w:t>
      </w:r>
      <w:r>
        <w:rPr>
          <w:rFonts w:ascii="Times New Roman" w:eastAsia="方正仿宋_GBK" w:hAnsi="Times New Roman" w:cs="Times New Roman"/>
          <w:color w:val="auto"/>
          <w:sz w:val="33"/>
          <w:szCs w:val="33"/>
        </w:rPr>
        <w:t>（款）</w:t>
      </w:r>
      <w:r>
        <w:rPr>
          <w:rFonts w:ascii="Times New Roman" w:eastAsia="方正仿宋_GBK" w:hAnsi="Times New Roman" w:cs="Times New Roman"/>
          <w:color w:val="auto"/>
          <w:sz w:val="33"/>
          <w:szCs w:val="33"/>
        </w:rPr>
        <w:t>其他教育管理事务</w:t>
      </w:r>
      <w:proofErr w:type="gramStart"/>
      <w:r>
        <w:rPr>
          <w:rFonts w:ascii="Times New Roman" w:eastAsia="方正仿宋_GBK" w:hAnsi="Times New Roman" w:cs="Times New Roman"/>
          <w:color w:val="auto"/>
          <w:sz w:val="33"/>
          <w:szCs w:val="33"/>
        </w:rPr>
        <w:t>支干部</w:t>
      </w:r>
      <w:proofErr w:type="gramEnd"/>
      <w:r>
        <w:rPr>
          <w:rFonts w:ascii="Times New Roman" w:eastAsia="方正仿宋_GBK" w:hAnsi="Times New Roman" w:cs="Times New Roman"/>
          <w:color w:val="auto"/>
          <w:sz w:val="33"/>
          <w:szCs w:val="33"/>
        </w:rPr>
        <w:t>教育</w:t>
      </w:r>
      <w:r>
        <w:rPr>
          <w:rFonts w:ascii="Times New Roman" w:eastAsia="方正仿宋_GBK" w:hAnsi="Times New Roman" w:cs="Times New Roman"/>
          <w:color w:val="auto"/>
          <w:sz w:val="33"/>
          <w:szCs w:val="33"/>
        </w:rPr>
        <w:t>（项）：指</w:t>
      </w:r>
      <w:r>
        <w:rPr>
          <w:rFonts w:ascii="Times New Roman" w:eastAsia="方正仿宋_GBK" w:hAnsi="Times New Roman" w:cs="Times New Roman"/>
          <w:color w:val="auto"/>
          <w:sz w:val="33"/>
          <w:szCs w:val="33"/>
        </w:rPr>
        <w:t>反映各级党校、行政学院、社会主义学院、国家会计学院的支出。</w:t>
      </w:r>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1</w:t>
      </w:r>
      <w:r>
        <w:rPr>
          <w:rFonts w:ascii="Times New Roman" w:eastAsia="方正仿宋_GBK" w:hAnsi="Times New Roman" w:cs="Times New Roman"/>
          <w:color w:val="auto"/>
          <w:sz w:val="33"/>
          <w:szCs w:val="33"/>
        </w:rPr>
        <w:t>4</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社会保障和就业支出（类）行政事业单位养老支出（款）事业单位离退休费（项）：反映事业单位开支的离退休经费。</w:t>
      </w:r>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1</w:t>
      </w:r>
      <w:r>
        <w:rPr>
          <w:rFonts w:ascii="Times New Roman" w:eastAsia="方正仿宋_GBK" w:hAnsi="Times New Roman" w:cs="Times New Roman"/>
          <w:color w:val="auto"/>
          <w:sz w:val="33"/>
          <w:szCs w:val="33"/>
        </w:rPr>
        <w:t>5</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社会保障和就业支出（类）行政事业单位养老支出（款）</w:t>
      </w:r>
      <w:r>
        <w:rPr>
          <w:rFonts w:ascii="Times New Roman" w:eastAsia="方正仿宋_GBK" w:hAnsi="Times New Roman" w:cs="Times New Roman"/>
          <w:color w:val="auto"/>
          <w:sz w:val="33"/>
          <w:szCs w:val="33"/>
        </w:rPr>
        <w:t>行政</w:t>
      </w:r>
      <w:r>
        <w:rPr>
          <w:rFonts w:ascii="Times New Roman" w:eastAsia="方正仿宋_GBK" w:hAnsi="Times New Roman" w:cs="Times New Roman"/>
          <w:color w:val="auto"/>
          <w:sz w:val="33"/>
          <w:szCs w:val="33"/>
        </w:rPr>
        <w:t>单位离退休费（项）：反映</w:t>
      </w:r>
      <w:r>
        <w:rPr>
          <w:rFonts w:ascii="Times New Roman" w:eastAsia="方正仿宋_GBK" w:hAnsi="Times New Roman" w:cs="Times New Roman"/>
          <w:color w:val="auto"/>
          <w:sz w:val="33"/>
          <w:szCs w:val="33"/>
        </w:rPr>
        <w:t>行政</w:t>
      </w:r>
      <w:r>
        <w:rPr>
          <w:rFonts w:ascii="Times New Roman" w:eastAsia="方正仿宋_GBK" w:hAnsi="Times New Roman" w:cs="Times New Roman"/>
          <w:color w:val="auto"/>
          <w:sz w:val="33"/>
          <w:szCs w:val="33"/>
        </w:rPr>
        <w:t>单位开支的离退休经费。</w:t>
      </w:r>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lang w:val="zh-CN"/>
        </w:rPr>
      </w:pPr>
      <w:r>
        <w:rPr>
          <w:rFonts w:ascii="Times New Roman" w:eastAsia="方正仿宋_GBK" w:hAnsi="Times New Roman" w:cs="Times New Roman"/>
          <w:color w:val="auto"/>
          <w:sz w:val="33"/>
          <w:szCs w:val="33"/>
          <w:lang w:val="zh-CN"/>
        </w:rPr>
        <w:t>1</w:t>
      </w:r>
      <w:r>
        <w:rPr>
          <w:rFonts w:ascii="Times New Roman" w:eastAsia="方正仿宋_GBK" w:hAnsi="Times New Roman" w:cs="Times New Roman"/>
          <w:color w:val="auto"/>
          <w:sz w:val="33"/>
          <w:szCs w:val="33"/>
        </w:rPr>
        <w:t>6</w:t>
      </w:r>
      <w:r>
        <w:rPr>
          <w:rFonts w:ascii="Times New Roman" w:eastAsia="方正仿宋_GBK" w:hAnsi="Times New Roman" w:cs="Times New Roman"/>
          <w:color w:val="auto"/>
          <w:sz w:val="33"/>
          <w:szCs w:val="33"/>
          <w:lang w:val="zh-CN"/>
        </w:rPr>
        <w:t>.</w:t>
      </w:r>
      <w:r>
        <w:rPr>
          <w:rFonts w:ascii="Times New Roman" w:eastAsia="方正仿宋_GBK" w:hAnsi="Times New Roman" w:cs="Times New Roman"/>
          <w:color w:val="auto"/>
          <w:sz w:val="33"/>
          <w:szCs w:val="33"/>
          <w:lang w:val="zh-CN"/>
        </w:rPr>
        <w:t>社会保障和就业支出（类）</w:t>
      </w:r>
      <w:r>
        <w:rPr>
          <w:rFonts w:ascii="Times New Roman" w:eastAsia="方正仿宋_GBK" w:hAnsi="Times New Roman" w:cs="Times New Roman"/>
          <w:color w:val="auto"/>
          <w:sz w:val="33"/>
          <w:szCs w:val="33"/>
        </w:rPr>
        <w:t>行政事业单位养老支出</w:t>
      </w:r>
      <w:r>
        <w:rPr>
          <w:rFonts w:ascii="Times New Roman" w:eastAsia="方正仿宋_GBK" w:hAnsi="Times New Roman" w:cs="Times New Roman"/>
          <w:color w:val="auto"/>
          <w:sz w:val="33"/>
          <w:szCs w:val="33"/>
          <w:lang w:val="zh-CN"/>
        </w:rPr>
        <w:t>（款）机关事业单位</w:t>
      </w:r>
      <w:r>
        <w:rPr>
          <w:rFonts w:ascii="Times New Roman" w:eastAsia="方正仿宋_GBK" w:hAnsi="Times New Roman" w:cs="Times New Roman"/>
          <w:color w:val="auto"/>
          <w:sz w:val="33"/>
          <w:szCs w:val="33"/>
        </w:rPr>
        <w:t>基本</w:t>
      </w:r>
      <w:r>
        <w:rPr>
          <w:rFonts w:ascii="Times New Roman" w:eastAsia="方正仿宋_GBK" w:hAnsi="Times New Roman" w:cs="Times New Roman"/>
          <w:color w:val="auto"/>
          <w:sz w:val="33"/>
          <w:szCs w:val="33"/>
          <w:lang w:val="zh-CN"/>
        </w:rPr>
        <w:t>养老保险缴费支出（项）：反映</w:t>
      </w:r>
      <w:r>
        <w:rPr>
          <w:rFonts w:ascii="Times New Roman" w:eastAsia="方正仿宋_GBK" w:hAnsi="Times New Roman" w:cs="Times New Roman"/>
          <w:color w:val="auto"/>
          <w:sz w:val="33"/>
          <w:szCs w:val="33"/>
        </w:rPr>
        <w:t>机关事业单位实施养老保险制度由单位缴纳的基本养老保险费支出</w:t>
      </w:r>
      <w:r>
        <w:rPr>
          <w:rFonts w:ascii="Times New Roman" w:eastAsia="方正仿宋_GBK" w:hAnsi="Times New Roman" w:cs="Times New Roman"/>
          <w:color w:val="auto"/>
          <w:sz w:val="33"/>
          <w:szCs w:val="33"/>
          <w:lang w:val="zh-CN"/>
        </w:rPr>
        <w:t>。</w:t>
      </w:r>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lang w:val="zh-CN"/>
        </w:rPr>
      </w:pPr>
      <w:r>
        <w:rPr>
          <w:rFonts w:ascii="Times New Roman" w:eastAsia="方正仿宋_GBK" w:hAnsi="Times New Roman" w:cs="Times New Roman"/>
          <w:color w:val="auto"/>
          <w:sz w:val="33"/>
          <w:szCs w:val="33"/>
          <w:lang w:val="zh-CN"/>
        </w:rPr>
        <w:t>1</w:t>
      </w:r>
      <w:r>
        <w:rPr>
          <w:rFonts w:ascii="Times New Roman" w:eastAsia="方正仿宋_GBK" w:hAnsi="Times New Roman" w:cs="Times New Roman"/>
          <w:color w:val="auto"/>
          <w:sz w:val="33"/>
          <w:szCs w:val="33"/>
        </w:rPr>
        <w:t>7</w:t>
      </w:r>
      <w:r>
        <w:rPr>
          <w:rFonts w:ascii="Times New Roman" w:eastAsia="方正仿宋_GBK" w:hAnsi="Times New Roman" w:cs="Times New Roman"/>
          <w:color w:val="auto"/>
          <w:sz w:val="33"/>
          <w:szCs w:val="33"/>
          <w:lang w:val="zh-CN"/>
        </w:rPr>
        <w:t>.</w:t>
      </w:r>
      <w:r>
        <w:rPr>
          <w:rFonts w:ascii="Times New Roman" w:eastAsia="方正仿宋_GBK" w:hAnsi="Times New Roman" w:cs="Times New Roman"/>
          <w:color w:val="auto"/>
          <w:sz w:val="33"/>
          <w:szCs w:val="33"/>
          <w:lang w:val="zh-CN"/>
        </w:rPr>
        <w:t>社会保障和就业支出（类）</w:t>
      </w:r>
      <w:r>
        <w:rPr>
          <w:rFonts w:ascii="Times New Roman" w:eastAsia="方正仿宋_GBK" w:hAnsi="Times New Roman" w:cs="Times New Roman"/>
          <w:color w:val="auto"/>
          <w:sz w:val="33"/>
          <w:szCs w:val="33"/>
        </w:rPr>
        <w:t>行政事业单位养老支出</w:t>
      </w:r>
      <w:r>
        <w:rPr>
          <w:rFonts w:ascii="Times New Roman" w:eastAsia="方正仿宋_GBK" w:hAnsi="Times New Roman" w:cs="Times New Roman"/>
          <w:color w:val="auto"/>
          <w:sz w:val="33"/>
          <w:szCs w:val="33"/>
          <w:lang w:val="zh-CN"/>
        </w:rPr>
        <w:t>（款）机关事业单位职业年金经</w:t>
      </w:r>
      <w:r>
        <w:rPr>
          <w:rFonts w:ascii="Times New Roman" w:eastAsia="方正仿宋_GBK" w:hAnsi="Times New Roman" w:cs="Times New Roman"/>
          <w:color w:val="auto"/>
          <w:sz w:val="33"/>
          <w:szCs w:val="33"/>
        </w:rPr>
        <w:t>缴</w:t>
      </w:r>
      <w:r>
        <w:rPr>
          <w:rFonts w:ascii="Times New Roman" w:eastAsia="方正仿宋_GBK" w:hAnsi="Times New Roman" w:cs="Times New Roman"/>
          <w:color w:val="auto"/>
          <w:sz w:val="33"/>
          <w:szCs w:val="33"/>
          <w:lang w:val="zh-CN"/>
        </w:rPr>
        <w:t>费支出（项）：反映</w:t>
      </w:r>
      <w:r>
        <w:rPr>
          <w:rFonts w:ascii="Times New Roman" w:eastAsia="方正仿宋_GBK" w:hAnsi="Times New Roman" w:cs="Times New Roman"/>
          <w:color w:val="auto"/>
          <w:sz w:val="33"/>
          <w:szCs w:val="33"/>
        </w:rPr>
        <w:t>机关事业单位实施养老保险制度由单位实际缴纳的职业年金支出</w:t>
      </w:r>
      <w:r>
        <w:rPr>
          <w:rFonts w:ascii="Times New Roman" w:eastAsia="方正仿宋_GBK" w:hAnsi="Times New Roman" w:cs="Times New Roman"/>
          <w:color w:val="auto"/>
          <w:sz w:val="33"/>
          <w:szCs w:val="33"/>
          <w:lang w:val="zh-CN"/>
        </w:rPr>
        <w:t>。</w:t>
      </w:r>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lang w:val="zh-CN"/>
        </w:rPr>
      </w:pPr>
      <w:r>
        <w:rPr>
          <w:rFonts w:ascii="Times New Roman" w:eastAsia="方正仿宋_GBK" w:hAnsi="Times New Roman" w:cs="Times New Roman"/>
          <w:color w:val="auto"/>
          <w:sz w:val="33"/>
          <w:szCs w:val="33"/>
          <w:lang w:val="zh-CN"/>
        </w:rPr>
        <w:t>1</w:t>
      </w:r>
      <w:r>
        <w:rPr>
          <w:rFonts w:ascii="Times New Roman" w:eastAsia="方正仿宋_GBK" w:hAnsi="Times New Roman" w:cs="Times New Roman"/>
          <w:color w:val="auto"/>
          <w:sz w:val="33"/>
          <w:szCs w:val="33"/>
        </w:rPr>
        <w:t>8</w:t>
      </w:r>
      <w:r>
        <w:rPr>
          <w:rFonts w:ascii="Times New Roman" w:eastAsia="方正仿宋_GBK" w:hAnsi="Times New Roman" w:cs="Times New Roman"/>
          <w:color w:val="auto"/>
          <w:sz w:val="33"/>
          <w:szCs w:val="33"/>
          <w:lang w:val="zh-CN"/>
        </w:rPr>
        <w:t>.</w:t>
      </w:r>
      <w:r>
        <w:rPr>
          <w:rFonts w:ascii="Times New Roman" w:eastAsia="方正仿宋_GBK" w:hAnsi="Times New Roman" w:cs="Times New Roman"/>
          <w:color w:val="auto"/>
          <w:sz w:val="33"/>
          <w:szCs w:val="33"/>
          <w:lang w:val="zh-CN"/>
        </w:rPr>
        <w:t>卫生健康支出（类）</w:t>
      </w:r>
      <w:r>
        <w:rPr>
          <w:rFonts w:ascii="Times New Roman" w:eastAsia="方正仿宋_GBK" w:hAnsi="Times New Roman" w:cs="Times New Roman"/>
          <w:color w:val="auto"/>
          <w:sz w:val="33"/>
          <w:szCs w:val="33"/>
        </w:rPr>
        <w:t>行政事业单位医疗</w:t>
      </w:r>
      <w:r>
        <w:rPr>
          <w:rFonts w:ascii="Times New Roman" w:eastAsia="方正仿宋_GBK" w:hAnsi="Times New Roman" w:cs="Times New Roman"/>
          <w:color w:val="auto"/>
          <w:sz w:val="33"/>
          <w:szCs w:val="33"/>
          <w:lang w:val="zh-CN"/>
        </w:rPr>
        <w:t>（款）</w:t>
      </w:r>
      <w:r>
        <w:rPr>
          <w:rFonts w:ascii="Times New Roman" w:eastAsia="方正仿宋_GBK" w:hAnsi="Times New Roman" w:cs="Times New Roman"/>
          <w:color w:val="auto"/>
          <w:sz w:val="33"/>
          <w:szCs w:val="33"/>
        </w:rPr>
        <w:t>事业单位医疗</w:t>
      </w:r>
      <w:r>
        <w:rPr>
          <w:rFonts w:ascii="Times New Roman" w:eastAsia="方正仿宋_GBK" w:hAnsi="Times New Roman" w:cs="Times New Roman"/>
          <w:color w:val="auto"/>
          <w:sz w:val="33"/>
          <w:szCs w:val="33"/>
          <w:lang w:val="zh-CN"/>
        </w:rPr>
        <w:t>（项）：反映财政部门安排的事业单位基本医疗保险缴费</w:t>
      </w:r>
      <w:r>
        <w:rPr>
          <w:rFonts w:ascii="Times New Roman" w:eastAsia="方正仿宋_GBK" w:hAnsi="Times New Roman" w:cs="Times New Roman"/>
          <w:color w:val="auto"/>
          <w:sz w:val="33"/>
          <w:szCs w:val="33"/>
          <w:lang w:val="zh-CN"/>
        </w:rPr>
        <w:lastRenderedPageBreak/>
        <w:t>经费，未参加医疗保险的事业单位的公费医疗经费，按国家规定享受离休人员待遇的医疗经费。</w:t>
      </w:r>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lang w:val="zh-CN"/>
        </w:rPr>
      </w:pPr>
      <w:r>
        <w:rPr>
          <w:rFonts w:ascii="Times New Roman" w:eastAsia="方正仿宋_GBK" w:hAnsi="Times New Roman" w:cs="Times New Roman"/>
          <w:color w:val="auto"/>
          <w:sz w:val="33"/>
          <w:szCs w:val="33"/>
          <w:lang w:val="zh-CN"/>
        </w:rPr>
        <w:t>1</w:t>
      </w:r>
      <w:r>
        <w:rPr>
          <w:rFonts w:ascii="Times New Roman" w:eastAsia="方正仿宋_GBK" w:hAnsi="Times New Roman" w:cs="Times New Roman"/>
          <w:color w:val="auto"/>
          <w:sz w:val="33"/>
          <w:szCs w:val="33"/>
        </w:rPr>
        <w:t>9</w:t>
      </w:r>
      <w:r>
        <w:rPr>
          <w:rFonts w:ascii="Times New Roman" w:eastAsia="方正仿宋_GBK" w:hAnsi="Times New Roman" w:cs="Times New Roman"/>
          <w:color w:val="auto"/>
          <w:sz w:val="33"/>
          <w:szCs w:val="33"/>
          <w:lang w:val="zh-CN"/>
        </w:rPr>
        <w:t>.</w:t>
      </w:r>
      <w:r>
        <w:rPr>
          <w:rFonts w:ascii="Times New Roman" w:eastAsia="方正仿宋_GBK" w:hAnsi="Times New Roman" w:cs="Times New Roman"/>
          <w:color w:val="auto"/>
          <w:sz w:val="33"/>
          <w:szCs w:val="33"/>
          <w:lang w:val="zh-CN"/>
        </w:rPr>
        <w:t>卫生健康支出（类）</w:t>
      </w:r>
      <w:r>
        <w:rPr>
          <w:rFonts w:ascii="Times New Roman" w:eastAsia="方正仿宋_GBK" w:hAnsi="Times New Roman" w:cs="Times New Roman"/>
          <w:color w:val="auto"/>
          <w:sz w:val="33"/>
          <w:szCs w:val="33"/>
        </w:rPr>
        <w:t>行政事业单位医疗</w:t>
      </w:r>
      <w:r>
        <w:rPr>
          <w:rFonts w:ascii="Times New Roman" w:eastAsia="方正仿宋_GBK" w:hAnsi="Times New Roman" w:cs="Times New Roman"/>
          <w:color w:val="auto"/>
          <w:sz w:val="33"/>
          <w:szCs w:val="33"/>
          <w:lang w:val="zh-CN"/>
        </w:rPr>
        <w:t>（款）</w:t>
      </w:r>
      <w:r>
        <w:rPr>
          <w:rFonts w:ascii="Times New Roman" w:eastAsia="方正仿宋_GBK" w:hAnsi="Times New Roman" w:cs="Times New Roman"/>
          <w:color w:val="auto"/>
          <w:sz w:val="33"/>
          <w:szCs w:val="33"/>
        </w:rPr>
        <w:t>行政</w:t>
      </w:r>
      <w:r>
        <w:rPr>
          <w:rFonts w:ascii="Times New Roman" w:eastAsia="方正仿宋_GBK" w:hAnsi="Times New Roman" w:cs="Times New Roman"/>
          <w:color w:val="auto"/>
          <w:sz w:val="33"/>
          <w:szCs w:val="33"/>
        </w:rPr>
        <w:t>单位医疗</w:t>
      </w:r>
      <w:r>
        <w:rPr>
          <w:rFonts w:ascii="Times New Roman" w:eastAsia="方正仿宋_GBK" w:hAnsi="Times New Roman" w:cs="Times New Roman"/>
          <w:color w:val="auto"/>
          <w:sz w:val="33"/>
          <w:szCs w:val="33"/>
          <w:lang w:val="zh-CN"/>
        </w:rPr>
        <w:t>（项）：反映财政部门安排的</w:t>
      </w:r>
      <w:r>
        <w:rPr>
          <w:rFonts w:ascii="Times New Roman" w:eastAsia="方正仿宋_GBK" w:hAnsi="Times New Roman" w:cs="Times New Roman"/>
          <w:color w:val="auto"/>
          <w:sz w:val="33"/>
          <w:szCs w:val="33"/>
        </w:rPr>
        <w:t>行政</w:t>
      </w:r>
      <w:r>
        <w:rPr>
          <w:rFonts w:ascii="Times New Roman" w:eastAsia="方正仿宋_GBK" w:hAnsi="Times New Roman" w:cs="Times New Roman"/>
          <w:color w:val="auto"/>
          <w:sz w:val="33"/>
          <w:szCs w:val="33"/>
          <w:lang w:val="zh-CN"/>
        </w:rPr>
        <w:t>单位基本医疗保险缴费经费，未参加医疗保险的</w:t>
      </w:r>
      <w:r>
        <w:rPr>
          <w:rFonts w:ascii="Times New Roman" w:eastAsia="方正仿宋_GBK" w:hAnsi="Times New Roman" w:cs="Times New Roman"/>
          <w:color w:val="auto"/>
          <w:sz w:val="33"/>
          <w:szCs w:val="33"/>
        </w:rPr>
        <w:t>行政</w:t>
      </w:r>
      <w:r>
        <w:rPr>
          <w:rFonts w:ascii="Times New Roman" w:eastAsia="方正仿宋_GBK" w:hAnsi="Times New Roman" w:cs="Times New Roman"/>
          <w:color w:val="auto"/>
          <w:sz w:val="33"/>
          <w:szCs w:val="33"/>
          <w:lang w:val="zh-CN"/>
        </w:rPr>
        <w:t>单位的公费医疗经费，按国家规定享受离休人员、</w:t>
      </w:r>
      <w:r>
        <w:rPr>
          <w:rFonts w:ascii="Times New Roman" w:eastAsia="方正仿宋_GBK" w:hAnsi="Times New Roman" w:cs="Times New Roman"/>
          <w:color w:val="auto"/>
          <w:sz w:val="33"/>
          <w:szCs w:val="33"/>
        </w:rPr>
        <w:t>红军老战士</w:t>
      </w:r>
      <w:r>
        <w:rPr>
          <w:rFonts w:ascii="Times New Roman" w:eastAsia="方正仿宋_GBK" w:hAnsi="Times New Roman" w:cs="Times New Roman"/>
          <w:color w:val="auto"/>
          <w:sz w:val="33"/>
          <w:szCs w:val="33"/>
          <w:lang w:val="zh-CN"/>
        </w:rPr>
        <w:t>待遇的医疗经费。</w:t>
      </w:r>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20.</w:t>
      </w:r>
      <w:r>
        <w:rPr>
          <w:rFonts w:ascii="Times New Roman" w:eastAsia="方正仿宋_GBK" w:hAnsi="Times New Roman" w:cs="Times New Roman"/>
          <w:color w:val="auto"/>
          <w:sz w:val="33"/>
          <w:szCs w:val="33"/>
          <w:lang w:val="zh-CN"/>
        </w:rPr>
        <w:t>卫生健康支出（类）</w:t>
      </w:r>
      <w:r>
        <w:rPr>
          <w:rFonts w:ascii="Times New Roman" w:eastAsia="方正仿宋_GBK" w:hAnsi="Times New Roman" w:cs="Times New Roman"/>
          <w:color w:val="auto"/>
          <w:sz w:val="33"/>
          <w:szCs w:val="33"/>
        </w:rPr>
        <w:t>行政事业单位医疗</w:t>
      </w:r>
      <w:r>
        <w:rPr>
          <w:rFonts w:ascii="Times New Roman" w:eastAsia="方正仿宋_GBK" w:hAnsi="Times New Roman" w:cs="Times New Roman"/>
          <w:color w:val="auto"/>
          <w:sz w:val="33"/>
          <w:szCs w:val="33"/>
          <w:lang w:val="zh-CN"/>
        </w:rPr>
        <w:t>（款）</w:t>
      </w:r>
      <w:r>
        <w:rPr>
          <w:rFonts w:ascii="Times New Roman" w:eastAsia="方正仿宋_GBK" w:hAnsi="Times New Roman" w:cs="Times New Roman"/>
          <w:color w:val="auto"/>
          <w:sz w:val="33"/>
          <w:szCs w:val="33"/>
        </w:rPr>
        <w:t>公务员</w:t>
      </w:r>
      <w:r>
        <w:rPr>
          <w:rFonts w:ascii="Times New Roman" w:eastAsia="方正仿宋_GBK" w:hAnsi="Times New Roman" w:cs="Times New Roman"/>
          <w:color w:val="auto"/>
          <w:sz w:val="33"/>
          <w:szCs w:val="33"/>
        </w:rPr>
        <w:t>医疗补助</w:t>
      </w:r>
      <w:r>
        <w:rPr>
          <w:rFonts w:ascii="Times New Roman" w:eastAsia="方正仿宋_GBK" w:hAnsi="Times New Roman" w:cs="Times New Roman"/>
          <w:color w:val="auto"/>
          <w:sz w:val="33"/>
          <w:szCs w:val="33"/>
          <w:lang w:val="zh-CN"/>
        </w:rPr>
        <w:t>（项）：</w:t>
      </w:r>
      <w:r>
        <w:rPr>
          <w:rFonts w:ascii="Times New Roman" w:eastAsia="方正仿宋_GBK" w:hAnsi="Times New Roman" w:cs="Times New Roman"/>
          <w:color w:val="auto"/>
          <w:sz w:val="33"/>
          <w:szCs w:val="33"/>
        </w:rPr>
        <w:t>反映财政部门安排的公务员医疗补助经费。</w:t>
      </w:r>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lang w:val="zh-CN"/>
        </w:rPr>
      </w:pPr>
      <w:r>
        <w:rPr>
          <w:rFonts w:ascii="Times New Roman" w:eastAsia="方正仿宋_GBK" w:hAnsi="Times New Roman" w:cs="Times New Roman"/>
          <w:color w:val="auto"/>
          <w:sz w:val="33"/>
          <w:szCs w:val="33"/>
        </w:rPr>
        <w:t>21</w:t>
      </w:r>
      <w:r>
        <w:rPr>
          <w:rFonts w:ascii="Times New Roman" w:eastAsia="方正仿宋_GBK" w:hAnsi="Times New Roman" w:cs="Times New Roman"/>
          <w:color w:val="auto"/>
          <w:sz w:val="33"/>
          <w:szCs w:val="33"/>
          <w:lang w:val="zh-CN"/>
        </w:rPr>
        <w:t>.</w:t>
      </w:r>
      <w:r>
        <w:rPr>
          <w:rFonts w:ascii="Times New Roman" w:eastAsia="方正仿宋_GBK" w:hAnsi="Times New Roman" w:cs="Times New Roman"/>
          <w:color w:val="auto"/>
          <w:sz w:val="33"/>
          <w:szCs w:val="33"/>
          <w:lang w:val="zh-CN"/>
        </w:rPr>
        <w:t>卫生健康支出（类）</w:t>
      </w:r>
      <w:r>
        <w:rPr>
          <w:rFonts w:ascii="Times New Roman" w:eastAsia="方正仿宋_GBK" w:hAnsi="Times New Roman" w:cs="Times New Roman"/>
          <w:color w:val="auto"/>
          <w:sz w:val="33"/>
          <w:szCs w:val="33"/>
        </w:rPr>
        <w:t>行政事业单位医疗</w:t>
      </w:r>
      <w:r>
        <w:rPr>
          <w:rFonts w:ascii="Times New Roman" w:eastAsia="方正仿宋_GBK" w:hAnsi="Times New Roman" w:cs="Times New Roman"/>
          <w:color w:val="auto"/>
          <w:sz w:val="33"/>
          <w:szCs w:val="33"/>
          <w:lang w:val="zh-CN"/>
        </w:rPr>
        <w:t>（款）其他行政事业单位医疗支出（项）：反映除上述项目以外的其他用于行政事业单位医疗方面的支出。</w:t>
      </w:r>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lang w:val="zh-CN"/>
        </w:rPr>
      </w:pPr>
      <w:r>
        <w:rPr>
          <w:rFonts w:ascii="Times New Roman" w:eastAsia="方正仿宋_GBK" w:hAnsi="Times New Roman" w:cs="Times New Roman"/>
          <w:color w:val="auto"/>
          <w:sz w:val="33"/>
          <w:szCs w:val="33"/>
        </w:rPr>
        <w:t>22</w:t>
      </w:r>
      <w:r>
        <w:rPr>
          <w:rFonts w:ascii="Times New Roman" w:eastAsia="方正仿宋_GBK" w:hAnsi="Times New Roman" w:cs="Times New Roman"/>
          <w:color w:val="auto"/>
          <w:sz w:val="33"/>
          <w:szCs w:val="33"/>
          <w:lang w:val="zh-CN"/>
        </w:rPr>
        <w:t xml:space="preserve">.  </w:t>
      </w:r>
      <w:r>
        <w:rPr>
          <w:rFonts w:ascii="Times New Roman" w:eastAsia="方正仿宋_GBK" w:hAnsi="Times New Roman" w:cs="Times New Roman"/>
          <w:color w:val="auto"/>
          <w:sz w:val="33"/>
          <w:szCs w:val="33"/>
          <w:lang w:val="zh-CN"/>
        </w:rPr>
        <w:t>住房保障</w:t>
      </w:r>
      <w:r>
        <w:rPr>
          <w:rFonts w:ascii="Times New Roman" w:eastAsia="方正仿宋_GBK" w:hAnsi="Times New Roman" w:cs="Times New Roman"/>
          <w:color w:val="auto"/>
          <w:sz w:val="33"/>
          <w:szCs w:val="33"/>
        </w:rPr>
        <w:t>支出</w:t>
      </w:r>
      <w:r>
        <w:rPr>
          <w:rFonts w:ascii="Times New Roman" w:eastAsia="方正仿宋_GBK" w:hAnsi="Times New Roman" w:cs="Times New Roman"/>
          <w:color w:val="auto"/>
          <w:sz w:val="33"/>
          <w:szCs w:val="33"/>
          <w:lang w:val="zh-CN"/>
        </w:rPr>
        <w:t>（类）住房改革支出（款）住房公积金（项）：反映</w:t>
      </w:r>
      <w:r>
        <w:rPr>
          <w:rFonts w:ascii="Times New Roman" w:eastAsia="方正仿宋_GBK" w:hAnsi="Times New Roman" w:cs="Times New Roman"/>
          <w:color w:val="auto"/>
          <w:sz w:val="33"/>
          <w:szCs w:val="33"/>
        </w:rPr>
        <w:t>行政事业单位按人力资源和社会保障部财政部规定的基本工资和津贴补贴以及规定比例为职工缴纳的住房公积金。</w:t>
      </w:r>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23</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基本支出：指为保障机构正常运转、完成日常工作任务而发生的人员支出和公用支出。</w:t>
      </w:r>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24</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项目支出：指在基本支出之外为完成特定行政任务和事业发展目标所发生的支出。</w:t>
      </w:r>
      <w:r>
        <w:rPr>
          <w:rFonts w:ascii="Times New Roman" w:eastAsia="方正仿宋_GBK" w:hAnsi="Times New Roman" w:cs="Times New Roman"/>
          <w:color w:val="auto"/>
          <w:sz w:val="33"/>
          <w:szCs w:val="33"/>
        </w:rPr>
        <w:t xml:space="preserve"> </w:t>
      </w:r>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25</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经营支出：指事业单位在专业业务活动及其辅助活动之外开展非独立核算经营活动发生的支出。</w:t>
      </w:r>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lastRenderedPageBreak/>
        <w:t>26</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三公</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经费：指单位用财政拨款安排的因公出国（境）费、公务用车购置及运行费和公务接待费。其中，因公出国（境）</w:t>
      </w:r>
      <w:proofErr w:type="gramStart"/>
      <w:r>
        <w:rPr>
          <w:rFonts w:ascii="Times New Roman" w:eastAsia="方正仿宋_GBK" w:hAnsi="Times New Roman" w:cs="Times New Roman"/>
          <w:color w:val="auto"/>
          <w:sz w:val="33"/>
          <w:szCs w:val="33"/>
        </w:rPr>
        <w:t>费反映</w:t>
      </w:r>
      <w:proofErr w:type="gramEnd"/>
      <w:r>
        <w:rPr>
          <w:rFonts w:ascii="Times New Roman" w:eastAsia="方正仿宋_GBK" w:hAnsi="Times New Roman" w:cs="Times New Roman"/>
          <w:color w:val="auto"/>
          <w:sz w:val="33"/>
          <w:szCs w:val="33"/>
        </w:rPr>
        <w:t>单位公务出国（境）的国际旅费、国外城市间交通费、住宿费、伙食费、培训费、公杂费等支出；公务用车购置及运行</w:t>
      </w:r>
      <w:proofErr w:type="gramStart"/>
      <w:r>
        <w:rPr>
          <w:rFonts w:ascii="Times New Roman" w:eastAsia="方正仿宋_GBK" w:hAnsi="Times New Roman" w:cs="Times New Roman"/>
          <w:color w:val="auto"/>
          <w:sz w:val="33"/>
          <w:szCs w:val="33"/>
        </w:rPr>
        <w:t>费反映</w:t>
      </w:r>
      <w:proofErr w:type="gramEnd"/>
      <w:r>
        <w:rPr>
          <w:rFonts w:ascii="Times New Roman" w:eastAsia="方正仿宋_GBK" w:hAnsi="Times New Roman" w:cs="Times New Roman"/>
          <w:color w:val="auto"/>
          <w:sz w:val="33"/>
          <w:szCs w:val="33"/>
        </w:rPr>
        <w:t>单位公务用车车辆购置支出（</w:t>
      </w:r>
      <w:proofErr w:type="gramStart"/>
      <w:r>
        <w:rPr>
          <w:rFonts w:ascii="Times New Roman" w:eastAsia="方正仿宋_GBK" w:hAnsi="Times New Roman" w:cs="Times New Roman"/>
          <w:color w:val="auto"/>
          <w:sz w:val="33"/>
          <w:szCs w:val="33"/>
        </w:rPr>
        <w:t>含车辆</w:t>
      </w:r>
      <w:proofErr w:type="gramEnd"/>
      <w:r>
        <w:rPr>
          <w:rFonts w:ascii="Times New Roman" w:eastAsia="方正仿宋_GBK" w:hAnsi="Times New Roman" w:cs="Times New Roman"/>
          <w:color w:val="auto"/>
          <w:sz w:val="33"/>
          <w:szCs w:val="33"/>
        </w:rPr>
        <w:t>购置税）及租用费、燃料费、维修费、过路过桥费、保险费等支出；公务接待</w:t>
      </w:r>
      <w:proofErr w:type="gramStart"/>
      <w:r>
        <w:rPr>
          <w:rFonts w:ascii="Times New Roman" w:eastAsia="方正仿宋_GBK" w:hAnsi="Times New Roman" w:cs="Times New Roman"/>
          <w:color w:val="auto"/>
          <w:sz w:val="33"/>
          <w:szCs w:val="33"/>
        </w:rPr>
        <w:t>费反映</w:t>
      </w:r>
      <w:proofErr w:type="gramEnd"/>
      <w:r>
        <w:rPr>
          <w:rFonts w:ascii="Times New Roman" w:eastAsia="方正仿宋_GBK" w:hAnsi="Times New Roman" w:cs="Times New Roman"/>
          <w:color w:val="auto"/>
          <w:sz w:val="33"/>
          <w:szCs w:val="33"/>
        </w:rPr>
        <w:t>单位按</w:t>
      </w:r>
      <w:r>
        <w:rPr>
          <w:rFonts w:ascii="Times New Roman" w:eastAsia="方正仿宋_GBK" w:hAnsi="Times New Roman" w:cs="Times New Roman"/>
          <w:color w:val="auto"/>
          <w:sz w:val="33"/>
          <w:szCs w:val="33"/>
        </w:rPr>
        <w:t>规定开支的各类公务接待（含外宾接待）支出。</w:t>
      </w:r>
    </w:p>
    <w:p w:rsidR="00C53AD4" w:rsidRDefault="001C3CD3">
      <w:pPr>
        <w:pStyle w:val="Default"/>
        <w:spacing w:line="576"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27</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C53AD4" w:rsidRDefault="001C3CD3">
      <w:pPr>
        <w:pStyle w:val="Default"/>
        <w:spacing w:line="576" w:lineRule="exact"/>
        <w:jc w:val="center"/>
        <w:rPr>
          <w:rStyle w:val="1Char"/>
          <w:rFonts w:eastAsia="方正仿宋_GBK" w:cs="Times New Roman"/>
          <w:b w:val="0"/>
          <w:sz w:val="33"/>
          <w:szCs w:val="33"/>
        </w:rPr>
      </w:pPr>
      <w:bookmarkStart w:id="52" w:name="_Toc15377226"/>
      <w:r>
        <w:rPr>
          <w:rFonts w:ascii="Times New Roman" w:eastAsia="方正仿宋_GBK" w:hAnsi="Times New Roman" w:cs="Times New Roman"/>
          <w:color w:val="auto"/>
          <w:sz w:val="33"/>
          <w:szCs w:val="33"/>
        </w:rPr>
        <w:br w:type="page"/>
      </w:r>
      <w:bookmarkStart w:id="53" w:name="_Toc15396614"/>
      <w:r>
        <w:rPr>
          <w:rFonts w:ascii="方正小标宋_GBK" w:eastAsia="方正小标宋_GBK" w:hAnsi="方正小标宋_GBK" w:cs="方正小标宋_GBK" w:hint="eastAsia"/>
          <w:b/>
          <w:bCs/>
          <w:sz w:val="38"/>
          <w:szCs w:val="38"/>
        </w:rPr>
        <w:lastRenderedPageBreak/>
        <w:t>第</w:t>
      </w:r>
      <w:r>
        <w:rPr>
          <w:rStyle w:val="1Char"/>
          <w:rFonts w:ascii="方正小标宋_GBK" w:eastAsia="方正小标宋_GBK" w:hAnsi="方正小标宋_GBK" w:cs="方正小标宋_GBK" w:hint="eastAsia"/>
          <w:sz w:val="38"/>
          <w:szCs w:val="38"/>
        </w:rPr>
        <w:t>四部分</w:t>
      </w:r>
      <w:r>
        <w:rPr>
          <w:rStyle w:val="1Char"/>
          <w:rFonts w:ascii="方正小标宋_GBK" w:eastAsia="方正小标宋_GBK" w:hAnsi="方正小标宋_GBK" w:cs="方正小标宋_GBK" w:hint="eastAsia"/>
          <w:sz w:val="38"/>
          <w:szCs w:val="38"/>
        </w:rPr>
        <w:t xml:space="preserve"> </w:t>
      </w:r>
      <w:r>
        <w:rPr>
          <w:rStyle w:val="1Char"/>
          <w:rFonts w:ascii="方正小标宋_GBK" w:eastAsia="方正小标宋_GBK" w:hAnsi="方正小标宋_GBK" w:cs="方正小标宋_GBK" w:hint="eastAsia"/>
          <w:sz w:val="38"/>
          <w:szCs w:val="38"/>
        </w:rPr>
        <w:t xml:space="preserve"> </w:t>
      </w:r>
      <w:r>
        <w:rPr>
          <w:rStyle w:val="1Char"/>
          <w:rFonts w:ascii="方正小标宋_GBK" w:eastAsia="方正小标宋_GBK" w:hAnsi="方正小标宋_GBK" w:cs="方正小标宋_GBK" w:hint="eastAsia"/>
          <w:sz w:val="38"/>
          <w:szCs w:val="38"/>
        </w:rPr>
        <w:t>附件</w:t>
      </w:r>
      <w:bookmarkEnd w:id="53"/>
    </w:p>
    <w:p w:rsidR="00C53AD4" w:rsidRDefault="00C53AD4">
      <w:pPr>
        <w:spacing w:line="576" w:lineRule="exact"/>
        <w:outlineLvl w:val="0"/>
        <w:rPr>
          <w:rFonts w:eastAsia="方正仿宋_GBK"/>
          <w:sz w:val="33"/>
          <w:szCs w:val="33"/>
        </w:rPr>
      </w:pPr>
    </w:p>
    <w:p w:rsidR="00C53AD4" w:rsidRDefault="001C3CD3">
      <w:pPr>
        <w:spacing w:line="576" w:lineRule="exact"/>
        <w:ind w:firstLineChars="200" w:firstLine="660"/>
        <w:outlineLvl w:val="0"/>
        <w:rPr>
          <w:rFonts w:eastAsia="方正仿宋_GBK"/>
          <w:color w:val="FF0000"/>
          <w:sz w:val="33"/>
          <w:szCs w:val="33"/>
        </w:rPr>
      </w:pPr>
      <w:bookmarkStart w:id="54" w:name="_Toc15396618"/>
      <w:r>
        <w:rPr>
          <w:rFonts w:eastAsia="方正仿宋_GBK"/>
          <w:sz w:val="33"/>
          <w:szCs w:val="33"/>
        </w:rPr>
        <w:t>部门预算项目支出绩效自评表（</w:t>
      </w:r>
      <w:r>
        <w:rPr>
          <w:rFonts w:eastAsia="方正仿宋_GBK"/>
          <w:sz w:val="33"/>
          <w:szCs w:val="33"/>
        </w:rPr>
        <w:t>2023</w:t>
      </w:r>
      <w:r>
        <w:rPr>
          <w:rFonts w:eastAsia="方正仿宋_GBK"/>
          <w:sz w:val="33"/>
          <w:szCs w:val="33"/>
        </w:rPr>
        <w:t>年度）</w:t>
      </w:r>
      <w:r>
        <w:rPr>
          <w:rFonts w:eastAsia="方正仿宋_GBK"/>
          <w:sz w:val="33"/>
          <w:szCs w:val="33"/>
        </w:rPr>
        <w:t>（</w:t>
      </w:r>
      <w:r>
        <w:rPr>
          <w:rFonts w:eastAsia="方正仿宋_GBK"/>
          <w:sz w:val="33"/>
          <w:szCs w:val="33"/>
        </w:rPr>
        <w:t>详见附件</w:t>
      </w:r>
      <w:r>
        <w:rPr>
          <w:rFonts w:eastAsia="方正仿宋_GBK"/>
          <w:sz w:val="33"/>
          <w:szCs w:val="33"/>
        </w:rPr>
        <w:t>）</w:t>
      </w:r>
    </w:p>
    <w:p w:rsidR="00C53AD4" w:rsidRDefault="00C53AD4">
      <w:pPr>
        <w:pStyle w:val="21"/>
        <w:spacing w:after="0" w:line="576" w:lineRule="exact"/>
        <w:ind w:leftChars="0" w:left="0" w:firstLine="660"/>
        <w:rPr>
          <w:rFonts w:ascii="Times New Roman" w:eastAsia="方正仿宋_GBK"/>
          <w:sz w:val="33"/>
          <w:szCs w:val="33"/>
        </w:rPr>
      </w:pPr>
    </w:p>
    <w:p w:rsidR="00C53AD4" w:rsidRDefault="00C53AD4">
      <w:pPr>
        <w:pStyle w:val="a3"/>
        <w:spacing w:beforeLines="0" w:line="576" w:lineRule="exact"/>
        <w:rPr>
          <w:rFonts w:ascii="Times New Roman" w:eastAsia="方正仿宋_GBK"/>
          <w:sz w:val="33"/>
          <w:szCs w:val="33"/>
        </w:rPr>
      </w:pPr>
    </w:p>
    <w:p w:rsidR="00C53AD4" w:rsidRDefault="00C53AD4">
      <w:pPr>
        <w:pStyle w:val="a3"/>
        <w:spacing w:beforeLines="0" w:line="576" w:lineRule="exact"/>
        <w:rPr>
          <w:rFonts w:ascii="Times New Roman" w:eastAsia="方正仿宋_GBK"/>
          <w:sz w:val="33"/>
          <w:szCs w:val="33"/>
        </w:rPr>
      </w:pPr>
    </w:p>
    <w:p w:rsidR="00C53AD4" w:rsidRDefault="00C53AD4">
      <w:pPr>
        <w:pStyle w:val="a3"/>
        <w:spacing w:beforeLines="0" w:line="576" w:lineRule="exact"/>
        <w:rPr>
          <w:rFonts w:ascii="Times New Roman" w:eastAsia="方正仿宋_GBK"/>
          <w:sz w:val="33"/>
          <w:szCs w:val="33"/>
        </w:rPr>
      </w:pPr>
    </w:p>
    <w:p w:rsidR="00C53AD4" w:rsidRDefault="00C53AD4">
      <w:pPr>
        <w:pStyle w:val="a3"/>
        <w:spacing w:beforeLines="0" w:line="576" w:lineRule="exact"/>
        <w:rPr>
          <w:rFonts w:ascii="Times New Roman" w:eastAsia="方正仿宋_GBK"/>
          <w:sz w:val="33"/>
          <w:szCs w:val="33"/>
        </w:rPr>
      </w:pPr>
    </w:p>
    <w:p w:rsidR="00C53AD4" w:rsidRDefault="00C53AD4">
      <w:pPr>
        <w:pStyle w:val="a3"/>
        <w:spacing w:beforeLines="0" w:line="576" w:lineRule="exact"/>
        <w:rPr>
          <w:rFonts w:ascii="Times New Roman" w:eastAsia="方正仿宋_GBK"/>
          <w:sz w:val="33"/>
          <w:szCs w:val="33"/>
        </w:rPr>
      </w:pPr>
    </w:p>
    <w:p w:rsidR="00C53AD4" w:rsidRDefault="00C53AD4">
      <w:pPr>
        <w:pStyle w:val="a3"/>
        <w:spacing w:beforeLines="0" w:line="576" w:lineRule="exact"/>
        <w:rPr>
          <w:rFonts w:ascii="Times New Roman" w:eastAsia="方正仿宋_GBK"/>
          <w:sz w:val="33"/>
          <w:szCs w:val="33"/>
        </w:rPr>
      </w:pPr>
    </w:p>
    <w:p w:rsidR="00C53AD4" w:rsidRDefault="00C53AD4">
      <w:pPr>
        <w:pStyle w:val="a3"/>
        <w:spacing w:beforeLines="0" w:line="576" w:lineRule="exact"/>
        <w:rPr>
          <w:rFonts w:ascii="Times New Roman" w:eastAsia="方正仿宋_GBK"/>
          <w:sz w:val="33"/>
          <w:szCs w:val="33"/>
        </w:rPr>
      </w:pPr>
    </w:p>
    <w:p w:rsidR="00C53AD4" w:rsidRDefault="00C53AD4">
      <w:pPr>
        <w:pStyle w:val="a3"/>
        <w:spacing w:beforeLines="0" w:line="576" w:lineRule="exact"/>
        <w:rPr>
          <w:rFonts w:ascii="Times New Roman" w:eastAsia="方正仿宋_GBK"/>
          <w:sz w:val="33"/>
          <w:szCs w:val="33"/>
        </w:rPr>
      </w:pPr>
    </w:p>
    <w:p w:rsidR="00C53AD4" w:rsidRDefault="00C53AD4">
      <w:pPr>
        <w:pStyle w:val="a3"/>
        <w:spacing w:beforeLines="0" w:line="576" w:lineRule="exact"/>
        <w:rPr>
          <w:rFonts w:ascii="Times New Roman" w:eastAsia="方正仿宋_GBK"/>
          <w:sz w:val="33"/>
          <w:szCs w:val="33"/>
        </w:rPr>
      </w:pPr>
    </w:p>
    <w:p w:rsidR="00C53AD4" w:rsidRDefault="00C53AD4">
      <w:pPr>
        <w:pStyle w:val="a3"/>
        <w:spacing w:beforeLines="0" w:line="576" w:lineRule="exact"/>
        <w:rPr>
          <w:rFonts w:ascii="Times New Roman" w:eastAsia="方正仿宋_GBK"/>
          <w:sz w:val="33"/>
          <w:szCs w:val="33"/>
        </w:rPr>
      </w:pPr>
    </w:p>
    <w:p w:rsidR="00C53AD4" w:rsidRDefault="00C53AD4">
      <w:pPr>
        <w:pStyle w:val="a3"/>
        <w:spacing w:beforeLines="0" w:line="576" w:lineRule="exact"/>
        <w:rPr>
          <w:rFonts w:ascii="Times New Roman" w:eastAsia="方正仿宋_GBK"/>
          <w:sz w:val="33"/>
          <w:szCs w:val="33"/>
        </w:rPr>
      </w:pPr>
    </w:p>
    <w:p w:rsidR="00C53AD4" w:rsidRDefault="00C53AD4">
      <w:pPr>
        <w:pStyle w:val="a3"/>
        <w:spacing w:beforeLines="0" w:line="576" w:lineRule="exact"/>
        <w:rPr>
          <w:rFonts w:ascii="Times New Roman" w:eastAsia="方正仿宋_GBK"/>
          <w:sz w:val="33"/>
          <w:szCs w:val="33"/>
        </w:rPr>
      </w:pPr>
    </w:p>
    <w:p w:rsidR="00C53AD4" w:rsidRDefault="00C53AD4">
      <w:pPr>
        <w:spacing w:line="576" w:lineRule="exact"/>
        <w:outlineLvl w:val="0"/>
        <w:rPr>
          <w:rFonts w:eastAsia="方正仿宋_GBK"/>
          <w:sz w:val="33"/>
          <w:szCs w:val="33"/>
        </w:rPr>
      </w:pPr>
    </w:p>
    <w:p w:rsidR="00C53AD4" w:rsidRDefault="00C53AD4">
      <w:pPr>
        <w:spacing w:line="576" w:lineRule="exact"/>
        <w:outlineLvl w:val="0"/>
        <w:rPr>
          <w:rFonts w:eastAsia="方正仿宋_GBK"/>
          <w:sz w:val="33"/>
          <w:szCs w:val="33"/>
        </w:rPr>
      </w:pPr>
    </w:p>
    <w:p w:rsidR="00C53AD4" w:rsidRDefault="00C53AD4">
      <w:pPr>
        <w:spacing w:line="576" w:lineRule="exact"/>
        <w:outlineLvl w:val="0"/>
        <w:rPr>
          <w:rFonts w:eastAsia="方正仿宋_GBK"/>
          <w:sz w:val="33"/>
          <w:szCs w:val="33"/>
        </w:rPr>
      </w:pPr>
    </w:p>
    <w:p w:rsidR="00C53AD4" w:rsidRDefault="00C53AD4">
      <w:pPr>
        <w:spacing w:line="576" w:lineRule="exact"/>
        <w:outlineLvl w:val="0"/>
        <w:rPr>
          <w:rFonts w:eastAsia="方正仿宋_GBK"/>
          <w:sz w:val="33"/>
          <w:szCs w:val="33"/>
        </w:rPr>
      </w:pPr>
    </w:p>
    <w:p w:rsidR="00C53AD4" w:rsidRDefault="00C53AD4">
      <w:pPr>
        <w:spacing w:line="576" w:lineRule="exact"/>
        <w:outlineLvl w:val="0"/>
        <w:rPr>
          <w:rFonts w:eastAsia="方正仿宋_GBK"/>
          <w:sz w:val="33"/>
          <w:szCs w:val="33"/>
        </w:rPr>
      </w:pPr>
    </w:p>
    <w:p w:rsidR="00C53AD4" w:rsidRDefault="001C3CD3">
      <w:pPr>
        <w:spacing w:line="576" w:lineRule="exact"/>
        <w:jc w:val="center"/>
        <w:outlineLvl w:val="0"/>
        <w:rPr>
          <w:rFonts w:ascii="方正小标宋_GBK" w:eastAsia="方正小标宋_GBK" w:hAnsi="方正小标宋_GBK" w:cs="方正小标宋_GBK"/>
          <w:b/>
          <w:bCs/>
          <w:color w:val="000000"/>
          <w:kern w:val="0"/>
          <w:sz w:val="38"/>
          <w:szCs w:val="38"/>
        </w:rPr>
      </w:pPr>
      <w:r>
        <w:rPr>
          <w:rFonts w:ascii="方正小标宋_GBK" w:eastAsia="方正小标宋_GBK" w:hAnsi="方正小标宋_GBK" w:cs="方正小标宋_GBK"/>
          <w:b/>
          <w:bCs/>
          <w:color w:val="000000"/>
          <w:kern w:val="0"/>
          <w:sz w:val="38"/>
          <w:szCs w:val="38"/>
        </w:rPr>
        <w:lastRenderedPageBreak/>
        <w:t>第五部分</w:t>
      </w:r>
      <w:r>
        <w:rPr>
          <w:rFonts w:ascii="方正小标宋_GBK" w:eastAsia="方正小标宋_GBK" w:hAnsi="方正小标宋_GBK" w:cs="方正小标宋_GBK"/>
          <w:b/>
          <w:bCs/>
          <w:color w:val="000000"/>
          <w:kern w:val="0"/>
          <w:sz w:val="38"/>
          <w:szCs w:val="38"/>
        </w:rPr>
        <w:t xml:space="preserve"> </w:t>
      </w:r>
      <w:r>
        <w:rPr>
          <w:rFonts w:ascii="方正小标宋_GBK" w:eastAsia="方正小标宋_GBK" w:hAnsi="方正小标宋_GBK" w:cs="方正小标宋_GBK" w:hint="eastAsia"/>
          <w:b/>
          <w:bCs/>
          <w:color w:val="000000"/>
          <w:kern w:val="0"/>
          <w:sz w:val="38"/>
          <w:szCs w:val="38"/>
        </w:rPr>
        <w:t xml:space="preserve"> </w:t>
      </w:r>
      <w:r>
        <w:rPr>
          <w:rFonts w:ascii="方正小标宋_GBK" w:eastAsia="方正小标宋_GBK" w:hAnsi="方正小标宋_GBK" w:cs="方正小标宋_GBK"/>
          <w:b/>
          <w:bCs/>
          <w:color w:val="000000"/>
          <w:kern w:val="0"/>
          <w:sz w:val="38"/>
          <w:szCs w:val="38"/>
        </w:rPr>
        <w:t>附</w:t>
      </w:r>
      <w:r>
        <w:rPr>
          <w:rFonts w:ascii="方正小标宋_GBK" w:eastAsia="方正小标宋_GBK" w:hAnsi="方正小标宋_GBK" w:cs="方正小标宋_GBK" w:hint="eastAsia"/>
          <w:b/>
          <w:bCs/>
          <w:color w:val="000000"/>
          <w:kern w:val="0"/>
          <w:sz w:val="38"/>
          <w:szCs w:val="38"/>
        </w:rPr>
        <w:t xml:space="preserve">  </w:t>
      </w:r>
      <w:r>
        <w:rPr>
          <w:rFonts w:ascii="方正小标宋_GBK" w:eastAsia="方正小标宋_GBK" w:hAnsi="方正小标宋_GBK" w:cs="方正小标宋_GBK"/>
          <w:b/>
          <w:bCs/>
          <w:color w:val="000000"/>
          <w:kern w:val="0"/>
          <w:sz w:val="38"/>
          <w:szCs w:val="38"/>
        </w:rPr>
        <w:t>表</w:t>
      </w:r>
      <w:bookmarkStart w:id="55" w:name="_Toc15396619"/>
      <w:bookmarkEnd w:id="52"/>
      <w:bookmarkEnd w:id="54"/>
    </w:p>
    <w:p w:rsidR="00C53AD4" w:rsidRDefault="00C53AD4">
      <w:pPr>
        <w:spacing w:line="576" w:lineRule="exact"/>
        <w:outlineLvl w:val="0"/>
        <w:rPr>
          <w:rStyle w:val="1Char"/>
          <w:rFonts w:eastAsia="方正仿宋_GBK"/>
          <w:b w:val="0"/>
          <w:sz w:val="33"/>
          <w:szCs w:val="33"/>
        </w:rPr>
      </w:pPr>
    </w:p>
    <w:p w:rsidR="00C53AD4" w:rsidRDefault="001C3CD3">
      <w:pPr>
        <w:pStyle w:val="2"/>
        <w:spacing w:before="0" w:after="0" w:line="576" w:lineRule="exact"/>
        <w:ind w:firstLineChars="200" w:firstLine="660"/>
        <w:rPr>
          <w:rStyle w:val="2Char"/>
          <w:rFonts w:ascii="Times New Roman" w:eastAsia="方正仿宋_GBK" w:hAnsi="Times New Roman" w:cs="Times New Roman"/>
          <w:sz w:val="33"/>
          <w:szCs w:val="33"/>
        </w:rPr>
      </w:pPr>
      <w:r>
        <w:rPr>
          <w:rFonts w:ascii="Times New Roman" w:eastAsia="方正仿宋_GBK" w:hAnsi="Times New Roman" w:cs="Times New Roman"/>
          <w:b w:val="0"/>
          <w:sz w:val="33"/>
          <w:szCs w:val="33"/>
        </w:rPr>
        <w:t>一、收</w:t>
      </w:r>
      <w:r>
        <w:rPr>
          <w:rStyle w:val="2Char"/>
          <w:rFonts w:ascii="Times New Roman" w:eastAsia="方正仿宋_GBK" w:hAnsi="Times New Roman" w:cs="Times New Roman"/>
          <w:sz w:val="33"/>
          <w:szCs w:val="33"/>
        </w:rPr>
        <w:t>入支出决算总表</w:t>
      </w:r>
      <w:bookmarkEnd w:id="55"/>
    </w:p>
    <w:p w:rsidR="00C53AD4" w:rsidRDefault="001C3CD3">
      <w:pPr>
        <w:pStyle w:val="2"/>
        <w:spacing w:before="0" w:after="0" w:line="576" w:lineRule="exact"/>
        <w:ind w:firstLineChars="200" w:firstLine="660"/>
        <w:rPr>
          <w:rStyle w:val="2Char"/>
          <w:rFonts w:ascii="Times New Roman" w:eastAsia="方正仿宋_GBK" w:hAnsi="Times New Roman" w:cs="Times New Roman"/>
          <w:sz w:val="33"/>
          <w:szCs w:val="33"/>
        </w:rPr>
      </w:pPr>
      <w:bookmarkStart w:id="56" w:name="_Toc15396620"/>
      <w:r>
        <w:rPr>
          <w:rFonts w:ascii="Times New Roman" w:eastAsia="方正仿宋_GBK" w:hAnsi="Times New Roman" w:cs="Times New Roman"/>
          <w:b w:val="0"/>
          <w:sz w:val="33"/>
          <w:szCs w:val="33"/>
        </w:rPr>
        <w:t>二、</w:t>
      </w:r>
      <w:r>
        <w:rPr>
          <w:rFonts w:ascii="Times New Roman" w:eastAsia="方正仿宋_GBK" w:hAnsi="Times New Roman" w:cs="Times New Roman"/>
          <w:b w:val="0"/>
          <w:sz w:val="33"/>
          <w:szCs w:val="33"/>
        </w:rPr>
        <w:t>收</w:t>
      </w:r>
      <w:r>
        <w:rPr>
          <w:rStyle w:val="2Char"/>
          <w:rFonts w:ascii="Times New Roman" w:eastAsia="方正仿宋_GBK" w:hAnsi="Times New Roman" w:cs="Times New Roman"/>
          <w:sz w:val="33"/>
          <w:szCs w:val="33"/>
        </w:rPr>
        <w:t>入决算表</w:t>
      </w:r>
      <w:bookmarkEnd w:id="56"/>
    </w:p>
    <w:p w:rsidR="00C53AD4" w:rsidRDefault="001C3CD3">
      <w:pPr>
        <w:pStyle w:val="2"/>
        <w:spacing w:before="0" w:after="0" w:line="576" w:lineRule="exact"/>
        <w:ind w:firstLineChars="200" w:firstLine="660"/>
        <w:rPr>
          <w:rStyle w:val="2Char"/>
          <w:rFonts w:ascii="Times New Roman" w:eastAsia="方正仿宋_GBK" w:hAnsi="Times New Roman" w:cs="Times New Roman"/>
          <w:sz w:val="33"/>
          <w:szCs w:val="33"/>
        </w:rPr>
      </w:pPr>
      <w:bookmarkStart w:id="57" w:name="_Toc15396621"/>
      <w:r>
        <w:rPr>
          <w:rFonts w:ascii="Times New Roman" w:eastAsia="方正仿宋_GBK" w:hAnsi="Times New Roman" w:cs="Times New Roman"/>
          <w:b w:val="0"/>
          <w:sz w:val="33"/>
          <w:szCs w:val="33"/>
        </w:rPr>
        <w:t>三、</w:t>
      </w:r>
      <w:r>
        <w:rPr>
          <w:rFonts w:ascii="Times New Roman" w:eastAsia="方正仿宋_GBK" w:hAnsi="Times New Roman" w:cs="Times New Roman"/>
          <w:b w:val="0"/>
          <w:sz w:val="33"/>
          <w:szCs w:val="33"/>
        </w:rPr>
        <w:t>支</w:t>
      </w:r>
      <w:r>
        <w:rPr>
          <w:rStyle w:val="2Char"/>
          <w:rFonts w:ascii="Times New Roman" w:eastAsia="方正仿宋_GBK" w:hAnsi="Times New Roman" w:cs="Times New Roman"/>
          <w:sz w:val="33"/>
          <w:szCs w:val="33"/>
        </w:rPr>
        <w:t>出决算表</w:t>
      </w:r>
      <w:bookmarkEnd w:id="57"/>
    </w:p>
    <w:p w:rsidR="00C53AD4" w:rsidRDefault="001C3CD3">
      <w:pPr>
        <w:pStyle w:val="2"/>
        <w:spacing w:before="0" w:after="0" w:line="576" w:lineRule="exact"/>
        <w:ind w:firstLineChars="200" w:firstLine="660"/>
        <w:rPr>
          <w:rStyle w:val="2Char"/>
          <w:rFonts w:ascii="Times New Roman" w:eastAsia="方正仿宋_GBK" w:hAnsi="Times New Roman" w:cs="Times New Roman"/>
          <w:sz w:val="33"/>
          <w:szCs w:val="33"/>
        </w:rPr>
      </w:pPr>
      <w:bookmarkStart w:id="58" w:name="_Toc15396622"/>
      <w:r>
        <w:rPr>
          <w:rFonts w:ascii="Times New Roman" w:eastAsia="方正仿宋_GBK" w:hAnsi="Times New Roman" w:cs="Times New Roman"/>
          <w:b w:val="0"/>
          <w:sz w:val="33"/>
          <w:szCs w:val="33"/>
        </w:rPr>
        <w:t>四、</w:t>
      </w:r>
      <w:r>
        <w:rPr>
          <w:rFonts w:ascii="Times New Roman" w:eastAsia="方正仿宋_GBK" w:hAnsi="Times New Roman" w:cs="Times New Roman"/>
          <w:b w:val="0"/>
          <w:sz w:val="33"/>
          <w:szCs w:val="33"/>
        </w:rPr>
        <w:t>财</w:t>
      </w:r>
      <w:r>
        <w:rPr>
          <w:rStyle w:val="2Char"/>
          <w:rFonts w:ascii="Times New Roman" w:eastAsia="方正仿宋_GBK" w:hAnsi="Times New Roman" w:cs="Times New Roman"/>
          <w:sz w:val="33"/>
          <w:szCs w:val="33"/>
        </w:rPr>
        <w:t>政拨款收入支出决算总表</w:t>
      </w:r>
      <w:bookmarkEnd w:id="58"/>
    </w:p>
    <w:p w:rsidR="00C53AD4" w:rsidRDefault="001C3CD3">
      <w:pPr>
        <w:pStyle w:val="2"/>
        <w:spacing w:before="0" w:after="0" w:line="576" w:lineRule="exact"/>
        <w:ind w:firstLineChars="200" w:firstLine="660"/>
        <w:rPr>
          <w:rStyle w:val="2Char"/>
          <w:rFonts w:ascii="Times New Roman" w:eastAsia="方正仿宋_GBK" w:hAnsi="Times New Roman" w:cs="Times New Roman"/>
          <w:sz w:val="33"/>
          <w:szCs w:val="33"/>
        </w:rPr>
      </w:pPr>
      <w:bookmarkStart w:id="59" w:name="_Toc15396623"/>
      <w:r>
        <w:rPr>
          <w:rFonts w:ascii="Times New Roman" w:eastAsia="方正仿宋_GBK" w:hAnsi="Times New Roman" w:cs="Times New Roman"/>
          <w:b w:val="0"/>
          <w:sz w:val="33"/>
          <w:szCs w:val="33"/>
        </w:rPr>
        <w:t>五、</w:t>
      </w:r>
      <w:r>
        <w:rPr>
          <w:rFonts w:ascii="Times New Roman" w:eastAsia="方正仿宋_GBK" w:hAnsi="Times New Roman" w:cs="Times New Roman"/>
          <w:b w:val="0"/>
          <w:sz w:val="33"/>
          <w:szCs w:val="33"/>
        </w:rPr>
        <w:t>财</w:t>
      </w:r>
      <w:r>
        <w:rPr>
          <w:rStyle w:val="2Char"/>
          <w:rFonts w:ascii="Times New Roman" w:eastAsia="方正仿宋_GBK" w:hAnsi="Times New Roman" w:cs="Times New Roman"/>
          <w:sz w:val="33"/>
          <w:szCs w:val="33"/>
        </w:rPr>
        <w:t>政拨款支出决算明细表</w:t>
      </w:r>
      <w:bookmarkStart w:id="60" w:name="_Toc15396624"/>
      <w:bookmarkEnd w:id="59"/>
    </w:p>
    <w:p w:rsidR="00C53AD4" w:rsidRDefault="001C3CD3">
      <w:pPr>
        <w:pStyle w:val="2"/>
        <w:spacing w:before="0" w:after="0" w:line="576"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b w:val="0"/>
          <w:sz w:val="33"/>
          <w:szCs w:val="33"/>
        </w:rPr>
        <w:t>六、</w:t>
      </w:r>
      <w:r>
        <w:rPr>
          <w:rFonts w:ascii="Times New Roman" w:eastAsia="方正仿宋_GBK" w:hAnsi="Times New Roman" w:cs="Times New Roman"/>
          <w:b w:val="0"/>
          <w:sz w:val="33"/>
          <w:szCs w:val="33"/>
        </w:rPr>
        <w:t>一</w:t>
      </w:r>
      <w:r>
        <w:rPr>
          <w:rStyle w:val="2Char"/>
          <w:rFonts w:ascii="Times New Roman" w:eastAsia="方正仿宋_GBK" w:hAnsi="Times New Roman" w:cs="Times New Roman"/>
          <w:sz w:val="33"/>
          <w:szCs w:val="33"/>
        </w:rPr>
        <w:t>般公共预算财政拨款支出决算表</w:t>
      </w:r>
      <w:bookmarkEnd w:id="60"/>
    </w:p>
    <w:p w:rsidR="00C53AD4" w:rsidRDefault="001C3CD3">
      <w:pPr>
        <w:pStyle w:val="2"/>
        <w:spacing w:before="0" w:after="0" w:line="576" w:lineRule="exact"/>
        <w:ind w:firstLineChars="200" w:firstLine="660"/>
        <w:rPr>
          <w:rFonts w:ascii="Times New Roman" w:eastAsia="方正仿宋_GBK" w:hAnsi="Times New Roman" w:cs="Times New Roman"/>
          <w:sz w:val="33"/>
          <w:szCs w:val="33"/>
        </w:rPr>
      </w:pPr>
      <w:bookmarkStart w:id="61" w:name="_Toc15396625"/>
      <w:r>
        <w:rPr>
          <w:rFonts w:ascii="Times New Roman" w:eastAsia="方正仿宋_GBK" w:hAnsi="Times New Roman" w:cs="Times New Roman"/>
          <w:b w:val="0"/>
          <w:sz w:val="33"/>
          <w:szCs w:val="33"/>
        </w:rPr>
        <w:t>七、</w:t>
      </w:r>
      <w:r>
        <w:rPr>
          <w:rFonts w:ascii="Times New Roman" w:eastAsia="方正仿宋_GBK" w:hAnsi="Times New Roman" w:cs="Times New Roman"/>
          <w:b w:val="0"/>
          <w:sz w:val="33"/>
          <w:szCs w:val="33"/>
        </w:rPr>
        <w:t>一</w:t>
      </w:r>
      <w:r>
        <w:rPr>
          <w:rStyle w:val="2Char"/>
          <w:rFonts w:ascii="Times New Roman" w:eastAsia="方正仿宋_GBK" w:hAnsi="Times New Roman" w:cs="Times New Roman"/>
          <w:sz w:val="33"/>
          <w:szCs w:val="33"/>
        </w:rPr>
        <w:t>般公共预算财政拨款支出决算明细表</w:t>
      </w:r>
      <w:bookmarkEnd w:id="61"/>
    </w:p>
    <w:p w:rsidR="00C53AD4" w:rsidRDefault="001C3CD3">
      <w:pPr>
        <w:pStyle w:val="2"/>
        <w:spacing w:before="0" w:after="0" w:line="576" w:lineRule="exact"/>
        <w:ind w:firstLineChars="200" w:firstLine="660"/>
        <w:rPr>
          <w:rStyle w:val="2Char"/>
          <w:rFonts w:ascii="Times New Roman" w:eastAsia="方正仿宋_GBK" w:hAnsi="Times New Roman" w:cs="Times New Roman"/>
          <w:sz w:val="33"/>
          <w:szCs w:val="33"/>
        </w:rPr>
      </w:pPr>
      <w:bookmarkStart w:id="62" w:name="_Toc15396626"/>
      <w:r>
        <w:rPr>
          <w:rFonts w:ascii="Times New Roman" w:eastAsia="方正仿宋_GBK" w:hAnsi="Times New Roman" w:cs="Times New Roman"/>
          <w:b w:val="0"/>
          <w:sz w:val="33"/>
          <w:szCs w:val="33"/>
        </w:rPr>
        <w:t>八、</w:t>
      </w:r>
      <w:r>
        <w:rPr>
          <w:rFonts w:ascii="Times New Roman" w:eastAsia="方正仿宋_GBK" w:hAnsi="Times New Roman" w:cs="Times New Roman"/>
          <w:b w:val="0"/>
          <w:sz w:val="33"/>
          <w:szCs w:val="33"/>
        </w:rPr>
        <w:t>一</w:t>
      </w:r>
      <w:r>
        <w:rPr>
          <w:rStyle w:val="2Char"/>
          <w:rFonts w:ascii="Times New Roman" w:eastAsia="方正仿宋_GBK" w:hAnsi="Times New Roman" w:cs="Times New Roman"/>
          <w:sz w:val="33"/>
          <w:szCs w:val="33"/>
        </w:rPr>
        <w:t>般公共预算财政拨款基本支出决算表</w:t>
      </w:r>
      <w:bookmarkEnd w:id="62"/>
    </w:p>
    <w:p w:rsidR="00C53AD4" w:rsidRDefault="001C3CD3">
      <w:pPr>
        <w:pStyle w:val="2"/>
        <w:spacing w:before="0" w:after="0" w:line="576" w:lineRule="exact"/>
        <w:ind w:firstLineChars="200" w:firstLine="660"/>
        <w:rPr>
          <w:rStyle w:val="2Char"/>
          <w:rFonts w:ascii="Times New Roman" w:eastAsia="方正仿宋_GBK" w:hAnsi="Times New Roman" w:cs="Times New Roman"/>
          <w:sz w:val="33"/>
          <w:szCs w:val="33"/>
        </w:rPr>
      </w:pPr>
      <w:bookmarkStart w:id="63" w:name="_Toc15396627"/>
      <w:r>
        <w:rPr>
          <w:rFonts w:ascii="Times New Roman" w:eastAsia="方正仿宋_GBK" w:hAnsi="Times New Roman" w:cs="Times New Roman"/>
          <w:b w:val="0"/>
          <w:sz w:val="33"/>
          <w:szCs w:val="33"/>
        </w:rPr>
        <w:t>九、</w:t>
      </w:r>
      <w:r>
        <w:rPr>
          <w:rFonts w:ascii="Times New Roman" w:eastAsia="方正仿宋_GBK" w:hAnsi="Times New Roman" w:cs="Times New Roman"/>
          <w:b w:val="0"/>
          <w:sz w:val="33"/>
          <w:szCs w:val="33"/>
        </w:rPr>
        <w:t>一</w:t>
      </w:r>
      <w:r>
        <w:rPr>
          <w:rStyle w:val="2Char"/>
          <w:rFonts w:ascii="Times New Roman" w:eastAsia="方正仿宋_GBK" w:hAnsi="Times New Roman" w:cs="Times New Roman"/>
          <w:sz w:val="33"/>
          <w:szCs w:val="33"/>
        </w:rPr>
        <w:t>般公共预算财政拨款项目支出决算表</w:t>
      </w:r>
      <w:bookmarkEnd w:id="63"/>
    </w:p>
    <w:p w:rsidR="00C53AD4" w:rsidRDefault="001C3CD3">
      <w:pPr>
        <w:pStyle w:val="2"/>
        <w:spacing w:before="0" w:after="0" w:line="576" w:lineRule="exact"/>
        <w:ind w:firstLineChars="200" w:firstLine="660"/>
        <w:rPr>
          <w:rStyle w:val="2Char"/>
          <w:rFonts w:ascii="Times New Roman" w:eastAsia="方正仿宋_GBK" w:hAnsi="Times New Roman" w:cs="Times New Roman"/>
          <w:sz w:val="33"/>
          <w:szCs w:val="33"/>
        </w:rPr>
      </w:pPr>
      <w:r>
        <w:rPr>
          <w:rFonts w:ascii="Times New Roman" w:eastAsia="方正仿宋_GBK" w:hAnsi="Times New Roman" w:cs="Times New Roman"/>
          <w:b w:val="0"/>
          <w:sz w:val="33"/>
          <w:szCs w:val="33"/>
        </w:rPr>
        <w:t>十、</w:t>
      </w:r>
      <w:r>
        <w:rPr>
          <w:rFonts w:ascii="Times New Roman" w:eastAsia="方正仿宋_GBK" w:hAnsi="Times New Roman" w:cs="Times New Roman"/>
          <w:b w:val="0"/>
          <w:sz w:val="33"/>
          <w:szCs w:val="33"/>
        </w:rPr>
        <w:t>政</w:t>
      </w:r>
      <w:r>
        <w:rPr>
          <w:rStyle w:val="2Char"/>
          <w:rFonts w:ascii="Times New Roman" w:eastAsia="方正仿宋_GBK" w:hAnsi="Times New Roman" w:cs="Times New Roman"/>
          <w:sz w:val="33"/>
          <w:szCs w:val="33"/>
        </w:rPr>
        <w:t>府性基金预算财政拨款收入支出决算表</w:t>
      </w:r>
    </w:p>
    <w:p w:rsidR="00C53AD4" w:rsidRDefault="001C3CD3">
      <w:pPr>
        <w:pStyle w:val="2"/>
        <w:spacing w:before="0" w:after="0" w:line="576" w:lineRule="exact"/>
        <w:ind w:firstLineChars="200" w:firstLine="660"/>
        <w:rPr>
          <w:rStyle w:val="2Char"/>
          <w:rFonts w:ascii="Times New Roman" w:eastAsia="方正仿宋_GBK" w:hAnsi="Times New Roman" w:cs="Times New Roman"/>
          <w:sz w:val="33"/>
          <w:szCs w:val="33"/>
        </w:rPr>
      </w:pPr>
      <w:r>
        <w:rPr>
          <w:rFonts w:ascii="Times New Roman" w:eastAsia="方正仿宋_GBK" w:hAnsi="Times New Roman" w:cs="Times New Roman"/>
          <w:b w:val="0"/>
          <w:sz w:val="33"/>
          <w:szCs w:val="33"/>
        </w:rPr>
        <w:t>十一</w:t>
      </w:r>
      <w:r>
        <w:rPr>
          <w:rFonts w:ascii="Times New Roman" w:eastAsia="方正仿宋_GBK" w:hAnsi="Times New Roman" w:cs="Times New Roman"/>
          <w:b w:val="0"/>
          <w:sz w:val="33"/>
          <w:szCs w:val="33"/>
        </w:rPr>
        <w:t>国</w:t>
      </w:r>
      <w:r>
        <w:rPr>
          <w:rStyle w:val="2Char"/>
          <w:rFonts w:ascii="Times New Roman" w:eastAsia="方正仿宋_GBK" w:hAnsi="Times New Roman" w:cs="Times New Roman"/>
          <w:sz w:val="33"/>
          <w:szCs w:val="33"/>
        </w:rPr>
        <w:t>有资本经营预算财政拨款收入支出决算表</w:t>
      </w:r>
    </w:p>
    <w:p w:rsidR="00C53AD4" w:rsidRDefault="001C3CD3">
      <w:pPr>
        <w:pStyle w:val="2"/>
        <w:spacing w:before="0" w:after="0" w:line="576" w:lineRule="exact"/>
        <w:ind w:firstLineChars="200" w:firstLine="660"/>
        <w:rPr>
          <w:rFonts w:ascii="Times New Roman" w:eastAsia="方正仿宋_GBK" w:hAnsi="Times New Roman" w:cs="Times New Roman"/>
          <w:sz w:val="33"/>
          <w:szCs w:val="33"/>
        </w:rPr>
      </w:pPr>
      <w:r>
        <w:rPr>
          <w:rStyle w:val="2Char"/>
          <w:rFonts w:ascii="Times New Roman" w:eastAsia="方正仿宋_GBK" w:hAnsi="Times New Roman" w:cs="Times New Roman"/>
          <w:sz w:val="33"/>
          <w:szCs w:val="33"/>
        </w:rPr>
        <w:t>十二、</w:t>
      </w:r>
      <w:r>
        <w:rPr>
          <w:rStyle w:val="2Char"/>
          <w:rFonts w:ascii="Times New Roman" w:eastAsia="方正仿宋_GBK" w:hAnsi="Times New Roman" w:cs="Times New Roman"/>
          <w:sz w:val="33"/>
          <w:szCs w:val="33"/>
        </w:rPr>
        <w:t>国有资本经营预算财政拨款支出决算表</w:t>
      </w:r>
    </w:p>
    <w:p w:rsidR="00C53AD4" w:rsidRDefault="001C3CD3">
      <w:pPr>
        <w:pStyle w:val="2"/>
        <w:spacing w:before="0" w:after="0" w:line="576" w:lineRule="exact"/>
        <w:ind w:firstLineChars="200" w:firstLine="660"/>
        <w:rPr>
          <w:rStyle w:val="2Char"/>
          <w:rFonts w:ascii="Times New Roman" w:eastAsia="方正仿宋_GBK" w:hAnsi="Times New Roman" w:cs="Times New Roman"/>
          <w:sz w:val="33"/>
          <w:szCs w:val="33"/>
        </w:rPr>
      </w:pPr>
      <w:r>
        <w:rPr>
          <w:rStyle w:val="2Char"/>
          <w:rFonts w:ascii="Times New Roman" w:eastAsia="方正仿宋_GBK" w:hAnsi="Times New Roman" w:cs="Times New Roman"/>
          <w:sz w:val="33"/>
          <w:szCs w:val="33"/>
        </w:rPr>
        <w:t>十三、</w:t>
      </w:r>
      <w:r>
        <w:rPr>
          <w:rStyle w:val="2Char"/>
          <w:rFonts w:ascii="Times New Roman" w:eastAsia="方正仿宋_GBK" w:hAnsi="Times New Roman" w:cs="Times New Roman"/>
          <w:sz w:val="33"/>
          <w:szCs w:val="33"/>
        </w:rPr>
        <w:t>财政拨款</w:t>
      </w:r>
      <w:r>
        <w:rPr>
          <w:rStyle w:val="2Char"/>
          <w:rFonts w:ascii="Times New Roman" w:eastAsia="方正仿宋_GBK" w:hAnsi="Times New Roman" w:cs="Times New Roman"/>
          <w:sz w:val="33"/>
          <w:szCs w:val="33"/>
        </w:rPr>
        <w:t>“</w:t>
      </w:r>
      <w:r>
        <w:rPr>
          <w:rStyle w:val="2Char"/>
          <w:rFonts w:ascii="Times New Roman" w:eastAsia="方正仿宋_GBK" w:hAnsi="Times New Roman" w:cs="Times New Roman"/>
          <w:sz w:val="33"/>
          <w:szCs w:val="33"/>
        </w:rPr>
        <w:t>三公</w:t>
      </w:r>
      <w:r>
        <w:rPr>
          <w:rStyle w:val="2Char"/>
          <w:rFonts w:ascii="Times New Roman" w:eastAsia="方正仿宋_GBK" w:hAnsi="Times New Roman" w:cs="Times New Roman"/>
          <w:sz w:val="33"/>
          <w:szCs w:val="33"/>
        </w:rPr>
        <w:t>”</w:t>
      </w:r>
      <w:r>
        <w:rPr>
          <w:rStyle w:val="2Char"/>
          <w:rFonts w:ascii="Times New Roman" w:eastAsia="方正仿宋_GBK" w:hAnsi="Times New Roman" w:cs="Times New Roman"/>
          <w:sz w:val="33"/>
          <w:szCs w:val="33"/>
        </w:rPr>
        <w:t>经费支出决算表</w:t>
      </w:r>
    </w:p>
    <w:p w:rsidR="00C53AD4" w:rsidRDefault="00C53AD4">
      <w:pPr>
        <w:spacing w:line="576" w:lineRule="exact"/>
        <w:rPr>
          <w:rFonts w:eastAsia="方正仿宋_GBK"/>
          <w:sz w:val="33"/>
          <w:szCs w:val="33"/>
        </w:rPr>
      </w:pPr>
    </w:p>
    <w:sectPr w:rsidR="00C53AD4">
      <w:footerReference w:type="default" r:id="rId21"/>
      <w:footerReference w:type="first" r:id="rId22"/>
      <w:pgSz w:w="11906" w:h="16838"/>
      <w:pgMar w:top="2098" w:right="1474" w:bottom="1984" w:left="1587" w:header="907" w:footer="1644" w:gutter="0"/>
      <w:pgNumType w:start="1"/>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C3CD3" w:rsidRDefault="001C3CD3">
      <w:r>
        <w:separator/>
      </w:r>
    </w:p>
  </w:endnote>
  <w:endnote w:type="continuationSeparator" w:id="0">
    <w:p w:rsidR="001C3CD3" w:rsidRDefault="001C3C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altName w:val="Arial Unicode MS"/>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3AD4" w:rsidRDefault="00C53AD4">
    <w:pPr>
      <w:pStyle w:val="a6"/>
      <w:jc w:val="center"/>
    </w:pPr>
  </w:p>
  <w:p w:rsidR="00C53AD4" w:rsidRDefault="00C53AD4">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3AD4" w:rsidRDefault="00C53AD4">
    <w:pPr>
      <w:pStyle w:val="a6"/>
    </w:pPr>
  </w:p>
  <w:p w:rsidR="00C53AD4" w:rsidRDefault="00C53AD4">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3AD4" w:rsidRDefault="00C53AD4">
    <w:pPr>
      <w:pStyle w:val="a6"/>
      <w:jc w:val="center"/>
    </w:pPr>
  </w:p>
  <w:p w:rsidR="00C53AD4" w:rsidRDefault="00C53AD4">
    <w:pPr>
      <w:pStyle w:val="a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3AD4" w:rsidRDefault="00C53AD4">
    <w:pPr>
      <w:pStyle w:val="a6"/>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3AD4" w:rsidRDefault="00C53AD4">
    <w:pPr>
      <w:pStyle w:val="a6"/>
      <w:jc w:val="center"/>
    </w:pPr>
  </w:p>
  <w:p w:rsidR="00C53AD4" w:rsidRDefault="00C53AD4">
    <w:pPr>
      <w:pStyle w:val="a6"/>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3AD4" w:rsidRDefault="001C3CD3">
    <w:pPr>
      <w:pStyle w:val="a6"/>
    </w:pPr>
    <w:r>
      <w:rPr>
        <w:noProof/>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9"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rsidR="00C53AD4" w:rsidRDefault="001C3CD3">
                          <w:pPr>
                            <w:pStyle w:val="a6"/>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margin-left:92.8pt;margin-top:0;width:2in;height:2in;z-index:251661312;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8VXCtgEAAEkDAAAOAAAAZHJzL2Uyb0RvYy54bWysU8GO0zAQvSPxD5bvNNlKCyFqugKtFiEh&#10;QFr4ANexG0u2x/J4m/QH4A84ceHOd/U7GLtJF8ENcXFmPOM3895MNjeTs+ygIhrwHb9a1ZwpL6E3&#10;ft/xz5/unjWcYRK+Fxa86vhRIb/ZPn2yGUOr1jCA7VVkBOKxHUPHh5RCW1UoB+UEriAoT0EN0YlE&#10;btxXfRQjoTtbrev6eTVC7EMEqRDp9vYc5NuCr7WS6YPWqBKzHafeUjljOXf5rLYb0e6jCIORcxvi&#10;H7pwwngqeoG6FUmwh2j+gnJGRkDQaSXBVaC1kapwIDZX9R9s7gcRVOFC4mC4yIT/D1a+P3yMzPQd&#10;f8mZF45GdPr29fT95+nHF9ZkecaALWXdB8pL02uYaMzLPdJlZj3p6PKX+DCKk9DHi7hqSkzmR826&#10;aWoKSYotDuFXj89DxPRGgWPZ6Hik6RVRxeEdpnPqkpKrebgz1pYJWs9GQr1uXlyXF5cQoVtPRTKL&#10;c7fZStNumqntoD8Ss5FWoOOedpQz+9aTwnlbFiMuxm42cnkMrx4StVA6y6hnqLkYzatwm3crL8Tv&#10;fsl6/AO2vwAAAP//AwBQSwMEFAAGAAgAAAAhAKqKCxzYAAAABQEAAA8AAABkcnMvZG93bnJldi54&#10;bWxMj0FLw0AQhe+C/2EZwUuxG4tIjNkUFXpTsFXwOs2OSWp2Nuxu0+ivd5SCXoZ5vOHN98rl5Ho1&#10;UoidZwOX8wwUce1tx42B15fVRQ4qJmSLvWcy8EkRltXpSYmF9Qde07hJjZIQjgUaaFMaCq1j3ZLD&#10;OPcDsXjvPjhMIkOjbcCDhLteL7LsWjvsWD60ONBDS/XHZu8MvD1+Ea3z+9lsvNrtQra6ea71kzHn&#10;Z9PdLahEU/o7hh98QYdKmLZ+zzaq3oAUSb9TvEWei9weF12V+j999Q0AAP//AwBQSwECLQAUAAYA&#10;CAAAACEAtoM4kv4AAADhAQAAEwAAAAAAAAAAAAAAAAAAAAAAW0NvbnRlbnRfVHlwZXNdLnhtbFBL&#10;AQItABQABgAIAAAAIQA4/SH/1gAAAJQBAAALAAAAAAAAAAAAAAAAAC8BAABfcmVscy8ucmVsc1BL&#10;AQItABQABgAIAAAAIQCf8VXCtgEAAEkDAAAOAAAAAAAAAAAAAAAAAC4CAABkcnMvZTJvRG9jLnht&#10;bFBLAQItABQABgAIAAAAIQCqigsc2AAAAAUBAAAPAAAAAAAAAAAAAAAAABAEAABkcnMvZG93bnJl&#10;di54bWxQSwUGAAAAAAQABADzAAAAFQUAAAAA&#10;" filled="f" stroked="f" strokeweight="1.25pt">
              <v:textbox style="mso-fit-shape-to-text:t" inset="0,0,0,0">
                <w:txbxContent>
                  <w:p w:rsidR="00C53AD4" w:rsidRDefault="001C3CD3">
                    <w:pPr>
                      <w:pStyle w:val="a6"/>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3AD4" w:rsidRDefault="001C3CD3">
    <w:pPr>
      <w:pStyle w:val="a6"/>
      <w:jc w:val="center"/>
    </w:pPr>
    <w:r>
      <w:rPr>
        <w:noProof/>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8"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rsidR="00C53AD4" w:rsidRDefault="001C3CD3">
                          <w:pPr>
                            <w:pStyle w:val="a6"/>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C11228">
                            <w:rPr>
                              <w:rFonts w:asciiTheme="minorEastAsia" w:eastAsiaTheme="minorEastAsia" w:hAnsiTheme="minorEastAsia" w:cstheme="minorEastAsia"/>
                              <w:noProof/>
                              <w:sz w:val="28"/>
                              <w:szCs w:val="28"/>
                            </w:rPr>
                            <w:t>18</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w:t>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1027" type="#_x0000_t202" style="position:absolute;left:0;text-align:left;margin-left:92.8pt;margin-top:0;width:2in;height:2in;z-index:251660288;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RimzQEAAHUDAAAOAAAAZHJzL2Uyb0RvYy54bWysU8Fu1DAQvSPxD5bvbNKVSqNovRVQFSEh&#10;QCp8gNexN5Zsj2W7mywfAH/AiQt3vmu/g7GzSVF7Q1ycsWfmzbw3k831aA05yBA1OEYvVjUl0gno&#10;tNsz+uXz7YuGkpi467gBJxk9ykivt8+fbQbfyjX0YDoZCIK42A6e0T4l31ZVFL20PK7AS4dOBcHy&#10;hNewr7rAB0S3plrX9ctqgND5AELGiK83k5NuC75SUqSPSkWZiGEUe0vlDOXc5bPabni7D9z3Wpzb&#10;4P/QheXaYdEF6oYnTu6DfgJltQgQQaWVAFuBUlrIwgHZXNSP2Nz13MvCBcWJfpEp/j9Y8eHwKRDd&#10;MYqDctziiE4/vp9+/j79+kausjyDjy1G3XmMS+NrGHHM83vEx8x6VMHmL/Ih6Eehj4u4ckxE5KRm&#10;3TQ1ugT65gviVw/pPsT0VoIl2WA04PSKqPzwPqYpdA7J1RzcamPKBI0jA6JeNleXJWNxIbpxWCSz&#10;mLrNVhp3YyG9MNlBd0SCuMlYuIfwlZIBt4JRh2tLiXnnUPS8QLMRZmM3G9wJTGQ0UTKZb1JZtNxq&#10;9K/uE7ZbWOQOpnrnxnC2RYfzHubl+fteoh7+lu0fAAAA//8DAFBLAwQUAAYACAAAACEAqooLHNgA&#10;AAAFAQAADwAAAGRycy9kb3ducmV2LnhtbEyPQUvDQBCF74L/YRnBS7Ebi0iM2RQVelOwVfA6zY5J&#10;anY27G7T6K93lIJehnm84c33yuXkejVSiJ1nA5fzDBRx7W3HjYHXl9VFDiomZIu9ZzLwSRGW1elJ&#10;iYX1B17TuEmNkhCOBRpoUxoKrWPdksM49wOxeO8+OEwiQ6NtwIOEu14vsuxaO+xYPrQ40ENL9cdm&#10;7wy8PX4RrfP72Wy82u1Ctrp5rvWTMedn090tqERT+juGH3xBh0qYtn7PNqregBRJv1O8RZ6L3B4X&#10;XZX6P331DQAA//8DAFBLAQItABQABgAIAAAAIQC2gziS/gAAAOEBAAATAAAAAAAAAAAAAAAAAAAA&#10;AABbQ29udGVudF9UeXBlc10ueG1sUEsBAi0AFAAGAAgAAAAhADj9If/WAAAAlAEAAAsAAAAAAAAA&#10;AAAAAAAALwEAAF9yZWxzLy5yZWxzUEsBAi0AFAAGAAgAAAAhAAKxGKbNAQAAdQMAAA4AAAAAAAAA&#10;AAAAAAAALgIAAGRycy9lMm9Eb2MueG1sUEsBAi0AFAAGAAgAAAAhAKqKCxzYAAAABQEAAA8AAAAA&#10;AAAAAAAAAAAAJwQAAGRycy9kb3ducmV2LnhtbFBLBQYAAAAABAAEAPMAAAAsBQAAAAA=&#10;" filled="f" stroked="f" strokeweight="1.25pt">
              <v:textbox style="mso-fit-shape-to-text:t" inset="0,0,0,0">
                <w:txbxContent>
                  <w:p w:rsidR="00C53AD4" w:rsidRDefault="001C3CD3">
                    <w:pPr>
                      <w:pStyle w:val="a6"/>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C11228">
                      <w:rPr>
                        <w:rFonts w:asciiTheme="minorEastAsia" w:eastAsiaTheme="minorEastAsia" w:hAnsiTheme="minorEastAsia" w:cstheme="minorEastAsia"/>
                        <w:noProof/>
                        <w:sz w:val="28"/>
                        <w:szCs w:val="28"/>
                      </w:rPr>
                      <w:t>18</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w:t>
                    </w:r>
                  </w:p>
                </w:txbxContent>
              </v:textbox>
              <w10:wrap anchorx="margin"/>
            </v:shape>
          </w:pict>
        </mc:Fallback>
      </mc:AlternateContent>
    </w:r>
  </w:p>
  <w:p w:rsidR="00C53AD4" w:rsidRDefault="00C53AD4">
    <w:pPr>
      <w:pStyle w:val="a6"/>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3AD4" w:rsidRDefault="001C3CD3">
    <w:pPr>
      <w:pStyle w:val="a6"/>
    </w:pPr>
    <w:r>
      <w:rPr>
        <w:noProof/>
      </w:rP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10"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rsidR="00C53AD4" w:rsidRDefault="001C3CD3">
                          <w:pPr>
                            <w:pStyle w:val="a6"/>
                          </w:pPr>
                          <w:r>
                            <w:t xml:space="preserve">— </w:t>
                          </w:r>
                          <w:r>
                            <w:fldChar w:fldCharType="begin"/>
                          </w:r>
                          <w:r>
                            <w:instrText xml:space="preserve"> PAGE  \* MERGEFORMAT </w:instrText>
                          </w:r>
                          <w:r>
                            <w:fldChar w:fldCharType="separate"/>
                          </w:r>
                          <w:r>
                            <w:t>1</w:t>
                          </w:r>
                          <w:r>
                            <w:fldChar w:fldCharType="end"/>
                          </w:r>
                          <w:r>
                            <w:t xml:space="preserve"> —</w:t>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1028" type="#_x0000_t202" style="position:absolute;margin-left:92.8pt;margin-top:0;width:2in;height:2in;z-index:251662336;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tjHzgEAAHYDAAAOAAAAZHJzL2Uyb0RvYy54bWysU8FO3DAQvVfiHyzfuwkrQdNos6gtoqqE&#10;oBLtB3gde2PJ9li22WT7AfAHnLhw73ftd3TsbJYKboiLM/bMvJn3ZrI4G4wmG+GDAtvQ41lJibAc&#10;WmXXDf396+JjRUmIzLZMgxUN3YpAz5ZHHxa9q8UcOtCt8ARBbKh719AuRlcXReCdMCzMwAmLTgne&#10;sIhXvy5az3pEN7qYl+Vp0YNvnQcuQsDX89FJlxlfSsHjtZRBRKIbir3FfPp8rtJZLBesXnvmOsX3&#10;bbA3dGGYslj0AHXOIiO3Xr2CMop7CCDjjIMpQErFReaAbI7LF2xuOuZE5oLiBHeQKbwfLL/a/PRE&#10;tTg7lMcygzPaPdzvHv/unu7I56RP70KNYTcOA+PwFQaMnd4DPibag/QmfZEQQT9CbQ/qiiESnpKq&#10;eVWV6OLomy6IXzynOx/idwGGJKOhHseXVWWbyxDH0CkkVbNwobTOI9SW9Ih6Un06yRkHF6Jri0US&#10;i7HbZMVhNWTW84nJCtotEsRVxsId+D+U9LgWDbW4t5ToHxZVTxs0GX4yVpPBLMfEhkZKRvNbzJuW&#10;Wg3uy23EdjOL1MFYb98YDjfrsF/EtD3/33PU8++y/AcAAP//AwBQSwMEFAAGAAgAAAAhAKqKCxzY&#10;AAAABQEAAA8AAABkcnMvZG93bnJldi54bWxMj0FLw0AQhe+C/2EZwUuxG4tIjNkUFXpTsFXwOs2O&#10;SWp2Nuxu0+ivd5SCXoZ5vOHN98rl5Ho1UoidZwOX8wwUce1tx42B15fVRQ4qJmSLvWcy8EkRltXp&#10;SYmF9Qde07hJjZIQjgUaaFMaCq1j3ZLDOPcDsXjvPjhMIkOjbcCDhLteL7LsWjvsWD60ONBDS/XH&#10;Zu8MvD1+Ea3z+9lsvNrtQra6ea71kzHnZ9PdLahEU/o7hh98QYdKmLZ+zzaq3oAUSb9TvEWei9we&#10;F12V+j999Q0AAP//AwBQSwECLQAUAAYACAAAACEAtoM4kv4AAADhAQAAEwAAAAAAAAAAAAAAAAAA&#10;AAAAW0NvbnRlbnRfVHlwZXNdLnhtbFBLAQItABQABgAIAAAAIQA4/SH/1gAAAJQBAAALAAAAAAAA&#10;AAAAAAAAAC8BAABfcmVscy8ucmVsc1BLAQItABQABgAIAAAAIQDactjHzgEAAHYDAAAOAAAAAAAA&#10;AAAAAAAAAC4CAABkcnMvZTJvRG9jLnhtbFBLAQItABQABgAIAAAAIQCqigsc2AAAAAUBAAAPAAAA&#10;AAAAAAAAAAAAACgEAABkcnMvZG93bnJldi54bWxQSwUGAAAAAAQABADzAAAALQUAAAAA&#10;" filled="f" stroked="f" strokeweight="1.25pt">
              <v:textbox style="mso-fit-shape-to-text:t" inset="0,0,0,0">
                <w:txbxContent>
                  <w:p w:rsidR="00C53AD4" w:rsidRDefault="001C3CD3">
                    <w:pPr>
                      <w:pStyle w:val="a6"/>
                    </w:pPr>
                    <w:r>
                      <w:t xml:space="preserve">— </w:t>
                    </w:r>
                    <w:r>
                      <w:fldChar w:fldCharType="begin"/>
                    </w:r>
                    <w:r>
                      <w:instrText xml:space="preserve"> PAGE  \* MERGEFORMAT </w:instrText>
                    </w:r>
                    <w:r>
                      <w:fldChar w:fldCharType="separate"/>
                    </w:r>
                    <w:r>
                      <w:t>1</w:t>
                    </w:r>
                    <w:r>
                      <w:fldChar w:fldCharType="end"/>
                    </w:r>
                    <w:r>
                      <w:t xml:space="preserve"> —</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C3CD3" w:rsidRDefault="001C3CD3">
      <w:r>
        <w:separator/>
      </w:r>
    </w:p>
  </w:footnote>
  <w:footnote w:type="continuationSeparator" w:id="0">
    <w:p w:rsidR="001C3CD3" w:rsidRDefault="001C3CD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3AD4" w:rsidRDefault="00C53AD4">
    <w:pPr>
      <w:pStyle w:val="a7"/>
      <w:pBdr>
        <w:bottom w:val="none" w:sz="0" w:space="0" w:color="auto"/>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420"/>
  <w:drawingGridHorizontalSpacing w:val="0"/>
  <w:drawingGridVerticalSpacing w:val="156"/>
  <w:noPunctuationKerning/>
  <w:characterSpacingControl w:val="compressPunctuation"/>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k0NThhMjljMDM4YWQwM2YxMWZlYjA3ZTBjNjZiNDEifQ=="/>
  </w:docVars>
  <w:rsids>
    <w:rsidRoot w:val="00C53AD4"/>
    <w:rsid w:val="001C3CD3"/>
    <w:rsid w:val="002C40F7"/>
    <w:rsid w:val="00C11228"/>
    <w:rsid w:val="00C53AD4"/>
    <w:rsid w:val="037C0BDC"/>
    <w:rsid w:val="1CCD6845"/>
    <w:rsid w:val="27D52FEC"/>
    <w:rsid w:val="28B50B6C"/>
    <w:rsid w:val="298913F3"/>
    <w:rsid w:val="43ED7BB8"/>
    <w:rsid w:val="513307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15:docId w15:val="{3233C2AD-3363-4379-BB46-750AFB5F17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Cambria" w:hAnsi="Cambria" w:cs="黑体"/>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qFormat/>
    <w:pPr>
      <w:spacing w:beforeLines="30"/>
    </w:pPr>
    <w:rPr>
      <w:rFonts w:ascii="仿宋_GB2312" w:eastAsia="仿宋_GB2312"/>
      <w:kern w:val="0"/>
      <w:sz w:val="30"/>
    </w:rPr>
  </w:style>
  <w:style w:type="paragraph" w:styleId="a4">
    <w:name w:val="Body Text Indent"/>
    <w:basedOn w:val="a"/>
    <w:qFormat/>
    <w:pPr>
      <w:spacing w:after="120"/>
      <w:ind w:leftChars="200" w:left="200"/>
    </w:pPr>
    <w:rPr>
      <w:rFonts w:ascii="仿宋_GB2312"/>
      <w:szCs w:val="32"/>
    </w:rPr>
  </w:style>
  <w:style w:type="paragraph" w:styleId="30">
    <w:name w:val="toc 3"/>
    <w:basedOn w:val="a"/>
    <w:next w:val="a"/>
    <w:uiPriority w:val="39"/>
    <w:unhideWhenUsed/>
    <w:qFormat/>
    <w:pPr>
      <w:tabs>
        <w:tab w:val="right" w:leader="dot" w:pos="8296"/>
      </w:tabs>
      <w:ind w:leftChars="400" w:left="840"/>
    </w:p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qFormat/>
    <w:pPr>
      <w:tabs>
        <w:tab w:val="center" w:pos="4153"/>
        <w:tab w:val="right" w:pos="8306"/>
      </w:tabs>
      <w:snapToGrid w:val="0"/>
      <w:jc w:val="left"/>
    </w:pPr>
    <w:rPr>
      <w:rFonts w:ascii="Calibri" w:hAnsi="Calibri"/>
      <w:kern w:val="0"/>
      <w:sz w:val="18"/>
      <w:szCs w:val="18"/>
    </w:rPr>
  </w:style>
  <w:style w:type="paragraph" w:styleId="a7">
    <w:name w:val="header"/>
    <w:basedOn w:val="a"/>
    <w:link w:val="Char2"/>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pPr>
      <w:tabs>
        <w:tab w:val="right" w:leader="dot" w:pos="8296"/>
      </w:tabs>
      <w:ind w:leftChars="200" w:left="420"/>
    </w:pPr>
  </w:style>
  <w:style w:type="paragraph" w:styleId="21">
    <w:name w:val="Body Text First Indent 2"/>
    <w:basedOn w:val="a4"/>
    <w:uiPriority w:val="99"/>
    <w:unhideWhenUsed/>
    <w:qFormat/>
    <w:pPr>
      <w:ind w:firstLineChars="200" w:firstLine="420"/>
    </w:pPr>
  </w:style>
  <w:style w:type="character" w:styleId="a8">
    <w:name w:val="Strong"/>
    <w:basedOn w:val="a0"/>
    <w:uiPriority w:val="99"/>
    <w:qFormat/>
    <w:rPr>
      <w:b/>
    </w:rPr>
  </w:style>
  <w:style w:type="character" w:styleId="a9">
    <w:name w:val="Hyperlink"/>
    <w:basedOn w:val="a0"/>
    <w:uiPriority w:val="99"/>
    <w:unhideWhenUsed/>
    <w:qFormat/>
    <w:rPr>
      <w:color w:val="0000FF"/>
      <w:u w:val="single"/>
    </w:rPr>
  </w:style>
  <w:style w:type="paragraph" w:customStyle="1" w:styleId="5">
    <w:name w:val="标题 5（有编号）（绿盟科技）"/>
    <w:next w:val="a"/>
    <w:uiPriority w:val="99"/>
    <w:qFormat/>
    <w:pPr>
      <w:keepNext/>
      <w:keepLines/>
      <w:widowControl w:val="0"/>
      <w:spacing w:before="280" w:after="156" w:line="377" w:lineRule="auto"/>
      <w:outlineLvl w:val="4"/>
    </w:pPr>
    <w:rPr>
      <w:rFonts w:ascii="Arial" w:eastAsia="黑体" w:hAnsi="Arial"/>
      <w:b/>
      <w:kern w:val="2"/>
      <w:sz w:val="24"/>
      <w:szCs w:val="28"/>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customStyle="1" w:styleId="11">
    <w:name w:val="列出段落1"/>
    <w:basedOn w:val="a"/>
    <w:uiPriority w:val="34"/>
    <w:qFormat/>
    <w:pPr>
      <w:ind w:firstLineChars="200" w:firstLine="420"/>
    </w:pPr>
  </w:style>
  <w:style w:type="paragraph" w:customStyle="1" w:styleId="TOC1">
    <w:name w:val="TOC 标题1"/>
    <w:basedOn w:val="1"/>
    <w:next w:val="a"/>
    <w:uiPriority w:val="39"/>
    <w:unhideWhenUsed/>
    <w:qFormat/>
    <w:pPr>
      <w:widowControl/>
      <w:spacing w:before="480" w:after="0" w:line="276" w:lineRule="auto"/>
      <w:jc w:val="left"/>
      <w:outlineLvl w:val="9"/>
    </w:pPr>
    <w:rPr>
      <w:rFonts w:ascii="Cambria" w:hAnsi="Cambria" w:cs="黑体"/>
      <w:color w:val="365F90"/>
      <w:kern w:val="0"/>
      <w:sz w:val="28"/>
      <w:szCs w:val="28"/>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Cambria" w:hAnsi="Cambria" w:cs="黑体"/>
      <w:color w:val="365F90"/>
      <w:kern w:val="0"/>
      <w:sz w:val="28"/>
      <w:szCs w:val="28"/>
    </w:rPr>
  </w:style>
  <w:style w:type="character" w:customStyle="1" w:styleId="HeaderChar">
    <w:name w:val="Header Char"/>
    <w:basedOn w:val="a0"/>
    <w:uiPriority w:val="99"/>
    <w:semiHidden/>
    <w:qFormat/>
    <w:rPr>
      <w:rFonts w:ascii="Times New Roman" w:hAnsi="Times New Roman"/>
      <w:sz w:val="18"/>
      <w:szCs w:val="18"/>
    </w:rPr>
  </w:style>
  <w:style w:type="character" w:customStyle="1" w:styleId="Char2">
    <w:name w:val="页眉 Char"/>
    <w:link w:val="a7"/>
    <w:uiPriority w:val="99"/>
    <w:semiHidden/>
    <w:qFormat/>
    <w:locked/>
    <w:rPr>
      <w:sz w:val="18"/>
    </w:rPr>
  </w:style>
  <w:style w:type="character" w:customStyle="1" w:styleId="FooterChar">
    <w:name w:val="Footer Char"/>
    <w:basedOn w:val="a0"/>
    <w:uiPriority w:val="99"/>
    <w:semiHidden/>
    <w:qFormat/>
    <w:rPr>
      <w:rFonts w:ascii="Times New Roman" w:hAnsi="Times New Roman"/>
      <w:sz w:val="18"/>
      <w:szCs w:val="18"/>
    </w:rPr>
  </w:style>
  <w:style w:type="character" w:customStyle="1" w:styleId="Char1">
    <w:name w:val="页脚 Char"/>
    <w:link w:val="a6"/>
    <w:uiPriority w:val="99"/>
    <w:qFormat/>
    <w:locked/>
    <w:rPr>
      <w:sz w:val="18"/>
    </w:rPr>
  </w:style>
  <w:style w:type="character" w:customStyle="1" w:styleId="BodyTextChar">
    <w:name w:val="Body Text Char"/>
    <w:basedOn w:val="a0"/>
    <w:uiPriority w:val="99"/>
    <w:semiHidden/>
    <w:qFormat/>
    <w:rPr>
      <w:rFonts w:ascii="Times New Roman" w:hAnsi="Times New Roman"/>
      <w:szCs w:val="24"/>
    </w:rPr>
  </w:style>
  <w:style w:type="character" w:customStyle="1" w:styleId="Char">
    <w:name w:val="正文文本 Char"/>
    <w:link w:val="a3"/>
    <w:uiPriority w:val="99"/>
    <w:qFormat/>
    <w:locked/>
    <w:rPr>
      <w:rFonts w:ascii="仿宋_GB2312" w:eastAsia="仿宋_GB2312" w:hAnsi="Times New Roman"/>
      <w:sz w:val="24"/>
    </w:rPr>
  </w:style>
  <w:style w:type="character" w:customStyle="1" w:styleId="1Char">
    <w:name w:val="标题 1 Char"/>
    <w:basedOn w:val="a0"/>
    <w:link w:val="1"/>
    <w:uiPriority w:val="9"/>
    <w:qFormat/>
    <w:rPr>
      <w:rFonts w:ascii="Times New Roman" w:hAnsi="Times New Roman"/>
      <w:b/>
      <w:bCs/>
      <w:kern w:val="44"/>
      <w:sz w:val="44"/>
      <w:szCs w:val="44"/>
    </w:rPr>
  </w:style>
  <w:style w:type="character" w:customStyle="1" w:styleId="2Char">
    <w:name w:val="标题 2 Char"/>
    <w:basedOn w:val="a0"/>
    <w:link w:val="2"/>
    <w:uiPriority w:val="9"/>
    <w:qFormat/>
    <w:rPr>
      <w:rFonts w:ascii="Cambria" w:eastAsia="宋体" w:hAnsi="Cambria" w:cs="黑体"/>
      <w:b/>
      <w:bCs/>
      <w:kern w:val="2"/>
      <w:sz w:val="32"/>
      <w:szCs w:val="32"/>
    </w:rPr>
  </w:style>
  <w:style w:type="character" w:customStyle="1" w:styleId="Char0">
    <w:name w:val="批注框文本 Char"/>
    <w:basedOn w:val="a0"/>
    <w:link w:val="a5"/>
    <w:uiPriority w:val="99"/>
    <w:semiHidden/>
    <w:qFormat/>
    <w:rPr>
      <w:rFonts w:ascii="Times New Roman" w:hAnsi="Times New Roman"/>
      <w:kern w:val="2"/>
      <w:sz w:val="18"/>
      <w:szCs w:val="18"/>
    </w:rPr>
  </w:style>
  <w:style w:type="character" w:customStyle="1" w:styleId="3Char">
    <w:name w:val="标题 3 Char"/>
    <w:basedOn w:val="a0"/>
    <w:link w:val="3"/>
    <w:uiPriority w:val="9"/>
    <w:qFormat/>
    <w:rPr>
      <w:rFonts w:ascii="Times New Roman" w:hAnsi="Times New Roman"/>
      <w:b/>
      <w:bCs/>
      <w:kern w:val="2"/>
      <w:sz w:val="32"/>
      <w:szCs w:val="32"/>
    </w:rPr>
  </w:style>
  <w:style w:type="paragraph" w:customStyle="1" w:styleId="msolistparagraph0">
    <w:name w:val="msolistparagraph"/>
    <w:basedOn w:val="a"/>
    <w:qFormat/>
    <w:pPr>
      <w:ind w:firstLineChars="200" w:firstLine="420"/>
    </w:pPr>
    <w:rPr>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18" Type="http://schemas.openxmlformats.org/officeDocument/2006/relationships/chart" Target="charts/chart5.xml"/><Relationship Id="rId3" Type="http://schemas.openxmlformats.org/officeDocument/2006/relationships/settings" Target="settings.xml"/><Relationship Id="rId21" Type="http://schemas.openxmlformats.org/officeDocument/2006/relationships/footer" Target="footer7.xml"/><Relationship Id="rId7" Type="http://schemas.openxmlformats.org/officeDocument/2006/relationships/header" Target="header1.xml"/><Relationship Id="rId12" Type="http://schemas.openxmlformats.org/officeDocument/2006/relationships/footer" Target="footer5.xml"/><Relationship Id="rId17" Type="http://schemas.openxmlformats.org/officeDocument/2006/relationships/chart" Target="charts/chart4.xml"/><Relationship Id="rId2" Type="http://schemas.openxmlformats.org/officeDocument/2006/relationships/styles" Target="styles.xml"/><Relationship Id="rId16" Type="http://schemas.openxmlformats.org/officeDocument/2006/relationships/chart" Target="charts/chart3.xml"/><Relationship Id="rId20" Type="http://schemas.openxmlformats.org/officeDocument/2006/relationships/chart" Target="charts/chart7.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4.xm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chart" Target="charts/chart2.xml"/><Relationship Id="rId23" Type="http://schemas.openxmlformats.org/officeDocument/2006/relationships/fontTable" Target="fontTable.xml"/><Relationship Id="rId10" Type="http://schemas.openxmlformats.org/officeDocument/2006/relationships/footer" Target="footer3.xml"/><Relationship Id="rId19" Type="http://schemas.openxmlformats.org/officeDocument/2006/relationships/chart" Target="charts/chart6.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chart" Target="charts/chart1.xml"/><Relationship Id="rId22" Type="http://schemas.openxmlformats.org/officeDocument/2006/relationships/footer" Target="footer8.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Administrator\Desktop\&#24037;&#20316;&#31807;1.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Administrator\Desktop\&#24037;&#20316;&#31807;1.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Administrator\Desktop\&#24037;&#20316;&#31807;1.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Administrator\Desktop\&#24037;&#20316;&#31807;1.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Administrator\Desktop\&#24037;&#20316;&#31807;1.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C:\Users\Administrator\Desktop\&#24037;&#20316;&#31807;1.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C:\Users\Administrator\Desktop\&#24037;&#20316;&#31807;1.xlsx" TargetMode="External"/><Relationship Id="rId2" Type="http://schemas.microsoft.com/office/2011/relationships/chartColorStyle" Target="colors7.xml"/><Relationship Id="rId1" Type="http://schemas.microsoft.com/office/2011/relationships/chartStyle" Target="style7.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rgbClr val="595959">
                    <a:lumMod val="65000"/>
                    <a:lumOff val="35000"/>
                  </a:srgbClr>
                </a:solidFill>
                <a:latin typeface="+mn-lt"/>
                <a:ea typeface="+mn-ea"/>
                <a:cs typeface="+mn-cs"/>
              </a:defRPr>
            </a:pPr>
            <a:r>
              <a:rPr lang="zh-CN" altLang="en-US"/>
              <a:t>收、支总计决算变动表（万元）</a:t>
            </a:r>
          </a:p>
        </c:rich>
      </c:tx>
      <c:overlay val="0"/>
      <c:spPr>
        <a:noFill/>
        <a:ln>
          <a:noFill/>
        </a:ln>
        <a:effectLst/>
      </c:spPr>
      <c:txPr>
        <a:bodyPr rot="0" spcFirstLastPara="0" vertOverflow="ellipsis" vert="horz" wrap="square" anchor="ctr" anchorCtr="1"/>
        <a:lstStyle/>
        <a:p>
          <a:pPr defTabSz="914400">
            <a:defRPr lang="zh-CN" sz="1400" b="0" i="0" u="none" strike="noStrike" kern="1200" spc="0" baseline="0">
              <a:solidFill>
                <a:srgbClr val="595959">
                  <a:lumMod val="65000"/>
                  <a:lumOff val="35000"/>
                </a:srgbClr>
              </a:solidFill>
              <a:latin typeface="+mn-lt"/>
              <a:ea typeface="+mn-ea"/>
              <a:cs typeface="+mn-cs"/>
            </a:defRPr>
          </a:pPr>
          <a:endParaRPr lang="zh-CN"/>
        </a:p>
      </c:txPr>
    </c:title>
    <c:autoTitleDeleted val="0"/>
    <c:plotArea>
      <c:layout/>
      <c:barChart>
        <c:barDir val="col"/>
        <c:grouping val="clustered"/>
        <c:varyColors val="0"/>
        <c:ser>
          <c:idx val="0"/>
          <c:order val="0"/>
          <c:tx>
            <c:strRef>
              <c:f>[工作簿1.xlsx]Sheet1!$C$1:$C$2</c:f>
              <c:strCache>
                <c:ptCount val="1"/>
                <c:pt idx="0">
                  <c:v>2022年</c:v>
                </c:pt>
              </c:strCache>
            </c:strRef>
          </c:tx>
          <c:spPr>
            <a:solidFill>
              <a:srgbClr val="4F81BD"/>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rgbClr val="404040">
                        <a:lumMod val="75000"/>
                        <a:lumOff val="25000"/>
                      </a:srgb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rgbClr val="A6A6A6">
                          <a:lumMod val="35000"/>
                          <a:lumOff val="65000"/>
                        </a:srgbClr>
                      </a:solidFill>
                      <a:round/>
                    </a:ln>
                    <a:effectLst/>
                  </c:spPr>
                </c15:leaderLines>
              </c:ext>
            </c:extLst>
          </c:dLbls>
          <c:cat>
            <c:strRef>
              <c:f>[工作簿1.xlsx]Sheet1!$B$3:$B$4</c:f>
              <c:strCache>
                <c:ptCount val="2"/>
                <c:pt idx="0">
                  <c:v>收入</c:v>
                </c:pt>
                <c:pt idx="1">
                  <c:v>支出</c:v>
                </c:pt>
              </c:strCache>
            </c:strRef>
          </c:cat>
          <c:val>
            <c:numRef>
              <c:f>[工作簿1.xlsx]Sheet1!$C$3:$C$4</c:f>
              <c:numCache>
                <c:formatCode>General</c:formatCode>
                <c:ptCount val="2"/>
                <c:pt idx="0">
                  <c:v>285.95</c:v>
                </c:pt>
                <c:pt idx="1">
                  <c:v>285.95</c:v>
                </c:pt>
              </c:numCache>
            </c:numRef>
          </c:val>
        </c:ser>
        <c:ser>
          <c:idx val="1"/>
          <c:order val="1"/>
          <c:tx>
            <c:strRef>
              <c:f>[工作簿1.xlsx]Sheet1!$D$1:$D$2</c:f>
              <c:strCache>
                <c:ptCount val="1"/>
                <c:pt idx="0">
                  <c:v>2023年</c:v>
                </c:pt>
              </c:strCache>
            </c:strRef>
          </c:tx>
          <c:spPr>
            <a:solidFill>
              <a:srgbClr val="C0504D"/>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rgbClr val="404040">
                        <a:lumMod val="75000"/>
                        <a:lumOff val="25000"/>
                      </a:srgb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rgbClr val="A6A6A6">
                          <a:lumMod val="35000"/>
                          <a:lumOff val="65000"/>
                        </a:srgbClr>
                      </a:solidFill>
                      <a:round/>
                    </a:ln>
                    <a:effectLst/>
                  </c:spPr>
                </c15:leaderLines>
              </c:ext>
            </c:extLst>
          </c:dLbls>
          <c:cat>
            <c:strRef>
              <c:f>[工作簿1.xlsx]Sheet1!$B$3:$B$4</c:f>
              <c:strCache>
                <c:ptCount val="2"/>
                <c:pt idx="0">
                  <c:v>收入</c:v>
                </c:pt>
                <c:pt idx="1">
                  <c:v>支出</c:v>
                </c:pt>
              </c:strCache>
            </c:strRef>
          </c:cat>
          <c:val>
            <c:numRef>
              <c:f>[工作簿1.xlsx]Sheet1!$D$3:$D$4</c:f>
              <c:numCache>
                <c:formatCode>General</c:formatCode>
                <c:ptCount val="2"/>
                <c:pt idx="0">
                  <c:v>601.63</c:v>
                </c:pt>
                <c:pt idx="1">
                  <c:v>601.63</c:v>
                </c:pt>
              </c:numCache>
            </c:numRef>
          </c:val>
        </c:ser>
        <c:dLbls>
          <c:showLegendKey val="0"/>
          <c:showVal val="1"/>
          <c:showCatName val="0"/>
          <c:showSerName val="0"/>
          <c:showPercent val="0"/>
          <c:showBubbleSize val="0"/>
        </c:dLbls>
        <c:gapWidth val="219"/>
        <c:overlap val="-27"/>
        <c:axId val="228653544"/>
        <c:axId val="228653936"/>
      </c:barChart>
      <c:catAx>
        <c:axId val="228653544"/>
        <c:scaling>
          <c:orientation val="minMax"/>
        </c:scaling>
        <c:delete val="0"/>
        <c:axPos val="b"/>
        <c:numFmt formatCode="General" sourceLinked="0"/>
        <c:majorTickMark val="none"/>
        <c:minorTickMark val="none"/>
        <c:tickLblPos val="nextTo"/>
        <c:spPr>
          <a:noFill/>
          <a:ln w="9525" cap="flat" cmpd="sng" algn="ctr">
            <a:solidFill>
              <a:srgbClr val="D9D9D9">
                <a:lumMod val="15000"/>
                <a:lumOff val="85000"/>
              </a:srgbClr>
            </a:solidFill>
            <a:round/>
          </a:ln>
          <a:effectLst/>
        </c:spPr>
        <c:txPr>
          <a:bodyPr rot="-60000000" spcFirstLastPara="1"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crossAx val="228653936"/>
        <c:crosses val="autoZero"/>
        <c:auto val="1"/>
        <c:lblAlgn val="ctr"/>
        <c:lblOffset val="100"/>
        <c:noMultiLvlLbl val="0"/>
      </c:catAx>
      <c:valAx>
        <c:axId val="228653936"/>
        <c:scaling>
          <c:orientation val="minMax"/>
        </c:scaling>
        <c:delete val="0"/>
        <c:axPos val="l"/>
        <c:majorGridlines>
          <c:spPr>
            <a:ln w="9525" cap="flat" cmpd="sng" algn="ctr">
              <a:solidFill>
                <a:srgbClr val="D9D9D9">
                  <a:lumMod val="15000"/>
                  <a:lumOff val="85000"/>
                </a:srgb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crossAx val="22865354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legend>
    <c:plotVisOnly val="1"/>
    <c:dispBlanksAs val="gap"/>
    <c:showDLblsOverMax val="0"/>
    <c:extLst>
      <c:ext uri="{0b15fc19-7d7d-44ad-8c2d-2c3a37ce22c3}">
        <chartProps xmlns="https://web.wps.cn/et/2018/main" chartId="{a305fdcc-42c9-45ca-bfef-100fdfa3e5f1}"/>
      </c:ext>
    </c:extLst>
  </c:chart>
  <c:spPr>
    <a:solidFill>
      <a:srgbClr val="FFFFFF"/>
    </a:solidFill>
    <a:ln w="9525" cap="flat" cmpd="sng" algn="ctr">
      <a:solidFill>
        <a:srgbClr val="D9D9D9">
          <a:lumMod val="15000"/>
          <a:lumOff val="85000"/>
        </a:srgbClr>
      </a:solidFill>
      <a:round/>
    </a:ln>
    <a:effectLst/>
  </c:spPr>
  <c:txPr>
    <a:bodyPr/>
    <a:lstStyle/>
    <a:p>
      <a:pPr>
        <a:defRPr lang="zh-CN"/>
      </a:pPr>
      <a:endParaRPr lang="zh-CN"/>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lang="zh-CN" sz="1400" b="0" i="0" u="none" strike="noStrike" kern="1200" spc="0" baseline="0">
              <a:solidFill>
                <a:srgbClr val="595959">
                  <a:lumMod val="65000"/>
                  <a:lumOff val="35000"/>
                </a:srgbClr>
              </a:solidFill>
              <a:latin typeface="+mn-lt"/>
              <a:ea typeface="+mn-ea"/>
              <a:cs typeface="+mn-cs"/>
            </a:defRPr>
          </a:pPr>
          <a:endParaRPr lang="zh-CN"/>
        </a:p>
      </c:txPr>
    </c:title>
    <c:autoTitleDeleted val="0"/>
    <c:plotArea>
      <c:layout/>
      <c:pieChart>
        <c:varyColors val="1"/>
        <c:ser>
          <c:idx val="0"/>
          <c:order val="0"/>
          <c:tx>
            <c:strRef>
              <c:f>[工作簿1.xlsx]Sheet1!$C$8</c:f>
              <c:strCache>
                <c:ptCount val="1"/>
                <c:pt idx="0">
                  <c:v>一般公共预算财政拨款收入（万元）</c:v>
                </c:pt>
              </c:strCache>
            </c:strRef>
          </c:tx>
          <c:dPt>
            <c:idx val="0"/>
            <c:bubble3D val="0"/>
            <c:spPr>
              <a:solidFill>
                <a:srgbClr val="4F81BD"/>
              </a:solidFill>
              <a:ln w="19050">
                <a:solidFill>
                  <a:srgbClr val="FFFFFF"/>
                </a:solidFill>
              </a:ln>
              <a:effectLst/>
            </c:spPr>
          </c:dPt>
          <c:dPt>
            <c:idx val="1"/>
            <c:bubble3D val="0"/>
            <c:spPr>
              <a:solidFill>
                <a:srgbClr val="C0504D"/>
              </a:solidFill>
              <a:ln w="19050">
                <a:solidFill>
                  <a:srgbClr val="FFFFFF"/>
                </a:solidFill>
              </a:ln>
              <a:effectLst/>
            </c:spPr>
          </c:dPt>
          <c:dPt>
            <c:idx val="2"/>
            <c:bubble3D val="0"/>
            <c:spPr>
              <a:solidFill>
                <a:srgbClr val="9BBB59"/>
              </a:solidFill>
              <a:ln w="19050">
                <a:solidFill>
                  <a:srgbClr val="FFFFFF"/>
                </a:solidFill>
              </a:ln>
              <a:effectLst/>
            </c:spPr>
          </c:dPt>
          <c:dPt>
            <c:idx val="3"/>
            <c:bubble3D val="0"/>
            <c:spPr>
              <a:solidFill>
                <a:srgbClr val="8064A2"/>
              </a:solidFill>
              <a:ln w="19050">
                <a:solidFill>
                  <a:srgbClr val="FFFFFF"/>
                </a:solidFill>
              </a:ln>
              <a:effectLst/>
            </c:spPr>
          </c:dPt>
          <c:dPt>
            <c:idx val="4"/>
            <c:bubble3D val="0"/>
            <c:spPr>
              <a:solidFill>
                <a:srgbClr val="4BACC6"/>
              </a:solidFill>
              <a:ln w="19050">
                <a:solidFill>
                  <a:srgbClr val="FFFFFF"/>
                </a:solidFill>
              </a:ln>
              <a:effectLst/>
            </c:spPr>
          </c:dPt>
          <c:dPt>
            <c:idx val="5"/>
            <c:bubble3D val="0"/>
            <c:spPr>
              <a:solidFill>
                <a:srgbClr val="F79646"/>
              </a:solidFill>
              <a:ln w="19050">
                <a:solidFill>
                  <a:srgbClr val="FFFFFF"/>
                </a:solidFill>
              </a:ln>
              <a:effectLst/>
            </c:spPr>
          </c:dPt>
          <c:dPt>
            <c:idx val="6"/>
            <c:bubble3D val="0"/>
            <c:spPr>
              <a:solidFill>
                <a:srgbClr val="2C4D75">
                  <a:lumMod val="60000"/>
                </a:srgbClr>
              </a:solidFill>
              <a:ln w="19050">
                <a:solidFill>
                  <a:srgbClr val="FFFFFF"/>
                </a:solidFill>
              </a:ln>
              <a:effectLst/>
            </c:spPr>
          </c:dPt>
          <c:dPt>
            <c:idx val="7"/>
            <c:bubble3D val="0"/>
            <c:spPr>
              <a:solidFill>
                <a:srgbClr val="772C2A">
                  <a:lumMod val="60000"/>
                </a:srgbClr>
              </a:solidFill>
              <a:ln w="19050">
                <a:solidFill>
                  <a:srgbClr val="FFFFFF"/>
                </a:solidFill>
              </a:ln>
              <a:effectLst/>
            </c:spPr>
          </c:dPt>
          <c:dLbls>
            <c:dLbl>
              <c:idx val="0"/>
              <c:layout>
                <c:manualLayout>
                  <c:x val="0.12916666666666701"/>
                  <c:y val="-0.243055555555556"/>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rgbClr val="404040">
                          <a:lumMod val="75000"/>
                          <a:lumOff val="25000"/>
                        </a:srgbClr>
                      </a:solidFill>
                      <a:latin typeface="+mn-lt"/>
                      <a:ea typeface="+mn-ea"/>
                      <a:cs typeface="+mn-cs"/>
                    </a:defRPr>
                  </a:pPr>
                  <a:endParaRPr lang="zh-CN"/>
                </a:p>
              </c:txPr>
              <c:dLblPos val="bestFit"/>
              <c:showLegendKey val="0"/>
              <c:showVal val="1"/>
              <c:showCatName val="1"/>
              <c:showSerName val="0"/>
              <c:showPercent val="1"/>
              <c:showBubbleSize val="0"/>
              <c:separator>
</c:separator>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rgbClr val="404040">
                        <a:lumMod val="75000"/>
                        <a:lumOff val="25000"/>
                      </a:srgbClr>
                    </a:solidFill>
                    <a:latin typeface="+mn-lt"/>
                    <a:ea typeface="+mn-ea"/>
                    <a:cs typeface="+mn-cs"/>
                  </a:defRPr>
                </a:pPr>
                <a:endParaRPr lang="zh-CN"/>
              </a:p>
            </c:txPr>
            <c:dLblPos val="bestFit"/>
            <c:showLegendKey val="0"/>
            <c:showVal val="1"/>
            <c:showCatName val="1"/>
            <c:showSerName val="0"/>
            <c:showPercent val="1"/>
            <c:showBubbleSize val="0"/>
            <c:showLeaderLines val="1"/>
            <c:leaderLines>
              <c:spPr>
                <a:ln w="9525" cap="flat" cmpd="sng" algn="ctr">
                  <a:solidFill>
                    <a:srgbClr val="A6A6A6">
                      <a:lumMod val="35000"/>
                      <a:lumOff val="65000"/>
                    </a:srgbClr>
                  </a:solidFill>
                  <a:round/>
                </a:ln>
                <a:effectLst/>
              </c:spPr>
            </c:leaderLines>
            <c:extLst>
              <c:ext xmlns:c15="http://schemas.microsoft.com/office/drawing/2012/chart" uri="{CE6537A1-D6FC-4f65-9D91-7224C49458BB}"/>
            </c:extLst>
          </c:dLbls>
          <c:cat>
            <c:strRef>
              <c:f>[工作簿1.xlsx]Sheet1!$B$9:$B$16</c:f>
              <c:strCache>
                <c:ptCount val="8"/>
                <c:pt idx="0">
                  <c:v>一般公共预算财政拨款收入</c:v>
                </c:pt>
                <c:pt idx="1">
                  <c:v>政府性基金预算</c:v>
                </c:pt>
                <c:pt idx="2">
                  <c:v>国有资本经营预算财政拨款收入</c:v>
                </c:pt>
                <c:pt idx="3">
                  <c:v>上级补助收入</c:v>
                </c:pt>
                <c:pt idx="4">
                  <c:v>事业收入</c:v>
                </c:pt>
                <c:pt idx="5">
                  <c:v>经营收入</c:v>
                </c:pt>
                <c:pt idx="6">
                  <c:v>附属单位上缴收入</c:v>
                </c:pt>
                <c:pt idx="7">
                  <c:v>其他收入</c:v>
                </c:pt>
              </c:strCache>
            </c:strRef>
          </c:cat>
          <c:val>
            <c:numRef>
              <c:f>[工作簿1.xlsx]Sheet1!$C$9:$C$16</c:f>
              <c:numCache>
                <c:formatCode>General</c:formatCode>
                <c:ptCount val="8"/>
                <c:pt idx="0">
                  <c:v>601.63</c:v>
                </c:pt>
              </c:numCache>
            </c:numRef>
          </c:val>
        </c:ser>
        <c:dLbls>
          <c:showLegendKey val="0"/>
          <c:showVal val="1"/>
          <c:showCatName val="1"/>
          <c:showSerName val="0"/>
          <c:showPercent val="1"/>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legend>
    <c:plotVisOnly val="1"/>
    <c:dispBlanksAs val="gap"/>
    <c:showDLblsOverMax val="0"/>
    <c:extLst>
      <c:ext uri="{0b15fc19-7d7d-44ad-8c2d-2c3a37ce22c3}">
        <chartProps xmlns="https://web.wps.cn/et/2018/main" chartId="{b906f0c3-bbe1-4624-98b3-64bddae2a855}"/>
      </c:ext>
    </c:extLst>
  </c:chart>
  <c:spPr>
    <a:solidFill>
      <a:srgbClr val="FFFFFF"/>
    </a:solidFill>
    <a:ln w="9525" cap="flat" cmpd="sng" algn="ctr">
      <a:solidFill>
        <a:srgbClr val="D9D9D9">
          <a:lumMod val="15000"/>
          <a:lumOff val="85000"/>
        </a:srgbClr>
      </a:solidFill>
      <a:round/>
    </a:ln>
    <a:effectLst/>
  </c:spPr>
  <c:txPr>
    <a:bodyPr/>
    <a:lstStyle/>
    <a:p>
      <a:pPr>
        <a:defRPr lang="zh-CN"/>
      </a:pPr>
      <a:endParaRPr lang="zh-CN"/>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rgbClr val="595959">
                    <a:lumMod val="65000"/>
                    <a:lumOff val="35000"/>
                  </a:srgbClr>
                </a:solidFill>
                <a:latin typeface="+mn-lt"/>
                <a:ea typeface="+mn-ea"/>
                <a:cs typeface="+mn-cs"/>
              </a:defRPr>
            </a:pPr>
            <a:r>
              <a:rPr lang="zh-CN" altLang="en-US"/>
              <a:t>支出决算结构图（万元）</a:t>
            </a:r>
          </a:p>
        </c:rich>
      </c:tx>
      <c:layout>
        <c:manualLayout>
          <c:xMode val="edge"/>
          <c:yMode val="edge"/>
          <c:x val="0.33246319460166501"/>
          <c:y val="1.19655392469687E-2"/>
        </c:manualLayout>
      </c:layout>
      <c:overlay val="0"/>
      <c:spPr>
        <a:noFill/>
        <a:ln>
          <a:noFill/>
        </a:ln>
        <a:effectLst/>
      </c:spPr>
      <c:txPr>
        <a:bodyPr rot="0" spcFirstLastPara="0" vertOverflow="ellipsis" vert="horz" wrap="square" anchor="ctr" anchorCtr="1"/>
        <a:lstStyle/>
        <a:p>
          <a:pPr defTabSz="914400">
            <a:defRPr lang="zh-CN" sz="1400" b="0" i="0" u="none" strike="noStrike" kern="1200" spc="0" baseline="0">
              <a:solidFill>
                <a:srgbClr val="595959">
                  <a:lumMod val="65000"/>
                  <a:lumOff val="35000"/>
                </a:srgbClr>
              </a:solidFill>
              <a:latin typeface="+mn-lt"/>
              <a:ea typeface="+mn-ea"/>
              <a:cs typeface="+mn-cs"/>
            </a:defRPr>
          </a:pPr>
          <a:endParaRPr lang="zh-CN"/>
        </a:p>
      </c:txPr>
    </c:title>
    <c:autoTitleDeleted val="0"/>
    <c:plotArea>
      <c:layout/>
      <c:pieChart>
        <c:varyColors val="1"/>
        <c:ser>
          <c:idx val="0"/>
          <c:order val="0"/>
          <c:dPt>
            <c:idx val="0"/>
            <c:bubble3D val="0"/>
            <c:spPr>
              <a:solidFill>
                <a:srgbClr val="4F81BD"/>
              </a:solidFill>
              <a:ln w="19050">
                <a:solidFill>
                  <a:srgbClr val="FFFFFF"/>
                </a:solidFill>
              </a:ln>
              <a:effectLst/>
            </c:spPr>
          </c:dPt>
          <c:dPt>
            <c:idx val="1"/>
            <c:bubble3D val="0"/>
            <c:spPr>
              <a:solidFill>
                <a:srgbClr val="C0504D"/>
              </a:solidFill>
              <a:ln w="19050">
                <a:solidFill>
                  <a:srgbClr val="FFFFFF"/>
                </a:solidFill>
              </a:ln>
              <a:effectLst/>
            </c:spPr>
          </c:dPt>
          <c:dLbls>
            <c:dLbl>
              <c:idx val="1"/>
              <c:tx>
                <c:rich>
                  <a:bodyPr/>
                  <a:lstStyle/>
                  <a:p>
                    <a:r>
                      <a:rPr lang="zh-CN" altLang="en-US"/>
                      <a:t>项目支出</a:t>
                    </a:r>
                  </a:p>
                  <a:p>
                    <a:r>
                      <a:rPr lang="en-US" altLang="zh-CN"/>
                      <a:t>181.56</a:t>
                    </a:r>
                    <a:endParaRPr lang="zh-CN" altLang="en-US"/>
                  </a:p>
                  <a:p>
                    <a:r>
                      <a:rPr lang="en-US" altLang="zh-CN"/>
                      <a:t>30.18%</a:t>
                    </a:r>
                  </a:p>
                </c:rich>
              </c:tx>
              <c:dLblPos val="outEnd"/>
              <c:showLegendKey val="1"/>
              <c:showVal val="1"/>
              <c:showCatName val="1"/>
              <c:showSerName val="0"/>
              <c:showPercent val="1"/>
              <c:showBubbleSize val="0"/>
              <c:separator>
</c:separator>
              <c:extLst>
                <c:ext xmlns:c15="http://schemas.microsoft.com/office/drawing/2012/chart" uri="{CE6537A1-D6FC-4f65-9D91-7224C49458BB}"/>
              </c:extLst>
            </c:dLbl>
            <c:numFmt formatCode="0.00%"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rgbClr val="404040">
                        <a:lumMod val="75000"/>
                        <a:lumOff val="25000"/>
                      </a:srgbClr>
                    </a:solidFill>
                    <a:latin typeface="+mn-lt"/>
                    <a:ea typeface="+mn-ea"/>
                    <a:cs typeface="+mn-cs"/>
                  </a:defRPr>
                </a:pPr>
                <a:endParaRPr lang="zh-CN"/>
              </a:p>
            </c:txPr>
            <c:dLblPos val="outEnd"/>
            <c:showLegendKey val="1"/>
            <c:showVal val="1"/>
            <c:showCatName val="1"/>
            <c:showSerName val="0"/>
            <c:showPercent val="1"/>
            <c:showBubbleSize val="0"/>
            <c:separator>
</c:separator>
            <c:showLeaderLines val="1"/>
            <c:leaderLines>
              <c:spPr>
                <a:ln w="9525" cap="flat" cmpd="sng" algn="ctr">
                  <a:solidFill>
                    <a:srgbClr val="A6A6A6">
                      <a:lumMod val="35000"/>
                      <a:lumOff val="65000"/>
                    </a:srgbClr>
                  </a:solidFill>
                  <a:round/>
                </a:ln>
                <a:effectLst/>
              </c:spPr>
            </c:leaderLines>
            <c:extLst>
              <c:ext xmlns:c15="http://schemas.microsoft.com/office/drawing/2012/chart" uri="{CE6537A1-D6FC-4f65-9D91-7224C49458BB}"/>
            </c:extLst>
          </c:dLbls>
          <c:cat>
            <c:strRef>
              <c:f>[工作簿1.xlsx]Sheet1!$B$18:$B$19</c:f>
              <c:strCache>
                <c:ptCount val="2"/>
                <c:pt idx="0">
                  <c:v>基本支出</c:v>
                </c:pt>
                <c:pt idx="1">
                  <c:v>项目支出</c:v>
                </c:pt>
              </c:strCache>
            </c:strRef>
          </c:cat>
          <c:val>
            <c:numRef>
              <c:f>[工作簿1.xlsx]Sheet1!$C$18:$C$19</c:f>
              <c:numCache>
                <c:formatCode>General</c:formatCode>
                <c:ptCount val="2"/>
                <c:pt idx="0">
                  <c:v>420.07</c:v>
                </c:pt>
                <c:pt idx="1">
                  <c:v>181.57</c:v>
                </c:pt>
              </c:numCache>
            </c:numRef>
          </c:val>
        </c:ser>
        <c:dLbls>
          <c:showLegendKey val="1"/>
          <c:showVal val="1"/>
          <c:showCatName val="1"/>
          <c:showSerName val="0"/>
          <c:showPercent val="1"/>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legend>
    <c:plotVisOnly val="1"/>
    <c:dispBlanksAs val="gap"/>
    <c:showDLblsOverMax val="0"/>
    <c:extLst>
      <c:ext uri="{0b15fc19-7d7d-44ad-8c2d-2c3a37ce22c3}">
        <chartProps xmlns="https://web.wps.cn/et/2018/main" chartId="{60c472d5-dbfe-47ba-b7c1-235031c44da0}"/>
      </c:ext>
    </c:extLst>
  </c:chart>
  <c:spPr>
    <a:solidFill>
      <a:srgbClr val="FFFFFF"/>
    </a:solidFill>
    <a:ln w="9525" cap="flat" cmpd="sng" algn="ctr">
      <a:solidFill>
        <a:srgbClr val="D9D9D9">
          <a:lumMod val="15000"/>
          <a:lumOff val="85000"/>
        </a:srgbClr>
      </a:solidFill>
      <a:round/>
    </a:ln>
    <a:effectLst/>
  </c:spPr>
  <c:txPr>
    <a:bodyPr/>
    <a:lstStyle/>
    <a:p>
      <a:pPr>
        <a:defRPr lang="zh-CN"/>
      </a:pPr>
      <a:endParaRPr lang="zh-CN"/>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rgbClr val="595959">
                    <a:lumMod val="65000"/>
                    <a:lumOff val="35000"/>
                  </a:srgbClr>
                </a:solidFill>
                <a:latin typeface="+mn-lt"/>
                <a:ea typeface="+mn-ea"/>
                <a:cs typeface="+mn-cs"/>
              </a:defRPr>
            </a:pPr>
            <a:r>
              <a:rPr lang="zh-CN" altLang="en-US"/>
              <a:t>财政拨款收支决算总计表（万元）</a:t>
            </a:r>
          </a:p>
        </c:rich>
      </c:tx>
      <c:layout>
        <c:manualLayout>
          <c:xMode val="edge"/>
          <c:yMode val="edge"/>
          <c:x val="0.221944444444444"/>
          <c:y val="3.125E-2"/>
        </c:manualLayout>
      </c:layout>
      <c:overlay val="0"/>
      <c:spPr>
        <a:noFill/>
        <a:ln>
          <a:noFill/>
        </a:ln>
        <a:effectLst/>
      </c:spPr>
      <c:txPr>
        <a:bodyPr rot="0" spcFirstLastPara="0" vertOverflow="ellipsis" vert="horz" wrap="square" anchor="ctr" anchorCtr="1"/>
        <a:lstStyle/>
        <a:p>
          <a:pPr defTabSz="914400">
            <a:defRPr lang="zh-CN" sz="1400" b="0" i="0" u="none" strike="noStrike" kern="1200" spc="0" baseline="0">
              <a:solidFill>
                <a:srgbClr val="595959">
                  <a:lumMod val="65000"/>
                  <a:lumOff val="35000"/>
                </a:srgbClr>
              </a:solidFill>
              <a:latin typeface="+mn-lt"/>
              <a:ea typeface="+mn-ea"/>
              <a:cs typeface="+mn-cs"/>
            </a:defRPr>
          </a:pPr>
          <a:endParaRPr lang="zh-CN"/>
        </a:p>
      </c:txPr>
    </c:title>
    <c:autoTitleDeleted val="0"/>
    <c:plotArea>
      <c:layout/>
      <c:barChart>
        <c:barDir val="col"/>
        <c:grouping val="clustered"/>
        <c:varyColors val="0"/>
        <c:ser>
          <c:idx val="0"/>
          <c:order val="0"/>
          <c:tx>
            <c:strRef>
              <c:f>[工作簿1.xlsx]Sheet1!$B$36</c:f>
              <c:strCache>
                <c:ptCount val="1"/>
                <c:pt idx="0">
                  <c:v>2022年</c:v>
                </c:pt>
              </c:strCache>
            </c:strRef>
          </c:tx>
          <c:spPr>
            <a:solidFill>
              <a:srgbClr val="4F81BD"/>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rgbClr val="404040">
                        <a:lumMod val="75000"/>
                        <a:lumOff val="25000"/>
                      </a:srgb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rgbClr val="A6A6A6">
                          <a:lumMod val="35000"/>
                          <a:lumOff val="65000"/>
                        </a:srgbClr>
                      </a:solidFill>
                      <a:round/>
                    </a:ln>
                    <a:effectLst/>
                  </c:spPr>
                </c15:leaderLines>
              </c:ext>
            </c:extLst>
          </c:dLbls>
          <c:cat>
            <c:strRef>
              <c:f>[工作簿1.xlsx]Sheet1!$C$35:$D$35</c:f>
              <c:strCache>
                <c:ptCount val="2"/>
                <c:pt idx="0">
                  <c:v>财政拨款收入</c:v>
                </c:pt>
                <c:pt idx="1">
                  <c:v>财政拨款支出</c:v>
                </c:pt>
              </c:strCache>
            </c:strRef>
          </c:cat>
          <c:val>
            <c:numRef>
              <c:f>[工作簿1.xlsx]Sheet1!$C$36:$D$36</c:f>
              <c:numCache>
                <c:formatCode>General</c:formatCode>
                <c:ptCount val="2"/>
                <c:pt idx="0">
                  <c:v>285.95</c:v>
                </c:pt>
                <c:pt idx="1">
                  <c:v>285.95</c:v>
                </c:pt>
              </c:numCache>
            </c:numRef>
          </c:val>
        </c:ser>
        <c:ser>
          <c:idx val="1"/>
          <c:order val="1"/>
          <c:tx>
            <c:strRef>
              <c:f>[工作簿1.xlsx]Sheet1!$B$37</c:f>
              <c:strCache>
                <c:ptCount val="1"/>
                <c:pt idx="0">
                  <c:v>2023年</c:v>
                </c:pt>
              </c:strCache>
            </c:strRef>
          </c:tx>
          <c:spPr>
            <a:solidFill>
              <a:srgbClr val="C0504D"/>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rgbClr val="404040">
                        <a:lumMod val="75000"/>
                        <a:lumOff val="25000"/>
                      </a:srgb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rgbClr val="A6A6A6">
                          <a:lumMod val="35000"/>
                          <a:lumOff val="65000"/>
                        </a:srgbClr>
                      </a:solidFill>
                      <a:round/>
                    </a:ln>
                    <a:effectLst/>
                  </c:spPr>
                </c15:leaderLines>
              </c:ext>
            </c:extLst>
          </c:dLbls>
          <c:cat>
            <c:strRef>
              <c:f>[工作簿1.xlsx]Sheet1!$C$35:$D$35</c:f>
              <c:strCache>
                <c:ptCount val="2"/>
                <c:pt idx="0">
                  <c:v>财政拨款收入</c:v>
                </c:pt>
                <c:pt idx="1">
                  <c:v>财政拨款支出</c:v>
                </c:pt>
              </c:strCache>
            </c:strRef>
          </c:cat>
          <c:val>
            <c:numRef>
              <c:f>[工作簿1.xlsx]Sheet1!$C$37:$D$37</c:f>
              <c:numCache>
                <c:formatCode>General</c:formatCode>
                <c:ptCount val="2"/>
                <c:pt idx="0">
                  <c:v>601.63</c:v>
                </c:pt>
                <c:pt idx="1">
                  <c:v>601.63</c:v>
                </c:pt>
              </c:numCache>
            </c:numRef>
          </c:val>
        </c:ser>
        <c:dLbls>
          <c:showLegendKey val="0"/>
          <c:showVal val="0"/>
          <c:showCatName val="0"/>
          <c:showSerName val="0"/>
          <c:showPercent val="0"/>
          <c:showBubbleSize val="0"/>
        </c:dLbls>
        <c:gapWidth val="219"/>
        <c:overlap val="-27"/>
        <c:axId val="670147736"/>
        <c:axId val="670024680"/>
      </c:barChart>
      <c:catAx>
        <c:axId val="670147736"/>
        <c:scaling>
          <c:orientation val="minMax"/>
        </c:scaling>
        <c:delete val="0"/>
        <c:axPos val="b"/>
        <c:numFmt formatCode="General" sourceLinked="0"/>
        <c:majorTickMark val="none"/>
        <c:minorTickMark val="none"/>
        <c:tickLblPos val="nextTo"/>
        <c:spPr>
          <a:noFill/>
          <a:ln w="9525" cap="flat" cmpd="sng" algn="ctr">
            <a:solidFill>
              <a:srgbClr val="D9D9D9">
                <a:lumMod val="15000"/>
                <a:lumOff val="85000"/>
              </a:srgbClr>
            </a:solidFill>
            <a:round/>
          </a:ln>
          <a:effectLst/>
        </c:spPr>
        <c:txPr>
          <a:bodyPr rot="-60000000" spcFirstLastPara="1"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crossAx val="670024680"/>
        <c:crosses val="autoZero"/>
        <c:auto val="1"/>
        <c:lblAlgn val="ctr"/>
        <c:lblOffset val="100"/>
        <c:noMultiLvlLbl val="0"/>
      </c:catAx>
      <c:valAx>
        <c:axId val="670024680"/>
        <c:scaling>
          <c:orientation val="minMax"/>
        </c:scaling>
        <c:delete val="0"/>
        <c:axPos val="l"/>
        <c:majorGridlines>
          <c:spPr>
            <a:ln w="9525" cap="flat" cmpd="sng" algn="ctr">
              <a:solidFill>
                <a:srgbClr val="D9D9D9">
                  <a:lumMod val="15000"/>
                  <a:lumOff val="85000"/>
                </a:srgb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crossAx val="67014773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legend>
    <c:plotVisOnly val="1"/>
    <c:dispBlanksAs val="gap"/>
    <c:showDLblsOverMax val="0"/>
    <c:extLst>
      <c:ext uri="{0b15fc19-7d7d-44ad-8c2d-2c3a37ce22c3}">
        <chartProps xmlns="https://web.wps.cn/et/2018/main" chartId="{262ca5d2-ecd4-417f-b0c3-6ebd88c522a0}"/>
      </c:ext>
    </c:extLst>
  </c:chart>
  <c:spPr>
    <a:solidFill>
      <a:srgbClr val="FFFFFF"/>
    </a:solidFill>
    <a:ln w="9525" cap="flat" cmpd="sng" algn="ctr">
      <a:solidFill>
        <a:srgbClr val="D9D9D9">
          <a:lumMod val="15000"/>
          <a:lumOff val="85000"/>
        </a:srgbClr>
      </a:solidFill>
      <a:round/>
    </a:ln>
    <a:effectLst/>
  </c:spPr>
  <c:txPr>
    <a:bodyPr/>
    <a:lstStyle/>
    <a:p>
      <a:pPr>
        <a:defRPr lang="zh-CN"/>
      </a:pPr>
      <a:endParaRPr lang="zh-CN"/>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lang="zh-CN" sz="1400" b="0" i="0" u="none" strike="noStrike" kern="1200" spc="0" baseline="0">
              <a:solidFill>
                <a:srgbClr val="595959">
                  <a:lumMod val="65000"/>
                  <a:lumOff val="35000"/>
                </a:srgbClr>
              </a:solidFill>
              <a:latin typeface="+mn-lt"/>
              <a:ea typeface="+mn-ea"/>
              <a:cs typeface="+mn-cs"/>
            </a:defRPr>
          </a:pPr>
          <a:endParaRPr lang="zh-CN"/>
        </a:p>
      </c:txPr>
    </c:title>
    <c:autoTitleDeleted val="0"/>
    <c:plotArea>
      <c:layout/>
      <c:barChart>
        <c:barDir val="col"/>
        <c:grouping val="clustered"/>
        <c:varyColors val="0"/>
        <c:ser>
          <c:idx val="0"/>
          <c:order val="0"/>
          <c:tx>
            <c:strRef>
              <c:f>[工作簿1.xlsx]Sheet1!$C$54</c:f>
              <c:strCache>
                <c:ptCount val="1"/>
                <c:pt idx="0">
                  <c:v>一般公共预算财政拨款支出（万元）</c:v>
                </c:pt>
              </c:strCache>
            </c:strRef>
          </c:tx>
          <c:spPr>
            <a:solidFill>
              <a:srgbClr val="4F81BD"/>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rgbClr val="404040">
                        <a:lumMod val="75000"/>
                        <a:lumOff val="25000"/>
                      </a:srgb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rgbClr val="A6A6A6">
                          <a:lumMod val="35000"/>
                          <a:lumOff val="65000"/>
                        </a:srgbClr>
                      </a:solidFill>
                      <a:round/>
                    </a:ln>
                    <a:effectLst/>
                  </c:spPr>
                </c15:leaderLines>
              </c:ext>
            </c:extLst>
          </c:dLbls>
          <c:cat>
            <c:strRef>
              <c:f>[工作簿1.xlsx]Sheet1!$B$55:$B$56</c:f>
              <c:strCache>
                <c:ptCount val="2"/>
                <c:pt idx="0">
                  <c:v>2022年</c:v>
                </c:pt>
                <c:pt idx="1">
                  <c:v>2023年</c:v>
                </c:pt>
              </c:strCache>
            </c:strRef>
          </c:cat>
          <c:val>
            <c:numRef>
              <c:f>[工作簿1.xlsx]Sheet1!$C$55:$C$56</c:f>
              <c:numCache>
                <c:formatCode>General</c:formatCode>
                <c:ptCount val="2"/>
                <c:pt idx="0">
                  <c:v>285.95</c:v>
                </c:pt>
                <c:pt idx="1">
                  <c:v>601.63</c:v>
                </c:pt>
              </c:numCache>
            </c:numRef>
          </c:val>
        </c:ser>
        <c:dLbls>
          <c:showLegendKey val="0"/>
          <c:showVal val="1"/>
          <c:showCatName val="0"/>
          <c:showSerName val="0"/>
          <c:showPercent val="0"/>
          <c:showBubbleSize val="0"/>
        </c:dLbls>
        <c:gapWidth val="219"/>
        <c:overlap val="-27"/>
        <c:axId val="670022328"/>
        <c:axId val="671040624"/>
      </c:barChart>
      <c:catAx>
        <c:axId val="670022328"/>
        <c:scaling>
          <c:orientation val="minMax"/>
        </c:scaling>
        <c:delete val="0"/>
        <c:axPos val="b"/>
        <c:numFmt formatCode="General" sourceLinked="0"/>
        <c:majorTickMark val="none"/>
        <c:minorTickMark val="none"/>
        <c:tickLblPos val="nextTo"/>
        <c:spPr>
          <a:noFill/>
          <a:ln w="9525" cap="flat" cmpd="sng" algn="ctr">
            <a:solidFill>
              <a:srgbClr val="D9D9D9">
                <a:lumMod val="15000"/>
                <a:lumOff val="85000"/>
              </a:srgbClr>
            </a:solidFill>
            <a:round/>
          </a:ln>
          <a:effectLst/>
        </c:spPr>
        <c:txPr>
          <a:bodyPr rot="-60000000" spcFirstLastPara="1"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crossAx val="671040624"/>
        <c:crosses val="autoZero"/>
        <c:auto val="1"/>
        <c:lblAlgn val="ctr"/>
        <c:lblOffset val="100"/>
        <c:noMultiLvlLbl val="0"/>
      </c:catAx>
      <c:valAx>
        <c:axId val="671040624"/>
        <c:scaling>
          <c:orientation val="minMax"/>
        </c:scaling>
        <c:delete val="0"/>
        <c:axPos val="l"/>
        <c:majorGridlines>
          <c:spPr>
            <a:ln w="9525" cap="flat" cmpd="sng" algn="ctr">
              <a:solidFill>
                <a:srgbClr val="D9D9D9">
                  <a:lumMod val="15000"/>
                  <a:lumOff val="85000"/>
                </a:srgb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crossAx val="670022328"/>
        <c:crosses val="autoZero"/>
        <c:crossBetween val="between"/>
      </c:valAx>
      <c:spPr>
        <a:noFill/>
        <a:ln>
          <a:noFill/>
        </a:ln>
        <a:effectLst/>
      </c:spPr>
    </c:plotArea>
    <c:plotVisOnly val="1"/>
    <c:dispBlanksAs val="gap"/>
    <c:showDLblsOverMax val="0"/>
    <c:extLst>
      <c:ext uri="{0b15fc19-7d7d-44ad-8c2d-2c3a37ce22c3}">
        <chartProps xmlns="https://web.wps.cn/et/2018/main" chartId="{53978325-c239-434f-a677-2963798a5e85}"/>
      </c:ext>
    </c:extLst>
  </c:chart>
  <c:spPr>
    <a:solidFill>
      <a:srgbClr val="FFFFFF"/>
    </a:solidFill>
    <a:ln w="9525" cap="flat" cmpd="sng" algn="ctr">
      <a:solidFill>
        <a:srgbClr val="D9D9D9">
          <a:lumMod val="15000"/>
          <a:lumOff val="85000"/>
        </a:srgbClr>
      </a:solidFill>
      <a:round/>
    </a:ln>
    <a:effectLst/>
  </c:spPr>
  <c:txPr>
    <a:bodyPr/>
    <a:lstStyle/>
    <a:p>
      <a:pPr>
        <a:defRPr lang="zh-CN"/>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rgbClr val="595959">
                    <a:lumMod val="65000"/>
                    <a:lumOff val="35000"/>
                  </a:srgbClr>
                </a:solidFill>
                <a:latin typeface="+mn-lt"/>
                <a:ea typeface="+mn-ea"/>
                <a:cs typeface="+mn-cs"/>
              </a:defRPr>
            </a:pPr>
            <a:r>
              <a:rPr lang="zh-CN" altLang="en-US"/>
              <a:t>一般公共预算财政拨款支出决算结构（万元）</a:t>
            </a:r>
          </a:p>
        </c:rich>
      </c:tx>
      <c:layout>
        <c:manualLayout>
          <c:xMode val="edge"/>
          <c:yMode val="edge"/>
          <c:x val="0.20794559770937701"/>
          <c:y val="1.7078724788549101E-2"/>
        </c:manualLayout>
      </c:layout>
      <c:overlay val="0"/>
      <c:spPr>
        <a:noFill/>
        <a:ln>
          <a:noFill/>
        </a:ln>
        <a:effectLst/>
      </c:spPr>
      <c:txPr>
        <a:bodyPr rot="0" spcFirstLastPara="0" vertOverflow="ellipsis" vert="horz" wrap="square" anchor="ctr" anchorCtr="1"/>
        <a:lstStyle/>
        <a:p>
          <a:pPr defTabSz="914400">
            <a:defRPr lang="zh-CN" sz="1400" b="0" i="0" u="none" strike="noStrike" kern="1200" spc="0" baseline="0">
              <a:solidFill>
                <a:srgbClr val="595959">
                  <a:lumMod val="65000"/>
                  <a:lumOff val="35000"/>
                </a:srgbClr>
              </a:solidFill>
              <a:latin typeface="+mn-lt"/>
              <a:ea typeface="+mn-ea"/>
              <a:cs typeface="+mn-cs"/>
            </a:defRPr>
          </a:pPr>
          <a:endParaRPr lang="zh-CN"/>
        </a:p>
      </c:txPr>
    </c:title>
    <c:autoTitleDeleted val="0"/>
    <c:plotArea>
      <c:layout>
        <c:manualLayout>
          <c:layoutTarget val="inner"/>
          <c:xMode val="edge"/>
          <c:yMode val="edge"/>
          <c:x val="0.29407710399836401"/>
          <c:y val="0.169938191281718"/>
          <c:w val="0.42411698537682802"/>
          <c:h val="0.67459986987638298"/>
        </c:manualLayout>
      </c:layout>
      <c:pieChart>
        <c:varyColors val="1"/>
        <c:ser>
          <c:idx val="0"/>
          <c:order val="0"/>
          <c:dPt>
            <c:idx val="0"/>
            <c:bubble3D val="0"/>
            <c:spPr>
              <a:solidFill>
                <a:srgbClr val="4F81BD"/>
              </a:solidFill>
              <a:ln w="19050">
                <a:solidFill>
                  <a:srgbClr val="FFFFFF"/>
                </a:solidFill>
              </a:ln>
              <a:effectLst/>
            </c:spPr>
          </c:dPt>
          <c:dPt>
            <c:idx val="1"/>
            <c:bubble3D val="0"/>
            <c:spPr>
              <a:solidFill>
                <a:srgbClr val="C0504D"/>
              </a:solidFill>
              <a:ln w="19050">
                <a:solidFill>
                  <a:srgbClr val="FFFFFF"/>
                </a:solidFill>
              </a:ln>
              <a:effectLst/>
            </c:spPr>
          </c:dPt>
          <c:dPt>
            <c:idx val="2"/>
            <c:bubble3D val="0"/>
            <c:spPr>
              <a:solidFill>
                <a:srgbClr val="9BBB59"/>
              </a:solidFill>
              <a:ln w="19050">
                <a:solidFill>
                  <a:srgbClr val="FFFFFF"/>
                </a:solidFill>
              </a:ln>
              <a:effectLst/>
            </c:spPr>
          </c:dPt>
          <c:dPt>
            <c:idx val="3"/>
            <c:bubble3D val="0"/>
            <c:spPr>
              <a:solidFill>
                <a:srgbClr val="8064A2"/>
              </a:solidFill>
              <a:ln w="19050">
                <a:solidFill>
                  <a:srgbClr val="FFFFFF"/>
                </a:solidFill>
              </a:ln>
              <a:effectLst/>
            </c:spPr>
          </c:dPt>
          <c:dPt>
            <c:idx val="4"/>
            <c:bubble3D val="0"/>
            <c:spPr>
              <a:solidFill>
                <a:srgbClr val="4BACC6"/>
              </a:solidFill>
              <a:ln w="19050">
                <a:solidFill>
                  <a:srgbClr val="FFFFFF"/>
                </a:solidFill>
              </a:ln>
              <a:effectLst/>
            </c:spPr>
          </c:dPt>
          <c:dLbls>
            <c:dLbl>
              <c:idx val="2"/>
              <c:layout>
                <c:manualLayout>
                  <c:x val="-0.12884753042233399"/>
                  <c:y val="4.5864880605707599E-2"/>
                </c:manualLayout>
              </c:layout>
              <c:dLblPos val="bestFit"/>
              <c:showLegendKey val="1"/>
              <c:showVal val="1"/>
              <c:showCatName val="0"/>
              <c:showSerName val="0"/>
              <c:showPercent val="1"/>
              <c:showBubbleSize val="0"/>
              <c:separator>
</c:separator>
              <c:extLst>
                <c:ext xmlns:c15="http://schemas.microsoft.com/office/drawing/2012/chart" uri="{CE6537A1-D6FC-4f65-9D91-7224C49458BB}"/>
              </c:extLst>
            </c:dLbl>
            <c:dLbl>
              <c:idx val="3"/>
              <c:layout>
                <c:manualLayout>
                  <c:x val="-9.7581412894993794E-2"/>
                  <c:y val="3.19591041272251E-3"/>
                </c:manualLayout>
              </c:layout>
              <c:dLblPos val="bestFit"/>
              <c:showLegendKey val="1"/>
              <c:showVal val="1"/>
              <c:showCatName val="0"/>
              <c:showSerName val="0"/>
              <c:showPercent val="1"/>
              <c:showBubbleSize val="0"/>
              <c:separator>
</c:separator>
              <c:extLst>
                <c:ext xmlns:c15="http://schemas.microsoft.com/office/drawing/2012/chart" uri="{CE6537A1-D6FC-4f65-9D91-7224C49458BB}"/>
              </c:extLst>
            </c:dLbl>
            <c:dLbl>
              <c:idx val="4"/>
              <c:layout>
                <c:manualLayout>
                  <c:x val="9.5072404600669597E-2"/>
                  <c:y val="-1.41427635580888E-2"/>
                </c:manualLayout>
              </c:layout>
              <c:dLblPos val="bestFit"/>
              <c:showLegendKey val="1"/>
              <c:showVal val="1"/>
              <c:showCatName val="0"/>
              <c:showSerName val="0"/>
              <c:showPercent val="1"/>
              <c:showBubbleSize val="0"/>
              <c:separator>
</c:separator>
              <c:extLst>
                <c:ext xmlns:c15="http://schemas.microsoft.com/office/drawing/2012/chart" uri="{CE6537A1-D6FC-4f65-9D91-7224C49458BB}"/>
              </c:extLst>
            </c:dLbl>
            <c:numFmt formatCode="0.00%"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rgbClr val="404040">
                        <a:lumMod val="75000"/>
                        <a:lumOff val="25000"/>
                      </a:srgbClr>
                    </a:solidFill>
                    <a:latin typeface="+mn-lt"/>
                    <a:ea typeface="+mn-ea"/>
                    <a:cs typeface="+mn-cs"/>
                  </a:defRPr>
                </a:pPr>
                <a:endParaRPr lang="zh-CN"/>
              </a:p>
            </c:txPr>
            <c:dLblPos val="bestFit"/>
            <c:showLegendKey val="1"/>
            <c:showVal val="1"/>
            <c:showCatName val="0"/>
            <c:showSerName val="0"/>
            <c:showPercent val="1"/>
            <c:showBubbleSize val="0"/>
            <c:separator>
</c:separator>
            <c:showLeaderLines val="1"/>
            <c:leaderLines>
              <c:spPr>
                <a:ln w="9525" cap="flat" cmpd="sng" algn="ctr">
                  <a:solidFill>
                    <a:srgbClr val="A6A6A6">
                      <a:lumMod val="35000"/>
                      <a:lumOff val="65000"/>
                    </a:srgbClr>
                  </a:solidFill>
                  <a:round/>
                </a:ln>
                <a:effectLst/>
              </c:spPr>
            </c:leaderLines>
            <c:extLst>
              <c:ext xmlns:c15="http://schemas.microsoft.com/office/drawing/2012/chart" uri="{CE6537A1-D6FC-4f65-9D91-7224C49458BB}"/>
            </c:extLst>
          </c:dLbls>
          <c:cat>
            <c:strRef>
              <c:f>[工作簿1.xlsx]Sheet1!$B$80:$B$84</c:f>
              <c:strCache>
                <c:ptCount val="5"/>
                <c:pt idx="0">
                  <c:v>一般公共服务支出</c:v>
                </c:pt>
                <c:pt idx="1">
                  <c:v>教育支出</c:v>
                </c:pt>
                <c:pt idx="2">
                  <c:v>社会保障和就业支出</c:v>
                </c:pt>
                <c:pt idx="3">
                  <c:v>卫生健康支出</c:v>
                </c:pt>
                <c:pt idx="4">
                  <c:v>住房保障支出</c:v>
                </c:pt>
              </c:strCache>
            </c:strRef>
          </c:cat>
          <c:val>
            <c:numRef>
              <c:f>[工作簿1.xlsx]Sheet1!$C$80:$C$84</c:f>
              <c:numCache>
                <c:formatCode>General</c:formatCode>
                <c:ptCount val="5"/>
                <c:pt idx="0">
                  <c:v>178.04</c:v>
                </c:pt>
                <c:pt idx="1">
                  <c:v>337.26</c:v>
                </c:pt>
                <c:pt idx="2">
                  <c:v>44.09</c:v>
                </c:pt>
                <c:pt idx="3">
                  <c:v>21.98</c:v>
                </c:pt>
                <c:pt idx="4">
                  <c:v>20.260000000000002</c:v>
                </c:pt>
              </c:numCache>
            </c:numRef>
          </c:val>
        </c:ser>
        <c:dLbls>
          <c:showLegendKey val="1"/>
          <c:showVal val="1"/>
          <c:showCatName val="0"/>
          <c:showSerName val="0"/>
          <c:showPercent val="1"/>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legend>
    <c:plotVisOnly val="1"/>
    <c:dispBlanksAs val="gap"/>
    <c:showDLblsOverMax val="0"/>
    <c:extLst>
      <c:ext uri="{0b15fc19-7d7d-44ad-8c2d-2c3a37ce22c3}">
        <chartProps xmlns="https://web.wps.cn/et/2018/main" chartId="{07f2ded3-c37a-48c5-b561-6b0423f468b8}"/>
      </c:ext>
    </c:extLst>
  </c:chart>
  <c:spPr>
    <a:solidFill>
      <a:srgbClr val="FFFFFF"/>
    </a:solidFill>
    <a:ln w="9525" cap="flat" cmpd="sng" algn="ctr">
      <a:solidFill>
        <a:srgbClr val="D9D9D9">
          <a:lumMod val="15000"/>
          <a:lumOff val="85000"/>
        </a:srgbClr>
      </a:solidFill>
      <a:round/>
    </a:ln>
    <a:effectLst/>
  </c:spPr>
  <c:txPr>
    <a:bodyPr/>
    <a:lstStyle/>
    <a:p>
      <a:pPr>
        <a:defRPr lang="zh-CN"/>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rgbClr val="595959">
                    <a:lumMod val="65000"/>
                    <a:lumOff val="35000"/>
                  </a:srgbClr>
                </a:solidFill>
                <a:latin typeface="+mn-lt"/>
                <a:ea typeface="+mn-ea"/>
                <a:cs typeface="+mn-cs"/>
              </a:defRPr>
            </a:pPr>
            <a:r>
              <a:rPr lang="zh-CN" altLang="en-US"/>
              <a:t>三公经费财政拨款（万元）</a:t>
            </a:r>
          </a:p>
        </c:rich>
      </c:tx>
      <c:overlay val="0"/>
      <c:spPr>
        <a:noFill/>
        <a:ln>
          <a:noFill/>
        </a:ln>
        <a:effectLst/>
      </c:spPr>
      <c:txPr>
        <a:bodyPr rot="0" spcFirstLastPara="0" vertOverflow="ellipsis" vert="horz" wrap="square" anchor="ctr" anchorCtr="1"/>
        <a:lstStyle/>
        <a:p>
          <a:pPr defTabSz="914400">
            <a:defRPr lang="zh-CN" sz="1400" b="0" i="0" u="none" strike="noStrike" kern="1200" spc="0" baseline="0">
              <a:solidFill>
                <a:srgbClr val="595959">
                  <a:lumMod val="65000"/>
                  <a:lumOff val="35000"/>
                </a:srgbClr>
              </a:solidFill>
              <a:latin typeface="+mn-lt"/>
              <a:ea typeface="+mn-ea"/>
              <a:cs typeface="+mn-cs"/>
            </a:defRPr>
          </a:pPr>
          <a:endParaRPr lang="zh-CN"/>
        </a:p>
      </c:txPr>
    </c:title>
    <c:autoTitleDeleted val="0"/>
    <c:plotArea>
      <c:layout/>
      <c:pieChart>
        <c:varyColors val="1"/>
        <c:ser>
          <c:idx val="0"/>
          <c:order val="0"/>
          <c:dPt>
            <c:idx val="0"/>
            <c:bubble3D val="0"/>
            <c:spPr>
              <a:solidFill>
                <a:srgbClr val="4F81BD"/>
              </a:solidFill>
              <a:ln w="19050">
                <a:solidFill>
                  <a:srgbClr val="FFFFFF"/>
                </a:solidFill>
              </a:ln>
              <a:effectLst/>
            </c:spPr>
          </c:dPt>
          <c:dPt>
            <c:idx val="1"/>
            <c:bubble3D val="0"/>
            <c:spPr>
              <a:solidFill>
                <a:srgbClr val="C0504D"/>
              </a:solidFill>
              <a:ln w="19050">
                <a:solidFill>
                  <a:srgbClr val="FFFFFF"/>
                </a:solidFill>
              </a:ln>
              <a:effectLst/>
            </c:spPr>
          </c:dPt>
          <c:dPt>
            <c:idx val="2"/>
            <c:bubble3D val="0"/>
            <c:spPr>
              <a:solidFill>
                <a:srgbClr val="9BBB59"/>
              </a:solidFill>
              <a:ln w="19050">
                <a:solidFill>
                  <a:srgbClr val="FFFFFF"/>
                </a:solidFill>
              </a:ln>
              <a:effectLst/>
            </c:spPr>
          </c:dPt>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rgbClr val="404040">
                        <a:lumMod val="75000"/>
                        <a:lumOff val="25000"/>
                      </a:srgbClr>
                    </a:solidFill>
                    <a:latin typeface="+mn-lt"/>
                    <a:ea typeface="+mn-ea"/>
                    <a:cs typeface="+mn-cs"/>
                  </a:defRPr>
                </a:pPr>
                <a:endParaRPr lang="zh-CN"/>
              </a:p>
            </c:txPr>
            <c:dLblPos val="bestFit"/>
            <c:showLegendKey val="1"/>
            <c:showVal val="1"/>
            <c:showCatName val="1"/>
            <c:showSerName val="0"/>
            <c:showPercent val="1"/>
            <c:showBubbleSize val="0"/>
            <c:separator>
</c:separator>
            <c:showLeaderLines val="1"/>
            <c:leaderLines>
              <c:spPr>
                <a:ln w="9525" cap="flat" cmpd="sng" algn="ctr">
                  <a:solidFill>
                    <a:srgbClr val="A6A6A6">
                      <a:lumMod val="35000"/>
                      <a:lumOff val="65000"/>
                    </a:srgbClr>
                  </a:solidFill>
                  <a:round/>
                </a:ln>
                <a:effectLst/>
              </c:spPr>
            </c:leaderLines>
            <c:extLst>
              <c:ext xmlns:c15="http://schemas.microsoft.com/office/drawing/2012/chart" uri="{CE6537A1-D6FC-4f65-9D91-7224C49458BB}"/>
            </c:extLst>
          </c:dLbls>
          <c:cat>
            <c:strRef>
              <c:f>[工作簿1.xlsx]Sheet1!$B$101:$B$103</c:f>
              <c:strCache>
                <c:ptCount val="3"/>
                <c:pt idx="0">
                  <c:v>公务接待费支出</c:v>
                </c:pt>
                <c:pt idx="1">
                  <c:v>公务用车购置及运行维护费</c:v>
                </c:pt>
                <c:pt idx="2">
                  <c:v>因公出国（境）费</c:v>
                </c:pt>
              </c:strCache>
            </c:strRef>
          </c:cat>
          <c:val>
            <c:numRef>
              <c:f>[工作簿1.xlsx]Sheet1!$C$101:$C$103</c:f>
              <c:numCache>
                <c:formatCode>General</c:formatCode>
                <c:ptCount val="3"/>
                <c:pt idx="1">
                  <c:v>0.97</c:v>
                </c:pt>
              </c:numCache>
            </c:numRef>
          </c:val>
        </c:ser>
        <c:dLbls>
          <c:showLegendKey val="1"/>
          <c:showVal val="1"/>
          <c:showCatName val="1"/>
          <c:showSerName val="0"/>
          <c:showPercent val="1"/>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legend>
    <c:plotVisOnly val="1"/>
    <c:dispBlanksAs val="gap"/>
    <c:showDLblsOverMax val="0"/>
    <c:extLst>
      <c:ext uri="{0b15fc19-7d7d-44ad-8c2d-2c3a37ce22c3}">
        <chartProps xmlns="https://web.wps.cn/et/2018/main" chartId="{51783499-f266-4cd6-9095-12f358501e92}"/>
      </c:ext>
    </c:extLst>
  </c:chart>
  <c:spPr>
    <a:solidFill>
      <a:srgbClr val="FFFFFF"/>
    </a:solidFill>
    <a:ln w="9525" cap="flat" cmpd="sng" algn="ctr">
      <a:solidFill>
        <a:srgbClr val="D9D9D9">
          <a:lumMod val="15000"/>
          <a:lumOff val="85000"/>
        </a:srgbClr>
      </a:solidFill>
      <a:round/>
    </a:ln>
    <a:effectLst/>
  </c:spPr>
  <c:txPr>
    <a:bodyPr/>
    <a:lstStyle/>
    <a:p>
      <a:pPr>
        <a:defRPr lang="zh-CN"/>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D9D9D9">
            <a:lumMod val="15000"/>
            <a:lumOff val="8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1000" kern="1200"/>
  </cs:chartArea>
  <cs:dataLabel>
    <cs:lnRef idx="0"/>
    <cs:fillRef idx="0"/>
    <cs:effectRef idx="0"/>
    <cs:fontRef idx="minor">
      <a:srgbClr val="404040">
        <a:lumMod val="75000"/>
        <a:lumOff val="25000"/>
      </a:srgbClr>
    </cs:fontRef>
    <cs:defRPr sz="9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rgbClr val="000000"/>
    </cs:fontRef>
  </cs:dataPoint>
  <cs:dataPoint3D>
    <cs:lnRef idx="0"/>
    <cs:fillRef idx="1">
      <cs:styleClr val="auto"/>
    </cs:fillRef>
    <cs:effectRef idx="0"/>
    <cs:fontRef idx="minor">
      <a:srgbClr val="000000"/>
    </cs:fontRef>
  </cs:dataPoint3D>
  <cs:dataPointLine>
    <cs:lnRef idx="0">
      <cs:styleClr val="auto"/>
    </cs:lnRef>
    <cs:fillRef idx="1"/>
    <cs:effectRef idx="0"/>
    <cs:fontRef idx="minor">
      <a:srgbClr val="000000"/>
    </cs:fontRef>
    <cs:spPr>
      <a:ln w="28575"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1"/>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595959">
          <a:lumMod val="65000"/>
          <a:lumOff val="35000"/>
        </a:srgbClr>
      </a:solidFill>
      <a:ln w="9525">
        <a:solidFill>
          <a:srgbClr val="595959">
            <a:lumMod val="65000"/>
            <a:lumOff val="35000"/>
          </a:srgbClr>
        </a:solidFill>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D9D9D9">
            <a:lumMod val="15000"/>
            <a:lumOff val="850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404040">
            <a:lumMod val="75000"/>
            <a:lumOff val="25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595959">
        <a:lumMod val="65000"/>
        <a:lumOff val="35000"/>
      </a:srgbClr>
    </cs:fontRef>
    <cs:defRPr sz="1400" b="0" kern="1200" spc="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a:solidFill>
          <a:srgbClr val="D9D9D9">
            <a:lumMod val="15000"/>
            <a:lumOff val="85000"/>
          </a:srgbClr>
        </a:solidFill>
      </a:ln>
    </cs:spPr>
  </cs:upBar>
  <cs:valueAxis>
    <cs:lnRef idx="0"/>
    <cs:fillRef idx="0"/>
    <cs:effectRef idx="0"/>
    <cs:fontRef idx="minor">
      <a:srgbClr val="595959">
        <a:lumMod val="65000"/>
        <a:lumOff val="35000"/>
      </a:srgbClr>
    </cs:fontRef>
    <cs:defRPr sz="900" kern="1200"/>
  </cs:valueAxis>
  <cs:wall>
    <cs:lnRef idx="0"/>
    <cs:fillRef idx="0"/>
    <cs:effectRef idx="0"/>
    <cs:fontRef idx="minor">
      <a:srgbClr val="000000"/>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D9D9D9">
            <a:lumMod val="15000"/>
            <a:lumOff val="8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900" kern="1200"/>
  </cs:chartArea>
  <cs:dataLabel>
    <cs:lnRef idx="0"/>
    <cs:fillRef idx="0"/>
    <cs:effectRef idx="0"/>
    <cs:fontRef idx="minor">
      <a:srgbClr val="404040">
        <a:lumMod val="75000"/>
        <a:lumOff val="25000"/>
      </a:srgbClr>
    </cs:fontRef>
    <cs:defRPr sz="9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rgbClr val="000000"/>
    </cs:fontRef>
    <cs:spPr>
      <a:ln w="19050">
        <a:solidFill>
          <a:srgbClr val="FFFFFF"/>
        </a:solidFill>
      </a:ln>
    </cs:spPr>
  </cs:dataPoint>
  <cs:dataPoint3D>
    <cs:lnRef idx="0"/>
    <cs:fillRef idx="1">
      <cs:styleClr val="auto"/>
    </cs:fillRef>
    <cs:effectRef idx="0"/>
    <cs:fontRef idx="minor">
      <a:srgbClr val="000000"/>
    </cs:fontRef>
    <cs:spPr>
      <a:ln w="25400">
        <a:solidFill>
          <a:srgbClr val="FFFFFF"/>
        </a:solidFill>
      </a:ln>
    </cs:spPr>
  </cs:dataPoint3D>
  <cs:dataPointLine>
    <cs:lnRef idx="0">
      <cs:styleClr val="auto"/>
    </cs:lnRef>
    <cs:fillRef idx="0"/>
    <cs:effectRef idx="0"/>
    <cs:fontRef idx="minor">
      <a:srgbClr val="000000"/>
    </cs:fontRef>
    <cs:spPr>
      <a:ln w="28575"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0"/>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404040">
          <a:lumMod val="75000"/>
          <a:lumOff val="25000"/>
        </a:srgbClr>
      </a:solidFill>
      <a:ln w="9525" cap="flat" cmpd="sng" algn="ctr">
        <a:solidFill>
          <a:srgbClr val="595959">
            <a:lumMod val="65000"/>
            <a:lumOff val="35000"/>
          </a:srgbClr>
        </a:solidFill>
        <a:round/>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D9D9D9">
            <a:lumMod val="15000"/>
            <a:lumOff val="850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808080">
            <a:lumMod val="50000"/>
            <a:lumOff val="50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595959">
        <a:lumMod val="65000"/>
        <a:lumOff val="35000"/>
      </a:srgbClr>
    </cs:fontRef>
    <cs:defRPr sz="1400" b="0" kern="1200" spc="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cap="flat" cmpd="sng" algn="ctr">
        <a:solidFill>
          <a:srgbClr val="595959">
            <a:lumMod val="65000"/>
            <a:lumOff val="35000"/>
          </a:srgbClr>
        </a:solidFill>
        <a:round/>
      </a:ln>
    </cs:spPr>
  </cs:upBar>
  <cs:valueAxis>
    <cs:lnRef idx="0"/>
    <cs:fillRef idx="0"/>
    <cs:effectRef idx="0"/>
    <cs:fontRef idx="minor">
      <a:srgbClr val="595959">
        <a:lumMod val="65000"/>
        <a:lumOff val="35000"/>
      </a:srgbClr>
    </cs:fontRef>
    <cs:defRPr sz="900" kern="1200"/>
  </cs:valueAxis>
  <cs:wall>
    <cs:lnRef idx="0"/>
    <cs:fillRef idx="0"/>
    <cs:effectRef idx="0"/>
    <cs:fontRef idx="minor">
      <a:srgbClr val="000000"/>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D9D9D9">
            <a:lumMod val="15000"/>
            <a:lumOff val="8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900" kern="1200"/>
  </cs:chartArea>
  <cs:dataLabel>
    <cs:lnRef idx="0"/>
    <cs:fillRef idx="0"/>
    <cs:effectRef idx="0"/>
    <cs:fontRef idx="minor">
      <a:srgbClr val="404040">
        <a:lumMod val="75000"/>
        <a:lumOff val="25000"/>
      </a:srgbClr>
    </cs:fontRef>
    <cs:defRPr sz="9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rgbClr val="000000"/>
    </cs:fontRef>
    <cs:spPr>
      <a:ln w="19050">
        <a:solidFill>
          <a:srgbClr val="FFFFFF"/>
        </a:solidFill>
      </a:ln>
    </cs:spPr>
  </cs:dataPoint>
  <cs:dataPoint3D>
    <cs:lnRef idx="0"/>
    <cs:fillRef idx="1">
      <cs:styleClr val="auto"/>
    </cs:fillRef>
    <cs:effectRef idx="0"/>
    <cs:fontRef idx="minor">
      <a:srgbClr val="000000"/>
    </cs:fontRef>
    <cs:spPr>
      <a:ln w="25400">
        <a:solidFill>
          <a:srgbClr val="FFFFFF"/>
        </a:solidFill>
      </a:ln>
    </cs:spPr>
  </cs:dataPoint3D>
  <cs:dataPointLine>
    <cs:lnRef idx="0">
      <cs:styleClr val="auto"/>
    </cs:lnRef>
    <cs:fillRef idx="0"/>
    <cs:effectRef idx="0"/>
    <cs:fontRef idx="minor">
      <a:srgbClr val="000000"/>
    </cs:fontRef>
    <cs:spPr>
      <a:ln w="28575"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0"/>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404040">
          <a:lumMod val="75000"/>
          <a:lumOff val="25000"/>
        </a:srgbClr>
      </a:solidFill>
      <a:ln w="9525" cap="flat" cmpd="sng" algn="ctr">
        <a:solidFill>
          <a:srgbClr val="595959">
            <a:lumMod val="65000"/>
            <a:lumOff val="35000"/>
          </a:srgbClr>
        </a:solidFill>
        <a:round/>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D9D9D9">
            <a:lumMod val="15000"/>
            <a:lumOff val="850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808080">
            <a:lumMod val="50000"/>
            <a:lumOff val="50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595959">
        <a:lumMod val="65000"/>
        <a:lumOff val="35000"/>
      </a:srgbClr>
    </cs:fontRef>
    <cs:defRPr sz="1400" b="0" kern="1200" spc="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cap="flat" cmpd="sng" algn="ctr">
        <a:solidFill>
          <a:srgbClr val="595959">
            <a:lumMod val="65000"/>
            <a:lumOff val="35000"/>
          </a:srgbClr>
        </a:solidFill>
        <a:round/>
      </a:ln>
    </cs:spPr>
  </cs:upBar>
  <cs:valueAxis>
    <cs:lnRef idx="0"/>
    <cs:fillRef idx="0"/>
    <cs:effectRef idx="0"/>
    <cs:fontRef idx="minor">
      <a:srgbClr val="595959">
        <a:lumMod val="65000"/>
        <a:lumOff val="35000"/>
      </a:srgbClr>
    </cs:fontRef>
    <cs:defRPr sz="900" kern="1200"/>
  </cs:valueAxis>
  <cs:wall>
    <cs:lnRef idx="0"/>
    <cs:fillRef idx="0"/>
    <cs:effectRef idx="0"/>
    <cs:fontRef idx="minor">
      <a:srgbClr val="000000"/>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D9D9D9">
            <a:lumMod val="15000"/>
            <a:lumOff val="8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1000" kern="1200"/>
  </cs:chartArea>
  <cs:dataLabel>
    <cs:lnRef idx="0"/>
    <cs:fillRef idx="0"/>
    <cs:effectRef idx="0"/>
    <cs:fontRef idx="minor">
      <a:srgbClr val="404040">
        <a:lumMod val="75000"/>
        <a:lumOff val="25000"/>
      </a:srgbClr>
    </cs:fontRef>
    <cs:defRPr sz="9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rgbClr val="000000"/>
    </cs:fontRef>
  </cs:dataPoint>
  <cs:dataPoint3D>
    <cs:lnRef idx="0"/>
    <cs:fillRef idx="1">
      <cs:styleClr val="auto"/>
    </cs:fillRef>
    <cs:effectRef idx="0"/>
    <cs:fontRef idx="minor">
      <a:srgbClr val="000000"/>
    </cs:fontRef>
  </cs:dataPoint3D>
  <cs:dataPointLine>
    <cs:lnRef idx="0">
      <cs:styleClr val="auto"/>
    </cs:lnRef>
    <cs:fillRef idx="1"/>
    <cs:effectRef idx="0"/>
    <cs:fontRef idx="minor">
      <a:srgbClr val="000000"/>
    </cs:fontRef>
    <cs:spPr>
      <a:ln w="28575"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1"/>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595959">
          <a:lumMod val="65000"/>
          <a:lumOff val="35000"/>
        </a:srgbClr>
      </a:solidFill>
      <a:ln w="9525">
        <a:solidFill>
          <a:srgbClr val="595959">
            <a:lumMod val="65000"/>
            <a:lumOff val="35000"/>
          </a:srgbClr>
        </a:solidFill>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D9D9D9">
            <a:lumMod val="15000"/>
            <a:lumOff val="850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404040">
            <a:lumMod val="75000"/>
            <a:lumOff val="25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595959">
        <a:lumMod val="65000"/>
        <a:lumOff val="35000"/>
      </a:srgbClr>
    </cs:fontRef>
    <cs:defRPr sz="1400" b="0" kern="1200" spc="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a:solidFill>
          <a:srgbClr val="D9D9D9">
            <a:lumMod val="15000"/>
            <a:lumOff val="85000"/>
          </a:srgbClr>
        </a:solidFill>
      </a:ln>
    </cs:spPr>
  </cs:upBar>
  <cs:valueAxis>
    <cs:lnRef idx="0"/>
    <cs:fillRef idx="0"/>
    <cs:effectRef idx="0"/>
    <cs:fontRef idx="minor">
      <a:srgbClr val="595959">
        <a:lumMod val="65000"/>
        <a:lumOff val="35000"/>
      </a:srgbClr>
    </cs:fontRef>
    <cs:defRPr sz="900" kern="1200"/>
  </cs:valueAxis>
  <cs:wall>
    <cs:lnRef idx="0"/>
    <cs:fillRef idx="0"/>
    <cs:effectRef idx="0"/>
    <cs:fontRef idx="minor">
      <a:srgbClr val="000000"/>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D9D9D9">
            <a:lumMod val="15000"/>
            <a:lumOff val="8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1000" kern="1200"/>
  </cs:chartArea>
  <cs:dataLabel>
    <cs:lnRef idx="0"/>
    <cs:fillRef idx="0"/>
    <cs:effectRef idx="0"/>
    <cs:fontRef idx="minor">
      <a:srgbClr val="404040">
        <a:lumMod val="75000"/>
        <a:lumOff val="25000"/>
      </a:srgbClr>
    </cs:fontRef>
    <cs:defRPr sz="9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rgbClr val="000000"/>
    </cs:fontRef>
  </cs:dataPoint>
  <cs:dataPoint3D>
    <cs:lnRef idx="0"/>
    <cs:fillRef idx="1">
      <cs:styleClr val="auto"/>
    </cs:fillRef>
    <cs:effectRef idx="0"/>
    <cs:fontRef idx="minor">
      <a:srgbClr val="000000"/>
    </cs:fontRef>
  </cs:dataPoint3D>
  <cs:dataPointLine>
    <cs:lnRef idx="0">
      <cs:styleClr val="auto"/>
    </cs:lnRef>
    <cs:fillRef idx="1"/>
    <cs:effectRef idx="0"/>
    <cs:fontRef idx="minor">
      <a:srgbClr val="000000"/>
    </cs:fontRef>
    <cs:spPr>
      <a:ln w="28575"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1"/>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595959">
          <a:lumMod val="65000"/>
          <a:lumOff val="35000"/>
        </a:srgbClr>
      </a:solidFill>
      <a:ln w="9525">
        <a:solidFill>
          <a:srgbClr val="595959">
            <a:lumMod val="65000"/>
            <a:lumOff val="35000"/>
          </a:srgbClr>
        </a:solidFill>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D9D9D9">
            <a:lumMod val="15000"/>
            <a:lumOff val="850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404040">
            <a:lumMod val="75000"/>
            <a:lumOff val="25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595959">
        <a:lumMod val="65000"/>
        <a:lumOff val="35000"/>
      </a:srgbClr>
    </cs:fontRef>
    <cs:defRPr sz="1400" b="0" kern="1200" spc="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a:solidFill>
          <a:srgbClr val="D9D9D9">
            <a:lumMod val="15000"/>
            <a:lumOff val="85000"/>
          </a:srgbClr>
        </a:solidFill>
      </a:ln>
    </cs:spPr>
  </cs:upBar>
  <cs:valueAxis>
    <cs:lnRef idx="0"/>
    <cs:fillRef idx="0"/>
    <cs:effectRef idx="0"/>
    <cs:fontRef idx="minor">
      <a:srgbClr val="595959">
        <a:lumMod val="65000"/>
        <a:lumOff val="35000"/>
      </a:srgbClr>
    </cs:fontRef>
    <cs:defRPr sz="900" kern="1200"/>
  </cs:valueAxis>
  <cs:wall>
    <cs:lnRef idx="0"/>
    <cs:fillRef idx="0"/>
    <cs:effectRef idx="0"/>
    <cs:fontRef idx="minor">
      <a:srgbClr val="000000"/>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D9D9D9">
            <a:lumMod val="15000"/>
            <a:lumOff val="8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900" kern="1200"/>
  </cs:chartArea>
  <cs:dataLabel>
    <cs:lnRef idx="0"/>
    <cs:fillRef idx="0"/>
    <cs:effectRef idx="0"/>
    <cs:fontRef idx="minor">
      <a:srgbClr val="404040">
        <a:lumMod val="75000"/>
        <a:lumOff val="25000"/>
      </a:srgbClr>
    </cs:fontRef>
    <cs:defRPr sz="9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rgbClr val="000000"/>
    </cs:fontRef>
    <cs:spPr>
      <a:ln w="19050">
        <a:solidFill>
          <a:srgbClr val="FFFFFF"/>
        </a:solidFill>
      </a:ln>
    </cs:spPr>
  </cs:dataPoint>
  <cs:dataPoint3D>
    <cs:lnRef idx="0"/>
    <cs:fillRef idx="1">
      <cs:styleClr val="auto"/>
    </cs:fillRef>
    <cs:effectRef idx="0"/>
    <cs:fontRef idx="minor">
      <a:srgbClr val="000000"/>
    </cs:fontRef>
    <cs:spPr>
      <a:ln w="25400">
        <a:solidFill>
          <a:srgbClr val="FFFFFF"/>
        </a:solidFill>
      </a:ln>
    </cs:spPr>
  </cs:dataPoint3D>
  <cs:dataPointLine>
    <cs:lnRef idx="0">
      <cs:styleClr val="auto"/>
    </cs:lnRef>
    <cs:fillRef idx="0"/>
    <cs:effectRef idx="0"/>
    <cs:fontRef idx="minor">
      <a:srgbClr val="000000"/>
    </cs:fontRef>
    <cs:spPr>
      <a:ln w="28575"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0"/>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404040">
          <a:lumMod val="75000"/>
          <a:lumOff val="25000"/>
        </a:srgbClr>
      </a:solidFill>
      <a:ln w="9525" cap="flat" cmpd="sng" algn="ctr">
        <a:solidFill>
          <a:srgbClr val="595959">
            <a:lumMod val="65000"/>
            <a:lumOff val="35000"/>
          </a:srgbClr>
        </a:solidFill>
        <a:round/>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D9D9D9">
            <a:lumMod val="15000"/>
            <a:lumOff val="850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808080">
            <a:lumMod val="50000"/>
            <a:lumOff val="50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595959">
        <a:lumMod val="65000"/>
        <a:lumOff val="35000"/>
      </a:srgbClr>
    </cs:fontRef>
    <cs:defRPr sz="1400" b="0" kern="1200" spc="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cap="flat" cmpd="sng" algn="ctr">
        <a:solidFill>
          <a:srgbClr val="595959">
            <a:lumMod val="65000"/>
            <a:lumOff val="35000"/>
          </a:srgbClr>
        </a:solidFill>
        <a:round/>
      </a:ln>
    </cs:spPr>
  </cs:upBar>
  <cs:valueAxis>
    <cs:lnRef idx="0"/>
    <cs:fillRef idx="0"/>
    <cs:effectRef idx="0"/>
    <cs:fontRef idx="minor">
      <a:srgbClr val="595959">
        <a:lumMod val="65000"/>
        <a:lumOff val="35000"/>
      </a:srgbClr>
    </cs:fontRef>
    <cs:defRPr sz="900" kern="1200"/>
  </cs:valueAxis>
  <cs:wall>
    <cs:lnRef idx="0"/>
    <cs:fillRef idx="0"/>
    <cs:effectRef idx="0"/>
    <cs:fontRef idx="minor">
      <a:srgbClr val="000000"/>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D9D9D9">
            <a:lumMod val="15000"/>
            <a:lumOff val="8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900" kern="1200"/>
  </cs:chartArea>
  <cs:dataLabel>
    <cs:lnRef idx="0"/>
    <cs:fillRef idx="0"/>
    <cs:effectRef idx="0"/>
    <cs:fontRef idx="minor">
      <a:srgbClr val="404040">
        <a:lumMod val="75000"/>
        <a:lumOff val="25000"/>
      </a:srgbClr>
    </cs:fontRef>
    <cs:defRPr sz="9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rgbClr val="000000"/>
    </cs:fontRef>
    <cs:spPr>
      <a:ln w="19050">
        <a:solidFill>
          <a:srgbClr val="FFFFFF"/>
        </a:solidFill>
      </a:ln>
    </cs:spPr>
  </cs:dataPoint>
  <cs:dataPoint3D>
    <cs:lnRef idx="0"/>
    <cs:fillRef idx="1">
      <cs:styleClr val="auto"/>
    </cs:fillRef>
    <cs:effectRef idx="0"/>
    <cs:fontRef idx="minor">
      <a:srgbClr val="000000"/>
    </cs:fontRef>
    <cs:spPr>
      <a:ln w="25400">
        <a:solidFill>
          <a:srgbClr val="FFFFFF"/>
        </a:solidFill>
      </a:ln>
    </cs:spPr>
  </cs:dataPoint3D>
  <cs:dataPointLine>
    <cs:lnRef idx="0">
      <cs:styleClr val="auto"/>
    </cs:lnRef>
    <cs:fillRef idx="0"/>
    <cs:effectRef idx="0"/>
    <cs:fontRef idx="minor">
      <a:srgbClr val="000000"/>
    </cs:fontRef>
    <cs:spPr>
      <a:ln w="28575"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0"/>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404040">
          <a:lumMod val="75000"/>
          <a:lumOff val="25000"/>
        </a:srgbClr>
      </a:solidFill>
      <a:ln w="9525" cap="flat" cmpd="sng" algn="ctr">
        <a:solidFill>
          <a:srgbClr val="595959">
            <a:lumMod val="65000"/>
            <a:lumOff val="35000"/>
          </a:srgbClr>
        </a:solidFill>
        <a:round/>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D9D9D9">
            <a:lumMod val="15000"/>
            <a:lumOff val="850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808080">
            <a:lumMod val="50000"/>
            <a:lumOff val="50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595959">
        <a:lumMod val="65000"/>
        <a:lumOff val="35000"/>
      </a:srgbClr>
    </cs:fontRef>
    <cs:defRPr sz="1400" b="0" kern="1200" spc="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cap="flat" cmpd="sng" algn="ctr">
        <a:solidFill>
          <a:srgbClr val="595959">
            <a:lumMod val="65000"/>
            <a:lumOff val="35000"/>
          </a:srgbClr>
        </a:solidFill>
        <a:round/>
      </a:ln>
    </cs:spPr>
  </cs:upBar>
  <cs:valueAxis>
    <cs:lnRef idx="0"/>
    <cs:fillRef idx="0"/>
    <cs:effectRef idx="0"/>
    <cs:fontRef idx="minor">
      <a:srgbClr val="595959">
        <a:lumMod val="65000"/>
        <a:lumOff val="35000"/>
      </a:srgbClr>
    </cs:fontRef>
    <cs:defRPr sz="900" kern="1200"/>
  </cs:valueAxis>
  <cs:wall>
    <cs:lnRef idx="0"/>
    <cs:fillRef idx="0"/>
    <cs:effectRef idx="0"/>
    <cs:fontRef idx="minor">
      <a:srgbClr val="000000"/>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965</Words>
  <Characters>5504</Characters>
  <Application>Microsoft Office Word</Application>
  <DocSecurity>0</DocSecurity>
  <Lines>45</Lines>
  <Paragraphs>12</Paragraphs>
  <ScaleCrop>false</ScaleCrop>
  <Company>四川省财政厅</Company>
  <LinksUpToDate>false</LinksUpToDate>
  <CharactersWithSpaces>6457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邓娟</cp:lastModifiedBy>
  <cp:revision>2</cp:revision>
  <cp:lastPrinted>2023-08-03T02:35:00Z</cp:lastPrinted>
  <dcterms:created xsi:type="dcterms:W3CDTF">2024-10-28T02:06:00Z</dcterms:created>
  <dcterms:modified xsi:type="dcterms:W3CDTF">2024-10-28T02:06:00Z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3B20A6F7701447DDB2E533AB5EC0E61F_13</vt:lpwstr>
  </property>
</Properties>
</file>