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93"/>
        <w:jc w:val="center"/>
        <w:rPr>
          <w:rFonts w:hint="eastAsia" w:ascii="方正小标宋简体" w:hAnsi="宋体" w:eastAsia="方正小标宋简体"/>
          <w:sz w:val="44"/>
          <w:szCs w:val="44"/>
        </w:rPr>
      </w:pPr>
    </w:p>
    <w:p>
      <w:pPr>
        <w:pStyle w:val="2"/>
        <w:spacing w:before="93"/>
        <w:jc w:val="center"/>
        <w:rPr>
          <w:rFonts w:hint="eastAsia" w:ascii="方正小标宋简体" w:hAnsi="宋体" w:eastAsia="方正小标宋简体"/>
          <w:sz w:val="44"/>
          <w:szCs w:val="44"/>
        </w:rPr>
      </w:pPr>
    </w:p>
    <w:p>
      <w:pPr>
        <w:pStyle w:val="2"/>
        <w:spacing w:before="93"/>
        <w:jc w:val="center"/>
        <w:rPr>
          <w:rFonts w:ascii="方正小标宋简体" w:hAnsi="宋体" w:eastAsia="方正小标宋简体"/>
          <w:sz w:val="44"/>
          <w:szCs w:val="44"/>
        </w:rPr>
      </w:pPr>
      <w:r>
        <w:rPr>
          <w:rFonts w:hint="eastAsia" w:ascii="方正小标宋简体" w:hAnsi="宋体" w:eastAsia="方正小标宋简体"/>
          <w:sz w:val="44"/>
          <w:szCs w:val="44"/>
        </w:rPr>
        <w:t>2023年度</w:t>
      </w:r>
    </w:p>
    <w:p>
      <w:pPr>
        <w:pStyle w:val="2"/>
        <w:spacing w:before="93"/>
        <w:jc w:val="center"/>
        <w:rPr>
          <w:rFonts w:ascii="方正小标宋简体" w:hAnsi="宋体" w:eastAsia="方正小标宋简体"/>
          <w:sz w:val="44"/>
          <w:szCs w:val="44"/>
        </w:rPr>
      </w:pPr>
      <w:r>
        <w:rPr>
          <w:rFonts w:hint="eastAsia" w:ascii="方正小标宋简体" w:hAnsi="宋体" w:eastAsia="方正小标宋简体"/>
          <w:sz w:val="44"/>
          <w:szCs w:val="44"/>
        </w:rPr>
        <w:t>盐边县养路队单位决算</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sz w:val="28"/>
          <w:szCs w:val="28"/>
        </w:rPr>
      </w:pPr>
    </w:p>
    <w:p>
      <w:pPr>
        <w:pStyle w:val="13"/>
      </w:pPr>
      <w:r>
        <w:rPr>
          <w:rFonts w:hint="eastAsia"/>
        </w:rPr>
        <w:t>公开时间：2024年10月28日</w:t>
      </w:r>
    </w:p>
    <w:p/>
    <w:p>
      <w:pPr>
        <w:pStyle w:val="13"/>
        <w:adjustRightInd w:val="0"/>
        <w:snapToGrid w:val="0"/>
        <w:spacing w:before="0" w:line="440" w:lineRule="exact"/>
        <w:jc w:val="left"/>
        <w:rPr>
          <w:rFonts w:hint="eastAsia" w:eastAsia="黑体"/>
          <w:sz w:val="24"/>
          <w:szCs w:val="24"/>
          <w:lang w:val="en-US" w:eastAsia="zh-CN"/>
        </w:rPr>
      </w:pPr>
      <w:r>
        <w:rPr>
          <w:rFonts w:hint="eastAsia"/>
          <w:sz w:val="24"/>
        </w:rPr>
        <w:t>第一部分</w:t>
      </w:r>
      <w:r>
        <w:rPr>
          <w:sz w:val="24"/>
        </w:rPr>
        <w:t xml:space="preserve"> </w:t>
      </w:r>
      <w:r>
        <w:rPr>
          <w:rFonts w:hint="eastAsia"/>
          <w:sz w:val="24"/>
        </w:rPr>
        <w:t>单位概况</w:t>
      </w:r>
      <w:r>
        <w:rPr>
          <w:rFonts w:ascii="黑体" w:hAnsi="黑体" w:eastAsia="黑体"/>
        </w:rPr>
        <w:tab/>
      </w:r>
      <w:r>
        <w:rPr>
          <w:rFonts w:hint="eastAsia" w:ascii="黑体" w:hAnsi="黑体" w:eastAsia="黑体"/>
          <w:lang w:val="en-US" w:eastAsia="zh-CN"/>
        </w:rPr>
        <w:t>1</w:t>
      </w:r>
    </w:p>
    <w:p>
      <w:pPr>
        <w:pStyle w:val="15"/>
        <w:adjustRightInd w:val="0"/>
        <w:snapToGrid w:val="0"/>
        <w:spacing w:line="440" w:lineRule="exact"/>
        <w:jc w:val="left"/>
        <w:rPr>
          <w:rFonts w:hint="eastAsia" w:eastAsia="黑体"/>
          <w:sz w:val="24"/>
          <w:lang w:val="en-US" w:eastAsia="zh-CN"/>
        </w:rPr>
      </w:pPr>
      <w:r>
        <w:rPr>
          <w:rFonts w:hint="eastAsia"/>
          <w:sz w:val="24"/>
        </w:rPr>
        <w:t>一、主要职责</w:t>
      </w:r>
      <w:r>
        <w:rPr>
          <w:rFonts w:ascii="黑体" w:hAnsi="黑体" w:eastAsia="黑体"/>
        </w:rPr>
        <w:tab/>
      </w:r>
      <w:r>
        <w:rPr>
          <w:rFonts w:hint="eastAsia" w:ascii="黑体" w:hAnsi="黑体" w:eastAsia="黑体"/>
          <w:lang w:val="en-US" w:eastAsia="zh-CN"/>
        </w:rPr>
        <w:t>1</w:t>
      </w:r>
    </w:p>
    <w:p>
      <w:pPr>
        <w:pStyle w:val="15"/>
        <w:adjustRightInd w:val="0"/>
        <w:snapToGrid w:val="0"/>
        <w:spacing w:line="440" w:lineRule="exact"/>
        <w:jc w:val="left"/>
        <w:rPr>
          <w:rFonts w:hint="eastAsia" w:eastAsia="黑体"/>
          <w:lang w:val="en-US" w:eastAsia="zh-CN"/>
        </w:rPr>
      </w:pPr>
      <w:r>
        <w:rPr>
          <w:rFonts w:hint="eastAsia"/>
          <w:sz w:val="24"/>
        </w:rPr>
        <w:t>二、机构设置</w:t>
      </w:r>
      <w:r>
        <w:rPr>
          <w:rFonts w:ascii="黑体" w:hAnsi="黑体" w:eastAsia="黑体"/>
        </w:rPr>
        <w:tab/>
      </w:r>
      <w:r>
        <w:rPr>
          <w:rFonts w:hint="eastAsia" w:ascii="黑体" w:hAnsi="黑体" w:eastAsia="黑体"/>
          <w:lang w:val="en-US" w:eastAsia="zh-CN"/>
        </w:rPr>
        <w:t>1</w:t>
      </w:r>
    </w:p>
    <w:p>
      <w:pPr>
        <w:pStyle w:val="13"/>
        <w:adjustRightInd w:val="0"/>
        <w:snapToGrid w:val="0"/>
        <w:spacing w:before="0" w:line="440" w:lineRule="exact"/>
        <w:jc w:val="left"/>
        <w:rPr>
          <w:rFonts w:hint="eastAsia" w:eastAsia="黑体"/>
          <w:sz w:val="24"/>
          <w:szCs w:val="24"/>
          <w:lang w:val="en-US" w:eastAsia="zh-CN"/>
        </w:rPr>
      </w:pPr>
      <w:r>
        <w:rPr>
          <w:rFonts w:hint="eastAsia"/>
          <w:sz w:val="24"/>
        </w:rPr>
        <w:t>第二部分 2023年度单位决算情况说明</w:t>
      </w:r>
      <w:r>
        <w:rPr>
          <w:rFonts w:ascii="黑体" w:hAnsi="黑体" w:eastAsia="黑体"/>
        </w:rPr>
        <w:tab/>
      </w:r>
      <w:r>
        <w:rPr>
          <w:rFonts w:hint="eastAsia" w:ascii="黑体" w:hAnsi="黑体" w:eastAsia="黑体"/>
          <w:lang w:val="en-US" w:eastAsia="zh-CN"/>
        </w:rPr>
        <w:t>1</w:t>
      </w:r>
    </w:p>
    <w:p>
      <w:pPr>
        <w:pStyle w:val="15"/>
        <w:adjustRightInd w:val="0"/>
        <w:snapToGrid w:val="0"/>
        <w:spacing w:line="440" w:lineRule="exact"/>
        <w:jc w:val="left"/>
        <w:rPr>
          <w:rFonts w:hint="eastAsia" w:ascii="仿宋" w:hAnsi="仿宋" w:eastAsia="黑体"/>
          <w:sz w:val="24"/>
          <w:lang w:val="en-US" w:eastAsia="zh-CN"/>
        </w:rPr>
      </w:pPr>
      <w:r>
        <w:rPr>
          <w:rFonts w:hint="eastAsia"/>
          <w:sz w:val="24"/>
        </w:rPr>
        <w:t>一、收入支出决算总体情况说明</w:t>
      </w:r>
      <w:r>
        <w:rPr>
          <w:rFonts w:ascii="黑体" w:hAnsi="黑体" w:eastAsia="黑体"/>
        </w:rPr>
        <w:tab/>
      </w:r>
      <w:r>
        <w:rPr>
          <w:rFonts w:hint="eastAsia" w:ascii="黑体" w:hAnsi="黑体" w:eastAsia="黑体"/>
          <w:lang w:val="en-US" w:eastAsia="zh-CN"/>
        </w:rPr>
        <w:t>1</w:t>
      </w:r>
    </w:p>
    <w:p>
      <w:pPr>
        <w:pStyle w:val="15"/>
        <w:adjustRightInd w:val="0"/>
        <w:snapToGrid w:val="0"/>
        <w:spacing w:line="440" w:lineRule="exact"/>
        <w:jc w:val="left"/>
        <w:rPr>
          <w:rFonts w:hint="eastAsia" w:ascii="仿宋" w:hAnsi="仿宋" w:eastAsia="黑体"/>
          <w:sz w:val="24"/>
          <w:lang w:val="en-US" w:eastAsia="zh-CN"/>
        </w:rPr>
      </w:pPr>
      <w:r>
        <w:rPr>
          <w:rFonts w:hint="eastAsia"/>
          <w:sz w:val="24"/>
        </w:rPr>
        <w:t>二、收入决算情况说明</w:t>
      </w:r>
      <w:r>
        <w:rPr>
          <w:rFonts w:ascii="黑体" w:hAnsi="黑体" w:eastAsia="黑体"/>
        </w:rPr>
        <w:tab/>
      </w:r>
      <w:r>
        <w:rPr>
          <w:rFonts w:hint="eastAsia" w:ascii="黑体" w:hAnsi="黑体" w:eastAsia="黑体"/>
          <w:lang w:val="en-US" w:eastAsia="zh-CN"/>
        </w:rPr>
        <w:t>2</w:t>
      </w:r>
    </w:p>
    <w:p>
      <w:pPr>
        <w:pStyle w:val="15"/>
        <w:adjustRightInd w:val="0"/>
        <w:snapToGrid w:val="0"/>
        <w:spacing w:line="440" w:lineRule="exact"/>
        <w:jc w:val="left"/>
        <w:rPr>
          <w:rFonts w:hint="eastAsia" w:ascii="仿宋" w:hAnsi="仿宋" w:eastAsia="黑体"/>
          <w:sz w:val="24"/>
          <w:lang w:val="en-US" w:eastAsia="zh-CN"/>
        </w:rPr>
      </w:pPr>
      <w:r>
        <w:rPr>
          <w:rFonts w:hint="eastAsia"/>
          <w:sz w:val="24"/>
        </w:rPr>
        <w:t>三、支出决算情况说明</w:t>
      </w:r>
      <w:r>
        <w:rPr>
          <w:rFonts w:ascii="黑体" w:hAnsi="黑体" w:eastAsia="黑体"/>
        </w:rPr>
        <w:tab/>
      </w:r>
      <w:r>
        <w:rPr>
          <w:rFonts w:hint="eastAsia" w:ascii="黑体" w:hAnsi="黑体" w:eastAsia="黑体"/>
          <w:lang w:val="en-US" w:eastAsia="zh-CN"/>
        </w:rPr>
        <w:t>2</w:t>
      </w:r>
    </w:p>
    <w:p>
      <w:pPr>
        <w:pStyle w:val="15"/>
        <w:adjustRightInd w:val="0"/>
        <w:snapToGrid w:val="0"/>
        <w:spacing w:line="440" w:lineRule="exact"/>
        <w:jc w:val="left"/>
        <w:rPr>
          <w:rFonts w:hint="eastAsia" w:ascii="仿宋" w:hAnsi="仿宋" w:eastAsia="黑体"/>
          <w:sz w:val="24"/>
          <w:lang w:val="en-US" w:eastAsia="zh-CN"/>
        </w:rPr>
      </w:pPr>
      <w:r>
        <w:rPr>
          <w:rFonts w:hint="eastAsia"/>
          <w:sz w:val="24"/>
        </w:rPr>
        <w:t>四、财政拨款收入支出决算总体情况说明</w:t>
      </w:r>
      <w:r>
        <w:rPr>
          <w:rFonts w:ascii="黑体" w:hAnsi="黑体" w:eastAsia="黑体"/>
        </w:rPr>
        <w:tab/>
      </w:r>
      <w:r>
        <w:rPr>
          <w:rFonts w:hint="eastAsia" w:ascii="黑体" w:hAnsi="黑体" w:eastAsia="黑体"/>
          <w:lang w:val="en-US" w:eastAsia="zh-CN"/>
        </w:rPr>
        <w:t>3</w:t>
      </w:r>
    </w:p>
    <w:p>
      <w:pPr>
        <w:pStyle w:val="15"/>
        <w:adjustRightInd w:val="0"/>
        <w:snapToGrid w:val="0"/>
        <w:spacing w:line="440" w:lineRule="exact"/>
        <w:jc w:val="left"/>
        <w:rPr>
          <w:rFonts w:hint="eastAsia" w:ascii="仿宋" w:hAnsi="仿宋" w:eastAsia="黑体"/>
          <w:sz w:val="24"/>
          <w:lang w:val="en-US" w:eastAsia="zh-CN"/>
        </w:rPr>
      </w:pPr>
      <w:r>
        <w:rPr>
          <w:rFonts w:hint="eastAsia"/>
          <w:sz w:val="24"/>
        </w:rPr>
        <w:t>五、一般公共预算财政拨款支出决算情况说明</w:t>
      </w:r>
      <w:r>
        <w:rPr>
          <w:rFonts w:ascii="黑体" w:hAnsi="黑体" w:eastAsia="黑体"/>
        </w:rPr>
        <w:tab/>
      </w:r>
      <w:r>
        <w:rPr>
          <w:rFonts w:hint="eastAsia" w:ascii="黑体" w:hAnsi="黑体" w:eastAsia="黑体"/>
          <w:lang w:val="en-US" w:eastAsia="zh-CN"/>
        </w:rPr>
        <w:t>4</w:t>
      </w:r>
    </w:p>
    <w:p>
      <w:pPr>
        <w:pStyle w:val="15"/>
        <w:adjustRightInd w:val="0"/>
        <w:snapToGrid w:val="0"/>
        <w:spacing w:line="440" w:lineRule="exact"/>
        <w:jc w:val="left"/>
        <w:rPr>
          <w:rFonts w:hint="eastAsia" w:ascii="仿宋" w:hAnsi="仿宋" w:eastAsia="黑体"/>
          <w:sz w:val="24"/>
          <w:lang w:val="en-US" w:eastAsia="zh-CN"/>
        </w:rPr>
      </w:pPr>
      <w:r>
        <w:rPr>
          <w:rFonts w:hint="eastAsia"/>
          <w:sz w:val="24"/>
        </w:rPr>
        <w:t>六、一般公共预算财政拨款基本支出决算情况说明</w:t>
      </w:r>
      <w:r>
        <w:rPr>
          <w:rFonts w:ascii="黑体" w:hAnsi="黑体" w:eastAsia="黑体"/>
        </w:rPr>
        <w:tab/>
      </w:r>
      <w:r>
        <w:rPr>
          <w:rFonts w:hint="eastAsia" w:ascii="黑体" w:hAnsi="黑体" w:eastAsia="黑体"/>
          <w:lang w:val="en-US" w:eastAsia="zh-CN"/>
        </w:rPr>
        <w:t>6</w:t>
      </w:r>
    </w:p>
    <w:p>
      <w:pPr>
        <w:pStyle w:val="15"/>
        <w:adjustRightInd w:val="0"/>
        <w:snapToGrid w:val="0"/>
        <w:spacing w:line="440" w:lineRule="exact"/>
        <w:jc w:val="left"/>
        <w:rPr>
          <w:rFonts w:hint="eastAsia" w:ascii="仿宋" w:hAnsi="仿宋" w:eastAsia="黑体"/>
          <w:sz w:val="24"/>
          <w:lang w:val="en-US" w:eastAsia="zh-CN"/>
        </w:rPr>
      </w:pPr>
      <w:r>
        <w:rPr>
          <w:rFonts w:hint="eastAsia"/>
          <w:sz w:val="24"/>
        </w:rPr>
        <w:t>七、财政拨款“三公”经费支出决算情况说明</w:t>
      </w:r>
      <w:r>
        <w:rPr>
          <w:rFonts w:ascii="黑体" w:hAnsi="黑体" w:eastAsia="黑体"/>
        </w:rPr>
        <w:tab/>
      </w:r>
      <w:r>
        <w:rPr>
          <w:rFonts w:hint="eastAsia" w:ascii="黑体" w:hAnsi="黑体" w:eastAsia="黑体"/>
          <w:lang w:val="en-US" w:eastAsia="zh-CN"/>
        </w:rPr>
        <w:t>6</w:t>
      </w:r>
    </w:p>
    <w:p>
      <w:pPr>
        <w:pStyle w:val="15"/>
        <w:adjustRightInd w:val="0"/>
        <w:snapToGrid w:val="0"/>
        <w:spacing w:line="440" w:lineRule="exact"/>
        <w:jc w:val="left"/>
        <w:rPr>
          <w:rFonts w:hint="eastAsia" w:ascii="仿宋" w:hAnsi="仿宋" w:eastAsia="黑体"/>
          <w:sz w:val="24"/>
          <w:lang w:val="en-US" w:eastAsia="zh-CN"/>
        </w:rPr>
      </w:pPr>
      <w:r>
        <w:rPr>
          <w:rFonts w:hint="eastAsia"/>
          <w:sz w:val="24"/>
        </w:rPr>
        <w:t>八、政府性基金预算支出决算情况说明</w:t>
      </w:r>
      <w:r>
        <w:rPr>
          <w:rFonts w:ascii="黑体" w:hAnsi="黑体" w:eastAsia="黑体"/>
        </w:rPr>
        <w:tab/>
      </w:r>
      <w:r>
        <w:rPr>
          <w:rFonts w:hint="eastAsia" w:ascii="黑体" w:hAnsi="黑体" w:eastAsia="黑体"/>
          <w:lang w:val="en-US" w:eastAsia="zh-CN"/>
        </w:rPr>
        <w:t>8</w:t>
      </w:r>
    </w:p>
    <w:p>
      <w:pPr>
        <w:pStyle w:val="15"/>
        <w:adjustRightInd w:val="0"/>
        <w:snapToGrid w:val="0"/>
        <w:spacing w:line="440" w:lineRule="exact"/>
        <w:jc w:val="left"/>
        <w:rPr>
          <w:rFonts w:hint="eastAsia" w:eastAsia="黑体"/>
          <w:sz w:val="24"/>
          <w:lang w:val="en-US" w:eastAsia="zh-CN"/>
        </w:rPr>
      </w:pPr>
      <w:r>
        <w:rPr>
          <w:rFonts w:hint="eastAsia"/>
          <w:sz w:val="24"/>
        </w:rPr>
        <w:t>九、国有资本经营预算支出决算情况说明</w:t>
      </w:r>
      <w:r>
        <w:rPr>
          <w:rFonts w:ascii="黑体" w:hAnsi="黑体" w:eastAsia="黑体"/>
        </w:rPr>
        <w:tab/>
      </w:r>
      <w:r>
        <w:rPr>
          <w:rFonts w:hint="eastAsia" w:ascii="黑体" w:hAnsi="黑体" w:eastAsia="黑体"/>
          <w:lang w:val="en-US" w:eastAsia="zh-CN"/>
        </w:rPr>
        <w:t>8</w:t>
      </w:r>
    </w:p>
    <w:p>
      <w:pPr>
        <w:pStyle w:val="15"/>
        <w:adjustRightInd w:val="0"/>
        <w:snapToGrid w:val="0"/>
        <w:spacing w:line="440" w:lineRule="exact"/>
        <w:jc w:val="left"/>
        <w:rPr>
          <w:rFonts w:hint="eastAsia" w:eastAsia="黑体"/>
          <w:sz w:val="24"/>
          <w:lang w:val="en-US" w:eastAsia="zh-CN"/>
        </w:rPr>
      </w:pPr>
      <w:r>
        <w:rPr>
          <w:rFonts w:hint="eastAsia"/>
          <w:sz w:val="24"/>
        </w:rPr>
        <w:t>十、其他重要事项的情况说明</w:t>
      </w:r>
      <w:r>
        <w:rPr>
          <w:rFonts w:ascii="黑体" w:hAnsi="黑体" w:eastAsia="黑体"/>
        </w:rPr>
        <w:tab/>
      </w:r>
      <w:r>
        <w:rPr>
          <w:rFonts w:hint="eastAsia" w:ascii="黑体" w:hAnsi="黑体" w:eastAsia="黑体"/>
          <w:lang w:val="en-US" w:eastAsia="zh-CN"/>
        </w:rPr>
        <w:t>8</w:t>
      </w:r>
    </w:p>
    <w:p>
      <w:pPr>
        <w:pStyle w:val="13"/>
        <w:adjustRightInd w:val="0"/>
        <w:snapToGrid w:val="0"/>
        <w:spacing w:before="0" w:line="440" w:lineRule="exact"/>
        <w:jc w:val="left"/>
        <w:rPr>
          <w:rFonts w:hint="default" w:eastAsia="黑体"/>
          <w:sz w:val="24"/>
          <w:szCs w:val="24"/>
          <w:lang w:val="en-US" w:eastAsia="zh-CN"/>
        </w:rPr>
      </w:pPr>
      <w:r>
        <w:rPr>
          <w:rFonts w:hint="eastAsia"/>
          <w:sz w:val="24"/>
        </w:rPr>
        <w:t>第三部分</w:t>
      </w:r>
      <w:r>
        <w:rPr>
          <w:sz w:val="24"/>
        </w:rPr>
        <w:t xml:space="preserve"> </w:t>
      </w:r>
      <w:r>
        <w:rPr>
          <w:rFonts w:hint="eastAsia"/>
          <w:sz w:val="24"/>
        </w:rPr>
        <w:t>名词解释</w:t>
      </w:r>
      <w:r>
        <w:rPr>
          <w:rFonts w:ascii="黑体" w:hAnsi="黑体" w:eastAsia="黑体"/>
        </w:rPr>
        <w:tab/>
      </w:r>
      <w:r>
        <w:rPr>
          <w:rFonts w:hint="eastAsia" w:ascii="黑体" w:hAnsi="黑体" w:eastAsia="黑体"/>
          <w:lang w:val="en-US" w:eastAsia="zh-CN"/>
        </w:rPr>
        <w:t>11</w:t>
      </w:r>
    </w:p>
    <w:p>
      <w:pPr>
        <w:pStyle w:val="13"/>
        <w:adjustRightInd w:val="0"/>
        <w:snapToGrid w:val="0"/>
        <w:spacing w:before="0" w:line="440" w:lineRule="exact"/>
        <w:jc w:val="left"/>
        <w:rPr>
          <w:rFonts w:hint="default" w:eastAsia="黑体"/>
          <w:sz w:val="24"/>
          <w:szCs w:val="24"/>
          <w:lang w:val="en-US" w:eastAsia="zh-CN"/>
        </w:rPr>
      </w:pPr>
      <w:r>
        <w:rPr>
          <w:rFonts w:hint="eastAsia"/>
          <w:sz w:val="24"/>
        </w:rPr>
        <w:t>第四部分</w:t>
      </w:r>
      <w:r>
        <w:rPr>
          <w:sz w:val="24"/>
        </w:rPr>
        <w:t xml:space="preserve"> </w:t>
      </w:r>
      <w:r>
        <w:rPr>
          <w:rFonts w:hint="eastAsia"/>
          <w:sz w:val="24"/>
        </w:rPr>
        <w:t>附件</w:t>
      </w:r>
      <w:r>
        <w:rPr>
          <w:rFonts w:ascii="黑体" w:hAnsi="黑体" w:eastAsia="黑体"/>
        </w:rPr>
        <w:tab/>
      </w:r>
      <w:r>
        <w:rPr>
          <w:rFonts w:hint="eastAsia" w:ascii="黑体" w:hAnsi="黑体" w:eastAsia="黑体"/>
          <w:lang w:val="en-US" w:eastAsia="zh-CN"/>
        </w:rPr>
        <w:t>13</w:t>
      </w:r>
    </w:p>
    <w:p>
      <w:pPr>
        <w:pStyle w:val="13"/>
        <w:adjustRightInd w:val="0"/>
        <w:snapToGrid w:val="0"/>
        <w:spacing w:before="0" w:line="440" w:lineRule="exact"/>
        <w:jc w:val="left"/>
        <w:rPr>
          <w:rFonts w:hint="default" w:eastAsia="黑体"/>
          <w:sz w:val="24"/>
          <w:szCs w:val="24"/>
          <w:lang w:val="en-US" w:eastAsia="zh-CN"/>
        </w:rPr>
      </w:pPr>
      <w:r>
        <w:rPr>
          <w:rFonts w:hint="eastAsia"/>
          <w:sz w:val="24"/>
        </w:rPr>
        <w:t>第五部分</w:t>
      </w:r>
      <w:r>
        <w:rPr>
          <w:sz w:val="24"/>
        </w:rPr>
        <w:t xml:space="preserve"> </w:t>
      </w:r>
      <w:r>
        <w:rPr>
          <w:rFonts w:hint="eastAsia"/>
          <w:sz w:val="24"/>
        </w:rPr>
        <w:t>附表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一、收入支出决算总表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二、收入决算表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三、支出决算表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四、财政拨款收入支出决算总表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五、财政拨款支出决算明细表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六、一般公共预算财政拨款支出决算表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七、一般公共预算财政拨款支出决算明细表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八、一般公共预算财政拨款基本支出决算明细表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九、一般公共预算财政拨款项目支出决算表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十、政府性基金预算财政拨款收入支出决算表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十一、国有资本经营预算财政拨款收入支出决算表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eastAsia="黑体"/>
          <w:sz w:val="24"/>
          <w:lang w:val="en-US" w:eastAsia="zh-CN"/>
        </w:rPr>
      </w:pPr>
      <w:r>
        <w:rPr>
          <w:rFonts w:hint="eastAsia"/>
          <w:sz w:val="24"/>
        </w:rPr>
        <w:t>十二、国有资本经营预算财政拨款支出决算表</w:t>
      </w:r>
      <w:r>
        <w:rPr>
          <w:rFonts w:ascii="黑体" w:hAnsi="黑体" w:eastAsia="黑体"/>
        </w:rPr>
        <w:tab/>
      </w:r>
      <w:r>
        <w:rPr>
          <w:rFonts w:hint="eastAsia" w:ascii="黑体" w:hAnsi="黑体" w:eastAsia="黑体"/>
          <w:lang w:val="en-US" w:eastAsia="zh-CN"/>
        </w:rPr>
        <w:t>14</w:t>
      </w:r>
    </w:p>
    <w:p>
      <w:pPr>
        <w:pStyle w:val="15"/>
        <w:adjustRightInd w:val="0"/>
        <w:snapToGrid w:val="0"/>
        <w:spacing w:line="440" w:lineRule="exact"/>
        <w:jc w:val="left"/>
        <w:rPr>
          <w:rFonts w:hint="default" w:ascii="黑体" w:hAnsi="黑体" w:eastAsia="黑体"/>
          <w:b w:val="0"/>
          <w:lang w:val="en-US" w:eastAsia="zh-CN"/>
        </w:rPr>
        <w:sectPr>
          <w:headerReference r:id="rId3" w:type="default"/>
          <w:pgSz w:w="11906" w:h="16838"/>
          <w:pgMar w:top="1440" w:right="1800" w:bottom="1440" w:left="1800" w:header="851" w:footer="992" w:gutter="0"/>
          <w:cols w:space="425" w:num="1"/>
          <w:docGrid w:type="lines" w:linePitch="312" w:charSpace="0"/>
        </w:sectPr>
      </w:pPr>
      <w:r>
        <w:rPr>
          <w:rFonts w:hint="eastAsia"/>
          <w:sz w:val="24"/>
        </w:rPr>
        <w:t>十三、财政拨款“三公”经费支出决算表</w:t>
      </w:r>
      <w:r>
        <w:rPr>
          <w:rFonts w:ascii="黑体" w:hAnsi="黑体" w:eastAsia="黑体"/>
        </w:rPr>
        <w:tab/>
      </w:r>
      <w:r>
        <w:rPr>
          <w:rFonts w:hint="eastAsia" w:ascii="黑体" w:hAnsi="黑体" w:eastAsia="黑体"/>
          <w:lang w:val="en-US" w:eastAsia="zh-CN"/>
        </w:rPr>
        <w:t>14</w:t>
      </w:r>
    </w:p>
    <w:p>
      <w:pPr>
        <w:pStyle w:val="3"/>
        <w:jc w:val="center"/>
        <w:rPr>
          <w:rFonts w:hint="eastAsia" w:ascii="黑体" w:hAnsi="黑体" w:eastAsia="黑体"/>
          <w:b w:val="0"/>
        </w:rPr>
      </w:pPr>
      <w:r>
        <w:rPr>
          <w:rFonts w:hint="eastAsia" w:ascii="黑体" w:hAnsi="黑体" w:eastAsia="黑体"/>
          <w:b w:val="0"/>
        </w:rPr>
        <w:t>第一部分 单位概况</w:t>
      </w:r>
    </w:p>
    <w:p>
      <w:pPr>
        <w:rPr>
          <w:rStyle w:val="22"/>
          <w:rFonts w:ascii="黑体" w:hAnsi="黑体" w:eastAsia="黑体"/>
          <w:b w:val="0"/>
          <w:bCs w:val="0"/>
        </w:rPr>
      </w:pPr>
      <w:r>
        <w:rPr>
          <w:rStyle w:val="22"/>
          <w:rFonts w:hint="eastAsia" w:ascii="黑体" w:hAnsi="黑体" w:eastAsia="黑体"/>
          <w:b w:val="0"/>
          <w:bCs w:val="0"/>
        </w:rPr>
        <w:t>一、主要职责</w:t>
      </w:r>
    </w:p>
    <w:p>
      <w:pPr>
        <w:spacing w:line="360" w:lineRule="auto"/>
        <w:ind w:firstLine="640" w:firstLineChars="200"/>
        <w:rPr>
          <w:rFonts w:ascii="仿宋" w:hAnsi="仿宋" w:eastAsia="仿宋"/>
          <w:bCs/>
          <w:color w:val="000000"/>
          <w:sz w:val="32"/>
          <w:szCs w:val="32"/>
        </w:rPr>
      </w:pPr>
      <w:r>
        <w:rPr>
          <w:rFonts w:hint="eastAsia" w:ascii="仿宋" w:hAnsi="仿宋" w:eastAsia="仿宋"/>
          <w:sz w:val="32"/>
          <w:szCs w:val="32"/>
        </w:rPr>
        <w:t>盐边县养路队</w:t>
      </w:r>
      <w:r>
        <w:rPr>
          <w:rFonts w:hint="eastAsia" w:ascii="仿宋" w:hAnsi="仿宋" w:eastAsia="仿宋"/>
          <w:color w:val="000000"/>
          <w:sz w:val="32"/>
          <w:szCs w:val="32"/>
        </w:rPr>
        <w:t>主要职责</w:t>
      </w:r>
      <w:r>
        <w:rPr>
          <w:rFonts w:hint="eastAsia" w:ascii="仿宋" w:hAnsi="仿宋" w:eastAsia="仿宋"/>
          <w:bCs/>
          <w:color w:val="000000"/>
          <w:sz w:val="32"/>
          <w:szCs w:val="32"/>
        </w:rPr>
        <w:t>是承担全县辖区内省县道公路桥梁的日常养护管理工作，拟定公路养护建议计划并按批准的计划组织实施管理，具体负责辖区内省县道公路桥梁及附属设施的日常管护、组织受灾毁损道路桥梁的恢复、维护道路路产路权，为辖区内道路良好运行提供有力保障。</w:t>
      </w:r>
    </w:p>
    <w:p>
      <w:pPr>
        <w:pStyle w:val="4"/>
        <w:rPr>
          <w:rFonts w:ascii="黑体" w:hAnsi="黑体" w:eastAsia="黑体"/>
          <w:b w:val="0"/>
          <w:color w:val="000000"/>
        </w:rPr>
      </w:pPr>
      <w:r>
        <w:rPr>
          <w:rFonts w:hint="eastAsia" w:ascii="黑体" w:hAnsi="黑体" w:eastAsia="黑体"/>
          <w:b w:val="0"/>
        </w:rPr>
        <w:t>二、机构设置</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盐边县养路队是一个独立编制、独立核算的财政全额拨款事业单位，主管部门为盐边县交通运输局。单位内设养护科、机械科、办公室、财务科。</w:t>
      </w:r>
    </w:p>
    <w:p>
      <w:pPr>
        <w:snapToGrid w:val="0"/>
        <w:spacing w:line="360" w:lineRule="auto"/>
        <w:ind w:firstLine="640" w:firstLineChars="200"/>
        <w:rPr>
          <w:rFonts w:ascii="仿宋" w:hAnsi="仿宋" w:eastAsia="仿宋"/>
          <w:sz w:val="32"/>
          <w:szCs w:val="32"/>
        </w:rPr>
      </w:pPr>
    </w:p>
    <w:p>
      <w:pPr>
        <w:snapToGrid w:val="0"/>
        <w:spacing w:line="360" w:lineRule="auto"/>
        <w:ind w:firstLine="880" w:firstLineChars="200"/>
        <w:rPr>
          <w:rFonts w:hint="eastAsia" w:ascii="黑体" w:hAnsi="黑体" w:eastAsia="黑体"/>
          <w:sz w:val="44"/>
          <w:szCs w:val="44"/>
        </w:rPr>
      </w:pPr>
      <w:r>
        <w:rPr>
          <w:rFonts w:hint="eastAsia" w:ascii="黑体" w:hAnsi="黑体" w:eastAsia="黑体"/>
          <w:sz w:val="44"/>
          <w:szCs w:val="44"/>
        </w:rPr>
        <w:t>第二部分 2023年度单位决算情况说明</w:t>
      </w:r>
    </w:p>
    <w:p/>
    <w:p>
      <w:pPr>
        <w:pStyle w:val="25"/>
        <w:spacing w:line="600" w:lineRule="exact"/>
        <w:ind w:left="640" w:firstLine="0" w:firstLineChars="0"/>
        <w:outlineLvl w:val="1"/>
        <w:rPr>
          <w:rStyle w:val="22"/>
          <w:rFonts w:ascii="黑体" w:hAnsi="黑体" w:eastAsia="黑体"/>
          <w:b w:val="0"/>
        </w:rPr>
      </w:pPr>
      <w:r>
        <w:rPr>
          <w:rFonts w:hint="eastAsia" w:ascii="黑体" w:hAnsi="黑体" w:eastAsia="黑体"/>
          <w:sz w:val="32"/>
          <w:szCs w:val="32"/>
        </w:rPr>
        <w:t>一、收</w:t>
      </w:r>
      <w:r>
        <w:rPr>
          <w:rStyle w:val="22"/>
          <w:rFonts w:hint="eastAsia" w:ascii="黑体" w:hAnsi="黑体" w:eastAsia="黑体"/>
          <w:b w:val="0"/>
        </w:rPr>
        <w:t>入支出决算总体情况说明</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2023年度收、支总计均为921.43万元。与2022年度相比，收、支总计各减少33.29万元，下降3.5</w:t>
      </w:r>
      <w:r>
        <w:rPr>
          <w:rFonts w:ascii="仿宋" w:hAnsi="仿宋" w:eastAsia="仿宋"/>
          <w:sz w:val="32"/>
          <w:szCs w:val="32"/>
        </w:rPr>
        <w:t>%</w:t>
      </w:r>
      <w:r>
        <w:rPr>
          <w:rFonts w:hint="eastAsia" w:ascii="仿宋" w:hAnsi="仿宋" w:eastAsia="仿宋"/>
          <w:sz w:val="32"/>
          <w:szCs w:val="32"/>
        </w:rPr>
        <w:t>。主要变动原因是</w:t>
      </w:r>
      <w:r>
        <w:rPr>
          <w:rFonts w:hint="eastAsia" w:ascii="宋体" w:hAnsi="宋体"/>
          <w:sz w:val="32"/>
          <w:szCs w:val="32"/>
        </w:rPr>
        <w:t>1</w:t>
      </w:r>
      <w:r>
        <w:rPr>
          <w:rFonts w:hint="eastAsia" w:ascii="仿宋" w:hAnsi="仿宋" w:eastAsia="仿宋"/>
          <w:sz w:val="32"/>
          <w:szCs w:val="32"/>
        </w:rPr>
        <w:t>、项目支出减少。2023年项目支出579.77万元，2022年项目支出589.67万元，2023年项目支出比2022年减少9.9万元。2、基本支出减少。2023年基本支出341.66万元，2022年基本支出</w:t>
      </w:r>
      <w:r>
        <w:rPr>
          <w:rFonts w:ascii="仿宋" w:hAnsi="仿宋" w:eastAsia="仿宋"/>
          <w:sz w:val="32"/>
          <w:szCs w:val="32"/>
        </w:rPr>
        <w:t>365</w:t>
      </w:r>
      <w:r>
        <w:rPr>
          <w:rFonts w:hint="eastAsia" w:ascii="仿宋" w:hAnsi="仿宋" w:eastAsia="仿宋"/>
          <w:sz w:val="32"/>
          <w:szCs w:val="32"/>
        </w:rPr>
        <w:t>.</w:t>
      </w:r>
      <w:r>
        <w:rPr>
          <w:rFonts w:ascii="仿宋" w:hAnsi="仿宋" w:eastAsia="仿宋"/>
          <w:sz w:val="32"/>
          <w:szCs w:val="32"/>
        </w:rPr>
        <w:t>05</w:t>
      </w:r>
      <w:r>
        <w:rPr>
          <w:rFonts w:hint="eastAsia" w:ascii="仿宋" w:hAnsi="仿宋" w:eastAsia="仿宋"/>
          <w:sz w:val="32"/>
          <w:szCs w:val="32"/>
        </w:rPr>
        <w:t>万元，2023年基本支出比2022年减少23.39万元。</w:t>
      </w:r>
    </w:p>
    <w:p>
      <w:pPr>
        <w:pStyle w:val="2"/>
        <w:spacing w:before="93"/>
      </w:pPr>
      <w:r>
        <w:drawing>
          <wp:inline distT="0" distB="0" distL="0" distR="0">
            <wp:extent cx="5086350" cy="2466975"/>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5"/>
        <w:spacing w:line="600" w:lineRule="exact"/>
        <w:ind w:left="640" w:firstLine="0" w:firstLineChars="0"/>
        <w:outlineLvl w:val="1"/>
        <w:rPr>
          <w:rStyle w:val="22"/>
          <w:rFonts w:ascii="黑体" w:hAnsi="黑体" w:eastAsia="黑体"/>
          <w:b w:val="0"/>
        </w:rPr>
      </w:pPr>
      <w:r>
        <w:rPr>
          <w:rFonts w:hint="eastAsia" w:ascii="黑体" w:hAnsi="黑体" w:eastAsia="黑体"/>
          <w:sz w:val="32"/>
          <w:szCs w:val="32"/>
        </w:rPr>
        <w:t>二、收</w:t>
      </w:r>
      <w:r>
        <w:rPr>
          <w:rStyle w:val="22"/>
          <w:rFonts w:hint="eastAsia" w:ascii="黑体" w:hAnsi="黑体" w:eastAsia="黑体"/>
          <w:b w:val="0"/>
        </w:rPr>
        <w:t>入决算情况说明</w:t>
      </w:r>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2023年度本年收入合计921.43万元，其中：一般公共预算财政拨款收入921.43万元，占100</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p>
    <w:p>
      <w:pPr>
        <w:pStyle w:val="2"/>
        <w:spacing w:before="93"/>
        <w:ind w:firstLine="1440" w:firstLineChars="600"/>
      </w:pPr>
      <w:r>
        <w:drawing>
          <wp:inline distT="0" distB="0" distL="0" distR="0">
            <wp:extent cx="2874645" cy="1284605"/>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00" w:firstLineChars="200"/>
        <w:jc w:val="center"/>
        <w:rPr>
          <w:rFonts w:ascii="仿宋" w:hAnsi="仿宋" w:eastAsia="仿宋"/>
          <w:sz w:val="30"/>
          <w:szCs w:val="30"/>
        </w:rPr>
      </w:pPr>
      <w:r>
        <w:rPr>
          <w:rFonts w:hint="eastAsia" w:ascii="仿宋" w:hAnsi="仿宋" w:eastAsia="仿宋"/>
          <w:sz w:val="30"/>
          <w:szCs w:val="30"/>
        </w:rPr>
        <w:t>（图2：收入决算结构图）（饼状图）</w:t>
      </w:r>
    </w:p>
    <w:p>
      <w:pPr>
        <w:spacing w:line="600" w:lineRule="exact"/>
        <w:ind w:firstLine="800" w:firstLineChars="250"/>
        <w:outlineLvl w:val="1"/>
        <w:rPr>
          <w:rStyle w:val="22"/>
          <w:rFonts w:ascii="黑体" w:hAnsi="黑体" w:eastAsia="黑体"/>
          <w:b w:val="0"/>
        </w:rPr>
      </w:pPr>
      <w:r>
        <w:rPr>
          <w:rFonts w:hint="eastAsia" w:ascii="黑体" w:hAnsi="黑体" w:eastAsia="黑体"/>
          <w:sz w:val="32"/>
          <w:szCs w:val="32"/>
        </w:rPr>
        <w:t>三、支</w:t>
      </w:r>
      <w:r>
        <w:rPr>
          <w:rStyle w:val="22"/>
          <w:rFonts w:hint="eastAsia" w:ascii="黑体" w:hAnsi="黑体" w:eastAsia="黑体"/>
          <w:b w:val="0"/>
        </w:rPr>
        <w:t>出决算情况说明</w:t>
      </w:r>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2023年度本年支出合计921.43万元，其中：基本支出341.66万元，占37.08</w:t>
      </w:r>
      <w:r>
        <w:rPr>
          <w:rFonts w:ascii="仿宋" w:hAnsi="仿宋" w:eastAsia="仿宋"/>
          <w:sz w:val="32"/>
          <w:szCs w:val="32"/>
        </w:rPr>
        <w:t>%</w:t>
      </w:r>
      <w:r>
        <w:rPr>
          <w:rFonts w:hint="eastAsia" w:ascii="仿宋" w:hAnsi="仿宋" w:eastAsia="仿宋"/>
          <w:sz w:val="32"/>
          <w:szCs w:val="32"/>
        </w:rPr>
        <w:t>；项目支出579.77万元，占62.92</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pPr>
        <w:pStyle w:val="2"/>
        <w:spacing w:before="93"/>
      </w:pPr>
      <w:r>
        <w:rPr>
          <w:rFonts w:hint="eastAsia"/>
        </w:rPr>
        <w:drawing>
          <wp:inline distT="0" distB="0" distL="0" distR="0">
            <wp:extent cx="4695825" cy="1285875"/>
            <wp:effectExtent l="0" t="0" r="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pPr>
        <w:spacing w:line="600" w:lineRule="exact"/>
        <w:ind w:firstLine="640" w:firstLineChars="200"/>
        <w:outlineLvl w:val="1"/>
        <w:rPr>
          <w:rStyle w:val="22"/>
          <w:rFonts w:ascii="黑体" w:hAnsi="黑体" w:eastAsia="黑体"/>
          <w:b w:val="0"/>
        </w:rPr>
      </w:pPr>
      <w:r>
        <w:rPr>
          <w:rFonts w:hint="eastAsia" w:ascii="黑体" w:hAnsi="黑体" w:eastAsia="黑体"/>
          <w:sz w:val="32"/>
          <w:szCs w:val="32"/>
        </w:rPr>
        <w:t>四、财</w:t>
      </w:r>
      <w:r>
        <w:rPr>
          <w:rStyle w:val="22"/>
          <w:rFonts w:hint="eastAsia" w:ascii="黑体" w:hAnsi="黑体" w:eastAsia="黑体"/>
          <w:b w:val="0"/>
        </w:rPr>
        <w:t>政拨款收入支出决算总体情况说明</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2023年度财政拨款收、支总计均为921.43万元。与2022年度相比，财政拨款收、支总计各减少33.29万元，下降3.5</w:t>
      </w:r>
      <w:r>
        <w:rPr>
          <w:rFonts w:ascii="仿宋" w:hAnsi="仿宋" w:eastAsia="仿宋"/>
          <w:sz w:val="32"/>
          <w:szCs w:val="32"/>
        </w:rPr>
        <w:t>%</w:t>
      </w:r>
      <w:r>
        <w:rPr>
          <w:rFonts w:hint="eastAsia" w:ascii="仿宋" w:hAnsi="仿宋" w:eastAsia="仿宋"/>
          <w:sz w:val="32"/>
          <w:szCs w:val="32"/>
        </w:rPr>
        <w:t>。主要变动原因是</w:t>
      </w:r>
      <w:r>
        <w:rPr>
          <w:rFonts w:hint="eastAsia" w:ascii="宋体" w:hAnsi="宋体"/>
          <w:sz w:val="32"/>
          <w:szCs w:val="32"/>
        </w:rPr>
        <w:t>1</w:t>
      </w:r>
      <w:r>
        <w:rPr>
          <w:rFonts w:hint="eastAsia" w:ascii="仿宋" w:hAnsi="仿宋" w:eastAsia="仿宋"/>
          <w:sz w:val="32"/>
          <w:szCs w:val="32"/>
        </w:rPr>
        <w:t>、项目支出减少。2023年项目支出579.77万元，2022年项目支出589.67万元，2023年项目支出比2022年减少9.9万元。2、基本支出减少。2023年基本支出341.66万元，2022年基本支出</w:t>
      </w:r>
      <w:r>
        <w:rPr>
          <w:rFonts w:ascii="仿宋" w:hAnsi="仿宋" w:eastAsia="仿宋"/>
          <w:sz w:val="32"/>
          <w:szCs w:val="32"/>
        </w:rPr>
        <w:t>365</w:t>
      </w:r>
      <w:r>
        <w:rPr>
          <w:rFonts w:hint="eastAsia" w:ascii="仿宋" w:hAnsi="仿宋" w:eastAsia="仿宋"/>
          <w:sz w:val="32"/>
          <w:szCs w:val="32"/>
        </w:rPr>
        <w:t>.</w:t>
      </w:r>
      <w:r>
        <w:rPr>
          <w:rFonts w:ascii="仿宋" w:hAnsi="仿宋" w:eastAsia="仿宋"/>
          <w:sz w:val="32"/>
          <w:szCs w:val="32"/>
        </w:rPr>
        <w:t>05</w:t>
      </w:r>
      <w:r>
        <w:rPr>
          <w:rFonts w:hint="eastAsia" w:ascii="仿宋" w:hAnsi="仿宋" w:eastAsia="仿宋"/>
          <w:sz w:val="32"/>
          <w:szCs w:val="32"/>
        </w:rPr>
        <w:t>万元，2023年基本支出比2022年减少23.39万元。</w:t>
      </w:r>
    </w:p>
    <w:p>
      <w:pPr>
        <w:pStyle w:val="2"/>
        <w:spacing w:before="93"/>
      </w:pPr>
      <w:r>
        <w:drawing>
          <wp:inline distT="0" distB="0" distL="0" distR="0">
            <wp:extent cx="5143500" cy="2552700"/>
            <wp:effectExtent l="19050" t="0" r="1905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firstLineChars="200"/>
        <w:outlineLvl w:val="1"/>
        <w:rPr>
          <w:rStyle w:val="22"/>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2"/>
          <w:rFonts w:hint="eastAsia" w:ascii="黑体" w:hAnsi="黑体" w:eastAsia="黑体"/>
          <w:b w:val="0"/>
        </w:rPr>
        <w:t>般公共预算财政拨款支出决算情况说明</w:t>
      </w:r>
    </w:p>
    <w:p>
      <w:pPr>
        <w:spacing w:line="600" w:lineRule="exact"/>
        <w:ind w:firstLine="643" w:firstLineChars="200"/>
        <w:outlineLvl w:val="2"/>
        <w:rPr>
          <w:rFonts w:hint="eastAsia" w:ascii="仿宋" w:hAnsi="仿宋" w:eastAsia="仿宋"/>
          <w:b/>
          <w:sz w:val="32"/>
          <w:szCs w:val="32"/>
          <w:lang w:eastAsia="zh-CN"/>
        </w:rPr>
      </w:pPr>
      <w:r>
        <w:rPr>
          <w:rFonts w:hint="eastAsia" w:ascii="仿宋" w:hAnsi="仿宋" w:eastAsia="仿宋"/>
          <w:b/>
          <w:sz w:val="32"/>
          <w:szCs w:val="32"/>
        </w:rPr>
        <w:t>（一）一般公共预算财政拨款支出决算总体情况</w:t>
      </w:r>
      <w:r>
        <w:rPr>
          <w:rFonts w:hint="eastAsia" w:ascii="仿宋" w:hAnsi="仿宋" w:eastAsia="仿宋"/>
          <w:b/>
          <w:sz w:val="32"/>
          <w:szCs w:val="32"/>
          <w:lang w:eastAsia="zh-CN"/>
        </w:rPr>
        <w:t>。</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2023年度一般公共预算财政拨款支出921.43万元，占本年支出合计的100</w:t>
      </w:r>
      <w:r>
        <w:rPr>
          <w:rFonts w:ascii="仿宋" w:hAnsi="仿宋" w:eastAsia="仿宋"/>
          <w:sz w:val="32"/>
          <w:szCs w:val="32"/>
        </w:rPr>
        <w:t>%</w:t>
      </w:r>
      <w:r>
        <w:rPr>
          <w:rFonts w:hint="eastAsia" w:ascii="仿宋" w:hAnsi="仿宋" w:eastAsia="仿宋"/>
          <w:sz w:val="32"/>
          <w:szCs w:val="32"/>
        </w:rPr>
        <w:t>。与2022年度相比，一般公共预算财政拨款支出减少33.29万元，下降3.5</w:t>
      </w:r>
      <w:r>
        <w:rPr>
          <w:rFonts w:ascii="仿宋" w:hAnsi="仿宋" w:eastAsia="仿宋"/>
          <w:sz w:val="32"/>
          <w:szCs w:val="32"/>
        </w:rPr>
        <w:t>%</w:t>
      </w:r>
      <w:r>
        <w:rPr>
          <w:rFonts w:hint="eastAsia" w:ascii="仿宋" w:hAnsi="仿宋" w:eastAsia="仿宋"/>
          <w:sz w:val="32"/>
          <w:szCs w:val="32"/>
        </w:rPr>
        <w:t>。主要变动原因是</w:t>
      </w:r>
      <w:r>
        <w:rPr>
          <w:rFonts w:hint="eastAsia" w:ascii="宋体" w:hAnsi="宋体"/>
          <w:sz w:val="32"/>
          <w:szCs w:val="32"/>
        </w:rPr>
        <w:t>1</w:t>
      </w:r>
      <w:r>
        <w:rPr>
          <w:rFonts w:hint="eastAsia" w:ascii="仿宋" w:hAnsi="仿宋" w:eastAsia="仿宋"/>
          <w:sz w:val="32"/>
          <w:szCs w:val="32"/>
        </w:rPr>
        <w:t>、项目支出减少。2023年项目支出579.77万元，2022年项目支出589.67万元，2023年项目支出比2022年减少9.9万元。2、基本支出减少。2023年基本支出341.66万元，2022年基本支出</w:t>
      </w:r>
      <w:r>
        <w:rPr>
          <w:rFonts w:ascii="仿宋" w:hAnsi="仿宋" w:eastAsia="仿宋"/>
          <w:sz w:val="32"/>
          <w:szCs w:val="32"/>
        </w:rPr>
        <w:t>365</w:t>
      </w:r>
      <w:r>
        <w:rPr>
          <w:rFonts w:hint="eastAsia" w:ascii="仿宋" w:hAnsi="仿宋" w:eastAsia="仿宋"/>
          <w:sz w:val="32"/>
          <w:szCs w:val="32"/>
        </w:rPr>
        <w:t>.</w:t>
      </w:r>
      <w:r>
        <w:rPr>
          <w:rFonts w:ascii="仿宋" w:hAnsi="仿宋" w:eastAsia="仿宋"/>
          <w:sz w:val="32"/>
          <w:szCs w:val="32"/>
        </w:rPr>
        <w:t>05</w:t>
      </w:r>
      <w:r>
        <w:rPr>
          <w:rFonts w:hint="eastAsia" w:ascii="仿宋" w:hAnsi="仿宋" w:eastAsia="仿宋"/>
          <w:sz w:val="32"/>
          <w:szCs w:val="32"/>
        </w:rPr>
        <w:t>万元，2023年基本支出比2022年减少23.39万元。</w:t>
      </w:r>
    </w:p>
    <w:p>
      <w:pPr>
        <w:pStyle w:val="2"/>
        <w:spacing w:before="93"/>
      </w:pPr>
      <w:r>
        <w:drawing>
          <wp:inline distT="0" distB="0" distL="0" distR="0">
            <wp:extent cx="5143500" cy="1714500"/>
            <wp:effectExtent l="19050" t="0" r="1905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3" w:firstLineChars="200"/>
        <w:outlineLvl w:val="2"/>
        <w:rPr>
          <w:rFonts w:hint="eastAsia" w:ascii="仿宋" w:hAnsi="仿宋" w:eastAsia="仿宋"/>
          <w:b/>
          <w:sz w:val="32"/>
          <w:szCs w:val="32"/>
          <w:lang w:eastAsia="zh-CN"/>
        </w:rPr>
      </w:pPr>
      <w:r>
        <w:rPr>
          <w:rFonts w:hint="eastAsia" w:ascii="仿宋" w:hAnsi="仿宋" w:eastAsia="仿宋"/>
          <w:b/>
          <w:sz w:val="32"/>
          <w:szCs w:val="32"/>
        </w:rPr>
        <w:t>（二）一般公共预算财政拨款支出决算结构情况</w:t>
      </w:r>
      <w:r>
        <w:rPr>
          <w:rFonts w:hint="eastAsia" w:ascii="仿宋" w:hAnsi="仿宋" w:eastAsia="仿宋"/>
          <w:b/>
          <w:sz w:val="32"/>
          <w:szCs w:val="32"/>
          <w:lang w:eastAsia="zh-CN"/>
        </w:rPr>
        <w:t>。</w:t>
      </w:r>
    </w:p>
    <w:p>
      <w:pPr>
        <w:spacing w:line="600" w:lineRule="exact"/>
        <w:ind w:firstLine="640"/>
        <w:rPr>
          <w:rFonts w:ascii="仿宋" w:hAnsi="仿宋" w:eastAsia="仿宋"/>
          <w:sz w:val="32"/>
          <w:szCs w:val="32"/>
        </w:rPr>
      </w:pPr>
      <w:r>
        <w:rPr>
          <w:rFonts w:hint="eastAsia" w:ascii="仿宋" w:hAnsi="仿宋" w:eastAsia="仿宋"/>
          <w:sz w:val="32"/>
          <w:szCs w:val="32"/>
        </w:rPr>
        <w:t>2023年度一般公共预算财政拨款支出921.43万元，主要用于以下方面</w:t>
      </w:r>
      <w:r>
        <w:rPr>
          <w:rFonts w:ascii="仿宋" w:hAnsi="仿宋" w:eastAsia="仿宋"/>
          <w:sz w:val="32"/>
          <w:szCs w:val="32"/>
        </w:rPr>
        <w:t>:</w:t>
      </w:r>
      <w:r>
        <w:rPr>
          <w:rFonts w:hint="eastAsia" w:ascii="仿宋" w:hAnsi="仿宋" w:eastAsia="仿宋"/>
          <w:b/>
          <w:sz w:val="32"/>
          <w:szCs w:val="32"/>
        </w:rPr>
        <w:t>交通运输</w:t>
      </w:r>
      <w:r>
        <w:rPr>
          <w:rFonts w:hint="eastAsia" w:ascii="仿宋" w:hAnsi="仿宋" w:eastAsia="仿宋"/>
          <w:b/>
          <w:bCs/>
          <w:sz w:val="32"/>
          <w:szCs w:val="32"/>
        </w:rPr>
        <w:t>支出</w:t>
      </w:r>
      <w:r>
        <w:rPr>
          <w:rFonts w:hint="eastAsia" w:ascii="仿宋" w:hAnsi="仿宋" w:eastAsia="仿宋"/>
          <w:sz w:val="32"/>
          <w:szCs w:val="32"/>
        </w:rPr>
        <w:t>782.19万元，占84.89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rPr>
        <w:t>101.3万元，占11</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19.17万元，占2.08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rPr>
        <w:t>18.77万元，占2.03</w:t>
      </w:r>
      <w:r>
        <w:rPr>
          <w:rFonts w:ascii="仿宋" w:hAnsi="仿宋" w:eastAsia="仿宋"/>
          <w:sz w:val="32"/>
          <w:szCs w:val="32"/>
        </w:rPr>
        <w:t>%</w:t>
      </w:r>
      <w:r>
        <w:rPr>
          <w:rFonts w:hint="eastAsia" w:ascii="仿宋" w:hAnsi="仿宋" w:eastAsia="仿宋"/>
          <w:sz w:val="32"/>
          <w:szCs w:val="32"/>
        </w:rPr>
        <w:t>。</w:t>
      </w:r>
    </w:p>
    <w:p>
      <w:pPr>
        <w:pStyle w:val="2"/>
        <w:spacing w:before="93"/>
      </w:pPr>
      <w:r>
        <w:drawing>
          <wp:inline distT="0" distB="0" distL="0" distR="0">
            <wp:extent cx="5019675" cy="1752600"/>
            <wp:effectExtent l="0" t="0" r="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3" w:firstLineChars="200"/>
        <w:outlineLvl w:val="2"/>
        <w:rPr>
          <w:rFonts w:hint="eastAsia" w:ascii="仿宋" w:hAnsi="仿宋" w:eastAsia="仿宋"/>
          <w:b/>
          <w:sz w:val="32"/>
          <w:szCs w:val="32"/>
          <w:lang w:eastAsia="zh-CN"/>
        </w:rPr>
      </w:pPr>
      <w:r>
        <w:rPr>
          <w:rFonts w:hint="eastAsia" w:ascii="仿宋" w:hAnsi="仿宋" w:eastAsia="仿宋"/>
          <w:b/>
          <w:sz w:val="32"/>
          <w:szCs w:val="32"/>
        </w:rPr>
        <w:t>（三）一般公共预算财政拨款支出决算具体情况</w:t>
      </w:r>
      <w:r>
        <w:rPr>
          <w:rFonts w:hint="eastAsia" w:ascii="仿宋" w:hAnsi="仿宋" w:eastAsia="仿宋"/>
          <w:b/>
          <w:sz w:val="32"/>
          <w:szCs w:val="32"/>
          <w:lang w:eastAsia="zh-CN"/>
        </w:rPr>
        <w:t>。</w:t>
      </w:r>
    </w:p>
    <w:p>
      <w:pPr>
        <w:spacing w:line="600" w:lineRule="exact"/>
        <w:ind w:firstLine="643" w:firstLineChars="200"/>
        <w:outlineLvl w:val="2"/>
        <w:rPr>
          <w:rFonts w:ascii="仿宋" w:hAnsi="仿宋" w:eastAsia="仿宋"/>
          <w:sz w:val="32"/>
          <w:szCs w:val="32"/>
        </w:rPr>
      </w:pPr>
      <w:r>
        <w:rPr>
          <w:rFonts w:hint="eastAsia" w:ascii="仿宋" w:hAnsi="仿宋" w:eastAsia="仿宋"/>
          <w:b/>
          <w:sz w:val="32"/>
          <w:szCs w:val="32"/>
        </w:rPr>
        <w:t>2023年度一般公共预算支出决算数为921.43万元</w:t>
      </w:r>
      <w:r>
        <w:rPr>
          <w:rFonts w:hint="eastAsia" w:ascii="仿宋" w:hAnsi="仿宋" w:eastAsia="仿宋"/>
          <w:sz w:val="32"/>
          <w:szCs w:val="32"/>
        </w:rPr>
        <w:t>，</w:t>
      </w:r>
      <w:r>
        <w:rPr>
          <w:rStyle w:val="18"/>
          <w:rFonts w:hint="eastAsia" w:ascii="仿宋" w:hAnsi="仿宋" w:eastAsia="仿宋"/>
          <w:bCs/>
          <w:sz w:val="32"/>
          <w:szCs w:val="32"/>
        </w:rPr>
        <w:t>完成预算100</w:t>
      </w:r>
      <w:r>
        <w:rPr>
          <w:rStyle w:val="18"/>
          <w:rFonts w:ascii="仿宋" w:hAnsi="仿宋" w:eastAsia="仿宋"/>
          <w:bCs/>
          <w:sz w:val="32"/>
          <w:szCs w:val="32"/>
        </w:rPr>
        <w:t>%</w:t>
      </w:r>
      <w:r>
        <w:rPr>
          <w:rStyle w:val="18"/>
          <w:rFonts w:hint="eastAsia" w:ascii="仿宋" w:hAnsi="仿宋" w:eastAsia="仿宋"/>
          <w:bCs/>
          <w:sz w:val="32"/>
          <w:szCs w:val="32"/>
        </w:rPr>
        <w:t>。其中：</w:t>
      </w:r>
    </w:p>
    <w:p>
      <w:pPr>
        <w:spacing w:line="600" w:lineRule="exact"/>
        <w:ind w:firstLine="643" w:firstLineChars="200"/>
        <w:rPr>
          <w:rFonts w:ascii="仿宋" w:hAnsi="仿宋" w:eastAsia="仿宋"/>
          <w:b/>
          <w:sz w:val="32"/>
          <w:szCs w:val="32"/>
        </w:rPr>
      </w:pPr>
      <w:r>
        <w:rPr>
          <w:rStyle w:val="18"/>
          <w:rFonts w:ascii="仿宋" w:hAnsi="仿宋" w:eastAsia="仿宋"/>
          <w:bCs/>
          <w:sz w:val="32"/>
          <w:szCs w:val="32"/>
        </w:rPr>
        <w:t>1.</w:t>
      </w:r>
      <w:r>
        <w:rPr>
          <w:rStyle w:val="18"/>
          <w:rFonts w:hint="eastAsia" w:ascii="仿宋" w:hAnsi="仿宋" w:eastAsia="仿宋"/>
          <w:bCs/>
          <w:sz w:val="32"/>
          <w:szCs w:val="32"/>
        </w:rPr>
        <w:t>交通运输支出（类）公路水路运输（款）公路养护（项）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支出决算为527.46万元，完成预算100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8"/>
          <w:rFonts w:ascii="仿宋" w:hAnsi="仿宋" w:eastAsia="仿宋"/>
          <w:bCs/>
          <w:sz w:val="32"/>
          <w:szCs w:val="32"/>
        </w:rPr>
        <w:t>2.</w:t>
      </w:r>
      <w:r>
        <w:rPr>
          <w:rStyle w:val="18"/>
          <w:rFonts w:hint="eastAsia" w:ascii="仿宋" w:hAnsi="仿宋" w:eastAsia="仿宋"/>
          <w:bCs/>
          <w:sz w:val="32"/>
          <w:szCs w:val="32"/>
        </w:rPr>
        <w:t>交通运输支出（类）公路水路运输（款）公路和运输安全（项）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支出决算为254.73万元，完成预算100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8"/>
          <w:rFonts w:ascii="仿宋" w:hAnsi="仿宋" w:eastAsia="仿宋"/>
          <w:bCs/>
          <w:sz w:val="32"/>
          <w:szCs w:val="32"/>
        </w:rPr>
        <w:t>3.</w:t>
      </w:r>
      <w:r>
        <w:rPr>
          <w:rStyle w:val="18"/>
          <w:rFonts w:hint="eastAsia" w:ascii="仿宋" w:hAnsi="仿宋" w:eastAsia="仿宋"/>
          <w:bCs/>
          <w:sz w:val="32"/>
          <w:szCs w:val="32"/>
        </w:rPr>
        <w:t xml:space="preserve"> 社会保障和就业支出（类）行政事业单位养老支出（款）事业单位离退休（项）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支出决算为79.96万元，完成预算100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8"/>
          <w:rFonts w:ascii="仿宋" w:hAnsi="仿宋" w:eastAsia="仿宋"/>
          <w:bCs/>
          <w:sz w:val="32"/>
          <w:szCs w:val="32"/>
        </w:rPr>
        <w:t>4.</w:t>
      </w:r>
      <w:r>
        <w:rPr>
          <w:rStyle w:val="18"/>
          <w:rFonts w:hint="eastAsia" w:ascii="仿宋" w:hAnsi="仿宋" w:eastAsia="仿宋"/>
          <w:bCs/>
          <w:sz w:val="32"/>
          <w:szCs w:val="32"/>
        </w:rPr>
        <w:t xml:space="preserve"> 社会保障和就业支出（类）行政事业单位养老支出（款）机关事业单位养老保险缴费支出（项）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支出决算为21.34万元，完成预算100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w:t>
      </w:r>
    </w:p>
    <w:p>
      <w:pPr>
        <w:spacing w:line="600" w:lineRule="exact"/>
        <w:ind w:firstLine="643" w:firstLineChars="200"/>
        <w:rPr>
          <w:rStyle w:val="18"/>
          <w:rFonts w:ascii="仿宋" w:hAnsi="仿宋" w:eastAsia="仿宋"/>
          <w:b w:val="0"/>
          <w:bCs/>
          <w:sz w:val="32"/>
          <w:szCs w:val="32"/>
        </w:rPr>
      </w:pPr>
      <w:r>
        <w:rPr>
          <w:rStyle w:val="18"/>
          <w:rFonts w:hint="eastAsia" w:ascii="仿宋" w:hAnsi="仿宋" w:eastAsia="仿宋"/>
          <w:bCs/>
          <w:sz w:val="32"/>
          <w:szCs w:val="32"/>
        </w:rPr>
        <w:t>5</w:t>
      </w:r>
      <w:r>
        <w:rPr>
          <w:rStyle w:val="18"/>
          <w:rFonts w:ascii="仿宋" w:hAnsi="仿宋" w:eastAsia="仿宋"/>
          <w:bCs/>
          <w:sz w:val="32"/>
          <w:szCs w:val="32"/>
        </w:rPr>
        <w:t>.</w:t>
      </w:r>
      <w:r>
        <w:rPr>
          <w:rFonts w:hint="eastAsia" w:ascii="仿宋" w:hAnsi="仿宋" w:eastAsia="仿宋"/>
          <w:b/>
          <w:bCs/>
          <w:sz w:val="32"/>
          <w:szCs w:val="32"/>
        </w:rPr>
        <w:t>卫生健康支出</w:t>
      </w:r>
      <w:r>
        <w:rPr>
          <w:rStyle w:val="18"/>
          <w:rFonts w:hint="eastAsia" w:ascii="仿宋" w:hAnsi="仿宋" w:eastAsia="仿宋"/>
          <w:bCs/>
          <w:sz w:val="32"/>
          <w:szCs w:val="32"/>
        </w:rPr>
        <w:t>（类）行政事业单位医疗（款）事业单位医疗（项）</w:t>
      </w:r>
      <w:r>
        <w:rPr>
          <w:rStyle w:val="18"/>
          <w:rFonts w:ascii="仿宋" w:hAnsi="仿宋" w:eastAsia="仿宋"/>
          <w:bCs/>
          <w:sz w:val="32"/>
          <w:szCs w:val="32"/>
        </w:rPr>
        <w:t>:</w:t>
      </w:r>
      <w:r>
        <w:rPr>
          <w:rStyle w:val="18"/>
          <w:rFonts w:hint="eastAsia" w:ascii="仿宋" w:hAnsi="仿宋" w:eastAsia="仿宋"/>
          <w:b w:val="0"/>
          <w:bCs/>
          <w:sz w:val="32"/>
          <w:szCs w:val="32"/>
        </w:rPr>
        <w:t>支出决算为11.63万元，完成预算100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w:t>
      </w:r>
    </w:p>
    <w:p>
      <w:pPr>
        <w:spacing w:line="600" w:lineRule="exact"/>
        <w:ind w:firstLine="420" w:firstLineChars="200"/>
        <w:rPr>
          <w:rStyle w:val="18"/>
          <w:rFonts w:ascii="仿宋" w:hAnsi="仿宋" w:eastAsia="仿宋"/>
          <w:b w:val="0"/>
          <w:bCs/>
          <w:sz w:val="32"/>
          <w:szCs w:val="32"/>
        </w:rPr>
      </w:pPr>
      <w:r>
        <w:rPr>
          <w:rFonts w:hint="eastAsia"/>
        </w:rPr>
        <w:t xml:space="preserve">  </w:t>
      </w:r>
      <w:r>
        <w:rPr>
          <w:rStyle w:val="18"/>
          <w:rFonts w:hint="eastAsia" w:ascii="仿宋" w:hAnsi="仿宋" w:eastAsia="仿宋"/>
          <w:bCs/>
          <w:sz w:val="32"/>
          <w:szCs w:val="32"/>
        </w:rPr>
        <w:t>6</w:t>
      </w:r>
      <w:r>
        <w:rPr>
          <w:rStyle w:val="18"/>
          <w:rFonts w:ascii="仿宋" w:hAnsi="仿宋" w:eastAsia="仿宋"/>
          <w:bCs/>
          <w:sz w:val="32"/>
          <w:szCs w:val="32"/>
        </w:rPr>
        <w:t>.</w:t>
      </w:r>
      <w:r>
        <w:rPr>
          <w:rFonts w:hint="eastAsia" w:ascii="仿宋" w:hAnsi="仿宋" w:eastAsia="仿宋"/>
          <w:b/>
          <w:bCs/>
          <w:sz w:val="32"/>
          <w:szCs w:val="32"/>
        </w:rPr>
        <w:t>卫生健康支出</w:t>
      </w:r>
      <w:r>
        <w:rPr>
          <w:rStyle w:val="18"/>
          <w:rFonts w:hint="eastAsia" w:ascii="仿宋" w:hAnsi="仿宋" w:eastAsia="仿宋"/>
          <w:bCs/>
          <w:sz w:val="32"/>
          <w:szCs w:val="32"/>
        </w:rPr>
        <w:t>（类）行政事业单位医疗（款）其他行政事业单位医疗（项）</w:t>
      </w:r>
      <w:r>
        <w:rPr>
          <w:rStyle w:val="18"/>
          <w:rFonts w:ascii="仿宋" w:hAnsi="仿宋" w:eastAsia="仿宋"/>
          <w:bCs/>
          <w:sz w:val="32"/>
          <w:szCs w:val="32"/>
        </w:rPr>
        <w:t>:</w:t>
      </w:r>
      <w:r>
        <w:rPr>
          <w:rStyle w:val="18"/>
          <w:rFonts w:hint="eastAsia" w:ascii="仿宋" w:hAnsi="仿宋" w:eastAsia="仿宋"/>
          <w:b w:val="0"/>
          <w:bCs/>
          <w:sz w:val="32"/>
          <w:szCs w:val="32"/>
        </w:rPr>
        <w:t>支出决算为7.54万元，完成预算100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w:t>
      </w:r>
    </w:p>
    <w:p>
      <w:pPr>
        <w:spacing w:line="600" w:lineRule="exact"/>
        <w:ind w:firstLine="643" w:firstLineChars="200"/>
        <w:rPr>
          <w:rFonts w:ascii="仿宋" w:hAnsi="仿宋" w:eastAsia="仿宋"/>
          <w:bCs/>
          <w:sz w:val="32"/>
          <w:szCs w:val="32"/>
        </w:rPr>
      </w:pPr>
      <w:r>
        <w:rPr>
          <w:rStyle w:val="18"/>
          <w:rFonts w:hint="eastAsia" w:ascii="仿宋" w:hAnsi="仿宋" w:eastAsia="仿宋"/>
          <w:bCs/>
          <w:sz w:val="32"/>
          <w:szCs w:val="32"/>
        </w:rPr>
        <w:t>7</w:t>
      </w:r>
      <w:r>
        <w:rPr>
          <w:rStyle w:val="18"/>
          <w:rFonts w:ascii="仿宋" w:hAnsi="仿宋" w:eastAsia="仿宋"/>
          <w:bCs/>
          <w:sz w:val="32"/>
          <w:szCs w:val="32"/>
        </w:rPr>
        <w:t>.</w:t>
      </w:r>
      <w:r>
        <w:rPr>
          <w:rFonts w:hint="eastAsia" w:ascii="仿宋" w:hAnsi="仿宋" w:eastAsia="仿宋"/>
          <w:b/>
          <w:bCs/>
          <w:sz w:val="32"/>
          <w:szCs w:val="32"/>
        </w:rPr>
        <w:t>住房保障支出</w:t>
      </w:r>
      <w:r>
        <w:rPr>
          <w:rStyle w:val="18"/>
          <w:rFonts w:hint="eastAsia" w:ascii="仿宋" w:hAnsi="仿宋" w:eastAsia="仿宋"/>
          <w:bCs/>
          <w:sz w:val="32"/>
          <w:szCs w:val="32"/>
        </w:rPr>
        <w:t>（类）住房改革支出（款）住房公积金（项）</w:t>
      </w:r>
      <w:r>
        <w:rPr>
          <w:rStyle w:val="18"/>
          <w:rFonts w:ascii="仿宋" w:hAnsi="仿宋" w:eastAsia="仿宋"/>
          <w:bCs/>
          <w:sz w:val="32"/>
          <w:szCs w:val="32"/>
        </w:rPr>
        <w:t>:</w:t>
      </w:r>
      <w:r>
        <w:rPr>
          <w:rStyle w:val="18"/>
          <w:rFonts w:hint="eastAsia" w:ascii="仿宋" w:hAnsi="仿宋" w:eastAsia="仿宋"/>
          <w:b w:val="0"/>
          <w:bCs/>
          <w:sz w:val="32"/>
          <w:szCs w:val="32"/>
        </w:rPr>
        <w:t>支出决算为18.77万元，完成预算100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w:t>
      </w:r>
    </w:p>
    <w:p>
      <w:pPr>
        <w:tabs>
          <w:tab w:val="right" w:pos="8306"/>
        </w:tabs>
        <w:spacing w:line="600" w:lineRule="exact"/>
        <w:ind w:firstLine="640"/>
        <w:outlineLvl w:val="1"/>
        <w:rPr>
          <w:rStyle w:val="22"/>
        </w:rPr>
      </w:pPr>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2"/>
          <w:rFonts w:hint="eastAsia" w:ascii="黑体" w:hAnsi="黑体" w:eastAsia="黑体"/>
          <w:b w:val="0"/>
        </w:rPr>
        <w:t>般公共预算财政拨款基本支出决算情况说明</w:t>
      </w:r>
      <w:r>
        <w:rPr>
          <w:rStyle w:val="22"/>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2023年度一般公共预算财政拨款基本支出341.66万元，其中：</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人员经费323.95万元，主要包括：基本工资、津贴补贴、绩效工资、机关事业单位基本养老保险缴费、其他社会保障缴费、其他工资福利支出、生活补助、医疗费补助、住房公积金、其他对个人和家庭的补助支出。</w:t>
      </w:r>
    </w:p>
    <w:p>
      <w:pPr>
        <w:spacing w:line="600" w:lineRule="exact"/>
        <w:ind w:firstLine="645"/>
        <w:rPr>
          <w:rFonts w:ascii="仿宋" w:hAnsi="仿宋" w:eastAsia="仿宋"/>
          <w:sz w:val="32"/>
          <w:szCs w:val="32"/>
        </w:rPr>
      </w:pPr>
      <w:r>
        <w:rPr>
          <w:rFonts w:hint="eastAsia" w:ascii="仿宋" w:hAnsi="仿宋" w:eastAsia="仿宋"/>
          <w:sz w:val="32"/>
          <w:szCs w:val="32"/>
        </w:rPr>
        <w:t>　　公用经费17.71万元，主要包括：办公费、咨询费、水费、电费、邮电费、差旅费、维修（护）费、公务接待费、劳务费、工会经费、福利费、其他商品和服务支出。</w:t>
      </w:r>
    </w:p>
    <w:p>
      <w:pPr>
        <w:spacing w:line="600" w:lineRule="exact"/>
        <w:ind w:firstLine="640"/>
        <w:outlineLvl w:val="1"/>
        <w:rPr>
          <w:rStyle w:val="22"/>
          <w:rFonts w:ascii="黑体" w:hAnsi="黑体" w:eastAsia="黑体"/>
          <w:b w:val="0"/>
        </w:rPr>
      </w:pPr>
      <w:r>
        <w:rPr>
          <w:rFonts w:hint="eastAsia" w:ascii="黑体" w:eastAsia="黑体"/>
          <w:sz w:val="32"/>
          <w:szCs w:val="32"/>
        </w:rPr>
        <w:t>七、</w:t>
      </w:r>
      <w:r>
        <w:rPr>
          <w:rStyle w:val="22"/>
          <w:rFonts w:hint="eastAsia" w:ascii="黑体" w:hAnsi="黑体" w:eastAsia="黑体"/>
          <w:b w:val="0"/>
        </w:rPr>
        <w:t>财政拨款</w:t>
      </w:r>
      <w:r>
        <w:rPr>
          <w:rStyle w:val="22"/>
          <w:rFonts w:hint="eastAsia" w:ascii="黑体" w:hAnsi="黑体" w:eastAsia="黑体"/>
        </w:rPr>
        <w:t>“</w:t>
      </w:r>
      <w:r>
        <w:rPr>
          <w:rStyle w:val="22"/>
          <w:rFonts w:hint="eastAsia" w:ascii="黑体" w:hAnsi="黑体" w:eastAsia="黑体"/>
          <w:b w:val="0"/>
        </w:rPr>
        <w:t>三公”经费支出决算情况说明</w:t>
      </w:r>
    </w:p>
    <w:p>
      <w:pPr>
        <w:spacing w:line="600" w:lineRule="exact"/>
        <w:ind w:firstLine="640"/>
        <w:outlineLvl w:val="2"/>
        <w:rPr>
          <w:rFonts w:hint="eastAsia" w:ascii="仿宋" w:hAnsi="仿宋" w:eastAsia="仿宋"/>
          <w:b/>
          <w:sz w:val="32"/>
          <w:szCs w:val="32"/>
          <w:lang w:eastAsia="zh-CN"/>
        </w:rPr>
      </w:pPr>
      <w:r>
        <w:rPr>
          <w:rFonts w:hint="eastAsia" w:ascii="仿宋" w:hAnsi="仿宋" w:eastAsia="仿宋"/>
          <w:b/>
          <w:sz w:val="32"/>
          <w:szCs w:val="32"/>
        </w:rPr>
        <w:t>（一）“三公”经费财政拨款支出决算总体情况说明</w:t>
      </w:r>
      <w:r>
        <w:rPr>
          <w:rFonts w:hint="eastAsia" w:ascii="仿宋" w:hAnsi="仿宋" w:eastAsia="仿宋"/>
          <w:b/>
          <w:sz w:val="32"/>
          <w:szCs w:val="32"/>
          <w:lang w:eastAsia="zh-CN"/>
        </w:rPr>
        <w:t>。</w:t>
      </w:r>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2023年度“三公”经费财政拨款支出决算为0.06万元，完成预算100</w:t>
      </w:r>
      <w:r>
        <w:rPr>
          <w:rFonts w:ascii="仿宋" w:hAnsi="仿宋" w:eastAsia="仿宋"/>
          <w:sz w:val="32"/>
          <w:szCs w:val="32"/>
        </w:rPr>
        <w:t>%</w:t>
      </w:r>
      <w:r>
        <w:rPr>
          <w:rFonts w:hint="eastAsia" w:ascii="仿宋" w:hAnsi="仿宋" w:eastAsia="仿宋"/>
          <w:sz w:val="32"/>
          <w:szCs w:val="32"/>
        </w:rPr>
        <w:t>，较上年度减少0.0782万元，下降42.62%。决算数与预算数持平。</w:t>
      </w:r>
    </w:p>
    <w:p>
      <w:pPr>
        <w:spacing w:line="600" w:lineRule="exact"/>
        <w:ind w:firstLine="640"/>
        <w:outlineLvl w:val="2"/>
        <w:rPr>
          <w:rFonts w:hint="eastAsia" w:ascii="仿宋" w:hAnsi="仿宋" w:eastAsia="仿宋"/>
          <w:b/>
          <w:sz w:val="32"/>
          <w:szCs w:val="32"/>
          <w:lang w:eastAsia="zh-CN"/>
        </w:rPr>
      </w:pPr>
      <w:r>
        <w:rPr>
          <w:rFonts w:hint="eastAsia" w:ascii="仿宋" w:hAnsi="仿宋" w:eastAsia="仿宋"/>
          <w:b/>
          <w:sz w:val="32"/>
          <w:szCs w:val="32"/>
        </w:rPr>
        <w:t>（二）“三公”经费财政拨款支出决算具体情况说明</w:t>
      </w:r>
      <w:r>
        <w:rPr>
          <w:rFonts w:hint="eastAsia" w:ascii="仿宋" w:hAnsi="仿宋" w:eastAsia="仿宋"/>
          <w:b/>
          <w:sz w:val="32"/>
          <w:szCs w:val="32"/>
          <w:lang w:eastAsia="zh-CN"/>
        </w:rPr>
        <w:t>。</w:t>
      </w:r>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；公务接待费支出决算0.06万元，占100</w:t>
      </w:r>
      <w:r>
        <w:rPr>
          <w:rFonts w:ascii="仿宋" w:hAnsi="仿宋" w:eastAsia="仿宋"/>
          <w:sz w:val="32"/>
          <w:szCs w:val="32"/>
        </w:rPr>
        <w:t>%</w:t>
      </w:r>
      <w:r>
        <w:rPr>
          <w:rFonts w:hint="eastAsia" w:ascii="仿宋" w:hAnsi="仿宋" w:eastAsia="仿宋"/>
          <w:sz w:val="32"/>
          <w:szCs w:val="32"/>
        </w:rPr>
        <w:t>。具体情况如下：</w:t>
      </w:r>
    </w:p>
    <w:p>
      <w:pPr>
        <w:pStyle w:val="2"/>
        <w:spacing w:before="93"/>
      </w:pPr>
      <w:r>
        <w:drawing>
          <wp:inline distT="0" distB="0" distL="0" distR="0">
            <wp:extent cx="4505325" cy="162877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 w:hAnsi="仿宋" w:eastAsia="仿宋"/>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 w:hAnsi="仿宋" w:eastAsia="仿宋"/>
          <w:sz w:val="32"/>
          <w:szCs w:val="32"/>
        </w:rPr>
        <w:t>全年安排因公出国（境）团组0次，出国（境）0人。因公出国（境）支出决算与2022年度持平。</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 w:hAnsi="仿宋" w:eastAsia="仿宋"/>
          <w:sz w:val="32"/>
          <w:szCs w:val="32"/>
        </w:rPr>
        <w:t>公务用车购置及运行维护费支出决算与2022年度持平</w:t>
      </w:r>
      <w:r>
        <w:rPr>
          <w:rFonts w:hint="eastAsia" w:ascii="仿宋_GB2312" w:eastAsia="仿宋_GB2312"/>
          <w:sz w:val="32"/>
          <w:szCs w:val="32"/>
        </w:rPr>
        <w:t>。</w:t>
      </w:r>
    </w:p>
    <w:p>
      <w:pPr>
        <w:spacing w:line="600" w:lineRule="exact"/>
        <w:ind w:firstLine="640" w:firstLineChars="200"/>
        <w:rPr>
          <w:rFonts w:ascii="仿宋" w:hAnsi="仿宋" w:eastAsia="仿宋"/>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w:t>
      </w:r>
      <w:r>
        <w:rPr>
          <w:rFonts w:hint="eastAsia" w:ascii="仿宋" w:hAnsi="仿宋" w:eastAsia="仿宋"/>
          <w:sz w:val="32"/>
          <w:szCs w:val="32"/>
        </w:rPr>
        <w:t>全年按规定更新购置公务用车0辆，其中：轿车0辆、金额0万元，越野车0辆、金额0万元，载客汽车0辆、金额0万元。截至2023年</w:t>
      </w:r>
      <w:r>
        <w:rPr>
          <w:rFonts w:ascii="仿宋" w:hAnsi="仿宋" w:eastAsia="仿宋"/>
          <w:sz w:val="32"/>
          <w:szCs w:val="32"/>
        </w:rPr>
        <w:t>12</w:t>
      </w:r>
      <w:r>
        <w:rPr>
          <w:rFonts w:hint="eastAsia" w:ascii="仿宋" w:hAnsi="仿宋" w:eastAsia="仿宋"/>
          <w:sz w:val="32"/>
          <w:szCs w:val="32"/>
        </w:rPr>
        <w:t>月31日，单位共有公务用车0辆，其中：轿车0辆、越野车0辆、载客汽车0辆。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0万元。</w:t>
      </w:r>
    </w:p>
    <w:p>
      <w:pPr>
        <w:spacing w:line="600" w:lineRule="exact"/>
        <w:ind w:firstLine="640"/>
        <w:rPr>
          <w:rFonts w:ascii="仿宋" w:hAnsi="仿宋" w:eastAsia="仿宋"/>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0.06万元，</w:t>
      </w:r>
      <w:r>
        <w:rPr>
          <w:rStyle w:val="18"/>
          <w:rFonts w:hint="eastAsia" w:ascii="仿宋" w:hAnsi="仿宋" w:eastAsia="仿宋"/>
          <w:b w:val="0"/>
          <w:bCs/>
          <w:sz w:val="32"/>
          <w:szCs w:val="32"/>
        </w:rPr>
        <w:t>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 w:hAnsi="仿宋" w:eastAsia="仿宋"/>
          <w:sz w:val="32"/>
          <w:szCs w:val="32"/>
        </w:rPr>
        <w:t>公务接待费支出决算比2022年度减少0.0782万元，下降42.62</w:t>
      </w:r>
      <w:r>
        <w:rPr>
          <w:rFonts w:ascii="仿宋" w:hAnsi="仿宋" w:eastAsia="仿宋"/>
          <w:sz w:val="32"/>
          <w:szCs w:val="32"/>
        </w:rPr>
        <w:t>%</w:t>
      </w:r>
      <w:r>
        <w:rPr>
          <w:rFonts w:hint="eastAsia" w:ascii="仿宋" w:hAnsi="仿宋" w:eastAsia="仿宋"/>
          <w:sz w:val="32"/>
          <w:szCs w:val="32"/>
        </w:rPr>
        <w:t>。主要原因是为落实政府过紧日子要求，压减了接待支出，非必要不接待。其中：</w:t>
      </w:r>
    </w:p>
    <w:p>
      <w:pPr>
        <w:spacing w:line="600" w:lineRule="exact"/>
        <w:ind w:firstLine="640"/>
        <w:rPr>
          <w:rFonts w:ascii="仿宋" w:hAnsi="仿宋" w:eastAsia="仿宋"/>
          <w:sz w:val="32"/>
          <w:szCs w:val="32"/>
        </w:rPr>
      </w:pPr>
      <w:r>
        <w:rPr>
          <w:rFonts w:hint="eastAsia" w:ascii="仿宋" w:hAnsi="仿宋" w:eastAsia="仿宋"/>
          <w:b/>
          <w:sz w:val="32"/>
          <w:szCs w:val="32"/>
        </w:rPr>
        <w:t>国内公务接待支出</w:t>
      </w:r>
      <w:r>
        <w:rPr>
          <w:rFonts w:hint="eastAsia" w:ascii="仿宋" w:hAnsi="仿宋" w:eastAsia="仿宋"/>
          <w:sz w:val="32"/>
          <w:szCs w:val="32"/>
        </w:rPr>
        <w:t>0.06万元，全部用于上级部门执行公务、开展业务活动开支的用餐费。国内公务接待1批次，9人次（不包括陪同人员），共计支出0.06万元，具体内容为</w:t>
      </w:r>
      <w:r>
        <w:rPr>
          <w:rFonts w:hint="eastAsia" w:ascii="仿宋" w:hAnsi="仿宋" w:eastAsia="仿宋"/>
          <w:sz w:val="30"/>
          <w:szCs w:val="30"/>
        </w:rPr>
        <w:t>市公路事业发展中心2023年普通省道路况检测评定1批次共9人接待费630元</w:t>
      </w:r>
      <w:r>
        <w:rPr>
          <w:rFonts w:hint="eastAsia" w:ascii="仿宋" w:hAnsi="仿宋" w:eastAsia="仿宋"/>
          <w:sz w:val="32"/>
          <w:szCs w:val="32"/>
        </w:rPr>
        <w:t>。</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0万元，共计支出0万元。</w:t>
      </w:r>
    </w:p>
    <w:p>
      <w:pPr>
        <w:spacing w:line="600" w:lineRule="exact"/>
        <w:ind w:firstLine="640"/>
        <w:outlineLvl w:val="1"/>
        <w:rPr>
          <w:rStyle w:val="22"/>
          <w:rFonts w:ascii="黑体" w:hAnsi="黑体" w:eastAsia="黑体"/>
        </w:rPr>
      </w:pPr>
      <w:r>
        <w:rPr>
          <w:rFonts w:hint="eastAsia" w:ascii="黑体" w:eastAsia="黑体"/>
          <w:sz w:val="32"/>
          <w:szCs w:val="32"/>
        </w:rPr>
        <w:t>八、</w:t>
      </w:r>
      <w:r>
        <w:rPr>
          <w:rStyle w:val="22"/>
          <w:rFonts w:hint="eastAsia" w:ascii="黑体" w:hAnsi="黑体" w:eastAsia="黑体"/>
          <w:b w:val="0"/>
        </w:rPr>
        <w:t>政府性基金预算支出决算情况说明</w:t>
      </w:r>
    </w:p>
    <w:p>
      <w:pPr>
        <w:spacing w:line="600" w:lineRule="exact"/>
        <w:ind w:firstLine="640"/>
        <w:rPr>
          <w:rFonts w:ascii="仿宋_GB2312" w:eastAsia="仿宋_GB2312"/>
          <w:sz w:val="32"/>
          <w:szCs w:val="32"/>
        </w:rPr>
      </w:pPr>
      <w:r>
        <w:rPr>
          <w:rFonts w:hint="eastAsia" w:ascii="仿宋" w:hAnsi="仿宋" w:eastAsia="仿宋"/>
          <w:sz w:val="32"/>
          <w:szCs w:val="32"/>
        </w:rPr>
        <w:t>2023年度政府性基金预算财政拨款支出0万元。</w:t>
      </w:r>
      <w:r>
        <w:rPr>
          <w:rFonts w:hint="eastAsia" w:ascii="仿宋" w:hAnsi="仿宋" w:eastAsia="仿宋" w:cs="FZFSJW--GB1-0"/>
          <w:kern w:val="0"/>
          <w:sz w:val="30"/>
          <w:szCs w:val="30"/>
        </w:rPr>
        <w:t>本部门没有政府性基金拨款收入，也没有使用政府性基金安排的支出。</w:t>
      </w:r>
    </w:p>
    <w:p>
      <w:pPr>
        <w:spacing w:line="600" w:lineRule="exact"/>
        <w:ind w:firstLine="640" w:firstLineChars="200"/>
        <w:outlineLvl w:val="1"/>
        <w:rPr>
          <w:rStyle w:val="22"/>
          <w:rFonts w:ascii="黑体" w:hAnsi="黑体" w:eastAsia="黑体"/>
          <w:b w:val="0"/>
        </w:rPr>
      </w:pPr>
      <w:r>
        <w:rPr>
          <w:rStyle w:val="22"/>
          <w:rFonts w:hint="eastAsia" w:ascii="黑体" w:hAnsi="黑体" w:eastAsia="黑体"/>
          <w:b w:val="0"/>
        </w:rPr>
        <w:t>九、国有资本经营预算支出决算情况说明</w:t>
      </w:r>
    </w:p>
    <w:p>
      <w:pPr>
        <w:autoSpaceDE w:val="0"/>
        <w:autoSpaceDN w:val="0"/>
        <w:adjustRightInd w:val="0"/>
        <w:ind w:firstLine="640" w:firstLineChars="200"/>
        <w:jc w:val="left"/>
        <w:rPr>
          <w:rFonts w:ascii="仿宋" w:hAnsi="仿宋" w:eastAsia="仿宋"/>
          <w:sz w:val="30"/>
          <w:szCs w:val="30"/>
        </w:rPr>
      </w:pPr>
      <w:r>
        <w:rPr>
          <w:rFonts w:hint="eastAsia" w:ascii="仿宋" w:hAnsi="仿宋" w:eastAsia="仿宋"/>
          <w:sz w:val="32"/>
          <w:szCs w:val="32"/>
        </w:rPr>
        <w:t>2023年度国有资本经营预算财政拨款支出0万元。</w:t>
      </w:r>
      <w:r>
        <w:rPr>
          <w:rFonts w:hint="eastAsia" w:ascii="仿宋" w:hAnsi="仿宋" w:eastAsia="仿宋" w:cs="FZFSJW--GB1-0"/>
          <w:kern w:val="0"/>
          <w:sz w:val="30"/>
          <w:szCs w:val="30"/>
        </w:rPr>
        <w:t>本部门没有国有资本经营预算拨款收入，也没有使用国有资本经营预算拨款安排的支出。</w:t>
      </w:r>
    </w:p>
    <w:p>
      <w:pPr>
        <w:spacing w:line="600" w:lineRule="exact"/>
        <w:ind w:firstLine="640" w:firstLineChars="200"/>
        <w:outlineLvl w:val="1"/>
        <w:rPr>
          <w:rStyle w:val="22"/>
          <w:rFonts w:ascii="黑体" w:hAnsi="黑体" w:eastAsia="黑体"/>
          <w:b w:val="0"/>
        </w:rPr>
      </w:pPr>
      <w:r>
        <w:rPr>
          <w:rStyle w:val="22"/>
          <w:rFonts w:hint="eastAsia" w:ascii="黑体" w:hAnsi="黑体" w:eastAsia="黑体"/>
          <w:b w:val="0"/>
        </w:rPr>
        <w:t>十、其他重要事项的情况说明</w:t>
      </w:r>
    </w:p>
    <w:p>
      <w:pPr>
        <w:spacing w:line="600" w:lineRule="exact"/>
        <w:ind w:firstLine="643" w:firstLineChars="200"/>
        <w:outlineLvl w:val="2"/>
        <w:rPr>
          <w:rFonts w:hint="eastAsia" w:ascii="仿宋" w:hAnsi="仿宋" w:eastAsia="仿宋"/>
          <w:sz w:val="32"/>
          <w:szCs w:val="32"/>
          <w:lang w:eastAsia="zh-CN"/>
        </w:rPr>
      </w:pPr>
      <w:r>
        <w:rPr>
          <w:rFonts w:hint="eastAsia" w:ascii="仿宋" w:hAnsi="仿宋" w:eastAsia="仿宋"/>
          <w:b/>
          <w:sz w:val="32"/>
          <w:szCs w:val="32"/>
        </w:rPr>
        <w:t>（一）机关运行经费支出情况</w:t>
      </w:r>
      <w:r>
        <w:rPr>
          <w:rFonts w:hint="eastAsia" w:ascii="仿宋" w:hAnsi="仿宋" w:eastAsia="仿宋"/>
          <w:b/>
          <w:sz w:val="32"/>
          <w:szCs w:val="32"/>
          <w:lang w:eastAsia="zh-CN"/>
        </w:rPr>
        <w:t>。</w:t>
      </w:r>
    </w:p>
    <w:p>
      <w:pPr>
        <w:spacing w:line="600" w:lineRule="exact"/>
        <w:ind w:firstLine="600" w:firstLineChars="200"/>
        <w:rPr>
          <w:rFonts w:ascii="仿宋" w:hAnsi="仿宋" w:eastAsia="仿宋"/>
          <w:b/>
          <w:sz w:val="30"/>
          <w:szCs w:val="30"/>
        </w:rPr>
      </w:pPr>
      <w:r>
        <w:rPr>
          <w:rFonts w:ascii="仿宋" w:hAnsi="仿宋" w:eastAsia="仿宋"/>
          <w:sz w:val="30"/>
          <w:szCs w:val="30"/>
        </w:rPr>
        <w:t>20</w:t>
      </w:r>
      <w:r>
        <w:rPr>
          <w:rFonts w:hint="eastAsia" w:ascii="仿宋" w:hAnsi="仿宋" w:eastAsia="仿宋"/>
          <w:sz w:val="30"/>
          <w:szCs w:val="30"/>
        </w:rPr>
        <w:t>23年，养路队机关运行经费支出0万元，与</w:t>
      </w:r>
      <w:r>
        <w:rPr>
          <w:rFonts w:ascii="仿宋" w:hAnsi="仿宋" w:eastAsia="仿宋"/>
          <w:sz w:val="30"/>
          <w:szCs w:val="30"/>
        </w:rPr>
        <w:t>20</w:t>
      </w:r>
      <w:r>
        <w:rPr>
          <w:rFonts w:hint="eastAsia" w:ascii="仿宋" w:hAnsi="仿宋" w:eastAsia="仿宋"/>
          <w:sz w:val="30"/>
          <w:szCs w:val="30"/>
        </w:rPr>
        <w:t>22年决算数持平。</w:t>
      </w:r>
      <w:r>
        <w:rPr>
          <w:rFonts w:hint="eastAsia" w:ascii="仿宋" w:hAnsi="仿宋" w:eastAsia="仿宋"/>
          <w:sz w:val="32"/>
          <w:szCs w:val="32"/>
        </w:rPr>
        <w:t>主要原因是盐边县</w:t>
      </w:r>
      <w:r>
        <w:rPr>
          <w:rFonts w:hint="eastAsia" w:ascii="仿宋" w:hAnsi="仿宋" w:eastAsia="仿宋"/>
          <w:sz w:val="32"/>
          <w:szCs w:val="32"/>
          <w:lang w:eastAsia="zh-CN"/>
        </w:rPr>
        <w:t>养路队</w:t>
      </w:r>
      <w:r>
        <w:rPr>
          <w:rFonts w:hint="eastAsia" w:ascii="仿宋" w:hAnsi="仿宋" w:eastAsia="仿宋"/>
          <w:sz w:val="32"/>
          <w:szCs w:val="32"/>
        </w:rPr>
        <w:t>为事业单位，按规定未使用机关运行的相关科目。</w:t>
      </w:r>
    </w:p>
    <w:p>
      <w:pPr>
        <w:autoSpaceDE w:val="0"/>
        <w:autoSpaceDN w:val="0"/>
        <w:adjustRightInd w:val="0"/>
        <w:spacing w:line="600" w:lineRule="exact"/>
        <w:ind w:firstLine="643" w:firstLineChars="200"/>
        <w:jc w:val="left"/>
        <w:outlineLvl w:val="2"/>
        <w:rPr>
          <w:rFonts w:hint="eastAsia" w:ascii="仿宋" w:hAnsi="仿宋" w:eastAsia="仿宋"/>
          <w:b/>
          <w:sz w:val="32"/>
          <w:szCs w:val="32"/>
          <w:lang w:eastAsia="zh-CN"/>
        </w:rPr>
      </w:pPr>
      <w:r>
        <w:rPr>
          <w:rFonts w:hint="eastAsia" w:ascii="仿宋" w:hAnsi="仿宋" w:eastAsia="仿宋"/>
          <w:b/>
          <w:sz w:val="32"/>
          <w:szCs w:val="32"/>
        </w:rPr>
        <w:t>（二）政府采购支出情况</w:t>
      </w:r>
      <w:r>
        <w:rPr>
          <w:rFonts w:hint="eastAsia" w:ascii="仿宋" w:hAnsi="仿宋" w:eastAsia="仿宋"/>
          <w:b/>
          <w:sz w:val="32"/>
          <w:szCs w:val="32"/>
          <w:lang w:eastAsia="zh-CN"/>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2023年度，养路队政府采购支出总额0万元，其中：政府采购货物支出0万元、政府采购工程支出0万元、政府采购服务支出0万元。授予中小企业合同金额0万元，占政府采购支出总额的0</w:t>
      </w:r>
      <w:r>
        <w:rPr>
          <w:rFonts w:ascii="仿宋" w:hAnsi="仿宋" w:eastAsia="仿宋"/>
          <w:sz w:val="32"/>
          <w:szCs w:val="32"/>
        </w:rPr>
        <w:t>%</w:t>
      </w:r>
      <w:r>
        <w:rPr>
          <w:rFonts w:hint="eastAsia" w:ascii="仿宋" w:hAnsi="仿宋" w:eastAsia="仿宋"/>
          <w:sz w:val="32"/>
          <w:szCs w:val="32"/>
        </w:rPr>
        <w:t>，其中：授予小微企业合同金额0万元，占政府采购支出总额的0</w:t>
      </w:r>
      <w:r>
        <w:rPr>
          <w:rFonts w:ascii="仿宋" w:hAnsi="仿宋" w:eastAsia="仿宋"/>
          <w:sz w:val="32"/>
          <w:szCs w:val="32"/>
        </w:rPr>
        <w:t>%</w:t>
      </w:r>
      <w:r>
        <w:rPr>
          <w:rFonts w:hint="eastAsia" w:ascii="仿宋" w:hAnsi="仿宋" w:eastAsia="仿宋"/>
          <w:sz w:val="32"/>
          <w:szCs w:val="32"/>
        </w:rPr>
        <w:t>。</w:t>
      </w:r>
    </w:p>
    <w:p>
      <w:pPr>
        <w:autoSpaceDE w:val="0"/>
        <w:autoSpaceDN w:val="0"/>
        <w:adjustRightInd w:val="0"/>
        <w:spacing w:line="600" w:lineRule="exact"/>
        <w:ind w:firstLine="643" w:firstLineChars="200"/>
        <w:jc w:val="left"/>
        <w:outlineLvl w:val="2"/>
        <w:rPr>
          <w:rFonts w:hint="eastAsia" w:ascii="仿宋" w:hAnsi="仿宋" w:eastAsia="仿宋"/>
          <w:b/>
          <w:sz w:val="32"/>
          <w:szCs w:val="32"/>
          <w:lang w:eastAsia="zh-CN"/>
        </w:rPr>
      </w:pPr>
      <w:r>
        <w:rPr>
          <w:rFonts w:hint="eastAsia" w:ascii="仿宋" w:hAnsi="仿宋" w:eastAsia="仿宋"/>
          <w:b/>
          <w:sz w:val="32"/>
          <w:szCs w:val="32"/>
        </w:rPr>
        <w:t>（三）国有资产占有使用情况</w:t>
      </w:r>
      <w:r>
        <w:rPr>
          <w:rFonts w:hint="eastAsia" w:ascii="仿宋" w:hAnsi="仿宋" w:eastAsia="仿宋"/>
          <w:b/>
          <w:sz w:val="32"/>
          <w:szCs w:val="32"/>
          <w:lang w:eastAsia="zh-CN"/>
        </w:rPr>
        <w:t>。</w:t>
      </w:r>
    </w:p>
    <w:p>
      <w:pPr>
        <w:autoSpaceDE w:val="0"/>
        <w:autoSpaceDN w:val="0"/>
        <w:adjustRightInd w:val="0"/>
        <w:spacing w:line="600" w:lineRule="exact"/>
        <w:ind w:firstLine="640" w:firstLineChars="200"/>
        <w:jc w:val="left"/>
        <w:rPr>
          <w:rFonts w:ascii="仿宋" w:hAnsi="仿宋" w:eastAsia="仿宋"/>
          <w:sz w:val="32"/>
          <w:szCs w:val="32"/>
        </w:rPr>
      </w:pPr>
      <w:r>
        <w:rPr>
          <w:rFonts w:hint="eastAsia" w:ascii="仿宋" w:hAnsi="仿宋" w:eastAsia="仿宋"/>
          <w:sz w:val="32"/>
          <w:szCs w:val="32"/>
        </w:rPr>
        <w:t>截至</w:t>
      </w:r>
      <w:r>
        <w:rPr>
          <w:rFonts w:ascii="仿宋" w:hAnsi="仿宋" w:eastAsia="仿宋"/>
          <w:sz w:val="32"/>
          <w:szCs w:val="32"/>
        </w:rPr>
        <w:t>20</w:t>
      </w:r>
      <w:r>
        <w:rPr>
          <w:rFonts w:hint="eastAsia" w:ascii="仿宋" w:hAnsi="仿宋" w:eastAsia="仿宋"/>
          <w:sz w:val="32"/>
          <w:szCs w:val="32"/>
        </w:rPr>
        <w:t>23年</w:t>
      </w:r>
      <w:r>
        <w:rPr>
          <w:rFonts w:ascii="仿宋" w:hAnsi="仿宋" w:eastAsia="仿宋"/>
          <w:sz w:val="32"/>
          <w:szCs w:val="32"/>
        </w:rPr>
        <w:t>12</w:t>
      </w:r>
      <w:r>
        <w:rPr>
          <w:rFonts w:hint="eastAsia" w:ascii="仿宋" w:hAnsi="仿宋" w:eastAsia="仿宋"/>
          <w:sz w:val="32"/>
          <w:szCs w:val="32"/>
        </w:rPr>
        <w:t>月</w:t>
      </w:r>
      <w:r>
        <w:rPr>
          <w:rFonts w:ascii="仿宋" w:hAnsi="仿宋" w:eastAsia="仿宋"/>
          <w:sz w:val="32"/>
          <w:szCs w:val="32"/>
        </w:rPr>
        <w:t>31</w:t>
      </w:r>
      <w:r>
        <w:rPr>
          <w:rFonts w:hint="eastAsia" w:ascii="仿宋" w:hAnsi="仿宋" w:eastAsia="仿宋"/>
          <w:sz w:val="32"/>
          <w:szCs w:val="32"/>
        </w:rPr>
        <w:t>日，养路队共有特种专业技术用车2辆，其中：主要领导干部用车0辆、机要通信用车0辆、应急保障用车0辆、其他用车2辆，其他用车主要是用于公路养护巡查及道路抢险。单价</w:t>
      </w:r>
      <w:r>
        <w:rPr>
          <w:rFonts w:ascii="仿宋" w:hAnsi="仿宋" w:eastAsia="仿宋"/>
          <w:sz w:val="32"/>
          <w:szCs w:val="32"/>
        </w:rPr>
        <w:t>50</w:t>
      </w:r>
      <w:r>
        <w:rPr>
          <w:rFonts w:hint="eastAsia" w:ascii="仿宋" w:hAnsi="仿宋" w:eastAsia="仿宋"/>
          <w:sz w:val="32"/>
          <w:szCs w:val="32"/>
        </w:rPr>
        <w:t>万元以上通用设备0台（套），单价</w:t>
      </w:r>
      <w:r>
        <w:rPr>
          <w:rFonts w:ascii="仿宋" w:hAnsi="仿宋" w:eastAsia="仿宋"/>
          <w:sz w:val="32"/>
          <w:szCs w:val="32"/>
        </w:rPr>
        <w:t>100</w:t>
      </w:r>
      <w:r>
        <w:rPr>
          <w:rFonts w:hint="eastAsia" w:ascii="仿宋" w:hAnsi="仿宋" w:eastAsia="仿宋"/>
          <w:sz w:val="32"/>
          <w:szCs w:val="32"/>
        </w:rPr>
        <w:t>万元以上专用设备0台（套）。</w:t>
      </w:r>
    </w:p>
    <w:p>
      <w:pPr>
        <w:autoSpaceDE w:val="0"/>
        <w:autoSpaceDN w:val="0"/>
        <w:adjustRightInd w:val="0"/>
        <w:spacing w:line="600" w:lineRule="exact"/>
        <w:ind w:firstLine="643" w:firstLineChars="200"/>
        <w:jc w:val="left"/>
        <w:outlineLvl w:val="2"/>
        <w:rPr>
          <w:rFonts w:hint="eastAsia" w:ascii="仿宋" w:hAnsi="仿宋" w:eastAsia="仿宋"/>
          <w:b/>
          <w:sz w:val="32"/>
          <w:szCs w:val="32"/>
          <w:lang w:eastAsia="zh-CN"/>
        </w:rPr>
      </w:pPr>
      <w:r>
        <w:rPr>
          <w:rFonts w:hint="eastAsia" w:ascii="仿宋" w:hAnsi="仿宋" w:eastAsia="仿宋"/>
          <w:b/>
          <w:sz w:val="32"/>
          <w:szCs w:val="32"/>
        </w:rPr>
        <w:t>（四）预算绩效管理情况</w:t>
      </w:r>
      <w:r>
        <w:rPr>
          <w:rFonts w:hint="eastAsia" w:ascii="仿宋" w:hAnsi="仿宋" w:eastAsia="仿宋"/>
          <w:b/>
          <w:sz w:val="32"/>
          <w:szCs w:val="32"/>
          <w:lang w:eastAsia="zh-CN"/>
        </w:rPr>
        <w:t>。</w:t>
      </w:r>
    </w:p>
    <w:p>
      <w:pPr>
        <w:ind w:firstLine="640" w:firstLineChars="200"/>
        <w:rPr>
          <w:rFonts w:ascii="仿宋" w:hAnsi="仿宋" w:eastAsia="仿宋" w:cs="宋体"/>
          <w:color w:val="000000"/>
          <w:kern w:val="0"/>
          <w:sz w:val="32"/>
          <w:szCs w:val="32"/>
        </w:rPr>
      </w:pPr>
      <w:r>
        <w:rPr>
          <w:rFonts w:hint="eastAsia" w:ascii="仿宋" w:hAnsi="仿宋" w:eastAsia="仿宋" w:cs="仿宋_GB2312"/>
          <w:sz w:val="32"/>
          <w:szCs w:val="32"/>
        </w:rPr>
        <w:t>根据预算绩效管理要求，本单位在2023年度预算编制阶段，组织对2023年公路养护项目（</w:t>
      </w:r>
      <w:r>
        <w:rPr>
          <w:rFonts w:hint="eastAsia" w:ascii="仿宋" w:hAnsi="仿宋" w:eastAsia="仿宋" w:cs="宋体"/>
          <w:color w:val="000000"/>
          <w:kern w:val="0"/>
          <w:sz w:val="32"/>
          <w:szCs w:val="32"/>
        </w:rPr>
        <w:t>盐财资建〔2023〕1号2023年度农村公路日常养护费用、川财建【2023】23号下达2023年中央对地方成品油税费改革转移支付（用于2023年农村公路养护）</w:t>
      </w:r>
      <w:r>
        <w:rPr>
          <w:rFonts w:hint="eastAsia" w:ascii="仿宋" w:hAnsi="仿宋" w:eastAsia="仿宋" w:cs="仿宋_GB2312"/>
          <w:sz w:val="32"/>
          <w:szCs w:val="32"/>
        </w:rPr>
        <w:t>）开展了预算事前绩效评估，对所有预算项目编制了绩效目标；预算执行过程中，选取</w:t>
      </w:r>
      <w:r>
        <w:rPr>
          <w:rFonts w:hint="eastAsia" w:ascii="仿宋" w:hAnsi="仿宋" w:eastAsia="仿宋" w:cs="宋体"/>
          <w:color w:val="000000"/>
          <w:kern w:val="0"/>
          <w:sz w:val="32"/>
          <w:szCs w:val="32"/>
        </w:rPr>
        <w:t>盐财资建〔2023〕1号2023年度农村公路日常养护费用、川财建【2023】23号下达2023年中央对地方成品油税费改革转移支付</w:t>
      </w:r>
      <w:r>
        <w:rPr>
          <w:rFonts w:hint="eastAsia" w:ascii="仿宋" w:hAnsi="仿宋" w:eastAsia="仿宋" w:cs="仿宋_GB2312"/>
          <w:sz w:val="32"/>
          <w:szCs w:val="32"/>
        </w:rPr>
        <w:t>2个项目开展绩效监控和自评，绩效自评表详见第四部分附件。</w:t>
      </w:r>
    </w:p>
    <w:p>
      <w:pPr>
        <w:spacing w:line="60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br w:type="page"/>
      </w:r>
    </w:p>
    <w:p>
      <w:pPr>
        <w:spacing w:line="600" w:lineRule="exact"/>
        <w:jc w:val="center"/>
        <w:outlineLvl w:val="0"/>
        <w:rPr>
          <w:rFonts w:hint="eastAsia" w:ascii="黑体" w:hAnsi="黑体" w:eastAsia="黑体"/>
          <w:sz w:val="44"/>
          <w:szCs w:val="44"/>
        </w:rPr>
      </w:pPr>
      <w:r>
        <w:rPr>
          <w:rFonts w:hint="eastAsia" w:ascii="黑体" w:hAnsi="黑体" w:eastAsia="黑体"/>
          <w:sz w:val="44"/>
          <w:szCs w:val="44"/>
        </w:rPr>
        <w:t>第三部分  名</w:t>
      </w:r>
      <w:r>
        <w:rPr>
          <w:rStyle w:val="21"/>
          <w:rFonts w:hint="eastAsia" w:ascii="黑体" w:hAnsi="黑体" w:eastAsia="黑体"/>
          <w:b w:val="0"/>
        </w:rPr>
        <w:t>词</w:t>
      </w:r>
      <w:r>
        <w:rPr>
          <w:rFonts w:hint="eastAsia" w:ascii="黑体" w:hAnsi="黑体" w:eastAsia="黑体"/>
          <w:sz w:val="44"/>
          <w:szCs w:val="44"/>
        </w:rPr>
        <w:t>解释</w:t>
      </w:r>
    </w:p>
    <w:p>
      <w:pPr>
        <w:spacing w:line="600" w:lineRule="exact"/>
        <w:jc w:val="left"/>
        <w:rPr>
          <w:rFonts w:ascii="宋体"/>
          <w:b/>
          <w:sz w:val="44"/>
          <w:szCs w:val="44"/>
        </w:rPr>
      </w:pP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财政拨款收入：指单位从同级财政部门取得的财政预算资金。</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事业收入：指事业单位开展专业业务活动及辅助活动取得的收入。</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经营收入：指事业单位在专业业务活动及其辅助活动之外开展非独立核算经营活动取得的收入。</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其他收入：指单位取得的除上述收入以外的各项收入。</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5.</w:t>
      </w:r>
      <w:r>
        <w:rPr>
          <w:rFonts w:hint="eastAsia" w:ascii="仿宋" w:hAnsi="仿宋" w:eastAsia="仿宋" w:cs="仿宋_GB2312"/>
          <w:sz w:val="32"/>
          <w:szCs w:val="32"/>
        </w:rPr>
        <w:t>使用非财政拨款结余：指事业单位使用以前年度积累的非财政拨款结余弥补当年收支差额的金额。</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6.</w:t>
      </w:r>
      <w:r>
        <w:rPr>
          <w:rFonts w:hint="eastAsia" w:ascii="仿宋" w:hAnsi="仿宋" w:eastAsia="仿宋" w:cs="仿宋_GB2312"/>
          <w:sz w:val="32"/>
          <w:szCs w:val="32"/>
        </w:rPr>
        <w:t>年初结转和结余：指以前年度尚未完成、结转到本年按有关规定继续使用的资金。</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7.</w:t>
      </w:r>
      <w:r>
        <w:rPr>
          <w:rFonts w:hint="eastAsia" w:ascii="仿宋" w:hAnsi="仿宋" w:eastAsia="仿宋" w:cs="仿宋_GB2312"/>
          <w:sz w:val="32"/>
          <w:szCs w:val="32"/>
        </w:rPr>
        <w:t>结余分配：指事业单位按照会计制度规定缴纳的所得税、提取的专用结余以及转入非财政拨款结余的金额等。</w:t>
      </w:r>
    </w:p>
    <w:p>
      <w:pPr>
        <w:spacing w:line="560" w:lineRule="exact"/>
        <w:ind w:firstLine="640" w:firstLineChars="200"/>
        <w:rPr>
          <w:rFonts w:ascii="仿宋" w:hAnsi="仿宋" w:eastAsia="仿宋" w:cs="仿宋_GB2312"/>
          <w:sz w:val="32"/>
          <w:szCs w:val="32"/>
        </w:rPr>
      </w:pPr>
      <w:r>
        <w:rPr>
          <w:rFonts w:ascii="仿宋" w:hAnsi="仿宋" w:eastAsia="仿宋" w:cs="仿宋_GB2312"/>
          <w:sz w:val="32"/>
          <w:szCs w:val="32"/>
        </w:rPr>
        <w:t>8</w:t>
      </w:r>
      <w:r>
        <w:rPr>
          <w:rFonts w:hint="eastAsia" w:ascii="仿宋" w:hAnsi="仿宋" w:eastAsia="仿宋" w:cs="仿宋_GB2312"/>
          <w:sz w:val="32"/>
          <w:szCs w:val="32"/>
        </w:rPr>
        <w:t>.年末结转和结余：指单位按有关规定结转到下年或以后年度继续使用的资金。</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9.社会保障和就业支出（类）行政事业单位养老支出（款）事业单位离退休（项）：指事业单位开支的离退休经费。</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10.社会保障和就业支出（类）行政事业单位养老支出（款）机关事业单位基本养老保险缴费支出（项）：指机关事业单位实施养老保险制度由单位缴纳的基本养老保险费支出。</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11</w:t>
      </w:r>
      <w:r>
        <w:rPr>
          <w:rFonts w:ascii="仿宋" w:hAnsi="仿宋" w:eastAsia="仿宋" w:cs="仿宋_GB2312"/>
          <w:sz w:val="32"/>
          <w:szCs w:val="32"/>
        </w:rPr>
        <w:t>.</w:t>
      </w:r>
      <w:r>
        <w:rPr>
          <w:rFonts w:hint="eastAsia" w:ascii="仿宋" w:hAnsi="仿宋" w:eastAsia="仿宋" w:cs="仿宋_GB2312"/>
          <w:sz w:val="32"/>
          <w:szCs w:val="32"/>
        </w:rPr>
        <w:t>卫生健康支出（类）行政事业单位医疗（款）事业单位医疗（项）:指财政部门安排的事业单位基本医疗保险缴费经费，未参加医疗保险的事业单位的公费医疗经费，按国家规定享受离休人员待遇的医疗经费。</w:t>
      </w:r>
    </w:p>
    <w:p>
      <w:pPr>
        <w:ind w:firstLine="800" w:firstLineChars="250"/>
        <w:rPr>
          <w:rFonts w:ascii="仿宋" w:hAnsi="仿宋" w:eastAsia="仿宋" w:cs="仿宋_GB2312"/>
          <w:sz w:val="32"/>
          <w:szCs w:val="32"/>
        </w:rPr>
      </w:pPr>
      <w:r>
        <w:rPr>
          <w:rFonts w:hint="eastAsia" w:ascii="仿宋" w:hAnsi="仿宋" w:eastAsia="仿宋" w:cs="仿宋_GB2312"/>
          <w:sz w:val="32"/>
          <w:szCs w:val="32"/>
        </w:rPr>
        <w:t>12.卫生健康支出（类）行政事业单位医疗（款）其他行政事业单位医疗支出（项）:指其他用于行政事业单位医疗方面的支出。</w:t>
      </w:r>
    </w:p>
    <w:p>
      <w:pPr>
        <w:pStyle w:val="2"/>
        <w:spacing w:before="93"/>
        <w:ind w:firstLine="640" w:firstLineChars="200"/>
        <w:rPr>
          <w:rFonts w:ascii="仿宋" w:hAnsi="仿宋" w:eastAsia="仿宋" w:cs="仿宋_GB2312"/>
          <w:sz w:val="32"/>
          <w:szCs w:val="32"/>
        </w:rPr>
      </w:pPr>
      <w:r>
        <w:rPr>
          <w:rFonts w:hint="eastAsia" w:ascii="仿宋" w:hAnsi="仿宋" w:eastAsia="仿宋" w:cs="仿宋_GB2312"/>
          <w:sz w:val="32"/>
          <w:szCs w:val="32"/>
        </w:rPr>
        <w:t>13.交通运输（类）公路水路运输（款）公路养护（项）：指公路养护支出。</w:t>
      </w:r>
    </w:p>
    <w:p>
      <w:pPr>
        <w:pStyle w:val="2"/>
        <w:spacing w:before="93"/>
        <w:ind w:firstLine="640" w:firstLineChars="200"/>
        <w:rPr>
          <w:rFonts w:ascii="仿宋" w:hAnsi="仿宋" w:eastAsia="仿宋" w:cs="仿宋_GB2312"/>
          <w:sz w:val="32"/>
          <w:szCs w:val="32"/>
        </w:rPr>
      </w:pPr>
      <w:r>
        <w:rPr>
          <w:rFonts w:hint="eastAsia" w:ascii="仿宋" w:hAnsi="仿宋" w:eastAsia="仿宋" w:cs="仿宋_GB2312"/>
          <w:sz w:val="32"/>
          <w:szCs w:val="32"/>
        </w:rPr>
        <w:t>14.交通运输（类）公路水路运输支出（款）公路和运输安全（项）：指公路和运输安全支出。</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15</w:t>
      </w:r>
      <w:r>
        <w:rPr>
          <w:rFonts w:ascii="仿宋" w:hAnsi="仿宋" w:eastAsia="仿宋" w:cs="仿宋_GB2312"/>
          <w:sz w:val="32"/>
          <w:szCs w:val="32"/>
        </w:rPr>
        <w:t>.</w:t>
      </w:r>
      <w:r>
        <w:rPr>
          <w:rFonts w:hint="eastAsia" w:ascii="仿宋" w:hAnsi="仿宋" w:eastAsia="仿宋" w:cs="仿宋_GB2312"/>
          <w:sz w:val="32"/>
          <w:szCs w:val="32"/>
        </w:rPr>
        <w:t>住房保障支出（类）住房改革支出（款）-住房公积金（项）:指行政事业单位按人力资源和社会保障部、财政部规定的基本工资和津贴补贴以及规定比例为职工缴纳的住房公积金。</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16</w:t>
      </w:r>
      <w:r>
        <w:rPr>
          <w:rFonts w:ascii="仿宋" w:hAnsi="仿宋" w:eastAsia="仿宋" w:cs="仿宋_GB2312"/>
          <w:sz w:val="32"/>
          <w:szCs w:val="32"/>
        </w:rPr>
        <w:t>.</w:t>
      </w:r>
      <w:r>
        <w:rPr>
          <w:rFonts w:hint="eastAsia" w:ascii="仿宋" w:hAnsi="仿宋" w:eastAsia="仿宋" w:cs="仿宋_GB2312"/>
          <w:sz w:val="32"/>
          <w:szCs w:val="32"/>
        </w:rPr>
        <w:t>基本支出：指为保障机构正常运转、完成日常工作任务而发生的人员支出和公用支出。</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17.项目支出：指在基本支出之外为完成特定行政任务和事业发展目标所发生的支出。</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18</w:t>
      </w:r>
      <w:r>
        <w:rPr>
          <w:rFonts w:ascii="仿宋" w:hAnsi="仿宋" w:eastAsia="仿宋" w:cs="仿宋_GB2312"/>
          <w:sz w:val="32"/>
          <w:szCs w:val="32"/>
        </w:rPr>
        <w:t>.</w:t>
      </w:r>
      <w:r>
        <w:rPr>
          <w:rFonts w:hint="eastAsia" w:ascii="仿宋" w:hAnsi="仿宋" w:eastAsia="仿宋" w:cs="仿宋_GB2312"/>
          <w:sz w:val="32"/>
          <w:szCs w:val="32"/>
        </w:rPr>
        <w:t>经营支出：指事业单位在专业业务活动及其辅助活动之外开展非独立核算经营活动发生的支出。</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19</w:t>
      </w:r>
      <w:r>
        <w:rPr>
          <w:rFonts w:ascii="仿宋" w:hAnsi="仿宋" w:eastAsia="仿宋" w:cs="仿宋_GB2312"/>
          <w:sz w:val="32"/>
          <w:szCs w:val="32"/>
        </w:rPr>
        <w:t>.</w:t>
      </w:r>
      <w:r>
        <w:rPr>
          <w:rFonts w:hint="eastAsia" w:ascii="仿宋" w:hAnsi="仿宋" w:eastAsia="仿宋" w:cs="仿宋_GB2312"/>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按规定保留的公务用车燃料费、维修费、过桥过路费、保险费、安全奖励费用等支出；公务接待费反映单位按规定开支的各类公务接待（含外宾接待）支出。</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20</w:t>
      </w:r>
      <w:r>
        <w:rPr>
          <w:rFonts w:ascii="仿宋" w:hAnsi="仿宋" w:eastAsia="仿宋" w:cs="仿宋_GB2312"/>
          <w:sz w:val="32"/>
          <w:szCs w:val="32"/>
        </w:rPr>
        <w:t>.</w:t>
      </w:r>
      <w:r>
        <w:rPr>
          <w:rFonts w:hint="eastAsia" w:ascii="仿宋" w:hAnsi="仿宋" w:eastAsia="仿宋"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60" w:lineRule="exact"/>
        <w:rPr>
          <w:rFonts w:hAnsi="仿宋"/>
          <w:sz w:val="32"/>
          <w:szCs w:val="32"/>
        </w:rPr>
      </w:pPr>
    </w:p>
    <w:p>
      <w:pPr>
        <w:pStyle w:val="26"/>
        <w:spacing w:line="560" w:lineRule="exact"/>
        <w:ind w:firstLine="640" w:firstLineChars="200"/>
        <w:rPr>
          <w:rFonts w:ascii="仿宋_GB2312" w:eastAsia="仿宋_GB2312" w:cs="黑体"/>
          <w:color w:val="auto"/>
          <w:sz w:val="32"/>
          <w:szCs w:val="32"/>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Style w:val="21"/>
          <w:rFonts w:ascii="黑体" w:hAnsi="黑体" w:eastAsia="黑体"/>
          <w:b w:val="0"/>
        </w:rPr>
      </w:pPr>
      <w:r>
        <w:rPr>
          <w:rFonts w:hint="eastAsia" w:ascii="黑体" w:hAnsi="黑体" w:eastAsia="黑体"/>
          <w:sz w:val="44"/>
          <w:szCs w:val="44"/>
        </w:rPr>
        <w:t>第</w:t>
      </w:r>
      <w:r>
        <w:rPr>
          <w:rStyle w:val="21"/>
          <w:rFonts w:hint="eastAsia" w:ascii="黑体" w:hAnsi="黑体" w:eastAsia="黑体"/>
          <w:b w:val="0"/>
        </w:rPr>
        <w:t>四部分 附件</w:t>
      </w:r>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hAnsi="Times New Roman"/>
          <w:sz w:val="32"/>
          <w:szCs w:val="32"/>
        </w:rPr>
      </w:pPr>
      <w:r>
        <w:rPr>
          <w:rFonts w:hint="eastAsia" w:hAnsi="Times New Roman"/>
          <w:sz w:val="32"/>
          <w:szCs w:val="32"/>
        </w:rPr>
        <w:t>部门预算项目支出绩效自评表（202</w:t>
      </w:r>
      <w:r>
        <w:rPr>
          <w:rFonts w:hint="eastAsia"/>
          <w:sz w:val="32"/>
          <w:szCs w:val="32"/>
        </w:rPr>
        <w:t>3</w:t>
      </w:r>
      <w:r>
        <w:rPr>
          <w:rFonts w:hint="eastAsia" w:hAnsi="Times New Roman"/>
          <w:sz w:val="32"/>
          <w:szCs w:val="32"/>
        </w:rPr>
        <w:t>年度）</w:t>
      </w: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tabs>
          <w:tab w:val="left" w:pos="1424"/>
        </w:tabs>
        <w:spacing w:before="93"/>
        <w:rPr>
          <w:rFonts w:hint="eastAsia" w:eastAsia="仿宋_GB2312" w:cs="仿宋"/>
          <w:kern w:val="0"/>
          <w:sz w:val="32"/>
          <w:szCs w:val="32"/>
          <w:lang w:eastAsia="zh-CN"/>
        </w:rPr>
      </w:pPr>
    </w:p>
    <w:p>
      <w:pPr>
        <w:numPr>
          <w:ilvl w:val="0"/>
          <w:numId w:val="1"/>
        </w:numPr>
        <w:spacing w:line="600" w:lineRule="exact"/>
        <w:jc w:val="center"/>
        <w:outlineLvl w:val="0"/>
        <w:rPr>
          <w:rStyle w:val="21"/>
          <w:rFonts w:hint="eastAsia" w:ascii="黑体" w:hAnsi="黑体" w:eastAsia="黑体"/>
        </w:rPr>
      </w:pPr>
      <w:r>
        <w:rPr>
          <w:rStyle w:val="21"/>
          <w:rFonts w:hint="eastAsia" w:ascii="黑体" w:hAnsi="黑体" w:eastAsia="黑体"/>
        </w:rPr>
        <w:t>附表</w:t>
      </w:r>
      <w:bookmarkStart w:id="0" w:name="_Toc15396619"/>
    </w:p>
    <w:p>
      <w:pPr>
        <w:numPr>
          <w:numId w:val="0"/>
        </w:numPr>
        <w:spacing w:line="600" w:lineRule="exact"/>
        <w:jc w:val="both"/>
        <w:outlineLvl w:val="0"/>
        <w:rPr>
          <w:rFonts w:ascii="仿宋" w:hAnsi="仿宋" w:eastAsia="仿宋"/>
        </w:rPr>
      </w:pPr>
      <w:r>
        <w:rPr>
          <w:rStyle w:val="22"/>
          <w:rFonts w:hint="eastAsia" w:ascii="仿宋" w:hAnsi="仿宋" w:eastAsia="仿宋"/>
          <w:b w:val="0"/>
          <w:bCs w:val="0"/>
          <w:kern w:val="0"/>
          <w:lang w:val="en-US" w:eastAsia="zh-CN" w:bidi="ar-SA"/>
        </w:rPr>
        <w:t>一、收入</w:t>
      </w:r>
      <w:bookmarkStart w:id="13" w:name="_GoBack"/>
      <w:bookmarkEnd w:id="13"/>
      <w:r>
        <w:rPr>
          <w:rStyle w:val="22"/>
          <w:rFonts w:hint="eastAsia" w:ascii="仿宋" w:hAnsi="仿宋" w:eastAsia="仿宋"/>
          <w:b w:val="0"/>
          <w:bCs w:val="0"/>
          <w:kern w:val="0"/>
          <w:lang w:val="en-US" w:eastAsia="zh-CN" w:bidi="ar-SA"/>
        </w:rPr>
        <w:t>支</w:t>
      </w:r>
      <w:r>
        <w:rPr>
          <w:rStyle w:val="22"/>
          <w:rFonts w:hint="eastAsia" w:ascii="仿宋" w:hAnsi="仿宋" w:eastAsia="仿宋"/>
          <w:b w:val="0"/>
          <w:bCs w:val="0"/>
        </w:rPr>
        <w:t>出决算总表</w:t>
      </w:r>
      <w:bookmarkEnd w:id="0"/>
    </w:p>
    <w:p>
      <w:pPr>
        <w:pStyle w:val="4"/>
        <w:rPr>
          <w:rFonts w:ascii="仿宋" w:hAnsi="仿宋" w:eastAsia="仿宋"/>
        </w:rPr>
      </w:pPr>
      <w:bookmarkStart w:id="1" w:name="_Toc15396620"/>
      <w:r>
        <w:rPr>
          <w:rFonts w:hint="eastAsia" w:ascii="仿宋" w:hAnsi="仿宋" w:eastAsia="仿宋"/>
          <w:b w:val="0"/>
        </w:rPr>
        <w:t>二、收</w:t>
      </w:r>
      <w:r>
        <w:rPr>
          <w:rStyle w:val="22"/>
          <w:rFonts w:hint="eastAsia" w:ascii="仿宋" w:hAnsi="仿宋" w:eastAsia="仿宋"/>
          <w:b w:val="0"/>
          <w:bCs w:val="0"/>
        </w:rPr>
        <w:t>入决算表</w:t>
      </w:r>
      <w:bookmarkEnd w:id="1"/>
    </w:p>
    <w:p>
      <w:pPr>
        <w:pStyle w:val="4"/>
        <w:rPr>
          <w:rFonts w:ascii="仿宋" w:hAnsi="仿宋" w:eastAsia="仿宋"/>
        </w:rPr>
      </w:pPr>
      <w:bookmarkStart w:id="2" w:name="_Toc15396621"/>
      <w:r>
        <w:rPr>
          <w:rStyle w:val="22"/>
          <w:rFonts w:hint="eastAsia" w:ascii="仿宋" w:hAnsi="仿宋" w:eastAsia="仿宋"/>
          <w:b w:val="0"/>
          <w:bCs w:val="0"/>
        </w:rPr>
        <w:t>三、</w:t>
      </w:r>
      <w:r>
        <w:rPr>
          <w:rFonts w:hint="eastAsia" w:ascii="仿宋" w:hAnsi="仿宋" w:eastAsia="仿宋"/>
          <w:b w:val="0"/>
        </w:rPr>
        <w:t>支</w:t>
      </w:r>
      <w:r>
        <w:rPr>
          <w:rStyle w:val="22"/>
          <w:rFonts w:hint="eastAsia" w:ascii="仿宋" w:hAnsi="仿宋" w:eastAsia="仿宋"/>
          <w:b w:val="0"/>
          <w:bCs w:val="0"/>
        </w:rPr>
        <w:t>出决算表</w:t>
      </w:r>
      <w:bookmarkEnd w:id="2"/>
    </w:p>
    <w:p>
      <w:pPr>
        <w:pStyle w:val="4"/>
        <w:rPr>
          <w:rFonts w:ascii="仿宋" w:hAnsi="仿宋" w:eastAsia="仿宋"/>
          <w:b w:val="0"/>
        </w:rPr>
      </w:pPr>
      <w:bookmarkStart w:id="3" w:name="_Toc15396622"/>
      <w:r>
        <w:rPr>
          <w:rStyle w:val="22"/>
          <w:rFonts w:hint="eastAsia" w:ascii="仿宋" w:hAnsi="仿宋" w:eastAsia="仿宋"/>
          <w:b w:val="0"/>
          <w:bCs w:val="0"/>
        </w:rPr>
        <w:t>四、</w:t>
      </w:r>
      <w:r>
        <w:rPr>
          <w:rFonts w:hint="eastAsia" w:ascii="仿宋" w:hAnsi="仿宋" w:eastAsia="仿宋"/>
          <w:b w:val="0"/>
        </w:rPr>
        <w:t>财</w:t>
      </w:r>
      <w:r>
        <w:rPr>
          <w:rStyle w:val="22"/>
          <w:rFonts w:hint="eastAsia" w:ascii="仿宋" w:hAnsi="仿宋" w:eastAsia="仿宋"/>
          <w:b w:val="0"/>
          <w:bCs w:val="0"/>
        </w:rPr>
        <w:t>政拨款收入支出决算总表</w:t>
      </w:r>
      <w:bookmarkEnd w:id="3"/>
    </w:p>
    <w:p>
      <w:pPr>
        <w:pStyle w:val="4"/>
        <w:rPr>
          <w:rStyle w:val="22"/>
          <w:rFonts w:ascii="仿宋" w:hAnsi="仿宋" w:eastAsia="仿宋"/>
          <w:b w:val="0"/>
          <w:bCs w:val="0"/>
        </w:rPr>
      </w:pPr>
      <w:bookmarkStart w:id="4" w:name="_Toc15396623"/>
      <w:r>
        <w:rPr>
          <w:rStyle w:val="22"/>
          <w:rFonts w:hint="eastAsia" w:ascii="仿宋" w:hAnsi="仿宋" w:eastAsia="仿宋"/>
          <w:b w:val="0"/>
          <w:bCs w:val="0"/>
        </w:rPr>
        <w:t>五、</w:t>
      </w:r>
      <w:r>
        <w:rPr>
          <w:rFonts w:hint="eastAsia" w:ascii="仿宋" w:hAnsi="仿宋" w:eastAsia="仿宋"/>
          <w:b w:val="0"/>
        </w:rPr>
        <w:t>财</w:t>
      </w:r>
      <w:r>
        <w:rPr>
          <w:rStyle w:val="22"/>
          <w:rFonts w:hint="eastAsia" w:ascii="仿宋" w:hAnsi="仿宋" w:eastAsia="仿宋"/>
          <w:b w:val="0"/>
          <w:bCs w:val="0"/>
        </w:rPr>
        <w:t>政拨款支出决算明细表</w:t>
      </w:r>
      <w:bookmarkEnd w:id="4"/>
      <w:bookmarkStart w:id="5" w:name="_Toc15396624"/>
    </w:p>
    <w:p>
      <w:pPr>
        <w:pStyle w:val="4"/>
        <w:rPr>
          <w:rFonts w:ascii="仿宋" w:hAnsi="仿宋" w:eastAsia="仿宋"/>
        </w:rPr>
      </w:pPr>
      <w:r>
        <w:rPr>
          <w:rStyle w:val="22"/>
          <w:rFonts w:hint="eastAsia" w:ascii="仿宋" w:hAnsi="仿宋" w:eastAsia="仿宋"/>
          <w:b w:val="0"/>
          <w:bCs w:val="0"/>
        </w:rPr>
        <w:t>六、</w:t>
      </w:r>
      <w:r>
        <w:rPr>
          <w:rFonts w:hint="eastAsia" w:ascii="仿宋" w:hAnsi="仿宋" w:eastAsia="仿宋"/>
          <w:b w:val="0"/>
        </w:rPr>
        <w:t>一</w:t>
      </w:r>
      <w:r>
        <w:rPr>
          <w:rStyle w:val="22"/>
          <w:rFonts w:hint="eastAsia" w:ascii="仿宋" w:hAnsi="仿宋" w:eastAsia="仿宋"/>
          <w:b w:val="0"/>
          <w:bCs w:val="0"/>
        </w:rPr>
        <w:t>般公共预算财政拨款支出决算表</w:t>
      </w:r>
      <w:bookmarkEnd w:id="5"/>
    </w:p>
    <w:p>
      <w:pPr>
        <w:pStyle w:val="4"/>
        <w:rPr>
          <w:rFonts w:ascii="仿宋" w:hAnsi="仿宋" w:eastAsia="仿宋"/>
        </w:rPr>
      </w:pPr>
      <w:bookmarkStart w:id="6" w:name="_Toc15396625"/>
      <w:r>
        <w:rPr>
          <w:rStyle w:val="22"/>
          <w:rFonts w:hint="eastAsia" w:ascii="仿宋" w:hAnsi="仿宋" w:eastAsia="仿宋"/>
          <w:b w:val="0"/>
          <w:bCs w:val="0"/>
        </w:rPr>
        <w:t>七、</w:t>
      </w:r>
      <w:r>
        <w:rPr>
          <w:rFonts w:hint="eastAsia" w:ascii="仿宋" w:hAnsi="仿宋" w:eastAsia="仿宋"/>
          <w:b w:val="0"/>
        </w:rPr>
        <w:t>一</w:t>
      </w:r>
      <w:r>
        <w:rPr>
          <w:rStyle w:val="22"/>
          <w:rFonts w:hint="eastAsia" w:ascii="仿宋" w:hAnsi="仿宋" w:eastAsia="仿宋"/>
          <w:b w:val="0"/>
          <w:bCs w:val="0"/>
        </w:rPr>
        <w:t>般公共预算财政拨款支出决算明细表</w:t>
      </w:r>
      <w:bookmarkEnd w:id="6"/>
    </w:p>
    <w:p>
      <w:pPr>
        <w:pStyle w:val="4"/>
        <w:rPr>
          <w:rFonts w:ascii="仿宋" w:hAnsi="仿宋" w:eastAsia="仿宋"/>
        </w:rPr>
      </w:pPr>
      <w:bookmarkStart w:id="7" w:name="_Toc15396626"/>
      <w:r>
        <w:rPr>
          <w:rStyle w:val="22"/>
          <w:rFonts w:hint="eastAsia" w:ascii="仿宋" w:hAnsi="仿宋" w:eastAsia="仿宋"/>
          <w:b w:val="0"/>
          <w:bCs w:val="0"/>
        </w:rPr>
        <w:t>八、</w:t>
      </w:r>
      <w:r>
        <w:rPr>
          <w:rFonts w:hint="eastAsia" w:ascii="仿宋" w:hAnsi="仿宋" w:eastAsia="仿宋"/>
          <w:b w:val="0"/>
        </w:rPr>
        <w:t>一</w:t>
      </w:r>
      <w:r>
        <w:rPr>
          <w:rStyle w:val="22"/>
          <w:rFonts w:hint="eastAsia" w:ascii="仿宋" w:hAnsi="仿宋" w:eastAsia="仿宋"/>
          <w:b w:val="0"/>
          <w:bCs w:val="0"/>
        </w:rPr>
        <w:t>般公共预算财政拨款基本支出决算表</w:t>
      </w:r>
      <w:bookmarkEnd w:id="7"/>
    </w:p>
    <w:p>
      <w:pPr>
        <w:pStyle w:val="4"/>
        <w:rPr>
          <w:rFonts w:ascii="仿宋" w:hAnsi="仿宋" w:eastAsia="仿宋"/>
        </w:rPr>
      </w:pPr>
      <w:bookmarkStart w:id="8" w:name="_Toc15396627"/>
      <w:r>
        <w:rPr>
          <w:rStyle w:val="22"/>
          <w:rFonts w:hint="eastAsia" w:ascii="仿宋" w:hAnsi="仿宋" w:eastAsia="仿宋"/>
          <w:b w:val="0"/>
          <w:bCs w:val="0"/>
        </w:rPr>
        <w:t>九、</w:t>
      </w:r>
      <w:r>
        <w:rPr>
          <w:rFonts w:hint="eastAsia" w:ascii="仿宋" w:hAnsi="仿宋" w:eastAsia="仿宋"/>
          <w:b w:val="0"/>
        </w:rPr>
        <w:t>一</w:t>
      </w:r>
      <w:r>
        <w:rPr>
          <w:rStyle w:val="22"/>
          <w:rFonts w:hint="eastAsia" w:ascii="仿宋" w:hAnsi="仿宋" w:eastAsia="仿宋"/>
          <w:b w:val="0"/>
          <w:bCs w:val="0"/>
        </w:rPr>
        <w:t>般公共预算财政拨款项目支出决算表</w:t>
      </w:r>
      <w:bookmarkEnd w:id="8"/>
    </w:p>
    <w:p>
      <w:pPr>
        <w:pStyle w:val="4"/>
        <w:rPr>
          <w:rFonts w:ascii="仿宋" w:hAnsi="仿宋" w:eastAsia="仿宋"/>
        </w:rPr>
      </w:pPr>
      <w:bookmarkStart w:id="9" w:name="_Toc15396628"/>
      <w:r>
        <w:rPr>
          <w:rStyle w:val="22"/>
          <w:rFonts w:hint="eastAsia" w:ascii="仿宋" w:hAnsi="仿宋" w:eastAsia="仿宋"/>
          <w:b w:val="0"/>
          <w:bCs w:val="0"/>
        </w:rPr>
        <w:t>十、</w:t>
      </w:r>
      <w:bookmarkEnd w:id="9"/>
      <w:r>
        <w:rPr>
          <w:rFonts w:hint="eastAsia" w:ascii="仿宋" w:hAnsi="仿宋" w:eastAsia="仿宋"/>
          <w:b w:val="0"/>
        </w:rPr>
        <w:t>政</w:t>
      </w:r>
      <w:r>
        <w:rPr>
          <w:rStyle w:val="22"/>
          <w:rFonts w:hint="eastAsia" w:ascii="仿宋" w:hAnsi="仿宋" w:eastAsia="仿宋"/>
          <w:b w:val="0"/>
          <w:bCs w:val="0"/>
        </w:rPr>
        <w:t>府性基金预算财政拨款收入支出决算表</w:t>
      </w:r>
    </w:p>
    <w:p>
      <w:pPr>
        <w:pStyle w:val="4"/>
        <w:rPr>
          <w:rFonts w:ascii="仿宋" w:hAnsi="仿宋" w:eastAsia="仿宋"/>
        </w:rPr>
      </w:pPr>
      <w:bookmarkStart w:id="10" w:name="_Toc15396629"/>
      <w:r>
        <w:rPr>
          <w:rStyle w:val="22"/>
          <w:rFonts w:hint="eastAsia" w:ascii="仿宋" w:hAnsi="仿宋" w:eastAsia="仿宋"/>
          <w:b w:val="0"/>
          <w:bCs w:val="0"/>
        </w:rPr>
        <w:t>十一、</w:t>
      </w:r>
      <w:bookmarkEnd w:id="10"/>
      <w:r>
        <w:rPr>
          <w:rFonts w:hint="eastAsia" w:ascii="仿宋" w:hAnsi="仿宋" w:eastAsia="仿宋"/>
          <w:b w:val="0"/>
        </w:rPr>
        <w:t>国</w:t>
      </w:r>
      <w:r>
        <w:rPr>
          <w:rStyle w:val="22"/>
          <w:rFonts w:hint="eastAsia" w:ascii="仿宋" w:hAnsi="仿宋" w:eastAsia="仿宋"/>
          <w:b w:val="0"/>
          <w:bCs w:val="0"/>
        </w:rPr>
        <w:t>有资本经营预算财政拨款收入支出决算表</w:t>
      </w:r>
    </w:p>
    <w:p>
      <w:pPr>
        <w:pStyle w:val="4"/>
        <w:rPr>
          <w:rFonts w:ascii="仿宋" w:hAnsi="仿宋" w:eastAsia="仿宋"/>
        </w:rPr>
      </w:pPr>
      <w:bookmarkStart w:id="11" w:name="_Toc15396630"/>
      <w:r>
        <w:rPr>
          <w:rStyle w:val="22"/>
          <w:rFonts w:hint="eastAsia" w:ascii="仿宋" w:hAnsi="仿宋" w:eastAsia="仿宋"/>
          <w:b w:val="0"/>
          <w:bCs w:val="0"/>
        </w:rPr>
        <w:t>十二、</w:t>
      </w:r>
      <w:bookmarkEnd w:id="11"/>
      <w:r>
        <w:rPr>
          <w:rStyle w:val="22"/>
          <w:rFonts w:hint="eastAsia" w:ascii="仿宋" w:hAnsi="仿宋" w:eastAsia="仿宋"/>
          <w:b w:val="0"/>
          <w:bCs w:val="0"/>
        </w:rPr>
        <w:t>国有资本经营预算财政拨款支出决算表</w:t>
      </w:r>
    </w:p>
    <w:p>
      <w:pPr>
        <w:pStyle w:val="4"/>
        <w:rPr>
          <w:rFonts w:eastAsia="仿宋"/>
        </w:rPr>
      </w:pPr>
      <w:bookmarkStart w:id="12" w:name="_Toc15396631"/>
      <w:r>
        <w:rPr>
          <w:rStyle w:val="22"/>
          <w:rFonts w:hint="eastAsia" w:ascii="仿宋" w:hAnsi="仿宋" w:eastAsia="仿宋"/>
          <w:b w:val="0"/>
          <w:bCs w:val="0"/>
        </w:rPr>
        <w:t>十三、</w:t>
      </w:r>
      <w:bookmarkEnd w:id="12"/>
      <w:r>
        <w:rPr>
          <w:rStyle w:val="22"/>
          <w:rFonts w:hint="eastAsia" w:ascii="仿宋" w:hAnsi="仿宋" w:eastAsia="仿宋"/>
          <w:b w:val="0"/>
          <w:bCs w:val="0"/>
        </w:rPr>
        <w:t>财政拨款“三公”经费支出决算表</w:t>
      </w:r>
    </w:p>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FZFSJW--GB1-0">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18EC47"/>
    <w:multiLevelType w:val="singleLevel"/>
    <w:tmpl w:val="3918EC47"/>
    <w:lvl w:ilvl="0" w:tentative="0">
      <w:start w:val="5"/>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E1ZWM2Mjk0MGFlMjk1MTg4MjI1ZTliYmQwMmMwYmQifQ=="/>
  </w:docVars>
  <w:rsids>
    <w:rsidRoot w:val="00EA4B6A"/>
    <w:rsid w:val="00001056"/>
    <w:rsid w:val="0000108E"/>
    <w:rsid w:val="00001C01"/>
    <w:rsid w:val="00002B2B"/>
    <w:rsid w:val="00002B37"/>
    <w:rsid w:val="00003961"/>
    <w:rsid w:val="00005A44"/>
    <w:rsid w:val="00006037"/>
    <w:rsid w:val="0001563F"/>
    <w:rsid w:val="00017119"/>
    <w:rsid w:val="00017353"/>
    <w:rsid w:val="000207EA"/>
    <w:rsid w:val="0002124C"/>
    <w:rsid w:val="000228AC"/>
    <w:rsid w:val="00022B42"/>
    <w:rsid w:val="00023BD1"/>
    <w:rsid w:val="00024007"/>
    <w:rsid w:val="000243E9"/>
    <w:rsid w:val="00024C78"/>
    <w:rsid w:val="000260EC"/>
    <w:rsid w:val="000303C2"/>
    <w:rsid w:val="00030FF7"/>
    <w:rsid w:val="0003126A"/>
    <w:rsid w:val="00032443"/>
    <w:rsid w:val="00032D42"/>
    <w:rsid w:val="000334F4"/>
    <w:rsid w:val="00034868"/>
    <w:rsid w:val="0003598C"/>
    <w:rsid w:val="00036279"/>
    <w:rsid w:val="00037420"/>
    <w:rsid w:val="00037B3A"/>
    <w:rsid w:val="00037BED"/>
    <w:rsid w:val="00040517"/>
    <w:rsid w:val="00040826"/>
    <w:rsid w:val="00040AEB"/>
    <w:rsid w:val="000412EF"/>
    <w:rsid w:val="00042E4B"/>
    <w:rsid w:val="000454BD"/>
    <w:rsid w:val="000460C6"/>
    <w:rsid w:val="000472A5"/>
    <w:rsid w:val="00047760"/>
    <w:rsid w:val="000479A0"/>
    <w:rsid w:val="00050443"/>
    <w:rsid w:val="000504D3"/>
    <w:rsid w:val="00054134"/>
    <w:rsid w:val="00054E81"/>
    <w:rsid w:val="00054FB2"/>
    <w:rsid w:val="0005527E"/>
    <w:rsid w:val="0005572B"/>
    <w:rsid w:val="0005587B"/>
    <w:rsid w:val="00055B12"/>
    <w:rsid w:val="0005613B"/>
    <w:rsid w:val="000563C4"/>
    <w:rsid w:val="00060DDE"/>
    <w:rsid w:val="00061785"/>
    <w:rsid w:val="00062141"/>
    <w:rsid w:val="00064397"/>
    <w:rsid w:val="00064D94"/>
    <w:rsid w:val="00065480"/>
    <w:rsid w:val="0006686E"/>
    <w:rsid w:val="00070E83"/>
    <w:rsid w:val="000726AE"/>
    <w:rsid w:val="000727B2"/>
    <w:rsid w:val="00072B3E"/>
    <w:rsid w:val="00072BD0"/>
    <w:rsid w:val="0007339A"/>
    <w:rsid w:val="000756B0"/>
    <w:rsid w:val="000757E5"/>
    <w:rsid w:val="0007709F"/>
    <w:rsid w:val="0007749D"/>
    <w:rsid w:val="000805C6"/>
    <w:rsid w:val="000808A8"/>
    <w:rsid w:val="00081917"/>
    <w:rsid w:val="00082AD9"/>
    <w:rsid w:val="00084492"/>
    <w:rsid w:val="00085D1C"/>
    <w:rsid w:val="00087D18"/>
    <w:rsid w:val="00090FFB"/>
    <w:rsid w:val="00091154"/>
    <w:rsid w:val="000918A6"/>
    <w:rsid w:val="000920B0"/>
    <w:rsid w:val="00093A88"/>
    <w:rsid w:val="00096849"/>
    <w:rsid w:val="000969B7"/>
    <w:rsid w:val="00097683"/>
    <w:rsid w:val="000A0945"/>
    <w:rsid w:val="000A48CA"/>
    <w:rsid w:val="000A4E43"/>
    <w:rsid w:val="000A5CFC"/>
    <w:rsid w:val="000A5E3F"/>
    <w:rsid w:val="000A6C58"/>
    <w:rsid w:val="000B1868"/>
    <w:rsid w:val="000B18E0"/>
    <w:rsid w:val="000B2944"/>
    <w:rsid w:val="000B6469"/>
    <w:rsid w:val="000C119E"/>
    <w:rsid w:val="000C1657"/>
    <w:rsid w:val="000C1FE1"/>
    <w:rsid w:val="000C2236"/>
    <w:rsid w:val="000C3218"/>
    <w:rsid w:val="000C4B32"/>
    <w:rsid w:val="000C589C"/>
    <w:rsid w:val="000C66EB"/>
    <w:rsid w:val="000C6DAD"/>
    <w:rsid w:val="000C744B"/>
    <w:rsid w:val="000D0A2B"/>
    <w:rsid w:val="000D1815"/>
    <w:rsid w:val="000D2B76"/>
    <w:rsid w:val="000D35DD"/>
    <w:rsid w:val="000D404D"/>
    <w:rsid w:val="000D4F2A"/>
    <w:rsid w:val="000D6E2E"/>
    <w:rsid w:val="000E0489"/>
    <w:rsid w:val="000E090D"/>
    <w:rsid w:val="000E17CF"/>
    <w:rsid w:val="000E1DF7"/>
    <w:rsid w:val="000E1F7D"/>
    <w:rsid w:val="000E24A9"/>
    <w:rsid w:val="000E4D58"/>
    <w:rsid w:val="000E52DE"/>
    <w:rsid w:val="000E5356"/>
    <w:rsid w:val="000E5367"/>
    <w:rsid w:val="000E57D3"/>
    <w:rsid w:val="000E5F04"/>
    <w:rsid w:val="000E6596"/>
    <w:rsid w:val="000F05C9"/>
    <w:rsid w:val="000F1206"/>
    <w:rsid w:val="000F2C45"/>
    <w:rsid w:val="000F3592"/>
    <w:rsid w:val="000F432E"/>
    <w:rsid w:val="000F4BBF"/>
    <w:rsid w:val="000F4D80"/>
    <w:rsid w:val="000F67ED"/>
    <w:rsid w:val="00101002"/>
    <w:rsid w:val="001032B1"/>
    <w:rsid w:val="00104BF8"/>
    <w:rsid w:val="0010502C"/>
    <w:rsid w:val="00105086"/>
    <w:rsid w:val="00105DDC"/>
    <w:rsid w:val="00107782"/>
    <w:rsid w:val="001101FB"/>
    <w:rsid w:val="00110F4D"/>
    <w:rsid w:val="00110F99"/>
    <w:rsid w:val="001122F9"/>
    <w:rsid w:val="00112403"/>
    <w:rsid w:val="001126FF"/>
    <w:rsid w:val="0011289C"/>
    <w:rsid w:val="00114719"/>
    <w:rsid w:val="0011611F"/>
    <w:rsid w:val="00116928"/>
    <w:rsid w:val="0011698D"/>
    <w:rsid w:val="00117B2A"/>
    <w:rsid w:val="00120078"/>
    <w:rsid w:val="001203A8"/>
    <w:rsid w:val="00121DE2"/>
    <w:rsid w:val="00121F96"/>
    <w:rsid w:val="0012299F"/>
    <w:rsid w:val="001231CC"/>
    <w:rsid w:val="00124622"/>
    <w:rsid w:val="0012466C"/>
    <w:rsid w:val="00125E1F"/>
    <w:rsid w:val="001276BE"/>
    <w:rsid w:val="00127834"/>
    <w:rsid w:val="001327B4"/>
    <w:rsid w:val="00132D8E"/>
    <w:rsid w:val="00133656"/>
    <w:rsid w:val="00133AF9"/>
    <w:rsid w:val="00134B47"/>
    <w:rsid w:val="00134CCE"/>
    <w:rsid w:val="00134D13"/>
    <w:rsid w:val="001357E2"/>
    <w:rsid w:val="00135F56"/>
    <w:rsid w:val="0013657D"/>
    <w:rsid w:val="00140BE9"/>
    <w:rsid w:val="0014218E"/>
    <w:rsid w:val="0014359D"/>
    <w:rsid w:val="00143D69"/>
    <w:rsid w:val="00144E0E"/>
    <w:rsid w:val="0014533F"/>
    <w:rsid w:val="001455CD"/>
    <w:rsid w:val="00146239"/>
    <w:rsid w:val="00146A5A"/>
    <w:rsid w:val="0014748E"/>
    <w:rsid w:val="00147E7F"/>
    <w:rsid w:val="001503E7"/>
    <w:rsid w:val="00150D13"/>
    <w:rsid w:val="00151200"/>
    <w:rsid w:val="001515BA"/>
    <w:rsid w:val="00151A88"/>
    <w:rsid w:val="0015319E"/>
    <w:rsid w:val="0015407E"/>
    <w:rsid w:val="00154718"/>
    <w:rsid w:val="001554C7"/>
    <w:rsid w:val="001565EC"/>
    <w:rsid w:val="00157AF0"/>
    <w:rsid w:val="00160527"/>
    <w:rsid w:val="001615B5"/>
    <w:rsid w:val="00161C3C"/>
    <w:rsid w:val="00161DEC"/>
    <w:rsid w:val="00162C76"/>
    <w:rsid w:val="001634CD"/>
    <w:rsid w:val="00165663"/>
    <w:rsid w:val="0016661B"/>
    <w:rsid w:val="0017079C"/>
    <w:rsid w:val="00170F0F"/>
    <w:rsid w:val="001714A5"/>
    <w:rsid w:val="001716B3"/>
    <w:rsid w:val="00171ADB"/>
    <w:rsid w:val="00171E7C"/>
    <w:rsid w:val="001722F4"/>
    <w:rsid w:val="00172EE9"/>
    <w:rsid w:val="001730AD"/>
    <w:rsid w:val="00173850"/>
    <w:rsid w:val="00173B1D"/>
    <w:rsid w:val="00173EC5"/>
    <w:rsid w:val="00175044"/>
    <w:rsid w:val="00175109"/>
    <w:rsid w:val="00180AA4"/>
    <w:rsid w:val="00180FA4"/>
    <w:rsid w:val="0018188D"/>
    <w:rsid w:val="00182DB5"/>
    <w:rsid w:val="001840D8"/>
    <w:rsid w:val="00184617"/>
    <w:rsid w:val="001865FD"/>
    <w:rsid w:val="0018675D"/>
    <w:rsid w:val="00186FD9"/>
    <w:rsid w:val="001912D6"/>
    <w:rsid w:val="00192335"/>
    <w:rsid w:val="00192CB1"/>
    <w:rsid w:val="00194985"/>
    <w:rsid w:val="00196028"/>
    <w:rsid w:val="00196363"/>
    <w:rsid w:val="00196F88"/>
    <w:rsid w:val="001976F9"/>
    <w:rsid w:val="001A0543"/>
    <w:rsid w:val="001A0AB9"/>
    <w:rsid w:val="001A1EF4"/>
    <w:rsid w:val="001A306D"/>
    <w:rsid w:val="001A30A3"/>
    <w:rsid w:val="001A3994"/>
    <w:rsid w:val="001A4B8A"/>
    <w:rsid w:val="001A4DA8"/>
    <w:rsid w:val="001A51C5"/>
    <w:rsid w:val="001A6766"/>
    <w:rsid w:val="001A7337"/>
    <w:rsid w:val="001B054D"/>
    <w:rsid w:val="001B0784"/>
    <w:rsid w:val="001B17A8"/>
    <w:rsid w:val="001B19BE"/>
    <w:rsid w:val="001B2091"/>
    <w:rsid w:val="001B2506"/>
    <w:rsid w:val="001B2DD6"/>
    <w:rsid w:val="001B317B"/>
    <w:rsid w:val="001B3C83"/>
    <w:rsid w:val="001B5B3C"/>
    <w:rsid w:val="001B5CB6"/>
    <w:rsid w:val="001B62DE"/>
    <w:rsid w:val="001B66FF"/>
    <w:rsid w:val="001B6B6B"/>
    <w:rsid w:val="001B72BC"/>
    <w:rsid w:val="001B7F57"/>
    <w:rsid w:val="001B7FAE"/>
    <w:rsid w:val="001C0000"/>
    <w:rsid w:val="001C3A6A"/>
    <w:rsid w:val="001C3D05"/>
    <w:rsid w:val="001C4820"/>
    <w:rsid w:val="001C5454"/>
    <w:rsid w:val="001C5A56"/>
    <w:rsid w:val="001C638F"/>
    <w:rsid w:val="001C6D17"/>
    <w:rsid w:val="001D1CB1"/>
    <w:rsid w:val="001D2025"/>
    <w:rsid w:val="001D2DCC"/>
    <w:rsid w:val="001D3652"/>
    <w:rsid w:val="001D3F25"/>
    <w:rsid w:val="001D79FC"/>
    <w:rsid w:val="001D7EEF"/>
    <w:rsid w:val="001E0A7D"/>
    <w:rsid w:val="001E1538"/>
    <w:rsid w:val="001E1E80"/>
    <w:rsid w:val="001E221E"/>
    <w:rsid w:val="001E3703"/>
    <w:rsid w:val="001E39BC"/>
    <w:rsid w:val="001E3B41"/>
    <w:rsid w:val="001E435B"/>
    <w:rsid w:val="001E4F58"/>
    <w:rsid w:val="001E62B5"/>
    <w:rsid w:val="001E65FF"/>
    <w:rsid w:val="001E7C0E"/>
    <w:rsid w:val="001F0647"/>
    <w:rsid w:val="001F297E"/>
    <w:rsid w:val="001F3B66"/>
    <w:rsid w:val="001F40CB"/>
    <w:rsid w:val="001F736F"/>
    <w:rsid w:val="00200EE0"/>
    <w:rsid w:val="002015DB"/>
    <w:rsid w:val="0020455A"/>
    <w:rsid w:val="002050E6"/>
    <w:rsid w:val="00207E3E"/>
    <w:rsid w:val="00210DD8"/>
    <w:rsid w:val="00210F5A"/>
    <w:rsid w:val="00211F72"/>
    <w:rsid w:val="00213EC1"/>
    <w:rsid w:val="00213F5F"/>
    <w:rsid w:val="0021415E"/>
    <w:rsid w:val="00214404"/>
    <w:rsid w:val="0021447C"/>
    <w:rsid w:val="00214A9D"/>
    <w:rsid w:val="00215153"/>
    <w:rsid w:val="00215DFE"/>
    <w:rsid w:val="00216A43"/>
    <w:rsid w:val="00221A66"/>
    <w:rsid w:val="00223347"/>
    <w:rsid w:val="00223A3F"/>
    <w:rsid w:val="002241C9"/>
    <w:rsid w:val="002244C5"/>
    <w:rsid w:val="00225517"/>
    <w:rsid w:val="00227706"/>
    <w:rsid w:val="002322C1"/>
    <w:rsid w:val="00232685"/>
    <w:rsid w:val="00233170"/>
    <w:rsid w:val="00233E76"/>
    <w:rsid w:val="00234F87"/>
    <w:rsid w:val="002350F8"/>
    <w:rsid w:val="00236AFC"/>
    <w:rsid w:val="0024364C"/>
    <w:rsid w:val="002436C1"/>
    <w:rsid w:val="0024521F"/>
    <w:rsid w:val="00246A19"/>
    <w:rsid w:val="00247A15"/>
    <w:rsid w:val="00251629"/>
    <w:rsid w:val="00251906"/>
    <w:rsid w:val="00252AEF"/>
    <w:rsid w:val="002533A7"/>
    <w:rsid w:val="00254508"/>
    <w:rsid w:val="002559FC"/>
    <w:rsid w:val="00255CFB"/>
    <w:rsid w:val="00255E9E"/>
    <w:rsid w:val="00256A52"/>
    <w:rsid w:val="00256B55"/>
    <w:rsid w:val="002614D4"/>
    <w:rsid w:val="00261723"/>
    <w:rsid w:val="00263201"/>
    <w:rsid w:val="0026376B"/>
    <w:rsid w:val="00263A31"/>
    <w:rsid w:val="0026450F"/>
    <w:rsid w:val="00264A19"/>
    <w:rsid w:val="00264DB3"/>
    <w:rsid w:val="00265367"/>
    <w:rsid w:val="00265FB4"/>
    <w:rsid w:val="00267391"/>
    <w:rsid w:val="002677EF"/>
    <w:rsid w:val="00271149"/>
    <w:rsid w:val="00271C4D"/>
    <w:rsid w:val="0027313B"/>
    <w:rsid w:val="0027567A"/>
    <w:rsid w:val="0027705A"/>
    <w:rsid w:val="00277356"/>
    <w:rsid w:val="0027753B"/>
    <w:rsid w:val="00283452"/>
    <w:rsid w:val="002844B6"/>
    <w:rsid w:val="00285211"/>
    <w:rsid w:val="002855AB"/>
    <w:rsid w:val="00286BD9"/>
    <w:rsid w:val="002879E7"/>
    <w:rsid w:val="00290381"/>
    <w:rsid w:val="002919C7"/>
    <w:rsid w:val="00293396"/>
    <w:rsid w:val="00293BC2"/>
    <w:rsid w:val="00294485"/>
    <w:rsid w:val="0029500A"/>
    <w:rsid w:val="0029511F"/>
    <w:rsid w:val="002A0944"/>
    <w:rsid w:val="002A0ADD"/>
    <w:rsid w:val="002A0C73"/>
    <w:rsid w:val="002A1906"/>
    <w:rsid w:val="002A1EA5"/>
    <w:rsid w:val="002A2662"/>
    <w:rsid w:val="002A2C63"/>
    <w:rsid w:val="002A2CB3"/>
    <w:rsid w:val="002A35B3"/>
    <w:rsid w:val="002A361C"/>
    <w:rsid w:val="002A48AA"/>
    <w:rsid w:val="002A794B"/>
    <w:rsid w:val="002B0D80"/>
    <w:rsid w:val="002B1A79"/>
    <w:rsid w:val="002B1B33"/>
    <w:rsid w:val="002B1EF6"/>
    <w:rsid w:val="002B2277"/>
    <w:rsid w:val="002B2846"/>
    <w:rsid w:val="002B4ED3"/>
    <w:rsid w:val="002B5CFF"/>
    <w:rsid w:val="002B749F"/>
    <w:rsid w:val="002C0849"/>
    <w:rsid w:val="002C1894"/>
    <w:rsid w:val="002C2257"/>
    <w:rsid w:val="002C250E"/>
    <w:rsid w:val="002C550A"/>
    <w:rsid w:val="002C5A45"/>
    <w:rsid w:val="002C62A1"/>
    <w:rsid w:val="002C66A6"/>
    <w:rsid w:val="002C6B28"/>
    <w:rsid w:val="002C72F3"/>
    <w:rsid w:val="002C754A"/>
    <w:rsid w:val="002C79FB"/>
    <w:rsid w:val="002C7B07"/>
    <w:rsid w:val="002D04D4"/>
    <w:rsid w:val="002D075E"/>
    <w:rsid w:val="002D0B17"/>
    <w:rsid w:val="002D0C56"/>
    <w:rsid w:val="002D1BD8"/>
    <w:rsid w:val="002D1E36"/>
    <w:rsid w:val="002D2129"/>
    <w:rsid w:val="002D30F9"/>
    <w:rsid w:val="002D31C5"/>
    <w:rsid w:val="002D355B"/>
    <w:rsid w:val="002D40B1"/>
    <w:rsid w:val="002D4898"/>
    <w:rsid w:val="002D4AE4"/>
    <w:rsid w:val="002D6000"/>
    <w:rsid w:val="002D6B37"/>
    <w:rsid w:val="002D722A"/>
    <w:rsid w:val="002D7CE6"/>
    <w:rsid w:val="002D7E73"/>
    <w:rsid w:val="002E1800"/>
    <w:rsid w:val="002E22E6"/>
    <w:rsid w:val="002E2DB2"/>
    <w:rsid w:val="002E2FAF"/>
    <w:rsid w:val="002E3CEA"/>
    <w:rsid w:val="002E5422"/>
    <w:rsid w:val="002E667E"/>
    <w:rsid w:val="002E6D34"/>
    <w:rsid w:val="002E6D47"/>
    <w:rsid w:val="002F19F8"/>
    <w:rsid w:val="002F221E"/>
    <w:rsid w:val="002F2674"/>
    <w:rsid w:val="002F31C3"/>
    <w:rsid w:val="002F3553"/>
    <w:rsid w:val="002F4CF2"/>
    <w:rsid w:val="002F65D0"/>
    <w:rsid w:val="002F6F50"/>
    <w:rsid w:val="002F6FF2"/>
    <w:rsid w:val="002F7108"/>
    <w:rsid w:val="002F7A93"/>
    <w:rsid w:val="003008C5"/>
    <w:rsid w:val="0030294C"/>
    <w:rsid w:val="00302DD4"/>
    <w:rsid w:val="003034CE"/>
    <w:rsid w:val="00304BDD"/>
    <w:rsid w:val="00305C82"/>
    <w:rsid w:val="003066BC"/>
    <w:rsid w:val="00306F3A"/>
    <w:rsid w:val="00307164"/>
    <w:rsid w:val="0030733D"/>
    <w:rsid w:val="0031039F"/>
    <w:rsid w:val="0031044D"/>
    <w:rsid w:val="0031271D"/>
    <w:rsid w:val="00312965"/>
    <w:rsid w:val="00312C7A"/>
    <w:rsid w:val="003135AB"/>
    <w:rsid w:val="00313931"/>
    <w:rsid w:val="003159A8"/>
    <w:rsid w:val="00315FAE"/>
    <w:rsid w:val="00316130"/>
    <w:rsid w:val="00317ED5"/>
    <w:rsid w:val="0032007C"/>
    <w:rsid w:val="00320D6C"/>
    <w:rsid w:val="00320D97"/>
    <w:rsid w:val="0032176F"/>
    <w:rsid w:val="003234A4"/>
    <w:rsid w:val="0032696D"/>
    <w:rsid w:val="00330400"/>
    <w:rsid w:val="00330FA7"/>
    <w:rsid w:val="003315CE"/>
    <w:rsid w:val="00332A97"/>
    <w:rsid w:val="00332D68"/>
    <w:rsid w:val="00333217"/>
    <w:rsid w:val="00333360"/>
    <w:rsid w:val="00334A36"/>
    <w:rsid w:val="00334D73"/>
    <w:rsid w:val="00336756"/>
    <w:rsid w:val="00336BBD"/>
    <w:rsid w:val="0034004A"/>
    <w:rsid w:val="003406FB"/>
    <w:rsid w:val="00340728"/>
    <w:rsid w:val="0034191C"/>
    <w:rsid w:val="0034237E"/>
    <w:rsid w:val="003429B3"/>
    <w:rsid w:val="00342DB7"/>
    <w:rsid w:val="003436A4"/>
    <w:rsid w:val="00343F1C"/>
    <w:rsid w:val="00343F3A"/>
    <w:rsid w:val="0034558B"/>
    <w:rsid w:val="0034764D"/>
    <w:rsid w:val="00347B55"/>
    <w:rsid w:val="0035065D"/>
    <w:rsid w:val="003507AF"/>
    <w:rsid w:val="00350B96"/>
    <w:rsid w:val="003514DE"/>
    <w:rsid w:val="00351B07"/>
    <w:rsid w:val="00351E1A"/>
    <w:rsid w:val="00352D4C"/>
    <w:rsid w:val="00353121"/>
    <w:rsid w:val="00353CD7"/>
    <w:rsid w:val="00354172"/>
    <w:rsid w:val="00354541"/>
    <w:rsid w:val="00354E80"/>
    <w:rsid w:val="00354F5B"/>
    <w:rsid w:val="0035614B"/>
    <w:rsid w:val="003570C6"/>
    <w:rsid w:val="00357E3E"/>
    <w:rsid w:val="00360CA7"/>
    <w:rsid w:val="00360DAC"/>
    <w:rsid w:val="00362205"/>
    <w:rsid w:val="00363E49"/>
    <w:rsid w:val="00365D9C"/>
    <w:rsid w:val="00366E9E"/>
    <w:rsid w:val="00367C98"/>
    <w:rsid w:val="00370409"/>
    <w:rsid w:val="003735D2"/>
    <w:rsid w:val="00373D5E"/>
    <w:rsid w:val="0037505D"/>
    <w:rsid w:val="00376B02"/>
    <w:rsid w:val="003771B9"/>
    <w:rsid w:val="0037779E"/>
    <w:rsid w:val="00377E22"/>
    <w:rsid w:val="00377EE1"/>
    <w:rsid w:val="003825B6"/>
    <w:rsid w:val="003846BF"/>
    <w:rsid w:val="003852E4"/>
    <w:rsid w:val="003856E9"/>
    <w:rsid w:val="00385857"/>
    <w:rsid w:val="00386F9E"/>
    <w:rsid w:val="00387AE3"/>
    <w:rsid w:val="00391866"/>
    <w:rsid w:val="00391A8C"/>
    <w:rsid w:val="003922C3"/>
    <w:rsid w:val="00392493"/>
    <w:rsid w:val="00392569"/>
    <w:rsid w:val="0039345A"/>
    <w:rsid w:val="00393AAF"/>
    <w:rsid w:val="003963DB"/>
    <w:rsid w:val="003965B6"/>
    <w:rsid w:val="00396EA2"/>
    <w:rsid w:val="00396FDE"/>
    <w:rsid w:val="00397128"/>
    <w:rsid w:val="003A0181"/>
    <w:rsid w:val="003A0B88"/>
    <w:rsid w:val="003A11F9"/>
    <w:rsid w:val="003A1F46"/>
    <w:rsid w:val="003A2D65"/>
    <w:rsid w:val="003A3139"/>
    <w:rsid w:val="003A313B"/>
    <w:rsid w:val="003A5C91"/>
    <w:rsid w:val="003A7E62"/>
    <w:rsid w:val="003B01BA"/>
    <w:rsid w:val="003B099F"/>
    <w:rsid w:val="003B0C3A"/>
    <w:rsid w:val="003B19CD"/>
    <w:rsid w:val="003B410D"/>
    <w:rsid w:val="003B5A20"/>
    <w:rsid w:val="003B5E0F"/>
    <w:rsid w:val="003B6555"/>
    <w:rsid w:val="003B697E"/>
    <w:rsid w:val="003B6A13"/>
    <w:rsid w:val="003B6C2B"/>
    <w:rsid w:val="003B7512"/>
    <w:rsid w:val="003B7B48"/>
    <w:rsid w:val="003C0431"/>
    <w:rsid w:val="003C0873"/>
    <w:rsid w:val="003C0E8F"/>
    <w:rsid w:val="003C1958"/>
    <w:rsid w:val="003C1F35"/>
    <w:rsid w:val="003C2D79"/>
    <w:rsid w:val="003C2E73"/>
    <w:rsid w:val="003C6106"/>
    <w:rsid w:val="003C7AB8"/>
    <w:rsid w:val="003D012B"/>
    <w:rsid w:val="003D0609"/>
    <w:rsid w:val="003D1277"/>
    <w:rsid w:val="003D25AB"/>
    <w:rsid w:val="003D2972"/>
    <w:rsid w:val="003D414C"/>
    <w:rsid w:val="003D55A9"/>
    <w:rsid w:val="003D5C31"/>
    <w:rsid w:val="003D6521"/>
    <w:rsid w:val="003D71ED"/>
    <w:rsid w:val="003D7A16"/>
    <w:rsid w:val="003E150D"/>
    <w:rsid w:val="003E2047"/>
    <w:rsid w:val="003E28FB"/>
    <w:rsid w:val="003E2B73"/>
    <w:rsid w:val="003E2CB1"/>
    <w:rsid w:val="003E2DB0"/>
    <w:rsid w:val="003E2DD1"/>
    <w:rsid w:val="003E4463"/>
    <w:rsid w:val="003E5E14"/>
    <w:rsid w:val="003E689B"/>
    <w:rsid w:val="003F06D3"/>
    <w:rsid w:val="003F0821"/>
    <w:rsid w:val="003F0DD0"/>
    <w:rsid w:val="003F0FEB"/>
    <w:rsid w:val="003F1477"/>
    <w:rsid w:val="003F27C6"/>
    <w:rsid w:val="003F32C3"/>
    <w:rsid w:val="003F61C1"/>
    <w:rsid w:val="003F6217"/>
    <w:rsid w:val="003F6921"/>
    <w:rsid w:val="003F6F42"/>
    <w:rsid w:val="003F76E3"/>
    <w:rsid w:val="00400384"/>
    <w:rsid w:val="00400A55"/>
    <w:rsid w:val="0040105F"/>
    <w:rsid w:val="00401921"/>
    <w:rsid w:val="004019BF"/>
    <w:rsid w:val="00401B80"/>
    <w:rsid w:val="00402E7B"/>
    <w:rsid w:val="00405AA6"/>
    <w:rsid w:val="00405E4D"/>
    <w:rsid w:val="0040730C"/>
    <w:rsid w:val="00407A8D"/>
    <w:rsid w:val="00410B71"/>
    <w:rsid w:val="004111BF"/>
    <w:rsid w:val="00411D56"/>
    <w:rsid w:val="00414294"/>
    <w:rsid w:val="00415CEA"/>
    <w:rsid w:val="00415D78"/>
    <w:rsid w:val="00417CDA"/>
    <w:rsid w:val="004206D5"/>
    <w:rsid w:val="00421F2F"/>
    <w:rsid w:val="004222B5"/>
    <w:rsid w:val="00422338"/>
    <w:rsid w:val="004242C9"/>
    <w:rsid w:val="0042445A"/>
    <w:rsid w:val="00424D4F"/>
    <w:rsid w:val="00425C64"/>
    <w:rsid w:val="00426147"/>
    <w:rsid w:val="00426B54"/>
    <w:rsid w:val="004318FF"/>
    <w:rsid w:val="004334F4"/>
    <w:rsid w:val="00433F18"/>
    <w:rsid w:val="004348CB"/>
    <w:rsid w:val="00435E2D"/>
    <w:rsid w:val="0043624E"/>
    <w:rsid w:val="004401CD"/>
    <w:rsid w:val="004409C3"/>
    <w:rsid w:val="0044277D"/>
    <w:rsid w:val="00447418"/>
    <w:rsid w:val="00447DF6"/>
    <w:rsid w:val="00452051"/>
    <w:rsid w:val="004527F0"/>
    <w:rsid w:val="00452F94"/>
    <w:rsid w:val="0045412C"/>
    <w:rsid w:val="004553E4"/>
    <w:rsid w:val="00457262"/>
    <w:rsid w:val="004574AF"/>
    <w:rsid w:val="00457CF6"/>
    <w:rsid w:val="0046453A"/>
    <w:rsid w:val="00465CD0"/>
    <w:rsid w:val="00466271"/>
    <w:rsid w:val="00466DBD"/>
    <w:rsid w:val="00467CB3"/>
    <w:rsid w:val="00467F53"/>
    <w:rsid w:val="00470CFB"/>
    <w:rsid w:val="004718FA"/>
    <w:rsid w:val="004737FE"/>
    <w:rsid w:val="00474648"/>
    <w:rsid w:val="00476AC0"/>
    <w:rsid w:val="00477158"/>
    <w:rsid w:val="00477A00"/>
    <w:rsid w:val="0048324E"/>
    <w:rsid w:val="00483CFA"/>
    <w:rsid w:val="004841C5"/>
    <w:rsid w:val="00484345"/>
    <w:rsid w:val="00484A77"/>
    <w:rsid w:val="00485050"/>
    <w:rsid w:val="0048568E"/>
    <w:rsid w:val="004856B0"/>
    <w:rsid w:val="00486506"/>
    <w:rsid w:val="004900D7"/>
    <w:rsid w:val="00491DAA"/>
    <w:rsid w:val="004928E2"/>
    <w:rsid w:val="004945D3"/>
    <w:rsid w:val="004945F2"/>
    <w:rsid w:val="00495407"/>
    <w:rsid w:val="00495D11"/>
    <w:rsid w:val="00496463"/>
    <w:rsid w:val="004A139F"/>
    <w:rsid w:val="004A1887"/>
    <w:rsid w:val="004A2F82"/>
    <w:rsid w:val="004A34D3"/>
    <w:rsid w:val="004A35CE"/>
    <w:rsid w:val="004A3DAF"/>
    <w:rsid w:val="004A5399"/>
    <w:rsid w:val="004A5627"/>
    <w:rsid w:val="004A5E08"/>
    <w:rsid w:val="004A70B9"/>
    <w:rsid w:val="004A7E7D"/>
    <w:rsid w:val="004B0304"/>
    <w:rsid w:val="004B28C4"/>
    <w:rsid w:val="004B37AB"/>
    <w:rsid w:val="004B3D75"/>
    <w:rsid w:val="004B5657"/>
    <w:rsid w:val="004B78D6"/>
    <w:rsid w:val="004B7FB1"/>
    <w:rsid w:val="004C1092"/>
    <w:rsid w:val="004C2726"/>
    <w:rsid w:val="004C34B6"/>
    <w:rsid w:val="004C51C1"/>
    <w:rsid w:val="004C51FD"/>
    <w:rsid w:val="004C656B"/>
    <w:rsid w:val="004C6A0B"/>
    <w:rsid w:val="004D032A"/>
    <w:rsid w:val="004D095A"/>
    <w:rsid w:val="004D2744"/>
    <w:rsid w:val="004D274D"/>
    <w:rsid w:val="004D3116"/>
    <w:rsid w:val="004D472A"/>
    <w:rsid w:val="004D565D"/>
    <w:rsid w:val="004D7A4C"/>
    <w:rsid w:val="004E059A"/>
    <w:rsid w:val="004E0FC3"/>
    <w:rsid w:val="004E223E"/>
    <w:rsid w:val="004E5BBA"/>
    <w:rsid w:val="004E5EA0"/>
    <w:rsid w:val="004F04A7"/>
    <w:rsid w:val="004F09C3"/>
    <w:rsid w:val="004F1FFA"/>
    <w:rsid w:val="004F25FD"/>
    <w:rsid w:val="004F2C9A"/>
    <w:rsid w:val="004F2F31"/>
    <w:rsid w:val="004F3457"/>
    <w:rsid w:val="004F35A7"/>
    <w:rsid w:val="004F3732"/>
    <w:rsid w:val="004F4C56"/>
    <w:rsid w:val="004F6BE1"/>
    <w:rsid w:val="005018A5"/>
    <w:rsid w:val="00502112"/>
    <w:rsid w:val="005028AE"/>
    <w:rsid w:val="00502F93"/>
    <w:rsid w:val="005035E3"/>
    <w:rsid w:val="005036B0"/>
    <w:rsid w:val="005037EB"/>
    <w:rsid w:val="00504049"/>
    <w:rsid w:val="005045DE"/>
    <w:rsid w:val="00504BB8"/>
    <w:rsid w:val="005061F6"/>
    <w:rsid w:val="00507364"/>
    <w:rsid w:val="00507602"/>
    <w:rsid w:val="00507B20"/>
    <w:rsid w:val="00510756"/>
    <w:rsid w:val="0051146C"/>
    <w:rsid w:val="00511BBE"/>
    <w:rsid w:val="00514FE9"/>
    <w:rsid w:val="00515A9F"/>
    <w:rsid w:val="00516A17"/>
    <w:rsid w:val="00516E31"/>
    <w:rsid w:val="005174D8"/>
    <w:rsid w:val="00520542"/>
    <w:rsid w:val="0052360A"/>
    <w:rsid w:val="00524C53"/>
    <w:rsid w:val="00525B8C"/>
    <w:rsid w:val="005301D4"/>
    <w:rsid w:val="00530875"/>
    <w:rsid w:val="00530CFF"/>
    <w:rsid w:val="00531188"/>
    <w:rsid w:val="00531371"/>
    <w:rsid w:val="00531D79"/>
    <w:rsid w:val="005323CE"/>
    <w:rsid w:val="00534025"/>
    <w:rsid w:val="005346A6"/>
    <w:rsid w:val="005347A1"/>
    <w:rsid w:val="0053527A"/>
    <w:rsid w:val="005367E2"/>
    <w:rsid w:val="00536F81"/>
    <w:rsid w:val="005373C7"/>
    <w:rsid w:val="00540070"/>
    <w:rsid w:val="0054052C"/>
    <w:rsid w:val="00540B26"/>
    <w:rsid w:val="00540D3A"/>
    <w:rsid w:val="00540EB0"/>
    <w:rsid w:val="00541050"/>
    <w:rsid w:val="0054149F"/>
    <w:rsid w:val="0054338E"/>
    <w:rsid w:val="00543522"/>
    <w:rsid w:val="00545092"/>
    <w:rsid w:val="00546191"/>
    <w:rsid w:val="00546790"/>
    <w:rsid w:val="005474B2"/>
    <w:rsid w:val="00547B28"/>
    <w:rsid w:val="00551BF5"/>
    <w:rsid w:val="005543BF"/>
    <w:rsid w:val="005547B6"/>
    <w:rsid w:val="0055632A"/>
    <w:rsid w:val="00556F21"/>
    <w:rsid w:val="00557C47"/>
    <w:rsid w:val="00560520"/>
    <w:rsid w:val="00560D96"/>
    <w:rsid w:val="00561A11"/>
    <w:rsid w:val="00561B7C"/>
    <w:rsid w:val="0056496A"/>
    <w:rsid w:val="00564F49"/>
    <w:rsid w:val="00565A53"/>
    <w:rsid w:val="0056612D"/>
    <w:rsid w:val="00566B64"/>
    <w:rsid w:val="00567324"/>
    <w:rsid w:val="0056789D"/>
    <w:rsid w:val="00567F2C"/>
    <w:rsid w:val="00570530"/>
    <w:rsid w:val="00572636"/>
    <w:rsid w:val="00572A45"/>
    <w:rsid w:val="00572D77"/>
    <w:rsid w:val="00574A5C"/>
    <w:rsid w:val="005752CD"/>
    <w:rsid w:val="00575FB8"/>
    <w:rsid w:val="00576002"/>
    <w:rsid w:val="0057682A"/>
    <w:rsid w:val="00577046"/>
    <w:rsid w:val="005812B8"/>
    <w:rsid w:val="00581E40"/>
    <w:rsid w:val="00583302"/>
    <w:rsid w:val="0058540D"/>
    <w:rsid w:val="00587190"/>
    <w:rsid w:val="00587C99"/>
    <w:rsid w:val="00590319"/>
    <w:rsid w:val="005909D7"/>
    <w:rsid w:val="0059192E"/>
    <w:rsid w:val="0059326D"/>
    <w:rsid w:val="0059420D"/>
    <w:rsid w:val="005957D6"/>
    <w:rsid w:val="00596BA5"/>
    <w:rsid w:val="00597660"/>
    <w:rsid w:val="005A0521"/>
    <w:rsid w:val="005A0588"/>
    <w:rsid w:val="005A061F"/>
    <w:rsid w:val="005A18B3"/>
    <w:rsid w:val="005A1F77"/>
    <w:rsid w:val="005A3896"/>
    <w:rsid w:val="005A3FED"/>
    <w:rsid w:val="005A404B"/>
    <w:rsid w:val="005A436B"/>
    <w:rsid w:val="005A4651"/>
    <w:rsid w:val="005A4DAD"/>
    <w:rsid w:val="005A5572"/>
    <w:rsid w:val="005A6287"/>
    <w:rsid w:val="005A7094"/>
    <w:rsid w:val="005A76BF"/>
    <w:rsid w:val="005B39BB"/>
    <w:rsid w:val="005B3D0D"/>
    <w:rsid w:val="005B4112"/>
    <w:rsid w:val="005B72D2"/>
    <w:rsid w:val="005B73E5"/>
    <w:rsid w:val="005B77C1"/>
    <w:rsid w:val="005B7AAF"/>
    <w:rsid w:val="005B7F5E"/>
    <w:rsid w:val="005C1932"/>
    <w:rsid w:val="005C1E95"/>
    <w:rsid w:val="005C37C9"/>
    <w:rsid w:val="005C4F5C"/>
    <w:rsid w:val="005C4FAF"/>
    <w:rsid w:val="005C53C2"/>
    <w:rsid w:val="005C57F5"/>
    <w:rsid w:val="005C5A0D"/>
    <w:rsid w:val="005C68EB"/>
    <w:rsid w:val="005C6E1D"/>
    <w:rsid w:val="005C6FDF"/>
    <w:rsid w:val="005C72F9"/>
    <w:rsid w:val="005C7453"/>
    <w:rsid w:val="005D0138"/>
    <w:rsid w:val="005D0C7A"/>
    <w:rsid w:val="005D1E5A"/>
    <w:rsid w:val="005D34DB"/>
    <w:rsid w:val="005D3A89"/>
    <w:rsid w:val="005D59BA"/>
    <w:rsid w:val="005D77DA"/>
    <w:rsid w:val="005E0614"/>
    <w:rsid w:val="005E1355"/>
    <w:rsid w:val="005E26A6"/>
    <w:rsid w:val="005E329C"/>
    <w:rsid w:val="005E3BAC"/>
    <w:rsid w:val="005E45E2"/>
    <w:rsid w:val="005E49E3"/>
    <w:rsid w:val="005E4CE2"/>
    <w:rsid w:val="005E5159"/>
    <w:rsid w:val="005E53F3"/>
    <w:rsid w:val="005E55A5"/>
    <w:rsid w:val="005E581D"/>
    <w:rsid w:val="005E5D36"/>
    <w:rsid w:val="005E6C03"/>
    <w:rsid w:val="005E6E74"/>
    <w:rsid w:val="005F0E94"/>
    <w:rsid w:val="005F1933"/>
    <w:rsid w:val="005F2A10"/>
    <w:rsid w:val="005F346C"/>
    <w:rsid w:val="005F5CD8"/>
    <w:rsid w:val="005F673E"/>
    <w:rsid w:val="005F6BD2"/>
    <w:rsid w:val="005F6DF5"/>
    <w:rsid w:val="005F75E5"/>
    <w:rsid w:val="0060003B"/>
    <w:rsid w:val="00601816"/>
    <w:rsid w:val="00601DAB"/>
    <w:rsid w:val="0060414C"/>
    <w:rsid w:val="00605B1F"/>
    <w:rsid w:val="00605D4B"/>
    <w:rsid w:val="0060657D"/>
    <w:rsid w:val="006065FC"/>
    <w:rsid w:val="00607000"/>
    <w:rsid w:val="0060739D"/>
    <w:rsid w:val="00610051"/>
    <w:rsid w:val="00610860"/>
    <w:rsid w:val="006110D8"/>
    <w:rsid w:val="006113C6"/>
    <w:rsid w:val="006134C6"/>
    <w:rsid w:val="00613748"/>
    <w:rsid w:val="0061381B"/>
    <w:rsid w:val="00613AD3"/>
    <w:rsid w:val="006144CD"/>
    <w:rsid w:val="006150EB"/>
    <w:rsid w:val="006156F8"/>
    <w:rsid w:val="00615921"/>
    <w:rsid w:val="00615A97"/>
    <w:rsid w:val="006205AC"/>
    <w:rsid w:val="006220CF"/>
    <w:rsid w:val="00623467"/>
    <w:rsid w:val="00623EB5"/>
    <w:rsid w:val="006248AC"/>
    <w:rsid w:val="00625011"/>
    <w:rsid w:val="006254B8"/>
    <w:rsid w:val="006256A5"/>
    <w:rsid w:val="00625F2F"/>
    <w:rsid w:val="00626139"/>
    <w:rsid w:val="00627729"/>
    <w:rsid w:val="00631A00"/>
    <w:rsid w:val="00631AF8"/>
    <w:rsid w:val="006347C6"/>
    <w:rsid w:val="0063513F"/>
    <w:rsid w:val="006353EA"/>
    <w:rsid w:val="00635411"/>
    <w:rsid w:val="0063542B"/>
    <w:rsid w:val="00636017"/>
    <w:rsid w:val="006361E8"/>
    <w:rsid w:val="00636509"/>
    <w:rsid w:val="0063688C"/>
    <w:rsid w:val="006377FA"/>
    <w:rsid w:val="00640E71"/>
    <w:rsid w:val="006414D2"/>
    <w:rsid w:val="006416E8"/>
    <w:rsid w:val="0064261F"/>
    <w:rsid w:val="00642774"/>
    <w:rsid w:val="00642871"/>
    <w:rsid w:val="006440B9"/>
    <w:rsid w:val="00644372"/>
    <w:rsid w:val="00645265"/>
    <w:rsid w:val="00646566"/>
    <w:rsid w:val="00646612"/>
    <w:rsid w:val="00647370"/>
    <w:rsid w:val="00647D1D"/>
    <w:rsid w:val="00652619"/>
    <w:rsid w:val="0065346A"/>
    <w:rsid w:val="00653D2D"/>
    <w:rsid w:val="00654E4E"/>
    <w:rsid w:val="0065665F"/>
    <w:rsid w:val="00657C41"/>
    <w:rsid w:val="006600B3"/>
    <w:rsid w:val="00661E0C"/>
    <w:rsid w:val="00662878"/>
    <w:rsid w:val="00663517"/>
    <w:rsid w:val="00664353"/>
    <w:rsid w:val="00664D97"/>
    <w:rsid w:val="00664F8C"/>
    <w:rsid w:val="00666F0E"/>
    <w:rsid w:val="006670A1"/>
    <w:rsid w:val="00667EB5"/>
    <w:rsid w:val="00671352"/>
    <w:rsid w:val="006714A5"/>
    <w:rsid w:val="00671710"/>
    <w:rsid w:val="00672618"/>
    <w:rsid w:val="00673AD7"/>
    <w:rsid w:val="00673CF0"/>
    <w:rsid w:val="00674FF8"/>
    <w:rsid w:val="00675FB1"/>
    <w:rsid w:val="00676E20"/>
    <w:rsid w:val="0067764D"/>
    <w:rsid w:val="0067772C"/>
    <w:rsid w:val="00680315"/>
    <w:rsid w:val="0068048A"/>
    <w:rsid w:val="00682D04"/>
    <w:rsid w:val="00684603"/>
    <w:rsid w:val="00684AB2"/>
    <w:rsid w:val="00686F7A"/>
    <w:rsid w:val="00687669"/>
    <w:rsid w:val="00692949"/>
    <w:rsid w:val="006931F4"/>
    <w:rsid w:val="0069419F"/>
    <w:rsid w:val="00697008"/>
    <w:rsid w:val="006975FB"/>
    <w:rsid w:val="006976B0"/>
    <w:rsid w:val="006A0B3D"/>
    <w:rsid w:val="006A13A0"/>
    <w:rsid w:val="006A1643"/>
    <w:rsid w:val="006A18A2"/>
    <w:rsid w:val="006A193B"/>
    <w:rsid w:val="006A2130"/>
    <w:rsid w:val="006A270E"/>
    <w:rsid w:val="006A2CDC"/>
    <w:rsid w:val="006A2EBB"/>
    <w:rsid w:val="006A3782"/>
    <w:rsid w:val="006A3DAE"/>
    <w:rsid w:val="006A46C5"/>
    <w:rsid w:val="006A4821"/>
    <w:rsid w:val="006A59BF"/>
    <w:rsid w:val="006A64BA"/>
    <w:rsid w:val="006A6F50"/>
    <w:rsid w:val="006B15D2"/>
    <w:rsid w:val="006B3637"/>
    <w:rsid w:val="006B461B"/>
    <w:rsid w:val="006B545D"/>
    <w:rsid w:val="006B6899"/>
    <w:rsid w:val="006B71D3"/>
    <w:rsid w:val="006B7F23"/>
    <w:rsid w:val="006C0D5C"/>
    <w:rsid w:val="006C1F92"/>
    <w:rsid w:val="006C4EAE"/>
    <w:rsid w:val="006C4FB4"/>
    <w:rsid w:val="006C530A"/>
    <w:rsid w:val="006C5407"/>
    <w:rsid w:val="006C568F"/>
    <w:rsid w:val="006D01DB"/>
    <w:rsid w:val="006D039E"/>
    <w:rsid w:val="006D12C9"/>
    <w:rsid w:val="006D17CE"/>
    <w:rsid w:val="006D1A08"/>
    <w:rsid w:val="006D2C30"/>
    <w:rsid w:val="006D3E86"/>
    <w:rsid w:val="006D431A"/>
    <w:rsid w:val="006D64EA"/>
    <w:rsid w:val="006D6CA5"/>
    <w:rsid w:val="006D7689"/>
    <w:rsid w:val="006D7DFD"/>
    <w:rsid w:val="006E0025"/>
    <w:rsid w:val="006E25B0"/>
    <w:rsid w:val="006E407B"/>
    <w:rsid w:val="006E42A5"/>
    <w:rsid w:val="006E5C0B"/>
    <w:rsid w:val="006E5D13"/>
    <w:rsid w:val="006E67A8"/>
    <w:rsid w:val="006E6A62"/>
    <w:rsid w:val="006E6D89"/>
    <w:rsid w:val="006E7DDC"/>
    <w:rsid w:val="006F1623"/>
    <w:rsid w:val="006F2960"/>
    <w:rsid w:val="006F4431"/>
    <w:rsid w:val="006F46FD"/>
    <w:rsid w:val="006F56CB"/>
    <w:rsid w:val="006F5B56"/>
    <w:rsid w:val="006F7898"/>
    <w:rsid w:val="0070196A"/>
    <w:rsid w:val="00701DD2"/>
    <w:rsid w:val="00703474"/>
    <w:rsid w:val="00703782"/>
    <w:rsid w:val="00704085"/>
    <w:rsid w:val="00705CC1"/>
    <w:rsid w:val="00707A88"/>
    <w:rsid w:val="0071018E"/>
    <w:rsid w:val="007112F6"/>
    <w:rsid w:val="00711B9B"/>
    <w:rsid w:val="0071402A"/>
    <w:rsid w:val="00714EB8"/>
    <w:rsid w:val="0071625D"/>
    <w:rsid w:val="0071685C"/>
    <w:rsid w:val="00716E6A"/>
    <w:rsid w:val="00717E5D"/>
    <w:rsid w:val="0072039F"/>
    <w:rsid w:val="0072056C"/>
    <w:rsid w:val="00720A6D"/>
    <w:rsid w:val="00721C48"/>
    <w:rsid w:val="0072204B"/>
    <w:rsid w:val="0072248C"/>
    <w:rsid w:val="00723A85"/>
    <w:rsid w:val="0072407A"/>
    <w:rsid w:val="007246DF"/>
    <w:rsid w:val="00727042"/>
    <w:rsid w:val="00730807"/>
    <w:rsid w:val="00730D63"/>
    <w:rsid w:val="00731A5A"/>
    <w:rsid w:val="0073359F"/>
    <w:rsid w:val="0073370F"/>
    <w:rsid w:val="00733DC3"/>
    <w:rsid w:val="007344E9"/>
    <w:rsid w:val="007361B3"/>
    <w:rsid w:val="00736D2D"/>
    <w:rsid w:val="0073780B"/>
    <w:rsid w:val="007421AB"/>
    <w:rsid w:val="00742337"/>
    <w:rsid w:val="00743A50"/>
    <w:rsid w:val="0074411B"/>
    <w:rsid w:val="00745E84"/>
    <w:rsid w:val="00746225"/>
    <w:rsid w:val="007466B8"/>
    <w:rsid w:val="007474C7"/>
    <w:rsid w:val="00750DE9"/>
    <w:rsid w:val="00750FD0"/>
    <w:rsid w:val="007513CD"/>
    <w:rsid w:val="007516ED"/>
    <w:rsid w:val="00752407"/>
    <w:rsid w:val="00752C22"/>
    <w:rsid w:val="00753691"/>
    <w:rsid w:val="00753E95"/>
    <w:rsid w:val="007548A5"/>
    <w:rsid w:val="00754C0F"/>
    <w:rsid w:val="00754CD7"/>
    <w:rsid w:val="00755263"/>
    <w:rsid w:val="007559AC"/>
    <w:rsid w:val="00755F04"/>
    <w:rsid w:val="007571C6"/>
    <w:rsid w:val="00760601"/>
    <w:rsid w:val="007607F1"/>
    <w:rsid w:val="00761067"/>
    <w:rsid w:val="00761824"/>
    <w:rsid w:val="007618F7"/>
    <w:rsid w:val="00761F91"/>
    <w:rsid w:val="00763641"/>
    <w:rsid w:val="007642FC"/>
    <w:rsid w:val="00765E67"/>
    <w:rsid w:val="00766977"/>
    <w:rsid w:val="007670C8"/>
    <w:rsid w:val="00770696"/>
    <w:rsid w:val="0077196D"/>
    <w:rsid w:val="007721BE"/>
    <w:rsid w:val="00772248"/>
    <w:rsid w:val="007749DC"/>
    <w:rsid w:val="00774B64"/>
    <w:rsid w:val="007752FB"/>
    <w:rsid w:val="007766A8"/>
    <w:rsid w:val="007766E6"/>
    <w:rsid w:val="00777117"/>
    <w:rsid w:val="007807EE"/>
    <w:rsid w:val="007812BC"/>
    <w:rsid w:val="00782DC6"/>
    <w:rsid w:val="0078364A"/>
    <w:rsid w:val="007843C2"/>
    <w:rsid w:val="00785430"/>
    <w:rsid w:val="00790731"/>
    <w:rsid w:val="00790A56"/>
    <w:rsid w:val="00791138"/>
    <w:rsid w:val="00791607"/>
    <w:rsid w:val="0079249E"/>
    <w:rsid w:val="00794CC6"/>
    <w:rsid w:val="007951D3"/>
    <w:rsid w:val="00797B2B"/>
    <w:rsid w:val="00797DCC"/>
    <w:rsid w:val="007A1C8E"/>
    <w:rsid w:val="007A1D61"/>
    <w:rsid w:val="007A26B7"/>
    <w:rsid w:val="007A2CF1"/>
    <w:rsid w:val="007A314E"/>
    <w:rsid w:val="007A51E4"/>
    <w:rsid w:val="007A54C4"/>
    <w:rsid w:val="007A75DD"/>
    <w:rsid w:val="007B1412"/>
    <w:rsid w:val="007B2FD8"/>
    <w:rsid w:val="007B39F0"/>
    <w:rsid w:val="007B3AAC"/>
    <w:rsid w:val="007B4802"/>
    <w:rsid w:val="007B5D03"/>
    <w:rsid w:val="007B60A7"/>
    <w:rsid w:val="007B6E2B"/>
    <w:rsid w:val="007B77BB"/>
    <w:rsid w:val="007B7930"/>
    <w:rsid w:val="007C0CF4"/>
    <w:rsid w:val="007C0F27"/>
    <w:rsid w:val="007C13F4"/>
    <w:rsid w:val="007C1489"/>
    <w:rsid w:val="007C251B"/>
    <w:rsid w:val="007C3E53"/>
    <w:rsid w:val="007C5066"/>
    <w:rsid w:val="007C7EAD"/>
    <w:rsid w:val="007D06DC"/>
    <w:rsid w:val="007D27C9"/>
    <w:rsid w:val="007D2D00"/>
    <w:rsid w:val="007D3160"/>
    <w:rsid w:val="007D3DAF"/>
    <w:rsid w:val="007D41CB"/>
    <w:rsid w:val="007D4F67"/>
    <w:rsid w:val="007D542B"/>
    <w:rsid w:val="007D6F6D"/>
    <w:rsid w:val="007E09AA"/>
    <w:rsid w:val="007E0B07"/>
    <w:rsid w:val="007E1243"/>
    <w:rsid w:val="007E23BA"/>
    <w:rsid w:val="007E3336"/>
    <w:rsid w:val="007E38F5"/>
    <w:rsid w:val="007E3DF3"/>
    <w:rsid w:val="007E518E"/>
    <w:rsid w:val="007E67D0"/>
    <w:rsid w:val="007E6A6D"/>
    <w:rsid w:val="007E7CC5"/>
    <w:rsid w:val="007F2BA4"/>
    <w:rsid w:val="007F37DE"/>
    <w:rsid w:val="007F46DF"/>
    <w:rsid w:val="007F5443"/>
    <w:rsid w:val="007F5A65"/>
    <w:rsid w:val="007F6554"/>
    <w:rsid w:val="008003E0"/>
    <w:rsid w:val="00800A72"/>
    <w:rsid w:val="0080178C"/>
    <w:rsid w:val="00801E4C"/>
    <w:rsid w:val="008024BD"/>
    <w:rsid w:val="00804F48"/>
    <w:rsid w:val="00806D2B"/>
    <w:rsid w:val="00806D81"/>
    <w:rsid w:val="00806D9F"/>
    <w:rsid w:val="00807B26"/>
    <w:rsid w:val="00807C19"/>
    <w:rsid w:val="008106CA"/>
    <w:rsid w:val="00810E8F"/>
    <w:rsid w:val="00812606"/>
    <w:rsid w:val="00812FA2"/>
    <w:rsid w:val="00813DD0"/>
    <w:rsid w:val="00814699"/>
    <w:rsid w:val="00815F9E"/>
    <w:rsid w:val="00816396"/>
    <w:rsid w:val="008168D7"/>
    <w:rsid w:val="008172F6"/>
    <w:rsid w:val="008179EE"/>
    <w:rsid w:val="00822FB5"/>
    <w:rsid w:val="00823650"/>
    <w:rsid w:val="008239CF"/>
    <w:rsid w:val="0082595D"/>
    <w:rsid w:val="0082606D"/>
    <w:rsid w:val="00826565"/>
    <w:rsid w:val="00826857"/>
    <w:rsid w:val="008270B0"/>
    <w:rsid w:val="00827F8F"/>
    <w:rsid w:val="00830A03"/>
    <w:rsid w:val="008323F7"/>
    <w:rsid w:val="00832EC0"/>
    <w:rsid w:val="008336E4"/>
    <w:rsid w:val="00837154"/>
    <w:rsid w:val="008376B9"/>
    <w:rsid w:val="00837F92"/>
    <w:rsid w:val="00840297"/>
    <w:rsid w:val="00840742"/>
    <w:rsid w:val="00840814"/>
    <w:rsid w:val="00840EC6"/>
    <w:rsid w:val="008432F5"/>
    <w:rsid w:val="00843BD9"/>
    <w:rsid w:val="00846026"/>
    <w:rsid w:val="00850C15"/>
    <w:rsid w:val="00854E3F"/>
    <w:rsid w:val="0085562D"/>
    <w:rsid w:val="00857E41"/>
    <w:rsid w:val="00860113"/>
    <w:rsid w:val="00860E68"/>
    <w:rsid w:val="00863234"/>
    <w:rsid w:val="00863660"/>
    <w:rsid w:val="00863DD1"/>
    <w:rsid w:val="008640DB"/>
    <w:rsid w:val="00865BD9"/>
    <w:rsid w:val="00865F29"/>
    <w:rsid w:val="00867379"/>
    <w:rsid w:val="008678BA"/>
    <w:rsid w:val="008704EF"/>
    <w:rsid w:val="0087125C"/>
    <w:rsid w:val="00871891"/>
    <w:rsid w:val="008720D7"/>
    <w:rsid w:val="008722A4"/>
    <w:rsid w:val="008733AF"/>
    <w:rsid w:val="00873B12"/>
    <w:rsid w:val="00874683"/>
    <w:rsid w:val="00876FE6"/>
    <w:rsid w:val="00880277"/>
    <w:rsid w:val="008805D7"/>
    <w:rsid w:val="00881689"/>
    <w:rsid w:val="00881F8D"/>
    <w:rsid w:val="00883B90"/>
    <w:rsid w:val="008856B8"/>
    <w:rsid w:val="00885EAC"/>
    <w:rsid w:val="00890325"/>
    <w:rsid w:val="008903BC"/>
    <w:rsid w:val="0089160F"/>
    <w:rsid w:val="008917AF"/>
    <w:rsid w:val="00891CA5"/>
    <w:rsid w:val="008921CA"/>
    <w:rsid w:val="00892C2F"/>
    <w:rsid w:val="00896D22"/>
    <w:rsid w:val="00897E24"/>
    <w:rsid w:val="008A1575"/>
    <w:rsid w:val="008A1621"/>
    <w:rsid w:val="008A278E"/>
    <w:rsid w:val="008A2A9D"/>
    <w:rsid w:val="008A318C"/>
    <w:rsid w:val="008A31C0"/>
    <w:rsid w:val="008A3715"/>
    <w:rsid w:val="008A4DC2"/>
    <w:rsid w:val="008A4FF0"/>
    <w:rsid w:val="008A5E40"/>
    <w:rsid w:val="008A6BA2"/>
    <w:rsid w:val="008A7031"/>
    <w:rsid w:val="008A74F2"/>
    <w:rsid w:val="008B03ED"/>
    <w:rsid w:val="008B05EB"/>
    <w:rsid w:val="008B32C0"/>
    <w:rsid w:val="008B3A79"/>
    <w:rsid w:val="008B6C4E"/>
    <w:rsid w:val="008C055E"/>
    <w:rsid w:val="008C1D3E"/>
    <w:rsid w:val="008C2B8A"/>
    <w:rsid w:val="008C40AC"/>
    <w:rsid w:val="008C4E34"/>
    <w:rsid w:val="008C5973"/>
    <w:rsid w:val="008C7A4F"/>
    <w:rsid w:val="008D0BCB"/>
    <w:rsid w:val="008D0EC4"/>
    <w:rsid w:val="008D1147"/>
    <w:rsid w:val="008D1497"/>
    <w:rsid w:val="008D31D8"/>
    <w:rsid w:val="008D3901"/>
    <w:rsid w:val="008D3F2B"/>
    <w:rsid w:val="008D5632"/>
    <w:rsid w:val="008D5A50"/>
    <w:rsid w:val="008D76EE"/>
    <w:rsid w:val="008E1A9F"/>
    <w:rsid w:val="008E22C9"/>
    <w:rsid w:val="008E2663"/>
    <w:rsid w:val="008E2DCD"/>
    <w:rsid w:val="008E3550"/>
    <w:rsid w:val="008E4C26"/>
    <w:rsid w:val="008E50D8"/>
    <w:rsid w:val="008E52C4"/>
    <w:rsid w:val="008E6BAB"/>
    <w:rsid w:val="008E6F02"/>
    <w:rsid w:val="008F07BD"/>
    <w:rsid w:val="008F0B8C"/>
    <w:rsid w:val="008F0BF2"/>
    <w:rsid w:val="008F1B5A"/>
    <w:rsid w:val="008F1C78"/>
    <w:rsid w:val="008F3F08"/>
    <w:rsid w:val="008F4639"/>
    <w:rsid w:val="008F4F7C"/>
    <w:rsid w:val="008F58B7"/>
    <w:rsid w:val="008F5DA6"/>
    <w:rsid w:val="008F73FE"/>
    <w:rsid w:val="009006C9"/>
    <w:rsid w:val="00902669"/>
    <w:rsid w:val="00903167"/>
    <w:rsid w:val="00903BF3"/>
    <w:rsid w:val="0090543C"/>
    <w:rsid w:val="00906D18"/>
    <w:rsid w:val="00906E07"/>
    <w:rsid w:val="009070B1"/>
    <w:rsid w:val="00910801"/>
    <w:rsid w:val="00910F41"/>
    <w:rsid w:val="009119A9"/>
    <w:rsid w:val="00911B6A"/>
    <w:rsid w:val="00911B70"/>
    <w:rsid w:val="00912B83"/>
    <w:rsid w:val="00913CE8"/>
    <w:rsid w:val="00915106"/>
    <w:rsid w:val="00915124"/>
    <w:rsid w:val="00915299"/>
    <w:rsid w:val="009158B7"/>
    <w:rsid w:val="00916281"/>
    <w:rsid w:val="009167DD"/>
    <w:rsid w:val="009174FB"/>
    <w:rsid w:val="00920588"/>
    <w:rsid w:val="00920ECF"/>
    <w:rsid w:val="009214C7"/>
    <w:rsid w:val="00921769"/>
    <w:rsid w:val="00922623"/>
    <w:rsid w:val="00922A65"/>
    <w:rsid w:val="00923CA3"/>
    <w:rsid w:val="009269AC"/>
    <w:rsid w:val="00927D22"/>
    <w:rsid w:val="009304F3"/>
    <w:rsid w:val="00930920"/>
    <w:rsid w:val="00931192"/>
    <w:rsid w:val="0093245A"/>
    <w:rsid w:val="00933528"/>
    <w:rsid w:val="00933600"/>
    <w:rsid w:val="00933E35"/>
    <w:rsid w:val="009357D9"/>
    <w:rsid w:val="00936595"/>
    <w:rsid w:val="00937818"/>
    <w:rsid w:val="00941994"/>
    <w:rsid w:val="00941FA3"/>
    <w:rsid w:val="00942455"/>
    <w:rsid w:val="0094253B"/>
    <w:rsid w:val="00942B57"/>
    <w:rsid w:val="00945118"/>
    <w:rsid w:val="0094550A"/>
    <w:rsid w:val="0094553A"/>
    <w:rsid w:val="009456FC"/>
    <w:rsid w:val="0094692D"/>
    <w:rsid w:val="00947F63"/>
    <w:rsid w:val="0095082C"/>
    <w:rsid w:val="00950AD1"/>
    <w:rsid w:val="00950F7F"/>
    <w:rsid w:val="00951C20"/>
    <w:rsid w:val="009524B0"/>
    <w:rsid w:val="00952587"/>
    <w:rsid w:val="0095329A"/>
    <w:rsid w:val="00953527"/>
    <w:rsid w:val="009554F5"/>
    <w:rsid w:val="009563AF"/>
    <w:rsid w:val="00956859"/>
    <w:rsid w:val="009568F0"/>
    <w:rsid w:val="00956F6B"/>
    <w:rsid w:val="00960866"/>
    <w:rsid w:val="00961341"/>
    <w:rsid w:val="00961C41"/>
    <w:rsid w:val="00961D8A"/>
    <w:rsid w:val="009624B2"/>
    <w:rsid w:val="00963B1A"/>
    <w:rsid w:val="00963DC2"/>
    <w:rsid w:val="00963ECA"/>
    <w:rsid w:val="00970EF8"/>
    <w:rsid w:val="00971126"/>
    <w:rsid w:val="0097124D"/>
    <w:rsid w:val="009712AD"/>
    <w:rsid w:val="00971683"/>
    <w:rsid w:val="00971BB6"/>
    <w:rsid w:val="00972E24"/>
    <w:rsid w:val="00974792"/>
    <w:rsid w:val="009756EB"/>
    <w:rsid w:val="00975C7E"/>
    <w:rsid w:val="00976B6B"/>
    <w:rsid w:val="00977826"/>
    <w:rsid w:val="0098053E"/>
    <w:rsid w:val="009812B3"/>
    <w:rsid w:val="00981843"/>
    <w:rsid w:val="00982149"/>
    <w:rsid w:val="00982B82"/>
    <w:rsid w:val="00982BEA"/>
    <w:rsid w:val="0098382E"/>
    <w:rsid w:val="00983FF9"/>
    <w:rsid w:val="009847BD"/>
    <w:rsid w:val="009864AF"/>
    <w:rsid w:val="00986727"/>
    <w:rsid w:val="00987513"/>
    <w:rsid w:val="0099036F"/>
    <w:rsid w:val="0099041B"/>
    <w:rsid w:val="00990420"/>
    <w:rsid w:val="0099241B"/>
    <w:rsid w:val="009927B6"/>
    <w:rsid w:val="009932CF"/>
    <w:rsid w:val="00993978"/>
    <w:rsid w:val="00994170"/>
    <w:rsid w:val="009941EF"/>
    <w:rsid w:val="0099439D"/>
    <w:rsid w:val="00994C0D"/>
    <w:rsid w:val="00995390"/>
    <w:rsid w:val="0099783F"/>
    <w:rsid w:val="009A028A"/>
    <w:rsid w:val="009A0A1F"/>
    <w:rsid w:val="009A0AE7"/>
    <w:rsid w:val="009A2A1C"/>
    <w:rsid w:val="009A2D59"/>
    <w:rsid w:val="009A32D5"/>
    <w:rsid w:val="009A4541"/>
    <w:rsid w:val="009A68E8"/>
    <w:rsid w:val="009A6CA0"/>
    <w:rsid w:val="009A713A"/>
    <w:rsid w:val="009A72D5"/>
    <w:rsid w:val="009B083A"/>
    <w:rsid w:val="009B0B75"/>
    <w:rsid w:val="009B0F2F"/>
    <w:rsid w:val="009B1711"/>
    <w:rsid w:val="009B1DD7"/>
    <w:rsid w:val="009B29D1"/>
    <w:rsid w:val="009B49F9"/>
    <w:rsid w:val="009B4DDA"/>
    <w:rsid w:val="009B52F0"/>
    <w:rsid w:val="009B55CD"/>
    <w:rsid w:val="009B7D62"/>
    <w:rsid w:val="009C1956"/>
    <w:rsid w:val="009C211B"/>
    <w:rsid w:val="009C3192"/>
    <w:rsid w:val="009C4362"/>
    <w:rsid w:val="009C4F5C"/>
    <w:rsid w:val="009C5350"/>
    <w:rsid w:val="009C687E"/>
    <w:rsid w:val="009C7C8C"/>
    <w:rsid w:val="009D018A"/>
    <w:rsid w:val="009D0394"/>
    <w:rsid w:val="009D135B"/>
    <w:rsid w:val="009D18E2"/>
    <w:rsid w:val="009D1CDD"/>
    <w:rsid w:val="009D439C"/>
    <w:rsid w:val="009D4B8A"/>
    <w:rsid w:val="009D5195"/>
    <w:rsid w:val="009D57C3"/>
    <w:rsid w:val="009D6982"/>
    <w:rsid w:val="009E08AC"/>
    <w:rsid w:val="009E0C1E"/>
    <w:rsid w:val="009E14E9"/>
    <w:rsid w:val="009E1FA3"/>
    <w:rsid w:val="009E2E1E"/>
    <w:rsid w:val="009E4970"/>
    <w:rsid w:val="009E54B9"/>
    <w:rsid w:val="009E5A3B"/>
    <w:rsid w:val="009E6F5C"/>
    <w:rsid w:val="009E6FA7"/>
    <w:rsid w:val="009F043C"/>
    <w:rsid w:val="009F187E"/>
    <w:rsid w:val="009F2555"/>
    <w:rsid w:val="009F294D"/>
    <w:rsid w:val="009F39B0"/>
    <w:rsid w:val="009F3F99"/>
    <w:rsid w:val="009F4A11"/>
    <w:rsid w:val="009F4CD7"/>
    <w:rsid w:val="009F4E3B"/>
    <w:rsid w:val="009F5AF1"/>
    <w:rsid w:val="009F5C8F"/>
    <w:rsid w:val="009F6793"/>
    <w:rsid w:val="009F72D2"/>
    <w:rsid w:val="009F7957"/>
    <w:rsid w:val="00A00027"/>
    <w:rsid w:val="00A00471"/>
    <w:rsid w:val="00A01055"/>
    <w:rsid w:val="00A010D9"/>
    <w:rsid w:val="00A01A51"/>
    <w:rsid w:val="00A01FC0"/>
    <w:rsid w:val="00A038AD"/>
    <w:rsid w:val="00A03D0A"/>
    <w:rsid w:val="00A04792"/>
    <w:rsid w:val="00A06A1E"/>
    <w:rsid w:val="00A07DA5"/>
    <w:rsid w:val="00A10963"/>
    <w:rsid w:val="00A11111"/>
    <w:rsid w:val="00A13026"/>
    <w:rsid w:val="00A1313B"/>
    <w:rsid w:val="00A13962"/>
    <w:rsid w:val="00A14734"/>
    <w:rsid w:val="00A17595"/>
    <w:rsid w:val="00A17C6F"/>
    <w:rsid w:val="00A20DA9"/>
    <w:rsid w:val="00A22D5E"/>
    <w:rsid w:val="00A22ECC"/>
    <w:rsid w:val="00A23256"/>
    <w:rsid w:val="00A24B6C"/>
    <w:rsid w:val="00A24CAB"/>
    <w:rsid w:val="00A26F53"/>
    <w:rsid w:val="00A27403"/>
    <w:rsid w:val="00A27A63"/>
    <w:rsid w:val="00A27F6C"/>
    <w:rsid w:val="00A30049"/>
    <w:rsid w:val="00A30229"/>
    <w:rsid w:val="00A3035E"/>
    <w:rsid w:val="00A30AA6"/>
    <w:rsid w:val="00A30E72"/>
    <w:rsid w:val="00A31309"/>
    <w:rsid w:val="00A313A6"/>
    <w:rsid w:val="00A314EE"/>
    <w:rsid w:val="00A3262D"/>
    <w:rsid w:val="00A32D32"/>
    <w:rsid w:val="00A341FE"/>
    <w:rsid w:val="00A34D47"/>
    <w:rsid w:val="00A34D93"/>
    <w:rsid w:val="00A352F6"/>
    <w:rsid w:val="00A35CCD"/>
    <w:rsid w:val="00A361B1"/>
    <w:rsid w:val="00A409A6"/>
    <w:rsid w:val="00A41DF5"/>
    <w:rsid w:val="00A4201C"/>
    <w:rsid w:val="00A42287"/>
    <w:rsid w:val="00A43238"/>
    <w:rsid w:val="00A43B5A"/>
    <w:rsid w:val="00A443A6"/>
    <w:rsid w:val="00A44B1C"/>
    <w:rsid w:val="00A44EDB"/>
    <w:rsid w:val="00A44FB2"/>
    <w:rsid w:val="00A5047F"/>
    <w:rsid w:val="00A51659"/>
    <w:rsid w:val="00A51EA7"/>
    <w:rsid w:val="00A51EF1"/>
    <w:rsid w:val="00A536EF"/>
    <w:rsid w:val="00A549FC"/>
    <w:rsid w:val="00A5537C"/>
    <w:rsid w:val="00A55649"/>
    <w:rsid w:val="00A56FD8"/>
    <w:rsid w:val="00A60A52"/>
    <w:rsid w:val="00A62977"/>
    <w:rsid w:val="00A66BEE"/>
    <w:rsid w:val="00A66FF6"/>
    <w:rsid w:val="00A67134"/>
    <w:rsid w:val="00A70A75"/>
    <w:rsid w:val="00A70DB6"/>
    <w:rsid w:val="00A712D4"/>
    <w:rsid w:val="00A72764"/>
    <w:rsid w:val="00A72F13"/>
    <w:rsid w:val="00A730BD"/>
    <w:rsid w:val="00A7611A"/>
    <w:rsid w:val="00A76CFB"/>
    <w:rsid w:val="00A76EEB"/>
    <w:rsid w:val="00A770F8"/>
    <w:rsid w:val="00A77418"/>
    <w:rsid w:val="00A77986"/>
    <w:rsid w:val="00A8074B"/>
    <w:rsid w:val="00A81414"/>
    <w:rsid w:val="00A8285F"/>
    <w:rsid w:val="00A832B0"/>
    <w:rsid w:val="00A847DF"/>
    <w:rsid w:val="00A8597D"/>
    <w:rsid w:val="00A86F8C"/>
    <w:rsid w:val="00A9062F"/>
    <w:rsid w:val="00A90C40"/>
    <w:rsid w:val="00A91126"/>
    <w:rsid w:val="00A92301"/>
    <w:rsid w:val="00A941AF"/>
    <w:rsid w:val="00A968C8"/>
    <w:rsid w:val="00AA011F"/>
    <w:rsid w:val="00AA1053"/>
    <w:rsid w:val="00AA1A39"/>
    <w:rsid w:val="00AA28D8"/>
    <w:rsid w:val="00AA2D05"/>
    <w:rsid w:val="00AA366D"/>
    <w:rsid w:val="00AA3822"/>
    <w:rsid w:val="00AA4965"/>
    <w:rsid w:val="00AA5E5B"/>
    <w:rsid w:val="00AA6669"/>
    <w:rsid w:val="00AA6BE7"/>
    <w:rsid w:val="00AB02DA"/>
    <w:rsid w:val="00AB087B"/>
    <w:rsid w:val="00AB1F27"/>
    <w:rsid w:val="00AB2BAE"/>
    <w:rsid w:val="00AB3151"/>
    <w:rsid w:val="00AB33B1"/>
    <w:rsid w:val="00AB7310"/>
    <w:rsid w:val="00AC0B7B"/>
    <w:rsid w:val="00AC16C8"/>
    <w:rsid w:val="00AC3FB2"/>
    <w:rsid w:val="00AC4000"/>
    <w:rsid w:val="00AC413B"/>
    <w:rsid w:val="00AC4AC6"/>
    <w:rsid w:val="00AC5902"/>
    <w:rsid w:val="00AD0BA4"/>
    <w:rsid w:val="00AD0BB2"/>
    <w:rsid w:val="00AD1048"/>
    <w:rsid w:val="00AD167E"/>
    <w:rsid w:val="00AD1D1A"/>
    <w:rsid w:val="00AD1E4B"/>
    <w:rsid w:val="00AD287C"/>
    <w:rsid w:val="00AD3D91"/>
    <w:rsid w:val="00AD4B20"/>
    <w:rsid w:val="00AD50AC"/>
    <w:rsid w:val="00AD6D82"/>
    <w:rsid w:val="00AD7CC1"/>
    <w:rsid w:val="00AE0F5D"/>
    <w:rsid w:val="00AE2457"/>
    <w:rsid w:val="00AE300A"/>
    <w:rsid w:val="00AE3A63"/>
    <w:rsid w:val="00AE4B34"/>
    <w:rsid w:val="00AE5893"/>
    <w:rsid w:val="00AE6E03"/>
    <w:rsid w:val="00AE711E"/>
    <w:rsid w:val="00AE780E"/>
    <w:rsid w:val="00AE7EC6"/>
    <w:rsid w:val="00AF0578"/>
    <w:rsid w:val="00AF0D9F"/>
    <w:rsid w:val="00AF1E7B"/>
    <w:rsid w:val="00AF2120"/>
    <w:rsid w:val="00AF25DD"/>
    <w:rsid w:val="00AF3323"/>
    <w:rsid w:val="00AF345F"/>
    <w:rsid w:val="00AF360B"/>
    <w:rsid w:val="00AF715D"/>
    <w:rsid w:val="00AF7878"/>
    <w:rsid w:val="00B00DB8"/>
    <w:rsid w:val="00B01189"/>
    <w:rsid w:val="00B01460"/>
    <w:rsid w:val="00B015B6"/>
    <w:rsid w:val="00B01B11"/>
    <w:rsid w:val="00B0251D"/>
    <w:rsid w:val="00B02ED3"/>
    <w:rsid w:val="00B0378E"/>
    <w:rsid w:val="00B03CF6"/>
    <w:rsid w:val="00B0752E"/>
    <w:rsid w:val="00B075E1"/>
    <w:rsid w:val="00B077A4"/>
    <w:rsid w:val="00B102C5"/>
    <w:rsid w:val="00B10575"/>
    <w:rsid w:val="00B12834"/>
    <w:rsid w:val="00B12A54"/>
    <w:rsid w:val="00B13609"/>
    <w:rsid w:val="00B14A60"/>
    <w:rsid w:val="00B14B40"/>
    <w:rsid w:val="00B15EDD"/>
    <w:rsid w:val="00B167CA"/>
    <w:rsid w:val="00B1738C"/>
    <w:rsid w:val="00B20FAC"/>
    <w:rsid w:val="00B2246B"/>
    <w:rsid w:val="00B22F16"/>
    <w:rsid w:val="00B234E2"/>
    <w:rsid w:val="00B237A5"/>
    <w:rsid w:val="00B23800"/>
    <w:rsid w:val="00B249F5"/>
    <w:rsid w:val="00B25564"/>
    <w:rsid w:val="00B26D23"/>
    <w:rsid w:val="00B30433"/>
    <w:rsid w:val="00B32139"/>
    <w:rsid w:val="00B33257"/>
    <w:rsid w:val="00B33B98"/>
    <w:rsid w:val="00B348C3"/>
    <w:rsid w:val="00B35155"/>
    <w:rsid w:val="00B35219"/>
    <w:rsid w:val="00B36D6D"/>
    <w:rsid w:val="00B37554"/>
    <w:rsid w:val="00B37A4C"/>
    <w:rsid w:val="00B37B7C"/>
    <w:rsid w:val="00B4210A"/>
    <w:rsid w:val="00B421D6"/>
    <w:rsid w:val="00B43691"/>
    <w:rsid w:val="00B454DB"/>
    <w:rsid w:val="00B45EF2"/>
    <w:rsid w:val="00B45F75"/>
    <w:rsid w:val="00B467A3"/>
    <w:rsid w:val="00B46F0C"/>
    <w:rsid w:val="00B46FAB"/>
    <w:rsid w:val="00B47300"/>
    <w:rsid w:val="00B47E85"/>
    <w:rsid w:val="00B50631"/>
    <w:rsid w:val="00B51FD6"/>
    <w:rsid w:val="00B54575"/>
    <w:rsid w:val="00B547E1"/>
    <w:rsid w:val="00B557AC"/>
    <w:rsid w:val="00B55C08"/>
    <w:rsid w:val="00B571C4"/>
    <w:rsid w:val="00B57B55"/>
    <w:rsid w:val="00B6017D"/>
    <w:rsid w:val="00B61E59"/>
    <w:rsid w:val="00B6265E"/>
    <w:rsid w:val="00B6286F"/>
    <w:rsid w:val="00B6382A"/>
    <w:rsid w:val="00B64911"/>
    <w:rsid w:val="00B67508"/>
    <w:rsid w:val="00B67A85"/>
    <w:rsid w:val="00B70798"/>
    <w:rsid w:val="00B723E4"/>
    <w:rsid w:val="00B72AE8"/>
    <w:rsid w:val="00B72E98"/>
    <w:rsid w:val="00B74232"/>
    <w:rsid w:val="00B74DED"/>
    <w:rsid w:val="00B767A5"/>
    <w:rsid w:val="00B775D3"/>
    <w:rsid w:val="00B77D31"/>
    <w:rsid w:val="00B77DB4"/>
    <w:rsid w:val="00B8063F"/>
    <w:rsid w:val="00B8082E"/>
    <w:rsid w:val="00B83F6C"/>
    <w:rsid w:val="00B84620"/>
    <w:rsid w:val="00B8545A"/>
    <w:rsid w:val="00B863D2"/>
    <w:rsid w:val="00B867F2"/>
    <w:rsid w:val="00B87505"/>
    <w:rsid w:val="00B90B57"/>
    <w:rsid w:val="00B940FF"/>
    <w:rsid w:val="00B95AAB"/>
    <w:rsid w:val="00B96708"/>
    <w:rsid w:val="00B96E50"/>
    <w:rsid w:val="00B97234"/>
    <w:rsid w:val="00B97A50"/>
    <w:rsid w:val="00BA1A1D"/>
    <w:rsid w:val="00BA1B29"/>
    <w:rsid w:val="00BA24F9"/>
    <w:rsid w:val="00BA26DE"/>
    <w:rsid w:val="00BA3581"/>
    <w:rsid w:val="00BA3EA3"/>
    <w:rsid w:val="00BA494C"/>
    <w:rsid w:val="00BA5526"/>
    <w:rsid w:val="00BA692F"/>
    <w:rsid w:val="00BA6F21"/>
    <w:rsid w:val="00BA78DC"/>
    <w:rsid w:val="00BA7A6E"/>
    <w:rsid w:val="00BB057C"/>
    <w:rsid w:val="00BB16DF"/>
    <w:rsid w:val="00BB455A"/>
    <w:rsid w:val="00BB74C2"/>
    <w:rsid w:val="00BB759D"/>
    <w:rsid w:val="00BB7E37"/>
    <w:rsid w:val="00BC0373"/>
    <w:rsid w:val="00BC17A5"/>
    <w:rsid w:val="00BC2DF8"/>
    <w:rsid w:val="00BC2E8C"/>
    <w:rsid w:val="00BC36AE"/>
    <w:rsid w:val="00BC464A"/>
    <w:rsid w:val="00BC48B3"/>
    <w:rsid w:val="00BC6437"/>
    <w:rsid w:val="00BC7AE6"/>
    <w:rsid w:val="00BD01DD"/>
    <w:rsid w:val="00BD2789"/>
    <w:rsid w:val="00BD3CF7"/>
    <w:rsid w:val="00BD3E5B"/>
    <w:rsid w:val="00BD494A"/>
    <w:rsid w:val="00BD4CAA"/>
    <w:rsid w:val="00BD4D1E"/>
    <w:rsid w:val="00BE00E9"/>
    <w:rsid w:val="00BE0850"/>
    <w:rsid w:val="00BE0902"/>
    <w:rsid w:val="00BE207A"/>
    <w:rsid w:val="00BE299A"/>
    <w:rsid w:val="00BE2CA5"/>
    <w:rsid w:val="00BE4F5B"/>
    <w:rsid w:val="00BE536D"/>
    <w:rsid w:val="00BE553C"/>
    <w:rsid w:val="00BE555C"/>
    <w:rsid w:val="00BE590F"/>
    <w:rsid w:val="00BE5D9D"/>
    <w:rsid w:val="00BE62BA"/>
    <w:rsid w:val="00BE712C"/>
    <w:rsid w:val="00BF0E9A"/>
    <w:rsid w:val="00BF1422"/>
    <w:rsid w:val="00BF1B44"/>
    <w:rsid w:val="00BF1C0D"/>
    <w:rsid w:val="00BF2CB3"/>
    <w:rsid w:val="00BF33AC"/>
    <w:rsid w:val="00BF395E"/>
    <w:rsid w:val="00BF44F6"/>
    <w:rsid w:val="00BF4662"/>
    <w:rsid w:val="00BF4896"/>
    <w:rsid w:val="00BF5712"/>
    <w:rsid w:val="00BF5DFF"/>
    <w:rsid w:val="00BF6467"/>
    <w:rsid w:val="00BF6502"/>
    <w:rsid w:val="00BF6DDC"/>
    <w:rsid w:val="00C00576"/>
    <w:rsid w:val="00C009CD"/>
    <w:rsid w:val="00C00C9C"/>
    <w:rsid w:val="00C013F5"/>
    <w:rsid w:val="00C015B7"/>
    <w:rsid w:val="00C026A9"/>
    <w:rsid w:val="00C03066"/>
    <w:rsid w:val="00C04D13"/>
    <w:rsid w:val="00C04E69"/>
    <w:rsid w:val="00C04F73"/>
    <w:rsid w:val="00C04FFA"/>
    <w:rsid w:val="00C05079"/>
    <w:rsid w:val="00C05197"/>
    <w:rsid w:val="00C064C8"/>
    <w:rsid w:val="00C06E11"/>
    <w:rsid w:val="00C103A7"/>
    <w:rsid w:val="00C1155C"/>
    <w:rsid w:val="00C1164C"/>
    <w:rsid w:val="00C11B71"/>
    <w:rsid w:val="00C11E6E"/>
    <w:rsid w:val="00C12385"/>
    <w:rsid w:val="00C13CF8"/>
    <w:rsid w:val="00C13FA0"/>
    <w:rsid w:val="00C14038"/>
    <w:rsid w:val="00C150B6"/>
    <w:rsid w:val="00C200E3"/>
    <w:rsid w:val="00C213D3"/>
    <w:rsid w:val="00C21BC2"/>
    <w:rsid w:val="00C2206A"/>
    <w:rsid w:val="00C2375F"/>
    <w:rsid w:val="00C239CD"/>
    <w:rsid w:val="00C24076"/>
    <w:rsid w:val="00C2413D"/>
    <w:rsid w:val="00C2478C"/>
    <w:rsid w:val="00C25959"/>
    <w:rsid w:val="00C301A9"/>
    <w:rsid w:val="00C3078C"/>
    <w:rsid w:val="00C31495"/>
    <w:rsid w:val="00C31775"/>
    <w:rsid w:val="00C32372"/>
    <w:rsid w:val="00C323A6"/>
    <w:rsid w:val="00C32F17"/>
    <w:rsid w:val="00C34935"/>
    <w:rsid w:val="00C36DED"/>
    <w:rsid w:val="00C370A2"/>
    <w:rsid w:val="00C375F7"/>
    <w:rsid w:val="00C41DFF"/>
    <w:rsid w:val="00C43425"/>
    <w:rsid w:val="00C44EE1"/>
    <w:rsid w:val="00C45DD6"/>
    <w:rsid w:val="00C4630C"/>
    <w:rsid w:val="00C50816"/>
    <w:rsid w:val="00C5081F"/>
    <w:rsid w:val="00C50F5F"/>
    <w:rsid w:val="00C5132A"/>
    <w:rsid w:val="00C53866"/>
    <w:rsid w:val="00C53AFF"/>
    <w:rsid w:val="00C53E12"/>
    <w:rsid w:val="00C54D8E"/>
    <w:rsid w:val="00C54E8D"/>
    <w:rsid w:val="00C55D0E"/>
    <w:rsid w:val="00C55EC7"/>
    <w:rsid w:val="00C56298"/>
    <w:rsid w:val="00C56B8E"/>
    <w:rsid w:val="00C56EC8"/>
    <w:rsid w:val="00C57845"/>
    <w:rsid w:val="00C57F28"/>
    <w:rsid w:val="00C61076"/>
    <w:rsid w:val="00C611B1"/>
    <w:rsid w:val="00C62C1A"/>
    <w:rsid w:val="00C62D73"/>
    <w:rsid w:val="00C62F79"/>
    <w:rsid w:val="00C63733"/>
    <w:rsid w:val="00C6468B"/>
    <w:rsid w:val="00C6633C"/>
    <w:rsid w:val="00C66F6C"/>
    <w:rsid w:val="00C677E0"/>
    <w:rsid w:val="00C67918"/>
    <w:rsid w:val="00C67BD6"/>
    <w:rsid w:val="00C705D8"/>
    <w:rsid w:val="00C706B1"/>
    <w:rsid w:val="00C71E7E"/>
    <w:rsid w:val="00C721D6"/>
    <w:rsid w:val="00C729D7"/>
    <w:rsid w:val="00C7557F"/>
    <w:rsid w:val="00C76211"/>
    <w:rsid w:val="00C76F12"/>
    <w:rsid w:val="00C810D2"/>
    <w:rsid w:val="00C816F9"/>
    <w:rsid w:val="00C8288C"/>
    <w:rsid w:val="00C8365F"/>
    <w:rsid w:val="00C85B84"/>
    <w:rsid w:val="00C86387"/>
    <w:rsid w:val="00C86E12"/>
    <w:rsid w:val="00C8718F"/>
    <w:rsid w:val="00C874DC"/>
    <w:rsid w:val="00C87D14"/>
    <w:rsid w:val="00C9147F"/>
    <w:rsid w:val="00C91A6B"/>
    <w:rsid w:val="00C92BF1"/>
    <w:rsid w:val="00C93023"/>
    <w:rsid w:val="00C93C09"/>
    <w:rsid w:val="00C94AF7"/>
    <w:rsid w:val="00C95B13"/>
    <w:rsid w:val="00C977EC"/>
    <w:rsid w:val="00C97D52"/>
    <w:rsid w:val="00CA175D"/>
    <w:rsid w:val="00CA2347"/>
    <w:rsid w:val="00CA2799"/>
    <w:rsid w:val="00CA3EDF"/>
    <w:rsid w:val="00CA5339"/>
    <w:rsid w:val="00CA5540"/>
    <w:rsid w:val="00CA5C2E"/>
    <w:rsid w:val="00CA6ADD"/>
    <w:rsid w:val="00CA7201"/>
    <w:rsid w:val="00CA759F"/>
    <w:rsid w:val="00CB15DE"/>
    <w:rsid w:val="00CB17CE"/>
    <w:rsid w:val="00CB1800"/>
    <w:rsid w:val="00CB2552"/>
    <w:rsid w:val="00CB4132"/>
    <w:rsid w:val="00CB519D"/>
    <w:rsid w:val="00CB51E0"/>
    <w:rsid w:val="00CB56E0"/>
    <w:rsid w:val="00CC097C"/>
    <w:rsid w:val="00CC0F96"/>
    <w:rsid w:val="00CC102E"/>
    <w:rsid w:val="00CC18C8"/>
    <w:rsid w:val="00CC55C1"/>
    <w:rsid w:val="00CC6134"/>
    <w:rsid w:val="00CC693D"/>
    <w:rsid w:val="00CC7CCA"/>
    <w:rsid w:val="00CD04A6"/>
    <w:rsid w:val="00CD051C"/>
    <w:rsid w:val="00CD310D"/>
    <w:rsid w:val="00CD3EDE"/>
    <w:rsid w:val="00CD459F"/>
    <w:rsid w:val="00CD58EA"/>
    <w:rsid w:val="00CD5D62"/>
    <w:rsid w:val="00CD6553"/>
    <w:rsid w:val="00CD7D90"/>
    <w:rsid w:val="00CE0C36"/>
    <w:rsid w:val="00CE3379"/>
    <w:rsid w:val="00CE3528"/>
    <w:rsid w:val="00CE3FFF"/>
    <w:rsid w:val="00CE5167"/>
    <w:rsid w:val="00CE6844"/>
    <w:rsid w:val="00CE7615"/>
    <w:rsid w:val="00CE7AAA"/>
    <w:rsid w:val="00CF143A"/>
    <w:rsid w:val="00CF3917"/>
    <w:rsid w:val="00CF39D6"/>
    <w:rsid w:val="00CF3E8B"/>
    <w:rsid w:val="00CF4F44"/>
    <w:rsid w:val="00CF5DDB"/>
    <w:rsid w:val="00CF6730"/>
    <w:rsid w:val="00CF6E83"/>
    <w:rsid w:val="00D0182C"/>
    <w:rsid w:val="00D01B00"/>
    <w:rsid w:val="00D01F2F"/>
    <w:rsid w:val="00D01F4C"/>
    <w:rsid w:val="00D02354"/>
    <w:rsid w:val="00D0326E"/>
    <w:rsid w:val="00D03433"/>
    <w:rsid w:val="00D034DA"/>
    <w:rsid w:val="00D038FC"/>
    <w:rsid w:val="00D03F5F"/>
    <w:rsid w:val="00D04023"/>
    <w:rsid w:val="00D046ED"/>
    <w:rsid w:val="00D051B1"/>
    <w:rsid w:val="00D056FA"/>
    <w:rsid w:val="00D060D9"/>
    <w:rsid w:val="00D06296"/>
    <w:rsid w:val="00D07173"/>
    <w:rsid w:val="00D07613"/>
    <w:rsid w:val="00D10337"/>
    <w:rsid w:val="00D10687"/>
    <w:rsid w:val="00D13F90"/>
    <w:rsid w:val="00D14B0F"/>
    <w:rsid w:val="00D1572D"/>
    <w:rsid w:val="00D1620E"/>
    <w:rsid w:val="00D1637B"/>
    <w:rsid w:val="00D17C42"/>
    <w:rsid w:val="00D22C10"/>
    <w:rsid w:val="00D22FB1"/>
    <w:rsid w:val="00D2336F"/>
    <w:rsid w:val="00D24351"/>
    <w:rsid w:val="00D249D4"/>
    <w:rsid w:val="00D24A77"/>
    <w:rsid w:val="00D24C71"/>
    <w:rsid w:val="00D24CD4"/>
    <w:rsid w:val="00D26428"/>
    <w:rsid w:val="00D2675C"/>
    <w:rsid w:val="00D26E48"/>
    <w:rsid w:val="00D3125E"/>
    <w:rsid w:val="00D31FB5"/>
    <w:rsid w:val="00D335E4"/>
    <w:rsid w:val="00D34315"/>
    <w:rsid w:val="00D345A7"/>
    <w:rsid w:val="00D34C18"/>
    <w:rsid w:val="00D40A4D"/>
    <w:rsid w:val="00D41A13"/>
    <w:rsid w:val="00D41AE5"/>
    <w:rsid w:val="00D42024"/>
    <w:rsid w:val="00D444BE"/>
    <w:rsid w:val="00D449FD"/>
    <w:rsid w:val="00D45432"/>
    <w:rsid w:val="00D468DB"/>
    <w:rsid w:val="00D50388"/>
    <w:rsid w:val="00D50684"/>
    <w:rsid w:val="00D52028"/>
    <w:rsid w:val="00D527A4"/>
    <w:rsid w:val="00D540B9"/>
    <w:rsid w:val="00D553E1"/>
    <w:rsid w:val="00D554E5"/>
    <w:rsid w:val="00D558E2"/>
    <w:rsid w:val="00D55BC2"/>
    <w:rsid w:val="00D569AF"/>
    <w:rsid w:val="00D57749"/>
    <w:rsid w:val="00D61338"/>
    <w:rsid w:val="00D6184E"/>
    <w:rsid w:val="00D62352"/>
    <w:rsid w:val="00D62A7C"/>
    <w:rsid w:val="00D650AD"/>
    <w:rsid w:val="00D6530F"/>
    <w:rsid w:val="00D65982"/>
    <w:rsid w:val="00D662AE"/>
    <w:rsid w:val="00D6784A"/>
    <w:rsid w:val="00D70D3E"/>
    <w:rsid w:val="00D7153D"/>
    <w:rsid w:val="00D72A98"/>
    <w:rsid w:val="00D746B1"/>
    <w:rsid w:val="00D74C98"/>
    <w:rsid w:val="00D74D0A"/>
    <w:rsid w:val="00D74DCF"/>
    <w:rsid w:val="00D75D98"/>
    <w:rsid w:val="00D761DB"/>
    <w:rsid w:val="00D763D8"/>
    <w:rsid w:val="00D779FB"/>
    <w:rsid w:val="00D805E5"/>
    <w:rsid w:val="00D8083B"/>
    <w:rsid w:val="00D80CBB"/>
    <w:rsid w:val="00D80E80"/>
    <w:rsid w:val="00D81475"/>
    <w:rsid w:val="00D81E63"/>
    <w:rsid w:val="00D8235E"/>
    <w:rsid w:val="00D824DE"/>
    <w:rsid w:val="00D82C09"/>
    <w:rsid w:val="00D8392B"/>
    <w:rsid w:val="00D83F65"/>
    <w:rsid w:val="00D84D6B"/>
    <w:rsid w:val="00D85633"/>
    <w:rsid w:val="00D863DA"/>
    <w:rsid w:val="00D86E78"/>
    <w:rsid w:val="00D8779B"/>
    <w:rsid w:val="00D877F8"/>
    <w:rsid w:val="00D90351"/>
    <w:rsid w:val="00D90E4E"/>
    <w:rsid w:val="00D90F3C"/>
    <w:rsid w:val="00D91B4A"/>
    <w:rsid w:val="00D932D5"/>
    <w:rsid w:val="00D9465A"/>
    <w:rsid w:val="00D962F3"/>
    <w:rsid w:val="00D96D4A"/>
    <w:rsid w:val="00D9739D"/>
    <w:rsid w:val="00D978F7"/>
    <w:rsid w:val="00D97BB5"/>
    <w:rsid w:val="00D97C78"/>
    <w:rsid w:val="00DA1E89"/>
    <w:rsid w:val="00DA2156"/>
    <w:rsid w:val="00DA4625"/>
    <w:rsid w:val="00DA535C"/>
    <w:rsid w:val="00DA5B7F"/>
    <w:rsid w:val="00DA79F7"/>
    <w:rsid w:val="00DB01AB"/>
    <w:rsid w:val="00DB0700"/>
    <w:rsid w:val="00DB0B97"/>
    <w:rsid w:val="00DB14AB"/>
    <w:rsid w:val="00DB217F"/>
    <w:rsid w:val="00DB5E6F"/>
    <w:rsid w:val="00DB6E29"/>
    <w:rsid w:val="00DB7E57"/>
    <w:rsid w:val="00DB7F76"/>
    <w:rsid w:val="00DC00FD"/>
    <w:rsid w:val="00DC06D4"/>
    <w:rsid w:val="00DC15BE"/>
    <w:rsid w:val="00DC2036"/>
    <w:rsid w:val="00DC3646"/>
    <w:rsid w:val="00DC4F04"/>
    <w:rsid w:val="00DC5065"/>
    <w:rsid w:val="00DC5210"/>
    <w:rsid w:val="00DC5A17"/>
    <w:rsid w:val="00DC6560"/>
    <w:rsid w:val="00DC7C1D"/>
    <w:rsid w:val="00DD068E"/>
    <w:rsid w:val="00DD0B2F"/>
    <w:rsid w:val="00DD0F9F"/>
    <w:rsid w:val="00DD1589"/>
    <w:rsid w:val="00DD2345"/>
    <w:rsid w:val="00DD2920"/>
    <w:rsid w:val="00DD5B1F"/>
    <w:rsid w:val="00DD5B85"/>
    <w:rsid w:val="00DD624E"/>
    <w:rsid w:val="00DD6A92"/>
    <w:rsid w:val="00DE293E"/>
    <w:rsid w:val="00DE32B7"/>
    <w:rsid w:val="00DE3953"/>
    <w:rsid w:val="00DE40A5"/>
    <w:rsid w:val="00DE4574"/>
    <w:rsid w:val="00DE498F"/>
    <w:rsid w:val="00DE52A9"/>
    <w:rsid w:val="00DE5468"/>
    <w:rsid w:val="00DE555D"/>
    <w:rsid w:val="00DE5CA8"/>
    <w:rsid w:val="00DE64BB"/>
    <w:rsid w:val="00DE6A3E"/>
    <w:rsid w:val="00DE7098"/>
    <w:rsid w:val="00DE71AE"/>
    <w:rsid w:val="00DE7576"/>
    <w:rsid w:val="00DE7F7C"/>
    <w:rsid w:val="00DF01FA"/>
    <w:rsid w:val="00DF0384"/>
    <w:rsid w:val="00DF138A"/>
    <w:rsid w:val="00DF4E53"/>
    <w:rsid w:val="00DF6033"/>
    <w:rsid w:val="00DF65CF"/>
    <w:rsid w:val="00DF6DB6"/>
    <w:rsid w:val="00DF721E"/>
    <w:rsid w:val="00DF7329"/>
    <w:rsid w:val="00E00066"/>
    <w:rsid w:val="00E0044A"/>
    <w:rsid w:val="00E01FD6"/>
    <w:rsid w:val="00E02420"/>
    <w:rsid w:val="00E0294C"/>
    <w:rsid w:val="00E029D9"/>
    <w:rsid w:val="00E0316B"/>
    <w:rsid w:val="00E034EA"/>
    <w:rsid w:val="00E044AE"/>
    <w:rsid w:val="00E0482B"/>
    <w:rsid w:val="00E04BA2"/>
    <w:rsid w:val="00E05A98"/>
    <w:rsid w:val="00E05C16"/>
    <w:rsid w:val="00E06500"/>
    <w:rsid w:val="00E069B1"/>
    <w:rsid w:val="00E0701C"/>
    <w:rsid w:val="00E077E5"/>
    <w:rsid w:val="00E10174"/>
    <w:rsid w:val="00E1056C"/>
    <w:rsid w:val="00E127AB"/>
    <w:rsid w:val="00E12DAF"/>
    <w:rsid w:val="00E140BC"/>
    <w:rsid w:val="00E1576C"/>
    <w:rsid w:val="00E15BF5"/>
    <w:rsid w:val="00E17581"/>
    <w:rsid w:val="00E17A29"/>
    <w:rsid w:val="00E206B1"/>
    <w:rsid w:val="00E2230E"/>
    <w:rsid w:val="00E22A95"/>
    <w:rsid w:val="00E22D5E"/>
    <w:rsid w:val="00E24714"/>
    <w:rsid w:val="00E24E23"/>
    <w:rsid w:val="00E24E3E"/>
    <w:rsid w:val="00E279D9"/>
    <w:rsid w:val="00E30AE1"/>
    <w:rsid w:val="00E30FD3"/>
    <w:rsid w:val="00E3238E"/>
    <w:rsid w:val="00E32B67"/>
    <w:rsid w:val="00E35420"/>
    <w:rsid w:val="00E3669A"/>
    <w:rsid w:val="00E36912"/>
    <w:rsid w:val="00E40567"/>
    <w:rsid w:val="00E41397"/>
    <w:rsid w:val="00E41492"/>
    <w:rsid w:val="00E41B45"/>
    <w:rsid w:val="00E4320C"/>
    <w:rsid w:val="00E442AB"/>
    <w:rsid w:val="00E457F9"/>
    <w:rsid w:val="00E460BE"/>
    <w:rsid w:val="00E46FF0"/>
    <w:rsid w:val="00E47439"/>
    <w:rsid w:val="00E474C1"/>
    <w:rsid w:val="00E47D5C"/>
    <w:rsid w:val="00E47FCD"/>
    <w:rsid w:val="00E503A8"/>
    <w:rsid w:val="00E508DD"/>
    <w:rsid w:val="00E516F6"/>
    <w:rsid w:val="00E5190A"/>
    <w:rsid w:val="00E5254B"/>
    <w:rsid w:val="00E538E9"/>
    <w:rsid w:val="00E53939"/>
    <w:rsid w:val="00E5437B"/>
    <w:rsid w:val="00E54BAB"/>
    <w:rsid w:val="00E55314"/>
    <w:rsid w:val="00E55675"/>
    <w:rsid w:val="00E56DF4"/>
    <w:rsid w:val="00E576AE"/>
    <w:rsid w:val="00E57918"/>
    <w:rsid w:val="00E600FA"/>
    <w:rsid w:val="00E626F6"/>
    <w:rsid w:val="00E62A08"/>
    <w:rsid w:val="00E631C8"/>
    <w:rsid w:val="00E6338F"/>
    <w:rsid w:val="00E6377E"/>
    <w:rsid w:val="00E65C12"/>
    <w:rsid w:val="00E66379"/>
    <w:rsid w:val="00E67599"/>
    <w:rsid w:val="00E714BF"/>
    <w:rsid w:val="00E72392"/>
    <w:rsid w:val="00E73BE4"/>
    <w:rsid w:val="00E749C0"/>
    <w:rsid w:val="00E74A5C"/>
    <w:rsid w:val="00E75D70"/>
    <w:rsid w:val="00E760BC"/>
    <w:rsid w:val="00E77165"/>
    <w:rsid w:val="00E7728D"/>
    <w:rsid w:val="00E812DB"/>
    <w:rsid w:val="00E82004"/>
    <w:rsid w:val="00E828D1"/>
    <w:rsid w:val="00E8301B"/>
    <w:rsid w:val="00E8360B"/>
    <w:rsid w:val="00E83926"/>
    <w:rsid w:val="00E83E36"/>
    <w:rsid w:val="00E83FCF"/>
    <w:rsid w:val="00E846ED"/>
    <w:rsid w:val="00E85D7B"/>
    <w:rsid w:val="00E86334"/>
    <w:rsid w:val="00E8663B"/>
    <w:rsid w:val="00E875DC"/>
    <w:rsid w:val="00E87C65"/>
    <w:rsid w:val="00E87F8A"/>
    <w:rsid w:val="00E90350"/>
    <w:rsid w:val="00E9234C"/>
    <w:rsid w:val="00E927AE"/>
    <w:rsid w:val="00E928FF"/>
    <w:rsid w:val="00E944B7"/>
    <w:rsid w:val="00E948C1"/>
    <w:rsid w:val="00E9539A"/>
    <w:rsid w:val="00E96247"/>
    <w:rsid w:val="00EA0379"/>
    <w:rsid w:val="00EA151A"/>
    <w:rsid w:val="00EA1CF8"/>
    <w:rsid w:val="00EA276B"/>
    <w:rsid w:val="00EA34A7"/>
    <w:rsid w:val="00EA3B4D"/>
    <w:rsid w:val="00EA443C"/>
    <w:rsid w:val="00EA4B6A"/>
    <w:rsid w:val="00EA5612"/>
    <w:rsid w:val="00EA566F"/>
    <w:rsid w:val="00EA5FC5"/>
    <w:rsid w:val="00EA6C2E"/>
    <w:rsid w:val="00EB07F8"/>
    <w:rsid w:val="00EB10A4"/>
    <w:rsid w:val="00EB285D"/>
    <w:rsid w:val="00EB312C"/>
    <w:rsid w:val="00EB4050"/>
    <w:rsid w:val="00EB4E5F"/>
    <w:rsid w:val="00EB5BF5"/>
    <w:rsid w:val="00EB6E03"/>
    <w:rsid w:val="00EC08D5"/>
    <w:rsid w:val="00EC24EB"/>
    <w:rsid w:val="00EC5305"/>
    <w:rsid w:val="00EC5AF3"/>
    <w:rsid w:val="00EC5F99"/>
    <w:rsid w:val="00EC6173"/>
    <w:rsid w:val="00EC67BD"/>
    <w:rsid w:val="00EC6F30"/>
    <w:rsid w:val="00EC7ECE"/>
    <w:rsid w:val="00ED03FB"/>
    <w:rsid w:val="00ED167D"/>
    <w:rsid w:val="00ED1956"/>
    <w:rsid w:val="00ED277F"/>
    <w:rsid w:val="00ED3955"/>
    <w:rsid w:val="00ED4B50"/>
    <w:rsid w:val="00ED6FA5"/>
    <w:rsid w:val="00ED7A3B"/>
    <w:rsid w:val="00EE0136"/>
    <w:rsid w:val="00EE0261"/>
    <w:rsid w:val="00EE03BC"/>
    <w:rsid w:val="00EE0546"/>
    <w:rsid w:val="00EE065B"/>
    <w:rsid w:val="00EE0A25"/>
    <w:rsid w:val="00EE22CB"/>
    <w:rsid w:val="00EE24D3"/>
    <w:rsid w:val="00EE27CE"/>
    <w:rsid w:val="00EE2D6E"/>
    <w:rsid w:val="00EE3155"/>
    <w:rsid w:val="00EE3BC8"/>
    <w:rsid w:val="00EE3D99"/>
    <w:rsid w:val="00EE4B18"/>
    <w:rsid w:val="00EE5F39"/>
    <w:rsid w:val="00EE61D8"/>
    <w:rsid w:val="00EE61E7"/>
    <w:rsid w:val="00EE66D8"/>
    <w:rsid w:val="00EE6A23"/>
    <w:rsid w:val="00EE757A"/>
    <w:rsid w:val="00EF0FE2"/>
    <w:rsid w:val="00EF4BC0"/>
    <w:rsid w:val="00EF56DF"/>
    <w:rsid w:val="00EF7E7A"/>
    <w:rsid w:val="00F0032E"/>
    <w:rsid w:val="00F00F2F"/>
    <w:rsid w:val="00F024CE"/>
    <w:rsid w:val="00F02989"/>
    <w:rsid w:val="00F03233"/>
    <w:rsid w:val="00F04897"/>
    <w:rsid w:val="00F065A6"/>
    <w:rsid w:val="00F06978"/>
    <w:rsid w:val="00F103B6"/>
    <w:rsid w:val="00F10B41"/>
    <w:rsid w:val="00F115CB"/>
    <w:rsid w:val="00F122F6"/>
    <w:rsid w:val="00F12749"/>
    <w:rsid w:val="00F13603"/>
    <w:rsid w:val="00F13CCC"/>
    <w:rsid w:val="00F15795"/>
    <w:rsid w:val="00F15892"/>
    <w:rsid w:val="00F21DC5"/>
    <w:rsid w:val="00F2205B"/>
    <w:rsid w:val="00F24DD5"/>
    <w:rsid w:val="00F30C39"/>
    <w:rsid w:val="00F30C87"/>
    <w:rsid w:val="00F30D3E"/>
    <w:rsid w:val="00F30FD8"/>
    <w:rsid w:val="00F317EF"/>
    <w:rsid w:val="00F3318E"/>
    <w:rsid w:val="00F35297"/>
    <w:rsid w:val="00F375DC"/>
    <w:rsid w:val="00F40613"/>
    <w:rsid w:val="00F40F2A"/>
    <w:rsid w:val="00F42371"/>
    <w:rsid w:val="00F43152"/>
    <w:rsid w:val="00F44B9E"/>
    <w:rsid w:val="00F45807"/>
    <w:rsid w:val="00F468A0"/>
    <w:rsid w:val="00F47F6C"/>
    <w:rsid w:val="00F51967"/>
    <w:rsid w:val="00F52132"/>
    <w:rsid w:val="00F5264F"/>
    <w:rsid w:val="00F538C6"/>
    <w:rsid w:val="00F550B5"/>
    <w:rsid w:val="00F5544F"/>
    <w:rsid w:val="00F56235"/>
    <w:rsid w:val="00F57794"/>
    <w:rsid w:val="00F60858"/>
    <w:rsid w:val="00F60FFC"/>
    <w:rsid w:val="00F632DC"/>
    <w:rsid w:val="00F63945"/>
    <w:rsid w:val="00F66558"/>
    <w:rsid w:val="00F666FE"/>
    <w:rsid w:val="00F70C7C"/>
    <w:rsid w:val="00F7147E"/>
    <w:rsid w:val="00F73B4D"/>
    <w:rsid w:val="00F74026"/>
    <w:rsid w:val="00F75B42"/>
    <w:rsid w:val="00F76702"/>
    <w:rsid w:val="00F76FFC"/>
    <w:rsid w:val="00F80C06"/>
    <w:rsid w:val="00F8107A"/>
    <w:rsid w:val="00F81C40"/>
    <w:rsid w:val="00F82201"/>
    <w:rsid w:val="00F83F2D"/>
    <w:rsid w:val="00F8491E"/>
    <w:rsid w:val="00F85688"/>
    <w:rsid w:val="00F8678C"/>
    <w:rsid w:val="00F86A32"/>
    <w:rsid w:val="00F9192B"/>
    <w:rsid w:val="00F91EED"/>
    <w:rsid w:val="00F92071"/>
    <w:rsid w:val="00F92C37"/>
    <w:rsid w:val="00F92E5D"/>
    <w:rsid w:val="00F95E47"/>
    <w:rsid w:val="00F9623D"/>
    <w:rsid w:val="00F96D24"/>
    <w:rsid w:val="00F96E1A"/>
    <w:rsid w:val="00F97DAD"/>
    <w:rsid w:val="00FA0F54"/>
    <w:rsid w:val="00FA0FA7"/>
    <w:rsid w:val="00FA2207"/>
    <w:rsid w:val="00FA268F"/>
    <w:rsid w:val="00FA2A3B"/>
    <w:rsid w:val="00FA2BF3"/>
    <w:rsid w:val="00FA2D85"/>
    <w:rsid w:val="00FA38D3"/>
    <w:rsid w:val="00FA494C"/>
    <w:rsid w:val="00FA5A97"/>
    <w:rsid w:val="00FA6A61"/>
    <w:rsid w:val="00FA739D"/>
    <w:rsid w:val="00FA7439"/>
    <w:rsid w:val="00FA7961"/>
    <w:rsid w:val="00FA79A6"/>
    <w:rsid w:val="00FB11EA"/>
    <w:rsid w:val="00FB30F1"/>
    <w:rsid w:val="00FB3C35"/>
    <w:rsid w:val="00FB3F37"/>
    <w:rsid w:val="00FB43C9"/>
    <w:rsid w:val="00FB4D84"/>
    <w:rsid w:val="00FB52BF"/>
    <w:rsid w:val="00FB5997"/>
    <w:rsid w:val="00FB6E85"/>
    <w:rsid w:val="00FC0C6D"/>
    <w:rsid w:val="00FC15D0"/>
    <w:rsid w:val="00FC1A24"/>
    <w:rsid w:val="00FC24CD"/>
    <w:rsid w:val="00FC2D54"/>
    <w:rsid w:val="00FC3DB9"/>
    <w:rsid w:val="00FC54A8"/>
    <w:rsid w:val="00FC7BDE"/>
    <w:rsid w:val="00FD024E"/>
    <w:rsid w:val="00FD1177"/>
    <w:rsid w:val="00FD2D8A"/>
    <w:rsid w:val="00FD3434"/>
    <w:rsid w:val="00FD36C9"/>
    <w:rsid w:val="00FD3FAC"/>
    <w:rsid w:val="00FD4F5C"/>
    <w:rsid w:val="00FD5DE1"/>
    <w:rsid w:val="00FD62D1"/>
    <w:rsid w:val="00FD642A"/>
    <w:rsid w:val="00FE0BCC"/>
    <w:rsid w:val="00FE0D06"/>
    <w:rsid w:val="00FE238C"/>
    <w:rsid w:val="00FE5E1A"/>
    <w:rsid w:val="00FE6551"/>
    <w:rsid w:val="00FE697C"/>
    <w:rsid w:val="00FF014D"/>
    <w:rsid w:val="00FF04B1"/>
    <w:rsid w:val="00FF2092"/>
    <w:rsid w:val="00FF446B"/>
    <w:rsid w:val="00FF535E"/>
    <w:rsid w:val="00FF55DB"/>
    <w:rsid w:val="00FF6A68"/>
    <w:rsid w:val="00FF6AC5"/>
    <w:rsid w:val="00FF7BDD"/>
    <w:rsid w:val="096A703A"/>
    <w:rsid w:val="0B17415E"/>
    <w:rsid w:val="20E16970"/>
    <w:rsid w:val="2C0370C5"/>
    <w:rsid w:val="37F46F20"/>
    <w:rsid w:val="38E536E4"/>
    <w:rsid w:val="3A8C52FD"/>
    <w:rsid w:val="3AD60D98"/>
    <w:rsid w:val="4E8D2CB9"/>
    <w:rsid w:val="4F2E673E"/>
    <w:rsid w:val="59C41228"/>
    <w:rsid w:val="5BB36D43"/>
    <w:rsid w:val="5D850596"/>
    <w:rsid w:val="6234787B"/>
    <w:rsid w:val="62906B6F"/>
    <w:rsid w:val="68BC3E83"/>
    <w:rsid w:val="6BB81E41"/>
    <w:rsid w:val="6EC81F48"/>
    <w:rsid w:val="6F624B4B"/>
    <w:rsid w:val="6FDC0F36"/>
    <w:rsid w:val="775C1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qFormat="1" w:unhideWhenUsed="0" w:uiPriority="99" w:name="FollowedHyperlink"/>
    <w:lsdException w:qFormat="1" w:unhideWhenUsed="0" w:uiPriority="99"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3">
    <w:name w:val="heading 1"/>
    <w:basedOn w:val="1"/>
    <w:next w:val="1"/>
    <w:link w:val="21"/>
    <w:qFormat/>
    <w:uiPriority w:val="9"/>
    <w:pPr>
      <w:keepNext/>
      <w:keepLines/>
      <w:spacing w:before="340" w:after="330" w:line="578" w:lineRule="auto"/>
      <w:outlineLvl w:val="0"/>
    </w:pPr>
    <w:rPr>
      <w:rFonts w:ascii="Times New Roman" w:hAnsi="Times New Roman" w:cs="Calibri"/>
      <w:b/>
      <w:bCs/>
      <w:kern w:val="44"/>
      <w:sz w:val="44"/>
      <w:szCs w:val="44"/>
    </w:rPr>
  </w:style>
  <w:style w:type="paragraph" w:styleId="4">
    <w:name w:val="heading 2"/>
    <w:basedOn w:val="1"/>
    <w:next w:val="1"/>
    <w:link w:val="22"/>
    <w:qFormat/>
    <w:uiPriority w:val="9"/>
    <w:pPr>
      <w:keepNext/>
      <w:keepLines/>
      <w:spacing w:before="260" w:after="260" w:line="416" w:lineRule="auto"/>
      <w:outlineLvl w:val="1"/>
    </w:pPr>
    <w:rPr>
      <w:rFonts w:ascii="Cambria" w:hAnsi="Cambria" w:cstheme="majorBidi"/>
      <w:b/>
      <w:bCs/>
      <w:kern w:val="0"/>
      <w:sz w:val="32"/>
      <w:szCs w:val="32"/>
    </w:rPr>
  </w:style>
  <w:style w:type="paragraph" w:styleId="5">
    <w:name w:val="heading 3"/>
    <w:basedOn w:val="1"/>
    <w:next w:val="1"/>
    <w:link w:val="23"/>
    <w:semiHidden/>
    <w:unhideWhenUsed/>
    <w:qFormat/>
    <w:uiPriority w:val="0"/>
    <w:pPr>
      <w:keepNext/>
      <w:keepLines/>
      <w:spacing w:before="260" w:after="260" w:line="416" w:lineRule="auto"/>
      <w:outlineLvl w:val="2"/>
    </w:pPr>
    <w:rPr>
      <w:rFonts w:cs="Calibri"/>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cs="Calibri"/>
      <w:sz w:val="24"/>
    </w:rPr>
  </w:style>
  <w:style w:type="paragraph" w:styleId="6">
    <w:name w:val="caption"/>
    <w:basedOn w:val="1"/>
    <w:next w:val="1"/>
    <w:qFormat/>
    <w:uiPriority w:val="0"/>
    <w:pPr>
      <w:suppressLineNumbers/>
      <w:spacing w:before="120" w:after="120"/>
    </w:pPr>
    <w:rPr>
      <w:i/>
      <w:iCs/>
      <w:sz w:val="24"/>
    </w:rPr>
  </w:style>
  <w:style w:type="paragraph" w:styleId="7">
    <w:name w:val="Body Text Indent"/>
    <w:basedOn w:val="1"/>
    <w:next w:val="8"/>
    <w:link w:val="43"/>
    <w:qFormat/>
    <w:uiPriority w:val="0"/>
    <w:pPr>
      <w:spacing w:after="120"/>
      <w:ind w:left="200" w:leftChars="200"/>
    </w:pPr>
    <w:rPr>
      <w:rFonts w:ascii="仿宋_GB2312" w:cs="Calibri"/>
      <w:szCs w:val="32"/>
    </w:rPr>
  </w:style>
  <w:style w:type="paragraph" w:styleId="8">
    <w:name w:val="Body Text First Indent 2"/>
    <w:basedOn w:val="7"/>
    <w:link w:val="44"/>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rPr>
      <w:rFonts w:cs="Calibri"/>
    </w:rPr>
  </w:style>
  <w:style w:type="paragraph" w:styleId="10">
    <w:name w:val="Balloon Text"/>
    <w:basedOn w:val="1"/>
    <w:link w:val="35"/>
    <w:qFormat/>
    <w:uiPriority w:val="99"/>
    <w:rPr>
      <w:rFonts w:cs="Calibri"/>
      <w:kern w:val="0"/>
      <w:sz w:val="18"/>
      <w:szCs w:val="18"/>
    </w:rPr>
  </w:style>
  <w:style w:type="paragraph" w:styleId="11">
    <w:name w:val="footer"/>
    <w:basedOn w:val="1"/>
    <w:link w:val="32"/>
    <w:qFormat/>
    <w:uiPriority w:val="99"/>
    <w:pPr>
      <w:tabs>
        <w:tab w:val="center" w:pos="4153"/>
        <w:tab w:val="right" w:pos="8306"/>
      </w:tabs>
      <w:snapToGrid w:val="0"/>
      <w:jc w:val="left"/>
    </w:pPr>
    <w:rPr>
      <w:rFonts w:cs="Calibri"/>
      <w:kern w:val="0"/>
      <w:sz w:val="18"/>
      <w:szCs w:val="18"/>
    </w:rPr>
  </w:style>
  <w:style w:type="paragraph" w:styleId="12">
    <w:name w:val="header"/>
    <w:basedOn w:val="1"/>
    <w:link w:val="30"/>
    <w:qFormat/>
    <w:uiPriority w:val="99"/>
    <w:pPr>
      <w:pBdr>
        <w:bottom w:val="single" w:color="auto" w:sz="6" w:space="1"/>
      </w:pBdr>
      <w:tabs>
        <w:tab w:val="center" w:pos="4153"/>
        <w:tab w:val="right" w:pos="8306"/>
      </w:tabs>
      <w:snapToGrid w:val="0"/>
      <w:jc w:val="center"/>
    </w:pPr>
    <w:rPr>
      <w:rFonts w:cs="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cs="Calibri"/>
      <w:sz w:val="28"/>
      <w:szCs w:val="28"/>
    </w:rPr>
  </w:style>
  <w:style w:type="paragraph" w:styleId="14">
    <w:name w:val="footnote text"/>
    <w:basedOn w:val="1"/>
    <w:next w:val="8"/>
    <w:link w:val="42"/>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rPr>
      <w:rFonts w:cs="Calibri"/>
    </w:rPr>
  </w:style>
  <w:style w:type="character" w:styleId="18">
    <w:name w:val="Strong"/>
    <w:qFormat/>
    <w:uiPriority w:val="99"/>
    <w:rPr>
      <w:b/>
    </w:rPr>
  </w:style>
  <w:style w:type="character" w:styleId="19">
    <w:name w:val="FollowedHyperlink"/>
    <w:semiHidden/>
    <w:qFormat/>
    <w:uiPriority w:val="99"/>
    <w:rPr>
      <w:color w:val="800080"/>
      <w:u w:val="single"/>
    </w:rPr>
  </w:style>
  <w:style w:type="character" w:styleId="20">
    <w:name w:val="Hyperlink"/>
    <w:semiHidden/>
    <w:qFormat/>
    <w:uiPriority w:val="99"/>
    <w:rPr>
      <w:color w:val="0000FF"/>
      <w:u w:val="single"/>
    </w:rPr>
  </w:style>
  <w:style w:type="character" w:customStyle="1" w:styleId="21">
    <w:name w:val="标题 1 Char"/>
    <w:link w:val="3"/>
    <w:qFormat/>
    <w:uiPriority w:val="9"/>
    <w:rPr>
      <w:rFonts w:cs="Calibri"/>
      <w:b/>
      <w:bCs/>
      <w:kern w:val="44"/>
      <w:sz w:val="44"/>
      <w:szCs w:val="44"/>
    </w:rPr>
  </w:style>
  <w:style w:type="character" w:customStyle="1" w:styleId="22">
    <w:name w:val="标题 2 Char"/>
    <w:link w:val="4"/>
    <w:qFormat/>
    <w:uiPriority w:val="9"/>
    <w:rPr>
      <w:rFonts w:ascii="Cambria" w:hAnsi="Cambria" w:cstheme="majorBidi"/>
      <w:b/>
      <w:bCs/>
      <w:sz w:val="32"/>
      <w:szCs w:val="32"/>
    </w:rPr>
  </w:style>
  <w:style w:type="character" w:customStyle="1" w:styleId="23">
    <w:name w:val="标题 3 Char"/>
    <w:basedOn w:val="17"/>
    <w:link w:val="5"/>
    <w:semiHidden/>
    <w:qFormat/>
    <w:uiPriority w:val="0"/>
    <w:rPr>
      <w:rFonts w:ascii="Calibri" w:hAnsi="Calibri" w:cs="Calibri"/>
      <w:b/>
      <w:bCs/>
      <w:kern w:val="2"/>
      <w:sz w:val="32"/>
      <w:szCs w:val="32"/>
    </w:rPr>
  </w:style>
  <w:style w:type="character" w:customStyle="1" w:styleId="24">
    <w:name w:val="正文文本 Char"/>
    <w:link w:val="2"/>
    <w:qFormat/>
    <w:uiPriority w:val="99"/>
    <w:rPr>
      <w:rFonts w:ascii="仿宋_GB2312" w:hAnsi="Times New Roman" w:eastAsia="仿宋_GB2312"/>
      <w:sz w:val="24"/>
    </w:rPr>
  </w:style>
  <w:style w:type="paragraph" w:styleId="25">
    <w:name w:val="List Paragraph"/>
    <w:basedOn w:val="1"/>
    <w:qFormat/>
    <w:uiPriority w:val="34"/>
    <w:pPr>
      <w:ind w:firstLine="420" w:firstLineChars="200"/>
    </w:pPr>
    <w:rPr>
      <w:rFonts w:cs="Calibri"/>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7">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Subtle Emphasis"/>
    <w:basedOn w:val="17"/>
    <w:qFormat/>
    <w:uiPriority w:val="19"/>
    <w:rPr>
      <w:i/>
      <w:iCs/>
      <w:color w:val="7F7F7F" w:themeColor="text1" w:themeTint="7F"/>
    </w:rPr>
  </w:style>
  <w:style w:type="paragraph" w:customStyle="1" w:styleId="29">
    <w:name w:val="列出段落1"/>
    <w:basedOn w:val="1"/>
    <w:qFormat/>
    <w:uiPriority w:val="34"/>
    <w:pPr>
      <w:ind w:firstLine="420" w:firstLineChars="200"/>
    </w:pPr>
  </w:style>
  <w:style w:type="character" w:customStyle="1" w:styleId="30">
    <w:name w:val="页眉 Char"/>
    <w:basedOn w:val="17"/>
    <w:link w:val="12"/>
    <w:qFormat/>
    <w:uiPriority w:val="99"/>
    <w:rPr>
      <w:rFonts w:ascii="Calibri" w:hAnsi="Calibri" w:eastAsia="宋体" w:cs="Calibri"/>
      <w:sz w:val="18"/>
      <w:szCs w:val="18"/>
    </w:rPr>
  </w:style>
  <w:style w:type="character" w:customStyle="1" w:styleId="31">
    <w:name w:val="页眉 字符"/>
    <w:qFormat/>
    <w:locked/>
    <w:uiPriority w:val="99"/>
    <w:rPr>
      <w:rFonts w:ascii="Times New Roman" w:hAnsi="Times New Roman" w:eastAsia="宋体" w:cs="Times New Roman"/>
      <w:kern w:val="0"/>
      <w:sz w:val="18"/>
      <w:szCs w:val="18"/>
    </w:rPr>
  </w:style>
  <w:style w:type="character" w:customStyle="1" w:styleId="32">
    <w:name w:val="页脚 Char"/>
    <w:basedOn w:val="17"/>
    <w:link w:val="11"/>
    <w:qFormat/>
    <w:uiPriority w:val="99"/>
    <w:rPr>
      <w:rFonts w:ascii="Calibri" w:hAnsi="Calibri" w:eastAsia="宋体" w:cs="Calibri"/>
      <w:sz w:val="18"/>
      <w:szCs w:val="18"/>
    </w:rPr>
  </w:style>
  <w:style w:type="character" w:customStyle="1" w:styleId="33">
    <w:name w:val="页脚 字符"/>
    <w:qFormat/>
    <w:locked/>
    <w:uiPriority w:val="99"/>
    <w:rPr>
      <w:rFonts w:ascii="Times New Roman" w:hAnsi="Times New Roman" w:eastAsia="宋体" w:cs="Times New Roman"/>
      <w:kern w:val="0"/>
      <w:sz w:val="18"/>
      <w:szCs w:val="18"/>
    </w:rPr>
  </w:style>
  <w:style w:type="paragraph" w:customStyle="1" w:styleId="34">
    <w:name w:val="_Style 27"/>
    <w:qFormat/>
    <w:uiPriority w:val="99"/>
    <w:pPr>
      <w:widowControl w:val="0"/>
      <w:jc w:val="both"/>
    </w:pPr>
    <w:rPr>
      <w:rFonts w:ascii="Times New Roman" w:hAnsi="Times New Roman" w:eastAsia="宋体" w:cs="Calibri"/>
      <w:kern w:val="2"/>
      <w:sz w:val="21"/>
      <w:szCs w:val="21"/>
      <w:lang w:val="en-US" w:eastAsia="zh-CN" w:bidi="ar-SA"/>
    </w:rPr>
  </w:style>
  <w:style w:type="character" w:customStyle="1" w:styleId="35">
    <w:name w:val="批注框文本 Char"/>
    <w:basedOn w:val="17"/>
    <w:link w:val="10"/>
    <w:qFormat/>
    <w:uiPriority w:val="99"/>
    <w:rPr>
      <w:rFonts w:ascii="Calibri" w:hAnsi="Calibri" w:eastAsia="宋体" w:cs="Calibri"/>
      <w:sz w:val="18"/>
      <w:szCs w:val="18"/>
    </w:rPr>
  </w:style>
  <w:style w:type="character" w:customStyle="1" w:styleId="36">
    <w:name w:val="批注框文本 字符"/>
    <w:qFormat/>
    <w:uiPriority w:val="0"/>
    <w:rPr>
      <w:rFonts w:ascii="Calibri" w:hAnsi="Calibri" w:eastAsia="宋体" w:cs="Times New Roman"/>
      <w:sz w:val="18"/>
      <w:szCs w:val="18"/>
    </w:rPr>
  </w:style>
  <w:style w:type="character" w:customStyle="1" w:styleId="37">
    <w:name w:val="Subtle Reference"/>
    <w:basedOn w:val="17"/>
    <w:qFormat/>
    <w:uiPriority w:val="31"/>
    <w:rPr>
      <w:smallCaps/>
      <w:color w:val="C0504D" w:themeColor="accent2"/>
      <w:u w:val="single"/>
    </w:rPr>
  </w:style>
  <w:style w:type="character" w:customStyle="1" w:styleId="38">
    <w:name w:val="apple-converted-space"/>
    <w:basedOn w:val="17"/>
    <w:qFormat/>
    <w:uiPriority w:val="99"/>
  </w:style>
  <w:style w:type="character" w:customStyle="1" w:styleId="39">
    <w:name w:val="页眉 Char1"/>
    <w:qFormat/>
    <w:locked/>
    <w:uiPriority w:val="99"/>
    <w:rPr>
      <w:rFonts w:ascii="Times New Roman" w:hAnsi="Times New Roman" w:eastAsia="宋体" w:cs="Times New Roman"/>
      <w:kern w:val="0"/>
      <w:sz w:val="18"/>
      <w:szCs w:val="18"/>
    </w:rPr>
  </w:style>
  <w:style w:type="character" w:customStyle="1" w:styleId="40">
    <w:name w:val="页脚 Char1"/>
    <w:qFormat/>
    <w:locked/>
    <w:uiPriority w:val="99"/>
    <w:rPr>
      <w:rFonts w:ascii="Times New Roman" w:hAnsi="Times New Roman" w:eastAsia="宋体" w:cs="Times New Roman"/>
      <w:kern w:val="0"/>
      <w:sz w:val="18"/>
      <w:szCs w:val="18"/>
    </w:rPr>
  </w:style>
  <w:style w:type="character" w:customStyle="1" w:styleId="41">
    <w:name w:val="批注框文本 Char1"/>
    <w:qFormat/>
    <w:uiPriority w:val="0"/>
    <w:rPr>
      <w:rFonts w:ascii="Calibri" w:hAnsi="Calibri" w:eastAsia="宋体" w:cs="Times New Roman"/>
      <w:sz w:val="18"/>
      <w:szCs w:val="18"/>
    </w:rPr>
  </w:style>
  <w:style w:type="character" w:customStyle="1" w:styleId="42">
    <w:name w:val="脚注文本 Char"/>
    <w:basedOn w:val="17"/>
    <w:link w:val="14"/>
    <w:semiHidden/>
    <w:qFormat/>
    <w:uiPriority w:val="0"/>
    <w:rPr>
      <w:rFonts w:ascii="Calibri" w:hAnsi="Calibri"/>
      <w:kern w:val="2"/>
      <w:sz w:val="18"/>
      <w:szCs w:val="18"/>
    </w:rPr>
  </w:style>
  <w:style w:type="character" w:customStyle="1" w:styleId="43">
    <w:name w:val="正文文本缩进 Char"/>
    <w:basedOn w:val="17"/>
    <w:link w:val="7"/>
    <w:qFormat/>
    <w:uiPriority w:val="0"/>
    <w:rPr>
      <w:rFonts w:ascii="仿宋_GB2312" w:hAnsi="Calibri" w:cs="Calibri"/>
      <w:kern w:val="2"/>
      <w:sz w:val="21"/>
      <w:szCs w:val="32"/>
    </w:rPr>
  </w:style>
  <w:style w:type="character" w:customStyle="1" w:styleId="44">
    <w:name w:val="正文首行缩进 2 Char"/>
    <w:basedOn w:val="43"/>
    <w:link w:val="8"/>
    <w:qFormat/>
    <w:uiPriority w:val="99"/>
  </w:style>
  <w:style w:type="paragraph" w:customStyle="1" w:styleId="45">
    <w:name w:val="font5"/>
    <w:basedOn w:val="1"/>
    <w:qFormat/>
    <w:uiPriority w:val="0"/>
    <w:pPr>
      <w:widowControl/>
      <w:suppressAutoHyphens w:val="0"/>
      <w:spacing w:before="100" w:beforeAutospacing="1" w:after="100" w:afterAutospacing="1"/>
      <w:jc w:val="left"/>
    </w:pPr>
    <w:rPr>
      <w:rFonts w:ascii="宋体" w:hAnsi="宋体" w:cs="宋体"/>
      <w:kern w:val="0"/>
      <w:sz w:val="18"/>
      <w:szCs w:val="18"/>
    </w:rPr>
  </w:style>
  <w:style w:type="paragraph" w:customStyle="1" w:styleId="46">
    <w:name w:val="xl74"/>
    <w:basedOn w:val="1"/>
    <w:qFormat/>
    <w:uiPriority w:val="0"/>
    <w:pPr>
      <w:widowControl/>
      <w:suppressAutoHyphens w:val="0"/>
      <w:spacing w:before="100" w:beforeAutospacing="1" w:after="100" w:afterAutospacing="1"/>
      <w:jc w:val="left"/>
      <w:textAlignment w:val="center"/>
    </w:pPr>
    <w:rPr>
      <w:rFonts w:ascii="宋体" w:hAnsi="宋体" w:cs="宋体"/>
      <w:kern w:val="0"/>
      <w:sz w:val="24"/>
    </w:rPr>
  </w:style>
  <w:style w:type="paragraph" w:customStyle="1" w:styleId="47">
    <w:name w:val="xl75"/>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i/>
      <w:iCs/>
      <w:color w:val="000000"/>
      <w:kern w:val="0"/>
      <w:sz w:val="16"/>
      <w:szCs w:val="16"/>
    </w:rPr>
  </w:style>
  <w:style w:type="paragraph" w:customStyle="1" w:styleId="48">
    <w:name w:val="xl76"/>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49">
    <w:name w:val="xl77"/>
    <w:basedOn w:val="1"/>
    <w:qFormat/>
    <w:uiPriority w:val="0"/>
    <w:pPr>
      <w:widowControl/>
      <w:suppressAutoHyphens w:val="0"/>
      <w:spacing w:before="100" w:beforeAutospacing="1" w:after="100" w:afterAutospacing="1"/>
      <w:jc w:val="left"/>
      <w:textAlignment w:val="center"/>
    </w:pPr>
    <w:rPr>
      <w:rFonts w:ascii="仿宋" w:hAnsi="仿宋" w:eastAsia="仿宋" w:cs="宋体"/>
      <w:color w:val="000000"/>
      <w:kern w:val="0"/>
      <w:sz w:val="16"/>
      <w:szCs w:val="16"/>
    </w:rPr>
  </w:style>
  <w:style w:type="paragraph" w:customStyle="1" w:styleId="50">
    <w:name w:val="xl78"/>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6"/>
      <w:szCs w:val="16"/>
    </w:rPr>
  </w:style>
  <w:style w:type="paragraph" w:customStyle="1" w:styleId="51">
    <w:name w:val="xl79"/>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52">
    <w:name w:val="xl80"/>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53">
    <w:name w:val="xl81"/>
    <w:basedOn w:val="1"/>
    <w:qFormat/>
    <w:uiPriority w:val="0"/>
    <w:pPr>
      <w:widowControl/>
      <w:pBdr>
        <w:top w:val="single" w:color="000000" w:sz="4" w:space="0"/>
        <w:left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uppressAutoHyphens w:val="0"/>
      <w:spacing w:before="100" w:beforeAutospacing="1" w:after="100" w:afterAutospacing="1"/>
      <w:jc w:val="left"/>
      <w:textAlignment w:val="center"/>
    </w:pPr>
    <w:rPr>
      <w:rFonts w:ascii="仿宋" w:hAnsi="仿宋" w:eastAsia="仿宋" w:cs="宋体"/>
      <w:kern w:val="0"/>
      <w:sz w:val="16"/>
      <w:szCs w:val="16"/>
    </w:rPr>
  </w:style>
  <w:style w:type="paragraph" w:customStyle="1" w:styleId="55">
    <w:name w:val="xl83"/>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56">
    <w:name w:val="xl84"/>
    <w:basedOn w:val="1"/>
    <w:qFormat/>
    <w:uiPriority w:val="0"/>
    <w:pPr>
      <w:widowControl/>
      <w:pBdr>
        <w:top w:val="single" w:color="auto" w:sz="4" w:space="0"/>
        <w:left w:val="single" w:color="auto" w:sz="4" w:space="0"/>
        <w:right w:val="single" w:color="auto"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57">
    <w:name w:val="xl85"/>
    <w:basedOn w:val="1"/>
    <w:qFormat/>
    <w:uiPriority w:val="0"/>
    <w:pPr>
      <w:widowControl/>
      <w:pBdr>
        <w:top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58">
    <w:name w:val="xl86"/>
    <w:basedOn w:val="1"/>
    <w:qFormat/>
    <w:uiPriority w:val="0"/>
    <w:pPr>
      <w:widowControl/>
      <w:pBdr>
        <w:left w:val="single" w:color="000000" w:sz="4" w:space="0"/>
        <w:bottom w:val="single" w:color="000000"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59">
    <w:name w:val="xl87"/>
    <w:basedOn w:val="1"/>
    <w:qFormat/>
    <w:uiPriority w:val="0"/>
    <w:pPr>
      <w:widowControl/>
      <w:pBdr>
        <w:top w:val="single" w:color="auto" w:sz="4" w:space="0"/>
        <w:left w:val="single" w:color="auto" w:sz="4" w:space="0"/>
        <w:bottom w:val="single" w:color="auto" w:sz="4" w:space="0"/>
        <w:right w:val="single" w:color="auto"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60">
    <w:name w:val="xl88"/>
    <w:basedOn w:val="1"/>
    <w:qFormat/>
    <w:uiPriority w:val="0"/>
    <w:pPr>
      <w:widowControl/>
      <w:suppressAutoHyphens w:val="0"/>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61">
    <w:name w:val="xl89"/>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62">
    <w:name w:val="xl90"/>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8"/>
      <w:szCs w:val="18"/>
    </w:rPr>
  </w:style>
  <w:style w:type="paragraph" w:customStyle="1" w:styleId="63">
    <w:name w:val="xl91"/>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8"/>
      <w:szCs w:val="18"/>
    </w:rPr>
  </w:style>
  <w:style w:type="paragraph" w:customStyle="1" w:styleId="64">
    <w:name w:val="xl92"/>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8"/>
      <w:szCs w:val="18"/>
    </w:rPr>
  </w:style>
  <w:style w:type="paragraph" w:customStyle="1" w:styleId="65">
    <w:name w:val="xl93"/>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i/>
      <w:iCs/>
      <w:color w:val="000000"/>
      <w:kern w:val="0"/>
      <w:sz w:val="18"/>
      <w:szCs w:val="18"/>
    </w:rPr>
  </w:style>
  <w:style w:type="paragraph" w:customStyle="1" w:styleId="66">
    <w:name w:val="xl94"/>
    <w:basedOn w:val="1"/>
    <w:qFormat/>
    <w:uiPriority w:val="0"/>
    <w:pPr>
      <w:widowControl/>
      <w:pBdr>
        <w:top w:val="single" w:color="000000" w:sz="4" w:space="0"/>
        <w:left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8"/>
      <w:szCs w:val="18"/>
    </w:rPr>
  </w:style>
  <w:style w:type="paragraph" w:customStyle="1" w:styleId="67">
    <w:name w:val="xl95"/>
    <w:basedOn w:val="1"/>
    <w:qFormat/>
    <w:uiPriority w:val="0"/>
    <w:pPr>
      <w:widowControl/>
      <w:pBdr>
        <w:bottom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6"/>
      <w:szCs w:val="16"/>
    </w:rPr>
  </w:style>
  <w:style w:type="paragraph" w:customStyle="1" w:styleId="68">
    <w:name w:val="xl96"/>
    <w:basedOn w:val="1"/>
    <w:qFormat/>
    <w:uiPriority w:val="0"/>
    <w:pPr>
      <w:widowControl/>
      <w:pBdr>
        <w:top w:val="single" w:color="auto" w:sz="4" w:space="0"/>
        <w:left w:val="single" w:color="auto" w:sz="4" w:space="0"/>
        <w:bottom w:val="single" w:color="auto" w:sz="4" w:space="0"/>
        <w:right w:val="single" w:color="auto"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69">
    <w:name w:val="xl97"/>
    <w:basedOn w:val="1"/>
    <w:qFormat/>
    <w:uiPriority w:val="0"/>
    <w:pPr>
      <w:widowControl/>
      <w:pBdr>
        <w:top w:val="single" w:color="auto" w:sz="4" w:space="0"/>
        <w:left w:val="single" w:color="auto" w:sz="4" w:space="0"/>
        <w:bottom w:val="single" w:color="auto" w:sz="4" w:space="0"/>
        <w:right w:val="single" w:color="auto" w:sz="4" w:space="0"/>
      </w:pBdr>
      <w:suppressAutoHyphens w:val="0"/>
      <w:spacing w:before="100" w:beforeAutospacing="1" w:after="100" w:afterAutospacing="1"/>
      <w:jc w:val="left"/>
      <w:textAlignment w:val="center"/>
    </w:pPr>
    <w:rPr>
      <w:rFonts w:ascii="仿宋" w:hAnsi="仿宋" w:eastAsia="仿宋" w:cs="宋体"/>
      <w:kern w:val="0"/>
      <w:sz w:val="16"/>
      <w:szCs w:val="16"/>
    </w:rPr>
  </w:style>
  <w:style w:type="paragraph" w:customStyle="1" w:styleId="70">
    <w:name w:val="xl98"/>
    <w:basedOn w:val="1"/>
    <w:qFormat/>
    <w:uiPriority w:val="0"/>
    <w:pPr>
      <w:widowControl/>
      <w:pBdr>
        <w:top w:val="single" w:color="auto" w:sz="4" w:space="0"/>
        <w:left w:val="single" w:color="auto" w:sz="4" w:space="0"/>
        <w:bottom w:val="single" w:color="auto" w:sz="4" w:space="0"/>
      </w:pBdr>
      <w:suppressAutoHyphens w:val="0"/>
      <w:spacing w:before="100" w:beforeAutospacing="1" w:after="100" w:afterAutospacing="1"/>
      <w:jc w:val="center"/>
      <w:textAlignment w:val="center"/>
    </w:pPr>
    <w:rPr>
      <w:rFonts w:ascii="仿宋" w:hAnsi="仿宋" w:eastAsia="仿宋" w:cs="宋体"/>
      <w:kern w:val="0"/>
      <w:sz w:val="18"/>
      <w:szCs w:val="18"/>
    </w:rPr>
  </w:style>
  <w:style w:type="paragraph" w:customStyle="1" w:styleId="71">
    <w:name w:val="xl99"/>
    <w:basedOn w:val="1"/>
    <w:qFormat/>
    <w:uiPriority w:val="0"/>
    <w:pPr>
      <w:widowControl/>
      <w:pBdr>
        <w:top w:val="single" w:color="auto" w:sz="4" w:space="0"/>
        <w:bottom w:val="single" w:color="auto" w:sz="4" w:space="0"/>
      </w:pBdr>
      <w:suppressAutoHyphens w:val="0"/>
      <w:spacing w:before="100" w:beforeAutospacing="1" w:after="100" w:afterAutospacing="1"/>
      <w:jc w:val="center"/>
      <w:textAlignment w:val="center"/>
    </w:pPr>
    <w:rPr>
      <w:rFonts w:ascii="仿宋" w:hAnsi="仿宋" w:eastAsia="仿宋" w:cs="宋体"/>
      <w:kern w:val="0"/>
      <w:sz w:val="18"/>
      <w:szCs w:val="18"/>
    </w:rPr>
  </w:style>
  <w:style w:type="paragraph" w:customStyle="1" w:styleId="72">
    <w:name w:val="xl100"/>
    <w:basedOn w:val="1"/>
    <w:qFormat/>
    <w:uiPriority w:val="0"/>
    <w:pPr>
      <w:widowControl/>
      <w:pBdr>
        <w:top w:val="single" w:color="auto" w:sz="4" w:space="0"/>
        <w:bottom w:val="single" w:color="auto" w:sz="4" w:space="0"/>
        <w:right w:val="single" w:color="auto" w:sz="4" w:space="0"/>
      </w:pBdr>
      <w:suppressAutoHyphens w:val="0"/>
      <w:spacing w:before="100" w:beforeAutospacing="1" w:after="100" w:afterAutospacing="1"/>
      <w:jc w:val="center"/>
      <w:textAlignment w:val="center"/>
    </w:pPr>
    <w:rPr>
      <w:rFonts w:ascii="仿宋" w:hAnsi="仿宋" w:eastAsia="仿宋" w:cs="宋体"/>
      <w:kern w:val="0"/>
      <w:sz w:val="18"/>
      <w:szCs w:val="18"/>
    </w:rPr>
  </w:style>
  <w:style w:type="paragraph" w:customStyle="1" w:styleId="73">
    <w:name w:val="xl101"/>
    <w:basedOn w:val="1"/>
    <w:qFormat/>
    <w:uiPriority w:val="0"/>
    <w:pPr>
      <w:widowControl/>
      <w:pBdr>
        <w:top w:val="single" w:color="auto" w:sz="4" w:space="0"/>
        <w:left w:val="single" w:color="auto" w:sz="4" w:space="0"/>
        <w:bottom w:val="single" w:color="auto" w:sz="4" w:space="0"/>
      </w:pBdr>
      <w:suppressAutoHyphens w:val="0"/>
      <w:spacing w:before="100" w:beforeAutospacing="1" w:after="100" w:afterAutospacing="1"/>
      <w:jc w:val="left"/>
      <w:textAlignment w:val="center"/>
    </w:pPr>
    <w:rPr>
      <w:rFonts w:ascii="仿宋" w:hAnsi="仿宋" w:eastAsia="仿宋" w:cs="宋体"/>
      <w:kern w:val="0"/>
      <w:sz w:val="18"/>
      <w:szCs w:val="18"/>
    </w:rPr>
  </w:style>
  <w:style w:type="paragraph" w:customStyle="1" w:styleId="74">
    <w:name w:val="xl102"/>
    <w:basedOn w:val="1"/>
    <w:qFormat/>
    <w:uiPriority w:val="0"/>
    <w:pPr>
      <w:widowControl/>
      <w:pBdr>
        <w:top w:val="single" w:color="auto" w:sz="4" w:space="0"/>
        <w:bottom w:val="single" w:color="auto" w:sz="4" w:space="0"/>
      </w:pBdr>
      <w:suppressAutoHyphens w:val="0"/>
      <w:spacing w:before="100" w:beforeAutospacing="1" w:after="100" w:afterAutospacing="1"/>
      <w:jc w:val="left"/>
      <w:textAlignment w:val="center"/>
    </w:pPr>
    <w:rPr>
      <w:rFonts w:ascii="仿宋" w:hAnsi="仿宋" w:eastAsia="仿宋" w:cs="宋体"/>
      <w:kern w:val="0"/>
      <w:sz w:val="18"/>
      <w:szCs w:val="18"/>
    </w:rPr>
  </w:style>
  <w:style w:type="paragraph" w:customStyle="1" w:styleId="75">
    <w:name w:val="xl103"/>
    <w:basedOn w:val="1"/>
    <w:qFormat/>
    <w:uiPriority w:val="0"/>
    <w:pPr>
      <w:widowControl/>
      <w:pBdr>
        <w:top w:val="single" w:color="auto" w:sz="4" w:space="0"/>
        <w:bottom w:val="single" w:color="auto" w:sz="4" w:space="0"/>
        <w:right w:val="single" w:color="auto" w:sz="4" w:space="0"/>
      </w:pBdr>
      <w:suppressAutoHyphens w:val="0"/>
      <w:spacing w:before="100" w:beforeAutospacing="1" w:after="100" w:afterAutospacing="1"/>
      <w:jc w:val="left"/>
      <w:textAlignment w:val="center"/>
    </w:pPr>
    <w:rPr>
      <w:rFonts w:ascii="仿宋" w:hAnsi="仿宋" w:eastAsia="仿宋" w:cs="宋体"/>
      <w:kern w:val="0"/>
      <w:sz w:val="18"/>
      <w:szCs w:val="18"/>
    </w:rPr>
  </w:style>
  <w:style w:type="paragraph" w:customStyle="1" w:styleId="76">
    <w:name w:val="xl104"/>
    <w:basedOn w:val="1"/>
    <w:qFormat/>
    <w:uiPriority w:val="0"/>
    <w:pPr>
      <w:widowControl/>
      <w:pBdr>
        <w:top w:val="single" w:color="auto" w:sz="4" w:space="0"/>
        <w:left w:val="single" w:color="auto" w:sz="4" w:space="0"/>
        <w:bottom w:val="single" w:color="auto"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77">
    <w:name w:val="xl105"/>
    <w:basedOn w:val="1"/>
    <w:qFormat/>
    <w:uiPriority w:val="0"/>
    <w:pPr>
      <w:widowControl/>
      <w:pBdr>
        <w:top w:val="single" w:color="auto" w:sz="4" w:space="0"/>
        <w:bottom w:val="single" w:color="auto"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78">
    <w:name w:val="xl106"/>
    <w:basedOn w:val="1"/>
    <w:qFormat/>
    <w:uiPriority w:val="0"/>
    <w:pPr>
      <w:widowControl/>
      <w:pBdr>
        <w:top w:val="single" w:color="auto" w:sz="4" w:space="0"/>
        <w:bottom w:val="single" w:color="auto" w:sz="4" w:space="0"/>
        <w:right w:val="single" w:color="auto"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79">
    <w:name w:val="xl107"/>
    <w:basedOn w:val="1"/>
    <w:qFormat/>
    <w:uiPriority w:val="0"/>
    <w:pPr>
      <w:widowControl/>
      <w:pBdr>
        <w:top w:val="single" w:color="auto" w:sz="4" w:space="0"/>
        <w:left w:val="single" w:color="auto" w:sz="4" w:space="0"/>
        <w:bottom w:val="single" w:color="auto" w:sz="4" w:space="0"/>
      </w:pBdr>
      <w:suppressAutoHyphens w:val="0"/>
      <w:spacing w:before="100" w:beforeAutospacing="1" w:after="100" w:afterAutospacing="1"/>
      <w:jc w:val="left"/>
      <w:textAlignment w:val="center"/>
    </w:pPr>
    <w:rPr>
      <w:rFonts w:ascii="仿宋" w:hAnsi="仿宋" w:eastAsia="仿宋" w:cs="宋体"/>
      <w:kern w:val="0"/>
      <w:sz w:val="18"/>
      <w:szCs w:val="18"/>
    </w:rPr>
  </w:style>
  <w:style w:type="paragraph" w:customStyle="1" w:styleId="80">
    <w:name w:val="xl108"/>
    <w:basedOn w:val="1"/>
    <w:qFormat/>
    <w:uiPriority w:val="0"/>
    <w:pPr>
      <w:widowControl/>
      <w:pBdr>
        <w:top w:val="single" w:color="auto" w:sz="4" w:space="0"/>
        <w:bottom w:val="single" w:color="auto" w:sz="4" w:space="0"/>
      </w:pBdr>
      <w:suppressAutoHyphens w:val="0"/>
      <w:spacing w:before="100" w:beforeAutospacing="1" w:after="100" w:afterAutospacing="1"/>
      <w:jc w:val="left"/>
      <w:textAlignment w:val="center"/>
    </w:pPr>
    <w:rPr>
      <w:rFonts w:ascii="仿宋" w:hAnsi="仿宋" w:eastAsia="仿宋" w:cs="宋体"/>
      <w:kern w:val="0"/>
      <w:sz w:val="18"/>
      <w:szCs w:val="18"/>
    </w:rPr>
  </w:style>
  <w:style w:type="paragraph" w:customStyle="1" w:styleId="81">
    <w:name w:val="xl109"/>
    <w:basedOn w:val="1"/>
    <w:qFormat/>
    <w:uiPriority w:val="0"/>
    <w:pPr>
      <w:widowControl/>
      <w:pBdr>
        <w:top w:val="single" w:color="auto" w:sz="4" w:space="0"/>
        <w:bottom w:val="single" w:color="auto" w:sz="4" w:space="0"/>
        <w:right w:val="single" w:color="auto" w:sz="4" w:space="0"/>
      </w:pBdr>
      <w:suppressAutoHyphens w:val="0"/>
      <w:spacing w:before="100" w:beforeAutospacing="1" w:after="100" w:afterAutospacing="1"/>
      <w:jc w:val="left"/>
      <w:textAlignment w:val="center"/>
    </w:pPr>
    <w:rPr>
      <w:rFonts w:ascii="仿宋" w:hAnsi="仿宋" w:eastAsia="仿宋" w:cs="宋体"/>
      <w:kern w:val="0"/>
      <w:sz w:val="18"/>
      <w:szCs w:val="18"/>
    </w:rPr>
  </w:style>
  <w:style w:type="paragraph" w:customStyle="1" w:styleId="82">
    <w:name w:val="xl110"/>
    <w:basedOn w:val="1"/>
    <w:qFormat/>
    <w:uiPriority w:val="0"/>
    <w:pPr>
      <w:widowControl/>
      <w:pBdr>
        <w:left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83">
    <w:name w:val="xl111"/>
    <w:basedOn w:val="1"/>
    <w:qFormat/>
    <w:uiPriority w:val="0"/>
    <w:pPr>
      <w:widowControl/>
      <w:pBdr>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84">
    <w:name w:val="xl112"/>
    <w:basedOn w:val="1"/>
    <w:qFormat/>
    <w:uiPriority w:val="0"/>
    <w:pPr>
      <w:widowControl/>
      <w:pBdr>
        <w:top w:val="single" w:color="000000" w:sz="4" w:space="0"/>
        <w:lef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85">
    <w:name w:val="xl113"/>
    <w:basedOn w:val="1"/>
    <w:qFormat/>
    <w:uiPriority w:val="0"/>
    <w:pPr>
      <w:widowControl/>
      <w:pBdr>
        <w:left w:val="single" w:color="000000" w:sz="4" w:space="0"/>
      </w:pBdr>
      <w:suppressAutoHyphens w:val="0"/>
      <w:spacing w:before="100" w:beforeAutospacing="1" w:after="100" w:afterAutospacing="1"/>
      <w:jc w:val="center"/>
      <w:textAlignment w:val="center"/>
    </w:pPr>
    <w:rPr>
      <w:rFonts w:ascii="仿宋" w:hAnsi="仿宋" w:eastAsia="仿宋" w:cs="宋体"/>
      <w:color w:val="000000"/>
      <w:kern w:val="0"/>
      <w:sz w:val="16"/>
      <w:szCs w:val="16"/>
    </w:rPr>
  </w:style>
  <w:style w:type="paragraph" w:customStyle="1" w:styleId="86">
    <w:name w:val="xl114"/>
    <w:basedOn w:val="1"/>
    <w:qFormat/>
    <w:uiPriority w:val="0"/>
    <w:pPr>
      <w:widowControl/>
      <w:pBdr>
        <w:left w:val="single" w:color="000000"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87">
    <w:name w:val="xl115"/>
    <w:basedOn w:val="1"/>
    <w:qFormat/>
    <w:uiPriority w:val="0"/>
    <w:pPr>
      <w:widowControl/>
      <w:pBdr>
        <w:top w:val="single" w:color="000000" w:sz="4" w:space="0"/>
        <w:left w:val="single" w:color="000000" w:sz="4" w:space="0"/>
        <w:right w:val="single" w:color="auto"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88">
    <w:name w:val="xl116"/>
    <w:basedOn w:val="1"/>
    <w:qFormat/>
    <w:uiPriority w:val="0"/>
    <w:pPr>
      <w:widowControl/>
      <w:pBdr>
        <w:left w:val="single" w:color="000000" w:sz="4" w:space="0"/>
        <w:right w:val="single" w:color="auto"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89">
    <w:name w:val="xl117"/>
    <w:basedOn w:val="1"/>
    <w:qFormat/>
    <w:uiPriority w:val="0"/>
    <w:pPr>
      <w:widowControl/>
      <w:pBdr>
        <w:left w:val="single" w:color="000000" w:sz="4" w:space="0"/>
        <w:bottom w:val="single" w:color="000000" w:sz="4" w:space="0"/>
        <w:right w:val="single" w:color="auto" w:sz="4" w:space="0"/>
      </w:pBdr>
      <w:suppressAutoHyphens w:val="0"/>
      <w:spacing w:before="100" w:beforeAutospacing="1" w:after="100" w:afterAutospacing="1"/>
      <w:jc w:val="center"/>
      <w:textAlignment w:val="center"/>
    </w:pPr>
    <w:rPr>
      <w:rFonts w:ascii="仿宋" w:hAnsi="仿宋" w:eastAsia="仿宋" w:cs="宋体"/>
      <w:kern w:val="0"/>
      <w:sz w:val="16"/>
      <w:szCs w:val="16"/>
    </w:rPr>
  </w:style>
  <w:style w:type="paragraph" w:customStyle="1" w:styleId="90">
    <w:name w:val="xl118"/>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textAlignment w:val="center"/>
    </w:pPr>
    <w:rPr>
      <w:rFonts w:ascii="黑体" w:hAnsi="黑体" w:eastAsia="黑体" w:cs="宋体"/>
      <w:b/>
      <w:bCs/>
      <w:color w:val="000000"/>
      <w:kern w:val="0"/>
      <w:sz w:val="30"/>
      <w:szCs w:val="30"/>
    </w:rPr>
  </w:style>
  <w:style w:type="paragraph" w:customStyle="1" w:styleId="91">
    <w:name w:val="xl119"/>
    <w:basedOn w:val="1"/>
    <w:qFormat/>
    <w:uiPriority w:val="0"/>
    <w:pPr>
      <w:widowControl/>
      <w:pBdr>
        <w:top w:val="single" w:color="000000" w:sz="4" w:space="0"/>
        <w:left w:val="single" w:color="000000" w:sz="4" w:space="0"/>
        <w:bottom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92">
    <w:name w:val="xl120"/>
    <w:basedOn w:val="1"/>
    <w:qFormat/>
    <w:uiPriority w:val="0"/>
    <w:pPr>
      <w:widowControl/>
      <w:pBdr>
        <w:top w:val="single" w:color="000000" w:sz="4" w:space="0"/>
        <w:bottom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93">
    <w:name w:val="xl121"/>
    <w:basedOn w:val="1"/>
    <w:qFormat/>
    <w:uiPriority w:val="0"/>
    <w:pPr>
      <w:widowControl/>
      <w:pBdr>
        <w:top w:val="single" w:color="000000" w:sz="4" w:space="0"/>
        <w:bottom w:val="single" w:color="000000" w:sz="4" w:space="0"/>
        <w:right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94">
    <w:name w:val="xl122"/>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textAlignment w:val="center"/>
    </w:pPr>
    <w:rPr>
      <w:rFonts w:ascii="仿宋" w:hAnsi="仿宋" w:eastAsia="仿宋" w:cs="宋体"/>
      <w:i/>
      <w:iCs/>
      <w:color w:val="000000"/>
      <w:kern w:val="0"/>
      <w:sz w:val="18"/>
      <w:szCs w:val="18"/>
    </w:rPr>
  </w:style>
  <w:style w:type="paragraph" w:customStyle="1" w:styleId="95">
    <w:name w:val="xl123"/>
    <w:basedOn w:val="1"/>
    <w:qFormat/>
    <w:uiPriority w:val="0"/>
    <w:pPr>
      <w:widowControl/>
      <w:pBdr>
        <w:top w:val="single" w:color="000000" w:sz="4" w:space="0"/>
        <w:left w:val="single" w:color="000000" w:sz="4" w:space="0"/>
        <w:right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96">
    <w:name w:val="xl124"/>
    <w:basedOn w:val="1"/>
    <w:qFormat/>
    <w:uiPriority w:val="0"/>
    <w:pPr>
      <w:widowControl/>
      <w:pBdr>
        <w:top w:val="single" w:color="auto" w:sz="4" w:space="0"/>
        <w:left w:val="single" w:color="000000" w:sz="4" w:space="0"/>
        <w:bottom w:val="single" w:color="000000" w:sz="4" w:space="0"/>
        <w:right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6"/>
      <w:szCs w:val="16"/>
    </w:rPr>
  </w:style>
  <w:style w:type="paragraph" w:customStyle="1" w:styleId="97">
    <w:name w:val="xl125"/>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textAlignment w:val="center"/>
    </w:pPr>
    <w:rPr>
      <w:rFonts w:ascii="仿宋" w:hAnsi="仿宋" w:eastAsia="仿宋" w:cs="宋体"/>
      <w:i/>
      <w:iCs/>
      <w:color w:val="000000"/>
      <w:kern w:val="0"/>
      <w:sz w:val="16"/>
      <w:szCs w:val="16"/>
    </w:rPr>
  </w:style>
  <w:style w:type="paragraph" w:customStyle="1" w:styleId="98">
    <w:name w:val="xl126"/>
    <w:basedOn w:val="1"/>
    <w:qFormat/>
    <w:uiPriority w:val="0"/>
    <w:pPr>
      <w:widowControl/>
      <w:suppressAutoHyphens w:val="0"/>
      <w:spacing w:before="100" w:beforeAutospacing="1" w:after="100" w:afterAutospacing="1"/>
      <w:jc w:val="center"/>
      <w:textAlignment w:val="center"/>
    </w:pPr>
    <w:rPr>
      <w:rFonts w:ascii="黑体" w:hAnsi="黑体" w:eastAsia="黑体" w:cs="宋体"/>
      <w:b/>
      <w:bCs/>
      <w:color w:val="000000"/>
      <w:kern w:val="0"/>
      <w:sz w:val="30"/>
      <w:szCs w:val="30"/>
    </w:rPr>
  </w:style>
  <w:style w:type="paragraph" w:customStyle="1" w:styleId="99">
    <w:name w:val="xl127"/>
    <w:basedOn w:val="1"/>
    <w:uiPriority w:val="0"/>
    <w:pPr>
      <w:widowControl/>
      <w:suppressAutoHyphens w:val="0"/>
      <w:spacing w:before="100" w:beforeAutospacing="1" w:after="100" w:afterAutospacing="1"/>
      <w:jc w:val="center"/>
      <w:textAlignment w:val="center"/>
    </w:pPr>
    <w:rPr>
      <w:rFonts w:ascii="黑体" w:hAnsi="黑体" w:eastAsia="黑体" w:cs="宋体"/>
      <w:b/>
      <w:bCs/>
      <w:color w:val="000000"/>
      <w:kern w:val="0"/>
      <w:sz w:val="30"/>
      <w:szCs w:val="30"/>
    </w:rPr>
  </w:style>
  <w:style w:type="paragraph" w:customStyle="1" w:styleId="100">
    <w:name w:val="xl128"/>
    <w:basedOn w:val="1"/>
    <w:uiPriority w:val="0"/>
    <w:pPr>
      <w:widowControl/>
      <w:pBdr>
        <w:top w:val="single" w:color="auto" w:sz="4" w:space="0"/>
        <w:left w:val="single" w:color="000000" w:sz="4" w:space="0"/>
        <w:bottom w:val="single" w:color="000000" w:sz="4" w:space="0"/>
        <w:right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101">
    <w:name w:val="xl129"/>
    <w:basedOn w:val="1"/>
    <w:uiPriority w:val="0"/>
    <w:pPr>
      <w:widowControl/>
      <w:pBdr>
        <w:top w:val="single" w:color="auto" w:sz="4" w:space="0"/>
        <w:left w:val="single" w:color="000000" w:sz="4" w:space="0"/>
        <w:bottom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102">
    <w:name w:val="xl130"/>
    <w:basedOn w:val="1"/>
    <w:uiPriority w:val="0"/>
    <w:pPr>
      <w:widowControl/>
      <w:pBdr>
        <w:top w:val="single" w:color="auto" w:sz="4" w:space="0"/>
        <w:bottom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103">
    <w:name w:val="xl131"/>
    <w:basedOn w:val="1"/>
    <w:uiPriority w:val="0"/>
    <w:pPr>
      <w:widowControl/>
      <w:pBdr>
        <w:top w:val="single" w:color="auto" w:sz="4" w:space="0"/>
        <w:bottom w:val="single" w:color="000000" w:sz="4" w:space="0"/>
        <w:right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8"/>
      <w:szCs w:val="18"/>
    </w:rPr>
  </w:style>
  <w:style w:type="paragraph" w:customStyle="1" w:styleId="104">
    <w:name w:val="xl132"/>
    <w:basedOn w:val="1"/>
    <w:uiPriority w:val="0"/>
    <w:pPr>
      <w:widowControl/>
      <w:pBdr>
        <w:top w:val="single" w:color="000000" w:sz="4" w:space="0"/>
        <w:left w:val="single" w:color="000000" w:sz="4" w:space="0"/>
        <w:right w:val="single" w:color="000000" w:sz="4" w:space="0"/>
      </w:pBdr>
      <w:suppressAutoHyphens w:val="0"/>
      <w:spacing w:before="100" w:beforeAutospacing="1" w:after="100" w:afterAutospacing="1"/>
      <w:jc w:val="left"/>
      <w:textAlignment w:val="center"/>
    </w:pPr>
    <w:rPr>
      <w:rFonts w:ascii="仿宋" w:hAnsi="仿宋" w:eastAsia="仿宋" w:cs="宋体"/>
      <w:color w:val="000000"/>
      <w:kern w:val="0"/>
      <w:sz w:val="16"/>
      <w:szCs w:val="16"/>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4.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5.xml.rels><?xml version="1.0" encoding="UTF-8" standalone="yes"?>
<Relationships xmlns="http://schemas.openxmlformats.org/package/2006/relationships"><Relationship Id="rId1" Type="http://schemas.openxmlformats.org/officeDocument/2006/relationships/oleObject" Target="../embeddings/oleObject5.bin"/></Relationships>
</file>

<file path=word/charts/_rels/chart6.xml.rels><?xml version="1.0" encoding="UTF-8" standalone="yes"?>
<Relationships xmlns="http://schemas.openxmlformats.org/package/2006/relationships"><Relationship Id="rId1" Type="http://schemas.openxmlformats.org/officeDocument/2006/relationships/oleObject" Target="../embeddings/oleObject7.bin"/></Relationships>
</file>

<file path=word/charts/_rels/chart7.xml.rels><?xml version="1.0" encoding="UTF-8" standalone="yes"?>
<Relationships xmlns="http://schemas.openxmlformats.org/package/2006/relationships"><Relationship Id="rId1" Type="http://schemas.openxmlformats.org/officeDocument/2006/relationships/oleObject" Target="../embeddings/oleObject6.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系列 1</c:v>
                </c:pt>
              </c:strCache>
            </c:strRef>
          </c:tx>
          <c:invertIfNegative val="0"/>
          <c:dLbls>
            <c:delete val="1"/>
          </c:dLbls>
          <c:cat>
            <c:strRef>
              <c:f>Sheet1!$A$2:$A$5</c:f>
              <c:strCache>
                <c:ptCount val="4"/>
                <c:pt idx="0">
                  <c:v>2022年收入决算总计</c:v>
                </c:pt>
                <c:pt idx="1">
                  <c:v>2023年收入总计</c:v>
                </c:pt>
                <c:pt idx="2">
                  <c:v>2022年支出总计</c:v>
                </c:pt>
                <c:pt idx="3">
                  <c:v>2023年支出总计</c:v>
                </c:pt>
              </c:strCache>
            </c:strRef>
          </c:cat>
          <c:val>
            <c:numRef>
              <c:f>Sheet1!$B$2:$B$5</c:f>
              <c:numCache>
                <c:formatCode>General</c:formatCode>
                <c:ptCount val="4"/>
                <c:pt idx="0">
                  <c:v>954.72</c:v>
                </c:pt>
                <c:pt idx="1">
                  <c:v>921.43</c:v>
                </c:pt>
                <c:pt idx="2">
                  <c:v>954.72</c:v>
                </c:pt>
                <c:pt idx="3">
                  <c:v>921.43</c:v>
                </c:pt>
              </c:numCache>
            </c:numRef>
          </c:val>
        </c:ser>
        <c:ser>
          <c:idx val="1"/>
          <c:order val="1"/>
          <c:tx>
            <c:strRef>
              <c:f>Sheet1!$C$1</c:f>
              <c:strCache>
                <c:ptCount val="1"/>
                <c:pt idx="0">
                  <c:v>系列 2</c:v>
                </c:pt>
              </c:strCache>
            </c:strRef>
          </c:tx>
          <c:invertIfNegative val="0"/>
          <c:dLbls>
            <c:delete val="1"/>
          </c:dLbls>
          <c:cat>
            <c:strRef>
              <c:f>Sheet1!$A$2:$A$5</c:f>
              <c:strCache>
                <c:ptCount val="4"/>
                <c:pt idx="0">
                  <c:v>2022年收入决算总计</c:v>
                </c:pt>
                <c:pt idx="1">
                  <c:v>2023年收入总计</c:v>
                </c:pt>
                <c:pt idx="2">
                  <c:v>2022年支出总计</c:v>
                </c:pt>
                <c:pt idx="3">
                  <c:v>2023年支出总计</c:v>
                </c:pt>
              </c:strCache>
            </c:strRef>
          </c:cat>
          <c:val>
            <c:numRef>
              <c:f>Sheet1!$C$2:$C$5</c:f>
              <c:numCache>
                <c:formatCode>General</c:formatCode>
                <c:ptCount val="4"/>
              </c:numCache>
            </c:numRef>
          </c:val>
        </c:ser>
        <c:ser>
          <c:idx val="2"/>
          <c:order val="2"/>
          <c:tx>
            <c:strRef>
              <c:f>Sheet1!$D$1</c:f>
              <c:strCache>
                <c:ptCount val="1"/>
                <c:pt idx="0">
                  <c:v>系列 3</c:v>
                </c:pt>
              </c:strCache>
            </c:strRef>
          </c:tx>
          <c:invertIfNegative val="0"/>
          <c:dLbls>
            <c:delete val="1"/>
          </c:dLbls>
          <c:cat>
            <c:strRef>
              <c:f>Sheet1!$A$2:$A$5</c:f>
              <c:strCache>
                <c:ptCount val="4"/>
                <c:pt idx="0">
                  <c:v>2022年收入决算总计</c:v>
                </c:pt>
                <c:pt idx="1">
                  <c:v>2023年收入总计</c:v>
                </c:pt>
                <c:pt idx="2">
                  <c:v>2022年支出总计</c:v>
                </c:pt>
                <c:pt idx="3">
                  <c:v>2023年支出总计</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overlap val="100"/>
        <c:axId val="92134016"/>
        <c:axId val="112882048"/>
      </c:barChart>
      <c:catAx>
        <c:axId val="9213401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2882048"/>
        <c:crosses val="autoZero"/>
        <c:auto val="1"/>
        <c:lblAlgn val="ctr"/>
        <c:lblOffset val="100"/>
        <c:noMultiLvlLbl val="0"/>
      </c:catAx>
      <c:valAx>
        <c:axId val="11288204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213401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explosion val="0"/>
          <c:dPt>
            <c:idx val="0"/>
            <c:bubble3D val="0"/>
          </c:dPt>
          <c:dPt>
            <c:idx val="1"/>
            <c:bubble3D val="0"/>
          </c:dPt>
          <c:dPt>
            <c:idx val="2"/>
            <c:bubble3D val="0"/>
          </c:dPt>
          <c:dPt>
            <c:idx val="3"/>
            <c:bubble3D val="0"/>
          </c:dPt>
          <c:dPt>
            <c:idx val="4"/>
            <c:bubble3D val="0"/>
          </c:dPt>
          <c:dPt>
            <c:idx val="5"/>
            <c:bubble3D val="0"/>
          </c:dPt>
          <c:dLbls>
            <c:delete val="1"/>
          </c:dLbls>
          <c:cat>
            <c:strRef>
              <c:f>Sheet1!$A$2:$A$7</c:f>
              <c:strCache>
                <c:ptCount val="6"/>
                <c:pt idx="0">
                  <c:v>一般公共预算财政拨款收入</c:v>
                </c:pt>
                <c:pt idx="1">
                  <c:v>政府性基金预算财政拨款收入</c:v>
                </c:pt>
                <c:pt idx="2">
                  <c:v>国有资本经营预算财政拨款收入</c:v>
                </c:pt>
                <c:pt idx="3">
                  <c:v>上级补助收入</c:v>
                </c:pt>
                <c:pt idx="4">
                  <c:v>事业收入</c:v>
                </c:pt>
                <c:pt idx="5">
                  <c:v>经营收入</c:v>
                </c:pt>
              </c:strCache>
            </c:strRef>
          </c:cat>
          <c:val>
            <c:numRef>
              <c:f>Sheet1!$B$2:$B$7</c:f>
              <c:numCache>
                <c:formatCode>0%</c:formatCode>
                <c:ptCount val="6"/>
                <c:pt idx="0">
                  <c:v>1</c:v>
                </c:pt>
                <c:pt idx="2" c:formatCode="General">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explosion val="0"/>
          <c:dPt>
            <c:idx val="0"/>
            <c:bubble3D val="0"/>
          </c:dPt>
          <c:dPt>
            <c:idx val="1"/>
            <c:bubble3D val="0"/>
          </c:dPt>
          <c:dPt>
            <c:idx val="2"/>
            <c:bubble3D val="0"/>
          </c:dPt>
          <c:dPt>
            <c:idx val="3"/>
            <c:bubble3D val="0"/>
          </c:dPt>
          <c:dLbls>
            <c:delete val="1"/>
          </c:dLbls>
          <c:cat>
            <c:strRef>
              <c:f>Sheet1!$A$2:$A$5</c:f>
              <c:strCache>
                <c:ptCount val="4"/>
                <c:pt idx="0">
                  <c:v>基本支出</c:v>
                </c:pt>
                <c:pt idx="1">
                  <c:v>项目支出</c:v>
                </c:pt>
                <c:pt idx="2">
                  <c:v>上缴上级支出</c:v>
                </c:pt>
                <c:pt idx="3">
                  <c:v>经营支出</c:v>
                </c:pt>
              </c:strCache>
            </c:strRef>
          </c:cat>
          <c:val>
            <c:numRef>
              <c:f>Sheet1!$B$2:$B$5</c:f>
              <c:numCache>
                <c:formatCode>General</c:formatCode>
                <c:ptCount val="4"/>
                <c:pt idx="0">
                  <c:v>341.66</c:v>
                </c:pt>
                <c:pt idx="1">
                  <c:v>579.770000000001</c:v>
                </c:pt>
                <c:pt idx="2">
                  <c:v>0</c:v>
                </c:pt>
                <c:pt idx="3">
                  <c:v>0</c:v>
                </c:pt>
              </c:numCache>
            </c:numRef>
          </c:val>
        </c:ser>
        <c:dLbls>
          <c:showLegendKey val="0"/>
          <c:showVal val="0"/>
          <c:showCatName val="0"/>
          <c:showSerName val="0"/>
          <c:showPercent val="0"/>
          <c:showBubbleSize val="0"/>
          <c:showLeaderLines val="1"/>
        </c:dLbls>
        <c:firstSliceAng val="0"/>
      </c:pieChart>
    </c:plotArea>
    <c:legend>
      <c:legendPos val="r"/>
      <c:legendEntry>
        <c:idx val="2"/>
        <c:delete val="1"/>
      </c:legendEntry>
      <c:legendEntry>
        <c:idx val="3"/>
        <c:delete val="1"/>
      </c:legendEntry>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noFill/>
    <a:ln w="9525" cap="flat" cmpd="sng" algn="ctr">
      <a:noFill/>
      <a:prstDash val="solid"/>
      <a:round/>
    </a:ln>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系列 1</c:v>
                </c:pt>
              </c:strCache>
            </c:strRef>
          </c:tx>
          <c:invertIfNegative val="0"/>
          <c:dLbls>
            <c:delete val="1"/>
          </c:dLbls>
          <c:cat>
            <c:strRef>
              <c:f>Sheet1!$A$2:$A$5</c:f>
              <c:strCache>
                <c:ptCount val="4"/>
                <c:pt idx="0">
                  <c:v>2022年财政拨款收入总计</c:v>
                </c:pt>
                <c:pt idx="1">
                  <c:v>2023年财政拨款收入总计</c:v>
                </c:pt>
                <c:pt idx="2">
                  <c:v>2022年财政拨款支出总计</c:v>
                </c:pt>
                <c:pt idx="3">
                  <c:v>2023年财政拨款支出总计</c:v>
                </c:pt>
              </c:strCache>
            </c:strRef>
          </c:cat>
          <c:val>
            <c:numRef>
              <c:f>Sheet1!$B$2:$B$5</c:f>
              <c:numCache>
                <c:formatCode>General</c:formatCode>
                <c:ptCount val="4"/>
                <c:pt idx="0">
                  <c:v>954.72</c:v>
                </c:pt>
                <c:pt idx="1">
                  <c:v>921.43</c:v>
                </c:pt>
                <c:pt idx="2">
                  <c:v>954.72</c:v>
                </c:pt>
                <c:pt idx="3">
                  <c:v>921.43</c:v>
                </c:pt>
              </c:numCache>
            </c:numRef>
          </c:val>
        </c:ser>
        <c:ser>
          <c:idx val="1"/>
          <c:order val="1"/>
          <c:tx>
            <c:strRef>
              <c:f>Sheet1!$C$1</c:f>
              <c:strCache>
                <c:ptCount val="1"/>
                <c:pt idx="0">
                  <c:v>列1</c:v>
                </c:pt>
              </c:strCache>
            </c:strRef>
          </c:tx>
          <c:invertIfNegative val="0"/>
          <c:dLbls>
            <c:delete val="1"/>
          </c:dLbls>
          <c:cat>
            <c:strRef>
              <c:f>Sheet1!$A$2:$A$5</c:f>
              <c:strCache>
                <c:ptCount val="4"/>
                <c:pt idx="0">
                  <c:v>2022年财政拨款收入总计</c:v>
                </c:pt>
                <c:pt idx="1">
                  <c:v>2023年财政拨款收入总计</c:v>
                </c:pt>
                <c:pt idx="2">
                  <c:v>2022年财政拨款支出总计</c:v>
                </c:pt>
                <c:pt idx="3">
                  <c:v>2023年财政拨款支出总计</c:v>
                </c:pt>
              </c:strCache>
            </c:strRef>
          </c:cat>
          <c:val>
            <c:numRef>
              <c:f>Sheet1!$C$2:$C$5</c:f>
              <c:numCache>
                <c:formatCode>General</c:formatCode>
                <c:ptCount val="4"/>
              </c:numCache>
            </c:numRef>
          </c:val>
        </c:ser>
        <c:ser>
          <c:idx val="2"/>
          <c:order val="2"/>
          <c:tx>
            <c:strRef>
              <c:f>Sheet1!$D$1</c:f>
              <c:strCache>
                <c:ptCount val="1"/>
                <c:pt idx="0">
                  <c:v>列2</c:v>
                </c:pt>
              </c:strCache>
            </c:strRef>
          </c:tx>
          <c:invertIfNegative val="0"/>
          <c:dLbls>
            <c:delete val="1"/>
          </c:dLbls>
          <c:cat>
            <c:strRef>
              <c:f>Sheet1!$A$2:$A$5</c:f>
              <c:strCache>
                <c:ptCount val="4"/>
                <c:pt idx="0">
                  <c:v>2022年财政拨款收入总计</c:v>
                </c:pt>
                <c:pt idx="1">
                  <c:v>2023年财政拨款收入总计</c:v>
                </c:pt>
                <c:pt idx="2">
                  <c:v>2022年财政拨款支出总计</c:v>
                </c:pt>
                <c:pt idx="3">
                  <c:v>2023年财政拨款支出总计</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overlap val="100"/>
        <c:axId val="31081600"/>
        <c:axId val="31083136"/>
      </c:barChart>
      <c:catAx>
        <c:axId val="3108160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1083136"/>
        <c:crosses val="autoZero"/>
        <c:auto val="1"/>
        <c:lblAlgn val="ctr"/>
        <c:lblOffset val="100"/>
        <c:noMultiLvlLbl val="0"/>
      </c:catAx>
      <c:valAx>
        <c:axId val="3108313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1081600"/>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系列 1</c:v>
                </c:pt>
              </c:strCache>
            </c:strRef>
          </c:tx>
          <c:invertIfNegative val="0"/>
          <c:dLbls>
            <c:delete val="1"/>
          </c:dLbls>
          <c:cat>
            <c:strRef>
              <c:f>Sheet1!$A$2:$A$5</c:f>
              <c:strCache>
                <c:ptCount val="2"/>
                <c:pt idx="0">
                  <c:v>2022年一般公共预算财政拨款支出</c:v>
                </c:pt>
                <c:pt idx="1">
                  <c:v>2023年一般公共预算财政拨款支出</c:v>
                </c:pt>
              </c:strCache>
            </c:strRef>
          </c:cat>
          <c:val>
            <c:numRef>
              <c:f>Sheet1!$B$2:$B$5</c:f>
              <c:numCache>
                <c:formatCode>General</c:formatCode>
                <c:ptCount val="4"/>
                <c:pt idx="0">
                  <c:v>954.72</c:v>
                </c:pt>
                <c:pt idx="1">
                  <c:v>921.43</c:v>
                </c:pt>
              </c:numCache>
            </c:numRef>
          </c:val>
        </c:ser>
        <c:ser>
          <c:idx val="1"/>
          <c:order val="1"/>
          <c:tx>
            <c:strRef>
              <c:f>Sheet1!$C$1</c:f>
              <c:strCache>
                <c:ptCount val="1"/>
                <c:pt idx="0">
                  <c:v>系列 2</c:v>
                </c:pt>
              </c:strCache>
            </c:strRef>
          </c:tx>
          <c:invertIfNegative val="0"/>
          <c:dLbls>
            <c:delete val="1"/>
          </c:dLbls>
          <c:cat>
            <c:strRef>
              <c:f>Sheet1!$A$2:$A$5</c:f>
              <c:strCache>
                <c:ptCount val="2"/>
                <c:pt idx="0">
                  <c:v>2022年一般公共预算财政拨款支出</c:v>
                </c:pt>
                <c:pt idx="1">
                  <c:v>2023年一般公共预算财政拨款支出</c:v>
                </c:pt>
              </c:strCache>
            </c:strRef>
          </c:cat>
          <c:val>
            <c:numRef>
              <c:f>Sheet1!$C$2:$C$5</c:f>
              <c:numCache>
                <c:formatCode>General</c:formatCode>
                <c:ptCount val="4"/>
              </c:numCache>
            </c:numRef>
          </c:val>
        </c:ser>
        <c:ser>
          <c:idx val="2"/>
          <c:order val="2"/>
          <c:tx>
            <c:strRef>
              <c:f>Sheet1!$D$1</c:f>
              <c:strCache>
                <c:ptCount val="1"/>
                <c:pt idx="0">
                  <c:v>系列 3</c:v>
                </c:pt>
              </c:strCache>
            </c:strRef>
          </c:tx>
          <c:invertIfNegative val="0"/>
          <c:dLbls>
            <c:delete val="1"/>
          </c:dLbls>
          <c:cat>
            <c:strRef>
              <c:f>Sheet1!$A$2:$A$5</c:f>
              <c:strCache>
                <c:ptCount val="2"/>
                <c:pt idx="0">
                  <c:v>2022年一般公共预算财政拨款支出</c:v>
                </c:pt>
                <c:pt idx="1">
                  <c:v>2023年一般公共预算财政拨款支出</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overlap val="100"/>
        <c:axId val="31173632"/>
        <c:axId val="58516224"/>
      </c:barChart>
      <c:catAx>
        <c:axId val="3117363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8516224"/>
        <c:crosses val="autoZero"/>
        <c:auto val="1"/>
        <c:lblAlgn val="ctr"/>
        <c:lblOffset val="100"/>
        <c:noMultiLvlLbl val="0"/>
      </c:catAx>
      <c:valAx>
        <c:axId val="5851622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1173632"/>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explosion val="0"/>
          <c:dPt>
            <c:idx val="0"/>
            <c:bubble3D val="0"/>
          </c:dPt>
          <c:dPt>
            <c:idx val="1"/>
            <c:bubble3D val="0"/>
          </c:dPt>
          <c:dPt>
            <c:idx val="2"/>
            <c:bubble3D val="0"/>
          </c:dPt>
          <c:dPt>
            <c:idx val="3"/>
            <c:bubble3D val="0"/>
          </c:dPt>
          <c:dLbls>
            <c:delete val="1"/>
          </c:dLbls>
          <c:cat>
            <c:strRef>
              <c:f>Sheet1!$A$2:$A$5</c:f>
              <c:strCache>
                <c:ptCount val="4"/>
                <c:pt idx="0">
                  <c:v>交通运输支出</c:v>
                </c:pt>
                <c:pt idx="1">
                  <c:v>社会保障和就业支出</c:v>
                </c:pt>
                <c:pt idx="2">
                  <c:v>卫生健康支出</c:v>
                </c:pt>
                <c:pt idx="3">
                  <c:v>住房保障支出</c:v>
                </c:pt>
              </c:strCache>
            </c:strRef>
          </c:cat>
          <c:val>
            <c:numRef>
              <c:f>Sheet1!$B$2:$B$5</c:f>
              <c:numCache>
                <c:formatCode>General</c:formatCode>
                <c:ptCount val="4"/>
                <c:pt idx="0">
                  <c:v>782.19</c:v>
                </c:pt>
                <c:pt idx="1">
                  <c:v>101.3</c:v>
                </c:pt>
                <c:pt idx="2">
                  <c:v>19.17</c:v>
                </c:pt>
                <c:pt idx="3">
                  <c:v>18.77</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explosion val="0"/>
          <c:dPt>
            <c:idx val="0"/>
            <c:bubble3D val="0"/>
          </c:dPt>
          <c:dPt>
            <c:idx val="1"/>
            <c:bubble3D val="0"/>
          </c:dPt>
          <c:dPt>
            <c:idx val="2"/>
            <c:bubble3D val="0"/>
          </c:dPt>
          <c:dLbls>
            <c:delete val="1"/>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0</c:v>
                </c:pt>
                <c:pt idx="2">
                  <c:v>0.06</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8F5651-47A5-4882-A730-97109F6BF578}">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1801</Words>
  <Characters>10267</Characters>
  <Lines>85</Lines>
  <Paragraphs>24</Paragraphs>
  <TotalTime>15</TotalTime>
  <ScaleCrop>false</ScaleCrop>
  <LinksUpToDate>false</LinksUpToDate>
  <CharactersWithSpaces>12044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2024-10-16T01:55:00Z</dcterms:created>
  <dc:creator>攀枝花市盐边县养路队</dc:creator>
  <cp:lastModifiedBy>Admin</cp:lastModifiedBy>
  <dcterms:modified xsi:type="dcterms:W3CDTF">2024-10-22T09:40:41Z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75DD37A9E08F456D9E695A083CBBC2AB_12</vt:lpwstr>
  </property>
</Properties>
</file>