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517980">
      <w:pPr>
        <w:spacing w:line="600" w:lineRule="exact"/>
        <w:jc w:val="center"/>
        <w:outlineLvl w:val="0"/>
        <w:rPr>
          <w:rFonts w:ascii="方正小标宋简体" w:hAnsi="宋体" w:eastAsia="方正小标宋简体"/>
          <w:sz w:val="72"/>
          <w:szCs w:val="72"/>
        </w:rPr>
      </w:pPr>
      <w:bookmarkStart w:id="0" w:name="_Toc15377425"/>
      <w:bookmarkStart w:id="1" w:name="_Toc15377193"/>
      <w:bookmarkStart w:id="2" w:name="_Toc15378441"/>
      <w:bookmarkStart w:id="3" w:name="_Toc15396475"/>
      <w:bookmarkStart w:id="4" w:name="_Toc15396597"/>
      <w:bookmarkStart w:id="5" w:name="_Toc15306267"/>
    </w:p>
    <w:p w14:paraId="270AE186">
      <w:pPr>
        <w:pStyle w:val="2"/>
        <w:spacing w:before="93"/>
      </w:pPr>
    </w:p>
    <w:p w14:paraId="7EF91C53">
      <w:pPr>
        <w:spacing w:line="600" w:lineRule="exact"/>
        <w:jc w:val="center"/>
        <w:outlineLvl w:val="0"/>
        <w:rPr>
          <w:rFonts w:ascii="方正小标宋简体" w:hAnsi="宋体" w:eastAsia="方正小标宋简体"/>
          <w:sz w:val="72"/>
          <w:szCs w:val="72"/>
        </w:rPr>
      </w:pPr>
    </w:p>
    <w:p w14:paraId="10279782">
      <w:pPr>
        <w:spacing w:line="600" w:lineRule="exact"/>
        <w:jc w:val="center"/>
        <w:outlineLvl w:val="0"/>
        <w:rPr>
          <w:rFonts w:ascii="方正小标宋简体" w:hAnsi="宋体" w:eastAsia="方正小标宋简体"/>
          <w:sz w:val="72"/>
          <w:szCs w:val="72"/>
        </w:rPr>
      </w:pPr>
    </w:p>
    <w:p w14:paraId="2E797262">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default" w:ascii="Times New Roman" w:hAnsi="Times New Roman" w:eastAsia="方正小标宋简体" w:cs="Times New Roman"/>
          <w:sz w:val="72"/>
          <w:szCs w:val="72"/>
        </w:rPr>
        <w:t>2023</w:t>
      </w:r>
      <w:r>
        <w:rPr>
          <w:rFonts w:hint="eastAsia" w:ascii="方正小标宋简体" w:hAnsi="方正小标宋简体" w:eastAsia="方正小标宋简体" w:cs="方正小标宋简体"/>
          <w:sz w:val="72"/>
          <w:szCs w:val="72"/>
        </w:rPr>
        <w:t>年度</w:t>
      </w:r>
      <w:bookmarkEnd w:id="0"/>
      <w:bookmarkEnd w:id="1"/>
      <w:bookmarkEnd w:id="2"/>
      <w:bookmarkEnd w:id="3"/>
      <w:bookmarkEnd w:id="4"/>
    </w:p>
    <w:bookmarkEnd w:id="5"/>
    <w:p w14:paraId="37209072">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598"/>
      <w:bookmarkStart w:id="7" w:name="_Toc15377194"/>
      <w:bookmarkStart w:id="8" w:name="_Toc15377426"/>
      <w:bookmarkStart w:id="9" w:name="_Toc15378442"/>
      <w:bookmarkStart w:id="10" w:name="_Toc15396476"/>
      <w:bookmarkStart w:id="11" w:name="_Toc15306268"/>
      <w:r>
        <w:rPr>
          <w:rFonts w:hint="eastAsia" w:ascii="方正小标宋简体" w:hAnsi="方正小标宋简体" w:eastAsia="方正小标宋简体" w:cs="方正小标宋简体"/>
          <w:sz w:val="72"/>
          <w:szCs w:val="72"/>
          <w:lang w:eastAsia="zh-CN"/>
        </w:rPr>
        <w:t>中国共产党盐边县纪律检查委员会</w:t>
      </w: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14:paraId="6706C8A7">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4D8ED2B4">
      <w:pPr>
        <w:pStyle w:val="11"/>
        <w:rPr>
          <w:rFonts w:hint="default" w:ascii="Times New Roman" w:hAnsi="Times New Roman" w:cs="Times New Roman"/>
        </w:rPr>
      </w:pPr>
      <w:r>
        <w:rPr>
          <w:rFonts w:hint="default" w:ascii="Times New Roman" w:hAnsi="Times New Roman" w:cs="Times New Roman"/>
        </w:rPr>
        <w:t>公开时间：202</w:t>
      </w:r>
      <w:r>
        <w:rPr>
          <w:rFonts w:hint="default" w:ascii="Times New Roman" w:hAnsi="Times New Roman" w:cs="Times New Roman"/>
          <w:lang w:val="en-US" w:eastAsia="zh-CN"/>
        </w:rPr>
        <w:t>4</w:t>
      </w:r>
      <w:r>
        <w:rPr>
          <w:rFonts w:hint="default" w:ascii="Times New Roman" w:hAnsi="Times New Roman" w:cs="Times New Roman"/>
        </w:rPr>
        <w:t>年</w:t>
      </w:r>
      <w:r>
        <w:rPr>
          <w:rFonts w:hint="default" w:ascii="Times New Roman" w:hAnsi="Times New Roman" w:cs="Times New Roman"/>
          <w:lang w:val="en-US" w:eastAsia="zh-CN"/>
        </w:rPr>
        <w:t>10</w:t>
      </w:r>
      <w:r>
        <w:rPr>
          <w:rFonts w:hint="default" w:ascii="Times New Roman" w:hAnsi="Times New Roman" w:cs="Times New Roman"/>
        </w:rPr>
        <w:t xml:space="preserve">月 </w:t>
      </w:r>
      <w:r>
        <w:rPr>
          <w:rFonts w:hint="default" w:ascii="Times New Roman" w:hAnsi="Times New Roman" w:cs="Times New Roman"/>
          <w:lang w:val="en-US" w:eastAsia="zh-CN"/>
        </w:rPr>
        <w:t>28</w:t>
      </w:r>
      <w:r>
        <w:rPr>
          <w:rFonts w:hint="default" w:ascii="Times New Roman" w:hAnsi="Times New Roman" w:cs="Times New Roman"/>
        </w:rPr>
        <w:t xml:space="preserve"> 日</w:t>
      </w:r>
    </w:p>
    <w:p w14:paraId="5B061F50"/>
    <w:p w14:paraId="7ACFF86D">
      <w:pPr>
        <w:pStyle w:val="11"/>
        <w:adjustRightInd w:val="0"/>
        <w:snapToGrid w:val="0"/>
        <w:spacing w:before="0" w:line="440" w:lineRule="exact"/>
        <w:jc w:val="left"/>
        <w:rPr>
          <w:rFonts w:cstheme="minorBidi"/>
          <w:sz w:val="21"/>
          <w:szCs w:val="21"/>
        </w:rPr>
      </w:pPr>
      <w:r>
        <w:rPr>
          <w:rFonts w:hint="eastAsia"/>
          <w:sz w:val="24"/>
        </w:rPr>
        <w:t>第一部分</w:t>
      </w:r>
      <w:r>
        <w:rPr>
          <w:sz w:val="24"/>
        </w:rPr>
        <w:t xml:space="preserve"> </w:t>
      </w:r>
      <w:r>
        <w:rPr>
          <w:rFonts w:hint="eastAsia"/>
          <w:sz w:val="24"/>
        </w:rPr>
        <w:t>部门概况</w:t>
      </w:r>
      <w:r>
        <w:rPr>
          <w:rFonts w:ascii="Times New Roman" w:hAnsi="Times New Roman"/>
        </w:rPr>
        <w:ptab w:relativeTo="margin" w:alignment="right" w:leader="dot"/>
      </w:r>
      <w:r>
        <w:rPr>
          <w:rFonts w:hint="eastAsia" w:ascii="Times New Roman" w:hAnsi="Times New Roman"/>
          <w:sz w:val="21"/>
          <w:szCs w:val="21"/>
          <w:lang w:val="en-US" w:eastAsia="zh-CN"/>
        </w:rPr>
        <w:t>4</w:t>
      </w:r>
    </w:p>
    <w:p w14:paraId="6BFB00D9">
      <w:pPr>
        <w:pStyle w:val="12"/>
        <w:adjustRightInd w:val="0"/>
        <w:snapToGrid w:val="0"/>
        <w:spacing w:line="440" w:lineRule="exact"/>
        <w:jc w:val="left"/>
        <w:rPr>
          <w:rFonts w:ascii="仿宋" w:hAnsi="仿宋" w:eastAsia="仿宋"/>
          <w:sz w:val="21"/>
          <w:szCs w:val="21"/>
        </w:rPr>
      </w:pPr>
      <w:r>
        <w:rPr>
          <w:rFonts w:hint="eastAsia"/>
          <w:sz w:val="24"/>
        </w:rPr>
        <w:t>一、部门职责</w:t>
      </w:r>
      <w:r>
        <w:rPr>
          <w:rFonts w:ascii="Times New Roman" w:hAnsi="Times New Roman"/>
          <w:sz w:val="28"/>
          <w:szCs w:val="28"/>
        </w:rPr>
        <w:ptab w:relativeTo="margin" w:alignment="right" w:leader="dot"/>
      </w:r>
      <w:r>
        <w:rPr>
          <w:rFonts w:hint="eastAsia"/>
          <w:sz w:val="21"/>
          <w:szCs w:val="21"/>
          <w:lang w:val="en-US" w:eastAsia="zh-CN"/>
        </w:rPr>
        <w:t>4</w:t>
      </w:r>
    </w:p>
    <w:p w14:paraId="5A1A48FB">
      <w:pPr>
        <w:pStyle w:val="12"/>
        <w:adjustRightInd w:val="0"/>
        <w:snapToGrid w:val="0"/>
        <w:spacing w:line="440" w:lineRule="exact"/>
        <w:jc w:val="left"/>
        <w:rPr>
          <w:rFonts w:ascii="仿宋" w:hAnsi="仿宋" w:eastAsia="仿宋" w:cstheme="minorBidi"/>
          <w:sz w:val="24"/>
        </w:rPr>
      </w:pPr>
      <w:r>
        <w:rPr>
          <w:rFonts w:hint="eastAsia"/>
          <w:sz w:val="24"/>
        </w:rPr>
        <w:t>二、机构设置</w:t>
      </w:r>
      <w:r>
        <w:rPr>
          <w:rFonts w:ascii="Times New Roman" w:hAnsi="Times New Roman"/>
          <w:sz w:val="28"/>
          <w:szCs w:val="28"/>
        </w:rPr>
        <w:ptab w:relativeTo="margin" w:alignment="right" w:leader="dot"/>
      </w:r>
      <w:r>
        <w:rPr>
          <w:rFonts w:hint="eastAsia"/>
          <w:lang w:val="en-US" w:eastAsia="zh-CN"/>
        </w:rPr>
        <w:t>5</w:t>
      </w:r>
    </w:p>
    <w:p w14:paraId="08570B45">
      <w:pPr>
        <w:pStyle w:val="11"/>
        <w:adjustRightInd w:val="0"/>
        <w:snapToGrid w:val="0"/>
        <w:spacing w:before="0" w:line="440" w:lineRule="exact"/>
        <w:jc w:val="left"/>
        <w:rPr>
          <w:sz w:val="24"/>
          <w:szCs w:val="24"/>
        </w:rPr>
      </w:pPr>
      <w:r>
        <w:rPr>
          <w:rFonts w:hint="eastAsia"/>
          <w:sz w:val="24"/>
        </w:rPr>
        <w:t>第二部分 2023年度部门决算情况说明</w:t>
      </w:r>
      <w:r>
        <w:rPr>
          <w:rFonts w:ascii="Times New Roman" w:hAnsi="Times New Roman"/>
        </w:rPr>
        <w:ptab w:relativeTo="margin" w:alignment="right" w:leader="dot"/>
      </w:r>
      <w:r>
        <w:rPr>
          <w:rFonts w:hint="eastAsia" w:ascii="Times New Roman" w:hAnsi="Times New Roman" w:eastAsia="宋体" w:cs="Times New Roman"/>
          <w:kern w:val="2"/>
          <w:sz w:val="21"/>
          <w:szCs w:val="24"/>
          <w:lang w:val="en-US" w:eastAsia="zh-CN" w:bidi="ar-SA"/>
        </w:rPr>
        <w:t>6</w:t>
      </w:r>
    </w:p>
    <w:p w14:paraId="5A1A5EF0">
      <w:pPr>
        <w:pStyle w:val="12"/>
        <w:adjustRightInd w:val="0"/>
        <w:snapToGrid w:val="0"/>
        <w:spacing w:line="440" w:lineRule="exact"/>
        <w:jc w:val="left"/>
        <w:rPr>
          <w:rFonts w:ascii="仿宋" w:hAnsi="仿宋" w:eastAsia="仿宋" w:cstheme="minorBidi"/>
          <w:sz w:val="21"/>
          <w:szCs w:val="21"/>
        </w:rPr>
      </w:pPr>
      <w:r>
        <w:rPr>
          <w:rFonts w:hint="eastAsia"/>
          <w:sz w:val="24"/>
        </w:rPr>
        <w:t>一、收入支出决算总体情况说明</w:t>
      </w:r>
      <w:r>
        <w:rPr>
          <w:rFonts w:ascii="Times New Roman" w:hAnsi="Times New Roman"/>
          <w:sz w:val="28"/>
          <w:szCs w:val="28"/>
        </w:rPr>
        <w:ptab w:relativeTo="margin" w:alignment="right" w:leader="dot"/>
      </w:r>
      <w:r>
        <w:rPr>
          <w:rFonts w:hint="eastAsia"/>
          <w:sz w:val="21"/>
          <w:szCs w:val="21"/>
          <w:lang w:val="en-US" w:eastAsia="zh-CN"/>
        </w:rPr>
        <w:t>6</w:t>
      </w:r>
    </w:p>
    <w:p w14:paraId="551F8F04">
      <w:pPr>
        <w:pStyle w:val="12"/>
        <w:adjustRightInd w:val="0"/>
        <w:snapToGrid w:val="0"/>
        <w:spacing w:line="440" w:lineRule="exact"/>
        <w:jc w:val="left"/>
        <w:rPr>
          <w:rFonts w:ascii="仿宋" w:hAnsi="仿宋" w:eastAsia="仿宋" w:cstheme="minorBidi"/>
          <w:sz w:val="24"/>
        </w:rPr>
      </w:pPr>
      <w:r>
        <w:rPr>
          <w:rFonts w:hint="eastAsia"/>
          <w:sz w:val="24"/>
        </w:rPr>
        <w:t>二、收入决算情况说明</w:t>
      </w:r>
      <w:r>
        <w:rPr>
          <w:rFonts w:ascii="Times New Roman" w:hAnsi="Times New Roman"/>
          <w:sz w:val="28"/>
          <w:szCs w:val="28"/>
        </w:rPr>
        <w:ptab w:relativeTo="margin" w:alignment="right" w:leader="dot"/>
      </w:r>
      <w:r>
        <w:rPr>
          <w:rFonts w:hint="eastAsia"/>
          <w:lang w:val="en-US" w:eastAsia="zh-CN"/>
        </w:rPr>
        <w:t>6</w:t>
      </w:r>
    </w:p>
    <w:p w14:paraId="63F8929B">
      <w:pPr>
        <w:pStyle w:val="12"/>
        <w:adjustRightInd w:val="0"/>
        <w:snapToGrid w:val="0"/>
        <w:spacing w:line="440" w:lineRule="exact"/>
        <w:jc w:val="left"/>
        <w:rPr>
          <w:rFonts w:ascii="仿宋" w:hAnsi="仿宋" w:eastAsia="仿宋" w:cstheme="minorBidi"/>
          <w:sz w:val="24"/>
        </w:rPr>
      </w:pPr>
      <w:r>
        <w:rPr>
          <w:rFonts w:hint="eastAsia"/>
          <w:sz w:val="24"/>
        </w:rPr>
        <w:t>三、支出决算情况说明</w:t>
      </w:r>
      <w:r>
        <w:rPr>
          <w:rFonts w:ascii="Times New Roman" w:hAnsi="Times New Roman"/>
          <w:sz w:val="28"/>
          <w:szCs w:val="28"/>
        </w:rPr>
        <w:ptab w:relativeTo="margin" w:alignment="right" w:leader="dot"/>
      </w:r>
      <w:r>
        <w:rPr>
          <w:rFonts w:hint="eastAsia"/>
          <w:lang w:val="en-US" w:eastAsia="zh-CN"/>
        </w:rPr>
        <w:t>7</w:t>
      </w:r>
    </w:p>
    <w:p w14:paraId="697477F4">
      <w:pPr>
        <w:pStyle w:val="12"/>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r>
        <w:rPr>
          <w:rFonts w:ascii="Times New Roman" w:hAnsi="Times New Roman"/>
          <w:sz w:val="28"/>
          <w:szCs w:val="28"/>
        </w:rPr>
        <w:ptab w:relativeTo="margin" w:alignment="right" w:leader="dot"/>
      </w:r>
      <w:r>
        <w:rPr>
          <w:rFonts w:hint="eastAsia"/>
          <w:lang w:val="en-US" w:eastAsia="zh-CN"/>
        </w:rPr>
        <w:t>7</w:t>
      </w:r>
    </w:p>
    <w:p w14:paraId="0C3DB2F8">
      <w:pPr>
        <w:pStyle w:val="12"/>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r>
        <w:rPr>
          <w:rFonts w:ascii="Times New Roman" w:hAnsi="Times New Roman"/>
          <w:sz w:val="28"/>
          <w:szCs w:val="28"/>
        </w:rPr>
        <w:ptab w:relativeTo="margin" w:alignment="right" w:leader="dot"/>
      </w:r>
      <w:r>
        <w:rPr>
          <w:rFonts w:hint="eastAsia"/>
          <w:lang w:val="en-US" w:eastAsia="zh-CN"/>
        </w:rPr>
        <w:t>8</w:t>
      </w:r>
    </w:p>
    <w:p w14:paraId="06A0DDA5">
      <w:pPr>
        <w:pStyle w:val="12"/>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r>
        <w:rPr>
          <w:rFonts w:ascii="Times New Roman" w:hAnsi="Times New Roman"/>
          <w:sz w:val="28"/>
          <w:szCs w:val="28"/>
        </w:rPr>
        <w:ptab w:relativeTo="margin" w:alignment="right" w:leader="dot"/>
      </w:r>
      <w:r>
        <w:rPr>
          <w:rFonts w:hint="eastAsia"/>
          <w:lang w:val="en-US" w:eastAsia="zh-CN"/>
        </w:rPr>
        <w:t>11</w:t>
      </w:r>
    </w:p>
    <w:p w14:paraId="02B01C45">
      <w:pPr>
        <w:pStyle w:val="12"/>
        <w:adjustRightInd w:val="0"/>
        <w:snapToGrid w:val="0"/>
        <w:spacing w:line="440" w:lineRule="exact"/>
        <w:jc w:val="left"/>
        <w:rPr>
          <w:rFonts w:ascii="仿宋" w:hAnsi="仿宋" w:eastAsia="仿宋" w:cstheme="minorBidi"/>
          <w:sz w:val="24"/>
        </w:rPr>
      </w:pPr>
      <w:r>
        <w:rPr>
          <w:rFonts w:hint="eastAsia"/>
          <w:sz w:val="24"/>
        </w:rPr>
        <w:t>七、财政拨款“三公”经费支出决算情况说明</w:t>
      </w:r>
      <w:r>
        <w:rPr>
          <w:rFonts w:ascii="Times New Roman" w:hAnsi="Times New Roman"/>
          <w:sz w:val="28"/>
          <w:szCs w:val="28"/>
        </w:rPr>
        <w:ptab w:relativeTo="margin" w:alignment="right" w:leader="dot"/>
      </w:r>
      <w:r>
        <w:rPr>
          <w:rFonts w:hint="eastAsia"/>
          <w:lang w:val="en-US" w:eastAsia="zh-CN"/>
        </w:rPr>
        <w:t>11</w:t>
      </w:r>
    </w:p>
    <w:p w14:paraId="21C163A9">
      <w:pPr>
        <w:pStyle w:val="12"/>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r>
        <w:rPr>
          <w:rFonts w:ascii="Times New Roman" w:hAnsi="Times New Roman"/>
          <w:sz w:val="28"/>
          <w:szCs w:val="28"/>
        </w:rPr>
        <w:ptab w:relativeTo="margin" w:alignment="right" w:leader="dot"/>
      </w:r>
      <w:r>
        <w:rPr>
          <w:rFonts w:hint="eastAsia"/>
          <w:lang w:val="en-US" w:eastAsia="zh-CN"/>
        </w:rPr>
        <w:t>13</w:t>
      </w:r>
    </w:p>
    <w:p w14:paraId="600D4AAC">
      <w:pPr>
        <w:pStyle w:val="12"/>
        <w:adjustRightInd w:val="0"/>
        <w:snapToGrid w:val="0"/>
        <w:spacing w:line="440" w:lineRule="exact"/>
        <w:ind w:leftChars="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九、国有资本经营预算支出决算情况说明</w:t>
      </w:r>
      <w:r>
        <w:rPr>
          <w:rFonts w:ascii="Times New Roman" w:hAnsi="Times New Roman"/>
          <w:sz w:val="28"/>
          <w:szCs w:val="28"/>
        </w:rPr>
        <w:ptab w:relativeTo="margin" w:alignment="right" w:leader="dot"/>
      </w:r>
      <w:r>
        <w:rPr>
          <w:rFonts w:hint="eastAsia"/>
          <w:lang w:val="en-US" w:eastAsia="zh-CN"/>
        </w:rPr>
        <w:t>13</w:t>
      </w:r>
    </w:p>
    <w:p w14:paraId="084464FA">
      <w:pPr>
        <w:adjustRightInd w:val="0"/>
        <w:snapToGrid w:val="0"/>
        <w:spacing w:line="440" w:lineRule="exact"/>
        <w:ind w:firstLine="420" w:firstLineChars="175"/>
        <w:jc w:val="left"/>
        <w:rPr>
          <w:rFonts w:asciiTheme="minorEastAsia" w:hAnsiTheme="minorEastAsia" w:eastAsiaTheme="minorEastAsia" w:cstheme="minorEastAsia"/>
          <w:sz w:val="24"/>
        </w:rPr>
      </w:pPr>
      <w:r>
        <w:rPr>
          <w:rStyle w:val="17"/>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ascii="Times New Roman" w:hAnsi="Times New Roman"/>
          <w:sz w:val="28"/>
          <w:szCs w:val="28"/>
        </w:rPr>
        <w:ptab w:relativeTo="margin" w:alignment="right" w:leader="dot"/>
      </w:r>
      <w:r>
        <w:rPr>
          <w:rFonts w:hint="eastAsia"/>
          <w:lang w:val="en-US" w:eastAsia="zh-CN"/>
        </w:rPr>
        <w:t>13</w:t>
      </w:r>
    </w:p>
    <w:p w14:paraId="59C77B72">
      <w:pPr>
        <w:pStyle w:val="11"/>
        <w:adjustRightInd w:val="0"/>
        <w:snapToGrid w:val="0"/>
        <w:spacing w:before="0" w:line="440" w:lineRule="exact"/>
        <w:jc w:val="left"/>
        <w:rPr>
          <w:rFonts w:hint="eastAsia" w:ascii="Times New Roman" w:hAnsi="Times New Roman" w:eastAsia="宋体" w:cs="Times New Roman"/>
          <w:kern w:val="2"/>
          <w:sz w:val="21"/>
          <w:szCs w:val="24"/>
          <w:lang w:val="en-US" w:eastAsia="zh-CN" w:bidi="ar-SA"/>
        </w:rPr>
      </w:pPr>
      <w:r>
        <w:rPr>
          <w:rFonts w:hint="eastAsia"/>
          <w:sz w:val="24"/>
        </w:rPr>
        <w:t>第三部分</w:t>
      </w:r>
      <w:r>
        <w:rPr>
          <w:sz w:val="24"/>
        </w:rPr>
        <w:t xml:space="preserve"> </w:t>
      </w:r>
      <w:r>
        <w:rPr>
          <w:rFonts w:hint="eastAsia"/>
          <w:sz w:val="24"/>
        </w:rPr>
        <w:t>名词解释</w:t>
      </w:r>
      <w:r>
        <w:rPr>
          <w:rFonts w:ascii="Times New Roman" w:hAnsi="Times New Roman"/>
        </w:rPr>
        <w:ptab w:relativeTo="margin" w:alignment="right" w:leader="dot"/>
      </w:r>
      <w:r>
        <w:rPr>
          <w:rFonts w:hint="eastAsia" w:ascii="Times New Roman" w:hAnsi="Times New Roman" w:eastAsia="宋体" w:cs="Times New Roman"/>
          <w:kern w:val="2"/>
          <w:sz w:val="21"/>
          <w:szCs w:val="24"/>
          <w:lang w:val="en-US" w:eastAsia="zh-CN" w:bidi="ar-SA"/>
        </w:rPr>
        <w:t>16</w:t>
      </w:r>
    </w:p>
    <w:p w14:paraId="315F54F9">
      <w:pPr>
        <w:pStyle w:val="11"/>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Pr>
          <w:rFonts w:ascii="Times New Roman" w:hAnsi="Times New Roman"/>
        </w:rPr>
        <w:ptab w:relativeTo="margin" w:alignment="right" w:leader="dot"/>
      </w:r>
      <w:r>
        <w:rPr>
          <w:rFonts w:hint="eastAsia" w:ascii="Times New Roman" w:hAnsi="Times New Roman" w:eastAsia="宋体" w:cs="Times New Roman"/>
          <w:kern w:val="2"/>
          <w:sz w:val="21"/>
          <w:szCs w:val="24"/>
          <w:lang w:val="en-US" w:eastAsia="zh-CN" w:bidi="ar-SA"/>
        </w:rPr>
        <w:t>20</w:t>
      </w:r>
    </w:p>
    <w:p w14:paraId="2EB18DB2">
      <w:pPr>
        <w:pStyle w:val="11"/>
        <w:adjustRightInd w:val="0"/>
        <w:snapToGrid w:val="0"/>
        <w:spacing w:before="0" w:line="440" w:lineRule="exact"/>
        <w:jc w:val="left"/>
        <w:rPr>
          <w:rFonts w:hint="eastAsia" w:ascii="Times New Roman" w:hAnsi="Times New Roman" w:eastAsia="宋体" w:cs="Times New Roman"/>
          <w:kern w:val="2"/>
          <w:sz w:val="21"/>
          <w:szCs w:val="24"/>
          <w:lang w:val="en-US" w:eastAsia="zh-CN" w:bidi="ar-SA"/>
        </w:rPr>
      </w:pPr>
      <w:r>
        <w:rPr>
          <w:rFonts w:hint="eastAsia"/>
          <w:sz w:val="24"/>
        </w:rPr>
        <w:t>第五部分</w:t>
      </w:r>
      <w:r>
        <w:rPr>
          <w:sz w:val="24"/>
        </w:rPr>
        <w:t xml:space="preserve"> </w:t>
      </w:r>
      <w:r>
        <w:rPr>
          <w:rFonts w:hint="eastAsia"/>
          <w:sz w:val="24"/>
        </w:rPr>
        <w:t>附表</w:t>
      </w:r>
      <w:r>
        <w:rPr>
          <w:rFonts w:ascii="Times New Roman" w:hAnsi="Times New Roman"/>
        </w:rPr>
        <w:ptab w:relativeTo="margin" w:alignment="right" w:leader="dot"/>
      </w:r>
      <w:r>
        <w:rPr>
          <w:rFonts w:hint="eastAsia" w:ascii="Times New Roman" w:hAnsi="Times New Roman" w:eastAsia="宋体" w:cs="Times New Roman"/>
          <w:kern w:val="2"/>
          <w:sz w:val="21"/>
          <w:szCs w:val="24"/>
          <w:lang w:val="en-US" w:eastAsia="zh-CN" w:bidi="ar-SA"/>
        </w:rPr>
        <w:t>33</w:t>
      </w:r>
    </w:p>
    <w:p w14:paraId="55E0F3D5">
      <w:pPr>
        <w:pStyle w:val="12"/>
        <w:adjustRightInd w:val="0"/>
        <w:snapToGrid w:val="0"/>
        <w:spacing w:line="440" w:lineRule="exact"/>
        <w:jc w:val="left"/>
        <w:rPr>
          <w:sz w:val="24"/>
        </w:rPr>
      </w:pPr>
      <w:r>
        <w:rPr>
          <w:rFonts w:hint="eastAsia"/>
          <w:sz w:val="24"/>
        </w:rPr>
        <w:t>一、收入支出决算总表</w:t>
      </w:r>
      <w:r>
        <w:rPr>
          <w:rFonts w:ascii="Times New Roman" w:hAnsi="Times New Roman"/>
          <w:sz w:val="28"/>
          <w:szCs w:val="28"/>
        </w:rPr>
        <w:ptab w:relativeTo="margin" w:alignment="right" w:leader="dot"/>
      </w:r>
      <w:r>
        <w:rPr>
          <w:rFonts w:hint="eastAsia"/>
          <w:lang w:val="en-US" w:eastAsia="zh-CN"/>
        </w:rPr>
        <w:t>33</w:t>
      </w:r>
    </w:p>
    <w:p w14:paraId="2E06AEEC">
      <w:pPr>
        <w:pStyle w:val="12"/>
        <w:adjustRightInd w:val="0"/>
        <w:snapToGrid w:val="0"/>
        <w:spacing w:line="440" w:lineRule="exact"/>
        <w:jc w:val="left"/>
        <w:rPr>
          <w:sz w:val="24"/>
        </w:rPr>
      </w:pPr>
      <w:r>
        <w:rPr>
          <w:rFonts w:hint="eastAsia"/>
          <w:sz w:val="24"/>
        </w:rPr>
        <w:t>二、收入决算表</w:t>
      </w:r>
      <w:r>
        <w:rPr>
          <w:rFonts w:ascii="Times New Roman" w:hAnsi="Times New Roman"/>
          <w:sz w:val="28"/>
          <w:szCs w:val="28"/>
        </w:rPr>
        <w:ptab w:relativeTo="margin" w:alignment="right" w:leader="dot"/>
      </w:r>
      <w:r>
        <w:rPr>
          <w:rFonts w:hint="eastAsia"/>
          <w:lang w:val="en-US" w:eastAsia="zh-CN"/>
        </w:rPr>
        <w:t>33</w:t>
      </w:r>
    </w:p>
    <w:p w14:paraId="3525A800">
      <w:pPr>
        <w:pStyle w:val="12"/>
        <w:adjustRightInd w:val="0"/>
        <w:snapToGrid w:val="0"/>
        <w:spacing w:line="440" w:lineRule="exact"/>
        <w:jc w:val="left"/>
        <w:rPr>
          <w:sz w:val="24"/>
        </w:rPr>
      </w:pPr>
      <w:r>
        <w:rPr>
          <w:rFonts w:hint="eastAsia"/>
          <w:sz w:val="24"/>
        </w:rPr>
        <w:t>三、支出决算表</w:t>
      </w:r>
      <w:r>
        <w:rPr>
          <w:rFonts w:ascii="Times New Roman" w:hAnsi="Times New Roman"/>
          <w:sz w:val="28"/>
          <w:szCs w:val="28"/>
        </w:rPr>
        <w:ptab w:relativeTo="margin" w:alignment="right" w:leader="dot"/>
      </w:r>
      <w:r>
        <w:rPr>
          <w:rFonts w:hint="eastAsia"/>
          <w:lang w:val="en-US" w:eastAsia="zh-CN"/>
        </w:rPr>
        <w:t>33</w:t>
      </w:r>
    </w:p>
    <w:p w14:paraId="719B1171">
      <w:pPr>
        <w:pStyle w:val="12"/>
        <w:adjustRightInd w:val="0"/>
        <w:snapToGrid w:val="0"/>
        <w:spacing w:line="440" w:lineRule="exact"/>
        <w:jc w:val="left"/>
        <w:rPr>
          <w:sz w:val="24"/>
        </w:rPr>
      </w:pPr>
      <w:r>
        <w:rPr>
          <w:rFonts w:hint="eastAsia"/>
          <w:sz w:val="24"/>
        </w:rPr>
        <w:t>四、财政拨款收入支出决算总表</w:t>
      </w:r>
      <w:r>
        <w:rPr>
          <w:rFonts w:ascii="Times New Roman" w:hAnsi="Times New Roman"/>
          <w:sz w:val="28"/>
          <w:szCs w:val="28"/>
        </w:rPr>
        <w:ptab w:relativeTo="margin" w:alignment="right" w:leader="dot"/>
      </w:r>
      <w:r>
        <w:rPr>
          <w:rFonts w:hint="eastAsia"/>
          <w:lang w:val="en-US" w:eastAsia="zh-CN"/>
        </w:rPr>
        <w:t>33</w:t>
      </w:r>
    </w:p>
    <w:p w14:paraId="1892554D">
      <w:pPr>
        <w:pStyle w:val="12"/>
        <w:adjustRightInd w:val="0"/>
        <w:snapToGrid w:val="0"/>
        <w:spacing w:line="440" w:lineRule="exact"/>
        <w:jc w:val="left"/>
        <w:rPr>
          <w:sz w:val="24"/>
        </w:rPr>
      </w:pPr>
      <w:r>
        <w:rPr>
          <w:rFonts w:hint="eastAsia"/>
          <w:sz w:val="24"/>
        </w:rPr>
        <w:t>五、财政拨款支出决算明细表</w:t>
      </w:r>
      <w:r>
        <w:rPr>
          <w:rFonts w:ascii="Times New Roman" w:hAnsi="Times New Roman"/>
          <w:sz w:val="28"/>
          <w:szCs w:val="28"/>
        </w:rPr>
        <w:ptab w:relativeTo="margin" w:alignment="right" w:leader="dot"/>
      </w:r>
      <w:r>
        <w:rPr>
          <w:rFonts w:hint="eastAsia"/>
          <w:lang w:val="en-US" w:eastAsia="zh-CN"/>
        </w:rPr>
        <w:t>33</w:t>
      </w:r>
    </w:p>
    <w:p w14:paraId="6A504DF7">
      <w:pPr>
        <w:pStyle w:val="12"/>
        <w:adjustRightInd w:val="0"/>
        <w:snapToGrid w:val="0"/>
        <w:spacing w:line="440" w:lineRule="exact"/>
        <w:jc w:val="left"/>
        <w:rPr>
          <w:sz w:val="24"/>
        </w:rPr>
      </w:pPr>
      <w:r>
        <w:rPr>
          <w:rFonts w:hint="eastAsia"/>
          <w:sz w:val="24"/>
        </w:rPr>
        <w:t>六、一般公共预算财政拨款支出决算表</w:t>
      </w:r>
      <w:r>
        <w:rPr>
          <w:rFonts w:ascii="Times New Roman" w:hAnsi="Times New Roman"/>
          <w:sz w:val="28"/>
          <w:szCs w:val="28"/>
        </w:rPr>
        <w:ptab w:relativeTo="margin" w:alignment="right" w:leader="dot"/>
      </w:r>
      <w:r>
        <w:rPr>
          <w:rFonts w:hint="eastAsia"/>
          <w:lang w:val="en-US" w:eastAsia="zh-CN"/>
        </w:rPr>
        <w:t>33</w:t>
      </w:r>
    </w:p>
    <w:p w14:paraId="3922E577">
      <w:pPr>
        <w:pStyle w:val="12"/>
        <w:adjustRightInd w:val="0"/>
        <w:snapToGrid w:val="0"/>
        <w:spacing w:line="440" w:lineRule="exact"/>
        <w:jc w:val="left"/>
        <w:rPr>
          <w:sz w:val="24"/>
        </w:rPr>
      </w:pPr>
      <w:r>
        <w:rPr>
          <w:rFonts w:hint="eastAsia"/>
          <w:sz w:val="24"/>
        </w:rPr>
        <w:t>七、一般公共预算财政拨款支出决算明细表</w:t>
      </w:r>
      <w:r>
        <w:rPr>
          <w:rFonts w:ascii="Times New Roman" w:hAnsi="Times New Roman"/>
          <w:sz w:val="28"/>
          <w:szCs w:val="28"/>
        </w:rPr>
        <w:ptab w:relativeTo="margin" w:alignment="right" w:leader="dot"/>
      </w:r>
      <w:r>
        <w:rPr>
          <w:rFonts w:hint="eastAsia"/>
          <w:lang w:val="en-US" w:eastAsia="zh-CN"/>
        </w:rPr>
        <w:t>33</w:t>
      </w:r>
    </w:p>
    <w:p w14:paraId="3FE67D15">
      <w:pPr>
        <w:pStyle w:val="12"/>
        <w:adjustRightInd w:val="0"/>
        <w:snapToGrid w:val="0"/>
        <w:spacing w:line="440" w:lineRule="exact"/>
        <w:jc w:val="left"/>
        <w:rPr>
          <w:sz w:val="24"/>
        </w:rPr>
      </w:pPr>
      <w:r>
        <w:rPr>
          <w:rFonts w:hint="eastAsia"/>
          <w:sz w:val="24"/>
        </w:rPr>
        <w:t>八、一般公共预算财政拨款基本支出决算明细表</w:t>
      </w:r>
      <w:r>
        <w:rPr>
          <w:rFonts w:ascii="Times New Roman" w:hAnsi="Times New Roman"/>
          <w:sz w:val="28"/>
          <w:szCs w:val="28"/>
        </w:rPr>
        <w:ptab w:relativeTo="margin" w:alignment="right" w:leader="dot"/>
      </w:r>
      <w:r>
        <w:rPr>
          <w:rFonts w:hint="eastAsia"/>
          <w:lang w:val="en-US" w:eastAsia="zh-CN"/>
        </w:rPr>
        <w:t>33</w:t>
      </w:r>
    </w:p>
    <w:p w14:paraId="202C7CDA">
      <w:pPr>
        <w:pStyle w:val="12"/>
        <w:adjustRightInd w:val="0"/>
        <w:snapToGrid w:val="0"/>
        <w:spacing w:line="440" w:lineRule="exact"/>
        <w:jc w:val="left"/>
        <w:rPr>
          <w:sz w:val="24"/>
        </w:rPr>
      </w:pPr>
      <w:r>
        <w:rPr>
          <w:rFonts w:hint="eastAsia"/>
          <w:sz w:val="24"/>
        </w:rPr>
        <w:t>九、一般公共预算财政拨款项目支出决算表</w:t>
      </w:r>
      <w:r>
        <w:rPr>
          <w:rFonts w:ascii="Times New Roman" w:hAnsi="Times New Roman"/>
          <w:sz w:val="28"/>
          <w:szCs w:val="28"/>
        </w:rPr>
        <w:ptab w:relativeTo="margin" w:alignment="right" w:leader="dot"/>
      </w:r>
      <w:r>
        <w:rPr>
          <w:rFonts w:hint="eastAsia"/>
          <w:lang w:val="en-US" w:eastAsia="zh-CN"/>
        </w:rPr>
        <w:t>33</w:t>
      </w:r>
    </w:p>
    <w:p w14:paraId="63095DC1">
      <w:pPr>
        <w:pStyle w:val="12"/>
        <w:adjustRightInd w:val="0"/>
        <w:snapToGrid w:val="0"/>
        <w:spacing w:line="440" w:lineRule="exact"/>
        <w:jc w:val="left"/>
        <w:rPr>
          <w:sz w:val="24"/>
        </w:rPr>
      </w:pPr>
      <w:r>
        <w:rPr>
          <w:rFonts w:hint="eastAsia"/>
          <w:sz w:val="24"/>
        </w:rPr>
        <w:t>十、政府性基金预算财政拨款收入支出决算表</w:t>
      </w:r>
      <w:r>
        <w:rPr>
          <w:rFonts w:ascii="Times New Roman" w:hAnsi="Times New Roman"/>
          <w:sz w:val="28"/>
          <w:szCs w:val="28"/>
        </w:rPr>
        <w:ptab w:relativeTo="margin" w:alignment="right" w:leader="dot"/>
      </w:r>
      <w:r>
        <w:rPr>
          <w:rFonts w:hint="eastAsia"/>
          <w:lang w:val="en-US" w:eastAsia="zh-CN"/>
        </w:rPr>
        <w:t>33</w:t>
      </w:r>
    </w:p>
    <w:p w14:paraId="078E5B25">
      <w:pPr>
        <w:pStyle w:val="12"/>
        <w:adjustRightInd w:val="0"/>
        <w:snapToGrid w:val="0"/>
        <w:spacing w:line="440" w:lineRule="exact"/>
        <w:jc w:val="left"/>
        <w:rPr>
          <w:sz w:val="24"/>
        </w:rPr>
      </w:pPr>
      <w:r>
        <w:rPr>
          <w:rFonts w:hint="eastAsia"/>
          <w:sz w:val="24"/>
        </w:rPr>
        <w:t>十一、国有资本经营预算财政拨款收入支出决算表</w:t>
      </w:r>
      <w:r>
        <w:rPr>
          <w:rFonts w:ascii="Times New Roman" w:hAnsi="Times New Roman"/>
          <w:sz w:val="28"/>
          <w:szCs w:val="28"/>
        </w:rPr>
        <w:ptab w:relativeTo="margin" w:alignment="right" w:leader="dot"/>
      </w:r>
      <w:r>
        <w:rPr>
          <w:rFonts w:hint="eastAsia"/>
          <w:lang w:val="en-US" w:eastAsia="zh-CN"/>
        </w:rPr>
        <w:t>33</w:t>
      </w:r>
    </w:p>
    <w:p w14:paraId="60C743B0">
      <w:pPr>
        <w:pStyle w:val="12"/>
        <w:adjustRightInd w:val="0"/>
        <w:snapToGrid w:val="0"/>
        <w:spacing w:line="440" w:lineRule="exact"/>
        <w:jc w:val="left"/>
        <w:rPr>
          <w:sz w:val="24"/>
        </w:rPr>
      </w:pPr>
      <w:r>
        <w:rPr>
          <w:rFonts w:hint="eastAsia"/>
          <w:sz w:val="24"/>
        </w:rPr>
        <w:t>十二、国有资本经营预算财政拨款支出决算表</w:t>
      </w:r>
      <w:r>
        <w:rPr>
          <w:rFonts w:ascii="Times New Roman" w:hAnsi="Times New Roman"/>
          <w:sz w:val="28"/>
          <w:szCs w:val="28"/>
        </w:rPr>
        <w:ptab w:relativeTo="margin" w:alignment="right" w:leader="dot"/>
      </w:r>
      <w:r>
        <w:rPr>
          <w:rFonts w:hint="eastAsia"/>
          <w:lang w:val="en-US" w:eastAsia="zh-CN"/>
        </w:rPr>
        <w:t>33</w:t>
      </w:r>
    </w:p>
    <w:p w14:paraId="4410DCBD">
      <w:pPr>
        <w:pStyle w:val="12"/>
        <w:adjustRightInd w:val="0"/>
        <w:snapToGrid w:val="0"/>
        <w:spacing w:line="440" w:lineRule="exact"/>
        <w:jc w:val="left"/>
        <w:rPr>
          <w:rFonts w:asciiTheme="minorEastAsia" w:hAnsiTheme="minorEastAsia" w:eastAsiaTheme="minorEastAsia" w:cstheme="minorEastAsia"/>
          <w:sz w:val="24"/>
        </w:rPr>
      </w:pPr>
      <w:r>
        <w:rPr>
          <w:rFonts w:hint="eastAsia"/>
          <w:sz w:val="24"/>
        </w:rPr>
        <w:t>十三、财政拨款“三公”经费支出决算表</w:t>
      </w:r>
      <w:r>
        <w:rPr>
          <w:rFonts w:ascii="Times New Roman" w:hAnsi="Times New Roman"/>
          <w:sz w:val="28"/>
          <w:szCs w:val="28"/>
        </w:rPr>
        <w:ptab w:relativeTo="margin" w:alignment="right" w:leader="dot"/>
      </w:r>
      <w:r>
        <w:rPr>
          <w:rFonts w:hint="eastAsia"/>
          <w:lang w:val="en-US" w:eastAsia="zh-CN"/>
        </w:rPr>
        <w:t>33</w:t>
      </w:r>
    </w:p>
    <w:p w14:paraId="25334F32">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14:paraId="3FDC2960">
      <w:pPr>
        <w:pStyle w:val="3"/>
        <w:jc w:val="center"/>
        <w:rPr>
          <w:rStyle w:val="27"/>
          <w:rFonts w:ascii="黑体" w:hAnsi="黑体" w:eastAsia="黑体"/>
          <w:b/>
          <w:bCs w:val="0"/>
        </w:rPr>
      </w:pPr>
      <w:r>
        <w:rPr>
          <w:rFonts w:hint="eastAsia" w:ascii="黑体" w:hAnsi="黑体" w:eastAsia="黑体"/>
          <w:b w:val="0"/>
        </w:rPr>
        <w:t xml:space="preserve">第一部分 </w:t>
      </w:r>
      <w:r>
        <w:rPr>
          <w:rStyle w:val="27"/>
          <w:rFonts w:hint="eastAsia" w:ascii="黑体" w:hAnsi="黑体" w:eastAsia="黑体"/>
          <w:b w:val="0"/>
          <w:bCs w:val="0"/>
        </w:rPr>
        <w:t>部门概况</w:t>
      </w:r>
      <w:bookmarkEnd w:id="12"/>
      <w:bookmarkEnd w:id="13"/>
    </w:p>
    <w:p w14:paraId="3B710581">
      <w:pPr>
        <w:pStyle w:val="4"/>
        <w:pageBreakBefore w:val="0"/>
        <w:widowControl w:val="0"/>
        <w:numPr>
          <w:ilvl w:val="0"/>
          <w:numId w:val="0"/>
        </w:numPr>
        <w:kinsoku/>
        <w:wordWrap/>
        <w:overflowPunct/>
        <w:topLinePunct w:val="0"/>
        <w:autoSpaceDE/>
        <w:autoSpaceDN/>
        <w:bidi w:val="0"/>
        <w:adjustRightInd/>
        <w:snapToGrid/>
        <w:spacing w:before="0" w:after="0" w:line="240" w:lineRule="auto"/>
        <w:textAlignment w:val="auto"/>
        <w:rPr>
          <w:rFonts w:hint="eastAsia" w:ascii="方正楷体_GBK" w:hAnsi="方正楷体_GBK" w:eastAsia="方正楷体_GBK" w:cs="方正楷体_GBK"/>
          <w:b/>
          <w:kern w:val="2"/>
          <w:sz w:val="32"/>
          <w:szCs w:val="32"/>
          <w:lang w:val="en-US" w:eastAsia="zh-CN" w:bidi="ar-SA"/>
        </w:rPr>
      </w:pPr>
      <w:r>
        <w:rPr>
          <w:rFonts w:hint="eastAsia" w:ascii="黑体" w:hAnsi="黑体" w:eastAsia="黑体"/>
          <w:b w:val="0"/>
          <w:lang w:eastAsia="zh-CN"/>
        </w:rPr>
        <w:t>　　一、</w:t>
      </w:r>
      <w:r>
        <w:rPr>
          <w:rFonts w:hint="eastAsia" w:ascii="黑体" w:hAnsi="黑体" w:eastAsia="黑体"/>
          <w:b w:val="0"/>
        </w:rPr>
        <w:t>部门职责</w:t>
      </w:r>
    </w:p>
    <w:p w14:paraId="13A98D8A">
      <w:pPr>
        <w:pStyle w:val="4"/>
        <w:pageBreakBefore w:val="0"/>
        <w:widowControl w:val="0"/>
        <w:numPr>
          <w:ilvl w:val="0"/>
          <w:numId w:val="0"/>
        </w:numPr>
        <w:kinsoku/>
        <w:wordWrap/>
        <w:overflowPunct/>
        <w:topLinePunct w:val="0"/>
        <w:autoSpaceDE/>
        <w:autoSpaceDN/>
        <w:bidi w:val="0"/>
        <w:adjustRightInd/>
        <w:snapToGrid/>
        <w:spacing w:before="0" w:after="0" w:line="240" w:lineRule="auto"/>
        <w:textAlignment w:val="auto"/>
        <w:rPr>
          <w:rFonts w:hint="eastAsia" w:ascii="方正楷体_GBK" w:hAnsi="方正楷体_GBK" w:eastAsia="方正楷体_GBK" w:cs="方正楷体_GBK"/>
          <w:b/>
          <w:kern w:val="2"/>
          <w:sz w:val="32"/>
          <w:szCs w:val="32"/>
          <w:lang w:val="en-US" w:eastAsia="zh-CN" w:bidi="ar-SA"/>
        </w:rPr>
      </w:pPr>
      <w:r>
        <w:rPr>
          <w:rFonts w:hint="eastAsia" w:ascii="黑体" w:hAnsi="黑体" w:eastAsia="黑体"/>
          <w:b w:val="0"/>
          <w:lang w:eastAsia="zh-CN"/>
        </w:rPr>
        <w:t>　</w:t>
      </w:r>
      <w:r>
        <w:rPr>
          <w:rFonts w:hint="eastAsia" w:ascii="黑体" w:hAnsi="黑体" w:eastAsia="黑体"/>
          <w:b w:val="0"/>
          <w:bCs/>
          <w:lang w:eastAsia="zh-CN"/>
        </w:rPr>
        <w:t>　</w:t>
      </w:r>
      <w:r>
        <w:rPr>
          <w:rFonts w:hint="eastAsia" w:ascii="方正楷体_GBK" w:hAnsi="方正楷体_GBK" w:eastAsia="方正楷体_GBK" w:cs="方正楷体_GBK"/>
          <w:b w:val="0"/>
          <w:bCs/>
          <w:kern w:val="2"/>
          <w:sz w:val="32"/>
          <w:szCs w:val="32"/>
          <w:lang w:val="en-US" w:eastAsia="zh-CN" w:bidi="ar-SA"/>
        </w:rPr>
        <w:t>（一）主要职能</w:t>
      </w:r>
    </w:p>
    <w:p w14:paraId="79133A4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4"/>
        <w:textAlignment w:val="auto"/>
        <w:rPr>
          <w:rFonts w:hint="default" w:ascii="Times New Roman" w:hAnsi="Times New Roman" w:eastAsia="方正仿宋_GBK" w:cs="Times New Roman"/>
          <w:b w:val="0"/>
          <w:bCs/>
          <w:color w:val="000000"/>
          <w:sz w:val="33"/>
          <w:szCs w:val="33"/>
        </w:rPr>
      </w:pPr>
      <w:r>
        <w:rPr>
          <w:rFonts w:hint="default" w:ascii="Times New Roman" w:hAnsi="Times New Roman" w:eastAsia="方正仿宋_GBK" w:cs="Times New Roman"/>
          <w:b w:val="0"/>
          <w:bCs/>
          <w:color w:val="000000"/>
          <w:sz w:val="33"/>
          <w:szCs w:val="33"/>
        </w:rPr>
        <w:t>中共盐边县纪委</w:t>
      </w:r>
      <w:r>
        <w:rPr>
          <w:rFonts w:hint="default" w:ascii="Times New Roman" w:hAnsi="Times New Roman" w:eastAsia="方正仿宋_GBK" w:cs="Times New Roman"/>
          <w:b w:val="0"/>
          <w:bCs/>
          <w:color w:val="000000"/>
          <w:sz w:val="33"/>
          <w:szCs w:val="33"/>
          <w:lang w:eastAsia="zh-CN"/>
        </w:rPr>
        <w:t>监委</w:t>
      </w:r>
      <w:r>
        <w:rPr>
          <w:rFonts w:hint="default" w:ascii="Times New Roman" w:hAnsi="Times New Roman" w:eastAsia="方正仿宋_GBK" w:cs="Times New Roman"/>
          <w:b w:val="0"/>
          <w:bCs/>
          <w:color w:val="000000"/>
          <w:sz w:val="33"/>
          <w:szCs w:val="33"/>
        </w:rPr>
        <w:t>履行党的纪律检查和政府行政监察两种职能。其主要职责是：主管全县的纪律检查工作，负责贯彻落实党中央、省、市、县委关于加强党风廉政建设的决定，维护党的章程和党内其他法规，检查党的路线、方针、政策和决议的执行情况。</w:t>
      </w:r>
    </w:p>
    <w:p w14:paraId="34C29DE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64"/>
        <w:textAlignment w:val="auto"/>
        <w:rPr>
          <w:rFonts w:ascii="方正楷体_GBK" w:hAnsi="方正楷体_GBK" w:eastAsia="方正楷体_GBK" w:cs="方正楷体_GBK"/>
          <w:sz w:val="32"/>
          <w:szCs w:val="32"/>
        </w:rPr>
      </w:pPr>
      <w:r>
        <w:rPr>
          <w:rFonts w:hint="default" w:ascii="Times New Roman" w:hAnsi="Times New Roman" w:eastAsia="方正楷体_GBK" w:cs="Times New Roman"/>
          <w:b w:val="0"/>
          <w:bCs w:val="0"/>
          <w:kern w:val="2"/>
          <w:sz w:val="32"/>
          <w:szCs w:val="32"/>
          <w:lang w:val="en-US" w:eastAsia="zh-CN" w:bidi="ar-SA"/>
        </w:rPr>
        <w:t>（二）2023年重点工作完成情况</w:t>
      </w:r>
    </w:p>
    <w:p w14:paraId="2A11726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60" w:firstLineChars="200"/>
        <w:textAlignment w:val="auto"/>
        <w:rPr>
          <w:rFonts w:hint="eastAsia" w:ascii="黑体" w:hAnsi="黑体" w:eastAsia="黑体" w:cstheme="majorBidi"/>
          <w:b w:val="0"/>
          <w:bCs/>
          <w:kern w:val="2"/>
          <w:sz w:val="32"/>
          <w:szCs w:val="32"/>
          <w:lang w:val="en-US" w:eastAsia="zh-CN" w:bidi="ar-SA"/>
        </w:rPr>
      </w:pPr>
      <w:r>
        <w:rPr>
          <w:rFonts w:hint="default" w:ascii="Times New Roman" w:hAnsi="Times New Roman" w:eastAsia="方正仿宋_GBK" w:cs="Times New Roman"/>
          <w:b w:val="0"/>
          <w:bCs/>
          <w:color w:val="000000"/>
          <w:sz w:val="33"/>
          <w:szCs w:val="33"/>
        </w:rPr>
        <w:t>坚持以政治监督为统领，推动践行“两个维护”更加坚定自觉。聚焦贯彻落实党的二十大精神、习近平总书记重要讲话和指示批示精神开展监督检查，督促和推动“两个维护”落到实处。协助县委落实全面从严治党主体责任，推动县委常委班子成员向县委常务会汇报落实党风廉政建设责任制情况；组织69个单位主要负责人向纪委全会述责述廉。创新出台共同富裕试验区监督检查“红黄榜”制度，紧盯“四张清单”任务和“服务业发展年”重点攻坚突破行动任务，全链条监督重大项目（工程）建设，督促推动问题整改。坚持有规必依执纪必严，推动党的纪律建设更加严明恒久。建立县纪委常委会会前学纪学法制度，开展专题学习16次。将党章党规党纪纳入县委党校干部教育培训必修课，加强对年轻干部纪律宣传教育，开展年轻干部扣好廉洁从政“第一粒扣子”活动，对新提拔年轻干部点对点发放《廉洁勤政履责提示卡》200余份。开展纪法教育月活动，把教育课堂从会场搬到庭审现场，引导党员干部增强纪律自觉，300余人次参加。严把选人用人政治关、廉洁关，规范审慎回</w:t>
      </w:r>
      <w:r>
        <w:rPr>
          <w:rFonts w:hint="default" w:ascii="Times New Roman" w:hAnsi="Times New Roman" w:eastAsia="方正仿宋_GBK" w:cs="Times New Roman"/>
          <w:b w:val="0"/>
          <w:bCs/>
          <w:color w:val="000000"/>
          <w:sz w:val="33"/>
          <w:szCs w:val="33"/>
          <w:lang w:val="en-US" w:eastAsia="zh-CN"/>
        </w:rPr>
        <w:t>复党风廉政意见。</w:t>
      </w:r>
    </w:p>
    <w:p w14:paraId="49894F80">
      <w:pPr>
        <w:pStyle w:val="4"/>
        <w:pageBreakBefore w:val="0"/>
        <w:widowControl w:val="0"/>
        <w:kinsoku/>
        <w:wordWrap/>
        <w:overflowPunct/>
        <w:topLinePunct w:val="0"/>
        <w:autoSpaceDE/>
        <w:autoSpaceDN/>
        <w:bidi w:val="0"/>
        <w:adjustRightInd/>
        <w:snapToGrid/>
        <w:spacing w:before="0" w:after="0" w:line="240" w:lineRule="auto"/>
        <w:textAlignment w:val="auto"/>
        <w:rPr>
          <w:rFonts w:hint="eastAsia" w:ascii="黑体" w:hAnsi="黑体" w:eastAsia="黑体" w:cstheme="majorBidi"/>
          <w:b w:val="0"/>
          <w:bCs/>
          <w:kern w:val="2"/>
          <w:sz w:val="32"/>
          <w:szCs w:val="32"/>
          <w:lang w:val="en-US" w:eastAsia="zh-CN" w:bidi="ar-SA"/>
        </w:rPr>
      </w:pPr>
      <w:bookmarkStart w:id="14" w:name="_Toc15377200"/>
      <w:bookmarkStart w:id="15" w:name="_Toc15396601"/>
      <w:r>
        <w:rPr>
          <w:rFonts w:hint="eastAsia" w:ascii="黑体" w:hAnsi="黑体" w:eastAsia="黑体" w:cstheme="majorBidi"/>
          <w:b w:val="0"/>
          <w:bCs/>
          <w:kern w:val="2"/>
          <w:sz w:val="32"/>
          <w:szCs w:val="32"/>
          <w:lang w:val="en-US" w:eastAsia="zh-CN" w:bidi="ar-SA"/>
        </w:rPr>
        <w:t>　　二、机构设置</w:t>
      </w:r>
      <w:bookmarkEnd w:id="14"/>
      <w:bookmarkEnd w:id="15"/>
    </w:p>
    <w:p w14:paraId="6A1CF327">
      <w:pPr>
        <w:pageBreakBefore w:val="0"/>
        <w:widowControl w:val="0"/>
        <w:kinsoku/>
        <w:wordWrap/>
        <w:overflowPunct/>
        <w:topLinePunct w:val="0"/>
        <w:autoSpaceDE/>
        <w:autoSpaceDN/>
        <w:bidi w:val="0"/>
        <w:adjustRightInd/>
        <w:snapToGrid/>
        <w:spacing w:line="240" w:lineRule="auto"/>
        <w:textAlignment w:val="auto"/>
        <w:rPr>
          <w:rFonts w:ascii="仿宋" w:hAnsi="仿宋" w:eastAsia="仿宋"/>
          <w:sz w:val="32"/>
          <w:szCs w:val="32"/>
        </w:rPr>
      </w:pPr>
      <w:r>
        <w:rPr>
          <w:rFonts w:hint="eastAsia" w:eastAsia="方正仿宋_GBK" w:cs="Times New Roman"/>
          <w:b w:val="0"/>
          <w:bCs/>
          <w:color w:val="000000"/>
          <w:sz w:val="33"/>
          <w:szCs w:val="33"/>
          <w:lang w:eastAsia="zh-CN"/>
        </w:rPr>
        <w:t>　　</w:t>
      </w:r>
      <w:r>
        <w:rPr>
          <w:rFonts w:hint="default" w:ascii="Times New Roman" w:hAnsi="Times New Roman" w:eastAsia="方正仿宋_GBK" w:cs="Times New Roman"/>
          <w:b w:val="0"/>
          <w:bCs/>
          <w:color w:val="000000"/>
          <w:sz w:val="33"/>
          <w:szCs w:val="33"/>
        </w:rPr>
        <w:t>中国共产党盐边县纪律检查委员会</w:t>
      </w:r>
      <w:r>
        <w:rPr>
          <w:rFonts w:hint="eastAsia" w:ascii="Times New Roman" w:hAnsi="Times New Roman" w:eastAsia="方正仿宋_GBK" w:cs="Times New Roman"/>
          <w:b w:val="0"/>
          <w:bCs/>
          <w:color w:val="000000"/>
          <w:sz w:val="33"/>
          <w:szCs w:val="33"/>
        </w:rPr>
        <w:t>下属二级预算单位</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个，其中行政单位</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个，参照公务员法管理的事业单位</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个，其他事业单位</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个。</w:t>
      </w:r>
    </w:p>
    <w:p w14:paraId="58752B11">
      <w:pPr>
        <w:widowControl/>
        <w:jc w:val="left"/>
        <w:rPr>
          <w:rFonts w:ascii="仿宋" w:hAnsi="仿宋" w:eastAsia="仿宋"/>
          <w:kern w:val="0"/>
          <w:sz w:val="32"/>
          <w:szCs w:val="32"/>
        </w:rPr>
      </w:pPr>
    </w:p>
    <w:p w14:paraId="3BD7624B">
      <w:pPr>
        <w:pStyle w:val="18"/>
        <w:rPr>
          <w:rFonts w:ascii="仿宋" w:hAnsi="仿宋" w:eastAsia="仿宋"/>
          <w:kern w:val="0"/>
          <w:sz w:val="32"/>
          <w:szCs w:val="32"/>
        </w:rPr>
      </w:pPr>
    </w:p>
    <w:p w14:paraId="0073BA5E">
      <w:pPr>
        <w:rPr>
          <w:rFonts w:ascii="仿宋" w:hAnsi="仿宋" w:eastAsia="仿宋"/>
          <w:kern w:val="0"/>
          <w:sz w:val="32"/>
          <w:szCs w:val="32"/>
        </w:rPr>
      </w:pPr>
    </w:p>
    <w:p w14:paraId="77338B89">
      <w:pPr>
        <w:pStyle w:val="18"/>
        <w:rPr>
          <w:rFonts w:ascii="仿宋" w:hAnsi="仿宋" w:eastAsia="仿宋"/>
          <w:kern w:val="0"/>
          <w:sz w:val="32"/>
          <w:szCs w:val="32"/>
        </w:rPr>
      </w:pPr>
    </w:p>
    <w:p w14:paraId="44BB7B7E">
      <w:pPr>
        <w:rPr>
          <w:rFonts w:ascii="仿宋" w:hAnsi="仿宋" w:eastAsia="仿宋"/>
          <w:kern w:val="0"/>
          <w:sz w:val="32"/>
          <w:szCs w:val="32"/>
        </w:rPr>
      </w:pPr>
    </w:p>
    <w:p w14:paraId="55824C93">
      <w:pPr>
        <w:pStyle w:val="18"/>
        <w:rPr>
          <w:rFonts w:ascii="仿宋" w:hAnsi="仿宋" w:eastAsia="仿宋"/>
          <w:kern w:val="0"/>
          <w:sz w:val="32"/>
          <w:szCs w:val="32"/>
        </w:rPr>
      </w:pPr>
    </w:p>
    <w:p w14:paraId="7564C82F">
      <w:pPr>
        <w:rPr>
          <w:rFonts w:ascii="仿宋" w:hAnsi="仿宋" w:eastAsia="仿宋"/>
          <w:kern w:val="0"/>
          <w:sz w:val="32"/>
          <w:szCs w:val="32"/>
        </w:rPr>
      </w:pPr>
    </w:p>
    <w:p w14:paraId="23CA947D">
      <w:pPr>
        <w:pStyle w:val="2"/>
      </w:pPr>
    </w:p>
    <w:p w14:paraId="5196EA0D">
      <w:pPr>
        <w:rPr>
          <w:rFonts w:ascii="仿宋" w:hAnsi="仿宋" w:eastAsia="仿宋"/>
          <w:kern w:val="0"/>
          <w:sz w:val="32"/>
          <w:szCs w:val="32"/>
        </w:rPr>
      </w:pPr>
    </w:p>
    <w:p w14:paraId="601DE7F2">
      <w:pPr>
        <w:pStyle w:val="3"/>
        <w:ind w:right="440"/>
        <w:jc w:val="center"/>
        <w:rPr>
          <w:rStyle w:val="27"/>
          <w:rFonts w:ascii="黑体" w:hAnsi="黑体" w:eastAsia="黑体"/>
          <w:b w:val="0"/>
          <w:bCs/>
        </w:rPr>
      </w:pPr>
      <w:bookmarkStart w:id="16" w:name="_Toc15396602"/>
      <w:bookmarkStart w:id="17" w:name="_Toc15377204"/>
      <w:r>
        <w:rPr>
          <w:rFonts w:hint="eastAsia" w:ascii="黑体" w:hAnsi="黑体" w:eastAsia="黑体"/>
          <w:b w:val="0"/>
        </w:rPr>
        <w:t>第二部分</w:t>
      </w:r>
      <w:r>
        <w:rPr>
          <w:rFonts w:hint="default" w:ascii="Times New Roman" w:hAnsi="Times New Roman" w:eastAsia="黑体" w:cs="Times New Roman"/>
          <w:b w:val="0"/>
        </w:rPr>
        <w:t xml:space="preserve"> 2023年度</w:t>
      </w:r>
      <w:r>
        <w:rPr>
          <w:rStyle w:val="27"/>
          <w:rFonts w:hint="default" w:ascii="Times New Roman" w:hAnsi="Times New Roman" w:eastAsia="黑体" w:cs="Times New Roman"/>
          <w:b w:val="0"/>
          <w:bCs/>
        </w:rPr>
        <w:t>部门决</w:t>
      </w:r>
      <w:r>
        <w:rPr>
          <w:rStyle w:val="27"/>
          <w:rFonts w:hint="eastAsia" w:ascii="黑体" w:hAnsi="黑体" w:eastAsia="黑体"/>
          <w:b w:val="0"/>
          <w:bCs/>
        </w:rPr>
        <w:t>算情况说明</w:t>
      </w:r>
      <w:bookmarkEnd w:id="16"/>
      <w:bookmarkEnd w:id="17"/>
    </w:p>
    <w:p w14:paraId="72589453">
      <w:pPr>
        <w:pStyle w:val="26"/>
        <w:numPr>
          <w:ilvl w:val="0"/>
          <w:numId w:val="1"/>
        </w:numPr>
        <w:spacing w:line="600" w:lineRule="exact"/>
        <w:ind w:firstLineChars="0"/>
        <w:outlineLvl w:val="1"/>
        <w:rPr>
          <w:rStyle w:val="28"/>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8"/>
          <w:rFonts w:hint="eastAsia" w:ascii="黑体" w:hAnsi="黑体" w:eastAsia="黑体"/>
          <w:b w:val="0"/>
        </w:rPr>
        <w:t>入支出决算总体情况说明</w:t>
      </w:r>
      <w:bookmarkEnd w:id="18"/>
      <w:bookmarkEnd w:id="19"/>
    </w:p>
    <w:p w14:paraId="4638EE1F">
      <w:pPr>
        <w:spacing w:line="600" w:lineRule="exact"/>
        <w:ind w:firstLine="660" w:firstLineChars="200"/>
        <w:jc w:val="left"/>
        <w:rPr>
          <w:rFonts w:ascii="仿宋" w:hAnsi="仿宋" w:eastAsia="仿宋"/>
          <w:sz w:val="32"/>
          <w:szCs w:val="32"/>
        </w:rPr>
      </w:pPr>
      <w:r>
        <w:rPr>
          <w:rFonts w:hint="eastAsia" w:ascii="Times New Roman" w:hAnsi="Times New Roman" w:eastAsia="方正仿宋_GBK" w:cs="Times New Roman"/>
          <w:b w:val="0"/>
          <w:bCs/>
          <w:color w:val="000000"/>
          <w:sz w:val="33"/>
          <w:szCs w:val="33"/>
        </w:rPr>
        <w:t>2023年度收、支总计均为1634.02万元。与2022年度相比，收、支总计</w:t>
      </w:r>
      <w:r>
        <w:rPr>
          <w:rFonts w:hint="eastAsia" w:ascii="Times New Roman" w:hAnsi="Times New Roman" w:eastAsia="方正仿宋_GBK" w:cs="Times New Roman"/>
          <w:b w:val="0"/>
          <w:bCs/>
          <w:color w:val="000000"/>
          <w:sz w:val="33"/>
          <w:szCs w:val="33"/>
          <w:lang w:eastAsia="zh-CN"/>
        </w:rPr>
        <w:t>各</w:t>
      </w:r>
      <w:r>
        <w:rPr>
          <w:rFonts w:hint="eastAsia" w:ascii="Times New Roman" w:hAnsi="Times New Roman" w:eastAsia="方正仿宋_GBK" w:cs="Times New Roman"/>
          <w:b w:val="0"/>
          <w:bCs/>
          <w:color w:val="000000"/>
          <w:sz w:val="33"/>
          <w:szCs w:val="33"/>
        </w:rPr>
        <w:t>减少</w:t>
      </w:r>
      <w:r>
        <w:rPr>
          <w:rFonts w:hint="eastAsia" w:ascii="Times New Roman" w:hAnsi="Times New Roman" w:eastAsia="方正仿宋_GBK" w:cs="Times New Roman"/>
          <w:b w:val="0"/>
          <w:bCs/>
          <w:color w:val="000000"/>
          <w:sz w:val="33"/>
          <w:szCs w:val="33"/>
          <w:lang w:val="en-US" w:eastAsia="zh-CN"/>
        </w:rPr>
        <w:t>243.3</w:t>
      </w:r>
      <w:r>
        <w:rPr>
          <w:rFonts w:hint="eastAsia" w:ascii="Times New Roman" w:hAnsi="Times New Roman" w:eastAsia="方正仿宋_GBK" w:cs="Times New Roman"/>
          <w:b w:val="0"/>
          <w:bCs/>
          <w:color w:val="000000"/>
          <w:sz w:val="33"/>
          <w:szCs w:val="33"/>
        </w:rPr>
        <w:t>万元，下降</w:t>
      </w:r>
      <w:r>
        <w:rPr>
          <w:rFonts w:hint="eastAsia" w:ascii="Times New Roman" w:hAnsi="Times New Roman" w:eastAsia="方正仿宋_GBK" w:cs="Times New Roman"/>
          <w:b w:val="0"/>
          <w:bCs/>
          <w:color w:val="000000"/>
          <w:sz w:val="33"/>
          <w:szCs w:val="33"/>
          <w:lang w:val="en-US" w:eastAsia="zh-CN"/>
        </w:rPr>
        <w:t>12.96</w:t>
      </w:r>
      <w:r>
        <w:rPr>
          <w:rFonts w:hint="eastAsia" w:ascii="Times New Roman" w:hAnsi="Times New Roman" w:eastAsia="方正仿宋_GBK" w:cs="Times New Roman"/>
          <w:b w:val="0"/>
          <w:bCs/>
          <w:color w:val="000000"/>
          <w:sz w:val="33"/>
          <w:szCs w:val="33"/>
        </w:rPr>
        <w:t>%。主要变动原因是202</w:t>
      </w:r>
      <w:r>
        <w:rPr>
          <w:rFonts w:hint="eastAsia" w:ascii="Times New Roman" w:hAnsi="Times New Roman" w:eastAsia="方正仿宋_GBK" w:cs="Times New Roman"/>
          <w:b w:val="0"/>
          <w:bCs/>
          <w:color w:val="000000"/>
          <w:sz w:val="33"/>
          <w:szCs w:val="33"/>
          <w:lang w:val="en-US" w:eastAsia="zh-CN"/>
        </w:rPr>
        <w:t>3</w:t>
      </w:r>
      <w:r>
        <w:rPr>
          <w:rFonts w:hint="eastAsia" w:ascii="Times New Roman" w:hAnsi="Times New Roman" w:eastAsia="方正仿宋_GBK" w:cs="Times New Roman"/>
          <w:b w:val="0"/>
          <w:bCs/>
          <w:color w:val="000000"/>
          <w:sz w:val="33"/>
          <w:szCs w:val="33"/>
        </w:rPr>
        <w:t>年一般公共预算财政拨款收入</w:t>
      </w:r>
      <w:r>
        <w:rPr>
          <w:rFonts w:hint="eastAsia" w:ascii="Times New Roman" w:hAnsi="Times New Roman" w:eastAsia="方正仿宋_GBK" w:cs="Times New Roman"/>
          <w:b w:val="0"/>
          <w:bCs/>
          <w:color w:val="000000"/>
          <w:sz w:val="33"/>
          <w:szCs w:val="33"/>
          <w:lang w:eastAsia="zh-CN"/>
        </w:rPr>
        <w:t>减少</w:t>
      </w:r>
      <w:r>
        <w:rPr>
          <w:rFonts w:hint="eastAsia" w:ascii="Times New Roman" w:hAnsi="Times New Roman" w:eastAsia="方正仿宋_GBK" w:cs="Times New Roman"/>
          <w:b w:val="0"/>
          <w:bCs/>
          <w:color w:val="000000"/>
          <w:sz w:val="33"/>
          <w:szCs w:val="33"/>
        </w:rPr>
        <w:t>。</w:t>
      </w:r>
    </w:p>
    <w:p w14:paraId="6DAC5469">
      <w:pPr>
        <w:pStyle w:val="18"/>
        <w:rPr>
          <w:rFonts w:hint="eastAsia" w:ascii="仿宋" w:hAnsi="仿宋" w:eastAsia="仿宋"/>
          <w:sz w:val="32"/>
          <w:szCs w:val="32"/>
        </w:rPr>
      </w:pPr>
      <w:r>
        <w:rPr>
          <w:rFonts w:ascii="Times New Roman" w:eastAsia="仿宋"/>
          <w:sz w:val="32"/>
          <w:szCs w:val="32"/>
        </w:rPr>
        <w:drawing>
          <wp:anchor distT="0" distB="0" distL="114300" distR="114300" simplePos="0" relativeHeight="251660288" behindDoc="1" locked="0" layoutInCell="1" allowOverlap="1">
            <wp:simplePos x="0" y="0"/>
            <wp:positionH relativeFrom="column">
              <wp:posOffset>328930</wp:posOffset>
            </wp:positionH>
            <wp:positionV relativeFrom="paragraph">
              <wp:posOffset>327025</wp:posOffset>
            </wp:positionV>
            <wp:extent cx="4826635" cy="1924685"/>
            <wp:effectExtent l="6350" t="6350" r="18415" b="12065"/>
            <wp:wrapTight wrapText="bothSides">
              <wp:wrapPolygon>
                <wp:start x="-28" y="-71"/>
                <wp:lineTo x="-28" y="21593"/>
                <wp:lineTo x="21569" y="21593"/>
                <wp:lineTo x="21569" y="-71"/>
                <wp:lineTo x="-28" y="-71"/>
              </wp:wrapPolygon>
            </wp:wrapTight>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14:paraId="1223D719">
      <w:pPr>
        <w:rPr>
          <w:rFonts w:hint="eastAsia" w:ascii="仿宋" w:hAnsi="仿宋" w:eastAsia="仿宋"/>
          <w:sz w:val="32"/>
          <w:szCs w:val="32"/>
        </w:rPr>
      </w:pPr>
    </w:p>
    <w:p w14:paraId="2B0B2B0F">
      <w:pPr>
        <w:pStyle w:val="18"/>
        <w:rPr>
          <w:rFonts w:hint="eastAsia" w:ascii="仿宋" w:hAnsi="仿宋" w:eastAsia="仿宋"/>
          <w:sz w:val="32"/>
          <w:szCs w:val="32"/>
        </w:rPr>
      </w:pPr>
    </w:p>
    <w:p w14:paraId="3AC7665D">
      <w:pPr>
        <w:rPr>
          <w:rFonts w:hint="eastAsia" w:ascii="仿宋_GB2312" w:hAnsi="仿宋_GB2312" w:eastAsia="仿宋_GB2312" w:cs="仿宋_GB2312"/>
          <w:b/>
          <w:bCs/>
          <w:sz w:val="28"/>
          <w:szCs w:val="28"/>
        </w:rPr>
      </w:pPr>
    </w:p>
    <w:p w14:paraId="04607234">
      <w:pPr>
        <w:jc w:val="center"/>
        <w:rPr>
          <w:rFonts w:hint="eastAsia" w:ascii="仿宋" w:hAnsi="仿宋" w:eastAsia="仿宋"/>
          <w:sz w:val="32"/>
          <w:szCs w:val="32"/>
        </w:rPr>
      </w:pPr>
      <w:r>
        <w:rPr>
          <w:rFonts w:hint="eastAsia" w:ascii="仿宋_GB2312" w:hAnsi="仿宋_GB2312" w:eastAsia="仿宋_GB2312" w:cs="仿宋_GB2312"/>
          <w:b/>
          <w:bCs/>
          <w:sz w:val="28"/>
          <w:szCs w:val="28"/>
        </w:rPr>
        <w:t>图1：收、支决算总计变动情况图</w:t>
      </w:r>
    </w:p>
    <w:p w14:paraId="5D4A667F">
      <w:pPr>
        <w:pStyle w:val="26"/>
        <w:numPr>
          <w:ilvl w:val="0"/>
          <w:numId w:val="1"/>
        </w:numPr>
        <w:spacing w:line="600" w:lineRule="exact"/>
        <w:ind w:firstLineChars="0"/>
        <w:outlineLvl w:val="1"/>
        <w:rPr>
          <w:rStyle w:val="28"/>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8"/>
          <w:rFonts w:hint="eastAsia" w:ascii="黑体" w:hAnsi="黑体" w:eastAsia="黑体"/>
          <w:b w:val="0"/>
        </w:rPr>
        <w:t>入决算情况说明</w:t>
      </w:r>
      <w:bookmarkEnd w:id="20"/>
      <w:bookmarkEnd w:id="21"/>
    </w:p>
    <w:p w14:paraId="1AA11D3F">
      <w:pPr>
        <w:spacing w:line="600" w:lineRule="exact"/>
        <w:ind w:firstLine="660" w:firstLineChars="200"/>
        <w:jc w:val="left"/>
        <w:outlineLvl w:val="1"/>
        <w:rPr>
          <w:rFonts w:ascii="仿宋" w:hAnsi="仿宋" w:eastAsia="仿宋"/>
          <w:sz w:val="32"/>
          <w:szCs w:val="32"/>
        </w:rPr>
      </w:pPr>
      <w:r>
        <w:rPr>
          <w:rFonts w:hint="eastAsia" w:ascii="Times New Roman" w:hAnsi="Times New Roman" w:eastAsia="方正仿宋_GBK" w:cs="Times New Roman"/>
          <w:b w:val="0"/>
          <w:bCs/>
          <w:color w:val="000000"/>
          <w:sz w:val="33"/>
          <w:szCs w:val="33"/>
        </w:rPr>
        <w:t>2023年度本年收入合计1634.02万元，其中：一般公共预算财政拨款收入1634.02万元，占100%；政府性基金预算财政拨款收入0万元，占0%；国有资本经营预算财政拨款收入0万元，占0%；上级补助收入0万元，占0%；事业收入0万元，占0%；经营收入0万元，占0%；附属单位上缴收入0万元，占0%；其他收入0万元，占0%。</w:t>
      </w:r>
    </w:p>
    <w:p w14:paraId="6E233A73">
      <w:pPr>
        <w:spacing w:line="600" w:lineRule="exact"/>
        <w:ind w:firstLine="640" w:firstLineChars="200"/>
        <w:outlineLvl w:val="1"/>
        <w:rPr>
          <w:rFonts w:ascii="仿宋" w:hAnsi="仿宋" w:eastAsia="仿宋"/>
          <w:sz w:val="32"/>
          <w:szCs w:val="32"/>
        </w:rPr>
      </w:pPr>
    </w:p>
    <w:p w14:paraId="35DA137E">
      <w:pPr>
        <w:spacing w:line="600" w:lineRule="exact"/>
        <w:ind w:firstLine="640" w:firstLineChars="200"/>
        <w:jc w:val="center"/>
        <w:rPr>
          <w:rFonts w:hint="eastAsia" w:ascii="仿宋_GB2312" w:hAnsi="仿宋_GB2312" w:eastAsia="仿宋_GB2312" w:cs="仿宋_GB2312"/>
          <w:b/>
          <w:bCs/>
          <w:sz w:val="28"/>
          <w:szCs w:val="28"/>
        </w:rPr>
      </w:pPr>
      <w:r>
        <w:rPr>
          <w:rStyle w:val="28"/>
          <w:rFonts w:hint="eastAsia" w:ascii="黑体" w:hAnsi="黑体" w:eastAsia="黑体"/>
          <w:b w:val="0"/>
        </w:rPr>
        <w:drawing>
          <wp:anchor distT="0" distB="0" distL="114300" distR="114300" simplePos="0" relativeHeight="251661312" behindDoc="1" locked="0" layoutInCell="1" allowOverlap="1">
            <wp:simplePos x="0" y="0"/>
            <wp:positionH relativeFrom="column">
              <wp:posOffset>93345</wp:posOffset>
            </wp:positionH>
            <wp:positionV relativeFrom="paragraph">
              <wp:posOffset>260985</wp:posOffset>
            </wp:positionV>
            <wp:extent cx="5080000" cy="1804035"/>
            <wp:effectExtent l="4445" t="4445" r="8255" b="58420"/>
            <wp:wrapTight wrapText="bothSides">
              <wp:wrapPolygon>
                <wp:start x="-19" y="-53"/>
                <wp:lineTo x="-19" y="21539"/>
                <wp:lineTo x="21581" y="21539"/>
                <wp:lineTo x="21581" y="-53"/>
                <wp:lineTo x="-19" y="-53"/>
              </wp:wrapPolygon>
            </wp:wrapTight>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bookmarkStart w:id="22" w:name="_Toc15377207"/>
      <w:bookmarkStart w:id="23" w:name="_Toc15396605"/>
      <w:r>
        <w:rPr>
          <w:rFonts w:hint="eastAsia" w:ascii="仿宋_GB2312" w:hAnsi="仿宋_GB2312" w:eastAsia="仿宋_GB2312" w:cs="仿宋_GB2312"/>
          <w:b/>
          <w:bCs/>
          <w:sz w:val="28"/>
          <w:szCs w:val="28"/>
        </w:rPr>
        <w:t>图2：收入决算结构图</w:t>
      </w:r>
    </w:p>
    <w:p w14:paraId="65267B81">
      <w:pPr>
        <w:spacing w:line="600" w:lineRule="exact"/>
        <w:ind w:firstLine="640" w:firstLineChars="200"/>
        <w:rPr>
          <w:rStyle w:val="28"/>
          <w:rFonts w:ascii="黑体" w:hAnsi="黑体" w:eastAsia="黑体"/>
          <w:b w:val="0"/>
        </w:rPr>
      </w:pPr>
      <w:r>
        <w:rPr>
          <w:rStyle w:val="28"/>
          <w:rFonts w:hint="eastAsia" w:ascii="黑体" w:hAnsi="黑体" w:eastAsia="黑体"/>
          <w:b w:val="0"/>
          <w:lang w:eastAsia="zh-CN"/>
        </w:rPr>
        <w:t>三、</w:t>
      </w:r>
      <w:r>
        <w:rPr>
          <w:rFonts w:hint="eastAsia" w:ascii="黑体" w:hAnsi="黑体" w:eastAsia="黑体"/>
          <w:sz w:val="32"/>
          <w:szCs w:val="32"/>
        </w:rPr>
        <w:t>支</w:t>
      </w:r>
      <w:r>
        <w:rPr>
          <w:rStyle w:val="28"/>
          <w:rFonts w:hint="eastAsia" w:ascii="黑体" w:hAnsi="黑体" w:eastAsia="黑体"/>
          <w:b w:val="0"/>
        </w:rPr>
        <w:t>出决算情况说明</w:t>
      </w:r>
      <w:bookmarkEnd w:id="22"/>
      <w:bookmarkEnd w:id="23"/>
    </w:p>
    <w:p w14:paraId="2332541E">
      <w:pPr>
        <w:spacing w:line="600" w:lineRule="exact"/>
        <w:ind w:firstLine="660" w:firstLineChars="200"/>
        <w:outlineLvl w:val="1"/>
        <w:rPr>
          <w:rFonts w:ascii="仿宋" w:hAnsi="仿宋" w:eastAsia="仿宋"/>
          <w:sz w:val="32"/>
          <w:szCs w:val="32"/>
        </w:rPr>
      </w:pPr>
      <w:r>
        <w:rPr>
          <w:rFonts w:hint="eastAsia" w:ascii="Times New Roman" w:hAnsi="Times New Roman" w:eastAsia="方正仿宋_GBK" w:cs="Times New Roman"/>
          <w:b w:val="0"/>
          <w:bCs/>
          <w:color w:val="000000"/>
          <w:sz w:val="33"/>
          <w:szCs w:val="33"/>
        </w:rPr>
        <w:t>2023年度本年支出合计1634.02万元，其中：基本支出1063.32万元，占65.07%；项目支出570.7万元，占34.9</w:t>
      </w:r>
      <w:r>
        <w:rPr>
          <w:rFonts w:hint="eastAsia" w:ascii="Times New Roman" w:hAnsi="Times New Roman" w:eastAsia="方正仿宋_GBK" w:cs="Times New Roman"/>
          <w:b w:val="0"/>
          <w:bCs/>
          <w:color w:val="000000"/>
          <w:sz w:val="33"/>
          <w:szCs w:val="33"/>
          <w:lang w:val="en-US" w:eastAsia="zh-CN"/>
        </w:rPr>
        <w:t>3</w:t>
      </w:r>
      <w:r>
        <w:rPr>
          <w:rFonts w:hint="eastAsia" w:ascii="Times New Roman" w:hAnsi="Times New Roman" w:eastAsia="方正仿宋_GBK" w:cs="Times New Roman"/>
          <w:b w:val="0"/>
          <w:bCs/>
          <w:color w:val="000000"/>
          <w:sz w:val="33"/>
          <w:szCs w:val="33"/>
        </w:rPr>
        <w:t>%；上缴上级支出0万元，占0%；经营支出0万元，占0%；对附属单位补助支出0万元，占0%。</w:t>
      </w:r>
    </w:p>
    <w:p w14:paraId="6931F511">
      <w:pPr>
        <w:spacing w:line="600" w:lineRule="exact"/>
        <w:ind w:firstLine="640" w:firstLineChars="200"/>
        <w:jc w:val="center"/>
        <w:rPr>
          <w:rFonts w:hint="eastAsia" w:ascii="仿宋" w:hAnsi="仿宋" w:eastAsia="仿宋"/>
          <w:sz w:val="32"/>
          <w:szCs w:val="32"/>
        </w:rPr>
      </w:pPr>
      <w:r>
        <w:rPr>
          <w:rFonts w:ascii="Times New Roman" w:eastAsia="仿宋"/>
          <w:sz w:val="32"/>
          <w:szCs w:val="32"/>
        </w:rPr>
        <w:drawing>
          <wp:anchor distT="0" distB="0" distL="114300" distR="114300" simplePos="0" relativeHeight="251662336" behindDoc="1" locked="0" layoutInCell="1" allowOverlap="1">
            <wp:simplePos x="0" y="0"/>
            <wp:positionH relativeFrom="column">
              <wp:posOffset>309245</wp:posOffset>
            </wp:positionH>
            <wp:positionV relativeFrom="paragraph">
              <wp:posOffset>323215</wp:posOffset>
            </wp:positionV>
            <wp:extent cx="5080000" cy="1944370"/>
            <wp:effectExtent l="4445" t="4445" r="8255" b="6985"/>
            <wp:wrapTight wrapText="bothSides">
              <wp:wrapPolygon>
                <wp:start x="-19" y="-49"/>
                <wp:lineTo x="-19" y="21537"/>
                <wp:lineTo x="21581" y="21537"/>
                <wp:lineTo x="21581" y="-49"/>
                <wp:lineTo x="-19" y="-49"/>
              </wp:wrapPolygon>
            </wp:wrapTight>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ascii="仿宋_GB2312" w:hAnsi="仿宋_GB2312" w:eastAsia="仿宋_GB2312" w:cs="仿宋_GB2312"/>
          <w:b/>
          <w:bCs/>
          <w:sz w:val="28"/>
          <w:szCs w:val="28"/>
        </w:rPr>
        <w:t>图3：支出决算结构图</w:t>
      </w:r>
    </w:p>
    <w:p w14:paraId="4C9293B5">
      <w:pPr>
        <w:spacing w:line="600" w:lineRule="exact"/>
        <w:ind w:firstLine="640" w:firstLineChars="200"/>
        <w:outlineLvl w:val="1"/>
        <w:rPr>
          <w:rStyle w:val="28"/>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4"/>
      <w:bookmarkEnd w:id="25"/>
    </w:p>
    <w:p w14:paraId="76B30139">
      <w:pPr>
        <w:spacing w:line="600" w:lineRule="exact"/>
        <w:ind w:firstLine="640"/>
        <w:rPr>
          <w:rFonts w:hint="eastAsia" w:ascii="仿宋" w:hAnsi="仿宋" w:eastAsia="仿宋"/>
          <w:sz w:val="32"/>
          <w:szCs w:val="32"/>
        </w:rPr>
      </w:pPr>
      <w:r>
        <w:rPr>
          <w:rFonts w:hint="eastAsia" w:ascii="Times New Roman" w:hAnsi="Times New Roman" w:eastAsia="方正仿宋_GBK" w:cs="Times New Roman"/>
          <w:b w:val="0"/>
          <w:bCs/>
          <w:color w:val="000000"/>
          <w:sz w:val="33"/>
          <w:szCs w:val="33"/>
        </w:rPr>
        <w:t>2023年度财政拨款收、支总计均为1634.02万元。与2022年度相比，财政拨款收、支总计各减少</w:t>
      </w:r>
      <w:r>
        <w:rPr>
          <w:rFonts w:hint="eastAsia" w:ascii="Times New Roman" w:hAnsi="Times New Roman" w:eastAsia="方正仿宋_GBK" w:cs="Times New Roman"/>
          <w:b w:val="0"/>
          <w:bCs/>
          <w:color w:val="000000"/>
          <w:sz w:val="33"/>
          <w:szCs w:val="33"/>
          <w:lang w:val="en-US" w:eastAsia="zh-CN"/>
        </w:rPr>
        <w:t>243.3</w:t>
      </w:r>
      <w:r>
        <w:rPr>
          <w:rFonts w:hint="eastAsia" w:ascii="Times New Roman" w:hAnsi="Times New Roman" w:eastAsia="方正仿宋_GBK" w:cs="Times New Roman"/>
          <w:b w:val="0"/>
          <w:bCs/>
          <w:color w:val="000000"/>
          <w:sz w:val="33"/>
          <w:szCs w:val="33"/>
        </w:rPr>
        <w:t>万元，下降</w:t>
      </w:r>
      <w:r>
        <w:rPr>
          <w:rFonts w:hint="eastAsia" w:ascii="Times New Roman" w:hAnsi="Times New Roman" w:eastAsia="方正仿宋_GBK" w:cs="Times New Roman"/>
          <w:b w:val="0"/>
          <w:bCs/>
          <w:color w:val="000000"/>
          <w:sz w:val="33"/>
          <w:szCs w:val="33"/>
          <w:lang w:val="en-US" w:eastAsia="zh-CN"/>
        </w:rPr>
        <w:t>12.96</w:t>
      </w:r>
      <w:r>
        <w:rPr>
          <w:rFonts w:hint="eastAsia" w:ascii="Times New Roman" w:hAnsi="Times New Roman" w:eastAsia="方正仿宋_GBK" w:cs="Times New Roman"/>
          <w:b w:val="0"/>
          <w:bCs/>
          <w:color w:val="000000"/>
          <w:sz w:val="33"/>
          <w:szCs w:val="33"/>
        </w:rPr>
        <w:t>%。主要变动原因是一般公共预算财政拨款收入</w:t>
      </w:r>
      <w:r>
        <w:rPr>
          <w:rFonts w:hint="eastAsia" w:ascii="Times New Roman" w:hAnsi="Times New Roman" w:eastAsia="方正仿宋_GBK" w:cs="Times New Roman"/>
          <w:b w:val="0"/>
          <w:bCs/>
          <w:color w:val="000000"/>
          <w:sz w:val="33"/>
          <w:szCs w:val="33"/>
          <w:lang w:eastAsia="zh-CN"/>
        </w:rPr>
        <w:t>减少。</w:t>
      </w:r>
      <w:r>
        <w:rPr>
          <w:rFonts w:hint="eastAsia" w:ascii="仿宋" w:hAnsi="仿宋" w:eastAsia="仿宋"/>
          <w:sz w:val="32"/>
          <w:szCs w:val="32"/>
          <w:lang w:val="en-US" w:eastAsia="zh-CN"/>
        </w:rPr>
        <w:t xml:space="preserve"> </w:t>
      </w:r>
    </w:p>
    <w:p w14:paraId="1BBCAF86">
      <w:pPr>
        <w:pStyle w:val="18"/>
        <w:rPr>
          <w:rFonts w:hint="eastAsia" w:ascii="仿宋" w:hAnsi="仿宋" w:eastAsia="仿宋"/>
          <w:sz w:val="32"/>
          <w:szCs w:val="32"/>
        </w:rPr>
      </w:pPr>
      <w:r>
        <w:rPr>
          <w:rFonts w:ascii="Times New Roman" w:eastAsia="仿宋"/>
          <w:sz w:val="32"/>
          <w:szCs w:val="32"/>
        </w:rPr>
        <w:drawing>
          <wp:anchor distT="0" distB="0" distL="114300" distR="114300" simplePos="0" relativeHeight="251663360" behindDoc="1" locked="0" layoutInCell="1" allowOverlap="1">
            <wp:simplePos x="0" y="0"/>
            <wp:positionH relativeFrom="column">
              <wp:posOffset>245745</wp:posOffset>
            </wp:positionH>
            <wp:positionV relativeFrom="paragraph">
              <wp:posOffset>170180</wp:posOffset>
            </wp:positionV>
            <wp:extent cx="4826635" cy="1767205"/>
            <wp:effectExtent l="4445" t="5080" r="7620" b="43815"/>
            <wp:wrapTight wrapText="bothSides">
              <wp:wrapPolygon>
                <wp:start x="-20" y="-62"/>
                <wp:lineTo x="-20" y="21515"/>
                <wp:lineTo x="21577" y="21515"/>
                <wp:lineTo x="21577" y="-62"/>
                <wp:lineTo x="-20" y="-62"/>
              </wp:wrapPolygon>
            </wp:wrapTight>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6D6A0236">
      <w:pPr>
        <w:rPr>
          <w:rFonts w:hint="eastAsia" w:ascii="仿宋" w:hAnsi="仿宋" w:eastAsia="仿宋"/>
          <w:sz w:val="32"/>
          <w:szCs w:val="32"/>
        </w:rPr>
      </w:pPr>
    </w:p>
    <w:p w14:paraId="32B40BC0">
      <w:pPr>
        <w:pStyle w:val="18"/>
        <w:rPr>
          <w:rFonts w:hint="eastAsia" w:ascii="仿宋" w:hAnsi="仿宋" w:eastAsia="仿宋"/>
          <w:sz w:val="32"/>
          <w:szCs w:val="32"/>
        </w:rPr>
      </w:pPr>
    </w:p>
    <w:p w14:paraId="4F8A408B">
      <w:pPr>
        <w:spacing w:line="600" w:lineRule="exact"/>
        <w:ind w:firstLine="562" w:firstLineChars="200"/>
        <w:jc w:val="center"/>
        <w:outlineLvl w:val="1"/>
        <w:rPr>
          <w:rFonts w:hint="eastAsia" w:ascii="黑体" w:hAnsi="黑体" w:eastAsia="黑体"/>
          <w:sz w:val="32"/>
          <w:szCs w:val="32"/>
        </w:rPr>
      </w:pPr>
      <w:bookmarkStart w:id="26" w:name="_Toc15396607"/>
      <w:bookmarkStart w:id="27" w:name="_Toc15377209"/>
      <w:r>
        <w:rPr>
          <w:rFonts w:hint="eastAsia" w:ascii="仿宋_GB2312" w:hAnsi="仿宋_GB2312" w:eastAsia="仿宋_GB2312" w:cs="仿宋_GB2312"/>
          <w:b/>
          <w:bCs/>
          <w:sz w:val="28"/>
          <w:szCs w:val="28"/>
        </w:rPr>
        <w:t>图4：财政拨款收、支决算总计变动情况</w:t>
      </w:r>
    </w:p>
    <w:p w14:paraId="33C77F1B">
      <w:pPr>
        <w:spacing w:line="600" w:lineRule="exact"/>
        <w:ind w:firstLine="640" w:firstLineChars="200"/>
        <w:outlineLvl w:val="1"/>
        <w:rPr>
          <w:rStyle w:val="28"/>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6"/>
      <w:bookmarkEnd w:id="27"/>
    </w:p>
    <w:p w14:paraId="76E65DD9">
      <w:pPr>
        <w:spacing w:line="600" w:lineRule="exact"/>
        <w:ind w:firstLine="640" w:firstLineChars="200"/>
        <w:outlineLvl w:val="2"/>
        <w:rPr>
          <w:rFonts w:hint="eastAsia" w:ascii="方正楷体_GBK" w:hAnsi="方正楷体_GBK" w:eastAsia="方正楷体_GBK" w:cs="方正楷体_GBK"/>
          <w:b w:val="0"/>
          <w:bCs/>
          <w:sz w:val="32"/>
          <w:szCs w:val="32"/>
        </w:rPr>
      </w:pPr>
      <w:bookmarkStart w:id="28" w:name="_Toc15377210"/>
      <w:r>
        <w:rPr>
          <w:rFonts w:hint="eastAsia" w:ascii="方正楷体_GBK" w:hAnsi="方正楷体_GBK" w:eastAsia="方正楷体_GBK" w:cs="方正楷体_GBK"/>
          <w:b w:val="0"/>
          <w:bCs/>
          <w:sz w:val="32"/>
          <w:szCs w:val="32"/>
        </w:rPr>
        <w:t>（一）一般公共预算财政拨款支出决算总体情况</w:t>
      </w:r>
      <w:bookmarkEnd w:id="28"/>
    </w:p>
    <w:p w14:paraId="15DE6595">
      <w:pPr>
        <w:spacing w:line="600" w:lineRule="exact"/>
        <w:ind w:firstLine="64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drawing>
          <wp:anchor distT="0" distB="0" distL="114300" distR="114300" simplePos="0" relativeHeight="251664384" behindDoc="1" locked="0" layoutInCell="1" allowOverlap="1">
            <wp:simplePos x="0" y="0"/>
            <wp:positionH relativeFrom="column">
              <wp:posOffset>367030</wp:posOffset>
            </wp:positionH>
            <wp:positionV relativeFrom="paragraph">
              <wp:posOffset>2487930</wp:posOffset>
            </wp:positionV>
            <wp:extent cx="5136515" cy="1994535"/>
            <wp:effectExtent l="5080" t="4445" r="14605" b="7620"/>
            <wp:wrapTight wrapText="bothSides">
              <wp:wrapPolygon>
                <wp:start x="-21" y="-48"/>
                <wp:lineTo x="-21" y="21545"/>
                <wp:lineTo x="21555" y="21545"/>
                <wp:lineTo x="21555" y="-48"/>
                <wp:lineTo x="-21" y="-48"/>
              </wp:wrapPolygon>
            </wp:wrapTight>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Times New Roman" w:hAnsi="Times New Roman" w:eastAsia="方正仿宋_GBK" w:cs="Times New Roman"/>
          <w:b w:val="0"/>
          <w:bCs/>
          <w:color w:val="000000"/>
          <w:sz w:val="33"/>
          <w:szCs w:val="33"/>
        </w:rPr>
        <w:t>2023年度一般公共预算财政拨款支出1634.02万元，占本年支出合计的100%。与2022年度相比，一般公共预算财政拨款支出减少</w:t>
      </w:r>
      <w:r>
        <w:rPr>
          <w:rFonts w:hint="eastAsia" w:ascii="Times New Roman" w:hAnsi="Times New Roman" w:eastAsia="方正仿宋_GBK" w:cs="Times New Roman"/>
          <w:b w:val="0"/>
          <w:bCs/>
          <w:color w:val="000000"/>
          <w:sz w:val="33"/>
          <w:szCs w:val="33"/>
          <w:lang w:val="en-US" w:eastAsia="zh-CN"/>
        </w:rPr>
        <w:t>243.3</w:t>
      </w:r>
      <w:r>
        <w:rPr>
          <w:rFonts w:hint="eastAsia" w:ascii="Times New Roman" w:hAnsi="Times New Roman" w:eastAsia="方正仿宋_GBK" w:cs="Times New Roman"/>
          <w:b w:val="0"/>
          <w:bCs/>
          <w:color w:val="000000"/>
          <w:sz w:val="33"/>
          <w:szCs w:val="33"/>
        </w:rPr>
        <w:t>万元，下降</w:t>
      </w:r>
      <w:r>
        <w:rPr>
          <w:rFonts w:hint="eastAsia" w:ascii="Times New Roman" w:hAnsi="Times New Roman" w:eastAsia="方正仿宋_GBK" w:cs="Times New Roman"/>
          <w:b w:val="0"/>
          <w:bCs/>
          <w:color w:val="000000"/>
          <w:sz w:val="33"/>
          <w:szCs w:val="33"/>
          <w:lang w:val="en-US" w:eastAsia="zh-CN"/>
        </w:rPr>
        <w:t>12.96</w:t>
      </w:r>
      <w:r>
        <w:rPr>
          <w:rFonts w:hint="eastAsia" w:ascii="Times New Roman" w:hAnsi="Times New Roman" w:eastAsia="方正仿宋_GBK" w:cs="Times New Roman"/>
          <w:b w:val="0"/>
          <w:bCs/>
          <w:color w:val="000000"/>
          <w:sz w:val="33"/>
          <w:szCs w:val="33"/>
        </w:rPr>
        <w:t>%。主要变动原因是</w:t>
      </w:r>
      <w:r>
        <w:rPr>
          <w:rFonts w:hint="eastAsia" w:ascii="Times New Roman" w:hAnsi="Times New Roman" w:eastAsia="方正仿宋_GBK" w:cs="Times New Roman"/>
          <w:b w:val="0"/>
          <w:bCs/>
          <w:color w:val="000000"/>
          <w:sz w:val="33"/>
          <w:szCs w:val="33"/>
          <w:lang w:val="en-US" w:eastAsia="zh-CN"/>
        </w:rPr>
        <w:t>2022年度化解了较多之前年度项目的暂付款，相比之下，2023年度</w:t>
      </w:r>
      <w:r>
        <w:rPr>
          <w:rFonts w:hint="eastAsia" w:ascii="Times New Roman" w:hAnsi="Times New Roman" w:eastAsia="方正仿宋_GBK" w:cs="Times New Roman"/>
          <w:b w:val="0"/>
          <w:bCs/>
          <w:color w:val="000000"/>
          <w:sz w:val="33"/>
          <w:szCs w:val="33"/>
        </w:rPr>
        <w:t>一般公共预算财政拨款支出</w:t>
      </w:r>
      <w:r>
        <w:rPr>
          <w:rFonts w:hint="eastAsia" w:ascii="Times New Roman" w:hAnsi="Times New Roman" w:eastAsia="方正仿宋_GBK" w:cs="Times New Roman"/>
          <w:b w:val="0"/>
          <w:bCs/>
          <w:color w:val="000000"/>
          <w:sz w:val="33"/>
          <w:szCs w:val="33"/>
          <w:lang w:eastAsia="zh-CN"/>
        </w:rPr>
        <w:t>的项目支出减少较多。</w:t>
      </w:r>
    </w:p>
    <w:p w14:paraId="1754005A">
      <w:pPr>
        <w:spacing w:line="600" w:lineRule="exact"/>
        <w:ind w:firstLine="562" w:firstLineChars="200"/>
        <w:jc w:val="center"/>
        <w:outlineLvl w:val="2"/>
        <w:rPr>
          <w:rFonts w:hint="eastAsia" w:ascii="仿宋_GB2312" w:hAnsi="仿宋_GB2312" w:eastAsia="仿宋_GB2312" w:cs="仿宋_GB2312"/>
          <w:b/>
          <w:bCs/>
          <w:sz w:val="28"/>
          <w:szCs w:val="28"/>
        </w:rPr>
      </w:pPr>
      <w:bookmarkStart w:id="29" w:name="_Toc15377211"/>
      <w:r>
        <w:rPr>
          <w:rFonts w:hint="eastAsia" w:ascii="仿宋_GB2312" w:hAnsi="仿宋_GB2312" w:eastAsia="仿宋_GB2312" w:cs="仿宋_GB2312"/>
          <w:b/>
          <w:bCs/>
          <w:sz w:val="28"/>
          <w:szCs w:val="28"/>
        </w:rPr>
        <w:t>图5：一般公共预算财政拨款支出决算变动情况</w:t>
      </w:r>
    </w:p>
    <w:p w14:paraId="5222BA2B">
      <w:pPr>
        <w:spacing w:line="600" w:lineRule="exact"/>
        <w:ind w:firstLine="562" w:firstLineChars="200"/>
        <w:outlineLvl w:val="2"/>
        <w:rPr>
          <w:rFonts w:hint="eastAsia" w:ascii="仿宋_GB2312" w:hAnsi="仿宋_GB2312" w:eastAsia="仿宋_GB2312" w:cs="仿宋_GB2312"/>
          <w:b/>
          <w:bCs/>
          <w:sz w:val="28"/>
          <w:szCs w:val="28"/>
        </w:rPr>
      </w:pPr>
    </w:p>
    <w:p w14:paraId="4BB9D4AF">
      <w:pPr>
        <w:spacing w:line="600" w:lineRule="exact"/>
        <w:ind w:firstLine="640" w:firstLineChars="200"/>
        <w:outlineLvl w:val="2"/>
        <w:rPr>
          <w:rFonts w:hint="eastAsia" w:ascii="方正楷体_GBK" w:hAnsi="方正楷体_GBK" w:eastAsia="方正楷体_GBK" w:cs="方正楷体_GBK"/>
          <w:b w:val="0"/>
          <w:bCs/>
          <w:sz w:val="32"/>
          <w:szCs w:val="32"/>
        </w:rPr>
      </w:pPr>
      <w:r>
        <w:rPr>
          <w:rFonts w:hint="eastAsia" w:ascii="方正楷体_GBK" w:hAnsi="方正楷体_GBK" w:eastAsia="方正楷体_GBK" w:cs="方正楷体_GBK"/>
          <w:b w:val="0"/>
          <w:bCs/>
          <w:sz w:val="32"/>
          <w:szCs w:val="32"/>
        </w:rPr>
        <w:t>（二）一般公共预算财政拨款支出决算结构情况</w:t>
      </w:r>
      <w:bookmarkEnd w:id="29"/>
    </w:p>
    <w:p w14:paraId="145CAFCC">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2023年度一般公共预算财政拨款支出1634.02万元，主要用于以下方面:一般公共服务支出</w:t>
      </w:r>
      <w:r>
        <w:rPr>
          <w:rFonts w:hint="eastAsia" w:ascii="Times New Roman" w:hAnsi="Times New Roman" w:eastAsia="方正仿宋_GBK" w:cs="Times New Roman"/>
          <w:b w:val="0"/>
          <w:bCs/>
          <w:color w:val="000000"/>
          <w:sz w:val="33"/>
          <w:szCs w:val="33"/>
          <w:lang w:val="en-US" w:eastAsia="zh-CN"/>
        </w:rPr>
        <w:t>1340.14</w:t>
      </w:r>
      <w:r>
        <w:rPr>
          <w:rFonts w:hint="eastAsia" w:ascii="Times New Roman" w:hAnsi="Times New Roman" w:eastAsia="方正仿宋_GBK" w:cs="Times New Roman"/>
          <w:b w:val="0"/>
          <w:bCs/>
          <w:color w:val="000000"/>
          <w:sz w:val="33"/>
          <w:szCs w:val="33"/>
        </w:rPr>
        <w:t>万元，占</w:t>
      </w:r>
      <w:r>
        <w:rPr>
          <w:rFonts w:hint="eastAsia" w:ascii="Times New Roman" w:hAnsi="Times New Roman" w:eastAsia="方正仿宋_GBK" w:cs="Times New Roman"/>
          <w:b w:val="0"/>
          <w:bCs/>
          <w:color w:val="000000"/>
          <w:sz w:val="33"/>
          <w:szCs w:val="33"/>
          <w:lang w:val="en-US" w:eastAsia="zh-CN"/>
        </w:rPr>
        <w:t>82.02</w:t>
      </w:r>
      <w:r>
        <w:rPr>
          <w:rFonts w:hint="eastAsia" w:ascii="Times New Roman" w:hAnsi="Times New Roman" w:eastAsia="方正仿宋_GBK" w:cs="Times New Roman"/>
          <w:b w:val="0"/>
          <w:bCs/>
          <w:color w:val="000000"/>
          <w:sz w:val="33"/>
          <w:szCs w:val="33"/>
        </w:rPr>
        <w:t>%；社会保障和就业支出</w:t>
      </w:r>
      <w:r>
        <w:rPr>
          <w:rFonts w:hint="eastAsia" w:ascii="Times New Roman" w:hAnsi="Times New Roman" w:eastAsia="方正仿宋_GBK" w:cs="Times New Roman"/>
          <w:b w:val="0"/>
          <w:bCs/>
          <w:color w:val="000000"/>
          <w:sz w:val="33"/>
          <w:szCs w:val="33"/>
          <w:lang w:val="en-US" w:eastAsia="zh-CN"/>
        </w:rPr>
        <w:t>144.39</w:t>
      </w:r>
      <w:r>
        <w:rPr>
          <w:rFonts w:hint="eastAsia" w:ascii="Times New Roman" w:hAnsi="Times New Roman" w:eastAsia="方正仿宋_GBK" w:cs="Times New Roman"/>
          <w:b w:val="0"/>
          <w:bCs/>
          <w:color w:val="000000"/>
          <w:sz w:val="33"/>
          <w:szCs w:val="33"/>
        </w:rPr>
        <w:t>万元，占</w:t>
      </w:r>
      <w:r>
        <w:rPr>
          <w:rFonts w:hint="eastAsia" w:ascii="Times New Roman" w:hAnsi="Times New Roman" w:eastAsia="方正仿宋_GBK" w:cs="Times New Roman"/>
          <w:b w:val="0"/>
          <w:bCs/>
          <w:color w:val="000000"/>
          <w:sz w:val="33"/>
          <w:szCs w:val="33"/>
          <w:lang w:val="en-US" w:eastAsia="zh-CN"/>
        </w:rPr>
        <w:t>8.84</w:t>
      </w:r>
      <w:r>
        <w:rPr>
          <w:rFonts w:hint="eastAsia" w:ascii="Times New Roman" w:hAnsi="Times New Roman" w:eastAsia="方正仿宋_GBK" w:cs="Times New Roman"/>
          <w:b w:val="0"/>
          <w:bCs/>
          <w:color w:val="000000"/>
          <w:sz w:val="33"/>
          <w:szCs w:val="33"/>
        </w:rPr>
        <w:t>%；卫生健康支出</w:t>
      </w:r>
      <w:r>
        <w:rPr>
          <w:rFonts w:hint="eastAsia" w:ascii="Times New Roman" w:hAnsi="Times New Roman" w:eastAsia="方正仿宋_GBK" w:cs="Times New Roman"/>
          <w:b w:val="0"/>
          <w:bCs/>
          <w:color w:val="000000"/>
          <w:sz w:val="33"/>
          <w:szCs w:val="33"/>
          <w:lang w:val="en-US" w:eastAsia="zh-CN"/>
        </w:rPr>
        <w:t>77.85</w:t>
      </w:r>
      <w:r>
        <w:rPr>
          <w:rFonts w:hint="eastAsia" w:ascii="Times New Roman" w:hAnsi="Times New Roman" w:eastAsia="方正仿宋_GBK" w:cs="Times New Roman"/>
          <w:b w:val="0"/>
          <w:bCs/>
          <w:color w:val="000000"/>
          <w:sz w:val="33"/>
          <w:szCs w:val="33"/>
        </w:rPr>
        <w:t>万元，占</w:t>
      </w:r>
      <w:r>
        <w:rPr>
          <w:rFonts w:hint="eastAsia" w:ascii="Times New Roman" w:hAnsi="Times New Roman" w:eastAsia="方正仿宋_GBK" w:cs="Times New Roman"/>
          <w:b w:val="0"/>
          <w:bCs/>
          <w:color w:val="000000"/>
          <w:sz w:val="33"/>
          <w:szCs w:val="33"/>
          <w:lang w:val="en-US" w:eastAsia="zh-CN"/>
        </w:rPr>
        <w:t>4.76</w:t>
      </w:r>
      <w:r>
        <w:rPr>
          <w:rFonts w:hint="eastAsia" w:ascii="Times New Roman" w:hAnsi="Times New Roman" w:eastAsia="方正仿宋_GBK" w:cs="Times New Roman"/>
          <w:b w:val="0"/>
          <w:bCs/>
          <w:color w:val="000000"/>
          <w:sz w:val="33"/>
          <w:szCs w:val="33"/>
        </w:rPr>
        <w:t>%；住房保障支出</w:t>
      </w:r>
      <w:r>
        <w:rPr>
          <w:rFonts w:hint="eastAsia" w:ascii="Times New Roman" w:hAnsi="Times New Roman" w:eastAsia="方正仿宋_GBK" w:cs="Times New Roman"/>
          <w:b w:val="0"/>
          <w:bCs/>
          <w:color w:val="000000"/>
          <w:sz w:val="33"/>
          <w:szCs w:val="33"/>
          <w:lang w:val="en-US" w:eastAsia="zh-CN"/>
        </w:rPr>
        <w:t>71.64</w:t>
      </w:r>
      <w:r>
        <w:rPr>
          <w:rFonts w:hint="eastAsia" w:ascii="Times New Roman" w:hAnsi="Times New Roman" w:eastAsia="方正仿宋_GBK" w:cs="Times New Roman"/>
          <w:b w:val="0"/>
          <w:bCs/>
          <w:color w:val="000000"/>
          <w:sz w:val="33"/>
          <w:szCs w:val="33"/>
        </w:rPr>
        <w:t>万元，占</w:t>
      </w:r>
      <w:r>
        <w:rPr>
          <w:rFonts w:hint="eastAsia" w:ascii="Times New Roman" w:hAnsi="Times New Roman" w:eastAsia="方正仿宋_GBK" w:cs="Times New Roman"/>
          <w:b w:val="0"/>
          <w:bCs/>
          <w:color w:val="000000"/>
          <w:sz w:val="33"/>
          <w:szCs w:val="33"/>
          <w:lang w:val="en-US" w:eastAsia="zh-CN"/>
        </w:rPr>
        <w:t>4.38</w:t>
      </w:r>
      <w:r>
        <w:rPr>
          <w:rFonts w:hint="eastAsia" w:ascii="Times New Roman" w:hAnsi="Times New Roman" w:eastAsia="方正仿宋_GBK" w:cs="Times New Roman"/>
          <w:b w:val="0"/>
          <w:bCs/>
          <w:color w:val="000000"/>
          <w:sz w:val="33"/>
          <w:szCs w:val="33"/>
        </w:rPr>
        <w:t>%。</w:t>
      </w:r>
    </w:p>
    <w:p w14:paraId="4E178595">
      <w:pPr>
        <w:pStyle w:val="18"/>
        <w:jc w:val="center"/>
        <w:rPr>
          <w:rFonts w:hint="eastAsia" w:ascii="仿宋_GB2312" w:hAnsi="仿宋_GB2312" w:eastAsia="仿宋_GB2312" w:cs="仿宋_GB2312"/>
          <w:b/>
          <w:bCs/>
          <w:sz w:val="28"/>
          <w:szCs w:val="28"/>
        </w:rPr>
      </w:pPr>
      <w:r>
        <w:rPr>
          <w:rFonts w:ascii="方正楷体_GBK" w:hAnsi="方正楷体_GBK" w:eastAsia="方正楷体_GBK" w:cs="方正楷体_GBK"/>
          <w:bCs/>
          <w:kern w:val="2"/>
          <w:sz w:val="32"/>
          <w:szCs w:val="32"/>
        </w:rPr>
        <w:drawing>
          <wp:anchor distT="0" distB="0" distL="114300" distR="114300" simplePos="0" relativeHeight="251665408" behindDoc="1" locked="0" layoutInCell="1" allowOverlap="1">
            <wp:simplePos x="0" y="0"/>
            <wp:positionH relativeFrom="column">
              <wp:posOffset>208280</wp:posOffset>
            </wp:positionH>
            <wp:positionV relativeFrom="paragraph">
              <wp:posOffset>137795</wp:posOffset>
            </wp:positionV>
            <wp:extent cx="5080000" cy="2009775"/>
            <wp:effectExtent l="6350" t="6350" r="6350" b="15875"/>
            <wp:wrapTight wrapText="bothSides">
              <wp:wrapPolygon>
                <wp:start x="-27" y="-68"/>
                <wp:lineTo x="-27" y="21498"/>
                <wp:lineTo x="21573" y="21498"/>
                <wp:lineTo x="21573" y="-68"/>
                <wp:lineTo x="-27" y="-68"/>
              </wp:wrapPolygon>
            </wp:wrapTight>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bookmarkStart w:id="30" w:name="_Toc15377212"/>
      <w:r>
        <w:rPr>
          <w:rFonts w:hint="eastAsia" w:ascii="仿宋_GB2312" w:hAnsi="仿宋_GB2312" w:eastAsia="仿宋_GB2312" w:cs="仿宋_GB2312"/>
          <w:b/>
          <w:bCs/>
          <w:sz w:val="28"/>
          <w:szCs w:val="28"/>
        </w:rPr>
        <w:t>图6：一般公共预算财政拨款支出决算结构</w:t>
      </w:r>
    </w:p>
    <w:p w14:paraId="2FEBE7BB">
      <w:pPr>
        <w:pStyle w:val="18"/>
        <w:pageBreakBefore w:val="0"/>
        <w:widowControl w:val="0"/>
        <w:kinsoku/>
        <w:wordWrap/>
        <w:overflowPunct/>
        <w:topLinePunct w:val="0"/>
        <w:autoSpaceDE/>
        <w:autoSpaceDN/>
        <w:bidi w:val="0"/>
        <w:adjustRightInd/>
        <w:snapToGrid/>
        <w:spacing w:before="0" w:after="0" w:line="240" w:lineRule="auto"/>
        <w:textAlignment w:val="auto"/>
        <w:rPr>
          <w:rFonts w:hint="eastAsia" w:ascii="方正楷体_GBK" w:hAnsi="方正楷体_GBK" w:eastAsia="方正楷体_GBK" w:cs="方正楷体_GBK"/>
          <w:b w:val="0"/>
          <w:bCs/>
          <w:kern w:val="2"/>
          <w:sz w:val="32"/>
          <w:szCs w:val="32"/>
          <w:lang w:val="en-US" w:eastAsia="zh-CN" w:bidi="ar-SA"/>
        </w:rPr>
      </w:pPr>
      <w:r>
        <w:rPr>
          <w:rFonts w:hint="eastAsia" w:ascii="方正楷体_GBK" w:hAnsi="方正楷体_GBK" w:eastAsia="方正楷体_GBK" w:cs="方正楷体_GBK"/>
          <w:b w:val="0"/>
          <w:bCs/>
          <w:kern w:val="2"/>
          <w:sz w:val="32"/>
          <w:szCs w:val="32"/>
          <w:lang w:val="en-US" w:eastAsia="zh-CN" w:bidi="ar-SA"/>
        </w:rPr>
        <w:t>　　（三）一般公共预算财政拨款支出决算具体情况</w:t>
      </w:r>
      <w:bookmarkEnd w:id="30"/>
    </w:p>
    <w:p w14:paraId="72B3228B">
      <w:pPr>
        <w:pageBreakBefore w:val="0"/>
        <w:widowControl w:val="0"/>
        <w:kinsoku/>
        <w:wordWrap/>
        <w:overflowPunct/>
        <w:topLinePunct w:val="0"/>
        <w:autoSpaceDE/>
        <w:autoSpaceDN/>
        <w:bidi w:val="0"/>
        <w:adjustRightInd/>
        <w:snapToGrid/>
        <w:spacing w:line="240" w:lineRule="auto"/>
        <w:ind w:firstLine="640"/>
        <w:textAlignment w:val="auto"/>
        <w:rPr>
          <w:rFonts w:hint="eastAsia" w:ascii="Times New Roman" w:hAnsi="Times New Roman" w:eastAsia="方正仿宋_GBK" w:cs="Times New Roman"/>
          <w:b w:val="0"/>
          <w:bCs/>
          <w:color w:val="000000"/>
          <w:sz w:val="33"/>
          <w:szCs w:val="33"/>
        </w:rPr>
      </w:pPr>
      <w:bookmarkStart w:id="31" w:name="_Toc15377444"/>
      <w:bookmarkStart w:id="32" w:name="_Toc15377213"/>
      <w:bookmarkStart w:id="33" w:name="_Toc15378460"/>
      <w:r>
        <w:rPr>
          <w:rFonts w:hint="eastAsia" w:ascii="Times New Roman" w:hAnsi="Times New Roman" w:eastAsia="方正仿宋_GBK" w:cs="Times New Roman"/>
          <w:b w:val="0"/>
          <w:bCs/>
          <w:color w:val="000000"/>
          <w:sz w:val="33"/>
          <w:szCs w:val="33"/>
        </w:rPr>
        <w:t>2023年度一般公共预算支出决算数为1634.02</w:t>
      </w:r>
      <w:r>
        <w:rPr>
          <w:rFonts w:hint="eastAsia" w:eastAsia="方正仿宋_GBK" w:cs="Times New Roman"/>
          <w:b w:val="0"/>
          <w:bCs/>
          <w:color w:val="000000"/>
          <w:sz w:val="33"/>
          <w:szCs w:val="33"/>
          <w:lang w:eastAsia="zh-CN"/>
        </w:rPr>
        <w:t>万元</w:t>
      </w:r>
      <w:r>
        <w:rPr>
          <w:rFonts w:hint="eastAsia" w:ascii="Times New Roman" w:hAnsi="Times New Roman" w:eastAsia="方正仿宋_GBK" w:cs="Times New Roman"/>
          <w:b w:val="0"/>
          <w:bCs/>
          <w:color w:val="000000"/>
          <w:sz w:val="33"/>
          <w:szCs w:val="33"/>
        </w:rPr>
        <w:t>，完成预算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%。其中：</w:t>
      </w:r>
      <w:bookmarkEnd w:id="31"/>
      <w:bookmarkEnd w:id="32"/>
      <w:bookmarkEnd w:id="33"/>
    </w:p>
    <w:p w14:paraId="21B38659">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1.一般公共服务（类）</w:t>
      </w:r>
      <w:r>
        <w:rPr>
          <w:rFonts w:hint="eastAsia" w:ascii="Times New Roman" w:hAnsi="Times New Roman" w:eastAsia="方正仿宋_GBK" w:cs="Times New Roman"/>
          <w:b w:val="0"/>
          <w:bCs/>
          <w:color w:val="000000"/>
          <w:sz w:val="33"/>
          <w:szCs w:val="33"/>
          <w:lang w:eastAsia="zh-CN"/>
        </w:rPr>
        <w:t>纪检监察事务</w:t>
      </w:r>
      <w:r>
        <w:rPr>
          <w:rFonts w:hint="eastAsia" w:ascii="Times New Roman" w:hAnsi="Times New Roman" w:eastAsia="方正仿宋_GBK" w:cs="Times New Roman"/>
          <w:b w:val="0"/>
          <w:bCs/>
          <w:color w:val="000000"/>
          <w:sz w:val="33"/>
          <w:szCs w:val="33"/>
        </w:rPr>
        <w:t>（款）</w:t>
      </w:r>
      <w:r>
        <w:rPr>
          <w:rFonts w:hint="eastAsia" w:ascii="Times New Roman" w:hAnsi="Times New Roman" w:eastAsia="方正仿宋_GBK" w:cs="Times New Roman"/>
          <w:b w:val="0"/>
          <w:bCs/>
          <w:color w:val="000000"/>
          <w:sz w:val="33"/>
          <w:szCs w:val="33"/>
          <w:lang w:eastAsia="zh-CN"/>
        </w:rPr>
        <w:t>行政运行</w:t>
      </w:r>
      <w:r>
        <w:rPr>
          <w:rFonts w:hint="eastAsia" w:ascii="Times New Roman" w:hAnsi="Times New Roman" w:eastAsia="方正仿宋_GBK" w:cs="Times New Roman"/>
          <w:b w:val="0"/>
          <w:bCs/>
          <w:color w:val="000000"/>
          <w:sz w:val="33"/>
          <w:szCs w:val="33"/>
        </w:rPr>
        <w:t xml:space="preserve">（项）: </w:t>
      </w:r>
      <w:r>
        <w:rPr>
          <w:rFonts w:hint="eastAsia" w:ascii="Times New Roman" w:hAnsi="Times New Roman" w:eastAsia="方正仿宋_GBK" w:cs="Times New Roman"/>
          <w:b w:val="0"/>
          <w:bCs/>
          <w:color w:val="000000"/>
          <w:sz w:val="33"/>
          <w:szCs w:val="33"/>
        </w:rPr>
        <w:t>支出决算为</w:t>
      </w:r>
      <w:r>
        <w:rPr>
          <w:rFonts w:hint="eastAsia" w:ascii="Times New Roman" w:hAnsi="Times New Roman" w:eastAsia="方正仿宋_GBK" w:cs="Times New Roman"/>
          <w:b w:val="0"/>
          <w:bCs/>
          <w:color w:val="000000"/>
          <w:sz w:val="33"/>
          <w:szCs w:val="33"/>
          <w:lang w:val="en-US" w:eastAsia="zh-CN"/>
        </w:rPr>
        <w:t>665.12</w:t>
      </w:r>
      <w:r>
        <w:rPr>
          <w:rFonts w:hint="eastAsia" w:ascii="Times New Roman" w:hAnsi="Times New Roman" w:eastAsia="方正仿宋_GBK" w:cs="Times New Roman"/>
          <w:b w:val="0"/>
          <w:bCs/>
          <w:color w:val="000000"/>
          <w:sz w:val="33"/>
          <w:szCs w:val="33"/>
        </w:rPr>
        <w:t>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p>
    <w:p w14:paraId="1BC5F044">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2.一般公共服务（类）</w:t>
      </w:r>
      <w:r>
        <w:rPr>
          <w:rFonts w:hint="eastAsia" w:ascii="Times New Roman" w:hAnsi="Times New Roman" w:eastAsia="方正仿宋_GBK" w:cs="Times New Roman"/>
          <w:b w:val="0"/>
          <w:bCs/>
          <w:color w:val="000000"/>
          <w:sz w:val="33"/>
          <w:szCs w:val="33"/>
          <w:lang w:eastAsia="zh-CN"/>
        </w:rPr>
        <w:t>纪检监察事务</w:t>
      </w:r>
      <w:r>
        <w:rPr>
          <w:rFonts w:hint="eastAsia" w:ascii="Times New Roman" w:hAnsi="Times New Roman" w:eastAsia="方正仿宋_GBK" w:cs="Times New Roman"/>
          <w:b w:val="0"/>
          <w:bCs/>
          <w:color w:val="000000"/>
          <w:sz w:val="33"/>
          <w:szCs w:val="33"/>
        </w:rPr>
        <w:t>（款）</w:t>
      </w:r>
      <w:r>
        <w:rPr>
          <w:rFonts w:hint="eastAsia" w:ascii="Times New Roman" w:hAnsi="Times New Roman" w:eastAsia="方正仿宋_GBK" w:cs="Times New Roman"/>
          <w:b w:val="0"/>
          <w:bCs/>
          <w:color w:val="000000"/>
          <w:sz w:val="33"/>
          <w:szCs w:val="33"/>
          <w:lang w:eastAsia="zh-CN"/>
        </w:rPr>
        <w:t>大案要案查处</w:t>
      </w:r>
      <w:r>
        <w:rPr>
          <w:rFonts w:hint="eastAsia" w:ascii="Times New Roman" w:hAnsi="Times New Roman" w:eastAsia="方正仿宋_GBK" w:cs="Times New Roman"/>
          <w:b w:val="0"/>
          <w:bCs/>
          <w:color w:val="000000"/>
          <w:sz w:val="33"/>
          <w:szCs w:val="33"/>
        </w:rPr>
        <w:t xml:space="preserve">（项）: </w:t>
      </w:r>
      <w:r>
        <w:rPr>
          <w:rFonts w:hint="eastAsia" w:ascii="Times New Roman" w:hAnsi="Times New Roman" w:eastAsia="方正仿宋_GBK" w:cs="Times New Roman"/>
          <w:b w:val="0"/>
          <w:bCs/>
          <w:color w:val="000000"/>
          <w:sz w:val="33"/>
          <w:szCs w:val="33"/>
        </w:rPr>
        <w:t>支出决算为</w:t>
      </w:r>
      <w:r>
        <w:rPr>
          <w:rFonts w:hint="eastAsia" w:ascii="Times New Roman" w:hAnsi="Times New Roman" w:eastAsia="方正仿宋_GBK" w:cs="Times New Roman"/>
          <w:b w:val="0"/>
          <w:bCs/>
          <w:color w:val="000000"/>
          <w:sz w:val="33"/>
          <w:szCs w:val="33"/>
          <w:lang w:val="en-US" w:eastAsia="zh-CN"/>
        </w:rPr>
        <w:t>249.96</w:t>
      </w:r>
      <w:r>
        <w:rPr>
          <w:rFonts w:hint="eastAsia" w:ascii="Times New Roman" w:hAnsi="Times New Roman" w:eastAsia="方正仿宋_GBK" w:cs="Times New Roman"/>
          <w:b w:val="0"/>
          <w:bCs/>
          <w:color w:val="000000"/>
          <w:sz w:val="33"/>
          <w:szCs w:val="33"/>
        </w:rPr>
        <w:t>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p>
    <w:p w14:paraId="19CF2B0A">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3.一般公共服务（类）</w:t>
      </w:r>
      <w:r>
        <w:rPr>
          <w:rFonts w:hint="eastAsia" w:ascii="Times New Roman" w:hAnsi="Times New Roman" w:eastAsia="方正仿宋_GBK" w:cs="Times New Roman"/>
          <w:b w:val="0"/>
          <w:bCs/>
          <w:color w:val="000000"/>
          <w:sz w:val="33"/>
          <w:szCs w:val="33"/>
          <w:lang w:eastAsia="zh-CN"/>
        </w:rPr>
        <w:t>纪检监察事务</w:t>
      </w:r>
      <w:r>
        <w:rPr>
          <w:rFonts w:hint="eastAsia" w:ascii="Times New Roman" w:hAnsi="Times New Roman" w:eastAsia="方正仿宋_GBK" w:cs="Times New Roman"/>
          <w:b w:val="0"/>
          <w:bCs/>
          <w:color w:val="000000"/>
          <w:sz w:val="33"/>
          <w:szCs w:val="33"/>
        </w:rPr>
        <w:t>（款）</w:t>
      </w:r>
      <w:r>
        <w:rPr>
          <w:rFonts w:hint="eastAsia" w:ascii="Times New Roman" w:hAnsi="Times New Roman" w:eastAsia="方正仿宋_GBK" w:cs="Times New Roman"/>
          <w:b w:val="0"/>
          <w:bCs/>
          <w:color w:val="000000"/>
          <w:sz w:val="33"/>
          <w:szCs w:val="33"/>
          <w:lang w:eastAsia="zh-CN"/>
        </w:rPr>
        <w:t>巡视工作</w:t>
      </w:r>
      <w:r>
        <w:rPr>
          <w:rFonts w:hint="eastAsia" w:ascii="Times New Roman" w:hAnsi="Times New Roman" w:eastAsia="方正仿宋_GBK" w:cs="Times New Roman"/>
          <w:b w:val="0"/>
          <w:bCs/>
          <w:color w:val="000000"/>
          <w:sz w:val="33"/>
          <w:szCs w:val="33"/>
        </w:rPr>
        <w:t xml:space="preserve">（项）: </w:t>
      </w:r>
      <w:r>
        <w:rPr>
          <w:rFonts w:hint="eastAsia" w:ascii="Times New Roman" w:hAnsi="Times New Roman" w:eastAsia="方正仿宋_GBK" w:cs="Times New Roman"/>
          <w:b w:val="0"/>
          <w:bCs/>
          <w:color w:val="000000"/>
          <w:sz w:val="33"/>
          <w:szCs w:val="33"/>
        </w:rPr>
        <w:t>支出决算为</w:t>
      </w:r>
      <w:r>
        <w:rPr>
          <w:rFonts w:hint="eastAsia" w:ascii="Times New Roman" w:hAnsi="Times New Roman" w:eastAsia="方正仿宋_GBK" w:cs="Times New Roman"/>
          <w:b w:val="0"/>
          <w:bCs/>
          <w:color w:val="000000"/>
          <w:sz w:val="33"/>
          <w:szCs w:val="33"/>
          <w:lang w:val="en-US" w:eastAsia="zh-CN"/>
        </w:rPr>
        <w:t>97.44</w:t>
      </w:r>
      <w:r>
        <w:rPr>
          <w:rFonts w:hint="eastAsia" w:ascii="Times New Roman" w:hAnsi="Times New Roman" w:eastAsia="方正仿宋_GBK" w:cs="Times New Roman"/>
          <w:b w:val="0"/>
          <w:bCs/>
          <w:color w:val="000000"/>
          <w:sz w:val="33"/>
          <w:szCs w:val="33"/>
        </w:rPr>
        <w:t>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r>
        <w:rPr>
          <w:rFonts w:hint="eastAsia" w:ascii="Times New Roman" w:hAnsi="Times New Roman" w:eastAsia="方正仿宋_GBK" w:cs="Times New Roman"/>
          <w:b w:val="0"/>
          <w:bCs/>
          <w:color w:val="000000"/>
          <w:sz w:val="33"/>
          <w:szCs w:val="33"/>
          <w:lang w:eastAsia="zh-CN"/>
        </w:rPr>
        <w:t>。</w:t>
      </w:r>
    </w:p>
    <w:p w14:paraId="20E8E2F3">
      <w:pPr>
        <w:spacing w:line="600" w:lineRule="exact"/>
        <w:ind w:firstLine="640"/>
        <w:rPr>
          <w:rFonts w:hint="eastAsia" w:ascii="Times New Roman" w:hAnsi="Times New Roman" w:eastAsia="方正仿宋_GBK" w:cs="Times New Roman"/>
          <w:b w:val="0"/>
          <w:bCs/>
          <w:color w:val="000000"/>
          <w:sz w:val="33"/>
          <w:szCs w:val="33"/>
          <w:lang w:eastAsia="zh-CN"/>
        </w:rPr>
      </w:pPr>
      <w:r>
        <w:rPr>
          <w:rFonts w:hint="eastAsia" w:ascii="Times New Roman" w:hAnsi="Times New Roman" w:eastAsia="方正仿宋_GBK" w:cs="Times New Roman"/>
          <w:b w:val="0"/>
          <w:bCs/>
          <w:color w:val="000000"/>
          <w:sz w:val="33"/>
          <w:szCs w:val="33"/>
        </w:rPr>
        <w:t>4.一般公共服务（类）</w:t>
      </w:r>
      <w:r>
        <w:rPr>
          <w:rFonts w:hint="eastAsia" w:ascii="Times New Roman" w:hAnsi="Times New Roman" w:eastAsia="方正仿宋_GBK" w:cs="Times New Roman"/>
          <w:b w:val="0"/>
          <w:bCs/>
          <w:color w:val="000000"/>
          <w:sz w:val="33"/>
          <w:szCs w:val="33"/>
          <w:lang w:eastAsia="zh-CN"/>
        </w:rPr>
        <w:t>纪检监察事务</w:t>
      </w:r>
      <w:r>
        <w:rPr>
          <w:rFonts w:hint="eastAsia" w:ascii="Times New Roman" w:hAnsi="Times New Roman" w:eastAsia="方正仿宋_GBK" w:cs="Times New Roman"/>
          <w:b w:val="0"/>
          <w:bCs/>
          <w:color w:val="000000"/>
          <w:sz w:val="33"/>
          <w:szCs w:val="33"/>
        </w:rPr>
        <w:t>（款）</w:t>
      </w:r>
      <w:r>
        <w:rPr>
          <w:rFonts w:hint="eastAsia" w:ascii="Times New Roman" w:hAnsi="Times New Roman" w:eastAsia="方正仿宋_GBK" w:cs="Times New Roman"/>
          <w:b w:val="0"/>
          <w:bCs/>
          <w:color w:val="000000"/>
          <w:sz w:val="33"/>
          <w:szCs w:val="33"/>
          <w:lang w:eastAsia="zh-CN"/>
        </w:rPr>
        <w:t>事业运行</w:t>
      </w:r>
      <w:r>
        <w:rPr>
          <w:rFonts w:hint="eastAsia" w:ascii="Times New Roman" w:hAnsi="Times New Roman" w:eastAsia="方正仿宋_GBK" w:cs="Times New Roman"/>
          <w:b w:val="0"/>
          <w:bCs/>
          <w:color w:val="000000"/>
          <w:sz w:val="33"/>
          <w:szCs w:val="33"/>
        </w:rPr>
        <w:t xml:space="preserve">（项）: </w:t>
      </w:r>
      <w:r>
        <w:rPr>
          <w:rFonts w:hint="eastAsia" w:ascii="Times New Roman" w:hAnsi="Times New Roman" w:eastAsia="方正仿宋_GBK" w:cs="Times New Roman"/>
          <w:b w:val="0"/>
          <w:bCs/>
          <w:color w:val="000000"/>
          <w:sz w:val="33"/>
          <w:szCs w:val="33"/>
        </w:rPr>
        <w:t>支出决算为</w:t>
      </w:r>
      <w:r>
        <w:rPr>
          <w:rFonts w:hint="eastAsia" w:ascii="Times New Roman" w:hAnsi="Times New Roman" w:eastAsia="方正仿宋_GBK" w:cs="Times New Roman"/>
          <w:b w:val="0"/>
          <w:bCs/>
          <w:color w:val="000000"/>
          <w:sz w:val="33"/>
          <w:szCs w:val="33"/>
          <w:lang w:val="en-US" w:eastAsia="zh-CN"/>
        </w:rPr>
        <w:t>104.32</w:t>
      </w:r>
      <w:r>
        <w:rPr>
          <w:rFonts w:hint="eastAsia" w:ascii="Times New Roman" w:hAnsi="Times New Roman" w:eastAsia="方正仿宋_GBK" w:cs="Times New Roman"/>
          <w:b w:val="0"/>
          <w:bCs/>
          <w:color w:val="000000"/>
          <w:sz w:val="33"/>
          <w:szCs w:val="33"/>
        </w:rPr>
        <w:t>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r>
        <w:rPr>
          <w:rFonts w:hint="eastAsia" w:ascii="Times New Roman" w:hAnsi="Times New Roman" w:eastAsia="方正仿宋_GBK" w:cs="Times New Roman"/>
          <w:b w:val="0"/>
          <w:bCs/>
          <w:color w:val="000000"/>
          <w:sz w:val="33"/>
          <w:szCs w:val="33"/>
          <w:lang w:eastAsia="zh-CN"/>
        </w:rPr>
        <w:t>。</w:t>
      </w:r>
    </w:p>
    <w:p w14:paraId="12BA3F77">
      <w:pPr>
        <w:spacing w:line="600" w:lineRule="exact"/>
        <w:ind w:firstLine="640"/>
        <w:rPr>
          <w:rFonts w:hint="eastAsia" w:ascii="Times New Roman" w:hAnsi="Times New Roman" w:eastAsia="方正仿宋_GBK" w:cs="Times New Roman"/>
          <w:b w:val="0"/>
          <w:bCs/>
          <w:color w:val="000000"/>
          <w:sz w:val="33"/>
          <w:szCs w:val="33"/>
          <w:lang w:eastAsia="zh-CN"/>
        </w:rPr>
      </w:pPr>
      <w:r>
        <w:rPr>
          <w:rFonts w:hint="eastAsia" w:ascii="Times New Roman" w:hAnsi="Times New Roman" w:eastAsia="方正仿宋_GBK" w:cs="Times New Roman"/>
          <w:b w:val="0"/>
          <w:bCs/>
          <w:color w:val="000000"/>
          <w:sz w:val="33"/>
          <w:szCs w:val="33"/>
          <w:lang w:val="en-US" w:eastAsia="zh-CN"/>
        </w:rPr>
        <w:t>5.一般公共服务（类）纪检监察事务（款）其他纪检监察事务支出（项）:</w:t>
      </w:r>
      <w:r>
        <w:rPr>
          <w:rFonts w:hint="eastAsia" w:ascii="Times New Roman" w:hAnsi="Times New Roman" w:eastAsia="方正仿宋_GBK" w:cs="Times New Roman"/>
          <w:b w:val="0"/>
          <w:bCs/>
          <w:color w:val="000000"/>
          <w:sz w:val="33"/>
          <w:szCs w:val="33"/>
          <w:lang w:val="en-US" w:eastAsia="zh-CN"/>
        </w:rPr>
        <w:t xml:space="preserve"> </w:t>
      </w:r>
      <w:r>
        <w:rPr>
          <w:rFonts w:hint="eastAsia" w:ascii="Times New Roman" w:hAnsi="Times New Roman" w:eastAsia="方正仿宋_GBK" w:cs="Times New Roman"/>
          <w:b w:val="0"/>
          <w:bCs/>
          <w:color w:val="000000"/>
          <w:sz w:val="33"/>
          <w:szCs w:val="33"/>
        </w:rPr>
        <w:t>支出决算为</w:t>
      </w:r>
      <w:r>
        <w:rPr>
          <w:rFonts w:hint="eastAsia" w:ascii="Times New Roman" w:hAnsi="Times New Roman" w:eastAsia="方正仿宋_GBK" w:cs="Times New Roman"/>
          <w:b w:val="0"/>
          <w:bCs/>
          <w:color w:val="000000"/>
          <w:sz w:val="33"/>
          <w:szCs w:val="33"/>
          <w:lang w:val="en-US" w:eastAsia="zh-CN"/>
        </w:rPr>
        <w:t>216.86</w:t>
      </w:r>
      <w:r>
        <w:rPr>
          <w:rFonts w:hint="eastAsia" w:ascii="Times New Roman" w:hAnsi="Times New Roman" w:eastAsia="方正仿宋_GBK" w:cs="Times New Roman"/>
          <w:b w:val="0"/>
          <w:bCs/>
          <w:color w:val="000000"/>
          <w:sz w:val="33"/>
          <w:szCs w:val="33"/>
        </w:rPr>
        <w:t>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r>
        <w:rPr>
          <w:rFonts w:hint="eastAsia" w:ascii="Times New Roman" w:hAnsi="Times New Roman" w:eastAsia="方正仿宋_GBK" w:cs="Times New Roman"/>
          <w:b w:val="0"/>
          <w:bCs/>
          <w:color w:val="000000"/>
          <w:sz w:val="33"/>
          <w:szCs w:val="33"/>
          <w:lang w:eastAsia="zh-CN"/>
        </w:rPr>
        <w:t>。</w:t>
      </w:r>
    </w:p>
    <w:p w14:paraId="1364A5A5">
      <w:pPr>
        <w:spacing w:line="600" w:lineRule="exact"/>
        <w:ind w:firstLine="640"/>
        <w:rPr>
          <w:rFonts w:hint="eastAsia" w:ascii="Times New Roman" w:hAnsi="Times New Roman" w:eastAsia="方正仿宋_GBK" w:cs="Times New Roman"/>
          <w:b w:val="0"/>
          <w:bCs/>
          <w:color w:val="000000"/>
          <w:sz w:val="33"/>
          <w:szCs w:val="33"/>
          <w:lang w:val="en-US" w:eastAsia="zh-CN"/>
        </w:rPr>
      </w:pPr>
      <w:r>
        <w:rPr>
          <w:rFonts w:hint="eastAsia" w:ascii="Times New Roman" w:hAnsi="Times New Roman" w:eastAsia="方正仿宋_GBK" w:cs="Times New Roman"/>
          <w:b w:val="0"/>
          <w:bCs/>
          <w:color w:val="000000"/>
          <w:sz w:val="33"/>
          <w:szCs w:val="33"/>
          <w:lang w:val="en-US" w:eastAsia="zh-CN"/>
        </w:rPr>
        <w:t>6.一般公共服务（类）党委办公厅（室）及相关机构事务（款）一般行政管理事务（项）:</w:t>
      </w:r>
      <w:r>
        <w:rPr>
          <w:rFonts w:hint="eastAsia" w:ascii="Times New Roman" w:hAnsi="Times New Roman" w:eastAsia="方正仿宋_GBK" w:cs="Times New Roman"/>
          <w:b w:val="0"/>
          <w:bCs/>
          <w:color w:val="000000"/>
          <w:sz w:val="33"/>
          <w:szCs w:val="33"/>
        </w:rPr>
        <w:t>支</w:t>
      </w:r>
      <w:r>
        <w:rPr>
          <w:rFonts w:hint="eastAsia" w:ascii="Times New Roman" w:hAnsi="Times New Roman" w:eastAsia="方正仿宋_GBK" w:cs="Times New Roman"/>
          <w:b w:val="0"/>
          <w:bCs/>
          <w:color w:val="000000"/>
          <w:sz w:val="33"/>
          <w:szCs w:val="33"/>
        </w:rPr>
        <w:t>出决算为</w:t>
      </w:r>
      <w:r>
        <w:rPr>
          <w:rFonts w:hint="eastAsia" w:ascii="Times New Roman" w:hAnsi="Times New Roman" w:eastAsia="方正仿宋_GBK" w:cs="Times New Roman"/>
          <w:b w:val="0"/>
          <w:bCs/>
          <w:color w:val="000000"/>
          <w:sz w:val="33"/>
          <w:szCs w:val="33"/>
          <w:lang w:val="en-US" w:eastAsia="zh-CN"/>
        </w:rPr>
        <w:t>6.44</w:t>
      </w:r>
      <w:r>
        <w:rPr>
          <w:rFonts w:hint="eastAsia" w:ascii="Times New Roman" w:hAnsi="Times New Roman" w:eastAsia="方正仿宋_GBK" w:cs="Times New Roman"/>
          <w:b w:val="0"/>
          <w:bCs/>
          <w:color w:val="000000"/>
          <w:sz w:val="33"/>
          <w:szCs w:val="33"/>
        </w:rPr>
        <w:t>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r>
        <w:rPr>
          <w:rFonts w:hint="eastAsia" w:ascii="Times New Roman" w:hAnsi="Times New Roman" w:eastAsia="方正仿宋_GBK" w:cs="Times New Roman"/>
          <w:b w:val="0"/>
          <w:bCs/>
          <w:color w:val="000000"/>
          <w:sz w:val="33"/>
          <w:szCs w:val="33"/>
          <w:lang w:eastAsia="zh-CN"/>
        </w:rPr>
        <w:t>。</w:t>
      </w:r>
    </w:p>
    <w:p w14:paraId="10789F9B">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lang w:val="en-US" w:eastAsia="zh-CN"/>
        </w:rPr>
        <w:t>7</w:t>
      </w:r>
      <w:r>
        <w:rPr>
          <w:rFonts w:hint="eastAsia" w:ascii="Times New Roman" w:hAnsi="Times New Roman" w:eastAsia="方正仿宋_GBK" w:cs="Times New Roman"/>
          <w:b w:val="0"/>
          <w:bCs/>
          <w:color w:val="000000"/>
          <w:sz w:val="33"/>
          <w:szCs w:val="33"/>
        </w:rPr>
        <w:t xml:space="preserve">.社会保障和就业（类）行政事业单位养老支出（款）行政单位离退休（项）: </w:t>
      </w:r>
      <w:r>
        <w:rPr>
          <w:rFonts w:hint="eastAsia" w:ascii="Times New Roman" w:hAnsi="Times New Roman" w:eastAsia="方正仿宋_GBK" w:cs="Times New Roman"/>
          <w:b w:val="0"/>
          <w:bCs/>
          <w:color w:val="000000"/>
          <w:sz w:val="33"/>
          <w:szCs w:val="33"/>
        </w:rPr>
        <w:t>支出决算为22.52万元，完成预算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p>
    <w:p w14:paraId="78B5B5D7">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lang w:val="en-US" w:eastAsia="zh-CN"/>
        </w:rPr>
        <w:t>8</w:t>
      </w:r>
      <w:r>
        <w:rPr>
          <w:rFonts w:hint="eastAsia" w:ascii="Times New Roman" w:hAnsi="Times New Roman" w:eastAsia="方正仿宋_GBK" w:cs="Times New Roman"/>
          <w:b w:val="0"/>
          <w:bCs/>
          <w:color w:val="000000"/>
          <w:sz w:val="33"/>
          <w:szCs w:val="33"/>
        </w:rPr>
        <w:t xml:space="preserve">.社会保障和就业（类）行政事业单位养老支出（款）机关事业单位基本养老保险缴费支出（项）: </w:t>
      </w:r>
      <w:r>
        <w:rPr>
          <w:rFonts w:hint="eastAsia" w:ascii="Times New Roman" w:hAnsi="Times New Roman" w:eastAsia="方正仿宋_GBK" w:cs="Times New Roman"/>
          <w:b w:val="0"/>
          <w:bCs/>
          <w:color w:val="000000"/>
          <w:sz w:val="33"/>
          <w:szCs w:val="33"/>
        </w:rPr>
        <w:t>支出决算为97.22万元，完成预算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p>
    <w:p w14:paraId="5C89FE94">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lang w:val="en-US" w:eastAsia="zh-CN"/>
        </w:rPr>
        <w:t>9</w:t>
      </w:r>
      <w:r>
        <w:rPr>
          <w:rFonts w:hint="eastAsia" w:ascii="Times New Roman" w:hAnsi="Times New Roman" w:eastAsia="方正仿宋_GBK" w:cs="Times New Roman"/>
          <w:b w:val="0"/>
          <w:bCs/>
          <w:color w:val="000000"/>
          <w:sz w:val="33"/>
          <w:szCs w:val="33"/>
        </w:rPr>
        <w:t xml:space="preserve">.社会保障和就业（类）行政事业单位养老支出（款）机关事业单位职业年金缴费支出（项）: </w:t>
      </w:r>
      <w:r>
        <w:rPr>
          <w:rFonts w:hint="eastAsia" w:ascii="Times New Roman" w:hAnsi="Times New Roman" w:eastAsia="方正仿宋_GBK" w:cs="Times New Roman"/>
          <w:b w:val="0"/>
          <w:bCs/>
          <w:color w:val="000000"/>
          <w:sz w:val="33"/>
          <w:szCs w:val="33"/>
        </w:rPr>
        <w:t>支出决算为24.65万元，完成预算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p>
    <w:p w14:paraId="0FF2AC79">
      <w:pPr>
        <w:spacing w:line="600" w:lineRule="exact"/>
        <w:ind w:firstLine="640"/>
        <w:rPr>
          <w:rFonts w:hint="eastAsia" w:ascii="Times New Roman" w:hAnsi="Times New Roman" w:eastAsia="方正仿宋_GBK" w:cs="Times New Roman"/>
          <w:b w:val="0"/>
          <w:bCs/>
          <w:color w:val="000000"/>
          <w:sz w:val="33"/>
          <w:szCs w:val="33"/>
          <w:lang w:eastAsia="zh-CN"/>
        </w:rPr>
      </w:pPr>
      <w:r>
        <w:rPr>
          <w:rFonts w:hint="eastAsia" w:ascii="Times New Roman" w:hAnsi="Times New Roman" w:eastAsia="方正仿宋_GBK" w:cs="Times New Roman"/>
          <w:b w:val="0"/>
          <w:bCs/>
          <w:color w:val="000000"/>
          <w:sz w:val="33"/>
          <w:szCs w:val="33"/>
          <w:lang w:val="en-US" w:eastAsia="zh-CN"/>
        </w:rPr>
        <w:t>10.</w:t>
      </w:r>
      <w:r>
        <w:rPr>
          <w:rFonts w:hint="eastAsia" w:ascii="Times New Roman" w:hAnsi="Times New Roman" w:eastAsia="方正仿宋_GBK" w:cs="Times New Roman"/>
          <w:b w:val="0"/>
          <w:bCs/>
          <w:color w:val="000000"/>
          <w:sz w:val="33"/>
          <w:szCs w:val="33"/>
        </w:rPr>
        <w:t>卫生健康（类）行政事业单位医疗（款）行政单位医疗（项）:</w:t>
      </w:r>
      <w:r>
        <w:rPr>
          <w:rFonts w:hint="eastAsia" w:ascii="Times New Roman" w:hAnsi="Times New Roman" w:eastAsia="方正仿宋_GBK" w:cs="Times New Roman"/>
          <w:b w:val="0"/>
          <w:bCs/>
          <w:color w:val="000000"/>
          <w:sz w:val="33"/>
          <w:szCs w:val="33"/>
        </w:rPr>
        <w:t>支出决算为41.66万元，完成预算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r>
        <w:rPr>
          <w:rFonts w:hint="eastAsia" w:ascii="Times New Roman" w:hAnsi="Times New Roman" w:eastAsia="方正仿宋_GBK" w:cs="Times New Roman"/>
          <w:b w:val="0"/>
          <w:bCs/>
          <w:color w:val="000000"/>
          <w:sz w:val="33"/>
          <w:szCs w:val="33"/>
          <w:lang w:eastAsia="zh-CN"/>
        </w:rPr>
        <w:t>。</w:t>
      </w:r>
    </w:p>
    <w:p w14:paraId="5F485706">
      <w:pPr>
        <w:spacing w:line="600" w:lineRule="exact"/>
        <w:ind w:firstLine="640"/>
        <w:rPr>
          <w:rFonts w:hint="eastAsia" w:ascii="Times New Roman" w:hAnsi="Times New Roman" w:eastAsia="方正仿宋_GBK" w:cs="Times New Roman"/>
          <w:b w:val="0"/>
          <w:bCs/>
          <w:color w:val="000000"/>
          <w:sz w:val="33"/>
          <w:szCs w:val="33"/>
          <w:lang w:eastAsia="zh-CN"/>
        </w:rPr>
      </w:pPr>
      <w:r>
        <w:rPr>
          <w:rFonts w:hint="eastAsia" w:ascii="Times New Roman" w:hAnsi="Times New Roman" w:eastAsia="方正仿宋_GBK" w:cs="Times New Roman"/>
          <w:b w:val="0"/>
          <w:bCs/>
          <w:color w:val="000000"/>
          <w:sz w:val="33"/>
          <w:szCs w:val="33"/>
          <w:lang w:val="en-US" w:eastAsia="zh-CN"/>
        </w:rPr>
        <w:t>11.</w:t>
      </w:r>
      <w:r>
        <w:rPr>
          <w:rFonts w:hint="eastAsia" w:ascii="Times New Roman" w:hAnsi="Times New Roman" w:eastAsia="方正仿宋_GBK" w:cs="Times New Roman"/>
          <w:b w:val="0"/>
          <w:bCs/>
          <w:color w:val="000000"/>
          <w:sz w:val="33"/>
          <w:szCs w:val="33"/>
        </w:rPr>
        <w:t>卫生健康（类）行政事业单位医疗（款）事业单位医疗（项）</w:t>
      </w:r>
      <w:r>
        <w:rPr>
          <w:rFonts w:hint="eastAsia" w:ascii="Times New Roman" w:hAnsi="Times New Roman" w:eastAsia="方正仿宋_GBK" w:cs="Times New Roman"/>
          <w:b/>
          <w:bCs w:val="0"/>
          <w:color w:val="000000"/>
          <w:sz w:val="33"/>
          <w:szCs w:val="33"/>
        </w:rPr>
        <w:t>:</w:t>
      </w:r>
      <w:r>
        <w:rPr>
          <w:rFonts w:hint="eastAsia" w:ascii="Times New Roman" w:hAnsi="Times New Roman" w:eastAsia="方正仿宋_GBK" w:cs="Times New Roman"/>
          <w:b w:val="0"/>
          <w:bCs/>
          <w:color w:val="000000"/>
          <w:sz w:val="33"/>
          <w:szCs w:val="33"/>
        </w:rPr>
        <w:t>支出决算为</w:t>
      </w:r>
      <w:r>
        <w:rPr>
          <w:rFonts w:hint="eastAsia" w:ascii="Times New Roman" w:hAnsi="Times New Roman" w:eastAsia="方正仿宋_GBK" w:cs="Times New Roman"/>
          <w:b w:val="0"/>
          <w:bCs/>
          <w:color w:val="000000"/>
          <w:sz w:val="33"/>
          <w:szCs w:val="33"/>
          <w:lang w:val="en-US" w:eastAsia="zh-CN"/>
        </w:rPr>
        <w:t>6</w:t>
      </w:r>
      <w:r>
        <w:rPr>
          <w:rFonts w:hint="eastAsia" w:ascii="Times New Roman" w:hAnsi="Times New Roman" w:eastAsia="方正仿宋_GBK" w:cs="Times New Roman"/>
          <w:b w:val="0"/>
          <w:bCs/>
          <w:color w:val="000000"/>
          <w:sz w:val="33"/>
          <w:szCs w:val="33"/>
        </w:rPr>
        <w:t>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r>
        <w:rPr>
          <w:rFonts w:hint="eastAsia" w:ascii="Times New Roman" w:hAnsi="Times New Roman" w:eastAsia="方正仿宋_GBK" w:cs="Times New Roman"/>
          <w:b w:val="0"/>
          <w:bCs/>
          <w:color w:val="000000"/>
          <w:sz w:val="33"/>
          <w:szCs w:val="33"/>
          <w:lang w:eastAsia="zh-CN"/>
        </w:rPr>
        <w:t>。</w:t>
      </w:r>
    </w:p>
    <w:p w14:paraId="23E353AD">
      <w:pPr>
        <w:spacing w:line="600" w:lineRule="exact"/>
        <w:ind w:firstLine="640"/>
        <w:rPr>
          <w:rFonts w:hint="eastAsia" w:ascii="Times New Roman" w:hAnsi="Times New Roman" w:eastAsia="方正仿宋_GBK" w:cs="Times New Roman"/>
          <w:b w:val="0"/>
          <w:bCs/>
          <w:color w:val="000000"/>
          <w:sz w:val="33"/>
          <w:szCs w:val="33"/>
          <w:lang w:eastAsia="zh-CN"/>
        </w:rPr>
      </w:pPr>
      <w:r>
        <w:rPr>
          <w:rFonts w:hint="eastAsia" w:ascii="Times New Roman" w:hAnsi="Times New Roman" w:eastAsia="方正仿宋_GBK" w:cs="Times New Roman"/>
          <w:b w:val="0"/>
          <w:bCs/>
          <w:color w:val="000000"/>
          <w:sz w:val="33"/>
          <w:szCs w:val="33"/>
          <w:lang w:val="en-US" w:eastAsia="zh-CN"/>
        </w:rPr>
        <w:t>12.</w:t>
      </w:r>
      <w:r>
        <w:rPr>
          <w:rFonts w:hint="eastAsia" w:ascii="Times New Roman" w:hAnsi="Times New Roman" w:eastAsia="方正仿宋_GBK" w:cs="Times New Roman"/>
          <w:b w:val="0"/>
          <w:bCs/>
          <w:color w:val="000000"/>
          <w:sz w:val="33"/>
          <w:szCs w:val="33"/>
        </w:rPr>
        <w:t>卫生健康（类）行政事业单位医疗（款）公务员医疗补助（项）:</w:t>
      </w:r>
      <w:r>
        <w:rPr>
          <w:rFonts w:hint="eastAsia" w:ascii="Times New Roman" w:hAnsi="Times New Roman" w:eastAsia="方正仿宋_GBK" w:cs="Times New Roman"/>
          <w:b w:val="0"/>
          <w:bCs/>
          <w:color w:val="000000"/>
          <w:sz w:val="33"/>
          <w:szCs w:val="33"/>
        </w:rPr>
        <w:t>支出决算为</w:t>
      </w:r>
      <w:r>
        <w:rPr>
          <w:rFonts w:hint="eastAsia" w:ascii="Times New Roman" w:hAnsi="Times New Roman" w:eastAsia="方正仿宋_GBK" w:cs="Times New Roman"/>
          <w:b w:val="0"/>
          <w:bCs/>
          <w:color w:val="000000"/>
          <w:sz w:val="33"/>
          <w:szCs w:val="33"/>
          <w:lang w:val="en-US" w:eastAsia="zh-CN"/>
        </w:rPr>
        <w:t>4.48</w:t>
      </w:r>
      <w:r>
        <w:rPr>
          <w:rFonts w:hint="eastAsia" w:ascii="Times New Roman" w:hAnsi="Times New Roman" w:eastAsia="方正仿宋_GBK" w:cs="Times New Roman"/>
          <w:b w:val="0"/>
          <w:bCs/>
          <w:color w:val="000000"/>
          <w:sz w:val="33"/>
          <w:szCs w:val="33"/>
        </w:rPr>
        <w:t>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r>
        <w:rPr>
          <w:rFonts w:hint="eastAsia" w:ascii="Times New Roman" w:hAnsi="Times New Roman" w:eastAsia="方正仿宋_GBK" w:cs="Times New Roman"/>
          <w:b w:val="0"/>
          <w:bCs/>
          <w:color w:val="000000"/>
          <w:sz w:val="33"/>
          <w:szCs w:val="33"/>
          <w:lang w:eastAsia="zh-CN"/>
        </w:rPr>
        <w:t>。</w:t>
      </w:r>
    </w:p>
    <w:p w14:paraId="25ABDA74">
      <w:pPr>
        <w:spacing w:line="600" w:lineRule="exact"/>
        <w:ind w:firstLine="640"/>
        <w:rPr>
          <w:rFonts w:hint="eastAsia" w:ascii="Times New Roman" w:hAnsi="Times New Roman" w:eastAsia="方正仿宋_GBK" w:cs="Times New Roman"/>
          <w:b w:val="0"/>
          <w:bCs/>
          <w:color w:val="000000"/>
          <w:sz w:val="33"/>
          <w:szCs w:val="33"/>
          <w:lang w:eastAsia="zh-CN"/>
        </w:rPr>
      </w:pPr>
      <w:r>
        <w:rPr>
          <w:rFonts w:hint="eastAsia" w:ascii="Times New Roman" w:hAnsi="Times New Roman" w:eastAsia="方正仿宋_GBK" w:cs="Times New Roman"/>
          <w:b w:val="0"/>
          <w:bCs/>
          <w:color w:val="000000"/>
          <w:sz w:val="33"/>
          <w:szCs w:val="33"/>
          <w:lang w:val="en-US" w:eastAsia="zh-CN"/>
        </w:rPr>
        <w:t>13.</w:t>
      </w:r>
      <w:r>
        <w:rPr>
          <w:rFonts w:hint="eastAsia" w:ascii="Times New Roman" w:hAnsi="Times New Roman" w:eastAsia="方正仿宋_GBK" w:cs="Times New Roman"/>
          <w:b w:val="0"/>
          <w:bCs/>
          <w:color w:val="000000"/>
          <w:sz w:val="33"/>
          <w:szCs w:val="33"/>
        </w:rPr>
        <w:t>卫生健康（类）行政事业单位医疗（款）其他行政事业单位医疗支出（项）:</w:t>
      </w:r>
      <w:r>
        <w:rPr>
          <w:rFonts w:hint="eastAsia" w:ascii="Times New Roman" w:hAnsi="Times New Roman" w:eastAsia="方正仿宋_GBK" w:cs="Times New Roman"/>
          <w:b w:val="0"/>
          <w:bCs/>
          <w:color w:val="000000"/>
          <w:sz w:val="33"/>
          <w:szCs w:val="33"/>
        </w:rPr>
        <w:t>支出决算为</w:t>
      </w:r>
      <w:r>
        <w:rPr>
          <w:rFonts w:hint="eastAsia" w:ascii="Times New Roman" w:hAnsi="Times New Roman" w:eastAsia="方正仿宋_GBK" w:cs="Times New Roman"/>
          <w:b w:val="0"/>
          <w:bCs/>
          <w:color w:val="000000"/>
          <w:sz w:val="33"/>
          <w:szCs w:val="33"/>
          <w:lang w:val="en-US" w:eastAsia="zh-CN"/>
        </w:rPr>
        <w:t>25.71</w:t>
      </w:r>
      <w:r>
        <w:rPr>
          <w:rFonts w:hint="eastAsia" w:ascii="Times New Roman" w:hAnsi="Times New Roman" w:eastAsia="方正仿宋_GBK" w:cs="Times New Roman"/>
          <w:b w:val="0"/>
          <w:bCs/>
          <w:color w:val="000000"/>
          <w:sz w:val="33"/>
          <w:szCs w:val="33"/>
        </w:rPr>
        <w:t>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r>
        <w:rPr>
          <w:rFonts w:hint="eastAsia" w:ascii="Times New Roman" w:hAnsi="Times New Roman" w:eastAsia="方正仿宋_GBK" w:cs="Times New Roman"/>
          <w:b w:val="0"/>
          <w:bCs/>
          <w:color w:val="000000"/>
          <w:sz w:val="33"/>
          <w:szCs w:val="33"/>
          <w:lang w:eastAsia="zh-CN"/>
        </w:rPr>
        <w:t>。</w:t>
      </w:r>
    </w:p>
    <w:p w14:paraId="3B9C0652">
      <w:pPr>
        <w:spacing w:line="600" w:lineRule="exact"/>
        <w:ind w:firstLine="640"/>
        <w:rPr>
          <w:rStyle w:val="16"/>
          <w:rFonts w:hint="eastAsia" w:ascii="仿宋" w:hAnsi="仿宋" w:eastAsia="仿宋"/>
          <w:b w:val="0"/>
          <w:bCs/>
          <w:sz w:val="32"/>
          <w:szCs w:val="32"/>
          <w:lang w:eastAsia="zh-CN"/>
        </w:rPr>
      </w:pPr>
      <w:r>
        <w:rPr>
          <w:rFonts w:hint="eastAsia" w:ascii="Times New Roman" w:hAnsi="Times New Roman" w:eastAsia="方正仿宋_GBK" w:cs="Times New Roman"/>
          <w:b w:val="0"/>
          <w:bCs/>
          <w:color w:val="000000"/>
          <w:sz w:val="33"/>
          <w:szCs w:val="33"/>
          <w:lang w:val="en-US" w:eastAsia="zh-CN"/>
        </w:rPr>
        <w:t>14.</w:t>
      </w:r>
      <w:r>
        <w:rPr>
          <w:rFonts w:hint="eastAsia" w:ascii="Times New Roman" w:hAnsi="Times New Roman" w:eastAsia="方正仿宋_GBK" w:cs="Times New Roman"/>
          <w:b w:val="0"/>
          <w:bCs/>
          <w:color w:val="000000"/>
          <w:sz w:val="33"/>
          <w:szCs w:val="33"/>
        </w:rPr>
        <w:t>住房保障（类）住房改革支出（款）住房公积金（项）:</w:t>
      </w:r>
      <w:r>
        <w:rPr>
          <w:rFonts w:hint="eastAsia" w:ascii="Times New Roman" w:hAnsi="Times New Roman" w:eastAsia="方正仿宋_GBK" w:cs="Times New Roman"/>
          <w:b w:val="0"/>
          <w:bCs/>
          <w:color w:val="000000"/>
          <w:sz w:val="33"/>
          <w:szCs w:val="33"/>
        </w:rPr>
        <w:t>支出决算为</w:t>
      </w:r>
      <w:r>
        <w:rPr>
          <w:rFonts w:hint="eastAsia" w:ascii="Times New Roman" w:hAnsi="Times New Roman" w:eastAsia="方正仿宋_GBK" w:cs="Times New Roman"/>
          <w:b w:val="0"/>
          <w:bCs/>
          <w:color w:val="000000"/>
          <w:sz w:val="33"/>
          <w:szCs w:val="33"/>
          <w:lang w:val="en-US" w:eastAsia="zh-CN"/>
        </w:rPr>
        <w:t>71.64</w:t>
      </w:r>
      <w:r>
        <w:rPr>
          <w:rFonts w:hint="eastAsia" w:ascii="Times New Roman" w:hAnsi="Times New Roman" w:eastAsia="方正仿宋_GBK" w:cs="Times New Roman"/>
          <w:b w:val="0"/>
          <w:bCs/>
          <w:color w:val="000000"/>
          <w:sz w:val="33"/>
          <w:szCs w:val="33"/>
        </w:rPr>
        <w:t>万元，完成预算</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w:t>
      </w:r>
      <w:r>
        <w:rPr>
          <w:rFonts w:hint="eastAsia" w:ascii="Times New Roman" w:hAnsi="Times New Roman" w:eastAsia="方正仿宋_GBK" w:cs="Times New Roman"/>
          <w:b w:val="0"/>
          <w:bCs/>
          <w:color w:val="000000"/>
          <w:sz w:val="33"/>
          <w:szCs w:val="33"/>
          <w:lang w:eastAsia="zh-CN"/>
        </w:rPr>
        <w:t>。</w:t>
      </w:r>
    </w:p>
    <w:p w14:paraId="095E0783">
      <w:pPr>
        <w:tabs>
          <w:tab w:val="right" w:pos="8306"/>
        </w:tabs>
        <w:spacing w:line="600" w:lineRule="exact"/>
        <w:ind w:firstLine="640"/>
        <w:outlineLvl w:val="1"/>
        <w:rPr>
          <w:rStyle w:val="28"/>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4"/>
      <w:bookmarkEnd w:id="35"/>
      <w:r>
        <w:rPr>
          <w:rStyle w:val="28"/>
          <w:rFonts w:ascii="黑体" w:hAnsi="黑体" w:eastAsia="黑体"/>
          <w:b w:val="0"/>
        </w:rPr>
        <w:tab/>
      </w:r>
    </w:p>
    <w:p w14:paraId="4AA0AB9D">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2023年度一般公共预算财政拨款基本支出1063.32万元，其中：</w:t>
      </w:r>
    </w:p>
    <w:p w14:paraId="5796B8B3">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人员经费964.59万元，主要包括：基本工资、津贴补贴、奖金、绩效工资、机关事业单位基本养老保险缴费、职业年金缴费、职工基本医疗保险缴费</w:t>
      </w:r>
      <w:r>
        <w:rPr>
          <w:rFonts w:hint="eastAsia" w:ascii="Times New Roman" w:hAnsi="Times New Roman" w:eastAsia="方正仿宋_GBK" w:cs="Times New Roman"/>
          <w:b w:val="0"/>
          <w:bCs/>
          <w:color w:val="000000"/>
          <w:sz w:val="33"/>
          <w:szCs w:val="33"/>
          <w:lang w:eastAsia="zh-CN"/>
        </w:rPr>
        <w:t>、公务员医疗补助缴费、</w:t>
      </w:r>
      <w:r>
        <w:rPr>
          <w:rFonts w:hint="eastAsia" w:ascii="Times New Roman" w:hAnsi="Times New Roman" w:eastAsia="方正仿宋_GBK" w:cs="Times New Roman"/>
          <w:b w:val="0"/>
          <w:bCs/>
          <w:color w:val="000000"/>
          <w:sz w:val="33"/>
          <w:szCs w:val="33"/>
        </w:rPr>
        <w:t>其他社会保障缴费、住房公积金</w:t>
      </w:r>
      <w:r>
        <w:rPr>
          <w:rFonts w:hint="eastAsia" w:ascii="Times New Roman" w:hAnsi="Times New Roman" w:eastAsia="方正仿宋_GBK" w:cs="Times New Roman"/>
          <w:b w:val="0"/>
          <w:bCs/>
          <w:color w:val="000000"/>
          <w:sz w:val="33"/>
          <w:szCs w:val="33"/>
          <w:lang w:eastAsia="zh-CN"/>
        </w:rPr>
        <w:t>、</w:t>
      </w:r>
      <w:r>
        <w:rPr>
          <w:rFonts w:hint="eastAsia" w:ascii="Times New Roman" w:hAnsi="Times New Roman" w:eastAsia="方正仿宋_GBK" w:cs="Times New Roman"/>
          <w:b w:val="0"/>
          <w:bCs/>
          <w:color w:val="000000"/>
          <w:sz w:val="33"/>
          <w:szCs w:val="33"/>
        </w:rPr>
        <w:t>医疗费</w:t>
      </w:r>
      <w:r>
        <w:rPr>
          <w:rFonts w:hint="eastAsia" w:ascii="Times New Roman" w:hAnsi="Times New Roman" w:eastAsia="方正仿宋_GBK" w:cs="Times New Roman"/>
          <w:b w:val="0"/>
          <w:bCs/>
          <w:color w:val="000000"/>
          <w:sz w:val="33"/>
          <w:szCs w:val="33"/>
          <w:lang w:eastAsia="zh-CN"/>
        </w:rPr>
        <w:t>、</w:t>
      </w:r>
      <w:r>
        <w:rPr>
          <w:rFonts w:hint="eastAsia" w:ascii="Times New Roman" w:hAnsi="Times New Roman" w:eastAsia="方正仿宋_GBK" w:cs="Times New Roman"/>
          <w:b w:val="0"/>
          <w:bCs/>
          <w:color w:val="000000"/>
          <w:sz w:val="33"/>
          <w:szCs w:val="33"/>
        </w:rPr>
        <w:t>其他工资福利支出、生活补助、医疗费补助、奖励金。</w:t>
      </w:r>
      <w:r>
        <w:rPr>
          <w:rFonts w:hint="eastAsia" w:ascii="Times New Roman" w:hAnsi="Times New Roman" w:eastAsia="方正仿宋_GBK" w:cs="Times New Roman"/>
          <w:b w:val="0"/>
          <w:bCs/>
          <w:color w:val="000000"/>
          <w:sz w:val="33"/>
          <w:szCs w:val="33"/>
        </w:rPr>
        <w:br w:type="textWrapping"/>
      </w:r>
      <w:r>
        <w:rPr>
          <w:rFonts w:hint="eastAsia" w:ascii="Times New Roman" w:hAnsi="Times New Roman" w:eastAsia="方正仿宋_GBK" w:cs="Times New Roman"/>
          <w:b w:val="0"/>
          <w:bCs/>
          <w:color w:val="000000"/>
          <w:sz w:val="33"/>
          <w:szCs w:val="33"/>
        </w:rPr>
        <w:t>　　公用经费98.73万元，主要包括：办公费、水费、电费、邮电费、差旅费、维修（护）费、会议费、</w:t>
      </w:r>
      <w:r>
        <w:rPr>
          <w:rFonts w:hint="eastAsia" w:ascii="Times New Roman" w:hAnsi="Times New Roman" w:eastAsia="方正仿宋_GBK" w:cs="Times New Roman"/>
          <w:b w:val="0"/>
          <w:bCs/>
          <w:color w:val="000000"/>
          <w:sz w:val="33"/>
          <w:szCs w:val="33"/>
          <w:lang w:eastAsia="zh-CN"/>
        </w:rPr>
        <w:t>培训费、</w:t>
      </w:r>
      <w:r>
        <w:rPr>
          <w:rFonts w:hint="eastAsia" w:ascii="Times New Roman" w:hAnsi="Times New Roman" w:eastAsia="方正仿宋_GBK" w:cs="Times New Roman"/>
          <w:b w:val="0"/>
          <w:bCs/>
          <w:color w:val="000000"/>
          <w:sz w:val="33"/>
          <w:szCs w:val="33"/>
        </w:rPr>
        <w:t>委托业务费、工会经费、福利费、公务用车运行维护费、其他交通费、其他商品和服务支出。</w:t>
      </w:r>
    </w:p>
    <w:p w14:paraId="07C57F86">
      <w:pPr>
        <w:spacing w:line="600" w:lineRule="exact"/>
        <w:ind w:firstLine="640"/>
        <w:outlineLvl w:val="1"/>
        <w:rPr>
          <w:rStyle w:val="28"/>
          <w:rFonts w:ascii="黑体" w:hAnsi="黑体" w:eastAsia="黑体"/>
          <w:b w:val="0"/>
        </w:rPr>
      </w:pPr>
      <w:bookmarkStart w:id="36" w:name="_Toc15377215"/>
      <w:bookmarkStart w:id="37" w:name="_Toc15396609"/>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6"/>
      <w:bookmarkEnd w:id="37"/>
    </w:p>
    <w:p w14:paraId="41D1E509">
      <w:pPr>
        <w:spacing w:line="600" w:lineRule="exact"/>
        <w:ind w:firstLine="640"/>
        <w:outlineLvl w:val="2"/>
        <w:rPr>
          <w:rFonts w:hint="eastAsia" w:ascii="方正楷体_GBK" w:hAnsi="方正楷体_GBK" w:eastAsia="方正楷体_GBK" w:cs="方正楷体_GBK"/>
          <w:b w:val="0"/>
          <w:bCs/>
          <w:sz w:val="32"/>
          <w:szCs w:val="32"/>
        </w:rPr>
      </w:pPr>
      <w:bookmarkStart w:id="38" w:name="_Toc15377216"/>
      <w:r>
        <w:rPr>
          <w:rFonts w:hint="eastAsia" w:ascii="方正楷体_GBK" w:hAnsi="方正楷体_GBK" w:eastAsia="方正楷体_GBK" w:cs="方正楷体_GBK"/>
          <w:b w:val="0"/>
          <w:bCs/>
          <w:sz w:val="32"/>
          <w:szCs w:val="32"/>
        </w:rPr>
        <w:t>（一）“三公”经费财政拨款支出决算总体情况说明</w:t>
      </w:r>
      <w:bookmarkEnd w:id="38"/>
    </w:p>
    <w:p w14:paraId="261B31A9">
      <w:pPr>
        <w:spacing w:line="600" w:lineRule="exact"/>
        <w:ind w:firstLine="640"/>
        <w:rPr>
          <w:rFonts w:ascii="仿宋" w:hAnsi="仿宋" w:eastAsia="仿宋"/>
          <w:sz w:val="32"/>
          <w:szCs w:val="32"/>
        </w:rPr>
      </w:pPr>
      <w:r>
        <w:rPr>
          <w:rFonts w:hint="eastAsia" w:ascii="Times New Roman" w:hAnsi="Times New Roman" w:eastAsia="方正仿宋_GBK" w:cs="Times New Roman"/>
          <w:b w:val="0"/>
          <w:bCs/>
          <w:color w:val="000000"/>
          <w:sz w:val="33"/>
          <w:szCs w:val="33"/>
        </w:rPr>
        <w:t>2023年度“三公”经费财政拨款支出决算为5.95万元，完成预算100%，较上年度增加</w:t>
      </w:r>
      <w:r>
        <w:rPr>
          <w:rFonts w:hint="eastAsia" w:ascii="Times New Roman" w:hAnsi="Times New Roman" w:eastAsia="方正仿宋_GBK" w:cs="Times New Roman"/>
          <w:b w:val="0"/>
          <w:bCs/>
          <w:color w:val="000000"/>
          <w:sz w:val="33"/>
          <w:szCs w:val="33"/>
          <w:lang w:val="en-US" w:eastAsia="zh-CN"/>
        </w:rPr>
        <w:t>1.8</w:t>
      </w:r>
      <w:r>
        <w:rPr>
          <w:rFonts w:hint="eastAsia" w:ascii="Times New Roman" w:hAnsi="Times New Roman" w:eastAsia="方正仿宋_GBK" w:cs="Times New Roman"/>
          <w:b w:val="0"/>
          <w:bCs/>
          <w:color w:val="000000"/>
          <w:sz w:val="33"/>
          <w:szCs w:val="33"/>
        </w:rPr>
        <w:t>万元，增长</w:t>
      </w:r>
      <w:r>
        <w:rPr>
          <w:rFonts w:hint="eastAsia" w:ascii="Times New Roman" w:hAnsi="Times New Roman" w:eastAsia="方正仿宋_GBK" w:cs="Times New Roman"/>
          <w:b w:val="0"/>
          <w:bCs/>
          <w:color w:val="000000"/>
          <w:sz w:val="33"/>
          <w:szCs w:val="33"/>
          <w:lang w:val="en-US" w:eastAsia="zh-CN"/>
        </w:rPr>
        <w:t>43.37</w:t>
      </w:r>
      <w:r>
        <w:rPr>
          <w:rFonts w:hint="eastAsia" w:ascii="Times New Roman" w:hAnsi="Times New Roman" w:eastAsia="方正仿宋_GBK" w:cs="Times New Roman"/>
          <w:b w:val="0"/>
          <w:bCs/>
          <w:color w:val="000000"/>
          <w:sz w:val="33"/>
          <w:szCs w:val="33"/>
        </w:rPr>
        <w:t>%。决算数与预算数持平。</w:t>
      </w:r>
    </w:p>
    <w:p w14:paraId="311DEEB4">
      <w:pPr>
        <w:spacing w:line="600" w:lineRule="exact"/>
        <w:ind w:firstLine="640"/>
        <w:outlineLvl w:val="2"/>
        <w:rPr>
          <w:rFonts w:hint="eastAsia" w:ascii="方正楷体_GBK" w:hAnsi="方正楷体_GBK" w:eastAsia="方正楷体_GBK" w:cs="方正楷体_GBK"/>
          <w:b w:val="0"/>
          <w:bCs/>
          <w:sz w:val="32"/>
          <w:szCs w:val="32"/>
        </w:rPr>
      </w:pPr>
      <w:bookmarkStart w:id="39" w:name="_Toc15377217"/>
      <w:r>
        <w:rPr>
          <w:rFonts w:hint="eastAsia" w:ascii="方正楷体_GBK" w:hAnsi="方正楷体_GBK" w:eastAsia="方正楷体_GBK" w:cs="方正楷体_GBK"/>
          <w:b w:val="0"/>
          <w:bCs/>
          <w:sz w:val="32"/>
          <w:szCs w:val="32"/>
        </w:rPr>
        <w:t>（二）“三公”经费财政拨款支出决算具体情况说明</w:t>
      </w:r>
      <w:bookmarkEnd w:id="39"/>
    </w:p>
    <w:p w14:paraId="12A2DC47">
      <w:pPr>
        <w:spacing w:line="600" w:lineRule="exact"/>
        <w:ind w:firstLine="640"/>
        <w:rPr>
          <w:rFonts w:hint="eastAsia" w:ascii="仿宋" w:hAnsi="仿宋" w:eastAsia="仿宋"/>
          <w:sz w:val="32"/>
          <w:szCs w:val="32"/>
        </w:rPr>
      </w:pPr>
      <w:r>
        <w:rPr>
          <w:rFonts w:hint="eastAsia" w:ascii="Times New Roman" w:hAnsi="Times New Roman" w:eastAsia="方正仿宋_GBK" w:cs="Times New Roman"/>
          <w:b w:val="0"/>
          <w:bCs/>
          <w:color w:val="000000"/>
          <w:sz w:val="33"/>
          <w:szCs w:val="33"/>
        </w:rPr>
        <w:t>2023年度“三公”经费财政拨款支出决算中，因公出国（境）费支出决算0万元，占0%；公务用车购置及运行维护费支出决算5.95万元，占100%；公务接待费支出决算0万元，占0%。具体情况如下：</w:t>
      </w:r>
    </w:p>
    <w:p w14:paraId="7A710C02">
      <w:pPr>
        <w:spacing w:line="600" w:lineRule="exact"/>
        <w:jc w:val="center"/>
        <w:rPr>
          <w:rFonts w:hint="eastAsia" w:ascii="仿宋_GB2312" w:hAnsi="仿宋_GB2312" w:eastAsia="仿宋_GB2312" w:cs="仿宋_GB2312"/>
          <w:b/>
          <w:bCs/>
          <w:kern w:val="2"/>
          <w:sz w:val="28"/>
          <w:szCs w:val="28"/>
          <w:lang w:val="en-US" w:eastAsia="zh-CN" w:bidi="ar-SA"/>
        </w:rPr>
      </w:pPr>
      <w:r>
        <w:rPr>
          <w:rFonts w:eastAsia="仿宋_GB2312"/>
          <w:bCs/>
          <w:sz w:val="32"/>
          <w:szCs w:val="32"/>
        </w:rPr>
        <w:drawing>
          <wp:anchor distT="0" distB="0" distL="114300" distR="114300" simplePos="0" relativeHeight="251666432" behindDoc="1" locked="0" layoutInCell="1" allowOverlap="1">
            <wp:simplePos x="0" y="0"/>
            <wp:positionH relativeFrom="column">
              <wp:posOffset>16510</wp:posOffset>
            </wp:positionH>
            <wp:positionV relativeFrom="paragraph">
              <wp:posOffset>349885</wp:posOffset>
            </wp:positionV>
            <wp:extent cx="5274310" cy="2074545"/>
            <wp:effectExtent l="4445" t="4445" r="17145" b="16510"/>
            <wp:wrapTight wrapText="bothSides">
              <wp:wrapPolygon>
                <wp:start x="-18" y="-46"/>
                <wp:lineTo x="-18" y="21507"/>
                <wp:lineTo x="21566" y="21507"/>
                <wp:lineTo x="21566" y="-46"/>
                <wp:lineTo x="-18" y="-46"/>
              </wp:wrapPolygon>
            </wp:wrapTight>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仿宋_GB2312" w:hAnsi="仿宋_GB2312" w:eastAsia="仿宋_GB2312" w:cs="仿宋_GB2312"/>
          <w:b/>
          <w:bCs/>
          <w:kern w:val="2"/>
          <w:sz w:val="28"/>
          <w:szCs w:val="28"/>
          <w:lang w:val="en-US" w:eastAsia="zh-CN" w:bidi="ar-SA"/>
        </w:rPr>
        <w:t>图7：“三公”经费财政拨款支出结构</w:t>
      </w:r>
    </w:p>
    <w:p w14:paraId="7A6AD476">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1.因公出国（境）经费支出0万元，完成预算0%。全年安排因公出国（境）团组0次，出国（境）0人。因公出国（境）支出决算</w:t>
      </w:r>
      <w:r>
        <w:rPr>
          <w:rFonts w:hint="eastAsia" w:ascii="Times New Roman" w:hAnsi="Times New Roman" w:eastAsia="方正仿宋_GBK" w:cs="Times New Roman"/>
          <w:b w:val="0"/>
          <w:bCs/>
          <w:color w:val="000000"/>
          <w:sz w:val="33"/>
          <w:szCs w:val="33"/>
          <w:lang w:eastAsia="zh-CN"/>
        </w:rPr>
        <w:t>和</w:t>
      </w:r>
      <w:r>
        <w:rPr>
          <w:rFonts w:hint="eastAsia" w:ascii="Times New Roman" w:hAnsi="Times New Roman" w:eastAsia="方正仿宋_GBK" w:cs="Times New Roman"/>
          <w:b w:val="0"/>
          <w:bCs/>
          <w:color w:val="000000"/>
          <w:sz w:val="33"/>
          <w:szCs w:val="33"/>
        </w:rPr>
        <w:t>2022年</w:t>
      </w:r>
      <w:r>
        <w:rPr>
          <w:rFonts w:hint="eastAsia" w:ascii="Times New Roman" w:hAnsi="Times New Roman" w:eastAsia="方正仿宋_GBK" w:cs="Times New Roman"/>
          <w:b w:val="0"/>
          <w:bCs/>
          <w:color w:val="000000"/>
          <w:sz w:val="33"/>
          <w:szCs w:val="33"/>
          <w:lang w:eastAsia="zh-CN"/>
        </w:rPr>
        <w:t>持平</w:t>
      </w:r>
      <w:r>
        <w:rPr>
          <w:rFonts w:hint="eastAsia" w:ascii="Times New Roman" w:hAnsi="Times New Roman" w:eastAsia="方正仿宋_GBK" w:cs="Times New Roman"/>
          <w:b w:val="0"/>
          <w:bCs/>
          <w:color w:val="000000"/>
          <w:sz w:val="33"/>
          <w:szCs w:val="33"/>
        </w:rPr>
        <w:t>。</w:t>
      </w:r>
    </w:p>
    <w:p w14:paraId="2238F8BD">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2.公务用车购置及运行维护费支出5.95万元,完成预算100%。公务用车购置及运行维护费支出决算比2022年度增加</w:t>
      </w:r>
      <w:r>
        <w:rPr>
          <w:rFonts w:hint="eastAsia" w:ascii="Times New Roman" w:hAnsi="Times New Roman" w:eastAsia="方正仿宋_GBK" w:cs="Times New Roman"/>
          <w:b w:val="0"/>
          <w:bCs/>
          <w:color w:val="000000"/>
          <w:sz w:val="33"/>
          <w:szCs w:val="33"/>
          <w:lang w:val="en-US" w:eastAsia="zh-CN"/>
        </w:rPr>
        <w:t>1.8</w:t>
      </w:r>
      <w:r>
        <w:rPr>
          <w:rFonts w:hint="eastAsia" w:ascii="Times New Roman" w:hAnsi="Times New Roman" w:eastAsia="方正仿宋_GBK" w:cs="Times New Roman"/>
          <w:b w:val="0"/>
          <w:bCs/>
          <w:color w:val="000000"/>
          <w:sz w:val="33"/>
          <w:szCs w:val="33"/>
        </w:rPr>
        <w:t>万元，增长</w:t>
      </w:r>
      <w:r>
        <w:rPr>
          <w:rFonts w:hint="eastAsia" w:ascii="Times New Roman" w:hAnsi="Times New Roman" w:eastAsia="方正仿宋_GBK" w:cs="Times New Roman"/>
          <w:b w:val="0"/>
          <w:bCs/>
          <w:color w:val="000000"/>
          <w:sz w:val="33"/>
          <w:szCs w:val="33"/>
          <w:lang w:val="en-US" w:eastAsia="zh-CN"/>
        </w:rPr>
        <w:t>4.37</w:t>
      </w:r>
      <w:r>
        <w:rPr>
          <w:rFonts w:hint="eastAsia" w:ascii="Times New Roman" w:hAnsi="Times New Roman" w:eastAsia="方正仿宋_GBK" w:cs="Times New Roman"/>
          <w:b w:val="0"/>
          <w:bCs/>
          <w:color w:val="000000"/>
          <w:sz w:val="33"/>
          <w:szCs w:val="33"/>
        </w:rPr>
        <w:t>%。主要原因是</w:t>
      </w:r>
      <w:r>
        <w:rPr>
          <w:rFonts w:hint="default" w:ascii="Times New Roman" w:hAnsi="Times New Roman" w:eastAsia="方正仿宋_GBK" w:cs="Times New Roman"/>
          <w:b w:val="0"/>
          <w:bCs/>
          <w:color w:val="000000"/>
          <w:sz w:val="33"/>
          <w:szCs w:val="33"/>
          <w:lang w:val="en-US" w:eastAsia="zh-CN"/>
        </w:rPr>
        <w:t>2023年案件查办数量较多，公车使用频率高</w:t>
      </w:r>
      <w:r>
        <w:rPr>
          <w:rFonts w:hint="eastAsia" w:ascii="Times New Roman" w:hAnsi="Times New Roman" w:eastAsia="方正仿宋_GBK" w:cs="Times New Roman"/>
          <w:b w:val="0"/>
          <w:bCs/>
          <w:color w:val="000000"/>
          <w:sz w:val="33"/>
          <w:szCs w:val="33"/>
        </w:rPr>
        <w:t>。</w:t>
      </w:r>
    </w:p>
    <w:p w14:paraId="55728BFD">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其中：公务用车购置支出0万元。全年按规定更新购置公务用车</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辆，其中：轿车</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辆、金额</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万元，越野车</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辆、金额</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万元，载客汽车</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辆、金额</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万元。截至2023年12月31日，单位共有公务用车</w:t>
      </w:r>
      <w:r>
        <w:rPr>
          <w:rFonts w:hint="eastAsia" w:ascii="Times New Roman" w:hAnsi="Times New Roman" w:eastAsia="方正仿宋_GBK" w:cs="Times New Roman"/>
          <w:b w:val="0"/>
          <w:bCs/>
          <w:color w:val="000000"/>
          <w:sz w:val="33"/>
          <w:szCs w:val="33"/>
          <w:lang w:val="en-US" w:eastAsia="zh-CN"/>
        </w:rPr>
        <w:t>2</w:t>
      </w:r>
      <w:r>
        <w:rPr>
          <w:rFonts w:hint="eastAsia" w:ascii="Times New Roman" w:hAnsi="Times New Roman" w:eastAsia="方正仿宋_GBK" w:cs="Times New Roman"/>
          <w:b w:val="0"/>
          <w:bCs/>
          <w:color w:val="000000"/>
          <w:sz w:val="33"/>
          <w:szCs w:val="33"/>
        </w:rPr>
        <w:t>辆，其中：轿车</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辆、越野车</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辆、载客汽车</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辆</w:t>
      </w:r>
      <w:r>
        <w:rPr>
          <w:rFonts w:hint="eastAsia" w:ascii="Times New Roman" w:hAnsi="Times New Roman" w:eastAsia="方正仿宋_GBK" w:cs="Times New Roman"/>
          <w:b w:val="0"/>
          <w:bCs/>
          <w:color w:val="000000"/>
          <w:sz w:val="33"/>
          <w:szCs w:val="33"/>
          <w:lang w:eastAsia="zh-CN"/>
        </w:rPr>
        <w:t>、</w:t>
      </w:r>
      <w:r>
        <w:rPr>
          <w:rFonts w:hint="eastAsia" w:ascii="Times New Roman" w:hAnsi="Times New Roman" w:eastAsia="方正仿宋_GBK" w:cs="Times New Roman"/>
          <w:b w:val="0"/>
          <w:bCs/>
          <w:color w:val="000000"/>
          <w:sz w:val="33"/>
          <w:szCs w:val="33"/>
        </w:rPr>
        <w:t>执法执勤用车2辆。</w:t>
      </w:r>
    </w:p>
    <w:p w14:paraId="2910143C">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公务用车运行维护费支出5.95万元。主要用于办案车辆办案发生的公务用车燃料费、维修费、过路过桥费、保险费</w:t>
      </w:r>
      <w:r>
        <w:rPr>
          <w:rFonts w:hint="eastAsia" w:ascii="Times New Roman" w:hAnsi="Times New Roman" w:eastAsia="方正仿宋_GBK" w:cs="Times New Roman"/>
          <w:b w:val="0"/>
          <w:bCs/>
          <w:color w:val="000000"/>
          <w:sz w:val="33"/>
          <w:szCs w:val="33"/>
          <w:lang w:eastAsia="zh-CN"/>
        </w:rPr>
        <w:t>、安全奖励费用</w:t>
      </w:r>
      <w:r>
        <w:rPr>
          <w:rFonts w:hint="eastAsia" w:ascii="Times New Roman" w:hAnsi="Times New Roman" w:eastAsia="方正仿宋_GBK" w:cs="Times New Roman"/>
          <w:b w:val="0"/>
          <w:bCs/>
          <w:color w:val="000000"/>
          <w:sz w:val="33"/>
          <w:szCs w:val="33"/>
        </w:rPr>
        <w:t>等支出。</w:t>
      </w:r>
    </w:p>
    <w:p w14:paraId="6E632E25">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3.公务接待费支出0万元，完成预算0%。公务接待费支出决算</w:t>
      </w:r>
      <w:r>
        <w:rPr>
          <w:rFonts w:hint="eastAsia" w:ascii="Times New Roman" w:hAnsi="Times New Roman" w:eastAsia="方正仿宋_GBK" w:cs="Times New Roman"/>
          <w:b w:val="0"/>
          <w:bCs/>
          <w:color w:val="000000"/>
          <w:sz w:val="33"/>
          <w:szCs w:val="33"/>
          <w:lang w:eastAsia="zh-CN"/>
        </w:rPr>
        <w:t>和</w:t>
      </w:r>
      <w:r>
        <w:rPr>
          <w:rFonts w:hint="eastAsia" w:ascii="Times New Roman" w:hAnsi="Times New Roman" w:eastAsia="方正仿宋_GBK" w:cs="Times New Roman"/>
          <w:b w:val="0"/>
          <w:bCs/>
          <w:color w:val="000000"/>
          <w:sz w:val="33"/>
          <w:szCs w:val="33"/>
        </w:rPr>
        <w:t>2022年度</w:t>
      </w:r>
      <w:r>
        <w:rPr>
          <w:rFonts w:hint="eastAsia" w:ascii="Times New Roman" w:hAnsi="Times New Roman" w:eastAsia="方正仿宋_GBK" w:cs="Times New Roman"/>
          <w:b w:val="0"/>
          <w:bCs/>
          <w:color w:val="000000"/>
          <w:sz w:val="33"/>
          <w:szCs w:val="33"/>
          <w:lang w:eastAsia="zh-CN"/>
        </w:rPr>
        <w:t>持平</w:t>
      </w:r>
      <w:r>
        <w:rPr>
          <w:rFonts w:hint="eastAsia" w:ascii="Times New Roman" w:hAnsi="Times New Roman" w:eastAsia="方正仿宋_GBK" w:cs="Times New Roman"/>
          <w:b w:val="0"/>
          <w:bCs/>
          <w:color w:val="000000"/>
          <w:sz w:val="33"/>
          <w:szCs w:val="33"/>
        </w:rPr>
        <w:t>。其中：</w:t>
      </w:r>
    </w:p>
    <w:p w14:paraId="012F8846">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国内公务接待支出</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万元，国内公务接待</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批次，</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人次（不包括陪同人员），共计支出</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万元</w:t>
      </w:r>
      <w:r>
        <w:rPr>
          <w:rFonts w:hint="eastAsia" w:ascii="Times New Roman" w:hAnsi="Times New Roman" w:eastAsia="方正仿宋_GBK" w:cs="Times New Roman"/>
          <w:b w:val="0"/>
          <w:bCs/>
          <w:color w:val="000000"/>
          <w:sz w:val="33"/>
          <w:szCs w:val="33"/>
          <w:lang w:eastAsia="zh-CN"/>
        </w:rPr>
        <w:t>。</w:t>
      </w:r>
    </w:p>
    <w:p w14:paraId="3FA549F8">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外事接待支出</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万元。外事接待</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批次，</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人次（不包括陪同人员），共计支出</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万元。</w:t>
      </w:r>
    </w:p>
    <w:p w14:paraId="679AA569">
      <w:pPr>
        <w:spacing w:line="600" w:lineRule="exact"/>
        <w:ind w:firstLine="640"/>
        <w:outlineLvl w:val="1"/>
        <w:rPr>
          <w:rStyle w:val="28"/>
          <w:rFonts w:ascii="黑体" w:hAnsi="黑体" w:eastAsia="黑体"/>
        </w:rPr>
      </w:pPr>
      <w:bookmarkStart w:id="40" w:name="_Toc15396610"/>
      <w:bookmarkStart w:id="41" w:name="_Toc15377218"/>
      <w:r>
        <w:rPr>
          <w:rFonts w:hint="eastAsia" w:ascii="黑体" w:eastAsia="黑体"/>
          <w:sz w:val="32"/>
          <w:szCs w:val="32"/>
        </w:rPr>
        <w:t>八、</w:t>
      </w:r>
      <w:r>
        <w:rPr>
          <w:rStyle w:val="28"/>
          <w:rFonts w:hint="eastAsia" w:ascii="黑体" w:hAnsi="黑体" w:eastAsia="黑体"/>
          <w:b w:val="0"/>
        </w:rPr>
        <w:t>政府性基金预算支出决算情况说明</w:t>
      </w:r>
      <w:bookmarkEnd w:id="40"/>
      <w:bookmarkEnd w:id="41"/>
    </w:p>
    <w:p w14:paraId="2916327F">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2023年度政府性基金预算财政拨款支出0万元。</w:t>
      </w:r>
    </w:p>
    <w:p w14:paraId="72D71700">
      <w:pPr>
        <w:numPr>
          <w:ilvl w:val="0"/>
          <w:numId w:val="2"/>
        </w:numPr>
        <w:spacing w:line="600" w:lineRule="exact"/>
        <w:ind w:firstLine="640"/>
        <w:outlineLvl w:val="1"/>
        <w:rPr>
          <w:rStyle w:val="28"/>
          <w:rFonts w:ascii="黑体" w:hAnsi="黑体" w:eastAsia="黑体"/>
          <w:b w:val="0"/>
        </w:rPr>
      </w:pPr>
      <w:bookmarkStart w:id="42" w:name="_Toc15377219"/>
      <w:bookmarkStart w:id="43" w:name="_Toc15396611"/>
      <w:r>
        <w:rPr>
          <w:rStyle w:val="28"/>
          <w:rFonts w:hint="eastAsia" w:ascii="黑体" w:hAnsi="黑体" w:eastAsia="黑体"/>
          <w:b w:val="0"/>
        </w:rPr>
        <w:t>国有资本经营预算支出决算情况说明</w:t>
      </w:r>
      <w:bookmarkEnd w:id="42"/>
      <w:bookmarkEnd w:id="43"/>
    </w:p>
    <w:p w14:paraId="28C62294">
      <w:pPr>
        <w:spacing w:line="600" w:lineRule="exact"/>
        <w:ind w:firstLine="640"/>
        <w:rPr>
          <w:rFonts w:ascii="仿宋_GB2312" w:eastAsia="仿宋_GB2312"/>
          <w:sz w:val="32"/>
          <w:szCs w:val="32"/>
        </w:rPr>
      </w:pPr>
      <w:r>
        <w:rPr>
          <w:rFonts w:hint="eastAsia" w:ascii="Times New Roman" w:hAnsi="Times New Roman" w:eastAsia="方正仿宋_GBK" w:cs="Times New Roman"/>
          <w:b w:val="0"/>
          <w:bCs/>
          <w:color w:val="000000"/>
          <w:sz w:val="33"/>
          <w:szCs w:val="33"/>
        </w:rPr>
        <w:t>2023年度国有资本经营预算财政拨款支出0万元。</w:t>
      </w:r>
    </w:p>
    <w:p w14:paraId="49FB9B64">
      <w:pPr>
        <w:numPr>
          <w:ilvl w:val="0"/>
          <w:numId w:val="2"/>
        </w:numPr>
        <w:spacing w:line="600" w:lineRule="exact"/>
        <w:ind w:firstLine="640"/>
        <w:outlineLvl w:val="1"/>
        <w:rPr>
          <w:rStyle w:val="28"/>
          <w:rFonts w:ascii="黑体" w:hAnsi="黑体" w:eastAsia="黑体"/>
          <w:b w:val="0"/>
        </w:rPr>
      </w:pPr>
      <w:bookmarkStart w:id="44" w:name="_Toc15377221"/>
      <w:bookmarkStart w:id="45" w:name="_Toc15396612"/>
      <w:r>
        <w:rPr>
          <w:rStyle w:val="28"/>
          <w:rFonts w:hint="eastAsia" w:ascii="黑体" w:hAnsi="黑体" w:eastAsia="黑体"/>
          <w:b w:val="0"/>
        </w:rPr>
        <w:t>其他重要事项的情况说明</w:t>
      </w:r>
      <w:bookmarkEnd w:id="44"/>
      <w:bookmarkEnd w:id="45"/>
    </w:p>
    <w:p w14:paraId="68242BBB">
      <w:pPr>
        <w:spacing w:line="600" w:lineRule="exact"/>
        <w:ind w:firstLine="640"/>
        <w:outlineLvl w:val="2"/>
        <w:rPr>
          <w:rFonts w:hint="eastAsia" w:ascii="方正楷体_GBK" w:hAnsi="方正楷体_GBK" w:eastAsia="方正楷体_GBK" w:cs="方正楷体_GBK"/>
          <w:b w:val="0"/>
          <w:bCs/>
          <w:sz w:val="32"/>
          <w:szCs w:val="32"/>
        </w:rPr>
      </w:pPr>
      <w:bookmarkStart w:id="46" w:name="_Toc15377222"/>
      <w:r>
        <w:rPr>
          <w:rFonts w:hint="eastAsia" w:ascii="方正楷体_GBK" w:hAnsi="方正楷体_GBK" w:eastAsia="方正楷体_GBK" w:cs="方正楷体_GBK"/>
          <w:b w:val="0"/>
          <w:bCs/>
          <w:sz w:val="32"/>
          <w:szCs w:val="32"/>
        </w:rPr>
        <w:t>（一）机关运行经费支出情况</w:t>
      </w:r>
      <w:bookmarkEnd w:id="46"/>
    </w:p>
    <w:p w14:paraId="5E978492">
      <w:pPr>
        <w:spacing w:line="600" w:lineRule="exact"/>
        <w:ind w:firstLine="64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2023年度，中国共产党盐边县纪律检查委员会机关运行经费支出98.73万元，比2022年度增加</w:t>
      </w:r>
      <w:r>
        <w:rPr>
          <w:rFonts w:hint="eastAsia" w:ascii="Times New Roman" w:hAnsi="Times New Roman" w:eastAsia="方正仿宋_GBK" w:cs="Times New Roman"/>
          <w:b w:val="0"/>
          <w:bCs/>
          <w:color w:val="000000"/>
          <w:sz w:val="33"/>
          <w:szCs w:val="33"/>
          <w:lang w:val="en-US" w:eastAsia="zh-CN"/>
        </w:rPr>
        <w:t>13.87</w:t>
      </w:r>
      <w:r>
        <w:rPr>
          <w:rFonts w:hint="eastAsia" w:ascii="Times New Roman" w:hAnsi="Times New Roman" w:eastAsia="方正仿宋_GBK" w:cs="Times New Roman"/>
          <w:b w:val="0"/>
          <w:bCs/>
          <w:color w:val="000000"/>
          <w:sz w:val="33"/>
          <w:szCs w:val="33"/>
        </w:rPr>
        <w:t>万元，增长</w:t>
      </w:r>
      <w:r>
        <w:rPr>
          <w:rFonts w:hint="eastAsia" w:ascii="Times New Roman" w:hAnsi="Times New Roman" w:eastAsia="方正仿宋_GBK" w:cs="Times New Roman"/>
          <w:b w:val="0"/>
          <w:bCs/>
          <w:color w:val="000000"/>
          <w:sz w:val="33"/>
          <w:szCs w:val="33"/>
          <w:lang w:val="en-US" w:eastAsia="zh-CN"/>
        </w:rPr>
        <w:t>16.34%</w:t>
      </w:r>
      <w:r>
        <w:rPr>
          <w:rFonts w:hint="eastAsia" w:ascii="Times New Roman" w:hAnsi="Times New Roman" w:eastAsia="方正仿宋_GBK" w:cs="Times New Roman"/>
          <w:b w:val="0"/>
          <w:bCs/>
          <w:color w:val="000000"/>
          <w:sz w:val="33"/>
          <w:szCs w:val="33"/>
        </w:rPr>
        <w:t>。主要原因是</w:t>
      </w:r>
      <w:r>
        <w:rPr>
          <w:rFonts w:hint="eastAsia" w:ascii="Times New Roman" w:hAnsi="Times New Roman" w:eastAsia="方正仿宋_GBK" w:cs="Times New Roman"/>
          <w:b w:val="0"/>
          <w:bCs/>
          <w:color w:val="000000"/>
          <w:sz w:val="33"/>
          <w:szCs w:val="33"/>
          <w:lang w:eastAsia="zh-CN"/>
        </w:rPr>
        <w:t>随着职工工资结构的调整和职工晋级，工会经费和其他交通费用增加</w:t>
      </w:r>
      <w:r>
        <w:rPr>
          <w:rFonts w:hint="eastAsia" w:ascii="Times New Roman" w:hAnsi="Times New Roman" w:eastAsia="方正仿宋_GBK" w:cs="Times New Roman"/>
          <w:b w:val="0"/>
          <w:bCs/>
          <w:color w:val="000000"/>
          <w:sz w:val="33"/>
          <w:szCs w:val="33"/>
        </w:rPr>
        <w:t>。</w:t>
      </w:r>
    </w:p>
    <w:p w14:paraId="1378110B">
      <w:pPr>
        <w:spacing w:line="600" w:lineRule="exact"/>
        <w:ind w:firstLine="640"/>
        <w:outlineLvl w:val="2"/>
        <w:rPr>
          <w:rFonts w:hint="eastAsia" w:ascii="方正楷体_GBK" w:hAnsi="方正楷体_GBK" w:eastAsia="方正楷体_GBK" w:cs="方正楷体_GBK"/>
          <w:b w:val="0"/>
          <w:bCs/>
          <w:sz w:val="32"/>
          <w:szCs w:val="32"/>
        </w:rPr>
      </w:pPr>
      <w:bookmarkStart w:id="47" w:name="_Toc15377223"/>
      <w:r>
        <w:rPr>
          <w:rFonts w:hint="eastAsia" w:ascii="方正楷体_GBK" w:hAnsi="方正楷体_GBK" w:eastAsia="方正楷体_GBK" w:cs="方正楷体_GBK"/>
          <w:b w:val="0"/>
          <w:bCs/>
          <w:sz w:val="32"/>
          <w:szCs w:val="32"/>
        </w:rPr>
        <w:t>（二）政府采购支出情况</w:t>
      </w:r>
      <w:bookmarkEnd w:id="47"/>
    </w:p>
    <w:p w14:paraId="00C64F25">
      <w:pPr>
        <w:spacing w:line="600" w:lineRule="exact"/>
        <w:ind w:firstLine="660" w:firstLineChars="200"/>
        <w:rPr>
          <w:rFonts w:ascii="仿宋_GB2312" w:eastAsia="仿宋_GB2312"/>
          <w:sz w:val="32"/>
          <w:szCs w:val="32"/>
        </w:rPr>
      </w:pPr>
      <w:r>
        <w:rPr>
          <w:rFonts w:hint="eastAsia" w:ascii="Times New Roman" w:hAnsi="Times New Roman" w:eastAsia="方正仿宋_GBK" w:cs="Times New Roman"/>
          <w:b w:val="0"/>
          <w:bCs/>
          <w:color w:val="000000"/>
          <w:sz w:val="33"/>
          <w:szCs w:val="33"/>
        </w:rPr>
        <w:t>2023年度，中国共产党盐边县纪律检查委员会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14:paraId="26C59CDD">
      <w:pPr>
        <w:spacing w:line="600" w:lineRule="exact"/>
        <w:ind w:firstLine="640"/>
        <w:outlineLvl w:val="2"/>
        <w:rPr>
          <w:rFonts w:hint="eastAsia" w:ascii="方正楷体_GBK" w:hAnsi="方正楷体_GBK" w:eastAsia="方正楷体_GBK" w:cs="方正楷体_GBK"/>
          <w:b w:val="0"/>
          <w:bCs/>
          <w:sz w:val="32"/>
          <w:szCs w:val="32"/>
        </w:rPr>
      </w:pPr>
      <w:bookmarkStart w:id="48" w:name="_Toc15377224"/>
      <w:r>
        <w:rPr>
          <w:rFonts w:hint="eastAsia" w:ascii="方正楷体_GBK" w:hAnsi="方正楷体_GBK" w:eastAsia="方正楷体_GBK" w:cs="方正楷体_GBK"/>
          <w:b w:val="0"/>
          <w:bCs/>
          <w:sz w:val="32"/>
          <w:szCs w:val="32"/>
        </w:rPr>
        <w:t>（三）国有资产占有使用情况</w:t>
      </w:r>
      <w:bookmarkEnd w:id="48"/>
    </w:p>
    <w:p w14:paraId="698DECF6">
      <w:pPr>
        <w:spacing w:line="600" w:lineRule="exact"/>
        <w:ind w:firstLine="660" w:firstLineChars="20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截至2023年12月31日，中国共产党盐边县纪律检查委员会共有车辆</w:t>
      </w:r>
      <w:r>
        <w:rPr>
          <w:rFonts w:hint="eastAsia" w:ascii="Times New Roman" w:hAnsi="Times New Roman" w:eastAsia="方正仿宋_GBK" w:cs="Times New Roman"/>
          <w:b w:val="0"/>
          <w:bCs/>
          <w:color w:val="000000"/>
          <w:sz w:val="33"/>
          <w:szCs w:val="33"/>
          <w:lang w:val="en-US" w:eastAsia="zh-CN"/>
        </w:rPr>
        <w:t>2</w:t>
      </w:r>
      <w:r>
        <w:rPr>
          <w:rFonts w:hint="eastAsia" w:ascii="Times New Roman" w:hAnsi="Times New Roman" w:eastAsia="方正仿宋_GBK" w:cs="Times New Roman"/>
          <w:b w:val="0"/>
          <w:bCs/>
          <w:color w:val="000000"/>
          <w:sz w:val="33"/>
          <w:szCs w:val="33"/>
        </w:rPr>
        <w:t>辆，其中：主要领导干部用车</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辆、机要通信用车</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辆、应急保障用车</w:t>
      </w:r>
      <w:r>
        <w:rPr>
          <w:rFonts w:hint="eastAsia" w:ascii="Times New Roman" w:hAnsi="Times New Roman" w:eastAsia="方正仿宋_GBK" w:cs="Times New Roman"/>
          <w:b w:val="0"/>
          <w:bCs/>
          <w:color w:val="000000"/>
          <w:sz w:val="33"/>
          <w:szCs w:val="33"/>
          <w:lang w:val="en-US" w:eastAsia="zh-CN"/>
        </w:rPr>
        <w:t>0</w:t>
      </w:r>
      <w:r>
        <w:rPr>
          <w:rFonts w:hint="eastAsia" w:ascii="Times New Roman" w:hAnsi="Times New Roman" w:eastAsia="方正仿宋_GBK" w:cs="Times New Roman"/>
          <w:b w:val="0"/>
          <w:bCs/>
          <w:color w:val="000000"/>
          <w:sz w:val="33"/>
          <w:szCs w:val="33"/>
        </w:rPr>
        <w:t>辆、其他用车</w:t>
      </w:r>
      <w:r>
        <w:rPr>
          <w:rFonts w:hint="eastAsia" w:ascii="Times New Roman" w:hAnsi="Times New Roman" w:eastAsia="方正仿宋_GBK" w:cs="Times New Roman"/>
          <w:b w:val="0"/>
          <w:bCs/>
          <w:color w:val="000000"/>
          <w:sz w:val="33"/>
          <w:szCs w:val="33"/>
          <w:lang w:val="en-US" w:eastAsia="zh-CN"/>
        </w:rPr>
        <w:t>2</w:t>
      </w:r>
      <w:r>
        <w:rPr>
          <w:rFonts w:hint="eastAsia" w:ascii="Times New Roman" w:hAnsi="Times New Roman" w:eastAsia="方正仿宋_GBK" w:cs="Times New Roman"/>
          <w:b w:val="0"/>
          <w:bCs/>
          <w:color w:val="000000"/>
          <w:sz w:val="33"/>
          <w:szCs w:val="33"/>
        </w:rPr>
        <w:t>辆，其他用车主要是用于</w:t>
      </w:r>
      <w:r>
        <w:rPr>
          <w:rFonts w:hint="eastAsia" w:ascii="Times New Roman" w:hAnsi="Times New Roman" w:eastAsia="方正仿宋_GBK" w:cs="Times New Roman"/>
          <w:b w:val="0"/>
          <w:bCs/>
          <w:color w:val="000000"/>
          <w:sz w:val="33"/>
          <w:szCs w:val="33"/>
          <w:lang w:eastAsia="zh-CN"/>
        </w:rPr>
        <w:t>执法执勤，案件办理</w:t>
      </w:r>
      <w:r>
        <w:rPr>
          <w:rFonts w:hint="eastAsia" w:ascii="Times New Roman" w:hAnsi="Times New Roman" w:eastAsia="方正仿宋_GBK" w:cs="Times New Roman"/>
          <w:b w:val="0"/>
          <w:bCs/>
          <w:color w:val="000000"/>
          <w:sz w:val="33"/>
          <w:szCs w:val="33"/>
        </w:rPr>
        <w:t>。单价100万元以上设备（不含车辆）1台（套）。</w:t>
      </w:r>
    </w:p>
    <w:p w14:paraId="309DFD55">
      <w:pPr>
        <w:spacing w:line="600" w:lineRule="exact"/>
        <w:ind w:firstLine="640"/>
        <w:outlineLvl w:val="2"/>
        <w:rPr>
          <w:rFonts w:hint="eastAsia" w:ascii="方正楷体_GBK" w:hAnsi="方正楷体_GBK" w:eastAsia="方正楷体_GBK" w:cs="方正楷体_GBK"/>
          <w:b w:val="0"/>
          <w:bCs/>
          <w:sz w:val="32"/>
          <w:szCs w:val="32"/>
        </w:rPr>
      </w:pPr>
      <w:r>
        <w:rPr>
          <w:rFonts w:hint="eastAsia" w:ascii="方正楷体_GBK" w:hAnsi="方正楷体_GBK" w:eastAsia="方正楷体_GBK" w:cs="方正楷体_GBK"/>
          <w:b w:val="0"/>
          <w:bCs/>
          <w:sz w:val="32"/>
          <w:szCs w:val="32"/>
        </w:rPr>
        <w:t>（四）预算绩效管理情况</w:t>
      </w:r>
    </w:p>
    <w:p w14:paraId="4562981E">
      <w:pPr>
        <w:spacing w:line="600" w:lineRule="exact"/>
        <w:ind w:firstLine="660" w:firstLineChars="20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根据预算绩效管理要求，本部门在2023年度预算编制阶段，组织对纪委监委机关办公楼修缮维护专项经费等</w:t>
      </w:r>
      <w:r>
        <w:rPr>
          <w:rFonts w:hint="eastAsia" w:ascii="Times New Roman" w:hAnsi="Times New Roman" w:eastAsia="方正仿宋_GBK" w:cs="Times New Roman"/>
          <w:b w:val="0"/>
          <w:bCs/>
          <w:color w:val="000000"/>
          <w:sz w:val="33"/>
          <w:szCs w:val="33"/>
          <w:lang w:val="en-US" w:eastAsia="zh-CN"/>
        </w:rPr>
        <w:t>13</w:t>
      </w:r>
      <w:r>
        <w:rPr>
          <w:rFonts w:hint="eastAsia" w:ascii="Times New Roman" w:hAnsi="Times New Roman" w:eastAsia="方正仿宋_GBK" w:cs="Times New Roman"/>
          <w:b w:val="0"/>
          <w:bCs/>
          <w:color w:val="000000"/>
          <w:sz w:val="33"/>
          <w:szCs w:val="33"/>
        </w:rPr>
        <w:t>个项目开展了预算事前绩效评估，对</w:t>
      </w:r>
      <w:r>
        <w:rPr>
          <w:rFonts w:hint="eastAsia" w:ascii="Times New Roman" w:hAnsi="Times New Roman" w:eastAsia="方正仿宋_GBK" w:cs="Times New Roman"/>
          <w:b w:val="0"/>
          <w:bCs/>
          <w:color w:val="000000"/>
          <w:sz w:val="33"/>
          <w:szCs w:val="33"/>
          <w:lang w:val="en-US" w:eastAsia="zh-CN"/>
        </w:rPr>
        <w:t>13</w:t>
      </w:r>
      <w:r>
        <w:rPr>
          <w:rFonts w:hint="eastAsia" w:ascii="Times New Roman" w:hAnsi="Times New Roman" w:eastAsia="方正仿宋_GBK" w:cs="Times New Roman"/>
          <w:b w:val="0"/>
          <w:bCs/>
          <w:color w:val="000000"/>
          <w:sz w:val="33"/>
          <w:szCs w:val="33"/>
        </w:rPr>
        <w:t>个项目编制了绩效目标，预算执行过程中，选取</w:t>
      </w:r>
      <w:r>
        <w:rPr>
          <w:rFonts w:hint="eastAsia" w:ascii="Times New Roman" w:hAnsi="Times New Roman" w:eastAsia="方正仿宋_GBK" w:cs="Times New Roman"/>
          <w:b w:val="0"/>
          <w:bCs/>
          <w:color w:val="000000"/>
          <w:sz w:val="33"/>
          <w:szCs w:val="33"/>
          <w:lang w:val="en-US" w:eastAsia="zh-CN"/>
        </w:rPr>
        <w:t>13</w:t>
      </w:r>
      <w:r>
        <w:rPr>
          <w:rFonts w:hint="eastAsia" w:ascii="Times New Roman" w:hAnsi="Times New Roman" w:eastAsia="方正仿宋_GBK" w:cs="Times New Roman"/>
          <w:b w:val="0"/>
          <w:bCs/>
          <w:color w:val="000000"/>
          <w:sz w:val="33"/>
          <w:szCs w:val="33"/>
        </w:rPr>
        <w:t>个项目开展绩效监控。</w:t>
      </w:r>
    </w:p>
    <w:p w14:paraId="35838462">
      <w:pPr>
        <w:spacing w:line="600" w:lineRule="exact"/>
        <w:ind w:firstLine="660" w:firstLineChars="200"/>
        <w:rPr>
          <w:rFonts w:hint="eastAsia" w:ascii="Times New Roman" w:hAnsi="Times New Roman" w:eastAsia="方正仿宋_GBK" w:cs="Times New Roman"/>
          <w:b w:val="0"/>
          <w:bCs/>
          <w:color w:val="000000"/>
          <w:sz w:val="33"/>
          <w:szCs w:val="33"/>
        </w:rPr>
      </w:pPr>
      <w:r>
        <w:rPr>
          <w:rFonts w:hint="eastAsia" w:ascii="Times New Roman" w:hAnsi="Times New Roman" w:eastAsia="方正仿宋_GBK" w:cs="Times New Roman"/>
          <w:b w:val="0"/>
          <w:bCs/>
          <w:color w:val="000000"/>
          <w:sz w:val="33"/>
          <w:szCs w:val="33"/>
        </w:rPr>
        <w:t>组织对2023年度一般公共预算、政府性基金预算、国有资本经营预算、社会保险基金预算以及资本资产、债券资金等全面开展绩效自评，形成</w:t>
      </w:r>
      <w:r>
        <w:rPr>
          <w:rFonts w:hint="eastAsia" w:ascii="Times New Roman" w:hAnsi="Times New Roman" w:eastAsia="方正仿宋_GBK" w:cs="Times New Roman"/>
          <w:b w:val="0"/>
          <w:bCs/>
          <w:color w:val="000000"/>
          <w:sz w:val="33"/>
          <w:szCs w:val="33"/>
          <w:lang w:val="en-US" w:eastAsia="zh-CN"/>
        </w:rPr>
        <w:t>2023年中共盐边县纪委</w:t>
      </w:r>
      <w:r>
        <w:rPr>
          <w:rFonts w:hint="eastAsia" w:ascii="Times New Roman" w:hAnsi="Times New Roman" w:eastAsia="方正仿宋_GBK" w:cs="Times New Roman"/>
          <w:b w:val="0"/>
          <w:bCs/>
          <w:color w:val="000000"/>
          <w:sz w:val="33"/>
          <w:szCs w:val="33"/>
        </w:rPr>
        <w:t>部门</w:t>
      </w:r>
      <w:r>
        <w:rPr>
          <w:rFonts w:hint="eastAsia" w:ascii="Times New Roman" w:hAnsi="Times New Roman" w:eastAsia="方正仿宋_GBK" w:cs="Times New Roman"/>
          <w:b w:val="0"/>
          <w:bCs/>
          <w:color w:val="000000"/>
          <w:sz w:val="33"/>
          <w:szCs w:val="33"/>
          <w:lang w:eastAsia="zh-CN"/>
        </w:rPr>
        <w:t>预算</w:t>
      </w:r>
      <w:r>
        <w:rPr>
          <w:rFonts w:hint="eastAsia" w:ascii="Times New Roman" w:hAnsi="Times New Roman" w:eastAsia="方正仿宋_GBK" w:cs="Times New Roman"/>
          <w:b w:val="0"/>
          <w:bCs/>
          <w:color w:val="000000"/>
          <w:sz w:val="33"/>
          <w:szCs w:val="33"/>
        </w:rPr>
        <w:t>整体（含部门预算项目）绩效自评报告、</w:t>
      </w:r>
      <w:r>
        <w:rPr>
          <w:rFonts w:hint="eastAsia" w:ascii="Times New Roman" w:hAnsi="Times New Roman" w:eastAsia="方正仿宋_GBK" w:cs="Times New Roman"/>
          <w:b w:val="0"/>
          <w:bCs/>
          <w:color w:val="000000"/>
          <w:sz w:val="33"/>
          <w:szCs w:val="33"/>
          <w:lang w:eastAsia="zh-CN"/>
        </w:rPr>
        <w:t>纪委监委机关办公楼修缮维护</w:t>
      </w:r>
      <w:r>
        <w:rPr>
          <w:rFonts w:hint="eastAsia" w:ascii="Times New Roman" w:hAnsi="Times New Roman" w:eastAsia="方正仿宋_GBK" w:cs="Times New Roman"/>
          <w:b w:val="0"/>
          <w:bCs/>
          <w:color w:val="000000"/>
          <w:sz w:val="33"/>
          <w:szCs w:val="33"/>
        </w:rPr>
        <w:t>等专项预算项目绩效自评报告，其中，</w:t>
      </w:r>
      <w:r>
        <w:rPr>
          <w:rFonts w:hint="eastAsia" w:ascii="Times New Roman" w:hAnsi="Times New Roman" w:eastAsia="方正仿宋_GBK" w:cs="Times New Roman"/>
          <w:b w:val="0"/>
          <w:bCs/>
          <w:color w:val="000000"/>
          <w:sz w:val="33"/>
          <w:szCs w:val="33"/>
          <w:lang w:val="en-US" w:eastAsia="zh-CN"/>
        </w:rPr>
        <w:t>2023年中共盐边县纪委</w:t>
      </w:r>
      <w:r>
        <w:rPr>
          <w:rFonts w:hint="eastAsia" w:ascii="Times New Roman" w:hAnsi="Times New Roman" w:eastAsia="方正仿宋_GBK" w:cs="Times New Roman"/>
          <w:b w:val="0"/>
          <w:bCs/>
          <w:color w:val="000000"/>
          <w:sz w:val="33"/>
          <w:szCs w:val="33"/>
        </w:rPr>
        <w:t>部门整体（含部门预算项目）绩效自评得分为</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分，绩效自评综述：支出使用科学合理，依据充分，管理较为规范，完成效果好，实施后达到了预期目的，经评价为</w:t>
      </w:r>
      <w:r>
        <w:rPr>
          <w:rFonts w:hint="eastAsia" w:ascii="Times New Roman" w:hAnsi="Times New Roman" w:eastAsia="方正仿宋_GBK" w:cs="Times New Roman"/>
          <w:b w:val="0"/>
          <w:bCs/>
          <w:color w:val="000000"/>
          <w:sz w:val="33"/>
          <w:szCs w:val="33"/>
          <w:lang w:eastAsia="zh-CN"/>
        </w:rPr>
        <w:t>优；纪委监委机关办公楼修缮维护</w:t>
      </w:r>
      <w:r>
        <w:rPr>
          <w:rFonts w:hint="eastAsia" w:ascii="Times New Roman" w:hAnsi="Times New Roman" w:eastAsia="方正仿宋_GBK" w:cs="Times New Roman"/>
          <w:b w:val="0"/>
          <w:bCs/>
          <w:color w:val="000000"/>
          <w:sz w:val="33"/>
          <w:szCs w:val="33"/>
        </w:rPr>
        <w:t>预算项目绩效自评得分为</w:t>
      </w:r>
      <w:r>
        <w:rPr>
          <w:rFonts w:hint="eastAsia" w:ascii="Times New Roman" w:hAnsi="Times New Roman" w:eastAsia="方正仿宋_GBK" w:cs="Times New Roman"/>
          <w:b w:val="0"/>
          <w:bCs/>
          <w:color w:val="000000"/>
          <w:sz w:val="33"/>
          <w:szCs w:val="33"/>
          <w:lang w:val="en-US" w:eastAsia="zh-CN"/>
        </w:rPr>
        <w:t>100</w:t>
      </w:r>
      <w:r>
        <w:rPr>
          <w:rFonts w:hint="eastAsia" w:ascii="Times New Roman" w:hAnsi="Times New Roman" w:eastAsia="方正仿宋_GBK" w:cs="Times New Roman"/>
          <w:b w:val="0"/>
          <w:bCs/>
          <w:color w:val="000000"/>
          <w:sz w:val="33"/>
          <w:szCs w:val="33"/>
        </w:rPr>
        <w:t>分，绩效自评综述：</w:t>
      </w:r>
      <w:r>
        <w:rPr>
          <w:rFonts w:hint="eastAsia" w:ascii="Times New Roman" w:hAnsi="Times New Roman" w:eastAsia="方正仿宋_GBK" w:cs="Times New Roman"/>
          <w:b w:val="0"/>
          <w:bCs/>
          <w:color w:val="000000"/>
          <w:sz w:val="33"/>
          <w:szCs w:val="33"/>
          <w:lang w:eastAsia="zh-CN"/>
        </w:rPr>
        <w:t>使用科学合理，依据充分，管理较为规范，完成效果好，实施后达到了预期目的，经评价为优。</w:t>
      </w:r>
      <w:r>
        <w:rPr>
          <w:rFonts w:hint="eastAsia" w:ascii="Times New Roman" w:hAnsi="Times New Roman" w:eastAsia="方正仿宋_GBK" w:cs="Times New Roman"/>
          <w:b w:val="0"/>
          <w:bCs/>
          <w:color w:val="000000"/>
          <w:sz w:val="33"/>
          <w:szCs w:val="33"/>
        </w:rPr>
        <w:t>绩效自评报告详见附件。</w:t>
      </w:r>
    </w:p>
    <w:p w14:paraId="57318B92">
      <w:pPr>
        <w:pStyle w:val="3"/>
        <w:jc w:val="center"/>
        <w:rPr>
          <w:rFonts w:hint="eastAsia"/>
        </w:rPr>
        <w:sectPr>
          <w:footerReference r:id="rId5" w:type="first"/>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p>
    <w:p w14:paraId="762354F6">
      <w:pPr>
        <w:pStyle w:val="3"/>
        <w:jc w:val="center"/>
        <w:rPr>
          <w:rFonts w:hint="eastAsia" w:ascii="黑体" w:hAnsi="黑体" w:eastAsia="黑体" w:cs="黑体"/>
          <w:b w:val="0"/>
          <w:bCs w:val="0"/>
        </w:rPr>
      </w:pPr>
      <w:r>
        <w:rPr>
          <w:rFonts w:hint="eastAsia" w:ascii="黑体" w:hAnsi="黑体" w:eastAsia="黑体" w:cs="黑体"/>
          <w:b w:val="0"/>
          <w:bCs w:val="0"/>
        </w:rPr>
        <w:t>第三部分 名词解释</w:t>
      </w:r>
    </w:p>
    <w:p w14:paraId="5C208ACA"/>
    <w:p w14:paraId="2DA33CA4">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1.财政拨款收入：指单位从同级财政部门取得的财政预算资金。</w:t>
      </w:r>
    </w:p>
    <w:p w14:paraId="082D1F34">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2.事业收入：指事业单位开展专业业务活动及辅助活动取得的收入。</w:t>
      </w:r>
    </w:p>
    <w:p w14:paraId="5362C230">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3.经营收入：指事业单位在专业业务活动及其辅助活动之外开展非独立核算经营活动取得的收入。</w:t>
      </w:r>
    </w:p>
    <w:p w14:paraId="1C6D7F6C">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4.其他收入：指单位取得的除上述收入以外的各项收入。</w:t>
      </w:r>
    </w:p>
    <w:p w14:paraId="692949A7">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 xml:space="preserve">5.使用非财政拨款结余（含专用结余）：指事业单位使用以前年度积累的非财政拨款结余弥补当年收支差额的金额。 </w:t>
      </w:r>
    </w:p>
    <w:p w14:paraId="194EC398">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 xml:space="preserve">6.年初结转和结余：指以前年度尚未完成、结转到本年按有关规定继续使用的资金。 </w:t>
      </w:r>
    </w:p>
    <w:p w14:paraId="3C32913D">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7.结余分配：指事业单位按照会计制度规定缴纳的所得税、提取的专用结余以及转入非财政拨款结余的金额等。</w:t>
      </w:r>
    </w:p>
    <w:p w14:paraId="277F3A41">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8.年末结转和结余：指单位按有关规定结转到下年或以后年度继续使用的资金。</w:t>
      </w:r>
    </w:p>
    <w:p w14:paraId="543C955B">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9.一般公共服务（类）纪检监察事务（款）行政运行（项）: 指行政单位（包括实行公务员管理的事业单位）的基本支出。</w:t>
      </w:r>
    </w:p>
    <w:p w14:paraId="34806630">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10.一般公共服务（类）纪检监察事务（款）大案要案查处（项）:指查处大要（专）案的支出。</w:t>
      </w:r>
    </w:p>
    <w:p w14:paraId="1593FA98">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11.一般公共服务（类）纪检监察事务（款）巡视工作（项）: 指中央和地方巡视机构的专项业务支出。</w:t>
      </w:r>
    </w:p>
    <w:p w14:paraId="456702C7">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12.一般公共服务（类）纪检监察事务（款）事业运行（项）:指事业单位的基本支出，不包括行政单位（包括实行公务员管理的事业单位）后勤服务中心、医务室等附属事业单位。</w:t>
      </w:r>
    </w:p>
    <w:p w14:paraId="3DF60A03">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13.一般公共服务（类）纪检监察事务（款）其他纪检监察事务支出（项）: 指除行政运行、一般行政管理事务、机关服务、公务员事务、事业运行以外其他用于纪检监察事务方面的支出。</w:t>
      </w:r>
    </w:p>
    <w:p w14:paraId="16C6D521">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14.一般公共服务（类）党委办公厅（室）及相关机构事务（款）一般行政管理事务（项）:指行政单位（包括实行公务员管理的事业单位）未单独设置项级科目的其他项目支出。</w:t>
      </w:r>
    </w:p>
    <w:p w14:paraId="40D406A6">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15.社会保障和就业（类）行政事业单位养老支出（款）行政单位离退休（项）: 指行政单位（包括实行公务员管理的事业单位）开支的离退休经费。</w:t>
      </w:r>
    </w:p>
    <w:p w14:paraId="3F1ED083">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16.社会保障和就业（类）行政事业单位养老支出（款）机关事业单位基本养老保险缴费支出（项）: 指机关事业单位实施养老保险制度由单位缴纳的基本养老保险费支出。</w:t>
      </w:r>
    </w:p>
    <w:p w14:paraId="5CB1B52F">
      <w:pPr>
        <w:spacing w:line="600" w:lineRule="exact"/>
        <w:rPr>
          <w:rFonts w:hint="default" w:ascii="Times New Roman" w:hAnsi="Times New Roman" w:eastAsia="方正仿宋_GBK" w:cs="Times New Roman"/>
          <w:b w:val="0"/>
          <w:bCs/>
          <w:color w:val="000000"/>
          <w:sz w:val="33"/>
          <w:szCs w:val="33"/>
          <w:lang w:val="en-US" w:eastAsia="zh-CN"/>
        </w:rPr>
      </w:pPr>
      <w:r>
        <w:rPr>
          <w:rFonts w:hint="eastAsia" w:eastAsia="方正仿宋_GBK" w:cs="Times New Roman"/>
          <w:b w:val="0"/>
          <w:bCs/>
          <w:color w:val="000000"/>
          <w:sz w:val="33"/>
          <w:szCs w:val="33"/>
          <w:lang w:val="en-US" w:eastAsia="zh-CN"/>
        </w:rPr>
        <w:t xml:space="preserve">   </w:t>
      </w:r>
      <w:r>
        <w:rPr>
          <w:rFonts w:hint="default" w:ascii="Times New Roman" w:hAnsi="Times New Roman" w:eastAsia="方正仿宋_GBK" w:cs="Times New Roman"/>
          <w:b w:val="0"/>
          <w:bCs/>
          <w:color w:val="000000"/>
          <w:sz w:val="33"/>
          <w:szCs w:val="33"/>
          <w:lang w:val="en-US" w:eastAsia="zh-CN"/>
        </w:rPr>
        <w:t xml:space="preserve"> 17.社会保障和就业（类）行政事业单位养老支出（款）机关事业单位职业年金缴费支出（项）: 指机关事业单位实施养老保险制度由单位实际缴纳的职业年金支出。</w:t>
      </w:r>
    </w:p>
    <w:p w14:paraId="135E9C45">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18.卫生健康（类）行政事业单位医疗（款）行政单位医疗（项）:指财政部门安排的行政单位（包括实行公务员管理的事业单位）基本医疗保险缴费经费，未参加医疗保险的行政单位的公费医疗经费，按国家规定享受离休人员、红军老战士待遇人员的医疗经费。</w:t>
      </w:r>
    </w:p>
    <w:p w14:paraId="1003D99E">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19.卫生健康（类）行政事业单位医疗（款）事业单位医疗（项）:指财政部门安排的事业单位基本医疗保险缴费经费，未参加医疗保险的事业单位的公费医疗经费，按国家规定享受离休人员待遇的医疗经费。</w:t>
      </w:r>
    </w:p>
    <w:p w14:paraId="749B0944">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20.卫生健康（类）行政事业单位医疗（款）公务员医疗补助（项）:指财政部门安排的公务员医疗补助经费。</w:t>
      </w:r>
    </w:p>
    <w:p w14:paraId="7889F6F2">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21.卫生健康（类）行政事业单位医疗（款）其他行政事业单位医疗支出（项）:指除行政单位医疗、事业单位医疗、公务员医疗补助的其他用于行政事业单位医疗方面的支出。</w:t>
      </w:r>
    </w:p>
    <w:p w14:paraId="6779FA2C">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22.住房保障（类）住房改革支出（款）住房公积金（项）:指行政事业单位按人力资源和社会保障部、财政部规定的基本工资和津贴补贴以及规定比例为职工缴纳的住房公积金。</w:t>
      </w:r>
    </w:p>
    <w:p w14:paraId="3D438B56">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23.基本支出：指为保障机构正常运转、完成日常工作任务而发生的人员支出和公用支出。</w:t>
      </w:r>
    </w:p>
    <w:p w14:paraId="792A7D6D">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 xml:space="preserve">24.项目支出：指在基本支出之外为完成特定行政任务和事业发展目标所发生的支出。 </w:t>
      </w:r>
    </w:p>
    <w:p w14:paraId="525F3DD0">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25.经营支出：指事业单位在专业业务活动及其辅助活动之外开展非独立核算经营活动发生的支出。</w:t>
      </w:r>
    </w:p>
    <w:p w14:paraId="3845184D">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26.“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14:paraId="70841E2D">
      <w:pPr>
        <w:spacing w:line="600" w:lineRule="exact"/>
        <w:ind w:firstLine="660" w:firstLineChars="200"/>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t>27.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AEB179F">
      <w:pPr>
        <w:rPr>
          <w:rFonts w:hint="default" w:ascii="Times New Roman" w:hAnsi="Times New Roman" w:eastAsia="方正仿宋_GBK" w:cs="Times New Roman"/>
          <w:b w:val="0"/>
          <w:bCs/>
          <w:color w:val="000000"/>
          <w:sz w:val="33"/>
          <w:szCs w:val="33"/>
          <w:lang w:val="en-US" w:eastAsia="zh-CN"/>
        </w:rPr>
      </w:pPr>
      <w:r>
        <w:rPr>
          <w:rFonts w:hint="default" w:ascii="Times New Roman" w:hAnsi="Times New Roman" w:eastAsia="方正仿宋_GBK" w:cs="Times New Roman"/>
          <w:b w:val="0"/>
          <w:bCs/>
          <w:color w:val="000000"/>
          <w:sz w:val="33"/>
          <w:szCs w:val="33"/>
          <w:lang w:val="en-US" w:eastAsia="zh-CN"/>
        </w:rPr>
        <w:br w:type="page"/>
      </w:r>
    </w:p>
    <w:p w14:paraId="767C8A55">
      <w:pPr>
        <w:pStyle w:val="3"/>
        <w:jc w:val="center"/>
        <w:rPr>
          <w:rFonts w:ascii="黑体" w:hAnsi="黑体" w:eastAsia="黑体"/>
          <w:b w:val="0"/>
        </w:rPr>
      </w:pPr>
      <w:r>
        <w:rPr>
          <w:rFonts w:hint="eastAsia" w:ascii="黑体" w:hAnsi="黑体" w:eastAsia="黑体"/>
          <w:b w:val="0"/>
        </w:rPr>
        <w:t>第四部分 附件</w:t>
      </w:r>
    </w:p>
    <w:p w14:paraId="1ABFF5D0"/>
    <w:p w14:paraId="23B310A4">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14:paraId="094F184F">
      <w:pPr>
        <w:pStyle w:val="2"/>
        <w:rPr>
          <w:rFonts w:hint="default"/>
        </w:rPr>
      </w:pPr>
    </w:p>
    <w:p w14:paraId="0ED0EE48">
      <w:pPr>
        <w:spacing w:line="0" w:lineRule="atLeast"/>
        <w:jc w:val="center"/>
        <w:rPr>
          <w:rFonts w:hint="default" w:ascii="Times New Roman" w:hAnsi="Times New Roman" w:eastAsia="方正小标宋_GBK" w:cs="Times New Roman"/>
          <w:b/>
          <w:sz w:val="38"/>
          <w:szCs w:val="38"/>
        </w:rPr>
      </w:pPr>
      <w:r>
        <w:rPr>
          <w:rFonts w:hint="default" w:ascii="Times New Roman" w:hAnsi="Times New Roman" w:eastAsia="方正小标宋_GBK" w:cs="Times New Roman"/>
          <w:b/>
          <w:sz w:val="38"/>
          <w:szCs w:val="38"/>
        </w:rPr>
        <w:t>202</w:t>
      </w:r>
      <w:r>
        <w:rPr>
          <w:rFonts w:hint="default" w:ascii="Times New Roman" w:hAnsi="Times New Roman" w:eastAsia="方正小标宋_GBK" w:cs="Times New Roman"/>
          <w:b/>
          <w:sz w:val="38"/>
          <w:szCs w:val="38"/>
          <w:lang w:val="en-US" w:eastAsia="zh-CN"/>
        </w:rPr>
        <w:t>3</w:t>
      </w:r>
      <w:r>
        <w:rPr>
          <w:rFonts w:hint="default" w:ascii="Times New Roman" w:hAnsi="Times New Roman" w:eastAsia="方正小标宋_GBK" w:cs="Times New Roman"/>
          <w:b/>
          <w:sz w:val="38"/>
          <w:szCs w:val="38"/>
        </w:rPr>
        <w:t>年中共盐边县纪委</w:t>
      </w:r>
    </w:p>
    <w:p w14:paraId="6A5F7C6A">
      <w:pPr>
        <w:spacing w:line="0" w:lineRule="atLeast"/>
        <w:jc w:val="center"/>
        <w:rPr>
          <w:rFonts w:hint="default" w:ascii="方正小标宋_GBK" w:eastAsia="方正小标宋_GBK"/>
          <w:b/>
          <w:sz w:val="38"/>
          <w:szCs w:val="38"/>
        </w:rPr>
      </w:pPr>
      <w:r>
        <w:rPr>
          <w:rFonts w:hint="default" w:ascii="Times New Roman" w:hAnsi="Times New Roman" w:eastAsia="方正小标宋_GBK" w:cs="Times New Roman"/>
          <w:b/>
          <w:sz w:val="38"/>
          <w:szCs w:val="38"/>
        </w:rPr>
        <w:t>部门预算整体支出绩效评价报告</w:t>
      </w:r>
    </w:p>
    <w:p w14:paraId="715BB3B5"/>
    <w:p w14:paraId="14D57B8B">
      <w:pPr>
        <w:ind w:firstLine="660" w:firstLineChars="200"/>
        <w:rPr>
          <w:rFonts w:hint="default" w:ascii="方正黑体_GBK" w:eastAsia="方正黑体_GBK"/>
          <w:sz w:val="33"/>
          <w:szCs w:val="33"/>
        </w:rPr>
      </w:pPr>
      <w:r>
        <w:rPr>
          <w:rFonts w:hint="default" w:ascii="方正黑体_GBK" w:eastAsia="方正黑体_GBK"/>
          <w:sz w:val="33"/>
          <w:szCs w:val="33"/>
        </w:rPr>
        <w:t>一、部门概况</w:t>
      </w:r>
    </w:p>
    <w:p w14:paraId="1FE65AB3">
      <w:pPr>
        <w:widowControl/>
        <w:adjustRightInd w:val="0"/>
        <w:snapToGrid w:val="0"/>
        <w:ind w:firstLine="663" w:firstLineChars="200"/>
        <w:jc w:val="left"/>
        <w:rPr>
          <w:rFonts w:hint="default" w:ascii="方正楷体_GBK" w:eastAsia="方正楷体_GBK" w:cs="仿宋_GB2312"/>
          <w:b/>
          <w:color w:val="000000"/>
          <w:kern w:val="0"/>
          <w:sz w:val="33"/>
          <w:szCs w:val="33"/>
          <w:shd w:val="clear" w:color="auto" w:fill="FFFFFF"/>
          <w:lang w:val="zh-CN" w:eastAsia="zh-CN" w:bidi="ar-SA"/>
        </w:rPr>
      </w:pPr>
      <w:r>
        <w:rPr>
          <w:rFonts w:hint="default" w:ascii="方正楷体_GBK" w:eastAsia="方正楷体_GBK" w:cs="仿宋_GB2312"/>
          <w:b/>
          <w:color w:val="000000"/>
          <w:kern w:val="0"/>
          <w:sz w:val="33"/>
          <w:szCs w:val="33"/>
          <w:shd w:val="clear" w:color="auto" w:fill="FFFFFF"/>
          <w:lang w:val="zh-CN" w:eastAsia="zh-CN" w:bidi="ar-SA"/>
        </w:rPr>
        <w:t>（一）机构组成</w:t>
      </w:r>
    </w:p>
    <w:p w14:paraId="682384DA">
      <w:pPr>
        <w:ind w:firstLine="660" w:firstLineChars="200"/>
        <w:rPr>
          <w:rFonts w:ascii="Times New Roman" w:hAnsi="Times New Roman" w:eastAsia="方正仿宋_GBK"/>
          <w:sz w:val="33"/>
          <w:szCs w:val="33"/>
        </w:rPr>
      </w:pPr>
      <w:r>
        <w:rPr>
          <w:rFonts w:ascii="Times New Roman" w:hAnsi="Times New Roman" w:eastAsia="方正仿宋_GBK"/>
          <w:sz w:val="33"/>
          <w:szCs w:val="33"/>
        </w:rPr>
        <w:t>202</w:t>
      </w:r>
      <w:r>
        <w:rPr>
          <w:rFonts w:hint="eastAsia" w:eastAsia="方正仿宋_GBK"/>
          <w:sz w:val="33"/>
          <w:szCs w:val="33"/>
          <w:lang w:val="en-US" w:eastAsia="zh-CN"/>
        </w:rPr>
        <w:t>3</w:t>
      </w:r>
      <w:r>
        <w:rPr>
          <w:rFonts w:ascii="Times New Roman" w:hAnsi="Times New Roman" w:eastAsia="方正仿宋_GBK"/>
          <w:sz w:val="33"/>
          <w:szCs w:val="33"/>
        </w:rPr>
        <w:t>年末，县纪委监委实有内设科室1</w:t>
      </w:r>
      <w:r>
        <w:rPr>
          <w:rFonts w:hint="eastAsia" w:ascii="Times New Roman" w:hAnsi="Times New Roman" w:eastAsia="方正仿宋_GBK"/>
          <w:sz w:val="33"/>
          <w:szCs w:val="33"/>
        </w:rPr>
        <w:t>3</w:t>
      </w:r>
      <w:r>
        <w:rPr>
          <w:rFonts w:ascii="Times New Roman" w:hAnsi="Times New Roman" w:eastAsia="方正仿宋_GBK"/>
          <w:sz w:val="33"/>
          <w:szCs w:val="33"/>
        </w:rPr>
        <w:t>个室（部）：办公室、组织部、宣传部、党风政风监督室、第一至第五纪检监察室、案件审理室、</w:t>
      </w:r>
      <w:r>
        <w:rPr>
          <w:rFonts w:hint="eastAsia" w:eastAsia="方正仿宋_GBK"/>
          <w:sz w:val="33"/>
          <w:szCs w:val="33"/>
          <w:lang w:eastAsia="zh-CN"/>
        </w:rPr>
        <w:t>干部监督管理室</w:t>
      </w:r>
      <w:r>
        <w:rPr>
          <w:rFonts w:hint="eastAsia" w:ascii="Times New Roman" w:hAnsi="Times New Roman" w:eastAsia="方正仿宋_GBK"/>
          <w:sz w:val="33"/>
          <w:szCs w:val="33"/>
        </w:rPr>
        <w:t>、</w:t>
      </w:r>
      <w:r>
        <w:rPr>
          <w:rFonts w:ascii="Times New Roman" w:hAnsi="Times New Roman" w:eastAsia="方正仿宋_GBK"/>
          <w:sz w:val="33"/>
          <w:szCs w:val="33"/>
        </w:rPr>
        <w:t>信访室</w:t>
      </w:r>
      <w:r>
        <w:rPr>
          <w:rFonts w:hint="eastAsia" w:ascii="Times New Roman" w:hAnsi="Times New Roman" w:eastAsia="方正仿宋_GBK"/>
          <w:sz w:val="33"/>
          <w:szCs w:val="33"/>
        </w:rPr>
        <w:t>、案管室</w:t>
      </w:r>
      <w:r>
        <w:rPr>
          <w:rFonts w:ascii="Times New Roman" w:hAnsi="Times New Roman" w:eastAsia="方正仿宋_GBK"/>
          <w:sz w:val="33"/>
          <w:szCs w:val="33"/>
        </w:rPr>
        <w:t>。直属事业单位：纪检监察教育培训与信息中心，无独立预算权限。另外中共盐边县委巡察工作领导小组办公室列入县委工作机关序列。</w:t>
      </w:r>
    </w:p>
    <w:p w14:paraId="1DC8577B">
      <w:pPr>
        <w:widowControl/>
        <w:adjustRightInd w:val="0"/>
        <w:snapToGrid w:val="0"/>
        <w:ind w:firstLine="663" w:firstLineChars="200"/>
        <w:jc w:val="left"/>
        <w:rPr>
          <w:rFonts w:hint="default" w:ascii="方正楷体_GBK" w:eastAsia="方正楷体_GBK" w:cs="仿宋_GB2312"/>
          <w:b/>
          <w:color w:val="000000"/>
          <w:kern w:val="0"/>
          <w:sz w:val="33"/>
          <w:szCs w:val="33"/>
          <w:shd w:val="clear" w:color="auto" w:fill="FFFFFF"/>
          <w:lang w:val="zh-CN" w:eastAsia="zh-CN" w:bidi="ar-SA"/>
        </w:rPr>
      </w:pPr>
      <w:r>
        <w:rPr>
          <w:rFonts w:hint="default" w:ascii="方正楷体_GBK" w:eastAsia="方正楷体_GBK" w:cs="仿宋_GB2312"/>
          <w:b/>
          <w:color w:val="000000"/>
          <w:kern w:val="0"/>
          <w:sz w:val="33"/>
          <w:szCs w:val="33"/>
          <w:shd w:val="clear" w:color="auto" w:fill="FFFFFF"/>
          <w:lang w:val="zh-CN" w:eastAsia="zh-CN" w:bidi="ar-SA"/>
        </w:rPr>
        <w:t>（二）机构职能</w:t>
      </w:r>
    </w:p>
    <w:p w14:paraId="7CB765F2">
      <w:pPr>
        <w:ind w:firstLine="660" w:firstLineChars="200"/>
        <w:rPr>
          <w:rFonts w:hint="eastAsia" w:ascii="Times New Roman" w:hAnsi="Times New Roman" w:eastAsia="方正仿宋_GBK"/>
          <w:sz w:val="33"/>
          <w:szCs w:val="33"/>
        </w:rPr>
      </w:pPr>
      <w:r>
        <w:rPr>
          <w:rFonts w:hint="eastAsia" w:ascii="Times New Roman" w:hAnsi="Times New Roman" w:eastAsia="方正仿宋_GBK"/>
          <w:sz w:val="33"/>
          <w:szCs w:val="33"/>
        </w:rPr>
        <w:t>盐边县纪委监委履行党的纪律检查和政府行政监察两种职能。其主要职责是：主管全县的纪律检查工作，负责贯彻落实党中央、省、市、县委关于加强党风廉政建设的决定，维护党的章程和党内其他法规，检查党的路线、方针、政策和决议的执行情况。</w:t>
      </w:r>
    </w:p>
    <w:p w14:paraId="2D5FC7EB">
      <w:pPr>
        <w:widowControl/>
        <w:adjustRightInd w:val="0"/>
        <w:snapToGrid w:val="0"/>
        <w:ind w:firstLine="663" w:firstLineChars="200"/>
        <w:jc w:val="left"/>
        <w:rPr>
          <w:rFonts w:hint="default" w:ascii="方正楷体_GBK" w:eastAsia="方正楷体_GBK" w:cs="仿宋_GB2312"/>
          <w:b/>
          <w:color w:val="000000"/>
          <w:kern w:val="0"/>
          <w:sz w:val="33"/>
          <w:szCs w:val="33"/>
          <w:shd w:val="clear" w:color="auto" w:fill="FFFFFF"/>
          <w:lang w:val="zh-CN" w:eastAsia="zh-CN" w:bidi="ar-SA"/>
        </w:rPr>
      </w:pPr>
      <w:r>
        <w:rPr>
          <w:rFonts w:hint="default" w:ascii="方正楷体_GBK" w:eastAsia="方正楷体_GBK" w:cs="仿宋_GB2312"/>
          <w:b/>
          <w:color w:val="000000"/>
          <w:kern w:val="0"/>
          <w:sz w:val="33"/>
          <w:szCs w:val="33"/>
          <w:shd w:val="clear" w:color="auto" w:fill="FFFFFF"/>
          <w:lang w:val="zh-CN" w:eastAsia="zh-CN" w:bidi="ar-SA"/>
        </w:rPr>
        <w:t>（三）人员概况</w:t>
      </w:r>
    </w:p>
    <w:p w14:paraId="23B915C2">
      <w:pPr>
        <w:widowControl/>
        <w:adjustRightInd w:val="0"/>
        <w:snapToGrid w:val="0"/>
        <w:spacing w:line="580" w:lineRule="exact"/>
        <w:ind w:firstLine="660" w:firstLineChars="200"/>
        <w:jc w:val="left"/>
        <w:rPr>
          <w:rFonts w:ascii="Times New Roman" w:hAnsi="Times New Roman" w:eastAsia="方正仿宋_GBK"/>
          <w:sz w:val="33"/>
          <w:szCs w:val="33"/>
        </w:rPr>
      </w:pPr>
      <w:r>
        <w:rPr>
          <w:rFonts w:hint="eastAsia" w:ascii="Times New Roman" w:hAnsi="Times New Roman" w:eastAsia="方正仿宋_GBK"/>
          <w:sz w:val="33"/>
          <w:szCs w:val="33"/>
        </w:rPr>
        <w:t>202</w:t>
      </w:r>
      <w:r>
        <w:rPr>
          <w:rFonts w:hint="eastAsia" w:eastAsia="方正仿宋_GBK"/>
          <w:sz w:val="33"/>
          <w:szCs w:val="33"/>
          <w:lang w:val="en-US" w:eastAsia="zh-CN"/>
        </w:rPr>
        <w:t>3</w:t>
      </w:r>
      <w:r>
        <w:rPr>
          <w:rFonts w:hint="eastAsia" w:ascii="Times New Roman" w:hAnsi="Times New Roman" w:eastAsia="方正仿宋_GBK"/>
          <w:sz w:val="33"/>
          <w:szCs w:val="33"/>
        </w:rPr>
        <w:t>年度因工作调动的原因，我单位人数较上年有所减少。其中，调入行政人员1</w:t>
      </w:r>
      <w:r>
        <w:rPr>
          <w:rFonts w:hint="eastAsia" w:eastAsia="方正仿宋_GBK"/>
          <w:sz w:val="33"/>
          <w:szCs w:val="33"/>
          <w:lang w:val="en-US" w:eastAsia="zh-CN"/>
        </w:rPr>
        <w:t>6</w:t>
      </w:r>
      <w:r>
        <w:rPr>
          <w:rFonts w:hint="eastAsia" w:ascii="Times New Roman" w:hAnsi="Times New Roman" w:eastAsia="方正仿宋_GBK"/>
          <w:sz w:val="33"/>
          <w:szCs w:val="33"/>
        </w:rPr>
        <w:t>人，调入</w:t>
      </w:r>
      <w:r>
        <w:rPr>
          <w:rFonts w:hint="eastAsia" w:eastAsia="方正仿宋_GBK"/>
          <w:sz w:val="33"/>
          <w:szCs w:val="33"/>
          <w:lang w:eastAsia="zh-CN"/>
        </w:rPr>
        <w:t>事业人员</w:t>
      </w:r>
      <w:r>
        <w:rPr>
          <w:rFonts w:hint="eastAsia" w:ascii="Times New Roman" w:hAnsi="Times New Roman" w:eastAsia="方正仿宋_GBK"/>
          <w:sz w:val="33"/>
          <w:szCs w:val="33"/>
        </w:rPr>
        <w:t>1人，调出行政人员16人，</w:t>
      </w:r>
      <w:r>
        <w:rPr>
          <w:rFonts w:hint="eastAsia" w:eastAsia="方正仿宋_GBK"/>
          <w:sz w:val="33"/>
          <w:szCs w:val="33"/>
          <w:lang w:eastAsia="zh-CN"/>
        </w:rPr>
        <w:t>辞职</w:t>
      </w:r>
      <w:r>
        <w:rPr>
          <w:rFonts w:hint="eastAsia" w:ascii="Times New Roman" w:hAnsi="Times New Roman" w:eastAsia="方正仿宋_GBK"/>
          <w:sz w:val="33"/>
          <w:szCs w:val="33"/>
        </w:rPr>
        <w:t>行政人员</w:t>
      </w:r>
      <w:r>
        <w:rPr>
          <w:rFonts w:hint="eastAsia" w:eastAsia="方正仿宋_GBK"/>
          <w:sz w:val="33"/>
          <w:szCs w:val="33"/>
          <w:lang w:val="en-US" w:eastAsia="zh-CN"/>
        </w:rPr>
        <w:t>1人，</w:t>
      </w:r>
      <w:r>
        <w:rPr>
          <w:rFonts w:hint="eastAsia" w:ascii="Times New Roman" w:hAnsi="Times New Roman" w:eastAsia="方正仿宋_GBK"/>
          <w:sz w:val="33"/>
          <w:szCs w:val="33"/>
        </w:rPr>
        <w:t>调出</w:t>
      </w:r>
      <w:r>
        <w:rPr>
          <w:rFonts w:hint="eastAsia" w:eastAsia="方正仿宋_GBK"/>
          <w:sz w:val="33"/>
          <w:szCs w:val="33"/>
          <w:lang w:eastAsia="zh-CN"/>
        </w:rPr>
        <w:t>事业人员</w:t>
      </w:r>
      <w:r>
        <w:rPr>
          <w:rFonts w:hint="eastAsia" w:ascii="Times New Roman" w:hAnsi="Times New Roman" w:eastAsia="方正仿宋_GBK"/>
          <w:sz w:val="33"/>
          <w:szCs w:val="33"/>
        </w:rPr>
        <w:t>1人。截止202</w:t>
      </w:r>
      <w:r>
        <w:rPr>
          <w:rFonts w:hint="eastAsia" w:eastAsia="方正仿宋_GBK"/>
          <w:sz w:val="33"/>
          <w:szCs w:val="33"/>
          <w:lang w:val="en-US" w:eastAsia="zh-CN"/>
        </w:rPr>
        <w:t>3</w:t>
      </w:r>
      <w:r>
        <w:rPr>
          <w:rFonts w:hint="eastAsia" w:ascii="Times New Roman" w:hAnsi="Times New Roman" w:eastAsia="方正仿宋_GBK"/>
          <w:sz w:val="33"/>
          <w:szCs w:val="33"/>
        </w:rPr>
        <w:t>年末，单位实有人员4</w:t>
      </w:r>
      <w:r>
        <w:rPr>
          <w:rFonts w:hint="eastAsia" w:eastAsia="方正仿宋_GBK"/>
          <w:sz w:val="33"/>
          <w:szCs w:val="33"/>
          <w:lang w:val="en-US" w:eastAsia="zh-CN"/>
        </w:rPr>
        <w:t>6</w:t>
      </w:r>
      <w:r>
        <w:rPr>
          <w:rFonts w:hint="eastAsia" w:ascii="Times New Roman" w:hAnsi="Times New Roman" w:eastAsia="方正仿宋_GBK"/>
          <w:sz w:val="33"/>
          <w:szCs w:val="33"/>
        </w:rPr>
        <w:t>人，其中行政人员</w:t>
      </w:r>
      <w:r>
        <w:rPr>
          <w:rFonts w:hint="eastAsia" w:eastAsia="方正仿宋_GBK"/>
          <w:sz w:val="33"/>
          <w:szCs w:val="33"/>
          <w:lang w:val="en-US" w:eastAsia="zh-CN"/>
        </w:rPr>
        <w:t>39</w:t>
      </w:r>
      <w:r>
        <w:rPr>
          <w:rFonts w:hint="eastAsia" w:ascii="Times New Roman" w:hAnsi="Times New Roman" w:eastAsia="方正仿宋_GBK"/>
          <w:sz w:val="33"/>
          <w:szCs w:val="33"/>
        </w:rPr>
        <w:t>人、机关工勤人员</w:t>
      </w:r>
      <w:r>
        <w:rPr>
          <w:rFonts w:hint="eastAsia" w:eastAsia="方正仿宋_GBK"/>
          <w:sz w:val="33"/>
          <w:szCs w:val="33"/>
          <w:lang w:val="en-US" w:eastAsia="zh-CN"/>
        </w:rPr>
        <w:t>1</w:t>
      </w:r>
      <w:r>
        <w:rPr>
          <w:rFonts w:hint="eastAsia" w:ascii="Times New Roman" w:hAnsi="Times New Roman" w:eastAsia="方正仿宋_GBK"/>
          <w:sz w:val="33"/>
          <w:szCs w:val="33"/>
        </w:rPr>
        <w:t>人、事业人员</w:t>
      </w:r>
      <w:r>
        <w:rPr>
          <w:rFonts w:hint="eastAsia" w:eastAsia="方正仿宋_GBK"/>
          <w:sz w:val="33"/>
          <w:szCs w:val="33"/>
          <w:lang w:val="en-US" w:eastAsia="zh-CN"/>
        </w:rPr>
        <w:t>6</w:t>
      </w:r>
      <w:r>
        <w:rPr>
          <w:rFonts w:hint="eastAsia" w:ascii="Times New Roman" w:hAnsi="Times New Roman" w:eastAsia="方正仿宋_GBK"/>
          <w:sz w:val="33"/>
          <w:szCs w:val="33"/>
        </w:rPr>
        <w:t>人。</w:t>
      </w:r>
    </w:p>
    <w:p w14:paraId="7D2D9B79">
      <w:pPr>
        <w:ind w:firstLine="660" w:firstLineChars="200"/>
        <w:rPr>
          <w:rFonts w:hint="default" w:ascii="方正黑体_GBK" w:eastAsia="方正黑体_GBK"/>
          <w:sz w:val="33"/>
          <w:szCs w:val="33"/>
        </w:rPr>
      </w:pPr>
      <w:r>
        <w:rPr>
          <w:rFonts w:hint="default" w:ascii="方正黑体_GBK" w:eastAsia="方正黑体_GBK"/>
          <w:sz w:val="33"/>
          <w:szCs w:val="33"/>
        </w:rPr>
        <w:t>二、部门财政资金收支情况</w:t>
      </w:r>
    </w:p>
    <w:p w14:paraId="2954922A">
      <w:pPr>
        <w:widowControl/>
        <w:adjustRightInd w:val="0"/>
        <w:snapToGrid w:val="0"/>
        <w:ind w:firstLine="663" w:firstLineChars="200"/>
        <w:jc w:val="left"/>
        <w:rPr>
          <w:rFonts w:hint="default" w:ascii="方正楷体_GBK" w:eastAsia="方正楷体_GBK" w:cs="仿宋_GB2312"/>
          <w:b/>
          <w:color w:val="000000"/>
          <w:kern w:val="0"/>
          <w:sz w:val="33"/>
          <w:szCs w:val="33"/>
          <w:shd w:val="clear" w:color="auto" w:fill="FFFFFF"/>
          <w:lang w:val="zh-CN" w:eastAsia="zh-CN" w:bidi="ar-SA"/>
        </w:rPr>
      </w:pPr>
      <w:r>
        <w:rPr>
          <w:rFonts w:hint="default" w:ascii="方正楷体_GBK" w:eastAsia="方正楷体_GBK" w:cs="仿宋_GB2312"/>
          <w:b/>
          <w:color w:val="000000"/>
          <w:kern w:val="0"/>
          <w:sz w:val="33"/>
          <w:szCs w:val="33"/>
          <w:shd w:val="clear" w:color="auto" w:fill="FFFFFF"/>
          <w:lang w:val="zh-CN" w:eastAsia="zh-CN" w:bidi="ar-SA"/>
        </w:rPr>
        <w:t>（一）部门财政资金收入情况</w:t>
      </w:r>
    </w:p>
    <w:p w14:paraId="34628D08">
      <w:pPr>
        <w:ind w:firstLine="660" w:firstLineChars="200"/>
        <w:rPr>
          <w:rFonts w:ascii="Times New Roman" w:hAnsi="Times New Roman" w:eastAsia="方正仿宋_GBK"/>
          <w:sz w:val="33"/>
          <w:szCs w:val="33"/>
        </w:rPr>
      </w:pPr>
      <w:r>
        <w:rPr>
          <w:rFonts w:ascii="Times New Roman" w:hAnsi="Times New Roman" w:eastAsia="方正仿宋_GBK"/>
          <w:sz w:val="33"/>
          <w:szCs w:val="33"/>
        </w:rPr>
        <w:t>202</w:t>
      </w:r>
      <w:r>
        <w:rPr>
          <w:rFonts w:hint="eastAsia" w:eastAsia="方正仿宋_GBK"/>
          <w:sz w:val="33"/>
          <w:szCs w:val="33"/>
          <w:lang w:val="en-US" w:eastAsia="zh-CN"/>
        </w:rPr>
        <w:t>3</w:t>
      </w:r>
      <w:r>
        <w:rPr>
          <w:rFonts w:ascii="Times New Roman" w:hAnsi="Times New Roman" w:eastAsia="方正仿宋_GBK"/>
          <w:sz w:val="33"/>
          <w:szCs w:val="33"/>
        </w:rPr>
        <w:t>年县纪委监委决算收入总额</w:t>
      </w:r>
      <w:r>
        <w:rPr>
          <w:rFonts w:hint="eastAsia" w:ascii="Times New Roman" w:hAnsi="Times New Roman" w:eastAsia="方正仿宋_GBK"/>
          <w:sz w:val="33"/>
          <w:szCs w:val="33"/>
        </w:rPr>
        <w:t>1634.02</w:t>
      </w:r>
      <w:r>
        <w:rPr>
          <w:rFonts w:ascii="Times New Roman" w:hAnsi="Times New Roman" w:eastAsia="方正仿宋_GBK"/>
          <w:sz w:val="33"/>
          <w:szCs w:val="33"/>
        </w:rPr>
        <w:t>万元，其中：当年财政拨款收入</w:t>
      </w:r>
      <w:r>
        <w:rPr>
          <w:rFonts w:hint="eastAsia" w:ascii="Times New Roman" w:hAnsi="Times New Roman" w:eastAsia="方正仿宋_GBK"/>
          <w:sz w:val="33"/>
          <w:szCs w:val="33"/>
        </w:rPr>
        <w:t>1634.02</w:t>
      </w:r>
      <w:r>
        <w:rPr>
          <w:rFonts w:ascii="Times New Roman" w:hAnsi="Times New Roman" w:eastAsia="方正仿宋_GBK"/>
          <w:sz w:val="33"/>
          <w:szCs w:val="33"/>
        </w:rPr>
        <w:t>万元，上年</w:t>
      </w:r>
      <w:r>
        <w:rPr>
          <w:rFonts w:hint="eastAsia" w:eastAsia="方正仿宋_GBK"/>
          <w:sz w:val="33"/>
          <w:szCs w:val="33"/>
          <w:lang w:eastAsia="zh-CN"/>
        </w:rPr>
        <w:t>无</w:t>
      </w:r>
      <w:r>
        <w:rPr>
          <w:rFonts w:ascii="Times New Roman" w:hAnsi="Times New Roman" w:eastAsia="方正仿宋_GBK"/>
          <w:sz w:val="33"/>
          <w:szCs w:val="33"/>
        </w:rPr>
        <w:t>结转资金收入。</w:t>
      </w:r>
    </w:p>
    <w:p w14:paraId="79F08B91">
      <w:pPr>
        <w:widowControl/>
        <w:adjustRightInd w:val="0"/>
        <w:snapToGrid w:val="0"/>
        <w:ind w:firstLine="663" w:firstLineChars="200"/>
        <w:jc w:val="left"/>
        <w:rPr>
          <w:rFonts w:hint="default" w:ascii="方正楷体_GBK" w:eastAsia="方正楷体_GBK" w:cs="仿宋_GB2312"/>
          <w:b/>
          <w:color w:val="000000"/>
          <w:kern w:val="0"/>
          <w:sz w:val="33"/>
          <w:szCs w:val="33"/>
          <w:shd w:val="clear" w:color="auto" w:fill="FFFFFF"/>
          <w:lang w:val="zh-CN" w:eastAsia="zh-CN" w:bidi="ar-SA"/>
        </w:rPr>
      </w:pPr>
      <w:r>
        <w:rPr>
          <w:rFonts w:hint="default" w:ascii="方正楷体_GBK" w:eastAsia="方正楷体_GBK" w:cs="仿宋_GB2312"/>
          <w:b/>
          <w:color w:val="000000"/>
          <w:kern w:val="0"/>
          <w:sz w:val="33"/>
          <w:szCs w:val="33"/>
          <w:shd w:val="clear" w:color="auto" w:fill="FFFFFF"/>
          <w:lang w:val="zh-CN" w:eastAsia="zh-CN" w:bidi="ar-SA"/>
        </w:rPr>
        <w:t>（二）部门财政资金支出情况</w:t>
      </w:r>
    </w:p>
    <w:p w14:paraId="2C4592A2">
      <w:pPr>
        <w:ind w:firstLine="660" w:firstLineChars="200"/>
        <w:rPr>
          <w:rFonts w:ascii="Times New Roman" w:hAnsi="Times New Roman" w:eastAsia="方正仿宋_GBK"/>
          <w:sz w:val="33"/>
          <w:szCs w:val="33"/>
        </w:rPr>
      </w:pPr>
      <w:r>
        <w:rPr>
          <w:rFonts w:ascii="Times New Roman" w:hAnsi="Times New Roman" w:eastAsia="方正仿宋_GBK"/>
          <w:sz w:val="33"/>
          <w:szCs w:val="33"/>
        </w:rPr>
        <w:t>202</w:t>
      </w:r>
      <w:r>
        <w:rPr>
          <w:rFonts w:hint="eastAsia" w:eastAsia="方正仿宋_GBK"/>
          <w:sz w:val="33"/>
          <w:szCs w:val="33"/>
          <w:lang w:val="en-US" w:eastAsia="zh-CN"/>
        </w:rPr>
        <w:t>3</w:t>
      </w:r>
      <w:r>
        <w:rPr>
          <w:rFonts w:ascii="Times New Roman" w:hAnsi="Times New Roman" w:eastAsia="方正仿宋_GBK"/>
          <w:sz w:val="33"/>
          <w:szCs w:val="33"/>
        </w:rPr>
        <w:t>年县纪委监委决算支出总额</w:t>
      </w:r>
      <w:r>
        <w:rPr>
          <w:rFonts w:hint="eastAsia" w:ascii="Times New Roman" w:hAnsi="Times New Roman" w:eastAsia="方正仿宋_GBK"/>
          <w:sz w:val="33"/>
          <w:szCs w:val="33"/>
        </w:rPr>
        <w:t>1634.02</w:t>
      </w:r>
      <w:r>
        <w:rPr>
          <w:rFonts w:ascii="Times New Roman" w:hAnsi="Times New Roman" w:eastAsia="方正仿宋_GBK"/>
          <w:sz w:val="33"/>
          <w:szCs w:val="33"/>
        </w:rPr>
        <w:t>万元，其中：基本支出</w:t>
      </w:r>
      <w:r>
        <w:rPr>
          <w:rFonts w:hint="eastAsia" w:ascii="Times New Roman" w:hAnsi="Times New Roman" w:eastAsia="方正仿宋_GBK"/>
          <w:sz w:val="33"/>
          <w:szCs w:val="33"/>
        </w:rPr>
        <w:t>1063.32</w:t>
      </w:r>
      <w:r>
        <w:rPr>
          <w:rFonts w:ascii="Times New Roman" w:hAnsi="Times New Roman" w:eastAsia="方正仿宋_GBK"/>
          <w:sz w:val="33"/>
          <w:szCs w:val="33"/>
        </w:rPr>
        <w:t>万元，项目支出</w:t>
      </w:r>
      <w:r>
        <w:rPr>
          <w:rFonts w:hint="eastAsia" w:ascii="Times New Roman" w:hAnsi="Times New Roman" w:eastAsia="方正仿宋_GBK"/>
          <w:sz w:val="33"/>
          <w:szCs w:val="33"/>
        </w:rPr>
        <w:t>570.7</w:t>
      </w:r>
      <w:r>
        <w:rPr>
          <w:rFonts w:ascii="Times New Roman" w:hAnsi="Times New Roman" w:eastAsia="方正仿宋_GBK"/>
          <w:sz w:val="33"/>
          <w:szCs w:val="33"/>
        </w:rPr>
        <w:t>万元。</w:t>
      </w:r>
    </w:p>
    <w:p w14:paraId="0B40AB92">
      <w:pPr>
        <w:widowControl/>
        <w:adjustRightInd w:val="0"/>
        <w:snapToGrid w:val="0"/>
        <w:ind w:firstLine="663" w:firstLineChars="200"/>
        <w:jc w:val="left"/>
        <w:rPr>
          <w:rFonts w:hint="default" w:ascii="方正楷体_GBK" w:eastAsia="方正楷体_GBK" w:cs="仿宋_GB2312"/>
          <w:b/>
          <w:color w:val="000000"/>
          <w:kern w:val="0"/>
          <w:sz w:val="33"/>
          <w:szCs w:val="33"/>
          <w:shd w:val="clear" w:color="auto" w:fill="FFFFFF"/>
          <w:lang w:val="zh-CN" w:eastAsia="zh-CN" w:bidi="ar-SA"/>
        </w:rPr>
      </w:pPr>
      <w:r>
        <w:rPr>
          <w:rFonts w:hint="default" w:ascii="方正楷体_GBK" w:eastAsia="方正楷体_GBK" w:cs="仿宋_GB2312"/>
          <w:b/>
          <w:color w:val="000000"/>
          <w:kern w:val="0"/>
          <w:sz w:val="33"/>
          <w:szCs w:val="33"/>
          <w:shd w:val="clear" w:color="auto" w:fill="FFFFFF"/>
          <w:lang w:val="zh-CN" w:eastAsia="zh-CN" w:bidi="ar-SA"/>
        </w:rPr>
        <w:t>（三）财政资金结转结余情况</w:t>
      </w:r>
    </w:p>
    <w:p w14:paraId="21B97004">
      <w:pPr>
        <w:ind w:firstLine="660" w:firstLineChars="200"/>
        <w:rPr>
          <w:rFonts w:ascii="Times New Roman" w:hAnsi="Times New Roman" w:eastAsia="方正仿宋_GBK"/>
          <w:sz w:val="33"/>
          <w:szCs w:val="33"/>
        </w:rPr>
      </w:pPr>
      <w:r>
        <w:rPr>
          <w:rFonts w:ascii="Times New Roman" w:hAnsi="Times New Roman" w:eastAsia="方正仿宋_GBK"/>
          <w:sz w:val="33"/>
          <w:szCs w:val="33"/>
        </w:rPr>
        <w:t>上年</w:t>
      </w:r>
      <w:r>
        <w:rPr>
          <w:rFonts w:hint="eastAsia" w:eastAsia="方正仿宋_GBK"/>
          <w:sz w:val="33"/>
          <w:szCs w:val="33"/>
          <w:lang w:eastAsia="zh-CN"/>
        </w:rPr>
        <w:t>无</w:t>
      </w:r>
      <w:r>
        <w:rPr>
          <w:rFonts w:ascii="Times New Roman" w:hAnsi="Times New Roman" w:eastAsia="方正仿宋_GBK"/>
          <w:sz w:val="33"/>
          <w:szCs w:val="33"/>
        </w:rPr>
        <w:t>结转资金收入；本年</w:t>
      </w:r>
      <w:r>
        <w:rPr>
          <w:rFonts w:hint="eastAsia" w:ascii="Times New Roman" w:hAnsi="Times New Roman" w:eastAsia="方正仿宋_GBK"/>
          <w:sz w:val="33"/>
          <w:szCs w:val="33"/>
        </w:rPr>
        <w:t>无</w:t>
      </w:r>
      <w:r>
        <w:rPr>
          <w:rFonts w:ascii="Times New Roman" w:hAnsi="Times New Roman" w:eastAsia="方正仿宋_GBK"/>
          <w:sz w:val="33"/>
          <w:szCs w:val="33"/>
        </w:rPr>
        <w:t>结转和结余。</w:t>
      </w:r>
    </w:p>
    <w:p w14:paraId="686923CF">
      <w:pPr>
        <w:ind w:firstLine="660" w:firstLineChars="200"/>
        <w:rPr>
          <w:rFonts w:hint="default" w:ascii="方正黑体_GBK" w:eastAsia="方正黑体_GBK"/>
          <w:sz w:val="33"/>
          <w:szCs w:val="33"/>
        </w:rPr>
      </w:pPr>
      <w:r>
        <w:rPr>
          <w:rFonts w:hint="default" w:ascii="方正黑体_GBK" w:eastAsia="方正黑体_GBK"/>
          <w:sz w:val="33"/>
          <w:szCs w:val="33"/>
        </w:rPr>
        <w:t>三、部门整体预算绩效管理情况</w:t>
      </w:r>
    </w:p>
    <w:p w14:paraId="6872524F">
      <w:pPr>
        <w:ind w:firstLine="663" w:firstLineChars="200"/>
        <w:rPr>
          <w:rFonts w:hint="eastAsia" w:ascii="Times New Roman" w:hAnsi="Times New Roman" w:eastAsia="方正仿宋_GBK"/>
          <w:sz w:val="33"/>
          <w:szCs w:val="33"/>
        </w:rPr>
      </w:pPr>
      <w:r>
        <w:rPr>
          <w:rFonts w:hint="default" w:ascii="方正楷体_GBK" w:eastAsia="方正楷体_GBK" w:cs="仿宋_GB2312"/>
          <w:b/>
          <w:color w:val="000000"/>
          <w:kern w:val="0"/>
          <w:sz w:val="33"/>
          <w:szCs w:val="33"/>
          <w:shd w:val="clear" w:color="auto" w:fill="FFFFFF"/>
          <w:lang w:val="zh-CN" w:eastAsia="zh-CN" w:bidi="ar-SA"/>
        </w:rPr>
        <w:t>（一）部门预算项目绩效管理</w:t>
      </w:r>
    </w:p>
    <w:p w14:paraId="502D8AA8">
      <w:pPr>
        <w:ind w:firstLine="660" w:firstLineChars="200"/>
        <w:rPr>
          <w:rFonts w:hint="eastAsia" w:ascii="Times New Roman" w:hAnsi="Times New Roman" w:eastAsia="方正仿宋_GBK"/>
          <w:sz w:val="33"/>
          <w:szCs w:val="33"/>
        </w:rPr>
      </w:pPr>
      <w:r>
        <w:rPr>
          <w:rFonts w:hint="default" w:ascii="Times New Roman" w:hAnsi="Times New Roman" w:eastAsia="方正仿宋_GBK"/>
          <w:sz w:val="33"/>
          <w:szCs w:val="33"/>
        </w:rPr>
        <w:t>1.</w:t>
      </w:r>
      <w:r>
        <w:rPr>
          <w:rFonts w:hint="eastAsia" w:ascii="Times New Roman" w:hAnsi="Times New Roman" w:eastAsia="方正仿宋_GBK"/>
          <w:sz w:val="33"/>
          <w:szCs w:val="33"/>
        </w:rPr>
        <w:t>总体绩效：202</w:t>
      </w:r>
      <w:r>
        <w:rPr>
          <w:rFonts w:hint="eastAsia" w:ascii="Times New Roman" w:hAnsi="Times New Roman" w:eastAsia="方正仿宋_GBK"/>
          <w:sz w:val="33"/>
          <w:szCs w:val="33"/>
          <w:lang w:val="en-US" w:eastAsia="zh-CN"/>
        </w:rPr>
        <w:t>3</w:t>
      </w:r>
      <w:r>
        <w:rPr>
          <w:rFonts w:hint="eastAsia" w:ascii="Times New Roman" w:hAnsi="Times New Roman" w:eastAsia="方正仿宋_GBK"/>
          <w:sz w:val="33"/>
          <w:szCs w:val="33"/>
        </w:rPr>
        <w:t xml:space="preserve">全年预算数1634.02万元，执行1634.02万元，执行率达100%。 </w:t>
      </w:r>
    </w:p>
    <w:p w14:paraId="29231C56">
      <w:pPr>
        <w:ind w:firstLine="660" w:firstLineChars="200"/>
        <w:rPr>
          <w:rFonts w:ascii="Times New Roman" w:hAnsi="Times New Roman" w:eastAsia="方正仿宋_GBK"/>
          <w:sz w:val="33"/>
          <w:szCs w:val="33"/>
        </w:rPr>
      </w:pPr>
      <w:r>
        <w:rPr>
          <w:rFonts w:hint="default" w:ascii="Times New Roman" w:hAnsi="Times New Roman" w:eastAsia="方正仿宋_GBK"/>
          <w:sz w:val="33"/>
          <w:szCs w:val="33"/>
        </w:rPr>
        <w:t>2</w:t>
      </w:r>
      <w:r>
        <w:rPr>
          <w:rFonts w:hint="eastAsia" w:ascii="Times New Roman" w:hAnsi="Times New Roman" w:eastAsia="方正仿宋_GBK"/>
          <w:sz w:val="33"/>
          <w:szCs w:val="33"/>
        </w:rPr>
        <w:t>.主要</w:t>
      </w:r>
      <w:r>
        <w:rPr>
          <w:rFonts w:ascii="Times New Roman" w:hAnsi="Times New Roman" w:eastAsia="方正仿宋_GBK"/>
          <w:sz w:val="33"/>
          <w:szCs w:val="33"/>
        </w:rPr>
        <w:t>目标绩效完成情况</w:t>
      </w:r>
      <w:r>
        <w:rPr>
          <w:rFonts w:hint="eastAsia" w:ascii="Times New Roman" w:hAnsi="Times New Roman" w:eastAsia="方正仿宋_GBK"/>
          <w:sz w:val="33"/>
          <w:szCs w:val="33"/>
        </w:rPr>
        <w:t>：数量指标完成情况优</w:t>
      </w:r>
      <w:r>
        <w:rPr>
          <w:rFonts w:hint="eastAsia" w:ascii="Times New Roman" w:hAnsi="Times New Roman" w:eastAsia="方正仿宋_GBK"/>
          <w:sz w:val="33"/>
          <w:szCs w:val="33"/>
          <w:lang w:eastAsia="zh-CN"/>
        </w:rPr>
        <w:t>；</w:t>
      </w:r>
      <w:r>
        <w:rPr>
          <w:rFonts w:hint="eastAsia" w:ascii="Times New Roman" w:hAnsi="Times New Roman" w:eastAsia="方正仿宋_GBK"/>
          <w:sz w:val="33"/>
          <w:szCs w:val="33"/>
        </w:rPr>
        <w:t>质量指标完成情况</w:t>
      </w:r>
      <w:r>
        <w:rPr>
          <w:rFonts w:hint="eastAsia" w:ascii="Times New Roman" w:hAnsi="Times New Roman" w:eastAsia="方正仿宋_GBK"/>
          <w:sz w:val="33"/>
          <w:szCs w:val="33"/>
          <w:lang w:eastAsia="zh-CN"/>
        </w:rPr>
        <w:t>优，预算编制准确偏差率≤</w:t>
      </w:r>
      <w:r>
        <w:rPr>
          <w:rFonts w:hint="eastAsia" w:ascii="Times New Roman" w:hAnsi="Times New Roman" w:eastAsia="方正仿宋_GBK"/>
          <w:sz w:val="33"/>
          <w:szCs w:val="33"/>
          <w:lang w:val="en-US" w:eastAsia="zh-CN"/>
        </w:rPr>
        <w:t>5%；经济效益指标为优，运转保障率达到100%，支出控制率达到100%</w:t>
      </w:r>
      <w:r>
        <w:rPr>
          <w:rFonts w:hint="eastAsia" w:ascii="Times New Roman" w:hAnsi="Times New Roman" w:eastAsia="方正仿宋_GBK"/>
          <w:sz w:val="33"/>
          <w:szCs w:val="33"/>
        </w:rPr>
        <w:t>。</w:t>
      </w:r>
      <w:r>
        <w:rPr>
          <w:rFonts w:hint="eastAsia" w:ascii="Times New Roman" w:hAnsi="Times New Roman" w:eastAsia="方正仿宋_GBK"/>
          <w:sz w:val="33"/>
          <w:szCs w:val="33"/>
          <w:lang w:eastAsia="zh-CN"/>
        </w:rPr>
        <w:t>总体来说，绩效目标实际实现程度与预期目标的偏离度很小。</w:t>
      </w:r>
    </w:p>
    <w:p w14:paraId="5040A303"/>
    <w:p w14:paraId="102EBEB2">
      <w:pPr>
        <w:ind w:firstLine="660" w:firstLineChars="200"/>
        <w:rPr>
          <w:rFonts w:ascii="Times New Roman" w:hAnsi="Times New Roman" w:eastAsia="方正仿宋_GBK"/>
          <w:sz w:val="33"/>
          <w:szCs w:val="33"/>
        </w:rPr>
      </w:pPr>
    </w:p>
    <w:p w14:paraId="6C72D00A">
      <w:pPr>
        <w:ind w:firstLine="663" w:firstLineChars="200"/>
        <w:rPr>
          <w:rFonts w:hint="default" w:ascii="方正楷体_GBK" w:eastAsia="方正楷体_GBK" w:cs="仿宋_GB2312"/>
          <w:b/>
          <w:color w:val="000000"/>
          <w:kern w:val="0"/>
          <w:sz w:val="33"/>
          <w:szCs w:val="33"/>
          <w:shd w:val="clear" w:color="auto" w:fill="FFFFFF"/>
          <w:lang w:val="zh-CN" w:eastAsia="zh-CN" w:bidi="ar-SA"/>
        </w:rPr>
      </w:pPr>
      <w:r>
        <w:rPr>
          <w:rFonts w:hint="default" w:ascii="方正楷体_GBK" w:eastAsia="方正楷体_GBK" w:cs="仿宋_GB2312"/>
          <w:b/>
          <w:color w:val="000000"/>
          <w:kern w:val="0"/>
          <w:sz w:val="33"/>
          <w:szCs w:val="33"/>
          <w:shd w:val="clear" w:color="auto" w:fill="FFFFFF"/>
          <w:lang w:val="zh-CN" w:eastAsia="zh-CN" w:bidi="ar-SA"/>
        </w:rPr>
        <w:t>（二）结果应用情况</w:t>
      </w:r>
    </w:p>
    <w:p w14:paraId="27B1C03C">
      <w:pPr>
        <w:ind w:firstLine="660" w:firstLineChars="200"/>
        <w:rPr>
          <w:rFonts w:ascii="Times New Roman" w:hAnsi="Times New Roman" w:eastAsia="方正仿宋_GBK"/>
          <w:sz w:val="33"/>
          <w:szCs w:val="33"/>
        </w:rPr>
      </w:pPr>
      <w:r>
        <w:rPr>
          <w:rFonts w:hint="eastAsia" w:ascii="Times New Roman" w:hAnsi="Times New Roman" w:eastAsia="方正仿宋_GBK"/>
          <w:sz w:val="33"/>
          <w:szCs w:val="33"/>
        </w:rPr>
        <w:t>1.全年基本支出及专项资金分配情况。全年基本支出1063.32万元，严格按照财政预算编制规定和要求，结合单位年度工作计划采取人员经费按照县委组织部公务员股以及人社局工资福利股审核过的工资进行编制，公用经费按定额编制的方法按时完成人员经费、日常公用经费编制工作，切实做到数据完整和准确无误；全年项目支出570.7</w:t>
      </w:r>
      <w:r>
        <w:rPr>
          <w:rFonts w:ascii="Times New Roman" w:hAnsi="Times New Roman" w:eastAsia="方正仿宋_GBK"/>
          <w:sz w:val="33"/>
          <w:szCs w:val="33"/>
        </w:rPr>
        <w:t>万元</w:t>
      </w:r>
      <w:r>
        <w:rPr>
          <w:rFonts w:hint="eastAsia" w:ascii="Times New Roman" w:hAnsi="Times New Roman" w:eastAsia="方正仿宋_GBK"/>
          <w:sz w:val="33"/>
          <w:szCs w:val="33"/>
        </w:rPr>
        <w:t>，年初预算编制阶段，开展了预算事前绩效评估，对本年项目编制了绩效目标，预算执行过程中，对项目开展绩效监控，年终执行完毕后，对项目开展了绩效目标完成情况梳理填报</w:t>
      </w:r>
      <w:r>
        <w:rPr>
          <w:rFonts w:hint="eastAsia" w:eastAsia="方正仿宋_GBK"/>
          <w:sz w:val="33"/>
          <w:szCs w:val="33"/>
          <w:lang w:eastAsia="zh-CN"/>
        </w:rPr>
        <w:t>，</w:t>
      </w:r>
      <w:r>
        <w:rPr>
          <w:rFonts w:hint="eastAsia" w:ascii="Times New Roman" w:hAnsi="Times New Roman" w:eastAsia="方正仿宋_GBK"/>
          <w:sz w:val="33"/>
          <w:szCs w:val="33"/>
        </w:rPr>
        <w:t>年末无结转结余。</w:t>
      </w:r>
      <w:r>
        <w:rPr>
          <w:rFonts w:ascii="Times New Roman" w:hAnsi="Times New Roman" w:eastAsia="方正仿宋_GBK"/>
          <w:sz w:val="33"/>
          <w:szCs w:val="33"/>
        </w:rPr>
        <w:t xml:space="preserve"> </w:t>
      </w:r>
    </w:p>
    <w:p w14:paraId="00A8386C">
      <w:pPr>
        <w:ind w:firstLine="660" w:firstLineChars="200"/>
        <w:rPr>
          <w:rFonts w:ascii="Times New Roman" w:hAnsi="Times New Roman" w:eastAsia="方正仿宋_GBK"/>
          <w:sz w:val="33"/>
          <w:szCs w:val="33"/>
        </w:rPr>
      </w:pPr>
      <w:r>
        <w:rPr>
          <w:rFonts w:hint="eastAsia" w:ascii="Times New Roman" w:hAnsi="Times New Roman" w:eastAsia="方正仿宋_GBK"/>
          <w:sz w:val="33"/>
          <w:szCs w:val="33"/>
        </w:rPr>
        <w:t>2.</w:t>
      </w:r>
      <w:r>
        <w:rPr>
          <w:rFonts w:ascii="Times New Roman" w:hAnsi="Times New Roman" w:eastAsia="方正仿宋_GBK"/>
          <w:sz w:val="33"/>
          <w:szCs w:val="33"/>
        </w:rPr>
        <w:t>资产管理</w:t>
      </w:r>
      <w:r>
        <w:rPr>
          <w:rFonts w:hint="eastAsia" w:ascii="Times New Roman" w:hAnsi="Times New Roman" w:eastAsia="方正仿宋_GBK"/>
          <w:sz w:val="33"/>
          <w:szCs w:val="33"/>
        </w:rPr>
        <w:t>。</w:t>
      </w:r>
      <w:r>
        <w:rPr>
          <w:rFonts w:ascii="Times New Roman" w:hAnsi="Times New Roman" w:eastAsia="方正仿宋_GBK"/>
          <w:sz w:val="33"/>
          <w:szCs w:val="33"/>
        </w:rPr>
        <w:t>严格按照财政部门相关要求进行管理，并按时向提交202</w:t>
      </w:r>
      <w:r>
        <w:rPr>
          <w:rFonts w:hint="eastAsia" w:ascii="Times New Roman" w:hAnsi="Times New Roman" w:eastAsia="方正仿宋_GBK"/>
          <w:sz w:val="33"/>
          <w:szCs w:val="33"/>
          <w:lang w:val="en-US" w:eastAsia="zh-CN"/>
        </w:rPr>
        <w:t>3</w:t>
      </w:r>
      <w:r>
        <w:rPr>
          <w:rFonts w:ascii="Times New Roman" w:hAnsi="Times New Roman" w:eastAsia="方正仿宋_GBK"/>
          <w:sz w:val="33"/>
          <w:szCs w:val="33"/>
        </w:rPr>
        <w:t>年度国有资产报告。</w:t>
      </w:r>
    </w:p>
    <w:p w14:paraId="17554A83">
      <w:pPr>
        <w:ind w:firstLine="660" w:firstLineChars="200"/>
        <w:rPr>
          <w:rFonts w:ascii="Times New Roman" w:hAnsi="Times New Roman" w:eastAsia="方正仿宋_GBK"/>
          <w:sz w:val="33"/>
          <w:szCs w:val="33"/>
        </w:rPr>
      </w:pPr>
      <w:r>
        <w:rPr>
          <w:rFonts w:hint="eastAsia" w:ascii="Times New Roman" w:hAnsi="Times New Roman" w:eastAsia="方正仿宋_GBK"/>
          <w:sz w:val="33"/>
          <w:szCs w:val="33"/>
        </w:rPr>
        <w:t>3.</w:t>
      </w:r>
      <w:r>
        <w:rPr>
          <w:rFonts w:ascii="Times New Roman" w:hAnsi="Times New Roman" w:eastAsia="方正仿宋_GBK"/>
          <w:sz w:val="33"/>
          <w:szCs w:val="33"/>
        </w:rPr>
        <w:t>内控制度管理</w:t>
      </w:r>
      <w:r>
        <w:rPr>
          <w:rFonts w:hint="eastAsia" w:ascii="Times New Roman" w:hAnsi="Times New Roman" w:eastAsia="方正仿宋_GBK"/>
          <w:sz w:val="33"/>
          <w:szCs w:val="33"/>
        </w:rPr>
        <w:t>。建立健全内控制度体系，制定了内部控制一系列制度文件，按时向综合股提交202</w:t>
      </w:r>
      <w:r>
        <w:rPr>
          <w:rFonts w:hint="eastAsia" w:ascii="Times New Roman" w:hAnsi="Times New Roman" w:eastAsia="方正仿宋_GBK"/>
          <w:sz w:val="33"/>
          <w:szCs w:val="33"/>
          <w:lang w:val="en-US" w:eastAsia="zh-CN"/>
        </w:rPr>
        <w:t>3</w:t>
      </w:r>
      <w:r>
        <w:rPr>
          <w:rFonts w:hint="eastAsia" w:ascii="Times New Roman" w:hAnsi="Times New Roman" w:eastAsia="方正仿宋_GBK"/>
          <w:sz w:val="33"/>
          <w:szCs w:val="33"/>
        </w:rPr>
        <w:t>年度内控制度报告。成立了内部控制领导小组和内部控制工作小组，按照要求召开了会议，进行不相容岗位分离，对本单位内部控制按要求进行自查等。</w:t>
      </w:r>
    </w:p>
    <w:p w14:paraId="242C32B4">
      <w:pPr>
        <w:ind w:firstLine="660" w:firstLineChars="200"/>
        <w:rPr>
          <w:rFonts w:hint="eastAsia" w:ascii="Times New Roman" w:hAnsi="Times New Roman" w:eastAsia="方正仿宋_GBK"/>
          <w:sz w:val="33"/>
          <w:szCs w:val="33"/>
        </w:rPr>
      </w:pPr>
      <w:r>
        <w:rPr>
          <w:rFonts w:hint="eastAsia" w:ascii="Times New Roman" w:hAnsi="Times New Roman" w:eastAsia="方正仿宋_GBK"/>
          <w:sz w:val="33"/>
          <w:szCs w:val="33"/>
        </w:rPr>
        <w:t>4.</w:t>
      </w:r>
      <w:r>
        <w:rPr>
          <w:rFonts w:ascii="Times New Roman" w:hAnsi="Times New Roman" w:eastAsia="方正仿宋_GBK"/>
          <w:sz w:val="33"/>
          <w:szCs w:val="33"/>
        </w:rPr>
        <w:t>信息公开</w:t>
      </w:r>
      <w:r>
        <w:rPr>
          <w:rFonts w:hint="eastAsia" w:ascii="Times New Roman" w:hAnsi="Times New Roman" w:eastAsia="方正仿宋_GBK"/>
          <w:sz w:val="33"/>
          <w:szCs w:val="33"/>
        </w:rPr>
        <w:t>。报告编制完成后报县级财政业务股室及财监股备查（不含涉密项目），并及时在盐边县公众信息网制定栏目中进行公开公示，自觉接受监督。</w:t>
      </w:r>
    </w:p>
    <w:p w14:paraId="18316685">
      <w:pPr>
        <w:ind w:firstLine="660" w:firstLineChars="200"/>
        <w:rPr>
          <w:rFonts w:hint="eastAsia" w:ascii="Times New Roman" w:hAnsi="Times New Roman" w:eastAsia="方正仿宋_GBK"/>
          <w:sz w:val="33"/>
          <w:szCs w:val="33"/>
        </w:rPr>
      </w:pPr>
      <w:r>
        <w:rPr>
          <w:rFonts w:hint="eastAsia" w:ascii="Times New Roman" w:hAnsi="Times New Roman" w:eastAsia="方正仿宋_GBK"/>
          <w:sz w:val="33"/>
          <w:szCs w:val="33"/>
        </w:rPr>
        <w:t>5.</w:t>
      </w:r>
      <w:r>
        <w:rPr>
          <w:rFonts w:ascii="Times New Roman" w:hAnsi="Times New Roman" w:eastAsia="方正仿宋_GBK"/>
          <w:sz w:val="33"/>
          <w:szCs w:val="33"/>
        </w:rPr>
        <w:t>绩效监控</w:t>
      </w:r>
      <w:r>
        <w:rPr>
          <w:rFonts w:hint="eastAsia" w:ascii="Times New Roman" w:hAnsi="Times New Roman" w:eastAsia="方正仿宋_GBK"/>
          <w:sz w:val="33"/>
          <w:szCs w:val="33"/>
        </w:rPr>
        <w:t>。</w:t>
      </w:r>
      <w:r>
        <w:rPr>
          <w:rFonts w:ascii="Times New Roman" w:hAnsi="Times New Roman" w:eastAsia="方正仿宋_GBK"/>
          <w:sz w:val="33"/>
          <w:szCs w:val="33"/>
        </w:rPr>
        <w:t>按照《关于开展 202</w:t>
      </w:r>
      <w:r>
        <w:rPr>
          <w:rFonts w:hint="eastAsia" w:ascii="Times New Roman" w:hAnsi="Times New Roman" w:eastAsia="方正仿宋_GBK"/>
          <w:sz w:val="33"/>
          <w:szCs w:val="33"/>
          <w:lang w:val="en-US" w:eastAsia="zh-CN"/>
        </w:rPr>
        <w:t>3</w:t>
      </w:r>
      <w:r>
        <w:rPr>
          <w:rFonts w:ascii="Times New Roman" w:hAnsi="Times New Roman" w:eastAsia="方正仿宋_GBK"/>
          <w:sz w:val="33"/>
          <w:szCs w:val="33"/>
        </w:rPr>
        <w:t>年度事中绩效监控工作的通知》的工作要求，已对202</w:t>
      </w:r>
      <w:r>
        <w:rPr>
          <w:rFonts w:hint="eastAsia" w:ascii="Times New Roman" w:hAnsi="Times New Roman" w:eastAsia="方正仿宋_GBK"/>
          <w:sz w:val="33"/>
          <w:szCs w:val="33"/>
          <w:lang w:val="en-US" w:eastAsia="zh-CN"/>
        </w:rPr>
        <w:t>3</w:t>
      </w:r>
      <w:r>
        <w:rPr>
          <w:rFonts w:ascii="Times New Roman" w:hAnsi="Times New Roman" w:eastAsia="方正仿宋_GBK"/>
          <w:sz w:val="33"/>
          <w:szCs w:val="33"/>
        </w:rPr>
        <w:t>年 1</w:t>
      </w:r>
      <w:r>
        <w:rPr>
          <w:rFonts w:hint="eastAsia" w:ascii="Times New Roman" w:hAnsi="Times New Roman" w:eastAsia="方正仿宋_GBK"/>
          <w:sz w:val="33"/>
          <w:szCs w:val="33"/>
        </w:rPr>
        <w:t>-</w:t>
      </w:r>
      <w:r>
        <w:rPr>
          <w:rFonts w:ascii="Times New Roman" w:hAnsi="Times New Roman" w:eastAsia="方正仿宋_GBK"/>
          <w:sz w:val="33"/>
          <w:szCs w:val="33"/>
        </w:rPr>
        <w:t>8 月部门（项目）预算执行、预算调整、绩效目标完成及实现情况全面开展绩效监控，并按时将事中绩效监控表及绩效监控报告报县财政局。</w:t>
      </w:r>
    </w:p>
    <w:p w14:paraId="767CFF0A">
      <w:pPr>
        <w:ind w:firstLine="663" w:firstLineChars="200"/>
        <w:rPr>
          <w:rFonts w:hint="default" w:ascii="Times New Roman" w:eastAsia="方正楷体_GBK" w:cs="Times New Roman"/>
          <w:b/>
          <w:color w:val="000000"/>
          <w:kern w:val="0"/>
          <w:sz w:val="33"/>
          <w:szCs w:val="33"/>
          <w:shd w:val="clear" w:color="auto" w:fill="FFFFFF"/>
          <w:lang w:val="zh-CN" w:eastAsia="zh-CN" w:bidi="ar-SA"/>
        </w:rPr>
      </w:pPr>
      <w:r>
        <w:rPr>
          <w:rFonts w:hint="default" w:ascii="Times New Roman" w:eastAsia="方正楷体_GBK" w:cs="Times New Roman"/>
          <w:b/>
          <w:color w:val="000000"/>
          <w:kern w:val="0"/>
          <w:sz w:val="33"/>
          <w:szCs w:val="33"/>
          <w:shd w:val="clear" w:color="auto" w:fill="FFFFFF"/>
          <w:lang w:val="zh-CN" w:eastAsia="zh-CN" w:bidi="ar-SA"/>
        </w:rPr>
        <w:t>（三）自评质量</w:t>
      </w:r>
    </w:p>
    <w:p w14:paraId="0D87D225">
      <w:pPr>
        <w:ind w:firstLine="660" w:firstLineChars="200"/>
        <w:rPr>
          <w:rFonts w:hint="eastAsia" w:ascii="Times New Roman" w:hAnsi="Times New Roman" w:eastAsia="方正仿宋_GBK"/>
          <w:sz w:val="33"/>
          <w:szCs w:val="33"/>
        </w:rPr>
      </w:pPr>
      <w:r>
        <w:rPr>
          <w:rFonts w:hint="eastAsia" w:ascii="Times New Roman" w:hAnsi="Times New Roman" w:eastAsia="方正仿宋_GBK"/>
          <w:sz w:val="33"/>
          <w:szCs w:val="33"/>
        </w:rPr>
        <w:t>总体来看，资金执行情况较好，符合专款专用的要求，不存在挪用、截留、故意拖欠的情况发生，同时资金的使用过程中厉行节俭，尽可能的提升了资金使用效率。各项绩效指标达到年初预算要求，社会效益发挥良好，群众满意度有所上升。经综合评价，中共盐边县纪委</w:t>
      </w:r>
      <w:r>
        <w:rPr>
          <w:rFonts w:ascii="Times New Roman" w:hAnsi="Times New Roman" w:eastAsia="方正仿宋_GBK"/>
          <w:sz w:val="33"/>
          <w:szCs w:val="33"/>
        </w:rPr>
        <w:t>20</w:t>
      </w:r>
      <w:r>
        <w:rPr>
          <w:rFonts w:hint="eastAsia" w:ascii="Times New Roman" w:hAnsi="Times New Roman" w:eastAsia="方正仿宋_GBK"/>
          <w:sz w:val="33"/>
          <w:szCs w:val="33"/>
        </w:rPr>
        <w:t>2</w:t>
      </w:r>
      <w:r>
        <w:rPr>
          <w:rFonts w:hint="eastAsia" w:ascii="Times New Roman" w:hAnsi="Times New Roman" w:eastAsia="方正仿宋_GBK"/>
          <w:sz w:val="33"/>
          <w:szCs w:val="33"/>
          <w:lang w:val="en-US" w:eastAsia="zh-CN"/>
        </w:rPr>
        <w:t>3</w:t>
      </w:r>
      <w:r>
        <w:rPr>
          <w:rFonts w:hint="eastAsia" w:ascii="Times New Roman" w:hAnsi="Times New Roman" w:eastAsia="方正仿宋_GBK"/>
          <w:sz w:val="33"/>
          <w:szCs w:val="33"/>
        </w:rPr>
        <w:t>年度部门预算整体绩效达到年初预期。</w:t>
      </w:r>
    </w:p>
    <w:p w14:paraId="01D3AD38">
      <w:pPr>
        <w:ind w:firstLine="660" w:firstLineChars="200"/>
        <w:rPr>
          <w:rFonts w:hint="default" w:ascii="方正黑体_GBK" w:eastAsia="方正黑体_GBK"/>
          <w:sz w:val="33"/>
          <w:szCs w:val="33"/>
        </w:rPr>
      </w:pPr>
      <w:r>
        <w:rPr>
          <w:rFonts w:hint="default" w:ascii="方正黑体_GBK" w:eastAsia="方正黑体_GBK"/>
          <w:sz w:val="33"/>
          <w:szCs w:val="33"/>
        </w:rPr>
        <w:t>四、评价结论及建议</w:t>
      </w:r>
    </w:p>
    <w:p w14:paraId="0820DC2C">
      <w:pPr>
        <w:ind w:firstLine="663" w:firstLineChars="200"/>
        <w:rPr>
          <w:rFonts w:hint="eastAsia" w:ascii="Times New Roman" w:hAnsi="Times New Roman" w:eastAsia="方正仿宋_GBK"/>
          <w:sz w:val="33"/>
          <w:szCs w:val="33"/>
        </w:rPr>
      </w:pPr>
      <w:r>
        <w:rPr>
          <w:rFonts w:hint="default" w:ascii="方正楷体_GBK" w:eastAsia="方正楷体_GBK" w:cs="仿宋_GB2312"/>
          <w:b/>
          <w:color w:val="000000"/>
          <w:kern w:val="0"/>
          <w:sz w:val="33"/>
          <w:szCs w:val="33"/>
          <w:shd w:val="clear" w:color="auto" w:fill="FFFFFF"/>
          <w:lang w:val="zh-CN" w:eastAsia="zh-CN" w:bidi="ar-SA"/>
        </w:rPr>
        <w:t>（一）评价结论。</w:t>
      </w:r>
      <w:r>
        <w:rPr>
          <w:rFonts w:hint="eastAsia" w:ascii="Times New Roman" w:hAnsi="Times New Roman" w:eastAsia="方正仿宋_GBK"/>
          <w:sz w:val="33"/>
          <w:szCs w:val="33"/>
        </w:rPr>
        <w:t>根据盐边县财政局《关于开展202</w:t>
      </w:r>
      <w:r>
        <w:rPr>
          <w:rFonts w:hint="eastAsia" w:ascii="Times New Roman" w:hAnsi="Times New Roman" w:eastAsia="方正仿宋_GBK"/>
          <w:sz w:val="33"/>
          <w:szCs w:val="33"/>
          <w:lang w:val="en-US" w:eastAsia="zh-CN"/>
        </w:rPr>
        <w:t>3</w:t>
      </w:r>
      <w:r>
        <w:rPr>
          <w:rFonts w:hint="eastAsia" w:ascii="Times New Roman" w:hAnsi="Times New Roman" w:eastAsia="方正仿宋_GBK"/>
          <w:sz w:val="33"/>
          <w:szCs w:val="33"/>
        </w:rPr>
        <w:t>年度部门预算整体及项目支出绩效自评工作的通知》（盐边财绩〔202</w:t>
      </w:r>
      <w:r>
        <w:rPr>
          <w:rFonts w:hint="eastAsia" w:ascii="Times New Roman" w:hAnsi="Times New Roman" w:eastAsia="方正仿宋_GBK"/>
          <w:sz w:val="33"/>
          <w:szCs w:val="33"/>
          <w:lang w:val="en-US" w:eastAsia="zh-CN"/>
        </w:rPr>
        <w:t>4</w:t>
      </w:r>
      <w:r>
        <w:rPr>
          <w:rFonts w:hint="eastAsia" w:ascii="Times New Roman" w:hAnsi="Times New Roman" w:eastAsia="方正仿宋_GBK"/>
          <w:sz w:val="33"/>
          <w:szCs w:val="33"/>
        </w:rPr>
        <w:t>〕</w:t>
      </w:r>
      <w:r>
        <w:rPr>
          <w:rFonts w:hint="eastAsia" w:ascii="Times New Roman" w:hAnsi="Times New Roman" w:eastAsia="方正仿宋_GBK"/>
          <w:sz w:val="33"/>
          <w:szCs w:val="33"/>
          <w:lang w:val="en-US" w:eastAsia="zh-CN"/>
        </w:rPr>
        <w:t>2</w:t>
      </w:r>
      <w:r>
        <w:rPr>
          <w:rFonts w:hint="eastAsia" w:ascii="Times New Roman" w:hAnsi="Times New Roman" w:eastAsia="方正仿宋_GBK"/>
          <w:sz w:val="33"/>
          <w:szCs w:val="33"/>
        </w:rPr>
        <w:t>号）文件精神，围绕年初预算编制、年末决算编制、预算执行情况、年度总体目标完成情况、各项绩效目标完成情况等方面对我单位预算整体绩效开展了自评工作。总体来看，资金执行情况较好，符合专款专用的要求，不存在挪用、截留、故意拖欠的情况，同时资金的使用过程中厉行节俭，尽可能的提升了资金使用效率。各项绩效指标达到年初预算要求，社会效益发挥良好，群众满意度有所上升。经综合评价，盐边县纪委监委202</w:t>
      </w:r>
      <w:r>
        <w:rPr>
          <w:rFonts w:hint="eastAsia" w:ascii="Times New Roman" w:hAnsi="Times New Roman" w:eastAsia="方正仿宋_GBK"/>
          <w:sz w:val="33"/>
          <w:szCs w:val="33"/>
          <w:lang w:val="en-US" w:eastAsia="zh-CN"/>
        </w:rPr>
        <w:t>3</w:t>
      </w:r>
      <w:r>
        <w:rPr>
          <w:rFonts w:hint="eastAsia" w:ascii="Times New Roman" w:hAnsi="Times New Roman" w:eastAsia="方正仿宋_GBK"/>
          <w:sz w:val="33"/>
          <w:szCs w:val="33"/>
        </w:rPr>
        <w:t>年度部门预算整体绩效达到年初预期。</w:t>
      </w:r>
    </w:p>
    <w:p w14:paraId="1F8E1AA5">
      <w:pPr>
        <w:ind w:firstLine="663" w:firstLineChars="200"/>
        <w:rPr>
          <w:rFonts w:ascii="Times New Roman" w:hAnsi="Times New Roman" w:eastAsia="方正仿宋_GBK"/>
          <w:sz w:val="33"/>
          <w:szCs w:val="33"/>
        </w:rPr>
      </w:pPr>
      <w:r>
        <w:rPr>
          <w:rFonts w:hint="default" w:ascii="方正楷体_GBK" w:eastAsia="方正楷体_GBK" w:cs="仿宋_GB2312"/>
          <w:b/>
          <w:color w:val="000000"/>
          <w:kern w:val="0"/>
          <w:sz w:val="33"/>
          <w:szCs w:val="33"/>
          <w:shd w:val="clear" w:color="auto" w:fill="FFFFFF"/>
          <w:lang w:val="zh-CN" w:eastAsia="zh-CN" w:bidi="ar-SA"/>
        </w:rPr>
        <w:t>（二）存在问题。</w:t>
      </w:r>
      <w:r>
        <w:rPr>
          <w:rFonts w:hint="eastAsia" w:ascii="Times New Roman" w:hAnsi="Times New Roman" w:eastAsia="方正仿宋_GBK"/>
          <w:sz w:val="33"/>
          <w:szCs w:val="33"/>
        </w:rPr>
        <w:t>存在强调“绩”，对“效”的评判仍然需优化的问题；在时效方面仍有较大进步空间；因纪委工作特殊性，仍然在合理设定评价指标上存在技术壁垒。</w:t>
      </w:r>
    </w:p>
    <w:p w14:paraId="4D461A95">
      <w:pPr>
        <w:ind w:firstLine="663" w:firstLineChars="200"/>
        <w:rPr>
          <w:rFonts w:hint="eastAsia" w:ascii="Times New Roman" w:hAnsi="Times New Roman" w:eastAsia="仿宋_GB2312"/>
          <w:sz w:val="32"/>
          <w:szCs w:val="32"/>
        </w:rPr>
      </w:pPr>
      <w:r>
        <w:rPr>
          <w:rFonts w:hint="default" w:ascii="方正楷体_GBK" w:eastAsia="方正楷体_GBK" w:cs="仿宋_GB2312"/>
          <w:b/>
          <w:color w:val="000000"/>
          <w:kern w:val="0"/>
          <w:sz w:val="33"/>
          <w:szCs w:val="33"/>
          <w:shd w:val="clear" w:color="auto" w:fill="FFFFFF"/>
          <w:lang w:val="zh-CN" w:eastAsia="zh-CN" w:bidi="ar-SA"/>
        </w:rPr>
        <w:t>（三）改进建议。</w:t>
      </w:r>
      <w:r>
        <w:rPr>
          <w:rFonts w:hint="eastAsia" w:ascii="Times New Roman" w:hAnsi="Times New Roman" w:eastAsia="方正仿宋_GBK"/>
          <w:sz w:val="33"/>
          <w:szCs w:val="33"/>
        </w:rPr>
        <w:t>一是加强学习相关理论知识，在实践中严格控制预算执行单位预算，资金使用严格按照资金类型申报支付，支付流程合法合规并自觉接受县财政局的监督；二是进一步巩固绩效评价结果，此次自评将为以后单位预算提供数据支撑和参考依据，同时也为新的一年各项工作计划及任务的制定提供一定的指导，让预算资金的分类、分配、申报更加科学、合理、准确；三是合理利用评价并针对问题进行整改，在今后工作中，严格遵守各项规章制度，严格审核各项经费支出，进一步提高工作效率，把有限的资金用在刀刃上，保证单位各项工作顺利有限开展。</w:t>
      </w:r>
    </w:p>
    <w:p w14:paraId="1D1A658A">
      <w:pPr>
        <w:ind w:firstLine="640" w:firstLineChars="200"/>
        <w:rPr>
          <w:rFonts w:eastAsia="仿宋_GB2312"/>
          <w:sz w:val="32"/>
          <w:szCs w:val="32"/>
          <w:lang w:val="zh-CN"/>
        </w:rPr>
      </w:pPr>
    </w:p>
    <w:p w14:paraId="77F4F9E8">
      <w:pPr>
        <w:ind w:firstLine="640" w:firstLineChars="200"/>
        <w:rPr>
          <w:rFonts w:hint="eastAsia" w:asciiTheme="minorEastAsia" w:hAnsiTheme="minorEastAsia" w:eastAsiaTheme="minorEastAsia"/>
          <w:sz w:val="32"/>
          <w:szCs w:val="32"/>
          <w:lang w:val="zh-CN"/>
        </w:rPr>
      </w:pPr>
    </w:p>
    <w:p w14:paraId="3E83FBB7">
      <w:pPr>
        <w:ind w:firstLine="640" w:firstLineChars="200"/>
        <w:rPr>
          <w:rFonts w:hint="eastAsia" w:asciiTheme="minorEastAsia" w:hAnsiTheme="minorEastAsia" w:eastAsiaTheme="minorEastAsia"/>
          <w:sz w:val="32"/>
          <w:szCs w:val="32"/>
          <w:lang w:val="zh-CN"/>
        </w:rPr>
      </w:pPr>
    </w:p>
    <w:p w14:paraId="17328AB0">
      <w:pPr>
        <w:ind w:firstLine="640" w:firstLineChars="200"/>
        <w:rPr>
          <w:rFonts w:hint="eastAsia" w:asciiTheme="minorEastAsia" w:hAnsiTheme="minorEastAsia" w:eastAsiaTheme="minorEastAsia"/>
          <w:sz w:val="32"/>
          <w:szCs w:val="32"/>
          <w:lang w:val="zh-CN"/>
        </w:rPr>
      </w:pPr>
    </w:p>
    <w:p w14:paraId="42D34E80">
      <w:pPr>
        <w:ind w:firstLine="640" w:firstLineChars="200"/>
        <w:rPr>
          <w:rFonts w:hint="eastAsia" w:asciiTheme="minorEastAsia" w:hAnsiTheme="minorEastAsia" w:eastAsiaTheme="minorEastAsia"/>
          <w:sz w:val="32"/>
          <w:szCs w:val="32"/>
          <w:lang w:val="zh-CN"/>
        </w:rPr>
      </w:pPr>
    </w:p>
    <w:p w14:paraId="77C35099">
      <w:pPr>
        <w:ind w:firstLine="640" w:firstLineChars="200"/>
        <w:rPr>
          <w:rFonts w:hint="eastAsia" w:asciiTheme="minorEastAsia" w:hAnsiTheme="minorEastAsia" w:eastAsiaTheme="minorEastAsia"/>
          <w:sz w:val="32"/>
          <w:szCs w:val="32"/>
          <w:lang w:val="zh-CN"/>
        </w:rPr>
        <w:sectPr>
          <w:pgSz w:w="11906" w:h="16838"/>
          <w:pgMar w:top="1440" w:right="1800" w:bottom="1440" w:left="1800" w:header="851" w:footer="992" w:gutter="0"/>
          <w:pgNumType w:fmt="decimal"/>
          <w:cols w:space="425" w:num="1"/>
          <w:titlePg/>
          <w:docGrid w:type="lines" w:linePitch="312" w:charSpace="0"/>
        </w:sectPr>
      </w:pPr>
    </w:p>
    <w:p w14:paraId="6EED1B91">
      <w:pPr>
        <w:ind w:firstLine="640" w:firstLineChars="200"/>
        <w:rPr>
          <w:rFonts w:hint="default" w:ascii="Times New Roman" w:hAnsi="Times New Roman" w:cs="Times New Roman" w:eastAsiaTheme="minorEastAsia"/>
          <w:b/>
          <w:bCs/>
          <w:sz w:val="32"/>
          <w:szCs w:val="32"/>
          <w:lang w:val="zh-CN"/>
        </w:rPr>
      </w:pPr>
      <w:r>
        <w:rPr>
          <w:rFonts w:hint="default" w:ascii="Times New Roman" w:hAnsi="Times New Roman" w:cs="Times New Roman" w:eastAsiaTheme="minorEastAsia"/>
          <w:sz w:val="32"/>
          <w:szCs w:val="32"/>
          <w:lang w:val="en-US" w:eastAsia="zh-CN"/>
        </w:rPr>
        <w:t xml:space="preserve">                </w:t>
      </w:r>
      <w:bookmarkStart w:id="49" w:name="_GoBack"/>
      <w:r>
        <w:rPr>
          <w:rFonts w:hint="default" w:ascii="Times New Roman" w:hAnsi="Times New Roman" w:cs="Times New Roman" w:eastAsiaTheme="minorEastAsia"/>
          <w:b/>
          <w:bCs/>
          <w:sz w:val="32"/>
          <w:szCs w:val="32"/>
          <w:lang w:val="en-US" w:eastAsia="zh-CN"/>
        </w:rPr>
        <w:t xml:space="preserve">  </w:t>
      </w:r>
      <w:r>
        <w:rPr>
          <w:rFonts w:hint="default" w:ascii="Times New Roman" w:hAnsi="Times New Roman" w:cs="Times New Roman" w:eastAsiaTheme="minorEastAsia"/>
          <w:b/>
          <w:bCs/>
          <w:sz w:val="32"/>
          <w:szCs w:val="32"/>
          <w:lang w:val="zh-CN"/>
        </w:rPr>
        <w:t>附表：</w:t>
      </w:r>
      <w:r>
        <w:rPr>
          <w:rFonts w:hint="default" w:ascii="Times New Roman" w:hAnsi="Times New Roman" w:cs="Times New Roman" w:eastAsiaTheme="minorEastAsia"/>
          <w:b/>
          <w:bCs/>
          <w:sz w:val="32"/>
          <w:szCs w:val="32"/>
        </w:rPr>
        <w:t>部门</w:t>
      </w:r>
      <w:r>
        <w:rPr>
          <w:rFonts w:hint="default" w:ascii="Times New Roman" w:hAnsi="Times New Roman" w:cs="Times New Roman" w:eastAsiaTheme="minorEastAsia"/>
          <w:b/>
          <w:bCs/>
          <w:sz w:val="32"/>
          <w:szCs w:val="32"/>
          <w:lang w:val="zh-CN"/>
        </w:rPr>
        <w:t>预算项目支出绩效自评表（2023年度）</w:t>
      </w:r>
    </w:p>
    <w:bookmarkEnd w:id="49"/>
    <w:p w14:paraId="3AC188A5"/>
    <w:tbl>
      <w:tblPr>
        <w:tblStyle w:val="14"/>
        <w:tblpPr w:leftFromText="180" w:rightFromText="180" w:vertAnchor="text" w:horzAnchor="page" w:tblpX="1438" w:tblpY="359"/>
        <w:tblOverlap w:val="never"/>
        <w:tblW w:w="14255" w:type="dxa"/>
        <w:tblInd w:w="0" w:type="dxa"/>
        <w:tblLayout w:type="fixed"/>
        <w:tblCellMar>
          <w:top w:w="0" w:type="dxa"/>
          <w:left w:w="108" w:type="dxa"/>
          <w:bottom w:w="0" w:type="dxa"/>
          <w:right w:w="108" w:type="dxa"/>
        </w:tblCellMar>
      </w:tblPr>
      <w:tblGrid>
        <w:gridCol w:w="791"/>
        <w:gridCol w:w="140"/>
        <w:gridCol w:w="1874"/>
        <w:gridCol w:w="1748"/>
        <w:gridCol w:w="2317"/>
        <w:gridCol w:w="422"/>
        <w:gridCol w:w="1643"/>
        <w:gridCol w:w="516"/>
        <w:gridCol w:w="1092"/>
        <w:gridCol w:w="576"/>
        <w:gridCol w:w="576"/>
        <w:gridCol w:w="2560"/>
      </w:tblGrid>
      <w:tr w14:paraId="0BE5CFC7">
        <w:tblPrEx>
          <w:tblCellMar>
            <w:top w:w="0" w:type="dxa"/>
            <w:left w:w="108" w:type="dxa"/>
            <w:bottom w:w="0" w:type="dxa"/>
            <w:right w:w="108" w:type="dxa"/>
          </w:tblCellMar>
        </w:tblPrEx>
        <w:trPr>
          <w:trHeight w:val="404" w:hRule="atLeast"/>
        </w:trPr>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0A0528">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1450" w:type="dxa"/>
            <w:gridSpan w:val="9"/>
            <w:tcBorders>
              <w:top w:val="single" w:color="000000" w:sz="4" w:space="0"/>
              <w:left w:val="nil"/>
              <w:bottom w:val="single" w:color="000000" w:sz="4" w:space="0"/>
              <w:right w:val="single" w:color="000000" w:sz="4" w:space="0"/>
            </w:tcBorders>
            <w:shd w:val="clear" w:color="auto" w:fill="auto"/>
            <w:vAlign w:val="center"/>
          </w:tcPr>
          <w:p w14:paraId="759E864C">
            <w:pPr>
              <w:widowControl/>
              <w:jc w:val="left"/>
              <w:rPr>
                <w:rFonts w:ascii="宋体" w:hAnsi="宋体" w:cs="宋体"/>
                <w:color w:val="000000"/>
                <w:kern w:val="0"/>
                <w:sz w:val="18"/>
                <w:szCs w:val="18"/>
              </w:rPr>
            </w:pPr>
            <w:r>
              <w:rPr>
                <w:rFonts w:hint="eastAsia" w:ascii="宋体" w:hAnsi="宋体" w:cs="宋体"/>
                <w:color w:val="000000"/>
                <w:kern w:val="0"/>
                <w:sz w:val="18"/>
                <w:szCs w:val="18"/>
              </w:rPr>
              <w:t>中国共产党盐边县纪律检查委员会基本支出</w:t>
            </w:r>
          </w:p>
        </w:tc>
      </w:tr>
      <w:tr w14:paraId="59CBA39B">
        <w:tblPrEx>
          <w:tblCellMar>
            <w:top w:w="0" w:type="dxa"/>
            <w:left w:w="108" w:type="dxa"/>
            <w:bottom w:w="0" w:type="dxa"/>
            <w:right w:w="108" w:type="dxa"/>
          </w:tblCellMar>
        </w:tblPrEx>
        <w:trPr>
          <w:trHeight w:val="484" w:hRule="atLeast"/>
        </w:trPr>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C30E62">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646" w:type="dxa"/>
            <w:gridSpan w:val="5"/>
            <w:tcBorders>
              <w:top w:val="single" w:color="000000" w:sz="4" w:space="0"/>
              <w:left w:val="nil"/>
              <w:bottom w:val="single" w:color="000000" w:sz="4" w:space="0"/>
              <w:right w:val="single" w:color="000000" w:sz="4" w:space="0"/>
            </w:tcBorders>
            <w:shd w:val="clear" w:color="auto" w:fill="auto"/>
            <w:vAlign w:val="center"/>
          </w:tcPr>
          <w:p w14:paraId="36F82F77">
            <w:pPr>
              <w:widowControl/>
              <w:jc w:val="left"/>
              <w:rPr>
                <w:rFonts w:ascii="宋体" w:hAnsi="宋体" w:cs="宋体"/>
                <w:color w:val="000000"/>
                <w:kern w:val="0"/>
                <w:sz w:val="18"/>
                <w:szCs w:val="18"/>
              </w:rPr>
            </w:pPr>
            <w:r>
              <w:rPr>
                <w:rFonts w:hint="eastAsia" w:ascii="宋体" w:hAnsi="宋体" w:cs="宋体"/>
                <w:color w:val="000000"/>
                <w:kern w:val="0"/>
                <w:sz w:val="18"/>
                <w:szCs w:val="18"/>
              </w:rPr>
              <w:t>中国共产党盐边县纪律检查委员会（部门）</w:t>
            </w:r>
          </w:p>
        </w:tc>
        <w:tc>
          <w:tcPr>
            <w:tcW w:w="1092" w:type="dxa"/>
            <w:tcBorders>
              <w:top w:val="nil"/>
              <w:left w:val="nil"/>
              <w:bottom w:val="nil"/>
              <w:right w:val="nil"/>
            </w:tcBorders>
            <w:shd w:val="clear" w:color="auto" w:fill="auto"/>
            <w:vAlign w:val="center"/>
          </w:tcPr>
          <w:p w14:paraId="58BDF911">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71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9FFCB1">
            <w:pPr>
              <w:widowControl/>
              <w:jc w:val="center"/>
              <w:rPr>
                <w:rFonts w:ascii="宋体" w:hAnsi="宋体" w:cs="宋体"/>
                <w:color w:val="000000"/>
                <w:kern w:val="0"/>
                <w:sz w:val="18"/>
                <w:szCs w:val="18"/>
              </w:rPr>
            </w:pPr>
            <w:r>
              <w:rPr>
                <w:rFonts w:hint="eastAsia" w:ascii="宋体" w:hAnsi="宋体" w:cs="宋体"/>
                <w:color w:val="000000"/>
                <w:kern w:val="0"/>
                <w:sz w:val="18"/>
                <w:szCs w:val="18"/>
              </w:rPr>
              <w:t>中国共产党盐边县纪律检查委员会</w:t>
            </w:r>
          </w:p>
        </w:tc>
      </w:tr>
      <w:tr w14:paraId="5F4DD02D">
        <w:tblPrEx>
          <w:tblCellMar>
            <w:top w:w="0" w:type="dxa"/>
            <w:left w:w="108" w:type="dxa"/>
            <w:bottom w:w="0" w:type="dxa"/>
            <w:right w:w="108" w:type="dxa"/>
          </w:tblCellMar>
        </w:tblPrEx>
        <w:trPr>
          <w:trHeight w:val="285" w:hRule="atLeast"/>
        </w:trPr>
        <w:tc>
          <w:tcPr>
            <w:tcW w:w="931"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6905517D">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74" w:type="dxa"/>
            <w:vMerge w:val="restart"/>
            <w:tcBorders>
              <w:top w:val="nil"/>
              <w:left w:val="single" w:color="000000" w:sz="4" w:space="0"/>
              <w:bottom w:val="single" w:color="000000" w:sz="4" w:space="0"/>
              <w:right w:val="single" w:color="000000" w:sz="4" w:space="0"/>
            </w:tcBorders>
            <w:shd w:val="clear" w:color="auto" w:fill="auto"/>
            <w:vAlign w:val="center"/>
          </w:tcPr>
          <w:p w14:paraId="45183E05">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646" w:type="dxa"/>
            <w:gridSpan w:val="5"/>
            <w:tcBorders>
              <w:top w:val="single" w:color="000000" w:sz="4" w:space="0"/>
              <w:left w:val="nil"/>
              <w:bottom w:val="single" w:color="000000" w:sz="4" w:space="0"/>
              <w:right w:val="single" w:color="000000" w:sz="4" w:space="0"/>
            </w:tcBorders>
            <w:shd w:val="clear" w:color="auto" w:fill="auto"/>
            <w:vAlign w:val="center"/>
          </w:tcPr>
          <w:p w14:paraId="3268B4A3">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804" w:type="dxa"/>
            <w:gridSpan w:val="4"/>
            <w:tcBorders>
              <w:top w:val="single" w:color="000000" w:sz="4" w:space="0"/>
              <w:left w:val="nil"/>
              <w:bottom w:val="single" w:color="000000" w:sz="4" w:space="0"/>
              <w:right w:val="single" w:color="000000" w:sz="4" w:space="0"/>
            </w:tcBorders>
            <w:shd w:val="clear" w:color="auto" w:fill="auto"/>
            <w:vAlign w:val="center"/>
          </w:tcPr>
          <w:p w14:paraId="3F44794B">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年度目标完成情况</w:t>
            </w:r>
          </w:p>
        </w:tc>
      </w:tr>
      <w:tr w14:paraId="453F80A5">
        <w:tblPrEx>
          <w:tblCellMar>
            <w:top w:w="0" w:type="dxa"/>
            <w:left w:w="108" w:type="dxa"/>
            <w:bottom w:w="0" w:type="dxa"/>
            <w:right w:w="108" w:type="dxa"/>
          </w:tblCellMar>
        </w:tblPrEx>
        <w:trPr>
          <w:trHeight w:val="649" w:hRule="atLeast"/>
        </w:trPr>
        <w:tc>
          <w:tcPr>
            <w:tcW w:w="931" w:type="dxa"/>
            <w:gridSpan w:val="2"/>
            <w:vMerge w:val="continue"/>
            <w:tcBorders>
              <w:top w:val="nil"/>
              <w:left w:val="single" w:color="000000" w:sz="4" w:space="0"/>
              <w:bottom w:val="single" w:color="000000" w:sz="4" w:space="0"/>
              <w:right w:val="single" w:color="000000" w:sz="4" w:space="0"/>
            </w:tcBorders>
            <w:vAlign w:val="center"/>
          </w:tcPr>
          <w:p w14:paraId="37207BC6">
            <w:pPr>
              <w:widowControl/>
              <w:jc w:val="left"/>
              <w:rPr>
                <w:rFonts w:ascii="宋体" w:hAnsi="宋体" w:cs="宋体"/>
                <w:color w:val="000000"/>
                <w:kern w:val="0"/>
                <w:sz w:val="18"/>
                <w:szCs w:val="18"/>
              </w:rPr>
            </w:pPr>
          </w:p>
        </w:tc>
        <w:tc>
          <w:tcPr>
            <w:tcW w:w="1874" w:type="dxa"/>
            <w:vMerge w:val="continue"/>
            <w:tcBorders>
              <w:top w:val="nil"/>
              <w:left w:val="single" w:color="000000" w:sz="4" w:space="0"/>
              <w:bottom w:val="single" w:color="000000" w:sz="4" w:space="0"/>
              <w:right w:val="single" w:color="000000" w:sz="4" w:space="0"/>
            </w:tcBorders>
            <w:vAlign w:val="center"/>
          </w:tcPr>
          <w:p w14:paraId="55CC9DA5">
            <w:pPr>
              <w:widowControl/>
              <w:jc w:val="left"/>
              <w:rPr>
                <w:rFonts w:ascii="宋体" w:hAnsi="宋体" w:cs="宋体"/>
                <w:color w:val="000000"/>
                <w:kern w:val="0"/>
                <w:sz w:val="18"/>
                <w:szCs w:val="18"/>
              </w:rPr>
            </w:pPr>
          </w:p>
        </w:tc>
        <w:tc>
          <w:tcPr>
            <w:tcW w:w="6646" w:type="dxa"/>
            <w:gridSpan w:val="5"/>
            <w:tcBorders>
              <w:top w:val="single" w:color="000000" w:sz="4" w:space="0"/>
              <w:left w:val="nil"/>
              <w:bottom w:val="single" w:color="000000" w:sz="4" w:space="0"/>
              <w:right w:val="single" w:color="000000" w:sz="4" w:space="0"/>
            </w:tcBorders>
            <w:shd w:val="clear" w:color="auto" w:fill="auto"/>
            <w:vAlign w:val="center"/>
          </w:tcPr>
          <w:p w14:paraId="4FF2F842">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4804" w:type="dxa"/>
            <w:gridSpan w:val="4"/>
            <w:tcBorders>
              <w:top w:val="single" w:color="000000" w:sz="4" w:space="0"/>
              <w:left w:val="nil"/>
              <w:bottom w:val="single" w:color="000000" w:sz="4" w:space="0"/>
              <w:right w:val="single" w:color="000000" w:sz="4" w:space="0"/>
            </w:tcBorders>
            <w:shd w:val="clear" w:color="auto" w:fill="auto"/>
            <w:vAlign w:val="center"/>
          </w:tcPr>
          <w:p w14:paraId="3665719F">
            <w:pPr>
              <w:widowControl/>
              <w:jc w:val="left"/>
              <w:rPr>
                <w:rFonts w:ascii="宋体" w:hAnsi="宋体" w:cs="宋体"/>
                <w:color w:val="000000"/>
                <w:kern w:val="0"/>
                <w:sz w:val="18"/>
                <w:szCs w:val="18"/>
              </w:rPr>
            </w:pPr>
            <w:r>
              <w:rPr>
                <w:rFonts w:hint="eastAsia" w:ascii="宋体" w:hAnsi="宋体" w:cs="宋体"/>
                <w:color w:val="000000"/>
                <w:kern w:val="0"/>
                <w:sz w:val="18"/>
                <w:szCs w:val="18"/>
              </w:rPr>
              <w:t>保障了单位日常运转，提高了预算编制质量，严格执行预算</w:t>
            </w:r>
          </w:p>
        </w:tc>
      </w:tr>
      <w:tr w14:paraId="388F5F5E">
        <w:tblPrEx>
          <w:tblCellMar>
            <w:top w:w="0" w:type="dxa"/>
            <w:left w:w="108" w:type="dxa"/>
            <w:bottom w:w="0" w:type="dxa"/>
            <w:right w:w="108" w:type="dxa"/>
          </w:tblCellMar>
        </w:tblPrEx>
        <w:trPr>
          <w:trHeight w:val="654" w:hRule="atLeast"/>
        </w:trPr>
        <w:tc>
          <w:tcPr>
            <w:tcW w:w="931" w:type="dxa"/>
            <w:gridSpan w:val="2"/>
            <w:vMerge w:val="continue"/>
            <w:tcBorders>
              <w:top w:val="nil"/>
              <w:left w:val="single" w:color="000000" w:sz="4" w:space="0"/>
              <w:bottom w:val="single" w:color="000000" w:sz="4" w:space="0"/>
              <w:right w:val="single" w:color="000000" w:sz="4" w:space="0"/>
            </w:tcBorders>
            <w:vAlign w:val="center"/>
          </w:tcPr>
          <w:p w14:paraId="7B03E75C">
            <w:pPr>
              <w:widowControl/>
              <w:jc w:val="left"/>
              <w:rPr>
                <w:rFonts w:ascii="宋体" w:hAnsi="宋体" w:cs="宋体"/>
                <w:color w:val="000000"/>
                <w:kern w:val="0"/>
                <w:sz w:val="18"/>
                <w:szCs w:val="18"/>
              </w:rPr>
            </w:pPr>
          </w:p>
        </w:tc>
        <w:tc>
          <w:tcPr>
            <w:tcW w:w="1874" w:type="dxa"/>
            <w:tcBorders>
              <w:top w:val="nil"/>
              <w:left w:val="nil"/>
              <w:bottom w:val="single" w:color="000000" w:sz="4" w:space="0"/>
              <w:right w:val="single" w:color="000000" w:sz="4" w:space="0"/>
            </w:tcBorders>
            <w:shd w:val="clear" w:color="auto" w:fill="auto"/>
            <w:vAlign w:val="center"/>
          </w:tcPr>
          <w:p w14:paraId="34E68652">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1450" w:type="dxa"/>
            <w:gridSpan w:val="9"/>
            <w:tcBorders>
              <w:top w:val="single" w:color="000000" w:sz="4" w:space="0"/>
              <w:left w:val="nil"/>
              <w:bottom w:val="single" w:color="000000" w:sz="4" w:space="0"/>
              <w:right w:val="single" w:color="000000" w:sz="4" w:space="0"/>
            </w:tcBorders>
            <w:shd w:val="clear" w:color="auto" w:fill="auto"/>
            <w:vAlign w:val="center"/>
          </w:tcPr>
          <w:p w14:paraId="5FFD0032">
            <w:pPr>
              <w:widowControl/>
              <w:jc w:val="left"/>
              <w:rPr>
                <w:rFonts w:ascii="宋体" w:hAnsi="宋体" w:cs="宋体"/>
                <w:color w:val="000000"/>
                <w:kern w:val="0"/>
                <w:sz w:val="18"/>
                <w:szCs w:val="18"/>
              </w:rPr>
            </w:pPr>
            <w:r>
              <w:rPr>
                <w:rFonts w:hint="eastAsia" w:ascii="宋体" w:hAnsi="宋体" w:cs="宋体"/>
                <w:color w:val="000000"/>
                <w:kern w:val="0"/>
                <w:sz w:val="18"/>
                <w:szCs w:val="18"/>
              </w:rPr>
              <w:t>为保证机构正常运转，完成日常工作任务而发生的人员支出和公用支出</w:t>
            </w:r>
          </w:p>
        </w:tc>
      </w:tr>
      <w:tr w14:paraId="59AF4B11">
        <w:tblPrEx>
          <w:tblCellMar>
            <w:top w:w="0" w:type="dxa"/>
            <w:left w:w="108" w:type="dxa"/>
            <w:bottom w:w="0" w:type="dxa"/>
            <w:right w:w="108" w:type="dxa"/>
          </w:tblCellMar>
        </w:tblPrEx>
        <w:trPr>
          <w:trHeight w:val="90" w:hRule="atLeast"/>
        </w:trPr>
        <w:tc>
          <w:tcPr>
            <w:tcW w:w="931"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1E496924">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74" w:type="dxa"/>
            <w:tcBorders>
              <w:top w:val="nil"/>
              <w:left w:val="nil"/>
              <w:bottom w:val="single" w:color="000000" w:sz="4" w:space="0"/>
              <w:right w:val="single" w:color="000000" w:sz="4" w:space="0"/>
            </w:tcBorders>
            <w:shd w:val="clear" w:color="auto" w:fill="auto"/>
            <w:vAlign w:val="center"/>
          </w:tcPr>
          <w:p w14:paraId="328133BF">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748" w:type="dxa"/>
            <w:tcBorders>
              <w:top w:val="nil"/>
              <w:left w:val="nil"/>
              <w:bottom w:val="single" w:color="000000" w:sz="4" w:space="0"/>
              <w:right w:val="single" w:color="000000" w:sz="4" w:space="0"/>
            </w:tcBorders>
            <w:shd w:val="clear" w:color="auto" w:fill="auto"/>
            <w:vAlign w:val="center"/>
          </w:tcPr>
          <w:p w14:paraId="3D5D85CD">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317" w:type="dxa"/>
            <w:tcBorders>
              <w:top w:val="nil"/>
              <w:left w:val="nil"/>
              <w:bottom w:val="single" w:color="000000" w:sz="4" w:space="0"/>
              <w:right w:val="single" w:color="000000" w:sz="4" w:space="0"/>
            </w:tcBorders>
            <w:shd w:val="clear" w:color="auto" w:fill="auto"/>
            <w:vAlign w:val="center"/>
          </w:tcPr>
          <w:p w14:paraId="4604B4B9">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581" w:type="dxa"/>
            <w:gridSpan w:val="3"/>
            <w:tcBorders>
              <w:top w:val="single" w:color="000000" w:sz="4" w:space="0"/>
              <w:left w:val="nil"/>
              <w:bottom w:val="single" w:color="000000" w:sz="4" w:space="0"/>
              <w:right w:val="single" w:color="000000" w:sz="4" w:space="0"/>
            </w:tcBorders>
            <w:shd w:val="clear" w:color="auto" w:fill="auto"/>
            <w:vAlign w:val="center"/>
          </w:tcPr>
          <w:p w14:paraId="75DA6C19">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1092" w:type="dxa"/>
            <w:tcBorders>
              <w:top w:val="nil"/>
              <w:left w:val="nil"/>
              <w:bottom w:val="single" w:color="000000" w:sz="4" w:space="0"/>
              <w:right w:val="single" w:color="000000" w:sz="4" w:space="0"/>
            </w:tcBorders>
            <w:shd w:val="clear" w:color="auto" w:fill="auto"/>
            <w:vAlign w:val="center"/>
          </w:tcPr>
          <w:p w14:paraId="003C0A80">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14:paraId="09D4839E">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14:paraId="080B762E">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60" w:type="dxa"/>
            <w:tcBorders>
              <w:top w:val="nil"/>
              <w:left w:val="nil"/>
              <w:bottom w:val="single" w:color="000000" w:sz="4" w:space="0"/>
              <w:right w:val="single" w:color="000000" w:sz="4" w:space="0"/>
            </w:tcBorders>
            <w:shd w:val="clear" w:color="auto" w:fill="auto"/>
            <w:vAlign w:val="center"/>
          </w:tcPr>
          <w:p w14:paraId="5856F47E">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14:paraId="5213CCB9">
        <w:tblPrEx>
          <w:tblCellMar>
            <w:top w:w="0" w:type="dxa"/>
            <w:left w:w="108" w:type="dxa"/>
            <w:bottom w:w="0" w:type="dxa"/>
            <w:right w:w="108" w:type="dxa"/>
          </w:tblCellMar>
        </w:tblPrEx>
        <w:trPr>
          <w:trHeight w:val="584" w:hRule="atLeast"/>
        </w:trPr>
        <w:tc>
          <w:tcPr>
            <w:tcW w:w="931" w:type="dxa"/>
            <w:gridSpan w:val="2"/>
            <w:vMerge w:val="continue"/>
            <w:tcBorders>
              <w:top w:val="nil"/>
              <w:left w:val="single" w:color="000000" w:sz="4" w:space="0"/>
              <w:bottom w:val="single" w:color="000000" w:sz="4" w:space="0"/>
              <w:right w:val="single" w:color="000000" w:sz="4" w:space="0"/>
            </w:tcBorders>
            <w:vAlign w:val="center"/>
          </w:tcPr>
          <w:p w14:paraId="19255863">
            <w:pPr>
              <w:widowControl/>
              <w:jc w:val="left"/>
              <w:rPr>
                <w:rFonts w:ascii="宋体" w:hAnsi="宋体" w:cs="宋体"/>
                <w:color w:val="000000"/>
                <w:kern w:val="0"/>
                <w:sz w:val="18"/>
                <w:szCs w:val="18"/>
              </w:rPr>
            </w:pPr>
          </w:p>
        </w:tc>
        <w:tc>
          <w:tcPr>
            <w:tcW w:w="1874" w:type="dxa"/>
            <w:tcBorders>
              <w:top w:val="nil"/>
              <w:left w:val="nil"/>
              <w:bottom w:val="single" w:color="000000" w:sz="4" w:space="0"/>
              <w:right w:val="single" w:color="000000" w:sz="4" w:space="0"/>
            </w:tcBorders>
            <w:shd w:val="clear" w:color="auto" w:fill="auto"/>
            <w:vAlign w:val="center"/>
          </w:tcPr>
          <w:p w14:paraId="1873162F">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748" w:type="dxa"/>
            <w:tcBorders>
              <w:top w:val="nil"/>
              <w:left w:val="nil"/>
              <w:bottom w:val="single" w:color="000000" w:sz="4" w:space="0"/>
              <w:right w:val="single" w:color="000000" w:sz="4" w:space="0"/>
            </w:tcBorders>
            <w:shd w:val="clear" w:color="auto" w:fill="auto"/>
            <w:vAlign w:val="center"/>
          </w:tcPr>
          <w:p w14:paraId="0AA4F611">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val="en-US" w:eastAsia="zh-CN"/>
              </w:rPr>
              <w:t>933.27</w:t>
            </w:r>
          </w:p>
        </w:tc>
        <w:tc>
          <w:tcPr>
            <w:tcW w:w="2317" w:type="dxa"/>
            <w:tcBorders>
              <w:top w:val="nil"/>
              <w:left w:val="nil"/>
              <w:bottom w:val="single" w:color="000000" w:sz="4" w:space="0"/>
              <w:right w:val="single" w:color="000000" w:sz="4" w:space="0"/>
            </w:tcBorders>
            <w:shd w:val="clear" w:color="auto" w:fill="auto"/>
            <w:vAlign w:val="center"/>
          </w:tcPr>
          <w:p w14:paraId="7A5AC4F5">
            <w:pPr>
              <w:widowControl/>
              <w:jc w:val="center"/>
              <w:rPr>
                <w:rFonts w:ascii="宋体" w:hAnsi="宋体" w:cs="宋体"/>
                <w:color w:val="000000"/>
                <w:kern w:val="0"/>
                <w:sz w:val="18"/>
                <w:szCs w:val="18"/>
              </w:rPr>
            </w:pPr>
            <w:r>
              <w:rPr>
                <w:rFonts w:hint="eastAsia" w:ascii="宋体" w:hAnsi="宋体" w:cs="宋体"/>
                <w:color w:val="000000"/>
                <w:kern w:val="0"/>
                <w:sz w:val="18"/>
                <w:szCs w:val="18"/>
              </w:rPr>
              <w:t>1063.32</w:t>
            </w:r>
          </w:p>
        </w:tc>
        <w:tc>
          <w:tcPr>
            <w:tcW w:w="2581" w:type="dxa"/>
            <w:gridSpan w:val="3"/>
            <w:tcBorders>
              <w:top w:val="single" w:color="000000" w:sz="4" w:space="0"/>
              <w:left w:val="nil"/>
              <w:bottom w:val="single" w:color="000000" w:sz="4" w:space="0"/>
              <w:right w:val="single" w:color="000000" w:sz="4" w:space="0"/>
            </w:tcBorders>
            <w:shd w:val="clear" w:color="auto" w:fill="auto"/>
            <w:vAlign w:val="center"/>
          </w:tcPr>
          <w:p w14:paraId="50D78D3B">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val="en-US" w:eastAsia="zh-CN"/>
              </w:rPr>
              <w:t>1063.32</w:t>
            </w:r>
          </w:p>
        </w:tc>
        <w:tc>
          <w:tcPr>
            <w:tcW w:w="1092" w:type="dxa"/>
            <w:tcBorders>
              <w:top w:val="nil"/>
              <w:left w:val="nil"/>
              <w:bottom w:val="single" w:color="000000" w:sz="4" w:space="0"/>
              <w:right w:val="single" w:color="000000" w:sz="4" w:space="0"/>
            </w:tcBorders>
            <w:shd w:val="clear" w:color="auto" w:fill="auto"/>
            <w:vAlign w:val="center"/>
          </w:tcPr>
          <w:p w14:paraId="0580A587">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14:paraId="063DD2CB">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14:paraId="3AB38B09">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2560" w:type="dxa"/>
            <w:vMerge w:val="restart"/>
            <w:tcBorders>
              <w:top w:val="nil"/>
              <w:left w:val="single" w:color="000000" w:sz="4" w:space="0"/>
              <w:bottom w:val="single" w:color="000000" w:sz="4" w:space="0"/>
              <w:right w:val="single" w:color="000000" w:sz="4" w:space="0"/>
            </w:tcBorders>
            <w:shd w:val="clear" w:color="auto" w:fill="auto"/>
            <w:vAlign w:val="center"/>
          </w:tcPr>
          <w:p w14:paraId="03485A20">
            <w:pPr>
              <w:widowControl/>
              <w:jc w:val="center"/>
              <w:rPr>
                <w:rFonts w:ascii="宋体" w:hAnsi="宋体" w:cs="宋体"/>
                <w:color w:val="000000"/>
                <w:kern w:val="0"/>
                <w:sz w:val="18"/>
                <w:szCs w:val="18"/>
              </w:rPr>
            </w:pPr>
            <w:r>
              <w:rPr>
                <w:rFonts w:hint="eastAsia" w:ascii="宋体" w:hAnsi="宋体" w:cs="宋体"/>
                <w:color w:val="000000"/>
                <w:kern w:val="0"/>
                <w:sz w:val="18"/>
                <w:szCs w:val="18"/>
              </w:rPr>
              <w:t>结合单位实际情况，测算相对合理，资金分配科学，下达及时，拨付合规，使用规范执行准确，既不铺张浪费，又满足工作需要。</w:t>
            </w:r>
          </w:p>
        </w:tc>
      </w:tr>
      <w:tr w14:paraId="34617ECC">
        <w:tblPrEx>
          <w:tblCellMar>
            <w:top w:w="0" w:type="dxa"/>
            <w:left w:w="108" w:type="dxa"/>
            <w:bottom w:w="0" w:type="dxa"/>
            <w:right w:w="108" w:type="dxa"/>
          </w:tblCellMar>
        </w:tblPrEx>
        <w:trPr>
          <w:trHeight w:val="689" w:hRule="atLeast"/>
        </w:trPr>
        <w:tc>
          <w:tcPr>
            <w:tcW w:w="931" w:type="dxa"/>
            <w:gridSpan w:val="2"/>
            <w:vMerge w:val="continue"/>
            <w:tcBorders>
              <w:top w:val="nil"/>
              <w:left w:val="single" w:color="000000" w:sz="4" w:space="0"/>
              <w:bottom w:val="single" w:color="000000" w:sz="4" w:space="0"/>
              <w:right w:val="single" w:color="000000" w:sz="4" w:space="0"/>
            </w:tcBorders>
            <w:vAlign w:val="center"/>
          </w:tcPr>
          <w:p w14:paraId="6E8F60A2">
            <w:pPr>
              <w:widowControl/>
              <w:jc w:val="left"/>
              <w:rPr>
                <w:rFonts w:ascii="宋体" w:hAnsi="宋体" w:cs="宋体"/>
                <w:color w:val="000000"/>
                <w:kern w:val="0"/>
                <w:sz w:val="18"/>
                <w:szCs w:val="18"/>
              </w:rPr>
            </w:pPr>
          </w:p>
        </w:tc>
        <w:tc>
          <w:tcPr>
            <w:tcW w:w="1874" w:type="dxa"/>
            <w:tcBorders>
              <w:top w:val="nil"/>
              <w:left w:val="nil"/>
              <w:bottom w:val="single" w:color="000000" w:sz="4" w:space="0"/>
              <w:right w:val="single" w:color="000000" w:sz="4" w:space="0"/>
            </w:tcBorders>
            <w:shd w:val="clear" w:color="auto" w:fill="auto"/>
            <w:vAlign w:val="center"/>
          </w:tcPr>
          <w:p w14:paraId="16888B19">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748" w:type="dxa"/>
            <w:tcBorders>
              <w:top w:val="nil"/>
              <w:left w:val="nil"/>
              <w:bottom w:val="single" w:color="000000" w:sz="4" w:space="0"/>
              <w:right w:val="single" w:color="000000" w:sz="4" w:space="0"/>
            </w:tcBorders>
            <w:shd w:val="clear" w:color="auto" w:fill="auto"/>
            <w:vAlign w:val="center"/>
          </w:tcPr>
          <w:p w14:paraId="5FFD550B">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933.27</w:t>
            </w:r>
          </w:p>
        </w:tc>
        <w:tc>
          <w:tcPr>
            <w:tcW w:w="2317" w:type="dxa"/>
            <w:tcBorders>
              <w:top w:val="nil"/>
              <w:left w:val="nil"/>
              <w:bottom w:val="single" w:color="000000" w:sz="4" w:space="0"/>
              <w:right w:val="single" w:color="000000" w:sz="4" w:space="0"/>
            </w:tcBorders>
            <w:shd w:val="clear" w:color="auto" w:fill="auto"/>
            <w:vAlign w:val="center"/>
          </w:tcPr>
          <w:p w14:paraId="2DF15CBD">
            <w:pPr>
              <w:widowControl/>
              <w:jc w:val="center"/>
              <w:rPr>
                <w:rFonts w:ascii="宋体" w:hAnsi="宋体" w:cs="宋体"/>
                <w:color w:val="000000"/>
                <w:kern w:val="0"/>
                <w:sz w:val="18"/>
                <w:szCs w:val="18"/>
              </w:rPr>
            </w:pPr>
            <w:r>
              <w:rPr>
                <w:rFonts w:hint="eastAsia" w:ascii="宋体" w:hAnsi="宋体" w:cs="宋体"/>
                <w:color w:val="000000"/>
                <w:kern w:val="0"/>
                <w:sz w:val="18"/>
                <w:szCs w:val="18"/>
              </w:rPr>
              <w:t>1063.32</w:t>
            </w:r>
          </w:p>
        </w:tc>
        <w:tc>
          <w:tcPr>
            <w:tcW w:w="2581" w:type="dxa"/>
            <w:gridSpan w:val="3"/>
            <w:tcBorders>
              <w:top w:val="single" w:color="000000" w:sz="4" w:space="0"/>
              <w:left w:val="nil"/>
              <w:bottom w:val="single" w:color="000000" w:sz="4" w:space="0"/>
              <w:right w:val="single" w:color="000000" w:sz="4" w:space="0"/>
            </w:tcBorders>
            <w:shd w:val="clear" w:color="auto" w:fill="auto"/>
            <w:vAlign w:val="center"/>
          </w:tcPr>
          <w:p w14:paraId="380C2D6E">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1063.32</w:t>
            </w:r>
          </w:p>
        </w:tc>
        <w:tc>
          <w:tcPr>
            <w:tcW w:w="1092" w:type="dxa"/>
            <w:tcBorders>
              <w:top w:val="nil"/>
              <w:left w:val="nil"/>
              <w:bottom w:val="single" w:color="000000" w:sz="4" w:space="0"/>
              <w:right w:val="single" w:color="000000" w:sz="4" w:space="0"/>
            </w:tcBorders>
            <w:shd w:val="clear" w:color="auto" w:fill="auto"/>
            <w:vAlign w:val="center"/>
          </w:tcPr>
          <w:p w14:paraId="7DAF9D29">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14:paraId="4B14164D">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14:paraId="5BCC25D3">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11573052">
            <w:pPr>
              <w:widowControl/>
              <w:jc w:val="left"/>
              <w:rPr>
                <w:rFonts w:ascii="宋体" w:hAnsi="宋体" w:cs="宋体"/>
                <w:color w:val="000000"/>
                <w:kern w:val="0"/>
                <w:sz w:val="18"/>
                <w:szCs w:val="18"/>
              </w:rPr>
            </w:pPr>
          </w:p>
        </w:tc>
      </w:tr>
      <w:tr w14:paraId="187A7535">
        <w:tblPrEx>
          <w:tblCellMar>
            <w:top w:w="0" w:type="dxa"/>
            <w:left w:w="108" w:type="dxa"/>
            <w:bottom w:w="0" w:type="dxa"/>
            <w:right w:w="108" w:type="dxa"/>
          </w:tblCellMar>
        </w:tblPrEx>
        <w:trPr>
          <w:trHeight w:val="682" w:hRule="atLeast"/>
        </w:trPr>
        <w:tc>
          <w:tcPr>
            <w:tcW w:w="931" w:type="dxa"/>
            <w:gridSpan w:val="2"/>
            <w:vMerge w:val="continue"/>
            <w:tcBorders>
              <w:top w:val="nil"/>
              <w:left w:val="single" w:color="000000" w:sz="4" w:space="0"/>
              <w:bottom w:val="single" w:color="000000" w:sz="4" w:space="0"/>
              <w:right w:val="single" w:color="000000" w:sz="4" w:space="0"/>
            </w:tcBorders>
            <w:vAlign w:val="center"/>
          </w:tcPr>
          <w:p w14:paraId="37307C3B">
            <w:pPr>
              <w:widowControl/>
              <w:jc w:val="left"/>
              <w:rPr>
                <w:rFonts w:ascii="宋体" w:hAnsi="宋体" w:cs="宋体"/>
                <w:color w:val="000000"/>
                <w:kern w:val="0"/>
                <w:sz w:val="18"/>
                <w:szCs w:val="18"/>
              </w:rPr>
            </w:pPr>
          </w:p>
        </w:tc>
        <w:tc>
          <w:tcPr>
            <w:tcW w:w="1874" w:type="dxa"/>
            <w:tcBorders>
              <w:top w:val="nil"/>
              <w:left w:val="nil"/>
              <w:bottom w:val="single" w:color="000000" w:sz="4" w:space="0"/>
              <w:right w:val="single" w:color="000000" w:sz="4" w:space="0"/>
            </w:tcBorders>
            <w:shd w:val="clear" w:color="auto" w:fill="auto"/>
            <w:vAlign w:val="center"/>
          </w:tcPr>
          <w:p w14:paraId="33D4C1F6">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748" w:type="dxa"/>
            <w:tcBorders>
              <w:top w:val="nil"/>
              <w:left w:val="nil"/>
              <w:bottom w:val="single" w:color="000000" w:sz="4" w:space="0"/>
              <w:right w:val="single" w:color="000000" w:sz="4" w:space="0"/>
            </w:tcBorders>
            <w:shd w:val="clear" w:color="auto" w:fill="auto"/>
            <w:vAlign w:val="center"/>
          </w:tcPr>
          <w:p w14:paraId="411331DA">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317" w:type="dxa"/>
            <w:tcBorders>
              <w:top w:val="nil"/>
              <w:left w:val="nil"/>
              <w:bottom w:val="single" w:color="000000" w:sz="4" w:space="0"/>
              <w:right w:val="single" w:color="000000" w:sz="4" w:space="0"/>
            </w:tcBorders>
            <w:shd w:val="clear" w:color="auto" w:fill="auto"/>
            <w:vAlign w:val="center"/>
          </w:tcPr>
          <w:p w14:paraId="42C9F9FE">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581" w:type="dxa"/>
            <w:gridSpan w:val="3"/>
            <w:tcBorders>
              <w:top w:val="single" w:color="000000" w:sz="4" w:space="0"/>
              <w:left w:val="nil"/>
              <w:bottom w:val="single" w:color="000000" w:sz="4" w:space="0"/>
              <w:right w:val="single" w:color="000000" w:sz="4" w:space="0"/>
            </w:tcBorders>
            <w:shd w:val="clear" w:color="auto" w:fill="auto"/>
            <w:vAlign w:val="center"/>
          </w:tcPr>
          <w:p w14:paraId="03D751F0">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092" w:type="dxa"/>
            <w:tcBorders>
              <w:top w:val="nil"/>
              <w:left w:val="nil"/>
              <w:bottom w:val="single" w:color="000000" w:sz="4" w:space="0"/>
              <w:right w:val="single" w:color="000000" w:sz="4" w:space="0"/>
            </w:tcBorders>
            <w:shd w:val="clear" w:color="auto" w:fill="auto"/>
            <w:vAlign w:val="center"/>
          </w:tcPr>
          <w:p w14:paraId="4003AFC6">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14:paraId="69B5826F">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14:paraId="67D8EE40">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11B5878E">
            <w:pPr>
              <w:widowControl/>
              <w:jc w:val="left"/>
              <w:rPr>
                <w:rFonts w:ascii="宋体" w:hAnsi="宋体" w:cs="宋体"/>
                <w:color w:val="000000"/>
                <w:kern w:val="0"/>
                <w:sz w:val="18"/>
                <w:szCs w:val="18"/>
              </w:rPr>
            </w:pPr>
          </w:p>
        </w:tc>
      </w:tr>
      <w:tr w14:paraId="58F5804D">
        <w:tblPrEx>
          <w:tblCellMar>
            <w:top w:w="0" w:type="dxa"/>
            <w:left w:w="108" w:type="dxa"/>
            <w:bottom w:w="0" w:type="dxa"/>
            <w:right w:w="108" w:type="dxa"/>
          </w:tblCellMar>
        </w:tblPrEx>
        <w:trPr>
          <w:trHeight w:val="504" w:hRule="atLeast"/>
        </w:trPr>
        <w:tc>
          <w:tcPr>
            <w:tcW w:w="931" w:type="dxa"/>
            <w:gridSpan w:val="2"/>
            <w:vMerge w:val="continue"/>
            <w:tcBorders>
              <w:top w:val="nil"/>
              <w:left w:val="single" w:color="000000" w:sz="4" w:space="0"/>
              <w:bottom w:val="single" w:color="000000" w:sz="4" w:space="0"/>
              <w:right w:val="single" w:color="000000" w:sz="4" w:space="0"/>
            </w:tcBorders>
            <w:vAlign w:val="center"/>
          </w:tcPr>
          <w:p w14:paraId="5733ECF9">
            <w:pPr>
              <w:widowControl/>
              <w:jc w:val="left"/>
              <w:rPr>
                <w:rFonts w:ascii="宋体" w:hAnsi="宋体" w:cs="宋体"/>
                <w:color w:val="000000"/>
                <w:kern w:val="0"/>
                <w:sz w:val="18"/>
                <w:szCs w:val="18"/>
              </w:rPr>
            </w:pPr>
          </w:p>
        </w:tc>
        <w:tc>
          <w:tcPr>
            <w:tcW w:w="1874" w:type="dxa"/>
            <w:tcBorders>
              <w:top w:val="nil"/>
              <w:left w:val="nil"/>
              <w:bottom w:val="single" w:color="000000" w:sz="4" w:space="0"/>
              <w:right w:val="single" w:color="000000" w:sz="4" w:space="0"/>
            </w:tcBorders>
            <w:shd w:val="clear" w:color="auto" w:fill="auto"/>
            <w:vAlign w:val="center"/>
          </w:tcPr>
          <w:p w14:paraId="40DBF679">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748" w:type="dxa"/>
            <w:tcBorders>
              <w:top w:val="nil"/>
              <w:left w:val="nil"/>
              <w:bottom w:val="single" w:color="000000" w:sz="4" w:space="0"/>
              <w:right w:val="single" w:color="000000" w:sz="4" w:space="0"/>
            </w:tcBorders>
            <w:shd w:val="clear" w:color="auto" w:fill="auto"/>
            <w:vAlign w:val="center"/>
          </w:tcPr>
          <w:p w14:paraId="4E54E3ED">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317" w:type="dxa"/>
            <w:tcBorders>
              <w:top w:val="nil"/>
              <w:left w:val="nil"/>
              <w:bottom w:val="single" w:color="000000" w:sz="4" w:space="0"/>
              <w:right w:val="single" w:color="000000" w:sz="4" w:space="0"/>
            </w:tcBorders>
            <w:shd w:val="clear" w:color="auto" w:fill="auto"/>
            <w:vAlign w:val="center"/>
          </w:tcPr>
          <w:p w14:paraId="7DAFFCE2">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581" w:type="dxa"/>
            <w:gridSpan w:val="3"/>
            <w:tcBorders>
              <w:top w:val="single" w:color="000000" w:sz="4" w:space="0"/>
              <w:left w:val="nil"/>
              <w:bottom w:val="single" w:color="000000" w:sz="4" w:space="0"/>
              <w:right w:val="single" w:color="000000" w:sz="4" w:space="0"/>
            </w:tcBorders>
            <w:shd w:val="clear" w:color="auto" w:fill="auto"/>
            <w:vAlign w:val="center"/>
          </w:tcPr>
          <w:p w14:paraId="7C922289">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092" w:type="dxa"/>
            <w:tcBorders>
              <w:top w:val="nil"/>
              <w:left w:val="nil"/>
              <w:bottom w:val="single" w:color="000000" w:sz="4" w:space="0"/>
              <w:right w:val="single" w:color="000000" w:sz="4" w:space="0"/>
            </w:tcBorders>
            <w:shd w:val="clear" w:color="auto" w:fill="auto"/>
            <w:vAlign w:val="center"/>
          </w:tcPr>
          <w:p w14:paraId="705F1EED">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14:paraId="123A070F">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14:paraId="001DB2A5">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21981EB3">
            <w:pPr>
              <w:widowControl/>
              <w:jc w:val="left"/>
              <w:rPr>
                <w:rFonts w:ascii="宋体" w:hAnsi="宋体" w:cs="宋体"/>
                <w:color w:val="000000"/>
                <w:kern w:val="0"/>
                <w:sz w:val="18"/>
                <w:szCs w:val="18"/>
              </w:rPr>
            </w:pPr>
          </w:p>
        </w:tc>
      </w:tr>
      <w:tr w14:paraId="6AA19533">
        <w:tblPrEx>
          <w:tblCellMar>
            <w:top w:w="0" w:type="dxa"/>
            <w:left w:w="108" w:type="dxa"/>
            <w:bottom w:w="0" w:type="dxa"/>
            <w:right w:w="108" w:type="dxa"/>
          </w:tblCellMar>
        </w:tblPrEx>
        <w:trPr>
          <w:trHeight w:val="652" w:hRule="atLeast"/>
        </w:trPr>
        <w:tc>
          <w:tcPr>
            <w:tcW w:w="931" w:type="dxa"/>
            <w:gridSpan w:val="2"/>
            <w:vMerge w:val="continue"/>
            <w:tcBorders>
              <w:top w:val="nil"/>
              <w:left w:val="single" w:color="000000" w:sz="4" w:space="0"/>
              <w:bottom w:val="single" w:color="000000" w:sz="4" w:space="0"/>
              <w:right w:val="single" w:color="000000" w:sz="4" w:space="0"/>
            </w:tcBorders>
            <w:vAlign w:val="center"/>
          </w:tcPr>
          <w:p w14:paraId="3919DC49">
            <w:pPr>
              <w:widowControl/>
              <w:jc w:val="left"/>
              <w:rPr>
                <w:rFonts w:ascii="宋体" w:hAnsi="宋体" w:cs="宋体"/>
                <w:color w:val="000000"/>
                <w:kern w:val="0"/>
                <w:sz w:val="18"/>
                <w:szCs w:val="18"/>
              </w:rPr>
            </w:pPr>
          </w:p>
        </w:tc>
        <w:tc>
          <w:tcPr>
            <w:tcW w:w="1874" w:type="dxa"/>
            <w:tcBorders>
              <w:top w:val="nil"/>
              <w:left w:val="nil"/>
              <w:bottom w:val="single" w:color="000000" w:sz="4" w:space="0"/>
              <w:right w:val="single" w:color="000000" w:sz="4" w:space="0"/>
            </w:tcBorders>
            <w:shd w:val="clear" w:color="auto" w:fill="auto"/>
            <w:vAlign w:val="center"/>
          </w:tcPr>
          <w:p w14:paraId="5A72DB09">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748" w:type="dxa"/>
            <w:tcBorders>
              <w:top w:val="nil"/>
              <w:left w:val="nil"/>
              <w:bottom w:val="single" w:color="000000" w:sz="4" w:space="0"/>
              <w:right w:val="single" w:color="000000" w:sz="4" w:space="0"/>
            </w:tcBorders>
            <w:shd w:val="clear" w:color="auto" w:fill="auto"/>
            <w:vAlign w:val="center"/>
          </w:tcPr>
          <w:p w14:paraId="45F7CEE0">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317" w:type="dxa"/>
            <w:tcBorders>
              <w:top w:val="nil"/>
              <w:left w:val="nil"/>
              <w:bottom w:val="single" w:color="000000" w:sz="4" w:space="0"/>
              <w:right w:val="single" w:color="000000" w:sz="4" w:space="0"/>
            </w:tcBorders>
            <w:shd w:val="clear" w:color="auto" w:fill="auto"/>
            <w:vAlign w:val="center"/>
          </w:tcPr>
          <w:p w14:paraId="7A50F62D">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581" w:type="dxa"/>
            <w:gridSpan w:val="3"/>
            <w:tcBorders>
              <w:top w:val="single" w:color="000000" w:sz="4" w:space="0"/>
              <w:left w:val="nil"/>
              <w:bottom w:val="single" w:color="000000" w:sz="4" w:space="0"/>
              <w:right w:val="single" w:color="000000" w:sz="4" w:space="0"/>
            </w:tcBorders>
            <w:shd w:val="clear" w:color="auto" w:fill="auto"/>
            <w:vAlign w:val="center"/>
          </w:tcPr>
          <w:p w14:paraId="14B9E9D3">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092" w:type="dxa"/>
            <w:tcBorders>
              <w:top w:val="nil"/>
              <w:left w:val="nil"/>
              <w:bottom w:val="single" w:color="000000" w:sz="4" w:space="0"/>
              <w:right w:val="single" w:color="000000" w:sz="4" w:space="0"/>
            </w:tcBorders>
            <w:shd w:val="clear" w:color="auto" w:fill="auto"/>
            <w:vAlign w:val="center"/>
          </w:tcPr>
          <w:p w14:paraId="3C586B40">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14:paraId="7B9BF295">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14:paraId="02D6274E">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7AE95F75">
            <w:pPr>
              <w:widowControl/>
              <w:jc w:val="left"/>
              <w:rPr>
                <w:rFonts w:ascii="宋体" w:hAnsi="宋体" w:cs="宋体"/>
                <w:color w:val="000000"/>
                <w:kern w:val="0"/>
                <w:sz w:val="18"/>
                <w:szCs w:val="18"/>
              </w:rPr>
            </w:pPr>
          </w:p>
        </w:tc>
      </w:tr>
      <w:tr w14:paraId="69503AD1">
        <w:tblPrEx>
          <w:tblCellMar>
            <w:top w:w="0" w:type="dxa"/>
            <w:left w:w="108" w:type="dxa"/>
            <w:bottom w:w="0" w:type="dxa"/>
            <w:right w:w="108" w:type="dxa"/>
          </w:tblCellMar>
        </w:tblPrEx>
        <w:trPr>
          <w:trHeight w:val="1108" w:hRule="atLeast"/>
        </w:trPr>
        <w:tc>
          <w:tcPr>
            <w:tcW w:w="931"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28EBF927">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74" w:type="dxa"/>
            <w:tcBorders>
              <w:top w:val="nil"/>
              <w:left w:val="nil"/>
              <w:bottom w:val="single" w:color="auto" w:sz="4" w:space="0"/>
              <w:right w:val="single" w:color="000000" w:sz="4" w:space="0"/>
            </w:tcBorders>
            <w:shd w:val="clear" w:color="auto" w:fill="auto"/>
            <w:vAlign w:val="center"/>
          </w:tcPr>
          <w:p w14:paraId="66965363">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748" w:type="dxa"/>
            <w:tcBorders>
              <w:top w:val="nil"/>
              <w:left w:val="nil"/>
              <w:bottom w:val="single" w:color="auto" w:sz="4" w:space="0"/>
              <w:right w:val="single" w:color="000000" w:sz="4" w:space="0"/>
            </w:tcBorders>
            <w:shd w:val="clear" w:color="auto" w:fill="auto"/>
            <w:vAlign w:val="center"/>
          </w:tcPr>
          <w:p w14:paraId="1B98AF56">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317" w:type="dxa"/>
            <w:tcBorders>
              <w:top w:val="nil"/>
              <w:left w:val="nil"/>
              <w:bottom w:val="single" w:color="auto" w:sz="4" w:space="0"/>
              <w:right w:val="single" w:color="000000" w:sz="4" w:space="0"/>
            </w:tcBorders>
            <w:shd w:val="clear" w:color="auto" w:fill="auto"/>
            <w:vAlign w:val="center"/>
          </w:tcPr>
          <w:p w14:paraId="519B603A">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2" w:type="dxa"/>
            <w:tcBorders>
              <w:top w:val="nil"/>
              <w:left w:val="nil"/>
              <w:bottom w:val="single" w:color="auto" w:sz="4" w:space="0"/>
              <w:right w:val="single" w:color="000000" w:sz="4" w:space="0"/>
            </w:tcBorders>
            <w:shd w:val="clear" w:color="auto" w:fill="auto"/>
            <w:vAlign w:val="center"/>
          </w:tcPr>
          <w:p w14:paraId="6F36E2B9">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643" w:type="dxa"/>
            <w:tcBorders>
              <w:top w:val="nil"/>
              <w:left w:val="nil"/>
              <w:bottom w:val="single" w:color="auto" w:sz="4" w:space="0"/>
              <w:right w:val="single" w:color="000000" w:sz="4" w:space="0"/>
            </w:tcBorders>
            <w:shd w:val="clear" w:color="auto" w:fill="auto"/>
            <w:vAlign w:val="center"/>
          </w:tcPr>
          <w:p w14:paraId="57B23A7D">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516" w:type="dxa"/>
            <w:tcBorders>
              <w:top w:val="nil"/>
              <w:left w:val="nil"/>
              <w:bottom w:val="single" w:color="auto" w:sz="4" w:space="0"/>
              <w:right w:val="single" w:color="000000" w:sz="4" w:space="0"/>
            </w:tcBorders>
            <w:shd w:val="clear" w:color="auto" w:fill="auto"/>
            <w:vAlign w:val="center"/>
          </w:tcPr>
          <w:p w14:paraId="4548D3C6">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1092" w:type="dxa"/>
            <w:tcBorders>
              <w:top w:val="nil"/>
              <w:left w:val="nil"/>
              <w:bottom w:val="single" w:color="auto" w:sz="4" w:space="0"/>
              <w:right w:val="single" w:color="000000" w:sz="4" w:space="0"/>
            </w:tcBorders>
            <w:shd w:val="clear" w:color="auto" w:fill="auto"/>
            <w:vAlign w:val="center"/>
          </w:tcPr>
          <w:p w14:paraId="6FB2CFB3">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auto" w:sz="4" w:space="0"/>
              <w:right w:val="single" w:color="000000" w:sz="4" w:space="0"/>
            </w:tcBorders>
            <w:shd w:val="clear" w:color="auto" w:fill="auto"/>
            <w:vAlign w:val="center"/>
          </w:tcPr>
          <w:p w14:paraId="3FB99C92">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auto" w:sz="4" w:space="0"/>
              <w:right w:val="single" w:color="000000" w:sz="4" w:space="0"/>
            </w:tcBorders>
            <w:shd w:val="clear" w:color="auto" w:fill="auto"/>
            <w:vAlign w:val="center"/>
          </w:tcPr>
          <w:p w14:paraId="6D1F430D">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60" w:type="dxa"/>
            <w:tcBorders>
              <w:top w:val="nil"/>
              <w:left w:val="nil"/>
              <w:bottom w:val="single" w:color="auto" w:sz="4" w:space="0"/>
              <w:right w:val="single" w:color="000000" w:sz="4" w:space="0"/>
            </w:tcBorders>
            <w:shd w:val="clear" w:color="auto" w:fill="auto"/>
            <w:vAlign w:val="center"/>
          </w:tcPr>
          <w:p w14:paraId="6CCADA69">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14:paraId="55D798C8">
        <w:tblPrEx>
          <w:tblCellMar>
            <w:top w:w="0" w:type="dxa"/>
            <w:left w:w="108" w:type="dxa"/>
            <w:bottom w:w="0" w:type="dxa"/>
            <w:right w:w="108" w:type="dxa"/>
          </w:tblCellMar>
        </w:tblPrEx>
        <w:trPr>
          <w:trHeight w:val="394" w:hRule="atLeast"/>
        </w:trPr>
        <w:tc>
          <w:tcPr>
            <w:tcW w:w="931" w:type="dxa"/>
            <w:gridSpan w:val="2"/>
            <w:vMerge w:val="continue"/>
            <w:tcBorders>
              <w:top w:val="single" w:color="auto" w:sz="4" w:space="0"/>
              <w:left w:val="single" w:color="000000" w:sz="4" w:space="0"/>
              <w:bottom w:val="single" w:color="000000" w:sz="4" w:space="0"/>
              <w:right w:val="single" w:color="000000" w:sz="4" w:space="0"/>
            </w:tcBorders>
            <w:vAlign w:val="center"/>
          </w:tcPr>
          <w:p w14:paraId="31148B92">
            <w:pPr>
              <w:widowControl/>
              <w:jc w:val="left"/>
              <w:rPr>
                <w:rFonts w:ascii="宋体" w:hAnsi="宋体" w:cs="宋体"/>
                <w:color w:val="000000"/>
                <w:kern w:val="0"/>
                <w:sz w:val="18"/>
                <w:szCs w:val="18"/>
              </w:rPr>
            </w:pPr>
          </w:p>
        </w:tc>
        <w:tc>
          <w:tcPr>
            <w:tcW w:w="1874"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14:paraId="593408FB">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748" w:type="dxa"/>
            <w:tcBorders>
              <w:top w:val="single" w:color="auto" w:sz="4" w:space="0"/>
              <w:left w:val="nil"/>
              <w:bottom w:val="single" w:color="000000" w:sz="4" w:space="0"/>
              <w:right w:val="single" w:color="000000" w:sz="4" w:space="0"/>
            </w:tcBorders>
            <w:shd w:val="clear" w:color="auto" w:fill="auto"/>
            <w:vAlign w:val="center"/>
          </w:tcPr>
          <w:p w14:paraId="037B1F79">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317" w:type="dxa"/>
            <w:tcBorders>
              <w:top w:val="single" w:color="auto" w:sz="4" w:space="0"/>
              <w:left w:val="nil"/>
              <w:bottom w:val="single" w:color="000000" w:sz="4" w:space="0"/>
              <w:right w:val="single" w:color="000000" w:sz="4" w:space="0"/>
            </w:tcBorders>
            <w:shd w:val="clear" w:color="auto" w:fill="auto"/>
            <w:vAlign w:val="center"/>
          </w:tcPr>
          <w:p w14:paraId="00AA3CCA">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2" w:type="dxa"/>
            <w:tcBorders>
              <w:top w:val="single" w:color="auto" w:sz="4" w:space="0"/>
              <w:left w:val="nil"/>
              <w:bottom w:val="single" w:color="000000" w:sz="4" w:space="0"/>
              <w:right w:val="single" w:color="000000" w:sz="4" w:space="0"/>
            </w:tcBorders>
            <w:shd w:val="clear" w:color="auto" w:fill="auto"/>
            <w:vAlign w:val="center"/>
          </w:tcPr>
          <w:p w14:paraId="3DEC1F87">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43" w:type="dxa"/>
            <w:tcBorders>
              <w:top w:val="single" w:color="auto" w:sz="4" w:space="0"/>
              <w:left w:val="nil"/>
              <w:bottom w:val="single" w:color="000000" w:sz="4" w:space="0"/>
              <w:right w:val="single" w:color="000000" w:sz="4" w:space="0"/>
            </w:tcBorders>
            <w:shd w:val="clear" w:color="auto" w:fill="auto"/>
            <w:vAlign w:val="center"/>
          </w:tcPr>
          <w:p w14:paraId="0C68ABDD">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16" w:type="dxa"/>
            <w:tcBorders>
              <w:top w:val="single" w:color="auto" w:sz="4" w:space="0"/>
              <w:left w:val="nil"/>
              <w:bottom w:val="single" w:color="000000" w:sz="4" w:space="0"/>
              <w:right w:val="single" w:color="000000" w:sz="4" w:space="0"/>
            </w:tcBorders>
            <w:shd w:val="clear" w:color="auto" w:fill="auto"/>
            <w:vAlign w:val="center"/>
          </w:tcPr>
          <w:p w14:paraId="388E56FF">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1092" w:type="dxa"/>
            <w:tcBorders>
              <w:top w:val="single" w:color="auto" w:sz="4" w:space="0"/>
              <w:left w:val="nil"/>
              <w:bottom w:val="single" w:color="000000" w:sz="4" w:space="0"/>
              <w:right w:val="single" w:color="000000" w:sz="4" w:space="0"/>
            </w:tcBorders>
            <w:shd w:val="clear" w:color="auto" w:fill="auto"/>
            <w:vAlign w:val="center"/>
          </w:tcPr>
          <w:p w14:paraId="4637C755">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≤10</w:t>
            </w:r>
          </w:p>
        </w:tc>
        <w:tc>
          <w:tcPr>
            <w:tcW w:w="576" w:type="dxa"/>
            <w:tcBorders>
              <w:top w:val="single" w:color="auto" w:sz="4" w:space="0"/>
              <w:left w:val="nil"/>
              <w:bottom w:val="single" w:color="000000" w:sz="4" w:space="0"/>
              <w:right w:val="single" w:color="000000" w:sz="4" w:space="0"/>
            </w:tcBorders>
            <w:shd w:val="clear" w:color="auto" w:fill="auto"/>
            <w:vAlign w:val="center"/>
          </w:tcPr>
          <w:p w14:paraId="1060862E">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auto" w:sz="4" w:space="0"/>
              <w:left w:val="nil"/>
              <w:bottom w:val="single" w:color="000000" w:sz="4" w:space="0"/>
              <w:right w:val="single" w:color="000000" w:sz="4" w:space="0"/>
            </w:tcBorders>
            <w:shd w:val="clear" w:color="auto" w:fill="auto"/>
            <w:vAlign w:val="center"/>
          </w:tcPr>
          <w:p w14:paraId="4C384DB4">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val="en-US" w:eastAsia="zh-CN"/>
              </w:rPr>
              <w:t>22.5</w:t>
            </w:r>
          </w:p>
        </w:tc>
        <w:tc>
          <w:tcPr>
            <w:tcW w:w="2560" w:type="dxa"/>
            <w:tcBorders>
              <w:top w:val="single" w:color="auto" w:sz="4" w:space="0"/>
              <w:left w:val="nil"/>
              <w:bottom w:val="single" w:color="000000" w:sz="4" w:space="0"/>
              <w:right w:val="single" w:color="000000" w:sz="4" w:space="0"/>
            </w:tcBorders>
            <w:shd w:val="clear" w:color="auto" w:fill="auto"/>
            <w:vAlign w:val="center"/>
          </w:tcPr>
          <w:p w14:paraId="1A399CAC">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178BF9E2">
        <w:tblPrEx>
          <w:tblCellMar>
            <w:top w:w="0" w:type="dxa"/>
            <w:left w:w="108" w:type="dxa"/>
            <w:bottom w:w="0" w:type="dxa"/>
            <w:right w:w="108" w:type="dxa"/>
          </w:tblCellMar>
        </w:tblPrEx>
        <w:trPr>
          <w:trHeight w:val="886" w:hRule="atLeast"/>
        </w:trPr>
        <w:tc>
          <w:tcPr>
            <w:tcW w:w="931" w:type="dxa"/>
            <w:gridSpan w:val="2"/>
            <w:vMerge w:val="continue"/>
            <w:tcBorders>
              <w:top w:val="nil"/>
              <w:left w:val="single" w:color="000000" w:sz="4" w:space="0"/>
              <w:bottom w:val="single" w:color="000000" w:sz="4" w:space="0"/>
              <w:right w:val="single" w:color="000000" w:sz="4" w:space="0"/>
            </w:tcBorders>
            <w:vAlign w:val="center"/>
          </w:tcPr>
          <w:p w14:paraId="5E166989">
            <w:pPr>
              <w:widowControl/>
              <w:jc w:val="left"/>
              <w:rPr>
                <w:rFonts w:ascii="宋体" w:hAnsi="宋体" w:cs="宋体"/>
                <w:color w:val="000000"/>
                <w:kern w:val="0"/>
                <w:sz w:val="18"/>
                <w:szCs w:val="18"/>
              </w:rPr>
            </w:pPr>
          </w:p>
        </w:tc>
        <w:tc>
          <w:tcPr>
            <w:tcW w:w="1874" w:type="dxa"/>
            <w:vMerge w:val="continue"/>
            <w:tcBorders>
              <w:top w:val="single" w:color="auto" w:sz="4" w:space="0"/>
              <w:left w:val="single" w:color="000000" w:sz="4" w:space="0"/>
              <w:bottom w:val="single" w:color="000000" w:sz="4" w:space="0"/>
              <w:right w:val="single" w:color="000000" w:sz="4" w:space="0"/>
            </w:tcBorders>
            <w:vAlign w:val="center"/>
          </w:tcPr>
          <w:p w14:paraId="0D0D0737">
            <w:pPr>
              <w:widowControl/>
              <w:jc w:val="left"/>
              <w:rPr>
                <w:rFonts w:ascii="宋体" w:hAnsi="宋体" w:cs="宋体"/>
                <w:color w:val="000000"/>
                <w:kern w:val="0"/>
                <w:sz w:val="18"/>
                <w:szCs w:val="18"/>
              </w:rPr>
            </w:pPr>
          </w:p>
        </w:tc>
        <w:tc>
          <w:tcPr>
            <w:tcW w:w="1748" w:type="dxa"/>
            <w:tcBorders>
              <w:top w:val="nil"/>
              <w:left w:val="nil"/>
              <w:bottom w:val="single" w:color="000000" w:sz="4" w:space="0"/>
              <w:right w:val="single" w:color="000000" w:sz="4" w:space="0"/>
            </w:tcBorders>
            <w:shd w:val="clear" w:color="auto" w:fill="auto"/>
            <w:vAlign w:val="center"/>
          </w:tcPr>
          <w:p w14:paraId="68390861">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317" w:type="dxa"/>
            <w:tcBorders>
              <w:top w:val="nil"/>
              <w:left w:val="nil"/>
              <w:bottom w:val="single" w:color="000000" w:sz="4" w:space="0"/>
              <w:right w:val="single" w:color="000000" w:sz="4" w:space="0"/>
            </w:tcBorders>
            <w:shd w:val="clear" w:color="auto" w:fill="auto"/>
            <w:vAlign w:val="center"/>
          </w:tcPr>
          <w:p w14:paraId="2610378F">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2" w:type="dxa"/>
            <w:tcBorders>
              <w:top w:val="nil"/>
              <w:left w:val="nil"/>
              <w:bottom w:val="single" w:color="000000" w:sz="4" w:space="0"/>
              <w:right w:val="single" w:color="000000" w:sz="4" w:space="0"/>
            </w:tcBorders>
            <w:shd w:val="clear" w:color="auto" w:fill="auto"/>
            <w:vAlign w:val="center"/>
          </w:tcPr>
          <w:p w14:paraId="072F1C1A">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43" w:type="dxa"/>
            <w:tcBorders>
              <w:top w:val="nil"/>
              <w:left w:val="nil"/>
              <w:bottom w:val="single" w:color="000000" w:sz="4" w:space="0"/>
              <w:right w:val="single" w:color="000000" w:sz="4" w:space="0"/>
            </w:tcBorders>
            <w:shd w:val="clear" w:color="auto" w:fill="auto"/>
            <w:vAlign w:val="center"/>
          </w:tcPr>
          <w:p w14:paraId="078CB813">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16" w:type="dxa"/>
            <w:tcBorders>
              <w:top w:val="nil"/>
              <w:left w:val="nil"/>
              <w:bottom w:val="single" w:color="000000" w:sz="4" w:space="0"/>
              <w:right w:val="single" w:color="000000" w:sz="4" w:space="0"/>
            </w:tcBorders>
            <w:shd w:val="clear" w:color="auto" w:fill="auto"/>
            <w:vAlign w:val="center"/>
          </w:tcPr>
          <w:p w14:paraId="7F197B36">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092" w:type="dxa"/>
            <w:tcBorders>
              <w:top w:val="nil"/>
              <w:left w:val="nil"/>
              <w:bottom w:val="single" w:color="000000" w:sz="4" w:space="0"/>
              <w:right w:val="single" w:color="000000" w:sz="4" w:space="0"/>
            </w:tcBorders>
            <w:shd w:val="clear" w:color="auto" w:fill="auto"/>
            <w:vAlign w:val="center"/>
          </w:tcPr>
          <w:p w14:paraId="00D52F9A">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14:paraId="7EA8609A">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nil"/>
              <w:left w:val="nil"/>
              <w:bottom w:val="single" w:color="000000" w:sz="4" w:space="0"/>
              <w:right w:val="single" w:color="000000" w:sz="4" w:space="0"/>
            </w:tcBorders>
            <w:shd w:val="clear" w:color="auto" w:fill="auto"/>
            <w:vAlign w:val="center"/>
          </w:tcPr>
          <w:p w14:paraId="307EDCCE">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2560" w:type="dxa"/>
            <w:tcBorders>
              <w:top w:val="nil"/>
              <w:left w:val="nil"/>
              <w:bottom w:val="single" w:color="000000" w:sz="4" w:space="0"/>
              <w:right w:val="single" w:color="000000" w:sz="4" w:space="0"/>
            </w:tcBorders>
            <w:shd w:val="clear" w:color="auto" w:fill="auto"/>
            <w:vAlign w:val="center"/>
          </w:tcPr>
          <w:p w14:paraId="384C28E8">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76EFA238">
        <w:tblPrEx>
          <w:tblCellMar>
            <w:top w:w="0" w:type="dxa"/>
            <w:left w:w="108" w:type="dxa"/>
            <w:bottom w:w="0" w:type="dxa"/>
            <w:right w:w="108" w:type="dxa"/>
          </w:tblCellMar>
        </w:tblPrEx>
        <w:trPr>
          <w:trHeight w:val="364" w:hRule="atLeast"/>
        </w:trPr>
        <w:tc>
          <w:tcPr>
            <w:tcW w:w="931" w:type="dxa"/>
            <w:gridSpan w:val="2"/>
            <w:vMerge w:val="continue"/>
            <w:tcBorders>
              <w:top w:val="nil"/>
              <w:left w:val="single" w:color="000000" w:sz="4" w:space="0"/>
              <w:bottom w:val="single" w:color="000000" w:sz="4" w:space="0"/>
              <w:right w:val="single" w:color="000000" w:sz="4" w:space="0"/>
            </w:tcBorders>
            <w:vAlign w:val="center"/>
          </w:tcPr>
          <w:p w14:paraId="6D3500B2">
            <w:pPr>
              <w:widowControl/>
              <w:jc w:val="left"/>
              <w:rPr>
                <w:rFonts w:ascii="宋体" w:hAnsi="宋体" w:cs="宋体"/>
                <w:color w:val="000000"/>
                <w:kern w:val="0"/>
                <w:sz w:val="18"/>
                <w:szCs w:val="18"/>
              </w:rPr>
            </w:pPr>
          </w:p>
        </w:tc>
        <w:tc>
          <w:tcPr>
            <w:tcW w:w="1874" w:type="dxa"/>
            <w:vMerge w:val="restart"/>
            <w:tcBorders>
              <w:top w:val="nil"/>
              <w:left w:val="single" w:color="000000" w:sz="4" w:space="0"/>
              <w:bottom w:val="single" w:color="000000" w:sz="4" w:space="0"/>
              <w:right w:val="single" w:color="000000" w:sz="4" w:space="0"/>
            </w:tcBorders>
            <w:shd w:val="clear" w:color="auto" w:fill="auto"/>
            <w:vAlign w:val="center"/>
          </w:tcPr>
          <w:p w14:paraId="72B2547C">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748" w:type="dxa"/>
            <w:vMerge w:val="restart"/>
            <w:tcBorders>
              <w:top w:val="nil"/>
              <w:left w:val="single" w:color="000000" w:sz="4" w:space="0"/>
              <w:bottom w:val="single" w:color="000000" w:sz="4" w:space="0"/>
              <w:right w:val="single" w:color="000000" w:sz="4" w:space="0"/>
            </w:tcBorders>
            <w:shd w:val="clear" w:color="auto" w:fill="auto"/>
            <w:vAlign w:val="center"/>
          </w:tcPr>
          <w:p w14:paraId="0C22CFB2">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317" w:type="dxa"/>
            <w:tcBorders>
              <w:top w:val="nil"/>
              <w:left w:val="nil"/>
              <w:bottom w:val="single" w:color="000000" w:sz="4" w:space="0"/>
              <w:right w:val="single" w:color="000000" w:sz="4" w:space="0"/>
            </w:tcBorders>
            <w:shd w:val="clear" w:color="auto" w:fill="auto"/>
            <w:vAlign w:val="center"/>
          </w:tcPr>
          <w:p w14:paraId="72DEFA18">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2" w:type="dxa"/>
            <w:tcBorders>
              <w:top w:val="nil"/>
              <w:left w:val="nil"/>
              <w:bottom w:val="single" w:color="000000" w:sz="4" w:space="0"/>
              <w:right w:val="single" w:color="000000" w:sz="4" w:space="0"/>
            </w:tcBorders>
            <w:shd w:val="clear" w:color="auto" w:fill="auto"/>
            <w:vAlign w:val="center"/>
          </w:tcPr>
          <w:p w14:paraId="236E1270">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43" w:type="dxa"/>
            <w:tcBorders>
              <w:top w:val="nil"/>
              <w:left w:val="nil"/>
              <w:bottom w:val="single" w:color="000000" w:sz="4" w:space="0"/>
              <w:right w:val="single" w:color="000000" w:sz="4" w:space="0"/>
            </w:tcBorders>
            <w:shd w:val="clear" w:color="auto" w:fill="auto"/>
            <w:vAlign w:val="center"/>
          </w:tcPr>
          <w:p w14:paraId="4FBA957A">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16" w:type="dxa"/>
            <w:tcBorders>
              <w:top w:val="nil"/>
              <w:left w:val="nil"/>
              <w:bottom w:val="single" w:color="000000" w:sz="4" w:space="0"/>
              <w:right w:val="single" w:color="000000" w:sz="4" w:space="0"/>
            </w:tcBorders>
            <w:shd w:val="clear" w:color="auto" w:fill="auto"/>
            <w:vAlign w:val="center"/>
          </w:tcPr>
          <w:p w14:paraId="2E418781">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092" w:type="dxa"/>
            <w:tcBorders>
              <w:top w:val="nil"/>
              <w:left w:val="nil"/>
              <w:bottom w:val="single" w:color="000000" w:sz="4" w:space="0"/>
              <w:right w:val="single" w:color="000000" w:sz="4" w:space="0"/>
            </w:tcBorders>
            <w:shd w:val="clear" w:color="auto" w:fill="auto"/>
            <w:vAlign w:val="center"/>
          </w:tcPr>
          <w:p w14:paraId="47DF6C88">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14:paraId="12EA0C0E">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nil"/>
              <w:left w:val="nil"/>
              <w:bottom w:val="single" w:color="000000" w:sz="4" w:space="0"/>
              <w:right w:val="single" w:color="000000" w:sz="4" w:space="0"/>
            </w:tcBorders>
            <w:shd w:val="clear" w:color="auto" w:fill="auto"/>
            <w:vAlign w:val="center"/>
          </w:tcPr>
          <w:p w14:paraId="5C46EF67">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2560" w:type="dxa"/>
            <w:tcBorders>
              <w:top w:val="nil"/>
              <w:left w:val="nil"/>
              <w:bottom w:val="single" w:color="000000" w:sz="4" w:space="0"/>
              <w:right w:val="single" w:color="000000" w:sz="4" w:space="0"/>
            </w:tcBorders>
            <w:shd w:val="clear" w:color="auto" w:fill="auto"/>
            <w:vAlign w:val="center"/>
          </w:tcPr>
          <w:p w14:paraId="2B6002A1">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2A355F9A">
        <w:tblPrEx>
          <w:tblCellMar>
            <w:top w:w="0" w:type="dxa"/>
            <w:left w:w="108" w:type="dxa"/>
            <w:bottom w:w="0" w:type="dxa"/>
            <w:right w:w="108" w:type="dxa"/>
          </w:tblCellMar>
        </w:tblPrEx>
        <w:trPr>
          <w:trHeight w:val="948" w:hRule="atLeast"/>
        </w:trPr>
        <w:tc>
          <w:tcPr>
            <w:tcW w:w="931" w:type="dxa"/>
            <w:gridSpan w:val="2"/>
            <w:vMerge w:val="continue"/>
            <w:tcBorders>
              <w:top w:val="nil"/>
              <w:left w:val="single" w:color="000000" w:sz="4" w:space="0"/>
              <w:bottom w:val="single" w:color="000000" w:sz="4" w:space="0"/>
              <w:right w:val="single" w:color="000000" w:sz="4" w:space="0"/>
            </w:tcBorders>
            <w:vAlign w:val="center"/>
          </w:tcPr>
          <w:p w14:paraId="5602F02B">
            <w:pPr>
              <w:widowControl/>
              <w:jc w:val="left"/>
              <w:rPr>
                <w:rFonts w:ascii="宋体" w:hAnsi="宋体" w:cs="宋体"/>
                <w:color w:val="000000"/>
                <w:kern w:val="0"/>
                <w:sz w:val="18"/>
                <w:szCs w:val="18"/>
              </w:rPr>
            </w:pPr>
          </w:p>
        </w:tc>
        <w:tc>
          <w:tcPr>
            <w:tcW w:w="1874" w:type="dxa"/>
            <w:vMerge w:val="continue"/>
            <w:tcBorders>
              <w:top w:val="nil"/>
              <w:left w:val="single" w:color="000000" w:sz="4" w:space="0"/>
              <w:bottom w:val="single" w:color="000000" w:sz="4" w:space="0"/>
              <w:right w:val="single" w:color="000000" w:sz="4" w:space="0"/>
            </w:tcBorders>
            <w:vAlign w:val="center"/>
          </w:tcPr>
          <w:p w14:paraId="18E875C0">
            <w:pPr>
              <w:widowControl/>
              <w:jc w:val="left"/>
              <w:rPr>
                <w:rFonts w:ascii="宋体" w:hAnsi="宋体" w:cs="宋体"/>
                <w:color w:val="000000"/>
                <w:kern w:val="0"/>
                <w:sz w:val="18"/>
                <w:szCs w:val="18"/>
              </w:rPr>
            </w:pPr>
          </w:p>
        </w:tc>
        <w:tc>
          <w:tcPr>
            <w:tcW w:w="1748" w:type="dxa"/>
            <w:vMerge w:val="continue"/>
            <w:tcBorders>
              <w:top w:val="nil"/>
              <w:left w:val="single" w:color="000000" w:sz="4" w:space="0"/>
              <w:bottom w:val="single" w:color="000000" w:sz="4" w:space="0"/>
              <w:right w:val="single" w:color="000000" w:sz="4" w:space="0"/>
            </w:tcBorders>
            <w:vAlign w:val="center"/>
          </w:tcPr>
          <w:p w14:paraId="7D3FA4B7">
            <w:pPr>
              <w:widowControl/>
              <w:jc w:val="left"/>
              <w:rPr>
                <w:rFonts w:ascii="宋体" w:hAnsi="宋体" w:cs="宋体"/>
                <w:color w:val="000000"/>
                <w:kern w:val="0"/>
                <w:sz w:val="18"/>
                <w:szCs w:val="18"/>
              </w:rPr>
            </w:pPr>
          </w:p>
        </w:tc>
        <w:tc>
          <w:tcPr>
            <w:tcW w:w="2317" w:type="dxa"/>
            <w:tcBorders>
              <w:top w:val="nil"/>
              <w:left w:val="nil"/>
              <w:bottom w:val="single" w:color="000000" w:sz="4" w:space="0"/>
              <w:right w:val="single" w:color="000000" w:sz="4" w:space="0"/>
            </w:tcBorders>
            <w:shd w:val="clear" w:color="auto" w:fill="auto"/>
            <w:vAlign w:val="center"/>
          </w:tcPr>
          <w:p w14:paraId="7C213A8E">
            <w:pPr>
              <w:widowControl/>
              <w:jc w:val="center"/>
              <w:rPr>
                <w:rFonts w:ascii="宋体" w:hAnsi="宋体" w:cs="宋体"/>
                <w:color w:val="000000"/>
                <w:kern w:val="0"/>
                <w:sz w:val="18"/>
                <w:szCs w:val="18"/>
              </w:rPr>
            </w:pPr>
            <w:r>
              <w:rPr>
                <w:rFonts w:hint="eastAsia" w:ascii="宋体" w:hAnsi="宋体" w:cs="宋体"/>
                <w:color w:val="000000"/>
                <w:kern w:val="0"/>
                <w:sz w:val="18"/>
                <w:szCs w:val="18"/>
              </w:rPr>
              <w:t>“基本支出”控制率[计算方法为：（基本支出实际支出数/预算安排数]×100%）</w:t>
            </w:r>
          </w:p>
        </w:tc>
        <w:tc>
          <w:tcPr>
            <w:tcW w:w="422" w:type="dxa"/>
            <w:tcBorders>
              <w:top w:val="nil"/>
              <w:left w:val="nil"/>
              <w:bottom w:val="single" w:color="000000" w:sz="4" w:space="0"/>
              <w:right w:val="single" w:color="000000" w:sz="4" w:space="0"/>
            </w:tcBorders>
            <w:shd w:val="clear" w:color="auto" w:fill="auto"/>
            <w:vAlign w:val="center"/>
          </w:tcPr>
          <w:p w14:paraId="213BA658">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43" w:type="dxa"/>
            <w:tcBorders>
              <w:top w:val="nil"/>
              <w:left w:val="nil"/>
              <w:bottom w:val="single" w:color="000000" w:sz="4" w:space="0"/>
              <w:right w:val="single" w:color="000000" w:sz="4" w:space="0"/>
            </w:tcBorders>
            <w:shd w:val="clear" w:color="auto" w:fill="auto"/>
            <w:vAlign w:val="center"/>
          </w:tcPr>
          <w:p w14:paraId="01CA164F">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16" w:type="dxa"/>
            <w:tcBorders>
              <w:top w:val="nil"/>
              <w:left w:val="nil"/>
              <w:bottom w:val="single" w:color="000000" w:sz="4" w:space="0"/>
              <w:right w:val="single" w:color="000000" w:sz="4" w:space="0"/>
            </w:tcBorders>
            <w:shd w:val="clear" w:color="auto" w:fill="auto"/>
            <w:vAlign w:val="center"/>
          </w:tcPr>
          <w:p w14:paraId="697387F6">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092" w:type="dxa"/>
            <w:tcBorders>
              <w:top w:val="nil"/>
              <w:left w:val="nil"/>
              <w:bottom w:val="single" w:color="000000" w:sz="4" w:space="0"/>
              <w:right w:val="single" w:color="000000" w:sz="4" w:space="0"/>
            </w:tcBorders>
            <w:shd w:val="clear" w:color="auto" w:fill="auto"/>
            <w:vAlign w:val="center"/>
          </w:tcPr>
          <w:p w14:paraId="4EFA6DE2">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14:paraId="67F7F791">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nil"/>
              <w:left w:val="nil"/>
              <w:bottom w:val="single" w:color="000000" w:sz="4" w:space="0"/>
              <w:right w:val="single" w:color="000000" w:sz="4" w:space="0"/>
            </w:tcBorders>
            <w:shd w:val="clear" w:color="auto" w:fill="auto"/>
            <w:vAlign w:val="center"/>
          </w:tcPr>
          <w:p w14:paraId="4298733C">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2560" w:type="dxa"/>
            <w:tcBorders>
              <w:top w:val="nil"/>
              <w:left w:val="nil"/>
              <w:bottom w:val="single" w:color="000000" w:sz="4" w:space="0"/>
              <w:right w:val="single" w:color="000000" w:sz="4" w:space="0"/>
            </w:tcBorders>
            <w:shd w:val="clear" w:color="auto" w:fill="auto"/>
            <w:vAlign w:val="center"/>
          </w:tcPr>
          <w:p w14:paraId="6B2E9F2B">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1F1674A1">
        <w:tblPrEx>
          <w:tblCellMar>
            <w:top w:w="0" w:type="dxa"/>
            <w:left w:w="108" w:type="dxa"/>
            <w:bottom w:w="0" w:type="dxa"/>
            <w:right w:w="108" w:type="dxa"/>
          </w:tblCellMar>
        </w:tblPrEx>
        <w:trPr>
          <w:trHeight w:val="402" w:hRule="atLeast"/>
        </w:trPr>
        <w:tc>
          <w:tcPr>
            <w:tcW w:w="1054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5D0FCE9">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14:paraId="63CE1596">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14:paraId="318565F8">
            <w:pPr>
              <w:widowControl/>
              <w:jc w:val="righ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val="en-US" w:eastAsia="zh-CN"/>
              </w:rPr>
              <w:t>100</w:t>
            </w:r>
          </w:p>
        </w:tc>
        <w:tc>
          <w:tcPr>
            <w:tcW w:w="2560" w:type="dxa"/>
            <w:tcBorders>
              <w:top w:val="nil"/>
              <w:left w:val="nil"/>
              <w:bottom w:val="single" w:color="000000" w:sz="4" w:space="0"/>
              <w:right w:val="single" w:color="000000" w:sz="4" w:space="0"/>
            </w:tcBorders>
            <w:shd w:val="clear" w:color="auto" w:fill="auto"/>
            <w:vAlign w:val="center"/>
          </w:tcPr>
          <w:p w14:paraId="1AE013BA">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14:paraId="48079CCC">
        <w:tblPrEx>
          <w:tblCellMar>
            <w:top w:w="0" w:type="dxa"/>
            <w:left w:w="108" w:type="dxa"/>
            <w:bottom w:w="0" w:type="dxa"/>
            <w:right w:w="108" w:type="dxa"/>
          </w:tblCellMar>
        </w:tblPrEx>
        <w:trPr>
          <w:trHeight w:val="524" w:hRule="atLeast"/>
        </w:trPr>
        <w:tc>
          <w:tcPr>
            <w:tcW w:w="791" w:type="dxa"/>
            <w:tcBorders>
              <w:top w:val="nil"/>
              <w:left w:val="single" w:color="000000" w:sz="4" w:space="0"/>
              <w:bottom w:val="single" w:color="000000" w:sz="4" w:space="0"/>
              <w:right w:val="single" w:color="000000" w:sz="4" w:space="0"/>
            </w:tcBorders>
            <w:shd w:val="clear" w:color="auto" w:fill="auto"/>
            <w:vAlign w:val="center"/>
          </w:tcPr>
          <w:p w14:paraId="73044A78">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3464" w:type="dxa"/>
            <w:gridSpan w:val="11"/>
            <w:tcBorders>
              <w:top w:val="single" w:color="000000" w:sz="4" w:space="0"/>
              <w:left w:val="nil"/>
              <w:bottom w:val="single" w:color="000000" w:sz="4" w:space="0"/>
              <w:right w:val="single" w:color="000000" w:sz="4" w:space="0"/>
            </w:tcBorders>
            <w:shd w:val="clear" w:color="auto" w:fill="auto"/>
            <w:vAlign w:val="center"/>
          </w:tcPr>
          <w:p w14:paraId="65E8236E">
            <w:pPr>
              <w:widowControl/>
              <w:jc w:val="left"/>
              <w:rPr>
                <w:rFonts w:ascii="宋体" w:hAnsi="宋体" w:cs="宋体"/>
                <w:color w:val="000000"/>
                <w:kern w:val="0"/>
                <w:sz w:val="18"/>
                <w:szCs w:val="18"/>
              </w:rPr>
            </w:pPr>
            <w:r>
              <w:rPr>
                <w:rFonts w:hint="eastAsia" w:ascii="宋体" w:hAnsi="宋体" w:cs="宋体"/>
                <w:color w:val="000000"/>
                <w:kern w:val="0"/>
                <w:sz w:val="18"/>
                <w:szCs w:val="18"/>
              </w:rPr>
              <w:t>基本支出使用科学合理，依据充分，管理较为规范，完成效果好，实施后达到了预期目的，经评价为</w:t>
            </w:r>
            <w:r>
              <w:rPr>
                <w:rFonts w:hint="eastAsia" w:ascii="宋体" w:hAnsi="宋体" w:cs="宋体"/>
                <w:color w:val="000000"/>
                <w:kern w:val="0"/>
                <w:sz w:val="18"/>
                <w:szCs w:val="18"/>
                <w:lang w:eastAsia="zh-CN"/>
              </w:rPr>
              <w:t>优</w:t>
            </w:r>
            <w:r>
              <w:rPr>
                <w:rFonts w:hint="eastAsia" w:ascii="宋体" w:hAnsi="宋体" w:cs="宋体"/>
                <w:color w:val="000000"/>
                <w:kern w:val="0"/>
                <w:sz w:val="18"/>
                <w:szCs w:val="18"/>
              </w:rPr>
              <w:t>。</w:t>
            </w:r>
          </w:p>
        </w:tc>
      </w:tr>
      <w:tr w14:paraId="2BFA6041">
        <w:tblPrEx>
          <w:tblCellMar>
            <w:top w:w="0" w:type="dxa"/>
            <w:left w:w="108" w:type="dxa"/>
            <w:bottom w:w="0" w:type="dxa"/>
            <w:right w:w="108" w:type="dxa"/>
          </w:tblCellMar>
        </w:tblPrEx>
        <w:trPr>
          <w:trHeight w:val="584" w:hRule="atLeast"/>
        </w:trPr>
        <w:tc>
          <w:tcPr>
            <w:tcW w:w="791" w:type="dxa"/>
            <w:tcBorders>
              <w:top w:val="nil"/>
              <w:left w:val="single" w:color="000000" w:sz="4" w:space="0"/>
              <w:bottom w:val="single" w:color="000000" w:sz="4" w:space="0"/>
              <w:right w:val="single" w:color="000000" w:sz="4" w:space="0"/>
            </w:tcBorders>
            <w:shd w:val="clear" w:color="auto" w:fill="auto"/>
            <w:vAlign w:val="center"/>
          </w:tcPr>
          <w:p w14:paraId="3B6C96D2">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3464" w:type="dxa"/>
            <w:gridSpan w:val="11"/>
            <w:tcBorders>
              <w:top w:val="single" w:color="000000" w:sz="4" w:space="0"/>
              <w:left w:val="nil"/>
              <w:bottom w:val="single" w:color="000000" w:sz="4" w:space="0"/>
              <w:right w:val="single" w:color="000000" w:sz="4" w:space="0"/>
            </w:tcBorders>
            <w:shd w:val="clear" w:color="auto" w:fill="auto"/>
            <w:vAlign w:val="center"/>
          </w:tcPr>
          <w:p w14:paraId="7D93AFBA">
            <w:pPr>
              <w:widowControl/>
              <w:jc w:val="left"/>
              <w:rPr>
                <w:rFonts w:ascii="宋体" w:hAnsi="宋体" w:cs="宋体"/>
                <w:color w:val="000000"/>
                <w:kern w:val="0"/>
                <w:sz w:val="18"/>
                <w:szCs w:val="18"/>
              </w:rPr>
            </w:pPr>
            <w:r>
              <w:rPr>
                <w:rFonts w:hint="eastAsia" w:ascii="宋体" w:hAnsi="宋体" w:cs="宋体"/>
                <w:color w:val="000000"/>
                <w:kern w:val="0"/>
                <w:sz w:val="18"/>
                <w:szCs w:val="18"/>
              </w:rPr>
              <w:t>存在强调“绩”，对“效”的评判仍需优化的问题；因纪委工作特殊性，仍然存在合理设定评价指标上存在技术壁垒。</w:t>
            </w:r>
          </w:p>
        </w:tc>
      </w:tr>
      <w:tr w14:paraId="626C0C57">
        <w:tblPrEx>
          <w:tblCellMar>
            <w:top w:w="0" w:type="dxa"/>
            <w:left w:w="108" w:type="dxa"/>
            <w:bottom w:w="0" w:type="dxa"/>
            <w:right w:w="108" w:type="dxa"/>
          </w:tblCellMar>
        </w:tblPrEx>
        <w:trPr>
          <w:trHeight w:val="1007" w:hRule="atLeast"/>
        </w:trPr>
        <w:tc>
          <w:tcPr>
            <w:tcW w:w="791" w:type="dxa"/>
            <w:tcBorders>
              <w:top w:val="nil"/>
              <w:left w:val="single" w:color="000000" w:sz="4" w:space="0"/>
              <w:bottom w:val="single" w:color="000000" w:sz="4" w:space="0"/>
              <w:right w:val="single" w:color="000000" w:sz="4" w:space="0"/>
            </w:tcBorders>
            <w:shd w:val="clear" w:color="auto" w:fill="auto"/>
            <w:vAlign w:val="center"/>
          </w:tcPr>
          <w:p w14:paraId="5F0443E8">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3464" w:type="dxa"/>
            <w:gridSpan w:val="11"/>
            <w:tcBorders>
              <w:top w:val="single" w:color="000000" w:sz="4" w:space="0"/>
              <w:left w:val="nil"/>
              <w:bottom w:val="single" w:color="000000" w:sz="4" w:space="0"/>
              <w:right w:val="single" w:color="000000" w:sz="4" w:space="0"/>
            </w:tcBorders>
            <w:shd w:val="clear" w:color="auto" w:fill="auto"/>
            <w:vAlign w:val="center"/>
          </w:tcPr>
          <w:p w14:paraId="7E436FBC">
            <w:pPr>
              <w:widowControl/>
              <w:numPr>
                <w:ilvl w:val="0"/>
                <w:numId w:val="3"/>
              </w:numPr>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加强学习相关理论知识，在实践中严格控制预算执行单位预算，资金使用严格按照资金类型申报支付，支付流程合法合规并自觉接受县财政局的监督。           </w:t>
            </w:r>
          </w:p>
          <w:p w14:paraId="694026ED">
            <w:pPr>
              <w:widowControl/>
              <w:numPr>
                <w:ilvl w:val="0"/>
                <w:numId w:val="0"/>
              </w:numPr>
              <w:jc w:val="left"/>
              <w:rPr>
                <w:rFonts w:ascii="宋体" w:hAnsi="宋体" w:cs="宋体"/>
                <w:color w:val="000000"/>
                <w:kern w:val="0"/>
                <w:sz w:val="18"/>
                <w:szCs w:val="18"/>
              </w:rPr>
            </w:pPr>
            <w:r>
              <w:rPr>
                <w:rFonts w:hint="eastAsia" w:ascii="宋体" w:hAnsi="宋体" w:cs="宋体"/>
                <w:color w:val="000000"/>
                <w:kern w:val="0"/>
                <w:sz w:val="18"/>
                <w:szCs w:val="18"/>
              </w:rPr>
              <w:t>2、进一步巩固绩效评价结果，此次自评将为以后单位预算提供数据支撑和参考依据，同时也为新的一年各项工作计划及任务的制定提供一定的指导，让预算资金的分类、分配、申报更加科学、合理、准确。</w:t>
            </w:r>
          </w:p>
        </w:tc>
      </w:tr>
      <w:tr w14:paraId="0DEF4677">
        <w:tblPrEx>
          <w:tblCellMar>
            <w:top w:w="0" w:type="dxa"/>
            <w:left w:w="108" w:type="dxa"/>
            <w:bottom w:w="0" w:type="dxa"/>
            <w:right w:w="108" w:type="dxa"/>
          </w:tblCellMar>
        </w:tblPrEx>
        <w:trPr>
          <w:trHeight w:val="696" w:hRule="atLeast"/>
        </w:trPr>
        <w:tc>
          <w:tcPr>
            <w:tcW w:w="72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C7413F1">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r>
              <w:rPr>
                <w:rFonts w:hint="eastAsia" w:ascii="Courier New" w:hAnsi="Courier New" w:cs="Courier New"/>
                <w:color w:val="000000"/>
                <w:kern w:val="0"/>
                <w:sz w:val="18"/>
                <w:szCs w:val="18"/>
                <w:lang w:eastAsia="zh-CN"/>
              </w:rPr>
              <w:t>朱斌</w:t>
            </w:r>
          </w:p>
        </w:tc>
        <w:tc>
          <w:tcPr>
            <w:tcW w:w="6963" w:type="dxa"/>
            <w:gridSpan w:val="6"/>
            <w:tcBorders>
              <w:top w:val="single" w:color="000000" w:sz="4" w:space="0"/>
              <w:left w:val="nil"/>
              <w:bottom w:val="single" w:color="000000" w:sz="4" w:space="0"/>
              <w:right w:val="single" w:color="000000" w:sz="4" w:space="0"/>
            </w:tcBorders>
            <w:shd w:val="clear" w:color="auto" w:fill="auto"/>
            <w:vAlign w:val="center"/>
          </w:tcPr>
          <w:p w14:paraId="3F2D1A27">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r>
              <w:rPr>
                <w:rFonts w:hint="eastAsia" w:ascii="Courier New" w:hAnsi="Courier New" w:cs="Courier New"/>
                <w:color w:val="000000"/>
                <w:kern w:val="0"/>
                <w:sz w:val="18"/>
                <w:szCs w:val="18"/>
                <w:lang w:eastAsia="zh-CN"/>
              </w:rPr>
              <w:t>付锐</w:t>
            </w:r>
          </w:p>
        </w:tc>
      </w:tr>
    </w:tbl>
    <w:p w14:paraId="10DFED3A">
      <w:pPr>
        <w:pStyle w:val="18"/>
        <w:rPr>
          <w:rFonts w:hint="eastAsia" w:ascii="宋体" w:hAnsi="宋体" w:eastAsia="宋体" w:cs="宋体"/>
          <w:sz w:val="32"/>
          <w:szCs w:val="32"/>
        </w:rPr>
      </w:pPr>
      <w:r>
        <w:rPr>
          <w:rFonts w:hint="eastAsia" w:ascii="宋体" w:hAnsi="宋体" w:eastAsia="宋体" w:cs="宋体"/>
          <w:b/>
          <w:bCs/>
          <w:color w:val="000000"/>
          <w:kern w:val="0"/>
          <w:sz w:val="32"/>
          <w:szCs w:val="32"/>
          <w:lang w:val="en-US" w:eastAsia="zh-CN"/>
        </w:rPr>
        <w:t xml:space="preserve">                         </w:t>
      </w:r>
      <w:r>
        <w:rPr>
          <w:rFonts w:hint="default" w:ascii="Times New Roman" w:hAnsi="Times New Roman" w:eastAsia="宋体" w:cs="Times New Roman"/>
          <w:b/>
          <w:bCs/>
          <w:color w:val="000000"/>
          <w:kern w:val="0"/>
          <w:sz w:val="32"/>
          <w:szCs w:val="32"/>
          <w:lang w:val="en-US" w:eastAsia="zh-CN"/>
        </w:rPr>
        <w:t xml:space="preserve"> </w:t>
      </w:r>
      <w:r>
        <w:rPr>
          <w:rFonts w:hint="default" w:ascii="Times New Roman" w:hAnsi="Times New Roman" w:eastAsia="宋体" w:cs="Times New Roman"/>
          <w:b/>
          <w:bCs/>
          <w:color w:val="000000"/>
          <w:kern w:val="0"/>
          <w:sz w:val="32"/>
          <w:szCs w:val="32"/>
        </w:rPr>
        <w:t>部门预算项目支出绩效自评表（202</w:t>
      </w:r>
      <w:r>
        <w:rPr>
          <w:rFonts w:hint="default" w:ascii="Times New Roman" w:hAnsi="Times New Roman" w:eastAsia="宋体" w:cs="Times New Roman"/>
          <w:b/>
          <w:bCs/>
          <w:color w:val="000000"/>
          <w:kern w:val="0"/>
          <w:sz w:val="32"/>
          <w:szCs w:val="32"/>
          <w:lang w:val="en-US" w:eastAsia="zh-CN"/>
        </w:rPr>
        <w:t>3</w:t>
      </w:r>
      <w:r>
        <w:rPr>
          <w:rFonts w:hint="default" w:ascii="Times New Roman" w:hAnsi="Times New Roman" w:eastAsia="宋体" w:cs="Times New Roman"/>
          <w:b/>
          <w:bCs/>
          <w:color w:val="000000"/>
          <w:kern w:val="0"/>
          <w:sz w:val="32"/>
          <w:szCs w:val="32"/>
        </w:rPr>
        <w:t>年度）</w:t>
      </w:r>
    </w:p>
    <w:tbl>
      <w:tblPr>
        <w:tblStyle w:val="14"/>
        <w:tblW w:w="139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46"/>
        <w:gridCol w:w="58"/>
        <w:gridCol w:w="1490"/>
        <w:gridCol w:w="1377"/>
        <w:gridCol w:w="1721"/>
        <w:gridCol w:w="1026"/>
        <w:gridCol w:w="263"/>
        <w:gridCol w:w="4"/>
        <w:gridCol w:w="304"/>
        <w:gridCol w:w="1390"/>
        <w:gridCol w:w="324"/>
        <w:gridCol w:w="380"/>
        <w:gridCol w:w="820"/>
        <w:gridCol w:w="813"/>
        <w:gridCol w:w="536"/>
        <w:gridCol w:w="190"/>
        <w:gridCol w:w="340"/>
        <w:gridCol w:w="466"/>
        <w:gridCol w:w="1460"/>
        <w:gridCol w:w="280"/>
      </w:tblGrid>
      <w:tr w14:paraId="67CCF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420" w:hRule="atLeast"/>
        </w:trPr>
        <w:tc>
          <w:tcPr>
            <w:tcW w:w="22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E676A0">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11414"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6A51E96">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51042224T000010380006-纪委监委机关办公楼修缮维护专项经费</w:t>
            </w:r>
          </w:p>
        </w:tc>
      </w:tr>
      <w:tr w14:paraId="29E82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765" w:hRule="atLeast"/>
        </w:trPr>
        <w:tc>
          <w:tcPr>
            <w:tcW w:w="22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5347B9">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41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FCC9DD">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中国共产党盐边县纪律检查委员会（部门）</w:t>
            </w:r>
          </w:p>
        </w:tc>
        <w:tc>
          <w:tcPr>
            <w:tcW w:w="4298" w:type="dxa"/>
            <w:gridSpan w:val="8"/>
            <w:shd w:val="clear" w:color="auto" w:fill="auto"/>
            <w:vAlign w:val="center"/>
          </w:tcPr>
          <w:p w14:paraId="0C0EEB49">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 （盖章）</w:t>
            </w:r>
          </w:p>
        </w:tc>
        <w:tc>
          <w:tcPr>
            <w:tcW w:w="299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0F4C29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中国共产党盐边县纪律检查委员会</w:t>
            </w:r>
          </w:p>
        </w:tc>
      </w:tr>
      <w:tr w14:paraId="4A27C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420" w:hRule="atLeast"/>
        </w:trPr>
        <w:tc>
          <w:tcPr>
            <w:tcW w:w="8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3A04BB">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4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4EB587">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41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EA57E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729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742D0C2B">
            <w:pPr>
              <w:keepNext w:val="0"/>
              <w:keepLines w:val="0"/>
              <w:widowControl/>
              <w:suppressLineNumbers w:val="0"/>
              <w:jc w:val="center"/>
              <w:textAlignment w:val="center"/>
              <w:rPr>
                <w:rFonts w:hint="eastAsia" w:ascii="黑体" w:hAnsi="黑体" w:eastAsia="黑体" w:cs="黑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年度目标完成情况</w:t>
            </w:r>
          </w:p>
        </w:tc>
      </w:tr>
      <w:tr w14:paraId="42E06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1050" w:hRule="atLeast"/>
        </w:trPr>
        <w:tc>
          <w:tcPr>
            <w:tcW w:w="8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C374D">
            <w:pPr>
              <w:rPr>
                <w:rFonts w:hint="eastAsia" w:ascii="宋体" w:hAnsi="宋体" w:eastAsia="宋体" w:cs="宋体"/>
                <w:i w:val="0"/>
                <w:color w:val="000000"/>
                <w:sz w:val="18"/>
                <w:szCs w:val="18"/>
                <w:u w:val="none"/>
              </w:rPr>
            </w:pPr>
          </w:p>
        </w:tc>
        <w:tc>
          <w:tcPr>
            <w:tcW w:w="14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1BEA6">
            <w:pPr>
              <w:rPr>
                <w:rFonts w:hint="eastAsia" w:ascii="宋体" w:hAnsi="宋体" w:eastAsia="宋体" w:cs="宋体"/>
                <w:i w:val="0"/>
                <w:color w:val="000000"/>
                <w:sz w:val="18"/>
                <w:szCs w:val="18"/>
                <w:u w:val="none"/>
              </w:rPr>
            </w:pPr>
          </w:p>
        </w:tc>
        <w:tc>
          <w:tcPr>
            <w:tcW w:w="41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6A686E">
            <w:pP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为执法办案提供优质的后勤保障工作，确保人身安全和舒适的办案工作环境，设立县纪委监委机关办公楼修缮维护专项经费，加强对办公区域的规范化管理。</w:t>
            </w:r>
          </w:p>
        </w:tc>
        <w:tc>
          <w:tcPr>
            <w:tcW w:w="729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7D3A6A91">
            <w:pPr>
              <w:keepNext w:val="0"/>
              <w:keepLines w:val="0"/>
              <w:widowControl/>
              <w:suppressLineNumbers w:val="0"/>
              <w:jc w:val="left"/>
              <w:textAlignment w:val="center"/>
              <w:rPr>
                <w:rFonts w:hint="eastAsia" w:ascii="黑体" w:hAnsi="黑体" w:eastAsia="黑体" w:cs="黑体"/>
                <w:i w:val="0"/>
                <w:color w:val="000000"/>
                <w:sz w:val="18"/>
                <w:szCs w:val="18"/>
                <w:u w:val="none"/>
                <w:lang w:eastAsia="zh-CN"/>
              </w:rPr>
            </w:pPr>
            <w:r>
              <w:rPr>
                <w:rFonts w:hint="eastAsia" w:ascii="宋体" w:hAnsi="宋体" w:eastAsia="宋体" w:cs="宋体"/>
                <w:i w:val="0"/>
                <w:color w:val="000000"/>
                <w:sz w:val="18"/>
                <w:szCs w:val="18"/>
                <w:u w:val="none"/>
                <w:lang w:eastAsia="zh-CN"/>
              </w:rPr>
              <w:t>完成了县纪委监委机关办公楼的修缮和维护，确保了人身安全和舒适的办案工作环境。</w:t>
            </w:r>
          </w:p>
        </w:tc>
      </w:tr>
      <w:tr w14:paraId="2836D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1035" w:hRule="atLeast"/>
        </w:trPr>
        <w:tc>
          <w:tcPr>
            <w:tcW w:w="8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34A7F">
            <w:pPr>
              <w:rPr>
                <w:rFonts w:hint="eastAsia" w:ascii="宋体" w:hAnsi="宋体" w:eastAsia="宋体" w:cs="宋体"/>
                <w:i w:val="0"/>
                <w:color w:val="000000"/>
                <w:sz w:val="18"/>
                <w:szCs w:val="18"/>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B085C">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11414"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86EEC12">
            <w:pP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为及时消除安全隐患，且推动屋顶分布式光伏正常增设，对委机关办公楼屋顶进行防水改造、对办公室墙皮脱落墙面进行修复，对办公室部分电路升级改造，对办公楼前花台进行修缮。</w:t>
            </w:r>
          </w:p>
        </w:tc>
      </w:tr>
      <w:tr w14:paraId="28BE9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540" w:hRule="atLeast"/>
        </w:trPr>
        <w:tc>
          <w:tcPr>
            <w:tcW w:w="8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16B13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507F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年度预算数（万元）</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7642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E069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59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D8830B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17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4772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8F86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15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5B7FC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22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EE007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0D319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510" w:hRule="atLeast"/>
        </w:trPr>
        <w:tc>
          <w:tcPr>
            <w:tcW w:w="8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F0A8F6">
            <w:pPr>
              <w:jc w:val="center"/>
              <w:rPr>
                <w:rFonts w:hint="eastAsia" w:ascii="宋体" w:hAnsi="宋体" w:eastAsia="宋体" w:cs="宋体"/>
                <w:i w:val="0"/>
                <w:color w:val="000000"/>
                <w:sz w:val="18"/>
                <w:szCs w:val="18"/>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20AB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1614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0.00</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E6F9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19.79</w:t>
            </w:r>
          </w:p>
        </w:tc>
        <w:tc>
          <w:tcPr>
            <w:tcW w:w="159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95086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19.79</w:t>
            </w:r>
          </w:p>
        </w:tc>
        <w:tc>
          <w:tcPr>
            <w:tcW w:w="17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74303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100.00%</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9ECCB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15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237754">
            <w:pPr>
              <w:jc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10</w:t>
            </w:r>
          </w:p>
        </w:tc>
        <w:tc>
          <w:tcPr>
            <w:tcW w:w="226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60937E">
            <w:pPr>
              <w:keepNext w:val="0"/>
              <w:keepLines w:val="0"/>
              <w:widowControl/>
              <w:numPr>
                <w:ilvl w:val="0"/>
                <w:numId w:val="0"/>
              </w:numPr>
              <w:suppressLineNumbers w:val="0"/>
              <w:jc w:val="left"/>
              <w:textAlignment w:val="center"/>
              <w:rPr>
                <w:rFonts w:hint="eastAsia" w:ascii="黑体" w:hAnsi="黑体" w:eastAsia="黑体" w:cs="黑体"/>
                <w:i/>
                <w:color w:val="000000"/>
                <w:kern w:val="0"/>
                <w:sz w:val="18"/>
                <w:szCs w:val="18"/>
                <w:u w:val="none"/>
                <w:lang w:val="en-US" w:eastAsia="zh-CN" w:bidi="ar"/>
              </w:rPr>
            </w:pPr>
            <w:r>
              <w:rPr>
                <w:rFonts w:hint="eastAsia" w:ascii="黑体" w:hAnsi="黑体" w:eastAsia="黑体" w:cs="黑体"/>
                <w:i/>
                <w:color w:val="000000"/>
                <w:kern w:val="0"/>
                <w:sz w:val="18"/>
                <w:szCs w:val="18"/>
                <w:u w:val="none"/>
                <w:lang w:val="en-US" w:eastAsia="zh-CN" w:bidi="ar"/>
              </w:rPr>
              <w:t xml:space="preserve"> </w:t>
            </w:r>
            <w:r>
              <w:rPr>
                <w:rFonts w:hint="eastAsia" w:ascii="宋体" w:hAnsi="宋体" w:eastAsia="宋体" w:cs="宋体"/>
                <w:i w:val="0"/>
                <w:color w:val="000000"/>
                <w:sz w:val="18"/>
                <w:szCs w:val="18"/>
                <w:u w:val="none"/>
                <w:lang w:val="en-US" w:eastAsia="zh-CN"/>
              </w:rPr>
              <w:t xml:space="preserve"> 因县纪委监委机关办公大楼急需要修缮，因而我们向财政局申请了资金，县财政局在2023年11月14日向我们下达了这笔资金（盐财资行〔2023〕449号）。</w:t>
            </w:r>
          </w:p>
        </w:tc>
      </w:tr>
      <w:tr w14:paraId="23615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585" w:hRule="atLeast"/>
        </w:trPr>
        <w:tc>
          <w:tcPr>
            <w:tcW w:w="8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5EFA90">
            <w:pPr>
              <w:jc w:val="center"/>
              <w:rPr>
                <w:rFonts w:hint="eastAsia" w:ascii="宋体" w:hAnsi="宋体" w:eastAsia="宋体" w:cs="宋体"/>
                <w:i w:val="0"/>
                <w:color w:val="000000"/>
                <w:sz w:val="18"/>
                <w:szCs w:val="18"/>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C15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其中：财政资金</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A61A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0.00</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E74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19.79</w:t>
            </w:r>
          </w:p>
        </w:tc>
        <w:tc>
          <w:tcPr>
            <w:tcW w:w="159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EE03C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19.79</w:t>
            </w:r>
          </w:p>
        </w:tc>
        <w:tc>
          <w:tcPr>
            <w:tcW w:w="17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5882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100.00%</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843A7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5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39367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226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23DF0">
            <w:pPr>
              <w:rPr>
                <w:rFonts w:hint="eastAsia" w:ascii="黑体" w:hAnsi="黑体" w:eastAsia="黑体" w:cs="黑体"/>
                <w:i/>
                <w:color w:val="000000"/>
                <w:sz w:val="18"/>
                <w:szCs w:val="18"/>
                <w:u w:val="none"/>
              </w:rPr>
            </w:pPr>
          </w:p>
        </w:tc>
      </w:tr>
      <w:tr w14:paraId="1B28A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600" w:hRule="atLeast"/>
        </w:trPr>
        <w:tc>
          <w:tcPr>
            <w:tcW w:w="8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43978">
            <w:pPr>
              <w:jc w:val="center"/>
              <w:rPr>
                <w:rFonts w:hint="eastAsia" w:ascii="宋体" w:hAnsi="宋体" w:eastAsia="宋体" w:cs="宋体"/>
                <w:i w:val="0"/>
                <w:color w:val="000000"/>
                <w:sz w:val="18"/>
                <w:szCs w:val="18"/>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9EB2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财政专户管理资金</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E5CD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0.00</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9916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0.00</w:t>
            </w:r>
          </w:p>
        </w:tc>
        <w:tc>
          <w:tcPr>
            <w:tcW w:w="159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E34053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0.00</w:t>
            </w:r>
          </w:p>
        </w:tc>
        <w:tc>
          <w:tcPr>
            <w:tcW w:w="17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8D8B4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0.00%</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D13E0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5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F7D2D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226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B7629">
            <w:pPr>
              <w:rPr>
                <w:rFonts w:hint="eastAsia" w:ascii="黑体" w:hAnsi="黑体" w:eastAsia="黑体" w:cs="黑体"/>
                <w:i/>
                <w:color w:val="000000"/>
                <w:sz w:val="18"/>
                <w:szCs w:val="18"/>
                <w:u w:val="none"/>
              </w:rPr>
            </w:pPr>
          </w:p>
        </w:tc>
      </w:tr>
      <w:tr w14:paraId="37102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540" w:hRule="atLeast"/>
        </w:trPr>
        <w:tc>
          <w:tcPr>
            <w:tcW w:w="8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C39760">
            <w:pPr>
              <w:jc w:val="center"/>
              <w:rPr>
                <w:rFonts w:hint="eastAsia" w:ascii="宋体" w:hAnsi="宋体" w:eastAsia="宋体" w:cs="宋体"/>
                <w:i w:val="0"/>
                <w:color w:val="000000"/>
                <w:sz w:val="18"/>
                <w:szCs w:val="18"/>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0E8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单位资金</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1504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0.00</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67E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0.00</w:t>
            </w:r>
          </w:p>
        </w:tc>
        <w:tc>
          <w:tcPr>
            <w:tcW w:w="159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CBA8D3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0.00</w:t>
            </w:r>
          </w:p>
        </w:tc>
        <w:tc>
          <w:tcPr>
            <w:tcW w:w="17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A78C5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0.00%</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8B0D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5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0558A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226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04BFF">
            <w:pPr>
              <w:rPr>
                <w:rFonts w:hint="eastAsia" w:ascii="黑体" w:hAnsi="黑体" w:eastAsia="黑体" w:cs="黑体"/>
                <w:i/>
                <w:color w:val="000000"/>
                <w:sz w:val="18"/>
                <w:szCs w:val="18"/>
                <w:u w:val="none"/>
              </w:rPr>
            </w:pPr>
          </w:p>
        </w:tc>
      </w:tr>
      <w:tr w14:paraId="49DE8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80" w:type="dxa"/>
          <w:trHeight w:val="495" w:hRule="atLeast"/>
        </w:trPr>
        <w:tc>
          <w:tcPr>
            <w:tcW w:w="8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CF7B8">
            <w:pPr>
              <w:jc w:val="center"/>
              <w:rPr>
                <w:rFonts w:hint="eastAsia" w:ascii="宋体" w:hAnsi="宋体" w:eastAsia="宋体" w:cs="宋体"/>
                <w:i w:val="0"/>
                <w:color w:val="000000"/>
                <w:sz w:val="18"/>
                <w:szCs w:val="18"/>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6E44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其他资金</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6B927">
            <w:pPr>
              <w:jc w:val="center"/>
              <w:rPr>
                <w:rFonts w:hint="eastAsia" w:ascii="微软雅黑" w:hAnsi="微软雅黑" w:eastAsia="微软雅黑" w:cs="微软雅黑"/>
                <w:i/>
                <w:color w:val="000000"/>
                <w:sz w:val="16"/>
                <w:szCs w:val="16"/>
                <w:u w:val="none"/>
              </w:rPr>
            </w:pP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C8EE0">
            <w:pPr>
              <w:jc w:val="center"/>
              <w:rPr>
                <w:rFonts w:hint="eastAsia" w:ascii="微软雅黑" w:hAnsi="微软雅黑" w:eastAsia="微软雅黑" w:cs="微软雅黑"/>
                <w:i/>
                <w:color w:val="000000"/>
                <w:sz w:val="16"/>
                <w:szCs w:val="16"/>
                <w:u w:val="none"/>
              </w:rPr>
            </w:pPr>
          </w:p>
        </w:tc>
        <w:tc>
          <w:tcPr>
            <w:tcW w:w="159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1F592A">
            <w:pPr>
              <w:jc w:val="center"/>
              <w:rPr>
                <w:rFonts w:hint="eastAsia" w:ascii="微软雅黑" w:hAnsi="微软雅黑" w:eastAsia="微软雅黑" w:cs="微软雅黑"/>
                <w:i/>
                <w:color w:val="000000"/>
                <w:sz w:val="16"/>
                <w:szCs w:val="16"/>
                <w:u w:val="none"/>
              </w:rPr>
            </w:pPr>
          </w:p>
        </w:tc>
        <w:tc>
          <w:tcPr>
            <w:tcW w:w="17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40ED3D">
            <w:pPr>
              <w:jc w:val="center"/>
              <w:rPr>
                <w:rFonts w:hint="eastAsia" w:ascii="微软雅黑" w:hAnsi="微软雅黑" w:eastAsia="微软雅黑" w:cs="微软雅黑"/>
                <w:i/>
                <w:color w:val="000000"/>
                <w:sz w:val="16"/>
                <w:szCs w:val="16"/>
                <w:u w:val="none"/>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5FD66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5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D8857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226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DA54C3">
            <w:pPr>
              <w:rPr>
                <w:rFonts w:hint="eastAsia" w:ascii="黑体" w:hAnsi="黑体" w:eastAsia="黑体" w:cs="黑体"/>
                <w:i/>
                <w:color w:val="000000"/>
                <w:sz w:val="18"/>
                <w:szCs w:val="18"/>
                <w:u w:val="none"/>
              </w:rPr>
            </w:pPr>
          </w:p>
        </w:tc>
      </w:tr>
      <w:tr w14:paraId="2A4DF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75" w:hRule="atLeast"/>
        </w:trPr>
        <w:tc>
          <w:tcPr>
            <w:tcW w:w="8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E29AC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0F58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C2A7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E0DA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FC253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16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9243F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7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94A58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21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74DFF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F497C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A705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5C12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7E7D1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66" w:hRule="atLeast"/>
        </w:trPr>
        <w:tc>
          <w:tcPr>
            <w:tcW w:w="8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862795">
            <w:pPr>
              <w:jc w:val="center"/>
              <w:rPr>
                <w:rFonts w:hint="eastAsia" w:ascii="宋体" w:hAnsi="宋体" w:eastAsia="宋体" w:cs="宋体"/>
                <w:i w:val="0"/>
                <w:color w:val="000000"/>
                <w:sz w:val="18"/>
                <w:szCs w:val="18"/>
                <w:u w:val="none"/>
              </w:rPr>
            </w:pPr>
          </w:p>
        </w:tc>
        <w:tc>
          <w:tcPr>
            <w:tcW w:w="1490" w:type="dxa"/>
            <w:vMerge w:val="restart"/>
            <w:tcBorders>
              <w:top w:val="single" w:color="000000" w:sz="4" w:space="0"/>
              <w:left w:val="single" w:color="000000" w:sz="4" w:space="0"/>
              <w:right w:val="single" w:color="000000" w:sz="4" w:space="0"/>
            </w:tcBorders>
            <w:shd w:val="clear" w:color="auto" w:fill="auto"/>
            <w:vAlign w:val="center"/>
          </w:tcPr>
          <w:p w14:paraId="011756E9">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产出指标</w:t>
            </w:r>
          </w:p>
          <w:p w14:paraId="718A87BF">
            <w:pPr>
              <w:jc w:val="center"/>
              <w:rPr>
                <w:rFonts w:hint="eastAsia" w:ascii="宋体" w:hAnsi="宋体" w:eastAsia="宋体" w:cs="宋体"/>
                <w:i w:val="0"/>
                <w:color w:val="000000"/>
                <w:sz w:val="18"/>
                <w:szCs w:val="18"/>
                <w:u w:val="none"/>
                <w:lang w:eastAsia="zh-CN"/>
              </w:rPr>
            </w:pPr>
          </w:p>
        </w:tc>
        <w:tc>
          <w:tcPr>
            <w:tcW w:w="1377" w:type="dxa"/>
            <w:tcBorders>
              <w:top w:val="single" w:color="000000" w:sz="4" w:space="0"/>
              <w:left w:val="single" w:color="000000" w:sz="4" w:space="0"/>
              <w:bottom w:val="single" w:color="auto" w:sz="4" w:space="0"/>
              <w:right w:val="single" w:color="000000" w:sz="4" w:space="0"/>
            </w:tcBorders>
            <w:shd w:val="clear" w:color="auto" w:fill="auto"/>
            <w:vAlign w:val="center"/>
          </w:tcPr>
          <w:p w14:paraId="3EA43169">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数量指标</w:t>
            </w:r>
          </w:p>
        </w:tc>
        <w:tc>
          <w:tcPr>
            <w:tcW w:w="1721" w:type="dxa"/>
            <w:tcBorders>
              <w:top w:val="single" w:color="000000" w:sz="4" w:space="0"/>
              <w:left w:val="single" w:color="000000" w:sz="4" w:space="0"/>
              <w:bottom w:val="single" w:color="auto" w:sz="4" w:space="0"/>
              <w:right w:val="single" w:color="000000" w:sz="4" w:space="0"/>
            </w:tcBorders>
            <w:shd w:val="clear" w:color="auto" w:fill="auto"/>
            <w:vAlign w:val="center"/>
          </w:tcPr>
          <w:p w14:paraId="2766CE91">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修缮维护次数</w:t>
            </w:r>
          </w:p>
        </w:tc>
        <w:tc>
          <w:tcPr>
            <w:tcW w:w="1289"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35926018">
            <w:pPr>
              <w:jc w:val="center"/>
              <w:rPr>
                <w:rFonts w:hint="eastAsia" w:ascii="宋体" w:hAnsi="宋体" w:eastAsia="宋体" w:cs="宋体"/>
                <w:i w:val="0"/>
                <w:color w:val="000000"/>
                <w:sz w:val="18"/>
                <w:szCs w:val="18"/>
                <w:u w:val="none"/>
                <w:lang w:val="en-US" w:eastAsia="zh-CN"/>
              </w:rPr>
            </w:pPr>
            <w:r>
              <w:rPr>
                <w:rFonts w:hint="eastAsia" w:ascii="宋体" w:hAnsi="宋体" w:cs="宋体"/>
                <w:color w:val="000000"/>
                <w:kern w:val="0"/>
                <w:sz w:val="18"/>
                <w:szCs w:val="18"/>
              </w:rPr>
              <w:t>≧</w:t>
            </w:r>
          </w:p>
        </w:tc>
        <w:tc>
          <w:tcPr>
            <w:tcW w:w="1698" w:type="dxa"/>
            <w:gridSpan w:val="3"/>
            <w:tcBorders>
              <w:top w:val="single" w:color="000000" w:sz="4" w:space="0"/>
              <w:left w:val="single" w:color="000000" w:sz="4" w:space="0"/>
              <w:bottom w:val="single" w:color="auto" w:sz="4" w:space="0"/>
              <w:right w:val="single" w:color="000000" w:sz="4" w:space="0"/>
            </w:tcBorders>
            <w:shd w:val="clear" w:color="auto" w:fill="auto"/>
            <w:vAlign w:val="center"/>
          </w:tcPr>
          <w:p w14:paraId="71C672C3">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w:t>
            </w:r>
          </w:p>
        </w:tc>
        <w:tc>
          <w:tcPr>
            <w:tcW w:w="704"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4CF74FBB">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次</w:t>
            </w:r>
          </w:p>
        </w:tc>
        <w:tc>
          <w:tcPr>
            <w:tcW w:w="2169" w:type="dxa"/>
            <w:gridSpan w:val="3"/>
            <w:tcBorders>
              <w:top w:val="single" w:color="000000" w:sz="4" w:space="0"/>
              <w:left w:val="single" w:color="000000" w:sz="4" w:space="0"/>
              <w:bottom w:val="single" w:color="auto" w:sz="4" w:space="0"/>
              <w:right w:val="single" w:color="000000" w:sz="4" w:space="0"/>
            </w:tcBorders>
            <w:shd w:val="clear" w:color="auto" w:fill="auto"/>
            <w:vAlign w:val="center"/>
          </w:tcPr>
          <w:p w14:paraId="3AD7CB7A">
            <w:pPr>
              <w:jc w:val="center"/>
              <w:rPr>
                <w:rFonts w:hint="eastAsia" w:ascii="微软雅黑" w:hAnsi="微软雅黑" w:eastAsia="微软雅黑" w:cs="微软雅黑"/>
                <w:i/>
                <w:color w:val="000000"/>
                <w:sz w:val="16"/>
                <w:szCs w:val="16"/>
                <w:u w:val="none"/>
                <w:lang w:val="en-US" w:eastAsia="zh-CN"/>
              </w:rPr>
            </w:pPr>
            <w:r>
              <w:rPr>
                <w:rFonts w:hint="eastAsia" w:ascii="宋体" w:hAnsi="宋体" w:cs="宋体"/>
                <w:i w:val="0"/>
                <w:color w:val="000000"/>
                <w:sz w:val="18"/>
                <w:szCs w:val="18"/>
                <w:u w:val="none"/>
                <w:lang w:val="en-US" w:eastAsia="zh-CN"/>
              </w:rPr>
              <w:t>100%</w:t>
            </w:r>
          </w:p>
        </w:tc>
        <w:tc>
          <w:tcPr>
            <w:tcW w:w="530"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4D9F7D2E">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15</w:t>
            </w:r>
          </w:p>
        </w:tc>
        <w:tc>
          <w:tcPr>
            <w:tcW w:w="466" w:type="dxa"/>
            <w:tcBorders>
              <w:top w:val="single" w:color="000000" w:sz="4" w:space="0"/>
              <w:left w:val="single" w:color="000000" w:sz="4" w:space="0"/>
              <w:bottom w:val="single" w:color="auto" w:sz="4" w:space="0"/>
              <w:right w:val="single" w:color="000000" w:sz="4" w:space="0"/>
            </w:tcBorders>
            <w:shd w:val="clear" w:color="auto" w:fill="auto"/>
            <w:vAlign w:val="center"/>
          </w:tcPr>
          <w:p w14:paraId="5B87B1C3">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15</w:t>
            </w:r>
          </w:p>
        </w:tc>
        <w:tc>
          <w:tcPr>
            <w:tcW w:w="1740"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722222C1">
            <w:pPr>
              <w:jc w:val="center"/>
              <w:rPr>
                <w:rFonts w:hint="eastAsia" w:ascii="微软雅黑" w:hAnsi="微软雅黑" w:eastAsia="微软雅黑" w:cs="微软雅黑"/>
                <w:i/>
                <w:color w:val="000000"/>
                <w:sz w:val="16"/>
                <w:szCs w:val="16"/>
                <w:u w:val="none"/>
              </w:rPr>
            </w:pPr>
          </w:p>
        </w:tc>
      </w:tr>
      <w:tr w14:paraId="77233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64" w:hRule="atLeast"/>
        </w:trPr>
        <w:tc>
          <w:tcPr>
            <w:tcW w:w="804" w:type="dxa"/>
            <w:gridSpan w:val="2"/>
            <w:vMerge w:val="continue"/>
            <w:tcBorders>
              <w:left w:val="single" w:color="000000" w:sz="4" w:space="0"/>
              <w:bottom w:val="single" w:color="000000" w:sz="4" w:space="0"/>
              <w:right w:val="single" w:color="000000" w:sz="4" w:space="0"/>
            </w:tcBorders>
            <w:shd w:val="clear" w:color="auto" w:fill="auto"/>
            <w:vAlign w:val="center"/>
          </w:tcPr>
          <w:p w14:paraId="66642125">
            <w:pPr>
              <w:jc w:val="center"/>
              <w:rPr>
                <w:rFonts w:hint="eastAsia" w:ascii="宋体" w:hAnsi="宋体" w:eastAsia="宋体" w:cs="宋体"/>
                <w:i w:val="0"/>
                <w:color w:val="000000"/>
                <w:sz w:val="18"/>
                <w:szCs w:val="18"/>
                <w:u w:val="none"/>
              </w:rPr>
            </w:pPr>
          </w:p>
        </w:tc>
        <w:tc>
          <w:tcPr>
            <w:tcW w:w="1490" w:type="dxa"/>
            <w:vMerge w:val="continue"/>
            <w:tcBorders>
              <w:left w:val="single" w:color="000000" w:sz="4" w:space="0"/>
              <w:right w:val="single" w:color="000000" w:sz="4" w:space="0"/>
            </w:tcBorders>
            <w:shd w:val="clear" w:color="auto" w:fill="auto"/>
            <w:vAlign w:val="center"/>
          </w:tcPr>
          <w:p w14:paraId="3ABB448A">
            <w:pPr>
              <w:jc w:val="center"/>
              <w:rPr>
                <w:rFonts w:hint="eastAsia" w:ascii="宋体" w:hAnsi="宋体" w:eastAsia="宋体" w:cs="宋体"/>
                <w:i w:val="0"/>
                <w:color w:val="000000"/>
                <w:sz w:val="18"/>
                <w:szCs w:val="18"/>
                <w:u w:val="none"/>
                <w:lang w:eastAsia="zh-CN"/>
              </w:rPr>
            </w:pPr>
          </w:p>
        </w:tc>
        <w:tc>
          <w:tcPr>
            <w:tcW w:w="1377" w:type="dxa"/>
            <w:tcBorders>
              <w:top w:val="single" w:color="auto" w:sz="4" w:space="0"/>
              <w:left w:val="single" w:color="000000" w:sz="4" w:space="0"/>
              <w:bottom w:val="single" w:color="auto" w:sz="4" w:space="0"/>
              <w:right w:val="single" w:color="000000" w:sz="4" w:space="0"/>
            </w:tcBorders>
            <w:shd w:val="clear" w:color="auto" w:fill="auto"/>
            <w:vAlign w:val="center"/>
          </w:tcPr>
          <w:p w14:paraId="33B07236">
            <w:pPr>
              <w:jc w:val="both"/>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val="en-US" w:eastAsia="zh-CN"/>
              </w:rPr>
              <w:t xml:space="preserve">    </w:t>
            </w:r>
            <w:r>
              <w:rPr>
                <w:rFonts w:hint="eastAsia" w:ascii="宋体" w:hAnsi="宋体" w:cs="宋体"/>
                <w:i w:val="0"/>
                <w:color w:val="000000"/>
                <w:sz w:val="18"/>
                <w:szCs w:val="18"/>
                <w:u w:val="none"/>
                <w:lang w:eastAsia="zh-CN"/>
              </w:rPr>
              <w:t>质量指标</w:t>
            </w:r>
          </w:p>
        </w:tc>
        <w:tc>
          <w:tcPr>
            <w:tcW w:w="1721" w:type="dxa"/>
            <w:tcBorders>
              <w:top w:val="single" w:color="auto" w:sz="4" w:space="0"/>
              <w:left w:val="single" w:color="000000" w:sz="4" w:space="0"/>
              <w:bottom w:val="single" w:color="auto" w:sz="4" w:space="0"/>
              <w:right w:val="single" w:color="000000" w:sz="4" w:space="0"/>
            </w:tcBorders>
            <w:shd w:val="clear" w:color="auto" w:fill="auto"/>
            <w:vAlign w:val="center"/>
          </w:tcPr>
          <w:p w14:paraId="08D2F4AA">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施工质量</w:t>
            </w:r>
          </w:p>
        </w:tc>
        <w:tc>
          <w:tcPr>
            <w:tcW w:w="1289"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6F519415">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val="en-US" w:eastAsia="zh-CN"/>
              </w:rPr>
              <w:t>=</w:t>
            </w:r>
          </w:p>
        </w:tc>
        <w:tc>
          <w:tcPr>
            <w:tcW w:w="1698"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06F74FDB">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100</w:t>
            </w:r>
          </w:p>
        </w:tc>
        <w:tc>
          <w:tcPr>
            <w:tcW w:w="704"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16134C9B">
            <w:pPr>
              <w:jc w:val="center"/>
              <w:rPr>
                <w:rFonts w:hint="eastAsia" w:ascii="宋体" w:hAnsi="宋体" w:eastAsia="宋体" w:cs="宋体"/>
                <w:i w:val="0"/>
                <w:color w:val="000000"/>
                <w:sz w:val="18"/>
                <w:szCs w:val="18"/>
                <w:u w:val="none"/>
              </w:rPr>
            </w:pPr>
            <w:r>
              <w:rPr>
                <w:rFonts w:hint="eastAsia" w:ascii="宋体" w:hAnsi="宋体" w:cs="宋体"/>
                <w:i w:val="0"/>
                <w:color w:val="000000"/>
                <w:sz w:val="18"/>
                <w:szCs w:val="18"/>
                <w:u w:val="none"/>
                <w:lang w:val="en-US" w:eastAsia="zh-CN"/>
              </w:rPr>
              <w:t>%</w:t>
            </w:r>
          </w:p>
        </w:tc>
        <w:tc>
          <w:tcPr>
            <w:tcW w:w="2169"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4F667AFE">
            <w:pPr>
              <w:jc w:val="center"/>
              <w:rPr>
                <w:rFonts w:hint="eastAsia" w:ascii="微软雅黑" w:hAnsi="微软雅黑" w:eastAsia="微软雅黑" w:cs="微软雅黑"/>
                <w:i/>
                <w:color w:val="000000"/>
                <w:sz w:val="16"/>
                <w:szCs w:val="16"/>
                <w:u w:val="none"/>
                <w:lang w:val="en-US" w:eastAsia="zh-CN"/>
              </w:rPr>
            </w:pPr>
            <w:r>
              <w:rPr>
                <w:rFonts w:hint="eastAsia" w:ascii="宋体" w:hAnsi="宋体" w:cs="宋体"/>
                <w:i w:val="0"/>
                <w:color w:val="000000"/>
                <w:sz w:val="18"/>
                <w:szCs w:val="18"/>
                <w:u w:val="none"/>
                <w:lang w:val="en-US" w:eastAsia="zh-CN"/>
              </w:rPr>
              <w:t>100%</w:t>
            </w:r>
          </w:p>
        </w:tc>
        <w:tc>
          <w:tcPr>
            <w:tcW w:w="53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4A76410E">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15</w:t>
            </w:r>
          </w:p>
        </w:tc>
        <w:tc>
          <w:tcPr>
            <w:tcW w:w="466" w:type="dxa"/>
            <w:tcBorders>
              <w:top w:val="single" w:color="auto" w:sz="4" w:space="0"/>
              <w:left w:val="single" w:color="000000" w:sz="4" w:space="0"/>
              <w:bottom w:val="single" w:color="auto" w:sz="4" w:space="0"/>
              <w:right w:val="single" w:color="000000" w:sz="4" w:space="0"/>
            </w:tcBorders>
            <w:shd w:val="clear" w:color="auto" w:fill="auto"/>
            <w:vAlign w:val="center"/>
          </w:tcPr>
          <w:p w14:paraId="0BA9A2B1">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15</w:t>
            </w:r>
          </w:p>
        </w:tc>
        <w:tc>
          <w:tcPr>
            <w:tcW w:w="174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5CDE4642">
            <w:pPr>
              <w:jc w:val="center"/>
              <w:rPr>
                <w:rFonts w:hint="eastAsia" w:ascii="微软雅黑" w:hAnsi="微软雅黑" w:eastAsia="微软雅黑" w:cs="微软雅黑"/>
                <w:i/>
                <w:color w:val="000000"/>
                <w:sz w:val="16"/>
                <w:szCs w:val="16"/>
                <w:u w:val="none"/>
              </w:rPr>
            </w:pPr>
          </w:p>
        </w:tc>
      </w:tr>
      <w:tr w14:paraId="72AFE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04" w:hRule="atLeast"/>
        </w:trPr>
        <w:tc>
          <w:tcPr>
            <w:tcW w:w="804" w:type="dxa"/>
            <w:gridSpan w:val="2"/>
            <w:vMerge w:val="continue"/>
            <w:tcBorders>
              <w:left w:val="single" w:color="000000" w:sz="4" w:space="0"/>
              <w:bottom w:val="single" w:color="000000" w:sz="4" w:space="0"/>
              <w:right w:val="single" w:color="000000" w:sz="4" w:space="0"/>
            </w:tcBorders>
            <w:shd w:val="clear" w:color="auto" w:fill="auto"/>
            <w:vAlign w:val="center"/>
          </w:tcPr>
          <w:p w14:paraId="08873D5F">
            <w:pPr>
              <w:jc w:val="center"/>
              <w:rPr>
                <w:rFonts w:hint="eastAsia" w:ascii="宋体" w:hAnsi="宋体" w:eastAsia="宋体" w:cs="宋体"/>
                <w:i w:val="0"/>
                <w:color w:val="000000"/>
                <w:sz w:val="18"/>
                <w:szCs w:val="18"/>
                <w:u w:val="none"/>
              </w:rPr>
            </w:pPr>
          </w:p>
        </w:tc>
        <w:tc>
          <w:tcPr>
            <w:tcW w:w="1490" w:type="dxa"/>
            <w:vMerge w:val="continue"/>
            <w:tcBorders>
              <w:left w:val="single" w:color="000000" w:sz="4" w:space="0"/>
              <w:bottom w:val="single" w:color="auto" w:sz="4" w:space="0"/>
              <w:right w:val="single" w:color="000000" w:sz="4" w:space="0"/>
            </w:tcBorders>
            <w:shd w:val="clear" w:color="auto" w:fill="auto"/>
            <w:vAlign w:val="center"/>
          </w:tcPr>
          <w:p w14:paraId="6C0A2AF1">
            <w:pPr>
              <w:jc w:val="center"/>
              <w:rPr>
                <w:rFonts w:hint="eastAsia" w:ascii="宋体" w:hAnsi="宋体" w:eastAsia="宋体" w:cs="宋体"/>
                <w:i w:val="0"/>
                <w:color w:val="000000"/>
                <w:sz w:val="18"/>
                <w:szCs w:val="18"/>
                <w:u w:val="none"/>
                <w:lang w:eastAsia="zh-CN"/>
              </w:rPr>
            </w:pPr>
          </w:p>
        </w:tc>
        <w:tc>
          <w:tcPr>
            <w:tcW w:w="1377" w:type="dxa"/>
            <w:tcBorders>
              <w:top w:val="single" w:color="auto" w:sz="4" w:space="0"/>
              <w:left w:val="single" w:color="000000" w:sz="4" w:space="0"/>
              <w:bottom w:val="single" w:color="auto" w:sz="4" w:space="0"/>
              <w:right w:val="single" w:color="000000" w:sz="4" w:space="0"/>
            </w:tcBorders>
            <w:shd w:val="clear" w:color="auto" w:fill="auto"/>
            <w:vAlign w:val="center"/>
          </w:tcPr>
          <w:p w14:paraId="727BD10A">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时效指标</w:t>
            </w:r>
          </w:p>
        </w:tc>
        <w:tc>
          <w:tcPr>
            <w:tcW w:w="1721" w:type="dxa"/>
            <w:tcBorders>
              <w:top w:val="single" w:color="auto" w:sz="4" w:space="0"/>
              <w:left w:val="single" w:color="000000" w:sz="4" w:space="0"/>
              <w:bottom w:val="single" w:color="auto" w:sz="4" w:space="0"/>
              <w:right w:val="single" w:color="000000" w:sz="4" w:space="0"/>
            </w:tcBorders>
            <w:shd w:val="clear" w:color="auto" w:fill="auto"/>
            <w:vAlign w:val="center"/>
          </w:tcPr>
          <w:p w14:paraId="55DC4128">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修缮维护时间</w:t>
            </w:r>
          </w:p>
        </w:tc>
        <w:tc>
          <w:tcPr>
            <w:tcW w:w="1289"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131191C2">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w:t>
            </w:r>
          </w:p>
        </w:tc>
        <w:tc>
          <w:tcPr>
            <w:tcW w:w="1698"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27D75345">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w:t>
            </w:r>
          </w:p>
        </w:tc>
        <w:tc>
          <w:tcPr>
            <w:tcW w:w="704"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61833484">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年</w:t>
            </w:r>
          </w:p>
        </w:tc>
        <w:tc>
          <w:tcPr>
            <w:tcW w:w="2169"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44959B14">
            <w:pPr>
              <w:jc w:val="center"/>
              <w:rPr>
                <w:rFonts w:hint="eastAsia" w:ascii="微软雅黑" w:hAnsi="微软雅黑" w:eastAsia="微软雅黑" w:cs="微软雅黑"/>
                <w:i/>
                <w:color w:val="000000"/>
                <w:sz w:val="16"/>
                <w:szCs w:val="16"/>
                <w:u w:val="none"/>
              </w:rPr>
            </w:pPr>
            <w:r>
              <w:rPr>
                <w:rFonts w:hint="eastAsia" w:ascii="宋体" w:hAnsi="宋体" w:cs="宋体"/>
                <w:i w:val="0"/>
                <w:color w:val="000000"/>
                <w:sz w:val="18"/>
                <w:szCs w:val="18"/>
                <w:u w:val="none"/>
                <w:lang w:val="en-US" w:eastAsia="zh-CN"/>
              </w:rPr>
              <w:t>100%</w:t>
            </w:r>
          </w:p>
        </w:tc>
        <w:tc>
          <w:tcPr>
            <w:tcW w:w="53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3ABC3FEF">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w:t>
            </w:r>
          </w:p>
        </w:tc>
        <w:tc>
          <w:tcPr>
            <w:tcW w:w="466" w:type="dxa"/>
            <w:tcBorders>
              <w:top w:val="single" w:color="auto" w:sz="4" w:space="0"/>
              <w:left w:val="single" w:color="000000" w:sz="4" w:space="0"/>
              <w:bottom w:val="single" w:color="auto" w:sz="4" w:space="0"/>
              <w:right w:val="single" w:color="000000" w:sz="4" w:space="0"/>
            </w:tcBorders>
            <w:shd w:val="clear" w:color="auto" w:fill="auto"/>
            <w:vAlign w:val="center"/>
          </w:tcPr>
          <w:p w14:paraId="69CFE771">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w:t>
            </w:r>
          </w:p>
        </w:tc>
        <w:tc>
          <w:tcPr>
            <w:tcW w:w="174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52AB612B">
            <w:pPr>
              <w:jc w:val="center"/>
              <w:rPr>
                <w:rFonts w:hint="eastAsia" w:ascii="微软雅黑" w:hAnsi="微软雅黑" w:eastAsia="微软雅黑" w:cs="微软雅黑"/>
                <w:i/>
                <w:color w:val="000000"/>
                <w:sz w:val="16"/>
                <w:szCs w:val="16"/>
                <w:u w:val="none"/>
              </w:rPr>
            </w:pPr>
          </w:p>
        </w:tc>
      </w:tr>
      <w:tr w14:paraId="0415D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2" w:hRule="atLeast"/>
        </w:trPr>
        <w:tc>
          <w:tcPr>
            <w:tcW w:w="804" w:type="dxa"/>
            <w:gridSpan w:val="2"/>
            <w:vMerge w:val="continue"/>
            <w:tcBorders>
              <w:left w:val="single" w:color="000000" w:sz="4" w:space="0"/>
              <w:bottom w:val="single" w:color="000000" w:sz="4" w:space="0"/>
              <w:right w:val="single" w:color="000000" w:sz="4" w:space="0"/>
            </w:tcBorders>
            <w:shd w:val="clear" w:color="auto" w:fill="auto"/>
            <w:vAlign w:val="center"/>
          </w:tcPr>
          <w:p w14:paraId="30D346A2">
            <w:pPr>
              <w:jc w:val="center"/>
              <w:rPr>
                <w:rFonts w:hint="eastAsia" w:ascii="宋体" w:hAnsi="宋体" w:eastAsia="宋体" w:cs="宋体"/>
                <w:i w:val="0"/>
                <w:color w:val="000000"/>
                <w:sz w:val="18"/>
                <w:szCs w:val="18"/>
                <w:u w:val="none"/>
              </w:rPr>
            </w:pPr>
          </w:p>
        </w:tc>
        <w:tc>
          <w:tcPr>
            <w:tcW w:w="1490" w:type="dxa"/>
            <w:tcBorders>
              <w:top w:val="single" w:color="auto" w:sz="4" w:space="0"/>
              <w:left w:val="single" w:color="000000" w:sz="4" w:space="0"/>
              <w:bottom w:val="single" w:color="auto" w:sz="4" w:space="0"/>
              <w:right w:val="single" w:color="000000" w:sz="4" w:space="0"/>
            </w:tcBorders>
            <w:shd w:val="clear" w:color="auto" w:fill="auto"/>
            <w:vAlign w:val="center"/>
          </w:tcPr>
          <w:p w14:paraId="4EAA4F09">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成本指标</w:t>
            </w:r>
          </w:p>
        </w:tc>
        <w:tc>
          <w:tcPr>
            <w:tcW w:w="1377" w:type="dxa"/>
            <w:tcBorders>
              <w:top w:val="single" w:color="auto" w:sz="4" w:space="0"/>
              <w:left w:val="single" w:color="000000" w:sz="4" w:space="0"/>
              <w:bottom w:val="single" w:color="auto" w:sz="4" w:space="0"/>
              <w:right w:val="single" w:color="000000" w:sz="4" w:space="0"/>
            </w:tcBorders>
            <w:shd w:val="clear" w:color="auto" w:fill="auto"/>
            <w:vAlign w:val="center"/>
          </w:tcPr>
          <w:p w14:paraId="0136D85D">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经济成本指标</w:t>
            </w:r>
          </w:p>
        </w:tc>
        <w:tc>
          <w:tcPr>
            <w:tcW w:w="1721" w:type="dxa"/>
            <w:tcBorders>
              <w:top w:val="single" w:color="auto" w:sz="4" w:space="0"/>
              <w:left w:val="single" w:color="000000" w:sz="4" w:space="0"/>
              <w:bottom w:val="single" w:color="auto" w:sz="4" w:space="0"/>
              <w:right w:val="single" w:color="000000" w:sz="4" w:space="0"/>
            </w:tcBorders>
            <w:shd w:val="clear" w:color="auto" w:fill="auto"/>
            <w:vAlign w:val="center"/>
          </w:tcPr>
          <w:p w14:paraId="1E301B54">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修缮维护费用</w:t>
            </w:r>
          </w:p>
        </w:tc>
        <w:tc>
          <w:tcPr>
            <w:tcW w:w="1289"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7EBC483C">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w:t>
            </w:r>
          </w:p>
        </w:tc>
        <w:tc>
          <w:tcPr>
            <w:tcW w:w="1698"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0F47C8A7">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19.79</w:t>
            </w:r>
          </w:p>
        </w:tc>
        <w:tc>
          <w:tcPr>
            <w:tcW w:w="704"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76231C2D">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万元</w:t>
            </w:r>
          </w:p>
        </w:tc>
        <w:tc>
          <w:tcPr>
            <w:tcW w:w="2169"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2BACFD37">
            <w:pPr>
              <w:jc w:val="center"/>
              <w:rPr>
                <w:rFonts w:hint="eastAsia" w:ascii="微软雅黑" w:hAnsi="微软雅黑" w:eastAsia="微软雅黑" w:cs="微软雅黑"/>
                <w:i/>
                <w:color w:val="000000"/>
                <w:sz w:val="16"/>
                <w:szCs w:val="16"/>
                <w:u w:val="none"/>
              </w:rPr>
            </w:pPr>
            <w:r>
              <w:rPr>
                <w:rFonts w:hint="eastAsia" w:ascii="宋体" w:hAnsi="宋体" w:cs="宋体"/>
                <w:i w:val="0"/>
                <w:color w:val="000000"/>
                <w:sz w:val="18"/>
                <w:szCs w:val="18"/>
                <w:u w:val="none"/>
                <w:lang w:val="en-US" w:eastAsia="zh-CN"/>
              </w:rPr>
              <w:t>100%</w:t>
            </w:r>
          </w:p>
        </w:tc>
        <w:tc>
          <w:tcPr>
            <w:tcW w:w="53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0CB0B8C1">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w:t>
            </w:r>
          </w:p>
        </w:tc>
        <w:tc>
          <w:tcPr>
            <w:tcW w:w="466" w:type="dxa"/>
            <w:tcBorders>
              <w:top w:val="single" w:color="auto" w:sz="4" w:space="0"/>
              <w:left w:val="single" w:color="000000" w:sz="4" w:space="0"/>
              <w:bottom w:val="single" w:color="auto" w:sz="4" w:space="0"/>
              <w:right w:val="single" w:color="000000" w:sz="4" w:space="0"/>
            </w:tcBorders>
            <w:shd w:val="clear" w:color="auto" w:fill="auto"/>
            <w:vAlign w:val="center"/>
          </w:tcPr>
          <w:p w14:paraId="502EF81D">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w:t>
            </w:r>
          </w:p>
        </w:tc>
        <w:tc>
          <w:tcPr>
            <w:tcW w:w="174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6D0E6046">
            <w:pPr>
              <w:jc w:val="center"/>
              <w:rPr>
                <w:rFonts w:hint="eastAsia" w:ascii="微软雅黑" w:hAnsi="微软雅黑" w:eastAsia="微软雅黑" w:cs="微软雅黑"/>
                <w:i/>
                <w:color w:val="000000"/>
                <w:sz w:val="16"/>
                <w:szCs w:val="16"/>
                <w:u w:val="none"/>
              </w:rPr>
            </w:pPr>
          </w:p>
        </w:tc>
      </w:tr>
      <w:tr w14:paraId="022F6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2" w:hRule="atLeast"/>
        </w:trPr>
        <w:tc>
          <w:tcPr>
            <w:tcW w:w="804" w:type="dxa"/>
            <w:gridSpan w:val="2"/>
            <w:vMerge w:val="continue"/>
            <w:tcBorders>
              <w:left w:val="single" w:color="000000" w:sz="4" w:space="0"/>
              <w:bottom w:val="single" w:color="000000" w:sz="4" w:space="0"/>
              <w:right w:val="single" w:color="000000" w:sz="4" w:space="0"/>
            </w:tcBorders>
            <w:shd w:val="clear" w:color="auto" w:fill="auto"/>
            <w:vAlign w:val="center"/>
          </w:tcPr>
          <w:p w14:paraId="2D309409">
            <w:pPr>
              <w:jc w:val="center"/>
              <w:rPr>
                <w:rFonts w:hint="eastAsia" w:ascii="宋体" w:hAnsi="宋体" w:eastAsia="宋体" w:cs="宋体"/>
                <w:i w:val="0"/>
                <w:color w:val="000000"/>
                <w:sz w:val="18"/>
                <w:szCs w:val="18"/>
                <w:u w:val="none"/>
              </w:rPr>
            </w:pPr>
          </w:p>
        </w:tc>
        <w:tc>
          <w:tcPr>
            <w:tcW w:w="1490" w:type="dxa"/>
            <w:vMerge w:val="restart"/>
            <w:tcBorders>
              <w:top w:val="single" w:color="auto" w:sz="4" w:space="0"/>
              <w:left w:val="single" w:color="000000" w:sz="4" w:space="0"/>
              <w:right w:val="single" w:color="000000" w:sz="4" w:space="0"/>
            </w:tcBorders>
            <w:shd w:val="clear" w:color="auto" w:fill="auto"/>
            <w:vAlign w:val="center"/>
          </w:tcPr>
          <w:p w14:paraId="7C50771E">
            <w:pPr>
              <w:jc w:val="center"/>
              <w:rPr>
                <w:rFonts w:hint="eastAsia" w:ascii="宋体" w:hAnsi="宋体" w:eastAsia="宋体" w:cs="宋体"/>
                <w:i w:val="0"/>
                <w:color w:val="000000"/>
                <w:sz w:val="18"/>
                <w:szCs w:val="18"/>
                <w:u w:val="none"/>
              </w:rPr>
            </w:pPr>
            <w:r>
              <w:rPr>
                <w:rFonts w:hint="eastAsia" w:ascii="宋体" w:hAnsi="宋体" w:cs="宋体"/>
                <w:i w:val="0"/>
                <w:color w:val="000000"/>
                <w:sz w:val="18"/>
                <w:szCs w:val="18"/>
                <w:u w:val="none"/>
                <w:lang w:eastAsia="zh-CN"/>
              </w:rPr>
              <w:t>效益指标</w:t>
            </w:r>
          </w:p>
        </w:tc>
        <w:tc>
          <w:tcPr>
            <w:tcW w:w="1377" w:type="dxa"/>
            <w:vMerge w:val="restart"/>
            <w:tcBorders>
              <w:top w:val="single" w:color="auto" w:sz="4" w:space="0"/>
              <w:left w:val="single" w:color="000000" w:sz="4" w:space="0"/>
              <w:right w:val="single" w:color="000000" w:sz="4" w:space="0"/>
            </w:tcBorders>
            <w:shd w:val="clear" w:color="auto" w:fill="auto"/>
            <w:vAlign w:val="center"/>
          </w:tcPr>
          <w:p w14:paraId="4E1FB182">
            <w:pPr>
              <w:jc w:val="center"/>
              <w:rPr>
                <w:rFonts w:hint="eastAsia" w:ascii="宋体" w:hAnsi="宋体" w:eastAsia="宋体" w:cs="宋体"/>
                <w:i w:val="0"/>
                <w:color w:val="000000"/>
                <w:sz w:val="18"/>
                <w:szCs w:val="18"/>
                <w:u w:val="none"/>
              </w:rPr>
            </w:pPr>
            <w:r>
              <w:rPr>
                <w:rFonts w:hint="eastAsia" w:ascii="宋体" w:hAnsi="宋体" w:cs="宋体"/>
                <w:i w:val="0"/>
                <w:color w:val="000000"/>
                <w:sz w:val="18"/>
                <w:szCs w:val="18"/>
                <w:u w:val="none"/>
                <w:lang w:eastAsia="zh-CN"/>
              </w:rPr>
              <w:t>社会效益指标</w:t>
            </w:r>
          </w:p>
        </w:tc>
        <w:tc>
          <w:tcPr>
            <w:tcW w:w="1721" w:type="dxa"/>
            <w:tcBorders>
              <w:top w:val="single" w:color="auto" w:sz="4" w:space="0"/>
              <w:left w:val="single" w:color="000000" w:sz="4" w:space="0"/>
              <w:bottom w:val="single" w:color="auto" w:sz="4" w:space="0"/>
              <w:right w:val="single" w:color="000000" w:sz="4" w:space="0"/>
            </w:tcBorders>
            <w:shd w:val="clear" w:color="auto" w:fill="auto"/>
            <w:vAlign w:val="center"/>
          </w:tcPr>
          <w:p w14:paraId="689C61CF">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安全保障</w:t>
            </w:r>
          </w:p>
        </w:tc>
        <w:tc>
          <w:tcPr>
            <w:tcW w:w="1289"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03AB3B2A">
            <w:pPr>
              <w:jc w:val="center"/>
              <w:rPr>
                <w:rFonts w:hint="eastAsia" w:ascii="宋体" w:hAnsi="宋体" w:eastAsia="宋体" w:cs="宋体"/>
                <w:i w:val="0"/>
                <w:color w:val="000000"/>
                <w:sz w:val="18"/>
                <w:szCs w:val="18"/>
                <w:u w:val="none"/>
              </w:rPr>
            </w:pPr>
            <w:r>
              <w:rPr>
                <w:rFonts w:hint="eastAsia" w:ascii="宋体" w:hAnsi="宋体" w:cs="宋体"/>
                <w:i w:val="0"/>
                <w:color w:val="000000"/>
                <w:sz w:val="18"/>
                <w:szCs w:val="18"/>
                <w:u w:val="none"/>
                <w:lang w:val="en-US" w:eastAsia="zh-CN"/>
              </w:rPr>
              <w:t>=</w:t>
            </w:r>
          </w:p>
        </w:tc>
        <w:tc>
          <w:tcPr>
            <w:tcW w:w="1698"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776DEB24">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100</w:t>
            </w:r>
          </w:p>
        </w:tc>
        <w:tc>
          <w:tcPr>
            <w:tcW w:w="704"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073A7A5C">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w:t>
            </w:r>
          </w:p>
        </w:tc>
        <w:tc>
          <w:tcPr>
            <w:tcW w:w="2169"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7C4DC85A">
            <w:pPr>
              <w:jc w:val="center"/>
              <w:rPr>
                <w:rFonts w:hint="eastAsia" w:ascii="微软雅黑" w:hAnsi="微软雅黑" w:eastAsia="微软雅黑" w:cs="微软雅黑"/>
                <w:i/>
                <w:color w:val="000000"/>
                <w:sz w:val="16"/>
                <w:szCs w:val="16"/>
                <w:u w:val="none"/>
              </w:rPr>
            </w:pPr>
            <w:r>
              <w:rPr>
                <w:rFonts w:hint="eastAsia" w:ascii="宋体" w:hAnsi="宋体" w:cs="宋体"/>
                <w:i w:val="0"/>
                <w:color w:val="000000"/>
                <w:sz w:val="18"/>
                <w:szCs w:val="18"/>
                <w:u w:val="none"/>
                <w:lang w:val="en-US" w:eastAsia="zh-CN"/>
              </w:rPr>
              <w:t>100%</w:t>
            </w:r>
          </w:p>
        </w:tc>
        <w:tc>
          <w:tcPr>
            <w:tcW w:w="53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2B99653C">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15</w:t>
            </w:r>
          </w:p>
        </w:tc>
        <w:tc>
          <w:tcPr>
            <w:tcW w:w="466" w:type="dxa"/>
            <w:tcBorders>
              <w:top w:val="single" w:color="auto" w:sz="4" w:space="0"/>
              <w:left w:val="single" w:color="000000" w:sz="4" w:space="0"/>
              <w:bottom w:val="single" w:color="auto" w:sz="4" w:space="0"/>
              <w:right w:val="single" w:color="000000" w:sz="4" w:space="0"/>
            </w:tcBorders>
            <w:shd w:val="clear" w:color="auto" w:fill="auto"/>
            <w:vAlign w:val="center"/>
          </w:tcPr>
          <w:p w14:paraId="4E12C617">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15</w:t>
            </w:r>
          </w:p>
        </w:tc>
        <w:tc>
          <w:tcPr>
            <w:tcW w:w="174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47C803C5">
            <w:pPr>
              <w:jc w:val="center"/>
              <w:rPr>
                <w:rFonts w:hint="eastAsia" w:ascii="微软雅黑" w:hAnsi="微软雅黑" w:eastAsia="微软雅黑" w:cs="微软雅黑"/>
                <w:i/>
                <w:color w:val="000000"/>
                <w:sz w:val="16"/>
                <w:szCs w:val="16"/>
                <w:u w:val="none"/>
              </w:rPr>
            </w:pPr>
          </w:p>
        </w:tc>
      </w:tr>
      <w:tr w14:paraId="63271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56" w:hRule="atLeast"/>
        </w:trPr>
        <w:tc>
          <w:tcPr>
            <w:tcW w:w="804" w:type="dxa"/>
            <w:gridSpan w:val="2"/>
            <w:vMerge w:val="continue"/>
            <w:tcBorders>
              <w:left w:val="single" w:color="000000" w:sz="4" w:space="0"/>
              <w:bottom w:val="single" w:color="000000" w:sz="4" w:space="0"/>
              <w:right w:val="single" w:color="000000" w:sz="4" w:space="0"/>
            </w:tcBorders>
            <w:shd w:val="clear" w:color="auto" w:fill="auto"/>
            <w:vAlign w:val="center"/>
          </w:tcPr>
          <w:p w14:paraId="208F9211">
            <w:pPr>
              <w:jc w:val="center"/>
              <w:rPr>
                <w:rFonts w:hint="eastAsia" w:ascii="宋体" w:hAnsi="宋体" w:eastAsia="宋体" w:cs="宋体"/>
                <w:i w:val="0"/>
                <w:color w:val="000000"/>
                <w:sz w:val="18"/>
                <w:szCs w:val="18"/>
                <w:u w:val="none"/>
              </w:rPr>
            </w:pPr>
          </w:p>
        </w:tc>
        <w:tc>
          <w:tcPr>
            <w:tcW w:w="1490" w:type="dxa"/>
            <w:vMerge w:val="continue"/>
            <w:tcBorders>
              <w:left w:val="single" w:color="000000" w:sz="4" w:space="0"/>
              <w:bottom w:val="single" w:color="auto" w:sz="4" w:space="0"/>
              <w:right w:val="single" w:color="000000" w:sz="4" w:space="0"/>
            </w:tcBorders>
            <w:shd w:val="clear" w:color="auto" w:fill="auto"/>
            <w:vAlign w:val="center"/>
          </w:tcPr>
          <w:p w14:paraId="747C779B">
            <w:pPr>
              <w:jc w:val="center"/>
              <w:rPr>
                <w:rFonts w:hint="eastAsia" w:ascii="宋体" w:hAnsi="宋体" w:eastAsia="宋体" w:cs="宋体"/>
                <w:i w:val="0"/>
                <w:color w:val="000000"/>
                <w:sz w:val="18"/>
                <w:szCs w:val="18"/>
                <w:u w:val="none"/>
              </w:rPr>
            </w:pPr>
          </w:p>
        </w:tc>
        <w:tc>
          <w:tcPr>
            <w:tcW w:w="1377" w:type="dxa"/>
            <w:vMerge w:val="continue"/>
            <w:tcBorders>
              <w:left w:val="single" w:color="000000" w:sz="4" w:space="0"/>
              <w:bottom w:val="single" w:color="auto" w:sz="4" w:space="0"/>
              <w:right w:val="single" w:color="000000" w:sz="4" w:space="0"/>
            </w:tcBorders>
            <w:shd w:val="clear" w:color="auto" w:fill="auto"/>
            <w:vAlign w:val="center"/>
          </w:tcPr>
          <w:p w14:paraId="2A99AFAB">
            <w:pPr>
              <w:jc w:val="center"/>
              <w:rPr>
                <w:rFonts w:hint="eastAsia" w:ascii="宋体" w:hAnsi="宋体" w:eastAsia="宋体" w:cs="宋体"/>
                <w:i w:val="0"/>
                <w:color w:val="000000"/>
                <w:sz w:val="18"/>
                <w:szCs w:val="18"/>
                <w:u w:val="none"/>
              </w:rPr>
            </w:pPr>
          </w:p>
        </w:tc>
        <w:tc>
          <w:tcPr>
            <w:tcW w:w="1721" w:type="dxa"/>
            <w:tcBorders>
              <w:top w:val="single" w:color="auto" w:sz="4" w:space="0"/>
              <w:left w:val="single" w:color="000000" w:sz="4" w:space="0"/>
              <w:bottom w:val="single" w:color="auto" w:sz="4" w:space="0"/>
              <w:right w:val="single" w:color="000000" w:sz="4" w:space="0"/>
            </w:tcBorders>
            <w:shd w:val="clear" w:color="auto" w:fill="auto"/>
            <w:vAlign w:val="center"/>
          </w:tcPr>
          <w:p w14:paraId="3CDB3200">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卫生保障</w:t>
            </w:r>
          </w:p>
        </w:tc>
        <w:tc>
          <w:tcPr>
            <w:tcW w:w="1289"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0ED9118D">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w:t>
            </w:r>
          </w:p>
        </w:tc>
        <w:tc>
          <w:tcPr>
            <w:tcW w:w="1698"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4FAD3B41">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100</w:t>
            </w:r>
          </w:p>
        </w:tc>
        <w:tc>
          <w:tcPr>
            <w:tcW w:w="704"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5E453C31">
            <w:pPr>
              <w:jc w:val="center"/>
              <w:rPr>
                <w:rFonts w:hint="eastAsia" w:ascii="宋体" w:hAnsi="宋体" w:eastAsia="宋体" w:cs="宋体"/>
                <w:i w:val="0"/>
                <w:color w:val="000000"/>
                <w:sz w:val="18"/>
                <w:szCs w:val="18"/>
                <w:u w:val="none"/>
              </w:rPr>
            </w:pPr>
            <w:r>
              <w:rPr>
                <w:rFonts w:hint="eastAsia" w:ascii="宋体" w:hAnsi="宋体" w:cs="宋体"/>
                <w:i w:val="0"/>
                <w:color w:val="000000"/>
                <w:sz w:val="18"/>
                <w:szCs w:val="18"/>
                <w:u w:val="none"/>
                <w:lang w:val="en-US" w:eastAsia="zh-CN"/>
              </w:rPr>
              <w:t>%</w:t>
            </w:r>
          </w:p>
        </w:tc>
        <w:tc>
          <w:tcPr>
            <w:tcW w:w="2169"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76AD1FBF">
            <w:pPr>
              <w:jc w:val="center"/>
              <w:rPr>
                <w:rFonts w:hint="eastAsia" w:ascii="微软雅黑" w:hAnsi="微软雅黑" w:eastAsia="微软雅黑" w:cs="微软雅黑"/>
                <w:i/>
                <w:color w:val="000000"/>
                <w:sz w:val="16"/>
                <w:szCs w:val="16"/>
                <w:u w:val="none"/>
              </w:rPr>
            </w:pPr>
            <w:r>
              <w:rPr>
                <w:rFonts w:hint="eastAsia" w:ascii="宋体" w:hAnsi="宋体" w:cs="宋体"/>
                <w:i w:val="0"/>
                <w:color w:val="000000"/>
                <w:sz w:val="18"/>
                <w:szCs w:val="18"/>
                <w:u w:val="none"/>
                <w:lang w:val="en-US" w:eastAsia="zh-CN"/>
              </w:rPr>
              <w:t>100%</w:t>
            </w:r>
          </w:p>
        </w:tc>
        <w:tc>
          <w:tcPr>
            <w:tcW w:w="53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539D8A70">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15</w:t>
            </w:r>
          </w:p>
        </w:tc>
        <w:tc>
          <w:tcPr>
            <w:tcW w:w="466" w:type="dxa"/>
            <w:tcBorders>
              <w:top w:val="single" w:color="auto" w:sz="4" w:space="0"/>
              <w:left w:val="single" w:color="000000" w:sz="4" w:space="0"/>
              <w:bottom w:val="single" w:color="auto" w:sz="4" w:space="0"/>
              <w:right w:val="single" w:color="000000" w:sz="4" w:space="0"/>
            </w:tcBorders>
            <w:shd w:val="clear" w:color="auto" w:fill="auto"/>
            <w:vAlign w:val="center"/>
          </w:tcPr>
          <w:p w14:paraId="3ECCBE78">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15</w:t>
            </w:r>
          </w:p>
        </w:tc>
        <w:tc>
          <w:tcPr>
            <w:tcW w:w="174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0ED91513">
            <w:pPr>
              <w:jc w:val="center"/>
              <w:rPr>
                <w:rFonts w:hint="eastAsia" w:ascii="微软雅黑" w:hAnsi="微软雅黑" w:eastAsia="微软雅黑" w:cs="微软雅黑"/>
                <w:i/>
                <w:color w:val="000000"/>
                <w:sz w:val="16"/>
                <w:szCs w:val="16"/>
                <w:u w:val="none"/>
              </w:rPr>
            </w:pPr>
          </w:p>
        </w:tc>
      </w:tr>
      <w:tr w14:paraId="7EBD6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58" w:hRule="atLeast"/>
        </w:trPr>
        <w:tc>
          <w:tcPr>
            <w:tcW w:w="804" w:type="dxa"/>
            <w:gridSpan w:val="2"/>
            <w:vMerge w:val="continue"/>
            <w:tcBorders>
              <w:left w:val="single" w:color="000000" w:sz="4" w:space="0"/>
              <w:bottom w:val="single" w:color="000000" w:sz="4" w:space="0"/>
              <w:right w:val="single" w:color="000000" w:sz="4" w:space="0"/>
            </w:tcBorders>
            <w:shd w:val="clear" w:color="auto" w:fill="auto"/>
            <w:vAlign w:val="center"/>
          </w:tcPr>
          <w:p w14:paraId="437B0EDA">
            <w:pPr>
              <w:jc w:val="center"/>
              <w:rPr>
                <w:rFonts w:hint="eastAsia" w:ascii="宋体" w:hAnsi="宋体" w:eastAsia="宋体" w:cs="宋体"/>
                <w:i w:val="0"/>
                <w:color w:val="000000"/>
                <w:sz w:val="18"/>
                <w:szCs w:val="18"/>
                <w:u w:val="none"/>
              </w:rPr>
            </w:pPr>
          </w:p>
        </w:tc>
        <w:tc>
          <w:tcPr>
            <w:tcW w:w="1490" w:type="dxa"/>
            <w:tcBorders>
              <w:top w:val="single" w:color="auto" w:sz="4" w:space="0"/>
              <w:left w:val="single" w:color="000000" w:sz="4" w:space="0"/>
              <w:bottom w:val="single" w:color="auto" w:sz="4" w:space="0"/>
              <w:right w:val="single" w:color="000000" w:sz="4" w:space="0"/>
            </w:tcBorders>
            <w:shd w:val="clear" w:color="auto" w:fill="auto"/>
            <w:vAlign w:val="center"/>
          </w:tcPr>
          <w:p w14:paraId="36DCA6F7">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满意度指标</w:t>
            </w:r>
          </w:p>
        </w:tc>
        <w:tc>
          <w:tcPr>
            <w:tcW w:w="1377" w:type="dxa"/>
            <w:tcBorders>
              <w:top w:val="single" w:color="auto" w:sz="4" w:space="0"/>
              <w:left w:val="single" w:color="000000" w:sz="4" w:space="0"/>
              <w:bottom w:val="single" w:color="auto" w:sz="4" w:space="0"/>
              <w:right w:val="single" w:color="000000" w:sz="4" w:space="0"/>
            </w:tcBorders>
            <w:shd w:val="clear" w:color="auto" w:fill="auto"/>
            <w:vAlign w:val="center"/>
          </w:tcPr>
          <w:p w14:paraId="7EA88F35">
            <w:pPr>
              <w:jc w:val="center"/>
              <w:rPr>
                <w:rFonts w:hint="eastAsia" w:ascii="宋体" w:hAnsi="宋体" w:eastAsia="宋体" w:cs="宋体"/>
                <w:i w:val="0"/>
                <w:color w:val="000000"/>
                <w:sz w:val="18"/>
                <w:szCs w:val="18"/>
                <w:u w:val="none"/>
              </w:rPr>
            </w:pPr>
            <w:r>
              <w:rPr>
                <w:rFonts w:hint="eastAsia" w:ascii="宋体" w:hAnsi="宋体" w:cs="宋体"/>
                <w:i w:val="0"/>
                <w:color w:val="000000"/>
                <w:sz w:val="18"/>
                <w:szCs w:val="18"/>
                <w:u w:val="none"/>
                <w:lang w:eastAsia="zh-CN"/>
              </w:rPr>
              <w:t>服务对象满意度指标</w:t>
            </w:r>
          </w:p>
        </w:tc>
        <w:tc>
          <w:tcPr>
            <w:tcW w:w="1721" w:type="dxa"/>
            <w:tcBorders>
              <w:top w:val="single" w:color="auto" w:sz="4" w:space="0"/>
              <w:left w:val="single" w:color="000000" w:sz="4" w:space="0"/>
              <w:bottom w:val="single" w:color="auto" w:sz="4" w:space="0"/>
              <w:right w:val="single" w:color="000000" w:sz="4" w:space="0"/>
            </w:tcBorders>
            <w:shd w:val="clear" w:color="auto" w:fill="auto"/>
            <w:vAlign w:val="center"/>
          </w:tcPr>
          <w:p w14:paraId="052D9787">
            <w:pPr>
              <w:jc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单位职工满意度</w:t>
            </w:r>
          </w:p>
        </w:tc>
        <w:tc>
          <w:tcPr>
            <w:tcW w:w="1289"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510ED6B1">
            <w:pPr>
              <w:jc w:val="center"/>
              <w:rPr>
                <w:rFonts w:hint="eastAsia" w:ascii="宋体" w:hAnsi="宋体" w:eastAsia="宋体" w:cs="宋体"/>
                <w:i w:val="0"/>
                <w:color w:val="000000"/>
                <w:sz w:val="18"/>
                <w:szCs w:val="18"/>
                <w:u w:val="none"/>
              </w:rPr>
            </w:pPr>
            <w:r>
              <w:rPr>
                <w:rFonts w:hint="eastAsia" w:ascii="宋体" w:hAnsi="宋体" w:cs="宋体"/>
                <w:color w:val="000000"/>
                <w:kern w:val="0"/>
                <w:sz w:val="18"/>
                <w:szCs w:val="18"/>
              </w:rPr>
              <w:t>≧</w:t>
            </w:r>
          </w:p>
        </w:tc>
        <w:tc>
          <w:tcPr>
            <w:tcW w:w="1698"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52EE6249">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95</w:t>
            </w:r>
          </w:p>
        </w:tc>
        <w:tc>
          <w:tcPr>
            <w:tcW w:w="704"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5DF72A87">
            <w:pPr>
              <w:jc w:val="center"/>
              <w:rPr>
                <w:rFonts w:hint="eastAsia" w:ascii="宋体" w:hAnsi="宋体" w:eastAsia="宋体" w:cs="宋体"/>
                <w:i w:val="0"/>
                <w:color w:val="000000"/>
                <w:sz w:val="18"/>
                <w:szCs w:val="18"/>
                <w:u w:val="none"/>
              </w:rPr>
            </w:pPr>
            <w:r>
              <w:rPr>
                <w:rFonts w:hint="eastAsia" w:ascii="宋体" w:hAnsi="宋体" w:cs="宋体"/>
                <w:i w:val="0"/>
                <w:color w:val="000000"/>
                <w:sz w:val="18"/>
                <w:szCs w:val="18"/>
                <w:u w:val="none"/>
                <w:lang w:val="en-US" w:eastAsia="zh-CN"/>
              </w:rPr>
              <w:t>%</w:t>
            </w:r>
          </w:p>
        </w:tc>
        <w:tc>
          <w:tcPr>
            <w:tcW w:w="2169"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14:paraId="7293A011">
            <w:pPr>
              <w:jc w:val="center"/>
              <w:rPr>
                <w:rFonts w:hint="eastAsia" w:ascii="微软雅黑" w:hAnsi="微软雅黑" w:eastAsia="微软雅黑" w:cs="微软雅黑"/>
                <w:i/>
                <w:color w:val="000000"/>
                <w:sz w:val="16"/>
                <w:szCs w:val="16"/>
                <w:u w:val="none"/>
                <w:lang w:val="en-US" w:eastAsia="zh-CN"/>
              </w:rPr>
            </w:pPr>
            <w:r>
              <w:rPr>
                <w:rFonts w:hint="eastAsia" w:ascii="宋体" w:hAnsi="宋体" w:cs="宋体"/>
                <w:i w:val="0"/>
                <w:color w:val="000000"/>
                <w:sz w:val="18"/>
                <w:szCs w:val="18"/>
                <w:u w:val="none"/>
                <w:lang w:val="en-US" w:eastAsia="zh-CN"/>
              </w:rPr>
              <w:t>100%</w:t>
            </w:r>
          </w:p>
        </w:tc>
        <w:tc>
          <w:tcPr>
            <w:tcW w:w="53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2B33E24C">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w:t>
            </w:r>
          </w:p>
        </w:tc>
        <w:tc>
          <w:tcPr>
            <w:tcW w:w="466" w:type="dxa"/>
            <w:tcBorders>
              <w:top w:val="single" w:color="auto" w:sz="4" w:space="0"/>
              <w:left w:val="single" w:color="000000" w:sz="4" w:space="0"/>
              <w:bottom w:val="single" w:color="auto" w:sz="4" w:space="0"/>
              <w:right w:val="single" w:color="000000" w:sz="4" w:space="0"/>
            </w:tcBorders>
            <w:shd w:val="clear" w:color="auto" w:fill="auto"/>
            <w:vAlign w:val="center"/>
          </w:tcPr>
          <w:p w14:paraId="4E98E292">
            <w:pPr>
              <w:jc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w:t>
            </w:r>
          </w:p>
        </w:tc>
        <w:tc>
          <w:tcPr>
            <w:tcW w:w="174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14:paraId="640B71AC">
            <w:pPr>
              <w:jc w:val="center"/>
              <w:rPr>
                <w:rFonts w:hint="eastAsia" w:ascii="微软雅黑" w:hAnsi="微软雅黑" w:eastAsia="微软雅黑" w:cs="微软雅黑"/>
                <w:i/>
                <w:color w:val="000000"/>
                <w:sz w:val="16"/>
                <w:szCs w:val="16"/>
                <w:u w:val="none"/>
              </w:rPr>
            </w:pPr>
          </w:p>
        </w:tc>
      </w:tr>
      <w:tr w14:paraId="5BE82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11252"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14:paraId="75B0984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16A93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3C547">
            <w:pP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 xml:space="preserve"> 100</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1FDCB">
            <w:pPr>
              <w:rPr>
                <w:rFonts w:hint="eastAsia" w:ascii="宋体" w:hAnsi="宋体" w:eastAsia="宋体" w:cs="宋体"/>
                <w:i w:val="0"/>
                <w:color w:val="000000"/>
                <w:sz w:val="18"/>
                <w:szCs w:val="18"/>
                <w:u w:val="none"/>
              </w:rPr>
            </w:pPr>
          </w:p>
        </w:tc>
      </w:tr>
      <w:tr w14:paraId="3CBAC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0"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9EF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评价结论</w:t>
            </w:r>
          </w:p>
        </w:tc>
        <w:tc>
          <w:tcPr>
            <w:tcW w:w="13242"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70EB2F10">
            <w:pPr>
              <w:keepNext w:val="0"/>
              <w:keepLines w:val="0"/>
              <w:widowControl/>
              <w:suppressLineNumbers w:val="0"/>
              <w:jc w:val="left"/>
              <w:textAlignment w:val="center"/>
              <w:rPr>
                <w:rFonts w:hint="eastAsia" w:ascii="微软雅黑" w:hAnsi="微软雅黑" w:eastAsia="微软雅黑" w:cs="微软雅黑"/>
                <w:i/>
                <w:color w:val="000000"/>
                <w:sz w:val="16"/>
                <w:szCs w:val="16"/>
                <w:u w:val="none"/>
              </w:rPr>
            </w:pPr>
            <w:r>
              <w:rPr>
                <w:rFonts w:hint="eastAsia" w:ascii="宋体" w:hAnsi="宋体" w:cs="宋体"/>
                <w:color w:val="000000"/>
                <w:kern w:val="0"/>
                <w:sz w:val="18"/>
                <w:szCs w:val="18"/>
              </w:rPr>
              <w:t>使用科学合理，依据充分，管理较为规范，完成效果好，实施后达到了预期目的，经评价为</w:t>
            </w:r>
            <w:r>
              <w:rPr>
                <w:rFonts w:hint="eastAsia" w:ascii="宋体" w:hAnsi="宋体" w:cs="宋体"/>
                <w:color w:val="000000"/>
                <w:kern w:val="0"/>
                <w:sz w:val="18"/>
                <w:szCs w:val="18"/>
                <w:lang w:eastAsia="zh-CN"/>
              </w:rPr>
              <w:t>优。</w:t>
            </w:r>
          </w:p>
        </w:tc>
      </w:tr>
      <w:tr w14:paraId="32B32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55"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0E9E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存在问题</w:t>
            </w:r>
          </w:p>
        </w:tc>
        <w:tc>
          <w:tcPr>
            <w:tcW w:w="13242"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6A31D552">
            <w:pPr>
              <w:keepNext w:val="0"/>
              <w:keepLines w:val="0"/>
              <w:widowControl/>
              <w:suppressLineNumbers w:val="0"/>
              <w:jc w:val="left"/>
              <w:textAlignment w:val="center"/>
              <w:rPr>
                <w:rFonts w:hint="eastAsia" w:ascii="微软雅黑" w:hAnsi="微软雅黑" w:eastAsia="微软雅黑" w:cs="微软雅黑"/>
                <w:i/>
                <w:color w:val="000000"/>
                <w:sz w:val="16"/>
                <w:szCs w:val="16"/>
                <w:u w:val="none"/>
                <w:lang w:eastAsia="zh-CN"/>
              </w:rPr>
            </w:pPr>
            <w:r>
              <w:rPr>
                <w:rFonts w:hint="eastAsia" w:ascii="宋体" w:hAnsi="宋体" w:cs="宋体"/>
                <w:color w:val="000000"/>
                <w:kern w:val="0"/>
                <w:sz w:val="18"/>
                <w:szCs w:val="18"/>
                <w:lang w:eastAsia="zh-CN"/>
              </w:rPr>
              <w:t>无。</w:t>
            </w:r>
          </w:p>
        </w:tc>
      </w:tr>
      <w:tr w14:paraId="67E0B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45"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FA3A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改进措施</w:t>
            </w:r>
          </w:p>
        </w:tc>
        <w:tc>
          <w:tcPr>
            <w:tcW w:w="13242"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1428F00D">
            <w:pPr>
              <w:keepNext w:val="0"/>
              <w:keepLines w:val="0"/>
              <w:widowControl/>
              <w:suppressLineNumbers w:val="0"/>
              <w:jc w:val="left"/>
              <w:textAlignment w:val="center"/>
              <w:rPr>
                <w:rFonts w:hint="eastAsia" w:ascii="微软雅黑" w:hAnsi="微软雅黑" w:eastAsia="微软雅黑" w:cs="微软雅黑"/>
                <w:i/>
                <w:color w:val="000000"/>
                <w:sz w:val="16"/>
                <w:szCs w:val="16"/>
                <w:u w:val="none"/>
              </w:rPr>
            </w:pPr>
            <w:r>
              <w:rPr>
                <w:rFonts w:hint="eastAsia" w:ascii="宋体" w:hAnsi="宋体" w:cs="宋体"/>
                <w:color w:val="000000"/>
                <w:kern w:val="0"/>
                <w:sz w:val="18"/>
                <w:szCs w:val="18"/>
                <w:lang w:val="en-US" w:eastAsia="zh-CN"/>
              </w:rPr>
              <w:t>无。</w:t>
            </w:r>
          </w:p>
        </w:tc>
      </w:tr>
      <w:tr w14:paraId="1D1AA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668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3B3E92D">
            <w:pPr>
              <w:keepNext w:val="0"/>
              <w:keepLines w:val="0"/>
              <w:widowControl/>
              <w:suppressLineNumbers w:val="0"/>
              <w:jc w:val="left"/>
              <w:textAlignment w:val="center"/>
              <w:rPr>
                <w:rFonts w:hint="eastAsia" w:ascii="黑体" w:hAnsi="黑体" w:eastAsia="黑体" w:cs="黑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项目负责人：朱斌</w:t>
            </w:r>
          </w:p>
        </w:tc>
        <w:tc>
          <w:tcPr>
            <w:tcW w:w="7303"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61AD85AE">
            <w:pPr>
              <w:keepNext w:val="0"/>
              <w:keepLines w:val="0"/>
              <w:widowControl/>
              <w:suppressLineNumbers w:val="0"/>
              <w:jc w:val="left"/>
              <w:textAlignment w:val="center"/>
              <w:rPr>
                <w:rFonts w:hint="eastAsia" w:ascii="黑体" w:hAnsi="黑体" w:eastAsia="黑体" w:cs="黑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财务负责人：付锐</w:t>
            </w:r>
          </w:p>
        </w:tc>
      </w:tr>
    </w:tbl>
    <w:p w14:paraId="00E43A7B">
      <w:pPr>
        <w:sectPr>
          <w:pgSz w:w="16838" w:h="11906" w:orient="landscape"/>
          <w:pgMar w:top="1800" w:right="1440" w:bottom="1800" w:left="1440" w:header="851" w:footer="992" w:gutter="0"/>
          <w:pgNumType w:fmt="decimal"/>
          <w:cols w:space="425" w:num="1"/>
          <w:titlePg/>
          <w:docGrid w:type="lines" w:linePitch="312" w:charSpace="0"/>
        </w:sectPr>
      </w:pPr>
    </w:p>
    <w:p w14:paraId="3BDA79F2">
      <w:pPr>
        <w:pStyle w:val="18"/>
        <w:rPr>
          <w:rFonts w:hint="eastAsia" w:ascii="方正小标宋简体" w:hAnsi="方正小标宋简体" w:eastAsia="方正小标宋简体" w:cs="Times New Roman"/>
          <w:b w:val="0"/>
          <w:kern w:val="2"/>
          <w:sz w:val="44"/>
          <w:szCs w:val="44"/>
          <w:lang w:val="en-US" w:eastAsia="zh-CN" w:bidi="ar-SA"/>
        </w:rPr>
      </w:pPr>
      <w:r>
        <w:rPr>
          <w:rFonts w:hint="eastAsia"/>
          <w:lang w:val="en-US" w:eastAsia="zh-CN"/>
        </w:rPr>
        <w:t xml:space="preserve">  </w:t>
      </w:r>
      <w:r>
        <w:rPr>
          <w:rFonts w:hint="default" w:ascii="Times New Roman" w:hAnsi="Times New Roman" w:eastAsia="仿宋_GB2312" w:cs="Times New Roman"/>
          <w:b w:val="0"/>
          <w:kern w:val="2"/>
          <w:sz w:val="32"/>
          <w:szCs w:val="32"/>
          <w:lang w:val="en-US" w:eastAsia="zh-CN" w:bidi="ar-SA"/>
        </w:rPr>
        <w:t xml:space="preserve"> 附件2</w:t>
      </w:r>
      <w:r>
        <w:rPr>
          <w:rFonts w:hint="eastAsia" w:ascii="方正小标宋简体" w:hAnsi="方正小标宋简体" w:eastAsia="方正小标宋简体" w:cs="Times New Roman"/>
          <w:b w:val="0"/>
          <w:kern w:val="2"/>
          <w:sz w:val="44"/>
          <w:szCs w:val="44"/>
          <w:lang w:val="en-US" w:eastAsia="zh-CN" w:bidi="ar-SA"/>
        </w:rPr>
        <w:t xml:space="preserve">    </w:t>
      </w:r>
    </w:p>
    <w:p w14:paraId="1852BE55">
      <w:pPr>
        <w:rPr>
          <w:rFonts w:hint="eastAsia" w:ascii="方正小标宋简体" w:hAnsi="方正小标宋简体" w:eastAsia="方正小标宋简体"/>
          <w:sz w:val="44"/>
          <w:szCs w:val="44"/>
        </w:rPr>
      </w:pPr>
      <w:r>
        <w:rPr>
          <w:rFonts w:hint="eastAsia" w:ascii="黑体" w:hAnsi="黑体" w:eastAsia="黑体"/>
          <w:sz w:val="32"/>
          <w:szCs w:val="32"/>
          <w:lang w:val="en-US" w:eastAsia="zh-CN"/>
        </w:rPr>
        <w:t xml:space="preserve">         </w:t>
      </w:r>
      <w:r>
        <w:rPr>
          <w:rFonts w:hint="eastAsia" w:ascii="方正小标宋简体" w:hAnsi="方正小标宋简体" w:eastAsia="方正小标宋简体"/>
          <w:sz w:val="44"/>
          <w:szCs w:val="44"/>
          <w:lang w:val="en-US" w:eastAsia="zh-CN"/>
        </w:rPr>
        <w:t>纪委监委机关办公楼修缮维护</w:t>
      </w:r>
    </w:p>
    <w:p w14:paraId="7F16A55D">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lang w:val="en-US" w:eastAsia="zh-CN"/>
        </w:rPr>
        <w:t xml:space="preserve"> </w:t>
      </w:r>
      <w:r>
        <w:rPr>
          <w:rFonts w:hint="eastAsia" w:ascii="方正小标宋简体" w:hAnsi="方正小标宋简体" w:eastAsia="方正小标宋简体"/>
          <w:sz w:val="44"/>
          <w:szCs w:val="44"/>
        </w:rPr>
        <w:t>专项预算项目绩效评价报告</w:t>
      </w:r>
    </w:p>
    <w:p w14:paraId="198FC508">
      <w:pPr>
        <w:rPr>
          <w:rFonts w:eastAsia="仿宋_GB2312"/>
          <w:sz w:val="32"/>
          <w:szCs w:val="32"/>
          <w:lang w:val="zh-CN"/>
        </w:rPr>
      </w:pPr>
    </w:p>
    <w:p w14:paraId="33FC8037">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14:paraId="35DC64F2">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14:paraId="3E91C388">
      <w:pPr>
        <w:widowControl/>
        <w:ind w:firstLine="660"/>
        <w:jc w:val="both"/>
        <w:rPr>
          <w:rFonts w:eastAsia="方正仿宋_GBK"/>
          <w:color w:val="000000"/>
          <w:sz w:val="33"/>
          <w:szCs w:val="33"/>
        </w:rPr>
      </w:pPr>
      <w:r>
        <w:rPr>
          <w:rFonts w:hint="eastAsia" w:eastAsia="方正仿宋_GBK"/>
          <w:color w:val="000000"/>
          <w:sz w:val="33"/>
          <w:szCs w:val="33"/>
        </w:rPr>
        <w:t>县纪委监委完成办公大楼改造工作，按照市纪委统一安排，建设留置场所及其配套设备。为了执法办案提供优质的后勤保障工作，确保人身安全和舒适的办案工作环境，根据《四川省监察机关留置场所建设工作指引》（试行）中相关制度，经商请县财政局意见并报县委、县政府主要领导同意后设立</w:t>
      </w:r>
      <w:r>
        <w:rPr>
          <w:rFonts w:hint="eastAsia" w:eastAsia="方正仿宋_GBK"/>
          <w:sz w:val="33"/>
          <w:szCs w:val="33"/>
        </w:rPr>
        <w:t>纪委监委机关办公楼修缮维护专项经费项目，</w:t>
      </w:r>
      <w:r>
        <w:rPr>
          <w:rFonts w:hint="eastAsia" w:eastAsia="方正仿宋_GBK"/>
          <w:color w:val="000000"/>
          <w:sz w:val="33"/>
          <w:szCs w:val="33"/>
        </w:rPr>
        <w:t>强化政治责任意识，保障办案区</w:t>
      </w:r>
      <w:r>
        <w:rPr>
          <w:rFonts w:eastAsia="方正仿宋_GBK"/>
          <w:color w:val="000000"/>
          <w:sz w:val="33"/>
          <w:szCs w:val="33"/>
        </w:rPr>
        <w:t>配备必要的</w:t>
      </w:r>
      <w:r>
        <w:rPr>
          <w:rFonts w:hint="eastAsia" w:eastAsia="方正仿宋_GBK"/>
          <w:color w:val="000000"/>
          <w:sz w:val="33"/>
          <w:szCs w:val="33"/>
        </w:rPr>
        <w:t>安全设施，切实提高做好审查调查安全工作。</w:t>
      </w:r>
    </w:p>
    <w:p w14:paraId="63EBAE99">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14:paraId="3E73A80C">
      <w:pPr>
        <w:widowControl/>
        <w:adjustRightInd w:val="0"/>
        <w:snapToGrid w:val="0"/>
        <w:spacing w:line="578" w:lineRule="exact"/>
        <w:ind w:firstLine="643" w:firstLineChars="200"/>
        <w:contextualSpacing/>
        <w:jc w:val="left"/>
        <w:rPr>
          <w:rFonts w:hint="eastAsia" w:ascii="仿宋_GB2312" w:hAnsi="仿宋_GB2312" w:eastAsia="仿宋_GB2312" w:cs="仿宋_GB2312"/>
          <w:b/>
          <w:bCs/>
          <w:kern w:val="0"/>
          <w:sz w:val="32"/>
          <w:szCs w:val="32"/>
          <w:shd w:val="clear" w:color="auto" w:fill="FFFFFF"/>
          <w:lang w:val="zh-CN"/>
        </w:rPr>
      </w:pPr>
      <w:r>
        <w:rPr>
          <w:rFonts w:hint="default" w:ascii="Times New Roman" w:hAnsi="Times New Roman" w:eastAsia="仿宋_GB2312" w:cs="Times New Roman"/>
          <w:b/>
          <w:bCs/>
          <w:kern w:val="0"/>
          <w:sz w:val="32"/>
          <w:szCs w:val="32"/>
          <w:shd w:val="clear" w:color="auto" w:fill="FFFFFF"/>
          <w:lang w:val="zh-CN"/>
        </w:rPr>
        <w:t>1</w:t>
      </w:r>
      <w:r>
        <w:rPr>
          <w:rFonts w:hint="default" w:eastAsia="仿宋_GB2312" w:cs="Times New Roman"/>
          <w:b/>
          <w:bCs/>
          <w:kern w:val="0"/>
          <w:sz w:val="32"/>
          <w:szCs w:val="32"/>
          <w:shd w:val="clear" w:color="auto" w:fill="FFFFFF"/>
          <w:lang w:val="en-US"/>
        </w:rPr>
        <w:t>.</w:t>
      </w:r>
      <w:r>
        <w:rPr>
          <w:rFonts w:hint="eastAsia" w:ascii="仿宋_GB2312" w:hAnsi="仿宋_GB2312" w:eastAsia="仿宋_GB2312" w:cs="仿宋_GB2312"/>
          <w:b/>
          <w:bCs/>
          <w:kern w:val="0"/>
          <w:sz w:val="32"/>
          <w:szCs w:val="32"/>
          <w:shd w:val="clear" w:color="auto" w:fill="FFFFFF"/>
          <w:lang w:val="zh-CN"/>
        </w:rPr>
        <w:t>项目主要内容。</w:t>
      </w:r>
    </w:p>
    <w:p w14:paraId="42ADB78A">
      <w:pPr>
        <w:widowControl/>
        <w:ind w:firstLine="660"/>
        <w:rPr>
          <w:rFonts w:hint="eastAsia" w:eastAsia="方正仿宋_GBK"/>
          <w:sz w:val="33"/>
          <w:szCs w:val="33"/>
        </w:rPr>
      </w:pPr>
      <w:r>
        <w:rPr>
          <w:rFonts w:hint="eastAsia" w:eastAsia="方正仿宋_GBK"/>
          <w:sz w:val="33"/>
          <w:szCs w:val="33"/>
        </w:rPr>
        <w:t>县纪委监委机关办公楼位于盐边县桐子林镇玉泉路1号，因屋顶保护层出现大面积翘壳、破裂，防水层老化，办公楼顶楼渗水、漏水现象非常严重，造成部分办公室电路存在安全隐患</w:t>
      </w:r>
      <w:r>
        <w:rPr>
          <w:rFonts w:hint="eastAsia" w:eastAsia="方正仿宋_GBK"/>
          <w:sz w:val="33"/>
          <w:szCs w:val="33"/>
          <w:lang w:eastAsia="zh-CN"/>
        </w:rPr>
        <w:t>，</w:t>
      </w:r>
      <w:r>
        <w:rPr>
          <w:rFonts w:hint="eastAsia" w:eastAsia="方正仿宋_GBK"/>
          <w:sz w:val="33"/>
          <w:szCs w:val="33"/>
        </w:rPr>
        <w:t>为及时消除安全隐患，且推动屋顶分布式光伏正常增设，</w:t>
      </w:r>
      <w:r>
        <w:rPr>
          <w:rFonts w:hint="eastAsia" w:eastAsia="方正仿宋_GBK"/>
          <w:sz w:val="33"/>
          <w:szCs w:val="33"/>
          <w:lang w:eastAsia="zh-CN"/>
        </w:rPr>
        <w:t>对</w:t>
      </w:r>
      <w:r>
        <w:rPr>
          <w:rFonts w:hint="eastAsia" w:eastAsia="方正仿宋_GBK"/>
          <w:sz w:val="33"/>
          <w:szCs w:val="33"/>
        </w:rPr>
        <w:t>机关办公楼</w:t>
      </w:r>
      <w:r>
        <w:rPr>
          <w:rFonts w:hint="eastAsia" w:eastAsia="方正仿宋_GBK"/>
          <w:sz w:val="33"/>
          <w:szCs w:val="33"/>
          <w:lang w:eastAsia="zh-CN"/>
        </w:rPr>
        <w:t>进行</w:t>
      </w:r>
      <w:r>
        <w:rPr>
          <w:rFonts w:hint="eastAsia" w:eastAsia="方正仿宋_GBK"/>
          <w:sz w:val="33"/>
          <w:szCs w:val="33"/>
        </w:rPr>
        <w:t>修缮</w:t>
      </w:r>
      <w:r>
        <w:rPr>
          <w:rFonts w:hint="eastAsia" w:eastAsia="方正仿宋_GBK"/>
          <w:sz w:val="33"/>
          <w:szCs w:val="33"/>
          <w:lang w:eastAsia="zh-CN"/>
        </w:rPr>
        <w:t>。</w:t>
      </w:r>
    </w:p>
    <w:p w14:paraId="1DEBBD07">
      <w:pPr>
        <w:widowControl/>
        <w:adjustRightInd w:val="0"/>
        <w:snapToGrid w:val="0"/>
        <w:spacing w:line="578" w:lineRule="exact"/>
        <w:ind w:firstLine="643" w:firstLineChars="200"/>
        <w:contextualSpacing/>
        <w:jc w:val="left"/>
        <w:rPr>
          <w:rFonts w:hint="eastAsia" w:ascii="Times New Roman" w:hAnsi="Times New Roman" w:eastAsia="仿宋_GB2312" w:cs="Times New Roman"/>
          <w:b/>
          <w:bCs/>
          <w:kern w:val="0"/>
          <w:sz w:val="32"/>
          <w:szCs w:val="32"/>
          <w:shd w:val="clear" w:color="auto" w:fill="FFFFFF"/>
          <w:lang w:val="zh-CN"/>
        </w:rPr>
      </w:pPr>
      <w:r>
        <w:rPr>
          <w:rFonts w:hint="default" w:eastAsia="仿宋_GB2312" w:cs="Times New Roman"/>
          <w:b/>
          <w:bCs/>
          <w:kern w:val="0"/>
          <w:sz w:val="32"/>
          <w:szCs w:val="32"/>
          <w:shd w:val="clear" w:color="auto" w:fill="FFFFFF"/>
          <w:lang w:val="en-US"/>
        </w:rPr>
        <w:t>2.</w:t>
      </w:r>
      <w:r>
        <w:rPr>
          <w:rFonts w:hint="eastAsia" w:ascii="Times New Roman" w:hAnsi="Times New Roman" w:eastAsia="仿宋_GB2312" w:cs="Times New Roman"/>
          <w:b/>
          <w:bCs/>
          <w:kern w:val="0"/>
          <w:sz w:val="32"/>
          <w:szCs w:val="32"/>
          <w:shd w:val="clear" w:color="auto" w:fill="FFFFFF"/>
          <w:lang w:val="zh-CN"/>
        </w:rPr>
        <w:t>项目应实现的具体绩效目标。</w:t>
      </w:r>
    </w:p>
    <w:p w14:paraId="1BD1BF67">
      <w:pPr>
        <w:widowControl/>
        <w:ind w:firstLine="660"/>
        <w:rPr>
          <w:rFonts w:eastAsia="方正仿宋_GBK"/>
          <w:color w:val="000000"/>
          <w:sz w:val="33"/>
          <w:szCs w:val="33"/>
        </w:rPr>
      </w:pPr>
      <w:r>
        <w:rPr>
          <w:rFonts w:hint="eastAsia" w:eastAsia="方正仿宋_GBK"/>
          <w:sz w:val="33"/>
          <w:szCs w:val="33"/>
          <w:lang w:val="en-US" w:eastAsia="zh-CN"/>
        </w:rPr>
        <w:t>机关办公楼修缮维护工程的质量符合国家相关质量验收规范规定，功能满足使用。</w:t>
      </w:r>
      <w:r>
        <w:rPr>
          <w:rFonts w:hint="eastAsia" w:eastAsia="方正仿宋_GBK"/>
          <w:sz w:val="33"/>
          <w:szCs w:val="33"/>
        </w:rPr>
        <w:t>加强</w:t>
      </w:r>
      <w:r>
        <w:rPr>
          <w:rFonts w:hint="eastAsia" w:eastAsia="方正仿宋_GBK"/>
          <w:sz w:val="33"/>
          <w:szCs w:val="33"/>
          <w:lang w:eastAsia="zh-CN"/>
        </w:rPr>
        <w:t>了</w:t>
      </w:r>
      <w:r>
        <w:rPr>
          <w:rFonts w:hint="eastAsia" w:eastAsia="方正仿宋_GBK"/>
          <w:sz w:val="33"/>
          <w:szCs w:val="33"/>
        </w:rPr>
        <w:t>办公区域的安全性，减少</w:t>
      </w:r>
      <w:r>
        <w:rPr>
          <w:rFonts w:hint="eastAsia" w:eastAsia="方正仿宋_GBK"/>
          <w:sz w:val="33"/>
          <w:szCs w:val="33"/>
          <w:lang w:eastAsia="zh-CN"/>
        </w:rPr>
        <w:t>了</w:t>
      </w:r>
      <w:r>
        <w:rPr>
          <w:rFonts w:hint="eastAsia" w:eastAsia="方正仿宋_GBK"/>
          <w:sz w:val="33"/>
          <w:szCs w:val="33"/>
        </w:rPr>
        <w:t>案件查办过程中的风险</w:t>
      </w:r>
      <w:r>
        <w:rPr>
          <w:rFonts w:hint="eastAsia" w:eastAsia="方正仿宋_GBK"/>
          <w:sz w:val="33"/>
          <w:szCs w:val="33"/>
          <w:lang w:eastAsia="zh-CN"/>
        </w:rPr>
        <w:t>，</w:t>
      </w:r>
      <w:r>
        <w:rPr>
          <w:rFonts w:hint="eastAsia" w:eastAsia="方正仿宋_GBK"/>
          <w:sz w:val="33"/>
          <w:szCs w:val="33"/>
        </w:rPr>
        <w:t>保证</w:t>
      </w:r>
      <w:r>
        <w:rPr>
          <w:rFonts w:hint="eastAsia" w:eastAsia="方正仿宋_GBK"/>
          <w:sz w:val="33"/>
          <w:szCs w:val="33"/>
          <w:lang w:eastAsia="zh-CN"/>
        </w:rPr>
        <w:t>了</w:t>
      </w:r>
      <w:r>
        <w:rPr>
          <w:rFonts w:hint="eastAsia" w:eastAsia="方正仿宋_GBK"/>
          <w:sz w:val="33"/>
          <w:szCs w:val="33"/>
        </w:rPr>
        <w:t>办公环境的干净舒适，提升</w:t>
      </w:r>
      <w:r>
        <w:rPr>
          <w:rFonts w:hint="eastAsia" w:eastAsia="方正仿宋_GBK"/>
          <w:sz w:val="33"/>
          <w:szCs w:val="33"/>
          <w:lang w:eastAsia="zh-CN"/>
        </w:rPr>
        <w:t>了</w:t>
      </w:r>
      <w:r>
        <w:rPr>
          <w:rFonts w:hint="eastAsia" w:eastAsia="方正仿宋_GBK"/>
          <w:sz w:val="33"/>
          <w:szCs w:val="33"/>
        </w:rPr>
        <w:t>单位工作人员、来访群众的满意度。</w:t>
      </w:r>
    </w:p>
    <w:p w14:paraId="1989FD27">
      <w:pPr>
        <w:widowControl/>
        <w:adjustRightInd w:val="0"/>
        <w:snapToGrid w:val="0"/>
        <w:spacing w:line="578" w:lineRule="exact"/>
        <w:ind w:firstLine="643" w:firstLineChars="200"/>
        <w:contextualSpacing/>
        <w:jc w:val="left"/>
        <w:rPr>
          <w:rFonts w:hint="eastAsia" w:eastAsia="仿宋_GB2312" w:cs="Times New Roman"/>
          <w:b/>
          <w:bCs/>
          <w:kern w:val="0"/>
          <w:sz w:val="32"/>
          <w:szCs w:val="32"/>
          <w:shd w:val="clear" w:color="auto" w:fill="FFFFFF"/>
          <w:lang w:val="en-US" w:eastAsia="zh-CN"/>
        </w:rPr>
      </w:pPr>
      <w:r>
        <w:rPr>
          <w:rFonts w:hint="default" w:eastAsia="仿宋_GB2312" w:cs="Times New Roman"/>
          <w:b/>
          <w:bCs/>
          <w:kern w:val="0"/>
          <w:sz w:val="32"/>
          <w:szCs w:val="32"/>
          <w:shd w:val="clear" w:color="auto" w:fill="FFFFFF"/>
          <w:lang w:val="en-US" w:eastAsia="zh-CN"/>
        </w:rPr>
        <w:t>3.</w:t>
      </w:r>
      <w:r>
        <w:rPr>
          <w:rFonts w:hint="eastAsia" w:eastAsia="仿宋_GB2312" w:cs="Times New Roman"/>
          <w:b/>
          <w:bCs/>
          <w:kern w:val="0"/>
          <w:sz w:val="32"/>
          <w:szCs w:val="32"/>
          <w:shd w:val="clear" w:color="auto" w:fill="FFFFFF"/>
          <w:lang w:val="en-US" w:eastAsia="zh-CN"/>
        </w:rPr>
        <w:t>申报内容与实际相符情况。</w:t>
      </w:r>
    </w:p>
    <w:p w14:paraId="01C09586">
      <w:pPr>
        <w:widowControl/>
        <w:numPr>
          <w:ilvl w:val="0"/>
          <w:numId w:val="0"/>
        </w:numPr>
        <w:adjustRightInd w:val="0"/>
        <w:snapToGrid w:val="0"/>
        <w:spacing w:line="578" w:lineRule="exact"/>
        <w:ind w:firstLine="640"/>
        <w:contextualSpacing/>
        <w:jc w:val="left"/>
        <w:rPr>
          <w:rFonts w:hint="eastAsia" w:eastAsia="方正仿宋_GBK"/>
          <w:sz w:val="33"/>
          <w:szCs w:val="33"/>
          <w:lang w:val="en-US" w:eastAsia="zh-CN"/>
        </w:rPr>
      </w:pPr>
      <w:r>
        <w:rPr>
          <w:rFonts w:hint="eastAsia" w:eastAsia="方正仿宋_GBK"/>
          <w:sz w:val="33"/>
          <w:szCs w:val="33"/>
          <w:lang w:val="en-US" w:eastAsia="zh-CN"/>
        </w:rPr>
        <w:t>项目申报内容与具体实施内容大致相符，严格按照绩效目标完成项目申报内容。</w:t>
      </w:r>
    </w:p>
    <w:p w14:paraId="5617C61B">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14:paraId="18D53149">
      <w:pPr>
        <w:widowControl/>
        <w:ind w:firstLine="660"/>
        <w:rPr>
          <w:rFonts w:hint="eastAsia" w:eastAsia="方正仿宋_GBK"/>
          <w:sz w:val="33"/>
          <w:szCs w:val="33"/>
          <w:lang w:val="en-US" w:eastAsia="zh-CN"/>
        </w:rPr>
      </w:pPr>
      <w:r>
        <w:rPr>
          <w:rFonts w:hint="eastAsia" w:eastAsia="方正仿宋_GBK"/>
          <w:sz w:val="33"/>
          <w:szCs w:val="33"/>
          <w:lang w:val="en-US" w:eastAsia="zh-CN"/>
        </w:rPr>
        <w:t>组织办公室工作人员和财务人员按照《盐边县财政局关于开展 2023年度部门整体支出的通知》相关要求和2023年提交至财政局的目标申报表（纪委监委机关办公楼修缮维护专项经费）进行自评。项目总体评价为优。</w:t>
      </w:r>
    </w:p>
    <w:p w14:paraId="71EDC9A9">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14:paraId="36B1CDFE">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14:paraId="60589652">
      <w:pPr>
        <w:widowControl/>
        <w:ind w:firstLine="660"/>
        <w:jc w:val="both"/>
        <w:rPr>
          <w:rFonts w:hint="eastAsia" w:eastAsia="方正仿宋_GBK"/>
          <w:color w:val="000000"/>
          <w:sz w:val="33"/>
          <w:szCs w:val="33"/>
          <w:lang w:val="zh-CN" w:eastAsia="zh-CN"/>
        </w:rPr>
      </w:pPr>
      <w:r>
        <w:rPr>
          <w:rFonts w:hint="eastAsia" w:eastAsia="方正仿宋_GBK"/>
          <w:sz w:val="33"/>
          <w:szCs w:val="33"/>
          <w:lang w:val="zh-CN" w:eastAsia="zh-CN"/>
        </w:rPr>
        <w:t>向县政府递交资金申请报告获得同意后，县财政局下达资金批复文件，文件号为盐财资行〔2023〕449号。</w:t>
      </w:r>
    </w:p>
    <w:p w14:paraId="60F0B6FF">
      <w:pPr>
        <w:adjustRightInd w:val="0"/>
        <w:snapToGrid w:val="0"/>
        <w:spacing w:line="578" w:lineRule="exact"/>
        <w:ind w:firstLine="720"/>
        <w:rPr>
          <w:rFonts w:ascii="仿宋_GB2312" w:hAnsi="宋体"/>
          <w:sz w:val="32"/>
          <w:szCs w:val="32"/>
          <w:lang w:val="zh-CN"/>
        </w:rPr>
      </w:pPr>
      <w:r>
        <w:rPr>
          <w:rFonts w:hint="eastAsia" w:ascii="楷体_GB2312" w:hAnsi="宋体" w:eastAsia="楷体_GB2312"/>
          <w:b/>
          <w:sz w:val="32"/>
          <w:szCs w:val="32"/>
          <w:lang w:val="zh-CN"/>
        </w:rPr>
        <w:t>（二）资金计划、到位及使用情况（可用表格形式反映）。</w:t>
      </w:r>
    </w:p>
    <w:p w14:paraId="51901C43">
      <w:pPr>
        <w:widowControl/>
        <w:adjustRightInd w:val="0"/>
        <w:snapToGrid w:val="0"/>
        <w:spacing w:line="578" w:lineRule="exact"/>
        <w:ind w:firstLine="643" w:firstLineChars="200"/>
        <w:contextualSpacing/>
        <w:jc w:val="left"/>
        <w:rPr>
          <w:rFonts w:hint="eastAsia" w:eastAsia="仿宋_GB2312" w:cs="Times New Roman"/>
          <w:b/>
          <w:bCs/>
          <w:kern w:val="0"/>
          <w:sz w:val="32"/>
          <w:szCs w:val="32"/>
          <w:shd w:val="clear" w:color="auto" w:fill="FFFFFF"/>
          <w:lang w:val="zh-CN"/>
        </w:rPr>
      </w:pPr>
      <w:r>
        <w:rPr>
          <w:rFonts w:hint="eastAsia" w:eastAsia="仿宋_GB2312" w:cs="Times New Roman"/>
          <w:b/>
          <w:bCs/>
          <w:kern w:val="0"/>
          <w:sz w:val="32"/>
          <w:szCs w:val="32"/>
          <w:shd w:val="clear" w:color="auto" w:fill="FFFFFF"/>
          <w:lang w:val="zh-CN"/>
        </w:rPr>
        <w:t>1</w:t>
      </w:r>
      <w:r>
        <w:rPr>
          <w:rFonts w:hint="default" w:eastAsia="仿宋_GB2312" w:cs="Times New Roman"/>
          <w:b/>
          <w:bCs/>
          <w:kern w:val="0"/>
          <w:sz w:val="32"/>
          <w:szCs w:val="32"/>
          <w:shd w:val="clear" w:color="auto" w:fill="FFFFFF"/>
          <w:lang w:val="en-US"/>
        </w:rPr>
        <w:t>.</w:t>
      </w:r>
      <w:r>
        <w:rPr>
          <w:rFonts w:hint="eastAsia" w:eastAsia="仿宋_GB2312" w:cs="Times New Roman"/>
          <w:b/>
          <w:bCs/>
          <w:kern w:val="0"/>
          <w:sz w:val="32"/>
          <w:szCs w:val="32"/>
          <w:shd w:val="clear" w:color="auto" w:fill="FFFFFF"/>
          <w:lang w:val="zh-CN"/>
        </w:rPr>
        <w:t>资金计划。</w:t>
      </w:r>
    </w:p>
    <w:p w14:paraId="1A57C819">
      <w:pPr>
        <w:pStyle w:val="2"/>
        <w:rPr>
          <w:rFonts w:hint="eastAsia" w:eastAsia="仿宋_GB2312"/>
          <w:lang w:val="en-US" w:eastAsia="zh-CN"/>
        </w:rPr>
      </w:pPr>
      <w:r>
        <w:rPr>
          <w:rFonts w:hint="eastAsia" w:hAnsi="仿宋_GB2312" w:cs="仿宋_GB2312"/>
          <w:kern w:val="0"/>
          <w:sz w:val="32"/>
          <w:szCs w:val="32"/>
          <w:shd w:val="clear" w:color="auto" w:fill="FFFFFF"/>
          <w:lang w:val="en-US" w:eastAsia="zh-CN"/>
        </w:rPr>
        <w:t xml:space="preserve">   </w:t>
      </w:r>
      <w:r>
        <w:rPr>
          <w:rFonts w:hint="eastAsia" w:ascii="Times New Roman" w:hAnsi="Times New Roman" w:eastAsia="方正仿宋_GBK" w:cs="Times New Roman"/>
          <w:kern w:val="2"/>
          <w:sz w:val="33"/>
          <w:szCs w:val="33"/>
          <w:lang w:val="en-US" w:eastAsia="zh-CN" w:bidi="ar-SA"/>
        </w:rPr>
        <w:t xml:space="preserve"> 资金为县级财政资金。</w:t>
      </w:r>
    </w:p>
    <w:p w14:paraId="0B81AD3D">
      <w:pPr>
        <w:widowControl/>
        <w:adjustRightInd w:val="0"/>
        <w:snapToGrid w:val="0"/>
        <w:spacing w:line="578" w:lineRule="exact"/>
        <w:ind w:firstLine="643" w:firstLineChars="200"/>
        <w:contextualSpacing/>
        <w:jc w:val="left"/>
        <w:rPr>
          <w:rFonts w:hint="eastAsia" w:eastAsia="仿宋_GB2312" w:cs="Times New Roman"/>
          <w:b/>
          <w:bCs/>
          <w:kern w:val="0"/>
          <w:sz w:val="32"/>
          <w:szCs w:val="32"/>
          <w:shd w:val="clear" w:color="auto" w:fill="FFFFFF"/>
          <w:lang w:val="zh-CN"/>
        </w:rPr>
      </w:pPr>
      <w:r>
        <w:rPr>
          <w:rFonts w:hint="default" w:eastAsia="仿宋_GB2312" w:cs="Times New Roman"/>
          <w:b/>
          <w:bCs/>
          <w:kern w:val="0"/>
          <w:sz w:val="32"/>
          <w:szCs w:val="32"/>
          <w:shd w:val="clear" w:color="auto" w:fill="FFFFFF"/>
          <w:lang w:val="en-US"/>
        </w:rPr>
        <w:t>2.</w:t>
      </w:r>
      <w:r>
        <w:rPr>
          <w:rFonts w:hint="eastAsia" w:eastAsia="仿宋_GB2312" w:cs="Times New Roman"/>
          <w:b/>
          <w:bCs/>
          <w:kern w:val="0"/>
          <w:sz w:val="32"/>
          <w:szCs w:val="32"/>
          <w:shd w:val="clear" w:color="auto" w:fill="FFFFFF"/>
          <w:lang w:val="zh-CN"/>
        </w:rPr>
        <w:t>资金到位。</w:t>
      </w:r>
    </w:p>
    <w:p w14:paraId="5C6F701D">
      <w:pPr>
        <w:pStyle w:val="2"/>
        <w:rPr>
          <w:rFonts w:hint="eastAsia" w:eastAsia="仿宋_GB2312"/>
          <w:lang w:val="en-US" w:eastAsia="zh-CN"/>
        </w:rPr>
      </w:pPr>
      <w:r>
        <w:rPr>
          <w:rFonts w:hint="eastAsia" w:hAnsi="仿宋_GB2312" w:cs="仿宋_GB2312"/>
          <w:kern w:val="0"/>
          <w:sz w:val="32"/>
          <w:szCs w:val="32"/>
          <w:shd w:val="clear" w:color="auto" w:fill="FFFFFF"/>
          <w:lang w:val="en-US" w:eastAsia="zh-CN"/>
        </w:rPr>
        <w:t xml:space="preserve">    </w:t>
      </w:r>
      <w:r>
        <w:rPr>
          <w:rFonts w:hint="eastAsia" w:ascii="Times New Roman" w:hAnsi="Times New Roman" w:eastAsia="方正仿宋_GBK" w:cs="Times New Roman"/>
          <w:kern w:val="2"/>
          <w:sz w:val="33"/>
          <w:szCs w:val="33"/>
          <w:lang w:val="en-US" w:eastAsia="zh-CN" w:bidi="ar-SA"/>
        </w:rPr>
        <w:t>资金到位及时。</w:t>
      </w:r>
    </w:p>
    <w:p w14:paraId="0DFBCFB5">
      <w:pPr>
        <w:widowControl/>
        <w:numPr>
          <w:ilvl w:val="0"/>
          <w:numId w:val="0"/>
        </w:numPr>
        <w:adjustRightInd w:val="0"/>
        <w:snapToGrid w:val="0"/>
        <w:spacing w:line="578" w:lineRule="exact"/>
        <w:ind w:firstLine="640"/>
        <w:contextualSpacing/>
        <w:jc w:val="left"/>
        <w:rPr>
          <w:rFonts w:hint="eastAsia" w:ascii="仿宋_GB2312" w:hAnsi="仿宋_GB2312" w:eastAsia="仿宋_GB2312" w:cs="仿宋_GB2312"/>
          <w:kern w:val="0"/>
          <w:sz w:val="32"/>
          <w:szCs w:val="32"/>
          <w:shd w:val="clear" w:color="auto" w:fill="FFFFFF"/>
          <w:lang w:val="zh-CN"/>
        </w:rPr>
      </w:pPr>
      <w:r>
        <w:rPr>
          <w:rFonts w:hint="default" w:eastAsia="仿宋_GB2312" w:cs="Times New Roman"/>
          <w:b/>
          <w:bCs/>
          <w:kern w:val="0"/>
          <w:sz w:val="32"/>
          <w:szCs w:val="32"/>
          <w:shd w:val="clear" w:color="auto" w:fill="FFFFFF"/>
          <w:lang w:val="en-US"/>
        </w:rPr>
        <w:t>3.</w:t>
      </w:r>
      <w:r>
        <w:rPr>
          <w:rFonts w:hint="eastAsia" w:eastAsia="仿宋_GB2312" w:cs="Times New Roman"/>
          <w:b/>
          <w:bCs/>
          <w:kern w:val="0"/>
          <w:sz w:val="32"/>
          <w:szCs w:val="32"/>
          <w:shd w:val="clear" w:color="auto" w:fill="FFFFFF"/>
          <w:lang w:val="zh-CN"/>
        </w:rPr>
        <w:t>资金使用。</w:t>
      </w:r>
    </w:p>
    <w:p w14:paraId="393BBE71">
      <w:pPr>
        <w:pStyle w:val="2"/>
        <w:rPr>
          <w:rFonts w:hint="eastAsia" w:ascii="Times New Roman" w:hAnsi="Times New Roman" w:eastAsia="方正仿宋_GBK" w:cs="Times New Roman"/>
          <w:kern w:val="2"/>
          <w:sz w:val="33"/>
          <w:szCs w:val="33"/>
          <w:lang w:val="zh-CN" w:eastAsia="zh-CN" w:bidi="ar-SA"/>
        </w:rPr>
      </w:pPr>
      <w:r>
        <w:rPr>
          <w:rFonts w:hint="eastAsia" w:ascii="Times New Roman" w:eastAsia="方正仿宋_GBK" w:cs="Times New Roman"/>
          <w:kern w:val="2"/>
          <w:sz w:val="33"/>
          <w:szCs w:val="33"/>
          <w:lang w:val="en-US" w:eastAsia="zh-CN" w:bidi="ar-SA"/>
        </w:rPr>
        <w:t xml:space="preserve">    </w:t>
      </w:r>
      <w:r>
        <w:rPr>
          <w:rFonts w:hint="eastAsia" w:ascii="Times New Roman" w:hAnsi="Times New Roman" w:eastAsia="方正仿宋_GBK" w:cs="Times New Roman"/>
          <w:kern w:val="2"/>
          <w:sz w:val="33"/>
          <w:szCs w:val="33"/>
          <w:lang w:val="zh-CN" w:eastAsia="zh-CN" w:bidi="ar-SA"/>
        </w:rPr>
        <w:t>全年进行了三次修缮，第一次办公楼设施维修，花费</w:t>
      </w:r>
      <w:r>
        <w:rPr>
          <w:rFonts w:hint="eastAsia" w:ascii="Times New Roman" w:hAnsi="Times New Roman" w:eastAsia="方正仿宋_GBK" w:cs="Times New Roman"/>
          <w:kern w:val="2"/>
          <w:sz w:val="33"/>
          <w:szCs w:val="33"/>
          <w:lang w:val="en-US" w:eastAsia="zh-CN" w:bidi="ar-SA"/>
        </w:rPr>
        <w:t>0.4万元；第二次办公楼维护，花费0.19万元；第三次机关办公楼修缮维护工程，</w:t>
      </w:r>
      <w:r>
        <w:rPr>
          <w:rFonts w:hint="eastAsia" w:ascii="Times New Roman" w:hAnsi="Times New Roman" w:eastAsia="方正仿宋_GBK" w:cs="Times New Roman"/>
          <w:kern w:val="2"/>
          <w:sz w:val="33"/>
          <w:szCs w:val="33"/>
          <w:lang w:val="zh-CN" w:eastAsia="zh-CN" w:bidi="ar-SA"/>
        </w:rPr>
        <w:t>根据合同要求，在</w:t>
      </w:r>
      <w:r>
        <w:rPr>
          <w:rFonts w:hint="eastAsia" w:ascii="Times New Roman" w:hAnsi="Times New Roman" w:eastAsia="方正仿宋_GBK" w:cs="Times New Roman"/>
          <w:kern w:val="2"/>
          <w:sz w:val="33"/>
          <w:szCs w:val="33"/>
          <w:lang w:val="en-US" w:eastAsia="zh-CN" w:bidi="ar-SA"/>
        </w:rPr>
        <w:t>2023年11月24日开工，2023年12月13日竣工。</w:t>
      </w:r>
      <w:r>
        <w:rPr>
          <w:rFonts w:hint="eastAsia" w:ascii="Times New Roman" w:hAnsi="Times New Roman" w:eastAsia="方正仿宋_GBK" w:cs="Times New Roman"/>
          <w:kern w:val="2"/>
          <w:sz w:val="33"/>
          <w:szCs w:val="33"/>
          <w:lang w:val="zh-CN" w:eastAsia="zh-CN" w:bidi="ar-SA"/>
        </w:rPr>
        <w:t>验收合格后，</w:t>
      </w:r>
      <w:r>
        <w:rPr>
          <w:rFonts w:hint="eastAsia" w:ascii="Times New Roman" w:hAnsi="Times New Roman" w:eastAsia="方正仿宋_GBK" w:cs="Times New Roman"/>
          <w:kern w:val="2"/>
          <w:sz w:val="33"/>
          <w:szCs w:val="33"/>
          <w:lang w:val="en-US" w:eastAsia="zh-CN" w:bidi="ar-SA"/>
        </w:rPr>
        <w:t>19.20元的项目经费</w:t>
      </w:r>
      <w:r>
        <w:rPr>
          <w:rFonts w:hint="eastAsia" w:ascii="Times New Roman" w:hAnsi="Times New Roman" w:eastAsia="方正仿宋_GBK" w:cs="Times New Roman"/>
          <w:kern w:val="2"/>
          <w:sz w:val="33"/>
          <w:szCs w:val="33"/>
          <w:lang w:val="zh-CN" w:eastAsia="zh-CN" w:bidi="ar-SA"/>
        </w:rPr>
        <w:t>在</w:t>
      </w:r>
      <w:r>
        <w:rPr>
          <w:rFonts w:hint="eastAsia" w:ascii="Times New Roman" w:hAnsi="Times New Roman" w:eastAsia="方正仿宋_GBK" w:cs="Times New Roman"/>
          <w:kern w:val="2"/>
          <w:sz w:val="33"/>
          <w:szCs w:val="33"/>
          <w:lang w:val="en-US" w:eastAsia="zh-CN" w:bidi="ar-SA"/>
        </w:rPr>
        <w:t>2023年12月拨付给施工单位，年末无结转结余。资金使用安全、规范，严格按照相关政策进行支付，与预算相符。</w:t>
      </w:r>
    </w:p>
    <w:p w14:paraId="149963A9">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14:paraId="1D3A605A">
      <w:pPr>
        <w:ind w:firstLine="660" w:firstLineChars="200"/>
        <w:rPr>
          <w:rFonts w:hint="eastAsia" w:ascii="Times New Roman" w:hAnsi="Times New Roman" w:eastAsia="方正仿宋_GBK" w:cs="Times New Roman"/>
          <w:kern w:val="2"/>
          <w:sz w:val="33"/>
          <w:szCs w:val="33"/>
          <w:lang w:val="en-US" w:eastAsia="zh-CN" w:bidi="ar-SA"/>
        </w:rPr>
      </w:pPr>
      <w:r>
        <w:rPr>
          <w:rFonts w:hint="eastAsia" w:ascii="Times New Roman" w:hAnsi="Times New Roman" w:eastAsia="方正仿宋_GBK" w:cs="Times New Roman"/>
          <w:kern w:val="2"/>
          <w:sz w:val="33"/>
          <w:szCs w:val="33"/>
          <w:lang w:val="en-US" w:eastAsia="zh-CN" w:bidi="ar-SA"/>
        </w:rPr>
        <w:t>我委财务管理制度健全，严格执行财务管理制度，账务处理及时，会计核算等均符合财政工作要求。</w:t>
      </w:r>
    </w:p>
    <w:p w14:paraId="1C188099">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14:paraId="6481D168">
      <w:pPr>
        <w:numPr>
          <w:ilvl w:val="0"/>
          <w:numId w:val="4"/>
        </w:num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项目组织架构及实施流程。</w:t>
      </w:r>
    </w:p>
    <w:p w14:paraId="5211AC7E">
      <w:pPr>
        <w:ind w:firstLine="660" w:firstLineChars="200"/>
        <w:rPr>
          <w:rFonts w:hint="eastAsia" w:ascii="Times New Roman" w:hAnsi="Times New Roman" w:eastAsia="方正仿宋_GBK" w:cs="Times New Roman"/>
          <w:kern w:val="2"/>
          <w:sz w:val="33"/>
          <w:szCs w:val="33"/>
          <w:lang w:val="en-US" w:eastAsia="zh-CN" w:bidi="ar-SA"/>
        </w:rPr>
      </w:pPr>
      <w:r>
        <w:rPr>
          <w:rFonts w:hint="eastAsia" w:ascii="Times New Roman" w:hAnsi="Times New Roman" w:eastAsia="方正仿宋_GBK" w:cs="Times New Roman"/>
          <w:kern w:val="2"/>
          <w:sz w:val="33"/>
          <w:szCs w:val="33"/>
          <w:lang w:val="en-US" w:eastAsia="zh-CN" w:bidi="ar-SA"/>
        </w:rPr>
        <w:t>我委向县政府提交资金申请报告，获得同意后，县财政局下达资金，由办公室组织实施具体业务，将报销单据交给财务人员，财务人员严格按照财经纪律进行报销。</w:t>
      </w:r>
    </w:p>
    <w:p w14:paraId="73F11395">
      <w:pPr>
        <w:pStyle w:val="2"/>
        <w:numPr>
          <w:ilvl w:val="0"/>
          <w:numId w:val="0"/>
        </w:numPr>
        <w:ind w:firstLine="600"/>
        <w:rPr>
          <w:rFonts w:hint="eastAsia" w:ascii="楷体_GB2312" w:hAnsi="宋体" w:eastAsia="楷体_GB2312"/>
          <w:b/>
          <w:sz w:val="32"/>
          <w:szCs w:val="32"/>
          <w:lang w:val="zh-CN"/>
        </w:rPr>
      </w:pPr>
      <w:r>
        <w:rPr>
          <w:rFonts w:hint="eastAsia" w:ascii="楷体_GB2312" w:hAnsi="宋体" w:eastAsia="楷体_GB2312"/>
          <w:b/>
          <w:sz w:val="32"/>
          <w:szCs w:val="32"/>
          <w:lang w:val="zh-CN"/>
        </w:rPr>
        <w:t>（二）项目管理情况。</w:t>
      </w:r>
    </w:p>
    <w:p w14:paraId="6B886619">
      <w:pPr>
        <w:ind w:firstLine="660" w:firstLineChars="200"/>
        <w:rPr>
          <w:rFonts w:hint="eastAsia" w:ascii="Times New Roman" w:hAnsi="Times New Roman" w:eastAsia="方正仿宋_GBK" w:cs="Times New Roman"/>
          <w:kern w:val="2"/>
          <w:sz w:val="33"/>
          <w:szCs w:val="33"/>
          <w:lang w:val="en-US" w:eastAsia="zh-CN" w:bidi="ar-SA"/>
        </w:rPr>
      </w:pPr>
      <w:r>
        <w:rPr>
          <w:rFonts w:hint="eastAsia" w:ascii="Times New Roman" w:hAnsi="Times New Roman" w:eastAsia="方正仿宋_GBK" w:cs="Times New Roman"/>
          <w:kern w:val="2"/>
          <w:sz w:val="33"/>
          <w:szCs w:val="33"/>
          <w:lang w:val="en-US" w:eastAsia="zh-CN" w:bidi="ar-SA"/>
        </w:rPr>
        <w:t>我委在第三次机关办公楼修缮维护工程中，进行了施工方比选，严格按照流程施工，由办公室监督，竣工后验收，工程质量符合国家相关质量验收规范规定，功能满足使用，然后全额拨款，对方收到工程结算款后30天内上缴工程保修金3%，在保修期届满后返还。</w:t>
      </w:r>
    </w:p>
    <w:p w14:paraId="55512209">
      <w:pPr>
        <w:numPr>
          <w:ilvl w:val="0"/>
          <w:numId w:val="5"/>
        </w:num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项目监管情况。</w:t>
      </w:r>
    </w:p>
    <w:p w14:paraId="640CB8CA">
      <w:pPr>
        <w:ind w:firstLine="660" w:firstLineChars="200"/>
        <w:rPr>
          <w:rFonts w:hint="eastAsia" w:ascii="Times New Roman" w:hAnsi="Times New Roman" w:eastAsia="方正仿宋_GBK" w:cs="Times New Roman"/>
          <w:kern w:val="2"/>
          <w:sz w:val="33"/>
          <w:szCs w:val="33"/>
          <w:lang w:val="en-US" w:eastAsia="zh-CN" w:bidi="ar-SA"/>
        </w:rPr>
      </w:pPr>
      <w:r>
        <w:rPr>
          <w:rFonts w:hint="eastAsia" w:ascii="Times New Roman" w:hAnsi="Times New Roman" w:eastAsia="方正仿宋_GBK" w:cs="Times New Roman"/>
          <w:kern w:val="2"/>
          <w:sz w:val="33"/>
          <w:szCs w:val="33"/>
          <w:lang w:val="en-US" w:eastAsia="zh-CN" w:bidi="ar-SA"/>
        </w:rPr>
        <w:t xml:space="preserve"> 严格按照财务相关程序、单位内部工作流程进行项目监管，及时请示汇报领导，未出现监管纰漏。</w:t>
      </w:r>
    </w:p>
    <w:p w14:paraId="7B3AC9B4">
      <w:pPr>
        <w:numPr>
          <w:ilvl w:val="0"/>
          <w:numId w:val="0"/>
        </w:numPr>
        <w:adjustRightInd w:val="0"/>
        <w:snapToGrid w:val="0"/>
        <w:spacing w:line="578" w:lineRule="exact"/>
        <w:rPr>
          <w:rFonts w:ascii="仿宋_GB2312" w:hAnsi="宋体"/>
          <w:sz w:val="32"/>
          <w:szCs w:val="32"/>
          <w:lang w:val="zh-CN"/>
        </w:rPr>
      </w:pPr>
      <w:r>
        <w:rPr>
          <w:rFonts w:hint="eastAsia" w:ascii="黑体" w:hAnsi="宋体" w:eastAsia="黑体"/>
          <w:sz w:val="32"/>
          <w:szCs w:val="32"/>
          <w:lang w:val="en-US" w:eastAsia="zh-CN"/>
        </w:rPr>
        <w:t xml:space="preserve">     </w:t>
      </w:r>
      <w:r>
        <w:rPr>
          <w:rFonts w:hint="eastAsia" w:ascii="黑体" w:hAnsi="宋体" w:eastAsia="黑体"/>
          <w:sz w:val="32"/>
          <w:szCs w:val="32"/>
        </w:rPr>
        <w:t>四、项目绩效情况</w:t>
      </w:r>
      <w:r>
        <w:rPr>
          <w:rFonts w:hint="eastAsia" w:ascii="仿宋_GB2312" w:hAnsi="宋体"/>
          <w:sz w:val="32"/>
          <w:szCs w:val="32"/>
          <w:lang w:val="zh-CN"/>
        </w:rPr>
        <w:tab/>
      </w:r>
    </w:p>
    <w:p w14:paraId="12F45107">
      <w:pPr>
        <w:numPr>
          <w:ilvl w:val="0"/>
          <w:numId w:val="6"/>
        </w:num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项目完成情况。</w:t>
      </w:r>
    </w:p>
    <w:p w14:paraId="3BB2B292">
      <w:pPr>
        <w:pStyle w:val="2"/>
        <w:widowControl w:val="0"/>
        <w:numPr>
          <w:ilvl w:val="0"/>
          <w:numId w:val="0"/>
        </w:numPr>
        <w:spacing w:beforeLines="30"/>
        <w:jc w:val="both"/>
        <w:rPr>
          <w:rFonts w:hint="eastAsia" w:ascii="Times New Roman" w:hAnsi="Times New Roman" w:eastAsia="方正仿宋_GBK" w:cs="Times New Roman"/>
          <w:kern w:val="2"/>
          <w:sz w:val="33"/>
          <w:szCs w:val="33"/>
          <w:lang w:val="en-US" w:eastAsia="zh-CN" w:bidi="ar-SA"/>
        </w:rPr>
      </w:pPr>
      <w:r>
        <w:rPr>
          <w:rFonts w:hint="eastAsia"/>
          <w:lang w:val="en-US" w:eastAsia="zh-CN"/>
        </w:rPr>
        <w:t xml:space="preserve">   </w:t>
      </w:r>
      <w:r>
        <w:rPr>
          <w:rFonts w:hint="eastAsia" w:ascii="Times New Roman" w:hAnsi="Times New Roman" w:eastAsia="方正仿宋_GBK" w:cs="Times New Roman"/>
          <w:kern w:val="2"/>
          <w:sz w:val="33"/>
          <w:szCs w:val="33"/>
          <w:lang w:val="en-US" w:eastAsia="zh-CN" w:bidi="ar-SA"/>
        </w:rPr>
        <w:t xml:space="preserve">  </w:t>
      </w:r>
      <w:r>
        <w:rPr>
          <w:rFonts w:hint="eastAsia" w:ascii="Times New Roman" w:hAnsi="Times New Roman" w:eastAsia="方正仿宋_GBK" w:cs="Times New Roman"/>
          <w:kern w:val="2"/>
          <w:sz w:val="33"/>
          <w:szCs w:val="33"/>
          <w:lang w:val="zh-CN" w:eastAsia="zh-CN" w:bidi="ar-SA"/>
        </w:rPr>
        <w:t>机关办公楼修缮维护在</w:t>
      </w:r>
      <w:r>
        <w:rPr>
          <w:rFonts w:hint="eastAsia" w:ascii="Times New Roman" w:hAnsi="Times New Roman" w:eastAsia="方正仿宋_GBK" w:cs="Times New Roman"/>
          <w:kern w:val="2"/>
          <w:sz w:val="33"/>
          <w:szCs w:val="33"/>
          <w:lang w:val="en-US" w:eastAsia="zh-CN" w:bidi="ar-SA"/>
        </w:rPr>
        <w:t>2023年12月完成，工程质量符合国家机关质量验收规范规定，功能满足使用，全年使用资金19.79万元，资金无结余，预算执行率100%。</w:t>
      </w:r>
    </w:p>
    <w:p w14:paraId="63DF74A4">
      <w:pPr>
        <w:numPr>
          <w:ilvl w:val="0"/>
          <w:numId w:val="6"/>
        </w:numPr>
        <w:adjustRightInd w:val="0"/>
        <w:snapToGrid w:val="0"/>
        <w:spacing w:line="578" w:lineRule="exact"/>
        <w:ind w:firstLine="720" w:firstLineChars="0"/>
        <w:rPr>
          <w:rFonts w:hint="eastAsia" w:ascii="楷体_GB2312" w:hAnsi="宋体" w:eastAsia="楷体_GB2312"/>
          <w:b/>
          <w:sz w:val="32"/>
          <w:szCs w:val="32"/>
          <w:lang w:val="zh-CN"/>
        </w:rPr>
      </w:pPr>
      <w:r>
        <w:rPr>
          <w:rFonts w:hint="eastAsia" w:ascii="楷体_GB2312" w:hAnsi="宋体" w:eastAsia="楷体_GB2312"/>
          <w:b/>
          <w:sz w:val="32"/>
          <w:szCs w:val="32"/>
          <w:lang w:val="zh-CN"/>
        </w:rPr>
        <w:t>项目效益情况。</w:t>
      </w:r>
    </w:p>
    <w:p w14:paraId="1EC6985E">
      <w:pPr>
        <w:ind w:firstLine="640" w:firstLineChars="200"/>
        <w:rPr>
          <w:rFonts w:hint="eastAsia" w:ascii="Times New Roman" w:hAnsi="Times New Roman" w:eastAsia="方正仿宋_GBK" w:cs="Times New Roman"/>
          <w:kern w:val="2"/>
          <w:sz w:val="33"/>
          <w:szCs w:val="33"/>
          <w:lang w:val="en-US" w:eastAsia="zh-CN" w:bidi="ar-SA"/>
        </w:rPr>
      </w:pPr>
      <w:r>
        <w:rPr>
          <w:rFonts w:hint="eastAsia" w:ascii="Times New Roman" w:hAnsi="Times New Roman" w:eastAsia="仿宋_GB2312" w:cs="Times New Roman"/>
          <w:color w:val="auto"/>
          <w:kern w:val="0"/>
          <w:sz w:val="32"/>
          <w:szCs w:val="32"/>
          <w:lang w:val="en-US" w:eastAsia="zh-CN" w:bidi="ar-SA"/>
        </w:rPr>
        <w:t xml:space="preserve"> </w:t>
      </w:r>
      <w:r>
        <w:rPr>
          <w:rFonts w:hint="eastAsia" w:ascii="Times New Roman" w:hAnsi="Times New Roman" w:eastAsia="方正仿宋_GBK" w:cs="Times New Roman"/>
          <w:kern w:val="2"/>
          <w:sz w:val="33"/>
          <w:szCs w:val="33"/>
          <w:lang w:val="en-US" w:eastAsia="zh-CN" w:bidi="ar-SA"/>
        </w:rPr>
        <w:t>加强了办公区域的安全性，减少了案件查办过程中的风险，随时保证办公环境的干净舒适，提升了单位工作人员、来访群众的满意度。</w:t>
      </w:r>
    </w:p>
    <w:p w14:paraId="7B4FCAF9">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14:paraId="53FF909E">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（一）评价结论。</w:t>
      </w:r>
    </w:p>
    <w:p w14:paraId="00704F71">
      <w:pPr>
        <w:pStyle w:val="2"/>
        <w:rPr>
          <w:rFonts w:hint="eastAsia" w:ascii="Times New Roman" w:hAnsi="Times New Roman" w:eastAsia="方正仿宋_GBK" w:cs="Times New Roman"/>
          <w:kern w:val="2"/>
          <w:sz w:val="33"/>
          <w:szCs w:val="33"/>
          <w:lang w:val="en-US" w:eastAsia="zh-CN" w:bidi="ar-SA"/>
        </w:rPr>
      </w:pPr>
      <w:r>
        <w:rPr>
          <w:rFonts w:hint="eastAsia" w:ascii="楷体_GB2312" w:hAnsi="宋体" w:eastAsia="楷体_GB2312"/>
          <w:b/>
          <w:sz w:val="32"/>
          <w:szCs w:val="32"/>
          <w:lang w:val="en-US" w:eastAsia="zh-CN"/>
        </w:rPr>
        <w:t xml:space="preserve">   </w:t>
      </w:r>
      <w:r>
        <w:rPr>
          <w:rFonts w:hint="eastAsia" w:ascii="Times New Roman" w:hAnsi="Times New Roman" w:eastAsia="方正仿宋_GBK" w:cs="Times New Roman"/>
          <w:kern w:val="2"/>
          <w:sz w:val="33"/>
          <w:szCs w:val="33"/>
          <w:lang w:val="en-US" w:eastAsia="zh-CN" w:bidi="ar-SA"/>
        </w:rPr>
        <w:t xml:space="preserve"> 使用科学合理，依据充分，管理较为规范，完成效果好，实施后达到了预期目的，经评价为优。</w:t>
      </w:r>
    </w:p>
    <w:p w14:paraId="4E5D5CCC">
      <w:pPr>
        <w:numPr>
          <w:ilvl w:val="0"/>
          <w:numId w:val="7"/>
        </w:num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存在的问题。</w:t>
      </w:r>
    </w:p>
    <w:p w14:paraId="60BF499D">
      <w:pPr>
        <w:pStyle w:val="2"/>
        <w:numPr>
          <w:ilvl w:val="0"/>
          <w:numId w:val="0"/>
        </w:numPr>
        <w:rPr>
          <w:rFonts w:hint="eastAsia" w:ascii="Times New Roman" w:hAnsi="Times New Roman" w:eastAsia="方正仿宋_GBK" w:cs="Times New Roman"/>
          <w:kern w:val="2"/>
          <w:sz w:val="33"/>
          <w:szCs w:val="33"/>
          <w:lang w:val="en-US" w:eastAsia="zh-CN" w:bidi="ar-SA"/>
        </w:rPr>
      </w:pPr>
      <w:r>
        <w:rPr>
          <w:rFonts w:hint="eastAsia"/>
          <w:lang w:val="en-US" w:eastAsia="zh-CN"/>
        </w:rPr>
        <w:t xml:space="preserve">    </w:t>
      </w:r>
      <w:r>
        <w:rPr>
          <w:rFonts w:hint="eastAsia" w:ascii="Times New Roman" w:hAnsi="Times New Roman" w:eastAsia="方正仿宋_GBK" w:cs="Times New Roman"/>
          <w:kern w:val="2"/>
          <w:sz w:val="33"/>
          <w:szCs w:val="33"/>
          <w:lang w:val="en-US" w:eastAsia="zh-CN" w:bidi="ar-SA"/>
        </w:rPr>
        <w:t xml:space="preserve"> 无。</w:t>
      </w:r>
    </w:p>
    <w:p w14:paraId="4F618D6D">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14:paraId="41D3AB9A">
      <w:pPr>
        <w:ind w:firstLine="660" w:firstLineChars="200"/>
        <w:rPr>
          <w:rFonts w:hint="eastAsia" w:ascii="Times New Roman" w:hAnsi="Times New Roman" w:eastAsia="方正仿宋_GBK" w:cs="Times New Roman"/>
          <w:kern w:val="2"/>
          <w:sz w:val="33"/>
          <w:szCs w:val="33"/>
          <w:lang w:val="en-US" w:eastAsia="zh-CN" w:bidi="ar-SA"/>
        </w:rPr>
      </w:pPr>
      <w:r>
        <w:rPr>
          <w:rFonts w:hint="eastAsia" w:ascii="Times New Roman" w:hAnsi="Times New Roman" w:eastAsia="方正仿宋_GBK" w:cs="Times New Roman"/>
          <w:kern w:val="2"/>
          <w:sz w:val="33"/>
          <w:szCs w:val="33"/>
          <w:lang w:val="en-US" w:eastAsia="zh-CN" w:bidi="ar-SA"/>
        </w:rPr>
        <w:t xml:space="preserve"> 无。</w:t>
      </w:r>
    </w:p>
    <w:p w14:paraId="21B3A90A">
      <w:pPr>
        <w:pStyle w:val="3"/>
        <w:jc w:val="center"/>
        <w:rPr>
          <w:rFonts w:hint="eastAsia" w:ascii="黑体" w:hAnsi="黑体" w:eastAsia="黑体"/>
        </w:rPr>
      </w:pPr>
    </w:p>
    <w:p w14:paraId="16D115B6">
      <w:pPr>
        <w:pStyle w:val="3"/>
        <w:jc w:val="center"/>
        <w:rPr>
          <w:rFonts w:ascii="黑体" w:hAnsi="黑体" w:eastAsia="黑体"/>
        </w:rPr>
      </w:pPr>
      <w:r>
        <w:rPr>
          <w:rFonts w:hint="eastAsia" w:ascii="黑体" w:hAnsi="黑体" w:eastAsia="黑体"/>
          <w:b w:val="0"/>
          <w:bCs w:val="0"/>
        </w:rPr>
        <w:t>第五部分 附表</w:t>
      </w:r>
    </w:p>
    <w:p w14:paraId="20F15D22">
      <w:pPr>
        <w:rPr>
          <w:rFonts w:ascii="仿宋" w:hAnsi="仿宋" w:eastAsia="仿宋"/>
          <w:sz w:val="32"/>
          <w:szCs w:val="32"/>
        </w:rPr>
      </w:pPr>
      <w:r>
        <w:rPr>
          <w:rFonts w:hint="eastAsia" w:ascii="仿宋" w:hAnsi="仿宋" w:eastAsia="仿宋"/>
          <w:sz w:val="32"/>
          <w:szCs w:val="32"/>
        </w:rPr>
        <w:t>一、收入支出决算总表</w:t>
      </w:r>
    </w:p>
    <w:p w14:paraId="1ED8C371">
      <w:pPr>
        <w:rPr>
          <w:rFonts w:ascii="仿宋" w:hAnsi="仿宋" w:eastAsia="仿宋"/>
          <w:sz w:val="32"/>
          <w:szCs w:val="32"/>
        </w:rPr>
      </w:pPr>
      <w:r>
        <w:rPr>
          <w:rFonts w:hint="eastAsia" w:ascii="仿宋" w:hAnsi="仿宋" w:eastAsia="仿宋"/>
          <w:sz w:val="32"/>
          <w:szCs w:val="32"/>
        </w:rPr>
        <w:t>二、收入决算表</w:t>
      </w:r>
    </w:p>
    <w:p w14:paraId="3791AD45">
      <w:pPr>
        <w:rPr>
          <w:rFonts w:ascii="仿宋" w:hAnsi="仿宋" w:eastAsia="仿宋"/>
          <w:sz w:val="32"/>
          <w:szCs w:val="32"/>
        </w:rPr>
      </w:pPr>
      <w:r>
        <w:rPr>
          <w:rFonts w:hint="eastAsia" w:ascii="仿宋" w:hAnsi="仿宋" w:eastAsia="仿宋"/>
          <w:sz w:val="32"/>
          <w:szCs w:val="32"/>
        </w:rPr>
        <w:t>三、支出决算表</w:t>
      </w:r>
    </w:p>
    <w:p w14:paraId="67578835">
      <w:pPr>
        <w:rPr>
          <w:rFonts w:ascii="仿宋" w:hAnsi="仿宋" w:eastAsia="仿宋"/>
          <w:sz w:val="32"/>
          <w:szCs w:val="32"/>
        </w:rPr>
      </w:pPr>
      <w:r>
        <w:rPr>
          <w:rFonts w:hint="eastAsia" w:ascii="仿宋" w:hAnsi="仿宋" w:eastAsia="仿宋"/>
          <w:sz w:val="32"/>
          <w:szCs w:val="32"/>
        </w:rPr>
        <w:t>四、财政拨款收入支出决算总表</w:t>
      </w:r>
    </w:p>
    <w:p w14:paraId="4CCE6906">
      <w:pPr>
        <w:rPr>
          <w:rFonts w:ascii="仿宋" w:hAnsi="仿宋" w:eastAsia="仿宋"/>
          <w:sz w:val="32"/>
          <w:szCs w:val="32"/>
        </w:rPr>
      </w:pPr>
      <w:r>
        <w:rPr>
          <w:rFonts w:hint="eastAsia" w:ascii="仿宋" w:hAnsi="仿宋" w:eastAsia="仿宋"/>
          <w:sz w:val="32"/>
          <w:szCs w:val="32"/>
        </w:rPr>
        <w:t>五、财政拨款支出决算明细表</w:t>
      </w:r>
    </w:p>
    <w:p w14:paraId="05F6F8CB">
      <w:pPr>
        <w:rPr>
          <w:rFonts w:ascii="仿宋" w:hAnsi="仿宋" w:eastAsia="仿宋"/>
          <w:sz w:val="32"/>
          <w:szCs w:val="32"/>
        </w:rPr>
      </w:pPr>
      <w:r>
        <w:rPr>
          <w:rFonts w:hint="eastAsia" w:ascii="仿宋" w:hAnsi="仿宋" w:eastAsia="仿宋"/>
          <w:sz w:val="32"/>
          <w:szCs w:val="32"/>
        </w:rPr>
        <w:t>六、一般公共预算财政拨款支出决算表</w:t>
      </w:r>
    </w:p>
    <w:p w14:paraId="20E0DBC0">
      <w:pPr>
        <w:rPr>
          <w:rFonts w:ascii="仿宋" w:hAnsi="仿宋" w:eastAsia="仿宋"/>
          <w:sz w:val="32"/>
          <w:szCs w:val="32"/>
        </w:rPr>
      </w:pPr>
      <w:r>
        <w:rPr>
          <w:rFonts w:hint="eastAsia" w:ascii="仿宋" w:hAnsi="仿宋" w:eastAsia="仿宋"/>
          <w:sz w:val="32"/>
          <w:szCs w:val="32"/>
        </w:rPr>
        <w:t>七、一般公共预算财政拨款支出决算明细表</w:t>
      </w:r>
    </w:p>
    <w:p w14:paraId="19923B4E">
      <w:pPr>
        <w:rPr>
          <w:rFonts w:ascii="仿宋" w:hAnsi="仿宋" w:eastAsia="仿宋"/>
          <w:sz w:val="32"/>
          <w:szCs w:val="32"/>
        </w:rPr>
      </w:pPr>
      <w:r>
        <w:rPr>
          <w:rFonts w:hint="eastAsia" w:ascii="仿宋" w:hAnsi="仿宋" w:eastAsia="仿宋"/>
          <w:sz w:val="32"/>
          <w:szCs w:val="32"/>
        </w:rPr>
        <w:t>八、一般公共预算财政拨款基本支出决算</w:t>
      </w:r>
      <w:r>
        <w:rPr>
          <w:rFonts w:hint="eastAsia" w:ascii="仿宋" w:hAnsi="仿宋" w:eastAsia="仿宋"/>
          <w:sz w:val="32"/>
          <w:szCs w:val="32"/>
          <w:lang w:eastAsia="zh-CN"/>
        </w:rPr>
        <w:t>明细</w:t>
      </w:r>
      <w:r>
        <w:rPr>
          <w:rFonts w:hint="eastAsia" w:ascii="仿宋" w:hAnsi="仿宋" w:eastAsia="仿宋"/>
          <w:sz w:val="32"/>
          <w:szCs w:val="32"/>
        </w:rPr>
        <w:t>表</w:t>
      </w:r>
    </w:p>
    <w:p w14:paraId="052FAA7B">
      <w:pPr>
        <w:rPr>
          <w:rFonts w:ascii="仿宋" w:hAnsi="仿宋" w:eastAsia="仿宋"/>
          <w:sz w:val="32"/>
          <w:szCs w:val="32"/>
        </w:rPr>
      </w:pPr>
      <w:r>
        <w:rPr>
          <w:rFonts w:hint="eastAsia" w:ascii="仿宋" w:hAnsi="仿宋" w:eastAsia="仿宋"/>
          <w:sz w:val="32"/>
          <w:szCs w:val="32"/>
        </w:rPr>
        <w:t>九、一般公共预算财政拨款项目支出决算表</w:t>
      </w:r>
    </w:p>
    <w:p w14:paraId="6D12C4FB">
      <w:pPr>
        <w:rPr>
          <w:rFonts w:ascii="仿宋" w:hAnsi="仿宋" w:eastAsia="仿宋"/>
          <w:sz w:val="32"/>
          <w:szCs w:val="32"/>
        </w:rPr>
      </w:pPr>
      <w:r>
        <w:rPr>
          <w:rFonts w:hint="eastAsia" w:ascii="仿宋" w:hAnsi="仿宋" w:eastAsia="仿宋"/>
          <w:sz w:val="32"/>
          <w:szCs w:val="32"/>
        </w:rPr>
        <w:t>十、政府性基金预算财政拨款收入支出决算表</w:t>
      </w:r>
    </w:p>
    <w:p w14:paraId="43C8270E">
      <w:pPr>
        <w:rPr>
          <w:rFonts w:ascii="仿宋" w:hAnsi="仿宋" w:eastAsia="仿宋"/>
          <w:sz w:val="32"/>
          <w:szCs w:val="32"/>
        </w:rPr>
      </w:pPr>
      <w:r>
        <w:rPr>
          <w:rFonts w:hint="eastAsia" w:ascii="仿宋" w:hAnsi="仿宋" w:eastAsia="仿宋"/>
          <w:sz w:val="32"/>
          <w:szCs w:val="32"/>
        </w:rPr>
        <w:t>十一、国有资本经营预算财政拨款收入支出决算表</w:t>
      </w:r>
    </w:p>
    <w:p w14:paraId="5F88605B">
      <w:pPr>
        <w:rPr>
          <w:rFonts w:ascii="仿宋" w:hAnsi="仿宋" w:eastAsia="仿宋"/>
          <w:sz w:val="32"/>
          <w:szCs w:val="32"/>
        </w:rPr>
      </w:pPr>
      <w:r>
        <w:rPr>
          <w:rFonts w:hint="eastAsia" w:ascii="仿宋" w:hAnsi="仿宋" w:eastAsia="仿宋"/>
          <w:sz w:val="32"/>
          <w:szCs w:val="32"/>
        </w:rPr>
        <w:t>十二、国有资本经营预算财政拨款支出决算表</w:t>
      </w:r>
    </w:p>
    <w:p w14:paraId="78D93B9A">
      <w:pPr>
        <w:rPr>
          <w:rFonts w:ascii="仿宋" w:hAnsi="仿宋" w:eastAsia="仿宋"/>
          <w:sz w:val="32"/>
          <w:szCs w:val="32"/>
        </w:rPr>
      </w:pPr>
      <w:r>
        <w:rPr>
          <w:rFonts w:hint="eastAsia" w:ascii="仿宋" w:hAnsi="仿宋" w:eastAsia="仿宋"/>
          <w:sz w:val="32"/>
          <w:szCs w:val="32"/>
        </w:rPr>
        <w:t>十三、财政拨款“三公”经费支出决算表</w:t>
      </w:r>
    </w:p>
    <w:sectPr>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altName w:val="黑体"/>
    <w:panose1 w:val="02000000000000000000"/>
    <w:charset w:val="86"/>
    <w:family w:val="script"/>
    <w:pitch w:val="default"/>
    <w:sig w:usb0="00000000" w:usb1="00000000" w:usb2="00000012" w:usb3="00000000" w:csb0="00040001"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B6657">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243032">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9243032">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9BE43">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9F1DE5">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29F1DE5">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08E1F">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6535DB87"/>
    <w:multiLevelType w:val="singleLevel"/>
    <w:tmpl w:val="6535DB87"/>
    <w:lvl w:ilvl="0" w:tentative="0">
      <w:start w:val="1"/>
      <w:numFmt w:val="decimal"/>
      <w:suff w:val="nothing"/>
      <w:lvlText w:val="%1、"/>
      <w:lvlJc w:val="left"/>
    </w:lvl>
  </w:abstractNum>
  <w:abstractNum w:abstractNumId="3">
    <w:nsid w:val="671602C5"/>
    <w:multiLevelType w:val="singleLevel"/>
    <w:tmpl w:val="671602C5"/>
    <w:lvl w:ilvl="0" w:tentative="0">
      <w:start w:val="1"/>
      <w:numFmt w:val="chineseCounting"/>
      <w:suff w:val="nothing"/>
      <w:lvlText w:val="（%1）"/>
      <w:lvlJc w:val="left"/>
    </w:lvl>
  </w:abstractNum>
  <w:abstractNum w:abstractNumId="4">
    <w:nsid w:val="67160E10"/>
    <w:multiLevelType w:val="singleLevel"/>
    <w:tmpl w:val="67160E10"/>
    <w:lvl w:ilvl="0" w:tentative="0">
      <w:start w:val="3"/>
      <w:numFmt w:val="chineseCounting"/>
      <w:suff w:val="nothing"/>
      <w:lvlText w:val="（%1）"/>
      <w:lvlJc w:val="left"/>
    </w:lvl>
  </w:abstractNum>
  <w:abstractNum w:abstractNumId="5">
    <w:nsid w:val="67161242"/>
    <w:multiLevelType w:val="singleLevel"/>
    <w:tmpl w:val="67161242"/>
    <w:lvl w:ilvl="0" w:tentative="0">
      <w:start w:val="1"/>
      <w:numFmt w:val="chineseCounting"/>
      <w:suff w:val="nothing"/>
      <w:lvlText w:val="（%1）"/>
      <w:lvlJc w:val="left"/>
    </w:lvl>
  </w:abstractNum>
  <w:abstractNum w:abstractNumId="6">
    <w:nsid w:val="67161B47"/>
    <w:multiLevelType w:val="singleLevel"/>
    <w:tmpl w:val="67161B47"/>
    <w:lvl w:ilvl="0" w:tentative="0">
      <w:start w:val="2"/>
      <w:numFmt w:val="chineseCounting"/>
      <w:suff w:val="nothing"/>
      <w:lvlText w:val="（%1）"/>
      <w:lvlJc w:val="left"/>
    </w:lvl>
  </w:abstractNum>
  <w:num w:numId="1">
    <w:abstractNumId w:val="1"/>
  </w:num>
  <w:num w:numId="2">
    <w:abstractNumId w:val="0"/>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I2YzkwMDZhY2QxODMyNzhkZDBkYjJlZTUxMjU0ZWI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57A6A"/>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767"/>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3F17"/>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05139A"/>
    <w:rsid w:val="01311F94"/>
    <w:rsid w:val="015174BC"/>
    <w:rsid w:val="01566405"/>
    <w:rsid w:val="015975B8"/>
    <w:rsid w:val="016000E3"/>
    <w:rsid w:val="01EF6A62"/>
    <w:rsid w:val="025C13F8"/>
    <w:rsid w:val="02BD0A81"/>
    <w:rsid w:val="02FEBE30"/>
    <w:rsid w:val="03361DC9"/>
    <w:rsid w:val="035C3796"/>
    <w:rsid w:val="036F8141"/>
    <w:rsid w:val="039B0A1D"/>
    <w:rsid w:val="03BD13E9"/>
    <w:rsid w:val="03C21F83"/>
    <w:rsid w:val="03D61819"/>
    <w:rsid w:val="04034B8C"/>
    <w:rsid w:val="042D6020"/>
    <w:rsid w:val="04344F99"/>
    <w:rsid w:val="0435640B"/>
    <w:rsid w:val="045445A2"/>
    <w:rsid w:val="04577499"/>
    <w:rsid w:val="04583130"/>
    <w:rsid w:val="048E5FB7"/>
    <w:rsid w:val="053F47D9"/>
    <w:rsid w:val="05492679"/>
    <w:rsid w:val="0589570A"/>
    <w:rsid w:val="05C16208"/>
    <w:rsid w:val="05ED7645"/>
    <w:rsid w:val="05F2343A"/>
    <w:rsid w:val="06032D13"/>
    <w:rsid w:val="06134BB4"/>
    <w:rsid w:val="062C0705"/>
    <w:rsid w:val="066E0107"/>
    <w:rsid w:val="06895108"/>
    <w:rsid w:val="06B32F19"/>
    <w:rsid w:val="06D014D7"/>
    <w:rsid w:val="06FB4D64"/>
    <w:rsid w:val="07352F6C"/>
    <w:rsid w:val="074D7633"/>
    <w:rsid w:val="07621DA5"/>
    <w:rsid w:val="07700133"/>
    <w:rsid w:val="07996F6E"/>
    <w:rsid w:val="07C6067E"/>
    <w:rsid w:val="07DB5B40"/>
    <w:rsid w:val="07DFD8BA"/>
    <w:rsid w:val="07F059A5"/>
    <w:rsid w:val="0829431D"/>
    <w:rsid w:val="08694375"/>
    <w:rsid w:val="086D7CA2"/>
    <w:rsid w:val="08702F9F"/>
    <w:rsid w:val="08B31BB7"/>
    <w:rsid w:val="090A4455"/>
    <w:rsid w:val="095D020C"/>
    <w:rsid w:val="096901C0"/>
    <w:rsid w:val="09822999"/>
    <w:rsid w:val="09B46211"/>
    <w:rsid w:val="09CF1286"/>
    <w:rsid w:val="09F17848"/>
    <w:rsid w:val="09FD29BE"/>
    <w:rsid w:val="0A15653D"/>
    <w:rsid w:val="0A2032A3"/>
    <w:rsid w:val="0A4B77C4"/>
    <w:rsid w:val="0A4E4203"/>
    <w:rsid w:val="0A522465"/>
    <w:rsid w:val="0AD86AD7"/>
    <w:rsid w:val="0B032CB9"/>
    <w:rsid w:val="0B1F6C3A"/>
    <w:rsid w:val="0B757B74"/>
    <w:rsid w:val="0B9E5E68"/>
    <w:rsid w:val="0BBC02B3"/>
    <w:rsid w:val="0BDF2372"/>
    <w:rsid w:val="0BEB585E"/>
    <w:rsid w:val="0BFD53CF"/>
    <w:rsid w:val="0C0E3D88"/>
    <w:rsid w:val="0C6E73B6"/>
    <w:rsid w:val="0CBA5FA2"/>
    <w:rsid w:val="0CC41996"/>
    <w:rsid w:val="0CCA3491"/>
    <w:rsid w:val="0CDB20B8"/>
    <w:rsid w:val="0D35B1ED"/>
    <w:rsid w:val="0D5210CA"/>
    <w:rsid w:val="0D5218EE"/>
    <w:rsid w:val="0D612138"/>
    <w:rsid w:val="0DC84E95"/>
    <w:rsid w:val="0DD4488A"/>
    <w:rsid w:val="0E0467CD"/>
    <w:rsid w:val="0E1753D4"/>
    <w:rsid w:val="0E7B51C0"/>
    <w:rsid w:val="0E7ED1F5"/>
    <w:rsid w:val="0E827BAE"/>
    <w:rsid w:val="0ED55CE2"/>
    <w:rsid w:val="0F0A0476"/>
    <w:rsid w:val="0F4D2FD0"/>
    <w:rsid w:val="0F98263C"/>
    <w:rsid w:val="0F9A00C4"/>
    <w:rsid w:val="101860EC"/>
    <w:rsid w:val="102C38FE"/>
    <w:rsid w:val="10610E55"/>
    <w:rsid w:val="10615472"/>
    <w:rsid w:val="10774FBF"/>
    <w:rsid w:val="10C055FF"/>
    <w:rsid w:val="10DF3FAC"/>
    <w:rsid w:val="1110111B"/>
    <w:rsid w:val="116629C4"/>
    <w:rsid w:val="118107EC"/>
    <w:rsid w:val="11CE0989"/>
    <w:rsid w:val="11F1433A"/>
    <w:rsid w:val="120D0883"/>
    <w:rsid w:val="1316398E"/>
    <w:rsid w:val="13312ADF"/>
    <w:rsid w:val="133B0888"/>
    <w:rsid w:val="13AE7E27"/>
    <w:rsid w:val="13B775E7"/>
    <w:rsid w:val="13D50BC4"/>
    <w:rsid w:val="13F5616D"/>
    <w:rsid w:val="140A2AB0"/>
    <w:rsid w:val="145E2663"/>
    <w:rsid w:val="145F5B3D"/>
    <w:rsid w:val="146F7383"/>
    <w:rsid w:val="14707DD8"/>
    <w:rsid w:val="147A5FFD"/>
    <w:rsid w:val="148E72AF"/>
    <w:rsid w:val="149C1E09"/>
    <w:rsid w:val="14DC6FCB"/>
    <w:rsid w:val="14F0321A"/>
    <w:rsid w:val="14F84928"/>
    <w:rsid w:val="15210FEB"/>
    <w:rsid w:val="15284874"/>
    <w:rsid w:val="152E7A7D"/>
    <w:rsid w:val="153A6235"/>
    <w:rsid w:val="16040153"/>
    <w:rsid w:val="166633F7"/>
    <w:rsid w:val="166B68CB"/>
    <w:rsid w:val="16A120DD"/>
    <w:rsid w:val="16BB723D"/>
    <w:rsid w:val="16E02BFD"/>
    <w:rsid w:val="17873C53"/>
    <w:rsid w:val="17D163C2"/>
    <w:rsid w:val="17F9714D"/>
    <w:rsid w:val="181828D2"/>
    <w:rsid w:val="18D01FB0"/>
    <w:rsid w:val="1918F934"/>
    <w:rsid w:val="191D7EED"/>
    <w:rsid w:val="19925106"/>
    <w:rsid w:val="19940D02"/>
    <w:rsid w:val="19BB4EB0"/>
    <w:rsid w:val="1A226411"/>
    <w:rsid w:val="1A2A7706"/>
    <w:rsid w:val="1A395596"/>
    <w:rsid w:val="1AD4049F"/>
    <w:rsid w:val="1ADE4341"/>
    <w:rsid w:val="1B2866D5"/>
    <w:rsid w:val="1B2F5E28"/>
    <w:rsid w:val="1B60548C"/>
    <w:rsid w:val="1B8772B6"/>
    <w:rsid w:val="1B8A5FE7"/>
    <w:rsid w:val="1BE8440E"/>
    <w:rsid w:val="1BFA015B"/>
    <w:rsid w:val="1C226D34"/>
    <w:rsid w:val="1C381AF9"/>
    <w:rsid w:val="1C8B5D1D"/>
    <w:rsid w:val="1D155CEE"/>
    <w:rsid w:val="1D703A4C"/>
    <w:rsid w:val="1D756A0A"/>
    <w:rsid w:val="1DBE34B4"/>
    <w:rsid w:val="1DFBC4B3"/>
    <w:rsid w:val="1E19210D"/>
    <w:rsid w:val="1E6B212D"/>
    <w:rsid w:val="1E740ACF"/>
    <w:rsid w:val="1E89349D"/>
    <w:rsid w:val="1E9A757C"/>
    <w:rsid w:val="1F19C781"/>
    <w:rsid w:val="1F1F14FB"/>
    <w:rsid w:val="1F2C41DE"/>
    <w:rsid w:val="1F33FCE5"/>
    <w:rsid w:val="1F7F7398"/>
    <w:rsid w:val="1F9B685F"/>
    <w:rsid w:val="1FA63CAE"/>
    <w:rsid w:val="1FA92E58"/>
    <w:rsid w:val="1FD2DB6F"/>
    <w:rsid w:val="1FD54F91"/>
    <w:rsid w:val="1FEB03D2"/>
    <w:rsid w:val="1FF35744"/>
    <w:rsid w:val="1FF6BC77"/>
    <w:rsid w:val="1FF9236D"/>
    <w:rsid w:val="20837615"/>
    <w:rsid w:val="20A51268"/>
    <w:rsid w:val="20E542D0"/>
    <w:rsid w:val="22370529"/>
    <w:rsid w:val="2254541E"/>
    <w:rsid w:val="23325FDD"/>
    <w:rsid w:val="2333840E"/>
    <w:rsid w:val="23705219"/>
    <w:rsid w:val="23860B96"/>
    <w:rsid w:val="238E544B"/>
    <w:rsid w:val="23A6346A"/>
    <w:rsid w:val="240371BF"/>
    <w:rsid w:val="24041DD5"/>
    <w:rsid w:val="244B65E1"/>
    <w:rsid w:val="245F4176"/>
    <w:rsid w:val="24834569"/>
    <w:rsid w:val="248637A2"/>
    <w:rsid w:val="24881CF1"/>
    <w:rsid w:val="257B41A7"/>
    <w:rsid w:val="257C638F"/>
    <w:rsid w:val="25C43095"/>
    <w:rsid w:val="26422352"/>
    <w:rsid w:val="264625BD"/>
    <w:rsid w:val="266D7926"/>
    <w:rsid w:val="277A1DDF"/>
    <w:rsid w:val="27C714BD"/>
    <w:rsid w:val="27EC0E1D"/>
    <w:rsid w:val="286115BB"/>
    <w:rsid w:val="28CA0EF4"/>
    <w:rsid w:val="292F170C"/>
    <w:rsid w:val="296F7013"/>
    <w:rsid w:val="299C3CF2"/>
    <w:rsid w:val="29A93FCE"/>
    <w:rsid w:val="29B648A1"/>
    <w:rsid w:val="29FD04D3"/>
    <w:rsid w:val="29FD660F"/>
    <w:rsid w:val="2A1301C4"/>
    <w:rsid w:val="2A13483E"/>
    <w:rsid w:val="2A1A0760"/>
    <w:rsid w:val="2A1A190E"/>
    <w:rsid w:val="2A470DA7"/>
    <w:rsid w:val="2A4E4EB5"/>
    <w:rsid w:val="2AEF3CCF"/>
    <w:rsid w:val="2B2A11EE"/>
    <w:rsid w:val="2B4447DB"/>
    <w:rsid w:val="2B650AE1"/>
    <w:rsid w:val="2BBC051D"/>
    <w:rsid w:val="2BF0628C"/>
    <w:rsid w:val="2BFA6860"/>
    <w:rsid w:val="2BFF7BC6"/>
    <w:rsid w:val="2C2C7E33"/>
    <w:rsid w:val="2C395C38"/>
    <w:rsid w:val="2C4D5769"/>
    <w:rsid w:val="2C8A61B5"/>
    <w:rsid w:val="2CC969FC"/>
    <w:rsid w:val="2CD59C95"/>
    <w:rsid w:val="2CDF1699"/>
    <w:rsid w:val="2D1C5334"/>
    <w:rsid w:val="2D485AAA"/>
    <w:rsid w:val="2DD7655C"/>
    <w:rsid w:val="2DF04E50"/>
    <w:rsid w:val="2E740C45"/>
    <w:rsid w:val="2EBD77A2"/>
    <w:rsid w:val="2EFD05E5"/>
    <w:rsid w:val="2F040D46"/>
    <w:rsid w:val="2F24552E"/>
    <w:rsid w:val="2F4F95CE"/>
    <w:rsid w:val="2FACAFDD"/>
    <w:rsid w:val="2FAE5751"/>
    <w:rsid w:val="2FB1A395"/>
    <w:rsid w:val="2FCF0B76"/>
    <w:rsid w:val="2FD9A7D8"/>
    <w:rsid w:val="2FE31116"/>
    <w:rsid w:val="2FF01A38"/>
    <w:rsid w:val="2FFE61E3"/>
    <w:rsid w:val="300B4008"/>
    <w:rsid w:val="300E040E"/>
    <w:rsid w:val="300E150D"/>
    <w:rsid w:val="30197A7E"/>
    <w:rsid w:val="304E534A"/>
    <w:rsid w:val="305C1A8D"/>
    <w:rsid w:val="306E21A3"/>
    <w:rsid w:val="311637D2"/>
    <w:rsid w:val="31527751"/>
    <w:rsid w:val="319F7F4E"/>
    <w:rsid w:val="31A77CA2"/>
    <w:rsid w:val="31AC75B3"/>
    <w:rsid w:val="31D87710"/>
    <w:rsid w:val="323C0F7F"/>
    <w:rsid w:val="32662B75"/>
    <w:rsid w:val="327F0084"/>
    <w:rsid w:val="32A06A7F"/>
    <w:rsid w:val="32A54AC1"/>
    <w:rsid w:val="32B544B6"/>
    <w:rsid w:val="32CC4C7C"/>
    <w:rsid w:val="32DF344B"/>
    <w:rsid w:val="32E0438D"/>
    <w:rsid w:val="32F707F7"/>
    <w:rsid w:val="3304709D"/>
    <w:rsid w:val="33127BE0"/>
    <w:rsid w:val="33355322"/>
    <w:rsid w:val="337C44C9"/>
    <w:rsid w:val="33CE4DA0"/>
    <w:rsid w:val="34666ED4"/>
    <w:rsid w:val="34974950"/>
    <w:rsid w:val="34A45543"/>
    <w:rsid w:val="34EE68E6"/>
    <w:rsid w:val="34FB2E96"/>
    <w:rsid w:val="3514653E"/>
    <w:rsid w:val="352D04A1"/>
    <w:rsid w:val="356559DD"/>
    <w:rsid w:val="357F4496"/>
    <w:rsid w:val="35D063AC"/>
    <w:rsid w:val="35D240D0"/>
    <w:rsid w:val="35E8790B"/>
    <w:rsid w:val="35F47F25"/>
    <w:rsid w:val="360B1E2F"/>
    <w:rsid w:val="3646332A"/>
    <w:rsid w:val="3648042A"/>
    <w:rsid w:val="365C5D8C"/>
    <w:rsid w:val="36AA5135"/>
    <w:rsid w:val="36BE0DA7"/>
    <w:rsid w:val="36BF383F"/>
    <w:rsid w:val="36DE040D"/>
    <w:rsid w:val="36F14543"/>
    <w:rsid w:val="376B6AA6"/>
    <w:rsid w:val="376D39B2"/>
    <w:rsid w:val="37BF73EF"/>
    <w:rsid w:val="37E16F03"/>
    <w:rsid w:val="37F53A3B"/>
    <w:rsid w:val="37FA0A65"/>
    <w:rsid w:val="381E6DC6"/>
    <w:rsid w:val="38210D36"/>
    <w:rsid w:val="38896F3A"/>
    <w:rsid w:val="389C0883"/>
    <w:rsid w:val="38C2643B"/>
    <w:rsid w:val="38D469F0"/>
    <w:rsid w:val="38F78389"/>
    <w:rsid w:val="390F035D"/>
    <w:rsid w:val="393B434E"/>
    <w:rsid w:val="397A5825"/>
    <w:rsid w:val="397BAF1F"/>
    <w:rsid w:val="39B11DAE"/>
    <w:rsid w:val="39E7B272"/>
    <w:rsid w:val="39F7642F"/>
    <w:rsid w:val="39FF7B37"/>
    <w:rsid w:val="3A4951AC"/>
    <w:rsid w:val="3A6E3551"/>
    <w:rsid w:val="3A8A0DAF"/>
    <w:rsid w:val="3AA87A0D"/>
    <w:rsid w:val="3AB79AF3"/>
    <w:rsid w:val="3AFD68E7"/>
    <w:rsid w:val="3AFDCB77"/>
    <w:rsid w:val="3B140A7D"/>
    <w:rsid w:val="3B141272"/>
    <w:rsid w:val="3B613904"/>
    <w:rsid w:val="3B7EF35A"/>
    <w:rsid w:val="3B8646DE"/>
    <w:rsid w:val="3B9FDB6C"/>
    <w:rsid w:val="3BA661AB"/>
    <w:rsid w:val="3BE818B5"/>
    <w:rsid w:val="3BF5BC2F"/>
    <w:rsid w:val="3BF7C23A"/>
    <w:rsid w:val="3BFF223E"/>
    <w:rsid w:val="3BFF343B"/>
    <w:rsid w:val="3C014869"/>
    <w:rsid w:val="3C021C29"/>
    <w:rsid w:val="3C165335"/>
    <w:rsid w:val="3C3E280F"/>
    <w:rsid w:val="3C423B80"/>
    <w:rsid w:val="3C456F1D"/>
    <w:rsid w:val="3C5E551F"/>
    <w:rsid w:val="3C6EC0A1"/>
    <w:rsid w:val="3CAB74C5"/>
    <w:rsid w:val="3CDB0824"/>
    <w:rsid w:val="3CEBA265"/>
    <w:rsid w:val="3CEF74F8"/>
    <w:rsid w:val="3D2E4C31"/>
    <w:rsid w:val="3D3F56F3"/>
    <w:rsid w:val="3D6A7F9F"/>
    <w:rsid w:val="3D7E7F4D"/>
    <w:rsid w:val="3D7F22E0"/>
    <w:rsid w:val="3D940B96"/>
    <w:rsid w:val="3D98207C"/>
    <w:rsid w:val="3D9CF30A"/>
    <w:rsid w:val="3DCC05A2"/>
    <w:rsid w:val="3DEE3847"/>
    <w:rsid w:val="3DF50314"/>
    <w:rsid w:val="3DFF5A3E"/>
    <w:rsid w:val="3E1A363A"/>
    <w:rsid w:val="3E78745D"/>
    <w:rsid w:val="3EEE77E9"/>
    <w:rsid w:val="3F272938"/>
    <w:rsid w:val="3F394AF5"/>
    <w:rsid w:val="3F3A41A4"/>
    <w:rsid w:val="3F8C190C"/>
    <w:rsid w:val="3FB613BC"/>
    <w:rsid w:val="3FBE5714"/>
    <w:rsid w:val="3FCE2461"/>
    <w:rsid w:val="3FDD8615"/>
    <w:rsid w:val="3FDFB2FF"/>
    <w:rsid w:val="3FE20CE8"/>
    <w:rsid w:val="3FF4CAE0"/>
    <w:rsid w:val="3FF75FAF"/>
    <w:rsid w:val="3FF7B227"/>
    <w:rsid w:val="4056179A"/>
    <w:rsid w:val="40845F60"/>
    <w:rsid w:val="4102640B"/>
    <w:rsid w:val="41484E04"/>
    <w:rsid w:val="414A0F46"/>
    <w:rsid w:val="414F63E6"/>
    <w:rsid w:val="41975223"/>
    <w:rsid w:val="421D6224"/>
    <w:rsid w:val="42211BB9"/>
    <w:rsid w:val="423E7ED6"/>
    <w:rsid w:val="425E0FBA"/>
    <w:rsid w:val="42D908C4"/>
    <w:rsid w:val="42FF1088"/>
    <w:rsid w:val="43555113"/>
    <w:rsid w:val="4379243B"/>
    <w:rsid w:val="43D56C2C"/>
    <w:rsid w:val="44397BA5"/>
    <w:rsid w:val="4443442A"/>
    <w:rsid w:val="44557F88"/>
    <w:rsid w:val="445B648D"/>
    <w:rsid w:val="449E3325"/>
    <w:rsid w:val="44A57D95"/>
    <w:rsid w:val="44B1596E"/>
    <w:rsid w:val="44E268DA"/>
    <w:rsid w:val="453723FB"/>
    <w:rsid w:val="45387696"/>
    <w:rsid w:val="45605B7D"/>
    <w:rsid w:val="45683C3B"/>
    <w:rsid w:val="457F4F6B"/>
    <w:rsid w:val="457F528E"/>
    <w:rsid w:val="458B7B8A"/>
    <w:rsid w:val="45F42301"/>
    <w:rsid w:val="45F56781"/>
    <w:rsid w:val="463352AF"/>
    <w:rsid w:val="46A204F0"/>
    <w:rsid w:val="46FA6344"/>
    <w:rsid w:val="46FF1807"/>
    <w:rsid w:val="47234520"/>
    <w:rsid w:val="4737FB58"/>
    <w:rsid w:val="47850D21"/>
    <w:rsid w:val="478F77FB"/>
    <w:rsid w:val="47C325E6"/>
    <w:rsid w:val="47E95E65"/>
    <w:rsid w:val="47ECCB02"/>
    <w:rsid w:val="47FA6A3F"/>
    <w:rsid w:val="482624C6"/>
    <w:rsid w:val="48463F15"/>
    <w:rsid w:val="487D15E0"/>
    <w:rsid w:val="489116AC"/>
    <w:rsid w:val="48981FD2"/>
    <w:rsid w:val="48E632D6"/>
    <w:rsid w:val="48EC57C5"/>
    <w:rsid w:val="4913489E"/>
    <w:rsid w:val="49654E1A"/>
    <w:rsid w:val="497147B6"/>
    <w:rsid w:val="49A726CB"/>
    <w:rsid w:val="49AA3385"/>
    <w:rsid w:val="49D7AE48"/>
    <w:rsid w:val="49DF0B35"/>
    <w:rsid w:val="49F56B70"/>
    <w:rsid w:val="4A216E2C"/>
    <w:rsid w:val="4A3F6C7E"/>
    <w:rsid w:val="4A627F82"/>
    <w:rsid w:val="4A856A03"/>
    <w:rsid w:val="4A875797"/>
    <w:rsid w:val="4AB036A5"/>
    <w:rsid w:val="4B0E749A"/>
    <w:rsid w:val="4B1E1036"/>
    <w:rsid w:val="4B4F25DA"/>
    <w:rsid w:val="4B7B0DC4"/>
    <w:rsid w:val="4B8F6783"/>
    <w:rsid w:val="4BBB4781"/>
    <w:rsid w:val="4BD709A5"/>
    <w:rsid w:val="4BDD9BFF"/>
    <w:rsid w:val="4BE068DB"/>
    <w:rsid w:val="4C1C0AF9"/>
    <w:rsid w:val="4C286E1E"/>
    <w:rsid w:val="4C33260B"/>
    <w:rsid w:val="4C75655C"/>
    <w:rsid w:val="4CB364DB"/>
    <w:rsid w:val="4CF100AB"/>
    <w:rsid w:val="4CF60ACC"/>
    <w:rsid w:val="4D0E15B3"/>
    <w:rsid w:val="4D284928"/>
    <w:rsid w:val="4D31631D"/>
    <w:rsid w:val="4D577224"/>
    <w:rsid w:val="4DA7335D"/>
    <w:rsid w:val="4DBF1CEB"/>
    <w:rsid w:val="4DBF6A6B"/>
    <w:rsid w:val="4DCF4A54"/>
    <w:rsid w:val="4DD151A1"/>
    <w:rsid w:val="4DF6A672"/>
    <w:rsid w:val="4E276984"/>
    <w:rsid w:val="4E3457FC"/>
    <w:rsid w:val="4E620AC0"/>
    <w:rsid w:val="4EAB630A"/>
    <w:rsid w:val="4ECE2238"/>
    <w:rsid w:val="4F277E3D"/>
    <w:rsid w:val="4F440253"/>
    <w:rsid w:val="4F5D5618"/>
    <w:rsid w:val="4F7EA413"/>
    <w:rsid w:val="4F836B54"/>
    <w:rsid w:val="4F8E7EF4"/>
    <w:rsid w:val="4F942E14"/>
    <w:rsid w:val="4FAB812F"/>
    <w:rsid w:val="4FE9BD67"/>
    <w:rsid w:val="4FEE4C07"/>
    <w:rsid w:val="4FFB052F"/>
    <w:rsid w:val="4FFC21A6"/>
    <w:rsid w:val="500F3627"/>
    <w:rsid w:val="507356C6"/>
    <w:rsid w:val="508D7C5A"/>
    <w:rsid w:val="50B947F9"/>
    <w:rsid w:val="50D4009D"/>
    <w:rsid w:val="50E12337"/>
    <w:rsid w:val="514D3D75"/>
    <w:rsid w:val="51563639"/>
    <w:rsid w:val="519808D4"/>
    <w:rsid w:val="52E61B22"/>
    <w:rsid w:val="535C7BA2"/>
    <w:rsid w:val="537E6D0A"/>
    <w:rsid w:val="539B4FBD"/>
    <w:rsid w:val="53AB6B88"/>
    <w:rsid w:val="53E36E53"/>
    <w:rsid w:val="53F74C96"/>
    <w:rsid w:val="547C61D2"/>
    <w:rsid w:val="54946AF1"/>
    <w:rsid w:val="54E61874"/>
    <w:rsid w:val="54F574F3"/>
    <w:rsid w:val="551A10B0"/>
    <w:rsid w:val="55250BAF"/>
    <w:rsid w:val="55792914"/>
    <w:rsid w:val="557C5E9E"/>
    <w:rsid w:val="5583522D"/>
    <w:rsid w:val="55DD0170"/>
    <w:rsid w:val="55E217D2"/>
    <w:rsid w:val="55FF0413"/>
    <w:rsid w:val="563D38A3"/>
    <w:rsid w:val="565B5ED6"/>
    <w:rsid w:val="565E181A"/>
    <w:rsid w:val="568F4094"/>
    <w:rsid w:val="56F369BE"/>
    <w:rsid w:val="570B0CC9"/>
    <w:rsid w:val="573D0984"/>
    <w:rsid w:val="574740BE"/>
    <w:rsid w:val="575A69F5"/>
    <w:rsid w:val="57652388"/>
    <w:rsid w:val="576A63BC"/>
    <w:rsid w:val="57AF3083"/>
    <w:rsid w:val="57BD3DD4"/>
    <w:rsid w:val="57D20F97"/>
    <w:rsid w:val="57EA1711"/>
    <w:rsid w:val="57F9CD1E"/>
    <w:rsid w:val="58032D26"/>
    <w:rsid w:val="58792737"/>
    <w:rsid w:val="58C63B0F"/>
    <w:rsid w:val="58D6743F"/>
    <w:rsid w:val="58DF4C44"/>
    <w:rsid w:val="596052E0"/>
    <w:rsid w:val="59644AFD"/>
    <w:rsid w:val="59853B2E"/>
    <w:rsid w:val="59C6493C"/>
    <w:rsid w:val="5A294836"/>
    <w:rsid w:val="5A495F4D"/>
    <w:rsid w:val="5AE7512C"/>
    <w:rsid w:val="5AF92295"/>
    <w:rsid w:val="5AF9D8E9"/>
    <w:rsid w:val="5B14395C"/>
    <w:rsid w:val="5BDD2364"/>
    <w:rsid w:val="5BDD38BD"/>
    <w:rsid w:val="5BDD79E6"/>
    <w:rsid w:val="5BEFC772"/>
    <w:rsid w:val="5BF24C4E"/>
    <w:rsid w:val="5BFF5DFC"/>
    <w:rsid w:val="5C425FCC"/>
    <w:rsid w:val="5C6B46CE"/>
    <w:rsid w:val="5CD71FC4"/>
    <w:rsid w:val="5D1F11B5"/>
    <w:rsid w:val="5D357DBD"/>
    <w:rsid w:val="5D3647F9"/>
    <w:rsid w:val="5D4B55FF"/>
    <w:rsid w:val="5DA644D4"/>
    <w:rsid w:val="5DAE1B18"/>
    <w:rsid w:val="5DE7D9E5"/>
    <w:rsid w:val="5E094A60"/>
    <w:rsid w:val="5E1A5222"/>
    <w:rsid w:val="5E965A77"/>
    <w:rsid w:val="5ECEC941"/>
    <w:rsid w:val="5ED54504"/>
    <w:rsid w:val="5EE40809"/>
    <w:rsid w:val="5EFF8FC6"/>
    <w:rsid w:val="5F396F1B"/>
    <w:rsid w:val="5F4318A2"/>
    <w:rsid w:val="5F5BA39A"/>
    <w:rsid w:val="5F610F6A"/>
    <w:rsid w:val="5F7D3B79"/>
    <w:rsid w:val="5F7F4610"/>
    <w:rsid w:val="5F98355F"/>
    <w:rsid w:val="5F9C5BE1"/>
    <w:rsid w:val="5FBF9FF3"/>
    <w:rsid w:val="5FCD4E2C"/>
    <w:rsid w:val="5FEF394A"/>
    <w:rsid w:val="5FF37AFE"/>
    <w:rsid w:val="5FF67715"/>
    <w:rsid w:val="600B1147"/>
    <w:rsid w:val="602112E1"/>
    <w:rsid w:val="6039683B"/>
    <w:rsid w:val="60632521"/>
    <w:rsid w:val="60C56873"/>
    <w:rsid w:val="60D50D8E"/>
    <w:rsid w:val="61022B9A"/>
    <w:rsid w:val="61304428"/>
    <w:rsid w:val="617B150A"/>
    <w:rsid w:val="617C74A4"/>
    <w:rsid w:val="618D2F87"/>
    <w:rsid w:val="61A611EB"/>
    <w:rsid w:val="61CA71D5"/>
    <w:rsid w:val="61EC3F2B"/>
    <w:rsid w:val="61F15E4E"/>
    <w:rsid w:val="622247C6"/>
    <w:rsid w:val="62647F04"/>
    <w:rsid w:val="627EE9EA"/>
    <w:rsid w:val="62F353CE"/>
    <w:rsid w:val="63357ACF"/>
    <w:rsid w:val="63640905"/>
    <w:rsid w:val="63A3450C"/>
    <w:rsid w:val="63B23AA5"/>
    <w:rsid w:val="63C33B89"/>
    <w:rsid w:val="63E8488C"/>
    <w:rsid w:val="647F5392"/>
    <w:rsid w:val="64995611"/>
    <w:rsid w:val="64DF496D"/>
    <w:rsid w:val="64E322C4"/>
    <w:rsid w:val="6598276A"/>
    <w:rsid w:val="6599415C"/>
    <w:rsid w:val="65BF2A14"/>
    <w:rsid w:val="65DF19A6"/>
    <w:rsid w:val="65F7779A"/>
    <w:rsid w:val="65FB93B9"/>
    <w:rsid w:val="6633C463"/>
    <w:rsid w:val="66566BDA"/>
    <w:rsid w:val="665A5B48"/>
    <w:rsid w:val="666542AD"/>
    <w:rsid w:val="671166E7"/>
    <w:rsid w:val="671B19FE"/>
    <w:rsid w:val="674A51F1"/>
    <w:rsid w:val="67D55B77"/>
    <w:rsid w:val="67EE7F84"/>
    <w:rsid w:val="67F0174E"/>
    <w:rsid w:val="680626B7"/>
    <w:rsid w:val="6819342B"/>
    <w:rsid w:val="68480044"/>
    <w:rsid w:val="686F5F53"/>
    <w:rsid w:val="68A104D6"/>
    <w:rsid w:val="69186025"/>
    <w:rsid w:val="696250F2"/>
    <w:rsid w:val="69DA0EE9"/>
    <w:rsid w:val="69DC1115"/>
    <w:rsid w:val="69F50D39"/>
    <w:rsid w:val="6A252EEF"/>
    <w:rsid w:val="6A9311EE"/>
    <w:rsid w:val="6AFF7531"/>
    <w:rsid w:val="6AFFCEAF"/>
    <w:rsid w:val="6B341D19"/>
    <w:rsid w:val="6B96E9E6"/>
    <w:rsid w:val="6B9B1888"/>
    <w:rsid w:val="6BCE57B5"/>
    <w:rsid w:val="6BE9015B"/>
    <w:rsid w:val="6BF411B5"/>
    <w:rsid w:val="6BFEA4DB"/>
    <w:rsid w:val="6BFFB662"/>
    <w:rsid w:val="6C0130A6"/>
    <w:rsid w:val="6C103628"/>
    <w:rsid w:val="6C2D1FBD"/>
    <w:rsid w:val="6C343A65"/>
    <w:rsid w:val="6C4A05C8"/>
    <w:rsid w:val="6CAE7629"/>
    <w:rsid w:val="6CE308F2"/>
    <w:rsid w:val="6CFF4FB8"/>
    <w:rsid w:val="6D057A34"/>
    <w:rsid w:val="6D0D30B8"/>
    <w:rsid w:val="6D4E1734"/>
    <w:rsid w:val="6D6BD6E0"/>
    <w:rsid w:val="6D752287"/>
    <w:rsid w:val="6D77E73C"/>
    <w:rsid w:val="6DA5271B"/>
    <w:rsid w:val="6DBF4C74"/>
    <w:rsid w:val="6DBF5E93"/>
    <w:rsid w:val="6DCC2523"/>
    <w:rsid w:val="6DEB46EF"/>
    <w:rsid w:val="6DFF077E"/>
    <w:rsid w:val="6E102807"/>
    <w:rsid w:val="6E1173E0"/>
    <w:rsid w:val="6E426B08"/>
    <w:rsid w:val="6E7E3605"/>
    <w:rsid w:val="6E7FDCC7"/>
    <w:rsid w:val="6E904164"/>
    <w:rsid w:val="6ED6A62E"/>
    <w:rsid w:val="6EE00B15"/>
    <w:rsid w:val="6EE737B2"/>
    <w:rsid w:val="6EEB2329"/>
    <w:rsid w:val="6EECE67A"/>
    <w:rsid w:val="6F052110"/>
    <w:rsid w:val="6F401344"/>
    <w:rsid w:val="6F492399"/>
    <w:rsid w:val="6F5111AA"/>
    <w:rsid w:val="6F6F90A8"/>
    <w:rsid w:val="6F6FB3EB"/>
    <w:rsid w:val="6F8731EA"/>
    <w:rsid w:val="6FBC2ADD"/>
    <w:rsid w:val="6FD57C00"/>
    <w:rsid w:val="6FEFFFD8"/>
    <w:rsid w:val="6FF5CC65"/>
    <w:rsid w:val="6FF97281"/>
    <w:rsid w:val="6FFB47EC"/>
    <w:rsid w:val="6FFF034A"/>
    <w:rsid w:val="705578A0"/>
    <w:rsid w:val="70EA2554"/>
    <w:rsid w:val="710E4E30"/>
    <w:rsid w:val="71122CDC"/>
    <w:rsid w:val="71143F1A"/>
    <w:rsid w:val="712A28F1"/>
    <w:rsid w:val="714420D8"/>
    <w:rsid w:val="71562DCB"/>
    <w:rsid w:val="715C0E4B"/>
    <w:rsid w:val="7164196D"/>
    <w:rsid w:val="71BD4301"/>
    <w:rsid w:val="71D17EF5"/>
    <w:rsid w:val="71D31068"/>
    <w:rsid w:val="71FFD401"/>
    <w:rsid w:val="72233669"/>
    <w:rsid w:val="725758B9"/>
    <w:rsid w:val="72734D90"/>
    <w:rsid w:val="72AC72BE"/>
    <w:rsid w:val="72DF5DCF"/>
    <w:rsid w:val="72EB539F"/>
    <w:rsid w:val="72F865D6"/>
    <w:rsid w:val="73133D36"/>
    <w:rsid w:val="7332FE48"/>
    <w:rsid w:val="737826CD"/>
    <w:rsid w:val="73797889"/>
    <w:rsid w:val="737D5ED6"/>
    <w:rsid w:val="73A13FE2"/>
    <w:rsid w:val="73AD162E"/>
    <w:rsid w:val="73AD73D5"/>
    <w:rsid w:val="73B6EB34"/>
    <w:rsid w:val="73CE2BE6"/>
    <w:rsid w:val="73FA497D"/>
    <w:rsid w:val="74295700"/>
    <w:rsid w:val="744731E5"/>
    <w:rsid w:val="7482035A"/>
    <w:rsid w:val="74B854C3"/>
    <w:rsid w:val="74BBD01D"/>
    <w:rsid w:val="74CB4853"/>
    <w:rsid w:val="74ED5379"/>
    <w:rsid w:val="75067165"/>
    <w:rsid w:val="752103A6"/>
    <w:rsid w:val="755759CA"/>
    <w:rsid w:val="7569643C"/>
    <w:rsid w:val="757342DB"/>
    <w:rsid w:val="757A44E5"/>
    <w:rsid w:val="75925FDD"/>
    <w:rsid w:val="75DEEEC2"/>
    <w:rsid w:val="767F479D"/>
    <w:rsid w:val="76DD7167"/>
    <w:rsid w:val="76E3355F"/>
    <w:rsid w:val="76E33597"/>
    <w:rsid w:val="76F742AF"/>
    <w:rsid w:val="76F7BE7D"/>
    <w:rsid w:val="76FF5125"/>
    <w:rsid w:val="773570D3"/>
    <w:rsid w:val="77597F31"/>
    <w:rsid w:val="77683F78"/>
    <w:rsid w:val="776F6FFA"/>
    <w:rsid w:val="7777A522"/>
    <w:rsid w:val="777868FD"/>
    <w:rsid w:val="778144EE"/>
    <w:rsid w:val="77845D01"/>
    <w:rsid w:val="77858688"/>
    <w:rsid w:val="778769C8"/>
    <w:rsid w:val="77AB00EB"/>
    <w:rsid w:val="77CB741A"/>
    <w:rsid w:val="77CD6C4A"/>
    <w:rsid w:val="77D2683C"/>
    <w:rsid w:val="77D7BE3A"/>
    <w:rsid w:val="77DC22F5"/>
    <w:rsid w:val="77ED43A1"/>
    <w:rsid w:val="77FC5F14"/>
    <w:rsid w:val="782B5C74"/>
    <w:rsid w:val="7840683E"/>
    <w:rsid w:val="787137E7"/>
    <w:rsid w:val="788B636E"/>
    <w:rsid w:val="797E3A6C"/>
    <w:rsid w:val="79944821"/>
    <w:rsid w:val="79A87C62"/>
    <w:rsid w:val="79C76967"/>
    <w:rsid w:val="79CF70E2"/>
    <w:rsid w:val="79D7FD79"/>
    <w:rsid w:val="79E75806"/>
    <w:rsid w:val="79EC7D07"/>
    <w:rsid w:val="79EE5BA4"/>
    <w:rsid w:val="7A246D94"/>
    <w:rsid w:val="7A373A1B"/>
    <w:rsid w:val="7A641148"/>
    <w:rsid w:val="7A6F8BF5"/>
    <w:rsid w:val="7A894339"/>
    <w:rsid w:val="7ACF82B5"/>
    <w:rsid w:val="7AE32EB4"/>
    <w:rsid w:val="7AFF28C9"/>
    <w:rsid w:val="7AFF72A0"/>
    <w:rsid w:val="7AFF7572"/>
    <w:rsid w:val="7B002CFB"/>
    <w:rsid w:val="7B460814"/>
    <w:rsid w:val="7B690C9E"/>
    <w:rsid w:val="7B6C7DFB"/>
    <w:rsid w:val="7B7D76A7"/>
    <w:rsid w:val="7B9262A4"/>
    <w:rsid w:val="7BAE2FE2"/>
    <w:rsid w:val="7BAF6951"/>
    <w:rsid w:val="7BBFBED0"/>
    <w:rsid w:val="7BC3E394"/>
    <w:rsid w:val="7BE2606A"/>
    <w:rsid w:val="7BF3FE4C"/>
    <w:rsid w:val="7BFB5035"/>
    <w:rsid w:val="7BFDE17E"/>
    <w:rsid w:val="7C392B7E"/>
    <w:rsid w:val="7CBFC87B"/>
    <w:rsid w:val="7CEB183B"/>
    <w:rsid w:val="7CF63983"/>
    <w:rsid w:val="7CFE0F48"/>
    <w:rsid w:val="7D2B48C0"/>
    <w:rsid w:val="7D3DE31C"/>
    <w:rsid w:val="7D5D643D"/>
    <w:rsid w:val="7D7EC23E"/>
    <w:rsid w:val="7D7F8A13"/>
    <w:rsid w:val="7D9C5114"/>
    <w:rsid w:val="7DA15070"/>
    <w:rsid w:val="7DBBCB01"/>
    <w:rsid w:val="7DC765D0"/>
    <w:rsid w:val="7DDB0EE0"/>
    <w:rsid w:val="7DFF51D8"/>
    <w:rsid w:val="7E29351B"/>
    <w:rsid w:val="7E2A559E"/>
    <w:rsid w:val="7E522635"/>
    <w:rsid w:val="7E634199"/>
    <w:rsid w:val="7E874793"/>
    <w:rsid w:val="7E8ADEBF"/>
    <w:rsid w:val="7EC11079"/>
    <w:rsid w:val="7ECE2B21"/>
    <w:rsid w:val="7EE62172"/>
    <w:rsid w:val="7EEF11D3"/>
    <w:rsid w:val="7EF78C20"/>
    <w:rsid w:val="7F3F679B"/>
    <w:rsid w:val="7F4FC4EF"/>
    <w:rsid w:val="7F5E4D54"/>
    <w:rsid w:val="7F6B75FA"/>
    <w:rsid w:val="7F6C4600"/>
    <w:rsid w:val="7F816480"/>
    <w:rsid w:val="7F934620"/>
    <w:rsid w:val="7F9F518D"/>
    <w:rsid w:val="7FA019B0"/>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3EF7E8D"/>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字符"/>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字符"/>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字符"/>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6">
    <w:name w:val="List Paragraph"/>
    <w:basedOn w:val="1"/>
    <w:qFormat/>
    <w:uiPriority w:val="34"/>
    <w:pPr>
      <w:ind w:firstLine="420" w:firstLineChars="200"/>
    </w:pPr>
  </w:style>
  <w:style w:type="character" w:customStyle="1" w:styleId="27">
    <w:name w:val="标题 1 字符"/>
    <w:basedOn w:val="15"/>
    <w:link w:val="3"/>
    <w:qFormat/>
    <w:uiPriority w:val="9"/>
    <w:rPr>
      <w:rFonts w:ascii="Times New Roman" w:hAnsi="Times New Roman"/>
      <w:b/>
      <w:bCs/>
      <w:kern w:val="44"/>
      <w:sz w:val="44"/>
      <w:szCs w:val="44"/>
    </w:rPr>
  </w:style>
  <w:style w:type="character" w:customStyle="1" w:styleId="28">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5"/>
    <w:link w:val="8"/>
    <w:semiHidden/>
    <w:qFormat/>
    <w:uiPriority w:val="99"/>
    <w:rPr>
      <w:rFonts w:ascii="Times New Roman" w:hAnsi="Times New Roman"/>
      <w:kern w:val="2"/>
      <w:sz w:val="18"/>
      <w:szCs w:val="18"/>
    </w:rPr>
  </w:style>
  <w:style w:type="character" w:customStyle="1" w:styleId="31">
    <w:name w:val="标题 3 字符"/>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 w:type="character" w:customStyle="1" w:styleId="34">
    <w:name w:val="标题 1 Char"/>
    <w:link w:val="3"/>
    <w:qFormat/>
    <w:uiPriority w:val="9"/>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7.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5.xlsx"/></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6.xlsx"/></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7.xlsx"/></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500"/>
              <a:t>收、支决算总计变动情况图（万元）</a:t>
            </a:r>
            <a:endParaRPr sz="1500"/>
          </a:p>
        </c:rich>
      </c:tx>
      <c:layout>
        <c:manualLayout>
          <c:xMode val="edge"/>
          <c:yMode val="edge"/>
          <c:x val="0.186960301276148"/>
          <c:y val="0.0661505981703026"/>
        </c:manualLayout>
      </c:layout>
      <c:overlay val="0"/>
      <c:spPr>
        <a:noFill/>
        <a:ln>
          <a:noFill/>
        </a:ln>
        <a:effectLst/>
      </c:spPr>
    </c:title>
    <c:autoTitleDeleted val="0"/>
    <c:plotArea>
      <c:layout>
        <c:manualLayout>
          <c:layoutTarget val="inner"/>
          <c:xMode val="edge"/>
          <c:yMode val="edge"/>
          <c:x val="0.105528679753369"/>
          <c:y val="0.341044938781544"/>
          <c:w val="0.890524471147828"/>
          <c:h val="0.522498446239901"/>
        </c:manualLayout>
      </c:layout>
      <c:barChart>
        <c:barDir val="col"/>
        <c:grouping val="stacked"/>
        <c:varyColors val="0"/>
        <c:ser>
          <c:idx val="0"/>
          <c:order val="0"/>
          <c:tx>
            <c:strRef>
              <c:f>Sheet1!#REF!</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Sheet1!$A$1:$A$2</c:f>
              <c:strCache>
                <c:ptCount val="2"/>
                <c:pt idx="0">
                  <c:v>2022年收、支总计</c:v>
                </c:pt>
                <c:pt idx="1">
                  <c:v>2023年收、支总计</c:v>
                </c:pt>
              </c:strCache>
            </c:strRef>
          </c:cat>
          <c:val>
            <c:numRef>
              <c:f>Sheet1!$B$1:$B$2</c:f>
              <c:numCache>
                <c:formatCode>General</c:formatCode>
                <c:ptCount val="2"/>
                <c:pt idx="0">
                  <c:v>1877.32</c:v>
                </c:pt>
                <c:pt idx="1">
                  <c:v>1634.02</c:v>
                </c:pt>
              </c:numCache>
            </c:numRef>
          </c:val>
        </c:ser>
        <c:dLbls>
          <c:showLegendKey val="0"/>
          <c:showVal val="1"/>
          <c:showCatName val="0"/>
          <c:showSerName val="0"/>
          <c:showPercent val="0"/>
          <c:showBubbleSize val="0"/>
        </c:dLbls>
        <c:gapWidth val="150"/>
        <c:overlap val="100"/>
        <c:axId val="191724928"/>
        <c:axId val="191751296"/>
      </c:barChart>
      <c:catAx>
        <c:axId val="19172492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1751296"/>
        <c:crosses val="autoZero"/>
        <c:auto val="1"/>
        <c:lblAlgn val="ctr"/>
        <c:lblOffset val="100"/>
        <c:noMultiLvlLbl val="0"/>
      </c:catAx>
      <c:valAx>
        <c:axId val="1917512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17249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a:t>
            </a:r>
          </a:p>
        </c:rich>
      </c:tx>
      <c:layout/>
      <c:overlay val="0"/>
      <c:spPr>
        <a:noFill/>
        <a:ln>
          <a:noFill/>
        </a:ln>
        <a:effectLst/>
      </c:spPr>
    </c:title>
    <c:autoTitleDeleted val="0"/>
    <c:plotArea>
      <c:layout/>
      <c:pieChart>
        <c:varyColors val="1"/>
        <c:ser>
          <c:idx val="0"/>
          <c:order val="0"/>
          <c:tx>
            <c:strRef>
              <c:f>Sheet1!$B$1</c:f>
              <c:strCache>
                <c:ptCount val="1"/>
                <c:pt idx="0">
                  <c:v>收入</c:v>
                </c:pt>
              </c:strCache>
            </c:strRef>
          </c:tx>
          <c:spPr/>
          <c:explosion val="0"/>
          <c:dPt>
            <c:idx val="0"/>
            <c:bubble3D val="0"/>
            <c:spPr>
              <a:solidFill>
                <a:schemeClr val="accent1"/>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一般公共预算财政拨款收入</c:v>
                </c:pt>
              </c:strCache>
            </c:strRef>
          </c:cat>
          <c:val>
            <c:numRef>
              <c:f>Sheet1!$B$2</c:f>
              <c:numCache>
                <c:formatCode>0.00%</c:formatCode>
                <c:ptCount val="1"/>
                <c:pt idx="0">
                  <c:v>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p>
        </c:rich>
      </c:tx>
      <c:layout/>
      <c:overlay val="0"/>
      <c:spPr>
        <a:noFill/>
        <a:ln>
          <a:noFill/>
        </a:ln>
        <a:effectLst/>
      </c:spPr>
    </c:title>
    <c:autoTitleDeleted val="0"/>
    <c:plotArea>
      <c:layout/>
      <c:pieChart>
        <c:varyColors val="1"/>
        <c:ser>
          <c:idx val="0"/>
          <c:order val="0"/>
          <c:tx>
            <c:strRef>
              <c:f>Sheet1!$B$1</c:f>
              <c:strCache>
                <c:ptCount val="1"/>
                <c:pt idx="0">
                  <c:v>收入</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基本支出</c:v>
                </c:pt>
                <c:pt idx="1">
                  <c:v>项目支出</c:v>
                </c:pt>
              </c:strCache>
            </c:strRef>
          </c:cat>
          <c:val>
            <c:numRef>
              <c:f>Sheet1!$B$2:$B$5</c:f>
              <c:numCache>
                <c:formatCode>0.00%</c:formatCode>
                <c:ptCount val="4"/>
                <c:pt idx="0">
                  <c:v>0.6507</c:v>
                </c:pt>
                <c:pt idx="1">
                  <c:v>0.3493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egendEntry>
        <c:idx val="2"/>
        <c:delete val="1"/>
      </c:legendEntry>
      <c:legendEntry>
        <c:idx val="3"/>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500"/>
              <a:t>财政拨款收、支决算总计变动情况（万元）</a:t>
            </a:r>
            <a:endParaRPr sz="1500"/>
          </a:p>
        </c:rich>
      </c:tx>
      <c:layout>
        <c:manualLayout>
          <c:xMode val="edge"/>
          <c:yMode val="edge"/>
          <c:x val="0.18525"/>
          <c:y val="0.00770020533880903"/>
        </c:manualLayout>
      </c:layout>
      <c:overlay val="0"/>
      <c:spPr>
        <a:noFill/>
        <a:ln>
          <a:noFill/>
        </a:ln>
        <a:effectLst/>
      </c:spPr>
    </c:title>
    <c:autoTitleDeleted val="0"/>
    <c:plotArea>
      <c:layout>
        <c:manualLayout>
          <c:layoutTarget val="inner"/>
          <c:xMode val="edge"/>
          <c:yMode val="edge"/>
          <c:x val="0.105528679753369"/>
          <c:y val="0.331970237785433"/>
          <c:w val="0.890524471147828"/>
          <c:h val="0.522498446239901"/>
        </c:manualLayout>
      </c:layout>
      <c:barChart>
        <c:barDir val="col"/>
        <c:grouping val="stacked"/>
        <c:varyColors val="0"/>
        <c:ser>
          <c:idx val="0"/>
          <c:order val="0"/>
          <c:tx>
            <c:strRef>
              <c:f>Sheet1!#REF!</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Sheet1!$A$1:$A$2</c:f>
              <c:strCache>
                <c:ptCount val="2"/>
                <c:pt idx="0">
                  <c:v>2022年财政拨款收、支总计</c:v>
                </c:pt>
                <c:pt idx="1">
                  <c:v>2023年财政拨款收、支总计</c:v>
                </c:pt>
              </c:strCache>
            </c:strRef>
          </c:cat>
          <c:val>
            <c:numRef>
              <c:f>Sheet1!$B$1:$B$2</c:f>
              <c:numCache>
                <c:formatCode>General</c:formatCode>
                <c:ptCount val="2"/>
                <c:pt idx="0">
                  <c:v>1877.32</c:v>
                </c:pt>
                <c:pt idx="1">
                  <c:v>1634.02</c:v>
                </c:pt>
              </c:numCache>
            </c:numRef>
          </c:val>
        </c:ser>
        <c:dLbls>
          <c:showLegendKey val="0"/>
          <c:showVal val="1"/>
          <c:showCatName val="0"/>
          <c:showSerName val="0"/>
          <c:showPercent val="0"/>
          <c:showBubbleSize val="0"/>
        </c:dLbls>
        <c:gapWidth val="150"/>
        <c:overlap val="100"/>
        <c:axId val="192316160"/>
        <c:axId val="192317696"/>
      </c:barChart>
      <c:catAx>
        <c:axId val="19231616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2317696"/>
        <c:crosses val="autoZero"/>
        <c:auto val="1"/>
        <c:lblAlgn val="ctr"/>
        <c:lblOffset val="100"/>
        <c:noMultiLvlLbl val="0"/>
      </c:catAx>
      <c:valAx>
        <c:axId val="1923176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23161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500"/>
              <a:t>一般公共预算财政拨款支出决算变动情况（万元）</a:t>
            </a:r>
            <a:endParaRPr sz="1500"/>
          </a:p>
        </c:rich>
      </c:tx>
      <c:layout>
        <c:manualLayout>
          <c:xMode val="edge"/>
          <c:yMode val="edge"/>
          <c:x val="0.1327456913564"/>
          <c:y val="0.0105559465165376"/>
        </c:manualLayout>
      </c:layout>
      <c:overlay val="0"/>
      <c:spPr>
        <a:noFill/>
        <a:ln>
          <a:noFill/>
        </a:ln>
        <a:effectLst/>
      </c:spPr>
    </c:title>
    <c:autoTitleDeleted val="0"/>
    <c:plotArea>
      <c:layout>
        <c:manualLayout>
          <c:layoutTarget val="inner"/>
          <c:xMode val="edge"/>
          <c:yMode val="edge"/>
          <c:x val="0.105528679753369"/>
          <c:y val="0.331970237785433"/>
          <c:w val="0.890524471147828"/>
          <c:h val="0.522498446239901"/>
        </c:manualLayout>
      </c:layout>
      <c:barChart>
        <c:barDir val="col"/>
        <c:grouping val="stacked"/>
        <c:varyColors val="0"/>
        <c:ser>
          <c:idx val="0"/>
          <c:order val="0"/>
          <c:tx>
            <c:strRef>
              <c:f>Sheet1!#REF!</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Sheet1!$A$1:$A$2</c:f>
              <c:strCache>
                <c:ptCount val="2"/>
                <c:pt idx="0">
                  <c:v>2022年一般公共预算财政拨款支出</c:v>
                </c:pt>
                <c:pt idx="1">
                  <c:v>2023年一般公共预算财政拨款支出</c:v>
                </c:pt>
              </c:strCache>
            </c:strRef>
          </c:cat>
          <c:val>
            <c:numRef>
              <c:f>Sheet1!$B$1:$B$2</c:f>
              <c:numCache>
                <c:formatCode>General</c:formatCode>
                <c:ptCount val="2"/>
                <c:pt idx="0">
                  <c:v>1877.32</c:v>
                </c:pt>
                <c:pt idx="1">
                  <c:v>1634.02</c:v>
                </c:pt>
              </c:numCache>
            </c:numRef>
          </c:val>
        </c:ser>
        <c:dLbls>
          <c:showLegendKey val="0"/>
          <c:showVal val="1"/>
          <c:showCatName val="0"/>
          <c:showSerName val="0"/>
          <c:showPercent val="0"/>
          <c:showBubbleSize val="0"/>
        </c:dLbls>
        <c:gapWidth val="150"/>
        <c:overlap val="100"/>
        <c:axId val="192379136"/>
        <c:axId val="192397312"/>
      </c:barChart>
      <c:catAx>
        <c:axId val="19237913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2397312"/>
        <c:crosses val="autoZero"/>
        <c:auto val="1"/>
        <c:lblAlgn val="ctr"/>
        <c:lblOffset val="100"/>
        <c:noMultiLvlLbl val="0"/>
      </c:catAx>
      <c:valAx>
        <c:axId val="1923973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23791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a:t>
            </a:r>
          </a:p>
        </c:rich>
      </c:tx>
      <c:layout>
        <c:manualLayout>
          <c:xMode val="edge"/>
          <c:yMode val="edge"/>
          <c:x val="0.21675"/>
          <c:y val="0.0532906231799651"/>
        </c:manualLayout>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3"/>
              <c:layout>
                <c:manualLayout>
                  <c:x val="0.0186430147919914"/>
                  <c:y val="-0.015643655578906"/>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一般公共服务支出</c:v>
                </c:pt>
                <c:pt idx="1">
                  <c:v>社会保障和就业支出</c:v>
                </c:pt>
                <c:pt idx="2">
                  <c:v>卫生健康支出</c:v>
                </c:pt>
                <c:pt idx="3">
                  <c:v>住房保障支出</c:v>
                </c:pt>
              </c:strCache>
            </c:strRef>
          </c:cat>
          <c:val>
            <c:numRef>
              <c:f>Sheet1!$B$2:$B$5</c:f>
              <c:numCache>
                <c:formatCode>0.00%</c:formatCode>
                <c:ptCount val="4"/>
                <c:pt idx="0">
                  <c:v>0.8202</c:v>
                </c:pt>
                <c:pt idx="1">
                  <c:v>0.0884</c:v>
                </c:pt>
                <c:pt idx="2">
                  <c:v>0.0476</c:v>
                </c:pt>
                <c:pt idx="3">
                  <c:v>0.0438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800" b="1" i="0" u="none" strike="noStrike" baseline="0"/>
              <a:t>“三公”经费财政拨款支出结构</a:t>
            </a:r>
            <a:endParaRPr lang="zh-CN" altLang="en-US"/>
          </a:p>
        </c:rich>
      </c:tx>
      <c:layout>
        <c:manualLayout>
          <c:xMode val="edge"/>
          <c:yMode val="edge"/>
          <c:x val="0.200337105706718"/>
          <c:y val="0.0135216346153846"/>
        </c:manualLayout>
      </c:layout>
      <c:overlay val="0"/>
    </c:title>
    <c:autoTitleDeleted val="0"/>
    <c:plotArea>
      <c:layout/>
      <c:pieChart>
        <c:varyColors val="1"/>
        <c:ser>
          <c:idx val="0"/>
          <c:order val="0"/>
          <c:tx>
            <c:strRef>
              <c:f>Sheet1!$B$1</c:f>
              <c:strCache>
                <c:ptCount val="1"/>
                <c:pt idx="0">
                  <c:v>销售额</c:v>
                </c:pt>
              </c:strCache>
            </c:strRef>
          </c:tx>
          <c:explosion val="0"/>
          <c:dPt>
            <c:idx val="0"/>
            <c:bubble3D val="0"/>
          </c:dPt>
          <c:dPt>
            <c:idx val="1"/>
            <c:bubble3D val="0"/>
          </c:dPt>
          <c:dPt>
            <c:idx val="2"/>
            <c:bubble3D val="0"/>
          </c:dPt>
          <c:dPt>
            <c:idx val="3"/>
            <c:bubble3D val="0"/>
          </c:dPt>
          <c:dLbls>
            <c:dLbl>
              <c:idx val="0"/>
              <c:layout>
                <c:manualLayout>
                  <c:x val="-0.203125716918421"/>
                  <c:y val="0.2049857829620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231839994236213"/>
                  <c:y val="0.39588696459568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241993739465447"/>
                  <c:y val="0.075120192307692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Sheet1!$A$2:$A$5</c:f>
              <c:strCache>
                <c:ptCount val="4"/>
                <c:pt idx="0">
                  <c:v>因公出国（境）费支出</c:v>
                </c:pt>
                <c:pt idx="1">
                  <c:v>公务用车购置费</c:v>
                </c:pt>
                <c:pt idx="2">
                  <c:v>公务接待费支出</c:v>
                </c:pt>
                <c:pt idx="3">
                  <c:v>公务用车运行维护费支出</c:v>
                </c:pt>
              </c:strCache>
            </c:strRef>
          </c:cat>
          <c:val>
            <c:numRef>
              <c:f>Sheet1!$B$2:$B$5</c:f>
              <c:numCache>
                <c:formatCode>General</c:formatCode>
                <c:ptCount val="4"/>
                <c:pt idx="0">
                  <c:v>0</c:v>
                </c:pt>
                <c:pt idx="1">
                  <c:v>0</c:v>
                </c:pt>
                <c:pt idx="2">
                  <c:v>0</c:v>
                </c:pt>
                <c:pt idx="3" c:formatCode="0%">
                  <c:v>1</c:v>
                </c:pt>
              </c:numCache>
            </c:numRef>
          </c:val>
        </c:ser>
        <c:dLbls>
          <c:showLegendKey val="0"/>
          <c:showVal val="1"/>
          <c:showCatName val="1"/>
          <c:showSerName val="0"/>
          <c:showPercent val="0"/>
          <c:showBubbleSize val="0"/>
          <c:showLeaderLines val="1"/>
        </c:dLbls>
        <c:firstSliceAng val="0"/>
      </c:pieChart>
    </c:plotArea>
    <c:legend>
      <c:legendPos val="r"/>
      <c:layout>
        <c:manualLayout>
          <c:xMode val="edge"/>
          <c:yMode val="edge"/>
          <c:x val="0.661931134119913"/>
          <c:y val="0.418870192307692"/>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33</Pages>
  <Words>11375</Words>
  <Characters>12366</Characters>
  <Lines>72</Lines>
  <Paragraphs>20</Paragraphs>
  <TotalTime>2</TotalTime>
  <ScaleCrop>false</ScaleCrop>
  <LinksUpToDate>false</LinksUpToDate>
  <CharactersWithSpaces>12570</CharactersWithSpaces>
  <Application>WPS Office_12.1.0.18334_F1E327BC-269C-435d-A152-05C5408002CA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2024-08-05T15:12:00Z</dcterms:created>
  <dc:creator>曹颖</dc:creator>
  <cp:lastModifiedBy>缘</cp:lastModifiedBy>
  <cp:lastPrinted>2024-10-22T09:16:00Z</cp:lastPrinted>
  <dcterms:modified xsi:type="dcterms:W3CDTF">2024-10-28T01:47:24Z</dcterms:modified>
  <dc:title>四川省***</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2052-12.1.0.18334</vt:lpwstr>
  </property>
  <property fmtid="{D5CDD505-2E9C-101B-9397-08002B2CF9AE}" pid="3" name="ICV">
    <vt:lpwstr>EC61267A17480B0EA8251767673B4A0A</vt:lpwstr>
  </property>
</Properties>
</file>